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F28097" w14:textId="77777777" w:rsidR="00B0005F" w:rsidRPr="008A2411" w:rsidRDefault="00B0005F">
      <w:pPr>
        <w:pStyle w:val="affffff5"/>
        <w:rPr>
          <w:rFonts w:ascii="Times New Roman" w:hAnsi="Times New Roman"/>
          <w:color w:val="000000" w:themeColor="text1"/>
          <w:lang w:eastAsia="zh-CN"/>
        </w:rPr>
      </w:pPr>
      <w:bookmarkStart w:id="0" w:name="_Toc244950275"/>
      <w:bookmarkStart w:id="1" w:name="_Toc242713627"/>
      <w:bookmarkStart w:id="2" w:name="_Toc242712702"/>
      <w:bookmarkStart w:id="3" w:name="_Toc242712892"/>
      <w:bookmarkStart w:id="4" w:name="_Toc225148081"/>
      <w:bookmarkStart w:id="5" w:name="_Toc223152089"/>
    </w:p>
    <w:p w14:paraId="733C1452" w14:textId="77777777" w:rsidR="00B0005F" w:rsidRPr="008A2411" w:rsidRDefault="00B0005F">
      <w:pPr>
        <w:rPr>
          <w:rFonts w:ascii="Times New Roman"/>
          <w:color w:val="000000" w:themeColor="text1"/>
        </w:rPr>
      </w:pPr>
    </w:p>
    <w:p w14:paraId="62E47291" w14:textId="77777777" w:rsidR="00B0005F" w:rsidRPr="008A2411" w:rsidRDefault="00B0005F">
      <w:pPr>
        <w:rPr>
          <w:rFonts w:ascii="Times New Roman"/>
          <w:color w:val="000000" w:themeColor="text1"/>
        </w:rPr>
      </w:pPr>
    </w:p>
    <w:p w14:paraId="710C0A5A" w14:textId="77777777" w:rsidR="00B0005F" w:rsidRPr="008A2411" w:rsidRDefault="00B0005F">
      <w:pPr>
        <w:rPr>
          <w:rFonts w:ascii="Times New Roman"/>
          <w:color w:val="000000" w:themeColor="text1"/>
        </w:rPr>
      </w:pPr>
    </w:p>
    <w:p w14:paraId="75F60B30" w14:textId="77777777" w:rsidR="00B0005F" w:rsidRPr="008A2411" w:rsidRDefault="00000000">
      <w:pPr>
        <w:pStyle w:val="a9"/>
        <w:spacing w:line="480" w:lineRule="auto"/>
        <w:jc w:val="center"/>
        <w:rPr>
          <w:rFonts w:ascii="Times New Roman" w:eastAsia="楷体"/>
          <w:color w:val="000000" w:themeColor="text1"/>
          <w:sz w:val="40"/>
          <w:szCs w:val="40"/>
        </w:rPr>
      </w:pPr>
      <w:r w:rsidRPr="008A2411">
        <w:rPr>
          <w:rFonts w:ascii="Times New Roman" w:eastAsia="楷体"/>
          <w:color w:val="000000" w:themeColor="text1"/>
          <w:sz w:val="40"/>
          <w:szCs w:val="40"/>
        </w:rPr>
        <w:t>宣汉宏</w:t>
      </w:r>
      <w:proofErr w:type="gramStart"/>
      <w:r w:rsidRPr="008A2411">
        <w:rPr>
          <w:rFonts w:ascii="Times New Roman" w:eastAsia="楷体"/>
          <w:color w:val="000000" w:themeColor="text1"/>
          <w:sz w:val="40"/>
          <w:szCs w:val="40"/>
        </w:rPr>
        <w:t>浩</w:t>
      </w:r>
      <w:proofErr w:type="gramEnd"/>
      <w:r w:rsidRPr="008A2411">
        <w:rPr>
          <w:rFonts w:ascii="Times New Roman" w:eastAsia="楷体"/>
          <w:color w:val="000000" w:themeColor="text1"/>
          <w:sz w:val="40"/>
          <w:szCs w:val="40"/>
        </w:rPr>
        <w:t>能源科技发展有限公司</w:t>
      </w:r>
    </w:p>
    <w:p w14:paraId="7B18313C" w14:textId="77777777" w:rsidR="00B0005F" w:rsidRPr="008A2411" w:rsidRDefault="00000000">
      <w:pPr>
        <w:pStyle w:val="a9"/>
        <w:spacing w:line="480" w:lineRule="auto"/>
        <w:jc w:val="center"/>
        <w:rPr>
          <w:rFonts w:ascii="Times New Roman" w:eastAsia="楷体"/>
          <w:color w:val="000000" w:themeColor="text1"/>
          <w:sz w:val="40"/>
          <w:szCs w:val="40"/>
        </w:rPr>
      </w:pPr>
      <w:r w:rsidRPr="008A2411">
        <w:rPr>
          <w:rFonts w:ascii="Times New Roman" w:eastAsia="楷体"/>
          <w:color w:val="000000" w:themeColor="text1"/>
          <w:sz w:val="40"/>
          <w:szCs w:val="40"/>
        </w:rPr>
        <w:t>天然气综合利用项目（</w:t>
      </w:r>
      <w:r w:rsidRPr="008A2411">
        <w:rPr>
          <w:rFonts w:ascii="Times New Roman" w:eastAsia="楷体"/>
          <w:color w:val="000000" w:themeColor="text1"/>
          <w:sz w:val="40"/>
          <w:szCs w:val="40"/>
        </w:rPr>
        <w:t>LNG</w:t>
      </w:r>
      <w:r w:rsidRPr="008A2411">
        <w:rPr>
          <w:rFonts w:ascii="Times New Roman" w:eastAsia="楷体"/>
          <w:color w:val="000000" w:themeColor="text1"/>
          <w:sz w:val="40"/>
          <w:szCs w:val="40"/>
        </w:rPr>
        <w:t>）二期</w:t>
      </w:r>
    </w:p>
    <w:p w14:paraId="6A25D44A" w14:textId="77777777" w:rsidR="00B0005F" w:rsidRPr="008A2411" w:rsidRDefault="00B0005F">
      <w:pPr>
        <w:jc w:val="center"/>
        <w:rPr>
          <w:rFonts w:ascii="Times New Roman" w:eastAsia="黑体"/>
          <w:b/>
          <w:color w:val="000000" w:themeColor="text1"/>
          <w:sz w:val="52"/>
          <w:szCs w:val="52"/>
        </w:rPr>
      </w:pPr>
    </w:p>
    <w:p w14:paraId="484E00B6" w14:textId="77777777" w:rsidR="00B0005F" w:rsidRPr="008A2411" w:rsidRDefault="00B0005F">
      <w:pPr>
        <w:pStyle w:val="TOC2"/>
        <w:rPr>
          <w:rFonts w:ascii="Times New Roman" w:eastAsia="黑体" w:hAnsi="Times New Roman" w:cs="Times New Roman"/>
          <w:b/>
          <w:color w:val="000000" w:themeColor="text1"/>
          <w:sz w:val="52"/>
          <w:szCs w:val="52"/>
        </w:rPr>
      </w:pPr>
    </w:p>
    <w:p w14:paraId="737E1A2F" w14:textId="77777777" w:rsidR="00B0005F" w:rsidRPr="008A2411" w:rsidRDefault="00B0005F">
      <w:pPr>
        <w:rPr>
          <w:color w:val="000000" w:themeColor="text1"/>
        </w:rPr>
      </w:pPr>
    </w:p>
    <w:p w14:paraId="47BF75A2" w14:textId="77777777" w:rsidR="00B0005F" w:rsidRPr="008A2411" w:rsidRDefault="00000000">
      <w:pPr>
        <w:spacing w:beforeLines="100" w:before="240" w:afterLines="100" w:after="240" w:line="360" w:lineRule="auto"/>
        <w:jc w:val="center"/>
        <w:rPr>
          <w:rFonts w:ascii="Times New Roman" w:eastAsia="黑体"/>
          <w:bCs/>
          <w:color w:val="000000" w:themeColor="text1"/>
          <w:sz w:val="72"/>
          <w:szCs w:val="72"/>
          <w:shd w:val="clear" w:color="auto" w:fill="FFFFFF"/>
        </w:rPr>
      </w:pPr>
      <w:r w:rsidRPr="008A2411">
        <w:rPr>
          <w:rFonts w:ascii="Times New Roman" w:eastAsia="黑体"/>
          <w:bCs/>
          <w:color w:val="000000" w:themeColor="text1"/>
          <w:sz w:val="72"/>
          <w:szCs w:val="72"/>
          <w:shd w:val="clear" w:color="auto" w:fill="FFFFFF"/>
        </w:rPr>
        <w:t>环境影响报告书</w:t>
      </w:r>
    </w:p>
    <w:p w14:paraId="1710ABBC" w14:textId="77777777" w:rsidR="00B0005F" w:rsidRPr="008A2411" w:rsidRDefault="00000000">
      <w:pPr>
        <w:adjustRightInd w:val="0"/>
        <w:snapToGrid w:val="0"/>
        <w:spacing w:beforeLines="100" w:before="240" w:line="360" w:lineRule="auto"/>
        <w:jc w:val="center"/>
        <w:rPr>
          <w:rFonts w:ascii="Times New Roman"/>
          <w:b/>
          <w:color w:val="000000" w:themeColor="text1"/>
          <w:kern w:val="2"/>
          <w:sz w:val="44"/>
          <w:szCs w:val="44"/>
        </w:rPr>
      </w:pPr>
      <w:bookmarkStart w:id="6" w:name="_Toc405904797"/>
      <w:bookmarkStart w:id="7" w:name="_Toc422906806"/>
      <w:bookmarkStart w:id="8" w:name="_Toc405905262"/>
      <w:bookmarkStart w:id="9" w:name="_Toc405214212"/>
      <w:bookmarkStart w:id="10" w:name="_Toc451758009"/>
      <w:bookmarkStart w:id="11" w:name="_Toc404693674"/>
      <w:bookmarkStart w:id="12" w:name="_Toc451355235"/>
      <w:bookmarkStart w:id="13" w:name="_Toc405904453"/>
      <w:r w:rsidRPr="008A2411">
        <w:rPr>
          <w:rFonts w:ascii="Times New Roman"/>
          <w:b/>
          <w:color w:val="000000" w:themeColor="text1"/>
          <w:kern w:val="2"/>
          <w:sz w:val="44"/>
          <w:szCs w:val="44"/>
        </w:rPr>
        <w:t>（送审本）</w:t>
      </w:r>
      <w:bookmarkEnd w:id="6"/>
      <w:bookmarkEnd w:id="7"/>
      <w:bookmarkEnd w:id="8"/>
      <w:bookmarkEnd w:id="9"/>
      <w:bookmarkEnd w:id="10"/>
      <w:bookmarkEnd w:id="11"/>
      <w:bookmarkEnd w:id="12"/>
      <w:bookmarkEnd w:id="13"/>
    </w:p>
    <w:p w14:paraId="759903A4" w14:textId="77777777" w:rsidR="00B0005F" w:rsidRPr="008A2411" w:rsidRDefault="00B0005F">
      <w:pPr>
        <w:rPr>
          <w:rFonts w:ascii="Times New Roman"/>
          <w:color w:val="000000" w:themeColor="text1"/>
        </w:rPr>
      </w:pPr>
    </w:p>
    <w:p w14:paraId="0A2D9B33" w14:textId="77777777" w:rsidR="00B0005F" w:rsidRPr="008A2411" w:rsidRDefault="00B0005F">
      <w:pPr>
        <w:rPr>
          <w:rFonts w:ascii="Times New Roman"/>
          <w:color w:val="000000" w:themeColor="text1"/>
        </w:rPr>
      </w:pPr>
    </w:p>
    <w:p w14:paraId="12A7A74E" w14:textId="77777777" w:rsidR="00B0005F" w:rsidRPr="008A2411" w:rsidRDefault="00B0005F">
      <w:pPr>
        <w:rPr>
          <w:rFonts w:ascii="Times New Roman"/>
          <w:color w:val="000000" w:themeColor="text1"/>
        </w:rPr>
      </w:pPr>
    </w:p>
    <w:p w14:paraId="44CA2285" w14:textId="77777777" w:rsidR="00B0005F" w:rsidRPr="008A2411" w:rsidRDefault="00B0005F">
      <w:pPr>
        <w:rPr>
          <w:rFonts w:ascii="Times New Roman"/>
          <w:color w:val="000000" w:themeColor="text1"/>
        </w:rPr>
      </w:pPr>
    </w:p>
    <w:p w14:paraId="199B1139" w14:textId="77777777" w:rsidR="00B0005F" w:rsidRPr="008A2411" w:rsidRDefault="00B0005F">
      <w:pPr>
        <w:rPr>
          <w:rFonts w:ascii="Times New Roman"/>
          <w:color w:val="000000" w:themeColor="text1"/>
        </w:rPr>
      </w:pPr>
    </w:p>
    <w:p w14:paraId="6CF0876E" w14:textId="77777777" w:rsidR="00B0005F" w:rsidRPr="008A2411" w:rsidRDefault="00B0005F">
      <w:pPr>
        <w:rPr>
          <w:rFonts w:ascii="Times New Roman"/>
          <w:color w:val="000000" w:themeColor="text1"/>
        </w:rPr>
      </w:pPr>
    </w:p>
    <w:p w14:paraId="62886AFD" w14:textId="77777777" w:rsidR="00B0005F" w:rsidRPr="008A2411" w:rsidRDefault="00B0005F">
      <w:pPr>
        <w:pStyle w:val="TOC2"/>
        <w:rPr>
          <w:rFonts w:ascii="Times New Roman" w:hAnsi="Times New Roman" w:cs="Times New Roman"/>
          <w:color w:val="000000" w:themeColor="text1"/>
        </w:rPr>
      </w:pPr>
    </w:p>
    <w:p w14:paraId="267D58A2" w14:textId="77777777" w:rsidR="00B0005F" w:rsidRPr="008A2411" w:rsidRDefault="00B0005F">
      <w:pPr>
        <w:rPr>
          <w:rFonts w:ascii="Times New Roman"/>
          <w:color w:val="000000" w:themeColor="text1"/>
        </w:rPr>
      </w:pPr>
    </w:p>
    <w:p w14:paraId="31BE07D5" w14:textId="77777777" w:rsidR="00B0005F" w:rsidRPr="008A2411" w:rsidRDefault="00B0005F">
      <w:pPr>
        <w:pStyle w:val="TOC2"/>
        <w:rPr>
          <w:rFonts w:ascii="Times New Roman" w:hAnsi="Times New Roman" w:cs="Times New Roman"/>
          <w:color w:val="000000" w:themeColor="text1"/>
        </w:rPr>
      </w:pPr>
    </w:p>
    <w:p w14:paraId="623F4D12" w14:textId="77777777" w:rsidR="00B0005F" w:rsidRPr="008A2411" w:rsidRDefault="00B0005F">
      <w:pPr>
        <w:rPr>
          <w:rFonts w:ascii="Times New Roman"/>
          <w:color w:val="000000" w:themeColor="text1"/>
        </w:rPr>
      </w:pPr>
    </w:p>
    <w:p w14:paraId="317C8B73" w14:textId="77777777" w:rsidR="00B0005F" w:rsidRPr="008A2411" w:rsidRDefault="00B0005F">
      <w:pPr>
        <w:pStyle w:val="TOC2"/>
        <w:rPr>
          <w:rFonts w:ascii="Times New Roman" w:hAnsi="Times New Roman" w:cs="Times New Roman"/>
          <w:color w:val="000000" w:themeColor="text1"/>
        </w:rPr>
      </w:pPr>
    </w:p>
    <w:p w14:paraId="11FE8170" w14:textId="77777777" w:rsidR="00B0005F" w:rsidRPr="008A2411" w:rsidRDefault="00B0005F">
      <w:pPr>
        <w:rPr>
          <w:rFonts w:ascii="Times New Roman"/>
          <w:color w:val="000000" w:themeColor="text1"/>
        </w:rPr>
      </w:pPr>
    </w:p>
    <w:p w14:paraId="6BB8642D" w14:textId="77777777" w:rsidR="00B0005F" w:rsidRPr="008A2411" w:rsidRDefault="00B0005F">
      <w:pPr>
        <w:pStyle w:val="TOC2"/>
        <w:rPr>
          <w:color w:val="000000" w:themeColor="text1"/>
        </w:rPr>
      </w:pPr>
    </w:p>
    <w:p w14:paraId="1BE7FEEC" w14:textId="77777777" w:rsidR="00B0005F" w:rsidRPr="008A2411" w:rsidRDefault="00B0005F">
      <w:pPr>
        <w:ind w:firstLineChars="600" w:firstLine="1440"/>
        <w:rPr>
          <w:rFonts w:ascii="Times New Roman" w:eastAsia="黑体"/>
          <w:color w:val="000000" w:themeColor="text1"/>
        </w:rPr>
      </w:pPr>
    </w:p>
    <w:p w14:paraId="2E2B5EDB" w14:textId="77777777" w:rsidR="00B0005F" w:rsidRPr="008A2411" w:rsidRDefault="00000000">
      <w:pPr>
        <w:spacing w:beforeLines="50" w:before="120" w:afterLines="50" w:after="120" w:line="360" w:lineRule="auto"/>
        <w:jc w:val="center"/>
        <w:rPr>
          <w:rFonts w:ascii="Times New Roman" w:eastAsia="楷体"/>
          <w:bCs/>
          <w:color w:val="000000" w:themeColor="text1"/>
          <w:spacing w:val="16"/>
          <w:kern w:val="2"/>
          <w:sz w:val="36"/>
          <w:szCs w:val="36"/>
          <w:shd w:val="clear" w:color="auto" w:fill="FFFFFF"/>
        </w:rPr>
      </w:pPr>
      <w:r w:rsidRPr="008A2411">
        <w:rPr>
          <w:rFonts w:ascii="Times New Roman" w:eastAsia="楷体"/>
          <w:bCs/>
          <w:color w:val="000000" w:themeColor="text1"/>
          <w:spacing w:val="16"/>
          <w:kern w:val="2"/>
          <w:sz w:val="36"/>
          <w:szCs w:val="36"/>
          <w:shd w:val="clear" w:color="auto" w:fill="FFFFFF"/>
        </w:rPr>
        <w:t>建设单位：宣汉宏</w:t>
      </w:r>
      <w:proofErr w:type="gramStart"/>
      <w:r w:rsidRPr="008A2411">
        <w:rPr>
          <w:rFonts w:ascii="Times New Roman" w:eastAsia="楷体"/>
          <w:bCs/>
          <w:color w:val="000000" w:themeColor="text1"/>
          <w:spacing w:val="16"/>
          <w:kern w:val="2"/>
          <w:sz w:val="36"/>
          <w:szCs w:val="36"/>
          <w:shd w:val="clear" w:color="auto" w:fill="FFFFFF"/>
        </w:rPr>
        <w:t>浩</w:t>
      </w:r>
      <w:proofErr w:type="gramEnd"/>
      <w:r w:rsidRPr="008A2411">
        <w:rPr>
          <w:rFonts w:ascii="Times New Roman" w:eastAsia="楷体"/>
          <w:bCs/>
          <w:color w:val="000000" w:themeColor="text1"/>
          <w:spacing w:val="16"/>
          <w:kern w:val="2"/>
          <w:sz w:val="36"/>
          <w:szCs w:val="36"/>
          <w:shd w:val="clear" w:color="auto" w:fill="FFFFFF"/>
        </w:rPr>
        <w:t>能源科技发展有限公司</w:t>
      </w:r>
    </w:p>
    <w:p w14:paraId="50E2B719" w14:textId="77777777" w:rsidR="00B0005F" w:rsidRPr="008A2411" w:rsidRDefault="00000000">
      <w:pPr>
        <w:spacing w:beforeLines="50" w:before="120" w:afterLines="50" w:after="120" w:line="360" w:lineRule="auto"/>
        <w:jc w:val="center"/>
        <w:rPr>
          <w:rFonts w:ascii="Times New Roman" w:eastAsia="楷体"/>
          <w:bCs/>
          <w:color w:val="000000" w:themeColor="text1"/>
          <w:spacing w:val="16"/>
          <w:kern w:val="2"/>
          <w:sz w:val="36"/>
          <w:szCs w:val="36"/>
          <w:shd w:val="clear" w:color="auto" w:fill="FFFFFF"/>
        </w:rPr>
      </w:pPr>
      <w:r w:rsidRPr="008A2411">
        <w:rPr>
          <w:rFonts w:ascii="Times New Roman" w:eastAsia="楷体"/>
          <w:bCs/>
          <w:color w:val="000000" w:themeColor="text1"/>
          <w:spacing w:val="16"/>
          <w:kern w:val="2"/>
          <w:sz w:val="36"/>
          <w:szCs w:val="36"/>
          <w:shd w:val="clear" w:color="auto" w:fill="FFFFFF"/>
        </w:rPr>
        <w:t>编制单位：成都艺博环美环保科技有限公司</w:t>
      </w:r>
    </w:p>
    <w:p w14:paraId="2B51367B" w14:textId="77777777" w:rsidR="00B0005F" w:rsidRPr="008A2411" w:rsidRDefault="00000000">
      <w:pPr>
        <w:spacing w:beforeLines="50" w:before="120" w:afterLines="50" w:after="120" w:line="360" w:lineRule="auto"/>
        <w:ind w:firstLineChars="200" w:firstLine="784"/>
        <w:jc w:val="center"/>
        <w:rPr>
          <w:rFonts w:ascii="Times New Roman" w:eastAsia="楷体"/>
          <w:bCs/>
          <w:color w:val="000000" w:themeColor="text1"/>
          <w:spacing w:val="16"/>
          <w:kern w:val="2"/>
          <w:sz w:val="36"/>
          <w:szCs w:val="36"/>
          <w:shd w:val="clear" w:color="auto" w:fill="FFFFFF"/>
        </w:rPr>
        <w:sectPr w:rsidR="00B0005F" w:rsidRPr="008A2411">
          <w:headerReference w:type="even" r:id="rId9"/>
          <w:headerReference w:type="default" r:id="rId10"/>
          <w:footerReference w:type="default" r:id="rId11"/>
          <w:pgSz w:w="11906" w:h="16838"/>
          <w:pgMar w:top="1440" w:right="1797" w:bottom="1440" w:left="1557" w:header="851" w:footer="851" w:gutter="0"/>
          <w:cols w:space="720"/>
          <w:docGrid w:linePitch="312"/>
        </w:sectPr>
      </w:pPr>
      <w:r w:rsidRPr="008A2411">
        <w:rPr>
          <w:rFonts w:ascii="Times New Roman" w:eastAsia="楷体"/>
          <w:bCs/>
          <w:color w:val="000000" w:themeColor="text1"/>
          <w:spacing w:val="16"/>
          <w:kern w:val="2"/>
          <w:sz w:val="36"/>
          <w:szCs w:val="36"/>
          <w:shd w:val="clear" w:color="auto" w:fill="FFFFFF"/>
        </w:rPr>
        <w:t>二</w:t>
      </w:r>
      <w:r w:rsidRPr="008A2411">
        <w:rPr>
          <w:rFonts w:ascii="Times New Roman" w:eastAsia="楷体"/>
          <w:bCs/>
          <w:color w:val="000000" w:themeColor="text1"/>
          <w:spacing w:val="16"/>
          <w:kern w:val="2"/>
          <w:sz w:val="36"/>
          <w:szCs w:val="36"/>
          <w:shd w:val="clear" w:color="auto" w:fill="FFFFFF"/>
        </w:rPr>
        <w:t>○</w:t>
      </w:r>
      <w:r w:rsidRPr="008A2411">
        <w:rPr>
          <w:rFonts w:ascii="Times New Roman" w:eastAsia="楷体"/>
          <w:bCs/>
          <w:color w:val="000000" w:themeColor="text1"/>
          <w:spacing w:val="16"/>
          <w:kern w:val="2"/>
          <w:sz w:val="36"/>
          <w:szCs w:val="36"/>
          <w:shd w:val="clear" w:color="auto" w:fill="FFFFFF"/>
        </w:rPr>
        <w:t>二二年</w:t>
      </w:r>
      <w:r w:rsidRPr="008A2411">
        <w:rPr>
          <w:rFonts w:ascii="Times New Roman" w:eastAsia="楷体" w:hint="eastAsia"/>
          <w:bCs/>
          <w:color w:val="000000" w:themeColor="text1"/>
          <w:spacing w:val="16"/>
          <w:kern w:val="2"/>
          <w:sz w:val="36"/>
          <w:szCs w:val="36"/>
          <w:shd w:val="clear" w:color="auto" w:fill="FFFFFF"/>
        </w:rPr>
        <w:t>七</w:t>
      </w:r>
      <w:r w:rsidRPr="008A2411">
        <w:rPr>
          <w:rFonts w:ascii="Times New Roman" w:eastAsia="楷体"/>
          <w:bCs/>
          <w:color w:val="000000" w:themeColor="text1"/>
          <w:spacing w:val="16"/>
          <w:kern w:val="2"/>
          <w:sz w:val="36"/>
          <w:szCs w:val="36"/>
          <w:shd w:val="clear" w:color="auto" w:fill="FFFFFF"/>
        </w:rPr>
        <w:t>月</w:t>
      </w:r>
      <w:bookmarkStart w:id="14" w:name="_Toc356569237"/>
    </w:p>
    <w:p w14:paraId="65A3C840" w14:textId="77777777" w:rsidR="00B0005F" w:rsidRPr="008A2411" w:rsidRDefault="00000000">
      <w:pPr>
        <w:jc w:val="center"/>
        <w:rPr>
          <w:rFonts w:ascii="Times New Roman"/>
          <w:b/>
          <w:bCs/>
          <w:caps/>
          <w:color w:val="000000" w:themeColor="text1"/>
          <w:kern w:val="2"/>
          <w:szCs w:val="24"/>
        </w:rPr>
      </w:pPr>
      <w:r w:rsidRPr="008A2411">
        <w:rPr>
          <w:rFonts w:ascii="Times New Roman"/>
          <w:b/>
          <w:bCs/>
          <w:caps/>
          <w:color w:val="000000" w:themeColor="text1"/>
          <w:kern w:val="2"/>
          <w:szCs w:val="24"/>
        </w:rPr>
        <w:lastRenderedPageBreak/>
        <w:t>目</w:t>
      </w:r>
      <w:r w:rsidRPr="008A2411">
        <w:rPr>
          <w:rFonts w:ascii="Times New Roman"/>
          <w:b/>
          <w:bCs/>
          <w:caps/>
          <w:color w:val="000000" w:themeColor="text1"/>
          <w:kern w:val="2"/>
          <w:szCs w:val="24"/>
        </w:rPr>
        <w:t xml:space="preserve">         </w:t>
      </w:r>
      <w:r w:rsidRPr="008A2411">
        <w:rPr>
          <w:rFonts w:ascii="Times New Roman"/>
          <w:b/>
          <w:bCs/>
          <w:caps/>
          <w:color w:val="000000" w:themeColor="text1"/>
          <w:kern w:val="2"/>
          <w:szCs w:val="24"/>
        </w:rPr>
        <w:t>录</w:t>
      </w:r>
    </w:p>
    <w:p w14:paraId="5FF81960" w14:textId="4F69E379" w:rsidR="00E25B18" w:rsidRPr="008A2411" w:rsidRDefault="00000000">
      <w:pPr>
        <w:pStyle w:val="TOC1"/>
        <w:tabs>
          <w:tab w:val="right" w:leader="dot" w:pos="8302"/>
        </w:tabs>
        <w:rPr>
          <w:rFonts w:asciiTheme="minorHAnsi" w:eastAsiaTheme="minorEastAsia" w:hAnsiTheme="minorHAnsi" w:cstheme="minorBidi"/>
          <w:b w:val="0"/>
          <w:bCs w:val="0"/>
          <w:caps w:val="0"/>
          <w:noProof/>
          <w:color w:val="000000" w:themeColor="text1"/>
          <w:kern w:val="2"/>
          <w:sz w:val="21"/>
          <w:szCs w:val="22"/>
        </w:rPr>
      </w:pPr>
      <w:r w:rsidRPr="008A2411">
        <w:rPr>
          <w:rFonts w:ascii="Times New Roman" w:hAnsi="Times New Roman" w:cs="Times New Roman"/>
          <w:bCs w:val="0"/>
          <w:caps w:val="0"/>
          <w:color w:val="000000" w:themeColor="text1"/>
          <w:sz w:val="28"/>
          <w:szCs w:val="28"/>
        </w:rPr>
        <w:fldChar w:fldCharType="begin"/>
      </w:r>
      <w:r w:rsidRPr="008A2411">
        <w:rPr>
          <w:rFonts w:ascii="Times New Roman" w:hAnsi="Times New Roman" w:cs="Times New Roman"/>
          <w:bCs w:val="0"/>
          <w:caps w:val="0"/>
          <w:color w:val="000000" w:themeColor="text1"/>
          <w:sz w:val="28"/>
          <w:szCs w:val="28"/>
        </w:rPr>
        <w:instrText xml:space="preserve"> TOC \o "1-2" \h \z \u </w:instrText>
      </w:r>
      <w:r w:rsidRPr="008A2411">
        <w:rPr>
          <w:rFonts w:ascii="Times New Roman" w:hAnsi="Times New Roman" w:cs="Times New Roman"/>
          <w:bCs w:val="0"/>
          <w:caps w:val="0"/>
          <w:color w:val="000000" w:themeColor="text1"/>
          <w:sz w:val="28"/>
          <w:szCs w:val="28"/>
        </w:rPr>
        <w:fldChar w:fldCharType="separate"/>
      </w:r>
      <w:hyperlink w:anchor="_Toc109170732" w:history="1">
        <w:r w:rsidR="00E25B18" w:rsidRPr="008A2411">
          <w:rPr>
            <w:rStyle w:val="afffff0"/>
            <w:rFonts w:ascii="Times New Roman"/>
            <w:noProof/>
            <w:color w:val="000000" w:themeColor="text1"/>
          </w:rPr>
          <w:t>第一章</w:t>
        </w:r>
        <w:r w:rsidR="00E25B18" w:rsidRPr="008A2411">
          <w:rPr>
            <w:rStyle w:val="afffff0"/>
            <w:rFonts w:ascii="Times New Roman"/>
            <w:noProof/>
            <w:color w:val="000000" w:themeColor="text1"/>
          </w:rPr>
          <w:t xml:space="preserve"> </w:t>
        </w:r>
        <w:r w:rsidR="00E25B18" w:rsidRPr="008A2411">
          <w:rPr>
            <w:rStyle w:val="afffff0"/>
            <w:rFonts w:ascii="Times New Roman"/>
            <w:noProof/>
            <w:color w:val="000000" w:themeColor="text1"/>
          </w:rPr>
          <w:t>概</w:t>
        </w:r>
        <w:r w:rsidR="00E25B18" w:rsidRPr="008A2411">
          <w:rPr>
            <w:rStyle w:val="afffff0"/>
            <w:rFonts w:ascii="Times New Roman"/>
            <w:noProof/>
            <w:color w:val="000000" w:themeColor="text1"/>
          </w:rPr>
          <w:t xml:space="preserve"> </w:t>
        </w:r>
        <w:r w:rsidR="00E25B18" w:rsidRPr="008A2411">
          <w:rPr>
            <w:rStyle w:val="afffff0"/>
            <w:rFonts w:ascii="Times New Roman"/>
            <w:noProof/>
            <w:color w:val="000000" w:themeColor="text1"/>
          </w:rPr>
          <w:t>述</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_Toc109170732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1</w:t>
        </w:r>
        <w:r w:rsidR="00E25B18" w:rsidRPr="008A2411">
          <w:rPr>
            <w:noProof/>
            <w:webHidden/>
            <w:color w:val="000000" w:themeColor="text1"/>
          </w:rPr>
          <w:fldChar w:fldCharType="end"/>
        </w:r>
      </w:hyperlink>
    </w:p>
    <w:p w14:paraId="4BF259CE" w14:textId="45A0DB34"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733" w:history="1">
        <w:r w:rsidR="00E25B18" w:rsidRPr="008A2411">
          <w:rPr>
            <w:rStyle w:val="afffff0"/>
            <w:rFonts w:ascii="Times New Roman" w:hAnsi="Times New Roman"/>
            <w:noProof/>
            <w:color w:val="000000" w:themeColor="text1"/>
            <w:lang w:bidi="en-US"/>
          </w:rPr>
          <w:t>1.1</w:t>
        </w:r>
        <w:r w:rsidR="00E25B18" w:rsidRPr="008A2411">
          <w:rPr>
            <w:rStyle w:val="afffff0"/>
            <w:rFonts w:ascii="Times New Roman" w:hAnsi="Times New Roman"/>
            <w:noProof/>
            <w:color w:val="000000" w:themeColor="text1"/>
            <w:lang w:bidi="en-US"/>
          </w:rPr>
          <w:t>项目建设由来</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_Toc109170733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1</w:t>
        </w:r>
        <w:r w:rsidR="00E25B18" w:rsidRPr="008A2411">
          <w:rPr>
            <w:noProof/>
            <w:webHidden/>
            <w:color w:val="000000" w:themeColor="text1"/>
          </w:rPr>
          <w:fldChar w:fldCharType="end"/>
        </w:r>
      </w:hyperlink>
    </w:p>
    <w:p w14:paraId="2B6C1D30" w14:textId="56BE7ECA"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734" w:history="1">
        <w:r w:rsidR="00E25B18" w:rsidRPr="008A2411">
          <w:rPr>
            <w:rStyle w:val="afffff0"/>
            <w:rFonts w:ascii="Times New Roman" w:hAnsi="Times New Roman"/>
            <w:noProof/>
            <w:color w:val="000000" w:themeColor="text1"/>
            <w:lang w:bidi="en-US"/>
          </w:rPr>
          <w:t>1.2</w:t>
        </w:r>
        <w:r w:rsidR="00E25B18" w:rsidRPr="008A2411">
          <w:rPr>
            <w:rStyle w:val="afffff0"/>
            <w:rFonts w:ascii="Times New Roman" w:hAnsi="Times New Roman"/>
            <w:noProof/>
            <w:color w:val="000000" w:themeColor="text1"/>
            <w:lang w:bidi="en-US"/>
          </w:rPr>
          <w:t>项目特点</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_Toc109170734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2</w:t>
        </w:r>
        <w:r w:rsidR="00E25B18" w:rsidRPr="008A2411">
          <w:rPr>
            <w:noProof/>
            <w:webHidden/>
            <w:color w:val="000000" w:themeColor="text1"/>
          </w:rPr>
          <w:fldChar w:fldCharType="end"/>
        </w:r>
      </w:hyperlink>
    </w:p>
    <w:p w14:paraId="6DA87CBF" w14:textId="242C6823"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735" w:history="1">
        <w:r w:rsidR="00E25B18" w:rsidRPr="008A2411">
          <w:rPr>
            <w:rStyle w:val="afffff0"/>
            <w:rFonts w:ascii="Times New Roman" w:hAnsi="Times New Roman"/>
            <w:noProof/>
            <w:color w:val="000000" w:themeColor="text1"/>
            <w:lang w:bidi="en-US"/>
          </w:rPr>
          <w:t>1.3</w:t>
        </w:r>
        <w:r w:rsidR="00E25B18" w:rsidRPr="008A2411">
          <w:rPr>
            <w:rStyle w:val="afffff0"/>
            <w:rFonts w:ascii="Times New Roman" w:hAnsi="Times New Roman"/>
            <w:noProof/>
            <w:color w:val="000000" w:themeColor="text1"/>
            <w:lang w:bidi="en-US"/>
          </w:rPr>
          <w:t>环境影响评价工作过程</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_Toc109170735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2</w:t>
        </w:r>
        <w:r w:rsidR="00E25B18" w:rsidRPr="008A2411">
          <w:rPr>
            <w:noProof/>
            <w:webHidden/>
            <w:color w:val="000000" w:themeColor="text1"/>
          </w:rPr>
          <w:fldChar w:fldCharType="end"/>
        </w:r>
      </w:hyperlink>
    </w:p>
    <w:p w14:paraId="73C6A212" w14:textId="6275781C"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736" w:history="1">
        <w:r w:rsidR="00E25B18" w:rsidRPr="008A2411">
          <w:rPr>
            <w:rStyle w:val="afffff0"/>
            <w:rFonts w:ascii="Times New Roman" w:hAnsi="Times New Roman"/>
            <w:noProof/>
            <w:color w:val="000000" w:themeColor="text1"/>
            <w:lang w:bidi="en-US"/>
          </w:rPr>
          <w:t>1.4</w:t>
        </w:r>
        <w:r w:rsidR="00E25B18" w:rsidRPr="008A2411">
          <w:rPr>
            <w:rStyle w:val="afffff0"/>
            <w:rFonts w:ascii="Times New Roman" w:hAnsi="Times New Roman"/>
            <w:noProof/>
            <w:color w:val="000000" w:themeColor="text1"/>
            <w:lang w:bidi="en-US"/>
          </w:rPr>
          <w:t>分析判定相关情况</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_Toc109170736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4</w:t>
        </w:r>
        <w:r w:rsidR="00E25B18" w:rsidRPr="008A2411">
          <w:rPr>
            <w:noProof/>
            <w:webHidden/>
            <w:color w:val="000000" w:themeColor="text1"/>
          </w:rPr>
          <w:fldChar w:fldCharType="end"/>
        </w:r>
      </w:hyperlink>
    </w:p>
    <w:p w14:paraId="264481F4" w14:textId="08F94BD5" w:rsidR="00E25B18" w:rsidRPr="008A2411" w:rsidRDefault="00000000">
      <w:pPr>
        <w:pStyle w:val="TOC2"/>
        <w:tabs>
          <w:tab w:val="right" w:leader="dot" w:pos="8302"/>
        </w:tabs>
        <w:rPr>
          <w:rStyle w:val="afffff0"/>
          <w:rFonts w:ascii="Times New Roman" w:hAnsi="Times New Roman"/>
          <w:color w:val="000000" w:themeColor="text1"/>
          <w:lang w:bidi="en-US"/>
        </w:rPr>
      </w:pPr>
      <w:hyperlink w:anchor="_Toc109170737" w:history="1">
        <w:r w:rsidR="00E25B18" w:rsidRPr="008A2411">
          <w:rPr>
            <w:rStyle w:val="afffff0"/>
            <w:rFonts w:ascii="Times New Roman" w:hAnsi="Times New Roman"/>
            <w:noProof/>
            <w:color w:val="000000" w:themeColor="text1"/>
            <w:lang w:bidi="en-US"/>
          </w:rPr>
          <w:t>1.5</w:t>
        </w:r>
        <w:r w:rsidR="00E25B18" w:rsidRPr="008A2411">
          <w:rPr>
            <w:rStyle w:val="afffff0"/>
            <w:rFonts w:ascii="Times New Roman" w:hAnsi="Times New Roman"/>
            <w:noProof/>
            <w:color w:val="000000" w:themeColor="text1"/>
            <w:lang w:bidi="en-US"/>
          </w:rPr>
          <w:t>关注的主要环境问题及环境影响</w:t>
        </w:r>
        <w:r w:rsidR="00E25B18" w:rsidRPr="008A2411">
          <w:rPr>
            <w:rStyle w:val="afffff0"/>
            <w:rFonts w:ascii="Times New Roman" w:hAnsi="Times New Roman"/>
            <w:webHidden/>
            <w:color w:val="000000" w:themeColor="text1"/>
            <w:lang w:bidi="en-US"/>
          </w:rPr>
          <w:tab/>
        </w:r>
        <w:r w:rsidR="00E25B18" w:rsidRPr="008A2411">
          <w:rPr>
            <w:rStyle w:val="afffff0"/>
            <w:rFonts w:ascii="Times New Roman" w:hAnsi="Times New Roman"/>
            <w:webHidden/>
            <w:color w:val="000000" w:themeColor="text1"/>
            <w:lang w:bidi="en-US"/>
          </w:rPr>
          <w:fldChar w:fldCharType="begin"/>
        </w:r>
        <w:r w:rsidR="00E25B18" w:rsidRPr="008A2411">
          <w:rPr>
            <w:rStyle w:val="afffff0"/>
            <w:rFonts w:ascii="Times New Roman" w:hAnsi="Times New Roman"/>
            <w:webHidden/>
            <w:color w:val="000000" w:themeColor="text1"/>
            <w:lang w:bidi="en-US"/>
          </w:rPr>
          <w:instrText xml:space="preserve"> PAGEREF _Toc109170737 \h </w:instrText>
        </w:r>
        <w:r w:rsidR="00E25B18" w:rsidRPr="008A2411">
          <w:rPr>
            <w:rStyle w:val="afffff0"/>
            <w:rFonts w:ascii="Times New Roman" w:hAnsi="Times New Roman"/>
            <w:webHidden/>
            <w:color w:val="000000" w:themeColor="text1"/>
            <w:lang w:bidi="en-US"/>
          </w:rPr>
        </w:r>
        <w:r w:rsidR="00E25B18" w:rsidRPr="008A2411">
          <w:rPr>
            <w:rStyle w:val="afffff0"/>
            <w:rFonts w:ascii="Times New Roman" w:hAnsi="Times New Roman"/>
            <w:webHidden/>
            <w:color w:val="000000" w:themeColor="text1"/>
            <w:lang w:bidi="en-US"/>
          </w:rPr>
          <w:fldChar w:fldCharType="separate"/>
        </w:r>
        <w:r w:rsidR="004F353A">
          <w:rPr>
            <w:rStyle w:val="afffff0"/>
            <w:rFonts w:ascii="Times New Roman" w:hAnsi="Times New Roman"/>
            <w:noProof/>
            <w:webHidden/>
            <w:color w:val="000000" w:themeColor="text1"/>
            <w:lang w:bidi="en-US"/>
          </w:rPr>
          <w:t>5</w:t>
        </w:r>
        <w:r w:rsidR="00E25B18" w:rsidRPr="008A2411">
          <w:rPr>
            <w:rStyle w:val="afffff0"/>
            <w:rFonts w:ascii="Times New Roman" w:hAnsi="Times New Roman"/>
            <w:webHidden/>
            <w:color w:val="000000" w:themeColor="text1"/>
            <w:lang w:bidi="en-US"/>
          </w:rPr>
          <w:fldChar w:fldCharType="end"/>
        </w:r>
      </w:hyperlink>
    </w:p>
    <w:p w14:paraId="2D3A3965" w14:textId="285C1BF0" w:rsidR="00E25B18" w:rsidRPr="008A2411" w:rsidRDefault="00000000">
      <w:pPr>
        <w:pStyle w:val="TOC2"/>
        <w:tabs>
          <w:tab w:val="right" w:leader="dot" w:pos="8302"/>
        </w:tabs>
        <w:rPr>
          <w:rStyle w:val="afffff0"/>
          <w:rFonts w:ascii="Times New Roman" w:hAnsi="Times New Roman"/>
          <w:color w:val="000000" w:themeColor="text1"/>
          <w:lang w:bidi="en-US"/>
        </w:rPr>
      </w:pPr>
      <w:hyperlink w:anchor="_Toc109170738" w:history="1">
        <w:r w:rsidR="00E25B18" w:rsidRPr="008A2411">
          <w:rPr>
            <w:rStyle w:val="afffff0"/>
            <w:rFonts w:ascii="Times New Roman" w:hAnsi="Times New Roman"/>
            <w:noProof/>
            <w:color w:val="000000" w:themeColor="text1"/>
            <w:lang w:bidi="en-US"/>
          </w:rPr>
          <w:t>1.6</w:t>
        </w:r>
        <w:r w:rsidR="00E25B18" w:rsidRPr="008A2411">
          <w:rPr>
            <w:rStyle w:val="afffff0"/>
            <w:rFonts w:ascii="Times New Roman" w:hAnsi="Times New Roman"/>
            <w:noProof/>
            <w:color w:val="000000" w:themeColor="text1"/>
            <w:lang w:bidi="en-US"/>
          </w:rPr>
          <w:t>环境影响评价结论</w:t>
        </w:r>
        <w:r w:rsidR="00E25B18" w:rsidRPr="008A2411">
          <w:rPr>
            <w:rStyle w:val="afffff0"/>
            <w:rFonts w:ascii="Times New Roman" w:hAnsi="Times New Roman"/>
            <w:webHidden/>
            <w:color w:val="000000" w:themeColor="text1"/>
            <w:lang w:bidi="en-US"/>
          </w:rPr>
          <w:tab/>
        </w:r>
        <w:r w:rsidR="00E25B18" w:rsidRPr="008A2411">
          <w:rPr>
            <w:rStyle w:val="afffff0"/>
            <w:rFonts w:ascii="Times New Roman" w:hAnsi="Times New Roman"/>
            <w:webHidden/>
            <w:color w:val="000000" w:themeColor="text1"/>
            <w:lang w:bidi="en-US"/>
          </w:rPr>
          <w:fldChar w:fldCharType="begin"/>
        </w:r>
        <w:r w:rsidR="00E25B18" w:rsidRPr="008A2411">
          <w:rPr>
            <w:rStyle w:val="afffff0"/>
            <w:rFonts w:ascii="Times New Roman" w:hAnsi="Times New Roman"/>
            <w:webHidden/>
            <w:color w:val="000000" w:themeColor="text1"/>
            <w:lang w:bidi="en-US"/>
          </w:rPr>
          <w:instrText xml:space="preserve"> PAGEREF _Toc109170738 \h </w:instrText>
        </w:r>
        <w:r w:rsidR="00E25B18" w:rsidRPr="008A2411">
          <w:rPr>
            <w:rStyle w:val="afffff0"/>
            <w:rFonts w:ascii="Times New Roman" w:hAnsi="Times New Roman"/>
            <w:webHidden/>
            <w:color w:val="000000" w:themeColor="text1"/>
            <w:lang w:bidi="en-US"/>
          </w:rPr>
        </w:r>
        <w:r w:rsidR="00E25B18" w:rsidRPr="008A2411">
          <w:rPr>
            <w:rStyle w:val="afffff0"/>
            <w:rFonts w:ascii="Times New Roman" w:hAnsi="Times New Roman"/>
            <w:webHidden/>
            <w:color w:val="000000" w:themeColor="text1"/>
            <w:lang w:bidi="en-US"/>
          </w:rPr>
          <w:fldChar w:fldCharType="separate"/>
        </w:r>
        <w:r w:rsidR="004F353A">
          <w:rPr>
            <w:rStyle w:val="afffff0"/>
            <w:rFonts w:ascii="Times New Roman" w:hAnsi="Times New Roman"/>
            <w:noProof/>
            <w:webHidden/>
            <w:color w:val="000000" w:themeColor="text1"/>
            <w:lang w:bidi="en-US"/>
          </w:rPr>
          <w:t>5</w:t>
        </w:r>
        <w:r w:rsidR="00E25B18" w:rsidRPr="008A2411">
          <w:rPr>
            <w:rStyle w:val="afffff0"/>
            <w:rFonts w:ascii="Times New Roman" w:hAnsi="Times New Roman"/>
            <w:webHidden/>
            <w:color w:val="000000" w:themeColor="text1"/>
            <w:lang w:bidi="en-US"/>
          </w:rPr>
          <w:fldChar w:fldCharType="end"/>
        </w:r>
      </w:hyperlink>
    </w:p>
    <w:p w14:paraId="2DB8A3AC" w14:textId="0CEB226E" w:rsidR="00E25B18" w:rsidRPr="008A2411" w:rsidRDefault="00000000">
      <w:pPr>
        <w:pStyle w:val="TOC1"/>
        <w:tabs>
          <w:tab w:val="right" w:leader="dot" w:pos="8302"/>
        </w:tabs>
        <w:rPr>
          <w:rFonts w:asciiTheme="minorHAnsi" w:eastAsiaTheme="minorEastAsia" w:hAnsiTheme="minorHAnsi" w:cstheme="minorBidi"/>
          <w:b w:val="0"/>
          <w:bCs w:val="0"/>
          <w:caps w:val="0"/>
          <w:noProof/>
          <w:color w:val="000000" w:themeColor="text1"/>
          <w:kern w:val="2"/>
          <w:sz w:val="21"/>
          <w:szCs w:val="22"/>
        </w:rPr>
      </w:pPr>
      <w:hyperlink w:anchor="_Toc109170739" w:history="1">
        <w:r w:rsidR="00E25B18" w:rsidRPr="008A2411">
          <w:rPr>
            <w:rStyle w:val="afffff0"/>
            <w:rFonts w:ascii="Times New Roman"/>
            <w:noProof/>
            <w:color w:val="000000" w:themeColor="text1"/>
          </w:rPr>
          <w:t>第二章</w:t>
        </w:r>
        <w:r w:rsidR="00E25B18" w:rsidRPr="008A2411">
          <w:rPr>
            <w:rStyle w:val="afffff0"/>
            <w:rFonts w:ascii="Times New Roman"/>
            <w:noProof/>
            <w:color w:val="000000" w:themeColor="text1"/>
          </w:rPr>
          <w:t xml:space="preserve"> </w:t>
        </w:r>
        <w:r w:rsidR="00E25B18" w:rsidRPr="008A2411">
          <w:rPr>
            <w:rStyle w:val="afffff0"/>
            <w:rFonts w:ascii="Times New Roman"/>
            <w:noProof/>
            <w:color w:val="000000" w:themeColor="text1"/>
          </w:rPr>
          <w:t>总</w:t>
        </w:r>
        <w:r w:rsidR="00E25B18" w:rsidRPr="008A2411">
          <w:rPr>
            <w:rStyle w:val="afffff0"/>
            <w:rFonts w:ascii="Times New Roman"/>
            <w:noProof/>
            <w:color w:val="000000" w:themeColor="text1"/>
          </w:rPr>
          <w:t xml:space="preserve"> </w:t>
        </w:r>
        <w:r w:rsidR="00E25B18" w:rsidRPr="008A2411">
          <w:rPr>
            <w:rStyle w:val="afffff0"/>
            <w:rFonts w:ascii="Times New Roman"/>
            <w:noProof/>
            <w:color w:val="000000" w:themeColor="text1"/>
          </w:rPr>
          <w:t>则</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_Toc109170739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6</w:t>
        </w:r>
        <w:r w:rsidR="00E25B18" w:rsidRPr="008A2411">
          <w:rPr>
            <w:noProof/>
            <w:webHidden/>
            <w:color w:val="000000" w:themeColor="text1"/>
          </w:rPr>
          <w:fldChar w:fldCharType="end"/>
        </w:r>
      </w:hyperlink>
    </w:p>
    <w:p w14:paraId="1F6BB801" w14:textId="64D0DAB4"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740" w:history="1">
        <w:r w:rsidR="00E25B18" w:rsidRPr="008A2411">
          <w:rPr>
            <w:rStyle w:val="afffff0"/>
            <w:rFonts w:ascii="Times New Roman" w:hAnsi="Times New Roman"/>
            <w:noProof/>
            <w:color w:val="000000" w:themeColor="text1"/>
            <w:lang w:bidi="en-US"/>
          </w:rPr>
          <w:t>2.1</w:t>
        </w:r>
        <w:r w:rsidR="00E25B18" w:rsidRPr="008A2411">
          <w:rPr>
            <w:rStyle w:val="afffff0"/>
            <w:rFonts w:ascii="Times New Roman" w:hAnsi="Times New Roman"/>
            <w:noProof/>
            <w:color w:val="000000" w:themeColor="text1"/>
            <w:lang w:bidi="en-US"/>
          </w:rPr>
          <w:t>编制依据</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_Toc109170740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6</w:t>
        </w:r>
        <w:r w:rsidR="00E25B18" w:rsidRPr="008A2411">
          <w:rPr>
            <w:noProof/>
            <w:webHidden/>
            <w:color w:val="000000" w:themeColor="text1"/>
          </w:rPr>
          <w:fldChar w:fldCharType="end"/>
        </w:r>
      </w:hyperlink>
    </w:p>
    <w:p w14:paraId="027ED2E3" w14:textId="617EB216"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741" w:history="1">
        <w:r w:rsidR="00E25B18" w:rsidRPr="008A2411">
          <w:rPr>
            <w:rStyle w:val="afffff0"/>
            <w:rFonts w:ascii="Times New Roman" w:hAnsi="Times New Roman"/>
            <w:noProof/>
            <w:color w:val="000000" w:themeColor="text1"/>
            <w:lang w:bidi="en-US"/>
          </w:rPr>
          <w:t xml:space="preserve">2.2 </w:t>
        </w:r>
        <w:r w:rsidR="00E25B18" w:rsidRPr="008A2411">
          <w:rPr>
            <w:rStyle w:val="afffff0"/>
            <w:rFonts w:ascii="Times New Roman" w:hAnsi="Times New Roman"/>
            <w:noProof/>
            <w:color w:val="000000" w:themeColor="text1"/>
            <w:lang w:bidi="en-US"/>
          </w:rPr>
          <w:t>评价目的和原则</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_Toc109170741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8</w:t>
        </w:r>
        <w:r w:rsidR="00E25B18" w:rsidRPr="008A2411">
          <w:rPr>
            <w:noProof/>
            <w:webHidden/>
            <w:color w:val="000000" w:themeColor="text1"/>
          </w:rPr>
          <w:fldChar w:fldCharType="end"/>
        </w:r>
      </w:hyperlink>
    </w:p>
    <w:p w14:paraId="566CFDBE" w14:textId="3B4EDA53"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742" w:history="1">
        <w:r w:rsidR="00E25B18" w:rsidRPr="008A2411">
          <w:rPr>
            <w:rStyle w:val="afffff0"/>
            <w:rFonts w:ascii="Times New Roman" w:hAnsi="Times New Roman"/>
            <w:noProof/>
            <w:color w:val="000000" w:themeColor="text1"/>
            <w:lang w:bidi="en-US"/>
          </w:rPr>
          <w:t>2.3</w:t>
        </w:r>
        <w:r w:rsidR="00E25B18" w:rsidRPr="008A2411">
          <w:rPr>
            <w:rStyle w:val="afffff0"/>
            <w:rFonts w:ascii="Times New Roman" w:hAnsi="Times New Roman"/>
            <w:noProof/>
            <w:color w:val="000000" w:themeColor="text1"/>
            <w:lang w:bidi="en-US"/>
          </w:rPr>
          <w:t>环境功能区划</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_Toc109170742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9</w:t>
        </w:r>
        <w:r w:rsidR="00E25B18" w:rsidRPr="008A2411">
          <w:rPr>
            <w:noProof/>
            <w:webHidden/>
            <w:color w:val="000000" w:themeColor="text1"/>
          </w:rPr>
          <w:fldChar w:fldCharType="end"/>
        </w:r>
      </w:hyperlink>
    </w:p>
    <w:p w14:paraId="2E4F5378" w14:textId="21BD54D4"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743" w:history="1">
        <w:r w:rsidR="00E25B18" w:rsidRPr="008A2411">
          <w:rPr>
            <w:rStyle w:val="afffff0"/>
            <w:rFonts w:ascii="Times New Roman" w:hAnsi="Times New Roman"/>
            <w:noProof/>
            <w:color w:val="000000" w:themeColor="text1"/>
            <w:lang w:bidi="en-US"/>
          </w:rPr>
          <w:t xml:space="preserve">2.4 </w:t>
        </w:r>
        <w:r w:rsidR="00E25B18" w:rsidRPr="008A2411">
          <w:rPr>
            <w:rStyle w:val="afffff0"/>
            <w:rFonts w:ascii="Times New Roman" w:hAnsi="Times New Roman"/>
            <w:noProof/>
            <w:color w:val="000000" w:themeColor="text1"/>
            <w:lang w:bidi="en-US"/>
          </w:rPr>
          <w:t>项目产业政策及规划、选址合理性及三线一单符合性分析</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_Toc109170743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10</w:t>
        </w:r>
        <w:r w:rsidR="00E25B18" w:rsidRPr="008A2411">
          <w:rPr>
            <w:noProof/>
            <w:webHidden/>
            <w:color w:val="000000" w:themeColor="text1"/>
          </w:rPr>
          <w:fldChar w:fldCharType="end"/>
        </w:r>
      </w:hyperlink>
    </w:p>
    <w:p w14:paraId="3441ED39" w14:textId="05F8B17B"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744" w:history="1">
        <w:r w:rsidR="00E25B18" w:rsidRPr="008A2411">
          <w:rPr>
            <w:rStyle w:val="afffff0"/>
            <w:rFonts w:ascii="Times New Roman"/>
            <w:noProof/>
            <w:color w:val="000000" w:themeColor="text1"/>
          </w:rPr>
          <w:t xml:space="preserve">2.5 </w:t>
        </w:r>
        <w:r w:rsidR="00E25B18" w:rsidRPr="008A2411">
          <w:rPr>
            <w:rStyle w:val="afffff0"/>
            <w:rFonts w:ascii="Times New Roman"/>
            <w:noProof/>
            <w:color w:val="000000" w:themeColor="text1"/>
          </w:rPr>
          <w:t>环境影响因子识别和筛选</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_Toc109170744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32</w:t>
        </w:r>
        <w:r w:rsidR="00E25B18" w:rsidRPr="008A2411">
          <w:rPr>
            <w:noProof/>
            <w:webHidden/>
            <w:color w:val="000000" w:themeColor="text1"/>
          </w:rPr>
          <w:fldChar w:fldCharType="end"/>
        </w:r>
      </w:hyperlink>
    </w:p>
    <w:p w14:paraId="60367A3F" w14:textId="709D2FB3"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745" w:history="1">
        <w:r w:rsidR="00E25B18" w:rsidRPr="008A2411">
          <w:rPr>
            <w:rStyle w:val="afffff0"/>
            <w:rFonts w:ascii="Times New Roman"/>
            <w:noProof/>
            <w:color w:val="000000" w:themeColor="text1"/>
          </w:rPr>
          <w:t xml:space="preserve">2.6 </w:t>
        </w:r>
        <w:r w:rsidR="00E25B18" w:rsidRPr="008A2411">
          <w:rPr>
            <w:rStyle w:val="afffff0"/>
            <w:rFonts w:ascii="Times New Roman"/>
            <w:noProof/>
            <w:color w:val="000000" w:themeColor="text1"/>
          </w:rPr>
          <w:t>评价因子与评价标准</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_Toc109170745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33</w:t>
        </w:r>
        <w:r w:rsidR="00E25B18" w:rsidRPr="008A2411">
          <w:rPr>
            <w:noProof/>
            <w:webHidden/>
            <w:color w:val="000000" w:themeColor="text1"/>
          </w:rPr>
          <w:fldChar w:fldCharType="end"/>
        </w:r>
      </w:hyperlink>
    </w:p>
    <w:p w14:paraId="24FCBB39" w14:textId="67221807"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746" w:history="1">
        <w:r w:rsidR="00E25B18" w:rsidRPr="008A2411">
          <w:rPr>
            <w:rStyle w:val="afffff0"/>
            <w:rFonts w:ascii="Times New Roman"/>
            <w:noProof/>
            <w:color w:val="000000" w:themeColor="text1"/>
          </w:rPr>
          <w:t xml:space="preserve">2.7 </w:t>
        </w:r>
        <w:r w:rsidR="00E25B18" w:rsidRPr="008A2411">
          <w:rPr>
            <w:rStyle w:val="afffff0"/>
            <w:rFonts w:ascii="Times New Roman"/>
            <w:noProof/>
            <w:color w:val="000000" w:themeColor="text1"/>
          </w:rPr>
          <w:t>评价工作等级及评价范围</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_Toc109170746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40</w:t>
        </w:r>
        <w:r w:rsidR="00E25B18" w:rsidRPr="008A2411">
          <w:rPr>
            <w:noProof/>
            <w:webHidden/>
            <w:color w:val="000000" w:themeColor="text1"/>
          </w:rPr>
          <w:fldChar w:fldCharType="end"/>
        </w:r>
      </w:hyperlink>
    </w:p>
    <w:p w14:paraId="0EA7489C" w14:textId="0F66A925"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747" w:history="1">
        <w:r w:rsidR="00E25B18" w:rsidRPr="008A2411">
          <w:rPr>
            <w:rStyle w:val="afffff0"/>
            <w:rFonts w:ascii="Times New Roman"/>
            <w:noProof/>
            <w:color w:val="000000" w:themeColor="text1"/>
          </w:rPr>
          <w:t xml:space="preserve">2.8 </w:t>
        </w:r>
        <w:r w:rsidR="00E25B18" w:rsidRPr="008A2411">
          <w:rPr>
            <w:rStyle w:val="afffff0"/>
            <w:rFonts w:ascii="Times New Roman"/>
            <w:noProof/>
            <w:color w:val="000000" w:themeColor="text1"/>
          </w:rPr>
          <w:t>污染控制及环境保护目标</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_Toc109170747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49</w:t>
        </w:r>
        <w:r w:rsidR="00E25B18" w:rsidRPr="008A2411">
          <w:rPr>
            <w:noProof/>
            <w:webHidden/>
            <w:color w:val="000000" w:themeColor="text1"/>
          </w:rPr>
          <w:fldChar w:fldCharType="end"/>
        </w:r>
      </w:hyperlink>
    </w:p>
    <w:p w14:paraId="4299466A" w14:textId="1F27E2C3"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748" w:history="1">
        <w:r w:rsidR="00E25B18" w:rsidRPr="008A2411">
          <w:rPr>
            <w:rStyle w:val="afffff0"/>
            <w:rFonts w:ascii="Times New Roman"/>
            <w:noProof/>
            <w:color w:val="000000" w:themeColor="text1"/>
          </w:rPr>
          <w:t xml:space="preserve">2.9 </w:t>
        </w:r>
        <w:r w:rsidR="00E25B18" w:rsidRPr="008A2411">
          <w:rPr>
            <w:rStyle w:val="afffff0"/>
            <w:rFonts w:ascii="Times New Roman"/>
            <w:noProof/>
            <w:color w:val="000000" w:themeColor="text1"/>
          </w:rPr>
          <w:t>评价工作内容及评价重点</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_Toc109170748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51</w:t>
        </w:r>
        <w:r w:rsidR="00E25B18" w:rsidRPr="008A2411">
          <w:rPr>
            <w:noProof/>
            <w:webHidden/>
            <w:color w:val="000000" w:themeColor="text1"/>
          </w:rPr>
          <w:fldChar w:fldCharType="end"/>
        </w:r>
      </w:hyperlink>
    </w:p>
    <w:p w14:paraId="0D2F1DC3" w14:textId="39F052CE"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749" w:history="1">
        <w:r w:rsidR="00E25B18" w:rsidRPr="008A2411">
          <w:rPr>
            <w:rStyle w:val="afffff0"/>
            <w:rFonts w:ascii="Times New Roman"/>
            <w:noProof/>
            <w:color w:val="000000" w:themeColor="text1"/>
          </w:rPr>
          <w:t xml:space="preserve">2.10 </w:t>
        </w:r>
        <w:r w:rsidR="00E25B18" w:rsidRPr="008A2411">
          <w:rPr>
            <w:rStyle w:val="afffff0"/>
            <w:rFonts w:ascii="Times New Roman"/>
            <w:noProof/>
            <w:color w:val="000000" w:themeColor="text1"/>
          </w:rPr>
          <w:t>评价程序</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_Toc109170749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52</w:t>
        </w:r>
        <w:r w:rsidR="00E25B18" w:rsidRPr="008A2411">
          <w:rPr>
            <w:noProof/>
            <w:webHidden/>
            <w:color w:val="000000" w:themeColor="text1"/>
          </w:rPr>
          <w:fldChar w:fldCharType="end"/>
        </w:r>
      </w:hyperlink>
    </w:p>
    <w:p w14:paraId="63957FBB" w14:textId="0C6E1CBC"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750" w:history="1">
        <w:r w:rsidR="00E25B18" w:rsidRPr="008A2411">
          <w:rPr>
            <w:rStyle w:val="afffff0"/>
            <w:rFonts w:ascii="Times New Roman"/>
            <w:noProof/>
            <w:color w:val="000000" w:themeColor="text1"/>
          </w:rPr>
          <w:t xml:space="preserve">2.11 </w:t>
        </w:r>
        <w:r w:rsidR="00E25B18" w:rsidRPr="008A2411">
          <w:rPr>
            <w:rStyle w:val="afffff0"/>
            <w:rFonts w:ascii="Times New Roman"/>
            <w:noProof/>
            <w:color w:val="000000" w:themeColor="text1"/>
          </w:rPr>
          <w:t>小结</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_Toc109170750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52</w:t>
        </w:r>
        <w:r w:rsidR="00E25B18" w:rsidRPr="008A2411">
          <w:rPr>
            <w:noProof/>
            <w:webHidden/>
            <w:color w:val="000000" w:themeColor="text1"/>
          </w:rPr>
          <w:fldChar w:fldCharType="end"/>
        </w:r>
      </w:hyperlink>
    </w:p>
    <w:p w14:paraId="7952041E" w14:textId="7B9F3833" w:rsidR="00E25B18" w:rsidRPr="008A2411" w:rsidRDefault="00000000">
      <w:pPr>
        <w:pStyle w:val="TOC1"/>
        <w:tabs>
          <w:tab w:val="right" w:leader="dot" w:pos="8302"/>
        </w:tabs>
        <w:rPr>
          <w:rFonts w:asciiTheme="minorHAnsi" w:eastAsiaTheme="minorEastAsia" w:hAnsiTheme="minorHAnsi" w:cstheme="minorBidi"/>
          <w:b w:val="0"/>
          <w:bCs w:val="0"/>
          <w:caps w:val="0"/>
          <w:noProof/>
          <w:color w:val="000000" w:themeColor="text1"/>
          <w:kern w:val="2"/>
          <w:sz w:val="21"/>
          <w:szCs w:val="22"/>
        </w:rPr>
      </w:pPr>
      <w:hyperlink w:anchor="_Toc109170751" w:history="1">
        <w:r w:rsidR="00E25B18" w:rsidRPr="008A2411">
          <w:rPr>
            <w:rStyle w:val="afffff0"/>
            <w:rFonts w:ascii="Times New Roman"/>
            <w:noProof/>
            <w:color w:val="000000" w:themeColor="text1"/>
          </w:rPr>
          <w:t>第三章</w:t>
        </w:r>
        <w:r w:rsidR="00E25B18" w:rsidRPr="008A2411">
          <w:rPr>
            <w:rStyle w:val="afffff0"/>
            <w:rFonts w:ascii="Times New Roman"/>
            <w:noProof/>
            <w:color w:val="000000" w:themeColor="text1"/>
          </w:rPr>
          <w:t xml:space="preserve"> </w:t>
        </w:r>
        <w:r w:rsidR="00E25B18" w:rsidRPr="008A2411">
          <w:rPr>
            <w:rStyle w:val="afffff0"/>
            <w:rFonts w:ascii="Times New Roman"/>
            <w:noProof/>
            <w:color w:val="000000" w:themeColor="text1"/>
          </w:rPr>
          <w:t>工程分析</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_Toc109170751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53</w:t>
        </w:r>
        <w:r w:rsidR="00E25B18" w:rsidRPr="008A2411">
          <w:rPr>
            <w:noProof/>
            <w:webHidden/>
            <w:color w:val="000000" w:themeColor="text1"/>
          </w:rPr>
          <w:fldChar w:fldCharType="end"/>
        </w:r>
      </w:hyperlink>
    </w:p>
    <w:p w14:paraId="5A74F546" w14:textId="6849CD6F"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752" w:history="1">
        <w:r w:rsidR="00E25B18" w:rsidRPr="008A2411">
          <w:rPr>
            <w:rStyle w:val="afffff0"/>
            <w:rFonts w:ascii="Times New Roman" w:hAnsi="Times New Roman"/>
            <w:noProof/>
            <w:color w:val="000000" w:themeColor="text1"/>
            <w:lang w:bidi="en-US"/>
          </w:rPr>
          <w:t>3.1</w:t>
        </w:r>
        <w:r w:rsidR="00E25B18" w:rsidRPr="008A2411">
          <w:rPr>
            <w:rStyle w:val="afffff0"/>
            <w:rFonts w:ascii="Times New Roman" w:hAnsi="Times New Roman"/>
            <w:noProof/>
            <w:color w:val="000000" w:themeColor="text1"/>
            <w:lang w:bidi="en-US"/>
          </w:rPr>
          <w:t>项目概况</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_Toc109170752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53</w:t>
        </w:r>
        <w:r w:rsidR="00E25B18" w:rsidRPr="008A2411">
          <w:rPr>
            <w:noProof/>
            <w:webHidden/>
            <w:color w:val="000000" w:themeColor="text1"/>
          </w:rPr>
          <w:fldChar w:fldCharType="end"/>
        </w:r>
      </w:hyperlink>
    </w:p>
    <w:p w14:paraId="6E7560FC" w14:textId="2A789005"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755" w:history="1">
        <w:r w:rsidR="00E25B18" w:rsidRPr="008A2411">
          <w:rPr>
            <w:rStyle w:val="afffff0"/>
            <w:rFonts w:ascii="Times New Roman" w:hAnsi="Times New Roman"/>
            <w:noProof/>
            <w:color w:val="000000" w:themeColor="text1"/>
            <w:lang w:bidi="en-US"/>
          </w:rPr>
          <w:t>3.2</w:t>
        </w:r>
        <w:r w:rsidR="00E25B18" w:rsidRPr="008A2411">
          <w:rPr>
            <w:rStyle w:val="afffff0"/>
            <w:rFonts w:ascii="Times New Roman" w:hAnsi="Times New Roman"/>
            <w:noProof/>
            <w:color w:val="000000" w:themeColor="text1"/>
            <w:lang w:bidi="en-US"/>
          </w:rPr>
          <w:t>工程分析</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_Toc109170755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70</w:t>
        </w:r>
        <w:r w:rsidR="00E25B18" w:rsidRPr="008A2411">
          <w:rPr>
            <w:noProof/>
            <w:webHidden/>
            <w:color w:val="000000" w:themeColor="text1"/>
          </w:rPr>
          <w:fldChar w:fldCharType="end"/>
        </w:r>
      </w:hyperlink>
    </w:p>
    <w:p w14:paraId="1453BB50" w14:textId="3DF0ED46"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759" w:history="1">
        <w:r w:rsidR="00E25B18" w:rsidRPr="008A2411">
          <w:rPr>
            <w:rStyle w:val="afffff0"/>
            <w:rFonts w:ascii="Times New Roman" w:hAnsi="Times New Roman"/>
            <w:noProof/>
            <w:color w:val="000000" w:themeColor="text1"/>
            <w:lang w:bidi="en-US"/>
          </w:rPr>
          <w:t>3.3</w:t>
        </w:r>
        <w:r w:rsidR="00E25B18" w:rsidRPr="008A2411">
          <w:rPr>
            <w:rStyle w:val="afffff0"/>
            <w:rFonts w:ascii="Times New Roman" w:hAnsi="Times New Roman"/>
            <w:noProof/>
            <w:color w:val="000000" w:themeColor="text1"/>
            <w:lang w:bidi="en-US"/>
          </w:rPr>
          <w:t>与项目有关的既有工程情况介绍</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_Toc109170759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100</w:t>
        </w:r>
        <w:r w:rsidR="00E25B18" w:rsidRPr="008A2411">
          <w:rPr>
            <w:noProof/>
            <w:webHidden/>
            <w:color w:val="000000" w:themeColor="text1"/>
          </w:rPr>
          <w:fldChar w:fldCharType="end"/>
        </w:r>
      </w:hyperlink>
    </w:p>
    <w:p w14:paraId="6B459FFC" w14:textId="3D42DCE1" w:rsidR="00E25B18" w:rsidRPr="008A2411" w:rsidRDefault="00000000">
      <w:pPr>
        <w:pStyle w:val="TOC1"/>
        <w:tabs>
          <w:tab w:val="right" w:leader="dot" w:pos="8302"/>
        </w:tabs>
        <w:rPr>
          <w:rFonts w:asciiTheme="minorHAnsi" w:eastAsiaTheme="minorEastAsia" w:hAnsiTheme="minorHAnsi" w:cstheme="minorBidi"/>
          <w:b w:val="0"/>
          <w:bCs w:val="0"/>
          <w:caps w:val="0"/>
          <w:noProof/>
          <w:color w:val="000000" w:themeColor="text1"/>
          <w:kern w:val="2"/>
          <w:sz w:val="21"/>
          <w:szCs w:val="22"/>
        </w:rPr>
      </w:pPr>
      <w:hyperlink w:anchor="_Toc109170760" w:history="1">
        <w:r w:rsidR="00E25B18" w:rsidRPr="008A2411">
          <w:rPr>
            <w:rStyle w:val="afffff0"/>
            <w:rFonts w:ascii="Times New Roman"/>
            <w:noProof/>
            <w:color w:val="000000" w:themeColor="text1"/>
          </w:rPr>
          <w:t>第四章</w:t>
        </w:r>
        <w:r w:rsidR="00E25B18" w:rsidRPr="008A2411">
          <w:rPr>
            <w:rStyle w:val="afffff0"/>
            <w:rFonts w:ascii="Times New Roman"/>
            <w:noProof/>
            <w:color w:val="000000" w:themeColor="text1"/>
          </w:rPr>
          <w:t xml:space="preserve">  </w:t>
        </w:r>
        <w:r w:rsidR="00E25B18" w:rsidRPr="008A2411">
          <w:rPr>
            <w:rStyle w:val="afffff0"/>
            <w:rFonts w:ascii="Times New Roman"/>
            <w:noProof/>
            <w:color w:val="000000" w:themeColor="text1"/>
          </w:rPr>
          <w:t>环境现状调查与评价</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_Toc109170760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103</w:t>
        </w:r>
        <w:r w:rsidR="00E25B18" w:rsidRPr="008A2411">
          <w:rPr>
            <w:noProof/>
            <w:webHidden/>
            <w:color w:val="000000" w:themeColor="text1"/>
          </w:rPr>
          <w:fldChar w:fldCharType="end"/>
        </w:r>
      </w:hyperlink>
    </w:p>
    <w:p w14:paraId="69178207" w14:textId="7B314E75" w:rsidR="00E25B18" w:rsidRPr="008A2411" w:rsidRDefault="00000000">
      <w:pPr>
        <w:pStyle w:val="TOC2"/>
        <w:tabs>
          <w:tab w:val="right" w:leader="dot" w:pos="8302"/>
        </w:tabs>
        <w:rPr>
          <w:rStyle w:val="afffff0"/>
          <w:rFonts w:ascii="Times New Roman"/>
          <w:color w:val="000000" w:themeColor="text1"/>
          <w:lang w:bidi="en-US"/>
        </w:rPr>
      </w:pPr>
      <w:hyperlink w:anchor="_Toc109170761" w:history="1">
        <w:r w:rsidR="00E25B18" w:rsidRPr="008A2411">
          <w:rPr>
            <w:rStyle w:val="afffff0"/>
            <w:rFonts w:ascii="Times New Roman"/>
            <w:noProof/>
            <w:color w:val="000000" w:themeColor="text1"/>
            <w:lang w:bidi="en-US"/>
          </w:rPr>
          <w:t>4.1</w:t>
        </w:r>
        <w:r w:rsidR="00E25B18" w:rsidRPr="008A2411">
          <w:rPr>
            <w:rStyle w:val="afffff0"/>
            <w:rFonts w:ascii="Times New Roman"/>
            <w:noProof/>
            <w:color w:val="000000" w:themeColor="text1"/>
            <w:lang w:bidi="en-US"/>
          </w:rPr>
          <w:t>自然环境概况</w:t>
        </w:r>
        <w:r w:rsidR="00E25B18" w:rsidRPr="008A2411">
          <w:rPr>
            <w:rStyle w:val="afffff0"/>
            <w:rFonts w:ascii="Times New Roman"/>
            <w:webHidden/>
            <w:color w:val="000000" w:themeColor="text1"/>
            <w:lang w:bidi="en-US"/>
          </w:rPr>
          <w:tab/>
        </w:r>
        <w:r w:rsidR="00E25B18" w:rsidRPr="008A2411">
          <w:rPr>
            <w:rStyle w:val="afffff0"/>
            <w:rFonts w:ascii="Times New Roman"/>
            <w:webHidden/>
            <w:color w:val="000000" w:themeColor="text1"/>
            <w:lang w:bidi="en-US"/>
          </w:rPr>
          <w:fldChar w:fldCharType="begin"/>
        </w:r>
        <w:r w:rsidR="00E25B18" w:rsidRPr="008A2411">
          <w:rPr>
            <w:rStyle w:val="afffff0"/>
            <w:rFonts w:ascii="Times New Roman"/>
            <w:webHidden/>
            <w:color w:val="000000" w:themeColor="text1"/>
            <w:lang w:bidi="en-US"/>
          </w:rPr>
          <w:instrText xml:space="preserve"> PAGEREF _Toc109170761 \h </w:instrText>
        </w:r>
        <w:r w:rsidR="00E25B18" w:rsidRPr="008A2411">
          <w:rPr>
            <w:rStyle w:val="afffff0"/>
            <w:rFonts w:ascii="Times New Roman"/>
            <w:webHidden/>
            <w:color w:val="000000" w:themeColor="text1"/>
            <w:lang w:bidi="en-US"/>
          </w:rPr>
        </w:r>
        <w:r w:rsidR="00E25B18" w:rsidRPr="008A2411">
          <w:rPr>
            <w:rStyle w:val="afffff0"/>
            <w:rFonts w:ascii="Times New Roman"/>
            <w:webHidden/>
            <w:color w:val="000000" w:themeColor="text1"/>
            <w:lang w:bidi="en-US"/>
          </w:rPr>
          <w:fldChar w:fldCharType="separate"/>
        </w:r>
        <w:r w:rsidR="004F353A">
          <w:rPr>
            <w:rStyle w:val="afffff0"/>
            <w:rFonts w:ascii="Times New Roman"/>
            <w:noProof/>
            <w:webHidden/>
            <w:color w:val="000000" w:themeColor="text1"/>
            <w:lang w:bidi="en-US"/>
          </w:rPr>
          <w:t>103</w:t>
        </w:r>
        <w:r w:rsidR="00E25B18" w:rsidRPr="008A2411">
          <w:rPr>
            <w:rStyle w:val="afffff0"/>
            <w:rFonts w:ascii="Times New Roman"/>
            <w:webHidden/>
            <w:color w:val="000000" w:themeColor="text1"/>
            <w:lang w:bidi="en-US"/>
          </w:rPr>
          <w:fldChar w:fldCharType="end"/>
        </w:r>
      </w:hyperlink>
    </w:p>
    <w:p w14:paraId="45E42D92" w14:textId="4D4333F4" w:rsidR="00E25B18" w:rsidRPr="008A2411" w:rsidRDefault="00000000">
      <w:pPr>
        <w:pStyle w:val="TOC2"/>
        <w:tabs>
          <w:tab w:val="right" w:leader="dot" w:pos="8302"/>
        </w:tabs>
        <w:rPr>
          <w:rStyle w:val="afffff0"/>
          <w:rFonts w:ascii="Times New Roman"/>
          <w:color w:val="000000" w:themeColor="text1"/>
          <w:lang w:bidi="en-US"/>
        </w:rPr>
      </w:pPr>
      <w:hyperlink w:anchor="_Toc109170762" w:history="1">
        <w:r w:rsidR="00E25B18" w:rsidRPr="008A2411">
          <w:rPr>
            <w:rStyle w:val="afffff0"/>
            <w:rFonts w:ascii="Times New Roman"/>
            <w:noProof/>
            <w:color w:val="000000" w:themeColor="text1"/>
            <w:lang w:bidi="en-US"/>
          </w:rPr>
          <w:t xml:space="preserve">4.2 </w:t>
        </w:r>
        <w:r w:rsidR="00E25B18" w:rsidRPr="008A2411">
          <w:rPr>
            <w:rStyle w:val="afffff0"/>
            <w:rFonts w:ascii="Times New Roman"/>
            <w:noProof/>
            <w:color w:val="000000" w:themeColor="text1"/>
            <w:lang w:bidi="en-US"/>
          </w:rPr>
          <w:t>生态环境调查与评价</w:t>
        </w:r>
        <w:r w:rsidR="00E25B18" w:rsidRPr="008A2411">
          <w:rPr>
            <w:rStyle w:val="afffff0"/>
            <w:rFonts w:ascii="Times New Roman"/>
            <w:webHidden/>
            <w:color w:val="000000" w:themeColor="text1"/>
            <w:lang w:bidi="en-US"/>
          </w:rPr>
          <w:tab/>
        </w:r>
        <w:r w:rsidR="00E25B18" w:rsidRPr="008A2411">
          <w:rPr>
            <w:rStyle w:val="afffff0"/>
            <w:rFonts w:ascii="Times New Roman"/>
            <w:webHidden/>
            <w:color w:val="000000" w:themeColor="text1"/>
            <w:lang w:bidi="en-US"/>
          </w:rPr>
          <w:fldChar w:fldCharType="begin"/>
        </w:r>
        <w:r w:rsidR="00E25B18" w:rsidRPr="008A2411">
          <w:rPr>
            <w:rStyle w:val="afffff0"/>
            <w:rFonts w:ascii="Times New Roman"/>
            <w:webHidden/>
            <w:color w:val="000000" w:themeColor="text1"/>
            <w:lang w:bidi="en-US"/>
          </w:rPr>
          <w:instrText xml:space="preserve"> PAGEREF _Toc109170762 \h </w:instrText>
        </w:r>
        <w:r w:rsidR="00E25B18" w:rsidRPr="008A2411">
          <w:rPr>
            <w:rStyle w:val="afffff0"/>
            <w:rFonts w:ascii="Times New Roman"/>
            <w:webHidden/>
            <w:color w:val="000000" w:themeColor="text1"/>
            <w:lang w:bidi="en-US"/>
          </w:rPr>
        </w:r>
        <w:r w:rsidR="00E25B18" w:rsidRPr="008A2411">
          <w:rPr>
            <w:rStyle w:val="afffff0"/>
            <w:rFonts w:ascii="Times New Roman"/>
            <w:webHidden/>
            <w:color w:val="000000" w:themeColor="text1"/>
            <w:lang w:bidi="en-US"/>
          </w:rPr>
          <w:fldChar w:fldCharType="separate"/>
        </w:r>
        <w:r w:rsidR="004F353A">
          <w:rPr>
            <w:rStyle w:val="afffff0"/>
            <w:rFonts w:ascii="Times New Roman"/>
            <w:noProof/>
            <w:webHidden/>
            <w:color w:val="000000" w:themeColor="text1"/>
            <w:lang w:bidi="en-US"/>
          </w:rPr>
          <w:t>109</w:t>
        </w:r>
        <w:r w:rsidR="00E25B18" w:rsidRPr="008A2411">
          <w:rPr>
            <w:rStyle w:val="afffff0"/>
            <w:rFonts w:ascii="Times New Roman"/>
            <w:webHidden/>
            <w:color w:val="000000" w:themeColor="text1"/>
            <w:lang w:bidi="en-US"/>
          </w:rPr>
          <w:fldChar w:fldCharType="end"/>
        </w:r>
      </w:hyperlink>
    </w:p>
    <w:p w14:paraId="5DB50A83" w14:textId="24167A6B" w:rsidR="00E25B18" w:rsidRPr="008A2411" w:rsidRDefault="00000000">
      <w:pPr>
        <w:pStyle w:val="TOC2"/>
        <w:tabs>
          <w:tab w:val="right" w:leader="dot" w:pos="8302"/>
        </w:tabs>
        <w:rPr>
          <w:rStyle w:val="afffff0"/>
          <w:rFonts w:ascii="Times New Roman"/>
          <w:color w:val="000000" w:themeColor="text1"/>
          <w:lang w:bidi="en-US"/>
        </w:rPr>
      </w:pPr>
      <w:hyperlink w:anchor="_Toc109170763" w:history="1">
        <w:r w:rsidR="00E25B18" w:rsidRPr="008A2411">
          <w:rPr>
            <w:rStyle w:val="afffff0"/>
            <w:rFonts w:ascii="Times New Roman"/>
            <w:noProof/>
            <w:color w:val="000000" w:themeColor="text1"/>
            <w:lang w:bidi="en-US"/>
          </w:rPr>
          <w:t>4.3</w:t>
        </w:r>
        <w:r w:rsidR="00E25B18" w:rsidRPr="008A2411">
          <w:rPr>
            <w:rStyle w:val="afffff0"/>
            <w:rFonts w:ascii="Times New Roman"/>
            <w:noProof/>
            <w:color w:val="000000" w:themeColor="text1"/>
            <w:lang w:bidi="en-US"/>
          </w:rPr>
          <w:t>环境支流现状与评价</w:t>
        </w:r>
        <w:r w:rsidR="00E25B18" w:rsidRPr="008A2411">
          <w:rPr>
            <w:rStyle w:val="afffff0"/>
            <w:rFonts w:ascii="Times New Roman"/>
            <w:webHidden/>
            <w:color w:val="000000" w:themeColor="text1"/>
            <w:lang w:bidi="en-US"/>
          </w:rPr>
          <w:tab/>
        </w:r>
        <w:r w:rsidR="00E25B18" w:rsidRPr="008A2411">
          <w:rPr>
            <w:rStyle w:val="afffff0"/>
            <w:rFonts w:ascii="Times New Roman"/>
            <w:webHidden/>
            <w:color w:val="000000" w:themeColor="text1"/>
            <w:lang w:bidi="en-US"/>
          </w:rPr>
          <w:fldChar w:fldCharType="begin"/>
        </w:r>
        <w:r w:rsidR="00E25B18" w:rsidRPr="008A2411">
          <w:rPr>
            <w:rStyle w:val="afffff0"/>
            <w:rFonts w:ascii="Times New Roman"/>
            <w:webHidden/>
            <w:color w:val="000000" w:themeColor="text1"/>
            <w:lang w:bidi="en-US"/>
          </w:rPr>
          <w:instrText xml:space="preserve"> PAGEREF _Toc109170763 \h </w:instrText>
        </w:r>
        <w:r w:rsidR="00E25B18" w:rsidRPr="008A2411">
          <w:rPr>
            <w:rStyle w:val="afffff0"/>
            <w:rFonts w:ascii="Times New Roman"/>
            <w:webHidden/>
            <w:color w:val="000000" w:themeColor="text1"/>
            <w:lang w:bidi="en-US"/>
          </w:rPr>
        </w:r>
        <w:r w:rsidR="00E25B18" w:rsidRPr="008A2411">
          <w:rPr>
            <w:rStyle w:val="afffff0"/>
            <w:rFonts w:ascii="Times New Roman"/>
            <w:webHidden/>
            <w:color w:val="000000" w:themeColor="text1"/>
            <w:lang w:bidi="en-US"/>
          </w:rPr>
          <w:fldChar w:fldCharType="separate"/>
        </w:r>
        <w:r w:rsidR="004F353A">
          <w:rPr>
            <w:rStyle w:val="afffff0"/>
            <w:rFonts w:ascii="Times New Roman"/>
            <w:noProof/>
            <w:webHidden/>
            <w:color w:val="000000" w:themeColor="text1"/>
            <w:lang w:bidi="en-US"/>
          </w:rPr>
          <w:t>114</w:t>
        </w:r>
        <w:r w:rsidR="00E25B18" w:rsidRPr="008A2411">
          <w:rPr>
            <w:rStyle w:val="afffff0"/>
            <w:rFonts w:ascii="Times New Roman"/>
            <w:webHidden/>
            <w:color w:val="000000" w:themeColor="text1"/>
            <w:lang w:bidi="en-US"/>
          </w:rPr>
          <w:fldChar w:fldCharType="end"/>
        </w:r>
      </w:hyperlink>
    </w:p>
    <w:p w14:paraId="05612094" w14:textId="30FB6686" w:rsidR="00E25B18" w:rsidRPr="008A2411" w:rsidRDefault="00000000">
      <w:pPr>
        <w:pStyle w:val="TOC2"/>
        <w:tabs>
          <w:tab w:val="right" w:leader="dot" w:pos="8302"/>
        </w:tabs>
        <w:rPr>
          <w:rStyle w:val="afffff0"/>
          <w:rFonts w:ascii="Times New Roman"/>
          <w:color w:val="000000" w:themeColor="text1"/>
          <w:lang w:bidi="en-US"/>
        </w:rPr>
      </w:pPr>
      <w:hyperlink w:anchor="_Toc109170764" w:history="1">
        <w:r w:rsidR="00E25B18" w:rsidRPr="008A2411">
          <w:rPr>
            <w:rStyle w:val="afffff0"/>
            <w:rFonts w:ascii="Times New Roman"/>
            <w:noProof/>
            <w:color w:val="000000" w:themeColor="text1"/>
            <w:lang w:bidi="en-US"/>
          </w:rPr>
          <w:t xml:space="preserve">4.3.1 </w:t>
        </w:r>
        <w:r w:rsidR="00E25B18" w:rsidRPr="008A2411">
          <w:rPr>
            <w:rStyle w:val="afffff0"/>
            <w:rFonts w:ascii="Times New Roman"/>
            <w:noProof/>
            <w:color w:val="000000" w:themeColor="text1"/>
            <w:lang w:bidi="en-US"/>
          </w:rPr>
          <w:t>环境空气质量现状与评价</w:t>
        </w:r>
        <w:r w:rsidR="00E25B18" w:rsidRPr="008A2411">
          <w:rPr>
            <w:rStyle w:val="afffff0"/>
            <w:rFonts w:ascii="Times New Roman"/>
            <w:webHidden/>
            <w:color w:val="000000" w:themeColor="text1"/>
            <w:lang w:bidi="en-US"/>
          </w:rPr>
          <w:tab/>
        </w:r>
        <w:r w:rsidR="00E25B18" w:rsidRPr="008A2411">
          <w:rPr>
            <w:rStyle w:val="afffff0"/>
            <w:rFonts w:ascii="Times New Roman"/>
            <w:webHidden/>
            <w:color w:val="000000" w:themeColor="text1"/>
            <w:lang w:bidi="en-US"/>
          </w:rPr>
          <w:fldChar w:fldCharType="begin"/>
        </w:r>
        <w:r w:rsidR="00E25B18" w:rsidRPr="008A2411">
          <w:rPr>
            <w:rStyle w:val="afffff0"/>
            <w:rFonts w:ascii="Times New Roman"/>
            <w:webHidden/>
            <w:color w:val="000000" w:themeColor="text1"/>
            <w:lang w:bidi="en-US"/>
          </w:rPr>
          <w:instrText xml:space="preserve"> PAGEREF _Toc109170764 \h </w:instrText>
        </w:r>
        <w:r w:rsidR="00E25B18" w:rsidRPr="008A2411">
          <w:rPr>
            <w:rStyle w:val="afffff0"/>
            <w:rFonts w:ascii="Times New Roman"/>
            <w:webHidden/>
            <w:color w:val="000000" w:themeColor="text1"/>
            <w:lang w:bidi="en-US"/>
          </w:rPr>
        </w:r>
        <w:r w:rsidR="00E25B18" w:rsidRPr="008A2411">
          <w:rPr>
            <w:rStyle w:val="afffff0"/>
            <w:rFonts w:ascii="Times New Roman"/>
            <w:webHidden/>
            <w:color w:val="000000" w:themeColor="text1"/>
            <w:lang w:bidi="en-US"/>
          </w:rPr>
          <w:fldChar w:fldCharType="separate"/>
        </w:r>
        <w:r w:rsidR="004F353A">
          <w:rPr>
            <w:rStyle w:val="afffff0"/>
            <w:rFonts w:ascii="Times New Roman"/>
            <w:noProof/>
            <w:webHidden/>
            <w:color w:val="000000" w:themeColor="text1"/>
            <w:lang w:bidi="en-US"/>
          </w:rPr>
          <w:t>114</w:t>
        </w:r>
        <w:r w:rsidR="00E25B18" w:rsidRPr="008A2411">
          <w:rPr>
            <w:rStyle w:val="afffff0"/>
            <w:rFonts w:ascii="Times New Roman"/>
            <w:webHidden/>
            <w:color w:val="000000" w:themeColor="text1"/>
            <w:lang w:bidi="en-US"/>
          </w:rPr>
          <w:fldChar w:fldCharType="end"/>
        </w:r>
      </w:hyperlink>
    </w:p>
    <w:p w14:paraId="7A2B9133" w14:textId="028F7254" w:rsidR="00E25B18" w:rsidRPr="008A2411" w:rsidRDefault="00000000">
      <w:pPr>
        <w:pStyle w:val="TOC2"/>
        <w:tabs>
          <w:tab w:val="right" w:leader="dot" w:pos="8302"/>
        </w:tabs>
        <w:rPr>
          <w:rStyle w:val="afffff0"/>
          <w:rFonts w:ascii="Times New Roman"/>
          <w:color w:val="000000" w:themeColor="text1"/>
          <w:lang w:bidi="en-US"/>
        </w:rPr>
      </w:pPr>
      <w:hyperlink w:anchor="_Toc109170765" w:history="1">
        <w:r w:rsidR="00E25B18" w:rsidRPr="008A2411">
          <w:rPr>
            <w:rStyle w:val="afffff0"/>
            <w:rFonts w:ascii="Times New Roman"/>
            <w:noProof/>
            <w:color w:val="000000" w:themeColor="text1"/>
            <w:lang w:bidi="en-US"/>
          </w:rPr>
          <w:t xml:space="preserve">4.3.2 </w:t>
        </w:r>
        <w:r w:rsidR="00E25B18" w:rsidRPr="008A2411">
          <w:rPr>
            <w:rStyle w:val="afffff0"/>
            <w:rFonts w:ascii="Times New Roman"/>
            <w:noProof/>
            <w:color w:val="000000" w:themeColor="text1"/>
            <w:lang w:bidi="en-US"/>
          </w:rPr>
          <w:t>地下水环境质量现状与评价</w:t>
        </w:r>
        <w:r w:rsidR="00E25B18" w:rsidRPr="008A2411">
          <w:rPr>
            <w:rStyle w:val="afffff0"/>
            <w:rFonts w:ascii="Times New Roman"/>
            <w:webHidden/>
            <w:color w:val="000000" w:themeColor="text1"/>
            <w:lang w:bidi="en-US"/>
          </w:rPr>
          <w:tab/>
        </w:r>
        <w:r w:rsidR="00E25B18" w:rsidRPr="008A2411">
          <w:rPr>
            <w:rStyle w:val="afffff0"/>
            <w:rFonts w:ascii="Times New Roman"/>
            <w:webHidden/>
            <w:color w:val="000000" w:themeColor="text1"/>
            <w:lang w:bidi="en-US"/>
          </w:rPr>
          <w:fldChar w:fldCharType="begin"/>
        </w:r>
        <w:r w:rsidR="00E25B18" w:rsidRPr="008A2411">
          <w:rPr>
            <w:rStyle w:val="afffff0"/>
            <w:rFonts w:ascii="Times New Roman"/>
            <w:webHidden/>
            <w:color w:val="000000" w:themeColor="text1"/>
            <w:lang w:bidi="en-US"/>
          </w:rPr>
          <w:instrText xml:space="preserve"> PAGEREF _Toc109170765 \h </w:instrText>
        </w:r>
        <w:r w:rsidR="00E25B18" w:rsidRPr="008A2411">
          <w:rPr>
            <w:rStyle w:val="afffff0"/>
            <w:rFonts w:ascii="Times New Roman"/>
            <w:webHidden/>
            <w:color w:val="000000" w:themeColor="text1"/>
            <w:lang w:bidi="en-US"/>
          </w:rPr>
        </w:r>
        <w:r w:rsidR="00E25B18" w:rsidRPr="008A2411">
          <w:rPr>
            <w:rStyle w:val="afffff0"/>
            <w:rFonts w:ascii="Times New Roman"/>
            <w:webHidden/>
            <w:color w:val="000000" w:themeColor="text1"/>
            <w:lang w:bidi="en-US"/>
          </w:rPr>
          <w:fldChar w:fldCharType="separate"/>
        </w:r>
        <w:r w:rsidR="004F353A">
          <w:rPr>
            <w:rStyle w:val="afffff0"/>
            <w:rFonts w:ascii="Times New Roman"/>
            <w:noProof/>
            <w:webHidden/>
            <w:color w:val="000000" w:themeColor="text1"/>
            <w:lang w:bidi="en-US"/>
          </w:rPr>
          <w:t>115</w:t>
        </w:r>
        <w:r w:rsidR="00E25B18" w:rsidRPr="008A2411">
          <w:rPr>
            <w:rStyle w:val="afffff0"/>
            <w:rFonts w:ascii="Times New Roman"/>
            <w:webHidden/>
            <w:color w:val="000000" w:themeColor="text1"/>
            <w:lang w:bidi="en-US"/>
          </w:rPr>
          <w:fldChar w:fldCharType="end"/>
        </w:r>
      </w:hyperlink>
    </w:p>
    <w:p w14:paraId="746E3DA5" w14:textId="2D75B844"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766" w:history="1">
        <w:r w:rsidR="00E25B18" w:rsidRPr="008A2411">
          <w:rPr>
            <w:rStyle w:val="afffff0"/>
            <w:rFonts w:ascii="Times New Roman"/>
            <w:noProof/>
            <w:color w:val="000000" w:themeColor="text1"/>
            <w:lang w:bidi="en-US"/>
          </w:rPr>
          <w:t>4.4</w:t>
        </w:r>
        <w:r w:rsidR="00E25B18" w:rsidRPr="008A2411">
          <w:rPr>
            <w:rStyle w:val="afffff0"/>
            <w:rFonts w:ascii="Times New Roman"/>
            <w:noProof/>
            <w:color w:val="000000" w:themeColor="text1"/>
            <w:lang w:bidi="en-US"/>
          </w:rPr>
          <w:t>声环境质量现状与评价</w:t>
        </w:r>
        <w:r w:rsidR="00E25B18" w:rsidRPr="008A2411">
          <w:rPr>
            <w:rStyle w:val="afffff0"/>
            <w:rFonts w:ascii="Times New Roman"/>
            <w:webHidden/>
            <w:color w:val="000000" w:themeColor="text1"/>
            <w:lang w:bidi="en-US"/>
          </w:rPr>
          <w:tab/>
        </w:r>
        <w:r w:rsidR="00E25B18" w:rsidRPr="008A2411">
          <w:rPr>
            <w:rStyle w:val="afffff0"/>
            <w:rFonts w:ascii="Times New Roman"/>
            <w:webHidden/>
            <w:color w:val="000000" w:themeColor="text1"/>
            <w:lang w:bidi="en-US"/>
          </w:rPr>
          <w:fldChar w:fldCharType="begin"/>
        </w:r>
        <w:r w:rsidR="00E25B18" w:rsidRPr="008A2411">
          <w:rPr>
            <w:rStyle w:val="afffff0"/>
            <w:rFonts w:ascii="Times New Roman"/>
            <w:webHidden/>
            <w:color w:val="000000" w:themeColor="text1"/>
            <w:lang w:bidi="en-US"/>
          </w:rPr>
          <w:instrText xml:space="preserve"> PAGEREF _Toc109170766 \h </w:instrText>
        </w:r>
        <w:r w:rsidR="00E25B18" w:rsidRPr="008A2411">
          <w:rPr>
            <w:rStyle w:val="afffff0"/>
            <w:rFonts w:ascii="Times New Roman"/>
            <w:webHidden/>
            <w:color w:val="000000" w:themeColor="text1"/>
            <w:lang w:bidi="en-US"/>
          </w:rPr>
        </w:r>
        <w:r w:rsidR="00E25B18" w:rsidRPr="008A2411">
          <w:rPr>
            <w:rStyle w:val="afffff0"/>
            <w:rFonts w:ascii="Times New Roman"/>
            <w:webHidden/>
            <w:color w:val="000000" w:themeColor="text1"/>
            <w:lang w:bidi="en-US"/>
          </w:rPr>
          <w:fldChar w:fldCharType="separate"/>
        </w:r>
        <w:r w:rsidR="004F353A">
          <w:rPr>
            <w:rStyle w:val="afffff0"/>
            <w:rFonts w:ascii="Times New Roman"/>
            <w:noProof/>
            <w:webHidden/>
            <w:color w:val="000000" w:themeColor="text1"/>
            <w:lang w:bidi="en-US"/>
          </w:rPr>
          <w:t>119</w:t>
        </w:r>
        <w:r w:rsidR="00E25B18" w:rsidRPr="008A2411">
          <w:rPr>
            <w:rStyle w:val="afffff0"/>
            <w:rFonts w:ascii="Times New Roman"/>
            <w:webHidden/>
            <w:color w:val="000000" w:themeColor="text1"/>
            <w:lang w:bidi="en-US"/>
          </w:rPr>
          <w:fldChar w:fldCharType="end"/>
        </w:r>
      </w:hyperlink>
    </w:p>
    <w:p w14:paraId="443FE757" w14:textId="3EB51204"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767" w:history="1">
        <w:r w:rsidR="00E25B18" w:rsidRPr="008A2411">
          <w:rPr>
            <w:rStyle w:val="afffff0"/>
            <w:rFonts w:ascii="Times New Roman"/>
            <w:noProof/>
            <w:color w:val="000000" w:themeColor="text1"/>
            <w:lang w:bidi="en-US"/>
          </w:rPr>
          <w:t xml:space="preserve">4.5 </w:t>
        </w:r>
        <w:r w:rsidR="00E25B18" w:rsidRPr="008A2411">
          <w:rPr>
            <w:rStyle w:val="afffff0"/>
            <w:rFonts w:ascii="Times New Roman"/>
            <w:noProof/>
            <w:color w:val="000000" w:themeColor="text1"/>
            <w:lang w:bidi="en-US"/>
          </w:rPr>
          <w:t>土壤环境质量现状与评价</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_Toc109170767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120</w:t>
        </w:r>
        <w:r w:rsidR="00E25B18" w:rsidRPr="008A2411">
          <w:rPr>
            <w:noProof/>
            <w:webHidden/>
            <w:color w:val="000000" w:themeColor="text1"/>
          </w:rPr>
          <w:fldChar w:fldCharType="end"/>
        </w:r>
      </w:hyperlink>
    </w:p>
    <w:p w14:paraId="629ACCF2" w14:textId="456E0455" w:rsidR="00E25B18" w:rsidRPr="008A2411" w:rsidRDefault="00000000">
      <w:pPr>
        <w:pStyle w:val="TOC1"/>
        <w:tabs>
          <w:tab w:val="right" w:leader="dot" w:pos="8302"/>
        </w:tabs>
        <w:rPr>
          <w:rFonts w:asciiTheme="minorHAnsi" w:eastAsiaTheme="minorEastAsia" w:hAnsiTheme="minorHAnsi" w:cstheme="minorBidi"/>
          <w:b w:val="0"/>
          <w:bCs w:val="0"/>
          <w:caps w:val="0"/>
          <w:noProof/>
          <w:color w:val="000000" w:themeColor="text1"/>
          <w:kern w:val="2"/>
          <w:sz w:val="21"/>
          <w:szCs w:val="22"/>
        </w:rPr>
      </w:pPr>
      <w:hyperlink w:anchor="_Toc109170768" w:history="1">
        <w:r w:rsidR="00E25B18" w:rsidRPr="008A2411">
          <w:rPr>
            <w:rStyle w:val="afffff0"/>
            <w:rFonts w:ascii="Times New Roman"/>
            <w:noProof/>
            <w:color w:val="000000" w:themeColor="text1"/>
          </w:rPr>
          <w:t>第五章</w:t>
        </w:r>
        <w:r w:rsidR="00E25B18" w:rsidRPr="008A2411">
          <w:rPr>
            <w:rStyle w:val="afffff0"/>
            <w:rFonts w:ascii="Times New Roman"/>
            <w:noProof/>
            <w:color w:val="000000" w:themeColor="text1"/>
          </w:rPr>
          <w:t xml:space="preserve">  </w:t>
        </w:r>
        <w:r w:rsidR="00E25B18" w:rsidRPr="008A2411">
          <w:rPr>
            <w:rStyle w:val="afffff0"/>
            <w:rFonts w:ascii="Times New Roman"/>
            <w:noProof/>
            <w:color w:val="000000" w:themeColor="text1"/>
          </w:rPr>
          <w:t>环境影响分析</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_Toc109170768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126</w:t>
        </w:r>
        <w:r w:rsidR="00E25B18" w:rsidRPr="008A2411">
          <w:rPr>
            <w:noProof/>
            <w:webHidden/>
            <w:color w:val="000000" w:themeColor="text1"/>
          </w:rPr>
          <w:fldChar w:fldCharType="end"/>
        </w:r>
      </w:hyperlink>
    </w:p>
    <w:p w14:paraId="67B53FAC" w14:textId="79C7B299"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769" w:history="1">
        <w:r w:rsidR="00E25B18" w:rsidRPr="008A2411">
          <w:rPr>
            <w:rStyle w:val="afffff0"/>
            <w:rFonts w:ascii="Times New Roman" w:hAnsi="Times New Roman"/>
            <w:noProof/>
            <w:color w:val="000000" w:themeColor="text1"/>
            <w:lang w:bidi="en-US"/>
          </w:rPr>
          <w:t>5.1</w:t>
        </w:r>
        <w:r w:rsidR="00E25B18" w:rsidRPr="008A2411">
          <w:rPr>
            <w:rStyle w:val="afffff0"/>
            <w:rFonts w:ascii="Times New Roman" w:hAnsi="Times New Roman"/>
            <w:noProof/>
            <w:color w:val="000000" w:themeColor="text1"/>
            <w:lang w:bidi="en-US"/>
          </w:rPr>
          <w:t>施工期环境影响分析</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_Toc109170769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126</w:t>
        </w:r>
        <w:r w:rsidR="00E25B18" w:rsidRPr="008A2411">
          <w:rPr>
            <w:noProof/>
            <w:webHidden/>
            <w:color w:val="000000" w:themeColor="text1"/>
          </w:rPr>
          <w:fldChar w:fldCharType="end"/>
        </w:r>
      </w:hyperlink>
    </w:p>
    <w:p w14:paraId="2F588892" w14:textId="236A707F"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770" w:history="1">
        <w:r w:rsidR="00E25B18" w:rsidRPr="008A2411">
          <w:rPr>
            <w:rStyle w:val="afffff0"/>
            <w:rFonts w:ascii="Times New Roman" w:hAnsi="Times New Roman"/>
            <w:noProof/>
            <w:color w:val="000000" w:themeColor="text1"/>
            <w:lang w:bidi="en-US"/>
          </w:rPr>
          <w:t>5.2</w:t>
        </w:r>
        <w:r w:rsidR="00E25B18" w:rsidRPr="008A2411">
          <w:rPr>
            <w:rStyle w:val="afffff0"/>
            <w:rFonts w:ascii="Times New Roman" w:hAnsi="Times New Roman"/>
            <w:noProof/>
            <w:color w:val="000000" w:themeColor="text1"/>
            <w:lang w:bidi="en-US"/>
          </w:rPr>
          <w:t>运营期环境影响分析</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_Toc109170770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130</w:t>
        </w:r>
        <w:r w:rsidR="00E25B18" w:rsidRPr="008A2411">
          <w:rPr>
            <w:noProof/>
            <w:webHidden/>
            <w:color w:val="000000" w:themeColor="text1"/>
          </w:rPr>
          <w:fldChar w:fldCharType="end"/>
        </w:r>
      </w:hyperlink>
    </w:p>
    <w:p w14:paraId="727C0FC5" w14:textId="22978AB4" w:rsidR="00E25B18" w:rsidRPr="008A2411" w:rsidRDefault="00000000">
      <w:pPr>
        <w:pStyle w:val="TOC1"/>
        <w:tabs>
          <w:tab w:val="right" w:leader="dot" w:pos="8302"/>
        </w:tabs>
        <w:rPr>
          <w:rFonts w:asciiTheme="minorHAnsi" w:eastAsiaTheme="minorEastAsia" w:hAnsiTheme="minorHAnsi" w:cstheme="minorBidi"/>
          <w:b w:val="0"/>
          <w:bCs w:val="0"/>
          <w:caps w:val="0"/>
          <w:noProof/>
          <w:color w:val="000000" w:themeColor="text1"/>
          <w:kern w:val="2"/>
          <w:sz w:val="21"/>
          <w:szCs w:val="22"/>
        </w:rPr>
      </w:pPr>
      <w:hyperlink w:anchor="_Toc109170771" w:history="1">
        <w:r w:rsidR="00E25B18" w:rsidRPr="008A2411">
          <w:rPr>
            <w:rStyle w:val="afffff0"/>
            <w:rFonts w:ascii="Times New Roman"/>
            <w:noProof/>
            <w:color w:val="000000" w:themeColor="text1"/>
          </w:rPr>
          <w:t>第六章</w:t>
        </w:r>
        <w:r w:rsidR="00E25B18" w:rsidRPr="008A2411">
          <w:rPr>
            <w:rStyle w:val="afffff0"/>
            <w:rFonts w:ascii="Times New Roman"/>
            <w:noProof/>
            <w:color w:val="000000" w:themeColor="text1"/>
          </w:rPr>
          <w:t xml:space="preserve">  </w:t>
        </w:r>
        <w:r w:rsidR="00E25B18" w:rsidRPr="008A2411">
          <w:rPr>
            <w:rStyle w:val="afffff0"/>
            <w:rFonts w:ascii="Times New Roman"/>
            <w:noProof/>
            <w:color w:val="000000" w:themeColor="text1"/>
          </w:rPr>
          <w:t>环境风险评价</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_Toc109170771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188</w:t>
        </w:r>
        <w:r w:rsidR="00E25B18" w:rsidRPr="008A2411">
          <w:rPr>
            <w:noProof/>
            <w:webHidden/>
            <w:color w:val="000000" w:themeColor="text1"/>
          </w:rPr>
          <w:fldChar w:fldCharType="end"/>
        </w:r>
      </w:hyperlink>
    </w:p>
    <w:p w14:paraId="1C75E464" w14:textId="5F78043A"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772" w:history="1">
        <w:r w:rsidR="00E25B18" w:rsidRPr="008A2411">
          <w:rPr>
            <w:rStyle w:val="afffff0"/>
            <w:rFonts w:ascii="Times New Roman"/>
            <w:bCs/>
            <w:noProof/>
            <w:color w:val="000000" w:themeColor="text1"/>
            <w:lang w:bidi="en-US"/>
          </w:rPr>
          <w:t>6.1</w:t>
        </w:r>
        <w:r w:rsidR="00E25B18" w:rsidRPr="008A2411">
          <w:rPr>
            <w:rStyle w:val="afffff0"/>
            <w:rFonts w:ascii="Times New Roman"/>
            <w:bCs/>
            <w:noProof/>
            <w:color w:val="000000" w:themeColor="text1"/>
            <w:lang w:bidi="en-US"/>
          </w:rPr>
          <w:t>环境风险评价依据</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_Toc109170772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188</w:t>
        </w:r>
        <w:r w:rsidR="00E25B18" w:rsidRPr="008A2411">
          <w:rPr>
            <w:noProof/>
            <w:webHidden/>
            <w:color w:val="000000" w:themeColor="text1"/>
          </w:rPr>
          <w:fldChar w:fldCharType="end"/>
        </w:r>
      </w:hyperlink>
    </w:p>
    <w:p w14:paraId="71C7927D" w14:textId="34A1D4CB"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773" w:history="1">
        <w:r w:rsidR="00E25B18" w:rsidRPr="008A2411">
          <w:rPr>
            <w:rStyle w:val="afffff0"/>
            <w:rFonts w:ascii="Times New Roman"/>
            <w:bCs/>
            <w:noProof/>
            <w:color w:val="000000" w:themeColor="text1"/>
            <w:lang w:bidi="en-US"/>
          </w:rPr>
          <w:t>6.2</w:t>
        </w:r>
        <w:r w:rsidR="00E25B18" w:rsidRPr="008A2411">
          <w:rPr>
            <w:rStyle w:val="afffff0"/>
            <w:rFonts w:ascii="Times New Roman"/>
            <w:bCs/>
            <w:noProof/>
            <w:color w:val="000000" w:themeColor="text1"/>
            <w:lang w:bidi="en-US"/>
          </w:rPr>
          <w:t>环境风险调查</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_Toc109170773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189</w:t>
        </w:r>
        <w:r w:rsidR="00E25B18" w:rsidRPr="008A2411">
          <w:rPr>
            <w:noProof/>
            <w:webHidden/>
            <w:color w:val="000000" w:themeColor="text1"/>
          </w:rPr>
          <w:fldChar w:fldCharType="end"/>
        </w:r>
      </w:hyperlink>
    </w:p>
    <w:p w14:paraId="104BAE2A" w14:textId="5FAF8586"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774" w:history="1">
        <w:r w:rsidR="00E25B18" w:rsidRPr="008A2411">
          <w:rPr>
            <w:rStyle w:val="afffff0"/>
            <w:rFonts w:ascii="Times New Roman"/>
            <w:bCs/>
            <w:noProof/>
            <w:color w:val="000000" w:themeColor="text1"/>
            <w:lang w:bidi="en-US"/>
          </w:rPr>
          <w:t>6.3</w:t>
        </w:r>
        <w:r w:rsidR="00E25B18" w:rsidRPr="008A2411">
          <w:rPr>
            <w:rStyle w:val="afffff0"/>
            <w:rFonts w:ascii="Times New Roman"/>
            <w:bCs/>
            <w:noProof/>
            <w:color w:val="000000" w:themeColor="text1"/>
            <w:lang w:bidi="en-US"/>
          </w:rPr>
          <w:t>环境风险潜势初判</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_Toc109170774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190</w:t>
        </w:r>
        <w:r w:rsidR="00E25B18" w:rsidRPr="008A2411">
          <w:rPr>
            <w:noProof/>
            <w:webHidden/>
            <w:color w:val="000000" w:themeColor="text1"/>
          </w:rPr>
          <w:fldChar w:fldCharType="end"/>
        </w:r>
      </w:hyperlink>
    </w:p>
    <w:p w14:paraId="42653256" w14:textId="4C430DC7"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775" w:history="1">
        <w:r w:rsidR="00E25B18" w:rsidRPr="008A2411">
          <w:rPr>
            <w:rStyle w:val="afffff0"/>
            <w:rFonts w:ascii="Times New Roman"/>
            <w:bCs/>
            <w:noProof/>
            <w:color w:val="000000" w:themeColor="text1"/>
            <w:lang w:bidi="en-US"/>
          </w:rPr>
          <w:t>6.4</w:t>
        </w:r>
        <w:r w:rsidR="00E25B18" w:rsidRPr="008A2411">
          <w:rPr>
            <w:rStyle w:val="afffff0"/>
            <w:rFonts w:ascii="Times New Roman"/>
            <w:bCs/>
            <w:noProof/>
            <w:color w:val="000000" w:themeColor="text1"/>
            <w:lang w:bidi="en-US"/>
          </w:rPr>
          <w:t>环境风险评价等级、范围</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_Toc109170775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194</w:t>
        </w:r>
        <w:r w:rsidR="00E25B18" w:rsidRPr="008A2411">
          <w:rPr>
            <w:noProof/>
            <w:webHidden/>
            <w:color w:val="000000" w:themeColor="text1"/>
          </w:rPr>
          <w:fldChar w:fldCharType="end"/>
        </w:r>
      </w:hyperlink>
    </w:p>
    <w:p w14:paraId="3F48E61C" w14:textId="65808231"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776" w:history="1">
        <w:r w:rsidR="00E25B18" w:rsidRPr="008A2411">
          <w:rPr>
            <w:rStyle w:val="afffff0"/>
            <w:rFonts w:ascii="Times New Roman"/>
            <w:bCs/>
            <w:noProof/>
            <w:color w:val="000000" w:themeColor="text1"/>
            <w:lang w:bidi="en-US"/>
          </w:rPr>
          <w:t>6.5</w:t>
        </w:r>
        <w:r w:rsidR="00E25B18" w:rsidRPr="008A2411">
          <w:rPr>
            <w:rStyle w:val="afffff0"/>
            <w:rFonts w:ascii="Times New Roman"/>
            <w:bCs/>
            <w:noProof/>
            <w:color w:val="000000" w:themeColor="text1"/>
            <w:lang w:bidi="en-US"/>
          </w:rPr>
          <w:t>环境风险识别</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_Toc109170776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195</w:t>
        </w:r>
        <w:r w:rsidR="00E25B18" w:rsidRPr="008A2411">
          <w:rPr>
            <w:noProof/>
            <w:webHidden/>
            <w:color w:val="000000" w:themeColor="text1"/>
          </w:rPr>
          <w:fldChar w:fldCharType="end"/>
        </w:r>
      </w:hyperlink>
    </w:p>
    <w:p w14:paraId="6AB083FB" w14:textId="02B7EC33"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777" w:history="1">
        <w:r w:rsidR="00E25B18" w:rsidRPr="008A2411">
          <w:rPr>
            <w:rStyle w:val="afffff0"/>
            <w:rFonts w:ascii="Times New Roman"/>
            <w:bCs/>
            <w:noProof/>
            <w:color w:val="000000" w:themeColor="text1"/>
            <w:lang w:bidi="en-US"/>
          </w:rPr>
          <w:t>6.6</w:t>
        </w:r>
        <w:r w:rsidR="00E25B18" w:rsidRPr="008A2411">
          <w:rPr>
            <w:rStyle w:val="afffff0"/>
            <w:rFonts w:ascii="Times New Roman"/>
            <w:bCs/>
            <w:noProof/>
            <w:color w:val="000000" w:themeColor="text1"/>
            <w:lang w:bidi="en-US"/>
          </w:rPr>
          <w:t>风险事故情形分析</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_Toc109170777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203</w:t>
        </w:r>
        <w:r w:rsidR="00E25B18" w:rsidRPr="008A2411">
          <w:rPr>
            <w:noProof/>
            <w:webHidden/>
            <w:color w:val="000000" w:themeColor="text1"/>
          </w:rPr>
          <w:fldChar w:fldCharType="end"/>
        </w:r>
      </w:hyperlink>
    </w:p>
    <w:p w14:paraId="10C41CC9" w14:textId="7630BB84"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778" w:history="1">
        <w:r w:rsidR="00E25B18" w:rsidRPr="008A2411">
          <w:rPr>
            <w:rStyle w:val="afffff0"/>
            <w:rFonts w:ascii="Times New Roman"/>
            <w:bCs/>
            <w:noProof/>
            <w:color w:val="000000" w:themeColor="text1"/>
            <w:lang w:bidi="en-US"/>
          </w:rPr>
          <w:t>6.7</w:t>
        </w:r>
        <w:r w:rsidR="00E25B18" w:rsidRPr="008A2411">
          <w:rPr>
            <w:rStyle w:val="afffff0"/>
            <w:rFonts w:ascii="Times New Roman"/>
            <w:bCs/>
            <w:noProof/>
            <w:color w:val="000000" w:themeColor="text1"/>
            <w:lang w:bidi="en-US"/>
          </w:rPr>
          <w:t>大气环境风险预测与评价</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_Toc109170778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208</w:t>
        </w:r>
        <w:r w:rsidR="00E25B18" w:rsidRPr="008A2411">
          <w:rPr>
            <w:noProof/>
            <w:webHidden/>
            <w:color w:val="000000" w:themeColor="text1"/>
          </w:rPr>
          <w:fldChar w:fldCharType="end"/>
        </w:r>
      </w:hyperlink>
    </w:p>
    <w:p w14:paraId="4E911460" w14:textId="1FE620BB"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779" w:history="1">
        <w:r w:rsidR="00E25B18" w:rsidRPr="008A2411">
          <w:rPr>
            <w:rStyle w:val="afffff0"/>
            <w:rFonts w:ascii="Times New Roman"/>
            <w:bCs/>
            <w:noProof/>
            <w:color w:val="000000" w:themeColor="text1"/>
            <w:lang w:bidi="en-US"/>
          </w:rPr>
          <w:t>6.8</w:t>
        </w:r>
        <w:r w:rsidR="00E25B18" w:rsidRPr="008A2411">
          <w:rPr>
            <w:rStyle w:val="afffff0"/>
            <w:rFonts w:ascii="Times New Roman"/>
            <w:bCs/>
            <w:noProof/>
            <w:color w:val="000000" w:themeColor="text1"/>
            <w:lang w:bidi="en-US"/>
          </w:rPr>
          <w:t>地下水环境风险预测与评价</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_Toc109170779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211</w:t>
        </w:r>
        <w:r w:rsidR="00E25B18" w:rsidRPr="008A2411">
          <w:rPr>
            <w:noProof/>
            <w:webHidden/>
            <w:color w:val="000000" w:themeColor="text1"/>
          </w:rPr>
          <w:fldChar w:fldCharType="end"/>
        </w:r>
      </w:hyperlink>
    </w:p>
    <w:p w14:paraId="2EC77A0C" w14:textId="57536FCE"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780" w:history="1">
        <w:r w:rsidR="00E25B18" w:rsidRPr="008A2411">
          <w:rPr>
            <w:rStyle w:val="afffff0"/>
            <w:rFonts w:ascii="Times New Roman"/>
            <w:bCs/>
            <w:noProof/>
            <w:color w:val="000000" w:themeColor="text1"/>
            <w:lang w:bidi="en-US"/>
          </w:rPr>
          <w:t>6.9</w:t>
        </w:r>
        <w:r w:rsidR="00E25B18" w:rsidRPr="008A2411">
          <w:rPr>
            <w:rStyle w:val="afffff0"/>
            <w:rFonts w:ascii="Times New Roman"/>
            <w:bCs/>
            <w:noProof/>
            <w:color w:val="000000" w:themeColor="text1"/>
            <w:lang w:bidi="en-US"/>
          </w:rPr>
          <w:t>地表水环境风险预测与评价</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_Toc109170780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211</w:t>
        </w:r>
        <w:r w:rsidR="00E25B18" w:rsidRPr="008A2411">
          <w:rPr>
            <w:noProof/>
            <w:webHidden/>
            <w:color w:val="000000" w:themeColor="text1"/>
          </w:rPr>
          <w:fldChar w:fldCharType="end"/>
        </w:r>
      </w:hyperlink>
    </w:p>
    <w:p w14:paraId="35A1E9AA" w14:textId="72F01074"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781" w:history="1">
        <w:r w:rsidR="00E25B18" w:rsidRPr="008A2411">
          <w:rPr>
            <w:rStyle w:val="afffff0"/>
            <w:rFonts w:ascii="Times New Roman"/>
            <w:bCs/>
            <w:noProof/>
            <w:color w:val="000000" w:themeColor="text1"/>
            <w:lang w:bidi="en-US"/>
          </w:rPr>
          <w:t>6.10</w:t>
        </w:r>
        <w:r w:rsidR="00E25B18" w:rsidRPr="008A2411">
          <w:rPr>
            <w:rStyle w:val="afffff0"/>
            <w:rFonts w:ascii="Times New Roman"/>
            <w:bCs/>
            <w:noProof/>
            <w:color w:val="000000" w:themeColor="text1"/>
            <w:lang w:bidi="en-US"/>
          </w:rPr>
          <w:t>其他环境风险分析与评价</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_Toc109170781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214</w:t>
        </w:r>
        <w:r w:rsidR="00E25B18" w:rsidRPr="008A2411">
          <w:rPr>
            <w:noProof/>
            <w:webHidden/>
            <w:color w:val="000000" w:themeColor="text1"/>
          </w:rPr>
          <w:fldChar w:fldCharType="end"/>
        </w:r>
      </w:hyperlink>
    </w:p>
    <w:p w14:paraId="1F8DE74A" w14:textId="62C8429B"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782" w:history="1">
        <w:r w:rsidR="00E25B18" w:rsidRPr="008A2411">
          <w:rPr>
            <w:rStyle w:val="afffff0"/>
            <w:rFonts w:ascii="Times New Roman"/>
            <w:bCs/>
            <w:noProof/>
            <w:color w:val="000000" w:themeColor="text1"/>
            <w:lang w:bidi="en-US"/>
          </w:rPr>
          <w:t>6.11</w:t>
        </w:r>
        <w:r w:rsidR="00E25B18" w:rsidRPr="008A2411">
          <w:rPr>
            <w:rStyle w:val="afffff0"/>
            <w:rFonts w:ascii="Times New Roman"/>
            <w:bCs/>
            <w:noProof/>
            <w:color w:val="000000" w:themeColor="text1"/>
            <w:lang w:bidi="en-US"/>
          </w:rPr>
          <w:t>环境风险管理及防范措施</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_Toc109170782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215</w:t>
        </w:r>
        <w:r w:rsidR="00E25B18" w:rsidRPr="008A2411">
          <w:rPr>
            <w:noProof/>
            <w:webHidden/>
            <w:color w:val="000000" w:themeColor="text1"/>
          </w:rPr>
          <w:fldChar w:fldCharType="end"/>
        </w:r>
      </w:hyperlink>
    </w:p>
    <w:p w14:paraId="21EED521" w14:textId="7C48E95D"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783" w:history="1">
        <w:r w:rsidR="00E25B18" w:rsidRPr="008A2411">
          <w:rPr>
            <w:rStyle w:val="afffff0"/>
            <w:rFonts w:ascii="Times New Roman"/>
            <w:bCs/>
            <w:noProof/>
            <w:color w:val="000000" w:themeColor="text1"/>
            <w:lang w:bidi="en-US"/>
          </w:rPr>
          <w:t>6.12</w:t>
        </w:r>
        <w:r w:rsidR="00E25B18" w:rsidRPr="008A2411">
          <w:rPr>
            <w:rStyle w:val="afffff0"/>
            <w:rFonts w:ascii="Times New Roman"/>
            <w:bCs/>
            <w:noProof/>
            <w:color w:val="000000" w:themeColor="text1"/>
            <w:lang w:bidi="en-US"/>
          </w:rPr>
          <w:t>环境风险应急预案</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_Toc109170783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222</w:t>
        </w:r>
        <w:r w:rsidR="00E25B18" w:rsidRPr="008A2411">
          <w:rPr>
            <w:noProof/>
            <w:webHidden/>
            <w:color w:val="000000" w:themeColor="text1"/>
          </w:rPr>
          <w:fldChar w:fldCharType="end"/>
        </w:r>
      </w:hyperlink>
    </w:p>
    <w:p w14:paraId="62732542" w14:textId="33E1BDD9"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784" w:history="1">
        <w:r w:rsidR="00E25B18" w:rsidRPr="008A2411">
          <w:rPr>
            <w:rStyle w:val="afffff0"/>
            <w:rFonts w:ascii="Times New Roman"/>
            <w:bCs/>
            <w:noProof/>
            <w:color w:val="000000" w:themeColor="text1"/>
            <w:lang w:bidi="en-US"/>
          </w:rPr>
          <w:t>6.13</w:t>
        </w:r>
        <w:r w:rsidR="00E25B18" w:rsidRPr="008A2411">
          <w:rPr>
            <w:rStyle w:val="afffff0"/>
            <w:rFonts w:ascii="Times New Roman"/>
            <w:bCs/>
            <w:noProof/>
            <w:color w:val="000000" w:themeColor="text1"/>
            <w:lang w:bidi="en-US"/>
          </w:rPr>
          <w:t>环境风险评价结论与建议</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_Toc109170784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224</w:t>
        </w:r>
        <w:r w:rsidR="00E25B18" w:rsidRPr="008A2411">
          <w:rPr>
            <w:noProof/>
            <w:webHidden/>
            <w:color w:val="000000" w:themeColor="text1"/>
          </w:rPr>
          <w:fldChar w:fldCharType="end"/>
        </w:r>
      </w:hyperlink>
    </w:p>
    <w:p w14:paraId="76693FBF" w14:textId="1C709946" w:rsidR="00E25B18" w:rsidRPr="008A2411" w:rsidRDefault="00000000">
      <w:pPr>
        <w:pStyle w:val="TOC1"/>
        <w:tabs>
          <w:tab w:val="right" w:leader="dot" w:pos="8302"/>
        </w:tabs>
        <w:rPr>
          <w:rFonts w:asciiTheme="minorHAnsi" w:eastAsiaTheme="minorEastAsia" w:hAnsiTheme="minorHAnsi" w:cstheme="minorBidi"/>
          <w:b w:val="0"/>
          <w:bCs w:val="0"/>
          <w:caps w:val="0"/>
          <w:noProof/>
          <w:color w:val="000000" w:themeColor="text1"/>
          <w:kern w:val="2"/>
          <w:sz w:val="21"/>
          <w:szCs w:val="22"/>
        </w:rPr>
      </w:pPr>
      <w:hyperlink w:anchor="_Toc109170785" w:history="1">
        <w:r w:rsidR="00E25B18" w:rsidRPr="008A2411">
          <w:rPr>
            <w:rStyle w:val="afffff0"/>
            <w:rFonts w:ascii="Times New Roman"/>
            <w:noProof/>
            <w:color w:val="000000" w:themeColor="text1"/>
          </w:rPr>
          <w:t>第七章</w:t>
        </w:r>
        <w:r w:rsidR="00E25B18" w:rsidRPr="008A2411">
          <w:rPr>
            <w:rStyle w:val="afffff0"/>
            <w:rFonts w:ascii="Times New Roman"/>
            <w:noProof/>
            <w:color w:val="000000" w:themeColor="text1"/>
          </w:rPr>
          <w:t xml:space="preserve"> </w:t>
        </w:r>
        <w:r w:rsidR="00E25B18" w:rsidRPr="008A2411">
          <w:rPr>
            <w:rStyle w:val="afffff0"/>
            <w:rFonts w:ascii="Times New Roman"/>
            <w:noProof/>
            <w:color w:val="000000" w:themeColor="text1"/>
          </w:rPr>
          <w:t>环境保护措施及其可行性论证</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_Toc109170785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225</w:t>
        </w:r>
        <w:r w:rsidR="00E25B18" w:rsidRPr="008A2411">
          <w:rPr>
            <w:noProof/>
            <w:webHidden/>
            <w:color w:val="000000" w:themeColor="text1"/>
          </w:rPr>
          <w:fldChar w:fldCharType="end"/>
        </w:r>
      </w:hyperlink>
    </w:p>
    <w:p w14:paraId="3EBF7C5F" w14:textId="022A0F29"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787" w:history="1">
        <w:r w:rsidR="00E25B18" w:rsidRPr="008A2411">
          <w:rPr>
            <w:rStyle w:val="afffff0"/>
            <w:rFonts w:ascii="Times New Roman" w:hAnsi="Times New Roman"/>
            <w:bCs/>
            <w:noProof/>
            <w:color w:val="000000" w:themeColor="text1"/>
            <w:lang w:bidi="en-US"/>
          </w:rPr>
          <w:t xml:space="preserve">7.1 </w:t>
        </w:r>
        <w:r w:rsidR="00E25B18" w:rsidRPr="008A2411">
          <w:rPr>
            <w:rStyle w:val="afffff0"/>
            <w:rFonts w:ascii="Times New Roman" w:hAnsi="Times New Roman"/>
            <w:bCs/>
            <w:noProof/>
            <w:color w:val="000000" w:themeColor="text1"/>
            <w:lang w:bidi="en-US"/>
          </w:rPr>
          <w:t>大气污染防治措施</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_Toc109170787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225</w:t>
        </w:r>
        <w:r w:rsidR="00E25B18" w:rsidRPr="008A2411">
          <w:rPr>
            <w:noProof/>
            <w:webHidden/>
            <w:color w:val="000000" w:themeColor="text1"/>
          </w:rPr>
          <w:fldChar w:fldCharType="end"/>
        </w:r>
      </w:hyperlink>
    </w:p>
    <w:p w14:paraId="53131743" w14:textId="2F63FE72"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788" w:history="1">
        <w:r w:rsidR="00E25B18" w:rsidRPr="008A2411">
          <w:rPr>
            <w:rStyle w:val="afffff0"/>
            <w:rFonts w:ascii="Times New Roman" w:hAnsi="Times New Roman"/>
            <w:bCs/>
            <w:noProof/>
            <w:color w:val="000000" w:themeColor="text1"/>
            <w:lang w:bidi="en-US"/>
          </w:rPr>
          <w:t xml:space="preserve">7.2 </w:t>
        </w:r>
        <w:r w:rsidR="00E25B18" w:rsidRPr="008A2411">
          <w:rPr>
            <w:rStyle w:val="afffff0"/>
            <w:rFonts w:ascii="Times New Roman" w:hAnsi="Times New Roman"/>
            <w:bCs/>
            <w:noProof/>
            <w:color w:val="000000" w:themeColor="text1"/>
            <w:lang w:bidi="en-US"/>
          </w:rPr>
          <w:t>废水污染防治措施</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_Toc109170788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227</w:t>
        </w:r>
        <w:r w:rsidR="00E25B18" w:rsidRPr="008A2411">
          <w:rPr>
            <w:noProof/>
            <w:webHidden/>
            <w:color w:val="000000" w:themeColor="text1"/>
          </w:rPr>
          <w:fldChar w:fldCharType="end"/>
        </w:r>
      </w:hyperlink>
    </w:p>
    <w:p w14:paraId="1E703B82" w14:textId="6CB01BDE"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789" w:history="1">
        <w:r w:rsidR="00E25B18" w:rsidRPr="008A2411">
          <w:rPr>
            <w:rStyle w:val="afffff0"/>
            <w:rFonts w:ascii="Times New Roman" w:hAnsi="Times New Roman"/>
            <w:bCs/>
            <w:noProof/>
            <w:color w:val="000000" w:themeColor="text1"/>
            <w:lang w:bidi="en-US"/>
          </w:rPr>
          <w:t xml:space="preserve">7.3 </w:t>
        </w:r>
        <w:r w:rsidR="00E25B18" w:rsidRPr="008A2411">
          <w:rPr>
            <w:rStyle w:val="afffff0"/>
            <w:rFonts w:ascii="Times New Roman" w:hAnsi="Times New Roman"/>
            <w:bCs/>
            <w:noProof/>
            <w:color w:val="000000" w:themeColor="text1"/>
            <w:lang w:bidi="en-US"/>
          </w:rPr>
          <w:t>噪声污染防治措施</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_Toc109170789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234</w:t>
        </w:r>
        <w:r w:rsidR="00E25B18" w:rsidRPr="008A2411">
          <w:rPr>
            <w:noProof/>
            <w:webHidden/>
            <w:color w:val="000000" w:themeColor="text1"/>
          </w:rPr>
          <w:fldChar w:fldCharType="end"/>
        </w:r>
      </w:hyperlink>
    </w:p>
    <w:p w14:paraId="52A7BFB8" w14:textId="539F7989"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790" w:history="1">
        <w:r w:rsidR="00E25B18" w:rsidRPr="008A2411">
          <w:rPr>
            <w:rStyle w:val="afffff0"/>
            <w:rFonts w:ascii="Times New Roman" w:hAnsi="Times New Roman"/>
            <w:bCs/>
            <w:noProof/>
            <w:color w:val="000000" w:themeColor="text1"/>
            <w:lang w:bidi="en-US"/>
          </w:rPr>
          <w:t xml:space="preserve">7.4 </w:t>
        </w:r>
        <w:r w:rsidR="00E25B18" w:rsidRPr="008A2411">
          <w:rPr>
            <w:rStyle w:val="afffff0"/>
            <w:rFonts w:ascii="Times New Roman" w:hAnsi="Times New Roman"/>
            <w:bCs/>
            <w:noProof/>
            <w:color w:val="000000" w:themeColor="text1"/>
            <w:lang w:bidi="en-US"/>
          </w:rPr>
          <w:t>固体废物污染防治措施</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_Toc109170790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235</w:t>
        </w:r>
        <w:r w:rsidR="00E25B18" w:rsidRPr="008A2411">
          <w:rPr>
            <w:noProof/>
            <w:webHidden/>
            <w:color w:val="000000" w:themeColor="text1"/>
          </w:rPr>
          <w:fldChar w:fldCharType="end"/>
        </w:r>
      </w:hyperlink>
    </w:p>
    <w:p w14:paraId="0872D95A" w14:textId="1979EAB6"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791" w:history="1">
        <w:r w:rsidR="00E25B18" w:rsidRPr="008A2411">
          <w:rPr>
            <w:rStyle w:val="afffff0"/>
            <w:rFonts w:ascii="Times New Roman" w:hAnsi="Times New Roman"/>
            <w:bCs/>
            <w:noProof/>
            <w:color w:val="000000" w:themeColor="text1"/>
            <w:lang w:bidi="en-US"/>
          </w:rPr>
          <w:t xml:space="preserve">7.5 </w:t>
        </w:r>
        <w:r w:rsidR="00E25B18" w:rsidRPr="008A2411">
          <w:rPr>
            <w:rStyle w:val="afffff0"/>
            <w:rFonts w:ascii="Times New Roman" w:hAnsi="Times New Roman"/>
            <w:bCs/>
            <w:noProof/>
            <w:color w:val="000000" w:themeColor="text1"/>
            <w:lang w:bidi="en-US"/>
          </w:rPr>
          <w:t>地下水环境保护措施</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_Toc109170791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237</w:t>
        </w:r>
        <w:r w:rsidR="00E25B18" w:rsidRPr="008A2411">
          <w:rPr>
            <w:noProof/>
            <w:webHidden/>
            <w:color w:val="000000" w:themeColor="text1"/>
          </w:rPr>
          <w:fldChar w:fldCharType="end"/>
        </w:r>
      </w:hyperlink>
    </w:p>
    <w:p w14:paraId="39090D90" w14:textId="0449F7A8"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792" w:history="1">
        <w:r w:rsidR="00E25B18" w:rsidRPr="008A2411">
          <w:rPr>
            <w:rStyle w:val="afffff0"/>
            <w:rFonts w:ascii="Times New Roman" w:hAnsi="Times New Roman"/>
            <w:noProof/>
            <w:color w:val="000000" w:themeColor="text1"/>
            <w:lang w:bidi="en-US"/>
          </w:rPr>
          <w:t>7.6</w:t>
        </w:r>
        <w:r w:rsidR="00E25B18" w:rsidRPr="008A2411">
          <w:rPr>
            <w:rStyle w:val="afffff0"/>
            <w:rFonts w:ascii="Times New Roman" w:hAnsi="Times New Roman"/>
            <w:noProof/>
            <w:color w:val="000000" w:themeColor="text1"/>
            <w:lang w:bidi="en-US"/>
          </w:rPr>
          <w:t>生态保护措施</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_Toc109170792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238</w:t>
        </w:r>
        <w:r w:rsidR="00E25B18" w:rsidRPr="008A2411">
          <w:rPr>
            <w:noProof/>
            <w:webHidden/>
            <w:color w:val="000000" w:themeColor="text1"/>
          </w:rPr>
          <w:fldChar w:fldCharType="end"/>
        </w:r>
      </w:hyperlink>
    </w:p>
    <w:p w14:paraId="2B5A2C2C" w14:textId="591DA112"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793" w:history="1">
        <w:r w:rsidR="00E25B18" w:rsidRPr="008A2411">
          <w:rPr>
            <w:rStyle w:val="afffff0"/>
            <w:rFonts w:ascii="Times New Roman" w:hAnsi="Times New Roman"/>
            <w:noProof/>
            <w:color w:val="000000" w:themeColor="text1"/>
            <w:lang w:bidi="en-US"/>
          </w:rPr>
          <w:t>7.7</w:t>
        </w:r>
        <w:r w:rsidR="00E25B18" w:rsidRPr="008A2411">
          <w:rPr>
            <w:rStyle w:val="afffff0"/>
            <w:rFonts w:ascii="Times New Roman" w:hAnsi="Times New Roman"/>
            <w:noProof/>
            <w:color w:val="000000" w:themeColor="text1"/>
            <w:lang w:bidi="en-US"/>
          </w:rPr>
          <w:t>环境风险防范措施及应急措施</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_Toc109170793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238</w:t>
        </w:r>
        <w:r w:rsidR="00E25B18" w:rsidRPr="008A2411">
          <w:rPr>
            <w:noProof/>
            <w:webHidden/>
            <w:color w:val="000000" w:themeColor="text1"/>
          </w:rPr>
          <w:fldChar w:fldCharType="end"/>
        </w:r>
      </w:hyperlink>
    </w:p>
    <w:p w14:paraId="3D5D6C2D" w14:textId="374D4D08"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794" w:history="1">
        <w:r w:rsidR="00E25B18" w:rsidRPr="008A2411">
          <w:rPr>
            <w:rStyle w:val="afffff0"/>
            <w:rFonts w:ascii="Times New Roman" w:hAnsi="Times New Roman"/>
            <w:noProof/>
            <w:color w:val="000000" w:themeColor="text1"/>
            <w:lang w:bidi="en-US"/>
          </w:rPr>
          <w:t>7.8</w:t>
        </w:r>
        <w:r w:rsidR="00E25B18" w:rsidRPr="008A2411">
          <w:rPr>
            <w:rStyle w:val="afffff0"/>
            <w:rFonts w:ascii="Times New Roman" w:hAnsi="Times New Roman"/>
            <w:noProof/>
            <w:color w:val="000000" w:themeColor="text1"/>
            <w:lang w:bidi="en-US"/>
          </w:rPr>
          <w:t>环保投资</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_Toc109170794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239</w:t>
        </w:r>
        <w:r w:rsidR="00E25B18" w:rsidRPr="008A2411">
          <w:rPr>
            <w:noProof/>
            <w:webHidden/>
            <w:color w:val="000000" w:themeColor="text1"/>
          </w:rPr>
          <w:fldChar w:fldCharType="end"/>
        </w:r>
      </w:hyperlink>
    </w:p>
    <w:p w14:paraId="440BCC2B" w14:textId="7196F019" w:rsidR="00E25B18" w:rsidRPr="008A2411" w:rsidRDefault="00000000">
      <w:pPr>
        <w:pStyle w:val="TOC1"/>
        <w:tabs>
          <w:tab w:val="right" w:leader="dot" w:pos="8302"/>
        </w:tabs>
        <w:rPr>
          <w:rFonts w:asciiTheme="minorHAnsi" w:eastAsiaTheme="minorEastAsia" w:hAnsiTheme="minorHAnsi" w:cstheme="minorBidi"/>
          <w:b w:val="0"/>
          <w:bCs w:val="0"/>
          <w:caps w:val="0"/>
          <w:noProof/>
          <w:color w:val="000000" w:themeColor="text1"/>
          <w:kern w:val="2"/>
          <w:sz w:val="21"/>
          <w:szCs w:val="22"/>
        </w:rPr>
      </w:pPr>
      <w:hyperlink w:anchor="_Toc109170795" w:history="1">
        <w:r w:rsidR="00E25B18" w:rsidRPr="008A2411">
          <w:rPr>
            <w:rStyle w:val="afffff0"/>
            <w:rFonts w:ascii="Times New Roman"/>
            <w:noProof/>
            <w:color w:val="000000" w:themeColor="text1"/>
          </w:rPr>
          <w:t>第八章</w:t>
        </w:r>
        <w:r w:rsidR="00E25B18" w:rsidRPr="008A2411">
          <w:rPr>
            <w:rStyle w:val="afffff0"/>
            <w:rFonts w:ascii="Times New Roman"/>
            <w:noProof/>
            <w:color w:val="000000" w:themeColor="text1"/>
          </w:rPr>
          <w:t xml:space="preserve">  </w:t>
        </w:r>
        <w:r w:rsidR="00E25B18" w:rsidRPr="008A2411">
          <w:rPr>
            <w:rStyle w:val="afffff0"/>
            <w:rFonts w:ascii="Times New Roman"/>
            <w:noProof/>
            <w:color w:val="000000" w:themeColor="text1"/>
          </w:rPr>
          <w:t>环境影响经济损益分析</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_Toc109170795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242</w:t>
        </w:r>
        <w:r w:rsidR="00E25B18" w:rsidRPr="008A2411">
          <w:rPr>
            <w:noProof/>
            <w:webHidden/>
            <w:color w:val="000000" w:themeColor="text1"/>
          </w:rPr>
          <w:fldChar w:fldCharType="end"/>
        </w:r>
      </w:hyperlink>
    </w:p>
    <w:p w14:paraId="13A474F3" w14:textId="16CD0839"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797" w:history="1">
        <w:r w:rsidR="00E25B18" w:rsidRPr="008A2411">
          <w:rPr>
            <w:rStyle w:val="afffff0"/>
            <w:rFonts w:ascii="Times New Roman" w:hAnsi="Times New Roman"/>
            <w:noProof/>
            <w:color w:val="000000" w:themeColor="text1"/>
            <w:lang w:bidi="en-US"/>
          </w:rPr>
          <w:t>8.1</w:t>
        </w:r>
        <w:r w:rsidR="00E25B18" w:rsidRPr="008A2411">
          <w:rPr>
            <w:rStyle w:val="afffff0"/>
            <w:rFonts w:ascii="Times New Roman" w:hAnsi="Times New Roman"/>
            <w:noProof/>
            <w:color w:val="000000" w:themeColor="text1"/>
            <w:lang w:bidi="en-US"/>
          </w:rPr>
          <w:t>项目经济效益分析</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_Toc109170797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242</w:t>
        </w:r>
        <w:r w:rsidR="00E25B18" w:rsidRPr="008A2411">
          <w:rPr>
            <w:noProof/>
            <w:webHidden/>
            <w:color w:val="000000" w:themeColor="text1"/>
          </w:rPr>
          <w:fldChar w:fldCharType="end"/>
        </w:r>
      </w:hyperlink>
    </w:p>
    <w:p w14:paraId="27275443" w14:textId="59B9EA06"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798" w:history="1">
        <w:r w:rsidR="00E25B18" w:rsidRPr="008A2411">
          <w:rPr>
            <w:rStyle w:val="afffff0"/>
            <w:rFonts w:ascii="Times New Roman" w:hAnsi="Times New Roman"/>
            <w:noProof/>
            <w:color w:val="000000" w:themeColor="text1"/>
            <w:lang w:bidi="en-US"/>
          </w:rPr>
          <w:t>8.2</w:t>
        </w:r>
        <w:r w:rsidR="00E25B18" w:rsidRPr="008A2411">
          <w:rPr>
            <w:rStyle w:val="afffff0"/>
            <w:rFonts w:ascii="Times New Roman" w:hAnsi="Times New Roman"/>
            <w:noProof/>
            <w:color w:val="000000" w:themeColor="text1"/>
            <w:lang w:bidi="en-US"/>
          </w:rPr>
          <w:t>项目环境效益分析</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_Toc109170798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242</w:t>
        </w:r>
        <w:r w:rsidR="00E25B18" w:rsidRPr="008A2411">
          <w:rPr>
            <w:noProof/>
            <w:webHidden/>
            <w:color w:val="000000" w:themeColor="text1"/>
          </w:rPr>
          <w:fldChar w:fldCharType="end"/>
        </w:r>
      </w:hyperlink>
    </w:p>
    <w:p w14:paraId="2AD85AD8" w14:textId="48EFF5D1"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799" w:history="1">
        <w:r w:rsidR="00E25B18" w:rsidRPr="008A2411">
          <w:rPr>
            <w:rStyle w:val="afffff0"/>
            <w:rFonts w:ascii="Times New Roman" w:hAnsi="Times New Roman"/>
            <w:noProof/>
            <w:color w:val="000000" w:themeColor="text1"/>
            <w:lang w:bidi="en-US"/>
          </w:rPr>
          <w:t>8.3</w:t>
        </w:r>
        <w:r w:rsidR="00E25B18" w:rsidRPr="008A2411">
          <w:rPr>
            <w:rStyle w:val="afffff0"/>
            <w:rFonts w:ascii="Times New Roman" w:hAnsi="Times New Roman"/>
            <w:noProof/>
            <w:color w:val="000000" w:themeColor="text1"/>
            <w:lang w:bidi="en-US"/>
          </w:rPr>
          <w:t>环境经济损益分析</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_Toc109170799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242</w:t>
        </w:r>
        <w:r w:rsidR="00E25B18" w:rsidRPr="008A2411">
          <w:rPr>
            <w:noProof/>
            <w:webHidden/>
            <w:color w:val="000000" w:themeColor="text1"/>
          </w:rPr>
          <w:fldChar w:fldCharType="end"/>
        </w:r>
      </w:hyperlink>
    </w:p>
    <w:p w14:paraId="4921D567" w14:textId="4238F1D9"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800" w:history="1">
        <w:r w:rsidR="00E25B18" w:rsidRPr="008A2411">
          <w:rPr>
            <w:rStyle w:val="afffff0"/>
            <w:rFonts w:ascii="Times New Roman" w:hAnsi="Times New Roman"/>
            <w:noProof/>
            <w:color w:val="000000" w:themeColor="text1"/>
            <w:lang w:bidi="en-US"/>
          </w:rPr>
          <w:t>8.4</w:t>
        </w:r>
        <w:r w:rsidR="00E25B18" w:rsidRPr="008A2411">
          <w:rPr>
            <w:rStyle w:val="afffff0"/>
            <w:rFonts w:ascii="Times New Roman" w:hAnsi="Times New Roman"/>
            <w:noProof/>
            <w:color w:val="000000" w:themeColor="text1"/>
            <w:lang w:bidi="en-US"/>
          </w:rPr>
          <w:t>项目社会效益分析</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_Toc109170800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242</w:t>
        </w:r>
        <w:r w:rsidR="00E25B18" w:rsidRPr="008A2411">
          <w:rPr>
            <w:noProof/>
            <w:webHidden/>
            <w:color w:val="000000" w:themeColor="text1"/>
          </w:rPr>
          <w:fldChar w:fldCharType="end"/>
        </w:r>
      </w:hyperlink>
    </w:p>
    <w:p w14:paraId="3204AE74" w14:textId="0B8EB5CF"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801" w:history="1">
        <w:r w:rsidR="00E25B18" w:rsidRPr="008A2411">
          <w:rPr>
            <w:rStyle w:val="afffff0"/>
            <w:rFonts w:ascii="Times New Roman" w:hAnsi="Times New Roman"/>
            <w:noProof/>
            <w:color w:val="000000" w:themeColor="text1"/>
            <w:lang w:bidi="en-US"/>
          </w:rPr>
          <w:t>8.5</w:t>
        </w:r>
        <w:r w:rsidR="00E25B18" w:rsidRPr="008A2411">
          <w:rPr>
            <w:rStyle w:val="afffff0"/>
            <w:rFonts w:ascii="Times New Roman" w:hAnsi="Times New Roman"/>
            <w:noProof/>
            <w:color w:val="000000" w:themeColor="text1"/>
            <w:lang w:bidi="en-US"/>
          </w:rPr>
          <w:t>小结</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_Toc109170801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243</w:t>
        </w:r>
        <w:r w:rsidR="00E25B18" w:rsidRPr="008A2411">
          <w:rPr>
            <w:noProof/>
            <w:webHidden/>
            <w:color w:val="000000" w:themeColor="text1"/>
          </w:rPr>
          <w:fldChar w:fldCharType="end"/>
        </w:r>
      </w:hyperlink>
    </w:p>
    <w:p w14:paraId="78A57067" w14:textId="7397F5E7" w:rsidR="00E25B18" w:rsidRPr="008A2411" w:rsidRDefault="00000000">
      <w:pPr>
        <w:pStyle w:val="TOC1"/>
        <w:tabs>
          <w:tab w:val="right" w:leader="dot" w:pos="8302"/>
        </w:tabs>
        <w:rPr>
          <w:rFonts w:asciiTheme="minorHAnsi" w:eastAsiaTheme="minorEastAsia" w:hAnsiTheme="minorHAnsi" w:cstheme="minorBidi"/>
          <w:b w:val="0"/>
          <w:bCs w:val="0"/>
          <w:caps w:val="0"/>
          <w:noProof/>
          <w:color w:val="000000" w:themeColor="text1"/>
          <w:kern w:val="2"/>
          <w:sz w:val="21"/>
          <w:szCs w:val="22"/>
        </w:rPr>
      </w:pPr>
      <w:hyperlink w:anchor="_Toc109170802" w:history="1">
        <w:r w:rsidR="00E25B18" w:rsidRPr="008A2411">
          <w:rPr>
            <w:rStyle w:val="afffff0"/>
            <w:rFonts w:ascii="Times New Roman"/>
            <w:noProof/>
            <w:color w:val="000000" w:themeColor="text1"/>
            <w:kern w:val="44"/>
          </w:rPr>
          <w:t>第九章</w:t>
        </w:r>
        <w:r w:rsidR="00E25B18" w:rsidRPr="008A2411">
          <w:rPr>
            <w:rStyle w:val="afffff0"/>
            <w:rFonts w:ascii="Times New Roman"/>
            <w:noProof/>
            <w:color w:val="000000" w:themeColor="text1"/>
            <w:kern w:val="44"/>
          </w:rPr>
          <w:t xml:space="preserve">  </w:t>
        </w:r>
        <w:r w:rsidR="00E25B18" w:rsidRPr="008A2411">
          <w:rPr>
            <w:rStyle w:val="afffff0"/>
            <w:rFonts w:ascii="Times New Roman"/>
            <w:noProof/>
            <w:color w:val="000000" w:themeColor="text1"/>
            <w:kern w:val="44"/>
          </w:rPr>
          <w:t>环境管理与监测计划</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_Toc109170802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244</w:t>
        </w:r>
        <w:r w:rsidR="00E25B18" w:rsidRPr="008A2411">
          <w:rPr>
            <w:noProof/>
            <w:webHidden/>
            <w:color w:val="000000" w:themeColor="text1"/>
          </w:rPr>
          <w:fldChar w:fldCharType="end"/>
        </w:r>
      </w:hyperlink>
    </w:p>
    <w:p w14:paraId="7DD61E91" w14:textId="4681625C"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803" w:history="1">
        <w:r w:rsidR="00E25B18" w:rsidRPr="008A2411">
          <w:rPr>
            <w:rStyle w:val="afffff0"/>
            <w:rFonts w:ascii="Times New Roman" w:hAnsi="Times New Roman"/>
            <w:noProof/>
            <w:color w:val="000000" w:themeColor="text1"/>
            <w:lang w:bidi="en-US"/>
          </w:rPr>
          <w:t>9.1</w:t>
        </w:r>
        <w:r w:rsidR="00E25B18" w:rsidRPr="008A2411">
          <w:rPr>
            <w:rStyle w:val="afffff0"/>
            <w:rFonts w:ascii="Times New Roman" w:hAnsi="Times New Roman"/>
            <w:noProof/>
            <w:color w:val="000000" w:themeColor="text1"/>
            <w:lang w:bidi="en-US"/>
          </w:rPr>
          <w:t>建立</w:t>
        </w:r>
        <w:r w:rsidR="00E25B18" w:rsidRPr="008A2411">
          <w:rPr>
            <w:rStyle w:val="afffff0"/>
            <w:rFonts w:ascii="Times New Roman" w:hAnsi="Times New Roman"/>
            <w:noProof/>
            <w:color w:val="000000" w:themeColor="text1"/>
            <w:lang w:bidi="en-US"/>
          </w:rPr>
          <w:t>HSE</w:t>
        </w:r>
        <w:r w:rsidR="00E25B18" w:rsidRPr="008A2411">
          <w:rPr>
            <w:rStyle w:val="afffff0"/>
            <w:rFonts w:ascii="Times New Roman" w:hAnsi="Times New Roman"/>
            <w:noProof/>
            <w:color w:val="000000" w:themeColor="text1"/>
            <w:lang w:bidi="en-US"/>
          </w:rPr>
          <w:t>管理体系</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_Toc109170803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244</w:t>
        </w:r>
        <w:r w:rsidR="00E25B18" w:rsidRPr="008A2411">
          <w:rPr>
            <w:noProof/>
            <w:webHidden/>
            <w:color w:val="000000" w:themeColor="text1"/>
          </w:rPr>
          <w:fldChar w:fldCharType="end"/>
        </w:r>
      </w:hyperlink>
    </w:p>
    <w:p w14:paraId="1A5FAA52" w14:textId="651739D5"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804" w:history="1">
        <w:r w:rsidR="00E25B18" w:rsidRPr="008A2411">
          <w:rPr>
            <w:rStyle w:val="afffff0"/>
            <w:rFonts w:ascii="Times New Roman" w:hAnsi="Times New Roman"/>
            <w:noProof/>
            <w:color w:val="000000" w:themeColor="text1"/>
            <w:lang w:bidi="en-US"/>
          </w:rPr>
          <w:t>9.2</w:t>
        </w:r>
        <w:r w:rsidR="00E25B18" w:rsidRPr="008A2411">
          <w:rPr>
            <w:rStyle w:val="afffff0"/>
            <w:rFonts w:ascii="Times New Roman" w:hAnsi="Times New Roman"/>
            <w:noProof/>
            <w:color w:val="000000" w:themeColor="text1"/>
            <w:lang w:bidi="en-US"/>
          </w:rPr>
          <w:t>施工期的</w:t>
        </w:r>
        <w:r w:rsidR="00E25B18" w:rsidRPr="008A2411">
          <w:rPr>
            <w:rStyle w:val="afffff0"/>
            <w:rFonts w:ascii="Times New Roman" w:hAnsi="Times New Roman"/>
            <w:noProof/>
            <w:color w:val="000000" w:themeColor="text1"/>
            <w:lang w:bidi="en-US"/>
          </w:rPr>
          <w:t>HSE</w:t>
        </w:r>
        <w:r w:rsidR="00E25B18" w:rsidRPr="008A2411">
          <w:rPr>
            <w:rStyle w:val="afffff0"/>
            <w:rFonts w:ascii="Times New Roman" w:hAnsi="Times New Roman"/>
            <w:noProof/>
            <w:color w:val="000000" w:themeColor="text1"/>
            <w:lang w:bidi="en-US"/>
          </w:rPr>
          <w:t>管理</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_Toc109170804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245</w:t>
        </w:r>
        <w:r w:rsidR="00E25B18" w:rsidRPr="008A2411">
          <w:rPr>
            <w:noProof/>
            <w:webHidden/>
            <w:color w:val="000000" w:themeColor="text1"/>
          </w:rPr>
          <w:fldChar w:fldCharType="end"/>
        </w:r>
      </w:hyperlink>
    </w:p>
    <w:p w14:paraId="6315D930" w14:textId="2C8B3523"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805" w:history="1">
        <w:r w:rsidR="00E25B18" w:rsidRPr="008A2411">
          <w:rPr>
            <w:rStyle w:val="afffff0"/>
            <w:rFonts w:ascii="Times New Roman" w:hAnsi="Times New Roman"/>
            <w:noProof/>
            <w:color w:val="000000" w:themeColor="text1"/>
            <w:lang w:bidi="en-US"/>
          </w:rPr>
          <w:t>9.3</w:t>
        </w:r>
        <w:r w:rsidR="00E25B18" w:rsidRPr="008A2411">
          <w:rPr>
            <w:rStyle w:val="afffff0"/>
            <w:rFonts w:ascii="Times New Roman" w:hAnsi="Times New Roman"/>
            <w:noProof/>
            <w:color w:val="000000" w:themeColor="text1"/>
            <w:lang w:bidi="en-US"/>
          </w:rPr>
          <w:t>运营期的环境管理</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_Toc109170805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247</w:t>
        </w:r>
        <w:r w:rsidR="00E25B18" w:rsidRPr="008A2411">
          <w:rPr>
            <w:noProof/>
            <w:webHidden/>
            <w:color w:val="000000" w:themeColor="text1"/>
          </w:rPr>
          <w:fldChar w:fldCharType="end"/>
        </w:r>
      </w:hyperlink>
    </w:p>
    <w:p w14:paraId="5839F8A1" w14:textId="66B31C4C"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806" w:history="1">
        <w:r w:rsidR="00E25B18" w:rsidRPr="008A2411">
          <w:rPr>
            <w:rStyle w:val="afffff0"/>
            <w:rFonts w:ascii="Times New Roman" w:hAnsi="Times New Roman"/>
            <w:noProof/>
            <w:color w:val="000000" w:themeColor="text1"/>
            <w:lang w:bidi="en-US"/>
          </w:rPr>
          <w:t>9.5</w:t>
        </w:r>
        <w:r w:rsidR="00E25B18" w:rsidRPr="008A2411">
          <w:rPr>
            <w:rStyle w:val="afffff0"/>
            <w:rFonts w:ascii="Times New Roman" w:hAnsi="Times New Roman"/>
            <w:noProof/>
            <w:color w:val="000000" w:themeColor="text1"/>
            <w:lang w:bidi="en-US"/>
          </w:rPr>
          <w:t>环境监测计划</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_Toc109170806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249</w:t>
        </w:r>
        <w:r w:rsidR="00E25B18" w:rsidRPr="008A2411">
          <w:rPr>
            <w:noProof/>
            <w:webHidden/>
            <w:color w:val="000000" w:themeColor="text1"/>
          </w:rPr>
          <w:fldChar w:fldCharType="end"/>
        </w:r>
      </w:hyperlink>
    </w:p>
    <w:p w14:paraId="43040B6F" w14:textId="4FA022EE"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807" w:history="1">
        <w:r w:rsidR="00E25B18" w:rsidRPr="008A2411">
          <w:rPr>
            <w:rStyle w:val="afffff0"/>
            <w:rFonts w:ascii="Times New Roman" w:hAnsi="Times New Roman"/>
            <w:noProof/>
            <w:color w:val="000000" w:themeColor="text1"/>
            <w:lang w:bidi="en-US"/>
          </w:rPr>
          <w:t>9.6</w:t>
        </w:r>
        <w:r w:rsidR="00E25B18" w:rsidRPr="008A2411">
          <w:rPr>
            <w:rStyle w:val="afffff0"/>
            <w:rFonts w:ascii="Times New Roman" w:hAnsi="Times New Roman"/>
            <w:noProof/>
            <w:color w:val="000000" w:themeColor="text1"/>
            <w:lang w:bidi="en-US"/>
          </w:rPr>
          <w:t>竣工环境保护验收</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_Toc109170807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252</w:t>
        </w:r>
        <w:r w:rsidR="00E25B18" w:rsidRPr="008A2411">
          <w:rPr>
            <w:noProof/>
            <w:webHidden/>
            <w:color w:val="000000" w:themeColor="text1"/>
          </w:rPr>
          <w:fldChar w:fldCharType="end"/>
        </w:r>
      </w:hyperlink>
    </w:p>
    <w:p w14:paraId="0D377E17" w14:textId="4BB4C990" w:rsidR="00E25B18" w:rsidRPr="008A2411" w:rsidRDefault="00000000">
      <w:pPr>
        <w:pStyle w:val="TOC1"/>
        <w:tabs>
          <w:tab w:val="right" w:leader="dot" w:pos="8302"/>
        </w:tabs>
        <w:rPr>
          <w:rFonts w:asciiTheme="minorHAnsi" w:eastAsiaTheme="minorEastAsia" w:hAnsiTheme="minorHAnsi" w:cstheme="minorBidi"/>
          <w:b w:val="0"/>
          <w:bCs w:val="0"/>
          <w:caps w:val="0"/>
          <w:noProof/>
          <w:color w:val="000000" w:themeColor="text1"/>
          <w:kern w:val="2"/>
          <w:sz w:val="21"/>
          <w:szCs w:val="22"/>
        </w:rPr>
      </w:pPr>
      <w:hyperlink w:anchor="_Toc109170808" w:history="1">
        <w:r w:rsidR="00E25B18" w:rsidRPr="008A2411">
          <w:rPr>
            <w:rStyle w:val="afffff0"/>
            <w:rFonts w:ascii="Times New Roman"/>
            <w:noProof/>
            <w:color w:val="000000" w:themeColor="text1"/>
          </w:rPr>
          <w:t>第十章</w:t>
        </w:r>
        <w:r w:rsidR="00E25B18" w:rsidRPr="008A2411">
          <w:rPr>
            <w:rStyle w:val="afffff0"/>
            <w:rFonts w:ascii="Times New Roman"/>
            <w:noProof/>
            <w:color w:val="000000" w:themeColor="text1"/>
          </w:rPr>
          <w:t xml:space="preserve"> </w:t>
        </w:r>
        <w:r w:rsidR="00E25B18" w:rsidRPr="008A2411">
          <w:rPr>
            <w:rStyle w:val="afffff0"/>
            <w:rFonts w:ascii="Times New Roman"/>
            <w:noProof/>
            <w:color w:val="000000" w:themeColor="text1"/>
          </w:rPr>
          <w:t>结论与建议</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_Toc109170808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255</w:t>
        </w:r>
        <w:r w:rsidR="00E25B18" w:rsidRPr="008A2411">
          <w:rPr>
            <w:noProof/>
            <w:webHidden/>
            <w:color w:val="000000" w:themeColor="text1"/>
          </w:rPr>
          <w:fldChar w:fldCharType="end"/>
        </w:r>
      </w:hyperlink>
    </w:p>
    <w:p w14:paraId="24ECE6E3" w14:textId="7613D03F"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810" w:history="1">
        <w:r w:rsidR="00E25B18" w:rsidRPr="008A2411">
          <w:rPr>
            <w:rStyle w:val="afffff0"/>
            <w:rFonts w:ascii="Times New Roman" w:hAnsi="Times New Roman"/>
            <w:noProof/>
            <w:color w:val="000000" w:themeColor="text1"/>
            <w:lang w:bidi="en-US"/>
          </w:rPr>
          <w:t>10.1</w:t>
        </w:r>
        <w:r w:rsidR="00E25B18" w:rsidRPr="008A2411">
          <w:rPr>
            <w:rStyle w:val="afffff0"/>
            <w:rFonts w:ascii="Times New Roman" w:hAnsi="Times New Roman"/>
            <w:noProof/>
            <w:color w:val="000000" w:themeColor="text1"/>
            <w:lang w:bidi="en-US"/>
          </w:rPr>
          <w:t>工程概况</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_Toc109170810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255</w:t>
        </w:r>
        <w:r w:rsidR="00E25B18" w:rsidRPr="008A2411">
          <w:rPr>
            <w:noProof/>
            <w:webHidden/>
            <w:color w:val="000000" w:themeColor="text1"/>
          </w:rPr>
          <w:fldChar w:fldCharType="end"/>
        </w:r>
      </w:hyperlink>
    </w:p>
    <w:p w14:paraId="2F626496" w14:textId="4CA8A646"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811" w:history="1">
        <w:r w:rsidR="00E25B18" w:rsidRPr="008A2411">
          <w:rPr>
            <w:rStyle w:val="afffff0"/>
            <w:rFonts w:ascii="Times New Roman" w:hAnsi="Times New Roman"/>
            <w:noProof/>
            <w:color w:val="000000" w:themeColor="text1"/>
            <w:lang w:bidi="en-US"/>
          </w:rPr>
          <w:t>10.2</w:t>
        </w:r>
        <w:r w:rsidR="00E25B18" w:rsidRPr="008A2411">
          <w:rPr>
            <w:rStyle w:val="afffff0"/>
            <w:rFonts w:ascii="Times New Roman" w:hAnsi="Times New Roman"/>
            <w:noProof/>
            <w:color w:val="000000" w:themeColor="text1"/>
            <w:lang w:bidi="en-US"/>
          </w:rPr>
          <w:t>产业政策及规划符合性</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_Toc109170811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255</w:t>
        </w:r>
        <w:r w:rsidR="00E25B18" w:rsidRPr="008A2411">
          <w:rPr>
            <w:noProof/>
            <w:webHidden/>
            <w:color w:val="000000" w:themeColor="text1"/>
          </w:rPr>
          <w:fldChar w:fldCharType="end"/>
        </w:r>
      </w:hyperlink>
    </w:p>
    <w:p w14:paraId="6CB9AB53" w14:textId="7925FAB2"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812" w:history="1">
        <w:r w:rsidR="00E25B18" w:rsidRPr="008A2411">
          <w:rPr>
            <w:rStyle w:val="afffff0"/>
            <w:rFonts w:ascii="Times New Roman" w:hAnsi="Times New Roman"/>
            <w:noProof/>
            <w:color w:val="000000" w:themeColor="text1"/>
            <w:lang w:bidi="en-US"/>
          </w:rPr>
          <w:t>10.3</w:t>
        </w:r>
        <w:r w:rsidR="00E25B18" w:rsidRPr="008A2411">
          <w:rPr>
            <w:rStyle w:val="afffff0"/>
            <w:rFonts w:ascii="Times New Roman" w:hAnsi="Times New Roman"/>
            <w:noProof/>
            <w:color w:val="000000" w:themeColor="text1"/>
            <w:lang w:bidi="en-US"/>
          </w:rPr>
          <w:t>环境现状</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_Toc109170812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255</w:t>
        </w:r>
        <w:r w:rsidR="00E25B18" w:rsidRPr="008A2411">
          <w:rPr>
            <w:noProof/>
            <w:webHidden/>
            <w:color w:val="000000" w:themeColor="text1"/>
          </w:rPr>
          <w:fldChar w:fldCharType="end"/>
        </w:r>
      </w:hyperlink>
    </w:p>
    <w:p w14:paraId="29EE9161" w14:textId="0BB94E6E"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813" w:history="1">
        <w:r w:rsidR="00E25B18" w:rsidRPr="008A2411">
          <w:rPr>
            <w:rStyle w:val="afffff0"/>
            <w:rFonts w:ascii="Times New Roman" w:hAnsi="Times New Roman"/>
            <w:noProof/>
            <w:color w:val="000000" w:themeColor="text1"/>
            <w:lang w:bidi="en-US"/>
          </w:rPr>
          <w:t>10.4</w:t>
        </w:r>
        <w:r w:rsidR="00E25B18" w:rsidRPr="008A2411">
          <w:rPr>
            <w:rStyle w:val="afffff0"/>
            <w:rFonts w:ascii="Times New Roman" w:hAnsi="Times New Roman"/>
            <w:noProof/>
            <w:color w:val="000000" w:themeColor="text1"/>
            <w:lang w:bidi="en-US"/>
          </w:rPr>
          <w:t>环境影响评价</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_Toc109170813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256</w:t>
        </w:r>
        <w:r w:rsidR="00E25B18" w:rsidRPr="008A2411">
          <w:rPr>
            <w:noProof/>
            <w:webHidden/>
            <w:color w:val="000000" w:themeColor="text1"/>
          </w:rPr>
          <w:fldChar w:fldCharType="end"/>
        </w:r>
      </w:hyperlink>
    </w:p>
    <w:p w14:paraId="404C0464" w14:textId="020A65BB"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814" w:history="1">
        <w:r w:rsidR="00E25B18" w:rsidRPr="008A2411">
          <w:rPr>
            <w:rStyle w:val="afffff0"/>
            <w:rFonts w:ascii="Times New Roman" w:hAnsi="Times New Roman"/>
            <w:noProof/>
            <w:color w:val="000000" w:themeColor="text1"/>
            <w:lang w:bidi="en-US"/>
          </w:rPr>
          <w:t>10.5</w:t>
        </w:r>
        <w:r w:rsidR="00E25B18" w:rsidRPr="008A2411">
          <w:rPr>
            <w:rStyle w:val="afffff0"/>
            <w:rFonts w:ascii="Times New Roman" w:hAnsi="Times New Roman"/>
            <w:noProof/>
            <w:color w:val="000000" w:themeColor="text1"/>
            <w:lang w:bidi="en-US"/>
          </w:rPr>
          <w:t>清洁生产</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_Toc109170814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258</w:t>
        </w:r>
        <w:r w:rsidR="00E25B18" w:rsidRPr="008A2411">
          <w:rPr>
            <w:noProof/>
            <w:webHidden/>
            <w:color w:val="000000" w:themeColor="text1"/>
          </w:rPr>
          <w:fldChar w:fldCharType="end"/>
        </w:r>
      </w:hyperlink>
    </w:p>
    <w:p w14:paraId="3F51351D" w14:textId="248881CC"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815" w:history="1">
        <w:r w:rsidR="00E25B18" w:rsidRPr="008A2411">
          <w:rPr>
            <w:rStyle w:val="afffff0"/>
            <w:rFonts w:ascii="Times New Roman" w:hAnsi="Times New Roman"/>
            <w:noProof/>
            <w:color w:val="000000" w:themeColor="text1"/>
            <w:lang w:bidi="en-US"/>
          </w:rPr>
          <w:t>10.6</w:t>
        </w:r>
        <w:r w:rsidR="00E25B18" w:rsidRPr="008A2411">
          <w:rPr>
            <w:rStyle w:val="afffff0"/>
            <w:rFonts w:ascii="Times New Roman" w:hAnsi="Times New Roman"/>
            <w:noProof/>
            <w:color w:val="000000" w:themeColor="text1"/>
            <w:lang w:bidi="en-US"/>
          </w:rPr>
          <w:t>总量控制指标</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_Toc109170815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258</w:t>
        </w:r>
        <w:r w:rsidR="00E25B18" w:rsidRPr="008A2411">
          <w:rPr>
            <w:noProof/>
            <w:webHidden/>
            <w:color w:val="000000" w:themeColor="text1"/>
          </w:rPr>
          <w:fldChar w:fldCharType="end"/>
        </w:r>
      </w:hyperlink>
    </w:p>
    <w:p w14:paraId="296F69A3" w14:textId="1E8043C4"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816" w:history="1">
        <w:r w:rsidR="00E25B18" w:rsidRPr="008A2411">
          <w:rPr>
            <w:rStyle w:val="afffff0"/>
            <w:rFonts w:ascii="Times New Roman" w:hAnsi="Times New Roman"/>
            <w:noProof/>
            <w:color w:val="000000" w:themeColor="text1"/>
            <w:lang w:bidi="en-US"/>
          </w:rPr>
          <w:t>10.7</w:t>
        </w:r>
        <w:r w:rsidR="00E25B18" w:rsidRPr="008A2411">
          <w:rPr>
            <w:rStyle w:val="afffff0"/>
            <w:rFonts w:ascii="Times New Roman" w:hAnsi="Times New Roman"/>
            <w:noProof/>
            <w:color w:val="000000" w:themeColor="text1"/>
            <w:lang w:bidi="en-US"/>
          </w:rPr>
          <w:t>经济损益分析</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_Toc109170816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259</w:t>
        </w:r>
        <w:r w:rsidR="00E25B18" w:rsidRPr="008A2411">
          <w:rPr>
            <w:noProof/>
            <w:webHidden/>
            <w:color w:val="000000" w:themeColor="text1"/>
          </w:rPr>
          <w:fldChar w:fldCharType="end"/>
        </w:r>
      </w:hyperlink>
    </w:p>
    <w:p w14:paraId="32344C5C" w14:textId="5BA86E77"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817" w:history="1">
        <w:r w:rsidR="00E25B18" w:rsidRPr="008A2411">
          <w:rPr>
            <w:rStyle w:val="afffff0"/>
            <w:rFonts w:ascii="Times New Roman" w:hAnsi="Times New Roman"/>
            <w:noProof/>
            <w:color w:val="000000" w:themeColor="text1"/>
            <w:lang w:bidi="en-US"/>
          </w:rPr>
          <w:t>10.8</w:t>
        </w:r>
        <w:r w:rsidR="00E25B18" w:rsidRPr="008A2411">
          <w:rPr>
            <w:rStyle w:val="afffff0"/>
            <w:rFonts w:ascii="Times New Roman" w:hAnsi="Times New Roman"/>
            <w:noProof/>
            <w:color w:val="000000" w:themeColor="text1"/>
            <w:lang w:bidi="en-US"/>
          </w:rPr>
          <w:t>总结论</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_Toc109170817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259</w:t>
        </w:r>
        <w:r w:rsidR="00E25B18" w:rsidRPr="008A2411">
          <w:rPr>
            <w:noProof/>
            <w:webHidden/>
            <w:color w:val="000000" w:themeColor="text1"/>
          </w:rPr>
          <w:fldChar w:fldCharType="end"/>
        </w:r>
      </w:hyperlink>
    </w:p>
    <w:p w14:paraId="1B623D77" w14:textId="66DFA6FC" w:rsidR="00E25B18" w:rsidRPr="008A2411" w:rsidRDefault="00000000">
      <w:pPr>
        <w:pStyle w:val="TOC2"/>
        <w:tabs>
          <w:tab w:val="right" w:leader="dot" w:pos="8302"/>
        </w:tabs>
        <w:rPr>
          <w:rFonts w:asciiTheme="minorHAnsi" w:eastAsiaTheme="minorEastAsia" w:hAnsiTheme="minorHAnsi" w:cstheme="minorBidi"/>
          <w:smallCaps w:val="0"/>
          <w:noProof/>
          <w:color w:val="000000" w:themeColor="text1"/>
          <w:kern w:val="2"/>
          <w:sz w:val="21"/>
          <w:szCs w:val="22"/>
        </w:rPr>
      </w:pPr>
      <w:hyperlink w:anchor="_Toc109170818" w:history="1">
        <w:r w:rsidR="00E25B18" w:rsidRPr="008A2411">
          <w:rPr>
            <w:rStyle w:val="afffff0"/>
            <w:rFonts w:ascii="Times New Roman" w:hAnsi="Times New Roman"/>
            <w:noProof/>
            <w:color w:val="000000" w:themeColor="text1"/>
            <w:lang w:bidi="en-US"/>
          </w:rPr>
          <w:t>10.9</w:t>
        </w:r>
        <w:r w:rsidR="00E25B18" w:rsidRPr="008A2411">
          <w:rPr>
            <w:rStyle w:val="afffff0"/>
            <w:rFonts w:ascii="Times New Roman" w:hAnsi="Times New Roman"/>
            <w:noProof/>
            <w:color w:val="000000" w:themeColor="text1"/>
            <w:lang w:bidi="en-US"/>
          </w:rPr>
          <w:t>总结论</w:t>
        </w:r>
        <w:r w:rsidR="00E25B18" w:rsidRPr="008A2411">
          <w:rPr>
            <w:noProof/>
            <w:webHidden/>
            <w:color w:val="000000" w:themeColor="text1"/>
          </w:rPr>
          <w:tab/>
        </w:r>
        <w:r w:rsidR="00E25B18" w:rsidRPr="008A2411">
          <w:rPr>
            <w:noProof/>
            <w:webHidden/>
            <w:color w:val="000000" w:themeColor="text1"/>
          </w:rPr>
          <w:fldChar w:fldCharType="begin"/>
        </w:r>
        <w:r w:rsidR="00E25B18" w:rsidRPr="008A2411">
          <w:rPr>
            <w:noProof/>
            <w:webHidden/>
            <w:color w:val="000000" w:themeColor="text1"/>
          </w:rPr>
          <w:instrText xml:space="preserve"> PAGEREF _Toc109170818 \h </w:instrText>
        </w:r>
        <w:r w:rsidR="00E25B18" w:rsidRPr="008A2411">
          <w:rPr>
            <w:noProof/>
            <w:webHidden/>
            <w:color w:val="000000" w:themeColor="text1"/>
          </w:rPr>
        </w:r>
        <w:r w:rsidR="00E25B18" w:rsidRPr="008A2411">
          <w:rPr>
            <w:noProof/>
            <w:webHidden/>
            <w:color w:val="000000" w:themeColor="text1"/>
          </w:rPr>
          <w:fldChar w:fldCharType="separate"/>
        </w:r>
        <w:r w:rsidR="004F353A">
          <w:rPr>
            <w:noProof/>
            <w:webHidden/>
            <w:color w:val="000000" w:themeColor="text1"/>
          </w:rPr>
          <w:t>259</w:t>
        </w:r>
        <w:r w:rsidR="00E25B18" w:rsidRPr="008A2411">
          <w:rPr>
            <w:noProof/>
            <w:webHidden/>
            <w:color w:val="000000" w:themeColor="text1"/>
          </w:rPr>
          <w:fldChar w:fldCharType="end"/>
        </w:r>
      </w:hyperlink>
    </w:p>
    <w:p w14:paraId="44825ABF" w14:textId="22DCC21E" w:rsidR="00B0005F" w:rsidRPr="008A2411" w:rsidRDefault="00000000">
      <w:pPr>
        <w:adjustRightInd w:val="0"/>
        <w:snapToGrid w:val="0"/>
        <w:spacing w:line="400" w:lineRule="exact"/>
        <w:rPr>
          <w:rFonts w:ascii="Times New Roman"/>
          <w:bCs/>
          <w:caps/>
          <w:color w:val="000000" w:themeColor="text1"/>
          <w:szCs w:val="28"/>
        </w:rPr>
      </w:pPr>
      <w:r w:rsidRPr="008A2411">
        <w:rPr>
          <w:rFonts w:ascii="Times New Roman"/>
          <w:bCs/>
          <w:caps/>
          <w:color w:val="000000" w:themeColor="text1"/>
          <w:szCs w:val="28"/>
        </w:rPr>
        <w:fldChar w:fldCharType="end"/>
      </w:r>
    </w:p>
    <w:p w14:paraId="57E01DF6" w14:textId="77777777" w:rsidR="00B0005F" w:rsidRPr="008A2411" w:rsidRDefault="00B0005F">
      <w:pPr>
        <w:adjustRightInd w:val="0"/>
        <w:snapToGrid w:val="0"/>
        <w:spacing w:line="400" w:lineRule="exact"/>
        <w:rPr>
          <w:rFonts w:ascii="Times New Roman"/>
          <w:bCs/>
          <w:caps/>
          <w:color w:val="000000" w:themeColor="text1"/>
          <w:szCs w:val="28"/>
        </w:rPr>
      </w:pPr>
    </w:p>
    <w:p w14:paraId="4BEA58A2" w14:textId="77777777" w:rsidR="00B0005F" w:rsidRPr="008A2411" w:rsidRDefault="00B0005F">
      <w:pPr>
        <w:adjustRightInd w:val="0"/>
        <w:snapToGrid w:val="0"/>
        <w:spacing w:line="400" w:lineRule="exact"/>
        <w:rPr>
          <w:rFonts w:ascii="Times New Roman"/>
          <w:bCs/>
          <w:caps/>
          <w:color w:val="000000" w:themeColor="text1"/>
          <w:szCs w:val="28"/>
        </w:rPr>
      </w:pPr>
    </w:p>
    <w:p w14:paraId="785718C3" w14:textId="77777777" w:rsidR="00B0005F" w:rsidRPr="008A2411" w:rsidRDefault="00B0005F">
      <w:pPr>
        <w:adjustRightInd w:val="0"/>
        <w:snapToGrid w:val="0"/>
        <w:spacing w:line="400" w:lineRule="exact"/>
        <w:rPr>
          <w:rFonts w:ascii="Times New Roman"/>
          <w:bCs/>
          <w:caps/>
          <w:color w:val="000000" w:themeColor="text1"/>
          <w:szCs w:val="28"/>
        </w:rPr>
      </w:pPr>
    </w:p>
    <w:p w14:paraId="405DEFD8" w14:textId="77777777" w:rsidR="00B0005F" w:rsidRPr="008A2411" w:rsidRDefault="00B0005F">
      <w:pPr>
        <w:adjustRightInd w:val="0"/>
        <w:snapToGrid w:val="0"/>
        <w:spacing w:line="400" w:lineRule="exact"/>
        <w:rPr>
          <w:rFonts w:ascii="Times New Roman"/>
          <w:bCs/>
          <w:caps/>
          <w:color w:val="000000" w:themeColor="text1"/>
          <w:szCs w:val="28"/>
        </w:rPr>
      </w:pPr>
    </w:p>
    <w:p w14:paraId="6EC706CF" w14:textId="77777777" w:rsidR="00B0005F" w:rsidRPr="008A2411" w:rsidRDefault="00B0005F">
      <w:pPr>
        <w:pStyle w:val="TOC2"/>
        <w:rPr>
          <w:rFonts w:ascii="Times New Roman" w:hAnsi="Times New Roman" w:cs="Times New Roman"/>
          <w:bCs/>
          <w:caps/>
          <w:color w:val="000000" w:themeColor="text1"/>
          <w:szCs w:val="28"/>
        </w:rPr>
      </w:pPr>
    </w:p>
    <w:p w14:paraId="645D2F21" w14:textId="77777777" w:rsidR="00B0005F" w:rsidRPr="008A2411" w:rsidRDefault="00B0005F">
      <w:pPr>
        <w:rPr>
          <w:rFonts w:ascii="Times New Roman"/>
          <w:bCs/>
          <w:caps/>
          <w:color w:val="000000" w:themeColor="text1"/>
          <w:szCs w:val="28"/>
        </w:rPr>
      </w:pPr>
    </w:p>
    <w:p w14:paraId="65E5EF9C" w14:textId="77777777" w:rsidR="00B0005F" w:rsidRPr="008A2411" w:rsidRDefault="00B0005F">
      <w:pPr>
        <w:pStyle w:val="TOC2"/>
        <w:rPr>
          <w:rFonts w:ascii="Times New Roman" w:hAnsi="Times New Roman" w:cs="Times New Roman"/>
          <w:bCs/>
          <w:caps/>
          <w:color w:val="000000" w:themeColor="text1"/>
          <w:szCs w:val="28"/>
        </w:rPr>
      </w:pPr>
    </w:p>
    <w:p w14:paraId="41261FB8" w14:textId="77777777" w:rsidR="00B0005F" w:rsidRPr="008A2411" w:rsidRDefault="00B0005F">
      <w:pPr>
        <w:rPr>
          <w:rFonts w:ascii="Times New Roman"/>
          <w:bCs/>
          <w:caps/>
          <w:color w:val="000000" w:themeColor="text1"/>
          <w:szCs w:val="28"/>
        </w:rPr>
      </w:pPr>
    </w:p>
    <w:p w14:paraId="6E9BACD5" w14:textId="77777777" w:rsidR="00B0005F" w:rsidRPr="008A2411" w:rsidRDefault="00B0005F">
      <w:pPr>
        <w:pStyle w:val="TOC2"/>
        <w:rPr>
          <w:rFonts w:ascii="Times New Roman" w:hAnsi="Times New Roman" w:cs="Times New Roman"/>
          <w:bCs/>
          <w:caps/>
          <w:color w:val="000000" w:themeColor="text1"/>
          <w:szCs w:val="28"/>
        </w:rPr>
      </w:pPr>
    </w:p>
    <w:p w14:paraId="65426329" w14:textId="77777777" w:rsidR="00B0005F" w:rsidRPr="008A2411" w:rsidRDefault="00B0005F">
      <w:pPr>
        <w:rPr>
          <w:rFonts w:ascii="Times New Roman"/>
          <w:bCs/>
          <w:caps/>
          <w:color w:val="000000" w:themeColor="text1"/>
          <w:szCs w:val="28"/>
        </w:rPr>
      </w:pPr>
    </w:p>
    <w:p w14:paraId="2A2FC7AB" w14:textId="77777777" w:rsidR="00B0005F" w:rsidRPr="008A2411" w:rsidRDefault="00B0005F">
      <w:pPr>
        <w:adjustRightInd w:val="0"/>
        <w:snapToGrid w:val="0"/>
        <w:rPr>
          <w:rFonts w:ascii="Times New Roman"/>
          <w:color w:val="000000" w:themeColor="text1"/>
          <w:sz w:val="21"/>
          <w:szCs w:val="21"/>
        </w:rPr>
        <w:sectPr w:rsidR="00B0005F" w:rsidRPr="008A2411">
          <w:headerReference w:type="default" r:id="rId12"/>
          <w:footerReference w:type="even" r:id="rId13"/>
          <w:footerReference w:type="default" r:id="rId14"/>
          <w:pgSz w:w="11906" w:h="16838"/>
          <w:pgMar w:top="1440" w:right="1797" w:bottom="1440" w:left="1797" w:header="851" w:footer="851" w:gutter="0"/>
          <w:pgNumType w:start="1"/>
          <w:cols w:space="720"/>
          <w:docGrid w:linePitch="312"/>
        </w:sectPr>
      </w:pPr>
    </w:p>
    <w:p w14:paraId="060BAEDC" w14:textId="77777777" w:rsidR="00B0005F" w:rsidRPr="008A2411" w:rsidRDefault="00000000">
      <w:pPr>
        <w:pStyle w:val="11"/>
        <w:numPr>
          <w:ilvl w:val="0"/>
          <w:numId w:val="0"/>
        </w:numPr>
        <w:spacing w:before="0" w:afterLines="0" w:after="0" w:line="360" w:lineRule="auto"/>
        <w:jc w:val="center"/>
        <w:rPr>
          <w:rFonts w:ascii="Times New Roman" w:eastAsia="宋体"/>
          <w:color w:val="000000" w:themeColor="text1"/>
        </w:rPr>
      </w:pPr>
      <w:bookmarkStart w:id="15" w:name="_Toc19108227"/>
      <w:bookmarkStart w:id="16" w:name="_Toc109170732"/>
      <w:bookmarkEnd w:id="0"/>
      <w:bookmarkEnd w:id="1"/>
      <w:bookmarkEnd w:id="2"/>
      <w:bookmarkEnd w:id="3"/>
      <w:bookmarkEnd w:id="4"/>
      <w:bookmarkEnd w:id="5"/>
      <w:bookmarkEnd w:id="14"/>
      <w:r w:rsidRPr="008A2411">
        <w:rPr>
          <w:rFonts w:ascii="Times New Roman" w:eastAsia="宋体"/>
          <w:color w:val="000000" w:themeColor="text1"/>
        </w:rPr>
        <w:lastRenderedPageBreak/>
        <w:t>第一章</w:t>
      </w:r>
      <w:r w:rsidRPr="008A2411">
        <w:rPr>
          <w:rFonts w:ascii="Times New Roman" w:eastAsia="宋体"/>
          <w:color w:val="000000" w:themeColor="text1"/>
        </w:rPr>
        <w:t xml:space="preserve"> </w:t>
      </w:r>
      <w:bookmarkEnd w:id="15"/>
      <w:r w:rsidRPr="008A2411">
        <w:rPr>
          <w:rFonts w:ascii="Times New Roman" w:eastAsia="宋体"/>
          <w:color w:val="000000" w:themeColor="text1"/>
        </w:rPr>
        <w:t>概</w:t>
      </w:r>
      <w:r w:rsidRPr="008A2411">
        <w:rPr>
          <w:rFonts w:ascii="Times New Roman" w:eastAsia="宋体"/>
          <w:color w:val="000000" w:themeColor="text1"/>
        </w:rPr>
        <w:t xml:space="preserve"> </w:t>
      </w:r>
      <w:r w:rsidRPr="008A2411">
        <w:rPr>
          <w:rFonts w:ascii="Times New Roman" w:eastAsia="宋体"/>
          <w:color w:val="000000" w:themeColor="text1"/>
        </w:rPr>
        <w:t>述</w:t>
      </w:r>
      <w:bookmarkEnd w:id="16"/>
    </w:p>
    <w:p w14:paraId="093FE932" w14:textId="77777777" w:rsidR="00B0005F" w:rsidRPr="008A2411" w:rsidRDefault="00000000">
      <w:pPr>
        <w:pStyle w:val="WJ2"/>
        <w:snapToGrid/>
        <w:spacing w:line="360" w:lineRule="auto"/>
        <w:rPr>
          <w:rFonts w:ascii="Times New Roman" w:hAnsi="Times New Roman"/>
          <w:color w:val="000000" w:themeColor="text1"/>
        </w:rPr>
      </w:pPr>
      <w:bookmarkStart w:id="17" w:name="_Toc405905264"/>
      <w:bookmarkStart w:id="18" w:name="_Toc422906808"/>
      <w:bookmarkStart w:id="19" w:name="_Toc451355237"/>
      <w:bookmarkStart w:id="20" w:name="_Toc109170733"/>
      <w:r w:rsidRPr="008A2411">
        <w:rPr>
          <w:rFonts w:ascii="Times New Roman" w:hAnsi="Times New Roman"/>
          <w:color w:val="000000" w:themeColor="text1"/>
        </w:rPr>
        <w:t>1.1</w:t>
      </w:r>
      <w:r w:rsidRPr="008A2411">
        <w:rPr>
          <w:rFonts w:ascii="Times New Roman" w:hAnsi="Times New Roman"/>
          <w:color w:val="000000" w:themeColor="text1"/>
        </w:rPr>
        <w:t>项目建设由来</w:t>
      </w:r>
      <w:bookmarkEnd w:id="17"/>
      <w:bookmarkEnd w:id="18"/>
      <w:bookmarkEnd w:id="19"/>
      <w:bookmarkEnd w:id="20"/>
    </w:p>
    <w:p w14:paraId="73E1CA46" w14:textId="77777777" w:rsidR="00B0005F" w:rsidRPr="008A2411" w:rsidRDefault="00000000">
      <w:pPr>
        <w:adjustRightInd w:val="0"/>
        <w:snapToGrid w:val="0"/>
        <w:spacing w:line="360" w:lineRule="auto"/>
        <w:ind w:firstLine="482"/>
        <w:rPr>
          <w:rFonts w:ascii="Times New Roman"/>
          <w:color w:val="000000" w:themeColor="text1"/>
          <w:szCs w:val="24"/>
        </w:rPr>
      </w:pPr>
      <w:bookmarkStart w:id="21" w:name="_Toc242712894"/>
      <w:bookmarkStart w:id="22" w:name="_Toc242713629"/>
      <w:bookmarkStart w:id="23" w:name="_Toc244950277"/>
      <w:bookmarkStart w:id="24" w:name="_Toc356569239"/>
      <w:bookmarkStart w:id="25" w:name="_Toc242712704"/>
      <w:r w:rsidRPr="008A2411">
        <w:rPr>
          <w:rFonts w:ascii="Times New Roman"/>
          <w:color w:val="000000" w:themeColor="text1"/>
        </w:rPr>
        <w:t>宣汉宏</w:t>
      </w:r>
      <w:proofErr w:type="gramStart"/>
      <w:r w:rsidRPr="008A2411">
        <w:rPr>
          <w:rFonts w:ascii="Times New Roman"/>
          <w:color w:val="000000" w:themeColor="text1"/>
        </w:rPr>
        <w:t>浩</w:t>
      </w:r>
      <w:proofErr w:type="gramEnd"/>
      <w:r w:rsidRPr="008A2411">
        <w:rPr>
          <w:rFonts w:ascii="Times New Roman"/>
          <w:color w:val="000000" w:themeColor="text1"/>
        </w:rPr>
        <w:t>能源科技发展有限公司（以下简称：宏</w:t>
      </w:r>
      <w:proofErr w:type="gramStart"/>
      <w:r w:rsidRPr="008A2411">
        <w:rPr>
          <w:rFonts w:ascii="Times New Roman"/>
          <w:color w:val="000000" w:themeColor="text1"/>
        </w:rPr>
        <w:t>浩</w:t>
      </w:r>
      <w:proofErr w:type="gramEnd"/>
      <w:r w:rsidRPr="008A2411">
        <w:rPr>
          <w:rFonts w:ascii="Times New Roman"/>
          <w:color w:val="000000" w:themeColor="text1"/>
        </w:rPr>
        <w:t>能源公司）是四川宏浩能源投资有限公司在宣汉县投资设立的全资子公司。为了发展地方经济，改变宣汉落后贫困的面貌，促进天然气深度开发，提高其附加值，宏</w:t>
      </w:r>
      <w:proofErr w:type="gramStart"/>
      <w:r w:rsidRPr="008A2411">
        <w:rPr>
          <w:rFonts w:ascii="Times New Roman"/>
          <w:color w:val="000000" w:themeColor="text1"/>
        </w:rPr>
        <w:t>浩</w:t>
      </w:r>
      <w:proofErr w:type="gramEnd"/>
      <w:r w:rsidRPr="008A2411">
        <w:rPr>
          <w:rFonts w:ascii="Times New Roman"/>
          <w:color w:val="000000" w:themeColor="text1"/>
        </w:rPr>
        <w:t>能源公司在宣汉县达州普光经济开发区普光工业园区内投资建设了</w:t>
      </w:r>
      <w:r w:rsidRPr="008A2411">
        <w:rPr>
          <w:rFonts w:ascii="Times New Roman" w:hint="eastAsia"/>
          <w:color w:val="000000" w:themeColor="text1"/>
        </w:rPr>
        <w:t>“</w:t>
      </w:r>
      <w:r w:rsidRPr="008A2411">
        <w:rPr>
          <w:rFonts w:ascii="Times New Roman"/>
          <w:color w:val="000000" w:themeColor="text1"/>
        </w:rPr>
        <w:t>宣汉宏</w:t>
      </w:r>
      <w:proofErr w:type="gramStart"/>
      <w:r w:rsidRPr="008A2411">
        <w:rPr>
          <w:rFonts w:ascii="Times New Roman"/>
          <w:color w:val="000000" w:themeColor="text1"/>
        </w:rPr>
        <w:t>浩</w:t>
      </w:r>
      <w:proofErr w:type="gramEnd"/>
      <w:r w:rsidRPr="008A2411">
        <w:rPr>
          <w:rFonts w:ascii="Times New Roman"/>
          <w:color w:val="000000" w:themeColor="text1"/>
        </w:rPr>
        <w:t>能源科技发展有限公司天然气综合利用项目</w:t>
      </w:r>
      <w:r w:rsidRPr="008A2411">
        <w:rPr>
          <w:rFonts w:ascii="Times New Roman" w:hint="eastAsia"/>
          <w:color w:val="000000" w:themeColor="text1"/>
        </w:rPr>
        <w:t>”</w:t>
      </w:r>
      <w:r w:rsidRPr="008A2411">
        <w:rPr>
          <w:rFonts w:ascii="Times New Roman"/>
          <w:color w:val="000000" w:themeColor="text1"/>
        </w:rPr>
        <w:t>，该项目于</w:t>
      </w:r>
      <w:r w:rsidRPr="008A2411">
        <w:rPr>
          <w:rFonts w:ascii="Times New Roman"/>
          <w:color w:val="000000" w:themeColor="text1"/>
        </w:rPr>
        <w:t>2012</w:t>
      </w:r>
      <w:r w:rsidRPr="008A2411">
        <w:rPr>
          <w:rFonts w:ascii="Times New Roman"/>
          <w:color w:val="000000" w:themeColor="text1"/>
        </w:rPr>
        <w:t>年</w:t>
      </w:r>
      <w:r w:rsidRPr="008A2411">
        <w:rPr>
          <w:rFonts w:ascii="Times New Roman"/>
          <w:color w:val="000000" w:themeColor="text1"/>
        </w:rPr>
        <w:t>4</w:t>
      </w:r>
      <w:r w:rsidRPr="008A2411">
        <w:rPr>
          <w:rFonts w:ascii="Times New Roman"/>
          <w:color w:val="000000" w:themeColor="text1"/>
        </w:rPr>
        <w:t>月</w:t>
      </w:r>
      <w:r w:rsidRPr="008A2411">
        <w:rPr>
          <w:rFonts w:ascii="Times New Roman"/>
          <w:color w:val="000000" w:themeColor="text1"/>
        </w:rPr>
        <w:t>17</w:t>
      </w:r>
      <w:r w:rsidRPr="008A2411">
        <w:rPr>
          <w:rFonts w:ascii="Times New Roman"/>
          <w:color w:val="000000" w:themeColor="text1"/>
        </w:rPr>
        <w:t>日在四川省发展和改革委员会备案，备案号：川投资备</w:t>
      </w:r>
      <w:r w:rsidRPr="008A2411">
        <w:rPr>
          <w:rFonts w:ascii="Times New Roman"/>
          <w:color w:val="000000" w:themeColor="text1"/>
        </w:rPr>
        <w:t>[51000012041701]0025</w:t>
      </w:r>
      <w:r w:rsidRPr="008A2411">
        <w:rPr>
          <w:rFonts w:ascii="Times New Roman"/>
          <w:color w:val="000000" w:themeColor="text1"/>
        </w:rPr>
        <w:t>号；</w:t>
      </w:r>
      <w:r w:rsidRPr="008A2411">
        <w:rPr>
          <w:rFonts w:ascii="Times New Roman"/>
          <w:color w:val="000000" w:themeColor="text1"/>
        </w:rPr>
        <w:t>2013</w:t>
      </w:r>
      <w:r w:rsidRPr="008A2411">
        <w:rPr>
          <w:rFonts w:ascii="Times New Roman"/>
          <w:color w:val="000000" w:themeColor="text1"/>
        </w:rPr>
        <w:t>年</w:t>
      </w:r>
      <w:r w:rsidRPr="008A2411">
        <w:rPr>
          <w:rFonts w:ascii="Times New Roman"/>
          <w:color w:val="000000" w:themeColor="text1"/>
        </w:rPr>
        <w:t>4</w:t>
      </w:r>
      <w:r w:rsidRPr="008A2411">
        <w:rPr>
          <w:rFonts w:ascii="Times New Roman"/>
          <w:color w:val="000000" w:themeColor="text1"/>
        </w:rPr>
        <w:t>月</w:t>
      </w:r>
      <w:r w:rsidRPr="008A2411">
        <w:rPr>
          <w:rFonts w:ascii="Times New Roman"/>
          <w:color w:val="000000" w:themeColor="text1"/>
        </w:rPr>
        <w:t>11</w:t>
      </w:r>
      <w:r w:rsidRPr="008A2411">
        <w:rPr>
          <w:rFonts w:ascii="Times New Roman"/>
          <w:color w:val="000000" w:themeColor="text1"/>
        </w:rPr>
        <w:t>日，四川省发展和改革委员会以</w:t>
      </w:r>
      <w:proofErr w:type="gramStart"/>
      <w:r w:rsidRPr="008A2411">
        <w:rPr>
          <w:rFonts w:ascii="Times New Roman"/>
          <w:color w:val="000000" w:themeColor="text1"/>
        </w:rPr>
        <w:t>川发改产业函</w:t>
      </w:r>
      <w:proofErr w:type="gramEnd"/>
      <w:r w:rsidRPr="008A2411">
        <w:rPr>
          <w:rFonts w:ascii="Times New Roman"/>
          <w:color w:val="000000" w:themeColor="text1"/>
        </w:rPr>
        <w:t>〔</w:t>
      </w:r>
      <w:r w:rsidRPr="008A2411">
        <w:rPr>
          <w:rFonts w:ascii="Times New Roman"/>
          <w:color w:val="000000" w:themeColor="text1"/>
        </w:rPr>
        <w:t>2013</w:t>
      </w:r>
      <w:r w:rsidRPr="008A2411">
        <w:rPr>
          <w:rFonts w:ascii="Times New Roman"/>
          <w:color w:val="000000" w:themeColor="text1"/>
        </w:rPr>
        <w:t>〕</w:t>
      </w:r>
      <w:r w:rsidRPr="008A2411">
        <w:rPr>
          <w:rFonts w:ascii="Times New Roman"/>
          <w:color w:val="000000" w:themeColor="text1"/>
        </w:rPr>
        <w:t>468</w:t>
      </w:r>
      <w:r w:rsidRPr="008A2411">
        <w:rPr>
          <w:rFonts w:ascii="Times New Roman"/>
          <w:color w:val="000000" w:themeColor="text1"/>
        </w:rPr>
        <w:t>号同意项目备案文件延长至</w:t>
      </w:r>
      <w:r w:rsidRPr="008A2411">
        <w:rPr>
          <w:rFonts w:ascii="Times New Roman"/>
          <w:color w:val="000000" w:themeColor="text1"/>
        </w:rPr>
        <w:t>2014</w:t>
      </w:r>
      <w:r w:rsidRPr="008A2411">
        <w:rPr>
          <w:rFonts w:ascii="Times New Roman"/>
          <w:color w:val="000000" w:themeColor="text1"/>
        </w:rPr>
        <w:t>年</w:t>
      </w:r>
      <w:r w:rsidRPr="008A2411">
        <w:rPr>
          <w:rFonts w:ascii="Times New Roman"/>
          <w:color w:val="000000" w:themeColor="text1"/>
        </w:rPr>
        <w:t>4</w:t>
      </w:r>
      <w:r w:rsidRPr="008A2411">
        <w:rPr>
          <w:rFonts w:ascii="Times New Roman"/>
          <w:color w:val="000000" w:themeColor="text1"/>
        </w:rPr>
        <w:t>月；</w:t>
      </w:r>
      <w:r w:rsidRPr="008A2411">
        <w:rPr>
          <w:rFonts w:ascii="Times New Roman"/>
          <w:color w:val="000000" w:themeColor="text1"/>
        </w:rPr>
        <w:t>2014</w:t>
      </w:r>
      <w:r w:rsidRPr="008A2411">
        <w:rPr>
          <w:rFonts w:ascii="Times New Roman"/>
          <w:color w:val="000000" w:themeColor="text1"/>
        </w:rPr>
        <w:t>年</w:t>
      </w:r>
      <w:r w:rsidRPr="008A2411">
        <w:rPr>
          <w:rFonts w:ascii="Times New Roman"/>
          <w:color w:val="000000" w:themeColor="text1"/>
        </w:rPr>
        <w:t>3</w:t>
      </w:r>
      <w:r w:rsidRPr="008A2411">
        <w:rPr>
          <w:rFonts w:ascii="Times New Roman"/>
          <w:color w:val="000000" w:themeColor="text1"/>
        </w:rPr>
        <w:t>月，四川省环境保护科学研究院编制完成了</w:t>
      </w:r>
      <w:proofErr w:type="gramStart"/>
      <w:r w:rsidRPr="008A2411">
        <w:rPr>
          <w:rFonts w:ascii="Times New Roman"/>
          <w:color w:val="000000" w:themeColor="text1"/>
        </w:rPr>
        <w:t>项目环</w:t>
      </w:r>
      <w:proofErr w:type="gramEnd"/>
      <w:r w:rsidRPr="008A2411">
        <w:rPr>
          <w:rFonts w:ascii="Times New Roman"/>
          <w:color w:val="000000" w:themeColor="text1"/>
        </w:rPr>
        <w:t>评，《宣汉宏浩能源科技发展有限公司天然气综合利用项目环境影响报告书》；</w:t>
      </w:r>
      <w:r w:rsidRPr="008A2411">
        <w:rPr>
          <w:rFonts w:ascii="Times New Roman"/>
          <w:color w:val="000000" w:themeColor="text1"/>
        </w:rPr>
        <w:t>2014</w:t>
      </w:r>
      <w:r w:rsidRPr="008A2411">
        <w:rPr>
          <w:rFonts w:ascii="Times New Roman"/>
          <w:color w:val="000000" w:themeColor="text1"/>
        </w:rPr>
        <w:t>年</w:t>
      </w:r>
      <w:r w:rsidRPr="008A2411">
        <w:rPr>
          <w:rFonts w:ascii="Times New Roman"/>
          <w:color w:val="000000" w:themeColor="text1"/>
        </w:rPr>
        <w:t>7</w:t>
      </w:r>
      <w:r w:rsidRPr="008A2411">
        <w:rPr>
          <w:rFonts w:ascii="Times New Roman"/>
          <w:color w:val="000000" w:themeColor="text1"/>
        </w:rPr>
        <w:t>月</w:t>
      </w:r>
      <w:r w:rsidRPr="008A2411">
        <w:rPr>
          <w:rFonts w:ascii="Times New Roman"/>
          <w:color w:val="000000" w:themeColor="text1"/>
        </w:rPr>
        <w:t>2</w:t>
      </w:r>
      <w:r w:rsidRPr="008A2411">
        <w:rPr>
          <w:rFonts w:ascii="Times New Roman"/>
          <w:color w:val="000000" w:themeColor="text1"/>
        </w:rPr>
        <w:t>日，四川省环境保护厅</w:t>
      </w:r>
      <w:proofErr w:type="gramStart"/>
      <w:r w:rsidRPr="008A2411">
        <w:rPr>
          <w:rFonts w:ascii="Times New Roman"/>
          <w:color w:val="000000" w:themeColor="text1"/>
        </w:rPr>
        <w:t>以川环审批</w:t>
      </w:r>
      <w:proofErr w:type="gramEnd"/>
      <w:r w:rsidRPr="008A2411">
        <w:rPr>
          <w:rFonts w:ascii="Times New Roman"/>
          <w:color w:val="000000" w:themeColor="text1"/>
        </w:rPr>
        <w:t>[2014]359</w:t>
      </w:r>
      <w:r w:rsidRPr="008A2411">
        <w:rPr>
          <w:rFonts w:ascii="Times New Roman"/>
          <w:color w:val="000000" w:themeColor="text1"/>
        </w:rPr>
        <w:t>号</w:t>
      </w:r>
      <w:proofErr w:type="gramStart"/>
      <w:r w:rsidRPr="008A2411">
        <w:rPr>
          <w:rFonts w:ascii="Times New Roman"/>
          <w:color w:val="000000" w:themeColor="text1"/>
        </w:rPr>
        <w:t>作出</w:t>
      </w:r>
      <w:proofErr w:type="gramEnd"/>
      <w:r w:rsidRPr="008A2411">
        <w:rPr>
          <w:rFonts w:ascii="Times New Roman"/>
          <w:color w:val="000000" w:themeColor="text1"/>
        </w:rPr>
        <w:t>审查批复，《关于宣汉宏浩能源科技发展有限公司天然气综合利用项目环境影响报告书的批复》。该</w:t>
      </w:r>
      <w:r w:rsidRPr="008A2411">
        <w:rPr>
          <w:rFonts w:ascii="Times New Roman"/>
          <w:color w:val="000000" w:themeColor="text1"/>
          <w:szCs w:val="24"/>
        </w:rPr>
        <w:t>项目于</w:t>
      </w:r>
      <w:r w:rsidRPr="008A2411">
        <w:rPr>
          <w:rFonts w:ascii="Times New Roman"/>
          <w:color w:val="000000" w:themeColor="text1"/>
          <w:szCs w:val="24"/>
        </w:rPr>
        <w:t>2015</w:t>
      </w:r>
      <w:r w:rsidRPr="008A2411">
        <w:rPr>
          <w:rFonts w:ascii="Times New Roman"/>
          <w:color w:val="000000" w:themeColor="text1"/>
          <w:szCs w:val="24"/>
        </w:rPr>
        <w:t>年</w:t>
      </w:r>
      <w:r w:rsidRPr="008A2411">
        <w:rPr>
          <w:rFonts w:ascii="Times New Roman"/>
          <w:color w:val="000000" w:themeColor="text1"/>
          <w:szCs w:val="24"/>
        </w:rPr>
        <w:t>11</w:t>
      </w:r>
      <w:r w:rsidRPr="008A2411">
        <w:rPr>
          <w:rFonts w:ascii="Times New Roman"/>
          <w:color w:val="000000" w:themeColor="text1"/>
          <w:szCs w:val="24"/>
        </w:rPr>
        <w:t>月开工建设，</w:t>
      </w:r>
      <w:r w:rsidRPr="008A2411">
        <w:rPr>
          <w:rFonts w:ascii="Times New Roman"/>
          <w:color w:val="000000" w:themeColor="text1"/>
          <w:szCs w:val="24"/>
        </w:rPr>
        <w:t>2017</w:t>
      </w:r>
      <w:r w:rsidRPr="008A2411">
        <w:rPr>
          <w:rFonts w:ascii="Times New Roman"/>
          <w:color w:val="000000" w:themeColor="text1"/>
          <w:szCs w:val="24"/>
        </w:rPr>
        <w:t>年</w:t>
      </w:r>
      <w:r w:rsidRPr="008A2411">
        <w:rPr>
          <w:rFonts w:ascii="Times New Roman"/>
          <w:color w:val="000000" w:themeColor="text1"/>
          <w:szCs w:val="24"/>
        </w:rPr>
        <w:t>12</w:t>
      </w:r>
      <w:r w:rsidRPr="008A2411">
        <w:rPr>
          <w:rFonts w:ascii="Times New Roman"/>
          <w:color w:val="000000" w:themeColor="text1"/>
          <w:szCs w:val="24"/>
        </w:rPr>
        <w:t>月竣工，</w:t>
      </w:r>
      <w:r w:rsidRPr="008A2411">
        <w:rPr>
          <w:rFonts w:ascii="Times New Roman"/>
          <w:color w:val="000000" w:themeColor="text1"/>
        </w:rPr>
        <w:t>并建成了一套日处理量</w:t>
      </w:r>
      <w:r w:rsidRPr="008A2411">
        <w:rPr>
          <w:rFonts w:ascii="Times New Roman" w:hint="eastAsia"/>
          <w:color w:val="000000" w:themeColor="text1"/>
        </w:rPr>
        <w:t>（净化、液化）为</w:t>
      </w:r>
      <w:r w:rsidRPr="008A2411">
        <w:rPr>
          <w:rFonts w:ascii="Times New Roman"/>
          <w:color w:val="000000" w:themeColor="text1"/>
        </w:rPr>
        <w:t>30×10</w:t>
      </w:r>
      <w:r w:rsidRPr="008A2411">
        <w:rPr>
          <w:rFonts w:ascii="Times New Roman"/>
          <w:color w:val="000000" w:themeColor="text1"/>
          <w:vertAlign w:val="superscript"/>
        </w:rPr>
        <w:t>4</w:t>
      </w:r>
      <w:r w:rsidRPr="008A2411">
        <w:rPr>
          <w:rFonts w:ascii="Times New Roman"/>
          <w:color w:val="000000" w:themeColor="text1"/>
        </w:rPr>
        <w:t>Nm</w:t>
      </w:r>
      <w:r w:rsidRPr="008A2411">
        <w:rPr>
          <w:rFonts w:ascii="Times New Roman"/>
          <w:color w:val="000000" w:themeColor="text1"/>
          <w:vertAlign w:val="superscript"/>
        </w:rPr>
        <w:t>3</w:t>
      </w:r>
      <w:r w:rsidRPr="008A2411">
        <w:rPr>
          <w:rFonts w:ascii="Times New Roman"/>
          <w:color w:val="000000" w:themeColor="text1"/>
        </w:rPr>
        <w:t>天然气的生产装置。</w:t>
      </w:r>
      <w:r w:rsidRPr="008A2411">
        <w:rPr>
          <w:rFonts w:ascii="Times New Roman" w:hint="eastAsia"/>
          <w:color w:val="000000" w:themeColor="text1"/>
        </w:rPr>
        <w:t>该项目</w:t>
      </w:r>
      <w:r w:rsidRPr="008A2411">
        <w:rPr>
          <w:rFonts w:ascii="Times New Roman"/>
          <w:color w:val="000000" w:themeColor="text1"/>
        </w:rPr>
        <w:t>于</w:t>
      </w:r>
      <w:r w:rsidRPr="008A2411">
        <w:rPr>
          <w:rFonts w:ascii="Times New Roman"/>
          <w:color w:val="000000" w:themeColor="text1"/>
          <w:szCs w:val="24"/>
        </w:rPr>
        <w:t>2018</w:t>
      </w:r>
      <w:r w:rsidRPr="008A2411">
        <w:rPr>
          <w:rFonts w:ascii="Times New Roman"/>
          <w:color w:val="000000" w:themeColor="text1"/>
          <w:szCs w:val="24"/>
        </w:rPr>
        <w:t>年</w:t>
      </w:r>
      <w:r w:rsidRPr="008A2411">
        <w:rPr>
          <w:rFonts w:ascii="Times New Roman"/>
          <w:color w:val="000000" w:themeColor="text1"/>
          <w:szCs w:val="24"/>
        </w:rPr>
        <w:t>7</w:t>
      </w:r>
      <w:r w:rsidRPr="008A2411">
        <w:rPr>
          <w:rFonts w:ascii="Times New Roman"/>
          <w:color w:val="000000" w:themeColor="text1"/>
          <w:szCs w:val="24"/>
        </w:rPr>
        <w:t>月</w:t>
      </w:r>
      <w:r w:rsidRPr="008A2411">
        <w:rPr>
          <w:rFonts w:ascii="Times New Roman"/>
          <w:color w:val="000000" w:themeColor="text1"/>
        </w:rPr>
        <w:t>完成了竣工环境保护验收</w:t>
      </w:r>
      <w:r w:rsidRPr="008A2411">
        <w:rPr>
          <w:rFonts w:ascii="Times New Roman"/>
          <w:color w:val="000000" w:themeColor="text1"/>
          <w:szCs w:val="24"/>
        </w:rPr>
        <w:t>工作。</w:t>
      </w:r>
    </w:p>
    <w:p w14:paraId="3819D897" w14:textId="77777777" w:rsidR="00B0005F" w:rsidRPr="008A2411" w:rsidRDefault="00000000">
      <w:pPr>
        <w:spacing w:line="360" w:lineRule="auto"/>
        <w:ind w:firstLineChars="200" w:firstLine="480"/>
        <w:textAlignment w:val="bottom"/>
        <w:rPr>
          <w:rFonts w:ascii="Times New Roman"/>
          <w:color w:val="000000" w:themeColor="text1"/>
          <w:szCs w:val="24"/>
          <w:lang w:bidi="ar"/>
        </w:rPr>
      </w:pPr>
      <w:r w:rsidRPr="008A2411">
        <w:rPr>
          <w:rFonts w:ascii="Times New Roman"/>
          <w:color w:val="000000" w:themeColor="text1"/>
        </w:rPr>
        <w:t>目前</w:t>
      </w:r>
      <w:r w:rsidRPr="008A2411">
        <w:rPr>
          <w:rFonts w:ascii="Times New Roman" w:hint="eastAsia"/>
          <w:color w:val="000000" w:themeColor="text1"/>
        </w:rPr>
        <w:t>液化</w:t>
      </w:r>
      <w:r w:rsidRPr="008A2411">
        <w:rPr>
          <w:rFonts w:ascii="Times New Roman" w:hint="eastAsia"/>
          <w:color w:val="000000" w:themeColor="text1"/>
        </w:rPr>
        <w:t>LNG</w:t>
      </w:r>
      <w:r w:rsidRPr="008A2411">
        <w:rPr>
          <w:rFonts w:ascii="Times New Roman" w:hint="eastAsia"/>
          <w:color w:val="000000" w:themeColor="text1"/>
        </w:rPr>
        <w:t>销售</w:t>
      </w:r>
      <w:r w:rsidRPr="008A2411">
        <w:rPr>
          <w:rFonts w:ascii="Times New Roman"/>
          <w:color w:val="000000" w:themeColor="text1"/>
        </w:rPr>
        <w:t>市场</w:t>
      </w:r>
      <w:r w:rsidRPr="008A2411">
        <w:rPr>
          <w:rFonts w:ascii="Times New Roman" w:hint="eastAsia"/>
          <w:color w:val="000000" w:themeColor="text1"/>
        </w:rPr>
        <w:t>环境</w:t>
      </w:r>
      <w:r w:rsidRPr="008A2411">
        <w:rPr>
          <w:rFonts w:ascii="Times New Roman"/>
          <w:color w:val="000000" w:themeColor="text1"/>
        </w:rPr>
        <w:t>良好，</w:t>
      </w:r>
      <w:r w:rsidRPr="008A2411">
        <w:rPr>
          <w:rFonts w:ascii="Times New Roman"/>
          <w:color w:val="000000" w:themeColor="text1"/>
          <w:szCs w:val="24"/>
          <w:lang w:bidi="ar"/>
        </w:rPr>
        <w:t>宣汉宏</w:t>
      </w:r>
      <w:proofErr w:type="gramStart"/>
      <w:r w:rsidRPr="008A2411">
        <w:rPr>
          <w:rFonts w:ascii="Times New Roman"/>
          <w:color w:val="000000" w:themeColor="text1"/>
          <w:szCs w:val="24"/>
          <w:lang w:bidi="ar"/>
        </w:rPr>
        <w:t>浩</w:t>
      </w:r>
      <w:proofErr w:type="gramEnd"/>
      <w:r w:rsidRPr="008A2411">
        <w:rPr>
          <w:rFonts w:ascii="Times New Roman"/>
          <w:color w:val="000000" w:themeColor="text1"/>
          <w:szCs w:val="24"/>
          <w:lang w:bidi="ar"/>
        </w:rPr>
        <w:t>能源科技发展有限公司</w:t>
      </w:r>
      <w:r w:rsidRPr="008A2411">
        <w:rPr>
          <w:rFonts w:ascii="Times New Roman"/>
          <w:color w:val="000000" w:themeColor="text1"/>
        </w:rPr>
        <w:t>为扩大生产规模和进行产业升级，同时带动地方经济发展，</w:t>
      </w:r>
      <w:r w:rsidRPr="008A2411">
        <w:rPr>
          <w:rFonts w:ascii="Times New Roman"/>
          <w:color w:val="000000" w:themeColor="text1"/>
          <w:szCs w:val="24"/>
          <w:lang w:bidi="ar"/>
        </w:rPr>
        <w:t>宣汉宏</w:t>
      </w:r>
      <w:proofErr w:type="gramStart"/>
      <w:r w:rsidRPr="008A2411">
        <w:rPr>
          <w:rFonts w:ascii="Times New Roman"/>
          <w:color w:val="000000" w:themeColor="text1"/>
          <w:szCs w:val="24"/>
          <w:lang w:bidi="ar"/>
        </w:rPr>
        <w:t>浩</w:t>
      </w:r>
      <w:proofErr w:type="gramEnd"/>
      <w:r w:rsidRPr="008A2411">
        <w:rPr>
          <w:rFonts w:ascii="Times New Roman"/>
          <w:color w:val="000000" w:themeColor="text1"/>
          <w:szCs w:val="24"/>
          <w:lang w:bidi="ar"/>
        </w:rPr>
        <w:t>能源科技发展有限公司投资</w:t>
      </w:r>
      <w:r w:rsidRPr="008A2411">
        <w:rPr>
          <w:rFonts w:ascii="Times New Roman"/>
          <w:color w:val="000000" w:themeColor="text1"/>
          <w:szCs w:val="24"/>
          <w:lang w:bidi="ar"/>
        </w:rPr>
        <w:t>5.3</w:t>
      </w:r>
      <w:r w:rsidRPr="008A2411">
        <w:rPr>
          <w:rFonts w:ascii="Times New Roman"/>
          <w:color w:val="000000" w:themeColor="text1"/>
          <w:szCs w:val="24"/>
          <w:lang w:bidi="ar"/>
        </w:rPr>
        <w:t>亿元，拟在达州普光化工园区普</w:t>
      </w:r>
      <w:proofErr w:type="gramStart"/>
      <w:r w:rsidRPr="008A2411">
        <w:rPr>
          <w:rFonts w:ascii="Times New Roman"/>
          <w:color w:val="000000" w:themeColor="text1"/>
          <w:szCs w:val="24"/>
          <w:lang w:bidi="ar"/>
        </w:rPr>
        <w:t>光功能</w:t>
      </w:r>
      <w:proofErr w:type="gramEnd"/>
      <w:r w:rsidRPr="008A2411">
        <w:rPr>
          <w:rFonts w:ascii="Times New Roman"/>
          <w:color w:val="000000" w:themeColor="text1"/>
          <w:szCs w:val="24"/>
          <w:lang w:bidi="ar"/>
        </w:rPr>
        <w:t>区西侧区域</w:t>
      </w:r>
      <w:r w:rsidRPr="008A2411">
        <w:rPr>
          <w:rFonts w:ascii="Times New Roman"/>
          <w:color w:val="000000" w:themeColor="text1"/>
        </w:rPr>
        <w:t>新选址建设</w:t>
      </w:r>
      <w:r w:rsidRPr="008A2411">
        <w:rPr>
          <w:rFonts w:ascii="Times New Roman"/>
          <w:color w:val="000000" w:themeColor="text1"/>
          <w:szCs w:val="24"/>
          <w:lang w:bidi="ar"/>
        </w:rPr>
        <w:t>天然气综合利用项目（</w:t>
      </w:r>
      <w:r w:rsidRPr="008A2411">
        <w:rPr>
          <w:rFonts w:ascii="Times New Roman"/>
          <w:color w:val="000000" w:themeColor="text1"/>
          <w:szCs w:val="24"/>
          <w:lang w:bidi="ar"/>
        </w:rPr>
        <w:t>LNG</w:t>
      </w:r>
      <w:r w:rsidRPr="008A2411">
        <w:rPr>
          <w:rFonts w:ascii="Times New Roman"/>
          <w:color w:val="000000" w:themeColor="text1"/>
          <w:szCs w:val="24"/>
          <w:lang w:bidi="ar"/>
        </w:rPr>
        <w:t>）二期</w:t>
      </w:r>
      <w:r w:rsidRPr="008A2411">
        <w:rPr>
          <w:rFonts w:ascii="Times New Roman"/>
          <w:color w:val="000000" w:themeColor="text1"/>
        </w:rPr>
        <w:t>（二期位于</w:t>
      </w:r>
      <w:r w:rsidRPr="008A2411">
        <w:rPr>
          <w:rFonts w:ascii="Times New Roman" w:hint="eastAsia"/>
          <w:color w:val="000000" w:themeColor="text1"/>
        </w:rPr>
        <w:t>现有</w:t>
      </w:r>
      <w:r w:rsidRPr="008A2411">
        <w:rPr>
          <w:rFonts w:ascii="Times New Roman"/>
          <w:color w:val="000000" w:themeColor="text1"/>
        </w:rPr>
        <w:t>宣汉宏</w:t>
      </w:r>
      <w:proofErr w:type="gramStart"/>
      <w:r w:rsidRPr="008A2411">
        <w:rPr>
          <w:rFonts w:ascii="Times New Roman"/>
          <w:color w:val="000000" w:themeColor="text1"/>
        </w:rPr>
        <w:t>浩</w:t>
      </w:r>
      <w:proofErr w:type="gramEnd"/>
      <w:r w:rsidRPr="008A2411">
        <w:rPr>
          <w:rFonts w:ascii="Times New Roman"/>
          <w:color w:val="000000" w:themeColor="text1"/>
        </w:rPr>
        <w:t>能源科技发展有限公司天然气综合利用</w:t>
      </w:r>
      <w:r w:rsidRPr="008A2411">
        <w:rPr>
          <w:rFonts w:ascii="Times New Roman" w:hint="eastAsia"/>
          <w:color w:val="000000" w:themeColor="text1"/>
        </w:rPr>
        <w:t>厂区</w:t>
      </w:r>
      <w:r w:rsidRPr="008A2411">
        <w:rPr>
          <w:rFonts w:ascii="Times New Roman"/>
          <w:color w:val="000000" w:themeColor="text1"/>
        </w:rPr>
        <w:t>西侧约</w:t>
      </w:r>
      <w:r w:rsidRPr="008A2411">
        <w:rPr>
          <w:rFonts w:ascii="Times New Roman"/>
          <w:color w:val="000000" w:themeColor="text1"/>
        </w:rPr>
        <w:t>1.8km</w:t>
      </w:r>
      <w:r w:rsidRPr="008A2411">
        <w:rPr>
          <w:rFonts w:ascii="Times New Roman"/>
          <w:color w:val="000000" w:themeColor="text1"/>
        </w:rPr>
        <w:t>）</w:t>
      </w:r>
      <w:r w:rsidRPr="008A2411">
        <w:rPr>
          <w:rFonts w:ascii="Times New Roman"/>
          <w:color w:val="000000" w:themeColor="text1"/>
          <w:szCs w:val="24"/>
          <w:lang w:bidi="ar"/>
        </w:rPr>
        <w:t>。</w:t>
      </w:r>
    </w:p>
    <w:p w14:paraId="5296E7C1" w14:textId="2373845B" w:rsidR="00B0005F" w:rsidRPr="008A2411" w:rsidRDefault="00000000">
      <w:pPr>
        <w:adjustRightInd w:val="0"/>
        <w:snapToGrid w:val="0"/>
        <w:spacing w:line="360" w:lineRule="auto"/>
        <w:ind w:firstLineChars="200" w:firstLine="482"/>
        <w:textAlignment w:val="bottom"/>
        <w:rPr>
          <w:rFonts w:ascii="Times New Roman"/>
          <w:b/>
          <w:bCs/>
          <w:color w:val="000000" w:themeColor="text1"/>
        </w:rPr>
      </w:pPr>
      <w:r w:rsidRPr="008A2411">
        <w:rPr>
          <w:rFonts w:ascii="Times New Roman"/>
          <w:b/>
          <w:bCs/>
          <w:color w:val="000000" w:themeColor="text1"/>
        </w:rPr>
        <w:t>本项目建设内容为：</w:t>
      </w:r>
      <w:r w:rsidRPr="008A2411">
        <w:rPr>
          <w:rFonts w:ascii="Times New Roman"/>
          <w:b/>
          <w:bCs/>
          <w:color w:val="000000" w:themeColor="text1"/>
          <w:szCs w:val="24"/>
          <w:lang w:bidi="en-US"/>
        </w:rPr>
        <w:t>新征用地</w:t>
      </w:r>
      <w:r w:rsidRPr="008A2411">
        <w:rPr>
          <w:rFonts w:ascii="Times New Roman"/>
          <w:b/>
          <w:bCs/>
          <w:color w:val="000000" w:themeColor="text1"/>
          <w:szCs w:val="24"/>
          <w:lang w:bidi="en-US"/>
        </w:rPr>
        <w:t>132.02</w:t>
      </w:r>
      <w:r w:rsidRPr="008A2411">
        <w:rPr>
          <w:rFonts w:ascii="Times New Roman"/>
          <w:b/>
          <w:bCs/>
          <w:color w:val="000000" w:themeColor="text1"/>
          <w:szCs w:val="24"/>
          <w:lang w:bidi="en-US"/>
        </w:rPr>
        <w:t>亩，新建</w:t>
      </w:r>
      <w:r w:rsidRPr="008A2411">
        <w:rPr>
          <w:rFonts w:ascii="Times New Roman"/>
          <w:b/>
          <w:bCs/>
          <w:color w:val="000000" w:themeColor="text1"/>
          <w:szCs w:val="24"/>
          <w:lang w:bidi="en-US"/>
        </w:rPr>
        <w:t>100</w:t>
      </w:r>
      <w:r w:rsidRPr="008A2411">
        <w:rPr>
          <w:rFonts w:ascii="Times New Roman"/>
          <w:b/>
          <w:bCs/>
          <w:color w:val="000000" w:themeColor="text1"/>
          <w:szCs w:val="24"/>
          <w:lang w:bidi="en-US"/>
        </w:rPr>
        <w:t>万方</w:t>
      </w:r>
      <w:r w:rsidRPr="008A2411">
        <w:rPr>
          <w:rFonts w:ascii="Times New Roman"/>
          <w:b/>
          <w:bCs/>
          <w:color w:val="000000" w:themeColor="text1"/>
          <w:szCs w:val="24"/>
          <w:lang w:bidi="en-US"/>
        </w:rPr>
        <w:t>/</w:t>
      </w:r>
      <w:r w:rsidRPr="008A2411">
        <w:rPr>
          <w:rFonts w:ascii="Times New Roman"/>
          <w:b/>
          <w:bCs/>
          <w:color w:val="000000" w:themeColor="text1"/>
          <w:szCs w:val="24"/>
          <w:lang w:bidi="en-US"/>
        </w:rPr>
        <w:t>天的天然气液化装置一套；一台</w:t>
      </w:r>
      <w:r w:rsidRPr="008A2411">
        <w:rPr>
          <w:rFonts w:ascii="Times New Roman"/>
          <w:b/>
          <w:bCs/>
          <w:color w:val="000000" w:themeColor="text1"/>
          <w:szCs w:val="24"/>
          <w:lang w:bidi="en-US"/>
        </w:rPr>
        <w:t>20000</w:t>
      </w:r>
      <w:r w:rsidRPr="008A2411">
        <w:rPr>
          <w:rFonts w:ascii="Times New Roman"/>
          <w:b/>
          <w:bCs/>
          <w:color w:val="000000" w:themeColor="text1"/>
          <w:szCs w:val="24"/>
          <w:lang w:bidi="en-US"/>
        </w:rPr>
        <w:t>立方液化天然气</w:t>
      </w:r>
      <w:proofErr w:type="gramStart"/>
      <w:r w:rsidRPr="008A2411">
        <w:rPr>
          <w:rFonts w:ascii="Times New Roman"/>
          <w:b/>
          <w:bCs/>
          <w:color w:val="000000" w:themeColor="text1"/>
          <w:szCs w:val="24"/>
          <w:lang w:bidi="en-US"/>
        </w:rPr>
        <w:t>全容罐</w:t>
      </w:r>
      <w:proofErr w:type="gramEnd"/>
      <w:r w:rsidRPr="008A2411">
        <w:rPr>
          <w:rFonts w:ascii="Times New Roman"/>
          <w:b/>
          <w:bCs/>
          <w:color w:val="000000" w:themeColor="text1"/>
          <w:szCs w:val="24"/>
          <w:lang w:bidi="en-US"/>
        </w:rPr>
        <w:t>；配套的公辅装置（</w:t>
      </w:r>
      <w:r w:rsidRPr="008A2411">
        <w:rPr>
          <w:rFonts w:ascii="Times New Roman"/>
          <w:b/>
          <w:bCs/>
          <w:color w:val="000000" w:themeColor="text1"/>
          <w:szCs w:val="24"/>
          <w:lang w:bidi="en-US"/>
        </w:rPr>
        <w:t>LNG</w:t>
      </w:r>
      <w:r w:rsidRPr="008A2411">
        <w:rPr>
          <w:rFonts w:ascii="Times New Roman"/>
          <w:b/>
          <w:bCs/>
          <w:color w:val="000000" w:themeColor="text1"/>
          <w:szCs w:val="24"/>
          <w:lang w:bidi="en-US"/>
        </w:rPr>
        <w:t>装车系统、加注区、空压站、软化水装置、循环水设施、联合变电所、控制室、地面火炬等）及安全环保设施；项目建成投产后可实现年产</w:t>
      </w:r>
      <w:r w:rsidRPr="008A2411">
        <w:rPr>
          <w:rFonts w:ascii="Times New Roman"/>
          <w:b/>
          <w:bCs/>
          <w:color w:val="000000" w:themeColor="text1"/>
          <w:szCs w:val="24"/>
          <w:lang w:bidi="en-US"/>
        </w:rPr>
        <w:t>23</w:t>
      </w:r>
      <w:r w:rsidRPr="008A2411">
        <w:rPr>
          <w:rFonts w:ascii="Times New Roman"/>
          <w:b/>
          <w:bCs/>
          <w:color w:val="000000" w:themeColor="text1"/>
          <w:szCs w:val="24"/>
          <w:lang w:bidi="en-US"/>
        </w:rPr>
        <w:t>万吨液化天然气产能。</w:t>
      </w:r>
      <w:r w:rsidR="004D29E2" w:rsidRPr="008A2411">
        <w:rPr>
          <w:rFonts w:ascii="Times New Roman" w:hint="eastAsia"/>
          <w:b/>
          <w:bCs/>
          <w:color w:val="000000" w:themeColor="text1"/>
          <w:szCs w:val="24"/>
          <w:lang w:bidi="en-US"/>
        </w:rPr>
        <w:t>根据《</w:t>
      </w:r>
      <w:r w:rsidR="004D29E2" w:rsidRPr="008A2411">
        <w:rPr>
          <w:rFonts w:ascii="Times New Roman"/>
          <w:b/>
          <w:bCs/>
          <w:color w:val="000000" w:themeColor="text1"/>
          <w:szCs w:val="24"/>
          <w:lang w:bidi="en-US"/>
        </w:rPr>
        <w:t>国民经济行业分类</w:t>
      </w:r>
      <w:r w:rsidR="004D29E2" w:rsidRPr="008A2411">
        <w:rPr>
          <w:rFonts w:ascii="Times New Roman" w:hint="eastAsia"/>
          <w:b/>
          <w:bCs/>
          <w:color w:val="000000" w:themeColor="text1"/>
          <w:szCs w:val="24"/>
          <w:lang w:bidi="en-US"/>
        </w:rPr>
        <w:t>》</w:t>
      </w:r>
      <w:r w:rsidR="004D29E2" w:rsidRPr="008A2411">
        <w:rPr>
          <w:rFonts w:ascii="Times New Roman"/>
          <w:b/>
          <w:bCs/>
          <w:color w:val="000000" w:themeColor="text1"/>
          <w:szCs w:val="24"/>
          <w:lang w:bidi="en-US"/>
        </w:rPr>
        <w:t>（</w:t>
      </w:r>
      <w:r w:rsidR="004D29E2" w:rsidRPr="008A2411">
        <w:rPr>
          <w:rFonts w:ascii="Times New Roman"/>
          <w:b/>
          <w:bCs/>
          <w:color w:val="000000" w:themeColor="text1"/>
          <w:szCs w:val="24"/>
          <w:lang w:bidi="en-US"/>
        </w:rPr>
        <w:t>GB T 4754-2017</w:t>
      </w:r>
      <w:r w:rsidR="004D29E2" w:rsidRPr="008A2411">
        <w:rPr>
          <w:rFonts w:ascii="Times New Roman"/>
          <w:b/>
          <w:bCs/>
          <w:color w:val="000000" w:themeColor="text1"/>
          <w:szCs w:val="24"/>
          <w:lang w:bidi="en-US"/>
        </w:rPr>
        <w:t>）</w:t>
      </w:r>
      <w:r w:rsidR="004D29E2" w:rsidRPr="008A2411">
        <w:rPr>
          <w:rFonts w:ascii="Times New Roman" w:hint="eastAsia"/>
          <w:b/>
          <w:bCs/>
          <w:color w:val="000000" w:themeColor="text1"/>
          <w:szCs w:val="24"/>
          <w:lang w:bidi="en-US"/>
        </w:rPr>
        <w:t>及修改单，本项目为天然气净化、液化生产项目，属于该分类中的</w:t>
      </w:r>
      <w:r w:rsidR="004D29E2" w:rsidRPr="008A2411">
        <w:rPr>
          <w:rFonts w:ascii="Times New Roman" w:hint="eastAsia"/>
          <w:b/>
          <w:bCs/>
          <w:color w:val="000000" w:themeColor="text1"/>
          <w:szCs w:val="24"/>
          <w:lang w:bidi="en-US"/>
        </w:rPr>
        <w:t>B0721</w:t>
      </w:r>
      <w:r w:rsidR="004D29E2" w:rsidRPr="008A2411">
        <w:rPr>
          <w:rFonts w:ascii="Times New Roman" w:hint="eastAsia"/>
          <w:b/>
          <w:bCs/>
          <w:color w:val="000000" w:themeColor="text1"/>
          <w:szCs w:val="24"/>
          <w:lang w:bidi="en-US"/>
        </w:rPr>
        <w:t>类，为</w:t>
      </w:r>
      <w:r w:rsidR="004D29E2" w:rsidRPr="008A2411">
        <w:rPr>
          <w:rFonts w:ascii="Times New Roman"/>
          <w:b/>
          <w:bCs/>
          <w:color w:val="000000" w:themeColor="text1"/>
          <w:szCs w:val="24"/>
          <w:lang w:bidi="en-US"/>
        </w:rPr>
        <w:t>石油和天然气开采业</w:t>
      </w:r>
      <w:r w:rsidR="004D29E2" w:rsidRPr="008A2411">
        <w:rPr>
          <w:rFonts w:ascii="Times New Roman" w:hint="eastAsia"/>
          <w:b/>
          <w:bCs/>
          <w:color w:val="000000" w:themeColor="text1"/>
          <w:szCs w:val="24"/>
          <w:lang w:bidi="en-US"/>
        </w:rPr>
        <w:t>中的</w:t>
      </w:r>
      <w:r w:rsidR="004D29E2" w:rsidRPr="008A2411">
        <w:rPr>
          <w:rFonts w:ascii="Times New Roman"/>
          <w:b/>
          <w:bCs/>
          <w:color w:val="000000" w:themeColor="text1"/>
          <w:szCs w:val="24"/>
          <w:lang w:bidi="en-US"/>
        </w:rPr>
        <w:t>陆地天然气开采</w:t>
      </w:r>
      <w:r w:rsidR="004D29E2" w:rsidRPr="008A2411">
        <w:rPr>
          <w:rFonts w:ascii="Times New Roman" w:hint="eastAsia"/>
          <w:b/>
          <w:bCs/>
          <w:color w:val="000000" w:themeColor="text1"/>
          <w:szCs w:val="24"/>
          <w:lang w:bidi="en-US"/>
        </w:rPr>
        <w:t>。同时根据</w:t>
      </w:r>
      <w:r w:rsidR="004D29E2" w:rsidRPr="008A2411">
        <w:rPr>
          <w:rFonts w:ascii="Times New Roman"/>
          <w:b/>
          <w:bCs/>
          <w:color w:val="000000" w:themeColor="text1"/>
          <w:szCs w:val="24"/>
          <w:lang w:bidi="en-US"/>
        </w:rPr>
        <w:t>国家发展和改革委员会</w:t>
      </w:r>
      <w:r w:rsidR="004D29E2" w:rsidRPr="008A2411">
        <w:rPr>
          <w:rFonts w:ascii="Times New Roman"/>
          <w:b/>
          <w:bCs/>
          <w:color w:val="000000" w:themeColor="text1"/>
          <w:szCs w:val="24"/>
          <w:lang w:bidi="en-US"/>
        </w:rPr>
        <w:t>2019</w:t>
      </w:r>
      <w:r w:rsidR="004D29E2" w:rsidRPr="008A2411">
        <w:rPr>
          <w:rFonts w:ascii="Times New Roman"/>
          <w:b/>
          <w:bCs/>
          <w:color w:val="000000" w:themeColor="text1"/>
          <w:szCs w:val="24"/>
          <w:lang w:bidi="en-US"/>
        </w:rPr>
        <w:t>年第</w:t>
      </w:r>
      <w:r w:rsidR="004D29E2" w:rsidRPr="008A2411">
        <w:rPr>
          <w:rFonts w:ascii="Times New Roman"/>
          <w:b/>
          <w:bCs/>
          <w:color w:val="000000" w:themeColor="text1"/>
          <w:szCs w:val="24"/>
          <w:lang w:bidi="en-US"/>
        </w:rPr>
        <w:t>29</w:t>
      </w:r>
      <w:r w:rsidR="004D29E2" w:rsidRPr="008A2411">
        <w:rPr>
          <w:rFonts w:ascii="Times New Roman"/>
          <w:b/>
          <w:bCs/>
          <w:color w:val="000000" w:themeColor="text1"/>
          <w:szCs w:val="24"/>
          <w:lang w:bidi="en-US"/>
        </w:rPr>
        <w:t>号《产业结构调整指导目录》（</w:t>
      </w:r>
      <w:r w:rsidR="004D29E2" w:rsidRPr="008A2411">
        <w:rPr>
          <w:rFonts w:ascii="Times New Roman"/>
          <w:b/>
          <w:bCs/>
          <w:color w:val="000000" w:themeColor="text1"/>
          <w:szCs w:val="24"/>
          <w:lang w:bidi="en-US"/>
        </w:rPr>
        <w:t>2021</w:t>
      </w:r>
      <w:r w:rsidR="004D29E2" w:rsidRPr="008A2411">
        <w:rPr>
          <w:rFonts w:ascii="Times New Roman"/>
          <w:b/>
          <w:bCs/>
          <w:color w:val="000000" w:themeColor="text1"/>
          <w:szCs w:val="24"/>
          <w:lang w:bidi="en-US"/>
        </w:rPr>
        <w:t>年修订），本项目属于第七类</w:t>
      </w:r>
      <w:r w:rsidR="004D29E2" w:rsidRPr="008A2411">
        <w:rPr>
          <w:rFonts w:ascii="Times New Roman" w:hint="eastAsia"/>
          <w:b/>
          <w:bCs/>
          <w:color w:val="000000" w:themeColor="text1"/>
          <w:szCs w:val="24"/>
          <w:lang w:bidi="en-US"/>
        </w:rPr>
        <w:t>“</w:t>
      </w:r>
      <w:r w:rsidR="004D29E2" w:rsidRPr="008A2411">
        <w:rPr>
          <w:rFonts w:ascii="Times New Roman"/>
          <w:b/>
          <w:bCs/>
          <w:color w:val="000000" w:themeColor="text1"/>
          <w:szCs w:val="24"/>
          <w:lang w:bidi="en-US"/>
        </w:rPr>
        <w:t>鼓励类</w:t>
      </w:r>
      <w:r w:rsidR="004D29E2" w:rsidRPr="008A2411">
        <w:rPr>
          <w:rFonts w:ascii="Times New Roman" w:hint="eastAsia"/>
          <w:b/>
          <w:bCs/>
          <w:color w:val="000000" w:themeColor="text1"/>
          <w:szCs w:val="24"/>
          <w:lang w:bidi="en-US"/>
        </w:rPr>
        <w:t>”</w:t>
      </w:r>
      <w:r w:rsidR="004D29E2" w:rsidRPr="008A2411">
        <w:rPr>
          <w:rFonts w:ascii="Times New Roman"/>
          <w:b/>
          <w:bCs/>
          <w:color w:val="000000" w:themeColor="text1"/>
          <w:szCs w:val="24"/>
          <w:lang w:bidi="en-US"/>
        </w:rPr>
        <w:t>中第一条</w:t>
      </w:r>
      <w:r w:rsidR="004D29E2" w:rsidRPr="008A2411">
        <w:rPr>
          <w:rFonts w:ascii="Times New Roman" w:hint="eastAsia"/>
          <w:b/>
          <w:bCs/>
          <w:color w:val="000000" w:themeColor="text1"/>
          <w:szCs w:val="24"/>
          <w:lang w:bidi="en-US"/>
        </w:rPr>
        <w:t>“</w:t>
      </w:r>
      <w:r w:rsidR="004D29E2" w:rsidRPr="008A2411">
        <w:rPr>
          <w:rFonts w:ascii="Times New Roman"/>
          <w:b/>
          <w:bCs/>
          <w:color w:val="000000" w:themeColor="text1"/>
          <w:szCs w:val="24"/>
          <w:lang w:bidi="en-US"/>
        </w:rPr>
        <w:t>石油、天</w:t>
      </w:r>
      <w:r w:rsidR="004D29E2" w:rsidRPr="008A2411">
        <w:rPr>
          <w:rFonts w:ascii="Times New Roman"/>
          <w:b/>
          <w:bCs/>
          <w:color w:val="000000" w:themeColor="text1"/>
          <w:szCs w:val="24"/>
          <w:lang w:bidi="en-US"/>
        </w:rPr>
        <w:lastRenderedPageBreak/>
        <w:t>然气</w:t>
      </w:r>
      <w:r w:rsidR="004D29E2" w:rsidRPr="008A2411">
        <w:rPr>
          <w:rFonts w:ascii="Times New Roman" w:hint="eastAsia"/>
          <w:b/>
          <w:bCs/>
          <w:color w:val="000000" w:themeColor="text1"/>
          <w:szCs w:val="24"/>
          <w:lang w:bidi="en-US"/>
        </w:rPr>
        <w:t>”</w:t>
      </w:r>
      <w:r w:rsidR="004D29E2" w:rsidRPr="008A2411">
        <w:rPr>
          <w:rFonts w:ascii="Times New Roman"/>
          <w:b/>
          <w:bCs/>
          <w:color w:val="000000" w:themeColor="text1"/>
          <w:szCs w:val="24"/>
          <w:lang w:bidi="en-US"/>
        </w:rPr>
        <w:t>的第</w:t>
      </w:r>
      <w:r w:rsidR="004D29E2" w:rsidRPr="008A2411">
        <w:rPr>
          <w:rFonts w:ascii="Times New Roman"/>
          <w:b/>
          <w:bCs/>
          <w:color w:val="000000" w:themeColor="text1"/>
          <w:szCs w:val="24"/>
          <w:lang w:bidi="en-US"/>
        </w:rPr>
        <w:t>9</w:t>
      </w:r>
      <w:r w:rsidR="004D29E2" w:rsidRPr="008A2411">
        <w:rPr>
          <w:rFonts w:ascii="Times New Roman"/>
          <w:b/>
          <w:bCs/>
          <w:color w:val="000000" w:themeColor="text1"/>
          <w:szCs w:val="24"/>
          <w:lang w:bidi="en-US"/>
        </w:rPr>
        <w:t>款</w:t>
      </w:r>
      <w:r w:rsidR="004D29E2" w:rsidRPr="008A2411">
        <w:rPr>
          <w:rFonts w:ascii="Times New Roman" w:hint="eastAsia"/>
          <w:b/>
          <w:bCs/>
          <w:color w:val="000000" w:themeColor="text1"/>
          <w:szCs w:val="24"/>
          <w:lang w:bidi="en-US"/>
        </w:rPr>
        <w:t>“</w:t>
      </w:r>
      <w:r w:rsidR="004D29E2" w:rsidRPr="008A2411">
        <w:rPr>
          <w:rFonts w:ascii="Times New Roman"/>
          <w:b/>
          <w:bCs/>
          <w:color w:val="000000" w:themeColor="text1"/>
          <w:szCs w:val="24"/>
          <w:lang w:bidi="en-US"/>
        </w:rPr>
        <w:t>液化天然气技术、装备开发与应用</w:t>
      </w:r>
      <w:r w:rsidR="004D29E2" w:rsidRPr="008A2411">
        <w:rPr>
          <w:rFonts w:ascii="Times New Roman" w:hint="eastAsia"/>
          <w:b/>
          <w:bCs/>
          <w:color w:val="000000" w:themeColor="text1"/>
          <w:szCs w:val="24"/>
          <w:lang w:bidi="en-US"/>
        </w:rPr>
        <w:t>”</w:t>
      </w:r>
      <w:r w:rsidR="004D29E2" w:rsidRPr="008A2411">
        <w:rPr>
          <w:rFonts w:ascii="Times New Roman"/>
          <w:b/>
          <w:bCs/>
          <w:color w:val="000000" w:themeColor="text1"/>
          <w:szCs w:val="24"/>
          <w:lang w:bidi="en-US"/>
        </w:rPr>
        <w:t>，为鼓励类项目</w:t>
      </w:r>
      <w:r w:rsidR="004D29E2" w:rsidRPr="008A2411">
        <w:rPr>
          <w:rFonts w:ascii="Times New Roman" w:hint="eastAsia"/>
          <w:b/>
          <w:bCs/>
          <w:color w:val="000000" w:themeColor="text1"/>
          <w:szCs w:val="24"/>
          <w:lang w:bidi="en-US"/>
        </w:rPr>
        <w:t>。</w:t>
      </w:r>
      <w:r w:rsidRPr="008A2411">
        <w:rPr>
          <w:rFonts w:ascii="Times New Roman"/>
          <w:b/>
          <w:bCs/>
          <w:color w:val="000000" w:themeColor="text1"/>
          <w:szCs w:val="24"/>
          <w:lang w:bidi="en-US"/>
        </w:rPr>
        <w:t>项目经四川省发展和改革委员会以《企业投资项目</w:t>
      </w:r>
      <w:r w:rsidRPr="008A2411">
        <w:rPr>
          <w:rFonts w:ascii="Times New Roman"/>
          <w:b/>
          <w:bCs/>
          <w:color w:val="000000" w:themeColor="text1"/>
        </w:rPr>
        <w:t>备案通知书》（川投资备【</w:t>
      </w:r>
      <w:r w:rsidRPr="008A2411">
        <w:rPr>
          <w:rFonts w:ascii="Times New Roman"/>
          <w:b/>
          <w:bCs/>
          <w:color w:val="000000" w:themeColor="text1"/>
        </w:rPr>
        <w:t>2202-511722-04-01-709299</w:t>
      </w:r>
      <w:r w:rsidRPr="008A2411">
        <w:rPr>
          <w:rFonts w:ascii="Times New Roman"/>
          <w:b/>
          <w:bCs/>
          <w:color w:val="000000" w:themeColor="text1"/>
        </w:rPr>
        <w:t>】</w:t>
      </w:r>
      <w:r w:rsidRPr="008A2411">
        <w:rPr>
          <w:rFonts w:ascii="Times New Roman"/>
          <w:b/>
          <w:bCs/>
          <w:color w:val="000000" w:themeColor="text1"/>
        </w:rPr>
        <w:t>FGQB-0025</w:t>
      </w:r>
      <w:r w:rsidRPr="008A2411">
        <w:rPr>
          <w:rFonts w:ascii="Times New Roman"/>
          <w:b/>
          <w:bCs/>
          <w:color w:val="000000" w:themeColor="text1"/>
        </w:rPr>
        <w:t>号）文准予备案。</w:t>
      </w:r>
    </w:p>
    <w:p w14:paraId="0245BB39" w14:textId="77777777" w:rsidR="00B0005F" w:rsidRPr="008A2411" w:rsidRDefault="00000000">
      <w:pPr>
        <w:pStyle w:val="WJ2"/>
        <w:spacing w:line="360" w:lineRule="auto"/>
        <w:rPr>
          <w:rFonts w:ascii="Times New Roman" w:hAnsi="Times New Roman"/>
          <w:color w:val="000000" w:themeColor="text1"/>
        </w:rPr>
      </w:pPr>
      <w:bookmarkStart w:id="26" w:name="_Toc109170734"/>
      <w:r w:rsidRPr="008A2411">
        <w:rPr>
          <w:rFonts w:ascii="Times New Roman" w:hAnsi="Times New Roman"/>
          <w:color w:val="000000" w:themeColor="text1"/>
        </w:rPr>
        <w:t>1.2</w:t>
      </w:r>
      <w:r w:rsidRPr="008A2411">
        <w:rPr>
          <w:rFonts w:ascii="Times New Roman" w:hAnsi="Times New Roman"/>
          <w:color w:val="000000" w:themeColor="text1"/>
        </w:rPr>
        <w:t>项目特点</w:t>
      </w:r>
      <w:bookmarkEnd w:id="26"/>
    </w:p>
    <w:p w14:paraId="482C2098" w14:textId="77777777" w:rsidR="00B0005F" w:rsidRPr="008A2411" w:rsidRDefault="00000000">
      <w:pPr>
        <w:adjustRightInd w:val="0"/>
        <w:snapToGrid w:val="0"/>
        <w:spacing w:line="360" w:lineRule="auto"/>
        <w:ind w:firstLine="480"/>
        <w:rPr>
          <w:rFonts w:ascii="Times New Roman"/>
          <w:b/>
          <w:bCs/>
          <w:color w:val="000000" w:themeColor="text1"/>
          <w:szCs w:val="24"/>
          <w:lang w:bidi="en-US"/>
        </w:rPr>
      </w:pPr>
      <w:r w:rsidRPr="008A2411">
        <w:rPr>
          <w:rFonts w:ascii="Times New Roman"/>
          <w:color w:val="000000" w:themeColor="text1"/>
          <w:szCs w:val="24"/>
        </w:rPr>
        <w:t>本项目为天然气液化生产项目，具有如下特点：</w:t>
      </w:r>
    </w:p>
    <w:p w14:paraId="5FEB4B79" w14:textId="77777777" w:rsidR="00B0005F" w:rsidRPr="008A2411" w:rsidRDefault="00000000">
      <w:pPr>
        <w:pStyle w:val="a9"/>
        <w:adjustRightInd w:val="0"/>
        <w:snapToGrid w:val="0"/>
        <w:spacing w:after="0" w:line="360" w:lineRule="auto"/>
        <w:ind w:firstLineChars="200" w:firstLine="480"/>
        <w:rPr>
          <w:rFonts w:ascii="Times New Roman"/>
          <w:color w:val="000000" w:themeColor="text1"/>
          <w:sz w:val="24"/>
        </w:rPr>
      </w:pPr>
      <w:r w:rsidRPr="008A2411">
        <w:rPr>
          <w:rFonts w:ascii="Times New Roman"/>
          <w:color w:val="000000" w:themeColor="text1"/>
          <w:sz w:val="24"/>
        </w:rPr>
        <w:t>（</w:t>
      </w:r>
      <w:r w:rsidRPr="008A2411">
        <w:rPr>
          <w:rFonts w:ascii="Times New Roman"/>
          <w:color w:val="000000" w:themeColor="text1"/>
          <w:sz w:val="24"/>
        </w:rPr>
        <w:t>1</w:t>
      </w:r>
      <w:r w:rsidRPr="008A2411">
        <w:rPr>
          <w:rFonts w:ascii="Times New Roman"/>
          <w:color w:val="000000" w:themeColor="text1"/>
          <w:sz w:val="24"/>
        </w:rPr>
        <w:t>）项目施工期主要进行站场建设，施工期主要影响为生态影响，主要体现在施工期对植被、土壤造成的破坏，同时会产生一定的水土流失影响。</w:t>
      </w:r>
    </w:p>
    <w:p w14:paraId="60BB5325" w14:textId="77777777" w:rsidR="00B0005F" w:rsidRPr="008A2411" w:rsidRDefault="00000000">
      <w:pPr>
        <w:pStyle w:val="a9"/>
        <w:adjustRightInd w:val="0"/>
        <w:snapToGrid w:val="0"/>
        <w:spacing w:after="0" w:line="360" w:lineRule="auto"/>
        <w:ind w:firstLineChars="200" w:firstLine="480"/>
        <w:rPr>
          <w:rFonts w:ascii="Times New Roman"/>
          <w:color w:val="000000" w:themeColor="text1"/>
          <w:sz w:val="24"/>
        </w:rPr>
      </w:pPr>
      <w:r w:rsidRPr="008A2411">
        <w:rPr>
          <w:rFonts w:ascii="Times New Roman"/>
          <w:color w:val="000000" w:themeColor="text1"/>
          <w:sz w:val="24"/>
        </w:rPr>
        <w:t>（</w:t>
      </w:r>
      <w:r w:rsidRPr="008A2411">
        <w:rPr>
          <w:rFonts w:ascii="Times New Roman"/>
          <w:color w:val="000000" w:themeColor="text1"/>
          <w:sz w:val="24"/>
        </w:rPr>
        <w:t>2</w:t>
      </w:r>
      <w:r w:rsidRPr="008A2411">
        <w:rPr>
          <w:rFonts w:ascii="Times New Roman"/>
          <w:color w:val="000000" w:themeColor="text1"/>
          <w:sz w:val="24"/>
        </w:rPr>
        <w:t>）运营期主要进行天然气净化及液化生产，运营期需考虑污染影响及环境风险。</w:t>
      </w:r>
    </w:p>
    <w:p w14:paraId="5ADF01B5" w14:textId="77777777" w:rsidR="00190AF8" w:rsidRPr="008A2411" w:rsidRDefault="00000000">
      <w:pPr>
        <w:pStyle w:val="a9"/>
        <w:adjustRightInd w:val="0"/>
        <w:snapToGrid w:val="0"/>
        <w:spacing w:after="0" w:line="360" w:lineRule="auto"/>
        <w:ind w:firstLineChars="200" w:firstLine="480"/>
        <w:rPr>
          <w:rFonts w:ascii="Times New Roman"/>
          <w:b/>
          <w:bCs/>
          <w:color w:val="000000" w:themeColor="text1"/>
          <w:sz w:val="24"/>
        </w:rPr>
      </w:pPr>
      <w:r w:rsidRPr="008A2411">
        <w:rPr>
          <w:rFonts w:ascii="Times New Roman"/>
          <w:color w:val="000000" w:themeColor="text1"/>
          <w:sz w:val="24"/>
        </w:rPr>
        <w:t>（</w:t>
      </w:r>
      <w:r w:rsidRPr="008A2411">
        <w:rPr>
          <w:rFonts w:ascii="Times New Roman"/>
          <w:color w:val="000000" w:themeColor="text1"/>
          <w:sz w:val="24"/>
        </w:rPr>
        <w:t>3</w:t>
      </w:r>
      <w:r w:rsidRPr="008A2411">
        <w:rPr>
          <w:rFonts w:ascii="Times New Roman"/>
          <w:color w:val="000000" w:themeColor="text1"/>
          <w:sz w:val="24"/>
        </w:rPr>
        <w:t>）本项目与一期工程虽然均位于达州普光化工园区普</w:t>
      </w:r>
      <w:proofErr w:type="gramStart"/>
      <w:r w:rsidRPr="008A2411">
        <w:rPr>
          <w:rFonts w:ascii="Times New Roman"/>
          <w:color w:val="000000" w:themeColor="text1"/>
          <w:sz w:val="24"/>
        </w:rPr>
        <w:t>光功能</w:t>
      </w:r>
      <w:proofErr w:type="gramEnd"/>
      <w:r w:rsidRPr="008A2411">
        <w:rPr>
          <w:rFonts w:ascii="Times New Roman"/>
          <w:color w:val="000000" w:themeColor="text1"/>
          <w:sz w:val="24"/>
        </w:rPr>
        <w:t>区，但二期选址位于</w:t>
      </w:r>
      <w:r w:rsidR="00611257" w:rsidRPr="008A2411">
        <w:rPr>
          <w:rFonts w:ascii="Times New Roman" w:hint="eastAsia"/>
          <w:color w:val="000000" w:themeColor="text1"/>
          <w:sz w:val="24"/>
        </w:rPr>
        <w:t>现有</w:t>
      </w:r>
      <w:r w:rsidR="00611257" w:rsidRPr="008A2411">
        <w:rPr>
          <w:rFonts w:ascii="Times New Roman"/>
          <w:color w:val="000000" w:themeColor="text1"/>
          <w:sz w:val="24"/>
        </w:rPr>
        <w:t>宣汉宏</w:t>
      </w:r>
      <w:proofErr w:type="gramStart"/>
      <w:r w:rsidR="00611257" w:rsidRPr="008A2411">
        <w:rPr>
          <w:rFonts w:ascii="Times New Roman"/>
          <w:color w:val="000000" w:themeColor="text1"/>
          <w:sz w:val="24"/>
        </w:rPr>
        <w:t>浩</w:t>
      </w:r>
      <w:proofErr w:type="gramEnd"/>
      <w:r w:rsidR="00611257" w:rsidRPr="008A2411">
        <w:rPr>
          <w:rFonts w:ascii="Times New Roman"/>
          <w:color w:val="000000" w:themeColor="text1"/>
          <w:sz w:val="24"/>
        </w:rPr>
        <w:t>能源科技发展有限公司天然气综合利用</w:t>
      </w:r>
      <w:r w:rsidR="00611257" w:rsidRPr="008A2411">
        <w:rPr>
          <w:rFonts w:ascii="Times New Roman" w:hint="eastAsia"/>
          <w:color w:val="000000" w:themeColor="text1"/>
          <w:sz w:val="24"/>
        </w:rPr>
        <w:t>厂区</w:t>
      </w:r>
      <w:r w:rsidRPr="008A2411">
        <w:rPr>
          <w:rFonts w:ascii="Times New Roman"/>
          <w:color w:val="000000" w:themeColor="text1"/>
          <w:sz w:val="24"/>
        </w:rPr>
        <w:t>西侧约</w:t>
      </w:r>
      <w:r w:rsidRPr="008A2411">
        <w:rPr>
          <w:rFonts w:ascii="Times New Roman"/>
          <w:color w:val="000000" w:themeColor="text1"/>
          <w:sz w:val="24"/>
        </w:rPr>
        <w:t>1.8km</w:t>
      </w:r>
      <w:r w:rsidRPr="008A2411">
        <w:rPr>
          <w:rFonts w:ascii="Times New Roman"/>
          <w:color w:val="000000" w:themeColor="text1"/>
          <w:sz w:val="24"/>
        </w:rPr>
        <w:t>，</w:t>
      </w:r>
      <w:r w:rsidR="00611257" w:rsidRPr="008A2411">
        <w:rPr>
          <w:rFonts w:ascii="Times New Roman" w:hint="eastAsia"/>
          <w:color w:val="000000" w:themeColor="text1"/>
          <w:sz w:val="24"/>
        </w:rPr>
        <w:t>本项目</w:t>
      </w:r>
      <w:r w:rsidRPr="008A2411">
        <w:rPr>
          <w:rFonts w:ascii="Times New Roman"/>
          <w:color w:val="000000" w:themeColor="text1"/>
          <w:sz w:val="24"/>
        </w:rPr>
        <w:t>与</w:t>
      </w:r>
      <w:r w:rsidR="00611257" w:rsidRPr="008A2411">
        <w:rPr>
          <w:rFonts w:ascii="Times New Roman" w:hint="eastAsia"/>
          <w:color w:val="000000" w:themeColor="text1"/>
          <w:sz w:val="24"/>
        </w:rPr>
        <w:t>现有</w:t>
      </w:r>
      <w:r w:rsidR="00611257" w:rsidRPr="008A2411">
        <w:rPr>
          <w:rFonts w:ascii="Times New Roman"/>
          <w:color w:val="000000" w:themeColor="text1"/>
          <w:sz w:val="24"/>
        </w:rPr>
        <w:t>宣汉宏</w:t>
      </w:r>
      <w:proofErr w:type="gramStart"/>
      <w:r w:rsidR="00611257" w:rsidRPr="008A2411">
        <w:rPr>
          <w:rFonts w:ascii="Times New Roman"/>
          <w:color w:val="000000" w:themeColor="text1"/>
          <w:sz w:val="24"/>
        </w:rPr>
        <w:t>浩</w:t>
      </w:r>
      <w:proofErr w:type="gramEnd"/>
      <w:r w:rsidR="00611257" w:rsidRPr="008A2411">
        <w:rPr>
          <w:rFonts w:ascii="Times New Roman"/>
          <w:color w:val="000000" w:themeColor="text1"/>
          <w:sz w:val="24"/>
        </w:rPr>
        <w:t>能源科技发展有限公司天然气综合利用</w:t>
      </w:r>
      <w:r w:rsidR="00611257" w:rsidRPr="008A2411">
        <w:rPr>
          <w:rFonts w:ascii="Times New Roman" w:hint="eastAsia"/>
          <w:color w:val="000000" w:themeColor="text1"/>
          <w:sz w:val="24"/>
        </w:rPr>
        <w:t>项目</w:t>
      </w:r>
      <w:r w:rsidRPr="008A2411">
        <w:rPr>
          <w:rFonts w:ascii="Times New Roman"/>
          <w:color w:val="000000" w:themeColor="text1"/>
          <w:sz w:val="24"/>
        </w:rPr>
        <w:t>不存在依托关系，</w:t>
      </w:r>
      <w:r w:rsidRPr="008A2411">
        <w:rPr>
          <w:rFonts w:ascii="Times New Roman"/>
          <w:b/>
          <w:bCs/>
          <w:color w:val="000000" w:themeColor="text1"/>
          <w:sz w:val="24"/>
        </w:rPr>
        <w:t>因此本项目的建设性质为新建</w:t>
      </w:r>
      <w:r w:rsidR="00190AF8" w:rsidRPr="008A2411">
        <w:rPr>
          <w:rFonts w:ascii="Times New Roman" w:hint="eastAsia"/>
          <w:b/>
          <w:bCs/>
          <w:color w:val="000000" w:themeColor="text1"/>
          <w:sz w:val="24"/>
        </w:rPr>
        <w:t>；</w:t>
      </w:r>
    </w:p>
    <w:p w14:paraId="0D71ABC1" w14:textId="06FA07F9" w:rsidR="00B0005F" w:rsidRPr="008A2411" w:rsidRDefault="00190AF8">
      <w:pPr>
        <w:pStyle w:val="a9"/>
        <w:adjustRightInd w:val="0"/>
        <w:snapToGrid w:val="0"/>
        <w:spacing w:after="0" w:line="360" w:lineRule="auto"/>
        <w:ind w:firstLineChars="200" w:firstLine="482"/>
        <w:rPr>
          <w:rFonts w:ascii="Times New Roman"/>
          <w:b/>
          <w:bCs/>
          <w:color w:val="000000" w:themeColor="text1"/>
          <w:sz w:val="24"/>
        </w:rPr>
      </w:pPr>
      <w:r w:rsidRPr="008A2411">
        <w:rPr>
          <w:rFonts w:ascii="Times New Roman" w:hint="eastAsia"/>
          <w:b/>
          <w:bCs/>
          <w:color w:val="000000" w:themeColor="text1"/>
          <w:sz w:val="24"/>
        </w:rPr>
        <w:t>（</w:t>
      </w:r>
      <w:r w:rsidRPr="008A2411">
        <w:rPr>
          <w:rFonts w:ascii="Times New Roman" w:hint="eastAsia"/>
          <w:b/>
          <w:bCs/>
          <w:color w:val="000000" w:themeColor="text1"/>
          <w:sz w:val="24"/>
        </w:rPr>
        <w:t>4</w:t>
      </w:r>
      <w:r w:rsidRPr="008A2411">
        <w:rPr>
          <w:rFonts w:ascii="Times New Roman" w:hint="eastAsia"/>
          <w:b/>
          <w:bCs/>
          <w:color w:val="000000" w:themeColor="text1"/>
          <w:sz w:val="24"/>
        </w:rPr>
        <w:t>）本项目仅</w:t>
      </w:r>
      <w:r w:rsidR="00475F44" w:rsidRPr="008A2411">
        <w:rPr>
          <w:rFonts w:ascii="Times New Roman" w:hint="eastAsia"/>
          <w:b/>
          <w:bCs/>
          <w:color w:val="000000" w:themeColor="text1"/>
          <w:sz w:val="24"/>
        </w:rPr>
        <w:t>对原料天然气净化、液化天然气生产站场进行评价，原料气管道不包含于本次评价范围内</w:t>
      </w:r>
      <w:r w:rsidRPr="008A2411">
        <w:rPr>
          <w:rFonts w:ascii="Times New Roman"/>
          <w:b/>
          <w:bCs/>
          <w:color w:val="000000" w:themeColor="text1"/>
          <w:sz w:val="24"/>
        </w:rPr>
        <w:t>。</w:t>
      </w:r>
    </w:p>
    <w:p w14:paraId="3788CE2B" w14:textId="15FC8856" w:rsidR="00B0005F" w:rsidRPr="008A2411" w:rsidRDefault="00000000">
      <w:pPr>
        <w:pStyle w:val="WJ2"/>
        <w:snapToGrid/>
        <w:spacing w:line="360" w:lineRule="auto"/>
        <w:rPr>
          <w:rFonts w:ascii="Times New Roman" w:hAnsi="Times New Roman"/>
          <w:color w:val="000000" w:themeColor="text1"/>
        </w:rPr>
      </w:pPr>
      <w:bookmarkStart w:id="27" w:name="_Toc109170735"/>
      <w:r w:rsidRPr="008A2411">
        <w:rPr>
          <w:rFonts w:ascii="Times New Roman" w:hAnsi="Times New Roman"/>
          <w:color w:val="000000" w:themeColor="text1"/>
        </w:rPr>
        <w:t>1.3</w:t>
      </w:r>
      <w:r w:rsidRPr="008A2411">
        <w:rPr>
          <w:rFonts w:ascii="Times New Roman" w:hAnsi="Times New Roman"/>
          <w:color w:val="000000" w:themeColor="text1"/>
        </w:rPr>
        <w:t>环境影响评价</w:t>
      </w:r>
      <w:r w:rsidR="00571CF1" w:rsidRPr="008A2411">
        <w:rPr>
          <w:rFonts w:ascii="Times New Roman" w:hAnsi="Times New Roman" w:hint="eastAsia"/>
          <w:color w:val="000000" w:themeColor="text1"/>
        </w:rPr>
        <w:t>工作</w:t>
      </w:r>
      <w:r w:rsidRPr="008A2411">
        <w:rPr>
          <w:rFonts w:ascii="Times New Roman" w:hAnsi="Times New Roman"/>
          <w:color w:val="000000" w:themeColor="text1"/>
        </w:rPr>
        <w:t>过程</w:t>
      </w:r>
      <w:bookmarkEnd w:id="27"/>
    </w:p>
    <w:p w14:paraId="165A2476" w14:textId="77777777" w:rsidR="00B0005F" w:rsidRPr="008A2411" w:rsidRDefault="00000000">
      <w:pPr>
        <w:pStyle w:val="WJ"/>
        <w:adjustRightInd w:val="0"/>
        <w:spacing w:line="360" w:lineRule="auto"/>
        <w:rPr>
          <w:rFonts w:ascii="Times New Roman" w:hAnsi="Times New Roman"/>
          <w:color w:val="000000" w:themeColor="text1"/>
        </w:rPr>
      </w:pPr>
      <w:bookmarkStart w:id="28" w:name="_Toc405905265"/>
      <w:bookmarkStart w:id="29" w:name="_Toc422906809"/>
      <w:bookmarkEnd w:id="21"/>
      <w:bookmarkEnd w:id="22"/>
      <w:bookmarkEnd w:id="23"/>
      <w:bookmarkEnd w:id="24"/>
      <w:bookmarkEnd w:id="25"/>
      <w:r w:rsidRPr="008A2411">
        <w:rPr>
          <w:rFonts w:ascii="Times New Roman" w:hAnsi="Times New Roman"/>
          <w:color w:val="000000" w:themeColor="text1"/>
        </w:rPr>
        <w:t>为了考查本项目对环境的影响程度，为主管部门审查和决策和本项目的环境管理提供依据，并从环境保护角度论证项目的可行性，按《中华人民共和国环境保护法》、《中华人民共和国环境影响评价法》和</w:t>
      </w:r>
      <w:r w:rsidRPr="008A2411">
        <w:rPr>
          <w:rFonts w:ascii="Times New Roman" w:hAnsi="Times New Roman" w:hint="eastAsia"/>
          <w:color w:val="000000" w:themeColor="text1"/>
        </w:rPr>
        <w:t>“</w:t>
      </w:r>
      <w:r w:rsidRPr="008A2411">
        <w:rPr>
          <w:rFonts w:ascii="Times New Roman" w:hAnsi="Times New Roman"/>
          <w:color w:val="000000" w:themeColor="text1"/>
        </w:rPr>
        <w:t>国务院关于修改〈建设项目环境保护管理条例〉的决定》</w:t>
      </w:r>
      <w:r w:rsidRPr="008A2411">
        <w:rPr>
          <w:rFonts w:ascii="Times New Roman" w:hAnsi="Times New Roman" w:hint="eastAsia"/>
          <w:color w:val="000000" w:themeColor="text1"/>
        </w:rPr>
        <w:t>”</w:t>
      </w:r>
      <w:r w:rsidRPr="008A2411">
        <w:rPr>
          <w:rFonts w:ascii="Times New Roman" w:hAnsi="Times New Roman"/>
          <w:color w:val="000000" w:themeColor="text1"/>
        </w:rPr>
        <w:t>等文件，本项目建设需进行环境影响评价。根据《建设项目环境影响评价分类管理名录（</w:t>
      </w:r>
      <w:r w:rsidRPr="008A2411">
        <w:rPr>
          <w:rFonts w:ascii="Times New Roman" w:hAnsi="Times New Roman"/>
          <w:color w:val="000000" w:themeColor="text1"/>
        </w:rPr>
        <w:t>2021</w:t>
      </w:r>
      <w:r w:rsidRPr="008A2411">
        <w:rPr>
          <w:rFonts w:ascii="Times New Roman" w:hAnsi="Times New Roman"/>
          <w:color w:val="000000" w:themeColor="text1"/>
        </w:rPr>
        <w:t>年版）》（生态环境部</w:t>
      </w:r>
      <w:r w:rsidRPr="008A2411">
        <w:rPr>
          <w:rFonts w:ascii="Times New Roman" w:hAnsi="Times New Roman"/>
          <w:color w:val="000000" w:themeColor="text1"/>
        </w:rPr>
        <w:t>16</w:t>
      </w:r>
      <w:r w:rsidRPr="008A2411">
        <w:rPr>
          <w:rFonts w:ascii="Times New Roman" w:hAnsi="Times New Roman"/>
          <w:color w:val="000000" w:themeColor="text1"/>
        </w:rPr>
        <w:t>号令，</w:t>
      </w:r>
      <w:r w:rsidRPr="008A2411">
        <w:rPr>
          <w:rFonts w:ascii="Times New Roman" w:hAnsi="Times New Roman"/>
          <w:color w:val="000000" w:themeColor="text1"/>
        </w:rPr>
        <w:t>2021</w:t>
      </w:r>
      <w:r w:rsidRPr="008A2411">
        <w:rPr>
          <w:rFonts w:ascii="Times New Roman" w:hAnsi="Times New Roman"/>
          <w:color w:val="000000" w:themeColor="text1"/>
        </w:rPr>
        <w:t>年</w:t>
      </w:r>
      <w:r w:rsidRPr="008A2411">
        <w:rPr>
          <w:rFonts w:ascii="Times New Roman" w:hAnsi="Times New Roman"/>
          <w:color w:val="000000" w:themeColor="text1"/>
        </w:rPr>
        <w:t>1</w:t>
      </w:r>
      <w:r w:rsidRPr="008A2411">
        <w:rPr>
          <w:rFonts w:ascii="Times New Roman" w:hAnsi="Times New Roman"/>
          <w:color w:val="000000" w:themeColor="text1"/>
        </w:rPr>
        <w:t>月</w:t>
      </w:r>
      <w:r w:rsidRPr="008A2411">
        <w:rPr>
          <w:rFonts w:ascii="Times New Roman" w:hAnsi="Times New Roman"/>
          <w:color w:val="000000" w:themeColor="text1"/>
        </w:rPr>
        <w:t>1</w:t>
      </w:r>
      <w:r w:rsidRPr="008A2411">
        <w:rPr>
          <w:rFonts w:ascii="Times New Roman" w:hAnsi="Times New Roman"/>
          <w:color w:val="000000" w:themeColor="text1"/>
        </w:rPr>
        <w:t>日修订）的要求，本项目为天然气综合利用项目（</w:t>
      </w:r>
      <w:r w:rsidRPr="008A2411">
        <w:rPr>
          <w:rFonts w:ascii="Times New Roman" w:hAnsi="Times New Roman"/>
          <w:color w:val="000000" w:themeColor="text1"/>
        </w:rPr>
        <w:t>LNG</w:t>
      </w:r>
      <w:r w:rsidRPr="008A2411">
        <w:rPr>
          <w:rFonts w:ascii="Times New Roman" w:hAnsi="Times New Roman"/>
          <w:color w:val="000000" w:themeColor="text1"/>
        </w:rPr>
        <w:t>）二期，属于第五类石油和天然气开采业，第</w:t>
      </w:r>
      <w:r w:rsidRPr="008A2411">
        <w:rPr>
          <w:rFonts w:ascii="Times New Roman" w:hAnsi="Times New Roman"/>
          <w:color w:val="000000" w:themeColor="text1"/>
        </w:rPr>
        <w:t>08</w:t>
      </w:r>
      <w:r w:rsidRPr="008A2411">
        <w:rPr>
          <w:rFonts w:ascii="Times New Roman" w:hAnsi="Times New Roman"/>
          <w:color w:val="000000" w:themeColor="text1"/>
        </w:rPr>
        <w:t>项</w:t>
      </w:r>
      <w:r w:rsidRPr="008A2411">
        <w:rPr>
          <w:rFonts w:ascii="Times New Roman" w:hAnsi="Times New Roman" w:hint="eastAsia"/>
          <w:color w:val="000000" w:themeColor="text1"/>
        </w:rPr>
        <w:t>“</w:t>
      </w:r>
      <w:r w:rsidRPr="008A2411">
        <w:rPr>
          <w:rFonts w:ascii="Times New Roman" w:hAnsi="Times New Roman"/>
          <w:color w:val="000000" w:themeColor="text1"/>
        </w:rPr>
        <w:t>新区块开发；年生产能力</w:t>
      </w:r>
      <w:r w:rsidRPr="008A2411">
        <w:rPr>
          <w:rFonts w:ascii="Times New Roman" w:hAnsi="Times New Roman"/>
          <w:color w:val="000000" w:themeColor="text1"/>
        </w:rPr>
        <w:t>1</w:t>
      </w:r>
      <w:r w:rsidRPr="008A2411">
        <w:rPr>
          <w:rFonts w:ascii="Times New Roman" w:hAnsi="Times New Roman"/>
          <w:color w:val="000000" w:themeColor="text1"/>
        </w:rPr>
        <w:t>亿立方米及以上的煤层气开采；涉及环境敏感区的（含内部集输管线建设）中的</w:t>
      </w:r>
      <w:r w:rsidRPr="008A2411">
        <w:rPr>
          <w:rFonts w:ascii="Times New Roman" w:hAnsi="Times New Roman"/>
          <w:color w:val="000000" w:themeColor="text1"/>
        </w:rPr>
        <w:t>——</w:t>
      </w:r>
      <w:r w:rsidRPr="008A2411">
        <w:rPr>
          <w:rFonts w:ascii="Times New Roman" w:hAnsi="Times New Roman"/>
          <w:color w:val="000000" w:themeColor="text1"/>
        </w:rPr>
        <w:t>涉及环境敏感区（水土流失重点预防区和重点治理区）的项目</w:t>
      </w:r>
      <w:r w:rsidRPr="008A2411">
        <w:rPr>
          <w:rFonts w:ascii="Times New Roman" w:hAnsi="Times New Roman" w:hint="eastAsia"/>
          <w:color w:val="000000" w:themeColor="text1"/>
        </w:rPr>
        <w:t>”</w:t>
      </w:r>
      <w:r w:rsidRPr="008A2411">
        <w:rPr>
          <w:rFonts w:ascii="Times New Roman" w:hAnsi="Times New Roman"/>
          <w:color w:val="000000" w:themeColor="text1"/>
        </w:rPr>
        <w:t>，应编制环境影响报告书。</w:t>
      </w:r>
    </w:p>
    <w:p w14:paraId="1B35785E" w14:textId="77777777" w:rsidR="00B0005F" w:rsidRPr="008A2411" w:rsidRDefault="00000000">
      <w:pPr>
        <w:pStyle w:val="afffffffffffffffffffff0"/>
        <w:ind w:firstLine="480"/>
        <w:rPr>
          <w:color w:val="000000" w:themeColor="text1"/>
        </w:rPr>
      </w:pPr>
      <w:r w:rsidRPr="008A2411">
        <w:rPr>
          <w:color w:val="000000" w:themeColor="text1"/>
        </w:rPr>
        <w:t>本项目位于达州市宣汉县，根据水利部办公厅关于印发《全国水士保持规划国家级水土流失重点预防区和重点治理区复核划分成果》（办水保〔</w:t>
      </w:r>
      <w:r w:rsidRPr="008A2411">
        <w:rPr>
          <w:color w:val="000000" w:themeColor="text1"/>
        </w:rPr>
        <w:t>2013</w:t>
      </w:r>
      <w:r w:rsidRPr="008A2411">
        <w:rPr>
          <w:color w:val="000000" w:themeColor="text1"/>
        </w:rPr>
        <w:t>〕</w:t>
      </w:r>
      <w:r w:rsidRPr="008A2411">
        <w:rPr>
          <w:color w:val="000000" w:themeColor="text1"/>
        </w:rPr>
        <w:t>188</w:t>
      </w:r>
      <w:r w:rsidRPr="008A2411">
        <w:rPr>
          <w:color w:val="000000" w:themeColor="text1"/>
        </w:rPr>
        <w:t>号）的通知，本项目属于四川省国家级水土流失重点治</w:t>
      </w:r>
      <w:proofErr w:type="gramStart"/>
      <w:r w:rsidRPr="008A2411">
        <w:rPr>
          <w:color w:val="000000" w:themeColor="text1"/>
        </w:rPr>
        <w:t>预防区</w:t>
      </w:r>
      <w:proofErr w:type="gramEnd"/>
      <w:r w:rsidRPr="008A2411">
        <w:rPr>
          <w:color w:val="000000" w:themeColor="text1"/>
        </w:rPr>
        <w:t>和重点治理区名单</w:t>
      </w:r>
      <w:r w:rsidRPr="008A2411">
        <w:rPr>
          <w:color w:val="000000" w:themeColor="text1"/>
        </w:rPr>
        <w:lastRenderedPageBreak/>
        <w:t>中所列区县，详见下表。</w:t>
      </w:r>
    </w:p>
    <w:p w14:paraId="6D577C25" w14:textId="77777777" w:rsidR="00B0005F" w:rsidRPr="008A2411" w:rsidRDefault="00000000">
      <w:pPr>
        <w:pStyle w:val="TOC1"/>
        <w:jc w:val="center"/>
        <w:rPr>
          <w:rFonts w:ascii="Times New Roman" w:eastAsia="黑体" w:hAnsi="Times New Roman" w:cs="Times New Roman"/>
          <w:b w:val="0"/>
          <w:bCs w:val="0"/>
          <w:caps w:val="0"/>
          <w:color w:val="000000" w:themeColor="text1"/>
          <w:sz w:val="24"/>
        </w:rPr>
      </w:pPr>
      <w:r w:rsidRPr="008A2411">
        <w:rPr>
          <w:rFonts w:ascii="Times New Roman" w:eastAsia="黑体" w:hAnsi="Times New Roman" w:cs="Times New Roman"/>
          <w:b w:val="0"/>
          <w:bCs w:val="0"/>
          <w:caps w:val="0"/>
          <w:color w:val="000000" w:themeColor="text1"/>
          <w:sz w:val="24"/>
        </w:rPr>
        <w:t>表</w:t>
      </w:r>
      <w:r w:rsidRPr="008A2411">
        <w:rPr>
          <w:rFonts w:ascii="Times New Roman" w:eastAsia="黑体" w:hAnsi="Times New Roman" w:cs="Times New Roman"/>
          <w:b w:val="0"/>
          <w:bCs w:val="0"/>
          <w:caps w:val="0"/>
          <w:color w:val="000000" w:themeColor="text1"/>
          <w:sz w:val="24"/>
        </w:rPr>
        <w:t xml:space="preserve">1  </w:t>
      </w:r>
      <w:r w:rsidRPr="008A2411">
        <w:rPr>
          <w:rFonts w:ascii="Times New Roman" w:eastAsia="黑体" w:hAnsi="Times New Roman" w:cs="Times New Roman"/>
          <w:b w:val="0"/>
          <w:bCs w:val="0"/>
          <w:caps w:val="0"/>
          <w:color w:val="000000" w:themeColor="text1"/>
          <w:sz w:val="24"/>
        </w:rPr>
        <w:t>四川省国家级水土流失重点治理区名单</w:t>
      </w:r>
    </w:p>
    <w:tbl>
      <w:tblPr>
        <w:tblStyle w:val="affff9"/>
        <w:tblW w:w="0" w:type="auto"/>
        <w:tblBorders>
          <w:top w:val="single" w:sz="4" w:space="0" w:color="auto"/>
          <w:left w:val="single" w:sz="4" w:space="0" w:color="auto"/>
          <w:bottom w:val="single" w:sz="4" w:space="0" w:color="auto"/>
          <w:right w:val="single" w:sz="4" w:space="0" w:color="auto"/>
          <w:insideH w:val="single" w:sz="4" w:space="0" w:color="000000" w:themeColor="text1"/>
          <w:insideV w:val="single" w:sz="4" w:space="0" w:color="000000" w:themeColor="text1"/>
        </w:tblBorders>
        <w:tblLook w:val="04A0" w:firstRow="1" w:lastRow="0" w:firstColumn="1" w:lastColumn="0" w:noHBand="0" w:noVBand="1"/>
      </w:tblPr>
      <w:tblGrid>
        <w:gridCol w:w="1584"/>
        <w:gridCol w:w="6938"/>
      </w:tblGrid>
      <w:tr w:rsidR="008A2411" w:rsidRPr="008A2411" w14:paraId="2641C0CC" w14:textId="77777777">
        <w:tc>
          <w:tcPr>
            <w:tcW w:w="9340" w:type="dxa"/>
            <w:gridSpan w:val="2"/>
            <w:vAlign w:val="center"/>
          </w:tcPr>
          <w:p w14:paraId="50429B04" w14:textId="77777777" w:rsidR="00B0005F" w:rsidRPr="008A2411" w:rsidRDefault="00000000">
            <w:pPr>
              <w:pStyle w:val="afffffffffffffffffffff0"/>
              <w:spacing w:line="240" w:lineRule="auto"/>
              <w:ind w:firstLineChars="0" w:firstLine="0"/>
              <w:jc w:val="center"/>
              <w:rPr>
                <w:b/>
                <w:bCs/>
                <w:color w:val="000000" w:themeColor="text1"/>
                <w:sz w:val="21"/>
                <w:szCs w:val="21"/>
              </w:rPr>
            </w:pPr>
            <w:r w:rsidRPr="008A2411">
              <w:rPr>
                <w:b/>
                <w:bCs/>
                <w:color w:val="000000" w:themeColor="text1"/>
                <w:sz w:val="21"/>
                <w:szCs w:val="21"/>
              </w:rPr>
              <w:t>重点治理区</w:t>
            </w:r>
          </w:p>
        </w:tc>
      </w:tr>
      <w:tr w:rsidR="008A2411" w:rsidRPr="008A2411" w14:paraId="437F478C" w14:textId="77777777">
        <w:tc>
          <w:tcPr>
            <w:tcW w:w="1696" w:type="dxa"/>
            <w:vAlign w:val="center"/>
          </w:tcPr>
          <w:p w14:paraId="438E0B81" w14:textId="77777777" w:rsidR="00B0005F" w:rsidRPr="008A2411" w:rsidRDefault="00000000">
            <w:pPr>
              <w:pStyle w:val="afffffffffffffffffffff0"/>
              <w:spacing w:line="240" w:lineRule="auto"/>
              <w:ind w:firstLineChars="0" w:firstLine="0"/>
              <w:jc w:val="center"/>
              <w:rPr>
                <w:color w:val="000000" w:themeColor="text1"/>
                <w:sz w:val="21"/>
                <w:szCs w:val="21"/>
              </w:rPr>
            </w:pPr>
            <w:r w:rsidRPr="008A2411">
              <w:rPr>
                <w:color w:val="000000" w:themeColor="text1"/>
                <w:sz w:val="21"/>
                <w:szCs w:val="21"/>
              </w:rPr>
              <w:t>嘉陵江及沱江中下游国家级水土流失重点治理区</w:t>
            </w:r>
          </w:p>
          <w:p w14:paraId="3B5C32F3" w14:textId="77777777" w:rsidR="00B0005F" w:rsidRPr="008A2411" w:rsidRDefault="00000000">
            <w:pPr>
              <w:pStyle w:val="afffffffffffffffffffff0"/>
              <w:spacing w:line="240" w:lineRule="auto"/>
              <w:ind w:firstLineChars="0" w:firstLine="0"/>
              <w:jc w:val="center"/>
              <w:rPr>
                <w:color w:val="000000" w:themeColor="text1"/>
                <w:sz w:val="21"/>
                <w:szCs w:val="21"/>
              </w:rPr>
            </w:pPr>
            <w:r w:rsidRPr="008A2411">
              <w:rPr>
                <w:color w:val="000000" w:themeColor="text1"/>
                <w:sz w:val="21"/>
                <w:szCs w:val="21"/>
              </w:rPr>
              <w:t>GII2</w:t>
            </w:r>
          </w:p>
        </w:tc>
        <w:tc>
          <w:tcPr>
            <w:tcW w:w="7644" w:type="dxa"/>
            <w:vAlign w:val="center"/>
          </w:tcPr>
          <w:p w14:paraId="5B1B5B02" w14:textId="77777777" w:rsidR="00B0005F" w:rsidRPr="008A2411" w:rsidRDefault="00000000">
            <w:pPr>
              <w:pStyle w:val="afffffffffffffffffffff0"/>
              <w:spacing w:line="240" w:lineRule="auto"/>
              <w:ind w:firstLineChars="0" w:firstLine="0"/>
              <w:jc w:val="center"/>
              <w:rPr>
                <w:color w:val="000000" w:themeColor="text1"/>
                <w:sz w:val="21"/>
                <w:szCs w:val="21"/>
              </w:rPr>
            </w:pPr>
            <w:r w:rsidRPr="008A2411">
              <w:rPr>
                <w:color w:val="000000" w:themeColor="text1"/>
                <w:sz w:val="21"/>
                <w:szCs w:val="21"/>
              </w:rPr>
              <w:t>巴中市：巴州区、恩阳区、平昌县；成都市：金堂县、简阳市；达州市：达川区、大竹县、开江县、渠县、通川区、</w:t>
            </w:r>
            <w:r w:rsidRPr="008A2411">
              <w:rPr>
                <w:b/>
                <w:bCs/>
                <w:color w:val="000000" w:themeColor="text1"/>
                <w:sz w:val="21"/>
                <w:szCs w:val="21"/>
              </w:rPr>
              <w:t>宣汉县</w:t>
            </w:r>
            <w:r w:rsidRPr="008A2411">
              <w:rPr>
                <w:color w:val="000000" w:themeColor="text1"/>
                <w:sz w:val="21"/>
                <w:szCs w:val="21"/>
              </w:rPr>
              <w:t>；德阳市：中江县；广元市：苍溪县、剑阁县；乐山市：犍为县、井研县；眉山市：仁寿县；绵阳市：三台县、盐亭县、梓潼县；内江市：威远县、资中县；南充市：阆中市、仪陇县、营山县；遂宁市：大英县；宜宾市：宜宾县；资阳市：安岳县、乐至县、</w:t>
            </w:r>
            <w:proofErr w:type="gramStart"/>
            <w:r w:rsidRPr="008A2411">
              <w:rPr>
                <w:color w:val="000000" w:themeColor="text1"/>
                <w:sz w:val="21"/>
                <w:szCs w:val="21"/>
              </w:rPr>
              <w:t>雁江区</w:t>
            </w:r>
            <w:proofErr w:type="gramEnd"/>
            <w:r w:rsidRPr="008A2411">
              <w:rPr>
                <w:color w:val="000000" w:themeColor="text1"/>
                <w:sz w:val="21"/>
                <w:szCs w:val="21"/>
              </w:rPr>
              <w:t>；自贡市；柴县（</w:t>
            </w:r>
            <w:r w:rsidRPr="008A2411">
              <w:rPr>
                <w:color w:val="000000" w:themeColor="text1"/>
                <w:sz w:val="21"/>
                <w:szCs w:val="21"/>
              </w:rPr>
              <w:t>31</w:t>
            </w:r>
            <w:r w:rsidRPr="008A2411">
              <w:rPr>
                <w:color w:val="000000" w:themeColor="text1"/>
                <w:sz w:val="21"/>
                <w:szCs w:val="21"/>
              </w:rPr>
              <w:t>）</w:t>
            </w:r>
          </w:p>
        </w:tc>
      </w:tr>
    </w:tbl>
    <w:p w14:paraId="04E8AE50" w14:textId="77777777" w:rsidR="00B0005F" w:rsidRPr="008A2411" w:rsidRDefault="00000000">
      <w:pPr>
        <w:pStyle w:val="WJ"/>
        <w:adjustRightInd w:val="0"/>
        <w:spacing w:line="360" w:lineRule="auto"/>
        <w:rPr>
          <w:rFonts w:ascii="Times New Roman" w:hAnsi="Times New Roman"/>
          <w:b/>
          <w:snapToGrid w:val="0"/>
          <w:color w:val="000000" w:themeColor="text1"/>
        </w:rPr>
      </w:pPr>
      <w:r w:rsidRPr="008A2411">
        <w:rPr>
          <w:rFonts w:ascii="Times New Roman" w:hAnsi="Times New Roman"/>
          <w:color w:val="000000" w:themeColor="text1"/>
        </w:rPr>
        <w:t>据此，宣汉宏</w:t>
      </w:r>
      <w:proofErr w:type="gramStart"/>
      <w:r w:rsidRPr="008A2411">
        <w:rPr>
          <w:rFonts w:ascii="Times New Roman" w:hAnsi="Times New Roman"/>
          <w:color w:val="000000" w:themeColor="text1"/>
        </w:rPr>
        <w:t>浩</w:t>
      </w:r>
      <w:proofErr w:type="gramEnd"/>
      <w:r w:rsidRPr="008A2411">
        <w:rPr>
          <w:rFonts w:ascii="Times New Roman" w:hAnsi="Times New Roman"/>
          <w:color w:val="000000" w:themeColor="text1"/>
        </w:rPr>
        <w:t>能源科技发展有限公司委托成都艺博环美环保科技有限公司进行</w:t>
      </w:r>
      <w:r w:rsidRPr="008A2411">
        <w:rPr>
          <w:rFonts w:ascii="Times New Roman" w:hAnsi="Times New Roman" w:hint="eastAsia"/>
          <w:color w:val="000000" w:themeColor="text1"/>
        </w:rPr>
        <w:t>“</w:t>
      </w:r>
      <w:r w:rsidRPr="008A2411">
        <w:rPr>
          <w:rFonts w:ascii="Times New Roman" w:hAnsi="Times New Roman"/>
          <w:color w:val="000000" w:themeColor="text1"/>
        </w:rPr>
        <w:t>天然气综合利用项目（</w:t>
      </w:r>
      <w:r w:rsidRPr="008A2411">
        <w:rPr>
          <w:rFonts w:ascii="Times New Roman" w:hAnsi="Times New Roman"/>
          <w:color w:val="000000" w:themeColor="text1"/>
        </w:rPr>
        <w:t>LNG</w:t>
      </w:r>
      <w:r w:rsidRPr="008A2411">
        <w:rPr>
          <w:rFonts w:ascii="Times New Roman" w:hAnsi="Times New Roman"/>
          <w:color w:val="000000" w:themeColor="text1"/>
        </w:rPr>
        <w:t>）二期</w:t>
      </w:r>
      <w:r w:rsidRPr="008A2411">
        <w:rPr>
          <w:rFonts w:ascii="Times New Roman" w:hAnsi="Times New Roman" w:hint="eastAsia"/>
          <w:color w:val="000000" w:themeColor="text1"/>
        </w:rPr>
        <w:t>”</w:t>
      </w:r>
      <w:r w:rsidRPr="008A2411">
        <w:rPr>
          <w:rFonts w:ascii="Times New Roman" w:hAnsi="Times New Roman"/>
          <w:color w:val="000000" w:themeColor="text1"/>
        </w:rPr>
        <w:t>的环境影响评价工作。成都艺博环美环保科技有限公司接受委托后，迅速组成了环</w:t>
      </w:r>
      <w:proofErr w:type="gramStart"/>
      <w:r w:rsidRPr="008A2411">
        <w:rPr>
          <w:rFonts w:ascii="Times New Roman" w:hAnsi="Times New Roman"/>
          <w:color w:val="000000" w:themeColor="text1"/>
        </w:rPr>
        <w:t>评技术</w:t>
      </w:r>
      <w:proofErr w:type="gramEnd"/>
      <w:r w:rsidRPr="008A2411">
        <w:rPr>
          <w:rFonts w:ascii="Times New Roman" w:hAnsi="Times New Roman"/>
          <w:color w:val="000000" w:themeColor="text1"/>
        </w:rPr>
        <w:t>小组，并收集本项目的工程资料和相关文件，组织技术人员实地踏勘本项目拟建地及周围环境关系现状，收集了区域环境质量现状公报与建设单位前期针对本项目委托环境监测单位实施的环境现状监测报告，在工程分析的基础上预测本项目的环境影响，针对不利影响提出减缓环保措施，同时建设单位实施了本项目的环境影响公众参与工作，在上述工作的基础上，根据《环境影响评价技术导则》等有关技术规范编制完成《天然气综合利用项目（</w:t>
      </w:r>
      <w:r w:rsidRPr="008A2411">
        <w:rPr>
          <w:rFonts w:ascii="Times New Roman" w:hAnsi="Times New Roman"/>
          <w:color w:val="000000" w:themeColor="text1"/>
        </w:rPr>
        <w:t>LNG</w:t>
      </w:r>
      <w:r w:rsidRPr="008A2411">
        <w:rPr>
          <w:rFonts w:ascii="Times New Roman" w:hAnsi="Times New Roman"/>
          <w:color w:val="000000" w:themeColor="text1"/>
        </w:rPr>
        <w:t>）二期环境影响报告书》，</w:t>
      </w:r>
      <w:r w:rsidRPr="008A2411">
        <w:rPr>
          <w:rFonts w:ascii="Times New Roman" w:hAnsi="Times New Roman"/>
          <w:snapToGrid w:val="0"/>
          <w:color w:val="000000" w:themeColor="text1"/>
        </w:rPr>
        <w:t>上报具有相应审批权限的环境保护行政主管部门审批后，作为项目开展环保设计和环境管理的依据。</w:t>
      </w:r>
    </w:p>
    <w:p w14:paraId="6D73EE7A" w14:textId="77777777" w:rsidR="00B0005F" w:rsidRPr="008A2411" w:rsidRDefault="00000000">
      <w:pPr>
        <w:adjustRightInd w:val="0"/>
        <w:spacing w:line="360" w:lineRule="auto"/>
        <w:ind w:firstLineChars="200" w:firstLine="480"/>
        <w:rPr>
          <w:rFonts w:ascii="Times New Roman"/>
          <w:snapToGrid w:val="0"/>
          <w:color w:val="000000" w:themeColor="text1"/>
        </w:rPr>
      </w:pPr>
      <w:r w:rsidRPr="008A2411">
        <w:rPr>
          <w:rFonts w:ascii="Times New Roman"/>
          <w:snapToGrid w:val="0"/>
          <w:color w:val="000000" w:themeColor="text1"/>
        </w:rPr>
        <w:t>因此，本次评价工作程序主要分为以下三个部分：</w:t>
      </w:r>
    </w:p>
    <w:p w14:paraId="1390C019" w14:textId="77777777" w:rsidR="00B0005F" w:rsidRPr="008A2411" w:rsidRDefault="00000000">
      <w:pPr>
        <w:adjustRightInd w:val="0"/>
        <w:spacing w:line="360" w:lineRule="auto"/>
        <w:ind w:firstLineChars="200" w:firstLine="480"/>
        <w:rPr>
          <w:rFonts w:ascii="Times New Roman"/>
          <w:snapToGrid w:val="0"/>
          <w:color w:val="000000" w:themeColor="text1"/>
        </w:rPr>
      </w:pPr>
      <w:r w:rsidRPr="008A2411">
        <w:rPr>
          <w:rFonts w:ascii="Times New Roman"/>
          <w:snapToGrid w:val="0"/>
          <w:color w:val="000000" w:themeColor="text1"/>
        </w:rPr>
        <w:t>（</w:t>
      </w:r>
      <w:r w:rsidRPr="008A2411">
        <w:rPr>
          <w:rFonts w:ascii="Times New Roman"/>
          <w:snapToGrid w:val="0"/>
          <w:color w:val="000000" w:themeColor="text1"/>
        </w:rPr>
        <w:t>1</w:t>
      </w:r>
      <w:r w:rsidRPr="008A2411">
        <w:rPr>
          <w:rFonts w:ascii="Times New Roman"/>
          <w:snapToGrid w:val="0"/>
          <w:color w:val="000000" w:themeColor="text1"/>
        </w:rPr>
        <w:t>）调查分析和工作方案制定阶段；</w:t>
      </w:r>
    </w:p>
    <w:p w14:paraId="332649A3" w14:textId="77777777" w:rsidR="00B0005F" w:rsidRPr="008A2411" w:rsidRDefault="00000000">
      <w:pPr>
        <w:adjustRightInd w:val="0"/>
        <w:spacing w:line="360" w:lineRule="auto"/>
        <w:ind w:firstLineChars="200" w:firstLine="480"/>
        <w:rPr>
          <w:rFonts w:ascii="Times New Roman"/>
          <w:snapToGrid w:val="0"/>
          <w:color w:val="000000" w:themeColor="text1"/>
        </w:rPr>
      </w:pPr>
      <w:r w:rsidRPr="008A2411">
        <w:rPr>
          <w:rFonts w:ascii="Times New Roman"/>
          <w:snapToGrid w:val="0"/>
          <w:color w:val="000000" w:themeColor="text1"/>
        </w:rPr>
        <w:t>（</w:t>
      </w:r>
      <w:r w:rsidRPr="008A2411">
        <w:rPr>
          <w:rFonts w:ascii="Times New Roman"/>
          <w:snapToGrid w:val="0"/>
          <w:color w:val="000000" w:themeColor="text1"/>
        </w:rPr>
        <w:t>2</w:t>
      </w:r>
      <w:r w:rsidRPr="008A2411">
        <w:rPr>
          <w:rFonts w:ascii="Times New Roman"/>
          <w:snapToGrid w:val="0"/>
          <w:color w:val="000000" w:themeColor="text1"/>
        </w:rPr>
        <w:t>）分析论证和预测评价阶段；</w:t>
      </w:r>
    </w:p>
    <w:p w14:paraId="5EE3C1CA" w14:textId="77777777" w:rsidR="00B0005F" w:rsidRPr="008A2411" w:rsidRDefault="00000000">
      <w:pPr>
        <w:adjustRightInd w:val="0"/>
        <w:spacing w:line="360" w:lineRule="auto"/>
        <w:ind w:firstLineChars="200" w:firstLine="480"/>
        <w:rPr>
          <w:rFonts w:ascii="Times New Roman"/>
          <w:snapToGrid w:val="0"/>
          <w:color w:val="000000" w:themeColor="text1"/>
        </w:rPr>
      </w:pPr>
      <w:r w:rsidRPr="008A2411">
        <w:rPr>
          <w:rFonts w:ascii="Times New Roman"/>
          <w:snapToGrid w:val="0"/>
          <w:color w:val="000000" w:themeColor="text1"/>
        </w:rPr>
        <w:t>（</w:t>
      </w:r>
      <w:r w:rsidRPr="008A2411">
        <w:rPr>
          <w:rFonts w:ascii="Times New Roman"/>
          <w:snapToGrid w:val="0"/>
          <w:color w:val="000000" w:themeColor="text1"/>
        </w:rPr>
        <w:t>3</w:t>
      </w:r>
      <w:r w:rsidRPr="008A2411">
        <w:rPr>
          <w:rFonts w:ascii="Times New Roman"/>
          <w:snapToGrid w:val="0"/>
          <w:color w:val="000000" w:themeColor="text1"/>
        </w:rPr>
        <w:t>）环境影响评价书编制阶段。</w:t>
      </w:r>
    </w:p>
    <w:p w14:paraId="628E3879" w14:textId="77777777" w:rsidR="00B0005F" w:rsidRPr="008A2411" w:rsidRDefault="00000000">
      <w:pPr>
        <w:pStyle w:val="WJ"/>
        <w:adjustRightInd w:val="0"/>
        <w:snapToGrid w:val="0"/>
        <w:spacing w:line="360" w:lineRule="auto"/>
        <w:ind w:firstLineChars="0" w:firstLine="0"/>
        <w:jc w:val="center"/>
        <w:rPr>
          <w:rFonts w:ascii="Times New Roman" w:hAnsi="Times New Roman"/>
          <w:color w:val="000000" w:themeColor="text1"/>
        </w:rPr>
      </w:pPr>
      <w:r w:rsidRPr="008A2411">
        <w:rPr>
          <w:rFonts w:ascii="Times New Roman" w:hAnsi="Times New Roman"/>
          <w:noProof/>
          <w:color w:val="000000" w:themeColor="text1"/>
        </w:rPr>
        <w:lastRenderedPageBreak/>
        <w:drawing>
          <wp:inline distT="0" distB="0" distL="0" distR="0" wp14:anchorId="29AF6630" wp14:editId="48F00A97">
            <wp:extent cx="5262245" cy="6102985"/>
            <wp:effectExtent l="0" t="0" r="10795" b="8255"/>
            <wp:docPr id="12"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pic:cNvPicPr>
                      <a:picLocks noChangeAspect="1"/>
                    </pic:cNvPicPr>
                  </pic:nvPicPr>
                  <pic:blipFill>
                    <a:blip r:embed="rId15">
                      <a:lum bright="-6000" contrast="30000"/>
                      <a:extLst>
                        <a:ext uri="{28A0092B-C50C-407E-A947-70E740481C1C}">
                          <a14:useLocalDpi xmlns:a14="http://schemas.microsoft.com/office/drawing/2010/main" val="0"/>
                        </a:ext>
                      </a:extLst>
                    </a:blip>
                    <a:stretch>
                      <a:fillRect/>
                    </a:stretch>
                  </pic:blipFill>
                  <pic:spPr>
                    <a:xfrm>
                      <a:off x="0" y="0"/>
                      <a:ext cx="5262245" cy="6102985"/>
                    </a:xfrm>
                    <a:prstGeom prst="rect">
                      <a:avLst/>
                    </a:prstGeom>
                  </pic:spPr>
                </pic:pic>
              </a:graphicData>
            </a:graphic>
          </wp:inline>
        </w:drawing>
      </w:r>
    </w:p>
    <w:p w14:paraId="05196ED9" w14:textId="77777777" w:rsidR="00B0005F" w:rsidRPr="008A2411" w:rsidRDefault="00000000">
      <w:pPr>
        <w:spacing w:line="360" w:lineRule="auto"/>
        <w:jc w:val="center"/>
        <w:rPr>
          <w:rFonts w:ascii="Times New Roman"/>
          <w:color w:val="000000" w:themeColor="text1"/>
        </w:rPr>
      </w:pPr>
      <w:r w:rsidRPr="008A2411">
        <w:rPr>
          <w:rFonts w:ascii="Times New Roman" w:eastAsia="黑体"/>
          <w:color w:val="000000" w:themeColor="text1"/>
        </w:rPr>
        <w:t>图</w:t>
      </w:r>
      <w:r w:rsidRPr="008A2411">
        <w:rPr>
          <w:rFonts w:ascii="Times New Roman" w:eastAsia="黑体"/>
          <w:color w:val="000000" w:themeColor="text1"/>
        </w:rPr>
        <w:t xml:space="preserve">1.1-1  </w:t>
      </w:r>
      <w:r w:rsidRPr="008A2411">
        <w:rPr>
          <w:rFonts w:ascii="Times New Roman" w:eastAsia="黑体"/>
          <w:color w:val="000000" w:themeColor="text1"/>
        </w:rPr>
        <w:t>建设项目环评工作程序框图</w:t>
      </w:r>
    </w:p>
    <w:p w14:paraId="3BBE3C18" w14:textId="77777777" w:rsidR="00B0005F" w:rsidRPr="008A2411" w:rsidRDefault="00000000">
      <w:pPr>
        <w:pStyle w:val="WJ2"/>
        <w:spacing w:line="360" w:lineRule="auto"/>
        <w:rPr>
          <w:rFonts w:ascii="Times New Roman" w:hAnsi="Times New Roman"/>
          <w:color w:val="000000" w:themeColor="text1"/>
        </w:rPr>
      </w:pPr>
      <w:bookmarkStart w:id="30" w:name="_Toc109170736"/>
      <w:r w:rsidRPr="008A2411">
        <w:rPr>
          <w:rFonts w:ascii="Times New Roman" w:hAnsi="Times New Roman"/>
          <w:color w:val="000000" w:themeColor="text1"/>
        </w:rPr>
        <w:t>1.4</w:t>
      </w:r>
      <w:r w:rsidRPr="008A2411">
        <w:rPr>
          <w:rFonts w:ascii="Times New Roman" w:hAnsi="Times New Roman"/>
          <w:color w:val="000000" w:themeColor="text1"/>
        </w:rPr>
        <w:t>分析判定相关情况</w:t>
      </w:r>
      <w:bookmarkEnd w:id="30"/>
    </w:p>
    <w:p w14:paraId="0C144694" w14:textId="77777777" w:rsidR="00B0005F" w:rsidRPr="008A2411" w:rsidRDefault="00000000">
      <w:pPr>
        <w:adjustRightInd w:val="0"/>
        <w:snapToGrid w:val="0"/>
        <w:spacing w:line="360" w:lineRule="auto"/>
        <w:ind w:firstLine="480"/>
        <w:rPr>
          <w:rFonts w:ascii="Times New Roman"/>
          <w:color w:val="000000" w:themeColor="text1"/>
        </w:rPr>
      </w:pPr>
      <w:r w:rsidRPr="008A2411">
        <w:rPr>
          <w:rFonts w:ascii="Times New Roman"/>
          <w:color w:val="000000" w:themeColor="text1"/>
        </w:rPr>
        <w:t>经查阅国家发展和改革委员会</w:t>
      </w:r>
      <w:r w:rsidRPr="008A2411">
        <w:rPr>
          <w:rFonts w:ascii="Times New Roman"/>
          <w:color w:val="000000" w:themeColor="text1"/>
        </w:rPr>
        <w:t>2019</w:t>
      </w:r>
      <w:r w:rsidRPr="008A2411">
        <w:rPr>
          <w:rFonts w:ascii="Times New Roman"/>
          <w:color w:val="000000" w:themeColor="text1"/>
        </w:rPr>
        <w:t>年第</w:t>
      </w:r>
      <w:r w:rsidRPr="008A2411">
        <w:rPr>
          <w:rFonts w:ascii="Times New Roman"/>
          <w:color w:val="000000" w:themeColor="text1"/>
        </w:rPr>
        <w:t>29</w:t>
      </w:r>
      <w:r w:rsidRPr="008A2411">
        <w:rPr>
          <w:rFonts w:ascii="Times New Roman"/>
          <w:color w:val="000000" w:themeColor="text1"/>
        </w:rPr>
        <w:t>号《产业结构调整指导目录》（</w:t>
      </w:r>
      <w:r w:rsidRPr="008A2411">
        <w:rPr>
          <w:rFonts w:ascii="Times New Roman"/>
          <w:color w:val="000000" w:themeColor="text1"/>
        </w:rPr>
        <w:t>2021</w:t>
      </w:r>
      <w:r w:rsidRPr="008A2411">
        <w:rPr>
          <w:rFonts w:ascii="Times New Roman"/>
          <w:color w:val="000000" w:themeColor="text1"/>
        </w:rPr>
        <w:t>年修订），本项目属于第七类</w:t>
      </w:r>
      <w:r w:rsidRPr="008A2411">
        <w:rPr>
          <w:rFonts w:ascii="Times New Roman" w:hint="eastAsia"/>
          <w:color w:val="000000" w:themeColor="text1"/>
        </w:rPr>
        <w:t>“</w:t>
      </w:r>
      <w:r w:rsidRPr="008A2411">
        <w:rPr>
          <w:rFonts w:ascii="Times New Roman"/>
          <w:color w:val="000000" w:themeColor="text1"/>
        </w:rPr>
        <w:t>鼓励类</w:t>
      </w:r>
      <w:r w:rsidRPr="008A2411">
        <w:rPr>
          <w:rFonts w:ascii="Times New Roman" w:hint="eastAsia"/>
          <w:color w:val="000000" w:themeColor="text1"/>
        </w:rPr>
        <w:t>”</w:t>
      </w:r>
      <w:r w:rsidRPr="008A2411">
        <w:rPr>
          <w:rFonts w:ascii="Times New Roman"/>
          <w:color w:val="000000" w:themeColor="text1"/>
        </w:rPr>
        <w:t>中第一条</w:t>
      </w:r>
      <w:r w:rsidRPr="008A2411">
        <w:rPr>
          <w:rFonts w:ascii="Times New Roman" w:hint="eastAsia"/>
          <w:color w:val="000000" w:themeColor="text1"/>
        </w:rPr>
        <w:t>“</w:t>
      </w:r>
      <w:r w:rsidRPr="008A2411">
        <w:rPr>
          <w:rFonts w:ascii="Times New Roman"/>
          <w:color w:val="000000" w:themeColor="text1"/>
        </w:rPr>
        <w:t>石油、天然气</w:t>
      </w:r>
      <w:r w:rsidRPr="008A2411">
        <w:rPr>
          <w:rFonts w:ascii="Times New Roman" w:hint="eastAsia"/>
          <w:color w:val="000000" w:themeColor="text1"/>
        </w:rPr>
        <w:t>”</w:t>
      </w:r>
      <w:r w:rsidRPr="008A2411">
        <w:rPr>
          <w:rFonts w:ascii="Times New Roman"/>
          <w:color w:val="000000" w:themeColor="text1"/>
        </w:rPr>
        <w:t>的第</w:t>
      </w:r>
      <w:r w:rsidRPr="008A2411">
        <w:rPr>
          <w:rFonts w:ascii="Times New Roman"/>
          <w:color w:val="000000" w:themeColor="text1"/>
        </w:rPr>
        <w:t>9</w:t>
      </w:r>
      <w:r w:rsidRPr="008A2411">
        <w:rPr>
          <w:rFonts w:ascii="Times New Roman"/>
          <w:color w:val="000000" w:themeColor="text1"/>
        </w:rPr>
        <w:t>款</w:t>
      </w:r>
      <w:r w:rsidRPr="008A2411">
        <w:rPr>
          <w:rFonts w:ascii="Times New Roman" w:hint="eastAsia"/>
          <w:color w:val="000000" w:themeColor="text1"/>
        </w:rPr>
        <w:t>“</w:t>
      </w:r>
      <w:r w:rsidRPr="008A2411">
        <w:rPr>
          <w:rFonts w:ascii="Times New Roman"/>
          <w:color w:val="000000" w:themeColor="text1"/>
        </w:rPr>
        <w:t>液化天然气技术、装备开发与应用</w:t>
      </w:r>
      <w:r w:rsidRPr="008A2411">
        <w:rPr>
          <w:rFonts w:ascii="Times New Roman" w:hint="eastAsia"/>
          <w:color w:val="000000" w:themeColor="text1"/>
        </w:rPr>
        <w:t>”</w:t>
      </w:r>
      <w:r w:rsidRPr="008A2411">
        <w:rPr>
          <w:rFonts w:ascii="Times New Roman"/>
          <w:color w:val="000000" w:themeColor="text1"/>
        </w:rPr>
        <w:t>，为鼓励类项目，符合国家当前产业政策规定。</w:t>
      </w:r>
    </w:p>
    <w:p w14:paraId="00E457CA" w14:textId="77777777" w:rsidR="00B0005F" w:rsidRPr="008A2411" w:rsidRDefault="00000000">
      <w:pPr>
        <w:adjustRightInd w:val="0"/>
        <w:snapToGrid w:val="0"/>
        <w:spacing w:line="360" w:lineRule="auto"/>
        <w:ind w:firstLine="480"/>
        <w:rPr>
          <w:rFonts w:ascii="Times New Roman"/>
          <w:color w:val="000000" w:themeColor="text1"/>
        </w:rPr>
      </w:pPr>
      <w:r w:rsidRPr="008A2411">
        <w:rPr>
          <w:rFonts w:ascii="Times New Roman"/>
          <w:color w:val="000000" w:themeColor="text1"/>
        </w:rPr>
        <w:t>本项目选址在达州市普光化工园区内，与达州市普光化工园区总体规划相关要求</w:t>
      </w:r>
      <w:r w:rsidRPr="008A2411">
        <w:rPr>
          <w:rFonts w:ascii="Times New Roman" w:hint="eastAsia"/>
          <w:color w:val="000000" w:themeColor="text1"/>
        </w:rPr>
        <w:t>相符合</w:t>
      </w:r>
      <w:r w:rsidRPr="008A2411">
        <w:rPr>
          <w:rFonts w:ascii="Times New Roman"/>
          <w:color w:val="000000" w:themeColor="text1"/>
        </w:rPr>
        <w:t>。项目的建设对当地经济发展有重要作用，社会、经济效益明显，且有一定的环境效应。</w:t>
      </w:r>
      <w:r w:rsidRPr="008A2411">
        <w:rPr>
          <w:rFonts w:ascii="Times New Roman"/>
          <w:color w:val="000000" w:themeColor="text1"/>
        </w:rPr>
        <w:t xml:space="preserve"> </w:t>
      </w:r>
    </w:p>
    <w:p w14:paraId="53088074" w14:textId="77777777" w:rsidR="00B0005F" w:rsidRPr="008A2411" w:rsidRDefault="00000000">
      <w:pPr>
        <w:adjustRightInd w:val="0"/>
        <w:snapToGrid w:val="0"/>
        <w:spacing w:line="360" w:lineRule="auto"/>
        <w:ind w:firstLine="480"/>
        <w:rPr>
          <w:rFonts w:ascii="Times New Roman"/>
          <w:color w:val="000000" w:themeColor="text1"/>
        </w:rPr>
      </w:pPr>
      <w:r w:rsidRPr="008A2411">
        <w:rPr>
          <w:rFonts w:ascii="Times New Roman"/>
          <w:color w:val="000000" w:themeColor="text1"/>
        </w:rPr>
        <w:lastRenderedPageBreak/>
        <w:t>本项目选址不在生态保护红线范围内，项目建成后未改变区域环境质量底线，能源利用未突破资源利用上线。本项目为《产业结构调整指导目录》（</w:t>
      </w:r>
      <w:r w:rsidRPr="008A2411">
        <w:rPr>
          <w:rFonts w:ascii="Times New Roman"/>
          <w:color w:val="000000" w:themeColor="text1"/>
        </w:rPr>
        <w:t>2021</w:t>
      </w:r>
      <w:r w:rsidRPr="008A2411">
        <w:rPr>
          <w:rFonts w:ascii="Times New Roman"/>
          <w:color w:val="000000" w:themeColor="text1"/>
        </w:rPr>
        <w:t>年修订）中的：</w:t>
      </w:r>
      <w:r w:rsidRPr="008A2411">
        <w:rPr>
          <w:rFonts w:ascii="Times New Roman" w:hint="eastAsia"/>
          <w:color w:val="000000" w:themeColor="text1"/>
        </w:rPr>
        <w:t>“</w:t>
      </w:r>
      <w:r w:rsidRPr="008A2411">
        <w:rPr>
          <w:rFonts w:ascii="Times New Roman"/>
          <w:color w:val="000000" w:themeColor="text1"/>
        </w:rPr>
        <w:t>七、石油、天然气</w:t>
      </w:r>
      <w:r w:rsidRPr="008A2411">
        <w:rPr>
          <w:rFonts w:ascii="Times New Roman"/>
          <w:color w:val="000000" w:themeColor="text1"/>
        </w:rPr>
        <w:t>-9</w:t>
      </w:r>
      <w:r w:rsidRPr="008A2411">
        <w:rPr>
          <w:rFonts w:ascii="Times New Roman"/>
          <w:color w:val="000000" w:themeColor="text1"/>
        </w:rPr>
        <w:t>、液化天然气技术、装备开发与应用</w:t>
      </w:r>
      <w:r w:rsidRPr="008A2411">
        <w:rPr>
          <w:rFonts w:ascii="Times New Roman" w:hint="eastAsia"/>
          <w:color w:val="000000" w:themeColor="text1"/>
        </w:rPr>
        <w:t>”</w:t>
      </w:r>
      <w:r w:rsidRPr="008A2411">
        <w:rPr>
          <w:rFonts w:ascii="Times New Roman"/>
          <w:color w:val="000000" w:themeColor="text1"/>
        </w:rPr>
        <w:t>，属鼓励类项目，符合国家产业政策，不属于负面清单规定范围，符合环境准入负面清单要求。因此本项目的建设符合</w:t>
      </w:r>
      <w:r w:rsidRPr="008A2411">
        <w:rPr>
          <w:rFonts w:ascii="Times New Roman" w:hint="eastAsia"/>
          <w:color w:val="000000" w:themeColor="text1"/>
        </w:rPr>
        <w:t>“</w:t>
      </w:r>
      <w:r w:rsidRPr="008A2411">
        <w:rPr>
          <w:rFonts w:ascii="Times New Roman"/>
          <w:color w:val="000000" w:themeColor="text1"/>
        </w:rPr>
        <w:t>三线一单</w:t>
      </w:r>
      <w:r w:rsidRPr="008A2411">
        <w:rPr>
          <w:rFonts w:ascii="Times New Roman" w:hint="eastAsia"/>
          <w:color w:val="000000" w:themeColor="text1"/>
        </w:rPr>
        <w:t>”</w:t>
      </w:r>
      <w:r w:rsidRPr="008A2411">
        <w:rPr>
          <w:rFonts w:ascii="Times New Roman"/>
          <w:color w:val="000000" w:themeColor="text1"/>
        </w:rPr>
        <w:t>要求。</w:t>
      </w:r>
    </w:p>
    <w:p w14:paraId="0834B218" w14:textId="77777777" w:rsidR="00B0005F" w:rsidRPr="008A2411" w:rsidRDefault="00000000">
      <w:pPr>
        <w:pStyle w:val="WJ2"/>
        <w:spacing w:line="360" w:lineRule="auto"/>
        <w:rPr>
          <w:rFonts w:ascii="Times New Roman" w:hAnsi="Times New Roman"/>
          <w:color w:val="000000" w:themeColor="text1"/>
        </w:rPr>
      </w:pPr>
      <w:bookmarkStart w:id="31" w:name="_Toc19108225"/>
      <w:bookmarkStart w:id="32" w:name="_Toc109170737"/>
      <w:r w:rsidRPr="008A2411">
        <w:rPr>
          <w:rFonts w:ascii="Times New Roman" w:hAnsi="Times New Roman"/>
          <w:color w:val="000000" w:themeColor="text1"/>
        </w:rPr>
        <w:t>1.5</w:t>
      </w:r>
      <w:r w:rsidRPr="008A2411">
        <w:rPr>
          <w:rFonts w:ascii="Times New Roman" w:hAnsi="Times New Roman"/>
          <w:color w:val="000000" w:themeColor="text1"/>
        </w:rPr>
        <w:t>关注的主要环境问题及环境影响</w:t>
      </w:r>
      <w:bookmarkEnd w:id="31"/>
      <w:bookmarkEnd w:id="32"/>
    </w:p>
    <w:p w14:paraId="68A0FA63" w14:textId="77777777" w:rsidR="00B0005F" w:rsidRPr="008A2411" w:rsidRDefault="00000000">
      <w:pPr>
        <w:adjustRightInd w:val="0"/>
        <w:snapToGrid w:val="0"/>
        <w:spacing w:line="360" w:lineRule="auto"/>
        <w:ind w:firstLineChars="200" w:firstLine="480"/>
        <w:rPr>
          <w:rFonts w:ascii="Times New Roman"/>
          <w:color w:val="000000" w:themeColor="text1"/>
        </w:rPr>
      </w:pPr>
      <w:r w:rsidRPr="008A2411">
        <w:rPr>
          <w:rFonts w:ascii="Times New Roman"/>
          <w:color w:val="000000" w:themeColor="text1"/>
        </w:rPr>
        <w:t>本项目施工期重点关注各施工期产生的污染物控制管理及对项目所在区域的生态影响。运营期重点关注环境空气影响预测和周边保护目标的环境空气质量达</w:t>
      </w:r>
      <w:r w:rsidRPr="008A2411">
        <w:rPr>
          <w:rFonts w:ascii="Times New Roman"/>
          <w:color w:val="000000" w:themeColor="text1"/>
        </w:rPr>
        <w:t xml:space="preserve"> </w:t>
      </w:r>
      <w:proofErr w:type="gramStart"/>
      <w:r w:rsidRPr="008A2411">
        <w:rPr>
          <w:rFonts w:ascii="Times New Roman"/>
          <w:color w:val="000000" w:themeColor="text1"/>
        </w:rPr>
        <w:t>标情况</w:t>
      </w:r>
      <w:proofErr w:type="gramEnd"/>
      <w:r w:rsidRPr="008A2411">
        <w:rPr>
          <w:rFonts w:ascii="Times New Roman"/>
          <w:color w:val="000000" w:themeColor="text1"/>
        </w:rPr>
        <w:t>及地下水污染防治，注重大气污染防治措施、地下水污染防治措施的可行性和可靠性论证；关注废水的处置方案的技术可行性和依托可靠性分析；关注固体废物（特别是危险废物）收集、暂存、转运及处置途径的可靠性分析。</w:t>
      </w:r>
      <w:r w:rsidRPr="008A2411">
        <w:rPr>
          <w:rFonts w:ascii="Times New Roman"/>
          <w:color w:val="000000" w:themeColor="text1"/>
        </w:rPr>
        <w:t xml:space="preserve"> </w:t>
      </w:r>
    </w:p>
    <w:p w14:paraId="02B2A699" w14:textId="77777777" w:rsidR="00B0005F" w:rsidRPr="008A2411" w:rsidRDefault="00000000">
      <w:pPr>
        <w:adjustRightInd w:val="0"/>
        <w:snapToGrid w:val="0"/>
        <w:spacing w:line="360" w:lineRule="auto"/>
        <w:outlineLvl w:val="1"/>
        <w:rPr>
          <w:rFonts w:ascii="Times New Roman" w:eastAsia="黑体"/>
          <w:bCs/>
          <w:color w:val="000000" w:themeColor="text1"/>
          <w:sz w:val="28"/>
          <w:szCs w:val="28"/>
          <w:lang w:bidi="en-US"/>
        </w:rPr>
      </w:pPr>
      <w:bookmarkStart w:id="33" w:name="_Toc19108226"/>
      <w:bookmarkStart w:id="34" w:name="_Toc109170738"/>
      <w:r w:rsidRPr="008A2411">
        <w:rPr>
          <w:rFonts w:ascii="Times New Roman" w:eastAsia="黑体"/>
          <w:bCs/>
          <w:color w:val="000000" w:themeColor="text1"/>
          <w:sz w:val="28"/>
          <w:szCs w:val="28"/>
          <w:lang w:bidi="en-US"/>
        </w:rPr>
        <w:t>1.6</w:t>
      </w:r>
      <w:r w:rsidRPr="008A2411">
        <w:rPr>
          <w:rFonts w:ascii="Times New Roman" w:eastAsia="黑体"/>
          <w:bCs/>
          <w:color w:val="000000" w:themeColor="text1"/>
          <w:sz w:val="28"/>
          <w:szCs w:val="28"/>
          <w:lang w:bidi="en-US"/>
        </w:rPr>
        <w:t>环境影响评价结论</w:t>
      </w:r>
      <w:bookmarkEnd w:id="33"/>
      <w:bookmarkEnd w:id="34"/>
    </w:p>
    <w:p w14:paraId="1AADEE03" w14:textId="77777777" w:rsidR="00B0005F" w:rsidRPr="008A2411" w:rsidRDefault="00000000">
      <w:pPr>
        <w:adjustRightInd w:val="0"/>
        <w:snapToGrid w:val="0"/>
        <w:spacing w:line="360" w:lineRule="auto"/>
        <w:ind w:firstLineChars="200" w:firstLine="480"/>
        <w:rPr>
          <w:rFonts w:ascii="Times New Roman"/>
          <w:color w:val="000000" w:themeColor="text1"/>
        </w:rPr>
      </w:pPr>
      <w:r w:rsidRPr="008A2411">
        <w:rPr>
          <w:rFonts w:ascii="Times New Roman"/>
          <w:color w:val="000000" w:themeColor="text1"/>
        </w:rPr>
        <w:t>综上所述，本项目的建设符合</w:t>
      </w:r>
      <w:r w:rsidRPr="008A2411">
        <w:rPr>
          <w:rFonts w:ascii="Times New Roman" w:hint="eastAsia"/>
          <w:color w:val="000000" w:themeColor="text1"/>
        </w:rPr>
        <w:t>“</w:t>
      </w:r>
      <w:r w:rsidRPr="008A2411">
        <w:rPr>
          <w:rFonts w:ascii="Times New Roman"/>
          <w:color w:val="000000" w:themeColor="text1"/>
        </w:rPr>
        <w:t>三线一单</w:t>
      </w:r>
      <w:r w:rsidRPr="008A2411">
        <w:rPr>
          <w:rFonts w:ascii="Times New Roman" w:hint="eastAsia"/>
          <w:color w:val="000000" w:themeColor="text1"/>
        </w:rPr>
        <w:t>”</w:t>
      </w:r>
      <w:r w:rsidRPr="008A2411">
        <w:rPr>
          <w:rFonts w:ascii="Times New Roman"/>
          <w:color w:val="000000" w:themeColor="text1"/>
        </w:rPr>
        <w:t>要求，符合国家</w:t>
      </w:r>
      <w:proofErr w:type="gramStart"/>
      <w:r w:rsidRPr="008A2411">
        <w:rPr>
          <w:rFonts w:ascii="Times New Roman"/>
          <w:color w:val="000000" w:themeColor="text1"/>
        </w:rPr>
        <w:t>现行产业</w:t>
      </w:r>
      <w:proofErr w:type="gramEnd"/>
      <w:r w:rsidRPr="008A2411">
        <w:rPr>
          <w:rFonts w:ascii="Times New Roman"/>
          <w:color w:val="000000" w:themeColor="text1"/>
        </w:rPr>
        <w:t>政策和当地规划，选址合理；本项目拟采取的各项污染治理措施技术经济可行，污染物得到有效控制，采取了环</w:t>
      </w:r>
      <w:proofErr w:type="gramStart"/>
      <w:r w:rsidRPr="008A2411">
        <w:rPr>
          <w:rFonts w:ascii="Times New Roman"/>
          <w:color w:val="000000" w:themeColor="text1"/>
        </w:rPr>
        <w:t>评提出</w:t>
      </w:r>
      <w:proofErr w:type="gramEnd"/>
      <w:r w:rsidRPr="008A2411">
        <w:rPr>
          <w:rFonts w:ascii="Times New Roman"/>
          <w:color w:val="000000" w:themeColor="text1"/>
        </w:rPr>
        <w:t>的环保措施可实现</w:t>
      </w:r>
      <w:r w:rsidRPr="008A2411">
        <w:rPr>
          <w:rFonts w:ascii="Times New Roman" w:hint="eastAsia"/>
          <w:color w:val="000000" w:themeColor="text1"/>
        </w:rPr>
        <w:t>“</w:t>
      </w:r>
      <w:r w:rsidRPr="008A2411">
        <w:rPr>
          <w:rFonts w:ascii="Times New Roman"/>
          <w:color w:val="000000" w:themeColor="text1"/>
        </w:rPr>
        <w:t>三废</w:t>
      </w:r>
      <w:r w:rsidRPr="008A2411">
        <w:rPr>
          <w:rFonts w:ascii="Times New Roman" w:hint="eastAsia"/>
          <w:color w:val="000000" w:themeColor="text1"/>
        </w:rPr>
        <w:t>”</w:t>
      </w:r>
      <w:r w:rsidRPr="008A2411">
        <w:rPr>
          <w:rFonts w:ascii="Times New Roman"/>
          <w:color w:val="000000" w:themeColor="text1"/>
        </w:rPr>
        <w:t>和噪声达标排放，对评价区域环境影响较小，不会改变该区域环境功能；工程在施工期会对局部环境产生一定影响，采取污染防治措施后不会对环境产生明显影响，</w:t>
      </w:r>
      <w:proofErr w:type="gramStart"/>
      <w:r w:rsidRPr="008A2411">
        <w:rPr>
          <w:rFonts w:ascii="Times New Roman"/>
          <w:color w:val="000000" w:themeColor="text1"/>
        </w:rPr>
        <w:t>运行期拟采用</w:t>
      </w:r>
      <w:proofErr w:type="gramEnd"/>
      <w:r w:rsidRPr="008A2411">
        <w:rPr>
          <w:rFonts w:ascii="Times New Roman"/>
          <w:color w:val="000000" w:themeColor="text1"/>
        </w:rPr>
        <w:t>的二次污染防治措施技术经济可行；环境风险在可接受水平内；公众支持本项目建设。因此，从环境保护的角度分析，本项目的建设是可行的。</w:t>
      </w:r>
    </w:p>
    <w:p w14:paraId="1D90A5F0" w14:textId="77777777" w:rsidR="00B0005F" w:rsidRPr="008A2411" w:rsidRDefault="00B0005F">
      <w:pPr>
        <w:pStyle w:val="Default"/>
        <w:snapToGrid w:val="0"/>
        <w:spacing w:line="360" w:lineRule="auto"/>
        <w:ind w:firstLineChars="200" w:firstLine="480"/>
        <w:rPr>
          <w:rFonts w:ascii="Times New Roman" w:eastAsia="宋体" w:hAnsi="Times New Roman"/>
          <w:color w:val="000000" w:themeColor="text1"/>
          <w:kern w:val="2"/>
          <w:szCs w:val="20"/>
        </w:rPr>
      </w:pPr>
    </w:p>
    <w:p w14:paraId="513A9F2F" w14:textId="77777777" w:rsidR="00B0005F" w:rsidRPr="008A2411" w:rsidRDefault="00B0005F">
      <w:pPr>
        <w:pStyle w:val="Default"/>
        <w:snapToGrid w:val="0"/>
        <w:spacing w:line="360" w:lineRule="auto"/>
        <w:ind w:firstLineChars="200" w:firstLine="480"/>
        <w:rPr>
          <w:rFonts w:ascii="Times New Roman" w:eastAsia="宋体" w:hAnsi="Times New Roman"/>
          <w:color w:val="000000" w:themeColor="text1"/>
          <w:kern w:val="2"/>
          <w:szCs w:val="20"/>
        </w:rPr>
      </w:pPr>
    </w:p>
    <w:p w14:paraId="50F9B45A" w14:textId="77777777" w:rsidR="00B0005F" w:rsidRPr="008A2411" w:rsidRDefault="00B0005F">
      <w:pPr>
        <w:pStyle w:val="Default"/>
        <w:snapToGrid w:val="0"/>
        <w:spacing w:line="360" w:lineRule="auto"/>
        <w:ind w:firstLineChars="200" w:firstLine="480"/>
        <w:rPr>
          <w:rFonts w:ascii="Times New Roman" w:eastAsia="宋体" w:hAnsi="Times New Roman"/>
          <w:color w:val="000000" w:themeColor="text1"/>
          <w:kern w:val="2"/>
          <w:szCs w:val="20"/>
        </w:rPr>
      </w:pPr>
    </w:p>
    <w:p w14:paraId="1688B837" w14:textId="77777777" w:rsidR="00B0005F" w:rsidRPr="008A2411" w:rsidRDefault="00B0005F">
      <w:pPr>
        <w:pStyle w:val="Default"/>
        <w:snapToGrid w:val="0"/>
        <w:spacing w:line="360" w:lineRule="auto"/>
        <w:ind w:firstLineChars="200" w:firstLine="480"/>
        <w:rPr>
          <w:rFonts w:ascii="Times New Roman" w:eastAsia="宋体" w:hAnsi="Times New Roman"/>
          <w:color w:val="000000" w:themeColor="text1"/>
          <w:kern w:val="2"/>
          <w:szCs w:val="20"/>
        </w:rPr>
      </w:pPr>
    </w:p>
    <w:p w14:paraId="160FCF74" w14:textId="77777777" w:rsidR="00B0005F" w:rsidRPr="008A2411" w:rsidRDefault="00B0005F">
      <w:pPr>
        <w:pStyle w:val="Default"/>
        <w:snapToGrid w:val="0"/>
        <w:spacing w:line="360" w:lineRule="auto"/>
        <w:ind w:firstLineChars="200" w:firstLine="480"/>
        <w:rPr>
          <w:rFonts w:ascii="Times New Roman" w:eastAsia="宋体" w:hAnsi="Times New Roman"/>
          <w:color w:val="000000" w:themeColor="text1"/>
          <w:kern w:val="2"/>
          <w:szCs w:val="20"/>
        </w:rPr>
      </w:pPr>
    </w:p>
    <w:p w14:paraId="779654D4" w14:textId="77777777" w:rsidR="00B0005F" w:rsidRPr="008A2411" w:rsidRDefault="00B0005F">
      <w:pPr>
        <w:pStyle w:val="Default"/>
        <w:snapToGrid w:val="0"/>
        <w:spacing w:line="360" w:lineRule="auto"/>
        <w:ind w:firstLineChars="200" w:firstLine="480"/>
        <w:rPr>
          <w:rFonts w:ascii="Times New Roman" w:eastAsia="宋体" w:hAnsi="Times New Roman"/>
          <w:color w:val="000000" w:themeColor="text1"/>
          <w:kern w:val="2"/>
          <w:szCs w:val="20"/>
        </w:rPr>
      </w:pPr>
    </w:p>
    <w:p w14:paraId="5D4131FD" w14:textId="77777777" w:rsidR="00B0005F" w:rsidRPr="008A2411" w:rsidRDefault="00B0005F">
      <w:pPr>
        <w:pStyle w:val="Default"/>
        <w:snapToGrid w:val="0"/>
        <w:spacing w:line="360" w:lineRule="auto"/>
        <w:ind w:firstLineChars="200" w:firstLine="480"/>
        <w:rPr>
          <w:rFonts w:ascii="Times New Roman" w:eastAsia="宋体" w:hAnsi="Times New Roman"/>
          <w:color w:val="000000" w:themeColor="text1"/>
          <w:kern w:val="2"/>
          <w:szCs w:val="20"/>
        </w:rPr>
      </w:pPr>
    </w:p>
    <w:p w14:paraId="2927A32F" w14:textId="77777777" w:rsidR="00B0005F" w:rsidRPr="008A2411" w:rsidRDefault="00B0005F">
      <w:pPr>
        <w:pStyle w:val="Default"/>
        <w:snapToGrid w:val="0"/>
        <w:spacing w:line="360" w:lineRule="auto"/>
        <w:ind w:firstLineChars="200" w:firstLine="480"/>
        <w:rPr>
          <w:rFonts w:ascii="Times New Roman" w:eastAsia="宋体" w:hAnsi="Times New Roman"/>
          <w:color w:val="000000" w:themeColor="text1"/>
          <w:kern w:val="2"/>
          <w:szCs w:val="20"/>
        </w:rPr>
      </w:pPr>
    </w:p>
    <w:p w14:paraId="70AC079B" w14:textId="77777777" w:rsidR="00B0005F" w:rsidRPr="008A2411" w:rsidRDefault="00000000">
      <w:pPr>
        <w:rPr>
          <w:rFonts w:ascii="Times New Roman"/>
          <w:color w:val="000000" w:themeColor="text1"/>
          <w:sz w:val="32"/>
        </w:rPr>
      </w:pPr>
      <w:r w:rsidRPr="008A2411">
        <w:rPr>
          <w:rFonts w:ascii="Times New Roman"/>
          <w:color w:val="000000" w:themeColor="text1"/>
          <w:sz w:val="32"/>
        </w:rPr>
        <w:br w:type="page"/>
      </w:r>
    </w:p>
    <w:p w14:paraId="12ACB4BB" w14:textId="77777777" w:rsidR="00B0005F" w:rsidRPr="008A2411" w:rsidRDefault="00000000">
      <w:pPr>
        <w:pStyle w:val="11"/>
        <w:numPr>
          <w:ilvl w:val="0"/>
          <w:numId w:val="0"/>
        </w:numPr>
        <w:spacing w:before="0" w:afterLines="0" w:after="0" w:line="360" w:lineRule="auto"/>
        <w:jc w:val="center"/>
        <w:rPr>
          <w:rFonts w:ascii="Times New Roman" w:eastAsia="宋体"/>
          <w:color w:val="000000" w:themeColor="text1"/>
        </w:rPr>
      </w:pPr>
      <w:bookmarkStart w:id="35" w:name="_Toc109170739"/>
      <w:r w:rsidRPr="008A2411">
        <w:rPr>
          <w:rFonts w:ascii="Times New Roman" w:eastAsia="宋体"/>
          <w:color w:val="000000" w:themeColor="text1"/>
        </w:rPr>
        <w:lastRenderedPageBreak/>
        <w:t>第二章</w:t>
      </w:r>
      <w:r w:rsidRPr="008A2411">
        <w:rPr>
          <w:rFonts w:ascii="Times New Roman" w:eastAsia="宋体"/>
          <w:color w:val="000000" w:themeColor="text1"/>
        </w:rPr>
        <w:t xml:space="preserve"> </w:t>
      </w:r>
      <w:r w:rsidRPr="008A2411">
        <w:rPr>
          <w:rFonts w:ascii="Times New Roman" w:eastAsia="宋体"/>
          <w:color w:val="000000" w:themeColor="text1"/>
        </w:rPr>
        <w:t>总</w:t>
      </w:r>
      <w:r w:rsidRPr="008A2411">
        <w:rPr>
          <w:rFonts w:ascii="Times New Roman" w:eastAsia="宋体"/>
          <w:color w:val="000000" w:themeColor="text1"/>
        </w:rPr>
        <w:t xml:space="preserve"> </w:t>
      </w:r>
      <w:r w:rsidRPr="008A2411">
        <w:rPr>
          <w:rFonts w:ascii="Times New Roman" w:eastAsia="宋体"/>
          <w:color w:val="000000" w:themeColor="text1"/>
        </w:rPr>
        <w:t>则</w:t>
      </w:r>
      <w:bookmarkEnd w:id="35"/>
    </w:p>
    <w:p w14:paraId="069E214F" w14:textId="77777777" w:rsidR="00B0005F" w:rsidRPr="008A2411" w:rsidRDefault="00000000">
      <w:pPr>
        <w:pStyle w:val="WJ2"/>
        <w:snapToGrid/>
        <w:spacing w:line="360" w:lineRule="auto"/>
        <w:rPr>
          <w:rFonts w:ascii="Times New Roman" w:hAnsi="Times New Roman"/>
          <w:color w:val="000000" w:themeColor="text1"/>
        </w:rPr>
      </w:pPr>
      <w:bookmarkStart w:id="36" w:name="_Toc451355238"/>
      <w:bookmarkStart w:id="37" w:name="_Toc109170740"/>
      <w:r w:rsidRPr="008A2411">
        <w:rPr>
          <w:rFonts w:ascii="Times New Roman" w:hAnsi="Times New Roman"/>
          <w:color w:val="000000" w:themeColor="text1"/>
        </w:rPr>
        <w:t>2.1</w:t>
      </w:r>
      <w:r w:rsidRPr="008A2411">
        <w:rPr>
          <w:rFonts w:ascii="Times New Roman" w:hAnsi="Times New Roman"/>
          <w:color w:val="000000" w:themeColor="text1"/>
        </w:rPr>
        <w:t>编制依据</w:t>
      </w:r>
      <w:bookmarkEnd w:id="28"/>
      <w:bookmarkEnd w:id="29"/>
      <w:bookmarkEnd w:id="36"/>
      <w:bookmarkEnd w:id="37"/>
    </w:p>
    <w:p w14:paraId="7B709017" w14:textId="77777777" w:rsidR="00B0005F" w:rsidRPr="008A2411" w:rsidRDefault="00000000">
      <w:pPr>
        <w:pStyle w:val="31"/>
        <w:wordWrap w:val="0"/>
        <w:adjustRightInd w:val="0"/>
        <w:spacing w:before="0" w:after="0" w:line="360" w:lineRule="auto"/>
        <w:rPr>
          <w:rFonts w:ascii="Times New Roman" w:eastAsia="黑体"/>
          <w:bCs w:val="0"/>
          <w:color w:val="000000" w:themeColor="text1"/>
          <w:kern w:val="0"/>
          <w:sz w:val="24"/>
          <w:szCs w:val="24"/>
          <w:lang w:bidi="en-US"/>
        </w:rPr>
      </w:pPr>
      <w:r w:rsidRPr="008A2411">
        <w:rPr>
          <w:rFonts w:ascii="Times New Roman" w:eastAsia="黑体"/>
          <w:bCs w:val="0"/>
          <w:color w:val="000000" w:themeColor="text1"/>
          <w:kern w:val="0"/>
          <w:sz w:val="24"/>
          <w:szCs w:val="24"/>
          <w:lang w:bidi="en-US"/>
        </w:rPr>
        <w:t xml:space="preserve">2.1.1 </w:t>
      </w:r>
      <w:r w:rsidRPr="008A2411">
        <w:rPr>
          <w:rFonts w:ascii="Times New Roman" w:eastAsia="黑体"/>
          <w:bCs w:val="0"/>
          <w:color w:val="000000" w:themeColor="text1"/>
          <w:kern w:val="0"/>
          <w:sz w:val="24"/>
          <w:szCs w:val="24"/>
          <w:lang w:bidi="en-US"/>
        </w:rPr>
        <w:t>法律法规</w:t>
      </w:r>
    </w:p>
    <w:p w14:paraId="2854ABA2"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1</w:t>
      </w:r>
      <w:r w:rsidRPr="008A2411">
        <w:rPr>
          <w:rFonts w:ascii="Times New Roman"/>
          <w:color w:val="000000" w:themeColor="text1"/>
        </w:rPr>
        <w:t>）《中华人民共和国环境保护法》（</w:t>
      </w:r>
      <w:r w:rsidRPr="008A2411">
        <w:rPr>
          <w:rFonts w:ascii="Times New Roman"/>
          <w:color w:val="000000" w:themeColor="text1"/>
        </w:rPr>
        <w:t>2014</w:t>
      </w:r>
      <w:r w:rsidRPr="008A2411">
        <w:rPr>
          <w:rFonts w:ascii="Times New Roman"/>
          <w:color w:val="000000" w:themeColor="text1"/>
        </w:rPr>
        <w:t>年修订）；</w:t>
      </w:r>
    </w:p>
    <w:p w14:paraId="53492145" w14:textId="77777777" w:rsidR="00B0005F" w:rsidRPr="008A2411" w:rsidRDefault="00000000">
      <w:pPr>
        <w:wordWrap w:val="0"/>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2</w:t>
      </w:r>
      <w:r w:rsidRPr="008A2411">
        <w:rPr>
          <w:rFonts w:ascii="Times New Roman"/>
          <w:color w:val="000000" w:themeColor="text1"/>
        </w:rPr>
        <w:t>）《中华人民共和国环境影响评价法》（</w:t>
      </w:r>
      <w:r w:rsidRPr="008A2411">
        <w:rPr>
          <w:rFonts w:ascii="Times New Roman"/>
          <w:color w:val="000000" w:themeColor="text1"/>
        </w:rPr>
        <w:t>2018</w:t>
      </w:r>
      <w:r w:rsidRPr="008A2411">
        <w:rPr>
          <w:rFonts w:ascii="Times New Roman"/>
          <w:color w:val="000000" w:themeColor="text1"/>
        </w:rPr>
        <w:t>年修正）；</w:t>
      </w:r>
    </w:p>
    <w:p w14:paraId="378E2F7B" w14:textId="77777777" w:rsidR="00B0005F" w:rsidRPr="008A2411" w:rsidRDefault="00000000">
      <w:pPr>
        <w:wordWrap w:val="0"/>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3</w:t>
      </w:r>
      <w:r w:rsidRPr="008A2411">
        <w:rPr>
          <w:rFonts w:ascii="Times New Roman"/>
          <w:color w:val="000000" w:themeColor="text1"/>
        </w:rPr>
        <w:t>）《中华人民共和国水污染防治法》（</w:t>
      </w:r>
      <w:r w:rsidRPr="008A2411">
        <w:rPr>
          <w:rFonts w:ascii="Times New Roman"/>
          <w:color w:val="000000" w:themeColor="text1"/>
        </w:rPr>
        <w:t>2017</w:t>
      </w:r>
      <w:r w:rsidRPr="008A2411">
        <w:rPr>
          <w:rFonts w:ascii="Times New Roman"/>
          <w:color w:val="000000" w:themeColor="text1"/>
        </w:rPr>
        <w:t>年修正）；</w:t>
      </w:r>
    </w:p>
    <w:p w14:paraId="64C04C3C" w14:textId="77777777" w:rsidR="00B0005F" w:rsidRPr="008A2411" w:rsidRDefault="00000000">
      <w:pPr>
        <w:wordWrap w:val="0"/>
        <w:adjustRightInd w:val="0"/>
        <w:spacing w:line="360" w:lineRule="auto"/>
        <w:ind w:firstLine="480"/>
        <w:rPr>
          <w:rFonts w:ascii="Times New Roman"/>
          <w:color w:val="000000" w:themeColor="text1"/>
        </w:rPr>
      </w:pPr>
      <w:r w:rsidRPr="008A2411">
        <w:rPr>
          <w:rFonts w:ascii="Times New Roman" w:hint="eastAsia"/>
          <w:color w:val="000000" w:themeColor="text1"/>
        </w:rPr>
        <w:t>（</w:t>
      </w:r>
      <w:r w:rsidRPr="008A2411">
        <w:rPr>
          <w:rFonts w:ascii="Times New Roman" w:hint="eastAsia"/>
          <w:color w:val="000000" w:themeColor="text1"/>
        </w:rPr>
        <w:t>4</w:t>
      </w:r>
      <w:r w:rsidRPr="008A2411">
        <w:rPr>
          <w:rFonts w:ascii="Times New Roman" w:hint="eastAsia"/>
          <w:color w:val="000000" w:themeColor="text1"/>
        </w:rPr>
        <w:t>）</w:t>
      </w:r>
      <w:r w:rsidRPr="008A2411">
        <w:rPr>
          <w:rFonts w:ascii="Times New Roman"/>
          <w:color w:val="000000" w:themeColor="text1"/>
        </w:rPr>
        <w:t>《中华人民共和国水法》</w:t>
      </w:r>
      <w:r w:rsidRPr="008A2411">
        <w:rPr>
          <w:rFonts w:ascii="Times New Roman" w:hint="eastAsia"/>
          <w:color w:val="000000" w:themeColor="text1"/>
        </w:rPr>
        <w:t>（</w:t>
      </w:r>
      <w:r w:rsidRPr="008A2411">
        <w:rPr>
          <w:rFonts w:ascii="Times New Roman" w:hint="eastAsia"/>
          <w:color w:val="000000" w:themeColor="text1"/>
        </w:rPr>
        <w:t>2016</w:t>
      </w:r>
      <w:r w:rsidRPr="008A2411">
        <w:rPr>
          <w:rFonts w:ascii="Times New Roman" w:hint="eastAsia"/>
          <w:color w:val="000000" w:themeColor="text1"/>
        </w:rPr>
        <w:t>年修订）；</w:t>
      </w:r>
    </w:p>
    <w:p w14:paraId="40398FBC" w14:textId="77777777" w:rsidR="00B0005F" w:rsidRPr="008A2411" w:rsidRDefault="00000000">
      <w:pPr>
        <w:wordWrap w:val="0"/>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hint="eastAsia"/>
          <w:color w:val="000000" w:themeColor="text1"/>
        </w:rPr>
        <w:t>5</w:t>
      </w:r>
      <w:r w:rsidRPr="008A2411">
        <w:rPr>
          <w:rFonts w:ascii="Times New Roman"/>
          <w:color w:val="000000" w:themeColor="text1"/>
        </w:rPr>
        <w:t>）《中华人民共和国大气污染防治法》（</w:t>
      </w:r>
      <w:r w:rsidRPr="008A2411">
        <w:rPr>
          <w:rFonts w:ascii="Times New Roman"/>
          <w:color w:val="000000" w:themeColor="text1"/>
        </w:rPr>
        <w:t>2018</w:t>
      </w:r>
      <w:r w:rsidRPr="008A2411">
        <w:rPr>
          <w:rFonts w:ascii="Times New Roman"/>
          <w:color w:val="000000" w:themeColor="text1"/>
        </w:rPr>
        <w:t>年修正）；</w:t>
      </w:r>
    </w:p>
    <w:p w14:paraId="7B4BF563" w14:textId="15A7EEE9" w:rsidR="00B0005F" w:rsidRPr="008A2411" w:rsidRDefault="00000000">
      <w:pPr>
        <w:wordWrap w:val="0"/>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hint="eastAsia"/>
          <w:color w:val="000000" w:themeColor="text1"/>
        </w:rPr>
        <w:t>6</w:t>
      </w:r>
      <w:r w:rsidRPr="008A2411">
        <w:rPr>
          <w:rFonts w:ascii="Times New Roman"/>
          <w:color w:val="000000" w:themeColor="text1"/>
        </w:rPr>
        <w:t>）《中华人民共和国环境噪声污染防治法》（</w:t>
      </w:r>
      <w:r w:rsidR="009B753C" w:rsidRPr="008A2411">
        <w:rPr>
          <w:rFonts w:ascii="Times New Roman"/>
          <w:color w:val="000000" w:themeColor="text1"/>
        </w:rPr>
        <w:t>2022</w:t>
      </w:r>
      <w:r w:rsidR="009B753C" w:rsidRPr="008A2411">
        <w:rPr>
          <w:rFonts w:ascii="Times New Roman" w:hint="eastAsia"/>
          <w:color w:val="000000" w:themeColor="text1"/>
        </w:rPr>
        <w:t>年</w:t>
      </w:r>
      <w:r w:rsidR="009B753C" w:rsidRPr="008A2411">
        <w:rPr>
          <w:rFonts w:ascii="Times New Roman"/>
          <w:color w:val="000000" w:themeColor="text1"/>
        </w:rPr>
        <w:t>6</w:t>
      </w:r>
      <w:r w:rsidR="009B753C" w:rsidRPr="008A2411">
        <w:rPr>
          <w:rFonts w:ascii="Times New Roman" w:hint="eastAsia"/>
          <w:color w:val="000000" w:themeColor="text1"/>
        </w:rPr>
        <w:t>月</w:t>
      </w:r>
      <w:r w:rsidR="009B753C" w:rsidRPr="008A2411">
        <w:rPr>
          <w:rFonts w:ascii="Times New Roman" w:hint="eastAsia"/>
          <w:color w:val="000000" w:themeColor="text1"/>
        </w:rPr>
        <w:t>5</w:t>
      </w:r>
      <w:r w:rsidR="009B753C" w:rsidRPr="008A2411">
        <w:rPr>
          <w:rFonts w:ascii="Times New Roman" w:hint="eastAsia"/>
          <w:color w:val="000000" w:themeColor="text1"/>
        </w:rPr>
        <w:t>日起施行</w:t>
      </w:r>
      <w:r w:rsidRPr="008A2411">
        <w:rPr>
          <w:rFonts w:ascii="Times New Roman"/>
          <w:color w:val="000000" w:themeColor="text1"/>
        </w:rPr>
        <w:t>）；</w:t>
      </w:r>
    </w:p>
    <w:p w14:paraId="2C11CBDB" w14:textId="77777777" w:rsidR="00B0005F" w:rsidRPr="008A2411" w:rsidRDefault="00000000">
      <w:pPr>
        <w:wordWrap w:val="0"/>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hint="eastAsia"/>
          <w:color w:val="000000" w:themeColor="text1"/>
        </w:rPr>
        <w:t>7</w:t>
      </w:r>
      <w:r w:rsidRPr="008A2411">
        <w:rPr>
          <w:rFonts w:ascii="Times New Roman"/>
          <w:color w:val="000000" w:themeColor="text1"/>
        </w:rPr>
        <w:t>）《中华人民共和国固体废物污染环境防治法》（</w:t>
      </w:r>
      <w:r w:rsidRPr="008A2411">
        <w:rPr>
          <w:rFonts w:ascii="Times New Roman"/>
          <w:color w:val="000000" w:themeColor="text1"/>
        </w:rPr>
        <w:t>2020</w:t>
      </w:r>
      <w:r w:rsidRPr="008A2411">
        <w:rPr>
          <w:rFonts w:ascii="Times New Roman"/>
          <w:color w:val="000000" w:themeColor="text1"/>
        </w:rPr>
        <w:t>年修订）；</w:t>
      </w:r>
    </w:p>
    <w:p w14:paraId="41C651D2" w14:textId="77777777" w:rsidR="00B0005F" w:rsidRPr="008A2411" w:rsidRDefault="00000000">
      <w:pPr>
        <w:adjustRightInd w:val="0"/>
        <w:spacing w:line="360" w:lineRule="auto"/>
        <w:ind w:firstLine="480"/>
        <w:rPr>
          <w:rFonts w:ascii="Times New Roman"/>
          <w:color w:val="000000" w:themeColor="text1"/>
          <w:szCs w:val="21"/>
        </w:rPr>
      </w:pPr>
      <w:r w:rsidRPr="008A2411">
        <w:rPr>
          <w:rFonts w:ascii="Times New Roman"/>
          <w:color w:val="000000" w:themeColor="text1"/>
          <w:szCs w:val="21"/>
        </w:rPr>
        <w:t>（</w:t>
      </w:r>
      <w:r w:rsidRPr="008A2411">
        <w:rPr>
          <w:rFonts w:ascii="Times New Roman" w:hint="eastAsia"/>
          <w:color w:val="000000" w:themeColor="text1"/>
          <w:szCs w:val="21"/>
        </w:rPr>
        <w:t>8</w:t>
      </w:r>
      <w:r w:rsidRPr="008A2411">
        <w:rPr>
          <w:rFonts w:ascii="Times New Roman"/>
          <w:color w:val="000000" w:themeColor="text1"/>
          <w:szCs w:val="21"/>
        </w:rPr>
        <w:t>）《中华人民共和国土壤污染防治法》（</w:t>
      </w:r>
      <w:r w:rsidRPr="008A2411">
        <w:rPr>
          <w:rFonts w:ascii="Times New Roman"/>
          <w:color w:val="000000" w:themeColor="text1"/>
          <w:szCs w:val="21"/>
        </w:rPr>
        <w:t>2018</w:t>
      </w:r>
      <w:r w:rsidRPr="008A2411">
        <w:rPr>
          <w:rFonts w:ascii="Times New Roman"/>
          <w:color w:val="000000" w:themeColor="text1"/>
          <w:szCs w:val="21"/>
        </w:rPr>
        <w:t>年）；</w:t>
      </w:r>
    </w:p>
    <w:p w14:paraId="703DC725" w14:textId="77777777" w:rsidR="00B0005F" w:rsidRPr="008A2411" w:rsidRDefault="00000000">
      <w:pPr>
        <w:wordWrap w:val="0"/>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hint="eastAsia"/>
          <w:color w:val="000000" w:themeColor="text1"/>
        </w:rPr>
        <w:t>9</w:t>
      </w:r>
      <w:r w:rsidRPr="008A2411">
        <w:rPr>
          <w:rFonts w:ascii="Times New Roman"/>
          <w:color w:val="000000" w:themeColor="text1"/>
        </w:rPr>
        <w:t>）《中华人民共和国清洁生产促进法》（</w:t>
      </w:r>
      <w:r w:rsidRPr="008A2411">
        <w:rPr>
          <w:rFonts w:ascii="Times New Roman"/>
          <w:color w:val="000000" w:themeColor="text1"/>
        </w:rPr>
        <w:t>2016</w:t>
      </w:r>
      <w:r w:rsidRPr="008A2411">
        <w:rPr>
          <w:rFonts w:ascii="Times New Roman"/>
          <w:color w:val="000000" w:themeColor="text1"/>
        </w:rPr>
        <w:t>年修订）；</w:t>
      </w:r>
    </w:p>
    <w:p w14:paraId="0D0DB8D3" w14:textId="77777777" w:rsidR="00B0005F" w:rsidRPr="008A2411" w:rsidRDefault="00000000">
      <w:pPr>
        <w:wordWrap w:val="0"/>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hint="eastAsia"/>
          <w:color w:val="000000" w:themeColor="text1"/>
        </w:rPr>
        <w:t>10</w:t>
      </w:r>
      <w:r w:rsidRPr="008A2411">
        <w:rPr>
          <w:rFonts w:ascii="Times New Roman"/>
          <w:color w:val="000000" w:themeColor="text1"/>
        </w:rPr>
        <w:t>）《中华人民共和国水土保持法》（</w:t>
      </w:r>
      <w:r w:rsidRPr="008A2411">
        <w:rPr>
          <w:rFonts w:ascii="Times New Roman"/>
          <w:color w:val="000000" w:themeColor="text1"/>
        </w:rPr>
        <w:t>2010</w:t>
      </w:r>
      <w:r w:rsidRPr="008A2411">
        <w:rPr>
          <w:rFonts w:ascii="Times New Roman"/>
          <w:color w:val="000000" w:themeColor="text1"/>
        </w:rPr>
        <w:t>年修订）；</w:t>
      </w:r>
    </w:p>
    <w:p w14:paraId="62783D28" w14:textId="77777777" w:rsidR="00B0005F" w:rsidRPr="008A2411" w:rsidRDefault="00000000">
      <w:pPr>
        <w:wordWrap w:val="0"/>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hint="eastAsia"/>
          <w:color w:val="000000" w:themeColor="text1"/>
        </w:rPr>
        <w:t>11</w:t>
      </w:r>
      <w:r w:rsidRPr="008A2411">
        <w:rPr>
          <w:rFonts w:ascii="Times New Roman"/>
          <w:color w:val="000000" w:themeColor="text1"/>
        </w:rPr>
        <w:t>）《中华人民共和国土地管理法》（</w:t>
      </w:r>
      <w:r w:rsidRPr="008A2411">
        <w:rPr>
          <w:rFonts w:ascii="Times New Roman"/>
          <w:color w:val="000000" w:themeColor="text1"/>
        </w:rPr>
        <w:t>2004</w:t>
      </w:r>
      <w:r w:rsidRPr="008A2411">
        <w:rPr>
          <w:rFonts w:ascii="Times New Roman"/>
          <w:color w:val="000000" w:themeColor="text1"/>
        </w:rPr>
        <w:t>年修订）；</w:t>
      </w:r>
    </w:p>
    <w:p w14:paraId="39CF24D0" w14:textId="77777777" w:rsidR="00B0005F" w:rsidRPr="008A2411" w:rsidRDefault="00000000">
      <w:pPr>
        <w:wordWrap w:val="0"/>
        <w:adjustRightInd w:val="0"/>
        <w:spacing w:line="360" w:lineRule="auto"/>
        <w:ind w:firstLine="480"/>
        <w:rPr>
          <w:rFonts w:ascii="Times New Roman"/>
          <w:color w:val="000000" w:themeColor="text1"/>
          <w:szCs w:val="24"/>
        </w:rPr>
      </w:pPr>
      <w:r w:rsidRPr="008A2411">
        <w:rPr>
          <w:rFonts w:ascii="Times New Roman"/>
          <w:color w:val="000000" w:themeColor="text1"/>
        </w:rPr>
        <w:t>（</w:t>
      </w:r>
      <w:r w:rsidRPr="008A2411">
        <w:rPr>
          <w:rFonts w:ascii="Times New Roman"/>
          <w:color w:val="000000" w:themeColor="text1"/>
        </w:rPr>
        <w:t>1</w:t>
      </w:r>
      <w:r w:rsidRPr="008A2411">
        <w:rPr>
          <w:rFonts w:ascii="Times New Roman" w:hint="eastAsia"/>
          <w:color w:val="000000" w:themeColor="text1"/>
        </w:rPr>
        <w:t>2</w:t>
      </w:r>
      <w:r w:rsidRPr="008A2411">
        <w:rPr>
          <w:rFonts w:ascii="Times New Roman"/>
          <w:color w:val="000000" w:themeColor="text1"/>
        </w:rPr>
        <w:t>）《建设项目环境保护管理条例》（</w:t>
      </w:r>
      <w:r w:rsidRPr="008A2411">
        <w:rPr>
          <w:rFonts w:ascii="Times New Roman"/>
          <w:color w:val="000000" w:themeColor="text1"/>
        </w:rPr>
        <w:t>2017</w:t>
      </w:r>
      <w:r w:rsidRPr="008A2411">
        <w:rPr>
          <w:rFonts w:ascii="Times New Roman"/>
          <w:color w:val="000000" w:themeColor="text1"/>
        </w:rPr>
        <w:t>年</w:t>
      </w:r>
      <w:r w:rsidRPr="008A2411">
        <w:rPr>
          <w:rFonts w:ascii="Times New Roman"/>
          <w:color w:val="000000" w:themeColor="text1"/>
          <w:szCs w:val="24"/>
        </w:rPr>
        <w:t>修订，国务院第</w:t>
      </w:r>
      <w:r w:rsidRPr="008A2411">
        <w:rPr>
          <w:rFonts w:ascii="Times New Roman"/>
          <w:color w:val="000000" w:themeColor="text1"/>
          <w:szCs w:val="24"/>
        </w:rPr>
        <w:t>682</w:t>
      </w:r>
      <w:r w:rsidRPr="008A2411">
        <w:rPr>
          <w:rFonts w:ascii="Times New Roman"/>
          <w:color w:val="000000" w:themeColor="text1"/>
          <w:szCs w:val="24"/>
        </w:rPr>
        <w:t>号令）；</w:t>
      </w:r>
    </w:p>
    <w:p w14:paraId="5AC40E03" w14:textId="77777777" w:rsidR="00B0005F" w:rsidRPr="008A2411" w:rsidRDefault="00000000">
      <w:pPr>
        <w:wordWrap w:val="0"/>
        <w:adjustRightInd w:val="0"/>
        <w:spacing w:line="360" w:lineRule="auto"/>
        <w:ind w:firstLine="480"/>
        <w:rPr>
          <w:rFonts w:ascii="Times New Roman"/>
          <w:color w:val="000000" w:themeColor="text1"/>
          <w:szCs w:val="24"/>
        </w:rPr>
      </w:pPr>
      <w:r w:rsidRPr="008A2411">
        <w:rPr>
          <w:rFonts w:ascii="Times New Roman"/>
          <w:color w:val="000000" w:themeColor="text1"/>
          <w:szCs w:val="24"/>
        </w:rPr>
        <w:t>（</w:t>
      </w:r>
      <w:r w:rsidRPr="008A2411">
        <w:rPr>
          <w:rFonts w:ascii="Times New Roman"/>
          <w:color w:val="000000" w:themeColor="text1"/>
          <w:szCs w:val="24"/>
        </w:rPr>
        <w:t>1</w:t>
      </w:r>
      <w:r w:rsidRPr="008A2411">
        <w:rPr>
          <w:rFonts w:ascii="Times New Roman" w:hint="eastAsia"/>
          <w:color w:val="000000" w:themeColor="text1"/>
          <w:szCs w:val="24"/>
        </w:rPr>
        <w:t>3</w:t>
      </w:r>
      <w:r w:rsidRPr="008A2411">
        <w:rPr>
          <w:rFonts w:ascii="Times New Roman"/>
          <w:color w:val="000000" w:themeColor="text1"/>
          <w:szCs w:val="24"/>
        </w:rPr>
        <w:t>）《地下水管理条例》（</w:t>
      </w:r>
      <w:r w:rsidRPr="008A2411">
        <w:rPr>
          <w:rFonts w:ascii="Times New Roman"/>
          <w:color w:val="000000" w:themeColor="text1"/>
          <w:szCs w:val="24"/>
        </w:rPr>
        <w:t>2021</w:t>
      </w:r>
      <w:r w:rsidRPr="008A2411">
        <w:rPr>
          <w:rFonts w:ascii="Times New Roman"/>
          <w:color w:val="000000" w:themeColor="text1"/>
          <w:szCs w:val="24"/>
        </w:rPr>
        <w:t>年</w:t>
      </w:r>
      <w:r w:rsidRPr="008A2411">
        <w:rPr>
          <w:rFonts w:ascii="Times New Roman"/>
          <w:color w:val="000000" w:themeColor="text1"/>
          <w:szCs w:val="24"/>
        </w:rPr>
        <w:t>12</w:t>
      </w:r>
      <w:r w:rsidRPr="008A2411">
        <w:rPr>
          <w:rFonts w:ascii="Times New Roman"/>
          <w:color w:val="000000" w:themeColor="text1"/>
          <w:szCs w:val="24"/>
        </w:rPr>
        <w:t>月</w:t>
      </w:r>
      <w:r w:rsidRPr="008A2411">
        <w:rPr>
          <w:rFonts w:ascii="Times New Roman"/>
          <w:color w:val="000000" w:themeColor="text1"/>
          <w:szCs w:val="24"/>
        </w:rPr>
        <w:t>1</w:t>
      </w:r>
      <w:r w:rsidRPr="008A2411">
        <w:rPr>
          <w:rFonts w:ascii="Times New Roman"/>
          <w:color w:val="000000" w:themeColor="text1"/>
          <w:szCs w:val="24"/>
        </w:rPr>
        <w:t>日起施行，国务院令第</w:t>
      </w:r>
      <w:r w:rsidRPr="008A2411">
        <w:rPr>
          <w:rFonts w:ascii="Times New Roman"/>
          <w:color w:val="000000" w:themeColor="text1"/>
          <w:szCs w:val="24"/>
        </w:rPr>
        <w:t>748</w:t>
      </w:r>
      <w:r w:rsidRPr="008A2411">
        <w:rPr>
          <w:rFonts w:ascii="Times New Roman"/>
          <w:color w:val="000000" w:themeColor="text1"/>
          <w:szCs w:val="24"/>
        </w:rPr>
        <w:t>号）；</w:t>
      </w:r>
    </w:p>
    <w:p w14:paraId="2E5A69C0" w14:textId="77777777" w:rsidR="00B0005F" w:rsidRPr="008A2411" w:rsidRDefault="00000000">
      <w:pPr>
        <w:wordWrap w:val="0"/>
        <w:adjustRightInd w:val="0"/>
        <w:spacing w:line="360" w:lineRule="auto"/>
        <w:ind w:firstLine="480"/>
        <w:rPr>
          <w:rFonts w:ascii="Times New Roman"/>
          <w:color w:val="000000" w:themeColor="text1"/>
          <w:szCs w:val="24"/>
        </w:rPr>
      </w:pPr>
      <w:r w:rsidRPr="008A2411">
        <w:rPr>
          <w:rFonts w:ascii="Times New Roman"/>
          <w:color w:val="000000" w:themeColor="text1"/>
          <w:szCs w:val="24"/>
        </w:rPr>
        <w:t>（</w:t>
      </w:r>
      <w:r w:rsidRPr="008A2411">
        <w:rPr>
          <w:rFonts w:ascii="Times New Roman"/>
          <w:color w:val="000000" w:themeColor="text1"/>
          <w:szCs w:val="24"/>
        </w:rPr>
        <w:t>1</w:t>
      </w:r>
      <w:r w:rsidRPr="008A2411">
        <w:rPr>
          <w:rFonts w:ascii="Times New Roman" w:hint="eastAsia"/>
          <w:color w:val="000000" w:themeColor="text1"/>
          <w:szCs w:val="24"/>
        </w:rPr>
        <w:t>4</w:t>
      </w:r>
      <w:r w:rsidRPr="008A2411">
        <w:rPr>
          <w:rFonts w:ascii="Times New Roman"/>
          <w:color w:val="000000" w:themeColor="text1"/>
          <w:szCs w:val="24"/>
        </w:rPr>
        <w:t>）《产业结构调整指导目录》（</w:t>
      </w:r>
      <w:r w:rsidRPr="008A2411">
        <w:rPr>
          <w:rFonts w:ascii="Times New Roman"/>
          <w:color w:val="000000" w:themeColor="text1"/>
          <w:szCs w:val="24"/>
        </w:rPr>
        <w:t>2021</w:t>
      </w:r>
      <w:r w:rsidRPr="008A2411">
        <w:rPr>
          <w:rFonts w:ascii="Times New Roman"/>
          <w:color w:val="000000" w:themeColor="text1"/>
          <w:szCs w:val="24"/>
        </w:rPr>
        <w:t>年修订）。</w:t>
      </w:r>
    </w:p>
    <w:p w14:paraId="5D97AA5D" w14:textId="77777777" w:rsidR="00B0005F" w:rsidRPr="008A2411" w:rsidRDefault="00000000">
      <w:pPr>
        <w:wordWrap w:val="0"/>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1</w:t>
      </w:r>
      <w:r w:rsidRPr="008A2411">
        <w:rPr>
          <w:rFonts w:ascii="Times New Roman" w:hint="eastAsia"/>
          <w:color w:val="000000" w:themeColor="text1"/>
        </w:rPr>
        <w:t>5</w:t>
      </w:r>
      <w:r w:rsidRPr="008A2411">
        <w:rPr>
          <w:rFonts w:ascii="Times New Roman"/>
          <w:color w:val="000000" w:themeColor="text1"/>
        </w:rPr>
        <w:t>）《四川省环境保护条例》（</w:t>
      </w:r>
      <w:r w:rsidRPr="008A2411">
        <w:rPr>
          <w:rFonts w:ascii="Times New Roman"/>
          <w:color w:val="000000" w:themeColor="text1"/>
        </w:rPr>
        <w:t>2017</w:t>
      </w:r>
      <w:r w:rsidRPr="008A2411">
        <w:rPr>
          <w:rFonts w:ascii="Times New Roman"/>
          <w:color w:val="000000" w:themeColor="text1"/>
        </w:rPr>
        <w:t>年修订）；</w:t>
      </w:r>
    </w:p>
    <w:p w14:paraId="1E6F93CB" w14:textId="77777777" w:rsidR="00B0005F" w:rsidRPr="008A2411" w:rsidRDefault="00000000">
      <w:pPr>
        <w:wordWrap w:val="0"/>
        <w:adjustRightInd w:val="0"/>
        <w:spacing w:line="360" w:lineRule="auto"/>
        <w:ind w:firstLine="480"/>
        <w:rPr>
          <w:rFonts w:ascii="Times New Roman"/>
          <w:color w:val="000000" w:themeColor="text1"/>
        </w:rPr>
      </w:pPr>
      <w:r w:rsidRPr="008A2411">
        <w:rPr>
          <w:rFonts w:ascii="Times New Roman" w:hint="eastAsia"/>
          <w:color w:val="000000" w:themeColor="text1"/>
        </w:rPr>
        <w:t>（</w:t>
      </w:r>
      <w:r w:rsidRPr="008A2411">
        <w:rPr>
          <w:rFonts w:ascii="Times New Roman" w:hint="eastAsia"/>
          <w:color w:val="000000" w:themeColor="text1"/>
        </w:rPr>
        <w:t>16</w:t>
      </w:r>
      <w:r w:rsidRPr="008A2411">
        <w:rPr>
          <w:rFonts w:ascii="Times New Roman" w:hint="eastAsia"/>
          <w:color w:val="000000" w:themeColor="text1"/>
        </w:rPr>
        <w:t>）</w:t>
      </w:r>
      <w:r w:rsidRPr="008A2411">
        <w:rPr>
          <w:rFonts w:ascii="Times New Roman"/>
          <w:color w:val="000000" w:themeColor="text1"/>
        </w:rPr>
        <w:t>四川省〈中华人民共和国大气污染防治法〉实施办法</w:t>
      </w:r>
      <w:proofErr w:type="gramStart"/>
      <w:r w:rsidRPr="008A2411">
        <w:rPr>
          <w:rFonts w:ascii="Times New Roman"/>
          <w:color w:val="000000" w:themeColor="text1"/>
        </w:rPr>
        <w:t>》</w:t>
      </w:r>
      <w:proofErr w:type="gramEnd"/>
      <w:r w:rsidRPr="008A2411">
        <w:rPr>
          <w:rFonts w:ascii="Times New Roman"/>
          <w:color w:val="000000" w:themeColor="text1"/>
        </w:rPr>
        <w:t>（四川省第十三届人民代表大会常务委员会公告第</w:t>
      </w:r>
      <w:r w:rsidRPr="008A2411">
        <w:rPr>
          <w:rFonts w:ascii="Times New Roman"/>
          <w:color w:val="000000" w:themeColor="text1"/>
        </w:rPr>
        <w:t>24</w:t>
      </w:r>
      <w:r w:rsidRPr="008A2411">
        <w:rPr>
          <w:rFonts w:ascii="Times New Roman"/>
          <w:color w:val="000000" w:themeColor="text1"/>
        </w:rPr>
        <w:t>号，</w:t>
      </w:r>
      <w:r w:rsidRPr="008A2411">
        <w:rPr>
          <w:rFonts w:ascii="Times New Roman"/>
          <w:color w:val="000000" w:themeColor="text1"/>
        </w:rPr>
        <w:t>2019</w:t>
      </w:r>
      <w:r w:rsidRPr="008A2411">
        <w:rPr>
          <w:rFonts w:ascii="Times New Roman"/>
          <w:color w:val="000000" w:themeColor="text1"/>
        </w:rPr>
        <w:t>年</w:t>
      </w:r>
      <w:r w:rsidRPr="008A2411">
        <w:rPr>
          <w:rFonts w:ascii="Times New Roman"/>
          <w:color w:val="000000" w:themeColor="text1"/>
        </w:rPr>
        <w:t>1</w:t>
      </w:r>
      <w:r w:rsidRPr="008A2411">
        <w:rPr>
          <w:rFonts w:ascii="Times New Roman"/>
          <w:color w:val="000000" w:themeColor="text1"/>
        </w:rPr>
        <w:t>月</w:t>
      </w:r>
      <w:r w:rsidRPr="008A2411">
        <w:rPr>
          <w:rFonts w:ascii="Times New Roman"/>
          <w:color w:val="000000" w:themeColor="text1"/>
        </w:rPr>
        <w:t>1</w:t>
      </w:r>
      <w:r w:rsidRPr="008A2411">
        <w:rPr>
          <w:rFonts w:ascii="Times New Roman"/>
          <w:color w:val="000000" w:themeColor="text1"/>
        </w:rPr>
        <w:t>日实施）</w:t>
      </w:r>
      <w:r w:rsidRPr="008A2411">
        <w:rPr>
          <w:rFonts w:ascii="Times New Roman" w:hint="eastAsia"/>
          <w:color w:val="000000" w:themeColor="text1"/>
        </w:rPr>
        <w:t>；</w:t>
      </w:r>
    </w:p>
    <w:p w14:paraId="39859CB3" w14:textId="77777777" w:rsidR="00B0005F" w:rsidRPr="008A2411" w:rsidRDefault="00000000">
      <w:pPr>
        <w:wordWrap w:val="0"/>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1</w:t>
      </w:r>
      <w:r w:rsidRPr="008A2411">
        <w:rPr>
          <w:rFonts w:ascii="Times New Roman" w:hint="eastAsia"/>
          <w:color w:val="000000" w:themeColor="text1"/>
        </w:rPr>
        <w:t>7</w:t>
      </w:r>
      <w:r w:rsidRPr="008A2411">
        <w:rPr>
          <w:rFonts w:ascii="Times New Roman"/>
          <w:color w:val="000000" w:themeColor="text1"/>
        </w:rPr>
        <w:t>）《四川省固体废物污染环境防治条例》（</w:t>
      </w:r>
      <w:r w:rsidRPr="008A2411">
        <w:rPr>
          <w:rFonts w:ascii="Times New Roman"/>
          <w:color w:val="000000" w:themeColor="text1"/>
        </w:rPr>
        <w:t>2018</w:t>
      </w:r>
      <w:r w:rsidRPr="008A2411">
        <w:rPr>
          <w:rFonts w:ascii="Times New Roman"/>
          <w:color w:val="000000" w:themeColor="text1"/>
        </w:rPr>
        <w:t>年修正）</w:t>
      </w:r>
      <w:r w:rsidRPr="008A2411">
        <w:rPr>
          <w:rFonts w:ascii="Times New Roman" w:hint="eastAsia"/>
          <w:color w:val="000000" w:themeColor="text1"/>
        </w:rPr>
        <w:t>。</w:t>
      </w:r>
    </w:p>
    <w:p w14:paraId="55D96395" w14:textId="77777777" w:rsidR="00B0005F" w:rsidRPr="008A2411" w:rsidRDefault="00000000">
      <w:pPr>
        <w:pStyle w:val="31"/>
        <w:wordWrap w:val="0"/>
        <w:adjustRightInd w:val="0"/>
        <w:spacing w:before="0" w:after="0" w:line="360" w:lineRule="auto"/>
        <w:rPr>
          <w:rFonts w:ascii="Times New Roman" w:eastAsia="黑体"/>
          <w:bCs w:val="0"/>
          <w:color w:val="000000" w:themeColor="text1"/>
          <w:kern w:val="0"/>
          <w:sz w:val="24"/>
          <w:szCs w:val="24"/>
          <w:lang w:bidi="en-US"/>
        </w:rPr>
      </w:pPr>
      <w:r w:rsidRPr="008A2411">
        <w:rPr>
          <w:rFonts w:ascii="Times New Roman" w:eastAsia="黑体"/>
          <w:bCs w:val="0"/>
          <w:color w:val="000000" w:themeColor="text1"/>
          <w:kern w:val="0"/>
          <w:sz w:val="24"/>
          <w:szCs w:val="24"/>
          <w:lang w:bidi="en-US"/>
        </w:rPr>
        <w:t xml:space="preserve">2.1.2 </w:t>
      </w:r>
      <w:r w:rsidRPr="008A2411">
        <w:rPr>
          <w:rFonts w:ascii="Times New Roman" w:eastAsia="黑体"/>
          <w:bCs w:val="0"/>
          <w:color w:val="000000" w:themeColor="text1"/>
          <w:kern w:val="0"/>
          <w:sz w:val="24"/>
          <w:szCs w:val="24"/>
          <w:lang w:bidi="en-US"/>
        </w:rPr>
        <w:t>部门规章</w:t>
      </w:r>
    </w:p>
    <w:p w14:paraId="0FCE1BD4" w14:textId="77777777" w:rsidR="00B0005F" w:rsidRPr="008A2411" w:rsidRDefault="00000000">
      <w:pPr>
        <w:wordWrap w:val="0"/>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1</w:t>
      </w:r>
      <w:r w:rsidRPr="008A2411">
        <w:rPr>
          <w:rFonts w:ascii="Times New Roman"/>
          <w:color w:val="000000" w:themeColor="text1"/>
        </w:rPr>
        <w:t>）《国家危险废物名录》（</w:t>
      </w:r>
      <w:r w:rsidRPr="008A2411">
        <w:rPr>
          <w:rFonts w:ascii="Times New Roman"/>
          <w:color w:val="000000" w:themeColor="text1"/>
        </w:rPr>
        <w:t>2021</w:t>
      </w:r>
      <w:r w:rsidRPr="008A2411">
        <w:rPr>
          <w:rFonts w:ascii="Times New Roman"/>
          <w:color w:val="000000" w:themeColor="text1"/>
        </w:rPr>
        <w:t>年版，环境保护部令第</w:t>
      </w:r>
      <w:r w:rsidRPr="008A2411">
        <w:rPr>
          <w:rFonts w:ascii="Times New Roman"/>
          <w:color w:val="000000" w:themeColor="text1"/>
        </w:rPr>
        <w:t>15</w:t>
      </w:r>
      <w:r w:rsidRPr="008A2411">
        <w:rPr>
          <w:rFonts w:ascii="Times New Roman"/>
          <w:color w:val="000000" w:themeColor="text1"/>
        </w:rPr>
        <w:t>号）；</w:t>
      </w:r>
    </w:p>
    <w:p w14:paraId="710E5F8A" w14:textId="77777777" w:rsidR="00B0005F" w:rsidRPr="008A2411" w:rsidRDefault="00000000">
      <w:pPr>
        <w:wordWrap w:val="0"/>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2</w:t>
      </w:r>
      <w:r w:rsidRPr="008A2411">
        <w:rPr>
          <w:rFonts w:ascii="Times New Roman"/>
          <w:color w:val="000000" w:themeColor="text1"/>
        </w:rPr>
        <w:t>）《关于进一步加强石油天然气行业环境影响评价管理的通知》（</w:t>
      </w:r>
      <w:proofErr w:type="gramStart"/>
      <w:r w:rsidRPr="008A2411">
        <w:rPr>
          <w:rFonts w:ascii="Times New Roman"/>
          <w:color w:val="000000" w:themeColor="text1"/>
        </w:rPr>
        <w:t>环办环评函</w:t>
      </w:r>
      <w:proofErr w:type="gramEnd"/>
      <w:r w:rsidRPr="008A2411">
        <w:rPr>
          <w:rFonts w:ascii="Times New Roman"/>
          <w:color w:val="000000" w:themeColor="text1"/>
        </w:rPr>
        <w:t>〔</w:t>
      </w:r>
      <w:r w:rsidRPr="008A2411">
        <w:rPr>
          <w:rFonts w:ascii="Times New Roman"/>
          <w:color w:val="000000" w:themeColor="text1"/>
        </w:rPr>
        <w:t>2019</w:t>
      </w:r>
      <w:r w:rsidRPr="008A2411">
        <w:rPr>
          <w:rFonts w:ascii="Times New Roman"/>
          <w:color w:val="000000" w:themeColor="text1"/>
        </w:rPr>
        <w:t>〕</w:t>
      </w:r>
      <w:r w:rsidRPr="008A2411">
        <w:rPr>
          <w:rFonts w:ascii="Times New Roman"/>
          <w:color w:val="000000" w:themeColor="text1"/>
        </w:rPr>
        <w:t>910</w:t>
      </w:r>
      <w:r w:rsidRPr="008A2411">
        <w:rPr>
          <w:rFonts w:ascii="Times New Roman"/>
          <w:color w:val="000000" w:themeColor="text1"/>
        </w:rPr>
        <w:t>号）；</w:t>
      </w:r>
    </w:p>
    <w:p w14:paraId="4F7434EE" w14:textId="77777777" w:rsidR="00B0005F" w:rsidRPr="008A2411" w:rsidRDefault="00000000">
      <w:pPr>
        <w:wordWrap w:val="0"/>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3</w:t>
      </w:r>
      <w:r w:rsidRPr="008A2411">
        <w:rPr>
          <w:rFonts w:ascii="Times New Roman"/>
          <w:color w:val="000000" w:themeColor="text1"/>
        </w:rPr>
        <w:t>）《石油天然气开采业污染防治技术政策》（环保部公告</w:t>
      </w:r>
      <w:r w:rsidRPr="008A2411">
        <w:rPr>
          <w:rFonts w:ascii="Times New Roman"/>
          <w:color w:val="000000" w:themeColor="text1"/>
        </w:rPr>
        <w:t>2012</w:t>
      </w:r>
      <w:r w:rsidRPr="008A2411">
        <w:rPr>
          <w:rFonts w:ascii="Times New Roman"/>
          <w:color w:val="000000" w:themeColor="text1"/>
        </w:rPr>
        <w:t>年第</w:t>
      </w:r>
      <w:r w:rsidRPr="008A2411">
        <w:rPr>
          <w:rFonts w:ascii="Times New Roman"/>
          <w:color w:val="000000" w:themeColor="text1"/>
        </w:rPr>
        <w:t>18</w:t>
      </w:r>
      <w:r w:rsidRPr="008A2411">
        <w:rPr>
          <w:rFonts w:ascii="Times New Roman"/>
          <w:color w:val="000000" w:themeColor="text1"/>
        </w:rPr>
        <w:t>号）；</w:t>
      </w:r>
    </w:p>
    <w:p w14:paraId="381F7BC8" w14:textId="77777777" w:rsidR="00B0005F" w:rsidRPr="008A2411" w:rsidRDefault="00000000">
      <w:pPr>
        <w:wordWrap w:val="0"/>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4</w:t>
      </w:r>
      <w:r w:rsidRPr="008A2411">
        <w:rPr>
          <w:rFonts w:ascii="Times New Roman"/>
          <w:color w:val="000000" w:themeColor="text1"/>
        </w:rPr>
        <w:t>）《危险废物环境管理指南</w:t>
      </w:r>
      <w:r w:rsidRPr="008A2411">
        <w:rPr>
          <w:rFonts w:ascii="Times New Roman"/>
          <w:color w:val="000000" w:themeColor="text1"/>
        </w:rPr>
        <w:t xml:space="preserve"> </w:t>
      </w:r>
      <w:r w:rsidRPr="008A2411">
        <w:rPr>
          <w:rFonts w:ascii="Times New Roman"/>
          <w:color w:val="000000" w:themeColor="text1"/>
        </w:rPr>
        <w:t>陆上石油天然气开采》（生态环境部公告</w:t>
      </w:r>
      <w:r w:rsidRPr="008A2411">
        <w:rPr>
          <w:rFonts w:ascii="Times New Roman"/>
          <w:color w:val="000000" w:themeColor="text1"/>
        </w:rPr>
        <w:t>2021</w:t>
      </w:r>
      <w:r w:rsidRPr="008A2411">
        <w:rPr>
          <w:rFonts w:ascii="Times New Roman"/>
          <w:color w:val="000000" w:themeColor="text1"/>
        </w:rPr>
        <w:t>年第</w:t>
      </w:r>
      <w:r w:rsidRPr="008A2411">
        <w:rPr>
          <w:rFonts w:ascii="Times New Roman"/>
          <w:color w:val="000000" w:themeColor="text1"/>
        </w:rPr>
        <w:t>74</w:t>
      </w:r>
      <w:r w:rsidRPr="008A2411">
        <w:rPr>
          <w:rFonts w:ascii="Times New Roman"/>
          <w:color w:val="000000" w:themeColor="text1"/>
        </w:rPr>
        <w:t>号）；</w:t>
      </w:r>
    </w:p>
    <w:p w14:paraId="2ADC8205" w14:textId="77777777" w:rsidR="00B0005F" w:rsidRPr="008A2411" w:rsidRDefault="00000000">
      <w:pPr>
        <w:wordWrap w:val="0"/>
        <w:adjustRightInd w:val="0"/>
        <w:spacing w:line="360" w:lineRule="auto"/>
        <w:ind w:firstLine="480"/>
        <w:rPr>
          <w:rFonts w:ascii="Times New Roman"/>
          <w:color w:val="000000" w:themeColor="text1"/>
        </w:rPr>
      </w:pPr>
      <w:r w:rsidRPr="008A2411">
        <w:rPr>
          <w:rFonts w:ascii="Times New Roman"/>
          <w:color w:val="000000" w:themeColor="text1"/>
        </w:rPr>
        <w:lastRenderedPageBreak/>
        <w:t>（</w:t>
      </w:r>
      <w:r w:rsidRPr="008A2411">
        <w:rPr>
          <w:rFonts w:ascii="Times New Roman"/>
          <w:color w:val="000000" w:themeColor="text1"/>
        </w:rPr>
        <w:t>5</w:t>
      </w:r>
      <w:r w:rsidRPr="008A2411">
        <w:rPr>
          <w:rFonts w:ascii="Times New Roman"/>
          <w:color w:val="000000" w:themeColor="text1"/>
        </w:rPr>
        <w:t>）《环境保护部生态保护红线划定技术指南》（环发</w:t>
      </w:r>
      <w:r w:rsidRPr="008A2411">
        <w:rPr>
          <w:rFonts w:ascii="Times New Roman"/>
          <w:color w:val="000000" w:themeColor="text1"/>
        </w:rPr>
        <w:t>[2015]56</w:t>
      </w:r>
      <w:r w:rsidRPr="008A2411">
        <w:rPr>
          <w:rFonts w:ascii="Times New Roman"/>
          <w:color w:val="000000" w:themeColor="text1"/>
        </w:rPr>
        <w:t>号）；</w:t>
      </w:r>
    </w:p>
    <w:p w14:paraId="6874D5E7" w14:textId="77777777" w:rsidR="00B0005F" w:rsidRPr="008A2411" w:rsidRDefault="00000000">
      <w:pPr>
        <w:wordWrap w:val="0"/>
        <w:adjustRightInd w:val="0"/>
        <w:spacing w:line="360" w:lineRule="auto"/>
        <w:ind w:firstLine="480"/>
        <w:rPr>
          <w:rFonts w:ascii="Times New Roman"/>
          <w:color w:val="000000" w:themeColor="text1"/>
        </w:rPr>
      </w:pPr>
      <w:r w:rsidRPr="008A2411">
        <w:rPr>
          <w:rFonts w:ascii="Times New Roman" w:hint="eastAsia"/>
          <w:color w:val="000000" w:themeColor="text1"/>
        </w:rPr>
        <w:t>（</w:t>
      </w:r>
      <w:r w:rsidRPr="008A2411">
        <w:rPr>
          <w:rFonts w:ascii="Times New Roman" w:hint="eastAsia"/>
          <w:color w:val="000000" w:themeColor="text1"/>
        </w:rPr>
        <w:t>6</w:t>
      </w:r>
      <w:r w:rsidRPr="008A2411">
        <w:rPr>
          <w:rFonts w:ascii="Times New Roman" w:hint="eastAsia"/>
          <w:color w:val="000000" w:themeColor="text1"/>
        </w:rPr>
        <w:t>）</w:t>
      </w:r>
      <w:r w:rsidRPr="008A2411">
        <w:rPr>
          <w:rFonts w:ascii="Times New Roman"/>
          <w:color w:val="000000" w:themeColor="text1"/>
        </w:rPr>
        <w:t>《关于以改善环境质量为核心加强环境影响评价管理的通知》（环环评〔</w:t>
      </w:r>
      <w:r w:rsidRPr="008A2411">
        <w:rPr>
          <w:rFonts w:ascii="Times New Roman"/>
          <w:color w:val="000000" w:themeColor="text1"/>
        </w:rPr>
        <w:t>2016</w:t>
      </w:r>
      <w:r w:rsidRPr="008A2411">
        <w:rPr>
          <w:rFonts w:ascii="Times New Roman"/>
          <w:color w:val="000000" w:themeColor="text1"/>
        </w:rPr>
        <w:t>〕</w:t>
      </w:r>
      <w:r w:rsidRPr="008A2411">
        <w:rPr>
          <w:rFonts w:ascii="Times New Roman"/>
          <w:color w:val="000000" w:themeColor="text1"/>
        </w:rPr>
        <w:t>150</w:t>
      </w:r>
      <w:r w:rsidRPr="008A2411">
        <w:rPr>
          <w:rFonts w:ascii="Times New Roman"/>
          <w:color w:val="000000" w:themeColor="text1"/>
        </w:rPr>
        <w:t>号）；</w:t>
      </w:r>
    </w:p>
    <w:p w14:paraId="653EE1D2" w14:textId="77777777" w:rsidR="00B0005F" w:rsidRPr="008A2411" w:rsidRDefault="00000000">
      <w:pPr>
        <w:wordWrap w:val="0"/>
        <w:adjustRightInd w:val="0"/>
        <w:spacing w:line="360" w:lineRule="auto"/>
        <w:ind w:firstLine="480"/>
        <w:rPr>
          <w:rFonts w:ascii="Times New Roman"/>
          <w:color w:val="000000" w:themeColor="text1"/>
        </w:rPr>
      </w:pPr>
      <w:r w:rsidRPr="008A2411">
        <w:rPr>
          <w:rFonts w:ascii="Times New Roman" w:hint="eastAsia"/>
          <w:color w:val="000000" w:themeColor="text1"/>
        </w:rPr>
        <w:t>（</w:t>
      </w:r>
      <w:r w:rsidRPr="008A2411">
        <w:rPr>
          <w:rFonts w:ascii="Times New Roman" w:hint="eastAsia"/>
          <w:color w:val="000000" w:themeColor="text1"/>
        </w:rPr>
        <w:t>7</w:t>
      </w:r>
      <w:r w:rsidRPr="008A2411">
        <w:rPr>
          <w:rFonts w:ascii="Times New Roman" w:hint="eastAsia"/>
          <w:color w:val="000000" w:themeColor="text1"/>
        </w:rPr>
        <w:t>）</w:t>
      </w:r>
      <w:r w:rsidRPr="008A2411">
        <w:rPr>
          <w:rFonts w:ascii="Times New Roman"/>
          <w:color w:val="000000" w:themeColor="text1"/>
        </w:rPr>
        <w:t>《关于切实加强风险防范严格环境影响评价管理的通知》（环发〔</w:t>
      </w:r>
      <w:r w:rsidRPr="008A2411">
        <w:rPr>
          <w:rFonts w:ascii="Times New Roman"/>
          <w:color w:val="000000" w:themeColor="text1"/>
        </w:rPr>
        <w:t>2012</w:t>
      </w:r>
      <w:r w:rsidRPr="008A2411">
        <w:rPr>
          <w:rFonts w:ascii="Times New Roman"/>
          <w:color w:val="000000" w:themeColor="text1"/>
        </w:rPr>
        <w:t>〕</w:t>
      </w:r>
      <w:r w:rsidRPr="008A2411">
        <w:rPr>
          <w:rFonts w:ascii="Times New Roman"/>
          <w:color w:val="000000" w:themeColor="text1"/>
        </w:rPr>
        <w:t>98</w:t>
      </w:r>
      <w:r w:rsidRPr="008A2411">
        <w:rPr>
          <w:rFonts w:ascii="Times New Roman"/>
          <w:color w:val="000000" w:themeColor="text1"/>
        </w:rPr>
        <w:t>号）：</w:t>
      </w:r>
    </w:p>
    <w:p w14:paraId="386A2C80" w14:textId="77777777" w:rsidR="00B0005F" w:rsidRPr="008A2411" w:rsidRDefault="00000000">
      <w:pPr>
        <w:wordWrap w:val="0"/>
        <w:adjustRightInd w:val="0"/>
        <w:spacing w:line="360" w:lineRule="auto"/>
        <w:ind w:firstLine="480"/>
        <w:rPr>
          <w:rFonts w:ascii="Times New Roman"/>
          <w:color w:val="000000" w:themeColor="text1"/>
        </w:rPr>
      </w:pPr>
      <w:r w:rsidRPr="008A2411">
        <w:rPr>
          <w:rFonts w:ascii="Times New Roman" w:hint="eastAsia"/>
          <w:color w:val="000000" w:themeColor="text1"/>
        </w:rPr>
        <w:t>（</w:t>
      </w:r>
      <w:r w:rsidRPr="008A2411">
        <w:rPr>
          <w:rFonts w:ascii="Times New Roman" w:hint="eastAsia"/>
          <w:color w:val="000000" w:themeColor="text1"/>
        </w:rPr>
        <w:t>8</w:t>
      </w:r>
      <w:r w:rsidRPr="008A2411">
        <w:rPr>
          <w:rFonts w:ascii="Times New Roman" w:hint="eastAsia"/>
          <w:color w:val="000000" w:themeColor="text1"/>
        </w:rPr>
        <w:t>）</w:t>
      </w:r>
      <w:r w:rsidRPr="008A2411">
        <w:rPr>
          <w:rFonts w:ascii="Times New Roman"/>
          <w:color w:val="000000" w:themeColor="text1"/>
        </w:rPr>
        <w:t>《关于进一步加强环境影响评价管理防范环境风险的通知》（环发〔</w:t>
      </w:r>
      <w:r w:rsidRPr="008A2411">
        <w:rPr>
          <w:rFonts w:ascii="Times New Roman"/>
          <w:color w:val="000000" w:themeColor="text1"/>
        </w:rPr>
        <w:t>2012</w:t>
      </w:r>
      <w:r w:rsidRPr="008A2411">
        <w:rPr>
          <w:rFonts w:ascii="Times New Roman"/>
          <w:color w:val="000000" w:themeColor="text1"/>
        </w:rPr>
        <w:t>〕</w:t>
      </w:r>
      <w:r w:rsidRPr="008A2411">
        <w:rPr>
          <w:rFonts w:ascii="Times New Roman"/>
          <w:color w:val="000000" w:themeColor="text1"/>
        </w:rPr>
        <w:t>77</w:t>
      </w:r>
      <w:r w:rsidRPr="008A2411">
        <w:rPr>
          <w:rFonts w:ascii="Times New Roman"/>
          <w:color w:val="000000" w:themeColor="text1"/>
        </w:rPr>
        <w:t>号）；</w:t>
      </w:r>
    </w:p>
    <w:p w14:paraId="5C3A03F7" w14:textId="77777777" w:rsidR="00B0005F" w:rsidRPr="008A2411" w:rsidRDefault="00000000">
      <w:pPr>
        <w:wordWrap w:val="0"/>
        <w:adjustRightInd w:val="0"/>
        <w:spacing w:line="360" w:lineRule="auto"/>
        <w:ind w:firstLine="480"/>
        <w:rPr>
          <w:rFonts w:ascii="Times New Roman"/>
          <w:color w:val="000000" w:themeColor="text1"/>
        </w:rPr>
      </w:pPr>
      <w:r w:rsidRPr="008A2411">
        <w:rPr>
          <w:rFonts w:ascii="Times New Roman" w:hint="eastAsia"/>
          <w:color w:val="000000" w:themeColor="text1"/>
        </w:rPr>
        <w:t>（</w:t>
      </w:r>
      <w:r w:rsidRPr="008A2411">
        <w:rPr>
          <w:rFonts w:ascii="Times New Roman" w:hint="eastAsia"/>
          <w:color w:val="000000" w:themeColor="text1"/>
        </w:rPr>
        <w:t>9</w:t>
      </w:r>
      <w:r w:rsidRPr="008A2411">
        <w:rPr>
          <w:rFonts w:ascii="Times New Roman" w:hint="eastAsia"/>
          <w:color w:val="000000" w:themeColor="text1"/>
        </w:rPr>
        <w:t>）关于做好环境影响评价制度与排污许可制衔接相关工作的通知（</w:t>
      </w:r>
      <w:proofErr w:type="gramStart"/>
      <w:r w:rsidRPr="008A2411">
        <w:rPr>
          <w:rFonts w:ascii="Times New Roman"/>
          <w:color w:val="000000" w:themeColor="text1"/>
        </w:rPr>
        <w:t>环办环</w:t>
      </w:r>
      <w:proofErr w:type="gramEnd"/>
      <w:r w:rsidRPr="008A2411">
        <w:rPr>
          <w:rFonts w:ascii="Times New Roman"/>
          <w:color w:val="000000" w:themeColor="text1"/>
        </w:rPr>
        <w:t>评〔</w:t>
      </w:r>
      <w:r w:rsidRPr="008A2411">
        <w:rPr>
          <w:rFonts w:ascii="Times New Roman"/>
          <w:color w:val="000000" w:themeColor="text1"/>
        </w:rPr>
        <w:t>2017</w:t>
      </w:r>
      <w:r w:rsidRPr="008A2411">
        <w:rPr>
          <w:rFonts w:ascii="Times New Roman"/>
          <w:color w:val="000000" w:themeColor="text1"/>
        </w:rPr>
        <w:t>〕</w:t>
      </w:r>
      <w:r w:rsidRPr="008A2411">
        <w:rPr>
          <w:rFonts w:ascii="Times New Roman"/>
          <w:color w:val="000000" w:themeColor="text1"/>
        </w:rPr>
        <w:t>84</w:t>
      </w:r>
      <w:r w:rsidRPr="008A2411">
        <w:rPr>
          <w:rFonts w:ascii="Times New Roman"/>
          <w:color w:val="000000" w:themeColor="text1"/>
        </w:rPr>
        <w:t>号</w:t>
      </w:r>
      <w:r w:rsidRPr="008A2411">
        <w:rPr>
          <w:rFonts w:ascii="Times New Roman" w:hint="eastAsia"/>
          <w:color w:val="000000" w:themeColor="text1"/>
        </w:rPr>
        <w:t>）</w:t>
      </w:r>
    </w:p>
    <w:p w14:paraId="38B6EFED" w14:textId="77777777" w:rsidR="00B0005F" w:rsidRPr="008A2411" w:rsidRDefault="00000000">
      <w:pPr>
        <w:wordWrap w:val="0"/>
        <w:adjustRightInd w:val="0"/>
        <w:spacing w:line="360" w:lineRule="auto"/>
        <w:ind w:firstLine="480"/>
        <w:rPr>
          <w:rFonts w:ascii="Times New Roman"/>
          <w:color w:val="000000" w:themeColor="text1"/>
        </w:rPr>
      </w:pPr>
      <w:r w:rsidRPr="008A2411">
        <w:rPr>
          <w:rFonts w:ascii="Times New Roman" w:hint="eastAsia"/>
          <w:color w:val="000000" w:themeColor="text1"/>
        </w:rPr>
        <w:t>（</w:t>
      </w:r>
      <w:r w:rsidRPr="008A2411">
        <w:rPr>
          <w:rFonts w:ascii="Times New Roman" w:hint="eastAsia"/>
          <w:color w:val="000000" w:themeColor="text1"/>
        </w:rPr>
        <w:t>10</w:t>
      </w:r>
      <w:r w:rsidRPr="008A2411">
        <w:rPr>
          <w:rFonts w:ascii="Times New Roman" w:hint="eastAsia"/>
          <w:color w:val="000000" w:themeColor="text1"/>
        </w:rPr>
        <w:t>）</w:t>
      </w:r>
      <w:r w:rsidRPr="008A2411">
        <w:rPr>
          <w:rFonts w:ascii="Times New Roman"/>
          <w:color w:val="000000" w:themeColor="text1"/>
        </w:rPr>
        <w:t>《石油天然气开采业污染防治技术政策》（环境保护部公告</w:t>
      </w:r>
      <w:r w:rsidRPr="008A2411">
        <w:rPr>
          <w:rFonts w:ascii="Times New Roman"/>
          <w:color w:val="000000" w:themeColor="text1"/>
        </w:rPr>
        <w:t>2012</w:t>
      </w:r>
      <w:r w:rsidRPr="008A2411">
        <w:rPr>
          <w:rFonts w:ascii="Times New Roman"/>
          <w:color w:val="000000" w:themeColor="text1"/>
        </w:rPr>
        <w:t>年第</w:t>
      </w:r>
      <w:r w:rsidRPr="008A2411">
        <w:rPr>
          <w:rFonts w:ascii="Times New Roman"/>
          <w:color w:val="000000" w:themeColor="text1"/>
        </w:rPr>
        <w:t>18</w:t>
      </w:r>
      <w:r w:rsidRPr="008A2411">
        <w:rPr>
          <w:rFonts w:ascii="Times New Roman"/>
          <w:color w:val="000000" w:themeColor="text1"/>
        </w:rPr>
        <w:t>号）；</w:t>
      </w:r>
    </w:p>
    <w:p w14:paraId="5D1F1EBA" w14:textId="77777777" w:rsidR="00B0005F" w:rsidRPr="008A2411" w:rsidRDefault="00000000">
      <w:pPr>
        <w:wordWrap w:val="0"/>
        <w:adjustRightInd w:val="0"/>
        <w:spacing w:line="360" w:lineRule="auto"/>
        <w:ind w:firstLine="480"/>
        <w:rPr>
          <w:rFonts w:ascii="Times New Roman"/>
          <w:color w:val="000000" w:themeColor="text1"/>
        </w:rPr>
      </w:pPr>
      <w:r w:rsidRPr="008A2411">
        <w:rPr>
          <w:rFonts w:ascii="Times New Roman" w:hint="eastAsia"/>
          <w:color w:val="000000" w:themeColor="text1"/>
        </w:rPr>
        <w:t>（</w:t>
      </w:r>
      <w:r w:rsidRPr="008A2411">
        <w:rPr>
          <w:rFonts w:ascii="Times New Roman" w:hint="eastAsia"/>
          <w:color w:val="000000" w:themeColor="text1"/>
        </w:rPr>
        <w:t>11</w:t>
      </w:r>
      <w:r w:rsidRPr="008A2411">
        <w:rPr>
          <w:rFonts w:ascii="Times New Roman" w:hint="eastAsia"/>
          <w:color w:val="000000" w:themeColor="text1"/>
        </w:rPr>
        <w:t>）</w:t>
      </w:r>
      <w:r w:rsidRPr="008A2411">
        <w:rPr>
          <w:rFonts w:ascii="Times New Roman"/>
          <w:color w:val="000000" w:themeColor="text1"/>
        </w:rPr>
        <w:t>《环境影响评价公众参与办法》（生态环境部令</w:t>
      </w:r>
      <w:r w:rsidRPr="008A2411">
        <w:rPr>
          <w:rFonts w:ascii="Times New Roman"/>
          <w:color w:val="000000" w:themeColor="text1"/>
        </w:rPr>
        <w:t xml:space="preserve"> </w:t>
      </w:r>
      <w:r w:rsidRPr="008A2411">
        <w:rPr>
          <w:rFonts w:ascii="Times New Roman"/>
          <w:color w:val="000000" w:themeColor="text1"/>
        </w:rPr>
        <w:t>第</w:t>
      </w:r>
      <w:r w:rsidRPr="008A2411">
        <w:rPr>
          <w:rFonts w:ascii="Times New Roman"/>
          <w:color w:val="000000" w:themeColor="text1"/>
        </w:rPr>
        <w:t>4</w:t>
      </w:r>
      <w:r w:rsidRPr="008A2411">
        <w:rPr>
          <w:rFonts w:ascii="Times New Roman"/>
          <w:color w:val="000000" w:themeColor="text1"/>
        </w:rPr>
        <w:t>号）；</w:t>
      </w:r>
    </w:p>
    <w:p w14:paraId="0DEAB84A" w14:textId="77777777" w:rsidR="00B0005F" w:rsidRPr="008A2411" w:rsidRDefault="00000000">
      <w:pPr>
        <w:wordWrap w:val="0"/>
        <w:adjustRightInd w:val="0"/>
        <w:spacing w:line="360" w:lineRule="auto"/>
        <w:ind w:firstLine="480"/>
        <w:rPr>
          <w:rFonts w:ascii="Times New Roman"/>
          <w:color w:val="000000" w:themeColor="text1"/>
        </w:rPr>
      </w:pPr>
      <w:r w:rsidRPr="008A2411">
        <w:rPr>
          <w:rFonts w:ascii="Times New Roman" w:hint="eastAsia"/>
          <w:color w:val="000000" w:themeColor="text1"/>
        </w:rPr>
        <w:t>（</w:t>
      </w:r>
      <w:r w:rsidRPr="008A2411">
        <w:rPr>
          <w:rFonts w:ascii="Times New Roman" w:hint="eastAsia"/>
          <w:color w:val="000000" w:themeColor="text1"/>
        </w:rPr>
        <w:t>12</w:t>
      </w:r>
      <w:r w:rsidRPr="008A2411">
        <w:rPr>
          <w:rFonts w:ascii="Times New Roman" w:hint="eastAsia"/>
          <w:color w:val="000000" w:themeColor="text1"/>
        </w:rPr>
        <w:t>）</w:t>
      </w:r>
      <w:r w:rsidRPr="008A2411">
        <w:rPr>
          <w:rFonts w:ascii="Times New Roman"/>
          <w:color w:val="000000" w:themeColor="text1"/>
        </w:rPr>
        <w:t>《关于发布</w:t>
      </w:r>
      <w:r w:rsidRPr="008A2411">
        <w:rPr>
          <w:rFonts w:ascii="Times New Roman"/>
          <w:color w:val="000000" w:themeColor="text1"/>
        </w:rPr>
        <w:t>&lt;</w:t>
      </w:r>
      <w:r w:rsidRPr="008A2411">
        <w:rPr>
          <w:rFonts w:ascii="Times New Roman"/>
          <w:color w:val="000000" w:themeColor="text1"/>
        </w:rPr>
        <w:t>环境影响评价公众参与办法</w:t>
      </w:r>
      <w:r w:rsidRPr="008A2411">
        <w:rPr>
          <w:rFonts w:ascii="Times New Roman"/>
          <w:color w:val="000000" w:themeColor="text1"/>
        </w:rPr>
        <w:t>&gt;</w:t>
      </w:r>
      <w:r w:rsidRPr="008A2411">
        <w:rPr>
          <w:rFonts w:ascii="Times New Roman"/>
          <w:color w:val="000000" w:themeColor="text1"/>
        </w:rPr>
        <w:t>配套文件的公告》（生态环境部公告</w:t>
      </w:r>
      <w:r w:rsidRPr="008A2411">
        <w:rPr>
          <w:rFonts w:ascii="Times New Roman"/>
          <w:color w:val="000000" w:themeColor="text1"/>
        </w:rPr>
        <w:t>2018</w:t>
      </w:r>
      <w:r w:rsidRPr="008A2411">
        <w:rPr>
          <w:rFonts w:ascii="Times New Roman"/>
          <w:color w:val="000000" w:themeColor="text1"/>
        </w:rPr>
        <w:t>年第</w:t>
      </w:r>
      <w:r w:rsidRPr="008A2411">
        <w:rPr>
          <w:rFonts w:ascii="Times New Roman"/>
          <w:color w:val="000000" w:themeColor="text1"/>
        </w:rPr>
        <w:t>48</w:t>
      </w:r>
      <w:r w:rsidRPr="008A2411">
        <w:rPr>
          <w:rFonts w:ascii="Times New Roman"/>
          <w:color w:val="000000" w:themeColor="text1"/>
        </w:rPr>
        <w:t>号）；</w:t>
      </w:r>
    </w:p>
    <w:p w14:paraId="00ACA5E2" w14:textId="77777777" w:rsidR="00B0005F" w:rsidRPr="008A2411" w:rsidRDefault="00000000">
      <w:pPr>
        <w:wordWrap w:val="0"/>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hint="eastAsia"/>
          <w:color w:val="000000" w:themeColor="text1"/>
        </w:rPr>
        <w:t>13</w:t>
      </w:r>
      <w:r w:rsidRPr="008A2411">
        <w:rPr>
          <w:rFonts w:ascii="Times New Roman"/>
          <w:color w:val="000000" w:themeColor="text1"/>
        </w:rPr>
        <w:t>）《四川省突发环境事件应急预案备案行业名录（试行）》（</w:t>
      </w:r>
      <w:proofErr w:type="gramStart"/>
      <w:r w:rsidRPr="008A2411">
        <w:rPr>
          <w:rFonts w:ascii="Times New Roman"/>
          <w:color w:val="000000" w:themeColor="text1"/>
        </w:rPr>
        <w:t>川环办</w:t>
      </w:r>
      <w:proofErr w:type="gramEnd"/>
      <w:r w:rsidRPr="008A2411">
        <w:rPr>
          <w:rFonts w:ascii="Times New Roman"/>
          <w:color w:val="000000" w:themeColor="text1"/>
        </w:rPr>
        <w:t>函〔</w:t>
      </w:r>
      <w:r w:rsidRPr="008A2411">
        <w:rPr>
          <w:rFonts w:ascii="Times New Roman"/>
          <w:color w:val="000000" w:themeColor="text1"/>
        </w:rPr>
        <w:t>2019</w:t>
      </w:r>
      <w:r w:rsidRPr="008A2411">
        <w:rPr>
          <w:rFonts w:ascii="Times New Roman"/>
          <w:color w:val="000000" w:themeColor="text1"/>
        </w:rPr>
        <w:t>〕</w:t>
      </w:r>
      <w:r w:rsidRPr="008A2411">
        <w:rPr>
          <w:rFonts w:ascii="Times New Roman"/>
          <w:color w:val="000000" w:themeColor="text1"/>
        </w:rPr>
        <w:t>504</w:t>
      </w:r>
      <w:r w:rsidRPr="008A2411">
        <w:rPr>
          <w:rFonts w:ascii="Times New Roman"/>
          <w:color w:val="000000" w:themeColor="text1"/>
        </w:rPr>
        <w:t>号）；</w:t>
      </w:r>
    </w:p>
    <w:p w14:paraId="7A648F03" w14:textId="77777777" w:rsidR="00B0005F" w:rsidRPr="008A2411" w:rsidRDefault="00000000">
      <w:pPr>
        <w:wordWrap w:val="0"/>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hint="eastAsia"/>
          <w:color w:val="000000" w:themeColor="text1"/>
        </w:rPr>
        <w:t>14</w:t>
      </w:r>
      <w:r w:rsidRPr="008A2411">
        <w:rPr>
          <w:rFonts w:ascii="Times New Roman"/>
          <w:color w:val="000000" w:themeColor="text1"/>
        </w:rPr>
        <w:t>）《四川省生态环境厅关于执行大气污染物特别排放限值的公告》（四川省生态环境厅公告</w:t>
      </w:r>
      <w:r w:rsidRPr="008A2411">
        <w:rPr>
          <w:rFonts w:ascii="Times New Roman"/>
          <w:color w:val="000000" w:themeColor="text1"/>
        </w:rPr>
        <w:t>2020</w:t>
      </w:r>
      <w:r w:rsidRPr="008A2411">
        <w:rPr>
          <w:rFonts w:ascii="Times New Roman"/>
          <w:color w:val="000000" w:themeColor="text1"/>
        </w:rPr>
        <w:t>年第</w:t>
      </w:r>
      <w:r w:rsidRPr="008A2411">
        <w:rPr>
          <w:rFonts w:ascii="Times New Roman"/>
          <w:color w:val="000000" w:themeColor="text1"/>
        </w:rPr>
        <w:t>2</w:t>
      </w:r>
      <w:r w:rsidRPr="008A2411">
        <w:rPr>
          <w:rFonts w:ascii="Times New Roman"/>
          <w:color w:val="000000" w:themeColor="text1"/>
        </w:rPr>
        <w:t>号）；</w:t>
      </w:r>
    </w:p>
    <w:p w14:paraId="7ECF63F8" w14:textId="77777777" w:rsidR="00B0005F" w:rsidRPr="008A2411" w:rsidRDefault="00000000">
      <w:pPr>
        <w:wordWrap w:val="0"/>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hint="eastAsia"/>
          <w:color w:val="000000" w:themeColor="text1"/>
        </w:rPr>
        <w:t>15</w:t>
      </w:r>
      <w:r w:rsidRPr="008A2411">
        <w:rPr>
          <w:rFonts w:ascii="Times New Roman"/>
          <w:color w:val="000000" w:themeColor="text1"/>
        </w:rPr>
        <w:t>）《四川省国土资源厅关于加强生态文明建设促进矿产资源绿色勘查开发的通知》（川</w:t>
      </w:r>
      <w:proofErr w:type="gramStart"/>
      <w:r w:rsidRPr="008A2411">
        <w:rPr>
          <w:rFonts w:ascii="Times New Roman"/>
          <w:color w:val="000000" w:themeColor="text1"/>
        </w:rPr>
        <w:t>国土资发〔</w:t>
      </w:r>
      <w:r w:rsidRPr="008A2411">
        <w:rPr>
          <w:rFonts w:ascii="Times New Roman"/>
          <w:color w:val="000000" w:themeColor="text1"/>
        </w:rPr>
        <w:t>2017</w:t>
      </w:r>
      <w:r w:rsidRPr="008A2411">
        <w:rPr>
          <w:rFonts w:ascii="Times New Roman"/>
          <w:color w:val="000000" w:themeColor="text1"/>
        </w:rPr>
        <w:t>〕</w:t>
      </w:r>
      <w:proofErr w:type="gramEnd"/>
      <w:r w:rsidRPr="008A2411">
        <w:rPr>
          <w:rFonts w:ascii="Times New Roman"/>
          <w:color w:val="000000" w:themeColor="text1"/>
        </w:rPr>
        <w:t>54</w:t>
      </w:r>
      <w:r w:rsidRPr="008A2411">
        <w:rPr>
          <w:rFonts w:ascii="Times New Roman"/>
          <w:color w:val="000000" w:themeColor="text1"/>
        </w:rPr>
        <w:t>号）；</w:t>
      </w:r>
    </w:p>
    <w:p w14:paraId="753B0C77" w14:textId="77777777" w:rsidR="00B0005F" w:rsidRPr="008A2411" w:rsidRDefault="00000000">
      <w:pPr>
        <w:wordWrap w:val="0"/>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hint="eastAsia"/>
          <w:color w:val="000000" w:themeColor="text1"/>
        </w:rPr>
        <w:t>16</w:t>
      </w:r>
      <w:r w:rsidRPr="008A2411">
        <w:rPr>
          <w:rFonts w:ascii="Times New Roman"/>
          <w:color w:val="000000" w:themeColor="text1"/>
        </w:rPr>
        <w:t>）《四川省人民政府关于落实生态保护红线、环境质量底线、资源利用上线制定生态环境准入清单实施生态环境分区管控的通知》（川府发〔</w:t>
      </w:r>
      <w:r w:rsidRPr="008A2411">
        <w:rPr>
          <w:rFonts w:ascii="Times New Roman"/>
          <w:color w:val="000000" w:themeColor="text1"/>
        </w:rPr>
        <w:t>2020</w:t>
      </w:r>
      <w:r w:rsidRPr="008A2411">
        <w:rPr>
          <w:rFonts w:ascii="Times New Roman"/>
          <w:color w:val="000000" w:themeColor="text1"/>
        </w:rPr>
        <w:t>〕</w:t>
      </w:r>
      <w:r w:rsidRPr="008A2411">
        <w:rPr>
          <w:rFonts w:ascii="Times New Roman"/>
          <w:color w:val="000000" w:themeColor="text1"/>
        </w:rPr>
        <w:t>9</w:t>
      </w:r>
      <w:r w:rsidRPr="008A2411">
        <w:rPr>
          <w:rFonts w:ascii="Times New Roman"/>
          <w:color w:val="000000" w:themeColor="text1"/>
        </w:rPr>
        <w:t>号）；</w:t>
      </w:r>
    </w:p>
    <w:p w14:paraId="755A164E" w14:textId="77777777" w:rsidR="00B0005F" w:rsidRPr="008A2411" w:rsidRDefault="00000000">
      <w:pPr>
        <w:wordWrap w:val="0"/>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1</w:t>
      </w:r>
      <w:r w:rsidRPr="008A2411">
        <w:rPr>
          <w:rFonts w:ascii="Times New Roman" w:hint="eastAsia"/>
          <w:color w:val="000000" w:themeColor="text1"/>
        </w:rPr>
        <w:t>7</w:t>
      </w:r>
      <w:r w:rsidRPr="008A2411">
        <w:rPr>
          <w:rFonts w:ascii="Times New Roman"/>
          <w:color w:val="000000" w:themeColor="text1"/>
        </w:rPr>
        <w:t>）《四川省长江经济带发展负面清单实施细则（试行）》（川长江办〔</w:t>
      </w:r>
      <w:r w:rsidRPr="008A2411">
        <w:rPr>
          <w:rFonts w:ascii="Times New Roman"/>
          <w:color w:val="000000" w:themeColor="text1"/>
        </w:rPr>
        <w:t>2019</w:t>
      </w:r>
      <w:r w:rsidRPr="008A2411">
        <w:rPr>
          <w:rFonts w:ascii="Times New Roman"/>
          <w:color w:val="000000" w:themeColor="text1"/>
        </w:rPr>
        <w:t>〕</w:t>
      </w:r>
      <w:r w:rsidRPr="008A2411">
        <w:rPr>
          <w:rFonts w:ascii="Times New Roman"/>
          <w:color w:val="000000" w:themeColor="text1"/>
        </w:rPr>
        <w:t>8</w:t>
      </w:r>
      <w:r w:rsidRPr="008A2411">
        <w:rPr>
          <w:rFonts w:ascii="Times New Roman"/>
          <w:color w:val="000000" w:themeColor="text1"/>
        </w:rPr>
        <w:t>号）；</w:t>
      </w:r>
    </w:p>
    <w:p w14:paraId="1C16AFE4" w14:textId="77777777" w:rsidR="00B0005F" w:rsidRPr="008A2411" w:rsidRDefault="00000000">
      <w:pPr>
        <w:wordWrap w:val="0"/>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hint="eastAsia"/>
          <w:color w:val="000000" w:themeColor="text1"/>
        </w:rPr>
        <w:t>18</w:t>
      </w:r>
      <w:r w:rsidRPr="008A2411">
        <w:rPr>
          <w:rFonts w:ascii="Times New Roman"/>
          <w:color w:val="000000" w:themeColor="text1"/>
        </w:rPr>
        <w:t>）《达州市人民政府关于落实生态保护红线、环境质量底线、资源利用上线和生态环境准入清单实施生态环境分区管控的通知》达市府发〔</w:t>
      </w:r>
      <w:r w:rsidRPr="008A2411">
        <w:rPr>
          <w:rFonts w:ascii="Times New Roman"/>
          <w:color w:val="000000" w:themeColor="text1"/>
        </w:rPr>
        <w:t>2021</w:t>
      </w:r>
      <w:r w:rsidRPr="008A2411">
        <w:rPr>
          <w:rFonts w:ascii="Times New Roman"/>
          <w:color w:val="000000" w:themeColor="text1"/>
        </w:rPr>
        <w:t>〕</w:t>
      </w:r>
      <w:r w:rsidRPr="008A2411">
        <w:rPr>
          <w:rFonts w:ascii="Times New Roman"/>
          <w:color w:val="000000" w:themeColor="text1"/>
        </w:rPr>
        <w:t>17</w:t>
      </w:r>
      <w:r w:rsidRPr="008A2411">
        <w:rPr>
          <w:rFonts w:ascii="Times New Roman"/>
          <w:color w:val="000000" w:themeColor="text1"/>
        </w:rPr>
        <w:t>号</w:t>
      </w:r>
      <w:r w:rsidRPr="008A2411">
        <w:rPr>
          <w:rFonts w:ascii="Times New Roman" w:hint="eastAsia"/>
          <w:color w:val="000000" w:themeColor="text1"/>
        </w:rPr>
        <w:t>；</w:t>
      </w:r>
    </w:p>
    <w:p w14:paraId="2D66738E" w14:textId="77777777" w:rsidR="00B0005F" w:rsidRPr="008A2411" w:rsidRDefault="00000000">
      <w:pPr>
        <w:wordWrap w:val="0"/>
        <w:adjustRightInd w:val="0"/>
        <w:spacing w:line="360" w:lineRule="auto"/>
        <w:ind w:firstLine="480"/>
        <w:rPr>
          <w:rFonts w:ascii="Times New Roman"/>
          <w:color w:val="000000" w:themeColor="text1"/>
        </w:rPr>
      </w:pPr>
      <w:r w:rsidRPr="008A2411">
        <w:rPr>
          <w:rFonts w:ascii="Times New Roman" w:hint="eastAsia"/>
          <w:color w:val="000000" w:themeColor="text1"/>
        </w:rPr>
        <w:t>（</w:t>
      </w:r>
      <w:r w:rsidRPr="008A2411">
        <w:rPr>
          <w:rFonts w:ascii="Times New Roman" w:hint="eastAsia"/>
          <w:color w:val="000000" w:themeColor="text1"/>
        </w:rPr>
        <w:t>19</w:t>
      </w:r>
      <w:r w:rsidRPr="008A2411">
        <w:rPr>
          <w:rFonts w:ascii="Times New Roman" w:hint="eastAsia"/>
          <w:color w:val="000000" w:themeColor="text1"/>
        </w:rPr>
        <w:t>）</w:t>
      </w:r>
      <w:r w:rsidRPr="008A2411">
        <w:rPr>
          <w:rFonts w:ascii="Times New Roman"/>
          <w:color w:val="000000" w:themeColor="text1"/>
        </w:rPr>
        <w:t>《关于进一步加强固体废物污染防治工作的通知》（达</w:t>
      </w:r>
      <w:proofErr w:type="gramStart"/>
      <w:r w:rsidRPr="008A2411">
        <w:rPr>
          <w:rFonts w:ascii="Times New Roman"/>
          <w:color w:val="000000" w:themeColor="text1"/>
        </w:rPr>
        <w:t>市环办发</w:t>
      </w:r>
      <w:proofErr w:type="gramEnd"/>
      <w:r w:rsidRPr="008A2411">
        <w:rPr>
          <w:rFonts w:ascii="Times New Roman"/>
          <w:color w:val="000000" w:themeColor="text1"/>
        </w:rPr>
        <w:t>〔</w:t>
      </w:r>
      <w:r w:rsidRPr="008A2411">
        <w:rPr>
          <w:rFonts w:ascii="Times New Roman"/>
          <w:color w:val="000000" w:themeColor="text1"/>
        </w:rPr>
        <w:t>2021</w:t>
      </w:r>
      <w:r w:rsidRPr="008A2411">
        <w:rPr>
          <w:rFonts w:ascii="Times New Roman"/>
          <w:color w:val="000000" w:themeColor="text1"/>
        </w:rPr>
        <w:t>〕</w:t>
      </w:r>
      <w:r w:rsidRPr="008A2411">
        <w:rPr>
          <w:rFonts w:ascii="Times New Roman"/>
          <w:color w:val="000000" w:themeColor="text1"/>
        </w:rPr>
        <w:t>24</w:t>
      </w:r>
      <w:r w:rsidRPr="008A2411">
        <w:rPr>
          <w:rFonts w:ascii="Times New Roman"/>
          <w:color w:val="000000" w:themeColor="text1"/>
        </w:rPr>
        <w:t>号）</w:t>
      </w:r>
      <w:r w:rsidRPr="008A2411">
        <w:rPr>
          <w:rFonts w:ascii="Times New Roman" w:hint="eastAsia"/>
          <w:color w:val="000000" w:themeColor="text1"/>
        </w:rPr>
        <w:t>。</w:t>
      </w:r>
    </w:p>
    <w:p w14:paraId="4E6BCB21" w14:textId="77777777" w:rsidR="00B0005F" w:rsidRPr="008A2411" w:rsidRDefault="00000000">
      <w:pPr>
        <w:pStyle w:val="31"/>
        <w:wordWrap w:val="0"/>
        <w:adjustRightInd w:val="0"/>
        <w:spacing w:before="0" w:after="0" w:line="360" w:lineRule="auto"/>
        <w:rPr>
          <w:rFonts w:ascii="Times New Roman" w:eastAsia="黑体"/>
          <w:bCs w:val="0"/>
          <w:color w:val="000000" w:themeColor="text1"/>
          <w:kern w:val="0"/>
          <w:sz w:val="24"/>
          <w:szCs w:val="24"/>
          <w:lang w:bidi="en-US"/>
        </w:rPr>
      </w:pPr>
      <w:r w:rsidRPr="008A2411">
        <w:rPr>
          <w:rFonts w:ascii="Times New Roman" w:eastAsia="黑体"/>
          <w:bCs w:val="0"/>
          <w:color w:val="000000" w:themeColor="text1"/>
          <w:kern w:val="0"/>
          <w:sz w:val="24"/>
          <w:szCs w:val="24"/>
          <w:lang w:bidi="en-US"/>
        </w:rPr>
        <w:lastRenderedPageBreak/>
        <w:t>2.1.3</w:t>
      </w:r>
      <w:r w:rsidRPr="008A2411">
        <w:rPr>
          <w:rFonts w:ascii="Times New Roman" w:eastAsia="黑体"/>
          <w:bCs w:val="0"/>
          <w:color w:val="000000" w:themeColor="text1"/>
          <w:kern w:val="0"/>
          <w:sz w:val="24"/>
          <w:szCs w:val="24"/>
          <w:lang w:bidi="en-US"/>
        </w:rPr>
        <w:t>技术规范</w:t>
      </w:r>
    </w:p>
    <w:p w14:paraId="185C81D7"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1</w:t>
      </w:r>
      <w:r w:rsidRPr="008A2411">
        <w:rPr>
          <w:rFonts w:ascii="Times New Roman"/>
          <w:color w:val="000000" w:themeColor="text1"/>
        </w:rPr>
        <w:t>）《环境影响评价技术导则</w:t>
      </w:r>
      <w:r w:rsidRPr="008A2411">
        <w:rPr>
          <w:rFonts w:ascii="Times New Roman"/>
          <w:color w:val="000000" w:themeColor="text1"/>
        </w:rPr>
        <w:t xml:space="preserve"> </w:t>
      </w:r>
      <w:r w:rsidRPr="008A2411">
        <w:rPr>
          <w:rFonts w:ascii="Times New Roman"/>
          <w:color w:val="000000" w:themeColor="text1"/>
        </w:rPr>
        <w:t>总纲》（</w:t>
      </w:r>
      <w:r w:rsidRPr="008A2411">
        <w:rPr>
          <w:rFonts w:ascii="Times New Roman"/>
          <w:color w:val="000000" w:themeColor="text1"/>
        </w:rPr>
        <w:t>HJ2.1-2016</w:t>
      </w:r>
      <w:r w:rsidRPr="008A2411">
        <w:rPr>
          <w:rFonts w:ascii="Times New Roman"/>
          <w:color w:val="000000" w:themeColor="text1"/>
        </w:rPr>
        <w:t>）；</w:t>
      </w:r>
    </w:p>
    <w:p w14:paraId="2FEDC835"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2</w:t>
      </w:r>
      <w:r w:rsidRPr="008A2411">
        <w:rPr>
          <w:rFonts w:ascii="Times New Roman"/>
          <w:color w:val="000000" w:themeColor="text1"/>
        </w:rPr>
        <w:t>）《环境影响评价技术导则</w:t>
      </w:r>
      <w:r w:rsidRPr="008A2411">
        <w:rPr>
          <w:rFonts w:ascii="Times New Roman"/>
          <w:color w:val="000000" w:themeColor="text1"/>
        </w:rPr>
        <w:t xml:space="preserve"> </w:t>
      </w:r>
      <w:r w:rsidRPr="008A2411">
        <w:rPr>
          <w:rFonts w:ascii="Times New Roman"/>
          <w:color w:val="000000" w:themeColor="text1"/>
        </w:rPr>
        <w:t>大气环境》（</w:t>
      </w:r>
      <w:r w:rsidRPr="008A2411">
        <w:rPr>
          <w:rFonts w:ascii="Times New Roman"/>
          <w:color w:val="000000" w:themeColor="text1"/>
        </w:rPr>
        <w:t>HJ2.2-2018</w:t>
      </w:r>
      <w:r w:rsidRPr="008A2411">
        <w:rPr>
          <w:rFonts w:ascii="Times New Roman"/>
          <w:color w:val="000000" w:themeColor="text1"/>
        </w:rPr>
        <w:t>）；</w:t>
      </w:r>
    </w:p>
    <w:p w14:paraId="50266E72"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3</w:t>
      </w:r>
      <w:r w:rsidRPr="008A2411">
        <w:rPr>
          <w:rFonts w:ascii="Times New Roman"/>
          <w:color w:val="000000" w:themeColor="text1"/>
        </w:rPr>
        <w:t>）《环境影响评价技术导则</w:t>
      </w:r>
      <w:r w:rsidRPr="008A2411">
        <w:rPr>
          <w:rFonts w:ascii="Times New Roman"/>
          <w:color w:val="000000" w:themeColor="text1"/>
        </w:rPr>
        <w:t xml:space="preserve"> </w:t>
      </w:r>
      <w:r w:rsidRPr="008A2411">
        <w:rPr>
          <w:rFonts w:ascii="Times New Roman"/>
          <w:color w:val="000000" w:themeColor="text1"/>
        </w:rPr>
        <w:t>地表水环境》（</w:t>
      </w:r>
      <w:r w:rsidRPr="008A2411">
        <w:rPr>
          <w:rFonts w:ascii="Times New Roman"/>
          <w:color w:val="000000" w:themeColor="text1"/>
        </w:rPr>
        <w:t>HJ2.3-2018</w:t>
      </w:r>
      <w:r w:rsidRPr="008A2411">
        <w:rPr>
          <w:rFonts w:ascii="Times New Roman"/>
          <w:color w:val="000000" w:themeColor="text1"/>
        </w:rPr>
        <w:t>）；</w:t>
      </w:r>
    </w:p>
    <w:p w14:paraId="6D67F968"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4</w:t>
      </w:r>
      <w:r w:rsidRPr="008A2411">
        <w:rPr>
          <w:rFonts w:ascii="Times New Roman"/>
          <w:color w:val="000000" w:themeColor="text1"/>
        </w:rPr>
        <w:t>）《环境影响评价技术导则</w:t>
      </w:r>
      <w:r w:rsidRPr="008A2411">
        <w:rPr>
          <w:rFonts w:ascii="Times New Roman"/>
          <w:color w:val="000000" w:themeColor="text1"/>
        </w:rPr>
        <w:t xml:space="preserve"> </w:t>
      </w:r>
      <w:r w:rsidRPr="008A2411">
        <w:rPr>
          <w:rFonts w:ascii="Times New Roman"/>
          <w:color w:val="000000" w:themeColor="text1"/>
        </w:rPr>
        <w:t>地下水环境》（</w:t>
      </w:r>
      <w:r w:rsidRPr="008A2411">
        <w:rPr>
          <w:rFonts w:ascii="Times New Roman"/>
          <w:color w:val="000000" w:themeColor="text1"/>
        </w:rPr>
        <w:t>HJ610-2016</w:t>
      </w:r>
      <w:r w:rsidRPr="008A2411">
        <w:rPr>
          <w:rFonts w:ascii="Times New Roman"/>
          <w:color w:val="000000" w:themeColor="text1"/>
        </w:rPr>
        <w:t>）；</w:t>
      </w:r>
    </w:p>
    <w:p w14:paraId="48D7FD7F"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5</w:t>
      </w:r>
      <w:r w:rsidRPr="008A2411">
        <w:rPr>
          <w:rFonts w:ascii="Times New Roman"/>
          <w:color w:val="000000" w:themeColor="text1"/>
        </w:rPr>
        <w:t>）《环境影响评价技术导则</w:t>
      </w:r>
      <w:r w:rsidRPr="008A2411">
        <w:rPr>
          <w:rFonts w:ascii="Times New Roman"/>
          <w:color w:val="000000" w:themeColor="text1"/>
        </w:rPr>
        <w:t xml:space="preserve"> </w:t>
      </w:r>
      <w:r w:rsidRPr="008A2411">
        <w:rPr>
          <w:rFonts w:ascii="Times New Roman"/>
          <w:color w:val="000000" w:themeColor="text1"/>
        </w:rPr>
        <w:t>声环境》（</w:t>
      </w:r>
      <w:r w:rsidRPr="008A2411">
        <w:rPr>
          <w:rFonts w:ascii="Times New Roman" w:hint="eastAsia"/>
          <w:color w:val="000000" w:themeColor="text1"/>
        </w:rPr>
        <w:t>HJ2.4-2021</w:t>
      </w:r>
      <w:r w:rsidRPr="008A2411">
        <w:rPr>
          <w:rFonts w:ascii="Times New Roman"/>
          <w:color w:val="000000" w:themeColor="text1"/>
        </w:rPr>
        <w:t>）；</w:t>
      </w:r>
    </w:p>
    <w:p w14:paraId="2124CE93"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6</w:t>
      </w:r>
      <w:r w:rsidRPr="008A2411">
        <w:rPr>
          <w:rFonts w:ascii="Times New Roman"/>
          <w:color w:val="000000" w:themeColor="text1"/>
        </w:rPr>
        <w:t>）《环境影响评价技术导则</w:t>
      </w:r>
      <w:r w:rsidRPr="008A2411">
        <w:rPr>
          <w:rFonts w:ascii="Times New Roman"/>
          <w:color w:val="000000" w:themeColor="text1"/>
        </w:rPr>
        <w:t xml:space="preserve"> </w:t>
      </w:r>
      <w:r w:rsidRPr="008A2411">
        <w:rPr>
          <w:rFonts w:ascii="Times New Roman"/>
          <w:color w:val="000000" w:themeColor="text1"/>
        </w:rPr>
        <w:t>生态影响》（</w:t>
      </w:r>
      <w:r w:rsidRPr="008A2411">
        <w:rPr>
          <w:rFonts w:ascii="Times New Roman" w:hint="eastAsia"/>
          <w:color w:val="000000" w:themeColor="text1"/>
        </w:rPr>
        <w:t>HJ19-2022</w:t>
      </w:r>
      <w:r w:rsidRPr="008A2411">
        <w:rPr>
          <w:rFonts w:ascii="Times New Roman"/>
          <w:color w:val="000000" w:themeColor="text1"/>
        </w:rPr>
        <w:t>）；</w:t>
      </w:r>
    </w:p>
    <w:p w14:paraId="1C15A449"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7</w:t>
      </w:r>
      <w:r w:rsidRPr="008A2411">
        <w:rPr>
          <w:rFonts w:ascii="Times New Roman"/>
          <w:color w:val="000000" w:themeColor="text1"/>
        </w:rPr>
        <w:t>）《建设项目环境风险评价技术导则》（</w:t>
      </w:r>
      <w:r w:rsidRPr="008A2411">
        <w:rPr>
          <w:rFonts w:ascii="Times New Roman"/>
          <w:color w:val="000000" w:themeColor="text1"/>
        </w:rPr>
        <w:t>HJ169-2018</w:t>
      </w:r>
      <w:r w:rsidRPr="008A2411">
        <w:rPr>
          <w:rFonts w:ascii="Times New Roman"/>
          <w:color w:val="000000" w:themeColor="text1"/>
        </w:rPr>
        <w:t>）；</w:t>
      </w:r>
    </w:p>
    <w:p w14:paraId="054C57EB"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8</w:t>
      </w:r>
      <w:r w:rsidRPr="008A2411">
        <w:rPr>
          <w:rFonts w:ascii="Times New Roman"/>
          <w:color w:val="000000" w:themeColor="text1"/>
        </w:rPr>
        <w:t>）《环境影响评价技术导则</w:t>
      </w:r>
      <w:r w:rsidRPr="008A2411">
        <w:rPr>
          <w:rFonts w:ascii="Times New Roman"/>
          <w:color w:val="000000" w:themeColor="text1"/>
        </w:rPr>
        <w:t xml:space="preserve">  </w:t>
      </w:r>
      <w:r w:rsidRPr="008A2411">
        <w:rPr>
          <w:rFonts w:ascii="Times New Roman"/>
          <w:color w:val="000000" w:themeColor="text1"/>
        </w:rPr>
        <w:t>土壤环境》（试行）（</w:t>
      </w:r>
      <w:r w:rsidRPr="008A2411">
        <w:rPr>
          <w:rFonts w:ascii="Times New Roman"/>
          <w:color w:val="000000" w:themeColor="text1"/>
        </w:rPr>
        <w:t>HJ964-2018</w:t>
      </w:r>
      <w:r w:rsidRPr="008A2411">
        <w:rPr>
          <w:rFonts w:ascii="Times New Roman"/>
          <w:color w:val="000000" w:themeColor="text1"/>
        </w:rPr>
        <w:t>）；</w:t>
      </w:r>
    </w:p>
    <w:p w14:paraId="5CD58C37"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9</w:t>
      </w:r>
      <w:r w:rsidRPr="008A2411">
        <w:rPr>
          <w:rFonts w:ascii="Times New Roman"/>
          <w:color w:val="000000" w:themeColor="text1"/>
        </w:rPr>
        <w:t>）《环境影响评价技术导则</w:t>
      </w:r>
      <w:r w:rsidRPr="008A2411">
        <w:rPr>
          <w:rFonts w:ascii="Times New Roman"/>
          <w:color w:val="000000" w:themeColor="text1"/>
        </w:rPr>
        <w:t xml:space="preserve">  </w:t>
      </w:r>
      <w:r w:rsidRPr="008A2411">
        <w:rPr>
          <w:rFonts w:ascii="Times New Roman"/>
          <w:color w:val="000000" w:themeColor="text1"/>
        </w:rPr>
        <w:t>陆地石油天然气开发建设项目》（</w:t>
      </w:r>
      <w:r w:rsidRPr="008A2411">
        <w:rPr>
          <w:rFonts w:ascii="Times New Roman"/>
          <w:color w:val="000000" w:themeColor="text1"/>
        </w:rPr>
        <w:t>HJ/T349 -2007</w:t>
      </w:r>
      <w:r w:rsidRPr="008A2411">
        <w:rPr>
          <w:rFonts w:ascii="Times New Roman"/>
          <w:color w:val="000000" w:themeColor="text1"/>
        </w:rPr>
        <w:t>）；</w:t>
      </w:r>
    </w:p>
    <w:p w14:paraId="0770FC84"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10</w:t>
      </w:r>
      <w:r w:rsidRPr="008A2411">
        <w:rPr>
          <w:rFonts w:ascii="Times New Roman"/>
          <w:color w:val="000000" w:themeColor="text1"/>
        </w:rPr>
        <w:t>）《石油天然气工程设计防火规范》（</w:t>
      </w:r>
      <w:r w:rsidRPr="008A2411">
        <w:rPr>
          <w:rFonts w:ascii="Times New Roman"/>
          <w:color w:val="000000" w:themeColor="text1"/>
        </w:rPr>
        <w:t>GB50183-2004</w:t>
      </w:r>
      <w:r w:rsidRPr="008A2411">
        <w:rPr>
          <w:rFonts w:ascii="Times New Roman"/>
          <w:color w:val="000000" w:themeColor="text1"/>
        </w:rPr>
        <w:t>）；</w:t>
      </w:r>
    </w:p>
    <w:p w14:paraId="149401F6"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11</w:t>
      </w:r>
      <w:r w:rsidRPr="008A2411">
        <w:rPr>
          <w:rFonts w:ascii="Times New Roman"/>
          <w:color w:val="000000" w:themeColor="text1"/>
        </w:rPr>
        <w:t>）《天然气净化厂设计规范》（</w:t>
      </w:r>
      <w:r w:rsidRPr="008A2411">
        <w:rPr>
          <w:rFonts w:ascii="Times New Roman"/>
          <w:color w:val="000000" w:themeColor="text1"/>
        </w:rPr>
        <w:t>SY/T0011-2017</w:t>
      </w:r>
      <w:r w:rsidRPr="008A2411">
        <w:rPr>
          <w:rFonts w:ascii="Times New Roman"/>
          <w:color w:val="000000" w:themeColor="text1"/>
        </w:rPr>
        <w:t>）</w:t>
      </w:r>
    </w:p>
    <w:p w14:paraId="0D1C0214"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12</w:t>
      </w:r>
      <w:r w:rsidRPr="008A2411">
        <w:rPr>
          <w:rFonts w:ascii="Times New Roman"/>
          <w:color w:val="000000" w:themeColor="text1"/>
        </w:rPr>
        <w:t>）《天然气处理厂环境保护的推荐作法》（</w:t>
      </w:r>
      <w:r w:rsidRPr="008A2411">
        <w:rPr>
          <w:rFonts w:ascii="Times New Roman"/>
          <w:color w:val="000000" w:themeColor="text1"/>
        </w:rPr>
        <w:t>SY/T6672-2006</w:t>
      </w:r>
      <w:r w:rsidRPr="008A2411">
        <w:rPr>
          <w:rFonts w:ascii="Times New Roman"/>
          <w:color w:val="000000" w:themeColor="text1"/>
        </w:rPr>
        <w:t>）；</w:t>
      </w:r>
    </w:p>
    <w:p w14:paraId="0688663A"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13</w:t>
      </w:r>
      <w:r w:rsidRPr="008A2411">
        <w:rPr>
          <w:rFonts w:ascii="Times New Roman"/>
          <w:color w:val="000000" w:themeColor="text1"/>
        </w:rPr>
        <w:t>）《石油天然气工业健康、安全与环境管理体系》（</w:t>
      </w:r>
      <w:r w:rsidRPr="008A2411">
        <w:rPr>
          <w:rFonts w:ascii="Times New Roman"/>
          <w:color w:val="000000" w:themeColor="text1"/>
        </w:rPr>
        <w:t>SY/T6267-2014</w:t>
      </w:r>
      <w:r w:rsidRPr="008A2411">
        <w:rPr>
          <w:rFonts w:ascii="Times New Roman"/>
          <w:color w:val="000000" w:themeColor="text1"/>
        </w:rPr>
        <w:t>）；</w:t>
      </w:r>
    </w:p>
    <w:p w14:paraId="39C671F3"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14</w:t>
      </w:r>
      <w:r w:rsidRPr="008A2411">
        <w:rPr>
          <w:rFonts w:ascii="Times New Roman"/>
          <w:color w:val="000000" w:themeColor="text1"/>
        </w:rPr>
        <w:t>）《陆上石油天然气开采含油污泥处理处置及污染控制技术规范》（</w:t>
      </w:r>
      <w:r w:rsidRPr="008A2411">
        <w:rPr>
          <w:rFonts w:ascii="Times New Roman"/>
          <w:color w:val="000000" w:themeColor="text1"/>
        </w:rPr>
        <w:t>SY/T 7300-2016</w:t>
      </w:r>
      <w:r w:rsidRPr="008A2411">
        <w:rPr>
          <w:rFonts w:ascii="Times New Roman"/>
          <w:color w:val="000000" w:themeColor="text1"/>
        </w:rPr>
        <w:t>）；</w:t>
      </w:r>
    </w:p>
    <w:p w14:paraId="0D0E3792"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15</w:t>
      </w:r>
      <w:r w:rsidRPr="008A2411">
        <w:rPr>
          <w:rFonts w:ascii="Times New Roman"/>
          <w:color w:val="000000" w:themeColor="text1"/>
        </w:rPr>
        <w:t>）《工业企业土壤和地下水自行监测</w:t>
      </w:r>
      <w:r w:rsidRPr="008A2411">
        <w:rPr>
          <w:rFonts w:ascii="Times New Roman"/>
          <w:color w:val="000000" w:themeColor="text1"/>
        </w:rPr>
        <w:t xml:space="preserve"> </w:t>
      </w:r>
      <w:r w:rsidRPr="008A2411">
        <w:rPr>
          <w:rFonts w:ascii="Times New Roman"/>
          <w:color w:val="000000" w:themeColor="text1"/>
        </w:rPr>
        <w:t>技术指南（试行）》（</w:t>
      </w:r>
      <w:r w:rsidRPr="008A2411">
        <w:rPr>
          <w:rFonts w:ascii="Times New Roman"/>
          <w:color w:val="000000" w:themeColor="text1"/>
        </w:rPr>
        <w:t>HJ 1209-2021</w:t>
      </w:r>
      <w:r w:rsidRPr="008A2411">
        <w:rPr>
          <w:rFonts w:ascii="Times New Roman"/>
          <w:color w:val="000000" w:themeColor="text1"/>
        </w:rPr>
        <w:t>）；</w:t>
      </w:r>
    </w:p>
    <w:p w14:paraId="7566F78A" w14:textId="77777777" w:rsidR="00190AF8"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16</w:t>
      </w:r>
      <w:r w:rsidRPr="008A2411">
        <w:rPr>
          <w:rFonts w:ascii="Times New Roman"/>
          <w:color w:val="000000" w:themeColor="text1"/>
        </w:rPr>
        <w:t>）《天然气液化工厂设计标准》</w:t>
      </w:r>
      <w:r w:rsidRPr="008A2411">
        <w:rPr>
          <w:rFonts w:ascii="Times New Roman" w:hint="eastAsia"/>
          <w:color w:val="000000" w:themeColor="text1"/>
        </w:rPr>
        <w:t>（</w:t>
      </w:r>
      <w:r w:rsidRPr="008A2411">
        <w:rPr>
          <w:rFonts w:ascii="Times New Roman"/>
          <w:color w:val="000000" w:themeColor="text1"/>
        </w:rPr>
        <w:t>GB51261-2019</w:t>
      </w:r>
      <w:r w:rsidRPr="008A2411">
        <w:rPr>
          <w:rFonts w:ascii="Times New Roman" w:hint="eastAsia"/>
          <w:color w:val="000000" w:themeColor="text1"/>
        </w:rPr>
        <w:t>）</w:t>
      </w:r>
      <w:r w:rsidR="00190AF8" w:rsidRPr="008A2411">
        <w:rPr>
          <w:rFonts w:ascii="Times New Roman" w:hint="eastAsia"/>
          <w:color w:val="000000" w:themeColor="text1"/>
        </w:rPr>
        <w:t>；</w:t>
      </w:r>
    </w:p>
    <w:p w14:paraId="16202975" w14:textId="77777777" w:rsidR="00190AF8" w:rsidRPr="008A2411" w:rsidRDefault="00190AF8">
      <w:pPr>
        <w:adjustRightInd w:val="0"/>
        <w:spacing w:line="360" w:lineRule="auto"/>
        <w:ind w:firstLine="480"/>
        <w:rPr>
          <w:rFonts w:ascii="Times New Roman"/>
          <w:color w:val="000000" w:themeColor="text1"/>
        </w:rPr>
      </w:pPr>
      <w:r w:rsidRPr="008A2411">
        <w:rPr>
          <w:rFonts w:ascii="Times New Roman" w:hint="eastAsia"/>
          <w:color w:val="000000" w:themeColor="text1"/>
        </w:rPr>
        <w:t>（</w:t>
      </w:r>
      <w:r w:rsidRPr="008A2411">
        <w:rPr>
          <w:rFonts w:ascii="Times New Roman" w:hint="eastAsia"/>
          <w:color w:val="000000" w:themeColor="text1"/>
        </w:rPr>
        <w:t>17</w:t>
      </w:r>
      <w:r w:rsidRPr="008A2411">
        <w:rPr>
          <w:rFonts w:ascii="Times New Roman" w:hint="eastAsia"/>
          <w:color w:val="000000" w:themeColor="text1"/>
        </w:rPr>
        <w:t>）</w:t>
      </w:r>
      <w:r w:rsidRPr="008A2411">
        <w:rPr>
          <w:rFonts w:ascii="Times New Roman"/>
          <w:color w:val="000000" w:themeColor="text1"/>
        </w:rPr>
        <w:t>《</w:t>
      </w:r>
      <w:r w:rsidRPr="008A2411">
        <w:rPr>
          <w:rFonts w:ascii="Times New Roman" w:hint="eastAsia"/>
          <w:color w:val="000000" w:themeColor="text1"/>
        </w:rPr>
        <w:t>危险废物收集</w:t>
      </w:r>
      <w:r w:rsidRPr="008A2411">
        <w:rPr>
          <w:rFonts w:ascii="Times New Roman" w:hint="eastAsia"/>
          <w:color w:val="000000" w:themeColor="text1"/>
        </w:rPr>
        <w:t xml:space="preserve"> </w:t>
      </w:r>
      <w:r w:rsidRPr="008A2411">
        <w:rPr>
          <w:rFonts w:ascii="Times New Roman" w:hint="eastAsia"/>
          <w:color w:val="000000" w:themeColor="text1"/>
        </w:rPr>
        <w:t>贮存</w:t>
      </w:r>
      <w:r w:rsidRPr="008A2411">
        <w:rPr>
          <w:rFonts w:ascii="Times New Roman" w:hint="eastAsia"/>
          <w:color w:val="000000" w:themeColor="text1"/>
        </w:rPr>
        <w:t xml:space="preserve"> </w:t>
      </w:r>
      <w:r w:rsidRPr="008A2411">
        <w:rPr>
          <w:rFonts w:ascii="Times New Roman" w:hint="eastAsia"/>
          <w:color w:val="000000" w:themeColor="text1"/>
        </w:rPr>
        <w:t>运输技术规范</w:t>
      </w:r>
      <w:r w:rsidRPr="008A2411">
        <w:rPr>
          <w:rFonts w:ascii="Times New Roman"/>
          <w:color w:val="000000" w:themeColor="text1"/>
        </w:rPr>
        <w:t>》（</w:t>
      </w:r>
      <w:r w:rsidRPr="008A2411">
        <w:rPr>
          <w:rFonts w:ascii="Times New Roman"/>
          <w:color w:val="000000" w:themeColor="text1"/>
        </w:rPr>
        <w:t>HJ 2025-2012</w:t>
      </w:r>
      <w:r w:rsidRPr="008A2411">
        <w:rPr>
          <w:rFonts w:ascii="Times New Roman"/>
          <w:color w:val="000000" w:themeColor="text1"/>
        </w:rPr>
        <w:t>）</w:t>
      </w:r>
      <w:r w:rsidRPr="008A2411">
        <w:rPr>
          <w:rFonts w:ascii="Times New Roman" w:hint="eastAsia"/>
          <w:color w:val="000000" w:themeColor="text1"/>
        </w:rPr>
        <w:t>；</w:t>
      </w:r>
    </w:p>
    <w:p w14:paraId="39015019" w14:textId="77777777" w:rsidR="00190AF8" w:rsidRPr="008A2411" w:rsidRDefault="00190AF8">
      <w:pPr>
        <w:adjustRightInd w:val="0"/>
        <w:spacing w:line="360" w:lineRule="auto"/>
        <w:ind w:firstLine="480"/>
        <w:rPr>
          <w:rFonts w:ascii="Times New Roman"/>
          <w:color w:val="000000" w:themeColor="text1"/>
        </w:rPr>
      </w:pPr>
      <w:r w:rsidRPr="008A2411">
        <w:rPr>
          <w:rFonts w:ascii="Times New Roman" w:hint="eastAsia"/>
          <w:color w:val="000000" w:themeColor="text1"/>
        </w:rPr>
        <w:t>（</w:t>
      </w:r>
      <w:r w:rsidRPr="008A2411">
        <w:rPr>
          <w:rFonts w:ascii="Times New Roman" w:hint="eastAsia"/>
          <w:color w:val="000000" w:themeColor="text1"/>
        </w:rPr>
        <w:t>18</w:t>
      </w:r>
      <w:r w:rsidRPr="008A2411">
        <w:rPr>
          <w:rFonts w:ascii="Times New Roman" w:hint="eastAsia"/>
          <w:color w:val="000000" w:themeColor="text1"/>
        </w:rPr>
        <w:t>）《石油化工企业设计防火规范》（</w:t>
      </w:r>
      <w:r w:rsidRPr="008A2411">
        <w:rPr>
          <w:rFonts w:ascii="Times New Roman"/>
          <w:color w:val="000000" w:themeColor="text1"/>
        </w:rPr>
        <w:t>GB 50160-2008</w:t>
      </w:r>
      <w:r w:rsidRPr="008A2411">
        <w:rPr>
          <w:rFonts w:ascii="Times New Roman" w:hint="eastAsia"/>
          <w:color w:val="000000" w:themeColor="text1"/>
        </w:rPr>
        <w:t>）；</w:t>
      </w:r>
    </w:p>
    <w:p w14:paraId="757689AB" w14:textId="01468B09" w:rsidR="00B0005F" w:rsidRPr="008A2411" w:rsidRDefault="00190AF8">
      <w:pPr>
        <w:adjustRightInd w:val="0"/>
        <w:spacing w:line="360" w:lineRule="auto"/>
        <w:ind w:firstLine="480"/>
        <w:rPr>
          <w:rFonts w:ascii="Times New Roman"/>
          <w:color w:val="000000" w:themeColor="text1"/>
        </w:rPr>
      </w:pPr>
      <w:r w:rsidRPr="008A2411">
        <w:rPr>
          <w:rFonts w:ascii="Times New Roman" w:hint="eastAsia"/>
          <w:color w:val="000000" w:themeColor="text1"/>
        </w:rPr>
        <w:t>（</w:t>
      </w:r>
      <w:r w:rsidRPr="008A2411">
        <w:rPr>
          <w:rFonts w:ascii="Times New Roman" w:hint="eastAsia"/>
          <w:color w:val="000000" w:themeColor="text1"/>
        </w:rPr>
        <w:t>19</w:t>
      </w:r>
      <w:r w:rsidRPr="008A2411">
        <w:rPr>
          <w:rFonts w:ascii="Times New Roman" w:hint="eastAsia"/>
          <w:color w:val="000000" w:themeColor="text1"/>
        </w:rPr>
        <w:t>）《石油化工工艺装置布置设计规范》（</w:t>
      </w:r>
      <w:r w:rsidRPr="008A2411">
        <w:rPr>
          <w:rFonts w:ascii="Times New Roman" w:hint="eastAsia"/>
          <w:color w:val="000000" w:themeColor="text1"/>
        </w:rPr>
        <w:t>SH3011</w:t>
      </w:r>
      <w:r w:rsidRPr="008A2411">
        <w:rPr>
          <w:rFonts w:ascii="Times New Roman" w:hint="eastAsia"/>
          <w:color w:val="000000" w:themeColor="text1"/>
        </w:rPr>
        <w:t>）</w:t>
      </w:r>
      <w:r w:rsidRPr="008A2411">
        <w:rPr>
          <w:rFonts w:ascii="Times New Roman"/>
          <w:color w:val="000000" w:themeColor="text1"/>
        </w:rPr>
        <w:t>。</w:t>
      </w:r>
    </w:p>
    <w:p w14:paraId="5F8C56B6" w14:textId="77777777" w:rsidR="00B0005F" w:rsidRPr="008A2411" w:rsidRDefault="00000000">
      <w:pPr>
        <w:pStyle w:val="3ff4"/>
        <w:adjustRightInd w:val="0"/>
        <w:rPr>
          <w:rFonts w:ascii="Times New Roman" w:hAnsi="Times New Roman" w:cs="Times New Roman"/>
          <w:color w:val="000000" w:themeColor="text1"/>
          <w:sz w:val="24"/>
        </w:rPr>
      </w:pPr>
      <w:r w:rsidRPr="008A2411">
        <w:rPr>
          <w:rFonts w:ascii="Times New Roman" w:eastAsia="宋体" w:hAnsi="Times New Roman" w:cs="Times New Roman"/>
          <w:snapToGrid w:val="0"/>
          <w:color w:val="000000" w:themeColor="text1"/>
          <w:kern w:val="0"/>
          <w:sz w:val="24"/>
          <w:szCs w:val="24"/>
        </w:rPr>
        <w:t xml:space="preserve">2.1.4 </w:t>
      </w:r>
      <w:r w:rsidRPr="008A2411">
        <w:rPr>
          <w:rFonts w:ascii="Times New Roman" w:eastAsia="宋体" w:hAnsi="Times New Roman" w:cs="Times New Roman"/>
          <w:snapToGrid w:val="0"/>
          <w:color w:val="000000" w:themeColor="text1"/>
          <w:kern w:val="0"/>
          <w:sz w:val="24"/>
          <w:szCs w:val="24"/>
        </w:rPr>
        <w:t>有关的技术文件及工作文件</w:t>
      </w:r>
    </w:p>
    <w:p w14:paraId="25E76C0B"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1</w:t>
      </w:r>
      <w:r w:rsidRPr="008A2411">
        <w:rPr>
          <w:rFonts w:ascii="Times New Roman"/>
          <w:color w:val="000000" w:themeColor="text1"/>
        </w:rPr>
        <w:t>）立项文件；</w:t>
      </w:r>
    </w:p>
    <w:p w14:paraId="3A28B95D"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2</w:t>
      </w:r>
      <w:r w:rsidRPr="008A2411">
        <w:rPr>
          <w:rFonts w:ascii="Times New Roman"/>
          <w:color w:val="000000" w:themeColor="text1"/>
        </w:rPr>
        <w:t>）天然气综合利用项目（</w:t>
      </w:r>
      <w:r w:rsidRPr="008A2411">
        <w:rPr>
          <w:rFonts w:ascii="Times New Roman"/>
          <w:color w:val="000000" w:themeColor="text1"/>
        </w:rPr>
        <w:t>LNG</w:t>
      </w:r>
      <w:r w:rsidRPr="008A2411">
        <w:rPr>
          <w:rFonts w:ascii="Times New Roman"/>
          <w:color w:val="000000" w:themeColor="text1"/>
        </w:rPr>
        <w:t>）二期可行性研究报告</w:t>
      </w:r>
    </w:p>
    <w:p w14:paraId="475BF6AF"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3</w:t>
      </w:r>
      <w:r w:rsidRPr="008A2411">
        <w:rPr>
          <w:rFonts w:ascii="Times New Roman"/>
          <w:color w:val="000000" w:themeColor="text1"/>
        </w:rPr>
        <w:t>）选址规划说明；</w:t>
      </w:r>
    </w:p>
    <w:p w14:paraId="2E135F82"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4</w:t>
      </w:r>
      <w:r w:rsidRPr="008A2411">
        <w:rPr>
          <w:rFonts w:ascii="Times New Roman"/>
          <w:color w:val="000000" w:themeColor="text1"/>
        </w:rPr>
        <w:t>）监测报告。</w:t>
      </w:r>
    </w:p>
    <w:p w14:paraId="3843C017" w14:textId="77777777" w:rsidR="00B0005F" w:rsidRPr="008A2411" w:rsidRDefault="00000000">
      <w:pPr>
        <w:pStyle w:val="WJ2"/>
        <w:snapToGrid/>
        <w:spacing w:line="360" w:lineRule="auto"/>
        <w:rPr>
          <w:rFonts w:ascii="Times New Roman" w:hAnsi="Times New Roman"/>
          <w:color w:val="000000" w:themeColor="text1"/>
        </w:rPr>
      </w:pPr>
      <w:bookmarkStart w:id="38" w:name="_Toc19108229"/>
      <w:bookmarkStart w:id="39" w:name="_Toc109170741"/>
      <w:r w:rsidRPr="008A2411">
        <w:rPr>
          <w:rFonts w:ascii="Times New Roman" w:hAnsi="Times New Roman"/>
          <w:color w:val="000000" w:themeColor="text1"/>
        </w:rPr>
        <w:t xml:space="preserve">2.2 </w:t>
      </w:r>
      <w:r w:rsidRPr="008A2411">
        <w:rPr>
          <w:rFonts w:ascii="Times New Roman" w:hAnsi="Times New Roman"/>
          <w:color w:val="000000" w:themeColor="text1"/>
        </w:rPr>
        <w:t>评价目的和原则</w:t>
      </w:r>
      <w:bookmarkEnd w:id="38"/>
      <w:bookmarkEnd w:id="39"/>
    </w:p>
    <w:p w14:paraId="1A2CFF3C" w14:textId="77777777" w:rsidR="00B0005F" w:rsidRPr="008A2411" w:rsidRDefault="00000000">
      <w:pPr>
        <w:pStyle w:val="3ff4"/>
        <w:adjustRightInd w:val="0"/>
        <w:rPr>
          <w:rFonts w:ascii="Times New Roman" w:eastAsia="宋体" w:hAnsi="Times New Roman" w:cs="Times New Roman"/>
          <w:snapToGrid w:val="0"/>
          <w:color w:val="000000" w:themeColor="text1"/>
          <w:kern w:val="0"/>
          <w:sz w:val="24"/>
          <w:szCs w:val="24"/>
        </w:rPr>
      </w:pPr>
      <w:r w:rsidRPr="008A2411">
        <w:rPr>
          <w:rFonts w:ascii="Times New Roman" w:eastAsia="宋体" w:hAnsi="Times New Roman" w:cs="Times New Roman"/>
          <w:snapToGrid w:val="0"/>
          <w:color w:val="000000" w:themeColor="text1"/>
          <w:kern w:val="0"/>
          <w:sz w:val="24"/>
          <w:szCs w:val="24"/>
        </w:rPr>
        <w:t xml:space="preserve">2.2.1 </w:t>
      </w:r>
      <w:r w:rsidRPr="008A2411">
        <w:rPr>
          <w:rFonts w:ascii="Times New Roman" w:eastAsia="宋体" w:hAnsi="Times New Roman" w:cs="Times New Roman"/>
          <w:snapToGrid w:val="0"/>
          <w:color w:val="000000" w:themeColor="text1"/>
          <w:kern w:val="0"/>
          <w:sz w:val="24"/>
          <w:szCs w:val="24"/>
        </w:rPr>
        <w:t>评价目的</w:t>
      </w:r>
    </w:p>
    <w:p w14:paraId="4B486235" w14:textId="77777777" w:rsidR="00B0005F" w:rsidRPr="008A2411" w:rsidRDefault="00000000">
      <w:pPr>
        <w:adjustRightInd w:val="0"/>
        <w:spacing w:line="360" w:lineRule="auto"/>
        <w:ind w:firstLineChars="200" w:firstLine="480"/>
        <w:rPr>
          <w:rFonts w:ascii="Times New Roman"/>
          <w:color w:val="000000" w:themeColor="text1"/>
        </w:rPr>
      </w:pPr>
      <w:r w:rsidRPr="008A2411">
        <w:rPr>
          <w:rFonts w:ascii="Times New Roman"/>
          <w:color w:val="000000" w:themeColor="text1"/>
        </w:rPr>
        <w:t>环境影响评价作为建设项目环境保护管理的一项制度，根本目的是贯彻</w:t>
      </w:r>
      <w:r w:rsidRPr="008A2411">
        <w:rPr>
          <w:rFonts w:ascii="Times New Roman" w:hint="eastAsia"/>
          <w:color w:val="000000" w:themeColor="text1"/>
        </w:rPr>
        <w:t>“</w:t>
      </w:r>
      <w:r w:rsidRPr="008A2411">
        <w:rPr>
          <w:rFonts w:ascii="Times New Roman"/>
          <w:color w:val="000000" w:themeColor="text1"/>
        </w:rPr>
        <w:t>保</w:t>
      </w:r>
      <w:r w:rsidRPr="008A2411">
        <w:rPr>
          <w:rFonts w:ascii="Times New Roman"/>
          <w:color w:val="000000" w:themeColor="text1"/>
        </w:rPr>
        <w:lastRenderedPageBreak/>
        <w:t>护环境</w:t>
      </w:r>
      <w:r w:rsidRPr="008A2411">
        <w:rPr>
          <w:rFonts w:ascii="Times New Roman" w:hint="eastAsia"/>
          <w:color w:val="000000" w:themeColor="text1"/>
        </w:rPr>
        <w:t>”</w:t>
      </w:r>
      <w:r w:rsidRPr="008A2411">
        <w:rPr>
          <w:rFonts w:ascii="Times New Roman"/>
          <w:color w:val="000000" w:themeColor="text1"/>
        </w:rPr>
        <w:t>的基本国策，认真执行</w:t>
      </w:r>
      <w:r w:rsidRPr="008A2411">
        <w:rPr>
          <w:rFonts w:ascii="Times New Roman" w:hint="eastAsia"/>
          <w:color w:val="000000" w:themeColor="text1"/>
        </w:rPr>
        <w:t>“</w:t>
      </w:r>
      <w:r w:rsidRPr="008A2411">
        <w:rPr>
          <w:rFonts w:ascii="Times New Roman"/>
          <w:color w:val="000000" w:themeColor="text1"/>
        </w:rPr>
        <w:t>预防为主，防治结合</w:t>
      </w:r>
      <w:r w:rsidRPr="008A2411">
        <w:rPr>
          <w:rFonts w:ascii="Times New Roman" w:hint="eastAsia"/>
          <w:color w:val="000000" w:themeColor="text1"/>
        </w:rPr>
        <w:t>”</w:t>
      </w:r>
      <w:r w:rsidRPr="008A2411">
        <w:rPr>
          <w:rFonts w:ascii="Times New Roman"/>
          <w:color w:val="000000" w:themeColor="text1"/>
        </w:rPr>
        <w:t>的环境管理方针。编制本项目环境影响报告书的目的，旨在通过环境调查和现场监测，了解工程所处环境状况的基础上，根据工程特性，对工程项目建设过程和投入使用后污染源的产生位置、污染物排放种类、排放方式、排放去向和最终排放量、防止污染措施等进行全面分析，评价区域环境质量可能产生的变化，分析本项目的建设是否存在重大环境问题，以环保法规为准绳，衡量建设项目的环境可行性，提出尽可能减少环境影响的对策建议，为管理部门审查和决策、设计部门设计、项目的环境管理提供依据。</w:t>
      </w:r>
    </w:p>
    <w:p w14:paraId="32EC7B0C" w14:textId="77777777" w:rsidR="00B0005F" w:rsidRPr="008A2411" w:rsidRDefault="00000000">
      <w:pPr>
        <w:pStyle w:val="3ff4"/>
        <w:adjustRightInd w:val="0"/>
        <w:rPr>
          <w:rFonts w:ascii="Times New Roman" w:eastAsia="宋体" w:hAnsi="Times New Roman" w:cs="Times New Roman"/>
          <w:snapToGrid w:val="0"/>
          <w:color w:val="000000" w:themeColor="text1"/>
          <w:kern w:val="0"/>
          <w:sz w:val="24"/>
          <w:szCs w:val="24"/>
        </w:rPr>
      </w:pPr>
      <w:r w:rsidRPr="008A2411">
        <w:rPr>
          <w:rFonts w:ascii="Times New Roman" w:eastAsia="宋体" w:hAnsi="Times New Roman" w:cs="Times New Roman"/>
          <w:snapToGrid w:val="0"/>
          <w:color w:val="000000" w:themeColor="text1"/>
          <w:kern w:val="0"/>
          <w:sz w:val="24"/>
          <w:szCs w:val="24"/>
        </w:rPr>
        <w:t xml:space="preserve">2.2.2 </w:t>
      </w:r>
      <w:r w:rsidRPr="008A2411">
        <w:rPr>
          <w:rFonts w:ascii="Times New Roman" w:eastAsia="宋体" w:hAnsi="Times New Roman" w:cs="Times New Roman"/>
          <w:snapToGrid w:val="0"/>
          <w:color w:val="000000" w:themeColor="text1"/>
          <w:kern w:val="0"/>
          <w:sz w:val="24"/>
          <w:szCs w:val="24"/>
        </w:rPr>
        <w:t>评价原则</w:t>
      </w:r>
    </w:p>
    <w:p w14:paraId="35395580"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1</w:t>
      </w:r>
      <w:r w:rsidRPr="008A2411">
        <w:rPr>
          <w:rFonts w:ascii="Times New Roman"/>
          <w:color w:val="000000" w:themeColor="text1"/>
        </w:rPr>
        <w:t>）依法评价</w:t>
      </w:r>
    </w:p>
    <w:p w14:paraId="7391D6AE"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贯彻执行我国环境保护相关法律法规、标准、政策和规划等，优化项目建设，服务环境管理。</w:t>
      </w:r>
    </w:p>
    <w:p w14:paraId="3CE5C07B"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2</w:t>
      </w:r>
      <w:r w:rsidRPr="008A2411">
        <w:rPr>
          <w:rFonts w:ascii="Times New Roman"/>
          <w:color w:val="000000" w:themeColor="text1"/>
        </w:rPr>
        <w:t>）科学评价</w:t>
      </w:r>
    </w:p>
    <w:p w14:paraId="5515FE7B"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规范环境影响评价方法，科学分析项目建设对环境质量的影响。</w:t>
      </w:r>
      <w:r w:rsidRPr="008A2411">
        <w:rPr>
          <w:rFonts w:ascii="Times New Roman"/>
          <w:color w:val="000000" w:themeColor="text1"/>
        </w:rPr>
        <w:t xml:space="preserve"> </w:t>
      </w:r>
    </w:p>
    <w:p w14:paraId="47D09FAE"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3</w:t>
      </w:r>
      <w:r w:rsidRPr="008A2411">
        <w:rPr>
          <w:rFonts w:ascii="Times New Roman"/>
          <w:color w:val="000000" w:themeColor="text1"/>
        </w:rPr>
        <w:t>）突出重点</w:t>
      </w:r>
    </w:p>
    <w:p w14:paraId="298ABEBD"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根据建设项目的工程内容及其特点，明确与环境要素间的作用效应关系，充分利用符合时效的数据资料及成果，对建设项目主要环境影响予以重点分析和评价。</w:t>
      </w:r>
    </w:p>
    <w:p w14:paraId="4AC41B0C" w14:textId="77777777" w:rsidR="00B0005F" w:rsidRPr="008A2411" w:rsidRDefault="00000000">
      <w:pPr>
        <w:pStyle w:val="WJ2"/>
        <w:snapToGrid/>
        <w:spacing w:line="360" w:lineRule="auto"/>
        <w:rPr>
          <w:rFonts w:ascii="Times New Roman" w:hAnsi="Times New Roman"/>
          <w:color w:val="000000" w:themeColor="text1"/>
        </w:rPr>
      </w:pPr>
      <w:bookmarkStart w:id="40" w:name="_Toc19108230"/>
      <w:bookmarkStart w:id="41" w:name="_Toc109170742"/>
      <w:r w:rsidRPr="008A2411">
        <w:rPr>
          <w:rFonts w:ascii="Times New Roman" w:hAnsi="Times New Roman"/>
          <w:color w:val="000000" w:themeColor="text1"/>
        </w:rPr>
        <w:t>2.3</w:t>
      </w:r>
      <w:r w:rsidRPr="008A2411">
        <w:rPr>
          <w:rFonts w:ascii="Times New Roman" w:hAnsi="Times New Roman"/>
          <w:color w:val="000000" w:themeColor="text1"/>
        </w:rPr>
        <w:t>环境功能区划</w:t>
      </w:r>
      <w:bookmarkEnd w:id="40"/>
      <w:bookmarkEnd w:id="41"/>
    </w:p>
    <w:p w14:paraId="604E72A6" w14:textId="77777777" w:rsidR="00B0005F" w:rsidRPr="008A2411" w:rsidRDefault="00000000">
      <w:pPr>
        <w:pStyle w:val="WJ"/>
        <w:adjustRightInd w:val="0"/>
        <w:spacing w:line="360" w:lineRule="auto"/>
        <w:rPr>
          <w:rFonts w:ascii="Times New Roman" w:hAnsi="Times New Roman"/>
          <w:color w:val="000000" w:themeColor="text1"/>
          <w:kern w:val="0"/>
          <w:szCs w:val="20"/>
        </w:rPr>
      </w:pPr>
      <w:bookmarkStart w:id="42" w:name="_Toc19108231"/>
      <w:r w:rsidRPr="008A2411">
        <w:rPr>
          <w:rFonts w:ascii="Times New Roman" w:hAnsi="Times New Roman"/>
          <w:color w:val="000000" w:themeColor="text1"/>
          <w:kern w:val="0"/>
          <w:szCs w:val="20"/>
        </w:rPr>
        <w:t>（</w:t>
      </w:r>
      <w:r w:rsidRPr="008A2411">
        <w:rPr>
          <w:rFonts w:ascii="Times New Roman" w:hAnsi="Times New Roman"/>
          <w:color w:val="000000" w:themeColor="text1"/>
          <w:kern w:val="0"/>
          <w:szCs w:val="20"/>
        </w:rPr>
        <w:t>1</w:t>
      </w:r>
      <w:r w:rsidRPr="008A2411">
        <w:rPr>
          <w:rFonts w:ascii="Times New Roman" w:hAnsi="Times New Roman"/>
          <w:color w:val="000000" w:themeColor="text1"/>
          <w:kern w:val="0"/>
          <w:szCs w:val="20"/>
        </w:rPr>
        <w:t>）环境空气功能区划</w:t>
      </w:r>
    </w:p>
    <w:p w14:paraId="3C913B99" w14:textId="77777777" w:rsidR="00B0005F" w:rsidRPr="008A2411" w:rsidRDefault="00000000">
      <w:pPr>
        <w:pStyle w:val="WJ"/>
        <w:adjustRightInd w:val="0"/>
        <w:spacing w:line="360" w:lineRule="auto"/>
        <w:rPr>
          <w:rFonts w:ascii="Times New Roman" w:hAnsi="Times New Roman"/>
          <w:color w:val="000000" w:themeColor="text1"/>
          <w:kern w:val="0"/>
          <w:szCs w:val="20"/>
        </w:rPr>
      </w:pPr>
      <w:r w:rsidRPr="008A2411">
        <w:rPr>
          <w:rFonts w:ascii="Times New Roman" w:hAnsi="Times New Roman"/>
          <w:color w:val="000000" w:themeColor="text1"/>
          <w:kern w:val="0"/>
          <w:szCs w:val="20"/>
        </w:rPr>
        <w:t>本项目选址位于四川省达州市宣汉县普光化工园区，所在区域处于农村地区，根据《环境空气质量标准》（</w:t>
      </w:r>
      <w:r w:rsidRPr="008A2411">
        <w:rPr>
          <w:rFonts w:ascii="Times New Roman" w:hAnsi="Times New Roman"/>
          <w:color w:val="000000" w:themeColor="text1"/>
          <w:kern w:val="0"/>
          <w:szCs w:val="20"/>
        </w:rPr>
        <w:t>GB3095-2012</w:t>
      </w:r>
      <w:r w:rsidRPr="008A2411">
        <w:rPr>
          <w:rFonts w:ascii="Times New Roman" w:hAnsi="Times New Roman"/>
          <w:color w:val="000000" w:themeColor="text1"/>
          <w:kern w:val="0"/>
          <w:szCs w:val="20"/>
        </w:rPr>
        <w:t>），环境空气功能区属二类区。</w:t>
      </w:r>
    </w:p>
    <w:p w14:paraId="2AA828A3" w14:textId="77777777" w:rsidR="00B0005F" w:rsidRPr="008A2411" w:rsidRDefault="00000000">
      <w:pPr>
        <w:pStyle w:val="WJ"/>
        <w:adjustRightInd w:val="0"/>
        <w:spacing w:line="360" w:lineRule="auto"/>
        <w:rPr>
          <w:rFonts w:ascii="Times New Roman" w:hAnsi="Times New Roman"/>
          <w:color w:val="000000" w:themeColor="text1"/>
          <w:kern w:val="0"/>
          <w:szCs w:val="20"/>
        </w:rPr>
      </w:pPr>
      <w:r w:rsidRPr="008A2411">
        <w:rPr>
          <w:rFonts w:ascii="Times New Roman" w:hAnsi="Times New Roman"/>
          <w:color w:val="000000" w:themeColor="text1"/>
          <w:kern w:val="0"/>
          <w:szCs w:val="20"/>
        </w:rPr>
        <w:t>（</w:t>
      </w:r>
      <w:r w:rsidRPr="008A2411">
        <w:rPr>
          <w:rFonts w:ascii="Times New Roman" w:hAnsi="Times New Roman"/>
          <w:color w:val="000000" w:themeColor="text1"/>
          <w:kern w:val="0"/>
          <w:szCs w:val="20"/>
        </w:rPr>
        <w:t>2</w:t>
      </w:r>
      <w:r w:rsidRPr="008A2411">
        <w:rPr>
          <w:rFonts w:ascii="Times New Roman" w:hAnsi="Times New Roman"/>
          <w:color w:val="000000" w:themeColor="text1"/>
          <w:kern w:val="0"/>
          <w:szCs w:val="20"/>
        </w:rPr>
        <w:t>）水环境功能区划</w:t>
      </w:r>
    </w:p>
    <w:p w14:paraId="102BB6B5" w14:textId="17BF1EAB" w:rsidR="00B0005F" w:rsidRPr="008A2411" w:rsidRDefault="00000000">
      <w:pPr>
        <w:pStyle w:val="WJ"/>
        <w:adjustRightInd w:val="0"/>
        <w:spacing w:line="360" w:lineRule="auto"/>
        <w:rPr>
          <w:rFonts w:ascii="Times New Roman" w:hAnsi="Times New Roman"/>
          <w:color w:val="000000" w:themeColor="text1"/>
          <w:kern w:val="0"/>
          <w:szCs w:val="20"/>
        </w:rPr>
      </w:pPr>
      <w:r w:rsidRPr="008A2411">
        <w:rPr>
          <w:rFonts w:ascii="Times New Roman" w:hAnsi="Times New Roman"/>
          <w:color w:val="000000" w:themeColor="text1"/>
          <w:kern w:val="0"/>
          <w:szCs w:val="20"/>
        </w:rPr>
        <w:t>根据《</w:t>
      </w:r>
      <w:r w:rsidRPr="008A2411">
        <w:rPr>
          <w:rFonts w:ascii="Times New Roman" w:hAnsi="Times New Roman" w:hint="eastAsia"/>
          <w:color w:val="000000" w:themeColor="text1"/>
          <w:kern w:val="0"/>
          <w:szCs w:val="20"/>
        </w:rPr>
        <w:t>宣汉县</w:t>
      </w:r>
      <w:r w:rsidRPr="008A2411">
        <w:rPr>
          <w:rFonts w:ascii="Times New Roman" w:hAnsi="Times New Roman"/>
          <w:color w:val="000000" w:themeColor="text1"/>
          <w:kern w:val="0"/>
          <w:szCs w:val="20"/>
        </w:rPr>
        <w:t>水环境功能区划》，本项目周边的后巴河，</w:t>
      </w:r>
      <w:r w:rsidR="00611257" w:rsidRPr="008A2411">
        <w:rPr>
          <w:rFonts w:ascii="Times New Roman" w:hAnsi="Times New Roman" w:hint="eastAsia"/>
          <w:color w:val="000000" w:themeColor="text1"/>
          <w:kern w:val="0"/>
          <w:szCs w:val="20"/>
        </w:rPr>
        <w:t>该河流本项目评价段</w:t>
      </w:r>
      <w:r w:rsidRPr="008A2411">
        <w:rPr>
          <w:rFonts w:ascii="Times New Roman" w:hAnsi="Times New Roman"/>
          <w:color w:val="000000" w:themeColor="text1"/>
          <w:kern w:val="0"/>
          <w:szCs w:val="20"/>
        </w:rPr>
        <w:t>水环境功能属</w:t>
      </w:r>
      <w:r w:rsidRPr="008A2411">
        <w:rPr>
          <w:rFonts w:ascii="Times New Roman" w:hAnsi="Times New Roman"/>
          <w:color w:val="000000" w:themeColor="text1"/>
          <w:kern w:val="0"/>
          <w:szCs w:val="20"/>
        </w:rPr>
        <w:t>Ⅲ</w:t>
      </w:r>
      <w:r w:rsidRPr="008A2411">
        <w:rPr>
          <w:rFonts w:ascii="Times New Roman" w:hAnsi="Times New Roman"/>
          <w:color w:val="000000" w:themeColor="text1"/>
          <w:kern w:val="0"/>
          <w:szCs w:val="20"/>
        </w:rPr>
        <w:t>类水域，主要水体功能为农田灌溉、防洪等。</w:t>
      </w:r>
    </w:p>
    <w:p w14:paraId="22250667" w14:textId="77777777" w:rsidR="00B0005F" w:rsidRPr="008A2411" w:rsidRDefault="00000000">
      <w:pPr>
        <w:pStyle w:val="WJ"/>
        <w:adjustRightInd w:val="0"/>
        <w:spacing w:line="360" w:lineRule="auto"/>
        <w:rPr>
          <w:rFonts w:ascii="Times New Roman" w:hAnsi="Times New Roman"/>
          <w:color w:val="000000" w:themeColor="text1"/>
          <w:kern w:val="0"/>
          <w:szCs w:val="20"/>
        </w:rPr>
      </w:pPr>
      <w:r w:rsidRPr="008A2411">
        <w:rPr>
          <w:rFonts w:ascii="Times New Roman" w:hAnsi="Times New Roman"/>
          <w:color w:val="000000" w:themeColor="text1"/>
          <w:kern w:val="0"/>
          <w:szCs w:val="20"/>
        </w:rPr>
        <w:t>（</w:t>
      </w:r>
      <w:r w:rsidRPr="008A2411">
        <w:rPr>
          <w:rFonts w:ascii="Times New Roman" w:hAnsi="Times New Roman"/>
          <w:color w:val="000000" w:themeColor="text1"/>
          <w:kern w:val="0"/>
          <w:szCs w:val="20"/>
        </w:rPr>
        <w:t>3</w:t>
      </w:r>
      <w:r w:rsidRPr="008A2411">
        <w:rPr>
          <w:rFonts w:ascii="Times New Roman" w:hAnsi="Times New Roman"/>
          <w:color w:val="000000" w:themeColor="text1"/>
          <w:kern w:val="0"/>
          <w:szCs w:val="20"/>
        </w:rPr>
        <w:t>）声环境功能区划</w:t>
      </w:r>
    </w:p>
    <w:p w14:paraId="017364FB" w14:textId="77777777" w:rsidR="00B0005F" w:rsidRPr="008A2411" w:rsidRDefault="00000000">
      <w:pPr>
        <w:pStyle w:val="WJ"/>
        <w:adjustRightInd w:val="0"/>
        <w:spacing w:line="360" w:lineRule="auto"/>
        <w:rPr>
          <w:rFonts w:ascii="Times New Roman" w:hAnsi="Times New Roman"/>
          <w:color w:val="000000" w:themeColor="text1"/>
          <w:kern w:val="0"/>
          <w:szCs w:val="20"/>
        </w:rPr>
      </w:pPr>
      <w:r w:rsidRPr="008A2411">
        <w:rPr>
          <w:rFonts w:ascii="Times New Roman" w:hAnsi="Times New Roman"/>
          <w:color w:val="000000" w:themeColor="text1"/>
          <w:kern w:val="0"/>
          <w:szCs w:val="20"/>
        </w:rPr>
        <w:t>工程区域处于工业园区，根据《声环境质量标准》（</w:t>
      </w:r>
      <w:r w:rsidRPr="008A2411">
        <w:rPr>
          <w:rFonts w:ascii="Times New Roman" w:hAnsi="Times New Roman"/>
          <w:color w:val="000000" w:themeColor="text1"/>
          <w:kern w:val="0"/>
          <w:szCs w:val="20"/>
        </w:rPr>
        <w:t>GB3096-2008</w:t>
      </w:r>
      <w:r w:rsidRPr="008A2411">
        <w:rPr>
          <w:rFonts w:ascii="Times New Roman" w:hAnsi="Times New Roman"/>
          <w:color w:val="000000" w:themeColor="text1"/>
          <w:kern w:val="0"/>
          <w:szCs w:val="20"/>
        </w:rPr>
        <w:t>），声环境功能区划属</w:t>
      </w:r>
      <w:r w:rsidRPr="008A2411">
        <w:rPr>
          <w:rFonts w:ascii="Times New Roman" w:hAnsi="Times New Roman"/>
          <w:color w:val="000000" w:themeColor="text1"/>
          <w:kern w:val="0"/>
          <w:szCs w:val="20"/>
        </w:rPr>
        <w:t>3</w:t>
      </w:r>
      <w:r w:rsidRPr="008A2411">
        <w:rPr>
          <w:rFonts w:ascii="Times New Roman" w:hAnsi="Times New Roman"/>
          <w:color w:val="000000" w:themeColor="text1"/>
          <w:kern w:val="0"/>
          <w:szCs w:val="20"/>
        </w:rPr>
        <w:t>类区域。</w:t>
      </w:r>
    </w:p>
    <w:p w14:paraId="42F59034" w14:textId="77777777" w:rsidR="00B0005F" w:rsidRPr="008A2411" w:rsidRDefault="00000000">
      <w:pPr>
        <w:pStyle w:val="WJ"/>
        <w:adjustRightInd w:val="0"/>
        <w:spacing w:line="360" w:lineRule="auto"/>
        <w:rPr>
          <w:rFonts w:ascii="Times New Roman" w:hAnsi="Times New Roman"/>
          <w:color w:val="000000" w:themeColor="text1"/>
          <w:kern w:val="0"/>
          <w:szCs w:val="20"/>
        </w:rPr>
      </w:pPr>
      <w:r w:rsidRPr="008A2411">
        <w:rPr>
          <w:rFonts w:ascii="Times New Roman" w:hAnsi="Times New Roman"/>
          <w:color w:val="000000" w:themeColor="text1"/>
          <w:kern w:val="0"/>
          <w:szCs w:val="20"/>
        </w:rPr>
        <w:t>（</w:t>
      </w:r>
      <w:r w:rsidRPr="008A2411">
        <w:rPr>
          <w:rFonts w:ascii="Times New Roman" w:hAnsi="Times New Roman"/>
          <w:color w:val="000000" w:themeColor="text1"/>
          <w:kern w:val="0"/>
          <w:szCs w:val="20"/>
        </w:rPr>
        <w:t>4</w:t>
      </w:r>
      <w:r w:rsidRPr="008A2411">
        <w:rPr>
          <w:rFonts w:ascii="Times New Roman" w:hAnsi="Times New Roman"/>
          <w:color w:val="000000" w:themeColor="text1"/>
          <w:kern w:val="0"/>
          <w:szCs w:val="20"/>
        </w:rPr>
        <w:t>）地下水环境功能区划</w:t>
      </w:r>
    </w:p>
    <w:p w14:paraId="61A9FC5F" w14:textId="77777777" w:rsidR="00B0005F" w:rsidRPr="008A2411" w:rsidRDefault="00000000">
      <w:pPr>
        <w:pStyle w:val="WJ"/>
        <w:adjustRightInd w:val="0"/>
        <w:spacing w:line="360" w:lineRule="auto"/>
        <w:rPr>
          <w:rFonts w:ascii="Times New Roman" w:hAnsi="Times New Roman"/>
          <w:color w:val="000000" w:themeColor="text1"/>
          <w:kern w:val="0"/>
          <w:szCs w:val="20"/>
        </w:rPr>
      </w:pPr>
      <w:r w:rsidRPr="008A2411">
        <w:rPr>
          <w:rFonts w:ascii="Times New Roman" w:hAnsi="Times New Roman"/>
          <w:color w:val="000000" w:themeColor="text1"/>
          <w:kern w:val="0"/>
          <w:szCs w:val="20"/>
        </w:rPr>
        <w:t>根据现场调查结果，本项目区域的地下水开发利用现状以农村分散居民开采</w:t>
      </w:r>
      <w:r w:rsidRPr="008A2411">
        <w:rPr>
          <w:rFonts w:ascii="Times New Roman" w:hAnsi="Times New Roman"/>
          <w:color w:val="000000" w:themeColor="text1"/>
          <w:kern w:val="0"/>
          <w:szCs w:val="20"/>
        </w:rPr>
        <w:lastRenderedPageBreak/>
        <w:t>浅层地下水作为人畜生活用水为主，评价范围内不涉及地下水集中式饮用水水源保护区。根据《地下水质量标准》（</w:t>
      </w:r>
      <w:r w:rsidRPr="008A2411">
        <w:rPr>
          <w:rFonts w:ascii="Times New Roman" w:hAnsi="Times New Roman"/>
          <w:color w:val="000000" w:themeColor="text1"/>
          <w:kern w:val="0"/>
          <w:szCs w:val="20"/>
        </w:rPr>
        <w:t>GB/T14848-2017</w:t>
      </w:r>
      <w:r w:rsidRPr="008A2411">
        <w:rPr>
          <w:rFonts w:ascii="Times New Roman" w:hAnsi="Times New Roman"/>
          <w:color w:val="000000" w:themeColor="text1"/>
          <w:kern w:val="0"/>
          <w:szCs w:val="20"/>
        </w:rPr>
        <w:t>），区域地下水环境属</w:t>
      </w:r>
      <w:r w:rsidRPr="008A2411">
        <w:rPr>
          <w:rFonts w:ascii="Times New Roman" w:hAnsi="Times New Roman"/>
          <w:color w:val="000000" w:themeColor="text1"/>
          <w:kern w:val="0"/>
          <w:szCs w:val="20"/>
        </w:rPr>
        <w:t>Ⅲ</w:t>
      </w:r>
      <w:r w:rsidRPr="008A2411">
        <w:rPr>
          <w:rFonts w:ascii="Times New Roman" w:hAnsi="Times New Roman"/>
          <w:color w:val="000000" w:themeColor="text1"/>
          <w:kern w:val="0"/>
          <w:szCs w:val="20"/>
        </w:rPr>
        <w:t>类用水。</w:t>
      </w:r>
    </w:p>
    <w:p w14:paraId="5143B9E1" w14:textId="77777777" w:rsidR="00B0005F" w:rsidRPr="008A2411" w:rsidRDefault="00000000">
      <w:pPr>
        <w:pStyle w:val="WJ"/>
        <w:adjustRightInd w:val="0"/>
        <w:spacing w:line="360" w:lineRule="auto"/>
        <w:rPr>
          <w:rFonts w:ascii="Times New Roman" w:hAnsi="Times New Roman"/>
          <w:color w:val="000000" w:themeColor="text1"/>
          <w:kern w:val="0"/>
          <w:szCs w:val="20"/>
        </w:rPr>
      </w:pPr>
      <w:r w:rsidRPr="008A2411">
        <w:rPr>
          <w:rFonts w:ascii="Times New Roman" w:hAnsi="Times New Roman"/>
          <w:color w:val="000000" w:themeColor="text1"/>
          <w:kern w:val="0"/>
          <w:szCs w:val="20"/>
        </w:rPr>
        <w:t>（</w:t>
      </w:r>
      <w:r w:rsidRPr="008A2411">
        <w:rPr>
          <w:rFonts w:ascii="Times New Roman" w:hAnsi="Times New Roman"/>
          <w:color w:val="000000" w:themeColor="text1"/>
          <w:kern w:val="0"/>
          <w:szCs w:val="20"/>
        </w:rPr>
        <w:t>5</w:t>
      </w:r>
      <w:r w:rsidRPr="008A2411">
        <w:rPr>
          <w:rFonts w:ascii="Times New Roman" w:hAnsi="Times New Roman"/>
          <w:color w:val="000000" w:themeColor="text1"/>
          <w:kern w:val="0"/>
          <w:szCs w:val="20"/>
        </w:rPr>
        <w:t>）生态环境功能区划</w:t>
      </w:r>
    </w:p>
    <w:p w14:paraId="2E3EBFC3" w14:textId="77777777" w:rsidR="00B0005F" w:rsidRPr="008A2411" w:rsidRDefault="00000000">
      <w:pPr>
        <w:widowControl/>
        <w:adjustRightInd w:val="0"/>
        <w:snapToGrid w:val="0"/>
        <w:spacing w:line="360" w:lineRule="auto"/>
        <w:ind w:firstLineChars="200" w:firstLine="480"/>
        <w:jc w:val="left"/>
        <w:rPr>
          <w:rFonts w:ascii="Times New Roman"/>
          <w:color w:val="000000" w:themeColor="text1"/>
        </w:rPr>
      </w:pPr>
      <w:r w:rsidRPr="008A2411">
        <w:rPr>
          <w:rFonts w:ascii="Times New Roman"/>
          <w:color w:val="000000" w:themeColor="text1"/>
        </w:rPr>
        <w:t>根据《四川省生态功能区划》，本项目位于四川盆地亚热带湿润气候生态区，属于大巴山水源涵养与土壤保持生态功能区（</w:t>
      </w:r>
      <w:r w:rsidRPr="008A2411">
        <w:rPr>
          <w:rFonts w:ascii="Times New Roman"/>
          <w:color w:val="000000" w:themeColor="text1"/>
        </w:rPr>
        <w:t>I-3-2</w:t>
      </w:r>
      <w:r w:rsidRPr="008A2411">
        <w:rPr>
          <w:rFonts w:ascii="Times New Roman"/>
          <w:color w:val="000000" w:themeColor="text1"/>
        </w:rPr>
        <w:t>），该生态功能区的主导功能是水源涵养功能，土壤保持功能。面临的主要环境问题是多洪灾，滑坡崩塌强烈发育，水土流失严重。项目</w:t>
      </w:r>
      <w:r w:rsidRPr="008A2411">
        <w:rPr>
          <w:rFonts w:ascii="Times New Roman" w:hint="eastAsia"/>
          <w:color w:val="000000" w:themeColor="text1"/>
        </w:rPr>
        <w:t>拟建地位于工业园区内，现状用地为工业园区内尚未开发建设的农林业用地，不涉及的国家公园、自然保护区、自然公园等自然保护地、世界自然遗产、生态保护红线等生态敏感区域</w:t>
      </w:r>
      <w:r w:rsidRPr="008A2411">
        <w:rPr>
          <w:rFonts w:ascii="Times New Roman"/>
          <w:color w:val="000000" w:themeColor="text1"/>
        </w:rPr>
        <w:t>。</w:t>
      </w:r>
    </w:p>
    <w:p w14:paraId="571E1707" w14:textId="77777777" w:rsidR="00B0005F" w:rsidRPr="008A2411" w:rsidRDefault="00000000">
      <w:pPr>
        <w:pStyle w:val="WJ2"/>
        <w:snapToGrid/>
        <w:spacing w:line="360" w:lineRule="auto"/>
        <w:rPr>
          <w:rFonts w:ascii="Times New Roman" w:hAnsi="Times New Roman"/>
          <w:color w:val="000000" w:themeColor="text1"/>
        </w:rPr>
      </w:pPr>
      <w:bookmarkStart w:id="43" w:name="_Toc109170743"/>
      <w:r w:rsidRPr="008A2411">
        <w:rPr>
          <w:rFonts w:ascii="Times New Roman" w:hAnsi="Times New Roman"/>
          <w:color w:val="000000" w:themeColor="text1"/>
        </w:rPr>
        <w:t xml:space="preserve">2.4 </w:t>
      </w:r>
      <w:r w:rsidRPr="008A2411">
        <w:rPr>
          <w:rFonts w:ascii="Times New Roman" w:hAnsi="Times New Roman"/>
          <w:color w:val="000000" w:themeColor="text1"/>
        </w:rPr>
        <w:t>项目</w:t>
      </w:r>
      <w:bookmarkStart w:id="44" w:name="_Toc432251292"/>
      <w:bookmarkStart w:id="45" w:name="_Toc448922606"/>
      <w:bookmarkStart w:id="46" w:name="_Toc11084"/>
      <w:r w:rsidRPr="008A2411">
        <w:rPr>
          <w:rFonts w:ascii="Times New Roman" w:hAnsi="Times New Roman"/>
          <w:color w:val="000000" w:themeColor="text1"/>
        </w:rPr>
        <w:t>产业政策及规划、选址合理性及三线</w:t>
      </w:r>
      <w:proofErr w:type="gramStart"/>
      <w:r w:rsidRPr="008A2411">
        <w:rPr>
          <w:rFonts w:ascii="Times New Roman" w:hAnsi="Times New Roman"/>
          <w:color w:val="000000" w:themeColor="text1"/>
        </w:rPr>
        <w:t>一单符合</w:t>
      </w:r>
      <w:proofErr w:type="gramEnd"/>
      <w:r w:rsidRPr="008A2411">
        <w:rPr>
          <w:rFonts w:ascii="Times New Roman" w:hAnsi="Times New Roman"/>
          <w:color w:val="000000" w:themeColor="text1"/>
        </w:rPr>
        <w:t>性分析</w:t>
      </w:r>
      <w:bookmarkEnd w:id="42"/>
      <w:bookmarkEnd w:id="43"/>
      <w:bookmarkEnd w:id="44"/>
      <w:bookmarkEnd w:id="45"/>
      <w:bookmarkEnd w:id="46"/>
    </w:p>
    <w:p w14:paraId="38663A0A" w14:textId="77777777" w:rsidR="00B0005F" w:rsidRPr="008A2411" w:rsidRDefault="00000000">
      <w:pPr>
        <w:adjustRightInd w:val="0"/>
        <w:spacing w:line="360" w:lineRule="auto"/>
        <w:outlineLvl w:val="2"/>
        <w:rPr>
          <w:rFonts w:ascii="Times New Roman"/>
          <w:b/>
          <w:color w:val="000000" w:themeColor="text1"/>
        </w:rPr>
      </w:pPr>
      <w:bookmarkStart w:id="47" w:name="_Toc432251293"/>
      <w:r w:rsidRPr="008A2411">
        <w:rPr>
          <w:rFonts w:ascii="Times New Roman"/>
          <w:b/>
          <w:color w:val="000000" w:themeColor="text1"/>
        </w:rPr>
        <w:t xml:space="preserve">2.4.1 </w:t>
      </w:r>
      <w:r w:rsidRPr="008A2411">
        <w:rPr>
          <w:rFonts w:ascii="Times New Roman"/>
          <w:b/>
          <w:color w:val="000000" w:themeColor="text1"/>
        </w:rPr>
        <w:t>产业政策符合性分析</w:t>
      </w:r>
      <w:bookmarkStart w:id="48" w:name="_Toc432251294"/>
      <w:bookmarkEnd w:id="47"/>
    </w:p>
    <w:p w14:paraId="44CD6AF3" w14:textId="2E6F5829" w:rsidR="00B0005F" w:rsidRPr="008A2411" w:rsidRDefault="00000000" w:rsidP="00BA2A52">
      <w:pPr>
        <w:widowControl/>
        <w:adjustRightInd w:val="0"/>
        <w:snapToGrid w:val="0"/>
        <w:spacing w:line="360" w:lineRule="auto"/>
        <w:ind w:firstLineChars="200" w:firstLine="480"/>
        <w:jc w:val="left"/>
        <w:rPr>
          <w:rFonts w:ascii="Times New Roman"/>
          <w:color w:val="000000" w:themeColor="text1"/>
        </w:rPr>
      </w:pPr>
      <w:r w:rsidRPr="008A2411">
        <w:rPr>
          <w:rFonts w:ascii="Times New Roman"/>
          <w:color w:val="000000" w:themeColor="text1"/>
        </w:rPr>
        <w:t>经查阅</w:t>
      </w:r>
      <w:r w:rsidR="00C437FB" w:rsidRPr="008A2411">
        <w:rPr>
          <w:rFonts w:ascii="Times New Roman" w:hint="eastAsia"/>
          <w:color w:val="000000" w:themeColor="text1"/>
        </w:rPr>
        <w:t>根据《</w:t>
      </w:r>
      <w:r w:rsidR="00C437FB" w:rsidRPr="008A2411">
        <w:rPr>
          <w:rFonts w:ascii="Times New Roman"/>
          <w:color w:val="000000" w:themeColor="text1"/>
        </w:rPr>
        <w:t>国民经济行业分类</w:t>
      </w:r>
      <w:r w:rsidR="00C437FB" w:rsidRPr="008A2411">
        <w:rPr>
          <w:rFonts w:ascii="Times New Roman" w:hint="eastAsia"/>
          <w:color w:val="000000" w:themeColor="text1"/>
        </w:rPr>
        <w:t>》</w:t>
      </w:r>
      <w:r w:rsidR="00C437FB" w:rsidRPr="008A2411">
        <w:rPr>
          <w:rFonts w:ascii="Times New Roman"/>
          <w:color w:val="000000" w:themeColor="text1"/>
        </w:rPr>
        <w:t>（</w:t>
      </w:r>
      <w:r w:rsidR="00C437FB" w:rsidRPr="008A2411">
        <w:rPr>
          <w:rFonts w:ascii="Times New Roman"/>
          <w:color w:val="000000" w:themeColor="text1"/>
        </w:rPr>
        <w:t>GB T 4754-2017</w:t>
      </w:r>
      <w:r w:rsidR="00C437FB" w:rsidRPr="008A2411">
        <w:rPr>
          <w:rFonts w:ascii="Times New Roman"/>
          <w:color w:val="000000" w:themeColor="text1"/>
        </w:rPr>
        <w:t>）</w:t>
      </w:r>
      <w:r w:rsidR="00BA2A52" w:rsidRPr="008A2411">
        <w:rPr>
          <w:rFonts w:ascii="Times New Roman" w:hint="eastAsia"/>
          <w:color w:val="000000" w:themeColor="text1"/>
        </w:rPr>
        <w:t>及修改单中，本项目为天然气净化、液化生产</w:t>
      </w:r>
      <w:r w:rsidR="004D29E2" w:rsidRPr="008A2411">
        <w:rPr>
          <w:rFonts w:ascii="Times New Roman" w:hint="eastAsia"/>
          <w:color w:val="000000" w:themeColor="text1"/>
        </w:rPr>
        <w:t>项目</w:t>
      </w:r>
      <w:r w:rsidR="00BA2A52" w:rsidRPr="008A2411">
        <w:rPr>
          <w:rFonts w:ascii="Times New Roman" w:hint="eastAsia"/>
          <w:color w:val="000000" w:themeColor="text1"/>
        </w:rPr>
        <w:t>，属于该分类中的</w:t>
      </w:r>
      <w:r w:rsidR="00BA2A52" w:rsidRPr="008A2411">
        <w:rPr>
          <w:rFonts w:ascii="Times New Roman" w:hint="eastAsia"/>
          <w:color w:val="000000" w:themeColor="text1"/>
        </w:rPr>
        <w:t>B0721</w:t>
      </w:r>
      <w:r w:rsidR="00BA2A52" w:rsidRPr="008A2411">
        <w:rPr>
          <w:rFonts w:ascii="Times New Roman" w:hint="eastAsia"/>
          <w:color w:val="000000" w:themeColor="text1"/>
        </w:rPr>
        <w:t>类，为</w:t>
      </w:r>
      <w:r w:rsidR="00BA2A52" w:rsidRPr="008A2411">
        <w:rPr>
          <w:color w:val="000000" w:themeColor="text1"/>
        </w:rPr>
        <w:t>石油和天然气开采业</w:t>
      </w:r>
      <w:r w:rsidR="00BA2A52" w:rsidRPr="008A2411">
        <w:rPr>
          <w:rFonts w:hint="eastAsia"/>
          <w:color w:val="000000" w:themeColor="text1"/>
        </w:rPr>
        <w:t>中的</w:t>
      </w:r>
      <w:r w:rsidR="00BA2A52" w:rsidRPr="008A2411">
        <w:rPr>
          <w:color w:val="000000" w:themeColor="text1"/>
        </w:rPr>
        <w:t>陆地天然气开采</w:t>
      </w:r>
      <w:r w:rsidR="00BA2A52" w:rsidRPr="008A2411">
        <w:rPr>
          <w:rFonts w:hint="eastAsia"/>
          <w:color w:val="000000" w:themeColor="text1"/>
        </w:rPr>
        <w:t>。同时</w:t>
      </w:r>
      <w:r w:rsidR="00BA2A52" w:rsidRPr="008A2411">
        <w:rPr>
          <w:rFonts w:ascii="Times New Roman" w:hint="eastAsia"/>
          <w:color w:val="000000" w:themeColor="text1"/>
        </w:rPr>
        <w:t>根据</w:t>
      </w:r>
      <w:r w:rsidRPr="008A2411">
        <w:rPr>
          <w:rFonts w:ascii="Times New Roman"/>
          <w:color w:val="000000" w:themeColor="text1"/>
        </w:rPr>
        <w:t>国家发展和改革委员会</w:t>
      </w:r>
      <w:r w:rsidRPr="008A2411">
        <w:rPr>
          <w:rFonts w:ascii="Times New Roman"/>
          <w:color w:val="000000" w:themeColor="text1"/>
        </w:rPr>
        <w:t>2019</w:t>
      </w:r>
      <w:r w:rsidRPr="008A2411">
        <w:rPr>
          <w:rFonts w:ascii="Times New Roman"/>
          <w:color w:val="000000" w:themeColor="text1"/>
        </w:rPr>
        <w:t>年第</w:t>
      </w:r>
      <w:r w:rsidRPr="008A2411">
        <w:rPr>
          <w:rFonts w:ascii="Times New Roman"/>
          <w:color w:val="000000" w:themeColor="text1"/>
        </w:rPr>
        <w:t>29</w:t>
      </w:r>
      <w:r w:rsidRPr="008A2411">
        <w:rPr>
          <w:rFonts w:ascii="Times New Roman"/>
          <w:color w:val="000000" w:themeColor="text1"/>
        </w:rPr>
        <w:t>号《产业结构调整指导目录》（</w:t>
      </w:r>
      <w:r w:rsidRPr="008A2411">
        <w:rPr>
          <w:rFonts w:ascii="Times New Roman"/>
          <w:color w:val="000000" w:themeColor="text1"/>
        </w:rPr>
        <w:t>2021</w:t>
      </w:r>
      <w:r w:rsidRPr="008A2411">
        <w:rPr>
          <w:rFonts w:ascii="Times New Roman"/>
          <w:color w:val="000000" w:themeColor="text1"/>
        </w:rPr>
        <w:t>年修订），本项目属于第七类</w:t>
      </w:r>
      <w:r w:rsidRPr="008A2411">
        <w:rPr>
          <w:rFonts w:ascii="Times New Roman" w:hint="eastAsia"/>
          <w:color w:val="000000" w:themeColor="text1"/>
        </w:rPr>
        <w:t>“</w:t>
      </w:r>
      <w:r w:rsidRPr="008A2411">
        <w:rPr>
          <w:rFonts w:ascii="Times New Roman"/>
          <w:color w:val="000000" w:themeColor="text1"/>
        </w:rPr>
        <w:t>鼓励类</w:t>
      </w:r>
      <w:r w:rsidRPr="008A2411">
        <w:rPr>
          <w:rFonts w:ascii="Times New Roman" w:hint="eastAsia"/>
          <w:color w:val="000000" w:themeColor="text1"/>
        </w:rPr>
        <w:t>”</w:t>
      </w:r>
      <w:r w:rsidRPr="008A2411">
        <w:rPr>
          <w:rFonts w:ascii="Times New Roman"/>
          <w:color w:val="000000" w:themeColor="text1"/>
        </w:rPr>
        <w:t>中第一条</w:t>
      </w:r>
      <w:r w:rsidRPr="008A2411">
        <w:rPr>
          <w:rFonts w:ascii="Times New Roman" w:hint="eastAsia"/>
          <w:color w:val="000000" w:themeColor="text1"/>
        </w:rPr>
        <w:t>“</w:t>
      </w:r>
      <w:r w:rsidRPr="008A2411">
        <w:rPr>
          <w:rFonts w:ascii="Times New Roman"/>
          <w:color w:val="000000" w:themeColor="text1"/>
        </w:rPr>
        <w:t>石油、天然气</w:t>
      </w:r>
      <w:r w:rsidRPr="008A2411">
        <w:rPr>
          <w:rFonts w:ascii="Times New Roman" w:hint="eastAsia"/>
          <w:color w:val="000000" w:themeColor="text1"/>
        </w:rPr>
        <w:t>”</w:t>
      </w:r>
      <w:r w:rsidRPr="008A2411">
        <w:rPr>
          <w:rFonts w:ascii="Times New Roman"/>
          <w:color w:val="000000" w:themeColor="text1"/>
        </w:rPr>
        <w:t>的第</w:t>
      </w:r>
      <w:r w:rsidRPr="008A2411">
        <w:rPr>
          <w:rFonts w:ascii="Times New Roman"/>
          <w:color w:val="000000" w:themeColor="text1"/>
        </w:rPr>
        <w:t>9</w:t>
      </w:r>
      <w:r w:rsidRPr="008A2411">
        <w:rPr>
          <w:rFonts w:ascii="Times New Roman"/>
          <w:color w:val="000000" w:themeColor="text1"/>
        </w:rPr>
        <w:t>款</w:t>
      </w:r>
      <w:r w:rsidRPr="008A2411">
        <w:rPr>
          <w:rFonts w:ascii="Times New Roman" w:hint="eastAsia"/>
          <w:color w:val="000000" w:themeColor="text1"/>
        </w:rPr>
        <w:t>“</w:t>
      </w:r>
      <w:r w:rsidRPr="008A2411">
        <w:rPr>
          <w:rFonts w:ascii="Times New Roman"/>
          <w:color w:val="000000" w:themeColor="text1"/>
        </w:rPr>
        <w:t>液化天然气技术、装备开发与应用</w:t>
      </w:r>
      <w:r w:rsidRPr="008A2411">
        <w:rPr>
          <w:rFonts w:ascii="Times New Roman" w:hint="eastAsia"/>
          <w:color w:val="000000" w:themeColor="text1"/>
        </w:rPr>
        <w:t>”</w:t>
      </w:r>
      <w:r w:rsidRPr="008A2411">
        <w:rPr>
          <w:rFonts w:ascii="Times New Roman"/>
          <w:color w:val="000000" w:themeColor="text1"/>
        </w:rPr>
        <w:t>，为鼓励类项目，</w:t>
      </w:r>
      <w:r w:rsidRPr="008A2411">
        <w:rPr>
          <w:rFonts w:ascii="Times New Roman" w:hint="eastAsia"/>
          <w:color w:val="000000" w:themeColor="text1"/>
        </w:rPr>
        <w:t>此外，宣汉宏</w:t>
      </w:r>
      <w:proofErr w:type="gramStart"/>
      <w:r w:rsidRPr="008A2411">
        <w:rPr>
          <w:rFonts w:ascii="Times New Roman" w:hint="eastAsia"/>
          <w:color w:val="000000" w:themeColor="text1"/>
        </w:rPr>
        <w:t>浩</w:t>
      </w:r>
      <w:proofErr w:type="gramEnd"/>
      <w:r w:rsidRPr="008A2411">
        <w:rPr>
          <w:rFonts w:ascii="Times New Roman" w:hint="eastAsia"/>
          <w:color w:val="000000" w:themeColor="text1"/>
        </w:rPr>
        <w:t>能源科技发展有限公司已根据《企业投资项目核准和备案管理条例》、《四川省企业投资项目核准和备案管理办法》及相关规定，已完成备案（备案号：川投资备【</w:t>
      </w:r>
      <w:r w:rsidRPr="008A2411">
        <w:rPr>
          <w:rFonts w:ascii="Times New Roman" w:hint="eastAsia"/>
          <w:color w:val="000000" w:themeColor="text1"/>
        </w:rPr>
        <w:t>2202-511722-04-01-709299</w:t>
      </w:r>
      <w:r w:rsidRPr="008A2411">
        <w:rPr>
          <w:rFonts w:ascii="Times New Roman" w:hint="eastAsia"/>
          <w:color w:val="000000" w:themeColor="text1"/>
        </w:rPr>
        <w:t>】</w:t>
      </w:r>
      <w:r w:rsidRPr="008A2411">
        <w:rPr>
          <w:rFonts w:ascii="Times New Roman" w:hint="eastAsia"/>
          <w:color w:val="000000" w:themeColor="text1"/>
        </w:rPr>
        <w:t>FGQB-0025</w:t>
      </w:r>
      <w:r w:rsidRPr="008A2411">
        <w:rPr>
          <w:rFonts w:ascii="Times New Roman" w:hint="eastAsia"/>
          <w:color w:val="000000" w:themeColor="text1"/>
        </w:rPr>
        <w:t>号</w:t>
      </w:r>
      <w:r w:rsidRPr="008A2411">
        <w:rPr>
          <w:rFonts w:ascii="Times New Roman" w:hint="eastAsia"/>
          <w:color w:val="000000" w:themeColor="text1"/>
        </w:rPr>
        <w:t xml:space="preserve"> </w:t>
      </w:r>
      <w:r w:rsidRPr="008A2411">
        <w:rPr>
          <w:rFonts w:ascii="Times New Roman" w:hint="eastAsia"/>
          <w:color w:val="000000" w:themeColor="text1"/>
        </w:rPr>
        <w:t>）。</w:t>
      </w:r>
    </w:p>
    <w:p w14:paraId="178CB389" w14:textId="77777777" w:rsidR="00B0005F" w:rsidRPr="008A2411" w:rsidRDefault="00000000">
      <w:pPr>
        <w:widowControl/>
        <w:adjustRightInd w:val="0"/>
        <w:snapToGrid w:val="0"/>
        <w:spacing w:line="360" w:lineRule="auto"/>
        <w:ind w:firstLineChars="200" w:firstLine="480"/>
        <w:jc w:val="left"/>
        <w:rPr>
          <w:rFonts w:ascii="Times New Roman"/>
          <w:color w:val="000000" w:themeColor="text1"/>
        </w:rPr>
      </w:pPr>
      <w:r w:rsidRPr="008A2411">
        <w:rPr>
          <w:rFonts w:ascii="Times New Roman" w:hint="eastAsia"/>
          <w:color w:val="000000" w:themeColor="text1"/>
        </w:rPr>
        <w:t>因此，本项目</w:t>
      </w:r>
      <w:r w:rsidRPr="008A2411">
        <w:rPr>
          <w:rFonts w:ascii="Times New Roman"/>
          <w:color w:val="000000" w:themeColor="text1"/>
        </w:rPr>
        <w:t>符合国家当前产业政策规定。</w:t>
      </w:r>
    </w:p>
    <w:p w14:paraId="0BD05EA6" w14:textId="77777777" w:rsidR="00B0005F" w:rsidRPr="008A2411" w:rsidRDefault="00000000">
      <w:pPr>
        <w:adjustRightInd w:val="0"/>
        <w:spacing w:line="360" w:lineRule="auto"/>
        <w:outlineLvl w:val="2"/>
        <w:rPr>
          <w:rFonts w:ascii="Times New Roman"/>
          <w:b/>
          <w:color w:val="000000" w:themeColor="text1"/>
        </w:rPr>
      </w:pPr>
      <w:r w:rsidRPr="008A2411">
        <w:rPr>
          <w:rFonts w:ascii="Times New Roman"/>
          <w:b/>
          <w:color w:val="000000" w:themeColor="text1"/>
        </w:rPr>
        <w:t xml:space="preserve">2.4.2 </w:t>
      </w:r>
      <w:r w:rsidRPr="008A2411">
        <w:rPr>
          <w:rFonts w:ascii="Times New Roman"/>
          <w:b/>
          <w:color w:val="000000" w:themeColor="text1"/>
        </w:rPr>
        <w:t>项目规划符合性分析</w:t>
      </w:r>
      <w:bookmarkEnd w:id="48"/>
    </w:p>
    <w:p w14:paraId="53CBAB8B" w14:textId="77777777" w:rsidR="00B0005F" w:rsidRPr="008A2411" w:rsidRDefault="00000000">
      <w:pPr>
        <w:widowControl/>
        <w:adjustRightInd w:val="0"/>
        <w:snapToGrid w:val="0"/>
        <w:spacing w:line="360" w:lineRule="auto"/>
        <w:ind w:firstLineChars="200" w:firstLine="480"/>
        <w:jc w:val="left"/>
        <w:rPr>
          <w:rFonts w:ascii="Times New Roman"/>
          <w:color w:val="000000" w:themeColor="text1"/>
          <w:kern w:val="2"/>
          <w:szCs w:val="22"/>
        </w:rPr>
      </w:pPr>
      <w:r w:rsidRPr="008A2411">
        <w:rPr>
          <w:rFonts w:ascii="Times New Roman" w:hint="eastAsia"/>
          <w:color w:val="000000" w:themeColor="text1"/>
          <w:kern w:val="2"/>
          <w:szCs w:val="22"/>
        </w:rPr>
        <w:t>（</w:t>
      </w:r>
      <w:r w:rsidRPr="008A2411">
        <w:rPr>
          <w:rFonts w:ascii="Times New Roman" w:hint="eastAsia"/>
          <w:color w:val="000000" w:themeColor="text1"/>
          <w:kern w:val="2"/>
          <w:szCs w:val="22"/>
        </w:rPr>
        <w:t>1</w:t>
      </w:r>
      <w:r w:rsidRPr="008A2411">
        <w:rPr>
          <w:rFonts w:ascii="Times New Roman" w:hint="eastAsia"/>
          <w:color w:val="000000" w:themeColor="text1"/>
          <w:kern w:val="2"/>
          <w:szCs w:val="22"/>
        </w:rPr>
        <w:t>）项目与园区规划及园区土地利用规划的符合性分析</w:t>
      </w:r>
    </w:p>
    <w:p w14:paraId="4780D7E6" w14:textId="77777777" w:rsidR="00B0005F" w:rsidRPr="008A2411" w:rsidRDefault="00000000">
      <w:pPr>
        <w:widowControl/>
        <w:adjustRightInd w:val="0"/>
        <w:snapToGrid w:val="0"/>
        <w:spacing w:line="360" w:lineRule="auto"/>
        <w:ind w:firstLineChars="200" w:firstLine="480"/>
        <w:jc w:val="left"/>
        <w:rPr>
          <w:rFonts w:ascii="Times New Roman"/>
          <w:color w:val="000000" w:themeColor="text1"/>
          <w:kern w:val="2"/>
          <w:szCs w:val="22"/>
        </w:rPr>
      </w:pPr>
      <w:r w:rsidRPr="008A2411">
        <w:rPr>
          <w:rFonts w:ascii="Times New Roman"/>
          <w:color w:val="000000" w:themeColor="text1"/>
          <w:kern w:val="2"/>
          <w:szCs w:val="22"/>
        </w:rPr>
        <w:t>四川达州普光经济开发区（下称</w:t>
      </w:r>
      <w:r w:rsidRPr="008A2411">
        <w:rPr>
          <w:rFonts w:ascii="Times New Roman" w:hint="eastAsia"/>
          <w:color w:val="000000" w:themeColor="text1"/>
          <w:kern w:val="2"/>
          <w:szCs w:val="22"/>
        </w:rPr>
        <w:t>“</w:t>
      </w:r>
      <w:r w:rsidRPr="008A2411">
        <w:rPr>
          <w:rFonts w:ascii="Times New Roman"/>
          <w:color w:val="000000" w:themeColor="text1"/>
          <w:kern w:val="2"/>
          <w:szCs w:val="22"/>
        </w:rPr>
        <w:t>普光经开区</w:t>
      </w:r>
      <w:r w:rsidRPr="008A2411">
        <w:rPr>
          <w:rFonts w:ascii="Times New Roman" w:hint="eastAsia"/>
          <w:color w:val="000000" w:themeColor="text1"/>
          <w:kern w:val="2"/>
          <w:szCs w:val="22"/>
        </w:rPr>
        <w:t>”</w:t>
      </w:r>
      <w:r w:rsidRPr="008A2411">
        <w:rPr>
          <w:rFonts w:ascii="Times New Roman"/>
          <w:color w:val="000000" w:themeColor="text1"/>
          <w:kern w:val="2"/>
          <w:szCs w:val="22"/>
        </w:rPr>
        <w:t>）位于四川省达州市宣汉县，</w:t>
      </w:r>
      <w:r w:rsidRPr="008A2411">
        <w:rPr>
          <w:rFonts w:ascii="Times New Roman"/>
          <w:color w:val="000000" w:themeColor="text1"/>
          <w:kern w:val="2"/>
          <w:szCs w:val="22"/>
        </w:rPr>
        <w:t>2008</w:t>
      </w:r>
      <w:r w:rsidRPr="008A2411">
        <w:rPr>
          <w:rFonts w:ascii="Times New Roman"/>
          <w:color w:val="000000" w:themeColor="text1"/>
          <w:kern w:val="2"/>
          <w:szCs w:val="22"/>
        </w:rPr>
        <w:t>年设立。</w:t>
      </w:r>
      <w:r w:rsidRPr="008A2411">
        <w:rPr>
          <w:rFonts w:ascii="Times New Roman"/>
          <w:color w:val="000000" w:themeColor="text1"/>
          <w:kern w:val="2"/>
          <w:szCs w:val="22"/>
        </w:rPr>
        <w:t>2013</w:t>
      </w:r>
      <w:r w:rsidRPr="008A2411">
        <w:rPr>
          <w:rFonts w:ascii="Times New Roman"/>
          <w:color w:val="000000" w:themeColor="text1"/>
          <w:kern w:val="2"/>
          <w:szCs w:val="22"/>
        </w:rPr>
        <w:t>年</w:t>
      </w:r>
      <w:r w:rsidRPr="008A2411">
        <w:rPr>
          <w:rFonts w:ascii="Times New Roman"/>
          <w:color w:val="000000" w:themeColor="text1"/>
          <w:kern w:val="2"/>
          <w:szCs w:val="22"/>
        </w:rPr>
        <w:t>8</w:t>
      </w:r>
      <w:r w:rsidRPr="008A2411">
        <w:rPr>
          <w:rFonts w:ascii="Times New Roman"/>
          <w:color w:val="000000" w:themeColor="text1"/>
          <w:kern w:val="2"/>
          <w:szCs w:val="22"/>
        </w:rPr>
        <w:t>月，原四川省环境保护厅召集审查了原规划环境影响报告书并出具审查意见（川环建函〔</w:t>
      </w:r>
      <w:r w:rsidRPr="008A2411">
        <w:rPr>
          <w:rFonts w:ascii="Times New Roman"/>
          <w:color w:val="000000" w:themeColor="text1"/>
          <w:kern w:val="2"/>
          <w:szCs w:val="22"/>
        </w:rPr>
        <w:t>2013</w:t>
      </w:r>
      <w:r w:rsidRPr="008A2411">
        <w:rPr>
          <w:rFonts w:ascii="Times New Roman"/>
          <w:color w:val="000000" w:themeColor="text1"/>
          <w:kern w:val="2"/>
          <w:szCs w:val="22"/>
        </w:rPr>
        <w:t>〕</w:t>
      </w:r>
      <w:r w:rsidRPr="008A2411">
        <w:rPr>
          <w:rFonts w:ascii="Times New Roman"/>
          <w:color w:val="000000" w:themeColor="text1"/>
          <w:kern w:val="2"/>
          <w:szCs w:val="22"/>
        </w:rPr>
        <w:t>196</w:t>
      </w:r>
      <w:r w:rsidRPr="008A2411">
        <w:rPr>
          <w:rFonts w:ascii="Times New Roman"/>
          <w:color w:val="000000" w:themeColor="text1"/>
          <w:kern w:val="2"/>
          <w:szCs w:val="22"/>
        </w:rPr>
        <w:t>号）。</w:t>
      </w:r>
      <w:r w:rsidRPr="008A2411">
        <w:rPr>
          <w:rFonts w:ascii="Times New Roman"/>
          <w:color w:val="000000" w:themeColor="text1"/>
          <w:kern w:val="2"/>
          <w:szCs w:val="22"/>
        </w:rPr>
        <w:t>2014</w:t>
      </w:r>
      <w:r w:rsidRPr="008A2411">
        <w:rPr>
          <w:rFonts w:ascii="Times New Roman"/>
          <w:color w:val="000000" w:themeColor="text1"/>
          <w:kern w:val="2"/>
          <w:szCs w:val="22"/>
        </w:rPr>
        <w:t>年，宣汉县对经开区规划进行了调整，</w:t>
      </w:r>
      <w:r w:rsidRPr="008A2411">
        <w:rPr>
          <w:rFonts w:ascii="Times New Roman"/>
          <w:color w:val="000000" w:themeColor="text1"/>
          <w:kern w:val="2"/>
          <w:szCs w:val="22"/>
        </w:rPr>
        <w:t>2016</w:t>
      </w:r>
      <w:r w:rsidRPr="008A2411">
        <w:rPr>
          <w:rFonts w:ascii="Times New Roman"/>
          <w:color w:val="000000" w:themeColor="text1"/>
          <w:kern w:val="2"/>
          <w:szCs w:val="22"/>
        </w:rPr>
        <w:t>年</w:t>
      </w:r>
      <w:r w:rsidRPr="008A2411">
        <w:rPr>
          <w:rFonts w:ascii="Times New Roman"/>
          <w:color w:val="000000" w:themeColor="text1"/>
          <w:kern w:val="2"/>
          <w:szCs w:val="22"/>
        </w:rPr>
        <w:t>1</w:t>
      </w:r>
      <w:r w:rsidRPr="008A2411">
        <w:rPr>
          <w:rFonts w:ascii="Times New Roman"/>
          <w:color w:val="000000" w:themeColor="text1"/>
          <w:kern w:val="2"/>
          <w:szCs w:val="22"/>
        </w:rPr>
        <w:t>月，原四川省环境保护厅召集审查了规划调整环境影响报告书并出具审查意见（川环建函</w:t>
      </w:r>
      <w:proofErr w:type="gramStart"/>
      <w:r w:rsidRPr="008A2411">
        <w:rPr>
          <w:rFonts w:ascii="Times New Roman"/>
          <w:color w:val="000000" w:themeColor="text1"/>
          <w:kern w:val="2"/>
          <w:szCs w:val="22"/>
        </w:rPr>
        <w:t>〔</w:t>
      </w:r>
      <w:proofErr w:type="gramEnd"/>
      <w:r w:rsidRPr="008A2411">
        <w:rPr>
          <w:rFonts w:ascii="Times New Roman"/>
          <w:color w:val="000000" w:themeColor="text1"/>
          <w:kern w:val="2"/>
          <w:szCs w:val="22"/>
        </w:rPr>
        <w:t>2016]3</w:t>
      </w:r>
      <w:r w:rsidRPr="008A2411">
        <w:rPr>
          <w:rFonts w:ascii="Times New Roman"/>
          <w:color w:val="000000" w:themeColor="text1"/>
          <w:kern w:val="2"/>
          <w:szCs w:val="22"/>
        </w:rPr>
        <w:t>号</w:t>
      </w:r>
      <w:r w:rsidRPr="008A2411">
        <w:rPr>
          <w:rFonts w:ascii="Times New Roman"/>
          <w:color w:val="000000" w:themeColor="text1"/>
          <w:kern w:val="2"/>
          <w:szCs w:val="22"/>
        </w:rPr>
        <w:t>)</w:t>
      </w:r>
      <w:r w:rsidRPr="008A2411">
        <w:rPr>
          <w:rFonts w:ascii="Times New Roman"/>
          <w:color w:val="000000" w:themeColor="text1"/>
          <w:kern w:val="2"/>
          <w:szCs w:val="22"/>
        </w:rPr>
        <w:t>。</w:t>
      </w:r>
      <w:r w:rsidRPr="008A2411">
        <w:rPr>
          <w:rFonts w:ascii="Times New Roman"/>
          <w:color w:val="000000" w:themeColor="text1"/>
          <w:kern w:val="2"/>
          <w:szCs w:val="22"/>
        </w:rPr>
        <w:t xml:space="preserve"> </w:t>
      </w:r>
    </w:p>
    <w:p w14:paraId="34E77BAE" w14:textId="77777777" w:rsidR="00B0005F" w:rsidRPr="008A2411" w:rsidRDefault="00000000">
      <w:pPr>
        <w:widowControl/>
        <w:adjustRightInd w:val="0"/>
        <w:snapToGrid w:val="0"/>
        <w:spacing w:line="360" w:lineRule="auto"/>
        <w:ind w:firstLineChars="200" w:firstLine="480"/>
        <w:jc w:val="left"/>
        <w:rPr>
          <w:rFonts w:ascii="Times New Roman"/>
          <w:color w:val="000000" w:themeColor="text1"/>
          <w:kern w:val="2"/>
          <w:szCs w:val="22"/>
        </w:rPr>
      </w:pPr>
      <w:r w:rsidRPr="008A2411">
        <w:rPr>
          <w:rFonts w:ascii="Times New Roman"/>
          <w:color w:val="000000" w:themeColor="text1"/>
          <w:kern w:val="2"/>
          <w:szCs w:val="22"/>
        </w:rPr>
        <w:t>2018</w:t>
      </w:r>
      <w:r w:rsidRPr="008A2411">
        <w:rPr>
          <w:rFonts w:ascii="Times New Roman"/>
          <w:color w:val="000000" w:themeColor="text1"/>
          <w:kern w:val="2"/>
          <w:szCs w:val="22"/>
        </w:rPr>
        <w:t>年</w:t>
      </w:r>
      <w:r w:rsidRPr="008A2411">
        <w:rPr>
          <w:rFonts w:ascii="Times New Roman"/>
          <w:color w:val="000000" w:themeColor="text1"/>
          <w:kern w:val="2"/>
          <w:szCs w:val="22"/>
        </w:rPr>
        <w:t>3</w:t>
      </w:r>
      <w:r w:rsidRPr="008A2411">
        <w:rPr>
          <w:rFonts w:ascii="Times New Roman"/>
          <w:color w:val="000000" w:themeColor="text1"/>
          <w:kern w:val="2"/>
          <w:szCs w:val="22"/>
        </w:rPr>
        <w:t>月，经国务院批准，普光经开区纳入《中国开发区审核公告目录》（</w:t>
      </w:r>
      <w:r w:rsidRPr="008A2411">
        <w:rPr>
          <w:rFonts w:ascii="Times New Roman"/>
          <w:color w:val="000000" w:themeColor="text1"/>
          <w:kern w:val="2"/>
          <w:szCs w:val="22"/>
        </w:rPr>
        <w:t>2018</w:t>
      </w:r>
      <w:r w:rsidRPr="008A2411">
        <w:rPr>
          <w:rFonts w:ascii="Times New Roman"/>
          <w:color w:val="000000" w:themeColor="text1"/>
          <w:kern w:val="2"/>
          <w:szCs w:val="22"/>
        </w:rPr>
        <w:t>年版），主导产业为天然气化工、建材、新材料。</w:t>
      </w:r>
      <w:r w:rsidRPr="008A2411">
        <w:rPr>
          <w:rFonts w:ascii="Times New Roman"/>
          <w:color w:val="000000" w:themeColor="text1"/>
          <w:kern w:val="2"/>
          <w:szCs w:val="22"/>
        </w:rPr>
        <w:t>2019</w:t>
      </w:r>
      <w:r w:rsidRPr="008A2411">
        <w:rPr>
          <w:rFonts w:ascii="Times New Roman"/>
          <w:color w:val="000000" w:themeColor="text1"/>
          <w:kern w:val="2"/>
          <w:szCs w:val="22"/>
        </w:rPr>
        <w:t>年</w:t>
      </w:r>
      <w:r w:rsidRPr="008A2411">
        <w:rPr>
          <w:rFonts w:ascii="Times New Roman"/>
          <w:color w:val="000000" w:themeColor="text1"/>
          <w:kern w:val="2"/>
          <w:szCs w:val="22"/>
        </w:rPr>
        <w:t>1</w:t>
      </w:r>
      <w:r w:rsidRPr="008A2411">
        <w:rPr>
          <w:rFonts w:ascii="Times New Roman"/>
          <w:color w:val="000000" w:themeColor="text1"/>
          <w:kern w:val="2"/>
          <w:szCs w:val="22"/>
        </w:rPr>
        <w:t>月，经省人</w:t>
      </w:r>
      <w:r w:rsidRPr="008A2411">
        <w:rPr>
          <w:rFonts w:ascii="Times New Roman"/>
          <w:color w:val="000000" w:themeColor="text1"/>
          <w:kern w:val="2"/>
          <w:szCs w:val="22"/>
        </w:rPr>
        <w:lastRenderedPageBreak/>
        <w:t>民政府批准设立为省级开发区（川府函〔</w:t>
      </w:r>
      <w:r w:rsidRPr="008A2411">
        <w:rPr>
          <w:rFonts w:ascii="Times New Roman"/>
          <w:color w:val="000000" w:themeColor="text1"/>
          <w:kern w:val="2"/>
          <w:szCs w:val="22"/>
        </w:rPr>
        <w:t>2019</w:t>
      </w:r>
      <w:r w:rsidRPr="008A2411">
        <w:rPr>
          <w:rFonts w:ascii="Times New Roman"/>
          <w:color w:val="000000" w:themeColor="text1"/>
          <w:kern w:val="2"/>
          <w:szCs w:val="22"/>
        </w:rPr>
        <w:t>〕</w:t>
      </w:r>
      <w:r w:rsidRPr="008A2411">
        <w:rPr>
          <w:rFonts w:ascii="Times New Roman"/>
          <w:color w:val="000000" w:themeColor="text1"/>
          <w:kern w:val="2"/>
          <w:szCs w:val="22"/>
        </w:rPr>
        <w:t>20</w:t>
      </w:r>
      <w:r w:rsidRPr="008A2411">
        <w:rPr>
          <w:rFonts w:ascii="Times New Roman"/>
          <w:color w:val="000000" w:themeColor="text1"/>
          <w:kern w:val="2"/>
          <w:szCs w:val="22"/>
        </w:rPr>
        <w:t>号），主导产业为天然气化工、建材、新材料，核准面积</w:t>
      </w:r>
      <w:r w:rsidRPr="008A2411">
        <w:rPr>
          <w:rFonts w:ascii="Times New Roman"/>
          <w:color w:val="000000" w:themeColor="text1"/>
          <w:kern w:val="2"/>
          <w:szCs w:val="22"/>
        </w:rPr>
        <w:t>1.0975km</w:t>
      </w:r>
      <w:r w:rsidRPr="008A2411">
        <w:rPr>
          <w:rFonts w:ascii="Times New Roman"/>
          <w:color w:val="000000" w:themeColor="text1"/>
          <w:kern w:val="2"/>
          <w:szCs w:val="22"/>
          <w:vertAlign w:val="superscript"/>
        </w:rPr>
        <w:t>2</w:t>
      </w:r>
      <w:r w:rsidRPr="008A2411">
        <w:rPr>
          <w:rFonts w:ascii="Times New Roman"/>
          <w:color w:val="000000" w:themeColor="text1"/>
          <w:kern w:val="2"/>
          <w:szCs w:val="22"/>
        </w:rPr>
        <w:t>。</w:t>
      </w:r>
      <w:r w:rsidRPr="008A2411">
        <w:rPr>
          <w:rFonts w:ascii="Times New Roman"/>
          <w:color w:val="000000" w:themeColor="text1"/>
          <w:kern w:val="2"/>
          <w:szCs w:val="22"/>
        </w:rPr>
        <w:t xml:space="preserve"> </w:t>
      </w:r>
    </w:p>
    <w:p w14:paraId="2F8095FB" w14:textId="77777777" w:rsidR="00B0005F" w:rsidRPr="008A2411" w:rsidRDefault="00000000">
      <w:pPr>
        <w:widowControl/>
        <w:adjustRightInd w:val="0"/>
        <w:snapToGrid w:val="0"/>
        <w:spacing w:line="360" w:lineRule="auto"/>
        <w:ind w:firstLineChars="200" w:firstLine="480"/>
        <w:rPr>
          <w:rFonts w:ascii="Times New Roman"/>
          <w:color w:val="000000" w:themeColor="text1"/>
          <w:kern w:val="2"/>
          <w:szCs w:val="22"/>
        </w:rPr>
      </w:pPr>
      <w:r w:rsidRPr="008A2411">
        <w:rPr>
          <w:rFonts w:ascii="Times New Roman"/>
          <w:color w:val="000000" w:themeColor="text1"/>
          <w:kern w:val="2"/>
          <w:szCs w:val="22"/>
        </w:rPr>
        <w:t>为适应下一步</w:t>
      </w:r>
      <w:proofErr w:type="gramStart"/>
      <w:r w:rsidRPr="008A2411">
        <w:rPr>
          <w:rFonts w:ascii="Times New Roman"/>
          <w:color w:val="000000" w:themeColor="text1"/>
          <w:kern w:val="2"/>
          <w:szCs w:val="22"/>
        </w:rPr>
        <w:t>宣汉锂钾卤水</w:t>
      </w:r>
      <w:proofErr w:type="gramEnd"/>
      <w:r w:rsidRPr="008A2411">
        <w:rPr>
          <w:rFonts w:ascii="Times New Roman"/>
          <w:color w:val="000000" w:themeColor="text1"/>
          <w:kern w:val="2"/>
          <w:szCs w:val="22"/>
        </w:rPr>
        <w:t>资源综合开发需要，同时兼顾园区各功能组团的发展需求，四川达州普光经开区管委会</w:t>
      </w:r>
      <w:r w:rsidRPr="008A2411">
        <w:rPr>
          <w:rFonts w:ascii="Times New Roman"/>
          <w:color w:val="000000" w:themeColor="text1"/>
          <w:kern w:val="2"/>
          <w:szCs w:val="22"/>
        </w:rPr>
        <w:t xml:space="preserve"> 2019</w:t>
      </w:r>
      <w:r w:rsidRPr="008A2411">
        <w:rPr>
          <w:rFonts w:ascii="Times New Roman"/>
          <w:color w:val="000000" w:themeColor="text1"/>
          <w:kern w:val="2"/>
          <w:szCs w:val="22"/>
        </w:rPr>
        <w:t>年组织编制了《四川达州普光经济开发区总体规划</w:t>
      </w:r>
      <w:r w:rsidRPr="008A2411">
        <w:rPr>
          <w:rFonts w:ascii="Times New Roman"/>
          <w:color w:val="000000" w:themeColor="text1"/>
          <w:kern w:val="2"/>
          <w:szCs w:val="22"/>
        </w:rPr>
        <w:t>( 2019-2035 )</w:t>
      </w:r>
      <w:r w:rsidRPr="008A2411">
        <w:rPr>
          <w:rFonts w:ascii="Times New Roman"/>
          <w:color w:val="000000" w:themeColor="text1"/>
          <w:kern w:val="2"/>
          <w:szCs w:val="22"/>
        </w:rPr>
        <w:t>》，总规划面积</w:t>
      </w:r>
      <w:r w:rsidRPr="008A2411">
        <w:rPr>
          <w:rFonts w:ascii="Times New Roman"/>
          <w:color w:val="000000" w:themeColor="text1"/>
          <w:kern w:val="2"/>
          <w:szCs w:val="22"/>
        </w:rPr>
        <w:t xml:space="preserve"> 29.95km</w:t>
      </w:r>
      <w:r w:rsidRPr="008A2411">
        <w:rPr>
          <w:rFonts w:ascii="Times New Roman"/>
          <w:color w:val="000000" w:themeColor="text1"/>
          <w:kern w:val="2"/>
          <w:szCs w:val="22"/>
          <w:vertAlign w:val="superscript"/>
        </w:rPr>
        <w:t>2</w:t>
      </w:r>
      <w:r w:rsidRPr="008A2411">
        <w:rPr>
          <w:rFonts w:ascii="Times New Roman"/>
          <w:color w:val="000000" w:themeColor="text1"/>
          <w:kern w:val="2"/>
          <w:szCs w:val="22"/>
        </w:rPr>
        <w:t>。</w:t>
      </w:r>
    </w:p>
    <w:p w14:paraId="73069ADE"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kern w:val="2"/>
          <w:szCs w:val="22"/>
        </w:rPr>
        <w:t>普</w:t>
      </w:r>
      <w:proofErr w:type="gramStart"/>
      <w:r w:rsidRPr="008A2411">
        <w:rPr>
          <w:rFonts w:ascii="Times New Roman"/>
          <w:color w:val="000000" w:themeColor="text1"/>
          <w:kern w:val="2"/>
          <w:szCs w:val="22"/>
        </w:rPr>
        <w:t>光功能</w:t>
      </w:r>
      <w:proofErr w:type="gramEnd"/>
      <w:r w:rsidRPr="008A2411">
        <w:rPr>
          <w:rFonts w:ascii="Times New Roman"/>
          <w:color w:val="000000" w:themeColor="text1"/>
          <w:kern w:val="2"/>
          <w:szCs w:val="22"/>
        </w:rPr>
        <w:t>区西北向杏树村延伸，西面向双树村延伸，北面延伸至园区污水处理厂，</w:t>
      </w:r>
      <w:proofErr w:type="gramStart"/>
      <w:r w:rsidRPr="008A2411">
        <w:rPr>
          <w:rFonts w:ascii="Times New Roman"/>
          <w:color w:val="000000" w:themeColor="text1"/>
          <w:kern w:val="2"/>
          <w:szCs w:val="22"/>
        </w:rPr>
        <w:t>东面为普黄</w:t>
      </w:r>
      <w:proofErr w:type="gramEnd"/>
      <w:r w:rsidRPr="008A2411">
        <w:rPr>
          <w:rFonts w:ascii="Times New Roman"/>
          <w:color w:val="000000" w:themeColor="text1"/>
          <w:kern w:val="2"/>
          <w:szCs w:val="22"/>
        </w:rPr>
        <w:t>公路，南面靠近现状土主乡场镇，规划面积</w:t>
      </w:r>
      <w:r w:rsidRPr="008A2411">
        <w:rPr>
          <w:rFonts w:ascii="Times New Roman"/>
          <w:color w:val="000000" w:themeColor="text1"/>
          <w:kern w:val="2"/>
          <w:szCs w:val="22"/>
        </w:rPr>
        <w:t xml:space="preserve"> 15.1227km</w:t>
      </w:r>
      <w:r w:rsidRPr="008A2411">
        <w:rPr>
          <w:rFonts w:ascii="Times New Roman"/>
          <w:color w:val="000000" w:themeColor="text1"/>
          <w:kern w:val="2"/>
          <w:szCs w:val="22"/>
          <w:vertAlign w:val="superscript"/>
        </w:rPr>
        <w:t>2</w:t>
      </w:r>
      <w:r w:rsidRPr="008A2411">
        <w:rPr>
          <w:rFonts w:ascii="Times New Roman"/>
          <w:color w:val="000000" w:themeColor="text1"/>
          <w:kern w:val="2"/>
          <w:szCs w:val="22"/>
        </w:rPr>
        <w:t>。主导产业为天然气相关产业（天然气化工、硫化工）、</w:t>
      </w:r>
      <w:proofErr w:type="gramStart"/>
      <w:r w:rsidRPr="008A2411">
        <w:rPr>
          <w:rFonts w:ascii="Times New Roman"/>
          <w:color w:val="000000" w:themeColor="text1"/>
          <w:kern w:val="2"/>
          <w:szCs w:val="22"/>
        </w:rPr>
        <w:t>锂钾综合开发</w:t>
      </w:r>
      <w:proofErr w:type="gramEnd"/>
      <w:r w:rsidRPr="008A2411">
        <w:rPr>
          <w:rFonts w:ascii="Times New Roman"/>
          <w:color w:val="000000" w:themeColor="text1"/>
          <w:kern w:val="2"/>
          <w:szCs w:val="22"/>
        </w:rPr>
        <w:t>产业</w:t>
      </w:r>
      <w:r w:rsidRPr="008A2411">
        <w:rPr>
          <w:rFonts w:ascii="Times New Roman"/>
          <w:color w:val="000000" w:themeColor="text1"/>
          <w:kern w:val="2"/>
          <w:szCs w:val="22"/>
        </w:rPr>
        <w:t>(</w:t>
      </w:r>
      <w:r w:rsidRPr="008A2411">
        <w:rPr>
          <w:rFonts w:ascii="Times New Roman"/>
          <w:color w:val="000000" w:themeColor="text1"/>
          <w:kern w:val="2"/>
          <w:szCs w:val="22"/>
        </w:rPr>
        <w:t>含卤水资源提取、锂离。</w:t>
      </w:r>
    </w:p>
    <w:p w14:paraId="5F702AF0" w14:textId="77777777" w:rsidR="00B0005F" w:rsidRPr="008A2411" w:rsidRDefault="00000000">
      <w:pPr>
        <w:widowControl/>
        <w:adjustRightInd w:val="0"/>
        <w:snapToGrid w:val="0"/>
        <w:spacing w:line="360" w:lineRule="auto"/>
        <w:ind w:firstLineChars="200" w:firstLine="480"/>
        <w:rPr>
          <w:rFonts w:ascii="Times New Roman"/>
          <w:color w:val="000000" w:themeColor="text1"/>
          <w:kern w:val="2"/>
          <w:szCs w:val="22"/>
        </w:rPr>
      </w:pPr>
      <w:r w:rsidRPr="008A2411">
        <w:rPr>
          <w:rFonts w:ascii="Times New Roman"/>
          <w:color w:val="000000" w:themeColor="text1"/>
          <w:kern w:val="2"/>
          <w:szCs w:val="22"/>
        </w:rPr>
        <w:t>普</w:t>
      </w:r>
      <w:proofErr w:type="gramStart"/>
      <w:r w:rsidRPr="008A2411">
        <w:rPr>
          <w:rFonts w:ascii="Times New Roman"/>
          <w:color w:val="000000" w:themeColor="text1"/>
          <w:kern w:val="2"/>
          <w:szCs w:val="22"/>
        </w:rPr>
        <w:t>光功能</w:t>
      </w:r>
      <w:proofErr w:type="gramEnd"/>
      <w:r w:rsidRPr="008A2411">
        <w:rPr>
          <w:rFonts w:ascii="Times New Roman"/>
          <w:color w:val="000000" w:themeColor="text1"/>
          <w:kern w:val="2"/>
          <w:szCs w:val="22"/>
        </w:rPr>
        <w:t>区供排水：</w:t>
      </w:r>
      <w:r w:rsidRPr="008A2411">
        <w:rPr>
          <w:rFonts w:ascii="Times New Roman"/>
          <w:color w:val="000000" w:themeColor="text1"/>
          <w:kern w:val="2"/>
          <w:szCs w:val="22"/>
        </w:rPr>
        <w:t xml:space="preserve"> </w:t>
      </w:r>
    </w:p>
    <w:p w14:paraId="6D2C0F6D" w14:textId="77777777" w:rsidR="00B0005F" w:rsidRPr="008A2411" w:rsidRDefault="00000000">
      <w:pPr>
        <w:widowControl/>
        <w:adjustRightInd w:val="0"/>
        <w:snapToGrid w:val="0"/>
        <w:spacing w:line="360" w:lineRule="auto"/>
        <w:ind w:firstLineChars="200" w:firstLine="480"/>
        <w:rPr>
          <w:rFonts w:ascii="Times New Roman"/>
          <w:color w:val="000000" w:themeColor="text1"/>
          <w:kern w:val="2"/>
          <w:szCs w:val="22"/>
        </w:rPr>
      </w:pPr>
      <w:r w:rsidRPr="008A2411">
        <w:rPr>
          <w:rFonts w:ascii="Times New Roman"/>
          <w:color w:val="000000" w:themeColor="text1"/>
          <w:kern w:val="2"/>
          <w:szCs w:val="22"/>
        </w:rPr>
        <w:t>供水：由《宣汉县城市总体规划（</w:t>
      </w:r>
      <w:r w:rsidRPr="008A2411">
        <w:rPr>
          <w:rFonts w:ascii="Times New Roman"/>
          <w:color w:val="000000" w:themeColor="text1"/>
          <w:kern w:val="2"/>
          <w:szCs w:val="22"/>
        </w:rPr>
        <w:t>2013</w:t>
      </w:r>
      <w:r w:rsidRPr="008A2411">
        <w:rPr>
          <w:rFonts w:ascii="Times New Roman"/>
          <w:color w:val="000000" w:themeColor="text1"/>
          <w:kern w:val="2"/>
          <w:szCs w:val="22"/>
        </w:rPr>
        <w:t>－</w:t>
      </w:r>
      <w:r w:rsidRPr="008A2411">
        <w:rPr>
          <w:rFonts w:ascii="Times New Roman"/>
          <w:color w:val="000000" w:themeColor="text1"/>
          <w:kern w:val="2"/>
          <w:szCs w:val="22"/>
        </w:rPr>
        <w:t>2030</w:t>
      </w:r>
      <w:r w:rsidRPr="008A2411">
        <w:rPr>
          <w:rFonts w:ascii="Times New Roman"/>
          <w:color w:val="000000" w:themeColor="text1"/>
          <w:kern w:val="2"/>
          <w:szCs w:val="22"/>
        </w:rPr>
        <w:t>）》规划于普光老镇区中河上游附近新建的水厂（远期规模为</w:t>
      </w:r>
      <w:r w:rsidRPr="008A2411">
        <w:rPr>
          <w:rFonts w:ascii="Times New Roman"/>
          <w:color w:val="000000" w:themeColor="text1"/>
          <w:kern w:val="2"/>
          <w:szCs w:val="22"/>
        </w:rPr>
        <w:t>3.6</w:t>
      </w:r>
      <w:r w:rsidRPr="008A2411">
        <w:rPr>
          <w:rFonts w:ascii="Times New Roman"/>
          <w:color w:val="000000" w:themeColor="text1"/>
          <w:kern w:val="2"/>
          <w:szCs w:val="22"/>
        </w:rPr>
        <w:t>万</w:t>
      </w:r>
      <w:r w:rsidRPr="008A2411">
        <w:rPr>
          <w:rFonts w:ascii="Times New Roman"/>
          <w:color w:val="000000" w:themeColor="text1"/>
          <w:kern w:val="2"/>
          <w:szCs w:val="22"/>
        </w:rPr>
        <w:t>m</w:t>
      </w:r>
      <w:r w:rsidRPr="008A2411">
        <w:rPr>
          <w:rFonts w:ascii="Times New Roman"/>
          <w:color w:val="000000" w:themeColor="text1"/>
          <w:kern w:val="2"/>
          <w:szCs w:val="22"/>
          <w:vertAlign w:val="superscript"/>
        </w:rPr>
        <w:t>3</w:t>
      </w:r>
      <w:r w:rsidRPr="008A2411">
        <w:rPr>
          <w:rFonts w:ascii="Times New Roman"/>
          <w:color w:val="000000" w:themeColor="text1"/>
          <w:kern w:val="2"/>
          <w:szCs w:val="22"/>
        </w:rPr>
        <w:t>/d</w:t>
      </w:r>
      <w:r w:rsidRPr="008A2411">
        <w:rPr>
          <w:rFonts w:ascii="Times New Roman"/>
          <w:color w:val="000000" w:themeColor="text1"/>
          <w:kern w:val="2"/>
          <w:szCs w:val="22"/>
        </w:rPr>
        <w:t>）提供，普光净化厂用水自行解决。</w:t>
      </w:r>
      <w:r w:rsidRPr="008A2411">
        <w:rPr>
          <w:rFonts w:ascii="Times New Roman"/>
          <w:color w:val="000000" w:themeColor="text1"/>
          <w:kern w:val="2"/>
          <w:szCs w:val="22"/>
        </w:rPr>
        <w:t xml:space="preserve"> </w:t>
      </w:r>
    </w:p>
    <w:p w14:paraId="4E58CB6C" w14:textId="77777777" w:rsidR="00B0005F" w:rsidRPr="008A2411" w:rsidRDefault="00000000">
      <w:pPr>
        <w:widowControl/>
        <w:adjustRightInd w:val="0"/>
        <w:snapToGrid w:val="0"/>
        <w:spacing w:line="360" w:lineRule="auto"/>
        <w:ind w:firstLineChars="200" w:firstLine="480"/>
        <w:rPr>
          <w:rFonts w:ascii="Times New Roman"/>
          <w:color w:val="000000" w:themeColor="text1"/>
          <w:kern w:val="2"/>
          <w:szCs w:val="22"/>
        </w:rPr>
      </w:pPr>
      <w:r w:rsidRPr="008A2411">
        <w:rPr>
          <w:rFonts w:ascii="Times New Roman"/>
          <w:color w:val="000000" w:themeColor="text1"/>
          <w:kern w:val="2"/>
          <w:szCs w:val="22"/>
        </w:rPr>
        <w:t>排水：污水集中排至普光工业园区污水处理厂，达标后排入水体。</w:t>
      </w:r>
    </w:p>
    <w:p w14:paraId="3F80CDC5" w14:textId="6D1362C6" w:rsidR="00B0005F" w:rsidRPr="008A2411" w:rsidRDefault="00000000" w:rsidP="00CF1571">
      <w:pPr>
        <w:adjustRightInd w:val="0"/>
        <w:spacing w:line="360" w:lineRule="auto"/>
        <w:ind w:firstLine="480"/>
        <w:rPr>
          <w:rFonts w:ascii="Times New Roman"/>
          <w:color w:val="000000" w:themeColor="text1"/>
          <w:kern w:val="2"/>
          <w:szCs w:val="22"/>
        </w:rPr>
      </w:pPr>
      <w:r w:rsidRPr="008A2411">
        <w:rPr>
          <w:rFonts w:ascii="Times New Roman"/>
          <w:color w:val="000000" w:themeColor="text1"/>
        </w:rPr>
        <w:t>本项</w:t>
      </w:r>
      <w:r w:rsidRPr="008A2411">
        <w:rPr>
          <w:rFonts w:ascii="Times New Roman"/>
          <w:color w:val="000000" w:themeColor="text1"/>
          <w:kern w:val="2"/>
          <w:szCs w:val="22"/>
        </w:rPr>
        <w:t>目</w:t>
      </w:r>
      <w:r w:rsidRPr="008A2411">
        <w:rPr>
          <w:rFonts w:ascii="Times New Roman" w:hint="eastAsia"/>
          <w:color w:val="000000" w:themeColor="text1"/>
          <w:kern w:val="2"/>
          <w:szCs w:val="22"/>
        </w:rPr>
        <w:t>为天然气液化生产项目，为园区主导发展的产业，且项目拟建地</w:t>
      </w:r>
      <w:r w:rsidRPr="008A2411">
        <w:rPr>
          <w:rFonts w:ascii="Times New Roman"/>
          <w:color w:val="000000" w:themeColor="text1"/>
          <w:kern w:val="2"/>
          <w:szCs w:val="22"/>
        </w:rPr>
        <w:t>位于达州市宣汉县普光化工园区普</w:t>
      </w:r>
      <w:proofErr w:type="gramStart"/>
      <w:r w:rsidRPr="008A2411">
        <w:rPr>
          <w:rFonts w:ascii="Times New Roman"/>
          <w:color w:val="000000" w:themeColor="text1"/>
          <w:kern w:val="2"/>
          <w:szCs w:val="22"/>
        </w:rPr>
        <w:t>光功能</w:t>
      </w:r>
      <w:proofErr w:type="gramEnd"/>
      <w:r w:rsidRPr="008A2411">
        <w:rPr>
          <w:rFonts w:ascii="Times New Roman"/>
          <w:color w:val="000000" w:themeColor="text1"/>
          <w:kern w:val="2"/>
          <w:szCs w:val="22"/>
        </w:rPr>
        <w:t>区</w:t>
      </w:r>
      <w:r w:rsidR="00CF1571" w:rsidRPr="008A2411">
        <w:rPr>
          <w:rFonts w:ascii="Times New Roman" w:hint="eastAsia"/>
          <w:color w:val="000000" w:themeColor="text1"/>
          <w:kern w:val="2"/>
          <w:szCs w:val="22"/>
        </w:rPr>
        <w:t>。本项目</w:t>
      </w:r>
      <w:r w:rsidR="00CF1571" w:rsidRPr="008A2411">
        <w:rPr>
          <w:rFonts w:ascii="Times New Roman"/>
          <w:color w:val="000000" w:themeColor="text1"/>
          <w:kern w:val="2"/>
          <w:szCs w:val="22"/>
        </w:rPr>
        <w:t>为新增占地建设，</w:t>
      </w:r>
      <w:r w:rsidR="00CF1571" w:rsidRPr="008A2411">
        <w:rPr>
          <w:rFonts w:ascii="Times New Roman" w:hint="eastAsia"/>
          <w:color w:val="000000" w:themeColor="text1"/>
          <w:kern w:val="2"/>
          <w:szCs w:val="22"/>
        </w:rPr>
        <w:t>根据园区土地利用规划（见附图</w:t>
      </w:r>
      <w:r w:rsidR="00CF1571" w:rsidRPr="008A2411">
        <w:rPr>
          <w:rFonts w:ascii="Times New Roman" w:hint="eastAsia"/>
          <w:color w:val="000000" w:themeColor="text1"/>
          <w:kern w:val="2"/>
          <w:szCs w:val="22"/>
        </w:rPr>
        <w:t>13</w:t>
      </w:r>
      <w:r w:rsidR="00CF1571" w:rsidRPr="008A2411">
        <w:rPr>
          <w:rFonts w:ascii="Times New Roman" w:hint="eastAsia"/>
          <w:color w:val="000000" w:themeColor="text1"/>
          <w:kern w:val="2"/>
          <w:szCs w:val="22"/>
        </w:rPr>
        <w:t>），项目拟建地为</w:t>
      </w:r>
      <w:r w:rsidR="00CF1571" w:rsidRPr="008A2411">
        <w:rPr>
          <w:rFonts w:ascii="Times New Roman" w:hint="eastAsia"/>
          <w:color w:val="000000" w:themeColor="text1"/>
          <w:kern w:val="2"/>
          <w:szCs w:val="22"/>
        </w:rPr>
        <w:t>M</w:t>
      </w:r>
      <w:r w:rsidR="00CF1571" w:rsidRPr="008A2411">
        <w:rPr>
          <w:rFonts w:ascii="Times New Roman"/>
          <w:color w:val="000000" w:themeColor="text1"/>
          <w:kern w:val="2"/>
          <w:szCs w:val="22"/>
        </w:rPr>
        <w:t>3</w:t>
      </w:r>
      <w:r w:rsidR="00CF1571" w:rsidRPr="008A2411">
        <w:rPr>
          <w:rFonts w:ascii="Times New Roman" w:hint="eastAsia"/>
          <w:color w:val="000000" w:themeColor="text1"/>
          <w:kern w:val="2"/>
          <w:szCs w:val="22"/>
        </w:rPr>
        <w:t>（三类工业用地），符合园区用地规划要求，</w:t>
      </w:r>
      <w:r w:rsidRPr="008A2411">
        <w:rPr>
          <w:rFonts w:ascii="Times New Roman" w:hint="eastAsia"/>
          <w:color w:val="000000" w:themeColor="text1"/>
        </w:rPr>
        <w:t>项目拟建地块</w:t>
      </w:r>
      <w:r w:rsidR="00CF1571" w:rsidRPr="008A2411">
        <w:rPr>
          <w:rFonts w:ascii="Times New Roman" w:hint="eastAsia"/>
          <w:color w:val="000000" w:themeColor="text1"/>
        </w:rPr>
        <w:t>还</w:t>
      </w:r>
      <w:r w:rsidRPr="008A2411">
        <w:rPr>
          <w:rFonts w:ascii="Times New Roman"/>
          <w:color w:val="000000" w:themeColor="text1"/>
        </w:rPr>
        <w:t>经由</w:t>
      </w:r>
      <w:r w:rsidR="00CF1571" w:rsidRPr="008A2411">
        <w:rPr>
          <w:rFonts w:ascii="Times New Roman" w:hint="eastAsia"/>
          <w:color w:val="000000" w:themeColor="text1"/>
        </w:rPr>
        <w:t>宣汉县</w:t>
      </w:r>
      <w:r w:rsidR="00C437FB" w:rsidRPr="008A2411">
        <w:rPr>
          <w:rFonts w:ascii="Times New Roman" w:hint="eastAsia"/>
          <w:color w:val="000000" w:themeColor="text1"/>
        </w:rPr>
        <w:t>人民</w:t>
      </w:r>
      <w:r w:rsidR="00CF1571" w:rsidRPr="008A2411">
        <w:rPr>
          <w:rFonts w:ascii="Times New Roman" w:hint="eastAsia"/>
          <w:color w:val="000000" w:themeColor="text1"/>
        </w:rPr>
        <w:t>政府，宣汉县规划建设局审核同意（见附件</w:t>
      </w:r>
      <w:r w:rsidR="00CF1571" w:rsidRPr="008A2411">
        <w:rPr>
          <w:rFonts w:ascii="Times New Roman" w:hint="eastAsia"/>
          <w:color w:val="000000" w:themeColor="text1"/>
        </w:rPr>
        <w:t>4</w:t>
      </w:r>
      <w:r w:rsidR="00CF1571" w:rsidRPr="008A2411">
        <w:rPr>
          <w:rFonts w:ascii="Times New Roman" w:hint="eastAsia"/>
          <w:color w:val="000000" w:themeColor="text1"/>
        </w:rPr>
        <w:t>）及</w:t>
      </w:r>
      <w:r w:rsidRPr="008A2411">
        <w:rPr>
          <w:rFonts w:ascii="Times New Roman"/>
          <w:color w:val="000000" w:themeColor="text1"/>
        </w:rPr>
        <w:t>四川达州普光经济开发区管委会确认并同意项目用地和选址</w:t>
      </w:r>
      <w:r w:rsidR="00CF1571" w:rsidRPr="008A2411">
        <w:rPr>
          <w:rFonts w:ascii="Times New Roman" w:hint="eastAsia"/>
          <w:color w:val="000000" w:themeColor="text1"/>
        </w:rPr>
        <w:t>（附件</w:t>
      </w:r>
      <w:r w:rsidR="00CF1571" w:rsidRPr="008A2411">
        <w:rPr>
          <w:rFonts w:ascii="Times New Roman" w:hint="eastAsia"/>
          <w:color w:val="000000" w:themeColor="text1"/>
        </w:rPr>
        <w:t>3</w:t>
      </w:r>
      <w:r w:rsidR="00CF1571" w:rsidRPr="008A2411">
        <w:rPr>
          <w:rFonts w:ascii="Times New Roman" w:hint="eastAsia"/>
          <w:color w:val="000000" w:themeColor="text1"/>
        </w:rPr>
        <w:t>）</w:t>
      </w:r>
      <w:r w:rsidRPr="008A2411">
        <w:rPr>
          <w:rFonts w:ascii="Times New Roman"/>
          <w:color w:val="000000" w:themeColor="text1"/>
        </w:rPr>
        <w:t>。</w:t>
      </w:r>
      <w:r w:rsidRPr="008A2411">
        <w:rPr>
          <w:rFonts w:ascii="Times New Roman" w:hint="eastAsia"/>
          <w:color w:val="000000" w:themeColor="text1"/>
        </w:rPr>
        <w:t>因此</w:t>
      </w:r>
      <w:r w:rsidRPr="008A2411">
        <w:rPr>
          <w:rFonts w:ascii="Times New Roman"/>
          <w:color w:val="000000" w:themeColor="text1"/>
        </w:rPr>
        <w:t>，本项目选址及用地符合宣汉县普光化工园区总体规划和土地利用的相关要求</w:t>
      </w:r>
      <w:r w:rsidRPr="008A2411">
        <w:rPr>
          <w:rFonts w:ascii="Times New Roman" w:hint="eastAsia"/>
          <w:color w:val="000000" w:themeColor="text1"/>
        </w:rPr>
        <w:t>。</w:t>
      </w:r>
    </w:p>
    <w:p w14:paraId="27BC1A7C" w14:textId="77777777" w:rsidR="00B0005F" w:rsidRPr="008A2411" w:rsidRDefault="00000000">
      <w:pPr>
        <w:widowControl/>
        <w:adjustRightInd w:val="0"/>
        <w:snapToGrid w:val="0"/>
        <w:spacing w:line="360" w:lineRule="auto"/>
        <w:ind w:firstLineChars="200" w:firstLine="480"/>
        <w:jc w:val="left"/>
        <w:rPr>
          <w:rFonts w:ascii="Times New Roman"/>
          <w:color w:val="000000" w:themeColor="text1"/>
          <w:kern w:val="2"/>
          <w:szCs w:val="22"/>
        </w:rPr>
      </w:pPr>
      <w:r w:rsidRPr="008A2411">
        <w:rPr>
          <w:rFonts w:ascii="Times New Roman" w:hint="eastAsia"/>
          <w:color w:val="000000" w:themeColor="text1"/>
          <w:kern w:val="2"/>
          <w:szCs w:val="22"/>
        </w:rPr>
        <w:t>（</w:t>
      </w:r>
      <w:r w:rsidRPr="008A2411">
        <w:rPr>
          <w:rFonts w:ascii="Times New Roman" w:hint="eastAsia"/>
          <w:color w:val="000000" w:themeColor="text1"/>
          <w:kern w:val="2"/>
          <w:szCs w:val="22"/>
        </w:rPr>
        <w:t>2</w:t>
      </w:r>
      <w:r w:rsidRPr="008A2411">
        <w:rPr>
          <w:rFonts w:ascii="Times New Roman" w:hint="eastAsia"/>
          <w:color w:val="000000" w:themeColor="text1"/>
          <w:kern w:val="2"/>
          <w:szCs w:val="22"/>
        </w:rPr>
        <w:t>）项目与园区规划环</w:t>
      </w:r>
      <w:proofErr w:type="gramStart"/>
      <w:r w:rsidRPr="008A2411">
        <w:rPr>
          <w:rFonts w:ascii="Times New Roman" w:hint="eastAsia"/>
          <w:color w:val="000000" w:themeColor="text1"/>
          <w:kern w:val="2"/>
          <w:szCs w:val="22"/>
        </w:rPr>
        <w:t>评符合</w:t>
      </w:r>
      <w:proofErr w:type="gramEnd"/>
      <w:r w:rsidRPr="008A2411">
        <w:rPr>
          <w:rFonts w:ascii="Times New Roman" w:hint="eastAsia"/>
          <w:color w:val="000000" w:themeColor="text1"/>
          <w:kern w:val="2"/>
          <w:szCs w:val="22"/>
        </w:rPr>
        <w:t>性分析</w:t>
      </w:r>
    </w:p>
    <w:p w14:paraId="7650CB61"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hint="eastAsia"/>
          <w:color w:val="000000" w:themeColor="text1"/>
        </w:rPr>
        <w:t>根据</w:t>
      </w:r>
      <w:r w:rsidRPr="008A2411">
        <w:rPr>
          <w:rFonts w:ascii="Times New Roman"/>
          <w:color w:val="000000" w:themeColor="text1"/>
        </w:rPr>
        <w:t>原四川省环境保护厅</w:t>
      </w:r>
      <w:r w:rsidRPr="008A2411">
        <w:rPr>
          <w:rFonts w:ascii="Times New Roman" w:hint="eastAsia"/>
          <w:color w:val="000000" w:themeColor="text1"/>
        </w:rPr>
        <w:t>“</w:t>
      </w:r>
      <w:r w:rsidRPr="008A2411">
        <w:rPr>
          <w:rFonts w:ascii="Times New Roman"/>
          <w:color w:val="000000" w:themeColor="text1"/>
        </w:rPr>
        <w:t>关于印发《四川达州普光经济开发区总体规划（</w:t>
      </w:r>
      <w:r w:rsidRPr="008A2411">
        <w:rPr>
          <w:rFonts w:ascii="Times New Roman"/>
          <w:color w:val="000000" w:themeColor="text1"/>
        </w:rPr>
        <w:t>2019-2035</w:t>
      </w:r>
      <w:r w:rsidRPr="008A2411">
        <w:rPr>
          <w:rFonts w:ascii="Times New Roman"/>
          <w:color w:val="000000" w:themeColor="text1"/>
        </w:rPr>
        <w:t>）环境影响报告书》审查意见的函</w:t>
      </w:r>
      <w:r w:rsidRPr="008A2411">
        <w:rPr>
          <w:rFonts w:ascii="Times New Roman" w:hint="eastAsia"/>
          <w:color w:val="000000" w:themeColor="text1"/>
        </w:rPr>
        <w:t>”</w:t>
      </w:r>
      <w:r w:rsidRPr="008A2411">
        <w:rPr>
          <w:rFonts w:ascii="Times New Roman"/>
          <w:color w:val="000000" w:themeColor="text1"/>
        </w:rPr>
        <w:t>（川环建函〔</w:t>
      </w:r>
      <w:r w:rsidRPr="008A2411">
        <w:rPr>
          <w:rFonts w:ascii="Times New Roman"/>
          <w:color w:val="000000" w:themeColor="text1"/>
        </w:rPr>
        <w:t>2021</w:t>
      </w:r>
      <w:r w:rsidRPr="008A2411">
        <w:rPr>
          <w:rFonts w:ascii="Times New Roman"/>
          <w:color w:val="000000" w:themeColor="text1"/>
        </w:rPr>
        <w:t>〕</w:t>
      </w:r>
      <w:r w:rsidRPr="008A2411">
        <w:rPr>
          <w:rFonts w:ascii="Times New Roman"/>
          <w:color w:val="000000" w:themeColor="text1"/>
        </w:rPr>
        <w:t>9</w:t>
      </w:r>
      <w:r w:rsidRPr="008A2411">
        <w:rPr>
          <w:rFonts w:ascii="Times New Roman"/>
          <w:color w:val="000000" w:themeColor="text1"/>
        </w:rPr>
        <w:t>号），该项目用地与达州市宣汉县普光化工园区规划环评的符合性分析见表</w:t>
      </w:r>
      <w:r w:rsidRPr="008A2411">
        <w:rPr>
          <w:rFonts w:ascii="Times New Roman"/>
          <w:color w:val="000000" w:themeColor="text1"/>
        </w:rPr>
        <w:t>2.4-1</w:t>
      </w:r>
      <w:r w:rsidRPr="008A2411">
        <w:rPr>
          <w:rFonts w:ascii="Times New Roman"/>
          <w:color w:val="000000" w:themeColor="text1"/>
        </w:rPr>
        <w:t>。</w:t>
      </w:r>
    </w:p>
    <w:p w14:paraId="14973B42" w14:textId="77777777" w:rsidR="00B0005F" w:rsidRPr="008A2411" w:rsidRDefault="00000000">
      <w:pPr>
        <w:ind w:firstLineChars="200" w:firstLine="420"/>
        <w:jc w:val="center"/>
        <w:rPr>
          <w:rFonts w:ascii="Times New Roman" w:eastAsia="黑体"/>
          <w:color w:val="000000" w:themeColor="text1"/>
          <w:sz w:val="21"/>
          <w:szCs w:val="21"/>
        </w:rPr>
      </w:pPr>
      <w:r w:rsidRPr="008A2411">
        <w:rPr>
          <w:rFonts w:ascii="Times New Roman" w:eastAsia="黑体"/>
          <w:color w:val="000000" w:themeColor="text1"/>
          <w:sz w:val="21"/>
          <w:szCs w:val="21"/>
        </w:rPr>
        <w:t>表</w:t>
      </w:r>
      <w:r w:rsidRPr="008A2411">
        <w:rPr>
          <w:rFonts w:ascii="Times New Roman" w:eastAsia="黑体"/>
          <w:color w:val="000000" w:themeColor="text1"/>
          <w:sz w:val="21"/>
          <w:szCs w:val="21"/>
        </w:rPr>
        <w:t xml:space="preserve">2.4-1  </w:t>
      </w:r>
      <w:r w:rsidRPr="008A2411">
        <w:rPr>
          <w:rFonts w:ascii="Times New Roman" w:eastAsia="黑体"/>
          <w:color w:val="000000" w:themeColor="text1"/>
          <w:sz w:val="21"/>
          <w:szCs w:val="21"/>
        </w:rPr>
        <w:t>项目与</w:t>
      </w:r>
      <w:r w:rsidRPr="008A2411">
        <w:rPr>
          <w:rFonts w:ascii="Times New Roman" w:eastAsia="黑体" w:hint="eastAsia"/>
          <w:color w:val="000000" w:themeColor="text1"/>
          <w:sz w:val="21"/>
          <w:szCs w:val="21"/>
        </w:rPr>
        <w:t>“</w:t>
      </w:r>
      <w:r w:rsidRPr="008A2411">
        <w:rPr>
          <w:rFonts w:ascii="Times New Roman" w:eastAsia="黑体"/>
          <w:color w:val="000000" w:themeColor="text1"/>
          <w:sz w:val="21"/>
          <w:szCs w:val="21"/>
        </w:rPr>
        <w:t>四川达州普光经济开发区发展规划及规划环评</w:t>
      </w:r>
      <w:r w:rsidRPr="008A2411">
        <w:rPr>
          <w:rFonts w:ascii="Times New Roman" w:eastAsia="黑体" w:hint="eastAsia"/>
          <w:color w:val="000000" w:themeColor="text1"/>
          <w:sz w:val="21"/>
          <w:szCs w:val="21"/>
        </w:rPr>
        <w:t>”</w:t>
      </w:r>
      <w:r w:rsidRPr="008A2411">
        <w:rPr>
          <w:rFonts w:ascii="Times New Roman" w:eastAsia="黑体"/>
          <w:color w:val="000000" w:themeColor="text1"/>
          <w:sz w:val="21"/>
          <w:szCs w:val="21"/>
        </w:rPr>
        <w:t>的符合性分析</w:t>
      </w:r>
    </w:p>
    <w:tbl>
      <w:tblPr>
        <w:tblW w:w="499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
        <w:gridCol w:w="792"/>
        <w:gridCol w:w="3707"/>
        <w:gridCol w:w="2577"/>
        <w:gridCol w:w="1017"/>
      </w:tblGrid>
      <w:tr w:rsidR="008A2411" w:rsidRPr="008A2411" w14:paraId="724C1300" w14:textId="77777777">
        <w:trPr>
          <w:trHeight w:val="50"/>
          <w:tblHeader/>
        </w:trPr>
        <w:tc>
          <w:tcPr>
            <w:tcW w:w="241" w:type="pct"/>
            <w:shd w:val="clear" w:color="auto" w:fill="auto"/>
            <w:vAlign w:val="center"/>
          </w:tcPr>
          <w:p w14:paraId="08C8FF90"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w:t>
            </w:r>
          </w:p>
        </w:tc>
        <w:tc>
          <w:tcPr>
            <w:tcW w:w="467" w:type="pct"/>
            <w:shd w:val="clear" w:color="auto" w:fill="auto"/>
            <w:vAlign w:val="center"/>
          </w:tcPr>
          <w:p w14:paraId="2200EDB6"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类别</w:t>
            </w:r>
          </w:p>
        </w:tc>
        <w:tc>
          <w:tcPr>
            <w:tcW w:w="2177" w:type="pct"/>
            <w:shd w:val="clear" w:color="auto" w:fill="auto"/>
            <w:vAlign w:val="center"/>
          </w:tcPr>
          <w:p w14:paraId="18AC3403"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禁止准入</w:t>
            </w:r>
          </w:p>
        </w:tc>
        <w:tc>
          <w:tcPr>
            <w:tcW w:w="1514" w:type="pct"/>
            <w:shd w:val="clear" w:color="auto" w:fill="auto"/>
            <w:vAlign w:val="center"/>
          </w:tcPr>
          <w:p w14:paraId="21542937"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本项目情况</w:t>
            </w:r>
          </w:p>
        </w:tc>
        <w:tc>
          <w:tcPr>
            <w:tcW w:w="599" w:type="pct"/>
            <w:shd w:val="clear" w:color="auto" w:fill="auto"/>
            <w:vAlign w:val="center"/>
          </w:tcPr>
          <w:p w14:paraId="34BDD974"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符合性分析</w:t>
            </w:r>
          </w:p>
        </w:tc>
      </w:tr>
      <w:tr w:rsidR="008A2411" w:rsidRPr="008A2411" w14:paraId="20E5AE66" w14:textId="77777777">
        <w:trPr>
          <w:trHeight w:val="290"/>
        </w:trPr>
        <w:tc>
          <w:tcPr>
            <w:tcW w:w="241" w:type="pct"/>
            <w:vMerge w:val="restart"/>
            <w:shd w:val="clear" w:color="auto" w:fill="auto"/>
            <w:vAlign w:val="center"/>
          </w:tcPr>
          <w:p w14:paraId="6B81DB5C"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总体管</w:t>
            </w:r>
            <w:proofErr w:type="gramStart"/>
            <w:r w:rsidRPr="008A2411">
              <w:rPr>
                <w:rFonts w:ascii="Times New Roman" w:eastAsiaTheme="minorEastAsia"/>
                <w:color w:val="000000" w:themeColor="text1"/>
                <w:sz w:val="21"/>
                <w:szCs w:val="21"/>
              </w:rPr>
              <w:t>控要求</w:t>
            </w:r>
            <w:proofErr w:type="gramEnd"/>
            <w:r w:rsidRPr="008A2411">
              <w:rPr>
                <w:rFonts w:ascii="Times New Roman" w:eastAsiaTheme="minorEastAsia"/>
                <w:color w:val="000000" w:themeColor="text1"/>
                <w:sz w:val="21"/>
                <w:szCs w:val="21"/>
              </w:rPr>
              <w:lastRenderedPageBreak/>
              <w:t>及准入清单</w:t>
            </w:r>
          </w:p>
        </w:tc>
        <w:tc>
          <w:tcPr>
            <w:tcW w:w="467" w:type="pct"/>
            <w:shd w:val="clear" w:color="auto" w:fill="auto"/>
            <w:vAlign w:val="center"/>
          </w:tcPr>
          <w:p w14:paraId="6FC95C11"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lastRenderedPageBreak/>
              <w:t>空间布局约束</w:t>
            </w:r>
          </w:p>
        </w:tc>
        <w:tc>
          <w:tcPr>
            <w:tcW w:w="2177" w:type="pct"/>
            <w:shd w:val="clear" w:color="auto" w:fill="auto"/>
            <w:vAlign w:val="center"/>
          </w:tcPr>
          <w:p w14:paraId="1ADDFDED"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fldChar w:fldCharType="begin"/>
            </w:r>
            <w:r w:rsidRPr="008A2411">
              <w:rPr>
                <w:rFonts w:ascii="Times New Roman" w:eastAsiaTheme="minorEastAsia"/>
                <w:color w:val="000000" w:themeColor="text1"/>
                <w:sz w:val="21"/>
                <w:szCs w:val="21"/>
              </w:rPr>
              <w:instrText xml:space="preserve"> = 1 \* GB3 </w:instrText>
            </w:r>
            <w:r w:rsidRPr="008A2411">
              <w:rPr>
                <w:rFonts w:ascii="Times New Roman" w:eastAsiaTheme="minorEastAsia"/>
                <w:color w:val="000000" w:themeColor="text1"/>
                <w:sz w:val="21"/>
                <w:szCs w:val="21"/>
              </w:rPr>
              <w:fldChar w:fldCharType="separate"/>
            </w:r>
            <w:r w:rsidRPr="008A2411">
              <w:rPr>
                <w:rFonts w:ascii="Times New Roman" w:eastAsiaTheme="minorEastAsia"/>
                <w:color w:val="000000" w:themeColor="text1"/>
                <w:sz w:val="21"/>
                <w:szCs w:val="21"/>
              </w:rPr>
              <w:t>①</w:t>
            </w:r>
            <w:r w:rsidRPr="008A2411">
              <w:rPr>
                <w:rFonts w:ascii="Times New Roman" w:eastAsiaTheme="minorEastAsia"/>
                <w:color w:val="000000" w:themeColor="text1"/>
                <w:sz w:val="21"/>
                <w:szCs w:val="21"/>
              </w:rPr>
              <w:fldChar w:fldCharType="end"/>
            </w:r>
            <w:r w:rsidRPr="008A2411">
              <w:rPr>
                <w:rFonts w:ascii="Times New Roman" w:eastAsiaTheme="minorEastAsia"/>
                <w:color w:val="000000" w:themeColor="text1"/>
                <w:sz w:val="21"/>
                <w:szCs w:val="21"/>
              </w:rPr>
              <w:t xml:space="preserve"> </w:t>
            </w:r>
            <w:r w:rsidRPr="008A2411">
              <w:rPr>
                <w:rFonts w:ascii="Times New Roman" w:eastAsiaTheme="minorEastAsia"/>
                <w:color w:val="000000" w:themeColor="text1"/>
                <w:sz w:val="21"/>
                <w:szCs w:val="21"/>
              </w:rPr>
              <w:t>经开区生产生活、开发建设活动应当遵守长江保护相关法律法规的要求；</w:t>
            </w:r>
          </w:p>
          <w:p w14:paraId="5163296A"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fldChar w:fldCharType="begin"/>
            </w:r>
            <w:r w:rsidRPr="008A2411">
              <w:rPr>
                <w:rFonts w:ascii="Times New Roman" w:eastAsiaTheme="minorEastAsia"/>
                <w:color w:val="000000" w:themeColor="text1"/>
                <w:sz w:val="21"/>
                <w:szCs w:val="21"/>
              </w:rPr>
              <w:instrText xml:space="preserve"> = 2 \* GB3 </w:instrText>
            </w:r>
            <w:r w:rsidRPr="008A2411">
              <w:rPr>
                <w:rFonts w:ascii="Times New Roman" w:eastAsiaTheme="minorEastAsia"/>
                <w:color w:val="000000" w:themeColor="text1"/>
                <w:sz w:val="21"/>
                <w:szCs w:val="21"/>
              </w:rPr>
              <w:fldChar w:fldCharType="separate"/>
            </w:r>
            <w:r w:rsidRPr="008A2411">
              <w:rPr>
                <w:rFonts w:ascii="Times New Roman" w:eastAsiaTheme="minorEastAsia"/>
                <w:color w:val="000000" w:themeColor="text1"/>
                <w:sz w:val="21"/>
                <w:szCs w:val="21"/>
              </w:rPr>
              <w:t>②</w:t>
            </w:r>
            <w:r w:rsidRPr="008A2411">
              <w:rPr>
                <w:rFonts w:ascii="Times New Roman" w:eastAsiaTheme="minorEastAsia"/>
                <w:color w:val="000000" w:themeColor="text1"/>
                <w:sz w:val="21"/>
                <w:szCs w:val="21"/>
              </w:rPr>
              <w:fldChar w:fldCharType="end"/>
            </w:r>
            <w:r w:rsidRPr="008A2411">
              <w:rPr>
                <w:rFonts w:ascii="Times New Roman" w:eastAsiaTheme="minorEastAsia"/>
                <w:color w:val="000000" w:themeColor="text1"/>
                <w:sz w:val="21"/>
                <w:szCs w:val="21"/>
              </w:rPr>
              <w:t xml:space="preserve"> </w:t>
            </w:r>
            <w:r w:rsidRPr="008A2411">
              <w:rPr>
                <w:rFonts w:ascii="Times New Roman" w:eastAsiaTheme="minorEastAsia"/>
                <w:color w:val="000000" w:themeColor="text1"/>
                <w:sz w:val="21"/>
                <w:szCs w:val="21"/>
              </w:rPr>
              <w:t>禁止引入与功能区主导产业相禁忌、容易形成交叉影响的项目。</w:t>
            </w:r>
          </w:p>
        </w:tc>
        <w:tc>
          <w:tcPr>
            <w:tcW w:w="1514" w:type="pct"/>
            <w:shd w:val="clear" w:color="auto" w:fill="auto"/>
            <w:vAlign w:val="center"/>
          </w:tcPr>
          <w:p w14:paraId="6438A9D0"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园区普</w:t>
            </w:r>
            <w:proofErr w:type="gramStart"/>
            <w:r w:rsidRPr="008A2411">
              <w:rPr>
                <w:rFonts w:ascii="Times New Roman" w:eastAsiaTheme="minorEastAsia"/>
                <w:color w:val="000000" w:themeColor="text1"/>
                <w:sz w:val="21"/>
                <w:szCs w:val="21"/>
              </w:rPr>
              <w:t>光功能</w:t>
            </w:r>
            <w:proofErr w:type="gramEnd"/>
            <w:r w:rsidRPr="008A2411">
              <w:rPr>
                <w:rFonts w:ascii="Times New Roman" w:eastAsiaTheme="minorEastAsia"/>
                <w:color w:val="000000" w:themeColor="text1"/>
                <w:sz w:val="21"/>
                <w:szCs w:val="21"/>
              </w:rPr>
              <w:t>区主导产业为天然气相关产业（天然气化工、硫化工）、</w:t>
            </w:r>
            <w:proofErr w:type="gramStart"/>
            <w:r w:rsidRPr="008A2411">
              <w:rPr>
                <w:rFonts w:ascii="Times New Roman" w:eastAsiaTheme="minorEastAsia"/>
                <w:color w:val="000000" w:themeColor="text1"/>
                <w:sz w:val="21"/>
                <w:szCs w:val="21"/>
              </w:rPr>
              <w:t>锂钾综合开发</w:t>
            </w:r>
            <w:proofErr w:type="gramEnd"/>
            <w:r w:rsidRPr="008A2411">
              <w:rPr>
                <w:rFonts w:ascii="Times New Roman" w:eastAsiaTheme="minorEastAsia"/>
                <w:color w:val="000000" w:themeColor="text1"/>
                <w:sz w:val="21"/>
                <w:szCs w:val="21"/>
              </w:rPr>
              <w:t>产业（含卤水资源提取、锂电池产业），本项目为天然气液化加工</w:t>
            </w:r>
            <w:r w:rsidRPr="008A2411">
              <w:rPr>
                <w:rFonts w:ascii="Times New Roman" w:eastAsiaTheme="minorEastAsia"/>
                <w:color w:val="000000" w:themeColor="text1"/>
                <w:sz w:val="21"/>
                <w:szCs w:val="21"/>
              </w:rPr>
              <w:lastRenderedPageBreak/>
              <w:t>项目，属于园区主导产业</w:t>
            </w:r>
          </w:p>
        </w:tc>
        <w:tc>
          <w:tcPr>
            <w:tcW w:w="599" w:type="pct"/>
            <w:shd w:val="clear" w:color="auto" w:fill="auto"/>
            <w:vAlign w:val="center"/>
          </w:tcPr>
          <w:p w14:paraId="6CD77663"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lastRenderedPageBreak/>
              <w:t>符合</w:t>
            </w:r>
          </w:p>
        </w:tc>
      </w:tr>
      <w:tr w:rsidR="008A2411" w:rsidRPr="008A2411" w14:paraId="4A53B72A" w14:textId="77777777">
        <w:trPr>
          <w:trHeight w:val="290"/>
        </w:trPr>
        <w:tc>
          <w:tcPr>
            <w:tcW w:w="241" w:type="pct"/>
            <w:vMerge/>
            <w:shd w:val="clear" w:color="auto" w:fill="auto"/>
            <w:vAlign w:val="center"/>
          </w:tcPr>
          <w:p w14:paraId="26605167" w14:textId="77777777" w:rsidR="00B0005F" w:rsidRPr="008A2411" w:rsidRDefault="00B0005F">
            <w:pPr>
              <w:adjustRightInd w:val="0"/>
              <w:snapToGrid w:val="0"/>
              <w:jc w:val="center"/>
              <w:rPr>
                <w:rFonts w:ascii="Times New Roman" w:eastAsiaTheme="minorEastAsia"/>
                <w:color w:val="000000" w:themeColor="text1"/>
                <w:sz w:val="21"/>
                <w:szCs w:val="21"/>
              </w:rPr>
            </w:pPr>
          </w:p>
        </w:tc>
        <w:tc>
          <w:tcPr>
            <w:tcW w:w="467" w:type="pct"/>
            <w:shd w:val="clear" w:color="auto" w:fill="auto"/>
            <w:vAlign w:val="center"/>
          </w:tcPr>
          <w:p w14:paraId="581FA7CB"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污染物排放管控</w:t>
            </w:r>
          </w:p>
        </w:tc>
        <w:tc>
          <w:tcPr>
            <w:tcW w:w="2177" w:type="pct"/>
            <w:shd w:val="clear" w:color="auto" w:fill="auto"/>
            <w:vAlign w:val="center"/>
          </w:tcPr>
          <w:p w14:paraId="51750C9C"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fldChar w:fldCharType="begin"/>
            </w:r>
            <w:r w:rsidRPr="008A2411">
              <w:rPr>
                <w:rFonts w:ascii="Times New Roman" w:eastAsiaTheme="minorEastAsia"/>
                <w:color w:val="000000" w:themeColor="text1"/>
                <w:sz w:val="21"/>
                <w:szCs w:val="21"/>
              </w:rPr>
              <w:instrText xml:space="preserve"> = 1 \* GB3 </w:instrText>
            </w:r>
            <w:r w:rsidRPr="008A2411">
              <w:rPr>
                <w:rFonts w:ascii="Times New Roman" w:eastAsiaTheme="minorEastAsia"/>
                <w:color w:val="000000" w:themeColor="text1"/>
                <w:sz w:val="21"/>
                <w:szCs w:val="21"/>
              </w:rPr>
              <w:fldChar w:fldCharType="separate"/>
            </w:r>
            <w:r w:rsidRPr="008A2411">
              <w:rPr>
                <w:rFonts w:ascii="Times New Roman" w:eastAsiaTheme="minorEastAsia"/>
                <w:color w:val="000000" w:themeColor="text1"/>
                <w:sz w:val="21"/>
                <w:szCs w:val="21"/>
              </w:rPr>
              <w:t>①</w:t>
            </w:r>
            <w:r w:rsidRPr="008A2411">
              <w:rPr>
                <w:rFonts w:ascii="Times New Roman" w:eastAsiaTheme="minorEastAsia"/>
                <w:color w:val="000000" w:themeColor="text1"/>
                <w:sz w:val="21"/>
                <w:szCs w:val="21"/>
              </w:rPr>
              <w:fldChar w:fldCharType="end"/>
            </w:r>
            <w:r w:rsidRPr="008A2411">
              <w:rPr>
                <w:rFonts w:ascii="Times New Roman" w:eastAsiaTheme="minorEastAsia"/>
                <w:color w:val="000000" w:themeColor="text1"/>
                <w:sz w:val="21"/>
                <w:szCs w:val="21"/>
              </w:rPr>
              <w:t xml:space="preserve"> </w:t>
            </w:r>
            <w:r w:rsidRPr="008A2411">
              <w:rPr>
                <w:rFonts w:ascii="Times New Roman" w:eastAsiaTheme="minorEastAsia"/>
                <w:color w:val="000000" w:themeColor="text1"/>
                <w:sz w:val="21"/>
                <w:szCs w:val="21"/>
              </w:rPr>
              <w:t>禁止引入不符合国家、省、市重金属污染防治规划相关要求的项目；</w:t>
            </w:r>
          </w:p>
          <w:p w14:paraId="12718BCD"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fldChar w:fldCharType="begin"/>
            </w:r>
            <w:r w:rsidRPr="008A2411">
              <w:rPr>
                <w:rFonts w:ascii="Times New Roman" w:eastAsiaTheme="minorEastAsia"/>
                <w:color w:val="000000" w:themeColor="text1"/>
                <w:sz w:val="21"/>
                <w:szCs w:val="21"/>
              </w:rPr>
              <w:instrText xml:space="preserve"> = 2 \* GB3 </w:instrText>
            </w:r>
            <w:r w:rsidRPr="008A2411">
              <w:rPr>
                <w:rFonts w:ascii="Times New Roman" w:eastAsiaTheme="minorEastAsia"/>
                <w:color w:val="000000" w:themeColor="text1"/>
                <w:sz w:val="21"/>
                <w:szCs w:val="21"/>
              </w:rPr>
              <w:fldChar w:fldCharType="separate"/>
            </w:r>
            <w:r w:rsidRPr="008A2411">
              <w:rPr>
                <w:rFonts w:ascii="Times New Roman" w:eastAsiaTheme="minorEastAsia"/>
                <w:color w:val="000000" w:themeColor="text1"/>
                <w:sz w:val="21"/>
                <w:szCs w:val="21"/>
              </w:rPr>
              <w:t>②</w:t>
            </w:r>
            <w:r w:rsidRPr="008A2411">
              <w:rPr>
                <w:rFonts w:ascii="Times New Roman" w:eastAsiaTheme="minorEastAsia"/>
                <w:color w:val="000000" w:themeColor="text1"/>
                <w:sz w:val="21"/>
                <w:szCs w:val="21"/>
              </w:rPr>
              <w:fldChar w:fldCharType="end"/>
            </w:r>
            <w:r w:rsidRPr="008A2411">
              <w:rPr>
                <w:rFonts w:ascii="Times New Roman" w:eastAsiaTheme="minorEastAsia"/>
                <w:color w:val="000000" w:themeColor="text1"/>
                <w:sz w:val="21"/>
                <w:szCs w:val="21"/>
              </w:rPr>
              <w:t xml:space="preserve"> </w:t>
            </w:r>
            <w:r w:rsidRPr="008A2411">
              <w:rPr>
                <w:rFonts w:ascii="Times New Roman" w:eastAsiaTheme="minorEastAsia"/>
                <w:color w:val="000000" w:themeColor="text1"/>
                <w:sz w:val="21"/>
                <w:szCs w:val="21"/>
              </w:rPr>
              <w:t>新建项目、改扩建项目（全厂）执行大气污染</w:t>
            </w:r>
            <w:proofErr w:type="gramStart"/>
            <w:r w:rsidRPr="008A2411">
              <w:rPr>
                <w:rFonts w:ascii="Times New Roman" w:eastAsiaTheme="minorEastAsia"/>
                <w:color w:val="000000" w:themeColor="text1"/>
                <w:sz w:val="21"/>
                <w:szCs w:val="21"/>
              </w:rPr>
              <w:t>物特别</w:t>
            </w:r>
            <w:proofErr w:type="gramEnd"/>
            <w:r w:rsidRPr="008A2411">
              <w:rPr>
                <w:rFonts w:ascii="Times New Roman" w:eastAsiaTheme="minorEastAsia"/>
                <w:color w:val="000000" w:themeColor="text1"/>
                <w:sz w:val="21"/>
                <w:szCs w:val="21"/>
              </w:rPr>
              <w:t>排放限值；现有项目鼓励参照大气污染</w:t>
            </w:r>
            <w:proofErr w:type="gramStart"/>
            <w:r w:rsidRPr="008A2411">
              <w:rPr>
                <w:rFonts w:ascii="Times New Roman" w:eastAsiaTheme="minorEastAsia"/>
                <w:color w:val="000000" w:themeColor="text1"/>
                <w:sz w:val="21"/>
                <w:szCs w:val="21"/>
              </w:rPr>
              <w:t>物特别</w:t>
            </w:r>
            <w:proofErr w:type="gramEnd"/>
            <w:r w:rsidRPr="008A2411">
              <w:rPr>
                <w:rFonts w:ascii="Times New Roman" w:eastAsiaTheme="minorEastAsia"/>
                <w:color w:val="000000" w:themeColor="text1"/>
                <w:sz w:val="21"/>
                <w:szCs w:val="21"/>
              </w:rPr>
              <w:t>排放限值进行升级改造；具体项目入驻时结合当时环境质量现状及区域气象条件确定是否执行更为严格的排放限值以满足区域环境质量改善要求。</w:t>
            </w:r>
          </w:p>
        </w:tc>
        <w:tc>
          <w:tcPr>
            <w:tcW w:w="1514" w:type="pct"/>
            <w:shd w:val="clear" w:color="auto" w:fill="auto"/>
            <w:vAlign w:val="center"/>
          </w:tcPr>
          <w:p w14:paraId="290CE3C2"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本项目为天然气液化加工项目，不属于国家、省、市重金属污染防治规划相关要求的项目；此外，本项目废气排放执行大气污染</w:t>
            </w:r>
            <w:proofErr w:type="gramStart"/>
            <w:r w:rsidRPr="008A2411">
              <w:rPr>
                <w:rFonts w:ascii="Times New Roman" w:eastAsiaTheme="minorEastAsia"/>
                <w:color w:val="000000" w:themeColor="text1"/>
                <w:sz w:val="21"/>
                <w:szCs w:val="21"/>
              </w:rPr>
              <w:t>物特别</w:t>
            </w:r>
            <w:proofErr w:type="gramEnd"/>
            <w:r w:rsidRPr="008A2411">
              <w:rPr>
                <w:rFonts w:ascii="Times New Roman" w:eastAsiaTheme="minorEastAsia"/>
                <w:color w:val="000000" w:themeColor="text1"/>
                <w:sz w:val="21"/>
                <w:szCs w:val="21"/>
              </w:rPr>
              <w:t>排放限值</w:t>
            </w:r>
          </w:p>
        </w:tc>
        <w:tc>
          <w:tcPr>
            <w:tcW w:w="599" w:type="pct"/>
            <w:shd w:val="clear" w:color="auto" w:fill="auto"/>
            <w:vAlign w:val="center"/>
          </w:tcPr>
          <w:p w14:paraId="6E8A4A5D"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符合</w:t>
            </w:r>
          </w:p>
        </w:tc>
      </w:tr>
      <w:tr w:rsidR="008A2411" w:rsidRPr="008A2411" w14:paraId="49AE5514" w14:textId="77777777">
        <w:trPr>
          <w:trHeight w:val="290"/>
        </w:trPr>
        <w:tc>
          <w:tcPr>
            <w:tcW w:w="241" w:type="pct"/>
            <w:vMerge/>
            <w:shd w:val="clear" w:color="auto" w:fill="auto"/>
            <w:vAlign w:val="center"/>
          </w:tcPr>
          <w:p w14:paraId="08A696F6" w14:textId="77777777" w:rsidR="00B0005F" w:rsidRPr="008A2411" w:rsidRDefault="00B0005F">
            <w:pPr>
              <w:adjustRightInd w:val="0"/>
              <w:snapToGrid w:val="0"/>
              <w:jc w:val="center"/>
              <w:rPr>
                <w:rFonts w:ascii="Times New Roman" w:eastAsiaTheme="minorEastAsia"/>
                <w:color w:val="000000" w:themeColor="text1"/>
                <w:sz w:val="21"/>
                <w:szCs w:val="21"/>
              </w:rPr>
            </w:pPr>
          </w:p>
        </w:tc>
        <w:tc>
          <w:tcPr>
            <w:tcW w:w="467" w:type="pct"/>
            <w:shd w:val="clear" w:color="auto" w:fill="auto"/>
            <w:vAlign w:val="center"/>
          </w:tcPr>
          <w:p w14:paraId="79FA0087"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环境风险防控</w:t>
            </w:r>
          </w:p>
        </w:tc>
        <w:tc>
          <w:tcPr>
            <w:tcW w:w="2177" w:type="pct"/>
            <w:shd w:val="clear" w:color="auto" w:fill="auto"/>
            <w:vAlign w:val="center"/>
          </w:tcPr>
          <w:p w14:paraId="06F33ED8"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fldChar w:fldCharType="begin"/>
            </w:r>
            <w:r w:rsidRPr="008A2411">
              <w:rPr>
                <w:rFonts w:ascii="Times New Roman" w:eastAsiaTheme="minorEastAsia"/>
                <w:color w:val="000000" w:themeColor="text1"/>
                <w:sz w:val="21"/>
                <w:szCs w:val="21"/>
              </w:rPr>
              <w:instrText xml:space="preserve"> = 1 \* GB3 </w:instrText>
            </w:r>
            <w:r w:rsidRPr="008A2411">
              <w:rPr>
                <w:rFonts w:ascii="Times New Roman" w:eastAsiaTheme="minorEastAsia"/>
                <w:color w:val="000000" w:themeColor="text1"/>
                <w:sz w:val="21"/>
                <w:szCs w:val="21"/>
              </w:rPr>
              <w:fldChar w:fldCharType="separate"/>
            </w:r>
            <w:r w:rsidRPr="008A2411">
              <w:rPr>
                <w:rFonts w:ascii="Times New Roman" w:eastAsiaTheme="minorEastAsia"/>
                <w:color w:val="000000" w:themeColor="text1"/>
                <w:sz w:val="21"/>
                <w:szCs w:val="21"/>
              </w:rPr>
              <w:t>①</w:t>
            </w:r>
            <w:r w:rsidRPr="008A2411">
              <w:rPr>
                <w:rFonts w:ascii="Times New Roman" w:eastAsiaTheme="minorEastAsia"/>
                <w:color w:val="000000" w:themeColor="text1"/>
                <w:sz w:val="21"/>
                <w:szCs w:val="21"/>
              </w:rPr>
              <w:fldChar w:fldCharType="end"/>
            </w:r>
            <w:r w:rsidRPr="008A2411">
              <w:rPr>
                <w:rFonts w:ascii="Times New Roman" w:eastAsiaTheme="minorEastAsia"/>
                <w:color w:val="000000" w:themeColor="text1"/>
                <w:sz w:val="21"/>
                <w:szCs w:val="21"/>
              </w:rPr>
              <w:t xml:space="preserve"> </w:t>
            </w:r>
            <w:r w:rsidRPr="008A2411">
              <w:rPr>
                <w:rFonts w:ascii="Times New Roman" w:eastAsiaTheme="minorEastAsia"/>
                <w:color w:val="000000" w:themeColor="text1"/>
                <w:sz w:val="21"/>
                <w:szCs w:val="21"/>
              </w:rPr>
              <w:t>风险源与环境敏感目标保持符合规范要求的安全距离，切实做好危险化学品贮运、使用过程中的安全防范措施，最大程度降低环境风险事故发生的几率；</w:t>
            </w:r>
          </w:p>
          <w:p w14:paraId="3CBEAB6D"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fldChar w:fldCharType="begin"/>
            </w:r>
            <w:r w:rsidRPr="008A2411">
              <w:rPr>
                <w:rFonts w:ascii="Times New Roman" w:eastAsiaTheme="minorEastAsia"/>
                <w:color w:val="000000" w:themeColor="text1"/>
                <w:sz w:val="21"/>
                <w:szCs w:val="21"/>
              </w:rPr>
              <w:instrText xml:space="preserve"> = 2 \* GB3 </w:instrText>
            </w:r>
            <w:r w:rsidRPr="008A2411">
              <w:rPr>
                <w:rFonts w:ascii="Times New Roman" w:eastAsiaTheme="minorEastAsia"/>
                <w:color w:val="000000" w:themeColor="text1"/>
                <w:sz w:val="21"/>
                <w:szCs w:val="21"/>
              </w:rPr>
              <w:fldChar w:fldCharType="separate"/>
            </w:r>
            <w:r w:rsidRPr="008A2411">
              <w:rPr>
                <w:rFonts w:ascii="Times New Roman" w:eastAsiaTheme="minorEastAsia"/>
                <w:color w:val="000000" w:themeColor="text1"/>
                <w:sz w:val="21"/>
                <w:szCs w:val="21"/>
              </w:rPr>
              <w:t>②</w:t>
            </w:r>
            <w:r w:rsidRPr="008A2411">
              <w:rPr>
                <w:rFonts w:ascii="Times New Roman" w:eastAsiaTheme="minorEastAsia"/>
                <w:color w:val="000000" w:themeColor="text1"/>
                <w:sz w:val="21"/>
                <w:szCs w:val="21"/>
              </w:rPr>
              <w:fldChar w:fldCharType="end"/>
            </w:r>
            <w:r w:rsidRPr="008A2411">
              <w:rPr>
                <w:rFonts w:ascii="Times New Roman" w:eastAsiaTheme="minorEastAsia"/>
                <w:color w:val="000000" w:themeColor="text1"/>
                <w:sz w:val="21"/>
                <w:szCs w:val="21"/>
              </w:rPr>
              <w:t xml:space="preserve"> </w:t>
            </w:r>
            <w:r w:rsidRPr="008A2411">
              <w:rPr>
                <w:rFonts w:ascii="Times New Roman" w:eastAsiaTheme="minorEastAsia"/>
                <w:color w:val="000000" w:themeColor="text1"/>
                <w:sz w:val="21"/>
                <w:szCs w:val="21"/>
              </w:rPr>
              <w:t>制定切实可行的环境风险应急预案，定期开展环境风险应急演练，建立与敏感目标的环境风险应急联动机制。</w:t>
            </w:r>
          </w:p>
        </w:tc>
        <w:tc>
          <w:tcPr>
            <w:tcW w:w="1514" w:type="pct"/>
            <w:shd w:val="clear" w:color="auto" w:fill="auto"/>
            <w:vAlign w:val="center"/>
          </w:tcPr>
          <w:p w14:paraId="79C34EF5"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本项目风险源与环境敏感目标保持了符合规范要求的安全距离，切实做好了危险化学品贮运、使用过程中的安全防范措施，最大程度降低了环境风险事故发生的几率。</w:t>
            </w:r>
          </w:p>
          <w:p w14:paraId="54B90F74" w14:textId="6AEAA562"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本项目</w:t>
            </w:r>
            <w:r w:rsidR="004D29E2" w:rsidRPr="008A2411">
              <w:rPr>
                <w:rFonts w:ascii="Times New Roman" w:eastAsiaTheme="minorEastAsia" w:hint="eastAsia"/>
                <w:color w:val="000000" w:themeColor="text1"/>
                <w:sz w:val="21"/>
                <w:szCs w:val="21"/>
              </w:rPr>
              <w:t>将另行编制</w:t>
            </w:r>
            <w:r w:rsidRPr="008A2411">
              <w:rPr>
                <w:rFonts w:ascii="Times New Roman" w:eastAsiaTheme="minorEastAsia"/>
                <w:color w:val="000000" w:themeColor="text1"/>
                <w:sz w:val="21"/>
                <w:szCs w:val="21"/>
              </w:rPr>
              <w:t>可行的环境风险应急预案，</w:t>
            </w:r>
            <w:r w:rsidR="004D29E2" w:rsidRPr="008A2411">
              <w:rPr>
                <w:rFonts w:ascii="Times New Roman" w:eastAsiaTheme="minorEastAsia" w:hint="eastAsia"/>
                <w:color w:val="000000" w:themeColor="text1"/>
                <w:sz w:val="21"/>
                <w:szCs w:val="21"/>
              </w:rPr>
              <w:t>后期将</w:t>
            </w:r>
            <w:r w:rsidRPr="008A2411">
              <w:rPr>
                <w:rFonts w:ascii="Times New Roman" w:eastAsiaTheme="minorEastAsia"/>
                <w:color w:val="000000" w:themeColor="text1"/>
                <w:sz w:val="21"/>
                <w:szCs w:val="21"/>
              </w:rPr>
              <w:t>定期开展环境风险应急演练，建立与敏感目标的环境风险应急联动机制。</w:t>
            </w:r>
          </w:p>
        </w:tc>
        <w:tc>
          <w:tcPr>
            <w:tcW w:w="599" w:type="pct"/>
            <w:shd w:val="clear" w:color="auto" w:fill="auto"/>
            <w:vAlign w:val="center"/>
          </w:tcPr>
          <w:p w14:paraId="5A92B81F"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符合</w:t>
            </w:r>
          </w:p>
        </w:tc>
      </w:tr>
      <w:tr w:rsidR="008A2411" w:rsidRPr="008A2411" w14:paraId="24B679AC" w14:textId="77777777">
        <w:trPr>
          <w:trHeight w:val="290"/>
        </w:trPr>
        <w:tc>
          <w:tcPr>
            <w:tcW w:w="241" w:type="pct"/>
            <w:vMerge/>
            <w:shd w:val="clear" w:color="auto" w:fill="auto"/>
            <w:vAlign w:val="center"/>
          </w:tcPr>
          <w:p w14:paraId="4002B59C" w14:textId="77777777" w:rsidR="00B0005F" w:rsidRPr="008A2411" w:rsidRDefault="00B0005F">
            <w:pPr>
              <w:adjustRightInd w:val="0"/>
              <w:snapToGrid w:val="0"/>
              <w:jc w:val="center"/>
              <w:rPr>
                <w:rFonts w:ascii="Times New Roman" w:eastAsiaTheme="minorEastAsia"/>
                <w:color w:val="000000" w:themeColor="text1"/>
                <w:sz w:val="21"/>
                <w:szCs w:val="21"/>
              </w:rPr>
            </w:pPr>
          </w:p>
        </w:tc>
        <w:tc>
          <w:tcPr>
            <w:tcW w:w="467" w:type="pct"/>
            <w:shd w:val="clear" w:color="auto" w:fill="auto"/>
            <w:vAlign w:val="center"/>
          </w:tcPr>
          <w:p w14:paraId="42FDF73D"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资源开发利用要求</w:t>
            </w:r>
          </w:p>
        </w:tc>
        <w:tc>
          <w:tcPr>
            <w:tcW w:w="2177" w:type="pct"/>
            <w:shd w:val="clear" w:color="auto" w:fill="auto"/>
            <w:vAlign w:val="center"/>
          </w:tcPr>
          <w:p w14:paraId="2402C9A3"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fldChar w:fldCharType="begin"/>
            </w:r>
            <w:r w:rsidRPr="008A2411">
              <w:rPr>
                <w:rFonts w:ascii="Times New Roman" w:eastAsiaTheme="minorEastAsia"/>
                <w:color w:val="000000" w:themeColor="text1"/>
                <w:sz w:val="21"/>
                <w:szCs w:val="21"/>
              </w:rPr>
              <w:instrText xml:space="preserve"> = 1 \* GB3 </w:instrText>
            </w:r>
            <w:r w:rsidRPr="008A2411">
              <w:rPr>
                <w:rFonts w:ascii="Times New Roman" w:eastAsiaTheme="minorEastAsia"/>
                <w:color w:val="000000" w:themeColor="text1"/>
                <w:sz w:val="21"/>
                <w:szCs w:val="21"/>
              </w:rPr>
              <w:fldChar w:fldCharType="separate"/>
            </w:r>
            <w:r w:rsidRPr="008A2411">
              <w:rPr>
                <w:rFonts w:ascii="Times New Roman" w:eastAsiaTheme="minorEastAsia"/>
                <w:color w:val="000000" w:themeColor="text1"/>
                <w:sz w:val="21"/>
                <w:szCs w:val="21"/>
              </w:rPr>
              <w:t>①</w:t>
            </w:r>
            <w:r w:rsidRPr="008A2411">
              <w:rPr>
                <w:rFonts w:ascii="Times New Roman" w:eastAsiaTheme="minorEastAsia"/>
                <w:color w:val="000000" w:themeColor="text1"/>
                <w:sz w:val="21"/>
                <w:szCs w:val="21"/>
              </w:rPr>
              <w:fldChar w:fldCharType="end"/>
            </w:r>
            <w:r w:rsidRPr="008A2411">
              <w:rPr>
                <w:rFonts w:ascii="Times New Roman" w:eastAsiaTheme="minorEastAsia"/>
                <w:color w:val="000000" w:themeColor="text1"/>
                <w:sz w:val="21"/>
                <w:szCs w:val="21"/>
              </w:rPr>
              <w:t xml:space="preserve"> </w:t>
            </w:r>
            <w:r w:rsidRPr="008A2411">
              <w:rPr>
                <w:rFonts w:ascii="Times New Roman" w:eastAsiaTheme="minorEastAsia"/>
                <w:color w:val="000000" w:themeColor="text1"/>
                <w:sz w:val="21"/>
                <w:szCs w:val="21"/>
              </w:rPr>
              <w:t>禁止引入不符合国家产业政策、行业准入条件以及国家和地方明令禁止的项目；</w:t>
            </w:r>
          </w:p>
          <w:p w14:paraId="19FE29F7"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 xml:space="preserve">② </w:t>
            </w:r>
            <w:r w:rsidRPr="008A2411">
              <w:rPr>
                <w:rFonts w:ascii="Times New Roman" w:eastAsiaTheme="minorEastAsia"/>
                <w:color w:val="000000" w:themeColor="text1"/>
                <w:sz w:val="21"/>
                <w:szCs w:val="21"/>
              </w:rPr>
              <w:t>禁止引入清洁生产水平达不到行业清洁生产水平二级标准或低于全国同类企业平均清洁生产水平的项目。</w:t>
            </w:r>
          </w:p>
        </w:tc>
        <w:tc>
          <w:tcPr>
            <w:tcW w:w="1514" w:type="pct"/>
            <w:shd w:val="clear" w:color="auto" w:fill="auto"/>
            <w:vAlign w:val="center"/>
          </w:tcPr>
          <w:p w14:paraId="469CA19A"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本项目为天然气液化加工项目，属于国家产业政策中鼓励类项目，符合园区资源开发利用要求；</w:t>
            </w:r>
          </w:p>
          <w:p w14:paraId="01F0659E"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本项目采用国内先进生产</w:t>
            </w:r>
            <w:r w:rsidRPr="008A2411">
              <w:rPr>
                <w:rFonts w:ascii="Times New Roman" w:eastAsiaTheme="minorEastAsia"/>
                <w:color w:val="000000" w:themeColor="text1"/>
                <w:sz w:val="21"/>
                <w:szCs w:val="21"/>
              </w:rPr>
              <w:t xml:space="preserve"> </w:t>
            </w:r>
          </w:p>
          <w:p w14:paraId="7E771B9D"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工艺、设备及污染治理技</w:t>
            </w:r>
            <w:r w:rsidRPr="008A2411">
              <w:rPr>
                <w:rFonts w:ascii="Times New Roman" w:eastAsiaTheme="minorEastAsia"/>
                <w:color w:val="000000" w:themeColor="text1"/>
                <w:sz w:val="21"/>
                <w:szCs w:val="21"/>
              </w:rPr>
              <w:t xml:space="preserve"> </w:t>
            </w:r>
          </w:p>
          <w:p w14:paraId="3A6B3F3D"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术，水耗、物耗、能耗等</w:t>
            </w:r>
            <w:r w:rsidRPr="008A2411">
              <w:rPr>
                <w:rFonts w:ascii="Times New Roman" w:eastAsiaTheme="minorEastAsia"/>
                <w:color w:val="000000" w:themeColor="text1"/>
                <w:sz w:val="21"/>
                <w:szCs w:val="21"/>
              </w:rPr>
              <w:t xml:space="preserve"> </w:t>
            </w:r>
          </w:p>
          <w:p w14:paraId="3F65D29D"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各项指标均达到国内同行</w:t>
            </w:r>
            <w:r w:rsidRPr="008A2411">
              <w:rPr>
                <w:rFonts w:ascii="Times New Roman" w:eastAsiaTheme="minorEastAsia"/>
                <w:color w:val="000000" w:themeColor="text1"/>
                <w:sz w:val="21"/>
                <w:szCs w:val="21"/>
              </w:rPr>
              <w:t xml:space="preserve"> </w:t>
            </w:r>
          </w:p>
          <w:p w14:paraId="404DA781"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业先进水平。</w:t>
            </w:r>
          </w:p>
        </w:tc>
        <w:tc>
          <w:tcPr>
            <w:tcW w:w="599" w:type="pct"/>
            <w:shd w:val="clear" w:color="auto" w:fill="auto"/>
            <w:vAlign w:val="center"/>
          </w:tcPr>
          <w:p w14:paraId="7E1FCADD"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符合</w:t>
            </w:r>
          </w:p>
        </w:tc>
      </w:tr>
      <w:tr w:rsidR="008A2411" w:rsidRPr="008A2411" w14:paraId="2B921BEE" w14:textId="77777777">
        <w:trPr>
          <w:trHeight w:val="290"/>
        </w:trPr>
        <w:tc>
          <w:tcPr>
            <w:tcW w:w="241" w:type="pct"/>
            <w:vMerge w:val="restart"/>
            <w:shd w:val="clear" w:color="auto" w:fill="auto"/>
            <w:vAlign w:val="center"/>
          </w:tcPr>
          <w:p w14:paraId="076678DB"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普</w:t>
            </w:r>
            <w:proofErr w:type="gramStart"/>
            <w:r w:rsidRPr="008A2411">
              <w:rPr>
                <w:rFonts w:ascii="Times New Roman" w:eastAsiaTheme="minorEastAsia"/>
                <w:color w:val="000000" w:themeColor="text1"/>
                <w:sz w:val="21"/>
                <w:szCs w:val="21"/>
              </w:rPr>
              <w:t>光功能</w:t>
            </w:r>
            <w:proofErr w:type="gramEnd"/>
            <w:r w:rsidRPr="008A2411">
              <w:rPr>
                <w:rFonts w:ascii="Times New Roman" w:eastAsiaTheme="minorEastAsia"/>
                <w:color w:val="000000" w:themeColor="text1"/>
                <w:sz w:val="21"/>
                <w:szCs w:val="21"/>
              </w:rPr>
              <w:t>区</w:t>
            </w:r>
          </w:p>
        </w:tc>
        <w:tc>
          <w:tcPr>
            <w:tcW w:w="467" w:type="pct"/>
            <w:shd w:val="clear" w:color="auto" w:fill="auto"/>
            <w:vAlign w:val="center"/>
          </w:tcPr>
          <w:p w14:paraId="013713F9"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空间布局约束</w:t>
            </w:r>
          </w:p>
        </w:tc>
        <w:tc>
          <w:tcPr>
            <w:tcW w:w="2177" w:type="pct"/>
            <w:shd w:val="clear" w:color="auto" w:fill="auto"/>
            <w:vAlign w:val="center"/>
          </w:tcPr>
          <w:p w14:paraId="3905E397"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fldChar w:fldCharType="begin"/>
            </w:r>
            <w:r w:rsidRPr="008A2411">
              <w:rPr>
                <w:rFonts w:ascii="Times New Roman" w:eastAsiaTheme="minorEastAsia"/>
                <w:color w:val="000000" w:themeColor="text1"/>
                <w:sz w:val="21"/>
                <w:szCs w:val="21"/>
              </w:rPr>
              <w:instrText xml:space="preserve"> = 1 \* GB3 </w:instrText>
            </w:r>
            <w:r w:rsidRPr="008A2411">
              <w:rPr>
                <w:rFonts w:ascii="Times New Roman" w:eastAsiaTheme="minorEastAsia"/>
                <w:color w:val="000000" w:themeColor="text1"/>
                <w:sz w:val="21"/>
                <w:szCs w:val="21"/>
              </w:rPr>
              <w:fldChar w:fldCharType="separate"/>
            </w:r>
            <w:r w:rsidRPr="008A2411">
              <w:rPr>
                <w:rFonts w:ascii="Times New Roman" w:eastAsiaTheme="minorEastAsia"/>
                <w:color w:val="000000" w:themeColor="text1"/>
                <w:sz w:val="21"/>
                <w:szCs w:val="21"/>
              </w:rPr>
              <w:t>①</w:t>
            </w:r>
            <w:r w:rsidRPr="008A2411">
              <w:rPr>
                <w:rFonts w:ascii="Times New Roman" w:eastAsiaTheme="minorEastAsia"/>
                <w:color w:val="000000" w:themeColor="text1"/>
                <w:sz w:val="21"/>
                <w:szCs w:val="21"/>
              </w:rPr>
              <w:fldChar w:fldCharType="end"/>
            </w:r>
            <w:r w:rsidRPr="008A2411">
              <w:rPr>
                <w:rFonts w:ascii="Times New Roman" w:eastAsiaTheme="minorEastAsia"/>
                <w:color w:val="000000" w:themeColor="text1"/>
                <w:sz w:val="21"/>
                <w:szCs w:val="21"/>
              </w:rPr>
              <w:t xml:space="preserve"> </w:t>
            </w:r>
            <w:r w:rsidRPr="008A2411">
              <w:rPr>
                <w:rFonts w:ascii="Times New Roman" w:eastAsiaTheme="minorEastAsia"/>
                <w:color w:val="000000" w:themeColor="text1"/>
                <w:sz w:val="21"/>
                <w:szCs w:val="21"/>
              </w:rPr>
              <w:t>天然气化工、硫化工等大气污染物排放较大或存在较大风险隐患或涉及异味、恶臭影响的产业布局在西北部扩展区，</w:t>
            </w:r>
            <w:proofErr w:type="gramStart"/>
            <w:r w:rsidRPr="008A2411">
              <w:rPr>
                <w:rFonts w:ascii="Times New Roman" w:eastAsiaTheme="minorEastAsia"/>
                <w:color w:val="000000" w:themeColor="text1"/>
                <w:sz w:val="21"/>
                <w:szCs w:val="21"/>
              </w:rPr>
              <w:t>锂钾综合开发</w:t>
            </w:r>
            <w:proofErr w:type="gramEnd"/>
            <w:r w:rsidRPr="008A2411">
              <w:rPr>
                <w:rFonts w:ascii="Times New Roman" w:eastAsiaTheme="minorEastAsia"/>
                <w:color w:val="000000" w:themeColor="text1"/>
                <w:sz w:val="21"/>
                <w:szCs w:val="21"/>
              </w:rPr>
              <w:t>、氯碱化工布局在西部扩展区；</w:t>
            </w:r>
          </w:p>
          <w:p w14:paraId="31F8F12C"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 xml:space="preserve">② </w:t>
            </w:r>
            <w:r w:rsidRPr="008A2411">
              <w:rPr>
                <w:rFonts w:ascii="Times New Roman" w:eastAsiaTheme="minorEastAsia"/>
                <w:color w:val="000000" w:themeColor="text1"/>
                <w:sz w:val="21"/>
                <w:szCs w:val="21"/>
              </w:rPr>
              <w:t>引导微玻纤新材料产业向</w:t>
            </w:r>
            <w:proofErr w:type="gramStart"/>
            <w:r w:rsidRPr="008A2411">
              <w:rPr>
                <w:rFonts w:ascii="Times New Roman" w:eastAsiaTheme="minorEastAsia"/>
                <w:color w:val="000000" w:themeColor="text1"/>
                <w:sz w:val="21"/>
                <w:szCs w:val="21"/>
              </w:rPr>
              <w:t>柳池功能</w:t>
            </w:r>
            <w:proofErr w:type="gramEnd"/>
            <w:r w:rsidRPr="008A2411">
              <w:rPr>
                <w:rFonts w:ascii="Times New Roman" w:eastAsiaTheme="minorEastAsia"/>
                <w:color w:val="000000" w:themeColor="text1"/>
                <w:sz w:val="21"/>
                <w:szCs w:val="21"/>
              </w:rPr>
              <w:t>区发展。</w:t>
            </w:r>
          </w:p>
        </w:tc>
        <w:tc>
          <w:tcPr>
            <w:tcW w:w="1514" w:type="pct"/>
            <w:shd w:val="clear" w:color="auto" w:fill="auto"/>
            <w:vAlign w:val="center"/>
          </w:tcPr>
          <w:p w14:paraId="3648F7B5"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本项目为天然气液化加工项目，位于园区普</w:t>
            </w:r>
            <w:proofErr w:type="gramStart"/>
            <w:r w:rsidRPr="008A2411">
              <w:rPr>
                <w:rFonts w:ascii="Times New Roman" w:eastAsiaTheme="minorEastAsia"/>
                <w:color w:val="000000" w:themeColor="text1"/>
                <w:sz w:val="21"/>
                <w:szCs w:val="21"/>
              </w:rPr>
              <w:t>光功能</w:t>
            </w:r>
            <w:proofErr w:type="gramEnd"/>
            <w:r w:rsidRPr="008A2411">
              <w:rPr>
                <w:rFonts w:ascii="Times New Roman" w:eastAsiaTheme="minorEastAsia"/>
                <w:color w:val="000000" w:themeColor="text1"/>
                <w:sz w:val="21"/>
                <w:szCs w:val="21"/>
              </w:rPr>
              <w:t>区偏西北部区域。</w:t>
            </w:r>
          </w:p>
        </w:tc>
        <w:tc>
          <w:tcPr>
            <w:tcW w:w="599" w:type="pct"/>
            <w:shd w:val="clear" w:color="auto" w:fill="auto"/>
            <w:vAlign w:val="center"/>
          </w:tcPr>
          <w:p w14:paraId="2853A29D"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符合</w:t>
            </w:r>
          </w:p>
        </w:tc>
      </w:tr>
      <w:tr w:rsidR="008A2411" w:rsidRPr="008A2411" w14:paraId="42D6C854" w14:textId="77777777">
        <w:trPr>
          <w:trHeight w:val="290"/>
        </w:trPr>
        <w:tc>
          <w:tcPr>
            <w:tcW w:w="241" w:type="pct"/>
            <w:vMerge/>
            <w:shd w:val="clear" w:color="auto" w:fill="auto"/>
            <w:vAlign w:val="center"/>
          </w:tcPr>
          <w:p w14:paraId="1F464A76" w14:textId="77777777" w:rsidR="00B0005F" w:rsidRPr="008A2411" w:rsidRDefault="00B0005F">
            <w:pPr>
              <w:adjustRightInd w:val="0"/>
              <w:snapToGrid w:val="0"/>
              <w:jc w:val="center"/>
              <w:rPr>
                <w:rFonts w:ascii="Times New Roman" w:eastAsiaTheme="minorEastAsia"/>
                <w:color w:val="000000" w:themeColor="text1"/>
                <w:sz w:val="21"/>
                <w:szCs w:val="21"/>
              </w:rPr>
            </w:pPr>
          </w:p>
        </w:tc>
        <w:tc>
          <w:tcPr>
            <w:tcW w:w="467" w:type="pct"/>
            <w:shd w:val="clear" w:color="auto" w:fill="auto"/>
            <w:vAlign w:val="center"/>
          </w:tcPr>
          <w:p w14:paraId="66A351E7"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污染物排放管控</w:t>
            </w:r>
          </w:p>
        </w:tc>
        <w:tc>
          <w:tcPr>
            <w:tcW w:w="2177" w:type="pct"/>
            <w:shd w:val="clear" w:color="auto" w:fill="auto"/>
            <w:vAlign w:val="center"/>
          </w:tcPr>
          <w:p w14:paraId="2289FE3C"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禁止引入涉及含铅（</w:t>
            </w:r>
            <w:r w:rsidRPr="008A2411">
              <w:rPr>
                <w:rFonts w:ascii="Times New Roman" w:eastAsiaTheme="minorEastAsia"/>
                <w:color w:val="000000" w:themeColor="text1"/>
                <w:sz w:val="21"/>
                <w:szCs w:val="21"/>
              </w:rPr>
              <w:t>pb</w:t>
            </w:r>
            <w:r w:rsidRPr="008A2411">
              <w:rPr>
                <w:rFonts w:ascii="Times New Roman" w:eastAsiaTheme="minorEastAsia"/>
                <w:color w:val="000000" w:themeColor="text1"/>
                <w:sz w:val="21"/>
                <w:szCs w:val="21"/>
              </w:rPr>
              <w:t>）、汞（</w:t>
            </w:r>
            <w:r w:rsidRPr="008A2411">
              <w:rPr>
                <w:rFonts w:ascii="Times New Roman" w:eastAsiaTheme="minorEastAsia"/>
                <w:color w:val="000000" w:themeColor="text1"/>
                <w:sz w:val="21"/>
                <w:szCs w:val="21"/>
              </w:rPr>
              <w:t>Hg</w:t>
            </w:r>
            <w:r w:rsidRPr="008A2411">
              <w:rPr>
                <w:rFonts w:ascii="Times New Roman" w:eastAsiaTheme="minorEastAsia"/>
                <w:color w:val="000000" w:themeColor="text1"/>
                <w:sz w:val="21"/>
                <w:szCs w:val="21"/>
              </w:rPr>
              <w:t>）、镉（</w:t>
            </w:r>
            <w:r w:rsidRPr="008A2411">
              <w:rPr>
                <w:rFonts w:ascii="Times New Roman" w:eastAsiaTheme="minorEastAsia"/>
                <w:color w:val="000000" w:themeColor="text1"/>
                <w:sz w:val="21"/>
                <w:szCs w:val="21"/>
              </w:rPr>
              <w:t>Cd</w:t>
            </w:r>
            <w:r w:rsidRPr="008A2411">
              <w:rPr>
                <w:rFonts w:ascii="Times New Roman" w:eastAsiaTheme="minorEastAsia"/>
                <w:color w:val="000000" w:themeColor="text1"/>
                <w:sz w:val="21"/>
                <w:szCs w:val="21"/>
              </w:rPr>
              <w:t>）、铬（</w:t>
            </w:r>
            <w:r w:rsidRPr="008A2411">
              <w:rPr>
                <w:rFonts w:ascii="Times New Roman" w:eastAsiaTheme="minorEastAsia"/>
                <w:color w:val="000000" w:themeColor="text1"/>
                <w:sz w:val="21"/>
                <w:szCs w:val="21"/>
              </w:rPr>
              <w:t>Cr</w:t>
            </w:r>
            <w:r w:rsidRPr="008A2411">
              <w:rPr>
                <w:rFonts w:ascii="Times New Roman" w:eastAsiaTheme="minorEastAsia"/>
                <w:color w:val="000000" w:themeColor="text1"/>
                <w:sz w:val="21"/>
                <w:szCs w:val="21"/>
              </w:rPr>
              <w:t>）、砷（</w:t>
            </w:r>
            <w:r w:rsidRPr="008A2411">
              <w:rPr>
                <w:rFonts w:ascii="Times New Roman" w:eastAsiaTheme="minorEastAsia"/>
                <w:color w:val="000000" w:themeColor="text1"/>
                <w:sz w:val="21"/>
                <w:szCs w:val="21"/>
              </w:rPr>
              <w:t>As</w:t>
            </w:r>
            <w:r w:rsidRPr="008A2411">
              <w:rPr>
                <w:rFonts w:ascii="Times New Roman" w:eastAsiaTheme="minorEastAsia"/>
                <w:color w:val="000000" w:themeColor="text1"/>
                <w:sz w:val="21"/>
                <w:szCs w:val="21"/>
              </w:rPr>
              <w:t>）五类重金属废水排放的项目。</w:t>
            </w:r>
          </w:p>
        </w:tc>
        <w:tc>
          <w:tcPr>
            <w:tcW w:w="1514" w:type="pct"/>
            <w:shd w:val="clear" w:color="auto" w:fill="auto"/>
            <w:vAlign w:val="center"/>
          </w:tcPr>
          <w:p w14:paraId="22EB0C2E"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本项目无涉及含铅（</w:t>
            </w:r>
            <w:r w:rsidRPr="008A2411">
              <w:rPr>
                <w:rFonts w:ascii="Times New Roman" w:eastAsiaTheme="minorEastAsia"/>
                <w:color w:val="000000" w:themeColor="text1"/>
                <w:sz w:val="21"/>
                <w:szCs w:val="21"/>
              </w:rPr>
              <w:t>pb</w:t>
            </w:r>
            <w:r w:rsidRPr="008A2411">
              <w:rPr>
                <w:rFonts w:ascii="Times New Roman" w:eastAsiaTheme="minorEastAsia"/>
                <w:color w:val="000000" w:themeColor="text1"/>
                <w:sz w:val="21"/>
                <w:szCs w:val="21"/>
              </w:rPr>
              <w:t>）、汞（</w:t>
            </w:r>
            <w:r w:rsidRPr="008A2411">
              <w:rPr>
                <w:rFonts w:ascii="Times New Roman" w:eastAsiaTheme="minorEastAsia"/>
                <w:color w:val="000000" w:themeColor="text1"/>
                <w:sz w:val="21"/>
                <w:szCs w:val="21"/>
              </w:rPr>
              <w:t>Hg</w:t>
            </w:r>
            <w:r w:rsidRPr="008A2411">
              <w:rPr>
                <w:rFonts w:ascii="Times New Roman" w:eastAsiaTheme="minorEastAsia"/>
                <w:color w:val="000000" w:themeColor="text1"/>
                <w:sz w:val="21"/>
                <w:szCs w:val="21"/>
              </w:rPr>
              <w:t>）、镉（</w:t>
            </w:r>
            <w:r w:rsidRPr="008A2411">
              <w:rPr>
                <w:rFonts w:ascii="Times New Roman" w:eastAsiaTheme="minorEastAsia"/>
                <w:color w:val="000000" w:themeColor="text1"/>
                <w:sz w:val="21"/>
                <w:szCs w:val="21"/>
              </w:rPr>
              <w:t>Cd</w:t>
            </w:r>
            <w:r w:rsidRPr="008A2411">
              <w:rPr>
                <w:rFonts w:ascii="Times New Roman" w:eastAsiaTheme="minorEastAsia"/>
                <w:color w:val="000000" w:themeColor="text1"/>
                <w:sz w:val="21"/>
                <w:szCs w:val="21"/>
              </w:rPr>
              <w:t>）、铬（</w:t>
            </w:r>
            <w:r w:rsidRPr="008A2411">
              <w:rPr>
                <w:rFonts w:ascii="Times New Roman" w:eastAsiaTheme="minorEastAsia"/>
                <w:color w:val="000000" w:themeColor="text1"/>
                <w:sz w:val="21"/>
                <w:szCs w:val="21"/>
              </w:rPr>
              <w:t>Cr</w:t>
            </w:r>
            <w:r w:rsidRPr="008A2411">
              <w:rPr>
                <w:rFonts w:ascii="Times New Roman" w:eastAsiaTheme="minorEastAsia"/>
                <w:color w:val="000000" w:themeColor="text1"/>
                <w:sz w:val="21"/>
                <w:szCs w:val="21"/>
              </w:rPr>
              <w:t>）、砷（</w:t>
            </w:r>
            <w:r w:rsidRPr="008A2411">
              <w:rPr>
                <w:rFonts w:ascii="Times New Roman" w:eastAsiaTheme="minorEastAsia"/>
                <w:color w:val="000000" w:themeColor="text1"/>
                <w:sz w:val="21"/>
                <w:szCs w:val="21"/>
              </w:rPr>
              <w:t>As</w:t>
            </w:r>
            <w:r w:rsidRPr="008A2411">
              <w:rPr>
                <w:rFonts w:ascii="Times New Roman" w:eastAsiaTheme="minorEastAsia"/>
                <w:color w:val="000000" w:themeColor="text1"/>
                <w:sz w:val="21"/>
                <w:szCs w:val="21"/>
              </w:rPr>
              <w:t>）五类重金属的废水排放</w:t>
            </w:r>
          </w:p>
        </w:tc>
        <w:tc>
          <w:tcPr>
            <w:tcW w:w="599" w:type="pct"/>
            <w:shd w:val="clear" w:color="auto" w:fill="auto"/>
            <w:vAlign w:val="center"/>
          </w:tcPr>
          <w:p w14:paraId="2E3F0605"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符合</w:t>
            </w:r>
          </w:p>
        </w:tc>
      </w:tr>
      <w:tr w:rsidR="008A2411" w:rsidRPr="008A2411" w14:paraId="53142DA8" w14:textId="77777777">
        <w:trPr>
          <w:trHeight w:val="290"/>
        </w:trPr>
        <w:tc>
          <w:tcPr>
            <w:tcW w:w="241" w:type="pct"/>
            <w:vMerge/>
            <w:shd w:val="clear" w:color="auto" w:fill="auto"/>
            <w:vAlign w:val="center"/>
          </w:tcPr>
          <w:p w14:paraId="44D0288A" w14:textId="77777777" w:rsidR="00B0005F" w:rsidRPr="008A2411" w:rsidRDefault="00B0005F">
            <w:pPr>
              <w:adjustRightInd w:val="0"/>
              <w:snapToGrid w:val="0"/>
              <w:jc w:val="center"/>
              <w:rPr>
                <w:rFonts w:ascii="Times New Roman" w:eastAsiaTheme="minorEastAsia"/>
                <w:color w:val="000000" w:themeColor="text1"/>
                <w:sz w:val="21"/>
                <w:szCs w:val="21"/>
              </w:rPr>
            </w:pPr>
          </w:p>
        </w:tc>
        <w:tc>
          <w:tcPr>
            <w:tcW w:w="467" w:type="pct"/>
            <w:shd w:val="clear" w:color="auto" w:fill="auto"/>
            <w:vAlign w:val="center"/>
          </w:tcPr>
          <w:p w14:paraId="00B010CD"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环境风险防控</w:t>
            </w:r>
          </w:p>
        </w:tc>
        <w:tc>
          <w:tcPr>
            <w:tcW w:w="2177" w:type="pct"/>
            <w:shd w:val="clear" w:color="auto" w:fill="auto"/>
            <w:vAlign w:val="center"/>
          </w:tcPr>
          <w:p w14:paraId="7D8133B4"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fldChar w:fldCharType="begin"/>
            </w:r>
            <w:r w:rsidRPr="008A2411">
              <w:rPr>
                <w:rFonts w:ascii="Times New Roman" w:eastAsiaTheme="minorEastAsia"/>
                <w:color w:val="000000" w:themeColor="text1"/>
                <w:sz w:val="21"/>
                <w:szCs w:val="21"/>
              </w:rPr>
              <w:instrText xml:space="preserve"> = 1 \* GB3 </w:instrText>
            </w:r>
            <w:r w:rsidRPr="008A2411">
              <w:rPr>
                <w:rFonts w:ascii="Times New Roman" w:eastAsiaTheme="minorEastAsia"/>
                <w:color w:val="000000" w:themeColor="text1"/>
                <w:sz w:val="21"/>
                <w:szCs w:val="21"/>
              </w:rPr>
              <w:fldChar w:fldCharType="separate"/>
            </w:r>
            <w:r w:rsidRPr="008A2411">
              <w:rPr>
                <w:rFonts w:ascii="Times New Roman" w:eastAsiaTheme="minorEastAsia"/>
                <w:color w:val="000000" w:themeColor="text1"/>
                <w:sz w:val="21"/>
                <w:szCs w:val="21"/>
              </w:rPr>
              <w:t>①</w:t>
            </w:r>
            <w:r w:rsidRPr="008A2411">
              <w:rPr>
                <w:rFonts w:ascii="Times New Roman" w:eastAsiaTheme="minorEastAsia"/>
                <w:color w:val="000000" w:themeColor="text1"/>
                <w:sz w:val="21"/>
                <w:szCs w:val="21"/>
              </w:rPr>
              <w:fldChar w:fldCharType="end"/>
            </w:r>
            <w:r w:rsidRPr="008A2411">
              <w:rPr>
                <w:rFonts w:ascii="Times New Roman" w:eastAsiaTheme="minorEastAsia"/>
                <w:color w:val="000000" w:themeColor="text1"/>
                <w:sz w:val="21"/>
                <w:szCs w:val="21"/>
              </w:rPr>
              <w:t xml:space="preserve"> </w:t>
            </w:r>
            <w:r w:rsidRPr="008A2411">
              <w:rPr>
                <w:rFonts w:ascii="Times New Roman" w:eastAsiaTheme="minorEastAsia"/>
                <w:color w:val="000000" w:themeColor="text1"/>
                <w:sz w:val="21"/>
                <w:szCs w:val="21"/>
              </w:rPr>
              <w:t>天然气化工中禁止发展合成氨、硝酸铵、有机硫化工、氢氰酸等高污染、高风险项目。</w:t>
            </w:r>
          </w:p>
          <w:p w14:paraId="60A9792D"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 xml:space="preserve">② </w:t>
            </w:r>
            <w:r w:rsidRPr="008A2411">
              <w:rPr>
                <w:rFonts w:ascii="Times New Roman" w:eastAsiaTheme="minorEastAsia"/>
                <w:color w:val="000000" w:themeColor="text1"/>
                <w:sz w:val="21"/>
                <w:szCs w:val="21"/>
              </w:rPr>
              <w:t>有重大涉水风险隐患的项目投产前，应完成宣汉县城市集中式饮用水水源取水口的调整。</w:t>
            </w:r>
          </w:p>
        </w:tc>
        <w:tc>
          <w:tcPr>
            <w:tcW w:w="1514" w:type="pct"/>
            <w:shd w:val="clear" w:color="auto" w:fill="auto"/>
            <w:vAlign w:val="center"/>
          </w:tcPr>
          <w:p w14:paraId="609A913B"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本项目为天然气液化加工项目，加工过程不含合成氨、硝酸铵、有机硫化工、氢氰酸等高污染、高风险等工序。项目采取了涉水风险防控措施，无重大涉</w:t>
            </w:r>
            <w:r w:rsidRPr="008A2411">
              <w:rPr>
                <w:rFonts w:ascii="Times New Roman" w:eastAsiaTheme="minorEastAsia"/>
                <w:color w:val="000000" w:themeColor="text1"/>
                <w:sz w:val="21"/>
                <w:szCs w:val="21"/>
              </w:rPr>
              <w:lastRenderedPageBreak/>
              <w:t>水风险隐患。</w:t>
            </w:r>
          </w:p>
        </w:tc>
        <w:tc>
          <w:tcPr>
            <w:tcW w:w="599" w:type="pct"/>
            <w:shd w:val="clear" w:color="auto" w:fill="auto"/>
            <w:vAlign w:val="center"/>
          </w:tcPr>
          <w:p w14:paraId="24C27521"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lastRenderedPageBreak/>
              <w:t>符合</w:t>
            </w:r>
          </w:p>
        </w:tc>
      </w:tr>
      <w:tr w:rsidR="008A2411" w:rsidRPr="008A2411" w14:paraId="1FA688B2" w14:textId="77777777">
        <w:trPr>
          <w:trHeight w:val="290"/>
        </w:trPr>
        <w:tc>
          <w:tcPr>
            <w:tcW w:w="241" w:type="pct"/>
            <w:vMerge/>
            <w:shd w:val="clear" w:color="auto" w:fill="auto"/>
            <w:vAlign w:val="center"/>
          </w:tcPr>
          <w:p w14:paraId="4828687D" w14:textId="77777777" w:rsidR="00B0005F" w:rsidRPr="008A2411" w:rsidRDefault="00B0005F">
            <w:pPr>
              <w:adjustRightInd w:val="0"/>
              <w:snapToGrid w:val="0"/>
              <w:jc w:val="center"/>
              <w:rPr>
                <w:rFonts w:ascii="Times New Roman" w:eastAsiaTheme="minorEastAsia"/>
                <w:color w:val="000000" w:themeColor="text1"/>
                <w:sz w:val="21"/>
                <w:szCs w:val="21"/>
              </w:rPr>
            </w:pPr>
          </w:p>
        </w:tc>
        <w:tc>
          <w:tcPr>
            <w:tcW w:w="467" w:type="pct"/>
            <w:shd w:val="clear" w:color="auto" w:fill="auto"/>
            <w:vAlign w:val="center"/>
          </w:tcPr>
          <w:p w14:paraId="513D50CF"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资源开发利用要求</w:t>
            </w:r>
          </w:p>
        </w:tc>
        <w:tc>
          <w:tcPr>
            <w:tcW w:w="2177" w:type="pct"/>
            <w:shd w:val="clear" w:color="auto" w:fill="auto"/>
            <w:vAlign w:val="center"/>
          </w:tcPr>
          <w:p w14:paraId="38520764"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执行</w:t>
            </w:r>
            <w:r w:rsidRPr="008A2411">
              <w:rPr>
                <w:rFonts w:ascii="Times New Roman" w:eastAsiaTheme="minorEastAsia" w:hint="eastAsia"/>
                <w:color w:val="000000" w:themeColor="text1"/>
                <w:sz w:val="21"/>
                <w:szCs w:val="21"/>
              </w:rPr>
              <w:t>“</w:t>
            </w:r>
            <w:r w:rsidRPr="008A2411">
              <w:rPr>
                <w:rFonts w:ascii="Times New Roman" w:eastAsiaTheme="minorEastAsia"/>
                <w:color w:val="000000" w:themeColor="text1"/>
                <w:sz w:val="21"/>
                <w:szCs w:val="21"/>
              </w:rPr>
              <w:t>总体管控要求及准入清单</w:t>
            </w:r>
            <w:r w:rsidRPr="008A2411">
              <w:rPr>
                <w:rFonts w:ascii="Times New Roman" w:eastAsiaTheme="minorEastAsia" w:hint="eastAsia"/>
                <w:color w:val="000000" w:themeColor="text1"/>
                <w:sz w:val="21"/>
                <w:szCs w:val="21"/>
              </w:rPr>
              <w:t>”</w:t>
            </w:r>
            <w:r w:rsidRPr="008A2411">
              <w:rPr>
                <w:rFonts w:ascii="Times New Roman" w:eastAsiaTheme="minorEastAsia"/>
                <w:color w:val="000000" w:themeColor="text1"/>
                <w:sz w:val="21"/>
                <w:szCs w:val="21"/>
              </w:rPr>
              <w:t>。</w:t>
            </w:r>
          </w:p>
        </w:tc>
        <w:tc>
          <w:tcPr>
            <w:tcW w:w="1514" w:type="pct"/>
            <w:shd w:val="clear" w:color="auto" w:fill="auto"/>
            <w:vAlign w:val="center"/>
          </w:tcPr>
          <w:p w14:paraId="3DF25A46"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本项目严格执行了规划环评中的</w:t>
            </w:r>
            <w:r w:rsidRPr="008A2411">
              <w:rPr>
                <w:rFonts w:ascii="Times New Roman" w:eastAsiaTheme="minorEastAsia" w:hint="eastAsia"/>
                <w:color w:val="000000" w:themeColor="text1"/>
                <w:sz w:val="21"/>
                <w:szCs w:val="21"/>
              </w:rPr>
              <w:t>“</w:t>
            </w:r>
            <w:r w:rsidRPr="008A2411">
              <w:rPr>
                <w:rFonts w:ascii="Times New Roman" w:eastAsiaTheme="minorEastAsia"/>
                <w:color w:val="000000" w:themeColor="text1"/>
                <w:sz w:val="21"/>
                <w:szCs w:val="21"/>
              </w:rPr>
              <w:t>总体管控要求及准入清单</w:t>
            </w:r>
            <w:r w:rsidRPr="008A2411">
              <w:rPr>
                <w:rFonts w:ascii="Times New Roman" w:eastAsiaTheme="minorEastAsia" w:hint="eastAsia"/>
                <w:color w:val="000000" w:themeColor="text1"/>
                <w:sz w:val="21"/>
                <w:szCs w:val="21"/>
              </w:rPr>
              <w:t>”</w:t>
            </w:r>
            <w:r w:rsidRPr="008A2411">
              <w:rPr>
                <w:rFonts w:ascii="Times New Roman" w:eastAsiaTheme="minorEastAsia"/>
                <w:color w:val="000000" w:themeColor="text1"/>
                <w:sz w:val="21"/>
                <w:szCs w:val="21"/>
              </w:rPr>
              <w:t>要求</w:t>
            </w:r>
          </w:p>
        </w:tc>
        <w:tc>
          <w:tcPr>
            <w:tcW w:w="599" w:type="pct"/>
            <w:shd w:val="clear" w:color="auto" w:fill="auto"/>
            <w:vAlign w:val="center"/>
          </w:tcPr>
          <w:p w14:paraId="157E0C32" w14:textId="77777777" w:rsidR="00B0005F" w:rsidRPr="008A2411" w:rsidRDefault="00000000">
            <w:pPr>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符合</w:t>
            </w:r>
          </w:p>
        </w:tc>
      </w:tr>
    </w:tbl>
    <w:p w14:paraId="52D6E6C9"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由上表可见，本项目属于《产业结构调整指导目录（</w:t>
      </w:r>
      <w:r w:rsidRPr="008A2411">
        <w:rPr>
          <w:rFonts w:ascii="Times New Roman"/>
          <w:color w:val="000000" w:themeColor="text1"/>
        </w:rPr>
        <w:t xml:space="preserve">2021 </w:t>
      </w:r>
      <w:r w:rsidRPr="008A2411">
        <w:rPr>
          <w:rFonts w:ascii="Times New Roman"/>
          <w:color w:val="000000" w:themeColor="text1"/>
        </w:rPr>
        <w:t>年修订本）》鼓励类产业，符合国家</w:t>
      </w:r>
      <w:proofErr w:type="gramStart"/>
      <w:r w:rsidRPr="008A2411">
        <w:rPr>
          <w:rFonts w:ascii="Times New Roman"/>
          <w:color w:val="000000" w:themeColor="text1"/>
        </w:rPr>
        <w:t>现行产业</w:t>
      </w:r>
      <w:proofErr w:type="gramEnd"/>
      <w:r w:rsidRPr="008A2411">
        <w:rPr>
          <w:rFonts w:ascii="Times New Roman"/>
          <w:color w:val="000000" w:themeColor="text1"/>
        </w:rPr>
        <w:t>政策。本项目属于天然气液化加工项目，不属于重污染项目，项目属于园区鼓励入园行业名录，符合达州市宣汉县普光化工园区规划环评</w:t>
      </w:r>
      <w:r w:rsidRPr="008A2411">
        <w:rPr>
          <w:rFonts w:ascii="Times New Roman" w:hint="eastAsia"/>
          <w:color w:val="000000" w:themeColor="text1"/>
        </w:rPr>
        <w:t>的要求</w:t>
      </w:r>
      <w:r w:rsidRPr="008A2411">
        <w:rPr>
          <w:rFonts w:ascii="Times New Roman"/>
          <w:color w:val="000000" w:themeColor="text1"/>
        </w:rPr>
        <w:t>。</w:t>
      </w:r>
    </w:p>
    <w:p w14:paraId="196089DC" w14:textId="77777777" w:rsidR="00B0005F" w:rsidRPr="008A2411" w:rsidRDefault="00000000">
      <w:pPr>
        <w:adjustRightInd w:val="0"/>
        <w:spacing w:line="360" w:lineRule="auto"/>
        <w:outlineLvl w:val="2"/>
        <w:rPr>
          <w:rFonts w:ascii="Times New Roman"/>
          <w:b/>
          <w:color w:val="000000" w:themeColor="text1"/>
        </w:rPr>
      </w:pPr>
      <w:r w:rsidRPr="008A2411">
        <w:rPr>
          <w:rFonts w:ascii="Times New Roman"/>
          <w:b/>
          <w:color w:val="000000" w:themeColor="text1"/>
        </w:rPr>
        <w:t xml:space="preserve">2.4.3 </w:t>
      </w:r>
      <w:r w:rsidRPr="008A2411">
        <w:rPr>
          <w:rFonts w:ascii="Times New Roman"/>
          <w:b/>
          <w:color w:val="000000" w:themeColor="text1"/>
        </w:rPr>
        <w:t>选址合理性分析</w:t>
      </w:r>
    </w:p>
    <w:p w14:paraId="2795726C"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1</w:t>
      </w:r>
      <w:r w:rsidRPr="008A2411">
        <w:rPr>
          <w:rFonts w:ascii="Times New Roman"/>
          <w:color w:val="000000" w:themeColor="text1"/>
        </w:rPr>
        <w:t>、选址周边外环境情况</w:t>
      </w:r>
      <w:r w:rsidRPr="008A2411">
        <w:rPr>
          <w:rFonts w:ascii="Times New Roman"/>
          <w:color w:val="000000" w:themeColor="text1"/>
        </w:rPr>
        <w:t xml:space="preserve"> </w:t>
      </w:r>
    </w:p>
    <w:p w14:paraId="2B53673C"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拟建项目厂区位于四川达州普光经济开发区</w:t>
      </w:r>
      <w:r w:rsidRPr="008A2411">
        <w:rPr>
          <w:rFonts w:ascii="Times New Roman"/>
          <w:color w:val="000000" w:themeColor="text1"/>
        </w:rPr>
        <w:t>-</w:t>
      </w:r>
      <w:r w:rsidRPr="008A2411">
        <w:rPr>
          <w:rFonts w:ascii="Times New Roman"/>
          <w:color w:val="000000" w:themeColor="text1"/>
        </w:rPr>
        <w:t>中国（普光）</w:t>
      </w:r>
      <w:proofErr w:type="gramStart"/>
      <w:r w:rsidRPr="008A2411">
        <w:rPr>
          <w:rFonts w:ascii="Times New Roman"/>
          <w:color w:val="000000" w:themeColor="text1"/>
        </w:rPr>
        <w:t>锂钾资源</w:t>
      </w:r>
      <w:proofErr w:type="gramEnd"/>
      <w:r w:rsidRPr="008A2411">
        <w:rPr>
          <w:rFonts w:ascii="Times New Roman"/>
          <w:color w:val="000000" w:themeColor="text1"/>
        </w:rPr>
        <w:t>综合开发产业园，目前项目周边基本为园区待建空地（山林地），厂区南侧紧邻园区内已建的工业大道。</w:t>
      </w:r>
    </w:p>
    <w:p w14:paraId="39AC4602"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根据外环境关系调查，距离项目厂区厂界最近的保护目标为厂界东侧</w:t>
      </w:r>
      <w:r w:rsidRPr="008A2411">
        <w:rPr>
          <w:rFonts w:ascii="Times New Roman"/>
          <w:color w:val="000000" w:themeColor="text1"/>
        </w:rPr>
        <w:t>81m</w:t>
      </w:r>
      <w:r w:rsidRPr="008A2411">
        <w:rPr>
          <w:rFonts w:ascii="Times New Roman"/>
          <w:color w:val="000000" w:themeColor="text1"/>
        </w:rPr>
        <w:t>处严家坪居民。项目评价范围内无自然保护区、风景名胜区、文化遗产保护区、世界文化自然遗产和森林公园、地质公园、湿地公园等保护地以及饮用水水源保护区。项目周边</w:t>
      </w:r>
      <w:r w:rsidRPr="008A2411">
        <w:rPr>
          <w:rFonts w:ascii="Times New Roman"/>
          <w:color w:val="000000" w:themeColor="text1"/>
        </w:rPr>
        <w:t>5km</w:t>
      </w:r>
      <w:r w:rsidRPr="008A2411">
        <w:rPr>
          <w:rFonts w:ascii="Times New Roman"/>
          <w:color w:val="000000" w:themeColor="text1"/>
        </w:rPr>
        <w:t>范围内的环境敏感目标主要为小型的场镇、居民小区、散户居民，且人口居住较为集中的土主镇场镇分布在场地常年主导风向的侧风向。</w:t>
      </w:r>
    </w:p>
    <w:p w14:paraId="21069312"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项目厂区所在区域地表水体包括后巴河支流、后巴河、后河。其中后巴河支流位于厂区南侧</w:t>
      </w:r>
      <w:r w:rsidRPr="008A2411">
        <w:rPr>
          <w:rFonts w:ascii="Times New Roman"/>
          <w:color w:val="000000" w:themeColor="text1"/>
        </w:rPr>
        <w:t>165m</w:t>
      </w:r>
      <w:r w:rsidRPr="008A2411">
        <w:rPr>
          <w:rFonts w:ascii="Times New Roman"/>
          <w:color w:val="000000" w:themeColor="text1"/>
        </w:rPr>
        <w:t>处，为距离厂区最近河流，属于</w:t>
      </w:r>
      <w:r w:rsidRPr="008A2411">
        <w:rPr>
          <w:rFonts w:ascii="Times New Roman"/>
          <w:color w:val="000000" w:themeColor="text1"/>
        </w:rPr>
        <w:t xml:space="preserve"> III </w:t>
      </w:r>
      <w:r w:rsidRPr="008A2411">
        <w:rPr>
          <w:rFonts w:ascii="Times New Roman"/>
          <w:color w:val="000000" w:themeColor="text1"/>
        </w:rPr>
        <w:t>类水域，其水体功能包括泄洪、农灌等，于东侧（下游</w:t>
      </w:r>
      <w:r w:rsidRPr="008A2411">
        <w:rPr>
          <w:rFonts w:ascii="Times New Roman"/>
          <w:color w:val="000000" w:themeColor="text1"/>
        </w:rPr>
        <w:t>1.5km</w:t>
      </w:r>
      <w:r w:rsidRPr="008A2411">
        <w:rPr>
          <w:rFonts w:ascii="Times New Roman"/>
          <w:color w:val="000000" w:themeColor="text1"/>
        </w:rPr>
        <w:t>）处汇入后巴河；后巴河位于厂区东侧</w:t>
      </w:r>
      <w:r w:rsidRPr="008A2411">
        <w:rPr>
          <w:rFonts w:ascii="Times New Roman"/>
          <w:color w:val="000000" w:themeColor="text1"/>
        </w:rPr>
        <w:t xml:space="preserve"> 664m</w:t>
      </w:r>
      <w:r w:rsidRPr="008A2411">
        <w:rPr>
          <w:rFonts w:ascii="Times New Roman"/>
          <w:color w:val="000000" w:themeColor="text1"/>
        </w:rPr>
        <w:t>处，属于</w:t>
      </w:r>
      <w:r w:rsidRPr="008A2411">
        <w:rPr>
          <w:rFonts w:ascii="Times New Roman"/>
          <w:color w:val="000000" w:themeColor="text1"/>
        </w:rPr>
        <w:t xml:space="preserve"> III </w:t>
      </w:r>
      <w:r w:rsidRPr="008A2411">
        <w:rPr>
          <w:rFonts w:ascii="Times New Roman"/>
          <w:color w:val="000000" w:themeColor="text1"/>
        </w:rPr>
        <w:t>类水域，其水体功能包括泄洪、农灌等，于东侧下游</w:t>
      </w:r>
      <w:r w:rsidRPr="008A2411">
        <w:rPr>
          <w:rFonts w:ascii="Times New Roman"/>
          <w:color w:val="000000" w:themeColor="text1"/>
        </w:rPr>
        <w:t>5.6km</w:t>
      </w:r>
      <w:r w:rsidRPr="008A2411">
        <w:rPr>
          <w:rFonts w:ascii="Times New Roman"/>
          <w:color w:val="000000" w:themeColor="text1"/>
        </w:rPr>
        <w:t>处汇入后河；后河位于厂区东面</w:t>
      </w:r>
      <w:r w:rsidRPr="008A2411">
        <w:rPr>
          <w:rFonts w:ascii="Times New Roman"/>
          <w:color w:val="000000" w:themeColor="text1"/>
        </w:rPr>
        <w:t>5.2km</w:t>
      </w:r>
      <w:r w:rsidRPr="008A2411">
        <w:rPr>
          <w:rFonts w:ascii="Times New Roman"/>
          <w:color w:val="000000" w:themeColor="text1"/>
        </w:rPr>
        <w:t>处，为后河特有鱼类国家级水产种质资源保护区主要河段。本项目生产及生活污水经污水预处理系统预处理后排入市政管网，进入宣汉县普光工业园区污水处理厂处理，最终达标排放。项目外环境关系见附图</w:t>
      </w:r>
      <w:r w:rsidRPr="008A2411">
        <w:rPr>
          <w:rFonts w:ascii="Times New Roman"/>
          <w:color w:val="000000" w:themeColor="text1"/>
        </w:rPr>
        <w:t>2</w:t>
      </w:r>
      <w:r w:rsidRPr="008A2411">
        <w:rPr>
          <w:rFonts w:ascii="Times New Roman"/>
          <w:color w:val="000000" w:themeColor="text1"/>
        </w:rPr>
        <w:t>。</w:t>
      </w:r>
      <w:r w:rsidRPr="008A2411">
        <w:rPr>
          <w:rFonts w:ascii="Times New Roman"/>
          <w:color w:val="000000" w:themeColor="text1"/>
        </w:rPr>
        <w:t xml:space="preserve"> </w:t>
      </w:r>
    </w:p>
    <w:p w14:paraId="1444D2F0"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2</w:t>
      </w:r>
      <w:r w:rsidRPr="008A2411">
        <w:rPr>
          <w:rFonts w:ascii="Times New Roman"/>
          <w:color w:val="000000" w:themeColor="text1"/>
        </w:rPr>
        <w:t>、环境相容性分析</w:t>
      </w:r>
      <w:r w:rsidRPr="008A2411">
        <w:rPr>
          <w:rFonts w:ascii="Times New Roman"/>
          <w:color w:val="000000" w:themeColor="text1"/>
        </w:rPr>
        <w:t xml:space="preserve"> </w:t>
      </w:r>
    </w:p>
    <w:p w14:paraId="1CEC2661"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本项目厂区选址于四川达州普光经济开发区</w:t>
      </w:r>
      <w:r w:rsidRPr="008A2411">
        <w:rPr>
          <w:rFonts w:ascii="Times New Roman"/>
          <w:color w:val="000000" w:themeColor="text1"/>
        </w:rPr>
        <w:t>-</w:t>
      </w:r>
      <w:r w:rsidRPr="008A2411">
        <w:rPr>
          <w:rFonts w:ascii="Times New Roman"/>
          <w:color w:val="000000" w:themeColor="text1"/>
        </w:rPr>
        <w:t>中国（普光）</w:t>
      </w:r>
      <w:proofErr w:type="gramStart"/>
      <w:r w:rsidRPr="008A2411">
        <w:rPr>
          <w:rFonts w:ascii="Times New Roman"/>
          <w:color w:val="000000" w:themeColor="text1"/>
        </w:rPr>
        <w:t>锂钾资源</w:t>
      </w:r>
      <w:proofErr w:type="gramEnd"/>
      <w:r w:rsidRPr="008A2411">
        <w:rPr>
          <w:rFonts w:ascii="Times New Roman"/>
          <w:color w:val="000000" w:themeColor="text1"/>
        </w:rPr>
        <w:t>综合开发产业园，行业类型为园区重点发展行业。符合园区的园区主导产业，与规划环</w:t>
      </w:r>
      <w:proofErr w:type="gramStart"/>
      <w:r w:rsidRPr="008A2411">
        <w:rPr>
          <w:rFonts w:ascii="Times New Roman"/>
          <w:color w:val="000000" w:themeColor="text1"/>
        </w:rPr>
        <w:t>评要求</w:t>
      </w:r>
      <w:proofErr w:type="gramEnd"/>
      <w:r w:rsidRPr="008A2411">
        <w:rPr>
          <w:rFonts w:ascii="Times New Roman"/>
          <w:color w:val="000000" w:themeColor="text1"/>
        </w:rPr>
        <w:t>及审查意见要求相容，周边均为工业用地，本项目外排废气与区域内引进</w:t>
      </w:r>
      <w:r w:rsidRPr="008A2411">
        <w:rPr>
          <w:rFonts w:ascii="Times New Roman"/>
          <w:color w:val="000000" w:themeColor="text1"/>
        </w:rPr>
        <w:lastRenderedPageBreak/>
        <w:t>企业相容，不受本项目外排污染物影响。根据大气预测结果可见，本项目实施后，区域大气环境仍满足《环境空气质量标准</w:t>
      </w:r>
      <w:r w:rsidRPr="008A2411">
        <w:rPr>
          <w:rFonts w:ascii="Times New Roman"/>
          <w:color w:val="000000" w:themeColor="text1"/>
        </w:rPr>
        <w:t xml:space="preserve"> </w:t>
      </w:r>
      <w:r w:rsidRPr="008A2411">
        <w:rPr>
          <w:rFonts w:ascii="Times New Roman"/>
          <w:color w:val="000000" w:themeColor="text1"/>
        </w:rPr>
        <w:t>（</w:t>
      </w:r>
      <w:r w:rsidRPr="008A2411">
        <w:rPr>
          <w:rFonts w:ascii="Times New Roman"/>
          <w:color w:val="000000" w:themeColor="text1"/>
        </w:rPr>
        <w:t>GB3095-2012</w:t>
      </w:r>
      <w:r w:rsidRPr="008A2411">
        <w:rPr>
          <w:rFonts w:ascii="Times New Roman"/>
          <w:color w:val="000000" w:themeColor="text1"/>
        </w:rPr>
        <w:t>）》二级标准；项目在采取严格的防渗措施后，不会对地下水造成污染；</w:t>
      </w:r>
      <w:proofErr w:type="gramStart"/>
      <w:r w:rsidRPr="008A2411">
        <w:rPr>
          <w:rFonts w:ascii="Times New Roman"/>
          <w:color w:val="000000" w:themeColor="text1"/>
        </w:rPr>
        <w:t>项目声</w:t>
      </w:r>
      <w:proofErr w:type="gramEnd"/>
      <w:r w:rsidRPr="008A2411">
        <w:rPr>
          <w:rFonts w:ascii="Times New Roman"/>
          <w:color w:val="000000" w:themeColor="text1"/>
        </w:rPr>
        <w:t>环境满足《声环境质量标准（</w:t>
      </w:r>
      <w:r w:rsidRPr="008A2411">
        <w:rPr>
          <w:rFonts w:ascii="Times New Roman"/>
          <w:color w:val="000000" w:themeColor="text1"/>
        </w:rPr>
        <w:t>GB3096-2008</w:t>
      </w:r>
      <w:r w:rsidRPr="008A2411">
        <w:rPr>
          <w:rFonts w:ascii="Times New Roman"/>
          <w:color w:val="000000" w:themeColor="text1"/>
        </w:rPr>
        <w:t>）》</w:t>
      </w:r>
      <w:r w:rsidRPr="008A2411">
        <w:rPr>
          <w:rFonts w:ascii="Times New Roman"/>
          <w:color w:val="000000" w:themeColor="text1"/>
        </w:rPr>
        <w:t xml:space="preserve">3 </w:t>
      </w:r>
      <w:r w:rsidRPr="008A2411">
        <w:rPr>
          <w:rFonts w:ascii="Times New Roman"/>
          <w:color w:val="000000" w:themeColor="text1"/>
        </w:rPr>
        <w:t>类标准。生产及生活污水经污水预处理系统预处理后排入市政管网进入宣汉县普光工业园区污水处理厂处理，最终达标排放。可见，项目实施后不会改变区域环境功能。</w:t>
      </w:r>
      <w:r w:rsidRPr="008A2411">
        <w:rPr>
          <w:rFonts w:ascii="Times New Roman"/>
          <w:color w:val="000000" w:themeColor="text1"/>
        </w:rPr>
        <w:t xml:space="preserve"> </w:t>
      </w:r>
    </w:p>
    <w:p w14:paraId="2A891CB3"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综上分析可见，本项目实施后不会改变区域环境功能，与周围环境相容。</w:t>
      </w:r>
      <w:r w:rsidRPr="008A2411">
        <w:rPr>
          <w:rFonts w:ascii="Times New Roman"/>
          <w:color w:val="000000" w:themeColor="text1"/>
        </w:rPr>
        <w:t xml:space="preserve"> </w:t>
      </w:r>
    </w:p>
    <w:p w14:paraId="691EC11D"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3</w:t>
      </w:r>
      <w:r w:rsidRPr="008A2411">
        <w:rPr>
          <w:rFonts w:ascii="Times New Roman"/>
          <w:color w:val="000000" w:themeColor="text1"/>
        </w:rPr>
        <w:t>、选址合理性结论</w:t>
      </w:r>
      <w:r w:rsidRPr="008A2411">
        <w:rPr>
          <w:rFonts w:ascii="Times New Roman"/>
          <w:color w:val="000000" w:themeColor="text1"/>
        </w:rPr>
        <w:t xml:space="preserve"> </w:t>
      </w:r>
    </w:p>
    <w:p w14:paraId="5BE35751"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综上所述，项目厂区选址于四川达州普光经济开发区</w:t>
      </w:r>
      <w:r w:rsidRPr="008A2411">
        <w:rPr>
          <w:rFonts w:ascii="Times New Roman"/>
          <w:color w:val="000000" w:themeColor="text1"/>
        </w:rPr>
        <w:t>-</w:t>
      </w:r>
      <w:r w:rsidRPr="008A2411">
        <w:rPr>
          <w:rFonts w:ascii="Times New Roman"/>
          <w:color w:val="000000" w:themeColor="text1"/>
        </w:rPr>
        <w:t>中国（普光）</w:t>
      </w:r>
      <w:proofErr w:type="gramStart"/>
      <w:r w:rsidRPr="008A2411">
        <w:rPr>
          <w:rFonts w:ascii="Times New Roman"/>
          <w:color w:val="000000" w:themeColor="text1"/>
        </w:rPr>
        <w:t>锂钾资源</w:t>
      </w:r>
      <w:proofErr w:type="gramEnd"/>
      <w:r w:rsidRPr="008A2411">
        <w:rPr>
          <w:rFonts w:ascii="Times New Roman"/>
          <w:color w:val="000000" w:themeColor="text1"/>
        </w:rPr>
        <w:t>综合开发产业园，符合园区准入要求及用地布局规划；与规划环</w:t>
      </w:r>
      <w:proofErr w:type="gramStart"/>
      <w:r w:rsidRPr="008A2411">
        <w:rPr>
          <w:rFonts w:ascii="Times New Roman"/>
          <w:color w:val="000000" w:themeColor="text1"/>
        </w:rPr>
        <w:t>评要求</w:t>
      </w:r>
      <w:proofErr w:type="gramEnd"/>
      <w:r w:rsidRPr="008A2411">
        <w:rPr>
          <w:rFonts w:ascii="Times New Roman"/>
          <w:color w:val="000000" w:themeColor="text1"/>
        </w:rPr>
        <w:t>及审查意见要求相容。拟建选址交通便利，供排水设施完善，项目实施后不会改变区域环境功能，与周围环境相容。从环保角度分析，项目选址合理。</w:t>
      </w:r>
      <w:r w:rsidRPr="008A2411">
        <w:rPr>
          <w:rFonts w:ascii="Times New Roman"/>
          <w:color w:val="000000" w:themeColor="text1"/>
        </w:rPr>
        <w:t xml:space="preserve"> </w:t>
      </w:r>
    </w:p>
    <w:p w14:paraId="3B9999D7" w14:textId="46EF972A" w:rsidR="00B0005F" w:rsidRPr="008A2411" w:rsidRDefault="00000000">
      <w:pPr>
        <w:adjustRightInd w:val="0"/>
        <w:spacing w:line="360" w:lineRule="auto"/>
        <w:outlineLvl w:val="2"/>
        <w:rPr>
          <w:rFonts w:ascii="Times New Roman"/>
          <w:b/>
          <w:color w:val="000000" w:themeColor="text1"/>
        </w:rPr>
      </w:pPr>
      <w:r w:rsidRPr="008A2411">
        <w:rPr>
          <w:rFonts w:ascii="Times New Roman"/>
          <w:b/>
          <w:color w:val="000000" w:themeColor="text1"/>
        </w:rPr>
        <w:t xml:space="preserve">2.4.4 </w:t>
      </w:r>
      <w:r w:rsidR="00761F76" w:rsidRPr="008A2411">
        <w:rPr>
          <w:rFonts w:ascii="Times New Roman" w:hint="eastAsia"/>
          <w:b/>
          <w:color w:val="000000" w:themeColor="text1"/>
        </w:rPr>
        <w:t>项目</w:t>
      </w:r>
      <w:r w:rsidRPr="008A2411">
        <w:rPr>
          <w:rFonts w:ascii="Times New Roman" w:hint="eastAsia"/>
          <w:b/>
          <w:color w:val="000000" w:themeColor="text1"/>
        </w:rPr>
        <w:t>“</w:t>
      </w:r>
      <w:r w:rsidRPr="008A2411">
        <w:rPr>
          <w:rFonts w:ascii="Times New Roman"/>
          <w:b/>
          <w:color w:val="000000" w:themeColor="text1"/>
        </w:rPr>
        <w:t>三线一单</w:t>
      </w:r>
      <w:r w:rsidRPr="008A2411">
        <w:rPr>
          <w:rFonts w:ascii="Times New Roman" w:hint="eastAsia"/>
          <w:b/>
          <w:color w:val="000000" w:themeColor="text1"/>
        </w:rPr>
        <w:t>”</w:t>
      </w:r>
      <w:r w:rsidRPr="008A2411">
        <w:rPr>
          <w:rFonts w:ascii="Times New Roman"/>
          <w:b/>
          <w:color w:val="000000" w:themeColor="text1"/>
        </w:rPr>
        <w:t>符合性分析</w:t>
      </w:r>
    </w:p>
    <w:p w14:paraId="69A65941" w14:textId="5389381A" w:rsidR="004D29E2" w:rsidRPr="008A2411" w:rsidRDefault="004D29E2" w:rsidP="00761F76">
      <w:pPr>
        <w:pStyle w:val="p"/>
        <w:shd w:val="clear" w:color="auto" w:fill="FFFFFF"/>
        <w:adjustRightInd w:val="0"/>
        <w:snapToGrid w:val="0"/>
        <w:spacing w:before="0" w:beforeAutospacing="0" w:after="0" w:afterAutospacing="0" w:line="360" w:lineRule="auto"/>
        <w:ind w:firstLine="641"/>
        <w:rPr>
          <w:rFonts w:ascii="Times New Roman" w:hAnsi="Times New Roman" w:cs="Times New Roman"/>
          <w:color w:val="000000" w:themeColor="text1"/>
          <w:szCs w:val="20"/>
        </w:rPr>
      </w:pPr>
      <w:r w:rsidRPr="008A2411">
        <w:rPr>
          <w:rFonts w:ascii="Times New Roman" w:hAnsi="Times New Roman" w:cs="Times New Roman" w:hint="eastAsia"/>
          <w:color w:val="000000" w:themeColor="text1"/>
          <w:szCs w:val="20"/>
        </w:rPr>
        <w:t>根据于印发《产业园区规划环评“三线一单”符合性分析技术要点（试行）》和《项目环评“三线一单”符合性分析技术要点（试行）》的通知，</w:t>
      </w:r>
      <w:r w:rsidR="00761F76" w:rsidRPr="008A2411">
        <w:rPr>
          <w:rFonts w:ascii="Times New Roman" w:hAnsi="Times New Roman" w:cs="Times New Roman" w:hint="eastAsia"/>
          <w:color w:val="000000" w:themeColor="text1"/>
          <w:szCs w:val="20"/>
        </w:rPr>
        <w:t>如建设项目位于产业园区内，</w:t>
      </w:r>
      <w:proofErr w:type="gramStart"/>
      <w:r w:rsidR="00761F76" w:rsidRPr="008A2411">
        <w:rPr>
          <w:rFonts w:ascii="Times New Roman" w:hAnsi="Times New Roman" w:cs="Times New Roman" w:hint="eastAsia"/>
          <w:color w:val="000000" w:themeColor="text1"/>
          <w:szCs w:val="20"/>
        </w:rPr>
        <w:t>且产业</w:t>
      </w:r>
      <w:proofErr w:type="gramEnd"/>
      <w:r w:rsidR="00761F76" w:rsidRPr="008A2411">
        <w:rPr>
          <w:rFonts w:ascii="Times New Roman" w:hAnsi="Times New Roman" w:cs="Times New Roman" w:hint="eastAsia"/>
          <w:color w:val="000000" w:themeColor="text1"/>
          <w:szCs w:val="20"/>
        </w:rPr>
        <w:t>园区规划环境影响评价中已经开展了园区与“三线一单”符合性分析，则</w:t>
      </w:r>
      <w:proofErr w:type="gramStart"/>
      <w:r w:rsidR="00761F76" w:rsidRPr="008A2411">
        <w:rPr>
          <w:rFonts w:ascii="Times New Roman" w:hAnsi="Times New Roman" w:cs="Times New Roman" w:hint="eastAsia"/>
          <w:color w:val="000000" w:themeColor="text1"/>
          <w:szCs w:val="20"/>
        </w:rPr>
        <w:t>项目环</w:t>
      </w:r>
      <w:proofErr w:type="gramEnd"/>
      <w:r w:rsidR="00761F76" w:rsidRPr="008A2411">
        <w:rPr>
          <w:rFonts w:ascii="Times New Roman" w:hAnsi="Times New Roman" w:cs="Times New Roman" w:hint="eastAsia"/>
          <w:color w:val="000000" w:themeColor="text1"/>
          <w:szCs w:val="20"/>
        </w:rPr>
        <w:t>评只需分析与产业园区规划环评生态环境准入要求的符合性。</w:t>
      </w:r>
    </w:p>
    <w:p w14:paraId="49589921" w14:textId="50A7CB42" w:rsidR="004D29E2" w:rsidRPr="008A2411" w:rsidRDefault="00761F76">
      <w:pPr>
        <w:pStyle w:val="afffffffffffffffffffff0"/>
        <w:ind w:firstLine="480"/>
        <w:rPr>
          <w:b/>
          <w:bCs/>
          <w:color w:val="000000" w:themeColor="text1"/>
        </w:rPr>
      </w:pPr>
      <w:r w:rsidRPr="008A2411">
        <w:rPr>
          <w:rFonts w:hint="eastAsia"/>
          <w:color w:val="000000" w:themeColor="text1"/>
        </w:rPr>
        <w:t>本项目位于</w:t>
      </w:r>
      <w:r w:rsidRPr="008A2411">
        <w:rPr>
          <w:color w:val="000000" w:themeColor="text1"/>
        </w:rPr>
        <w:t>四川达州普光</w:t>
      </w:r>
      <w:r w:rsidRPr="008A2411">
        <w:rPr>
          <w:rFonts w:hint="eastAsia"/>
          <w:color w:val="000000" w:themeColor="text1"/>
        </w:rPr>
        <w:t>化工园区内，根据</w:t>
      </w:r>
      <w:r w:rsidRPr="008A2411">
        <w:rPr>
          <w:color w:val="000000" w:themeColor="text1"/>
        </w:rPr>
        <w:t>四川达州普光经济开发区总体规划（</w:t>
      </w:r>
      <w:r w:rsidRPr="008A2411">
        <w:rPr>
          <w:color w:val="000000" w:themeColor="text1"/>
        </w:rPr>
        <w:t>2019-2035</w:t>
      </w:r>
      <w:r w:rsidRPr="008A2411">
        <w:rPr>
          <w:color w:val="000000" w:themeColor="text1"/>
        </w:rPr>
        <w:t>）环境影响报告书</w:t>
      </w:r>
      <w:proofErr w:type="gramStart"/>
      <w:r w:rsidRPr="008A2411">
        <w:rPr>
          <w:color w:val="000000" w:themeColor="text1"/>
        </w:rPr>
        <w:t>》</w:t>
      </w:r>
      <w:proofErr w:type="gramEnd"/>
      <w:r w:rsidRPr="008A2411">
        <w:rPr>
          <w:rFonts w:hint="eastAsia"/>
          <w:color w:val="000000" w:themeColor="text1"/>
        </w:rPr>
        <w:t>，该规划环</w:t>
      </w:r>
      <w:proofErr w:type="gramStart"/>
      <w:r w:rsidRPr="008A2411">
        <w:rPr>
          <w:rFonts w:hint="eastAsia"/>
          <w:color w:val="000000" w:themeColor="text1"/>
        </w:rPr>
        <w:t>评已经</w:t>
      </w:r>
      <w:proofErr w:type="gramEnd"/>
      <w:r w:rsidRPr="008A2411">
        <w:rPr>
          <w:rFonts w:hint="eastAsia"/>
          <w:color w:val="000000" w:themeColor="text1"/>
        </w:rPr>
        <w:t>开展了园区“三线一单”符合性分析，</w:t>
      </w:r>
      <w:r w:rsidR="00324B1E" w:rsidRPr="008A2411">
        <w:rPr>
          <w:rFonts w:hint="eastAsia"/>
          <w:color w:val="000000" w:themeColor="text1"/>
        </w:rPr>
        <w:t>因此，本次评价分析与</w:t>
      </w:r>
      <w:r w:rsidR="00324B1E" w:rsidRPr="008A2411">
        <w:rPr>
          <w:color w:val="000000" w:themeColor="text1"/>
        </w:rPr>
        <w:t>普光</w:t>
      </w:r>
      <w:proofErr w:type="gramStart"/>
      <w:r w:rsidR="00324B1E" w:rsidRPr="008A2411">
        <w:rPr>
          <w:rFonts w:hint="eastAsia"/>
          <w:color w:val="000000" w:themeColor="text1"/>
        </w:rPr>
        <w:t>化工园</w:t>
      </w:r>
      <w:proofErr w:type="gramEnd"/>
      <w:r w:rsidR="00324B1E" w:rsidRPr="008A2411">
        <w:rPr>
          <w:rFonts w:hint="eastAsia"/>
          <w:color w:val="000000" w:themeColor="text1"/>
        </w:rPr>
        <w:t>的生态环境准入要求的符合性分析如下。</w:t>
      </w:r>
    </w:p>
    <w:p w14:paraId="0EAF97AA" w14:textId="07A112BD" w:rsidR="00B0005F" w:rsidRPr="008A2411" w:rsidRDefault="00000000">
      <w:pPr>
        <w:pStyle w:val="afffffffffffffffffffff0"/>
        <w:ind w:firstLine="482"/>
        <w:rPr>
          <w:b/>
          <w:bCs/>
          <w:color w:val="000000" w:themeColor="text1"/>
        </w:rPr>
      </w:pPr>
      <w:r w:rsidRPr="008A2411">
        <w:rPr>
          <w:rFonts w:hint="eastAsia"/>
          <w:b/>
          <w:bCs/>
          <w:color w:val="000000" w:themeColor="text1"/>
        </w:rPr>
        <w:t>1</w:t>
      </w:r>
      <w:r w:rsidRPr="008A2411">
        <w:rPr>
          <w:rFonts w:hint="eastAsia"/>
          <w:b/>
          <w:bCs/>
          <w:color w:val="000000" w:themeColor="text1"/>
        </w:rPr>
        <w:t>、</w:t>
      </w:r>
      <w:r w:rsidRPr="008A2411">
        <w:rPr>
          <w:b/>
          <w:bCs/>
          <w:color w:val="000000" w:themeColor="text1"/>
        </w:rPr>
        <w:t>本项目与达州市环境管控单元位置</w:t>
      </w:r>
    </w:p>
    <w:p w14:paraId="0159FDF9" w14:textId="77777777" w:rsidR="00B0005F" w:rsidRPr="008A2411" w:rsidRDefault="00000000">
      <w:pPr>
        <w:pStyle w:val="afffffffffffffffffffff0"/>
        <w:ind w:firstLine="480"/>
        <w:rPr>
          <w:color w:val="000000" w:themeColor="text1"/>
        </w:rPr>
      </w:pPr>
      <w:r w:rsidRPr="008A2411">
        <w:rPr>
          <w:color w:val="000000" w:themeColor="text1"/>
          <w:szCs w:val="24"/>
        </w:rPr>
        <w:t>本项目与达州市环境管控单元位置关系见下图。</w:t>
      </w:r>
    </w:p>
    <w:p w14:paraId="7470E92F" w14:textId="77777777" w:rsidR="00B0005F" w:rsidRPr="008A2411" w:rsidRDefault="00000000">
      <w:pPr>
        <w:pStyle w:val="1L"/>
        <w:rPr>
          <w:color w:val="000000" w:themeColor="text1"/>
        </w:rPr>
      </w:pPr>
      <w:r w:rsidRPr="008A2411">
        <w:rPr>
          <w:noProof/>
          <w:color w:val="000000" w:themeColor="text1"/>
        </w:rPr>
        <w:lastRenderedPageBreak/>
        <mc:AlternateContent>
          <mc:Choice Requires="wps">
            <w:drawing>
              <wp:anchor distT="0" distB="0" distL="114300" distR="114300" simplePos="0" relativeHeight="251651584" behindDoc="0" locked="0" layoutInCell="1" allowOverlap="1" wp14:anchorId="3BD323D0" wp14:editId="2E11BE0D">
                <wp:simplePos x="0" y="0"/>
                <wp:positionH relativeFrom="column">
                  <wp:posOffset>2163445</wp:posOffset>
                </wp:positionH>
                <wp:positionV relativeFrom="paragraph">
                  <wp:posOffset>1017270</wp:posOffset>
                </wp:positionV>
                <wp:extent cx="995045" cy="356235"/>
                <wp:effectExtent l="116205" t="5080" r="16510" b="233045"/>
                <wp:wrapNone/>
                <wp:docPr id="1" name="对话气泡: 圆角矩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95134" cy="356427"/>
                        </a:xfrm>
                        <a:prstGeom prst="wedgeRoundRectCallout">
                          <a:avLst>
                            <a:gd name="adj1" fmla="val -58861"/>
                            <a:gd name="adj2" fmla="val 108227"/>
                            <a:gd name="adj3" fmla="val 16667"/>
                          </a:avLst>
                        </a:prstGeom>
                        <a:solidFill>
                          <a:srgbClr val="FFFFFF"/>
                        </a:solidFill>
                        <a:ln w="9525" cmpd="sng">
                          <a:solidFill>
                            <a:srgbClr val="000000"/>
                          </a:solidFill>
                          <a:miter lim="800000"/>
                        </a:ln>
                      </wps:spPr>
                      <wps:txbx>
                        <w:txbxContent>
                          <w:p w14:paraId="282B8988" w14:textId="77777777" w:rsidR="00B0005F" w:rsidRDefault="00000000">
                            <w:r>
                              <w:rPr>
                                <w:rFonts w:hint="eastAsia"/>
                              </w:rPr>
                              <w:t>项目所在地</w:t>
                            </w:r>
                          </w:p>
                        </w:txbxContent>
                      </wps:txbx>
                      <wps:bodyPr rot="0" vert="horz" wrap="square" lIns="91440" tIns="45720" rIns="91440" bIns="45720" anchor="t" anchorCtr="0" upright="1">
                        <a:noAutofit/>
                      </wps:bodyPr>
                    </wps:wsp>
                  </a:graphicData>
                </a:graphic>
              </wp:anchor>
            </w:drawing>
          </mc:Choice>
          <mc:Fallback>
            <w:pict>
              <v:shapetype w14:anchorId="3BD323D0"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对话气泡: 圆角矩形 1" o:spid="_x0000_s1026" type="#_x0000_t62" style="position:absolute;left:0;text-align:left;margin-left:170.35pt;margin-top:80.1pt;width:78.35pt;height:28.05pt;z-index:2516515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" adj="-1914,34177">
                <v:textbox>
                  <w:txbxContent>
                    <w:p w14:paraId="282B8988" w14:textId="77777777" w:rsidR="00B0005F" w:rsidRDefault="00000000">
                      <w:r>
                        <w:rPr>
                          <w:rFonts w:hint="eastAsia"/>
                        </w:rPr>
                        <w:t>项目所在地</w:t>
                      </w:r>
                    </w:p>
                  </w:txbxContent>
                </v:textbox>
              </v:shape>
            </w:pict>
          </mc:Fallback>
        </mc:AlternateContent>
      </w:r>
      <w:r w:rsidRPr="008A2411">
        <w:rPr>
          <w:noProof/>
          <w:color w:val="000000" w:themeColor="text1"/>
        </w:rPr>
        <w:drawing>
          <wp:inline distT="0" distB="0" distL="0" distR="0" wp14:anchorId="79B4CA3E" wp14:editId="27BF9E57">
            <wp:extent cx="5274310" cy="3438525"/>
            <wp:effectExtent l="0" t="0" r="13970" b="5715"/>
            <wp:docPr id="23"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pic:cNvPicPr>
                      <a:picLocks noChangeAspect="1" noChangeArrowheads="1"/>
                    </pic:cNvPicPr>
                  </pic:nvPicPr>
                  <pic:blipFill>
                    <a:blip r:embed="rId16">
                      <a:extLst>
                        <a:ext uri="{28A0092B-C50C-407E-A947-70E740481C1C}">
                          <a14:useLocalDpi xmlns:a14="http://schemas.microsoft.com/office/drawing/2010/main" val="0"/>
                        </a:ext>
                      </a:extLst>
                    </a:blip>
                    <a:srcRect t="4350" b="3275"/>
                    <a:stretch>
                      <a:fillRect/>
                    </a:stretch>
                  </pic:blipFill>
                  <pic:spPr>
                    <a:xfrm>
                      <a:off x="0" y="0"/>
                      <a:ext cx="5274310" cy="3438525"/>
                    </a:xfrm>
                    <a:prstGeom prst="rect">
                      <a:avLst/>
                    </a:prstGeom>
                    <a:noFill/>
                    <a:ln>
                      <a:noFill/>
                    </a:ln>
                  </pic:spPr>
                </pic:pic>
              </a:graphicData>
            </a:graphic>
          </wp:inline>
        </w:drawing>
      </w:r>
    </w:p>
    <w:p w14:paraId="2948002C" w14:textId="77777777" w:rsidR="00B0005F" w:rsidRPr="008A2411" w:rsidRDefault="00000000">
      <w:pPr>
        <w:ind w:firstLineChars="200" w:firstLine="420"/>
        <w:jc w:val="center"/>
        <w:rPr>
          <w:rFonts w:ascii="Times New Roman" w:eastAsia="黑体"/>
          <w:color w:val="000000" w:themeColor="text1"/>
          <w:sz w:val="21"/>
          <w:szCs w:val="21"/>
        </w:rPr>
      </w:pPr>
      <w:r w:rsidRPr="008A2411">
        <w:rPr>
          <w:rFonts w:ascii="Times New Roman" w:eastAsia="黑体"/>
          <w:color w:val="000000" w:themeColor="text1"/>
          <w:sz w:val="21"/>
          <w:szCs w:val="21"/>
        </w:rPr>
        <w:t>图</w:t>
      </w:r>
      <w:r w:rsidRPr="008A2411">
        <w:rPr>
          <w:rFonts w:ascii="Times New Roman" w:eastAsia="黑体"/>
          <w:color w:val="000000" w:themeColor="text1"/>
          <w:sz w:val="21"/>
          <w:szCs w:val="21"/>
        </w:rPr>
        <w:t xml:space="preserve">2.4-1  </w:t>
      </w:r>
      <w:r w:rsidRPr="008A2411">
        <w:rPr>
          <w:rFonts w:ascii="Times New Roman" w:eastAsia="黑体"/>
          <w:color w:val="000000" w:themeColor="text1"/>
          <w:sz w:val="21"/>
          <w:szCs w:val="21"/>
        </w:rPr>
        <w:t>项目与达州市环境管控单元位置关系图</w:t>
      </w:r>
    </w:p>
    <w:p w14:paraId="4A3B62B0" w14:textId="77777777" w:rsidR="00B0005F" w:rsidRPr="008A2411" w:rsidRDefault="00000000">
      <w:pPr>
        <w:adjustRightInd w:val="0"/>
        <w:snapToGrid w:val="0"/>
        <w:spacing w:line="360" w:lineRule="auto"/>
        <w:ind w:firstLine="482"/>
        <w:jc w:val="left"/>
        <w:rPr>
          <w:rFonts w:ascii="Times New Roman"/>
          <w:color w:val="000000" w:themeColor="text1"/>
        </w:rPr>
      </w:pPr>
      <w:r w:rsidRPr="008A2411">
        <w:rPr>
          <w:rFonts w:ascii="Times New Roman"/>
          <w:b/>
          <w:bCs/>
          <w:color w:val="000000" w:themeColor="text1"/>
        </w:rPr>
        <w:t>2</w:t>
      </w:r>
      <w:r w:rsidRPr="008A2411">
        <w:rPr>
          <w:rFonts w:ascii="Times New Roman"/>
          <w:b/>
          <w:bCs/>
          <w:color w:val="000000" w:themeColor="text1"/>
        </w:rPr>
        <w:t>、与环境管控单元符合性分析</w:t>
      </w:r>
    </w:p>
    <w:p w14:paraId="6345D772" w14:textId="5945CE93" w:rsidR="00B0005F" w:rsidRPr="008A2411" w:rsidRDefault="00000000">
      <w:pPr>
        <w:pStyle w:val="a9"/>
        <w:adjustRightInd w:val="0"/>
        <w:snapToGrid w:val="0"/>
        <w:spacing w:after="0" w:line="360" w:lineRule="auto"/>
        <w:ind w:firstLine="480"/>
        <w:rPr>
          <w:rFonts w:ascii="Times New Roman"/>
          <w:color w:val="000000" w:themeColor="text1"/>
          <w:sz w:val="24"/>
        </w:rPr>
      </w:pPr>
      <w:r w:rsidRPr="008A2411">
        <w:rPr>
          <w:rFonts w:ascii="Times New Roman"/>
          <w:color w:val="000000" w:themeColor="text1"/>
          <w:sz w:val="24"/>
        </w:rPr>
        <w:t>项目位于一般管控单元区域，根据</w:t>
      </w:r>
      <w:r w:rsidR="00324B1E" w:rsidRPr="008A2411">
        <w:rPr>
          <w:rFonts w:ascii="Times New Roman" w:hint="eastAsia"/>
          <w:color w:val="000000" w:themeColor="text1"/>
          <w:sz w:val="24"/>
        </w:rPr>
        <w:t>查询四川省政府服务网（</w:t>
      </w:r>
      <w:hyperlink r:id="rId17" w:history="1">
        <w:r w:rsidR="00324B1E" w:rsidRPr="008A2411">
          <w:rPr>
            <w:rStyle w:val="afffff0"/>
            <w:color w:val="000000" w:themeColor="text1"/>
          </w:rPr>
          <w:t>三线</w:t>
        </w:r>
        <w:proofErr w:type="gramStart"/>
        <w:r w:rsidR="00324B1E" w:rsidRPr="008A2411">
          <w:rPr>
            <w:rStyle w:val="afffff0"/>
            <w:color w:val="000000" w:themeColor="text1"/>
          </w:rPr>
          <w:t>一单冲突</w:t>
        </w:r>
        <w:proofErr w:type="gramEnd"/>
        <w:r w:rsidR="00324B1E" w:rsidRPr="008A2411">
          <w:rPr>
            <w:rStyle w:val="afffff0"/>
            <w:color w:val="000000" w:themeColor="text1"/>
          </w:rPr>
          <w:t>分析 (sczwfw.gov.cn)</w:t>
        </w:r>
      </w:hyperlink>
      <w:r w:rsidR="00324B1E" w:rsidRPr="008A2411">
        <w:rPr>
          <w:rFonts w:ascii="Times New Roman" w:hint="eastAsia"/>
          <w:color w:val="000000" w:themeColor="text1"/>
          <w:sz w:val="24"/>
        </w:rPr>
        <w:t xml:space="preserve"> </w:t>
      </w:r>
      <w:r w:rsidR="00324B1E" w:rsidRPr="008A2411">
        <w:rPr>
          <w:rFonts w:ascii="Times New Roman" w:hint="eastAsia"/>
          <w:color w:val="000000" w:themeColor="text1"/>
          <w:sz w:val="24"/>
        </w:rPr>
        <w:t>）及</w:t>
      </w:r>
      <w:r w:rsidRPr="008A2411">
        <w:rPr>
          <w:rFonts w:ascii="Times New Roman" w:hint="eastAsia"/>
          <w:color w:val="000000" w:themeColor="text1"/>
          <w:sz w:val="24"/>
        </w:rPr>
        <w:t>“</w:t>
      </w:r>
      <w:r w:rsidRPr="008A2411">
        <w:rPr>
          <w:rFonts w:ascii="Times New Roman"/>
          <w:color w:val="000000" w:themeColor="text1"/>
          <w:sz w:val="24"/>
        </w:rPr>
        <w:t>初步成果</w:t>
      </w:r>
      <w:r w:rsidRPr="008A2411">
        <w:rPr>
          <w:rFonts w:ascii="Times New Roman" w:hint="eastAsia"/>
          <w:color w:val="000000" w:themeColor="text1"/>
          <w:sz w:val="24"/>
        </w:rPr>
        <w:t>”</w:t>
      </w:r>
      <w:r w:rsidRPr="008A2411">
        <w:rPr>
          <w:rFonts w:ascii="Times New Roman"/>
          <w:color w:val="000000" w:themeColor="text1"/>
          <w:sz w:val="24"/>
        </w:rPr>
        <w:t>中</w:t>
      </w:r>
      <w:r w:rsidRPr="008A2411">
        <w:rPr>
          <w:rFonts w:ascii="Times New Roman" w:hint="eastAsia"/>
          <w:color w:val="000000" w:themeColor="text1"/>
          <w:sz w:val="24"/>
        </w:rPr>
        <w:t>“</w:t>
      </w:r>
      <w:r w:rsidRPr="008A2411">
        <w:rPr>
          <w:rFonts w:ascii="Times New Roman"/>
          <w:color w:val="000000" w:themeColor="text1"/>
          <w:sz w:val="24"/>
        </w:rPr>
        <w:t>四川省生态空间分布图</w:t>
      </w:r>
      <w:r w:rsidRPr="008A2411">
        <w:rPr>
          <w:rFonts w:ascii="Times New Roman" w:hint="eastAsia"/>
          <w:color w:val="000000" w:themeColor="text1"/>
          <w:sz w:val="24"/>
        </w:rPr>
        <w:t>”</w:t>
      </w:r>
      <w:r w:rsidRPr="008A2411">
        <w:rPr>
          <w:rFonts w:ascii="Times New Roman"/>
          <w:color w:val="000000" w:themeColor="text1"/>
          <w:sz w:val="24"/>
        </w:rPr>
        <w:t>，本项目不在达州市生态保护红线范围内，也不在四川省其他生态空间范围内。</w:t>
      </w:r>
    </w:p>
    <w:p w14:paraId="096724A2" w14:textId="77777777" w:rsidR="00B0005F" w:rsidRPr="008A2411" w:rsidRDefault="00000000">
      <w:pPr>
        <w:pStyle w:val="a9"/>
        <w:adjustRightInd w:val="0"/>
        <w:snapToGrid w:val="0"/>
        <w:spacing w:after="0" w:line="360" w:lineRule="auto"/>
        <w:ind w:firstLine="480"/>
        <w:rPr>
          <w:rFonts w:ascii="Times New Roman"/>
          <w:color w:val="000000" w:themeColor="text1"/>
          <w:sz w:val="24"/>
        </w:rPr>
      </w:pPr>
      <w:r w:rsidRPr="008A2411">
        <w:rPr>
          <w:rFonts w:ascii="Times New Roman"/>
          <w:color w:val="000000" w:themeColor="text1"/>
          <w:sz w:val="24"/>
        </w:rPr>
        <w:t>宣汉县生态管控的总体需求如下。</w:t>
      </w:r>
    </w:p>
    <w:p w14:paraId="54F503C3" w14:textId="77777777" w:rsidR="00B0005F" w:rsidRPr="008A2411" w:rsidRDefault="00000000">
      <w:pPr>
        <w:ind w:firstLineChars="200" w:firstLine="420"/>
        <w:jc w:val="center"/>
        <w:rPr>
          <w:rFonts w:ascii="Times New Roman" w:eastAsia="黑体"/>
          <w:color w:val="000000" w:themeColor="text1"/>
          <w:sz w:val="21"/>
          <w:szCs w:val="21"/>
        </w:rPr>
      </w:pPr>
      <w:r w:rsidRPr="008A2411">
        <w:rPr>
          <w:rFonts w:ascii="Times New Roman" w:eastAsia="黑体"/>
          <w:color w:val="000000" w:themeColor="text1"/>
          <w:sz w:val="21"/>
          <w:szCs w:val="21"/>
        </w:rPr>
        <w:t>表</w:t>
      </w:r>
      <w:r w:rsidRPr="008A2411">
        <w:rPr>
          <w:rFonts w:ascii="Times New Roman" w:eastAsia="黑体"/>
          <w:color w:val="000000" w:themeColor="text1"/>
          <w:sz w:val="21"/>
          <w:szCs w:val="21"/>
        </w:rPr>
        <w:t xml:space="preserve">2.4-3  </w:t>
      </w:r>
      <w:r w:rsidRPr="008A2411">
        <w:rPr>
          <w:rFonts w:ascii="Times New Roman" w:eastAsia="黑体"/>
          <w:color w:val="000000" w:themeColor="text1"/>
          <w:sz w:val="21"/>
          <w:szCs w:val="21"/>
        </w:rPr>
        <w:t>项目涉及环境管控单元表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2"/>
        <w:gridCol w:w="1568"/>
        <w:gridCol w:w="1153"/>
        <w:gridCol w:w="860"/>
        <w:gridCol w:w="1491"/>
        <w:gridCol w:w="1608"/>
      </w:tblGrid>
      <w:tr w:rsidR="008A2411" w:rsidRPr="008A2411" w14:paraId="37D40824" w14:textId="77777777">
        <w:trPr>
          <w:cantSplit/>
          <w:trHeight w:val="312"/>
          <w:tblHeader/>
        </w:trPr>
        <w:tc>
          <w:tcPr>
            <w:tcW w:w="749" w:type="pct"/>
            <w:vAlign w:val="center"/>
          </w:tcPr>
          <w:p w14:paraId="569E306C" w14:textId="77777777" w:rsidR="00B0005F" w:rsidRPr="008A2411" w:rsidRDefault="00000000">
            <w:pPr>
              <w:widowControl/>
              <w:jc w:val="center"/>
              <w:rPr>
                <w:rFonts w:hAnsi="宋体" w:cs="宋体"/>
                <w:b/>
                <w:bCs/>
                <w:color w:val="000000" w:themeColor="text1"/>
                <w:sz w:val="21"/>
                <w:szCs w:val="21"/>
              </w:rPr>
            </w:pPr>
            <w:r w:rsidRPr="008A2411">
              <w:rPr>
                <w:rFonts w:hAnsi="宋体" w:cs="宋体" w:hint="eastAsia"/>
                <w:b/>
                <w:bCs/>
                <w:color w:val="000000" w:themeColor="text1"/>
                <w:sz w:val="21"/>
                <w:szCs w:val="21"/>
              </w:rPr>
              <w:t>环境管控单元编码</w:t>
            </w:r>
          </w:p>
        </w:tc>
        <w:tc>
          <w:tcPr>
            <w:tcW w:w="986" w:type="pct"/>
            <w:vAlign w:val="center"/>
          </w:tcPr>
          <w:p w14:paraId="0DB47E3F" w14:textId="77777777" w:rsidR="00B0005F" w:rsidRPr="008A2411" w:rsidRDefault="00000000">
            <w:pPr>
              <w:widowControl/>
              <w:jc w:val="center"/>
              <w:rPr>
                <w:rFonts w:hAnsi="宋体" w:cs="宋体"/>
                <w:b/>
                <w:bCs/>
                <w:color w:val="000000" w:themeColor="text1"/>
                <w:sz w:val="21"/>
                <w:szCs w:val="21"/>
              </w:rPr>
            </w:pPr>
            <w:r w:rsidRPr="008A2411">
              <w:rPr>
                <w:rFonts w:hAnsi="宋体" w:cs="宋体" w:hint="eastAsia"/>
                <w:b/>
                <w:bCs/>
                <w:color w:val="000000" w:themeColor="text1"/>
                <w:sz w:val="21"/>
                <w:szCs w:val="21"/>
              </w:rPr>
              <w:t>环境管控单元名称</w:t>
            </w:r>
          </w:p>
        </w:tc>
        <w:tc>
          <w:tcPr>
            <w:tcW w:w="743" w:type="pct"/>
          </w:tcPr>
          <w:p w14:paraId="605BF6A6" w14:textId="77777777" w:rsidR="00B0005F" w:rsidRPr="008A2411" w:rsidRDefault="00000000">
            <w:pPr>
              <w:widowControl/>
              <w:jc w:val="center"/>
              <w:rPr>
                <w:rFonts w:hAnsi="宋体" w:cs="宋体"/>
                <w:b/>
                <w:bCs/>
                <w:color w:val="000000" w:themeColor="text1"/>
                <w:sz w:val="21"/>
                <w:szCs w:val="21"/>
              </w:rPr>
            </w:pPr>
            <w:r w:rsidRPr="008A2411">
              <w:rPr>
                <w:rFonts w:hAnsi="宋体" w:cs="宋体" w:hint="eastAsia"/>
                <w:b/>
                <w:bCs/>
                <w:color w:val="000000" w:themeColor="text1"/>
                <w:sz w:val="21"/>
                <w:szCs w:val="21"/>
              </w:rPr>
              <w:t>所属市（州）</w:t>
            </w:r>
          </w:p>
        </w:tc>
        <w:tc>
          <w:tcPr>
            <w:tcW w:w="571" w:type="pct"/>
          </w:tcPr>
          <w:p w14:paraId="43122E3F" w14:textId="77777777" w:rsidR="00B0005F" w:rsidRPr="008A2411" w:rsidRDefault="00000000">
            <w:pPr>
              <w:widowControl/>
              <w:jc w:val="center"/>
              <w:rPr>
                <w:rFonts w:hAnsi="宋体" w:cs="宋体"/>
                <w:b/>
                <w:bCs/>
                <w:color w:val="000000" w:themeColor="text1"/>
                <w:sz w:val="21"/>
                <w:szCs w:val="21"/>
              </w:rPr>
            </w:pPr>
            <w:r w:rsidRPr="008A2411">
              <w:rPr>
                <w:rFonts w:hAnsi="宋体" w:cs="宋体" w:hint="eastAsia"/>
                <w:b/>
                <w:bCs/>
                <w:color w:val="000000" w:themeColor="text1"/>
                <w:sz w:val="21"/>
                <w:szCs w:val="21"/>
              </w:rPr>
              <w:t>所属区县</w:t>
            </w:r>
          </w:p>
        </w:tc>
        <w:tc>
          <w:tcPr>
            <w:tcW w:w="941" w:type="pct"/>
            <w:vAlign w:val="center"/>
          </w:tcPr>
          <w:p w14:paraId="2B850EF7" w14:textId="77777777" w:rsidR="00B0005F" w:rsidRPr="008A2411" w:rsidRDefault="00000000">
            <w:pPr>
              <w:widowControl/>
              <w:jc w:val="center"/>
              <w:rPr>
                <w:rFonts w:hAnsi="宋体" w:cs="宋体"/>
                <w:b/>
                <w:bCs/>
                <w:color w:val="000000" w:themeColor="text1"/>
                <w:sz w:val="21"/>
                <w:szCs w:val="21"/>
              </w:rPr>
            </w:pPr>
            <w:r w:rsidRPr="008A2411">
              <w:rPr>
                <w:rFonts w:hAnsi="宋体" w:cs="宋体" w:hint="eastAsia"/>
                <w:b/>
                <w:bCs/>
                <w:color w:val="000000" w:themeColor="text1"/>
                <w:sz w:val="21"/>
                <w:szCs w:val="21"/>
              </w:rPr>
              <w:t>准入清单类型</w:t>
            </w:r>
          </w:p>
        </w:tc>
        <w:tc>
          <w:tcPr>
            <w:tcW w:w="1009" w:type="pct"/>
            <w:vAlign w:val="center"/>
          </w:tcPr>
          <w:p w14:paraId="2A9BD8AC" w14:textId="77777777" w:rsidR="00B0005F" w:rsidRPr="008A2411" w:rsidRDefault="00000000">
            <w:pPr>
              <w:widowControl/>
              <w:jc w:val="center"/>
              <w:rPr>
                <w:rFonts w:hAnsi="宋体" w:cs="宋体"/>
                <w:b/>
                <w:bCs/>
                <w:color w:val="000000" w:themeColor="text1"/>
                <w:sz w:val="21"/>
                <w:szCs w:val="21"/>
              </w:rPr>
            </w:pPr>
            <w:r w:rsidRPr="008A2411">
              <w:rPr>
                <w:rFonts w:hAnsi="宋体" w:cs="宋体" w:hint="eastAsia"/>
                <w:b/>
                <w:bCs/>
                <w:color w:val="000000" w:themeColor="text1"/>
                <w:sz w:val="21"/>
                <w:szCs w:val="21"/>
              </w:rPr>
              <w:t>管</w:t>
            </w:r>
            <w:proofErr w:type="gramStart"/>
            <w:r w:rsidRPr="008A2411">
              <w:rPr>
                <w:rFonts w:hAnsi="宋体" w:cs="宋体" w:hint="eastAsia"/>
                <w:b/>
                <w:bCs/>
                <w:color w:val="000000" w:themeColor="text1"/>
                <w:sz w:val="21"/>
                <w:szCs w:val="21"/>
              </w:rPr>
              <w:t>控类型</w:t>
            </w:r>
            <w:proofErr w:type="gramEnd"/>
          </w:p>
        </w:tc>
      </w:tr>
      <w:tr w:rsidR="008A2411" w:rsidRPr="008A2411" w14:paraId="0123A192" w14:textId="77777777">
        <w:trPr>
          <w:cantSplit/>
          <w:trHeight w:val="312"/>
          <w:tblHeader/>
        </w:trPr>
        <w:tc>
          <w:tcPr>
            <w:tcW w:w="749" w:type="pct"/>
            <w:vAlign w:val="center"/>
          </w:tcPr>
          <w:p w14:paraId="5C4915C2" w14:textId="77777777" w:rsidR="00B0005F" w:rsidRPr="008A2411" w:rsidRDefault="00000000">
            <w:pPr>
              <w:pStyle w:val="Normal0"/>
              <w:widowControl/>
              <w:spacing w:line="240" w:lineRule="auto"/>
              <w:ind w:firstLineChars="0" w:firstLine="0"/>
              <w:jc w:val="center"/>
              <w:rPr>
                <w:rFonts w:eastAsia="宋体"/>
                <w:color w:val="000000" w:themeColor="text1"/>
                <w:sz w:val="21"/>
              </w:rPr>
            </w:pPr>
            <w:r w:rsidRPr="008A2411">
              <w:rPr>
                <w:rFonts w:eastAsia="宋体" w:hint="eastAsia"/>
                <w:color w:val="000000" w:themeColor="text1"/>
                <w:sz w:val="21"/>
              </w:rPr>
              <w:t>ZH51172220002</w:t>
            </w:r>
          </w:p>
        </w:tc>
        <w:tc>
          <w:tcPr>
            <w:tcW w:w="986" w:type="pct"/>
            <w:vAlign w:val="center"/>
          </w:tcPr>
          <w:p w14:paraId="7AD494A8" w14:textId="77777777" w:rsidR="00B0005F" w:rsidRPr="008A2411" w:rsidRDefault="00000000">
            <w:pPr>
              <w:pStyle w:val="Normal0"/>
              <w:widowControl/>
              <w:spacing w:line="240" w:lineRule="auto"/>
              <w:ind w:firstLineChars="0" w:firstLine="0"/>
              <w:jc w:val="center"/>
              <w:rPr>
                <w:rFonts w:eastAsia="宋体"/>
                <w:color w:val="000000" w:themeColor="text1"/>
                <w:sz w:val="21"/>
              </w:rPr>
            </w:pPr>
            <w:r w:rsidRPr="008A2411">
              <w:rPr>
                <w:rFonts w:eastAsia="宋体" w:hint="eastAsia"/>
                <w:color w:val="000000" w:themeColor="text1"/>
                <w:sz w:val="21"/>
              </w:rPr>
              <w:t>四川达州普光经济开发区（含锂钾综合开发产业园）</w:t>
            </w:r>
          </w:p>
        </w:tc>
        <w:tc>
          <w:tcPr>
            <w:tcW w:w="743" w:type="pct"/>
            <w:vAlign w:val="center"/>
          </w:tcPr>
          <w:p w14:paraId="4857E16C" w14:textId="77777777" w:rsidR="00B0005F" w:rsidRPr="008A2411" w:rsidRDefault="00000000">
            <w:pPr>
              <w:pStyle w:val="Normal0"/>
              <w:widowControl/>
              <w:spacing w:line="240" w:lineRule="auto"/>
              <w:ind w:firstLineChars="0" w:firstLine="0"/>
              <w:jc w:val="center"/>
              <w:rPr>
                <w:rFonts w:eastAsia="宋体"/>
                <w:color w:val="000000" w:themeColor="text1"/>
                <w:sz w:val="21"/>
              </w:rPr>
            </w:pPr>
            <w:r w:rsidRPr="008A2411">
              <w:rPr>
                <w:rFonts w:eastAsia="宋体" w:hint="eastAsia"/>
                <w:color w:val="000000" w:themeColor="text1"/>
                <w:sz w:val="21"/>
              </w:rPr>
              <w:t>达州市</w:t>
            </w:r>
          </w:p>
        </w:tc>
        <w:tc>
          <w:tcPr>
            <w:tcW w:w="571" w:type="pct"/>
            <w:vAlign w:val="center"/>
          </w:tcPr>
          <w:p w14:paraId="6E6FD7C1" w14:textId="77777777" w:rsidR="00B0005F" w:rsidRPr="008A2411" w:rsidRDefault="00000000">
            <w:pPr>
              <w:pStyle w:val="Normal0"/>
              <w:widowControl/>
              <w:spacing w:line="240" w:lineRule="auto"/>
              <w:ind w:firstLineChars="0" w:firstLine="0"/>
              <w:jc w:val="center"/>
              <w:rPr>
                <w:rFonts w:eastAsia="宋体"/>
                <w:color w:val="000000" w:themeColor="text1"/>
                <w:sz w:val="21"/>
              </w:rPr>
            </w:pPr>
            <w:r w:rsidRPr="008A2411">
              <w:rPr>
                <w:rFonts w:eastAsia="宋体" w:hint="eastAsia"/>
                <w:color w:val="000000" w:themeColor="text1"/>
                <w:sz w:val="21"/>
              </w:rPr>
              <w:t>宣汉县</w:t>
            </w:r>
          </w:p>
        </w:tc>
        <w:tc>
          <w:tcPr>
            <w:tcW w:w="941" w:type="pct"/>
            <w:vAlign w:val="center"/>
          </w:tcPr>
          <w:p w14:paraId="53B4FA0D" w14:textId="77777777" w:rsidR="00B0005F" w:rsidRPr="008A2411" w:rsidRDefault="00000000">
            <w:pPr>
              <w:pStyle w:val="Normal0"/>
              <w:widowControl/>
              <w:spacing w:line="240" w:lineRule="auto"/>
              <w:ind w:firstLineChars="0" w:firstLine="0"/>
              <w:jc w:val="center"/>
              <w:rPr>
                <w:rFonts w:eastAsia="宋体"/>
                <w:color w:val="000000" w:themeColor="text1"/>
                <w:sz w:val="21"/>
              </w:rPr>
            </w:pPr>
            <w:r w:rsidRPr="008A2411">
              <w:rPr>
                <w:rFonts w:eastAsia="宋体" w:hint="eastAsia"/>
                <w:color w:val="000000" w:themeColor="text1"/>
                <w:sz w:val="21"/>
              </w:rPr>
              <w:t>环境管控单元</w:t>
            </w:r>
          </w:p>
        </w:tc>
        <w:tc>
          <w:tcPr>
            <w:tcW w:w="1009" w:type="pct"/>
            <w:vAlign w:val="center"/>
          </w:tcPr>
          <w:p w14:paraId="60E9B723" w14:textId="77777777" w:rsidR="00B0005F" w:rsidRPr="008A2411" w:rsidRDefault="00000000">
            <w:pPr>
              <w:pStyle w:val="Normal0"/>
              <w:widowControl/>
              <w:spacing w:line="240" w:lineRule="auto"/>
              <w:ind w:firstLineChars="0" w:firstLine="0"/>
              <w:jc w:val="center"/>
              <w:rPr>
                <w:rFonts w:eastAsia="宋体"/>
                <w:color w:val="000000" w:themeColor="text1"/>
                <w:sz w:val="21"/>
              </w:rPr>
            </w:pPr>
            <w:r w:rsidRPr="008A2411">
              <w:rPr>
                <w:rFonts w:eastAsia="宋体" w:hint="eastAsia"/>
                <w:color w:val="000000" w:themeColor="text1"/>
                <w:sz w:val="21"/>
              </w:rPr>
              <w:t>环境综合管控单元工业重点管控单元</w:t>
            </w:r>
          </w:p>
        </w:tc>
      </w:tr>
      <w:tr w:rsidR="008A2411" w:rsidRPr="008A2411" w14:paraId="3BF82222" w14:textId="77777777">
        <w:trPr>
          <w:cantSplit/>
          <w:trHeight w:val="312"/>
          <w:tblHeader/>
        </w:trPr>
        <w:tc>
          <w:tcPr>
            <w:tcW w:w="749" w:type="pct"/>
            <w:vAlign w:val="center"/>
          </w:tcPr>
          <w:p w14:paraId="4EFA0813" w14:textId="77777777" w:rsidR="00B0005F" w:rsidRPr="008A2411" w:rsidRDefault="00000000">
            <w:pPr>
              <w:pStyle w:val="Normal0"/>
              <w:widowControl/>
              <w:spacing w:line="240" w:lineRule="auto"/>
              <w:ind w:firstLineChars="0" w:firstLine="0"/>
              <w:jc w:val="center"/>
              <w:rPr>
                <w:rFonts w:eastAsia="宋体"/>
                <w:color w:val="000000" w:themeColor="text1"/>
                <w:sz w:val="21"/>
              </w:rPr>
            </w:pPr>
            <w:r w:rsidRPr="008A2411">
              <w:rPr>
                <w:rFonts w:eastAsia="宋体" w:hint="eastAsia"/>
                <w:color w:val="000000" w:themeColor="text1"/>
                <w:sz w:val="21"/>
              </w:rPr>
              <w:t>YS5117222210001</w:t>
            </w:r>
          </w:p>
        </w:tc>
        <w:tc>
          <w:tcPr>
            <w:tcW w:w="986" w:type="pct"/>
            <w:vAlign w:val="center"/>
          </w:tcPr>
          <w:p w14:paraId="691496EB" w14:textId="77777777" w:rsidR="00B0005F" w:rsidRPr="008A2411" w:rsidRDefault="00000000">
            <w:pPr>
              <w:pStyle w:val="Normal0"/>
              <w:widowControl/>
              <w:spacing w:line="240" w:lineRule="auto"/>
              <w:ind w:firstLineChars="0" w:firstLine="0"/>
              <w:jc w:val="center"/>
              <w:rPr>
                <w:rFonts w:eastAsia="宋体"/>
                <w:color w:val="000000" w:themeColor="text1"/>
                <w:sz w:val="21"/>
              </w:rPr>
            </w:pPr>
            <w:r w:rsidRPr="008A2411">
              <w:rPr>
                <w:rFonts w:eastAsia="宋体" w:hint="eastAsia"/>
                <w:color w:val="000000" w:themeColor="text1"/>
                <w:sz w:val="21"/>
              </w:rPr>
              <w:t>州河宣汉县张鼓坪控制单元</w:t>
            </w:r>
          </w:p>
        </w:tc>
        <w:tc>
          <w:tcPr>
            <w:tcW w:w="743" w:type="pct"/>
            <w:vAlign w:val="center"/>
          </w:tcPr>
          <w:p w14:paraId="55EEAEC1" w14:textId="77777777" w:rsidR="00B0005F" w:rsidRPr="008A2411" w:rsidRDefault="00000000">
            <w:pPr>
              <w:pStyle w:val="Normal0"/>
              <w:widowControl/>
              <w:spacing w:line="240" w:lineRule="auto"/>
              <w:ind w:firstLineChars="0" w:firstLine="0"/>
              <w:jc w:val="center"/>
              <w:rPr>
                <w:rFonts w:eastAsia="宋体"/>
                <w:color w:val="000000" w:themeColor="text1"/>
                <w:sz w:val="21"/>
              </w:rPr>
            </w:pPr>
            <w:r w:rsidRPr="008A2411">
              <w:rPr>
                <w:rFonts w:eastAsia="宋体" w:hint="eastAsia"/>
                <w:color w:val="000000" w:themeColor="text1"/>
                <w:sz w:val="21"/>
              </w:rPr>
              <w:t>达州市</w:t>
            </w:r>
          </w:p>
        </w:tc>
        <w:tc>
          <w:tcPr>
            <w:tcW w:w="571" w:type="pct"/>
            <w:vAlign w:val="center"/>
          </w:tcPr>
          <w:p w14:paraId="40B305D8" w14:textId="77777777" w:rsidR="00B0005F" w:rsidRPr="008A2411" w:rsidRDefault="00000000">
            <w:pPr>
              <w:pStyle w:val="Normal0"/>
              <w:widowControl/>
              <w:spacing w:line="240" w:lineRule="auto"/>
              <w:ind w:firstLineChars="0" w:firstLine="0"/>
              <w:jc w:val="center"/>
              <w:rPr>
                <w:rFonts w:eastAsia="宋体"/>
                <w:color w:val="000000" w:themeColor="text1"/>
                <w:sz w:val="21"/>
              </w:rPr>
            </w:pPr>
            <w:r w:rsidRPr="008A2411">
              <w:rPr>
                <w:rFonts w:eastAsia="宋体" w:hint="eastAsia"/>
                <w:color w:val="000000" w:themeColor="text1"/>
                <w:sz w:val="21"/>
              </w:rPr>
              <w:t>宣汉县</w:t>
            </w:r>
          </w:p>
        </w:tc>
        <w:tc>
          <w:tcPr>
            <w:tcW w:w="941" w:type="pct"/>
            <w:vAlign w:val="center"/>
          </w:tcPr>
          <w:p w14:paraId="2EF4003E" w14:textId="77777777" w:rsidR="00B0005F" w:rsidRPr="008A2411" w:rsidRDefault="00000000">
            <w:pPr>
              <w:pStyle w:val="Normal0"/>
              <w:widowControl/>
              <w:spacing w:line="240" w:lineRule="auto"/>
              <w:ind w:firstLineChars="0" w:firstLine="0"/>
              <w:jc w:val="center"/>
              <w:rPr>
                <w:rFonts w:eastAsia="宋体"/>
                <w:color w:val="000000" w:themeColor="text1"/>
                <w:sz w:val="21"/>
              </w:rPr>
            </w:pPr>
            <w:r w:rsidRPr="008A2411">
              <w:rPr>
                <w:rFonts w:eastAsia="宋体" w:hint="eastAsia"/>
                <w:color w:val="000000" w:themeColor="text1"/>
                <w:sz w:val="21"/>
              </w:rPr>
              <w:t>水环境管控分区</w:t>
            </w:r>
          </w:p>
        </w:tc>
        <w:tc>
          <w:tcPr>
            <w:tcW w:w="1009" w:type="pct"/>
            <w:vAlign w:val="center"/>
          </w:tcPr>
          <w:p w14:paraId="61BA1D05" w14:textId="77777777" w:rsidR="00B0005F" w:rsidRPr="008A2411" w:rsidRDefault="00000000">
            <w:pPr>
              <w:pStyle w:val="Normal0"/>
              <w:widowControl/>
              <w:spacing w:line="240" w:lineRule="auto"/>
              <w:ind w:firstLineChars="0" w:firstLine="0"/>
              <w:jc w:val="center"/>
              <w:rPr>
                <w:rFonts w:eastAsia="宋体"/>
                <w:color w:val="000000" w:themeColor="text1"/>
                <w:sz w:val="21"/>
              </w:rPr>
            </w:pPr>
            <w:r w:rsidRPr="008A2411">
              <w:rPr>
                <w:rFonts w:eastAsia="宋体" w:hint="eastAsia"/>
                <w:color w:val="000000" w:themeColor="text1"/>
                <w:sz w:val="21"/>
              </w:rPr>
              <w:t>水环境工业污染重点管控区</w:t>
            </w:r>
          </w:p>
        </w:tc>
      </w:tr>
      <w:tr w:rsidR="008A2411" w:rsidRPr="008A2411" w14:paraId="068F22BB" w14:textId="77777777">
        <w:trPr>
          <w:cantSplit/>
          <w:trHeight w:val="312"/>
          <w:tblHeader/>
        </w:trPr>
        <w:tc>
          <w:tcPr>
            <w:tcW w:w="749" w:type="pct"/>
            <w:vAlign w:val="center"/>
          </w:tcPr>
          <w:p w14:paraId="3942399C" w14:textId="77777777" w:rsidR="00B0005F" w:rsidRPr="008A2411" w:rsidRDefault="00000000">
            <w:pPr>
              <w:pStyle w:val="Normal0"/>
              <w:widowControl/>
              <w:spacing w:line="240" w:lineRule="auto"/>
              <w:ind w:firstLineChars="0" w:firstLine="0"/>
              <w:jc w:val="center"/>
              <w:rPr>
                <w:rFonts w:eastAsia="宋体"/>
                <w:color w:val="000000" w:themeColor="text1"/>
                <w:sz w:val="21"/>
              </w:rPr>
            </w:pPr>
            <w:r w:rsidRPr="008A2411">
              <w:rPr>
                <w:rFonts w:eastAsia="宋体" w:hint="eastAsia"/>
                <w:color w:val="000000" w:themeColor="text1"/>
                <w:sz w:val="21"/>
              </w:rPr>
              <w:t>YS5117222310001</w:t>
            </w:r>
          </w:p>
        </w:tc>
        <w:tc>
          <w:tcPr>
            <w:tcW w:w="986" w:type="pct"/>
            <w:vAlign w:val="center"/>
          </w:tcPr>
          <w:p w14:paraId="3CA8E58C" w14:textId="77777777" w:rsidR="00B0005F" w:rsidRPr="008A2411" w:rsidRDefault="00000000">
            <w:pPr>
              <w:pStyle w:val="Normal0"/>
              <w:widowControl/>
              <w:spacing w:line="240" w:lineRule="auto"/>
              <w:ind w:firstLineChars="0" w:firstLine="0"/>
              <w:jc w:val="center"/>
              <w:rPr>
                <w:rFonts w:eastAsia="宋体"/>
                <w:color w:val="000000" w:themeColor="text1"/>
                <w:sz w:val="21"/>
              </w:rPr>
            </w:pPr>
            <w:r w:rsidRPr="008A2411">
              <w:rPr>
                <w:rFonts w:eastAsia="宋体" w:hint="eastAsia"/>
                <w:color w:val="000000" w:themeColor="text1"/>
                <w:sz w:val="21"/>
              </w:rPr>
              <w:t>四川达州普光经济开发区（含锂钾综合开发产业园）</w:t>
            </w:r>
          </w:p>
        </w:tc>
        <w:tc>
          <w:tcPr>
            <w:tcW w:w="743" w:type="pct"/>
            <w:vAlign w:val="center"/>
          </w:tcPr>
          <w:p w14:paraId="367AF777" w14:textId="77777777" w:rsidR="00B0005F" w:rsidRPr="008A2411" w:rsidRDefault="00000000">
            <w:pPr>
              <w:pStyle w:val="Normal0"/>
              <w:widowControl/>
              <w:spacing w:line="240" w:lineRule="auto"/>
              <w:ind w:firstLineChars="0" w:firstLine="0"/>
              <w:jc w:val="center"/>
              <w:rPr>
                <w:rFonts w:eastAsia="宋体"/>
                <w:color w:val="000000" w:themeColor="text1"/>
                <w:sz w:val="21"/>
              </w:rPr>
            </w:pPr>
            <w:r w:rsidRPr="008A2411">
              <w:rPr>
                <w:rFonts w:eastAsia="宋体" w:hint="eastAsia"/>
                <w:color w:val="000000" w:themeColor="text1"/>
                <w:sz w:val="21"/>
              </w:rPr>
              <w:t>达州市</w:t>
            </w:r>
          </w:p>
        </w:tc>
        <w:tc>
          <w:tcPr>
            <w:tcW w:w="571" w:type="pct"/>
            <w:vAlign w:val="center"/>
          </w:tcPr>
          <w:p w14:paraId="26744E46" w14:textId="77777777" w:rsidR="00B0005F" w:rsidRPr="008A2411" w:rsidRDefault="00000000">
            <w:pPr>
              <w:pStyle w:val="Normal0"/>
              <w:widowControl/>
              <w:spacing w:line="240" w:lineRule="auto"/>
              <w:ind w:firstLineChars="0" w:firstLine="0"/>
              <w:jc w:val="center"/>
              <w:rPr>
                <w:rFonts w:eastAsia="宋体"/>
                <w:color w:val="000000" w:themeColor="text1"/>
                <w:sz w:val="21"/>
              </w:rPr>
            </w:pPr>
            <w:r w:rsidRPr="008A2411">
              <w:rPr>
                <w:rFonts w:eastAsia="宋体" w:hint="eastAsia"/>
                <w:color w:val="000000" w:themeColor="text1"/>
                <w:sz w:val="21"/>
              </w:rPr>
              <w:t>宣汉县</w:t>
            </w:r>
          </w:p>
        </w:tc>
        <w:tc>
          <w:tcPr>
            <w:tcW w:w="941" w:type="pct"/>
            <w:vAlign w:val="center"/>
          </w:tcPr>
          <w:p w14:paraId="56EB9631" w14:textId="77777777" w:rsidR="00B0005F" w:rsidRPr="008A2411" w:rsidRDefault="00000000">
            <w:pPr>
              <w:pStyle w:val="Normal0"/>
              <w:widowControl/>
              <w:spacing w:line="240" w:lineRule="auto"/>
              <w:ind w:firstLineChars="0" w:firstLine="0"/>
              <w:jc w:val="center"/>
              <w:rPr>
                <w:rFonts w:eastAsia="宋体"/>
                <w:color w:val="000000" w:themeColor="text1"/>
                <w:sz w:val="21"/>
              </w:rPr>
            </w:pPr>
            <w:r w:rsidRPr="008A2411">
              <w:rPr>
                <w:rFonts w:eastAsia="宋体" w:hint="eastAsia"/>
                <w:color w:val="000000" w:themeColor="text1"/>
                <w:sz w:val="21"/>
              </w:rPr>
              <w:t>大气环境管控分区</w:t>
            </w:r>
          </w:p>
        </w:tc>
        <w:tc>
          <w:tcPr>
            <w:tcW w:w="1009" w:type="pct"/>
            <w:vAlign w:val="center"/>
          </w:tcPr>
          <w:p w14:paraId="26EDA993" w14:textId="77777777" w:rsidR="00B0005F" w:rsidRPr="008A2411" w:rsidRDefault="00000000">
            <w:pPr>
              <w:pStyle w:val="Normal0"/>
              <w:widowControl/>
              <w:spacing w:line="240" w:lineRule="auto"/>
              <w:ind w:firstLineChars="0" w:firstLine="0"/>
              <w:jc w:val="center"/>
              <w:rPr>
                <w:rFonts w:eastAsia="宋体"/>
                <w:color w:val="000000" w:themeColor="text1"/>
                <w:sz w:val="21"/>
              </w:rPr>
            </w:pPr>
            <w:r w:rsidRPr="008A2411">
              <w:rPr>
                <w:rFonts w:eastAsia="宋体" w:hint="eastAsia"/>
                <w:color w:val="000000" w:themeColor="text1"/>
                <w:sz w:val="21"/>
              </w:rPr>
              <w:t>大气环境高排放重点管控区</w:t>
            </w:r>
          </w:p>
        </w:tc>
      </w:tr>
      <w:tr w:rsidR="00B0005F" w:rsidRPr="008A2411" w14:paraId="2C57E4F1" w14:textId="77777777">
        <w:trPr>
          <w:cantSplit/>
          <w:trHeight w:val="312"/>
          <w:tblHeader/>
        </w:trPr>
        <w:tc>
          <w:tcPr>
            <w:tcW w:w="749" w:type="pct"/>
            <w:vAlign w:val="center"/>
          </w:tcPr>
          <w:p w14:paraId="3C34077F" w14:textId="77777777" w:rsidR="00B0005F" w:rsidRPr="008A2411" w:rsidRDefault="00000000">
            <w:pPr>
              <w:pStyle w:val="Normal0"/>
              <w:widowControl/>
              <w:spacing w:line="240" w:lineRule="auto"/>
              <w:ind w:firstLineChars="0" w:firstLine="0"/>
              <w:jc w:val="center"/>
              <w:rPr>
                <w:rFonts w:eastAsia="宋体"/>
                <w:color w:val="000000" w:themeColor="text1"/>
                <w:sz w:val="21"/>
              </w:rPr>
            </w:pPr>
            <w:r w:rsidRPr="008A2411">
              <w:rPr>
                <w:rFonts w:eastAsia="宋体" w:hint="eastAsia"/>
                <w:color w:val="000000" w:themeColor="text1"/>
                <w:sz w:val="21"/>
              </w:rPr>
              <w:t>YS5117222420004</w:t>
            </w:r>
          </w:p>
        </w:tc>
        <w:tc>
          <w:tcPr>
            <w:tcW w:w="986" w:type="pct"/>
            <w:vAlign w:val="center"/>
          </w:tcPr>
          <w:p w14:paraId="33106961" w14:textId="77777777" w:rsidR="00B0005F" w:rsidRPr="008A2411" w:rsidRDefault="00000000">
            <w:pPr>
              <w:pStyle w:val="Normal0"/>
              <w:widowControl/>
              <w:spacing w:line="240" w:lineRule="auto"/>
              <w:ind w:firstLineChars="0" w:firstLine="0"/>
              <w:jc w:val="center"/>
              <w:rPr>
                <w:rFonts w:eastAsia="宋体"/>
                <w:color w:val="000000" w:themeColor="text1"/>
                <w:sz w:val="21"/>
              </w:rPr>
            </w:pPr>
            <w:r w:rsidRPr="008A2411">
              <w:rPr>
                <w:rFonts w:eastAsia="宋体" w:hint="eastAsia"/>
                <w:color w:val="000000" w:themeColor="text1"/>
                <w:sz w:val="21"/>
              </w:rPr>
              <w:t>宣汉县建设用地污染风险重点管控区</w:t>
            </w:r>
          </w:p>
        </w:tc>
        <w:tc>
          <w:tcPr>
            <w:tcW w:w="743" w:type="pct"/>
            <w:vAlign w:val="center"/>
          </w:tcPr>
          <w:p w14:paraId="17A78AB4" w14:textId="77777777" w:rsidR="00B0005F" w:rsidRPr="008A2411" w:rsidRDefault="00000000">
            <w:pPr>
              <w:pStyle w:val="Normal0"/>
              <w:widowControl/>
              <w:spacing w:line="240" w:lineRule="auto"/>
              <w:ind w:firstLineChars="0" w:firstLine="0"/>
              <w:jc w:val="center"/>
              <w:rPr>
                <w:rFonts w:eastAsia="宋体"/>
                <w:color w:val="000000" w:themeColor="text1"/>
                <w:sz w:val="21"/>
              </w:rPr>
            </w:pPr>
            <w:r w:rsidRPr="008A2411">
              <w:rPr>
                <w:rFonts w:eastAsia="宋体" w:hint="eastAsia"/>
                <w:color w:val="000000" w:themeColor="text1"/>
                <w:sz w:val="21"/>
              </w:rPr>
              <w:t>达州市</w:t>
            </w:r>
          </w:p>
        </w:tc>
        <w:tc>
          <w:tcPr>
            <w:tcW w:w="571" w:type="pct"/>
            <w:vAlign w:val="center"/>
          </w:tcPr>
          <w:p w14:paraId="1180D46A" w14:textId="77777777" w:rsidR="00B0005F" w:rsidRPr="008A2411" w:rsidRDefault="00000000">
            <w:pPr>
              <w:pStyle w:val="Normal0"/>
              <w:widowControl/>
              <w:spacing w:line="240" w:lineRule="auto"/>
              <w:ind w:firstLineChars="0" w:firstLine="0"/>
              <w:jc w:val="center"/>
              <w:rPr>
                <w:rFonts w:eastAsia="宋体"/>
                <w:color w:val="000000" w:themeColor="text1"/>
                <w:sz w:val="21"/>
              </w:rPr>
            </w:pPr>
            <w:r w:rsidRPr="008A2411">
              <w:rPr>
                <w:rFonts w:eastAsia="宋体" w:hint="eastAsia"/>
                <w:color w:val="000000" w:themeColor="text1"/>
                <w:sz w:val="21"/>
              </w:rPr>
              <w:t>宣汉县</w:t>
            </w:r>
          </w:p>
        </w:tc>
        <w:tc>
          <w:tcPr>
            <w:tcW w:w="941" w:type="pct"/>
            <w:vAlign w:val="center"/>
          </w:tcPr>
          <w:p w14:paraId="1661A2C1" w14:textId="77777777" w:rsidR="00B0005F" w:rsidRPr="008A2411" w:rsidRDefault="00000000">
            <w:pPr>
              <w:pStyle w:val="Normal0"/>
              <w:widowControl/>
              <w:spacing w:line="240" w:lineRule="auto"/>
              <w:ind w:firstLineChars="0" w:firstLine="0"/>
              <w:jc w:val="center"/>
              <w:rPr>
                <w:rFonts w:eastAsia="宋体"/>
                <w:color w:val="000000" w:themeColor="text1"/>
                <w:sz w:val="21"/>
              </w:rPr>
            </w:pPr>
            <w:r w:rsidRPr="008A2411">
              <w:rPr>
                <w:rFonts w:eastAsia="宋体" w:hint="eastAsia"/>
                <w:color w:val="000000" w:themeColor="text1"/>
                <w:sz w:val="21"/>
              </w:rPr>
              <w:t>土壤污染风险管控分区</w:t>
            </w:r>
          </w:p>
        </w:tc>
        <w:tc>
          <w:tcPr>
            <w:tcW w:w="1009" w:type="pct"/>
            <w:vAlign w:val="center"/>
          </w:tcPr>
          <w:p w14:paraId="3AAD7B17" w14:textId="77777777" w:rsidR="00B0005F" w:rsidRPr="008A2411" w:rsidRDefault="00000000">
            <w:pPr>
              <w:pStyle w:val="Normal0"/>
              <w:widowControl/>
              <w:spacing w:line="240" w:lineRule="auto"/>
              <w:ind w:firstLineChars="0" w:firstLine="0"/>
              <w:jc w:val="center"/>
              <w:rPr>
                <w:rFonts w:eastAsia="宋体"/>
                <w:color w:val="000000" w:themeColor="text1"/>
                <w:sz w:val="21"/>
              </w:rPr>
            </w:pPr>
            <w:r w:rsidRPr="008A2411">
              <w:rPr>
                <w:rFonts w:eastAsia="宋体" w:hint="eastAsia"/>
                <w:color w:val="000000" w:themeColor="text1"/>
                <w:sz w:val="21"/>
              </w:rPr>
              <w:t>建设用地污染风险重点管控区</w:t>
            </w:r>
          </w:p>
        </w:tc>
      </w:tr>
    </w:tbl>
    <w:p w14:paraId="42F6C53F" w14:textId="77777777" w:rsidR="00B0005F" w:rsidRPr="008A2411" w:rsidRDefault="00B0005F">
      <w:pPr>
        <w:ind w:firstLine="422"/>
        <w:jc w:val="center"/>
        <w:rPr>
          <w:rFonts w:ascii="Times New Roman"/>
          <w:b/>
          <w:bCs/>
          <w:color w:val="000000" w:themeColor="text1"/>
          <w:sz w:val="21"/>
          <w:szCs w:val="21"/>
        </w:rPr>
      </w:pPr>
    </w:p>
    <w:p w14:paraId="0FF9D79C" w14:textId="77777777" w:rsidR="00B0005F" w:rsidRPr="008A2411" w:rsidRDefault="00000000">
      <w:pPr>
        <w:ind w:firstLineChars="200" w:firstLine="420"/>
        <w:jc w:val="center"/>
        <w:rPr>
          <w:rFonts w:ascii="Times New Roman" w:eastAsia="黑体"/>
          <w:color w:val="000000" w:themeColor="text1"/>
          <w:sz w:val="21"/>
          <w:szCs w:val="21"/>
        </w:rPr>
      </w:pPr>
      <w:r w:rsidRPr="008A2411">
        <w:rPr>
          <w:rFonts w:ascii="Times New Roman" w:eastAsia="黑体"/>
          <w:color w:val="000000" w:themeColor="text1"/>
          <w:sz w:val="21"/>
          <w:szCs w:val="21"/>
        </w:rPr>
        <w:t>表</w:t>
      </w:r>
      <w:r w:rsidRPr="008A2411">
        <w:rPr>
          <w:rFonts w:ascii="Times New Roman" w:eastAsia="黑体"/>
          <w:color w:val="000000" w:themeColor="text1"/>
          <w:sz w:val="21"/>
          <w:szCs w:val="21"/>
        </w:rPr>
        <w:t xml:space="preserve">2.4-4  </w:t>
      </w:r>
      <w:r w:rsidRPr="008A2411">
        <w:rPr>
          <w:rFonts w:ascii="Times New Roman" w:eastAsia="黑体"/>
          <w:color w:val="000000" w:themeColor="text1"/>
          <w:sz w:val="21"/>
          <w:szCs w:val="21"/>
        </w:rPr>
        <w:t>项目与</w:t>
      </w:r>
      <w:r w:rsidRPr="008A2411">
        <w:rPr>
          <w:rFonts w:ascii="Times New Roman" w:eastAsia="黑体" w:hint="eastAsia"/>
          <w:color w:val="000000" w:themeColor="text1"/>
          <w:sz w:val="21"/>
          <w:szCs w:val="21"/>
        </w:rPr>
        <w:t>“</w:t>
      </w:r>
      <w:r w:rsidRPr="008A2411">
        <w:rPr>
          <w:rFonts w:ascii="Times New Roman" w:eastAsia="黑体"/>
          <w:color w:val="000000" w:themeColor="text1"/>
          <w:sz w:val="21"/>
          <w:szCs w:val="21"/>
        </w:rPr>
        <w:t>三线一单</w:t>
      </w:r>
      <w:r w:rsidRPr="008A2411">
        <w:rPr>
          <w:rFonts w:ascii="Times New Roman" w:eastAsia="黑体" w:hint="eastAsia"/>
          <w:color w:val="000000" w:themeColor="text1"/>
          <w:sz w:val="21"/>
          <w:szCs w:val="21"/>
        </w:rPr>
        <w:t>”</w:t>
      </w:r>
      <w:r w:rsidRPr="008A2411">
        <w:rPr>
          <w:rFonts w:ascii="Times New Roman" w:eastAsia="黑体"/>
          <w:color w:val="000000" w:themeColor="text1"/>
          <w:sz w:val="21"/>
          <w:szCs w:val="21"/>
        </w:rPr>
        <w:t>相关要求的符合性分析表</w:t>
      </w:r>
    </w:p>
    <w:tbl>
      <w:tblPr>
        <w:tblStyle w:val="affff9"/>
        <w:tblW w:w="499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9"/>
        <w:gridCol w:w="900"/>
        <w:gridCol w:w="705"/>
        <w:gridCol w:w="4321"/>
        <w:gridCol w:w="1274"/>
        <w:gridCol w:w="680"/>
      </w:tblGrid>
      <w:tr w:rsidR="008A2411" w:rsidRPr="008A2411" w14:paraId="0A700200" w14:textId="77777777">
        <w:trPr>
          <w:tblHeader/>
          <w:jc w:val="center"/>
        </w:trPr>
        <w:tc>
          <w:tcPr>
            <w:tcW w:w="3853" w:type="pct"/>
            <w:gridSpan w:val="4"/>
            <w:vAlign w:val="center"/>
          </w:tcPr>
          <w:p w14:paraId="7ED1275A" w14:textId="77777777" w:rsidR="00B0005F" w:rsidRPr="008A2411" w:rsidRDefault="00000000">
            <w:pPr>
              <w:jc w:val="center"/>
              <w:rPr>
                <w:rFonts w:ascii="Times New Roman"/>
                <w:b/>
                <w:bCs/>
                <w:snapToGrid w:val="0"/>
                <w:color w:val="000000" w:themeColor="text1"/>
                <w:sz w:val="21"/>
                <w:szCs w:val="21"/>
              </w:rPr>
            </w:pPr>
            <w:r w:rsidRPr="008A2411">
              <w:rPr>
                <w:rFonts w:ascii="Times New Roman" w:hint="eastAsia"/>
                <w:b/>
                <w:bCs/>
                <w:snapToGrid w:val="0"/>
                <w:color w:val="000000" w:themeColor="text1"/>
                <w:sz w:val="21"/>
                <w:szCs w:val="21"/>
              </w:rPr>
              <w:t>“</w:t>
            </w:r>
            <w:r w:rsidRPr="008A2411">
              <w:rPr>
                <w:rFonts w:ascii="Times New Roman"/>
                <w:b/>
                <w:bCs/>
                <w:snapToGrid w:val="0"/>
                <w:color w:val="000000" w:themeColor="text1"/>
                <w:sz w:val="21"/>
                <w:szCs w:val="21"/>
              </w:rPr>
              <w:t>三线一单</w:t>
            </w:r>
            <w:r w:rsidRPr="008A2411">
              <w:rPr>
                <w:rFonts w:ascii="Times New Roman" w:hint="eastAsia"/>
                <w:b/>
                <w:bCs/>
                <w:snapToGrid w:val="0"/>
                <w:color w:val="000000" w:themeColor="text1"/>
                <w:sz w:val="21"/>
                <w:szCs w:val="21"/>
              </w:rPr>
              <w:t>”</w:t>
            </w:r>
            <w:r w:rsidRPr="008A2411">
              <w:rPr>
                <w:rFonts w:ascii="Times New Roman"/>
                <w:b/>
                <w:bCs/>
                <w:snapToGrid w:val="0"/>
                <w:color w:val="000000" w:themeColor="text1"/>
                <w:sz w:val="21"/>
                <w:szCs w:val="21"/>
              </w:rPr>
              <w:t>的具体要求</w:t>
            </w:r>
          </w:p>
        </w:tc>
        <w:tc>
          <w:tcPr>
            <w:tcW w:w="748" w:type="pct"/>
            <w:vMerge w:val="restart"/>
            <w:vAlign w:val="center"/>
          </w:tcPr>
          <w:p w14:paraId="38DFA3ED" w14:textId="77777777" w:rsidR="00B0005F" w:rsidRPr="008A2411" w:rsidRDefault="00000000">
            <w:pPr>
              <w:jc w:val="center"/>
              <w:rPr>
                <w:rFonts w:ascii="Times New Roman"/>
                <w:b/>
                <w:bCs/>
                <w:snapToGrid w:val="0"/>
                <w:color w:val="000000" w:themeColor="text1"/>
                <w:sz w:val="21"/>
                <w:szCs w:val="21"/>
              </w:rPr>
            </w:pPr>
            <w:r w:rsidRPr="008A2411">
              <w:rPr>
                <w:rFonts w:ascii="Times New Roman"/>
                <w:b/>
                <w:bCs/>
                <w:snapToGrid w:val="0"/>
                <w:color w:val="000000" w:themeColor="text1"/>
                <w:sz w:val="21"/>
                <w:szCs w:val="21"/>
              </w:rPr>
              <w:t>项目对应情况介绍</w:t>
            </w:r>
          </w:p>
        </w:tc>
        <w:tc>
          <w:tcPr>
            <w:tcW w:w="399" w:type="pct"/>
            <w:vMerge w:val="restart"/>
            <w:vAlign w:val="center"/>
          </w:tcPr>
          <w:p w14:paraId="76A09B3A" w14:textId="77777777" w:rsidR="00B0005F" w:rsidRPr="008A2411" w:rsidRDefault="00000000">
            <w:pPr>
              <w:jc w:val="center"/>
              <w:rPr>
                <w:rFonts w:ascii="Times New Roman"/>
                <w:b/>
                <w:bCs/>
                <w:snapToGrid w:val="0"/>
                <w:color w:val="000000" w:themeColor="text1"/>
                <w:sz w:val="21"/>
                <w:szCs w:val="21"/>
              </w:rPr>
            </w:pPr>
            <w:r w:rsidRPr="008A2411">
              <w:rPr>
                <w:rFonts w:ascii="Times New Roman"/>
                <w:b/>
                <w:bCs/>
                <w:snapToGrid w:val="0"/>
                <w:color w:val="000000" w:themeColor="text1"/>
                <w:sz w:val="21"/>
                <w:szCs w:val="21"/>
              </w:rPr>
              <w:t>符合性分析</w:t>
            </w:r>
          </w:p>
        </w:tc>
      </w:tr>
      <w:tr w:rsidR="008A2411" w:rsidRPr="008A2411" w14:paraId="4B454F65" w14:textId="77777777">
        <w:trPr>
          <w:tblHeader/>
          <w:jc w:val="center"/>
        </w:trPr>
        <w:tc>
          <w:tcPr>
            <w:tcW w:w="1317" w:type="pct"/>
            <w:gridSpan w:val="3"/>
            <w:vAlign w:val="center"/>
          </w:tcPr>
          <w:p w14:paraId="06096C48" w14:textId="77777777" w:rsidR="00B0005F" w:rsidRPr="008A2411" w:rsidRDefault="00000000">
            <w:pPr>
              <w:jc w:val="center"/>
              <w:rPr>
                <w:rFonts w:ascii="Times New Roman"/>
                <w:b/>
                <w:bCs/>
                <w:snapToGrid w:val="0"/>
                <w:color w:val="000000" w:themeColor="text1"/>
                <w:sz w:val="21"/>
                <w:szCs w:val="21"/>
              </w:rPr>
            </w:pPr>
            <w:r w:rsidRPr="008A2411">
              <w:rPr>
                <w:rFonts w:ascii="Times New Roman"/>
                <w:b/>
                <w:bCs/>
                <w:snapToGrid w:val="0"/>
                <w:color w:val="000000" w:themeColor="text1"/>
                <w:sz w:val="21"/>
                <w:szCs w:val="21"/>
              </w:rPr>
              <w:t>类别</w:t>
            </w:r>
          </w:p>
        </w:tc>
        <w:tc>
          <w:tcPr>
            <w:tcW w:w="2536" w:type="pct"/>
            <w:vAlign w:val="center"/>
          </w:tcPr>
          <w:p w14:paraId="328BB510" w14:textId="77777777" w:rsidR="00B0005F" w:rsidRPr="008A2411" w:rsidRDefault="00000000">
            <w:pPr>
              <w:jc w:val="center"/>
              <w:rPr>
                <w:rFonts w:ascii="Times New Roman"/>
                <w:b/>
                <w:bCs/>
                <w:snapToGrid w:val="0"/>
                <w:color w:val="000000" w:themeColor="text1"/>
                <w:sz w:val="21"/>
                <w:szCs w:val="21"/>
              </w:rPr>
            </w:pPr>
            <w:r w:rsidRPr="008A2411">
              <w:rPr>
                <w:rFonts w:ascii="Times New Roman"/>
                <w:b/>
                <w:bCs/>
                <w:snapToGrid w:val="0"/>
                <w:color w:val="000000" w:themeColor="text1"/>
                <w:sz w:val="21"/>
                <w:szCs w:val="21"/>
              </w:rPr>
              <w:t>对应管</w:t>
            </w:r>
            <w:proofErr w:type="gramStart"/>
            <w:r w:rsidRPr="008A2411">
              <w:rPr>
                <w:rFonts w:ascii="Times New Roman"/>
                <w:b/>
                <w:bCs/>
                <w:snapToGrid w:val="0"/>
                <w:color w:val="000000" w:themeColor="text1"/>
                <w:sz w:val="21"/>
                <w:szCs w:val="21"/>
              </w:rPr>
              <w:t>控要求</w:t>
            </w:r>
            <w:proofErr w:type="gramEnd"/>
          </w:p>
        </w:tc>
        <w:tc>
          <w:tcPr>
            <w:tcW w:w="748" w:type="pct"/>
            <w:vMerge/>
            <w:vAlign w:val="center"/>
          </w:tcPr>
          <w:p w14:paraId="34ADF56A" w14:textId="77777777" w:rsidR="00B0005F" w:rsidRPr="008A2411" w:rsidRDefault="00B0005F">
            <w:pPr>
              <w:jc w:val="center"/>
              <w:rPr>
                <w:rFonts w:ascii="Times New Roman"/>
                <w:b/>
                <w:bCs/>
                <w:snapToGrid w:val="0"/>
                <w:color w:val="000000" w:themeColor="text1"/>
                <w:sz w:val="21"/>
                <w:szCs w:val="21"/>
              </w:rPr>
            </w:pPr>
          </w:p>
        </w:tc>
        <w:tc>
          <w:tcPr>
            <w:tcW w:w="399" w:type="pct"/>
            <w:vMerge/>
            <w:vAlign w:val="center"/>
          </w:tcPr>
          <w:p w14:paraId="10ACABBE" w14:textId="77777777" w:rsidR="00B0005F" w:rsidRPr="008A2411" w:rsidRDefault="00B0005F">
            <w:pPr>
              <w:jc w:val="center"/>
              <w:rPr>
                <w:rFonts w:ascii="Times New Roman"/>
                <w:b/>
                <w:bCs/>
                <w:snapToGrid w:val="0"/>
                <w:color w:val="000000" w:themeColor="text1"/>
                <w:sz w:val="21"/>
                <w:szCs w:val="21"/>
              </w:rPr>
            </w:pPr>
          </w:p>
        </w:tc>
      </w:tr>
      <w:tr w:rsidR="008A2411" w:rsidRPr="008A2411" w14:paraId="10E3651F" w14:textId="77777777">
        <w:trPr>
          <w:jc w:val="center"/>
        </w:trPr>
        <w:tc>
          <w:tcPr>
            <w:tcW w:w="375" w:type="pct"/>
            <w:vMerge w:val="restart"/>
            <w:vAlign w:val="center"/>
          </w:tcPr>
          <w:p w14:paraId="3D03B873" w14:textId="77777777" w:rsidR="00B0005F" w:rsidRPr="008A2411" w:rsidRDefault="00B0005F">
            <w:pPr>
              <w:jc w:val="center"/>
              <w:rPr>
                <w:rFonts w:ascii="Times New Roman"/>
                <w:snapToGrid w:val="0"/>
                <w:color w:val="000000" w:themeColor="text1"/>
                <w:sz w:val="21"/>
                <w:szCs w:val="21"/>
              </w:rPr>
            </w:pPr>
          </w:p>
        </w:tc>
        <w:tc>
          <w:tcPr>
            <w:tcW w:w="528" w:type="pct"/>
            <w:vMerge w:val="restart"/>
            <w:vAlign w:val="center"/>
          </w:tcPr>
          <w:p w14:paraId="52C7D6B0" w14:textId="77777777" w:rsidR="00B0005F" w:rsidRPr="008A2411" w:rsidRDefault="00000000">
            <w:pPr>
              <w:jc w:val="center"/>
              <w:rPr>
                <w:rFonts w:ascii="Times New Roman"/>
                <w:color w:val="000000" w:themeColor="text1"/>
                <w:kern w:val="2"/>
                <w:sz w:val="21"/>
                <w:szCs w:val="21"/>
              </w:rPr>
            </w:pPr>
            <w:r w:rsidRPr="008A2411">
              <w:rPr>
                <w:rFonts w:ascii="Times New Roman"/>
                <w:color w:val="000000" w:themeColor="text1"/>
                <w:kern w:val="2"/>
                <w:sz w:val="21"/>
                <w:szCs w:val="21"/>
              </w:rPr>
              <w:t>达州市总体管</w:t>
            </w:r>
            <w:proofErr w:type="gramStart"/>
            <w:r w:rsidRPr="008A2411">
              <w:rPr>
                <w:rFonts w:ascii="Times New Roman"/>
                <w:color w:val="000000" w:themeColor="text1"/>
                <w:kern w:val="2"/>
                <w:sz w:val="21"/>
                <w:szCs w:val="21"/>
              </w:rPr>
              <w:t>控要求</w:t>
            </w:r>
            <w:proofErr w:type="gramEnd"/>
          </w:p>
        </w:tc>
        <w:tc>
          <w:tcPr>
            <w:tcW w:w="414" w:type="pct"/>
            <w:vAlign w:val="center"/>
          </w:tcPr>
          <w:p w14:paraId="5783FFA5" w14:textId="77777777" w:rsidR="00B0005F" w:rsidRPr="008A2411" w:rsidRDefault="00000000">
            <w:pPr>
              <w:jc w:val="center"/>
              <w:rPr>
                <w:rFonts w:ascii="Times New Roman"/>
                <w:snapToGrid w:val="0"/>
                <w:color w:val="000000" w:themeColor="text1"/>
                <w:sz w:val="21"/>
                <w:szCs w:val="21"/>
              </w:rPr>
            </w:pPr>
            <w:r w:rsidRPr="008A2411">
              <w:rPr>
                <w:rFonts w:ascii="Times New Roman"/>
                <w:snapToGrid w:val="0"/>
                <w:color w:val="000000" w:themeColor="text1"/>
                <w:sz w:val="21"/>
                <w:szCs w:val="21"/>
              </w:rPr>
              <w:t>空间布局约束</w:t>
            </w:r>
          </w:p>
        </w:tc>
        <w:tc>
          <w:tcPr>
            <w:tcW w:w="2536" w:type="pct"/>
            <w:vAlign w:val="center"/>
          </w:tcPr>
          <w:p w14:paraId="7DF33162" w14:textId="77777777" w:rsidR="00B0005F" w:rsidRPr="008A2411" w:rsidRDefault="00000000">
            <w:pPr>
              <w:pStyle w:val="Normal00"/>
              <w:widowControl/>
              <w:spacing w:line="240" w:lineRule="auto"/>
              <w:ind w:firstLineChars="0" w:firstLine="0"/>
              <w:jc w:val="left"/>
              <w:rPr>
                <w:rFonts w:eastAsia="宋体"/>
                <w:b/>
                <w:bCs/>
                <w:color w:val="000000" w:themeColor="text1"/>
                <w:sz w:val="21"/>
              </w:rPr>
            </w:pPr>
            <w:r w:rsidRPr="008A2411">
              <w:rPr>
                <w:rFonts w:eastAsia="宋体"/>
                <w:b/>
                <w:bCs/>
                <w:color w:val="000000" w:themeColor="text1"/>
                <w:sz w:val="21"/>
              </w:rPr>
              <w:t>禁止开发建设活动的要求：</w:t>
            </w:r>
          </w:p>
          <w:p w14:paraId="75BA71A3"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color w:val="000000" w:themeColor="text1"/>
                <w:sz w:val="21"/>
              </w:rPr>
              <w:t>-</w:t>
            </w:r>
            <w:r w:rsidRPr="008A2411">
              <w:rPr>
                <w:rFonts w:eastAsia="宋体"/>
                <w:color w:val="000000" w:themeColor="text1"/>
                <w:sz w:val="21"/>
              </w:rPr>
              <w:t>禁止在长江干支流</w:t>
            </w:r>
            <w:r w:rsidRPr="008A2411">
              <w:rPr>
                <w:rFonts w:eastAsia="宋体"/>
                <w:color w:val="000000" w:themeColor="text1"/>
                <w:sz w:val="21"/>
              </w:rPr>
              <w:t>1</w:t>
            </w:r>
            <w:r w:rsidRPr="008A2411">
              <w:rPr>
                <w:rFonts w:eastAsia="宋体"/>
                <w:color w:val="000000" w:themeColor="text1"/>
                <w:sz w:val="21"/>
              </w:rPr>
              <w:t>公里范围内新建、扩建化工园区和化工项目。</w:t>
            </w:r>
          </w:p>
          <w:p w14:paraId="0CA66FEE"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color w:val="000000" w:themeColor="text1"/>
                <w:sz w:val="21"/>
              </w:rPr>
              <w:t>-</w:t>
            </w:r>
            <w:r w:rsidRPr="008A2411">
              <w:rPr>
                <w:rFonts w:eastAsia="宋体"/>
                <w:color w:val="000000" w:themeColor="text1"/>
                <w:sz w:val="21"/>
              </w:rPr>
              <w:t>禁止在法律法规规定的禁采区内新建矿山；禁止土法采、选、</w:t>
            </w:r>
            <w:proofErr w:type="gramStart"/>
            <w:r w:rsidRPr="008A2411">
              <w:rPr>
                <w:rFonts w:eastAsia="宋体"/>
                <w:color w:val="000000" w:themeColor="text1"/>
                <w:sz w:val="21"/>
              </w:rPr>
              <w:t>冶严重</w:t>
            </w:r>
            <w:proofErr w:type="gramEnd"/>
            <w:r w:rsidRPr="008A2411">
              <w:rPr>
                <w:rFonts w:eastAsia="宋体"/>
                <w:color w:val="000000" w:themeColor="text1"/>
                <w:sz w:val="21"/>
              </w:rPr>
              <w:t>污染环境的矿产资源。</w:t>
            </w:r>
          </w:p>
          <w:p w14:paraId="6820BEB9"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color w:val="000000" w:themeColor="text1"/>
                <w:sz w:val="21"/>
              </w:rPr>
              <w:t>-</w:t>
            </w:r>
            <w:r w:rsidRPr="008A2411">
              <w:rPr>
                <w:rFonts w:eastAsia="宋体"/>
                <w:color w:val="000000" w:themeColor="text1"/>
                <w:sz w:val="21"/>
              </w:rPr>
              <w:t>涉及永久基本农田的区域，除法律规定的重点建设项目选址确实无法避让外，其他任何建设不得占用。</w:t>
            </w:r>
          </w:p>
          <w:p w14:paraId="4B41A110"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color w:val="000000" w:themeColor="text1"/>
                <w:sz w:val="21"/>
              </w:rPr>
              <w:t>拟新增：</w:t>
            </w:r>
          </w:p>
          <w:p w14:paraId="2FCCC532"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color w:val="000000" w:themeColor="text1"/>
                <w:sz w:val="21"/>
              </w:rPr>
              <w:t>-</w:t>
            </w:r>
            <w:r w:rsidRPr="008A2411">
              <w:rPr>
                <w:rFonts w:eastAsia="宋体"/>
                <w:color w:val="000000" w:themeColor="text1"/>
                <w:sz w:val="21"/>
              </w:rPr>
              <w:t>禁止在长江流域河湖管理范围内倾倒、填埋、堆放、弃置、处理固体废物。</w:t>
            </w:r>
          </w:p>
          <w:p w14:paraId="5DB5D598" w14:textId="77777777" w:rsidR="00B0005F" w:rsidRPr="008A2411" w:rsidRDefault="00000000">
            <w:pPr>
              <w:pStyle w:val="Normal00"/>
              <w:widowControl/>
              <w:spacing w:line="240" w:lineRule="auto"/>
              <w:ind w:firstLineChars="0" w:firstLine="0"/>
              <w:jc w:val="left"/>
              <w:rPr>
                <w:rFonts w:eastAsia="宋体"/>
                <w:b/>
                <w:bCs/>
                <w:color w:val="000000" w:themeColor="text1"/>
                <w:sz w:val="21"/>
              </w:rPr>
            </w:pPr>
            <w:r w:rsidRPr="008A2411">
              <w:rPr>
                <w:rFonts w:eastAsia="宋体"/>
                <w:b/>
                <w:bCs/>
                <w:color w:val="000000" w:themeColor="text1"/>
                <w:sz w:val="21"/>
              </w:rPr>
              <w:t>限制开发建设活动的要求：</w:t>
            </w:r>
          </w:p>
          <w:p w14:paraId="23D01E88"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color w:val="000000" w:themeColor="text1"/>
                <w:sz w:val="21"/>
              </w:rPr>
              <w:t>-</w:t>
            </w:r>
            <w:r w:rsidRPr="008A2411">
              <w:rPr>
                <w:rFonts w:eastAsia="宋体"/>
                <w:color w:val="000000" w:themeColor="text1"/>
                <w:sz w:val="21"/>
              </w:rPr>
              <w:t>按照相关要求严控水泥新增产能。</w:t>
            </w:r>
          </w:p>
          <w:p w14:paraId="023019FB"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color w:val="000000" w:themeColor="text1"/>
                <w:sz w:val="21"/>
              </w:rPr>
              <w:t>拟新增：</w:t>
            </w:r>
          </w:p>
          <w:p w14:paraId="0A616C1B"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color w:val="000000" w:themeColor="text1"/>
                <w:sz w:val="21"/>
              </w:rPr>
              <w:t>-</w:t>
            </w:r>
            <w:r w:rsidRPr="008A2411">
              <w:rPr>
                <w:rFonts w:eastAsia="宋体"/>
                <w:color w:val="000000" w:themeColor="text1"/>
                <w:sz w:val="21"/>
              </w:rPr>
              <w:t>涉及法定保护地，严格按照国家及地方法律法规、管理办法等相关要求进行控制。配套旅游、基础设施等建设项目，在符合规划和相关保护要求的前提下，应实施生态避让、减缓影响及生态恢复措施。</w:t>
            </w:r>
          </w:p>
          <w:p w14:paraId="567D0AF2"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color w:val="000000" w:themeColor="text1"/>
                <w:sz w:val="21"/>
              </w:rPr>
              <w:t>-</w:t>
            </w:r>
            <w:r w:rsidRPr="008A2411">
              <w:rPr>
                <w:rFonts w:eastAsia="宋体"/>
                <w:color w:val="000000" w:themeColor="text1"/>
                <w:sz w:val="21"/>
              </w:rPr>
              <w:t>按照相关要求严控水泥新增产能。</w:t>
            </w:r>
          </w:p>
          <w:p w14:paraId="1619CD29"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color w:val="000000" w:themeColor="text1"/>
                <w:sz w:val="21"/>
              </w:rPr>
              <w:t>-</w:t>
            </w:r>
            <w:r w:rsidRPr="008A2411">
              <w:rPr>
                <w:rFonts w:eastAsia="宋体"/>
                <w:color w:val="000000" w:themeColor="text1"/>
                <w:sz w:val="21"/>
              </w:rPr>
              <w:t>禁止在长江干流岸线三公里范围内和重要支流岸线一公里范围内新建、改建、扩建尾矿库；但是以提升安全、生态环境保护水平为目的的改建除外。</w:t>
            </w:r>
          </w:p>
          <w:p w14:paraId="76E04D9F" w14:textId="77777777" w:rsidR="00B0005F" w:rsidRPr="008A2411" w:rsidRDefault="00000000">
            <w:pPr>
              <w:pStyle w:val="Normal00"/>
              <w:widowControl/>
              <w:spacing w:line="240" w:lineRule="auto"/>
              <w:ind w:firstLineChars="0" w:firstLine="0"/>
              <w:jc w:val="left"/>
              <w:rPr>
                <w:rFonts w:eastAsia="宋体"/>
                <w:b/>
                <w:bCs/>
                <w:color w:val="000000" w:themeColor="text1"/>
                <w:sz w:val="21"/>
              </w:rPr>
            </w:pPr>
            <w:r w:rsidRPr="008A2411">
              <w:rPr>
                <w:rFonts w:eastAsia="宋体"/>
                <w:b/>
                <w:bCs/>
                <w:color w:val="000000" w:themeColor="text1"/>
                <w:sz w:val="21"/>
              </w:rPr>
              <w:t>不符合空间布局要求活动的退出要求：</w:t>
            </w:r>
          </w:p>
          <w:p w14:paraId="160EC1A7"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color w:val="000000" w:themeColor="text1"/>
                <w:sz w:val="21"/>
              </w:rPr>
              <w:t>-</w:t>
            </w:r>
            <w:r w:rsidRPr="008A2411">
              <w:rPr>
                <w:rFonts w:eastAsia="宋体"/>
                <w:color w:val="000000" w:themeColor="text1"/>
                <w:sz w:val="21"/>
              </w:rPr>
              <w:t>针对现有水泥企业，强化污染治理和污染物减排，依法依规整治或搬迁。</w:t>
            </w:r>
          </w:p>
          <w:p w14:paraId="4F27E4EE"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color w:val="000000" w:themeColor="text1"/>
                <w:sz w:val="21"/>
              </w:rPr>
              <w:t>拟新增：</w:t>
            </w:r>
          </w:p>
          <w:p w14:paraId="48866051"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color w:val="000000" w:themeColor="text1"/>
                <w:sz w:val="21"/>
              </w:rPr>
              <w:t>-</w:t>
            </w:r>
            <w:r w:rsidRPr="008A2411">
              <w:rPr>
                <w:rFonts w:eastAsia="宋体"/>
                <w:color w:val="000000" w:themeColor="text1"/>
                <w:sz w:val="21"/>
              </w:rPr>
              <w:t>全面取缔禁养区内规模化畜禽养殖场。</w:t>
            </w:r>
          </w:p>
          <w:p w14:paraId="6629E5CE"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color w:val="000000" w:themeColor="text1"/>
                <w:sz w:val="21"/>
              </w:rPr>
              <w:t>-2025</w:t>
            </w:r>
            <w:r w:rsidRPr="008A2411">
              <w:rPr>
                <w:rFonts w:eastAsia="宋体"/>
                <w:color w:val="000000" w:themeColor="text1"/>
                <w:sz w:val="21"/>
              </w:rPr>
              <w:t>年基本完成全域内</w:t>
            </w:r>
            <w:r w:rsidRPr="008A2411">
              <w:rPr>
                <w:rFonts w:eastAsia="宋体" w:hint="eastAsia"/>
                <w:color w:val="000000" w:themeColor="text1"/>
                <w:sz w:val="21"/>
              </w:rPr>
              <w:t>“</w:t>
            </w:r>
            <w:r w:rsidRPr="008A2411">
              <w:rPr>
                <w:rFonts w:eastAsia="宋体"/>
                <w:color w:val="000000" w:themeColor="text1"/>
                <w:sz w:val="21"/>
              </w:rPr>
              <w:t>散乱污</w:t>
            </w:r>
            <w:r w:rsidRPr="008A2411">
              <w:rPr>
                <w:rFonts w:eastAsia="宋体" w:hint="eastAsia"/>
                <w:color w:val="000000" w:themeColor="text1"/>
                <w:sz w:val="21"/>
              </w:rPr>
              <w:t>”</w:t>
            </w:r>
            <w:r w:rsidRPr="008A2411">
              <w:rPr>
                <w:rFonts w:eastAsia="宋体"/>
                <w:color w:val="000000" w:themeColor="text1"/>
                <w:sz w:val="21"/>
              </w:rPr>
              <w:t>企业整治工作。</w:t>
            </w:r>
          </w:p>
        </w:tc>
        <w:tc>
          <w:tcPr>
            <w:tcW w:w="748" w:type="pct"/>
            <w:vAlign w:val="center"/>
          </w:tcPr>
          <w:p w14:paraId="7061FCA1" w14:textId="77777777" w:rsidR="00B0005F" w:rsidRPr="008A2411" w:rsidRDefault="00000000">
            <w:pPr>
              <w:pStyle w:val="24"/>
              <w:spacing w:after="0" w:line="240" w:lineRule="auto"/>
              <w:ind w:leftChars="0" w:left="0"/>
              <w:jc w:val="center"/>
              <w:rPr>
                <w:rFonts w:ascii="Times New Roman"/>
                <w:snapToGrid w:val="0"/>
                <w:color w:val="000000" w:themeColor="text1"/>
                <w:szCs w:val="21"/>
              </w:rPr>
            </w:pPr>
            <w:r w:rsidRPr="008A2411">
              <w:rPr>
                <w:rFonts w:ascii="Times New Roman"/>
                <w:snapToGrid w:val="0"/>
                <w:color w:val="000000" w:themeColor="text1"/>
                <w:szCs w:val="21"/>
              </w:rPr>
              <w:t>本项目为天然气液化加工生产项目，不涉及空间约束管控内容。</w:t>
            </w:r>
          </w:p>
        </w:tc>
        <w:tc>
          <w:tcPr>
            <w:tcW w:w="399" w:type="pct"/>
            <w:vAlign w:val="center"/>
          </w:tcPr>
          <w:p w14:paraId="7A25A2CC" w14:textId="77777777" w:rsidR="00B0005F" w:rsidRPr="008A2411" w:rsidRDefault="00000000">
            <w:pPr>
              <w:jc w:val="center"/>
              <w:rPr>
                <w:rFonts w:ascii="Times New Roman"/>
                <w:snapToGrid w:val="0"/>
                <w:color w:val="000000" w:themeColor="text1"/>
                <w:sz w:val="21"/>
                <w:szCs w:val="21"/>
              </w:rPr>
            </w:pPr>
            <w:r w:rsidRPr="008A2411">
              <w:rPr>
                <w:rFonts w:ascii="Times New Roman"/>
                <w:snapToGrid w:val="0"/>
                <w:color w:val="000000" w:themeColor="text1"/>
                <w:sz w:val="21"/>
                <w:szCs w:val="21"/>
              </w:rPr>
              <w:t>符合</w:t>
            </w:r>
          </w:p>
        </w:tc>
      </w:tr>
      <w:tr w:rsidR="008A2411" w:rsidRPr="008A2411" w14:paraId="7ACF8478" w14:textId="77777777">
        <w:trPr>
          <w:jc w:val="center"/>
        </w:trPr>
        <w:tc>
          <w:tcPr>
            <w:tcW w:w="375" w:type="pct"/>
            <w:vMerge/>
            <w:vAlign w:val="center"/>
          </w:tcPr>
          <w:p w14:paraId="7EAB1739" w14:textId="77777777" w:rsidR="00B0005F" w:rsidRPr="008A2411" w:rsidRDefault="00B0005F">
            <w:pPr>
              <w:jc w:val="center"/>
              <w:rPr>
                <w:rFonts w:ascii="Times New Roman"/>
                <w:snapToGrid w:val="0"/>
                <w:color w:val="000000" w:themeColor="text1"/>
                <w:sz w:val="21"/>
                <w:szCs w:val="21"/>
              </w:rPr>
            </w:pPr>
          </w:p>
        </w:tc>
        <w:tc>
          <w:tcPr>
            <w:tcW w:w="528" w:type="pct"/>
            <w:vMerge/>
            <w:vAlign w:val="center"/>
          </w:tcPr>
          <w:p w14:paraId="04A6D20F" w14:textId="77777777" w:rsidR="00B0005F" w:rsidRPr="008A2411" w:rsidRDefault="00B0005F">
            <w:pPr>
              <w:jc w:val="center"/>
              <w:rPr>
                <w:rFonts w:ascii="Times New Roman"/>
                <w:color w:val="000000" w:themeColor="text1"/>
                <w:kern w:val="2"/>
                <w:sz w:val="21"/>
                <w:szCs w:val="21"/>
              </w:rPr>
            </w:pPr>
          </w:p>
        </w:tc>
        <w:tc>
          <w:tcPr>
            <w:tcW w:w="414" w:type="pct"/>
            <w:vAlign w:val="center"/>
          </w:tcPr>
          <w:p w14:paraId="0ED52FBE" w14:textId="77777777" w:rsidR="00B0005F" w:rsidRPr="008A2411" w:rsidRDefault="00000000">
            <w:pPr>
              <w:jc w:val="center"/>
              <w:rPr>
                <w:rFonts w:ascii="Times New Roman"/>
                <w:snapToGrid w:val="0"/>
                <w:color w:val="000000" w:themeColor="text1"/>
                <w:sz w:val="21"/>
                <w:szCs w:val="21"/>
              </w:rPr>
            </w:pPr>
            <w:r w:rsidRPr="008A2411">
              <w:rPr>
                <w:rFonts w:ascii="Times New Roman"/>
                <w:color w:val="000000" w:themeColor="text1"/>
                <w:kern w:val="2"/>
                <w:sz w:val="21"/>
                <w:szCs w:val="21"/>
              </w:rPr>
              <w:t>污染物排放管控</w:t>
            </w:r>
          </w:p>
        </w:tc>
        <w:tc>
          <w:tcPr>
            <w:tcW w:w="2536" w:type="pct"/>
            <w:vAlign w:val="center"/>
          </w:tcPr>
          <w:p w14:paraId="23953888" w14:textId="77777777" w:rsidR="00B0005F" w:rsidRPr="008A2411" w:rsidRDefault="00000000">
            <w:pPr>
              <w:pStyle w:val="Normal00"/>
              <w:widowControl/>
              <w:spacing w:line="240" w:lineRule="auto"/>
              <w:ind w:firstLineChars="0" w:firstLine="0"/>
              <w:jc w:val="left"/>
              <w:rPr>
                <w:rFonts w:eastAsia="宋体"/>
                <w:b/>
                <w:bCs/>
                <w:color w:val="000000" w:themeColor="text1"/>
                <w:sz w:val="21"/>
              </w:rPr>
            </w:pPr>
            <w:r w:rsidRPr="008A2411">
              <w:rPr>
                <w:rFonts w:eastAsia="宋体"/>
                <w:b/>
                <w:bCs/>
                <w:color w:val="000000" w:themeColor="text1"/>
                <w:sz w:val="21"/>
              </w:rPr>
              <w:t>现有源提标升级改造：</w:t>
            </w:r>
          </w:p>
          <w:p w14:paraId="2EA68F33"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color w:val="000000" w:themeColor="text1"/>
                <w:sz w:val="21"/>
              </w:rPr>
              <w:t>-</w:t>
            </w:r>
            <w:r w:rsidRPr="008A2411">
              <w:rPr>
                <w:rFonts w:eastAsia="宋体"/>
                <w:color w:val="000000" w:themeColor="text1"/>
                <w:sz w:val="21"/>
              </w:rPr>
              <w:t>在矿产资源开发活动集中区域，废水执行重金属污染物排放特别限值。</w:t>
            </w:r>
          </w:p>
          <w:p w14:paraId="46D0708B"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color w:val="000000" w:themeColor="text1"/>
                <w:sz w:val="21"/>
              </w:rPr>
              <w:t>-</w:t>
            </w:r>
            <w:r w:rsidRPr="008A2411">
              <w:rPr>
                <w:rFonts w:eastAsia="宋体"/>
                <w:color w:val="000000" w:themeColor="text1"/>
                <w:sz w:val="21"/>
              </w:rPr>
              <w:t>火电、水泥等行业按相关要求推进大气污染物超低排放和深度治理。</w:t>
            </w:r>
          </w:p>
          <w:p w14:paraId="457A563E"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color w:val="000000" w:themeColor="text1"/>
                <w:sz w:val="21"/>
              </w:rPr>
              <w:t>-</w:t>
            </w:r>
            <w:r w:rsidRPr="008A2411">
              <w:rPr>
                <w:rFonts w:eastAsia="宋体"/>
                <w:color w:val="000000" w:themeColor="text1"/>
                <w:sz w:val="21"/>
              </w:rPr>
              <w:t>砖瓦行业实施脱硫、除尘升级改造，污染物排放达到《砖瓦工业大气污染物排放标准》相关要求。</w:t>
            </w:r>
          </w:p>
          <w:p w14:paraId="014B68E3" w14:textId="77777777" w:rsidR="00B0005F" w:rsidRPr="008A2411" w:rsidRDefault="00000000">
            <w:pPr>
              <w:pStyle w:val="Normal00"/>
              <w:widowControl/>
              <w:spacing w:line="240" w:lineRule="auto"/>
              <w:ind w:firstLineChars="0" w:firstLine="0"/>
              <w:jc w:val="left"/>
              <w:rPr>
                <w:rFonts w:eastAsia="宋体"/>
                <w:b/>
                <w:bCs/>
                <w:color w:val="000000" w:themeColor="text1"/>
                <w:sz w:val="21"/>
              </w:rPr>
            </w:pPr>
            <w:r w:rsidRPr="008A2411">
              <w:rPr>
                <w:rFonts w:eastAsia="宋体"/>
                <w:b/>
                <w:bCs/>
                <w:color w:val="000000" w:themeColor="text1"/>
                <w:sz w:val="21"/>
              </w:rPr>
              <w:t>新增源等量或</w:t>
            </w:r>
            <w:proofErr w:type="gramStart"/>
            <w:r w:rsidRPr="008A2411">
              <w:rPr>
                <w:rFonts w:eastAsia="宋体"/>
                <w:b/>
                <w:bCs/>
                <w:color w:val="000000" w:themeColor="text1"/>
                <w:sz w:val="21"/>
              </w:rPr>
              <w:t>倍</w:t>
            </w:r>
            <w:proofErr w:type="gramEnd"/>
            <w:r w:rsidRPr="008A2411">
              <w:rPr>
                <w:rFonts w:eastAsia="宋体"/>
                <w:b/>
                <w:bCs/>
                <w:color w:val="000000" w:themeColor="text1"/>
                <w:sz w:val="21"/>
              </w:rPr>
              <w:t>量替代：</w:t>
            </w:r>
          </w:p>
          <w:p w14:paraId="45037035"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color w:val="000000" w:themeColor="text1"/>
                <w:sz w:val="21"/>
              </w:rPr>
              <w:t>-</w:t>
            </w:r>
            <w:r w:rsidRPr="008A2411">
              <w:rPr>
                <w:rFonts w:eastAsia="宋体"/>
                <w:color w:val="000000" w:themeColor="text1"/>
                <w:sz w:val="21"/>
              </w:rPr>
              <w:t>上一年度水环境质量未完成目标的，新建排放水污染的建设项目按照总量管</w:t>
            </w:r>
            <w:proofErr w:type="gramStart"/>
            <w:r w:rsidRPr="008A2411">
              <w:rPr>
                <w:rFonts w:eastAsia="宋体"/>
                <w:color w:val="000000" w:themeColor="text1"/>
                <w:sz w:val="21"/>
              </w:rPr>
              <w:t>控要求</w:t>
            </w:r>
            <w:proofErr w:type="gramEnd"/>
            <w:r w:rsidRPr="008A2411">
              <w:rPr>
                <w:rFonts w:eastAsia="宋体"/>
                <w:color w:val="000000" w:themeColor="text1"/>
                <w:sz w:val="21"/>
              </w:rPr>
              <w:t>进行</w:t>
            </w:r>
            <w:proofErr w:type="gramStart"/>
            <w:r w:rsidRPr="008A2411">
              <w:rPr>
                <w:rFonts w:eastAsia="宋体"/>
                <w:color w:val="000000" w:themeColor="text1"/>
                <w:sz w:val="21"/>
              </w:rPr>
              <w:t>倍</w:t>
            </w:r>
            <w:proofErr w:type="gramEnd"/>
            <w:r w:rsidRPr="008A2411">
              <w:rPr>
                <w:rFonts w:eastAsia="宋体"/>
                <w:color w:val="000000" w:themeColor="text1"/>
                <w:sz w:val="21"/>
              </w:rPr>
              <w:t>量削减替代。</w:t>
            </w:r>
          </w:p>
          <w:p w14:paraId="2FF46D62"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color w:val="000000" w:themeColor="text1"/>
                <w:sz w:val="21"/>
              </w:rPr>
              <w:t>-</w:t>
            </w:r>
            <w:r w:rsidRPr="008A2411">
              <w:rPr>
                <w:rFonts w:eastAsia="宋体"/>
                <w:color w:val="000000" w:themeColor="text1"/>
                <w:sz w:val="21"/>
              </w:rPr>
              <w:t>上一年度空气质量年平均浓度不达标的城市，建设项目新增相关污染物按照总量管</w:t>
            </w:r>
            <w:proofErr w:type="gramStart"/>
            <w:r w:rsidRPr="008A2411">
              <w:rPr>
                <w:rFonts w:eastAsia="宋体"/>
                <w:color w:val="000000" w:themeColor="text1"/>
                <w:sz w:val="21"/>
              </w:rPr>
              <w:t>控要求</w:t>
            </w:r>
            <w:proofErr w:type="gramEnd"/>
            <w:r w:rsidRPr="008A2411">
              <w:rPr>
                <w:rFonts w:eastAsia="宋体"/>
                <w:color w:val="000000" w:themeColor="text1"/>
                <w:sz w:val="21"/>
              </w:rPr>
              <w:t>进行</w:t>
            </w:r>
            <w:proofErr w:type="gramStart"/>
            <w:r w:rsidRPr="008A2411">
              <w:rPr>
                <w:rFonts w:eastAsia="宋体"/>
                <w:color w:val="000000" w:themeColor="text1"/>
                <w:sz w:val="21"/>
              </w:rPr>
              <w:t>倍</w:t>
            </w:r>
            <w:proofErr w:type="gramEnd"/>
            <w:r w:rsidRPr="008A2411">
              <w:rPr>
                <w:rFonts w:eastAsia="宋体"/>
                <w:color w:val="000000" w:themeColor="text1"/>
                <w:sz w:val="21"/>
              </w:rPr>
              <w:t>量削减替代。</w:t>
            </w:r>
          </w:p>
          <w:p w14:paraId="4F151C85"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color w:val="000000" w:themeColor="text1"/>
                <w:sz w:val="21"/>
              </w:rPr>
              <w:t>-</w:t>
            </w:r>
            <w:r w:rsidRPr="008A2411">
              <w:rPr>
                <w:rFonts w:eastAsia="宋体"/>
                <w:color w:val="000000" w:themeColor="text1"/>
                <w:sz w:val="21"/>
              </w:rPr>
              <w:t>大气环境重点管控区内，新增大气污染物排放的建设项目实施总量削减替代。</w:t>
            </w:r>
          </w:p>
          <w:p w14:paraId="77F404F0" w14:textId="77777777" w:rsidR="00B0005F" w:rsidRPr="008A2411" w:rsidRDefault="00000000">
            <w:pPr>
              <w:pStyle w:val="Normal00"/>
              <w:widowControl/>
              <w:spacing w:line="240" w:lineRule="auto"/>
              <w:ind w:firstLineChars="0" w:firstLine="0"/>
              <w:jc w:val="left"/>
              <w:rPr>
                <w:rFonts w:eastAsia="宋体"/>
                <w:b/>
                <w:bCs/>
                <w:color w:val="000000" w:themeColor="text1"/>
                <w:sz w:val="21"/>
              </w:rPr>
            </w:pPr>
            <w:r w:rsidRPr="008A2411">
              <w:rPr>
                <w:rFonts w:eastAsia="宋体"/>
                <w:b/>
                <w:bCs/>
                <w:color w:val="000000" w:themeColor="text1"/>
                <w:sz w:val="21"/>
              </w:rPr>
              <w:lastRenderedPageBreak/>
              <w:t>污染物排放绩效水平准入要求：</w:t>
            </w:r>
          </w:p>
          <w:p w14:paraId="676E573B"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color w:val="000000" w:themeColor="text1"/>
                <w:sz w:val="21"/>
              </w:rPr>
              <w:t>-</w:t>
            </w:r>
            <w:r w:rsidRPr="008A2411">
              <w:rPr>
                <w:rFonts w:eastAsia="宋体"/>
                <w:color w:val="000000" w:themeColor="text1"/>
                <w:sz w:val="21"/>
              </w:rPr>
              <w:t>屠宰项目必须配套污水处理设施或进入城市污水管网。</w:t>
            </w:r>
          </w:p>
          <w:p w14:paraId="0F156FF1"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color w:val="000000" w:themeColor="text1"/>
                <w:sz w:val="21"/>
              </w:rPr>
              <w:t>-</w:t>
            </w:r>
            <w:r w:rsidRPr="008A2411">
              <w:rPr>
                <w:rFonts w:eastAsia="宋体"/>
                <w:color w:val="000000" w:themeColor="text1"/>
                <w:sz w:val="21"/>
              </w:rPr>
              <w:t>大气环境重点管控区内加强</w:t>
            </w:r>
            <w:r w:rsidRPr="008A2411">
              <w:rPr>
                <w:rFonts w:eastAsia="宋体" w:hint="eastAsia"/>
                <w:color w:val="000000" w:themeColor="text1"/>
                <w:sz w:val="21"/>
              </w:rPr>
              <w:t>“</w:t>
            </w:r>
            <w:r w:rsidRPr="008A2411">
              <w:rPr>
                <w:rFonts w:eastAsia="宋体"/>
                <w:color w:val="000000" w:themeColor="text1"/>
                <w:sz w:val="21"/>
              </w:rPr>
              <w:t>高架源</w:t>
            </w:r>
            <w:r w:rsidRPr="008A2411">
              <w:rPr>
                <w:rFonts w:eastAsia="宋体" w:hint="eastAsia"/>
                <w:color w:val="000000" w:themeColor="text1"/>
                <w:sz w:val="21"/>
              </w:rPr>
              <w:t>”</w:t>
            </w:r>
            <w:r w:rsidRPr="008A2411">
              <w:rPr>
                <w:rFonts w:eastAsia="宋体"/>
                <w:color w:val="000000" w:themeColor="text1"/>
                <w:sz w:val="21"/>
              </w:rPr>
              <w:t>污染治理，深化施工扬尘监管，严格落实</w:t>
            </w:r>
            <w:r w:rsidRPr="008A2411">
              <w:rPr>
                <w:rFonts w:eastAsia="宋体" w:hint="eastAsia"/>
                <w:color w:val="000000" w:themeColor="text1"/>
                <w:sz w:val="21"/>
              </w:rPr>
              <w:t>“</w:t>
            </w:r>
            <w:r w:rsidRPr="008A2411">
              <w:rPr>
                <w:rFonts w:eastAsia="宋体"/>
                <w:color w:val="000000" w:themeColor="text1"/>
                <w:sz w:val="21"/>
              </w:rPr>
              <w:t>六必须、六不准</w:t>
            </w:r>
            <w:r w:rsidRPr="008A2411">
              <w:rPr>
                <w:rFonts w:eastAsia="宋体" w:hint="eastAsia"/>
                <w:color w:val="000000" w:themeColor="text1"/>
                <w:sz w:val="21"/>
              </w:rPr>
              <w:t>”</w:t>
            </w:r>
            <w:r w:rsidRPr="008A2411">
              <w:rPr>
                <w:rFonts w:eastAsia="宋体"/>
                <w:color w:val="000000" w:themeColor="text1"/>
                <w:sz w:val="21"/>
              </w:rPr>
              <w:t>管控要求，强化道路施工管控，提高道路清扫机械化和精细化作业水平。</w:t>
            </w:r>
          </w:p>
          <w:p w14:paraId="44742D8B"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color w:val="000000" w:themeColor="text1"/>
                <w:sz w:val="21"/>
              </w:rPr>
              <w:t>拟更新：</w:t>
            </w:r>
          </w:p>
          <w:p w14:paraId="380401CB"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color w:val="000000" w:themeColor="text1"/>
                <w:sz w:val="21"/>
              </w:rPr>
              <w:t>-</w:t>
            </w:r>
            <w:r w:rsidRPr="008A2411">
              <w:rPr>
                <w:rFonts w:eastAsia="宋体"/>
                <w:color w:val="000000" w:themeColor="text1"/>
                <w:sz w:val="21"/>
              </w:rPr>
              <w:t>至</w:t>
            </w:r>
            <w:r w:rsidRPr="008A2411">
              <w:rPr>
                <w:rFonts w:eastAsia="宋体"/>
                <w:color w:val="000000" w:themeColor="text1"/>
                <w:sz w:val="21"/>
              </w:rPr>
              <w:t>2022</w:t>
            </w:r>
            <w:r w:rsidRPr="008A2411">
              <w:rPr>
                <w:rFonts w:eastAsia="宋体"/>
                <w:color w:val="000000" w:themeColor="text1"/>
                <w:sz w:val="21"/>
              </w:rPr>
              <w:t>年底，基本实现乡镇污水处理设施全覆盖，配套建设污水收集管网，乡镇污水处理率达到</w:t>
            </w:r>
            <w:r w:rsidRPr="008A2411">
              <w:rPr>
                <w:rFonts w:eastAsia="宋体"/>
                <w:color w:val="000000" w:themeColor="text1"/>
                <w:sz w:val="21"/>
              </w:rPr>
              <w:t>65%</w:t>
            </w:r>
            <w:r w:rsidRPr="008A2411">
              <w:rPr>
                <w:rFonts w:eastAsia="宋体"/>
                <w:color w:val="000000" w:themeColor="text1"/>
                <w:sz w:val="21"/>
              </w:rPr>
              <w:t>。</w:t>
            </w:r>
          </w:p>
          <w:p w14:paraId="0CC5897D"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color w:val="000000" w:themeColor="text1"/>
                <w:sz w:val="21"/>
              </w:rPr>
              <w:t>-</w:t>
            </w:r>
            <w:r w:rsidRPr="008A2411">
              <w:rPr>
                <w:rFonts w:eastAsia="宋体"/>
                <w:color w:val="000000" w:themeColor="text1"/>
                <w:sz w:val="21"/>
              </w:rPr>
              <w:t>到</w:t>
            </w:r>
            <w:r w:rsidRPr="008A2411">
              <w:rPr>
                <w:rFonts w:eastAsia="宋体"/>
                <w:color w:val="000000" w:themeColor="text1"/>
                <w:sz w:val="21"/>
              </w:rPr>
              <w:t>2023</w:t>
            </w:r>
            <w:r w:rsidRPr="008A2411">
              <w:rPr>
                <w:rFonts w:eastAsia="宋体"/>
                <w:color w:val="000000" w:themeColor="text1"/>
                <w:sz w:val="21"/>
              </w:rPr>
              <w:t>年底，力争全市生活垃圾焚烧处理能力占比达</w:t>
            </w:r>
            <w:r w:rsidRPr="008A2411">
              <w:rPr>
                <w:rFonts w:eastAsia="宋体"/>
                <w:color w:val="000000" w:themeColor="text1"/>
                <w:sz w:val="21"/>
              </w:rPr>
              <w:t>60%</w:t>
            </w:r>
            <w:r w:rsidRPr="008A2411">
              <w:rPr>
                <w:rFonts w:eastAsia="宋体"/>
                <w:color w:val="000000" w:themeColor="text1"/>
                <w:sz w:val="21"/>
              </w:rPr>
              <w:t>以上，各县（市）生活垃圾无害化处理率保持</w:t>
            </w:r>
            <w:r w:rsidRPr="008A2411">
              <w:rPr>
                <w:rFonts w:eastAsia="宋体"/>
                <w:color w:val="000000" w:themeColor="text1"/>
                <w:sz w:val="21"/>
              </w:rPr>
              <w:t>95%</w:t>
            </w:r>
            <w:r w:rsidRPr="008A2411">
              <w:rPr>
                <w:rFonts w:eastAsia="宋体"/>
                <w:color w:val="000000" w:themeColor="text1"/>
                <w:sz w:val="21"/>
              </w:rPr>
              <w:t>以上，乡镇及行政村生活垃圾收转运处置体系基本实现全覆盖。</w:t>
            </w:r>
          </w:p>
          <w:p w14:paraId="1138317E"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color w:val="000000" w:themeColor="text1"/>
                <w:sz w:val="21"/>
              </w:rPr>
              <w:t>-</w:t>
            </w:r>
            <w:r w:rsidRPr="008A2411">
              <w:rPr>
                <w:rFonts w:eastAsia="宋体"/>
                <w:color w:val="000000" w:themeColor="text1"/>
                <w:sz w:val="21"/>
              </w:rPr>
              <w:t>到</w:t>
            </w:r>
            <w:r w:rsidRPr="008A2411">
              <w:rPr>
                <w:rFonts w:eastAsia="宋体"/>
                <w:color w:val="000000" w:themeColor="text1"/>
                <w:sz w:val="21"/>
              </w:rPr>
              <w:t>2025</w:t>
            </w:r>
            <w:r w:rsidRPr="008A2411">
              <w:rPr>
                <w:rFonts w:eastAsia="宋体"/>
                <w:color w:val="000000" w:themeColor="text1"/>
                <w:sz w:val="21"/>
              </w:rPr>
              <w:t>年，农药包装废弃物回收率达</w:t>
            </w:r>
            <w:r w:rsidRPr="008A2411">
              <w:rPr>
                <w:rFonts w:eastAsia="宋体"/>
                <w:color w:val="000000" w:themeColor="text1"/>
                <w:sz w:val="21"/>
              </w:rPr>
              <w:t>80%</w:t>
            </w:r>
            <w:r w:rsidRPr="008A2411">
              <w:rPr>
                <w:rFonts w:eastAsia="宋体"/>
                <w:color w:val="000000" w:themeColor="text1"/>
                <w:sz w:val="21"/>
              </w:rPr>
              <w:t>；粮油绿色高质高效示范区、茶叶主产区和现代农业园区农药包装废弃物回收率</w:t>
            </w:r>
            <w:r w:rsidRPr="008A2411">
              <w:rPr>
                <w:rFonts w:eastAsia="宋体"/>
                <w:color w:val="000000" w:themeColor="text1"/>
                <w:sz w:val="21"/>
              </w:rPr>
              <w:t>100%</w:t>
            </w:r>
            <w:r w:rsidRPr="008A2411">
              <w:rPr>
                <w:rFonts w:eastAsia="宋体"/>
                <w:color w:val="000000" w:themeColor="text1"/>
                <w:sz w:val="21"/>
              </w:rPr>
              <w:t>。</w:t>
            </w:r>
          </w:p>
          <w:p w14:paraId="33CF6147"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color w:val="000000" w:themeColor="text1"/>
                <w:sz w:val="21"/>
              </w:rPr>
              <w:t>-</w:t>
            </w:r>
            <w:r w:rsidRPr="008A2411">
              <w:rPr>
                <w:rFonts w:eastAsia="宋体"/>
                <w:color w:val="000000" w:themeColor="text1"/>
                <w:sz w:val="21"/>
              </w:rPr>
              <w:t>到</w:t>
            </w:r>
            <w:r w:rsidRPr="008A2411">
              <w:rPr>
                <w:rFonts w:eastAsia="宋体"/>
                <w:color w:val="000000" w:themeColor="text1"/>
                <w:sz w:val="21"/>
              </w:rPr>
              <w:t>2025</w:t>
            </w:r>
            <w:r w:rsidRPr="008A2411">
              <w:rPr>
                <w:rFonts w:eastAsia="宋体"/>
                <w:color w:val="000000" w:themeColor="text1"/>
                <w:sz w:val="21"/>
              </w:rPr>
              <w:t>年，全国主要农作物化肥、农药利用率达</w:t>
            </w:r>
            <w:r w:rsidRPr="008A2411">
              <w:rPr>
                <w:rFonts w:eastAsia="宋体"/>
                <w:color w:val="000000" w:themeColor="text1"/>
                <w:sz w:val="21"/>
              </w:rPr>
              <w:t>43%</w:t>
            </w:r>
            <w:r w:rsidRPr="008A2411">
              <w:rPr>
                <w:rFonts w:eastAsia="宋体"/>
                <w:color w:val="000000" w:themeColor="text1"/>
                <w:sz w:val="21"/>
              </w:rPr>
              <w:t>，测土配方施肥技术推广覆盖率保持在</w:t>
            </w:r>
            <w:r w:rsidRPr="008A2411">
              <w:rPr>
                <w:rFonts w:eastAsia="宋体"/>
                <w:color w:val="000000" w:themeColor="text1"/>
                <w:sz w:val="21"/>
              </w:rPr>
              <w:t>90%</w:t>
            </w:r>
            <w:r w:rsidRPr="008A2411">
              <w:rPr>
                <w:rFonts w:eastAsia="宋体"/>
                <w:color w:val="000000" w:themeColor="text1"/>
                <w:sz w:val="21"/>
              </w:rPr>
              <w:t>以上，控制农村面源污染，采取灌排分离等措施控制农田氮磷流失。</w:t>
            </w:r>
          </w:p>
          <w:p w14:paraId="35D3A49B"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color w:val="000000" w:themeColor="text1"/>
                <w:sz w:val="21"/>
              </w:rPr>
              <w:t>-</w:t>
            </w:r>
            <w:r w:rsidRPr="008A2411">
              <w:rPr>
                <w:rFonts w:eastAsia="宋体"/>
                <w:color w:val="000000" w:themeColor="text1"/>
                <w:sz w:val="21"/>
              </w:rPr>
              <w:t>到</w:t>
            </w:r>
            <w:r w:rsidRPr="008A2411">
              <w:rPr>
                <w:rFonts w:eastAsia="宋体"/>
                <w:color w:val="000000" w:themeColor="text1"/>
                <w:sz w:val="21"/>
              </w:rPr>
              <w:t>2025</w:t>
            </w:r>
            <w:r w:rsidRPr="008A2411">
              <w:rPr>
                <w:rFonts w:eastAsia="宋体"/>
                <w:color w:val="000000" w:themeColor="text1"/>
                <w:sz w:val="21"/>
              </w:rPr>
              <w:t>年，新、改扩建规模化畜禽养殖场（小区）要实施雨污分流、粪便污水资源化利用；规模化畜禽养殖场（小区）粪污处理设施装备配套率达到</w:t>
            </w:r>
            <w:r w:rsidRPr="008A2411">
              <w:rPr>
                <w:rFonts w:eastAsia="宋体"/>
                <w:color w:val="000000" w:themeColor="text1"/>
                <w:sz w:val="21"/>
              </w:rPr>
              <w:t>95%</w:t>
            </w:r>
            <w:r w:rsidRPr="008A2411">
              <w:rPr>
                <w:rFonts w:eastAsia="宋体"/>
                <w:color w:val="000000" w:themeColor="text1"/>
                <w:sz w:val="21"/>
              </w:rPr>
              <w:t>以上，粪污综合利用率达到</w:t>
            </w:r>
            <w:r w:rsidRPr="008A2411">
              <w:rPr>
                <w:rFonts w:eastAsia="宋体"/>
                <w:color w:val="000000" w:themeColor="text1"/>
                <w:sz w:val="21"/>
              </w:rPr>
              <w:t>80%</w:t>
            </w:r>
            <w:r w:rsidRPr="008A2411">
              <w:rPr>
                <w:rFonts w:eastAsia="宋体"/>
                <w:color w:val="000000" w:themeColor="text1"/>
                <w:sz w:val="21"/>
              </w:rPr>
              <w:t>以上，大型规模养殖场粪污处理设施装备配套率达到</w:t>
            </w:r>
            <w:r w:rsidRPr="008A2411">
              <w:rPr>
                <w:rFonts w:eastAsia="宋体"/>
                <w:color w:val="000000" w:themeColor="text1"/>
                <w:sz w:val="21"/>
              </w:rPr>
              <w:t>100%</w:t>
            </w:r>
            <w:r w:rsidRPr="008A2411">
              <w:rPr>
                <w:rFonts w:eastAsia="宋体"/>
                <w:color w:val="000000" w:themeColor="text1"/>
                <w:sz w:val="21"/>
              </w:rPr>
              <w:t>，畜禽粪</w:t>
            </w:r>
            <w:proofErr w:type="gramStart"/>
            <w:r w:rsidRPr="008A2411">
              <w:rPr>
                <w:rFonts w:eastAsia="宋体"/>
                <w:color w:val="000000" w:themeColor="text1"/>
                <w:sz w:val="21"/>
              </w:rPr>
              <w:t>污基本</w:t>
            </w:r>
            <w:proofErr w:type="gramEnd"/>
            <w:r w:rsidRPr="008A2411">
              <w:rPr>
                <w:rFonts w:eastAsia="宋体"/>
                <w:color w:val="000000" w:themeColor="text1"/>
                <w:sz w:val="21"/>
              </w:rPr>
              <w:t>实现资源化利用；散养密集区要实行畜禽粪便污水分户收集、集中处理利用。</w:t>
            </w:r>
          </w:p>
          <w:p w14:paraId="135E908C"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color w:val="000000" w:themeColor="text1"/>
                <w:sz w:val="21"/>
              </w:rPr>
              <w:t>-</w:t>
            </w:r>
            <w:r w:rsidRPr="008A2411">
              <w:rPr>
                <w:rFonts w:eastAsia="宋体"/>
                <w:color w:val="000000" w:themeColor="text1"/>
                <w:sz w:val="21"/>
              </w:rPr>
              <w:t>到</w:t>
            </w:r>
            <w:r w:rsidRPr="008A2411">
              <w:rPr>
                <w:rFonts w:eastAsia="宋体"/>
                <w:color w:val="000000" w:themeColor="text1"/>
                <w:sz w:val="21"/>
              </w:rPr>
              <w:t>2025</w:t>
            </w:r>
            <w:r w:rsidRPr="008A2411">
              <w:rPr>
                <w:rFonts w:eastAsia="宋体"/>
                <w:color w:val="000000" w:themeColor="text1"/>
                <w:sz w:val="21"/>
              </w:rPr>
              <w:t>年，废旧农膜回收利用率达到</w:t>
            </w:r>
            <w:r w:rsidRPr="008A2411">
              <w:rPr>
                <w:rFonts w:eastAsia="宋体"/>
                <w:color w:val="000000" w:themeColor="text1"/>
                <w:sz w:val="21"/>
              </w:rPr>
              <w:t>85%</w:t>
            </w:r>
            <w:r w:rsidRPr="008A2411">
              <w:rPr>
                <w:rFonts w:eastAsia="宋体"/>
                <w:color w:val="000000" w:themeColor="text1"/>
                <w:sz w:val="21"/>
              </w:rPr>
              <w:t>以上。</w:t>
            </w:r>
          </w:p>
        </w:tc>
        <w:tc>
          <w:tcPr>
            <w:tcW w:w="748" w:type="pct"/>
            <w:vAlign w:val="center"/>
          </w:tcPr>
          <w:p w14:paraId="2DDC1437" w14:textId="77777777" w:rsidR="00B0005F" w:rsidRPr="008A2411" w:rsidRDefault="00000000">
            <w:pPr>
              <w:pStyle w:val="24"/>
              <w:spacing w:after="0" w:line="240" w:lineRule="auto"/>
              <w:ind w:leftChars="0" w:left="0"/>
              <w:jc w:val="center"/>
              <w:rPr>
                <w:rFonts w:ascii="Times New Roman"/>
                <w:snapToGrid w:val="0"/>
                <w:color w:val="000000" w:themeColor="text1"/>
                <w:szCs w:val="21"/>
              </w:rPr>
            </w:pPr>
            <w:r w:rsidRPr="008A2411">
              <w:rPr>
                <w:rFonts w:ascii="Times New Roman"/>
                <w:snapToGrid w:val="0"/>
                <w:color w:val="000000" w:themeColor="text1"/>
                <w:szCs w:val="21"/>
              </w:rPr>
              <w:lastRenderedPageBreak/>
              <w:t>本项目运营期产生的废水通过厂区自建污水处理站预处理后排入园区污水管网，最终由园区污水处理厂处理达标后排放。</w:t>
            </w:r>
          </w:p>
        </w:tc>
        <w:tc>
          <w:tcPr>
            <w:tcW w:w="399" w:type="pct"/>
            <w:vAlign w:val="center"/>
          </w:tcPr>
          <w:p w14:paraId="6F005526" w14:textId="77777777" w:rsidR="00B0005F" w:rsidRPr="008A2411" w:rsidRDefault="00000000">
            <w:pPr>
              <w:jc w:val="center"/>
              <w:rPr>
                <w:rFonts w:ascii="Times New Roman"/>
                <w:snapToGrid w:val="0"/>
                <w:color w:val="000000" w:themeColor="text1"/>
                <w:sz w:val="21"/>
                <w:szCs w:val="21"/>
              </w:rPr>
            </w:pPr>
            <w:r w:rsidRPr="008A2411">
              <w:rPr>
                <w:rFonts w:ascii="Times New Roman"/>
                <w:snapToGrid w:val="0"/>
                <w:color w:val="000000" w:themeColor="text1"/>
                <w:sz w:val="21"/>
                <w:szCs w:val="21"/>
              </w:rPr>
              <w:t>符合</w:t>
            </w:r>
          </w:p>
        </w:tc>
      </w:tr>
      <w:tr w:rsidR="008A2411" w:rsidRPr="008A2411" w14:paraId="1CB63636" w14:textId="77777777">
        <w:trPr>
          <w:jc w:val="center"/>
        </w:trPr>
        <w:tc>
          <w:tcPr>
            <w:tcW w:w="375" w:type="pct"/>
            <w:vMerge/>
            <w:vAlign w:val="center"/>
          </w:tcPr>
          <w:p w14:paraId="0619DE91" w14:textId="77777777" w:rsidR="00B0005F" w:rsidRPr="008A2411" w:rsidRDefault="00B0005F">
            <w:pPr>
              <w:jc w:val="center"/>
              <w:rPr>
                <w:rFonts w:ascii="Times New Roman"/>
                <w:snapToGrid w:val="0"/>
                <w:color w:val="000000" w:themeColor="text1"/>
                <w:sz w:val="21"/>
                <w:szCs w:val="21"/>
              </w:rPr>
            </w:pPr>
          </w:p>
        </w:tc>
        <w:tc>
          <w:tcPr>
            <w:tcW w:w="528" w:type="pct"/>
            <w:vMerge/>
            <w:vAlign w:val="center"/>
          </w:tcPr>
          <w:p w14:paraId="297C149A" w14:textId="77777777" w:rsidR="00B0005F" w:rsidRPr="008A2411" w:rsidRDefault="00B0005F">
            <w:pPr>
              <w:jc w:val="center"/>
              <w:rPr>
                <w:rFonts w:ascii="Times New Roman"/>
                <w:color w:val="000000" w:themeColor="text1"/>
                <w:kern w:val="2"/>
                <w:sz w:val="21"/>
                <w:szCs w:val="21"/>
              </w:rPr>
            </w:pPr>
          </w:p>
        </w:tc>
        <w:tc>
          <w:tcPr>
            <w:tcW w:w="414" w:type="pct"/>
            <w:vAlign w:val="center"/>
          </w:tcPr>
          <w:p w14:paraId="182F2D11" w14:textId="77777777" w:rsidR="00B0005F" w:rsidRPr="008A2411" w:rsidRDefault="00000000">
            <w:pPr>
              <w:jc w:val="center"/>
              <w:rPr>
                <w:rFonts w:ascii="Times New Roman"/>
                <w:color w:val="000000" w:themeColor="text1"/>
                <w:kern w:val="2"/>
                <w:sz w:val="21"/>
                <w:szCs w:val="21"/>
              </w:rPr>
            </w:pPr>
            <w:r w:rsidRPr="008A2411">
              <w:rPr>
                <w:rFonts w:ascii="Times New Roman"/>
                <w:color w:val="000000" w:themeColor="text1"/>
                <w:kern w:val="2"/>
                <w:sz w:val="21"/>
                <w:szCs w:val="21"/>
              </w:rPr>
              <w:t>环境风险防控</w:t>
            </w:r>
          </w:p>
        </w:tc>
        <w:tc>
          <w:tcPr>
            <w:tcW w:w="2536" w:type="pct"/>
            <w:vAlign w:val="center"/>
          </w:tcPr>
          <w:p w14:paraId="64E0A5D6" w14:textId="77777777" w:rsidR="00B0005F" w:rsidRPr="008A2411" w:rsidRDefault="00000000">
            <w:pPr>
              <w:pStyle w:val="Normal00"/>
              <w:widowControl/>
              <w:spacing w:line="240" w:lineRule="auto"/>
              <w:ind w:firstLineChars="0" w:firstLine="0"/>
              <w:jc w:val="left"/>
              <w:rPr>
                <w:rFonts w:eastAsia="宋体"/>
                <w:b/>
                <w:bCs/>
                <w:color w:val="000000" w:themeColor="text1"/>
                <w:sz w:val="21"/>
              </w:rPr>
            </w:pPr>
            <w:r w:rsidRPr="008A2411">
              <w:rPr>
                <w:rFonts w:eastAsia="宋体"/>
                <w:b/>
                <w:bCs/>
                <w:color w:val="000000" w:themeColor="text1"/>
                <w:sz w:val="21"/>
              </w:rPr>
              <w:t>企业环境风险防控要求：</w:t>
            </w:r>
          </w:p>
          <w:p w14:paraId="1946F995"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color w:val="000000" w:themeColor="text1"/>
                <w:sz w:val="21"/>
              </w:rPr>
              <w:t>-</w:t>
            </w:r>
            <w:r w:rsidRPr="008A2411">
              <w:rPr>
                <w:rFonts w:eastAsia="宋体"/>
                <w:color w:val="000000" w:themeColor="text1"/>
                <w:sz w:val="21"/>
              </w:rPr>
              <w:t>工业企业退出用地，须经评估、修复满足相应用地功能后，方可改变用途。</w:t>
            </w:r>
          </w:p>
          <w:p w14:paraId="52E17FC0"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color w:val="000000" w:themeColor="text1"/>
                <w:sz w:val="21"/>
              </w:rPr>
              <w:t>-</w:t>
            </w:r>
            <w:r w:rsidRPr="008A2411">
              <w:rPr>
                <w:rFonts w:eastAsia="宋体"/>
                <w:color w:val="000000" w:themeColor="text1"/>
                <w:sz w:val="21"/>
              </w:rPr>
              <w:t>加强</w:t>
            </w:r>
            <w:r w:rsidRPr="008A2411">
              <w:rPr>
                <w:rFonts w:eastAsia="宋体" w:hint="eastAsia"/>
                <w:color w:val="000000" w:themeColor="text1"/>
                <w:sz w:val="21"/>
              </w:rPr>
              <w:t>“</w:t>
            </w:r>
            <w:r w:rsidRPr="008A2411">
              <w:rPr>
                <w:rFonts w:eastAsia="宋体"/>
                <w:color w:val="000000" w:themeColor="text1"/>
                <w:sz w:val="21"/>
              </w:rPr>
              <w:t>散乱污</w:t>
            </w:r>
            <w:r w:rsidRPr="008A2411">
              <w:rPr>
                <w:rFonts w:eastAsia="宋体" w:hint="eastAsia"/>
                <w:color w:val="000000" w:themeColor="text1"/>
                <w:sz w:val="21"/>
              </w:rPr>
              <w:t>”</w:t>
            </w:r>
            <w:r w:rsidRPr="008A2411">
              <w:rPr>
                <w:rFonts w:eastAsia="宋体"/>
                <w:color w:val="000000" w:themeColor="text1"/>
                <w:sz w:val="21"/>
              </w:rPr>
              <w:t>企业环境风险防控。</w:t>
            </w:r>
          </w:p>
          <w:p w14:paraId="2FEED28D"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color w:val="000000" w:themeColor="text1"/>
                <w:sz w:val="21"/>
              </w:rPr>
              <w:t>拟新增：</w:t>
            </w:r>
          </w:p>
          <w:p w14:paraId="781030FA"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color w:val="000000" w:themeColor="text1"/>
                <w:sz w:val="21"/>
              </w:rPr>
              <w:t>-</w:t>
            </w:r>
            <w:r w:rsidRPr="008A2411">
              <w:rPr>
                <w:rFonts w:eastAsia="宋体"/>
                <w:color w:val="000000" w:themeColor="text1"/>
                <w:sz w:val="21"/>
              </w:rPr>
              <w:t>对拟收回土地使用权的有色金属矿采选、有色金属冶炼、石油加工、化工、焦化、电镀、制革、天然（页岩）气开采、铅蓄电池、汽车制造、农药、</w:t>
            </w:r>
            <w:proofErr w:type="gramStart"/>
            <w:r w:rsidRPr="008A2411">
              <w:rPr>
                <w:rFonts w:eastAsia="宋体"/>
                <w:color w:val="000000" w:themeColor="text1"/>
                <w:sz w:val="21"/>
              </w:rPr>
              <w:t>危废处置</w:t>
            </w:r>
            <w:proofErr w:type="gramEnd"/>
            <w:r w:rsidRPr="008A2411">
              <w:rPr>
                <w:rFonts w:eastAsia="宋体"/>
                <w:color w:val="000000" w:themeColor="text1"/>
                <w:sz w:val="21"/>
              </w:rPr>
              <w:t>、电子拆解等行业企业用地，以及用途拟变更为居住和商业、学校、医疗、养老机构等公共设施的上述企业用地，以及由重度污染农用地转为的城镇建设用地，开展土壤环境状况调查评估。</w:t>
            </w:r>
          </w:p>
          <w:p w14:paraId="2033EB25" w14:textId="77777777" w:rsidR="00B0005F" w:rsidRPr="008A2411" w:rsidRDefault="00000000">
            <w:pPr>
              <w:pStyle w:val="Normal00"/>
              <w:widowControl/>
              <w:spacing w:line="240" w:lineRule="auto"/>
              <w:ind w:firstLineChars="0" w:firstLine="0"/>
              <w:jc w:val="left"/>
              <w:rPr>
                <w:rFonts w:eastAsia="宋体"/>
                <w:b/>
                <w:bCs/>
                <w:color w:val="000000" w:themeColor="text1"/>
                <w:sz w:val="21"/>
              </w:rPr>
            </w:pPr>
            <w:r w:rsidRPr="008A2411">
              <w:rPr>
                <w:rFonts w:eastAsia="宋体"/>
                <w:b/>
                <w:bCs/>
                <w:color w:val="000000" w:themeColor="text1"/>
                <w:sz w:val="21"/>
              </w:rPr>
              <w:t>用地环境风险防控要求：</w:t>
            </w:r>
          </w:p>
          <w:p w14:paraId="02D0BBE4"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color w:val="000000" w:themeColor="text1"/>
                <w:sz w:val="21"/>
              </w:rPr>
              <w:t>-</w:t>
            </w:r>
            <w:r w:rsidRPr="008A2411">
              <w:rPr>
                <w:rFonts w:eastAsia="宋体"/>
                <w:color w:val="000000" w:themeColor="text1"/>
                <w:sz w:val="21"/>
              </w:rPr>
              <w:t>严禁将城镇生活垃圾、污泥、工业废物直接用作肥料，禁止处理不达标的污泥进入耕地；</w:t>
            </w:r>
            <w:r w:rsidRPr="008A2411">
              <w:rPr>
                <w:rFonts w:eastAsia="宋体"/>
                <w:color w:val="000000" w:themeColor="text1"/>
                <w:sz w:val="21"/>
              </w:rPr>
              <w:lastRenderedPageBreak/>
              <w:t>禁止在农用地排放、倾倒、使用污泥、清淤底泥、尾矿（渣）等可能对土壤造成污染的固体废物。</w:t>
            </w:r>
          </w:p>
          <w:p w14:paraId="1CC4DE51"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color w:val="000000" w:themeColor="text1"/>
                <w:sz w:val="21"/>
              </w:rPr>
              <w:t>-</w:t>
            </w:r>
            <w:r w:rsidRPr="008A2411">
              <w:rPr>
                <w:rFonts w:eastAsia="宋体"/>
                <w:color w:val="000000" w:themeColor="text1"/>
                <w:sz w:val="21"/>
              </w:rPr>
              <w:t>定期对单元内尾矿库进行风险巡查，建立监测系统和环境风险应急预案；完善各尾矿库渗滤液收集、处理、回用系统，杜绝事故排放；尾矿库闭矿后因地制宜进行植被恢复和综合利用。</w:t>
            </w:r>
          </w:p>
          <w:p w14:paraId="47917DA7"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color w:val="000000" w:themeColor="text1"/>
                <w:sz w:val="21"/>
              </w:rPr>
              <w:t>-</w:t>
            </w:r>
            <w:r w:rsidRPr="008A2411">
              <w:rPr>
                <w:rFonts w:eastAsia="宋体"/>
                <w:color w:val="000000" w:themeColor="text1"/>
                <w:sz w:val="21"/>
              </w:rPr>
              <w:t>规范排土场、渣场等整治。</w:t>
            </w:r>
          </w:p>
          <w:p w14:paraId="338E514D"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color w:val="000000" w:themeColor="text1"/>
                <w:sz w:val="21"/>
              </w:rPr>
              <w:t>拟新增：</w:t>
            </w:r>
          </w:p>
          <w:p w14:paraId="75D1C472"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color w:val="000000" w:themeColor="text1"/>
                <w:sz w:val="21"/>
              </w:rPr>
              <w:t>-</w:t>
            </w:r>
            <w:r w:rsidRPr="008A2411">
              <w:rPr>
                <w:rFonts w:eastAsia="宋体"/>
                <w:color w:val="000000" w:themeColor="text1"/>
                <w:sz w:val="21"/>
              </w:rPr>
              <w:t>禁止处理不达标的污泥进入耕地。</w:t>
            </w:r>
          </w:p>
          <w:p w14:paraId="0B6A4294"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color w:val="000000" w:themeColor="text1"/>
                <w:sz w:val="21"/>
              </w:rPr>
              <w:t>-</w:t>
            </w:r>
            <w:r w:rsidRPr="008A2411">
              <w:rPr>
                <w:rFonts w:eastAsia="宋体"/>
                <w:color w:val="000000" w:themeColor="text1"/>
                <w:sz w:val="21"/>
              </w:rPr>
              <w:t>严格控制林地、草地、园地的农药使用量，禁止使用高毒、高残留农药。</w:t>
            </w:r>
          </w:p>
          <w:p w14:paraId="0688D04E"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color w:val="000000" w:themeColor="text1"/>
                <w:sz w:val="21"/>
              </w:rPr>
              <w:t>-</w:t>
            </w:r>
            <w:r w:rsidRPr="008A2411">
              <w:rPr>
                <w:rFonts w:eastAsia="宋体"/>
                <w:color w:val="000000" w:themeColor="text1"/>
                <w:sz w:val="21"/>
              </w:rPr>
              <w:t>到</w:t>
            </w:r>
            <w:r w:rsidRPr="008A2411">
              <w:rPr>
                <w:rFonts w:eastAsia="宋体"/>
                <w:color w:val="000000" w:themeColor="text1"/>
                <w:sz w:val="21"/>
              </w:rPr>
              <w:t>2030</w:t>
            </w:r>
            <w:r w:rsidRPr="008A2411">
              <w:rPr>
                <w:rFonts w:eastAsia="宋体"/>
                <w:color w:val="000000" w:themeColor="text1"/>
                <w:sz w:val="21"/>
              </w:rPr>
              <w:t>年，全市受污染耕地安全利用率达到</w:t>
            </w:r>
            <w:r w:rsidRPr="008A2411">
              <w:rPr>
                <w:rFonts w:eastAsia="宋体"/>
                <w:color w:val="000000" w:themeColor="text1"/>
                <w:sz w:val="21"/>
              </w:rPr>
              <w:t>95%</w:t>
            </w:r>
            <w:r w:rsidRPr="008A2411">
              <w:rPr>
                <w:rFonts w:eastAsia="宋体"/>
                <w:color w:val="000000" w:themeColor="text1"/>
                <w:sz w:val="21"/>
              </w:rPr>
              <w:t>以上，污染地块安全利用率达到</w:t>
            </w:r>
            <w:r w:rsidRPr="008A2411">
              <w:rPr>
                <w:rFonts w:eastAsia="宋体"/>
                <w:color w:val="000000" w:themeColor="text1"/>
                <w:sz w:val="21"/>
              </w:rPr>
              <w:t>95%</w:t>
            </w:r>
            <w:r w:rsidRPr="008A2411">
              <w:rPr>
                <w:rFonts w:eastAsia="宋体"/>
                <w:color w:val="000000" w:themeColor="text1"/>
                <w:sz w:val="21"/>
              </w:rPr>
              <w:t>以上。</w:t>
            </w:r>
          </w:p>
        </w:tc>
        <w:tc>
          <w:tcPr>
            <w:tcW w:w="748" w:type="pct"/>
            <w:vAlign w:val="center"/>
          </w:tcPr>
          <w:p w14:paraId="49ABFE14" w14:textId="77777777" w:rsidR="00B0005F" w:rsidRPr="008A2411" w:rsidRDefault="00000000">
            <w:pPr>
              <w:pStyle w:val="24"/>
              <w:spacing w:after="0" w:line="240" w:lineRule="auto"/>
              <w:ind w:leftChars="0" w:left="0"/>
              <w:jc w:val="center"/>
              <w:rPr>
                <w:rFonts w:ascii="Times New Roman"/>
                <w:snapToGrid w:val="0"/>
                <w:color w:val="000000" w:themeColor="text1"/>
                <w:szCs w:val="21"/>
              </w:rPr>
            </w:pPr>
            <w:r w:rsidRPr="008A2411">
              <w:rPr>
                <w:rFonts w:ascii="Times New Roman"/>
                <w:snapToGrid w:val="0"/>
                <w:color w:val="000000" w:themeColor="text1"/>
                <w:szCs w:val="21"/>
              </w:rPr>
              <w:lastRenderedPageBreak/>
              <w:t>本项目严格落实风险防控措施，普光分公司建立了环境突发事故应急预案体。不涉及环境风险防控要求。</w:t>
            </w:r>
          </w:p>
        </w:tc>
        <w:tc>
          <w:tcPr>
            <w:tcW w:w="399" w:type="pct"/>
            <w:vAlign w:val="center"/>
          </w:tcPr>
          <w:p w14:paraId="663F1284" w14:textId="77777777" w:rsidR="00B0005F" w:rsidRPr="008A2411" w:rsidRDefault="00000000">
            <w:pPr>
              <w:jc w:val="center"/>
              <w:rPr>
                <w:rFonts w:ascii="Times New Roman"/>
                <w:snapToGrid w:val="0"/>
                <w:color w:val="000000" w:themeColor="text1"/>
                <w:sz w:val="21"/>
                <w:szCs w:val="21"/>
              </w:rPr>
            </w:pPr>
            <w:r w:rsidRPr="008A2411">
              <w:rPr>
                <w:rFonts w:ascii="Times New Roman"/>
                <w:snapToGrid w:val="0"/>
                <w:color w:val="000000" w:themeColor="text1"/>
                <w:sz w:val="21"/>
                <w:szCs w:val="21"/>
              </w:rPr>
              <w:t>符合</w:t>
            </w:r>
          </w:p>
        </w:tc>
      </w:tr>
      <w:tr w:rsidR="008A2411" w:rsidRPr="008A2411" w14:paraId="2536ADC2" w14:textId="77777777">
        <w:trPr>
          <w:jc w:val="center"/>
        </w:trPr>
        <w:tc>
          <w:tcPr>
            <w:tcW w:w="375" w:type="pct"/>
            <w:vMerge/>
            <w:vAlign w:val="center"/>
          </w:tcPr>
          <w:p w14:paraId="154A6A72" w14:textId="77777777" w:rsidR="00B0005F" w:rsidRPr="008A2411" w:rsidRDefault="00B0005F">
            <w:pPr>
              <w:jc w:val="center"/>
              <w:rPr>
                <w:rFonts w:ascii="Times New Roman"/>
                <w:snapToGrid w:val="0"/>
                <w:color w:val="000000" w:themeColor="text1"/>
                <w:sz w:val="21"/>
                <w:szCs w:val="21"/>
              </w:rPr>
            </w:pPr>
          </w:p>
        </w:tc>
        <w:tc>
          <w:tcPr>
            <w:tcW w:w="528" w:type="pct"/>
            <w:vMerge/>
            <w:vAlign w:val="center"/>
          </w:tcPr>
          <w:p w14:paraId="62E24D10" w14:textId="77777777" w:rsidR="00B0005F" w:rsidRPr="008A2411" w:rsidRDefault="00B0005F">
            <w:pPr>
              <w:jc w:val="center"/>
              <w:rPr>
                <w:rFonts w:ascii="Times New Roman"/>
                <w:color w:val="000000" w:themeColor="text1"/>
                <w:kern w:val="2"/>
                <w:sz w:val="21"/>
                <w:szCs w:val="21"/>
              </w:rPr>
            </w:pPr>
          </w:p>
        </w:tc>
        <w:tc>
          <w:tcPr>
            <w:tcW w:w="414" w:type="pct"/>
            <w:vAlign w:val="center"/>
          </w:tcPr>
          <w:p w14:paraId="1EB33AC0" w14:textId="77777777" w:rsidR="00B0005F" w:rsidRPr="008A2411" w:rsidRDefault="00000000">
            <w:pPr>
              <w:jc w:val="center"/>
              <w:rPr>
                <w:rFonts w:ascii="Times New Roman"/>
                <w:color w:val="000000" w:themeColor="text1"/>
                <w:kern w:val="2"/>
                <w:sz w:val="21"/>
                <w:szCs w:val="21"/>
              </w:rPr>
            </w:pPr>
            <w:r w:rsidRPr="008A2411">
              <w:rPr>
                <w:rFonts w:ascii="Times New Roman"/>
                <w:color w:val="000000" w:themeColor="text1"/>
                <w:kern w:val="2"/>
                <w:sz w:val="21"/>
                <w:szCs w:val="21"/>
              </w:rPr>
              <w:t>资源开发效率</w:t>
            </w:r>
          </w:p>
        </w:tc>
        <w:tc>
          <w:tcPr>
            <w:tcW w:w="2536" w:type="pct"/>
            <w:vAlign w:val="center"/>
          </w:tcPr>
          <w:p w14:paraId="5CE1ACB8" w14:textId="77777777" w:rsidR="00B0005F" w:rsidRPr="008A2411" w:rsidRDefault="00000000">
            <w:pPr>
              <w:pStyle w:val="Normal00"/>
              <w:widowControl/>
              <w:spacing w:line="240" w:lineRule="auto"/>
              <w:ind w:firstLineChars="0" w:firstLine="0"/>
              <w:jc w:val="left"/>
              <w:rPr>
                <w:rFonts w:eastAsia="宋体"/>
                <w:b/>
                <w:bCs/>
                <w:color w:val="000000" w:themeColor="text1"/>
                <w:sz w:val="21"/>
              </w:rPr>
            </w:pPr>
            <w:r w:rsidRPr="008A2411">
              <w:rPr>
                <w:rFonts w:eastAsia="宋体"/>
                <w:b/>
                <w:bCs/>
                <w:color w:val="000000" w:themeColor="text1"/>
                <w:sz w:val="21"/>
              </w:rPr>
              <w:t>水资源利用效率要求：</w:t>
            </w:r>
          </w:p>
          <w:p w14:paraId="58ABE7EF"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color w:val="000000" w:themeColor="text1"/>
                <w:sz w:val="21"/>
              </w:rPr>
              <w:t>更新：</w:t>
            </w:r>
          </w:p>
          <w:p w14:paraId="55ED948A"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color w:val="000000" w:themeColor="text1"/>
                <w:sz w:val="21"/>
              </w:rPr>
              <w:t>-</w:t>
            </w:r>
            <w:r w:rsidRPr="008A2411">
              <w:rPr>
                <w:rFonts w:eastAsia="宋体"/>
                <w:color w:val="000000" w:themeColor="text1"/>
                <w:sz w:val="21"/>
              </w:rPr>
              <w:t>到</w:t>
            </w:r>
            <w:r w:rsidRPr="008A2411">
              <w:rPr>
                <w:rFonts w:eastAsia="宋体"/>
                <w:color w:val="000000" w:themeColor="text1"/>
                <w:sz w:val="21"/>
              </w:rPr>
              <w:t>2025</w:t>
            </w:r>
            <w:r w:rsidRPr="008A2411">
              <w:rPr>
                <w:rFonts w:eastAsia="宋体"/>
                <w:color w:val="000000" w:themeColor="text1"/>
                <w:sz w:val="21"/>
              </w:rPr>
              <w:t>年，农田灌溉水有效利用系数达到</w:t>
            </w:r>
            <w:r w:rsidRPr="008A2411">
              <w:rPr>
                <w:rFonts w:eastAsia="宋体"/>
                <w:color w:val="000000" w:themeColor="text1"/>
                <w:sz w:val="21"/>
              </w:rPr>
              <w:t>0.57</w:t>
            </w:r>
            <w:r w:rsidRPr="008A2411">
              <w:rPr>
                <w:rFonts w:eastAsia="宋体"/>
                <w:color w:val="000000" w:themeColor="text1"/>
                <w:sz w:val="21"/>
              </w:rPr>
              <w:t>以上。</w:t>
            </w:r>
          </w:p>
          <w:p w14:paraId="16684E5F"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color w:val="000000" w:themeColor="text1"/>
                <w:sz w:val="21"/>
              </w:rPr>
              <w:t>-</w:t>
            </w:r>
            <w:r w:rsidRPr="008A2411">
              <w:rPr>
                <w:rFonts w:eastAsia="宋体"/>
                <w:color w:val="000000" w:themeColor="text1"/>
                <w:sz w:val="21"/>
              </w:rPr>
              <w:t>达州市</w:t>
            </w:r>
            <w:r w:rsidRPr="008A2411">
              <w:rPr>
                <w:rFonts w:eastAsia="宋体"/>
                <w:color w:val="000000" w:themeColor="text1"/>
                <w:sz w:val="21"/>
              </w:rPr>
              <w:t>2025</w:t>
            </w:r>
            <w:r w:rsidRPr="008A2411">
              <w:rPr>
                <w:rFonts w:eastAsia="宋体"/>
                <w:color w:val="000000" w:themeColor="text1"/>
                <w:sz w:val="21"/>
              </w:rPr>
              <w:t>年用水控制总量</w:t>
            </w:r>
            <w:r w:rsidRPr="008A2411">
              <w:rPr>
                <w:rFonts w:eastAsia="宋体"/>
                <w:color w:val="000000" w:themeColor="text1"/>
                <w:sz w:val="21"/>
              </w:rPr>
              <w:t>14.6</w:t>
            </w:r>
            <w:r w:rsidRPr="008A2411">
              <w:rPr>
                <w:rFonts w:eastAsia="宋体"/>
                <w:color w:val="000000" w:themeColor="text1"/>
                <w:sz w:val="21"/>
              </w:rPr>
              <w:t>亿</w:t>
            </w:r>
            <w:r w:rsidRPr="008A2411">
              <w:rPr>
                <w:rFonts w:eastAsia="宋体"/>
                <w:color w:val="000000" w:themeColor="text1"/>
                <w:sz w:val="21"/>
              </w:rPr>
              <w:t>m</w:t>
            </w:r>
            <w:r w:rsidRPr="008A2411">
              <w:rPr>
                <w:rFonts w:eastAsia="宋体"/>
                <w:color w:val="000000" w:themeColor="text1"/>
                <w:sz w:val="21"/>
                <w:vertAlign w:val="superscript"/>
              </w:rPr>
              <w:t>3</w:t>
            </w:r>
            <w:r w:rsidRPr="008A2411">
              <w:rPr>
                <w:rFonts w:eastAsia="宋体"/>
                <w:color w:val="000000" w:themeColor="text1"/>
                <w:sz w:val="21"/>
              </w:rPr>
              <w:t>（其中地下水开采控制量</w:t>
            </w:r>
            <w:r w:rsidRPr="008A2411">
              <w:rPr>
                <w:rFonts w:eastAsia="宋体"/>
                <w:color w:val="000000" w:themeColor="text1"/>
                <w:sz w:val="21"/>
              </w:rPr>
              <w:t>1.09m</w:t>
            </w:r>
            <w:r w:rsidRPr="008A2411">
              <w:rPr>
                <w:rFonts w:eastAsia="宋体"/>
                <w:color w:val="000000" w:themeColor="text1"/>
                <w:sz w:val="21"/>
                <w:vertAlign w:val="superscript"/>
              </w:rPr>
              <w:t>3</w:t>
            </w:r>
            <w:r w:rsidRPr="008A2411">
              <w:rPr>
                <w:rFonts w:eastAsia="宋体"/>
                <w:color w:val="000000" w:themeColor="text1"/>
                <w:sz w:val="21"/>
              </w:rPr>
              <w:t>），</w:t>
            </w:r>
            <w:r w:rsidRPr="008A2411">
              <w:rPr>
                <w:rFonts w:eastAsia="宋体"/>
                <w:color w:val="000000" w:themeColor="text1"/>
                <w:sz w:val="21"/>
              </w:rPr>
              <w:t>2035</w:t>
            </w:r>
            <w:r w:rsidRPr="008A2411">
              <w:rPr>
                <w:rFonts w:eastAsia="宋体"/>
                <w:color w:val="000000" w:themeColor="text1"/>
                <w:sz w:val="21"/>
              </w:rPr>
              <w:t>年用水控制总量为</w:t>
            </w:r>
            <w:r w:rsidRPr="008A2411">
              <w:rPr>
                <w:rFonts w:eastAsia="宋体"/>
                <w:color w:val="000000" w:themeColor="text1"/>
                <w:sz w:val="21"/>
              </w:rPr>
              <w:t>15.0</w:t>
            </w:r>
            <w:r w:rsidRPr="008A2411">
              <w:rPr>
                <w:rFonts w:eastAsia="宋体"/>
                <w:color w:val="000000" w:themeColor="text1"/>
                <w:sz w:val="21"/>
              </w:rPr>
              <w:t>亿</w:t>
            </w:r>
            <w:r w:rsidRPr="008A2411">
              <w:rPr>
                <w:rFonts w:eastAsia="宋体"/>
                <w:color w:val="000000" w:themeColor="text1"/>
                <w:sz w:val="21"/>
              </w:rPr>
              <w:t>m</w:t>
            </w:r>
            <w:r w:rsidRPr="008A2411">
              <w:rPr>
                <w:rFonts w:eastAsia="宋体"/>
                <w:color w:val="000000" w:themeColor="text1"/>
                <w:sz w:val="21"/>
                <w:vertAlign w:val="superscript"/>
              </w:rPr>
              <w:t>3</w:t>
            </w:r>
            <w:r w:rsidRPr="008A2411">
              <w:rPr>
                <w:rFonts w:eastAsia="宋体"/>
                <w:color w:val="000000" w:themeColor="text1"/>
                <w:sz w:val="21"/>
              </w:rPr>
              <w:t>（其中地下水开采控制量</w:t>
            </w:r>
            <w:r w:rsidRPr="008A2411">
              <w:rPr>
                <w:rFonts w:eastAsia="宋体"/>
                <w:color w:val="000000" w:themeColor="text1"/>
                <w:sz w:val="21"/>
              </w:rPr>
              <w:t>1.09m</w:t>
            </w:r>
            <w:r w:rsidRPr="008A2411">
              <w:rPr>
                <w:rFonts w:eastAsia="宋体"/>
                <w:color w:val="000000" w:themeColor="text1"/>
                <w:sz w:val="21"/>
                <w:vertAlign w:val="superscript"/>
              </w:rPr>
              <w:t>3</w:t>
            </w:r>
            <w:r w:rsidRPr="008A2411">
              <w:rPr>
                <w:rFonts w:eastAsia="宋体"/>
                <w:color w:val="000000" w:themeColor="text1"/>
                <w:sz w:val="21"/>
              </w:rPr>
              <w:t>）。</w:t>
            </w:r>
          </w:p>
          <w:p w14:paraId="3A935CFE" w14:textId="77777777" w:rsidR="00B0005F" w:rsidRPr="008A2411" w:rsidRDefault="00000000">
            <w:pPr>
              <w:pStyle w:val="Normal00"/>
              <w:widowControl/>
              <w:spacing w:line="240" w:lineRule="auto"/>
              <w:ind w:firstLineChars="0" w:firstLine="0"/>
              <w:jc w:val="left"/>
              <w:rPr>
                <w:rFonts w:eastAsia="宋体"/>
                <w:b/>
                <w:bCs/>
                <w:color w:val="000000" w:themeColor="text1"/>
                <w:sz w:val="21"/>
              </w:rPr>
            </w:pPr>
            <w:r w:rsidRPr="008A2411">
              <w:rPr>
                <w:rFonts w:eastAsia="宋体"/>
                <w:b/>
                <w:bCs/>
                <w:color w:val="000000" w:themeColor="text1"/>
                <w:sz w:val="21"/>
              </w:rPr>
              <w:t>能源利用效率要求：</w:t>
            </w:r>
          </w:p>
          <w:p w14:paraId="426344E1"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color w:val="000000" w:themeColor="text1"/>
                <w:sz w:val="21"/>
              </w:rPr>
              <w:t>-</w:t>
            </w:r>
            <w:r w:rsidRPr="008A2411">
              <w:rPr>
                <w:rFonts w:eastAsia="宋体"/>
                <w:color w:val="000000" w:themeColor="text1"/>
                <w:sz w:val="21"/>
              </w:rPr>
              <w:t>推进清洁能源的推广使用，全面推进散煤清洁化整治；禁止新建每小时</w:t>
            </w:r>
            <w:r w:rsidRPr="008A2411">
              <w:rPr>
                <w:rFonts w:eastAsia="宋体"/>
                <w:color w:val="000000" w:themeColor="text1"/>
                <w:sz w:val="21"/>
              </w:rPr>
              <w:t>10</w:t>
            </w:r>
            <w:r w:rsidRPr="008A2411">
              <w:rPr>
                <w:rFonts w:eastAsia="宋体"/>
                <w:color w:val="000000" w:themeColor="text1"/>
                <w:sz w:val="21"/>
              </w:rPr>
              <w:t>蒸</w:t>
            </w:r>
            <w:proofErr w:type="gramStart"/>
            <w:r w:rsidRPr="008A2411">
              <w:rPr>
                <w:rFonts w:eastAsia="宋体"/>
                <w:color w:val="000000" w:themeColor="text1"/>
                <w:sz w:val="21"/>
              </w:rPr>
              <w:t>吨以下</w:t>
            </w:r>
            <w:proofErr w:type="gramEnd"/>
            <w:r w:rsidRPr="008A2411">
              <w:rPr>
                <w:rFonts w:eastAsia="宋体"/>
                <w:color w:val="000000" w:themeColor="text1"/>
                <w:sz w:val="21"/>
              </w:rPr>
              <w:t>的燃煤锅炉及其他燃煤设施。</w:t>
            </w:r>
          </w:p>
          <w:p w14:paraId="755645F3"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color w:val="000000" w:themeColor="text1"/>
                <w:sz w:val="21"/>
              </w:rPr>
              <w:t>拟更新：</w:t>
            </w:r>
          </w:p>
          <w:p w14:paraId="09C66FCB" w14:textId="77777777" w:rsidR="00B0005F" w:rsidRPr="008A2411" w:rsidRDefault="00000000">
            <w:pPr>
              <w:pStyle w:val="Normal00"/>
              <w:widowControl/>
              <w:spacing w:line="240" w:lineRule="auto"/>
              <w:ind w:firstLineChars="0" w:firstLine="0"/>
              <w:jc w:val="left"/>
              <w:rPr>
                <w:rFonts w:eastAsia="宋体"/>
                <w:b/>
                <w:bCs/>
                <w:color w:val="000000" w:themeColor="text1"/>
                <w:sz w:val="21"/>
              </w:rPr>
            </w:pPr>
            <w:r w:rsidRPr="008A2411">
              <w:rPr>
                <w:rFonts w:eastAsia="宋体"/>
                <w:color w:val="000000" w:themeColor="text1"/>
                <w:sz w:val="21"/>
              </w:rPr>
              <w:t>-</w:t>
            </w:r>
            <w:r w:rsidRPr="008A2411">
              <w:rPr>
                <w:rFonts w:eastAsia="宋体"/>
                <w:color w:val="000000" w:themeColor="text1"/>
                <w:sz w:val="21"/>
              </w:rPr>
              <w:t>禁止焚烧秸秆和垃圾，到</w:t>
            </w:r>
            <w:r w:rsidRPr="008A2411">
              <w:rPr>
                <w:rFonts w:eastAsia="宋体"/>
                <w:color w:val="000000" w:themeColor="text1"/>
                <w:sz w:val="21"/>
              </w:rPr>
              <w:t>2025</w:t>
            </w:r>
            <w:r w:rsidRPr="008A2411">
              <w:rPr>
                <w:rFonts w:eastAsia="宋体"/>
                <w:color w:val="000000" w:themeColor="text1"/>
                <w:sz w:val="21"/>
              </w:rPr>
              <w:t>年底，秸秆综合利用率达到</w:t>
            </w:r>
            <w:r w:rsidRPr="008A2411">
              <w:rPr>
                <w:rFonts w:eastAsia="宋体"/>
                <w:color w:val="000000" w:themeColor="text1"/>
                <w:sz w:val="21"/>
              </w:rPr>
              <w:t>86%</w:t>
            </w:r>
            <w:r w:rsidRPr="008A2411">
              <w:rPr>
                <w:rFonts w:eastAsia="宋体"/>
                <w:color w:val="000000" w:themeColor="text1"/>
                <w:sz w:val="21"/>
              </w:rPr>
              <w:t>以上。</w:t>
            </w:r>
          </w:p>
        </w:tc>
        <w:tc>
          <w:tcPr>
            <w:tcW w:w="748" w:type="pct"/>
            <w:vAlign w:val="center"/>
          </w:tcPr>
          <w:p w14:paraId="1CBB839C" w14:textId="77777777" w:rsidR="00B0005F" w:rsidRPr="008A2411" w:rsidRDefault="00000000">
            <w:pPr>
              <w:pStyle w:val="Normal00"/>
              <w:widowControl/>
              <w:spacing w:line="240" w:lineRule="auto"/>
              <w:ind w:firstLineChars="0" w:firstLine="0"/>
              <w:jc w:val="center"/>
              <w:rPr>
                <w:rFonts w:eastAsia="宋体"/>
                <w:color w:val="000000" w:themeColor="text1"/>
                <w:sz w:val="21"/>
              </w:rPr>
            </w:pPr>
            <w:r w:rsidRPr="008A2411">
              <w:rPr>
                <w:rFonts w:eastAsia="宋体"/>
                <w:color w:val="000000" w:themeColor="text1"/>
                <w:sz w:val="21"/>
              </w:rPr>
              <w:t>项目为天然气液化加工生产项目，天然气属于清洁能源，符合推进清洁能源的推广使用。</w:t>
            </w:r>
          </w:p>
          <w:p w14:paraId="60B4A860" w14:textId="77777777" w:rsidR="00B0005F" w:rsidRPr="008A2411" w:rsidRDefault="00000000">
            <w:pPr>
              <w:pStyle w:val="Normal00"/>
              <w:widowControl/>
              <w:spacing w:line="240" w:lineRule="auto"/>
              <w:ind w:firstLineChars="0" w:firstLine="0"/>
              <w:jc w:val="center"/>
              <w:rPr>
                <w:rFonts w:eastAsia="宋体"/>
                <w:color w:val="000000" w:themeColor="text1"/>
                <w:sz w:val="21"/>
              </w:rPr>
            </w:pPr>
            <w:r w:rsidRPr="008A2411">
              <w:rPr>
                <w:rFonts w:eastAsia="宋体"/>
                <w:color w:val="000000" w:themeColor="text1"/>
                <w:sz w:val="21"/>
              </w:rPr>
              <w:t>本项目不涉及燃煤设施。</w:t>
            </w:r>
          </w:p>
        </w:tc>
        <w:tc>
          <w:tcPr>
            <w:tcW w:w="399" w:type="pct"/>
            <w:vAlign w:val="center"/>
          </w:tcPr>
          <w:p w14:paraId="0DAC4744" w14:textId="77777777" w:rsidR="00B0005F" w:rsidRPr="008A2411" w:rsidRDefault="00000000">
            <w:pPr>
              <w:pStyle w:val="Normal00"/>
              <w:widowControl/>
              <w:spacing w:line="240" w:lineRule="auto"/>
              <w:ind w:firstLineChars="0" w:firstLine="0"/>
              <w:jc w:val="center"/>
              <w:rPr>
                <w:rFonts w:eastAsia="宋体"/>
                <w:color w:val="000000" w:themeColor="text1"/>
                <w:sz w:val="21"/>
              </w:rPr>
            </w:pPr>
            <w:r w:rsidRPr="008A2411">
              <w:rPr>
                <w:rFonts w:eastAsia="宋体"/>
                <w:color w:val="000000" w:themeColor="text1"/>
                <w:sz w:val="21"/>
              </w:rPr>
              <w:t>符合</w:t>
            </w:r>
          </w:p>
        </w:tc>
      </w:tr>
      <w:tr w:rsidR="008A2411" w:rsidRPr="008A2411" w14:paraId="5E677FF8" w14:textId="77777777">
        <w:trPr>
          <w:jc w:val="center"/>
        </w:trPr>
        <w:tc>
          <w:tcPr>
            <w:tcW w:w="375" w:type="pct"/>
            <w:vMerge w:val="restart"/>
            <w:vAlign w:val="center"/>
          </w:tcPr>
          <w:p w14:paraId="3DB4ABD7" w14:textId="77777777" w:rsidR="00B0005F" w:rsidRPr="008A2411" w:rsidRDefault="00000000">
            <w:pPr>
              <w:jc w:val="center"/>
              <w:rPr>
                <w:rFonts w:ascii="Times New Roman"/>
                <w:snapToGrid w:val="0"/>
                <w:color w:val="000000" w:themeColor="text1"/>
                <w:sz w:val="21"/>
                <w:szCs w:val="21"/>
              </w:rPr>
            </w:pPr>
            <w:r w:rsidRPr="008A2411">
              <w:rPr>
                <w:rFonts w:hAnsi="宋体" w:hint="eastAsia"/>
                <w:color w:val="000000" w:themeColor="text1"/>
                <w:kern w:val="2"/>
                <w:sz w:val="21"/>
                <w:szCs w:val="21"/>
              </w:rPr>
              <w:t>ZH51172220002</w:t>
            </w:r>
          </w:p>
        </w:tc>
        <w:tc>
          <w:tcPr>
            <w:tcW w:w="528" w:type="pct"/>
            <w:vMerge w:val="restart"/>
            <w:vAlign w:val="center"/>
          </w:tcPr>
          <w:p w14:paraId="57313211" w14:textId="77777777" w:rsidR="00B0005F" w:rsidRPr="008A2411" w:rsidRDefault="00000000">
            <w:pPr>
              <w:jc w:val="center"/>
              <w:rPr>
                <w:rFonts w:ascii="Times New Roman"/>
                <w:color w:val="000000" w:themeColor="text1"/>
                <w:kern w:val="2"/>
                <w:sz w:val="21"/>
                <w:szCs w:val="21"/>
              </w:rPr>
            </w:pPr>
            <w:r w:rsidRPr="008A2411">
              <w:rPr>
                <w:rFonts w:hAnsi="宋体" w:hint="eastAsia"/>
                <w:color w:val="000000" w:themeColor="text1"/>
                <w:kern w:val="2"/>
                <w:sz w:val="21"/>
                <w:szCs w:val="21"/>
              </w:rPr>
              <w:t>四川达州普光经济开发区（含锂钾综合开发产业园）</w:t>
            </w:r>
          </w:p>
        </w:tc>
        <w:tc>
          <w:tcPr>
            <w:tcW w:w="414" w:type="pct"/>
            <w:vAlign w:val="center"/>
          </w:tcPr>
          <w:p w14:paraId="155AA3A6" w14:textId="77777777" w:rsidR="00B0005F" w:rsidRPr="008A2411" w:rsidRDefault="00000000">
            <w:pPr>
              <w:jc w:val="center"/>
              <w:rPr>
                <w:rFonts w:ascii="Times New Roman"/>
                <w:color w:val="000000" w:themeColor="text1"/>
                <w:kern w:val="2"/>
                <w:sz w:val="21"/>
                <w:szCs w:val="21"/>
              </w:rPr>
            </w:pPr>
            <w:r w:rsidRPr="008A2411">
              <w:rPr>
                <w:rFonts w:ascii="Times New Roman"/>
                <w:color w:val="000000" w:themeColor="text1"/>
                <w:sz w:val="21"/>
                <w:szCs w:val="21"/>
              </w:rPr>
              <w:t>空间布局约束</w:t>
            </w:r>
          </w:p>
        </w:tc>
        <w:tc>
          <w:tcPr>
            <w:tcW w:w="2536" w:type="pct"/>
            <w:vAlign w:val="center"/>
          </w:tcPr>
          <w:p w14:paraId="5144D93E" w14:textId="77777777" w:rsidR="00B0005F" w:rsidRPr="008A2411" w:rsidRDefault="00000000">
            <w:pPr>
              <w:pStyle w:val="Normal00"/>
              <w:widowControl/>
              <w:spacing w:line="240" w:lineRule="auto"/>
              <w:ind w:firstLineChars="0" w:firstLine="0"/>
              <w:jc w:val="left"/>
              <w:rPr>
                <w:rFonts w:eastAsia="宋体"/>
                <w:b/>
                <w:bCs/>
                <w:color w:val="000000" w:themeColor="text1"/>
                <w:sz w:val="21"/>
              </w:rPr>
            </w:pPr>
            <w:r w:rsidRPr="008A2411">
              <w:rPr>
                <w:rFonts w:eastAsia="宋体" w:hint="eastAsia"/>
                <w:b/>
                <w:bCs/>
                <w:color w:val="000000" w:themeColor="text1"/>
                <w:sz w:val="21"/>
              </w:rPr>
              <w:t>空间布局约束：</w:t>
            </w:r>
          </w:p>
          <w:p w14:paraId="594EF35E"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禁止开发建设活动的要求</w:t>
            </w:r>
          </w:p>
          <w:p w14:paraId="44DB40CE"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w:t>
            </w:r>
            <w:r w:rsidRPr="008A2411">
              <w:rPr>
                <w:rFonts w:eastAsia="宋体" w:hint="eastAsia"/>
                <w:color w:val="000000" w:themeColor="text1"/>
                <w:sz w:val="21"/>
              </w:rPr>
              <w:t>禁止在长江干支流</w:t>
            </w:r>
            <w:r w:rsidRPr="008A2411">
              <w:rPr>
                <w:rFonts w:eastAsia="宋体" w:hint="eastAsia"/>
                <w:color w:val="000000" w:themeColor="text1"/>
                <w:sz w:val="21"/>
              </w:rPr>
              <w:t>1</w:t>
            </w:r>
            <w:r w:rsidRPr="008A2411">
              <w:rPr>
                <w:rFonts w:eastAsia="宋体" w:hint="eastAsia"/>
                <w:color w:val="000000" w:themeColor="text1"/>
                <w:sz w:val="21"/>
              </w:rPr>
              <w:t>公里范围内新建、扩建化工园区和化工项目，严控新建石油化工、煤化工、涉磷、造纸、印染、制革等项目。</w:t>
            </w:r>
          </w:p>
          <w:p w14:paraId="2A51E8A4"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w:t>
            </w:r>
            <w:r w:rsidRPr="008A2411">
              <w:rPr>
                <w:rFonts w:eastAsia="宋体" w:hint="eastAsia"/>
                <w:color w:val="000000" w:themeColor="text1"/>
                <w:sz w:val="21"/>
              </w:rPr>
              <w:t>禁止从事《长江经济带发展负面清单指南（试行）》禁止准入类事项。</w:t>
            </w:r>
          </w:p>
          <w:p w14:paraId="2356B233"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w:t>
            </w:r>
            <w:r w:rsidRPr="008A2411">
              <w:rPr>
                <w:rFonts w:eastAsia="宋体" w:hint="eastAsia"/>
                <w:color w:val="000000" w:themeColor="text1"/>
                <w:sz w:val="21"/>
              </w:rPr>
              <w:t>引进项目应符合园区规划环评和区域产业准入及负面清单要求。</w:t>
            </w:r>
          </w:p>
          <w:p w14:paraId="4FFF011A"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w:t>
            </w:r>
            <w:r w:rsidRPr="008A2411">
              <w:rPr>
                <w:rFonts w:eastAsia="宋体" w:hint="eastAsia"/>
                <w:color w:val="000000" w:themeColor="text1"/>
                <w:sz w:val="21"/>
              </w:rPr>
              <w:t>禁止新建不符合国家产业政策和行业准入条件的高污染项目。</w:t>
            </w:r>
          </w:p>
          <w:p w14:paraId="04DA3397"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w:t>
            </w:r>
            <w:r w:rsidRPr="008A2411">
              <w:rPr>
                <w:rFonts w:eastAsia="宋体" w:hint="eastAsia"/>
                <w:color w:val="000000" w:themeColor="text1"/>
                <w:sz w:val="21"/>
              </w:rPr>
              <w:t>工业园区禁止新建高污染燃料锅炉。</w:t>
            </w:r>
          </w:p>
          <w:p w14:paraId="41F9E5F9"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w:t>
            </w:r>
            <w:r w:rsidRPr="008A2411">
              <w:rPr>
                <w:rFonts w:eastAsia="宋体" w:hint="eastAsia"/>
                <w:color w:val="000000" w:themeColor="text1"/>
                <w:sz w:val="21"/>
              </w:rPr>
              <w:t>禁止在长江流域河湖管理范围内倾倒、填埋、堆放、弃置、处理固体废物。</w:t>
            </w:r>
          </w:p>
          <w:p w14:paraId="2AF84B30" w14:textId="77777777" w:rsidR="00B0005F" w:rsidRPr="008A2411" w:rsidRDefault="00B0005F">
            <w:pPr>
              <w:pStyle w:val="Normal00"/>
              <w:widowControl/>
              <w:spacing w:line="240" w:lineRule="auto"/>
              <w:ind w:firstLineChars="0" w:firstLine="0"/>
              <w:jc w:val="left"/>
              <w:rPr>
                <w:rFonts w:eastAsia="宋体"/>
                <w:color w:val="000000" w:themeColor="text1"/>
                <w:sz w:val="21"/>
              </w:rPr>
            </w:pPr>
          </w:p>
          <w:p w14:paraId="12694017"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限制开发建设活动的要求</w:t>
            </w:r>
          </w:p>
          <w:p w14:paraId="6ACC690D"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w:t>
            </w:r>
            <w:r w:rsidRPr="008A2411">
              <w:rPr>
                <w:rFonts w:eastAsia="宋体" w:hint="eastAsia"/>
                <w:color w:val="000000" w:themeColor="text1"/>
                <w:sz w:val="21"/>
              </w:rPr>
              <w:t>严格控制污染物新增排放量，对新建排放二</w:t>
            </w:r>
            <w:r w:rsidRPr="008A2411">
              <w:rPr>
                <w:rFonts w:eastAsia="宋体" w:hint="eastAsia"/>
                <w:color w:val="000000" w:themeColor="text1"/>
                <w:sz w:val="21"/>
              </w:rPr>
              <w:lastRenderedPageBreak/>
              <w:t>氧化硫、氮氧化物、工业烟粉尘和</w:t>
            </w:r>
            <w:r w:rsidRPr="008A2411">
              <w:rPr>
                <w:rFonts w:eastAsia="宋体" w:hint="eastAsia"/>
                <w:color w:val="000000" w:themeColor="text1"/>
                <w:sz w:val="21"/>
              </w:rPr>
              <w:t xml:space="preserve"> VOC</w:t>
            </w:r>
            <w:r w:rsidRPr="008A2411">
              <w:rPr>
                <w:rFonts w:eastAsia="宋体" w:hint="eastAsia"/>
                <w:color w:val="000000" w:themeColor="text1"/>
                <w:sz w:val="21"/>
                <w:vertAlign w:val="subscript"/>
              </w:rPr>
              <w:t>S</w:t>
            </w:r>
            <w:r w:rsidRPr="008A2411">
              <w:rPr>
                <w:rFonts w:eastAsia="宋体" w:hint="eastAsia"/>
                <w:color w:val="000000" w:themeColor="text1"/>
                <w:sz w:val="21"/>
              </w:rPr>
              <w:t xml:space="preserve"> </w:t>
            </w:r>
            <w:r w:rsidRPr="008A2411">
              <w:rPr>
                <w:rFonts w:eastAsia="宋体" w:hint="eastAsia"/>
                <w:color w:val="000000" w:themeColor="text1"/>
                <w:sz w:val="21"/>
              </w:rPr>
              <w:t>的项目实施现役源</w:t>
            </w:r>
            <w:r w:rsidRPr="008A2411">
              <w:rPr>
                <w:rFonts w:eastAsia="宋体" w:hint="eastAsia"/>
                <w:color w:val="000000" w:themeColor="text1"/>
                <w:sz w:val="21"/>
              </w:rPr>
              <w:t xml:space="preserve"> 2 </w:t>
            </w:r>
            <w:proofErr w:type="gramStart"/>
            <w:r w:rsidRPr="008A2411">
              <w:rPr>
                <w:rFonts w:eastAsia="宋体" w:hint="eastAsia"/>
                <w:color w:val="000000" w:themeColor="text1"/>
                <w:sz w:val="21"/>
              </w:rPr>
              <w:t>倍</w:t>
            </w:r>
            <w:proofErr w:type="gramEnd"/>
            <w:r w:rsidRPr="008A2411">
              <w:rPr>
                <w:rFonts w:eastAsia="宋体" w:hint="eastAsia"/>
                <w:color w:val="000000" w:themeColor="text1"/>
                <w:sz w:val="21"/>
              </w:rPr>
              <w:t>削减量替代。</w:t>
            </w:r>
          </w:p>
          <w:p w14:paraId="3EE7087D"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w:t>
            </w:r>
            <w:r w:rsidRPr="008A2411">
              <w:rPr>
                <w:rFonts w:eastAsia="宋体" w:hint="eastAsia"/>
                <w:color w:val="000000" w:themeColor="text1"/>
                <w:sz w:val="21"/>
              </w:rPr>
              <w:t>严格实施环评制度，将细颗粒物达标情况纳入规划环评和相关</w:t>
            </w:r>
            <w:proofErr w:type="gramStart"/>
            <w:r w:rsidRPr="008A2411">
              <w:rPr>
                <w:rFonts w:eastAsia="宋体" w:hint="eastAsia"/>
                <w:color w:val="000000" w:themeColor="text1"/>
                <w:sz w:val="21"/>
              </w:rPr>
              <w:t>项目环</w:t>
            </w:r>
            <w:proofErr w:type="gramEnd"/>
            <w:r w:rsidRPr="008A2411">
              <w:rPr>
                <w:rFonts w:eastAsia="宋体" w:hint="eastAsia"/>
                <w:color w:val="000000" w:themeColor="text1"/>
                <w:sz w:val="21"/>
              </w:rPr>
              <w:t>评内容，加快制定颗粒物、</w:t>
            </w:r>
            <w:r w:rsidRPr="008A2411">
              <w:rPr>
                <w:rFonts w:eastAsia="宋体" w:hint="eastAsia"/>
                <w:color w:val="000000" w:themeColor="text1"/>
                <w:sz w:val="21"/>
              </w:rPr>
              <w:t>VOC</w:t>
            </w:r>
            <w:r w:rsidRPr="008A2411">
              <w:rPr>
                <w:rFonts w:eastAsia="宋体" w:hint="eastAsia"/>
                <w:color w:val="000000" w:themeColor="text1"/>
                <w:sz w:val="21"/>
                <w:vertAlign w:val="subscript"/>
              </w:rPr>
              <w:t>S</w:t>
            </w:r>
            <w:r w:rsidRPr="008A2411">
              <w:rPr>
                <w:rFonts w:eastAsia="宋体" w:hint="eastAsia"/>
                <w:color w:val="000000" w:themeColor="text1"/>
                <w:sz w:val="21"/>
              </w:rPr>
              <w:t>排放总量管理配套政策。</w:t>
            </w:r>
          </w:p>
          <w:p w14:paraId="403D8B7C"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w:t>
            </w:r>
            <w:r w:rsidRPr="008A2411">
              <w:rPr>
                <w:rFonts w:eastAsia="宋体" w:hint="eastAsia"/>
                <w:color w:val="000000" w:themeColor="text1"/>
                <w:sz w:val="21"/>
              </w:rPr>
              <w:t>严格控制新建、扩建燃煤发电项目。</w:t>
            </w:r>
          </w:p>
          <w:p w14:paraId="141CF95A"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w:t>
            </w:r>
            <w:r w:rsidRPr="008A2411">
              <w:rPr>
                <w:rFonts w:eastAsia="宋体" w:hint="eastAsia"/>
                <w:color w:val="000000" w:themeColor="text1"/>
                <w:sz w:val="21"/>
              </w:rPr>
              <w:t>严控达州市主城区上游沿岸地区新建石油化工、煤化工、涉磷、造纸、印染、制革等项目。</w:t>
            </w:r>
          </w:p>
          <w:p w14:paraId="3696BB5A" w14:textId="77777777" w:rsidR="00B0005F" w:rsidRPr="008A2411" w:rsidRDefault="00B0005F">
            <w:pPr>
              <w:pStyle w:val="Normal00"/>
              <w:widowControl/>
              <w:spacing w:line="240" w:lineRule="auto"/>
              <w:ind w:firstLineChars="0" w:firstLine="0"/>
              <w:jc w:val="left"/>
              <w:rPr>
                <w:rFonts w:eastAsia="宋体"/>
                <w:color w:val="000000" w:themeColor="text1"/>
                <w:sz w:val="21"/>
              </w:rPr>
            </w:pPr>
          </w:p>
          <w:p w14:paraId="4F9E3460"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不符合空间布局要求活动的退出要求</w:t>
            </w:r>
          </w:p>
          <w:p w14:paraId="034C2810"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w:t>
            </w:r>
            <w:r w:rsidRPr="008A2411">
              <w:rPr>
                <w:rFonts w:eastAsia="宋体" w:hint="eastAsia"/>
                <w:color w:val="000000" w:themeColor="text1"/>
                <w:sz w:val="21"/>
              </w:rPr>
              <w:t>现有属于禁止引入产业门类的企业，应按相关规定限期整治或退出。</w:t>
            </w:r>
          </w:p>
          <w:p w14:paraId="1BA9917B"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w:t>
            </w:r>
            <w:r w:rsidRPr="008A2411">
              <w:rPr>
                <w:rFonts w:eastAsia="宋体" w:hint="eastAsia"/>
                <w:color w:val="000000" w:themeColor="text1"/>
                <w:sz w:val="21"/>
              </w:rPr>
              <w:t>重点区域城市钢铁企业要切实采取彻底关停、转型发展、就地改造、域外搬迁等方式。四川省达州钢铁集团有限责任公司处于四川省大气污染防治重点区域，属于“彻底关停、转型发展、就地改造、域外搬迁”企业；</w:t>
            </w:r>
            <w:r w:rsidRPr="008A2411">
              <w:rPr>
                <w:rFonts w:eastAsia="宋体" w:hint="eastAsia"/>
                <w:color w:val="000000" w:themeColor="text1"/>
                <w:sz w:val="21"/>
              </w:rPr>
              <w:t xml:space="preserve"> </w:t>
            </w:r>
          </w:p>
          <w:p w14:paraId="533EE0D8"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w:t>
            </w:r>
            <w:proofErr w:type="gramStart"/>
            <w:r w:rsidRPr="008A2411">
              <w:rPr>
                <w:rFonts w:eastAsia="宋体" w:hint="eastAsia"/>
                <w:color w:val="000000" w:themeColor="text1"/>
                <w:sz w:val="21"/>
              </w:rPr>
              <w:t>引导重</w:t>
            </w:r>
            <w:proofErr w:type="gramEnd"/>
            <w:r w:rsidRPr="008A2411">
              <w:rPr>
                <w:rFonts w:eastAsia="宋体" w:hint="eastAsia"/>
                <w:color w:val="000000" w:themeColor="text1"/>
                <w:sz w:val="21"/>
              </w:rPr>
              <w:t>污染产业退出或搬迁、企业分类退城入园，逐步打破近水靠城的历史工业布局。加大城市区域现有装备水平低、环保设施差的微小企业“关、停、并、转”实施力度，清理建成区上风向</w:t>
            </w:r>
            <w:proofErr w:type="gramStart"/>
            <w:r w:rsidRPr="008A2411">
              <w:rPr>
                <w:rFonts w:eastAsia="宋体" w:hint="eastAsia"/>
                <w:color w:val="000000" w:themeColor="text1"/>
                <w:sz w:val="21"/>
              </w:rPr>
              <w:t>重点涉气项目</w:t>
            </w:r>
            <w:proofErr w:type="gramEnd"/>
            <w:r w:rsidRPr="008A2411">
              <w:rPr>
                <w:rFonts w:eastAsia="宋体" w:hint="eastAsia"/>
                <w:color w:val="000000" w:themeColor="text1"/>
                <w:sz w:val="21"/>
              </w:rPr>
              <w:t>。</w:t>
            </w:r>
          </w:p>
          <w:p w14:paraId="2E44A20D"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w:t>
            </w:r>
            <w:r w:rsidRPr="008A2411">
              <w:rPr>
                <w:rFonts w:eastAsia="宋体" w:hint="eastAsia"/>
                <w:color w:val="000000" w:themeColor="text1"/>
                <w:sz w:val="21"/>
              </w:rPr>
              <w:t>石化、现代煤化工项目应纳入国家产业规划。新建、扩建石化、化工、焦化、有色金属冶炼、平板玻璃项目应布设在依法合</w:t>
            </w:r>
            <w:proofErr w:type="gramStart"/>
            <w:r w:rsidRPr="008A2411">
              <w:rPr>
                <w:rFonts w:eastAsia="宋体" w:hint="eastAsia"/>
                <w:color w:val="000000" w:themeColor="text1"/>
                <w:sz w:val="21"/>
              </w:rPr>
              <w:t>规</w:t>
            </w:r>
            <w:proofErr w:type="gramEnd"/>
            <w:r w:rsidRPr="008A2411">
              <w:rPr>
                <w:rFonts w:eastAsia="宋体" w:hint="eastAsia"/>
                <w:color w:val="000000" w:themeColor="text1"/>
                <w:sz w:val="21"/>
              </w:rPr>
              <w:t>设立并经规划环评的产业园区。</w:t>
            </w:r>
          </w:p>
          <w:p w14:paraId="1A098F90" w14:textId="77777777" w:rsidR="00B0005F" w:rsidRPr="008A2411" w:rsidRDefault="00B0005F">
            <w:pPr>
              <w:pStyle w:val="Normal00"/>
              <w:widowControl/>
              <w:spacing w:line="240" w:lineRule="auto"/>
              <w:ind w:firstLineChars="0" w:firstLine="0"/>
              <w:jc w:val="left"/>
              <w:rPr>
                <w:rFonts w:eastAsia="宋体"/>
                <w:color w:val="000000" w:themeColor="text1"/>
                <w:sz w:val="21"/>
              </w:rPr>
            </w:pPr>
          </w:p>
          <w:p w14:paraId="7BD53BAF"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其他空间布局约束要求</w:t>
            </w:r>
          </w:p>
          <w:p w14:paraId="3E5FA781"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暂无</w:t>
            </w:r>
          </w:p>
        </w:tc>
        <w:tc>
          <w:tcPr>
            <w:tcW w:w="748" w:type="pct"/>
            <w:vAlign w:val="center"/>
          </w:tcPr>
          <w:p w14:paraId="76A9CE4F" w14:textId="77777777" w:rsidR="00B0005F" w:rsidRPr="008A2411" w:rsidRDefault="00000000">
            <w:pPr>
              <w:pStyle w:val="Normal00"/>
              <w:widowControl/>
              <w:spacing w:line="240" w:lineRule="auto"/>
              <w:ind w:firstLineChars="0" w:firstLine="0"/>
              <w:jc w:val="center"/>
              <w:rPr>
                <w:rFonts w:eastAsia="宋体"/>
                <w:color w:val="000000" w:themeColor="text1"/>
                <w:sz w:val="21"/>
              </w:rPr>
            </w:pPr>
            <w:r w:rsidRPr="008A2411">
              <w:rPr>
                <w:rFonts w:eastAsia="宋体"/>
                <w:color w:val="000000" w:themeColor="text1"/>
                <w:sz w:val="21"/>
              </w:rPr>
              <w:lastRenderedPageBreak/>
              <w:t>本项目为天然气液化加工生产项目，</w:t>
            </w:r>
            <w:r w:rsidRPr="008A2411">
              <w:rPr>
                <w:rFonts w:eastAsia="宋体"/>
                <w:snapToGrid w:val="0"/>
                <w:color w:val="000000" w:themeColor="text1"/>
                <w:sz w:val="21"/>
              </w:rPr>
              <w:t>符合空间布局要求。</w:t>
            </w:r>
          </w:p>
        </w:tc>
        <w:tc>
          <w:tcPr>
            <w:tcW w:w="399" w:type="pct"/>
            <w:vMerge w:val="restart"/>
            <w:vAlign w:val="center"/>
          </w:tcPr>
          <w:p w14:paraId="6B5CB3B8" w14:textId="77777777" w:rsidR="00B0005F" w:rsidRPr="008A2411" w:rsidRDefault="00000000">
            <w:pPr>
              <w:pStyle w:val="Normal00"/>
              <w:widowControl/>
              <w:spacing w:line="240" w:lineRule="auto"/>
              <w:ind w:firstLineChars="0" w:firstLine="0"/>
              <w:jc w:val="center"/>
              <w:rPr>
                <w:rFonts w:eastAsia="宋体"/>
                <w:color w:val="000000" w:themeColor="text1"/>
                <w:sz w:val="21"/>
              </w:rPr>
            </w:pPr>
            <w:r w:rsidRPr="008A2411">
              <w:rPr>
                <w:rFonts w:eastAsia="宋体"/>
                <w:color w:val="000000" w:themeColor="text1"/>
                <w:sz w:val="21"/>
              </w:rPr>
              <w:t>符合</w:t>
            </w:r>
          </w:p>
        </w:tc>
      </w:tr>
      <w:tr w:rsidR="008A2411" w:rsidRPr="008A2411" w14:paraId="365D5AA9" w14:textId="77777777">
        <w:trPr>
          <w:jc w:val="center"/>
        </w:trPr>
        <w:tc>
          <w:tcPr>
            <w:tcW w:w="375" w:type="pct"/>
            <w:vMerge/>
            <w:vAlign w:val="center"/>
          </w:tcPr>
          <w:p w14:paraId="43A53D1D" w14:textId="77777777" w:rsidR="00B0005F" w:rsidRPr="008A2411" w:rsidRDefault="00B0005F">
            <w:pPr>
              <w:jc w:val="center"/>
              <w:rPr>
                <w:rFonts w:ascii="Times New Roman"/>
                <w:snapToGrid w:val="0"/>
                <w:color w:val="000000" w:themeColor="text1"/>
                <w:sz w:val="21"/>
                <w:szCs w:val="21"/>
              </w:rPr>
            </w:pPr>
          </w:p>
        </w:tc>
        <w:tc>
          <w:tcPr>
            <w:tcW w:w="528" w:type="pct"/>
            <w:vMerge/>
            <w:vAlign w:val="center"/>
          </w:tcPr>
          <w:p w14:paraId="35264A37" w14:textId="77777777" w:rsidR="00B0005F" w:rsidRPr="008A2411" w:rsidRDefault="00B0005F">
            <w:pPr>
              <w:jc w:val="center"/>
              <w:rPr>
                <w:rFonts w:ascii="Times New Roman"/>
                <w:color w:val="000000" w:themeColor="text1"/>
                <w:kern w:val="2"/>
                <w:sz w:val="21"/>
                <w:szCs w:val="21"/>
              </w:rPr>
            </w:pPr>
          </w:p>
        </w:tc>
        <w:tc>
          <w:tcPr>
            <w:tcW w:w="414" w:type="pct"/>
            <w:vAlign w:val="center"/>
          </w:tcPr>
          <w:p w14:paraId="18FA012A" w14:textId="77777777" w:rsidR="00B0005F" w:rsidRPr="008A2411" w:rsidRDefault="00000000">
            <w:pPr>
              <w:jc w:val="center"/>
              <w:rPr>
                <w:rFonts w:ascii="Times New Roman"/>
                <w:color w:val="000000" w:themeColor="text1"/>
                <w:kern w:val="2"/>
                <w:sz w:val="21"/>
                <w:szCs w:val="21"/>
              </w:rPr>
            </w:pPr>
            <w:r w:rsidRPr="008A2411">
              <w:rPr>
                <w:rFonts w:ascii="Times New Roman"/>
                <w:color w:val="000000" w:themeColor="text1"/>
                <w:sz w:val="21"/>
                <w:szCs w:val="21"/>
              </w:rPr>
              <w:t>污染物排放管控</w:t>
            </w:r>
          </w:p>
        </w:tc>
        <w:tc>
          <w:tcPr>
            <w:tcW w:w="2536" w:type="pct"/>
            <w:vAlign w:val="center"/>
          </w:tcPr>
          <w:p w14:paraId="4A0B7249"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污染物排放管控：</w:t>
            </w:r>
          </w:p>
          <w:p w14:paraId="342C460B"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允许排放量要求</w:t>
            </w:r>
          </w:p>
          <w:p w14:paraId="2187E093"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达州市</w:t>
            </w:r>
            <w:r w:rsidRPr="008A2411">
              <w:rPr>
                <w:rFonts w:eastAsia="宋体" w:hint="eastAsia"/>
                <w:color w:val="000000" w:themeColor="text1"/>
                <w:sz w:val="21"/>
              </w:rPr>
              <w:t>2025</w:t>
            </w:r>
            <w:r w:rsidRPr="008A2411">
              <w:rPr>
                <w:rFonts w:eastAsia="宋体" w:hint="eastAsia"/>
                <w:color w:val="000000" w:themeColor="text1"/>
                <w:sz w:val="21"/>
              </w:rPr>
              <w:t>年水污染</w:t>
            </w:r>
            <w:proofErr w:type="gramStart"/>
            <w:r w:rsidRPr="008A2411">
              <w:rPr>
                <w:rFonts w:eastAsia="宋体" w:hint="eastAsia"/>
                <w:color w:val="000000" w:themeColor="text1"/>
                <w:sz w:val="21"/>
              </w:rPr>
              <w:t>物允许</w:t>
            </w:r>
            <w:proofErr w:type="gramEnd"/>
            <w:r w:rsidRPr="008A2411">
              <w:rPr>
                <w:rFonts w:eastAsia="宋体" w:hint="eastAsia"/>
                <w:color w:val="000000" w:themeColor="text1"/>
                <w:sz w:val="21"/>
              </w:rPr>
              <w:t>排放量</w:t>
            </w:r>
            <w:r w:rsidRPr="008A2411">
              <w:rPr>
                <w:rFonts w:eastAsia="宋体" w:hint="eastAsia"/>
                <w:color w:val="000000" w:themeColor="text1"/>
                <w:sz w:val="21"/>
              </w:rPr>
              <w:t>COD4396.41t</w:t>
            </w:r>
            <w:r w:rsidRPr="008A2411">
              <w:rPr>
                <w:rFonts w:eastAsia="宋体" w:hint="eastAsia"/>
                <w:color w:val="000000" w:themeColor="text1"/>
                <w:sz w:val="21"/>
              </w:rPr>
              <w:t>，氨氮</w:t>
            </w:r>
            <w:r w:rsidRPr="008A2411">
              <w:rPr>
                <w:rFonts w:eastAsia="宋体" w:hint="eastAsia"/>
                <w:color w:val="000000" w:themeColor="text1"/>
                <w:sz w:val="21"/>
              </w:rPr>
              <w:t>418.7t</w:t>
            </w:r>
            <w:r w:rsidRPr="008A2411">
              <w:rPr>
                <w:rFonts w:eastAsia="宋体" w:hint="eastAsia"/>
                <w:color w:val="000000" w:themeColor="text1"/>
                <w:sz w:val="21"/>
              </w:rPr>
              <w:t>，</w:t>
            </w:r>
            <w:r w:rsidRPr="008A2411">
              <w:rPr>
                <w:rFonts w:eastAsia="宋体" w:hint="eastAsia"/>
                <w:color w:val="000000" w:themeColor="text1"/>
                <w:sz w:val="21"/>
              </w:rPr>
              <w:t>TP45.36t</w:t>
            </w:r>
            <w:r w:rsidRPr="008A2411">
              <w:rPr>
                <w:rFonts w:eastAsia="宋体" w:hint="eastAsia"/>
                <w:color w:val="000000" w:themeColor="text1"/>
                <w:sz w:val="21"/>
              </w:rPr>
              <w:t>；达州市</w:t>
            </w:r>
            <w:r w:rsidRPr="008A2411">
              <w:rPr>
                <w:rFonts w:eastAsia="宋体" w:hint="eastAsia"/>
                <w:color w:val="000000" w:themeColor="text1"/>
                <w:sz w:val="21"/>
              </w:rPr>
              <w:t>2025</w:t>
            </w:r>
            <w:r w:rsidRPr="008A2411">
              <w:rPr>
                <w:rFonts w:eastAsia="宋体" w:hint="eastAsia"/>
                <w:color w:val="000000" w:themeColor="text1"/>
                <w:sz w:val="21"/>
              </w:rPr>
              <w:t>年大气污染物一次</w:t>
            </w:r>
            <w:r w:rsidRPr="008A2411">
              <w:rPr>
                <w:rFonts w:eastAsia="宋体" w:hint="eastAsia"/>
                <w:color w:val="000000" w:themeColor="text1"/>
                <w:sz w:val="21"/>
              </w:rPr>
              <w:t>PM2.5 5805t</w:t>
            </w:r>
            <w:r w:rsidRPr="008A2411">
              <w:rPr>
                <w:rFonts w:eastAsia="宋体" w:hint="eastAsia"/>
                <w:color w:val="000000" w:themeColor="text1"/>
                <w:sz w:val="21"/>
              </w:rPr>
              <w:t>、</w:t>
            </w:r>
            <w:r w:rsidRPr="008A2411">
              <w:rPr>
                <w:rFonts w:eastAsia="宋体" w:hint="eastAsia"/>
                <w:color w:val="000000" w:themeColor="text1"/>
                <w:sz w:val="21"/>
              </w:rPr>
              <w:t>SO2 12773t</w:t>
            </w:r>
            <w:r w:rsidRPr="008A2411">
              <w:rPr>
                <w:rFonts w:eastAsia="宋体" w:hint="eastAsia"/>
                <w:color w:val="000000" w:themeColor="text1"/>
                <w:sz w:val="21"/>
              </w:rPr>
              <w:t>、</w:t>
            </w:r>
            <w:r w:rsidRPr="008A2411">
              <w:rPr>
                <w:rFonts w:eastAsia="宋体" w:hint="eastAsia"/>
                <w:color w:val="000000" w:themeColor="text1"/>
                <w:sz w:val="21"/>
              </w:rPr>
              <w:t>NOx11892t</w:t>
            </w:r>
            <w:r w:rsidRPr="008A2411">
              <w:rPr>
                <w:rFonts w:eastAsia="宋体" w:hint="eastAsia"/>
                <w:color w:val="000000" w:themeColor="text1"/>
                <w:sz w:val="21"/>
              </w:rPr>
              <w:t>、</w:t>
            </w:r>
            <w:r w:rsidRPr="008A2411">
              <w:rPr>
                <w:rFonts w:eastAsia="宋体" w:hint="eastAsia"/>
                <w:color w:val="000000" w:themeColor="text1"/>
                <w:sz w:val="21"/>
              </w:rPr>
              <w:t>VOCs 13969t</w:t>
            </w:r>
          </w:p>
          <w:p w14:paraId="74BF334D"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现有源提标升级改造</w:t>
            </w:r>
          </w:p>
          <w:p w14:paraId="6620113F"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w:t>
            </w:r>
            <w:r w:rsidRPr="008A2411">
              <w:rPr>
                <w:rFonts w:eastAsia="宋体" w:hint="eastAsia"/>
                <w:color w:val="000000" w:themeColor="text1"/>
                <w:sz w:val="21"/>
              </w:rPr>
              <w:t>污水收集处理率达</w:t>
            </w:r>
            <w:r w:rsidRPr="008A2411">
              <w:rPr>
                <w:rFonts w:eastAsia="宋体" w:hint="eastAsia"/>
                <w:color w:val="000000" w:themeColor="text1"/>
                <w:sz w:val="21"/>
              </w:rPr>
              <w:t>100%</w:t>
            </w:r>
            <w:r w:rsidRPr="008A2411">
              <w:rPr>
                <w:rFonts w:eastAsia="宋体" w:hint="eastAsia"/>
                <w:color w:val="000000" w:themeColor="text1"/>
                <w:sz w:val="21"/>
              </w:rPr>
              <w:t>；</w:t>
            </w:r>
          </w:p>
          <w:p w14:paraId="77429CE3"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w:t>
            </w:r>
            <w:r w:rsidRPr="008A2411">
              <w:rPr>
                <w:rFonts w:eastAsia="宋体" w:hint="eastAsia"/>
                <w:color w:val="000000" w:themeColor="text1"/>
                <w:sz w:val="21"/>
              </w:rPr>
              <w:t>到</w:t>
            </w:r>
            <w:r w:rsidRPr="008A2411">
              <w:rPr>
                <w:rFonts w:eastAsia="宋体" w:hint="eastAsia"/>
                <w:color w:val="000000" w:themeColor="text1"/>
                <w:sz w:val="21"/>
              </w:rPr>
              <w:t>2025</w:t>
            </w:r>
            <w:r w:rsidRPr="008A2411">
              <w:rPr>
                <w:rFonts w:eastAsia="宋体" w:hint="eastAsia"/>
                <w:color w:val="000000" w:themeColor="text1"/>
                <w:sz w:val="21"/>
              </w:rPr>
              <w:t>年底前，现有钢铁行业</w:t>
            </w:r>
            <w:r w:rsidRPr="008A2411">
              <w:rPr>
                <w:rFonts w:eastAsia="宋体" w:hint="eastAsia"/>
                <w:color w:val="000000" w:themeColor="text1"/>
                <w:sz w:val="21"/>
              </w:rPr>
              <w:t>80%</w:t>
            </w:r>
            <w:r w:rsidRPr="008A2411">
              <w:rPr>
                <w:rFonts w:eastAsia="宋体" w:hint="eastAsia"/>
                <w:color w:val="000000" w:themeColor="text1"/>
                <w:sz w:val="21"/>
              </w:rPr>
              <w:t>以上产能完成超低排放改造，烧结机机头、球团焙烧烟气颗粒物、二氧化硫、氮氧化物排放浓度小时均值分别不高于</w:t>
            </w:r>
            <w:r w:rsidRPr="008A2411">
              <w:rPr>
                <w:rFonts w:eastAsia="宋体" w:hint="eastAsia"/>
                <w:color w:val="000000" w:themeColor="text1"/>
                <w:sz w:val="21"/>
              </w:rPr>
              <w:t>10</w:t>
            </w:r>
            <w:r w:rsidRPr="008A2411">
              <w:rPr>
                <w:rFonts w:eastAsia="宋体" w:hint="eastAsia"/>
                <w:color w:val="000000" w:themeColor="text1"/>
                <w:sz w:val="21"/>
              </w:rPr>
              <w:t>、</w:t>
            </w:r>
            <w:r w:rsidRPr="008A2411">
              <w:rPr>
                <w:rFonts w:eastAsia="宋体" w:hint="eastAsia"/>
                <w:color w:val="000000" w:themeColor="text1"/>
                <w:sz w:val="21"/>
              </w:rPr>
              <w:t>35</w:t>
            </w:r>
            <w:r w:rsidRPr="008A2411">
              <w:rPr>
                <w:rFonts w:eastAsia="宋体" w:hint="eastAsia"/>
                <w:color w:val="000000" w:themeColor="text1"/>
                <w:sz w:val="21"/>
              </w:rPr>
              <w:t>、</w:t>
            </w:r>
            <w:r w:rsidRPr="008A2411">
              <w:rPr>
                <w:rFonts w:eastAsia="宋体" w:hint="eastAsia"/>
                <w:color w:val="000000" w:themeColor="text1"/>
                <w:sz w:val="21"/>
              </w:rPr>
              <w:t>50</w:t>
            </w:r>
            <w:r w:rsidRPr="008A2411">
              <w:rPr>
                <w:rFonts w:eastAsia="宋体" w:hint="eastAsia"/>
                <w:color w:val="000000" w:themeColor="text1"/>
                <w:sz w:val="21"/>
              </w:rPr>
              <w:t>毫克立方米；其他主要污染源颗粒物、二氧化硫、氮氧化物排放浓度小时均值原则上分别不高于</w:t>
            </w:r>
            <w:r w:rsidRPr="008A2411">
              <w:rPr>
                <w:rFonts w:eastAsia="宋体" w:hint="eastAsia"/>
                <w:color w:val="000000" w:themeColor="text1"/>
                <w:sz w:val="21"/>
              </w:rPr>
              <w:t>10</w:t>
            </w:r>
            <w:r w:rsidRPr="008A2411">
              <w:rPr>
                <w:rFonts w:eastAsia="宋体" w:hint="eastAsia"/>
                <w:color w:val="000000" w:themeColor="text1"/>
                <w:sz w:val="21"/>
              </w:rPr>
              <w:t>、</w:t>
            </w:r>
            <w:r w:rsidRPr="008A2411">
              <w:rPr>
                <w:rFonts w:eastAsia="宋体" w:hint="eastAsia"/>
                <w:color w:val="000000" w:themeColor="text1"/>
                <w:sz w:val="21"/>
              </w:rPr>
              <w:t>50</w:t>
            </w:r>
            <w:r w:rsidRPr="008A2411">
              <w:rPr>
                <w:rFonts w:eastAsia="宋体" w:hint="eastAsia"/>
                <w:color w:val="000000" w:themeColor="text1"/>
                <w:sz w:val="21"/>
              </w:rPr>
              <w:t>、</w:t>
            </w:r>
            <w:r w:rsidRPr="008A2411">
              <w:rPr>
                <w:rFonts w:eastAsia="宋体" w:hint="eastAsia"/>
                <w:color w:val="000000" w:themeColor="text1"/>
                <w:sz w:val="21"/>
              </w:rPr>
              <w:t>200</w:t>
            </w:r>
            <w:r w:rsidRPr="008A2411">
              <w:rPr>
                <w:rFonts w:eastAsia="宋体" w:hint="eastAsia"/>
                <w:color w:val="000000" w:themeColor="text1"/>
                <w:sz w:val="21"/>
              </w:rPr>
              <w:t>毫克立方米。</w:t>
            </w:r>
          </w:p>
          <w:p w14:paraId="5189AC19"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w:t>
            </w:r>
            <w:r w:rsidRPr="008A2411">
              <w:rPr>
                <w:rFonts w:eastAsia="宋体" w:hint="eastAsia"/>
                <w:color w:val="000000" w:themeColor="text1"/>
                <w:sz w:val="21"/>
              </w:rPr>
              <w:t>有行业标准的工业炉窑，要求严格执行已有的行业排放标准，配套建设高效除尘脱硫脱硝设施，确保稳定达标排放。有排污许可证的，应严格执行许可要求。暂没有行业标准的，要</w:t>
            </w:r>
            <w:r w:rsidRPr="008A2411">
              <w:rPr>
                <w:rFonts w:eastAsia="宋体" w:hint="eastAsia"/>
                <w:color w:val="000000" w:themeColor="text1"/>
                <w:sz w:val="21"/>
              </w:rPr>
              <w:lastRenderedPageBreak/>
              <w:t>求参照有关行业标准执行，其中，铸造行业烧结、高炉工序污染排放控制按照钢铁行业相关标准要求执行；颗粒物、二氧化硫、氮氧化物排放限值分别不高于</w:t>
            </w:r>
            <w:r w:rsidRPr="008A2411">
              <w:rPr>
                <w:rFonts w:eastAsia="宋体" w:hint="eastAsia"/>
                <w:color w:val="000000" w:themeColor="text1"/>
                <w:sz w:val="21"/>
              </w:rPr>
              <w:t>30</w:t>
            </w:r>
            <w:r w:rsidRPr="008A2411">
              <w:rPr>
                <w:rFonts w:eastAsia="宋体" w:hint="eastAsia"/>
                <w:color w:val="000000" w:themeColor="text1"/>
                <w:sz w:val="21"/>
              </w:rPr>
              <w:t>、</w:t>
            </w:r>
            <w:r w:rsidRPr="008A2411">
              <w:rPr>
                <w:rFonts w:eastAsia="宋体" w:hint="eastAsia"/>
                <w:color w:val="000000" w:themeColor="text1"/>
                <w:sz w:val="21"/>
              </w:rPr>
              <w:t>200</w:t>
            </w:r>
            <w:r w:rsidRPr="008A2411">
              <w:rPr>
                <w:rFonts w:eastAsia="宋体" w:hint="eastAsia"/>
                <w:color w:val="000000" w:themeColor="text1"/>
                <w:sz w:val="21"/>
              </w:rPr>
              <w:t>、</w:t>
            </w:r>
            <w:r w:rsidRPr="008A2411">
              <w:rPr>
                <w:rFonts w:eastAsia="宋体" w:hint="eastAsia"/>
                <w:color w:val="000000" w:themeColor="text1"/>
                <w:sz w:val="21"/>
              </w:rPr>
              <w:t>300</w:t>
            </w:r>
            <w:r w:rsidRPr="008A2411">
              <w:rPr>
                <w:rFonts w:eastAsia="宋体" w:hint="eastAsia"/>
                <w:color w:val="000000" w:themeColor="text1"/>
                <w:sz w:val="21"/>
              </w:rPr>
              <w:t>毫克立方米实施改造，其中，日用玻璃、玻璃棉氮氧化物排放限值不高于</w:t>
            </w:r>
            <w:r w:rsidRPr="008A2411">
              <w:rPr>
                <w:rFonts w:eastAsia="宋体" w:hint="eastAsia"/>
                <w:color w:val="000000" w:themeColor="text1"/>
                <w:sz w:val="21"/>
              </w:rPr>
              <w:t>400</w:t>
            </w:r>
            <w:r w:rsidRPr="008A2411">
              <w:rPr>
                <w:rFonts w:eastAsia="宋体" w:hint="eastAsia"/>
                <w:color w:val="000000" w:themeColor="text1"/>
                <w:sz w:val="21"/>
              </w:rPr>
              <w:t>毫克立方米。</w:t>
            </w:r>
          </w:p>
          <w:p w14:paraId="299C09D5" w14:textId="77777777" w:rsidR="00B0005F" w:rsidRPr="008A2411" w:rsidRDefault="00B0005F">
            <w:pPr>
              <w:pStyle w:val="Normal00"/>
              <w:widowControl/>
              <w:spacing w:line="240" w:lineRule="auto"/>
              <w:ind w:firstLineChars="0" w:firstLine="0"/>
              <w:jc w:val="left"/>
              <w:rPr>
                <w:rFonts w:eastAsia="宋体"/>
                <w:color w:val="000000" w:themeColor="text1"/>
                <w:sz w:val="21"/>
              </w:rPr>
            </w:pPr>
          </w:p>
          <w:p w14:paraId="6232068B"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其他污染物排放管控要求</w:t>
            </w:r>
          </w:p>
          <w:p w14:paraId="3431FE5B"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新增源等量或</w:t>
            </w:r>
            <w:proofErr w:type="gramStart"/>
            <w:r w:rsidRPr="008A2411">
              <w:rPr>
                <w:rFonts w:eastAsia="宋体" w:hint="eastAsia"/>
                <w:color w:val="000000" w:themeColor="text1"/>
                <w:sz w:val="21"/>
              </w:rPr>
              <w:t>倍</w:t>
            </w:r>
            <w:proofErr w:type="gramEnd"/>
            <w:r w:rsidRPr="008A2411">
              <w:rPr>
                <w:rFonts w:eastAsia="宋体" w:hint="eastAsia"/>
                <w:color w:val="000000" w:themeColor="text1"/>
                <w:sz w:val="21"/>
              </w:rPr>
              <w:t>量替代</w:t>
            </w:r>
            <w:r w:rsidRPr="008A2411">
              <w:rPr>
                <w:rFonts w:eastAsia="宋体" w:hint="eastAsia"/>
                <w:color w:val="000000" w:themeColor="text1"/>
                <w:sz w:val="21"/>
              </w:rPr>
              <w:t>:</w:t>
            </w:r>
            <w:r w:rsidRPr="008A2411">
              <w:rPr>
                <w:rFonts w:eastAsia="宋体" w:hint="eastAsia"/>
                <w:color w:val="000000" w:themeColor="text1"/>
                <w:sz w:val="21"/>
              </w:rPr>
              <w:t>上一年度水环境质量未完成目标的，新建排放水污染的建设项目按照总量管</w:t>
            </w:r>
            <w:proofErr w:type="gramStart"/>
            <w:r w:rsidRPr="008A2411">
              <w:rPr>
                <w:rFonts w:eastAsia="宋体" w:hint="eastAsia"/>
                <w:color w:val="000000" w:themeColor="text1"/>
                <w:sz w:val="21"/>
              </w:rPr>
              <w:t>控要求</w:t>
            </w:r>
            <w:proofErr w:type="gramEnd"/>
            <w:r w:rsidRPr="008A2411">
              <w:rPr>
                <w:rFonts w:eastAsia="宋体" w:hint="eastAsia"/>
                <w:color w:val="000000" w:themeColor="text1"/>
                <w:sz w:val="21"/>
              </w:rPr>
              <w:t>进行</w:t>
            </w:r>
            <w:proofErr w:type="gramStart"/>
            <w:r w:rsidRPr="008A2411">
              <w:rPr>
                <w:rFonts w:eastAsia="宋体" w:hint="eastAsia"/>
                <w:color w:val="000000" w:themeColor="text1"/>
                <w:sz w:val="21"/>
              </w:rPr>
              <w:t>倍</w:t>
            </w:r>
            <w:proofErr w:type="gramEnd"/>
            <w:r w:rsidRPr="008A2411">
              <w:rPr>
                <w:rFonts w:eastAsia="宋体" w:hint="eastAsia"/>
                <w:color w:val="000000" w:themeColor="text1"/>
                <w:sz w:val="21"/>
              </w:rPr>
              <w:t>量削减替代。</w:t>
            </w:r>
          </w:p>
          <w:p w14:paraId="7CF7A632"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上一年度空气质量年平均浓度不达标的城市，建设项目新增相关污染物按照总量管</w:t>
            </w:r>
            <w:proofErr w:type="gramStart"/>
            <w:r w:rsidRPr="008A2411">
              <w:rPr>
                <w:rFonts w:eastAsia="宋体" w:hint="eastAsia"/>
                <w:color w:val="000000" w:themeColor="text1"/>
                <w:sz w:val="21"/>
              </w:rPr>
              <w:t>控要求</w:t>
            </w:r>
            <w:proofErr w:type="gramEnd"/>
            <w:r w:rsidRPr="008A2411">
              <w:rPr>
                <w:rFonts w:eastAsia="宋体" w:hint="eastAsia"/>
                <w:color w:val="000000" w:themeColor="text1"/>
                <w:sz w:val="21"/>
              </w:rPr>
              <w:t>进行</w:t>
            </w:r>
            <w:proofErr w:type="gramStart"/>
            <w:r w:rsidRPr="008A2411">
              <w:rPr>
                <w:rFonts w:eastAsia="宋体" w:hint="eastAsia"/>
                <w:color w:val="000000" w:themeColor="text1"/>
                <w:sz w:val="21"/>
              </w:rPr>
              <w:t>倍</w:t>
            </w:r>
            <w:proofErr w:type="gramEnd"/>
            <w:r w:rsidRPr="008A2411">
              <w:rPr>
                <w:rFonts w:eastAsia="宋体" w:hint="eastAsia"/>
                <w:color w:val="000000" w:themeColor="text1"/>
                <w:sz w:val="21"/>
              </w:rPr>
              <w:t>量削减替代。</w:t>
            </w:r>
            <w:r w:rsidRPr="008A2411">
              <w:rPr>
                <w:rFonts w:eastAsia="宋体" w:hint="eastAsia"/>
                <w:color w:val="000000" w:themeColor="text1"/>
                <w:sz w:val="21"/>
              </w:rPr>
              <w:t xml:space="preserve">                </w:t>
            </w:r>
          </w:p>
          <w:p w14:paraId="43AFD4C2"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对新建排放二氧化硫、氮氧化物、工业烟粉尘和</w:t>
            </w:r>
            <w:r w:rsidRPr="008A2411">
              <w:rPr>
                <w:rFonts w:eastAsia="宋体" w:hint="eastAsia"/>
                <w:color w:val="000000" w:themeColor="text1"/>
                <w:sz w:val="21"/>
              </w:rPr>
              <w:t>VOCs</w:t>
            </w:r>
            <w:r w:rsidRPr="008A2411">
              <w:rPr>
                <w:rFonts w:eastAsia="宋体" w:hint="eastAsia"/>
                <w:color w:val="000000" w:themeColor="text1"/>
                <w:sz w:val="21"/>
              </w:rPr>
              <w:t>的项目实施现役源</w:t>
            </w:r>
            <w:proofErr w:type="gramStart"/>
            <w:r w:rsidRPr="008A2411">
              <w:rPr>
                <w:rFonts w:eastAsia="宋体" w:hint="eastAsia"/>
                <w:color w:val="000000" w:themeColor="text1"/>
                <w:sz w:val="21"/>
              </w:rPr>
              <w:t>倍</w:t>
            </w:r>
            <w:proofErr w:type="gramEnd"/>
            <w:r w:rsidRPr="008A2411">
              <w:rPr>
                <w:rFonts w:eastAsia="宋体" w:hint="eastAsia"/>
                <w:color w:val="000000" w:themeColor="text1"/>
                <w:sz w:val="21"/>
              </w:rPr>
              <w:t>量削减量替代。严禁钢铁、水泥、电解铝、平板玻璃等行业新增产能，对确有必要新建的必须实施等量或减量置换，防范过生和落后产能跨地区转移</w:t>
            </w:r>
            <w:r w:rsidRPr="008A2411">
              <w:rPr>
                <w:rFonts w:eastAsia="宋体" w:hint="eastAsia"/>
                <w:color w:val="000000" w:themeColor="text1"/>
                <w:sz w:val="21"/>
              </w:rPr>
              <w:t xml:space="preserve">.                                         </w:t>
            </w:r>
          </w:p>
          <w:p w14:paraId="4B81F569"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污染物排放绩效水平准入要求</w:t>
            </w:r>
            <w:r w:rsidRPr="008A2411">
              <w:rPr>
                <w:rFonts w:eastAsia="宋体" w:hint="eastAsia"/>
                <w:color w:val="000000" w:themeColor="text1"/>
                <w:sz w:val="21"/>
              </w:rPr>
              <w:t>:</w:t>
            </w:r>
            <w:r w:rsidRPr="008A2411">
              <w:rPr>
                <w:rFonts w:eastAsia="宋体" w:hint="eastAsia"/>
                <w:color w:val="000000" w:themeColor="text1"/>
                <w:sz w:val="21"/>
              </w:rPr>
              <w:t>新、改扩建项目污染排放指标满足《四川省省级生态工业园区指标》综合类生态工业园区要求。工业固体废弃物利用处置率达</w:t>
            </w:r>
            <w:r w:rsidRPr="008A2411">
              <w:rPr>
                <w:rFonts w:eastAsia="宋体" w:hint="eastAsia"/>
                <w:color w:val="000000" w:themeColor="text1"/>
                <w:sz w:val="21"/>
              </w:rPr>
              <w:t>100%</w:t>
            </w:r>
            <w:r w:rsidRPr="008A2411">
              <w:rPr>
                <w:rFonts w:eastAsia="宋体" w:hint="eastAsia"/>
                <w:color w:val="000000" w:themeColor="text1"/>
                <w:sz w:val="21"/>
              </w:rPr>
              <w:t>，危险废物处置率达</w:t>
            </w:r>
            <w:r w:rsidRPr="008A2411">
              <w:rPr>
                <w:rFonts w:eastAsia="宋体" w:hint="eastAsia"/>
                <w:color w:val="000000" w:themeColor="text1"/>
                <w:sz w:val="21"/>
              </w:rPr>
              <w:t>100%</w:t>
            </w:r>
            <w:r w:rsidRPr="008A2411">
              <w:rPr>
                <w:rFonts w:eastAsia="宋体" w:hint="eastAsia"/>
                <w:color w:val="000000" w:themeColor="text1"/>
                <w:sz w:val="21"/>
              </w:rPr>
              <w:t>。</w:t>
            </w:r>
            <w:r w:rsidRPr="008A2411">
              <w:rPr>
                <w:rFonts w:eastAsia="宋体" w:hint="eastAsia"/>
                <w:color w:val="000000" w:themeColor="text1"/>
                <w:sz w:val="21"/>
              </w:rPr>
              <w:t xml:space="preserve">          </w:t>
            </w:r>
          </w:p>
          <w:p w14:paraId="53B09C4D"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国家大气污染防治重点区域</w:t>
            </w:r>
            <w:r w:rsidRPr="008A2411">
              <w:rPr>
                <w:rFonts w:eastAsia="宋体" w:hint="eastAsia"/>
                <w:color w:val="000000" w:themeColor="text1"/>
                <w:sz w:val="21"/>
              </w:rPr>
              <w:t>(</w:t>
            </w:r>
            <w:r w:rsidRPr="008A2411">
              <w:rPr>
                <w:rFonts w:eastAsia="宋体" w:hint="eastAsia"/>
                <w:color w:val="000000" w:themeColor="text1"/>
                <w:sz w:val="21"/>
              </w:rPr>
              <w:t>以下</w:t>
            </w:r>
            <w:proofErr w:type="gramStart"/>
            <w:r w:rsidRPr="008A2411">
              <w:rPr>
                <w:rFonts w:eastAsia="宋体" w:hint="eastAsia"/>
                <w:color w:val="000000" w:themeColor="text1"/>
                <w:sz w:val="21"/>
              </w:rPr>
              <w:t>称重点</w:t>
            </w:r>
            <w:proofErr w:type="gramEnd"/>
            <w:r w:rsidRPr="008A2411">
              <w:rPr>
                <w:rFonts w:eastAsia="宋体" w:hint="eastAsia"/>
                <w:color w:val="000000" w:themeColor="text1"/>
                <w:sz w:val="21"/>
              </w:rPr>
              <w:t>区域</w:t>
            </w:r>
            <w:r w:rsidRPr="008A2411">
              <w:rPr>
                <w:rFonts w:eastAsia="宋体" w:hint="eastAsia"/>
                <w:color w:val="000000" w:themeColor="text1"/>
                <w:sz w:val="21"/>
              </w:rPr>
              <w:t>)</w:t>
            </w:r>
            <w:r w:rsidRPr="008A2411">
              <w:rPr>
                <w:rFonts w:eastAsia="宋体" w:hint="eastAsia"/>
                <w:color w:val="000000" w:themeColor="text1"/>
                <w:sz w:val="21"/>
              </w:rPr>
              <w:t>内新建耗煤项目还应严格按规定采取煤炭消费减量替代措施，不得使用高污染燃料作为煤炭减量替代措施</w:t>
            </w:r>
            <w:r w:rsidRPr="008A2411">
              <w:rPr>
                <w:rFonts w:eastAsia="宋体" w:hint="eastAsia"/>
                <w:color w:val="000000" w:themeColor="text1"/>
                <w:sz w:val="21"/>
              </w:rPr>
              <w:t>;</w:t>
            </w:r>
            <w:r w:rsidRPr="008A2411">
              <w:rPr>
                <w:rFonts w:eastAsia="宋体" w:hint="eastAsia"/>
                <w:color w:val="000000" w:themeColor="text1"/>
                <w:sz w:val="21"/>
              </w:rPr>
              <w:t>重点区域执行大气污染</w:t>
            </w:r>
            <w:proofErr w:type="gramStart"/>
            <w:r w:rsidRPr="008A2411">
              <w:rPr>
                <w:rFonts w:eastAsia="宋体" w:hint="eastAsia"/>
                <w:color w:val="000000" w:themeColor="text1"/>
                <w:sz w:val="21"/>
              </w:rPr>
              <w:t>物特别</w:t>
            </w:r>
            <w:proofErr w:type="gramEnd"/>
            <w:r w:rsidRPr="008A2411">
              <w:rPr>
                <w:rFonts w:eastAsia="宋体" w:hint="eastAsia"/>
                <w:color w:val="000000" w:themeColor="text1"/>
                <w:sz w:val="21"/>
              </w:rPr>
              <w:t>排放限值，严禁新增钢铁、电力、水泥、玻璃、砖瓦、陶瓷、焦化、电解铝、有色等重点行业大气污染物排放。</w:t>
            </w:r>
            <w:r w:rsidRPr="008A2411">
              <w:rPr>
                <w:rFonts w:eastAsia="宋体" w:hint="eastAsia"/>
                <w:color w:val="000000" w:themeColor="text1"/>
                <w:sz w:val="21"/>
              </w:rPr>
              <w:t xml:space="preserve">                                                                         </w:t>
            </w:r>
            <w:r w:rsidRPr="008A2411">
              <w:rPr>
                <w:rFonts w:eastAsia="宋体" w:hint="eastAsia"/>
                <w:color w:val="000000" w:themeColor="text1"/>
                <w:sz w:val="21"/>
              </w:rPr>
              <w:t>钢铁行业新建应参考达州市“三线一单”生态环境分区管控中钢铁行业资源环境绩效准入门槛。</w:t>
            </w:r>
            <w:r w:rsidRPr="008A2411">
              <w:rPr>
                <w:rFonts w:eastAsia="宋体" w:hint="eastAsia"/>
                <w:color w:val="000000" w:themeColor="text1"/>
                <w:sz w:val="21"/>
              </w:rPr>
              <w:t xml:space="preserve">                         </w:t>
            </w:r>
          </w:p>
          <w:p w14:paraId="39692A0A"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 xml:space="preserve"> 2030</w:t>
            </w:r>
            <w:r w:rsidRPr="008A2411">
              <w:rPr>
                <w:rFonts w:eastAsia="宋体" w:hint="eastAsia"/>
                <w:color w:val="000000" w:themeColor="text1"/>
                <w:sz w:val="21"/>
              </w:rPr>
              <w:t>年，渠江流域用水总量控制在</w:t>
            </w:r>
            <w:r w:rsidRPr="008A2411">
              <w:rPr>
                <w:rFonts w:eastAsia="宋体" w:hint="eastAsia"/>
                <w:color w:val="000000" w:themeColor="text1"/>
                <w:sz w:val="21"/>
              </w:rPr>
              <w:t>31.61</w:t>
            </w:r>
            <w:r w:rsidRPr="008A2411">
              <w:rPr>
                <w:rFonts w:eastAsia="宋体" w:hint="eastAsia"/>
                <w:color w:val="000000" w:themeColor="text1"/>
                <w:sz w:val="21"/>
              </w:rPr>
              <w:t>亿立方米以内，渠江干流</w:t>
            </w:r>
            <w:r w:rsidRPr="008A2411">
              <w:rPr>
                <w:rFonts w:eastAsia="宋体" w:hint="eastAsia"/>
                <w:color w:val="000000" w:themeColor="text1"/>
                <w:sz w:val="21"/>
              </w:rPr>
              <w:t>COD</w:t>
            </w:r>
            <w:r w:rsidRPr="008A2411">
              <w:rPr>
                <w:rFonts w:eastAsia="宋体" w:hint="eastAsia"/>
                <w:color w:val="000000" w:themeColor="text1"/>
                <w:sz w:val="21"/>
              </w:rPr>
              <w:t>排放总量限制在</w:t>
            </w:r>
            <w:r w:rsidRPr="008A2411">
              <w:rPr>
                <w:rFonts w:eastAsia="宋体" w:hint="eastAsia"/>
                <w:color w:val="000000" w:themeColor="text1"/>
                <w:sz w:val="21"/>
              </w:rPr>
              <w:t>4.89</w:t>
            </w:r>
            <w:r w:rsidRPr="008A2411">
              <w:rPr>
                <w:rFonts w:eastAsia="宋体" w:hint="eastAsia"/>
                <w:color w:val="000000" w:themeColor="text1"/>
                <w:sz w:val="21"/>
              </w:rPr>
              <w:t>万</w:t>
            </w:r>
            <w:r w:rsidRPr="008A2411">
              <w:rPr>
                <w:rFonts w:eastAsia="宋体" w:hint="eastAsia"/>
                <w:color w:val="000000" w:themeColor="text1"/>
                <w:sz w:val="21"/>
              </w:rPr>
              <w:t>ta</w:t>
            </w:r>
            <w:r w:rsidRPr="008A2411">
              <w:rPr>
                <w:rFonts w:eastAsia="宋体" w:hint="eastAsia"/>
                <w:color w:val="000000" w:themeColor="text1"/>
                <w:sz w:val="21"/>
              </w:rPr>
              <w:t>内、氨氮排放总量限制在</w:t>
            </w:r>
            <w:r w:rsidRPr="008A2411">
              <w:rPr>
                <w:rFonts w:eastAsia="宋体" w:hint="eastAsia"/>
                <w:color w:val="000000" w:themeColor="text1"/>
                <w:sz w:val="21"/>
              </w:rPr>
              <w:t>0.54</w:t>
            </w:r>
            <w:r w:rsidRPr="008A2411">
              <w:rPr>
                <w:rFonts w:eastAsia="宋体" w:hint="eastAsia"/>
                <w:color w:val="000000" w:themeColor="text1"/>
                <w:sz w:val="21"/>
              </w:rPr>
              <w:t>万</w:t>
            </w:r>
            <w:r w:rsidRPr="008A2411">
              <w:rPr>
                <w:rFonts w:eastAsia="宋体" w:hint="eastAsia"/>
                <w:color w:val="000000" w:themeColor="text1"/>
                <w:sz w:val="21"/>
              </w:rPr>
              <w:t>ta</w:t>
            </w:r>
            <w:r w:rsidRPr="008A2411">
              <w:rPr>
                <w:rFonts w:eastAsia="宋体" w:hint="eastAsia"/>
                <w:color w:val="000000" w:themeColor="text1"/>
                <w:sz w:val="21"/>
              </w:rPr>
              <w:t>内。全面推进节水型社会建设，加强河湖（库）水域岸线保护及管理，加强入河排污口规范化建设，加强工业污染、农业农村污染、船舶港口污染防治。对流域内饮用水源地进行有效保护及规范化建设。</w:t>
            </w:r>
          </w:p>
          <w:p w14:paraId="127E82F9" w14:textId="77777777" w:rsidR="00B0005F" w:rsidRPr="008A2411" w:rsidRDefault="00B0005F">
            <w:pPr>
              <w:pStyle w:val="Normal00"/>
              <w:widowControl/>
              <w:spacing w:line="240" w:lineRule="auto"/>
              <w:ind w:firstLineChars="0" w:firstLine="0"/>
              <w:jc w:val="left"/>
              <w:rPr>
                <w:rFonts w:eastAsia="宋体"/>
                <w:color w:val="000000" w:themeColor="text1"/>
                <w:sz w:val="21"/>
              </w:rPr>
            </w:pPr>
          </w:p>
        </w:tc>
        <w:tc>
          <w:tcPr>
            <w:tcW w:w="748" w:type="pct"/>
            <w:vAlign w:val="center"/>
          </w:tcPr>
          <w:p w14:paraId="1A734CEC" w14:textId="77777777" w:rsidR="00B0005F" w:rsidRPr="008A2411" w:rsidRDefault="00000000">
            <w:pPr>
              <w:pStyle w:val="Normal00"/>
              <w:widowControl/>
              <w:spacing w:line="240" w:lineRule="auto"/>
              <w:ind w:firstLineChars="0" w:firstLine="0"/>
              <w:jc w:val="center"/>
              <w:rPr>
                <w:rFonts w:eastAsia="宋体"/>
                <w:color w:val="000000" w:themeColor="text1"/>
                <w:sz w:val="21"/>
              </w:rPr>
            </w:pPr>
            <w:r w:rsidRPr="008A2411">
              <w:rPr>
                <w:rFonts w:eastAsia="宋体"/>
                <w:color w:val="000000" w:themeColor="text1"/>
                <w:sz w:val="21"/>
              </w:rPr>
              <w:lastRenderedPageBreak/>
              <w:t>本项目为天然气液化加工生产项目，</w:t>
            </w:r>
            <w:r w:rsidRPr="008A2411">
              <w:rPr>
                <w:rFonts w:eastAsia="宋体"/>
                <w:snapToGrid w:val="0"/>
                <w:color w:val="000000" w:themeColor="text1"/>
                <w:sz w:val="21"/>
              </w:rPr>
              <w:t>不属于</w:t>
            </w:r>
            <w:r w:rsidRPr="008A2411">
              <w:rPr>
                <w:rFonts w:eastAsia="宋体" w:hint="eastAsia"/>
                <w:color w:val="000000" w:themeColor="text1"/>
                <w:sz w:val="21"/>
              </w:rPr>
              <w:t>钢铁、电力、水泥、玻璃、砖瓦、陶瓷、焦化、电解铝、有色等重点行业</w:t>
            </w:r>
            <w:r w:rsidRPr="008A2411">
              <w:rPr>
                <w:rFonts w:eastAsia="宋体"/>
                <w:snapToGrid w:val="0"/>
                <w:color w:val="000000" w:themeColor="text1"/>
                <w:sz w:val="21"/>
              </w:rPr>
              <w:t>。</w:t>
            </w:r>
          </w:p>
        </w:tc>
        <w:tc>
          <w:tcPr>
            <w:tcW w:w="399" w:type="pct"/>
            <w:vMerge/>
            <w:vAlign w:val="center"/>
          </w:tcPr>
          <w:p w14:paraId="545AB1A1" w14:textId="77777777" w:rsidR="00B0005F" w:rsidRPr="008A2411" w:rsidRDefault="00B0005F">
            <w:pPr>
              <w:pStyle w:val="Normal00"/>
              <w:spacing w:line="240" w:lineRule="auto"/>
              <w:ind w:firstLine="420"/>
              <w:jc w:val="center"/>
              <w:rPr>
                <w:rFonts w:eastAsia="宋体"/>
                <w:color w:val="000000" w:themeColor="text1"/>
                <w:sz w:val="21"/>
              </w:rPr>
            </w:pPr>
          </w:p>
        </w:tc>
      </w:tr>
      <w:tr w:rsidR="008A2411" w:rsidRPr="008A2411" w14:paraId="212169B8" w14:textId="77777777">
        <w:trPr>
          <w:jc w:val="center"/>
        </w:trPr>
        <w:tc>
          <w:tcPr>
            <w:tcW w:w="375" w:type="pct"/>
            <w:vMerge/>
            <w:vAlign w:val="center"/>
          </w:tcPr>
          <w:p w14:paraId="366BD1D3" w14:textId="77777777" w:rsidR="00B0005F" w:rsidRPr="008A2411" w:rsidRDefault="00B0005F">
            <w:pPr>
              <w:jc w:val="center"/>
              <w:rPr>
                <w:rFonts w:ascii="Times New Roman"/>
                <w:snapToGrid w:val="0"/>
                <w:color w:val="000000" w:themeColor="text1"/>
                <w:sz w:val="21"/>
                <w:szCs w:val="21"/>
              </w:rPr>
            </w:pPr>
          </w:p>
        </w:tc>
        <w:tc>
          <w:tcPr>
            <w:tcW w:w="528" w:type="pct"/>
            <w:vMerge/>
            <w:vAlign w:val="center"/>
          </w:tcPr>
          <w:p w14:paraId="615D499E" w14:textId="77777777" w:rsidR="00B0005F" w:rsidRPr="008A2411" w:rsidRDefault="00B0005F">
            <w:pPr>
              <w:jc w:val="center"/>
              <w:rPr>
                <w:rFonts w:ascii="Times New Roman"/>
                <w:color w:val="000000" w:themeColor="text1"/>
                <w:kern w:val="2"/>
                <w:sz w:val="21"/>
                <w:szCs w:val="21"/>
              </w:rPr>
            </w:pPr>
          </w:p>
        </w:tc>
        <w:tc>
          <w:tcPr>
            <w:tcW w:w="414" w:type="pct"/>
            <w:vAlign w:val="center"/>
          </w:tcPr>
          <w:p w14:paraId="52DE148E" w14:textId="77777777" w:rsidR="00B0005F" w:rsidRPr="008A2411" w:rsidRDefault="00000000">
            <w:pPr>
              <w:jc w:val="center"/>
              <w:rPr>
                <w:rFonts w:ascii="Times New Roman"/>
                <w:color w:val="000000" w:themeColor="text1"/>
                <w:kern w:val="2"/>
                <w:sz w:val="21"/>
                <w:szCs w:val="21"/>
              </w:rPr>
            </w:pPr>
            <w:r w:rsidRPr="008A2411">
              <w:rPr>
                <w:rFonts w:ascii="Times New Roman"/>
                <w:color w:val="000000" w:themeColor="text1"/>
                <w:sz w:val="21"/>
                <w:szCs w:val="21"/>
              </w:rPr>
              <w:t>环境风险防控</w:t>
            </w:r>
          </w:p>
        </w:tc>
        <w:tc>
          <w:tcPr>
            <w:tcW w:w="2536" w:type="pct"/>
            <w:vAlign w:val="center"/>
          </w:tcPr>
          <w:p w14:paraId="2CC7637A"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环境风险防控：</w:t>
            </w:r>
          </w:p>
          <w:p w14:paraId="78401BA1"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联防联控要求</w:t>
            </w:r>
          </w:p>
          <w:p w14:paraId="4E70E74C"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强化区域联防联控，严格落实《关于建立跨省流域上下游突发水污染事件联防联控机制的指导意见》；定期召开区域大气环境形式分析</w:t>
            </w:r>
            <w:r w:rsidRPr="008A2411">
              <w:rPr>
                <w:rFonts w:eastAsia="宋体" w:hint="eastAsia"/>
                <w:color w:val="000000" w:themeColor="text1"/>
                <w:sz w:val="21"/>
              </w:rPr>
              <w:lastRenderedPageBreak/>
              <w:t>会，强化信息共享和联动合作，实行环境规划，标准，环评，执法，信息公开“六统一”，协力推进大气污染源头防控，加强川东北区域大气污染防止合作</w:t>
            </w:r>
          </w:p>
          <w:p w14:paraId="5C663988"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其他环境风险防控要求</w:t>
            </w:r>
          </w:p>
          <w:p w14:paraId="58B9F7F6"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企业环境风险防控要求</w:t>
            </w:r>
            <w:r w:rsidRPr="008A2411">
              <w:rPr>
                <w:rFonts w:eastAsia="宋体" w:hint="eastAsia"/>
                <w:color w:val="000000" w:themeColor="text1"/>
                <w:sz w:val="21"/>
              </w:rPr>
              <w:t>:</w:t>
            </w:r>
            <w:r w:rsidRPr="008A2411">
              <w:rPr>
                <w:rFonts w:eastAsia="宋体" w:hint="eastAsia"/>
                <w:color w:val="000000" w:themeColor="text1"/>
                <w:sz w:val="21"/>
              </w:rPr>
              <w:t>涉及有毒有害、易燃易爆物质新建、改扩建项目，严控准入要求。（根据《</w:t>
            </w:r>
            <w:r w:rsidRPr="008A2411">
              <w:rPr>
                <w:rFonts w:eastAsia="宋体" w:hint="eastAsia"/>
                <w:color w:val="000000" w:themeColor="text1"/>
                <w:sz w:val="21"/>
              </w:rPr>
              <w:t>GB 8978-2002</w:t>
            </w:r>
            <w:r w:rsidRPr="008A2411">
              <w:rPr>
                <w:rFonts w:eastAsia="宋体" w:hint="eastAsia"/>
                <w:color w:val="000000" w:themeColor="text1"/>
                <w:sz w:val="21"/>
              </w:rPr>
              <w:t>》中第一类污染物以及《优先控制化学品名录》、《有毒有害大气污染物名录》、《有毒有害水污染物名录》确定）。对钢铁、焦化平板玻璃、铜铅锌硅冶炼等环境影响大或环境风险高的项目类别，不得以改革试点名义随意下放环评审批权限或降低审批要求。园区环境风险防控要求</w:t>
            </w:r>
            <w:r w:rsidRPr="008A2411">
              <w:rPr>
                <w:rFonts w:eastAsia="宋体" w:hint="eastAsia"/>
                <w:color w:val="000000" w:themeColor="text1"/>
                <w:sz w:val="21"/>
              </w:rPr>
              <w:t>:</w:t>
            </w:r>
            <w:r w:rsidRPr="008A2411">
              <w:rPr>
                <w:rFonts w:eastAsia="宋体" w:hint="eastAsia"/>
                <w:color w:val="000000" w:themeColor="text1"/>
                <w:sz w:val="21"/>
              </w:rPr>
              <w:t>园区风险防控体系要求：构建三级环境风险防控体系，强化</w:t>
            </w:r>
            <w:proofErr w:type="gramStart"/>
            <w:r w:rsidRPr="008A2411">
              <w:rPr>
                <w:rFonts w:eastAsia="宋体" w:hint="eastAsia"/>
                <w:color w:val="000000" w:themeColor="text1"/>
                <w:sz w:val="21"/>
              </w:rPr>
              <w:t>危化品</w:t>
            </w:r>
            <w:proofErr w:type="gramEnd"/>
            <w:r w:rsidRPr="008A2411">
              <w:rPr>
                <w:rFonts w:eastAsia="宋体" w:hint="eastAsia"/>
                <w:color w:val="000000" w:themeColor="text1"/>
                <w:sz w:val="21"/>
              </w:rPr>
              <w:t>泄漏应急处置措施，确保风险可控。针对化工园区进一步强化风险防控。杜绝</w:t>
            </w:r>
            <w:proofErr w:type="gramStart"/>
            <w:r w:rsidRPr="008A2411">
              <w:rPr>
                <w:rFonts w:eastAsia="宋体" w:hint="eastAsia"/>
                <w:color w:val="000000" w:themeColor="text1"/>
                <w:sz w:val="21"/>
              </w:rPr>
              <w:t>危化品</w:t>
            </w:r>
            <w:proofErr w:type="gramEnd"/>
            <w:r w:rsidRPr="008A2411">
              <w:rPr>
                <w:rFonts w:eastAsia="宋体" w:hint="eastAsia"/>
                <w:color w:val="000000" w:themeColor="text1"/>
                <w:sz w:val="21"/>
              </w:rPr>
              <w:t>泄漏、事故排放等，确保环境安全。用地环境风险防控要求</w:t>
            </w:r>
            <w:r w:rsidRPr="008A2411">
              <w:rPr>
                <w:rFonts w:eastAsia="宋体" w:hint="eastAsia"/>
                <w:color w:val="000000" w:themeColor="text1"/>
                <w:sz w:val="21"/>
              </w:rPr>
              <w:t>:</w:t>
            </w:r>
            <w:r w:rsidRPr="008A2411">
              <w:rPr>
                <w:rFonts w:eastAsia="宋体" w:hint="eastAsia"/>
                <w:color w:val="000000" w:themeColor="text1"/>
                <w:sz w:val="21"/>
              </w:rPr>
              <w:t>化工、电镀等行业企业拆除生产设施设备、构筑物和污染治理设施，要事先制定残留污染物清理和安全处置方案，要严格按照有关规定实施安全处理处置，防范拆除活动污染土壤。有色金属矿采选、有色金属冶炼、石油加工、化工、焦化、电镀、制革、天然（页岩）气开采、铅蓄电池、汽车制造、农药、</w:t>
            </w:r>
            <w:proofErr w:type="gramStart"/>
            <w:r w:rsidRPr="008A2411">
              <w:rPr>
                <w:rFonts w:eastAsia="宋体" w:hint="eastAsia"/>
                <w:color w:val="000000" w:themeColor="text1"/>
                <w:sz w:val="21"/>
              </w:rPr>
              <w:t>危废处置</w:t>
            </w:r>
            <w:proofErr w:type="gramEnd"/>
            <w:r w:rsidRPr="008A2411">
              <w:rPr>
                <w:rFonts w:eastAsia="宋体" w:hint="eastAsia"/>
                <w:color w:val="000000" w:themeColor="text1"/>
                <w:sz w:val="21"/>
              </w:rPr>
              <w:t>、电子拆解等行业企业及其他可能影响土壤环境质量的生产设施设备、构筑物和污染治理设施的拆除，按照有关规定制定残留污染物清理和安全处置方案，要严格按照有关规定实施安全处理处置，防范拆除活动污染土壤。</w:t>
            </w:r>
          </w:p>
        </w:tc>
        <w:tc>
          <w:tcPr>
            <w:tcW w:w="748" w:type="pct"/>
            <w:vAlign w:val="center"/>
          </w:tcPr>
          <w:p w14:paraId="716A853C" w14:textId="77777777" w:rsidR="00B0005F" w:rsidRPr="008A2411" w:rsidRDefault="00000000">
            <w:pPr>
              <w:pStyle w:val="Normal00"/>
              <w:widowControl/>
              <w:spacing w:line="240" w:lineRule="auto"/>
              <w:ind w:firstLineChars="0" w:firstLine="0"/>
              <w:jc w:val="center"/>
              <w:rPr>
                <w:rFonts w:eastAsia="宋体"/>
                <w:color w:val="000000" w:themeColor="text1"/>
                <w:sz w:val="21"/>
              </w:rPr>
            </w:pPr>
            <w:r w:rsidRPr="008A2411">
              <w:rPr>
                <w:rFonts w:eastAsia="宋体"/>
                <w:color w:val="000000" w:themeColor="text1"/>
                <w:sz w:val="21"/>
              </w:rPr>
              <w:lastRenderedPageBreak/>
              <w:t>本项目</w:t>
            </w:r>
            <w:r w:rsidRPr="008A2411">
              <w:rPr>
                <w:rFonts w:eastAsia="宋体" w:hint="eastAsia"/>
                <w:color w:val="000000" w:themeColor="text1"/>
                <w:sz w:val="21"/>
              </w:rPr>
              <w:t>将严格落实区域联防联控要求；本项目易燃易爆物</w:t>
            </w:r>
            <w:r w:rsidRPr="008A2411">
              <w:rPr>
                <w:rFonts w:eastAsia="宋体" w:hint="eastAsia"/>
                <w:color w:val="000000" w:themeColor="text1"/>
                <w:sz w:val="21"/>
              </w:rPr>
              <w:lastRenderedPageBreak/>
              <w:t>质新建，其准入严格按照园区要求，且本项目为液化天然气加工，不属于钢铁、焦化平板玻璃、铜铅锌硅冶炼等环境影响大和环境风险高的项目。</w:t>
            </w:r>
          </w:p>
        </w:tc>
        <w:tc>
          <w:tcPr>
            <w:tcW w:w="399" w:type="pct"/>
            <w:vMerge/>
            <w:vAlign w:val="center"/>
          </w:tcPr>
          <w:p w14:paraId="1E864C14" w14:textId="77777777" w:rsidR="00B0005F" w:rsidRPr="008A2411" w:rsidRDefault="00B0005F">
            <w:pPr>
              <w:pStyle w:val="Normal00"/>
              <w:spacing w:line="240" w:lineRule="auto"/>
              <w:ind w:firstLine="420"/>
              <w:jc w:val="center"/>
              <w:rPr>
                <w:rFonts w:eastAsia="宋体"/>
                <w:color w:val="000000" w:themeColor="text1"/>
                <w:sz w:val="21"/>
              </w:rPr>
            </w:pPr>
          </w:p>
        </w:tc>
      </w:tr>
      <w:tr w:rsidR="008A2411" w:rsidRPr="008A2411" w14:paraId="53E3124D" w14:textId="77777777">
        <w:trPr>
          <w:jc w:val="center"/>
        </w:trPr>
        <w:tc>
          <w:tcPr>
            <w:tcW w:w="375" w:type="pct"/>
            <w:vMerge/>
            <w:vAlign w:val="center"/>
          </w:tcPr>
          <w:p w14:paraId="19E17224" w14:textId="77777777" w:rsidR="00B0005F" w:rsidRPr="008A2411" w:rsidRDefault="00B0005F">
            <w:pPr>
              <w:jc w:val="center"/>
              <w:rPr>
                <w:rFonts w:ascii="Times New Roman"/>
                <w:snapToGrid w:val="0"/>
                <w:color w:val="000000" w:themeColor="text1"/>
                <w:sz w:val="21"/>
                <w:szCs w:val="21"/>
              </w:rPr>
            </w:pPr>
          </w:p>
        </w:tc>
        <w:tc>
          <w:tcPr>
            <w:tcW w:w="528" w:type="pct"/>
            <w:vMerge/>
            <w:vAlign w:val="center"/>
          </w:tcPr>
          <w:p w14:paraId="78E48EB0" w14:textId="77777777" w:rsidR="00B0005F" w:rsidRPr="008A2411" w:rsidRDefault="00B0005F">
            <w:pPr>
              <w:jc w:val="center"/>
              <w:rPr>
                <w:rFonts w:ascii="Times New Roman"/>
                <w:color w:val="000000" w:themeColor="text1"/>
                <w:kern w:val="2"/>
                <w:sz w:val="21"/>
                <w:szCs w:val="21"/>
              </w:rPr>
            </w:pPr>
          </w:p>
        </w:tc>
        <w:tc>
          <w:tcPr>
            <w:tcW w:w="414" w:type="pct"/>
            <w:vAlign w:val="center"/>
          </w:tcPr>
          <w:p w14:paraId="7342FE4E" w14:textId="77777777" w:rsidR="00B0005F" w:rsidRPr="008A2411" w:rsidRDefault="00000000">
            <w:pPr>
              <w:jc w:val="center"/>
              <w:rPr>
                <w:rFonts w:ascii="Times New Roman"/>
                <w:color w:val="000000" w:themeColor="text1"/>
                <w:kern w:val="2"/>
                <w:sz w:val="21"/>
                <w:szCs w:val="21"/>
              </w:rPr>
            </w:pPr>
            <w:r w:rsidRPr="008A2411">
              <w:rPr>
                <w:rFonts w:ascii="Times New Roman"/>
                <w:color w:val="000000" w:themeColor="text1"/>
                <w:sz w:val="21"/>
                <w:szCs w:val="21"/>
              </w:rPr>
              <w:t>资源开发效率</w:t>
            </w:r>
          </w:p>
        </w:tc>
        <w:tc>
          <w:tcPr>
            <w:tcW w:w="2536" w:type="pct"/>
            <w:vAlign w:val="center"/>
          </w:tcPr>
          <w:p w14:paraId="6C22E6A7"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资源开发利用效率要求：</w:t>
            </w:r>
          </w:p>
          <w:p w14:paraId="11F7794D"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水资源利用总量要求</w:t>
            </w:r>
          </w:p>
          <w:p w14:paraId="5DF53059"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新、改扩建项目污染水</w:t>
            </w:r>
            <w:proofErr w:type="gramStart"/>
            <w:r w:rsidRPr="008A2411">
              <w:rPr>
                <w:rFonts w:eastAsia="宋体" w:hint="eastAsia"/>
                <w:color w:val="000000" w:themeColor="text1"/>
                <w:sz w:val="21"/>
              </w:rPr>
              <w:t>耗指标</w:t>
            </w:r>
            <w:proofErr w:type="gramEnd"/>
            <w:r w:rsidRPr="008A2411">
              <w:rPr>
                <w:rFonts w:eastAsia="宋体" w:hint="eastAsia"/>
                <w:color w:val="000000" w:themeColor="text1"/>
                <w:sz w:val="21"/>
              </w:rPr>
              <w:t>满足《四川省省级生态工业园区指标》综合类生态工业园区要求；到</w:t>
            </w:r>
            <w:r w:rsidRPr="008A2411">
              <w:rPr>
                <w:rFonts w:eastAsia="宋体" w:hint="eastAsia"/>
                <w:color w:val="000000" w:themeColor="text1"/>
                <w:sz w:val="21"/>
              </w:rPr>
              <w:t>2022</w:t>
            </w:r>
            <w:r w:rsidRPr="008A2411">
              <w:rPr>
                <w:rFonts w:eastAsia="宋体" w:hint="eastAsia"/>
                <w:color w:val="000000" w:themeColor="text1"/>
                <w:sz w:val="21"/>
              </w:rPr>
              <w:t>年，万元国内生产总值用水量、万元工业增加值用水量较</w:t>
            </w:r>
            <w:r w:rsidRPr="008A2411">
              <w:rPr>
                <w:rFonts w:eastAsia="宋体" w:hint="eastAsia"/>
                <w:color w:val="000000" w:themeColor="text1"/>
                <w:sz w:val="21"/>
              </w:rPr>
              <w:t>2015</w:t>
            </w:r>
            <w:r w:rsidRPr="008A2411">
              <w:rPr>
                <w:rFonts w:eastAsia="宋体" w:hint="eastAsia"/>
                <w:color w:val="000000" w:themeColor="text1"/>
                <w:sz w:val="21"/>
              </w:rPr>
              <w:t>年分别下降</w:t>
            </w:r>
            <w:r w:rsidRPr="008A2411">
              <w:rPr>
                <w:rFonts w:eastAsia="宋体" w:hint="eastAsia"/>
                <w:color w:val="000000" w:themeColor="text1"/>
                <w:sz w:val="21"/>
              </w:rPr>
              <w:t>30%</w:t>
            </w:r>
            <w:r w:rsidRPr="008A2411">
              <w:rPr>
                <w:rFonts w:eastAsia="宋体" w:hint="eastAsia"/>
                <w:color w:val="000000" w:themeColor="text1"/>
                <w:sz w:val="21"/>
              </w:rPr>
              <w:t>和</w:t>
            </w:r>
            <w:r w:rsidRPr="008A2411">
              <w:rPr>
                <w:rFonts w:eastAsia="宋体" w:hint="eastAsia"/>
                <w:color w:val="000000" w:themeColor="text1"/>
                <w:sz w:val="21"/>
              </w:rPr>
              <w:t>28%</w:t>
            </w:r>
            <w:r w:rsidRPr="008A2411">
              <w:rPr>
                <w:rFonts w:eastAsia="宋体" w:hint="eastAsia"/>
                <w:color w:val="000000" w:themeColor="text1"/>
                <w:sz w:val="21"/>
              </w:rPr>
              <w:t>。</w:t>
            </w:r>
          </w:p>
          <w:p w14:paraId="224CBB13"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地下水开采要求</w:t>
            </w:r>
          </w:p>
          <w:p w14:paraId="74B17B3A"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以省市下发指标为准</w:t>
            </w:r>
          </w:p>
          <w:p w14:paraId="57D14A2B"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能源利用总量及效率要求</w:t>
            </w:r>
          </w:p>
          <w:p w14:paraId="13173541"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川东北区域实施新建项目与煤炭消费总量控制挂钩机制，耗煤建设项目实行煤炭消耗等量减量替代。提高煤炭利用效率和天然气</w:t>
            </w:r>
            <w:proofErr w:type="gramStart"/>
            <w:r w:rsidRPr="008A2411">
              <w:rPr>
                <w:rFonts w:eastAsia="宋体" w:hint="eastAsia"/>
                <w:color w:val="000000" w:themeColor="text1"/>
                <w:sz w:val="21"/>
              </w:rPr>
              <w:t>利用占</w:t>
            </w:r>
            <w:proofErr w:type="gramEnd"/>
            <w:r w:rsidRPr="008A2411">
              <w:rPr>
                <w:rFonts w:eastAsia="宋体" w:hint="eastAsia"/>
                <w:color w:val="000000" w:themeColor="text1"/>
                <w:sz w:val="21"/>
              </w:rPr>
              <w:t>比，工业领域有序推进“煤改电”和有序推进“煤改气”。</w:t>
            </w:r>
          </w:p>
          <w:p w14:paraId="7C62CC16"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w:t>
            </w:r>
            <w:r w:rsidRPr="008A2411">
              <w:rPr>
                <w:rFonts w:eastAsia="宋体" w:hint="eastAsia"/>
                <w:color w:val="000000" w:themeColor="text1"/>
                <w:sz w:val="21"/>
              </w:rPr>
              <w:t>大力实施和推广以电代煤、以电代油工程，重点在城市交通、工商业等领域实施以电代油、以电代煤。</w:t>
            </w:r>
          </w:p>
          <w:p w14:paraId="753C6126"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lastRenderedPageBreak/>
              <w:t>-</w:t>
            </w:r>
            <w:r w:rsidRPr="008A2411">
              <w:rPr>
                <w:rFonts w:eastAsia="宋体" w:hint="eastAsia"/>
                <w:color w:val="000000" w:themeColor="text1"/>
                <w:sz w:val="21"/>
              </w:rPr>
              <w:t>增加天然气对煤炭和石油的替代，提高天然气民用、交通、发电、工业领域天然气消费比重。</w:t>
            </w:r>
          </w:p>
          <w:p w14:paraId="2867E412"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w:t>
            </w:r>
            <w:r w:rsidRPr="008A2411">
              <w:rPr>
                <w:rFonts w:eastAsia="宋体" w:hint="eastAsia"/>
                <w:color w:val="000000" w:themeColor="text1"/>
                <w:sz w:val="21"/>
              </w:rPr>
              <w:t>实施煤炭消费总量控制：严格控制煤炭消费总量；严格控制新建、改建、扩建耗煤项目，新增耗煤项目实行煤炭消耗减量</w:t>
            </w:r>
            <w:proofErr w:type="gramStart"/>
            <w:r w:rsidRPr="008A2411">
              <w:rPr>
                <w:rFonts w:eastAsia="宋体" w:hint="eastAsia"/>
                <w:color w:val="000000" w:themeColor="text1"/>
                <w:sz w:val="21"/>
              </w:rPr>
              <w:t>倍</w:t>
            </w:r>
            <w:proofErr w:type="gramEnd"/>
            <w:r w:rsidRPr="008A2411">
              <w:rPr>
                <w:rFonts w:eastAsia="宋体" w:hint="eastAsia"/>
                <w:color w:val="000000" w:themeColor="text1"/>
                <w:sz w:val="21"/>
              </w:rPr>
              <w:t>量替代。</w:t>
            </w:r>
          </w:p>
          <w:p w14:paraId="34A5445B"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w:t>
            </w:r>
            <w:r w:rsidRPr="008A2411">
              <w:rPr>
                <w:rFonts w:eastAsia="宋体" w:hint="eastAsia"/>
                <w:color w:val="000000" w:themeColor="text1"/>
                <w:sz w:val="21"/>
              </w:rPr>
              <w:t>鼓励使用清洁燃料，重点区域建设项目原则上</w:t>
            </w:r>
            <w:proofErr w:type="gramStart"/>
            <w:r w:rsidRPr="008A2411">
              <w:rPr>
                <w:rFonts w:eastAsia="宋体" w:hint="eastAsia"/>
                <w:color w:val="000000" w:themeColor="text1"/>
                <w:sz w:val="21"/>
              </w:rPr>
              <w:t>不</w:t>
            </w:r>
            <w:proofErr w:type="gramEnd"/>
            <w:r w:rsidRPr="008A2411">
              <w:rPr>
                <w:rFonts w:eastAsia="宋体" w:hint="eastAsia"/>
                <w:color w:val="000000" w:themeColor="text1"/>
                <w:sz w:val="21"/>
              </w:rPr>
              <w:t>新建燃煤自备锅炉。鼓励重点区域高炉</w:t>
            </w:r>
            <w:r w:rsidRPr="008A2411">
              <w:rPr>
                <w:rFonts w:eastAsia="宋体" w:hint="eastAsia"/>
                <w:color w:val="000000" w:themeColor="text1"/>
                <w:sz w:val="21"/>
              </w:rPr>
              <w:t>-</w:t>
            </w:r>
            <w:r w:rsidRPr="008A2411">
              <w:rPr>
                <w:rFonts w:eastAsia="宋体" w:hint="eastAsia"/>
                <w:color w:val="000000" w:themeColor="text1"/>
                <w:sz w:val="21"/>
              </w:rPr>
              <w:t>转炉长流程钢铁企业转型为电炉短流程企业。大宗物料优先采用铁路、管道或水路运输，短途接驳优先使用新能源车辆运输。</w:t>
            </w:r>
          </w:p>
          <w:p w14:paraId="433C2B47"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w:t>
            </w:r>
            <w:r w:rsidRPr="008A2411">
              <w:rPr>
                <w:rFonts w:eastAsia="宋体" w:hint="eastAsia"/>
                <w:color w:val="000000" w:themeColor="text1"/>
                <w:sz w:val="21"/>
              </w:rPr>
              <w:t>推进清洁能源的推广使用，全面推进散煤清洁化整治；禁止新建每小时</w:t>
            </w:r>
            <w:r w:rsidRPr="008A2411">
              <w:rPr>
                <w:rFonts w:eastAsia="宋体" w:hint="eastAsia"/>
                <w:color w:val="000000" w:themeColor="text1"/>
                <w:sz w:val="21"/>
              </w:rPr>
              <w:t>10</w:t>
            </w:r>
            <w:r w:rsidRPr="008A2411">
              <w:rPr>
                <w:rFonts w:eastAsia="宋体" w:hint="eastAsia"/>
                <w:color w:val="000000" w:themeColor="text1"/>
                <w:sz w:val="21"/>
              </w:rPr>
              <w:t>蒸</w:t>
            </w:r>
            <w:proofErr w:type="gramStart"/>
            <w:r w:rsidRPr="008A2411">
              <w:rPr>
                <w:rFonts w:eastAsia="宋体" w:hint="eastAsia"/>
                <w:color w:val="000000" w:themeColor="text1"/>
                <w:sz w:val="21"/>
              </w:rPr>
              <w:t>吨以下</w:t>
            </w:r>
            <w:proofErr w:type="gramEnd"/>
            <w:r w:rsidRPr="008A2411">
              <w:rPr>
                <w:rFonts w:eastAsia="宋体" w:hint="eastAsia"/>
                <w:color w:val="000000" w:themeColor="text1"/>
                <w:sz w:val="21"/>
              </w:rPr>
              <w:t>的燃煤锅炉及其他燃煤设施</w:t>
            </w:r>
            <w:r w:rsidRPr="008A2411">
              <w:rPr>
                <w:rFonts w:eastAsia="宋体" w:hint="eastAsia"/>
                <w:color w:val="000000" w:themeColor="text1"/>
                <w:sz w:val="21"/>
              </w:rPr>
              <w:t>.</w:t>
            </w:r>
          </w:p>
          <w:p w14:paraId="765522EC"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w:t>
            </w:r>
            <w:r w:rsidRPr="008A2411">
              <w:rPr>
                <w:rFonts w:eastAsia="宋体" w:hint="eastAsia"/>
                <w:color w:val="000000" w:themeColor="text1"/>
                <w:sz w:val="21"/>
              </w:rPr>
              <w:t>地级以上城市建成区禁止新建每小时</w:t>
            </w:r>
            <w:r w:rsidRPr="008A2411">
              <w:rPr>
                <w:rFonts w:eastAsia="宋体" w:hint="eastAsia"/>
                <w:color w:val="000000" w:themeColor="text1"/>
                <w:sz w:val="21"/>
              </w:rPr>
              <w:t>20</w:t>
            </w:r>
            <w:r w:rsidRPr="008A2411">
              <w:rPr>
                <w:rFonts w:eastAsia="宋体" w:hint="eastAsia"/>
                <w:color w:val="000000" w:themeColor="text1"/>
                <w:sz w:val="21"/>
              </w:rPr>
              <w:t>蒸</w:t>
            </w:r>
            <w:proofErr w:type="gramStart"/>
            <w:r w:rsidRPr="008A2411">
              <w:rPr>
                <w:rFonts w:eastAsia="宋体" w:hint="eastAsia"/>
                <w:color w:val="000000" w:themeColor="text1"/>
                <w:sz w:val="21"/>
              </w:rPr>
              <w:t>吨以下</w:t>
            </w:r>
            <w:proofErr w:type="gramEnd"/>
            <w:r w:rsidRPr="008A2411">
              <w:rPr>
                <w:rFonts w:eastAsia="宋体" w:hint="eastAsia"/>
                <w:color w:val="000000" w:themeColor="text1"/>
                <w:sz w:val="21"/>
              </w:rPr>
              <w:t>燃煤锅炉；对</w:t>
            </w:r>
            <w:r w:rsidRPr="008A2411">
              <w:rPr>
                <w:rFonts w:eastAsia="宋体" w:hint="eastAsia"/>
                <w:color w:val="000000" w:themeColor="text1"/>
                <w:sz w:val="21"/>
              </w:rPr>
              <w:t>20</w:t>
            </w:r>
            <w:proofErr w:type="gramStart"/>
            <w:r w:rsidRPr="008A2411">
              <w:rPr>
                <w:rFonts w:eastAsia="宋体" w:hint="eastAsia"/>
                <w:color w:val="000000" w:themeColor="text1"/>
                <w:sz w:val="21"/>
              </w:rPr>
              <w:t>蒸吨及以上</w:t>
            </w:r>
            <w:proofErr w:type="gramEnd"/>
            <w:r w:rsidRPr="008A2411">
              <w:rPr>
                <w:rFonts w:eastAsia="宋体" w:hint="eastAsia"/>
                <w:color w:val="000000" w:themeColor="text1"/>
                <w:sz w:val="21"/>
              </w:rPr>
              <w:t>燃煤锅炉实施脱硫改造，建设高效脱硫设施；对循环流化床锅炉以外的燃煤发电机组一律安装脱硫设施，对燃煤锅炉和工业锅炉现有除尘设施实施升级改造，确保达到新的排放标准和特别排放限值。</w:t>
            </w:r>
          </w:p>
          <w:p w14:paraId="3B29B9A9"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禁燃区要求</w:t>
            </w:r>
          </w:p>
          <w:p w14:paraId="4AC46109"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w:t>
            </w:r>
            <w:r w:rsidRPr="008A2411">
              <w:rPr>
                <w:rFonts w:eastAsia="宋体" w:hint="eastAsia"/>
                <w:color w:val="000000" w:themeColor="text1"/>
                <w:sz w:val="21"/>
              </w:rPr>
              <w:t>高污染燃料禁燃区内禁止燃用的燃料为《高污染燃料目录》（</w:t>
            </w:r>
            <w:r w:rsidRPr="008A2411">
              <w:rPr>
                <w:rFonts w:eastAsia="宋体" w:hint="eastAsia"/>
                <w:color w:val="000000" w:themeColor="text1"/>
                <w:sz w:val="21"/>
              </w:rPr>
              <w:t>2017</w:t>
            </w:r>
            <w:r w:rsidRPr="008A2411">
              <w:rPr>
                <w:rFonts w:eastAsia="宋体" w:hint="eastAsia"/>
                <w:color w:val="000000" w:themeColor="text1"/>
                <w:sz w:val="21"/>
              </w:rPr>
              <w:t>）中</w:t>
            </w:r>
            <w:r w:rsidRPr="008A2411">
              <w:rPr>
                <w:rFonts w:eastAsia="宋体" w:hint="eastAsia"/>
                <w:color w:val="000000" w:themeColor="text1"/>
                <w:sz w:val="21"/>
              </w:rPr>
              <w:t>III</w:t>
            </w:r>
            <w:r w:rsidRPr="008A2411">
              <w:rPr>
                <w:rFonts w:eastAsia="宋体" w:hint="eastAsia"/>
                <w:color w:val="000000" w:themeColor="text1"/>
                <w:sz w:val="21"/>
              </w:rPr>
              <w:t>类（严格）燃料组合，包括：（一）煤炭及其制品；（二）石油焦、油页岩、原油、重油、渣油、煤焦油；（三）非专用锅炉或未配置高效除尘设施的专用锅炉燃用的生物质成型燃料。</w:t>
            </w:r>
          </w:p>
          <w:p w14:paraId="6ACB6B89"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w:t>
            </w:r>
            <w:r w:rsidRPr="008A2411">
              <w:rPr>
                <w:rFonts w:eastAsia="宋体" w:hint="eastAsia"/>
                <w:color w:val="000000" w:themeColor="text1"/>
                <w:sz w:val="21"/>
              </w:rPr>
              <w:t>禁燃区内禁止销售、燃用高污染燃料；禁止新建、改建、扩建燃用高污染燃料的设施和设备。</w:t>
            </w:r>
          </w:p>
          <w:p w14:paraId="18E95BBC"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w:t>
            </w:r>
            <w:r w:rsidRPr="008A2411">
              <w:rPr>
                <w:rFonts w:eastAsia="宋体" w:hint="eastAsia"/>
                <w:color w:val="000000" w:themeColor="text1"/>
                <w:sz w:val="21"/>
              </w:rPr>
              <w:t>禁燃区内已建成的高污染燃料燃用设施由辖区人民政府制定限期改造计划，改用天然气、页岩气、液化石油气、电或其他清洁能源。</w:t>
            </w:r>
          </w:p>
          <w:p w14:paraId="4B71039A" w14:textId="77777777" w:rsidR="00B0005F" w:rsidRPr="008A2411" w:rsidRDefault="00B0005F">
            <w:pPr>
              <w:pStyle w:val="Normal00"/>
              <w:widowControl/>
              <w:spacing w:line="240" w:lineRule="auto"/>
              <w:ind w:firstLineChars="0" w:firstLine="0"/>
              <w:jc w:val="left"/>
              <w:rPr>
                <w:rFonts w:eastAsia="宋体"/>
                <w:color w:val="000000" w:themeColor="text1"/>
                <w:sz w:val="21"/>
              </w:rPr>
            </w:pPr>
          </w:p>
          <w:p w14:paraId="49A40FA6"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其他资源利用效率要求</w:t>
            </w:r>
          </w:p>
          <w:p w14:paraId="35F931F1"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暂无</w:t>
            </w:r>
            <w:r w:rsidRPr="008A2411">
              <w:rPr>
                <w:rFonts w:eastAsia="宋体"/>
                <w:color w:val="000000" w:themeColor="text1"/>
                <w:sz w:val="21"/>
              </w:rPr>
              <w:t>。</w:t>
            </w:r>
          </w:p>
        </w:tc>
        <w:tc>
          <w:tcPr>
            <w:tcW w:w="748" w:type="pct"/>
            <w:vAlign w:val="center"/>
          </w:tcPr>
          <w:p w14:paraId="33FDADD6" w14:textId="77777777" w:rsidR="00B0005F" w:rsidRPr="008A2411" w:rsidRDefault="00000000">
            <w:pPr>
              <w:pStyle w:val="Normal00"/>
              <w:widowControl/>
              <w:spacing w:line="240" w:lineRule="auto"/>
              <w:ind w:firstLineChars="0" w:firstLine="0"/>
              <w:jc w:val="center"/>
              <w:rPr>
                <w:color w:val="000000" w:themeColor="text1"/>
                <w:sz w:val="21"/>
              </w:rPr>
            </w:pPr>
            <w:r w:rsidRPr="008A2411">
              <w:rPr>
                <w:rFonts w:eastAsia="宋体" w:hint="eastAsia"/>
                <w:color w:val="000000" w:themeColor="text1"/>
                <w:sz w:val="21"/>
              </w:rPr>
              <w:lastRenderedPageBreak/>
              <w:t>本项目的年产值为</w:t>
            </w:r>
            <w:r w:rsidRPr="008A2411">
              <w:rPr>
                <w:rFonts w:eastAsia="宋体" w:hint="eastAsia"/>
                <w:color w:val="000000" w:themeColor="text1"/>
                <w:sz w:val="21"/>
              </w:rPr>
              <w:t>71484.00</w:t>
            </w:r>
            <w:r w:rsidRPr="008A2411">
              <w:rPr>
                <w:rFonts w:eastAsia="宋体" w:hint="eastAsia"/>
                <w:color w:val="000000" w:themeColor="text1"/>
                <w:sz w:val="21"/>
              </w:rPr>
              <w:t>万元，年耗水量为</w:t>
            </w:r>
            <w:r w:rsidRPr="008A2411">
              <w:rPr>
                <w:rFonts w:eastAsia="宋体" w:hint="eastAsia"/>
                <w:color w:val="000000" w:themeColor="text1"/>
                <w:sz w:val="21"/>
              </w:rPr>
              <w:t>569448m</w:t>
            </w:r>
            <w:r w:rsidRPr="008A2411">
              <w:rPr>
                <w:rFonts w:eastAsia="宋体" w:hint="eastAsia"/>
                <w:color w:val="000000" w:themeColor="text1"/>
                <w:sz w:val="21"/>
                <w:vertAlign w:val="superscript"/>
              </w:rPr>
              <w:t>3</w:t>
            </w:r>
            <w:r w:rsidRPr="008A2411">
              <w:rPr>
                <w:rFonts w:eastAsia="宋体" w:hint="eastAsia"/>
                <w:color w:val="000000" w:themeColor="text1"/>
                <w:sz w:val="21"/>
              </w:rPr>
              <w:t>，万元国内生产总值用水量</w:t>
            </w:r>
            <w:r w:rsidRPr="008A2411">
              <w:rPr>
                <w:rFonts w:eastAsia="宋体" w:hint="eastAsia"/>
                <w:color w:val="000000" w:themeColor="text1"/>
                <w:sz w:val="21"/>
              </w:rPr>
              <w:t>7.967m</w:t>
            </w:r>
            <w:r w:rsidRPr="008A2411">
              <w:rPr>
                <w:rFonts w:eastAsia="宋体" w:hint="eastAsia"/>
                <w:color w:val="000000" w:themeColor="text1"/>
                <w:sz w:val="21"/>
                <w:vertAlign w:val="superscript"/>
              </w:rPr>
              <w:t>3</w:t>
            </w:r>
            <w:r w:rsidRPr="008A2411">
              <w:rPr>
                <w:rFonts w:eastAsia="宋体" w:hint="eastAsia"/>
                <w:color w:val="000000" w:themeColor="text1"/>
                <w:sz w:val="21"/>
              </w:rPr>
              <w:t>/</w:t>
            </w:r>
            <w:r w:rsidRPr="008A2411">
              <w:rPr>
                <w:rFonts w:eastAsia="宋体" w:hint="eastAsia"/>
                <w:color w:val="000000" w:themeColor="text1"/>
                <w:sz w:val="21"/>
              </w:rPr>
              <w:t>万元，小于四川省省级生态工业园区指标综合类的</w:t>
            </w:r>
            <w:r w:rsidRPr="008A2411">
              <w:rPr>
                <w:rFonts w:eastAsia="宋体" w:hint="eastAsia"/>
                <w:color w:val="000000" w:themeColor="text1"/>
                <w:sz w:val="21"/>
              </w:rPr>
              <w:t>12m</w:t>
            </w:r>
            <w:r w:rsidRPr="008A2411">
              <w:rPr>
                <w:rFonts w:eastAsia="宋体" w:hint="eastAsia"/>
                <w:color w:val="000000" w:themeColor="text1"/>
                <w:sz w:val="21"/>
                <w:vertAlign w:val="superscript"/>
              </w:rPr>
              <w:t>3</w:t>
            </w:r>
            <w:r w:rsidRPr="008A2411">
              <w:rPr>
                <w:rFonts w:eastAsia="宋体" w:hint="eastAsia"/>
                <w:color w:val="000000" w:themeColor="text1"/>
                <w:sz w:val="21"/>
              </w:rPr>
              <w:t>/</w:t>
            </w:r>
            <w:r w:rsidRPr="008A2411">
              <w:rPr>
                <w:rFonts w:eastAsia="宋体" w:hint="eastAsia"/>
                <w:color w:val="000000" w:themeColor="text1"/>
                <w:sz w:val="21"/>
              </w:rPr>
              <w:t>万元的指标要求；本项目为天然气液化生产项</w:t>
            </w:r>
            <w:r w:rsidRPr="008A2411">
              <w:rPr>
                <w:rFonts w:eastAsia="宋体" w:hint="eastAsia"/>
                <w:color w:val="000000" w:themeColor="text1"/>
                <w:sz w:val="21"/>
              </w:rPr>
              <w:lastRenderedPageBreak/>
              <w:t>目，不涉及地下水开采；本项目直接采用电能，不使用煤炭资源。同时项的建设有利于提高区域天然气产品的供给，有利于提高天然气消费比重。此外，本项目不采用蒸汽锅炉。</w:t>
            </w:r>
          </w:p>
        </w:tc>
        <w:tc>
          <w:tcPr>
            <w:tcW w:w="399" w:type="pct"/>
            <w:vMerge/>
            <w:vAlign w:val="center"/>
          </w:tcPr>
          <w:p w14:paraId="2602C8EE" w14:textId="77777777" w:rsidR="00B0005F" w:rsidRPr="008A2411" w:rsidRDefault="00B0005F">
            <w:pPr>
              <w:pStyle w:val="Normal00"/>
              <w:widowControl/>
              <w:spacing w:line="240" w:lineRule="auto"/>
              <w:ind w:firstLineChars="0" w:firstLine="0"/>
              <w:jc w:val="center"/>
              <w:rPr>
                <w:rFonts w:eastAsia="宋体"/>
                <w:color w:val="000000" w:themeColor="text1"/>
                <w:sz w:val="21"/>
              </w:rPr>
            </w:pPr>
          </w:p>
        </w:tc>
      </w:tr>
      <w:tr w:rsidR="008A2411" w:rsidRPr="008A2411" w14:paraId="06007D76" w14:textId="77777777">
        <w:trPr>
          <w:jc w:val="center"/>
        </w:trPr>
        <w:tc>
          <w:tcPr>
            <w:tcW w:w="375" w:type="pct"/>
            <w:vAlign w:val="center"/>
          </w:tcPr>
          <w:p w14:paraId="4941E485"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YS5117222210001</w:t>
            </w:r>
          </w:p>
        </w:tc>
        <w:tc>
          <w:tcPr>
            <w:tcW w:w="528" w:type="pct"/>
            <w:vAlign w:val="center"/>
          </w:tcPr>
          <w:p w14:paraId="7FE8A644" w14:textId="77777777" w:rsidR="00B0005F" w:rsidRPr="008A2411" w:rsidRDefault="00000000">
            <w:pPr>
              <w:pStyle w:val="Normal00"/>
              <w:widowControl/>
              <w:spacing w:line="240" w:lineRule="auto"/>
              <w:ind w:firstLineChars="0" w:firstLine="0"/>
              <w:jc w:val="center"/>
              <w:rPr>
                <w:rFonts w:eastAsia="宋体"/>
                <w:color w:val="000000" w:themeColor="text1"/>
                <w:kern w:val="0"/>
                <w:sz w:val="21"/>
              </w:rPr>
            </w:pPr>
            <w:r w:rsidRPr="008A2411">
              <w:rPr>
                <w:rFonts w:eastAsia="宋体" w:hint="eastAsia"/>
                <w:color w:val="000000" w:themeColor="text1"/>
                <w:kern w:val="0"/>
                <w:sz w:val="21"/>
              </w:rPr>
              <w:t>州河宣汉县张鼓坪控制单元</w:t>
            </w:r>
          </w:p>
        </w:tc>
        <w:tc>
          <w:tcPr>
            <w:tcW w:w="414" w:type="pct"/>
            <w:vAlign w:val="center"/>
          </w:tcPr>
          <w:p w14:paraId="1B3F8ABF" w14:textId="77777777" w:rsidR="00B0005F" w:rsidRPr="008A2411" w:rsidRDefault="00000000">
            <w:pPr>
              <w:pStyle w:val="Normal00"/>
              <w:widowControl/>
              <w:spacing w:line="240" w:lineRule="auto"/>
              <w:ind w:firstLineChars="0" w:firstLine="0"/>
              <w:jc w:val="center"/>
              <w:rPr>
                <w:rFonts w:eastAsia="宋体"/>
                <w:color w:val="000000" w:themeColor="text1"/>
                <w:kern w:val="0"/>
                <w:sz w:val="21"/>
              </w:rPr>
            </w:pPr>
            <w:r w:rsidRPr="008A2411">
              <w:rPr>
                <w:rFonts w:eastAsia="宋体" w:hint="eastAsia"/>
                <w:color w:val="000000" w:themeColor="text1"/>
                <w:kern w:val="0"/>
                <w:sz w:val="21"/>
              </w:rPr>
              <w:t>/</w:t>
            </w:r>
          </w:p>
        </w:tc>
        <w:tc>
          <w:tcPr>
            <w:tcW w:w="2536" w:type="pct"/>
            <w:vMerge w:val="restart"/>
            <w:vAlign w:val="center"/>
          </w:tcPr>
          <w:p w14:paraId="6FBA8798"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空间布局约束：</w:t>
            </w:r>
          </w:p>
          <w:p w14:paraId="61F0B3A0"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禁止开发建设活动的要求</w:t>
            </w:r>
          </w:p>
          <w:p w14:paraId="6A27E00F"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暂无</w:t>
            </w:r>
          </w:p>
          <w:p w14:paraId="16CB7E9C"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限制开发建设活动的要求</w:t>
            </w:r>
          </w:p>
          <w:p w14:paraId="17C4F460"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暂无</w:t>
            </w:r>
          </w:p>
          <w:p w14:paraId="79DFC836"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不符合空间布局要求活动的退出要求</w:t>
            </w:r>
          </w:p>
          <w:p w14:paraId="1910A872"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暂无</w:t>
            </w:r>
          </w:p>
          <w:p w14:paraId="2F1AD563"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其他空间布局约束要求</w:t>
            </w:r>
          </w:p>
          <w:p w14:paraId="337904BE"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暂无</w:t>
            </w:r>
          </w:p>
          <w:p w14:paraId="44B7B554"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污染物排放管控：</w:t>
            </w:r>
          </w:p>
          <w:p w14:paraId="56B43C38"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允许排放量要求</w:t>
            </w:r>
          </w:p>
          <w:p w14:paraId="5B770EFA"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lastRenderedPageBreak/>
              <w:t>暂无</w:t>
            </w:r>
          </w:p>
          <w:p w14:paraId="01867679"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现有源提标升级改造</w:t>
            </w:r>
          </w:p>
          <w:p w14:paraId="1E7BB7C8"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暂无</w:t>
            </w:r>
          </w:p>
          <w:p w14:paraId="0B463380"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其他污染物排放管控要求</w:t>
            </w:r>
          </w:p>
          <w:p w14:paraId="1F326B30"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暂无</w:t>
            </w:r>
          </w:p>
          <w:p w14:paraId="6C46DCAD"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环境风险防控：</w:t>
            </w:r>
          </w:p>
          <w:p w14:paraId="758CBEEF"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联防联控要求</w:t>
            </w:r>
          </w:p>
          <w:p w14:paraId="3385D694"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暂无</w:t>
            </w:r>
          </w:p>
          <w:p w14:paraId="3085BA11"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其他环境风险防控要求</w:t>
            </w:r>
          </w:p>
          <w:p w14:paraId="153FF0E6"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暂无</w:t>
            </w:r>
          </w:p>
          <w:p w14:paraId="51096F69"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资源开发利用效率要求：</w:t>
            </w:r>
          </w:p>
          <w:p w14:paraId="7203F066"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水资源利用总量要求</w:t>
            </w:r>
          </w:p>
          <w:p w14:paraId="1C2A706B"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暂无</w:t>
            </w:r>
          </w:p>
          <w:p w14:paraId="232779FC"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地下水开采要求</w:t>
            </w:r>
          </w:p>
          <w:p w14:paraId="3C7F8C78"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暂无</w:t>
            </w:r>
          </w:p>
          <w:p w14:paraId="043C9BDB"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能源利用总量及效率要求</w:t>
            </w:r>
          </w:p>
          <w:p w14:paraId="2433E63E"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暂无</w:t>
            </w:r>
          </w:p>
          <w:p w14:paraId="7614AF83"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禁燃区要求</w:t>
            </w:r>
          </w:p>
          <w:p w14:paraId="129E3060"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暂无</w:t>
            </w:r>
          </w:p>
          <w:p w14:paraId="59B2890C"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其他资源利用效率要求</w:t>
            </w:r>
          </w:p>
          <w:p w14:paraId="314077B6"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暂无</w:t>
            </w:r>
          </w:p>
        </w:tc>
        <w:tc>
          <w:tcPr>
            <w:tcW w:w="748" w:type="pct"/>
            <w:vAlign w:val="center"/>
          </w:tcPr>
          <w:p w14:paraId="113D5F9B" w14:textId="77777777" w:rsidR="00B0005F" w:rsidRPr="008A2411" w:rsidRDefault="00000000">
            <w:pPr>
              <w:pStyle w:val="Normal00"/>
              <w:widowControl/>
              <w:spacing w:line="240" w:lineRule="auto"/>
              <w:ind w:firstLineChars="0" w:firstLine="0"/>
              <w:jc w:val="center"/>
              <w:rPr>
                <w:rFonts w:eastAsia="宋体"/>
                <w:color w:val="000000" w:themeColor="text1"/>
                <w:sz w:val="21"/>
              </w:rPr>
            </w:pPr>
            <w:r w:rsidRPr="008A2411">
              <w:rPr>
                <w:rFonts w:eastAsia="宋体" w:hint="eastAsia"/>
                <w:color w:val="000000" w:themeColor="text1"/>
                <w:sz w:val="21"/>
              </w:rPr>
              <w:lastRenderedPageBreak/>
              <w:t>/</w:t>
            </w:r>
          </w:p>
        </w:tc>
        <w:tc>
          <w:tcPr>
            <w:tcW w:w="399" w:type="pct"/>
            <w:vAlign w:val="center"/>
          </w:tcPr>
          <w:p w14:paraId="7A8972A7" w14:textId="77777777" w:rsidR="00B0005F" w:rsidRPr="008A2411" w:rsidRDefault="00000000">
            <w:pPr>
              <w:pStyle w:val="Normal00"/>
              <w:widowControl/>
              <w:spacing w:line="240" w:lineRule="auto"/>
              <w:ind w:firstLineChars="0" w:firstLine="0"/>
              <w:rPr>
                <w:rFonts w:eastAsia="宋体"/>
                <w:color w:val="000000" w:themeColor="text1"/>
                <w:sz w:val="21"/>
              </w:rPr>
            </w:pPr>
            <w:r w:rsidRPr="008A2411">
              <w:rPr>
                <w:rFonts w:eastAsia="宋体" w:hint="eastAsia"/>
                <w:color w:val="000000" w:themeColor="text1"/>
                <w:sz w:val="21"/>
              </w:rPr>
              <w:t>/</w:t>
            </w:r>
          </w:p>
        </w:tc>
      </w:tr>
      <w:tr w:rsidR="008A2411" w:rsidRPr="008A2411" w14:paraId="5EAC7BEF" w14:textId="77777777">
        <w:trPr>
          <w:jc w:val="center"/>
        </w:trPr>
        <w:tc>
          <w:tcPr>
            <w:tcW w:w="375" w:type="pct"/>
            <w:vAlign w:val="center"/>
          </w:tcPr>
          <w:p w14:paraId="5BD9D708"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YS5117222310001</w:t>
            </w:r>
          </w:p>
        </w:tc>
        <w:tc>
          <w:tcPr>
            <w:tcW w:w="528" w:type="pct"/>
            <w:vAlign w:val="center"/>
          </w:tcPr>
          <w:p w14:paraId="4F1B2C77" w14:textId="77777777" w:rsidR="00B0005F" w:rsidRPr="008A2411" w:rsidRDefault="00000000">
            <w:pPr>
              <w:pStyle w:val="Normal00"/>
              <w:widowControl/>
              <w:spacing w:line="240" w:lineRule="auto"/>
              <w:ind w:firstLineChars="0" w:firstLine="0"/>
              <w:jc w:val="center"/>
              <w:rPr>
                <w:rFonts w:eastAsia="宋体"/>
                <w:color w:val="000000" w:themeColor="text1"/>
                <w:kern w:val="0"/>
                <w:sz w:val="21"/>
              </w:rPr>
            </w:pPr>
            <w:r w:rsidRPr="008A2411">
              <w:rPr>
                <w:rFonts w:eastAsia="宋体" w:hint="eastAsia"/>
                <w:color w:val="000000" w:themeColor="text1"/>
                <w:kern w:val="0"/>
                <w:sz w:val="21"/>
              </w:rPr>
              <w:t>四川达州普光经济开发区（含锂钾综合开发产</w:t>
            </w:r>
            <w:r w:rsidRPr="008A2411">
              <w:rPr>
                <w:rFonts w:eastAsia="宋体" w:hint="eastAsia"/>
                <w:color w:val="000000" w:themeColor="text1"/>
                <w:kern w:val="0"/>
                <w:sz w:val="21"/>
              </w:rPr>
              <w:lastRenderedPageBreak/>
              <w:t>业园）</w:t>
            </w:r>
          </w:p>
        </w:tc>
        <w:tc>
          <w:tcPr>
            <w:tcW w:w="414" w:type="pct"/>
            <w:vAlign w:val="center"/>
          </w:tcPr>
          <w:p w14:paraId="6085B3E9" w14:textId="77777777" w:rsidR="00B0005F" w:rsidRPr="008A2411" w:rsidRDefault="00000000">
            <w:pPr>
              <w:pStyle w:val="Normal00"/>
              <w:widowControl/>
              <w:spacing w:line="240" w:lineRule="auto"/>
              <w:ind w:firstLineChars="0" w:firstLine="0"/>
              <w:jc w:val="center"/>
              <w:rPr>
                <w:rFonts w:eastAsia="宋体"/>
                <w:color w:val="000000" w:themeColor="text1"/>
                <w:kern w:val="0"/>
                <w:sz w:val="21"/>
              </w:rPr>
            </w:pPr>
            <w:r w:rsidRPr="008A2411">
              <w:rPr>
                <w:rFonts w:eastAsia="宋体" w:hint="eastAsia"/>
                <w:color w:val="000000" w:themeColor="text1"/>
                <w:kern w:val="0"/>
                <w:sz w:val="21"/>
              </w:rPr>
              <w:lastRenderedPageBreak/>
              <w:t>/</w:t>
            </w:r>
          </w:p>
        </w:tc>
        <w:tc>
          <w:tcPr>
            <w:tcW w:w="2536" w:type="pct"/>
            <w:vMerge/>
            <w:vAlign w:val="center"/>
          </w:tcPr>
          <w:p w14:paraId="0453D3F4" w14:textId="77777777" w:rsidR="00B0005F" w:rsidRPr="008A2411" w:rsidRDefault="00B0005F">
            <w:pPr>
              <w:pStyle w:val="Normal00"/>
              <w:widowControl/>
              <w:spacing w:line="240" w:lineRule="auto"/>
              <w:ind w:firstLineChars="0" w:firstLine="0"/>
              <w:jc w:val="left"/>
              <w:rPr>
                <w:rFonts w:eastAsia="宋体"/>
                <w:color w:val="000000" w:themeColor="text1"/>
                <w:sz w:val="21"/>
              </w:rPr>
            </w:pPr>
          </w:p>
        </w:tc>
        <w:tc>
          <w:tcPr>
            <w:tcW w:w="748" w:type="pct"/>
            <w:vAlign w:val="center"/>
          </w:tcPr>
          <w:p w14:paraId="1EF6F71B" w14:textId="77777777" w:rsidR="00B0005F" w:rsidRPr="008A2411" w:rsidRDefault="00000000">
            <w:pPr>
              <w:pStyle w:val="Normal00"/>
              <w:widowControl/>
              <w:spacing w:line="240" w:lineRule="auto"/>
              <w:ind w:firstLineChars="0" w:firstLine="0"/>
              <w:jc w:val="center"/>
              <w:rPr>
                <w:rFonts w:eastAsia="宋体"/>
                <w:color w:val="000000" w:themeColor="text1"/>
                <w:sz w:val="21"/>
              </w:rPr>
            </w:pPr>
            <w:r w:rsidRPr="008A2411">
              <w:rPr>
                <w:rFonts w:eastAsia="宋体" w:hint="eastAsia"/>
                <w:color w:val="000000" w:themeColor="text1"/>
                <w:sz w:val="21"/>
              </w:rPr>
              <w:t>/</w:t>
            </w:r>
          </w:p>
        </w:tc>
        <w:tc>
          <w:tcPr>
            <w:tcW w:w="399" w:type="pct"/>
            <w:vAlign w:val="center"/>
          </w:tcPr>
          <w:p w14:paraId="03729AE2" w14:textId="77777777" w:rsidR="00B0005F" w:rsidRPr="008A2411" w:rsidRDefault="00000000">
            <w:pPr>
              <w:pStyle w:val="Normal00"/>
              <w:widowControl/>
              <w:spacing w:line="240" w:lineRule="auto"/>
              <w:ind w:firstLineChars="0" w:firstLine="0"/>
              <w:jc w:val="center"/>
              <w:rPr>
                <w:rFonts w:eastAsia="宋体"/>
                <w:color w:val="000000" w:themeColor="text1"/>
                <w:sz w:val="21"/>
              </w:rPr>
            </w:pPr>
            <w:r w:rsidRPr="008A2411">
              <w:rPr>
                <w:rFonts w:eastAsia="宋体" w:hint="eastAsia"/>
                <w:color w:val="000000" w:themeColor="text1"/>
                <w:sz w:val="21"/>
              </w:rPr>
              <w:t>/</w:t>
            </w:r>
          </w:p>
        </w:tc>
      </w:tr>
      <w:tr w:rsidR="008A2411" w:rsidRPr="008A2411" w14:paraId="7072BE63" w14:textId="77777777">
        <w:trPr>
          <w:jc w:val="center"/>
        </w:trPr>
        <w:tc>
          <w:tcPr>
            <w:tcW w:w="375" w:type="pct"/>
            <w:vAlign w:val="center"/>
          </w:tcPr>
          <w:p w14:paraId="1A1B63A2" w14:textId="77777777" w:rsidR="00B0005F" w:rsidRPr="008A2411" w:rsidRDefault="00000000">
            <w:pPr>
              <w:pStyle w:val="Normal00"/>
              <w:widowControl/>
              <w:spacing w:line="240" w:lineRule="auto"/>
              <w:ind w:firstLineChars="0" w:firstLine="0"/>
              <w:jc w:val="left"/>
              <w:rPr>
                <w:rFonts w:eastAsia="宋体"/>
                <w:color w:val="000000" w:themeColor="text1"/>
                <w:sz w:val="21"/>
              </w:rPr>
            </w:pPr>
            <w:r w:rsidRPr="008A2411">
              <w:rPr>
                <w:rFonts w:eastAsia="宋体" w:hint="eastAsia"/>
                <w:color w:val="000000" w:themeColor="text1"/>
                <w:sz w:val="21"/>
              </w:rPr>
              <w:t>YS5117222420004</w:t>
            </w:r>
          </w:p>
        </w:tc>
        <w:tc>
          <w:tcPr>
            <w:tcW w:w="528" w:type="pct"/>
            <w:vAlign w:val="center"/>
          </w:tcPr>
          <w:p w14:paraId="27C9EF3B" w14:textId="77777777" w:rsidR="00B0005F" w:rsidRPr="008A2411" w:rsidRDefault="00000000">
            <w:pPr>
              <w:pStyle w:val="Normal00"/>
              <w:widowControl/>
              <w:spacing w:line="240" w:lineRule="auto"/>
              <w:ind w:firstLineChars="0" w:firstLine="0"/>
              <w:jc w:val="center"/>
              <w:rPr>
                <w:rFonts w:eastAsia="宋体"/>
                <w:color w:val="000000" w:themeColor="text1"/>
                <w:kern w:val="0"/>
                <w:sz w:val="21"/>
              </w:rPr>
            </w:pPr>
            <w:r w:rsidRPr="008A2411">
              <w:rPr>
                <w:rFonts w:eastAsia="宋体" w:hint="eastAsia"/>
                <w:color w:val="000000" w:themeColor="text1"/>
                <w:kern w:val="0"/>
                <w:sz w:val="21"/>
              </w:rPr>
              <w:t>宣汉县建设用地污染风险重点管控区</w:t>
            </w:r>
          </w:p>
        </w:tc>
        <w:tc>
          <w:tcPr>
            <w:tcW w:w="414" w:type="pct"/>
            <w:vAlign w:val="center"/>
          </w:tcPr>
          <w:p w14:paraId="08EB78D0" w14:textId="77777777" w:rsidR="00B0005F" w:rsidRPr="008A2411" w:rsidRDefault="00000000">
            <w:pPr>
              <w:pStyle w:val="Normal00"/>
              <w:widowControl/>
              <w:spacing w:line="240" w:lineRule="auto"/>
              <w:ind w:firstLineChars="0" w:firstLine="0"/>
              <w:jc w:val="center"/>
              <w:rPr>
                <w:rFonts w:eastAsia="宋体"/>
                <w:color w:val="000000" w:themeColor="text1"/>
                <w:kern w:val="0"/>
                <w:sz w:val="21"/>
              </w:rPr>
            </w:pPr>
            <w:r w:rsidRPr="008A2411">
              <w:rPr>
                <w:rFonts w:eastAsia="宋体" w:hint="eastAsia"/>
                <w:color w:val="000000" w:themeColor="text1"/>
                <w:kern w:val="0"/>
                <w:sz w:val="21"/>
              </w:rPr>
              <w:t>/</w:t>
            </w:r>
          </w:p>
        </w:tc>
        <w:tc>
          <w:tcPr>
            <w:tcW w:w="2536" w:type="pct"/>
            <w:vMerge/>
            <w:vAlign w:val="center"/>
          </w:tcPr>
          <w:p w14:paraId="4C8676E3" w14:textId="77777777" w:rsidR="00B0005F" w:rsidRPr="008A2411" w:rsidRDefault="00B0005F">
            <w:pPr>
              <w:pStyle w:val="Normal00"/>
              <w:widowControl/>
              <w:spacing w:line="240" w:lineRule="auto"/>
              <w:ind w:firstLineChars="0" w:firstLine="0"/>
              <w:jc w:val="left"/>
              <w:rPr>
                <w:rFonts w:eastAsia="宋体"/>
                <w:color w:val="000000" w:themeColor="text1"/>
                <w:sz w:val="21"/>
              </w:rPr>
            </w:pPr>
          </w:p>
        </w:tc>
        <w:tc>
          <w:tcPr>
            <w:tcW w:w="748" w:type="pct"/>
            <w:vAlign w:val="center"/>
          </w:tcPr>
          <w:p w14:paraId="5D8BCC90" w14:textId="77777777" w:rsidR="00B0005F" w:rsidRPr="008A2411" w:rsidRDefault="00000000">
            <w:pPr>
              <w:pStyle w:val="Normal00"/>
              <w:widowControl/>
              <w:spacing w:line="240" w:lineRule="auto"/>
              <w:ind w:firstLineChars="0" w:firstLine="0"/>
              <w:jc w:val="center"/>
              <w:rPr>
                <w:rFonts w:eastAsia="宋体"/>
                <w:color w:val="000000" w:themeColor="text1"/>
                <w:sz w:val="21"/>
              </w:rPr>
            </w:pPr>
            <w:r w:rsidRPr="008A2411">
              <w:rPr>
                <w:rFonts w:eastAsia="宋体" w:hint="eastAsia"/>
                <w:color w:val="000000" w:themeColor="text1"/>
                <w:sz w:val="21"/>
              </w:rPr>
              <w:t>/</w:t>
            </w:r>
          </w:p>
        </w:tc>
        <w:tc>
          <w:tcPr>
            <w:tcW w:w="399" w:type="pct"/>
            <w:vAlign w:val="center"/>
          </w:tcPr>
          <w:p w14:paraId="573391F1" w14:textId="77777777" w:rsidR="00B0005F" w:rsidRPr="008A2411" w:rsidRDefault="00000000">
            <w:pPr>
              <w:pStyle w:val="Normal00"/>
              <w:widowControl/>
              <w:spacing w:line="240" w:lineRule="auto"/>
              <w:ind w:firstLineChars="0" w:firstLine="0"/>
              <w:jc w:val="center"/>
              <w:rPr>
                <w:rFonts w:eastAsia="宋体"/>
                <w:color w:val="000000" w:themeColor="text1"/>
                <w:sz w:val="21"/>
              </w:rPr>
            </w:pPr>
            <w:r w:rsidRPr="008A2411">
              <w:rPr>
                <w:rFonts w:eastAsia="宋体" w:hint="eastAsia"/>
                <w:color w:val="000000" w:themeColor="text1"/>
                <w:sz w:val="21"/>
              </w:rPr>
              <w:t>/</w:t>
            </w:r>
          </w:p>
        </w:tc>
      </w:tr>
    </w:tbl>
    <w:p w14:paraId="7CFED51F" w14:textId="57B44737" w:rsidR="00B0005F" w:rsidRPr="008A2411" w:rsidRDefault="00324B1E" w:rsidP="00324B1E">
      <w:pPr>
        <w:pStyle w:val="L-3"/>
        <w:adjustRightInd w:val="0"/>
        <w:snapToGrid w:val="0"/>
        <w:spacing w:before="0" w:after="0" w:line="360" w:lineRule="auto"/>
        <w:ind w:leftChars="200" w:left="480"/>
        <w:jc w:val="left"/>
        <w:outlineLvl w:val="9"/>
        <w:rPr>
          <w:rFonts w:ascii="Times New Roman"/>
          <w:b w:val="0"/>
          <w:bCs w:val="0"/>
          <w:color w:val="000000" w:themeColor="text1"/>
          <w:sz w:val="24"/>
          <w:szCs w:val="20"/>
          <w:lang w:bidi="ar-SA"/>
        </w:rPr>
      </w:pPr>
      <w:r w:rsidRPr="008A2411">
        <w:rPr>
          <w:rFonts w:ascii="Times New Roman"/>
          <w:b w:val="0"/>
          <w:bCs w:val="0"/>
          <w:color w:val="000000" w:themeColor="text1"/>
          <w:sz w:val="24"/>
          <w:szCs w:val="20"/>
          <w:lang w:bidi="ar-SA"/>
        </w:rPr>
        <w:t>综上所述，本项目的建设符合</w:t>
      </w:r>
      <w:r w:rsidRPr="008A2411">
        <w:rPr>
          <w:rFonts w:ascii="Times New Roman" w:hint="eastAsia"/>
          <w:b w:val="0"/>
          <w:bCs w:val="0"/>
          <w:color w:val="000000" w:themeColor="text1"/>
          <w:sz w:val="24"/>
          <w:szCs w:val="20"/>
          <w:lang w:bidi="ar-SA"/>
        </w:rPr>
        <w:t>“</w:t>
      </w:r>
      <w:r w:rsidRPr="008A2411">
        <w:rPr>
          <w:rFonts w:ascii="Times New Roman"/>
          <w:b w:val="0"/>
          <w:bCs w:val="0"/>
          <w:color w:val="000000" w:themeColor="text1"/>
          <w:sz w:val="24"/>
          <w:szCs w:val="20"/>
          <w:lang w:bidi="ar-SA"/>
        </w:rPr>
        <w:t>三线一单</w:t>
      </w:r>
      <w:r w:rsidRPr="008A2411">
        <w:rPr>
          <w:rFonts w:ascii="Times New Roman" w:hint="eastAsia"/>
          <w:b w:val="0"/>
          <w:bCs w:val="0"/>
          <w:color w:val="000000" w:themeColor="text1"/>
          <w:sz w:val="24"/>
          <w:szCs w:val="20"/>
          <w:lang w:bidi="ar-SA"/>
        </w:rPr>
        <w:t>”的管控</w:t>
      </w:r>
      <w:r w:rsidRPr="008A2411">
        <w:rPr>
          <w:rFonts w:ascii="Times New Roman"/>
          <w:b w:val="0"/>
          <w:bCs w:val="0"/>
          <w:color w:val="000000" w:themeColor="text1"/>
          <w:sz w:val="24"/>
          <w:szCs w:val="20"/>
          <w:lang w:bidi="ar-SA"/>
        </w:rPr>
        <w:t>要求</w:t>
      </w:r>
      <w:r w:rsidRPr="008A2411">
        <w:rPr>
          <w:rFonts w:ascii="Times New Roman" w:hint="eastAsia"/>
          <w:b w:val="0"/>
          <w:bCs w:val="0"/>
          <w:color w:val="000000" w:themeColor="text1"/>
          <w:sz w:val="24"/>
          <w:szCs w:val="20"/>
          <w:lang w:bidi="ar-SA"/>
        </w:rPr>
        <w:t>。</w:t>
      </w:r>
    </w:p>
    <w:p w14:paraId="5742FB86" w14:textId="77777777" w:rsidR="00B0005F" w:rsidRPr="008A2411" w:rsidRDefault="00000000">
      <w:pPr>
        <w:pStyle w:val="L-3"/>
        <w:adjustRightInd w:val="0"/>
        <w:snapToGrid w:val="0"/>
        <w:spacing w:before="0" w:after="0" w:line="360" w:lineRule="auto"/>
        <w:jc w:val="left"/>
        <w:rPr>
          <w:rFonts w:ascii="Times New Roman"/>
          <w:color w:val="000000" w:themeColor="text1"/>
          <w:sz w:val="24"/>
          <w:szCs w:val="24"/>
          <w:lang w:bidi="ar-SA"/>
        </w:rPr>
      </w:pPr>
      <w:r w:rsidRPr="008A2411">
        <w:rPr>
          <w:rFonts w:ascii="Times New Roman"/>
          <w:color w:val="000000" w:themeColor="text1"/>
          <w:sz w:val="24"/>
          <w:szCs w:val="24"/>
          <w:lang w:bidi="ar-SA"/>
        </w:rPr>
        <w:t>2.4.5</w:t>
      </w:r>
      <w:r w:rsidRPr="008A2411">
        <w:rPr>
          <w:rFonts w:ascii="Times New Roman"/>
          <w:color w:val="000000" w:themeColor="text1"/>
          <w:sz w:val="24"/>
          <w:szCs w:val="24"/>
          <w:lang w:bidi="ar-SA"/>
        </w:rPr>
        <w:t>与大气污染防治等相关政策符合性分析</w:t>
      </w:r>
    </w:p>
    <w:p w14:paraId="16DDF725" w14:textId="52BBA5F8" w:rsidR="00B0005F" w:rsidRPr="008A2411" w:rsidRDefault="00000000">
      <w:pPr>
        <w:adjustRightInd w:val="0"/>
        <w:snapToGrid w:val="0"/>
        <w:spacing w:line="360" w:lineRule="auto"/>
        <w:ind w:firstLine="482"/>
        <w:rPr>
          <w:rFonts w:ascii="Times New Roman" w:eastAsia="黑体"/>
          <w:color w:val="000000" w:themeColor="text1"/>
          <w:sz w:val="21"/>
          <w:szCs w:val="21"/>
        </w:rPr>
      </w:pPr>
      <w:r w:rsidRPr="008A2411">
        <w:rPr>
          <w:rFonts w:ascii="Times New Roman"/>
          <w:color w:val="000000" w:themeColor="text1"/>
        </w:rPr>
        <w:t>本项目与《关于印发四川省打赢蓝天保卫战等九个实施方案的通知》（川府发〔</w:t>
      </w:r>
      <w:r w:rsidRPr="008A2411">
        <w:rPr>
          <w:rFonts w:ascii="Times New Roman"/>
          <w:color w:val="000000" w:themeColor="text1"/>
        </w:rPr>
        <w:t>2019</w:t>
      </w:r>
      <w:r w:rsidRPr="008A2411">
        <w:rPr>
          <w:rFonts w:ascii="Times New Roman"/>
          <w:color w:val="000000" w:themeColor="text1"/>
        </w:rPr>
        <w:t>〕</w:t>
      </w:r>
      <w:r w:rsidRPr="008A2411">
        <w:rPr>
          <w:rFonts w:ascii="Times New Roman"/>
          <w:color w:val="000000" w:themeColor="text1"/>
        </w:rPr>
        <w:t>4</w:t>
      </w:r>
      <w:r w:rsidRPr="008A2411">
        <w:rPr>
          <w:rFonts w:ascii="Times New Roman"/>
          <w:color w:val="000000" w:themeColor="text1"/>
        </w:rPr>
        <w:t>号）</w:t>
      </w:r>
      <w:r w:rsidR="00A2035F" w:rsidRPr="008A2411">
        <w:rPr>
          <w:rFonts w:ascii="Times New Roman" w:hint="eastAsia"/>
          <w:color w:val="000000" w:themeColor="text1"/>
        </w:rPr>
        <w:t>、</w:t>
      </w:r>
      <w:r w:rsidRPr="008A2411">
        <w:rPr>
          <w:rFonts w:ascii="Times New Roman"/>
          <w:color w:val="000000" w:themeColor="text1"/>
        </w:rPr>
        <w:t>《四川省环境污染防治</w:t>
      </w:r>
      <w:r w:rsidRPr="008A2411">
        <w:rPr>
          <w:rFonts w:ascii="Times New Roman"/>
          <w:color w:val="000000" w:themeColor="text1"/>
        </w:rPr>
        <w:t>“</w:t>
      </w:r>
      <w:r w:rsidRPr="008A2411">
        <w:rPr>
          <w:rFonts w:ascii="Times New Roman"/>
          <w:color w:val="000000" w:themeColor="text1"/>
        </w:rPr>
        <w:t>三大战役</w:t>
      </w:r>
      <w:r w:rsidRPr="008A2411">
        <w:rPr>
          <w:rFonts w:ascii="Times New Roman"/>
          <w:color w:val="000000" w:themeColor="text1"/>
        </w:rPr>
        <w:t>”</w:t>
      </w:r>
      <w:r w:rsidRPr="008A2411">
        <w:rPr>
          <w:rFonts w:ascii="Times New Roman"/>
          <w:color w:val="000000" w:themeColor="text1"/>
        </w:rPr>
        <w:t>实施方案》的符合性分析如下：</w:t>
      </w:r>
    </w:p>
    <w:p w14:paraId="37590434" w14:textId="77777777" w:rsidR="00B0005F" w:rsidRPr="008A2411" w:rsidRDefault="00000000">
      <w:pPr>
        <w:jc w:val="center"/>
        <w:rPr>
          <w:rFonts w:ascii="Times New Roman" w:eastAsia="黑体"/>
          <w:color w:val="000000" w:themeColor="text1"/>
          <w:sz w:val="21"/>
          <w:szCs w:val="21"/>
        </w:rPr>
      </w:pPr>
      <w:r w:rsidRPr="008A2411">
        <w:rPr>
          <w:rFonts w:ascii="Times New Roman" w:eastAsia="黑体"/>
          <w:color w:val="000000" w:themeColor="text1"/>
          <w:sz w:val="21"/>
          <w:szCs w:val="21"/>
        </w:rPr>
        <w:t>表</w:t>
      </w:r>
      <w:r w:rsidRPr="008A2411">
        <w:rPr>
          <w:rFonts w:ascii="Times New Roman" w:eastAsia="黑体" w:hint="eastAsia"/>
          <w:color w:val="000000" w:themeColor="text1"/>
          <w:sz w:val="21"/>
          <w:szCs w:val="21"/>
        </w:rPr>
        <w:t>2.4-5</w:t>
      </w:r>
      <w:r w:rsidRPr="008A2411">
        <w:rPr>
          <w:rFonts w:ascii="Times New Roman" w:eastAsia="黑体"/>
          <w:color w:val="000000" w:themeColor="text1"/>
          <w:sz w:val="21"/>
          <w:szCs w:val="21"/>
        </w:rPr>
        <w:t xml:space="preserve">  </w:t>
      </w:r>
      <w:r w:rsidRPr="008A2411">
        <w:rPr>
          <w:rFonts w:ascii="Times New Roman" w:eastAsia="黑体"/>
          <w:color w:val="000000" w:themeColor="text1"/>
          <w:sz w:val="21"/>
          <w:szCs w:val="21"/>
        </w:rPr>
        <w:t>与大气污染防治等相关政策符合性</w:t>
      </w:r>
    </w:p>
    <w:tbl>
      <w:tblPr>
        <w:tblW w:w="873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15"/>
        <w:gridCol w:w="4568"/>
        <w:gridCol w:w="2137"/>
        <w:gridCol w:w="712"/>
      </w:tblGrid>
      <w:tr w:rsidR="008A2411" w:rsidRPr="008A2411" w14:paraId="64C55A43" w14:textId="77777777">
        <w:trPr>
          <w:trHeight w:val="274"/>
          <w:tblHeader/>
          <w:jc w:val="center"/>
        </w:trPr>
        <w:tc>
          <w:tcPr>
            <w:tcW w:w="1315" w:type="dxa"/>
            <w:vAlign w:val="center"/>
          </w:tcPr>
          <w:p w14:paraId="6D030638" w14:textId="77777777" w:rsidR="00B0005F" w:rsidRPr="008A2411" w:rsidRDefault="00000000">
            <w:pPr>
              <w:jc w:val="center"/>
              <w:rPr>
                <w:rFonts w:ascii="Times New Roman"/>
                <w:b/>
                <w:color w:val="000000" w:themeColor="text1"/>
                <w:sz w:val="21"/>
              </w:rPr>
            </w:pPr>
            <w:r w:rsidRPr="008A2411">
              <w:rPr>
                <w:rFonts w:ascii="Times New Roman"/>
                <w:b/>
                <w:color w:val="000000" w:themeColor="text1"/>
                <w:sz w:val="21"/>
              </w:rPr>
              <w:t>大气污染防治规划文件</w:t>
            </w:r>
          </w:p>
        </w:tc>
        <w:tc>
          <w:tcPr>
            <w:tcW w:w="4568" w:type="dxa"/>
            <w:vAlign w:val="center"/>
          </w:tcPr>
          <w:p w14:paraId="28128F8D" w14:textId="77777777" w:rsidR="00B0005F" w:rsidRPr="008A2411" w:rsidRDefault="00000000">
            <w:pPr>
              <w:jc w:val="center"/>
              <w:rPr>
                <w:rFonts w:ascii="Times New Roman"/>
                <w:b/>
                <w:color w:val="000000" w:themeColor="text1"/>
                <w:sz w:val="21"/>
              </w:rPr>
            </w:pPr>
            <w:r w:rsidRPr="008A2411">
              <w:rPr>
                <w:rFonts w:ascii="Times New Roman"/>
                <w:b/>
                <w:color w:val="000000" w:themeColor="text1"/>
                <w:sz w:val="21"/>
              </w:rPr>
              <w:t>规划要求</w:t>
            </w:r>
          </w:p>
        </w:tc>
        <w:tc>
          <w:tcPr>
            <w:tcW w:w="2137" w:type="dxa"/>
            <w:vAlign w:val="center"/>
          </w:tcPr>
          <w:p w14:paraId="6B19DBC7" w14:textId="77777777" w:rsidR="00B0005F" w:rsidRPr="008A2411" w:rsidRDefault="00000000">
            <w:pPr>
              <w:jc w:val="center"/>
              <w:rPr>
                <w:rFonts w:ascii="Times New Roman"/>
                <w:b/>
                <w:color w:val="000000" w:themeColor="text1"/>
                <w:sz w:val="21"/>
              </w:rPr>
            </w:pPr>
            <w:r w:rsidRPr="008A2411">
              <w:rPr>
                <w:rFonts w:ascii="Times New Roman"/>
                <w:b/>
                <w:color w:val="000000" w:themeColor="text1"/>
                <w:sz w:val="21"/>
              </w:rPr>
              <w:t>本项目情况</w:t>
            </w:r>
          </w:p>
        </w:tc>
        <w:tc>
          <w:tcPr>
            <w:tcW w:w="712" w:type="dxa"/>
            <w:vAlign w:val="center"/>
          </w:tcPr>
          <w:p w14:paraId="5A114D0A" w14:textId="77777777" w:rsidR="00B0005F" w:rsidRPr="008A2411" w:rsidRDefault="00000000">
            <w:pPr>
              <w:jc w:val="center"/>
              <w:rPr>
                <w:rFonts w:ascii="Times New Roman"/>
                <w:b/>
                <w:color w:val="000000" w:themeColor="text1"/>
                <w:sz w:val="21"/>
              </w:rPr>
            </w:pPr>
            <w:r w:rsidRPr="008A2411">
              <w:rPr>
                <w:rFonts w:ascii="Times New Roman"/>
                <w:b/>
                <w:color w:val="000000" w:themeColor="text1"/>
                <w:sz w:val="21"/>
              </w:rPr>
              <w:t>符合性</w:t>
            </w:r>
          </w:p>
        </w:tc>
      </w:tr>
      <w:tr w:rsidR="008A2411" w:rsidRPr="008A2411" w14:paraId="0D3E176A" w14:textId="77777777">
        <w:trPr>
          <w:trHeight w:val="64"/>
          <w:jc w:val="center"/>
        </w:trPr>
        <w:tc>
          <w:tcPr>
            <w:tcW w:w="1315" w:type="dxa"/>
            <w:vAlign w:val="center"/>
          </w:tcPr>
          <w:p w14:paraId="0224B02F" w14:textId="77777777" w:rsidR="00B0005F" w:rsidRPr="008A2411" w:rsidRDefault="00000000">
            <w:pPr>
              <w:jc w:val="center"/>
              <w:rPr>
                <w:rFonts w:ascii="Times New Roman"/>
                <w:bCs/>
                <w:color w:val="000000" w:themeColor="text1"/>
                <w:sz w:val="21"/>
              </w:rPr>
            </w:pPr>
            <w:r w:rsidRPr="008A2411">
              <w:rPr>
                <w:rFonts w:ascii="Times New Roman"/>
                <w:bCs/>
                <w:color w:val="000000" w:themeColor="text1"/>
                <w:sz w:val="21"/>
              </w:rPr>
              <w:t>《关于印发四川省打赢蓝天保卫战等九个实施方案的通知》（川府发〔</w:t>
            </w:r>
            <w:r w:rsidRPr="008A2411">
              <w:rPr>
                <w:rFonts w:ascii="Times New Roman"/>
                <w:bCs/>
                <w:color w:val="000000" w:themeColor="text1"/>
                <w:sz w:val="21"/>
              </w:rPr>
              <w:t>2019</w:t>
            </w:r>
            <w:r w:rsidRPr="008A2411">
              <w:rPr>
                <w:rFonts w:ascii="Times New Roman"/>
                <w:bCs/>
                <w:color w:val="000000" w:themeColor="text1"/>
                <w:sz w:val="21"/>
              </w:rPr>
              <w:t>〕</w:t>
            </w:r>
            <w:r w:rsidRPr="008A2411">
              <w:rPr>
                <w:rFonts w:ascii="Times New Roman"/>
                <w:bCs/>
                <w:color w:val="000000" w:themeColor="text1"/>
                <w:sz w:val="21"/>
              </w:rPr>
              <w:t>4</w:t>
            </w:r>
            <w:r w:rsidRPr="008A2411">
              <w:rPr>
                <w:rFonts w:ascii="Times New Roman"/>
                <w:bCs/>
                <w:color w:val="000000" w:themeColor="text1"/>
                <w:sz w:val="21"/>
              </w:rPr>
              <w:t>号）</w:t>
            </w:r>
          </w:p>
        </w:tc>
        <w:tc>
          <w:tcPr>
            <w:tcW w:w="4568" w:type="dxa"/>
            <w:vAlign w:val="center"/>
          </w:tcPr>
          <w:p w14:paraId="5487A781" w14:textId="77777777" w:rsidR="00B0005F" w:rsidRPr="008A2411" w:rsidRDefault="00000000">
            <w:pPr>
              <w:jc w:val="center"/>
              <w:rPr>
                <w:rFonts w:ascii="Times New Roman"/>
                <w:bCs/>
                <w:color w:val="000000" w:themeColor="text1"/>
                <w:sz w:val="21"/>
              </w:rPr>
            </w:pPr>
            <w:r w:rsidRPr="008A2411">
              <w:rPr>
                <w:rFonts w:ascii="Times New Roman"/>
                <w:bCs/>
                <w:color w:val="000000" w:themeColor="text1"/>
                <w:sz w:val="21"/>
              </w:rPr>
              <w:t>《四川省打赢蓝天保卫战实施方案》</w:t>
            </w:r>
          </w:p>
          <w:p w14:paraId="7331F50D" w14:textId="77777777" w:rsidR="00B0005F" w:rsidRPr="008A2411" w:rsidRDefault="00000000">
            <w:pPr>
              <w:jc w:val="center"/>
              <w:rPr>
                <w:rFonts w:ascii="Times New Roman"/>
                <w:bCs/>
                <w:color w:val="000000" w:themeColor="text1"/>
                <w:sz w:val="21"/>
              </w:rPr>
            </w:pPr>
            <w:r w:rsidRPr="008A2411">
              <w:rPr>
                <w:rFonts w:ascii="Times New Roman"/>
                <w:bCs/>
                <w:color w:val="000000" w:themeColor="text1"/>
                <w:sz w:val="21"/>
              </w:rPr>
              <w:t>三、重点任务</w:t>
            </w:r>
          </w:p>
          <w:p w14:paraId="5E92E7DC" w14:textId="77777777" w:rsidR="00B0005F" w:rsidRPr="008A2411" w:rsidRDefault="00000000">
            <w:pPr>
              <w:jc w:val="center"/>
              <w:rPr>
                <w:rFonts w:ascii="Times New Roman"/>
                <w:bCs/>
                <w:color w:val="000000" w:themeColor="text1"/>
                <w:sz w:val="21"/>
              </w:rPr>
            </w:pPr>
            <w:r w:rsidRPr="008A2411">
              <w:rPr>
                <w:rFonts w:ascii="Times New Roman"/>
                <w:bCs/>
                <w:color w:val="000000" w:themeColor="text1"/>
                <w:sz w:val="21"/>
              </w:rPr>
              <w:t>（一）调整产业结构，深化工业污染治理。</w:t>
            </w:r>
          </w:p>
          <w:p w14:paraId="44D5D1BE" w14:textId="77777777" w:rsidR="00B0005F" w:rsidRPr="008A2411" w:rsidRDefault="00000000">
            <w:pPr>
              <w:jc w:val="center"/>
              <w:rPr>
                <w:rFonts w:ascii="Times New Roman"/>
                <w:bCs/>
                <w:color w:val="000000" w:themeColor="text1"/>
                <w:sz w:val="21"/>
              </w:rPr>
            </w:pPr>
            <w:r w:rsidRPr="008A2411">
              <w:rPr>
                <w:rFonts w:ascii="Times New Roman"/>
                <w:bCs/>
                <w:color w:val="000000" w:themeColor="text1"/>
                <w:sz w:val="21"/>
              </w:rPr>
              <w:t>强化</w:t>
            </w:r>
            <w:r w:rsidRPr="008A2411">
              <w:rPr>
                <w:rFonts w:ascii="Times New Roman"/>
                <w:bCs/>
                <w:color w:val="000000" w:themeColor="text1"/>
                <w:sz w:val="21"/>
              </w:rPr>
              <w:t>“</w:t>
            </w:r>
            <w:r w:rsidRPr="008A2411">
              <w:rPr>
                <w:rFonts w:ascii="Times New Roman"/>
                <w:bCs/>
                <w:color w:val="000000" w:themeColor="text1"/>
                <w:sz w:val="21"/>
              </w:rPr>
              <w:t>三线一单</w:t>
            </w:r>
            <w:r w:rsidRPr="008A2411">
              <w:rPr>
                <w:rFonts w:ascii="Times New Roman"/>
                <w:bCs/>
                <w:color w:val="000000" w:themeColor="text1"/>
                <w:sz w:val="21"/>
              </w:rPr>
              <w:t>”</w:t>
            </w:r>
            <w:r w:rsidRPr="008A2411">
              <w:rPr>
                <w:rFonts w:ascii="Times New Roman"/>
                <w:bCs/>
                <w:color w:val="000000" w:themeColor="text1"/>
                <w:sz w:val="21"/>
              </w:rPr>
              <w:t>（生态保护红线、环境质量底线、资源利用上生态环境准入清单）约束，明确禁止和限制发展的行业、生产工艺和产业目录，优化产业布局和资源配置。积极</w:t>
            </w:r>
            <w:proofErr w:type="gramStart"/>
            <w:r w:rsidRPr="008A2411">
              <w:rPr>
                <w:rFonts w:ascii="Times New Roman"/>
                <w:bCs/>
                <w:color w:val="000000" w:themeColor="text1"/>
                <w:sz w:val="21"/>
              </w:rPr>
              <w:t>推行区境影响</w:t>
            </w:r>
            <w:proofErr w:type="gramEnd"/>
            <w:r w:rsidRPr="008A2411">
              <w:rPr>
                <w:rFonts w:ascii="Times New Roman"/>
                <w:bCs/>
                <w:color w:val="000000" w:themeColor="text1"/>
                <w:sz w:val="21"/>
              </w:rPr>
              <w:t>评价，新、改、扩建钢铁、石化、化工、焦化、建材、的环境影响评价应满足区域、规划环境影响评价要求。（二）优化能源结构，构建清洁能源体系。加快发展清洁能源。科学有序推进水电、天然气（页岩气）、风电、太阳能、生物质能等清洁能源开发利用。（四）加强扬尘管控，提高城市环境管理水平。</w:t>
            </w:r>
          </w:p>
          <w:p w14:paraId="59DC324D" w14:textId="77777777" w:rsidR="00B0005F" w:rsidRPr="008A2411" w:rsidRDefault="00000000">
            <w:pPr>
              <w:jc w:val="center"/>
              <w:rPr>
                <w:rFonts w:ascii="Times New Roman"/>
                <w:bCs/>
                <w:color w:val="000000" w:themeColor="text1"/>
                <w:sz w:val="21"/>
              </w:rPr>
            </w:pPr>
            <w:r w:rsidRPr="008A2411">
              <w:rPr>
                <w:rFonts w:ascii="Times New Roman"/>
                <w:bCs/>
                <w:color w:val="000000" w:themeColor="text1"/>
                <w:sz w:val="21"/>
              </w:rPr>
              <w:t>严格施工扬尘监管。大力推进装配式建筑，推广</w:t>
            </w:r>
            <w:r w:rsidRPr="008A2411">
              <w:rPr>
                <w:rFonts w:ascii="Times New Roman"/>
                <w:bCs/>
                <w:color w:val="000000" w:themeColor="text1"/>
                <w:sz w:val="21"/>
              </w:rPr>
              <w:lastRenderedPageBreak/>
              <w:t>节能降耗的建筑新技术和新工艺，提高绿色施工水平。</w:t>
            </w:r>
          </w:p>
        </w:tc>
        <w:tc>
          <w:tcPr>
            <w:tcW w:w="2137" w:type="dxa"/>
            <w:vAlign w:val="center"/>
          </w:tcPr>
          <w:p w14:paraId="6F828A5D" w14:textId="77777777" w:rsidR="00B0005F" w:rsidRPr="008A2411" w:rsidRDefault="00000000">
            <w:pPr>
              <w:jc w:val="center"/>
              <w:rPr>
                <w:rFonts w:ascii="Times New Roman"/>
                <w:bCs/>
                <w:color w:val="000000" w:themeColor="text1"/>
                <w:sz w:val="21"/>
              </w:rPr>
            </w:pPr>
            <w:r w:rsidRPr="008A2411">
              <w:rPr>
                <w:rFonts w:ascii="Times New Roman"/>
                <w:bCs/>
                <w:color w:val="000000" w:themeColor="text1"/>
                <w:sz w:val="21"/>
              </w:rPr>
              <w:lastRenderedPageBreak/>
              <w:t>本项目位于宣汉县达州普光化工园区内，项目属于</w:t>
            </w:r>
            <w:r w:rsidRPr="008A2411">
              <w:rPr>
                <w:rFonts w:ascii="Times New Roman" w:hint="eastAsia"/>
                <w:bCs/>
                <w:color w:val="000000" w:themeColor="text1"/>
                <w:sz w:val="21"/>
              </w:rPr>
              <w:t>天然气净化、液化加工生产项目</w:t>
            </w:r>
            <w:r w:rsidRPr="008A2411">
              <w:rPr>
                <w:rFonts w:ascii="Times New Roman"/>
                <w:bCs/>
                <w:color w:val="000000" w:themeColor="text1"/>
                <w:sz w:val="21"/>
              </w:rPr>
              <w:t>，天然气属清洁能源，能减少对大气环境的影响。</w:t>
            </w:r>
          </w:p>
          <w:p w14:paraId="7E02FC2E" w14:textId="77777777" w:rsidR="00B0005F" w:rsidRPr="008A2411" w:rsidRDefault="00000000">
            <w:pPr>
              <w:jc w:val="center"/>
              <w:rPr>
                <w:rFonts w:ascii="Times New Roman"/>
                <w:bCs/>
                <w:color w:val="000000" w:themeColor="text1"/>
                <w:sz w:val="21"/>
              </w:rPr>
            </w:pPr>
            <w:r w:rsidRPr="008A2411">
              <w:rPr>
                <w:rFonts w:ascii="Times New Roman"/>
                <w:bCs/>
                <w:color w:val="000000" w:themeColor="text1"/>
                <w:sz w:val="21"/>
              </w:rPr>
              <w:t>项目严格施工扬尘监管，采用洒水降尘等措施进行施工期扬尘防治，可有效避免施工期扬尘对大气环境的影响。</w:t>
            </w:r>
          </w:p>
        </w:tc>
        <w:tc>
          <w:tcPr>
            <w:tcW w:w="712" w:type="dxa"/>
            <w:vAlign w:val="center"/>
          </w:tcPr>
          <w:p w14:paraId="53916E37" w14:textId="77777777" w:rsidR="00B0005F" w:rsidRPr="008A2411" w:rsidRDefault="00000000">
            <w:pPr>
              <w:jc w:val="center"/>
              <w:rPr>
                <w:rFonts w:ascii="Times New Roman"/>
                <w:bCs/>
                <w:color w:val="000000" w:themeColor="text1"/>
                <w:sz w:val="21"/>
              </w:rPr>
            </w:pPr>
            <w:r w:rsidRPr="008A2411">
              <w:rPr>
                <w:rFonts w:ascii="Times New Roman"/>
                <w:bCs/>
                <w:color w:val="000000" w:themeColor="text1"/>
                <w:sz w:val="21"/>
              </w:rPr>
              <w:t>符合</w:t>
            </w:r>
          </w:p>
        </w:tc>
      </w:tr>
      <w:tr w:rsidR="00B0005F" w:rsidRPr="008A2411" w14:paraId="1CBA3E66" w14:textId="77777777">
        <w:trPr>
          <w:trHeight w:val="68"/>
          <w:jc w:val="center"/>
        </w:trPr>
        <w:tc>
          <w:tcPr>
            <w:tcW w:w="1315" w:type="dxa"/>
            <w:vAlign w:val="center"/>
          </w:tcPr>
          <w:p w14:paraId="78B0040C" w14:textId="77777777" w:rsidR="00B0005F" w:rsidRPr="008A2411" w:rsidRDefault="00000000">
            <w:pPr>
              <w:jc w:val="center"/>
              <w:rPr>
                <w:rFonts w:ascii="Times New Roman"/>
                <w:bCs/>
                <w:color w:val="000000" w:themeColor="text1"/>
                <w:sz w:val="21"/>
              </w:rPr>
            </w:pPr>
            <w:r w:rsidRPr="008A2411">
              <w:rPr>
                <w:rFonts w:ascii="Times New Roman"/>
                <w:bCs/>
                <w:color w:val="000000" w:themeColor="text1"/>
                <w:sz w:val="21"/>
              </w:rPr>
              <w:t>《四川省环境污染防治</w:t>
            </w:r>
            <w:r w:rsidRPr="008A2411">
              <w:rPr>
                <w:rFonts w:ascii="Times New Roman"/>
                <w:bCs/>
                <w:color w:val="000000" w:themeColor="text1"/>
                <w:sz w:val="21"/>
              </w:rPr>
              <w:t>“</w:t>
            </w:r>
            <w:r w:rsidRPr="008A2411">
              <w:rPr>
                <w:rFonts w:ascii="Times New Roman"/>
                <w:bCs/>
                <w:color w:val="000000" w:themeColor="text1"/>
                <w:sz w:val="21"/>
              </w:rPr>
              <w:t>三大战役</w:t>
            </w:r>
            <w:r w:rsidRPr="008A2411">
              <w:rPr>
                <w:rFonts w:ascii="Times New Roman"/>
                <w:bCs/>
                <w:color w:val="000000" w:themeColor="text1"/>
                <w:sz w:val="21"/>
              </w:rPr>
              <w:t>”</w:t>
            </w:r>
            <w:r w:rsidRPr="008A2411">
              <w:rPr>
                <w:rFonts w:ascii="Times New Roman"/>
                <w:bCs/>
                <w:color w:val="000000" w:themeColor="text1"/>
                <w:sz w:val="21"/>
              </w:rPr>
              <w:t>实施方案》</w:t>
            </w:r>
          </w:p>
        </w:tc>
        <w:tc>
          <w:tcPr>
            <w:tcW w:w="4568" w:type="dxa"/>
            <w:vAlign w:val="center"/>
          </w:tcPr>
          <w:p w14:paraId="13983AA5" w14:textId="77777777" w:rsidR="00B0005F" w:rsidRPr="008A2411" w:rsidRDefault="00000000">
            <w:pPr>
              <w:jc w:val="center"/>
              <w:rPr>
                <w:rFonts w:ascii="Times New Roman"/>
                <w:bCs/>
                <w:color w:val="000000" w:themeColor="text1"/>
                <w:sz w:val="21"/>
              </w:rPr>
            </w:pPr>
            <w:r w:rsidRPr="008A2411">
              <w:rPr>
                <w:rFonts w:ascii="Times New Roman"/>
                <w:bCs/>
                <w:color w:val="000000" w:themeColor="text1"/>
                <w:sz w:val="21"/>
              </w:rPr>
              <w:t>实施结构调整减排行动，加快能源结构调整。大幅降低煤炭在一次能源消费中的比重，限制高硫分、高灰分煤炭的开采使用，扩大高污染燃料禁燃区范围，在县级以上城市建成区全面</w:t>
            </w:r>
            <w:proofErr w:type="gramStart"/>
            <w:r w:rsidRPr="008A2411">
              <w:rPr>
                <w:rFonts w:ascii="Times New Roman"/>
                <w:bCs/>
                <w:color w:val="000000" w:themeColor="text1"/>
                <w:sz w:val="21"/>
              </w:rPr>
              <w:t>实施煤改气</w:t>
            </w:r>
            <w:proofErr w:type="gramEnd"/>
            <w:r w:rsidRPr="008A2411">
              <w:rPr>
                <w:rFonts w:ascii="Times New Roman"/>
                <w:bCs/>
                <w:color w:val="000000" w:themeColor="text1"/>
                <w:sz w:val="21"/>
              </w:rPr>
              <w:t>、</w:t>
            </w:r>
            <w:proofErr w:type="gramStart"/>
            <w:r w:rsidRPr="008A2411">
              <w:rPr>
                <w:rFonts w:ascii="Times New Roman"/>
                <w:bCs/>
                <w:color w:val="000000" w:themeColor="text1"/>
                <w:sz w:val="21"/>
              </w:rPr>
              <w:t>煤改电</w:t>
            </w:r>
            <w:proofErr w:type="gramEnd"/>
            <w:r w:rsidRPr="008A2411">
              <w:rPr>
                <w:rFonts w:ascii="Times New Roman"/>
                <w:bCs/>
                <w:color w:val="000000" w:themeColor="text1"/>
                <w:sz w:val="21"/>
              </w:rPr>
              <w:t>，逐步实现工业园区集中供热，到</w:t>
            </w:r>
            <w:r w:rsidRPr="008A2411">
              <w:rPr>
                <w:rFonts w:ascii="Times New Roman"/>
                <w:bCs/>
                <w:color w:val="000000" w:themeColor="text1"/>
                <w:sz w:val="21"/>
              </w:rPr>
              <w:t>2020</w:t>
            </w:r>
            <w:r w:rsidRPr="008A2411">
              <w:rPr>
                <w:rFonts w:ascii="Times New Roman"/>
                <w:bCs/>
                <w:color w:val="000000" w:themeColor="text1"/>
                <w:sz w:val="21"/>
              </w:rPr>
              <w:t>年全省煤炭消费总量削减到</w:t>
            </w:r>
            <w:r w:rsidRPr="008A2411">
              <w:rPr>
                <w:rFonts w:ascii="Times New Roman"/>
                <w:bCs/>
                <w:color w:val="000000" w:themeColor="text1"/>
                <w:sz w:val="21"/>
              </w:rPr>
              <w:t>7700</w:t>
            </w:r>
            <w:r w:rsidRPr="008A2411">
              <w:rPr>
                <w:rFonts w:ascii="Times New Roman"/>
                <w:bCs/>
                <w:color w:val="000000" w:themeColor="text1"/>
                <w:sz w:val="21"/>
              </w:rPr>
              <w:t>万吨以内，比</w:t>
            </w:r>
            <w:r w:rsidRPr="008A2411">
              <w:rPr>
                <w:rFonts w:ascii="Times New Roman"/>
                <w:bCs/>
                <w:color w:val="000000" w:themeColor="text1"/>
                <w:sz w:val="21"/>
              </w:rPr>
              <w:t>2015</w:t>
            </w:r>
            <w:r w:rsidRPr="008A2411">
              <w:rPr>
                <w:rFonts w:ascii="Times New Roman"/>
                <w:bCs/>
                <w:color w:val="000000" w:themeColor="text1"/>
                <w:sz w:val="21"/>
              </w:rPr>
              <w:t>年下降</w:t>
            </w:r>
            <w:r w:rsidRPr="008A2411">
              <w:rPr>
                <w:rFonts w:ascii="Times New Roman"/>
                <w:bCs/>
                <w:color w:val="000000" w:themeColor="text1"/>
                <w:sz w:val="21"/>
              </w:rPr>
              <w:t>14%</w:t>
            </w:r>
            <w:r w:rsidRPr="008A2411">
              <w:rPr>
                <w:rFonts w:ascii="Times New Roman"/>
                <w:bCs/>
                <w:color w:val="000000" w:themeColor="text1"/>
                <w:sz w:val="21"/>
              </w:rPr>
              <w:t>。</w:t>
            </w:r>
          </w:p>
        </w:tc>
        <w:tc>
          <w:tcPr>
            <w:tcW w:w="2137" w:type="dxa"/>
            <w:vAlign w:val="center"/>
          </w:tcPr>
          <w:p w14:paraId="520E9033" w14:textId="77777777" w:rsidR="00B0005F" w:rsidRPr="008A2411" w:rsidRDefault="00000000">
            <w:pPr>
              <w:jc w:val="center"/>
              <w:rPr>
                <w:rFonts w:ascii="Times New Roman"/>
                <w:bCs/>
                <w:color w:val="000000" w:themeColor="text1"/>
                <w:sz w:val="21"/>
              </w:rPr>
            </w:pPr>
            <w:r w:rsidRPr="008A2411">
              <w:rPr>
                <w:rFonts w:ascii="Times New Roman"/>
                <w:bCs/>
                <w:color w:val="000000" w:themeColor="text1"/>
                <w:sz w:val="21"/>
              </w:rPr>
              <w:t>本项目的实施，有利于天然气的使用，有利于降低周边地区的燃煤污染。</w:t>
            </w:r>
          </w:p>
        </w:tc>
        <w:tc>
          <w:tcPr>
            <w:tcW w:w="712" w:type="dxa"/>
            <w:vAlign w:val="center"/>
          </w:tcPr>
          <w:p w14:paraId="13BEE094" w14:textId="77777777" w:rsidR="00B0005F" w:rsidRPr="008A2411" w:rsidRDefault="00000000">
            <w:pPr>
              <w:jc w:val="center"/>
              <w:rPr>
                <w:rFonts w:ascii="Times New Roman"/>
                <w:bCs/>
                <w:color w:val="000000" w:themeColor="text1"/>
                <w:sz w:val="21"/>
              </w:rPr>
            </w:pPr>
            <w:r w:rsidRPr="008A2411">
              <w:rPr>
                <w:rFonts w:ascii="Times New Roman"/>
                <w:bCs/>
                <w:color w:val="000000" w:themeColor="text1"/>
                <w:sz w:val="21"/>
              </w:rPr>
              <w:t>符合</w:t>
            </w:r>
          </w:p>
        </w:tc>
      </w:tr>
    </w:tbl>
    <w:p w14:paraId="2FF87E1C" w14:textId="77777777" w:rsidR="00B0005F" w:rsidRPr="008A2411" w:rsidRDefault="00B0005F">
      <w:pPr>
        <w:pStyle w:val="L-3"/>
        <w:adjustRightInd w:val="0"/>
        <w:snapToGrid w:val="0"/>
        <w:spacing w:before="0" w:after="0" w:line="360" w:lineRule="auto"/>
        <w:outlineLvl w:val="9"/>
        <w:rPr>
          <w:rFonts w:ascii="Times New Roman"/>
          <w:color w:val="000000" w:themeColor="text1"/>
          <w:sz w:val="24"/>
          <w:szCs w:val="24"/>
          <w:lang w:bidi="ar-SA"/>
        </w:rPr>
      </w:pPr>
    </w:p>
    <w:p w14:paraId="6B0AD4B5" w14:textId="77777777" w:rsidR="00B0005F" w:rsidRPr="008A2411" w:rsidRDefault="00000000">
      <w:pPr>
        <w:pStyle w:val="L-3"/>
        <w:adjustRightInd w:val="0"/>
        <w:snapToGrid w:val="0"/>
        <w:spacing w:before="0" w:after="0" w:line="360" w:lineRule="auto"/>
        <w:rPr>
          <w:rFonts w:ascii="Times New Roman"/>
          <w:color w:val="000000" w:themeColor="text1"/>
          <w:sz w:val="24"/>
          <w:szCs w:val="24"/>
          <w:lang w:bidi="ar-SA"/>
        </w:rPr>
      </w:pPr>
      <w:r w:rsidRPr="008A2411">
        <w:rPr>
          <w:rFonts w:ascii="Times New Roman"/>
          <w:color w:val="000000" w:themeColor="text1"/>
          <w:sz w:val="24"/>
          <w:szCs w:val="24"/>
          <w:lang w:bidi="ar-SA"/>
        </w:rPr>
        <w:t>2.4.</w:t>
      </w:r>
      <w:r w:rsidRPr="008A2411">
        <w:rPr>
          <w:rFonts w:ascii="Times New Roman" w:hint="eastAsia"/>
          <w:color w:val="000000" w:themeColor="text1"/>
          <w:sz w:val="24"/>
          <w:szCs w:val="24"/>
          <w:lang w:bidi="ar-SA"/>
        </w:rPr>
        <w:t>6</w:t>
      </w:r>
      <w:r w:rsidRPr="008A2411">
        <w:rPr>
          <w:rFonts w:ascii="Times New Roman"/>
          <w:color w:val="000000" w:themeColor="text1"/>
          <w:sz w:val="24"/>
          <w:szCs w:val="24"/>
          <w:lang w:bidi="ar-SA"/>
        </w:rPr>
        <w:t>与</w:t>
      </w:r>
      <w:r w:rsidRPr="008A2411">
        <w:rPr>
          <w:rFonts w:ascii="Times New Roman" w:hint="eastAsia"/>
          <w:color w:val="000000" w:themeColor="text1"/>
          <w:sz w:val="24"/>
          <w:szCs w:val="24"/>
          <w:lang w:bidi="ar-SA"/>
        </w:rPr>
        <w:t>水污染防治行动计划</w:t>
      </w:r>
      <w:r w:rsidRPr="008A2411">
        <w:rPr>
          <w:rFonts w:ascii="Times New Roman"/>
          <w:color w:val="000000" w:themeColor="text1"/>
          <w:sz w:val="24"/>
          <w:szCs w:val="24"/>
          <w:lang w:bidi="ar-SA"/>
        </w:rPr>
        <w:t>符合性</w:t>
      </w:r>
    </w:p>
    <w:p w14:paraId="198F0A1C" w14:textId="77777777" w:rsidR="00B0005F" w:rsidRPr="008A2411" w:rsidRDefault="00000000">
      <w:pPr>
        <w:adjustRightInd w:val="0"/>
        <w:snapToGrid w:val="0"/>
        <w:spacing w:line="360" w:lineRule="auto"/>
        <w:ind w:firstLine="482"/>
        <w:rPr>
          <w:rFonts w:ascii="Times New Roman"/>
          <w:color w:val="000000" w:themeColor="text1"/>
        </w:rPr>
      </w:pPr>
      <w:r w:rsidRPr="008A2411">
        <w:rPr>
          <w:rFonts w:ascii="Times New Roman"/>
          <w:color w:val="000000" w:themeColor="text1"/>
        </w:rPr>
        <w:t>本项目与《国务院关于印发水污染防治行动计划的通知》（国发〔</w:t>
      </w:r>
      <w:r w:rsidRPr="008A2411">
        <w:rPr>
          <w:rFonts w:ascii="Times New Roman"/>
          <w:color w:val="000000" w:themeColor="text1"/>
        </w:rPr>
        <w:t>2015</w:t>
      </w:r>
      <w:r w:rsidRPr="008A2411">
        <w:rPr>
          <w:rFonts w:ascii="Times New Roman"/>
          <w:color w:val="000000" w:themeColor="text1"/>
        </w:rPr>
        <w:t>〕</w:t>
      </w:r>
      <w:r w:rsidRPr="008A2411">
        <w:rPr>
          <w:rFonts w:ascii="Times New Roman"/>
          <w:color w:val="000000" w:themeColor="text1"/>
        </w:rPr>
        <w:t>17</w:t>
      </w:r>
      <w:r w:rsidRPr="008A2411">
        <w:rPr>
          <w:rFonts w:ascii="Times New Roman"/>
          <w:color w:val="000000" w:themeColor="text1"/>
        </w:rPr>
        <w:t>号）、《四川省人民政府关于印发水污染防治行动计划四川省工作方案的通知》（川府发〔</w:t>
      </w:r>
      <w:r w:rsidRPr="008A2411">
        <w:rPr>
          <w:rFonts w:ascii="Times New Roman"/>
          <w:color w:val="000000" w:themeColor="text1"/>
        </w:rPr>
        <w:t>2015</w:t>
      </w:r>
      <w:r w:rsidRPr="008A2411">
        <w:rPr>
          <w:rFonts w:ascii="Times New Roman"/>
          <w:color w:val="000000" w:themeColor="text1"/>
        </w:rPr>
        <w:t>〕</w:t>
      </w:r>
      <w:r w:rsidRPr="008A2411">
        <w:rPr>
          <w:rFonts w:ascii="Times New Roman"/>
          <w:color w:val="000000" w:themeColor="text1"/>
        </w:rPr>
        <w:t>59</w:t>
      </w:r>
      <w:r w:rsidRPr="008A2411">
        <w:rPr>
          <w:rFonts w:ascii="Times New Roman"/>
          <w:color w:val="000000" w:themeColor="text1"/>
        </w:rPr>
        <w:t>号）的符合性分析如下：</w:t>
      </w:r>
    </w:p>
    <w:p w14:paraId="1F838C72" w14:textId="77777777" w:rsidR="00B0005F" w:rsidRPr="008A2411" w:rsidRDefault="00000000">
      <w:pPr>
        <w:jc w:val="center"/>
        <w:rPr>
          <w:rFonts w:ascii="Times New Roman" w:eastAsia="黑体"/>
          <w:color w:val="000000" w:themeColor="text1"/>
          <w:sz w:val="21"/>
          <w:szCs w:val="21"/>
        </w:rPr>
      </w:pPr>
      <w:r w:rsidRPr="008A2411">
        <w:rPr>
          <w:rFonts w:ascii="Times New Roman" w:eastAsia="黑体"/>
          <w:color w:val="000000" w:themeColor="text1"/>
          <w:sz w:val="21"/>
          <w:szCs w:val="21"/>
        </w:rPr>
        <w:t>表</w:t>
      </w:r>
      <w:r w:rsidRPr="008A2411">
        <w:rPr>
          <w:rFonts w:ascii="Times New Roman" w:eastAsia="黑体" w:hint="eastAsia"/>
          <w:color w:val="000000" w:themeColor="text1"/>
          <w:sz w:val="21"/>
          <w:szCs w:val="21"/>
        </w:rPr>
        <w:t>2.4-6</w:t>
      </w:r>
      <w:r w:rsidRPr="008A2411">
        <w:rPr>
          <w:rFonts w:ascii="Times New Roman" w:eastAsia="黑体"/>
          <w:color w:val="000000" w:themeColor="text1"/>
          <w:sz w:val="21"/>
          <w:szCs w:val="21"/>
        </w:rPr>
        <w:t xml:space="preserve">  </w:t>
      </w:r>
      <w:r w:rsidRPr="008A2411">
        <w:rPr>
          <w:rFonts w:ascii="Times New Roman" w:eastAsia="黑体"/>
          <w:color w:val="000000" w:themeColor="text1"/>
          <w:sz w:val="21"/>
          <w:szCs w:val="21"/>
        </w:rPr>
        <w:t>与水污染防治的符合性分析</w:t>
      </w:r>
    </w:p>
    <w:tbl>
      <w:tblPr>
        <w:tblW w:w="526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2756"/>
        <w:gridCol w:w="3444"/>
        <w:gridCol w:w="1924"/>
        <w:gridCol w:w="676"/>
      </w:tblGrid>
      <w:tr w:rsidR="008A2411" w:rsidRPr="008A2411" w14:paraId="14232BB3" w14:textId="77777777">
        <w:trPr>
          <w:trHeight w:val="63"/>
          <w:tblHeader/>
          <w:jc w:val="center"/>
        </w:trPr>
        <w:tc>
          <w:tcPr>
            <w:tcW w:w="1566" w:type="pct"/>
            <w:vAlign w:val="center"/>
          </w:tcPr>
          <w:p w14:paraId="14AFB4B4" w14:textId="77777777" w:rsidR="00B0005F" w:rsidRPr="008A2411" w:rsidRDefault="00000000">
            <w:pPr>
              <w:jc w:val="center"/>
              <w:rPr>
                <w:rFonts w:ascii="Times New Roman"/>
                <w:b/>
                <w:color w:val="000000" w:themeColor="text1"/>
                <w:sz w:val="21"/>
                <w:szCs w:val="21"/>
              </w:rPr>
            </w:pPr>
            <w:r w:rsidRPr="008A2411">
              <w:rPr>
                <w:rFonts w:ascii="Times New Roman"/>
                <w:b/>
                <w:color w:val="000000" w:themeColor="text1"/>
                <w:sz w:val="21"/>
                <w:szCs w:val="21"/>
              </w:rPr>
              <w:t>水污染防治文件</w:t>
            </w:r>
          </w:p>
        </w:tc>
        <w:tc>
          <w:tcPr>
            <w:tcW w:w="1957" w:type="pct"/>
            <w:vAlign w:val="center"/>
          </w:tcPr>
          <w:p w14:paraId="33B41537" w14:textId="77777777" w:rsidR="00B0005F" w:rsidRPr="008A2411" w:rsidRDefault="00000000">
            <w:pPr>
              <w:jc w:val="center"/>
              <w:rPr>
                <w:rFonts w:ascii="Times New Roman"/>
                <w:b/>
                <w:color w:val="000000" w:themeColor="text1"/>
                <w:sz w:val="21"/>
                <w:szCs w:val="21"/>
              </w:rPr>
            </w:pPr>
            <w:r w:rsidRPr="008A2411">
              <w:rPr>
                <w:rFonts w:ascii="Times New Roman"/>
                <w:b/>
                <w:color w:val="000000" w:themeColor="text1"/>
                <w:sz w:val="21"/>
                <w:szCs w:val="21"/>
              </w:rPr>
              <w:t>规划要求</w:t>
            </w:r>
          </w:p>
        </w:tc>
        <w:tc>
          <w:tcPr>
            <w:tcW w:w="1093" w:type="pct"/>
            <w:vAlign w:val="center"/>
          </w:tcPr>
          <w:p w14:paraId="1E9E9ED2" w14:textId="77777777" w:rsidR="00B0005F" w:rsidRPr="008A2411" w:rsidRDefault="00000000">
            <w:pPr>
              <w:jc w:val="center"/>
              <w:rPr>
                <w:rFonts w:ascii="Times New Roman"/>
                <w:b/>
                <w:color w:val="000000" w:themeColor="text1"/>
                <w:sz w:val="21"/>
                <w:szCs w:val="21"/>
              </w:rPr>
            </w:pPr>
            <w:r w:rsidRPr="008A2411">
              <w:rPr>
                <w:rFonts w:ascii="Times New Roman"/>
                <w:b/>
                <w:color w:val="000000" w:themeColor="text1"/>
                <w:sz w:val="21"/>
                <w:szCs w:val="21"/>
              </w:rPr>
              <w:t>本项目情况</w:t>
            </w:r>
          </w:p>
        </w:tc>
        <w:tc>
          <w:tcPr>
            <w:tcW w:w="384" w:type="pct"/>
            <w:vAlign w:val="center"/>
          </w:tcPr>
          <w:p w14:paraId="463FAED6" w14:textId="77777777" w:rsidR="00B0005F" w:rsidRPr="008A2411" w:rsidRDefault="00000000">
            <w:pPr>
              <w:jc w:val="center"/>
              <w:rPr>
                <w:rFonts w:ascii="Times New Roman"/>
                <w:b/>
                <w:color w:val="000000" w:themeColor="text1"/>
                <w:sz w:val="21"/>
                <w:szCs w:val="21"/>
              </w:rPr>
            </w:pPr>
            <w:r w:rsidRPr="008A2411">
              <w:rPr>
                <w:rFonts w:ascii="Times New Roman"/>
                <w:b/>
                <w:color w:val="000000" w:themeColor="text1"/>
                <w:sz w:val="21"/>
                <w:szCs w:val="21"/>
              </w:rPr>
              <w:t>符合性</w:t>
            </w:r>
          </w:p>
        </w:tc>
      </w:tr>
      <w:tr w:rsidR="008A2411" w:rsidRPr="008A2411" w14:paraId="24BEC051" w14:textId="77777777">
        <w:trPr>
          <w:trHeight w:val="63"/>
          <w:jc w:val="center"/>
        </w:trPr>
        <w:tc>
          <w:tcPr>
            <w:tcW w:w="1566" w:type="pct"/>
            <w:vAlign w:val="center"/>
          </w:tcPr>
          <w:p w14:paraId="2450315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国务院关于印发水污染防治行动计划的通知</w:t>
            </w:r>
            <w:r w:rsidRPr="008A2411">
              <w:rPr>
                <w:rFonts w:ascii="Times New Roman"/>
                <w:color w:val="000000" w:themeColor="text1"/>
                <w:sz w:val="21"/>
                <w:szCs w:val="21"/>
              </w:rPr>
              <w:t>“</w:t>
            </w:r>
            <w:r w:rsidRPr="008A2411">
              <w:rPr>
                <w:rFonts w:ascii="Times New Roman"/>
                <w:color w:val="000000" w:themeColor="text1"/>
                <w:sz w:val="21"/>
                <w:szCs w:val="21"/>
              </w:rPr>
              <w:t>国发〔</w:t>
            </w:r>
            <w:r w:rsidRPr="008A2411">
              <w:rPr>
                <w:rFonts w:ascii="Times New Roman"/>
                <w:color w:val="000000" w:themeColor="text1"/>
                <w:sz w:val="21"/>
                <w:szCs w:val="21"/>
              </w:rPr>
              <w:t>2015</w:t>
            </w:r>
            <w:r w:rsidRPr="008A2411">
              <w:rPr>
                <w:rFonts w:ascii="Times New Roman"/>
                <w:color w:val="000000" w:themeColor="text1"/>
                <w:sz w:val="21"/>
                <w:szCs w:val="21"/>
              </w:rPr>
              <w:t>〕</w:t>
            </w:r>
            <w:r w:rsidRPr="008A2411">
              <w:rPr>
                <w:rFonts w:ascii="Times New Roman"/>
                <w:color w:val="000000" w:themeColor="text1"/>
                <w:sz w:val="21"/>
                <w:szCs w:val="21"/>
              </w:rPr>
              <w:t>17</w:t>
            </w:r>
            <w:r w:rsidRPr="008A2411">
              <w:rPr>
                <w:rFonts w:ascii="Times New Roman"/>
                <w:color w:val="000000" w:themeColor="text1"/>
                <w:sz w:val="21"/>
                <w:szCs w:val="21"/>
              </w:rPr>
              <w:t>号</w:t>
            </w:r>
            <w:r w:rsidRPr="008A2411">
              <w:rPr>
                <w:rFonts w:ascii="Times New Roman"/>
                <w:color w:val="000000" w:themeColor="text1"/>
                <w:sz w:val="21"/>
                <w:szCs w:val="21"/>
              </w:rPr>
              <w:t>”</w:t>
            </w:r>
          </w:p>
        </w:tc>
        <w:tc>
          <w:tcPr>
            <w:tcW w:w="1957" w:type="pct"/>
            <w:vAlign w:val="center"/>
          </w:tcPr>
          <w:p w14:paraId="3381C31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w:t>
            </w:r>
            <w:r w:rsidRPr="008A2411">
              <w:rPr>
                <w:rFonts w:ascii="Times New Roman"/>
                <w:color w:val="000000" w:themeColor="text1"/>
                <w:sz w:val="21"/>
                <w:szCs w:val="21"/>
              </w:rPr>
              <w:t>（一）狠抓工业污染防治。</w:t>
            </w:r>
            <w:r w:rsidRPr="008A2411">
              <w:rPr>
                <w:rFonts w:ascii="Times New Roman"/>
                <w:color w:val="000000" w:themeColor="text1"/>
                <w:sz w:val="21"/>
                <w:szCs w:val="21"/>
              </w:rPr>
              <w:t>……</w:t>
            </w:r>
            <w:r w:rsidRPr="008A2411">
              <w:rPr>
                <w:rFonts w:ascii="Times New Roman"/>
                <w:color w:val="000000" w:themeColor="text1"/>
                <w:sz w:val="21"/>
                <w:szCs w:val="21"/>
              </w:rPr>
              <w:t>集聚区内工业废水必须经预处理达到集中处理要求，方可进入污水集中处理设施</w:t>
            </w:r>
            <w:r w:rsidRPr="008A2411">
              <w:rPr>
                <w:rFonts w:ascii="Times New Roman"/>
                <w:color w:val="000000" w:themeColor="text1"/>
                <w:sz w:val="21"/>
                <w:szCs w:val="21"/>
              </w:rPr>
              <w:t>……"</w:t>
            </w:r>
          </w:p>
        </w:tc>
        <w:tc>
          <w:tcPr>
            <w:tcW w:w="1093" w:type="pct"/>
            <w:vAlign w:val="center"/>
          </w:tcPr>
          <w:p w14:paraId="142696E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项目</w:t>
            </w:r>
            <w:r w:rsidRPr="008A2411">
              <w:rPr>
                <w:rFonts w:ascii="Times New Roman" w:hint="eastAsia"/>
                <w:color w:val="000000" w:themeColor="text1"/>
                <w:sz w:val="21"/>
                <w:szCs w:val="21"/>
              </w:rPr>
              <w:t>生产废水预处理达到园区纳管标准要求后排入园区管网，最终交由园区污水处理厂集中处理后达标排放</w:t>
            </w:r>
            <w:r w:rsidRPr="008A2411">
              <w:rPr>
                <w:rFonts w:ascii="Times New Roman"/>
                <w:color w:val="000000" w:themeColor="text1"/>
                <w:sz w:val="21"/>
                <w:szCs w:val="21"/>
              </w:rPr>
              <w:t>。</w:t>
            </w:r>
          </w:p>
        </w:tc>
        <w:tc>
          <w:tcPr>
            <w:tcW w:w="384" w:type="pct"/>
            <w:vAlign w:val="center"/>
          </w:tcPr>
          <w:p w14:paraId="27773F2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符合</w:t>
            </w:r>
          </w:p>
        </w:tc>
      </w:tr>
      <w:tr w:rsidR="008A2411" w:rsidRPr="008A2411" w14:paraId="17786FC8" w14:textId="77777777">
        <w:trPr>
          <w:trHeight w:val="63"/>
          <w:jc w:val="center"/>
        </w:trPr>
        <w:tc>
          <w:tcPr>
            <w:tcW w:w="1566" w:type="pct"/>
            <w:vAlign w:val="center"/>
          </w:tcPr>
          <w:p w14:paraId="44E4B4A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《四川省人民政府关于印发水污染防治行动计划四川省工作方案的通知》（川府发〔</w:t>
            </w:r>
            <w:r w:rsidRPr="008A2411">
              <w:rPr>
                <w:rFonts w:ascii="Times New Roman"/>
                <w:color w:val="000000" w:themeColor="text1"/>
                <w:sz w:val="21"/>
                <w:szCs w:val="21"/>
              </w:rPr>
              <w:t>2015</w:t>
            </w:r>
            <w:r w:rsidRPr="008A2411">
              <w:rPr>
                <w:rFonts w:ascii="Times New Roman"/>
                <w:color w:val="000000" w:themeColor="text1"/>
                <w:sz w:val="21"/>
                <w:szCs w:val="21"/>
              </w:rPr>
              <w:t>〕</w:t>
            </w:r>
            <w:r w:rsidRPr="008A2411">
              <w:rPr>
                <w:rFonts w:ascii="Times New Roman"/>
                <w:color w:val="000000" w:themeColor="text1"/>
                <w:sz w:val="21"/>
                <w:szCs w:val="21"/>
              </w:rPr>
              <w:t>59</w:t>
            </w:r>
            <w:r w:rsidRPr="008A2411">
              <w:rPr>
                <w:rFonts w:ascii="Times New Roman"/>
                <w:color w:val="000000" w:themeColor="text1"/>
                <w:sz w:val="21"/>
                <w:szCs w:val="21"/>
              </w:rPr>
              <w:t>号）</w:t>
            </w:r>
          </w:p>
        </w:tc>
        <w:tc>
          <w:tcPr>
            <w:tcW w:w="1957" w:type="pct"/>
            <w:vAlign w:val="center"/>
          </w:tcPr>
          <w:p w14:paraId="14F31A4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（一）全面控制污染物排放（</w:t>
            </w:r>
            <w:r w:rsidRPr="008A2411">
              <w:rPr>
                <w:rFonts w:ascii="Times New Roman"/>
                <w:color w:val="000000" w:themeColor="text1"/>
                <w:sz w:val="21"/>
                <w:szCs w:val="21"/>
              </w:rPr>
              <w:t>1</w:t>
            </w:r>
            <w:r w:rsidRPr="008A2411">
              <w:rPr>
                <w:rFonts w:ascii="Times New Roman"/>
                <w:color w:val="000000" w:themeColor="text1"/>
                <w:sz w:val="21"/>
                <w:szCs w:val="21"/>
              </w:rPr>
              <w:t>）狠抓工业污染防治；</w:t>
            </w:r>
            <w:r w:rsidRPr="008A2411">
              <w:rPr>
                <w:rFonts w:hAnsi="宋体" w:hint="eastAsia"/>
                <w:color w:val="000000" w:themeColor="text1"/>
                <w:sz w:val="21"/>
                <w:szCs w:val="21"/>
              </w:rPr>
              <w:t>①</w:t>
            </w:r>
            <w:r w:rsidRPr="008A2411">
              <w:rPr>
                <w:rFonts w:ascii="Times New Roman"/>
                <w:color w:val="000000" w:themeColor="text1"/>
                <w:sz w:val="21"/>
                <w:szCs w:val="21"/>
              </w:rPr>
              <w:t>取缔</w:t>
            </w:r>
            <w:r w:rsidRPr="008A2411">
              <w:rPr>
                <w:rFonts w:ascii="Times New Roman"/>
                <w:color w:val="000000" w:themeColor="text1"/>
                <w:sz w:val="21"/>
                <w:szCs w:val="21"/>
              </w:rPr>
              <w:t>“10+1”</w:t>
            </w:r>
            <w:r w:rsidRPr="008A2411">
              <w:rPr>
                <w:rFonts w:ascii="Times New Roman"/>
                <w:color w:val="000000" w:themeColor="text1"/>
                <w:sz w:val="21"/>
                <w:szCs w:val="21"/>
              </w:rPr>
              <w:t>小企业；</w:t>
            </w:r>
            <w:r w:rsidRPr="008A2411">
              <w:rPr>
                <w:rFonts w:hAnsi="宋体" w:hint="eastAsia"/>
                <w:color w:val="000000" w:themeColor="text1"/>
                <w:sz w:val="21"/>
                <w:szCs w:val="21"/>
              </w:rPr>
              <w:t>②</w:t>
            </w:r>
            <w:r w:rsidRPr="008A2411">
              <w:rPr>
                <w:rFonts w:ascii="Times New Roman"/>
                <w:color w:val="000000" w:themeColor="text1"/>
                <w:sz w:val="21"/>
                <w:szCs w:val="21"/>
              </w:rPr>
              <w:t>专项整治</w:t>
            </w:r>
            <w:r w:rsidRPr="008A2411">
              <w:rPr>
                <w:rFonts w:ascii="Times New Roman"/>
                <w:color w:val="000000" w:themeColor="text1"/>
                <w:sz w:val="21"/>
                <w:szCs w:val="21"/>
              </w:rPr>
              <w:t>“10+1”</w:t>
            </w:r>
            <w:r w:rsidRPr="008A2411">
              <w:rPr>
                <w:rFonts w:ascii="Times New Roman"/>
                <w:color w:val="000000" w:themeColor="text1"/>
                <w:sz w:val="21"/>
                <w:szCs w:val="21"/>
              </w:rPr>
              <w:t>重点行业；</w:t>
            </w:r>
            <w:r w:rsidRPr="008A2411">
              <w:rPr>
                <w:rFonts w:hAnsi="宋体" w:hint="eastAsia"/>
                <w:color w:val="000000" w:themeColor="text1"/>
                <w:sz w:val="21"/>
                <w:szCs w:val="21"/>
              </w:rPr>
              <w:t>③</w:t>
            </w:r>
            <w:r w:rsidRPr="008A2411">
              <w:rPr>
                <w:rFonts w:ascii="Times New Roman"/>
                <w:color w:val="000000" w:themeColor="text1"/>
                <w:sz w:val="21"/>
                <w:szCs w:val="21"/>
              </w:rPr>
              <w:t>集中治理工业集聚区水污染。</w:t>
            </w:r>
          </w:p>
        </w:tc>
        <w:tc>
          <w:tcPr>
            <w:tcW w:w="1093" w:type="pct"/>
            <w:vAlign w:val="center"/>
          </w:tcPr>
          <w:p w14:paraId="4D42C9D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企业不属于</w:t>
            </w:r>
            <w:r w:rsidRPr="008A2411">
              <w:rPr>
                <w:rFonts w:ascii="Times New Roman"/>
                <w:color w:val="000000" w:themeColor="text1"/>
                <w:sz w:val="21"/>
                <w:szCs w:val="21"/>
              </w:rPr>
              <w:t>“10+1”</w:t>
            </w:r>
            <w:r w:rsidRPr="008A2411">
              <w:rPr>
                <w:rFonts w:ascii="Times New Roman"/>
                <w:color w:val="000000" w:themeColor="text1"/>
                <w:sz w:val="21"/>
                <w:szCs w:val="21"/>
              </w:rPr>
              <w:t>小企业，项目无废水外排。</w:t>
            </w:r>
          </w:p>
        </w:tc>
        <w:tc>
          <w:tcPr>
            <w:tcW w:w="384" w:type="pct"/>
            <w:vAlign w:val="center"/>
          </w:tcPr>
          <w:p w14:paraId="1646069D"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符合</w:t>
            </w:r>
          </w:p>
        </w:tc>
      </w:tr>
    </w:tbl>
    <w:p w14:paraId="02650EB9" w14:textId="77777777" w:rsidR="00B0005F" w:rsidRPr="008A2411" w:rsidRDefault="00000000">
      <w:pPr>
        <w:pStyle w:val="L-3"/>
        <w:adjustRightInd w:val="0"/>
        <w:snapToGrid w:val="0"/>
        <w:spacing w:before="0" w:after="0" w:line="360" w:lineRule="auto"/>
        <w:ind w:firstLineChars="200" w:firstLine="480"/>
        <w:outlineLvl w:val="9"/>
        <w:rPr>
          <w:rFonts w:ascii="Times New Roman"/>
          <w:b w:val="0"/>
          <w:bCs w:val="0"/>
          <w:color w:val="000000" w:themeColor="text1"/>
          <w:sz w:val="24"/>
          <w:szCs w:val="20"/>
          <w:lang w:bidi="ar-SA"/>
        </w:rPr>
      </w:pPr>
      <w:r w:rsidRPr="008A2411">
        <w:rPr>
          <w:rFonts w:ascii="Times New Roman" w:hint="eastAsia"/>
          <w:b w:val="0"/>
          <w:bCs w:val="0"/>
          <w:color w:val="000000" w:themeColor="text1"/>
          <w:sz w:val="24"/>
          <w:szCs w:val="20"/>
          <w:lang w:bidi="ar-SA"/>
        </w:rPr>
        <w:t>通过上表分析，本项目与</w:t>
      </w:r>
      <w:r w:rsidRPr="008A2411">
        <w:rPr>
          <w:rFonts w:ascii="Times New Roman"/>
          <w:b w:val="0"/>
          <w:bCs w:val="0"/>
          <w:color w:val="000000" w:themeColor="text1"/>
          <w:sz w:val="24"/>
          <w:szCs w:val="20"/>
          <w:lang w:bidi="ar-SA"/>
        </w:rPr>
        <w:t>《国务院关于印发水污染防治行动计划的通知》（国发〔</w:t>
      </w:r>
      <w:r w:rsidRPr="008A2411">
        <w:rPr>
          <w:rFonts w:ascii="Times New Roman"/>
          <w:b w:val="0"/>
          <w:bCs w:val="0"/>
          <w:color w:val="000000" w:themeColor="text1"/>
          <w:sz w:val="24"/>
          <w:szCs w:val="20"/>
          <w:lang w:bidi="ar-SA"/>
        </w:rPr>
        <w:t>2015</w:t>
      </w:r>
      <w:r w:rsidRPr="008A2411">
        <w:rPr>
          <w:rFonts w:ascii="Times New Roman"/>
          <w:b w:val="0"/>
          <w:bCs w:val="0"/>
          <w:color w:val="000000" w:themeColor="text1"/>
          <w:sz w:val="24"/>
          <w:szCs w:val="20"/>
          <w:lang w:bidi="ar-SA"/>
        </w:rPr>
        <w:t>〕</w:t>
      </w:r>
      <w:r w:rsidRPr="008A2411">
        <w:rPr>
          <w:rFonts w:ascii="Times New Roman"/>
          <w:b w:val="0"/>
          <w:bCs w:val="0"/>
          <w:color w:val="000000" w:themeColor="text1"/>
          <w:sz w:val="24"/>
          <w:szCs w:val="20"/>
          <w:lang w:bidi="ar-SA"/>
        </w:rPr>
        <w:t>17</w:t>
      </w:r>
      <w:r w:rsidRPr="008A2411">
        <w:rPr>
          <w:rFonts w:ascii="Times New Roman"/>
          <w:b w:val="0"/>
          <w:bCs w:val="0"/>
          <w:color w:val="000000" w:themeColor="text1"/>
          <w:sz w:val="24"/>
          <w:szCs w:val="20"/>
          <w:lang w:bidi="ar-SA"/>
        </w:rPr>
        <w:t>号）、《四川省人民政府关于印发水污染防治行动计划四川省工作方案的通知》（川府发〔</w:t>
      </w:r>
      <w:r w:rsidRPr="008A2411">
        <w:rPr>
          <w:rFonts w:ascii="Times New Roman"/>
          <w:b w:val="0"/>
          <w:bCs w:val="0"/>
          <w:color w:val="000000" w:themeColor="text1"/>
          <w:sz w:val="24"/>
          <w:szCs w:val="20"/>
          <w:lang w:bidi="ar-SA"/>
        </w:rPr>
        <w:t>2015</w:t>
      </w:r>
      <w:r w:rsidRPr="008A2411">
        <w:rPr>
          <w:rFonts w:ascii="Times New Roman"/>
          <w:b w:val="0"/>
          <w:bCs w:val="0"/>
          <w:color w:val="000000" w:themeColor="text1"/>
          <w:sz w:val="24"/>
          <w:szCs w:val="20"/>
          <w:lang w:bidi="ar-SA"/>
        </w:rPr>
        <w:t>〕</w:t>
      </w:r>
      <w:r w:rsidRPr="008A2411">
        <w:rPr>
          <w:rFonts w:ascii="Times New Roman"/>
          <w:b w:val="0"/>
          <w:bCs w:val="0"/>
          <w:color w:val="000000" w:themeColor="text1"/>
          <w:sz w:val="24"/>
          <w:szCs w:val="20"/>
          <w:lang w:bidi="ar-SA"/>
        </w:rPr>
        <w:t>59</w:t>
      </w:r>
      <w:r w:rsidRPr="008A2411">
        <w:rPr>
          <w:rFonts w:ascii="Times New Roman"/>
          <w:b w:val="0"/>
          <w:bCs w:val="0"/>
          <w:color w:val="000000" w:themeColor="text1"/>
          <w:sz w:val="24"/>
          <w:szCs w:val="20"/>
          <w:lang w:bidi="ar-SA"/>
        </w:rPr>
        <w:t>号）</w:t>
      </w:r>
      <w:r w:rsidRPr="008A2411">
        <w:rPr>
          <w:rFonts w:ascii="Times New Roman" w:hint="eastAsia"/>
          <w:b w:val="0"/>
          <w:bCs w:val="0"/>
          <w:color w:val="000000" w:themeColor="text1"/>
          <w:sz w:val="24"/>
          <w:szCs w:val="20"/>
          <w:lang w:bidi="ar-SA"/>
        </w:rPr>
        <w:t>相符合。</w:t>
      </w:r>
    </w:p>
    <w:p w14:paraId="79F2721F" w14:textId="77777777" w:rsidR="00B0005F" w:rsidRPr="008A2411" w:rsidRDefault="00000000">
      <w:pPr>
        <w:pStyle w:val="L-3"/>
        <w:adjustRightInd w:val="0"/>
        <w:snapToGrid w:val="0"/>
        <w:spacing w:before="0" w:after="0" w:line="360" w:lineRule="auto"/>
        <w:rPr>
          <w:rFonts w:ascii="Times New Roman"/>
          <w:color w:val="000000" w:themeColor="text1"/>
          <w:sz w:val="24"/>
          <w:szCs w:val="24"/>
          <w:lang w:bidi="ar-SA"/>
        </w:rPr>
      </w:pPr>
      <w:r w:rsidRPr="008A2411">
        <w:rPr>
          <w:rFonts w:ascii="Times New Roman"/>
          <w:color w:val="000000" w:themeColor="text1"/>
          <w:sz w:val="24"/>
          <w:szCs w:val="24"/>
          <w:lang w:bidi="ar-SA"/>
        </w:rPr>
        <w:t>2.4.</w:t>
      </w:r>
      <w:r w:rsidRPr="008A2411">
        <w:rPr>
          <w:rFonts w:ascii="Times New Roman" w:hint="eastAsia"/>
          <w:color w:val="000000" w:themeColor="text1"/>
          <w:sz w:val="24"/>
          <w:szCs w:val="24"/>
          <w:lang w:bidi="ar-SA"/>
        </w:rPr>
        <w:t>7</w:t>
      </w:r>
      <w:r w:rsidRPr="008A2411">
        <w:rPr>
          <w:rFonts w:ascii="Times New Roman"/>
          <w:color w:val="000000" w:themeColor="text1"/>
          <w:sz w:val="24"/>
          <w:szCs w:val="24"/>
          <w:lang w:bidi="ar-SA"/>
        </w:rPr>
        <w:t>与</w:t>
      </w:r>
      <w:r w:rsidRPr="008A2411">
        <w:rPr>
          <w:rFonts w:ascii="Times New Roman" w:hint="eastAsia"/>
          <w:color w:val="000000" w:themeColor="text1"/>
          <w:sz w:val="24"/>
          <w:szCs w:val="24"/>
          <w:lang w:bidi="ar-SA"/>
        </w:rPr>
        <w:t>土壤污染防治行动计划</w:t>
      </w:r>
      <w:r w:rsidRPr="008A2411">
        <w:rPr>
          <w:rFonts w:ascii="Times New Roman"/>
          <w:color w:val="000000" w:themeColor="text1"/>
          <w:sz w:val="24"/>
          <w:szCs w:val="24"/>
          <w:lang w:bidi="ar-SA"/>
        </w:rPr>
        <w:t>符合性</w:t>
      </w:r>
    </w:p>
    <w:p w14:paraId="651101D4" w14:textId="77777777" w:rsidR="00B0005F" w:rsidRPr="008A2411" w:rsidRDefault="00000000">
      <w:pPr>
        <w:adjustRightInd w:val="0"/>
        <w:snapToGrid w:val="0"/>
        <w:spacing w:line="360" w:lineRule="auto"/>
        <w:ind w:firstLine="480"/>
        <w:rPr>
          <w:rFonts w:ascii="Times New Roman"/>
          <w:color w:val="000000" w:themeColor="text1"/>
        </w:rPr>
      </w:pPr>
      <w:r w:rsidRPr="008A2411">
        <w:rPr>
          <w:rFonts w:ascii="Times New Roman"/>
          <w:color w:val="000000" w:themeColor="text1"/>
        </w:rPr>
        <w:t>项目与土壤污染防治行动计划</w:t>
      </w:r>
      <w:r w:rsidRPr="008A2411">
        <w:rPr>
          <w:rFonts w:ascii="Times New Roman"/>
          <w:color w:val="000000" w:themeColor="text1"/>
        </w:rPr>
        <w:t>“</w:t>
      </w:r>
      <w:r w:rsidRPr="008A2411">
        <w:rPr>
          <w:rFonts w:ascii="Times New Roman"/>
          <w:color w:val="000000" w:themeColor="text1"/>
        </w:rPr>
        <w:t>国发〔</w:t>
      </w:r>
      <w:r w:rsidRPr="008A2411">
        <w:rPr>
          <w:rFonts w:ascii="Times New Roman"/>
          <w:color w:val="000000" w:themeColor="text1"/>
        </w:rPr>
        <w:t>2016</w:t>
      </w:r>
      <w:r w:rsidRPr="008A2411">
        <w:rPr>
          <w:rFonts w:ascii="Times New Roman"/>
          <w:color w:val="000000" w:themeColor="text1"/>
        </w:rPr>
        <w:t>〕</w:t>
      </w:r>
      <w:r w:rsidRPr="008A2411">
        <w:rPr>
          <w:rFonts w:ascii="Times New Roman"/>
          <w:color w:val="000000" w:themeColor="text1"/>
        </w:rPr>
        <w:t>31</w:t>
      </w:r>
      <w:r w:rsidRPr="008A2411">
        <w:rPr>
          <w:rFonts w:ascii="Times New Roman"/>
          <w:color w:val="000000" w:themeColor="text1"/>
        </w:rPr>
        <w:t>号</w:t>
      </w:r>
      <w:r w:rsidRPr="008A2411">
        <w:rPr>
          <w:rFonts w:ascii="Times New Roman"/>
          <w:color w:val="000000" w:themeColor="text1"/>
        </w:rPr>
        <w:t>”</w:t>
      </w:r>
      <w:r w:rsidRPr="008A2411">
        <w:rPr>
          <w:rFonts w:ascii="Times New Roman"/>
          <w:color w:val="000000" w:themeColor="text1"/>
        </w:rPr>
        <w:t>及《土壤污染防治行动计划四川省工作方案》符合性如下：</w:t>
      </w:r>
    </w:p>
    <w:p w14:paraId="58800871" w14:textId="77777777" w:rsidR="00B0005F" w:rsidRPr="008A2411" w:rsidRDefault="00000000">
      <w:pPr>
        <w:jc w:val="center"/>
        <w:rPr>
          <w:rFonts w:ascii="Times New Roman" w:eastAsia="黑体"/>
          <w:color w:val="000000" w:themeColor="text1"/>
          <w:sz w:val="21"/>
          <w:szCs w:val="21"/>
        </w:rPr>
      </w:pPr>
      <w:r w:rsidRPr="008A2411">
        <w:rPr>
          <w:rFonts w:ascii="Times New Roman" w:eastAsia="黑体"/>
          <w:color w:val="000000" w:themeColor="text1"/>
          <w:sz w:val="21"/>
          <w:szCs w:val="21"/>
        </w:rPr>
        <w:t>表</w:t>
      </w:r>
      <w:r w:rsidRPr="008A2411">
        <w:rPr>
          <w:rFonts w:ascii="Times New Roman" w:eastAsia="黑体" w:hint="eastAsia"/>
          <w:color w:val="000000" w:themeColor="text1"/>
          <w:sz w:val="21"/>
          <w:szCs w:val="21"/>
        </w:rPr>
        <w:t>2.4-7</w:t>
      </w:r>
      <w:r w:rsidRPr="008A2411">
        <w:rPr>
          <w:rFonts w:ascii="Times New Roman" w:eastAsia="黑体"/>
          <w:color w:val="000000" w:themeColor="text1"/>
          <w:sz w:val="21"/>
          <w:szCs w:val="21"/>
        </w:rPr>
        <w:t xml:space="preserve">  </w:t>
      </w:r>
      <w:r w:rsidRPr="008A2411">
        <w:rPr>
          <w:rFonts w:ascii="Times New Roman" w:eastAsia="黑体"/>
          <w:color w:val="000000" w:themeColor="text1"/>
          <w:sz w:val="21"/>
          <w:szCs w:val="21"/>
        </w:rPr>
        <w:t>与土壤污染防治行动计划符合性</w:t>
      </w:r>
    </w:p>
    <w:tbl>
      <w:tblPr>
        <w:tblW w:w="5263"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1137"/>
        <w:gridCol w:w="5855"/>
        <w:gridCol w:w="1104"/>
        <w:gridCol w:w="706"/>
      </w:tblGrid>
      <w:tr w:rsidR="008A2411" w:rsidRPr="008A2411" w14:paraId="15C2DB09" w14:textId="77777777">
        <w:trPr>
          <w:trHeight w:val="343"/>
          <w:tblHeader/>
          <w:jc w:val="center"/>
        </w:trPr>
        <w:tc>
          <w:tcPr>
            <w:tcW w:w="646" w:type="pct"/>
            <w:vAlign w:val="center"/>
          </w:tcPr>
          <w:p w14:paraId="42D0BC81" w14:textId="77777777" w:rsidR="00B0005F" w:rsidRPr="008A2411" w:rsidRDefault="00000000">
            <w:pPr>
              <w:jc w:val="center"/>
              <w:rPr>
                <w:rFonts w:ascii="Times New Roman"/>
                <w:b/>
                <w:color w:val="000000" w:themeColor="text1"/>
                <w:sz w:val="21"/>
                <w:szCs w:val="21"/>
              </w:rPr>
            </w:pPr>
            <w:r w:rsidRPr="008A2411">
              <w:rPr>
                <w:rFonts w:ascii="Times New Roman"/>
                <w:b/>
                <w:color w:val="000000" w:themeColor="text1"/>
                <w:sz w:val="21"/>
                <w:szCs w:val="21"/>
              </w:rPr>
              <w:t>土壤污染防治行动计划</w:t>
            </w:r>
          </w:p>
        </w:tc>
        <w:tc>
          <w:tcPr>
            <w:tcW w:w="3326" w:type="pct"/>
            <w:vAlign w:val="center"/>
          </w:tcPr>
          <w:p w14:paraId="5CDC7874" w14:textId="77777777" w:rsidR="00B0005F" w:rsidRPr="008A2411" w:rsidRDefault="00000000">
            <w:pPr>
              <w:jc w:val="center"/>
              <w:rPr>
                <w:rFonts w:ascii="Times New Roman"/>
                <w:b/>
                <w:color w:val="000000" w:themeColor="text1"/>
                <w:sz w:val="21"/>
                <w:szCs w:val="21"/>
              </w:rPr>
            </w:pPr>
            <w:r w:rsidRPr="008A2411">
              <w:rPr>
                <w:rFonts w:ascii="Times New Roman"/>
                <w:b/>
                <w:color w:val="000000" w:themeColor="text1"/>
                <w:sz w:val="21"/>
                <w:szCs w:val="21"/>
              </w:rPr>
              <w:t>相关要求</w:t>
            </w:r>
          </w:p>
        </w:tc>
        <w:tc>
          <w:tcPr>
            <w:tcW w:w="627" w:type="pct"/>
            <w:vAlign w:val="center"/>
          </w:tcPr>
          <w:p w14:paraId="1105E0F2" w14:textId="77777777" w:rsidR="00B0005F" w:rsidRPr="008A2411" w:rsidRDefault="00000000">
            <w:pPr>
              <w:jc w:val="center"/>
              <w:rPr>
                <w:rFonts w:ascii="Times New Roman"/>
                <w:b/>
                <w:color w:val="000000" w:themeColor="text1"/>
                <w:sz w:val="21"/>
                <w:szCs w:val="21"/>
              </w:rPr>
            </w:pPr>
            <w:r w:rsidRPr="008A2411">
              <w:rPr>
                <w:rFonts w:ascii="Times New Roman"/>
                <w:b/>
                <w:color w:val="000000" w:themeColor="text1"/>
                <w:sz w:val="21"/>
                <w:szCs w:val="21"/>
              </w:rPr>
              <w:t>本项目情况</w:t>
            </w:r>
          </w:p>
        </w:tc>
        <w:tc>
          <w:tcPr>
            <w:tcW w:w="401" w:type="pct"/>
            <w:vAlign w:val="center"/>
          </w:tcPr>
          <w:p w14:paraId="29935F7C" w14:textId="77777777" w:rsidR="00B0005F" w:rsidRPr="008A2411" w:rsidRDefault="00000000">
            <w:pPr>
              <w:jc w:val="center"/>
              <w:rPr>
                <w:rFonts w:ascii="Times New Roman"/>
                <w:b/>
                <w:color w:val="000000" w:themeColor="text1"/>
                <w:sz w:val="21"/>
                <w:szCs w:val="21"/>
              </w:rPr>
            </w:pPr>
            <w:r w:rsidRPr="008A2411">
              <w:rPr>
                <w:rFonts w:ascii="Times New Roman"/>
                <w:b/>
                <w:color w:val="000000" w:themeColor="text1"/>
                <w:sz w:val="21"/>
                <w:szCs w:val="21"/>
              </w:rPr>
              <w:t>符合性</w:t>
            </w:r>
          </w:p>
        </w:tc>
      </w:tr>
      <w:tr w:rsidR="008A2411" w:rsidRPr="008A2411" w14:paraId="75ECE1B1" w14:textId="77777777">
        <w:trPr>
          <w:trHeight w:val="848"/>
          <w:jc w:val="center"/>
        </w:trPr>
        <w:tc>
          <w:tcPr>
            <w:tcW w:w="646" w:type="pct"/>
            <w:vMerge w:val="restart"/>
            <w:vAlign w:val="center"/>
          </w:tcPr>
          <w:p w14:paraId="6F59AA94"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《土壤污染防治行动计划》（国发〔</w:t>
            </w:r>
            <w:r w:rsidRPr="008A2411">
              <w:rPr>
                <w:rFonts w:ascii="Times New Roman"/>
                <w:color w:val="000000" w:themeColor="text1"/>
                <w:sz w:val="21"/>
                <w:szCs w:val="21"/>
              </w:rPr>
              <w:t>2016</w:t>
            </w:r>
            <w:r w:rsidRPr="008A2411">
              <w:rPr>
                <w:rFonts w:ascii="Times New Roman"/>
                <w:color w:val="000000" w:themeColor="text1"/>
                <w:sz w:val="21"/>
                <w:szCs w:val="21"/>
              </w:rPr>
              <w:t>〕</w:t>
            </w:r>
            <w:r w:rsidRPr="008A2411">
              <w:rPr>
                <w:rFonts w:ascii="Times New Roman"/>
                <w:color w:val="000000" w:themeColor="text1"/>
                <w:sz w:val="21"/>
                <w:szCs w:val="21"/>
              </w:rPr>
              <w:t>31</w:t>
            </w:r>
            <w:r w:rsidRPr="008A2411">
              <w:rPr>
                <w:rFonts w:ascii="Times New Roman"/>
                <w:color w:val="000000" w:themeColor="text1"/>
                <w:sz w:val="21"/>
                <w:szCs w:val="21"/>
              </w:rPr>
              <w:lastRenderedPageBreak/>
              <w:t>号）</w:t>
            </w:r>
          </w:p>
        </w:tc>
        <w:tc>
          <w:tcPr>
            <w:tcW w:w="3326" w:type="pct"/>
            <w:vAlign w:val="center"/>
          </w:tcPr>
          <w:p w14:paraId="5DF1E67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lastRenderedPageBreak/>
              <w:t>自</w:t>
            </w:r>
            <w:r w:rsidRPr="008A2411">
              <w:rPr>
                <w:rFonts w:ascii="Times New Roman"/>
                <w:color w:val="000000" w:themeColor="text1"/>
                <w:sz w:val="21"/>
                <w:szCs w:val="21"/>
              </w:rPr>
              <w:t>2017</w:t>
            </w:r>
            <w:r w:rsidRPr="008A2411">
              <w:rPr>
                <w:rFonts w:ascii="Times New Roman"/>
                <w:color w:val="000000" w:themeColor="text1"/>
                <w:sz w:val="21"/>
                <w:szCs w:val="21"/>
              </w:rPr>
              <w:t>年起，对拟收回土地使用权的有色金属冶炼、石油加工、化工、焦化、电镀、制革等行业企业用地，以及用途拟变更为居住和商业、学校、医疗、养老机构等公共设施的上述企业用地，由土地使用权人负责开展土壤环境状况调查评估</w:t>
            </w:r>
          </w:p>
        </w:tc>
        <w:tc>
          <w:tcPr>
            <w:tcW w:w="627" w:type="pct"/>
            <w:vAlign w:val="center"/>
          </w:tcPr>
          <w:p w14:paraId="2422BF3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不属于回收土地使用权的项目</w:t>
            </w:r>
          </w:p>
        </w:tc>
        <w:tc>
          <w:tcPr>
            <w:tcW w:w="401" w:type="pct"/>
            <w:vAlign w:val="center"/>
          </w:tcPr>
          <w:p w14:paraId="640D867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符合</w:t>
            </w:r>
          </w:p>
        </w:tc>
      </w:tr>
      <w:tr w:rsidR="008A2411" w:rsidRPr="008A2411" w14:paraId="04CDEF13" w14:textId="77777777">
        <w:trPr>
          <w:trHeight w:val="519"/>
          <w:jc w:val="center"/>
        </w:trPr>
        <w:tc>
          <w:tcPr>
            <w:tcW w:w="646" w:type="pct"/>
            <w:vMerge/>
            <w:vAlign w:val="center"/>
          </w:tcPr>
          <w:p w14:paraId="1B9B284F" w14:textId="77777777" w:rsidR="00B0005F" w:rsidRPr="008A2411" w:rsidRDefault="00B0005F">
            <w:pPr>
              <w:jc w:val="center"/>
              <w:rPr>
                <w:rFonts w:ascii="Times New Roman"/>
                <w:color w:val="000000" w:themeColor="text1"/>
                <w:sz w:val="21"/>
                <w:szCs w:val="21"/>
              </w:rPr>
            </w:pPr>
          </w:p>
        </w:tc>
        <w:tc>
          <w:tcPr>
            <w:tcW w:w="3326" w:type="pct"/>
            <w:vAlign w:val="center"/>
          </w:tcPr>
          <w:p w14:paraId="2A660C7B"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排放重点污染物的建设项目，在开展环境影响评价时，要增加对土壤环境影响的评价内容，并提出防范土壤污染的具体措施；需要建设的土壤污染防治设施，要与主体工程同时设计、同时施工、同时投产使用</w:t>
            </w:r>
          </w:p>
        </w:tc>
        <w:tc>
          <w:tcPr>
            <w:tcW w:w="627" w:type="pct"/>
            <w:vAlign w:val="center"/>
          </w:tcPr>
          <w:p w14:paraId="27F9A3D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不涉及重点污染物的排放</w:t>
            </w:r>
          </w:p>
        </w:tc>
        <w:tc>
          <w:tcPr>
            <w:tcW w:w="401" w:type="pct"/>
            <w:vAlign w:val="center"/>
          </w:tcPr>
          <w:p w14:paraId="2F0F9B84"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符合</w:t>
            </w:r>
          </w:p>
        </w:tc>
      </w:tr>
      <w:tr w:rsidR="008A2411" w:rsidRPr="008A2411" w14:paraId="1D2FC5E0" w14:textId="77777777">
        <w:trPr>
          <w:trHeight w:val="788"/>
          <w:jc w:val="center"/>
        </w:trPr>
        <w:tc>
          <w:tcPr>
            <w:tcW w:w="646" w:type="pct"/>
            <w:vMerge/>
            <w:vAlign w:val="center"/>
          </w:tcPr>
          <w:p w14:paraId="6B595064" w14:textId="77777777" w:rsidR="00B0005F" w:rsidRPr="008A2411" w:rsidRDefault="00B0005F">
            <w:pPr>
              <w:jc w:val="center"/>
              <w:rPr>
                <w:rFonts w:ascii="Times New Roman"/>
                <w:color w:val="000000" w:themeColor="text1"/>
                <w:sz w:val="21"/>
                <w:szCs w:val="21"/>
              </w:rPr>
            </w:pPr>
          </w:p>
        </w:tc>
        <w:tc>
          <w:tcPr>
            <w:tcW w:w="3326" w:type="pct"/>
            <w:vAlign w:val="center"/>
          </w:tcPr>
          <w:p w14:paraId="5C6DF7C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严格执行相关行业企业布局选址要求，禁止在居民区、学校、医疗和养老机构等周边新建有色金属冶炼、焦化等行业企业</w:t>
            </w:r>
          </w:p>
        </w:tc>
        <w:tc>
          <w:tcPr>
            <w:tcW w:w="627" w:type="pct"/>
            <w:vAlign w:val="center"/>
          </w:tcPr>
          <w:p w14:paraId="01C7530E" w14:textId="77777777" w:rsidR="00B0005F" w:rsidRPr="008A2411" w:rsidRDefault="00000000">
            <w:pPr>
              <w:jc w:val="center"/>
              <w:rPr>
                <w:rFonts w:ascii="Times New Roman"/>
                <w:color w:val="000000" w:themeColor="text1"/>
                <w:sz w:val="21"/>
                <w:szCs w:val="21"/>
              </w:rPr>
            </w:pPr>
            <w:r w:rsidRPr="008A2411">
              <w:rPr>
                <w:rFonts w:ascii="Times New Roman" w:hint="eastAsia"/>
                <w:color w:val="000000" w:themeColor="text1"/>
                <w:sz w:val="21"/>
                <w:szCs w:val="21"/>
              </w:rPr>
              <w:t>本项目为液化天然气生产项目，已严格按照液化天然气生产项目的行业标准布局</w:t>
            </w:r>
          </w:p>
        </w:tc>
        <w:tc>
          <w:tcPr>
            <w:tcW w:w="401" w:type="pct"/>
            <w:vAlign w:val="center"/>
          </w:tcPr>
          <w:p w14:paraId="56C9F7A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符合</w:t>
            </w:r>
          </w:p>
        </w:tc>
      </w:tr>
      <w:tr w:rsidR="008A2411" w:rsidRPr="008A2411" w14:paraId="69986015" w14:textId="77777777">
        <w:trPr>
          <w:trHeight w:val="848"/>
          <w:jc w:val="center"/>
        </w:trPr>
        <w:tc>
          <w:tcPr>
            <w:tcW w:w="646" w:type="pct"/>
            <w:vMerge/>
            <w:vAlign w:val="center"/>
          </w:tcPr>
          <w:p w14:paraId="4CC6EFED" w14:textId="77777777" w:rsidR="00B0005F" w:rsidRPr="008A2411" w:rsidRDefault="00B0005F">
            <w:pPr>
              <w:jc w:val="center"/>
              <w:rPr>
                <w:rFonts w:ascii="Times New Roman"/>
                <w:color w:val="000000" w:themeColor="text1"/>
                <w:sz w:val="21"/>
                <w:szCs w:val="21"/>
              </w:rPr>
            </w:pPr>
          </w:p>
        </w:tc>
        <w:tc>
          <w:tcPr>
            <w:tcW w:w="3326" w:type="pct"/>
            <w:vAlign w:val="center"/>
          </w:tcPr>
          <w:p w14:paraId="06EF30DE"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加强电器电子、汽车等工业产品中有害物质控制。有色金属冶炼、石油加工、化工、焦化、电镀、制革等行业企业拆除生产设施设备、构筑物和污染治理设施，要事先制定残留污染物清理和安全处置方案，并报所在地县级环境保护、工业和信息化部门备案；要严格按照有关规定实施安全处理处置，防范拆除活动污染土壤。</w:t>
            </w:r>
          </w:p>
        </w:tc>
        <w:tc>
          <w:tcPr>
            <w:tcW w:w="627" w:type="pct"/>
            <w:vAlign w:val="center"/>
          </w:tcPr>
          <w:p w14:paraId="213258FE"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不属于电器电子、汽车等行业</w:t>
            </w:r>
          </w:p>
        </w:tc>
        <w:tc>
          <w:tcPr>
            <w:tcW w:w="401" w:type="pct"/>
            <w:vAlign w:val="center"/>
          </w:tcPr>
          <w:p w14:paraId="238CBF6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符合</w:t>
            </w:r>
          </w:p>
        </w:tc>
      </w:tr>
      <w:tr w:rsidR="008A2411" w:rsidRPr="008A2411" w14:paraId="16D62591" w14:textId="77777777">
        <w:trPr>
          <w:trHeight w:val="63"/>
          <w:jc w:val="center"/>
        </w:trPr>
        <w:tc>
          <w:tcPr>
            <w:tcW w:w="646" w:type="pct"/>
            <w:vMerge/>
            <w:vAlign w:val="center"/>
          </w:tcPr>
          <w:p w14:paraId="15AAFB45" w14:textId="77777777" w:rsidR="00B0005F" w:rsidRPr="008A2411" w:rsidRDefault="00B0005F">
            <w:pPr>
              <w:jc w:val="center"/>
              <w:rPr>
                <w:rFonts w:ascii="Times New Roman"/>
                <w:color w:val="000000" w:themeColor="text1"/>
                <w:sz w:val="21"/>
                <w:szCs w:val="21"/>
              </w:rPr>
            </w:pPr>
          </w:p>
        </w:tc>
        <w:tc>
          <w:tcPr>
            <w:tcW w:w="3326" w:type="pct"/>
            <w:vAlign w:val="center"/>
          </w:tcPr>
          <w:p w14:paraId="5B76404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继续淘汰涉重金属重点行业落后产能，完善重金属相关行业准入条件，禁止新建落后产能或产能严重过剩行业的建设项目</w:t>
            </w:r>
          </w:p>
        </w:tc>
        <w:tc>
          <w:tcPr>
            <w:tcW w:w="627" w:type="pct"/>
            <w:vAlign w:val="center"/>
          </w:tcPr>
          <w:p w14:paraId="628D0F87"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不</w:t>
            </w:r>
            <w:proofErr w:type="gramStart"/>
            <w:r w:rsidRPr="008A2411">
              <w:rPr>
                <w:rFonts w:ascii="Times New Roman"/>
                <w:color w:val="000000" w:themeColor="text1"/>
                <w:sz w:val="21"/>
                <w:szCs w:val="21"/>
              </w:rPr>
              <w:t>属于涉重企业</w:t>
            </w:r>
            <w:proofErr w:type="gramEnd"/>
          </w:p>
        </w:tc>
        <w:tc>
          <w:tcPr>
            <w:tcW w:w="401" w:type="pct"/>
            <w:vAlign w:val="center"/>
          </w:tcPr>
          <w:p w14:paraId="5899942B"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符合</w:t>
            </w:r>
          </w:p>
        </w:tc>
      </w:tr>
    </w:tbl>
    <w:p w14:paraId="377ED445" w14:textId="79C9FF46" w:rsidR="00B0005F" w:rsidRPr="008A2411" w:rsidRDefault="00000000" w:rsidP="00950499">
      <w:pPr>
        <w:adjustRightInd w:val="0"/>
        <w:snapToGrid w:val="0"/>
        <w:spacing w:line="360" w:lineRule="auto"/>
        <w:ind w:firstLine="482"/>
        <w:rPr>
          <w:rFonts w:ascii="Times New Roman"/>
          <w:color w:val="000000" w:themeColor="text1"/>
        </w:rPr>
      </w:pPr>
      <w:r w:rsidRPr="008A2411">
        <w:rPr>
          <w:rFonts w:ascii="Times New Roman"/>
          <w:color w:val="000000" w:themeColor="text1"/>
        </w:rPr>
        <w:t>经上表分析，项目建设与《国务院关于印发土壤污染防治行动计划的通知》（国发〔</w:t>
      </w:r>
      <w:r w:rsidRPr="008A2411">
        <w:rPr>
          <w:rFonts w:ascii="Times New Roman"/>
          <w:color w:val="000000" w:themeColor="text1"/>
        </w:rPr>
        <w:t>2016</w:t>
      </w:r>
      <w:r w:rsidRPr="008A2411">
        <w:rPr>
          <w:rFonts w:ascii="Times New Roman"/>
          <w:color w:val="000000" w:themeColor="text1"/>
        </w:rPr>
        <w:t>〕</w:t>
      </w:r>
      <w:r w:rsidRPr="008A2411">
        <w:rPr>
          <w:rFonts w:ascii="Times New Roman"/>
          <w:color w:val="000000" w:themeColor="text1"/>
        </w:rPr>
        <w:t>31</w:t>
      </w:r>
      <w:r w:rsidRPr="008A2411">
        <w:rPr>
          <w:rFonts w:ascii="Times New Roman"/>
          <w:color w:val="000000" w:themeColor="text1"/>
        </w:rPr>
        <w:t>号）相符。</w:t>
      </w:r>
    </w:p>
    <w:p w14:paraId="17A224B9" w14:textId="77777777" w:rsidR="00B0005F" w:rsidRPr="008A2411" w:rsidRDefault="00000000">
      <w:pPr>
        <w:pStyle w:val="L-3"/>
        <w:adjustRightInd w:val="0"/>
        <w:snapToGrid w:val="0"/>
        <w:spacing w:before="0" w:after="0" w:line="360" w:lineRule="auto"/>
        <w:rPr>
          <w:rFonts w:ascii="Times New Roman"/>
          <w:color w:val="000000" w:themeColor="text1"/>
          <w:sz w:val="24"/>
          <w:szCs w:val="24"/>
          <w:lang w:bidi="ar-SA"/>
        </w:rPr>
      </w:pPr>
      <w:r w:rsidRPr="008A2411">
        <w:rPr>
          <w:rFonts w:ascii="Times New Roman"/>
          <w:color w:val="000000" w:themeColor="text1"/>
          <w:sz w:val="24"/>
          <w:szCs w:val="24"/>
          <w:lang w:bidi="ar-SA"/>
        </w:rPr>
        <w:t>2.4.</w:t>
      </w:r>
      <w:r w:rsidRPr="008A2411">
        <w:rPr>
          <w:rFonts w:ascii="Times New Roman" w:hint="eastAsia"/>
          <w:color w:val="000000" w:themeColor="text1"/>
          <w:sz w:val="24"/>
          <w:szCs w:val="24"/>
          <w:lang w:bidi="ar-SA"/>
        </w:rPr>
        <w:t>8</w:t>
      </w:r>
      <w:r w:rsidRPr="008A2411">
        <w:rPr>
          <w:rFonts w:ascii="Times New Roman"/>
          <w:color w:val="000000" w:themeColor="text1"/>
          <w:sz w:val="24"/>
          <w:szCs w:val="24"/>
          <w:lang w:bidi="ar-SA"/>
        </w:rPr>
        <w:t>与长江经济带生态保护要求的相关规划符合性</w:t>
      </w:r>
    </w:p>
    <w:p w14:paraId="426795E3" w14:textId="77777777" w:rsidR="00B0005F" w:rsidRPr="008A2411" w:rsidRDefault="00000000">
      <w:pPr>
        <w:adjustRightInd w:val="0"/>
        <w:snapToGri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1</w:t>
      </w:r>
      <w:r w:rsidRPr="008A2411">
        <w:rPr>
          <w:rFonts w:ascii="Times New Roman"/>
          <w:color w:val="000000" w:themeColor="text1"/>
        </w:rPr>
        <w:t>）与《长江经济带生态环境保护规划》（环</w:t>
      </w:r>
      <w:proofErr w:type="gramStart"/>
      <w:r w:rsidRPr="008A2411">
        <w:rPr>
          <w:rFonts w:ascii="Times New Roman"/>
          <w:color w:val="000000" w:themeColor="text1"/>
        </w:rPr>
        <w:t>规</w:t>
      </w:r>
      <w:proofErr w:type="gramEnd"/>
      <w:r w:rsidRPr="008A2411">
        <w:rPr>
          <w:rFonts w:ascii="Times New Roman"/>
          <w:color w:val="000000" w:themeColor="text1"/>
        </w:rPr>
        <w:t>财〔</w:t>
      </w:r>
      <w:r w:rsidRPr="008A2411">
        <w:rPr>
          <w:rFonts w:ascii="Times New Roman"/>
          <w:color w:val="000000" w:themeColor="text1"/>
        </w:rPr>
        <w:t>2017</w:t>
      </w:r>
      <w:r w:rsidRPr="008A2411">
        <w:rPr>
          <w:rFonts w:ascii="Times New Roman"/>
          <w:color w:val="000000" w:themeColor="text1"/>
        </w:rPr>
        <w:t>〕</w:t>
      </w:r>
      <w:r w:rsidRPr="008A2411">
        <w:rPr>
          <w:rFonts w:ascii="Times New Roman"/>
          <w:color w:val="000000" w:themeColor="text1"/>
        </w:rPr>
        <w:t>88</w:t>
      </w:r>
      <w:r w:rsidRPr="008A2411">
        <w:rPr>
          <w:rFonts w:ascii="Times New Roman"/>
          <w:color w:val="000000" w:themeColor="text1"/>
        </w:rPr>
        <w:t>号）符合性</w:t>
      </w:r>
    </w:p>
    <w:p w14:paraId="1AEE06A6" w14:textId="77777777" w:rsidR="00B0005F" w:rsidRPr="008A2411" w:rsidRDefault="00000000">
      <w:pPr>
        <w:adjustRightInd w:val="0"/>
        <w:snapToGrid w:val="0"/>
        <w:spacing w:line="360" w:lineRule="auto"/>
        <w:ind w:firstLine="480"/>
        <w:rPr>
          <w:rFonts w:ascii="Times New Roman"/>
          <w:color w:val="000000" w:themeColor="text1"/>
        </w:rPr>
      </w:pPr>
      <w:r w:rsidRPr="008A2411">
        <w:rPr>
          <w:rFonts w:ascii="Times New Roman"/>
          <w:color w:val="000000" w:themeColor="text1"/>
        </w:rPr>
        <w:t>根据《长江经济带生态环境保护规划》中第六条指出：</w:t>
      </w:r>
      <w:r w:rsidRPr="008A2411">
        <w:rPr>
          <w:rFonts w:ascii="Times New Roman" w:hint="eastAsia"/>
          <w:color w:val="000000" w:themeColor="text1"/>
        </w:rPr>
        <w:t>“</w:t>
      </w:r>
      <w:r w:rsidRPr="008A2411">
        <w:rPr>
          <w:rFonts w:ascii="Times New Roman"/>
          <w:color w:val="000000" w:themeColor="text1"/>
        </w:rPr>
        <w:t>全面推进环境污染治理，建设宜居城乡环境专栏</w:t>
      </w:r>
      <w:r w:rsidRPr="008A2411">
        <w:rPr>
          <w:rFonts w:ascii="Times New Roman" w:hint="eastAsia"/>
          <w:color w:val="000000" w:themeColor="text1"/>
        </w:rPr>
        <w:t>”</w:t>
      </w:r>
      <w:r w:rsidRPr="008A2411">
        <w:rPr>
          <w:rFonts w:ascii="Times New Roman"/>
          <w:color w:val="000000" w:themeColor="text1"/>
        </w:rPr>
        <w:t>，该条要求中提出改善城市环境质量，推进成渝城市大气污染防治。增加天然气的开发程度，提供天然气供应量，有利于加速产业升级和能源结构的调整，本项目属于天然气液化加工生产项目，项目的建设能够增加天然气的开发程度，符合《长江经济带生态环境保护规划》要求。</w:t>
      </w:r>
    </w:p>
    <w:p w14:paraId="3881D856" w14:textId="77777777" w:rsidR="00B0005F" w:rsidRPr="008A2411" w:rsidRDefault="00000000">
      <w:pPr>
        <w:adjustRightInd w:val="0"/>
        <w:snapToGri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2</w:t>
      </w:r>
      <w:r w:rsidRPr="008A2411">
        <w:rPr>
          <w:rFonts w:ascii="Times New Roman"/>
          <w:color w:val="000000" w:themeColor="text1"/>
        </w:rPr>
        <w:t>）与《四川实施长江经济带发展负面清单实施细则（试行）》的符合性</w:t>
      </w:r>
    </w:p>
    <w:p w14:paraId="68552066" w14:textId="77777777" w:rsidR="00B0005F" w:rsidRPr="008A2411" w:rsidRDefault="00000000">
      <w:pPr>
        <w:adjustRightInd w:val="0"/>
        <w:snapToGrid w:val="0"/>
        <w:spacing w:line="360" w:lineRule="auto"/>
        <w:ind w:firstLine="480"/>
        <w:rPr>
          <w:rFonts w:ascii="Times New Roman"/>
          <w:color w:val="000000" w:themeColor="text1"/>
        </w:rPr>
      </w:pPr>
      <w:r w:rsidRPr="008A2411">
        <w:rPr>
          <w:rFonts w:ascii="Times New Roman"/>
          <w:color w:val="000000" w:themeColor="text1"/>
        </w:rPr>
        <w:t>本项目与《四川省长江经济带发展负面清单实施细则（试行）》对比分析详见下表。</w:t>
      </w:r>
    </w:p>
    <w:p w14:paraId="24C8DBFF" w14:textId="77777777" w:rsidR="00B0005F" w:rsidRPr="008A2411" w:rsidRDefault="00000000">
      <w:pPr>
        <w:autoSpaceDE w:val="0"/>
        <w:autoSpaceDN w:val="0"/>
        <w:snapToGrid w:val="0"/>
        <w:ind w:firstLine="422"/>
        <w:jc w:val="center"/>
        <w:rPr>
          <w:rFonts w:ascii="Times New Roman" w:eastAsia="黑体"/>
          <w:color w:val="000000" w:themeColor="text1"/>
          <w:sz w:val="21"/>
          <w:szCs w:val="21"/>
        </w:rPr>
      </w:pPr>
      <w:r w:rsidRPr="008A2411">
        <w:rPr>
          <w:rFonts w:ascii="Times New Roman" w:eastAsia="黑体"/>
          <w:color w:val="000000" w:themeColor="text1"/>
          <w:sz w:val="21"/>
          <w:szCs w:val="21"/>
        </w:rPr>
        <w:t>表</w:t>
      </w:r>
      <w:r w:rsidRPr="008A2411">
        <w:rPr>
          <w:rFonts w:ascii="Times New Roman" w:eastAsia="黑体"/>
          <w:color w:val="000000" w:themeColor="text1"/>
          <w:sz w:val="21"/>
          <w:szCs w:val="21"/>
        </w:rPr>
        <w:t>2.4-</w:t>
      </w:r>
      <w:r w:rsidRPr="008A2411">
        <w:rPr>
          <w:rFonts w:ascii="Times New Roman" w:eastAsia="黑体" w:hint="eastAsia"/>
          <w:color w:val="000000" w:themeColor="text1"/>
          <w:sz w:val="21"/>
          <w:szCs w:val="21"/>
        </w:rPr>
        <w:t>8</w:t>
      </w:r>
      <w:r w:rsidRPr="008A2411">
        <w:rPr>
          <w:rFonts w:ascii="Times New Roman" w:eastAsia="黑体"/>
          <w:color w:val="000000" w:themeColor="text1"/>
          <w:sz w:val="21"/>
          <w:szCs w:val="21"/>
        </w:rPr>
        <w:t xml:space="preserve">  </w:t>
      </w:r>
      <w:r w:rsidRPr="008A2411">
        <w:rPr>
          <w:rFonts w:ascii="Times New Roman" w:eastAsia="黑体"/>
          <w:color w:val="000000" w:themeColor="text1"/>
          <w:sz w:val="21"/>
          <w:szCs w:val="21"/>
        </w:rPr>
        <w:t>与《四川省长江经济带发展负面清单实施细则（试行）》对比分析表</w:t>
      </w:r>
    </w:p>
    <w:tbl>
      <w:tblPr>
        <w:tblW w:w="499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533"/>
        <w:gridCol w:w="5059"/>
        <w:gridCol w:w="1714"/>
        <w:gridCol w:w="1053"/>
      </w:tblGrid>
      <w:tr w:rsidR="008A2411" w:rsidRPr="008A2411" w14:paraId="34D01CAB" w14:textId="77777777">
        <w:trPr>
          <w:jc w:val="center"/>
        </w:trPr>
        <w:tc>
          <w:tcPr>
            <w:tcW w:w="318" w:type="pct"/>
            <w:vAlign w:val="center"/>
          </w:tcPr>
          <w:p w14:paraId="48AC918A" w14:textId="77777777" w:rsidR="00B0005F" w:rsidRPr="008A2411" w:rsidRDefault="00000000">
            <w:pPr>
              <w:autoSpaceDE w:val="0"/>
              <w:autoSpaceDN w:val="0"/>
              <w:jc w:val="center"/>
              <w:rPr>
                <w:rFonts w:ascii="Times New Roman"/>
                <w:b/>
                <w:bCs/>
                <w:color w:val="000000" w:themeColor="text1"/>
                <w:sz w:val="21"/>
                <w:szCs w:val="21"/>
              </w:rPr>
            </w:pPr>
            <w:r w:rsidRPr="008A2411">
              <w:rPr>
                <w:rFonts w:ascii="Times New Roman"/>
                <w:b/>
                <w:bCs/>
                <w:color w:val="000000" w:themeColor="text1"/>
                <w:sz w:val="21"/>
                <w:szCs w:val="21"/>
              </w:rPr>
              <w:t>序号</w:t>
            </w:r>
          </w:p>
        </w:tc>
        <w:tc>
          <w:tcPr>
            <w:tcW w:w="3025" w:type="pct"/>
            <w:vAlign w:val="center"/>
          </w:tcPr>
          <w:p w14:paraId="1F58350D" w14:textId="77777777" w:rsidR="00B0005F" w:rsidRPr="008A2411" w:rsidRDefault="00000000">
            <w:pPr>
              <w:autoSpaceDE w:val="0"/>
              <w:autoSpaceDN w:val="0"/>
              <w:jc w:val="center"/>
              <w:rPr>
                <w:rFonts w:ascii="Times New Roman"/>
                <w:b/>
                <w:bCs/>
                <w:color w:val="000000" w:themeColor="text1"/>
                <w:sz w:val="21"/>
                <w:szCs w:val="21"/>
              </w:rPr>
            </w:pPr>
            <w:r w:rsidRPr="008A2411">
              <w:rPr>
                <w:rFonts w:ascii="Times New Roman"/>
                <w:b/>
                <w:bCs/>
                <w:color w:val="000000" w:themeColor="text1"/>
                <w:sz w:val="21"/>
                <w:szCs w:val="21"/>
              </w:rPr>
              <w:t>污染防治技术政策要求</w:t>
            </w:r>
          </w:p>
        </w:tc>
        <w:tc>
          <w:tcPr>
            <w:tcW w:w="1025" w:type="pct"/>
            <w:vAlign w:val="center"/>
          </w:tcPr>
          <w:p w14:paraId="15F7E601" w14:textId="77777777" w:rsidR="00B0005F" w:rsidRPr="008A2411" w:rsidRDefault="00000000">
            <w:pPr>
              <w:autoSpaceDE w:val="0"/>
              <w:autoSpaceDN w:val="0"/>
              <w:jc w:val="center"/>
              <w:rPr>
                <w:rFonts w:ascii="Times New Roman"/>
                <w:b/>
                <w:bCs/>
                <w:color w:val="000000" w:themeColor="text1"/>
                <w:sz w:val="21"/>
                <w:szCs w:val="21"/>
              </w:rPr>
            </w:pPr>
            <w:r w:rsidRPr="008A2411">
              <w:rPr>
                <w:rFonts w:ascii="Times New Roman"/>
                <w:b/>
                <w:bCs/>
                <w:color w:val="000000" w:themeColor="text1"/>
                <w:sz w:val="21"/>
                <w:szCs w:val="21"/>
              </w:rPr>
              <w:t>本工程内容</w:t>
            </w:r>
          </w:p>
        </w:tc>
        <w:tc>
          <w:tcPr>
            <w:tcW w:w="630" w:type="pct"/>
            <w:vAlign w:val="center"/>
          </w:tcPr>
          <w:p w14:paraId="623F6344" w14:textId="77777777" w:rsidR="00B0005F" w:rsidRPr="008A2411" w:rsidRDefault="00000000">
            <w:pPr>
              <w:autoSpaceDE w:val="0"/>
              <w:autoSpaceDN w:val="0"/>
              <w:jc w:val="center"/>
              <w:rPr>
                <w:rFonts w:ascii="Times New Roman"/>
                <w:b/>
                <w:bCs/>
                <w:color w:val="000000" w:themeColor="text1"/>
                <w:sz w:val="21"/>
                <w:szCs w:val="21"/>
              </w:rPr>
            </w:pPr>
            <w:r w:rsidRPr="008A2411">
              <w:rPr>
                <w:rFonts w:ascii="Times New Roman"/>
                <w:b/>
                <w:bCs/>
                <w:color w:val="000000" w:themeColor="text1"/>
                <w:sz w:val="21"/>
                <w:szCs w:val="21"/>
              </w:rPr>
              <w:t>符合性分析</w:t>
            </w:r>
          </w:p>
        </w:tc>
      </w:tr>
      <w:tr w:rsidR="008A2411" w:rsidRPr="008A2411" w14:paraId="3B2412D2" w14:textId="77777777">
        <w:trPr>
          <w:jc w:val="center"/>
        </w:trPr>
        <w:tc>
          <w:tcPr>
            <w:tcW w:w="318" w:type="pct"/>
            <w:vAlign w:val="center"/>
          </w:tcPr>
          <w:p w14:paraId="2EE8945A"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第六条</w:t>
            </w:r>
          </w:p>
        </w:tc>
        <w:tc>
          <w:tcPr>
            <w:tcW w:w="3025" w:type="pct"/>
            <w:vAlign w:val="center"/>
          </w:tcPr>
          <w:p w14:paraId="2B901E6F"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禁止新建、改建和扩建未纳入《全国内河航道与港口布局规划》等全国港口规划，以及《四川省内河水运发展规划》、《泸州</w:t>
            </w:r>
            <w:r w:rsidRPr="008A2411">
              <w:rPr>
                <w:rFonts w:ascii="Times New Roman"/>
                <w:color w:val="000000" w:themeColor="text1"/>
                <w:sz w:val="21"/>
                <w:szCs w:val="21"/>
              </w:rPr>
              <w:t>—</w:t>
            </w:r>
            <w:r w:rsidRPr="008A2411">
              <w:rPr>
                <w:rFonts w:ascii="Times New Roman"/>
                <w:color w:val="000000" w:themeColor="text1"/>
                <w:sz w:val="21"/>
                <w:szCs w:val="21"/>
              </w:rPr>
              <w:t>宜宾</w:t>
            </w:r>
            <w:r w:rsidRPr="008A2411">
              <w:rPr>
                <w:rFonts w:ascii="Times New Roman"/>
                <w:color w:val="000000" w:themeColor="text1"/>
                <w:sz w:val="21"/>
                <w:szCs w:val="21"/>
              </w:rPr>
              <w:t>—</w:t>
            </w:r>
            <w:r w:rsidRPr="008A2411">
              <w:rPr>
                <w:rFonts w:ascii="Times New Roman"/>
                <w:color w:val="000000" w:themeColor="text1"/>
                <w:sz w:val="21"/>
                <w:szCs w:val="21"/>
              </w:rPr>
              <w:t>乐山港口群布局规划》等省级港口布局规划及港口总体规划的码头项目。</w:t>
            </w:r>
          </w:p>
        </w:tc>
        <w:tc>
          <w:tcPr>
            <w:tcW w:w="1025" w:type="pct"/>
            <w:vAlign w:val="center"/>
          </w:tcPr>
          <w:p w14:paraId="52EC44B7"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本工程不属于该类项目。</w:t>
            </w:r>
          </w:p>
        </w:tc>
        <w:tc>
          <w:tcPr>
            <w:tcW w:w="630" w:type="pct"/>
            <w:vAlign w:val="center"/>
          </w:tcPr>
          <w:p w14:paraId="4D1509C1"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符合</w:t>
            </w:r>
          </w:p>
        </w:tc>
      </w:tr>
      <w:tr w:rsidR="008A2411" w:rsidRPr="008A2411" w14:paraId="0A1B8E02" w14:textId="77777777">
        <w:trPr>
          <w:jc w:val="center"/>
        </w:trPr>
        <w:tc>
          <w:tcPr>
            <w:tcW w:w="318" w:type="pct"/>
            <w:vAlign w:val="center"/>
          </w:tcPr>
          <w:p w14:paraId="71F2D6BB"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lastRenderedPageBreak/>
              <w:t>第七条</w:t>
            </w:r>
          </w:p>
        </w:tc>
        <w:tc>
          <w:tcPr>
            <w:tcW w:w="3025" w:type="pct"/>
            <w:vAlign w:val="center"/>
          </w:tcPr>
          <w:p w14:paraId="0C24B8FA"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禁止新建、改建和扩建不符合《长江干线过江通道布局规划》的过长江通道项目（含桥梁、隧道）。</w:t>
            </w:r>
          </w:p>
        </w:tc>
        <w:tc>
          <w:tcPr>
            <w:tcW w:w="1025" w:type="pct"/>
            <w:vAlign w:val="center"/>
          </w:tcPr>
          <w:p w14:paraId="77D8F7CE"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本工程不属于该类项目。</w:t>
            </w:r>
          </w:p>
        </w:tc>
        <w:tc>
          <w:tcPr>
            <w:tcW w:w="630" w:type="pct"/>
            <w:vAlign w:val="center"/>
          </w:tcPr>
          <w:p w14:paraId="59A78163"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符合</w:t>
            </w:r>
          </w:p>
        </w:tc>
      </w:tr>
      <w:tr w:rsidR="008A2411" w:rsidRPr="008A2411" w14:paraId="7CACC64A" w14:textId="77777777">
        <w:trPr>
          <w:jc w:val="center"/>
        </w:trPr>
        <w:tc>
          <w:tcPr>
            <w:tcW w:w="318" w:type="pct"/>
            <w:vAlign w:val="center"/>
          </w:tcPr>
          <w:p w14:paraId="5E238A70"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第八条</w:t>
            </w:r>
          </w:p>
        </w:tc>
        <w:tc>
          <w:tcPr>
            <w:tcW w:w="3025" w:type="pct"/>
            <w:vAlign w:val="center"/>
          </w:tcPr>
          <w:p w14:paraId="1482CEDF"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禁止在自然保护区核心区、缓冲区的岸线和河段范围内投资建设旅游和生产经营项目。禁止在自然保护区内进行砍伐、放牧、狩猎、捕捞、采药、开垦、烧荒、开矿、采石、挖沙等活动。</w:t>
            </w:r>
          </w:p>
        </w:tc>
        <w:tc>
          <w:tcPr>
            <w:tcW w:w="1025" w:type="pct"/>
            <w:vAlign w:val="center"/>
          </w:tcPr>
          <w:p w14:paraId="7946EEDD"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本工程不在当地自然保护区范围内。</w:t>
            </w:r>
          </w:p>
        </w:tc>
        <w:tc>
          <w:tcPr>
            <w:tcW w:w="630" w:type="pct"/>
            <w:vAlign w:val="center"/>
          </w:tcPr>
          <w:p w14:paraId="31469AC8"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符合</w:t>
            </w:r>
          </w:p>
        </w:tc>
      </w:tr>
      <w:tr w:rsidR="008A2411" w:rsidRPr="008A2411" w14:paraId="471C08D0" w14:textId="77777777">
        <w:trPr>
          <w:jc w:val="center"/>
        </w:trPr>
        <w:tc>
          <w:tcPr>
            <w:tcW w:w="318" w:type="pct"/>
            <w:vAlign w:val="center"/>
          </w:tcPr>
          <w:p w14:paraId="0B400AB5"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第九条</w:t>
            </w:r>
          </w:p>
        </w:tc>
        <w:tc>
          <w:tcPr>
            <w:tcW w:w="3025" w:type="pct"/>
            <w:vAlign w:val="center"/>
          </w:tcPr>
          <w:p w14:paraId="32E7851E"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禁止违反风景名胜区规划，在风景名胜区内设立各</w:t>
            </w:r>
            <w:r w:rsidRPr="008A2411">
              <w:rPr>
                <w:rFonts w:ascii="Times New Roman"/>
                <w:color w:val="000000" w:themeColor="text1"/>
                <w:sz w:val="21"/>
                <w:szCs w:val="21"/>
              </w:rPr>
              <w:t xml:space="preserve"> </w:t>
            </w:r>
            <w:r w:rsidRPr="008A2411">
              <w:rPr>
                <w:rFonts w:ascii="Times New Roman"/>
                <w:color w:val="000000" w:themeColor="text1"/>
                <w:sz w:val="21"/>
                <w:szCs w:val="21"/>
              </w:rPr>
              <w:t>类开发区；禁止在风景名胜区核心景区的岸线和河段范围内建设宾馆、招待所、培训中心、疗养院以及与风景名胜资源保护无关的其他建筑物。</w:t>
            </w:r>
          </w:p>
        </w:tc>
        <w:tc>
          <w:tcPr>
            <w:tcW w:w="1025" w:type="pct"/>
            <w:vAlign w:val="center"/>
          </w:tcPr>
          <w:p w14:paraId="76EA8EAF"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本工程不在当地风景名胜区范围内。</w:t>
            </w:r>
          </w:p>
        </w:tc>
        <w:tc>
          <w:tcPr>
            <w:tcW w:w="630" w:type="pct"/>
            <w:vAlign w:val="center"/>
          </w:tcPr>
          <w:p w14:paraId="1F70D805"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符合</w:t>
            </w:r>
          </w:p>
        </w:tc>
      </w:tr>
      <w:tr w:rsidR="008A2411" w:rsidRPr="008A2411" w14:paraId="3CA0AF6D" w14:textId="77777777">
        <w:trPr>
          <w:jc w:val="center"/>
        </w:trPr>
        <w:tc>
          <w:tcPr>
            <w:tcW w:w="318" w:type="pct"/>
            <w:vAlign w:val="center"/>
          </w:tcPr>
          <w:p w14:paraId="198AFAF7"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第十条、第十一条、第十二条</w:t>
            </w:r>
          </w:p>
        </w:tc>
        <w:tc>
          <w:tcPr>
            <w:tcW w:w="3025" w:type="pct"/>
            <w:vAlign w:val="center"/>
          </w:tcPr>
          <w:p w14:paraId="03CAA2B0" w14:textId="77777777" w:rsidR="00B0005F" w:rsidRPr="008A2411" w:rsidRDefault="00000000">
            <w:pPr>
              <w:autoSpaceDE w:val="0"/>
              <w:autoSpaceDN w:val="0"/>
              <w:rPr>
                <w:rFonts w:ascii="Times New Roman"/>
                <w:color w:val="000000" w:themeColor="text1"/>
                <w:sz w:val="21"/>
                <w:szCs w:val="21"/>
              </w:rPr>
            </w:pPr>
            <w:r w:rsidRPr="008A2411">
              <w:rPr>
                <w:rFonts w:ascii="Times New Roman"/>
                <w:color w:val="000000" w:themeColor="text1"/>
                <w:sz w:val="21"/>
                <w:szCs w:val="21"/>
              </w:rPr>
              <w:t>禁止在饮用水水源准保护区的岸线和河段范围内新建、扩建对水体污染严重的建设项目；改建建设项目不得增加排污量。禁止在饮用水水源准保护区的岸线和河段范围内设置化工原料、矿物油类及有毒有害矿产品的贮存场所，以及生活垃圾、工业固体废物和危险废物的堆放场所和转运站。</w:t>
            </w:r>
          </w:p>
          <w:p w14:paraId="0FCFDBF5"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在饮用水水源二级保护区的岸线和河段范围内，除应遵守准保护区规定外，禁止新建、改建、扩建排放污染物的建设项目；禁止从事经营性取土和采石（砂）等活动；禁止从事网箱养殖、施肥养鱼等污染饮用水水体的活动；禁止铺设输送污水、油类、有毒有害物品的管道。饮用水水源一级保护区的岸线和河段范围内，除应遵守准保护区和二级保护区规定外，禁止新建、改建、扩建与供（取）水设施和保护水源无关的项目，以及网箱养殖、旅游等可能污染饮用水水体的投资建设项目；禁止设置畜禽养殖场。</w:t>
            </w:r>
          </w:p>
        </w:tc>
        <w:tc>
          <w:tcPr>
            <w:tcW w:w="1025" w:type="pct"/>
            <w:vAlign w:val="center"/>
          </w:tcPr>
          <w:p w14:paraId="34360B50"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本工程不在当地集中式饮用水源保护区范围内。</w:t>
            </w:r>
          </w:p>
        </w:tc>
        <w:tc>
          <w:tcPr>
            <w:tcW w:w="630" w:type="pct"/>
            <w:vAlign w:val="center"/>
          </w:tcPr>
          <w:p w14:paraId="185CD694"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符合</w:t>
            </w:r>
          </w:p>
        </w:tc>
      </w:tr>
      <w:tr w:rsidR="008A2411" w:rsidRPr="008A2411" w14:paraId="71B3C715" w14:textId="77777777">
        <w:trPr>
          <w:jc w:val="center"/>
        </w:trPr>
        <w:tc>
          <w:tcPr>
            <w:tcW w:w="318" w:type="pct"/>
            <w:vAlign w:val="center"/>
          </w:tcPr>
          <w:p w14:paraId="7B76C342"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第十三条、第十四条</w:t>
            </w:r>
          </w:p>
        </w:tc>
        <w:tc>
          <w:tcPr>
            <w:tcW w:w="3025" w:type="pct"/>
            <w:vAlign w:val="center"/>
          </w:tcPr>
          <w:p w14:paraId="162DB2F1"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禁止在水产种质资源保护区的岸线和河段范围内新建排污口。禁止在水产种质资源保护区岸线和河段范围内围湖造田、围湖造地、挖沙采石。</w:t>
            </w:r>
          </w:p>
        </w:tc>
        <w:tc>
          <w:tcPr>
            <w:tcW w:w="1025" w:type="pct"/>
            <w:vAlign w:val="center"/>
          </w:tcPr>
          <w:p w14:paraId="723673AE"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本工程不在当地水产种质资源保护区范围内。</w:t>
            </w:r>
          </w:p>
        </w:tc>
        <w:tc>
          <w:tcPr>
            <w:tcW w:w="630" w:type="pct"/>
            <w:vAlign w:val="center"/>
          </w:tcPr>
          <w:p w14:paraId="2E00D9E4"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符合</w:t>
            </w:r>
          </w:p>
        </w:tc>
      </w:tr>
      <w:tr w:rsidR="008A2411" w:rsidRPr="008A2411" w14:paraId="7577DBEB" w14:textId="77777777">
        <w:trPr>
          <w:jc w:val="center"/>
        </w:trPr>
        <w:tc>
          <w:tcPr>
            <w:tcW w:w="318" w:type="pct"/>
            <w:vAlign w:val="center"/>
          </w:tcPr>
          <w:p w14:paraId="18E966DE"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第十五条</w:t>
            </w:r>
          </w:p>
        </w:tc>
        <w:tc>
          <w:tcPr>
            <w:tcW w:w="3025" w:type="pct"/>
            <w:vAlign w:val="center"/>
          </w:tcPr>
          <w:p w14:paraId="4D1C1E67"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禁止在国家湿地公园的岸线和河段范围内开（围）垦、填埋或者排干湿地，截断湿地水源，挖沙、采矿，倾倒有毒有害物质、废弃物、垃圾，从事房地产、度假村、高尔夫球场、风力发电、光伏发电等任何不符合主体功能定位的建设项目和开发活动，破坏野生动物栖息地和迁徙通道、鱼类洄游通道，滥采滥捕野生动植物，引入外来物种，擅自放牧、捕捞、取土、取水、排污、放生，以及其他破坏湿地及其生态功能的活动。</w:t>
            </w:r>
          </w:p>
        </w:tc>
        <w:tc>
          <w:tcPr>
            <w:tcW w:w="1025" w:type="pct"/>
            <w:vAlign w:val="center"/>
          </w:tcPr>
          <w:p w14:paraId="4AC72165"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本工程不涉及当地湿地公园。</w:t>
            </w:r>
          </w:p>
        </w:tc>
        <w:tc>
          <w:tcPr>
            <w:tcW w:w="630" w:type="pct"/>
            <w:vAlign w:val="center"/>
          </w:tcPr>
          <w:p w14:paraId="54590093"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符合</w:t>
            </w:r>
          </w:p>
        </w:tc>
      </w:tr>
      <w:tr w:rsidR="008A2411" w:rsidRPr="008A2411" w14:paraId="6BD4C552" w14:textId="77777777">
        <w:trPr>
          <w:jc w:val="center"/>
        </w:trPr>
        <w:tc>
          <w:tcPr>
            <w:tcW w:w="318" w:type="pct"/>
            <w:vAlign w:val="center"/>
          </w:tcPr>
          <w:p w14:paraId="123CC261"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第十六条、第十七条</w:t>
            </w:r>
          </w:p>
        </w:tc>
        <w:tc>
          <w:tcPr>
            <w:tcW w:w="3025" w:type="pct"/>
            <w:vAlign w:val="center"/>
          </w:tcPr>
          <w:p w14:paraId="3FF9CE64"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禁止在《长江岸线保护和开发利用总体规划》划定的岸线保护区内投资建设除保障防洪安全、河势稳定、供水安全以及保护生态环境、已建重要枢纽工程以外的项目。禁止在《长江岸线保护和开发利用总体规划》划定的岸线保留区内投资建设除保障防洪安全、河势稳定、供水安全、航道稳定以及保护生态环境以外的项目。</w:t>
            </w:r>
          </w:p>
        </w:tc>
        <w:tc>
          <w:tcPr>
            <w:tcW w:w="1025" w:type="pct"/>
            <w:vAlign w:val="center"/>
          </w:tcPr>
          <w:p w14:paraId="6D6FB348"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本工程不在《长江岸线保护和开发利用总体规划》划定的岸线保护区范围内。</w:t>
            </w:r>
          </w:p>
        </w:tc>
        <w:tc>
          <w:tcPr>
            <w:tcW w:w="630" w:type="pct"/>
            <w:vAlign w:val="center"/>
          </w:tcPr>
          <w:p w14:paraId="713DD301"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符合</w:t>
            </w:r>
          </w:p>
        </w:tc>
      </w:tr>
      <w:tr w:rsidR="008A2411" w:rsidRPr="008A2411" w14:paraId="6FDF282E" w14:textId="77777777">
        <w:trPr>
          <w:jc w:val="center"/>
        </w:trPr>
        <w:tc>
          <w:tcPr>
            <w:tcW w:w="318" w:type="pct"/>
            <w:vAlign w:val="center"/>
          </w:tcPr>
          <w:p w14:paraId="5CA2D3A6"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第十八条</w:t>
            </w:r>
          </w:p>
        </w:tc>
        <w:tc>
          <w:tcPr>
            <w:tcW w:w="3025" w:type="pct"/>
            <w:vAlign w:val="center"/>
          </w:tcPr>
          <w:p w14:paraId="6D9E60B1"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禁止在《全国重要江河湖泊水功能区划》划定的河段保护区、保留区内投资建设不利于水资源及自然生态保护的项目。</w:t>
            </w:r>
          </w:p>
        </w:tc>
        <w:tc>
          <w:tcPr>
            <w:tcW w:w="1025" w:type="pct"/>
            <w:vAlign w:val="center"/>
          </w:tcPr>
          <w:p w14:paraId="6FF05AE3"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本工程不在《全国重要江河湖泊水功能区划》划定的河段保护区、保留区范围内。</w:t>
            </w:r>
          </w:p>
        </w:tc>
        <w:tc>
          <w:tcPr>
            <w:tcW w:w="630" w:type="pct"/>
            <w:vAlign w:val="center"/>
          </w:tcPr>
          <w:p w14:paraId="72DBA894"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符合</w:t>
            </w:r>
          </w:p>
        </w:tc>
      </w:tr>
      <w:tr w:rsidR="008A2411" w:rsidRPr="008A2411" w14:paraId="01A01C64" w14:textId="77777777">
        <w:trPr>
          <w:jc w:val="center"/>
        </w:trPr>
        <w:tc>
          <w:tcPr>
            <w:tcW w:w="318" w:type="pct"/>
            <w:vAlign w:val="center"/>
          </w:tcPr>
          <w:p w14:paraId="5F1554A3"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lastRenderedPageBreak/>
              <w:t>第十九条</w:t>
            </w:r>
          </w:p>
        </w:tc>
        <w:tc>
          <w:tcPr>
            <w:tcW w:w="3025" w:type="pct"/>
            <w:vAlign w:val="center"/>
          </w:tcPr>
          <w:p w14:paraId="505CC8A8"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禁止在生态保护红线范围内投资建设除国家重大战略资源勘查项目、生态保护修复和环境治理项目、重大基础设施项目、军事国防项目以及农牧民基本生产生活等必要的民生项目以外的项目。生态保护红线原则上按禁止开发区域的要求进行管理。严禁不符合主体功能定位的各类开发活动，严禁任意改变用途。</w:t>
            </w:r>
          </w:p>
        </w:tc>
        <w:tc>
          <w:tcPr>
            <w:tcW w:w="1025" w:type="pct"/>
            <w:vAlign w:val="center"/>
          </w:tcPr>
          <w:p w14:paraId="128AADE6"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本工程不在当地生态保护红线范围内。</w:t>
            </w:r>
          </w:p>
        </w:tc>
        <w:tc>
          <w:tcPr>
            <w:tcW w:w="630" w:type="pct"/>
            <w:vAlign w:val="center"/>
          </w:tcPr>
          <w:p w14:paraId="6D3E145D"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符合</w:t>
            </w:r>
          </w:p>
        </w:tc>
      </w:tr>
      <w:tr w:rsidR="008A2411" w:rsidRPr="008A2411" w14:paraId="14CCE491" w14:textId="77777777">
        <w:trPr>
          <w:jc w:val="center"/>
        </w:trPr>
        <w:tc>
          <w:tcPr>
            <w:tcW w:w="318" w:type="pct"/>
            <w:vAlign w:val="center"/>
          </w:tcPr>
          <w:p w14:paraId="766DCB51"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第二十条</w:t>
            </w:r>
          </w:p>
        </w:tc>
        <w:tc>
          <w:tcPr>
            <w:tcW w:w="3025" w:type="pct"/>
            <w:vAlign w:val="center"/>
          </w:tcPr>
          <w:p w14:paraId="6D1DDBF5"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禁止占用永久基本农田，国家重大战略资源勘查、生态保护修复和环境治理、重大基础设施、军事国防以及农牧民基本生产生活等必要的民生项目（包括深度贫困地区、集中</w:t>
            </w:r>
          </w:p>
          <w:p w14:paraId="2D8C4336"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连片特困地区、国家扶贫开发工作重点县省级以下基础设施、易地扶贫搬迁、民生发展等建设项目），选址确实难以避让永久基本农田的，按程序严格论证后依法依规报批。</w:t>
            </w:r>
          </w:p>
        </w:tc>
        <w:tc>
          <w:tcPr>
            <w:tcW w:w="1025" w:type="pct"/>
            <w:vAlign w:val="center"/>
          </w:tcPr>
          <w:p w14:paraId="78FB362C"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本工程不占用基本农田。</w:t>
            </w:r>
          </w:p>
        </w:tc>
        <w:tc>
          <w:tcPr>
            <w:tcW w:w="630" w:type="pct"/>
            <w:vAlign w:val="center"/>
          </w:tcPr>
          <w:p w14:paraId="585A21BB"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符合</w:t>
            </w:r>
          </w:p>
        </w:tc>
      </w:tr>
    </w:tbl>
    <w:p w14:paraId="13695C28" w14:textId="77777777" w:rsidR="00B0005F" w:rsidRPr="008A2411" w:rsidRDefault="00000000">
      <w:pPr>
        <w:pStyle w:val="afffffffffffffffffffff0"/>
        <w:ind w:firstLine="480"/>
        <w:rPr>
          <w:color w:val="000000" w:themeColor="text1"/>
        </w:rPr>
      </w:pPr>
      <w:r w:rsidRPr="008A2411">
        <w:rPr>
          <w:color w:val="000000" w:themeColor="text1"/>
        </w:rPr>
        <w:t>通过本项目内容与《四川省长江经济带发展负面清单实施细则（试行）》中各项内容进行对比分析，本项目建设符合《四川省长江经济带发展负面清单实施细则（试行）》要求。</w:t>
      </w:r>
    </w:p>
    <w:p w14:paraId="4C0116F7" w14:textId="77777777" w:rsidR="00B0005F" w:rsidRPr="008A2411" w:rsidRDefault="00000000">
      <w:pPr>
        <w:pStyle w:val="L-3"/>
        <w:adjustRightInd w:val="0"/>
        <w:snapToGrid w:val="0"/>
        <w:spacing w:before="0" w:after="0" w:line="360" w:lineRule="auto"/>
        <w:rPr>
          <w:rFonts w:ascii="Times New Roman"/>
          <w:color w:val="000000" w:themeColor="text1"/>
          <w:sz w:val="24"/>
          <w:szCs w:val="24"/>
          <w:lang w:bidi="ar-SA"/>
        </w:rPr>
      </w:pPr>
      <w:r w:rsidRPr="008A2411">
        <w:rPr>
          <w:rFonts w:ascii="Times New Roman"/>
          <w:color w:val="000000" w:themeColor="text1"/>
          <w:sz w:val="24"/>
          <w:szCs w:val="24"/>
          <w:lang w:bidi="ar-SA"/>
        </w:rPr>
        <w:t>2.4.</w:t>
      </w:r>
      <w:r w:rsidRPr="008A2411">
        <w:rPr>
          <w:rFonts w:ascii="Times New Roman" w:hint="eastAsia"/>
          <w:color w:val="000000" w:themeColor="text1"/>
          <w:sz w:val="24"/>
          <w:szCs w:val="24"/>
          <w:lang w:bidi="ar-SA"/>
        </w:rPr>
        <w:t>9</w:t>
      </w:r>
      <w:r w:rsidRPr="008A2411">
        <w:rPr>
          <w:rFonts w:ascii="Times New Roman"/>
          <w:color w:val="000000" w:themeColor="text1"/>
          <w:sz w:val="24"/>
          <w:szCs w:val="24"/>
          <w:lang w:bidi="ar-SA"/>
        </w:rPr>
        <w:t>与《关于进一步加强石油天然气行业环境影响评价管理的通知》（</w:t>
      </w:r>
      <w:proofErr w:type="gramStart"/>
      <w:r w:rsidRPr="008A2411">
        <w:rPr>
          <w:rFonts w:ascii="Times New Roman"/>
          <w:color w:val="000000" w:themeColor="text1"/>
          <w:sz w:val="24"/>
          <w:szCs w:val="24"/>
          <w:lang w:bidi="ar-SA"/>
        </w:rPr>
        <w:t>环办环评函</w:t>
      </w:r>
      <w:proofErr w:type="gramEnd"/>
      <w:r w:rsidRPr="008A2411">
        <w:rPr>
          <w:rFonts w:ascii="Times New Roman"/>
          <w:color w:val="000000" w:themeColor="text1"/>
          <w:sz w:val="24"/>
          <w:szCs w:val="24"/>
          <w:lang w:bidi="ar-SA"/>
        </w:rPr>
        <w:t>〔</w:t>
      </w:r>
      <w:r w:rsidRPr="008A2411">
        <w:rPr>
          <w:rFonts w:ascii="Times New Roman"/>
          <w:color w:val="000000" w:themeColor="text1"/>
          <w:sz w:val="24"/>
          <w:szCs w:val="24"/>
          <w:lang w:bidi="ar-SA"/>
        </w:rPr>
        <w:t>2019</w:t>
      </w:r>
      <w:r w:rsidRPr="008A2411">
        <w:rPr>
          <w:rFonts w:ascii="Times New Roman"/>
          <w:color w:val="000000" w:themeColor="text1"/>
          <w:sz w:val="24"/>
          <w:szCs w:val="24"/>
          <w:lang w:bidi="ar-SA"/>
        </w:rPr>
        <w:t>〕</w:t>
      </w:r>
      <w:r w:rsidRPr="008A2411">
        <w:rPr>
          <w:rFonts w:ascii="Times New Roman"/>
          <w:color w:val="000000" w:themeColor="text1"/>
          <w:sz w:val="24"/>
          <w:szCs w:val="24"/>
          <w:lang w:bidi="ar-SA"/>
        </w:rPr>
        <w:t>910</w:t>
      </w:r>
      <w:r w:rsidRPr="008A2411">
        <w:rPr>
          <w:rFonts w:ascii="Times New Roman"/>
          <w:color w:val="000000" w:themeColor="text1"/>
          <w:sz w:val="24"/>
          <w:szCs w:val="24"/>
          <w:lang w:bidi="ar-SA"/>
        </w:rPr>
        <w:t>号）符合性分析</w:t>
      </w:r>
    </w:p>
    <w:p w14:paraId="60DAD08E" w14:textId="77777777" w:rsidR="00B0005F" w:rsidRPr="008A2411" w:rsidRDefault="00000000">
      <w:pPr>
        <w:adjustRightInd w:val="0"/>
        <w:snapToGrid w:val="0"/>
        <w:spacing w:line="360" w:lineRule="auto"/>
        <w:ind w:firstLine="482"/>
        <w:rPr>
          <w:rFonts w:ascii="Times New Roman"/>
          <w:color w:val="000000" w:themeColor="text1"/>
        </w:rPr>
      </w:pPr>
      <w:r w:rsidRPr="008A2411">
        <w:rPr>
          <w:rFonts w:ascii="Times New Roman"/>
          <w:color w:val="000000" w:themeColor="text1"/>
        </w:rPr>
        <w:t>本项目与《关于进一步加强石油天然气行业环境影响评价管理的通知》（</w:t>
      </w:r>
      <w:proofErr w:type="gramStart"/>
      <w:r w:rsidRPr="008A2411">
        <w:rPr>
          <w:rFonts w:ascii="Times New Roman"/>
          <w:color w:val="000000" w:themeColor="text1"/>
        </w:rPr>
        <w:t>环办环评函</w:t>
      </w:r>
      <w:proofErr w:type="gramEnd"/>
      <w:r w:rsidRPr="008A2411">
        <w:rPr>
          <w:rFonts w:ascii="Times New Roman"/>
          <w:color w:val="000000" w:themeColor="text1"/>
        </w:rPr>
        <w:t>〔</w:t>
      </w:r>
      <w:r w:rsidRPr="008A2411">
        <w:rPr>
          <w:rFonts w:ascii="Times New Roman"/>
          <w:color w:val="000000" w:themeColor="text1"/>
        </w:rPr>
        <w:t>2019</w:t>
      </w:r>
      <w:r w:rsidRPr="008A2411">
        <w:rPr>
          <w:rFonts w:ascii="Times New Roman"/>
          <w:color w:val="000000" w:themeColor="text1"/>
        </w:rPr>
        <w:t>〕</w:t>
      </w:r>
      <w:r w:rsidRPr="008A2411">
        <w:rPr>
          <w:rFonts w:ascii="Times New Roman"/>
          <w:color w:val="000000" w:themeColor="text1"/>
        </w:rPr>
        <w:t>910</w:t>
      </w:r>
      <w:r w:rsidRPr="008A2411">
        <w:rPr>
          <w:rFonts w:ascii="Times New Roman"/>
          <w:color w:val="000000" w:themeColor="text1"/>
        </w:rPr>
        <w:t>号）对比分析详见表</w:t>
      </w:r>
      <w:r w:rsidRPr="008A2411">
        <w:rPr>
          <w:rFonts w:ascii="Times New Roman" w:hint="eastAsia"/>
          <w:color w:val="000000" w:themeColor="text1"/>
        </w:rPr>
        <w:t>2.4-9</w:t>
      </w:r>
      <w:r w:rsidRPr="008A2411">
        <w:rPr>
          <w:rFonts w:ascii="Times New Roman"/>
          <w:color w:val="000000" w:themeColor="text1"/>
        </w:rPr>
        <w:t>。</w:t>
      </w:r>
    </w:p>
    <w:p w14:paraId="457FB4B9" w14:textId="77777777" w:rsidR="00B0005F" w:rsidRPr="008A2411" w:rsidRDefault="00000000">
      <w:pPr>
        <w:ind w:firstLine="480"/>
        <w:jc w:val="center"/>
        <w:rPr>
          <w:rFonts w:ascii="Times New Roman" w:eastAsia="黑体"/>
          <w:color w:val="000000" w:themeColor="text1"/>
          <w:sz w:val="21"/>
          <w:szCs w:val="21"/>
        </w:rPr>
      </w:pPr>
      <w:r w:rsidRPr="008A2411">
        <w:rPr>
          <w:rFonts w:ascii="Times New Roman" w:eastAsia="黑体"/>
          <w:color w:val="000000" w:themeColor="text1"/>
          <w:sz w:val="21"/>
          <w:szCs w:val="21"/>
        </w:rPr>
        <w:t>表</w:t>
      </w:r>
      <w:r w:rsidRPr="008A2411">
        <w:rPr>
          <w:rFonts w:ascii="Times New Roman" w:eastAsia="黑体" w:hint="eastAsia"/>
          <w:color w:val="000000" w:themeColor="text1"/>
          <w:sz w:val="21"/>
          <w:szCs w:val="21"/>
        </w:rPr>
        <w:t>2.4-9</w:t>
      </w:r>
      <w:r w:rsidRPr="008A2411">
        <w:rPr>
          <w:rFonts w:ascii="Times New Roman" w:eastAsia="黑体"/>
          <w:color w:val="000000" w:themeColor="text1"/>
          <w:sz w:val="21"/>
          <w:szCs w:val="21"/>
        </w:rPr>
        <w:t xml:space="preserve">  </w:t>
      </w:r>
      <w:r w:rsidRPr="008A2411">
        <w:rPr>
          <w:rFonts w:ascii="Times New Roman" w:eastAsia="黑体"/>
          <w:color w:val="000000" w:themeColor="text1"/>
          <w:sz w:val="21"/>
          <w:szCs w:val="21"/>
        </w:rPr>
        <w:t>与关于进一步加强石油天然气行业环境影响评价管理的通知符合性</w:t>
      </w:r>
    </w:p>
    <w:tbl>
      <w:tblPr>
        <w:tblW w:w="89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908"/>
        <w:gridCol w:w="4474"/>
        <w:gridCol w:w="2410"/>
        <w:gridCol w:w="1134"/>
      </w:tblGrid>
      <w:tr w:rsidR="008A2411" w:rsidRPr="008A2411" w14:paraId="3188C2CD" w14:textId="77777777">
        <w:trPr>
          <w:trHeight w:val="103"/>
          <w:tblHeader/>
          <w:jc w:val="center"/>
        </w:trPr>
        <w:tc>
          <w:tcPr>
            <w:tcW w:w="509" w:type="pct"/>
            <w:vAlign w:val="center"/>
          </w:tcPr>
          <w:p w14:paraId="4F44EE94" w14:textId="77777777" w:rsidR="00B0005F" w:rsidRPr="008A2411" w:rsidRDefault="00000000">
            <w:pPr>
              <w:jc w:val="center"/>
              <w:rPr>
                <w:rFonts w:ascii="Times New Roman"/>
                <w:b/>
                <w:bCs/>
                <w:color w:val="000000" w:themeColor="text1"/>
                <w:sz w:val="21"/>
                <w:szCs w:val="21"/>
              </w:rPr>
            </w:pPr>
            <w:r w:rsidRPr="008A2411">
              <w:rPr>
                <w:rFonts w:ascii="Times New Roman"/>
                <w:b/>
                <w:bCs/>
                <w:color w:val="000000" w:themeColor="text1"/>
                <w:sz w:val="21"/>
                <w:szCs w:val="21"/>
              </w:rPr>
              <w:t>序号</w:t>
            </w:r>
          </w:p>
        </w:tc>
        <w:tc>
          <w:tcPr>
            <w:tcW w:w="2506" w:type="pct"/>
            <w:vAlign w:val="center"/>
          </w:tcPr>
          <w:p w14:paraId="228187A6" w14:textId="77777777" w:rsidR="00B0005F" w:rsidRPr="008A2411" w:rsidRDefault="00000000">
            <w:pPr>
              <w:jc w:val="center"/>
              <w:rPr>
                <w:rFonts w:ascii="Times New Roman"/>
                <w:b/>
                <w:bCs/>
                <w:color w:val="000000" w:themeColor="text1"/>
                <w:sz w:val="21"/>
                <w:szCs w:val="21"/>
              </w:rPr>
            </w:pPr>
            <w:r w:rsidRPr="008A2411">
              <w:rPr>
                <w:rFonts w:ascii="Times New Roman"/>
                <w:b/>
                <w:bCs/>
                <w:color w:val="000000" w:themeColor="text1"/>
                <w:sz w:val="21"/>
                <w:szCs w:val="21"/>
              </w:rPr>
              <w:t>技术政策要求</w:t>
            </w:r>
          </w:p>
        </w:tc>
        <w:tc>
          <w:tcPr>
            <w:tcW w:w="1350" w:type="pct"/>
            <w:vAlign w:val="center"/>
          </w:tcPr>
          <w:p w14:paraId="5E3DA3A6" w14:textId="77777777" w:rsidR="00B0005F" w:rsidRPr="008A2411" w:rsidRDefault="00000000">
            <w:pPr>
              <w:jc w:val="center"/>
              <w:rPr>
                <w:rFonts w:ascii="Times New Roman"/>
                <w:b/>
                <w:bCs/>
                <w:color w:val="000000" w:themeColor="text1"/>
                <w:sz w:val="21"/>
                <w:szCs w:val="21"/>
              </w:rPr>
            </w:pPr>
            <w:r w:rsidRPr="008A2411">
              <w:rPr>
                <w:rFonts w:ascii="Times New Roman"/>
                <w:b/>
                <w:bCs/>
                <w:color w:val="000000" w:themeColor="text1"/>
                <w:sz w:val="21"/>
                <w:szCs w:val="21"/>
              </w:rPr>
              <w:t>项目内容</w:t>
            </w:r>
          </w:p>
        </w:tc>
        <w:tc>
          <w:tcPr>
            <w:tcW w:w="635" w:type="pct"/>
            <w:vAlign w:val="center"/>
          </w:tcPr>
          <w:p w14:paraId="7DBC07EB" w14:textId="77777777" w:rsidR="00B0005F" w:rsidRPr="008A2411" w:rsidRDefault="00000000">
            <w:pPr>
              <w:jc w:val="center"/>
              <w:rPr>
                <w:rFonts w:ascii="Times New Roman"/>
                <w:b/>
                <w:bCs/>
                <w:color w:val="000000" w:themeColor="text1"/>
                <w:sz w:val="21"/>
                <w:szCs w:val="21"/>
              </w:rPr>
            </w:pPr>
            <w:r w:rsidRPr="008A2411">
              <w:rPr>
                <w:rFonts w:ascii="Times New Roman"/>
                <w:b/>
                <w:bCs/>
                <w:color w:val="000000" w:themeColor="text1"/>
                <w:sz w:val="21"/>
                <w:szCs w:val="21"/>
              </w:rPr>
              <w:t>符合性</w:t>
            </w:r>
          </w:p>
        </w:tc>
      </w:tr>
      <w:tr w:rsidR="008A2411" w:rsidRPr="008A2411" w14:paraId="4F76A4DC" w14:textId="77777777">
        <w:trPr>
          <w:trHeight w:val="258"/>
          <w:jc w:val="center"/>
        </w:trPr>
        <w:tc>
          <w:tcPr>
            <w:tcW w:w="509" w:type="pct"/>
            <w:vAlign w:val="center"/>
          </w:tcPr>
          <w:p w14:paraId="66A5F2D6" w14:textId="77777777" w:rsidR="00B0005F" w:rsidRPr="008A2411" w:rsidRDefault="00000000">
            <w:pPr>
              <w:jc w:val="center"/>
              <w:rPr>
                <w:rFonts w:ascii="Times New Roman"/>
                <w:color w:val="000000" w:themeColor="text1"/>
                <w:sz w:val="21"/>
                <w:szCs w:val="21"/>
              </w:rPr>
            </w:pPr>
            <w:proofErr w:type="gramStart"/>
            <w:r w:rsidRPr="008A2411">
              <w:rPr>
                <w:rFonts w:ascii="Times New Roman"/>
                <w:color w:val="000000" w:themeColor="text1"/>
                <w:sz w:val="21"/>
                <w:szCs w:val="21"/>
              </w:rPr>
              <w:t>一</w:t>
            </w:r>
            <w:proofErr w:type="gramEnd"/>
          </w:p>
        </w:tc>
        <w:tc>
          <w:tcPr>
            <w:tcW w:w="4491" w:type="pct"/>
            <w:gridSpan w:val="3"/>
            <w:vAlign w:val="center"/>
          </w:tcPr>
          <w:p w14:paraId="0761D6B5"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推进规划环境影响评价</w:t>
            </w:r>
          </w:p>
        </w:tc>
      </w:tr>
      <w:tr w:rsidR="008A2411" w:rsidRPr="008A2411" w14:paraId="4A8A361D" w14:textId="77777777">
        <w:trPr>
          <w:trHeight w:val="258"/>
          <w:jc w:val="center"/>
        </w:trPr>
        <w:tc>
          <w:tcPr>
            <w:tcW w:w="509" w:type="pct"/>
            <w:vAlign w:val="center"/>
          </w:tcPr>
          <w:p w14:paraId="159F743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w:t>
            </w:r>
            <w:r w:rsidRPr="008A2411">
              <w:rPr>
                <w:rFonts w:ascii="Times New Roman"/>
                <w:color w:val="000000" w:themeColor="text1"/>
                <w:sz w:val="21"/>
                <w:szCs w:val="21"/>
              </w:rPr>
              <w:t>2</w:t>
            </w:r>
            <w:r w:rsidRPr="008A2411">
              <w:rPr>
                <w:rFonts w:ascii="Times New Roman"/>
                <w:color w:val="000000" w:themeColor="text1"/>
                <w:sz w:val="21"/>
                <w:szCs w:val="21"/>
              </w:rPr>
              <w:t>）</w:t>
            </w:r>
          </w:p>
        </w:tc>
        <w:tc>
          <w:tcPr>
            <w:tcW w:w="2506" w:type="pct"/>
            <w:vAlign w:val="center"/>
          </w:tcPr>
          <w:p w14:paraId="213A828E"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油气企业在编制内部相关油气开发专项规划时，鼓励同步编制规划环境影响报告书。</w:t>
            </w:r>
          </w:p>
        </w:tc>
        <w:tc>
          <w:tcPr>
            <w:tcW w:w="1350" w:type="pct"/>
            <w:vAlign w:val="center"/>
          </w:tcPr>
          <w:p w14:paraId="5CAF3EE0"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hint="eastAsia"/>
                <w:color w:val="000000" w:themeColor="text1"/>
                <w:sz w:val="21"/>
                <w:szCs w:val="21"/>
              </w:rPr>
              <w:t>本项目也液化天然气生产项目，为油气开发的下游端的独立的单个建设项目，</w:t>
            </w:r>
            <w:r w:rsidRPr="008A2411">
              <w:rPr>
                <w:rFonts w:ascii="Times New Roman"/>
                <w:color w:val="000000" w:themeColor="text1"/>
                <w:sz w:val="21"/>
                <w:szCs w:val="21"/>
              </w:rPr>
              <w:t>未编制相油气开发专项规划环境影响报告书。</w:t>
            </w:r>
          </w:p>
        </w:tc>
        <w:tc>
          <w:tcPr>
            <w:tcW w:w="635" w:type="pct"/>
            <w:vAlign w:val="center"/>
          </w:tcPr>
          <w:p w14:paraId="4A0C078B"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非强制性要求，不违背。</w:t>
            </w:r>
          </w:p>
        </w:tc>
      </w:tr>
      <w:tr w:rsidR="008A2411" w:rsidRPr="008A2411" w14:paraId="03BC1191" w14:textId="77777777">
        <w:trPr>
          <w:trHeight w:val="258"/>
          <w:jc w:val="center"/>
        </w:trPr>
        <w:tc>
          <w:tcPr>
            <w:tcW w:w="509" w:type="pct"/>
            <w:vAlign w:val="center"/>
          </w:tcPr>
          <w:p w14:paraId="334ACF7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二</w:t>
            </w:r>
          </w:p>
        </w:tc>
        <w:tc>
          <w:tcPr>
            <w:tcW w:w="4491" w:type="pct"/>
            <w:gridSpan w:val="3"/>
            <w:vAlign w:val="center"/>
          </w:tcPr>
          <w:p w14:paraId="5806461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深化</w:t>
            </w:r>
            <w:proofErr w:type="gramStart"/>
            <w:r w:rsidRPr="008A2411">
              <w:rPr>
                <w:rFonts w:ascii="Times New Roman"/>
                <w:color w:val="000000" w:themeColor="text1"/>
                <w:sz w:val="21"/>
                <w:szCs w:val="21"/>
              </w:rPr>
              <w:t>项目环</w:t>
            </w:r>
            <w:proofErr w:type="gramEnd"/>
            <w:r w:rsidRPr="008A2411">
              <w:rPr>
                <w:rFonts w:ascii="Times New Roman"/>
                <w:color w:val="000000" w:themeColor="text1"/>
                <w:sz w:val="21"/>
                <w:szCs w:val="21"/>
              </w:rPr>
              <w:t>评</w:t>
            </w:r>
            <w:r w:rsidRPr="008A2411">
              <w:rPr>
                <w:rFonts w:ascii="Times New Roman"/>
                <w:color w:val="000000" w:themeColor="text1"/>
                <w:sz w:val="21"/>
                <w:szCs w:val="21"/>
              </w:rPr>
              <w:t>“</w:t>
            </w:r>
            <w:r w:rsidRPr="008A2411">
              <w:rPr>
                <w:rFonts w:ascii="Times New Roman"/>
                <w:color w:val="000000" w:themeColor="text1"/>
                <w:sz w:val="21"/>
                <w:szCs w:val="21"/>
              </w:rPr>
              <w:t>放管服</w:t>
            </w:r>
            <w:r w:rsidRPr="008A2411">
              <w:rPr>
                <w:rFonts w:ascii="Times New Roman"/>
                <w:color w:val="000000" w:themeColor="text1"/>
                <w:sz w:val="21"/>
                <w:szCs w:val="21"/>
              </w:rPr>
              <w:t>”</w:t>
            </w:r>
            <w:r w:rsidRPr="008A2411">
              <w:rPr>
                <w:rFonts w:ascii="Times New Roman"/>
                <w:color w:val="000000" w:themeColor="text1"/>
                <w:sz w:val="21"/>
                <w:szCs w:val="21"/>
              </w:rPr>
              <w:t>改革</w:t>
            </w:r>
          </w:p>
        </w:tc>
      </w:tr>
      <w:tr w:rsidR="008A2411" w:rsidRPr="008A2411" w14:paraId="30A4CA34" w14:textId="77777777">
        <w:trPr>
          <w:trHeight w:val="258"/>
          <w:jc w:val="center"/>
        </w:trPr>
        <w:tc>
          <w:tcPr>
            <w:tcW w:w="509" w:type="pct"/>
            <w:vAlign w:val="center"/>
          </w:tcPr>
          <w:p w14:paraId="60FA8B0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w:t>
            </w:r>
            <w:r w:rsidRPr="008A2411">
              <w:rPr>
                <w:rFonts w:ascii="Times New Roman"/>
                <w:color w:val="000000" w:themeColor="text1"/>
                <w:sz w:val="21"/>
                <w:szCs w:val="21"/>
              </w:rPr>
              <w:t>4</w:t>
            </w:r>
            <w:r w:rsidRPr="008A2411">
              <w:rPr>
                <w:rFonts w:ascii="Times New Roman"/>
                <w:color w:val="000000" w:themeColor="text1"/>
                <w:sz w:val="21"/>
                <w:szCs w:val="21"/>
              </w:rPr>
              <w:t>）</w:t>
            </w:r>
          </w:p>
        </w:tc>
        <w:tc>
          <w:tcPr>
            <w:tcW w:w="2506" w:type="pct"/>
            <w:vAlign w:val="center"/>
          </w:tcPr>
          <w:p w14:paraId="06B4F4A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油气开采项目（含新开发和滚动开发项目）原则上应当以区块为单位开展环评（以下简称区块环评），一般包括区块内拟建的新井、加密井、调整井、站场、设备、管道和电缆及其更换工程、弃置工程及配套工程等。</w:t>
            </w:r>
            <w:proofErr w:type="gramStart"/>
            <w:r w:rsidRPr="008A2411">
              <w:rPr>
                <w:rFonts w:ascii="Times New Roman"/>
                <w:color w:val="000000" w:themeColor="text1"/>
                <w:sz w:val="21"/>
                <w:szCs w:val="21"/>
              </w:rPr>
              <w:t>项目环评应当</w:t>
            </w:r>
            <w:proofErr w:type="gramEnd"/>
            <w:r w:rsidRPr="008A2411">
              <w:rPr>
                <w:rFonts w:ascii="Times New Roman"/>
                <w:color w:val="000000" w:themeColor="text1"/>
                <w:sz w:val="21"/>
                <w:szCs w:val="21"/>
              </w:rPr>
              <w:t>深入评价项目建设、运营带来的环境影响和环境风险，提出有效的生态环境保护和环境风险防范措施。滚动开发区块产能建设项目环</w:t>
            </w:r>
            <w:proofErr w:type="gramStart"/>
            <w:r w:rsidRPr="008A2411">
              <w:rPr>
                <w:rFonts w:ascii="Times New Roman"/>
                <w:color w:val="000000" w:themeColor="text1"/>
                <w:sz w:val="21"/>
                <w:szCs w:val="21"/>
              </w:rPr>
              <w:t>评文件</w:t>
            </w:r>
            <w:proofErr w:type="gramEnd"/>
            <w:r w:rsidRPr="008A2411">
              <w:rPr>
                <w:rFonts w:ascii="Times New Roman"/>
                <w:color w:val="000000" w:themeColor="text1"/>
                <w:sz w:val="21"/>
                <w:szCs w:val="21"/>
              </w:rPr>
              <w:t>中还应对现有工程环境影响进行回顾性评价，对存在的生态环境问题和环境风险隐患提出有效防治措施。依托其他防治设施的或者委托第三方处置的，应当论证其可行性和有效性。</w:t>
            </w:r>
          </w:p>
        </w:tc>
        <w:tc>
          <w:tcPr>
            <w:tcW w:w="1350" w:type="pct"/>
            <w:vAlign w:val="center"/>
          </w:tcPr>
          <w:p w14:paraId="671A3B00" w14:textId="77777777" w:rsidR="00B0005F" w:rsidRPr="008A2411" w:rsidRDefault="00000000">
            <w:pPr>
              <w:jc w:val="center"/>
              <w:rPr>
                <w:rFonts w:ascii="Times New Roman"/>
                <w:color w:val="000000" w:themeColor="text1"/>
                <w:sz w:val="21"/>
                <w:szCs w:val="21"/>
              </w:rPr>
            </w:pPr>
            <w:r w:rsidRPr="008A2411">
              <w:rPr>
                <w:rFonts w:ascii="Times New Roman" w:hint="eastAsia"/>
                <w:color w:val="000000" w:themeColor="text1"/>
                <w:sz w:val="21"/>
                <w:szCs w:val="21"/>
              </w:rPr>
              <w:t>本项目也液化天然气生产项目，为油气开发的下游端的独立的单个建设项目</w:t>
            </w:r>
            <w:r w:rsidRPr="008A2411">
              <w:rPr>
                <w:rFonts w:ascii="Times New Roman"/>
                <w:color w:val="000000" w:themeColor="text1"/>
                <w:sz w:val="21"/>
                <w:szCs w:val="21"/>
              </w:rPr>
              <w:t>，</w:t>
            </w:r>
            <w:r w:rsidRPr="008A2411">
              <w:rPr>
                <w:rFonts w:ascii="Times New Roman" w:hint="eastAsia"/>
                <w:color w:val="000000" w:themeColor="text1"/>
                <w:sz w:val="21"/>
                <w:szCs w:val="21"/>
              </w:rPr>
              <w:t>不纳入油气开发行业的区块环评管理</w:t>
            </w:r>
            <w:r w:rsidRPr="008A2411">
              <w:rPr>
                <w:rFonts w:ascii="Times New Roman"/>
                <w:color w:val="000000" w:themeColor="text1"/>
                <w:sz w:val="21"/>
                <w:szCs w:val="21"/>
              </w:rPr>
              <w:t>。本次评价提出了有效的生态环境保护和环境风险防范措施。充分论证了施工期和试采期各污染物处置的可行性。</w:t>
            </w:r>
          </w:p>
        </w:tc>
        <w:tc>
          <w:tcPr>
            <w:tcW w:w="635" w:type="pct"/>
            <w:vAlign w:val="center"/>
          </w:tcPr>
          <w:p w14:paraId="74565FC4"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符合</w:t>
            </w:r>
          </w:p>
        </w:tc>
      </w:tr>
      <w:tr w:rsidR="008A2411" w:rsidRPr="008A2411" w14:paraId="6CB5B623" w14:textId="77777777">
        <w:trPr>
          <w:trHeight w:val="258"/>
          <w:jc w:val="center"/>
        </w:trPr>
        <w:tc>
          <w:tcPr>
            <w:tcW w:w="509" w:type="pct"/>
            <w:vAlign w:val="center"/>
          </w:tcPr>
          <w:p w14:paraId="3CEE0B3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三</w:t>
            </w:r>
          </w:p>
        </w:tc>
        <w:tc>
          <w:tcPr>
            <w:tcW w:w="4491" w:type="pct"/>
            <w:gridSpan w:val="3"/>
            <w:vAlign w:val="center"/>
          </w:tcPr>
          <w:p w14:paraId="13317DD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强化生态环境保护措施</w:t>
            </w:r>
          </w:p>
        </w:tc>
      </w:tr>
      <w:tr w:rsidR="008A2411" w:rsidRPr="008A2411" w14:paraId="35BCB6E0" w14:textId="77777777">
        <w:trPr>
          <w:trHeight w:val="258"/>
          <w:jc w:val="center"/>
        </w:trPr>
        <w:tc>
          <w:tcPr>
            <w:tcW w:w="509" w:type="pct"/>
            <w:vAlign w:val="center"/>
          </w:tcPr>
          <w:p w14:paraId="1219416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w:t>
            </w:r>
            <w:r w:rsidRPr="008A2411">
              <w:rPr>
                <w:rFonts w:ascii="Times New Roman"/>
                <w:color w:val="000000" w:themeColor="text1"/>
                <w:sz w:val="21"/>
                <w:szCs w:val="21"/>
              </w:rPr>
              <w:t>7</w:t>
            </w:r>
            <w:r w:rsidRPr="008A2411">
              <w:rPr>
                <w:rFonts w:ascii="Times New Roman"/>
                <w:color w:val="000000" w:themeColor="text1"/>
                <w:sz w:val="21"/>
                <w:szCs w:val="21"/>
              </w:rPr>
              <w:t>）</w:t>
            </w:r>
          </w:p>
        </w:tc>
        <w:tc>
          <w:tcPr>
            <w:tcW w:w="2506" w:type="pct"/>
            <w:vAlign w:val="center"/>
          </w:tcPr>
          <w:p w14:paraId="6DEF848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涉及向地表水体排放污染物的陆地油气开采项目，应当符合国家和地方污染物排放标准，满足</w:t>
            </w:r>
            <w:r w:rsidRPr="008A2411">
              <w:rPr>
                <w:rFonts w:ascii="Times New Roman"/>
                <w:color w:val="000000" w:themeColor="text1"/>
                <w:sz w:val="21"/>
                <w:szCs w:val="21"/>
              </w:rPr>
              <w:lastRenderedPageBreak/>
              <w:t>重点污染物排放总量控制要求。</w:t>
            </w:r>
          </w:p>
        </w:tc>
        <w:tc>
          <w:tcPr>
            <w:tcW w:w="1350" w:type="pct"/>
            <w:vAlign w:val="center"/>
          </w:tcPr>
          <w:p w14:paraId="18BB3284"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lang w:bidi="ar"/>
              </w:rPr>
              <w:lastRenderedPageBreak/>
              <w:t>本项目施工期和</w:t>
            </w:r>
            <w:r w:rsidRPr="008A2411">
              <w:rPr>
                <w:rFonts w:ascii="Times New Roman" w:hint="eastAsia"/>
                <w:color w:val="000000" w:themeColor="text1"/>
                <w:sz w:val="21"/>
                <w:szCs w:val="21"/>
                <w:lang w:bidi="ar"/>
              </w:rPr>
              <w:t>运营期的废水均依托处置</w:t>
            </w:r>
            <w:r w:rsidRPr="008A2411">
              <w:rPr>
                <w:rFonts w:ascii="Times New Roman"/>
                <w:color w:val="000000" w:themeColor="text1"/>
                <w:sz w:val="21"/>
                <w:szCs w:val="21"/>
                <w:lang w:bidi="ar"/>
              </w:rPr>
              <w:t>，无废水</w:t>
            </w:r>
            <w:r w:rsidRPr="008A2411">
              <w:rPr>
                <w:rFonts w:ascii="Times New Roman" w:hint="eastAsia"/>
                <w:color w:val="000000" w:themeColor="text1"/>
                <w:sz w:val="21"/>
                <w:szCs w:val="21"/>
                <w:lang w:bidi="ar"/>
              </w:rPr>
              <w:lastRenderedPageBreak/>
              <w:t>直接</w:t>
            </w:r>
            <w:r w:rsidRPr="008A2411">
              <w:rPr>
                <w:rFonts w:ascii="Times New Roman"/>
                <w:color w:val="000000" w:themeColor="text1"/>
                <w:sz w:val="21"/>
                <w:szCs w:val="21"/>
                <w:lang w:bidi="ar"/>
              </w:rPr>
              <w:t>外排。</w:t>
            </w:r>
          </w:p>
        </w:tc>
        <w:tc>
          <w:tcPr>
            <w:tcW w:w="635" w:type="pct"/>
            <w:vAlign w:val="center"/>
          </w:tcPr>
          <w:p w14:paraId="608DA9E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lastRenderedPageBreak/>
              <w:t>符合</w:t>
            </w:r>
          </w:p>
        </w:tc>
      </w:tr>
      <w:tr w:rsidR="008A2411" w:rsidRPr="008A2411" w14:paraId="23149942" w14:textId="77777777">
        <w:trPr>
          <w:trHeight w:val="258"/>
          <w:jc w:val="center"/>
        </w:trPr>
        <w:tc>
          <w:tcPr>
            <w:tcW w:w="509" w:type="pct"/>
            <w:vAlign w:val="center"/>
          </w:tcPr>
          <w:p w14:paraId="23C077A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w:t>
            </w:r>
            <w:r w:rsidRPr="008A2411">
              <w:rPr>
                <w:rFonts w:ascii="Times New Roman"/>
                <w:color w:val="000000" w:themeColor="text1"/>
                <w:sz w:val="21"/>
                <w:szCs w:val="21"/>
              </w:rPr>
              <w:t>8</w:t>
            </w:r>
            <w:r w:rsidRPr="008A2411">
              <w:rPr>
                <w:rFonts w:ascii="Times New Roman"/>
                <w:color w:val="000000" w:themeColor="text1"/>
                <w:sz w:val="21"/>
                <w:szCs w:val="21"/>
              </w:rPr>
              <w:t>）</w:t>
            </w:r>
          </w:p>
        </w:tc>
        <w:tc>
          <w:tcPr>
            <w:tcW w:w="2506" w:type="pct"/>
            <w:vAlign w:val="center"/>
          </w:tcPr>
          <w:p w14:paraId="29BC32EB"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涉及废水回注的，应当论证回注的环境可行性，采取切实可行的地下水污染防治和监控措施，不得回注与油气开采无关的废水，严禁造成地下水污染。在相关行业污染控制标准发布前，回注的开采废水应当经处理并符合《碎屑岩油藏注水水质推荐指标及分析方法》（</w:t>
            </w:r>
            <w:r w:rsidRPr="008A2411">
              <w:rPr>
                <w:rFonts w:ascii="Times New Roman"/>
                <w:color w:val="000000" w:themeColor="text1"/>
                <w:sz w:val="21"/>
                <w:szCs w:val="21"/>
              </w:rPr>
              <w:t>SY/T5329</w:t>
            </w:r>
            <w:r w:rsidRPr="008A2411">
              <w:rPr>
                <w:rFonts w:ascii="Times New Roman"/>
                <w:color w:val="000000" w:themeColor="text1"/>
                <w:sz w:val="21"/>
                <w:szCs w:val="21"/>
              </w:rPr>
              <w:t>）等相关标准要求后回注，同步采取切实可行措施防治污染。回注目的层应当为地质构造封闭地层，一般应当回注到现役油气藏或枯竭废弃油气藏。</w:t>
            </w:r>
          </w:p>
        </w:tc>
        <w:tc>
          <w:tcPr>
            <w:tcW w:w="1350" w:type="pct"/>
            <w:vAlign w:val="center"/>
          </w:tcPr>
          <w:p w14:paraId="33FA19A5"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本项目属于天然气</w:t>
            </w:r>
            <w:r w:rsidRPr="008A2411">
              <w:rPr>
                <w:rFonts w:ascii="Times New Roman" w:hint="eastAsia"/>
                <w:color w:val="000000" w:themeColor="text1"/>
                <w:sz w:val="21"/>
                <w:szCs w:val="21"/>
              </w:rPr>
              <w:t>液化生产项目，不涉及废水回注</w:t>
            </w:r>
            <w:r w:rsidRPr="008A2411">
              <w:rPr>
                <w:rFonts w:ascii="Times New Roman"/>
                <w:color w:val="000000" w:themeColor="text1"/>
                <w:sz w:val="21"/>
                <w:szCs w:val="21"/>
              </w:rPr>
              <w:t>。</w:t>
            </w:r>
          </w:p>
        </w:tc>
        <w:tc>
          <w:tcPr>
            <w:tcW w:w="635" w:type="pct"/>
            <w:vAlign w:val="center"/>
          </w:tcPr>
          <w:p w14:paraId="1CB6923B"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符合</w:t>
            </w:r>
          </w:p>
        </w:tc>
      </w:tr>
      <w:tr w:rsidR="008A2411" w:rsidRPr="008A2411" w14:paraId="3B4E1549" w14:textId="77777777">
        <w:trPr>
          <w:trHeight w:val="258"/>
          <w:jc w:val="center"/>
        </w:trPr>
        <w:tc>
          <w:tcPr>
            <w:tcW w:w="509" w:type="pct"/>
            <w:vAlign w:val="center"/>
          </w:tcPr>
          <w:p w14:paraId="684838D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w:t>
            </w:r>
            <w:r w:rsidRPr="008A2411">
              <w:rPr>
                <w:rFonts w:ascii="Times New Roman"/>
                <w:color w:val="000000" w:themeColor="text1"/>
                <w:sz w:val="21"/>
                <w:szCs w:val="21"/>
              </w:rPr>
              <w:t>9</w:t>
            </w:r>
            <w:r w:rsidRPr="008A2411">
              <w:rPr>
                <w:rFonts w:ascii="Times New Roman"/>
                <w:color w:val="000000" w:themeColor="text1"/>
                <w:sz w:val="21"/>
                <w:szCs w:val="21"/>
              </w:rPr>
              <w:t>）</w:t>
            </w:r>
          </w:p>
        </w:tc>
        <w:tc>
          <w:tcPr>
            <w:tcW w:w="2506" w:type="pct"/>
            <w:vAlign w:val="center"/>
          </w:tcPr>
          <w:p w14:paraId="35B87A7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油气开采产生的废弃油基泥浆、含油</w:t>
            </w:r>
            <w:proofErr w:type="gramStart"/>
            <w:r w:rsidRPr="008A2411">
              <w:rPr>
                <w:rFonts w:ascii="Times New Roman"/>
                <w:color w:val="000000" w:themeColor="text1"/>
                <w:sz w:val="21"/>
                <w:szCs w:val="21"/>
              </w:rPr>
              <w:t>钻屑及其</w:t>
            </w:r>
            <w:proofErr w:type="gramEnd"/>
            <w:r w:rsidRPr="008A2411">
              <w:rPr>
                <w:rFonts w:ascii="Times New Roman"/>
                <w:color w:val="000000" w:themeColor="text1"/>
                <w:sz w:val="21"/>
                <w:szCs w:val="21"/>
              </w:rPr>
              <w:t>他固体废物，应当遵循减量化、资源化、无害化原则，按照国家和地方有关固体废物的管理规定进行处置。鼓励企业自建含油污泥集中式处理和综合利用设施，提高废弃油基泥浆和含油</w:t>
            </w:r>
            <w:proofErr w:type="gramStart"/>
            <w:r w:rsidRPr="008A2411">
              <w:rPr>
                <w:rFonts w:ascii="Times New Roman"/>
                <w:color w:val="000000" w:themeColor="text1"/>
                <w:sz w:val="21"/>
                <w:szCs w:val="21"/>
              </w:rPr>
              <w:t>钻屑及其</w:t>
            </w:r>
            <w:proofErr w:type="gramEnd"/>
            <w:r w:rsidRPr="008A2411">
              <w:rPr>
                <w:rFonts w:ascii="Times New Roman"/>
                <w:color w:val="000000" w:themeColor="text1"/>
                <w:sz w:val="21"/>
                <w:szCs w:val="21"/>
              </w:rPr>
              <w:t>处理产物的综合利用率。油气开采项目产生的危险废物，应当按照《建设项目危险废物环境影响评价指南》要求评价。</w:t>
            </w:r>
          </w:p>
        </w:tc>
        <w:tc>
          <w:tcPr>
            <w:tcW w:w="1350" w:type="pct"/>
            <w:vAlign w:val="center"/>
          </w:tcPr>
          <w:p w14:paraId="013F57E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本项目属于天然气</w:t>
            </w:r>
            <w:r w:rsidRPr="008A2411">
              <w:rPr>
                <w:rFonts w:ascii="Times New Roman" w:hint="eastAsia"/>
                <w:color w:val="000000" w:themeColor="text1"/>
                <w:sz w:val="21"/>
                <w:szCs w:val="21"/>
              </w:rPr>
              <w:t>液化生产项目，</w:t>
            </w:r>
            <w:proofErr w:type="gramStart"/>
            <w:r w:rsidRPr="008A2411">
              <w:rPr>
                <w:rFonts w:ascii="Times New Roman" w:hint="eastAsia"/>
                <w:color w:val="000000" w:themeColor="text1"/>
                <w:sz w:val="21"/>
                <w:szCs w:val="21"/>
              </w:rPr>
              <w:t>不</w:t>
            </w:r>
            <w:proofErr w:type="gramEnd"/>
            <w:r w:rsidRPr="008A2411">
              <w:rPr>
                <w:rFonts w:ascii="Times New Roman" w:hint="eastAsia"/>
                <w:color w:val="000000" w:themeColor="text1"/>
                <w:sz w:val="21"/>
                <w:szCs w:val="21"/>
              </w:rPr>
              <w:t>涉钻井施工及其相关废弃物处置</w:t>
            </w:r>
            <w:r w:rsidRPr="008A2411">
              <w:rPr>
                <w:rFonts w:ascii="Times New Roman"/>
                <w:color w:val="000000" w:themeColor="text1"/>
                <w:sz w:val="21"/>
                <w:szCs w:val="21"/>
              </w:rPr>
              <w:t>。</w:t>
            </w:r>
          </w:p>
        </w:tc>
        <w:tc>
          <w:tcPr>
            <w:tcW w:w="635" w:type="pct"/>
            <w:vAlign w:val="center"/>
          </w:tcPr>
          <w:p w14:paraId="761C6B52"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符合</w:t>
            </w:r>
          </w:p>
        </w:tc>
      </w:tr>
      <w:tr w:rsidR="008A2411" w:rsidRPr="008A2411" w14:paraId="21294296" w14:textId="77777777">
        <w:trPr>
          <w:trHeight w:val="258"/>
          <w:jc w:val="center"/>
        </w:trPr>
        <w:tc>
          <w:tcPr>
            <w:tcW w:w="509" w:type="pct"/>
            <w:vAlign w:val="center"/>
          </w:tcPr>
          <w:p w14:paraId="3D93777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w:t>
            </w:r>
            <w:r w:rsidRPr="008A2411">
              <w:rPr>
                <w:rFonts w:ascii="Times New Roman"/>
                <w:color w:val="000000" w:themeColor="text1"/>
                <w:sz w:val="21"/>
                <w:szCs w:val="21"/>
              </w:rPr>
              <w:t>10</w:t>
            </w:r>
            <w:r w:rsidRPr="008A2411">
              <w:rPr>
                <w:rFonts w:ascii="Times New Roman"/>
                <w:color w:val="000000" w:themeColor="text1"/>
                <w:sz w:val="21"/>
                <w:szCs w:val="21"/>
              </w:rPr>
              <w:t>）</w:t>
            </w:r>
          </w:p>
        </w:tc>
        <w:tc>
          <w:tcPr>
            <w:tcW w:w="2506" w:type="pct"/>
            <w:vAlign w:val="center"/>
          </w:tcPr>
          <w:p w14:paraId="5D5C2524"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陆地油气开采项目的建设单位应当对挥发性有机物液体储存和装载损失、废水液面逸散、设备与管线组件泄漏、非正常工况等挥发性有机物无组织排放源进行有效管控，通过采取设备密闭、废气有效收集及配套高效末端处理设施等措施，有效控制挥发性有机物和恶臭气体无组织排放。涉及高含硫天然气开采的，应当强化钻井、输送、净化等环节环境风险防范措施。含硫气田回注采出水，应当采取有效措施减少废水处理站和回注井场硫化氢的无组织排放。高含硫天然气净化厂应当采用先进高效硫磺回收工艺，减少二氧化硫排放。井场加热炉、锅炉、压缩机等排放大气污染物的设备，应当优先使用清洁燃料，废气排放应当满足国家和地方大气污染物排放标准要求。</w:t>
            </w:r>
          </w:p>
        </w:tc>
        <w:tc>
          <w:tcPr>
            <w:tcW w:w="1350" w:type="pct"/>
            <w:vAlign w:val="center"/>
          </w:tcPr>
          <w:p w14:paraId="3309C66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本项目对挥发性有机物液体储存和装载损失、废水液面逸散、设备与管线组件泄漏、非正常工况等挥发性有机物无组织排放源进行</w:t>
            </w:r>
            <w:r w:rsidRPr="008A2411">
              <w:rPr>
                <w:rFonts w:ascii="Times New Roman" w:hint="eastAsia"/>
                <w:color w:val="000000" w:themeColor="text1"/>
                <w:sz w:val="21"/>
                <w:szCs w:val="21"/>
              </w:rPr>
              <w:t>了</w:t>
            </w:r>
            <w:r w:rsidRPr="008A2411">
              <w:rPr>
                <w:rFonts w:ascii="Times New Roman"/>
                <w:color w:val="000000" w:themeColor="text1"/>
                <w:sz w:val="21"/>
                <w:szCs w:val="21"/>
              </w:rPr>
              <w:t>有效管控，采取</w:t>
            </w:r>
            <w:r w:rsidRPr="008A2411">
              <w:rPr>
                <w:rFonts w:ascii="Times New Roman" w:hint="eastAsia"/>
                <w:color w:val="000000" w:themeColor="text1"/>
                <w:sz w:val="21"/>
                <w:szCs w:val="21"/>
              </w:rPr>
              <w:t>了</w:t>
            </w:r>
            <w:r w:rsidRPr="008A2411">
              <w:rPr>
                <w:rFonts w:ascii="Times New Roman"/>
                <w:color w:val="000000" w:themeColor="text1"/>
                <w:sz w:val="21"/>
                <w:szCs w:val="21"/>
              </w:rPr>
              <w:t>设备密闭、废气有效收集及配套高效末端处理设施等措施，有效控制</w:t>
            </w:r>
            <w:r w:rsidRPr="008A2411">
              <w:rPr>
                <w:rFonts w:ascii="Times New Roman" w:hint="eastAsia"/>
                <w:color w:val="000000" w:themeColor="text1"/>
                <w:sz w:val="21"/>
                <w:szCs w:val="21"/>
              </w:rPr>
              <w:t>了</w:t>
            </w:r>
            <w:r w:rsidRPr="008A2411">
              <w:rPr>
                <w:rFonts w:ascii="Times New Roman"/>
                <w:color w:val="000000" w:themeColor="text1"/>
                <w:sz w:val="21"/>
                <w:szCs w:val="21"/>
              </w:rPr>
              <w:t>挥发性有机物和恶臭气体无组织排放</w:t>
            </w:r>
            <w:r w:rsidRPr="008A2411">
              <w:rPr>
                <w:rFonts w:ascii="Times New Roman" w:hint="eastAsia"/>
                <w:color w:val="000000" w:themeColor="text1"/>
                <w:sz w:val="21"/>
                <w:szCs w:val="21"/>
              </w:rPr>
              <w:t>，各类废气能够满足达标排放的要求。本项目原料气为净化后的天然气，仅进行净化、液化加工，不涉及高含硫气田采出水回注及井场无组织硫化氢排放；项目也不属于高含硫净化厂项目。厂区使用的导热油炉采用净化后天然气，满足大气污染物排放标准限值。</w:t>
            </w:r>
          </w:p>
        </w:tc>
        <w:tc>
          <w:tcPr>
            <w:tcW w:w="635" w:type="pct"/>
            <w:vAlign w:val="center"/>
          </w:tcPr>
          <w:p w14:paraId="190CF53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符合</w:t>
            </w:r>
          </w:p>
        </w:tc>
      </w:tr>
      <w:tr w:rsidR="008A2411" w:rsidRPr="008A2411" w14:paraId="15E9855C" w14:textId="77777777">
        <w:trPr>
          <w:trHeight w:val="837"/>
          <w:jc w:val="center"/>
        </w:trPr>
        <w:tc>
          <w:tcPr>
            <w:tcW w:w="509" w:type="pct"/>
            <w:vAlign w:val="center"/>
          </w:tcPr>
          <w:p w14:paraId="46EC4005"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w:t>
            </w:r>
            <w:r w:rsidRPr="008A2411">
              <w:rPr>
                <w:rFonts w:ascii="Times New Roman"/>
                <w:color w:val="000000" w:themeColor="text1"/>
                <w:sz w:val="21"/>
                <w:szCs w:val="21"/>
              </w:rPr>
              <w:t>11</w:t>
            </w:r>
            <w:r w:rsidRPr="008A2411">
              <w:rPr>
                <w:rFonts w:ascii="Times New Roman"/>
                <w:color w:val="000000" w:themeColor="text1"/>
                <w:sz w:val="21"/>
                <w:szCs w:val="21"/>
              </w:rPr>
              <w:t>）</w:t>
            </w:r>
          </w:p>
        </w:tc>
        <w:tc>
          <w:tcPr>
            <w:tcW w:w="2506" w:type="pct"/>
            <w:vAlign w:val="center"/>
          </w:tcPr>
          <w:p w14:paraId="7060DD4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施工期应当尽量减少施工占地、缩短施工时间、选择合理施工方式、落实环境敏感区管</w:t>
            </w:r>
            <w:proofErr w:type="gramStart"/>
            <w:r w:rsidRPr="008A2411">
              <w:rPr>
                <w:rFonts w:ascii="Times New Roman"/>
                <w:color w:val="000000" w:themeColor="text1"/>
                <w:sz w:val="21"/>
                <w:szCs w:val="21"/>
              </w:rPr>
              <w:t>控要求</w:t>
            </w:r>
            <w:proofErr w:type="gramEnd"/>
            <w:r w:rsidRPr="008A2411">
              <w:rPr>
                <w:rFonts w:ascii="Times New Roman"/>
                <w:color w:val="000000" w:themeColor="text1"/>
                <w:sz w:val="21"/>
                <w:szCs w:val="21"/>
              </w:rPr>
              <w:t>以及其他生态环境保护措施，降低生态环境影响。钻井和压裂设备应当优先使用网电、高标准清洁燃油，减少废气排放。选用低噪声设备，避免噪声扰民。施工结束后，应当及时落实环</w:t>
            </w:r>
            <w:proofErr w:type="gramStart"/>
            <w:r w:rsidRPr="008A2411">
              <w:rPr>
                <w:rFonts w:ascii="Times New Roman"/>
                <w:color w:val="000000" w:themeColor="text1"/>
                <w:sz w:val="21"/>
                <w:szCs w:val="21"/>
              </w:rPr>
              <w:t>评提出</w:t>
            </w:r>
            <w:proofErr w:type="gramEnd"/>
            <w:r w:rsidRPr="008A2411">
              <w:rPr>
                <w:rFonts w:ascii="Times New Roman"/>
                <w:color w:val="000000" w:themeColor="text1"/>
                <w:sz w:val="21"/>
                <w:szCs w:val="21"/>
              </w:rPr>
              <w:t>的生态保护措施。</w:t>
            </w:r>
          </w:p>
        </w:tc>
        <w:tc>
          <w:tcPr>
            <w:tcW w:w="1350" w:type="pct"/>
            <w:vAlign w:val="center"/>
          </w:tcPr>
          <w:p w14:paraId="4F14CD7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本项目属于天然气</w:t>
            </w:r>
            <w:r w:rsidRPr="008A2411">
              <w:rPr>
                <w:rFonts w:ascii="Times New Roman" w:hint="eastAsia"/>
                <w:color w:val="000000" w:themeColor="text1"/>
                <w:sz w:val="21"/>
                <w:szCs w:val="21"/>
              </w:rPr>
              <w:t>液化生产项目，</w:t>
            </w:r>
            <w:proofErr w:type="gramStart"/>
            <w:r w:rsidRPr="008A2411">
              <w:rPr>
                <w:rFonts w:ascii="Times New Roman" w:hint="eastAsia"/>
                <w:color w:val="000000" w:themeColor="text1"/>
                <w:sz w:val="21"/>
                <w:szCs w:val="21"/>
              </w:rPr>
              <w:t>不</w:t>
            </w:r>
            <w:proofErr w:type="gramEnd"/>
            <w:r w:rsidRPr="008A2411">
              <w:rPr>
                <w:rFonts w:ascii="Times New Roman" w:hint="eastAsia"/>
                <w:color w:val="000000" w:themeColor="text1"/>
                <w:sz w:val="21"/>
                <w:szCs w:val="21"/>
              </w:rPr>
              <w:t>涉钻井施工</w:t>
            </w:r>
            <w:r w:rsidRPr="008A2411">
              <w:rPr>
                <w:rFonts w:ascii="Times New Roman"/>
                <w:color w:val="000000" w:themeColor="text1"/>
                <w:sz w:val="21"/>
                <w:szCs w:val="21"/>
              </w:rPr>
              <w:t>。</w:t>
            </w:r>
          </w:p>
        </w:tc>
        <w:tc>
          <w:tcPr>
            <w:tcW w:w="635" w:type="pct"/>
            <w:vAlign w:val="center"/>
          </w:tcPr>
          <w:p w14:paraId="6C1C54AE"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符合</w:t>
            </w:r>
          </w:p>
        </w:tc>
      </w:tr>
      <w:tr w:rsidR="008A2411" w:rsidRPr="008A2411" w14:paraId="6AD7AC6C" w14:textId="77777777">
        <w:trPr>
          <w:trHeight w:val="258"/>
          <w:jc w:val="center"/>
        </w:trPr>
        <w:tc>
          <w:tcPr>
            <w:tcW w:w="509" w:type="pct"/>
            <w:vAlign w:val="center"/>
          </w:tcPr>
          <w:p w14:paraId="3AADCE7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w:t>
            </w:r>
            <w:r w:rsidRPr="008A2411">
              <w:rPr>
                <w:rFonts w:ascii="Times New Roman"/>
                <w:color w:val="000000" w:themeColor="text1"/>
                <w:sz w:val="21"/>
                <w:szCs w:val="21"/>
              </w:rPr>
              <w:t>12</w:t>
            </w:r>
            <w:r w:rsidRPr="008A2411">
              <w:rPr>
                <w:rFonts w:ascii="Times New Roman"/>
                <w:color w:val="000000" w:themeColor="text1"/>
                <w:sz w:val="21"/>
                <w:szCs w:val="21"/>
              </w:rPr>
              <w:t>）</w:t>
            </w:r>
          </w:p>
        </w:tc>
        <w:tc>
          <w:tcPr>
            <w:tcW w:w="2506" w:type="pct"/>
            <w:vAlign w:val="center"/>
          </w:tcPr>
          <w:p w14:paraId="38D7C13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陆地油气长输管道项目，原则上应当单独编制环评文件。</w:t>
            </w:r>
          </w:p>
        </w:tc>
        <w:tc>
          <w:tcPr>
            <w:tcW w:w="1350" w:type="pct"/>
            <w:vAlign w:val="center"/>
          </w:tcPr>
          <w:p w14:paraId="481B539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本项目属于天然气</w:t>
            </w:r>
            <w:r w:rsidRPr="008A2411">
              <w:rPr>
                <w:rFonts w:ascii="Times New Roman" w:hint="eastAsia"/>
                <w:color w:val="000000" w:themeColor="text1"/>
                <w:sz w:val="21"/>
                <w:szCs w:val="21"/>
              </w:rPr>
              <w:t>液化生产项目，</w:t>
            </w:r>
            <w:proofErr w:type="gramStart"/>
            <w:r w:rsidRPr="008A2411">
              <w:rPr>
                <w:rFonts w:ascii="Times New Roman" w:hint="eastAsia"/>
                <w:color w:val="000000" w:themeColor="text1"/>
                <w:sz w:val="21"/>
                <w:szCs w:val="21"/>
              </w:rPr>
              <w:t>不</w:t>
            </w:r>
            <w:proofErr w:type="gramEnd"/>
            <w:r w:rsidRPr="008A2411">
              <w:rPr>
                <w:rFonts w:ascii="Times New Roman" w:hint="eastAsia"/>
                <w:color w:val="000000" w:themeColor="text1"/>
                <w:sz w:val="21"/>
                <w:szCs w:val="21"/>
              </w:rPr>
              <w:t>涉油气管道建设</w:t>
            </w:r>
            <w:r w:rsidRPr="008A2411">
              <w:rPr>
                <w:rFonts w:ascii="Times New Roman"/>
                <w:color w:val="000000" w:themeColor="text1"/>
                <w:sz w:val="21"/>
                <w:szCs w:val="21"/>
              </w:rPr>
              <w:t>。</w:t>
            </w:r>
          </w:p>
        </w:tc>
        <w:tc>
          <w:tcPr>
            <w:tcW w:w="635" w:type="pct"/>
            <w:vAlign w:val="center"/>
          </w:tcPr>
          <w:p w14:paraId="5B6272B7"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符合</w:t>
            </w:r>
          </w:p>
        </w:tc>
      </w:tr>
      <w:tr w:rsidR="008A2411" w:rsidRPr="008A2411" w14:paraId="165BDC3C" w14:textId="77777777">
        <w:trPr>
          <w:trHeight w:val="258"/>
          <w:jc w:val="center"/>
        </w:trPr>
        <w:tc>
          <w:tcPr>
            <w:tcW w:w="509" w:type="pct"/>
            <w:vAlign w:val="center"/>
          </w:tcPr>
          <w:p w14:paraId="6EFE922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lastRenderedPageBreak/>
              <w:t>（</w:t>
            </w:r>
            <w:r w:rsidRPr="008A2411">
              <w:rPr>
                <w:rFonts w:ascii="Times New Roman"/>
                <w:color w:val="000000" w:themeColor="text1"/>
                <w:sz w:val="21"/>
                <w:szCs w:val="21"/>
              </w:rPr>
              <w:t>13</w:t>
            </w:r>
            <w:r w:rsidRPr="008A2411">
              <w:rPr>
                <w:rFonts w:ascii="Times New Roman"/>
                <w:color w:val="000000" w:themeColor="text1"/>
                <w:sz w:val="21"/>
                <w:szCs w:val="21"/>
              </w:rPr>
              <w:t>）</w:t>
            </w:r>
          </w:p>
        </w:tc>
        <w:tc>
          <w:tcPr>
            <w:tcW w:w="2506" w:type="pct"/>
            <w:vAlign w:val="center"/>
          </w:tcPr>
          <w:p w14:paraId="373B051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油气储存项目，选址尽量远离环境敏感区。加强甲烷及挥发性有机物的泄漏检测，落实地下水污染防治和跟踪监测要求，采取有效措施做好环境风险防范与环境应急管理；盐穴储气库项目还应当严格落实采</w:t>
            </w:r>
            <w:proofErr w:type="gramStart"/>
            <w:r w:rsidRPr="008A2411">
              <w:rPr>
                <w:rFonts w:ascii="Times New Roman"/>
                <w:color w:val="000000" w:themeColor="text1"/>
                <w:sz w:val="21"/>
                <w:szCs w:val="21"/>
              </w:rPr>
              <w:t>卤造腔期</w:t>
            </w:r>
            <w:proofErr w:type="gramEnd"/>
            <w:r w:rsidRPr="008A2411">
              <w:rPr>
                <w:rFonts w:ascii="Times New Roman"/>
                <w:color w:val="000000" w:themeColor="text1"/>
                <w:sz w:val="21"/>
                <w:szCs w:val="21"/>
              </w:rPr>
              <w:t>和管道施工期的生态环境保护措施，妥善处理采出水。</w:t>
            </w:r>
          </w:p>
        </w:tc>
        <w:tc>
          <w:tcPr>
            <w:tcW w:w="1350" w:type="pct"/>
            <w:vAlign w:val="center"/>
          </w:tcPr>
          <w:p w14:paraId="6E3F3279" w14:textId="43162B6B"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本项目</w:t>
            </w:r>
            <w:r w:rsidRPr="008A2411">
              <w:rPr>
                <w:rFonts w:ascii="Times New Roman" w:hint="eastAsia"/>
                <w:color w:val="000000" w:themeColor="text1"/>
                <w:sz w:val="21"/>
                <w:szCs w:val="21"/>
              </w:rPr>
              <w:t>建设液化天然气</w:t>
            </w:r>
            <w:r w:rsidR="00950499" w:rsidRPr="008A2411">
              <w:rPr>
                <w:rFonts w:ascii="Times New Roman" w:hint="eastAsia"/>
                <w:color w:val="000000" w:themeColor="text1"/>
                <w:sz w:val="21"/>
                <w:szCs w:val="21"/>
              </w:rPr>
              <w:t>生产项目，液化天然气储罐尽量远离了环境敏感区</w:t>
            </w:r>
            <w:r w:rsidRPr="008A2411">
              <w:rPr>
                <w:rFonts w:ascii="Times New Roman"/>
                <w:color w:val="000000" w:themeColor="text1"/>
                <w:sz w:val="21"/>
                <w:szCs w:val="21"/>
              </w:rPr>
              <w:t>。</w:t>
            </w:r>
            <w:r w:rsidRPr="008A2411">
              <w:rPr>
                <w:rFonts w:ascii="Times New Roman" w:hint="eastAsia"/>
                <w:color w:val="000000" w:themeColor="text1"/>
                <w:sz w:val="21"/>
                <w:szCs w:val="21"/>
              </w:rPr>
              <w:t>厂区采取了</w:t>
            </w:r>
            <w:r w:rsidRPr="008A2411">
              <w:rPr>
                <w:rFonts w:ascii="Times New Roman"/>
                <w:color w:val="000000" w:themeColor="text1"/>
                <w:sz w:val="21"/>
                <w:szCs w:val="21"/>
              </w:rPr>
              <w:t>加强甲烷及挥发性有机物的泄漏检测，落实</w:t>
            </w:r>
            <w:r w:rsidRPr="008A2411">
              <w:rPr>
                <w:rFonts w:ascii="Times New Roman" w:hint="eastAsia"/>
                <w:color w:val="000000" w:themeColor="text1"/>
                <w:sz w:val="21"/>
                <w:szCs w:val="21"/>
              </w:rPr>
              <w:t>了</w:t>
            </w:r>
            <w:r w:rsidRPr="008A2411">
              <w:rPr>
                <w:rFonts w:ascii="Times New Roman"/>
                <w:color w:val="000000" w:themeColor="text1"/>
                <w:sz w:val="21"/>
                <w:szCs w:val="21"/>
              </w:rPr>
              <w:t>地下水污染防治和跟踪监测要求，采取</w:t>
            </w:r>
            <w:r w:rsidRPr="008A2411">
              <w:rPr>
                <w:rFonts w:ascii="Times New Roman" w:hint="eastAsia"/>
                <w:color w:val="000000" w:themeColor="text1"/>
                <w:sz w:val="21"/>
                <w:szCs w:val="21"/>
              </w:rPr>
              <w:t>了</w:t>
            </w:r>
            <w:r w:rsidRPr="008A2411">
              <w:rPr>
                <w:rFonts w:ascii="Times New Roman"/>
                <w:color w:val="000000" w:themeColor="text1"/>
                <w:sz w:val="21"/>
                <w:szCs w:val="21"/>
              </w:rPr>
              <w:t>有效措施做好环境风险防范与环境应急管理</w:t>
            </w:r>
            <w:r w:rsidRPr="008A2411">
              <w:rPr>
                <w:rFonts w:ascii="Times New Roman" w:hint="eastAsia"/>
                <w:color w:val="000000" w:themeColor="text1"/>
                <w:sz w:val="21"/>
                <w:szCs w:val="21"/>
              </w:rPr>
              <w:t>。比外，本项目不涉及</w:t>
            </w:r>
            <w:r w:rsidRPr="008A2411">
              <w:rPr>
                <w:rFonts w:ascii="Times New Roman"/>
                <w:color w:val="000000" w:themeColor="text1"/>
                <w:sz w:val="21"/>
                <w:szCs w:val="21"/>
              </w:rPr>
              <w:t>盐穴储气库</w:t>
            </w:r>
            <w:r w:rsidRPr="008A2411">
              <w:rPr>
                <w:rFonts w:ascii="Times New Roman" w:hint="eastAsia"/>
                <w:color w:val="000000" w:themeColor="text1"/>
                <w:sz w:val="21"/>
                <w:szCs w:val="21"/>
              </w:rPr>
              <w:t>。</w:t>
            </w:r>
          </w:p>
        </w:tc>
        <w:tc>
          <w:tcPr>
            <w:tcW w:w="635" w:type="pct"/>
            <w:vAlign w:val="center"/>
          </w:tcPr>
          <w:p w14:paraId="0980341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符合</w:t>
            </w:r>
          </w:p>
        </w:tc>
      </w:tr>
      <w:tr w:rsidR="008A2411" w:rsidRPr="008A2411" w14:paraId="50505C7B" w14:textId="77777777">
        <w:trPr>
          <w:trHeight w:val="73"/>
          <w:jc w:val="center"/>
        </w:trPr>
        <w:tc>
          <w:tcPr>
            <w:tcW w:w="509" w:type="pct"/>
            <w:vAlign w:val="center"/>
          </w:tcPr>
          <w:p w14:paraId="5D1C96E7"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w:t>
            </w:r>
            <w:r w:rsidRPr="008A2411">
              <w:rPr>
                <w:rFonts w:ascii="Times New Roman"/>
                <w:color w:val="000000" w:themeColor="text1"/>
                <w:sz w:val="21"/>
                <w:szCs w:val="21"/>
              </w:rPr>
              <w:t>14</w:t>
            </w:r>
            <w:r w:rsidRPr="008A2411">
              <w:rPr>
                <w:rFonts w:ascii="Times New Roman"/>
                <w:color w:val="000000" w:themeColor="text1"/>
                <w:sz w:val="21"/>
                <w:szCs w:val="21"/>
              </w:rPr>
              <w:t>）</w:t>
            </w:r>
          </w:p>
        </w:tc>
        <w:tc>
          <w:tcPr>
            <w:tcW w:w="2506" w:type="pct"/>
            <w:vAlign w:val="center"/>
          </w:tcPr>
          <w:p w14:paraId="2CD6031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油气企业应当加强风险防控，按规定编制突发环境事件应急预案，报所在地生态环境主管部门备案。海洋油气勘探开发溢油应急计划报相关海域生态环境监督管理局备案。</w:t>
            </w:r>
          </w:p>
        </w:tc>
        <w:tc>
          <w:tcPr>
            <w:tcW w:w="1350" w:type="pct"/>
            <w:vAlign w:val="center"/>
          </w:tcPr>
          <w:p w14:paraId="29418E2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建设单位</w:t>
            </w:r>
            <w:r w:rsidRPr="008A2411">
              <w:rPr>
                <w:rFonts w:ascii="Times New Roman" w:hint="eastAsia"/>
                <w:color w:val="000000" w:themeColor="text1"/>
                <w:sz w:val="21"/>
                <w:szCs w:val="21"/>
              </w:rPr>
              <w:t>在后期建设过程中，将</w:t>
            </w:r>
            <w:r w:rsidRPr="008A2411">
              <w:rPr>
                <w:rFonts w:ascii="Times New Roman"/>
                <w:color w:val="000000" w:themeColor="text1"/>
                <w:sz w:val="21"/>
                <w:szCs w:val="21"/>
              </w:rPr>
              <w:t>严格按照相关要求编制突发环境事件应急预案，并报所在地生态环境主管部门备案。</w:t>
            </w:r>
          </w:p>
        </w:tc>
        <w:tc>
          <w:tcPr>
            <w:tcW w:w="635" w:type="pct"/>
            <w:vAlign w:val="center"/>
          </w:tcPr>
          <w:p w14:paraId="52F65CBB"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符合</w:t>
            </w:r>
          </w:p>
        </w:tc>
      </w:tr>
    </w:tbl>
    <w:p w14:paraId="35F8BFC3" w14:textId="77777777" w:rsidR="00B0005F" w:rsidRPr="008A2411" w:rsidRDefault="00000000">
      <w:pPr>
        <w:pStyle w:val="L-3"/>
        <w:adjustRightInd w:val="0"/>
        <w:snapToGrid w:val="0"/>
        <w:spacing w:before="0" w:after="0" w:line="360" w:lineRule="auto"/>
        <w:ind w:firstLineChars="200" w:firstLine="480"/>
        <w:outlineLvl w:val="9"/>
        <w:rPr>
          <w:rFonts w:ascii="Times New Roman"/>
          <w:b w:val="0"/>
          <w:bCs w:val="0"/>
          <w:color w:val="000000" w:themeColor="text1"/>
          <w:sz w:val="24"/>
          <w:szCs w:val="27"/>
          <w:shd w:val="clear" w:color="auto" w:fill="FFFFFF"/>
          <w:lang w:bidi="ar-SA"/>
        </w:rPr>
      </w:pPr>
      <w:r w:rsidRPr="008A2411">
        <w:rPr>
          <w:rFonts w:ascii="Times New Roman" w:hint="eastAsia"/>
          <w:b w:val="0"/>
          <w:bCs w:val="0"/>
          <w:color w:val="000000" w:themeColor="text1"/>
          <w:sz w:val="24"/>
          <w:szCs w:val="27"/>
          <w:shd w:val="clear" w:color="auto" w:fill="FFFFFF"/>
          <w:lang w:bidi="ar-SA"/>
        </w:rPr>
        <w:t>由上表可见，</w:t>
      </w:r>
      <w:r w:rsidRPr="008A2411">
        <w:rPr>
          <w:rFonts w:ascii="Times New Roman"/>
          <w:b w:val="0"/>
          <w:bCs w:val="0"/>
          <w:color w:val="000000" w:themeColor="text1"/>
          <w:sz w:val="24"/>
          <w:szCs w:val="27"/>
          <w:shd w:val="clear" w:color="auto" w:fill="FFFFFF"/>
          <w:lang w:bidi="ar-SA"/>
        </w:rPr>
        <w:t>本项目与《关于进一步加强石油天然气行业环境影响评价管理的通知》（</w:t>
      </w:r>
      <w:proofErr w:type="gramStart"/>
      <w:r w:rsidRPr="008A2411">
        <w:rPr>
          <w:rFonts w:ascii="Times New Roman"/>
          <w:b w:val="0"/>
          <w:bCs w:val="0"/>
          <w:color w:val="000000" w:themeColor="text1"/>
          <w:sz w:val="24"/>
          <w:szCs w:val="27"/>
          <w:shd w:val="clear" w:color="auto" w:fill="FFFFFF"/>
          <w:lang w:bidi="ar-SA"/>
        </w:rPr>
        <w:t>环办环评函</w:t>
      </w:r>
      <w:proofErr w:type="gramEnd"/>
      <w:r w:rsidRPr="008A2411">
        <w:rPr>
          <w:rFonts w:ascii="Times New Roman"/>
          <w:b w:val="0"/>
          <w:bCs w:val="0"/>
          <w:color w:val="000000" w:themeColor="text1"/>
          <w:sz w:val="24"/>
          <w:szCs w:val="27"/>
          <w:shd w:val="clear" w:color="auto" w:fill="FFFFFF"/>
          <w:lang w:bidi="ar-SA"/>
        </w:rPr>
        <w:t>〔</w:t>
      </w:r>
      <w:r w:rsidRPr="008A2411">
        <w:rPr>
          <w:rFonts w:ascii="Times New Roman"/>
          <w:b w:val="0"/>
          <w:bCs w:val="0"/>
          <w:color w:val="000000" w:themeColor="text1"/>
          <w:sz w:val="24"/>
          <w:szCs w:val="27"/>
          <w:shd w:val="clear" w:color="auto" w:fill="FFFFFF"/>
          <w:lang w:bidi="ar-SA"/>
        </w:rPr>
        <w:t>2019</w:t>
      </w:r>
      <w:r w:rsidRPr="008A2411">
        <w:rPr>
          <w:rFonts w:ascii="Times New Roman"/>
          <w:b w:val="0"/>
          <w:bCs w:val="0"/>
          <w:color w:val="000000" w:themeColor="text1"/>
          <w:sz w:val="24"/>
          <w:szCs w:val="27"/>
          <w:shd w:val="clear" w:color="auto" w:fill="FFFFFF"/>
          <w:lang w:bidi="ar-SA"/>
        </w:rPr>
        <w:t>〕</w:t>
      </w:r>
      <w:r w:rsidRPr="008A2411">
        <w:rPr>
          <w:rFonts w:ascii="Times New Roman"/>
          <w:b w:val="0"/>
          <w:bCs w:val="0"/>
          <w:color w:val="000000" w:themeColor="text1"/>
          <w:sz w:val="24"/>
          <w:szCs w:val="27"/>
          <w:shd w:val="clear" w:color="auto" w:fill="FFFFFF"/>
          <w:lang w:bidi="ar-SA"/>
        </w:rPr>
        <w:t>910</w:t>
      </w:r>
      <w:r w:rsidRPr="008A2411">
        <w:rPr>
          <w:rFonts w:ascii="Times New Roman"/>
          <w:b w:val="0"/>
          <w:bCs w:val="0"/>
          <w:color w:val="000000" w:themeColor="text1"/>
          <w:sz w:val="24"/>
          <w:szCs w:val="27"/>
          <w:shd w:val="clear" w:color="auto" w:fill="FFFFFF"/>
          <w:lang w:bidi="ar-SA"/>
        </w:rPr>
        <w:t>号）</w:t>
      </w:r>
      <w:r w:rsidRPr="008A2411">
        <w:rPr>
          <w:rFonts w:ascii="Times New Roman" w:hint="eastAsia"/>
          <w:b w:val="0"/>
          <w:bCs w:val="0"/>
          <w:color w:val="000000" w:themeColor="text1"/>
          <w:sz w:val="24"/>
          <w:szCs w:val="27"/>
          <w:shd w:val="clear" w:color="auto" w:fill="FFFFFF"/>
          <w:lang w:bidi="ar-SA"/>
        </w:rPr>
        <w:t>相符合。</w:t>
      </w:r>
    </w:p>
    <w:p w14:paraId="22E176F4" w14:textId="77777777" w:rsidR="00B0005F" w:rsidRPr="008A2411" w:rsidRDefault="00000000">
      <w:pPr>
        <w:pStyle w:val="L-3"/>
        <w:adjustRightInd w:val="0"/>
        <w:snapToGrid w:val="0"/>
        <w:spacing w:before="0" w:after="0" w:line="360" w:lineRule="auto"/>
        <w:rPr>
          <w:rFonts w:ascii="Times New Roman"/>
          <w:color w:val="000000" w:themeColor="text1"/>
          <w:sz w:val="24"/>
          <w:szCs w:val="24"/>
          <w:lang w:bidi="ar-SA"/>
        </w:rPr>
      </w:pPr>
      <w:r w:rsidRPr="008A2411">
        <w:rPr>
          <w:rFonts w:ascii="Times New Roman"/>
          <w:color w:val="000000" w:themeColor="text1"/>
          <w:sz w:val="24"/>
          <w:szCs w:val="24"/>
          <w:lang w:bidi="ar-SA"/>
        </w:rPr>
        <w:t>2.4.</w:t>
      </w:r>
      <w:r w:rsidRPr="008A2411">
        <w:rPr>
          <w:rFonts w:ascii="Times New Roman" w:hint="eastAsia"/>
          <w:color w:val="000000" w:themeColor="text1"/>
          <w:sz w:val="24"/>
          <w:szCs w:val="24"/>
          <w:lang w:bidi="ar-SA"/>
        </w:rPr>
        <w:t>10</w:t>
      </w:r>
      <w:r w:rsidRPr="008A2411">
        <w:rPr>
          <w:rFonts w:ascii="Times New Roman"/>
          <w:color w:val="000000" w:themeColor="text1"/>
          <w:sz w:val="24"/>
          <w:szCs w:val="24"/>
          <w:lang w:bidi="ar-SA"/>
        </w:rPr>
        <w:t xml:space="preserve"> </w:t>
      </w:r>
      <w:r w:rsidRPr="008A2411">
        <w:rPr>
          <w:rFonts w:ascii="Times New Roman"/>
          <w:color w:val="000000" w:themeColor="text1"/>
          <w:sz w:val="24"/>
          <w:szCs w:val="24"/>
          <w:lang w:bidi="ar-SA"/>
        </w:rPr>
        <w:t>与《四川省嘉陵江流域生态环境保护条例》的符合性分析</w:t>
      </w:r>
    </w:p>
    <w:p w14:paraId="16F3C040" w14:textId="77777777" w:rsidR="00950499" w:rsidRPr="008A2411" w:rsidRDefault="00000000" w:rsidP="00950499">
      <w:pPr>
        <w:widowControl/>
        <w:adjustRightInd w:val="0"/>
        <w:snapToGrid w:val="0"/>
        <w:spacing w:line="360" w:lineRule="auto"/>
        <w:ind w:firstLine="482"/>
        <w:rPr>
          <w:rFonts w:ascii="Times New Roman"/>
          <w:color w:val="000000" w:themeColor="text1"/>
          <w:szCs w:val="27"/>
          <w:shd w:val="clear" w:color="auto" w:fill="FFFFFF"/>
        </w:rPr>
      </w:pPr>
      <w:r w:rsidRPr="008A2411">
        <w:rPr>
          <w:rFonts w:ascii="Times New Roman"/>
          <w:color w:val="000000" w:themeColor="text1"/>
          <w:szCs w:val="27"/>
          <w:shd w:val="clear" w:color="auto" w:fill="FFFFFF"/>
        </w:rPr>
        <w:t>本次评价根据《四川省嘉陵江流域生态环境保护条例》（</w:t>
      </w:r>
      <w:r w:rsidRPr="008A2411">
        <w:rPr>
          <w:rFonts w:ascii="Times New Roman"/>
          <w:color w:val="000000" w:themeColor="text1"/>
          <w:szCs w:val="27"/>
          <w:shd w:val="clear" w:color="auto" w:fill="FFFFFF"/>
        </w:rPr>
        <w:t>2021</w:t>
      </w:r>
      <w:r w:rsidRPr="008A2411">
        <w:rPr>
          <w:rFonts w:ascii="Times New Roman"/>
          <w:color w:val="000000" w:themeColor="text1"/>
          <w:szCs w:val="27"/>
          <w:shd w:val="clear" w:color="auto" w:fill="FFFFFF"/>
        </w:rPr>
        <w:t>年</w:t>
      </w:r>
      <w:r w:rsidRPr="008A2411">
        <w:rPr>
          <w:rFonts w:ascii="Times New Roman"/>
          <w:color w:val="000000" w:themeColor="text1"/>
          <w:szCs w:val="27"/>
          <w:shd w:val="clear" w:color="auto" w:fill="FFFFFF"/>
        </w:rPr>
        <w:t>11</w:t>
      </w:r>
      <w:r w:rsidRPr="008A2411">
        <w:rPr>
          <w:rFonts w:ascii="Times New Roman"/>
          <w:color w:val="000000" w:themeColor="text1"/>
          <w:szCs w:val="27"/>
          <w:shd w:val="clear" w:color="auto" w:fill="FFFFFF"/>
        </w:rPr>
        <w:t>月</w:t>
      </w:r>
      <w:r w:rsidRPr="008A2411">
        <w:rPr>
          <w:rFonts w:ascii="Times New Roman"/>
          <w:color w:val="000000" w:themeColor="text1"/>
          <w:szCs w:val="27"/>
          <w:shd w:val="clear" w:color="auto" w:fill="FFFFFF"/>
        </w:rPr>
        <w:t>25</w:t>
      </w:r>
      <w:r w:rsidRPr="008A2411">
        <w:rPr>
          <w:rFonts w:ascii="Times New Roman"/>
          <w:color w:val="000000" w:themeColor="text1"/>
          <w:szCs w:val="27"/>
          <w:shd w:val="clear" w:color="auto" w:fill="FFFFFF"/>
        </w:rPr>
        <w:t>日四川省第十三届人民代表大会常务委员会第三十一次会议通过）要求进行了合理性分析，具体如下。</w:t>
      </w:r>
    </w:p>
    <w:p w14:paraId="323A70A2" w14:textId="7249DEC2" w:rsidR="00B0005F" w:rsidRPr="008A2411" w:rsidRDefault="00000000" w:rsidP="00950499">
      <w:pPr>
        <w:widowControl/>
        <w:adjustRightInd w:val="0"/>
        <w:snapToGrid w:val="0"/>
        <w:spacing w:line="360" w:lineRule="auto"/>
        <w:jc w:val="center"/>
        <w:rPr>
          <w:rFonts w:ascii="Times New Roman"/>
          <w:b/>
          <w:color w:val="000000" w:themeColor="text1"/>
          <w:sz w:val="21"/>
        </w:rPr>
      </w:pPr>
      <w:r w:rsidRPr="008A2411">
        <w:rPr>
          <w:rFonts w:ascii="Times New Roman" w:eastAsia="黑体"/>
          <w:color w:val="000000" w:themeColor="text1"/>
          <w:sz w:val="21"/>
          <w:szCs w:val="21"/>
        </w:rPr>
        <w:t>表</w:t>
      </w:r>
      <w:r w:rsidRPr="008A2411">
        <w:rPr>
          <w:rFonts w:ascii="Times New Roman" w:eastAsia="黑体" w:hint="eastAsia"/>
          <w:color w:val="000000" w:themeColor="text1"/>
          <w:sz w:val="21"/>
          <w:szCs w:val="21"/>
        </w:rPr>
        <w:t>2.4-10</w:t>
      </w:r>
      <w:r w:rsidRPr="008A2411">
        <w:rPr>
          <w:rFonts w:ascii="Times New Roman" w:eastAsia="黑体"/>
          <w:color w:val="000000" w:themeColor="text1"/>
          <w:sz w:val="21"/>
          <w:szCs w:val="21"/>
        </w:rPr>
        <w:t xml:space="preserve">  </w:t>
      </w:r>
      <w:r w:rsidRPr="008A2411">
        <w:rPr>
          <w:rFonts w:ascii="Times New Roman" w:eastAsia="黑体"/>
          <w:color w:val="000000" w:themeColor="text1"/>
          <w:sz w:val="21"/>
          <w:szCs w:val="21"/>
        </w:rPr>
        <w:t>项目与《四川省嘉陵江流域生态环境保护条例》符合性分析</w:t>
      </w:r>
    </w:p>
    <w:tbl>
      <w:tblPr>
        <w:tblW w:w="878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563"/>
        <w:gridCol w:w="3543"/>
        <w:gridCol w:w="3828"/>
        <w:gridCol w:w="850"/>
      </w:tblGrid>
      <w:tr w:rsidR="008A2411" w:rsidRPr="008A2411" w14:paraId="7ACA025E" w14:textId="77777777">
        <w:trPr>
          <w:trHeight w:val="95"/>
          <w:tblHeader/>
          <w:jc w:val="center"/>
        </w:trPr>
        <w:tc>
          <w:tcPr>
            <w:tcW w:w="320" w:type="pct"/>
            <w:vAlign w:val="center"/>
          </w:tcPr>
          <w:p w14:paraId="06FFCB73" w14:textId="77777777" w:rsidR="00B0005F" w:rsidRPr="008A2411" w:rsidRDefault="00000000">
            <w:pPr>
              <w:jc w:val="center"/>
              <w:rPr>
                <w:rFonts w:ascii="Times New Roman"/>
                <w:b/>
                <w:bCs/>
                <w:color w:val="000000" w:themeColor="text1"/>
                <w:sz w:val="21"/>
                <w:szCs w:val="21"/>
              </w:rPr>
            </w:pPr>
            <w:r w:rsidRPr="008A2411">
              <w:rPr>
                <w:rFonts w:ascii="Times New Roman"/>
                <w:b/>
                <w:bCs/>
                <w:color w:val="000000" w:themeColor="text1"/>
                <w:sz w:val="21"/>
                <w:szCs w:val="21"/>
              </w:rPr>
              <w:t>序号</w:t>
            </w:r>
          </w:p>
        </w:tc>
        <w:tc>
          <w:tcPr>
            <w:tcW w:w="2017" w:type="pct"/>
            <w:vAlign w:val="center"/>
          </w:tcPr>
          <w:p w14:paraId="1E2CB107" w14:textId="77777777" w:rsidR="00B0005F" w:rsidRPr="008A2411" w:rsidRDefault="00000000">
            <w:pPr>
              <w:jc w:val="center"/>
              <w:rPr>
                <w:rFonts w:ascii="Times New Roman"/>
                <w:b/>
                <w:bCs/>
                <w:color w:val="000000" w:themeColor="text1"/>
                <w:sz w:val="21"/>
                <w:szCs w:val="21"/>
              </w:rPr>
            </w:pPr>
            <w:r w:rsidRPr="008A2411">
              <w:rPr>
                <w:rFonts w:ascii="Times New Roman"/>
                <w:b/>
                <w:bCs/>
                <w:color w:val="000000" w:themeColor="text1"/>
                <w:sz w:val="21"/>
                <w:szCs w:val="21"/>
              </w:rPr>
              <w:t>条例管理要求</w:t>
            </w:r>
          </w:p>
        </w:tc>
        <w:tc>
          <w:tcPr>
            <w:tcW w:w="2179" w:type="pct"/>
            <w:vAlign w:val="center"/>
          </w:tcPr>
          <w:p w14:paraId="33902080" w14:textId="77777777" w:rsidR="00B0005F" w:rsidRPr="008A2411" w:rsidRDefault="00000000">
            <w:pPr>
              <w:jc w:val="center"/>
              <w:rPr>
                <w:rFonts w:ascii="Times New Roman"/>
                <w:b/>
                <w:bCs/>
                <w:color w:val="000000" w:themeColor="text1"/>
                <w:sz w:val="21"/>
                <w:szCs w:val="21"/>
              </w:rPr>
            </w:pPr>
            <w:r w:rsidRPr="008A2411">
              <w:rPr>
                <w:rFonts w:ascii="Times New Roman"/>
                <w:b/>
                <w:bCs/>
                <w:color w:val="000000" w:themeColor="text1"/>
                <w:sz w:val="21"/>
                <w:szCs w:val="21"/>
              </w:rPr>
              <w:t>项目内容</w:t>
            </w:r>
          </w:p>
        </w:tc>
        <w:tc>
          <w:tcPr>
            <w:tcW w:w="484" w:type="pct"/>
            <w:vAlign w:val="center"/>
          </w:tcPr>
          <w:p w14:paraId="3B3BA8DD" w14:textId="77777777" w:rsidR="00B0005F" w:rsidRPr="008A2411" w:rsidRDefault="00000000">
            <w:pPr>
              <w:jc w:val="center"/>
              <w:rPr>
                <w:rFonts w:ascii="Times New Roman"/>
                <w:b/>
                <w:bCs/>
                <w:color w:val="000000" w:themeColor="text1"/>
                <w:sz w:val="21"/>
                <w:szCs w:val="21"/>
              </w:rPr>
            </w:pPr>
            <w:r w:rsidRPr="008A2411">
              <w:rPr>
                <w:rFonts w:ascii="Times New Roman"/>
                <w:b/>
                <w:bCs/>
                <w:color w:val="000000" w:themeColor="text1"/>
                <w:sz w:val="21"/>
                <w:szCs w:val="21"/>
              </w:rPr>
              <w:t>符合性</w:t>
            </w:r>
          </w:p>
        </w:tc>
      </w:tr>
      <w:tr w:rsidR="008A2411" w:rsidRPr="008A2411" w14:paraId="46B59001" w14:textId="77777777">
        <w:trPr>
          <w:trHeight w:val="238"/>
          <w:jc w:val="center"/>
        </w:trPr>
        <w:tc>
          <w:tcPr>
            <w:tcW w:w="320" w:type="pct"/>
            <w:vAlign w:val="center"/>
          </w:tcPr>
          <w:p w14:paraId="32C9D96B"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第十七条</w:t>
            </w:r>
          </w:p>
        </w:tc>
        <w:tc>
          <w:tcPr>
            <w:tcW w:w="2017" w:type="pct"/>
            <w:vAlign w:val="center"/>
          </w:tcPr>
          <w:p w14:paraId="04A6AEB9"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编制嘉陵江流域生态环境保护规划应当遵守生态保护红线、环境质量底线、资源利用上线和生态环境准入清单，符合国土空间规划、生态环境保护规划、岸线保护和开发利用规划等相关规划。编制其他有关专项规划或者方案，应当与国土空间规划和流域生态环境保护规划相衔接。</w:t>
            </w:r>
          </w:p>
          <w:p w14:paraId="0989A250"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禁止在嘉陵江干支流岸线一公里范围内新建、扩建化工园区和化工项目。</w:t>
            </w:r>
          </w:p>
        </w:tc>
        <w:tc>
          <w:tcPr>
            <w:tcW w:w="2179" w:type="pct"/>
            <w:vAlign w:val="center"/>
          </w:tcPr>
          <w:p w14:paraId="002485E6"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rPr>
              <w:t>本项目为</w:t>
            </w:r>
            <w:r w:rsidRPr="008A2411">
              <w:rPr>
                <w:rFonts w:ascii="Times New Roman" w:hint="eastAsia"/>
                <w:color w:val="000000" w:themeColor="text1"/>
                <w:sz w:val="21"/>
              </w:rPr>
              <w:t>液化</w:t>
            </w:r>
            <w:r w:rsidRPr="008A2411">
              <w:rPr>
                <w:rFonts w:ascii="Times New Roman"/>
                <w:color w:val="000000" w:themeColor="text1"/>
                <w:sz w:val="21"/>
              </w:rPr>
              <w:t>天然气</w:t>
            </w:r>
            <w:r w:rsidRPr="008A2411">
              <w:rPr>
                <w:rFonts w:ascii="Times New Roman" w:hint="eastAsia"/>
                <w:color w:val="000000" w:themeColor="text1"/>
                <w:sz w:val="21"/>
              </w:rPr>
              <w:t>生产项目</w:t>
            </w:r>
            <w:r w:rsidRPr="008A2411">
              <w:rPr>
                <w:rFonts w:ascii="Times New Roman"/>
                <w:color w:val="000000" w:themeColor="text1"/>
                <w:sz w:val="21"/>
              </w:rPr>
              <w:t>，不属于禁建项目。</w:t>
            </w:r>
          </w:p>
        </w:tc>
        <w:tc>
          <w:tcPr>
            <w:tcW w:w="484" w:type="pct"/>
            <w:vAlign w:val="center"/>
          </w:tcPr>
          <w:p w14:paraId="143169D3"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符合</w:t>
            </w:r>
          </w:p>
        </w:tc>
      </w:tr>
      <w:tr w:rsidR="008A2411" w:rsidRPr="008A2411" w14:paraId="2CB0A48D" w14:textId="77777777">
        <w:trPr>
          <w:trHeight w:val="238"/>
          <w:jc w:val="center"/>
        </w:trPr>
        <w:tc>
          <w:tcPr>
            <w:tcW w:w="320" w:type="pct"/>
            <w:vAlign w:val="center"/>
          </w:tcPr>
          <w:p w14:paraId="3E62621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第二十一条</w:t>
            </w:r>
          </w:p>
        </w:tc>
        <w:tc>
          <w:tcPr>
            <w:tcW w:w="2017" w:type="pct"/>
            <w:vAlign w:val="center"/>
          </w:tcPr>
          <w:p w14:paraId="5F59F5B4"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排污单位排放污染物不得超过国家和省污染物排放标准，不得超过重点水污染物排放总量控制指标。</w:t>
            </w:r>
          </w:p>
        </w:tc>
        <w:tc>
          <w:tcPr>
            <w:tcW w:w="2179" w:type="pct"/>
            <w:vAlign w:val="center"/>
          </w:tcPr>
          <w:p w14:paraId="1933E311"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lang w:bidi="ar"/>
              </w:rPr>
              <w:t>本项目施工期和</w:t>
            </w:r>
            <w:r w:rsidRPr="008A2411">
              <w:rPr>
                <w:rFonts w:ascii="Times New Roman" w:hint="eastAsia"/>
                <w:color w:val="000000" w:themeColor="text1"/>
                <w:sz w:val="21"/>
                <w:szCs w:val="21"/>
                <w:lang w:bidi="ar"/>
              </w:rPr>
              <w:t>运营期的废水均依托处置</w:t>
            </w:r>
            <w:r w:rsidRPr="008A2411">
              <w:rPr>
                <w:rFonts w:ascii="Times New Roman"/>
                <w:color w:val="000000" w:themeColor="text1"/>
                <w:sz w:val="21"/>
                <w:szCs w:val="21"/>
                <w:lang w:bidi="ar"/>
              </w:rPr>
              <w:t>，无废水</w:t>
            </w:r>
            <w:r w:rsidRPr="008A2411">
              <w:rPr>
                <w:rFonts w:ascii="Times New Roman" w:hint="eastAsia"/>
                <w:color w:val="000000" w:themeColor="text1"/>
                <w:sz w:val="21"/>
                <w:szCs w:val="21"/>
                <w:lang w:bidi="ar"/>
              </w:rPr>
              <w:t>直接</w:t>
            </w:r>
            <w:r w:rsidRPr="008A2411">
              <w:rPr>
                <w:rFonts w:ascii="Times New Roman"/>
                <w:color w:val="000000" w:themeColor="text1"/>
                <w:sz w:val="21"/>
                <w:szCs w:val="21"/>
                <w:lang w:bidi="ar"/>
              </w:rPr>
              <w:t>外排。</w:t>
            </w:r>
          </w:p>
        </w:tc>
        <w:tc>
          <w:tcPr>
            <w:tcW w:w="484" w:type="pct"/>
            <w:vAlign w:val="center"/>
          </w:tcPr>
          <w:p w14:paraId="769AD37F"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符合</w:t>
            </w:r>
          </w:p>
        </w:tc>
      </w:tr>
    </w:tbl>
    <w:p w14:paraId="0FA580FA" w14:textId="77777777" w:rsidR="00B0005F" w:rsidRPr="008A2411" w:rsidRDefault="00000000">
      <w:pPr>
        <w:adjustRightInd w:val="0"/>
        <w:snapToGrid w:val="0"/>
        <w:spacing w:line="360" w:lineRule="auto"/>
        <w:ind w:firstLine="480"/>
        <w:rPr>
          <w:rFonts w:ascii="Times New Roman"/>
          <w:color w:val="000000" w:themeColor="text1"/>
        </w:rPr>
      </w:pPr>
      <w:r w:rsidRPr="008A2411">
        <w:rPr>
          <w:rFonts w:ascii="Times New Roman"/>
          <w:color w:val="000000" w:themeColor="text1"/>
        </w:rPr>
        <w:t>因此，本工程的建设符合《四川省嘉陵江流域生态环境保护条例》要求。</w:t>
      </w:r>
    </w:p>
    <w:p w14:paraId="5B51C2CC" w14:textId="77777777" w:rsidR="00B0005F" w:rsidRPr="008A2411" w:rsidRDefault="00000000">
      <w:pPr>
        <w:pStyle w:val="L-3"/>
        <w:adjustRightInd w:val="0"/>
        <w:snapToGrid w:val="0"/>
        <w:spacing w:before="0" w:after="0" w:line="360" w:lineRule="auto"/>
        <w:rPr>
          <w:rFonts w:ascii="Times New Roman"/>
          <w:color w:val="000000" w:themeColor="text1"/>
          <w:sz w:val="24"/>
          <w:szCs w:val="24"/>
          <w:lang w:bidi="ar-SA"/>
        </w:rPr>
      </w:pPr>
      <w:r w:rsidRPr="008A2411">
        <w:rPr>
          <w:rFonts w:ascii="Times New Roman"/>
          <w:color w:val="000000" w:themeColor="text1"/>
          <w:sz w:val="24"/>
          <w:szCs w:val="24"/>
          <w:lang w:bidi="ar-SA"/>
        </w:rPr>
        <w:t>2.4.</w:t>
      </w:r>
      <w:r w:rsidRPr="008A2411">
        <w:rPr>
          <w:rFonts w:ascii="Times New Roman" w:hint="eastAsia"/>
          <w:color w:val="000000" w:themeColor="text1"/>
          <w:sz w:val="24"/>
          <w:szCs w:val="24"/>
          <w:lang w:bidi="ar-SA"/>
        </w:rPr>
        <w:t>11</w:t>
      </w:r>
      <w:r w:rsidRPr="008A2411">
        <w:rPr>
          <w:rFonts w:ascii="Times New Roman"/>
          <w:color w:val="000000" w:themeColor="text1"/>
          <w:sz w:val="24"/>
          <w:szCs w:val="24"/>
          <w:lang w:bidi="ar-SA"/>
        </w:rPr>
        <w:t xml:space="preserve"> </w:t>
      </w:r>
      <w:r w:rsidRPr="008A2411">
        <w:rPr>
          <w:rFonts w:ascii="Times New Roman"/>
          <w:color w:val="000000" w:themeColor="text1"/>
          <w:sz w:val="24"/>
          <w:szCs w:val="24"/>
          <w:lang w:bidi="ar-SA"/>
        </w:rPr>
        <w:t>建设项目与地下水管理条例符合性分析</w:t>
      </w:r>
    </w:p>
    <w:p w14:paraId="6AAAECFD" w14:textId="77777777" w:rsidR="00B0005F" w:rsidRPr="008A2411" w:rsidRDefault="00000000">
      <w:pPr>
        <w:pStyle w:val="L-"/>
        <w:adjustRightInd w:val="0"/>
        <w:spacing w:line="360" w:lineRule="auto"/>
        <w:ind w:firstLineChars="200"/>
        <w:rPr>
          <w:rFonts w:ascii="Times New Roman" w:cs="Times New Roman"/>
          <w:color w:val="000000" w:themeColor="text1"/>
        </w:rPr>
      </w:pPr>
      <w:r w:rsidRPr="008A2411">
        <w:rPr>
          <w:rFonts w:ascii="Times New Roman" w:cs="Times New Roman"/>
          <w:color w:val="000000" w:themeColor="text1"/>
        </w:rPr>
        <w:t>2021</w:t>
      </w:r>
      <w:r w:rsidRPr="008A2411">
        <w:rPr>
          <w:rFonts w:ascii="Times New Roman" w:cs="Times New Roman"/>
          <w:color w:val="000000" w:themeColor="text1"/>
        </w:rPr>
        <w:t>年</w:t>
      </w:r>
      <w:r w:rsidRPr="008A2411">
        <w:rPr>
          <w:rFonts w:ascii="Times New Roman" w:cs="Times New Roman"/>
          <w:color w:val="000000" w:themeColor="text1"/>
        </w:rPr>
        <w:t>9</w:t>
      </w:r>
      <w:r w:rsidRPr="008A2411">
        <w:rPr>
          <w:rFonts w:ascii="Times New Roman" w:cs="Times New Roman"/>
          <w:color w:val="000000" w:themeColor="text1"/>
        </w:rPr>
        <w:t>月</w:t>
      </w:r>
      <w:r w:rsidRPr="008A2411">
        <w:rPr>
          <w:rFonts w:ascii="Times New Roman" w:cs="Times New Roman"/>
          <w:color w:val="000000" w:themeColor="text1"/>
        </w:rPr>
        <w:t>15</w:t>
      </w:r>
      <w:r w:rsidRPr="008A2411">
        <w:rPr>
          <w:rFonts w:ascii="Times New Roman" w:cs="Times New Roman"/>
          <w:color w:val="000000" w:themeColor="text1"/>
        </w:rPr>
        <w:t>日国务院第</w:t>
      </w:r>
      <w:r w:rsidRPr="008A2411">
        <w:rPr>
          <w:rFonts w:ascii="Times New Roman" w:cs="Times New Roman"/>
          <w:color w:val="000000" w:themeColor="text1"/>
        </w:rPr>
        <w:t>149</w:t>
      </w:r>
      <w:r w:rsidRPr="008A2411">
        <w:rPr>
          <w:rFonts w:ascii="Times New Roman" w:cs="Times New Roman"/>
          <w:color w:val="000000" w:themeColor="text1"/>
        </w:rPr>
        <w:t>次常务会议通过，</w:t>
      </w:r>
      <w:r w:rsidRPr="008A2411">
        <w:rPr>
          <w:rFonts w:ascii="Times New Roman" w:cs="Times New Roman"/>
          <w:color w:val="000000" w:themeColor="text1"/>
        </w:rPr>
        <w:t>2021</w:t>
      </w:r>
      <w:r w:rsidRPr="008A2411">
        <w:rPr>
          <w:rFonts w:ascii="Times New Roman" w:cs="Times New Roman"/>
          <w:color w:val="000000" w:themeColor="text1"/>
        </w:rPr>
        <w:t>年</w:t>
      </w:r>
      <w:r w:rsidRPr="008A2411">
        <w:rPr>
          <w:rFonts w:ascii="Times New Roman" w:cs="Times New Roman"/>
          <w:color w:val="000000" w:themeColor="text1"/>
        </w:rPr>
        <w:t>10</w:t>
      </w:r>
      <w:r w:rsidRPr="008A2411">
        <w:rPr>
          <w:rFonts w:ascii="Times New Roman" w:cs="Times New Roman"/>
          <w:color w:val="000000" w:themeColor="text1"/>
        </w:rPr>
        <w:t>月</w:t>
      </w:r>
      <w:r w:rsidRPr="008A2411">
        <w:rPr>
          <w:rFonts w:ascii="Times New Roman" w:cs="Times New Roman"/>
          <w:color w:val="000000" w:themeColor="text1"/>
        </w:rPr>
        <w:t>29</w:t>
      </w:r>
      <w:r w:rsidRPr="008A2411">
        <w:rPr>
          <w:rFonts w:ascii="Times New Roman" w:cs="Times New Roman"/>
          <w:color w:val="000000" w:themeColor="text1"/>
        </w:rPr>
        <w:t>日公布，自</w:t>
      </w:r>
      <w:r w:rsidRPr="008A2411">
        <w:rPr>
          <w:rFonts w:ascii="Times New Roman" w:cs="Times New Roman"/>
          <w:color w:val="000000" w:themeColor="text1"/>
        </w:rPr>
        <w:t>2021</w:t>
      </w:r>
      <w:r w:rsidRPr="008A2411">
        <w:rPr>
          <w:rFonts w:ascii="Times New Roman" w:cs="Times New Roman"/>
          <w:color w:val="000000" w:themeColor="text1"/>
        </w:rPr>
        <w:t>年</w:t>
      </w:r>
      <w:r w:rsidRPr="008A2411">
        <w:rPr>
          <w:rFonts w:ascii="Times New Roman" w:cs="Times New Roman"/>
          <w:color w:val="000000" w:themeColor="text1"/>
        </w:rPr>
        <w:t>12</w:t>
      </w:r>
      <w:r w:rsidRPr="008A2411">
        <w:rPr>
          <w:rFonts w:ascii="Times New Roman" w:cs="Times New Roman"/>
          <w:color w:val="000000" w:themeColor="text1"/>
        </w:rPr>
        <w:t>月</w:t>
      </w:r>
      <w:r w:rsidRPr="008A2411">
        <w:rPr>
          <w:rFonts w:ascii="Times New Roman" w:cs="Times New Roman"/>
          <w:color w:val="000000" w:themeColor="text1"/>
        </w:rPr>
        <w:t>1</w:t>
      </w:r>
      <w:r w:rsidRPr="008A2411">
        <w:rPr>
          <w:rFonts w:ascii="Times New Roman" w:cs="Times New Roman"/>
          <w:color w:val="000000" w:themeColor="text1"/>
        </w:rPr>
        <w:t>日起施行的《地下水管理条例》，本项目与其符合性分析见表</w:t>
      </w:r>
      <w:r w:rsidRPr="008A2411">
        <w:rPr>
          <w:rFonts w:ascii="Times New Roman" w:cs="Times New Roman"/>
          <w:color w:val="000000" w:themeColor="text1"/>
        </w:rPr>
        <w:t>2.4-6</w:t>
      </w:r>
      <w:r w:rsidRPr="008A2411">
        <w:rPr>
          <w:rFonts w:ascii="Times New Roman" w:cs="Times New Roman"/>
          <w:color w:val="000000" w:themeColor="text1"/>
        </w:rPr>
        <w:t>。通过对比分析，本项目符合该条例的相关要求。</w:t>
      </w:r>
    </w:p>
    <w:p w14:paraId="3A52A0CB" w14:textId="77777777" w:rsidR="00B0005F" w:rsidRPr="008A2411" w:rsidRDefault="00000000">
      <w:pPr>
        <w:pStyle w:val="affffff1"/>
        <w:tabs>
          <w:tab w:val="clear" w:pos="4440"/>
          <w:tab w:val="left" w:pos="4320"/>
        </w:tabs>
        <w:spacing w:before="60" w:after="60"/>
        <w:rPr>
          <w:rFonts w:ascii="Times New Roman"/>
          <w:bCs/>
          <w:color w:val="000000" w:themeColor="text1"/>
          <w:spacing w:val="0"/>
          <w:szCs w:val="21"/>
        </w:rPr>
      </w:pPr>
      <w:r w:rsidRPr="008A2411">
        <w:rPr>
          <w:rFonts w:ascii="Times New Roman"/>
          <w:bCs/>
          <w:color w:val="000000" w:themeColor="text1"/>
          <w:spacing w:val="0"/>
          <w:szCs w:val="21"/>
        </w:rPr>
        <w:lastRenderedPageBreak/>
        <w:t>表</w:t>
      </w:r>
      <w:r w:rsidRPr="008A2411">
        <w:rPr>
          <w:rFonts w:ascii="Times New Roman"/>
          <w:bCs/>
          <w:color w:val="000000" w:themeColor="text1"/>
          <w:spacing w:val="0"/>
          <w:szCs w:val="21"/>
        </w:rPr>
        <w:t xml:space="preserve">2.4-6  </w:t>
      </w:r>
      <w:r w:rsidRPr="008A2411">
        <w:rPr>
          <w:rFonts w:ascii="Times New Roman"/>
          <w:bCs/>
          <w:color w:val="000000" w:themeColor="text1"/>
          <w:spacing w:val="0"/>
          <w:szCs w:val="21"/>
        </w:rPr>
        <w:t>与《地下水管理条例》符合性分析</w:t>
      </w:r>
    </w:p>
    <w:tbl>
      <w:tblPr>
        <w:tblStyle w:val="affff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4"/>
        <w:gridCol w:w="4235"/>
        <w:gridCol w:w="3123"/>
        <w:gridCol w:w="438"/>
      </w:tblGrid>
      <w:tr w:rsidR="008A2411" w:rsidRPr="008A2411" w14:paraId="3E367B7F" w14:textId="77777777">
        <w:trPr>
          <w:tblHeader/>
        </w:trPr>
        <w:tc>
          <w:tcPr>
            <w:tcW w:w="624" w:type="dxa"/>
            <w:tcMar>
              <w:left w:w="57" w:type="dxa"/>
              <w:right w:w="57" w:type="dxa"/>
            </w:tcMar>
            <w:vAlign w:val="center"/>
          </w:tcPr>
          <w:p w14:paraId="0EEF6164" w14:textId="77777777" w:rsidR="00B0005F" w:rsidRPr="008A2411" w:rsidRDefault="00000000">
            <w:pPr>
              <w:pStyle w:val="afffffffffffff1"/>
              <w:jc w:val="both"/>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序号</w:t>
            </w:r>
          </w:p>
        </w:tc>
        <w:tc>
          <w:tcPr>
            <w:tcW w:w="4235" w:type="dxa"/>
            <w:tcMar>
              <w:left w:w="57" w:type="dxa"/>
              <w:right w:w="57" w:type="dxa"/>
            </w:tcMar>
            <w:vAlign w:val="center"/>
          </w:tcPr>
          <w:p w14:paraId="10780469"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相关要求（摘录）</w:t>
            </w:r>
          </w:p>
        </w:tc>
        <w:tc>
          <w:tcPr>
            <w:tcW w:w="3123" w:type="dxa"/>
            <w:tcMar>
              <w:left w:w="57" w:type="dxa"/>
              <w:right w:w="57" w:type="dxa"/>
            </w:tcMar>
            <w:vAlign w:val="center"/>
          </w:tcPr>
          <w:p w14:paraId="674DE3C5"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本项目情况</w:t>
            </w:r>
          </w:p>
        </w:tc>
        <w:tc>
          <w:tcPr>
            <w:tcW w:w="0" w:type="auto"/>
            <w:tcMar>
              <w:left w:w="57" w:type="dxa"/>
              <w:right w:w="57" w:type="dxa"/>
            </w:tcMar>
            <w:vAlign w:val="center"/>
          </w:tcPr>
          <w:p w14:paraId="3227DC2D" w14:textId="77777777" w:rsidR="00B0005F" w:rsidRPr="008A2411" w:rsidRDefault="00000000">
            <w:pPr>
              <w:pStyle w:val="afffffffffffff1"/>
              <w:jc w:val="both"/>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符合性</w:t>
            </w:r>
          </w:p>
        </w:tc>
      </w:tr>
      <w:tr w:rsidR="008A2411" w:rsidRPr="008A2411" w14:paraId="3931444C" w14:textId="77777777">
        <w:tc>
          <w:tcPr>
            <w:tcW w:w="624" w:type="dxa"/>
            <w:tcMar>
              <w:left w:w="57" w:type="dxa"/>
              <w:right w:w="57" w:type="dxa"/>
            </w:tcMar>
            <w:vAlign w:val="center"/>
          </w:tcPr>
          <w:p w14:paraId="4B2C861C" w14:textId="77777777" w:rsidR="00B0005F" w:rsidRPr="008A2411" w:rsidRDefault="00000000">
            <w:pPr>
              <w:pStyle w:val="afffffffffffff1"/>
              <w:jc w:val="both"/>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1</w:t>
            </w:r>
          </w:p>
        </w:tc>
        <w:tc>
          <w:tcPr>
            <w:tcW w:w="4235" w:type="dxa"/>
            <w:tcMar>
              <w:left w:w="57" w:type="dxa"/>
              <w:right w:w="57" w:type="dxa"/>
            </w:tcMar>
            <w:vAlign w:val="center"/>
          </w:tcPr>
          <w:p w14:paraId="0621CB40" w14:textId="77777777" w:rsidR="00B0005F" w:rsidRPr="008A2411" w:rsidRDefault="00000000">
            <w:pPr>
              <w:pStyle w:val="afffffffffffff1"/>
              <w:jc w:val="both"/>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利用地下水的单位和个人应当加强地下水取水工程管理，节约、保护地下水，防止地下水污染</w:t>
            </w:r>
          </w:p>
        </w:tc>
        <w:tc>
          <w:tcPr>
            <w:tcW w:w="3123" w:type="dxa"/>
            <w:tcMar>
              <w:left w:w="57" w:type="dxa"/>
              <w:right w:w="57" w:type="dxa"/>
            </w:tcMar>
            <w:vAlign w:val="center"/>
          </w:tcPr>
          <w:p w14:paraId="597EF904" w14:textId="77777777" w:rsidR="00B0005F" w:rsidRPr="008A2411" w:rsidRDefault="00000000">
            <w:pPr>
              <w:pStyle w:val="afffffffffffff1"/>
              <w:jc w:val="both"/>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本项目供水依托园区市政供水系统，不取用地下水</w:t>
            </w:r>
          </w:p>
        </w:tc>
        <w:tc>
          <w:tcPr>
            <w:tcW w:w="0" w:type="auto"/>
            <w:tcMar>
              <w:left w:w="57" w:type="dxa"/>
              <w:right w:w="57" w:type="dxa"/>
            </w:tcMar>
            <w:vAlign w:val="center"/>
          </w:tcPr>
          <w:p w14:paraId="7723F314" w14:textId="77777777" w:rsidR="00B0005F" w:rsidRPr="008A2411" w:rsidRDefault="00000000">
            <w:pPr>
              <w:pStyle w:val="afffffffffffff1"/>
              <w:jc w:val="both"/>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符合</w:t>
            </w:r>
          </w:p>
        </w:tc>
      </w:tr>
      <w:tr w:rsidR="008A2411" w:rsidRPr="008A2411" w14:paraId="36F66C8D" w14:textId="77777777">
        <w:tc>
          <w:tcPr>
            <w:tcW w:w="624" w:type="dxa"/>
            <w:tcMar>
              <w:left w:w="57" w:type="dxa"/>
              <w:right w:w="57" w:type="dxa"/>
            </w:tcMar>
            <w:vAlign w:val="center"/>
          </w:tcPr>
          <w:p w14:paraId="3215DF2B" w14:textId="77777777" w:rsidR="00B0005F" w:rsidRPr="008A2411" w:rsidRDefault="00000000">
            <w:pPr>
              <w:pStyle w:val="afffffffffffff1"/>
              <w:jc w:val="both"/>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2</w:t>
            </w:r>
          </w:p>
        </w:tc>
        <w:tc>
          <w:tcPr>
            <w:tcW w:w="4235" w:type="dxa"/>
            <w:tcMar>
              <w:left w:w="57" w:type="dxa"/>
              <w:right w:w="57" w:type="dxa"/>
            </w:tcMar>
            <w:vAlign w:val="center"/>
          </w:tcPr>
          <w:p w14:paraId="0C1F3A02" w14:textId="77777777" w:rsidR="00B0005F" w:rsidRPr="008A2411" w:rsidRDefault="00000000">
            <w:pPr>
              <w:pStyle w:val="afffffffffffff1"/>
              <w:jc w:val="both"/>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国务院水行政主管部门会同国务院自然资源主管部门，根据各省、自治区、直辖市地下水可开采量和地表水水资源状况，制定并下达各省、自治区、直辖市地下水取水总量控制指标</w:t>
            </w:r>
          </w:p>
        </w:tc>
        <w:tc>
          <w:tcPr>
            <w:tcW w:w="3123" w:type="dxa"/>
            <w:tcMar>
              <w:left w:w="57" w:type="dxa"/>
              <w:right w:w="57" w:type="dxa"/>
            </w:tcMar>
            <w:vAlign w:val="center"/>
          </w:tcPr>
          <w:p w14:paraId="250119D9" w14:textId="77777777" w:rsidR="00B0005F" w:rsidRPr="008A2411" w:rsidRDefault="00000000">
            <w:pPr>
              <w:pStyle w:val="afffffffffffff1"/>
              <w:jc w:val="both"/>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本项目供水依托园区市政供水系统，不取用地下水</w:t>
            </w:r>
          </w:p>
        </w:tc>
        <w:tc>
          <w:tcPr>
            <w:tcW w:w="0" w:type="auto"/>
            <w:tcMar>
              <w:left w:w="57" w:type="dxa"/>
              <w:right w:w="57" w:type="dxa"/>
            </w:tcMar>
            <w:vAlign w:val="center"/>
          </w:tcPr>
          <w:p w14:paraId="3649595F" w14:textId="77777777" w:rsidR="00B0005F" w:rsidRPr="008A2411" w:rsidRDefault="00000000">
            <w:pPr>
              <w:pStyle w:val="afffffffffffff1"/>
              <w:jc w:val="both"/>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符合</w:t>
            </w:r>
          </w:p>
        </w:tc>
      </w:tr>
      <w:tr w:rsidR="008A2411" w:rsidRPr="008A2411" w14:paraId="2019F4CC" w14:textId="77777777">
        <w:tc>
          <w:tcPr>
            <w:tcW w:w="624" w:type="dxa"/>
            <w:tcMar>
              <w:left w:w="57" w:type="dxa"/>
              <w:right w:w="57" w:type="dxa"/>
            </w:tcMar>
            <w:vAlign w:val="center"/>
          </w:tcPr>
          <w:p w14:paraId="564150D9" w14:textId="7C22CA72" w:rsidR="00B0005F" w:rsidRPr="008A2411" w:rsidRDefault="00950499">
            <w:pPr>
              <w:pStyle w:val="afffffffffffff1"/>
              <w:jc w:val="both"/>
              <w:rPr>
                <w:rFonts w:ascii="Times New Roman" w:hAnsi="Times New Roman" w:cs="Times New Roman"/>
                <w:snapToGrid/>
                <w:color w:val="000000" w:themeColor="text1"/>
                <w:spacing w:val="0"/>
                <w:sz w:val="21"/>
              </w:rPr>
            </w:pPr>
            <w:r w:rsidRPr="008A2411">
              <w:rPr>
                <w:rFonts w:ascii="Times New Roman" w:hAnsi="Times New Roman" w:cs="Times New Roman" w:hint="eastAsia"/>
                <w:snapToGrid/>
                <w:color w:val="000000" w:themeColor="text1"/>
                <w:spacing w:val="0"/>
                <w:sz w:val="21"/>
              </w:rPr>
              <w:t>3</w:t>
            </w:r>
          </w:p>
        </w:tc>
        <w:tc>
          <w:tcPr>
            <w:tcW w:w="4235" w:type="dxa"/>
            <w:tcMar>
              <w:left w:w="57" w:type="dxa"/>
              <w:right w:w="57" w:type="dxa"/>
            </w:tcMar>
            <w:vAlign w:val="center"/>
          </w:tcPr>
          <w:p w14:paraId="22C77A70" w14:textId="77777777" w:rsidR="00B0005F" w:rsidRPr="008A2411" w:rsidRDefault="00000000">
            <w:pPr>
              <w:pStyle w:val="afffffffffffff1"/>
              <w:jc w:val="both"/>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新建、改建、扩建地下水取水工程，应当同时安装计量设施。已有地下水取水工程未安装计量设施的，应当按照县级以上地方人民政府水行政主管部门规定的期限安装。</w:t>
            </w:r>
          </w:p>
        </w:tc>
        <w:tc>
          <w:tcPr>
            <w:tcW w:w="3123" w:type="dxa"/>
            <w:tcMar>
              <w:left w:w="57" w:type="dxa"/>
              <w:right w:w="57" w:type="dxa"/>
            </w:tcMar>
            <w:vAlign w:val="center"/>
          </w:tcPr>
          <w:p w14:paraId="59B0D9DA" w14:textId="77777777" w:rsidR="00B0005F" w:rsidRPr="008A2411" w:rsidRDefault="00000000">
            <w:pPr>
              <w:pStyle w:val="afffffffffffff1"/>
              <w:jc w:val="both"/>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本项目供水依托园区市政供水系统，不取用地下水</w:t>
            </w:r>
          </w:p>
        </w:tc>
        <w:tc>
          <w:tcPr>
            <w:tcW w:w="0" w:type="auto"/>
            <w:tcMar>
              <w:left w:w="57" w:type="dxa"/>
              <w:right w:w="57" w:type="dxa"/>
            </w:tcMar>
            <w:vAlign w:val="center"/>
          </w:tcPr>
          <w:p w14:paraId="70A25EC1" w14:textId="77777777" w:rsidR="00B0005F" w:rsidRPr="008A2411" w:rsidRDefault="00000000">
            <w:pPr>
              <w:pStyle w:val="afffffffffffff1"/>
              <w:jc w:val="both"/>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符合</w:t>
            </w:r>
          </w:p>
        </w:tc>
      </w:tr>
      <w:tr w:rsidR="008A2411" w:rsidRPr="008A2411" w14:paraId="583E4439" w14:textId="77777777">
        <w:tc>
          <w:tcPr>
            <w:tcW w:w="624" w:type="dxa"/>
            <w:tcMar>
              <w:left w:w="57" w:type="dxa"/>
              <w:right w:w="57" w:type="dxa"/>
            </w:tcMar>
            <w:vAlign w:val="center"/>
          </w:tcPr>
          <w:p w14:paraId="1ED0F221" w14:textId="46D10F19" w:rsidR="00B0005F" w:rsidRPr="008A2411" w:rsidRDefault="00950499">
            <w:pPr>
              <w:pStyle w:val="afffffffffffff1"/>
              <w:jc w:val="both"/>
              <w:rPr>
                <w:rFonts w:ascii="Times New Roman" w:hAnsi="Times New Roman" w:cs="Times New Roman"/>
                <w:snapToGrid/>
                <w:color w:val="000000" w:themeColor="text1"/>
                <w:spacing w:val="0"/>
                <w:sz w:val="21"/>
              </w:rPr>
            </w:pPr>
            <w:r w:rsidRPr="008A2411">
              <w:rPr>
                <w:rFonts w:ascii="Times New Roman" w:hAnsi="Times New Roman" w:cs="Times New Roman" w:hint="eastAsia"/>
                <w:snapToGrid/>
                <w:color w:val="000000" w:themeColor="text1"/>
                <w:spacing w:val="0"/>
                <w:sz w:val="21"/>
              </w:rPr>
              <w:t>4</w:t>
            </w:r>
          </w:p>
        </w:tc>
        <w:tc>
          <w:tcPr>
            <w:tcW w:w="4235" w:type="dxa"/>
            <w:tcMar>
              <w:left w:w="57" w:type="dxa"/>
              <w:right w:w="57" w:type="dxa"/>
            </w:tcMar>
            <w:vAlign w:val="center"/>
          </w:tcPr>
          <w:p w14:paraId="50E5A26C" w14:textId="77777777" w:rsidR="00B0005F" w:rsidRPr="008A2411" w:rsidRDefault="00000000">
            <w:pPr>
              <w:pStyle w:val="afffffffffffff1"/>
              <w:jc w:val="both"/>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建设单位和个人应当采取措施防止地下工程建设对地下水补给、径流、排泄等造成重大不利影响。对开挖达到一定深度或者达到一定排水规模的地下工程，建设单位和个人应当于工程开工前，将工程建设方案和防止对地下水产生不利影响的措施方案报有管理权限的水行政主管部门备案。开挖深度和排水规模由省、自治区、直辖市人民政府制定、公布。</w:t>
            </w:r>
          </w:p>
        </w:tc>
        <w:tc>
          <w:tcPr>
            <w:tcW w:w="3123" w:type="dxa"/>
            <w:tcMar>
              <w:left w:w="57" w:type="dxa"/>
              <w:right w:w="57" w:type="dxa"/>
            </w:tcMar>
            <w:vAlign w:val="center"/>
          </w:tcPr>
          <w:p w14:paraId="1494D930" w14:textId="77777777" w:rsidR="00B0005F" w:rsidRPr="008A2411" w:rsidRDefault="00000000">
            <w:pPr>
              <w:pStyle w:val="afffffffffffff1"/>
              <w:jc w:val="both"/>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本项目供水依托园区市政供水系统，不取用地下水</w:t>
            </w:r>
          </w:p>
        </w:tc>
        <w:tc>
          <w:tcPr>
            <w:tcW w:w="0" w:type="auto"/>
            <w:tcMar>
              <w:left w:w="57" w:type="dxa"/>
              <w:right w:w="57" w:type="dxa"/>
            </w:tcMar>
            <w:vAlign w:val="center"/>
          </w:tcPr>
          <w:p w14:paraId="2D5CB2A6" w14:textId="77777777" w:rsidR="00B0005F" w:rsidRPr="008A2411" w:rsidRDefault="00000000">
            <w:pPr>
              <w:pStyle w:val="afffffffffffff1"/>
              <w:jc w:val="both"/>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符合</w:t>
            </w:r>
          </w:p>
        </w:tc>
      </w:tr>
      <w:tr w:rsidR="008A2411" w:rsidRPr="008A2411" w14:paraId="580A17DF" w14:textId="77777777">
        <w:tc>
          <w:tcPr>
            <w:tcW w:w="624" w:type="dxa"/>
            <w:tcMar>
              <w:left w:w="57" w:type="dxa"/>
              <w:right w:w="57" w:type="dxa"/>
            </w:tcMar>
            <w:vAlign w:val="center"/>
          </w:tcPr>
          <w:p w14:paraId="7DF3971C" w14:textId="6AEA3ACD" w:rsidR="00B0005F" w:rsidRPr="008A2411" w:rsidRDefault="00950499">
            <w:pPr>
              <w:pStyle w:val="afffffffffffff1"/>
              <w:jc w:val="both"/>
              <w:rPr>
                <w:rFonts w:ascii="Times New Roman" w:hAnsi="Times New Roman" w:cs="Times New Roman"/>
                <w:snapToGrid/>
                <w:color w:val="000000" w:themeColor="text1"/>
                <w:spacing w:val="0"/>
                <w:sz w:val="21"/>
              </w:rPr>
            </w:pPr>
            <w:r w:rsidRPr="008A2411">
              <w:rPr>
                <w:rFonts w:ascii="Times New Roman" w:hAnsi="Times New Roman" w:cs="Times New Roman" w:hint="eastAsia"/>
                <w:snapToGrid/>
                <w:color w:val="000000" w:themeColor="text1"/>
                <w:spacing w:val="0"/>
                <w:sz w:val="21"/>
              </w:rPr>
              <w:t>5</w:t>
            </w:r>
          </w:p>
        </w:tc>
        <w:tc>
          <w:tcPr>
            <w:tcW w:w="4235" w:type="dxa"/>
            <w:tcMar>
              <w:left w:w="57" w:type="dxa"/>
              <w:right w:w="57" w:type="dxa"/>
            </w:tcMar>
            <w:vAlign w:val="center"/>
          </w:tcPr>
          <w:p w14:paraId="04F919D1" w14:textId="77777777" w:rsidR="00B0005F" w:rsidRPr="008A2411" w:rsidRDefault="00000000">
            <w:pPr>
              <w:pStyle w:val="afffffffffffff1"/>
              <w:jc w:val="both"/>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禁止下列污染或者可能污染地下水的行为</w:t>
            </w:r>
            <w:r w:rsidRPr="008A2411">
              <w:rPr>
                <w:rFonts w:ascii="Times New Roman" w:hAnsi="Times New Roman" w:cs="Times New Roman"/>
                <w:snapToGrid/>
                <w:color w:val="000000" w:themeColor="text1"/>
                <w:spacing w:val="0"/>
                <w:sz w:val="21"/>
              </w:rPr>
              <w:t>:</w:t>
            </w:r>
          </w:p>
          <w:p w14:paraId="63601827" w14:textId="77777777" w:rsidR="00B0005F" w:rsidRPr="008A2411" w:rsidRDefault="00000000">
            <w:pPr>
              <w:pStyle w:val="afffffffffffff1"/>
              <w:jc w:val="both"/>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w:t>
            </w:r>
            <w:proofErr w:type="gramStart"/>
            <w:r w:rsidRPr="008A2411">
              <w:rPr>
                <w:rFonts w:ascii="Times New Roman" w:hAnsi="Times New Roman" w:cs="Times New Roman"/>
                <w:snapToGrid/>
                <w:color w:val="000000" w:themeColor="text1"/>
                <w:spacing w:val="0"/>
                <w:sz w:val="21"/>
              </w:rPr>
              <w:t>一</w:t>
            </w:r>
            <w:proofErr w:type="gramEnd"/>
            <w:r w:rsidRPr="008A2411">
              <w:rPr>
                <w:rFonts w:ascii="Times New Roman" w:hAnsi="Times New Roman" w:cs="Times New Roman"/>
                <w:snapToGrid/>
                <w:color w:val="000000" w:themeColor="text1"/>
                <w:spacing w:val="0"/>
                <w:sz w:val="21"/>
              </w:rPr>
              <w:t>)</w:t>
            </w:r>
            <w:r w:rsidRPr="008A2411">
              <w:rPr>
                <w:rFonts w:ascii="Times New Roman" w:hAnsi="Times New Roman" w:cs="Times New Roman"/>
                <w:snapToGrid/>
                <w:color w:val="000000" w:themeColor="text1"/>
                <w:spacing w:val="0"/>
                <w:sz w:val="21"/>
              </w:rPr>
              <w:t>利用渗井、渗坑、裂隙、溶洞以及私设暗管等逃避监管的方式排放水污染物</w:t>
            </w:r>
            <w:r w:rsidRPr="008A2411">
              <w:rPr>
                <w:rFonts w:ascii="Times New Roman" w:hAnsi="Times New Roman" w:cs="Times New Roman"/>
                <w:snapToGrid/>
                <w:color w:val="000000" w:themeColor="text1"/>
                <w:spacing w:val="0"/>
                <w:sz w:val="21"/>
              </w:rPr>
              <w:t>;</w:t>
            </w:r>
          </w:p>
          <w:p w14:paraId="788B76F7" w14:textId="77777777" w:rsidR="00B0005F" w:rsidRPr="008A2411" w:rsidRDefault="00000000">
            <w:pPr>
              <w:pStyle w:val="afffffffffffff1"/>
              <w:jc w:val="both"/>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w:t>
            </w:r>
            <w:r w:rsidRPr="008A2411">
              <w:rPr>
                <w:rFonts w:ascii="Times New Roman" w:hAnsi="Times New Roman" w:cs="Times New Roman"/>
                <w:snapToGrid/>
                <w:color w:val="000000" w:themeColor="text1"/>
                <w:spacing w:val="0"/>
                <w:sz w:val="21"/>
              </w:rPr>
              <w:t>二</w:t>
            </w:r>
            <w:r w:rsidRPr="008A2411">
              <w:rPr>
                <w:rFonts w:ascii="Times New Roman" w:hAnsi="Times New Roman" w:cs="Times New Roman"/>
                <w:snapToGrid/>
                <w:color w:val="000000" w:themeColor="text1"/>
                <w:spacing w:val="0"/>
                <w:sz w:val="21"/>
              </w:rPr>
              <w:t>)</w:t>
            </w:r>
            <w:r w:rsidRPr="008A2411">
              <w:rPr>
                <w:rFonts w:ascii="Times New Roman" w:hAnsi="Times New Roman" w:cs="Times New Roman"/>
                <w:snapToGrid/>
                <w:color w:val="000000" w:themeColor="text1"/>
                <w:spacing w:val="0"/>
                <w:sz w:val="21"/>
              </w:rPr>
              <w:t>利用岩层孔隙、裂隙、溶洞、废弃矿坑等贮存石化原料及产品、农药、危险废物、城镇污水处理设施产生的污泥和处理后的污泥或者其他有毒有害物质</w:t>
            </w:r>
            <w:r w:rsidRPr="008A2411">
              <w:rPr>
                <w:rFonts w:ascii="Times New Roman" w:hAnsi="Times New Roman" w:cs="Times New Roman"/>
                <w:snapToGrid/>
                <w:color w:val="000000" w:themeColor="text1"/>
                <w:spacing w:val="0"/>
                <w:sz w:val="21"/>
              </w:rPr>
              <w:t>;</w:t>
            </w:r>
          </w:p>
          <w:p w14:paraId="195FEA07" w14:textId="77777777" w:rsidR="00B0005F" w:rsidRPr="008A2411" w:rsidRDefault="00000000">
            <w:pPr>
              <w:pStyle w:val="afffffffffffff1"/>
              <w:jc w:val="both"/>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w:t>
            </w:r>
            <w:r w:rsidRPr="008A2411">
              <w:rPr>
                <w:rFonts w:ascii="Times New Roman" w:hAnsi="Times New Roman" w:cs="Times New Roman"/>
                <w:snapToGrid/>
                <w:color w:val="000000" w:themeColor="text1"/>
                <w:spacing w:val="0"/>
                <w:sz w:val="21"/>
              </w:rPr>
              <w:t>三</w:t>
            </w:r>
            <w:r w:rsidRPr="008A2411">
              <w:rPr>
                <w:rFonts w:ascii="Times New Roman" w:hAnsi="Times New Roman" w:cs="Times New Roman"/>
                <w:snapToGrid/>
                <w:color w:val="000000" w:themeColor="text1"/>
                <w:spacing w:val="0"/>
                <w:sz w:val="21"/>
              </w:rPr>
              <w:t>)</w:t>
            </w:r>
            <w:r w:rsidRPr="008A2411">
              <w:rPr>
                <w:rFonts w:ascii="Times New Roman" w:hAnsi="Times New Roman" w:cs="Times New Roman"/>
                <w:snapToGrid/>
                <w:color w:val="000000" w:themeColor="text1"/>
                <w:spacing w:val="0"/>
                <w:sz w:val="21"/>
              </w:rPr>
              <w:t>利用无防渗漏措施的沟渠、坑塘等输送或者贮存含有毒污染物的废水、含病原体的污水和其他废弃物</w:t>
            </w:r>
            <w:r w:rsidRPr="008A2411">
              <w:rPr>
                <w:rFonts w:ascii="Times New Roman" w:hAnsi="Times New Roman" w:cs="Times New Roman"/>
                <w:snapToGrid/>
                <w:color w:val="000000" w:themeColor="text1"/>
                <w:spacing w:val="0"/>
                <w:sz w:val="21"/>
              </w:rPr>
              <w:t>;</w:t>
            </w:r>
          </w:p>
          <w:p w14:paraId="0FA1D19B" w14:textId="77777777" w:rsidR="00B0005F" w:rsidRPr="008A2411" w:rsidRDefault="00000000">
            <w:pPr>
              <w:pStyle w:val="afffffffffffff1"/>
              <w:jc w:val="both"/>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w:t>
            </w:r>
            <w:r w:rsidRPr="008A2411">
              <w:rPr>
                <w:rFonts w:ascii="Times New Roman" w:hAnsi="Times New Roman" w:cs="Times New Roman"/>
                <w:snapToGrid/>
                <w:color w:val="000000" w:themeColor="text1"/>
                <w:spacing w:val="0"/>
                <w:sz w:val="21"/>
              </w:rPr>
              <w:t>四</w:t>
            </w:r>
            <w:r w:rsidRPr="008A2411">
              <w:rPr>
                <w:rFonts w:ascii="Times New Roman" w:hAnsi="Times New Roman" w:cs="Times New Roman"/>
                <w:snapToGrid/>
                <w:color w:val="000000" w:themeColor="text1"/>
                <w:spacing w:val="0"/>
                <w:sz w:val="21"/>
              </w:rPr>
              <w:t>)</w:t>
            </w:r>
            <w:r w:rsidRPr="008A2411">
              <w:rPr>
                <w:rFonts w:ascii="Times New Roman" w:hAnsi="Times New Roman" w:cs="Times New Roman"/>
                <w:snapToGrid/>
                <w:color w:val="000000" w:themeColor="text1"/>
                <w:spacing w:val="0"/>
                <w:sz w:val="21"/>
              </w:rPr>
              <w:t>法律、法规禁止的其他污染或者可能污染地下水的行为</w:t>
            </w:r>
          </w:p>
        </w:tc>
        <w:tc>
          <w:tcPr>
            <w:tcW w:w="3123" w:type="dxa"/>
            <w:tcMar>
              <w:left w:w="57" w:type="dxa"/>
              <w:right w:w="57" w:type="dxa"/>
            </w:tcMar>
            <w:vAlign w:val="center"/>
          </w:tcPr>
          <w:p w14:paraId="4DF2F097" w14:textId="77777777" w:rsidR="00B0005F" w:rsidRPr="008A2411" w:rsidRDefault="00000000">
            <w:pPr>
              <w:pStyle w:val="afffffffffffff1"/>
              <w:jc w:val="both"/>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本项目没有条文中所列污染或者可能污染地下水的行为。本项目也无钻井施工，无钻井废弃物产生和处置</w:t>
            </w:r>
          </w:p>
        </w:tc>
        <w:tc>
          <w:tcPr>
            <w:tcW w:w="0" w:type="auto"/>
            <w:tcMar>
              <w:left w:w="57" w:type="dxa"/>
              <w:right w:w="57" w:type="dxa"/>
            </w:tcMar>
            <w:vAlign w:val="center"/>
          </w:tcPr>
          <w:p w14:paraId="7C049D0E" w14:textId="77777777" w:rsidR="00B0005F" w:rsidRPr="008A2411" w:rsidRDefault="00000000">
            <w:pPr>
              <w:pStyle w:val="afffffffffffff1"/>
              <w:jc w:val="both"/>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符合</w:t>
            </w:r>
          </w:p>
        </w:tc>
      </w:tr>
      <w:tr w:rsidR="008A2411" w:rsidRPr="008A2411" w14:paraId="18D65323" w14:textId="77777777">
        <w:tc>
          <w:tcPr>
            <w:tcW w:w="624" w:type="dxa"/>
            <w:tcMar>
              <w:left w:w="57" w:type="dxa"/>
              <w:right w:w="57" w:type="dxa"/>
            </w:tcMar>
            <w:vAlign w:val="center"/>
          </w:tcPr>
          <w:p w14:paraId="1642B489" w14:textId="1A8E11FB" w:rsidR="00B0005F" w:rsidRPr="008A2411" w:rsidRDefault="00950499">
            <w:pPr>
              <w:pStyle w:val="afffffffffffff1"/>
              <w:jc w:val="both"/>
              <w:rPr>
                <w:rFonts w:ascii="Times New Roman" w:hAnsi="Times New Roman" w:cs="Times New Roman"/>
                <w:snapToGrid/>
                <w:color w:val="000000" w:themeColor="text1"/>
                <w:spacing w:val="0"/>
                <w:sz w:val="21"/>
              </w:rPr>
            </w:pPr>
            <w:r w:rsidRPr="008A2411">
              <w:rPr>
                <w:rFonts w:ascii="Times New Roman" w:hAnsi="Times New Roman" w:cs="Times New Roman" w:hint="eastAsia"/>
                <w:snapToGrid/>
                <w:color w:val="000000" w:themeColor="text1"/>
                <w:spacing w:val="0"/>
                <w:sz w:val="21"/>
              </w:rPr>
              <w:t>6</w:t>
            </w:r>
          </w:p>
        </w:tc>
        <w:tc>
          <w:tcPr>
            <w:tcW w:w="4235" w:type="dxa"/>
            <w:tcMar>
              <w:left w:w="57" w:type="dxa"/>
              <w:right w:w="57" w:type="dxa"/>
            </w:tcMar>
            <w:vAlign w:val="center"/>
          </w:tcPr>
          <w:p w14:paraId="18149C2D" w14:textId="77777777" w:rsidR="00B0005F" w:rsidRPr="008A2411" w:rsidRDefault="00000000">
            <w:pPr>
              <w:pStyle w:val="afffffffffffff1"/>
              <w:jc w:val="both"/>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企业事业单位和其他生产经营者应当采取下列措施，防止地下水污染</w:t>
            </w:r>
            <w:r w:rsidRPr="008A2411">
              <w:rPr>
                <w:rFonts w:ascii="Times New Roman" w:hAnsi="Times New Roman" w:cs="Times New Roman"/>
                <w:snapToGrid/>
                <w:color w:val="000000" w:themeColor="text1"/>
                <w:spacing w:val="0"/>
                <w:sz w:val="21"/>
              </w:rPr>
              <w:t>:</w:t>
            </w:r>
          </w:p>
          <w:p w14:paraId="69B82ADC" w14:textId="77777777" w:rsidR="00B0005F" w:rsidRPr="008A2411" w:rsidRDefault="00000000">
            <w:pPr>
              <w:pStyle w:val="afffffffffffff1"/>
              <w:jc w:val="both"/>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w:t>
            </w:r>
            <w:proofErr w:type="gramStart"/>
            <w:r w:rsidRPr="008A2411">
              <w:rPr>
                <w:rFonts w:ascii="Times New Roman" w:hAnsi="Times New Roman" w:cs="Times New Roman"/>
                <w:snapToGrid/>
                <w:color w:val="000000" w:themeColor="text1"/>
                <w:spacing w:val="0"/>
                <w:sz w:val="21"/>
              </w:rPr>
              <w:t>一</w:t>
            </w:r>
            <w:proofErr w:type="gramEnd"/>
            <w:r w:rsidRPr="008A2411">
              <w:rPr>
                <w:rFonts w:ascii="Times New Roman" w:hAnsi="Times New Roman" w:cs="Times New Roman"/>
                <w:snapToGrid/>
                <w:color w:val="000000" w:themeColor="text1"/>
                <w:spacing w:val="0"/>
                <w:sz w:val="21"/>
              </w:rPr>
              <w:t>)</w:t>
            </w:r>
            <w:r w:rsidRPr="008A2411">
              <w:rPr>
                <w:rFonts w:ascii="Times New Roman" w:hAnsi="Times New Roman" w:cs="Times New Roman"/>
                <w:snapToGrid/>
                <w:color w:val="000000" w:themeColor="text1"/>
                <w:spacing w:val="0"/>
                <w:sz w:val="21"/>
              </w:rPr>
              <w:t>兴建地下工程设施或者进行地下勘探、采矿等活动，依法编制的环境影响评价文件中，应当包括地下水污染防治的内容，并采取防护性措施</w:t>
            </w:r>
            <w:r w:rsidRPr="008A2411">
              <w:rPr>
                <w:rFonts w:ascii="Times New Roman" w:hAnsi="Times New Roman" w:cs="Times New Roman"/>
                <w:snapToGrid/>
                <w:color w:val="000000" w:themeColor="text1"/>
                <w:spacing w:val="0"/>
                <w:sz w:val="21"/>
              </w:rPr>
              <w:t>;</w:t>
            </w:r>
          </w:p>
          <w:p w14:paraId="595122D2" w14:textId="77777777" w:rsidR="00B0005F" w:rsidRPr="008A2411" w:rsidRDefault="00000000">
            <w:pPr>
              <w:pStyle w:val="afffffffffffff1"/>
              <w:jc w:val="both"/>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w:t>
            </w:r>
            <w:r w:rsidRPr="008A2411">
              <w:rPr>
                <w:rFonts w:ascii="Times New Roman" w:hAnsi="Times New Roman" w:cs="Times New Roman"/>
                <w:snapToGrid/>
                <w:color w:val="000000" w:themeColor="text1"/>
                <w:spacing w:val="0"/>
                <w:sz w:val="21"/>
              </w:rPr>
              <w:t>二</w:t>
            </w:r>
            <w:r w:rsidRPr="008A2411">
              <w:rPr>
                <w:rFonts w:ascii="Times New Roman" w:hAnsi="Times New Roman" w:cs="Times New Roman"/>
                <w:snapToGrid/>
                <w:color w:val="000000" w:themeColor="text1"/>
                <w:spacing w:val="0"/>
                <w:sz w:val="21"/>
              </w:rPr>
              <w:t>)</w:t>
            </w:r>
            <w:r w:rsidRPr="008A2411">
              <w:rPr>
                <w:rFonts w:ascii="Times New Roman" w:hAnsi="Times New Roman" w:cs="Times New Roman"/>
                <w:snapToGrid/>
                <w:color w:val="000000" w:themeColor="text1"/>
                <w:spacing w:val="0"/>
                <w:sz w:val="21"/>
              </w:rPr>
              <w:t>化学品生产企业以及工业集聚区、矿山开采区、尾矿库、危险废物处置场、垃圾填埋场等的运营、管理单位，应当采取防渗漏等措施，并建设地下水水质监测井进行监测</w:t>
            </w:r>
            <w:r w:rsidRPr="008A2411">
              <w:rPr>
                <w:rFonts w:ascii="Times New Roman" w:hAnsi="Times New Roman" w:cs="Times New Roman"/>
                <w:snapToGrid/>
                <w:color w:val="000000" w:themeColor="text1"/>
                <w:spacing w:val="0"/>
                <w:sz w:val="21"/>
              </w:rPr>
              <w:t>;</w:t>
            </w:r>
          </w:p>
          <w:p w14:paraId="18B1B785" w14:textId="77777777" w:rsidR="00B0005F" w:rsidRPr="008A2411" w:rsidRDefault="00000000">
            <w:pPr>
              <w:pStyle w:val="afffffffffffff1"/>
              <w:jc w:val="both"/>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w:t>
            </w:r>
            <w:r w:rsidRPr="008A2411">
              <w:rPr>
                <w:rFonts w:ascii="Times New Roman" w:hAnsi="Times New Roman" w:cs="Times New Roman"/>
                <w:snapToGrid/>
                <w:color w:val="000000" w:themeColor="text1"/>
                <w:spacing w:val="0"/>
                <w:sz w:val="21"/>
              </w:rPr>
              <w:t>三</w:t>
            </w:r>
            <w:r w:rsidRPr="008A2411">
              <w:rPr>
                <w:rFonts w:ascii="Times New Roman" w:hAnsi="Times New Roman" w:cs="Times New Roman"/>
                <w:snapToGrid/>
                <w:color w:val="000000" w:themeColor="text1"/>
                <w:spacing w:val="0"/>
                <w:sz w:val="21"/>
              </w:rPr>
              <w:t>)</w:t>
            </w:r>
            <w:r w:rsidRPr="008A2411">
              <w:rPr>
                <w:rFonts w:ascii="Times New Roman" w:hAnsi="Times New Roman" w:cs="Times New Roman"/>
                <w:snapToGrid/>
                <w:color w:val="000000" w:themeColor="text1"/>
                <w:spacing w:val="0"/>
                <w:sz w:val="21"/>
              </w:rPr>
              <w:t>加油站等的地下油罐应当使用双层</w:t>
            </w:r>
            <w:proofErr w:type="gramStart"/>
            <w:r w:rsidRPr="008A2411">
              <w:rPr>
                <w:rFonts w:ascii="Times New Roman" w:hAnsi="Times New Roman" w:cs="Times New Roman"/>
                <w:snapToGrid/>
                <w:color w:val="000000" w:themeColor="text1"/>
                <w:spacing w:val="0"/>
                <w:sz w:val="21"/>
              </w:rPr>
              <w:t>罐或者</w:t>
            </w:r>
            <w:proofErr w:type="gramEnd"/>
            <w:r w:rsidRPr="008A2411">
              <w:rPr>
                <w:rFonts w:ascii="Times New Roman" w:hAnsi="Times New Roman" w:cs="Times New Roman"/>
                <w:snapToGrid/>
                <w:color w:val="000000" w:themeColor="text1"/>
                <w:spacing w:val="0"/>
                <w:sz w:val="21"/>
              </w:rPr>
              <w:t>采取建造防渗池等其他有效措施，并进行防渗漏监测</w:t>
            </w:r>
            <w:r w:rsidRPr="008A2411">
              <w:rPr>
                <w:rFonts w:ascii="Times New Roman" w:hAnsi="Times New Roman" w:cs="Times New Roman"/>
                <w:snapToGrid/>
                <w:color w:val="000000" w:themeColor="text1"/>
                <w:spacing w:val="0"/>
                <w:sz w:val="21"/>
              </w:rPr>
              <w:t>;</w:t>
            </w:r>
          </w:p>
          <w:p w14:paraId="74DA2C00" w14:textId="77777777" w:rsidR="00B0005F" w:rsidRPr="008A2411" w:rsidRDefault="00000000">
            <w:pPr>
              <w:pStyle w:val="afffffffffffff1"/>
              <w:jc w:val="both"/>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lastRenderedPageBreak/>
              <w:t>(</w:t>
            </w:r>
            <w:r w:rsidRPr="008A2411">
              <w:rPr>
                <w:rFonts w:ascii="Times New Roman" w:hAnsi="Times New Roman" w:cs="Times New Roman"/>
                <w:snapToGrid/>
                <w:color w:val="000000" w:themeColor="text1"/>
                <w:spacing w:val="0"/>
                <w:sz w:val="21"/>
              </w:rPr>
              <w:t>四</w:t>
            </w:r>
            <w:r w:rsidRPr="008A2411">
              <w:rPr>
                <w:rFonts w:ascii="Times New Roman" w:hAnsi="Times New Roman" w:cs="Times New Roman"/>
                <w:snapToGrid/>
                <w:color w:val="000000" w:themeColor="text1"/>
                <w:spacing w:val="0"/>
                <w:sz w:val="21"/>
              </w:rPr>
              <w:t>)</w:t>
            </w:r>
            <w:r w:rsidRPr="008A2411">
              <w:rPr>
                <w:rFonts w:ascii="Times New Roman" w:hAnsi="Times New Roman" w:cs="Times New Roman"/>
                <w:snapToGrid/>
                <w:color w:val="000000" w:themeColor="text1"/>
                <w:spacing w:val="0"/>
                <w:sz w:val="21"/>
              </w:rPr>
              <w:t>存放可溶性剧毒废渣的场所，应当采取防水、防渗漏、防流失的措施</w:t>
            </w:r>
            <w:r w:rsidRPr="008A2411">
              <w:rPr>
                <w:rFonts w:ascii="Times New Roman" w:hAnsi="Times New Roman" w:cs="Times New Roman"/>
                <w:snapToGrid/>
                <w:color w:val="000000" w:themeColor="text1"/>
                <w:spacing w:val="0"/>
                <w:sz w:val="21"/>
              </w:rPr>
              <w:t>;</w:t>
            </w:r>
          </w:p>
          <w:p w14:paraId="70D6EF2A" w14:textId="77777777" w:rsidR="00B0005F" w:rsidRPr="008A2411" w:rsidRDefault="00000000">
            <w:pPr>
              <w:pStyle w:val="afffffffffffff1"/>
              <w:jc w:val="both"/>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w:t>
            </w:r>
            <w:r w:rsidRPr="008A2411">
              <w:rPr>
                <w:rFonts w:ascii="Times New Roman" w:hAnsi="Times New Roman" w:cs="Times New Roman"/>
                <w:snapToGrid/>
                <w:color w:val="000000" w:themeColor="text1"/>
                <w:spacing w:val="0"/>
                <w:sz w:val="21"/>
              </w:rPr>
              <w:t>五</w:t>
            </w:r>
            <w:r w:rsidRPr="008A2411">
              <w:rPr>
                <w:rFonts w:ascii="Times New Roman" w:hAnsi="Times New Roman" w:cs="Times New Roman"/>
                <w:snapToGrid/>
                <w:color w:val="000000" w:themeColor="text1"/>
                <w:spacing w:val="0"/>
                <w:sz w:val="21"/>
              </w:rPr>
              <w:t>)</w:t>
            </w:r>
            <w:r w:rsidRPr="008A2411">
              <w:rPr>
                <w:rFonts w:ascii="Times New Roman" w:hAnsi="Times New Roman" w:cs="Times New Roman"/>
                <w:snapToGrid/>
                <w:color w:val="000000" w:themeColor="text1"/>
                <w:spacing w:val="0"/>
                <w:sz w:val="21"/>
              </w:rPr>
              <w:t>法律、法规规定应当采取的其他防止地下水污染的措施</w:t>
            </w:r>
          </w:p>
        </w:tc>
        <w:tc>
          <w:tcPr>
            <w:tcW w:w="3123" w:type="dxa"/>
            <w:tcMar>
              <w:left w:w="57" w:type="dxa"/>
              <w:right w:w="57" w:type="dxa"/>
            </w:tcMar>
            <w:vAlign w:val="center"/>
          </w:tcPr>
          <w:p w14:paraId="00A1FF25" w14:textId="77777777" w:rsidR="00B0005F" w:rsidRPr="008A2411" w:rsidRDefault="00000000">
            <w:pPr>
              <w:pStyle w:val="afffffffffffff1"/>
              <w:jc w:val="both"/>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lastRenderedPageBreak/>
              <w:t>（一）本项目依法编制的环境影响评价文件中，包括地下水污染防治的内容，并采取相应的防护性措施；</w:t>
            </w:r>
          </w:p>
          <w:p w14:paraId="61C5DCAC" w14:textId="77777777" w:rsidR="00B0005F" w:rsidRPr="008A2411" w:rsidRDefault="00000000">
            <w:pPr>
              <w:pStyle w:val="afffffffffffff1"/>
              <w:jc w:val="both"/>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（二）本项目不属于化学品生产企业以及工业集聚区、矿山开采区、尾矿库、危险废物处置场、垃圾填埋场等的运营、管理单位；</w:t>
            </w:r>
          </w:p>
          <w:p w14:paraId="7EAF8F18" w14:textId="77777777" w:rsidR="00B0005F" w:rsidRPr="008A2411" w:rsidRDefault="00000000">
            <w:pPr>
              <w:pStyle w:val="afffffffffffff1"/>
              <w:jc w:val="both"/>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（三）本项目没有地下油罐，同时项目采取分区防渗措施；</w:t>
            </w:r>
          </w:p>
          <w:p w14:paraId="30118481" w14:textId="77777777" w:rsidR="00B0005F" w:rsidRPr="008A2411" w:rsidRDefault="00000000">
            <w:pPr>
              <w:pStyle w:val="afffffffffffff1"/>
              <w:jc w:val="both"/>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（四）本项目设置的危险废物暂存间采取重点防渗措施，满足防</w:t>
            </w:r>
            <w:r w:rsidRPr="008A2411">
              <w:rPr>
                <w:rFonts w:ascii="Times New Roman" w:hAnsi="Times New Roman" w:cs="Times New Roman"/>
                <w:snapToGrid/>
                <w:color w:val="000000" w:themeColor="text1"/>
                <w:spacing w:val="0"/>
                <w:sz w:val="21"/>
              </w:rPr>
              <w:lastRenderedPageBreak/>
              <w:t>水、防渗漏、防流失的要求；</w:t>
            </w:r>
          </w:p>
          <w:p w14:paraId="2B151B36" w14:textId="77777777" w:rsidR="00B0005F" w:rsidRPr="008A2411" w:rsidRDefault="00000000">
            <w:pPr>
              <w:pStyle w:val="afffffffffffff1"/>
              <w:jc w:val="both"/>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（五）本项目落实法律、法规规定的应当采取的其他防止地下水污染的措施</w:t>
            </w:r>
          </w:p>
        </w:tc>
        <w:tc>
          <w:tcPr>
            <w:tcW w:w="0" w:type="auto"/>
            <w:tcMar>
              <w:left w:w="57" w:type="dxa"/>
              <w:right w:w="57" w:type="dxa"/>
            </w:tcMar>
            <w:vAlign w:val="center"/>
          </w:tcPr>
          <w:p w14:paraId="63C1B1FE" w14:textId="77777777" w:rsidR="00B0005F" w:rsidRPr="008A2411" w:rsidRDefault="00000000">
            <w:pPr>
              <w:pStyle w:val="afffffffffffff1"/>
              <w:jc w:val="both"/>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lastRenderedPageBreak/>
              <w:t>符合</w:t>
            </w:r>
          </w:p>
        </w:tc>
      </w:tr>
      <w:tr w:rsidR="008A2411" w:rsidRPr="008A2411" w14:paraId="32886FC1" w14:textId="77777777">
        <w:tc>
          <w:tcPr>
            <w:tcW w:w="624" w:type="dxa"/>
            <w:tcMar>
              <w:left w:w="57" w:type="dxa"/>
              <w:right w:w="57" w:type="dxa"/>
            </w:tcMar>
            <w:vAlign w:val="center"/>
          </w:tcPr>
          <w:p w14:paraId="714034D6" w14:textId="62370D9B" w:rsidR="00B0005F" w:rsidRPr="008A2411" w:rsidRDefault="00950499">
            <w:pPr>
              <w:pStyle w:val="afffffffffffff1"/>
              <w:jc w:val="both"/>
              <w:rPr>
                <w:rFonts w:ascii="Times New Roman" w:hAnsi="Times New Roman" w:cs="Times New Roman"/>
                <w:snapToGrid/>
                <w:color w:val="000000" w:themeColor="text1"/>
                <w:spacing w:val="0"/>
                <w:sz w:val="21"/>
              </w:rPr>
            </w:pPr>
            <w:r w:rsidRPr="008A2411">
              <w:rPr>
                <w:rFonts w:ascii="Times New Roman" w:hAnsi="Times New Roman" w:cs="Times New Roman" w:hint="eastAsia"/>
                <w:snapToGrid/>
                <w:color w:val="000000" w:themeColor="text1"/>
                <w:spacing w:val="0"/>
                <w:sz w:val="21"/>
              </w:rPr>
              <w:t>7</w:t>
            </w:r>
          </w:p>
        </w:tc>
        <w:tc>
          <w:tcPr>
            <w:tcW w:w="4235" w:type="dxa"/>
            <w:tcMar>
              <w:left w:w="57" w:type="dxa"/>
              <w:right w:w="57" w:type="dxa"/>
            </w:tcMar>
            <w:vAlign w:val="center"/>
          </w:tcPr>
          <w:p w14:paraId="4737EEC0" w14:textId="77777777" w:rsidR="00B0005F" w:rsidRPr="008A2411" w:rsidRDefault="00000000">
            <w:pPr>
              <w:pStyle w:val="afffffffffffff1"/>
              <w:jc w:val="both"/>
              <w:rPr>
                <w:rFonts w:ascii="Times New Roman" w:hAnsi="Times New Roman" w:cs="Times New Roman"/>
                <w:snapToGrid/>
                <w:color w:val="000000" w:themeColor="text1"/>
                <w:spacing w:val="0"/>
                <w:sz w:val="21"/>
              </w:rPr>
            </w:pPr>
            <w:proofErr w:type="gramStart"/>
            <w:r w:rsidRPr="008A2411">
              <w:rPr>
                <w:rFonts w:ascii="Times New Roman" w:hAnsi="Times New Roman" w:cs="Times New Roman"/>
                <w:snapToGrid/>
                <w:color w:val="000000" w:themeColor="text1"/>
                <w:spacing w:val="0"/>
                <w:sz w:val="21"/>
              </w:rPr>
              <w:t>在泉域保护范围</w:t>
            </w:r>
            <w:proofErr w:type="gramEnd"/>
            <w:r w:rsidRPr="008A2411">
              <w:rPr>
                <w:rFonts w:ascii="Times New Roman" w:hAnsi="Times New Roman" w:cs="Times New Roman"/>
                <w:snapToGrid/>
                <w:color w:val="000000" w:themeColor="text1"/>
                <w:spacing w:val="0"/>
                <w:sz w:val="21"/>
              </w:rPr>
              <w:t>以及岩溶强发育、存在较多落水洞和岩溶漏斗的区域内，不得新建、改建、扩建可能造成地下水污染的建设项目</w:t>
            </w:r>
          </w:p>
        </w:tc>
        <w:tc>
          <w:tcPr>
            <w:tcW w:w="3123" w:type="dxa"/>
            <w:tcMar>
              <w:left w:w="57" w:type="dxa"/>
              <w:right w:w="57" w:type="dxa"/>
            </w:tcMar>
            <w:vAlign w:val="center"/>
          </w:tcPr>
          <w:p w14:paraId="47CF2313" w14:textId="77777777" w:rsidR="00B0005F" w:rsidRPr="008A2411" w:rsidRDefault="00000000">
            <w:pPr>
              <w:pStyle w:val="afffffffffffff1"/>
              <w:jc w:val="both"/>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本项目所在地不</w:t>
            </w:r>
            <w:proofErr w:type="gramStart"/>
            <w:r w:rsidRPr="008A2411">
              <w:rPr>
                <w:rFonts w:ascii="Times New Roman" w:hAnsi="Times New Roman" w:cs="Times New Roman"/>
                <w:snapToGrid/>
                <w:color w:val="000000" w:themeColor="text1"/>
                <w:spacing w:val="0"/>
                <w:sz w:val="21"/>
              </w:rPr>
              <w:t>属于泉域保护范围</w:t>
            </w:r>
            <w:proofErr w:type="gramEnd"/>
            <w:r w:rsidRPr="008A2411">
              <w:rPr>
                <w:rFonts w:ascii="Times New Roman" w:hAnsi="Times New Roman" w:cs="Times New Roman"/>
                <w:snapToGrid/>
                <w:color w:val="000000" w:themeColor="text1"/>
                <w:spacing w:val="0"/>
                <w:sz w:val="21"/>
              </w:rPr>
              <w:t>以及岩溶强发育、存在较多落水洞和岩溶漏斗的区域</w:t>
            </w:r>
          </w:p>
        </w:tc>
        <w:tc>
          <w:tcPr>
            <w:tcW w:w="0" w:type="auto"/>
            <w:tcMar>
              <w:left w:w="57" w:type="dxa"/>
              <w:right w:w="57" w:type="dxa"/>
            </w:tcMar>
            <w:vAlign w:val="center"/>
          </w:tcPr>
          <w:p w14:paraId="70817C3F" w14:textId="77777777" w:rsidR="00B0005F" w:rsidRPr="008A2411" w:rsidRDefault="00000000">
            <w:pPr>
              <w:pStyle w:val="afffffffffffff1"/>
              <w:jc w:val="both"/>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符合</w:t>
            </w:r>
          </w:p>
        </w:tc>
      </w:tr>
      <w:tr w:rsidR="008A2411" w:rsidRPr="008A2411" w14:paraId="6DBCF951" w14:textId="77777777">
        <w:tc>
          <w:tcPr>
            <w:tcW w:w="624" w:type="dxa"/>
            <w:tcMar>
              <w:left w:w="57" w:type="dxa"/>
              <w:right w:w="57" w:type="dxa"/>
            </w:tcMar>
            <w:vAlign w:val="center"/>
          </w:tcPr>
          <w:p w14:paraId="37340420" w14:textId="471D5ACC" w:rsidR="00B0005F" w:rsidRPr="008A2411" w:rsidRDefault="00950499">
            <w:pPr>
              <w:pStyle w:val="afffffffffffff1"/>
              <w:jc w:val="both"/>
              <w:rPr>
                <w:rFonts w:ascii="Times New Roman" w:hAnsi="Times New Roman" w:cs="Times New Roman"/>
                <w:snapToGrid/>
                <w:color w:val="000000" w:themeColor="text1"/>
                <w:spacing w:val="0"/>
                <w:sz w:val="21"/>
              </w:rPr>
            </w:pPr>
            <w:r w:rsidRPr="008A2411">
              <w:rPr>
                <w:rFonts w:ascii="Times New Roman" w:hAnsi="Times New Roman" w:cs="Times New Roman" w:hint="eastAsia"/>
                <w:snapToGrid/>
                <w:color w:val="000000" w:themeColor="text1"/>
                <w:spacing w:val="0"/>
                <w:sz w:val="21"/>
              </w:rPr>
              <w:t>8</w:t>
            </w:r>
          </w:p>
        </w:tc>
        <w:tc>
          <w:tcPr>
            <w:tcW w:w="4235" w:type="dxa"/>
            <w:tcMar>
              <w:left w:w="57" w:type="dxa"/>
              <w:right w:w="57" w:type="dxa"/>
            </w:tcMar>
            <w:vAlign w:val="center"/>
          </w:tcPr>
          <w:p w14:paraId="618EFE43" w14:textId="77777777" w:rsidR="00B0005F" w:rsidRPr="008A2411" w:rsidRDefault="00000000">
            <w:pPr>
              <w:pStyle w:val="afffffffffffff1"/>
              <w:jc w:val="both"/>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多层含水层开采、回灌地下水应当防止串</w:t>
            </w:r>
            <w:proofErr w:type="gramStart"/>
            <w:r w:rsidRPr="008A2411">
              <w:rPr>
                <w:rFonts w:ascii="Times New Roman" w:hAnsi="Times New Roman" w:cs="Times New Roman"/>
                <w:snapToGrid/>
                <w:color w:val="000000" w:themeColor="text1"/>
                <w:spacing w:val="0"/>
                <w:sz w:val="21"/>
              </w:rPr>
              <w:t>层污染</w:t>
            </w:r>
            <w:proofErr w:type="gramEnd"/>
          </w:p>
        </w:tc>
        <w:tc>
          <w:tcPr>
            <w:tcW w:w="3123" w:type="dxa"/>
            <w:tcMar>
              <w:left w:w="57" w:type="dxa"/>
              <w:right w:w="57" w:type="dxa"/>
            </w:tcMar>
            <w:vAlign w:val="center"/>
          </w:tcPr>
          <w:p w14:paraId="45BD4AD9" w14:textId="77777777" w:rsidR="00B0005F" w:rsidRPr="008A2411" w:rsidRDefault="00000000">
            <w:pPr>
              <w:pStyle w:val="afffffffffffff1"/>
              <w:jc w:val="both"/>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本项目不涉及多层含水层开采和回灌地下水</w:t>
            </w:r>
          </w:p>
        </w:tc>
        <w:tc>
          <w:tcPr>
            <w:tcW w:w="0" w:type="auto"/>
            <w:tcMar>
              <w:left w:w="57" w:type="dxa"/>
              <w:right w:w="57" w:type="dxa"/>
            </w:tcMar>
            <w:vAlign w:val="center"/>
          </w:tcPr>
          <w:p w14:paraId="09ED4000" w14:textId="77777777" w:rsidR="00B0005F" w:rsidRPr="008A2411" w:rsidRDefault="00000000">
            <w:pPr>
              <w:pStyle w:val="afffffffffffff1"/>
              <w:jc w:val="both"/>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符合</w:t>
            </w:r>
          </w:p>
        </w:tc>
      </w:tr>
    </w:tbl>
    <w:p w14:paraId="1FD15B15" w14:textId="36A2DF3B" w:rsidR="00B0005F" w:rsidRPr="008A2411" w:rsidRDefault="00000000">
      <w:pPr>
        <w:pStyle w:val="L-"/>
        <w:rPr>
          <w:rFonts w:ascii="Times New Roman" w:cs="Times New Roman"/>
          <w:color w:val="000000" w:themeColor="text1"/>
        </w:rPr>
      </w:pPr>
      <w:r w:rsidRPr="008A2411">
        <w:rPr>
          <w:rFonts w:ascii="Times New Roman" w:cs="Times New Roman"/>
          <w:color w:val="000000" w:themeColor="text1"/>
        </w:rPr>
        <w:t>综上所述，本项目的建设与《地下水管理条例》相符。</w:t>
      </w:r>
    </w:p>
    <w:p w14:paraId="3132A28D" w14:textId="1CEF2DA1" w:rsidR="007B294C" w:rsidRPr="008A2411" w:rsidRDefault="007B294C" w:rsidP="007B294C">
      <w:pPr>
        <w:pStyle w:val="L-3"/>
        <w:adjustRightInd w:val="0"/>
        <w:snapToGrid w:val="0"/>
        <w:spacing w:before="0" w:after="0" w:line="360" w:lineRule="auto"/>
        <w:rPr>
          <w:rFonts w:ascii="Times New Roman"/>
          <w:color w:val="000000" w:themeColor="text1"/>
          <w:sz w:val="24"/>
          <w:szCs w:val="24"/>
          <w:lang w:bidi="ar-SA"/>
        </w:rPr>
      </w:pPr>
      <w:r w:rsidRPr="008A2411">
        <w:rPr>
          <w:rFonts w:ascii="Times New Roman"/>
          <w:color w:val="000000" w:themeColor="text1"/>
          <w:sz w:val="24"/>
          <w:szCs w:val="24"/>
          <w:lang w:bidi="ar-SA"/>
        </w:rPr>
        <w:t>2.4.</w:t>
      </w:r>
      <w:r w:rsidRPr="008A2411">
        <w:rPr>
          <w:rFonts w:ascii="Times New Roman" w:hint="eastAsia"/>
          <w:color w:val="000000" w:themeColor="text1"/>
          <w:sz w:val="24"/>
          <w:szCs w:val="24"/>
          <w:lang w:bidi="ar-SA"/>
        </w:rPr>
        <w:t>12</w:t>
      </w:r>
      <w:r w:rsidRPr="008A2411">
        <w:rPr>
          <w:rFonts w:ascii="Times New Roman"/>
          <w:color w:val="000000" w:themeColor="text1"/>
          <w:sz w:val="24"/>
          <w:szCs w:val="24"/>
          <w:lang w:bidi="ar-SA"/>
        </w:rPr>
        <w:t xml:space="preserve"> </w:t>
      </w:r>
      <w:r w:rsidRPr="008A2411">
        <w:rPr>
          <w:rFonts w:ascii="Times New Roman"/>
          <w:color w:val="000000" w:themeColor="text1"/>
          <w:sz w:val="24"/>
          <w:szCs w:val="24"/>
          <w:lang w:bidi="ar-SA"/>
        </w:rPr>
        <w:t>建设项目与</w:t>
      </w:r>
      <w:r w:rsidRPr="008A2411">
        <w:rPr>
          <w:rFonts w:ascii="Times New Roman" w:hint="eastAsia"/>
          <w:color w:val="000000" w:themeColor="text1"/>
          <w:sz w:val="24"/>
          <w:szCs w:val="24"/>
          <w:lang w:bidi="ar-SA"/>
        </w:rPr>
        <w:t>《</w:t>
      </w:r>
      <w:r w:rsidRPr="008A2411">
        <w:rPr>
          <w:rFonts w:ascii="Times New Roman"/>
          <w:color w:val="000000" w:themeColor="text1"/>
          <w:sz w:val="24"/>
          <w:szCs w:val="24"/>
          <w:lang w:bidi="ar-SA"/>
        </w:rPr>
        <w:t>中华人民共和国长江保护法</w:t>
      </w:r>
      <w:r w:rsidRPr="008A2411">
        <w:rPr>
          <w:rFonts w:ascii="Times New Roman" w:hint="eastAsia"/>
          <w:color w:val="000000" w:themeColor="text1"/>
          <w:sz w:val="24"/>
          <w:szCs w:val="24"/>
          <w:lang w:bidi="ar-SA"/>
        </w:rPr>
        <w:t>》</w:t>
      </w:r>
      <w:r w:rsidRPr="008A2411">
        <w:rPr>
          <w:rFonts w:ascii="Times New Roman"/>
          <w:color w:val="000000" w:themeColor="text1"/>
          <w:sz w:val="24"/>
          <w:szCs w:val="24"/>
          <w:lang w:bidi="ar-SA"/>
        </w:rPr>
        <w:t>符合性分析</w:t>
      </w:r>
    </w:p>
    <w:p w14:paraId="21871B3B" w14:textId="2C652B8F" w:rsidR="007B294C" w:rsidRPr="008A2411" w:rsidRDefault="007B294C" w:rsidP="007B294C">
      <w:pPr>
        <w:adjustRightInd w:val="0"/>
        <w:spacing w:line="360" w:lineRule="auto"/>
        <w:ind w:firstLineChars="200" w:firstLine="480"/>
        <w:rPr>
          <w:rFonts w:ascii="Times New Roman"/>
          <w:color w:val="000000" w:themeColor="text1"/>
          <w:szCs w:val="27"/>
          <w:shd w:val="clear" w:color="auto" w:fill="FFFFFF"/>
        </w:rPr>
      </w:pPr>
      <w:r w:rsidRPr="008A2411">
        <w:rPr>
          <w:rFonts w:ascii="Times New Roman"/>
          <w:color w:val="000000" w:themeColor="text1"/>
          <w:szCs w:val="27"/>
          <w:shd w:val="clear" w:color="auto" w:fill="FFFFFF"/>
        </w:rPr>
        <w:t>《中华人民共和国长江保护法》已由中华人民共和国第十三届全国人</w:t>
      </w:r>
      <w:r w:rsidRPr="008A2411">
        <w:rPr>
          <w:rFonts w:ascii="Times New Roman"/>
          <w:color w:val="000000" w:themeColor="text1"/>
          <w:szCs w:val="27"/>
          <w:shd w:val="clear" w:color="auto" w:fill="FFFFFF"/>
        </w:rPr>
        <w:t xml:space="preserve"> </w:t>
      </w:r>
      <w:r w:rsidRPr="008A2411">
        <w:rPr>
          <w:rFonts w:ascii="Times New Roman"/>
          <w:color w:val="000000" w:themeColor="text1"/>
          <w:szCs w:val="27"/>
          <w:shd w:val="clear" w:color="auto" w:fill="FFFFFF"/>
        </w:rPr>
        <w:t>民代表大会常务委员会第二十四次会议于</w:t>
      </w:r>
      <w:r w:rsidRPr="008A2411">
        <w:rPr>
          <w:rFonts w:ascii="Times New Roman"/>
          <w:color w:val="000000" w:themeColor="text1"/>
          <w:szCs w:val="27"/>
          <w:shd w:val="clear" w:color="auto" w:fill="FFFFFF"/>
        </w:rPr>
        <w:t>2020</w:t>
      </w:r>
      <w:r w:rsidRPr="008A2411">
        <w:rPr>
          <w:rFonts w:ascii="Times New Roman"/>
          <w:color w:val="000000" w:themeColor="text1"/>
          <w:szCs w:val="27"/>
          <w:shd w:val="clear" w:color="auto" w:fill="FFFFFF"/>
        </w:rPr>
        <w:t>年</w:t>
      </w:r>
      <w:r w:rsidRPr="008A2411">
        <w:rPr>
          <w:rFonts w:ascii="Times New Roman"/>
          <w:color w:val="000000" w:themeColor="text1"/>
          <w:szCs w:val="27"/>
          <w:shd w:val="clear" w:color="auto" w:fill="FFFFFF"/>
        </w:rPr>
        <w:t>12</w:t>
      </w:r>
      <w:r w:rsidRPr="008A2411">
        <w:rPr>
          <w:rFonts w:ascii="Times New Roman"/>
          <w:color w:val="000000" w:themeColor="text1"/>
          <w:szCs w:val="27"/>
          <w:shd w:val="clear" w:color="auto" w:fill="FFFFFF"/>
        </w:rPr>
        <w:t>月</w:t>
      </w:r>
      <w:r w:rsidRPr="008A2411">
        <w:rPr>
          <w:rFonts w:ascii="Times New Roman"/>
          <w:color w:val="000000" w:themeColor="text1"/>
          <w:szCs w:val="27"/>
          <w:shd w:val="clear" w:color="auto" w:fill="FFFFFF"/>
        </w:rPr>
        <w:t>26</w:t>
      </w:r>
      <w:r w:rsidRPr="008A2411">
        <w:rPr>
          <w:rFonts w:ascii="Times New Roman"/>
          <w:color w:val="000000" w:themeColor="text1"/>
          <w:szCs w:val="27"/>
          <w:shd w:val="clear" w:color="auto" w:fill="FFFFFF"/>
        </w:rPr>
        <w:t>日通过，现予公布，自</w:t>
      </w:r>
      <w:r w:rsidRPr="008A2411">
        <w:rPr>
          <w:rFonts w:ascii="Times New Roman"/>
          <w:color w:val="000000" w:themeColor="text1"/>
          <w:szCs w:val="27"/>
          <w:shd w:val="clear" w:color="auto" w:fill="FFFFFF"/>
        </w:rPr>
        <w:t xml:space="preserve">2021 </w:t>
      </w:r>
      <w:r w:rsidRPr="008A2411">
        <w:rPr>
          <w:rFonts w:ascii="Times New Roman"/>
          <w:color w:val="000000" w:themeColor="text1"/>
          <w:szCs w:val="27"/>
          <w:shd w:val="clear" w:color="auto" w:fill="FFFFFF"/>
        </w:rPr>
        <w:t>年</w:t>
      </w:r>
      <w:r w:rsidRPr="008A2411">
        <w:rPr>
          <w:rFonts w:ascii="Times New Roman"/>
          <w:color w:val="000000" w:themeColor="text1"/>
          <w:szCs w:val="27"/>
          <w:shd w:val="clear" w:color="auto" w:fill="FFFFFF"/>
        </w:rPr>
        <w:t>3</w:t>
      </w:r>
      <w:r w:rsidRPr="008A2411">
        <w:rPr>
          <w:rFonts w:ascii="Times New Roman"/>
          <w:color w:val="000000" w:themeColor="text1"/>
          <w:szCs w:val="27"/>
          <w:shd w:val="clear" w:color="auto" w:fill="FFFFFF"/>
        </w:rPr>
        <w:t>月</w:t>
      </w:r>
      <w:r w:rsidRPr="008A2411">
        <w:rPr>
          <w:rFonts w:ascii="Times New Roman"/>
          <w:color w:val="000000" w:themeColor="text1"/>
          <w:szCs w:val="27"/>
          <w:shd w:val="clear" w:color="auto" w:fill="FFFFFF"/>
        </w:rPr>
        <w:t>1</w:t>
      </w:r>
      <w:r w:rsidRPr="008A2411">
        <w:rPr>
          <w:rFonts w:ascii="Times New Roman"/>
          <w:color w:val="000000" w:themeColor="text1"/>
          <w:szCs w:val="27"/>
          <w:shd w:val="clear" w:color="auto" w:fill="FFFFFF"/>
        </w:rPr>
        <w:t>日起施行，本项目与其符合性分析见表</w:t>
      </w:r>
      <w:r w:rsidRPr="008A2411">
        <w:rPr>
          <w:rFonts w:ascii="Times New Roman"/>
          <w:color w:val="000000" w:themeColor="text1"/>
          <w:szCs w:val="27"/>
          <w:shd w:val="clear" w:color="auto" w:fill="FFFFFF"/>
        </w:rPr>
        <w:t>2.4-</w:t>
      </w:r>
      <w:r w:rsidRPr="008A2411">
        <w:rPr>
          <w:rFonts w:ascii="Times New Roman" w:hint="eastAsia"/>
          <w:color w:val="000000" w:themeColor="text1"/>
          <w:szCs w:val="27"/>
          <w:shd w:val="clear" w:color="auto" w:fill="FFFFFF"/>
        </w:rPr>
        <w:t>7</w:t>
      </w:r>
      <w:r w:rsidRPr="008A2411">
        <w:rPr>
          <w:rFonts w:ascii="Times New Roman"/>
          <w:color w:val="000000" w:themeColor="text1"/>
          <w:szCs w:val="27"/>
          <w:shd w:val="clear" w:color="auto" w:fill="FFFFFF"/>
        </w:rPr>
        <w:t>。通过对比分析，本项目符合该</w:t>
      </w:r>
      <w:r w:rsidRPr="008A2411">
        <w:rPr>
          <w:rFonts w:ascii="Times New Roman" w:hint="eastAsia"/>
          <w:color w:val="000000" w:themeColor="text1"/>
          <w:szCs w:val="27"/>
          <w:shd w:val="clear" w:color="auto" w:fill="FFFFFF"/>
        </w:rPr>
        <w:t>保护法</w:t>
      </w:r>
      <w:r w:rsidRPr="008A2411">
        <w:rPr>
          <w:rFonts w:ascii="Times New Roman"/>
          <w:color w:val="000000" w:themeColor="text1"/>
          <w:szCs w:val="27"/>
          <w:shd w:val="clear" w:color="auto" w:fill="FFFFFF"/>
        </w:rPr>
        <w:t>的相关要求。</w:t>
      </w:r>
    </w:p>
    <w:p w14:paraId="572C69DE" w14:textId="6ED0AACB" w:rsidR="007B294C" w:rsidRPr="008A2411" w:rsidRDefault="007B294C" w:rsidP="007B294C">
      <w:pPr>
        <w:tabs>
          <w:tab w:val="left" w:pos="4320"/>
        </w:tabs>
        <w:autoSpaceDE w:val="0"/>
        <w:autoSpaceDN w:val="0"/>
        <w:adjustRightInd w:val="0"/>
        <w:snapToGrid w:val="0"/>
        <w:spacing w:beforeLines="25" w:before="60" w:afterLines="25" w:after="60"/>
        <w:jc w:val="center"/>
        <w:textAlignment w:val="bottom"/>
        <w:rPr>
          <w:rFonts w:ascii="Times New Roman" w:eastAsia="黑体"/>
          <w:bCs/>
          <w:color w:val="000000" w:themeColor="text1"/>
          <w:kern w:val="2"/>
          <w:szCs w:val="21"/>
        </w:rPr>
      </w:pPr>
      <w:r w:rsidRPr="008A2411">
        <w:rPr>
          <w:rFonts w:ascii="Times New Roman" w:eastAsia="黑体"/>
          <w:bCs/>
          <w:color w:val="000000" w:themeColor="text1"/>
          <w:kern w:val="2"/>
          <w:szCs w:val="21"/>
        </w:rPr>
        <w:t>表</w:t>
      </w:r>
      <w:r w:rsidRPr="008A2411">
        <w:rPr>
          <w:rFonts w:ascii="Times New Roman" w:eastAsia="黑体"/>
          <w:bCs/>
          <w:color w:val="000000" w:themeColor="text1"/>
          <w:kern w:val="2"/>
          <w:szCs w:val="21"/>
        </w:rPr>
        <w:t>2.4-</w:t>
      </w:r>
      <w:r w:rsidRPr="008A2411">
        <w:rPr>
          <w:rFonts w:ascii="Times New Roman" w:eastAsia="黑体" w:hint="eastAsia"/>
          <w:bCs/>
          <w:color w:val="000000" w:themeColor="text1"/>
          <w:kern w:val="2"/>
          <w:szCs w:val="21"/>
        </w:rPr>
        <w:t>7</w:t>
      </w:r>
      <w:r w:rsidRPr="008A2411">
        <w:rPr>
          <w:rFonts w:ascii="Times New Roman" w:eastAsia="黑体"/>
          <w:bCs/>
          <w:color w:val="000000" w:themeColor="text1"/>
          <w:kern w:val="2"/>
          <w:szCs w:val="21"/>
        </w:rPr>
        <w:t xml:space="preserve">  </w:t>
      </w:r>
      <w:r w:rsidRPr="008A2411">
        <w:rPr>
          <w:rFonts w:ascii="Times New Roman" w:eastAsia="黑体"/>
          <w:bCs/>
          <w:color w:val="000000" w:themeColor="text1"/>
          <w:kern w:val="2"/>
          <w:szCs w:val="21"/>
        </w:rPr>
        <w:t>与</w:t>
      </w:r>
      <w:r w:rsidRPr="008A2411">
        <w:rPr>
          <w:rFonts w:ascii="Times New Roman" w:eastAsia="黑体" w:hint="eastAsia"/>
          <w:bCs/>
          <w:color w:val="000000" w:themeColor="text1"/>
          <w:kern w:val="2"/>
          <w:szCs w:val="21"/>
        </w:rPr>
        <w:t>《</w:t>
      </w:r>
      <w:r w:rsidRPr="008A2411">
        <w:rPr>
          <w:rFonts w:ascii="Times New Roman" w:eastAsia="黑体"/>
          <w:bCs/>
          <w:color w:val="000000" w:themeColor="text1"/>
          <w:kern w:val="2"/>
          <w:szCs w:val="21"/>
        </w:rPr>
        <w:t>中华人民共和国长江保护法</w:t>
      </w:r>
      <w:r w:rsidRPr="008A2411">
        <w:rPr>
          <w:rFonts w:ascii="Times New Roman" w:eastAsia="黑体" w:hint="eastAsia"/>
          <w:bCs/>
          <w:color w:val="000000" w:themeColor="text1"/>
          <w:kern w:val="2"/>
          <w:szCs w:val="21"/>
        </w:rPr>
        <w:t>》</w:t>
      </w:r>
      <w:r w:rsidRPr="008A2411">
        <w:rPr>
          <w:rFonts w:ascii="Times New Roman" w:eastAsia="黑体"/>
          <w:bCs/>
          <w:color w:val="000000" w:themeColor="text1"/>
          <w:kern w:val="2"/>
          <w:szCs w:val="21"/>
        </w:rPr>
        <w:t>符合性分析</w:t>
      </w:r>
    </w:p>
    <w:tbl>
      <w:tblPr>
        <w:tblW w:w="878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563"/>
        <w:gridCol w:w="3543"/>
        <w:gridCol w:w="3828"/>
        <w:gridCol w:w="850"/>
      </w:tblGrid>
      <w:tr w:rsidR="008A2411" w:rsidRPr="008A2411" w14:paraId="2C56B62C" w14:textId="77777777" w:rsidTr="00DD53AE">
        <w:trPr>
          <w:trHeight w:val="95"/>
          <w:tblHeader/>
          <w:jc w:val="center"/>
        </w:trPr>
        <w:tc>
          <w:tcPr>
            <w:tcW w:w="320" w:type="pct"/>
            <w:vAlign w:val="center"/>
          </w:tcPr>
          <w:p w14:paraId="59091A2F" w14:textId="77777777" w:rsidR="007B294C" w:rsidRPr="008A2411" w:rsidRDefault="007B294C" w:rsidP="00DD53AE">
            <w:pPr>
              <w:jc w:val="center"/>
              <w:rPr>
                <w:rFonts w:ascii="Times New Roman"/>
                <w:b/>
                <w:bCs/>
                <w:color w:val="000000" w:themeColor="text1"/>
                <w:sz w:val="21"/>
                <w:szCs w:val="21"/>
              </w:rPr>
            </w:pPr>
            <w:r w:rsidRPr="008A2411">
              <w:rPr>
                <w:rFonts w:ascii="Times New Roman"/>
                <w:b/>
                <w:bCs/>
                <w:color w:val="000000" w:themeColor="text1"/>
                <w:sz w:val="21"/>
                <w:szCs w:val="21"/>
              </w:rPr>
              <w:t>序号</w:t>
            </w:r>
          </w:p>
        </w:tc>
        <w:tc>
          <w:tcPr>
            <w:tcW w:w="2017" w:type="pct"/>
            <w:vAlign w:val="center"/>
          </w:tcPr>
          <w:p w14:paraId="4D3E5FC1" w14:textId="77777777" w:rsidR="007B294C" w:rsidRPr="008A2411" w:rsidRDefault="007B294C" w:rsidP="00DD53AE">
            <w:pPr>
              <w:jc w:val="center"/>
              <w:rPr>
                <w:rFonts w:ascii="Times New Roman"/>
                <w:b/>
                <w:bCs/>
                <w:color w:val="000000" w:themeColor="text1"/>
                <w:sz w:val="21"/>
                <w:szCs w:val="21"/>
              </w:rPr>
            </w:pPr>
            <w:r w:rsidRPr="008A2411">
              <w:rPr>
                <w:rFonts w:ascii="Times New Roman"/>
                <w:b/>
                <w:bCs/>
                <w:color w:val="000000" w:themeColor="text1"/>
                <w:sz w:val="21"/>
                <w:szCs w:val="21"/>
              </w:rPr>
              <w:t>条例管理要求</w:t>
            </w:r>
          </w:p>
        </w:tc>
        <w:tc>
          <w:tcPr>
            <w:tcW w:w="2179" w:type="pct"/>
            <w:vAlign w:val="center"/>
          </w:tcPr>
          <w:p w14:paraId="6CEC516B" w14:textId="77777777" w:rsidR="007B294C" w:rsidRPr="008A2411" w:rsidRDefault="007B294C" w:rsidP="00DD53AE">
            <w:pPr>
              <w:jc w:val="center"/>
              <w:rPr>
                <w:rFonts w:ascii="Times New Roman"/>
                <w:b/>
                <w:bCs/>
                <w:color w:val="000000" w:themeColor="text1"/>
                <w:sz w:val="21"/>
                <w:szCs w:val="21"/>
              </w:rPr>
            </w:pPr>
            <w:r w:rsidRPr="008A2411">
              <w:rPr>
                <w:rFonts w:ascii="Times New Roman"/>
                <w:b/>
                <w:bCs/>
                <w:color w:val="000000" w:themeColor="text1"/>
                <w:sz w:val="21"/>
                <w:szCs w:val="21"/>
              </w:rPr>
              <w:t>项目内容</w:t>
            </w:r>
          </w:p>
        </w:tc>
        <w:tc>
          <w:tcPr>
            <w:tcW w:w="484" w:type="pct"/>
            <w:vAlign w:val="center"/>
          </w:tcPr>
          <w:p w14:paraId="40FC5BB3" w14:textId="77777777" w:rsidR="007B294C" w:rsidRPr="008A2411" w:rsidRDefault="007B294C" w:rsidP="00DD53AE">
            <w:pPr>
              <w:jc w:val="center"/>
              <w:rPr>
                <w:rFonts w:ascii="Times New Roman"/>
                <w:b/>
                <w:bCs/>
                <w:color w:val="000000" w:themeColor="text1"/>
                <w:sz w:val="21"/>
                <w:szCs w:val="21"/>
              </w:rPr>
            </w:pPr>
            <w:r w:rsidRPr="008A2411">
              <w:rPr>
                <w:rFonts w:ascii="Times New Roman"/>
                <w:b/>
                <w:bCs/>
                <w:color w:val="000000" w:themeColor="text1"/>
                <w:sz w:val="21"/>
                <w:szCs w:val="21"/>
              </w:rPr>
              <w:t>符合性</w:t>
            </w:r>
          </w:p>
        </w:tc>
      </w:tr>
      <w:tr w:rsidR="008A2411" w:rsidRPr="008A2411" w14:paraId="711CB555" w14:textId="77777777" w:rsidTr="00DD53AE">
        <w:trPr>
          <w:trHeight w:val="238"/>
          <w:jc w:val="center"/>
        </w:trPr>
        <w:tc>
          <w:tcPr>
            <w:tcW w:w="320" w:type="pct"/>
            <w:vAlign w:val="center"/>
          </w:tcPr>
          <w:p w14:paraId="15978F27" w14:textId="5D618BC3" w:rsidR="007B294C" w:rsidRPr="008A2411" w:rsidRDefault="007B294C" w:rsidP="00DD53AE">
            <w:pPr>
              <w:jc w:val="center"/>
              <w:rPr>
                <w:rFonts w:ascii="Times New Roman"/>
                <w:color w:val="000000" w:themeColor="text1"/>
                <w:sz w:val="21"/>
                <w:szCs w:val="21"/>
              </w:rPr>
            </w:pPr>
            <w:r w:rsidRPr="008A2411">
              <w:rPr>
                <w:color w:val="000000" w:themeColor="text1"/>
              </w:rPr>
              <w:t>第二十二条</w:t>
            </w:r>
          </w:p>
        </w:tc>
        <w:tc>
          <w:tcPr>
            <w:tcW w:w="2017" w:type="pct"/>
            <w:vAlign w:val="center"/>
          </w:tcPr>
          <w:p w14:paraId="3BF68787" w14:textId="10544937" w:rsidR="007B294C" w:rsidRPr="008A2411" w:rsidRDefault="007B294C" w:rsidP="00DD53AE">
            <w:pPr>
              <w:autoSpaceDE w:val="0"/>
              <w:autoSpaceDN w:val="0"/>
              <w:jc w:val="center"/>
              <w:rPr>
                <w:rFonts w:ascii="Times New Roman"/>
                <w:color w:val="000000" w:themeColor="text1"/>
                <w:sz w:val="21"/>
                <w:szCs w:val="21"/>
              </w:rPr>
            </w:pPr>
            <w:r w:rsidRPr="008A2411">
              <w:rPr>
                <w:color w:val="000000" w:themeColor="text1"/>
              </w:rPr>
              <w:t>长江流域产业结构和布局应当与长江流域生态系统和资源环境承 载能力相适应。禁止在长江流域重点生态功能区布局对生态系统有严重影响的产业。禁止重污染企业和项目向长江中上游转移。</w:t>
            </w:r>
          </w:p>
        </w:tc>
        <w:tc>
          <w:tcPr>
            <w:tcW w:w="2179" w:type="pct"/>
            <w:vAlign w:val="center"/>
          </w:tcPr>
          <w:p w14:paraId="7BBA10E5" w14:textId="409AA470" w:rsidR="007B294C" w:rsidRPr="008A2411" w:rsidRDefault="007B294C" w:rsidP="00DD53AE">
            <w:pPr>
              <w:autoSpaceDE w:val="0"/>
              <w:autoSpaceDN w:val="0"/>
              <w:jc w:val="center"/>
              <w:rPr>
                <w:color w:val="000000" w:themeColor="text1"/>
              </w:rPr>
            </w:pPr>
            <w:r w:rsidRPr="008A2411">
              <w:rPr>
                <w:color w:val="000000" w:themeColor="text1"/>
              </w:rPr>
              <w:t>本项目</w:t>
            </w:r>
            <w:proofErr w:type="gramStart"/>
            <w:r w:rsidR="00EE701A" w:rsidRPr="008A2411">
              <w:rPr>
                <w:rFonts w:hint="eastAsia"/>
                <w:color w:val="000000" w:themeColor="text1"/>
              </w:rPr>
              <w:t>未位于</w:t>
            </w:r>
            <w:proofErr w:type="gramEnd"/>
            <w:r w:rsidR="00EE701A" w:rsidRPr="008A2411">
              <w:rPr>
                <w:color w:val="000000" w:themeColor="text1"/>
              </w:rPr>
              <w:t>长江流域重点生态功能区布局</w:t>
            </w:r>
            <w:r w:rsidR="00EE701A" w:rsidRPr="008A2411">
              <w:rPr>
                <w:rFonts w:hint="eastAsia"/>
                <w:color w:val="000000" w:themeColor="text1"/>
              </w:rPr>
              <w:t>区，且本项目</w:t>
            </w:r>
            <w:r w:rsidR="00EE701A" w:rsidRPr="008A2411">
              <w:rPr>
                <w:color w:val="000000" w:themeColor="text1"/>
              </w:rPr>
              <w:t>为</w:t>
            </w:r>
            <w:r w:rsidR="00EE701A" w:rsidRPr="008A2411">
              <w:rPr>
                <w:rFonts w:hint="eastAsia"/>
                <w:color w:val="000000" w:themeColor="text1"/>
              </w:rPr>
              <w:t>液化</w:t>
            </w:r>
            <w:r w:rsidR="00EE701A" w:rsidRPr="008A2411">
              <w:rPr>
                <w:color w:val="000000" w:themeColor="text1"/>
              </w:rPr>
              <w:t>天然气</w:t>
            </w:r>
            <w:r w:rsidR="00EE701A" w:rsidRPr="008A2411">
              <w:rPr>
                <w:rFonts w:hint="eastAsia"/>
                <w:color w:val="000000" w:themeColor="text1"/>
              </w:rPr>
              <w:t>生产项目，不属于</w:t>
            </w:r>
            <w:r w:rsidR="00EE701A" w:rsidRPr="008A2411">
              <w:rPr>
                <w:color w:val="000000" w:themeColor="text1"/>
              </w:rPr>
              <w:t>重污染企业</w:t>
            </w:r>
            <w:r w:rsidRPr="008A2411">
              <w:rPr>
                <w:color w:val="000000" w:themeColor="text1"/>
              </w:rPr>
              <w:t>。</w:t>
            </w:r>
          </w:p>
        </w:tc>
        <w:tc>
          <w:tcPr>
            <w:tcW w:w="484" w:type="pct"/>
            <w:vAlign w:val="center"/>
          </w:tcPr>
          <w:p w14:paraId="2C270CA4" w14:textId="77777777" w:rsidR="007B294C" w:rsidRPr="008A2411" w:rsidRDefault="007B294C" w:rsidP="00DD53AE">
            <w:pPr>
              <w:autoSpaceDE w:val="0"/>
              <w:autoSpaceDN w:val="0"/>
              <w:jc w:val="center"/>
              <w:rPr>
                <w:color w:val="000000" w:themeColor="text1"/>
              </w:rPr>
            </w:pPr>
            <w:r w:rsidRPr="008A2411">
              <w:rPr>
                <w:color w:val="000000" w:themeColor="text1"/>
              </w:rPr>
              <w:t>符合</w:t>
            </w:r>
          </w:p>
        </w:tc>
      </w:tr>
      <w:tr w:rsidR="008A2411" w:rsidRPr="008A2411" w14:paraId="7478006E" w14:textId="77777777" w:rsidTr="00DD53AE">
        <w:trPr>
          <w:trHeight w:val="238"/>
          <w:jc w:val="center"/>
        </w:trPr>
        <w:tc>
          <w:tcPr>
            <w:tcW w:w="320" w:type="pct"/>
            <w:vAlign w:val="center"/>
          </w:tcPr>
          <w:p w14:paraId="75658233" w14:textId="26912A65" w:rsidR="007B294C" w:rsidRPr="008A2411" w:rsidRDefault="00EE701A" w:rsidP="00DD53AE">
            <w:pPr>
              <w:jc w:val="center"/>
              <w:rPr>
                <w:rFonts w:ascii="Times New Roman"/>
                <w:color w:val="000000" w:themeColor="text1"/>
                <w:sz w:val="21"/>
                <w:szCs w:val="21"/>
              </w:rPr>
            </w:pPr>
            <w:r w:rsidRPr="008A2411">
              <w:rPr>
                <w:color w:val="000000" w:themeColor="text1"/>
              </w:rPr>
              <w:t>第二十六条</w:t>
            </w:r>
          </w:p>
        </w:tc>
        <w:tc>
          <w:tcPr>
            <w:tcW w:w="2017" w:type="pct"/>
            <w:vAlign w:val="center"/>
          </w:tcPr>
          <w:p w14:paraId="5240D656" w14:textId="0CB8455A" w:rsidR="007B294C" w:rsidRPr="008A2411" w:rsidRDefault="00EE701A" w:rsidP="00DD53AE">
            <w:pPr>
              <w:autoSpaceDE w:val="0"/>
              <w:autoSpaceDN w:val="0"/>
              <w:jc w:val="center"/>
              <w:rPr>
                <w:color w:val="000000" w:themeColor="text1"/>
              </w:rPr>
            </w:pPr>
            <w:r w:rsidRPr="008A2411">
              <w:rPr>
                <w:color w:val="000000" w:themeColor="text1"/>
              </w:rPr>
              <w:t>禁止在长江干支流岸线一公里范围内新建、扩建化工园区和化工项 目</w:t>
            </w:r>
            <w:r w:rsidRPr="008A2411">
              <w:rPr>
                <w:rFonts w:hint="eastAsia"/>
                <w:color w:val="000000" w:themeColor="text1"/>
              </w:rPr>
              <w:t>；</w:t>
            </w:r>
            <w:r w:rsidRPr="008A2411">
              <w:rPr>
                <w:color w:val="000000" w:themeColor="text1"/>
              </w:rPr>
              <w:t>禁止在长江干流岸线三公里范围内和重要支流岸线一公里范围内新建、改建、扩建尾矿库；但是以提升安全、生态环境保护水平为目的 的改建除外</w:t>
            </w:r>
          </w:p>
        </w:tc>
        <w:tc>
          <w:tcPr>
            <w:tcW w:w="2179" w:type="pct"/>
            <w:vAlign w:val="center"/>
          </w:tcPr>
          <w:p w14:paraId="1C6B8C2B" w14:textId="11F8B158" w:rsidR="007B294C" w:rsidRPr="008A2411" w:rsidRDefault="007B294C" w:rsidP="00DD53AE">
            <w:pPr>
              <w:autoSpaceDE w:val="0"/>
              <w:autoSpaceDN w:val="0"/>
              <w:jc w:val="center"/>
              <w:rPr>
                <w:color w:val="000000" w:themeColor="text1"/>
              </w:rPr>
            </w:pPr>
            <w:r w:rsidRPr="008A2411">
              <w:rPr>
                <w:color w:val="000000" w:themeColor="text1"/>
              </w:rPr>
              <w:t>本项目</w:t>
            </w:r>
            <w:r w:rsidR="00EE701A" w:rsidRPr="008A2411">
              <w:rPr>
                <w:rFonts w:hint="eastAsia"/>
                <w:color w:val="000000" w:themeColor="text1"/>
              </w:rPr>
              <w:t>选址位于宣汉县普光化工园区内，选址未处于</w:t>
            </w:r>
            <w:r w:rsidR="00EE701A" w:rsidRPr="008A2411">
              <w:rPr>
                <w:color w:val="000000" w:themeColor="text1"/>
              </w:rPr>
              <w:t>长江干支流岸线一公里范围内</w:t>
            </w:r>
            <w:r w:rsidRPr="008A2411">
              <w:rPr>
                <w:color w:val="000000" w:themeColor="text1"/>
              </w:rPr>
              <w:t>。</w:t>
            </w:r>
            <w:r w:rsidR="00EE701A" w:rsidRPr="008A2411">
              <w:rPr>
                <w:rFonts w:hint="eastAsia"/>
                <w:color w:val="000000" w:themeColor="text1"/>
              </w:rPr>
              <w:t>本项目</w:t>
            </w:r>
            <w:r w:rsidR="00EE701A" w:rsidRPr="008A2411">
              <w:rPr>
                <w:color w:val="000000" w:themeColor="text1"/>
              </w:rPr>
              <w:t>为</w:t>
            </w:r>
            <w:r w:rsidR="00EE701A" w:rsidRPr="008A2411">
              <w:rPr>
                <w:rFonts w:hint="eastAsia"/>
                <w:color w:val="000000" w:themeColor="text1"/>
              </w:rPr>
              <w:t>液化</w:t>
            </w:r>
            <w:r w:rsidR="00EE701A" w:rsidRPr="008A2411">
              <w:rPr>
                <w:color w:val="000000" w:themeColor="text1"/>
              </w:rPr>
              <w:t>天然气</w:t>
            </w:r>
            <w:r w:rsidR="00EE701A" w:rsidRPr="008A2411">
              <w:rPr>
                <w:rFonts w:hint="eastAsia"/>
                <w:color w:val="000000" w:themeColor="text1"/>
              </w:rPr>
              <w:t>生产项目，不属于尾矿库项目</w:t>
            </w:r>
            <w:r w:rsidR="00EE701A" w:rsidRPr="008A2411">
              <w:rPr>
                <w:color w:val="000000" w:themeColor="text1"/>
              </w:rPr>
              <w:t>。</w:t>
            </w:r>
          </w:p>
        </w:tc>
        <w:tc>
          <w:tcPr>
            <w:tcW w:w="484" w:type="pct"/>
            <w:vAlign w:val="center"/>
          </w:tcPr>
          <w:p w14:paraId="64ED08D0" w14:textId="77777777" w:rsidR="007B294C" w:rsidRPr="008A2411" w:rsidRDefault="007B294C" w:rsidP="00DD53AE">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符合</w:t>
            </w:r>
          </w:p>
        </w:tc>
      </w:tr>
      <w:tr w:rsidR="008A2411" w:rsidRPr="008A2411" w14:paraId="21C384FB" w14:textId="77777777" w:rsidTr="00DD53AE">
        <w:trPr>
          <w:trHeight w:val="238"/>
          <w:jc w:val="center"/>
        </w:trPr>
        <w:tc>
          <w:tcPr>
            <w:tcW w:w="320" w:type="pct"/>
            <w:vAlign w:val="center"/>
          </w:tcPr>
          <w:p w14:paraId="2E637171" w14:textId="3B086FA3" w:rsidR="00EE701A" w:rsidRPr="008A2411" w:rsidRDefault="00EE701A" w:rsidP="00DD53AE">
            <w:pPr>
              <w:jc w:val="center"/>
              <w:rPr>
                <w:color w:val="000000" w:themeColor="text1"/>
              </w:rPr>
            </w:pPr>
            <w:r w:rsidRPr="008A2411">
              <w:rPr>
                <w:color w:val="000000" w:themeColor="text1"/>
              </w:rPr>
              <w:t>第四十六条</w:t>
            </w:r>
          </w:p>
        </w:tc>
        <w:tc>
          <w:tcPr>
            <w:tcW w:w="2017" w:type="pct"/>
            <w:vAlign w:val="center"/>
          </w:tcPr>
          <w:p w14:paraId="3803CE79" w14:textId="6984A79B" w:rsidR="00EE701A" w:rsidRPr="008A2411" w:rsidRDefault="00EE701A" w:rsidP="00DD53AE">
            <w:pPr>
              <w:autoSpaceDE w:val="0"/>
              <w:autoSpaceDN w:val="0"/>
              <w:jc w:val="center"/>
              <w:rPr>
                <w:color w:val="000000" w:themeColor="text1"/>
              </w:rPr>
            </w:pPr>
            <w:r w:rsidRPr="008A2411">
              <w:rPr>
                <w:color w:val="000000" w:themeColor="text1"/>
              </w:rPr>
              <w:t>长江流域省级人民政府制定本行政区域的总磷污染控制方案，并组织实施。对磷矿、磷肥生产集中的长江干支流，有关省级人民政府应当制定更加严格的总磷排放管控要求，有效控制总磷排放总量</w:t>
            </w:r>
            <w:r w:rsidRPr="008A2411">
              <w:rPr>
                <w:rFonts w:hint="eastAsia"/>
                <w:color w:val="000000" w:themeColor="text1"/>
              </w:rPr>
              <w:t>。</w:t>
            </w:r>
            <w:r w:rsidRPr="008A2411">
              <w:rPr>
                <w:color w:val="000000" w:themeColor="text1"/>
              </w:rPr>
              <w:t xml:space="preserve">磷矿开采加工、磷肥和含磷农药制造等企业，应当按照排污许可要求，采取有效措施控制总磷排放浓度和排放总量；对排污口和周边环境 </w:t>
            </w:r>
            <w:r w:rsidRPr="008A2411">
              <w:rPr>
                <w:color w:val="000000" w:themeColor="text1"/>
              </w:rPr>
              <w:lastRenderedPageBreak/>
              <w:t>进行总磷监测，依法公开监测信息。</w:t>
            </w:r>
          </w:p>
        </w:tc>
        <w:tc>
          <w:tcPr>
            <w:tcW w:w="2179" w:type="pct"/>
            <w:vAlign w:val="center"/>
          </w:tcPr>
          <w:p w14:paraId="0514CA4F" w14:textId="1FD3D075" w:rsidR="00EE701A" w:rsidRPr="008A2411" w:rsidRDefault="00EE701A" w:rsidP="00DD53AE">
            <w:pPr>
              <w:autoSpaceDE w:val="0"/>
              <w:autoSpaceDN w:val="0"/>
              <w:jc w:val="center"/>
              <w:rPr>
                <w:color w:val="000000" w:themeColor="text1"/>
              </w:rPr>
            </w:pPr>
            <w:r w:rsidRPr="008A2411">
              <w:rPr>
                <w:rFonts w:hint="eastAsia"/>
                <w:color w:val="000000" w:themeColor="text1"/>
              </w:rPr>
              <w:lastRenderedPageBreak/>
              <w:t>本项目</w:t>
            </w:r>
            <w:r w:rsidRPr="008A2411">
              <w:rPr>
                <w:color w:val="000000" w:themeColor="text1"/>
              </w:rPr>
              <w:t>为</w:t>
            </w:r>
            <w:r w:rsidRPr="008A2411">
              <w:rPr>
                <w:rFonts w:hint="eastAsia"/>
                <w:color w:val="000000" w:themeColor="text1"/>
              </w:rPr>
              <w:t>液化</w:t>
            </w:r>
            <w:r w:rsidRPr="008A2411">
              <w:rPr>
                <w:color w:val="000000" w:themeColor="text1"/>
              </w:rPr>
              <w:t>天然气</w:t>
            </w:r>
            <w:r w:rsidRPr="008A2411">
              <w:rPr>
                <w:rFonts w:hint="eastAsia"/>
                <w:color w:val="000000" w:themeColor="text1"/>
              </w:rPr>
              <w:t>生产项目，不设计磷排放</w:t>
            </w:r>
            <w:r w:rsidRPr="008A2411">
              <w:rPr>
                <w:color w:val="000000" w:themeColor="text1"/>
              </w:rPr>
              <w:t>。</w:t>
            </w:r>
          </w:p>
        </w:tc>
        <w:tc>
          <w:tcPr>
            <w:tcW w:w="484" w:type="pct"/>
            <w:vAlign w:val="center"/>
          </w:tcPr>
          <w:p w14:paraId="09A1DDB8" w14:textId="316F97B8" w:rsidR="00EE701A" w:rsidRPr="008A2411" w:rsidRDefault="00EE701A" w:rsidP="00DD53AE">
            <w:pPr>
              <w:autoSpaceDE w:val="0"/>
              <w:autoSpaceDN w:val="0"/>
              <w:jc w:val="center"/>
              <w:rPr>
                <w:rFonts w:ascii="Times New Roman"/>
                <w:color w:val="000000" w:themeColor="text1"/>
                <w:sz w:val="21"/>
                <w:szCs w:val="21"/>
              </w:rPr>
            </w:pPr>
            <w:r w:rsidRPr="008A2411">
              <w:rPr>
                <w:rFonts w:ascii="Times New Roman"/>
                <w:color w:val="000000" w:themeColor="text1"/>
                <w:sz w:val="21"/>
                <w:szCs w:val="21"/>
              </w:rPr>
              <w:t>符合</w:t>
            </w:r>
          </w:p>
        </w:tc>
      </w:tr>
    </w:tbl>
    <w:p w14:paraId="107FBBC4" w14:textId="4659C730" w:rsidR="007B294C" w:rsidRPr="008A2411" w:rsidRDefault="007B294C" w:rsidP="007B294C">
      <w:pPr>
        <w:ind w:firstLine="480"/>
        <w:rPr>
          <w:rFonts w:ascii="Times New Roman"/>
          <w:color w:val="000000" w:themeColor="text1"/>
          <w:szCs w:val="27"/>
          <w:shd w:val="clear" w:color="auto" w:fill="FFFFFF"/>
        </w:rPr>
      </w:pPr>
      <w:r w:rsidRPr="008A2411">
        <w:rPr>
          <w:rFonts w:ascii="Times New Roman"/>
          <w:color w:val="000000" w:themeColor="text1"/>
          <w:szCs w:val="27"/>
          <w:shd w:val="clear" w:color="auto" w:fill="FFFFFF"/>
        </w:rPr>
        <w:t>综上所述，本项目的建设与《</w:t>
      </w:r>
      <w:r w:rsidR="00571CF1" w:rsidRPr="008A2411">
        <w:rPr>
          <w:rFonts w:ascii="Times New Roman"/>
          <w:color w:val="000000" w:themeColor="text1"/>
          <w:szCs w:val="27"/>
          <w:shd w:val="clear" w:color="auto" w:fill="FFFFFF"/>
        </w:rPr>
        <w:t>中华人民共和国长江保护法</w:t>
      </w:r>
      <w:r w:rsidRPr="008A2411">
        <w:rPr>
          <w:rFonts w:ascii="Times New Roman"/>
          <w:color w:val="000000" w:themeColor="text1"/>
          <w:szCs w:val="27"/>
          <w:shd w:val="clear" w:color="auto" w:fill="FFFFFF"/>
        </w:rPr>
        <w:t>》相符。</w:t>
      </w:r>
    </w:p>
    <w:p w14:paraId="215ABDDE" w14:textId="77777777" w:rsidR="007B294C" w:rsidRPr="008A2411" w:rsidRDefault="007B294C">
      <w:pPr>
        <w:pStyle w:val="L-"/>
        <w:rPr>
          <w:rFonts w:ascii="Times New Roman" w:cs="Times New Roman"/>
          <w:color w:val="000000" w:themeColor="text1"/>
        </w:rPr>
      </w:pPr>
    </w:p>
    <w:p w14:paraId="3D9FE64F" w14:textId="77777777" w:rsidR="00B0005F" w:rsidRPr="008A2411" w:rsidRDefault="00000000">
      <w:pPr>
        <w:pStyle w:val="2"/>
        <w:adjustRightInd w:val="0"/>
        <w:spacing w:before="0" w:after="0" w:line="360" w:lineRule="auto"/>
        <w:rPr>
          <w:rFonts w:ascii="Times New Roman" w:eastAsia="宋体"/>
          <w:color w:val="000000" w:themeColor="text1"/>
          <w:sz w:val="24"/>
        </w:rPr>
      </w:pPr>
      <w:bookmarkStart w:id="49" w:name="_Toc501057857"/>
      <w:bookmarkStart w:id="50" w:name="_Toc19108232"/>
      <w:bookmarkStart w:id="51" w:name="_Toc109170744"/>
      <w:r w:rsidRPr="008A2411">
        <w:rPr>
          <w:rFonts w:ascii="Times New Roman" w:eastAsia="宋体"/>
          <w:color w:val="000000" w:themeColor="text1"/>
          <w:sz w:val="24"/>
        </w:rPr>
        <w:t xml:space="preserve">2.5 </w:t>
      </w:r>
      <w:r w:rsidRPr="008A2411">
        <w:rPr>
          <w:rFonts w:ascii="Times New Roman" w:eastAsia="宋体"/>
          <w:color w:val="000000" w:themeColor="text1"/>
          <w:sz w:val="24"/>
        </w:rPr>
        <w:t>环境影响</w:t>
      </w:r>
      <w:bookmarkEnd w:id="49"/>
      <w:r w:rsidRPr="008A2411">
        <w:rPr>
          <w:rFonts w:ascii="Times New Roman" w:eastAsia="宋体"/>
          <w:color w:val="000000" w:themeColor="text1"/>
          <w:sz w:val="24"/>
        </w:rPr>
        <w:t>因子识别和筛选</w:t>
      </w:r>
      <w:bookmarkEnd w:id="50"/>
      <w:bookmarkEnd w:id="51"/>
    </w:p>
    <w:p w14:paraId="3A532896" w14:textId="77777777" w:rsidR="00B0005F" w:rsidRPr="008A2411" w:rsidRDefault="00000000">
      <w:pPr>
        <w:adjustRightInd w:val="0"/>
        <w:spacing w:line="360" w:lineRule="auto"/>
        <w:outlineLvl w:val="2"/>
        <w:rPr>
          <w:rFonts w:ascii="Times New Roman"/>
          <w:b/>
          <w:color w:val="000000" w:themeColor="text1"/>
        </w:rPr>
      </w:pPr>
      <w:r w:rsidRPr="008A2411">
        <w:rPr>
          <w:rFonts w:ascii="Times New Roman"/>
          <w:b/>
          <w:color w:val="000000" w:themeColor="text1"/>
        </w:rPr>
        <w:t xml:space="preserve">2.5.1 </w:t>
      </w:r>
      <w:r w:rsidRPr="008A2411">
        <w:rPr>
          <w:rFonts w:ascii="Times New Roman"/>
          <w:b/>
          <w:color w:val="000000" w:themeColor="text1"/>
        </w:rPr>
        <w:t>环境影响因素分析</w:t>
      </w:r>
    </w:p>
    <w:p w14:paraId="2348CBB3" w14:textId="77777777" w:rsidR="00B0005F" w:rsidRPr="008A2411" w:rsidRDefault="00000000">
      <w:pPr>
        <w:pStyle w:val="4f0"/>
        <w:adjustRightInd w:val="0"/>
        <w:spacing w:beforeLines="0" w:before="0" w:afterLines="0" w:after="0" w:line="360" w:lineRule="auto"/>
        <w:ind w:firstLineChars="200" w:firstLine="482"/>
        <w:jc w:val="both"/>
        <w:outlineLvl w:val="9"/>
        <w:rPr>
          <w:bCs/>
          <w:color w:val="000000" w:themeColor="text1"/>
          <w:lang w:bidi="en-US"/>
        </w:rPr>
      </w:pPr>
      <w:r w:rsidRPr="008A2411">
        <w:rPr>
          <w:bCs/>
          <w:color w:val="000000" w:themeColor="text1"/>
          <w:lang w:bidi="en-US"/>
        </w:rPr>
        <w:t>（</w:t>
      </w:r>
      <w:r w:rsidRPr="008A2411">
        <w:rPr>
          <w:bCs/>
          <w:color w:val="000000" w:themeColor="text1"/>
          <w:lang w:bidi="en-US"/>
        </w:rPr>
        <w:t>1</w:t>
      </w:r>
      <w:r w:rsidRPr="008A2411">
        <w:rPr>
          <w:bCs/>
          <w:color w:val="000000" w:themeColor="text1"/>
          <w:lang w:bidi="en-US"/>
        </w:rPr>
        <w:t>）施工期环境影响</w:t>
      </w:r>
    </w:p>
    <w:p w14:paraId="3ABB5743"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施工期，项目站场建设的主要环境影响为土地占用及生态影响。在施工建设过程中基础土建工程造成地表土壤和植被的破坏，引起水土流失；施工期间各种机械、车辆排放的废气和噪声、施工产生的固体废物等及施工人员日常生活污水和生活垃圾等，也将对环境产生一定的影响。施工期的影响随施工结束而消失。</w:t>
      </w:r>
    </w:p>
    <w:p w14:paraId="400F78E3" w14:textId="77777777" w:rsidR="00B0005F" w:rsidRPr="008A2411" w:rsidRDefault="00000000">
      <w:pPr>
        <w:pStyle w:val="4f0"/>
        <w:adjustRightInd w:val="0"/>
        <w:spacing w:beforeLines="0" w:before="0" w:afterLines="0" w:after="0" w:line="360" w:lineRule="auto"/>
        <w:ind w:firstLineChars="200" w:firstLine="482"/>
        <w:jc w:val="both"/>
        <w:outlineLvl w:val="9"/>
        <w:rPr>
          <w:color w:val="000000" w:themeColor="text1"/>
        </w:rPr>
      </w:pPr>
      <w:r w:rsidRPr="008A2411">
        <w:rPr>
          <w:color w:val="000000" w:themeColor="text1"/>
        </w:rPr>
        <w:t>（</w:t>
      </w:r>
      <w:r w:rsidRPr="008A2411">
        <w:rPr>
          <w:color w:val="000000" w:themeColor="text1"/>
        </w:rPr>
        <w:t>2</w:t>
      </w:r>
      <w:r w:rsidRPr="008A2411">
        <w:rPr>
          <w:color w:val="000000" w:themeColor="text1"/>
        </w:rPr>
        <w:t>）运营期环境影响</w:t>
      </w:r>
    </w:p>
    <w:p w14:paraId="2C9D643F"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运营期间正常工况对环境的影响主要是脱硫塔废气中的少量</w:t>
      </w:r>
      <w:r w:rsidRPr="008A2411">
        <w:rPr>
          <w:rFonts w:ascii="Times New Roman" w:hAnsi="Times New Roman"/>
          <w:color w:val="000000" w:themeColor="text1"/>
        </w:rPr>
        <w:t>H</w:t>
      </w:r>
      <w:r w:rsidRPr="008A2411">
        <w:rPr>
          <w:rFonts w:ascii="Times New Roman" w:hAnsi="Times New Roman"/>
          <w:color w:val="000000" w:themeColor="text1"/>
          <w:vertAlign w:val="subscript"/>
        </w:rPr>
        <w:t>2</w:t>
      </w:r>
      <w:r w:rsidRPr="008A2411">
        <w:rPr>
          <w:rFonts w:ascii="Times New Roman" w:hAnsi="Times New Roman"/>
          <w:color w:val="000000" w:themeColor="text1"/>
        </w:rPr>
        <w:t>S</w:t>
      </w:r>
      <w:r w:rsidRPr="008A2411">
        <w:rPr>
          <w:rFonts w:ascii="Times New Roman" w:hAnsi="Times New Roman"/>
          <w:color w:val="000000" w:themeColor="text1"/>
        </w:rPr>
        <w:t>、导热油炉及放空火炬排放的</w:t>
      </w:r>
      <w:r w:rsidRPr="008A2411">
        <w:rPr>
          <w:rFonts w:ascii="Times New Roman" w:hAnsi="Times New Roman"/>
          <w:color w:val="000000" w:themeColor="text1"/>
        </w:rPr>
        <w:t>NO</w:t>
      </w:r>
      <w:r w:rsidRPr="008A2411">
        <w:rPr>
          <w:rFonts w:ascii="Times New Roman" w:hAnsi="Times New Roman"/>
          <w:color w:val="000000" w:themeColor="text1"/>
          <w:vertAlign w:val="subscript"/>
        </w:rPr>
        <w:t>x</w:t>
      </w:r>
      <w:r w:rsidRPr="008A2411">
        <w:rPr>
          <w:rFonts w:ascii="Times New Roman" w:hAnsi="Times New Roman"/>
          <w:color w:val="000000" w:themeColor="text1"/>
        </w:rPr>
        <w:t>及</w:t>
      </w:r>
      <w:r w:rsidRPr="008A2411">
        <w:rPr>
          <w:rFonts w:ascii="Times New Roman" w:hAnsi="Times New Roman"/>
          <w:color w:val="000000" w:themeColor="text1"/>
        </w:rPr>
        <w:t>SO</w:t>
      </w:r>
      <w:r w:rsidRPr="008A2411">
        <w:rPr>
          <w:rFonts w:ascii="Times New Roman" w:hAnsi="Times New Roman"/>
          <w:color w:val="000000" w:themeColor="text1"/>
          <w:vertAlign w:val="subscript"/>
        </w:rPr>
        <w:t>2</w:t>
      </w:r>
      <w:r w:rsidRPr="008A2411">
        <w:rPr>
          <w:rFonts w:ascii="Times New Roman" w:hAnsi="Times New Roman"/>
          <w:color w:val="000000" w:themeColor="text1"/>
        </w:rPr>
        <w:t>等对区域环境空气质量造成的影响；生产废水和生活污水对区域地下水、地表水及土壤环境造成的影响；以及风机、泵、空压机等设备产生的噪声影响；净化产生的废活性炭、脱</w:t>
      </w:r>
      <w:proofErr w:type="gramStart"/>
      <w:r w:rsidRPr="008A2411">
        <w:rPr>
          <w:rFonts w:ascii="Times New Roman" w:hAnsi="Times New Roman"/>
          <w:color w:val="000000" w:themeColor="text1"/>
        </w:rPr>
        <w:t>汞加工</w:t>
      </w:r>
      <w:proofErr w:type="gramEnd"/>
      <w:r w:rsidRPr="008A2411">
        <w:rPr>
          <w:rFonts w:ascii="Times New Roman" w:hAnsi="Times New Roman"/>
          <w:color w:val="000000" w:themeColor="text1"/>
        </w:rPr>
        <w:t>产生</w:t>
      </w:r>
      <w:proofErr w:type="gramStart"/>
      <w:r w:rsidRPr="008A2411">
        <w:rPr>
          <w:rFonts w:ascii="Times New Roman" w:hAnsi="Times New Roman"/>
          <w:color w:val="000000" w:themeColor="text1"/>
        </w:rPr>
        <w:t>的废脱汞</w:t>
      </w:r>
      <w:proofErr w:type="gramEnd"/>
      <w:r w:rsidRPr="008A2411">
        <w:rPr>
          <w:rFonts w:ascii="Times New Roman" w:hAnsi="Times New Roman"/>
          <w:color w:val="000000" w:themeColor="text1"/>
        </w:rPr>
        <w:t>剂、废油、化验间残液以及站内值守人员生活产生的生活垃圾等固体废弃物对周边环境造成的影响。</w:t>
      </w:r>
    </w:p>
    <w:p w14:paraId="2D1B9F2D"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非正常工况下，原料气泄漏或设备检修时的放空作业会有一定量的大气污染物排放，对天然气液化加工厂周围环境和人群可能造成一定的影响，但影响时间较短。</w:t>
      </w:r>
    </w:p>
    <w:p w14:paraId="17B65678" w14:textId="77777777" w:rsidR="00B0005F" w:rsidRPr="008A2411" w:rsidRDefault="00000000">
      <w:pPr>
        <w:adjustRightInd w:val="0"/>
        <w:spacing w:line="360" w:lineRule="auto"/>
        <w:outlineLvl w:val="2"/>
        <w:rPr>
          <w:rFonts w:ascii="Times New Roman"/>
          <w:b/>
          <w:color w:val="000000" w:themeColor="text1"/>
        </w:rPr>
      </w:pPr>
      <w:r w:rsidRPr="008A2411">
        <w:rPr>
          <w:rFonts w:ascii="Times New Roman"/>
          <w:b/>
          <w:color w:val="000000" w:themeColor="text1"/>
        </w:rPr>
        <w:t xml:space="preserve">2.5.2 </w:t>
      </w:r>
      <w:r w:rsidRPr="008A2411">
        <w:rPr>
          <w:rFonts w:ascii="Times New Roman"/>
          <w:b/>
          <w:color w:val="000000" w:themeColor="text1"/>
        </w:rPr>
        <w:t>环境影响因子识别和筛选</w:t>
      </w:r>
    </w:p>
    <w:p w14:paraId="491FFA42" w14:textId="77777777" w:rsidR="00B0005F" w:rsidRPr="008A2411" w:rsidRDefault="00000000">
      <w:pPr>
        <w:adjustRightInd w:val="0"/>
        <w:spacing w:line="360" w:lineRule="auto"/>
        <w:ind w:firstLineChars="198" w:firstLine="475"/>
        <w:rPr>
          <w:rFonts w:ascii="Times New Roman"/>
          <w:color w:val="000000" w:themeColor="text1"/>
        </w:rPr>
      </w:pPr>
      <w:r w:rsidRPr="008A2411">
        <w:rPr>
          <w:rFonts w:ascii="Times New Roman"/>
          <w:color w:val="000000" w:themeColor="text1"/>
        </w:rPr>
        <w:t>本项目环境影响因素识别筛选内容见表</w:t>
      </w:r>
      <w:r w:rsidRPr="008A2411">
        <w:rPr>
          <w:rFonts w:ascii="Times New Roman"/>
          <w:color w:val="000000" w:themeColor="text1"/>
        </w:rPr>
        <w:t>2.5-1</w:t>
      </w:r>
      <w:r w:rsidRPr="008A2411">
        <w:rPr>
          <w:rFonts w:ascii="Times New Roman"/>
          <w:color w:val="000000" w:themeColor="text1"/>
        </w:rPr>
        <w:t>。</w:t>
      </w:r>
    </w:p>
    <w:p w14:paraId="20FEF27F" w14:textId="77777777" w:rsidR="00475F44" w:rsidRPr="008A2411" w:rsidRDefault="00475F44">
      <w:pPr>
        <w:snapToGrid w:val="0"/>
        <w:jc w:val="center"/>
        <w:rPr>
          <w:rFonts w:ascii="Times New Roman" w:eastAsia="黑体"/>
          <w:bCs/>
          <w:color w:val="000000" w:themeColor="text1"/>
          <w:spacing w:val="-2"/>
          <w:szCs w:val="21"/>
        </w:rPr>
      </w:pPr>
    </w:p>
    <w:p w14:paraId="5A93C616" w14:textId="77777777" w:rsidR="00475F44" w:rsidRPr="008A2411" w:rsidRDefault="00475F44">
      <w:pPr>
        <w:snapToGrid w:val="0"/>
        <w:jc w:val="center"/>
        <w:rPr>
          <w:rFonts w:ascii="Times New Roman" w:eastAsia="黑体"/>
          <w:bCs/>
          <w:color w:val="000000" w:themeColor="text1"/>
          <w:spacing w:val="-2"/>
          <w:szCs w:val="21"/>
        </w:rPr>
      </w:pPr>
    </w:p>
    <w:p w14:paraId="6AD08672" w14:textId="6FA9A7B5" w:rsidR="00B0005F" w:rsidRPr="008A2411" w:rsidRDefault="00000000">
      <w:pPr>
        <w:snapToGrid w:val="0"/>
        <w:jc w:val="center"/>
        <w:rPr>
          <w:rFonts w:ascii="Times New Roman" w:eastAsia="黑体"/>
          <w:bCs/>
          <w:color w:val="000000" w:themeColor="text1"/>
          <w:spacing w:val="-2"/>
          <w:szCs w:val="21"/>
        </w:rPr>
      </w:pPr>
      <w:r w:rsidRPr="008A2411">
        <w:rPr>
          <w:rFonts w:ascii="Times New Roman" w:eastAsia="黑体"/>
          <w:bCs/>
          <w:color w:val="000000" w:themeColor="text1"/>
          <w:spacing w:val="-2"/>
          <w:szCs w:val="21"/>
        </w:rPr>
        <w:t>表</w:t>
      </w:r>
      <w:r w:rsidRPr="008A2411">
        <w:rPr>
          <w:rFonts w:ascii="Times New Roman" w:eastAsia="黑体"/>
          <w:bCs/>
          <w:color w:val="000000" w:themeColor="text1"/>
          <w:spacing w:val="-2"/>
          <w:szCs w:val="21"/>
        </w:rPr>
        <w:t xml:space="preserve">2.5-1  </w:t>
      </w:r>
      <w:r w:rsidRPr="008A2411">
        <w:rPr>
          <w:rFonts w:ascii="Times New Roman" w:eastAsia="黑体"/>
          <w:bCs/>
          <w:color w:val="000000" w:themeColor="text1"/>
          <w:spacing w:val="-2"/>
          <w:szCs w:val="21"/>
        </w:rPr>
        <w:t>环境影响因子识别</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7"/>
        <w:gridCol w:w="396"/>
        <w:gridCol w:w="396"/>
        <w:gridCol w:w="2854"/>
        <w:gridCol w:w="906"/>
        <w:gridCol w:w="397"/>
        <w:gridCol w:w="397"/>
        <w:gridCol w:w="397"/>
        <w:gridCol w:w="397"/>
        <w:gridCol w:w="397"/>
        <w:gridCol w:w="397"/>
        <w:gridCol w:w="397"/>
        <w:gridCol w:w="397"/>
        <w:gridCol w:w="397"/>
      </w:tblGrid>
      <w:tr w:rsidR="008A2411" w:rsidRPr="008A2411" w14:paraId="2F00B232" w14:textId="77777777" w:rsidTr="00585BA0">
        <w:trPr>
          <w:trHeight w:val="283"/>
          <w:jc w:val="center"/>
        </w:trPr>
        <w:tc>
          <w:tcPr>
            <w:tcW w:w="233" w:type="pct"/>
            <w:vAlign w:val="center"/>
          </w:tcPr>
          <w:p w14:paraId="5CC2C6C3" w14:textId="77777777" w:rsidR="00585BA0" w:rsidRPr="008A2411" w:rsidRDefault="00585BA0">
            <w:pPr>
              <w:pStyle w:val="affffffffffffffffff7"/>
              <w:adjustRightInd w:val="0"/>
              <w:snapToGrid w:val="0"/>
              <w:rPr>
                <w:b/>
                <w:bCs/>
                <w:color w:val="000000" w:themeColor="text1"/>
                <w:sz w:val="18"/>
                <w:szCs w:val="18"/>
              </w:rPr>
            </w:pPr>
            <w:r w:rsidRPr="008A2411">
              <w:rPr>
                <w:b/>
                <w:bCs/>
                <w:color w:val="000000" w:themeColor="text1"/>
                <w:sz w:val="18"/>
                <w:szCs w:val="18"/>
              </w:rPr>
              <w:t>时段</w:t>
            </w:r>
          </w:p>
        </w:tc>
        <w:tc>
          <w:tcPr>
            <w:tcW w:w="2139" w:type="pct"/>
            <w:gridSpan w:val="3"/>
            <w:vAlign w:val="center"/>
          </w:tcPr>
          <w:p w14:paraId="375010B7" w14:textId="77777777" w:rsidR="00585BA0" w:rsidRPr="008A2411" w:rsidRDefault="00585BA0">
            <w:pPr>
              <w:pStyle w:val="affffffffffffffffff7"/>
              <w:adjustRightInd w:val="0"/>
              <w:snapToGrid w:val="0"/>
              <w:rPr>
                <w:b/>
                <w:bCs/>
                <w:color w:val="000000" w:themeColor="text1"/>
                <w:sz w:val="18"/>
                <w:szCs w:val="18"/>
              </w:rPr>
            </w:pPr>
            <w:r w:rsidRPr="008A2411">
              <w:rPr>
                <w:b/>
                <w:bCs/>
                <w:color w:val="000000" w:themeColor="text1"/>
                <w:sz w:val="18"/>
                <w:szCs w:val="18"/>
              </w:rPr>
              <w:t>环境影响因素</w:t>
            </w:r>
          </w:p>
        </w:tc>
        <w:tc>
          <w:tcPr>
            <w:tcW w:w="532" w:type="pct"/>
            <w:vAlign w:val="center"/>
          </w:tcPr>
          <w:p w14:paraId="159E0936" w14:textId="77777777" w:rsidR="00585BA0" w:rsidRPr="008A2411" w:rsidRDefault="00585BA0">
            <w:pPr>
              <w:pStyle w:val="affffffffffffffffff7"/>
              <w:adjustRightInd w:val="0"/>
              <w:snapToGrid w:val="0"/>
              <w:rPr>
                <w:b/>
                <w:bCs/>
                <w:color w:val="000000" w:themeColor="text1"/>
                <w:sz w:val="18"/>
                <w:szCs w:val="18"/>
              </w:rPr>
            </w:pPr>
            <w:r w:rsidRPr="008A2411">
              <w:rPr>
                <w:b/>
                <w:bCs/>
                <w:color w:val="000000" w:themeColor="text1"/>
                <w:sz w:val="18"/>
                <w:szCs w:val="18"/>
              </w:rPr>
              <w:t>环境影响因子</w:t>
            </w:r>
          </w:p>
        </w:tc>
        <w:tc>
          <w:tcPr>
            <w:tcW w:w="233" w:type="pct"/>
            <w:vAlign w:val="center"/>
          </w:tcPr>
          <w:p w14:paraId="6AD41017" w14:textId="77777777" w:rsidR="00585BA0" w:rsidRPr="008A2411" w:rsidRDefault="00585BA0">
            <w:pPr>
              <w:pStyle w:val="affffffffffffffffff7"/>
              <w:adjustRightInd w:val="0"/>
              <w:snapToGrid w:val="0"/>
              <w:rPr>
                <w:b/>
                <w:bCs/>
                <w:color w:val="000000" w:themeColor="text1"/>
                <w:sz w:val="18"/>
                <w:szCs w:val="18"/>
              </w:rPr>
            </w:pPr>
            <w:r w:rsidRPr="008A2411">
              <w:rPr>
                <w:b/>
                <w:bCs/>
                <w:color w:val="000000" w:themeColor="text1"/>
                <w:sz w:val="18"/>
                <w:szCs w:val="18"/>
              </w:rPr>
              <w:t>统计</w:t>
            </w:r>
          </w:p>
          <w:p w14:paraId="647A3A64" w14:textId="77777777" w:rsidR="00585BA0" w:rsidRPr="008A2411" w:rsidRDefault="00585BA0">
            <w:pPr>
              <w:pStyle w:val="affffffffffffffffff7"/>
              <w:adjustRightInd w:val="0"/>
              <w:snapToGrid w:val="0"/>
              <w:rPr>
                <w:b/>
                <w:bCs/>
                <w:color w:val="000000" w:themeColor="text1"/>
                <w:sz w:val="18"/>
                <w:szCs w:val="18"/>
              </w:rPr>
            </w:pPr>
            <w:r w:rsidRPr="008A2411">
              <w:rPr>
                <w:b/>
                <w:bCs/>
                <w:color w:val="000000" w:themeColor="text1"/>
                <w:sz w:val="18"/>
                <w:szCs w:val="18"/>
              </w:rPr>
              <w:t>结果</w:t>
            </w:r>
          </w:p>
        </w:tc>
        <w:tc>
          <w:tcPr>
            <w:tcW w:w="233" w:type="pct"/>
            <w:vAlign w:val="center"/>
          </w:tcPr>
          <w:p w14:paraId="401EE7DE" w14:textId="77777777" w:rsidR="00585BA0" w:rsidRPr="008A2411" w:rsidRDefault="00585BA0">
            <w:pPr>
              <w:pStyle w:val="affffffffffffffffff7"/>
              <w:adjustRightInd w:val="0"/>
              <w:snapToGrid w:val="0"/>
              <w:rPr>
                <w:b/>
                <w:bCs/>
                <w:color w:val="000000" w:themeColor="text1"/>
                <w:sz w:val="18"/>
                <w:szCs w:val="18"/>
              </w:rPr>
            </w:pPr>
            <w:r w:rsidRPr="008A2411">
              <w:rPr>
                <w:b/>
                <w:bCs/>
                <w:color w:val="000000" w:themeColor="text1"/>
                <w:sz w:val="18"/>
                <w:szCs w:val="18"/>
              </w:rPr>
              <w:t>环境空气</w:t>
            </w:r>
          </w:p>
        </w:tc>
        <w:tc>
          <w:tcPr>
            <w:tcW w:w="233" w:type="pct"/>
            <w:vAlign w:val="center"/>
          </w:tcPr>
          <w:p w14:paraId="7CB20BCF" w14:textId="77777777" w:rsidR="00585BA0" w:rsidRPr="008A2411" w:rsidRDefault="00585BA0">
            <w:pPr>
              <w:pStyle w:val="affffffffffffffffff7"/>
              <w:adjustRightInd w:val="0"/>
              <w:snapToGrid w:val="0"/>
              <w:rPr>
                <w:b/>
                <w:bCs/>
                <w:color w:val="000000" w:themeColor="text1"/>
                <w:sz w:val="18"/>
                <w:szCs w:val="18"/>
              </w:rPr>
            </w:pPr>
            <w:r w:rsidRPr="008A2411">
              <w:rPr>
                <w:b/>
                <w:bCs/>
                <w:color w:val="000000" w:themeColor="text1"/>
                <w:sz w:val="18"/>
                <w:szCs w:val="18"/>
              </w:rPr>
              <w:t>地表水</w:t>
            </w:r>
          </w:p>
        </w:tc>
        <w:tc>
          <w:tcPr>
            <w:tcW w:w="233" w:type="pct"/>
            <w:vAlign w:val="center"/>
          </w:tcPr>
          <w:p w14:paraId="557BEE12" w14:textId="77777777" w:rsidR="00585BA0" w:rsidRPr="008A2411" w:rsidRDefault="00585BA0">
            <w:pPr>
              <w:pStyle w:val="affffffffffffffffff7"/>
              <w:adjustRightInd w:val="0"/>
              <w:snapToGrid w:val="0"/>
              <w:rPr>
                <w:b/>
                <w:bCs/>
                <w:color w:val="000000" w:themeColor="text1"/>
                <w:sz w:val="18"/>
                <w:szCs w:val="18"/>
              </w:rPr>
            </w:pPr>
            <w:r w:rsidRPr="008A2411">
              <w:rPr>
                <w:b/>
                <w:bCs/>
                <w:color w:val="000000" w:themeColor="text1"/>
                <w:sz w:val="18"/>
                <w:szCs w:val="18"/>
              </w:rPr>
              <w:t>地</w:t>
            </w:r>
          </w:p>
          <w:p w14:paraId="0E691BB5" w14:textId="77777777" w:rsidR="00585BA0" w:rsidRPr="008A2411" w:rsidRDefault="00585BA0">
            <w:pPr>
              <w:pStyle w:val="affffffffffffffffff7"/>
              <w:adjustRightInd w:val="0"/>
              <w:snapToGrid w:val="0"/>
              <w:rPr>
                <w:b/>
                <w:bCs/>
                <w:color w:val="000000" w:themeColor="text1"/>
                <w:sz w:val="18"/>
                <w:szCs w:val="18"/>
              </w:rPr>
            </w:pPr>
            <w:r w:rsidRPr="008A2411">
              <w:rPr>
                <w:b/>
                <w:bCs/>
                <w:color w:val="000000" w:themeColor="text1"/>
                <w:sz w:val="18"/>
                <w:szCs w:val="18"/>
              </w:rPr>
              <w:t>下</w:t>
            </w:r>
          </w:p>
          <w:p w14:paraId="7158A932" w14:textId="77777777" w:rsidR="00585BA0" w:rsidRPr="008A2411" w:rsidRDefault="00585BA0">
            <w:pPr>
              <w:pStyle w:val="affffffffffffffffff7"/>
              <w:adjustRightInd w:val="0"/>
              <w:snapToGrid w:val="0"/>
              <w:rPr>
                <w:b/>
                <w:bCs/>
                <w:color w:val="000000" w:themeColor="text1"/>
                <w:sz w:val="18"/>
                <w:szCs w:val="18"/>
              </w:rPr>
            </w:pPr>
            <w:r w:rsidRPr="008A2411">
              <w:rPr>
                <w:b/>
                <w:bCs/>
                <w:color w:val="000000" w:themeColor="text1"/>
                <w:sz w:val="18"/>
                <w:szCs w:val="18"/>
              </w:rPr>
              <w:t>水</w:t>
            </w:r>
          </w:p>
        </w:tc>
        <w:tc>
          <w:tcPr>
            <w:tcW w:w="233" w:type="pct"/>
            <w:vAlign w:val="center"/>
          </w:tcPr>
          <w:p w14:paraId="715FD713" w14:textId="77777777" w:rsidR="00585BA0" w:rsidRPr="008A2411" w:rsidRDefault="00585BA0">
            <w:pPr>
              <w:pStyle w:val="affffffffffffffffff7"/>
              <w:adjustRightInd w:val="0"/>
              <w:snapToGrid w:val="0"/>
              <w:rPr>
                <w:b/>
                <w:bCs/>
                <w:color w:val="000000" w:themeColor="text1"/>
                <w:sz w:val="18"/>
                <w:szCs w:val="18"/>
              </w:rPr>
            </w:pPr>
            <w:r w:rsidRPr="008A2411">
              <w:rPr>
                <w:b/>
                <w:bCs/>
                <w:color w:val="000000" w:themeColor="text1"/>
                <w:sz w:val="18"/>
                <w:szCs w:val="18"/>
              </w:rPr>
              <w:t>声环境</w:t>
            </w:r>
          </w:p>
        </w:tc>
        <w:tc>
          <w:tcPr>
            <w:tcW w:w="233" w:type="pct"/>
            <w:vAlign w:val="center"/>
          </w:tcPr>
          <w:p w14:paraId="04CAF41C" w14:textId="77777777" w:rsidR="00585BA0" w:rsidRPr="008A2411" w:rsidRDefault="00585BA0">
            <w:pPr>
              <w:pStyle w:val="affffffffffffffffff7"/>
              <w:adjustRightInd w:val="0"/>
              <w:snapToGrid w:val="0"/>
              <w:rPr>
                <w:b/>
                <w:bCs/>
                <w:color w:val="000000" w:themeColor="text1"/>
                <w:sz w:val="18"/>
                <w:szCs w:val="18"/>
              </w:rPr>
            </w:pPr>
            <w:r w:rsidRPr="008A2411">
              <w:rPr>
                <w:b/>
                <w:bCs/>
                <w:color w:val="000000" w:themeColor="text1"/>
                <w:sz w:val="18"/>
                <w:szCs w:val="18"/>
              </w:rPr>
              <w:t>土壤</w:t>
            </w:r>
          </w:p>
        </w:tc>
        <w:tc>
          <w:tcPr>
            <w:tcW w:w="233" w:type="pct"/>
            <w:vAlign w:val="center"/>
          </w:tcPr>
          <w:p w14:paraId="7903818D" w14:textId="77777777" w:rsidR="00585BA0" w:rsidRPr="008A2411" w:rsidRDefault="00585BA0">
            <w:pPr>
              <w:pStyle w:val="affffffffffffffffff7"/>
              <w:adjustRightInd w:val="0"/>
              <w:snapToGrid w:val="0"/>
              <w:rPr>
                <w:b/>
                <w:bCs/>
                <w:color w:val="000000" w:themeColor="text1"/>
                <w:sz w:val="18"/>
                <w:szCs w:val="18"/>
              </w:rPr>
            </w:pPr>
            <w:r w:rsidRPr="008A2411">
              <w:rPr>
                <w:b/>
                <w:bCs/>
                <w:color w:val="000000" w:themeColor="text1"/>
                <w:sz w:val="18"/>
                <w:szCs w:val="18"/>
              </w:rPr>
              <w:t>植被</w:t>
            </w:r>
          </w:p>
        </w:tc>
        <w:tc>
          <w:tcPr>
            <w:tcW w:w="233" w:type="pct"/>
            <w:vAlign w:val="center"/>
          </w:tcPr>
          <w:p w14:paraId="168E04F2" w14:textId="77777777" w:rsidR="00585BA0" w:rsidRPr="008A2411" w:rsidRDefault="00585BA0">
            <w:pPr>
              <w:pStyle w:val="affffffffffffffffff7"/>
              <w:adjustRightInd w:val="0"/>
              <w:snapToGrid w:val="0"/>
              <w:rPr>
                <w:b/>
                <w:bCs/>
                <w:color w:val="000000" w:themeColor="text1"/>
                <w:sz w:val="18"/>
                <w:szCs w:val="18"/>
              </w:rPr>
            </w:pPr>
            <w:r w:rsidRPr="008A2411">
              <w:rPr>
                <w:b/>
                <w:bCs/>
                <w:color w:val="000000" w:themeColor="text1"/>
                <w:sz w:val="18"/>
                <w:szCs w:val="18"/>
              </w:rPr>
              <w:t>动物</w:t>
            </w:r>
          </w:p>
        </w:tc>
        <w:tc>
          <w:tcPr>
            <w:tcW w:w="233" w:type="pct"/>
            <w:vAlign w:val="center"/>
          </w:tcPr>
          <w:p w14:paraId="6160822B" w14:textId="77777777" w:rsidR="00585BA0" w:rsidRPr="008A2411" w:rsidRDefault="00585BA0">
            <w:pPr>
              <w:pStyle w:val="affffffffffffffffff7"/>
              <w:adjustRightInd w:val="0"/>
              <w:snapToGrid w:val="0"/>
              <w:rPr>
                <w:b/>
                <w:bCs/>
                <w:color w:val="000000" w:themeColor="text1"/>
                <w:sz w:val="18"/>
                <w:szCs w:val="18"/>
              </w:rPr>
            </w:pPr>
            <w:r w:rsidRPr="008A2411">
              <w:rPr>
                <w:b/>
                <w:bCs/>
                <w:color w:val="000000" w:themeColor="text1"/>
                <w:sz w:val="18"/>
                <w:szCs w:val="18"/>
              </w:rPr>
              <w:t>景观</w:t>
            </w:r>
          </w:p>
        </w:tc>
      </w:tr>
      <w:tr w:rsidR="008A2411" w:rsidRPr="008A2411" w14:paraId="54E5B147" w14:textId="77777777" w:rsidTr="00585BA0">
        <w:trPr>
          <w:trHeight w:val="283"/>
          <w:jc w:val="center"/>
        </w:trPr>
        <w:tc>
          <w:tcPr>
            <w:tcW w:w="233" w:type="pct"/>
            <w:vMerge w:val="restart"/>
            <w:vAlign w:val="center"/>
          </w:tcPr>
          <w:p w14:paraId="48C0F784" w14:textId="77777777" w:rsidR="00475F44" w:rsidRPr="008A2411" w:rsidRDefault="00475F44">
            <w:pPr>
              <w:pStyle w:val="affffffffffffffffff7"/>
              <w:adjustRightInd w:val="0"/>
              <w:snapToGrid w:val="0"/>
              <w:rPr>
                <w:color w:val="000000" w:themeColor="text1"/>
                <w:sz w:val="18"/>
                <w:szCs w:val="18"/>
              </w:rPr>
            </w:pPr>
          </w:p>
        </w:tc>
        <w:tc>
          <w:tcPr>
            <w:tcW w:w="232" w:type="pct"/>
            <w:vMerge w:val="restart"/>
            <w:vAlign w:val="center"/>
          </w:tcPr>
          <w:p w14:paraId="2DE44FA5"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站场施工期</w:t>
            </w:r>
          </w:p>
        </w:tc>
        <w:tc>
          <w:tcPr>
            <w:tcW w:w="232" w:type="pct"/>
            <w:vAlign w:val="center"/>
          </w:tcPr>
          <w:p w14:paraId="2AD03014"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废气</w:t>
            </w:r>
          </w:p>
        </w:tc>
        <w:tc>
          <w:tcPr>
            <w:tcW w:w="1674" w:type="pct"/>
            <w:vAlign w:val="center"/>
          </w:tcPr>
          <w:p w14:paraId="0FD13F84"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施工机械废气</w:t>
            </w:r>
          </w:p>
        </w:tc>
        <w:tc>
          <w:tcPr>
            <w:tcW w:w="532" w:type="pct"/>
            <w:vAlign w:val="center"/>
          </w:tcPr>
          <w:p w14:paraId="697E7308"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NO</w:t>
            </w:r>
            <w:r w:rsidRPr="008A2411">
              <w:rPr>
                <w:color w:val="000000" w:themeColor="text1"/>
                <w:sz w:val="18"/>
                <w:szCs w:val="18"/>
                <w:vertAlign w:val="subscript"/>
              </w:rPr>
              <w:t>X</w:t>
            </w:r>
            <w:r w:rsidRPr="008A2411">
              <w:rPr>
                <w:color w:val="000000" w:themeColor="text1"/>
                <w:sz w:val="18"/>
                <w:szCs w:val="18"/>
              </w:rPr>
              <w:t>、</w:t>
            </w:r>
            <w:r w:rsidRPr="008A2411">
              <w:rPr>
                <w:color w:val="000000" w:themeColor="text1"/>
                <w:sz w:val="18"/>
                <w:szCs w:val="18"/>
              </w:rPr>
              <w:t>CO</w:t>
            </w:r>
            <w:r w:rsidRPr="008A2411">
              <w:rPr>
                <w:color w:val="000000" w:themeColor="text1"/>
                <w:sz w:val="18"/>
                <w:szCs w:val="18"/>
              </w:rPr>
              <w:t>、烃类挥发</w:t>
            </w:r>
          </w:p>
        </w:tc>
        <w:tc>
          <w:tcPr>
            <w:tcW w:w="233" w:type="pct"/>
            <w:vAlign w:val="center"/>
          </w:tcPr>
          <w:p w14:paraId="330FF012"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w:t>
            </w:r>
          </w:p>
        </w:tc>
        <w:tc>
          <w:tcPr>
            <w:tcW w:w="233" w:type="pct"/>
            <w:vAlign w:val="center"/>
          </w:tcPr>
          <w:p w14:paraId="0579A72D"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w:t>
            </w:r>
          </w:p>
        </w:tc>
        <w:tc>
          <w:tcPr>
            <w:tcW w:w="233" w:type="pct"/>
            <w:vAlign w:val="center"/>
          </w:tcPr>
          <w:p w14:paraId="270F2B83"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0C0502FB"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3750081D"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14540B77"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7748A048"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3839D202"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w:t>
            </w:r>
          </w:p>
        </w:tc>
        <w:tc>
          <w:tcPr>
            <w:tcW w:w="233" w:type="pct"/>
            <w:vAlign w:val="center"/>
          </w:tcPr>
          <w:p w14:paraId="1D3A6747" w14:textId="77777777" w:rsidR="00475F44" w:rsidRPr="008A2411" w:rsidRDefault="00475F44">
            <w:pPr>
              <w:pStyle w:val="affffffffffffffffff7"/>
              <w:adjustRightInd w:val="0"/>
              <w:snapToGrid w:val="0"/>
              <w:rPr>
                <w:color w:val="000000" w:themeColor="text1"/>
                <w:sz w:val="18"/>
                <w:szCs w:val="18"/>
              </w:rPr>
            </w:pPr>
          </w:p>
        </w:tc>
      </w:tr>
      <w:tr w:rsidR="008A2411" w:rsidRPr="008A2411" w14:paraId="097E0A81" w14:textId="77777777" w:rsidTr="00585BA0">
        <w:trPr>
          <w:trHeight w:val="283"/>
          <w:jc w:val="center"/>
        </w:trPr>
        <w:tc>
          <w:tcPr>
            <w:tcW w:w="233" w:type="pct"/>
            <w:vMerge/>
            <w:vAlign w:val="center"/>
          </w:tcPr>
          <w:p w14:paraId="0ACEDD4B" w14:textId="77777777" w:rsidR="00475F44" w:rsidRPr="008A2411" w:rsidRDefault="00475F44">
            <w:pPr>
              <w:pStyle w:val="affffffffffffffffff7"/>
              <w:adjustRightInd w:val="0"/>
              <w:snapToGrid w:val="0"/>
              <w:rPr>
                <w:color w:val="000000" w:themeColor="text1"/>
                <w:sz w:val="18"/>
                <w:szCs w:val="18"/>
              </w:rPr>
            </w:pPr>
          </w:p>
        </w:tc>
        <w:tc>
          <w:tcPr>
            <w:tcW w:w="232" w:type="pct"/>
            <w:vMerge/>
            <w:vAlign w:val="center"/>
          </w:tcPr>
          <w:p w14:paraId="3D0C3A52" w14:textId="77777777" w:rsidR="00475F44" w:rsidRPr="008A2411" w:rsidRDefault="00475F44">
            <w:pPr>
              <w:pStyle w:val="affffffffffffffffff7"/>
              <w:adjustRightInd w:val="0"/>
              <w:snapToGrid w:val="0"/>
              <w:rPr>
                <w:color w:val="000000" w:themeColor="text1"/>
                <w:sz w:val="18"/>
                <w:szCs w:val="18"/>
              </w:rPr>
            </w:pPr>
          </w:p>
        </w:tc>
        <w:tc>
          <w:tcPr>
            <w:tcW w:w="232" w:type="pct"/>
            <w:vAlign w:val="center"/>
          </w:tcPr>
          <w:p w14:paraId="19263ED9"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废水</w:t>
            </w:r>
          </w:p>
        </w:tc>
        <w:tc>
          <w:tcPr>
            <w:tcW w:w="1674" w:type="pct"/>
            <w:vAlign w:val="center"/>
          </w:tcPr>
          <w:p w14:paraId="6B45C340"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施工人员生活污水</w:t>
            </w:r>
          </w:p>
        </w:tc>
        <w:tc>
          <w:tcPr>
            <w:tcW w:w="532" w:type="pct"/>
            <w:vAlign w:val="center"/>
          </w:tcPr>
          <w:p w14:paraId="6E6065D5" w14:textId="77777777" w:rsidR="00475F44" w:rsidRPr="008A2411" w:rsidRDefault="00475F44">
            <w:pPr>
              <w:pStyle w:val="affffffffffffffffff7"/>
              <w:adjustRightInd w:val="0"/>
              <w:snapToGrid w:val="0"/>
              <w:rPr>
                <w:color w:val="000000" w:themeColor="text1"/>
                <w:sz w:val="18"/>
                <w:szCs w:val="18"/>
                <w:lang w:val="pt-BR"/>
              </w:rPr>
            </w:pPr>
            <w:r w:rsidRPr="008A2411">
              <w:rPr>
                <w:color w:val="000000" w:themeColor="text1"/>
                <w:sz w:val="18"/>
                <w:szCs w:val="18"/>
                <w:lang w:val="pt-BR"/>
              </w:rPr>
              <w:t>COD</w:t>
            </w:r>
            <w:r w:rsidRPr="008A2411">
              <w:rPr>
                <w:color w:val="000000" w:themeColor="text1"/>
                <w:sz w:val="18"/>
                <w:szCs w:val="18"/>
              </w:rPr>
              <w:t>、</w:t>
            </w:r>
            <w:r w:rsidRPr="008A2411">
              <w:rPr>
                <w:color w:val="000000" w:themeColor="text1"/>
                <w:sz w:val="18"/>
                <w:szCs w:val="18"/>
                <w:lang w:val="pt-BR"/>
              </w:rPr>
              <w:t>BOD</w:t>
            </w:r>
            <w:r w:rsidRPr="008A2411">
              <w:rPr>
                <w:color w:val="000000" w:themeColor="text1"/>
                <w:sz w:val="18"/>
                <w:szCs w:val="18"/>
                <w:vertAlign w:val="subscript"/>
                <w:lang w:val="pt-BR"/>
              </w:rPr>
              <w:t>5</w:t>
            </w:r>
            <w:r w:rsidRPr="008A2411">
              <w:rPr>
                <w:color w:val="000000" w:themeColor="text1"/>
                <w:sz w:val="18"/>
                <w:szCs w:val="18"/>
              </w:rPr>
              <w:t>、</w:t>
            </w:r>
            <w:r w:rsidRPr="008A2411">
              <w:rPr>
                <w:color w:val="000000" w:themeColor="text1"/>
                <w:sz w:val="18"/>
                <w:szCs w:val="18"/>
                <w:lang w:val="pt-BR"/>
              </w:rPr>
              <w:t>NH</w:t>
            </w:r>
            <w:r w:rsidRPr="008A2411">
              <w:rPr>
                <w:color w:val="000000" w:themeColor="text1"/>
                <w:sz w:val="18"/>
                <w:szCs w:val="18"/>
                <w:vertAlign w:val="subscript"/>
                <w:lang w:val="pt-BR"/>
              </w:rPr>
              <w:t>3</w:t>
            </w:r>
            <w:r w:rsidRPr="008A2411">
              <w:rPr>
                <w:color w:val="000000" w:themeColor="text1"/>
                <w:sz w:val="18"/>
                <w:szCs w:val="18"/>
                <w:lang w:val="pt-BR"/>
              </w:rPr>
              <w:t>-N</w:t>
            </w:r>
          </w:p>
        </w:tc>
        <w:tc>
          <w:tcPr>
            <w:tcW w:w="233" w:type="pct"/>
            <w:vAlign w:val="center"/>
          </w:tcPr>
          <w:p w14:paraId="032F98B0"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w:t>
            </w:r>
          </w:p>
        </w:tc>
        <w:tc>
          <w:tcPr>
            <w:tcW w:w="233" w:type="pct"/>
            <w:vAlign w:val="center"/>
          </w:tcPr>
          <w:p w14:paraId="5401589A"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52B0DC6B"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w:t>
            </w:r>
          </w:p>
        </w:tc>
        <w:tc>
          <w:tcPr>
            <w:tcW w:w="233" w:type="pct"/>
            <w:vAlign w:val="center"/>
          </w:tcPr>
          <w:p w14:paraId="6604E8DC"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656620A7"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19FF939E"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7CCECBEB"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2471E711"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40BA31D8" w14:textId="77777777" w:rsidR="00475F44" w:rsidRPr="008A2411" w:rsidRDefault="00475F44">
            <w:pPr>
              <w:pStyle w:val="affffffffffffffffff7"/>
              <w:adjustRightInd w:val="0"/>
              <w:snapToGrid w:val="0"/>
              <w:rPr>
                <w:color w:val="000000" w:themeColor="text1"/>
                <w:sz w:val="18"/>
                <w:szCs w:val="18"/>
              </w:rPr>
            </w:pPr>
          </w:p>
        </w:tc>
      </w:tr>
      <w:tr w:rsidR="008A2411" w:rsidRPr="008A2411" w14:paraId="42F0CCE0" w14:textId="77777777" w:rsidTr="00585BA0">
        <w:trPr>
          <w:trHeight w:val="283"/>
          <w:jc w:val="center"/>
        </w:trPr>
        <w:tc>
          <w:tcPr>
            <w:tcW w:w="233" w:type="pct"/>
            <w:vMerge/>
            <w:vAlign w:val="center"/>
          </w:tcPr>
          <w:p w14:paraId="43659C54" w14:textId="77777777" w:rsidR="00475F44" w:rsidRPr="008A2411" w:rsidRDefault="00475F44">
            <w:pPr>
              <w:pStyle w:val="affffffffffffffffff7"/>
              <w:adjustRightInd w:val="0"/>
              <w:snapToGrid w:val="0"/>
              <w:rPr>
                <w:color w:val="000000" w:themeColor="text1"/>
                <w:sz w:val="18"/>
                <w:szCs w:val="18"/>
              </w:rPr>
            </w:pPr>
          </w:p>
        </w:tc>
        <w:tc>
          <w:tcPr>
            <w:tcW w:w="232" w:type="pct"/>
            <w:vMerge/>
            <w:vAlign w:val="center"/>
          </w:tcPr>
          <w:p w14:paraId="2C2B1576" w14:textId="77777777" w:rsidR="00475F44" w:rsidRPr="008A2411" w:rsidRDefault="00475F44">
            <w:pPr>
              <w:pStyle w:val="affffffffffffffffff7"/>
              <w:adjustRightInd w:val="0"/>
              <w:snapToGrid w:val="0"/>
              <w:rPr>
                <w:color w:val="000000" w:themeColor="text1"/>
                <w:sz w:val="18"/>
                <w:szCs w:val="18"/>
              </w:rPr>
            </w:pPr>
          </w:p>
        </w:tc>
        <w:tc>
          <w:tcPr>
            <w:tcW w:w="232" w:type="pct"/>
            <w:vAlign w:val="center"/>
          </w:tcPr>
          <w:p w14:paraId="0BE32CA2"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固</w:t>
            </w:r>
            <w:r w:rsidRPr="008A2411">
              <w:rPr>
                <w:color w:val="000000" w:themeColor="text1"/>
                <w:sz w:val="18"/>
                <w:szCs w:val="18"/>
              </w:rPr>
              <w:lastRenderedPageBreak/>
              <w:t>废</w:t>
            </w:r>
          </w:p>
        </w:tc>
        <w:tc>
          <w:tcPr>
            <w:tcW w:w="1674" w:type="pct"/>
            <w:vAlign w:val="center"/>
          </w:tcPr>
          <w:p w14:paraId="2533F162"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lastRenderedPageBreak/>
              <w:t>施工废料、生活垃圾</w:t>
            </w:r>
          </w:p>
        </w:tc>
        <w:tc>
          <w:tcPr>
            <w:tcW w:w="532" w:type="pct"/>
            <w:vAlign w:val="center"/>
          </w:tcPr>
          <w:p w14:paraId="54C00EB9"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w:t>
            </w:r>
          </w:p>
        </w:tc>
        <w:tc>
          <w:tcPr>
            <w:tcW w:w="233" w:type="pct"/>
            <w:vAlign w:val="center"/>
          </w:tcPr>
          <w:p w14:paraId="6701AC0B"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w:t>
            </w:r>
          </w:p>
        </w:tc>
        <w:tc>
          <w:tcPr>
            <w:tcW w:w="233" w:type="pct"/>
            <w:vAlign w:val="center"/>
          </w:tcPr>
          <w:p w14:paraId="4631FDDC"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06E4AEED"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0E1770F3"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w:t>
            </w:r>
          </w:p>
        </w:tc>
        <w:tc>
          <w:tcPr>
            <w:tcW w:w="233" w:type="pct"/>
            <w:vAlign w:val="center"/>
          </w:tcPr>
          <w:p w14:paraId="3454CC41"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342CB95F"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w:t>
            </w:r>
          </w:p>
        </w:tc>
        <w:tc>
          <w:tcPr>
            <w:tcW w:w="233" w:type="pct"/>
            <w:vAlign w:val="center"/>
          </w:tcPr>
          <w:p w14:paraId="32D05099"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w:t>
            </w:r>
          </w:p>
        </w:tc>
        <w:tc>
          <w:tcPr>
            <w:tcW w:w="233" w:type="pct"/>
            <w:vAlign w:val="center"/>
          </w:tcPr>
          <w:p w14:paraId="7CB0C450"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24681CE3" w14:textId="77777777" w:rsidR="00475F44" w:rsidRPr="008A2411" w:rsidRDefault="00475F44">
            <w:pPr>
              <w:pStyle w:val="affffffffffffffffff7"/>
              <w:adjustRightInd w:val="0"/>
              <w:snapToGrid w:val="0"/>
              <w:rPr>
                <w:color w:val="000000" w:themeColor="text1"/>
                <w:sz w:val="18"/>
                <w:szCs w:val="18"/>
              </w:rPr>
            </w:pPr>
          </w:p>
        </w:tc>
      </w:tr>
      <w:tr w:rsidR="008A2411" w:rsidRPr="008A2411" w14:paraId="3044E8C2" w14:textId="77777777" w:rsidTr="00585BA0">
        <w:trPr>
          <w:trHeight w:val="283"/>
          <w:jc w:val="center"/>
        </w:trPr>
        <w:tc>
          <w:tcPr>
            <w:tcW w:w="233" w:type="pct"/>
            <w:vMerge/>
            <w:vAlign w:val="center"/>
          </w:tcPr>
          <w:p w14:paraId="2AF084AB" w14:textId="77777777" w:rsidR="00475F44" w:rsidRPr="008A2411" w:rsidRDefault="00475F44">
            <w:pPr>
              <w:pStyle w:val="affffffffffffffffff7"/>
              <w:adjustRightInd w:val="0"/>
              <w:snapToGrid w:val="0"/>
              <w:rPr>
                <w:color w:val="000000" w:themeColor="text1"/>
                <w:sz w:val="18"/>
                <w:szCs w:val="18"/>
              </w:rPr>
            </w:pPr>
          </w:p>
        </w:tc>
        <w:tc>
          <w:tcPr>
            <w:tcW w:w="232" w:type="pct"/>
            <w:vMerge/>
            <w:vAlign w:val="center"/>
          </w:tcPr>
          <w:p w14:paraId="681E5F0C" w14:textId="77777777" w:rsidR="00475F44" w:rsidRPr="008A2411" w:rsidRDefault="00475F44">
            <w:pPr>
              <w:pStyle w:val="affffffffffffffffff7"/>
              <w:adjustRightInd w:val="0"/>
              <w:snapToGrid w:val="0"/>
              <w:rPr>
                <w:color w:val="000000" w:themeColor="text1"/>
                <w:sz w:val="18"/>
                <w:szCs w:val="18"/>
              </w:rPr>
            </w:pPr>
          </w:p>
        </w:tc>
        <w:tc>
          <w:tcPr>
            <w:tcW w:w="232" w:type="pct"/>
            <w:vAlign w:val="center"/>
          </w:tcPr>
          <w:p w14:paraId="703141C6"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噪声</w:t>
            </w:r>
          </w:p>
        </w:tc>
        <w:tc>
          <w:tcPr>
            <w:tcW w:w="1674" w:type="pct"/>
            <w:vAlign w:val="center"/>
          </w:tcPr>
          <w:p w14:paraId="2CB530C8"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施工噪声、机械噪声</w:t>
            </w:r>
          </w:p>
        </w:tc>
        <w:tc>
          <w:tcPr>
            <w:tcW w:w="532" w:type="pct"/>
            <w:vAlign w:val="center"/>
          </w:tcPr>
          <w:p w14:paraId="3E1D3934"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w:t>
            </w:r>
          </w:p>
        </w:tc>
        <w:tc>
          <w:tcPr>
            <w:tcW w:w="233" w:type="pct"/>
            <w:vAlign w:val="center"/>
          </w:tcPr>
          <w:p w14:paraId="022863D9"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w:t>
            </w:r>
          </w:p>
        </w:tc>
        <w:tc>
          <w:tcPr>
            <w:tcW w:w="233" w:type="pct"/>
            <w:vAlign w:val="center"/>
          </w:tcPr>
          <w:p w14:paraId="628B3B25"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1268E6F1"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5D7076A1"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3E83D87A"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w:t>
            </w:r>
          </w:p>
        </w:tc>
        <w:tc>
          <w:tcPr>
            <w:tcW w:w="233" w:type="pct"/>
            <w:vAlign w:val="center"/>
          </w:tcPr>
          <w:p w14:paraId="63149FED"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29483E9C"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5396B5A5"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w:t>
            </w:r>
          </w:p>
        </w:tc>
        <w:tc>
          <w:tcPr>
            <w:tcW w:w="233" w:type="pct"/>
            <w:vAlign w:val="center"/>
          </w:tcPr>
          <w:p w14:paraId="57C36603" w14:textId="77777777" w:rsidR="00475F44" w:rsidRPr="008A2411" w:rsidRDefault="00475F44">
            <w:pPr>
              <w:pStyle w:val="affffffffffffffffff7"/>
              <w:adjustRightInd w:val="0"/>
              <w:snapToGrid w:val="0"/>
              <w:rPr>
                <w:color w:val="000000" w:themeColor="text1"/>
                <w:sz w:val="18"/>
                <w:szCs w:val="18"/>
              </w:rPr>
            </w:pPr>
          </w:p>
        </w:tc>
      </w:tr>
      <w:tr w:rsidR="008A2411" w:rsidRPr="008A2411" w14:paraId="49E8D14B" w14:textId="77777777" w:rsidTr="00585BA0">
        <w:trPr>
          <w:trHeight w:val="283"/>
          <w:jc w:val="center"/>
        </w:trPr>
        <w:tc>
          <w:tcPr>
            <w:tcW w:w="233" w:type="pct"/>
            <w:vMerge/>
            <w:vAlign w:val="center"/>
          </w:tcPr>
          <w:p w14:paraId="5EA23237" w14:textId="77777777" w:rsidR="00475F44" w:rsidRPr="008A2411" w:rsidRDefault="00475F44">
            <w:pPr>
              <w:pStyle w:val="affffffffffffffffff7"/>
              <w:adjustRightInd w:val="0"/>
              <w:snapToGrid w:val="0"/>
              <w:rPr>
                <w:color w:val="000000" w:themeColor="text1"/>
                <w:sz w:val="18"/>
                <w:szCs w:val="18"/>
              </w:rPr>
            </w:pPr>
          </w:p>
        </w:tc>
        <w:tc>
          <w:tcPr>
            <w:tcW w:w="232" w:type="pct"/>
            <w:vMerge w:val="restart"/>
            <w:vAlign w:val="center"/>
          </w:tcPr>
          <w:p w14:paraId="0F6D5CB9"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站场运营期</w:t>
            </w:r>
          </w:p>
        </w:tc>
        <w:tc>
          <w:tcPr>
            <w:tcW w:w="232" w:type="pct"/>
            <w:vMerge w:val="restart"/>
            <w:vAlign w:val="center"/>
          </w:tcPr>
          <w:p w14:paraId="718AD888"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废气</w:t>
            </w:r>
          </w:p>
        </w:tc>
        <w:tc>
          <w:tcPr>
            <w:tcW w:w="1674" w:type="pct"/>
            <w:vAlign w:val="center"/>
          </w:tcPr>
          <w:p w14:paraId="76A1C380" w14:textId="77777777" w:rsidR="00475F44" w:rsidRPr="008A2411" w:rsidRDefault="00475F44">
            <w:pPr>
              <w:pStyle w:val="affffffffffffffffff7"/>
              <w:adjustRightInd w:val="0"/>
              <w:snapToGrid w:val="0"/>
              <w:jc w:val="left"/>
              <w:rPr>
                <w:color w:val="000000" w:themeColor="text1"/>
                <w:sz w:val="18"/>
                <w:szCs w:val="18"/>
              </w:rPr>
            </w:pPr>
            <w:r w:rsidRPr="008A2411">
              <w:rPr>
                <w:color w:val="000000" w:themeColor="text1"/>
                <w:sz w:val="18"/>
                <w:szCs w:val="18"/>
              </w:rPr>
              <w:t>导热油炉及脱硫塔废气、火炬燃烧废气</w:t>
            </w:r>
          </w:p>
        </w:tc>
        <w:tc>
          <w:tcPr>
            <w:tcW w:w="532" w:type="pct"/>
            <w:vAlign w:val="center"/>
          </w:tcPr>
          <w:p w14:paraId="36D60D7F"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SO</w:t>
            </w:r>
            <w:r w:rsidRPr="008A2411">
              <w:rPr>
                <w:color w:val="000000" w:themeColor="text1"/>
                <w:sz w:val="18"/>
                <w:szCs w:val="18"/>
                <w:vertAlign w:val="subscript"/>
              </w:rPr>
              <w:t>2</w:t>
            </w:r>
            <w:r w:rsidRPr="008A2411">
              <w:rPr>
                <w:color w:val="000000" w:themeColor="text1"/>
                <w:sz w:val="18"/>
                <w:szCs w:val="18"/>
              </w:rPr>
              <w:t>、</w:t>
            </w:r>
            <w:r w:rsidRPr="008A2411">
              <w:rPr>
                <w:color w:val="000000" w:themeColor="text1"/>
                <w:sz w:val="18"/>
                <w:szCs w:val="18"/>
              </w:rPr>
              <w:t>NO</w:t>
            </w:r>
            <w:r w:rsidRPr="008A2411">
              <w:rPr>
                <w:color w:val="000000" w:themeColor="text1"/>
                <w:sz w:val="18"/>
                <w:szCs w:val="18"/>
                <w:vertAlign w:val="subscript"/>
              </w:rPr>
              <w:t>x</w:t>
            </w:r>
            <w:r w:rsidRPr="008A2411">
              <w:rPr>
                <w:color w:val="000000" w:themeColor="text1"/>
                <w:sz w:val="18"/>
                <w:szCs w:val="18"/>
              </w:rPr>
              <w:t>、</w:t>
            </w:r>
            <w:r w:rsidRPr="008A2411">
              <w:rPr>
                <w:color w:val="000000" w:themeColor="text1"/>
                <w:sz w:val="18"/>
                <w:szCs w:val="18"/>
              </w:rPr>
              <w:t>H</w:t>
            </w:r>
            <w:r w:rsidRPr="008A2411">
              <w:rPr>
                <w:color w:val="000000" w:themeColor="text1"/>
                <w:sz w:val="18"/>
                <w:szCs w:val="18"/>
                <w:vertAlign w:val="subscript"/>
              </w:rPr>
              <w:t>2</w:t>
            </w:r>
            <w:r w:rsidRPr="008A2411">
              <w:rPr>
                <w:color w:val="000000" w:themeColor="text1"/>
                <w:sz w:val="18"/>
                <w:szCs w:val="18"/>
              </w:rPr>
              <w:t>S</w:t>
            </w:r>
          </w:p>
        </w:tc>
        <w:tc>
          <w:tcPr>
            <w:tcW w:w="233" w:type="pct"/>
            <w:vAlign w:val="center"/>
          </w:tcPr>
          <w:p w14:paraId="4CD08EB0"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w:t>
            </w:r>
          </w:p>
        </w:tc>
        <w:tc>
          <w:tcPr>
            <w:tcW w:w="233" w:type="pct"/>
            <w:vAlign w:val="center"/>
          </w:tcPr>
          <w:p w14:paraId="77FECFB3"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w:t>
            </w:r>
          </w:p>
        </w:tc>
        <w:tc>
          <w:tcPr>
            <w:tcW w:w="233" w:type="pct"/>
            <w:vAlign w:val="center"/>
          </w:tcPr>
          <w:p w14:paraId="0572F719"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267E314E"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52365227"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08FA93B0"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10008189"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7E7619E4"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13CC37B7" w14:textId="77777777" w:rsidR="00475F44" w:rsidRPr="008A2411" w:rsidRDefault="00475F44">
            <w:pPr>
              <w:pStyle w:val="affffffffffffffffff7"/>
              <w:adjustRightInd w:val="0"/>
              <w:snapToGrid w:val="0"/>
              <w:rPr>
                <w:color w:val="000000" w:themeColor="text1"/>
                <w:sz w:val="18"/>
                <w:szCs w:val="18"/>
              </w:rPr>
            </w:pPr>
          </w:p>
        </w:tc>
      </w:tr>
      <w:tr w:rsidR="008A2411" w:rsidRPr="008A2411" w14:paraId="595A2217" w14:textId="77777777" w:rsidTr="00585BA0">
        <w:trPr>
          <w:trHeight w:val="283"/>
          <w:jc w:val="center"/>
        </w:trPr>
        <w:tc>
          <w:tcPr>
            <w:tcW w:w="233" w:type="pct"/>
            <w:vMerge/>
            <w:vAlign w:val="center"/>
          </w:tcPr>
          <w:p w14:paraId="03B1F541" w14:textId="77777777" w:rsidR="00475F44" w:rsidRPr="008A2411" w:rsidRDefault="00475F44">
            <w:pPr>
              <w:pStyle w:val="affffffffffffffffff7"/>
              <w:adjustRightInd w:val="0"/>
              <w:snapToGrid w:val="0"/>
              <w:rPr>
                <w:color w:val="000000" w:themeColor="text1"/>
                <w:sz w:val="18"/>
                <w:szCs w:val="18"/>
              </w:rPr>
            </w:pPr>
          </w:p>
        </w:tc>
        <w:tc>
          <w:tcPr>
            <w:tcW w:w="232" w:type="pct"/>
            <w:vMerge/>
            <w:vAlign w:val="center"/>
          </w:tcPr>
          <w:p w14:paraId="5D1A6B45" w14:textId="77777777" w:rsidR="00475F44" w:rsidRPr="008A2411" w:rsidRDefault="00475F44">
            <w:pPr>
              <w:pStyle w:val="affffffffffffffffff7"/>
              <w:adjustRightInd w:val="0"/>
              <w:snapToGrid w:val="0"/>
              <w:rPr>
                <w:color w:val="000000" w:themeColor="text1"/>
                <w:sz w:val="18"/>
                <w:szCs w:val="18"/>
              </w:rPr>
            </w:pPr>
          </w:p>
        </w:tc>
        <w:tc>
          <w:tcPr>
            <w:tcW w:w="232" w:type="pct"/>
            <w:vMerge/>
            <w:vAlign w:val="center"/>
          </w:tcPr>
          <w:p w14:paraId="599219CB" w14:textId="77777777" w:rsidR="00475F44" w:rsidRPr="008A2411" w:rsidRDefault="00475F44">
            <w:pPr>
              <w:pStyle w:val="affffffffffffffffff7"/>
              <w:adjustRightInd w:val="0"/>
              <w:snapToGrid w:val="0"/>
              <w:rPr>
                <w:color w:val="000000" w:themeColor="text1"/>
                <w:sz w:val="18"/>
                <w:szCs w:val="18"/>
              </w:rPr>
            </w:pPr>
          </w:p>
        </w:tc>
        <w:tc>
          <w:tcPr>
            <w:tcW w:w="1674" w:type="pct"/>
            <w:vAlign w:val="center"/>
          </w:tcPr>
          <w:p w14:paraId="54F477E2"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无组织排放</w:t>
            </w:r>
          </w:p>
        </w:tc>
        <w:tc>
          <w:tcPr>
            <w:tcW w:w="532" w:type="pct"/>
            <w:vAlign w:val="center"/>
          </w:tcPr>
          <w:p w14:paraId="41A7EB99" w14:textId="45952A2E"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NMHC</w:t>
            </w:r>
            <w:r w:rsidRPr="008A2411">
              <w:rPr>
                <w:color w:val="000000" w:themeColor="text1"/>
                <w:sz w:val="18"/>
                <w:szCs w:val="18"/>
              </w:rPr>
              <w:t>等气体</w:t>
            </w:r>
          </w:p>
        </w:tc>
        <w:tc>
          <w:tcPr>
            <w:tcW w:w="233" w:type="pct"/>
            <w:vAlign w:val="center"/>
          </w:tcPr>
          <w:p w14:paraId="620625E5"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w:t>
            </w:r>
          </w:p>
        </w:tc>
        <w:tc>
          <w:tcPr>
            <w:tcW w:w="233" w:type="pct"/>
            <w:vAlign w:val="center"/>
          </w:tcPr>
          <w:p w14:paraId="20E8AFD0"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w:t>
            </w:r>
          </w:p>
        </w:tc>
        <w:tc>
          <w:tcPr>
            <w:tcW w:w="233" w:type="pct"/>
            <w:vAlign w:val="center"/>
          </w:tcPr>
          <w:p w14:paraId="19AD8E70"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323E2A4B"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15E93D4A"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2FE102A5"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662F47B6"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3EDEEDCE"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0955C5C4" w14:textId="77777777" w:rsidR="00475F44" w:rsidRPr="008A2411" w:rsidRDefault="00475F44">
            <w:pPr>
              <w:pStyle w:val="affffffffffffffffff7"/>
              <w:adjustRightInd w:val="0"/>
              <w:snapToGrid w:val="0"/>
              <w:rPr>
                <w:color w:val="000000" w:themeColor="text1"/>
                <w:sz w:val="18"/>
                <w:szCs w:val="18"/>
              </w:rPr>
            </w:pPr>
          </w:p>
        </w:tc>
      </w:tr>
      <w:tr w:rsidR="008A2411" w:rsidRPr="008A2411" w14:paraId="3BCEC1B1" w14:textId="77777777" w:rsidTr="00585BA0">
        <w:trPr>
          <w:trHeight w:val="283"/>
          <w:jc w:val="center"/>
        </w:trPr>
        <w:tc>
          <w:tcPr>
            <w:tcW w:w="233" w:type="pct"/>
            <w:vMerge/>
            <w:vAlign w:val="center"/>
          </w:tcPr>
          <w:p w14:paraId="71DAABBD" w14:textId="77777777" w:rsidR="00475F44" w:rsidRPr="008A2411" w:rsidRDefault="00475F44">
            <w:pPr>
              <w:pStyle w:val="affffffffffffffffff7"/>
              <w:adjustRightInd w:val="0"/>
              <w:snapToGrid w:val="0"/>
              <w:rPr>
                <w:color w:val="000000" w:themeColor="text1"/>
                <w:sz w:val="18"/>
                <w:szCs w:val="18"/>
              </w:rPr>
            </w:pPr>
          </w:p>
        </w:tc>
        <w:tc>
          <w:tcPr>
            <w:tcW w:w="232" w:type="pct"/>
            <w:vMerge/>
            <w:vAlign w:val="center"/>
          </w:tcPr>
          <w:p w14:paraId="6CFB5443" w14:textId="77777777" w:rsidR="00475F44" w:rsidRPr="008A2411" w:rsidRDefault="00475F44">
            <w:pPr>
              <w:pStyle w:val="affffffffffffffffff7"/>
              <w:adjustRightInd w:val="0"/>
              <w:snapToGrid w:val="0"/>
              <w:rPr>
                <w:color w:val="000000" w:themeColor="text1"/>
                <w:sz w:val="18"/>
                <w:szCs w:val="18"/>
              </w:rPr>
            </w:pPr>
          </w:p>
        </w:tc>
        <w:tc>
          <w:tcPr>
            <w:tcW w:w="232" w:type="pct"/>
            <w:vMerge w:val="restart"/>
            <w:vAlign w:val="center"/>
          </w:tcPr>
          <w:p w14:paraId="00DC900B"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废水</w:t>
            </w:r>
          </w:p>
        </w:tc>
        <w:tc>
          <w:tcPr>
            <w:tcW w:w="1674" w:type="pct"/>
            <w:vAlign w:val="center"/>
          </w:tcPr>
          <w:p w14:paraId="288EB9A8" w14:textId="77777777" w:rsidR="00475F44" w:rsidRPr="008A2411" w:rsidRDefault="00475F44">
            <w:pPr>
              <w:spacing w:line="280" w:lineRule="exact"/>
              <w:jc w:val="center"/>
              <w:rPr>
                <w:rFonts w:ascii="Times New Roman"/>
                <w:color w:val="000000" w:themeColor="text1"/>
                <w:kern w:val="2"/>
                <w:sz w:val="18"/>
                <w:szCs w:val="18"/>
              </w:rPr>
            </w:pPr>
            <w:r w:rsidRPr="008A2411">
              <w:rPr>
                <w:rFonts w:ascii="Times New Roman"/>
                <w:color w:val="000000" w:themeColor="text1"/>
                <w:kern w:val="2"/>
                <w:sz w:val="18"/>
                <w:szCs w:val="18"/>
              </w:rPr>
              <w:t>进口分离器废水</w:t>
            </w:r>
          </w:p>
        </w:tc>
        <w:tc>
          <w:tcPr>
            <w:tcW w:w="532" w:type="pct"/>
            <w:vAlign w:val="center"/>
          </w:tcPr>
          <w:p w14:paraId="06753CB3" w14:textId="77777777" w:rsidR="00475F44" w:rsidRPr="008A2411" w:rsidRDefault="00475F44">
            <w:pPr>
              <w:pStyle w:val="affffffffffffffffff7"/>
              <w:adjustRightInd w:val="0"/>
              <w:snapToGrid w:val="0"/>
              <w:rPr>
                <w:color w:val="000000" w:themeColor="text1"/>
                <w:sz w:val="18"/>
                <w:szCs w:val="18"/>
                <w:lang w:val="pt-BR"/>
              </w:rPr>
            </w:pPr>
            <w:r w:rsidRPr="008A2411">
              <w:rPr>
                <w:color w:val="000000" w:themeColor="text1"/>
                <w:sz w:val="18"/>
                <w:szCs w:val="18"/>
                <w:lang w:val="pt-BR"/>
              </w:rPr>
              <w:t>SS</w:t>
            </w:r>
            <w:r w:rsidRPr="008A2411">
              <w:rPr>
                <w:color w:val="000000" w:themeColor="text1"/>
                <w:sz w:val="18"/>
                <w:szCs w:val="18"/>
                <w:lang w:val="pt-BR"/>
              </w:rPr>
              <w:t>、</w:t>
            </w:r>
            <w:r w:rsidRPr="008A2411">
              <w:rPr>
                <w:color w:val="000000" w:themeColor="text1"/>
                <w:sz w:val="18"/>
                <w:szCs w:val="18"/>
                <w:lang w:val="pt-BR"/>
              </w:rPr>
              <w:t>COD</w:t>
            </w:r>
            <w:r w:rsidRPr="008A2411">
              <w:rPr>
                <w:color w:val="000000" w:themeColor="text1"/>
                <w:sz w:val="18"/>
                <w:szCs w:val="18"/>
              </w:rPr>
              <w:t>、石油类</w:t>
            </w:r>
          </w:p>
        </w:tc>
        <w:tc>
          <w:tcPr>
            <w:tcW w:w="233" w:type="pct"/>
            <w:vAlign w:val="center"/>
          </w:tcPr>
          <w:p w14:paraId="5AA655C3"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w:t>
            </w:r>
          </w:p>
        </w:tc>
        <w:tc>
          <w:tcPr>
            <w:tcW w:w="233" w:type="pct"/>
            <w:vAlign w:val="center"/>
          </w:tcPr>
          <w:p w14:paraId="3A34FAE9"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1D8A8F5E"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w:t>
            </w:r>
          </w:p>
        </w:tc>
        <w:tc>
          <w:tcPr>
            <w:tcW w:w="233" w:type="pct"/>
            <w:vAlign w:val="center"/>
          </w:tcPr>
          <w:p w14:paraId="67AAD101"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w:t>
            </w:r>
          </w:p>
        </w:tc>
        <w:tc>
          <w:tcPr>
            <w:tcW w:w="233" w:type="pct"/>
            <w:vAlign w:val="center"/>
          </w:tcPr>
          <w:p w14:paraId="1F20F49F"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4E5548C2"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38D521E1"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638181B0"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7A592BAE" w14:textId="77777777" w:rsidR="00475F44" w:rsidRPr="008A2411" w:rsidRDefault="00475F44">
            <w:pPr>
              <w:pStyle w:val="affffffffffffffffff7"/>
              <w:adjustRightInd w:val="0"/>
              <w:snapToGrid w:val="0"/>
              <w:rPr>
                <w:color w:val="000000" w:themeColor="text1"/>
                <w:sz w:val="18"/>
                <w:szCs w:val="18"/>
              </w:rPr>
            </w:pPr>
          </w:p>
        </w:tc>
      </w:tr>
      <w:tr w:rsidR="008A2411" w:rsidRPr="008A2411" w14:paraId="40684FF2" w14:textId="77777777" w:rsidTr="00585BA0">
        <w:trPr>
          <w:trHeight w:val="283"/>
          <w:jc w:val="center"/>
        </w:trPr>
        <w:tc>
          <w:tcPr>
            <w:tcW w:w="233" w:type="pct"/>
            <w:vMerge/>
            <w:vAlign w:val="center"/>
          </w:tcPr>
          <w:p w14:paraId="05E96DEF" w14:textId="77777777" w:rsidR="00475F44" w:rsidRPr="008A2411" w:rsidRDefault="00475F44">
            <w:pPr>
              <w:pStyle w:val="affffffffffffffffff7"/>
              <w:adjustRightInd w:val="0"/>
              <w:snapToGrid w:val="0"/>
              <w:rPr>
                <w:color w:val="000000" w:themeColor="text1"/>
                <w:sz w:val="18"/>
                <w:szCs w:val="18"/>
              </w:rPr>
            </w:pPr>
          </w:p>
        </w:tc>
        <w:tc>
          <w:tcPr>
            <w:tcW w:w="232" w:type="pct"/>
            <w:vMerge/>
            <w:vAlign w:val="center"/>
          </w:tcPr>
          <w:p w14:paraId="672B1A00" w14:textId="77777777" w:rsidR="00475F44" w:rsidRPr="008A2411" w:rsidRDefault="00475F44">
            <w:pPr>
              <w:pStyle w:val="affffffffffffffffff7"/>
              <w:adjustRightInd w:val="0"/>
              <w:snapToGrid w:val="0"/>
              <w:rPr>
                <w:color w:val="000000" w:themeColor="text1"/>
                <w:sz w:val="18"/>
                <w:szCs w:val="18"/>
              </w:rPr>
            </w:pPr>
          </w:p>
        </w:tc>
        <w:tc>
          <w:tcPr>
            <w:tcW w:w="232" w:type="pct"/>
            <w:vMerge/>
            <w:vAlign w:val="center"/>
          </w:tcPr>
          <w:p w14:paraId="7B916A55" w14:textId="77777777" w:rsidR="00475F44" w:rsidRPr="008A2411" w:rsidRDefault="00475F44">
            <w:pPr>
              <w:pStyle w:val="affffffffffffffffff7"/>
              <w:adjustRightInd w:val="0"/>
              <w:snapToGrid w:val="0"/>
              <w:rPr>
                <w:color w:val="000000" w:themeColor="text1"/>
                <w:sz w:val="18"/>
                <w:szCs w:val="18"/>
              </w:rPr>
            </w:pPr>
          </w:p>
        </w:tc>
        <w:tc>
          <w:tcPr>
            <w:tcW w:w="1674" w:type="pct"/>
            <w:vAlign w:val="center"/>
          </w:tcPr>
          <w:p w14:paraId="14A93425" w14:textId="77777777" w:rsidR="00475F44" w:rsidRPr="008A2411" w:rsidRDefault="00475F44">
            <w:pPr>
              <w:spacing w:line="280" w:lineRule="exact"/>
              <w:jc w:val="center"/>
              <w:rPr>
                <w:rFonts w:ascii="Times New Roman"/>
                <w:color w:val="000000" w:themeColor="text1"/>
                <w:kern w:val="2"/>
                <w:sz w:val="18"/>
                <w:szCs w:val="18"/>
              </w:rPr>
            </w:pPr>
            <w:r w:rsidRPr="008A2411">
              <w:rPr>
                <w:rFonts w:ascii="Times New Roman"/>
                <w:color w:val="000000" w:themeColor="text1"/>
                <w:kern w:val="2"/>
                <w:sz w:val="18"/>
                <w:szCs w:val="18"/>
              </w:rPr>
              <w:t>脱水再生器冷却器凝液</w:t>
            </w:r>
          </w:p>
        </w:tc>
        <w:tc>
          <w:tcPr>
            <w:tcW w:w="532" w:type="pct"/>
            <w:vAlign w:val="center"/>
          </w:tcPr>
          <w:p w14:paraId="3A422D42" w14:textId="77777777" w:rsidR="00475F44" w:rsidRPr="008A2411" w:rsidRDefault="00475F44">
            <w:pPr>
              <w:pStyle w:val="affffffffffffffffff7"/>
              <w:adjustRightInd w:val="0"/>
              <w:snapToGrid w:val="0"/>
              <w:rPr>
                <w:color w:val="000000" w:themeColor="text1"/>
                <w:sz w:val="18"/>
                <w:szCs w:val="18"/>
                <w:lang w:val="pt-BR"/>
              </w:rPr>
            </w:pPr>
            <w:r w:rsidRPr="008A2411">
              <w:rPr>
                <w:color w:val="000000" w:themeColor="text1"/>
                <w:sz w:val="18"/>
                <w:szCs w:val="18"/>
                <w:lang w:val="pt-BR"/>
              </w:rPr>
              <w:t>COD</w:t>
            </w:r>
            <w:r w:rsidRPr="008A2411">
              <w:rPr>
                <w:color w:val="000000" w:themeColor="text1"/>
                <w:sz w:val="18"/>
                <w:szCs w:val="18"/>
              </w:rPr>
              <w:t>、石油类</w:t>
            </w:r>
          </w:p>
        </w:tc>
        <w:tc>
          <w:tcPr>
            <w:tcW w:w="233" w:type="pct"/>
            <w:vAlign w:val="center"/>
          </w:tcPr>
          <w:p w14:paraId="17CF1133"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w:t>
            </w:r>
          </w:p>
        </w:tc>
        <w:tc>
          <w:tcPr>
            <w:tcW w:w="233" w:type="pct"/>
            <w:vAlign w:val="center"/>
          </w:tcPr>
          <w:p w14:paraId="7DD38B4B"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3793BE2C"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w:t>
            </w:r>
          </w:p>
        </w:tc>
        <w:tc>
          <w:tcPr>
            <w:tcW w:w="233" w:type="pct"/>
            <w:vAlign w:val="center"/>
          </w:tcPr>
          <w:p w14:paraId="39F376A0"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w:t>
            </w:r>
          </w:p>
        </w:tc>
        <w:tc>
          <w:tcPr>
            <w:tcW w:w="233" w:type="pct"/>
            <w:vAlign w:val="center"/>
          </w:tcPr>
          <w:p w14:paraId="4C1AAD65"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367ACA4B"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1FAF677B"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2721910F"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4DC6A8D7" w14:textId="77777777" w:rsidR="00475F44" w:rsidRPr="008A2411" w:rsidRDefault="00475F44">
            <w:pPr>
              <w:pStyle w:val="affffffffffffffffff7"/>
              <w:adjustRightInd w:val="0"/>
              <w:snapToGrid w:val="0"/>
              <w:rPr>
                <w:color w:val="000000" w:themeColor="text1"/>
                <w:sz w:val="18"/>
                <w:szCs w:val="18"/>
              </w:rPr>
            </w:pPr>
          </w:p>
        </w:tc>
      </w:tr>
      <w:tr w:rsidR="008A2411" w:rsidRPr="008A2411" w14:paraId="24226ED9" w14:textId="77777777" w:rsidTr="00585BA0">
        <w:trPr>
          <w:trHeight w:val="283"/>
          <w:jc w:val="center"/>
        </w:trPr>
        <w:tc>
          <w:tcPr>
            <w:tcW w:w="233" w:type="pct"/>
            <w:vMerge/>
            <w:vAlign w:val="center"/>
          </w:tcPr>
          <w:p w14:paraId="7CCFCB5B" w14:textId="77777777" w:rsidR="00475F44" w:rsidRPr="008A2411" w:rsidRDefault="00475F44">
            <w:pPr>
              <w:pStyle w:val="affffffffffffffffff7"/>
              <w:adjustRightInd w:val="0"/>
              <w:snapToGrid w:val="0"/>
              <w:rPr>
                <w:color w:val="000000" w:themeColor="text1"/>
                <w:sz w:val="18"/>
                <w:szCs w:val="18"/>
              </w:rPr>
            </w:pPr>
          </w:p>
        </w:tc>
        <w:tc>
          <w:tcPr>
            <w:tcW w:w="232" w:type="pct"/>
            <w:vMerge/>
            <w:vAlign w:val="center"/>
          </w:tcPr>
          <w:p w14:paraId="4AB95719" w14:textId="77777777" w:rsidR="00475F44" w:rsidRPr="008A2411" w:rsidRDefault="00475F44">
            <w:pPr>
              <w:pStyle w:val="affffffffffffffffff7"/>
              <w:adjustRightInd w:val="0"/>
              <w:snapToGrid w:val="0"/>
              <w:rPr>
                <w:color w:val="000000" w:themeColor="text1"/>
                <w:sz w:val="18"/>
                <w:szCs w:val="18"/>
              </w:rPr>
            </w:pPr>
          </w:p>
        </w:tc>
        <w:tc>
          <w:tcPr>
            <w:tcW w:w="232" w:type="pct"/>
            <w:vMerge/>
            <w:vAlign w:val="center"/>
          </w:tcPr>
          <w:p w14:paraId="434F296E" w14:textId="77777777" w:rsidR="00475F44" w:rsidRPr="008A2411" w:rsidRDefault="00475F44">
            <w:pPr>
              <w:pStyle w:val="affffffffffffffffff7"/>
              <w:adjustRightInd w:val="0"/>
              <w:snapToGrid w:val="0"/>
              <w:rPr>
                <w:color w:val="000000" w:themeColor="text1"/>
                <w:sz w:val="18"/>
                <w:szCs w:val="18"/>
              </w:rPr>
            </w:pPr>
          </w:p>
        </w:tc>
        <w:tc>
          <w:tcPr>
            <w:tcW w:w="1674" w:type="pct"/>
            <w:vAlign w:val="center"/>
          </w:tcPr>
          <w:p w14:paraId="4EF54883" w14:textId="77777777" w:rsidR="00475F44" w:rsidRPr="008A2411" w:rsidRDefault="00475F44">
            <w:pPr>
              <w:spacing w:line="280" w:lineRule="exact"/>
              <w:jc w:val="center"/>
              <w:rPr>
                <w:rFonts w:ascii="Times New Roman"/>
                <w:color w:val="000000" w:themeColor="text1"/>
                <w:kern w:val="2"/>
                <w:sz w:val="18"/>
                <w:szCs w:val="18"/>
              </w:rPr>
            </w:pPr>
            <w:r w:rsidRPr="008A2411">
              <w:rPr>
                <w:rFonts w:ascii="Times New Roman"/>
                <w:color w:val="000000" w:themeColor="text1"/>
                <w:kern w:val="2"/>
                <w:sz w:val="18"/>
                <w:szCs w:val="18"/>
              </w:rPr>
              <w:t>脱盐水装置排水</w:t>
            </w:r>
          </w:p>
        </w:tc>
        <w:tc>
          <w:tcPr>
            <w:tcW w:w="532" w:type="pct"/>
            <w:vAlign w:val="center"/>
          </w:tcPr>
          <w:p w14:paraId="32EBA47B" w14:textId="77777777" w:rsidR="00475F44" w:rsidRPr="008A2411" w:rsidRDefault="00475F44">
            <w:pPr>
              <w:pStyle w:val="affffffffffffffffff7"/>
              <w:adjustRightInd w:val="0"/>
              <w:snapToGrid w:val="0"/>
              <w:rPr>
                <w:color w:val="000000" w:themeColor="text1"/>
                <w:sz w:val="18"/>
                <w:szCs w:val="18"/>
                <w:lang w:val="pt-BR"/>
              </w:rPr>
            </w:pPr>
            <w:r w:rsidRPr="008A2411">
              <w:rPr>
                <w:color w:val="000000" w:themeColor="text1"/>
                <w:sz w:val="18"/>
                <w:szCs w:val="18"/>
                <w:lang w:val="pt-BR"/>
              </w:rPr>
              <w:t>SS</w:t>
            </w:r>
            <w:r w:rsidRPr="008A2411">
              <w:rPr>
                <w:color w:val="000000" w:themeColor="text1"/>
                <w:sz w:val="18"/>
                <w:szCs w:val="18"/>
                <w:lang w:val="pt-BR"/>
              </w:rPr>
              <w:t>、</w:t>
            </w:r>
            <w:r w:rsidRPr="008A2411">
              <w:rPr>
                <w:color w:val="000000" w:themeColor="text1"/>
                <w:sz w:val="18"/>
                <w:szCs w:val="18"/>
                <w:lang w:val="pt-BR"/>
              </w:rPr>
              <w:t>COD</w:t>
            </w:r>
            <w:r w:rsidRPr="008A2411">
              <w:rPr>
                <w:color w:val="000000" w:themeColor="text1"/>
                <w:sz w:val="18"/>
                <w:szCs w:val="18"/>
                <w:lang w:val="pt-BR"/>
              </w:rPr>
              <w:t>、</w:t>
            </w:r>
            <w:r w:rsidRPr="008A2411">
              <w:rPr>
                <w:color w:val="000000" w:themeColor="text1"/>
                <w:sz w:val="18"/>
                <w:szCs w:val="18"/>
              </w:rPr>
              <w:t>Cl</w:t>
            </w:r>
            <w:r w:rsidRPr="008A2411">
              <w:rPr>
                <w:color w:val="000000" w:themeColor="text1"/>
                <w:sz w:val="18"/>
                <w:szCs w:val="18"/>
                <w:vertAlign w:val="superscript"/>
              </w:rPr>
              <w:t>-</w:t>
            </w:r>
          </w:p>
        </w:tc>
        <w:tc>
          <w:tcPr>
            <w:tcW w:w="233" w:type="pct"/>
            <w:vAlign w:val="center"/>
          </w:tcPr>
          <w:p w14:paraId="1511C2D3"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w:t>
            </w:r>
          </w:p>
        </w:tc>
        <w:tc>
          <w:tcPr>
            <w:tcW w:w="233" w:type="pct"/>
            <w:vAlign w:val="center"/>
          </w:tcPr>
          <w:p w14:paraId="656BDEB5"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764BBF96"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w:t>
            </w:r>
          </w:p>
        </w:tc>
        <w:tc>
          <w:tcPr>
            <w:tcW w:w="233" w:type="pct"/>
            <w:vAlign w:val="center"/>
          </w:tcPr>
          <w:p w14:paraId="5301C4AB"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w:t>
            </w:r>
          </w:p>
        </w:tc>
        <w:tc>
          <w:tcPr>
            <w:tcW w:w="233" w:type="pct"/>
            <w:vAlign w:val="center"/>
          </w:tcPr>
          <w:p w14:paraId="05E2B29C"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64EAC005"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1CD5663F"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41C03DFA"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0716776A" w14:textId="77777777" w:rsidR="00475F44" w:rsidRPr="008A2411" w:rsidRDefault="00475F44">
            <w:pPr>
              <w:pStyle w:val="affffffffffffffffff7"/>
              <w:adjustRightInd w:val="0"/>
              <w:snapToGrid w:val="0"/>
              <w:rPr>
                <w:color w:val="000000" w:themeColor="text1"/>
                <w:sz w:val="18"/>
                <w:szCs w:val="18"/>
              </w:rPr>
            </w:pPr>
          </w:p>
        </w:tc>
      </w:tr>
      <w:tr w:rsidR="008A2411" w:rsidRPr="008A2411" w14:paraId="160E462F" w14:textId="77777777" w:rsidTr="00585BA0">
        <w:trPr>
          <w:trHeight w:val="283"/>
          <w:jc w:val="center"/>
        </w:trPr>
        <w:tc>
          <w:tcPr>
            <w:tcW w:w="233" w:type="pct"/>
            <w:vMerge/>
            <w:vAlign w:val="center"/>
          </w:tcPr>
          <w:p w14:paraId="58033DD1" w14:textId="77777777" w:rsidR="00475F44" w:rsidRPr="008A2411" w:rsidRDefault="00475F44">
            <w:pPr>
              <w:pStyle w:val="affffffffffffffffff7"/>
              <w:adjustRightInd w:val="0"/>
              <w:snapToGrid w:val="0"/>
              <w:rPr>
                <w:color w:val="000000" w:themeColor="text1"/>
                <w:sz w:val="18"/>
                <w:szCs w:val="18"/>
              </w:rPr>
            </w:pPr>
          </w:p>
        </w:tc>
        <w:tc>
          <w:tcPr>
            <w:tcW w:w="232" w:type="pct"/>
            <w:vMerge/>
            <w:vAlign w:val="center"/>
          </w:tcPr>
          <w:p w14:paraId="0F67639B" w14:textId="77777777" w:rsidR="00475F44" w:rsidRPr="008A2411" w:rsidRDefault="00475F44">
            <w:pPr>
              <w:pStyle w:val="affffffffffffffffff7"/>
              <w:adjustRightInd w:val="0"/>
              <w:snapToGrid w:val="0"/>
              <w:rPr>
                <w:color w:val="000000" w:themeColor="text1"/>
                <w:sz w:val="18"/>
                <w:szCs w:val="18"/>
              </w:rPr>
            </w:pPr>
          </w:p>
        </w:tc>
        <w:tc>
          <w:tcPr>
            <w:tcW w:w="232" w:type="pct"/>
            <w:vMerge/>
            <w:vAlign w:val="center"/>
          </w:tcPr>
          <w:p w14:paraId="0C64DB46" w14:textId="77777777" w:rsidR="00475F44" w:rsidRPr="008A2411" w:rsidRDefault="00475F44">
            <w:pPr>
              <w:pStyle w:val="affffffffffffffffff7"/>
              <w:adjustRightInd w:val="0"/>
              <w:snapToGrid w:val="0"/>
              <w:rPr>
                <w:color w:val="000000" w:themeColor="text1"/>
                <w:sz w:val="18"/>
                <w:szCs w:val="18"/>
              </w:rPr>
            </w:pPr>
          </w:p>
        </w:tc>
        <w:tc>
          <w:tcPr>
            <w:tcW w:w="1674" w:type="pct"/>
            <w:vAlign w:val="center"/>
          </w:tcPr>
          <w:p w14:paraId="143CB51E" w14:textId="77777777" w:rsidR="00475F44" w:rsidRPr="008A2411" w:rsidRDefault="00475F44">
            <w:pPr>
              <w:spacing w:line="280" w:lineRule="exact"/>
              <w:jc w:val="center"/>
              <w:rPr>
                <w:rFonts w:ascii="Times New Roman"/>
                <w:color w:val="000000" w:themeColor="text1"/>
                <w:kern w:val="2"/>
                <w:sz w:val="18"/>
                <w:szCs w:val="18"/>
              </w:rPr>
            </w:pPr>
            <w:r w:rsidRPr="008A2411">
              <w:rPr>
                <w:rFonts w:ascii="Times New Roman"/>
                <w:color w:val="000000" w:themeColor="text1"/>
                <w:kern w:val="2"/>
                <w:sz w:val="18"/>
                <w:szCs w:val="18"/>
              </w:rPr>
              <w:t>循环水系统</w:t>
            </w:r>
          </w:p>
        </w:tc>
        <w:tc>
          <w:tcPr>
            <w:tcW w:w="532" w:type="pct"/>
            <w:vAlign w:val="center"/>
          </w:tcPr>
          <w:p w14:paraId="77FD0B93"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COD</w:t>
            </w:r>
            <w:r w:rsidRPr="008A2411">
              <w:rPr>
                <w:color w:val="000000" w:themeColor="text1"/>
                <w:sz w:val="18"/>
                <w:szCs w:val="18"/>
              </w:rPr>
              <w:t>、</w:t>
            </w:r>
            <w:r w:rsidRPr="008A2411">
              <w:rPr>
                <w:color w:val="000000" w:themeColor="text1"/>
                <w:sz w:val="18"/>
                <w:szCs w:val="18"/>
              </w:rPr>
              <w:t>SS</w:t>
            </w:r>
          </w:p>
        </w:tc>
        <w:tc>
          <w:tcPr>
            <w:tcW w:w="233" w:type="pct"/>
            <w:vAlign w:val="center"/>
          </w:tcPr>
          <w:p w14:paraId="41B1F1C6"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w:t>
            </w:r>
          </w:p>
        </w:tc>
        <w:tc>
          <w:tcPr>
            <w:tcW w:w="233" w:type="pct"/>
            <w:vAlign w:val="center"/>
          </w:tcPr>
          <w:p w14:paraId="62951E02"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0DAD0DD8"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w:t>
            </w:r>
          </w:p>
        </w:tc>
        <w:tc>
          <w:tcPr>
            <w:tcW w:w="233" w:type="pct"/>
            <w:vAlign w:val="center"/>
          </w:tcPr>
          <w:p w14:paraId="42F8C626"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5CD67FDC"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2BF415E1"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4DF83559"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462384A7"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5BA4D508" w14:textId="77777777" w:rsidR="00475F44" w:rsidRPr="008A2411" w:rsidRDefault="00475F44">
            <w:pPr>
              <w:pStyle w:val="affffffffffffffffff7"/>
              <w:adjustRightInd w:val="0"/>
              <w:snapToGrid w:val="0"/>
              <w:rPr>
                <w:color w:val="000000" w:themeColor="text1"/>
                <w:sz w:val="18"/>
                <w:szCs w:val="18"/>
              </w:rPr>
            </w:pPr>
          </w:p>
        </w:tc>
      </w:tr>
      <w:tr w:rsidR="008A2411" w:rsidRPr="008A2411" w14:paraId="66D4DB60" w14:textId="77777777" w:rsidTr="00585BA0">
        <w:trPr>
          <w:trHeight w:val="283"/>
          <w:jc w:val="center"/>
        </w:trPr>
        <w:tc>
          <w:tcPr>
            <w:tcW w:w="233" w:type="pct"/>
            <w:vMerge/>
            <w:vAlign w:val="center"/>
          </w:tcPr>
          <w:p w14:paraId="3CA7238F" w14:textId="77777777" w:rsidR="00475F44" w:rsidRPr="008A2411" w:rsidRDefault="00475F44">
            <w:pPr>
              <w:pStyle w:val="affffffffffffffffff7"/>
              <w:adjustRightInd w:val="0"/>
              <w:snapToGrid w:val="0"/>
              <w:rPr>
                <w:color w:val="000000" w:themeColor="text1"/>
                <w:sz w:val="18"/>
                <w:szCs w:val="18"/>
              </w:rPr>
            </w:pPr>
          </w:p>
        </w:tc>
        <w:tc>
          <w:tcPr>
            <w:tcW w:w="232" w:type="pct"/>
            <w:vMerge/>
            <w:vAlign w:val="center"/>
          </w:tcPr>
          <w:p w14:paraId="730BFE69" w14:textId="77777777" w:rsidR="00475F44" w:rsidRPr="008A2411" w:rsidRDefault="00475F44">
            <w:pPr>
              <w:pStyle w:val="affffffffffffffffff7"/>
              <w:adjustRightInd w:val="0"/>
              <w:snapToGrid w:val="0"/>
              <w:rPr>
                <w:color w:val="000000" w:themeColor="text1"/>
                <w:sz w:val="18"/>
                <w:szCs w:val="18"/>
              </w:rPr>
            </w:pPr>
          </w:p>
        </w:tc>
        <w:tc>
          <w:tcPr>
            <w:tcW w:w="232" w:type="pct"/>
            <w:vMerge/>
            <w:vAlign w:val="center"/>
          </w:tcPr>
          <w:p w14:paraId="2E2BFDB4" w14:textId="77777777" w:rsidR="00475F44" w:rsidRPr="008A2411" w:rsidRDefault="00475F44">
            <w:pPr>
              <w:pStyle w:val="affffffffffffffffff7"/>
              <w:adjustRightInd w:val="0"/>
              <w:snapToGrid w:val="0"/>
              <w:rPr>
                <w:color w:val="000000" w:themeColor="text1"/>
                <w:sz w:val="18"/>
                <w:szCs w:val="18"/>
              </w:rPr>
            </w:pPr>
          </w:p>
        </w:tc>
        <w:tc>
          <w:tcPr>
            <w:tcW w:w="1674" w:type="pct"/>
            <w:vAlign w:val="center"/>
          </w:tcPr>
          <w:p w14:paraId="68B0AA18" w14:textId="77777777" w:rsidR="00475F44" w:rsidRPr="008A2411" w:rsidRDefault="00475F44">
            <w:pPr>
              <w:pStyle w:val="aff9"/>
              <w:spacing w:line="280" w:lineRule="exact"/>
              <w:ind w:leftChars="-50" w:left="-120" w:rightChars="-50" w:right="-120" w:firstLine="13"/>
              <w:jc w:val="center"/>
              <w:rPr>
                <w:rFonts w:ascii="Times New Roman" w:eastAsia="宋体" w:hAnsi="Times New Roman" w:cs="Times New Roman"/>
                <w:color w:val="000000" w:themeColor="text1"/>
                <w:kern w:val="2"/>
                <w:sz w:val="18"/>
                <w:szCs w:val="18"/>
              </w:rPr>
            </w:pPr>
            <w:r w:rsidRPr="008A2411">
              <w:rPr>
                <w:rFonts w:ascii="Times New Roman" w:eastAsia="宋体" w:hAnsi="Times New Roman" w:cs="Times New Roman"/>
                <w:color w:val="000000" w:themeColor="text1"/>
                <w:kern w:val="2"/>
                <w:sz w:val="18"/>
                <w:szCs w:val="18"/>
              </w:rPr>
              <w:t>生活污水</w:t>
            </w:r>
          </w:p>
        </w:tc>
        <w:tc>
          <w:tcPr>
            <w:tcW w:w="532" w:type="pct"/>
            <w:vAlign w:val="center"/>
          </w:tcPr>
          <w:p w14:paraId="5C7A5467" w14:textId="77777777" w:rsidR="00475F44" w:rsidRPr="008A2411" w:rsidRDefault="00475F44">
            <w:pPr>
              <w:pStyle w:val="affffffffffffffffff7"/>
              <w:adjustRightInd w:val="0"/>
              <w:snapToGrid w:val="0"/>
              <w:rPr>
                <w:color w:val="000000" w:themeColor="text1"/>
                <w:sz w:val="18"/>
                <w:szCs w:val="18"/>
                <w:lang w:val="pt-BR"/>
              </w:rPr>
            </w:pPr>
            <w:r w:rsidRPr="008A2411">
              <w:rPr>
                <w:color w:val="000000" w:themeColor="text1"/>
                <w:sz w:val="18"/>
                <w:szCs w:val="18"/>
                <w:lang w:val="pt-BR"/>
              </w:rPr>
              <w:t>COD</w:t>
            </w:r>
            <w:r w:rsidRPr="008A2411">
              <w:rPr>
                <w:color w:val="000000" w:themeColor="text1"/>
                <w:sz w:val="18"/>
                <w:szCs w:val="18"/>
              </w:rPr>
              <w:t>、</w:t>
            </w:r>
            <w:r w:rsidRPr="008A2411">
              <w:rPr>
                <w:color w:val="000000" w:themeColor="text1"/>
                <w:sz w:val="18"/>
                <w:szCs w:val="18"/>
              </w:rPr>
              <w:t>SS</w:t>
            </w:r>
            <w:r w:rsidRPr="008A2411">
              <w:rPr>
                <w:color w:val="000000" w:themeColor="text1"/>
                <w:sz w:val="18"/>
                <w:szCs w:val="18"/>
              </w:rPr>
              <w:t>、</w:t>
            </w:r>
            <w:r w:rsidRPr="008A2411">
              <w:rPr>
                <w:color w:val="000000" w:themeColor="text1"/>
                <w:sz w:val="18"/>
                <w:szCs w:val="18"/>
                <w:lang w:val="pt-BR"/>
              </w:rPr>
              <w:t>NH</w:t>
            </w:r>
            <w:r w:rsidRPr="008A2411">
              <w:rPr>
                <w:color w:val="000000" w:themeColor="text1"/>
                <w:sz w:val="18"/>
                <w:szCs w:val="18"/>
                <w:vertAlign w:val="subscript"/>
                <w:lang w:val="pt-BR"/>
              </w:rPr>
              <w:t>3</w:t>
            </w:r>
            <w:r w:rsidRPr="008A2411">
              <w:rPr>
                <w:color w:val="000000" w:themeColor="text1"/>
                <w:sz w:val="18"/>
                <w:szCs w:val="18"/>
                <w:lang w:val="pt-BR"/>
              </w:rPr>
              <w:t>-N</w:t>
            </w:r>
            <w:r w:rsidRPr="008A2411">
              <w:rPr>
                <w:color w:val="000000" w:themeColor="text1"/>
                <w:sz w:val="18"/>
                <w:szCs w:val="18"/>
                <w:lang w:val="pt-BR"/>
              </w:rPr>
              <w:t>、</w:t>
            </w:r>
            <w:r w:rsidRPr="008A2411">
              <w:rPr>
                <w:color w:val="000000" w:themeColor="text1"/>
                <w:sz w:val="18"/>
                <w:szCs w:val="18"/>
              </w:rPr>
              <w:t>TP</w:t>
            </w:r>
            <w:r w:rsidRPr="008A2411">
              <w:rPr>
                <w:color w:val="000000" w:themeColor="text1"/>
                <w:sz w:val="18"/>
                <w:szCs w:val="18"/>
              </w:rPr>
              <w:t>、</w:t>
            </w:r>
            <w:r w:rsidRPr="008A2411">
              <w:rPr>
                <w:color w:val="000000" w:themeColor="text1"/>
                <w:sz w:val="18"/>
                <w:szCs w:val="18"/>
              </w:rPr>
              <w:t>TN</w:t>
            </w:r>
          </w:p>
        </w:tc>
        <w:tc>
          <w:tcPr>
            <w:tcW w:w="233" w:type="pct"/>
            <w:vAlign w:val="center"/>
          </w:tcPr>
          <w:p w14:paraId="5C04CCA8"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w:t>
            </w:r>
          </w:p>
        </w:tc>
        <w:tc>
          <w:tcPr>
            <w:tcW w:w="233" w:type="pct"/>
            <w:vAlign w:val="center"/>
          </w:tcPr>
          <w:p w14:paraId="3F2C2FAF"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1D2E2092"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0DA44C45"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w:t>
            </w:r>
          </w:p>
        </w:tc>
        <w:tc>
          <w:tcPr>
            <w:tcW w:w="233" w:type="pct"/>
            <w:vAlign w:val="center"/>
          </w:tcPr>
          <w:p w14:paraId="730EB4A0"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16345BDC"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71B4B29A"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3C34BA2D"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4DD7307B" w14:textId="77777777" w:rsidR="00475F44" w:rsidRPr="008A2411" w:rsidRDefault="00475F44">
            <w:pPr>
              <w:pStyle w:val="affffffffffffffffff7"/>
              <w:adjustRightInd w:val="0"/>
              <w:snapToGrid w:val="0"/>
              <w:rPr>
                <w:color w:val="000000" w:themeColor="text1"/>
                <w:sz w:val="18"/>
                <w:szCs w:val="18"/>
              </w:rPr>
            </w:pPr>
          </w:p>
        </w:tc>
      </w:tr>
      <w:tr w:rsidR="008A2411" w:rsidRPr="008A2411" w14:paraId="101FACA5" w14:textId="77777777" w:rsidTr="00585BA0">
        <w:trPr>
          <w:trHeight w:val="283"/>
          <w:jc w:val="center"/>
        </w:trPr>
        <w:tc>
          <w:tcPr>
            <w:tcW w:w="233" w:type="pct"/>
            <w:vMerge/>
            <w:vAlign w:val="center"/>
          </w:tcPr>
          <w:p w14:paraId="0EF0DF93" w14:textId="77777777" w:rsidR="00475F44" w:rsidRPr="008A2411" w:rsidRDefault="00475F44">
            <w:pPr>
              <w:pStyle w:val="affffffffffffffffff7"/>
              <w:adjustRightInd w:val="0"/>
              <w:snapToGrid w:val="0"/>
              <w:rPr>
                <w:color w:val="000000" w:themeColor="text1"/>
                <w:sz w:val="18"/>
                <w:szCs w:val="18"/>
              </w:rPr>
            </w:pPr>
          </w:p>
        </w:tc>
        <w:tc>
          <w:tcPr>
            <w:tcW w:w="232" w:type="pct"/>
            <w:vMerge/>
            <w:vAlign w:val="center"/>
          </w:tcPr>
          <w:p w14:paraId="49BDBAE1" w14:textId="77777777" w:rsidR="00475F44" w:rsidRPr="008A2411" w:rsidRDefault="00475F44">
            <w:pPr>
              <w:pStyle w:val="affffffffffffffffff7"/>
              <w:adjustRightInd w:val="0"/>
              <w:snapToGrid w:val="0"/>
              <w:rPr>
                <w:color w:val="000000" w:themeColor="text1"/>
                <w:sz w:val="18"/>
                <w:szCs w:val="18"/>
              </w:rPr>
            </w:pPr>
          </w:p>
        </w:tc>
        <w:tc>
          <w:tcPr>
            <w:tcW w:w="232" w:type="pct"/>
            <w:vAlign w:val="center"/>
          </w:tcPr>
          <w:p w14:paraId="0EB73796"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固废</w:t>
            </w:r>
          </w:p>
        </w:tc>
        <w:tc>
          <w:tcPr>
            <w:tcW w:w="1674" w:type="pct"/>
            <w:vAlign w:val="center"/>
          </w:tcPr>
          <w:p w14:paraId="25DC33E9"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废活性炭、脱</w:t>
            </w:r>
            <w:proofErr w:type="gramStart"/>
            <w:r w:rsidRPr="008A2411">
              <w:rPr>
                <w:color w:val="000000" w:themeColor="text1"/>
                <w:sz w:val="18"/>
                <w:szCs w:val="18"/>
              </w:rPr>
              <w:t>汞加工</w:t>
            </w:r>
            <w:proofErr w:type="gramEnd"/>
            <w:r w:rsidRPr="008A2411">
              <w:rPr>
                <w:color w:val="000000" w:themeColor="text1"/>
                <w:sz w:val="18"/>
                <w:szCs w:val="18"/>
              </w:rPr>
              <w:t>产生</w:t>
            </w:r>
            <w:proofErr w:type="gramStart"/>
            <w:r w:rsidRPr="008A2411">
              <w:rPr>
                <w:color w:val="000000" w:themeColor="text1"/>
                <w:sz w:val="18"/>
                <w:szCs w:val="18"/>
              </w:rPr>
              <w:t>的废脱汞</w:t>
            </w:r>
            <w:proofErr w:type="gramEnd"/>
            <w:r w:rsidRPr="008A2411">
              <w:rPr>
                <w:color w:val="000000" w:themeColor="text1"/>
                <w:sz w:val="18"/>
                <w:szCs w:val="18"/>
              </w:rPr>
              <w:t>剂、废油、化验间残液、污水处理站污泥、生活垃圾</w:t>
            </w:r>
          </w:p>
        </w:tc>
        <w:tc>
          <w:tcPr>
            <w:tcW w:w="532" w:type="pct"/>
            <w:vAlign w:val="center"/>
          </w:tcPr>
          <w:p w14:paraId="0BC030E3"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w:t>
            </w:r>
          </w:p>
        </w:tc>
        <w:tc>
          <w:tcPr>
            <w:tcW w:w="233" w:type="pct"/>
            <w:vAlign w:val="center"/>
          </w:tcPr>
          <w:p w14:paraId="672033A1"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w:t>
            </w:r>
          </w:p>
        </w:tc>
        <w:tc>
          <w:tcPr>
            <w:tcW w:w="233" w:type="pct"/>
            <w:vAlign w:val="center"/>
          </w:tcPr>
          <w:p w14:paraId="5969860C"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40485D0A"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33262AF1"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w:t>
            </w:r>
          </w:p>
        </w:tc>
        <w:tc>
          <w:tcPr>
            <w:tcW w:w="233" w:type="pct"/>
            <w:vAlign w:val="center"/>
          </w:tcPr>
          <w:p w14:paraId="5A4A1F04"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6894B085"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w:t>
            </w:r>
          </w:p>
        </w:tc>
        <w:tc>
          <w:tcPr>
            <w:tcW w:w="233" w:type="pct"/>
            <w:vAlign w:val="center"/>
          </w:tcPr>
          <w:p w14:paraId="2B44D6E1"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w:t>
            </w:r>
          </w:p>
        </w:tc>
        <w:tc>
          <w:tcPr>
            <w:tcW w:w="233" w:type="pct"/>
            <w:vAlign w:val="center"/>
          </w:tcPr>
          <w:p w14:paraId="0AF4332F"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555C4373" w14:textId="77777777" w:rsidR="00475F44" w:rsidRPr="008A2411" w:rsidRDefault="00475F44">
            <w:pPr>
              <w:pStyle w:val="affffffffffffffffff7"/>
              <w:adjustRightInd w:val="0"/>
              <w:snapToGrid w:val="0"/>
              <w:rPr>
                <w:color w:val="000000" w:themeColor="text1"/>
                <w:sz w:val="18"/>
                <w:szCs w:val="18"/>
              </w:rPr>
            </w:pPr>
          </w:p>
        </w:tc>
      </w:tr>
      <w:tr w:rsidR="008A2411" w:rsidRPr="008A2411" w14:paraId="276966DE" w14:textId="77777777" w:rsidTr="00585BA0">
        <w:trPr>
          <w:trHeight w:val="283"/>
          <w:jc w:val="center"/>
        </w:trPr>
        <w:tc>
          <w:tcPr>
            <w:tcW w:w="233" w:type="pct"/>
            <w:vMerge/>
            <w:vAlign w:val="center"/>
          </w:tcPr>
          <w:p w14:paraId="2A2EF9AE" w14:textId="77777777" w:rsidR="00475F44" w:rsidRPr="008A2411" w:rsidRDefault="00475F44">
            <w:pPr>
              <w:pStyle w:val="affffffffffffffffff7"/>
              <w:adjustRightInd w:val="0"/>
              <w:snapToGrid w:val="0"/>
              <w:rPr>
                <w:color w:val="000000" w:themeColor="text1"/>
                <w:sz w:val="18"/>
                <w:szCs w:val="18"/>
              </w:rPr>
            </w:pPr>
          </w:p>
        </w:tc>
        <w:tc>
          <w:tcPr>
            <w:tcW w:w="232" w:type="pct"/>
            <w:vMerge/>
            <w:vAlign w:val="center"/>
          </w:tcPr>
          <w:p w14:paraId="672D437A" w14:textId="77777777" w:rsidR="00475F44" w:rsidRPr="008A2411" w:rsidRDefault="00475F44">
            <w:pPr>
              <w:pStyle w:val="affffffffffffffffff7"/>
              <w:adjustRightInd w:val="0"/>
              <w:snapToGrid w:val="0"/>
              <w:rPr>
                <w:color w:val="000000" w:themeColor="text1"/>
                <w:sz w:val="18"/>
                <w:szCs w:val="18"/>
              </w:rPr>
            </w:pPr>
          </w:p>
        </w:tc>
        <w:tc>
          <w:tcPr>
            <w:tcW w:w="232" w:type="pct"/>
            <w:vAlign w:val="center"/>
          </w:tcPr>
          <w:p w14:paraId="4E829329"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噪声</w:t>
            </w:r>
          </w:p>
        </w:tc>
        <w:tc>
          <w:tcPr>
            <w:tcW w:w="1674" w:type="pct"/>
            <w:vAlign w:val="center"/>
          </w:tcPr>
          <w:p w14:paraId="02545EB2"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风机、泵等设备运行噪声</w:t>
            </w:r>
          </w:p>
        </w:tc>
        <w:tc>
          <w:tcPr>
            <w:tcW w:w="532" w:type="pct"/>
            <w:vAlign w:val="center"/>
          </w:tcPr>
          <w:p w14:paraId="79C17B1F"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w:t>
            </w:r>
          </w:p>
        </w:tc>
        <w:tc>
          <w:tcPr>
            <w:tcW w:w="233" w:type="pct"/>
            <w:vAlign w:val="center"/>
          </w:tcPr>
          <w:p w14:paraId="0E9D57C4"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w:t>
            </w:r>
          </w:p>
        </w:tc>
        <w:tc>
          <w:tcPr>
            <w:tcW w:w="233" w:type="pct"/>
            <w:vAlign w:val="center"/>
          </w:tcPr>
          <w:p w14:paraId="453CBC37"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460D64CB"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0AE09F49"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664B5755"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w:t>
            </w:r>
          </w:p>
        </w:tc>
        <w:tc>
          <w:tcPr>
            <w:tcW w:w="233" w:type="pct"/>
            <w:vAlign w:val="center"/>
          </w:tcPr>
          <w:p w14:paraId="73625156"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1DD73AF1"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64FCFC33"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586429C3" w14:textId="77777777" w:rsidR="00475F44" w:rsidRPr="008A2411" w:rsidRDefault="00475F44">
            <w:pPr>
              <w:pStyle w:val="affffffffffffffffff7"/>
              <w:adjustRightInd w:val="0"/>
              <w:snapToGrid w:val="0"/>
              <w:rPr>
                <w:color w:val="000000" w:themeColor="text1"/>
                <w:sz w:val="18"/>
                <w:szCs w:val="18"/>
              </w:rPr>
            </w:pPr>
          </w:p>
        </w:tc>
      </w:tr>
      <w:tr w:rsidR="008A2411" w:rsidRPr="008A2411" w14:paraId="26CB8064" w14:textId="77777777" w:rsidTr="00585BA0">
        <w:trPr>
          <w:trHeight w:val="283"/>
          <w:jc w:val="center"/>
        </w:trPr>
        <w:tc>
          <w:tcPr>
            <w:tcW w:w="233" w:type="pct"/>
            <w:vMerge/>
            <w:vAlign w:val="center"/>
          </w:tcPr>
          <w:p w14:paraId="119C2466" w14:textId="77777777" w:rsidR="00475F44" w:rsidRPr="008A2411" w:rsidRDefault="00475F44">
            <w:pPr>
              <w:pStyle w:val="affffffffffffffffff7"/>
              <w:adjustRightInd w:val="0"/>
              <w:snapToGrid w:val="0"/>
              <w:rPr>
                <w:color w:val="000000" w:themeColor="text1"/>
                <w:sz w:val="18"/>
                <w:szCs w:val="18"/>
              </w:rPr>
            </w:pPr>
          </w:p>
        </w:tc>
        <w:tc>
          <w:tcPr>
            <w:tcW w:w="232" w:type="pct"/>
            <w:vMerge/>
            <w:vAlign w:val="center"/>
          </w:tcPr>
          <w:p w14:paraId="2E2D170D" w14:textId="77777777" w:rsidR="00475F44" w:rsidRPr="008A2411" w:rsidRDefault="00475F44">
            <w:pPr>
              <w:pStyle w:val="affffffffffffffffff7"/>
              <w:adjustRightInd w:val="0"/>
              <w:snapToGrid w:val="0"/>
              <w:rPr>
                <w:color w:val="000000" w:themeColor="text1"/>
                <w:sz w:val="18"/>
                <w:szCs w:val="18"/>
              </w:rPr>
            </w:pPr>
          </w:p>
        </w:tc>
        <w:tc>
          <w:tcPr>
            <w:tcW w:w="232" w:type="pct"/>
            <w:vMerge w:val="restart"/>
            <w:vAlign w:val="center"/>
          </w:tcPr>
          <w:p w14:paraId="12DA17D4"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风险</w:t>
            </w:r>
          </w:p>
        </w:tc>
        <w:tc>
          <w:tcPr>
            <w:tcW w:w="1674" w:type="pct"/>
            <w:vAlign w:val="center"/>
          </w:tcPr>
          <w:p w14:paraId="53D0EC24"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气体的泄漏</w:t>
            </w:r>
          </w:p>
        </w:tc>
        <w:tc>
          <w:tcPr>
            <w:tcW w:w="532" w:type="pct"/>
            <w:vAlign w:val="center"/>
          </w:tcPr>
          <w:p w14:paraId="11000FE6"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CH</w:t>
            </w:r>
            <w:r w:rsidRPr="008A2411">
              <w:rPr>
                <w:color w:val="000000" w:themeColor="text1"/>
                <w:sz w:val="18"/>
                <w:szCs w:val="18"/>
                <w:vertAlign w:val="subscript"/>
              </w:rPr>
              <w:t>4</w:t>
            </w:r>
          </w:p>
        </w:tc>
        <w:tc>
          <w:tcPr>
            <w:tcW w:w="233" w:type="pct"/>
            <w:vAlign w:val="center"/>
          </w:tcPr>
          <w:p w14:paraId="4A6EB6D5"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w:t>
            </w:r>
          </w:p>
        </w:tc>
        <w:tc>
          <w:tcPr>
            <w:tcW w:w="233" w:type="pct"/>
            <w:vAlign w:val="center"/>
          </w:tcPr>
          <w:p w14:paraId="1468DFC6" w14:textId="77777777" w:rsidR="00475F44" w:rsidRPr="008A2411" w:rsidRDefault="00475F44">
            <w:pPr>
              <w:pStyle w:val="affffffffffffffffff7"/>
              <w:adjustRightInd w:val="0"/>
              <w:snapToGrid w:val="0"/>
              <w:rPr>
                <w:color w:val="000000" w:themeColor="text1"/>
                <w:sz w:val="18"/>
                <w:szCs w:val="18"/>
              </w:rPr>
            </w:pPr>
            <w:r w:rsidRPr="008A2411">
              <w:rPr>
                <w:color w:val="000000" w:themeColor="text1"/>
                <w:sz w:val="18"/>
                <w:szCs w:val="18"/>
              </w:rPr>
              <w:t>√</w:t>
            </w:r>
          </w:p>
        </w:tc>
        <w:tc>
          <w:tcPr>
            <w:tcW w:w="233" w:type="pct"/>
            <w:vAlign w:val="center"/>
          </w:tcPr>
          <w:p w14:paraId="165D72F8"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1A1044E0"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7D2F025D"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0F7AA472"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6F036A39"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710F117A" w14:textId="77777777" w:rsidR="00475F44" w:rsidRPr="008A2411" w:rsidRDefault="00475F44">
            <w:pPr>
              <w:pStyle w:val="affffffffffffffffff7"/>
              <w:adjustRightInd w:val="0"/>
              <w:snapToGrid w:val="0"/>
              <w:rPr>
                <w:color w:val="000000" w:themeColor="text1"/>
                <w:sz w:val="18"/>
                <w:szCs w:val="18"/>
              </w:rPr>
            </w:pPr>
          </w:p>
        </w:tc>
        <w:tc>
          <w:tcPr>
            <w:tcW w:w="233" w:type="pct"/>
            <w:vAlign w:val="center"/>
          </w:tcPr>
          <w:p w14:paraId="6A1E706D" w14:textId="77777777" w:rsidR="00475F44" w:rsidRPr="008A2411" w:rsidRDefault="00475F44">
            <w:pPr>
              <w:pStyle w:val="affffffffffffffffff7"/>
              <w:adjustRightInd w:val="0"/>
              <w:snapToGrid w:val="0"/>
              <w:rPr>
                <w:color w:val="000000" w:themeColor="text1"/>
                <w:sz w:val="18"/>
                <w:szCs w:val="18"/>
              </w:rPr>
            </w:pPr>
          </w:p>
        </w:tc>
      </w:tr>
      <w:tr w:rsidR="008A2411" w:rsidRPr="008A2411" w14:paraId="4DB452F8" w14:textId="77777777" w:rsidTr="00585BA0">
        <w:trPr>
          <w:trHeight w:val="283"/>
          <w:jc w:val="center"/>
        </w:trPr>
        <w:tc>
          <w:tcPr>
            <w:tcW w:w="233" w:type="pct"/>
            <w:vMerge/>
            <w:vAlign w:val="center"/>
          </w:tcPr>
          <w:p w14:paraId="5C327BC1" w14:textId="77777777" w:rsidR="00475F44" w:rsidRPr="008A2411" w:rsidRDefault="00475F44" w:rsidP="00475F44">
            <w:pPr>
              <w:pStyle w:val="affffffffffffffffff7"/>
              <w:adjustRightInd w:val="0"/>
              <w:snapToGrid w:val="0"/>
              <w:rPr>
                <w:color w:val="000000" w:themeColor="text1"/>
                <w:sz w:val="18"/>
                <w:szCs w:val="18"/>
              </w:rPr>
            </w:pPr>
          </w:p>
        </w:tc>
        <w:tc>
          <w:tcPr>
            <w:tcW w:w="232" w:type="pct"/>
            <w:vMerge/>
            <w:vAlign w:val="center"/>
          </w:tcPr>
          <w:p w14:paraId="17C28643" w14:textId="77777777" w:rsidR="00475F44" w:rsidRPr="008A2411" w:rsidRDefault="00475F44" w:rsidP="00475F44">
            <w:pPr>
              <w:pStyle w:val="affffffffffffffffff7"/>
              <w:adjustRightInd w:val="0"/>
              <w:snapToGrid w:val="0"/>
              <w:rPr>
                <w:color w:val="000000" w:themeColor="text1"/>
                <w:sz w:val="18"/>
                <w:szCs w:val="18"/>
              </w:rPr>
            </w:pPr>
          </w:p>
        </w:tc>
        <w:tc>
          <w:tcPr>
            <w:tcW w:w="232" w:type="pct"/>
            <w:vMerge/>
            <w:vAlign w:val="center"/>
          </w:tcPr>
          <w:p w14:paraId="1CA58871" w14:textId="77777777" w:rsidR="00475F44" w:rsidRPr="008A2411" w:rsidRDefault="00475F44" w:rsidP="00475F44">
            <w:pPr>
              <w:pStyle w:val="affffffffffffffffff7"/>
              <w:adjustRightInd w:val="0"/>
              <w:snapToGrid w:val="0"/>
              <w:rPr>
                <w:color w:val="000000" w:themeColor="text1"/>
                <w:sz w:val="18"/>
                <w:szCs w:val="18"/>
              </w:rPr>
            </w:pPr>
          </w:p>
        </w:tc>
        <w:tc>
          <w:tcPr>
            <w:tcW w:w="1674" w:type="pct"/>
            <w:vAlign w:val="center"/>
          </w:tcPr>
          <w:p w14:paraId="15701133" w14:textId="61242C00" w:rsidR="00475F44" w:rsidRPr="008A2411" w:rsidRDefault="00475F44" w:rsidP="00475F44">
            <w:pPr>
              <w:pStyle w:val="affffffffffffffffff7"/>
              <w:adjustRightInd w:val="0"/>
              <w:snapToGrid w:val="0"/>
              <w:rPr>
                <w:color w:val="000000" w:themeColor="text1"/>
                <w:sz w:val="18"/>
                <w:szCs w:val="18"/>
              </w:rPr>
            </w:pPr>
            <w:r w:rsidRPr="008A2411">
              <w:rPr>
                <w:rFonts w:hint="eastAsia"/>
                <w:color w:val="000000" w:themeColor="text1"/>
                <w:sz w:val="18"/>
                <w:szCs w:val="18"/>
              </w:rPr>
              <w:t>L</w:t>
            </w:r>
            <w:r w:rsidRPr="008A2411">
              <w:rPr>
                <w:color w:val="000000" w:themeColor="text1"/>
                <w:sz w:val="18"/>
                <w:szCs w:val="18"/>
              </w:rPr>
              <w:t>NG</w:t>
            </w:r>
            <w:r w:rsidRPr="008A2411">
              <w:rPr>
                <w:rFonts w:hint="eastAsia"/>
                <w:color w:val="000000" w:themeColor="text1"/>
                <w:sz w:val="18"/>
                <w:szCs w:val="18"/>
              </w:rPr>
              <w:t>储罐泄漏</w:t>
            </w:r>
          </w:p>
        </w:tc>
        <w:tc>
          <w:tcPr>
            <w:tcW w:w="532" w:type="pct"/>
            <w:vAlign w:val="center"/>
          </w:tcPr>
          <w:p w14:paraId="07508335" w14:textId="2610150A" w:rsidR="00475F44" w:rsidRPr="008A2411" w:rsidRDefault="00475F44" w:rsidP="00475F44">
            <w:pPr>
              <w:pStyle w:val="affffffffffffffffff7"/>
              <w:adjustRightInd w:val="0"/>
              <w:snapToGrid w:val="0"/>
              <w:rPr>
                <w:color w:val="000000" w:themeColor="text1"/>
                <w:sz w:val="18"/>
                <w:szCs w:val="18"/>
              </w:rPr>
            </w:pPr>
            <w:r w:rsidRPr="008A2411">
              <w:rPr>
                <w:color w:val="000000" w:themeColor="text1"/>
                <w:sz w:val="18"/>
                <w:szCs w:val="18"/>
              </w:rPr>
              <w:t>CH</w:t>
            </w:r>
            <w:r w:rsidRPr="008A2411">
              <w:rPr>
                <w:color w:val="000000" w:themeColor="text1"/>
                <w:sz w:val="18"/>
                <w:szCs w:val="18"/>
                <w:vertAlign w:val="subscript"/>
              </w:rPr>
              <w:t>4</w:t>
            </w:r>
          </w:p>
        </w:tc>
        <w:tc>
          <w:tcPr>
            <w:tcW w:w="233" w:type="pct"/>
            <w:vAlign w:val="center"/>
          </w:tcPr>
          <w:p w14:paraId="36C64C24" w14:textId="5203EF3B" w:rsidR="00475F44" w:rsidRPr="008A2411" w:rsidRDefault="00475F44" w:rsidP="00475F44">
            <w:pPr>
              <w:pStyle w:val="affffffffffffffffff7"/>
              <w:adjustRightInd w:val="0"/>
              <w:snapToGrid w:val="0"/>
              <w:rPr>
                <w:color w:val="000000" w:themeColor="text1"/>
                <w:sz w:val="18"/>
                <w:szCs w:val="18"/>
              </w:rPr>
            </w:pPr>
            <w:r w:rsidRPr="008A2411">
              <w:rPr>
                <w:color w:val="000000" w:themeColor="text1"/>
                <w:sz w:val="18"/>
                <w:szCs w:val="18"/>
              </w:rPr>
              <w:t>－－</w:t>
            </w:r>
          </w:p>
        </w:tc>
        <w:tc>
          <w:tcPr>
            <w:tcW w:w="233" w:type="pct"/>
            <w:vAlign w:val="center"/>
          </w:tcPr>
          <w:p w14:paraId="7063CA48" w14:textId="7BFD9906" w:rsidR="00475F44" w:rsidRPr="008A2411" w:rsidRDefault="00475F44" w:rsidP="00475F44">
            <w:pPr>
              <w:pStyle w:val="affffffffffffffffff7"/>
              <w:adjustRightInd w:val="0"/>
              <w:snapToGrid w:val="0"/>
              <w:rPr>
                <w:color w:val="000000" w:themeColor="text1"/>
                <w:sz w:val="18"/>
                <w:szCs w:val="18"/>
              </w:rPr>
            </w:pPr>
            <w:r w:rsidRPr="008A2411">
              <w:rPr>
                <w:color w:val="000000" w:themeColor="text1"/>
                <w:sz w:val="18"/>
                <w:szCs w:val="18"/>
              </w:rPr>
              <w:t>√</w:t>
            </w:r>
          </w:p>
        </w:tc>
        <w:tc>
          <w:tcPr>
            <w:tcW w:w="233" w:type="pct"/>
            <w:vAlign w:val="center"/>
          </w:tcPr>
          <w:p w14:paraId="3F5417C1" w14:textId="77777777" w:rsidR="00475F44" w:rsidRPr="008A2411" w:rsidRDefault="00475F44" w:rsidP="00475F44">
            <w:pPr>
              <w:pStyle w:val="affffffffffffffffff7"/>
              <w:adjustRightInd w:val="0"/>
              <w:snapToGrid w:val="0"/>
              <w:rPr>
                <w:color w:val="000000" w:themeColor="text1"/>
                <w:sz w:val="18"/>
                <w:szCs w:val="18"/>
              </w:rPr>
            </w:pPr>
          </w:p>
        </w:tc>
        <w:tc>
          <w:tcPr>
            <w:tcW w:w="233" w:type="pct"/>
            <w:vAlign w:val="center"/>
          </w:tcPr>
          <w:p w14:paraId="18201AA9" w14:textId="77777777" w:rsidR="00475F44" w:rsidRPr="008A2411" w:rsidRDefault="00475F44" w:rsidP="00475F44">
            <w:pPr>
              <w:pStyle w:val="affffffffffffffffff7"/>
              <w:adjustRightInd w:val="0"/>
              <w:snapToGrid w:val="0"/>
              <w:rPr>
                <w:color w:val="000000" w:themeColor="text1"/>
                <w:sz w:val="18"/>
                <w:szCs w:val="18"/>
              </w:rPr>
            </w:pPr>
          </w:p>
        </w:tc>
        <w:tc>
          <w:tcPr>
            <w:tcW w:w="233" w:type="pct"/>
            <w:vAlign w:val="center"/>
          </w:tcPr>
          <w:p w14:paraId="22AB8D2E" w14:textId="77777777" w:rsidR="00475F44" w:rsidRPr="008A2411" w:rsidRDefault="00475F44" w:rsidP="00475F44">
            <w:pPr>
              <w:pStyle w:val="affffffffffffffffff7"/>
              <w:adjustRightInd w:val="0"/>
              <w:snapToGrid w:val="0"/>
              <w:rPr>
                <w:color w:val="000000" w:themeColor="text1"/>
                <w:sz w:val="18"/>
                <w:szCs w:val="18"/>
              </w:rPr>
            </w:pPr>
          </w:p>
        </w:tc>
        <w:tc>
          <w:tcPr>
            <w:tcW w:w="233" w:type="pct"/>
            <w:vAlign w:val="center"/>
          </w:tcPr>
          <w:p w14:paraId="2A53D1A3" w14:textId="77777777" w:rsidR="00475F44" w:rsidRPr="008A2411" w:rsidRDefault="00475F44" w:rsidP="00475F44">
            <w:pPr>
              <w:pStyle w:val="affffffffffffffffff7"/>
              <w:adjustRightInd w:val="0"/>
              <w:snapToGrid w:val="0"/>
              <w:rPr>
                <w:color w:val="000000" w:themeColor="text1"/>
                <w:sz w:val="18"/>
                <w:szCs w:val="18"/>
              </w:rPr>
            </w:pPr>
          </w:p>
        </w:tc>
        <w:tc>
          <w:tcPr>
            <w:tcW w:w="233" w:type="pct"/>
            <w:vAlign w:val="center"/>
          </w:tcPr>
          <w:p w14:paraId="6C9E2F55" w14:textId="77777777" w:rsidR="00475F44" w:rsidRPr="008A2411" w:rsidRDefault="00475F44" w:rsidP="00475F44">
            <w:pPr>
              <w:pStyle w:val="affffffffffffffffff7"/>
              <w:adjustRightInd w:val="0"/>
              <w:snapToGrid w:val="0"/>
              <w:rPr>
                <w:color w:val="000000" w:themeColor="text1"/>
                <w:sz w:val="18"/>
                <w:szCs w:val="18"/>
              </w:rPr>
            </w:pPr>
          </w:p>
        </w:tc>
        <w:tc>
          <w:tcPr>
            <w:tcW w:w="233" w:type="pct"/>
            <w:vAlign w:val="center"/>
          </w:tcPr>
          <w:p w14:paraId="0B8AB6E9" w14:textId="77777777" w:rsidR="00475F44" w:rsidRPr="008A2411" w:rsidRDefault="00475F44" w:rsidP="00475F44">
            <w:pPr>
              <w:pStyle w:val="affffffffffffffffff7"/>
              <w:adjustRightInd w:val="0"/>
              <w:snapToGrid w:val="0"/>
              <w:rPr>
                <w:color w:val="000000" w:themeColor="text1"/>
                <w:sz w:val="18"/>
                <w:szCs w:val="18"/>
              </w:rPr>
            </w:pPr>
          </w:p>
        </w:tc>
        <w:tc>
          <w:tcPr>
            <w:tcW w:w="233" w:type="pct"/>
            <w:vAlign w:val="center"/>
          </w:tcPr>
          <w:p w14:paraId="6397B2D4" w14:textId="77777777" w:rsidR="00475F44" w:rsidRPr="008A2411" w:rsidRDefault="00475F44" w:rsidP="00475F44">
            <w:pPr>
              <w:pStyle w:val="affffffffffffffffff7"/>
              <w:adjustRightInd w:val="0"/>
              <w:snapToGrid w:val="0"/>
              <w:rPr>
                <w:color w:val="000000" w:themeColor="text1"/>
                <w:sz w:val="18"/>
                <w:szCs w:val="18"/>
              </w:rPr>
            </w:pPr>
          </w:p>
        </w:tc>
      </w:tr>
      <w:tr w:rsidR="008A2411" w:rsidRPr="008A2411" w14:paraId="2C683BCB" w14:textId="25DEBC2D" w:rsidTr="00585BA0">
        <w:trPr>
          <w:trHeight w:val="283"/>
          <w:jc w:val="center"/>
        </w:trPr>
        <w:tc>
          <w:tcPr>
            <w:tcW w:w="5000" w:type="pct"/>
            <w:gridSpan w:val="14"/>
            <w:vAlign w:val="center"/>
          </w:tcPr>
          <w:p w14:paraId="68095351" w14:textId="77777777" w:rsidR="00475F44" w:rsidRPr="008A2411" w:rsidRDefault="00475F44" w:rsidP="00475F44">
            <w:pPr>
              <w:pStyle w:val="affffffffffffffffff7"/>
              <w:adjustRightInd w:val="0"/>
              <w:snapToGrid w:val="0"/>
              <w:rPr>
                <w:color w:val="000000" w:themeColor="text1"/>
                <w:sz w:val="18"/>
                <w:szCs w:val="18"/>
              </w:rPr>
            </w:pPr>
            <w:r w:rsidRPr="008A2411">
              <w:rPr>
                <w:color w:val="000000" w:themeColor="text1"/>
                <w:sz w:val="18"/>
                <w:szCs w:val="18"/>
              </w:rPr>
              <w:t>备注：</w:t>
            </w:r>
            <w:r w:rsidRPr="008A2411">
              <w:rPr>
                <w:rFonts w:hint="eastAsia"/>
                <w:color w:val="000000" w:themeColor="text1"/>
                <w:sz w:val="18"/>
                <w:szCs w:val="18"/>
              </w:rPr>
              <w:t>“</w:t>
            </w:r>
            <w:r w:rsidRPr="008A2411">
              <w:rPr>
                <w:color w:val="000000" w:themeColor="text1"/>
                <w:sz w:val="18"/>
                <w:szCs w:val="18"/>
              </w:rPr>
              <w:t>－－</w:t>
            </w:r>
            <w:r w:rsidRPr="008A2411">
              <w:rPr>
                <w:rFonts w:hint="eastAsia"/>
                <w:color w:val="000000" w:themeColor="text1"/>
                <w:sz w:val="18"/>
                <w:szCs w:val="18"/>
              </w:rPr>
              <w:t>”</w:t>
            </w:r>
            <w:r w:rsidRPr="008A2411">
              <w:rPr>
                <w:color w:val="000000" w:themeColor="text1"/>
                <w:sz w:val="18"/>
                <w:szCs w:val="18"/>
              </w:rPr>
              <w:t>为负影响较大；</w:t>
            </w:r>
            <w:r w:rsidRPr="008A2411">
              <w:rPr>
                <w:rFonts w:hint="eastAsia"/>
                <w:color w:val="000000" w:themeColor="text1"/>
                <w:sz w:val="18"/>
                <w:szCs w:val="18"/>
              </w:rPr>
              <w:t>“</w:t>
            </w:r>
            <w:r w:rsidRPr="008A2411">
              <w:rPr>
                <w:color w:val="000000" w:themeColor="text1"/>
                <w:sz w:val="18"/>
                <w:szCs w:val="18"/>
              </w:rPr>
              <w:t>－</w:t>
            </w:r>
            <w:r w:rsidRPr="008A2411">
              <w:rPr>
                <w:rFonts w:hint="eastAsia"/>
                <w:color w:val="000000" w:themeColor="text1"/>
                <w:sz w:val="18"/>
                <w:szCs w:val="18"/>
              </w:rPr>
              <w:t>”</w:t>
            </w:r>
            <w:r w:rsidRPr="008A2411">
              <w:rPr>
                <w:color w:val="000000" w:themeColor="text1"/>
                <w:sz w:val="18"/>
                <w:szCs w:val="18"/>
              </w:rPr>
              <w:t>为负影响较小；</w:t>
            </w:r>
            <w:r w:rsidRPr="008A2411">
              <w:rPr>
                <w:rFonts w:hint="eastAsia"/>
                <w:color w:val="000000" w:themeColor="text1"/>
                <w:sz w:val="18"/>
                <w:szCs w:val="18"/>
              </w:rPr>
              <w:t>“</w:t>
            </w:r>
            <w:r w:rsidRPr="008A2411">
              <w:rPr>
                <w:color w:val="000000" w:themeColor="text1"/>
                <w:sz w:val="18"/>
                <w:szCs w:val="18"/>
              </w:rPr>
              <w:t>＋＋</w:t>
            </w:r>
            <w:r w:rsidRPr="008A2411">
              <w:rPr>
                <w:rFonts w:hint="eastAsia"/>
                <w:color w:val="000000" w:themeColor="text1"/>
                <w:sz w:val="18"/>
                <w:szCs w:val="18"/>
              </w:rPr>
              <w:t>”</w:t>
            </w:r>
            <w:r w:rsidRPr="008A2411">
              <w:rPr>
                <w:color w:val="000000" w:themeColor="text1"/>
                <w:sz w:val="18"/>
                <w:szCs w:val="18"/>
              </w:rPr>
              <w:t>正影响较大；</w:t>
            </w:r>
            <w:r w:rsidRPr="008A2411">
              <w:rPr>
                <w:rFonts w:hint="eastAsia"/>
                <w:color w:val="000000" w:themeColor="text1"/>
                <w:sz w:val="18"/>
                <w:szCs w:val="18"/>
              </w:rPr>
              <w:t>“</w:t>
            </w:r>
            <w:r w:rsidRPr="008A2411">
              <w:rPr>
                <w:color w:val="000000" w:themeColor="text1"/>
                <w:sz w:val="18"/>
                <w:szCs w:val="18"/>
              </w:rPr>
              <w:t>＋</w:t>
            </w:r>
            <w:r w:rsidRPr="008A2411">
              <w:rPr>
                <w:rFonts w:hint="eastAsia"/>
                <w:color w:val="000000" w:themeColor="text1"/>
                <w:sz w:val="18"/>
                <w:szCs w:val="18"/>
              </w:rPr>
              <w:t>”</w:t>
            </w:r>
            <w:r w:rsidRPr="008A2411">
              <w:rPr>
                <w:color w:val="000000" w:themeColor="text1"/>
                <w:sz w:val="18"/>
                <w:szCs w:val="18"/>
              </w:rPr>
              <w:t>为正影响较小。</w:t>
            </w:r>
          </w:p>
        </w:tc>
      </w:tr>
    </w:tbl>
    <w:p w14:paraId="35CA9ABC" w14:textId="77777777" w:rsidR="00B0005F" w:rsidRPr="008A2411" w:rsidRDefault="00000000">
      <w:pPr>
        <w:pStyle w:val="2"/>
        <w:spacing w:before="0" w:after="0" w:line="360" w:lineRule="auto"/>
        <w:rPr>
          <w:rFonts w:ascii="Times New Roman" w:eastAsia="宋体"/>
          <w:color w:val="000000" w:themeColor="text1"/>
          <w:sz w:val="24"/>
        </w:rPr>
      </w:pPr>
      <w:bookmarkStart w:id="52" w:name="_Toc19108233"/>
      <w:bookmarkStart w:id="53" w:name="_Toc109170745"/>
      <w:r w:rsidRPr="008A2411">
        <w:rPr>
          <w:rFonts w:ascii="Times New Roman" w:eastAsia="宋体"/>
          <w:color w:val="000000" w:themeColor="text1"/>
          <w:sz w:val="24"/>
        </w:rPr>
        <w:t xml:space="preserve">2.6 </w:t>
      </w:r>
      <w:r w:rsidRPr="008A2411">
        <w:rPr>
          <w:rFonts w:ascii="Times New Roman" w:eastAsia="宋体"/>
          <w:color w:val="000000" w:themeColor="text1"/>
          <w:sz w:val="24"/>
        </w:rPr>
        <w:t>评价因子与评价标准</w:t>
      </w:r>
      <w:bookmarkEnd w:id="52"/>
      <w:bookmarkEnd w:id="53"/>
    </w:p>
    <w:p w14:paraId="389EFCC8" w14:textId="77777777" w:rsidR="00B0005F" w:rsidRPr="008A2411" w:rsidRDefault="00000000">
      <w:pPr>
        <w:pStyle w:val="31"/>
        <w:keepNext w:val="0"/>
        <w:keepLines w:val="0"/>
        <w:spacing w:before="0" w:after="0" w:line="360" w:lineRule="auto"/>
        <w:rPr>
          <w:rFonts w:ascii="Times New Roman"/>
          <w:color w:val="000000" w:themeColor="text1"/>
          <w:sz w:val="24"/>
          <w:szCs w:val="28"/>
        </w:rPr>
      </w:pPr>
      <w:r w:rsidRPr="008A2411">
        <w:rPr>
          <w:rFonts w:ascii="Times New Roman"/>
          <w:color w:val="000000" w:themeColor="text1"/>
          <w:sz w:val="24"/>
          <w:szCs w:val="28"/>
        </w:rPr>
        <w:t xml:space="preserve">2.6.1 </w:t>
      </w:r>
      <w:r w:rsidRPr="008A2411">
        <w:rPr>
          <w:rFonts w:ascii="Times New Roman"/>
          <w:color w:val="000000" w:themeColor="text1"/>
          <w:sz w:val="24"/>
          <w:szCs w:val="28"/>
        </w:rPr>
        <w:t>评价因子</w:t>
      </w:r>
    </w:p>
    <w:p w14:paraId="4654605E" w14:textId="77777777" w:rsidR="00B0005F" w:rsidRPr="008A2411" w:rsidRDefault="00000000">
      <w:pPr>
        <w:spacing w:line="360" w:lineRule="auto"/>
        <w:ind w:firstLineChars="198" w:firstLine="475"/>
        <w:rPr>
          <w:rFonts w:ascii="Times New Roman"/>
          <w:color w:val="000000" w:themeColor="text1"/>
        </w:rPr>
      </w:pPr>
      <w:r w:rsidRPr="008A2411">
        <w:rPr>
          <w:rFonts w:ascii="Times New Roman"/>
          <w:color w:val="000000" w:themeColor="text1"/>
        </w:rPr>
        <w:t>通过对项目建设和实施后各生产区域产生的环境污染因素及污染因子分析，筛选并确定本次环境影响评价因子。项目各生产区域、各专题、各环境要素的评价因子筛选结果列于表</w:t>
      </w:r>
      <w:r w:rsidRPr="008A2411">
        <w:rPr>
          <w:rFonts w:ascii="Times New Roman"/>
          <w:color w:val="000000" w:themeColor="text1"/>
        </w:rPr>
        <w:t>2.6-1</w:t>
      </w:r>
      <w:r w:rsidRPr="008A2411">
        <w:rPr>
          <w:rFonts w:ascii="Times New Roman"/>
          <w:color w:val="000000" w:themeColor="text1"/>
        </w:rPr>
        <w:t>。</w:t>
      </w:r>
    </w:p>
    <w:p w14:paraId="2E01DC94" w14:textId="61ED4ACF" w:rsidR="00B0005F" w:rsidRPr="008A2411" w:rsidRDefault="00000000">
      <w:pPr>
        <w:spacing w:line="360" w:lineRule="auto"/>
        <w:jc w:val="center"/>
        <w:rPr>
          <w:rFonts w:ascii="Times New Roman" w:eastAsia="黑体"/>
          <w:bCs/>
          <w:color w:val="000000" w:themeColor="text1"/>
          <w:spacing w:val="-2"/>
          <w:szCs w:val="21"/>
        </w:rPr>
      </w:pPr>
      <w:r w:rsidRPr="008A2411">
        <w:rPr>
          <w:rFonts w:ascii="Times New Roman" w:eastAsia="黑体"/>
          <w:bCs/>
          <w:color w:val="000000" w:themeColor="text1"/>
          <w:spacing w:val="-2"/>
          <w:szCs w:val="21"/>
        </w:rPr>
        <w:t>表</w:t>
      </w:r>
      <w:r w:rsidRPr="008A2411">
        <w:rPr>
          <w:rFonts w:ascii="Times New Roman" w:eastAsia="黑体"/>
          <w:bCs/>
          <w:color w:val="000000" w:themeColor="text1"/>
          <w:spacing w:val="-2"/>
          <w:szCs w:val="21"/>
        </w:rPr>
        <w:t xml:space="preserve">2.6-1  </w:t>
      </w:r>
      <w:r w:rsidRPr="008A2411">
        <w:rPr>
          <w:rFonts w:ascii="Times New Roman" w:eastAsia="黑体"/>
          <w:bCs/>
          <w:color w:val="000000" w:themeColor="text1"/>
          <w:spacing w:val="-2"/>
          <w:szCs w:val="21"/>
        </w:rPr>
        <w:t>项目预测及评价因子</w:t>
      </w:r>
    </w:p>
    <w:tbl>
      <w:tblPr>
        <w:tblW w:w="8969"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0" w:type="dxa"/>
          <w:right w:w="0" w:type="dxa"/>
        </w:tblCellMar>
        <w:tblLook w:val="04A0" w:firstRow="1" w:lastRow="0" w:firstColumn="1" w:lastColumn="0" w:noHBand="0" w:noVBand="1"/>
      </w:tblPr>
      <w:tblGrid>
        <w:gridCol w:w="1278"/>
        <w:gridCol w:w="4704"/>
        <w:gridCol w:w="2987"/>
      </w:tblGrid>
      <w:tr w:rsidR="008A2411" w:rsidRPr="008A2411" w14:paraId="7A2B3D3D" w14:textId="77777777">
        <w:trPr>
          <w:trHeight w:val="150"/>
          <w:jc w:val="center"/>
        </w:trPr>
        <w:tc>
          <w:tcPr>
            <w:tcW w:w="1278" w:type="dxa"/>
            <w:vAlign w:val="center"/>
          </w:tcPr>
          <w:p w14:paraId="1877D8DC" w14:textId="77777777" w:rsidR="00B0005F" w:rsidRPr="008A2411" w:rsidRDefault="00000000">
            <w:pPr>
              <w:pStyle w:val="affffffe"/>
              <w:rPr>
                <w:color w:val="000000" w:themeColor="text1"/>
              </w:rPr>
            </w:pPr>
            <w:r w:rsidRPr="008A2411">
              <w:rPr>
                <w:color w:val="000000" w:themeColor="text1"/>
              </w:rPr>
              <w:t>项目</w:t>
            </w:r>
          </w:p>
        </w:tc>
        <w:tc>
          <w:tcPr>
            <w:tcW w:w="4704" w:type="dxa"/>
            <w:vAlign w:val="center"/>
          </w:tcPr>
          <w:p w14:paraId="48C72126" w14:textId="77777777" w:rsidR="00B0005F" w:rsidRPr="008A2411" w:rsidRDefault="00000000">
            <w:pPr>
              <w:pStyle w:val="affffffe"/>
              <w:rPr>
                <w:color w:val="000000" w:themeColor="text1"/>
              </w:rPr>
            </w:pPr>
            <w:r w:rsidRPr="008A2411">
              <w:rPr>
                <w:color w:val="000000" w:themeColor="text1"/>
              </w:rPr>
              <w:t>现状评价因子</w:t>
            </w:r>
          </w:p>
        </w:tc>
        <w:tc>
          <w:tcPr>
            <w:tcW w:w="2987" w:type="dxa"/>
            <w:vAlign w:val="center"/>
          </w:tcPr>
          <w:p w14:paraId="1A4F959C" w14:textId="77777777" w:rsidR="00B0005F" w:rsidRPr="008A2411" w:rsidRDefault="00000000">
            <w:pPr>
              <w:pStyle w:val="affffffe"/>
              <w:rPr>
                <w:color w:val="000000" w:themeColor="text1"/>
              </w:rPr>
            </w:pPr>
            <w:r w:rsidRPr="008A2411">
              <w:rPr>
                <w:color w:val="000000" w:themeColor="text1"/>
              </w:rPr>
              <w:t>预测评价因子</w:t>
            </w:r>
          </w:p>
        </w:tc>
      </w:tr>
      <w:tr w:rsidR="008A2411" w:rsidRPr="008A2411" w14:paraId="09F4EB90" w14:textId="77777777">
        <w:trPr>
          <w:trHeight w:val="38"/>
          <w:jc w:val="center"/>
        </w:trPr>
        <w:tc>
          <w:tcPr>
            <w:tcW w:w="1278" w:type="dxa"/>
            <w:vAlign w:val="center"/>
          </w:tcPr>
          <w:p w14:paraId="67D93682" w14:textId="77777777" w:rsidR="00B0005F" w:rsidRPr="008A2411" w:rsidRDefault="00000000">
            <w:pPr>
              <w:pStyle w:val="affffffe"/>
              <w:rPr>
                <w:color w:val="000000" w:themeColor="text1"/>
              </w:rPr>
            </w:pPr>
            <w:r w:rsidRPr="008A2411">
              <w:rPr>
                <w:color w:val="000000" w:themeColor="text1"/>
              </w:rPr>
              <w:t>大气环境</w:t>
            </w:r>
          </w:p>
        </w:tc>
        <w:tc>
          <w:tcPr>
            <w:tcW w:w="4704" w:type="dxa"/>
            <w:vAlign w:val="center"/>
          </w:tcPr>
          <w:p w14:paraId="130D020E" w14:textId="2AF9A0C1" w:rsidR="00B0005F" w:rsidRPr="008A2411" w:rsidRDefault="00000000">
            <w:pPr>
              <w:pStyle w:val="affffffe"/>
              <w:rPr>
                <w:color w:val="000000" w:themeColor="text1"/>
              </w:rPr>
            </w:pPr>
            <w:r w:rsidRPr="008A2411">
              <w:rPr>
                <w:color w:val="000000" w:themeColor="text1"/>
              </w:rPr>
              <w:t>SO</w:t>
            </w:r>
            <w:r w:rsidRPr="008A2411">
              <w:rPr>
                <w:color w:val="000000" w:themeColor="text1"/>
                <w:vertAlign w:val="subscript"/>
              </w:rPr>
              <w:t>2</w:t>
            </w:r>
            <w:r w:rsidRPr="008A2411">
              <w:rPr>
                <w:color w:val="000000" w:themeColor="text1"/>
              </w:rPr>
              <w:t>、</w:t>
            </w:r>
            <w:r w:rsidRPr="008A2411">
              <w:rPr>
                <w:color w:val="000000" w:themeColor="text1"/>
              </w:rPr>
              <w:t>NO</w:t>
            </w:r>
            <w:r w:rsidRPr="008A2411">
              <w:rPr>
                <w:color w:val="000000" w:themeColor="text1"/>
                <w:vertAlign w:val="subscript"/>
              </w:rPr>
              <w:t>2</w:t>
            </w:r>
            <w:r w:rsidRPr="008A2411">
              <w:rPr>
                <w:color w:val="000000" w:themeColor="text1"/>
              </w:rPr>
              <w:t>、</w:t>
            </w:r>
            <w:r w:rsidRPr="008A2411">
              <w:rPr>
                <w:color w:val="000000" w:themeColor="text1"/>
              </w:rPr>
              <w:t>O</w:t>
            </w:r>
            <w:r w:rsidRPr="008A2411">
              <w:rPr>
                <w:color w:val="000000" w:themeColor="text1"/>
                <w:vertAlign w:val="subscript"/>
              </w:rPr>
              <w:t>3</w:t>
            </w:r>
            <w:r w:rsidRPr="008A2411">
              <w:rPr>
                <w:color w:val="000000" w:themeColor="text1"/>
              </w:rPr>
              <w:t>、</w:t>
            </w:r>
            <w:r w:rsidRPr="008A2411">
              <w:rPr>
                <w:color w:val="000000" w:themeColor="text1"/>
              </w:rPr>
              <w:t>CO</w:t>
            </w:r>
            <w:r w:rsidRPr="008A2411">
              <w:rPr>
                <w:color w:val="000000" w:themeColor="text1"/>
              </w:rPr>
              <w:t>、</w:t>
            </w:r>
            <w:r w:rsidRPr="008A2411">
              <w:rPr>
                <w:color w:val="000000" w:themeColor="text1"/>
              </w:rPr>
              <w:t>PM</w:t>
            </w:r>
            <w:r w:rsidRPr="008A2411">
              <w:rPr>
                <w:color w:val="000000" w:themeColor="text1"/>
                <w:vertAlign w:val="subscript"/>
              </w:rPr>
              <w:t>10</w:t>
            </w:r>
            <w:r w:rsidRPr="008A2411">
              <w:rPr>
                <w:color w:val="000000" w:themeColor="text1"/>
              </w:rPr>
              <w:t>、</w:t>
            </w:r>
            <w:r w:rsidRPr="008A2411">
              <w:rPr>
                <w:color w:val="000000" w:themeColor="text1"/>
              </w:rPr>
              <w:t>PM</w:t>
            </w:r>
            <w:r w:rsidRPr="008A2411">
              <w:rPr>
                <w:color w:val="000000" w:themeColor="text1"/>
                <w:vertAlign w:val="subscript"/>
              </w:rPr>
              <w:t>2.5</w:t>
            </w:r>
            <w:r w:rsidRPr="008A2411">
              <w:rPr>
                <w:color w:val="000000" w:themeColor="text1"/>
              </w:rPr>
              <w:t>、</w:t>
            </w:r>
            <w:r w:rsidRPr="008A2411">
              <w:rPr>
                <w:color w:val="000000" w:themeColor="text1"/>
              </w:rPr>
              <w:t>H</w:t>
            </w:r>
            <w:r w:rsidRPr="008A2411">
              <w:rPr>
                <w:color w:val="000000" w:themeColor="text1"/>
                <w:vertAlign w:val="subscript"/>
              </w:rPr>
              <w:t>2</w:t>
            </w:r>
            <w:r w:rsidRPr="008A2411">
              <w:rPr>
                <w:color w:val="000000" w:themeColor="text1"/>
              </w:rPr>
              <w:t>S</w:t>
            </w:r>
            <w:r w:rsidRPr="008A2411">
              <w:rPr>
                <w:color w:val="000000" w:themeColor="text1"/>
              </w:rPr>
              <w:t>、</w:t>
            </w:r>
            <w:r w:rsidR="00F243D6" w:rsidRPr="008A2411">
              <w:rPr>
                <w:color w:val="000000" w:themeColor="text1"/>
              </w:rPr>
              <w:t>NMHC</w:t>
            </w:r>
          </w:p>
        </w:tc>
        <w:tc>
          <w:tcPr>
            <w:tcW w:w="2987" w:type="dxa"/>
            <w:vAlign w:val="center"/>
          </w:tcPr>
          <w:p w14:paraId="3024AC5B" w14:textId="0F05A97F" w:rsidR="00B0005F" w:rsidRPr="008A2411" w:rsidRDefault="00000000">
            <w:pPr>
              <w:pStyle w:val="affffffe"/>
              <w:rPr>
                <w:color w:val="000000" w:themeColor="text1"/>
              </w:rPr>
            </w:pPr>
            <w:r w:rsidRPr="008A2411">
              <w:rPr>
                <w:color w:val="000000" w:themeColor="text1"/>
              </w:rPr>
              <w:t>SO</w:t>
            </w:r>
            <w:r w:rsidRPr="008A2411">
              <w:rPr>
                <w:color w:val="000000" w:themeColor="text1"/>
                <w:vertAlign w:val="subscript"/>
              </w:rPr>
              <w:t>2</w:t>
            </w:r>
            <w:r w:rsidRPr="008A2411">
              <w:rPr>
                <w:color w:val="000000" w:themeColor="text1"/>
              </w:rPr>
              <w:t>、</w:t>
            </w:r>
            <w:r w:rsidRPr="008A2411">
              <w:rPr>
                <w:color w:val="000000" w:themeColor="text1"/>
              </w:rPr>
              <w:t>NO</w:t>
            </w:r>
            <w:r w:rsidRPr="008A2411">
              <w:rPr>
                <w:color w:val="000000" w:themeColor="text1"/>
                <w:vertAlign w:val="subscript"/>
              </w:rPr>
              <w:t>2</w:t>
            </w:r>
            <w:r w:rsidRPr="008A2411">
              <w:rPr>
                <w:color w:val="000000" w:themeColor="text1"/>
              </w:rPr>
              <w:t>、</w:t>
            </w:r>
            <w:r w:rsidRPr="008A2411">
              <w:rPr>
                <w:color w:val="000000" w:themeColor="text1"/>
              </w:rPr>
              <w:t>H</w:t>
            </w:r>
            <w:r w:rsidRPr="008A2411">
              <w:rPr>
                <w:color w:val="000000" w:themeColor="text1"/>
                <w:vertAlign w:val="subscript"/>
              </w:rPr>
              <w:t>2</w:t>
            </w:r>
            <w:r w:rsidRPr="008A2411">
              <w:rPr>
                <w:color w:val="000000" w:themeColor="text1"/>
              </w:rPr>
              <w:t>S</w:t>
            </w:r>
            <w:r w:rsidRPr="008A2411">
              <w:rPr>
                <w:color w:val="000000" w:themeColor="text1"/>
              </w:rPr>
              <w:t>、</w:t>
            </w:r>
            <w:r w:rsidR="00F243D6" w:rsidRPr="008A2411">
              <w:rPr>
                <w:color w:val="000000" w:themeColor="text1"/>
              </w:rPr>
              <w:t>NMHC</w:t>
            </w:r>
          </w:p>
        </w:tc>
      </w:tr>
      <w:tr w:rsidR="008A2411" w:rsidRPr="008A2411" w14:paraId="55624CCA" w14:textId="77777777">
        <w:trPr>
          <w:trHeight w:val="53"/>
          <w:jc w:val="center"/>
        </w:trPr>
        <w:tc>
          <w:tcPr>
            <w:tcW w:w="1278" w:type="dxa"/>
            <w:vAlign w:val="center"/>
          </w:tcPr>
          <w:p w14:paraId="13FDB840" w14:textId="77777777" w:rsidR="00B0005F" w:rsidRPr="008A2411" w:rsidRDefault="00000000">
            <w:pPr>
              <w:pStyle w:val="affffffe"/>
              <w:rPr>
                <w:color w:val="000000" w:themeColor="text1"/>
              </w:rPr>
            </w:pPr>
            <w:r w:rsidRPr="008A2411">
              <w:rPr>
                <w:color w:val="000000" w:themeColor="text1"/>
              </w:rPr>
              <w:t>地表水环境</w:t>
            </w:r>
          </w:p>
        </w:tc>
        <w:tc>
          <w:tcPr>
            <w:tcW w:w="4704" w:type="dxa"/>
            <w:vAlign w:val="center"/>
          </w:tcPr>
          <w:p w14:paraId="079226ED" w14:textId="77777777" w:rsidR="00B0005F" w:rsidRPr="008A2411" w:rsidRDefault="00000000">
            <w:pPr>
              <w:pStyle w:val="affffffe"/>
              <w:rPr>
                <w:color w:val="000000" w:themeColor="text1"/>
              </w:rPr>
            </w:pPr>
            <w:r w:rsidRPr="008A2411">
              <w:rPr>
                <w:color w:val="000000" w:themeColor="text1"/>
              </w:rPr>
              <w:t>pH</w:t>
            </w:r>
            <w:r w:rsidRPr="008A2411">
              <w:rPr>
                <w:color w:val="000000" w:themeColor="text1"/>
              </w:rPr>
              <w:t>、</w:t>
            </w:r>
            <w:proofErr w:type="spellStart"/>
            <w:r w:rsidRPr="008A2411">
              <w:rPr>
                <w:color w:val="000000" w:themeColor="text1"/>
              </w:rPr>
              <w:t>COD</w:t>
            </w:r>
            <w:r w:rsidRPr="008A2411">
              <w:rPr>
                <w:color w:val="000000" w:themeColor="text1"/>
                <w:vertAlign w:val="subscript"/>
              </w:rPr>
              <w:t>Cr</w:t>
            </w:r>
            <w:proofErr w:type="spellEnd"/>
            <w:r w:rsidRPr="008A2411">
              <w:rPr>
                <w:color w:val="000000" w:themeColor="text1"/>
              </w:rPr>
              <w:t>、</w:t>
            </w:r>
            <w:r w:rsidRPr="008A2411">
              <w:rPr>
                <w:color w:val="000000" w:themeColor="text1"/>
              </w:rPr>
              <w:t>BOD</w:t>
            </w:r>
            <w:r w:rsidRPr="008A2411">
              <w:rPr>
                <w:color w:val="000000" w:themeColor="text1"/>
                <w:vertAlign w:val="subscript"/>
              </w:rPr>
              <w:t>5</w:t>
            </w:r>
            <w:r w:rsidRPr="008A2411">
              <w:rPr>
                <w:color w:val="000000" w:themeColor="text1"/>
              </w:rPr>
              <w:t>、氨氮、粪大肠菌群、</w:t>
            </w:r>
            <w:r w:rsidRPr="008A2411">
              <w:rPr>
                <w:color w:val="000000" w:themeColor="text1"/>
              </w:rPr>
              <w:t>TP</w:t>
            </w:r>
          </w:p>
        </w:tc>
        <w:tc>
          <w:tcPr>
            <w:tcW w:w="2987" w:type="dxa"/>
            <w:vAlign w:val="center"/>
          </w:tcPr>
          <w:p w14:paraId="0CEC0401" w14:textId="77777777" w:rsidR="00B0005F" w:rsidRPr="008A2411" w:rsidRDefault="00000000">
            <w:pPr>
              <w:pStyle w:val="affffffe"/>
              <w:rPr>
                <w:color w:val="000000" w:themeColor="text1"/>
                <w:lang w:val="pt-BR"/>
              </w:rPr>
            </w:pPr>
            <w:r w:rsidRPr="008A2411">
              <w:rPr>
                <w:color w:val="000000" w:themeColor="text1"/>
              </w:rPr>
              <w:t>/</w:t>
            </w:r>
          </w:p>
        </w:tc>
      </w:tr>
      <w:tr w:rsidR="008A2411" w:rsidRPr="008A2411" w14:paraId="547B950F" w14:textId="77777777">
        <w:trPr>
          <w:trHeight w:val="263"/>
          <w:jc w:val="center"/>
        </w:trPr>
        <w:tc>
          <w:tcPr>
            <w:tcW w:w="1278" w:type="dxa"/>
            <w:vAlign w:val="center"/>
          </w:tcPr>
          <w:p w14:paraId="3728C497" w14:textId="77777777" w:rsidR="00B0005F" w:rsidRPr="008A2411" w:rsidRDefault="00000000">
            <w:pPr>
              <w:pStyle w:val="affffffe"/>
              <w:rPr>
                <w:color w:val="000000" w:themeColor="text1"/>
              </w:rPr>
            </w:pPr>
            <w:r w:rsidRPr="008A2411">
              <w:rPr>
                <w:color w:val="000000" w:themeColor="text1"/>
              </w:rPr>
              <w:t>地下水环境</w:t>
            </w:r>
          </w:p>
        </w:tc>
        <w:tc>
          <w:tcPr>
            <w:tcW w:w="4704" w:type="dxa"/>
            <w:vAlign w:val="center"/>
          </w:tcPr>
          <w:p w14:paraId="320A9B37" w14:textId="530D6E54" w:rsidR="00B0005F" w:rsidRPr="008A2411" w:rsidRDefault="00000000">
            <w:pPr>
              <w:pStyle w:val="affffffe"/>
              <w:rPr>
                <w:color w:val="000000" w:themeColor="text1"/>
              </w:rPr>
            </w:pPr>
            <w:r w:rsidRPr="008A2411">
              <w:rPr>
                <w:color w:val="000000" w:themeColor="text1"/>
                <w:spacing w:val="-1"/>
              </w:rPr>
              <w:t>pH</w:t>
            </w:r>
            <w:r w:rsidRPr="008A2411">
              <w:rPr>
                <w:color w:val="000000" w:themeColor="text1"/>
                <w:spacing w:val="-1"/>
              </w:rPr>
              <w:t>值、钠、氨氮、挥发</w:t>
            </w:r>
            <w:proofErr w:type="gramStart"/>
            <w:r w:rsidRPr="008A2411">
              <w:rPr>
                <w:color w:val="000000" w:themeColor="text1"/>
                <w:spacing w:val="-1"/>
              </w:rPr>
              <w:t>酚</w:t>
            </w:r>
            <w:proofErr w:type="gramEnd"/>
            <w:r w:rsidRPr="008A2411">
              <w:rPr>
                <w:color w:val="000000" w:themeColor="text1"/>
                <w:spacing w:val="-1"/>
              </w:rPr>
              <w:t>、氰化物、六价铬、细菌总数、总大肠菌群、溶解性总固体、汞、砷、镉、铅、锰、铁、总硬度、氟化物、氯化物、硫酸盐、硝酸盐氮、亚硝酸盐、</w:t>
            </w:r>
            <w:r w:rsidR="004605C9" w:rsidRPr="008A2411">
              <w:rPr>
                <w:rFonts w:hint="eastAsia"/>
                <w:color w:val="000000" w:themeColor="text1"/>
                <w:spacing w:val="-1"/>
              </w:rPr>
              <w:t>高猛酸盐指数</w:t>
            </w:r>
            <w:r w:rsidRPr="008A2411">
              <w:rPr>
                <w:color w:val="000000" w:themeColor="text1"/>
                <w:spacing w:val="-1"/>
              </w:rPr>
              <w:t>、硫化物、石油类</w:t>
            </w:r>
          </w:p>
        </w:tc>
        <w:tc>
          <w:tcPr>
            <w:tcW w:w="2987" w:type="dxa"/>
            <w:vAlign w:val="center"/>
          </w:tcPr>
          <w:p w14:paraId="5BF155F6" w14:textId="77777777" w:rsidR="00B0005F" w:rsidRPr="008A2411" w:rsidRDefault="00000000">
            <w:pPr>
              <w:pStyle w:val="affffffe"/>
              <w:rPr>
                <w:color w:val="000000" w:themeColor="text1"/>
              </w:rPr>
            </w:pPr>
            <w:r w:rsidRPr="008A2411">
              <w:rPr>
                <w:color w:val="000000" w:themeColor="text1"/>
              </w:rPr>
              <w:t>COD</w:t>
            </w:r>
            <w:r w:rsidRPr="008A2411">
              <w:rPr>
                <w:color w:val="000000" w:themeColor="text1"/>
              </w:rPr>
              <w:t>、石油类</w:t>
            </w:r>
          </w:p>
        </w:tc>
      </w:tr>
      <w:tr w:rsidR="008A2411" w:rsidRPr="008A2411" w14:paraId="56358F9E" w14:textId="77777777">
        <w:trPr>
          <w:trHeight w:val="339"/>
          <w:jc w:val="center"/>
        </w:trPr>
        <w:tc>
          <w:tcPr>
            <w:tcW w:w="1278" w:type="dxa"/>
            <w:vAlign w:val="center"/>
          </w:tcPr>
          <w:p w14:paraId="2412405C" w14:textId="77777777" w:rsidR="00B0005F" w:rsidRPr="008A2411" w:rsidRDefault="00000000">
            <w:pPr>
              <w:pStyle w:val="affffffe"/>
              <w:rPr>
                <w:color w:val="000000" w:themeColor="text1"/>
              </w:rPr>
            </w:pPr>
            <w:r w:rsidRPr="008A2411">
              <w:rPr>
                <w:color w:val="000000" w:themeColor="text1"/>
              </w:rPr>
              <w:t>声环境</w:t>
            </w:r>
          </w:p>
        </w:tc>
        <w:tc>
          <w:tcPr>
            <w:tcW w:w="4704" w:type="dxa"/>
            <w:vAlign w:val="center"/>
          </w:tcPr>
          <w:p w14:paraId="6B3BD014" w14:textId="77777777" w:rsidR="00B0005F" w:rsidRPr="008A2411" w:rsidRDefault="00000000">
            <w:pPr>
              <w:pStyle w:val="affffffe"/>
              <w:rPr>
                <w:color w:val="000000" w:themeColor="text1"/>
              </w:rPr>
            </w:pPr>
            <w:r w:rsidRPr="008A2411">
              <w:rPr>
                <w:color w:val="000000" w:themeColor="text1"/>
              </w:rPr>
              <w:t>四周环境噪声（</w:t>
            </w:r>
            <w:r w:rsidRPr="008A2411">
              <w:rPr>
                <w:color w:val="000000" w:themeColor="text1"/>
                <w:kern w:val="2"/>
              </w:rPr>
              <w:t>等效连续</w:t>
            </w:r>
            <w:r w:rsidRPr="008A2411">
              <w:rPr>
                <w:color w:val="000000" w:themeColor="text1"/>
                <w:kern w:val="2"/>
              </w:rPr>
              <w:t>A</w:t>
            </w:r>
            <w:r w:rsidRPr="008A2411">
              <w:rPr>
                <w:color w:val="000000" w:themeColor="text1"/>
                <w:kern w:val="2"/>
              </w:rPr>
              <w:t>声级（</w:t>
            </w:r>
            <w:proofErr w:type="spellStart"/>
            <w:r w:rsidRPr="008A2411">
              <w:rPr>
                <w:color w:val="000000" w:themeColor="text1"/>
                <w:kern w:val="2"/>
              </w:rPr>
              <w:t>Leq</w:t>
            </w:r>
            <w:proofErr w:type="spellEnd"/>
            <w:r w:rsidRPr="008A2411">
              <w:rPr>
                <w:color w:val="000000" w:themeColor="text1"/>
                <w:kern w:val="2"/>
              </w:rPr>
              <w:t>(A)</w:t>
            </w:r>
            <w:r w:rsidRPr="008A2411">
              <w:rPr>
                <w:color w:val="000000" w:themeColor="text1"/>
                <w:kern w:val="2"/>
              </w:rPr>
              <w:t>）</w:t>
            </w:r>
          </w:p>
        </w:tc>
        <w:tc>
          <w:tcPr>
            <w:tcW w:w="2987" w:type="dxa"/>
            <w:vAlign w:val="center"/>
          </w:tcPr>
          <w:p w14:paraId="70AA741E" w14:textId="77777777" w:rsidR="00B0005F" w:rsidRPr="008A2411" w:rsidRDefault="00000000">
            <w:pPr>
              <w:pStyle w:val="affffffe"/>
              <w:rPr>
                <w:color w:val="000000" w:themeColor="text1"/>
              </w:rPr>
            </w:pPr>
            <w:r w:rsidRPr="008A2411">
              <w:rPr>
                <w:color w:val="000000" w:themeColor="text1"/>
              </w:rPr>
              <w:t>厂界噪声、敏感点环境噪声（</w:t>
            </w:r>
            <w:r w:rsidRPr="008A2411">
              <w:rPr>
                <w:color w:val="000000" w:themeColor="text1"/>
                <w:kern w:val="2"/>
              </w:rPr>
              <w:t>等效连续</w:t>
            </w:r>
            <w:r w:rsidRPr="008A2411">
              <w:rPr>
                <w:color w:val="000000" w:themeColor="text1"/>
                <w:kern w:val="2"/>
              </w:rPr>
              <w:t>A</w:t>
            </w:r>
            <w:r w:rsidRPr="008A2411">
              <w:rPr>
                <w:color w:val="000000" w:themeColor="text1"/>
                <w:kern w:val="2"/>
              </w:rPr>
              <w:t>声级（</w:t>
            </w:r>
            <w:proofErr w:type="spellStart"/>
            <w:r w:rsidRPr="008A2411">
              <w:rPr>
                <w:color w:val="000000" w:themeColor="text1"/>
                <w:kern w:val="2"/>
              </w:rPr>
              <w:t>Leq</w:t>
            </w:r>
            <w:proofErr w:type="spellEnd"/>
            <w:r w:rsidRPr="008A2411">
              <w:rPr>
                <w:color w:val="000000" w:themeColor="text1"/>
                <w:kern w:val="2"/>
              </w:rPr>
              <w:t>(A)</w:t>
            </w:r>
            <w:r w:rsidRPr="008A2411">
              <w:rPr>
                <w:color w:val="000000" w:themeColor="text1"/>
                <w:kern w:val="2"/>
              </w:rPr>
              <w:t>）</w:t>
            </w:r>
          </w:p>
        </w:tc>
      </w:tr>
      <w:tr w:rsidR="008A2411" w:rsidRPr="008A2411" w14:paraId="3EEF8130" w14:textId="77777777">
        <w:trPr>
          <w:trHeight w:val="339"/>
          <w:jc w:val="center"/>
        </w:trPr>
        <w:tc>
          <w:tcPr>
            <w:tcW w:w="1278" w:type="dxa"/>
            <w:vAlign w:val="center"/>
          </w:tcPr>
          <w:p w14:paraId="5FD38FD1" w14:textId="77777777" w:rsidR="00B0005F" w:rsidRPr="008A2411" w:rsidRDefault="00000000">
            <w:pPr>
              <w:pStyle w:val="affffffe"/>
              <w:rPr>
                <w:color w:val="000000" w:themeColor="text1"/>
              </w:rPr>
            </w:pPr>
            <w:r w:rsidRPr="008A2411">
              <w:rPr>
                <w:color w:val="000000" w:themeColor="text1"/>
              </w:rPr>
              <w:t>固体废物</w:t>
            </w:r>
          </w:p>
        </w:tc>
        <w:tc>
          <w:tcPr>
            <w:tcW w:w="4704" w:type="dxa"/>
            <w:vAlign w:val="center"/>
          </w:tcPr>
          <w:p w14:paraId="52412296" w14:textId="34F2C3BD" w:rsidR="00B0005F" w:rsidRPr="008A2411" w:rsidRDefault="00000000">
            <w:pPr>
              <w:pStyle w:val="affffffe"/>
              <w:rPr>
                <w:color w:val="000000" w:themeColor="text1"/>
              </w:rPr>
            </w:pPr>
            <w:r w:rsidRPr="008A2411">
              <w:rPr>
                <w:color w:val="000000" w:themeColor="text1"/>
              </w:rPr>
              <w:t>废活性炭、脱</w:t>
            </w:r>
            <w:proofErr w:type="gramStart"/>
            <w:r w:rsidRPr="008A2411">
              <w:rPr>
                <w:color w:val="000000" w:themeColor="text1"/>
              </w:rPr>
              <w:t>汞加工</w:t>
            </w:r>
            <w:proofErr w:type="gramEnd"/>
            <w:r w:rsidRPr="008A2411">
              <w:rPr>
                <w:color w:val="000000" w:themeColor="text1"/>
              </w:rPr>
              <w:t>产生</w:t>
            </w:r>
            <w:proofErr w:type="gramStart"/>
            <w:r w:rsidRPr="008A2411">
              <w:rPr>
                <w:color w:val="000000" w:themeColor="text1"/>
              </w:rPr>
              <w:t>的废脱汞</w:t>
            </w:r>
            <w:proofErr w:type="gramEnd"/>
            <w:r w:rsidRPr="008A2411">
              <w:rPr>
                <w:color w:val="000000" w:themeColor="text1"/>
              </w:rPr>
              <w:t>剂、废油</w:t>
            </w:r>
            <w:r w:rsidR="004605C9" w:rsidRPr="008A2411">
              <w:rPr>
                <w:rFonts w:hint="eastAsia"/>
                <w:color w:val="000000" w:themeColor="text1"/>
              </w:rPr>
              <w:t>（</w:t>
            </w:r>
            <w:proofErr w:type="gramStart"/>
            <w:r w:rsidR="004605C9" w:rsidRPr="008A2411">
              <w:rPr>
                <w:rFonts w:hint="eastAsia"/>
                <w:color w:val="000000" w:themeColor="text1"/>
              </w:rPr>
              <w:t>含废导热</w:t>
            </w:r>
            <w:proofErr w:type="gramEnd"/>
            <w:r w:rsidR="004605C9" w:rsidRPr="008A2411">
              <w:rPr>
                <w:rFonts w:hint="eastAsia"/>
                <w:color w:val="000000" w:themeColor="text1"/>
              </w:rPr>
              <w:t>油）</w:t>
            </w:r>
            <w:r w:rsidRPr="008A2411">
              <w:rPr>
                <w:color w:val="000000" w:themeColor="text1"/>
              </w:rPr>
              <w:t>、化验间残液、污水处理站污泥</w:t>
            </w:r>
            <w:r w:rsidR="004605C9" w:rsidRPr="008A2411">
              <w:rPr>
                <w:rFonts w:hint="eastAsia"/>
                <w:color w:val="000000" w:themeColor="text1"/>
              </w:rPr>
              <w:t>、废过滤</w:t>
            </w:r>
            <w:r w:rsidR="004605C9" w:rsidRPr="008A2411">
              <w:rPr>
                <w:rFonts w:hint="eastAsia"/>
                <w:color w:val="000000" w:themeColor="text1"/>
              </w:rPr>
              <w:lastRenderedPageBreak/>
              <w:t>器</w:t>
            </w:r>
          </w:p>
        </w:tc>
        <w:tc>
          <w:tcPr>
            <w:tcW w:w="2987" w:type="dxa"/>
            <w:vAlign w:val="center"/>
          </w:tcPr>
          <w:p w14:paraId="27D8B048" w14:textId="57FDA2F6" w:rsidR="00B0005F" w:rsidRPr="008A2411" w:rsidRDefault="004605C9">
            <w:pPr>
              <w:pStyle w:val="affffffe"/>
              <w:rPr>
                <w:color w:val="000000" w:themeColor="text1"/>
              </w:rPr>
            </w:pPr>
            <w:r w:rsidRPr="008A2411">
              <w:rPr>
                <w:color w:val="000000" w:themeColor="text1"/>
              </w:rPr>
              <w:lastRenderedPageBreak/>
              <w:t>废活性炭、脱</w:t>
            </w:r>
            <w:proofErr w:type="gramStart"/>
            <w:r w:rsidRPr="008A2411">
              <w:rPr>
                <w:color w:val="000000" w:themeColor="text1"/>
              </w:rPr>
              <w:t>汞加工</w:t>
            </w:r>
            <w:proofErr w:type="gramEnd"/>
            <w:r w:rsidRPr="008A2411">
              <w:rPr>
                <w:color w:val="000000" w:themeColor="text1"/>
              </w:rPr>
              <w:t>产生</w:t>
            </w:r>
            <w:proofErr w:type="gramStart"/>
            <w:r w:rsidRPr="008A2411">
              <w:rPr>
                <w:color w:val="000000" w:themeColor="text1"/>
              </w:rPr>
              <w:t>的废脱汞</w:t>
            </w:r>
            <w:proofErr w:type="gramEnd"/>
            <w:r w:rsidRPr="008A2411">
              <w:rPr>
                <w:color w:val="000000" w:themeColor="text1"/>
              </w:rPr>
              <w:t>剂、废油</w:t>
            </w:r>
            <w:r w:rsidRPr="008A2411">
              <w:rPr>
                <w:rFonts w:hint="eastAsia"/>
                <w:color w:val="000000" w:themeColor="text1"/>
              </w:rPr>
              <w:t>（</w:t>
            </w:r>
            <w:proofErr w:type="gramStart"/>
            <w:r w:rsidRPr="008A2411">
              <w:rPr>
                <w:rFonts w:hint="eastAsia"/>
                <w:color w:val="000000" w:themeColor="text1"/>
              </w:rPr>
              <w:t>含废导热</w:t>
            </w:r>
            <w:proofErr w:type="gramEnd"/>
            <w:r w:rsidRPr="008A2411">
              <w:rPr>
                <w:rFonts w:hint="eastAsia"/>
                <w:color w:val="000000" w:themeColor="text1"/>
              </w:rPr>
              <w:t>油）</w:t>
            </w:r>
            <w:r w:rsidRPr="008A2411">
              <w:rPr>
                <w:color w:val="000000" w:themeColor="text1"/>
              </w:rPr>
              <w:t>、化</w:t>
            </w:r>
            <w:r w:rsidRPr="008A2411">
              <w:rPr>
                <w:color w:val="000000" w:themeColor="text1"/>
              </w:rPr>
              <w:lastRenderedPageBreak/>
              <w:t>验间残液、污水处理站污泥</w:t>
            </w:r>
            <w:r w:rsidRPr="008A2411">
              <w:rPr>
                <w:rFonts w:hint="eastAsia"/>
                <w:color w:val="000000" w:themeColor="text1"/>
              </w:rPr>
              <w:t>、废过滤器</w:t>
            </w:r>
          </w:p>
        </w:tc>
      </w:tr>
      <w:tr w:rsidR="00B0005F" w:rsidRPr="008A2411" w14:paraId="4E249143" w14:textId="77777777">
        <w:trPr>
          <w:trHeight w:val="339"/>
          <w:jc w:val="center"/>
        </w:trPr>
        <w:tc>
          <w:tcPr>
            <w:tcW w:w="1278" w:type="dxa"/>
            <w:vAlign w:val="center"/>
          </w:tcPr>
          <w:p w14:paraId="053BEFC6" w14:textId="77777777" w:rsidR="00B0005F" w:rsidRPr="008A2411" w:rsidRDefault="00000000">
            <w:pPr>
              <w:pStyle w:val="affffffe"/>
              <w:rPr>
                <w:color w:val="000000" w:themeColor="text1"/>
              </w:rPr>
            </w:pPr>
            <w:r w:rsidRPr="008A2411">
              <w:rPr>
                <w:color w:val="000000" w:themeColor="text1"/>
              </w:rPr>
              <w:lastRenderedPageBreak/>
              <w:t>土壤</w:t>
            </w:r>
          </w:p>
        </w:tc>
        <w:tc>
          <w:tcPr>
            <w:tcW w:w="4704" w:type="dxa"/>
            <w:vAlign w:val="center"/>
          </w:tcPr>
          <w:p w14:paraId="676A3088" w14:textId="77777777" w:rsidR="00B0005F" w:rsidRPr="008A2411" w:rsidRDefault="00000000">
            <w:pPr>
              <w:pStyle w:val="affffffe"/>
              <w:rPr>
                <w:color w:val="000000" w:themeColor="text1"/>
              </w:rPr>
            </w:pPr>
            <w:r w:rsidRPr="008A2411">
              <w:rPr>
                <w:color w:val="000000" w:themeColor="text1"/>
              </w:rPr>
              <w:t>水分、</w:t>
            </w:r>
            <w:r w:rsidRPr="008A2411">
              <w:rPr>
                <w:color w:val="000000" w:themeColor="text1"/>
              </w:rPr>
              <w:t>pH</w:t>
            </w:r>
            <w:r w:rsidRPr="008A2411">
              <w:rPr>
                <w:color w:val="000000" w:themeColor="text1"/>
              </w:rPr>
              <w:t>、阳离子交换量、全氮、全磷、砷、镉、六价铬、铜、铅、汞、镍、四氯化碳、氯仿、氯甲烷、</w:t>
            </w:r>
            <w:r w:rsidRPr="008A2411">
              <w:rPr>
                <w:color w:val="000000" w:themeColor="text1"/>
              </w:rPr>
              <w:t>1,1-</w:t>
            </w:r>
            <w:r w:rsidRPr="008A2411">
              <w:rPr>
                <w:color w:val="000000" w:themeColor="text1"/>
              </w:rPr>
              <w:t>二氯乙烷、</w:t>
            </w:r>
            <w:r w:rsidRPr="008A2411">
              <w:rPr>
                <w:color w:val="000000" w:themeColor="text1"/>
              </w:rPr>
              <w:t>1,2-</w:t>
            </w:r>
            <w:r w:rsidRPr="008A2411">
              <w:rPr>
                <w:color w:val="000000" w:themeColor="text1"/>
              </w:rPr>
              <w:t>二氯乙烷、</w:t>
            </w:r>
            <w:r w:rsidRPr="008A2411">
              <w:rPr>
                <w:color w:val="000000" w:themeColor="text1"/>
              </w:rPr>
              <w:t>1,1-</w:t>
            </w:r>
            <w:r w:rsidRPr="008A2411">
              <w:rPr>
                <w:color w:val="000000" w:themeColor="text1"/>
              </w:rPr>
              <w:t>二氯乙烯、顺</w:t>
            </w:r>
            <w:r w:rsidRPr="008A2411">
              <w:rPr>
                <w:color w:val="000000" w:themeColor="text1"/>
              </w:rPr>
              <w:t>-1,2-</w:t>
            </w:r>
            <w:r w:rsidRPr="008A2411">
              <w:rPr>
                <w:color w:val="000000" w:themeColor="text1"/>
              </w:rPr>
              <w:t>二氯乙烯、反</w:t>
            </w:r>
            <w:r w:rsidRPr="008A2411">
              <w:rPr>
                <w:color w:val="000000" w:themeColor="text1"/>
              </w:rPr>
              <w:t>-1,2-</w:t>
            </w:r>
            <w:r w:rsidRPr="008A2411">
              <w:rPr>
                <w:color w:val="000000" w:themeColor="text1"/>
              </w:rPr>
              <w:t>二氯乙烯、二氯甲烷、</w:t>
            </w:r>
            <w:r w:rsidRPr="008A2411">
              <w:rPr>
                <w:color w:val="000000" w:themeColor="text1"/>
              </w:rPr>
              <w:t>1,2-</w:t>
            </w:r>
            <w:r w:rsidRPr="008A2411">
              <w:rPr>
                <w:color w:val="000000" w:themeColor="text1"/>
              </w:rPr>
              <w:t>二氯丙烷、</w:t>
            </w:r>
            <w:r w:rsidRPr="008A2411">
              <w:rPr>
                <w:color w:val="000000" w:themeColor="text1"/>
              </w:rPr>
              <w:t>1,1,1,2-</w:t>
            </w:r>
            <w:r w:rsidRPr="008A2411">
              <w:rPr>
                <w:color w:val="000000" w:themeColor="text1"/>
              </w:rPr>
              <w:t>四氯乙烷、</w:t>
            </w:r>
            <w:r w:rsidRPr="008A2411">
              <w:rPr>
                <w:color w:val="000000" w:themeColor="text1"/>
              </w:rPr>
              <w:t>1,1,2,2-</w:t>
            </w:r>
            <w:r w:rsidRPr="008A2411">
              <w:rPr>
                <w:color w:val="000000" w:themeColor="text1"/>
              </w:rPr>
              <w:t>四氯乙烷、四氯乙烯、</w:t>
            </w:r>
            <w:r w:rsidRPr="008A2411">
              <w:rPr>
                <w:color w:val="000000" w:themeColor="text1"/>
              </w:rPr>
              <w:t>1,1,1-</w:t>
            </w:r>
            <w:r w:rsidRPr="008A2411">
              <w:rPr>
                <w:color w:val="000000" w:themeColor="text1"/>
              </w:rPr>
              <w:t>三氯乙烷、</w:t>
            </w:r>
            <w:r w:rsidRPr="008A2411">
              <w:rPr>
                <w:color w:val="000000" w:themeColor="text1"/>
              </w:rPr>
              <w:t>1,1,2-</w:t>
            </w:r>
            <w:r w:rsidRPr="008A2411">
              <w:rPr>
                <w:color w:val="000000" w:themeColor="text1"/>
              </w:rPr>
              <w:t>三氯乙烷、三氯乙烯、</w:t>
            </w:r>
            <w:r w:rsidRPr="008A2411">
              <w:rPr>
                <w:color w:val="000000" w:themeColor="text1"/>
              </w:rPr>
              <w:t>1,2,3-</w:t>
            </w:r>
            <w:r w:rsidRPr="008A2411">
              <w:rPr>
                <w:color w:val="000000" w:themeColor="text1"/>
              </w:rPr>
              <w:t>三氯丙烷、氯乙烯、苯、氯苯、</w:t>
            </w:r>
            <w:r w:rsidRPr="008A2411">
              <w:rPr>
                <w:color w:val="000000" w:themeColor="text1"/>
              </w:rPr>
              <w:t>1,2-</w:t>
            </w:r>
            <w:r w:rsidRPr="008A2411">
              <w:rPr>
                <w:color w:val="000000" w:themeColor="text1"/>
              </w:rPr>
              <w:t>二氯苯、</w:t>
            </w:r>
            <w:r w:rsidRPr="008A2411">
              <w:rPr>
                <w:color w:val="000000" w:themeColor="text1"/>
              </w:rPr>
              <w:t>1,4-</w:t>
            </w:r>
            <w:r w:rsidRPr="008A2411">
              <w:rPr>
                <w:color w:val="000000" w:themeColor="text1"/>
              </w:rPr>
              <w:t>二氯苯、乙苯、苯乙烯、甲苯、间二甲苯</w:t>
            </w:r>
            <w:r w:rsidRPr="008A2411">
              <w:rPr>
                <w:color w:val="000000" w:themeColor="text1"/>
              </w:rPr>
              <w:t>+</w:t>
            </w:r>
            <w:r w:rsidRPr="008A2411">
              <w:rPr>
                <w:color w:val="000000" w:themeColor="text1"/>
              </w:rPr>
              <w:t>对二甲苯、邻二甲苯、硝基苯、苯胺、</w:t>
            </w:r>
            <w:r w:rsidRPr="008A2411">
              <w:rPr>
                <w:color w:val="000000" w:themeColor="text1"/>
              </w:rPr>
              <w:t>2-</w:t>
            </w:r>
            <w:r w:rsidRPr="008A2411">
              <w:rPr>
                <w:color w:val="000000" w:themeColor="text1"/>
              </w:rPr>
              <w:t>氯酚、苯并</w:t>
            </w:r>
            <w:r w:rsidRPr="008A2411">
              <w:rPr>
                <w:color w:val="000000" w:themeColor="text1"/>
              </w:rPr>
              <w:t>[a]</w:t>
            </w:r>
            <w:proofErr w:type="gramStart"/>
            <w:r w:rsidRPr="008A2411">
              <w:rPr>
                <w:color w:val="000000" w:themeColor="text1"/>
              </w:rPr>
              <w:t>蒽</w:t>
            </w:r>
            <w:proofErr w:type="gramEnd"/>
            <w:r w:rsidRPr="008A2411">
              <w:rPr>
                <w:color w:val="000000" w:themeColor="text1"/>
              </w:rPr>
              <w:t>、苯并</w:t>
            </w:r>
            <w:r w:rsidRPr="008A2411">
              <w:rPr>
                <w:color w:val="000000" w:themeColor="text1"/>
              </w:rPr>
              <w:t>[a]</w:t>
            </w:r>
            <w:proofErr w:type="gramStart"/>
            <w:r w:rsidRPr="008A2411">
              <w:rPr>
                <w:color w:val="000000" w:themeColor="text1"/>
              </w:rPr>
              <w:t>芘</w:t>
            </w:r>
            <w:proofErr w:type="gramEnd"/>
            <w:r w:rsidRPr="008A2411">
              <w:rPr>
                <w:color w:val="000000" w:themeColor="text1"/>
              </w:rPr>
              <w:t>、苯并</w:t>
            </w:r>
            <w:r w:rsidRPr="008A2411">
              <w:rPr>
                <w:color w:val="000000" w:themeColor="text1"/>
              </w:rPr>
              <w:t>[b]</w:t>
            </w:r>
            <w:proofErr w:type="gramStart"/>
            <w:r w:rsidRPr="008A2411">
              <w:rPr>
                <w:color w:val="000000" w:themeColor="text1"/>
              </w:rPr>
              <w:t>荧蒽</w:t>
            </w:r>
            <w:proofErr w:type="gramEnd"/>
            <w:r w:rsidRPr="008A2411">
              <w:rPr>
                <w:color w:val="000000" w:themeColor="text1"/>
              </w:rPr>
              <w:t>、苯并</w:t>
            </w:r>
            <w:r w:rsidRPr="008A2411">
              <w:rPr>
                <w:color w:val="000000" w:themeColor="text1"/>
              </w:rPr>
              <w:t>[k]</w:t>
            </w:r>
            <w:proofErr w:type="gramStart"/>
            <w:r w:rsidRPr="008A2411">
              <w:rPr>
                <w:color w:val="000000" w:themeColor="text1"/>
              </w:rPr>
              <w:t>荧蒽</w:t>
            </w:r>
            <w:proofErr w:type="gramEnd"/>
            <w:r w:rsidRPr="008A2411">
              <w:rPr>
                <w:color w:val="000000" w:themeColor="text1"/>
              </w:rPr>
              <w:t>、䓛、二苯并</w:t>
            </w:r>
            <w:r w:rsidRPr="008A2411">
              <w:rPr>
                <w:color w:val="000000" w:themeColor="text1"/>
              </w:rPr>
              <w:t>[</w:t>
            </w:r>
            <w:proofErr w:type="spellStart"/>
            <w:r w:rsidRPr="008A2411">
              <w:rPr>
                <w:color w:val="000000" w:themeColor="text1"/>
              </w:rPr>
              <w:t>a,h</w:t>
            </w:r>
            <w:proofErr w:type="spellEnd"/>
            <w:r w:rsidRPr="008A2411">
              <w:rPr>
                <w:color w:val="000000" w:themeColor="text1"/>
              </w:rPr>
              <w:t>]</w:t>
            </w:r>
            <w:proofErr w:type="gramStart"/>
            <w:r w:rsidRPr="008A2411">
              <w:rPr>
                <w:color w:val="000000" w:themeColor="text1"/>
              </w:rPr>
              <w:t>蒽</w:t>
            </w:r>
            <w:proofErr w:type="gramEnd"/>
            <w:r w:rsidRPr="008A2411">
              <w:rPr>
                <w:color w:val="000000" w:themeColor="text1"/>
              </w:rPr>
              <w:t>、</w:t>
            </w:r>
            <w:proofErr w:type="gramStart"/>
            <w:r w:rsidRPr="008A2411">
              <w:rPr>
                <w:color w:val="000000" w:themeColor="text1"/>
              </w:rPr>
              <w:t>茚</w:t>
            </w:r>
            <w:proofErr w:type="gramEnd"/>
            <w:r w:rsidRPr="008A2411">
              <w:rPr>
                <w:color w:val="000000" w:themeColor="text1"/>
              </w:rPr>
              <w:t>并</w:t>
            </w:r>
            <w:r w:rsidRPr="008A2411">
              <w:rPr>
                <w:color w:val="000000" w:themeColor="text1"/>
              </w:rPr>
              <w:t>[1,2,3-cd]</w:t>
            </w:r>
            <w:proofErr w:type="gramStart"/>
            <w:r w:rsidRPr="008A2411">
              <w:rPr>
                <w:color w:val="000000" w:themeColor="text1"/>
              </w:rPr>
              <w:t>芘</w:t>
            </w:r>
            <w:proofErr w:type="gramEnd"/>
            <w:r w:rsidRPr="008A2411">
              <w:rPr>
                <w:color w:val="000000" w:themeColor="text1"/>
              </w:rPr>
              <w:t>、</w:t>
            </w:r>
            <w:proofErr w:type="gramStart"/>
            <w:r w:rsidRPr="008A2411">
              <w:rPr>
                <w:color w:val="000000" w:themeColor="text1"/>
              </w:rPr>
              <w:t>萘</w:t>
            </w:r>
            <w:proofErr w:type="gramEnd"/>
            <w:r w:rsidRPr="008A2411">
              <w:rPr>
                <w:color w:val="000000" w:themeColor="text1"/>
              </w:rPr>
              <w:t>、氰化物及</w:t>
            </w:r>
            <w:proofErr w:type="gramStart"/>
            <w:r w:rsidRPr="008A2411">
              <w:rPr>
                <w:color w:val="000000" w:themeColor="text1"/>
              </w:rPr>
              <w:t>石油烃共</w:t>
            </w:r>
            <w:r w:rsidRPr="008A2411">
              <w:rPr>
                <w:color w:val="000000" w:themeColor="text1"/>
              </w:rPr>
              <w:t>51</w:t>
            </w:r>
            <w:r w:rsidRPr="008A2411">
              <w:rPr>
                <w:color w:val="000000" w:themeColor="text1"/>
              </w:rPr>
              <w:t>项</w:t>
            </w:r>
            <w:proofErr w:type="gramEnd"/>
          </w:p>
        </w:tc>
        <w:tc>
          <w:tcPr>
            <w:tcW w:w="2987" w:type="dxa"/>
            <w:vAlign w:val="center"/>
          </w:tcPr>
          <w:p w14:paraId="6FD4B4AF" w14:textId="77777777" w:rsidR="00B0005F" w:rsidRPr="008A2411" w:rsidRDefault="00000000">
            <w:pPr>
              <w:pStyle w:val="affffffe"/>
              <w:rPr>
                <w:color w:val="000000" w:themeColor="text1"/>
              </w:rPr>
            </w:pPr>
            <w:r w:rsidRPr="008A2411">
              <w:rPr>
                <w:color w:val="000000" w:themeColor="text1"/>
              </w:rPr>
              <w:t>SO</w:t>
            </w:r>
            <w:r w:rsidRPr="008A2411">
              <w:rPr>
                <w:color w:val="000000" w:themeColor="text1"/>
                <w:vertAlign w:val="subscript"/>
              </w:rPr>
              <w:t>2</w:t>
            </w:r>
          </w:p>
        </w:tc>
      </w:tr>
    </w:tbl>
    <w:p w14:paraId="6BE5A28F" w14:textId="77777777" w:rsidR="00B0005F" w:rsidRPr="008A2411" w:rsidRDefault="00B0005F">
      <w:pPr>
        <w:spacing w:line="360" w:lineRule="auto"/>
        <w:rPr>
          <w:rFonts w:ascii="Times New Roman"/>
          <w:color w:val="000000" w:themeColor="text1"/>
          <w:szCs w:val="28"/>
        </w:rPr>
      </w:pPr>
      <w:bookmarkStart w:id="54" w:name="_Toc217654384"/>
      <w:bookmarkStart w:id="55" w:name="_Toc277230811"/>
      <w:bookmarkStart w:id="56" w:name="_Toc277230980"/>
      <w:bookmarkStart w:id="57" w:name="_Toc289800089"/>
      <w:bookmarkStart w:id="58" w:name="_Toc277180518"/>
      <w:bookmarkStart w:id="59" w:name="_Toc277182633"/>
      <w:bookmarkStart w:id="60" w:name="_Toc274573389"/>
      <w:bookmarkStart w:id="61" w:name="_Toc247364547"/>
    </w:p>
    <w:p w14:paraId="639A4561" w14:textId="77777777" w:rsidR="00B0005F" w:rsidRPr="008A2411" w:rsidRDefault="00000000">
      <w:pPr>
        <w:pStyle w:val="31"/>
        <w:keepNext w:val="0"/>
        <w:keepLines w:val="0"/>
        <w:spacing w:before="0" w:after="0" w:line="360" w:lineRule="auto"/>
        <w:rPr>
          <w:rFonts w:ascii="Times New Roman"/>
          <w:color w:val="000000" w:themeColor="text1"/>
          <w:sz w:val="24"/>
          <w:szCs w:val="28"/>
        </w:rPr>
      </w:pPr>
      <w:r w:rsidRPr="008A2411">
        <w:rPr>
          <w:rFonts w:ascii="Times New Roman"/>
          <w:color w:val="000000" w:themeColor="text1"/>
          <w:sz w:val="24"/>
          <w:szCs w:val="28"/>
        </w:rPr>
        <w:t xml:space="preserve">2.6.2 </w:t>
      </w:r>
      <w:r w:rsidRPr="008A2411">
        <w:rPr>
          <w:rFonts w:ascii="Times New Roman"/>
          <w:color w:val="000000" w:themeColor="text1"/>
          <w:sz w:val="24"/>
          <w:szCs w:val="28"/>
        </w:rPr>
        <w:t>评价标准</w:t>
      </w:r>
      <w:bookmarkEnd w:id="54"/>
      <w:bookmarkEnd w:id="55"/>
      <w:bookmarkEnd w:id="56"/>
      <w:bookmarkEnd w:id="57"/>
      <w:bookmarkEnd w:id="58"/>
      <w:bookmarkEnd w:id="59"/>
      <w:bookmarkEnd w:id="60"/>
      <w:bookmarkEnd w:id="61"/>
    </w:p>
    <w:p w14:paraId="306476C7" w14:textId="77777777" w:rsidR="00B0005F" w:rsidRPr="008A2411" w:rsidRDefault="00000000">
      <w:pPr>
        <w:tabs>
          <w:tab w:val="left" w:pos="720"/>
        </w:tabs>
        <w:autoSpaceDE w:val="0"/>
        <w:autoSpaceDN w:val="0"/>
        <w:adjustRightInd w:val="0"/>
        <w:spacing w:line="360" w:lineRule="auto"/>
        <w:ind w:firstLineChars="100" w:firstLine="241"/>
        <w:outlineLvl w:val="3"/>
        <w:rPr>
          <w:rFonts w:ascii="Times New Roman"/>
          <w:b/>
          <w:color w:val="000000" w:themeColor="text1"/>
          <w:lang w:val="zh-CN"/>
        </w:rPr>
      </w:pPr>
      <w:bookmarkStart w:id="62" w:name="_Toc277230812"/>
      <w:bookmarkStart w:id="63" w:name="_Toc274573390"/>
      <w:bookmarkStart w:id="64" w:name="_Toc277180519"/>
      <w:bookmarkStart w:id="65" w:name="_Toc277775245"/>
      <w:bookmarkStart w:id="66" w:name="_Toc277230981"/>
      <w:bookmarkStart w:id="67" w:name="_Toc289800090"/>
      <w:bookmarkStart w:id="68" w:name="_Toc277182634"/>
      <w:bookmarkStart w:id="69" w:name="_Toc247364548"/>
      <w:bookmarkStart w:id="70" w:name="_Toc277231150"/>
      <w:r w:rsidRPr="008A2411">
        <w:rPr>
          <w:rFonts w:ascii="Times New Roman"/>
          <w:b/>
          <w:color w:val="000000" w:themeColor="text1"/>
          <w:lang w:val="zh-CN"/>
        </w:rPr>
        <w:t xml:space="preserve">2.6.2.1 </w:t>
      </w:r>
      <w:r w:rsidRPr="008A2411">
        <w:rPr>
          <w:rFonts w:ascii="Times New Roman"/>
          <w:b/>
          <w:color w:val="000000" w:themeColor="text1"/>
          <w:lang w:val="zh-CN"/>
        </w:rPr>
        <w:t>环境质量标准</w:t>
      </w:r>
      <w:bookmarkEnd w:id="62"/>
      <w:bookmarkEnd w:id="63"/>
      <w:bookmarkEnd w:id="64"/>
      <w:bookmarkEnd w:id="65"/>
      <w:bookmarkEnd w:id="66"/>
      <w:bookmarkEnd w:id="67"/>
      <w:bookmarkEnd w:id="68"/>
      <w:bookmarkEnd w:id="69"/>
      <w:bookmarkEnd w:id="70"/>
    </w:p>
    <w:p w14:paraId="192D7049" w14:textId="77777777" w:rsidR="00B0005F" w:rsidRPr="008A2411" w:rsidRDefault="00000000">
      <w:pPr>
        <w:tabs>
          <w:tab w:val="left" w:pos="720"/>
        </w:tabs>
        <w:autoSpaceDE w:val="0"/>
        <w:autoSpaceDN w:val="0"/>
        <w:adjustRightInd w:val="0"/>
        <w:spacing w:line="360" w:lineRule="auto"/>
        <w:ind w:firstLine="480"/>
        <w:rPr>
          <w:rFonts w:ascii="Times New Roman"/>
          <w:color w:val="000000" w:themeColor="text1"/>
          <w:lang w:val="zh-CN"/>
        </w:rPr>
      </w:pPr>
      <w:r w:rsidRPr="008A2411">
        <w:rPr>
          <w:rFonts w:ascii="Times New Roman"/>
          <w:b/>
          <w:color w:val="000000" w:themeColor="text1"/>
          <w:lang w:val="zh-CN"/>
        </w:rPr>
        <w:t>（</w:t>
      </w:r>
      <w:r w:rsidRPr="008A2411">
        <w:rPr>
          <w:rFonts w:ascii="Times New Roman"/>
          <w:b/>
          <w:color w:val="000000" w:themeColor="text1"/>
        </w:rPr>
        <w:t>1</w:t>
      </w:r>
      <w:r w:rsidRPr="008A2411">
        <w:rPr>
          <w:rFonts w:ascii="Times New Roman"/>
          <w:b/>
          <w:color w:val="000000" w:themeColor="text1"/>
          <w:lang w:val="zh-CN"/>
        </w:rPr>
        <w:t>）环境空气质量</w:t>
      </w:r>
    </w:p>
    <w:p w14:paraId="7F3958A3" w14:textId="77777777" w:rsidR="00B0005F" w:rsidRPr="008A2411" w:rsidRDefault="00000000">
      <w:pPr>
        <w:tabs>
          <w:tab w:val="left" w:pos="720"/>
        </w:tabs>
        <w:autoSpaceDE w:val="0"/>
        <w:autoSpaceDN w:val="0"/>
        <w:adjustRightInd w:val="0"/>
        <w:spacing w:line="360" w:lineRule="auto"/>
        <w:ind w:firstLine="480"/>
        <w:rPr>
          <w:rFonts w:ascii="Times New Roman"/>
          <w:color w:val="000000" w:themeColor="text1"/>
          <w:lang w:val="zh-CN"/>
        </w:rPr>
      </w:pPr>
      <w:r w:rsidRPr="008A2411">
        <w:rPr>
          <w:rFonts w:ascii="Times New Roman"/>
          <w:color w:val="000000" w:themeColor="text1"/>
          <w:lang w:val="zh-CN"/>
        </w:rPr>
        <w:t>环境空气质量执行国家《环境空气质量标准》（</w:t>
      </w:r>
      <w:r w:rsidRPr="008A2411">
        <w:rPr>
          <w:rFonts w:ascii="Times New Roman"/>
          <w:color w:val="000000" w:themeColor="text1"/>
          <w:lang w:val="zh-CN"/>
        </w:rPr>
        <w:t>GB3095-2012</w:t>
      </w:r>
      <w:r w:rsidRPr="008A2411">
        <w:rPr>
          <w:rFonts w:ascii="Times New Roman"/>
          <w:color w:val="000000" w:themeColor="text1"/>
          <w:lang w:val="zh-CN"/>
        </w:rPr>
        <w:t>）中的二级标准，详见表</w:t>
      </w:r>
      <w:r w:rsidRPr="008A2411">
        <w:rPr>
          <w:rFonts w:ascii="Times New Roman"/>
          <w:color w:val="000000" w:themeColor="text1"/>
          <w:lang w:val="zh-CN"/>
        </w:rPr>
        <w:t>2.6-2</w:t>
      </w:r>
      <w:r w:rsidRPr="008A2411">
        <w:rPr>
          <w:rFonts w:ascii="Times New Roman"/>
          <w:color w:val="000000" w:themeColor="text1"/>
          <w:lang w:val="zh-CN"/>
        </w:rPr>
        <w:t>。</w:t>
      </w:r>
    </w:p>
    <w:p w14:paraId="560A674A" w14:textId="77777777" w:rsidR="00B0005F" w:rsidRPr="008A2411" w:rsidRDefault="00000000">
      <w:pPr>
        <w:autoSpaceDE w:val="0"/>
        <w:autoSpaceDN w:val="0"/>
        <w:adjustRightInd w:val="0"/>
        <w:jc w:val="right"/>
        <w:rPr>
          <w:rFonts w:ascii="Times New Roman" w:eastAsia="黑体"/>
          <w:bCs/>
          <w:color w:val="000000" w:themeColor="text1"/>
          <w:szCs w:val="21"/>
          <w:vertAlign w:val="superscript"/>
          <w:lang w:val="zh-CN"/>
        </w:rPr>
      </w:pPr>
      <w:r w:rsidRPr="008A2411">
        <w:rPr>
          <w:rFonts w:ascii="Times New Roman" w:eastAsia="黑体"/>
          <w:bCs/>
          <w:color w:val="000000" w:themeColor="text1"/>
          <w:szCs w:val="21"/>
          <w:lang w:val="zh-CN"/>
        </w:rPr>
        <w:t>表</w:t>
      </w:r>
      <w:r w:rsidRPr="008A2411">
        <w:rPr>
          <w:rFonts w:ascii="Times New Roman" w:eastAsia="黑体"/>
          <w:bCs/>
          <w:color w:val="000000" w:themeColor="text1"/>
          <w:szCs w:val="21"/>
          <w:lang w:val="zh-CN"/>
        </w:rPr>
        <w:t xml:space="preserve">2.6-2  </w:t>
      </w:r>
      <w:r w:rsidRPr="008A2411">
        <w:rPr>
          <w:rFonts w:ascii="Times New Roman" w:eastAsia="黑体"/>
          <w:bCs/>
          <w:color w:val="000000" w:themeColor="text1"/>
          <w:szCs w:val="21"/>
          <w:lang w:val="zh-CN"/>
        </w:rPr>
        <w:t>环境空气质量标准</w:t>
      </w:r>
      <w:r w:rsidRPr="008A2411">
        <w:rPr>
          <w:rFonts w:ascii="Times New Roman" w:eastAsia="黑体"/>
          <w:bCs/>
          <w:color w:val="000000" w:themeColor="text1"/>
          <w:szCs w:val="21"/>
          <w:lang w:val="zh-CN"/>
        </w:rPr>
        <w:t xml:space="preserve">             </w:t>
      </w:r>
      <w:r w:rsidRPr="008A2411">
        <w:rPr>
          <w:rFonts w:ascii="Times New Roman" w:eastAsia="黑体"/>
          <w:bCs/>
          <w:color w:val="000000" w:themeColor="text1"/>
          <w:szCs w:val="21"/>
          <w:lang w:val="zh-CN"/>
        </w:rPr>
        <w:t>单位：</w:t>
      </w:r>
      <w:r w:rsidRPr="008A2411">
        <w:rPr>
          <w:rFonts w:ascii="Times New Roman" w:eastAsia="黑体"/>
          <w:bCs/>
          <w:color w:val="000000" w:themeColor="text1"/>
          <w:szCs w:val="21"/>
          <w:lang w:val="zh-CN"/>
        </w:rPr>
        <w:t>μg/m</w:t>
      </w:r>
      <w:r w:rsidRPr="008A2411">
        <w:rPr>
          <w:rFonts w:ascii="Times New Roman" w:eastAsia="黑体"/>
          <w:bCs/>
          <w:color w:val="000000" w:themeColor="text1"/>
          <w:szCs w:val="21"/>
          <w:vertAlign w:val="superscript"/>
          <w:lang w:val="zh-CN"/>
        </w:rPr>
        <w:t>3</w:t>
      </w:r>
    </w:p>
    <w:tbl>
      <w:tblPr>
        <w:tblW w:w="4849" w:type="pct"/>
        <w:jc w:val="center"/>
        <w:tblBorders>
          <w:top w:val="single" w:sz="4" w:space="0" w:color="000000"/>
          <w:left w:val="single" w:sz="4" w:space="0" w:color="000000"/>
          <w:bottom w:val="single" w:sz="4" w:space="0" w:color="000000"/>
          <w:right w:val="single" w:sz="4" w:space="0" w:color="000000"/>
          <w:insideH w:val="single" w:sz="6" w:space="0" w:color="000000"/>
          <w:insideV w:val="single" w:sz="6" w:space="0" w:color="000000"/>
        </w:tblBorders>
        <w:tblLayout w:type="fixed"/>
        <w:tblLook w:val="04A0" w:firstRow="1" w:lastRow="0" w:firstColumn="1" w:lastColumn="0" w:noHBand="0" w:noVBand="1"/>
      </w:tblPr>
      <w:tblGrid>
        <w:gridCol w:w="1806"/>
        <w:gridCol w:w="1958"/>
        <w:gridCol w:w="2153"/>
        <w:gridCol w:w="2348"/>
      </w:tblGrid>
      <w:tr w:rsidR="008A2411" w:rsidRPr="008A2411" w14:paraId="1E343048" w14:textId="77777777">
        <w:trPr>
          <w:cantSplit/>
          <w:trHeight w:val="20"/>
          <w:jc w:val="center"/>
        </w:trPr>
        <w:tc>
          <w:tcPr>
            <w:tcW w:w="1807" w:type="dxa"/>
            <w:vMerge w:val="restart"/>
            <w:vAlign w:val="center"/>
          </w:tcPr>
          <w:p w14:paraId="6829684F" w14:textId="77777777" w:rsidR="00B0005F" w:rsidRPr="008A2411" w:rsidRDefault="00000000">
            <w:pPr>
              <w:jc w:val="center"/>
              <w:rPr>
                <w:rFonts w:ascii="Times New Roman"/>
                <w:caps/>
                <w:color w:val="000000" w:themeColor="text1"/>
                <w:sz w:val="21"/>
                <w:szCs w:val="21"/>
              </w:rPr>
            </w:pPr>
            <w:r w:rsidRPr="008A2411">
              <w:rPr>
                <w:rFonts w:ascii="Times New Roman"/>
                <w:caps/>
                <w:color w:val="000000" w:themeColor="text1"/>
                <w:sz w:val="21"/>
                <w:szCs w:val="21"/>
              </w:rPr>
              <w:t>评价标准</w:t>
            </w:r>
          </w:p>
        </w:tc>
        <w:tc>
          <w:tcPr>
            <w:tcW w:w="1958" w:type="dxa"/>
            <w:vMerge w:val="restart"/>
            <w:vAlign w:val="center"/>
          </w:tcPr>
          <w:p w14:paraId="17938428" w14:textId="77777777" w:rsidR="00B0005F" w:rsidRPr="008A2411" w:rsidRDefault="00000000">
            <w:pPr>
              <w:jc w:val="center"/>
              <w:rPr>
                <w:rFonts w:ascii="Times New Roman"/>
                <w:caps/>
                <w:color w:val="000000" w:themeColor="text1"/>
                <w:sz w:val="21"/>
                <w:szCs w:val="21"/>
              </w:rPr>
            </w:pPr>
            <w:r w:rsidRPr="008A2411">
              <w:rPr>
                <w:rFonts w:ascii="Times New Roman"/>
                <w:caps/>
                <w:color w:val="000000" w:themeColor="text1"/>
                <w:sz w:val="21"/>
                <w:szCs w:val="21"/>
              </w:rPr>
              <w:t>污染物名称</w:t>
            </w:r>
          </w:p>
        </w:tc>
        <w:tc>
          <w:tcPr>
            <w:tcW w:w="4501" w:type="dxa"/>
            <w:gridSpan w:val="2"/>
            <w:vAlign w:val="center"/>
          </w:tcPr>
          <w:p w14:paraId="1141A3C3" w14:textId="77777777" w:rsidR="00B0005F" w:rsidRPr="008A2411" w:rsidRDefault="00000000">
            <w:pPr>
              <w:jc w:val="center"/>
              <w:rPr>
                <w:rFonts w:ascii="Times New Roman"/>
                <w:caps/>
                <w:color w:val="000000" w:themeColor="text1"/>
                <w:sz w:val="21"/>
                <w:szCs w:val="21"/>
              </w:rPr>
            </w:pPr>
            <w:r w:rsidRPr="008A2411">
              <w:rPr>
                <w:rFonts w:ascii="Times New Roman"/>
                <w:caps/>
                <w:color w:val="000000" w:themeColor="text1"/>
                <w:sz w:val="21"/>
                <w:szCs w:val="21"/>
              </w:rPr>
              <w:t>浓</w:t>
            </w:r>
            <w:r w:rsidRPr="008A2411">
              <w:rPr>
                <w:rFonts w:ascii="Times New Roman"/>
                <w:caps/>
                <w:color w:val="000000" w:themeColor="text1"/>
                <w:sz w:val="21"/>
                <w:szCs w:val="21"/>
              </w:rPr>
              <w:t xml:space="preserve"> </w:t>
            </w:r>
            <w:r w:rsidRPr="008A2411">
              <w:rPr>
                <w:rFonts w:ascii="Times New Roman"/>
                <w:caps/>
                <w:color w:val="000000" w:themeColor="text1"/>
                <w:sz w:val="21"/>
                <w:szCs w:val="21"/>
              </w:rPr>
              <w:t>度</w:t>
            </w:r>
            <w:r w:rsidRPr="008A2411">
              <w:rPr>
                <w:rFonts w:ascii="Times New Roman"/>
                <w:caps/>
                <w:color w:val="000000" w:themeColor="text1"/>
                <w:sz w:val="21"/>
                <w:szCs w:val="21"/>
              </w:rPr>
              <w:t xml:space="preserve"> </w:t>
            </w:r>
            <w:r w:rsidRPr="008A2411">
              <w:rPr>
                <w:rFonts w:ascii="Times New Roman"/>
                <w:caps/>
                <w:color w:val="000000" w:themeColor="text1"/>
                <w:sz w:val="21"/>
                <w:szCs w:val="21"/>
              </w:rPr>
              <w:t>限</w:t>
            </w:r>
            <w:r w:rsidRPr="008A2411">
              <w:rPr>
                <w:rFonts w:ascii="Times New Roman"/>
                <w:caps/>
                <w:color w:val="000000" w:themeColor="text1"/>
                <w:sz w:val="21"/>
                <w:szCs w:val="21"/>
              </w:rPr>
              <w:t xml:space="preserve"> </w:t>
            </w:r>
            <w:r w:rsidRPr="008A2411">
              <w:rPr>
                <w:rFonts w:ascii="Times New Roman"/>
                <w:caps/>
                <w:color w:val="000000" w:themeColor="text1"/>
                <w:sz w:val="21"/>
                <w:szCs w:val="21"/>
              </w:rPr>
              <w:t>值</w:t>
            </w:r>
          </w:p>
        </w:tc>
      </w:tr>
      <w:tr w:rsidR="008A2411" w:rsidRPr="008A2411" w14:paraId="1CBC39AE" w14:textId="77777777">
        <w:trPr>
          <w:cantSplit/>
          <w:trHeight w:val="20"/>
          <w:jc w:val="center"/>
        </w:trPr>
        <w:tc>
          <w:tcPr>
            <w:tcW w:w="1807" w:type="dxa"/>
            <w:vMerge/>
          </w:tcPr>
          <w:p w14:paraId="532CF5B9" w14:textId="77777777" w:rsidR="00B0005F" w:rsidRPr="008A2411" w:rsidRDefault="00B0005F">
            <w:pPr>
              <w:rPr>
                <w:rFonts w:ascii="Times New Roman"/>
                <w:caps/>
                <w:color w:val="000000" w:themeColor="text1"/>
                <w:sz w:val="21"/>
                <w:szCs w:val="21"/>
              </w:rPr>
            </w:pPr>
          </w:p>
        </w:tc>
        <w:tc>
          <w:tcPr>
            <w:tcW w:w="1958" w:type="dxa"/>
            <w:vMerge/>
          </w:tcPr>
          <w:p w14:paraId="7EDBA38D" w14:textId="77777777" w:rsidR="00B0005F" w:rsidRPr="008A2411" w:rsidRDefault="00B0005F">
            <w:pPr>
              <w:rPr>
                <w:rFonts w:ascii="Times New Roman"/>
                <w:caps/>
                <w:color w:val="000000" w:themeColor="text1"/>
                <w:sz w:val="21"/>
                <w:szCs w:val="21"/>
              </w:rPr>
            </w:pPr>
          </w:p>
        </w:tc>
        <w:tc>
          <w:tcPr>
            <w:tcW w:w="2153" w:type="dxa"/>
            <w:vAlign w:val="center"/>
          </w:tcPr>
          <w:p w14:paraId="4B1E6743" w14:textId="77777777" w:rsidR="00B0005F" w:rsidRPr="008A2411" w:rsidRDefault="00000000">
            <w:pPr>
              <w:jc w:val="center"/>
              <w:rPr>
                <w:rFonts w:ascii="Times New Roman"/>
                <w:caps/>
                <w:color w:val="000000" w:themeColor="text1"/>
                <w:sz w:val="21"/>
                <w:szCs w:val="21"/>
              </w:rPr>
            </w:pPr>
            <w:r w:rsidRPr="008A2411">
              <w:rPr>
                <w:rFonts w:ascii="Times New Roman"/>
                <w:color w:val="000000" w:themeColor="text1"/>
                <w:sz w:val="21"/>
                <w:szCs w:val="21"/>
              </w:rPr>
              <w:t>24</w:t>
            </w:r>
            <w:r w:rsidRPr="008A2411">
              <w:rPr>
                <w:rFonts w:ascii="Times New Roman"/>
                <w:color w:val="000000" w:themeColor="text1"/>
                <w:sz w:val="21"/>
                <w:szCs w:val="21"/>
              </w:rPr>
              <w:t>小时平均值</w:t>
            </w:r>
          </w:p>
        </w:tc>
        <w:tc>
          <w:tcPr>
            <w:tcW w:w="2348" w:type="dxa"/>
            <w:vAlign w:val="center"/>
          </w:tcPr>
          <w:p w14:paraId="686C45BC" w14:textId="77777777" w:rsidR="00B0005F" w:rsidRPr="008A2411" w:rsidRDefault="00000000">
            <w:pPr>
              <w:jc w:val="center"/>
              <w:rPr>
                <w:rFonts w:ascii="Times New Roman"/>
                <w:caps/>
                <w:color w:val="000000" w:themeColor="text1"/>
                <w:sz w:val="21"/>
                <w:szCs w:val="21"/>
              </w:rPr>
            </w:pPr>
            <w:r w:rsidRPr="008A2411">
              <w:rPr>
                <w:rFonts w:ascii="Times New Roman"/>
                <w:caps/>
                <w:color w:val="000000" w:themeColor="text1"/>
                <w:sz w:val="21"/>
                <w:szCs w:val="21"/>
              </w:rPr>
              <w:t>1</w:t>
            </w:r>
            <w:r w:rsidRPr="008A2411">
              <w:rPr>
                <w:rFonts w:ascii="Times New Roman"/>
                <w:caps/>
                <w:color w:val="000000" w:themeColor="text1"/>
                <w:sz w:val="21"/>
                <w:szCs w:val="21"/>
              </w:rPr>
              <w:t>小时平均值</w:t>
            </w:r>
          </w:p>
        </w:tc>
      </w:tr>
      <w:tr w:rsidR="008A2411" w:rsidRPr="008A2411" w14:paraId="71F86434" w14:textId="77777777">
        <w:trPr>
          <w:cantSplit/>
          <w:trHeight w:val="20"/>
          <w:jc w:val="center"/>
        </w:trPr>
        <w:tc>
          <w:tcPr>
            <w:tcW w:w="1807" w:type="dxa"/>
            <w:vMerge w:val="restart"/>
            <w:vAlign w:val="center"/>
          </w:tcPr>
          <w:p w14:paraId="7BFD8FC4" w14:textId="77777777" w:rsidR="00B0005F" w:rsidRPr="008A2411" w:rsidRDefault="00000000">
            <w:pPr>
              <w:jc w:val="center"/>
              <w:rPr>
                <w:rFonts w:ascii="Times New Roman"/>
                <w:caps/>
                <w:color w:val="000000" w:themeColor="text1"/>
                <w:sz w:val="21"/>
                <w:szCs w:val="21"/>
              </w:rPr>
            </w:pPr>
            <w:r w:rsidRPr="008A2411">
              <w:rPr>
                <w:rFonts w:ascii="Times New Roman"/>
                <w:caps/>
                <w:color w:val="000000" w:themeColor="text1"/>
                <w:sz w:val="21"/>
                <w:szCs w:val="21"/>
              </w:rPr>
              <w:t>二级标准</w:t>
            </w:r>
          </w:p>
        </w:tc>
        <w:tc>
          <w:tcPr>
            <w:tcW w:w="1958" w:type="dxa"/>
            <w:vAlign w:val="center"/>
          </w:tcPr>
          <w:p w14:paraId="49813DF3" w14:textId="77777777" w:rsidR="00B0005F" w:rsidRPr="008A2411" w:rsidRDefault="00000000">
            <w:pPr>
              <w:jc w:val="center"/>
              <w:rPr>
                <w:rFonts w:ascii="Times New Roman"/>
                <w:caps/>
                <w:color w:val="000000" w:themeColor="text1"/>
                <w:sz w:val="21"/>
                <w:szCs w:val="21"/>
              </w:rPr>
            </w:pPr>
            <w:r w:rsidRPr="008A2411">
              <w:rPr>
                <w:rFonts w:ascii="Times New Roman"/>
                <w:caps/>
                <w:color w:val="000000" w:themeColor="text1"/>
                <w:sz w:val="21"/>
                <w:szCs w:val="21"/>
              </w:rPr>
              <w:t>SO</w:t>
            </w:r>
            <w:r w:rsidRPr="008A2411">
              <w:rPr>
                <w:rFonts w:ascii="Times New Roman"/>
                <w:caps/>
                <w:color w:val="000000" w:themeColor="text1"/>
                <w:sz w:val="21"/>
                <w:szCs w:val="21"/>
                <w:vertAlign w:val="subscript"/>
              </w:rPr>
              <w:t>2</w:t>
            </w:r>
          </w:p>
        </w:tc>
        <w:tc>
          <w:tcPr>
            <w:tcW w:w="2153" w:type="dxa"/>
            <w:vAlign w:val="center"/>
          </w:tcPr>
          <w:p w14:paraId="7E3274E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150</w:t>
            </w:r>
          </w:p>
        </w:tc>
        <w:tc>
          <w:tcPr>
            <w:tcW w:w="2348" w:type="dxa"/>
            <w:vAlign w:val="center"/>
          </w:tcPr>
          <w:p w14:paraId="70BBDC1E"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500</w:t>
            </w:r>
          </w:p>
        </w:tc>
      </w:tr>
      <w:tr w:rsidR="008A2411" w:rsidRPr="008A2411" w14:paraId="39D76742" w14:textId="77777777">
        <w:trPr>
          <w:cantSplit/>
          <w:trHeight w:val="20"/>
          <w:jc w:val="center"/>
        </w:trPr>
        <w:tc>
          <w:tcPr>
            <w:tcW w:w="1807" w:type="dxa"/>
            <w:vMerge/>
            <w:vAlign w:val="center"/>
          </w:tcPr>
          <w:p w14:paraId="61292217" w14:textId="77777777" w:rsidR="00B0005F" w:rsidRPr="008A2411" w:rsidRDefault="00B0005F">
            <w:pPr>
              <w:jc w:val="center"/>
              <w:rPr>
                <w:rFonts w:ascii="Times New Roman"/>
                <w:color w:val="000000" w:themeColor="text1"/>
                <w:sz w:val="21"/>
                <w:szCs w:val="21"/>
              </w:rPr>
            </w:pPr>
          </w:p>
        </w:tc>
        <w:tc>
          <w:tcPr>
            <w:tcW w:w="1958" w:type="dxa"/>
            <w:vAlign w:val="center"/>
          </w:tcPr>
          <w:p w14:paraId="020DA84C" w14:textId="77777777" w:rsidR="00B0005F" w:rsidRPr="008A2411" w:rsidRDefault="00000000">
            <w:pPr>
              <w:jc w:val="center"/>
              <w:rPr>
                <w:rFonts w:ascii="Times New Roman"/>
                <w:color w:val="000000" w:themeColor="text1"/>
                <w:sz w:val="21"/>
                <w:szCs w:val="21"/>
              </w:rPr>
            </w:pPr>
            <w:r w:rsidRPr="008A2411">
              <w:rPr>
                <w:rFonts w:ascii="Times New Roman"/>
                <w:caps/>
                <w:color w:val="000000" w:themeColor="text1"/>
                <w:sz w:val="21"/>
                <w:szCs w:val="21"/>
              </w:rPr>
              <w:t>NO</w:t>
            </w:r>
            <w:r w:rsidRPr="008A2411">
              <w:rPr>
                <w:rFonts w:ascii="Times New Roman"/>
                <w:caps/>
                <w:color w:val="000000" w:themeColor="text1"/>
                <w:sz w:val="21"/>
                <w:szCs w:val="21"/>
                <w:vertAlign w:val="subscript"/>
              </w:rPr>
              <w:t>2</w:t>
            </w:r>
          </w:p>
        </w:tc>
        <w:tc>
          <w:tcPr>
            <w:tcW w:w="2153" w:type="dxa"/>
            <w:vAlign w:val="center"/>
          </w:tcPr>
          <w:p w14:paraId="60FE1A37"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80</w:t>
            </w:r>
          </w:p>
        </w:tc>
        <w:tc>
          <w:tcPr>
            <w:tcW w:w="2348" w:type="dxa"/>
            <w:vAlign w:val="center"/>
          </w:tcPr>
          <w:p w14:paraId="0F40891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200</w:t>
            </w:r>
          </w:p>
        </w:tc>
      </w:tr>
      <w:tr w:rsidR="008A2411" w:rsidRPr="008A2411" w14:paraId="0F07D87D" w14:textId="77777777">
        <w:trPr>
          <w:cantSplit/>
          <w:trHeight w:val="20"/>
          <w:jc w:val="center"/>
        </w:trPr>
        <w:tc>
          <w:tcPr>
            <w:tcW w:w="1807" w:type="dxa"/>
            <w:vMerge/>
            <w:vAlign w:val="center"/>
          </w:tcPr>
          <w:p w14:paraId="17A12226" w14:textId="77777777" w:rsidR="00B0005F" w:rsidRPr="008A2411" w:rsidRDefault="00B0005F">
            <w:pPr>
              <w:widowControl/>
              <w:jc w:val="center"/>
              <w:rPr>
                <w:rFonts w:ascii="Times New Roman"/>
                <w:color w:val="000000" w:themeColor="text1"/>
                <w:sz w:val="21"/>
                <w:szCs w:val="21"/>
              </w:rPr>
            </w:pPr>
          </w:p>
        </w:tc>
        <w:tc>
          <w:tcPr>
            <w:tcW w:w="1958" w:type="dxa"/>
            <w:vAlign w:val="center"/>
          </w:tcPr>
          <w:p w14:paraId="1BA7D71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PM</w:t>
            </w:r>
            <w:r w:rsidRPr="008A2411">
              <w:rPr>
                <w:rFonts w:ascii="Times New Roman"/>
                <w:color w:val="000000" w:themeColor="text1"/>
                <w:sz w:val="21"/>
                <w:szCs w:val="21"/>
                <w:vertAlign w:val="subscript"/>
              </w:rPr>
              <w:t>2.5</w:t>
            </w:r>
          </w:p>
        </w:tc>
        <w:tc>
          <w:tcPr>
            <w:tcW w:w="2153" w:type="dxa"/>
            <w:vAlign w:val="center"/>
          </w:tcPr>
          <w:p w14:paraId="10F415B5"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75</w:t>
            </w:r>
          </w:p>
        </w:tc>
        <w:tc>
          <w:tcPr>
            <w:tcW w:w="2348" w:type="dxa"/>
            <w:vAlign w:val="center"/>
          </w:tcPr>
          <w:p w14:paraId="7EF16DA2"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w:t>
            </w:r>
          </w:p>
        </w:tc>
      </w:tr>
      <w:tr w:rsidR="008A2411" w:rsidRPr="008A2411" w14:paraId="649DF327" w14:textId="77777777">
        <w:trPr>
          <w:cantSplit/>
          <w:trHeight w:val="20"/>
          <w:jc w:val="center"/>
        </w:trPr>
        <w:tc>
          <w:tcPr>
            <w:tcW w:w="1807" w:type="dxa"/>
            <w:vMerge/>
            <w:vAlign w:val="center"/>
          </w:tcPr>
          <w:p w14:paraId="3B08F7F8" w14:textId="77777777" w:rsidR="00B0005F" w:rsidRPr="008A2411" w:rsidRDefault="00B0005F">
            <w:pPr>
              <w:widowControl/>
              <w:jc w:val="center"/>
              <w:rPr>
                <w:rFonts w:ascii="Times New Roman"/>
                <w:color w:val="000000" w:themeColor="text1"/>
                <w:sz w:val="21"/>
                <w:szCs w:val="21"/>
              </w:rPr>
            </w:pPr>
          </w:p>
        </w:tc>
        <w:tc>
          <w:tcPr>
            <w:tcW w:w="1958" w:type="dxa"/>
            <w:vAlign w:val="center"/>
          </w:tcPr>
          <w:p w14:paraId="621DC6A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PM</w:t>
            </w:r>
            <w:r w:rsidRPr="008A2411">
              <w:rPr>
                <w:rFonts w:ascii="Times New Roman"/>
                <w:color w:val="000000" w:themeColor="text1"/>
                <w:sz w:val="21"/>
                <w:szCs w:val="21"/>
                <w:vertAlign w:val="subscript"/>
              </w:rPr>
              <w:t>10</w:t>
            </w:r>
          </w:p>
        </w:tc>
        <w:tc>
          <w:tcPr>
            <w:tcW w:w="2153" w:type="dxa"/>
            <w:vAlign w:val="center"/>
          </w:tcPr>
          <w:p w14:paraId="2B5ABB2D"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150</w:t>
            </w:r>
          </w:p>
        </w:tc>
        <w:tc>
          <w:tcPr>
            <w:tcW w:w="2348" w:type="dxa"/>
            <w:vAlign w:val="center"/>
          </w:tcPr>
          <w:p w14:paraId="52CB844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w:t>
            </w:r>
          </w:p>
        </w:tc>
      </w:tr>
      <w:tr w:rsidR="008A2411" w:rsidRPr="008A2411" w14:paraId="5B50F5E8" w14:textId="77777777">
        <w:trPr>
          <w:cantSplit/>
          <w:trHeight w:val="20"/>
          <w:jc w:val="center"/>
        </w:trPr>
        <w:tc>
          <w:tcPr>
            <w:tcW w:w="1807" w:type="dxa"/>
            <w:vMerge/>
            <w:vAlign w:val="center"/>
          </w:tcPr>
          <w:p w14:paraId="1A85FFD4" w14:textId="77777777" w:rsidR="00B0005F" w:rsidRPr="008A2411" w:rsidRDefault="00B0005F">
            <w:pPr>
              <w:widowControl/>
              <w:jc w:val="center"/>
              <w:rPr>
                <w:rFonts w:ascii="Times New Roman"/>
                <w:color w:val="000000" w:themeColor="text1"/>
                <w:sz w:val="21"/>
                <w:szCs w:val="21"/>
              </w:rPr>
            </w:pPr>
          </w:p>
        </w:tc>
        <w:tc>
          <w:tcPr>
            <w:tcW w:w="1958" w:type="dxa"/>
            <w:vAlign w:val="center"/>
          </w:tcPr>
          <w:p w14:paraId="21B427A2"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CO</w:t>
            </w:r>
          </w:p>
        </w:tc>
        <w:tc>
          <w:tcPr>
            <w:tcW w:w="2153" w:type="dxa"/>
            <w:vAlign w:val="center"/>
          </w:tcPr>
          <w:p w14:paraId="17612D7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4000</w:t>
            </w:r>
          </w:p>
        </w:tc>
        <w:tc>
          <w:tcPr>
            <w:tcW w:w="2348" w:type="dxa"/>
            <w:vAlign w:val="center"/>
          </w:tcPr>
          <w:p w14:paraId="061B2B1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10000</w:t>
            </w:r>
          </w:p>
        </w:tc>
      </w:tr>
      <w:tr w:rsidR="008A2411" w:rsidRPr="008A2411" w14:paraId="5319C9EA" w14:textId="77777777">
        <w:trPr>
          <w:cantSplit/>
          <w:trHeight w:val="20"/>
          <w:jc w:val="center"/>
        </w:trPr>
        <w:tc>
          <w:tcPr>
            <w:tcW w:w="1807" w:type="dxa"/>
            <w:vMerge/>
            <w:vAlign w:val="center"/>
          </w:tcPr>
          <w:p w14:paraId="4BF6BC58" w14:textId="77777777" w:rsidR="00B0005F" w:rsidRPr="008A2411" w:rsidRDefault="00B0005F">
            <w:pPr>
              <w:widowControl/>
              <w:jc w:val="center"/>
              <w:rPr>
                <w:rFonts w:ascii="Times New Roman"/>
                <w:color w:val="000000" w:themeColor="text1"/>
                <w:sz w:val="21"/>
                <w:szCs w:val="21"/>
              </w:rPr>
            </w:pPr>
          </w:p>
        </w:tc>
        <w:tc>
          <w:tcPr>
            <w:tcW w:w="1958" w:type="dxa"/>
            <w:vAlign w:val="center"/>
          </w:tcPr>
          <w:p w14:paraId="53A4477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O</w:t>
            </w:r>
            <w:r w:rsidRPr="008A2411">
              <w:rPr>
                <w:rFonts w:ascii="Times New Roman"/>
                <w:color w:val="000000" w:themeColor="text1"/>
                <w:sz w:val="21"/>
                <w:szCs w:val="21"/>
                <w:vertAlign w:val="subscript"/>
              </w:rPr>
              <w:t>3</w:t>
            </w:r>
          </w:p>
        </w:tc>
        <w:tc>
          <w:tcPr>
            <w:tcW w:w="2153" w:type="dxa"/>
            <w:vAlign w:val="center"/>
          </w:tcPr>
          <w:p w14:paraId="6057B092"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160</w:t>
            </w:r>
            <w:r w:rsidRPr="008A2411">
              <w:rPr>
                <w:rFonts w:ascii="Times New Roman"/>
                <w:color w:val="000000" w:themeColor="text1"/>
                <w:sz w:val="21"/>
                <w:szCs w:val="21"/>
              </w:rPr>
              <w:t>（日最大</w:t>
            </w:r>
            <w:r w:rsidRPr="008A2411">
              <w:rPr>
                <w:rFonts w:ascii="Times New Roman"/>
                <w:color w:val="000000" w:themeColor="text1"/>
                <w:sz w:val="21"/>
                <w:szCs w:val="21"/>
              </w:rPr>
              <w:t>8h</w:t>
            </w:r>
            <w:r w:rsidRPr="008A2411">
              <w:rPr>
                <w:rFonts w:ascii="Times New Roman"/>
                <w:color w:val="000000" w:themeColor="text1"/>
                <w:sz w:val="21"/>
                <w:szCs w:val="21"/>
              </w:rPr>
              <w:t>平均）</w:t>
            </w:r>
          </w:p>
        </w:tc>
        <w:tc>
          <w:tcPr>
            <w:tcW w:w="2348" w:type="dxa"/>
            <w:vAlign w:val="center"/>
          </w:tcPr>
          <w:p w14:paraId="1F1DBE4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200</w:t>
            </w:r>
          </w:p>
        </w:tc>
      </w:tr>
      <w:tr w:rsidR="008A2411" w:rsidRPr="008A2411" w14:paraId="6972F038" w14:textId="77777777">
        <w:trPr>
          <w:cantSplit/>
          <w:trHeight w:val="20"/>
          <w:jc w:val="center"/>
        </w:trPr>
        <w:tc>
          <w:tcPr>
            <w:tcW w:w="1807" w:type="dxa"/>
            <w:vMerge/>
            <w:vAlign w:val="center"/>
          </w:tcPr>
          <w:p w14:paraId="1F63F638" w14:textId="77777777" w:rsidR="00B0005F" w:rsidRPr="008A2411" w:rsidRDefault="00B0005F">
            <w:pPr>
              <w:widowControl/>
              <w:jc w:val="center"/>
              <w:rPr>
                <w:rFonts w:ascii="Times New Roman"/>
                <w:color w:val="000000" w:themeColor="text1"/>
                <w:sz w:val="21"/>
                <w:szCs w:val="21"/>
              </w:rPr>
            </w:pPr>
          </w:p>
        </w:tc>
        <w:tc>
          <w:tcPr>
            <w:tcW w:w="1958" w:type="dxa"/>
            <w:vAlign w:val="center"/>
          </w:tcPr>
          <w:p w14:paraId="58E97E83" w14:textId="77777777" w:rsidR="00B0005F" w:rsidRPr="008A2411" w:rsidRDefault="00000000">
            <w:pPr>
              <w:jc w:val="center"/>
              <w:rPr>
                <w:rFonts w:ascii="Times New Roman"/>
                <w:color w:val="000000" w:themeColor="text1"/>
                <w:sz w:val="21"/>
                <w:szCs w:val="21"/>
              </w:rPr>
            </w:pPr>
            <w:r w:rsidRPr="008A2411">
              <w:rPr>
                <w:rFonts w:ascii="Times New Roman" w:hint="eastAsia"/>
                <w:color w:val="000000" w:themeColor="text1"/>
                <w:sz w:val="21"/>
                <w:szCs w:val="21"/>
              </w:rPr>
              <w:t>TSP</w:t>
            </w:r>
          </w:p>
        </w:tc>
        <w:tc>
          <w:tcPr>
            <w:tcW w:w="2153" w:type="dxa"/>
            <w:vAlign w:val="center"/>
          </w:tcPr>
          <w:p w14:paraId="10A73BF6" w14:textId="77777777" w:rsidR="00B0005F" w:rsidRPr="008A2411" w:rsidRDefault="00000000">
            <w:pPr>
              <w:jc w:val="center"/>
              <w:rPr>
                <w:rFonts w:ascii="Times New Roman"/>
                <w:color w:val="000000" w:themeColor="text1"/>
                <w:sz w:val="21"/>
                <w:szCs w:val="21"/>
              </w:rPr>
            </w:pPr>
            <w:r w:rsidRPr="008A2411">
              <w:rPr>
                <w:rFonts w:ascii="Times New Roman" w:hint="eastAsia"/>
                <w:color w:val="000000" w:themeColor="text1"/>
                <w:sz w:val="21"/>
                <w:szCs w:val="21"/>
              </w:rPr>
              <w:t>300</w:t>
            </w:r>
          </w:p>
        </w:tc>
        <w:tc>
          <w:tcPr>
            <w:tcW w:w="2348" w:type="dxa"/>
            <w:vAlign w:val="center"/>
          </w:tcPr>
          <w:p w14:paraId="7AB41412" w14:textId="77777777" w:rsidR="00B0005F" w:rsidRPr="008A2411" w:rsidRDefault="00000000">
            <w:pPr>
              <w:jc w:val="center"/>
              <w:rPr>
                <w:rFonts w:ascii="Times New Roman"/>
                <w:color w:val="000000" w:themeColor="text1"/>
                <w:sz w:val="21"/>
                <w:szCs w:val="21"/>
              </w:rPr>
            </w:pPr>
            <w:r w:rsidRPr="008A2411">
              <w:rPr>
                <w:rFonts w:ascii="Times New Roman" w:hint="eastAsia"/>
                <w:color w:val="000000" w:themeColor="text1"/>
                <w:sz w:val="21"/>
                <w:szCs w:val="21"/>
              </w:rPr>
              <w:t>/</w:t>
            </w:r>
          </w:p>
        </w:tc>
      </w:tr>
    </w:tbl>
    <w:p w14:paraId="797693F2" w14:textId="3D8345BD" w:rsidR="00B0005F" w:rsidRPr="008A2411" w:rsidRDefault="00000000">
      <w:pPr>
        <w:autoSpaceDE w:val="0"/>
        <w:autoSpaceDN w:val="0"/>
        <w:adjustRightInd w:val="0"/>
        <w:spacing w:line="360" w:lineRule="auto"/>
        <w:ind w:firstLineChars="200" w:firstLine="480"/>
        <w:rPr>
          <w:rFonts w:ascii="Times New Roman"/>
          <w:bCs/>
          <w:color w:val="000000" w:themeColor="text1"/>
        </w:rPr>
      </w:pPr>
      <w:r w:rsidRPr="008A2411">
        <w:rPr>
          <w:rFonts w:ascii="Times New Roman"/>
          <w:bCs/>
          <w:color w:val="000000" w:themeColor="text1"/>
        </w:rPr>
        <w:t>特征污染因子</w:t>
      </w:r>
      <w:r w:rsidRPr="008A2411">
        <w:rPr>
          <w:rFonts w:ascii="Times New Roman"/>
          <w:bCs/>
          <w:color w:val="000000" w:themeColor="text1"/>
        </w:rPr>
        <w:t>H</w:t>
      </w:r>
      <w:r w:rsidRPr="008A2411">
        <w:rPr>
          <w:rFonts w:ascii="Times New Roman"/>
          <w:bCs/>
          <w:color w:val="000000" w:themeColor="text1"/>
          <w:vertAlign w:val="subscript"/>
        </w:rPr>
        <w:t>2</w:t>
      </w:r>
      <w:r w:rsidRPr="008A2411">
        <w:rPr>
          <w:rFonts w:ascii="Times New Roman"/>
          <w:bCs/>
          <w:color w:val="000000" w:themeColor="text1"/>
        </w:rPr>
        <w:t>S</w:t>
      </w:r>
      <w:r w:rsidRPr="008A2411">
        <w:rPr>
          <w:rFonts w:ascii="Times New Roman"/>
          <w:bCs/>
          <w:color w:val="000000" w:themeColor="text1"/>
        </w:rPr>
        <w:t>执行</w:t>
      </w:r>
      <w:r w:rsidRPr="008A2411">
        <w:rPr>
          <w:rFonts w:ascii="Times New Roman"/>
          <w:color w:val="000000" w:themeColor="text1"/>
        </w:rPr>
        <w:t>《环境影响评价技术导则</w:t>
      </w:r>
      <w:r w:rsidRPr="008A2411">
        <w:rPr>
          <w:rFonts w:ascii="Times New Roman"/>
          <w:color w:val="000000" w:themeColor="text1"/>
        </w:rPr>
        <w:t xml:space="preserve">  </w:t>
      </w:r>
      <w:r w:rsidRPr="008A2411">
        <w:rPr>
          <w:rFonts w:ascii="Times New Roman"/>
          <w:color w:val="000000" w:themeColor="text1"/>
        </w:rPr>
        <w:t>大气环境》（</w:t>
      </w:r>
      <w:r w:rsidRPr="008A2411">
        <w:rPr>
          <w:rFonts w:ascii="Times New Roman"/>
          <w:color w:val="000000" w:themeColor="text1"/>
        </w:rPr>
        <w:t>HJ2.2-2018</w:t>
      </w:r>
      <w:r w:rsidRPr="008A2411">
        <w:rPr>
          <w:rFonts w:ascii="Times New Roman"/>
          <w:color w:val="000000" w:themeColor="text1"/>
        </w:rPr>
        <w:t>）附录</w:t>
      </w:r>
      <w:r w:rsidRPr="008A2411">
        <w:rPr>
          <w:rFonts w:ascii="Times New Roman"/>
          <w:color w:val="000000" w:themeColor="text1"/>
        </w:rPr>
        <w:t>D</w:t>
      </w:r>
      <w:r w:rsidRPr="008A2411">
        <w:rPr>
          <w:rFonts w:ascii="Times New Roman"/>
          <w:bCs/>
          <w:color w:val="000000" w:themeColor="text1"/>
        </w:rPr>
        <w:t>中相关标准要求；非甲烷总烃参考</w:t>
      </w:r>
      <w:r w:rsidR="00585BA0" w:rsidRPr="008A2411">
        <w:rPr>
          <w:rFonts w:ascii="Times New Roman"/>
          <w:bCs/>
          <w:color w:val="000000" w:themeColor="text1"/>
        </w:rPr>
        <w:t>《大气污染物综合排放标准》（</w:t>
      </w:r>
      <w:r w:rsidR="00585BA0" w:rsidRPr="008A2411">
        <w:rPr>
          <w:rFonts w:ascii="Times New Roman"/>
          <w:bCs/>
          <w:color w:val="000000" w:themeColor="text1"/>
        </w:rPr>
        <w:t>GB 16297-1996</w:t>
      </w:r>
      <w:r w:rsidR="00585BA0" w:rsidRPr="008A2411">
        <w:rPr>
          <w:rFonts w:ascii="Times New Roman"/>
          <w:bCs/>
          <w:color w:val="000000" w:themeColor="text1"/>
        </w:rPr>
        <w:t>）详解</w:t>
      </w:r>
      <w:r w:rsidRPr="008A2411">
        <w:rPr>
          <w:rFonts w:ascii="Times New Roman"/>
          <w:bCs/>
          <w:color w:val="000000" w:themeColor="text1"/>
        </w:rPr>
        <w:t>。详见表</w:t>
      </w:r>
      <w:r w:rsidRPr="008A2411">
        <w:rPr>
          <w:rFonts w:ascii="Times New Roman"/>
          <w:bCs/>
          <w:color w:val="000000" w:themeColor="text1"/>
        </w:rPr>
        <w:t>2.6-3</w:t>
      </w:r>
      <w:r w:rsidRPr="008A2411">
        <w:rPr>
          <w:rFonts w:ascii="Times New Roman"/>
          <w:bCs/>
          <w:color w:val="000000" w:themeColor="text1"/>
        </w:rPr>
        <w:t>。</w:t>
      </w:r>
    </w:p>
    <w:p w14:paraId="5DDB3BD2" w14:textId="77777777" w:rsidR="00B0005F" w:rsidRPr="008A2411" w:rsidRDefault="00000000">
      <w:pPr>
        <w:autoSpaceDE w:val="0"/>
        <w:autoSpaceDN w:val="0"/>
        <w:adjustRightInd w:val="0"/>
        <w:jc w:val="right"/>
        <w:rPr>
          <w:rFonts w:ascii="Times New Roman" w:eastAsia="黑体"/>
          <w:bCs/>
          <w:color w:val="000000" w:themeColor="text1"/>
        </w:rPr>
      </w:pPr>
      <w:r w:rsidRPr="008A2411">
        <w:rPr>
          <w:rFonts w:ascii="Times New Roman" w:eastAsia="黑体"/>
          <w:bCs/>
          <w:color w:val="000000" w:themeColor="text1"/>
        </w:rPr>
        <w:t>表</w:t>
      </w:r>
      <w:r w:rsidRPr="008A2411">
        <w:rPr>
          <w:rFonts w:ascii="Times New Roman" w:eastAsia="黑体"/>
          <w:bCs/>
          <w:color w:val="000000" w:themeColor="text1"/>
        </w:rPr>
        <w:t xml:space="preserve">2.6-3  </w:t>
      </w:r>
      <w:r w:rsidRPr="008A2411">
        <w:rPr>
          <w:rFonts w:ascii="Times New Roman" w:eastAsia="黑体"/>
          <w:bCs/>
          <w:color w:val="000000" w:themeColor="text1"/>
        </w:rPr>
        <w:t>特征因子标准限值</w:t>
      </w:r>
      <w:r w:rsidRPr="008A2411">
        <w:rPr>
          <w:rFonts w:ascii="Times New Roman" w:eastAsia="黑体"/>
          <w:bCs/>
          <w:color w:val="000000" w:themeColor="text1"/>
        </w:rPr>
        <w:t xml:space="preserve">         </w:t>
      </w:r>
      <w:r w:rsidRPr="008A2411">
        <w:rPr>
          <w:rFonts w:ascii="Times New Roman" w:eastAsia="黑体"/>
          <w:bCs/>
          <w:color w:val="000000" w:themeColor="text1"/>
        </w:rPr>
        <w:t>单位：</w:t>
      </w:r>
      <w:r w:rsidRPr="008A2411">
        <w:rPr>
          <w:rFonts w:ascii="Times New Roman" w:eastAsia="黑体"/>
          <w:bCs/>
          <w:color w:val="000000" w:themeColor="text1"/>
        </w:rPr>
        <w:t>mg/m</w:t>
      </w:r>
      <w:r w:rsidRPr="008A2411">
        <w:rPr>
          <w:rFonts w:ascii="Times New Roman" w:eastAsia="黑体"/>
          <w:bCs/>
          <w:color w:val="000000" w:themeColor="text1"/>
          <w:vertAlign w:val="superscript"/>
        </w:rPr>
        <w:t>3</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0"/>
        <w:gridCol w:w="773"/>
        <w:gridCol w:w="1441"/>
        <w:gridCol w:w="4078"/>
      </w:tblGrid>
      <w:tr w:rsidR="008A2411" w:rsidRPr="008A2411" w14:paraId="52D0AF51" w14:textId="77777777">
        <w:tc>
          <w:tcPr>
            <w:tcW w:w="2230" w:type="dxa"/>
            <w:shd w:val="clear" w:color="auto" w:fill="auto"/>
            <w:vAlign w:val="center"/>
          </w:tcPr>
          <w:p w14:paraId="3E92C074" w14:textId="77777777" w:rsidR="00B0005F" w:rsidRPr="008A2411" w:rsidRDefault="00000000">
            <w:pPr>
              <w:autoSpaceDE w:val="0"/>
              <w:autoSpaceDN w:val="0"/>
              <w:adjustRightInd w:val="0"/>
              <w:jc w:val="center"/>
              <w:rPr>
                <w:rFonts w:ascii="Times New Roman"/>
                <w:bCs/>
                <w:color w:val="000000" w:themeColor="text1"/>
                <w:sz w:val="21"/>
                <w:szCs w:val="21"/>
              </w:rPr>
            </w:pPr>
            <w:r w:rsidRPr="008A2411">
              <w:rPr>
                <w:rFonts w:ascii="Times New Roman"/>
                <w:bCs/>
                <w:color w:val="000000" w:themeColor="text1"/>
                <w:sz w:val="21"/>
                <w:szCs w:val="21"/>
              </w:rPr>
              <w:t>项目</w:t>
            </w:r>
          </w:p>
        </w:tc>
        <w:tc>
          <w:tcPr>
            <w:tcW w:w="773" w:type="dxa"/>
            <w:shd w:val="clear" w:color="auto" w:fill="auto"/>
            <w:vAlign w:val="center"/>
          </w:tcPr>
          <w:p w14:paraId="1EEE01D4" w14:textId="77777777" w:rsidR="00B0005F" w:rsidRPr="008A2411" w:rsidRDefault="00000000">
            <w:pPr>
              <w:autoSpaceDE w:val="0"/>
              <w:autoSpaceDN w:val="0"/>
              <w:adjustRightInd w:val="0"/>
              <w:jc w:val="center"/>
              <w:rPr>
                <w:rFonts w:ascii="Times New Roman"/>
                <w:bCs/>
                <w:color w:val="000000" w:themeColor="text1"/>
                <w:sz w:val="21"/>
                <w:szCs w:val="21"/>
              </w:rPr>
            </w:pPr>
            <w:r w:rsidRPr="008A2411">
              <w:rPr>
                <w:rFonts w:ascii="Times New Roman"/>
                <w:bCs/>
                <w:color w:val="000000" w:themeColor="text1"/>
                <w:sz w:val="21"/>
                <w:szCs w:val="21"/>
              </w:rPr>
              <w:t>执行标准</w:t>
            </w:r>
          </w:p>
        </w:tc>
        <w:tc>
          <w:tcPr>
            <w:tcW w:w="1441" w:type="dxa"/>
            <w:shd w:val="clear" w:color="auto" w:fill="auto"/>
            <w:vAlign w:val="center"/>
          </w:tcPr>
          <w:p w14:paraId="2BC8D3C5" w14:textId="77777777" w:rsidR="00B0005F" w:rsidRPr="008A2411" w:rsidRDefault="00000000">
            <w:pPr>
              <w:autoSpaceDE w:val="0"/>
              <w:autoSpaceDN w:val="0"/>
              <w:adjustRightInd w:val="0"/>
              <w:jc w:val="center"/>
              <w:rPr>
                <w:rFonts w:ascii="Times New Roman"/>
                <w:bCs/>
                <w:color w:val="000000" w:themeColor="text1"/>
                <w:sz w:val="21"/>
                <w:szCs w:val="21"/>
              </w:rPr>
            </w:pPr>
            <w:r w:rsidRPr="008A2411">
              <w:rPr>
                <w:rFonts w:ascii="Times New Roman"/>
                <w:bCs/>
                <w:color w:val="000000" w:themeColor="text1"/>
                <w:sz w:val="21"/>
                <w:szCs w:val="21"/>
              </w:rPr>
              <w:t>平均时段</w:t>
            </w:r>
          </w:p>
        </w:tc>
        <w:tc>
          <w:tcPr>
            <w:tcW w:w="4078" w:type="dxa"/>
            <w:shd w:val="clear" w:color="auto" w:fill="auto"/>
            <w:vAlign w:val="center"/>
          </w:tcPr>
          <w:p w14:paraId="5270F76B" w14:textId="77777777" w:rsidR="00B0005F" w:rsidRPr="008A2411" w:rsidRDefault="00000000">
            <w:pPr>
              <w:autoSpaceDE w:val="0"/>
              <w:autoSpaceDN w:val="0"/>
              <w:adjustRightInd w:val="0"/>
              <w:jc w:val="center"/>
              <w:rPr>
                <w:rFonts w:ascii="Times New Roman"/>
                <w:bCs/>
                <w:color w:val="000000" w:themeColor="text1"/>
                <w:sz w:val="21"/>
                <w:szCs w:val="21"/>
              </w:rPr>
            </w:pPr>
            <w:r w:rsidRPr="008A2411">
              <w:rPr>
                <w:rFonts w:ascii="Times New Roman"/>
                <w:bCs/>
                <w:color w:val="000000" w:themeColor="text1"/>
                <w:sz w:val="21"/>
                <w:szCs w:val="21"/>
              </w:rPr>
              <w:t>备注</w:t>
            </w:r>
          </w:p>
        </w:tc>
      </w:tr>
      <w:tr w:rsidR="008A2411" w:rsidRPr="008A2411" w14:paraId="19E309AA" w14:textId="77777777">
        <w:tc>
          <w:tcPr>
            <w:tcW w:w="2230" w:type="dxa"/>
            <w:shd w:val="clear" w:color="auto" w:fill="auto"/>
            <w:vAlign w:val="center"/>
          </w:tcPr>
          <w:p w14:paraId="2AE2A266" w14:textId="77777777" w:rsidR="00B0005F" w:rsidRPr="008A2411" w:rsidRDefault="00000000">
            <w:pPr>
              <w:autoSpaceDE w:val="0"/>
              <w:autoSpaceDN w:val="0"/>
              <w:adjustRightInd w:val="0"/>
              <w:jc w:val="center"/>
              <w:rPr>
                <w:rFonts w:ascii="Times New Roman"/>
                <w:bCs/>
                <w:color w:val="000000" w:themeColor="text1"/>
                <w:sz w:val="21"/>
                <w:szCs w:val="21"/>
              </w:rPr>
            </w:pPr>
            <w:r w:rsidRPr="008A2411">
              <w:rPr>
                <w:rFonts w:ascii="Times New Roman"/>
                <w:bCs/>
                <w:color w:val="000000" w:themeColor="text1"/>
                <w:sz w:val="21"/>
                <w:szCs w:val="21"/>
              </w:rPr>
              <w:t>H</w:t>
            </w:r>
            <w:r w:rsidRPr="008A2411">
              <w:rPr>
                <w:rFonts w:ascii="Times New Roman"/>
                <w:bCs/>
                <w:color w:val="000000" w:themeColor="text1"/>
                <w:sz w:val="21"/>
                <w:szCs w:val="21"/>
                <w:vertAlign w:val="subscript"/>
              </w:rPr>
              <w:t>2</w:t>
            </w:r>
            <w:r w:rsidRPr="008A2411">
              <w:rPr>
                <w:rFonts w:ascii="Times New Roman"/>
                <w:bCs/>
                <w:color w:val="000000" w:themeColor="text1"/>
                <w:sz w:val="21"/>
                <w:szCs w:val="21"/>
              </w:rPr>
              <w:t>S</w:t>
            </w:r>
          </w:p>
        </w:tc>
        <w:tc>
          <w:tcPr>
            <w:tcW w:w="773" w:type="dxa"/>
            <w:shd w:val="clear" w:color="auto" w:fill="auto"/>
            <w:vAlign w:val="center"/>
          </w:tcPr>
          <w:p w14:paraId="537CF314" w14:textId="77777777" w:rsidR="00B0005F" w:rsidRPr="008A2411" w:rsidRDefault="00000000">
            <w:pPr>
              <w:autoSpaceDE w:val="0"/>
              <w:autoSpaceDN w:val="0"/>
              <w:adjustRightInd w:val="0"/>
              <w:jc w:val="center"/>
              <w:rPr>
                <w:rFonts w:ascii="Times New Roman"/>
                <w:bCs/>
                <w:color w:val="000000" w:themeColor="text1"/>
                <w:sz w:val="21"/>
                <w:szCs w:val="21"/>
              </w:rPr>
            </w:pPr>
            <w:r w:rsidRPr="008A2411">
              <w:rPr>
                <w:rFonts w:ascii="Times New Roman"/>
                <w:bCs/>
                <w:color w:val="000000" w:themeColor="text1"/>
                <w:sz w:val="21"/>
                <w:szCs w:val="21"/>
              </w:rPr>
              <w:t>0.01</w:t>
            </w:r>
          </w:p>
        </w:tc>
        <w:tc>
          <w:tcPr>
            <w:tcW w:w="1441" w:type="dxa"/>
            <w:shd w:val="clear" w:color="auto" w:fill="auto"/>
            <w:vAlign w:val="center"/>
          </w:tcPr>
          <w:p w14:paraId="7B861FCD" w14:textId="77777777" w:rsidR="00B0005F" w:rsidRPr="008A2411" w:rsidRDefault="00000000">
            <w:pPr>
              <w:autoSpaceDE w:val="0"/>
              <w:autoSpaceDN w:val="0"/>
              <w:adjustRightInd w:val="0"/>
              <w:jc w:val="center"/>
              <w:rPr>
                <w:rFonts w:ascii="Times New Roman"/>
                <w:bCs/>
                <w:color w:val="000000" w:themeColor="text1"/>
                <w:sz w:val="21"/>
                <w:szCs w:val="21"/>
              </w:rPr>
            </w:pPr>
            <w:r w:rsidRPr="008A2411">
              <w:rPr>
                <w:rFonts w:ascii="Times New Roman"/>
                <w:bCs/>
                <w:color w:val="000000" w:themeColor="text1"/>
                <w:sz w:val="21"/>
                <w:szCs w:val="21"/>
              </w:rPr>
              <w:t>1</w:t>
            </w:r>
            <w:r w:rsidRPr="008A2411">
              <w:rPr>
                <w:rFonts w:ascii="Times New Roman"/>
                <w:bCs/>
                <w:color w:val="000000" w:themeColor="text1"/>
                <w:sz w:val="21"/>
                <w:szCs w:val="21"/>
              </w:rPr>
              <w:t>小时平均</w:t>
            </w:r>
          </w:p>
        </w:tc>
        <w:tc>
          <w:tcPr>
            <w:tcW w:w="4078" w:type="dxa"/>
            <w:shd w:val="clear" w:color="auto" w:fill="auto"/>
            <w:vAlign w:val="center"/>
          </w:tcPr>
          <w:p w14:paraId="637EFDFF" w14:textId="77777777" w:rsidR="00B0005F" w:rsidRPr="008A2411" w:rsidRDefault="00000000">
            <w:pPr>
              <w:autoSpaceDE w:val="0"/>
              <w:autoSpaceDN w:val="0"/>
              <w:adjustRightInd w:val="0"/>
              <w:jc w:val="center"/>
              <w:rPr>
                <w:rFonts w:ascii="Times New Roman"/>
                <w:bCs/>
                <w:color w:val="000000" w:themeColor="text1"/>
                <w:sz w:val="21"/>
                <w:szCs w:val="21"/>
              </w:rPr>
            </w:pPr>
            <w:r w:rsidRPr="008A2411">
              <w:rPr>
                <w:rFonts w:ascii="Times New Roman"/>
                <w:bCs/>
                <w:color w:val="000000" w:themeColor="text1"/>
                <w:sz w:val="21"/>
                <w:szCs w:val="21"/>
              </w:rPr>
              <w:t>《环境影响评价技术导则</w:t>
            </w:r>
            <w:r w:rsidRPr="008A2411">
              <w:rPr>
                <w:rFonts w:ascii="Times New Roman"/>
                <w:bCs/>
                <w:color w:val="000000" w:themeColor="text1"/>
                <w:sz w:val="21"/>
                <w:szCs w:val="21"/>
              </w:rPr>
              <w:t xml:space="preserve">  </w:t>
            </w:r>
            <w:r w:rsidRPr="008A2411">
              <w:rPr>
                <w:rFonts w:ascii="Times New Roman"/>
                <w:bCs/>
                <w:color w:val="000000" w:themeColor="text1"/>
                <w:sz w:val="21"/>
                <w:szCs w:val="21"/>
              </w:rPr>
              <w:t>大气环境》（</w:t>
            </w:r>
            <w:r w:rsidRPr="008A2411">
              <w:rPr>
                <w:rFonts w:ascii="Times New Roman"/>
                <w:bCs/>
                <w:color w:val="000000" w:themeColor="text1"/>
                <w:sz w:val="21"/>
                <w:szCs w:val="21"/>
              </w:rPr>
              <w:t>HJ2.2-2018</w:t>
            </w:r>
            <w:r w:rsidRPr="008A2411">
              <w:rPr>
                <w:rFonts w:ascii="Times New Roman"/>
                <w:bCs/>
                <w:color w:val="000000" w:themeColor="text1"/>
                <w:sz w:val="21"/>
                <w:szCs w:val="21"/>
              </w:rPr>
              <w:t>）附录</w:t>
            </w:r>
            <w:r w:rsidRPr="008A2411">
              <w:rPr>
                <w:rFonts w:ascii="Times New Roman"/>
                <w:bCs/>
                <w:color w:val="000000" w:themeColor="text1"/>
                <w:sz w:val="21"/>
                <w:szCs w:val="21"/>
              </w:rPr>
              <w:t>D</w:t>
            </w:r>
          </w:p>
        </w:tc>
      </w:tr>
      <w:tr w:rsidR="008A2411" w:rsidRPr="008A2411" w14:paraId="4B94A686" w14:textId="77777777">
        <w:tc>
          <w:tcPr>
            <w:tcW w:w="2230" w:type="dxa"/>
            <w:shd w:val="clear" w:color="auto" w:fill="auto"/>
            <w:vAlign w:val="center"/>
          </w:tcPr>
          <w:p w14:paraId="35F6730F" w14:textId="77777777" w:rsidR="00B0005F" w:rsidRPr="008A2411" w:rsidRDefault="00000000">
            <w:pPr>
              <w:autoSpaceDE w:val="0"/>
              <w:autoSpaceDN w:val="0"/>
              <w:adjustRightInd w:val="0"/>
              <w:jc w:val="center"/>
              <w:rPr>
                <w:rFonts w:ascii="Times New Roman"/>
                <w:bCs/>
                <w:color w:val="000000" w:themeColor="text1"/>
                <w:sz w:val="21"/>
                <w:szCs w:val="21"/>
              </w:rPr>
            </w:pPr>
            <w:r w:rsidRPr="008A2411">
              <w:rPr>
                <w:rFonts w:ascii="Times New Roman"/>
                <w:bCs/>
                <w:color w:val="000000" w:themeColor="text1"/>
                <w:sz w:val="21"/>
                <w:szCs w:val="21"/>
              </w:rPr>
              <w:t>NMHC</w:t>
            </w:r>
            <w:r w:rsidRPr="008A2411">
              <w:rPr>
                <w:rFonts w:ascii="Times New Roman"/>
                <w:bCs/>
                <w:color w:val="000000" w:themeColor="text1"/>
                <w:sz w:val="21"/>
                <w:szCs w:val="21"/>
              </w:rPr>
              <w:t>（非甲烷总烃）</w:t>
            </w:r>
          </w:p>
        </w:tc>
        <w:tc>
          <w:tcPr>
            <w:tcW w:w="773" w:type="dxa"/>
            <w:shd w:val="clear" w:color="auto" w:fill="auto"/>
            <w:vAlign w:val="center"/>
          </w:tcPr>
          <w:p w14:paraId="4A7516C8" w14:textId="77777777" w:rsidR="00B0005F" w:rsidRPr="008A2411" w:rsidRDefault="00000000">
            <w:pPr>
              <w:autoSpaceDE w:val="0"/>
              <w:autoSpaceDN w:val="0"/>
              <w:adjustRightInd w:val="0"/>
              <w:jc w:val="center"/>
              <w:rPr>
                <w:rFonts w:ascii="Times New Roman"/>
                <w:bCs/>
                <w:color w:val="000000" w:themeColor="text1"/>
                <w:sz w:val="21"/>
                <w:szCs w:val="21"/>
              </w:rPr>
            </w:pPr>
            <w:r w:rsidRPr="008A2411">
              <w:rPr>
                <w:rFonts w:ascii="Times New Roman"/>
                <w:bCs/>
                <w:color w:val="000000" w:themeColor="text1"/>
                <w:sz w:val="21"/>
                <w:szCs w:val="21"/>
              </w:rPr>
              <w:t>2.0</w:t>
            </w:r>
          </w:p>
        </w:tc>
        <w:tc>
          <w:tcPr>
            <w:tcW w:w="1441" w:type="dxa"/>
            <w:shd w:val="clear" w:color="auto" w:fill="auto"/>
            <w:vAlign w:val="center"/>
          </w:tcPr>
          <w:p w14:paraId="08F7C902" w14:textId="77777777" w:rsidR="00B0005F" w:rsidRPr="008A2411" w:rsidRDefault="00000000">
            <w:pPr>
              <w:autoSpaceDE w:val="0"/>
              <w:autoSpaceDN w:val="0"/>
              <w:adjustRightInd w:val="0"/>
              <w:jc w:val="center"/>
              <w:rPr>
                <w:rFonts w:ascii="Times New Roman"/>
                <w:bCs/>
                <w:color w:val="000000" w:themeColor="text1"/>
                <w:sz w:val="21"/>
                <w:szCs w:val="21"/>
              </w:rPr>
            </w:pPr>
            <w:r w:rsidRPr="008A2411">
              <w:rPr>
                <w:rFonts w:ascii="Times New Roman"/>
                <w:bCs/>
                <w:color w:val="000000" w:themeColor="text1"/>
                <w:sz w:val="21"/>
                <w:szCs w:val="21"/>
              </w:rPr>
              <w:t>1</w:t>
            </w:r>
            <w:r w:rsidRPr="008A2411">
              <w:rPr>
                <w:rFonts w:ascii="Times New Roman"/>
                <w:bCs/>
                <w:color w:val="000000" w:themeColor="text1"/>
                <w:sz w:val="21"/>
                <w:szCs w:val="21"/>
              </w:rPr>
              <w:t>小时平均</w:t>
            </w:r>
          </w:p>
        </w:tc>
        <w:tc>
          <w:tcPr>
            <w:tcW w:w="4078" w:type="dxa"/>
            <w:shd w:val="clear" w:color="auto" w:fill="auto"/>
            <w:vAlign w:val="center"/>
          </w:tcPr>
          <w:p w14:paraId="24E6F6BE" w14:textId="41ACB5CF" w:rsidR="00B0005F" w:rsidRPr="008A2411" w:rsidRDefault="00585BA0">
            <w:pPr>
              <w:autoSpaceDE w:val="0"/>
              <w:autoSpaceDN w:val="0"/>
              <w:adjustRightInd w:val="0"/>
              <w:jc w:val="center"/>
              <w:rPr>
                <w:rFonts w:ascii="Times New Roman"/>
                <w:bCs/>
                <w:color w:val="000000" w:themeColor="text1"/>
                <w:sz w:val="21"/>
                <w:szCs w:val="21"/>
              </w:rPr>
            </w:pPr>
            <w:r w:rsidRPr="008A2411">
              <w:rPr>
                <w:rFonts w:ascii="Times New Roman"/>
                <w:bCs/>
                <w:color w:val="000000" w:themeColor="text1"/>
                <w:sz w:val="21"/>
                <w:szCs w:val="21"/>
              </w:rPr>
              <w:t>《大气污染物综合排放标准》（</w:t>
            </w:r>
            <w:r w:rsidRPr="008A2411">
              <w:rPr>
                <w:rFonts w:ascii="Times New Roman"/>
                <w:bCs/>
                <w:color w:val="000000" w:themeColor="text1"/>
                <w:sz w:val="21"/>
                <w:szCs w:val="21"/>
              </w:rPr>
              <w:t>GB 16297-1996</w:t>
            </w:r>
            <w:r w:rsidRPr="008A2411">
              <w:rPr>
                <w:rFonts w:ascii="Times New Roman"/>
                <w:bCs/>
                <w:color w:val="000000" w:themeColor="text1"/>
                <w:sz w:val="21"/>
                <w:szCs w:val="21"/>
              </w:rPr>
              <w:t>）详解</w:t>
            </w:r>
          </w:p>
        </w:tc>
      </w:tr>
    </w:tbl>
    <w:p w14:paraId="20C531CE" w14:textId="77777777" w:rsidR="00B0005F" w:rsidRPr="008A2411" w:rsidRDefault="00000000">
      <w:pPr>
        <w:autoSpaceDE w:val="0"/>
        <w:autoSpaceDN w:val="0"/>
        <w:adjustRightInd w:val="0"/>
        <w:spacing w:line="360" w:lineRule="auto"/>
        <w:ind w:firstLineChars="200" w:firstLine="482"/>
        <w:rPr>
          <w:rFonts w:ascii="Times New Roman"/>
          <w:color w:val="000000" w:themeColor="text1"/>
          <w:lang w:val="zh-CN"/>
        </w:rPr>
      </w:pPr>
      <w:r w:rsidRPr="008A2411">
        <w:rPr>
          <w:rFonts w:ascii="Times New Roman"/>
          <w:b/>
          <w:bCs/>
          <w:color w:val="000000" w:themeColor="text1"/>
        </w:rPr>
        <w:t>（</w:t>
      </w:r>
      <w:r w:rsidRPr="008A2411">
        <w:rPr>
          <w:rFonts w:ascii="Times New Roman"/>
          <w:b/>
          <w:bCs/>
          <w:color w:val="000000" w:themeColor="text1"/>
        </w:rPr>
        <w:t>2</w:t>
      </w:r>
      <w:r w:rsidRPr="008A2411">
        <w:rPr>
          <w:rFonts w:ascii="Times New Roman"/>
          <w:b/>
          <w:bCs/>
          <w:color w:val="000000" w:themeColor="text1"/>
        </w:rPr>
        <w:t>）</w:t>
      </w:r>
      <w:r w:rsidRPr="008A2411">
        <w:rPr>
          <w:rFonts w:ascii="Times New Roman"/>
          <w:b/>
          <w:bCs/>
          <w:color w:val="000000" w:themeColor="text1"/>
          <w:lang w:val="zh-CN"/>
        </w:rPr>
        <w:t>地表水环境质量</w:t>
      </w:r>
    </w:p>
    <w:p w14:paraId="48147E7B" w14:textId="77777777" w:rsidR="00B0005F" w:rsidRPr="008A2411" w:rsidRDefault="00000000">
      <w:pPr>
        <w:autoSpaceDE w:val="0"/>
        <w:autoSpaceDN w:val="0"/>
        <w:adjustRightInd w:val="0"/>
        <w:spacing w:line="360" w:lineRule="auto"/>
        <w:ind w:firstLineChars="200" w:firstLine="480"/>
        <w:rPr>
          <w:rFonts w:ascii="Times New Roman"/>
          <w:color w:val="000000" w:themeColor="text1"/>
          <w:lang w:val="zh-CN"/>
        </w:rPr>
      </w:pPr>
      <w:r w:rsidRPr="008A2411">
        <w:rPr>
          <w:rFonts w:ascii="Times New Roman"/>
          <w:color w:val="000000" w:themeColor="text1"/>
          <w:lang w:val="zh-CN"/>
        </w:rPr>
        <w:t>执行《地表水环境质量标准》（</w:t>
      </w:r>
      <w:r w:rsidRPr="008A2411">
        <w:rPr>
          <w:rFonts w:ascii="Times New Roman"/>
          <w:color w:val="000000" w:themeColor="text1"/>
          <w:lang w:val="zh-CN"/>
        </w:rPr>
        <w:t>GB3838-2002</w:t>
      </w:r>
      <w:r w:rsidRPr="008A2411">
        <w:rPr>
          <w:rFonts w:ascii="Times New Roman"/>
          <w:color w:val="000000" w:themeColor="text1"/>
          <w:lang w:val="zh-CN"/>
        </w:rPr>
        <w:t>）的</w:t>
      </w:r>
      <w:r w:rsidRPr="008A2411">
        <w:rPr>
          <w:rFonts w:ascii="Times New Roman"/>
          <w:color w:val="000000" w:themeColor="text1"/>
          <w:lang w:val="zh-CN"/>
        </w:rPr>
        <w:t>Ⅲ</w:t>
      </w:r>
      <w:r w:rsidRPr="008A2411">
        <w:rPr>
          <w:rFonts w:ascii="Times New Roman"/>
          <w:color w:val="000000" w:themeColor="text1"/>
          <w:lang w:val="zh-CN"/>
        </w:rPr>
        <w:t>类水域水质标准，水质</w:t>
      </w:r>
      <w:r w:rsidRPr="008A2411">
        <w:rPr>
          <w:rFonts w:ascii="Times New Roman"/>
          <w:color w:val="000000" w:themeColor="text1"/>
          <w:lang w:val="zh-CN"/>
        </w:rPr>
        <w:lastRenderedPageBreak/>
        <w:t>标准中主要污染物标准限值见表</w:t>
      </w:r>
      <w:r w:rsidRPr="008A2411">
        <w:rPr>
          <w:rFonts w:ascii="Times New Roman"/>
          <w:color w:val="000000" w:themeColor="text1"/>
          <w:lang w:val="zh-CN"/>
        </w:rPr>
        <w:t>2.6-4</w:t>
      </w:r>
      <w:r w:rsidRPr="008A2411">
        <w:rPr>
          <w:rFonts w:ascii="Times New Roman"/>
          <w:color w:val="000000" w:themeColor="text1"/>
          <w:lang w:val="zh-CN"/>
        </w:rPr>
        <w:t>。</w:t>
      </w:r>
    </w:p>
    <w:p w14:paraId="55451BEF" w14:textId="77777777" w:rsidR="00B0005F" w:rsidRPr="008A2411" w:rsidRDefault="00000000">
      <w:pPr>
        <w:wordWrap w:val="0"/>
        <w:autoSpaceDE w:val="0"/>
        <w:autoSpaceDN w:val="0"/>
        <w:adjustRightInd w:val="0"/>
        <w:jc w:val="right"/>
        <w:rPr>
          <w:rFonts w:ascii="Times New Roman" w:eastAsia="黑体"/>
          <w:bCs/>
          <w:color w:val="000000" w:themeColor="text1"/>
          <w:szCs w:val="21"/>
          <w:lang w:val="zh-CN"/>
        </w:rPr>
      </w:pPr>
      <w:r w:rsidRPr="008A2411">
        <w:rPr>
          <w:rFonts w:ascii="Times New Roman" w:eastAsia="黑体"/>
          <w:bCs/>
          <w:color w:val="000000" w:themeColor="text1"/>
          <w:szCs w:val="21"/>
          <w:lang w:val="zh-CN"/>
        </w:rPr>
        <w:t>表</w:t>
      </w:r>
      <w:r w:rsidRPr="008A2411">
        <w:rPr>
          <w:rFonts w:ascii="Times New Roman" w:eastAsia="黑体"/>
          <w:bCs/>
          <w:color w:val="000000" w:themeColor="text1"/>
          <w:szCs w:val="21"/>
          <w:lang w:val="zh-CN"/>
        </w:rPr>
        <w:t xml:space="preserve">2.6-4  </w:t>
      </w:r>
      <w:r w:rsidRPr="008A2411">
        <w:rPr>
          <w:rFonts w:ascii="Times New Roman" w:eastAsia="黑体"/>
          <w:bCs/>
          <w:color w:val="000000" w:themeColor="text1"/>
          <w:szCs w:val="21"/>
          <w:lang w:val="zh-CN"/>
        </w:rPr>
        <w:t>地表水环境质量标准</w:t>
      </w:r>
      <w:r w:rsidRPr="008A2411">
        <w:rPr>
          <w:rFonts w:ascii="Times New Roman" w:eastAsia="黑体"/>
          <w:bCs/>
          <w:color w:val="000000" w:themeColor="text1"/>
          <w:szCs w:val="21"/>
          <w:lang w:val="zh-CN"/>
        </w:rPr>
        <w:t xml:space="preserve">            </w:t>
      </w:r>
      <w:r w:rsidRPr="008A2411">
        <w:rPr>
          <w:rFonts w:ascii="Times New Roman" w:eastAsia="黑体"/>
          <w:bCs/>
          <w:color w:val="000000" w:themeColor="text1"/>
          <w:szCs w:val="21"/>
          <w:lang w:val="zh-CN"/>
        </w:rPr>
        <w:t>单位：</w:t>
      </w:r>
      <w:r w:rsidRPr="008A2411">
        <w:rPr>
          <w:rFonts w:ascii="Times New Roman" w:eastAsia="黑体"/>
          <w:bCs/>
          <w:color w:val="000000" w:themeColor="text1"/>
          <w:szCs w:val="21"/>
          <w:lang w:val="zh-CN"/>
        </w:rPr>
        <w:t>mg/L</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617"/>
        <w:gridCol w:w="1966"/>
        <w:gridCol w:w="857"/>
        <w:gridCol w:w="5082"/>
      </w:tblGrid>
      <w:tr w:rsidR="008A2411" w:rsidRPr="008A2411" w14:paraId="09899751" w14:textId="77777777">
        <w:trPr>
          <w:trHeight w:val="38"/>
          <w:jc w:val="center"/>
        </w:trPr>
        <w:tc>
          <w:tcPr>
            <w:tcW w:w="0" w:type="auto"/>
            <w:vAlign w:val="center"/>
          </w:tcPr>
          <w:p w14:paraId="574D853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序号</w:t>
            </w:r>
          </w:p>
        </w:tc>
        <w:tc>
          <w:tcPr>
            <w:tcW w:w="0" w:type="auto"/>
            <w:vAlign w:val="center"/>
          </w:tcPr>
          <w:p w14:paraId="53FBEC8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指标</w:t>
            </w:r>
          </w:p>
        </w:tc>
        <w:tc>
          <w:tcPr>
            <w:tcW w:w="0" w:type="auto"/>
            <w:vAlign w:val="center"/>
          </w:tcPr>
          <w:p w14:paraId="02AD4884"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标准值</w:t>
            </w:r>
          </w:p>
        </w:tc>
        <w:tc>
          <w:tcPr>
            <w:tcW w:w="0" w:type="auto"/>
            <w:vAlign w:val="center"/>
          </w:tcPr>
          <w:p w14:paraId="4CC3AB25"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标准依据</w:t>
            </w:r>
          </w:p>
        </w:tc>
      </w:tr>
      <w:tr w:rsidR="008A2411" w:rsidRPr="008A2411" w14:paraId="04A5C7F7" w14:textId="77777777">
        <w:trPr>
          <w:trHeight w:val="250"/>
          <w:jc w:val="center"/>
        </w:trPr>
        <w:tc>
          <w:tcPr>
            <w:tcW w:w="0" w:type="auto"/>
            <w:vAlign w:val="center"/>
          </w:tcPr>
          <w:p w14:paraId="7E7EC5FB"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w:t>
            </w:r>
          </w:p>
        </w:tc>
        <w:tc>
          <w:tcPr>
            <w:tcW w:w="0" w:type="auto"/>
            <w:vAlign w:val="center"/>
          </w:tcPr>
          <w:p w14:paraId="607E19EE"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pH</w:t>
            </w:r>
            <w:r w:rsidRPr="008A2411">
              <w:rPr>
                <w:rFonts w:ascii="Times New Roman"/>
                <w:color w:val="000000" w:themeColor="text1"/>
                <w:sz w:val="21"/>
                <w:szCs w:val="21"/>
              </w:rPr>
              <w:t>（无量纲）</w:t>
            </w:r>
          </w:p>
        </w:tc>
        <w:tc>
          <w:tcPr>
            <w:tcW w:w="0" w:type="auto"/>
            <w:vAlign w:val="center"/>
          </w:tcPr>
          <w:p w14:paraId="60B5A117"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6-9</w:t>
            </w:r>
          </w:p>
        </w:tc>
        <w:tc>
          <w:tcPr>
            <w:tcW w:w="0" w:type="auto"/>
            <w:vMerge w:val="restart"/>
            <w:vAlign w:val="center"/>
          </w:tcPr>
          <w:p w14:paraId="32F1E332"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《地表水环境质量标准》（</w:t>
            </w:r>
            <w:r w:rsidRPr="008A2411">
              <w:rPr>
                <w:rFonts w:ascii="Times New Roman"/>
                <w:color w:val="000000" w:themeColor="text1"/>
                <w:sz w:val="21"/>
                <w:szCs w:val="21"/>
              </w:rPr>
              <w:t>GB3838-2002</w:t>
            </w:r>
            <w:r w:rsidRPr="008A2411">
              <w:rPr>
                <w:rFonts w:ascii="Times New Roman"/>
                <w:color w:val="000000" w:themeColor="text1"/>
                <w:sz w:val="21"/>
                <w:szCs w:val="21"/>
              </w:rPr>
              <w:t>）</w:t>
            </w:r>
            <w:r w:rsidRPr="008A2411">
              <w:rPr>
                <w:rFonts w:ascii="Times New Roman"/>
                <w:color w:val="000000" w:themeColor="text1"/>
                <w:sz w:val="21"/>
                <w:szCs w:val="21"/>
              </w:rPr>
              <w:t>Ⅲ</w:t>
            </w:r>
            <w:r w:rsidRPr="008A2411">
              <w:rPr>
                <w:rFonts w:ascii="Times New Roman"/>
                <w:color w:val="000000" w:themeColor="text1"/>
                <w:sz w:val="21"/>
                <w:szCs w:val="21"/>
              </w:rPr>
              <w:t>类水域标准</w:t>
            </w:r>
          </w:p>
        </w:tc>
      </w:tr>
      <w:tr w:rsidR="008A2411" w:rsidRPr="008A2411" w14:paraId="4D02C3CD" w14:textId="77777777">
        <w:trPr>
          <w:trHeight w:val="262"/>
          <w:jc w:val="center"/>
        </w:trPr>
        <w:tc>
          <w:tcPr>
            <w:tcW w:w="0" w:type="auto"/>
            <w:vAlign w:val="center"/>
          </w:tcPr>
          <w:p w14:paraId="66F4F73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w:t>
            </w:r>
          </w:p>
        </w:tc>
        <w:tc>
          <w:tcPr>
            <w:tcW w:w="0" w:type="auto"/>
            <w:vAlign w:val="center"/>
          </w:tcPr>
          <w:p w14:paraId="5EBBEFEF" w14:textId="77777777" w:rsidR="00B0005F" w:rsidRPr="008A2411" w:rsidRDefault="00000000">
            <w:pPr>
              <w:jc w:val="center"/>
              <w:rPr>
                <w:rFonts w:ascii="Times New Roman"/>
                <w:color w:val="000000" w:themeColor="text1"/>
                <w:sz w:val="21"/>
                <w:szCs w:val="21"/>
              </w:rPr>
            </w:pPr>
            <w:proofErr w:type="spellStart"/>
            <w:r w:rsidRPr="008A2411">
              <w:rPr>
                <w:rFonts w:ascii="Times New Roman"/>
                <w:color w:val="000000" w:themeColor="text1"/>
                <w:sz w:val="21"/>
                <w:szCs w:val="21"/>
              </w:rPr>
              <w:t>COD</w:t>
            </w:r>
            <w:r w:rsidRPr="008A2411">
              <w:rPr>
                <w:rFonts w:ascii="Times New Roman"/>
                <w:color w:val="000000" w:themeColor="text1"/>
                <w:sz w:val="21"/>
                <w:szCs w:val="21"/>
                <w:vertAlign w:val="subscript"/>
              </w:rPr>
              <w:t>cr</w:t>
            </w:r>
            <w:proofErr w:type="spellEnd"/>
          </w:p>
        </w:tc>
        <w:tc>
          <w:tcPr>
            <w:tcW w:w="0" w:type="auto"/>
            <w:vAlign w:val="center"/>
          </w:tcPr>
          <w:p w14:paraId="6AF09B8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≤20</w:t>
            </w:r>
          </w:p>
        </w:tc>
        <w:tc>
          <w:tcPr>
            <w:tcW w:w="0" w:type="auto"/>
            <w:vMerge/>
            <w:vAlign w:val="center"/>
          </w:tcPr>
          <w:p w14:paraId="2B8CA0D5" w14:textId="77777777" w:rsidR="00B0005F" w:rsidRPr="008A2411" w:rsidRDefault="00B0005F">
            <w:pPr>
              <w:jc w:val="center"/>
              <w:rPr>
                <w:rFonts w:ascii="Times New Roman"/>
                <w:color w:val="000000" w:themeColor="text1"/>
                <w:sz w:val="21"/>
                <w:szCs w:val="21"/>
              </w:rPr>
            </w:pPr>
          </w:p>
        </w:tc>
      </w:tr>
      <w:tr w:rsidR="008A2411" w:rsidRPr="008A2411" w14:paraId="19900357" w14:textId="77777777">
        <w:trPr>
          <w:trHeight w:val="262"/>
          <w:jc w:val="center"/>
        </w:trPr>
        <w:tc>
          <w:tcPr>
            <w:tcW w:w="0" w:type="auto"/>
            <w:vAlign w:val="center"/>
          </w:tcPr>
          <w:p w14:paraId="7E1E60B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3</w:t>
            </w:r>
          </w:p>
        </w:tc>
        <w:tc>
          <w:tcPr>
            <w:tcW w:w="0" w:type="auto"/>
            <w:vAlign w:val="center"/>
          </w:tcPr>
          <w:p w14:paraId="6E70629B"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BOD</w:t>
            </w:r>
            <w:r w:rsidRPr="008A2411">
              <w:rPr>
                <w:rFonts w:ascii="Times New Roman"/>
                <w:color w:val="000000" w:themeColor="text1"/>
                <w:sz w:val="21"/>
                <w:szCs w:val="21"/>
                <w:vertAlign w:val="subscript"/>
              </w:rPr>
              <w:t>5</w:t>
            </w:r>
          </w:p>
        </w:tc>
        <w:tc>
          <w:tcPr>
            <w:tcW w:w="0" w:type="auto"/>
            <w:vAlign w:val="center"/>
          </w:tcPr>
          <w:p w14:paraId="6883BB55"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≤4</w:t>
            </w:r>
          </w:p>
        </w:tc>
        <w:tc>
          <w:tcPr>
            <w:tcW w:w="0" w:type="auto"/>
            <w:vMerge/>
            <w:vAlign w:val="center"/>
          </w:tcPr>
          <w:p w14:paraId="20B6A2CB" w14:textId="77777777" w:rsidR="00B0005F" w:rsidRPr="008A2411" w:rsidRDefault="00B0005F">
            <w:pPr>
              <w:jc w:val="center"/>
              <w:rPr>
                <w:rFonts w:ascii="Times New Roman"/>
                <w:color w:val="000000" w:themeColor="text1"/>
                <w:sz w:val="21"/>
                <w:szCs w:val="21"/>
              </w:rPr>
            </w:pPr>
          </w:p>
        </w:tc>
      </w:tr>
      <w:tr w:rsidR="008A2411" w:rsidRPr="008A2411" w14:paraId="4E56D325" w14:textId="77777777">
        <w:trPr>
          <w:trHeight w:val="296"/>
          <w:jc w:val="center"/>
        </w:trPr>
        <w:tc>
          <w:tcPr>
            <w:tcW w:w="0" w:type="auto"/>
            <w:vAlign w:val="center"/>
          </w:tcPr>
          <w:p w14:paraId="44DCDFEB"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4</w:t>
            </w:r>
          </w:p>
        </w:tc>
        <w:tc>
          <w:tcPr>
            <w:tcW w:w="0" w:type="auto"/>
            <w:vAlign w:val="center"/>
          </w:tcPr>
          <w:p w14:paraId="688726DD"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氨氮</w:t>
            </w:r>
          </w:p>
        </w:tc>
        <w:tc>
          <w:tcPr>
            <w:tcW w:w="0" w:type="auto"/>
            <w:vAlign w:val="center"/>
          </w:tcPr>
          <w:p w14:paraId="23EAED17"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≤1.0</w:t>
            </w:r>
          </w:p>
        </w:tc>
        <w:tc>
          <w:tcPr>
            <w:tcW w:w="0" w:type="auto"/>
            <w:vMerge/>
            <w:vAlign w:val="center"/>
          </w:tcPr>
          <w:p w14:paraId="0696480D" w14:textId="77777777" w:rsidR="00B0005F" w:rsidRPr="008A2411" w:rsidRDefault="00B0005F">
            <w:pPr>
              <w:jc w:val="center"/>
              <w:rPr>
                <w:rFonts w:ascii="Times New Roman"/>
                <w:color w:val="000000" w:themeColor="text1"/>
                <w:sz w:val="21"/>
                <w:szCs w:val="21"/>
              </w:rPr>
            </w:pPr>
          </w:p>
        </w:tc>
      </w:tr>
      <w:tr w:rsidR="008A2411" w:rsidRPr="008A2411" w14:paraId="5573F7EF" w14:textId="77777777">
        <w:trPr>
          <w:trHeight w:val="296"/>
          <w:jc w:val="center"/>
        </w:trPr>
        <w:tc>
          <w:tcPr>
            <w:tcW w:w="0" w:type="auto"/>
            <w:vAlign w:val="center"/>
          </w:tcPr>
          <w:p w14:paraId="73EF03A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5</w:t>
            </w:r>
          </w:p>
        </w:tc>
        <w:tc>
          <w:tcPr>
            <w:tcW w:w="0" w:type="auto"/>
            <w:vAlign w:val="center"/>
          </w:tcPr>
          <w:p w14:paraId="336C66B4"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总磷（以</w:t>
            </w:r>
            <w:r w:rsidRPr="008A2411">
              <w:rPr>
                <w:rFonts w:ascii="Times New Roman"/>
                <w:color w:val="000000" w:themeColor="text1"/>
                <w:sz w:val="21"/>
                <w:szCs w:val="21"/>
              </w:rPr>
              <w:t>P</w:t>
            </w:r>
            <w:r w:rsidRPr="008A2411">
              <w:rPr>
                <w:rFonts w:ascii="Times New Roman"/>
                <w:color w:val="000000" w:themeColor="text1"/>
                <w:sz w:val="21"/>
                <w:szCs w:val="21"/>
              </w:rPr>
              <w:t>计）</w:t>
            </w:r>
          </w:p>
        </w:tc>
        <w:tc>
          <w:tcPr>
            <w:tcW w:w="0" w:type="auto"/>
            <w:vAlign w:val="center"/>
          </w:tcPr>
          <w:p w14:paraId="60ACC80D"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≤0.2</w:t>
            </w:r>
          </w:p>
        </w:tc>
        <w:tc>
          <w:tcPr>
            <w:tcW w:w="0" w:type="auto"/>
            <w:vMerge/>
            <w:vAlign w:val="center"/>
          </w:tcPr>
          <w:p w14:paraId="5F83918F" w14:textId="77777777" w:rsidR="00B0005F" w:rsidRPr="008A2411" w:rsidRDefault="00B0005F">
            <w:pPr>
              <w:jc w:val="center"/>
              <w:rPr>
                <w:rFonts w:ascii="Times New Roman"/>
                <w:color w:val="000000" w:themeColor="text1"/>
                <w:sz w:val="21"/>
                <w:szCs w:val="21"/>
              </w:rPr>
            </w:pPr>
          </w:p>
        </w:tc>
      </w:tr>
      <w:tr w:rsidR="008A2411" w:rsidRPr="008A2411" w14:paraId="2D8CE616" w14:textId="77777777">
        <w:trPr>
          <w:trHeight w:val="307"/>
          <w:jc w:val="center"/>
        </w:trPr>
        <w:tc>
          <w:tcPr>
            <w:tcW w:w="0" w:type="auto"/>
            <w:vAlign w:val="center"/>
          </w:tcPr>
          <w:p w14:paraId="5CFB759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6</w:t>
            </w:r>
          </w:p>
        </w:tc>
        <w:tc>
          <w:tcPr>
            <w:tcW w:w="0" w:type="auto"/>
            <w:vAlign w:val="center"/>
          </w:tcPr>
          <w:p w14:paraId="35DC40E2"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粪大肠菌群（</w:t>
            </w:r>
            <w:proofErr w:type="gramStart"/>
            <w:r w:rsidRPr="008A2411">
              <w:rPr>
                <w:rFonts w:ascii="Times New Roman"/>
                <w:color w:val="000000" w:themeColor="text1"/>
                <w:sz w:val="21"/>
                <w:szCs w:val="21"/>
              </w:rPr>
              <w:t>个</w:t>
            </w:r>
            <w:proofErr w:type="gramEnd"/>
            <w:r w:rsidRPr="008A2411">
              <w:rPr>
                <w:rFonts w:ascii="Times New Roman"/>
                <w:color w:val="000000" w:themeColor="text1"/>
                <w:sz w:val="21"/>
                <w:szCs w:val="21"/>
              </w:rPr>
              <w:t>/L</w:t>
            </w:r>
            <w:r w:rsidRPr="008A2411">
              <w:rPr>
                <w:rFonts w:ascii="Times New Roman"/>
                <w:color w:val="000000" w:themeColor="text1"/>
                <w:sz w:val="21"/>
                <w:szCs w:val="21"/>
              </w:rPr>
              <w:t>）</w:t>
            </w:r>
          </w:p>
        </w:tc>
        <w:tc>
          <w:tcPr>
            <w:tcW w:w="0" w:type="auto"/>
            <w:vAlign w:val="center"/>
          </w:tcPr>
          <w:p w14:paraId="5DB1FC0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≤10000</w:t>
            </w:r>
          </w:p>
        </w:tc>
        <w:tc>
          <w:tcPr>
            <w:tcW w:w="0" w:type="auto"/>
            <w:vMerge/>
            <w:vAlign w:val="center"/>
          </w:tcPr>
          <w:p w14:paraId="101FC31D" w14:textId="77777777" w:rsidR="00B0005F" w:rsidRPr="008A2411" w:rsidRDefault="00B0005F">
            <w:pPr>
              <w:jc w:val="center"/>
              <w:rPr>
                <w:rFonts w:ascii="Times New Roman"/>
                <w:color w:val="000000" w:themeColor="text1"/>
                <w:sz w:val="21"/>
                <w:szCs w:val="21"/>
              </w:rPr>
            </w:pPr>
          </w:p>
        </w:tc>
      </w:tr>
    </w:tbl>
    <w:p w14:paraId="11639676" w14:textId="77777777" w:rsidR="00B0005F" w:rsidRPr="008A2411" w:rsidRDefault="00000000">
      <w:pPr>
        <w:autoSpaceDE w:val="0"/>
        <w:autoSpaceDN w:val="0"/>
        <w:adjustRightInd w:val="0"/>
        <w:spacing w:line="360" w:lineRule="auto"/>
        <w:ind w:firstLineChars="200" w:firstLine="482"/>
        <w:rPr>
          <w:rFonts w:ascii="Times New Roman"/>
          <w:b/>
          <w:bCs/>
          <w:color w:val="000000" w:themeColor="text1"/>
        </w:rPr>
      </w:pPr>
      <w:r w:rsidRPr="008A2411">
        <w:rPr>
          <w:rFonts w:ascii="Times New Roman"/>
          <w:b/>
          <w:bCs/>
          <w:color w:val="000000" w:themeColor="text1"/>
        </w:rPr>
        <w:t>（</w:t>
      </w:r>
      <w:r w:rsidRPr="008A2411">
        <w:rPr>
          <w:rFonts w:ascii="Times New Roman"/>
          <w:b/>
          <w:bCs/>
          <w:color w:val="000000" w:themeColor="text1"/>
        </w:rPr>
        <w:t>3</w:t>
      </w:r>
      <w:r w:rsidRPr="008A2411">
        <w:rPr>
          <w:rFonts w:ascii="Times New Roman"/>
          <w:b/>
          <w:bCs/>
          <w:color w:val="000000" w:themeColor="text1"/>
        </w:rPr>
        <w:t>）地下水环境</w:t>
      </w:r>
    </w:p>
    <w:p w14:paraId="348FF6BF" w14:textId="77777777" w:rsidR="00B0005F" w:rsidRPr="008A2411" w:rsidRDefault="00000000">
      <w:pPr>
        <w:autoSpaceDE w:val="0"/>
        <w:autoSpaceDN w:val="0"/>
        <w:adjustRightInd w:val="0"/>
        <w:spacing w:line="360" w:lineRule="auto"/>
        <w:ind w:firstLineChars="200" w:firstLine="480"/>
        <w:rPr>
          <w:rFonts w:ascii="Times New Roman"/>
          <w:color w:val="000000" w:themeColor="text1"/>
        </w:rPr>
      </w:pPr>
      <w:r w:rsidRPr="008A2411">
        <w:rPr>
          <w:rFonts w:ascii="Times New Roman"/>
          <w:color w:val="000000" w:themeColor="text1"/>
        </w:rPr>
        <w:t>地下水</w:t>
      </w:r>
      <w:r w:rsidRPr="008A2411">
        <w:rPr>
          <w:rFonts w:ascii="Times New Roman"/>
          <w:bCs/>
          <w:color w:val="000000" w:themeColor="text1"/>
        </w:rPr>
        <w:t>执行</w:t>
      </w:r>
      <w:r w:rsidRPr="008A2411">
        <w:rPr>
          <w:rFonts w:ascii="Times New Roman"/>
          <w:color w:val="000000" w:themeColor="text1"/>
        </w:rPr>
        <w:t>《地下水质量标准》（</w:t>
      </w:r>
      <w:r w:rsidRPr="008A2411">
        <w:rPr>
          <w:rFonts w:ascii="Times New Roman"/>
          <w:color w:val="000000" w:themeColor="text1"/>
        </w:rPr>
        <w:t>GB/T14848-2017</w:t>
      </w:r>
      <w:r w:rsidRPr="008A2411">
        <w:rPr>
          <w:rFonts w:ascii="Times New Roman"/>
          <w:color w:val="000000" w:themeColor="text1"/>
        </w:rPr>
        <w:t>）中</w:t>
      </w:r>
      <w:r w:rsidRPr="008A2411">
        <w:rPr>
          <w:rFonts w:ascii="Times New Roman"/>
          <w:color w:val="000000" w:themeColor="text1"/>
        </w:rPr>
        <w:t>Ⅲ</w:t>
      </w:r>
      <w:r w:rsidRPr="008A2411">
        <w:rPr>
          <w:rFonts w:ascii="Times New Roman"/>
          <w:color w:val="000000" w:themeColor="text1"/>
        </w:rPr>
        <w:t>类标准；标准值见表</w:t>
      </w:r>
      <w:r w:rsidRPr="008A2411">
        <w:rPr>
          <w:rFonts w:ascii="Times New Roman"/>
          <w:color w:val="000000" w:themeColor="text1"/>
        </w:rPr>
        <w:t>2.6-5</w:t>
      </w:r>
      <w:r w:rsidRPr="008A2411">
        <w:rPr>
          <w:rFonts w:ascii="Times New Roman"/>
          <w:color w:val="000000" w:themeColor="text1"/>
        </w:rPr>
        <w:t>。</w:t>
      </w:r>
    </w:p>
    <w:p w14:paraId="11F9DAFA" w14:textId="77777777" w:rsidR="00B0005F" w:rsidRPr="008A2411" w:rsidRDefault="00000000">
      <w:pPr>
        <w:wordWrap w:val="0"/>
        <w:jc w:val="right"/>
        <w:rPr>
          <w:rFonts w:ascii="Times New Roman" w:eastAsia="黑体"/>
          <w:color w:val="000000" w:themeColor="text1"/>
          <w:sz w:val="32"/>
        </w:rPr>
      </w:pPr>
      <w:r w:rsidRPr="008A2411">
        <w:rPr>
          <w:rFonts w:ascii="Times New Roman" w:eastAsia="黑体"/>
          <w:bCs/>
          <w:color w:val="000000" w:themeColor="text1"/>
          <w:szCs w:val="21"/>
        </w:rPr>
        <w:t>表</w:t>
      </w:r>
      <w:r w:rsidRPr="008A2411">
        <w:rPr>
          <w:rFonts w:ascii="Times New Roman" w:eastAsia="黑体"/>
          <w:bCs/>
          <w:color w:val="000000" w:themeColor="text1"/>
          <w:szCs w:val="21"/>
        </w:rPr>
        <w:t xml:space="preserve">2.6-5  </w:t>
      </w:r>
      <w:r w:rsidRPr="008A2411">
        <w:rPr>
          <w:rFonts w:ascii="Times New Roman" w:eastAsia="黑体"/>
          <w:bCs/>
          <w:color w:val="000000" w:themeColor="text1"/>
          <w:szCs w:val="21"/>
        </w:rPr>
        <w:t>地下水质量标准</w:t>
      </w:r>
      <w:r w:rsidRPr="008A2411">
        <w:rPr>
          <w:rFonts w:ascii="Times New Roman" w:eastAsia="黑体"/>
          <w:bCs/>
          <w:color w:val="000000" w:themeColor="text1"/>
          <w:szCs w:val="21"/>
        </w:rPr>
        <w:t xml:space="preserve">           </w:t>
      </w:r>
      <w:r w:rsidRPr="008A2411">
        <w:rPr>
          <w:rFonts w:ascii="Times New Roman" w:eastAsia="黑体"/>
          <w:bCs/>
          <w:color w:val="000000" w:themeColor="text1"/>
          <w:szCs w:val="21"/>
        </w:rPr>
        <w:t>单位：</w:t>
      </w:r>
      <w:r w:rsidRPr="008A2411">
        <w:rPr>
          <w:rFonts w:ascii="Times New Roman" w:eastAsia="黑体"/>
          <w:bCs/>
          <w:color w:val="000000" w:themeColor="text1"/>
          <w:szCs w:val="21"/>
        </w:rPr>
        <w:t>mg/L</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4A0" w:firstRow="1" w:lastRow="0" w:firstColumn="1" w:lastColumn="0" w:noHBand="0" w:noVBand="1"/>
      </w:tblPr>
      <w:tblGrid>
        <w:gridCol w:w="586"/>
        <w:gridCol w:w="795"/>
        <w:gridCol w:w="723"/>
        <w:gridCol w:w="1240"/>
        <w:gridCol w:w="1288"/>
        <w:gridCol w:w="1097"/>
        <w:gridCol w:w="992"/>
        <w:gridCol w:w="820"/>
        <w:gridCol w:w="981"/>
      </w:tblGrid>
      <w:tr w:rsidR="008A2411" w:rsidRPr="008A2411" w14:paraId="286FB596" w14:textId="77777777">
        <w:trPr>
          <w:trHeight w:val="340"/>
          <w:jc w:val="center"/>
        </w:trPr>
        <w:tc>
          <w:tcPr>
            <w:tcW w:w="0" w:type="auto"/>
            <w:shd w:val="clear" w:color="auto" w:fill="FFFFFF"/>
            <w:vAlign w:val="center"/>
          </w:tcPr>
          <w:p w14:paraId="39525747"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污染物</w:t>
            </w:r>
          </w:p>
        </w:tc>
        <w:tc>
          <w:tcPr>
            <w:tcW w:w="0" w:type="auto"/>
            <w:shd w:val="clear" w:color="auto" w:fill="FFFFFF"/>
            <w:vAlign w:val="center"/>
          </w:tcPr>
          <w:p w14:paraId="26EB09F3"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pH</w:t>
            </w:r>
          </w:p>
        </w:tc>
        <w:tc>
          <w:tcPr>
            <w:tcW w:w="0" w:type="auto"/>
            <w:shd w:val="clear" w:color="auto" w:fill="FFFFFF"/>
            <w:vAlign w:val="center"/>
          </w:tcPr>
          <w:p w14:paraId="21E969E0"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氯化物</w:t>
            </w:r>
          </w:p>
        </w:tc>
        <w:tc>
          <w:tcPr>
            <w:tcW w:w="0" w:type="auto"/>
            <w:shd w:val="clear" w:color="auto" w:fill="FFFFFF"/>
            <w:vAlign w:val="center"/>
          </w:tcPr>
          <w:p w14:paraId="128F6B81"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耗氧量</w:t>
            </w:r>
          </w:p>
        </w:tc>
        <w:tc>
          <w:tcPr>
            <w:tcW w:w="0" w:type="auto"/>
            <w:shd w:val="clear" w:color="auto" w:fill="FFFFFF"/>
            <w:vAlign w:val="center"/>
          </w:tcPr>
          <w:p w14:paraId="231BDF06"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六价铬</w:t>
            </w:r>
          </w:p>
        </w:tc>
        <w:tc>
          <w:tcPr>
            <w:tcW w:w="0" w:type="auto"/>
            <w:shd w:val="clear" w:color="auto" w:fill="FFFFFF"/>
            <w:vAlign w:val="center"/>
          </w:tcPr>
          <w:p w14:paraId="7F47B4A1"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铁</w:t>
            </w:r>
          </w:p>
        </w:tc>
        <w:tc>
          <w:tcPr>
            <w:tcW w:w="0" w:type="auto"/>
            <w:shd w:val="clear" w:color="auto" w:fill="FFFFFF"/>
            <w:vAlign w:val="center"/>
          </w:tcPr>
          <w:p w14:paraId="7CE98151"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锰</w:t>
            </w:r>
          </w:p>
        </w:tc>
        <w:tc>
          <w:tcPr>
            <w:tcW w:w="0" w:type="auto"/>
            <w:shd w:val="clear" w:color="auto" w:fill="FFFFFF"/>
            <w:vAlign w:val="center"/>
          </w:tcPr>
          <w:p w14:paraId="2512F1F2"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总硬度</w:t>
            </w:r>
          </w:p>
        </w:tc>
        <w:tc>
          <w:tcPr>
            <w:tcW w:w="0" w:type="auto"/>
            <w:shd w:val="clear" w:color="auto" w:fill="FFFFFF"/>
            <w:vAlign w:val="center"/>
          </w:tcPr>
          <w:p w14:paraId="62D88B95"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石油类</w:t>
            </w:r>
            <w:r w:rsidRPr="008A2411">
              <w:rPr>
                <w:rFonts w:ascii="Times New Roman"/>
                <w:bCs/>
                <w:color w:val="000000" w:themeColor="text1"/>
                <w:sz w:val="21"/>
                <w:szCs w:val="21"/>
              </w:rPr>
              <w:t>*</w:t>
            </w:r>
          </w:p>
        </w:tc>
      </w:tr>
      <w:tr w:rsidR="008A2411" w:rsidRPr="008A2411" w14:paraId="0606606B" w14:textId="77777777">
        <w:trPr>
          <w:trHeight w:val="340"/>
          <w:jc w:val="center"/>
        </w:trPr>
        <w:tc>
          <w:tcPr>
            <w:tcW w:w="0" w:type="auto"/>
            <w:shd w:val="clear" w:color="auto" w:fill="FFFFFF"/>
            <w:vAlign w:val="center"/>
          </w:tcPr>
          <w:p w14:paraId="609608E4"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Ⅲ</w:t>
            </w:r>
            <w:r w:rsidRPr="008A2411">
              <w:rPr>
                <w:rFonts w:ascii="Times New Roman"/>
                <w:bCs/>
                <w:color w:val="000000" w:themeColor="text1"/>
                <w:sz w:val="21"/>
                <w:szCs w:val="21"/>
              </w:rPr>
              <w:t>类</w:t>
            </w:r>
          </w:p>
        </w:tc>
        <w:tc>
          <w:tcPr>
            <w:tcW w:w="0" w:type="auto"/>
            <w:shd w:val="clear" w:color="auto" w:fill="FFFFFF"/>
            <w:vAlign w:val="center"/>
          </w:tcPr>
          <w:p w14:paraId="76E00504"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6.5</w:t>
            </w:r>
            <w:r w:rsidRPr="008A2411">
              <w:rPr>
                <w:rFonts w:ascii="Times New Roman"/>
                <w:bCs/>
                <w:color w:val="000000" w:themeColor="text1"/>
                <w:sz w:val="21"/>
                <w:szCs w:val="21"/>
              </w:rPr>
              <w:t>～</w:t>
            </w:r>
            <w:r w:rsidRPr="008A2411">
              <w:rPr>
                <w:rFonts w:ascii="Times New Roman"/>
                <w:bCs/>
                <w:color w:val="000000" w:themeColor="text1"/>
                <w:sz w:val="21"/>
                <w:szCs w:val="21"/>
              </w:rPr>
              <w:t>8.5</w:t>
            </w:r>
          </w:p>
        </w:tc>
        <w:tc>
          <w:tcPr>
            <w:tcW w:w="0" w:type="auto"/>
            <w:shd w:val="clear" w:color="auto" w:fill="FFFFFF"/>
            <w:vAlign w:val="center"/>
          </w:tcPr>
          <w:p w14:paraId="0B2D63C4"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≤250</w:t>
            </w:r>
          </w:p>
        </w:tc>
        <w:tc>
          <w:tcPr>
            <w:tcW w:w="0" w:type="auto"/>
            <w:shd w:val="clear" w:color="auto" w:fill="FFFFFF"/>
            <w:vAlign w:val="center"/>
          </w:tcPr>
          <w:p w14:paraId="67590CAD"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≤3.0</w:t>
            </w:r>
          </w:p>
        </w:tc>
        <w:tc>
          <w:tcPr>
            <w:tcW w:w="0" w:type="auto"/>
            <w:shd w:val="clear" w:color="auto" w:fill="FFFFFF"/>
            <w:vAlign w:val="center"/>
          </w:tcPr>
          <w:p w14:paraId="5E4824B5"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≤0.05</w:t>
            </w:r>
          </w:p>
        </w:tc>
        <w:tc>
          <w:tcPr>
            <w:tcW w:w="0" w:type="auto"/>
            <w:shd w:val="clear" w:color="auto" w:fill="FFFFFF"/>
            <w:vAlign w:val="center"/>
          </w:tcPr>
          <w:p w14:paraId="10B5281F"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≤0.3</w:t>
            </w:r>
          </w:p>
        </w:tc>
        <w:tc>
          <w:tcPr>
            <w:tcW w:w="0" w:type="auto"/>
            <w:shd w:val="clear" w:color="auto" w:fill="FFFFFF"/>
            <w:vAlign w:val="center"/>
          </w:tcPr>
          <w:p w14:paraId="10D0E41D"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≤0.1</w:t>
            </w:r>
          </w:p>
        </w:tc>
        <w:tc>
          <w:tcPr>
            <w:tcW w:w="0" w:type="auto"/>
            <w:shd w:val="clear" w:color="auto" w:fill="FFFFFF"/>
            <w:vAlign w:val="center"/>
          </w:tcPr>
          <w:p w14:paraId="38CBDE83"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≤450</w:t>
            </w:r>
          </w:p>
        </w:tc>
        <w:tc>
          <w:tcPr>
            <w:tcW w:w="0" w:type="auto"/>
            <w:shd w:val="clear" w:color="auto" w:fill="FFFFFF"/>
            <w:vAlign w:val="center"/>
          </w:tcPr>
          <w:p w14:paraId="0024275A"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≤0.05</w:t>
            </w:r>
          </w:p>
        </w:tc>
      </w:tr>
      <w:tr w:rsidR="008A2411" w:rsidRPr="008A2411" w14:paraId="2C7E348C" w14:textId="77777777">
        <w:trPr>
          <w:trHeight w:val="340"/>
          <w:jc w:val="center"/>
        </w:trPr>
        <w:tc>
          <w:tcPr>
            <w:tcW w:w="0" w:type="auto"/>
            <w:shd w:val="clear" w:color="auto" w:fill="FFFFFF"/>
            <w:vAlign w:val="center"/>
          </w:tcPr>
          <w:p w14:paraId="3DADAF9B"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污染物</w:t>
            </w:r>
          </w:p>
        </w:tc>
        <w:tc>
          <w:tcPr>
            <w:tcW w:w="0" w:type="auto"/>
            <w:shd w:val="clear" w:color="auto" w:fill="FFFFFF"/>
            <w:vAlign w:val="center"/>
          </w:tcPr>
          <w:p w14:paraId="4B36A124"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SO</w:t>
            </w:r>
            <w:r w:rsidRPr="008A2411">
              <w:rPr>
                <w:rFonts w:ascii="Times New Roman"/>
                <w:bCs/>
                <w:color w:val="000000" w:themeColor="text1"/>
                <w:sz w:val="21"/>
                <w:szCs w:val="21"/>
                <w:vertAlign w:val="subscript"/>
              </w:rPr>
              <w:t>4</w:t>
            </w:r>
            <w:r w:rsidRPr="008A2411">
              <w:rPr>
                <w:rFonts w:ascii="Times New Roman"/>
                <w:bCs/>
                <w:color w:val="000000" w:themeColor="text1"/>
                <w:sz w:val="21"/>
                <w:szCs w:val="21"/>
                <w:vertAlign w:val="superscript"/>
              </w:rPr>
              <w:t>2-</w:t>
            </w:r>
          </w:p>
        </w:tc>
        <w:tc>
          <w:tcPr>
            <w:tcW w:w="0" w:type="auto"/>
            <w:shd w:val="clear" w:color="auto" w:fill="FFFFFF"/>
            <w:vAlign w:val="center"/>
          </w:tcPr>
          <w:p w14:paraId="09D0AEE2"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氨氮</w:t>
            </w:r>
          </w:p>
        </w:tc>
        <w:tc>
          <w:tcPr>
            <w:tcW w:w="0" w:type="auto"/>
            <w:shd w:val="clear" w:color="auto" w:fill="FFFFFF"/>
            <w:vAlign w:val="center"/>
          </w:tcPr>
          <w:p w14:paraId="25D1CE8C"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硝酸盐（以</w:t>
            </w:r>
            <w:r w:rsidRPr="008A2411">
              <w:rPr>
                <w:rFonts w:ascii="Times New Roman"/>
                <w:bCs/>
                <w:color w:val="000000" w:themeColor="text1"/>
                <w:sz w:val="21"/>
                <w:szCs w:val="21"/>
              </w:rPr>
              <w:t>N</w:t>
            </w:r>
            <w:r w:rsidRPr="008A2411">
              <w:rPr>
                <w:rFonts w:ascii="Times New Roman"/>
                <w:bCs/>
                <w:color w:val="000000" w:themeColor="text1"/>
                <w:sz w:val="21"/>
                <w:szCs w:val="21"/>
              </w:rPr>
              <w:t>计）</w:t>
            </w:r>
          </w:p>
        </w:tc>
        <w:tc>
          <w:tcPr>
            <w:tcW w:w="0" w:type="auto"/>
            <w:shd w:val="clear" w:color="auto" w:fill="FFFFFF"/>
            <w:vAlign w:val="center"/>
          </w:tcPr>
          <w:p w14:paraId="7CED9E68"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亚硝酸盐（以</w:t>
            </w:r>
            <w:r w:rsidRPr="008A2411">
              <w:rPr>
                <w:rFonts w:ascii="Times New Roman"/>
                <w:bCs/>
                <w:color w:val="000000" w:themeColor="text1"/>
                <w:sz w:val="21"/>
                <w:szCs w:val="21"/>
              </w:rPr>
              <w:t>N</w:t>
            </w:r>
            <w:r w:rsidRPr="008A2411">
              <w:rPr>
                <w:rFonts w:ascii="Times New Roman"/>
                <w:bCs/>
                <w:color w:val="000000" w:themeColor="text1"/>
                <w:sz w:val="21"/>
                <w:szCs w:val="21"/>
              </w:rPr>
              <w:t>计）</w:t>
            </w:r>
          </w:p>
        </w:tc>
        <w:tc>
          <w:tcPr>
            <w:tcW w:w="0" w:type="auto"/>
            <w:shd w:val="clear" w:color="auto" w:fill="FFFFFF"/>
            <w:vAlign w:val="center"/>
          </w:tcPr>
          <w:p w14:paraId="42E2FBE9"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氰化物</w:t>
            </w:r>
          </w:p>
        </w:tc>
        <w:tc>
          <w:tcPr>
            <w:tcW w:w="0" w:type="auto"/>
            <w:shd w:val="clear" w:color="auto" w:fill="FFFFFF"/>
            <w:vAlign w:val="center"/>
          </w:tcPr>
          <w:p w14:paraId="18E6E480"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砷</w:t>
            </w:r>
          </w:p>
        </w:tc>
        <w:tc>
          <w:tcPr>
            <w:tcW w:w="0" w:type="auto"/>
            <w:shd w:val="clear" w:color="auto" w:fill="FFFFFF"/>
            <w:vAlign w:val="center"/>
          </w:tcPr>
          <w:p w14:paraId="6CD8C795"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汞</w:t>
            </w:r>
          </w:p>
        </w:tc>
        <w:tc>
          <w:tcPr>
            <w:tcW w:w="0" w:type="auto"/>
            <w:shd w:val="clear" w:color="auto" w:fill="FFFFFF"/>
            <w:vAlign w:val="center"/>
          </w:tcPr>
          <w:p w14:paraId="536D8B1A"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挥发性酚类</w:t>
            </w:r>
          </w:p>
        </w:tc>
      </w:tr>
      <w:tr w:rsidR="008A2411" w:rsidRPr="008A2411" w14:paraId="4335C69D" w14:textId="77777777">
        <w:trPr>
          <w:trHeight w:val="340"/>
          <w:jc w:val="center"/>
        </w:trPr>
        <w:tc>
          <w:tcPr>
            <w:tcW w:w="0" w:type="auto"/>
            <w:shd w:val="clear" w:color="auto" w:fill="FFFFFF"/>
            <w:vAlign w:val="center"/>
          </w:tcPr>
          <w:p w14:paraId="00B29902"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Ⅲ</w:t>
            </w:r>
            <w:r w:rsidRPr="008A2411">
              <w:rPr>
                <w:rFonts w:ascii="Times New Roman"/>
                <w:bCs/>
                <w:color w:val="000000" w:themeColor="text1"/>
                <w:sz w:val="21"/>
                <w:szCs w:val="21"/>
              </w:rPr>
              <w:t>类</w:t>
            </w:r>
          </w:p>
        </w:tc>
        <w:tc>
          <w:tcPr>
            <w:tcW w:w="0" w:type="auto"/>
            <w:shd w:val="clear" w:color="auto" w:fill="FFFFFF"/>
            <w:vAlign w:val="center"/>
          </w:tcPr>
          <w:p w14:paraId="5EA49367"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≤250</w:t>
            </w:r>
          </w:p>
        </w:tc>
        <w:tc>
          <w:tcPr>
            <w:tcW w:w="0" w:type="auto"/>
            <w:shd w:val="clear" w:color="auto" w:fill="FFFFFF"/>
            <w:vAlign w:val="center"/>
          </w:tcPr>
          <w:p w14:paraId="6AB7C0AA"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≤0.5</w:t>
            </w:r>
          </w:p>
        </w:tc>
        <w:tc>
          <w:tcPr>
            <w:tcW w:w="0" w:type="auto"/>
            <w:shd w:val="clear" w:color="auto" w:fill="FFFFFF"/>
            <w:vAlign w:val="center"/>
          </w:tcPr>
          <w:p w14:paraId="266734CB"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≤20</w:t>
            </w:r>
          </w:p>
        </w:tc>
        <w:tc>
          <w:tcPr>
            <w:tcW w:w="0" w:type="auto"/>
            <w:shd w:val="clear" w:color="auto" w:fill="FFFFFF"/>
            <w:vAlign w:val="center"/>
          </w:tcPr>
          <w:p w14:paraId="60610CF6"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≤1.0</w:t>
            </w:r>
          </w:p>
        </w:tc>
        <w:tc>
          <w:tcPr>
            <w:tcW w:w="0" w:type="auto"/>
            <w:shd w:val="clear" w:color="auto" w:fill="FFFFFF"/>
            <w:vAlign w:val="center"/>
          </w:tcPr>
          <w:p w14:paraId="063B2292"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≤0.05</w:t>
            </w:r>
          </w:p>
        </w:tc>
        <w:tc>
          <w:tcPr>
            <w:tcW w:w="0" w:type="auto"/>
            <w:shd w:val="clear" w:color="auto" w:fill="FFFFFF"/>
            <w:vAlign w:val="center"/>
          </w:tcPr>
          <w:p w14:paraId="25A9EF6A"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≤0.01</w:t>
            </w:r>
          </w:p>
        </w:tc>
        <w:tc>
          <w:tcPr>
            <w:tcW w:w="0" w:type="auto"/>
            <w:shd w:val="clear" w:color="auto" w:fill="FFFFFF"/>
            <w:vAlign w:val="center"/>
          </w:tcPr>
          <w:p w14:paraId="03528E14"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≤0.001</w:t>
            </w:r>
          </w:p>
        </w:tc>
        <w:tc>
          <w:tcPr>
            <w:tcW w:w="0" w:type="auto"/>
            <w:shd w:val="clear" w:color="auto" w:fill="FFFFFF"/>
            <w:vAlign w:val="center"/>
          </w:tcPr>
          <w:p w14:paraId="11213D35"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≤0.002</w:t>
            </w:r>
          </w:p>
        </w:tc>
      </w:tr>
      <w:tr w:rsidR="008A2411" w:rsidRPr="008A2411" w14:paraId="4A67D1F8" w14:textId="77777777">
        <w:trPr>
          <w:trHeight w:val="340"/>
          <w:jc w:val="center"/>
        </w:trPr>
        <w:tc>
          <w:tcPr>
            <w:tcW w:w="0" w:type="auto"/>
            <w:shd w:val="clear" w:color="auto" w:fill="FFFFFF"/>
            <w:vAlign w:val="center"/>
          </w:tcPr>
          <w:p w14:paraId="011153E6"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污染物</w:t>
            </w:r>
          </w:p>
        </w:tc>
        <w:tc>
          <w:tcPr>
            <w:tcW w:w="0" w:type="auto"/>
            <w:shd w:val="clear" w:color="auto" w:fill="FFFFFF"/>
            <w:vAlign w:val="center"/>
          </w:tcPr>
          <w:p w14:paraId="10CC5063"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铅</w:t>
            </w:r>
          </w:p>
        </w:tc>
        <w:tc>
          <w:tcPr>
            <w:tcW w:w="0" w:type="auto"/>
            <w:shd w:val="clear" w:color="auto" w:fill="FFFFFF"/>
            <w:vAlign w:val="center"/>
          </w:tcPr>
          <w:p w14:paraId="0934916E"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氟</w:t>
            </w:r>
          </w:p>
        </w:tc>
        <w:tc>
          <w:tcPr>
            <w:tcW w:w="0" w:type="auto"/>
            <w:shd w:val="clear" w:color="auto" w:fill="FFFFFF"/>
            <w:vAlign w:val="center"/>
          </w:tcPr>
          <w:p w14:paraId="40BBCF10"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镉</w:t>
            </w:r>
          </w:p>
        </w:tc>
        <w:tc>
          <w:tcPr>
            <w:tcW w:w="0" w:type="auto"/>
            <w:shd w:val="clear" w:color="auto" w:fill="FFFFFF"/>
            <w:vAlign w:val="center"/>
          </w:tcPr>
          <w:p w14:paraId="00036D73"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溶解性固体</w:t>
            </w:r>
          </w:p>
        </w:tc>
        <w:tc>
          <w:tcPr>
            <w:tcW w:w="0" w:type="auto"/>
            <w:gridSpan w:val="2"/>
            <w:shd w:val="clear" w:color="auto" w:fill="FFFFFF"/>
            <w:vAlign w:val="center"/>
          </w:tcPr>
          <w:p w14:paraId="1E8A7B4B"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总大肠菌群（</w:t>
            </w:r>
            <w:r w:rsidRPr="008A2411">
              <w:rPr>
                <w:rFonts w:ascii="Times New Roman"/>
                <w:bCs/>
                <w:color w:val="000000" w:themeColor="text1"/>
                <w:sz w:val="21"/>
                <w:szCs w:val="21"/>
              </w:rPr>
              <w:t>MPN/100ml</w:t>
            </w:r>
            <w:r w:rsidRPr="008A2411">
              <w:rPr>
                <w:rFonts w:ascii="Times New Roman"/>
                <w:bCs/>
                <w:color w:val="000000" w:themeColor="text1"/>
                <w:sz w:val="21"/>
                <w:szCs w:val="21"/>
              </w:rPr>
              <w:t>）</w:t>
            </w:r>
          </w:p>
        </w:tc>
        <w:tc>
          <w:tcPr>
            <w:tcW w:w="0" w:type="auto"/>
            <w:gridSpan w:val="2"/>
            <w:shd w:val="clear" w:color="auto" w:fill="FFFFFF"/>
            <w:vAlign w:val="center"/>
          </w:tcPr>
          <w:p w14:paraId="41A8ADA9"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菌落总数</w:t>
            </w:r>
          </w:p>
          <w:p w14:paraId="7F1B03A5"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w:t>
            </w:r>
            <w:r w:rsidRPr="008A2411">
              <w:rPr>
                <w:rFonts w:ascii="Times New Roman"/>
                <w:bCs/>
                <w:color w:val="000000" w:themeColor="text1"/>
                <w:sz w:val="21"/>
                <w:szCs w:val="21"/>
              </w:rPr>
              <w:t>CFU/ml</w:t>
            </w:r>
            <w:r w:rsidRPr="008A2411">
              <w:rPr>
                <w:rFonts w:ascii="Times New Roman"/>
                <w:bCs/>
                <w:color w:val="000000" w:themeColor="text1"/>
                <w:sz w:val="21"/>
                <w:szCs w:val="21"/>
              </w:rPr>
              <w:t>）</w:t>
            </w:r>
          </w:p>
        </w:tc>
      </w:tr>
      <w:tr w:rsidR="008A2411" w:rsidRPr="008A2411" w14:paraId="24C6BE51" w14:textId="77777777">
        <w:trPr>
          <w:trHeight w:val="340"/>
          <w:jc w:val="center"/>
        </w:trPr>
        <w:tc>
          <w:tcPr>
            <w:tcW w:w="0" w:type="auto"/>
            <w:shd w:val="clear" w:color="auto" w:fill="FFFFFF"/>
            <w:vAlign w:val="center"/>
          </w:tcPr>
          <w:p w14:paraId="0BEEE8D8"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Ⅲ</w:t>
            </w:r>
            <w:r w:rsidRPr="008A2411">
              <w:rPr>
                <w:rFonts w:ascii="Times New Roman"/>
                <w:bCs/>
                <w:color w:val="000000" w:themeColor="text1"/>
                <w:sz w:val="21"/>
                <w:szCs w:val="21"/>
              </w:rPr>
              <w:t>类</w:t>
            </w:r>
          </w:p>
        </w:tc>
        <w:tc>
          <w:tcPr>
            <w:tcW w:w="0" w:type="auto"/>
            <w:shd w:val="clear" w:color="auto" w:fill="FFFFFF"/>
            <w:vAlign w:val="center"/>
          </w:tcPr>
          <w:p w14:paraId="67676076"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≤0.01</w:t>
            </w:r>
          </w:p>
        </w:tc>
        <w:tc>
          <w:tcPr>
            <w:tcW w:w="0" w:type="auto"/>
            <w:shd w:val="clear" w:color="auto" w:fill="FFFFFF"/>
            <w:vAlign w:val="center"/>
          </w:tcPr>
          <w:p w14:paraId="03EC7F57"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≤1.0</w:t>
            </w:r>
          </w:p>
        </w:tc>
        <w:tc>
          <w:tcPr>
            <w:tcW w:w="0" w:type="auto"/>
            <w:shd w:val="clear" w:color="auto" w:fill="FFFFFF"/>
            <w:vAlign w:val="center"/>
          </w:tcPr>
          <w:p w14:paraId="22DDD25F"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≤0.005</w:t>
            </w:r>
          </w:p>
        </w:tc>
        <w:tc>
          <w:tcPr>
            <w:tcW w:w="0" w:type="auto"/>
            <w:shd w:val="clear" w:color="auto" w:fill="FFFFFF"/>
            <w:vAlign w:val="center"/>
          </w:tcPr>
          <w:p w14:paraId="32DC4EF8"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≤1000</w:t>
            </w:r>
          </w:p>
        </w:tc>
        <w:tc>
          <w:tcPr>
            <w:tcW w:w="0" w:type="auto"/>
            <w:gridSpan w:val="2"/>
            <w:shd w:val="clear" w:color="auto" w:fill="FFFFFF"/>
            <w:vAlign w:val="center"/>
          </w:tcPr>
          <w:p w14:paraId="48CE4C5F"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≤3.0</w:t>
            </w:r>
          </w:p>
        </w:tc>
        <w:tc>
          <w:tcPr>
            <w:tcW w:w="0" w:type="auto"/>
            <w:gridSpan w:val="2"/>
            <w:shd w:val="clear" w:color="auto" w:fill="FFFFFF"/>
            <w:vAlign w:val="center"/>
          </w:tcPr>
          <w:p w14:paraId="2D54AEE8" w14:textId="77777777" w:rsidR="00B0005F" w:rsidRPr="008A2411" w:rsidRDefault="00000000">
            <w:pPr>
              <w:snapToGrid w:val="0"/>
              <w:jc w:val="center"/>
              <w:rPr>
                <w:rFonts w:ascii="Times New Roman"/>
                <w:bCs/>
                <w:color w:val="000000" w:themeColor="text1"/>
                <w:sz w:val="21"/>
                <w:szCs w:val="21"/>
              </w:rPr>
            </w:pPr>
            <w:r w:rsidRPr="008A2411">
              <w:rPr>
                <w:rFonts w:ascii="Times New Roman"/>
                <w:bCs/>
                <w:color w:val="000000" w:themeColor="text1"/>
                <w:sz w:val="21"/>
                <w:szCs w:val="21"/>
              </w:rPr>
              <w:t>≤100</w:t>
            </w:r>
          </w:p>
        </w:tc>
      </w:tr>
    </w:tbl>
    <w:p w14:paraId="77800090" w14:textId="77777777" w:rsidR="00B0005F" w:rsidRPr="008A2411" w:rsidRDefault="00000000">
      <w:pPr>
        <w:spacing w:line="360" w:lineRule="auto"/>
        <w:ind w:firstLineChars="200" w:firstLine="422"/>
        <w:rPr>
          <w:rFonts w:ascii="Times New Roman"/>
          <w:b/>
          <w:bCs/>
          <w:color w:val="000000" w:themeColor="text1"/>
          <w:sz w:val="21"/>
          <w:szCs w:val="21"/>
        </w:rPr>
      </w:pPr>
      <w:r w:rsidRPr="008A2411">
        <w:rPr>
          <w:rFonts w:ascii="Times New Roman"/>
          <w:b/>
          <w:bCs/>
          <w:color w:val="000000" w:themeColor="text1"/>
          <w:sz w:val="21"/>
          <w:szCs w:val="21"/>
        </w:rPr>
        <w:t>注：石油类参照《地表水环境质量标准》（</w:t>
      </w:r>
      <w:r w:rsidRPr="008A2411">
        <w:rPr>
          <w:rFonts w:ascii="Times New Roman"/>
          <w:b/>
          <w:bCs/>
          <w:color w:val="000000" w:themeColor="text1"/>
          <w:sz w:val="21"/>
          <w:szCs w:val="21"/>
        </w:rPr>
        <w:t>GB3838-2002</w:t>
      </w:r>
      <w:r w:rsidRPr="008A2411">
        <w:rPr>
          <w:rFonts w:ascii="Times New Roman"/>
          <w:b/>
          <w:bCs/>
          <w:color w:val="000000" w:themeColor="text1"/>
          <w:sz w:val="21"/>
          <w:szCs w:val="21"/>
        </w:rPr>
        <w:t>）</w:t>
      </w:r>
      <w:r w:rsidRPr="008A2411">
        <w:rPr>
          <w:rFonts w:ascii="Times New Roman"/>
          <w:b/>
          <w:bCs/>
          <w:color w:val="000000" w:themeColor="text1"/>
          <w:sz w:val="21"/>
          <w:szCs w:val="21"/>
        </w:rPr>
        <w:fldChar w:fldCharType="begin"/>
      </w:r>
      <w:r w:rsidRPr="008A2411">
        <w:rPr>
          <w:rFonts w:ascii="Times New Roman"/>
          <w:b/>
          <w:bCs/>
          <w:color w:val="000000" w:themeColor="text1"/>
          <w:sz w:val="21"/>
          <w:szCs w:val="21"/>
        </w:rPr>
        <w:instrText xml:space="preserve"> = 3 \* ROMAN \* MERGEFORMAT </w:instrText>
      </w:r>
      <w:r w:rsidRPr="008A2411">
        <w:rPr>
          <w:rFonts w:ascii="Times New Roman"/>
          <w:b/>
          <w:bCs/>
          <w:color w:val="000000" w:themeColor="text1"/>
          <w:sz w:val="21"/>
          <w:szCs w:val="21"/>
        </w:rPr>
        <w:fldChar w:fldCharType="separate"/>
      </w:r>
      <w:r w:rsidRPr="008A2411">
        <w:rPr>
          <w:rFonts w:ascii="Times New Roman"/>
          <w:b/>
          <w:bCs/>
          <w:color w:val="000000" w:themeColor="text1"/>
          <w:sz w:val="21"/>
          <w:szCs w:val="21"/>
        </w:rPr>
        <w:t>III</w:t>
      </w:r>
      <w:r w:rsidRPr="008A2411">
        <w:rPr>
          <w:rFonts w:ascii="Times New Roman"/>
          <w:b/>
          <w:bCs/>
          <w:color w:val="000000" w:themeColor="text1"/>
          <w:sz w:val="21"/>
          <w:szCs w:val="21"/>
        </w:rPr>
        <w:fldChar w:fldCharType="end"/>
      </w:r>
      <w:r w:rsidRPr="008A2411">
        <w:rPr>
          <w:rFonts w:ascii="Times New Roman"/>
          <w:b/>
          <w:bCs/>
          <w:color w:val="000000" w:themeColor="text1"/>
          <w:sz w:val="21"/>
          <w:szCs w:val="21"/>
        </w:rPr>
        <w:t>类水域标准</w:t>
      </w:r>
    </w:p>
    <w:p w14:paraId="04A29E09" w14:textId="77777777" w:rsidR="00B0005F" w:rsidRPr="008A2411" w:rsidRDefault="00000000">
      <w:pPr>
        <w:spacing w:line="360" w:lineRule="auto"/>
        <w:ind w:firstLineChars="200" w:firstLine="482"/>
        <w:rPr>
          <w:rFonts w:ascii="Times New Roman"/>
          <w:color w:val="000000" w:themeColor="text1"/>
          <w:lang w:val="zh-CN"/>
        </w:rPr>
      </w:pPr>
      <w:r w:rsidRPr="008A2411">
        <w:rPr>
          <w:rFonts w:ascii="Times New Roman"/>
          <w:b/>
          <w:bCs/>
          <w:color w:val="000000" w:themeColor="text1"/>
        </w:rPr>
        <w:t>（</w:t>
      </w:r>
      <w:r w:rsidRPr="008A2411">
        <w:rPr>
          <w:rFonts w:ascii="Times New Roman"/>
          <w:b/>
          <w:bCs/>
          <w:color w:val="000000" w:themeColor="text1"/>
        </w:rPr>
        <w:t>4</w:t>
      </w:r>
      <w:r w:rsidRPr="008A2411">
        <w:rPr>
          <w:rFonts w:ascii="Times New Roman"/>
          <w:b/>
          <w:bCs/>
          <w:color w:val="000000" w:themeColor="text1"/>
        </w:rPr>
        <w:t>）</w:t>
      </w:r>
      <w:r w:rsidRPr="008A2411">
        <w:rPr>
          <w:rFonts w:ascii="Times New Roman"/>
          <w:b/>
          <w:bCs/>
          <w:color w:val="000000" w:themeColor="text1"/>
          <w:lang w:val="zh-CN"/>
        </w:rPr>
        <w:t>声环境质量</w:t>
      </w:r>
    </w:p>
    <w:p w14:paraId="6D956D59" w14:textId="77777777" w:rsidR="00B0005F" w:rsidRPr="008A2411" w:rsidRDefault="00000000">
      <w:pPr>
        <w:spacing w:line="360" w:lineRule="auto"/>
        <w:ind w:firstLineChars="200" w:firstLine="480"/>
        <w:rPr>
          <w:rFonts w:ascii="Times New Roman"/>
          <w:b/>
          <w:bCs/>
          <w:color w:val="000000" w:themeColor="text1"/>
          <w:szCs w:val="21"/>
          <w:lang w:val="zh-CN"/>
        </w:rPr>
      </w:pPr>
      <w:r w:rsidRPr="008A2411">
        <w:rPr>
          <w:rFonts w:ascii="Times New Roman"/>
          <w:color w:val="000000" w:themeColor="text1"/>
        </w:rPr>
        <w:t>项目环境噪声执行《声环境质量标准》（</w:t>
      </w:r>
      <w:r w:rsidRPr="008A2411">
        <w:rPr>
          <w:rFonts w:ascii="Times New Roman"/>
          <w:color w:val="000000" w:themeColor="text1"/>
        </w:rPr>
        <w:t>GB3096-2008</w:t>
      </w:r>
      <w:r w:rsidRPr="008A2411">
        <w:rPr>
          <w:rFonts w:ascii="Times New Roman"/>
          <w:color w:val="000000" w:themeColor="text1"/>
        </w:rPr>
        <w:t>）</w:t>
      </w:r>
      <w:r w:rsidRPr="008A2411">
        <w:rPr>
          <w:rFonts w:ascii="Times New Roman"/>
          <w:color w:val="000000" w:themeColor="text1"/>
        </w:rPr>
        <w:t>3</w:t>
      </w:r>
      <w:r w:rsidRPr="008A2411">
        <w:rPr>
          <w:rFonts w:ascii="Times New Roman"/>
          <w:color w:val="000000" w:themeColor="text1"/>
        </w:rPr>
        <w:t>类声环境功能区标准。</w:t>
      </w:r>
      <w:r w:rsidRPr="008A2411">
        <w:rPr>
          <w:rFonts w:ascii="Times New Roman"/>
          <w:color w:val="000000" w:themeColor="text1"/>
          <w:lang w:val="zh-CN"/>
        </w:rPr>
        <w:t>见表</w:t>
      </w:r>
      <w:r w:rsidRPr="008A2411">
        <w:rPr>
          <w:rFonts w:ascii="Times New Roman"/>
          <w:color w:val="000000" w:themeColor="text1"/>
          <w:lang w:val="zh-CN"/>
        </w:rPr>
        <w:t>2.6-</w:t>
      </w:r>
      <w:r w:rsidRPr="008A2411">
        <w:rPr>
          <w:rFonts w:ascii="Times New Roman"/>
          <w:color w:val="000000" w:themeColor="text1"/>
        </w:rPr>
        <w:t>6</w:t>
      </w:r>
      <w:r w:rsidRPr="008A2411">
        <w:rPr>
          <w:rFonts w:ascii="Times New Roman"/>
          <w:color w:val="000000" w:themeColor="text1"/>
          <w:lang w:val="zh-CN"/>
        </w:rPr>
        <w:t>。</w:t>
      </w:r>
    </w:p>
    <w:p w14:paraId="1890E45F" w14:textId="77777777" w:rsidR="00B0005F" w:rsidRPr="008A2411" w:rsidRDefault="00000000">
      <w:pPr>
        <w:autoSpaceDE w:val="0"/>
        <w:autoSpaceDN w:val="0"/>
        <w:adjustRightInd w:val="0"/>
        <w:jc w:val="right"/>
        <w:rPr>
          <w:rFonts w:ascii="Times New Roman" w:eastAsia="黑体"/>
          <w:bCs/>
          <w:color w:val="000000" w:themeColor="text1"/>
          <w:szCs w:val="21"/>
          <w:lang w:val="zh-CN"/>
        </w:rPr>
      </w:pPr>
      <w:r w:rsidRPr="008A2411">
        <w:rPr>
          <w:rFonts w:ascii="Times New Roman" w:eastAsia="黑体"/>
          <w:bCs/>
          <w:color w:val="000000" w:themeColor="text1"/>
          <w:szCs w:val="21"/>
          <w:lang w:val="zh-CN"/>
        </w:rPr>
        <w:t>表</w:t>
      </w:r>
      <w:r w:rsidRPr="008A2411">
        <w:rPr>
          <w:rFonts w:ascii="Times New Roman" w:eastAsia="黑体"/>
          <w:bCs/>
          <w:color w:val="000000" w:themeColor="text1"/>
          <w:szCs w:val="21"/>
          <w:lang w:val="zh-CN"/>
        </w:rPr>
        <w:t>2.6-</w:t>
      </w:r>
      <w:r w:rsidRPr="008A2411">
        <w:rPr>
          <w:rFonts w:ascii="Times New Roman" w:eastAsia="黑体"/>
          <w:bCs/>
          <w:color w:val="000000" w:themeColor="text1"/>
          <w:szCs w:val="21"/>
        </w:rPr>
        <w:t>6</w:t>
      </w:r>
      <w:r w:rsidRPr="008A2411">
        <w:rPr>
          <w:rFonts w:ascii="Times New Roman" w:eastAsia="黑体"/>
          <w:bCs/>
          <w:color w:val="000000" w:themeColor="text1"/>
          <w:szCs w:val="21"/>
          <w:lang w:val="zh-CN"/>
        </w:rPr>
        <w:t xml:space="preserve">  </w:t>
      </w:r>
      <w:r w:rsidRPr="008A2411">
        <w:rPr>
          <w:rFonts w:ascii="Times New Roman" w:eastAsia="黑体"/>
          <w:bCs/>
          <w:color w:val="000000" w:themeColor="text1"/>
          <w:szCs w:val="21"/>
          <w:lang w:val="zh-CN"/>
        </w:rPr>
        <w:t>声环境质量标准（摘录）</w:t>
      </w:r>
      <w:r w:rsidRPr="008A2411">
        <w:rPr>
          <w:rFonts w:ascii="Times New Roman" w:eastAsia="黑体"/>
          <w:bCs/>
          <w:color w:val="000000" w:themeColor="text1"/>
          <w:szCs w:val="21"/>
          <w:lang w:val="zh-CN"/>
        </w:rPr>
        <w:t xml:space="preserve">       </w:t>
      </w:r>
      <w:r w:rsidRPr="008A2411">
        <w:rPr>
          <w:rFonts w:ascii="Times New Roman" w:eastAsia="黑体"/>
          <w:bCs/>
          <w:color w:val="000000" w:themeColor="text1"/>
          <w:szCs w:val="21"/>
          <w:lang w:val="zh-CN"/>
        </w:rPr>
        <w:t>单位：</w:t>
      </w:r>
      <w:r w:rsidRPr="008A2411">
        <w:rPr>
          <w:rFonts w:ascii="Times New Roman" w:eastAsia="黑体"/>
          <w:bCs/>
          <w:color w:val="000000" w:themeColor="text1"/>
          <w:szCs w:val="21"/>
          <w:lang w:val="zh-CN"/>
        </w:rPr>
        <w:t>dB</w:t>
      </w:r>
      <w:r w:rsidRPr="008A2411">
        <w:rPr>
          <w:rFonts w:ascii="Times New Roman" w:eastAsia="黑体"/>
          <w:bCs/>
          <w:color w:val="000000" w:themeColor="text1"/>
          <w:szCs w:val="21"/>
          <w:lang w:val="zh-CN"/>
        </w:rPr>
        <w:t>（</w:t>
      </w:r>
      <w:r w:rsidRPr="008A2411">
        <w:rPr>
          <w:rFonts w:ascii="Times New Roman" w:eastAsia="黑体"/>
          <w:bCs/>
          <w:color w:val="000000" w:themeColor="text1"/>
          <w:szCs w:val="21"/>
          <w:lang w:val="zh-CN"/>
        </w:rPr>
        <w:t>A</w:t>
      </w:r>
      <w:r w:rsidRPr="008A2411">
        <w:rPr>
          <w:rFonts w:ascii="Times New Roman" w:eastAsia="黑体"/>
          <w:bCs/>
          <w:color w:val="000000" w:themeColor="text1"/>
          <w:szCs w:val="21"/>
          <w:lang w:val="zh-CN"/>
        </w:rPr>
        <w:t>）</w:t>
      </w:r>
    </w:p>
    <w:tbl>
      <w:tblPr>
        <w:tblW w:w="4850" w:type="pct"/>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2591"/>
        <w:gridCol w:w="2943"/>
        <w:gridCol w:w="2732"/>
      </w:tblGrid>
      <w:tr w:rsidR="008A2411" w:rsidRPr="008A2411" w14:paraId="37A342F9" w14:textId="77777777">
        <w:trPr>
          <w:trHeight w:val="23"/>
          <w:jc w:val="center"/>
        </w:trPr>
        <w:tc>
          <w:tcPr>
            <w:tcW w:w="2591" w:type="dxa"/>
            <w:vAlign w:val="center"/>
          </w:tcPr>
          <w:p w14:paraId="0995DFDD" w14:textId="77777777" w:rsidR="00B0005F" w:rsidRPr="008A2411" w:rsidRDefault="00000000">
            <w:pPr>
              <w:autoSpaceDE w:val="0"/>
              <w:autoSpaceDN w:val="0"/>
              <w:adjustRightInd w:val="0"/>
              <w:jc w:val="center"/>
              <w:rPr>
                <w:rFonts w:ascii="Times New Roman"/>
                <w:caps/>
                <w:color w:val="000000" w:themeColor="text1"/>
                <w:sz w:val="21"/>
                <w:szCs w:val="21"/>
                <w:lang w:val="zh-CN"/>
              </w:rPr>
            </w:pPr>
            <w:r w:rsidRPr="008A2411">
              <w:rPr>
                <w:rFonts w:ascii="Times New Roman"/>
                <w:caps/>
                <w:color w:val="000000" w:themeColor="text1"/>
                <w:sz w:val="21"/>
                <w:szCs w:val="21"/>
                <w:lang w:val="zh-CN"/>
              </w:rPr>
              <w:t>类别</w:t>
            </w:r>
          </w:p>
        </w:tc>
        <w:tc>
          <w:tcPr>
            <w:tcW w:w="2943" w:type="dxa"/>
            <w:vAlign w:val="center"/>
          </w:tcPr>
          <w:p w14:paraId="55B9E279" w14:textId="77777777" w:rsidR="00B0005F" w:rsidRPr="008A2411" w:rsidRDefault="00000000">
            <w:pPr>
              <w:autoSpaceDE w:val="0"/>
              <w:autoSpaceDN w:val="0"/>
              <w:adjustRightInd w:val="0"/>
              <w:jc w:val="center"/>
              <w:rPr>
                <w:rFonts w:ascii="Times New Roman"/>
                <w:caps/>
                <w:color w:val="000000" w:themeColor="text1"/>
                <w:sz w:val="21"/>
                <w:szCs w:val="21"/>
                <w:lang w:val="zh-CN"/>
              </w:rPr>
            </w:pPr>
            <w:r w:rsidRPr="008A2411">
              <w:rPr>
                <w:rFonts w:ascii="Times New Roman"/>
                <w:caps/>
                <w:color w:val="000000" w:themeColor="text1"/>
                <w:sz w:val="21"/>
                <w:szCs w:val="21"/>
                <w:lang w:val="zh-CN"/>
              </w:rPr>
              <w:t>昼间</w:t>
            </w:r>
          </w:p>
        </w:tc>
        <w:tc>
          <w:tcPr>
            <w:tcW w:w="2732" w:type="dxa"/>
            <w:vAlign w:val="center"/>
          </w:tcPr>
          <w:p w14:paraId="573216D8" w14:textId="77777777" w:rsidR="00B0005F" w:rsidRPr="008A2411" w:rsidRDefault="00000000">
            <w:pPr>
              <w:autoSpaceDE w:val="0"/>
              <w:autoSpaceDN w:val="0"/>
              <w:adjustRightInd w:val="0"/>
              <w:jc w:val="center"/>
              <w:rPr>
                <w:rFonts w:ascii="Times New Roman"/>
                <w:caps/>
                <w:color w:val="000000" w:themeColor="text1"/>
                <w:sz w:val="21"/>
                <w:szCs w:val="21"/>
                <w:lang w:val="zh-CN"/>
              </w:rPr>
            </w:pPr>
            <w:r w:rsidRPr="008A2411">
              <w:rPr>
                <w:rFonts w:ascii="Times New Roman"/>
                <w:caps/>
                <w:color w:val="000000" w:themeColor="text1"/>
                <w:sz w:val="21"/>
                <w:szCs w:val="21"/>
                <w:lang w:val="zh-CN"/>
              </w:rPr>
              <w:t>夜间</w:t>
            </w:r>
          </w:p>
        </w:tc>
      </w:tr>
      <w:tr w:rsidR="008A2411" w:rsidRPr="008A2411" w14:paraId="70FB9B8D" w14:textId="77777777">
        <w:trPr>
          <w:trHeight w:val="23"/>
          <w:jc w:val="center"/>
        </w:trPr>
        <w:tc>
          <w:tcPr>
            <w:tcW w:w="2591" w:type="dxa"/>
            <w:vAlign w:val="center"/>
          </w:tcPr>
          <w:p w14:paraId="0D4D1085" w14:textId="77777777" w:rsidR="00B0005F" w:rsidRPr="008A2411" w:rsidRDefault="00000000">
            <w:pPr>
              <w:autoSpaceDE w:val="0"/>
              <w:autoSpaceDN w:val="0"/>
              <w:adjustRightInd w:val="0"/>
              <w:jc w:val="center"/>
              <w:rPr>
                <w:rFonts w:ascii="Times New Roman"/>
                <w:color w:val="000000" w:themeColor="text1"/>
                <w:sz w:val="21"/>
                <w:szCs w:val="21"/>
                <w:lang w:val="zh-CN"/>
              </w:rPr>
            </w:pPr>
            <w:r w:rsidRPr="008A2411">
              <w:rPr>
                <w:rFonts w:ascii="Times New Roman"/>
                <w:color w:val="000000" w:themeColor="text1"/>
                <w:sz w:val="21"/>
                <w:szCs w:val="21"/>
              </w:rPr>
              <w:t>3</w:t>
            </w:r>
          </w:p>
        </w:tc>
        <w:tc>
          <w:tcPr>
            <w:tcW w:w="2943" w:type="dxa"/>
            <w:vAlign w:val="center"/>
          </w:tcPr>
          <w:p w14:paraId="607F6B6C" w14:textId="77777777" w:rsidR="00B0005F" w:rsidRPr="008A2411" w:rsidRDefault="00000000">
            <w:pPr>
              <w:autoSpaceDE w:val="0"/>
              <w:autoSpaceDN w:val="0"/>
              <w:adjustRightInd w:val="0"/>
              <w:jc w:val="center"/>
              <w:rPr>
                <w:rFonts w:ascii="Times New Roman"/>
                <w:color w:val="000000" w:themeColor="text1"/>
                <w:sz w:val="21"/>
                <w:szCs w:val="21"/>
              </w:rPr>
            </w:pPr>
            <w:r w:rsidRPr="008A2411">
              <w:rPr>
                <w:rFonts w:ascii="Times New Roman"/>
                <w:color w:val="000000" w:themeColor="text1"/>
                <w:sz w:val="21"/>
                <w:szCs w:val="21"/>
              </w:rPr>
              <w:t>65</w:t>
            </w:r>
          </w:p>
        </w:tc>
        <w:tc>
          <w:tcPr>
            <w:tcW w:w="2732" w:type="dxa"/>
            <w:vAlign w:val="center"/>
          </w:tcPr>
          <w:p w14:paraId="1348F56A" w14:textId="77777777" w:rsidR="00B0005F" w:rsidRPr="008A2411" w:rsidRDefault="00000000">
            <w:pPr>
              <w:autoSpaceDE w:val="0"/>
              <w:autoSpaceDN w:val="0"/>
              <w:adjustRightInd w:val="0"/>
              <w:jc w:val="center"/>
              <w:rPr>
                <w:rFonts w:ascii="Times New Roman"/>
                <w:color w:val="000000" w:themeColor="text1"/>
                <w:sz w:val="21"/>
                <w:szCs w:val="21"/>
              </w:rPr>
            </w:pPr>
            <w:r w:rsidRPr="008A2411">
              <w:rPr>
                <w:rFonts w:ascii="Times New Roman"/>
                <w:color w:val="000000" w:themeColor="text1"/>
                <w:sz w:val="21"/>
                <w:szCs w:val="21"/>
              </w:rPr>
              <w:t>55</w:t>
            </w:r>
          </w:p>
        </w:tc>
      </w:tr>
    </w:tbl>
    <w:p w14:paraId="7F8B6B54" w14:textId="77777777" w:rsidR="00B0005F" w:rsidRPr="008A2411" w:rsidRDefault="00000000">
      <w:pPr>
        <w:spacing w:line="360" w:lineRule="auto"/>
        <w:ind w:firstLineChars="200" w:firstLine="482"/>
        <w:rPr>
          <w:rFonts w:ascii="Times New Roman"/>
          <w:b/>
          <w:bCs/>
          <w:color w:val="000000" w:themeColor="text1"/>
        </w:rPr>
      </w:pPr>
      <w:bookmarkStart w:id="71" w:name="_Toc277182635"/>
      <w:bookmarkStart w:id="72" w:name="_Toc289800091"/>
      <w:bookmarkStart w:id="73" w:name="_Toc277180520"/>
      <w:bookmarkStart w:id="74" w:name="_Toc247364549"/>
      <w:bookmarkStart w:id="75" w:name="_Toc277230982"/>
      <w:bookmarkStart w:id="76" w:name="_Toc274573391"/>
      <w:bookmarkStart w:id="77" w:name="_Toc277230813"/>
      <w:bookmarkStart w:id="78" w:name="_Toc277775246"/>
      <w:bookmarkStart w:id="79" w:name="_Toc277231151"/>
      <w:r w:rsidRPr="008A2411">
        <w:rPr>
          <w:rFonts w:ascii="Times New Roman"/>
          <w:b/>
          <w:bCs/>
          <w:color w:val="000000" w:themeColor="text1"/>
        </w:rPr>
        <w:t>（</w:t>
      </w:r>
      <w:r w:rsidRPr="008A2411">
        <w:rPr>
          <w:rFonts w:ascii="Times New Roman"/>
          <w:b/>
          <w:bCs/>
          <w:color w:val="000000" w:themeColor="text1"/>
        </w:rPr>
        <w:t>5</w:t>
      </w:r>
      <w:r w:rsidRPr="008A2411">
        <w:rPr>
          <w:rFonts w:ascii="Times New Roman"/>
          <w:b/>
          <w:bCs/>
          <w:color w:val="000000" w:themeColor="text1"/>
        </w:rPr>
        <w:t>）土壤</w:t>
      </w:r>
    </w:p>
    <w:bookmarkEnd w:id="71"/>
    <w:bookmarkEnd w:id="72"/>
    <w:bookmarkEnd w:id="73"/>
    <w:bookmarkEnd w:id="74"/>
    <w:bookmarkEnd w:id="75"/>
    <w:bookmarkEnd w:id="76"/>
    <w:bookmarkEnd w:id="77"/>
    <w:bookmarkEnd w:id="78"/>
    <w:bookmarkEnd w:id="79"/>
    <w:p w14:paraId="22A16024" w14:textId="77777777" w:rsidR="00B0005F" w:rsidRPr="008A2411" w:rsidRDefault="00000000">
      <w:pPr>
        <w:pStyle w:val="a9"/>
        <w:spacing w:line="360" w:lineRule="auto"/>
        <w:ind w:firstLine="560"/>
        <w:rPr>
          <w:rFonts w:ascii="Times New Roman"/>
          <w:color w:val="000000" w:themeColor="text1"/>
          <w:kern w:val="0"/>
          <w:sz w:val="24"/>
        </w:rPr>
      </w:pPr>
      <w:r w:rsidRPr="008A2411">
        <w:rPr>
          <w:rFonts w:ascii="Times New Roman"/>
          <w:color w:val="000000" w:themeColor="text1"/>
          <w:kern w:val="0"/>
          <w:sz w:val="24"/>
        </w:rPr>
        <w:t>厂区土壤质量执行《土壤环境质量</w:t>
      </w:r>
      <w:r w:rsidRPr="008A2411">
        <w:rPr>
          <w:rFonts w:ascii="Times New Roman"/>
          <w:color w:val="000000" w:themeColor="text1"/>
          <w:kern w:val="0"/>
          <w:sz w:val="24"/>
        </w:rPr>
        <w:t xml:space="preserve"> </w:t>
      </w:r>
      <w:r w:rsidRPr="008A2411">
        <w:rPr>
          <w:rFonts w:ascii="Times New Roman"/>
          <w:color w:val="000000" w:themeColor="text1"/>
          <w:kern w:val="0"/>
          <w:sz w:val="24"/>
        </w:rPr>
        <w:t>建设用地土壤污染风险管控标准》（试行）（</w:t>
      </w:r>
      <w:r w:rsidRPr="008A2411">
        <w:rPr>
          <w:rFonts w:ascii="Times New Roman"/>
          <w:color w:val="000000" w:themeColor="text1"/>
          <w:kern w:val="0"/>
          <w:sz w:val="24"/>
        </w:rPr>
        <w:t>GB36600—2018</w:t>
      </w:r>
      <w:r w:rsidRPr="008A2411">
        <w:rPr>
          <w:rFonts w:ascii="Times New Roman"/>
          <w:color w:val="000000" w:themeColor="text1"/>
          <w:kern w:val="0"/>
          <w:sz w:val="24"/>
        </w:rPr>
        <w:t>）第二类用地标准，见表</w:t>
      </w:r>
      <w:r w:rsidRPr="008A2411">
        <w:rPr>
          <w:rFonts w:ascii="Times New Roman"/>
          <w:color w:val="000000" w:themeColor="text1"/>
          <w:kern w:val="0"/>
          <w:sz w:val="24"/>
        </w:rPr>
        <w:t>2.6-7</w:t>
      </w:r>
      <w:r w:rsidRPr="008A2411">
        <w:rPr>
          <w:rFonts w:ascii="Times New Roman"/>
          <w:color w:val="000000" w:themeColor="text1"/>
          <w:kern w:val="0"/>
          <w:sz w:val="24"/>
        </w:rPr>
        <w:t>。</w:t>
      </w:r>
    </w:p>
    <w:p w14:paraId="23F20AD7" w14:textId="77777777" w:rsidR="00B0005F" w:rsidRPr="008A2411" w:rsidRDefault="00000000">
      <w:pPr>
        <w:autoSpaceDE w:val="0"/>
        <w:autoSpaceDN w:val="0"/>
        <w:adjustRightInd w:val="0"/>
        <w:jc w:val="center"/>
        <w:rPr>
          <w:rFonts w:ascii="Times New Roman" w:eastAsia="黑体"/>
          <w:bCs/>
          <w:color w:val="000000" w:themeColor="text1"/>
          <w:szCs w:val="21"/>
          <w:lang w:val="zh-CN"/>
        </w:rPr>
      </w:pPr>
      <w:r w:rsidRPr="008A2411">
        <w:rPr>
          <w:rFonts w:ascii="Times New Roman" w:eastAsia="黑体"/>
          <w:bCs/>
          <w:color w:val="000000" w:themeColor="text1"/>
          <w:szCs w:val="21"/>
          <w:lang w:val="zh-CN"/>
        </w:rPr>
        <w:t>表</w:t>
      </w:r>
      <w:r w:rsidRPr="008A2411">
        <w:rPr>
          <w:rFonts w:ascii="Times New Roman" w:eastAsia="黑体"/>
          <w:bCs/>
          <w:color w:val="000000" w:themeColor="text1"/>
          <w:szCs w:val="21"/>
          <w:lang w:val="zh-CN"/>
        </w:rPr>
        <w:t xml:space="preserve">2.6-7 </w:t>
      </w:r>
      <w:r w:rsidRPr="008A2411">
        <w:rPr>
          <w:rFonts w:ascii="Times New Roman" w:eastAsia="黑体"/>
          <w:bCs/>
          <w:color w:val="000000" w:themeColor="text1"/>
          <w:szCs w:val="21"/>
          <w:lang w:val="zh-CN"/>
        </w:rPr>
        <w:t>《土壤环境质量</w:t>
      </w:r>
      <w:r w:rsidRPr="008A2411">
        <w:rPr>
          <w:rFonts w:ascii="Times New Roman" w:eastAsia="黑体"/>
          <w:bCs/>
          <w:color w:val="000000" w:themeColor="text1"/>
          <w:szCs w:val="21"/>
          <w:lang w:val="zh-CN"/>
        </w:rPr>
        <w:t xml:space="preserve"> </w:t>
      </w:r>
      <w:r w:rsidRPr="008A2411">
        <w:rPr>
          <w:rFonts w:ascii="Times New Roman" w:eastAsia="黑体"/>
          <w:bCs/>
          <w:color w:val="000000" w:themeColor="text1"/>
          <w:szCs w:val="21"/>
          <w:lang w:val="zh-CN"/>
        </w:rPr>
        <w:t>建设用地土壤污染风险管控标准》（试行）</w:t>
      </w:r>
      <w:r w:rsidRPr="008A2411">
        <w:rPr>
          <w:rFonts w:ascii="Times New Roman" w:eastAsia="黑体"/>
          <w:bCs/>
          <w:color w:val="000000" w:themeColor="text1"/>
          <w:szCs w:val="21"/>
        </w:rPr>
        <w:t xml:space="preserve"> </w:t>
      </w:r>
      <w:r w:rsidRPr="008A2411">
        <w:rPr>
          <w:rFonts w:ascii="Times New Roman" w:eastAsia="黑体"/>
          <w:bCs/>
          <w:color w:val="000000" w:themeColor="text1"/>
          <w:szCs w:val="21"/>
        </w:rPr>
        <w:t>单位：</w:t>
      </w:r>
      <w:r w:rsidRPr="008A2411">
        <w:rPr>
          <w:rFonts w:ascii="Times New Roman" w:eastAsia="黑体"/>
          <w:bCs/>
          <w:color w:val="000000" w:themeColor="text1"/>
          <w:szCs w:val="21"/>
          <w:lang w:val="zh-CN"/>
        </w:rPr>
        <w:t>mg/kg</w:t>
      </w:r>
    </w:p>
    <w:tbl>
      <w:tblPr>
        <w:tblW w:w="8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3"/>
        <w:gridCol w:w="1800"/>
        <w:gridCol w:w="1729"/>
        <w:gridCol w:w="1189"/>
        <w:gridCol w:w="1191"/>
        <w:gridCol w:w="1189"/>
        <w:gridCol w:w="1187"/>
      </w:tblGrid>
      <w:tr w:rsidR="008A2411" w:rsidRPr="008A2411" w14:paraId="61F4D3CC" w14:textId="77777777">
        <w:trPr>
          <w:trHeight w:val="421"/>
        </w:trPr>
        <w:tc>
          <w:tcPr>
            <w:tcW w:w="573" w:type="dxa"/>
            <w:vMerge w:val="restart"/>
            <w:tcBorders>
              <w:top w:val="single" w:sz="4" w:space="0" w:color="auto"/>
              <w:left w:val="single" w:sz="4" w:space="0" w:color="auto"/>
              <w:bottom w:val="single" w:sz="4" w:space="0" w:color="auto"/>
              <w:right w:val="single" w:sz="4" w:space="0" w:color="auto"/>
            </w:tcBorders>
            <w:vAlign w:val="center"/>
          </w:tcPr>
          <w:p w14:paraId="179691B4" w14:textId="77777777" w:rsidR="00B0005F" w:rsidRPr="008A2411" w:rsidRDefault="00000000">
            <w:pPr>
              <w:pStyle w:val="a9"/>
              <w:adjustRightInd w:val="0"/>
              <w:snapToGrid w:val="0"/>
              <w:spacing w:after="0"/>
              <w:contextualSpacing/>
              <w:jc w:val="center"/>
              <w:rPr>
                <w:rFonts w:ascii="Times New Roman"/>
                <w:b/>
                <w:color w:val="000000" w:themeColor="text1"/>
                <w:szCs w:val="21"/>
              </w:rPr>
            </w:pPr>
            <w:r w:rsidRPr="008A2411">
              <w:rPr>
                <w:rFonts w:ascii="Times New Roman"/>
                <w:b/>
                <w:color w:val="000000" w:themeColor="text1"/>
                <w:szCs w:val="21"/>
              </w:rPr>
              <w:t>序</w:t>
            </w:r>
            <w:r w:rsidRPr="008A2411">
              <w:rPr>
                <w:rFonts w:ascii="Times New Roman"/>
                <w:b/>
                <w:color w:val="000000" w:themeColor="text1"/>
                <w:szCs w:val="21"/>
              </w:rPr>
              <w:lastRenderedPageBreak/>
              <w:t>号</w:t>
            </w:r>
          </w:p>
        </w:tc>
        <w:tc>
          <w:tcPr>
            <w:tcW w:w="1800" w:type="dxa"/>
            <w:vMerge w:val="restart"/>
            <w:tcBorders>
              <w:top w:val="single" w:sz="4" w:space="0" w:color="auto"/>
              <w:left w:val="nil"/>
              <w:bottom w:val="single" w:sz="4" w:space="0" w:color="auto"/>
              <w:right w:val="single" w:sz="4" w:space="0" w:color="auto"/>
            </w:tcBorders>
            <w:vAlign w:val="center"/>
          </w:tcPr>
          <w:p w14:paraId="066077B1" w14:textId="77777777" w:rsidR="00B0005F" w:rsidRPr="008A2411" w:rsidRDefault="00000000">
            <w:pPr>
              <w:pStyle w:val="a9"/>
              <w:adjustRightInd w:val="0"/>
              <w:snapToGrid w:val="0"/>
              <w:spacing w:after="0"/>
              <w:contextualSpacing/>
              <w:jc w:val="center"/>
              <w:rPr>
                <w:rFonts w:ascii="Times New Roman"/>
                <w:b/>
                <w:color w:val="000000" w:themeColor="text1"/>
                <w:szCs w:val="21"/>
              </w:rPr>
            </w:pPr>
            <w:r w:rsidRPr="008A2411">
              <w:rPr>
                <w:rFonts w:ascii="Times New Roman"/>
                <w:b/>
                <w:color w:val="000000" w:themeColor="text1"/>
                <w:szCs w:val="21"/>
              </w:rPr>
              <w:lastRenderedPageBreak/>
              <w:t>污染物项目</w:t>
            </w:r>
          </w:p>
        </w:tc>
        <w:tc>
          <w:tcPr>
            <w:tcW w:w="1729" w:type="dxa"/>
            <w:vMerge w:val="restart"/>
            <w:tcBorders>
              <w:top w:val="single" w:sz="4" w:space="0" w:color="auto"/>
              <w:left w:val="nil"/>
              <w:bottom w:val="single" w:sz="4" w:space="0" w:color="auto"/>
              <w:right w:val="single" w:sz="4" w:space="0" w:color="auto"/>
            </w:tcBorders>
            <w:vAlign w:val="center"/>
          </w:tcPr>
          <w:p w14:paraId="3DDC77D9" w14:textId="77777777" w:rsidR="00B0005F" w:rsidRPr="008A2411" w:rsidRDefault="00000000">
            <w:pPr>
              <w:pStyle w:val="a9"/>
              <w:adjustRightInd w:val="0"/>
              <w:snapToGrid w:val="0"/>
              <w:spacing w:after="0"/>
              <w:contextualSpacing/>
              <w:jc w:val="center"/>
              <w:rPr>
                <w:rFonts w:ascii="Times New Roman"/>
                <w:b/>
                <w:color w:val="000000" w:themeColor="text1"/>
                <w:szCs w:val="21"/>
              </w:rPr>
            </w:pPr>
            <w:r w:rsidRPr="008A2411">
              <w:rPr>
                <w:rFonts w:ascii="Times New Roman"/>
                <w:b/>
                <w:color w:val="000000" w:themeColor="text1"/>
                <w:szCs w:val="21"/>
              </w:rPr>
              <w:t>CAS</w:t>
            </w:r>
            <w:r w:rsidRPr="008A2411">
              <w:rPr>
                <w:rFonts w:ascii="Times New Roman"/>
                <w:b/>
                <w:color w:val="000000" w:themeColor="text1"/>
                <w:szCs w:val="21"/>
              </w:rPr>
              <w:t>编号</w:t>
            </w:r>
          </w:p>
        </w:tc>
        <w:tc>
          <w:tcPr>
            <w:tcW w:w="2380" w:type="dxa"/>
            <w:gridSpan w:val="2"/>
            <w:tcBorders>
              <w:top w:val="single" w:sz="4" w:space="0" w:color="auto"/>
              <w:left w:val="nil"/>
              <w:bottom w:val="single" w:sz="4" w:space="0" w:color="auto"/>
              <w:right w:val="single" w:sz="4" w:space="0" w:color="auto"/>
            </w:tcBorders>
            <w:vAlign w:val="center"/>
          </w:tcPr>
          <w:p w14:paraId="4DEEA2A9" w14:textId="77777777" w:rsidR="00B0005F" w:rsidRPr="008A2411" w:rsidRDefault="00000000">
            <w:pPr>
              <w:pStyle w:val="a9"/>
              <w:adjustRightInd w:val="0"/>
              <w:snapToGrid w:val="0"/>
              <w:spacing w:after="0"/>
              <w:contextualSpacing/>
              <w:jc w:val="center"/>
              <w:rPr>
                <w:rFonts w:ascii="Times New Roman"/>
                <w:b/>
                <w:color w:val="000000" w:themeColor="text1"/>
                <w:szCs w:val="21"/>
              </w:rPr>
            </w:pPr>
            <w:r w:rsidRPr="008A2411">
              <w:rPr>
                <w:rFonts w:ascii="Times New Roman"/>
                <w:b/>
                <w:color w:val="000000" w:themeColor="text1"/>
                <w:szCs w:val="21"/>
              </w:rPr>
              <w:t>筛选值</w:t>
            </w:r>
          </w:p>
        </w:tc>
        <w:tc>
          <w:tcPr>
            <w:tcW w:w="2376" w:type="dxa"/>
            <w:gridSpan w:val="2"/>
            <w:tcBorders>
              <w:top w:val="single" w:sz="4" w:space="0" w:color="auto"/>
              <w:left w:val="nil"/>
              <w:bottom w:val="single" w:sz="4" w:space="0" w:color="auto"/>
              <w:right w:val="single" w:sz="4" w:space="0" w:color="auto"/>
            </w:tcBorders>
            <w:vAlign w:val="center"/>
          </w:tcPr>
          <w:p w14:paraId="56E31DA3" w14:textId="77777777" w:rsidR="00B0005F" w:rsidRPr="008A2411" w:rsidRDefault="00000000">
            <w:pPr>
              <w:pStyle w:val="a9"/>
              <w:adjustRightInd w:val="0"/>
              <w:snapToGrid w:val="0"/>
              <w:spacing w:after="0"/>
              <w:contextualSpacing/>
              <w:jc w:val="center"/>
              <w:rPr>
                <w:rFonts w:ascii="Times New Roman"/>
                <w:b/>
                <w:color w:val="000000" w:themeColor="text1"/>
                <w:szCs w:val="21"/>
              </w:rPr>
            </w:pPr>
            <w:r w:rsidRPr="008A2411">
              <w:rPr>
                <w:rFonts w:ascii="Times New Roman"/>
                <w:b/>
                <w:color w:val="000000" w:themeColor="text1"/>
                <w:szCs w:val="21"/>
              </w:rPr>
              <w:t>管制值</w:t>
            </w:r>
          </w:p>
        </w:tc>
      </w:tr>
      <w:tr w:rsidR="008A2411" w:rsidRPr="008A2411" w14:paraId="61932F10" w14:textId="77777777">
        <w:trPr>
          <w:trHeight w:val="717"/>
        </w:trPr>
        <w:tc>
          <w:tcPr>
            <w:tcW w:w="573" w:type="dxa"/>
            <w:vMerge/>
            <w:tcBorders>
              <w:top w:val="single" w:sz="4" w:space="0" w:color="auto"/>
              <w:left w:val="single" w:sz="4" w:space="0" w:color="auto"/>
              <w:bottom w:val="single" w:sz="4" w:space="0" w:color="auto"/>
              <w:right w:val="single" w:sz="4" w:space="0" w:color="auto"/>
            </w:tcBorders>
            <w:vAlign w:val="center"/>
          </w:tcPr>
          <w:p w14:paraId="086E344C" w14:textId="77777777" w:rsidR="00B0005F" w:rsidRPr="008A2411" w:rsidRDefault="00B0005F">
            <w:pPr>
              <w:widowControl/>
              <w:adjustRightInd w:val="0"/>
              <w:snapToGrid w:val="0"/>
              <w:contextualSpacing/>
              <w:jc w:val="center"/>
              <w:rPr>
                <w:rFonts w:ascii="Times New Roman"/>
                <w:b/>
                <w:color w:val="000000" w:themeColor="text1"/>
                <w:szCs w:val="21"/>
              </w:rPr>
            </w:pPr>
          </w:p>
        </w:tc>
        <w:tc>
          <w:tcPr>
            <w:tcW w:w="1800" w:type="dxa"/>
            <w:vMerge/>
            <w:tcBorders>
              <w:top w:val="single" w:sz="4" w:space="0" w:color="auto"/>
              <w:left w:val="nil"/>
              <w:bottom w:val="single" w:sz="4" w:space="0" w:color="auto"/>
              <w:right w:val="single" w:sz="4" w:space="0" w:color="auto"/>
            </w:tcBorders>
            <w:vAlign w:val="center"/>
          </w:tcPr>
          <w:p w14:paraId="06D8EC67" w14:textId="77777777" w:rsidR="00B0005F" w:rsidRPr="008A2411" w:rsidRDefault="00B0005F">
            <w:pPr>
              <w:widowControl/>
              <w:adjustRightInd w:val="0"/>
              <w:snapToGrid w:val="0"/>
              <w:contextualSpacing/>
              <w:jc w:val="center"/>
              <w:rPr>
                <w:rFonts w:ascii="Times New Roman"/>
                <w:b/>
                <w:color w:val="000000" w:themeColor="text1"/>
                <w:szCs w:val="21"/>
              </w:rPr>
            </w:pPr>
          </w:p>
        </w:tc>
        <w:tc>
          <w:tcPr>
            <w:tcW w:w="1729" w:type="dxa"/>
            <w:vMerge/>
            <w:tcBorders>
              <w:top w:val="single" w:sz="4" w:space="0" w:color="auto"/>
              <w:left w:val="nil"/>
              <w:bottom w:val="single" w:sz="4" w:space="0" w:color="auto"/>
              <w:right w:val="single" w:sz="4" w:space="0" w:color="auto"/>
            </w:tcBorders>
            <w:vAlign w:val="center"/>
          </w:tcPr>
          <w:p w14:paraId="4AF1E603" w14:textId="77777777" w:rsidR="00B0005F" w:rsidRPr="008A2411" w:rsidRDefault="00B0005F">
            <w:pPr>
              <w:widowControl/>
              <w:adjustRightInd w:val="0"/>
              <w:snapToGrid w:val="0"/>
              <w:contextualSpacing/>
              <w:jc w:val="center"/>
              <w:rPr>
                <w:rFonts w:ascii="Times New Roman"/>
                <w:b/>
                <w:color w:val="000000" w:themeColor="text1"/>
                <w:szCs w:val="21"/>
              </w:rPr>
            </w:pPr>
          </w:p>
        </w:tc>
        <w:tc>
          <w:tcPr>
            <w:tcW w:w="1189" w:type="dxa"/>
            <w:tcBorders>
              <w:top w:val="single" w:sz="4" w:space="0" w:color="auto"/>
              <w:left w:val="nil"/>
              <w:bottom w:val="single" w:sz="4" w:space="0" w:color="auto"/>
              <w:right w:val="single" w:sz="4" w:space="0" w:color="auto"/>
            </w:tcBorders>
            <w:vAlign w:val="center"/>
          </w:tcPr>
          <w:p w14:paraId="3D11DC94" w14:textId="77777777" w:rsidR="00B0005F" w:rsidRPr="008A2411" w:rsidRDefault="00000000">
            <w:pPr>
              <w:pStyle w:val="a9"/>
              <w:adjustRightInd w:val="0"/>
              <w:snapToGrid w:val="0"/>
              <w:spacing w:after="0"/>
              <w:contextualSpacing/>
              <w:jc w:val="center"/>
              <w:rPr>
                <w:rFonts w:ascii="Times New Roman"/>
                <w:b/>
                <w:color w:val="000000" w:themeColor="text1"/>
                <w:szCs w:val="21"/>
              </w:rPr>
            </w:pPr>
            <w:r w:rsidRPr="008A2411">
              <w:rPr>
                <w:rFonts w:ascii="Times New Roman"/>
                <w:b/>
                <w:color w:val="000000" w:themeColor="text1"/>
                <w:szCs w:val="21"/>
              </w:rPr>
              <w:t>第一类用地</w:t>
            </w:r>
          </w:p>
        </w:tc>
        <w:tc>
          <w:tcPr>
            <w:tcW w:w="1191" w:type="dxa"/>
            <w:tcBorders>
              <w:top w:val="single" w:sz="4" w:space="0" w:color="auto"/>
              <w:left w:val="nil"/>
              <w:bottom w:val="single" w:sz="4" w:space="0" w:color="auto"/>
              <w:right w:val="single" w:sz="4" w:space="0" w:color="auto"/>
            </w:tcBorders>
            <w:vAlign w:val="center"/>
          </w:tcPr>
          <w:p w14:paraId="7147EB49" w14:textId="77777777" w:rsidR="00B0005F" w:rsidRPr="008A2411" w:rsidRDefault="00000000">
            <w:pPr>
              <w:pStyle w:val="a9"/>
              <w:adjustRightInd w:val="0"/>
              <w:snapToGrid w:val="0"/>
              <w:spacing w:after="0"/>
              <w:contextualSpacing/>
              <w:jc w:val="center"/>
              <w:rPr>
                <w:rFonts w:ascii="Times New Roman"/>
                <w:b/>
                <w:color w:val="000000" w:themeColor="text1"/>
                <w:szCs w:val="21"/>
              </w:rPr>
            </w:pPr>
            <w:r w:rsidRPr="008A2411">
              <w:rPr>
                <w:rFonts w:ascii="Times New Roman"/>
                <w:b/>
                <w:color w:val="000000" w:themeColor="text1"/>
                <w:szCs w:val="21"/>
              </w:rPr>
              <w:t>第二类用地</w:t>
            </w:r>
          </w:p>
        </w:tc>
        <w:tc>
          <w:tcPr>
            <w:tcW w:w="1189" w:type="dxa"/>
            <w:tcBorders>
              <w:top w:val="single" w:sz="4" w:space="0" w:color="auto"/>
              <w:left w:val="nil"/>
              <w:bottom w:val="single" w:sz="4" w:space="0" w:color="auto"/>
              <w:right w:val="single" w:sz="4" w:space="0" w:color="auto"/>
            </w:tcBorders>
            <w:vAlign w:val="center"/>
          </w:tcPr>
          <w:p w14:paraId="6F1A4155" w14:textId="77777777" w:rsidR="00B0005F" w:rsidRPr="008A2411" w:rsidRDefault="00000000">
            <w:pPr>
              <w:pStyle w:val="a9"/>
              <w:adjustRightInd w:val="0"/>
              <w:snapToGrid w:val="0"/>
              <w:spacing w:after="0"/>
              <w:contextualSpacing/>
              <w:jc w:val="center"/>
              <w:rPr>
                <w:rFonts w:ascii="Times New Roman"/>
                <w:b/>
                <w:color w:val="000000" w:themeColor="text1"/>
                <w:szCs w:val="21"/>
              </w:rPr>
            </w:pPr>
            <w:r w:rsidRPr="008A2411">
              <w:rPr>
                <w:rFonts w:ascii="Times New Roman"/>
                <w:b/>
                <w:color w:val="000000" w:themeColor="text1"/>
                <w:szCs w:val="21"/>
              </w:rPr>
              <w:t>第一类用地</w:t>
            </w:r>
          </w:p>
        </w:tc>
        <w:tc>
          <w:tcPr>
            <w:tcW w:w="1187" w:type="dxa"/>
            <w:tcBorders>
              <w:top w:val="single" w:sz="4" w:space="0" w:color="auto"/>
              <w:left w:val="nil"/>
              <w:bottom w:val="single" w:sz="4" w:space="0" w:color="auto"/>
              <w:right w:val="single" w:sz="4" w:space="0" w:color="auto"/>
            </w:tcBorders>
            <w:vAlign w:val="center"/>
          </w:tcPr>
          <w:p w14:paraId="5D4956C8" w14:textId="77777777" w:rsidR="00B0005F" w:rsidRPr="008A2411" w:rsidRDefault="00000000">
            <w:pPr>
              <w:pStyle w:val="a9"/>
              <w:adjustRightInd w:val="0"/>
              <w:snapToGrid w:val="0"/>
              <w:spacing w:after="0"/>
              <w:contextualSpacing/>
              <w:jc w:val="center"/>
              <w:rPr>
                <w:rFonts w:ascii="Times New Roman"/>
                <w:b/>
                <w:color w:val="000000" w:themeColor="text1"/>
                <w:szCs w:val="21"/>
              </w:rPr>
            </w:pPr>
            <w:r w:rsidRPr="008A2411">
              <w:rPr>
                <w:rFonts w:ascii="Times New Roman"/>
                <w:b/>
                <w:color w:val="000000" w:themeColor="text1"/>
                <w:szCs w:val="21"/>
              </w:rPr>
              <w:t>第二类用地</w:t>
            </w:r>
          </w:p>
        </w:tc>
      </w:tr>
      <w:tr w:rsidR="008A2411" w:rsidRPr="008A2411" w14:paraId="0F7406FC" w14:textId="77777777">
        <w:trPr>
          <w:trHeight w:val="421"/>
        </w:trPr>
        <w:tc>
          <w:tcPr>
            <w:tcW w:w="8858" w:type="dxa"/>
            <w:gridSpan w:val="7"/>
            <w:tcBorders>
              <w:top w:val="single" w:sz="4" w:space="0" w:color="auto"/>
              <w:left w:val="single" w:sz="4" w:space="0" w:color="auto"/>
              <w:bottom w:val="single" w:sz="4" w:space="0" w:color="auto"/>
              <w:right w:val="single" w:sz="4" w:space="0" w:color="auto"/>
            </w:tcBorders>
            <w:vAlign w:val="center"/>
          </w:tcPr>
          <w:p w14:paraId="6681750B"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重金属和无机物</w:t>
            </w:r>
          </w:p>
        </w:tc>
      </w:tr>
      <w:tr w:rsidR="008A2411" w:rsidRPr="008A2411" w14:paraId="5141B956" w14:textId="77777777">
        <w:trPr>
          <w:trHeight w:val="421"/>
        </w:trPr>
        <w:tc>
          <w:tcPr>
            <w:tcW w:w="573" w:type="dxa"/>
            <w:tcBorders>
              <w:top w:val="single" w:sz="4" w:space="0" w:color="auto"/>
              <w:left w:val="single" w:sz="4" w:space="0" w:color="auto"/>
              <w:bottom w:val="single" w:sz="4" w:space="0" w:color="auto"/>
              <w:right w:val="single" w:sz="4" w:space="0" w:color="auto"/>
            </w:tcBorders>
            <w:vAlign w:val="center"/>
          </w:tcPr>
          <w:p w14:paraId="713C98CE"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w:t>
            </w:r>
          </w:p>
        </w:tc>
        <w:tc>
          <w:tcPr>
            <w:tcW w:w="1800" w:type="dxa"/>
            <w:tcBorders>
              <w:top w:val="single" w:sz="4" w:space="0" w:color="auto"/>
              <w:left w:val="nil"/>
              <w:bottom w:val="single" w:sz="4" w:space="0" w:color="auto"/>
              <w:right w:val="single" w:sz="4" w:space="0" w:color="auto"/>
            </w:tcBorders>
            <w:vAlign w:val="center"/>
          </w:tcPr>
          <w:p w14:paraId="3CBF1DEF"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砷</w:t>
            </w:r>
          </w:p>
        </w:tc>
        <w:tc>
          <w:tcPr>
            <w:tcW w:w="1729" w:type="dxa"/>
            <w:tcBorders>
              <w:top w:val="single" w:sz="4" w:space="0" w:color="auto"/>
              <w:left w:val="nil"/>
              <w:bottom w:val="single" w:sz="4" w:space="0" w:color="auto"/>
              <w:right w:val="single" w:sz="4" w:space="0" w:color="auto"/>
            </w:tcBorders>
            <w:vAlign w:val="center"/>
          </w:tcPr>
          <w:p w14:paraId="0AEC207C"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7440-38-2</w:t>
            </w:r>
          </w:p>
        </w:tc>
        <w:tc>
          <w:tcPr>
            <w:tcW w:w="1189" w:type="dxa"/>
            <w:tcBorders>
              <w:top w:val="single" w:sz="4" w:space="0" w:color="auto"/>
              <w:left w:val="nil"/>
              <w:bottom w:val="single" w:sz="4" w:space="0" w:color="auto"/>
              <w:right w:val="single" w:sz="4" w:space="0" w:color="auto"/>
            </w:tcBorders>
            <w:vAlign w:val="center"/>
          </w:tcPr>
          <w:p w14:paraId="1FA6F38A"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20</w:t>
            </w:r>
            <w:r w:rsidRPr="008A2411">
              <w:rPr>
                <w:rFonts w:ascii="Times New Roman"/>
                <w:color w:val="000000" w:themeColor="text1"/>
                <w:szCs w:val="21"/>
                <w:vertAlign w:val="superscript"/>
              </w:rPr>
              <w:t>①</w:t>
            </w:r>
          </w:p>
        </w:tc>
        <w:tc>
          <w:tcPr>
            <w:tcW w:w="1191" w:type="dxa"/>
            <w:tcBorders>
              <w:top w:val="single" w:sz="4" w:space="0" w:color="auto"/>
              <w:left w:val="nil"/>
              <w:bottom w:val="single" w:sz="4" w:space="0" w:color="auto"/>
              <w:right w:val="single" w:sz="4" w:space="0" w:color="auto"/>
            </w:tcBorders>
            <w:vAlign w:val="center"/>
          </w:tcPr>
          <w:p w14:paraId="62D9BB57"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60</w:t>
            </w:r>
            <w:r w:rsidRPr="008A2411">
              <w:rPr>
                <w:rFonts w:ascii="Times New Roman"/>
                <w:color w:val="000000" w:themeColor="text1"/>
                <w:szCs w:val="21"/>
                <w:vertAlign w:val="superscript"/>
              </w:rPr>
              <w:t>①</w:t>
            </w:r>
          </w:p>
        </w:tc>
        <w:tc>
          <w:tcPr>
            <w:tcW w:w="1189" w:type="dxa"/>
            <w:tcBorders>
              <w:top w:val="single" w:sz="4" w:space="0" w:color="auto"/>
              <w:left w:val="nil"/>
              <w:bottom w:val="single" w:sz="4" w:space="0" w:color="auto"/>
              <w:right w:val="single" w:sz="4" w:space="0" w:color="auto"/>
            </w:tcBorders>
            <w:vAlign w:val="center"/>
          </w:tcPr>
          <w:p w14:paraId="55F4DA03"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120</w:t>
            </w:r>
          </w:p>
        </w:tc>
        <w:tc>
          <w:tcPr>
            <w:tcW w:w="1187" w:type="dxa"/>
            <w:tcBorders>
              <w:top w:val="single" w:sz="4" w:space="0" w:color="auto"/>
              <w:left w:val="nil"/>
              <w:bottom w:val="single" w:sz="4" w:space="0" w:color="auto"/>
              <w:right w:val="single" w:sz="4" w:space="0" w:color="auto"/>
            </w:tcBorders>
            <w:vAlign w:val="center"/>
          </w:tcPr>
          <w:p w14:paraId="2D5C8407"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140</w:t>
            </w:r>
          </w:p>
        </w:tc>
      </w:tr>
      <w:tr w:rsidR="008A2411" w:rsidRPr="008A2411" w14:paraId="6AC1EF36" w14:textId="77777777">
        <w:trPr>
          <w:trHeight w:val="421"/>
        </w:trPr>
        <w:tc>
          <w:tcPr>
            <w:tcW w:w="573" w:type="dxa"/>
            <w:tcBorders>
              <w:top w:val="single" w:sz="4" w:space="0" w:color="auto"/>
              <w:left w:val="single" w:sz="4" w:space="0" w:color="auto"/>
              <w:bottom w:val="single" w:sz="4" w:space="0" w:color="auto"/>
              <w:right w:val="single" w:sz="4" w:space="0" w:color="auto"/>
            </w:tcBorders>
            <w:vAlign w:val="center"/>
          </w:tcPr>
          <w:p w14:paraId="61700C4E"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2</w:t>
            </w:r>
          </w:p>
        </w:tc>
        <w:tc>
          <w:tcPr>
            <w:tcW w:w="1800" w:type="dxa"/>
            <w:tcBorders>
              <w:top w:val="single" w:sz="4" w:space="0" w:color="auto"/>
              <w:left w:val="nil"/>
              <w:bottom w:val="single" w:sz="4" w:space="0" w:color="auto"/>
              <w:right w:val="single" w:sz="4" w:space="0" w:color="auto"/>
            </w:tcBorders>
            <w:vAlign w:val="center"/>
          </w:tcPr>
          <w:p w14:paraId="2294F40A"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镉</w:t>
            </w:r>
          </w:p>
        </w:tc>
        <w:tc>
          <w:tcPr>
            <w:tcW w:w="1729" w:type="dxa"/>
            <w:tcBorders>
              <w:top w:val="single" w:sz="4" w:space="0" w:color="auto"/>
              <w:left w:val="nil"/>
              <w:bottom w:val="single" w:sz="4" w:space="0" w:color="auto"/>
              <w:right w:val="single" w:sz="4" w:space="0" w:color="auto"/>
            </w:tcBorders>
            <w:vAlign w:val="center"/>
          </w:tcPr>
          <w:p w14:paraId="4762E618"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7440-43-9</w:t>
            </w:r>
          </w:p>
        </w:tc>
        <w:tc>
          <w:tcPr>
            <w:tcW w:w="1189" w:type="dxa"/>
            <w:tcBorders>
              <w:top w:val="single" w:sz="4" w:space="0" w:color="auto"/>
              <w:left w:val="nil"/>
              <w:bottom w:val="single" w:sz="4" w:space="0" w:color="auto"/>
              <w:right w:val="single" w:sz="4" w:space="0" w:color="auto"/>
            </w:tcBorders>
            <w:vAlign w:val="center"/>
          </w:tcPr>
          <w:p w14:paraId="382204FB"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20</w:t>
            </w:r>
          </w:p>
        </w:tc>
        <w:tc>
          <w:tcPr>
            <w:tcW w:w="1191" w:type="dxa"/>
            <w:tcBorders>
              <w:top w:val="single" w:sz="4" w:space="0" w:color="auto"/>
              <w:left w:val="nil"/>
              <w:bottom w:val="single" w:sz="4" w:space="0" w:color="auto"/>
              <w:right w:val="single" w:sz="4" w:space="0" w:color="auto"/>
            </w:tcBorders>
            <w:vAlign w:val="center"/>
          </w:tcPr>
          <w:p w14:paraId="0C25D7FF"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65</w:t>
            </w:r>
          </w:p>
        </w:tc>
        <w:tc>
          <w:tcPr>
            <w:tcW w:w="1189" w:type="dxa"/>
            <w:tcBorders>
              <w:top w:val="single" w:sz="4" w:space="0" w:color="auto"/>
              <w:left w:val="nil"/>
              <w:bottom w:val="single" w:sz="4" w:space="0" w:color="auto"/>
              <w:right w:val="single" w:sz="4" w:space="0" w:color="auto"/>
            </w:tcBorders>
            <w:vAlign w:val="center"/>
          </w:tcPr>
          <w:p w14:paraId="22DBF7B4"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47</w:t>
            </w:r>
          </w:p>
        </w:tc>
        <w:tc>
          <w:tcPr>
            <w:tcW w:w="1187" w:type="dxa"/>
            <w:tcBorders>
              <w:top w:val="single" w:sz="4" w:space="0" w:color="auto"/>
              <w:left w:val="nil"/>
              <w:bottom w:val="single" w:sz="4" w:space="0" w:color="auto"/>
              <w:right w:val="single" w:sz="4" w:space="0" w:color="auto"/>
            </w:tcBorders>
            <w:vAlign w:val="center"/>
          </w:tcPr>
          <w:p w14:paraId="6BBA725B"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172</w:t>
            </w:r>
          </w:p>
        </w:tc>
      </w:tr>
      <w:tr w:rsidR="008A2411" w:rsidRPr="008A2411" w14:paraId="732C087A" w14:textId="77777777">
        <w:trPr>
          <w:trHeight w:val="421"/>
        </w:trPr>
        <w:tc>
          <w:tcPr>
            <w:tcW w:w="573" w:type="dxa"/>
            <w:tcBorders>
              <w:top w:val="single" w:sz="4" w:space="0" w:color="auto"/>
              <w:left w:val="single" w:sz="4" w:space="0" w:color="auto"/>
              <w:bottom w:val="single" w:sz="4" w:space="0" w:color="auto"/>
              <w:right w:val="single" w:sz="4" w:space="0" w:color="auto"/>
            </w:tcBorders>
            <w:vAlign w:val="center"/>
          </w:tcPr>
          <w:p w14:paraId="2D02E906"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3</w:t>
            </w:r>
          </w:p>
        </w:tc>
        <w:tc>
          <w:tcPr>
            <w:tcW w:w="1800" w:type="dxa"/>
            <w:tcBorders>
              <w:top w:val="single" w:sz="4" w:space="0" w:color="auto"/>
              <w:left w:val="nil"/>
              <w:bottom w:val="single" w:sz="4" w:space="0" w:color="auto"/>
              <w:right w:val="single" w:sz="4" w:space="0" w:color="auto"/>
            </w:tcBorders>
            <w:vAlign w:val="center"/>
          </w:tcPr>
          <w:p w14:paraId="63B24F10"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铬（六价）</w:t>
            </w:r>
          </w:p>
        </w:tc>
        <w:tc>
          <w:tcPr>
            <w:tcW w:w="1729" w:type="dxa"/>
            <w:tcBorders>
              <w:top w:val="single" w:sz="4" w:space="0" w:color="auto"/>
              <w:left w:val="nil"/>
              <w:bottom w:val="single" w:sz="4" w:space="0" w:color="auto"/>
              <w:right w:val="single" w:sz="4" w:space="0" w:color="auto"/>
            </w:tcBorders>
            <w:vAlign w:val="center"/>
          </w:tcPr>
          <w:p w14:paraId="4A900861"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18540-29-9</w:t>
            </w:r>
          </w:p>
        </w:tc>
        <w:tc>
          <w:tcPr>
            <w:tcW w:w="1189" w:type="dxa"/>
            <w:tcBorders>
              <w:top w:val="single" w:sz="4" w:space="0" w:color="auto"/>
              <w:left w:val="nil"/>
              <w:bottom w:val="single" w:sz="4" w:space="0" w:color="auto"/>
              <w:right w:val="single" w:sz="4" w:space="0" w:color="auto"/>
            </w:tcBorders>
            <w:vAlign w:val="center"/>
          </w:tcPr>
          <w:p w14:paraId="129E5CD7"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3.0</w:t>
            </w:r>
          </w:p>
        </w:tc>
        <w:tc>
          <w:tcPr>
            <w:tcW w:w="1191" w:type="dxa"/>
            <w:tcBorders>
              <w:top w:val="single" w:sz="4" w:space="0" w:color="auto"/>
              <w:left w:val="nil"/>
              <w:bottom w:val="single" w:sz="4" w:space="0" w:color="auto"/>
              <w:right w:val="single" w:sz="4" w:space="0" w:color="auto"/>
            </w:tcBorders>
            <w:vAlign w:val="center"/>
          </w:tcPr>
          <w:p w14:paraId="605C5149"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5.7</w:t>
            </w:r>
          </w:p>
        </w:tc>
        <w:tc>
          <w:tcPr>
            <w:tcW w:w="1189" w:type="dxa"/>
            <w:tcBorders>
              <w:top w:val="single" w:sz="4" w:space="0" w:color="auto"/>
              <w:left w:val="nil"/>
              <w:bottom w:val="single" w:sz="4" w:space="0" w:color="auto"/>
              <w:right w:val="single" w:sz="4" w:space="0" w:color="auto"/>
            </w:tcBorders>
            <w:vAlign w:val="center"/>
          </w:tcPr>
          <w:p w14:paraId="50A74BAA"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30</w:t>
            </w:r>
          </w:p>
        </w:tc>
        <w:tc>
          <w:tcPr>
            <w:tcW w:w="1187" w:type="dxa"/>
            <w:tcBorders>
              <w:top w:val="single" w:sz="4" w:space="0" w:color="auto"/>
              <w:left w:val="nil"/>
              <w:bottom w:val="single" w:sz="4" w:space="0" w:color="auto"/>
              <w:right w:val="single" w:sz="4" w:space="0" w:color="auto"/>
            </w:tcBorders>
            <w:vAlign w:val="center"/>
          </w:tcPr>
          <w:p w14:paraId="3D0E930C"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78</w:t>
            </w:r>
          </w:p>
        </w:tc>
      </w:tr>
      <w:tr w:rsidR="008A2411" w:rsidRPr="008A2411" w14:paraId="1A28B6DF" w14:textId="77777777">
        <w:trPr>
          <w:trHeight w:val="421"/>
        </w:trPr>
        <w:tc>
          <w:tcPr>
            <w:tcW w:w="573" w:type="dxa"/>
            <w:tcBorders>
              <w:top w:val="single" w:sz="4" w:space="0" w:color="auto"/>
              <w:left w:val="single" w:sz="4" w:space="0" w:color="auto"/>
              <w:bottom w:val="single" w:sz="4" w:space="0" w:color="auto"/>
              <w:right w:val="single" w:sz="4" w:space="0" w:color="auto"/>
            </w:tcBorders>
            <w:vAlign w:val="center"/>
          </w:tcPr>
          <w:p w14:paraId="7B4E1758"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4</w:t>
            </w:r>
          </w:p>
        </w:tc>
        <w:tc>
          <w:tcPr>
            <w:tcW w:w="1800" w:type="dxa"/>
            <w:tcBorders>
              <w:top w:val="single" w:sz="4" w:space="0" w:color="auto"/>
              <w:left w:val="nil"/>
              <w:bottom w:val="single" w:sz="4" w:space="0" w:color="auto"/>
              <w:right w:val="single" w:sz="4" w:space="0" w:color="auto"/>
            </w:tcBorders>
            <w:vAlign w:val="center"/>
          </w:tcPr>
          <w:p w14:paraId="7DE281E0"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铜</w:t>
            </w:r>
          </w:p>
        </w:tc>
        <w:tc>
          <w:tcPr>
            <w:tcW w:w="1729" w:type="dxa"/>
            <w:tcBorders>
              <w:top w:val="single" w:sz="4" w:space="0" w:color="auto"/>
              <w:left w:val="nil"/>
              <w:bottom w:val="single" w:sz="4" w:space="0" w:color="auto"/>
              <w:right w:val="single" w:sz="4" w:space="0" w:color="auto"/>
            </w:tcBorders>
            <w:vAlign w:val="center"/>
          </w:tcPr>
          <w:p w14:paraId="759D78C4"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7440-50-8</w:t>
            </w:r>
          </w:p>
        </w:tc>
        <w:tc>
          <w:tcPr>
            <w:tcW w:w="1189" w:type="dxa"/>
            <w:tcBorders>
              <w:top w:val="single" w:sz="4" w:space="0" w:color="auto"/>
              <w:left w:val="nil"/>
              <w:bottom w:val="single" w:sz="4" w:space="0" w:color="auto"/>
              <w:right w:val="single" w:sz="4" w:space="0" w:color="auto"/>
            </w:tcBorders>
            <w:vAlign w:val="center"/>
          </w:tcPr>
          <w:p w14:paraId="352EE3ED"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2000</w:t>
            </w:r>
          </w:p>
        </w:tc>
        <w:tc>
          <w:tcPr>
            <w:tcW w:w="1191" w:type="dxa"/>
            <w:tcBorders>
              <w:top w:val="single" w:sz="4" w:space="0" w:color="auto"/>
              <w:left w:val="nil"/>
              <w:bottom w:val="single" w:sz="4" w:space="0" w:color="auto"/>
              <w:right w:val="single" w:sz="4" w:space="0" w:color="auto"/>
            </w:tcBorders>
            <w:vAlign w:val="center"/>
          </w:tcPr>
          <w:p w14:paraId="62EAC427"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18000</w:t>
            </w:r>
          </w:p>
        </w:tc>
        <w:tc>
          <w:tcPr>
            <w:tcW w:w="1189" w:type="dxa"/>
            <w:tcBorders>
              <w:top w:val="single" w:sz="4" w:space="0" w:color="auto"/>
              <w:left w:val="nil"/>
              <w:bottom w:val="single" w:sz="4" w:space="0" w:color="auto"/>
              <w:right w:val="single" w:sz="4" w:space="0" w:color="auto"/>
            </w:tcBorders>
            <w:vAlign w:val="center"/>
          </w:tcPr>
          <w:p w14:paraId="6373E9D4"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8000</w:t>
            </w:r>
          </w:p>
        </w:tc>
        <w:tc>
          <w:tcPr>
            <w:tcW w:w="1187" w:type="dxa"/>
            <w:tcBorders>
              <w:top w:val="single" w:sz="4" w:space="0" w:color="auto"/>
              <w:left w:val="nil"/>
              <w:bottom w:val="single" w:sz="4" w:space="0" w:color="auto"/>
              <w:right w:val="single" w:sz="4" w:space="0" w:color="auto"/>
            </w:tcBorders>
            <w:vAlign w:val="center"/>
          </w:tcPr>
          <w:p w14:paraId="70DE45CD"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36000</w:t>
            </w:r>
          </w:p>
        </w:tc>
      </w:tr>
      <w:tr w:rsidR="008A2411" w:rsidRPr="008A2411" w14:paraId="78EB42F8" w14:textId="77777777">
        <w:trPr>
          <w:trHeight w:val="421"/>
        </w:trPr>
        <w:tc>
          <w:tcPr>
            <w:tcW w:w="573" w:type="dxa"/>
            <w:tcBorders>
              <w:top w:val="single" w:sz="4" w:space="0" w:color="auto"/>
              <w:left w:val="single" w:sz="4" w:space="0" w:color="auto"/>
              <w:bottom w:val="single" w:sz="4" w:space="0" w:color="auto"/>
              <w:right w:val="single" w:sz="4" w:space="0" w:color="auto"/>
            </w:tcBorders>
            <w:vAlign w:val="center"/>
          </w:tcPr>
          <w:p w14:paraId="26FC43FB"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5</w:t>
            </w:r>
          </w:p>
        </w:tc>
        <w:tc>
          <w:tcPr>
            <w:tcW w:w="1800" w:type="dxa"/>
            <w:tcBorders>
              <w:top w:val="single" w:sz="4" w:space="0" w:color="auto"/>
              <w:left w:val="nil"/>
              <w:bottom w:val="single" w:sz="4" w:space="0" w:color="auto"/>
              <w:right w:val="single" w:sz="4" w:space="0" w:color="auto"/>
            </w:tcBorders>
            <w:vAlign w:val="center"/>
          </w:tcPr>
          <w:p w14:paraId="36C8CC26"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铅</w:t>
            </w:r>
          </w:p>
        </w:tc>
        <w:tc>
          <w:tcPr>
            <w:tcW w:w="1729" w:type="dxa"/>
            <w:tcBorders>
              <w:top w:val="single" w:sz="4" w:space="0" w:color="auto"/>
              <w:left w:val="nil"/>
              <w:bottom w:val="single" w:sz="4" w:space="0" w:color="auto"/>
              <w:right w:val="single" w:sz="4" w:space="0" w:color="auto"/>
            </w:tcBorders>
            <w:vAlign w:val="center"/>
          </w:tcPr>
          <w:p w14:paraId="504CB116"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7439-92-1</w:t>
            </w:r>
          </w:p>
        </w:tc>
        <w:tc>
          <w:tcPr>
            <w:tcW w:w="1189" w:type="dxa"/>
            <w:tcBorders>
              <w:top w:val="single" w:sz="4" w:space="0" w:color="auto"/>
              <w:left w:val="nil"/>
              <w:bottom w:val="single" w:sz="4" w:space="0" w:color="auto"/>
              <w:right w:val="single" w:sz="4" w:space="0" w:color="auto"/>
            </w:tcBorders>
            <w:vAlign w:val="center"/>
          </w:tcPr>
          <w:p w14:paraId="29326652"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400</w:t>
            </w:r>
          </w:p>
        </w:tc>
        <w:tc>
          <w:tcPr>
            <w:tcW w:w="1191" w:type="dxa"/>
            <w:tcBorders>
              <w:top w:val="single" w:sz="4" w:space="0" w:color="auto"/>
              <w:left w:val="nil"/>
              <w:bottom w:val="single" w:sz="4" w:space="0" w:color="auto"/>
              <w:right w:val="single" w:sz="4" w:space="0" w:color="auto"/>
            </w:tcBorders>
            <w:vAlign w:val="center"/>
          </w:tcPr>
          <w:p w14:paraId="0D8C1CA7"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800</w:t>
            </w:r>
          </w:p>
        </w:tc>
        <w:tc>
          <w:tcPr>
            <w:tcW w:w="1189" w:type="dxa"/>
            <w:tcBorders>
              <w:top w:val="single" w:sz="4" w:space="0" w:color="auto"/>
              <w:left w:val="nil"/>
              <w:bottom w:val="single" w:sz="4" w:space="0" w:color="auto"/>
              <w:right w:val="single" w:sz="4" w:space="0" w:color="auto"/>
            </w:tcBorders>
            <w:vAlign w:val="center"/>
          </w:tcPr>
          <w:p w14:paraId="5333E35F"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800</w:t>
            </w:r>
          </w:p>
        </w:tc>
        <w:tc>
          <w:tcPr>
            <w:tcW w:w="1187" w:type="dxa"/>
            <w:tcBorders>
              <w:top w:val="single" w:sz="4" w:space="0" w:color="auto"/>
              <w:left w:val="nil"/>
              <w:bottom w:val="single" w:sz="4" w:space="0" w:color="auto"/>
              <w:right w:val="single" w:sz="4" w:space="0" w:color="auto"/>
            </w:tcBorders>
            <w:vAlign w:val="center"/>
          </w:tcPr>
          <w:p w14:paraId="08A68FE7"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2500</w:t>
            </w:r>
          </w:p>
        </w:tc>
      </w:tr>
      <w:tr w:rsidR="008A2411" w:rsidRPr="008A2411" w14:paraId="7268F4D8" w14:textId="77777777">
        <w:trPr>
          <w:trHeight w:val="421"/>
        </w:trPr>
        <w:tc>
          <w:tcPr>
            <w:tcW w:w="573" w:type="dxa"/>
            <w:tcBorders>
              <w:top w:val="single" w:sz="4" w:space="0" w:color="auto"/>
              <w:left w:val="single" w:sz="4" w:space="0" w:color="auto"/>
              <w:bottom w:val="single" w:sz="4" w:space="0" w:color="auto"/>
              <w:right w:val="single" w:sz="4" w:space="0" w:color="auto"/>
            </w:tcBorders>
            <w:vAlign w:val="center"/>
          </w:tcPr>
          <w:p w14:paraId="74750AD1"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6</w:t>
            </w:r>
          </w:p>
        </w:tc>
        <w:tc>
          <w:tcPr>
            <w:tcW w:w="1800" w:type="dxa"/>
            <w:tcBorders>
              <w:top w:val="single" w:sz="4" w:space="0" w:color="auto"/>
              <w:left w:val="nil"/>
              <w:bottom w:val="single" w:sz="4" w:space="0" w:color="auto"/>
              <w:right w:val="single" w:sz="4" w:space="0" w:color="auto"/>
            </w:tcBorders>
            <w:vAlign w:val="center"/>
          </w:tcPr>
          <w:p w14:paraId="492CF554"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汞</w:t>
            </w:r>
          </w:p>
        </w:tc>
        <w:tc>
          <w:tcPr>
            <w:tcW w:w="1729" w:type="dxa"/>
            <w:tcBorders>
              <w:top w:val="single" w:sz="4" w:space="0" w:color="auto"/>
              <w:left w:val="nil"/>
              <w:bottom w:val="single" w:sz="4" w:space="0" w:color="auto"/>
              <w:right w:val="single" w:sz="4" w:space="0" w:color="auto"/>
            </w:tcBorders>
            <w:vAlign w:val="center"/>
          </w:tcPr>
          <w:p w14:paraId="5CCC65AA"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7439-97-6</w:t>
            </w:r>
          </w:p>
        </w:tc>
        <w:tc>
          <w:tcPr>
            <w:tcW w:w="1189" w:type="dxa"/>
            <w:tcBorders>
              <w:top w:val="single" w:sz="4" w:space="0" w:color="auto"/>
              <w:left w:val="nil"/>
              <w:bottom w:val="single" w:sz="4" w:space="0" w:color="auto"/>
              <w:right w:val="single" w:sz="4" w:space="0" w:color="auto"/>
            </w:tcBorders>
            <w:vAlign w:val="center"/>
          </w:tcPr>
          <w:p w14:paraId="286515E8"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8</w:t>
            </w:r>
          </w:p>
        </w:tc>
        <w:tc>
          <w:tcPr>
            <w:tcW w:w="1191" w:type="dxa"/>
            <w:tcBorders>
              <w:top w:val="single" w:sz="4" w:space="0" w:color="auto"/>
              <w:left w:val="nil"/>
              <w:bottom w:val="single" w:sz="4" w:space="0" w:color="auto"/>
              <w:right w:val="single" w:sz="4" w:space="0" w:color="auto"/>
            </w:tcBorders>
            <w:vAlign w:val="center"/>
          </w:tcPr>
          <w:p w14:paraId="49063561"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38</w:t>
            </w:r>
          </w:p>
        </w:tc>
        <w:tc>
          <w:tcPr>
            <w:tcW w:w="1189" w:type="dxa"/>
            <w:tcBorders>
              <w:top w:val="single" w:sz="4" w:space="0" w:color="auto"/>
              <w:left w:val="nil"/>
              <w:bottom w:val="single" w:sz="4" w:space="0" w:color="auto"/>
              <w:right w:val="single" w:sz="4" w:space="0" w:color="auto"/>
            </w:tcBorders>
            <w:vAlign w:val="center"/>
          </w:tcPr>
          <w:p w14:paraId="0E3AAAC0"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33</w:t>
            </w:r>
          </w:p>
        </w:tc>
        <w:tc>
          <w:tcPr>
            <w:tcW w:w="1187" w:type="dxa"/>
            <w:tcBorders>
              <w:top w:val="single" w:sz="4" w:space="0" w:color="auto"/>
              <w:left w:val="nil"/>
              <w:bottom w:val="single" w:sz="4" w:space="0" w:color="auto"/>
              <w:right w:val="single" w:sz="4" w:space="0" w:color="auto"/>
            </w:tcBorders>
            <w:vAlign w:val="center"/>
          </w:tcPr>
          <w:p w14:paraId="7BB5396D"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82</w:t>
            </w:r>
          </w:p>
        </w:tc>
      </w:tr>
      <w:tr w:rsidR="008A2411" w:rsidRPr="008A2411" w14:paraId="465D9E96" w14:textId="77777777">
        <w:trPr>
          <w:trHeight w:val="421"/>
        </w:trPr>
        <w:tc>
          <w:tcPr>
            <w:tcW w:w="573" w:type="dxa"/>
            <w:tcBorders>
              <w:top w:val="single" w:sz="4" w:space="0" w:color="auto"/>
              <w:left w:val="single" w:sz="4" w:space="0" w:color="auto"/>
              <w:bottom w:val="single" w:sz="4" w:space="0" w:color="auto"/>
              <w:right w:val="single" w:sz="4" w:space="0" w:color="auto"/>
            </w:tcBorders>
            <w:vAlign w:val="center"/>
          </w:tcPr>
          <w:p w14:paraId="3F85F230"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7</w:t>
            </w:r>
          </w:p>
        </w:tc>
        <w:tc>
          <w:tcPr>
            <w:tcW w:w="1800" w:type="dxa"/>
            <w:tcBorders>
              <w:top w:val="single" w:sz="4" w:space="0" w:color="auto"/>
              <w:left w:val="nil"/>
              <w:bottom w:val="single" w:sz="4" w:space="0" w:color="auto"/>
              <w:right w:val="single" w:sz="4" w:space="0" w:color="auto"/>
            </w:tcBorders>
            <w:vAlign w:val="center"/>
          </w:tcPr>
          <w:p w14:paraId="10A8EEB0"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镍</w:t>
            </w:r>
          </w:p>
        </w:tc>
        <w:tc>
          <w:tcPr>
            <w:tcW w:w="1729" w:type="dxa"/>
            <w:tcBorders>
              <w:top w:val="single" w:sz="4" w:space="0" w:color="auto"/>
              <w:left w:val="nil"/>
              <w:bottom w:val="single" w:sz="4" w:space="0" w:color="auto"/>
              <w:right w:val="single" w:sz="4" w:space="0" w:color="auto"/>
            </w:tcBorders>
            <w:vAlign w:val="center"/>
          </w:tcPr>
          <w:p w14:paraId="3BD981D9"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7440-02-0</w:t>
            </w:r>
          </w:p>
        </w:tc>
        <w:tc>
          <w:tcPr>
            <w:tcW w:w="1189" w:type="dxa"/>
            <w:tcBorders>
              <w:top w:val="single" w:sz="4" w:space="0" w:color="auto"/>
              <w:left w:val="nil"/>
              <w:bottom w:val="single" w:sz="4" w:space="0" w:color="auto"/>
              <w:right w:val="single" w:sz="4" w:space="0" w:color="auto"/>
            </w:tcBorders>
            <w:vAlign w:val="center"/>
          </w:tcPr>
          <w:p w14:paraId="2257263E"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150</w:t>
            </w:r>
          </w:p>
        </w:tc>
        <w:tc>
          <w:tcPr>
            <w:tcW w:w="1191" w:type="dxa"/>
            <w:tcBorders>
              <w:top w:val="single" w:sz="4" w:space="0" w:color="auto"/>
              <w:left w:val="nil"/>
              <w:bottom w:val="single" w:sz="4" w:space="0" w:color="auto"/>
              <w:right w:val="single" w:sz="4" w:space="0" w:color="auto"/>
            </w:tcBorders>
            <w:vAlign w:val="center"/>
          </w:tcPr>
          <w:p w14:paraId="0462EC26"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900</w:t>
            </w:r>
          </w:p>
        </w:tc>
        <w:tc>
          <w:tcPr>
            <w:tcW w:w="1189" w:type="dxa"/>
            <w:tcBorders>
              <w:top w:val="single" w:sz="4" w:space="0" w:color="auto"/>
              <w:left w:val="nil"/>
              <w:bottom w:val="single" w:sz="4" w:space="0" w:color="auto"/>
              <w:right w:val="single" w:sz="4" w:space="0" w:color="auto"/>
            </w:tcBorders>
            <w:vAlign w:val="center"/>
          </w:tcPr>
          <w:p w14:paraId="620A1630"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600</w:t>
            </w:r>
          </w:p>
        </w:tc>
        <w:tc>
          <w:tcPr>
            <w:tcW w:w="1187" w:type="dxa"/>
            <w:tcBorders>
              <w:top w:val="single" w:sz="4" w:space="0" w:color="auto"/>
              <w:left w:val="nil"/>
              <w:bottom w:val="single" w:sz="4" w:space="0" w:color="auto"/>
              <w:right w:val="single" w:sz="4" w:space="0" w:color="auto"/>
            </w:tcBorders>
            <w:vAlign w:val="center"/>
          </w:tcPr>
          <w:p w14:paraId="38022BF8"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2000</w:t>
            </w:r>
          </w:p>
        </w:tc>
      </w:tr>
      <w:tr w:rsidR="008A2411" w:rsidRPr="008A2411" w14:paraId="7600EFDD" w14:textId="77777777">
        <w:trPr>
          <w:trHeight w:val="421"/>
        </w:trPr>
        <w:tc>
          <w:tcPr>
            <w:tcW w:w="8858" w:type="dxa"/>
            <w:gridSpan w:val="7"/>
            <w:tcBorders>
              <w:top w:val="single" w:sz="4" w:space="0" w:color="auto"/>
              <w:left w:val="single" w:sz="4" w:space="0" w:color="auto"/>
              <w:bottom w:val="single" w:sz="4" w:space="0" w:color="auto"/>
              <w:right w:val="single" w:sz="4" w:space="0" w:color="auto"/>
            </w:tcBorders>
            <w:vAlign w:val="center"/>
          </w:tcPr>
          <w:p w14:paraId="1099C400"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挥发性有机物</w:t>
            </w:r>
          </w:p>
        </w:tc>
      </w:tr>
      <w:tr w:rsidR="008A2411" w:rsidRPr="008A2411" w14:paraId="5365008E" w14:textId="77777777">
        <w:trPr>
          <w:trHeight w:val="421"/>
        </w:trPr>
        <w:tc>
          <w:tcPr>
            <w:tcW w:w="573" w:type="dxa"/>
            <w:tcBorders>
              <w:top w:val="single" w:sz="4" w:space="0" w:color="auto"/>
              <w:left w:val="single" w:sz="4" w:space="0" w:color="auto"/>
              <w:bottom w:val="single" w:sz="4" w:space="0" w:color="auto"/>
              <w:right w:val="single" w:sz="4" w:space="0" w:color="auto"/>
            </w:tcBorders>
            <w:vAlign w:val="center"/>
          </w:tcPr>
          <w:p w14:paraId="1CFEF683"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8</w:t>
            </w:r>
          </w:p>
        </w:tc>
        <w:tc>
          <w:tcPr>
            <w:tcW w:w="1800" w:type="dxa"/>
            <w:tcBorders>
              <w:top w:val="single" w:sz="4" w:space="0" w:color="auto"/>
              <w:left w:val="nil"/>
              <w:bottom w:val="single" w:sz="4" w:space="0" w:color="auto"/>
              <w:right w:val="single" w:sz="4" w:space="0" w:color="auto"/>
            </w:tcBorders>
            <w:vAlign w:val="center"/>
          </w:tcPr>
          <w:p w14:paraId="7C43B190"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四氯化碳</w:t>
            </w:r>
          </w:p>
        </w:tc>
        <w:tc>
          <w:tcPr>
            <w:tcW w:w="1729" w:type="dxa"/>
            <w:tcBorders>
              <w:top w:val="single" w:sz="4" w:space="0" w:color="auto"/>
              <w:left w:val="nil"/>
              <w:bottom w:val="single" w:sz="4" w:space="0" w:color="auto"/>
              <w:right w:val="single" w:sz="4" w:space="0" w:color="auto"/>
            </w:tcBorders>
            <w:vAlign w:val="center"/>
          </w:tcPr>
          <w:p w14:paraId="4BFFE76F"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56-23-5</w:t>
            </w:r>
          </w:p>
        </w:tc>
        <w:tc>
          <w:tcPr>
            <w:tcW w:w="1189" w:type="dxa"/>
            <w:tcBorders>
              <w:top w:val="single" w:sz="4" w:space="0" w:color="auto"/>
              <w:left w:val="nil"/>
              <w:bottom w:val="single" w:sz="4" w:space="0" w:color="auto"/>
              <w:right w:val="single" w:sz="4" w:space="0" w:color="auto"/>
            </w:tcBorders>
            <w:vAlign w:val="center"/>
          </w:tcPr>
          <w:p w14:paraId="335E6C8F"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0.9</w:t>
            </w:r>
          </w:p>
        </w:tc>
        <w:tc>
          <w:tcPr>
            <w:tcW w:w="1191" w:type="dxa"/>
            <w:tcBorders>
              <w:top w:val="single" w:sz="4" w:space="0" w:color="auto"/>
              <w:left w:val="nil"/>
              <w:bottom w:val="single" w:sz="4" w:space="0" w:color="auto"/>
              <w:right w:val="single" w:sz="4" w:space="0" w:color="auto"/>
            </w:tcBorders>
            <w:vAlign w:val="center"/>
          </w:tcPr>
          <w:p w14:paraId="48777E9E"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2.8</w:t>
            </w:r>
          </w:p>
        </w:tc>
        <w:tc>
          <w:tcPr>
            <w:tcW w:w="1189" w:type="dxa"/>
            <w:tcBorders>
              <w:top w:val="single" w:sz="4" w:space="0" w:color="auto"/>
              <w:left w:val="nil"/>
              <w:bottom w:val="single" w:sz="4" w:space="0" w:color="auto"/>
              <w:right w:val="single" w:sz="4" w:space="0" w:color="auto"/>
            </w:tcBorders>
            <w:vAlign w:val="center"/>
          </w:tcPr>
          <w:p w14:paraId="2B4156FB"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9</w:t>
            </w:r>
          </w:p>
        </w:tc>
        <w:tc>
          <w:tcPr>
            <w:tcW w:w="1187" w:type="dxa"/>
            <w:tcBorders>
              <w:top w:val="single" w:sz="4" w:space="0" w:color="auto"/>
              <w:left w:val="nil"/>
              <w:bottom w:val="single" w:sz="4" w:space="0" w:color="auto"/>
              <w:right w:val="single" w:sz="4" w:space="0" w:color="auto"/>
            </w:tcBorders>
            <w:vAlign w:val="center"/>
          </w:tcPr>
          <w:p w14:paraId="04B29E06"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36</w:t>
            </w:r>
          </w:p>
        </w:tc>
      </w:tr>
      <w:tr w:rsidR="008A2411" w:rsidRPr="008A2411" w14:paraId="760812A7" w14:textId="77777777">
        <w:trPr>
          <w:trHeight w:val="421"/>
        </w:trPr>
        <w:tc>
          <w:tcPr>
            <w:tcW w:w="573" w:type="dxa"/>
            <w:tcBorders>
              <w:top w:val="single" w:sz="4" w:space="0" w:color="auto"/>
              <w:left w:val="single" w:sz="4" w:space="0" w:color="auto"/>
              <w:bottom w:val="single" w:sz="4" w:space="0" w:color="auto"/>
              <w:right w:val="single" w:sz="4" w:space="0" w:color="auto"/>
            </w:tcBorders>
            <w:vAlign w:val="center"/>
          </w:tcPr>
          <w:p w14:paraId="64D32026"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9</w:t>
            </w:r>
          </w:p>
        </w:tc>
        <w:tc>
          <w:tcPr>
            <w:tcW w:w="1800" w:type="dxa"/>
            <w:tcBorders>
              <w:top w:val="single" w:sz="4" w:space="0" w:color="auto"/>
              <w:left w:val="nil"/>
              <w:bottom w:val="single" w:sz="4" w:space="0" w:color="auto"/>
              <w:right w:val="single" w:sz="4" w:space="0" w:color="auto"/>
            </w:tcBorders>
            <w:vAlign w:val="center"/>
          </w:tcPr>
          <w:p w14:paraId="12854679"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氯仿</w:t>
            </w:r>
          </w:p>
        </w:tc>
        <w:tc>
          <w:tcPr>
            <w:tcW w:w="1729" w:type="dxa"/>
            <w:tcBorders>
              <w:top w:val="single" w:sz="4" w:space="0" w:color="auto"/>
              <w:left w:val="nil"/>
              <w:bottom w:val="single" w:sz="4" w:space="0" w:color="auto"/>
              <w:right w:val="single" w:sz="4" w:space="0" w:color="auto"/>
            </w:tcBorders>
            <w:vAlign w:val="center"/>
          </w:tcPr>
          <w:p w14:paraId="1DED3C51"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67-66-3</w:t>
            </w:r>
          </w:p>
        </w:tc>
        <w:tc>
          <w:tcPr>
            <w:tcW w:w="1189" w:type="dxa"/>
            <w:tcBorders>
              <w:top w:val="single" w:sz="4" w:space="0" w:color="auto"/>
              <w:left w:val="nil"/>
              <w:bottom w:val="single" w:sz="4" w:space="0" w:color="auto"/>
              <w:right w:val="single" w:sz="4" w:space="0" w:color="auto"/>
            </w:tcBorders>
            <w:vAlign w:val="center"/>
          </w:tcPr>
          <w:p w14:paraId="312FB749"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0.3</w:t>
            </w:r>
          </w:p>
        </w:tc>
        <w:tc>
          <w:tcPr>
            <w:tcW w:w="1191" w:type="dxa"/>
            <w:tcBorders>
              <w:top w:val="single" w:sz="4" w:space="0" w:color="auto"/>
              <w:left w:val="nil"/>
              <w:bottom w:val="single" w:sz="4" w:space="0" w:color="auto"/>
              <w:right w:val="single" w:sz="4" w:space="0" w:color="auto"/>
            </w:tcBorders>
            <w:vAlign w:val="center"/>
          </w:tcPr>
          <w:p w14:paraId="0E97266B"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0.9</w:t>
            </w:r>
          </w:p>
        </w:tc>
        <w:tc>
          <w:tcPr>
            <w:tcW w:w="1189" w:type="dxa"/>
            <w:tcBorders>
              <w:top w:val="single" w:sz="4" w:space="0" w:color="auto"/>
              <w:left w:val="nil"/>
              <w:bottom w:val="single" w:sz="4" w:space="0" w:color="auto"/>
              <w:right w:val="single" w:sz="4" w:space="0" w:color="auto"/>
            </w:tcBorders>
            <w:vAlign w:val="center"/>
          </w:tcPr>
          <w:p w14:paraId="57A98181"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5</w:t>
            </w:r>
          </w:p>
        </w:tc>
        <w:tc>
          <w:tcPr>
            <w:tcW w:w="1187" w:type="dxa"/>
            <w:tcBorders>
              <w:top w:val="single" w:sz="4" w:space="0" w:color="auto"/>
              <w:left w:val="nil"/>
              <w:bottom w:val="single" w:sz="4" w:space="0" w:color="auto"/>
              <w:right w:val="single" w:sz="4" w:space="0" w:color="auto"/>
            </w:tcBorders>
            <w:vAlign w:val="center"/>
          </w:tcPr>
          <w:p w14:paraId="1CDA1944"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10</w:t>
            </w:r>
          </w:p>
        </w:tc>
      </w:tr>
      <w:tr w:rsidR="008A2411" w:rsidRPr="008A2411" w14:paraId="67D5FDEC" w14:textId="77777777">
        <w:trPr>
          <w:trHeight w:val="421"/>
        </w:trPr>
        <w:tc>
          <w:tcPr>
            <w:tcW w:w="573" w:type="dxa"/>
            <w:tcBorders>
              <w:top w:val="single" w:sz="4" w:space="0" w:color="auto"/>
              <w:left w:val="single" w:sz="4" w:space="0" w:color="auto"/>
              <w:bottom w:val="single" w:sz="4" w:space="0" w:color="auto"/>
              <w:right w:val="single" w:sz="4" w:space="0" w:color="auto"/>
            </w:tcBorders>
            <w:vAlign w:val="center"/>
          </w:tcPr>
          <w:p w14:paraId="2EC07F6A"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10</w:t>
            </w:r>
          </w:p>
        </w:tc>
        <w:tc>
          <w:tcPr>
            <w:tcW w:w="1800" w:type="dxa"/>
            <w:tcBorders>
              <w:top w:val="single" w:sz="4" w:space="0" w:color="auto"/>
              <w:left w:val="nil"/>
              <w:bottom w:val="single" w:sz="4" w:space="0" w:color="auto"/>
              <w:right w:val="single" w:sz="4" w:space="0" w:color="auto"/>
            </w:tcBorders>
            <w:vAlign w:val="center"/>
          </w:tcPr>
          <w:p w14:paraId="29E4CAF8"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氯甲烷</w:t>
            </w:r>
          </w:p>
        </w:tc>
        <w:tc>
          <w:tcPr>
            <w:tcW w:w="1729" w:type="dxa"/>
            <w:tcBorders>
              <w:top w:val="single" w:sz="4" w:space="0" w:color="auto"/>
              <w:left w:val="nil"/>
              <w:bottom w:val="single" w:sz="4" w:space="0" w:color="auto"/>
              <w:right w:val="single" w:sz="4" w:space="0" w:color="auto"/>
            </w:tcBorders>
            <w:vAlign w:val="center"/>
          </w:tcPr>
          <w:p w14:paraId="494B4E2E"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74-87-3</w:t>
            </w:r>
          </w:p>
        </w:tc>
        <w:tc>
          <w:tcPr>
            <w:tcW w:w="1189" w:type="dxa"/>
            <w:tcBorders>
              <w:top w:val="single" w:sz="4" w:space="0" w:color="auto"/>
              <w:left w:val="nil"/>
              <w:bottom w:val="single" w:sz="4" w:space="0" w:color="auto"/>
              <w:right w:val="single" w:sz="4" w:space="0" w:color="auto"/>
            </w:tcBorders>
            <w:vAlign w:val="center"/>
          </w:tcPr>
          <w:p w14:paraId="69031C7D"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12</w:t>
            </w:r>
          </w:p>
        </w:tc>
        <w:tc>
          <w:tcPr>
            <w:tcW w:w="1191" w:type="dxa"/>
            <w:tcBorders>
              <w:top w:val="single" w:sz="4" w:space="0" w:color="auto"/>
              <w:left w:val="nil"/>
              <w:bottom w:val="single" w:sz="4" w:space="0" w:color="auto"/>
              <w:right w:val="single" w:sz="4" w:space="0" w:color="auto"/>
            </w:tcBorders>
            <w:vAlign w:val="center"/>
          </w:tcPr>
          <w:p w14:paraId="3768E930"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37</w:t>
            </w:r>
          </w:p>
        </w:tc>
        <w:tc>
          <w:tcPr>
            <w:tcW w:w="1189" w:type="dxa"/>
            <w:tcBorders>
              <w:top w:val="single" w:sz="4" w:space="0" w:color="auto"/>
              <w:left w:val="nil"/>
              <w:bottom w:val="single" w:sz="4" w:space="0" w:color="auto"/>
              <w:right w:val="single" w:sz="4" w:space="0" w:color="auto"/>
            </w:tcBorders>
            <w:vAlign w:val="center"/>
          </w:tcPr>
          <w:p w14:paraId="4EC6A0FE"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21</w:t>
            </w:r>
          </w:p>
        </w:tc>
        <w:tc>
          <w:tcPr>
            <w:tcW w:w="1187" w:type="dxa"/>
            <w:tcBorders>
              <w:top w:val="single" w:sz="4" w:space="0" w:color="auto"/>
              <w:left w:val="nil"/>
              <w:bottom w:val="single" w:sz="4" w:space="0" w:color="auto"/>
              <w:right w:val="single" w:sz="4" w:space="0" w:color="auto"/>
            </w:tcBorders>
            <w:vAlign w:val="center"/>
          </w:tcPr>
          <w:p w14:paraId="351AFFD9"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120</w:t>
            </w:r>
          </w:p>
        </w:tc>
      </w:tr>
      <w:tr w:rsidR="008A2411" w:rsidRPr="008A2411" w14:paraId="00F3BE72" w14:textId="77777777">
        <w:trPr>
          <w:trHeight w:val="421"/>
        </w:trPr>
        <w:tc>
          <w:tcPr>
            <w:tcW w:w="573" w:type="dxa"/>
            <w:tcBorders>
              <w:top w:val="single" w:sz="4" w:space="0" w:color="auto"/>
              <w:left w:val="single" w:sz="4" w:space="0" w:color="auto"/>
              <w:bottom w:val="single" w:sz="4" w:space="0" w:color="auto"/>
              <w:right w:val="single" w:sz="4" w:space="0" w:color="auto"/>
            </w:tcBorders>
            <w:vAlign w:val="center"/>
          </w:tcPr>
          <w:p w14:paraId="177B3BA0"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11</w:t>
            </w:r>
          </w:p>
        </w:tc>
        <w:tc>
          <w:tcPr>
            <w:tcW w:w="1800" w:type="dxa"/>
            <w:tcBorders>
              <w:top w:val="single" w:sz="4" w:space="0" w:color="auto"/>
              <w:left w:val="nil"/>
              <w:bottom w:val="single" w:sz="4" w:space="0" w:color="auto"/>
              <w:right w:val="single" w:sz="4" w:space="0" w:color="auto"/>
            </w:tcBorders>
            <w:vAlign w:val="center"/>
          </w:tcPr>
          <w:p w14:paraId="6DAB2A63"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1,1-</w:t>
            </w:r>
            <w:r w:rsidRPr="008A2411">
              <w:rPr>
                <w:rFonts w:ascii="Times New Roman"/>
                <w:color w:val="000000" w:themeColor="text1"/>
                <w:szCs w:val="21"/>
              </w:rPr>
              <w:t>二氯乙烷</w:t>
            </w:r>
          </w:p>
        </w:tc>
        <w:tc>
          <w:tcPr>
            <w:tcW w:w="1729" w:type="dxa"/>
            <w:tcBorders>
              <w:top w:val="single" w:sz="4" w:space="0" w:color="auto"/>
              <w:left w:val="nil"/>
              <w:bottom w:val="single" w:sz="4" w:space="0" w:color="auto"/>
              <w:right w:val="single" w:sz="4" w:space="0" w:color="auto"/>
            </w:tcBorders>
            <w:vAlign w:val="center"/>
          </w:tcPr>
          <w:p w14:paraId="5A85F9D2"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75-34-3</w:t>
            </w:r>
          </w:p>
        </w:tc>
        <w:tc>
          <w:tcPr>
            <w:tcW w:w="1189" w:type="dxa"/>
            <w:tcBorders>
              <w:top w:val="single" w:sz="4" w:space="0" w:color="auto"/>
              <w:left w:val="nil"/>
              <w:bottom w:val="single" w:sz="4" w:space="0" w:color="auto"/>
              <w:right w:val="single" w:sz="4" w:space="0" w:color="auto"/>
            </w:tcBorders>
            <w:vAlign w:val="center"/>
          </w:tcPr>
          <w:p w14:paraId="60CDCFD1"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3</w:t>
            </w:r>
          </w:p>
        </w:tc>
        <w:tc>
          <w:tcPr>
            <w:tcW w:w="1191" w:type="dxa"/>
            <w:tcBorders>
              <w:top w:val="single" w:sz="4" w:space="0" w:color="auto"/>
              <w:left w:val="nil"/>
              <w:bottom w:val="single" w:sz="4" w:space="0" w:color="auto"/>
              <w:right w:val="single" w:sz="4" w:space="0" w:color="auto"/>
            </w:tcBorders>
            <w:vAlign w:val="center"/>
          </w:tcPr>
          <w:p w14:paraId="52AA7FA8"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9</w:t>
            </w:r>
          </w:p>
        </w:tc>
        <w:tc>
          <w:tcPr>
            <w:tcW w:w="1189" w:type="dxa"/>
            <w:tcBorders>
              <w:top w:val="single" w:sz="4" w:space="0" w:color="auto"/>
              <w:left w:val="nil"/>
              <w:bottom w:val="single" w:sz="4" w:space="0" w:color="auto"/>
              <w:right w:val="single" w:sz="4" w:space="0" w:color="auto"/>
            </w:tcBorders>
            <w:vAlign w:val="center"/>
          </w:tcPr>
          <w:p w14:paraId="71F03E19"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20</w:t>
            </w:r>
          </w:p>
        </w:tc>
        <w:tc>
          <w:tcPr>
            <w:tcW w:w="1187" w:type="dxa"/>
            <w:tcBorders>
              <w:top w:val="single" w:sz="4" w:space="0" w:color="auto"/>
              <w:left w:val="nil"/>
              <w:bottom w:val="single" w:sz="4" w:space="0" w:color="auto"/>
              <w:right w:val="single" w:sz="4" w:space="0" w:color="auto"/>
            </w:tcBorders>
            <w:vAlign w:val="center"/>
          </w:tcPr>
          <w:p w14:paraId="288B3EC4"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100</w:t>
            </w:r>
          </w:p>
        </w:tc>
      </w:tr>
      <w:tr w:rsidR="008A2411" w:rsidRPr="008A2411" w14:paraId="1373B67E" w14:textId="77777777">
        <w:trPr>
          <w:trHeight w:val="421"/>
        </w:trPr>
        <w:tc>
          <w:tcPr>
            <w:tcW w:w="573" w:type="dxa"/>
            <w:tcBorders>
              <w:top w:val="single" w:sz="4" w:space="0" w:color="auto"/>
              <w:left w:val="single" w:sz="4" w:space="0" w:color="auto"/>
              <w:bottom w:val="single" w:sz="4" w:space="0" w:color="auto"/>
              <w:right w:val="single" w:sz="4" w:space="0" w:color="auto"/>
            </w:tcBorders>
            <w:vAlign w:val="center"/>
          </w:tcPr>
          <w:p w14:paraId="21DDDBB4"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12</w:t>
            </w:r>
          </w:p>
        </w:tc>
        <w:tc>
          <w:tcPr>
            <w:tcW w:w="1800" w:type="dxa"/>
            <w:tcBorders>
              <w:top w:val="single" w:sz="4" w:space="0" w:color="auto"/>
              <w:left w:val="nil"/>
              <w:bottom w:val="single" w:sz="4" w:space="0" w:color="auto"/>
              <w:right w:val="single" w:sz="4" w:space="0" w:color="auto"/>
            </w:tcBorders>
            <w:vAlign w:val="center"/>
          </w:tcPr>
          <w:p w14:paraId="57425C63"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1,2-</w:t>
            </w:r>
            <w:r w:rsidRPr="008A2411">
              <w:rPr>
                <w:rFonts w:ascii="Times New Roman"/>
                <w:color w:val="000000" w:themeColor="text1"/>
                <w:szCs w:val="21"/>
              </w:rPr>
              <w:t>二氯乙烷</w:t>
            </w:r>
          </w:p>
        </w:tc>
        <w:tc>
          <w:tcPr>
            <w:tcW w:w="1729" w:type="dxa"/>
            <w:tcBorders>
              <w:top w:val="single" w:sz="4" w:space="0" w:color="auto"/>
              <w:left w:val="nil"/>
              <w:bottom w:val="single" w:sz="4" w:space="0" w:color="auto"/>
              <w:right w:val="single" w:sz="4" w:space="0" w:color="auto"/>
            </w:tcBorders>
            <w:vAlign w:val="center"/>
          </w:tcPr>
          <w:p w14:paraId="27DF18B2"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107-06-2</w:t>
            </w:r>
          </w:p>
        </w:tc>
        <w:tc>
          <w:tcPr>
            <w:tcW w:w="1189" w:type="dxa"/>
            <w:tcBorders>
              <w:top w:val="single" w:sz="4" w:space="0" w:color="auto"/>
              <w:left w:val="nil"/>
              <w:bottom w:val="single" w:sz="4" w:space="0" w:color="auto"/>
              <w:right w:val="single" w:sz="4" w:space="0" w:color="auto"/>
            </w:tcBorders>
            <w:vAlign w:val="center"/>
          </w:tcPr>
          <w:p w14:paraId="34C334D7"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0.52</w:t>
            </w:r>
          </w:p>
        </w:tc>
        <w:tc>
          <w:tcPr>
            <w:tcW w:w="1191" w:type="dxa"/>
            <w:tcBorders>
              <w:top w:val="single" w:sz="4" w:space="0" w:color="auto"/>
              <w:left w:val="nil"/>
              <w:bottom w:val="single" w:sz="4" w:space="0" w:color="auto"/>
              <w:right w:val="single" w:sz="4" w:space="0" w:color="auto"/>
            </w:tcBorders>
            <w:vAlign w:val="center"/>
          </w:tcPr>
          <w:p w14:paraId="3FCEDD38"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5</w:t>
            </w:r>
          </w:p>
        </w:tc>
        <w:tc>
          <w:tcPr>
            <w:tcW w:w="1189" w:type="dxa"/>
            <w:tcBorders>
              <w:top w:val="single" w:sz="4" w:space="0" w:color="auto"/>
              <w:left w:val="nil"/>
              <w:bottom w:val="single" w:sz="4" w:space="0" w:color="auto"/>
              <w:right w:val="single" w:sz="4" w:space="0" w:color="auto"/>
            </w:tcBorders>
            <w:vAlign w:val="center"/>
          </w:tcPr>
          <w:p w14:paraId="7E098143"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6</w:t>
            </w:r>
          </w:p>
        </w:tc>
        <w:tc>
          <w:tcPr>
            <w:tcW w:w="1187" w:type="dxa"/>
            <w:tcBorders>
              <w:top w:val="single" w:sz="4" w:space="0" w:color="auto"/>
              <w:left w:val="nil"/>
              <w:bottom w:val="single" w:sz="4" w:space="0" w:color="auto"/>
              <w:right w:val="single" w:sz="4" w:space="0" w:color="auto"/>
            </w:tcBorders>
            <w:vAlign w:val="center"/>
          </w:tcPr>
          <w:p w14:paraId="4DB0D1F6"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21</w:t>
            </w:r>
          </w:p>
        </w:tc>
      </w:tr>
      <w:tr w:rsidR="008A2411" w:rsidRPr="008A2411" w14:paraId="52D69C35" w14:textId="77777777">
        <w:trPr>
          <w:trHeight w:val="421"/>
        </w:trPr>
        <w:tc>
          <w:tcPr>
            <w:tcW w:w="573" w:type="dxa"/>
            <w:tcBorders>
              <w:top w:val="single" w:sz="4" w:space="0" w:color="auto"/>
              <w:left w:val="single" w:sz="4" w:space="0" w:color="auto"/>
              <w:bottom w:val="single" w:sz="4" w:space="0" w:color="auto"/>
              <w:right w:val="single" w:sz="4" w:space="0" w:color="auto"/>
            </w:tcBorders>
            <w:vAlign w:val="center"/>
          </w:tcPr>
          <w:p w14:paraId="592CB75E"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13</w:t>
            </w:r>
          </w:p>
        </w:tc>
        <w:tc>
          <w:tcPr>
            <w:tcW w:w="1800" w:type="dxa"/>
            <w:tcBorders>
              <w:top w:val="single" w:sz="4" w:space="0" w:color="auto"/>
              <w:left w:val="nil"/>
              <w:bottom w:val="single" w:sz="4" w:space="0" w:color="auto"/>
              <w:right w:val="single" w:sz="4" w:space="0" w:color="auto"/>
            </w:tcBorders>
            <w:vAlign w:val="center"/>
          </w:tcPr>
          <w:p w14:paraId="238388D0"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1,1-</w:t>
            </w:r>
            <w:r w:rsidRPr="008A2411">
              <w:rPr>
                <w:rFonts w:ascii="Times New Roman"/>
                <w:color w:val="000000" w:themeColor="text1"/>
                <w:szCs w:val="21"/>
              </w:rPr>
              <w:t>二氯乙烯</w:t>
            </w:r>
          </w:p>
        </w:tc>
        <w:tc>
          <w:tcPr>
            <w:tcW w:w="1729" w:type="dxa"/>
            <w:tcBorders>
              <w:top w:val="single" w:sz="4" w:space="0" w:color="auto"/>
              <w:left w:val="nil"/>
              <w:bottom w:val="single" w:sz="4" w:space="0" w:color="auto"/>
              <w:right w:val="single" w:sz="4" w:space="0" w:color="auto"/>
            </w:tcBorders>
            <w:vAlign w:val="center"/>
          </w:tcPr>
          <w:p w14:paraId="08244A1D"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75-35-4</w:t>
            </w:r>
          </w:p>
        </w:tc>
        <w:tc>
          <w:tcPr>
            <w:tcW w:w="1189" w:type="dxa"/>
            <w:tcBorders>
              <w:top w:val="single" w:sz="4" w:space="0" w:color="auto"/>
              <w:left w:val="nil"/>
              <w:bottom w:val="single" w:sz="4" w:space="0" w:color="auto"/>
              <w:right w:val="single" w:sz="4" w:space="0" w:color="auto"/>
            </w:tcBorders>
            <w:vAlign w:val="center"/>
          </w:tcPr>
          <w:p w14:paraId="733BF700"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12</w:t>
            </w:r>
          </w:p>
        </w:tc>
        <w:tc>
          <w:tcPr>
            <w:tcW w:w="1191" w:type="dxa"/>
            <w:tcBorders>
              <w:top w:val="single" w:sz="4" w:space="0" w:color="auto"/>
              <w:left w:val="nil"/>
              <w:bottom w:val="single" w:sz="4" w:space="0" w:color="auto"/>
              <w:right w:val="single" w:sz="4" w:space="0" w:color="auto"/>
            </w:tcBorders>
            <w:vAlign w:val="center"/>
          </w:tcPr>
          <w:p w14:paraId="5E7FAB3E"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66</w:t>
            </w:r>
          </w:p>
        </w:tc>
        <w:tc>
          <w:tcPr>
            <w:tcW w:w="1189" w:type="dxa"/>
            <w:tcBorders>
              <w:top w:val="single" w:sz="4" w:space="0" w:color="auto"/>
              <w:left w:val="nil"/>
              <w:bottom w:val="single" w:sz="4" w:space="0" w:color="auto"/>
              <w:right w:val="single" w:sz="4" w:space="0" w:color="auto"/>
            </w:tcBorders>
            <w:vAlign w:val="center"/>
          </w:tcPr>
          <w:p w14:paraId="62D94742"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40</w:t>
            </w:r>
          </w:p>
        </w:tc>
        <w:tc>
          <w:tcPr>
            <w:tcW w:w="1187" w:type="dxa"/>
            <w:tcBorders>
              <w:top w:val="single" w:sz="4" w:space="0" w:color="auto"/>
              <w:left w:val="nil"/>
              <w:bottom w:val="single" w:sz="4" w:space="0" w:color="auto"/>
              <w:right w:val="single" w:sz="4" w:space="0" w:color="auto"/>
            </w:tcBorders>
            <w:vAlign w:val="center"/>
          </w:tcPr>
          <w:p w14:paraId="448F91BB"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200</w:t>
            </w:r>
          </w:p>
        </w:tc>
      </w:tr>
      <w:tr w:rsidR="008A2411" w:rsidRPr="008A2411" w14:paraId="1357474E" w14:textId="77777777">
        <w:trPr>
          <w:trHeight w:val="421"/>
        </w:trPr>
        <w:tc>
          <w:tcPr>
            <w:tcW w:w="573" w:type="dxa"/>
            <w:tcBorders>
              <w:top w:val="single" w:sz="4" w:space="0" w:color="auto"/>
              <w:left w:val="single" w:sz="4" w:space="0" w:color="auto"/>
              <w:bottom w:val="single" w:sz="4" w:space="0" w:color="auto"/>
              <w:right w:val="single" w:sz="4" w:space="0" w:color="auto"/>
            </w:tcBorders>
            <w:vAlign w:val="center"/>
          </w:tcPr>
          <w:p w14:paraId="0E337EF7"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14</w:t>
            </w:r>
          </w:p>
        </w:tc>
        <w:tc>
          <w:tcPr>
            <w:tcW w:w="1800" w:type="dxa"/>
            <w:tcBorders>
              <w:top w:val="single" w:sz="4" w:space="0" w:color="auto"/>
              <w:left w:val="nil"/>
              <w:bottom w:val="single" w:sz="4" w:space="0" w:color="auto"/>
              <w:right w:val="single" w:sz="4" w:space="0" w:color="auto"/>
            </w:tcBorders>
            <w:vAlign w:val="center"/>
          </w:tcPr>
          <w:p w14:paraId="689A77CF"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顺</w:t>
            </w:r>
            <w:r w:rsidRPr="008A2411">
              <w:rPr>
                <w:rFonts w:ascii="Times New Roman"/>
                <w:color w:val="000000" w:themeColor="text1"/>
                <w:szCs w:val="21"/>
              </w:rPr>
              <w:t>-1,2-</w:t>
            </w:r>
            <w:r w:rsidRPr="008A2411">
              <w:rPr>
                <w:rFonts w:ascii="Times New Roman"/>
                <w:color w:val="000000" w:themeColor="text1"/>
                <w:szCs w:val="21"/>
              </w:rPr>
              <w:t>二氯乙烯</w:t>
            </w:r>
          </w:p>
        </w:tc>
        <w:tc>
          <w:tcPr>
            <w:tcW w:w="1729" w:type="dxa"/>
            <w:tcBorders>
              <w:top w:val="single" w:sz="4" w:space="0" w:color="auto"/>
              <w:left w:val="nil"/>
              <w:bottom w:val="single" w:sz="4" w:space="0" w:color="auto"/>
              <w:right w:val="single" w:sz="4" w:space="0" w:color="auto"/>
            </w:tcBorders>
            <w:vAlign w:val="center"/>
          </w:tcPr>
          <w:p w14:paraId="08F3353E"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156-59-2</w:t>
            </w:r>
          </w:p>
        </w:tc>
        <w:tc>
          <w:tcPr>
            <w:tcW w:w="1189" w:type="dxa"/>
            <w:tcBorders>
              <w:top w:val="single" w:sz="4" w:space="0" w:color="auto"/>
              <w:left w:val="nil"/>
              <w:bottom w:val="single" w:sz="4" w:space="0" w:color="auto"/>
              <w:right w:val="single" w:sz="4" w:space="0" w:color="auto"/>
            </w:tcBorders>
            <w:vAlign w:val="center"/>
          </w:tcPr>
          <w:p w14:paraId="754E345B"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66</w:t>
            </w:r>
          </w:p>
        </w:tc>
        <w:tc>
          <w:tcPr>
            <w:tcW w:w="1191" w:type="dxa"/>
            <w:tcBorders>
              <w:top w:val="single" w:sz="4" w:space="0" w:color="auto"/>
              <w:left w:val="nil"/>
              <w:bottom w:val="single" w:sz="4" w:space="0" w:color="auto"/>
              <w:right w:val="single" w:sz="4" w:space="0" w:color="auto"/>
            </w:tcBorders>
            <w:vAlign w:val="center"/>
          </w:tcPr>
          <w:p w14:paraId="543B8709"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596</w:t>
            </w:r>
          </w:p>
        </w:tc>
        <w:tc>
          <w:tcPr>
            <w:tcW w:w="1189" w:type="dxa"/>
            <w:tcBorders>
              <w:top w:val="single" w:sz="4" w:space="0" w:color="auto"/>
              <w:left w:val="nil"/>
              <w:bottom w:val="single" w:sz="4" w:space="0" w:color="auto"/>
              <w:right w:val="single" w:sz="4" w:space="0" w:color="auto"/>
            </w:tcBorders>
            <w:vAlign w:val="center"/>
          </w:tcPr>
          <w:p w14:paraId="0AB84767"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200</w:t>
            </w:r>
          </w:p>
        </w:tc>
        <w:tc>
          <w:tcPr>
            <w:tcW w:w="1187" w:type="dxa"/>
            <w:tcBorders>
              <w:top w:val="single" w:sz="4" w:space="0" w:color="auto"/>
              <w:left w:val="nil"/>
              <w:bottom w:val="single" w:sz="4" w:space="0" w:color="auto"/>
              <w:right w:val="single" w:sz="4" w:space="0" w:color="auto"/>
            </w:tcBorders>
            <w:vAlign w:val="center"/>
          </w:tcPr>
          <w:p w14:paraId="5A97F9CE"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2000</w:t>
            </w:r>
          </w:p>
        </w:tc>
      </w:tr>
      <w:tr w:rsidR="008A2411" w:rsidRPr="008A2411" w14:paraId="09F4C54A" w14:textId="77777777">
        <w:trPr>
          <w:trHeight w:val="421"/>
        </w:trPr>
        <w:tc>
          <w:tcPr>
            <w:tcW w:w="573" w:type="dxa"/>
            <w:tcBorders>
              <w:top w:val="single" w:sz="4" w:space="0" w:color="auto"/>
              <w:left w:val="single" w:sz="4" w:space="0" w:color="auto"/>
              <w:bottom w:val="single" w:sz="4" w:space="0" w:color="auto"/>
              <w:right w:val="single" w:sz="4" w:space="0" w:color="auto"/>
            </w:tcBorders>
            <w:vAlign w:val="center"/>
          </w:tcPr>
          <w:p w14:paraId="16572B4B"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15</w:t>
            </w:r>
          </w:p>
        </w:tc>
        <w:tc>
          <w:tcPr>
            <w:tcW w:w="1800" w:type="dxa"/>
            <w:tcBorders>
              <w:top w:val="single" w:sz="4" w:space="0" w:color="auto"/>
              <w:left w:val="nil"/>
              <w:bottom w:val="single" w:sz="4" w:space="0" w:color="auto"/>
              <w:right w:val="single" w:sz="4" w:space="0" w:color="auto"/>
            </w:tcBorders>
            <w:vAlign w:val="center"/>
          </w:tcPr>
          <w:p w14:paraId="29249950"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反</w:t>
            </w:r>
            <w:r w:rsidRPr="008A2411">
              <w:rPr>
                <w:rFonts w:ascii="Times New Roman"/>
                <w:color w:val="000000" w:themeColor="text1"/>
                <w:szCs w:val="21"/>
              </w:rPr>
              <w:t>-1,2-</w:t>
            </w:r>
            <w:r w:rsidRPr="008A2411">
              <w:rPr>
                <w:rFonts w:ascii="Times New Roman"/>
                <w:color w:val="000000" w:themeColor="text1"/>
                <w:szCs w:val="21"/>
              </w:rPr>
              <w:t>二氯乙烯</w:t>
            </w:r>
          </w:p>
        </w:tc>
        <w:tc>
          <w:tcPr>
            <w:tcW w:w="1729" w:type="dxa"/>
            <w:tcBorders>
              <w:top w:val="single" w:sz="4" w:space="0" w:color="auto"/>
              <w:left w:val="nil"/>
              <w:bottom w:val="single" w:sz="4" w:space="0" w:color="auto"/>
              <w:right w:val="single" w:sz="4" w:space="0" w:color="auto"/>
            </w:tcBorders>
            <w:vAlign w:val="center"/>
          </w:tcPr>
          <w:p w14:paraId="7C1A6D52"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156-60-5</w:t>
            </w:r>
          </w:p>
        </w:tc>
        <w:tc>
          <w:tcPr>
            <w:tcW w:w="1189" w:type="dxa"/>
            <w:tcBorders>
              <w:top w:val="single" w:sz="4" w:space="0" w:color="auto"/>
              <w:left w:val="nil"/>
              <w:bottom w:val="single" w:sz="4" w:space="0" w:color="auto"/>
              <w:right w:val="single" w:sz="4" w:space="0" w:color="auto"/>
            </w:tcBorders>
            <w:vAlign w:val="center"/>
          </w:tcPr>
          <w:p w14:paraId="1CE0EC23"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10</w:t>
            </w:r>
          </w:p>
        </w:tc>
        <w:tc>
          <w:tcPr>
            <w:tcW w:w="1191" w:type="dxa"/>
            <w:tcBorders>
              <w:top w:val="single" w:sz="4" w:space="0" w:color="auto"/>
              <w:left w:val="nil"/>
              <w:bottom w:val="single" w:sz="4" w:space="0" w:color="auto"/>
              <w:right w:val="single" w:sz="4" w:space="0" w:color="auto"/>
            </w:tcBorders>
            <w:vAlign w:val="center"/>
          </w:tcPr>
          <w:p w14:paraId="7BCFAC3D"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54</w:t>
            </w:r>
          </w:p>
        </w:tc>
        <w:tc>
          <w:tcPr>
            <w:tcW w:w="1189" w:type="dxa"/>
            <w:tcBorders>
              <w:top w:val="single" w:sz="4" w:space="0" w:color="auto"/>
              <w:left w:val="nil"/>
              <w:bottom w:val="single" w:sz="4" w:space="0" w:color="auto"/>
              <w:right w:val="single" w:sz="4" w:space="0" w:color="auto"/>
            </w:tcBorders>
            <w:vAlign w:val="center"/>
          </w:tcPr>
          <w:p w14:paraId="690FA2D5"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31</w:t>
            </w:r>
          </w:p>
        </w:tc>
        <w:tc>
          <w:tcPr>
            <w:tcW w:w="1187" w:type="dxa"/>
            <w:tcBorders>
              <w:top w:val="single" w:sz="4" w:space="0" w:color="auto"/>
              <w:left w:val="nil"/>
              <w:bottom w:val="single" w:sz="4" w:space="0" w:color="auto"/>
              <w:right w:val="single" w:sz="4" w:space="0" w:color="auto"/>
            </w:tcBorders>
            <w:vAlign w:val="center"/>
          </w:tcPr>
          <w:p w14:paraId="17E6BD31"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163</w:t>
            </w:r>
          </w:p>
        </w:tc>
      </w:tr>
      <w:tr w:rsidR="008A2411" w:rsidRPr="008A2411" w14:paraId="0FBBA88E" w14:textId="77777777">
        <w:trPr>
          <w:trHeight w:val="421"/>
        </w:trPr>
        <w:tc>
          <w:tcPr>
            <w:tcW w:w="573" w:type="dxa"/>
            <w:tcBorders>
              <w:top w:val="single" w:sz="4" w:space="0" w:color="auto"/>
              <w:left w:val="single" w:sz="4" w:space="0" w:color="auto"/>
              <w:bottom w:val="single" w:sz="4" w:space="0" w:color="auto"/>
              <w:right w:val="single" w:sz="4" w:space="0" w:color="auto"/>
            </w:tcBorders>
            <w:vAlign w:val="center"/>
          </w:tcPr>
          <w:p w14:paraId="0E415C1C"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16</w:t>
            </w:r>
          </w:p>
        </w:tc>
        <w:tc>
          <w:tcPr>
            <w:tcW w:w="1800" w:type="dxa"/>
            <w:tcBorders>
              <w:top w:val="single" w:sz="4" w:space="0" w:color="auto"/>
              <w:left w:val="nil"/>
              <w:bottom w:val="single" w:sz="4" w:space="0" w:color="auto"/>
              <w:right w:val="single" w:sz="4" w:space="0" w:color="auto"/>
            </w:tcBorders>
            <w:vAlign w:val="center"/>
          </w:tcPr>
          <w:p w14:paraId="7C7768CC"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二氯甲烷</w:t>
            </w:r>
          </w:p>
        </w:tc>
        <w:tc>
          <w:tcPr>
            <w:tcW w:w="1729" w:type="dxa"/>
            <w:tcBorders>
              <w:top w:val="single" w:sz="4" w:space="0" w:color="auto"/>
              <w:left w:val="nil"/>
              <w:bottom w:val="single" w:sz="4" w:space="0" w:color="auto"/>
              <w:right w:val="single" w:sz="4" w:space="0" w:color="auto"/>
            </w:tcBorders>
            <w:vAlign w:val="center"/>
          </w:tcPr>
          <w:p w14:paraId="0BFC5705"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75-09-2</w:t>
            </w:r>
          </w:p>
        </w:tc>
        <w:tc>
          <w:tcPr>
            <w:tcW w:w="1189" w:type="dxa"/>
            <w:tcBorders>
              <w:top w:val="single" w:sz="4" w:space="0" w:color="auto"/>
              <w:left w:val="nil"/>
              <w:bottom w:val="single" w:sz="4" w:space="0" w:color="auto"/>
              <w:right w:val="single" w:sz="4" w:space="0" w:color="auto"/>
            </w:tcBorders>
            <w:vAlign w:val="center"/>
          </w:tcPr>
          <w:p w14:paraId="6AA3067F"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94</w:t>
            </w:r>
          </w:p>
        </w:tc>
        <w:tc>
          <w:tcPr>
            <w:tcW w:w="1191" w:type="dxa"/>
            <w:tcBorders>
              <w:top w:val="single" w:sz="4" w:space="0" w:color="auto"/>
              <w:left w:val="nil"/>
              <w:bottom w:val="single" w:sz="4" w:space="0" w:color="auto"/>
              <w:right w:val="single" w:sz="4" w:space="0" w:color="auto"/>
            </w:tcBorders>
            <w:vAlign w:val="center"/>
          </w:tcPr>
          <w:p w14:paraId="0B3D325F"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616</w:t>
            </w:r>
          </w:p>
        </w:tc>
        <w:tc>
          <w:tcPr>
            <w:tcW w:w="1189" w:type="dxa"/>
            <w:tcBorders>
              <w:top w:val="single" w:sz="4" w:space="0" w:color="auto"/>
              <w:left w:val="nil"/>
              <w:bottom w:val="single" w:sz="4" w:space="0" w:color="auto"/>
              <w:right w:val="single" w:sz="4" w:space="0" w:color="auto"/>
            </w:tcBorders>
            <w:vAlign w:val="center"/>
          </w:tcPr>
          <w:p w14:paraId="45C22022"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300</w:t>
            </w:r>
          </w:p>
        </w:tc>
        <w:tc>
          <w:tcPr>
            <w:tcW w:w="1187" w:type="dxa"/>
            <w:tcBorders>
              <w:top w:val="single" w:sz="4" w:space="0" w:color="auto"/>
              <w:left w:val="nil"/>
              <w:bottom w:val="single" w:sz="4" w:space="0" w:color="auto"/>
              <w:right w:val="single" w:sz="4" w:space="0" w:color="auto"/>
            </w:tcBorders>
            <w:vAlign w:val="center"/>
          </w:tcPr>
          <w:p w14:paraId="435785FA"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2000</w:t>
            </w:r>
          </w:p>
        </w:tc>
      </w:tr>
      <w:tr w:rsidR="008A2411" w:rsidRPr="008A2411" w14:paraId="0F959D1D" w14:textId="77777777">
        <w:trPr>
          <w:trHeight w:val="421"/>
        </w:trPr>
        <w:tc>
          <w:tcPr>
            <w:tcW w:w="573" w:type="dxa"/>
            <w:tcBorders>
              <w:top w:val="single" w:sz="4" w:space="0" w:color="auto"/>
              <w:left w:val="single" w:sz="4" w:space="0" w:color="auto"/>
              <w:bottom w:val="single" w:sz="4" w:space="0" w:color="auto"/>
              <w:right w:val="single" w:sz="4" w:space="0" w:color="auto"/>
            </w:tcBorders>
            <w:vAlign w:val="center"/>
          </w:tcPr>
          <w:p w14:paraId="2D3E162B"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17</w:t>
            </w:r>
          </w:p>
        </w:tc>
        <w:tc>
          <w:tcPr>
            <w:tcW w:w="1800" w:type="dxa"/>
            <w:tcBorders>
              <w:top w:val="single" w:sz="4" w:space="0" w:color="auto"/>
              <w:left w:val="nil"/>
              <w:bottom w:val="single" w:sz="4" w:space="0" w:color="auto"/>
              <w:right w:val="single" w:sz="4" w:space="0" w:color="auto"/>
            </w:tcBorders>
            <w:vAlign w:val="center"/>
          </w:tcPr>
          <w:p w14:paraId="41E54D82"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1,2-</w:t>
            </w:r>
            <w:r w:rsidRPr="008A2411">
              <w:rPr>
                <w:rFonts w:ascii="Times New Roman"/>
                <w:color w:val="000000" w:themeColor="text1"/>
                <w:szCs w:val="21"/>
              </w:rPr>
              <w:t>二氯丙烷</w:t>
            </w:r>
          </w:p>
        </w:tc>
        <w:tc>
          <w:tcPr>
            <w:tcW w:w="1729" w:type="dxa"/>
            <w:tcBorders>
              <w:top w:val="single" w:sz="4" w:space="0" w:color="auto"/>
              <w:left w:val="nil"/>
              <w:bottom w:val="single" w:sz="4" w:space="0" w:color="auto"/>
              <w:right w:val="single" w:sz="4" w:space="0" w:color="auto"/>
            </w:tcBorders>
            <w:vAlign w:val="center"/>
          </w:tcPr>
          <w:p w14:paraId="14DB3E8F"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78-87-5</w:t>
            </w:r>
          </w:p>
        </w:tc>
        <w:tc>
          <w:tcPr>
            <w:tcW w:w="1189" w:type="dxa"/>
            <w:tcBorders>
              <w:top w:val="single" w:sz="4" w:space="0" w:color="auto"/>
              <w:left w:val="nil"/>
              <w:bottom w:val="single" w:sz="4" w:space="0" w:color="auto"/>
              <w:right w:val="single" w:sz="4" w:space="0" w:color="auto"/>
            </w:tcBorders>
            <w:vAlign w:val="center"/>
          </w:tcPr>
          <w:p w14:paraId="39FBAE9E"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w:t>
            </w:r>
          </w:p>
        </w:tc>
        <w:tc>
          <w:tcPr>
            <w:tcW w:w="1191" w:type="dxa"/>
            <w:tcBorders>
              <w:top w:val="single" w:sz="4" w:space="0" w:color="auto"/>
              <w:left w:val="nil"/>
              <w:bottom w:val="single" w:sz="4" w:space="0" w:color="auto"/>
              <w:right w:val="single" w:sz="4" w:space="0" w:color="auto"/>
            </w:tcBorders>
            <w:vAlign w:val="center"/>
          </w:tcPr>
          <w:p w14:paraId="0766C5DC"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5</w:t>
            </w:r>
          </w:p>
        </w:tc>
        <w:tc>
          <w:tcPr>
            <w:tcW w:w="1189" w:type="dxa"/>
            <w:tcBorders>
              <w:top w:val="single" w:sz="4" w:space="0" w:color="auto"/>
              <w:left w:val="nil"/>
              <w:bottom w:val="single" w:sz="4" w:space="0" w:color="auto"/>
              <w:right w:val="single" w:sz="4" w:space="0" w:color="auto"/>
            </w:tcBorders>
            <w:vAlign w:val="center"/>
          </w:tcPr>
          <w:p w14:paraId="0CC12FF7"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5</w:t>
            </w:r>
          </w:p>
        </w:tc>
        <w:tc>
          <w:tcPr>
            <w:tcW w:w="1187" w:type="dxa"/>
            <w:tcBorders>
              <w:top w:val="single" w:sz="4" w:space="0" w:color="auto"/>
              <w:left w:val="nil"/>
              <w:bottom w:val="single" w:sz="4" w:space="0" w:color="auto"/>
              <w:right w:val="single" w:sz="4" w:space="0" w:color="auto"/>
            </w:tcBorders>
            <w:vAlign w:val="center"/>
          </w:tcPr>
          <w:p w14:paraId="6A59BC31"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47</w:t>
            </w:r>
          </w:p>
        </w:tc>
      </w:tr>
      <w:tr w:rsidR="008A2411" w:rsidRPr="008A2411" w14:paraId="27E46E90" w14:textId="77777777">
        <w:trPr>
          <w:trHeight w:val="421"/>
        </w:trPr>
        <w:tc>
          <w:tcPr>
            <w:tcW w:w="573" w:type="dxa"/>
            <w:tcBorders>
              <w:top w:val="single" w:sz="4" w:space="0" w:color="auto"/>
              <w:left w:val="single" w:sz="4" w:space="0" w:color="auto"/>
              <w:bottom w:val="single" w:sz="4" w:space="0" w:color="auto"/>
              <w:right w:val="single" w:sz="4" w:space="0" w:color="auto"/>
            </w:tcBorders>
            <w:vAlign w:val="center"/>
          </w:tcPr>
          <w:p w14:paraId="79B917EE"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18</w:t>
            </w:r>
          </w:p>
        </w:tc>
        <w:tc>
          <w:tcPr>
            <w:tcW w:w="1800" w:type="dxa"/>
            <w:tcBorders>
              <w:top w:val="single" w:sz="4" w:space="0" w:color="auto"/>
              <w:left w:val="nil"/>
              <w:bottom w:val="single" w:sz="4" w:space="0" w:color="auto"/>
              <w:right w:val="single" w:sz="4" w:space="0" w:color="auto"/>
            </w:tcBorders>
            <w:vAlign w:val="center"/>
          </w:tcPr>
          <w:p w14:paraId="4CD800B8"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1,1,1,2-</w:t>
            </w:r>
            <w:r w:rsidRPr="008A2411">
              <w:rPr>
                <w:rFonts w:ascii="Times New Roman"/>
                <w:color w:val="000000" w:themeColor="text1"/>
                <w:szCs w:val="21"/>
              </w:rPr>
              <w:t>四氯乙烷</w:t>
            </w:r>
          </w:p>
        </w:tc>
        <w:tc>
          <w:tcPr>
            <w:tcW w:w="1729" w:type="dxa"/>
            <w:tcBorders>
              <w:top w:val="single" w:sz="4" w:space="0" w:color="auto"/>
              <w:left w:val="nil"/>
              <w:bottom w:val="single" w:sz="4" w:space="0" w:color="auto"/>
              <w:right w:val="single" w:sz="4" w:space="0" w:color="auto"/>
            </w:tcBorders>
            <w:vAlign w:val="center"/>
          </w:tcPr>
          <w:p w14:paraId="15A0650B"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630-20-6</w:t>
            </w:r>
          </w:p>
        </w:tc>
        <w:tc>
          <w:tcPr>
            <w:tcW w:w="1189" w:type="dxa"/>
            <w:tcBorders>
              <w:top w:val="single" w:sz="4" w:space="0" w:color="auto"/>
              <w:left w:val="nil"/>
              <w:bottom w:val="single" w:sz="4" w:space="0" w:color="auto"/>
              <w:right w:val="single" w:sz="4" w:space="0" w:color="auto"/>
            </w:tcBorders>
            <w:vAlign w:val="center"/>
          </w:tcPr>
          <w:p w14:paraId="45511470"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2.6</w:t>
            </w:r>
          </w:p>
        </w:tc>
        <w:tc>
          <w:tcPr>
            <w:tcW w:w="1191" w:type="dxa"/>
            <w:tcBorders>
              <w:top w:val="single" w:sz="4" w:space="0" w:color="auto"/>
              <w:left w:val="nil"/>
              <w:bottom w:val="single" w:sz="4" w:space="0" w:color="auto"/>
              <w:right w:val="single" w:sz="4" w:space="0" w:color="auto"/>
            </w:tcBorders>
            <w:vAlign w:val="center"/>
          </w:tcPr>
          <w:p w14:paraId="5289E46D"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10</w:t>
            </w:r>
          </w:p>
        </w:tc>
        <w:tc>
          <w:tcPr>
            <w:tcW w:w="1189" w:type="dxa"/>
            <w:tcBorders>
              <w:top w:val="single" w:sz="4" w:space="0" w:color="auto"/>
              <w:left w:val="nil"/>
              <w:bottom w:val="single" w:sz="4" w:space="0" w:color="auto"/>
              <w:right w:val="single" w:sz="4" w:space="0" w:color="auto"/>
            </w:tcBorders>
            <w:vAlign w:val="center"/>
          </w:tcPr>
          <w:p w14:paraId="0F0D1E57"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26</w:t>
            </w:r>
          </w:p>
        </w:tc>
        <w:tc>
          <w:tcPr>
            <w:tcW w:w="1187" w:type="dxa"/>
            <w:tcBorders>
              <w:top w:val="single" w:sz="4" w:space="0" w:color="auto"/>
              <w:left w:val="nil"/>
              <w:bottom w:val="single" w:sz="4" w:space="0" w:color="auto"/>
              <w:right w:val="single" w:sz="4" w:space="0" w:color="auto"/>
            </w:tcBorders>
            <w:vAlign w:val="center"/>
          </w:tcPr>
          <w:p w14:paraId="0551A2EF"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100</w:t>
            </w:r>
          </w:p>
        </w:tc>
      </w:tr>
      <w:tr w:rsidR="008A2411" w:rsidRPr="008A2411" w14:paraId="27532D24" w14:textId="77777777">
        <w:trPr>
          <w:trHeight w:val="421"/>
        </w:trPr>
        <w:tc>
          <w:tcPr>
            <w:tcW w:w="573" w:type="dxa"/>
            <w:tcBorders>
              <w:top w:val="single" w:sz="4" w:space="0" w:color="auto"/>
              <w:left w:val="single" w:sz="4" w:space="0" w:color="auto"/>
              <w:bottom w:val="single" w:sz="4" w:space="0" w:color="auto"/>
              <w:right w:val="single" w:sz="4" w:space="0" w:color="auto"/>
            </w:tcBorders>
            <w:vAlign w:val="center"/>
          </w:tcPr>
          <w:p w14:paraId="01724596"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19</w:t>
            </w:r>
          </w:p>
        </w:tc>
        <w:tc>
          <w:tcPr>
            <w:tcW w:w="1800" w:type="dxa"/>
            <w:tcBorders>
              <w:top w:val="single" w:sz="4" w:space="0" w:color="auto"/>
              <w:left w:val="nil"/>
              <w:bottom w:val="single" w:sz="4" w:space="0" w:color="auto"/>
              <w:right w:val="single" w:sz="4" w:space="0" w:color="auto"/>
            </w:tcBorders>
            <w:vAlign w:val="center"/>
          </w:tcPr>
          <w:p w14:paraId="17E4329C"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1,1,2,2-</w:t>
            </w:r>
            <w:r w:rsidRPr="008A2411">
              <w:rPr>
                <w:rFonts w:ascii="Times New Roman"/>
                <w:color w:val="000000" w:themeColor="text1"/>
                <w:szCs w:val="21"/>
              </w:rPr>
              <w:t>四氯乙烷</w:t>
            </w:r>
          </w:p>
        </w:tc>
        <w:tc>
          <w:tcPr>
            <w:tcW w:w="1729" w:type="dxa"/>
            <w:tcBorders>
              <w:top w:val="single" w:sz="4" w:space="0" w:color="auto"/>
              <w:left w:val="nil"/>
              <w:bottom w:val="single" w:sz="4" w:space="0" w:color="auto"/>
              <w:right w:val="single" w:sz="4" w:space="0" w:color="auto"/>
            </w:tcBorders>
            <w:vAlign w:val="center"/>
          </w:tcPr>
          <w:p w14:paraId="2876371B"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79-34-5</w:t>
            </w:r>
          </w:p>
        </w:tc>
        <w:tc>
          <w:tcPr>
            <w:tcW w:w="1189" w:type="dxa"/>
            <w:tcBorders>
              <w:top w:val="single" w:sz="4" w:space="0" w:color="auto"/>
              <w:left w:val="nil"/>
              <w:bottom w:val="single" w:sz="4" w:space="0" w:color="auto"/>
              <w:right w:val="single" w:sz="4" w:space="0" w:color="auto"/>
            </w:tcBorders>
            <w:vAlign w:val="center"/>
          </w:tcPr>
          <w:p w14:paraId="5A2CE122"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1.6</w:t>
            </w:r>
          </w:p>
        </w:tc>
        <w:tc>
          <w:tcPr>
            <w:tcW w:w="1191" w:type="dxa"/>
            <w:tcBorders>
              <w:top w:val="single" w:sz="4" w:space="0" w:color="auto"/>
              <w:left w:val="nil"/>
              <w:bottom w:val="single" w:sz="4" w:space="0" w:color="auto"/>
              <w:right w:val="single" w:sz="4" w:space="0" w:color="auto"/>
            </w:tcBorders>
            <w:vAlign w:val="center"/>
          </w:tcPr>
          <w:p w14:paraId="06C5C124"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6.8</w:t>
            </w:r>
          </w:p>
        </w:tc>
        <w:tc>
          <w:tcPr>
            <w:tcW w:w="1189" w:type="dxa"/>
            <w:tcBorders>
              <w:top w:val="single" w:sz="4" w:space="0" w:color="auto"/>
              <w:left w:val="nil"/>
              <w:bottom w:val="single" w:sz="4" w:space="0" w:color="auto"/>
              <w:right w:val="single" w:sz="4" w:space="0" w:color="auto"/>
            </w:tcBorders>
            <w:vAlign w:val="center"/>
          </w:tcPr>
          <w:p w14:paraId="6B8F2D89"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14</w:t>
            </w:r>
          </w:p>
        </w:tc>
        <w:tc>
          <w:tcPr>
            <w:tcW w:w="1187" w:type="dxa"/>
            <w:tcBorders>
              <w:top w:val="single" w:sz="4" w:space="0" w:color="auto"/>
              <w:left w:val="nil"/>
              <w:bottom w:val="single" w:sz="4" w:space="0" w:color="auto"/>
              <w:right w:val="single" w:sz="4" w:space="0" w:color="auto"/>
            </w:tcBorders>
            <w:vAlign w:val="center"/>
          </w:tcPr>
          <w:p w14:paraId="6ED2C818"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50</w:t>
            </w:r>
          </w:p>
        </w:tc>
      </w:tr>
      <w:tr w:rsidR="008A2411" w:rsidRPr="008A2411" w14:paraId="32185A2B" w14:textId="77777777">
        <w:trPr>
          <w:trHeight w:val="421"/>
        </w:trPr>
        <w:tc>
          <w:tcPr>
            <w:tcW w:w="573" w:type="dxa"/>
            <w:tcBorders>
              <w:top w:val="single" w:sz="4" w:space="0" w:color="auto"/>
              <w:left w:val="single" w:sz="4" w:space="0" w:color="auto"/>
              <w:bottom w:val="single" w:sz="4" w:space="0" w:color="auto"/>
              <w:right w:val="single" w:sz="4" w:space="0" w:color="auto"/>
            </w:tcBorders>
            <w:vAlign w:val="center"/>
          </w:tcPr>
          <w:p w14:paraId="3CF791A0"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20</w:t>
            </w:r>
          </w:p>
        </w:tc>
        <w:tc>
          <w:tcPr>
            <w:tcW w:w="1800" w:type="dxa"/>
            <w:tcBorders>
              <w:top w:val="single" w:sz="4" w:space="0" w:color="auto"/>
              <w:left w:val="nil"/>
              <w:bottom w:val="single" w:sz="4" w:space="0" w:color="auto"/>
              <w:right w:val="single" w:sz="4" w:space="0" w:color="auto"/>
            </w:tcBorders>
            <w:vAlign w:val="center"/>
          </w:tcPr>
          <w:p w14:paraId="009A6EE9"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四氯乙烯</w:t>
            </w:r>
          </w:p>
        </w:tc>
        <w:tc>
          <w:tcPr>
            <w:tcW w:w="1729" w:type="dxa"/>
            <w:tcBorders>
              <w:top w:val="single" w:sz="4" w:space="0" w:color="auto"/>
              <w:left w:val="nil"/>
              <w:bottom w:val="single" w:sz="4" w:space="0" w:color="auto"/>
              <w:right w:val="single" w:sz="4" w:space="0" w:color="auto"/>
            </w:tcBorders>
            <w:vAlign w:val="center"/>
          </w:tcPr>
          <w:p w14:paraId="3F9D9492"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127-18-4</w:t>
            </w:r>
          </w:p>
        </w:tc>
        <w:tc>
          <w:tcPr>
            <w:tcW w:w="1189" w:type="dxa"/>
            <w:tcBorders>
              <w:top w:val="single" w:sz="4" w:space="0" w:color="auto"/>
              <w:left w:val="nil"/>
              <w:bottom w:val="single" w:sz="4" w:space="0" w:color="auto"/>
              <w:right w:val="single" w:sz="4" w:space="0" w:color="auto"/>
            </w:tcBorders>
            <w:vAlign w:val="center"/>
          </w:tcPr>
          <w:p w14:paraId="1B597A29"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11</w:t>
            </w:r>
          </w:p>
        </w:tc>
        <w:tc>
          <w:tcPr>
            <w:tcW w:w="1191" w:type="dxa"/>
            <w:tcBorders>
              <w:top w:val="single" w:sz="4" w:space="0" w:color="auto"/>
              <w:left w:val="nil"/>
              <w:bottom w:val="single" w:sz="4" w:space="0" w:color="auto"/>
              <w:right w:val="single" w:sz="4" w:space="0" w:color="auto"/>
            </w:tcBorders>
            <w:vAlign w:val="center"/>
          </w:tcPr>
          <w:p w14:paraId="52B04305"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53</w:t>
            </w:r>
          </w:p>
        </w:tc>
        <w:tc>
          <w:tcPr>
            <w:tcW w:w="1189" w:type="dxa"/>
            <w:tcBorders>
              <w:top w:val="single" w:sz="4" w:space="0" w:color="auto"/>
              <w:left w:val="nil"/>
              <w:bottom w:val="single" w:sz="4" w:space="0" w:color="auto"/>
              <w:right w:val="single" w:sz="4" w:space="0" w:color="auto"/>
            </w:tcBorders>
            <w:vAlign w:val="center"/>
          </w:tcPr>
          <w:p w14:paraId="4F0805A2"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34</w:t>
            </w:r>
          </w:p>
        </w:tc>
        <w:tc>
          <w:tcPr>
            <w:tcW w:w="1187" w:type="dxa"/>
            <w:tcBorders>
              <w:top w:val="single" w:sz="4" w:space="0" w:color="auto"/>
              <w:left w:val="nil"/>
              <w:bottom w:val="single" w:sz="4" w:space="0" w:color="auto"/>
              <w:right w:val="single" w:sz="4" w:space="0" w:color="auto"/>
            </w:tcBorders>
            <w:vAlign w:val="center"/>
          </w:tcPr>
          <w:p w14:paraId="01CD0A7F"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183</w:t>
            </w:r>
          </w:p>
        </w:tc>
      </w:tr>
      <w:tr w:rsidR="008A2411" w:rsidRPr="008A2411" w14:paraId="56ECC6C4" w14:textId="77777777">
        <w:trPr>
          <w:trHeight w:val="421"/>
        </w:trPr>
        <w:tc>
          <w:tcPr>
            <w:tcW w:w="573" w:type="dxa"/>
            <w:tcBorders>
              <w:top w:val="single" w:sz="4" w:space="0" w:color="auto"/>
              <w:left w:val="single" w:sz="4" w:space="0" w:color="auto"/>
              <w:bottom w:val="single" w:sz="4" w:space="0" w:color="auto"/>
              <w:right w:val="single" w:sz="4" w:space="0" w:color="auto"/>
            </w:tcBorders>
            <w:vAlign w:val="center"/>
          </w:tcPr>
          <w:p w14:paraId="6B47E7A8"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21</w:t>
            </w:r>
          </w:p>
        </w:tc>
        <w:tc>
          <w:tcPr>
            <w:tcW w:w="1800" w:type="dxa"/>
            <w:tcBorders>
              <w:top w:val="single" w:sz="4" w:space="0" w:color="auto"/>
              <w:left w:val="nil"/>
              <w:bottom w:val="single" w:sz="4" w:space="0" w:color="auto"/>
              <w:right w:val="single" w:sz="4" w:space="0" w:color="auto"/>
            </w:tcBorders>
            <w:vAlign w:val="center"/>
          </w:tcPr>
          <w:p w14:paraId="408F062D"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1,1,1-</w:t>
            </w:r>
            <w:r w:rsidRPr="008A2411">
              <w:rPr>
                <w:rFonts w:ascii="Times New Roman"/>
                <w:color w:val="000000" w:themeColor="text1"/>
                <w:szCs w:val="21"/>
              </w:rPr>
              <w:t>三氯乙烷</w:t>
            </w:r>
          </w:p>
        </w:tc>
        <w:tc>
          <w:tcPr>
            <w:tcW w:w="1729" w:type="dxa"/>
            <w:tcBorders>
              <w:top w:val="single" w:sz="4" w:space="0" w:color="auto"/>
              <w:left w:val="nil"/>
              <w:bottom w:val="single" w:sz="4" w:space="0" w:color="auto"/>
              <w:right w:val="single" w:sz="4" w:space="0" w:color="auto"/>
            </w:tcBorders>
            <w:vAlign w:val="center"/>
          </w:tcPr>
          <w:p w14:paraId="49ECC6C9"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71-55-6</w:t>
            </w:r>
          </w:p>
        </w:tc>
        <w:tc>
          <w:tcPr>
            <w:tcW w:w="1189" w:type="dxa"/>
            <w:tcBorders>
              <w:top w:val="single" w:sz="4" w:space="0" w:color="auto"/>
              <w:left w:val="nil"/>
              <w:bottom w:val="single" w:sz="4" w:space="0" w:color="auto"/>
              <w:right w:val="single" w:sz="4" w:space="0" w:color="auto"/>
            </w:tcBorders>
            <w:vAlign w:val="center"/>
          </w:tcPr>
          <w:p w14:paraId="1B92F014"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701</w:t>
            </w:r>
          </w:p>
        </w:tc>
        <w:tc>
          <w:tcPr>
            <w:tcW w:w="1191" w:type="dxa"/>
            <w:tcBorders>
              <w:top w:val="single" w:sz="4" w:space="0" w:color="auto"/>
              <w:left w:val="nil"/>
              <w:bottom w:val="single" w:sz="4" w:space="0" w:color="auto"/>
              <w:right w:val="single" w:sz="4" w:space="0" w:color="auto"/>
            </w:tcBorders>
            <w:vAlign w:val="center"/>
          </w:tcPr>
          <w:p w14:paraId="6F10E7AF"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840</w:t>
            </w:r>
          </w:p>
        </w:tc>
        <w:tc>
          <w:tcPr>
            <w:tcW w:w="1189" w:type="dxa"/>
            <w:tcBorders>
              <w:top w:val="single" w:sz="4" w:space="0" w:color="auto"/>
              <w:left w:val="nil"/>
              <w:bottom w:val="single" w:sz="4" w:space="0" w:color="auto"/>
              <w:right w:val="single" w:sz="4" w:space="0" w:color="auto"/>
            </w:tcBorders>
            <w:vAlign w:val="center"/>
          </w:tcPr>
          <w:p w14:paraId="76951C28"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840</w:t>
            </w:r>
          </w:p>
        </w:tc>
        <w:tc>
          <w:tcPr>
            <w:tcW w:w="1187" w:type="dxa"/>
            <w:tcBorders>
              <w:top w:val="single" w:sz="4" w:space="0" w:color="auto"/>
              <w:left w:val="nil"/>
              <w:bottom w:val="single" w:sz="4" w:space="0" w:color="auto"/>
              <w:right w:val="single" w:sz="4" w:space="0" w:color="auto"/>
            </w:tcBorders>
            <w:vAlign w:val="center"/>
          </w:tcPr>
          <w:p w14:paraId="516626D6"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840</w:t>
            </w:r>
          </w:p>
        </w:tc>
      </w:tr>
      <w:tr w:rsidR="008A2411" w:rsidRPr="008A2411" w14:paraId="252F0F6C" w14:textId="77777777">
        <w:trPr>
          <w:trHeight w:val="421"/>
        </w:trPr>
        <w:tc>
          <w:tcPr>
            <w:tcW w:w="573" w:type="dxa"/>
            <w:tcBorders>
              <w:top w:val="single" w:sz="4" w:space="0" w:color="auto"/>
              <w:left w:val="single" w:sz="4" w:space="0" w:color="auto"/>
              <w:bottom w:val="single" w:sz="4" w:space="0" w:color="auto"/>
              <w:right w:val="single" w:sz="4" w:space="0" w:color="auto"/>
            </w:tcBorders>
            <w:vAlign w:val="center"/>
          </w:tcPr>
          <w:p w14:paraId="5492440A"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22</w:t>
            </w:r>
          </w:p>
        </w:tc>
        <w:tc>
          <w:tcPr>
            <w:tcW w:w="1800" w:type="dxa"/>
            <w:tcBorders>
              <w:top w:val="single" w:sz="4" w:space="0" w:color="auto"/>
              <w:left w:val="nil"/>
              <w:bottom w:val="single" w:sz="4" w:space="0" w:color="auto"/>
              <w:right w:val="single" w:sz="4" w:space="0" w:color="auto"/>
            </w:tcBorders>
            <w:vAlign w:val="center"/>
          </w:tcPr>
          <w:p w14:paraId="0A49109F"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1,1,2-</w:t>
            </w:r>
            <w:r w:rsidRPr="008A2411">
              <w:rPr>
                <w:rFonts w:ascii="Times New Roman"/>
                <w:color w:val="000000" w:themeColor="text1"/>
                <w:szCs w:val="21"/>
              </w:rPr>
              <w:t>三氯乙烷</w:t>
            </w:r>
          </w:p>
        </w:tc>
        <w:tc>
          <w:tcPr>
            <w:tcW w:w="1729" w:type="dxa"/>
            <w:tcBorders>
              <w:top w:val="single" w:sz="4" w:space="0" w:color="auto"/>
              <w:left w:val="nil"/>
              <w:bottom w:val="single" w:sz="4" w:space="0" w:color="auto"/>
              <w:right w:val="single" w:sz="4" w:space="0" w:color="auto"/>
            </w:tcBorders>
            <w:vAlign w:val="center"/>
          </w:tcPr>
          <w:p w14:paraId="300F6733"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79-00-5</w:t>
            </w:r>
          </w:p>
        </w:tc>
        <w:tc>
          <w:tcPr>
            <w:tcW w:w="1189" w:type="dxa"/>
            <w:tcBorders>
              <w:top w:val="single" w:sz="4" w:space="0" w:color="auto"/>
              <w:left w:val="nil"/>
              <w:bottom w:val="single" w:sz="4" w:space="0" w:color="auto"/>
              <w:right w:val="single" w:sz="4" w:space="0" w:color="auto"/>
            </w:tcBorders>
            <w:vAlign w:val="center"/>
          </w:tcPr>
          <w:p w14:paraId="59F6D549"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0.6</w:t>
            </w:r>
          </w:p>
        </w:tc>
        <w:tc>
          <w:tcPr>
            <w:tcW w:w="1191" w:type="dxa"/>
            <w:tcBorders>
              <w:top w:val="single" w:sz="4" w:space="0" w:color="auto"/>
              <w:left w:val="nil"/>
              <w:bottom w:val="single" w:sz="4" w:space="0" w:color="auto"/>
              <w:right w:val="single" w:sz="4" w:space="0" w:color="auto"/>
            </w:tcBorders>
            <w:vAlign w:val="center"/>
          </w:tcPr>
          <w:p w14:paraId="6D612F7A"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2.8</w:t>
            </w:r>
          </w:p>
        </w:tc>
        <w:tc>
          <w:tcPr>
            <w:tcW w:w="1189" w:type="dxa"/>
            <w:tcBorders>
              <w:top w:val="single" w:sz="4" w:space="0" w:color="auto"/>
              <w:left w:val="nil"/>
              <w:bottom w:val="single" w:sz="4" w:space="0" w:color="auto"/>
              <w:right w:val="single" w:sz="4" w:space="0" w:color="auto"/>
            </w:tcBorders>
            <w:vAlign w:val="center"/>
          </w:tcPr>
          <w:p w14:paraId="446752FB"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5</w:t>
            </w:r>
          </w:p>
        </w:tc>
        <w:tc>
          <w:tcPr>
            <w:tcW w:w="1187" w:type="dxa"/>
            <w:tcBorders>
              <w:top w:val="single" w:sz="4" w:space="0" w:color="auto"/>
              <w:left w:val="nil"/>
              <w:bottom w:val="single" w:sz="4" w:space="0" w:color="auto"/>
              <w:right w:val="single" w:sz="4" w:space="0" w:color="auto"/>
            </w:tcBorders>
            <w:vAlign w:val="center"/>
          </w:tcPr>
          <w:p w14:paraId="4AE7442B"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15</w:t>
            </w:r>
          </w:p>
        </w:tc>
      </w:tr>
      <w:tr w:rsidR="008A2411" w:rsidRPr="008A2411" w14:paraId="57763092" w14:textId="77777777">
        <w:trPr>
          <w:trHeight w:val="421"/>
        </w:trPr>
        <w:tc>
          <w:tcPr>
            <w:tcW w:w="573" w:type="dxa"/>
            <w:tcBorders>
              <w:top w:val="single" w:sz="4" w:space="0" w:color="auto"/>
              <w:left w:val="single" w:sz="4" w:space="0" w:color="auto"/>
              <w:bottom w:val="single" w:sz="4" w:space="0" w:color="auto"/>
              <w:right w:val="single" w:sz="4" w:space="0" w:color="auto"/>
            </w:tcBorders>
            <w:vAlign w:val="center"/>
          </w:tcPr>
          <w:p w14:paraId="196F67FF"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23</w:t>
            </w:r>
          </w:p>
        </w:tc>
        <w:tc>
          <w:tcPr>
            <w:tcW w:w="1800" w:type="dxa"/>
            <w:tcBorders>
              <w:top w:val="single" w:sz="4" w:space="0" w:color="auto"/>
              <w:left w:val="nil"/>
              <w:bottom w:val="single" w:sz="4" w:space="0" w:color="auto"/>
              <w:right w:val="single" w:sz="4" w:space="0" w:color="auto"/>
            </w:tcBorders>
            <w:vAlign w:val="center"/>
          </w:tcPr>
          <w:p w14:paraId="61F5593B"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三氯乙烯</w:t>
            </w:r>
          </w:p>
        </w:tc>
        <w:tc>
          <w:tcPr>
            <w:tcW w:w="1729" w:type="dxa"/>
            <w:tcBorders>
              <w:top w:val="single" w:sz="4" w:space="0" w:color="auto"/>
              <w:left w:val="nil"/>
              <w:bottom w:val="single" w:sz="4" w:space="0" w:color="auto"/>
              <w:right w:val="single" w:sz="4" w:space="0" w:color="auto"/>
            </w:tcBorders>
            <w:vAlign w:val="center"/>
          </w:tcPr>
          <w:p w14:paraId="1C6D2419"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79-01-6</w:t>
            </w:r>
          </w:p>
        </w:tc>
        <w:tc>
          <w:tcPr>
            <w:tcW w:w="1189" w:type="dxa"/>
            <w:tcBorders>
              <w:top w:val="single" w:sz="4" w:space="0" w:color="auto"/>
              <w:left w:val="nil"/>
              <w:bottom w:val="single" w:sz="4" w:space="0" w:color="auto"/>
              <w:right w:val="single" w:sz="4" w:space="0" w:color="auto"/>
            </w:tcBorders>
            <w:vAlign w:val="center"/>
          </w:tcPr>
          <w:p w14:paraId="220E89A2"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0.7</w:t>
            </w:r>
          </w:p>
        </w:tc>
        <w:tc>
          <w:tcPr>
            <w:tcW w:w="1191" w:type="dxa"/>
            <w:tcBorders>
              <w:top w:val="single" w:sz="4" w:space="0" w:color="auto"/>
              <w:left w:val="nil"/>
              <w:bottom w:val="single" w:sz="4" w:space="0" w:color="auto"/>
              <w:right w:val="single" w:sz="4" w:space="0" w:color="auto"/>
            </w:tcBorders>
            <w:vAlign w:val="center"/>
          </w:tcPr>
          <w:p w14:paraId="22C2C852"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2.8</w:t>
            </w:r>
          </w:p>
        </w:tc>
        <w:tc>
          <w:tcPr>
            <w:tcW w:w="1189" w:type="dxa"/>
            <w:tcBorders>
              <w:top w:val="single" w:sz="4" w:space="0" w:color="auto"/>
              <w:left w:val="nil"/>
              <w:bottom w:val="single" w:sz="4" w:space="0" w:color="auto"/>
              <w:right w:val="single" w:sz="4" w:space="0" w:color="auto"/>
            </w:tcBorders>
            <w:vAlign w:val="center"/>
          </w:tcPr>
          <w:p w14:paraId="258BBBAC"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7</w:t>
            </w:r>
          </w:p>
        </w:tc>
        <w:tc>
          <w:tcPr>
            <w:tcW w:w="1187" w:type="dxa"/>
            <w:tcBorders>
              <w:top w:val="single" w:sz="4" w:space="0" w:color="auto"/>
              <w:left w:val="nil"/>
              <w:bottom w:val="single" w:sz="4" w:space="0" w:color="auto"/>
              <w:right w:val="single" w:sz="4" w:space="0" w:color="auto"/>
            </w:tcBorders>
            <w:vAlign w:val="center"/>
          </w:tcPr>
          <w:p w14:paraId="7CAB6CB4"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20</w:t>
            </w:r>
          </w:p>
        </w:tc>
      </w:tr>
      <w:tr w:rsidR="008A2411" w:rsidRPr="008A2411" w14:paraId="66EF1A60" w14:textId="77777777">
        <w:trPr>
          <w:trHeight w:val="421"/>
        </w:trPr>
        <w:tc>
          <w:tcPr>
            <w:tcW w:w="573" w:type="dxa"/>
            <w:tcBorders>
              <w:top w:val="single" w:sz="4" w:space="0" w:color="auto"/>
              <w:left w:val="single" w:sz="4" w:space="0" w:color="auto"/>
              <w:bottom w:val="single" w:sz="4" w:space="0" w:color="auto"/>
              <w:right w:val="single" w:sz="4" w:space="0" w:color="auto"/>
            </w:tcBorders>
            <w:vAlign w:val="center"/>
          </w:tcPr>
          <w:p w14:paraId="6C32428E"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24</w:t>
            </w:r>
          </w:p>
        </w:tc>
        <w:tc>
          <w:tcPr>
            <w:tcW w:w="1800" w:type="dxa"/>
            <w:tcBorders>
              <w:top w:val="single" w:sz="4" w:space="0" w:color="auto"/>
              <w:left w:val="nil"/>
              <w:bottom w:val="single" w:sz="4" w:space="0" w:color="auto"/>
              <w:right w:val="single" w:sz="4" w:space="0" w:color="auto"/>
            </w:tcBorders>
            <w:vAlign w:val="center"/>
          </w:tcPr>
          <w:p w14:paraId="5F30228B"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1,2,3-</w:t>
            </w:r>
            <w:r w:rsidRPr="008A2411">
              <w:rPr>
                <w:rFonts w:ascii="Times New Roman"/>
                <w:color w:val="000000" w:themeColor="text1"/>
                <w:szCs w:val="21"/>
              </w:rPr>
              <w:t>三氯丙烷</w:t>
            </w:r>
          </w:p>
        </w:tc>
        <w:tc>
          <w:tcPr>
            <w:tcW w:w="1729" w:type="dxa"/>
            <w:tcBorders>
              <w:top w:val="single" w:sz="4" w:space="0" w:color="auto"/>
              <w:left w:val="nil"/>
              <w:bottom w:val="single" w:sz="4" w:space="0" w:color="auto"/>
              <w:right w:val="single" w:sz="4" w:space="0" w:color="auto"/>
            </w:tcBorders>
            <w:vAlign w:val="center"/>
          </w:tcPr>
          <w:p w14:paraId="54AA0A22"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96-18-4</w:t>
            </w:r>
          </w:p>
        </w:tc>
        <w:tc>
          <w:tcPr>
            <w:tcW w:w="1189" w:type="dxa"/>
            <w:tcBorders>
              <w:top w:val="single" w:sz="4" w:space="0" w:color="auto"/>
              <w:left w:val="nil"/>
              <w:bottom w:val="single" w:sz="4" w:space="0" w:color="auto"/>
              <w:right w:val="single" w:sz="4" w:space="0" w:color="auto"/>
            </w:tcBorders>
            <w:vAlign w:val="center"/>
          </w:tcPr>
          <w:p w14:paraId="1A5399D0"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0.05</w:t>
            </w:r>
          </w:p>
        </w:tc>
        <w:tc>
          <w:tcPr>
            <w:tcW w:w="1191" w:type="dxa"/>
            <w:tcBorders>
              <w:top w:val="single" w:sz="4" w:space="0" w:color="auto"/>
              <w:left w:val="nil"/>
              <w:bottom w:val="single" w:sz="4" w:space="0" w:color="auto"/>
              <w:right w:val="single" w:sz="4" w:space="0" w:color="auto"/>
            </w:tcBorders>
            <w:vAlign w:val="center"/>
          </w:tcPr>
          <w:p w14:paraId="144083C7"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0.5</w:t>
            </w:r>
          </w:p>
        </w:tc>
        <w:tc>
          <w:tcPr>
            <w:tcW w:w="1189" w:type="dxa"/>
            <w:tcBorders>
              <w:top w:val="single" w:sz="4" w:space="0" w:color="auto"/>
              <w:left w:val="nil"/>
              <w:bottom w:val="single" w:sz="4" w:space="0" w:color="auto"/>
              <w:right w:val="single" w:sz="4" w:space="0" w:color="auto"/>
            </w:tcBorders>
            <w:vAlign w:val="center"/>
          </w:tcPr>
          <w:p w14:paraId="0A0C1A26"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0.5</w:t>
            </w:r>
          </w:p>
        </w:tc>
        <w:tc>
          <w:tcPr>
            <w:tcW w:w="1187" w:type="dxa"/>
            <w:tcBorders>
              <w:top w:val="single" w:sz="4" w:space="0" w:color="auto"/>
              <w:left w:val="nil"/>
              <w:bottom w:val="single" w:sz="4" w:space="0" w:color="auto"/>
              <w:right w:val="single" w:sz="4" w:space="0" w:color="auto"/>
            </w:tcBorders>
            <w:vAlign w:val="center"/>
          </w:tcPr>
          <w:p w14:paraId="0D53E7C5"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5</w:t>
            </w:r>
          </w:p>
        </w:tc>
      </w:tr>
      <w:tr w:rsidR="008A2411" w:rsidRPr="008A2411" w14:paraId="06DCEB80" w14:textId="77777777">
        <w:trPr>
          <w:trHeight w:val="421"/>
        </w:trPr>
        <w:tc>
          <w:tcPr>
            <w:tcW w:w="573" w:type="dxa"/>
            <w:tcBorders>
              <w:top w:val="single" w:sz="4" w:space="0" w:color="auto"/>
              <w:left w:val="single" w:sz="4" w:space="0" w:color="auto"/>
              <w:bottom w:val="single" w:sz="4" w:space="0" w:color="auto"/>
              <w:right w:val="single" w:sz="4" w:space="0" w:color="auto"/>
            </w:tcBorders>
            <w:vAlign w:val="center"/>
          </w:tcPr>
          <w:p w14:paraId="7DD3BC59"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25</w:t>
            </w:r>
          </w:p>
        </w:tc>
        <w:tc>
          <w:tcPr>
            <w:tcW w:w="1800" w:type="dxa"/>
            <w:tcBorders>
              <w:top w:val="single" w:sz="4" w:space="0" w:color="auto"/>
              <w:left w:val="nil"/>
              <w:bottom w:val="single" w:sz="4" w:space="0" w:color="auto"/>
              <w:right w:val="single" w:sz="4" w:space="0" w:color="auto"/>
            </w:tcBorders>
            <w:vAlign w:val="center"/>
          </w:tcPr>
          <w:p w14:paraId="3EED9C9E"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氯乙烯</w:t>
            </w:r>
          </w:p>
        </w:tc>
        <w:tc>
          <w:tcPr>
            <w:tcW w:w="1729" w:type="dxa"/>
            <w:tcBorders>
              <w:top w:val="single" w:sz="4" w:space="0" w:color="auto"/>
              <w:left w:val="nil"/>
              <w:bottom w:val="single" w:sz="4" w:space="0" w:color="auto"/>
              <w:right w:val="single" w:sz="4" w:space="0" w:color="auto"/>
            </w:tcBorders>
            <w:vAlign w:val="center"/>
          </w:tcPr>
          <w:p w14:paraId="3C9E1DA9"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75-01-4</w:t>
            </w:r>
          </w:p>
        </w:tc>
        <w:tc>
          <w:tcPr>
            <w:tcW w:w="1189" w:type="dxa"/>
            <w:tcBorders>
              <w:top w:val="single" w:sz="4" w:space="0" w:color="auto"/>
              <w:left w:val="nil"/>
              <w:bottom w:val="single" w:sz="4" w:space="0" w:color="auto"/>
              <w:right w:val="single" w:sz="4" w:space="0" w:color="auto"/>
            </w:tcBorders>
            <w:vAlign w:val="center"/>
          </w:tcPr>
          <w:p w14:paraId="18E4A215"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0.12</w:t>
            </w:r>
          </w:p>
        </w:tc>
        <w:tc>
          <w:tcPr>
            <w:tcW w:w="1191" w:type="dxa"/>
            <w:tcBorders>
              <w:top w:val="single" w:sz="4" w:space="0" w:color="auto"/>
              <w:left w:val="nil"/>
              <w:bottom w:val="single" w:sz="4" w:space="0" w:color="auto"/>
              <w:right w:val="single" w:sz="4" w:space="0" w:color="auto"/>
            </w:tcBorders>
            <w:vAlign w:val="center"/>
          </w:tcPr>
          <w:p w14:paraId="162AB043"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0.43</w:t>
            </w:r>
          </w:p>
        </w:tc>
        <w:tc>
          <w:tcPr>
            <w:tcW w:w="1189" w:type="dxa"/>
            <w:tcBorders>
              <w:top w:val="single" w:sz="4" w:space="0" w:color="auto"/>
              <w:left w:val="nil"/>
              <w:bottom w:val="single" w:sz="4" w:space="0" w:color="auto"/>
              <w:right w:val="single" w:sz="4" w:space="0" w:color="auto"/>
            </w:tcBorders>
            <w:vAlign w:val="center"/>
          </w:tcPr>
          <w:p w14:paraId="7EB8A964"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1.2</w:t>
            </w:r>
          </w:p>
        </w:tc>
        <w:tc>
          <w:tcPr>
            <w:tcW w:w="1187" w:type="dxa"/>
            <w:tcBorders>
              <w:top w:val="single" w:sz="4" w:space="0" w:color="auto"/>
              <w:left w:val="nil"/>
              <w:bottom w:val="single" w:sz="4" w:space="0" w:color="auto"/>
              <w:right w:val="single" w:sz="4" w:space="0" w:color="auto"/>
            </w:tcBorders>
            <w:vAlign w:val="center"/>
          </w:tcPr>
          <w:p w14:paraId="0D47643B"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4.3</w:t>
            </w:r>
          </w:p>
        </w:tc>
      </w:tr>
      <w:tr w:rsidR="008A2411" w:rsidRPr="008A2411" w14:paraId="4DFF5AFE" w14:textId="77777777">
        <w:trPr>
          <w:trHeight w:val="421"/>
        </w:trPr>
        <w:tc>
          <w:tcPr>
            <w:tcW w:w="573" w:type="dxa"/>
            <w:tcBorders>
              <w:top w:val="single" w:sz="4" w:space="0" w:color="auto"/>
              <w:left w:val="single" w:sz="4" w:space="0" w:color="auto"/>
              <w:bottom w:val="single" w:sz="4" w:space="0" w:color="auto"/>
              <w:right w:val="single" w:sz="4" w:space="0" w:color="auto"/>
            </w:tcBorders>
            <w:vAlign w:val="center"/>
          </w:tcPr>
          <w:p w14:paraId="64434C96"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26</w:t>
            </w:r>
          </w:p>
        </w:tc>
        <w:tc>
          <w:tcPr>
            <w:tcW w:w="1800" w:type="dxa"/>
            <w:tcBorders>
              <w:top w:val="single" w:sz="4" w:space="0" w:color="auto"/>
              <w:left w:val="nil"/>
              <w:bottom w:val="single" w:sz="4" w:space="0" w:color="auto"/>
              <w:right w:val="single" w:sz="4" w:space="0" w:color="auto"/>
            </w:tcBorders>
            <w:vAlign w:val="center"/>
          </w:tcPr>
          <w:p w14:paraId="04DE1473"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苯</w:t>
            </w:r>
          </w:p>
        </w:tc>
        <w:tc>
          <w:tcPr>
            <w:tcW w:w="1729" w:type="dxa"/>
            <w:tcBorders>
              <w:top w:val="single" w:sz="4" w:space="0" w:color="auto"/>
              <w:left w:val="nil"/>
              <w:bottom w:val="single" w:sz="4" w:space="0" w:color="auto"/>
              <w:right w:val="single" w:sz="4" w:space="0" w:color="auto"/>
            </w:tcBorders>
            <w:vAlign w:val="center"/>
          </w:tcPr>
          <w:p w14:paraId="56C34037"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71-43-2</w:t>
            </w:r>
          </w:p>
        </w:tc>
        <w:tc>
          <w:tcPr>
            <w:tcW w:w="1189" w:type="dxa"/>
            <w:tcBorders>
              <w:top w:val="single" w:sz="4" w:space="0" w:color="auto"/>
              <w:left w:val="nil"/>
              <w:bottom w:val="single" w:sz="4" w:space="0" w:color="auto"/>
              <w:right w:val="single" w:sz="4" w:space="0" w:color="auto"/>
            </w:tcBorders>
            <w:vAlign w:val="center"/>
          </w:tcPr>
          <w:p w14:paraId="1B835FEA"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w:t>
            </w:r>
          </w:p>
        </w:tc>
        <w:tc>
          <w:tcPr>
            <w:tcW w:w="1191" w:type="dxa"/>
            <w:tcBorders>
              <w:top w:val="single" w:sz="4" w:space="0" w:color="auto"/>
              <w:left w:val="nil"/>
              <w:bottom w:val="single" w:sz="4" w:space="0" w:color="auto"/>
              <w:right w:val="single" w:sz="4" w:space="0" w:color="auto"/>
            </w:tcBorders>
            <w:vAlign w:val="center"/>
          </w:tcPr>
          <w:p w14:paraId="1A0356FF"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4</w:t>
            </w:r>
          </w:p>
        </w:tc>
        <w:tc>
          <w:tcPr>
            <w:tcW w:w="1189" w:type="dxa"/>
            <w:tcBorders>
              <w:top w:val="single" w:sz="4" w:space="0" w:color="auto"/>
              <w:left w:val="nil"/>
              <w:bottom w:val="single" w:sz="4" w:space="0" w:color="auto"/>
              <w:right w:val="single" w:sz="4" w:space="0" w:color="auto"/>
            </w:tcBorders>
            <w:vAlign w:val="center"/>
          </w:tcPr>
          <w:p w14:paraId="0D2D36F4"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10</w:t>
            </w:r>
          </w:p>
        </w:tc>
        <w:tc>
          <w:tcPr>
            <w:tcW w:w="1187" w:type="dxa"/>
            <w:tcBorders>
              <w:top w:val="single" w:sz="4" w:space="0" w:color="auto"/>
              <w:left w:val="nil"/>
              <w:bottom w:val="single" w:sz="4" w:space="0" w:color="auto"/>
              <w:right w:val="single" w:sz="4" w:space="0" w:color="auto"/>
            </w:tcBorders>
            <w:vAlign w:val="center"/>
          </w:tcPr>
          <w:p w14:paraId="1AA1D89A"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40</w:t>
            </w:r>
          </w:p>
        </w:tc>
      </w:tr>
      <w:tr w:rsidR="008A2411" w:rsidRPr="008A2411" w14:paraId="7F2B1CF2" w14:textId="77777777">
        <w:trPr>
          <w:trHeight w:val="421"/>
        </w:trPr>
        <w:tc>
          <w:tcPr>
            <w:tcW w:w="573" w:type="dxa"/>
            <w:tcBorders>
              <w:top w:val="single" w:sz="4" w:space="0" w:color="auto"/>
              <w:left w:val="single" w:sz="4" w:space="0" w:color="auto"/>
              <w:bottom w:val="single" w:sz="4" w:space="0" w:color="auto"/>
              <w:right w:val="single" w:sz="4" w:space="0" w:color="auto"/>
            </w:tcBorders>
            <w:vAlign w:val="center"/>
          </w:tcPr>
          <w:p w14:paraId="5852B450"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27</w:t>
            </w:r>
          </w:p>
        </w:tc>
        <w:tc>
          <w:tcPr>
            <w:tcW w:w="1800" w:type="dxa"/>
            <w:tcBorders>
              <w:top w:val="single" w:sz="4" w:space="0" w:color="auto"/>
              <w:left w:val="nil"/>
              <w:bottom w:val="single" w:sz="4" w:space="0" w:color="auto"/>
              <w:right w:val="single" w:sz="4" w:space="0" w:color="auto"/>
            </w:tcBorders>
            <w:vAlign w:val="center"/>
          </w:tcPr>
          <w:p w14:paraId="77DC4C6F"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氯苯</w:t>
            </w:r>
          </w:p>
        </w:tc>
        <w:tc>
          <w:tcPr>
            <w:tcW w:w="1729" w:type="dxa"/>
            <w:tcBorders>
              <w:top w:val="single" w:sz="4" w:space="0" w:color="auto"/>
              <w:left w:val="nil"/>
              <w:bottom w:val="single" w:sz="4" w:space="0" w:color="auto"/>
              <w:right w:val="single" w:sz="4" w:space="0" w:color="auto"/>
            </w:tcBorders>
            <w:vAlign w:val="center"/>
          </w:tcPr>
          <w:p w14:paraId="596D2354"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108-90-7</w:t>
            </w:r>
          </w:p>
        </w:tc>
        <w:tc>
          <w:tcPr>
            <w:tcW w:w="1189" w:type="dxa"/>
            <w:tcBorders>
              <w:top w:val="single" w:sz="4" w:space="0" w:color="auto"/>
              <w:left w:val="nil"/>
              <w:bottom w:val="single" w:sz="4" w:space="0" w:color="auto"/>
              <w:right w:val="single" w:sz="4" w:space="0" w:color="auto"/>
            </w:tcBorders>
            <w:vAlign w:val="center"/>
          </w:tcPr>
          <w:p w14:paraId="4AF121A9"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68</w:t>
            </w:r>
          </w:p>
        </w:tc>
        <w:tc>
          <w:tcPr>
            <w:tcW w:w="1191" w:type="dxa"/>
            <w:tcBorders>
              <w:top w:val="single" w:sz="4" w:space="0" w:color="auto"/>
              <w:left w:val="nil"/>
              <w:bottom w:val="single" w:sz="4" w:space="0" w:color="auto"/>
              <w:right w:val="single" w:sz="4" w:space="0" w:color="auto"/>
            </w:tcBorders>
            <w:vAlign w:val="center"/>
          </w:tcPr>
          <w:p w14:paraId="1FA52990"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270</w:t>
            </w:r>
          </w:p>
        </w:tc>
        <w:tc>
          <w:tcPr>
            <w:tcW w:w="1189" w:type="dxa"/>
            <w:tcBorders>
              <w:top w:val="single" w:sz="4" w:space="0" w:color="auto"/>
              <w:left w:val="nil"/>
              <w:bottom w:val="single" w:sz="4" w:space="0" w:color="auto"/>
              <w:right w:val="single" w:sz="4" w:space="0" w:color="auto"/>
            </w:tcBorders>
            <w:vAlign w:val="center"/>
          </w:tcPr>
          <w:p w14:paraId="1E3832A3"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200</w:t>
            </w:r>
          </w:p>
        </w:tc>
        <w:tc>
          <w:tcPr>
            <w:tcW w:w="1187" w:type="dxa"/>
            <w:tcBorders>
              <w:top w:val="single" w:sz="4" w:space="0" w:color="auto"/>
              <w:left w:val="nil"/>
              <w:bottom w:val="single" w:sz="4" w:space="0" w:color="auto"/>
              <w:right w:val="single" w:sz="4" w:space="0" w:color="auto"/>
            </w:tcBorders>
            <w:vAlign w:val="center"/>
          </w:tcPr>
          <w:p w14:paraId="6CFB48F7"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1000</w:t>
            </w:r>
          </w:p>
        </w:tc>
      </w:tr>
      <w:tr w:rsidR="008A2411" w:rsidRPr="008A2411" w14:paraId="49EAF33F" w14:textId="77777777">
        <w:trPr>
          <w:trHeight w:val="421"/>
        </w:trPr>
        <w:tc>
          <w:tcPr>
            <w:tcW w:w="573" w:type="dxa"/>
            <w:tcBorders>
              <w:top w:val="single" w:sz="4" w:space="0" w:color="auto"/>
              <w:left w:val="single" w:sz="4" w:space="0" w:color="auto"/>
              <w:bottom w:val="single" w:sz="4" w:space="0" w:color="auto"/>
              <w:right w:val="single" w:sz="4" w:space="0" w:color="auto"/>
            </w:tcBorders>
            <w:vAlign w:val="center"/>
          </w:tcPr>
          <w:p w14:paraId="34025B70"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28</w:t>
            </w:r>
          </w:p>
        </w:tc>
        <w:tc>
          <w:tcPr>
            <w:tcW w:w="1800" w:type="dxa"/>
            <w:tcBorders>
              <w:top w:val="single" w:sz="4" w:space="0" w:color="auto"/>
              <w:left w:val="nil"/>
              <w:bottom w:val="single" w:sz="4" w:space="0" w:color="auto"/>
              <w:right w:val="single" w:sz="4" w:space="0" w:color="auto"/>
            </w:tcBorders>
            <w:vAlign w:val="center"/>
          </w:tcPr>
          <w:p w14:paraId="597AA457"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1,2-</w:t>
            </w:r>
            <w:r w:rsidRPr="008A2411">
              <w:rPr>
                <w:rFonts w:ascii="Times New Roman"/>
                <w:color w:val="000000" w:themeColor="text1"/>
                <w:szCs w:val="21"/>
              </w:rPr>
              <w:t>二氯苯</w:t>
            </w:r>
          </w:p>
        </w:tc>
        <w:tc>
          <w:tcPr>
            <w:tcW w:w="1729" w:type="dxa"/>
            <w:tcBorders>
              <w:top w:val="single" w:sz="4" w:space="0" w:color="auto"/>
              <w:left w:val="nil"/>
              <w:bottom w:val="single" w:sz="4" w:space="0" w:color="auto"/>
              <w:right w:val="single" w:sz="4" w:space="0" w:color="auto"/>
            </w:tcBorders>
            <w:vAlign w:val="center"/>
          </w:tcPr>
          <w:p w14:paraId="50FF707A"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95-50-1</w:t>
            </w:r>
          </w:p>
        </w:tc>
        <w:tc>
          <w:tcPr>
            <w:tcW w:w="1189" w:type="dxa"/>
            <w:tcBorders>
              <w:top w:val="single" w:sz="4" w:space="0" w:color="auto"/>
              <w:left w:val="nil"/>
              <w:bottom w:val="single" w:sz="4" w:space="0" w:color="auto"/>
              <w:right w:val="single" w:sz="4" w:space="0" w:color="auto"/>
            </w:tcBorders>
            <w:vAlign w:val="center"/>
          </w:tcPr>
          <w:p w14:paraId="728ACE1C"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560</w:t>
            </w:r>
          </w:p>
        </w:tc>
        <w:tc>
          <w:tcPr>
            <w:tcW w:w="1191" w:type="dxa"/>
            <w:tcBorders>
              <w:top w:val="single" w:sz="4" w:space="0" w:color="auto"/>
              <w:left w:val="nil"/>
              <w:bottom w:val="single" w:sz="4" w:space="0" w:color="auto"/>
              <w:right w:val="single" w:sz="4" w:space="0" w:color="auto"/>
            </w:tcBorders>
            <w:vAlign w:val="center"/>
          </w:tcPr>
          <w:p w14:paraId="5212078D"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560</w:t>
            </w:r>
          </w:p>
        </w:tc>
        <w:tc>
          <w:tcPr>
            <w:tcW w:w="1189" w:type="dxa"/>
            <w:tcBorders>
              <w:top w:val="single" w:sz="4" w:space="0" w:color="auto"/>
              <w:left w:val="nil"/>
              <w:bottom w:val="single" w:sz="4" w:space="0" w:color="auto"/>
              <w:right w:val="single" w:sz="4" w:space="0" w:color="auto"/>
            </w:tcBorders>
            <w:vAlign w:val="center"/>
          </w:tcPr>
          <w:p w14:paraId="18B87DF9"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560</w:t>
            </w:r>
          </w:p>
        </w:tc>
        <w:tc>
          <w:tcPr>
            <w:tcW w:w="1187" w:type="dxa"/>
            <w:tcBorders>
              <w:top w:val="single" w:sz="4" w:space="0" w:color="auto"/>
              <w:left w:val="nil"/>
              <w:bottom w:val="single" w:sz="4" w:space="0" w:color="auto"/>
              <w:right w:val="single" w:sz="4" w:space="0" w:color="auto"/>
            </w:tcBorders>
            <w:vAlign w:val="center"/>
          </w:tcPr>
          <w:p w14:paraId="78C57373"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560</w:t>
            </w:r>
          </w:p>
        </w:tc>
      </w:tr>
      <w:tr w:rsidR="008A2411" w:rsidRPr="008A2411" w14:paraId="60C0018C" w14:textId="77777777">
        <w:trPr>
          <w:trHeight w:val="421"/>
        </w:trPr>
        <w:tc>
          <w:tcPr>
            <w:tcW w:w="573" w:type="dxa"/>
            <w:tcBorders>
              <w:top w:val="single" w:sz="4" w:space="0" w:color="auto"/>
              <w:left w:val="single" w:sz="4" w:space="0" w:color="auto"/>
              <w:bottom w:val="single" w:sz="4" w:space="0" w:color="auto"/>
              <w:right w:val="single" w:sz="4" w:space="0" w:color="auto"/>
            </w:tcBorders>
            <w:vAlign w:val="center"/>
          </w:tcPr>
          <w:p w14:paraId="55828416"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lastRenderedPageBreak/>
              <w:t>29</w:t>
            </w:r>
          </w:p>
        </w:tc>
        <w:tc>
          <w:tcPr>
            <w:tcW w:w="1800" w:type="dxa"/>
            <w:tcBorders>
              <w:top w:val="single" w:sz="4" w:space="0" w:color="auto"/>
              <w:left w:val="nil"/>
              <w:bottom w:val="single" w:sz="4" w:space="0" w:color="auto"/>
              <w:right w:val="single" w:sz="4" w:space="0" w:color="auto"/>
            </w:tcBorders>
            <w:vAlign w:val="center"/>
          </w:tcPr>
          <w:p w14:paraId="0B1235C8"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1,4-</w:t>
            </w:r>
            <w:r w:rsidRPr="008A2411">
              <w:rPr>
                <w:rFonts w:ascii="Times New Roman"/>
                <w:color w:val="000000" w:themeColor="text1"/>
                <w:szCs w:val="21"/>
              </w:rPr>
              <w:t>二氯苯</w:t>
            </w:r>
          </w:p>
        </w:tc>
        <w:tc>
          <w:tcPr>
            <w:tcW w:w="1729" w:type="dxa"/>
            <w:tcBorders>
              <w:top w:val="single" w:sz="4" w:space="0" w:color="auto"/>
              <w:left w:val="nil"/>
              <w:bottom w:val="single" w:sz="4" w:space="0" w:color="auto"/>
              <w:right w:val="single" w:sz="4" w:space="0" w:color="auto"/>
            </w:tcBorders>
            <w:vAlign w:val="center"/>
          </w:tcPr>
          <w:p w14:paraId="54A601D0"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106-46-7</w:t>
            </w:r>
          </w:p>
        </w:tc>
        <w:tc>
          <w:tcPr>
            <w:tcW w:w="1189" w:type="dxa"/>
            <w:tcBorders>
              <w:top w:val="single" w:sz="4" w:space="0" w:color="auto"/>
              <w:left w:val="nil"/>
              <w:bottom w:val="single" w:sz="4" w:space="0" w:color="auto"/>
              <w:right w:val="single" w:sz="4" w:space="0" w:color="auto"/>
            </w:tcBorders>
            <w:vAlign w:val="center"/>
          </w:tcPr>
          <w:p w14:paraId="7FA05F53"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5.6</w:t>
            </w:r>
          </w:p>
        </w:tc>
        <w:tc>
          <w:tcPr>
            <w:tcW w:w="1191" w:type="dxa"/>
            <w:tcBorders>
              <w:top w:val="single" w:sz="4" w:space="0" w:color="auto"/>
              <w:left w:val="nil"/>
              <w:bottom w:val="single" w:sz="4" w:space="0" w:color="auto"/>
              <w:right w:val="single" w:sz="4" w:space="0" w:color="auto"/>
            </w:tcBorders>
            <w:vAlign w:val="center"/>
          </w:tcPr>
          <w:p w14:paraId="46760064"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20</w:t>
            </w:r>
          </w:p>
        </w:tc>
        <w:tc>
          <w:tcPr>
            <w:tcW w:w="1189" w:type="dxa"/>
            <w:tcBorders>
              <w:top w:val="single" w:sz="4" w:space="0" w:color="auto"/>
              <w:left w:val="nil"/>
              <w:bottom w:val="single" w:sz="4" w:space="0" w:color="auto"/>
              <w:right w:val="single" w:sz="4" w:space="0" w:color="auto"/>
            </w:tcBorders>
            <w:vAlign w:val="center"/>
          </w:tcPr>
          <w:p w14:paraId="37F9E54E"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56</w:t>
            </w:r>
          </w:p>
        </w:tc>
        <w:tc>
          <w:tcPr>
            <w:tcW w:w="1187" w:type="dxa"/>
            <w:tcBorders>
              <w:top w:val="single" w:sz="4" w:space="0" w:color="auto"/>
              <w:left w:val="nil"/>
              <w:bottom w:val="single" w:sz="4" w:space="0" w:color="auto"/>
              <w:right w:val="single" w:sz="4" w:space="0" w:color="auto"/>
            </w:tcBorders>
            <w:vAlign w:val="center"/>
          </w:tcPr>
          <w:p w14:paraId="08DEA72C"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200</w:t>
            </w:r>
          </w:p>
        </w:tc>
      </w:tr>
      <w:tr w:rsidR="008A2411" w:rsidRPr="008A2411" w14:paraId="4D732EB7" w14:textId="77777777">
        <w:trPr>
          <w:trHeight w:val="421"/>
        </w:trPr>
        <w:tc>
          <w:tcPr>
            <w:tcW w:w="573" w:type="dxa"/>
            <w:tcBorders>
              <w:top w:val="single" w:sz="4" w:space="0" w:color="auto"/>
              <w:left w:val="single" w:sz="4" w:space="0" w:color="auto"/>
              <w:bottom w:val="single" w:sz="4" w:space="0" w:color="auto"/>
              <w:right w:val="single" w:sz="4" w:space="0" w:color="auto"/>
            </w:tcBorders>
            <w:vAlign w:val="center"/>
          </w:tcPr>
          <w:p w14:paraId="41084B66"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30</w:t>
            </w:r>
          </w:p>
        </w:tc>
        <w:tc>
          <w:tcPr>
            <w:tcW w:w="1800" w:type="dxa"/>
            <w:tcBorders>
              <w:top w:val="single" w:sz="4" w:space="0" w:color="auto"/>
              <w:left w:val="nil"/>
              <w:bottom w:val="single" w:sz="4" w:space="0" w:color="auto"/>
              <w:right w:val="single" w:sz="4" w:space="0" w:color="auto"/>
            </w:tcBorders>
            <w:vAlign w:val="center"/>
          </w:tcPr>
          <w:p w14:paraId="76416556"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乙苯</w:t>
            </w:r>
          </w:p>
        </w:tc>
        <w:tc>
          <w:tcPr>
            <w:tcW w:w="1729" w:type="dxa"/>
            <w:tcBorders>
              <w:top w:val="single" w:sz="4" w:space="0" w:color="auto"/>
              <w:left w:val="nil"/>
              <w:bottom w:val="single" w:sz="4" w:space="0" w:color="auto"/>
              <w:right w:val="single" w:sz="4" w:space="0" w:color="auto"/>
            </w:tcBorders>
            <w:vAlign w:val="center"/>
          </w:tcPr>
          <w:p w14:paraId="45D999EA"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100-41-4</w:t>
            </w:r>
          </w:p>
        </w:tc>
        <w:tc>
          <w:tcPr>
            <w:tcW w:w="1189" w:type="dxa"/>
            <w:tcBorders>
              <w:top w:val="single" w:sz="4" w:space="0" w:color="auto"/>
              <w:left w:val="nil"/>
              <w:bottom w:val="single" w:sz="4" w:space="0" w:color="auto"/>
              <w:right w:val="single" w:sz="4" w:space="0" w:color="auto"/>
            </w:tcBorders>
            <w:vAlign w:val="center"/>
          </w:tcPr>
          <w:p w14:paraId="47F281A5"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7.2</w:t>
            </w:r>
          </w:p>
        </w:tc>
        <w:tc>
          <w:tcPr>
            <w:tcW w:w="1191" w:type="dxa"/>
            <w:tcBorders>
              <w:top w:val="single" w:sz="4" w:space="0" w:color="auto"/>
              <w:left w:val="nil"/>
              <w:bottom w:val="single" w:sz="4" w:space="0" w:color="auto"/>
              <w:right w:val="single" w:sz="4" w:space="0" w:color="auto"/>
            </w:tcBorders>
            <w:vAlign w:val="center"/>
          </w:tcPr>
          <w:p w14:paraId="3D647667"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28</w:t>
            </w:r>
          </w:p>
        </w:tc>
        <w:tc>
          <w:tcPr>
            <w:tcW w:w="1189" w:type="dxa"/>
            <w:tcBorders>
              <w:top w:val="single" w:sz="4" w:space="0" w:color="auto"/>
              <w:left w:val="nil"/>
              <w:bottom w:val="single" w:sz="4" w:space="0" w:color="auto"/>
              <w:right w:val="single" w:sz="4" w:space="0" w:color="auto"/>
            </w:tcBorders>
            <w:vAlign w:val="center"/>
          </w:tcPr>
          <w:p w14:paraId="521F10A1"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72</w:t>
            </w:r>
          </w:p>
        </w:tc>
        <w:tc>
          <w:tcPr>
            <w:tcW w:w="1187" w:type="dxa"/>
            <w:tcBorders>
              <w:top w:val="single" w:sz="4" w:space="0" w:color="auto"/>
              <w:left w:val="nil"/>
              <w:bottom w:val="single" w:sz="4" w:space="0" w:color="auto"/>
              <w:right w:val="single" w:sz="4" w:space="0" w:color="auto"/>
            </w:tcBorders>
            <w:vAlign w:val="center"/>
          </w:tcPr>
          <w:p w14:paraId="0CCDC7B5"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280</w:t>
            </w:r>
          </w:p>
        </w:tc>
      </w:tr>
      <w:tr w:rsidR="008A2411" w:rsidRPr="008A2411" w14:paraId="5C4B0B0D" w14:textId="77777777">
        <w:trPr>
          <w:trHeight w:val="421"/>
        </w:trPr>
        <w:tc>
          <w:tcPr>
            <w:tcW w:w="573" w:type="dxa"/>
            <w:tcBorders>
              <w:top w:val="single" w:sz="4" w:space="0" w:color="auto"/>
              <w:left w:val="single" w:sz="4" w:space="0" w:color="auto"/>
              <w:bottom w:val="single" w:sz="4" w:space="0" w:color="auto"/>
              <w:right w:val="single" w:sz="4" w:space="0" w:color="auto"/>
            </w:tcBorders>
            <w:vAlign w:val="center"/>
          </w:tcPr>
          <w:p w14:paraId="56D3F2A7"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31</w:t>
            </w:r>
          </w:p>
        </w:tc>
        <w:tc>
          <w:tcPr>
            <w:tcW w:w="1800" w:type="dxa"/>
            <w:tcBorders>
              <w:top w:val="single" w:sz="4" w:space="0" w:color="auto"/>
              <w:left w:val="nil"/>
              <w:bottom w:val="single" w:sz="4" w:space="0" w:color="auto"/>
              <w:right w:val="single" w:sz="4" w:space="0" w:color="auto"/>
            </w:tcBorders>
            <w:vAlign w:val="center"/>
          </w:tcPr>
          <w:p w14:paraId="1C10D825"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苯乙烯</w:t>
            </w:r>
          </w:p>
        </w:tc>
        <w:tc>
          <w:tcPr>
            <w:tcW w:w="1729" w:type="dxa"/>
            <w:tcBorders>
              <w:top w:val="single" w:sz="4" w:space="0" w:color="auto"/>
              <w:left w:val="nil"/>
              <w:bottom w:val="single" w:sz="4" w:space="0" w:color="auto"/>
              <w:right w:val="single" w:sz="4" w:space="0" w:color="auto"/>
            </w:tcBorders>
            <w:vAlign w:val="center"/>
          </w:tcPr>
          <w:p w14:paraId="4D40D75C"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100-42-5</w:t>
            </w:r>
          </w:p>
        </w:tc>
        <w:tc>
          <w:tcPr>
            <w:tcW w:w="1189" w:type="dxa"/>
            <w:tcBorders>
              <w:top w:val="single" w:sz="4" w:space="0" w:color="auto"/>
              <w:left w:val="nil"/>
              <w:bottom w:val="single" w:sz="4" w:space="0" w:color="auto"/>
              <w:right w:val="single" w:sz="4" w:space="0" w:color="auto"/>
            </w:tcBorders>
            <w:vAlign w:val="center"/>
          </w:tcPr>
          <w:p w14:paraId="4B92CF0B"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1290</w:t>
            </w:r>
          </w:p>
        </w:tc>
        <w:tc>
          <w:tcPr>
            <w:tcW w:w="1191" w:type="dxa"/>
            <w:tcBorders>
              <w:top w:val="single" w:sz="4" w:space="0" w:color="auto"/>
              <w:left w:val="nil"/>
              <w:bottom w:val="single" w:sz="4" w:space="0" w:color="auto"/>
              <w:right w:val="single" w:sz="4" w:space="0" w:color="auto"/>
            </w:tcBorders>
            <w:vAlign w:val="center"/>
          </w:tcPr>
          <w:p w14:paraId="5A1DC50B"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1290</w:t>
            </w:r>
          </w:p>
        </w:tc>
        <w:tc>
          <w:tcPr>
            <w:tcW w:w="1189" w:type="dxa"/>
            <w:tcBorders>
              <w:top w:val="single" w:sz="4" w:space="0" w:color="auto"/>
              <w:left w:val="nil"/>
              <w:bottom w:val="single" w:sz="4" w:space="0" w:color="auto"/>
              <w:right w:val="single" w:sz="4" w:space="0" w:color="auto"/>
            </w:tcBorders>
            <w:vAlign w:val="center"/>
          </w:tcPr>
          <w:p w14:paraId="431D0DFD"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1290</w:t>
            </w:r>
          </w:p>
        </w:tc>
        <w:tc>
          <w:tcPr>
            <w:tcW w:w="1187" w:type="dxa"/>
            <w:tcBorders>
              <w:top w:val="single" w:sz="4" w:space="0" w:color="auto"/>
              <w:left w:val="nil"/>
              <w:bottom w:val="single" w:sz="4" w:space="0" w:color="auto"/>
              <w:right w:val="single" w:sz="4" w:space="0" w:color="auto"/>
            </w:tcBorders>
            <w:vAlign w:val="center"/>
          </w:tcPr>
          <w:p w14:paraId="4CAE7854"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1290</w:t>
            </w:r>
          </w:p>
        </w:tc>
      </w:tr>
      <w:tr w:rsidR="008A2411" w:rsidRPr="008A2411" w14:paraId="21FB1E61" w14:textId="77777777">
        <w:trPr>
          <w:trHeight w:val="421"/>
        </w:trPr>
        <w:tc>
          <w:tcPr>
            <w:tcW w:w="573" w:type="dxa"/>
            <w:tcBorders>
              <w:top w:val="single" w:sz="4" w:space="0" w:color="auto"/>
              <w:left w:val="single" w:sz="4" w:space="0" w:color="auto"/>
              <w:bottom w:val="single" w:sz="4" w:space="0" w:color="auto"/>
              <w:right w:val="single" w:sz="4" w:space="0" w:color="auto"/>
            </w:tcBorders>
            <w:vAlign w:val="center"/>
          </w:tcPr>
          <w:p w14:paraId="45F3D813"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32</w:t>
            </w:r>
          </w:p>
        </w:tc>
        <w:tc>
          <w:tcPr>
            <w:tcW w:w="1800" w:type="dxa"/>
            <w:tcBorders>
              <w:top w:val="single" w:sz="4" w:space="0" w:color="auto"/>
              <w:left w:val="nil"/>
              <w:bottom w:val="single" w:sz="4" w:space="0" w:color="auto"/>
              <w:right w:val="single" w:sz="4" w:space="0" w:color="auto"/>
            </w:tcBorders>
            <w:vAlign w:val="center"/>
          </w:tcPr>
          <w:p w14:paraId="36B52F63"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甲苯</w:t>
            </w:r>
          </w:p>
        </w:tc>
        <w:tc>
          <w:tcPr>
            <w:tcW w:w="1729" w:type="dxa"/>
            <w:tcBorders>
              <w:top w:val="single" w:sz="4" w:space="0" w:color="auto"/>
              <w:left w:val="nil"/>
              <w:bottom w:val="single" w:sz="4" w:space="0" w:color="auto"/>
              <w:right w:val="single" w:sz="4" w:space="0" w:color="auto"/>
            </w:tcBorders>
            <w:vAlign w:val="center"/>
          </w:tcPr>
          <w:p w14:paraId="5FE7C4AD"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108-88-3</w:t>
            </w:r>
          </w:p>
        </w:tc>
        <w:tc>
          <w:tcPr>
            <w:tcW w:w="1189" w:type="dxa"/>
            <w:tcBorders>
              <w:top w:val="single" w:sz="4" w:space="0" w:color="auto"/>
              <w:left w:val="nil"/>
              <w:bottom w:val="single" w:sz="4" w:space="0" w:color="auto"/>
              <w:right w:val="single" w:sz="4" w:space="0" w:color="auto"/>
            </w:tcBorders>
            <w:vAlign w:val="center"/>
          </w:tcPr>
          <w:p w14:paraId="59710746"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1200</w:t>
            </w:r>
          </w:p>
        </w:tc>
        <w:tc>
          <w:tcPr>
            <w:tcW w:w="1191" w:type="dxa"/>
            <w:tcBorders>
              <w:top w:val="single" w:sz="4" w:space="0" w:color="auto"/>
              <w:left w:val="nil"/>
              <w:bottom w:val="single" w:sz="4" w:space="0" w:color="auto"/>
              <w:right w:val="single" w:sz="4" w:space="0" w:color="auto"/>
            </w:tcBorders>
            <w:vAlign w:val="center"/>
          </w:tcPr>
          <w:p w14:paraId="6030EDE2"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1200</w:t>
            </w:r>
          </w:p>
        </w:tc>
        <w:tc>
          <w:tcPr>
            <w:tcW w:w="1189" w:type="dxa"/>
            <w:tcBorders>
              <w:top w:val="single" w:sz="4" w:space="0" w:color="auto"/>
              <w:left w:val="nil"/>
              <w:bottom w:val="single" w:sz="4" w:space="0" w:color="auto"/>
              <w:right w:val="single" w:sz="4" w:space="0" w:color="auto"/>
            </w:tcBorders>
            <w:vAlign w:val="center"/>
          </w:tcPr>
          <w:p w14:paraId="5022CEB1"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1200</w:t>
            </w:r>
          </w:p>
        </w:tc>
        <w:tc>
          <w:tcPr>
            <w:tcW w:w="1187" w:type="dxa"/>
            <w:tcBorders>
              <w:top w:val="single" w:sz="4" w:space="0" w:color="auto"/>
              <w:left w:val="nil"/>
              <w:bottom w:val="single" w:sz="4" w:space="0" w:color="auto"/>
              <w:right w:val="single" w:sz="4" w:space="0" w:color="auto"/>
            </w:tcBorders>
            <w:vAlign w:val="center"/>
          </w:tcPr>
          <w:p w14:paraId="6260431A"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1200</w:t>
            </w:r>
          </w:p>
        </w:tc>
      </w:tr>
      <w:tr w:rsidR="008A2411" w:rsidRPr="008A2411" w14:paraId="61E30626" w14:textId="77777777">
        <w:trPr>
          <w:trHeight w:val="717"/>
        </w:trPr>
        <w:tc>
          <w:tcPr>
            <w:tcW w:w="573" w:type="dxa"/>
            <w:tcBorders>
              <w:top w:val="single" w:sz="4" w:space="0" w:color="auto"/>
              <w:left w:val="single" w:sz="4" w:space="0" w:color="auto"/>
              <w:bottom w:val="single" w:sz="4" w:space="0" w:color="auto"/>
              <w:right w:val="single" w:sz="4" w:space="0" w:color="auto"/>
            </w:tcBorders>
            <w:vAlign w:val="center"/>
          </w:tcPr>
          <w:p w14:paraId="39C9323A"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33</w:t>
            </w:r>
          </w:p>
        </w:tc>
        <w:tc>
          <w:tcPr>
            <w:tcW w:w="1800" w:type="dxa"/>
            <w:tcBorders>
              <w:top w:val="single" w:sz="4" w:space="0" w:color="auto"/>
              <w:left w:val="nil"/>
              <w:bottom w:val="single" w:sz="4" w:space="0" w:color="auto"/>
              <w:right w:val="single" w:sz="4" w:space="0" w:color="auto"/>
            </w:tcBorders>
            <w:vAlign w:val="center"/>
          </w:tcPr>
          <w:p w14:paraId="76989D61"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间二甲苯</w:t>
            </w:r>
            <w:r w:rsidRPr="008A2411">
              <w:rPr>
                <w:rFonts w:ascii="Times New Roman"/>
                <w:color w:val="000000" w:themeColor="text1"/>
                <w:szCs w:val="21"/>
              </w:rPr>
              <w:t>+</w:t>
            </w:r>
            <w:r w:rsidRPr="008A2411">
              <w:rPr>
                <w:rFonts w:ascii="Times New Roman"/>
                <w:color w:val="000000" w:themeColor="text1"/>
                <w:szCs w:val="21"/>
              </w:rPr>
              <w:t>对二甲苯</w:t>
            </w:r>
          </w:p>
        </w:tc>
        <w:tc>
          <w:tcPr>
            <w:tcW w:w="1729" w:type="dxa"/>
            <w:tcBorders>
              <w:top w:val="single" w:sz="4" w:space="0" w:color="auto"/>
              <w:left w:val="nil"/>
              <w:bottom w:val="single" w:sz="4" w:space="0" w:color="auto"/>
              <w:right w:val="single" w:sz="4" w:space="0" w:color="auto"/>
            </w:tcBorders>
            <w:vAlign w:val="center"/>
          </w:tcPr>
          <w:p w14:paraId="57DA88EC"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108-38-3,106-42-3</w:t>
            </w:r>
          </w:p>
        </w:tc>
        <w:tc>
          <w:tcPr>
            <w:tcW w:w="1189" w:type="dxa"/>
            <w:tcBorders>
              <w:top w:val="single" w:sz="4" w:space="0" w:color="auto"/>
              <w:left w:val="nil"/>
              <w:bottom w:val="single" w:sz="4" w:space="0" w:color="auto"/>
              <w:right w:val="single" w:sz="4" w:space="0" w:color="auto"/>
            </w:tcBorders>
            <w:vAlign w:val="center"/>
          </w:tcPr>
          <w:p w14:paraId="75C3BB25"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163</w:t>
            </w:r>
          </w:p>
        </w:tc>
        <w:tc>
          <w:tcPr>
            <w:tcW w:w="1191" w:type="dxa"/>
            <w:tcBorders>
              <w:top w:val="single" w:sz="4" w:space="0" w:color="auto"/>
              <w:left w:val="nil"/>
              <w:bottom w:val="single" w:sz="4" w:space="0" w:color="auto"/>
              <w:right w:val="single" w:sz="4" w:space="0" w:color="auto"/>
            </w:tcBorders>
            <w:vAlign w:val="center"/>
          </w:tcPr>
          <w:p w14:paraId="70EF6C7B"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570</w:t>
            </w:r>
          </w:p>
        </w:tc>
        <w:tc>
          <w:tcPr>
            <w:tcW w:w="1189" w:type="dxa"/>
            <w:tcBorders>
              <w:top w:val="single" w:sz="4" w:space="0" w:color="auto"/>
              <w:left w:val="nil"/>
              <w:bottom w:val="single" w:sz="4" w:space="0" w:color="auto"/>
              <w:right w:val="single" w:sz="4" w:space="0" w:color="auto"/>
            </w:tcBorders>
            <w:vAlign w:val="center"/>
          </w:tcPr>
          <w:p w14:paraId="2C219635"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500</w:t>
            </w:r>
          </w:p>
        </w:tc>
        <w:tc>
          <w:tcPr>
            <w:tcW w:w="1187" w:type="dxa"/>
            <w:tcBorders>
              <w:top w:val="single" w:sz="4" w:space="0" w:color="auto"/>
              <w:left w:val="nil"/>
              <w:bottom w:val="single" w:sz="4" w:space="0" w:color="auto"/>
              <w:right w:val="single" w:sz="4" w:space="0" w:color="auto"/>
            </w:tcBorders>
            <w:vAlign w:val="center"/>
          </w:tcPr>
          <w:p w14:paraId="1F8C3BE8"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570</w:t>
            </w:r>
          </w:p>
        </w:tc>
      </w:tr>
      <w:tr w:rsidR="008A2411" w:rsidRPr="008A2411" w14:paraId="07EFB1BA" w14:textId="77777777">
        <w:trPr>
          <w:trHeight w:val="421"/>
        </w:trPr>
        <w:tc>
          <w:tcPr>
            <w:tcW w:w="573" w:type="dxa"/>
            <w:tcBorders>
              <w:top w:val="single" w:sz="4" w:space="0" w:color="auto"/>
              <w:left w:val="single" w:sz="4" w:space="0" w:color="auto"/>
              <w:bottom w:val="single" w:sz="4" w:space="0" w:color="auto"/>
              <w:right w:val="single" w:sz="4" w:space="0" w:color="auto"/>
            </w:tcBorders>
            <w:vAlign w:val="center"/>
          </w:tcPr>
          <w:p w14:paraId="5D6FDBF6"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34</w:t>
            </w:r>
          </w:p>
        </w:tc>
        <w:tc>
          <w:tcPr>
            <w:tcW w:w="1800" w:type="dxa"/>
            <w:tcBorders>
              <w:top w:val="single" w:sz="4" w:space="0" w:color="auto"/>
              <w:left w:val="nil"/>
              <w:bottom w:val="single" w:sz="4" w:space="0" w:color="auto"/>
              <w:right w:val="single" w:sz="4" w:space="0" w:color="auto"/>
            </w:tcBorders>
            <w:vAlign w:val="center"/>
          </w:tcPr>
          <w:p w14:paraId="27564562"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邻二甲苯</w:t>
            </w:r>
          </w:p>
        </w:tc>
        <w:tc>
          <w:tcPr>
            <w:tcW w:w="1729" w:type="dxa"/>
            <w:tcBorders>
              <w:top w:val="single" w:sz="4" w:space="0" w:color="auto"/>
              <w:left w:val="nil"/>
              <w:bottom w:val="single" w:sz="4" w:space="0" w:color="auto"/>
              <w:right w:val="single" w:sz="4" w:space="0" w:color="auto"/>
            </w:tcBorders>
            <w:vAlign w:val="center"/>
          </w:tcPr>
          <w:p w14:paraId="33B09259"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95-47-6</w:t>
            </w:r>
          </w:p>
        </w:tc>
        <w:tc>
          <w:tcPr>
            <w:tcW w:w="1189" w:type="dxa"/>
            <w:tcBorders>
              <w:top w:val="single" w:sz="4" w:space="0" w:color="auto"/>
              <w:left w:val="nil"/>
              <w:bottom w:val="single" w:sz="4" w:space="0" w:color="auto"/>
              <w:right w:val="single" w:sz="4" w:space="0" w:color="auto"/>
            </w:tcBorders>
            <w:vAlign w:val="center"/>
          </w:tcPr>
          <w:p w14:paraId="17EB40B1"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222</w:t>
            </w:r>
          </w:p>
        </w:tc>
        <w:tc>
          <w:tcPr>
            <w:tcW w:w="1191" w:type="dxa"/>
            <w:tcBorders>
              <w:top w:val="single" w:sz="4" w:space="0" w:color="auto"/>
              <w:left w:val="nil"/>
              <w:bottom w:val="single" w:sz="4" w:space="0" w:color="auto"/>
              <w:right w:val="single" w:sz="4" w:space="0" w:color="auto"/>
            </w:tcBorders>
            <w:vAlign w:val="center"/>
          </w:tcPr>
          <w:p w14:paraId="371D9068"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640</w:t>
            </w:r>
          </w:p>
        </w:tc>
        <w:tc>
          <w:tcPr>
            <w:tcW w:w="1189" w:type="dxa"/>
            <w:tcBorders>
              <w:top w:val="single" w:sz="4" w:space="0" w:color="auto"/>
              <w:left w:val="nil"/>
              <w:bottom w:val="single" w:sz="4" w:space="0" w:color="auto"/>
              <w:right w:val="single" w:sz="4" w:space="0" w:color="auto"/>
            </w:tcBorders>
            <w:vAlign w:val="center"/>
          </w:tcPr>
          <w:p w14:paraId="0439B1EA"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640</w:t>
            </w:r>
          </w:p>
        </w:tc>
        <w:tc>
          <w:tcPr>
            <w:tcW w:w="1187" w:type="dxa"/>
            <w:tcBorders>
              <w:top w:val="single" w:sz="4" w:space="0" w:color="auto"/>
              <w:left w:val="nil"/>
              <w:bottom w:val="single" w:sz="4" w:space="0" w:color="auto"/>
              <w:right w:val="single" w:sz="4" w:space="0" w:color="auto"/>
            </w:tcBorders>
            <w:vAlign w:val="center"/>
          </w:tcPr>
          <w:p w14:paraId="346B001A"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640</w:t>
            </w:r>
          </w:p>
        </w:tc>
      </w:tr>
      <w:tr w:rsidR="008A2411" w:rsidRPr="008A2411" w14:paraId="3DF8C3FB" w14:textId="77777777">
        <w:trPr>
          <w:trHeight w:val="421"/>
        </w:trPr>
        <w:tc>
          <w:tcPr>
            <w:tcW w:w="8858" w:type="dxa"/>
            <w:gridSpan w:val="7"/>
            <w:tcBorders>
              <w:top w:val="single" w:sz="4" w:space="0" w:color="auto"/>
              <w:left w:val="single" w:sz="4" w:space="0" w:color="auto"/>
              <w:bottom w:val="single" w:sz="4" w:space="0" w:color="auto"/>
              <w:right w:val="single" w:sz="4" w:space="0" w:color="auto"/>
            </w:tcBorders>
            <w:vAlign w:val="center"/>
          </w:tcPr>
          <w:p w14:paraId="1181DC9A"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半挥发性有机物</w:t>
            </w:r>
          </w:p>
        </w:tc>
      </w:tr>
      <w:tr w:rsidR="008A2411" w:rsidRPr="008A2411" w14:paraId="3B951CAB" w14:textId="77777777">
        <w:trPr>
          <w:trHeight w:val="421"/>
        </w:trPr>
        <w:tc>
          <w:tcPr>
            <w:tcW w:w="573" w:type="dxa"/>
            <w:tcBorders>
              <w:top w:val="single" w:sz="4" w:space="0" w:color="auto"/>
              <w:left w:val="single" w:sz="4" w:space="0" w:color="auto"/>
              <w:bottom w:val="single" w:sz="4" w:space="0" w:color="auto"/>
              <w:right w:val="single" w:sz="4" w:space="0" w:color="auto"/>
            </w:tcBorders>
            <w:vAlign w:val="center"/>
          </w:tcPr>
          <w:p w14:paraId="0B834B54"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35</w:t>
            </w:r>
          </w:p>
        </w:tc>
        <w:tc>
          <w:tcPr>
            <w:tcW w:w="1800" w:type="dxa"/>
            <w:tcBorders>
              <w:top w:val="single" w:sz="4" w:space="0" w:color="auto"/>
              <w:left w:val="nil"/>
              <w:bottom w:val="single" w:sz="4" w:space="0" w:color="auto"/>
              <w:right w:val="single" w:sz="4" w:space="0" w:color="auto"/>
            </w:tcBorders>
            <w:vAlign w:val="center"/>
          </w:tcPr>
          <w:p w14:paraId="46ED9282"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硝基苯</w:t>
            </w:r>
          </w:p>
        </w:tc>
        <w:tc>
          <w:tcPr>
            <w:tcW w:w="1729" w:type="dxa"/>
            <w:tcBorders>
              <w:top w:val="single" w:sz="4" w:space="0" w:color="auto"/>
              <w:left w:val="nil"/>
              <w:bottom w:val="single" w:sz="4" w:space="0" w:color="auto"/>
              <w:right w:val="single" w:sz="4" w:space="0" w:color="auto"/>
            </w:tcBorders>
            <w:vAlign w:val="center"/>
          </w:tcPr>
          <w:p w14:paraId="231A5986"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98-95-3</w:t>
            </w:r>
          </w:p>
        </w:tc>
        <w:tc>
          <w:tcPr>
            <w:tcW w:w="1189" w:type="dxa"/>
            <w:tcBorders>
              <w:top w:val="single" w:sz="4" w:space="0" w:color="auto"/>
              <w:left w:val="nil"/>
              <w:bottom w:val="single" w:sz="4" w:space="0" w:color="auto"/>
              <w:right w:val="single" w:sz="4" w:space="0" w:color="auto"/>
            </w:tcBorders>
            <w:vAlign w:val="center"/>
          </w:tcPr>
          <w:p w14:paraId="44E92A6B"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34</w:t>
            </w:r>
          </w:p>
        </w:tc>
        <w:tc>
          <w:tcPr>
            <w:tcW w:w="1191" w:type="dxa"/>
            <w:tcBorders>
              <w:top w:val="single" w:sz="4" w:space="0" w:color="auto"/>
              <w:left w:val="nil"/>
              <w:bottom w:val="single" w:sz="4" w:space="0" w:color="auto"/>
              <w:right w:val="single" w:sz="4" w:space="0" w:color="auto"/>
            </w:tcBorders>
            <w:vAlign w:val="center"/>
          </w:tcPr>
          <w:p w14:paraId="400D2250"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76</w:t>
            </w:r>
          </w:p>
        </w:tc>
        <w:tc>
          <w:tcPr>
            <w:tcW w:w="1189" w:type="dxa"/>
            <w:tcBorders>
              <w:top w:val="single" w:sz="4" w:space="0" w:color="auto"/>
              <w:left w:val="nil"/>
              <w:bottom w:val="single" w:sz="4" w:space="0" w:color="auto"/>
              <w:right w:val="single" w:sz="4" w:space="0" w:color="auto"/>
            </w:tcBorders>
            <w:vAlign w:val="center"/>
          </w:tcPr>
          <w:p w14:paraId="52EA2FED"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190</w:t>
            </w:r>
          </w:p>
        </w:tc>
        <w:tc>
          <w:tcPr>
            <w:tcW w:w="1187" w:type="dxa"/>
            <w:tcBorders>
              <w:top w:val="single" w:sz="4" w:space="0" w:color="auto"/>
              <w:left w:val="nil"/>
              <w:bottom w:val="single" w:sz="4" w:space="0" w:color="auto"/>
              <w:right w:val="single" w:sz="4" w:space="0" w:color="auto"/>
            </w:tcBorders>
            <w:vAlign w:val="center"/>
          </w:tcPr>
          <w:p w14:paraId="7D3D8145"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760</w:t>
            </w:r>
          </w:p>
        </w:tc>
      </w:tr>
      <w:tr w:rsidR="008A2411" w:rsidRPr="008A2411" w14:paraId="5E49F0DF" w14:textId="77777777">
        <w:trPr>
          <w:trHeight w:val="421"/>
        </w:trPr>
        <w:tc>
          <w:tcPr>
            <w:tcW w:w="573" w:type="dxa"/>
            <w:tcBorders>
              <w:top w:val="single" w:sz="4" w:space="0" w:color="auto"/>
              <w:left w:val="single" w:sz="4" w:space="0" w:color="auto"/>
              <w:bottom w:val="single" w:sz="4" w:space="0" w:color="auto"/>
              <w:right w:val="single" w:sz="4" w:space="0" w:color="auto"/>
            </w:tcBorders>
            <w:vAlign w:val="center"/>
          </w:tcPr>
          <w:p w14:paraId="62799579"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36</w:t>
            </w:r>
          </w:p>
        </w:tc>
        <w:tc>
          <w:tcPr>
            <w:tcW w:w="1800" w:type="dxa"/>
            <w:tcBorders>
              <w:top w:val="single" w:sz="4" w:space="0" w:color="auto"/>
              <w:left w:val="nil"/>
              <w:bottom w:val="single" w:sz="4" w:space="0" w:color="auto"/>
              <w:right w:val="single" w:sz="4" w:space="0" w:color="auto"/>
            </w:tcBorders>
            <w:vAlign w:val="center"/>
          </w:tcPr>
          <w:p w14:paraId="6D683C7D"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苯胺</w:t>
            </w:r>
          </w:p>
        </w:tc>
        <w:tc>
          <w:tcPr>
            <w:tcW w:w="1729" w:type="dxa"/>
            <w:tcBorders>
              <w:top w:val="single" w:sz="4" w:space="0" w:color="auto"/>
              <w:left w:val="nil"/>
              <w:bottom w:val="single" w:sz="4" w:space="0" w:color="auto"/>
              <w:right w:val="single" w:sz="4" w:space="0" w:color="auto"/>
            </w:tcBorders>
            <w:vAlign w:val="center"/>
          </w:tcPr>
          <w:p w14:paraId="52E57913"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62-53-3</w:t>
            </w:r>
          </w:p>
        </w:tc>
        <w:tc>
          <w:tcPr>
            <w:tcW w:w="1189" w:type="dxa"/>
            <w:tcBorders>
              <w:top w:val="single" w:sz="4" w:space="0" w:color="auto"/>
              <w:left w:val="nil"/>
              <w:bottom w:val="single" w:sz="4" w:space="0" w:color="auto"/>
              <w:right w:val="single" w:sz="4" w:space="0" w:color="auto"/>
            </w:tcBorders>
            <w:vAlign w:val="center"/>
          </w:tcPr>
          <w:p w14:paraId="4862BCDF"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92</w:t>
            </w:r>
          </w:p>
        </w:tc>
        <w:tc>
          <w:tcPr>
            <w:tcW w:w="1191" w:type="dxa"/>
            <w:tcBorders>
              <w:top w:val="single" w:sz="4" w:space="0" w:color="auto"/>
              <w:left w:val="nil"/>
              <w:bottom w:val="single" w:sz="4" w:space="0" w:color="auto"/>
              <w:right w:val="single" w:sz="4" w:space="0" w:color="auto"/>
            </w:tcBorders>
            <w:vAlign w:val="center"/>
          </w:tcPr>
          <w:p w14:paraId="0EF4913B"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260</w:t>
            </w:r>
          </w:p>
        </w:tc>
        <w:tc>
          <w:tcPr>
            <w:tcW w:w="1189" w:type="dxa"/>
            <w:tcBorders>
              <w:top w:val="single" w:sz="4" w:space="0" w:color="auto"/>
              <w:left w:val="nil"/>
              <w:bottom w:val="single" w:sz="4" w:space="0" w:color="auto"/>
              <w:right w:val="single" w:sz="4" w:space="0" w:color="auto"/>
            </w:tcBorders>
            <w:vAlign w:val="center"/>
          </w:tcPr>
          <w:p w14:paraId="57742C38"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211</w:t>
            </w:r>
          </w:p>
        </w:tc>
        <w:tc>
          <w:tcPr>
            <w:tcW w:w="1187" w:type="dxa"/>
            <w:tcBorders>
              <w:top w:val="single" w:sz="4" w:space="0" w:color="auto"/>
              <w:left w:val="nil"/>
              <w:bottom w:val="single" w:sz="4" w:space="0" w:color="auto"/>
              <w:right w:val="single" w:sz="4" w:space="0" w:color="auto"/>
            </w:tcBorders>
            <w:vAlign w:val="center"/>
          </w:tcPr>
          <w:p w14:paraId="1ED14B7E"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663</w:t>
            </w:r>
          </w:p>
        </w:tc>
      </w:tr>
      <w:tr w:rsidR="008A2411" w:rsidRPr="008A2411" w14:paraId="6A710750" w14:textId="77777777">
        <w:trPr>
          <w:trHeight w:val="421"/>
        </w:trPr>
        <w:tc>
          <w:tcPr>
            <w:tcW w:w="573" w:type="dxa"/>
            <w:tcBorders>
              <w:top w:val="single" w:sz="4" w:space="0" w:color="auto"/>
              <w:left w:val="single" w:sz="4" w:space="0" w:color="auto"/>
              <w:bottom w:val="single" w:sz="4" w:space="0" w:color="auto"/>
              <w:right w:val="single" w:sz="4" w:space="0" w:color="auto"/>
            </w:tcBorders>
            <w:vAlign w:val="center"/>
          </w:tcPr>
          <w:p w14:paraId="55AA7B85"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37</w:t>
            </w:r>
          </w:p>
        </w:tc>
        <w:tc>
          <w:tcPr>
            <w:tcW w:w="1800" w:type="dxa"/>
            <w:tcBorders>
              <w:top w:val="single" w:sz="4" w:space="0" w:color="auto"/>
              <w:left w:val="nil"/>
              <w:bottom w:val="single" w:sz="4" w:space="0" w:color="auto"/>
              <w:right w:val="single" w:sz="4" w:space="0" w:color="auto"/>
            </w:tcBorders>
            <w:vAlign w:val="center"/>
          </w:tcPr>
          <w:p w14:paraId="0851755C"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2-</w:t>
            </w:r>
            <w:r w:rsidRPr="008A2411">
              <w:rPr>
                <w:rFonts w:ascii="Times New Roman"/>
                <w:color w:val="000000" w:themeColor="text1"/>
                <w:szCs w:val="21"/>
              </w:rPr>
              <w:t>氯酚</w:t>
            </w:r>
          </w:p>
        </w:tc>
        <w:tc>
          <w:tcPr>
            <w:tcW w:w="1729" w:type="dxa"/>
            <w:tcBorders>
              <w:top w:val="single" w:sz="4" w:space="0" w:color="auto"/>
              <w:left w:val="nil"/>
              <w:bottom w:val="single" w:sz="4" w:space="0" w:color="auto"/>
              <w:right w:val="single" w:sz="4" w:space="0" w:color="auto"/>
            </w:tcBorders>
            <w:vAlign w:val="center"/>
          </w:tcPr>
          <w:p w14:paraId="38100E4F"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95-57-8</w:t>
            </w:r>
          </w:p>
        </w:tc>
        <w:tc>
          <w:tcPr>
            <w:tcW w:w="1189" w:type="dxa"/>
            <w:tcBorders>
              <w:top w:val="single" w:sz="4" w:space="0" w:color="auto"/>
              <w:left w:val="nil"/>
              <w:bottom w:val="single" w:sz="4" w:space="0" w:color="auto"/>
              <w:right w:val="single" w:sz="4" w:space="0" w:color="auto"/>
            </w:tcBorders>
            <w:vAlign w:val="center"/>
          </w:tcPr>
          <w:p w14:paraId="5B01B5E7"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250</w:t>
            </w:r>
          </w:p>
        </w:tc>
        <w:tc>
          <w:tcPr>
            <w:tcW w:w="1191" w:type="dxa"/>
            <w:tcBorders>
              <w:top w:val="single" w:sz="4" w:space="0" w:color="auto"/>
              <w:left w:val="nil"/>
              <w:bottom w:val="single" w:sz="4" w:space="0" w:color="auto"/>
              <w:right w:val="single" w:sz="4" w:space="0" w:color="auto"/>
            </w:tcBorders>
            <w:vAlign w:val="center"/>
          </w:tcPr>
          <w:p w14:paraId="6BAC4A83"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2256</w:t>
            </w:r>
          </w:p>
        </w:tc>
        <w:tc>
          <w:tcPr>
            <w:tcW w:w="1189" w:type="dxa"/>
            <w:tcBorders>
              <w:top w:val="single" w:sz="4" w:space="0" w:color="auto"/>
              <w:left w:val="nil"/>
              <w:bottom w:val="single" w:sz="4" w:space="0" w:color="auto"/>
              <w:right w:val="single" w:sz="4" w:space="0" w:color="auto"/>
            </w:tcBorders>
            <w:vAlign w:val="center"/>
          </w:tcPr>
          <w:p w14:paraId="4BB37D7F"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500</w:t>
            </w:r>
          </w:p>
        </w:tc>
        <w:tc>
          <w:tcPr>
            <w:tcW w:w="1187" w:type="dxa"/>
            <w:tcBorders>
              <w:top w:val="single" w:sz="4" w:space="0" w:color="auto"/>
              <w:left w:val="nil"/>
              <w:bottom w:val="single" w:sz="4" w:space="0" w:color="auto"/>
              <w:right w:val="single" w:sz="4" w:space="0" w:color="auto"/>
            </w:tcBorders>
            <w:vAlign w:val="center"/>
          </w:tcPr>
          <w:p w14:paraId="3FE25F5B"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4500</w:t>
            </w:r>
          </w:p>
        </w:tc>
      </w:tr>
      <w:tr w:rsidR="008A2411" w:rsidRPr="008A2411" w14:paraId="73E8A20E" w14:textId="77777777">
        <w:trPr>
          <w:trHeight w:val="421"/>
        </w:trPr>
        <w:tc>
          <w:tcPr>
            <w:tcW w:w="573" w:type="dxa"/>
            <w:tcBorders>
              <w:top w:val="single" w:sz="4" w:space="0" w:color="auto"/>
              <w:left w:val="single" w:sz="4" w:space="0" w:color="auto"/>
              <w:bottom w:val="single" w:sz="4" w:space="0" w:color="auto"/>
              <w:right w:val="single" w:sz="4" w:space="0" w:color="auto"/>
            </w:tcBorders>
            <w:vAlign w:val="center"/>
          </w:tcPr>
          <w:p w14:paraId="0D327F6D"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38</w:t>
            </w:r>
          </w:p>
        </w:tc>
        <w:tc>
          <w:tcPr>
            <w:tcW w:w="1800" w:type="dxa"/>
            <w:tcBorders>
              <w:top w:val="single" w:sz="4" w:space="0" w:color="auto"/>
              <w:left w:val="nil"/>
              <w:bottom w:val="single" w:sz="4" w:space="0" w:color="auto"/>
              <w:right w:val="single" w:sz="4" w:space="0" w:color="auto"/>
            </w:tcBorders>
            <w:vAlign w:val="center"/>
          </w:tcPr>
          <w:p w14:paraId="654F39A2"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苯并</w:t>
            </w:r>
            <w:r w:rsidRPr="008A2411">
              <w:rPr>
                <w:rFonts w:ascii="Times New Roman"/>
                <w:color w:val="000000" w:themeColor="text1"/>
                <w:szCs w:val="21"/>
              </w:rPr>
              <w:t>[a]</w:t>
            </w:r>
            <w:proofErr w:type="gramStart"/>
            <w:r w:rsidRPr="008A2411">
              <w:rPr>
                <w:rFonts w:ascii="Times New Roman"/>
                <w:color w:val="000000" w:themeColor="text1"/>
                <w:szCs w:val="21"/>
              </w:rPr>
              <w:t>蒽</w:t>
            </w:r>
            <w:proofErr w:type="gramEnd"/>
          </w:p>
        </w:tc>
        <w:tc>
          <w:tcPr>
            <w:tcW w:w="1729" w:type="dxa"/>
            <w:tcBorders>
              <w:top w:val="single" w:sz="4" w:space="0" w:color="auto"/>
              <w:left w:val="nil"/>
              <w:bottom w:val="single" w:sz="4" w:space="0" w:color="auto"/>
              <w:right w:val="single" w:sz="4" w:space="0" w:color="auto"/>
            </w:tcBorders>
            <w:vAlign w:val="center"/>
          </w:tcPr>
          <w:p w14:paraId="2B62EF2B"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56-55-3</w:t>
            </w:r>
          </w:p>
        </w:tc>
        <w:tc>
          <w:tcPr>
            <w:tcW w:w="1189" w:type="dxa"/>
            <w:tcBorders>
              <w:top w:val="single" w:sz="4" w:space="0" w:color="auto"/>
              <w:left w:val="nil"/>
              <w:bottom w:val="single" w:sz="4" w:space="0" w:color="auto"/>
              <w:right w:val="single" w:sz="4" w:space="0" w:color="auto"/>
            </w:tcBorders>
            <w:vAlign w:val="center"/>
          </w:tcPr>
          <w:p w14:paraId="0D7E0D01"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5.5</w:t>
            </w:r>
          </w:p>
        </w:tc>
        <w:tc>
          <w:tcPr>
            <w:tcW w:w="1191" w:type="dxa"/>
            <w:tcBorders>
              <w:top w:val="single" w:sz="4" w:space="0" w:color="auto"/>
              <w:left w:val="nil"/>
              <w:bottom w:val="single" w:sz="4" w:space="0" w:color="auto"/>
              <w:right w:val="single" w:sz="4" w:space="0" w:color="auto"/>
            </w:tcBorders>
            <w:vAlign w:val="center"/>
          </w:tcPr>
          <w:p w14:paraId="37C5A4AC"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15</w:t>
            </w:r>
          </w:p>
        </w:tc>
        <w:tc>
          <w:tcPr>
            <w:tcW w:w="1189" w:type="dxa"/>
            <w:tcBorders>
              <w:top w:val="single" w:sz="4" w:space="0" w:color="auto"/>
              <w:left w:val="nil"/>
              <w:bottom w:val="single" w:sz="4" w:space="0" w:color="auto"/>
              <w:right w:val="single" w:sz="4" w:space="0" w:color="auto"/>
            </w:tcBorders>
            <w:vAlign w:val="center"/>
          </w:tcPr>
          <w:p w14:paraId="344B3500"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55</w:t>
            </w:r>
          </w:p>
        </w:tc>
        <w:tc>
          <w:tcPr>
            <w:tcW w:w="1187" w:type="dxa"/>
            <w:tcBorders>
              <w:top w:val="single" w:sz="4" w:space="0" w:color="auto"/>
              <w:left w:val="nil"/>
              <w:bottom w:val="single" w:sz="4" w:space="0" w:color="auto"/>
              <w:right w:val="single" w:sz="4" w:space="0" w:color="auto"/>
            </w:tcBorders>
            <w:vAlign w:val="center"/>
          </w:tcPr>
          <w:p w14:paraId="443D04A9"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151</w:t>
            </w:r>
          </w:p>
        </w:tc>
      </w:tr>
      <w:tr w:rsidR="008A2411" w:rsidRPr="008A2411" w14:paraId="50E11EBE" w14:textId="77777777">
        <w:trPr>
          <w:trHeight w:val="421"/>
        </w:trPr>
        <w:tc>
          <w:tcPr>
            <w:tcW w:w="573" w:type="dxa"/>
            <w:tcBorders>
              <w:top w:val="single" w:sz="4" w:space="0" w:color="auto"/>
              <w:left w:val="single" w:sz="4" w:space="0" w:color="auto"/>
              <w:bottom w:val="single" w:sz="4" w:space="0" w:color="auto"/>
              <w:right w:val="single" w:sz="4" w:space="0" w:color="auto"/>
            </w:tcBorders>
            <w:vAlign w:val="center"/>
          </w:tcPr>
          <w:p w14:paraId="3E9DEB0C"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39</w:t>
            </w:r>
          </w:p>
        </w:tc>
        <w:tc>
          <w:tcPr>
            <w:tcW w:w="1800" w:type="dxa"/>
            <w:tcBorders>
              <w:top w:val="single" w:sz="4" w:space="0" w:color="auto"/>
              <w:left w:val="nil"/>
              <w:bottom w:val="single" w:sz="4" w:space="0" w:color="auto"/>
              <w:right w:val="single" w:sz="4" w:space="0" w:color="auto"/>
            </w:tcBorders>
            <w:vAlign w:val="center"/>
          </w:tcPr>
          <w:p w14:paraId="4B4EFDDB"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苯并</w:t>
            </w:r>
            <w:r w:rsidRPr="008A2411">
              <w:rPr>
                <w:rFonts w:ascii="Times New Roman"/>
                <w:color w:val="000000" w:themeColor="text1"/>
                <w:szCs w:val="21"/>
              </w:rPr>
              <w:t>[b]</w:t>
            </w:r>
            <w:proofErr w:type="gramStart"/>
            <w:r w:rsidRPr="008A2411">
              <w:rPr>
                <w:rFonts w:ascii="Times New Roman"/>
                <w:color w:val="000000" w:themeColor="text1"/>
                <w:szCs w:val="21"/>
              </w:rPr>
              <w:t>芘</w:t>
            </w:r>
            <w:proofErr w:type="gramEnd"/>
          </w:p>
        </w:tc>
        <w:tc>
          <w:tcPr>
            <w:tcW w:w="1729" w:type="dxa"/>
            <w:tcBorders>
              <w:top w:val="single" w:sz="4" w:space="0" w:color="auto"/>
              <w:left w:val="nil"/>
              <w:bottom w:val="single" w:sz="4" w:space="0" w:color="auto"/>
              <w:right w:val="single" w:sz="4" w:space="0" w:color="auto"/>
            </w:tcBorders>
            <w:vAlign w:val="center"/>
          </w:tcPr>
          <w:p w14:paraId="306D93E0"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50-32-8</w:t>
            </w:r>
          </w:p>
        </w:tc>
        <w:tc>
          <w:tcPr>
            <w:tcW w:w="1189" w:type="dxa"/>
            <w:tcBorders>
              <w:top w:val="single" w:sz="4" w:space="0" w:color="auto"/>
              <w:left w:val="nil"/>
              <w:bottom w:val="single" w:sz="4" w:space="0" w:color="auto"/>
              <w:right w:val="single" w:sz="4" w:space="0" w:color="auto"/>
            </w:tcBorders>
            <w:vAlign w:val="center"/>
          </w:tcPr>
          <w:p w14:paraId="76CEBFA1"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0.55</w:t>
            </w:r>
          </w:p>
        </w:tc>
        <w:tc>
          <w:tcPr>
            <w:tcW w:w="1191" w:type="dxa"/>
            <w:tcBorders>
              <w:top w:val="single" w:sz="4" w:space="0" w:color="auto"/>
              <w:left w:val="nil"/>
              <w:bottom w:val="single" w:sz="4" w:space="0" w:color="auto"/>
              <w:right w:val="single" w:sz="4" w:space="0" w:color="auto"/>
            </w:tcBorders>
            <w:vAlign w:val="center"/>
          </w:tcPr>
          <w:p w14:paraId="749A79B9"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1.5</w:t>
            </w:r>
          </w:p>
        </w:tc>
        <w:tc>
          <w:tcPr>
            <w:tcW w:w="1189" w:type="dxa"/>
            <w:tcBorders>
              <w:top w:val="single" w:sz="4" w:space="0" w:color="auto"/>
              <w:left w:val="nil"/>
              <w:bottom w:val="single" w:sz="4" w:space="0" w:color="auto"/>
              <w:right w:val="single" w:sz="4" w:space="0" w:color="auto"/>
            </w:tcBorders>
            <w:vAlign w:val="center"/>
          </w:tcPr>
          <w:p w14:paraId="653CA052"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5.5</w:t>
            </w:r>
          </w:p>
        </w:tc>
        <w:tc>
          <w:tcPr>
            <w:tcW w:w="1187" w:type="dxa"/>
            <w:tcBorders>
              <w:top w:val="single" w:sz="4" w:space="0" w:color="auto"/>
              <w:left w:val="nil"/>
              <w:bottom w:val="single" w:sz="4" w:space="0" w:color="auto"/>
              <w:right w:val="single" w:sz="4" w:space="0" w:color="auto"/>
            </w:tcBorders>
            <w:vAlign w:val="center"/>
          </w:tcPr>
          <w:p w14:paraId="61DF5C34"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15</w:t>
            </w:r>
          </w:p>
        </w:tc>
      </w:tr>
      <w:tr w:rsidR="008A2411" w:rsidRPr="008A2411" w14:paraId="7392EE39" w14:textId="77777777">
        <w:trPr>
          <w:trHeight w:val="421"/>
        </w:trPr>
        <w:tc>
          <w:tcPr>
            <w:tcW w:w="573" w:type="dxa"/>
            <w:tcBorders>
              <w:top w:val="single" w:sz="4" w:space="0" w:color="auto"/>
              <w:left w:val="single" w:sz="4" w:space="0" w:color="auto"/>
              <w:bottom w:val="single" w:sz="4" w:space="0" w:color="auto"/>
              <w:right w:val="single" w:sz="4" w:space="0" w:color="auto"/>
            </w:tcBorders>
            <w:vAlign w:val="center"/>
          </w:tcPr>
          <w:p w14:paraId="67652F6B"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40</w:t>
            </w:r>
          </w:p>
        </w:tc>
        <w:tc>
          <w:tcPr>
            <w:tcW w:w="1800" w:type="dxa"/>
            <w:tcBorders>
              <w:top w:val="single" w:sz="4" w:space="0" w:color="auto"/>
              <w:left w:val="nil"/>
              <w:bottom w:val="single" w:sz="4" w:space="0" w:color="auto"/>
              <w:right w:val="single" w:sz="4" w:space="0" w:color="auto"/>
            </w:tcBorders>
            <w:vAlign w:val="center"/>
          </w:tcPr>
          <w:p w14:paraId="2FD91841"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苯并</w:t>
            </w:r>
            <w:r w:rsidRPr="008A2411">
              <w:rPr>
                <w:rFonts w:ascii="Times New Roman"/>
                <w:color w:val="000000" w:themeColor="text1"/>
                <w:szCs w:val="21"/>
              </w:rPr>
              <w:t>[b]</w:t>
            </w:r>
            <w:proofErr w:type="gramStart"/>
            <w:r w:rsidRPr="008A2411">
              <w:rPr>
                <w:rFonts w:ascii="Times New Roman"/>
                <w:color w:val="000000" w:themeColor="text1"/>
                <w:szCs w:val="21"/>
              </w:rPr>
              <w:t>荧蒽</w:t>
            </w:r>
            <w:proofErr w:type="gramEnd"/>
          </w:p>
        </w:tc>
        <w:tc>
          <w:tcPr>
            <w:tcW w:w="1729" w:type="dxa"/>
            <w:tcBorders>
              <w:top w:val="single" w:sz="4" w:space="0" w:color="auto"/>
              <w:left w:val="nil"/>
              <w:bottom w:val="single" w:sz="4" w:space="0" w:color="auto"/>
              <w:right w:val="single" w:sz="4" w:space="0" w:color="auto"/>
            </w:tcBorders>
            <w:vAlign w:val="center"/>
          </w:tcPr>
          <w:p w14:paraId="36843D2C"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205-99-2</w:t>
            </w:r>
          </w:p>
        </w:tc>
        <w:tc>
          <w:tcPr>
            <w:tcW w:w="1189" w:type="dxa"/>
            <w:tcBorders>
              <w:top w:val="single" w:sz="4" w:space="0" w:color="auto"/>
              <w:left w:val="nil"/>
              <w:bottom w:val="single" w:sz="4" w:space="0" w:color="auto"/>
              <w:right w:val="single" w:sz="4" w:space="0" w:color="auto"/>
            </w:tcBorders>
            <w:vAlign w:val="center"/>
          </w:tcPr>
          <w:p w14:paraId="0A2B865F"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5.5</w:t>
            </w:r>
          </w:p>
        </w:tc>
        <w:tc>
          <w:tcPr>
            <w:tcW w:w="1191" w:type="dxa"/>
            <w:tcBorders>
              <w:top w:val="single" w:sz="4" w:space="0" w:color="auto"/>
              <w:left w:val="nil"/>
              <w:bottom w:val="single" w:sz="4" w:space="0" w:color="auto"/>
              <w:right w:val="single" w:sz="4" w:space="0" w:color="auto"/>
            </w:tcBorders>
            <w:vAlign w:val="center"/>
          </w:tcPr>
          <w:p w14:paraId="42CEA5A1"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15</w:t>
            </w:r>
          </w:p>
        </w:tc>
        <w:tc>
          <w:tcPr>
            <w:tcW w:w="1189" w:type="dxa"/>
            <w:tcBorders>
              <w:top w:val="single" w:sz="4" w:space="0" w:color="auto"/>
              <w:left w:val="nil"/>
              <w:bottom w:val="single" w:sz="4" w:space="0" w:color="auto"/>
              <w:right w:val="single" w:sz="4" w:space="0" w:color="auto"/>
            </w:tcBorders>
            <w:vAlign w:val="center"/>
          </w:tcPr>
          <w:p w14:paraId="0CB4F765"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55</w:t>
            </w:r>
          </w:p>
        </w:tc>
        <w:tc>
          <w:tcPr>
            <w:tcW w:w="1187" w:type="dxa"/>
            <w:tcBorders>
              <w:top w:val="single" w:sz="4" w:space="0" w:color="auto"/>
              <w:left w:val="nil"/>
              <w:bottom w:val="single" w:sz="4" w:space="0" w:color="auto"/>
              <w:right w:val="single" w:sz="4" w:space="0" w:color="auto"/>
            </w:tcBorders>
            <w:vAlign w:val="center"/>
          </w:tcPr>
          <w:p w14:paraId="1583925E"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151</w:t>
            </w:r>
          </w:p>
        </w:tc>
      </w:tr>
      <w:tr w:rsidR="008A2411" w:rsidRPr="008A2411" w14:paraId="13051A38" w14:textId="77777777">
        <w:trPr>
          <w:trHeight w:val="421"/>
        </w:trPr>
        <w:tc>
          <w:tcPr>
            <w:tcW w:w="573" w:type="dxa"/>
            <w:tcBorders>
              <w:top w:val="single" w:sz="4" w:space="0" w:color="auto"/>
              <w:left w:val="single" w:sz="4" w:space="0" w:color="auto"/>
              <w:bottom w:val="single" w:sz="4" w:space="0" w:color="auto"/>
              <w:right w:val="single" w:sz="4" w:space="0" w:color="auto"/>
            </w:tcBorders>
            <w:vAlign w:val="center"/>
          </w:tcPr>
          <w:p w14:paraId="66C9E4E2"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41</w:t>
            </w:r>
          </w:p>
        </w:tc>
        <w:tc>
          <w:tcPr>
            <w:tcW w:w="1800" w:type="dxa"/>
            <w:tcBorders>
              <w:top w:val="single" w:sz="4" w:space="0" w:color="auto"/>
              <w:left w:val="nil"/>
              <w:bottom w:val="single" w:sz="4" w:space="0" w:color="auto"/>
              <w:right w:val="single" w:sz="4" w:space="0" w:color="auto"/>
            </w:tcBorders>
            <w:vAlign w:val="center"/>
          </w:tcPr>
          <w:p w14:paraId="6A5EACC2"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苯并</w:t>
            </w:r>
            <w:r w:rsidRPr="008A2411">
              <w:rPr>
                <w:rFonts w:ascii="Times New Roman"/>
                <w:color w:val="000000" w:themeColor="text1"/>
                <w:szCs w:val="21"/>
              </w:rPr>
              <w:t>[k]</w:t>
            </w:r>
            <w:proofErr w:type="gramStart"/>
            <w:r w:rsidRPr="008A2411">
              <w:rPr>
                <w:rFonts w:ascii="Times New Roman"/>
                <w:color w:val="000000" w:themeColor="text1"/>
                <w:szCs w:val="21"/>
              </w:rPr>
              <w:t>荧蒽</w:t>
            </w:r>
            <w:proofErr w:type="gramEnd"/>
          </w:p>
        </w:tc>
        <w:tc>
          <w:tcPr>
            <w:tcW w:w="1729" w:type="dxa"/>
            <w:tcBorders>
              <w:top w:val="single" w:sz="4" w:space="0" w:color="auto"/>
              <w:left w:val="nil"/>
              <w:bottom w:val="single" w:sz="4" w:space="0" w:color="auto"/>
              <w:right w:val="single" w:sz="4" w:space="0" w:color="auto"/>
            </w:tcBorders>
            <w:vAlign w:val="center"/>
          </w:tcPr>
          <w:p w14:paraId="4D167594"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207-08-9</w:t>
            </w:r>
          </w:p>
        </w:tc>
        <w:tc>
          <w:tcPr>
            <w:tcW w:w="1189" w:type="dxa"/>
            <w:tcBorders>
              <w:top w:val="single" w:sz="4" w:space="0" w:color="auto"/>
              <w:left w:val="nil"/>
              <w:bottom w:val="single" w:sz="4" w:space="0" w:color="auto"/>
              <w:right w:val="single" w:sz="4" w:space="0" w:color="auto"/>
            </w:tcBorders>
            <w:vAlign w:val="center"/>
          </w:tcPr>
          <w:p w14:paraId="71A98634"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55</w:t>
            </w:r>
          </w:p>
        </w:tc>
        <w:tc>
          <w:tcPr>
            <w:tcW w:w="1191" w:type="dxa"/>
            <w:tcBorders>
              <w:top w:val="single" w:sz="4" w:space="0" w:color="auto"/>
              <w:left w:val="nil"/>
              <w:bottom w:val="single" w:sz="4" w:space="0" w:color="auto"/>
              <w:right w:val="single" w:sz="4" w:space="0" w:color="auto"/>
            </w:tcBorders>
            <w:vAlign w:val="center"/>
          </w:tcPr>
          <w:p w14:paraId="0F8E781F"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151</w:t>
            </w:r>
          </w:p>
        </w:tc>
        <w:tc>
          <w:tcPr>
            <w:tcW w:w="1189" w:type="dxa"/>
            <w:tcBorders>
              <w:top w:val="single" w:sz="4" w:space="0" w:color="auto"/>
              <w:left w:val="nil"/>
              <w:bottom w:val="single" w:sz="4" w:space="0" w:color="auto"/>
              <w:right w:val="single" w:sz="4" w:space="0" w:color="auto"/>
            </w:tcBorders>
            <w:vAlign w:val="center"/>
          </w:tcPr>
          <w:p w14:paraId="67A30138"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550</w:t>
            </w:r>
          </w:p>
        </w:tc>
        <w:tc>
          <w:tcPr>
            <w:tcW w:w="1187" w:type="dxa"/>
            <w:tcBorders>
              <w:top w:val="single" w:sz="4" w:space="0" w:color="auto"/>
              <w:left w:val="nil"/>
              <w:bottom w:val="single" w:sz="4" w:space="0" w:color="auto"/>
              <w:right w:val="single" w:sz="4" w:space="0" w:color="auto"/>
            </w:tcBorders>
            <w:vAlign w:val="center"/>
          </w:tcPr>
          <w:p w14:paraId="7372B7E1"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1500</w:t>
            </w:r>
          </w:p>
        </w:tc>
      </w:tr>
      <w:tr w:rsidR="008A2411" w:rsidRPr="008A2411" w14:paraId="0F6399A2" w14:textId="77777777">
        <w:trPr>
          <w:trHeight w:val="421"/>
        </w:trPr>
        <w:tc>
          <w:tcPr>
            <w:tcW w:w="573" w:type="dxa"/>
            <w:tcBorders>
              <w:top w:val="single" w:sz="4" w:space="0" w:color="auto"/>
              <w:left w:val="single" w:sz="4" w:space="0" w:color="auto"/>
              <w:bottom w:val="single" w:sz="4" w:space="0" w:color="auto"/>
              <w:right w:val="single" w:sz="4" w:space="0" w:color="auto"/>
            </w:tcBorders>
            <w:vAlign w:val="center"/>
          </w:tcPr>
          <w:p w14:paraId="45CB83FA"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42</w:t>
            </w:r>
          </w:p>
        </w:tc>
        <w:tc>
          <w:tcPr>
            <w:tcW w:w="1800" w:type="dxa"/>
            <w:tcBorders>
              <w:top w:val="single" w:sz="4" w:space="0" w:color="auto"/>
              <w:left w:val="nil"/>
              <w:bottom w:val="single" w:sz="4" w:space="0" w:color="auto"/>
              <w:right w:val="single" w:sz="4" w:space="0" w:color="auto"/>
            </w:tcBorders>
            <w:vAlign w:val="center"/>
          </w:tcPr>
          <w:p w14:paraId="2B92D90D"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䓛</w:t>
            </w:r>
          </w:p>
        </w:tc>
        <w:tc>
          <w:tcPr>
            <w:tcW w:w="1729" w:type="dxa"/>
            <w:tcBorders>
              <w:top w:val="single" w:sz="4" w:space="0" w:color="auto"/>
              <w:left w:val="nil"/>
              <w:bottom w:val="single" w:sz="4" w:space="0" w:color="auto"/>
              <w:right w:val="single" w:sz="4" w:space="0" w:color="auto"/>
            </w:tcBorders>
            <w:vAlign w:val="center"/>
          </w:tcPr>
          <w:p w14:paraId="3B9D8949"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218-01-9</w:t>
            </w:r>
          </w:p>
        </w:tc>
        <w:tc>
          <w:tcPr>
            <w:tcW w:w="1189" w:type="dxa"/>
            <w:tcBorders>
              <w:top w:val="single" w:sz="4" w:space="0" w:color="auto"/>
              <w:left w:val="nil"/>
              <w:bottom w:val="single" w:sz="4" w:space="0" w:color="auto"/>
              <w:right w:val="single" w:sz="4" w:space="0" w:color="auto"/>
            </w:tcBorders>
            <w:vAlign w:val="center"/>
          </w:tcPr>
          <w:p w14:paraId="25A88CE3"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490</w:t>
            </w:r>
          </w:p>
        </w:tc>
        <w:tc>
          <w:tcPr>
            <w:tcW w:w="1191" w:type="dxa"/>
            <w:tcBorders>
              <w:top w:val="single" w:sz="4" w:space="0" w:color="auto"/>
              <w:left w:val="nil"/>
              <w:bottom w:val="single" w:sz="4" w:space="0" w:color="auto"/>
              <w:right w:val="single" w:sz="4" w:space="0" w:color="auto"/>
            </w:tcBorders>
            <w:vAlign w:val="center"/>
          </w:tcPr>
          <w:p w14:paraId="4E31B25C"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1293</w:t>
            </w:r>
          </w:p>
        </w:tc>
        <w:tc>
          <w:tcPr>
            <w:tcW w:w="1189" w:type="dxa"/>
            <w:tcBorders>
              <w:top w:val="single" w:sz="4" w:space="0" w:color="auto"/>
              <w:left w:val="nil"/>
              <w:bottom w:val="single" w:sz="4" w:space="0" w:color="auto"/>
              <w:right w:val="single" w:sz="4" w:space="0" w:color="auto"/>
            </w:tcBorders>
            <w:vAlign w:val="center"/>
          </w:tcPr>
          <w:p w14:paraId="639461B7"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4900</w:t>
            </w:r>
          </w:p>
        </w:tc>
        <w:tc>
          <w:tcPr>
            <w:tcW w:w="1187" w:type="dxa"/>
            <w:tcBorders>
              <w:top w:val="single" w:sz="4" w:space="0" w:color="auto"/>
              <w:left w:val="nil"/>
              <w:bottom w:val="single" w:sz="4" w:space="0" w:color="auto"/>
              <w:right w:val="single" w:sz="4" w:space="0" w:color="auto"/>
            </w:tcBorders>
            <w:vAlign w:val="center"/>
          </w:tcPr>
          <w:p w14:paraId="4E7591B5"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12900</w:t>
            </w:r>
          </w:p>
        </w:tc>
      </w:tr>
      <w:tr w:rsidR="008A2411" w:rsidRPr="008A2411" w14:paraId="0C577EFF" w14:textId="77777777">
        <w:trPr>
          <w:trHeight w:val="421"/>
        </w:trPr>
        <w:tc>
          <w:tcPr>
            <w:tcW w:w="573" w:type="dxa"/>
            <w:tcBorders>
              <w:top w:val="single" w:sz="4" w:space="0" w:color="auto"/>
              <w:left w:val="single" w:sz="4" w:space="0" w:color="auto"/>
              <w:bottom w:val="single" w:sz="4" w:space="0" w:color="auto"/>
              <w:right w:val="single" w:sz="4" w:space="0" w:color="auto"/>
            </w:tcBorders>
            <w:vAlign w:val="center"/>
          </w:tcPr>
          <w:p w14:paraId="7B099D43"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43</w:t>
            </w:r>
          </w:p>
        </w:tc>
        <w:tc>
          <w:tcPr>
            <w:tcW w:w="1800" w:type="dxa"/>
            <w:tcBorders>
              <w:top w:val="single" w:sz="4" w:space="0" w:color="auto"/>
              <w:left w:val="nil"/>
              <w:bottom w:val="single" w:sz="4" w:space="0" w:color="auto"/>
              <w:right w:val="single" w:sz="4" w:space="0" w:color="auto"/>
            </w:tcBorders>
            <w:vAlign w:val="center"/>
          </w:tcPr>
          <w:p w14:paraId="3AE30322"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二苯并</w:t>
            </w:r>
            <w:r w:rsidRPr="008A2411">
              <w:rPr>
                <w:rFonts w:ascii="Times New Roman"/>
                <w:color w:val="000000" w:themeColor="text1"/>
                <w:szCs w:val="21"/>
              </w:rPr>
              <w:t>[</w:t>
            </w:r>
            <w:proofErr w:type="spellStart"/>
            <w:r w:rsidRPr="008A2411">
              <w:rPr>
                <w:rFonts w:ascii="Times New Roman"/>
                <w:color w:val="000000" w:themeColor="text1"/>
                <w:szCs w:val="21"/>
              </w:rPr>
              <w:t>a,h</w:t>
            </w:r>
            <w:proofErr w:type="spellEnd"/>
            <w:r w:rsidRPr="008A2411">
              <w:rPr>
                <w:rFonts w:ascii="Times New Roman"/>
                <w:color w:val="000000" w:themeColor="text1"/>
                <w:szCs w:val="21"/>
              </w:rPr>
              <w:t>]</w:t>
            </w:r>
            <w:proofErr w:type="gramStart"/>
            <w:r w:rsidRPr="008A2411">
              <w:rPr>
                <w:rFonts w:ascii="Times New Roman"/>
                <w:color w:val="000000" w:themeColor="text1"/>
                <w:szCs w:val="21"/>
              </w:rPr>
              <w:t>蒽</w:t>
            </w:r>
            <w:proofErr w:type="gramEnd"/>
          </w:p>
        </w:tc>
        <w:tc>
          <w:tcPr>
            <w:tcW w:w="1729" w:type="dxa"/>
            <w:tcBorders>
              <w:top w:val="single" w:sz="4" w:space="0" w:color="auto"/>
              <w:left w:val="nil"/>
              <w:bottom w:val="single" w:sz="4" w:space="0" w:color="auto"/>
              <w:right w:val="single" w:sz="4" w:space="0" w:color="auto"/>
            </w:tcBorders>
            <w:vAlign w:val="center"/>
          </w:tcPr>
          <w:p w14:paraId="31FC097E"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53-70-3</w:t>
            </w:r>
          </w:p>
        </w:tc>
        <w:tc>
          <w:tcPr>
            <w:tcW w:w="1189" w:type="dxa"/>
            <w:tcBorders>
              <w:top w:val="single" w:sz="4" w:space="0" w:color="auto"/>
              <w:left w:val="nil"/>
              <w:bottom w:val="single" w:sz="4" w:space="0" w:color="auto"/>
              <w:right w:val="single" w:sz="4" w:space="0" w:color="auto"/>
            </w:tcBorders>
            <w:vAlign w:val="center"/>
          </w:tcPr>
          <w:p w14:paraId="2D04EDF5"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0.55</w:t>
            </w:r>
          </w:p>
        </w:tc>
        <w:tc>
          <w:tcPr>
            <w:tcW w:w="1191" w:type="dxa"/>
            <w:tcBorders>
              <w:top w:val="single" w:sz="4" w:space="0" w:color="auto"/>
              <w:left w:val="nil"/>
              <w:bottom w:val="single" w:sz="4" w:space="0" w:color="auto"/>
              <w:right w:val="single" w:sz="4" w:space="0" w:color="auto"/>
            </w:tcBorders>
            <w:vAlign w:val="center"/>
          </w:tcPr>
          <w:p w14:paraId="312998E9"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1.5</w:t>
            </w:r>
          </w:p>
        </w:tc>
        <w:tc>
          <w:tcPr>
            <w:tcW w:w="1189" w:type="dxa"/>
            <w:tcBorders>
              <w:top w:val="single" w:sz="4" w:space="0" w:color="auto"/>
              <w:left w:val="nil"/>
              <w:bottom w:val="single" w:sz="4" w:space="0" w:color="auto"/>
              <w:right w:val="single" w:sz="4" w:space="0" w:color="auto"/>
            </w:tcBorders>
            <w:vAlign w:val="center"/>
          </w:tcPr>
          <w:p w14:paraId="23DBF25F"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5.5</w:t>
            </w:r>
          </w:p>
        </w:tc>
        <w:tc>
          <w:tcPr>
            <w:tcW w:w="1187" w:type="dxa"/>
            <w:tcBorders>
              <w:top w:val="single" w:sz="4" w:space="0" w:color="auto"/>
              <w:left w:val="nil"/>
              <w:bottom w:val="single" w:sz="4" w:space="0" w:color="auto"/>
              <w:right w:val="single" w:sz="4" w:space="0" w:color="auto"/>
            </w:tcBorders>
            <w:vAlign w:val="center"/>
          </w:tcPr>
          <w:p w14:paraId="47EDE42D"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15</w:t>
            </w:r>
          </w:p>
        </w:tc>
      </w:tr>
      <w:tr w:rsidR="008A2411" w:rsidRPr="008A2411" w14:paraId="325A07C2" w14:textId="77777777">
        <w:trPr>
          <w:trHeight w:val="291"/>
        </w:trPr>
        <w:tc>
          <w:tcPr>
            <w:tcW w:w="573" w:type="dxa"/>
            <w:tcBorders>
              <w:top w:val="single" w:sz="4" w:space="0" w:color="auto"/>
              <w:left w:val="single" w:sz="4" w:space="0" w:color="auto"/>
              <w:bottom w:val="single" w:sz="4" w:space="0" w:color="auto"/>
              <w:right w:val="single" w:sz="4" w:space="0" w:color="auto"/>
            </w:tcBorders>
            <w:vAlign w:val="center"/>
          </w:tcPr>
          <w:p w14:paraId="13AFBEA7"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44</w:t>
            </w:r>
          </w:p>
        </w:tc>
        <w:tc>
          <w:tcPr>
            <w:tcW w:w="1800" w:type="dxa"/>
            <w:tcBorders>
              <w:top w:val="single" w:sz="4" w:space="0" w:color="auto"/>
              <w:left w:val="nil"/>
              <w:bottom w:val="single" w:sz="4" w:space="0" w:color="auto"/>
              <w:right w:val="single" w:sz="4" w:space="0" w:color="auto"/>
            </w:tcBorders>
            <w:vAlign w:val="center"/>
          </w:tcPr>
          <w:p w14:paraId="5831C11E" w14:textId="77777777" w:rsidR="00B0005F" w:rsidRPr="008A2411" w:rsidRDefault="00000000">
            <w:pPr>
              <w:pStyle w:val="a9"/>
              <w:adjustRightInd w:val="0"/>
              <w:snapToGrid w:val="0"/>
              <w:spacing w:after="0"/>
              <w:contextualSpacing/>
              <w:jc w:val="center"/>
              <w:rPr>
                <w:rFonts w:ascii="Times New Roman"/>
                <w:color w:val="000000" w:themeColor="text1"/>
                <w:szCs w:val="21"/>
              </w:rPr>
            </w:pPr>
            <w:proofErr w:type="gramStart"/>
            <w:r w:rsidRPr="008A2411">
              <w:rPr>
                <w:rFonts w:ascii="Times New Roman"/>
                <w:color w:val="000000" w:themeColor="text1"/>
                <w:szCs w:val="21"/>
              </w:rPr>
              <w:t>茚</w:t>
            </w:r>
            <w:proofErr w:type="gramEnd"/>
            <w:r w:rsidRPr="008A2411">
              <w:rPr>
                <w:rFonts w:ascii="Times New Roman"/>
                <w:color w:val="000000" w:themeColor="text1"/>
                <w:szCs w:val="21"/>
              </w:rPr>
              <w:t>并</w:t>
            </w:r>
            <w:r w:rsidRPr="008A2411">
              <w:rPr>
                <w:rFonts w:ascii="Times New Roman"/>
                <w:color w:val="000000" w:themeColor="text1"/>
                <w:szCs w:val="21"/>
              </w:rPr>
              <w:t>[1,2,3-cd]</w:t>
            </w:r>
            <w:proofErr w:type="gramStart"/>
            <w:r w:rsidRPr="008A2411">
              <w:rPr>
                <w:rFonts w:ascii="Times New Roman"/>
                <w:color w:val="000000" w:themeColor="text1"/>
                <w:szCs w:val="21"/>
              </w:rPr>
              <w:t>芘</w:t>
            </w:r>
            <w:proofErr w:type="gramEnd"/>
          </w:p>
        </w:tc>
        <w:tc>
          <w:tcPr>
            <w:tcW w:w="1729" w:type="dxa"/>
            <w:tcBorders>
              <w:top w:val="single" w:sz="4" w:space="0" w:color="auto"/>
              <w:left w:val="nil"/>
              <w:bottom w:val="single" w:sz="4" w:space="0" w:color="auto"/>
              <w:right w:val="single" w:sz="4" w:space="0" w:color="auto"/>
            </w:tcBorders>
            <w:vAlign w:val="center"/>
          </w:tcPr>
          <w:p w14:paraId="07CA7B70"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193-39-5</w:t>
            </w:r>
          </w:p>
        </w:tc>
        <w:tc>
          <w:tcPr>
            <w:tcW w:w="1189" w:type="dxa"/>
            <w:tcBorders>
              <w:top w:val="single" w:sz="4" w:space="0" w:color="auto"/>
              <w:left w:val="nil"/>
              <w:bottom w:val="single" w:sz="4" w:space="0" w:color="auto"/>
              <w:right w:val="single" w:sz="4" w:space="0" w:color="auto"/>
            </w:tcBorders>
            <w:vAlign w:val="center"/>
          </w:tcPr>
          <w:p w14:paraId="7DEE1B80"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5.5</w:t>
            </w:r>
          </w:p>
        </w:tc>
        <w:tc>
          <w:tcPr>
            <w:tcW w:w="1191" w:type="dxa"/>
            <w:tcBorders>
              <w:top w:val="single" w:sz="4" w:space="0" w:color="auto"/>
              <w:left w:val="nil"/>
              <w:bottom w:val="single" w:sz="4" w:space="0" w:color="auto"/>
              <w:right w:val="single" w:sz="4" w:space="0" w:color="auto"/>
            </w:tcBorders>
            <w:vAlign w:val="center"/>
          </w:tcPr>
          <w:p w14:paraId="32A1F6F6"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15</w:t>
            </w:r>
          </w:p>
        </w:tc>
        <w:tc>
          <w:tcPr>
            <w:tcW w:w="1189" w:type="dxa"/>
            <w:tcBorders>
              <w:top w:val="single" w:sz="4" w:space="0" w:color="auto"/>
              <w:left w:val="nil"/>
              <w:bottom w:val="single" w:sz="4" w:space="0" w:color="auto"/>
              <w:right w:val="single" w:sz="4" w:space="0" w:color="auto"/>
            </w:tcBorders>
            <w:vAlign w:val="center"/>
          </w:tcPr>
          <w:p w14:paraId="0A8BFFC8"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55</w:t>
            </w:r>
          </w:p>
        </w:tc>
        <w:tc>
          <w:tcPr>
            <w:tcW w:w="1187" w:type="dxa"/>
            <w:tcBorders>
              <w:top w:val="single" w:sz="4" w:space="0" w:color="auto"/>
              <w:left w:val="nil"/>
              <w:bottom w:val="single" w:sz="4" w:space="0" w:color="auto"/>
              <w:right w:val="single" w:sz="4" w:space="0" w:color="auto"/>
            </w:tcBorders>
            <w:vAlign w:val="center"/>
          </w:tcPr>
          <w:p w14:paraId="37E048EA"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151</w:t>
            </w:r>
          </w:p>
        </w:tc>
      </w:tr>
      <w:tr w:rsidR="008A2411" w:rsidRPr="008A2411" w14:paraId="5AA02D05" w14:textId="77777777">
        <w:trPr>
          <w:trHeight w:val="90"/>
        </w:trPr>
        <w:tc>
          <w:tcPr>
            <w:tcW w:w="573" w:type="dxa"/>
            <w:tcBorders>
              <w:top w:val="single" w:sz="4" w:space="0" w:color="auto"/>
              <w:left w:val="single" w:sz="4" w:space="0" w:color="auto"/>
              <w:bottom w:val="single" w:sz="4" w:space="0" w:color="auto"/>
              <w:right w:val="single" w:sz="4" w:space="0" w:color="auto"/>
            </w:tcBorders>
            <w:vAlign w:val="center"/>
          </w:tcPr>
          <w:p w14:paraId="42E873A5"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45</w:t>
            </w:r>
          </w:p>
        </w:tc>
        <w:tc>
          <w:tcPr>
            <w:tcW w:w="1800" w:type="dxa"/>
            <w:tcBorders>
              <w:top w:val="single" w:sz="4" w:space="0" w:color="auto"/>
              <w:left w:val="nil"/>
              <w:bottom w:val="single" w:sz="4" w:space="0" w:color="auto"/>
              <w:right w:val="single" w:sz="4" w:space="0" w:color="auto"/>
            </w:tcBorders>
            <w:vAlign w:val="center"/>
          </w:tcPr>
          <w:p w14:paraId="6AA9566F" w14:textId="77777777" w:rsidR="00B0005F" w:rsidRPr="008A2411" w:rsidRDefault="00000000">
            <w:pPr>
              <w:pStyle w:val="a9"/>
              <w:adjustRightInd w:val="0"/>
              <w:snapToGrid w:val="0"/>
              <w:spacing w:after="0"/>
              <w:contextualSpacing/>
              <w:jc w:val="center"/>
              <w:rPr>
                <w:rFonts w:ascii="Times New Roman"/>
                <w:color w:val="000000" w:themeColor="text1"/>
                <w:szCs w:val="21"/>
              </w:rPr>
            </w:pPr>
            <w:proofErr w:type="gramStart"/>
            <w:r w:rsidRPr="008A2411">
              <w:rPr>
                <w:rFonts w:ascii="Times New Roman"/>
                <w:color w:val="000000" w:themeColor="text1"/>
                <w:szCs w:val="21"/>
              </w:rPr>
              <w:t>萘</w:t>
            </w:r>
            <w:proofErr w:type="gramEnd"/>
          </w:p>
        </w:tc>
        <w:tc>
          <w:tcPr>
            <w:tcW w:w="1729" w:type="dxa"/>
            <w:tcBorders>
              <w:top w:val="single" w:sz="4" w:space="0" w:color="auto"/>
              <w:left w:val="nil"/>
              <w:bottom w:val="single" w:sz="4" w:space="0" w:color="auto"/>
              <w:right w:val="single" w:sz="4" w:space="0" w:color="auto"/>
            </w:tcBorders>
            <w:vAlign w:val="center"/>
          </w:tcPr>
          <w:p w14:paraId="7D65C3D3"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91-20-3</w:t>
            </w:r>
          </w:p>
        </w:tc>
        <w:tc>
          <w:tcPr>
            <w:tcW w:w="1189" w:type="dxa"/>
            <w:tcBorders>
              <w:top w:val="single" w:sz="4" w:space="0" w:color="auto"/>
              <w:left w:val="nil"/>
              <w:bottom w:val="single" w:sz="4" w:space="0" w:color="auto"/>
              <w:right w:val="single" w:sz="4" w:space="0" w:color="auto"/>
            </w:tcBorders>
            <w:vAlign w:val="center"/>
          </w:tcPr>
          <w:p w14:paraId="44167E3F"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25</w:t>
            </w:r>
          </w:p>
        </w:tc>
        <w:tc>
          <w:tcPr>
            <w:tcW w:w="1191" w:type="dxa"/>
            <w:tcBorders>
              <w:top w:val="single" w:sz="4" w:space="0" w:color="auto"/>
              <w:left w:val="nil"/>
              <w:bottom w:val="single" w:sz="4" w:space="0" w:color="auto"/>
              <w:right w:val="single" w:sz="4" w:space="0" w:color="auto"/>
            </w:tcBorders>
            <w:vAlign w:val="center"/>
          </w:tcPr>
          <w:p w14:paraId="2DF615D3"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70</w:t>
            </w:r>
          </w:p>
        </w:tc>
        <w:tc>
          <w:tcPr>
            <w:tcW w:w="1189" w:type="dxa"/>
            <w:tcBorders>
              <w:top w:val="single" w:sz="4" w:space="0" w:color="auto"/>
              <w:left w:val="nil"/>
              <w:bottom w:val="single" w:sz="4" w:space="0" w:color="auto"/>
              <w:right w:val="single" w:sz="4" w:space="0" w:color="auto"/>
            </w:tcBorders>
            <w:vAlign w:val="center"/>
          </w:tcPr>
          <w:p w14:paraId="54AFF872"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255</w:t>
            </w:r>
          </w:p>
        </w:tc>
        <w:tc>
          <w:tcPr>
            <w:tcW w:w="1187" w:type="dxa"/>
            <w:tcBorders>
              <w:top w:val="single" w:sz="4" w:space="0" w:color="auto"/>
              <w:left w:val="nil"/>
              <w:bottom w:val="single" w:sz="4" w:space="0" w:color="auto"/>
              <w:right w:val="single" w:sz="4" w:space="0" w:color="auto"/>
            </w:tcBorders>
            <w:vAlign w:val="center"/>
          </w:tcPr>
          <w:p w14:paraId="7DDB2179" w14:textId="77777777" w:rsidR="00B0005F" w:rsidRPr="008A2411" w:rsidRDefault="00000000">
            <w:pPr>
              <w:pStyle w:val="a9"/>
              <w:adjustRightInd w:val="0"/>
              <w:snapToGrid w:val="0"/>
              <w:spacing w:after="0"/>
              <w:contextualSpacing/>
              <w:jc w:val="center"/>
              <w:rPr>
                <w:rFonts w:ascii="Times New Roman"/>
                <w:color w:val="000000" w:themeColor="text1"/>
                <w:szCs w:val="21"/>
              </w:rPr>
            </w:pPr>
            <w:r w:rsidRPr="008A2411">
              <w:rPr>
                <w:rFonts w:ascii="Times New Roman"/>
                <w:color w:val="000000" w:themeColor="text1"/>
                <w:szCs w:val="21"/>
              </w:rPr>
              <w:t>700</w:t>
            </w:r>
          </w:p>
        </w:tc>
      </w:tr>
    </w:tbl>
    <w:p w14:paraId="4DEC01A4" w14:textId="77777777" w:rsidR="00B0005F" w:rsidRPr="008A2411" w:rsidRDefault="00000000">
      <w:pPr>
        <w:spacing w:line="360" w:lineRule="auto"/>
        <w:ind w:firstLineChars="200" w:firstLine="480"/>
        <w:rPr>
          <w:rFonts w:ascii="Times New Roman"/>
          <w:color w:val="000000" w:themeColor="text1"/>
        </w:rPr>
      </w:pPr>
      <w:r w:rsidRPr="008A2411">
        <w:rPr>
          <w:rFonts w:ascii="Times New Roman"/>
          <w:color w:val="000000" w:themeColor="text1"/>
        </w:rPr>
        <w:t>周边敏感目标土壤质量执行《土壤环境质量</w:t>
      </w:r>
      <w:r w:rsidRPr="008A2411">
        <w:rPr>
          <w:rFonts w:ascii="Times New Roman"/>
          <w:color w:val="000000" w:themeColor="text1"/>
        </w:rPr>
        <w:t xml:space="preserve"> </w:t>
      </w:r>
      <w:r w:rsidRPr="008A2411">
        <w:rPr>
          <w:rFonts w:ascii="Times New Roman"/>
          <w:color w:val="000000" w:themeColor="text1"/>
        </w:rPr>
        <w:t>农用地土壤污染风险管控标准》（试行）（</w:t>
      </w:r>
      <w:r w:rsidRPr="008A2411">
        <w:rPr>
          <w:rFonts w:ascii="Times New Roman"/>
          <w:color w:val="000000" w:themeColor="text1"/>
        </w:rPr>
        <w:t>GB 15618-2018</w:t>
      </w:r>
      <w:r w:rsidRPr="008A2411">
        <w:rPr>
          <w:rFonts w:ascii="Times New Roman"/>
          <w:color w:val="000000" w:themeColor="text1"/>
        </w:rPr>
        <w:t>）标准，见表</w:t>
      </w:r>
      <w:r w:rsidRPr="008A2411">
        <w:rPr>
          <w:rFonts w:ascii="Times New Roman"/>
          <w:color w:val="000000" w:themeColor="text1"/>
        </w:rPr>
        <w:t>2.6-8</w:t>
      </w:r>
      <w:r w:rsidRPr="008A2411">
        <w:rPr>
          <w:rFonts w:ascii="Times New Roman"/>
          <w:color w:val="000000" w:themeColor="text1"/>
        </w:rPr>
        <w:t>。</w:t>
      </w:r>
    </w:p>
    <w:p w14:paraId="7207CED6" w14:textId="77777777" w:rsidR="00B0005F" w:rsidRPr="008A2411" w:rsidRDefault="00000000">
      <w:pPr>
        <w:jc w:val="center"/>
        <w:rPr>
          <w:rFonts w:ascii="Times New Roman" w:eastAsia="黑体"/>
          <w:bCs/>
          <w:color w:val="000000" w:themeColor="text1"/>
          <w:szCs w:val="21"/>
        </w:rPr>
      </w:pPr>
      <w:r w:rsidRPr="008A2411">
        <w:rPr>
          <w:rFonts w:ascii="Times New Roman" w:eastAsia="黑体"/>
          <w:bCs/>
          <w:color w:val="000000" w:themeColor="text1"/>
          <w:szCs w:val="21"/>
        </w:rPr>
        <w:t>表</w:t>
      </w:r>
      <w:r w:rsidRPr="008A2411">
        <w:rPr>
          <w:rFonts w:ascii="Times New Roman" w:eastAsia="黑体"/>
          <w:bCs/>
          <w:color w:val="000000" w:themeColor="text1"/>
          <w:szCs w:val="21"/>
        </w:rPr>
        <w:t xml:space="preserve">2.6-8  </w:t>
      </w:r>
      <w:r w:rsidRPr="008A2411">
        <w:rPr>
          <w:rFonts w:ascii="Times New Roman" w:eastAsia="黑体"/>
          <w:bCs/>
          <w:color w:val="000000" w:themeColor="text1"/>
          <w:szCs w:val="21"/>
        </w:rPr>
        <w:t>《土壤环境质量</w:t>
      </w:r>
      <w:r w:rsidRPr="008A2411">
        <w:rPr>
          <w:rFonts w:ascii="Times New Roman" w:eastAsia="黑体"/>
          <w:bCs/>
          <w:color w:val="000000" w:themeColor="text1"/>
          <w:szCs w:val="21"/>
        </w:rPr>
        <w:t xml:space="preserve"> </w:t>
      </w:r>
      <w:r w:rsidRPr="008A2411">
        <w:rPr>
          <w:rFonts w:ascii="Times New Roman" w:eastAsia="黑体"/>
          <w:bCs/>
          <w:color w:val="000000" w:themeColor="text1"/>
          <w:szCs w:val="21"/>
        </w:rPr>
        <w:t>农用地土壤污染风险管控标准》（试行）单位：</w:t>
      </w:r>
      <w:r w:rsidRPr="008A2411">
        <w:rPr>
          <w:rFonts w:ascii="Times New Roman" w:eastAsia="黑体"/>
          <w:bCs/>
          <w:color w:val="000000" w:themeColor="text1"/>
          <w:szCs w:val="21"/>
        </w:rPr>
        <w:t>mg/kg</w:t>
      </w:r>
    </w:p>
    <w:tbl>
      <w:tblPr>
        <w:tblStyle w:val="affff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16"/>
        <w:gridCol w:w="1216"/>
        <w:gridCol w:w="1217"/>
        <w:gridCol w:w="1216"/>
        <w:gridCol w:w="1217"/>
        <w:gridCol w:w="1217"/>
        <w:gridCol w:w="1219"/>
      </w:tblGrid>
      <w:tr w:rsidR="008A2411" w:rsidRPr="008A2411" w14:paraId="5B59A9B7" w14:textId="77777777">
        <w:trPr>
          <w:trHeight w:val="333"/>
        </w:trPr>
        <w:tc>
          <w:tcPr>
            <w:tcW w:w="1216" w:type="dxa"/>
            <w:vMerge w:val="restart"/>
            <w:vAlign w:val="center"/>
          </w:tcPr>
          <w:p w14:paraId="3096D4EA"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序号</w:t>
            </w:r>
          </w:p>
        </w:tc>
        <w:tc>
          <w:tcPr>
            <w:tcW w:w="2433" w:type="dxa"/>
            <w:gridSpan w:val="2"/>
            <w:vMerge w:val="restart"/>
            <w:vAlign w:val="center"/>
          </w:tcPr>
          <w:p w14:paraId="2572E183"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污染物项目</w:t>
            </w:r>
          </w:p>
        </w:tc>
        <w:tc>
          <w:tcPr>
            <w:tcW w:w="4869" w:type="dxa"/>
            <w:gridSpan w:val="4"/>
            <w:vAlign w:val="center"/>
          </w:tcPr>
          <w:p w14:paraId="43422386"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风险筛选值</w:t>
            </w:r>
          </w:p>
        </w:tc>
      </w:tr>
      <w:tr w:rsidR="008A2411" w:rsidRPr="008A2411" w14:paraId="7D4CA002" w14:textId="77777777">
        <w:trPr>
          <w:trHeight w:val="655"/>
        </w:trPr>
        <w:tc>
          <w:tcPr>
            <w:tcW w:w="1216" w:type="dxa"/>
            <w:vMerge/>
            <w:vAlign w:val="center"/>
          </w:tcPr>
          <w:p w14:paraId="19D0A9C0" w14:textId="77777777" w:rsidR="00B0005F" w:rsidRPr="008A2411" w:rsidRDefault="00B0005F">
            <w:pPr>
              <w:jc w:val="center"/>
              <w:rPr>
                <w:rFonts w:ascii="Times New Roman" w:eastAsiaTheme="minorEastAsia"/>
                <w:bCs/>
                <w:color w:val="000000" w:themeColor="text1"/>
                <w:sz w:val="21"/>
                <w:szCs w:val="21"/>
              </w:rPr>
            </w:pPr>
          </w:p>
        </w:tc>
        <w:tc>
          <w:tcPr>
            <w:tcW w:w="2433" w:type="dxa"/>
            <w:gridSpan w:val="2"/>
            <w:vMerge/>
            <w:vAlign w:val="center"/>
          </w:tcPr>
          <w:p w14:paraId="750CDD2D" w14:textId="77777777" w:rsidR="00B0005F" w:rsidRPr="008A2411" w:rsidRDefault="00B0005F">
            <w:pPr>
              <w:jc w:val="center"/>
              <w:rPr>
                <w:rFonts w:ascii="Times New Roman" w:eastAsiaTheme="minorEastAsia"/>
                <w:bCs/>
                <w:color w:val="000000" w:themeColor="text1"/>
                <w:sz w:val="21"/>
                <w:szCs w:val="21"/>
              </w:rPr>
            </w:pPr>
          </w:p>
        </w:tc>
        <w:tc>
          <w:tcPr>
            <w:tcW w:w="1216" w:type="dxa"/>
            <w:vAlign w:val="center"/>
          </w:tcPr>
          <w:p w14:paraId="098DEA8E"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pH</w:t>
            </w:r>
            <w:r w:rsidRPr="008A2411">
              <w:rPr>
                <w:rFonts w:ascii="Times New Roman"/>
                <w:bCs/>
                <w:color w:val="000000" w:themeColor="text1"/>
                <w:sz w:val="21"/>
                <w:szCs w:val="21"/>
              </w:rPr>
              <w:t>≦</w:t>
            </w:r>
            <w:r w:rsidRPr="008A2411">
              <w:rPr>
                <w:rFonts w:ascii="Times New Roman" w:eastAsiaTheme="minorEastAsia"/>
                <w:bCs/>
                <w:color w:val="000000" w:themeColor="text1"/>
                <w:sz w:val="21"/>
                <w:szCs w:val="21"/>
              </w:rPr>
              <w:t>5.5</w:t>
            </w:r>
          </w:p>
        </w:tc>
        <w:tc>
          <w:tcPr>
            <w:tcW w:w="1217" w:type="dxa"/>
            <w:vAlign w:val="center"/>
          </w:tcPr>
          <w:p w14:paraId="246C0FF2"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5.5</w:t>
            </w:r>
            <w:r w:rsidRPr="008A2411">
              <w:rPr>
                <w:rFonts w:ascii="Times New Roman" w:eastAsiaTheme="minorEastAsia"/>
                <w:bCs/>
                <w:color w:val="000000" w:themeColor="text1"/>
                <w:sz w:val="21"/>
                <w:szCs w:val="21"/>
              </w:rPr>
              <w:t>＜</w:t>
            </w:r>
            <w:r w:rsidRPr="008A2411">
              <w:rPr>
                <w:rFonts w:ascii="Times New Roman" w:eastAsiaTheme="minorEastAsia"/>
                <w:bCs/>
                <w:color w:val="000000" w:themeColor="text1"/>
                <w:sz w:val="21"/>
                <w:szCs w:val="21"/>
              </w:rPr>
              <w:t>pH</w:t>
            </w:r>
            <w:r w:rsidRPr="008A2411">
              <w:rPr>
                <w:rFonts w:ascii="Times New Roman"/>
                <w:bCs/>
                <w:color w:val="000000" w:themeColor="text1"/>
                <w:sz w:val="21"/>
                <w:szCs w:val="21"/>
              </w:rPr>
              <w:t>≦</w:t>
            </w:r>
            <w:r w:rsidRPr="008A2411">
              <w:rPr>
                <w:rFonts w:ascii="Times New Roman" w:eastAsiaTheme="minorEastAsia"/>
                <w:bCs/>
                <w:color w:val="000000" w:themeColor="text1"/>
                <w:sz w:val="21"/>
                <w:szCs w:val="21"/>
              </w:rPr>
              <w:t>6.5</w:t>
            </w:r>
          </w:p>
        </w:tc>
        <w:tc>
          <w:tcPr>
            <w:tcW w:w="1217" w:type="dxa"/>
            <w:vAlign w:val="center"/>
          </w:tcPr>
          <w:p w14:paraId="60AC7FE4"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6.5</w:t>
            </w:r>
            <w:r w:rsidRPr="008A2411">
              <w:rPr>
                <w:rFonts w:ascii="Times New Roman" w:eastAsiaTheme="minorEastAsia"/>
                <w:bCs/>
                <w:color w:val="000000" w:themeColor="text1"/>
                <w:sz w:val="21"/>
                <w:szCs w:val="21"/>
              </w:rPr>
              <w:t>＜</w:t>
            </w:r>
            <w:r w:rsidRPr="008A2411">
              <w:rPr>
                <w:rFonts w:ascii="Times New Roman" w:eastAsiaTheme="minorEastAsia"/>
                <w:bCs/>
                <w:color w:val="000000" w:themeColor="text1"/>
                <w:sz w:val="21"/>
                <w:szCs w:val="21"/>
              </w:rPr>
              <w:t>pH</w:t>
            </w:r>
            <w:r w:rsidRPr="008A2411">
              <w:rPr>
                <w:rFonts w:ascii="Times New Roman"/>
                <w:bCs/>
                <w:color w:val="000000" w:themeColor="text1"/>
                <w:sz w:val="21"/>
                <w:szCs w:val="21"/>
              </w:rPr>
              <w:t>≦</w:t>
            </w:r>
            <w:r w:rsidRPr="008A2411">
              <w:rPr>
                <w:rFonts w:ascii="Times New Roman" w:eastAsiaTheme="minorEastAsia"/>
                <w:bCs/>
                <w:color w:val="000000" w:themeColor="text1"/>
                <w:sz w:val="21"/>
                <w:szCs w:val="21"/>
              </w:rPr>
              <w:t>7.5</w:t>
            </w:r>
          </w:p>
        </w:tc>
        <w:tc>
          <w:tcPr>
            <w:tcW w:w="1219" w:type="dxa"/>
            <w:vAlign w:val="center"/>
          </w:tcPr>
          <w:p w14:paraId="54B34AE2"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pH</w:t>
            </w:r>
            <w:r w:rsidRPr="008A2411">
              <w:rPr>
                <w:rFonts w:ascii="Times New Roman" w:eastAsiaTheme="minorEastAsia"/>
                <w:bCs/>
                <w:color w:val="000000" w:themeColor="text1"/>
                <w:sz w:val="21"/>
                <w:szCs w:val="21"/>
              </w:rPr>
              <w:t>＞</w:t>
            </w:r>
            <w:r w:rsidRPr="008A2411">
              <w:rPr>
                <w:rFonts w:ascii="Times New Roman" w:eastAsiaTheme="minorEastAsia"/>
                <w:bCs/>
                <w:color w:val="000000" w:themeColor="text1"/>
                <w:sz w:val="21"/>
                <w:szCs w:val="21"/>
              </w:rPr>
              <w:t>7.5</w:t>
            </w:r>
          </w:p>
        </w:tc>
      </w:tr>
      <w:tr w:rsidR="008A2411" w:rsidRPr="008A2411" w14:paraId="09C3A5AE" w14:textId="77777777">
        <w:trPr>
          <w:trHeight w:val="333"/>
        </w:trPr>
        <w:tc>
          <w:tcPr>
            <w:tcW w:w="1216" w:type="dxa"/>
            <w:vMerge w:val="restart"/>
            <w:vAlign w:val="center"/>
          </w:tcPr>
          <w:p w14:paraId="7FA359BE"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1</w:t>
            </w:r>
          </w:p>
        </w:tc>
        <w:tc>
          <w:tcPr>
            <w:tcW w:w="1216" w:type="dxa"/>
            <w:vMerge w:val="restart"/>
            <w:vAlign w:val="center"/>
          </w:tcPr>
          <w:p w14:paraId="38B6D951"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镉</w:t>
            </w:r>
          </w:p>
        </w:tc>
        <w:tc>
          <w:tcPr>
            <w:tcW w:w="1217" w:type="dxa"/>
            <w:vAlign w:val="center"/>
          </w:tcPr>
          <w:p w14:paraId="59BBC5AD"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水田</w:t>
            </w:r>
          </w:p>
        </w:tc>
        <w:tc>
          <w:tcPr>
            <w:tcW w:w="1216" w:type="dxa"/>
            <w:vAlign w:val="center"/>
          </w:tcPr>
          <w:p w14:paraId="139B621B"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0.3</w:t>
            </w:r>
          </w:p>
        </w:tc>
        <w:tc>
          <w:tcPr>
            <w:tcW w:w="1217" w:type="dxa"/>
            <w:vAlign w:val="center"/>
          </w:tcPr>
          <w:p w14:paraId="4B0F5AA2"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0.4</w:t>
            </w:r>
          </w:p>
        </w:tc>
        <w:tc>
          <w:tcPr>
            <w:tcW w:w="1217" w:type="dxa"/>
            <w:vAlign w:val="center"/>
          </w:tcPr>
          <w:p w14:paraId="2714D4DE"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0.6</w:t>
            </w:r>
          </w:p>
        </w:tc>
        <w:tc>
          <w:tcPr>
            <w:tcW w:w="1219" w:type="dxa"/>
            <w:vAlign w:val="center"/>
          </w:tcPr>
          <w:p w14:paraId="6536FE38"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0.8</w:t>
            </w:r>
          </w:p>
        </w:tc>
      </w:tr>
      <w:tr w:rsidR="008A2411" w:rsidRPr="008A2411" w14:paraId="3FB5A4FB" w14:textId="77777777">
        <w:trPr>
          <w:trHeight w:val="333"/>
        </w:trPr>
        <w:tc>
          <w:tcPr>
            <w:tcW w:w="1216" w:type="dxa"/>
            <w:vMerge/>
            <w:vAlign w:val="center"/>
          </w:tcPr>
          <w:p w14:paraId="31B7B6F0" w14:textId="77777777" w:rsidR="00B0005F" w:rsidRPr="008A2411" w:rsidRDefault="00B0005F">
            <w:pPr>
              <w:jc w:val="center"/>
              <w:rPr>
                <w:rFonts w:ascii="Times New Roman" w:eastAsiaTheme="minorEastAsia"/>
                <w:bCs/>
                <w:color w:val="000000" w:themeColor="text1"/>
                <w:sz w:val="21"/>
                <w:szCs w:val="21"/>
              </w:rPr>
            </w:pPr>
          </w:p>
        </w:tc>
        <w:tc>
          <w:tcPr>
            <w:tcW w:w="1216" w:type="dxa"/>
            <w:vMerge/>
            <w:vAlign w:val="center"/>
          </w:tcPr>
          <w:p w14:paraId="6FF1EDE6" w14:textId="77777777" w:rsidR="00B0005F" w:rsidRPr="008A2411" w:rsidRDefault="00B0005F">
            <w:pPr>
              <w:jc w:val="center"/>
              <w:rPr>
                <w:rFonts w:ascii="Times New Roman" w:eastAsiaTheme="minorEastAsia"/>
                <w:bCs/>
                <w:color w:val="000000" w:themeColor="text1"/>
                <w:sz w:val="21"/>
                <w:szCs w:val="21"/>
              </w:rPr>
            </w:pPr>
          </w:p>
        </w:tc>
        <w:tc>
          <w:tcPr>
            <w:tcW w:w="1217" w:type="dxa"/>
            <w:vAlign w:val="center"/>
          </w:tcPr>
          <w:p w14:paraId="2F409328"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其他</w:t>
            </w:r>
          </w:p>
        </w:tc>
        <w:tc>
          <w:tcPr>
            <w:tcW w:w="1216" w:type="dxa"/>
            <w:vAlign w:val="center"/>
          </w:tcPr>
          <w:p w14:paraId="5B5A3015"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0.3</w:t>
            </w:r>
          </w:p>
        </w:tc>
        <w:tc>
          <w:tcPr>
            <w:tcW w:w="1217" w:type="dxa"/>
            <w:vAlign w:val="center"/>
          </w:tcPr>
          <w:p w14:paraId="2DF38B91"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0.3</w:t>
            </w:r>
          </w:p>
        </w:tc>
        <w:tc>
          <w:tcPr>
            <w:tcW w:w="1217" w:type="dxa"/>
            <w:vAlign w:val="center"/>
          </w:tcPr>
          <w:p w14:paraId="733E0FC4"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0.3</w:t>
            </w:r>
          </w:p>
        </w:tc>
        <w:tc>
          <w:tcPr>
            <w:tcW w:w="1219" w:type="dxa"/>
            <w:vAlign w:val="center"/>
          </w:tcPr>
          <w:p w14:paraId="2EEFC718"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0.6</w:t>
            </w:r>
          </w:p>
        </w:tc>
      </w:tr>
      <w:tr w:rsidR="008A2411" w:rsidRPr="008A2411" w14:paraId="57F835AB" w14:textId="77777777">
        <w:trPr>
          <w:trHeight w:val="333"/>
        </w:trPr>
        <w:tc>
          <w:tcPr>
            <w:tcW w:w="1216" w:type="dxa"/>
            <w:vMerge w:val="restart"/>
            <w:vAlign w:val="center"/>
          </w:tcPr>
          <w:p w14:paraId="3687130A"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2</w:t>
            </w:r>
          </w:p>
        </w:tc>
        <w:tc>
          <w:tcPr>
            <w:tcW w:w="1216" w:type="dxa"/>
            <w:vMerge w:val="restart"/>
            <w:vAlign w:val="center"/>
          </w:tcPr>
          <w:p w14:paraId="76F24903"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汞</w:t>
            </w:r>
          </w:p>
        </w:tc>
        <w:tc>
          <w:tcPr>
            <w:tcW w:w="1217" w:type="dxa"/>
            <w:vAlign w:val="center"/>
          </w:tcPr>
          <w:p w14:paraId="47E7E4E3"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水田</w:t>
            </w:r>
          </w:p>
        </w:tc>
        <w:tc>
          <w:tcPr>
            <w:tcW w:w="1216" w:type="dxa"/>
            <w:vAlign w:val="center"/>
          </w:tcPr>
          <w:p w14:paraId="2644A86A"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0.5</w:t>
            </w:r>
          </w:p>
        </w:tc>
        <w:tc>
          <w:tcPr>
            <w:tcW w:w="1217" w:type="dxa"/>
            <w:vAlign w:val="center"/>
          </w:tcPr>
          <w:p w14:paraId="32FDBD14"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0.5</w:t>
            </w:r>
          </w:p>
        </w:tc>
        <w:tc>
          <w:tcPr>
            <w:tcW w:w="1217" w:type="dxa"/>
            <w:vAlign w:val="center"/>
          </w:tcPr>
          <w:p w14:paraId="4B4B888C"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0.6</w:t>
            </w:r>
          </w:p>
        </w:tc>
        <w:tc>
          <w:tcPr>
            <w:tcW w:w="1219" w:type="dxa"/>
            <w:vAlign w:val="center"/>
          </w:tcPr>
          <w:p w14:paraId="2BC24C5C"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1.0</w:t>
            </w:r>
          </w:p>
        </w:tc>
      </w:tr>
      <w:tr w:rsidR="008A2411" w:rsidRPr="008A2411" w14:paraId="23660F50" w14:textId="77777777">
        <w:trPr>
          <w:trHeight w:val="333"/>
        </w:trPr>
        <w:tc>
          <w:tcPr>
            <w:tcW w:w="1216" w:type="dxa"/>
            <w:vMerge/>
            <w:vAlign w:val="center"/>
          </w:tcPr>
          <w:p w14:paraId="682FCF90" w14:textId="77777777" w:rsidR="00B0005F" w:rsidRPr="008A2411" w:rsidRDefault="00B0005F">
            <w:pPr>
              <w:jc w:val="center"/>
              <w:rPr>
                <w:rFonts w:ascii="Times New Roman" w:eastAsiaTheme="minorEastAsia"/>
                <w:bCs/>
                <w:color w:val="000000" w:themeColor="text1"/>
                <w:sz w:val="21"/>
                <w:szCs w:val="21"/>
              </w:rPr>
            </w:pPr>
          </w:p>
        </w:tc>
        <w:tc>
          <w:tcPr>
            <w:tcW w:w="1216" w:type="dxa"/>
            <w:vMerge/>
            <w:vAlign w:val="center"/>
          </w:tcPr>
          <w:p w14:paraId="0D3ABD7A" w14:textId="77777777" w:rsidR="00B0005F" w:rsidRPr="008A2411" w:rsidRDefault="00B0005F">
            <w:pPr>
              <w:jc w:val="center"/>
              <w:rPr>
                <w:rFonts w:ascii="Times New Roman" w:eastAsiaTheme="minorEastAsia"/>
                <w:bCs/>
                <w:color w:val="000000" w:themeColor="text1"/>
                <w:sz w:val="21"/>
                <w:szCs w:val="21"/>
              </w:rPr>
            </w:pPr>
          </w:p>
        </w:tc>
        <w:tc>
          <w:tcPr>
            <w:tcW w:w="1217" w:type="dxa"/>
            <w:vAlign w:val="center"/>
          </w:tcPr>
          <w:p w14:paraId="2183B5F5"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其他</w:t>
            </w:r>
          </w:p>
        </w:tc>
        <w:tc>
          <w:tcPr>
            <w:tcW w:w="1216" w:type="dxa"/>
            <w:vAlign w:val="center"/>
          </w:tcPr>
          <w:p w14:paraId="54E83A2A"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1.3</w:t>
            </w:r>
          </w:p>
        </w:tc>
        <w:tc>
          <w:tcPr>
            <w:tcW w:w="1217" w:type="dxa"/>
            <w:vAlign w:val="center"/>
          </w:tcPr>
          <w:p w14:paraId="6C0C4601"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1.8</w:t>
            </w:r>
          </w:p>
        </w:tc>
        <w:tc>
          <w:tcPr>
            <w:tcW w:w="1217" w:type="dxa"/>
            <w:vAlign w:val="center"/>
          </w:tcPr>
          <w:p w14:paraId="2DE69205"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2.4</w:t>
            </w:r>
          </w:p>
        </w:tc>
        <w:tc>
          <w:tcPr>
            <w:tcW w:w="1219" w:type="dxa"/>
            <w:vAlign w:val="center"/>
          </w:tcPr>
          <w:p w14:paraId="017C94D3"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3.4</w:t>
            </w:r>
          </w:p>
        </w:tc>
      </w:tr>
      <w:tr w:rsidR="008A2411" w:rsidRPr="008A2411" w14:paraId="32405257" w14:textId="77777777">
        <w:trPr>
          <w:trHeight w:val="333"/>
        </w:trPr>
        <w:tc>
          <w:tcPr>
            <w:tcW w:w="1216" w:type="dxa"/>
            <w:vMerge w:val="restart"/>
            <w:vAlign w:val="center"/>
          </w:tcPr>
          <w:p w14:paraId="1D662D6F"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3</w:t>
            </w:r>
          </w:p>
        </w:tc>
        <w:tc>
          <w:tcPr>
            <w:tcW w:w="1216" w:type="dxa"/>
            <w:vMerge w:val="restart"/>
            <w:vAlign w:val="center"/>
          </w:tcPr>
          <w:p w14:paraId="73E9B13B"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砷</w:t>
            </w:r>
          </w:p>
        </w:tc>
        <w:tc>
          <w:tcPr>
            <w:tcW w:w="1217" w:type="dxa"/>
            <w:vAlign w:val="center"/>
          </w:tcPr>
          <w:p w14:paraId="67412BF0"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水田</w:t>
            </w:r>
          </w:p>
        </w:tc>
        <w:tc>
          <w:tcPr>
            <w:tcW w:w="1216" w:type="dxa"/>
            <w:vAlign w:val="center"/>
          </w:tcPr>
          <w:p w14:paraId="4A3F9664"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30</w:t>
            </w:r>
          </w:p>
        </w:tc>
        <w:tc>
          <w:tcPr>
            <w:tcW w:w="1217" w:type="dxa"/>
            <w:vAlign w:val="center"/>
          </w:tcPr>
          <w:p w14:paraId="04794C01"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30</w:t>
            </w:r>
          </w:p>
        </w:tc>
        <w:tc>
          <w:tcPr>
            <w:tcW w:w="1217" w:type="dxa"/>
            <w:vAlign w:val="center"/>
          </w:tcPr>
          <w:p w14:paraId="3C657564"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25</w:t>
            </w:r>
          </w:p>
        </w:tc>
        <w:tc>
          <w:tcPr>
            <w:tcW w:w="1219" w:type="dxa"/>
            <w:vAlign w:val="center"/>
          </w:tcPr>
          <w:p w14:paraId="1B554B8E"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20</w:t>
            </w:r>
          </w:p>
        </w:tc>
      </w:tr>
      <w:tr w:rsidR="008A2411" w:rsidRPr="008A2411" w14:paraId="2E8F9EFC" w14:textId="77777777">
        <w:trPr>
          <w:trHeight w:val="333"/>
        </w:trPr>
        <w:tc>
          <w:tcPr>
            <w:tcW w:w="1216" w:type="dxa"/>
            <w:vMerge/>
            <w:vAlign w:val="center"/>
          </w:tcPr>
          <w:p w14:paraId="68A39F95" w14:textId="77777777" w:rsidR="00B0005F" w:rsidRPr="008A2411" w:rsidRDefault="00B0005F">
            <w:pPr>
              <w:jc w:val="center"/>
              <w:rPr>
                <w:rFonts w:ascii="Times New Roman" w:eastAsiaTheme="minorEastAsia"/>
                <w:bCs/>
                <w:color w:val="000000" w:themeColor="text1"/>
                <w:sz w:val="21"/>
                <w:szCs w:val="21"/>
              </w:rPr>
            </w:pPr>
          </w:p>
        </w:tc>
        <w:tc>
          <w:tcPr>
            <w:tcW w:w="1216" w:type="dxa"/>
            <w:vMerge/>
            <w:vAlign w:val="center"/>
          </w:tcPr>
          <w:p w14:paraId="682DF802" w14:textId="77777777" w:rsidR="00B0005F" w:rsidRPr="008A2411" w:rsidRDefault="00B0005F">
            <w:pPr>
              <w:jc w:val="center"/>
              <w:rPr>
                <w:rFonts w:ascii="Times New Roman" w:eastAsiaTheme="minorEastAsia"/>
                <w:bCs/>
                <w:color w:val="000000" w:themeColor="text1"/>
                <w:sz w:val="21"/>
                <w:szCs w:val="21"/>
              </w:rPr>
            </w:pPr>
          </w:p>
        </w:tc>
        <w:tc>
          <w:tcPr>
            <w:tcW w:w="1217" w:type="dxa"/>
            <w:vAlign w:val="center"/>
          </w:tcPr>
          <w:p w14:paraId="46905F9C"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其他</w:t>
            </w:r>
          </w:p>
        </w:tc>
        <w:tc>
          <w:tcPr>
            <w:tcW w:w="1216" w:type="dxa"/>
            <w:vAlign w:val="center"/>
          </w:tcPr>
          <w:p w14:paraId="2BB0B951"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40</w:t>
            </w:r>
          </w:p>
        </w:tc>
        <w:tc>
          <w:tcPr>
            <w:tcW w:w="1217" w:type="dxa"/>
            <w:vAlign w:val="center"/>
          </w:tcPr>
          <w:p w14:paraId="35C22381"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40</w:t>
            </w:r>
          </w:p>
        </w:tc>
        <w:tc>
          <w:tcPr>
            <w:tcW w:w="1217" w:type="dxa"/>
            <w:vAlign w:val="center"/>
          </w:tcPr>
          <w:p w14:paraId="73D8E5D9"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30</w:t>
            </w:r>
          </w:p>
        </w:tc>
        <w:tc>
          <w:tcPr>
            <w:tcW w:w="1219" w:type="dxa"/>
            <w:vAlign w:val="center"/>
          </w:tcPr>
          <w:p w14:paraId="62F6BBCD"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25</w:t>
            </w:r>
          </w:p>
        </w:tc>
      </w:tr>
      <w:tr w:rsidR="008A2411" w:rsidRPr="008A2411" w14:paraId="7C76E374" w14:textId="77777777">
        <w:trPr>
          <w:trHeight w:val="333"/>
        </w:trPr>
        <w:tc>
          <w:tcPr>
            <w:tcW w:w="1216" w:type="dxa"/>
            <w:vMerge w:val="restart"/>
            <w:vAlign w:val="center"/>
          </w:tcPr>
          <w:p w14:paraId="56D2F885"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4</w:t>
            </w:r>
          </w:p>
        </w:tc>
        <w:tc>
          <w:tcPr>
            <w:tcW w:w="1216" w:type="dxa"/>
            <w:vMerge w:val="restart"/>
            <w:vAlign w:val="center"/>
          </w:tcPr>
          <w:p w14:paraId="7694F163"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铅</w:t>
            </w:r>
          </w:p>
        </w:tc>
        <w:tc>
          <w:tcPr>
            <w:tcW w:w="1217" w:type="dxa"/>
            <w:vAlign w:val="center"/>
          </w:tcPr>
          <w:p w14:paraId="4AFD5275"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水田</w:t>
            </w:r>
          </w:p>
        </w:tc>
        <w:tc>
          <w:tcPr>
            <w:tcW w:w="1216" w:type="dxa"/>
            <w:vAlign w:val="center"/>
          </w:tcPr>
          <w:p w14:paraId="73513721"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80</w:t>
            </w:r>
          </w:p>
        </w:tc>
        <w:tc>
          <w:tcPr>
            <w:tcW w:w="1217" w:type="dxa"/>
            <w:vAlign w:val="center"/>
          </w:tcPr>
          <w:p w14:paraId="0DBCEB05"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100</w:t>
            </w:r>
          </w:p>
        </w:tc>
        <w:tc>
          <w:tcPr>
            <w:tcW w:w="1217" w:type="dxa"/>
            <w:vAlign w:val="center"/>
          </w:tcPr>
          <w:p w14:paraId="2390E660"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140</w:t>
            </w:r>
          </w:p>
        </w:tc>
        <w:tc>
          <w:tcPr>
            <w:tcW w:w="1219" w:type="dxa"/>
            <w:vAlign w:val="center"/>
          </w:tcPr>
          <w:p w14:paraId="08E2B643"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240</w:t>
            </w:r>
          </w:p>
        </w:tc>
      </w:tr>
      <w:tr w:rsidR="008A2411" w:rsidRPr="008A2411" w14:paraId="36562D27" w14:textId="77777777">
        <w:trPr>
          <w:trHeight w:val="333"/>
        </w:trPr>
        <w:tc>
          <w:tcPr>
            <w:tcW w:w="1216" w:type="dxa"/>
            <w:vMerge/>
            <w:vAlign w:val="center"/>
          </w:tcPr>
          <w:p w14:paraId="7800E567" w14:textId="77777777" w:rsidR="00B0005F" w:rsidRPr="008A2411" w:rsidRDefault="00B0005F">
            <w:pPr>
              <w:jc w:val="center"/>
              <w:rPr>
                <w:rFonts w:ascii="Times New Roman" w:eastAsiaTheme="minorEastAsia"/>
                <w:bCs/>
                <w:color w:val="000000" w:themeColor="text1"/>
                <w:sz w:val="21"/>
                <w:szCs w:val="21"/>
              </w:rPr>
            </w:pPr>
          </w:p>
        </w:tc>
        <w:tc>
          <w:tcPr>
            <w:tcW w:w="1216" w:type="dxa"/>
            <w:vMerge/>
            <w:vAlign w:val="center"/>
          </w:tcPr>
          <w:p w14:paraId="556DA1D1" w14:textId="77777777" w:rsidR="00B0005F" w:rsidRPr="008A2411" w:rsidRDefault="00B0005F">
            <w:pPr>
              <w:jc w:val="center"/>
              <w:rPr>
                <w:rFonts w:ascii="Times New Roman" w:eastAsiaTheme="minorEastAsia"/>
                <w:bCs/>
                <w:color w:val="000000" w:themeColor="text1"/>
                <w:sz w:val="21"/>
                <w:szCs w:val="21"/>
              </w:rPr>
            </w:pPr>
          </w:p>
        </w:tc>
        <w:tc>
          <w:tcPr>
            <w:tcW w:w="1217" w:type="dxa"/>
            <w:vAlign w:val="center"/>
          </w:tcPr>
          <w:p w14:paraId="69E5C370"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其他</w:t>
            </w:r>
          </w:p>
        </w:tc>
        <w:tc>
          <w:tcPr>
            <w:tcW w:w="1216" w:type="dxa"/>
            <w:vAlign w:val="center"/>
          </w:tcPr>
          <w:p w14:paraId="2E878AD6"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70</w:t>
            </w:r>
          </w:p>
        </w:tc>
        <w:tc>
          <w:tcPr>
            <w:tcW w:w="1217" w:type="dxa"/>
            <w:vAlign w:val="center"/>
          </w:tcPr>
          <w:p w14:paraId="20E603D8"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90</w:t>
            </w:r>
          </w:p>
        </w:tc>
        <w:tc>
          <w:tcPr>
            <w:tcW w:w="1217" w:type="dxa"/>
            <w:vAlign w:val="center"/>
          </w:tcPr>
          <w:p w14:paraId="332E2F9D"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120</w:t>
            </w:r>
          </w:p>
        </w:tc>
        <w:tc>
          <w:tcPr>
            <w:tcW w:w="1219" w:type="dxa"/>
            <w:vAlign w:val="center"/>
          </w:tcPr>
          <w:p w14:paraId="0DE57214"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170</w:t>
            </w:r>
          </w:p>
        </w:tc>
      </w:tr>
      <w:tr w:rsidR="008A2411" w:rsidRPr="008A2411" w14:paraId="19F9BDA5" w14:textId="77777777">
        <w:trPr>
          <w:trHeight w:val="333"/>
        </w:trPr>
        <w:tc>
          <w:tcPr>
            <w:tcW w:w="1216" w:type="dxa"/>
            <w:vMerge w:val="restart"/>
            <w:vAlign w:val="center"/>
          </w:tcPr>
          <w:p w14:paraId="230EFA60"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5</w:t>
            </w:r>
          </w:p>
        </w:tc>
        <w:tc>
          <w:tcPr>
            <w:tcW w:w="1216" w:type="dxa"/>
            <w:vMerge w:val="restart"/>
            <w:vAlign w:val="center"/>
          </w:tcPr>
          <w:p w14:paraId="10A7FA1D"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铬</w:t>
            </w:r>
          </w:p>
        </w:tc>
        <w:tc>
          <w:tcPr>
            <w:tcW w:w="1217" w:type="dxa"/>
            <w:vAlign w:val="center"/>
          </w:tcPr>
          <w:p w14:paraId="1732D7B8"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水田</w:t>
            </w:r>
          </w:p>
        </w:tc>
        <w:tc>
          <w:tcPr>
            <w:tcW w:w="1216" w:type="dxa"/>
            <w:vAlign w:val="center"/>
          </w:tcPr>
          <w:p w14:paraId="148A75A1"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250</w:t>
            </w:r>
          </w:p>
        </w:tc>
        <w:tc>
          <w:tcPr>
            <w:tcW w:w="1217" w:type="dxa"/>
            <w:vAlign w:val="center"/>
          </w:tcPr>
          <w:p w14:paraId="1ECF556A"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250</w:t>
            </w:r>
          </w:p>
        </w:tc>
        <w:tc>
          <w:tcPr>
            <w:tcW w:w="1217" w:type="dxa"/>
            <w:vAlign w:val="center"/>
          </w:tcPr>
          <w:p w14:paraId="130C98A1"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300</w:t>
            </w:r>
          </w:p>
        </w:tc>
        <w:tc>
          <w:tcPr>
            <w:tcW w:w="1219" w:type="dxa"/>
            <w:vAlign w:val="center"/>
          </w:tcPr>
          <w:p w14:paraId="65481926"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350</w:t>
            </w:r>
          </w:p>
        </w:tc>
      </w:tr>
      <w:tr w:rsidR="008A2411" w:rsidRPr="008A2411" w14:paraId="12F9085D" w14:textId="77777777">
        <w:trPr>
          <w:trHeight w:val="333"/>
        </w:trPr>
        <w:tc>
          <w:tcPr>
            <w:tcW w:w="1216" w:type="dxa"/>
            <w:vMerge/>
            <w:vAlign w:val="center"/>
          </w:tcPr>
          <w:p w14:paraId="1CED1991" w14:textId="77777777" w:rsidR="00B0005F" w:rsidRPr="008A2411" w:rsidRDefault="00B0005F">
            <w:pPr>
              <w:jc w:val="center"/>
              <w:rPr>
                <w:rFonts w:ascii="Times New Roman" w:eastAsiaTheme="minorEastAsia"/>
                <w:bCs/>
                <w:color w:val="000000" w:themeColor="text1"/>
                <w:sz w:val="21"/>
                <w:szCs w:val="21"/>
              </w:rPr>
            </w:pPr>
          </w:p>
        </w:tc>
        <w:tc>
          <w:tcPr>
            <w:tcW w:w="1216" w:type="dxa"/>
            <w:vMerge/>
            <w:vAlign w:val="center"/>
          </w:tcPr>
          <w:p w14:paraId="4EFA931C" w14:textId="77777777" w:rsidR="00B0005F" w:rsidRPr="008A2411" w:rsidRDefault="00B0005F">
            <w:pPr>
              <w:jc w:val="center"/>
              <w:rPr>
                <w:rFonts w:ascii="Times New Roman" w:eastAsiaTheme="minorEastAsia"/>
                <w:bCs/>
                <w:color w:val="000000" w:themeColor="text1"/>
                <w:sz w:val="21"/>
                <w:szCs w:val="21"/>
              </w:rPr>
            </w:pPr>
          </w:p>
        </w:tc>
        <w:tc>
          <w:tcPr>
            <w:tcW w:w="1217" w:type="dxa"/>
            <w:vAlign w:val="center"/>
          </w:tcPr>
          <w:p w14:paraId="7DEA854A"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其他</w:t>
            </w:r>
          </w:p>
        </w:tc>
        <w:tc>
          <w:tcPr>
            <w:tcW w:w="1216" w:type="dxa"/>
            <w:vAlign w:val="center"/>
          </w:tcPr>
          <w:p w14:paraId="29086C35"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150</w:t>
            </w:r>
          </w:p>
        </w:tc>
        <w:tc>
          <w:tcPr>
            <w:tcW w:w="1217" w:type="dxa"/>
            <w:vAlign w:val="center"/>
          </w:tcPr>
          <w:p w14:paraId="432BFEB3"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150</w:t>
            </w:r>
          </w:p>
        </w:tc>
        <w:tc>
          <w:tcPr>
            <w:tcW w:w="1217" w:type="dxa"/>
            <w:vAlign w:val="center"/>
          </w:tcPr>
          <w:p w14:paraId="09D703E1"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200</w:t>
            </w:r>
          </w:p>
        </w:tc>
        <w:tc>
          <w:tcPr>
            <w:tcW w:w="1219" w:type="dxa"/>
            <w:vAlign w:val="center"/>
          </w:tcPr>
          <w:p w14:paraId="18BC82F7"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250</w:t>
            </w:r>
          </w:p>
        </w:tc>
      </w:tr>
      <w:tr w:rsidR="008A2411" w:rsidRPr="008A2411" w14:paraId="1C591E8C" w14:textId="77777777">
        <w:trPr>
          <w:trHeight w:val="333"/>
        </w:trPr>
        <w:tc>
          <w:tcPr>
            <w:tcW w:w="1216" w:type="dxa"/>
            <w:vMerge w:val="restart"/>
            <w:vAlign w:val="center"/>
          </w:tcPr>
          <w:p w14:paraId="76C287F6"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6</w:t>
            </w:r>
          </w:p>
        </w:tc>
        <w:tc>
          <w:tcPr>
            <w:tcW w:w="1216" w:type="dxa"/>
            <w:vMerge w:val="restart"/>
            <w:vAlign w:val="center"/>
          </w:tcPr>
          <w:p w14:paraId="1FE6E0B4"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铜</w:t>
            </w:r>
          </w:p>
        </w:tc>
        <w:tc>
          <w:tcPr>
            <w:tcW w:w="1217" w:type="dxa"/>
            <w:vAlign w:val="center"/>
          </w:tcPr>
          <w:p w14:paraId="77472870"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果园</w:t>
            </w:r>
          </w:p>
        </w:tc>
        <w:tc>
          <w:tcPr>
            <w:tcW w:w="1216" w:type="dxa"/>
            <w:vAlign w:val="center"/>
          </w:tcPr>
          <w:p w14:paraId="7FE742BA"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150</w:t>
            </w:r>
          </w:p>
        </w:tc>
        <w:tc>
          <w:tcPr>
            <w:tcW w:w="1217" w:type="dxa"/>
            <w:vAlign w:val="center"/>
          </w:tcPr>
          <w:p w14:paraId="65F7C517"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150</w:t>
            </w:r>
          </w:p>
        </w:tc>
        <w:tc>
          <w:tcPr>
            <w:tcW w:w="1217" w:type="dxa"/>
            <w:vAlign w:val="center"/>
          </w:tcPr>
          <w:p w14:paraId="6D50F65E"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200</w:t>
            </w:r>
          </w:p>
        </w:tc>
        <w:tc>
          <w:tcPr>
            <w:tcW w:w="1219" w:type="dxa"/>
            <w:vAlign w:val="center"/>
          </w:tcPr>
          <w:p w14:paraId="56086D62"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200</w:t>
            </w:r>
          </w:p>
        </w:tc>
      </w:tr>
      <w:tr w:rsidR="008A2411" w:rsidRPr="008A2411" w14:paraId="2C95F7E0" w14:textId="77777777">
        <w:trPr>
          <w:trHeight w:val="333"/>
        </w:trPr>
        <w:tc>
          <w:tcPr>
            <w:tcW w:w="1216" w:type="dxa"/>
            <w:vMerge/>
            <w:vAlign w:val="center"/>
          </w:tcPr>
          <w:p w14:paraId="21F5A173" w14:textId="77777777" w:rsidR="00B0005F" w:rsidRPr="008A2411" w:rsidRDefault="00B0005F">
            <w:pPr>
              <w:jc w:val="center"/>
              <w:rPr>
                <w:rFonts w:ascii="Times New Roman" w:eastAsiaTheme="minorEastAsia"/>
                <w:bCs/>
                <w:color w:val="000000" w:themeColor="text1"/>
                <w:sz w:val="21"/>
                <w:szCs w:val="21"/>
              </w:rPr>
            </w:pPr>
          </w:p>
        </w:tc>
        <w:tc>
          <w:tcPr>
            <w:tcW w:w="1216" w:type="dxa"/>
            <w:vMerge/>
            <w:vAlign w:val="center"/>
          </w:tcPr>
          <w:p w14:paraId="673F8248" w14:textId="77777777" w:rsidR="00B0005F" w:rsidRPr="008A2411" w:rsidRDefault="00B0005F">
            <w:pPr>
              <w:jc w:val="center"/>
              <w:rPr>
                <w:rFonts w:ascii="Times New Roman" w:eastAsiaTheme="minorEastAsia"/>
                <w:bCs/>
                <w:color w:val="000000" w:themeColor="text1"/>
                <w:sz w:val="21"/>
                <w:szCs w:val="21"/>
              </w:rPr>
            </w:pPr>
          </w:p>
        </w:tc>
        <w:tc>
          <w:tcPr>
            <w:tcW w:w="1217" w:type="dxa"/>
            <w:vAlign w:val="center"/>
          </w:tcPr>
          <w:p w14:paraId="0A75E544"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其他</w:t>
            </w:r>
          </w:p>
        </w:tc>
        <w:tc>
          <w:tcPr>
            <w:tcW w:w="1216" w:type="dxa"/>
            <w:vAlign w:val="center"/>
          </w:tcPr>
          <w:p w14:paraId="67E924C3"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50</w:t>
            </w:r>
          </w:p>
        </w:tc>
        <w:tc>
          <w:tcPr>
            <w:tcW w:w="1217" w:type="dxa"/>
            <w:vAlign w:val="center"/>
          </w:tcPr>
          <w:p w14:paraId="76343C7B"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50</w:t>
            </w:r>
          </w:p>
        </w:tc>
        <w:tc>
          <w:tcPr>
            <w:tcW w:w="1217" w:type="dxa"/>
            <w:vAlign w:val="center"/>
          </w:tcPr>
          <w:p w14:paraId="4D012D40"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100</w:t>
            </w:r>
          </w:p>
        </w:tc>
        <w:tc>
          <w:tcPr>
            <w:tcW w:w="1219" w:type="dxa"/>
            <w:vAlign w:val="center"/>
          </w:tcPr>
          <w:p w14:paraId="4131BFC0"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100</w:t>
            </w:r>
          </w:p>
        </w:tc>
      </w:tr>
      <w:tr w:rsidR="008A2411" w:rsidRPr="008A2411" w14:paraId="59CC44BC" w14:textId="77777777">
        <w:trPr>
          <w:trHeight w:val="333"/>
        </w:trPr>
        <w:tc>
          <w:tcPr>
            <w:tcW w:w="1216" w:type="dxa"/>
            <w:vAlign w:val="center"/>
          </w:tcPr>
          <w:p w14:paraId="10531F06"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7</w:t>
            </w:r>
          </w:p>
        </w:tc>
        <w:tc>
          <w:tcPr>
            <w:tcW w:w="2433" w:type="dxa"/>
            <w:gridSpan w:val="2"/>
            <w:vAlign w:val="center"/>
          </w:tcPr>
          <w:p w14:paraId="5FD9EA11"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镍</w:t>
            </w:r>
          </w:p>
        </w:tc>
        <w:tc>
          <w:tcPr>
            <w:tcW w:w="1216" w:type="dxa"/>
            <w:vAlign w:val="center"/>
          </w:tcPr>
          <w:p w14:paraId="45F5738E"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60</w:t>
            </w:r>
          </w:p>
        </w:tc>
        <w:tc>
          <w:tcPr>
            <w:tcW w:w="1217" w:type="dxa"/>
            <w:vAlign w:val="center"/>
          </w:tcPr>
          <w:p w14:paraId="745EDF35"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70</w:t>
            </w:r>
          </w:p>
        </w:tc>
        <w:tc>
          <w:tcPr>
            <w:tcW w:w="1217" w:type="dxa"/>
            <w:vAlign w:val="center"/>
          </w:tcPr>
          <w:p w14:paraId="76A5DF2C"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100</w:t>
            </w:r>
          </w:p>
        </w:tc>
        <w:tc>
          <w:tcPr>
            <w:tcW w:w="1219" w:type="dxa"/>
            <w:vAlign w:val="center"/>
          </w:tcPr>
          <w:p w14:paraId="546FA2FA"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190</w:t>
            </w:r>
          </w:p>
        </w:tc>
      </w:tr>
      <w:tr w:rsidR="00B0005F" w:rsidRPr="008A2411" w14:paraId="27A8E583" w14:textId="77777777">
        <w:trPr>
          <w:trHeight w:val="343"/>
        </w:trPr>
        <w:tc>
          <w:tcPr>
            <w:tcW w:w="1216" w:type="dxa"/>
            <w:vAlign w:val="center"/>
          </w:tcPr>
          <w:p w14:paraId="0C75BA10"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8</w:t>
            </w:r>
          </w:p>
        </w:tc>
        <w:tc>
          <w:tcPr>
            <w:tcW w:w="2433" w:type="dxa"/>
            <w:gridSpan w:val="2"/>
            <w:vAlign w:val="center"/>
          </w:tcPr>
          <w:p w14:paraId="1B6FC285"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锌</w:t>
            </w:r>
          </w:p>
        </w:tc>
        <w:tc>
          <w:tcPr>
            <w:tcW w:w="1216" w:type="dxa"/>
            <w:vAlign w:val="center"/>
          </w:tcPr>
          <w:p w14:paraId="29861F77"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200</w:t>
            </w:r>
          </w:p>
        </w:tc>
        <w:tc>
          <w:tcPr>
            <w:tcW w:w="1217" w:type="dxa"/>
            <w:vAlign w:val="center"/>
          </w:tcPr>
          <w:p w14:paraId="1971E615"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200</w:t>
            </w:r>
          </w:p>
        </w:tc>
        <w:tc>
          <w:tcPr>
            <w:tcW w:w="1217" w:type="dxa"/>
            <w:vAlign w:val="center"/>
          </w:tcPr>
          <w:p w14:paraId="419482E7"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250</w:t>
            </w:r>
          </w:p>
        </w:tc>
        <w:tc>
          <w:tcPr>
            <w:tcW w:w="1219" w:type="dxa"/>
            <w:vAlign w:val="center"/>
          </w:tcPr>
          <w:p w14:paraId="796EB87F"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300</w:t>
            </w:r>
          </w:p>
        </w:tc>
      </w:tr>
    </w:tbl>
    <w:p w14:paraId="1579925B" w14:textId="77777777" w:rsidR="00B0005F" w:rsidRPr="008A2411" w:rsidRDefault="00B0005F">
      <w:pPr>
        <w:tabs>
          <w:tab w:val="left" w:pos="720"/>
        </w:tabs>
        <w:autoSpaceDE w:val="0"/>
        <w:autoSpaceDN w:val="0"/>
        <w:adjustRightInd w:val="0"/>
        <w:spacing w:line="360" w:lineRule="auto"/>
        <w:ind w:firstLineChars="100" w:firstLine="241"/>
        <w:rPr>
          <w:rFonts w:ascii="Times New Roman"/>
          <w:b/>
          <w:color w:val="000000" w:themeColor="text1"/>
          <w:lang w:val="zh-CN"/>
        </w:rPr>
      </w:pPr>
    </w:p>
    <w:p w14:paraId="73F076A3" w14:textId="77777777" w:rsidR="00B0005F" w:rsidRPr="008A2411" w:rsidRDefault="00000000">
      <w:pPr>
        <w:tabs>
          <w:tab w:val="left" w:pos="720"/>
        </w:tabs>
        <w:autoSpaceDE w:val="0"/>
        <w:autoSpaceDN w:val="0"/>
        <w:adjustRightInd w:val="0"/>
        <w:spacing w:line="360" w:lineRule="auto"/>
        <w:ind w:firstLineChars="100" w:firstLine="241"/>
        <w:outlineLvl w:val="3"/>
        <w:rPr>
          <w:rFonts w:ascii="Times New Roman"/>
          <w:b/>
          <w:color w:val="000000" w:themeColor="text1"/>
          <w:lang w:val="zh-CN"/>
        </w:rPr>
      </w:pPr>
      <w:r w:rsidRPr="008A2411">
        <w:rPr>
          <w:rFonts w:ascii="Times New Roman"/>
          <w:b/>
          <w:color w:val="000000" w:themeColor="text1"/>
          <w:lang w:val="zh-CN"/>
        </w:rPr>
        <w:t xml:space="preserve">2.6.2.2 </w:t>
      </w:r>
      <w:r w:rsidRPr="008A2411">
        <w:rPr>
          <w:rFonts w:ascii="Times New Roman"/>
          <w:b/>
          <w:color w:val="000000" w:themeColor="text1"/>
          <w:lang w:val="zh-CN"/>
        </w:rPr>
        <w:t>污染物排放标准</w:t>
      </w:r>
    </w:p>
    <w:p w14:paraId="6B04334A" w14:textId="77777777" w:rsidR="00B0005F" w:rsidRPr="008A2411" w:rsidRDefault="00000000">
      <w:pPr>
        <w:autoSpaceDE w:val="0"/>
        <w:autoSpaceDN w:val="0"/>
        <w:adjustRightInd w:val="0"/>
        <w:spacing w:line="360" w:lineRule="auto"/>
        <w:ind w:firstLineChars="200" w:firstLine="482"/>
        <w:rPr>
          <w:rFonts w:ascii="Times New Roman"/>
          <w:b/>
          <w:bCs/>
          <w:color w:val="000000" w:themeColor="text1"/>
          <w:lang w:val="zh-CN"/>
        </w:rPr>
      </w:pPr>
      <w:r w:rsidRPr="008A2411">
        <w:rPr>
          <w:rFonts w:ascii="Times New Roman"/>
          <w:b/>
          <w:bCs/>
          <w:color w:val="000000" w:themeColor="text1"/>
          <w:lang w:val="zh-CN"/>
        </w:rPr>
        <w:t>（</w:t>
      </w:r>
      <w:r w:rsidRPr="008A2411">
        <w:rPr>
          <w:rFonts w:ascii="Times New Roman"/>
          <w:b/>
          <w:bCs/>
          <w:color w:val="000000" w:themeColor="text1"/>
        </w:rPr>
        <w:t>1</w:t>
      </w:r>
      <w:r w:rsidRPr="008A2411">
        <w:rPr>
          <w:rFonts w:ascii="Times New Roman"/>
          <w:b/>
          <w:bCs/>
          <w:color w:val="000000" w:themeColor="text1"/>
          <w:lang w:val="zh-CN"/>
        </w:rPr>
        <w:t>）废气污染物</w:t>
      </w:r>
    </w:p>
    <w:p w14:paraId="1B308343" w14:textId="77777777" w:rsidR="00B0005F" w:rsidRPr="008A2411" w:rsidRDefault="00000000">
      <w:pPr>
        <w:spacing w:line="360" w:lineRule="auto"/>
        <w:ind w:firstLineChars="200" w:firstLine="480"/>
        <w:rPr>
          <w:rFonts w:ascii="Times New Roman"/>
          <w:color w:val="000000" w:themeColor="text1"/>
        </w:rPr>
      </w:pPr>
      <w:r w:rsidRPr="008A2411">
        <w:rPr>
          <w:rFonts w:ascii="Times New Roman"/>
          <w:bCs/>
          <w:color w:val="000000" w:themeColor="text1"/>
        </w:rPr>
        <w:t>无组织</w:t>
      </w:r>
      <w:r w:rsidRPr="008A2411">
        <w:rPr>
          <w:rFonts w:ascii="Times New Roman"/>
          <w:bCs/>
          <w:color w:val="000000" w:themeColor="text1"/>
        </w:rPr>
        <w:t>H</w:t>
      </w:r>
      <w:r w:rsidRPr="008A2411">
        <w:rPr>
          <w:rFonts w:ascii="Times New Roman"/>
          <w:bCs/>
          <w:color w:val="000000" w:themeColor="text1"/>
          <w:vertAlign w:val="subscript"/>
        </w:rPr>
        <w:t>2</w:t>
      </w:r>
      <w:r w:rsidRPr="008A2411">
        <w:rPr>
          <w:rFonts w:ascii="Times New Roman"/>
          <w:bCs/>
          <w:color w:val="000000" w:themeColor="text1"/>
        </w:rPr>
        <w:t>S</w:t>
      </w:r>
      <w:r w:rsidRPr="008A2411">
        <w:rPr>
          <w:rFonts w:ascii="Times New Roman"/>
          <w:bCs/>
          <w:color w:val="000000" w:themeColor="text1"/>
        </w:rPr>
        <w:t>、臭气浓度场界浓度限值执行《恶臭污染物排放标准》（</w:t>
      </w:r>
      <w:r w:rsidRPr="008A2411">
        <w:rPr>
          <w:rFonts w:ascii="Times New Roman"/>
          <w:bCs/>
          <w:color w:val="000000" w:themeColor="text1"/>
        </w:rPr>
        <w:t>GB14554-93</w:t>
      </w:r>
      <w:r w:rsidRPr="008A2411">
        <w:rPr>
          <w:rFonts w:ascii="Times New Roman"/>
          <w:bCs/>
          <w:color w:val="000000" w:themeColor="text1"/>
        </w:rPr>
        <w:t>）表</w:t>
      </w:r>
      <w:r w:rsidRPr="008A2411">
        <w:rPr>
          <w:rFonts w:ascii="Times New Roman"/>
          <w:bCs/>
          <w:color w:val="000000" w:themeColor="text1"/>
        </w:rPr>
        <w:t>1</w:t>
      </w:r>
      <w:r w:rsidRPr="008A2411">
        <w:rPr>
          <w:rFonts w:ascii="Times New Roman"/>
          <w:bCs/>
          <w:color w:val="000000" w:themeColor="text1"/>
        </w:rPr>
        <w:t>中二级新改扩建排放限值</w:t>
      </w:r>
      <w:r w:rsidRPr="008A2411">
        <w:rPr>
          <w:rFonts w:ascii="Times New Roman"/>
          <w:color w:val="000000" w:themeColor="text1"/>
        </w:rPr>
        <w:t>；</w:t>
      </w:r>
      <w:r w:rsidRPr="008A2411">
        <w:rPr>
          <w:rFonts w:ascii="Times New Roman"/>
          <w:bCs/>
          <w:color w:val="000000" w:themeColor="text1"/>
        </w:rPr>
        <w:t>有组织</w:t>
      </w:r>
      <w:r w:rsidRPr="008A2411">
        <w:rPr>
          <w:rFonts w:ascii="Times New Roman"/>
          <w:bCs/>
          <w:color w:val="000000" w:themeColor="text1"/>
        </w:rPr>
        <w:t>H</w:t>
      </w:r>
      <w:r w:rsidRPr="008A2411">
        <w:rPr>
          <w:rFonts w:ascii="Times New Roman"/>
          <w:bCs/>
          <w:color w:val="000000" w:themeColor="text1"/>
          <w:vertAlign w:val="subscript"/>
        </w:rPr>
        <w:t>2</w:t>
      </w:r>
      <w:r w:rsidRPr="008A2411">
        <w:rPr>
          <w:rFonts w:ascii="Times New Roman"/>
          <w:bCs/>
          <w:color w:val="000000" w:themeColor="text1"/>
        </w:rPr>
        <w:t>S</w:t>
      </w:r>
      <w:r w:rsidRPr="008A2411">
        <w:rPr>
          <w:rFonts w:ascii="Times New Roman"/>
          <w:bCs/>
          <w:color w:val="000000" w:themeColor="text1"/>
        </w:rPr>
        <w:t>、臭气浓度排放浓度执行《恶臭污染物排放标准》（</w:t>
      </w:r>
      <w:r w:rsidRPr="008A2411">
        <w:rPr>
          <w:rFonts w:ascii="Times New Roman"/>
          <w:bCs/>
          <w:color w:val="000000" w:themeColor="text1"/>
        </w:rPr>
        <w:t>GB14554-93</w:t>
      </w:r>
      <w:r w:rsidRPr="008A2411">
        <w:rPr>
          <w:rFonts w:ascii="Times New Roman"/>
          <w:bCs/>
          <w:color w:val="000000" w:themeColor="text1"/>
        </w:rPr>
        <w:t>）表</w:t>
      </w:r>
      <w:r w:rsidRPr="008A2411">
        <w:rPr>
          <w:rFonts w:ascii="Times New Roman"/>
          <w:bCs/>
          <w:color w:val="000000" w:themeColor="text1"/>
        </w:rPr>
        <w:t>2</w:t>
      </w:r>
      <w:r w:rsidRPr="008A2411">
        <w:rPr>
          <w:rFonts w:ascii="Times New Roman"/>
          <w:bCs/>
          <w:color w:val="000000" w:themeColor="text1"/>
        </w:rPr>
        <w:t>中排放标准值</w:t>
      </w:r>
      <w:r w:rsidRPr="008A2411">
        <w:rPr>
          <w:rFonts w:ascii="Times New Roman"/>
          <w:color w:val="000000" w:themeColor="text1"/>
        </w:rPr>
        <w:t>；</w:t>
      </w:r>
      <w:r w:rsidRPr="008A2411">
        <w:rPr>
          <w:rFonts w:ascii="Times New Roman"/>
          <w:bCs/>
          <w:color w:val="000000" w:themeColor="text1"/>
        </w:rPr>
        <w:t>有组织及无组织</w:t>
      </w:r>
      <w:r w:rsidRPr="008A2411">
        <w:rPr>
          <w:rFonts w:ascii="Times New Roman"/>
          <w:bCs/>
          <w:color w:val="000000" w:themeColor="text1"/>
        </w:rPr>
        <w:t>NMHC</w:t>
      </w:r>
      <w:r w:rsidRPr="008A2411">
        <w:rPr>
          <w:rFonts w:ascii="Times New Roman"/>
          <w:color w:val="000000" w:themeColor="text1"/>
          <w:szCs w:val="24"/>
        </w:rPr>
        <w:t>排放执行《陆上石油天然气开采工业大气污染物排放标准》（</w:t>
      </w:r>
      <w:r w:rsidRPr="008A2411">
        <w:rPr>
          <w:rFonts w:ascii="Times New Roman"/>
          <w:color w:val="000000" w:themeColor="text1"/>
          <w:szCs w:val="24"/>
        </w:rPr>
        <w:t>GB 39728-2020</w:t>
      </w:r>
      <w:r w:rsidRPr="008A2411">
        <w:rPr>
          <w:rFonts w:ascii="Times New Roman"/>
          <w:color w:val="000000" w:themeColor="text1"/>
          <w:szCs w:val="24"/>
        </w:rPr>
        <w:t>）排放限值；根据工艺特点，本项目不设置尾气焚烧炉，仅设置</w:t>
      </w:r>
      <w:r w:rsidRPr="008A2411">
        <w:rPr>
          <w:rFonts w:ascii="Times New Roman"/>
          <w:color w:val="000000" w:themeColor="text1"/>
          <w:szCs w:val="24"/>
        </w:rPr>
        <w:t>1</w:t>
      </w:r>
      <w:r w:rsidRPr="008A2411">
        <w:rPr>
          <w:rFonts w:ascii="Times New Roman"/>
          <w:color w:val="000000" w:themeColor="text1"/>
          <w:szCs w:val="24"/>
        </w:rPr>
        <w:t>套导热油炉，对比</w:t>
      </w:r>
      <w:r w:rsidRPr="008A2411">
        <w:rPr>
          <w:rFonts w:ascii="Times New Roman"/>
          <w:color w:val="000000" w:themeColor="text1"/>
        </w:rPr>
        <w:t>《陆上石油天然气开采工业污染物排放标准》（</w:t>
      </w:r>
      <w:r w:rsidRPr="008A2411">
        <w:rPr>
          <w:rFonts w:ascii="Times New Roman"/>
          <w:color w:val="000000" w:themeColor="text1"/>
        </w:rPr>
        <w:t>GB39728-2020</w:t>
      </w:r>
      <w:r w:rsidRPr="008A2411">
        <w:rPr>
          <w:rFonts w:ascii="Times New Roman"/>
          <w:color w:val="000000" w:themeColor="text1"/>
        </w:rPr>
        <w:t>）及《锅炉大气污染物排放标准》（</w:t>
      </w:r>
      <w:r w:rsidRPr="008A2411">
        <w:rPr>
          <w:rFonts w:ascii="Times New Roman"/>
          <w:color w:val="000000" w:themeColor="text1"/>
        </w:rPr>
        <w:t>GB13271-2014</w:t>
      </w:r>
      <w:r w:rsidRPr="008A2411">
        <w:rPr>
          <w:rFonts w:ascii="Times New Roman"/>
          <w:color w:val="000000" w:themeColor="text1"/>
        </w:rPr>
        <w:t>），本项目导热油炉燃烧烟气排放执行更为符合其排放特征的《锅炉大气污染物排放标准》（</w:t>
      </w:r>
      <w:r w:rsidRPr="008A2411">
        <w:rPr>
          <w:rFonts w:ascii="Times New Roman"/>
          <w:color w:val="000000" w:themeColor="text1"/>
        </w:rPr>
        <w:t>GB13271-2014</w:t>
      </w:r>
      <w:r w:rsidRPr="008A2411">
        <w:rPr>
          <w:rFonts w:ascii="Times New Roman"/>
          <w:color w:val="000000" w:themeColor="text1"/>
        </w:rPr>
        <w:t>）表</w:t>
      </w:r>
      <w:r w:rsidRPr="008A2411">
        <w:rPr>
          <w:rFonts w:ascii="Times New Roman"/>
          <w:color w:val="000000" w:themeColor="text1"/>
        </w:rPr>
        <w:t>2</w:t>
      </w:r>
      <w:r w:rsidRPr="008A2411">
        <w:rPr>
          <w:rFonts w:ascii="Times New Roman"/>
          <w:color w:val="000000" w:themeColor="text1"/>
        </w:rPr>
        <w:t>中燃气锅炉的特殊排放限值；火炬长明火烟气执行《大气污染物综合排放标准》（</w:t>
      </w:r>
      <w:r w:rsidRPr="008A2411">
        <w:rPr>
          <w:rFonts w:ascii="Times New Roman"/>
          <w:color w:val="000000" w:themeColor="text1"/>
        </w:rPr>
        <w:t>GB16297-1996</w:t>
      </w:r>
      <w:r w:rsidRPr="008A2411">
        <w:rPr>
          <w:rFonts w:ascii="Times New Roman"/>
          <w:color w:val="000000" w:themeColor="text1"/>
        </w:rPr>
        <w:t>）表</w:t>
      </w:r>
      <w:r w:rsidRPr="008A2411">
        <w:rPr>
          <w:rFonts w:ascii="Times New Roman"/>
          <w:color w:val="000000" w:themeColor="text1"/>
        </w:rPr>
        <w:t>2</w:t>
      </w:r>
      <w:r w:rsidRPr="008A2411">
        <w:rPr>
          <w:rFonts w:ascii="Times New Roman"/>
          <w:color w:val="000000" w:themeColor="text1"/>
        </w:rPr>
        <w:t>中排放限值要求。标准限值见表</w:t>
      </w:r>
      <w:r w:rsidRPr="008A2411">
        <w:rPr>
          <w:rFonts w:ascii="Times New Roman"/>
          <w:color w:val="000000" w:themeColor="text1"/>
        </w:rPr>
        <w:t>2.6-9~</w:t>
      </w:r>
      <w:r w:rsidRPr="008A2411">
        <w:rPr>
          <w:rFonts w:ascii="Times New Roman"/>
          <w:color w:val="000000" w:themeColor="text1"/>
        </w:rPr>
        <w:t>表</w:t>
      </w:r>
      <w:r w:rsidRPr="008A2411">
        <w:rPr>
          <w:rFonts w:ascii="Times New Roman"/>
          <w:color w:val="000000" w:themeColor="text1"/>
        </w:rPr>
        <w:t>2.6-13</w:t>
      </w:r>
      <w:r w:rsidRPr="008A2411">
        <w:rPr>
          <w:rFonts w:ascii="Times New Roman"/>
          <w:color w:val="000000" w:themeColor="text1"/>
        </w:rPr>
        <w:t>。</w:t>
      </w:r>
    </w:p>
    <w:p w14:paraId="2F28720A" w14:textId="77777777" w:rsidR="00B0005F" w:rsidRPr="008A2411" w:rsidRDefault="00000000">
      <w:pPr>
        <w:jc w:val="center"/>
        <w:rPr>
          <w:rFonts w:ascii="Times New Roman" w:eastAsia="黑体"/>
          <w:bCs/>
          <w:color w:val="000000" w:themeColor="text1"/>
          <w:szCs w:val="21"/>
        </w:rPr>
      </w:pPr>
      <w:r w:rsidRPr="008A2411">
        <w:rPr>
          <w:rFonts w:ascii="Times New Roman" w:eastAsia="黑体"/>
          <w:bCs/>
          <w:color w:val="000000" w:themeColor="text1"/>
          <w:szCs w:val="21"/>
        </w:rPr>
        <w:t>表</w:t>
      </w:r>
      <w:r w:rsidRPr="008A2411">
        <w:rPr>
          <w:rFonts w:ascii="Times New Roman" w:eastAsia="黑体"/>
          <w:bCs/>
          <w:color w:val="000000" w:themeColor="text1"/>
          <w:szCs w:val="21"/>
        </w:rPr>
        <w:t xml:space="preserve">2.6-9  </w:t>
      </w:r>
      <w:r w:rsidRPr="008A2411">
        <w:rPr>
          <w:rFonts w:ascii="Times New Roman" w:eastAsia="黑体"/>
          <w:bCs/>
          <w:color w:val="000000" w:themeColor="text1"/>
          <w:szCs w:val="21"/>
        </w:rPr>
        <w:t>无组织废气（</w:t>
      </w:r>
      <w:r w:rsidRPr="008A2411">
        <w:rPr>
          <w:rFonts w:ascii="Times New Roman" w:eastAsia="黑体"/>
          <w:bCs/>
          <w:color w:val="000000" w:themeColor="text1"/>
          <w:szCs w:val="21"/>
        </w:rPr>
        <w:t>H</w:t>
      </w:r>
      <w:r w:rsidRPr="008A2411">
        <w:rPr>
          <w:rFonts w:ascii="Times New Roman" w:eastAsia="黑体"/>
          <w:bCs/>
          <w:color w:val="000000" w:themeColor="text1"/>
          <w:szCs w:val="21"/>
          <w:vertAlign w:val="subscript"/>
        </w:rPr>
        <w:t>2</w:t>
      </w:r>
      <w:r w:rsidRPr="008A2411">
        <w:rPr>
          <w:rFonts w:ascii="Times New Roman" w:eastAsia="黑体"/>
          <w:bCs/>
          <w:color w:val="000000" w:themeColor="text1"/>
          <w:szCs w:val="21"/>
        </w:rPr>
        <w:t>S</w:t>
      </w:r>
      <w:r w:rsidRPr="008A2411">
        <w:rPr>
          <w:rFonts w:ascii="Times New Roman" w:eastAsia="黑体"/>
          <w:bCs/>
          <w:color w:val="000000" w:themeColor="text1"/>
          <w:szCs w:val="21"/>
        </w:rPr>
        <w:t>、臭气浓度）排放标准</w:t>
      </w:r>
    </w:p>
    <w:tbl>
      <w:tblPr>
        <w:tblW w:w="4998"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28" w:type="dxa"/>
          <w:right w:w="28" w:type="dxa"/>
        </w:tblCellMar>
        <w:tblLook w:val="04A0" w:firstRow="1" w:lastRow="0" w:firstColumn="1" w:lastColumn="0" w:noHBand="0" w:noVBand="1"/>
      </w:tblPr>
      <w:tblGrid>
        <w:gridCol w:w="581"/>
        <w:gridCol w:w="1095"/>
        <w:gridCol w:w="1224"/>
        <w:gridCol w:w="2605"/>
        <w:gridCol w:w="2854"/>
      </w:tblGrid>
      <w:tr w:rsidR="008A2411" w:rsidRPr="008A2411" w14:paraId="066E908D" w14:textId="77777777">
        <w:trPr>
          <w:cantSplit/>
          <w:trHeight w:val="340"/>
          <w:jc w:val="center"/>
        </w:trPr>
        <w:tc>
          <w:tcPr>
            <w:tcW w:w="347" w:type="pct"/>
            <w:vAlign w:val="center"/>
          </w:tcPr>
          <w:p w14:paraId="3DABB52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序号</w:t>
            </w:r>
          </w:p>
        </w:tc>
        <w:tc>
          <w:tcPr>
            <w:tcW w:w="655" w:type="pct"/>
            <w:vAlign w:val="center"/>
          </w:tcPr>
          <w:p w14:paraId="7F51C354"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污染物</w:t>
            </w:r>
          </w:p>
        </w:tc>
        <w:tc>
          <w:tcPr>
            <w:tcW w:w="732" w:type="pct"/>
            <w:vAlign w:val="center"/>
          </w:tcPr>
          <w:p w14:paraId="7EBF5AC2"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排放方式</w:t>
            </w:r>
          </w:p>
        </w:tc>
        <w:tc>
          <w:tcPr>
            <w:tcW w:w="1557" w:type="pct"/>
            <w:vAlign w:val="center"/>
          </w:tcPr>
          <w:p w14:paraId="0E09BE6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排放浓度限值</w:t>
            </w:r>
          </w:p>
        </w:tc>
        <w:tc>
          <w:tcPr>
            <w:tcW w:w="1706" w:type="pct"/>
            <w:vAlign w:val="center"/>
          </w:tcPr>
          <w:p w14:paraId="26D9A3D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标准依据</w:t>
            </w:r>
          </w:p>
        </w:tc>
      </w:tr>
      <w:tr w:rsidR="008A2411" w:rsidRPr="008A2411" w14:paraId="3F348BC3" w14:textId="77777777">
        <w:trPr>
          <w:cantSplit/>
          <w:trHeight w:val="340"/>
          <w:jc w:val="center"/>
        </w:trPr>
        <w:tc>
          <w:tcPr>
            <w:tcW w:w="347" w:type="pct"/>
            <w:vAlign w:val="center"/>
          </w:tcPr>
          <w:p w14:paraId="5AAC1BDB"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w:t>
            </w:r>
          </w:p>
        </w:tc>
        <w:tc>
          <w:tcPr>
            <w:tcW w:w="655" w:type="pct"/>
            <w:vAlign w:val="center"/>
          </w:tcPr>
          <w:p w14:paraId="17B587F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H</w:t>
            </w:r>
            <w:r w:rsidRPr="008A2411">
              <w:rPr>
                <w:rFonts w:ascii="Times New Roman"/>
                <w:color w:val="000000" w:themeColor="text1"/>
                <w:sz w:val="21"/>
                <w:szCs w:val="21"/>
                <w:vertAlign w:val="subscript"/>
              </w:rPr>
              <w:t>2</w:t>
            </w:r>
            <w:r w:rsidRPr="008A2411">
              <w:rPr>
                <w:rFonts w:ascii="Times New Roman"/>
                <w:color w:val="000000" w:themeColor="text1"/>
                <w:sz w:val="21"/>
                <w:szCs w:val="21"/>
              </w:rPr>
              <w:t>S</w:t>
            </w:r>
          </w:p>
        </w:tc>
        <w:tc>
          <w:tcPr>
            <w:tcW w:w="732" w:type="pct"/>
            <w:vAlign w:val="center"/>
          </w:tcPr>
          <w:p w14:paraId="2A2DB552"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无组织</w:t>
            </w:r>
          </w:p>
        </w:tc>
        <w:tc>
          <w:tcPr>
            <w:tcW w:w="1557" w:type="pct"/>
            <w:vAlign w:val="center"/>
          </w:tcPr>
          <w:p w14:paraId="3691D32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厂界：</w:t>
            </w:r>
            <w:r w:rsidRPr="008A2411">
              <w:rPr>
                <w:rFonts w:ascii="Times New Roman"/>
                <w:color w:val="000000" w:themeColor="text1"/>
                <w:sz w:val="21"/>
                <w:szCs w:val="21"/>
              </w:rPr>
              <w:t>0.06mg/m</w:t>
            </w:r>
            <w:r w:rsidRPr="008A2411">
              <w:rPr>
                <w:rFonts w:ascii="Times New Roman"/>
                <w:color w:val="000000" w:themeColor="text1"/>
                <w:sz w:val="21"/>
                <w:szCs w:val="21"/>
                <w:vertAlign w:val="superscript"/>
              </w:rPr>
              <w:t>3</w:t>
            </w:r>
          </w:p>
        </w:tc>
        <w:tc>
          <w:tcPr>
            <w:tcW w:w="1706" w:type="pct"/>
            <w:vMerge w:val="restart"/>
            <w:vAlign w:val="center"/>
          </w:tcPr>
          <w:p w14:paraId="135F044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《恶臭污染物排放标准》（</w:t>
            </w:r>
            <w:r w:rsidRPr="008A2411">
              <w:rPr>
                <w:rFonts w:ascii="Times New Roman"/>
                <w:color w:val="000000" w:themeColor="text1"/>
                <w:sz w:val="21"/>
                <w:szCs w:val="21"/>
              </w:rPr>
              <w:t>GB14554-93</w:t>
            </w:r>
            <w:r w:rsidRPr="008A2411">
              <w:rPr>
                <w:rFonts w:ascii="Times New Roman"/>
                <w:color w:val="000000" w:themeColor="text1"/>
                <w:sz w:val="21"/>
                <w:szCs w:val="21"/>
              </w:rPr>
              <w:t>）</w:t>
            </w:r>
          </w:p>
        </w:tc>
      </w:tr>
      <w:tr w:rsidR="008A2411" w:rsidRPr="008A2411" w14:paraId="271F3EC9" w14:textId="77777777">
        <w:trPr>
          <w:cantSplit/>
          <w:trHeight w:val="340"/>
          <w:jc w:val="center"/>
        </w:trPr>
        <w:tc>
          <w:tcPr>
            <w:tcW w:w="347" w:type="pct"/>
            <w:vAlign w:val="center"/>
          </w:tcPr>
          <w:p w14:paraId="5DE27B8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w:t>
            </w:r>
          </w:p>
        </w:tc>
        <w:tc>
          <w:tcPr>
            <w:tcW w:w="655" w:type="pct"/>
            <w:vAlign w:val="center"/>
          </w:tcPr>
          <w:p w14:paraId="54A8B82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臭气浓度</w:t>
            </w:r>
          </w:p>
        </w:tc>
        <w:tc>
          <w:tcPr>
            <w:tcW w:w="732" w:type="pct"/>
            <w:vAlign w:val="center"/>
          </w:tcPr>
          <w:p w14:paraId="67ADF4D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无组织</w:t>
            </w:r>
          </w:p>
        </w:tc>
        <w:tc>
          <w:tcPr>
            <w:tcW w:w="1557" w:type="pct"/>
            <w:vAlign w:val="center"/>
          </w:tcPr>
          <w:p w14:paraId="179747F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20</w:t>
            </w:r>
            <w:r w:rsidRPr="008A2411">
              <w:rPr>
                <w:rFonts w:ascii="Times New Roman"/>
                <w:color w:val="000000" w:themeColor="text1"/>
                <w:sz w:val="21"/>
                <w:szCs w:val="21"/>
              </w:rPr>
              <w:t>（无量纲）</w:t>
            </w:r>
          </w:p>
        </w:tc>
        <w:tc>
          <w:tcPr>
            <w:tcW w:w="1706" w:type="pct"/>
            <w:vMerge/>
            <w:vAlign w:val="center"/>
          </w:tcPr>
          <w:p w14:paraId="21B13A88" w14:textId="77777777" w:rsidR="00B0005F" w:rsidRPr="008A2411" w:rsidRDefault="00B0005F">
            <w:pPr>
              <w:jc w:val="center"/>
              <w:rPr>
                <w:rFonts w:ascii="Times New Roman"/>
                <w:color w:val="000000" w:themeColor="text1"/>
                <w:sz w:val="21"/>
                <w:szCs w:val="21"/>
              </w:rPr>
            </w:pPr>
          </w:p>
        </w:tc>
      </w:tr>
    </w:tbl>
    <w:p w14:paraId="74B87484" w14:textId="77777777" w:rsidR="00B0005F" w:rsidRPr="008A2411" w:rsidRDefault="00000000">
      <w:pPr>
        <w:autoSpaceDE w:val="0"/>
        <w:autoSpaceDN w:val="0"/>
        <w:jc w:val="center"/>
        <w:rPr>
          <w:rFonts w:ascii="Times New Roman" w:eastAsia="黑体"/>
          <w:color w:val="000000" w:themeColor="text1"/>
        </w:rPr>
      </w:pPr>
      <w:r w:rsidRPr="008A2411">
        <w:rPr>
          <w:rFonts w:ascii="Times New Roman" w:eastAsia="黑体"/>
          <w:color w:val="000000" w:themeColor="text1"/>
        </w:rPr>
        <w:t>表</w:t>
      </w:r>
      <w:r w:rsidRPr="008A2411">
        <w:rPr>
          <w:rFonts w:ascii="Times New Roman" w:eastAsia="黑体"/>
          <w:color w:val="000000" w:themeColor="text1"/>
        </w:rPr>
        <w:t xml:space="preserve">2.6-10  </w:t>
      </w:r>
      <w:r w:rsidRPr="008A2411">
        <w:rPr>
          <w:rFonts w:ascii="Times New Roman" w:eastAsia="黑体"/>
          <w:color w:val="000000" w:themeColor="text1"/>
        </w:rPr>
        <w:t>有组织排放废气排放标准</w:t>
      </w:r>
    </w:p>
    <w:tbl>
      <w:tblPr>
        <w:tblW w:w="499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93"/>
        <w:gridCol w:w="1806"/>
        <w:gridCol w:w="1101"/>
        <w:gridCol w:w="1324"/>
        <w:gridCol w:w="1295"/>
      </w:tblGrid>
      <w:tr w:rsidR="008A2411" w:rsidRPr="008A2411" w14:paraId="5806966A" w14:textId="77777777">
        <w:tc>
          <w:tcPr>
            <w:tcW w:w="1755" w:type="pct"/>
            <w:shd w:val="clear" w:color="auto" w:fill="auto"/>
            <w:vAlign w:val="center"/>
          </w:tcPr>
          <w:p w14:paraId="635AE170" w14:textId="77777777" w:rsidR="00B0005F" w:rsidRPr="008A2411" w:rsidRDefault="00000000">
            <w:pPr>
              <w:autoSpaceDE w:val="0"/>
              <w:autoSpaceDN w:val="0"/>
              <w:adjustRightInd w:val="0"/>
              <w:jc w:val="center"/>
              <w:rPr>
                <w:rFonts w:ascii="Times New Roman"/>
                <w:color w:val="000000" w:themeColor="text1"/>
                <w:sz w:val="21"/>
                <w:szCs w:val="21"/>
              </w:rPr>
            </w:pPr>
            <w:r w:rsidRPr="008A2411">
              <w:rPr>
                <w:rFonts w:ascii="Times New Roman"/>
                <w:color w:val="000000" w:themeColor="text1"/>
                <w:sz w:val="21"/>
                <w:szCs w:val="21"/>
              </w:rPr>
              <w:t>执行标准</w:t>
            </w:r>
          </w:p>
        </w:tc>
        <w:tc>
          <w:tcPr>
            <w:tcW w:w="1059" w:type="pct"/>
            <w:shd w:val="clear" w:color="auto" w:fill="auto"/>
            <w:vAlign w:val="center"/>
          </w:tcPr>
          <w:p w14:paraId="30877EB3" w14:textId="77777777" w:rsidR="00B0005F" w:rsidRPr="008A2411" w:rsidRDefault="00000000">
            <w:pPr>
              <w:autoSpaceDE w:val="0"/>
              <w:autoSpaceDN w:val="0"/>
              <w:adjustRightInd w:val="0"/>
              <w:jc w:val="center"/>
              <w:rPr>
                <w:rFonts w:ascii="Times New Roman"/>
                <w:color w:val="000000" w:themeColor="text1"/>
                <w:sz w:val="21"/>
                <w:szCs w:val="21"/>
              </w:rPr>
            </w:pPr>
            <w:r w:rsidRPr="008A2411">
              <w:rPr>
                <w:rFonts w:ascii="Times New Roman"/>
                <w:color w:val="000000" w:themeColor="text1"/>
                <w:sz w:val="21"/>
                <w:szCs w:val="21"/>
              </w:rPr>
              <w:t>指标</w:t>
            </w:r>
          </w:p>
        </w:tc>
        <w:tc>
          <w:tcPr>
            <w:tcW w:w="646" w:type="pct"/>
            <w:shd w:val="clear" w:color="auto" w:fill="auto"/>
            <w:vAlign w:val="center"/>
          </w:tcPr>
          <w:p w14:paraId="591459EA" w14:textId="77777777" w:rsidR="00B0005F" w:rsidRPr="008A2411" w:rsidRDefault="00000000">
            <w:pPr>
              <w:autoSpaceDE w:val="0"/>
              <w:autoSpaceDN w:val="0"/>
              <w:adjustRightInd w:val="0"/>
              <w:jc w:val="center"/>
              <w:rPr>
                <w:rFonts w:ascii="Times New Roman"/>
                <w:color w:val="000000" w:themeColor="text1"/>
                <w:sz w:val="21"/>
                <w:szCs w:val="21"/>
              </w:rPr>
            </w:pPr>
            <w:r w:rsidRPr="008A2411">
              <w:rPr>
                <w:rFonts w:ascii="Times New Roman"/>
                <w:color w:val="000000" w:themeColor="text1"/>
                <w:sz w:val="21"/>
                <w:szCs w:val="21"/>
              </w:rPr>
              <w:t>排气筒高度</w:t>
            </w:r>
          </w:p>
        </w:tc>
        <w:tc>
          <w:tcPr>
            <w:tcW w:w="777" w:type="pct"/>
            <w:shd w:val="clear" w:color="auto" w:fill="auto"/>
            <w:vAlign w:val="center"/>
          </w:tcPr>
          <w:p w14:paraId="7CCA4B62" w14:textId="77777777" w:rsidR="00B0005F" w:rsidRPr="008A2411" w:rsidRDefault="00000000">
            <w:pPr>
              <w:autoSpaceDE w:val="0"/>
              <w:autoSpaceDN w:val="0"/>
              <w:adjustRightInd w:val="0"/>
              <w:jc w:val="center"/>
              <w:rPr>
                <w:rFonts w:ascii="Times New Roman"/>
                <w:color w:val="000000" w:themeColor="text1"/>
                <w:sz w:val="21"/>
                <w:szCs w:val="21"/>
              </w:rPr>
            </w:pPr>
            <w:r w:rsidRPr="008A2411">
              <w:rPr>
                <w:rFonts w:ascii="Times New Roman"/>
                <w:color w:val="000000" w:themeColor="text1"/>
                <w:sz w:val="21"/>
                <w:szCs w:val="21"/>
              </w:rPr>
              <w:t>标准限值（</w:t>
            </w:r>
            <w:r w:rsidRPr="008A2411">
              <w:rPr>
                <w:rFonts w:ascii="Times New Roman"/>
                <w:color w:val="000000" w:themeColor="text1"/>
                <w:sz w:val="21"/>
                <w:szCs w:val="21"/>
              </w:rPr>
              <w:t>kg/h</w:t>
            </w:r>
            <w:r w:rsidRPr="008A2411">
              <w:rPr>
                <w:rFonts w:ascii="Times New Roman"/>
                <w:color w:val="000000" w:themeColor="text1"/>
                <w:sz w:val="21"/>
                <w:szCs w:val="21"/>
              </w:rPr>
              <w:t>）</w:t>
            </w:r>
          </w:p>
        </w:tc>
        <w:tc>
          <w:tcPr>
            <w:tcW w:w="760" w:type="pct"/>
            <w:shd w:val="clear" w:color="auto" w:fill="auto"/>
            <w:vAlign w:val="center"/>
          </w:tcPr>
          <w:p w14:paraId="77BAE596" w14:textId="77777777" w:rsidR="00B0005F" w:rsidRPr="008A2411" w:rsidRDefault="00000000">
            <w:pPr>
              <w:autoSpaceDE w:val="0"/>
              <w:autoSpaceDN w:val="0"/>
              <w:adjustRightInd w:val="0"/>
              <w:jc w:val="center"/>
              <w:rPr>
                <w:rFonts w:ascii="Times New Roman"/>
                <w:color w:val="000000" w:themeColor="text1"/>
                <w:sz w:val="21"/>
                <w:szCs w:val="21"/>
              </w:rPr>
            </w:pPr>
            <w:r w:rsidRPr="008A2411">
              <w:rPr>
                <w:rFonts w:ascii="Times New Roman"/>
                <w:color w:val="000000" w:themeColor="text1"/>
                <w:sz w:val="21"/>
                <w:szCs w:val="21"/>
              </w:rPr>
              <w:t>单位</w:t>
            </w:r>
          </w:p>
        </w:tc>
      </w:tr>
      <w:tr w:rsidR="008A2411" w:rsidRPr="008A2411" w14:paraId="78D583AA" w14:textId="77777777">
        <w:trPr>
          <w:trHeight w:val="267"/>
        </w:trPr>
        <w:tc>
          <w:tcPr>
            <w:tcW w:w="1755" w:type="pct"/>
            <w:vMerge w:val="restart"/>
            <w:shd w:val="clear" w:color="auto" w:fill="auto"/>
            <w:vAlign w:val="center"/>
          </w:tcPr>
          <w:p w14:paraId="0FC54225" w14:textId="77777777" w:rsidR="00B0005F" w:rsidRPr="008A2411" w:rsidRDefault="00000000">
            <w:pPr>
              <w:autoSpaceDE w:val="0"/>
              <w:autoSpaceDN w:val="0"/>
              <w:adjustRightInd w:val="0"/>
              <w:jc w:val="center"/>
              <w:rPr>
                <w:rFonts w:ascii="Times New Roman"/>
                <w:color w:val="000000" w:themeColor="text1"/>
                <w:sz w:val="21"/>
                <w:szCs w:val="21"/>
              </w:rPr>
            </w:pPr>
            <w:r w:rsidRPr="008A2411">
              <w:rPr>
                <w:rFonts w:ascii="Times New Roman"/>
                <w:color w:val="000000" w:themeColor="text1"/>
                <w:sz w:val="21"/>
                <w:szCs w:val="21"/>
              </w:rPr>
              <w:t>《恶臭污染物排放标准》（</w:t>
            </w:r>
            <w:r w:rsidRPr="008A2411">
              <w:rPr>
                <w:rFonts w:ascii="Times New Roman"/>
                <w:color w:val="000000" w:themeColor="text1"/>
                <w:sz w:val="21"/>
                <w:szCs w:val="21"/>
              </w:rPr>
              <w:t>GB14554-93</w:t>
            </w:r>
            <w:r w:rsidRPr="008A2411">
              <w:rPr>
                <w:rFonts w:ascii="Times New Roman"/>
                <w:color w:val="000000" w:themeColor="text1"/>
                <w:sz w:val="21"/>
                <w:szCs w:val="21"/>
              </w:rPr>
              <w:t>）表</w:t>
            </w:r>
            <w:r w:rsidRPr="008A2411">
              <w:rPr>
                <w:rFonts w:ascii="Times New Roman"/>
                <w:color w:val="000000" w:themeColor="text1"/>
                <w:sz w:val="21"/>
                <w:szCs w:val="21"/>
              </w:rPr>
              <w:t>2</w:t>
            </w:r>
          </w:p>
        </w:tc>
        <w:tc>
          <w:tcPr>
            <w:tcW w:w="1059" w:type="pct"/>
            <w:shd w:val="clear" w:color="auto" w:fill="auto"/>
            <w:vAlign w:val="center"/>
          </w:tcPr>
          <w:p w14:paraId="1D872C8E" w14:textId="77777777" w:rsidR="00B0005F" w:rsidRPr="008A2411" w:rsidRDefault="00000000">
            <w:pPr>
              <w:autoSpaceDE w:val="0"/>
              <w:autoSpaceDN w:val="0"/>
              <w:adjustRightInd w:val="0"/>
              <w:jc w:val="center"/>
              <w:rPr>
                <w:rFonts w:ascii="Times New Roman"/>
                <w:color w:val="000000" w:themeColor="text1"/>
                <w:sz w:val="21"/>
                <w:szCs w:val="21"/>
              </w:rPr>
            </w:pPr>
            <w:r w:rsidRPr="008A2411">
              <w:rPr>
                <w:rFonts w:ascii="Times New Roman"/>
                <w:color w:val="000000" w:themeColor="text1"/>
                <w:sz w:val="21"/>
                <w:szCs w:val="21"/>
              </w:rPr>
              <w:t>H</w:t>
            </w:r>
            <w:r w:rsidRPr="008A2411">
              <w:rPr>
                <w:rFonts w:ascii="Times New Roman"/>
                <w:color w:val="000000" w:themeColor="text1"/>
                <w:sz w:val="21"/>
                <w:szCs w:val="21"/>
                <w:vertAlign w:val="subscript"/>
              </w:rPr>
              <w:t>2</w:t>
            </w:r>
            <w:r w:rsidRPr="008A2411">
              <w:rPr>
                <w:rFonts w:ascii="Times New Roman"/>
                <w:color w:val="000000" w:themeColor="text1"/>
                <w:sz w:val="21"/>
                <w:szCs w:val="21"/>
              </w:rPr>
              <w:t>S</w:t>
            </w:r>
          </w:p>
        </w:tc>
        <w:tc>
          <w:tcPr>
            <w:tcW w:w="646" w:type="pct"/>
            <w:vMerge w:val="restart"/>
            <w:shd w:val="clear" w:color="auto" w:fill="auto"/>
            <w:vAlign w:val="center"/>
          </w:tcPr>
          <w:p w14:paraId="65C51661" w14:textId="77777777" w:rsidR="00B0005F" w:rsidRPr="008A2411" w:rsidRDefault="00000000">
            <w:pPr>
              <w:autoSpaceDE w:val="0"/>
              <w:autoSpaceDN w:val="0"/>
              <w:adjustRightInd w:val="0"/>
              <w:jc w:val="center"/>
              <w:rPr>
                <w:rFonts w:ascii="Times New Roman"/>
                <w:color w:val="000000" w:themeColor="text1"/>
                <w:sz w:val="21"/>
                <w:szCs w:val="21"/>
              </w:rPr>
            </w:pPr>
            <w:r w:rsidRPr="008A2411">
              <w:rPr>
                <w:rFonts w:ascii="Times New Roman"/>
                <w:color w:val="000000" w:themeColor="text1"/>
                <w:sz w:val="21"/>
                <w:szCs w:val="21"/>
              </w:rPr>
              <w:t>30m</w:t>
            </w:r>
          </w:p>
        </w:tc>
        <w:tc>
          <w:tcPr>
            <w:tcW w:w="777" w:type="pct"/>
            <w:shd w:val="clear" w:color="auto" w:fill="auto"/>
            <w:vAlign w:val="center"/>
          </w:tcPr>
          <w:p w14:paraId="54F87C6D" w14:textId="77777777" w:rsidR="00B0005F" w:rsidRPr="008A2411" w:rsidRDefault="00000000">
            <w:pPr>
              <w:autoSpaceDE w:val="0"/>
              <w:autoSpaceDN w:val="0"/>
              <w:adjustRightInd w:val="0"/>
              <w:jc w:val="center"/>
              <w:rPr>
                <w:rFonts w:ascii="Times New Roman"/>
                <w:color w:val="000000" w:themeColor="text1"/>
                <w:sz w:val="21"/>
                <w:szCs w:val="21"/>
              </w:rPr>
            </w:pPr>
            <w:r w:rsidRPr="008A2411">
              <w:rPr>
                <w:rFonts w:ascii="Times New Roman"/>
                <w:color w:val="000000" w:themeColor="text1"/>
                <w:sz w:val="21"/>
                <w:szCs w:val="21"/>
              </w:rPr>
              <w:t>1.3</w:t>
            </w:r>
          </w:p>
        </w:tc>
        <w:tc>
          <w:tcPr>
            <w:tcW w:w="760" w:type="pct"/>
            <w:shd w:val="clear" w:color="auto" w:fill="auto"/>
            <w:vAlign w:val="center"/>
          </w:tcPr>
          <w:p w14:paraId="5BCA3EBB" w14:textId="77777777" w:rsidR="00B0005F" w:rsidRPr="008A2411" w:rsidRDefault="00000000">
            <w:pPr>
              <w:autoSpaceDE w:val="0"/>
              <w:autoSpaceDN w:val="0"/>
              <w:adjustRightInd w:val="0"/>
              <w:jc w:val="center"/>
              <w:rPr>
                <w:rFonts w:ascii="Times New Roman"/>
                <w:color w:val="000000" w:themeColor="text1"/>
                <w:sz w:val="21"/>
                <w:szCs w:val="21"/>
              </w:rPr>
            </w:pPr>
            <w:r w:rsidRPr="008A2411">
              <w:rPr>
                <w:rFonts w:ascii="Times New Roman"/>
                <w:color w:val="000000" w:themeColor="text1"/>
                <w:sz w:val="21"/>
                <w:szCs w:val="21"/>
              </w:rPr>
              <w:t>kg/h</w:t>
            </w:r>
          </w:p>
        </w:tc>
      </w:tr>
      <w:tr w:rsidR="008A2411" w:rsidRPr="008A2411" w14:paraId="5F312D94" w14:textId="77777777">
        <w:tc>
          <w:tcPr>
            <w:tcW w:w="1755" w:type="pct"/>
            <w:vMerge/>
            <w:shd w:val="clear" w:color="auto" w:fill="auto"/>
            <w:vAlign w:val="center"/>
          </w:tcPr>
          <w:p w14:paraId="32291B00" w14:textId="77777777" w:rsidR="00B0005F" w:rsidRPr="008A2411" w:rsidRDefault="00B0005F">
            <w:pPr>
              <w:autoSpaceDE w:val="0"/>
              <w:autoSpaceDN w:val="0"/>
              <w:adjustRightInd w:val="0"/>
              <w:jc w:val="center"/>
              <w:rPr>
                <w:rFonts w:ascii="Times New Roman"/>
                <w:color w:val="000000" w:themeColor="text1"/>
                <w:sz w:val="21"/>
                <w:szCs w:val="21"/>
              </w:rPr>
            </w:pPr>
          </w:p>
        </w:tc>
        <w:tc>
          <w:tcPr>
            <w:tcW w:w="1059" w:type="pct"/>
            <w:shd w:val="clear" w:color="auto" w:fill="auto"/>
            <w:vAlign w:val="center"/>
          </w:tcPr>
          <w:p w14:paraId="6DFDADC8" w14:textId="77777777" w:rsidR="00B0005F" w:rsidRPr="008A2411" w:rsidRDefault="00000000">
            <w:pPr>
              <w:autoSpaceDE w:val="0"/>
              <w:autoSpaceDN w:val="0"/>
              <w:adjustRightInd w:val="0"/>
              <w:jc w:val="center"/>
              <w:rPr>
                <w:rFonts w:ascii="Times New Roman"/>
                <w:color w:val="000000" w:themeColor="text1"/>
                <w:sz w:val="21"/>
                <w:szCs w:val="21"/>
              </w:rPr>
            </w:pPr>
            <w:r w:rsidRPr="008A2411">
              <w:rPr>
                <w:rFonts w:ascii="Times New Roman"/>
                <w:color w:val="000000" w:themeColor="text1"/>
                <w:sz w:val="21"/>
                <w:szCs w:val="21"/>
              </w:rPr>
              <w:t>臭气浓度</w:t>
            </w:r>
          </w:p>
        </w:tc>
        <w:tc>
          <w:tcPr>
            <w:tcW w:w="646" w:type="pct"/>
            <w:vMerge/>
            <w:shd w:val="clear" w:color="auto" w:fill="auto"/>
            <w:vAlign w:val="center"/>
          </w:tcPr>
          <w:p w14:paraId="3800C93E" w14:textId="77777777" w:rsidR="00B0005F" w:rsidRPr="008A2411" w:rsidRDefault="00B0005F">
            <w:pPr>
              <w:autoSpaceDE w:val="0"/>
              <w:autoSpaceDN w:val="0"/>
              <w:adjustRightInd w:val="0"/>
              <w:jc w:val="center"/>
              <w:rPr>
                <w:rFonts w:ascii="Times New Roman"/>
                <w:color w:val="000000" w:themeColor="text1"/>
                <w:sz w:val="21"/>
                <w:szCs w:val="21"/>
              </w:rPr>
            </w:pPr>
          </w:p>
        </w:tc>
        <w:tc>
          <w:tcPr>
            <w:tcW w:w="777" w:type="pct"/>
            <w:shd w:val="clear" w:color="auto" w:fill="auto"/>
            <w:vAlign w:val="center"/>
          </w:tcPr>
          <w:p w14:paraId="11352578" w14:textId="77777777" w:rsidR="00B0005F" w:rsidRPr="008A2411" w:rsidRDefault="00000000">
            <w:pPr>
              <w:autoSpaceDE w:val="0"/>
              <w:autoSpaceDN w:val="0"/>
              <w:adjustRightInd w:val="0"/>
              <w:jc w:val="center"/>
              <w:rPr>
                <w:rFonts w:ascii="Times New Roman"/>
                <w:color w:val="000000" w:themeColor="text1"/>
                <w:sz w:val="21"/>
                <w:szCs w:val="21"/>
              </w:rPr>
            </w:pPr>
            <w:r w:rsidRPr="008A2411">
              <w:rPr>
                <w:rFonts w:ascii="Times New Roman"/>
                <w:color w:val="000000" w:themeColor="text1"/>
                <w:sz w:val="21"/>
                <w:szCs w:val="21"/>
              </w:rPr>
              <w:t>10500</w:t>
            </w:r>
          </w:p>
        </w:tc>
        <w:tc>
          <w:tcPr>
            <w:tcW w:w="760" w:type="pct"/>
            <w:shd w:val="clear" w:color="auto" w:fill="auto"/>
            <w:vAlign w:val="center"/>
          </w:tcPr>
          <w:p w14:paraId="3EEB2D2F" w14:textId="77777777" w:rsidR="00B0005F" w:rsidRPr="008A2411" w:rsidRDefault="00000000">
            <w:pPr>
              <w:autoSpaceDE w:val="0"/>
              <w:autoSpaceDN w:val="0"/>
              <w:adjustRightInd w:val="0"/>
              <w:jc w:val="center"/>
              <w:rPr>
                <w:rFonts w:ascii="Times New Roman"/>
                <w:color w:val="000000" w:themeColor="text1"/>
                <w:sz w:val="21"/>
                <w:szCs w:val="21"/>
              </w:rPr>
            </w:pPr>
            <w:r w:rsidRPr="008A2411">
              <w:rPr>
                <w:rFonts w:ascii="Times New Roman"/>
                <w:color w:val="000000" w:themeColor="text1"/>
                <w:sz w:val="21"/>
                <w:szCs w:val="21"/>
              </w:rPr>
              <w:t>无量纲</w:t>
            </w:r>
          </w:p>
        </w:tc>
      </w:tr>
    </w:tbl>
    <w:p w14:paraId="7CAE67DF" w14:textId="77777777" w:rsidR="00B0005F" w:rsidRPr="008A2411" w:rsidRDefault="00000000">
      <w:pPr>
        <w:pStyle w:val="affff3"/>
        <w:spacing w:before="120" w:after="120"/>
        <w:outlineLvl w:val="9"/>
        <w:rPr>
          <w:rFonts w:ascii="Times New Roman" w:eastAsia="黑体" w:hAnsi="Times New Roman" w:cs="Times New Roman"/>
          <w:b w:val="0"/>
          <w:color w:val="000000" w:themeColor="text1"/>
          <w:sz w:val="24"/>
          <w:szCs w:val="21"/>
        </w:rPr>
      </w:pPr>
      <w:bookmarkStart w:id="80" w:name="_Toc4534"/>
      <w:bookmarkStart w:id="81" w:name="_Toc32452"/>
      <w:bookmarkStart w:id="82" w:name="_Toc24219"/>
      <w:bookmarkStart w:id="83" w:name="_Toc22900"/>
      <w:bookmarkStart w:id="84" w:name="_Toc31349"/>
      <w:r w:rsidRPr="008A2411">
        <w:rPr>
          <w:rFonts w:ascii="Times New Roman" w:eastAsia="黑体" w:hAnsi="Times New Roman" w:cs="Times New Roman"/>
          <w:b w:val="0"/>
          <w:color w:val="000000" w:themeColor="text1"/>
          <w:sz w:val="24"/>
          <w:szCs w:val="21"/>
        </w:rPr>
        <w:t>表</w:t>
      </w:r>
      <w:r w:rsidRPr="008A2411">
        <w:rPr>
          <w:rFonts w:ascii="Times New Roman" w:eastAsia="黑体" w:hAnsi="Times New Roman" w:cs="Times New Roman"/>
          <w:b w:val="0"/>
          <w:color w:val="000000" w:themeColor="text1"/>
          <w:sz w:val="24"/>
          <w:szCs w:val="21"/>
        </w:rPr>
        <w:t xml:space="preserve">2.6-11  </w:t>
      </w:r>
      <w:bookmarkEnd w:id="80"/>
      <w:r w:rsidRPr="008A2411">
        <w:rPr>
          <w:rFonts w:ascii="Times New Roman" w:eastAsia="黑体" w:hAnsi="Times New Roman" w:cs="Times New Roman"/>
          <w:b w:val="0"/>
          <w:color w:val="000000" w:themeColor="text1"/>
          <w:sz w:val="24"/>
          <w:szCs w:val="21"/>
        </w:rPr>
        <w:t>陆上石油天然气开采工业大气污染物排放标准</w:t>
      </w:r>
      <w:bookmarkEnd w:id="81"/>
      <w:bookmarkEnd w:id="82"/>
      <w:bookmarkEnd w:id="83"/>
      <w:bookmarkEnd w:id="84"/>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27"/>
        <w:gridCol w:w="1395"/>
        <w:gridCol w:w="5500"/>
      </w:tblGrid>
      <w:tr w:rsidR="008A2411" w:rsidRPr="008A2411" w14:paraId="6DA78EEC" w14:textId="77777777">
        <w:trPr>
          <w:cantSplit/>
          <w:trHeight w:val="273"/>
          <w:jc w:val="center"/>
        </w:trPr>
        <w:tc>
          <w:tcPr>
            <w:tcW w:w="954" w:type="pct"/>
            <w:vMerge w:val="restart"/>
            <w:vAlign w:val="center"/>
          </w:tcPr>
          <w:p w14:paraId="49D3BF70" w14:textId="77777777" w:rsidR="00B0005F" w:rsidRPr="008A2411" w:rsidRDefault="00000000">
            <w:pPr>
              <w:pStyle w:val="afffffffffffff1"/>
              <w:adjustRightInd w:val="0"/>
              <w:snapToGrid w:val="0"/>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污染物</w:t>
            </w:r>
          </w:p>
        </w:tc>
        <w:tc>
          <w:tcPr>
            <w:tcW w:w="818" w:type="pct"/>
            <w:vMerge w:val="restart"/>
            <w:vAlign w:val="center"/>
          </w:tcPr>
          <w:p w14:paraId="5B63F50A" w14:textId="77777777" w:rsidR="00B0005F" w:rsidRPr="008A2411" w:rsidRDefault="00000000">
            <w:pPr>
              <w:pStyle w:val="afffffffffffff1"/>
              <w:adjustRightInd w:val="0"/>
              <w:snapToGrid w:val="0"/>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无组织排放（周界外浓度最高点）</w:t>
            </w:r>
            <w:r w:rsidRPr="008A2411">
              <w:rPr>
                <w:rFonts w:ascii="Times New Roman" w:hAnsi="Times New Roman" w:cs="Times New Roman"/>
                <w:snapToGrid/>
                <w:color w:val="000000" w:themeColor="text1"/>
                <w:spacing w:val="0"/>
                <w:sz w:val="21"/>
              </w:rPr>
              <w:t>/</w:t>
            </w:r>
            <w:r w:rsidRPr="008A2411">
              <w:rPr>
                <w:rFonts w:ascii="Times New Roman" w:hAnsi="Times New Roman" w:cs="Times New Roman"/>
                <w:snapToGrid/>
                <w:color w:val="000000" w:themeColor="text1"/>
                <w:spacing w:val="0"/>
                <w:sz w:val="21"/>
              </w:rPr>
              <w:t>（</w:t>
            </w:r>
            <w:r w:rsidRPr="008A2411">
              <w:rPr>
                <w:rFonts w:ascii="Times New Roman" w:hAnsi="Times New Roman" w:cs="Times New Roman"/>
                <w:snapToGrid/>
                <w:color w:val="000000" w:themeColor="text1"/>
                <w:spacing w:val="0"/>
                <w:sz w:val="21"/>
              </w:rPr>
              <w:t>mg/m</w:t>
            </w:r>
            <w:r w:rsidRPr="008A2411">
              <w:rPr>
                <w:rFonts w:ascii="Times New Roman" w:hAnsi="Times New Roman" w:cs="Times New Roman"/>
                <w:snapToGrid/>
                <w:color w:val="000000" w:themeColor="text1"/>
                <w:spacing w:val="0"/>
                <w:sz w:val="21"/>
                <w:vertAlign w:val="superscript"/>
              </w:rPr>
              <w:t>3</w:t>
            </w:r>
            <w:r w:rsidRPr="008A2411">
              <w:rPr>
                <w:rFonts w:ascii="Times New Roman" w:hAnsi="Times New Roman" w:cs="Times New Roman"/>
                <w:snapToGrid/>
                <w:color w:val="000000" w:themeColor="text1"/>
                <w:spacing w:val="0"/>
                <w:sz w:val="21"/>
              </w:rPr>
              <w:t>）</w:t>
            </w:r>
          </w:p>
        </w:tc>
        <w:tc>
          <w:tcPr>
            <w:tcW w:w="3226" w:type="pct"/>
            <w:vAlign w:val="center"/>
          </w:tcPr>
          <w:p w14:paraId="24BC7A2B" w14:textId="77777777" w:rsidR="00B0005F" w:rsidRPr="008A2411" w:rsidRDefault="00000000">
            <w:pPr>
              <w:pStyle w:val="afffffffffffff1"/>
              <w:adjustRightInd w:val="0"/>
              <w:snapToGrid w:val="0"/>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有组织排放标准要求</w:t>
            </w:r>
          </w:p>
        </w:tc>
      </w:tr>
      <w:tr w:rsidR="008A2411" w:rsidRPr="008A2411" w14:paraId="17E0AF66" w14:textId="77777777">
        <w:trPr>
          <w:cantSplit/>
          <w:trHeight w:val="868"/>
          <w:jc w:val="center"/>
        </w:trPr>
        <w:tc>
          <w:tcPr>
            <w:tcW w:w="954" w:type="pct"/>
            <w:vMerge/>
            <w:vAlign w:val="center"/>
          </w:tcPr>
          <w:p w14:paraId="5022E2A1" w14:textId="77777777" w:rsidR="00B0005F" w:rsidRPr="008A2411" w:rsidRDefault="00B0005F">
            <w:pPr>
              <w:pStyle w:val="afffffffffffff1"/>
              <w:adjustRightInd w:val="0"/>
              <w:snapToGrid w:val="0"/>
              <w:rPr>
                <w:rFonts w:ascii="Times New Roman" w:hAnsi="Times New Roman" w:cs="Times New Roman"/>
                <w:snapToGrid/>
                <w:color w:val="000000" w:themeColor="text1"/>
                <w:spacing w:val="0"/>
                <w:sz w:val="21"/>
              </w:rPr>
            </w:pPr>
          </w:p>
        </w:tc>
        <w:tc>
          <w:tcPr>
            <w:tcW w:w="818" w:type="pct"/>
            <w:vMerge/>
            <w:vAlign w:val="center"/>
          </w:tcPr>
          <w:p w14:paraId="655D0DBB" w14:textId="77777777" w:rsidR="00B0005F" w:rsidRPr="008A2411" w:rsidRDefault="00B0005F">
            <w:pPr>
              <w:pStyle w:val="afffffffffffff1"/>
              <w:adjustRightInd w:val="0"/>
              <w:snapToGrid w:val="0"/>
              <w:rPr>
                <w:rFonts w:ascii="Times New Roman" w:hAnsi="Times New Roman" w:cs="Times New Roman"/>
                <w:snapToGrid/>
                <w:color w:val="000000" w:themeColor="text1"/>
                <w:spacing w:val="0"/>
                <w:sz w:val="21"/>
              </w:rPr>
            </w:pPr>
          </w:p>
        </w:tc>
        <w:tc>
          <w:tcPr>
            <w:tcW w:w="3226" w:type="pct"/>
            <w:vMerge w:val="restart"/>
            <w:vAlign w:val="center"/>
          </w:tcPr>
          <w:p w14:paraId="3DE4B792" w14:textId="77777777" w:rsidR="00B0005F" w:rsidRPr="008A2411" w:rsidRDefault="00000000">
            <w:pPr>
              <w:widowControl/>
              <w:jc w:val="center"/>
              <w:rPr>
                <w:rFonts w:ascii="Times New Roman"/>
                <w:color w:val="000000" w:themeColor="text1"/>
                <w:sz w:val="21"/>
                <w:szCs w:val="21"/>
              </w:rPr>
            </w:pPr>
            <w:r w:rsidRPr="008A2411">
              <w:rPr>
                <w:rFonts w:ascii="Times New Roman"/>
                <w:color w:val="000000" w:themeColor="text1"/>
                <w:sz w:val="21"/>
                <w:szCs w:val="21"/>
              </w:rPr>
              <w:t>a</w:t>
            </w:r>
            <w:r w:rsidRPr="008A2411">
              <w:rPr>
                <w:rFonts w:ascii="Times New Roman"/>
                <w:color w:val="000000" w:themeColor="text1"/>
                <w:sz w:val="21"/>
                <w:szCs w:val="21"/>
              </w:rPr>
              <w:t>）非甲烷总烃排放浓度不超过</w:t>
            </w:r>
            <w:r w:rsidRPr="008A2411">
              <w:rPr>
                <w:rFonts w:ascii="Times New Roman"/>
                <w:color w:val="000000" w:themeColor="text1"/>
                <w:sz w:val="21"/>
                <w:szCs w:val="21"/>
              </w:rPr>
              <w:t>120 mg/m</w:t>
            </w:r>
            <w:r w:rsidRPr="008A2411">
              <w:rPr>
                <w:rFonts w:ascii="Times New Roman"/>
                <w:color w:val="000000" w:themeColor="text1"/>
                <w:sz w:val="21"/>
                <w:szCs w:val="21"/>
                <w:vertAlign w:val="superscript"/>
              </w:rPr>
              <w:t>3</w:t>
            </w:r>
            <w:r w:rsidRPr="008A2411">
              <w:rPr>
                <w:rFonts w:ascii="Times New Roman"/>
                <w:color w:val="000000" w:themeColor="text1"/>
                <w:sz w:val="21"/>
                <w:szCs w:val="21"/>
              </w:rPr>
              <w:t>；</w:t>
            </w:r>
          </w:p>
          <w:p w14:paraId="0A632074" w14:textId="77777777" w:rsidR="00B0005F" w:rsidRPr="008A2411" w:rsidRDefault="00000000">
            <w:pPr>
              <w:widowControl/>
              <w:jc w:val="center"/>
              <w:rPr>
                <w:rFonts w:ascii="Times New Roman"/>
                <w:color w:val="000000" w:themeColor="text1"/>
                <w:sz w:val="21"/>
                <w:szCs w:val="21"/>
              </w:rPr>
            </w:pPr>
            <w:r w:rsidRPr="008A2411">
              <w:rPr>
                <w:rFonts w:ascii="Times New Roman"/>
                <w:color w:val="000000" w:themeColor="text1"/>
                <w:sz w:val="21"/>
                <w:szCs w:val="21"/>
              </w:rPr>
              <w:t>b</w:t>
            </w:r>
            <w:r w:rsidRPr="008A2411">
              <w:rPr>
                <w:rFonts w:ascii="Times New Roman"/>
                <w:color w:val="000000" w:themeColor="text1"/>
                <w:sz w:val="21"/>
                <w:szCs w:val="21"/>
              </w:rPr>
              <w:t>）生产装置和设施排气中非甲烷总烃初始排放速率</w:t>
            </w:r>
            <w:r w:rsidRPr="008A2411">
              <w:rPr>
                <w:rFonts w:ascii="Times New Roman"/>
                <w:color w:val="000000" w:themeColor="text1"/>
                <w:sz w:val="21"/>
                <w:szCs w:val="21"/>
              </w:rPr>
              <w:t>≥3kg/h</w:t>
            </w:r>
            <w:r w:rsidRPr="008A2411">
              <w:rPr>
                <w:rFonts w:ascii="Times New Roman"/>
                <w:color w:val="000000" w:themeColor="text1"/>
                <w:sz w:val="21"/>
                <w:szCs w:val="21"/>
              </w:rPr>
              <w:t>的，废气处理设施非甲烷总烃去除效率不低于</w:t>
            </w:r>
            <w:r w:rsidRPr="008A2411">
              <w:rPr>
                <w:rFonts w:ascii="Times New Roman"/>
                <w:color w:val="000000" w:themeColor="text1"/>
                <w:sz w:val="21"/>
                <w:szCs w:val="21"/>
              </w:rPr>
              <w:t>80%</w:t>
            </w:r>
            <w:r w:rsidRPr="008A2411">
              <w:rPr>
                <w:rFonts w:ascii="Times New Roman"/>
                <w:color w:val="000000" w:themeColor="text1"/>
                <w:sz w:val="21"/>
                <w:szCs w:val="21"/>
              </w:rPr>
              <w:t>。重点地区生产装置和设施排气中非甲烷总烃初始排放速率</w:t>
            </w:r>
            <w:r w:rsidRPr="008A2411">
              <w:rPr>
                <w:rFonts w:ascii="Times New Roman"/>
                <w:color w:val="000000" w:themeColor="text1"/>
                <w:sz w:val="21"/>
                <w:szCs w:val="21"/>
              </w:rPr>
              <w:t>≥2 kg/h</w:t>
            </w:r>
            <w:r w:rsidRPr="008A2411">
              <w:rPr>
                <w:rFonts w:ascii="Times New Roman"/>
                <w:color w:val="000000" w:themeColor="text1"/>
                <w:sz w:val="21"/>
                <w:szCs w:val="21"/>
              </w:rPr>
              <w:t>的，废气处理设施非甲烷总烃去除效率不低于</w:t>
            </w:r>
            <w:r w:rsidRPr="008A2411">
              <w:rPr>
                <w:rFonts w:ascii="Times New Roman"/>
                <w:color w:val="000000" w:themeColor="text1"/>
                <w:sz w:val="21"/>
                <w:szCs w:val="21"/>
              </w:rPr>
              <w:t>80%</w:t>
            </w:r>
            <w:r w:rsidRPr="008A2411">
              <w:rPr>
                <w:rFonts w:ascii="Times New Roman"/>
                <w:color w:val="000000" w:themeColor="text1"/>
                <w:sz w:val="21"/>
                <w:szCs w:val="21"/>
              </w:rPr>
              <w:t>。</w:t>
            </w:r>
          </w:p>
        </w:tc>
      </w:tr>
      <w:tr w:rsidR="008A2411" w:rsidRPr="008A2411" w14:paraId="34755310" w14:textId="77777777">
        <w:trPr>
          <w:cantSplit/>
          <w:jc w:val="center"/>
        </w:trPr>
        <w:tc>
          <w:tcPr>
            <w:tcW w:w="954" w:type="pct"/>
            <w:vAlign w:val="center"/>
          </w:tcPr>
          <w:p w14:paraId="21B5AACE" w14:textId="77777777" w:rsidR="00B0005F" w:rsidRPr="008A2411" w:rsidRDefault="00000000">
            <w:pPr>
              <w:pStyle w:val="afffffffffffff1"/>
              <w:adjustRightInd w:val="0"/>
              <w:snapToGrid w:val="0"/>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NMHC</w:t>
            </w:r>
          </w:p>
        </w:tc>
        <w:tc>
          <w:tcPr>
            <w:tcW w:w="818" w:type="pct"/>
            <w:vAlign w:val="center"/>
          </w:tcPr>
          <w:p w14:paraId="51667701" w14:textId="77777777" w:rsidR="00B0005F" w:rsidRPr="008A2411" w:rsidRDefault="00000000">
            <w:pPr>
              <w:pStyle w:val="afffffffffffff1"/>
              <w:adjustRightInd w:val="0"/>
              <w:snapToGrid w:val="0"/>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4.0</w:t>
            </w:r>
          </w:p>
        </w:tc>
        <w:tc>
          <w:tcPr>
            <w:tcW w:w="3226" w:type="pct"/>
            <w:vMerge/>
            <w:vAlign w:val="center"/>
          </w:tcPr>
          <w:p w14:paraId="62F036DB" w14:textId="77777777" w:rsidR="00B0005F" w:rsidRPr="008A2411" w:rsidRDefault="00B0005F">
            <w:pPr>
              <w:pStyle w:val="afffffffffffff1"/>
              <w:adjustRightInd w:val="0"/>
              <w:snapToGrid w:val="0"/>
              <w:rPr>
                <w:rFonts w:ascii="Times New Roman" w:hAnsi="Times New Roman" w:cs="Times New Roman"/>
                <w:snapToGrid/>
                <w:color w:val="000000" w:themeColor="text1"/>
                <w:spacing w:val="0"/>
                <w:sz w:val="21"/>
              </w:rPr>
            </w:pPr>
          </w:p>
        </w:tc>
      </w:tr>
    </w:tbl>
    <w:p w14:paraId="14006F0C" w14:textId="77777777" w:rsidR="00B0005F" w:rsidRPr="008A2411" w:rsidRDefault="00000000">
      <w:pPr>
        <w:pStyle w:val="WJ0"/>
        <w:spacing w:line="460" w:lineRule="exact"/>
        <w:rPr>
          <w:rFonts w:ascii="Times New Roman" w:hAnsi="Times New Roman"/>
          <w:bCs/>
          <w:color w:val="000000" w:themeColor="text1"/>
          <w:szCs w:val="21"/>
        </w:rPr>
      </w:pPr>
      <w:r w:rsidRPr="008A2411">
        <w:rPr>
          <w:rFonts w:ascii="Times New Roman" w:hAnsi="Times New Roman"/>
          <w:bCs/>
          <w:color w:val="000000" w:themeColor="text1"/>
          <w:szCs w:val="21"/>
        </w:rPr>
        <w:t>表</w:t>
      </w:r>
      <w:r w:rsidRPr="008A2411">
        <w:rPr>
          <w:rFonts w:ascii="Times New Roman" w:hAnsi="Times New Roman"/>
          <w:bCs/>
          <w:color w:val="000000" w:themeColor="text1"/>
          <w:szCs w:val="21"/>
        </w:rPr>
        <w:t xml:space="preserve">2.6-12  </w:t>
      </w:r>
      <w:r w:rsidRPr="008A2411">
        <w:rPr>
          <w:rFonts w:ascii="Times New Roman" w:hAnsi="Times New Roman"/>
          <w:bCs/>
          <w:color w:val="000000" w:themeColor="text1"/>
          <w:szCs w:val="21"/>
        </w:rPr>
        <w:t>新建锅炉大气污染物排放标准（特别排放限值）</w:t>
      </w:r>
    </w:p>
    <w:tbl>
      <w:tblPr>
        <w:tblW w:w="4999" w:type="pct"/>
        <w:jc w:val="center"/>
        <w:tblBorders>
          <w:top w:val="single" w:sz="18" w:space="0" w:color="000000"/>
          <w:bottom w:val="single" w:sz="18" w:space="0" w:color="000000"/>
          <w:insideH w:val="single" w:sz="4" w:space="0" w:color="000000"/>
          <w:insideV w:val="single" w:sz="4" w:space="0" w:color="000000"/>
        </w:tblBorders>
        <w:tblLook w:val="04A0" w:firstRow="1" w:lastRow="0" w:firstColumn="1" w:lastColumn="0" w:noHBand="0" w:noVBand="1"/>
      </w:tblPr>
      <w:tblGrid>
        <w:gridCol w:w="3459"/>
        <w:gridCol w:w="2174"/>
        <w:gridCol w:w="2887"/>
      </w:tblGrid>
      <w:tr w:rsidR="008A2411" w:rsidRPr="008A2411" w14:paraId="54B6674F" w14:textId="77777777">
        <w:trPr>
          <w:jc w:val="center"/>
        </w:trPr>
        <w:tc>
          <w:tcPr>
            <w:tcW w:w="2030" w:type="pct"/>
            <w:tcBorders>
              <w:top w:val="single" w:sz="4" w:space="0" w:color="auto"/>
              <w:left w:val="single" w:sz="4" w:space="0" w:color="auto"/>
              <w:tl2br w:val="nil"/>
              <w:tr2bl w:val="nil"/>
            </w:tcBorders>
            <w:vAlign w:val="center"/>
          </w:tcPr>
          <w:p w14:paraId="6FB0D7DA" w14:textId="77777777" w:rsidR="00B0005F" w:rsidRPr="008A2411" w:rsidRDefault="00000000">
            <w:pPr>
              <w:adjustRightInd w:val="0"/>
              <w:snapToGrid w:val="0"/>
              <w:spacing w:line="340" w:lineRule="exact"/>
              <w:jc w:val="center"/>
              <w:rPr>
                <w:rFonts w:ascii="Times New Roman"/>
                <w:color w:val="000000" w:themeColor="text1"/>
                <w:sz w:val="21"/>
                <w:szCs w:val="21"/>
              </w:rPr>
            </w:pPr>
            <w:r w:rsidRPr="008A2411">
              <w:rPr>
                <w:rFonts w:ascii="Times New Roman"/>
                <w:color w:val="000000" w:themeColor="text1"/>
                <w:sz w:val="21"/>
                <w:szCs w:val="21"/>
              </w:rPr>
              <w:t>污染物</w:t>
            </w:r>
          </w:p>
        </w:tc>
        <w:tc>
          <w:tcPr>
            <w:tcW w:w="1276" w:type="pct"/>
            <w:tcBorders>
              <w:top w:val="single" w:sz="4" w:space="0" w:color="auto"/>
              <w:tl2br w:val="nil"/>
              <w:tr2bl w:val="nil"/>
            </w:tcBorders>
            <w:vAlign w:val="center"/>
          </w:tcPr>
          <w:p w14:paraId="6E55C4BF" w14:textId="77777777" w:rsidR="00B0005F" w:rsidRPr="008A2411" w:rsidRDefault="00000000">
            <w:pPr>
              <w:adjustRightInd w:val="0"/>
              <w:snapToGrid w:val="0"/>
              <w:spacing w:line="340" w:lineRule="exact"/>
              <w:jc w:val="center"/>
              <w:rPr>
                <w:rFonts w:ascii="Times New Roman"/>
                <w:color w:val="000000" w:themeColor="text1"/>
                <w:sz w:val="21"/>
                <w:szCs w:val="21"/>
              </w:rPr>
            </w:pPr>
            <w:r w:rsidRPr="008A2411">
              <w:rPr>
                <w:rFonts w:ascii="Times New Roman"/>
                <w:color w:val="000000" w:themeColor="text1"/>
                <w:sz w:val="21"/>
                <w:szCs w:val="21"/>
              </w:rPr>
              <w:t>限值（</w:t>
            </w:r>
            <w:r w:rsidRPr="008A2411">
              <w:rPr>
                <w:rFonts w:ascii="Times New Roman"/>
                <w:color w:val="000000" w:themeColor="text1"/>
                <w:sz w:val="21"/>
                <w:szCs w:val="21"/>
              </w:rPr>
              <w:t>mg/m</w:t>
            </w:r>
            <w:r w:rsidRPr="008A2411">
              <w:rPr>
                <w:rFonts w:ascii="Times New Roman"/>
                <w:color w:val="000000" w:themeColor="text1"/>
                <w:sz w:val="21"/>
                <w:szCs w:val="21"/>
                <w:vertAlign w:val="superscript"/>
              </w:rPr>
              <w:t>3</w:t>
            </w:r>
            <w:r w:rsidRPr="008A2411">
              <w:rPr>
                <w:rFonts w:ascii="Times New Roman"/>
                <w:color w:val="000000" w:themeColor="text1"/>
                <w:sz w:val="21"/>
                <w:szCs w:val="21"/>
              </w:rPr>
              <w:t>）</w:t>
            </w:r>
          </w:p>
        </w:tc>
        <w:tc>
          <w:tcPr>
            <w:tcW w:w="1692" w:type="pct"/>
            <w:tcBorders>
              <w:top w:val="single" w:sz="4" w:space="0" w:color="auto"/>
              <w:right w:val="single" w:sz="4" w:space="0" w:color="auto"/>
              <w:tl2br w:val="nil"/>
              <w:tr2bl w:val="nil"/>
            </w:tcBorders>
            <w:vAlign w:val="center"/>
          </w:tcPr>
          <w:p w14:paraId="6B69CBA5" w14:textId="77777777" w:rsidR="00B0005F" w:rsidRPr="008A2411" w:rsidRDefault="00000000">
            <w:pPr>
              <w:adjustRightInd w:val="0"/>
              <w:snapToGrid w:val="0"/>
              <w:spacing w:line="340" w:lineRule="exact"/>
              <w:jc w:val="center"/>
              <w:rPr>
                <w:rFonts w:ascii="Times New Roman"/>
                <w:color w:val="000000" w:themeColor="text1"/>
                <w:sz w:val="21"/>
                <w:szCs w:val="21"/>
              </w:rPr>
            </w:pPr>
            <w:r w:rsidRPr="008A2411">
              <w:rPr>
                <w:rFonts w:ascii="Times New Roman"/>
                <w:color w:val="000000" w:themeColor="text1"/>
                <w:sz w:val="21"/>
                <w:szCs w:val="21"/>
              </w:rPr>
              <w:t>污染物排放监控位置</w:t>
            </w:r>
          </w:p>
        </w:tc>
      </w:tr>
      <w:tr w:rsidR="008A2411" w:rsidRPr="008A2411" w14:paraId="3CEF2F4A" w14:textId="77777777">
        <w:trPr>
          <w:jc w:val="center"/>
        </w:trPr>
        <w:tc>
          <w:tcPr>
            <w:tcW w:w="2030" w:type="pct"/>
            <w:tcBorders>
              <w:left w:val="single" w:sz="4" w:space="0" w:color="auto"/>
              <w:tl2br w:val="nil"/>
              <w:tr2bl w:val="nil"/>
            </w:tcBorders>
            <w:vAlign w:val="center"/>
          </w:tcPr>
          <w:p w14:paraId="74A630F7" w14:textId="77777777" w:rsidR="00B0005F" w:rsidRPr="008A2411" w:rsidRDefault="00000000">
            <w:pPr>
              <w:adjustRightInd w:val="0"/>
              <w:snapToGrid w:val="0"/>
              <w:spacing w:line="340" w:lineRule="exact"/>
              <w:jc w:val="center"/>
              <w:rPr>
                <w:rFonts w:ascii="Times New Roman"/>
                <w:color w:val="000000" w:themeColor="text1"/>
                <w:sz w:val="21"/>
                <w:szCs w:val="21"/>
              </w:rPr>
            </w:pPr>
            <w:r w:rsidRPr="008A2411">
              <w:rPr>
                <w:rFonts w:ascii="Times New Roman"/>
                <w:color w:val="000000" w:themeColor="text1"/>
                <w:sz w:val="21"/>
                <w:szCs w:val="21"/>
              </w:rPr>
              <w:t>颗粒物</w:t>
            </w:r>
          </w:p>
        </w:tc>
        <w:tc>
          <w:tcPr>
            <w:tcW w:w="1276" w:type="pct"/>
            <w:tcBorders>
              <w:tl2br w:val="nil"/>
              <w:tr2bl w:val="nil"/>
            </w:tcBorders>
            <w:vAlign w:val="center"/>
          </w:tcPr>
          <w:p w14:paraId="26B169D2" w14:textId="77777777" w:rsidR="00B0005F" w:rsidRPr="008A2411" w:rsidRDefault="00000000">
            <w:pPr>
              <w:adjustRightInd w:val="0"/>
              <w:snapToGrid w:val="0"/>
              <w:spacing w:line="340" w:lineRule="exact"/>
              <w:jc w:val="center"/>
              <w:rPr>
                <w:rFonts w:ascii="Times New Roman"/>
                <w:color w:val="000000" w:themeColor="text1"/>
                <w:sz w:val="21"/>
                <w:szCs w:val="21"/>
              </w:rPr>
            </w:pPr>
            <w:r w:rsidRPr="008A2411">
              <w:rPr>
                <w:rFonts w:ascii="Times New Roman"/>
                <w:color w:val="000000" w:themeColor="text1"/>
                <w:sz w:val="21"/>
                <w:szCs w:val="21"/>
              </w:rPr>
              <w:t>20</w:t>
            </w:r>
          </w:p>
        </w:tc>
        <w:tc>
          <w:tcPr>
            <w:tcW w:w="1692" w:type="pct"/>
            <w:vMerge w:val="restart"/>
            <w:tcBorders>
              <w:right w:val="single" w:sz="4" w:space="0" w:color="auto"/>
              <w:tl2br w:val="nil"/>
              <w:tr2bl w:val="nil"/>
            </w:tcBorders>
            <w:vAlign w:val="center"/>
          </w:tcPr>
          <w:p w14:paraId="7F355AF4" w14:textId="77777777" w:rsidR="00B0005F" w:rsidRPr="008A2411" w:rsidRDefault="00000000">
            <w:pPr>
              <w:adjustRightInd w:val="0"/>
              <w:snapToGrid w:val="0"/>
              <w:spacing w:line="340" w:lineRule="exact"/>
              <w:jc w:val="center"/>
              <w:rPr>
                <w:rFonts w:ascii="Times New Roman"/>
                <w:color w:val="000000" w:themeColor="text1"/>
                <w:sz w:val="21"/>
                <w:szCs w:val="21"/>
              </w:rPr>
            </w:pPr>
            <w:r w:rsidRPr="008A2411">
              <w:rPr>
                <w:rFonts w:ascii="Times New Roman"/>
                <w:color w:val="000000" w:themeColor="text1"/>
                <w:sz w:val="21"/>
                <w:szCs w:val="21"/>
              </w:rPr>
              <w:t>烟囱或烟道</w:t>
            </w:r>
          </w:p>
        </w:tc>
      </w:tr>
      <w:tr w:rsidR="008A2411" w:rsidRPr="008A2411" w14:paraId="6F2BD636" w14:textId="77777777">
        <w:trPr>
          <w:trHeight w:val="53"/>
          <w:jc w:val="center"/>
        </w:trPr>
        <w:tc>
          <w:tcPr>
            <w:tcW w:w="2030" w:type="pct"/>
            <w:tcBorders>
              <w:left w:val="single" w:sz="4" w:space="0" w:color="auto"/>
              <w:tl2br w:val="nil"/>
              <w:tr2bl w:val="nil"/>
            </w:tcBorders>
            <w:vAlign w:val="center"/>
          </w:tcPr>
          <w:p w14:paraId="3EF5EC0B" w14:textId="77777777" w:rsidR="00B0005F" w:rsidRPr="008A2411" w:rsidRDefault="00000000">
            <w:pPr>
              <w:adjustRightInd w:val="0"/>
              <w:snapToGrid w:val="0"/>
              <w:spacing w:line="340" w:lineRule="exact"/>
              <w:jc w:val="center"/>
              <w:rPr>
                <w:rFonts w:ascii="Times New Roman"/>
                <w:color w:val="000000" w:themeColor="text1"/>
                <w:sz w:val="21"/>
                <w:szCs w:val="21"/>
              </w:rPr>
            </w:pPr>
            <w:r w:rsidRPr="008A2411">
              <w:rPr>
                <w:rFonts w:ascii="Times New Roman"/>
                <w:color w:val="000000" w:themeColor="text1"/>
                <w:sz w:val="21"/>
                <w:szCs w:val="21"/>
              </w:rPr>
              <w:t>二氧化硫</w:t>
            </w:r>
          </w:p>
        </w:tc>
        <w:tc>
          <w:tcPr>
            <w:tcW w:w="1276" w:type="pct"/>
            <w:tcBorders>
              <w:tl2br w:val="nil"/>
              <w:tr2bl w:val="nil"/>
            </w:tcBorders>
            <w:vAlign w:val="center"/>
          </w:tcPr>
          <w:p w14:paraId="7B6D4ABE" w14:textId="77777777" w:rsidR="00B0005F" w:rsidRPr="008A2411" w:rsidRDefault="00000000">
            <w:pPr>
              <w:adjustRightInd w:val="0"/>
              <w:snapToGrid w:val="0"/>
              <w:spacing w:line="340" w:lineRule="exact"/>
              <w:jc w:val="center"/>
              <w:rPr>
                <w:rFonts w:ascii="Times New Roman"/>
                <w:color w:val="000000" w:themeColor="text1"/>
                <w:sz w:val="21"/>
                <w:szCs w:val="21"/>
              </w:rPr>
            </w:pPr>
            <w:r w:rsidRPr="008A2411">
              <w:rPr>
                <w:rFonts w:ascii="Times New Roman"/>
                <w:color w:val="000000" w:themeColor="text1"/>
                <w:sz w:val="21"/>
                <w:szCs w:val="21"/>
              </w:rPr>
              <w:t>50</w:t>
            </w:r>
          </w:p>
        </w:tc>
        <w:tc>
          <w:tcPr>
            <w:tcW w:w="1692" w:type="pct"/>
            <w:vMerge/>
            <w:tcBorders>
              <w:right w:val="single" w:sz="4" w:space="0" w:color="auto"/>
              <w:tl2br w:val="nil"/>
              <w:tr2bl w:val="nil"/>
            </w:tcBorders>
            <w:vAlign w:val="center"/>
          </w:tcPr>
          <w:p w14:paraId="2AD958AE" w14:textId="77777777" w:rsidR="00B0005F" w:rsidRPr="008A2411" w:rsidRDefault="00B0005F">
            <w:pPr>
              <w:adjustRightInd w:val="0"/>
              <w:snapToGrid w:val="0"/>
              <w:spacing w:line="340" w:lineRule="exact"/>
              <w:jc w:val="center"/>
              <w:rPr>
                <w:rFonts w:ascii="Times New Roman"/>
                <w:color w:val="000000" w:themeColor="text1"/>
                <w:sz w:val="21"/>
                <w:szCs w:val="21"/>
              </w:rPr>
            </w:pPr>
          </w:p>
        </w:tc>
      </w:tr>
      <w:tr w:rsidR="008A2411" w:rsidRPr="008A2411" w14:paraId="4C0ED61F" w14:textId="77777777">
        <w:trPr>
          <w:jc w:val="center"/>
        </w:trPr>
        <w:tc>
          <w:tcPr>
            <w:tcW w:w="2030" w:type="pct"/>
            <w:tcBorders>
              <w:left w:val="single" w:sz="4" w:space="0" w:color="auto"/>
              <w:tl2br w:val="nil"/>
              <w:tr2bl w:val="nil"/>
            </w:tcBorders>
            <w:vAlign w:val="center"/>
          </w:tcPr>
          <w:p w14:paraId="7FC5CEFF" w14:textId="77777777" w:rsidR="00B0005F" w:rsidRPr="008A2411" w:rsidRDefault="00000000">
            <w:pPr>
              <w:adjustRightInd w:val="0"/>
              <w:snapToGrid w:val="0"/>
              <w:spacing w:line="340" w:lineRule="exact"/>
              <w:jc w:val="center"/>
              <w:rPr>
                <w:rFonts w:ascii="Times New Roman"/>
                <w:color w:val="000000" w:themeColor="text1"/>
                <w:sz w:val="21"/>
                <w:szCs w:val="21"/>
              </w:rPr>
            </w:pPr>
            <w:r w:rsidRPr="008A2411">
              <w:rPr>
                <w:rFonts w:ascii="Times New Roman"/>
                <w:color w:val="000000" w:themeColor="text1"/>
                <w:sz w:val="21"/>
                <w:szCs w:val="21"/>
              </w:rPr>
              <w:lastRenderedPageBreak/>
              <w:t>氮氧化物</w:t>
            </w:r>
          </w:p>
        </w:tc>
        <w:tc>
          <w:tcPr>
            <w:tcW w:w="1276" w:type="pct"/>
            <w:tcBorders>
              <w:tl2br w:val="nil"/>
              <w:tr2bl w:val="nil"/>
            </w:tcBorders>
            <w:vAlign w:val="center"/>
          </w:tcPr>
          <w:p w14:paraId="62A316BA" w14:textId="77777777" w:rsidR="00B0005F" w:rsidRPr="008A2411" w:rsidRDefault="00000000">
            <w:pPr>
              <w:adjustRightInd w:val="0"/>
              <w:snapToGrid w:val="0"/>
              <w:spacing w:line="340" w:lineRule="exact"/>
              <w:jc w:val="center"/>
              <w:rPr>
                <w:rFonts w:ascii="Times New Roman"/>
                <w:color w:val="000000" w:themeColor="text1"/>
                <w:sz w:val="21"/>
                <w:szCs w:val="21"/>
              </w:rPr>
            </w:pPr>
            <w:r w:rsidRPr="008A2411">
              <w:rPr>
                <w:rFonts w:ascii="Times New Roman"/>
                <w:color w:val="000000" w:themeColor="text1"/>
                <w:sz w:val="21"/>
                <w:szCs w:val="21"/>
              </w:rPr>
              <w:t>150</w:t>
            </w:r>
          </w:p>
        </w:tc>
        <w:tc>
          <w:tcPr>
            <w:tcW w:w="1692" w:type="pct"/>
            <w:vMerge/>
            <w:tcBorders>
              <w:right w:val="single" w:sz="4" w:space="0" w:color="auto"/>
              <w:tl2br w:val="nil"/>
              <w:tr2bl w:val="nil"/>
            </w:tcBorders>
            <w:vAlign w:val="center"/>
          </w:tcPr>
          <w:p w14:paraId="25ABD4C8" w14:textId="77777777" w:rsidR="00B0005F" w:rsidRPr="008A2411" w:rsidRDefault="00B0005F">
            <w:pPr>
              <w:adjustRightInd w:val="0"/>
              <w:snapToGrid w:val="0"/>
              <w:spacing w:line="340" w:lineRule="exact"/>
              <w:jc w:val="center"/>
              <w:rPr>
                <w:rFonts w:ascii="Times New Roman"/>
                <w:color w:val="000000" w:themeColor="text1"/>
                <w:sz w:val="21"/>
                <w:szCs w:val="21"/>
              </w:rPr>
            </w:pPr>
          </w:p>
        </w:tc>
      </w:tr>
      <w:tr w:rsidR="008A2411" w:rsidRPr="008A2411" w14:paraId="06FA508A" w14:textId="77777777">
        <w:trPr>
          <w:trHeight w:val="53"/>
          <w:jc w:val="center"/>
        </w:trPr>
        <w:tc>
          <w:tcPr>
            <w:tcW w:w="2030" w:type="pct"/>
            <w:tcBorders>
              <w:left w:val="single" w:sz="4" w:space="0" w:color="auto"/>
              <w:tl2br w:val="nil"/>
              <w:tr2bl w:val="nil"/>
            </w:tcBorders>
            <w:vAlign w:val="center"/>
          </w:tcPr>
          <w:p w14:paraId="70393874" w14:textId="77777777" w:rsidR="00B0005F" w:rsidRPr="008A2411" w:rsidRDefault="00000000">
            <w:pPr>
              <w:adjustRightInd w:val="0"/>
              <w:snapToGrid w:val="0"/>
              <w:spacing w:line="340" w:lineRule="exact"/>
              <w:jc w:val="center"/>
              <w:rPr>
                <w:rFonts w:ascii="Times New Roman"/>
                <w:color w:val="000000" w:themeColor="text1"/>
                <w:sz w:val="21"/>
                <w:szCs w:val="21"/>
              </w:rPr>
            </w:pPr>
            <w:r w:rsidRPr="008A2411">
              <w:rPr>
                <w:rFonts w:ascii="Times New Roman"/>
                <w:color w:val="000000" w:themeColor="text1"/>
                <w:sz w:val="21"/>
                <w:szCs w:val="21"/>
              </w:rPr>
              <w:t>烟气黑度（林格曼黑度，级）</w:t>
            </w:r>
          </w:p>
        </w:tc>
        <w:tc>
          <w:tcPr>
            <w:tcW w:w="1276" w:type="pct"/>
            <w:tcBorders>
              <w:tl2br w:val="nil"/>
              <w:tr2bl w:val="nil"/>
            </w:tcBorders>
            <w:vAlign w:val="center"/>
          </w:tcPr>
          <w:p w14:paraId="5E37A822" w14:textId="77777777" w:rsidR="00B0005F" w:rsidRPr="008A2411" w:rsidRDefault="00000000">
            <w:pPr>
              <w:adjustRightInd w:val="0"/>
              <w:snapToGrid w:val="0"/>
              <w:spacing w:line="340" w:lineRule="exact"/>
              <w:jc w:val="center"/>
              <w:rPr>
                <w:rFonts w:ascii="Times New Roman"/>
                <w:color w:val="000000" w:themeColor="text1"/>
                <w:sz w:val="21"/>
                <w:szCs w:val="21"/>
              </w:rPr>
            </w:pPr>
            <w:r w:rsidRPr="008A2411">
              <w:rPr>
                <w:rFonts w:ascii="Times New Roman"/>
                <w:color w:val="000000" w:themeColor="text1"/>
                <w:sz w:val="21"/>
                <w:szCs w:val="21"/>
              </w:rPr>
              <w:t>≤1</w:t>
            </w:r>
          </w:p>
        </w:tc>
        <w:tc>
          <w:tcPr>
            <w:tcW w:w="1692" w:type="pct"/>
            <w:tcBorders>
              <w:right w:val="single" w:sz="4" w:space="0" w:color="auto"/>
              <w:tl2br w:val="nil"/>
              <w:tr2bl w:val="nil"/>
            </w:tcBorders>
            <w:vAlign w:val="center"/>
          </w:tcPr>
          <w:p w14:paraId="183A1312" w14:textId="77777777" w:rsidR="00B0005F" w:rsidRPr="008A2411" w:rsidRDefault="00000000">
            <w:pPr>
              <w:adjustRightInd w:val="0"/>
              <w:snapToGrid w:val="0"/>
              <w:spacing w:line="340" w:lineRule="exact"/>
              <w:jc w:val="center"/>
              <w:rPr>
                <w:rFonts w:ascii="Times New Roman"/>
                <w:color w:val="000000" w:themeColor="text1"/>
                <w:sz w:val="21"/>
                <w:szCs w:val="21"/>
              </w:rPr>
            </w:pPr>
            <w:r w:rsidRPr="008A2411">
              <w:rPr>
                <w:rFonts w:ascii="Times New Roman"/>
                <w:color w:val="000000" w:themeColor="text1"/>
                <w:sz w:val="21"/>
                <w:szCs w:val="21"/>
              </w:rPr>
              <w:t>烟囱排放口</w:t>
            </w:r>
          </w:p>
        </w:tc>
      </w:tr>
      <w:tr w:rsidR="008A2411" w:rsidRPr="008A2411" w14:paraId="642069E0" w14:textId="77777777">
        <w:trPr>
          <w:trHeight w:val="53"/>
          <w:jc w:val="center"/>
        </w:trPr>
        <w:tc>
          <w:tcPr>
            <w:tcW w:w="5000" w:type="pct"/>
            <w:gridSpan w:val="3"/>
            <w:tcBorders>
              <w:left w:val="single" w:sz="4" w:space="0" w:color="auto"/>
              <w:bottom w:val="single" w:sz="4" w:space="0" w:color="auto"/>
              <w:right w:val="single" w:sz="4" w:space="0" w:color="auto"/>
              <w:tl2br w:val="nil"/>
              <w:tr2bl w:val="nil"/>
            </w:tcBorders>
            <w:vAlign w:val="center"/>
          </w:tcPr>
          <w:p w14:paraId="4BF07E0C" w14:textId="77777777" w:rsidR="00B0005F" w:rsidRPr="008A2411" w:rsidRDefault="00000000">
            <w:pPr>
              <w:adjustRightInd w:val="0"/>
              <w:snapToGrid w:val="0"/>
              <w:spacing w:line="340" w:lineRule="exact"/>
              <w:jc w:val="center"/>
              <w:rPr>
                <w:rFonts w:ascii="Times New Roman"/>
                <w:color w:val="000000" w:themeColor="text1"/>
                <w:sz w:val="21"/>
                <w:szCs w:val="21"/>
              </w:rPr>
            </w:pPr>
            <w:r w:rsidRPr="008A2411">
              <w:rPr>
                <w:rFonts w:ascii="Times New Roman"/>
                <w:color w:val="000000" w:themeColor="text1"/>
                <w:sz w:val="21"/>
                <w:szCs w:val="21"/>
              </w:rPr>
              <w:t>燃气锅炉烟囱最低允许高度</w:t>
            </w:r>
            <w:r w:rsidRPr="008A2411">
              <w:rPr>
                <w:rFonts w:ascii="Times New Roman"/>
                <w:color w:val="000000" w:themeColor="text1"/>
                <w:sz w:val="21"/>
                <w:szCs w:val="21"/>
              </w:rPr>
              <w:t>8m</w:t>
            </w:r>
            <w:r w:rsidRPr="008A2411">
              <w:rPr>
                <w:rFonts w:ascii="Times New Roman"/>
                <w:color w:val="000000" w:themeColor="text1"/>
                <w:sz w:val="21"/>
                <w:szCs w:val="21"/>
              </w:rPr>
              <w:t>。</w:t>
            </w:r>
          </w:p>
        </w:tc>
      </w:tr>
    </w:tbl>
    <w:p w14:paraId="4A8A9635" w14:textId="77777777" w:rsidR="00B0005F" w:rsidRPr="008A2411" w:rsidRDefault="00000000">
      <w:pPr>
        <w:pStyle w:val="affff3"/>
        <w:outlineLvl w:val="9"/>
        <w:rPr>
          <w:rFonts w:ascii="Times New Roman" w:eastAsia="黑体" w:hAnsi="Times New Roman" w:cs="Times New Roman"/>
          <w:b w:val="0"/>
          <w:color w:val="000000" w:themeColor="text1"/>
          <w:sz w:val="24"/>
          <w:szCs w:val="21"/>
        </w:rPr>
      </w:pPr>
      <w:bookmarkStart w:id="85" w:name="_Toc31741"/>
      <w:bookmarkStart w:id="86" w:name="_Toc30085"/>
      <w:bookmarkStart w:id="87" w:name="_Toc27252"/>
      <w:bookmarkStart w:id="88" w:name="_Toc10990"/>
      <w:bookmarkStart w:id="89" w:name="_Toc5591"/>
      <w:r w:rsidRPr="008A2411">
        <w:rPr>
          <w:rFonts w:ascii="Times New Roman" w:eastAsia="黑体" w:hAnsi="Times New Roman" w:cs="Times New Roman"/>
          <w:b w:val="0"/>
          <w:color w:val="000000" w:themeColor="text1"/>
          <w:sz w:val="24"/>
          <w:szCs w:val="21"/>
        </w:rPr>
        <w:t>表</w:t>
      </w:r>
      <w:r w:rsidRPr="008A2411">
        <w:rPr>
          <w:rFonts w:ascii="Times New Roman" w:eastAsia="黑体" w:hAnsi="Times New Roman" w:cs="Times New Roman"/>
          <w:b w:val="0"/>
          <w:color w:val="000000" w:themeColor="text1"/>
          <w:sz w:val="24"/>
          <w:szCs w:val="21"/>
        </w:rPr>
        <w:t xml:space="preserve">2.6-13  </w:t>
      </w:r>
      <w:r w:rsidRPr="008A2411">
        <w:rPr>
          <w:rFonts w:ascii="Times New Roman" w:eastAsia="黑体" w:hAnsi="Times New Roman" w:cs="Times New Roman"/>
          <w:b w:val="0"/>
          <w:color w:val="000000" w:themeColor="text1"/>
          <w:sz w:val="24"/>
          <w:szCs w:val="21"/>
        </w:rPr>
        <w:t>大气污染</w:t>
      </w:r>
      <w:proofErr w:type="gramStart"/>
      <w:r w:rsidRPr="008A2411">
        <w:rPr>
          <w:rFonts w:ascii="Times New Roman" w:eastAsia="黑体" w:hAnsi="Times New Roman" w:cs="Times New Roman"/>
          <w:b w:val="0"/>
          <w:color w:val="000000" w:themeColor="text1"/>
          <w:sz w:val="24"/>
          <w:szCs w:val="21"/>
        </w:rPr>
        <w:t>物综合</w:t>
      </w:r>
      <w:proofErr w:type="gramEnd"/>
      <w:r w:rsidRPr="008A2411">
        <w:rPr>
          <w:rFonts w:ascii="Times New Roman" w:eastAsia="黑体" w:hAnsi="Times New Roman" w:cs="Times New Roman"/>
          <w:b w:val="0"/>
          <w:color w:val="000000" w:themeColor="text1"/>
          <w:sz w:val="24"/>
          <w:szCs w:val="21"/>
        </w:rPr>
        <w:t>排放标准</w:t>
      </w:r>
      <w:bookmarkEnd w:id="85"/>
      <w:bookmarkEnd w:id="86"/>
      <w:bookmarkEnd w:id="87"/>
      <w:bookmarkEnd w:id="88"/>
      <w:bookmarkEnd w:id="89"/>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74"/>
        <w:gridCol w:w="2355"/>
        <w:gridCol w:w="1635"/>
        <w:gridCol w:w="2458"/>
      </w:tblGrid>
      <w:tr w:rsidR="008A2411" w:rsidRPr="008A2411" w14:paraId="3DE2C470" w14:textId="77777777">
        <w:trPr>
          <w:cantSplit/>
          <w:trHeight w:val="340"/>
          <w:jc w:val="center"/>
        </w:trPr>
        <w:tc>
          <w:tcPr>
            <w:tcW w:w="1217" w:type="pct"/>
            <w:vAlign w:val="center"/>
          </w:tcPr>
          <w:p w14:paraId="41B1554E" w14:textId="77777777" w:rsidR="00B0005F" w:rsidRPr="008A2411" w:rsidRDefault="00000000">
            <w:pPr>
              <w:adjustRightInd w:val="0"/>
              <w:snapToGrid w:val="0"/>
              <w:spacing w:line="340" w:lineRule="exact"/>
              <w:jc w:val="center"/>
              <w:rPr>
                <w:rFonts w:ascii="Times New Roman"/>
                <w:color w:val="000000" w:themeColor="text1"/>
                <w:sz w:val="21"/>
                <w:szCs w:val="21"/>
              </w:rPr>
            </w:pPr>
            <w:r w:rsidRPr="008A2411">
              <w:rPr>
                <w:rFonts w:ascii="Times New Roman"/>
                <w:color w:val="000000" w:themeColor="text1"/>
                <w:sz w:val="21"/>
                <w:szCs w:val="21"/>
              </w:rPr>
              <w:t>排放源</w:t>
            </w:r>
          </w:p>
        </w:tc>
        <w:tc>
          <w:tcPr>
            <w:tcW w:w="1381" w:type="pct"/>
            <w:vAlign w:val="center"/>
          </w:tcPr>
          <w:p w14:paraId="4B227A4F" w14:textId="77777777" w:rsidR="00B0005F" w:rsidRPr="008A2411" w:rsidRDefault="00000000">
            <w:pPr>
              <w:adjustRightInd w:val="0"/>
              <w:snapToGrid w:val="0"/>
              <w:spacing w:line="340" w:lineRule="exact"/>
              <w:jc w:val="center"/>
              <w:rPr>
                <w:rFonts w:ascii="Times New Roman"/>
                <w:color w:val="000000" w:themeColor="text1"/>
                <w:sz w:val="21"/>
                <w:szCs w:val="21"/>
              </w:rPr>
            </w:pPr>
            <w:r w:rsidRPr="008A2411">
              <w:rPr>
                <w:rFonts w:ascii="Times New Roman"/>
                <w:color w:val="000000" w:themeColor="text1"/>
                <w:sz w:val="21"/>
                <w:szCs w:val="21"/>
              </w:rPr>
              <w:t>污染物</w:t>
            </w:r>
          </w:p>
        </w:tc>
        <w:tc>
          <w:tcPr>
            <w:tcW w:w="959" w:type="pct"/>
            <w:vAlign w:val="center"/>
          </w:tcPr>
          <w:p w14:paraId="04BB14E6" w14:textId="77777777" w:rsidR="00B0005F" w:rsidRPr="008A2411" w:rsidRDefault="00000000">
            <w:pPr>
              <w:widowControl/>
              <w:adjustRightInd w:val="0"/>
              <w:snapToGrid w:val="0"/>
              <w:jc w:val="left"/>
              <w:rPr>
                <w:rFonts w:ascii="Times New Roman"/>
                <w:color w:val="000000" w:themeColor="text1"/>
                <w:sz w:val="21"/>
                <w:szCs w:val="21"/>
              </w:rPr>
            </w:pPr>
            <w:r w:rsidRPr="008A2411">
              <w:rPr>
                <w:rFonts w:ascii="Times New Roman"/>
                <w:color w:val="000000" w:themeColor="text1"/>
                <w:sz w:val="21"/>
                <w:szCs w:val="21"/>
              </w:rPr>
              <w:t>最高允许排放浓（</w:t>
            </w:r>
            <w:r w:rsidRPr="008A2411">
              <w:rPr>
                <w:rFonts w:ascii="Times New Roman"/>
                <w:color w:val="000000" w:themeColor="text1"/>
                <w:sz w:val="21"/>
                <w:szCs w:val="21"/>
              </w:rPr>
              <w:t>mg/m</w:t>
            </w:r>
            <w:r w:rsidRPr="008A2411">
              <w:rPr>
                <w:rFonts w:ascii="Times New Roman"/>
                <w:color w:val="000000" w:themeColor="text1"/>
                <w:sz w:val="21"/>
                <w:szCs w:val="21"/>
                <w:vertAlign w:val="superscript"/>
              </w:rPr>
              <w:t>3</w:t>
            </w:r>
            <w:r w:rsidRPr="008A2411">
              <w:rPr>
                <w:rFonts w:ascii="Times New Roman"/>
                <w:color w:val="000000" w:themeColor="text1"/>
                <w:sz w:val="21"/>
                <w:szCs w:val="21"/>
              </w:rPr>
              <w:t>）</w:t>
            </w:r>
          </w:p>
        </w:tc>
        <w:tc>
          <w:tcPr>
            <w:tcW w:w="1441" w:type="pct"/>
            <w:vAlign w:val="center"/>
          </w:tcPr>
          <w:p w14:paraId="181D7A1F" w14:textId="77777777" w:rsidR="00B0005F" w:rsidRPr="008A2411" w:rsidRDefault="00000000">
            <w:pPr>
              <w:widowControl/>
              <w:adjustRightInd w:val="0"/>
              <w:snapToGrid w:val="0"/>
              <w:jc w:val="left"/>
              <w:rPr>
                <w:rFonts w:ascii="Times New Roman"/>
                <w:b/>
                <w:bCs/>
                <w:color w:val="000000" w:themeColor="text1"/>
                <w:sz w:val="21"/>
                <w:szCs w:val="21"/>
              </w:rPr>
            </w:pPr>
            <w:r w:rsidRPr="008A2411">
              <w:rPr>
                <w:rFonts w:ascii="Times New Roman"/>
                <w:color w:val="000000" w:themeColor="text1"/>
                <w:sz w:val="21"/>
                <w:szCs w:val="21"/>
              </w:rPr>
              <w:t>与排气筒高度对应的最高允许排放速率（</w:t>
            </w:r>
            <w:r w:rsidRPr="008A2411">
              <w:rPr>
                <w:rFonts w:ascii="Times New Roman"/>
                <w:color w:val="000000" w:themeColor="text1"/>
                <w:sz w:val="21"/>
                <w:szCs w:val="21"/>
              </w:rPr>
              <w:t>kg/h</w:t>
            </w:r>
            <w:r w:rsidRPr="008A2411">
              <w:rPr>
                <w:rFonts w:ascii="Times New Roman"/>
                <w:color w:val="000000" w:themeColor="text1"/>
                <w:sz w:val="21"/>
                <w:szCs w:val="21"/>
              </w:rPr>
              <w:t>）</w:t>
            </w:r>
          </w:p>
        </w:tc>
      </w:tr>
      <w:tr w:rsidR="008A2411" w:rsidRPr="008A2411" w14:paraId="281076E3" w14:textId="77777777">
        <w:trPr>
          <w:cantSplit/>
          <w:trHeight w:val="340"/>
          <w:jc w:val="center"/>
        </w:trPr>
        <w:tc>
          <w:tcPr>
            <w:tcW w:w="1217" w:type="pct"/>
            <w:vMerge w:val="restart"/>
            <w:vAlign w:val="center"/>
          </w:tcPr>
          <w:p w14:paraId="3F96D9F9" w14:textId="77777777" w:rsidR="00B0005F" w:rsidRPr="008A2411" w:rsidRDefault="00000000">
            <w:pPr>
              <w:adjustRightInd w:val="0"/>
              <w:snapToGrid w:val="0"/>
              <w:spacing w:line="340" w:lineRule="exact"/>
              <w:jc w:val="center"/>
              <w:rPr>
                <w:rFonts w:ascii="Times New Roman"/>
                <w:color w:val="000000" w:themeColor="text1"/>
                <w:sz w:val="21"/>
                <w:szCs w:val="21"/>
              </w:rPr>
            </w:pPr>
            <w:r w:rsidRPr="008A2411">
              <w:rPr>
                <w:rFonts w:ascii="Times New Roman"/>
                <w:color w:val="000000" w:themeColor="text1"/>
                <w:sz w:val="21"/>
                <w:szCs w:val="21"/>
              </w:rPr>
              <w:t>火炬长明火烟气（</w:t>
            </w:r>
            <w:r w:rsidRPr="008A2411">
              <w:rPr>
                <w:rFonts w:ascii="Times New Roman"/>
                <w:color w:val="000000" w:themeColor="text1"/>
                <w:sz w:val="21"/>
                <w:szCs w:val="21"/>
              </w:rPr>
              <w:t>30m</w:t>
            </w:r>
            <w:r w:rsidRPr="008A2411">
              <w:rPr>
                <w:rFonts w:ascii="Times New Roman"/>
                <w:color w:val="000000" w:themeColor="text1"/>
                <w:sz w:val="21"/>
                <w:szCs w:val="21"/>
              </w:rPr>
              <w:t>高排气筒）</w:t>
            </w:r>
          </w:p>
        </w:tc>
        <w:tc>
          <w:tcPr>
            <w:tcW w:w="1381" w:type="pct"/>
            <w:vAlign w:val="center"/>
          </w:tcPr>
          <w:p w14:paraId="193504C5" w14:textId="77777777" w:rsidR="00B0005F" w:rsidRPr="008A2411" w:rsidRDefault="00000000">
            <w:pPr>
              <w:adjustRightInd w:val="0"/>
              <w:snapToGrid w:val="0"/>
              <w:spacing w:line="340" w:lineRule="exact"/>
              <w:jc w:val="center"/>
              <w:rPr>
                <w:rFonts w:ascii="Times New Roman"/>
                <w:color w:val="000000" w:themeColor="text1"/>
                <w:sz w:val="21"/>
                <w:szCs w:val="21"/>
              </w:rPr>
            </w:pPr>
            <w:r w:rsidRPr="008A2411">
              <w:rPr>
                <w:rFonts w:ascii="Times New Roman"/>
                <w:color w:val="000000" w:themeColor="text1"/>
                <w:sz w:val="21"/>
                <w:szCs w:val="21"/>
              </w:rPr>
              <w:t>颗粒物</w:t>
            </w:r>
          </w:p>
        </w:tc>
        <w:tc>
          <w:tcPr>
            <w:tcW w:w="959" w:type="pct"/>
            <w:vAlign w:val="center"/>
          </w:tcPr>
          <w:p w14:paraId="2204AED8" w14:textId="77777777" w:rsidR="00B0005F" w:rsidRPr="008A2411" w:rsidRDefault="00000000">
            <w:pPr>
              <w:adjustRightInd w:val="0"/>
              <w:snapToGrid w:val="0"/>
              <w:spacing w:line="340" w:lineRule="exact"/>
              <w:jc w:val="center"/>
              <w:rPr>
                <w:rFonts w:ascii="Times New Roman"/>
                <w:color w:val="000000" w:themeColor="text1"/>
                <w:sz w:val="21"/>
                <w:szCs w:val="21"/>
              </w:rPr>
            </w:pPr>
            <w:r w:rsidRPr="008A2411">
              <w:rPr>
                <w:rFonts w:ascii="Times New Roman"/>
                <w:color w:val="000000" w:themeColor="text1"/>
                <w:sz w:val="21"/>
                <w:szCs w:val="21"/>
              </w:rPr>
              <w:t>120</w:t>
            </w:r>
          </w:p>
        </w:tc>
        <w:tc>
          <w:tcPr>
            <w:tcW w:w="1441" w:type="pct"/>
            <w:vAlign w:val="center"/>
          </w:tcPr>
          <w:p w14:paraId="28B44D91" w14:textId="77777777" w:rsidR="00B0005F" w:rsidRPr="008A2411" w:rsidRDefault="00000000">
            <w:pPr>
              <w:adjustRightInd w:val="0"/>
              <w:snapToGrid w:val="0"/>
              <w:spacing w:line="340" w:lineRule="exact"/>
              <w:jc w:val="center"/>
              <w:rPr>
                <w:rFonts w:ascii="Times New Roman"/>
                <w:color w:val="000000" w:themeColor="text1"/>
                <w:sz w:val="21"/>
                <w:szCs w:val="21"/>
              </w:rPr>
            </w:pPr>
            <w:r w:rsidRPr="008A2411">
              <w:rPr>
                <w:rFonts w:ascii="Times New Roman"/>
                <w:color w:val="000000" w:themeColor="text1"/>
                <w:sz w:val="21"/>
                <w:szCs w:val="21"/>
              </w:rPr>
              <w:t>23</w:t>
            </w:r>
          </w:p>
        </w:tc>
      </w:tr>
      <w:tr w:rsidR="008A2411" w:rsidRPr="008A2411" w14:paraId="67B0FA89" w14:textId="77777777">
        <w:trPr>
          <w:cantSplit/>
          <w:trHeight w:val="340"/>
          <w:jc w:val="center"/>
        </w:trPr>
        <w:tc>
          <w:tcPr>
            <w:tcW w:w="1217" w:type="pct"/>
            <w:vMerge/>
            <w:vAlign w:val="center"/>
          </w:tcPr>
          <w:p w14:paraId="1AADB9AF" w14:textId="77777777" w:rsidR="00B0005F" w:rsidRPr="008A2411" w:rsidRDefault="00B0005F">
            <w:pPr>
              <w:adjustRightInd w:val="0"/>
              <w:snapToGrid w:val="0"/>
              <w:spacing w:line="340" w:lineRule="exact"/>
              <w:jc w:val="center"/>
              <w:rPr>
                <w:rFonts w:ascii="Times New Roman"/>
                <w:color w:val="000000" w:themeColor="text1"/>
                <w:sz w:val="21"/>
                <w:szCs w:val="21"/>
              </w:rPr>
            </w:pPr>
          </w:p>
        </w:tc>
        <w:tc>
          <w:tcPr>
            <w:tcW w:w="1381" w:type="pct"/>
            <w:vAlign w:val="center"/>
          </w:tcPr>
          <w:p w14:paraId="15B93289" w14:textId="77777777" w:rsidR="00B0005F" w:rsidRPr="008A2411" w:rsidRDefault="00000000">
            <w:pPr>
              <w:adjustRightInd w:val="0"/>
              <w:snapToGrid w:val="0"/>
              <w:spacing w:line="340" w:lineRule="exact"/>
              <w:jc w:val="center"/>
              <w:rPr>
                <w:rFonts w:ascii="Times New Roman"/>
                <w:color w:val="000000" w:themeColor="text1"/>
                <w:sz w:val="21"/>
                <w:szCs w:val="21"/>
              </w:rPr>
            </w:pPr>
            <w:r w:rsidRPr="008A2411">
              <w:rPr>
                <w:rFonts w:ascii="Times New Roman"/>
                <w:color w:val="000000" w:themeColor="text1"/>
                <w:sz w:val="21"/>
                <w:szCs w:val="21"/>
              </w:rPr>
              <w:t>SO</w:t>
            </w:r>
            <w:r w:rsidRPr="008A2411">
              <w:rPr>
                <w:rFonts w:ascii="Times New Roman"/>
                <w:color w:val="000000" w:themeColor="text1"/>
                <w:sz w:val="21"/>
                <w:szCs w:val="21"/>
                <w:vertAlign w:val="subscript"/>
              </w:rPr>
              <w:t>2</w:t>
            </w:r>
          </w:p>
        </w:tc>
        <w:tc>
          <w:tcPr>
            <w:tcW w:w="959" w:type="pct"/>
            <w:vAlign w:val="center"/>
          </w:tcPr>
          <w:p w14:paraId="7CD481F0" w14:textId="77777777" w:rsidR="00B0005F" w:rsidRPr="008A2411" w:rsidRDefault="00000000">
            <w:pPr>
              <w:adjustRightInd w:val="0"/>
              <w:snapToGrid w:val="0"/>
              <w:spacing w:line="340" w:lineRule="exact"/>
              <w:jc w:val="center"/>
              <w:rPr>
                <w:rFonts w:ascii="Times New Roman"/>
                <w:color w:val="000000" w:themeColor="text1"/>
                <w:sz w:val="21"/>
                <w:szCs w:val="21"/>
              </w:rPr>
            </w:pPr>
            <w:r w:rsidRPr="008A2411">
              <w:rPr>
                <w:rFonts w:ascii="Times New Roman"/>
                <w:color w:val="000000" w:themeColor="text1"/>
                <w:sz w:val="21"/>
                <w:szCs w:val="21"/>
              </w:rPr>
              <w:t>550</w:t>
            </w:r>
          </w:p>
        </w:tc>
        <w:tc>
          <w:tcPr>
            <w:tcW w:w="1441" w:type="pct"/>
            <w:vAlign w:val="center"/>
          </w:tcPr>
          <w:p w14:paraId="7F89E206" w14:textId="77777777" w:rsidR="00B0005F" w:rsidRPr="008A2411" w:rsidRDefault="00000000">
            <w:pPr>
              <w:adjustRightInd w:val="0"/>
              <w:snapToGrid w:val="0"/>
              <w:spacing w:line="340" w:lineRule="exact"/>
              <w:jc w:val="center"/>
              <w:rPr>
                <w:rFonts w:ascii="Times New Roman"/>
                <w:color w:val="000000" w:themeColor="text1"/>
                <w:sz w:val="21"/>
                <w:szCs w:val="21"/>
              </w:rPr>
            </w:pPr>
            <w:r w:rsidRPr="008A2411">
              <w:rPr>
                <w:rFonts w:ascii="Times New Roman"/>
                <w:color w:val="000000" w:themeColor="text1"/>
                <w:sz w:val="21"/>
                <w:szCs w:val="21"/>
              </w:rPr>
              <w:t>15</w:t>
            </w:r>
          </w:p>
        </w:tc>
      </w:tr>
      <w:tr w:rsidR="00B0005F" w:rsidRPr="008A2411" w14:paraId="7495BC8B" w14:textId="77777777">
        <w:trPr>
          <w:cantSplit/>
          <w:trHeight w:val="340"/>
          <w:jc w:val="center"/>
        </w:trPr>
        <w:tc>
          <w:tcPr>
            <w:tcW w:w="1217" w:type="pct"/>
            <w:vMerge/>
            <w:vAlign w:val="center"/>
          </w:tcPr>
          <w:p w14:paraId="0B884B70" w14:textId="77777777" w:rsidR="00B0005F" w:rsidRPr="008A2411" w:rsidRDefault="00B0005F">
            <w:pPr>
              <w:adjustRightInd w:val="0"/>
              <w:snapToGrid w:val="0"/>
              <w:spacing w:line="340" w:lineRule="exact"/>
              <w:jc w:val="center"/>
              <w:rPr>
                <w:rFonts w:ascii="Times New Roman"/>
                <w:color w:val="000000" w:themeColor="text1"/>
                <w:sz w:val="21"/>
                <w:szCs w:val="21"/>
              </w:rPr>
            </w:pPr>
          </w:p>
        </w:tc>
        <w:tc>
          <w:tcPr>
            <w:tcW w:w="1381" w:type="pct"/>
            <w:vAlign w:val="center"/>
          </w:tcPr>
          <w:p w14:paraId="06C2D039" w14:textId="77777777" w:rsidR="00B0005F" w:rsidRPr="008A2411" w:rsidRDefault="00000000">
            <w:pPr>
              <w:adjustRightInd w:val="0"/>
              <w:snapToGrid w:val="0"/>
              <w:spacing w:line="340" w:lineRule="exact"/>
              <w:jc w:val="center"/>
              <w:rPr>
                <w:rFonts w:ascii="Times New Roman"/>
                <w:color w:val="000000" w:themeColor="text1"/>
                <w:sz w:val="21"/>
                <w:szCs w:val="21"/>
              </w:rPr>
            </w:pPr>
            <w:r w:rsidRPr="008A2411">
              <w:rPr>
                <w:rFonts w:ascii="Times New Roman"/>
                <w:color w:val="000000" w:themeColor="text1"/>
                <w:sz w:val="21"/>
                <w:szCs w:val="21"/>
              </w:rPr>
              <w:t>NOx</w:t>
            </w:r>
          </w:p>
        </w:tc>
        <w:tc>
          <w:tcPr>
            <w:tcW w:w="959" w:type="pct"/>
            <w:vAlign w:val="center"/>
          </w:tcPr>
          <w:p w14:paraId="7ABAC796" w14:textId="77777777" w:rsidR="00B0005F" w:rsidRPr="008A2411" w:rsidRDefault="00000000">
            <w:pPr>
              <w:adjustRightInd w:val="0"/>
              <w:snapToGrid w:val="0"/>
              <w:spacing w:line="340" w:lineRule="exact"/>
              <w:jc w:val="center"/>
              <w:rPr>
                <w:rFonts w:ascii="Times New Roman"/>
                <w:color w:val="000000" w:themeColor="text1"/>
                <w:sz w:val="21"/>
                <w:szCs w:val="21"/>
              </w:rPr>
            </w:pPr>
            <w:r w:rsidRPr="008A2411">
              <w:rPr>
                <w:rFonts w:ascii="Times New Roman"/>
                <w:color w:val="000000" w:themeColor="text1"/>
                <w:sz w:val="21"/>
                <w:szCs w:val="21"/>
              </w:rPr>
              <w:t>240</w:t>
            </w:r>
          </w:p>
        </w:tc>
        <w:tc>
          <w:tcPr>
            <w:tcW w:w="1441" w:type="pct"/>
            <w:vAlign w:val="center"/>
          </w:tcPr>
          <w:p w14:paraId="6A87BE20" w14:textId="77777777" w:rsidR="00B0005F" w:rsidRPr="008A2411" w:rsidRDefault="00000000">
            <w:pPr>
              <w:adjustRightInd w:val="0"/>
              <w:snapToGrid w:val="0"/>
              <w:spacing w:line="340" w:lineRule="exact"/>
              <w:jc w:val="center"/>
              <w:rPr>
                <w:rFonts w:ascii="Times New Roman"/>
                <w:color w:val="000000" w:themeColor="text1"/>
                <w:sz w:val="21"/>
                <w:szCs w:val="21"/>
              </w:rPr>
            </w:pPr>
            <w:r w:rsidRPr="008A2411">
              <w:rPr>
                <w:rFonts w:ascii="Times New Roman"/>
                <w:color w:val="000000" w:themeColor="text1"/>
                <w:sz w:val="21"/>
                <w:szCs w:val="21"/>
              </w:rPr>
              <w:t>4.4</w:t>
            </w:r>
          </w:p>
        </w:tc>
      </w:tr>
    </w:tbl>
    <w:p w14:paraId="2F6F286B" w14:textId="77777777" w:rsidR="00B0005F" w:rsidRPr="008A2411" w:rsidRDefault="00B0005F">
      <w:pPr>
        <w:adjustRightInd w:val="0"/>
        <w:spacing w:line="360" w:lineRule="auto"/>
        <w:ind w:firstLineChars="200" w:firstLine="482"/>
        <w:rPr>
          <w:rFonts w:ascii="Times New Roman"/>
          <w:b/>
          <w:bCs/>
          <w:color w:val="000000" w:themeColor="text1"/>
        </w:rPr>
      </w:pPr>
    </w:p>
    <w:p w14:paraId="566E5787" w14:textId="77777777" w:rsidR="00B0005F" w:rsidRPr="008A2411" w:rsidRDefault="00000000">
      <w:pPr>
        <w:adjustRightInd w:val="0"/>
        <w:spacing w:line="360" w:lineRule="auto"/>
        <w:ind w:firstLineChars="200" w:firstLine="482"/>
        <w:rPr>
          <w:rFonts w:ascii="Times New Roman"/>
          <w:color w:val="000000" w:themeColor="text1"/>
          <w:lang w:val="zh-CN"/>
        </w:rPr>
      </w:pPr>
      <w:r w:rsidRPr="008A2411">
        <w:rPr>
          <w:rFonts w:ascii="Times New Roman"/>
          <w:b/>
          <w:bCs/>
          <w:color w:val="000000" w:themeColor="text1"/>
        </w:rPr>
        <w:t>（</w:t>
      </w:r>
      <w:r w:rsidRPr="008A2411">
        <w:rPr>
          <w:rFonts w:ascii="Times New Roman"/>
          <w:b/>
          <w:bCs/>
          <w:color w:val="000000" w:themeColor="text1"/>
        </w:rPr>
        <w:t>2</w:t>
      </w:r>
      <w:r w:rsidRPr="008A2411">
        <w:rPr>
          <w:rFonts w:ascii="Times New Roman"/>
          <w:b/>
          <w:bCs/>
          <w:color w:val="000000" w:themeColor="text1"/>
        </w:rPr>
        <w:t>）</w:t>
      </w:r>
      <w:r w:rsidRPr="008A2411">
        <w:rPr>
          <w:rFonts w:ascii="Times New Roman"/>
          <w:b/>
          <w:bCs/>
          <w:color w:val="000000" w:themeColor="text1"/>
          <w:lang w:val="zh-CN"/>
        </w:rPr>
        <w:t>水污染物</w:t>
      </w:r>
    </w:p>
    <w:p w14:paraId="6220BAE5" w14:textId="77777777" w:rsidR="00B0005F" w:rsidRPr="008A2411" w:rsidRDefault="00000000">
      <w:pPr>
        <w:autoSpaceDE w:val="0"/>
        <w:autoSpaceDN w:val="0"/>
        <w:adjustRightInd w:val="0"/>
        <w:snapToGrid w:val="0"/>
        <w:spacing w:line="360" w:lineRule="auto"/>
        <w:ind w:firstLine="482"/>
        <w:rPr>
          <w:rFonts w:ascii="Times New Roman"/>
          <w:color w:val="000000" w:themeColor="text1"/>
          <w:kern w:val="2"/>
          <w:szCs w:val="24"/>
          <w:lang w:bidi="en-US"/>
        </w:rPr>
      </w:pPr>
      <w:r w:rsidRPr="008A2411">
        <w:rPr>
          <w:rFonts w:ascii="Times New Roman"/>
          <w:color w:val="000000" w:themeColor="text1"/>
        </w:rPr>
        <w:t>本项目各类生产及生活污水均排入园区污水处理站进行预处理，根据园区要求，废水需</w:t>
      </w:r>
      <w:r w:rsidRPr="008A2411">
        <w:rPr>
          <w:rFonts w:ascii="Times New Roman"/>
          <w:color w:val="000000" w:themeColor="text1"/>
          <w:kern w:val="2"/>
          <w:szCs w:val="24"/>
          <w:lang w:bidi="en-US"/>
        </w:rPr>
        <w:t>处理达到</w:t>
      </w:r>
      <w:r w:rsidRPr="008A2411">
        <w:rPr>
          <w:rFonts w:ascii="Times New Roman"/>
          <w:color w:val="000000" w:themeColor="text1"/>
          <w:szCs w:val="24"/>
        </w:rPr>
        <w:t>《污水综合排放标准》（</w:t>
      </w:r>
      <w:r w:rsidRPr="008A2411">
        <w:rPr>
          <w:rFonts w:ascii="Times New Roman"/>
          <w:color w:val="000000" w:themeColor="text1"/>
          <w:szCs w:val="24"/>
        </w:rPr>
        <w:t>GB8978-1996</w:t>
      </w:r>
      <w:r w:rsidRPr="008A2411">
        <w:rPr>
          <w:rFonts w:ascii="Times New Roman"/>
          <w:color w:val="000000" w:themeColor="text1"/>
          <w:szCs w:val="24"/>
        </w:rPr>
        <w:t>）三级标准后排入园区管网，最终由园区污水处理厂处理达标后排放</w:t>
      </w:r>
      <w:r w:rsidRPr="008A2411">
        <w:rPr>
          <w:rFonts w:ascii="Times New Roman"/>
          <w:color w:val="000000" w:themeColor="text1"/>
          <w:kern w:val="2"/>
          <w:szCs w:val="24"/>
          <w:lang w:bidi="en-US"/>
        </w:rPr>
        <w:t>。根据园区排水管网图，园区污水管网位于厂区南侧工业大道处，本项目通过厂区污水管网，接入厂区南侧工业大道旁的园区污水管网系统，最终通过园区污水管网往东，排入园区污水处理厂，项目排水路线图见附图</w:t>
      </w:r>
    </w:p>
    <w:p w14:paraId="79654D3E" w14:textId="77777777" w:rsidR="00B0005F" w:rsidRPr="008A2411" w:rsidRDefault="00000000">
      <w:pPr>
        <w:autoSpaceDE w:val="0"/>
        <w:autoSpaceDN w:val="0"/>
        <w:adjustRightInd w:val="0"/>
        <w:snapToGrid w:val="0"/>
        <w:spacing w:line="360" w:lineRule="auto"/>
        <w:ind w:firstLine="482"/>
        <w:rPr>
          <w:rFonts w:ascii="Times New Roman"/>
          <w:color w:val="000000" w:themeColor="text1"/>
        </w:rPr>
      </w:pPr>
      <w:r w:rsidRPr="008A2411">
        <w:rPr>
          <w:rFonts w:ascii="Times New Roman"/>
          <w:color w:val="000000" w:themeColor="text1"/>
          <w:kern w:val="2"/>
          <w:szCs w:val="24"/>
          <w:lang w:bidi="en-US"/>
        </w:rPr>
        <w:t>因此，本项目废水执行</w:t>
      </w:r>
      <w:r w:rsidRPr="008A2411">
        <w:rPr>
          <w:rFonts w:ascii="Times New Roman"/>
          <w:color w:val="000000" w:themeColor="text1"/>
          <w:szCs w:val="24"/>
        </w:rPr>
        <w:t>《污水综合排放标准》（</w:t>
      </w:r>
      <w:r w:rsidRPr="008A2411">
        <w:rPr>
          <w:rFonts w:ascii="Times New Roman"/>
          <w:color w:val="000000" w:themeColor="text1"/>
          <w:szCs w:val="24"/>
        </w:rPr>
        <w:t>GB8978-1996</w:t>
      </w:r>
      <w:r w:rsidRPr="008A2411">
        <w:rPr>
          <w:rFonts w:ascii="Times New Roman"/>
          <w:color w:val="000000" w:themeColor="text1"/>
          <w:szCs w:val="24"/>
        </w:rPr>
        <w:t>）三级标准，</w:t>
      </w:r>
      <w:r w:rsidRPr="008A2411">
        <w:rPr>
          <w:rFonts w:ascii="Times New Roman"/>
          <w:color w:val="000000" w:themeColor="text1"/>
        </w:rPr>
        <w:t>其主要污染因子限值见表</w:t>
      </w:r>
      <w:r w:rsidRPr="008A2411">
        <w:rPr>
          <w:rFonts w:ascii="Times New Roman"/>
          <w:color w:val="000000" w:themeColor="text1"/>
        </w:rPr>
        <w:t>2.6-14</w:t>
      </w:r>
      <w:r w:rsidRPr="008A2411">
        <w:rPr>
          <w:rFonts w:ascii="Times New Roman"/>
          <w:color w:val="000000" w:themeColor="text1"/>
        </w:rPr>
        <w:t>。</w:t>
      </w:r>
    </w:p>
    <w:p w14:paraId="3E5148D2" w14:textId="77777777" w:rsidR="00B0005F" w:rsidRPr="008A2411" w:rsidRDefault="00000000">
      <w:pPr>
        <w:pStyle w:val="WJ0"/>
        <w:spacing w:line="360" w:lineRule="auto"/>
        <w:rPr>
          <w:rFonts w:ascii="Times New Roman" w:hAnsi="Times New Roman"/>
          <w:color w:val="000000" w:themeColor="text1"/>
        </w:rPr>
      </w:pPr>
      <w:r w:rsidRPr="008A2411">
        <w:rPr>
          <w:rFonts w:ascii="Times New Roman" w:hAnsi="Times New Roman"/>
          <w:color w:val="000000" w:themeColor="text1"/>
        </w:rPr>
        <w:t>表</w:t>
      </w:r>
      <w:r w:rsidRPr="008A2411">
        <w:rPr>
          <w:rFonts w:ascii="Times New Roman" w:hAnsi="Times New Roman"/>
          <w:color w:val="000000" w:themeColor="text1"/>
        </w:rPr>
        <w:t xml:space="preserve">2.6-14  </w:t>
      </w:r>
      <w:r w:rsidRPr="008A2411">
        <w:rPr>
          <w:rFonts w:ascii="Times New Roman" w:hAnsi="Times New Roman"/>
          <w:color w:val="000000" w:themeColor="text1"/>
        </w:rPr>
        <w:t>废水污染物排放标准（单位：</w:t>
      </w:r>
      <w:r w:rsidRPr="008A2411">
        <w:rPr>
          <w:rFonts w:ascii="Times New Roman" w:hAnsi="Times New Roman"/>
          <w:color w:val="000000" w:themeColor="text1"/>
        </w:rPr>
        <w:t>mg/L</w:t>
      </w:r>
      <w:r w:rsidRPr="008A2411">
        <w:rPr>
          <w:rFonts w:ascii="Times New Roman" w:hAnsi="Times New Roman"/>
          <w:color w:val="000000" w:themeColor="text1"/>
        </w:rPr>
        <w:t>）</w:t>
      </w:r>
    </w:p>
    <w:tbl>
      <w:tblPr>
        <w:tblW w:w="85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26"/>
        <w:gridCol w:w="1400"/>
        <w:gridCol w:w="1400"/>
        <w:gridCol w:w="1401"/>
        <w:gridCol w:w="1400"/>
        <w:gridCol w:w="1401"/>
      </w:tblGrid>
      <w:tr w:rsidR="008A2411" w:rsidRPr="008A2411" w14:paraId="1CBFD097" w14:textId="77777777">
        <w:trPr>
          <w:trHeight w:val="340"/>
          <w:jc w:val="center"/>
        </w:trPr>
        <w:tc>
          <w:tcPr>
            <w:tcW w:w="1526" w:type="dxa"/>
            <w:vAlign w:val="center"/>
          </w:tcPr>
          <w:p w14:paraId="4F637F86" w14:textId="77777777" w:rsidR="00B0005F" w:rsidRPr="008A2411" w:rsidRDefault="00000000">
            <w:pPr>
              <w:pStyle w:val="WJ4"/>
              <w:rPr>
                <w:rFonts w:ascii="Times New Roman" w:hAnsi="Times New Roman"/>
                <w:b w:val="0"/>
                <w:bCs w:val="0"/>
                <w:color w:val="000000" w:themeColor="text1"/>
              </w:rPr>
            </w:pPr>
            <w:r w:rsidRPr="008A2411">
              <w:rPr>
                <w:rFonts w:ascii="Times New Roman" w:hAnsi="Times New Roman"/>
                <w:b w:val="0"/>
                <w:bCs w:val="0"/>
                <w:color w:val="000000" w:themeColor="text1"/>
              </w:rPr>
              <w:t>污染物</w:t>
            </w:r>
          </w:p>
        </w:tc>
        <w:tc>
          <w:tcPr>
            <w:tcW w:w="1400" w:type="dxa"/>
            <w:vAlign w:val="center"/>
          </w:tcPr>
          <w:p w14:paraId="37200C59" w14:textId="77777777" w:rsidR="00B0005F" w:rsidRPr="008A2411" w:rsidRDefault="00000000">
            <w:pPr>
              <w:pStyle w:val="WJ4"/>
              <w:rPr>
                <w:rFonts w:ascii="Times New Roman" w:hAnsi="Times New Roman"/>
                <w:b w:val="0"/>
                <w:bCs w:val="0"/>
                <w:color w:val="000000" w:themeColor="text1"/>
              </w:rPr>
            </w:pPr>
            <w:r w:rsidRPr="008A2411">
              <w:rPr>
                <w:rFonts w:ascii="Times New Roman" w:hAnsi="Times New Roman"/>
                <w:b w:val="0"/>
                <w:bCs w:val="0"/>
                <w:color w:val="000000" w:themeColor="text1"/>
              </w:rPr>
              <w:t>pH</w:t>
            </w:r>
          </w:p>
        </w:tc>
        <w:tc>
          <w:tcPr>
            <w:tcW w:w="1400" w:type="dxa"/>
            <w:vAlign w:val="center"/>
          </w:tcPr>
          <w:p w14:paraId="638695E9" w14:textId="77777777" w:rsidR="00B0005F" w:rsidRPr="008A2411" w:rsidRDefault="00000000">
            <w:pPr>
              <w:pStyle w:val="WJ4"/>
              <w:rPr>
                <w:rFonts w:ascii="Times New Roman" w:hAnsi="Times New Roman"/>
                <w:b w:val="0"/>
                <w:bCs w:val="0"/>
                <w:color w:val="000000" w:themeColor="text1"/>
              </w:rPr>
            </w:pPr>
            <w:proofErr w:type="spellStart"/>
            <w:r w:rsidRPr="008A2411">
              <w:rPr>
                <w:rFonts w:ascii="Times New Roman" w:hAnsi="Times New Roman"/>
                <w:b w:val="0"/>
                <w:bCs w:val="0"/>
                <w:color w:val="000000" w:themeColor="text1"/>
              </w:rPr>
              <w:t>COD</w:t>
            </w:r>
            <w:r w:rsidRPr="008A2411">
              <w:rPr>
                <w:rFonts w:ascii="Times New Roman" w:hAnsi="Times New Roman"/>
                <w:b w:val="0"/>
                <w:bCs w:val="0"/>
                <w:color w:val="000000" w:themeColor="text1"/>
                <w:vertAlign w:val="subscript"/>
              </w:rPr>
              <w:t>Cr</w:t>
            </w:r>
            <w:proofErr w:type="spellEnd"/>
          </w:p>
        </w:tc>
        <w:tc>
          <w:tcPr>
            <w:tcW w:w="1401" w:type="dxa"/>
            <w:vAlign w:val="center"/>
          </w:tcPr>
          <w:p w14:paraId="3D31F4D8" w14:textId="77777777" w:rsidR="00B0005F" w:rsidRPr="008A2411" w:rsidRDefault="00000000">
            <w:pPr>
              <w:pStyle w:val="WJ4"/>
              <w:rPr>
                <w:rFonts w:ascii="Times New Roman" w:hAnsi="Times New Roman"/>
                <w:b w:val="0"/>
                <w:bCs w:val="0"/>
                <w:color w:val="000000" w:themeColor="text1"/>
              </w:rPr>
            </w:pPr>
            <w:r w:rsidRPr="008A2411">
              <w:rPr>
                <w:rFonts w:ascii="Times New Roman" w:hAnsi="Times New Roman"/>
                <w:b w:val="0"/>
                <w:bCs w:val="0"/>
                <w:color w:val="000000" w:themeColor="text1"/>
              </w:rPr>
              <w:t>BOD</w:t>
            </w:r>
            <w:r w:rsidRPr="008A2411">
              <w:rPr>
                <w:rFonts w:ascii="Times New Roman" w:hAnsi="Times New Roman"/>
                <w:b w:val="0"/>
                <w:bCs w:val="0"/>
                <w:color w:val="000000" w:themeColor="text1"/>
                <w:vertAlign w:val="subscript"/>
              </w:rPr>
              <w:t>5</w:t>
            </w:r>
          </w:p>
        </w:tc>
        <w:tc>
          <w:tcPr>
            <w:tcW w:w="1400" w:type="dxa"/>
            <w:vAlign w:val="center"/>
          </w:tcPr>
          <w:p w14:paraId="408ADD35" w14:textId="77777777" w:rsidR="00B0005F" w:rsidRPr="008A2411" w:rsidRDefault="00000000">
            <w:pPr>
              <w:pStyle w:val="WJ4"/>
              <w:rPr>
                <w:rFonts w:ascii="Times New Roman" w:hAnsi="Times New Roman"/>
                <w:b w:val="0"/>
                <w:bCs w:val="0"/>
                <w:color w:val="000000" w:themeColor="text1"/>
              </w:rPr>
            </w:pPr>
            <w:r w:rsidRPr="008A2411">
              <w:rPr>
                <w:rFonts w:ascii="Times New Roman" w:hAnsi="Times New Roman"/>
                <w:b w:val="0"/>
                <w:bCs w:val="0"/>
                <w:color w:val="000000" w:themeColor="text1"/>
              </w:rPr>
              <w:t>SS</w:t>
            </w:r>
          </w:p>
        </w:tc>
        <w:tc>
          <w:tcPr>
            <w:tcW w:w="1401" w:type="dxa"/>
            <w:vAlign w:val="center"/>
          </w:tcPr>
          <w:p w14:paraId="2A5512D2" w14:textId="77777777" w:rsidR="00B0005F" w:rsidRPr="008A2411" w:rsidRDefault="00000000">
            <w:pPr>
              <w:pStyle w:val="WJ4"/>
              <w:rPr>
                <w:rFonts w:ascii="Times New Roman" w:hAnsi="Times New Roman"/>
                <w:b w:val="0"/>
                <w:bCs w:val="0"/>
                <w:color w:val="000000" w:themeColor="text1"/>
              </w:rPr>
            </w:pPr>
            <w:r w:rsidRPr="008A2411">
              <w:rPr>
                <w:rFonts w:ascii="Times New Roman" w:hAnsi="Times New Roman"/>
                <w:b w:val="0"/>
                <w:bCs w:val="0"/>
                <w:color w:val="000000" w:themeColor="text1"/>
              </w:rPr>
              <w:t>石油类</w:t>
            </w:r>
          </w:p>
        </w:tc>
      </w:tr>
      <w:tr w:rsidR="008A2411" w:rsidRPr="008A2411" w14:paraId="1CAD64F5" w14:textId="77777777">
        <w:trPr>
          <w:trHeight w:val="340"/>
          <w:jc w:val="center"/>
        </w:trPr>
        <w:tc>
          <w:tcPr>
            <w:tcW w:w="1526" w:type="dxa"/>
            <w:vAlign w:val="center"/>
          </w:tcPr>
          <w:p w14:paraId="05B20395" w14:textId="77777777" w:rsidR="00B0005F" w:rsidRPr="008A2411" w:rsidRDefault="00000000">
            <w:pPr>
              <w:pStyle w:val="WJ4"/>
              <w:rPr>
                <w:rFonts w:ascii="Times New Roman" w:hAnsi="Times New Roman"/>
                <w:b w:val="0"/>
                <w:bCs w:val="0"/>
                <w:color w:val="000000" w:themeColor="text1"/>
              </w:rPr>
            </w:pPr>
            <w:r w:rsidRPr="008A2411">
              <w:rPr>
                <w:rFonts w:ascii="Times New Roman" w:hAnsi="Times New Roman"/>
                <w:b w:val="0"/>
                <w:bCs w:val="0"/>
                <w:color w:val="000000" w:themeColor="text1"/>
              </w:rPr>
              <w:t>标准限值</w:t>
            </w:r>
          </w:p>
        </w:tc>
        <w:tc>
          <w:tcPr>
            <w:tcW w:w="1400" w:type="dxa"/>
            <w:vAlign w:val="center"/>
          </w:tcPr>
          <w:p w14:paraId="19400CA0" w14:textId="77777777" w:rsidR="00B0005F" w:rsidRPr="008A2411" w:rsidRDefault="00000000">
            <w:pPr>
              <w:pStyle w:val="WJ5"/>
              <w:rPr>
                <w:rFonts w:ascii="Times New Roman" w:hAnsi="Times New Roman"/>
                <w:bCs w:val="0"/>
                <w:color w:val="000000" w:themeColor="text1"/>
              </w:rPr>
            </w:pPr>
            <w:r w:rsidRPr="008A2411">
              <w:rPr>
                <w:rFonts w:ascii="Times New Roman" w:hAnsi="Times New Roman"/>
                <w:bCs w:val="0"/>
                <w:color w:val="000000" w:themeColor="text1"/>
              </w:rPr>
              <w:t>6</w:t>
            </w:r>
            <w:r w:rsidRPr="008A2411">
              <w:rPr>
                <w:rFonts w:ascii="Times New Roman" w:hAnsi="Times New Roman"/>
                <w:bCs w:val="0"/>
                <w:color w:val="000000" w:themeColor="text1"/>
              </w:rPr>
              <w:t>～</w:t>
            </w:r>
            <w:r w:rsidRPr="008A2411">
              <w:rPr>
                <w:rFonts w:ascii="Times New Roman" w:hAnsi="Times New Roman"/>
                <w:bCs w:val="0"/>
                <w:color w:val="000000" w:themeColor="text1"/>
              </w:rPr>
              <w:t>9</w:t>
            </w:r>
          </w:p>
        </w:tc>
        <w:tc>
          <w:tcPr>
            <w:tcW w:w="1400" w:type="dxa"/>
            <w:vAlign w:val="center"/>
          </w:tcPr>
          <w:p w14:paraId="49311105" w14:textId="77777777" w:rsidR="00B0005F" w:rsidRPr="008A2411" w:rsidRDefault="00000000">
            <w:pPr>
              <w:pStyle w:val="WJ5"/>
              <w:rPr>
                <w:rFonts w:ascii="Times New Roman" w:hAnsi="Times New Roman"/>
                <w:bCs w:val="0"/>
                <w:color w:val="000000" w:themeColor="text1"/>
              </w:rPr>
            </w:pPr>
            <w:r w:rsidRPr="008A2411">
              <w:rPr>
                <w:rFonts w:ascii="Times New Roman" w:hAnsi="Times New Roman"/>
                <w:bCs w:val="0"/>
                <w:color w:val="000000" w:themeColor="text1"/>
              </w:rPr>
              <w:t>500</w:t>
            </w:r>
          </w:p>
        </w:tc>
        <w:tc>
          <w:tcPr>
            <w:tcW w:w="1401" w:type="dxa"/>
            <w:vAlign w:val="center"/>
          </w:tcPr>
          <w:p w14:paraId="7A66BDD0" w14:textId="77777777" w:rsidR="00B0005F" w:rsidRPr="008A2411" w:rsidRDefault="00000000">
            <w:pPr>
              <w:pStyle w:val="WJ5"/>
              <w:rPr>
                <w:rFonts w:ascii="Times New Roman" w:hAnsi="Times New Roman"/>
                <w:bCs w:val="0"/>
                <w:color w:val="000000" w:themeColor="text1"/>
              </w:rPr>
            </w:pPr>
            <w:r w:rsidRPr="008A2411">
              <w:rPr>
                <w:rFonts w:ascii="Times New Roman" w:hAnsi="Times New Roman"/>
                <w:bCs w:val="0"/>
                <w:color w:val="000000" w:themeColor="text1"/>
              </w:rPr>
              <w:t>300</w:t>
            </w:r>
          </w:p>
        </w:tc>
        <w:tc>
          <w:tcPr>
            <w:tcW w:w="1400" w:type="dxa"/>
            <w:vAlign w:val="center"/>
          </w:tcPr>
          <w:p w14:paraId="528CBBF6" w14:textId="77777777" w:rsidR="00B0005F" w:rsidRPr="008A2411" w:rsidRDefault="00000000">
            <w:pPr>
              <w:pStyle w:val="WJ5"/>
              <w:rPr>
                <w:rFonts w:ascii="Times New Roman" w:hAnsi="Times New Roman"/>
                <w:bCs w:val="0"/>
                <w:color w:val="000000" w:themeColor="text1"/>
              </w:rPr>
            </w:pPr>
            <w:r w:rsidRPr="008A2411">
              <w:rPr>
                <w:rFonts w:ascii="Times New Roman" w:hAnsi="Times New Roman"/>
                <w:bCs w:val="0"/>
                <w:color w:val="000000" w:themeColor="text1"/>
              </w:rPr>
              <w:t>400</w:t>
            </w:r>
          </w:p>
        </w:tc>
        <w:tc>
          <w:tcPr>
            <w:tcW w:w="1401" w:type="dxa"/>
            <w:vAlign w:val="center"/>
          </w:tcPr>
          <w:p w14:paraId="7C13BFAE" w14:textId="77777777" w:rsidR="00B0005F" w:rsidRPr="008A2411" w:rsidRDefault="00000000">
            <w:pPr>
              <w:pStyle w:val="WJ5"/>
              <w:rPr>
                <w:rFonts w:ascii="Times New Roman" w:hAnsi="Times New Roman"/>
                <w:bCs w:val="0"/>
                <w:color w:val="000000" w:themeColor="text1"/>
              </w:rPr>
            </w:pPr>
            <w:r w:rsidRPr="008A2411">
              <w:rPr>
                <w:rFonts w:ascii="Times New Roman" w:hAnsi="Times New Roman"/>
                <w:bCs w:val="0"/>
                <w:color w:val="000000" w:themeColor="text1"/>
              </w:rPr>
              <w:t>20</w:t>
            </w:r>
          </w:p>
        </w:tc>
      </w:tr>
    </w:tbl>
    <w:p w14:paraId="4306D076" w14:textId="77777777" w:rsidR="00B0005F" w:rsidRPr="008A2411" w:rsidRDefault="00000000">
      <w:pPr>
        <w:autoSpaceDE w:val="0"/>
        <w:autoSpaceDN w:val="0"/>
        <w:adjustRightInd w:val="0"/>
        <w:spacing w:line="360" w:lineRule="auto"/>
        <w:ind w:firstLineChars="200" w:firstLine="482"/>
        <w:rPr>
          <w:rFonts w:ascii="Times New Roman"/>
          <w:b/>
          <w:color w:val="000000" w:themeColor="text1"/>
          <w:lang w:val="zh-CN"/>
        </w:rPr>
      </w:pPr>
      <w:r w:rsidRPr="008A2411">
        <w:rPr>
          <w:rFonts w:ascii="Times New Roman"/>
          <w:b/>
          <w:color w:val="000000" w:themeColor="text1"/>
          <w:lang w:val="zh-CN"/>
        </w:rPr>
        <w:t>（</w:t>
      </w:r>
      <w:r w:rsidRPr="008A2411">
        <w:rPr>
          <w:rFonts w:ascii="Times New Roman"/>
          <w:b/>
          <w:color w:val="000000" w:themeColor="text1"/>
        </w:rPr>
        <w:t>3</w:t>
      </w:r>
      <w:r w:rsidRPr="008A2411">
        <w:rPr>
          <w:rFonts w:ascii="Times New Roman"/>
          <w:b/>
          <w:color w:val="000000" w:themeColor="text1"/>
          <w:lang w:val="zh-CN"/>
        </w:rPr>
        <w:t>）噪声</w:t>
      </w:r>
    </w:p>
    <w:p w14:paraId="77782750" w14:textId="77777777" w:rsidR="00B0005F" w:rsidRPr="008A2411" w:rsidRDefault="00000000">
      <w:pPr>
        <w:autoSpaceDE w:val="0"/>
        <w:autoSpaceDN w:val="0"/>
        <w:adjustRightInd w:val="0"/>
        <w:spacing w:line="360" w:lineRule="auto"/>
        <w:ind w:firstLineChars="200" w:firstLine="480"/>
        <w:rPr>
          <w:rFonts w:ascii="Times New Roman"/>
          <w:color w:val="000000" w:themeColor="text1"/>
          <w:lang w:val="zh-CN"/>
        </w:rPr>
      </w:pPr>
      <w:r w:rsidRPr="008A2411">
        <w:rPr>
          <w:rFonts w:ascii="Times New Roman"/>
          <w:color w:val="000000" w:themeColor="text1"/>
          <w:lang w:val="zh-CN"/>
        </w:rPr>
        <w:t>施工期噪声执行《建筑施工场界环境噪声排放标准》（</w:t>
      </w:r>
      <w:r w:rsidRPr="008A2411">
        <w:rPr>
          <w:rFonts w:ascii="Times New Roman"/>
          <w:color w:val="000000" w:themeColor="text1"/>
          <w:lang w:val="zh-CN"/>
        </w:rPr>
        <w:t>GB12523-</w:t>
      </w:r>
      <w:r w:rsidRPr="008A2411">
        <w:rPr>
          <w:rFonts w:ascii="Times New Roman"/>
          <w:color w:val="000000" w:themeColor="text1"/>
        </w:rPr>
        <w:t>2011</w:t>
      </w:r>
      <w:r w:rsidRPr="008A2411">
        <w:rPr>
          <w:rFonts w:ascii="Times New Roman"/>
          <w:color w:val="000000" w:themeColor="text1"/>
          <w:lang w:val="zh-CN"/>
        </w:rPr>
        <w:t>）中的相关标准，见表</w:t>
      </w:r>
      <w:r w:rsidRPr="008A2411">
        <w:rPr>
          <w:rFonts w:ascii="Times New Roman"/>
          <w:color w:val="000000" w:themeColor="text1"/>
          <w:lang w:val="zh-CN"/>
        </w:rPr>
        <w:t>2.6-1</w:t>
      </w:r>
      <w:r w:rsidRPr="008A2411">
        <w:rPr>
          <w:rFonts w:ascii="Times New Roman"/>
          <w:color w:val="000000" w:themeColor="text1"/>
        </w:rPr>
        <w:t>5</w:t>
      </w:r>
      <w:r w:rsidRPr="008A2411">
        <w:rPr>
          <w:rFonts w:ascii="Times New Roman"/>
          <w:color w:val="000000" w:themeColor="text1"/>
          <w:lang w:val="zh-CN"/>
        </w:rPr>
        <w:t>。</w:t>
      </w:r>
    </w:p>
    <w:p w14:paraId="57893035" w14:textId="77777777" w:rsidR="00B0005F" w:rsidRPr="008A2411" w:rsidRDefault="00B0005F">
      <w:pPr>
        <w:autoSpaceDE w:val="0"/>
        <w:autoSpaceDN w:val="0"/>
        <w:jc w:val="right"/>
        <w:rPr>
          <w:rFonts w:ascii="Times New Roman" w:eastAsia="黑体"/>
          <w:bCs/>
          <w:color w:val="000000" w:themeColor="text1"/>
          <w:szCs w:val="21"/>
          <w:lang w:val="zh-CN"/>
        </w:rPr>
      </w:pPr>
    </w:p>
    <w:p w14:paraId="450B3CBE" w14:textId="77777777" w:rsidR="00B0005F" w:rsidRPr="008A2411" w:rsidRDefault="00000000">
      <w:pPr>
        <w:autoSpaceDE w:val="0"/>
        <w:autoSpaceDN w:val="0"/>
        <w:jc w:val="right"/>
        <w:rPr>
          <w:rFonts w:ascii="Times New Roman" w:eastAsia="黑体"/>
          <w:bCs/>
          <w:color w:val="000000" w:themeColor="text1"/>
          <w:szCs w:val="21"/>
          <w:lang w:val="zh-CN"/>
        </w:rPr>
      </w:pPr>
      <w:r w:rsidRPr="008A2411">
        <w:rPr>
          <w:rFonts w:ascii="Times New Roman" w:eastAsia="黑体"/>
          <w:bCs/>
          <w:color w:val="000000" w:themeColor="text1"/>
          <w:szCs w:val="21"/>
          <w:lang w:val="zh-CN"/>
        </w:rPr>
        <w:t>表</w:t>
      </w:r>
      <w:r w:rsidRPr="008A2411">
        <w:rPr>
          <w:rFonts w:ascii="Times New Roman" w:eastAsia="黑体"/>
          <w:bCs/>
          <w:color w:val="000000" w:themeColor="text1"/>
          <w:szCs w:val="21"/>
          <w:lang w:val="zh-CN"/>
        </w:rPr>
        <w:t>2.6-</w:t>
      </w:r>
      <w:r w:rsidRPr="008A2411">
        <w:rPr>
          <w:rFonts w:ascii="Times New Roman" w:eastAsia="黑体"/>
          <w:bCs/>
          <w:color w:val="000000" w:themeColor="text1"/>
          <w:szCs w:val="21"/>
        </w:rPr>
        <w:t>15</w:t>
      </w:r>
      <w:r w:rsidRPr="008A2411">
        <w:rPr>
          <w:rFonts w:ascii="Times New Roman" w:eastAsia="黑体"/>
          <w:bCs/>
          <w:color w:val="000000" w:themeColor="text1"/>
          <w:szCs w:val="21"/>
          <w:lang w:val="zh-CN"/>
        </w:rPr>
        <w:t xml:space="preserve">  </w:t>
      </w:r>
      <w:r w:rsidRPr="008A2411">
        <w:rPr>
          <w:rFonts w:ascii="Times New Roman" w:eastAsia="黑体"/>
          <w:bCs/>
          <w:color w:val="000000" w:themeColor="text1"/>
          <w:szCs w:val="21"/>
          <w:lang w:val="zh-CN"/>
        </w:rPr>
        <w:t>建筑施工场界环境噪声排放限值</w:t>
      </w:r>
      <w:r w:rsidRPr="008A2411">
        <w:rPr>
          <w:rFonts w:ascii="Times New Roman" w:eastAsia="黑体"/>
          <w:bCs/>
          <w:color w:val="000000" w:themeColor="text1"/>
          <w:szCs w:val="21"/>
          <w:lang w:val="zh-CN"/>
        </w:rPr>
        <w:t xml:space="preserve">    </w:t>
      </w:r>
      <w:r w:rsidRPr="008A2411">
        <w:rPr>
          <w:rFonts w:ascii="Times New Roman" w:eastAsia="黑体"/>
          <w:bCs/>
          <w:color w:val="000000" w:themeColor="text1"/>
          <w:szCs w:val="21"/>
          <w:lang w:val="zh-CN"/>
        </w:rPr>
        <w:t>单位：</w:t>
      </w:r>
      <w:r w:rsidRPr="008A2411">
        <w:rPr>
          <w:rFonts w:ascii="Times New Roman" w:eastAsia="黑体"/>
          <w:bCs/>
          <w:color w:val="000000" w:themeColor="text1"/>
          <w:szCs w:val="21"/>
          <w:lang w:val="zh-CN"/>
        </w:rPr>
        <w:t>dB</w:t>
      </w:r>
      <w:r w:rsidRPr="008A2411">
        <w:rPr>
          <w:rFonts w:ascii="Times New Roman" w:eastAsia="黑体"/>
          <w:bCs/>
          <w:color w:val="000000" w:themeColor="text1"/>
          <w:szCs w:val="21"/>
          <w:lang w:val="zh-CN"/>
        </w:rPr>
        <w:t>（</w:t>
      </w:r>
      <w:r w:rsidRPr="008A2411">
        <w:rPr>
          <w:rFonts w:ascii="Times New Roman" w:eastAsia="黑体"/>
          <w:bCs/>
          <w:color w:val="000000" w:themeColor="text1"/>
          <w:szCs w:val="21"/>
          <w:lang w:val="zh-CN"/>
        </w:rPr>
        <w:t>A</w:t>
      </w:r>
      <w:r w:rsidRPr="008A2411">
        <w:rPr>
          <w:rFonts w:ascii="Times New Roman" w:eastAsia="黑体"/>
          <w:bCs/>
          <w:color w:val="000000" w:themeColor="text1"/>
          <w:szCs w:val="21"/>
          <w:lang w:val="zh-CN"/>
        </w:rPr>
        <w:t>）</w:t>
      </w:r>
    </w:p>
    <w:tbl>
      <w:tblPr>
        <w:tblW w:w="4850" w:type="pct"/>
        <w:jc w:val="center"/>
        <w:tblBorders>
          <w:top w:val="single" w:sz="4" w:space="0" w:color="000000"/>
          <w:left w:val="single" w:sz="4" w:space="0" w:color="000000"/>
          <w:bottom w:val="single" w:sz="4" w:space="0" w:color="000000"/>
          <w:right w:val="single" w:sz="4" w:space="0" w:color="000000"/>
          <w:insideH w:val="single" w:sz="6" w:space="0" w:color="000000"/>
          <w:insideV w:val="single" w:sz="6" w:space="0" w:color="000000"/>
        </w:tblBorders>
        <w:tblLayout w:type="fixed"/>
        <w:tblLook w:val="04A0" w:firstRow="1" w:lastRow="0" w:firstColumn="1" w:lastColumn="0" w:noHBand="0" w:noVBand="1"/>
      </w:tblPr>
      <w:tblGrid>
        <w:gridCol w:w="3890"/>
        <w:gridCol w:w="4376"/>
      </w:tblGrid>
      <w:tr w:rsidR="008A2411" w:rsidRPr="008A2411" w14:paraId="12E70788" w14:textId="77777777">
        <w:trPr>
          <w:trHeight w:val="23"/>
          <w:jc w:val="center"/>
        </w:trPr>
        <w:tc>
          <w:tcPr>
            <w:tcW w:w="3890" w:type="dxa"/>
            <w:vAlign w:val="center"/>
          </w:tcPr>
          <w:p w14:paraId="5B26168B" w14:textId="77777777" w:rsidR="00B0005F" w:rsidRPr="008A2411" w:rsidRDefault="00000000">
            <w:pPr>
              <w:autoSpaceDE w:val="0"/>
              <w:autoSpaceDN w:val="0"/>
              <w:adjustRightInd w:val="0"/>
              <w:jc w:val="center"/>
              <w:rPr>
                <w:rFonts w:ascii="Times New Roman"/>
                <w:color w:val="000000" w:themeColor="text1"/>
                <w:szCs w:val="21"/>
                <w:lang w:val="zh-CN"/>
              </w:rPr>
            </w:pPr>
            <w:proofErr w:type="gramStart"/>
            <w:r w:rsidRPr="008A2411">
              <w:rPr>
                <w:rFonts w:ascii="Times New Roman"/>
                <w:caps/>
                <w:color w:val="000000" w:themeColor="text1"/>
                <w:szCs w:val="21"/>
                <w:lang w:val="zh-CN"/>
              </w:rPr>
              <w:t>昼</w:t>
            </w:r>
            <w:proofErr w:type="gramEnd"/>
            <w:r w:rsidRPr="008A2411">
              <w:rPr>
                <w:rFonts w:ascii="Times New Roman"/>
                <w:caps/>
                <w:color w:val="000000" w:themeColor="text1"/>
                <w:szCs w:val="21"/>
                <w:lang w:val="zh-CN"/>
              </w:rPr>
              <w:t xml:space="preserve">  </w:t>
            </w:r>
            <w:r w:rsidRPr="008A2411">
              <w:rPr>
                <w:rFonts w:ascii="Times New Roman"/>
                <w:caps/>
                <w:color w:val="000000" w:themeColor="text1"/>
                <w:szCs w:val="21"/>
                <w:lang w:val="zh-CN"/>
              </w:rPr>
              <w:t>间</w:t>
            </w:r>
          </w:p>
        </w:tc>
        <w:tc>
          <w:tcPr>
            <w:tcW w:w="4376" w:type="dxa"/>
            <w:vAlign w:val="center"/>
          </w:tcPr>
          <w:p w14:paraId="5F3BC450" w14:textId="77777777" w:rsidR="00B0005F" w:rsidRPr="008A2411" w:rsidRDefault="00000000">
            <w:pPr>
              <w:autoSpaceDE w:val="0"/>
              <w:autoSpaceDN w:val="0"/>
              <w:adjustRightInd w:val="0"/>
              <w:jc w:val="center"/>
              <w:rPr>
                <w:rFonts w:ascii="Times New Roman"/>
                <w:color w:val="000000" w:themeColor="text1"/>
                <w:szCs w:val="21"/>
                <w:lang w:val="zh-CN"/>
              </w:rPr>
            </w:pPr>
            <w:r w:rsidRPr="008A2411">
              <w:rPr>
                <w:rFonts w:ascii="Times New Roman"/>
                <w:caps/>
                <w:color w:val="000000" w:themeColor="text1"/>
                <w:szCs w:val="21"/>
                <w:lang w:val="zh-CN"/>
              </w:rPr>
              <w:t>夜</w:t>
            </w:r>
            <w:r w:rsidRPr="008A2411">
              <w:rPr>
                <w:rFonts w:ascii="Times New Roman"/>
                <w:caps/>
                <w:color w:val="000000" w:themeColor="text1"/>
                <w:szCs w:val="21"/>
                <w:lang w:val="zh-CN"/>
              </w:rPr>
              <w:t xml:space="preserve">  </w:t>
            </w:r>
            <w:r w:rsidRPr="008A2411">
              <w:rPr>
                <w:rFonts w:ascii="Times New Roman"/>
                <w:caps/>
                <w:color w:val="000000" w:themeColor="text1"/>
                <w:szCs w:val="21"/>
                <w:lang w:val="zh-CN"/>
              </w:rPr>
              <w:t>间</w:t>
            </w:r>
          </w:p>
        </w:tc>
      </w:tr>
      <w:tr w:rsidR="008A2411" w:rsidRPr="008A2411" w14:paraId="712FD0FC" w14:textId="77777777">
        <w:trPr>
          <w:trHeight w:val="23"/>
          <w:jc w:val="center"/>
        </w:trPr>
        <w:tc>
          <w:tcPr>
            <w:tcW w:w="3890" w:type="dxa"/>
            <w:vAlign w:val="center"/>
          </w:tcPr>
          <w:p w14:paraId="4418B769" w14:textId="77777777" w:rsidR="00B0005F" w:rsidRPr="008A2411" w:rsidRDefault="00000000">
            <w:pPr>
              <w:autoSpaceDE w:val="0"/>
              <w:autoSpaceDN w:val="0"/>
              <w:adjustRightInd w:val="0"/>
              <w:jc w:val="center"/>
              <w:rPr>
                <w:rFonts w:ascii="Times New Roman"/>
                <w:color w:val="000000" w:themeColor="text1"/>
                <w:szCs w:val="21"/>
                <w:lang w:val="zh-CN"/>
              </w:rPr>
            </w:pPr>
            <w:r w:rsidRPr="008A2411">
              <w:rPr>
                <w:rFonts w:ascii="Times New Roman"/>
                <w:color w:val="000000" w:themeColor="text1"/>
                <w:szCs w:val="21"/>
                <w:lang w:val="zh-CN"/>
              </w:rPr>
              <w:t>7</w:t>
            </w:r>
            <w:r w:rsidRPr="008A2411">
              <w:rPr>
                <w:rFonts w:ascii="Times New Roman"/>
                <w:color w:val="000000" w:themeColor="text1"/>
                <w:szCs w:val="21"/>
              </w:rPr>
              <w:t>0</w:t>
            </w:r>
          </w:p>
        </w:tc>
        <w:tc>
          <w:tcPr>
            <w:tcW w:w="4376" w:type="dxa"/>
            <w:vAlign w:val="center"/>
          </w:tcPr>
          <w:p w14:paraId="03410A2B" w14:textId="77777777" w:rsidR="00B0005F" w:rsidRPr="008A2411" w:rsidRDefault="00000000">
            <w:pPr>
              <w:autoSpaceDE w:val="0"/>
              <w:autoSpaceDN w:val="0"/>
              <w:adjustRightInd w:val="0"/>
              <w:jc w:val="center"/>
              <w:rPr>
                <w:rFonts w:ascii="Times New Roman"/>
                <w:color w:val="000000" w:themeColor="text1"/>
                <w:szCs w:val="21"/>
                <w:lang w:val="zh-CN"/>
              </w:rPr>
            </w:pPr>
            <w:r w:rsidRPr="008A2411">
              <w:rPr>
                <w:rFonts w:ascii="Times New Roman"/>
                <w:color w:val="000000" w:themeColor="text1"/>
                <w:szCs w:val="21"/>
                <w:lang w:val="zh-CN"/>
              </w:rPr>
              <w:t>55</w:t>
            </w:r>
          </w:p>
        </w:tc>
      </w:tr>
    </w:tbl>
    <w:p w14:paraId="52714AAF" w14:textId="77777777" w:rsidR="00B0005F" w:rsidRPr="008A2411" w:rsidRDefault="00000000">
      <w:pPr>
        <w:spacing w:line="360" w:lineRule="auto"/>
        <w:ind w:firstLineChars="200" w:firstLine="480"/>
        <w:rPr>
          <w:rFonts w:ascii="Times New Roman"/>
          <w:color w:val="000000" w:themeColor="text1"/>
        </w:rPr>
      </w:pPr>
      <w:r w:rsidRPr="008A2411">
        <w:rPr>
          <w:rFonts w:ascii="Times New Roman"/>
          <w:color w:val="000000" w:themeColor="text1"/>
        </w:rPr>
        <w:t>营运期噪声按照《工业企业厂界环境噪声排放标准》（</w:t>
      </w:r>
      <w:r w:rsidRPr="008A2411">
        <w:rPr>
          <w:rFonts w:ascii="Times New Roman"/>
          <w:color w:val="000000" w:themeColor="text1"/>
        </w:rPr>
        <w:t>GB12348-2008</w:t>
      </w:r>
      <w:r w:rsidRPr="008A2411">
        <w:rPr>
          <w:rFonts w:ascii="Times New Roman"/>
          <w:color w:val="000000" w:themeColor="text1"/>
        </w:rPr>
        <w:t>）中的</w:t>
      </w:r>
      <w:r w:rsidRPr="008A2411">
        <w:rPr>
          <w:rFonts w:ascii="Times New Roman"/>
          <w:color w:val="000000" w:themeColor="text1"/>
        </w:rPr>
        <w:t>3</w:t>
      </w:r>
      <w:r w:rsidRPr="008A2411">
        <w:rPr>
          <w:rFonts w:ascii="Times New Roman"/>
          <w:color w:val="000000" w:themeColor="text1"/>
        </w:rPr>
        <w:t>类标准执行，标准值如下：</w:t>
      </w:r>
    </w:p>
    <w:p w14:paraId="5F4B0526" w14:textId="77777777" w:rsidR="00B0005F" w:rsidRPr="008A2411" w:rsidRDefault="00000000">
      <w:pPr>
        <w:autoSpaceDE w:val="0"/>
        <w:autoSpaceDN w:val="0"/>
        <w:jc w:val="right"/>
        <w:rPr>
          <w:rFonts w:ascii="Times New Roman" w:eastAsia="黑体"/>
          <w:bCs/>
          <w:color w:val="000000" w:themeColor="text1"/>
          <w:szCs w:val="21"/>
          <w:lang w:val="zh-CN"/>
        </w:rPr>
      </w:pPr>
      <w:r w:rsidRPr="008A2411">
        <w:rPr>
          <w:rFonts w:ascii="Times New Roman" w:eastAsia="黑体"/>
          <w:bCs/>
          <w:color w:val="000000" w:themeColor="text1"/>
          <w:szCs w:val="21"/>
          <w:lang w:val="zh-CN"/>
        </w:rPr>
        <w:t>表</w:t>
      </w:r>
      <w:r w:rsidRPr="008A2411">
        <w:rPr>
          <w:rFonts w:ascii="Times New Roman" w:eastAsia="黑体"/>
          <w:bCs/>
          <w:color w:val="000000" w:themeColor="text1"/>
          <w:szCs w:val="21"/>
          <w:lang w:val="zh-CN"/>
        </w:rPr>
        <w:t>2.6-</w:t>
      </w:r>
      <w:r w:rsidRPr="008A2411">
        <w:rPr>
          <w:rFonts w:ascii="Times New Roman" w:eastAsia="黑体"/>
          <w:bCs/>
          <w:color w:val="000000" w:themeColor="text1"/>
          <w:szCs w:val="21"/>
        </w:rPr>
        <w:t>16</w:t>
      </w:r>
      <w:r w:rsidRPr="008A2411">
        <w:rPr>
          <w:rFonts w:ascii="Times New Roman" w:eastAsia="黑体"/>
          <w:bCs/>
          <w:color w:val="000000" w:themeColor="text1"/>
          <w:szCs w:val="21"/>
          <w:lang w:val="zh-CN"/>
        </w:rPr>
        <w:t xml:space="preserve">  </w:t>
      </w:r>
      <w:r w:rsidRPr="008A2411">
        <w:rPr>
          <w:rFonts w:ascii="Times New Roman" w:eastAsia="黑体"/>
          <w:bCs/>
          <w:color w:val="000000" w:themeColor="text1"/>
          <w:szCs w:val="21"/>
          <w:lang w:val="zh-CN"/>
        </w:rPr>
        <w:t>运营期厂界噪声限值</w:t>
      </w:r>
      <w:r w:rsidRPr="008A2411">
        <w:rPr>
          <w:rFonts w:ascii="Times New Roman" w:eastAsia="黑体"/>
          <w:bCs/>
          <w:color w:val="000000" w:themeColor="text1"/>
          <w:szCs w:val="21"/>
          <w:lang w:val="zh-CN"/>
        </w:rPr>
        <w:t xml:space="preserve">          </w:t>
      </w:r>
      <w:r w:rsidRPr="008A2411">
        <w:rPr>
          <w:rFonts w:ascii="Times New Roman" w:eastAsia="黑体"/>
          <w:bCs/>
          <w:color w:val="000000" w:themeColor="text1"/>
          <w:szCs w:val="21"/>
          <w:lang w:val="zh-CN"/>
        </w:rPr>
        <w:t>单位：</w:t>
      </w:r>
      <w:r w:rsidRPr="008A2411">
        <w:rPr>
          <w:rFonts w:ascii="Times New Roman" w:eastAsia="黑体"/>
          <w:bCs/>
          <w:color w:val="000000" w:themeColor="text1"/>
          <w:szCs w:val="21"/>
          <w:lang w:val="zh-CN"/>
        </w:rPr>
        <w:t>dB</w:t>
      </w:r>
      <w:r w:rsidRPr="008A2411">
        <w:rPr>
          <w:rFonts w:ascii="Times New Roman" w:eastAsia="黑体"/>
          <w:bCs/>
          <w:color w:val="000000" w:themeColor="text1"/>
          <w:szCs w:val="21"/>
          <w:lang w:val="zh-CN"/>
        </w:rPr>
        <w:t>（</w:t>
      </w:r>
      <w:r w:rsidRPr="008A2411">
        <w:rPr>
          <w:rFonts w:ascii="Times New Roman" w:eastAsia="黑体"/>
          <w:bCs/>
          <w:color w:val="000000" w:themeColor="text1"/>
          <w:szCs w:val="21"/>
          <w:lang w:val="zh-CN"/>
        </w:rPr>
        <w:t>A</w:t>
      </w:r>
      <w:r w:rsidRPr="008A2411">
        <w:rPr>
          <w:rFonts w:ascii="Times New Roman" w:eastAsia="黑体"/>
          <w:bCs/>
          <w:color w:val="000000" w:themeColor="text1"/>
          <w:szCs w:val="21"/>
          <w:lang w:val="zh-CN"/>
        </w:rPr>
        <w:t>）</w:t>
      </w:r>
    </w:p>
    <w:tbl>
      <w:tblPr>
        <w:tblW w:w="4850" w:type="pct"/>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2838"/>
        <w:gridCol w:w="1220"/>
        <w:gridCol w:w="1260"/>
        <w:gridCol w:w="2948"/>
      </w:tblGrid>
      <w:tr w:rsidR="008A2411" w:rsidRPr="008A2411" w14:paraId="3DE9E27E" w14:textId="77777777">
        <w:trPr>
          <w:trHeight w:val="20"/>
          <w:jc w:val="center"/>
        </w:trPr>
        <w:tc>
          <w:tcPr>
            <w:tcW w:w="2838" w:type="dxa"/>
            <w:vAlign w:val="center"/>
          </w:tcPr>
          <w:p w14:paraId="5C115A05" w14:textId="77777777" w:rsidR="00B0005F" w:rsidRPr="008A2411" w:rsidRDefault="00000000">
            <w:pPr>
              <w:jc w:val="center"/>
              <w:rPr>
                <w:rFonts w:ascii="Times New Roman"/>
                <w:color w:val="000000" w:themeColor="text1"/>
              </w:rPr>
            </w:pPr>
            <w:r w:rsidRPr="008A2411">
              <w:rPr>
                <w:rFonts w:ascii="Times New Roman"/>
                <w:color w:val="000000" w:themeColor="text1"/>
              </w:rPr>
              <w:t>类</w:t>
            </w:r>
            <w:r w:rsidRPr="008A2411">
              <w:rPr>
                <w:rFonts w:ascii="Times New Roman"/>
                <w:color w:val="000000" w:themeColor="text1"/>
              </w:rPr>
              <w:t xml:space="preserve"> </w:t>
            </w:r>
            <w:r w:rsidRPr="008A2411">
              <w:rPr>
                <w:rFonts w:ascii="Times New Roman"/>
                <w:color w:val="000000" w:themeColor="text1"/>
              </w:rPr>
              <w:t>别</w:t>
            </w:r>
          </w:p>
        </w:tc>
        <w:tc>
          <w:tcPr>
            <w:tcW w:w="1220" w:type="dxa"/>
            <w:vAlign w:val="center"/>
          </w:tcPr>
          <w:p w14:paraId="20B75C24" w14:textId="77777777" w:rsidR="00B0005F" w:rsidRPr="008A2411" w:rsidRDefault="00000000">
            <w:pPr>
              <w:jc w:val="center"/>
              <w:rPr>
                <w:rFonts w:ascii="Times New Roman"/>
                <w:color w:val="000000" w:themeColor="text1"/>
              </w:rPr>
            </w:pPr>
            <w:r w:rsidRPr="008A2411">
              <w:rPr>
                <w:rFonts w:ascii="Times New Roman"/>
                <w:color w:val="000000" w:themeColor="text1"/>
              </w:rPr>
              <w:t>昼间</w:t>
            </w:r>
          </w:p>
        </w:tc>
        <w:tc>
          <w:tcPr>
            <w:tcW w:w="1260" w:type="dxa"/>
            <w:vAlign w:val="center"/>
          </w:tcPr>
          <w:p w14:paraId="3556A141" w14:textId="77777777" w:rsidR="00B0005F" w:rsidRPr="008A2411" w:rsidRDefault="00000000">
            <w:pPr>
              <w:jc w:val="center"/>
              <w:rPr>
                <w:rFonts w:ascii="Times New Roman"/>
                <w:color w:val="000000" w:themeColor="text1"/>
              </w:rPr>
            </w:pPr>
            <w:r w:rsidRPr="008A2411">
              <w:rPr>
                <w:rFonts w:ascii="Times New Roman"/>
                <w:color w:val="000000" w:themeColor="text1"/>
              </w:rPr>
              <w:t>夜间</w:t>
            </w:r>
          </w:p>
        </w:tc>
        <w:tc>
          <w:tcPr>
            <w:tcW w:w="2948" w:type="dxa"/>
            <w:vAlign w:val="center"/>
          </w:tcPr>
          <w:p w14:paraId="5774FBBA" w14:textId="77777777" w:rsidR="00B0005F" w:rsidRPr="008A2411" w:rsidRDefault="00000000">
            <w:pPr>
              <w:jc w:val="center"/>
              <w:rPr>
                <w:rFonts w:ascii="Times New Roman"/>
                <w:color w:val="000000" w:themeColor="text1"/>
              </w:rPr>
            </w:pPr>
            <w:r w:rsidRPr="008A2411">
              <w:rPr>
                <w:rFonts w:ascii="Times New Roman"/>
                <w:color w:val="000000" w:themeColor="text1"/>
              </w:rPr>
              <w:t>依据</w:t>
            </w:r>
          </w:p>
        </w:tc>
      </w:tr>
      <w:tr w:rsidR="008A2411" w:rsidRPr="008A2411" w14:paraId="3E64949A" w14:textId="77777777">
        <w:trPr>
          <w:trHeight w:val="20"/>
          <w:jc w:val="center"/>
        </w:trPr>
        <w:tc>
          <w:tcPr>
            <w:tcW w:w="2838" w:type="dxa"/>
            <w:vAlign w:val="center"/>
          </w:tcPr>
          <w:p w14:paraId="50A2C008" w14:textId="77777777" w:rsidR="00B0005F" w:rsidRPr="008A2411" w:rsidRDefault="00000000">
            <w:pPr>
              <w:jc w:val="center"/>
              <w:rPr>
                <w:rFonts w:ascii="Times New Roman"/>
                <w:color w:val="000000" w:themeColor="text1"/>
              </w:rPr>
            </w:pPr>
            <w:r w:rsidRPr="008A2411">
              <w:rPr>
                <w:rFonts w:ascii="Times New Roman"/>
                <w:color w:val="000000" w:themeColor="text1"/>
              </w:rPr>
              <w:t>噪声限值</w:t>
            </w:r>
            <w:r w:rsidRPr="008A2411">
              <w:rPr>
                <w:rFonts w:ascii="Times New Roman"/>
                <w:color w:val="000000" w:themeColor="text1"/>
              </w:rPr>
              <w:t>[</w:t>
            </w:r>
            <w:proofErr w:type="spellStart"/>
            <w:r w:rsidRPr="008A2411">
              <w:rPr>
                <w:rFonts w:ascii="Times New Roman"/>
                <w:color w:val="000000" w:themeColor="text1"/>
              </w:rPr>
              <w:t>Leq</w:t>
            </w:r>
            <w:proofErr w:type="spellEnd"/>
            <w:r w:rsidRPr="008A2411">
              <w:rPr>
                <w:rFonts w:ascii="Times New Roman"/>
                <w:color w:val="000000" w:themeColor="text1"/>
              </w:rPr>
              <w:t>：</w:t>
            </w:r>
            <w:r w:rsidRPr="008A2411">
              <w:rPr>
                <w:rFonts w:ascii="Times New Roman"/>
                <w:color w:val="000000" w:themeColor="text1"/>
              </w:rPr>
              <w:t>dB</w:t>
            </w:r>
            <w:r w:rsidRPr="008A2411">
              <w:rPr>
                <w:rFonts w:ascii="Times New Roman"/>
                <w:color w:val="000000" w:themeColor="text1"/>
              </w:rPr>
              <w:t>（</w:t>
            </w:r>
            <w:r w:rsidRPr="008A2411">
              <w:rPr>
                <w:rFonts w:ascii="Times New Roman"/>
                <w:color w:val="000000" w:themeColor="text1"/>
              </w:rPr>
              <w:t>A</w:t>
            </w:r>
            <w:r w:rsidRPr="008A2411">
              <w:rPr>
                <w:rFonts w:ascii="Times New Roman"/>
                <w:color w:val="000000" w:themeColor="text1"/>
              </w:rPr>
              <w:t>）</w:t>
            </w:r>
            <w:r w:rsidRPr="008A2411">
              <w:rPr>
                <w:rFonts w:ascii="Times New Roman"/>
                <w:color w:val="000000" w:themeColor="text1"/>
              </w:rPr>
              <w:t>]</w:t>
            </w:r>
          </w:p>
        </w:tc>
        <w:tc>
          <w:tcPr>
            <w:tcW w:w="1220" w:type="dxa"/>
            <w:vAlign w:val="center"/>
          </w:tcPr>
          <w:p w14:paraId="0EADDEF5" w14:textId="77777777" w:rsidR="00B0005F" w:rsidRPr="008A2411" w:rsidRDefault="00000000">
            <w:pPr>
              <w:jc w:val="center"/>
              <w:rPr>
                <w:rFonts w:ascii="Times New Roman"/>
                <w:color w:val="000000" w:themeColor="text1"/>
              </w:rPr>
            </w:pPr>
            <w:r w:rsidRPr="008A2411">
              <w:rPr>
                <w:rFonts w:ascii="Times New Roman"/>
                <w:color w:val="000000" w:themeColor="text1"/>
              </w:rPr>
              <w:t>65</w:t>
            </w:r>
          </w:p>
        </w:tc>
        <w:tc>
          <w:tcPr>
            <w:tcW w:w="1260" w:type="dxa"/>
            <w:vAlign w:val="center"/>
          </w:tcPr>
          <w:p w14:paraId="3F4F0DA2" w14:textId="77777777" w:rsidR="00B0005F" w:rsidRPr="008A2411" w:rsidRDefault="00000000">
            <w:pPr>
              <w:jc w:val="center"/>
              <w:rPr>
                <w:rFonts w:ascii="Times New Roman"/>
                <w:color w:val="000000" w:themeColor="text1"/>
              </w:rPr>
            </w:pPr>
            <w:r w:rsidRPr="008A2411">
              <w:rPr>
                <w:rFonts w:ascii="Times New Roman"/>
                <w:color w:val="000000" w:themeColor="text1"/>
              </w:rPr>
              <w:t>55</w:t>
            </w:r>
          </w:p>
        </w:tc>
        <w:tc>
          <w:tcPr>
            <w:tcW w:w="2948" w:type="dxa"/>
            <w:vAlign w:val="center"/>
          </w:tcPr>
          <w:p w14:paraId="56CAD545" w14:textId="77777777" w:rsidR="00B0005F" w:rsidRPr="008A2411" w:rsidRDefault="00000000">
            <w:pPr>
              <w:jc w:val="center"/>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GB12348-2008</w:t>
            </w:r>
            <w:r w:rsidRPr="008A2411">
              <w:rPr>
                <w:rFonts w:ascii="Times New Roman"/>
                <w:color w:val="000000" w:themeColor="text1"/>
              </w:rPr>
              <w:t>）</w:t>
            </w:r>
            <w:r w:rsidRPr="008A2411">
              <w:rPr>
                <w:rFonts w:ascii="Times New Roman"/>
                <w:color w:val="000000" w:themeColor="text1"/>
              </w:rPr>
              <w:t>3</w:t>
            </w:r>
            <w:r w:rsidRPr="008A2411">
              <w:rPr>
                <w:rFonts w:ascii="Times New Roman"/>
                <w:color w:val="000000" w:themeColor="text1"/>
              </w:rPr>
              <w:t>类</w:t>
            </w:r>
          </w:p>
        </w:tc>
      </w:tr>
    </w:tbl>
    <w:p w14:paraId="33A5BE4C" w14:textId="77777777" w:rsidR="00B0005F" w:rsidRPr="008A2411" w:rsidRDefault="00000000">
      <w:pPr>
        <w:autoSpaceDE w:val="0"/>
        <w:autoSpaceDN w:val="0"/>
        <w:adjustRightInd w:val="0"/>
        <w:spacing w:line="360" w:lineRule="auto"/>
        <w:ind w:firstLineChars="200" w:firstLine="482"/>
        <w:rPr>
          <w:rFonts w:ascii="Times New Roman"/>
          <w:b/>
          <w:color w:val="000000" w:themeColor="text1"/>
        </w:rPr>
      </w:pPr>
      <w:r w:rsidRPr="008A2411">
        <w:rPr>
          <w:rFonts w:ascii="Times New Roman"/>
          <w:b/>
          <w:color w:val="000000" w:themeColor="text1"/>
        </w:rPr>
        <w:lastRenderedPageBreak/>
        <w:t>（</w:t>
      </w:r>
      <w:r w:rsidRPr="008A2411">
        <w:rPr>
          <w:rFonts w:ascii="Times New Roman"/>
          <w:b/>
          <w:color w:val="000000" w:themeColor="text1"/>
        </w:rPr>
        <w:t>4</w:t>
      </w:r>
      <w:r w:rsidRPr="008A2411">
        <w:rPr>
          <w:rFonts w:ascii="Times New Roman"/>
          <w:b/>
          <w:color w:val="000000" w:themeColor="text1"/>
        </w:rPr>
        <w:t>）</w:t>
      </w:r>
      <w:proofErr w:type="gramStart"/>
      <w:r w:rsidRPr="008A2411">
        <w:rPr>
          <w:rFonts w:ascii="Times New Roman"/>
          <w:b/>
          <w:color w:val="000000" w:themeColor="text1"/>
        </w:rPr>
        <w:t>固废及危险</w:t>
      </w:r>
      <w:proofErr w:type="gramEnd"/>
      <w:r w:rsidRPr="008A2411">
        <w:rPr>
          <w:rFonts w:ascii="Times New Roman"/>
          <w:b/>
          <w:color w:val="000000" w:themeColor="text1"/>
        </w:rPr>
        <w:t>废物</w:t>
      </w:r>
    </w:p>
    <w:p w14:paraId="78824817" w14:textId="77777777" w:rsidR="00B0005F" w:rsidRPr="008A2411" w:rsidRDefault="00000000">
      <w:pPr>
        <w:tabs>
          <w:tab w:val="left" w:pos="720"/>
        </w:tabs>
        <w:autoSpaceDE w:val="0"/>
        <w:autoSpaceDN w:val="0"/>
        <w:adjustRightInd w:val="0"/>
        <w:spacing w:line="360" w:lineRule="auto"/>
        <w:ind w:firstLineChars="300" w:firstLine="720"/>
        <w:rPr>
          <w:rFonts w:ascii="Times New Roman"/>
          <w:color w:val="000000" w:themeColor="text1"/>
        </w:rPr>
      </w:pPr>
      <w:r w:rsidRPr="008A2411">
        <w:rPr>
          <w:rFonts w:ascii="Times New Roman"/>
          <w:color w:val="000000" w:themeColor="text1"/>
        </w:rPr>
        <w:t>一般固体废物存放</w:t>
      </w:r>
      <w:r w:rsidRPr="008A2411">
        <w:rPr>
          <w:rFonts w:ascii="Times New Roman" w:hint="eastAsia"/>
          <w:color w:val="000000" w:themeColor="text1"/>
        </w:rPr>
        <w:t>参照执行《一般工业固体废物贮存和填埋污染控制标准</w:t>
      </w:r>
      <w:r w:rsidRPr="008A2411">
        <w:rPr>
          <w:rFonts w:ascii="Times New Roman"/>
          <w:color w:val="000000" w:themeColor="text1"/>
        </w:rPr>
        <w:t>》（</w:t>
      </w:r>
      <w:r w:rsidRPr="008A2411">
        <w:rPr>
          <w:rFonts w:ascii="Times New Roman"/>
          <w:color w:val="000000" w:themeColor="text1"/>
        </w:rPr>
        <w:t>GB18599-2020</w:t>
      </w:r>
      <w:r w:rsidRPr="008A2411">
        <w:rPr>
          <w:rFonts w:ascii="Times New Roman"/>
          <w:color w:val="000000" w:themeColor="text1"/>
        </w:rPr>
        <w:t>）及其修改单中有关要求；</w:t>
      </w:r>
      <w:r w:rsidRPr="008A2411">
        <w:rPr>
          <w:rFonts w:ascii="Times New Roman"/>
          <w:bCs/>
          <w:color w:val="000000" w:themeColor="text1"/>
        </w:rPr>
        <w:t>危险废物储存堆放执行《危险废物贮存污染控制标准（含修改单）》（</w:t>
      </w:r>
      <w:r w:rsidRPr="008A2411">
        <w:rPr>
          <w:rFonts w:ascii="Times New Roman"/>
          <w:bCs/>
          <w:color w:val="000000" w:themeColor="text1"/>
        </w:rPr>
        <w:t>GB18597-2001</w:t>
      </w:r>
      <w:r w:rsidRPr="008A2411">
        <w:rPr>
          <w:rFonts w:ascii="Times New Roman"/>
          <w:bCs/>
          <w:color w:val="000000" w:themeColor="text1"/>
        </w:rPr>
        <w:t>）中的有关要求</w:t>
      </w:r>
      <w:r w:rsidRPr="008A2411">
        <w:rPr>
          <w:rFonts w:ascii="Times New Roman"/>
          <w:color w:val="000000" w:themeColor="text1"/>
        </w:rPr>
        <w:t>；</w:t>
      </w:r>
    </w:p>
    <w:p w14:paraId="39149C6F" w14:textId="77777777" w:rsidR="00B0005F" w:rsidRPr="008A2411" w:rsidRDefault="00000000">
      <w:pPr>
        <w:pStyle w:val="2"/>
        <w:spacing w:before="0" w:after="0" w:line="360" w:lineRule="auto"/>
        <w:rPr>
          <w:rFonts w:ascii="Times New Roman" w:eastAsia="宋体"/>
          <w:color w:val="000000" w:themeColor="text1"/>
          <w:sz w:val="24"/>
        </w:rPr>
      </w:pPr>
      <w:bookmarkStart w:id="90" w:name="_Toc19108234"/>
      <w:bookmarkStart w:id="91" w:name="_Toc109170746"/>
      <w:r w:rsidRPr="008A2411">
        <w:rPr>
          <w:rFonts w:ascii="Times New Roman" w:eastAsia="宋体"/>
          <w:color w:val="000000" w:themeColor="text1"/>
          <w:sz w:val="24"/>
        </w:rPr>
        <w:t xml:space="preserve">2.7 </w:t>
      </w:r>
      <w:r w:rsidRPr="008A2411">
        <w:rPr>
          <w:rFonts w:ascii="Times New Roman" w:eastAsia="宋体"/>
          <w:color w:val="000000" w:themeColor="text1"/>
          <w:sz w:val="24"/>
        </w:rPr>
        <w:t>评价工作等级及评价范围</w:t>
      </w:r>
      <w:bookmarkEnd w:id="90"/>
      <w:bookmarkEnd w:id="91"/>
    </w:p>
    <w:p w14:paraId="66C20E63" w14:textId="77777777" w:rsidR="00B0005F" w:rsidRPr="008A2411" w:rsidRDefault="00000000">
      <w:pPr>
        <w:pStyle w:val="31"/>
        <w:keepNext w:val="0"/>
        <w:keepLines w:val="0"/>
        <w:spacing w:before="0" w:after="0" w:line="360" w:lineRule="auto"/>
        <w:rPr>
          <w:rFonts w:ascii="Times New Roman"/>
          <w:color w:val="000000" w:themeColor="text1"/>
          <w:sz w:val="24"/>
          <w:szCs w:val="28"/>
        </w:rPr>
      </w:pPr>
      <w:r w:rsidRPr="008A2411">
        <w:rPr>
          <w:rFonts w:ascii="Times New Roman"/>
          <w:color w:val="000000" w:themeColor="text1"/>
          <w:sz w:val="24"/>
          <w:szCs w:val="28"/>
        </w:rPr>
        <w:t>2.7.1</w:t>
      </w:r>
      <w:r w:rsidRPr="008A2411">
        <w:rPr>
          <w:rFonts w:ascii="Times New Roman"/>
          <w:color w:val="000000" w:themeColor="text1"/>
          <w:sz w:val="24"/>
          <w:szCs w:val="28"/>
        </w:rPr>
        <w:t>评价工作等级</w:t>
      </w:r>
    </w:p>
    <w:p w14:paraId="3DAED16B" w14:textId="77777777" w:rsidR="00B0005F" w:rsidRPr="008A2411" w:rsidRDefault="00000000">
      <w:pPr>
        <w:spacing w:line="360" w:lineRule="auto"/>
        <w:ind w:firstLineChars="200" w:firstLine="480"/>
        <w:rPr>
          <w:rFonts w:ascii="Times New Roman"/>
          <w:color w:val="000000" w:themeColor="text1"/>
        </w:rPr>
      </w:pPr>
      <w:r w:rsidRPr="008A2411">
        <w:rPr>
          <w:rFonts w:ascii="Times New Roman"/>
          <w:color w:val="000000" w:themeColor="text1"/>
        </w:rPr>
        <w:t>本项目评价级别的划分是依据建设项目可能对环境产生影响的范围、程度，以及项目所在地区的环境敏感程度确定的，各专题评价的等级确定如下：</w:t>
      </w:r>
    </w:p>
    <w:p w14:paraId="76A4CD76" w14:textId="77777777" w:rsidR="00B0005F" w:rsidRPr="008A2411" w:rsidRDefault="00000000">
      <w:pPr>
        <w:spacing w:line="360" w:lineRule="auto"/>
        <w:ind w:firstLineChars="200" w:firstLine="482"/>
        <w:rPr>
          <w:rFonts w:ascii="Times New Roman"/>
          <w:b/>
          <w:color w:val="000000" w:themeColor="text1"/>
        </w:rPr>
      </w:pPr>
      <w:r w:rsidRPr="008A2411">
        <w:rPr>
          <w:rFonts w:ascii="Times New Roman"/>
          <w:b/>
          <w:color w:val="000000" w:themeColor="text1"/>
        </w:rPr>
        <w:t>（</w:t>
      </w:r>
      <w:r w:rsidRPr="008A2411">
        <w:rPr>
          <w:rFonts w:ascii="Times New Roman"/>
          <w:b/>
          <w:color w:val="000000" w:themeColor="text1"/>
        </w:rPr>
        <w:t>1</w:t>
      </w:r>
      <w:r w:rsidRPr="008A2411">
        <w:rPr>
          <w:rFonts w:ascii="Times New Roman"/>
          <w:b/>
          <w:color w:val="000000" w:themeColor="text1"/>
        </w:rPr>
        <w:t>）地表水环境影响评价工作等级</w:t>
      </w:r>
    </w:p>
    <w:p w14:paraId="2B6B0EAC" w14:textId="77777777" w:rsidR="00B0005F" w:rsidRPr="008A2411" w:rsidRDefault="00000000">
      <w:pPr>
        <w:spacing w:line="360" w:lineRule="auto"/>
        <w:ind w:firstLineChars="200" w:firstLine="480"/>
        <w:rPr>
          <w:rFonts w:ascii="Times New Roman"/>
          <w:color w:val="000000" w:themeColor="text1"/>
        </w:rPr>
      </w:pPr>
      <w:r w:rsidRPr="008A2411">
        <w:rPr>
          <w:rFonts w:ascii="Times New Roman"/>
          <w:color w:val="000000" w:themeColor="text1"/>
        </w:rPr>
        <w:t>本项目营运</w:t>
      </w:r>
      <w:proofErr w:type="gramStart"/>
      <w:r w:rsidRPr="008A2411">
        <w:rPr>
          <w:rFonts w:ascii="Times New Roman"/>
          <w:color w:val="000000" w:themeColor="text1"/>
        </w:rPr>
        <w:t>期项目</w:t>
      </w:r>
      <w:proofErr w:type="gramEnd"/>
      <w:r w:rsidRPr="008A2411">
        <w:rPr>
          <w:rFonts w:ascii="Times New Roman"/>
          <w:color w:val="000000" w:themeColor="text1"/>
        </w:rPr>
        <w:t>所产</w:t>
      </w:r>
      <w:r w:rsidRPr="008A2411">
        <w:rPr>
          <w:rFonts w:ascii="Times New Roman"/>
          <w:color w:val="000000" w:themeColor="text1"/>
          <w:szCs w:val="24"/>
        </w:rPr>
        <w:t>进口过滤分离器废水、冷却器产生的凝液、</w:t>
      </w:r>
      <w:proofErr w:type="gramStart"/>
      <w:r w:rsidRPr="008A2411">
        <w:rPr>
          <w:rFonts w:ascii="Times New Roman"/>
          <w:color w:val="000000" w:themeColor="text1"/>
          <w:szCs w:val="24"/>
        </w:rPr>
        <w:t>脱盐间排及</w:t>
      </w:r>
      <w:proofErr w:type="gramEnd"/>
      <w:r w:rsidRPr="008A2411">
        <w:rPr>
          <w:rFonts w:ascii="Times New Roman"/>
          <w:color w:val="000000" w:themeColor="text1"/>
          <w:szCs w:val="24"/>
        </w:rPr>
        <w:t>软化水装置排水及生活污水等，其中水质较为清洁的</w:t>
      </w:r>
      <w:proofErr w:type="gramStart"/>
      <w:r w:rsidRPr="008A2411">
        <w:rPr>
          <w:rFonts w:ascii="Times New Roman"/>
          <w:color w:val="000000" w:themeColor="text1"/>
          <w:szCs w:val="24"/>
        </w:rPr>
        <w:t>脱盐间排及</w:t>
      </w:r>
      <w:proofErr w:type="gramEnd"/>
      <w:r w:rsidRPr="008A2411">
        <w:rPr>
          <w:rFonts w:ascii="Times New Roman"/>
          <w:color w:val="000000" w:themeColor="text1"/>
          <w:szCs w:val="24"/>
        </w:rPr>
        <w:t>软化水装置排水直接排入园区污水管网，进口过滤分离器废水、冷却器产生的凝液及生活污水均排入厂区污水处理站进行预处理达到《污水综合排放标准》（</w:t>
      </w:r>
      <w:r w:rsidRPr="008A2411">
        <w:rPr>
          <w:rFonts w:ascii="Times New Roman"/>
          <w:color w:val="000000" w:themeColor="text1"/>
          <w:szCs w:val="24"/>
        </w:rPr>
        <w:t>GB8978-1996</w:t>
      </w:r>
      <w:r w:rsidRPr="008A2411">
        <w:rPr>
          <w:rFonts w:ascii="Times New Roman"/>
          <w:color w:val="000000" w:themeColor="text1"/>
          <w:szCs w:val="24"/>
        </w:rPr>
        <w:t>）三级标准后排入园区管网，最终由园区污水处理厂处理达标后排放。</w:t>
      </w:r>
      <w:r w:rsidRPr="008A2411">
        <w:rPr>
          <w:rFonts w:ascii="Times New Roman"/>
          <w:color w:val="000000" w:themeColor="text1"/>
        </w:rPr>
        <w:t>根据《环境影响评价技术导则</w:t>
      </w:r>
      <w:r w:rsidRPr="008A2411">
        <w:rPr>
          <w:rFonts w:ascii="Times New Roman"/>
          <w:color w:val="000000" w:themeColor="text1"/>
        </w:rPr>
        <w:t xml:space="preserve">  </w:t>
      </w:r>
      <w:r w:rsidRPr="008A2411">
        <w:rPr>
          <w:rFonts w:ascii="Times New Roman"/>
          <w:color w:val="000000" w:themeColor="text1"/>
        </w:rPr>
        <w:t>地表水环境》（</w:t>
      </w:r>
      <w:r w:rsidRPr="008A2411">
        <w:rPr>
          <w:rFonts w:ascii="Times New Roman"/>
          <w:color w:val="000000" w:themeColor="text1"/>
        </w:rPr>
        <w:t>HJ/T2.3-2018</w:t>
      </w:r>
      <w:r w:rsidRPr="008A2411">
        <w:rPr>
          <w:rFonts w:ascii="Times New Roman"/>
          <w:color w:val="000000" w:themeColor="text1"/>
        </w:rPr>
        <w:t>）的规定，本项目评价等级为三级</w:t>
      </w:r>
      <w:r w:rsidRPr="008A2411">
        <w:rPr>
          <w:rFonts w:ascii="Times New Roman"/>
          <w:color w:val="000000" w:themeColor="text1"/>
        </w:rPr>
        <w:t>B</w:t>
      </w:r>
      <w:r w:rsidRPr="008A2411">
        <w:rPr>
          <w:rFonts w:ascii="Times New Roman"/>
          <w:color w:val="000000" w:themeColor="text1"/>
        </w:rPr>
        <w:t>，只需进行简要分析。</w:t>
      </w:r>
    </w:p>
    <w:p w14:paraId="451E980D" w14:textId="77777777" w:rsidR="00B0005F" w:rsidRPr="008A2411" w:rsidRDefault="00000000">
      <w:pPr>
        <w:jc w:val="center"/>
        <w:rPr>
          <w:rFonts w:ascii="Times New Roman" w:eastAsia="黑体"/>
          <w:color w:val="000000" w:themeColor="text1"/>
        </w:rPr>
      </w:pPr>
      <w:r w:rsidRPr="008A2411">
        <w:rPr>
          <w:rFonts w:ascii="Times New Roman" w:eastAsia="黑体"/>
          <w:color w:val="000000" w:themeColor="text1"/>
        </w:rPr>
        <w:t>表</w:t>
      </w:r>
      <w:r w:rsidRPr="008A2411">
        <w:rPr>
          <w:rFonts w:ascii="Times New Roman" w:eastAsia="黑体"/>
          <w:color w:val="000000" w:themeColor="text1"/>
        </w:rPr>
        <w:t xml:space="preserve">2.7-1  </w:t>
      </w:r>
      <w:r w:rsidRPr="008A2411">
        <w:rPr>
          <w:rFonts w:ascii="Times New Roman" w:eastAsia="黑体"/>
          <w:color w:val="000000" w:themeColor="text1"/>
        </w:rPr>
        <w:t>地表水环境影响分级依据</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33"/>
        <w:gridCol w:w="1803"/>
        <w:gridCol w:w="5386"/>
      </w:tblGrid>
      <w:tr w:rsidR="008A2411" w:rsidRPr="008A2411" w14:paraId="2432114E" w14:textId="77777777">
        <w:trPr>
          <w:jc w:val="center"/>
        </w:trPr>
        <w:tc>
          <w:tcPr>
            <w:tcW w:w="782" w:type="pct"/>
            <w:vMerge w:val="restart"/>
            <w:vAlign w:val="center"/>
          </w:tcPr>
          <w:p w14:paraId="41BC1412"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评价等级</w:t>
            </w:r>
          </w:p>
        </w:tc>
        <w:tc>
          <w:tcPr>
            <w:tcW w:w="4218" w:type="pct"/>
            <w:gridSpan w:val="2"/>
            <w:vAlign w:val="center"/>
          </w:tcPr>
          <w:p w14:paraId="675ADF3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判定依据</w:t>
            </w:r>
          </w:p>
        </w:tc>
      </w:tr>
      <w:tr w:rsidR="008A2411" w:rsidRPr="008A2411" w14:paraId="7F7BDA47" w14:textId="77777777">
        <w:trPr>
          <w:jc w:val="center"/>
        </w:trPr>
        <w:tc>
          <w:tcPr>
            <w:tcW w:w="782" w:type="pct"/>
            <w:vMerge/>
            <w:vAlign w:val="center"/>
          </w:tcPr>
          <w:p w14:paraId="2FCEAC63" w14:textId="77777777" w:rsidR="00B0005F" w:rsidRPr="008A2411" w:rsidRDefault="00B0005F">
            <w:pPr>
              <w:widowControl/>
              <w:jc w:val="left"/>
              <w:rPr>
                <w:rFonts w:ascii="Times New Roman"/>
                <w:color w:val="000000" w:themeColor="text1"/>
                <w:sz w:val="21"/>
                <w:szCs w:val="21"/>
              </w:rPr>
            </w:pPr>
          </w:p>
        </w:tc>
        <w:tc>
          <w:tcPr>
            <w:tcW w:w="1058" w:type="pct"/>
            <w:vAlign w:val="center"/>
          </w:tcPr>
          <w:p w14:paraId="26B81DA5"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排放方式</w:t>
            </w:r>
          </w:p>
        </w:tc>
        <w:tc>
          <w:tcPr>
            <w:tcW w:w="3160" w:type="pct"/>
            <w:vAlign w:val="center"/>
          </w:tcPr>
          <w:p w14:paraId="005607F4"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废水排放量</w:t>
            </w:r>
            <w:r w:rsidRPr="008A2411">
              <w:rPr>
                <w:rFonts w:ascii="Times New Roman"/>
                <w:color w:val="000000" w:themeColor="text1"/>
                <w:sz w:val="21"/>
                <w:szCs w:val="21"/>
              </w:rPr>
              <w:t>Q/</w:t>
            </w:r>
            <w:r w:rsidRPr="008A2411">
              <w:rPr>
                <w:rFonts w:ascii="Times New Roman"/>
                <w:color w:val="000000" w:themeColor="text1"/>
                <w:sz w:val="21"/>
                <w:szCs w:val="21"/>
              </w:rPr>
              <w:t>（</w:t>
            </w:r>
            <w:r w:rsidRPr="008A2411">
              <w:rPr>
                <w:rFonts w:ascii="Times New Roman"/>
                <w:color w:val="000000" w:themeColor="text1"/>
                <w:sz w:val="21"/>
                <w:szCs w:val="21"/>
              </w:rPr>
              <w:t>m</w:t>
            </w:r>
            <w:r w:rsidRPr="008A2411">
              <w:rPr>
                <w:rFonts w:ascii="Times New Roman"/>
                <w:color w:val="000000" w:themeColor="text1"/>
                <w:sz w:val="21"/>
                <w:szCs w:val="21"/>
                <w:vertAlign w:val="superscript"/>
              </w:rPr>
              <w:t>3</w:t>
            </w:r>
            <w:r w:rsidRPr="008A2411">
              <w:rPr>
                <w:rFonts w:ascii="Times New Roman"/>
                <w:color w:val="000000" w:themeColor="text1"/>
                <w:sz w:val="21"/>
                <w:szCs w:val="21"/>
              </w:rPr>
              <w:t>/d</w:t>
            </w:r>
            <w:r w:rsidRPr="008A2411">
              <w:rPr>
                <w:rFonts w:ascii="Times New Roman"/>
                <w:color w:val="000000" w:themeColor="text1"/>
                <w:sz w:val="21"/>
                <w:szCs w:val="21"/>
              </w:rPr>
              <w:t>）</w:t>
            </w:r>
            <w:r w:rsidRPr="008A2411">
              <w:rPr>
                <w:rFonts w:ascii="Times New Roman"/>
                <w:color w:val="000000" w:themeColor="text1"/>
                <w:sz w:val="21"/>
                <w:szCs w:val="21"/>
              </w:rPr>
              <w:t xml:space="preserve"> </w:t>
            </w:r>
            <w:r w:rsidRPr="008A2411">
              <w:rPr>
                <w:rFonts w:ascii="Times New Roman"/>
                <w:color w:val="000000" w:themeColor="text1"/>
                <w:sz w:val="21"/>
                <w:szCs w:val="21"/>
              </w:rPr>
              <w:t>水污染物当量数</w:t>
            </w:r>
            <w:r w:rsidRPr="008A2411">
              <w:rPr>
                <w:rFonts w:ascii="Times New Roman"/>
                <w:color w:val="000000" w:themeColor="text1"/>
                <w:sz w:val="21"/>
                <w:szCs w:val="21"/>
              </w:rPr>
              <w:t>W/</w:t>
            </w:r>
            <w:r w:rsidRPr="008A2411">
              <w:rPr>
                <w:rFonts w:ascii="Times New Roman"/>
                <w:color w:val="000000" w:themeColor="text1"/>
                <w:sz w:val="21"/>
                <w:szCs w:val="21"/>
              </w:rPr>
              <w:t>（无量纲）</w:t>
            </w:r>
          </w:p>
        </w:tc>
      </w:tr>
      <w:tr w:rsidR="008A2411" w:rsidRPr="008A2411" w14:paraId="4630A711" w14:textId="77777777">
        <w:trPr>
          <w:jc w:val="center"/>
        </w:trPr>
        <w:tc>
          <w:tcPr>
            <w:tcW w:w="782" w:type="pct"/>
            <w:vAlign w:val="center"/>
          </w:tcPr>
          <w:p w14:paraId="4D71D04D"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一级</w:t>
            </w:r>
          </w:p>
        </w:tc>
        <w:tc>
          <w:tcPr>
            <w:tcW w:w="1058" w:type="pct"/>
            <w:vAlign w:val="center"/>
          </w:tcPr>
          <w:p w14:paraId="2251019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直接排放</w:t>
            </w:r>
          </w:p>
        </w:tc>
        <w:tc>
          <w:tcPr>
            <w:tcW w:w="3160" w:type="pct"/>
            <w:vAlign w:val="center"/>
          </w:tcPr>
          <w:p w14:paraId="18B72C7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Q≥2000</w:t>
            </w:r>
            <w:r w:rsidRPr="008A2411">
              <w:rPr>
                <w:rFonts w:ascii="Times New Roman"/>
                <w:color w:val="000000" w:themeColor="text1"/>
                <w:sz w:val="21"/>
                <w:szCs w:val="21"/>
              </w:rPr>
              <w:t>或</w:t>
            </w:r>
            <w:r w:rsidRPr="008A2411">
              <w:rPr>
                <w:rFonts w:ascii="Times New Roman"/>
                <w:color w:val="000000" w:themeColor="text1"/>
                <w:sz w:val="21"/>
                <w:szCs w:val="21"/>
              </w:rPr>
              <w:t>W≥600000</w:t>
            </w:r>
          </w:p>
        </w:tc>
      </w:tr>
      <w:tr w:rsidR="008A2411" w:rsidRPr="008A2411" w14:paraId="2DCDF3FB" w14:textId="77777777">
        <w:trPr>
          <w:jc w:val="center"/>
        </w:trPr>
        <w:tc>
          <w:tcPr>
            <w:tcW w:w="782" w:type="pct"/>
            <w:vAlign w:val="center"/>
          </w:tcPr>
          <w:p w14:paraId="538623F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二级</w:t>
            </w:r>
          </w:p>
        </w:tc>
        <w:tc>
          <w:tcPr>
            <w:tcW w:w="1058" w:type="pct"/>
            <w:vAlign w:val="center"/>
          </w:tcPr>
          <w:p w14:paraId="5C1ED767"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直接排放</w:t>
            </w:r>
          </w:p>
        </w:tc>
        <w:tc>
          <w:tcPr>
            <w:tcW w:w="3160" w:type="pct"/>
            <w:vAlign w:val="center"/>
          </w:tcPr>
          <w:p w14:paraId="263A835B"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其他</w:t>
            </w:r>
          </w:p>
        </w:tc>
      </w:tr>
      <w:tr w:rsidR="008A2411" w:rsidRPr="008A2411" w14:paraId="67ADB447" w14:textId="77777777">
        <w:trPr>
          <w:jc w:val="center"/>
        </w:trPr>
        <w:tc>
          <w:tcPr>
            <w:tcW w:w="782" w:type="pct"/>
            <w:vAlign w:val="center"/>
          </w:tcPr>
          <w:p w14:paraId="5115A752"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三级</w:t>
            </w:r>
            <w:r w:rsidRPr="008A2411">
              <w:rPr>
                <w:rFonts w:ascii="Times New Roman"/>
                <w:color w:val="000000" w:themeColor="text1"/>
                <w:sz w:val="21"/>
                <w:szCs w:val="21"/>
              </w:rPr>
              <w:t>A</w:t>
            </w:r>
          </w:p>
        </w:tc>
        <w:tc>
          <w:tcPr>
            <w:tcW w:w="1058" w:type="pct"/>
            <w:vAlign w:val="center"/>
          </w:tcPr>
          <w:p w14:paraId="46C0C50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直接排放</w:t>
            </w:r>
          </w:p>
        </w:tc>
        <w:tc>
          <w:tcPr>
            <w:tcW w:w="3160" w:type="pct"/>
            <w:vAlign w:val="center"/>
          </w:tcPr>
          <w:p w14:paraId="6C53D8B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Q</w:t>
            </w:r>
            <w:r w:rsidRPr="008A2411">
              <w:rPr>
                <w:rFonts w:ascii="Times New Roman"/>
                <w:color w:val="000000" w:themeColor="text1"/>
                <w:sz w:val="21"/>
                <w:szCs w:val="21"/>
              </w:rPr>
              <w:t>＜</w:t>
            </w:r>
            <w:r w:rsidRPr="008A2411">
              <w:rPr>
                <w:rFonts w:ascii="Times New Roman"/>
                <w:color w:val="000000" w:themeColor="text1"/>
                <w:sz w:val="21"/>
                <w:szCs w:val="21"/>
              </w:rPr>
              <w:t>200</w:t>
            </w:r>
            <w:r w:rsidRPr="008A2411">
              <w:rPr>
                <w:rFonts w:ascii="Times New Roman"/>
                <w:color w:val="000000" w:themeColor="text1"/>
                <w:sz w:val="21"/>
                <w:szCs w:val="21"/>
              </w:rPr>
              <w:t>且</w:t>
            </w:r>
            <w:r w:rsidRPr="008A2411">
              <w:rPr>
                <w:rFonts w:ascii="Times New Roman"/>
                <w:color w:val="000000" w:themeColor="text1"/>
                <w:sz w:val="21"/>
                <w:szCs w:val="21"/>
              </w:rPr>
              <w:t>W</w:t>
            </w:r>
            <w:r w:rsidRPr="008A2411">
              <w:rPr>
                <w:rFonts w:ascii="Times New Roman"/>
                <w:color w:val="000000" w:themeColor="text1"/>
                <w:sz w:val="21"/>
                <w:szCs w:val="21"/>
              </w:rPr>
              <w:t>＜</w:t>
            </w:r>
            <w:r w:rsidRPr="008A2411">
              <w:rPr>
                <w:rFonts w:ascii="Times New Roman"/>
                <w:color w:val="000000" w:themeColor="text1"/>
                <w:sz w:val="21"/>
                <w:szCs w:val="21"/>
              </w:rPr>
              <w:t>6000</w:t>
            </w:r>
          </w:p>
        </w:tc>
      </w:tr>
      <w:tr w:rsidR="008A2411" w:rsidRPr="008A2411" w14:paraId="5B1B4266" w14:textId="77777777">
        <w:trPr>
          <w:jc w:val="center"/>
        </w:trPr>
        <w:tc>
          <w:tcPr>
            <w:tcW w:w="782" w:type="pct"/>
            <w:vAlign w:val="center"/>
          </w:tcPr>
          <w:p w14:paraId="0DE9F2DE"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三级</w:t>
            </w:r>
            <w:r w:rsidRPr="008A2411">
              <w:rPr>
                <w:rFonts w:ascii="Times New Roman"/>
                <w:color w:val="000000" w:themeColor="text1"/>
                <w:sz w:val="21"/>
                <w:szCs w:val="21"/>
              </w:rPr>
              <w:t>B</w:t>
            </w:r>
          </w:p>
        </w:tc>
        <w:tc>
          <w:tcPr>
            <w:tcW w:w="1058" w:type="pct"/>
            <w:vAlign w:val="center"/>
          </w:tcPr>
          <w:p w14:paraId="6316F7C7"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间接排放</w:t>
            </w:r>
          </w:p>
        </w:tc>
        <w:tc>
          <w:tcPr>
            <w:tcW w:w="3160" w:type="pct"/>
            <w:vAlign w:val="center"/>
          </w:tcPr>
          <w:p w14:paraId="032C71ED"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w:t>
            </w:r>
          </w:p>
        </w:tc>
      </w:tr>
    </w:tbl>
    <w:p w14:paraId="3FCF30D4" w14:textId="77777777" w:rsidR="00B0005F" w:rsidRPr="008A2411" w:rsidRDefault="00000000">
      <w:pPr>
        <w:spacing w:line="360" w:lineRule="auto"/>
        <w:ind w:firstLineChars="200" w:firstLine="482"/>
        <w:rPr>
          <w:rFonts w:ascii="Times New Roman"/>
          <w:b/>
          <w:color w:val="000000" w:themeColor="text1"/>
        </w:rPr>
      </w:pPr>
      <w:r w:rsidRPr="008A2411">
        <w:rPr>
          <w:rFonts w:ascii="Times New Roman"/>
          <w:b/>
          <w:color w:val="000000" w:themeColor="text1"/>
        </w:rPr>
        <w:t>（</w:t>
      </w:r>
      <w:r w:rsidRPr="008A2411">
        <w:rPr>
          <w:rFonts w:ascii="Times New Roman"/>
          <w:b/>
          <w:color w:val="000000" w:themeColor="text1"/>
        </w:rPr>
        <w:t>2</w:t>
      </w:r>
      <w:r w:rsidRPr="008A2411">
        <w:rPr>
          <w:rFonts w:ascii="Times New Roman"/>
          <w:b/>
          <w:color w:val="000000" w:themeColor="text1"/>
        </w:rPr>
        <w:t>）大气环境影响评价工作等级</w:t>
      </w:r>
    </w:p>
    <w:p w14:paraId="0A910378" w14:textId="77777777" w:rsidR="00B0005F" w:rsidRPr="008A2411" w:rsidRDefault="00000000">
      <w:pPr>
        <w:spacing w:line="360" w:lineRule="auto"/>
        <w:ind w:firstLineChars="200" w:firstLine="480"/>
        <w:rPr>
          <w:rFonts w:ascii="Times New Roman"/>
          <w:color w:val="000000" w:themeColor="text1"/>
        </w:rPr>
      </w:pPr>
      <w:r w:rsidRPr="008A2411">
        <w:rPr>
          <w:rFonts w:ascii="Times New Roman"/>
          <w:color w:val="000000" w:themeColor="text1"/>
        </w:rPr>
        <w:t>本项目施工期大气污染源主要为基础开挖、材料运输等作业过程中产生的施工扬尘，采取相关防尘措施后，扬尘排放量和影响范围可大大减小；运营期大气污染物主要是包括导热油炉和长明火炬燃料燃烧废气，以及脱硫塔排放的废气。其中，导热油炉、长明火炬以净化后的天然气为燃料，天然气燃烧后的主要大气污染物为</w:t>
      </w:r>
      <w:r w:rsidRPr="008A2411">
        <w:rPr>
          <w:rFonts w:ascii="Times New Roman"/>
          <w:color w:val="000000" w:themeColor="text1"/>
        </w:rPr>
        <w:t>SO</w:t>
      </w:r>
      <w:r w:rsidRPr="008A2411">
        <w:rPr>
          <w:rFonts w:ascii="Times New Roman"/>
          <w:color w:val="000000" w:themeColor="text1"/>
          <w:vertAlign w:val="subscript"/>
        </w:rPr>
        <w:t>2</w:t>
      </w:r>
      <w:r w:rsidRPr="008A2411">
        <w:rPr>
          <w:rFonts w:ascii="Times New Roman"/>
          <w:color w:val="000000" w:themeColor="text1"/>
        </w:rPr>
        <w:t>及</w:t>
      </w:r>
      <w:r w:rsidRPr="008A2411">
        <w:rPr>
          <w:rFonts w:ascii="Times New Roman"/>
          <w:color w:val="000000" w:themeColor="text1"/>
        </w:rPr>
        <w:t>NO</w:t>
      </w:r>
      <w:r w:rsidRPr="008A2411">
        <w:rPr>
          <w:rFonts w:ascii="Times New Roman"/>
          <w:color w:val="000000" w:themeColor="text1"/>
          <w:vertAlign w:val="subscript"/>
        </w:rPr>
        <w:t>x</w:t>
      </w:r>
      <w:r w:rsidRPr="008A2411">
        <w:rPr>
          <w:rFonts w:ascii="Times New Roman"/>
          <w:color w:val="000000" w:themeColor="text1"/>
        </w:rPr>
        <w:t>；脱硫塔尾气中的污染物以少量</w:t>
      </w:r>
      <w:r w:rsidRPr="008A2411">
        <w:rPr>
          <w:rFonts w:ascii="Times New Roman"/>
          <w:color w:val="000000" w:themeColor="text1"/>
        </w:rPr>
        <w:t>H</w:t>
      </w:r>
      <w:r w:rsidRPr="008A2411">
        <w:rPr>
          <w:rFonts w:ascii="Times New Roman"/>
          <w:color w:val="000000" w:themeColor="text1"/>
          <w:vertAlign w:val="subscript"/>
        </w:rPr>
        <w:t>2</w:t>
      </w:r>
      <w:r w:rsidRPr="008A2411">
        <w:rPr>
          <w:rFonts w:ascii="Times New Roman"/>
          <w:color w:val="000000" w:themeColor="text1"/>
        </w:rPr>
        <w:t>S</w:t>
      </w:r>
      <w:r w:rsidRPr="008A2411">
        <w:rPr>
          <w:rFonts w:ascii="Times New Roman"/>
          <w:color w:val="000000" w:themeColor="text1"/>
        </w:rPr>
        <w:t>为主，经各自的活性炭装置净化后可实现达标排放。根据《环境影响评价技术导则</w:t>
      </w:r>
      <w:r w:rsidRPr="008A2411">
        <w:rPr>
          <w:rFonts w:ascii="Times New Roman"/>
          <w:color w:val="000000" w:themeColor="text1"/>
        </w:rPr>
        <w:t xml:space="preserve"> </w:t>
      </w:r>
      <w:r w:rsidRPr="008A2411">
        <w:rPr>
          <w:rFonts w:ascii="Times New Roman"/>
          <w:color w:val="000000" w:themeColor="text1"/>
        </w:rPr>
        <w:t>大气环境》（</w:t>
      </w:r>
      <w:r w:rsidRPr="008A2411">
        <w:rPr>
          <w:rFonts w:ascii="Times New Roman"/>
          <w:color w:val="000000" w:themeColor="text1"/>
        </w:rPr>
        <w:t>HJ2.2-2018</w:t>
      </w:r>
      <w:r w:rsidRPr="008A2411">
        <w:rPr>
          <w:rFonts w:ascii="Times New Roman"/>
          <w:color w:val="000000" w:themeColor="text1"/>
        </w:rPr>
        <w:t>）中评价等级划分的有关规定，按照如下估算模式计算其落地浓度。</w:t>
      </w:r>
    </w:p>
    <w:p w14:paraId="783ECCE3" w14:textId="77777777" w:rsidR="00B0005F" w:rsidRPr="008A2411" w:rsidRDefault="00000000">
      <w:pPr>
        <w:spacing w:line="500" w:lineRule="exact"/>
        <w:ind w:firstLine="480"/>
        <w:jc w:val="center"/>
        <w:rPr>
          <w:rFonts w:ascii="Times New Roman"/>
          <w:color w:val="000000" w:themeColor="text1"/>
        </w:rPr>
      </w:pPr>
      <w:r>
        <w:rPr>
          <w:rFonts w:ascii="Times New Roman"/>
          <w:color w:val="000000" w:themeColor="text1"/>
          <w:spacing w:val="4"/>
        </w:rPr>
        <w:object w:dxaOrig="1440" w:dyaOrig="1440" w14:anchorId="1C47067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对象 29" o:spid="_x0000_s2050" type="#_x0000_t75" style="position:absolute;left:0;text-align:left;margin-left:193.85pt;margin-top:6pt;width:90.7pt;height:37.5pt;z-index:251694080;mso-width-relative:page;mso-height-relative:page">
            <v:imagedata r:id="rId18" o:title="" cropbottom="24505f"/>
          </v:shape>
          <o:OLEObject Type="Embed" ProgID="Equation.3" ShapeID="对象 29" DrawAspect="Content" ObjectID="_1719945153" r:id="rId19"/>
        </w:object>
      </w:r>
    </w:p>
    <w:p w14:paraId="3AD0A46F" w14:textId="77777777" w:rsidR="00B0005F" w:rsidRPr="008A2411" w:rsidRDefault="00000000">
      <w:pPr>
        <w:adjustRightInd w:val="0"/>
        <w:snapToGrid w:val="0"/>
        <w:spacing w:line="360" w:lineRule="auto"/>
        <w:ind w:firstLine="480"/>
        <w:rPr>
          <w:rFonts w:ascii="Times New Roman"/>
          <w:color w:val="000000" w:themeColor="text1"/>
        </w:rPr>
      </w:pPr>
      <w:r w:rsidRPr="008A2411">
        <w:rPr>
          <w:rFonts w:ascii="Times New Roman"/>
          <w:color w:val="000000" w:themeColor="text1"/>
        </w:rPr>
        <w:lastRenderedPageBreak/>
        <w:t>式中：</w:t>
      </w:r>
    </w:p>
    <w:p w14:paraId="7141054C" w14:textId="77777777" w:rsidR="00B0005F" w:rsidRPr="008A2411" w:rsidRDefault="00000000">
      <w:pPr>
        <w:adjustRightInd w:val="0"/>
        <w:snapToGrid w:val="0"/>
        <w:spacing w:line="360" w:lineRule="auto"/>
        <w:ind w:firstLine="480"/>
        <w:rPr>
          <w:rFonts w:ascii="Times New Roman"/>
          <w:color w:val="000000" w:themeColor="text1"/>
        </w:rPr>
      </w:pPr>
      <w:r w:rsidRPr="008A2411">
        <w:rPr>
          <w:rFonts w:ascii="Times New Roman"/>
          <w:i/>
          <w:color w:val="000000" w:themeColor="text1"/>
        </w:rPr>
        <w:t>P</w:t>
      </w:r>
      <w:r w:rsidRPr="008A2411">
        <w:rPr>
          <w:rFonts w:ascii="Times New Roman"/>
          <w:i/>
          <w:color w:val="000000" w:themeColor="text1"/>
          <w:vertAlign w:val="subscript"/>
        </w:rPr>
        <w:t>i</w:t>
      </w:r>
      <w:r w:rsidRPr="008A2411">
        <w:rPr>
          <w:rFonts w:ascii="Times New Roman"/>
          <w:color w:val="000000" w:themeColor="text1"/>
        </w:rPr>
        <w:t>——</w:t>
      </w:r>
      <w:r w:rsidRPr="008A2411">
        <w:rPr>
          <w:rFonts w:ascii="Times New Roman"/>
          <w:color w:val="000000" w:themeColor="text1"/>
        </w:rPr>
        <w:t>第</w:t>
      </w:r>
      <w:proofErr w:type="spellStart"/>
      <w:r w:rsidRPr="008A2411">
        <w:rPr>
          <w:rFonts w:ascii="Times New Roman"/>
          <w:color w:val="000000" w:themeColor="text1"/>
        </w:rPr>
        <w:t>i</w:t>
      </w:r>
      <w:proofErr w:type="spellEnd"/>
      <w:proofErr w:type="gramStart"/>
      <w:r w:rsidRPr="008A2411">
        <w:rPr>
          <w:rFonts w:ascii="Times New Roman"/>
          <w:color w:val="000000" w:themeColor="text1"/>
        </w:rPr>
        <w:t>个</w:t>
      </w:r>
      <w:proofErr w:type="gramEnd"/>
      <w:r w:rsidRPr="008A2411">
        <w:rPr>
          <w:rFonts w:ascii="Times New Roman"/>
          <w:color w:val="000000" w:themeColor="text1"/>
        </w:rPr>
        <w:t>污染物的最大地面浓度占标率，</w:t>
      </w:r>
      <w:r w:rsidRPr="008A2411">
        <w:rPr>
          <w:rFonts w:ascii="Times New Roman"/>
          <w:color w:val="000000" w:themeColor="text1"/>
        </w:rPr>
        <w:t>%</w:t>
      </w:r>
      <w:r w:rsidRPr="008A2411">
        <w:rPr>
          <w:rFonts w:ascii="Times New Roman"/>
          <w:color w:val="000000" w:themeColor="text1"/>
        </w:rPr>
        <w:t>；</w:t>
      </w:r>
    </w:p>
    <w:p w14:paraId="66751FAE" w14:textId="77777777" w:rsidR="00B0005F" w:rsidRPr="008A2411" w:rsidRDefault="00000000">
      <w:pPr>
        <w:adjustRightInd w:val="0"/>
        <w:snapToGrid w:val="0"/>
        <w:spacing w:line="360" w:lineRule="auto"/>
        <w:ind w:firstLine="480"/>
        <w:rPr>
          <w:rFonts w:ascii="Times New Roman"/>
          <w:color w:val="000000" w:themeColor="text1"/>
        </w:rPr>
      </w:pPr>
      <w:r w:rsidRPr="008A2411">
        <w:rPr>
          <w:rFonts w:ascii="Times New Roman"/>
          <w:i/>
          <w:color w:val="000000" w:themeColor="text1"/>
        </w:rPr>
        <w:t>C</w:t>
      </w:r>
      <w:r w:rsidRPr="008A2411">
        <w:rPr>
          <w:rFonts w:ascii="Times New Roman"/>
          <w:i/>
          <w:color w:val="000000" w:themeColor="text1"/>
          <w:vertAlign w:val="subscript"/>
        </w:rPr>
        <w:t>i</w:t>
      </w:r>
      <w:r w:rsidRPr="008A2411">
        <w:rPr>
          <w:rFonts w:ascii="Times New Roman"/>
          <w:color w:val="000000" w:themeColor="text1"/>
        </w:rPr>
        <w:t>——</w:t>
      </w:r>
      <w:r w:rsidRPr="008A2411">
        <w:rPr>
          <w:rFonts w:ascii="Times New Roman"/>
          <w:color w:val="000000" w:themeColor="text1"/>
        </w:rPr>
        <w:t>采用估算模式计算出的第</w:t>
      </w:r>
      <w:proofErr w:type="spellStart"/>
      <w:r w:rsidRPr="008A2411">
        <w:rPr>
          <w:rFonts w:ascii="Times New Roman"/>
          <w:color w:val="000000" w:themeColor="text1"/>
        </w:rPr>
        <w:t>i</w:t>
      </w:r>
      <w:proofErr w:type="spellEnd"/>
      <w:proofErr w:type="gramStart"/>
      <w:r w:rsidRPr="008A2411">
        <w:rPr>
          <w:rFonts w:ascii="Times New Roman"/>
          <w:color w:val="000000" w:themeColor="text1"/>
        </w:rPr>
        <w:t>个</w:t>
      </w:r>
      <w:proofErr w:type="gramEnd"/>
      <w:r w:rsidRPr="008A2411">
        <w:rPr>
          <w:rFonts w:ascii="Times New Roman"/>
          <w:color w:val="000000" w:themeColor="text1"/>
        </w:rPr>
        <w:t>污染物的最大地面浓度，</w:t>
      </w:r>
      <w:r w:rsidRPr="008A2411">
        <w:rPr>
          <w:rFonts w:ascii="Times New Roman"/>
          <w:color w:val="000000" w:themeColor="text1"/>
        </w:rPr>
        <w:t>mg/m</w:t>
      </w:r>
      <w:r w:rsidRPr="008A2411">
        <w:rPr>
          <w:rFonts w:ascii="Times New Roman"/>
          <w:color w:val="000000" w:themeColor="text1"/>
          <w:vertAlign w:val="superscript"/>
        </w:rPr>
        <w:t>3</w:t>
      </w:r>
      <w:r w:rsidRPr="008A2411">
        <w:rPr>
          <w:rFonts w:ascii="Times New Roman"/>
          <w:color w:val="000000" w:themeColor="text1"/>
        </w:rPr>
        <w:t xml:space="preserve"> </w:t>
      </w:r>
      <w:r w:rsidRPr="008A2411">
        <w:rPr>
          <w:rFonts w:ascii="Times New Roman"/>
          <w:color w:val="000000" w:themeColor="text1"/>
        </w:rPr>
        <w:t>；</w:t>
      </w:r>
    </w:p>
    <w:p w14:paraId="364D45C8" w14:textId="77777777" w:rsidR="00B0005F" w:rsidRPr="008A2411" w:rsidRDefault="00000000">
      <w:pPr>
        <w:adjustRightInd w:val="0"/>
        <w:snapToGrid w:val="0"/>
        <w:spacing w:line="360" w:lineRule="auto"/>
        <w:ind w:firstLine="480"/>
        <w:rPr>
          <w:rFonts w:ascii="Times New Roman"/>
          <w:color w:val="000000" w:themeColor="text1"/>
        </w:rPr>
      </w:pPr>
      <w:proofErr w:type="spellStart"/>
      <w:r w:rsidRPr="008A2411">
        <w:rPr>
          <w:rFonts w:ascii="Times New Roman"/>
          <w:color w:val="000000" w:themeColor="text1"/>
        </w:rPr>
        <w:t>C</w:t>
      </w:r>
      <w:r w:rsidRPr="008A2411">
        <w:rPr>
          <w:rFonts w:ascii="Times New Roman"/>
          <w:i/>
          <w:color w:val="000000" w:themeColor="text1"/>
          <w:vertAlign w:val="subscript"/>
        </w:rPr>
        <w:t>oi</w:t>
      </w:r>
      <w:proofErr w:type="spellEnd"/>
      <w:r w:rsidRPr="008A2411">
        <w:rPr>
          <w:rFonts w:ascii="Times New Roman"/>
          <w:color w:val="000000" w:themeColor="text1"/>
        </w:rPr>
        <w:t>——</w:t>
      </w:r>
      <w:r w:rsidRPr="008A2411">
        <w:rPr>
          <w:rFonts w:ascii="Times New Roman"/>
          <w:color w:val="000000" w:themeColor="text1"/>
        </w:rPr>
        <w:t>第</w:t>
      </w:r>
      <w:proofErr w:type="spellStart"/>
      <w:r w:rsidRPr="008A2411">
        <w:rPr>
          <w:rFonts w:ascii="Times New Roman"/>
          <w:color w:val="000000" w:themeColor="text1"/>
        </w:rPr>
        <w:t>i</w:t>
      </w:r>
      <w:proofErr w:type="spellEnd"/>
      <w:proofErr w:type="gramStart"/>
      <w:r w:rsidRPr="008A2411">
        <w:rPr>
          <w:rFonts w:ascii="Times New Roman"/>
          <w:color w:val="000000" w:themeColor="text1"/>
        </w:rPr>
        <w:t>个</w:t>
      </w:r>
      <w:proofErr w:type="gramEnd"/>
      <w:r w:rsidRPr="008A2411">
        <w:rPr>
          <w:rFonts w:ascii="Times New Roman"/>
          <w:color w:val="000000" w:themeColor="text1"/>
        </w:rPr>
        <w:t>污染物的大气环境质量标准，</w:t>
      </w:r>
      <w:r w:rsidRPr="008A2411">
        <w:rPr>
          <w:rFonts w:ascii="Times New Roman"/>
          <w:color w:val="000000" w:themeColor="text1"/>
        </w:rPr>
        <w:t>mg/m</w:t>
      </w:r>
      <w:r w:rsidRPr="008A2411">
        <w:rPr>
          <w:rFonts w:ascii="Times New Roman"/>
          <w:color w:val="000000" w:themeColor="text1"/>
          <w:vertAlign w:val="superscript"/>
        </w:rPr>
        <w:t>3</w:t>
      </w:r>
      <w:r w:rsidRPr="008A2411">
        <w:rPr>
          <w:rFonts w:ascii="Times New Roman"/>
          <w:color w:val="000000" w:themeColor="text1"/>
        </w:rPr>
        <w:t>。本项目评价因子和评价标准表、估算模型参数见表表</w:t>
      </w:r>
      <w:r w:rsidRPr="008A2411">
        <w:rPr>
          <w:rFonts w:ascii="Times New Roman"/>
          <w:color w:val="000000" w:themeColor="text1"/>
        </w:rPr>
        <w:t>2.72</w:t>
      </w:r>
      <w:r w:rsidRPr="008A2411">
        <w:rPr>
          <w:rFonts w:ascii="Times New Roman"/>
          <w:color w:val="000000" w:themeColor="text1"/>
        </w:rPr>
        <w:t>。</w:t>
      </w:r>
    </w:p>
    <w:p w14:paraId="4D7ACEE4" w14:textId="77777777" w:rsidR="00B0005F" w:rsidRPr="008A2411" w:rsidRDefault="00000000">
      <w:pPr>
        <w:jc w:val="center"/>
        <w:rPr>
          <w:rFonts w:ascii="Times New Roman" w:eastAsia="黑体"/>
          <w:color w:val="000000" w:themeColor="text1"/>
        </w:rPr>
      </w:pPr>
      <w:r w:rsidRPr="008A2411">
        <w:rPr>
          <w:rFonts w:ascii="Times New Roman" w:eastAsia="黑体"/>
          <w:color w:val="000000" w:themeColor="text1"/>
        </w:rPr>
        <w:t>表</w:t>
      </w:r>
      <w:r w:rsidRPr="008A2411">
        <w:rPr>
          <w:rFonts w:ascii="Times New Roman" w:eastAsia="黑体"/>
          <w:color w:val="000000" w:themeColor="text1"/>
        </w:rPr>
        <w:t xml:space="preserve">2.7-2  </w:t>
      </w:r>
      <w:r w:rsidRPr="008A2411">
        <w:rPr>
          <w:rFonts w:ascii="Times New Roman" w:eastAsia="黑体"/>
          <w:color w:val="000000" w:themeColor="text1"/>
        </w:rPr>
        <w:t>本项目大气估算模型参数表</w:t>
      </w:r>
    </w:p>
    <w:tbl>
      <w:tblPr>
        <w:tblW w:w="499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88"/>
        <w:gridCol w:w="3537"/>
        <w:gridCol w:w="2794"/>
      </w:tblGrid>
      <w:tr w:rsidR="008A2411" w:rsidRPr="008A2411" w14:paraId="4BCE87A6" w14:textId="77777777" w:rsidTr="004605C9">
        <w:trPr>
          <w:trHeight w:val="260"/>
        </w:trPr>
        <w:tc>
          <w:tcPr>
            <w:tcW w:w="3360" w:type="pct"/>
            <w:gridSpan w:val="2"/>
            <w:vAlign w:val="center"/>
          </w:tcPr>
          <w:p w14:paraId="26632EA9" w14:textId="67A2D37B" w:rsidR="004605C9" w:rsidRPr="008A2411" w:rsidRDefault="004605C9">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参数</w:t>
            </w:r>
          </w:p>
        </w:tc>
        <w:tc>
          <w:tcPr>
            <w:tcW w:w="1640" w:type="pct"/>
            <w:vAlign w:val="center"/>
          </w:tcPr>
          <w:p w14:paraId="4601BD78" w14:textId="77777777" w:rsidR="004605C9" w:rsidRPr="008A2411" w:rsidRDefault="004605C9">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取值</w:t>
            </w:r>
          </w:p>
        </w:tc>
      </w:tr>
      <w:tr w:rsidR="008A2411" w:rsidRPr="008A2411" w14:paraId="356FAAB5" w14:textId="77777777" w:rsidTr="004605C9">
        <w:trPr>
          <w:trHeight w:val="260"/>
        </w:trPr>
        <w:tc>
          <w:tcPr>
            <w:tcW w:w="1284" w:type="pct"/>
            <w:vMerge w:val="restart"/>
            <w:vAlign w:val="center"/>
          </w:tcPr>
          <w:p w14:paraId="4D36CA17" w14:textId="77777777" w:rsidR="004605C9" w:rsidRPr="008A2411" w:rsidRDefault="004605C9">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城市</w:t>
            </w:r>
            <w:r w:rsidRPr="008A2411">
              <w:rPr>
                <w:rFonts w:ascii="Times New Roman"/>
                <w:color w:val="000000" w:themeColor="text1"/>
                <w:sz w:val="21"/>
                <w:szCs w:val="21"/>
              </w:rPr>
              <w:t>/</w:t>
            </w:r>
            <w:r w:rsidRPr="008A2411">
              <w:rPr>
                <w:rFonts w:ascii="Times New Roman"/>
                <w:color w:val="000000" w:themeColor="text1"/>
                <w:sz w:val="21"/>
                <w:szCs w:val="21"/>
              </w:rPr>
              <w:t>农村选项</w:t>
            </w:r>
          </w:p>
        </w:tc>
        <w:tc>
          <w:tcPr>
            <w:tcW w:w="2076" w:type="pct"/>
            <w:vAlign w:val="center"/>
          </w:tcPr>
          <w:p w14:paraId="49F3A594" w14:textId="77777777" w:rsidR="004605C9" w:rsidRPr="008A2411" w:rsidRDefault="004605C9">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城市</w:t>
            </w:r>
            <w:r w:rsidRPr="008A2411">
              <w:rPr>
                <w:rFonts w:ascii="Times New Roman"/>
                <w:color w:val="000000" w:themeColor="text1"/>
                <w:sz w:val="21"/>
                <w:szCs w:val="21"/>
              </w:rPr>
              <w:t>/</w:t>
            </w:r>
            <w:r w:rsidRPr="008A2411">
              <w:rPr>
                <w:rFonts w:ascii="Times New Roman"/>
                <w:color w:val="000000" w:themeColor="text1"/>
                <w:sz w:val="21"/>
                <w:szCs w:val="21"/>
              </w:rPr>
              <w:t>农村</w:t>
            </w:r>
          </w:p>
        </w:tc>
        <w:tc>
          <w:tcPr>
            <w:tcW w:w="1640" w:type="pct"/>
            <w:vAlign w:val="center"/>
          </w:tcPr>
          <w:p w14:paraId="2323F4B6" w14:textId="77777777" w:rsidR="004605C9" w:rsidRPr="008A2411" w:rsidRDefault="004605C9">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农村</w:t>
            </w:r>
          </w:p>
        </w:tc>
      </w:tr>
      <w:tr w:rsidR="008A2411" w:rsidRPr="008A2411" w14:paraId="6FCF595D" w14:textId="77777777" w:rsidTr="004605C9">
        <w:trPr>
          <w:trHeight w:val="260"/>
        </w:trPr>
        <w:tc>
          <w:tcPr>
            <w:tcW w:w="1284" w:type="pct"/>
            <w:vMerge/>
            <w:vAlign w:val="center"/>
          </w:tcPr>
          <w:p w14:paraId="17F4AB43" w14:textId="77777777" w:rsidR="004605C9" w:rsidRPr="008A2411" w:rsidRDefault="004605C9">
            <w:pPr>
              <w:adjustRightInd w:val="0"/>
              <w:snapToGrid w:val="0"/>
              <w:jc w:val="center"/>
              <w:rPr>
                <w:rFonts w:ascii="Times New Roman"/>
                <w:color w:val="000000" w:themeColor="text1"/>
                <w:sz w:val="21"/>
                <w:szCs w:val="21"/>
              </w:rPr>
            </w:pPr>
          </w:p>
        </w:tc>
        <w:tc>
          <w:tcPr>
            <w:tcW w:w="2076" w:type="pct"/>
            <w:vAlign w:val="center"/>
          </w:tcPr>
          <w:p w14:paraId="205AE416" w14:textId="77777777" w:rsidR="004605C9" w:rsidRPr="008A2411" w:rsidRDefault="004605C9">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人口数（城市选项时）</w:t>
            </w:r>
          </w:p>
        </w:tc>
        <w:tc>
          <w:tcPr>
            <w:tcW w:w="1640" w:type="pct"/>
            <w:vAlign w:val="center"/>
          </w:tcPr>
          <w:p w14:paraId="59ECE30D" w14:textId="77777777" w:rsidR="004605C9" w:rsidRPr="008A2411" w:rsidRDefault="004605C9">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w:t>
            </w:r>
          </w:p>
        </w:tc>
      </w:tr>
      <w:tr w:rsidR="008A2411" w:rsidRPr="008A2411" w14:paraId="7DD4ACFD" w14:textId="77777777" w:rsidTr="004605C9">
        <w:trPr>
          <w:trHeight w:val="260"/>
        </w:trPr>
        <w:tc>
          <w:tcPr>
            <w:tcW w:w="3360" w:type="pct"/>
            <w:gridSpan w:val="2"/>
            <w:vAlign w:val="center"/>
          </w:tcPr>
          <w:p w14:paraId="36EC4732" w14:textId="5FE8B24A" w:rsidR="004605C9" w:rsidRPr="008A2411" w:rsidRDefault="004605C9">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最高环境温度</w:t>
            </w:r>
            <w:r w:rsidRPr="008A2411">
              <w:rPr>
                <w:rFonts w:ascii="Times New Roman"/>
                <w:color w:val="000000" w:themeColor="text1"/>
                <w:sz w:val="21"/>
                <w:szCs w:val="21"/>
              </w:rPr>
              <w:t>/℃</w:t>
            </w:r>
          </w:p>
        </w:tc>
        <w:tc>
          <w:tcPr>
            <w:tcW w:w="1640" w:type="pct"/>
            <w:vAlign w:val="center"/>
          </w:tcPr>
          <w:p w14:paraId="2174184B" w14:textId="77777777" w:rsidR="004605C9" w:rsidRPr="008A2411" w:rsidRDefault="004605C9">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41.3</w:t>
            </w:r>
          </w:p>
        </w:tc>
      </w:tr>
      <w:tr w:rsidR="008A2411" w:rsidRPr="008A2411" w14:paraId="1E8ADAA9" w14:textId="77777777" w:rsidTr="004605C9">
        <w:trPr>
          <w:trHeight w:val="260"/>
        </w:trPr>
        <w:tc>
          <w:tcPr>
            <w:tcW w:w="3360" w:type="pct"/>
            <w:gridSpan w:val="2"/>
            <w:vAlign w:val="center"/>
          </w:tcPr>
          <w:p w14:paraId="2F122EF9" w14:textId="41908901" w:rsidR="004605C9" w:rsidRPr="008A2411" w:rsidRDefault="004605C9">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最低环境温度</w:t>
            </w:r>
            <w:r w:rsidRPr="008A2411">
              <w:rPr>
                <w:rFonts w:ascii="Times New Roman"/>
                <w:color w:val="000000" w:themeColor="text1"/>
                <w:sz w:val="21"/>
                <w:szCs w:val="21"/>
              </w:rPr>
              <w:t>/℃</w:t>
            </w:r>
          </w:p>
        </w:tc>
        <w:tc>
          <w:tcPr>
            <w:tcW w:w="1640" w:type="pct"/>
            <w:vAlign w:val="center"/>
          </w:tcPr>
          <w:p w14:paraId="67A0CAA4" w14:textId="77777777" w:rsidR="004605C9" w:rsidRPr="008A2411" w:rsidRDefault="004605C9">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-4.3</w:t>
            </w:r>
          </w:p>
        </w:tc>
      </w:tr>
      <w:tr w:rsidR="008A2411" w:rsidRPr="008A2411" w14:paraId="7639E366" w14:textId="77777777" w:rsidTr="004605C9">
        <w:trPr>
          <w:trHeight w:val="260"/>
        </w:trPr>
        <w:tc>
          <w:tcPr>
            <w:tcW w:w="3360" w:type="pct"/>
            <w:gridSpan w:val="2"/>
            <w:vAlign w:val="center"/>
          </w:tcPr>
          <w:p w14:paraId="410A727C" w14:textId="4ACEA416" w:rsidR="004605C9" w:rsidRPr="008A2411" w:rsidRDefault="004605C9">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土地利用类型</w:t>
            </w:r>
          </w:p>
        </w:tc>
        <w:tc>
          <w:tcPr>
            <w:tcW w:w="1640" w:type="pct"/>
            <w:vAlign w:val="center"/>
          </w:tcPr>
          <w:p w14:paraId="48D6DF1B" w14:textId="77777777" w:rsidR="004605C9" w:rsidRPr="008A2411" w:rsidRDefault="004605C9">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落叶林</w:t>
            </w:r>
          </w:p>
        </w:tc>
      </w:tr>
      <w:tr w:rsidR="008A2411" w:rsidRPr="008A2411" w14:paraId="19FB2465" w14:textId="77777777" w:rsidTr="004605C9">
        <w:trPr>
          <w:trHeight w:val="260"/>
        </w:trPr>
        <w:tc>
          <w:tcPr>
            <w:tcW w:w="3360" w:type="pct"/>
            <w:gridSpan w:val="2"/>
            <w:vAlign w:val="center"/>
          </w:tcPr>
          <w:p w14:paraId="14A7D0DE" w14:textId="5D62816C" w:rsidR="004605C9" w:rsidRPr="008A2411" w:rsidRDefault="004605C9">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区域湿度条件</w:t>
            </w:r>
          </w:p>
        </w:tc>
        <w:tc>
          <w:tcPr>
            <w:tcW w:w="1640" w:type="pct"/>
            <w:vAlign w:val="center"/>
          </w:tcPr>
          <w:p w14:paraId="050488A7" w14:textId="77777777" w:rsidR="004605C9" w:rsidRPr="008A2411" w:rsidRDefault="004605C9">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潮湿气候</w:t>
            </w:r>
          </w:p>
        </w:tc>
      </w:tr>
      <w:tr w:rsidR="008A2411" w:rsidRPr="008A2411" w14:paraId="77114EF9" w14:textId="77777777" w:rsidTr="004605C9">
        <w:trPr>
          <w:trHeight w:val="260"/>
        </w:trPr>
        <w:tc>
          <w:tcPr>
            <w:tcW w:w="1284" w:type="pct"/>
            <w:vMerge w:val="restart"/>
            <w:vAlign w:val="center"/>
          </w:tcPr>
          <w:p w14:paraId="52AFF33C"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是否考虑地形</w:t>
            </w:r>
          </w:p>
        </w:tc>
        <w:tc>
          <w:tcPr>
            <w:tcW w:w="2076" w:type="pct"/>
            <w:vAlign w:val="center"/>
          </w:tcPr>
          <w:p w14:paraId="431315A5"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考虑地形</w:t>
            </w:r>
          </w:p>
        </w:tc>
        <w:tc>
          <w:tcPr>
            <w:tcW w:w="1640" w:type="pct"/>
            <w:vAlign w:val="center"/>
          </w:tcPr>
          <w:p w14:paraId="4E323468"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是</w:t>
            </w:r>
          </w:p>
        </w:tc>
      </w:tr>
      <w:tr w:rsidR="008A2411" w:rsidRPr="008A2411" w14:paraId="5E8D437F" w14:textId="77777777" w:rsidTr="004605C9">
        <w:trPr>
          <w:trHeight w:val="260"/>
        </w:trPr>
        <w:tc>
          <w:tcPr>
            <w:tcW w:w="1284" w:type="pct"/>
            <w:vMerge/>
            <w:vAlign w:val="center"/>
          </w:tcPr>
          <w:p w14:paraId="6E0F9473" w14:textId="77777777" w:rsidR="00B0005F" w:rsidRPr="008A2411" w:rsidRDefault="00B0005F">
            <w:pPr>
              <w:adjustRightInd w:val="0"/>
              <w:snapToGrid w:val="0"/>
              <w:jc w:val="center"/>
              <w:rPr>
                <w:rFonts w:ascii="Times New Roman"/>
                <w:color w:val="000000" w:themeColor="text1"/>
                <w:sz w:val="21"/>
                <w:szCs w:val="21"/>
              </w:rPr>
            </w:pPr>
          </w:p>
        </w:tc>
        <w:tc>
          <w:tcPr>
            <w:tcW w:w="2076" w:type="pct"/>
            <w:vAlign w:val="center"/>
          </w:tcPr>
          <w:p w14:paraId="66BEF27E"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地形数据分辨率</w:t>
            </w:r>
            <w:r w:rsidRPr="008A2411">
              <w:rPr>
                <w:rFonts w:ascii="Times New Roman"/>
                <w:color w:val="000000" w:themeColor="text1"/>
                <w:sz w:val="21"/>
                <w:szCs w:val="21"/>
              </w:rPr>
              <w:t>/m</w:t>
            </w:r>
          </w:p>
        </w:tc>
        <w:tc>
          <w:tcPr>
            <w:tcW w:w="1640" w:type="pct"/>
            <w:vAlign w:val="center"/>
          </w:tcPr>
          <w:p w14:paraId="4669A935"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90</w:t>
            </w:r>
          </w:p>
        </w:tc>
      </w:tr>
      <w:tr w:rsidR="008A2411" w:rsidRPr="008A2411" w14:paraId="23AC1EDD" w14:textId="77777777" w:rsidTr="004605C9">
        <w:trPr>
          <w:trHeight w:val="260"/>
        </w:trPr>
        <w:tc>
          <w:tcPr>
            <w:tcW w:w="1284" w:type="pct"/>
            <w:vMerge w:val="restart"/>
            <w:vAlign w:val="center"/>
          </w:tcPr>
          <w:p w14:paraId="6C6358E5"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是否考虑岸线熏烟</w:t>
            </w:r>
          </w:p>
        </w:tc>
        <w:tc>
          <w:tcPr>
            <w:tcW w:w="2076" w:type="pct"/>
            <w:vAlign w:val="center"/>
          </w:tcPr>
          <w:p w14:paraId="3A562966"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考虑岸线熏烟</w:t>
            </w:r>
          </w:p>
        </w:tc>
        <w:tc>
          <w:tcPr>
            <w:tcW w:w="1640" w:type="pct"/>
            <w:vAlign w:val="center"/>
          </w:tcPr>
          <w:p w14:paraId="167F1097"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否</w:t>
            </w:r>
          </w:p>
        </w:tc>
      </w:tr>
      <w:tr w:rsidR="008A2411" w:rsidRPr="008A2411" w14:paraId="4BBEC128" w14:textId="77777777" w:rsidTr="004605C9">
        <w:trPr>
          <w:trHeight w:val="260"/>
        </w:trPr>
        <w:tc>
          <w:tcPr>
            <w:tcW w:w="1284" w:type="pct"/>
            <w:vMerge/>
            <w:vAlign w:val="center"/>
          </w:tcPr>
          <w:p w14:paraId="1D28CBFE" w14:textId="77777777" w:rsidR="00B0005F" w:rsidRPr="008A2411" w:rsidRDefault="00B0005F">
            <w:pPr>
              <w:adjustRightInd w:val="0"/>
              <w:snapToGrid w:val="0"/>
              <w:jc w:val="center"/>
              <w:rPr>
                <w:rFonts w:ascii="Times New Roman"/>
                <w:color w:val="000000" w:themeColor="text1"/>
                <w:sz w:val="21"/>
                <w:szCs w:val="21"/>
              </w:rPr>
            </w:pPr>
          </w:p>
        </w:tc>
        <w:tc>
          <w:tcPr>
            <w:tcW w:w="2076" w:type="pct"/>
            <w:vAlign w:val="center"/>
          </w:tcPr>
          <w:p w14:paraId="4126A298"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岸线距离</w:t>
            </w:r>
            <w:r w:rsidRPr="008A2411">
              <w:rPr>
                <w:rFonts w:ascii="Times New Roman"/>
                <w:color w:val="000000" w:themeColor="text1"/>
                <w:sz w:val="21"/>
                <w:szCs w:val="21"/>
              </w:rPr>
              <w:t>/km</w:t>
            </w:r>
          </w:p>
        </w:tc>
        <w:tc>
          <w:tcPr>
            <w:tcW w:w="1640" w:type="pct"/>
            <w:vAlign w:val="center"/>
          </w:tcPr>
          <w:p w14:paraId="02387A76"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w:t>
            </w:r>
          </w:p>
        </w:tc>
      </w:tr>
      <w:tr w:rsidR="008A2411" w:rsidRPr="008A2411" w14:paraId="5478AAF1" w14:textId="77777777" w:rsidTr="004605C9">
        <w:trPr>
          <w:trHeight w:val="291"/>
        </w:trPr>
        <w:tc>
          <w:tcPr>
            <w:tcW w:w="1284" w:type="pct"/>
            <w:vMerge/>
            <w:vAlign w:val="center"/>
          </w:tcPr>
          <w:p w14:paraId="7004EF87" w14:textId="77777777" w:rsidR="00B0005F" w:rsidRPr="008A2411" w:rsidRDefault="00B0005F">
            <w:pPr>
              <w:adjustRightInd w:val="0"/>
              <w:snapToGrid w:val="0"/>
              <w:jc w:val="center"/>
              <w:rPr>
                <w:rFonts w:ascii="Times New Roman"/>
                <w:color w:val="000000" w:themeColor="text1"/>
                <w:sz w:val="21"/>
                <w:szCs w:val="21"/>
              </w:rPr>
            </w:pPr>
          </w:p>
        </w:tc>
        <w:tc>
          <w:tcPr>
            <w:tcW w:w="2076" w:type="pct"/>
            <w:vAlign w:val="center"/>
          </w:tcPr>
          <w:p w14:paraId="0865F047"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岸线方向</w:t>
            </w:r>
            <w:r w:rsidRPr="008A2411">
              <w:rPr>
                <w:rFonts w:ascii="Times New Roman"/>
                <w:color w:val="000000" w:themeColor="text1"/>
                <w:sz w:val="21"/>
                <w:szCs w:val="21"/>
              </w:rPr>
              <w:t>/°</w:t>
            </w:r>
          </w:p>
        </w:tc>
        <w:tc>
          <w:tcPr>
            <w:tcW w:w="1640" w:type="pct"/>
            <w:vAlign w:val="center"/>
          </w:tcPr>
          <w:p w14:paraId="49BF8C5D"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w:t>
            </w:r>
          </w:p>
        </w:tc>
      </w:tr>
    </w:tbl>
    <w:p w14:paraId="3442D39E" w14:textId="77777777" w:rsidR="00B0005F" w:rsidRPr="008A2411" w:rsidRDefault="00000000">
      <w:pPr>
        <w:spacing w:line="360" w:lineRule="auto"/>
        <w:ind w:firstLineChars="200" w:firstLine="480"/>
        <w:rPr>
          <w:rFonts w:ascii="Times New Roman"/>
          <w:color w:val="000000" w:themeColor="text1"/>
        </w:rPr>
      </w:pPr>
      <w:r w:rsidRPr="008A2411">
        <w:rPr>
          <w:rFonts w:ascii="Times New Roman"/>
          <w:color w:val="000000" w:themeColor="text1"/>
        </w:rPr>
        <w:t>采用《环境影响评价技术导则</w:t>
      </w:r>
      <w:r w:rsidRPr="008A2411">
        <w:rPr>
          <w:rFonts w:ascii="Times New Roman"/>
          <w:color w:val="000000" w:themeColor="text1"/>
        </w:rPr>
        <w:t xml:space="preserve">  </w:t>
      </w:r>
      <w:r w:rsidRPr="008A2411">
        <w:rPr>
          <w:rFonts w:ascii="Times New Roman"/>
          <w:color w:val="000000" w:themeColor="text1"/>
        </w:rPr>
        <w:t>大气环境》（</w:t>
      </w:r>
      <w:r w:rsidRPr="008A2411">
        <w:rPr>
          <w:rFonts w:ascii="Times New Roman"/>
          <w:color w:val="000000" w:themeColor="text1"/>
        </w:rPr>
        <w:t>HJ2.2-2018</w:t>
      </w:r>
      <w:r w:rsidRPr="008A2411">
        <w:rPr>
          <w:rFonts w:ascii="Times New Roman"/>
          <w:color w:val="000000" w:themeColor="text1"/>
        </w:rPr>
        <w:t>）推荐</w:t>
      </w:r>
      <w:r w:rsidRPr="008A2411">
        <w:rPr>
          <w:rFonts w:ascii="Times New Roman"/>
          <w:color w:val="000000" w:themeColor="text1"/>
        </w:rPr>
        <w:t>AERSCREEN</w:t>
      </w:r>
      <w:r w:rsidRPr="008A2411">
        <w:rPr>
          <w:rFonts w:ascii="Times New Roman"/>
          <w:color w:val="000000" w:themeColor="text1"/>
        </w:rPr>
        <w:t>模式，计算出项目废气中各污染物的最大地面浓度、</w:t>
      </w:r>
      <w:proofErr w:type="gramStart"/>
      <w:r w:rsidRPr="008A2411">
        <w:rPr>
          <w:rFonts w:ascii="Times New Roman"/>
          <w:color w:val="000000" w:themeColor="text1"/>
        </w:rPr>
        <w:t>浓度占率以及</w:t>
      </w:r>
      <w:proofErr w:type="gramEnd"/>
      <w:r w:rsidRPr="008A2411">
        <w:rPr>
          <w:rFonts w:ascii="Times New Roman"/>
          <w:color w:val="000000" w:themeColor="text1"/>
        </w:rPr>
        <w:t>D</w:t>
      </w:r>
      <w:r w:rsidRPr="008A2411">
        <w:rPr>
          <w:rFonts w:ascii="Times New Roman"/>
          <w:color w:val="000000" w:themeColor="text1"/>
          <w:vertAlign w:val="subscript"/>
        </w:rPr>
        <w:t>10%</w:t>
      </w:r>
      <w:r w:rsidRPr="008A2411">
        <w:rPr>
          <w:rFonts w:ascii="Times New Roman"/>
          <w:color w:val="000000" w:themeColor="text1"/>
        </w:rPr>
        <w:t>，计算结果见下表。</w:t>
      </w:r>
    </w:p>
    <w:p w14:paraId="02BD15BD" w14:textId="77777777" w:rsidR="00B0005F" w:rsidRPr="008A2411" w:rsidRDefault="00000000">
      <w:pPr>
        <w:jc w:val="center"/>
        <w:rPr>
          <w:rFonts w:ascii="Times New Roman" w:eastAsia="黑体"/>
          <w:color w:val="000000" w:themeColor="text1"/>
        </w:rPr>
      </w:pPr>
      <w:r w:rsidRPr="008A2411">
        <w:rPr>
          <w:rFonts w:ascii="Times New Roman" w:eastAsia="黑体"/>
          <w:color w:val="000000" w:themeColor="text1"/>
        </w:rPr>
        <w:t>表</w:t>
      </w:r>
      <w:r w:rsidRPr="008A2411">
        <w:rPr>
          <w:rFonts w:ascii="Times New Roman" w:eastAsia="黑体"/>
          <w:color w:val="000000" w:themeColor="text1"/>
        </w:rPr>
        <w:t xml:space="preserve">2.7-3  </w:t>
      </w:r>
      <w:r w:rsidRPr="008A2411">
        <w:rPr>
          <w:rFonts w:ascii="Times New Roman" w:eastAsia="黑体"/>
          <w:color w:val="000000" w:themeColor="text1"/>
        </w:rPr>
        <w:t>大气主要污染物估算模型计算结果表</w:t>
      </w:r>
    </w:p>
    <w:tbl>
      <w:tblPr>
        <w:tblW w:w="500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74"/>
        <w:gridCol w:w="1352"/>
        <w:gridCol w:w="1398"/>
        <w:gridCol w:w="1504"/>
        <w:gridCol w:w="1097"/>
        <w:gridCol w:w="9"/>
      </w:tblGrid>
      <w:tr w:rsidR="008A2411" w:rsidRPr="008A2411" w14:paraId="2480F823" w14:textId="77777777">
        <w:trPr>
          <w:trHeight w:val="339"/>
          <w:tblHeader/>
          <w:jc w:val="center"/>
        </w:trPr>
        <w:tc>
          <w:tcPr>
            <w:tcW w:w="1859" w:type="pct"/>
            <w:vMerge w:val="restart"/>
            <w:vAlign w:val="center"/>
          </w:tcPr>
          <w:p w14:paraId="2AF7B620" w14:textId="77777777" w:rsidR="00B0005F" w:rsidRPr="008A2411" w:rsidRDefault="00000000">
            <w:pPr>
              <w:pStyle w:val="afffffffffffff1"/>
              <w:rPr>
                <w:rFonts w:ascii="Times New Roman" w:hAnsi="Times New Roman" w:cs="Times New Roman"/>
                <w:snapToGrid/>
                <w:color w:val="000000" w:themeColor="text1"/>
                <w:spacing w:val="0"/>
                <w:sz w:val="21"/>
              </w:rPr>
            </w:pPr>
            <w:proofErr w:type="gramStart"/>
            <w:r w:rsidRPr="008A2411">
              <w:rPr>
                <w:rFonts w:ascii="Times New Roman" w:hAnsi="Times New Roman" w:cs="Times New Roman"/>
                <w:snapToGrid/>
                <w:color w:val="000000" w:themeColor="text1"/>
                <w:spacing w:val="0"/>
                <w:sz w:val="21"/>
              </w:rPr>
              <w:t>距源中心</w:t>
            </w:r>
            <w:proofErr w:type="gramEnd"/>
            <w:r w:rsidRPr="008A2411">
              <w:rPr>
                <w:rFonts w:ascii="Times New Roman" w:hAnsi="Times New Roman" w:cs="Times New Roman"/>
                <w:snapToGrid/>
                <w:color w:val="000000" w:themeColor="text1"/>
                <w:spacing w:val="0"/>
                <w:sz w:val="21"/>
              </w:rPr>
              <w:t>下风向</w:t>
            </w:r>
          </w:p>
          <w:p w14:paraId="7C12A185"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距离</w:t>
            </w:r>
            <w:r w:rsidRPr="008A2411">
              <w:rPr>
                <w:rFonts w:ascii="Times New Roman" w:hAnsi="Times New Roman" w:cs="Times New Roman"/>
                <w:snapToGrid/>
                <w:color w:val="000000" w:themeColor="text1"/>
                <w:spacing w:val="0"/>
                <w:sz w:val="21"/>
              </w:rPr>
              <w:t>D/m</w:t>
            </w:r>
          </w:p>
        </w:tc>
        <w:tc>
          <w:tcPr>
            <w:tcW w:w="3140" w:type="pct"/>
            <w:gridSpan w:val="5"/>
            <w:vAlign w:val="center"/>
          </w:tcPr>
          <w:p w14:paraId="71CB6F7D" w14:textId="77777777" w:rsidR="00B0005F" w:rsidRPr="008A2411" w:rsidRDefault="00000000">
            <w:pPr>
              <w:pStyle w:val="afffffffffffff1"/>
              <w:rPr>
                <w:rFonts w:ascii="Times New Roman" w:hAnsi="Times New Roman" w:cs="Times New Roman"/>
                <w:b/>
                <w:bCs/>
                <w:color w:val="000000" w:themeColor="text1"/>
                <w:sz w:val="21"/>
              </w:rPr>
            </w:pPr>
            <w:proofErr w:type="gramStart"/>
            <w:r w:rsidRPr="008A2411">
              <w:rPr>
                <w:rFonts w:ascii="Times New Roman" w:hAnsi="Times New Roman" w:cs="Times New Roman"/>
                <w:snapToGrid/>
                <w:color w:val="000000" w:themeColor="text1"/>
                <w:spacing w:val="0"/>
                <w:sz w:val="21"/>
              </w:rPr>
              <w:t>脱硫塔排气筒</w:t>
            </w:r>
            <w:proofErr w:type="gramEnd"/>
            <w:r w:rsidRPr="008A2411">
              <w:rPr>
                <w:rFonts w:ascii="Times New Roman" w:hAnsi="Times New Roman" w:cs="Times New Roman"/>
                <w:snapToGrid/>
                <w:color w:val="000000" w:themeColor="text1"/>
                <w:spacing w:val="0"/>
                <w:sz w:val="21"/>
              </w:rPr>
              <w:t>(P1)</w:t>
            </w:r>
          </w:p>
        </w:tc>
      </w:tr>
      <w:tr w:rsidR="008A2411" w:rsidRPr="008A2411" w14:paraId="73826C5E" w14:textId="77777777">
        <w:trPr>
          <w:trHeight w:val="339"/>
          <w:tblHeader/>
          <w:jc w:val="center"/>
        </w:trPr>
        <w:tc>
          <w:tcPr>
            <w:tcW w:w="1859" w:type="pct"/>
            <w:vMerge/>
            <w:vAlign w:val="center"/>
          </w:tcPr>
          <w:p w14:paraId="02BC1595" w14:textId="77777777" w:rsidR="00B0005F" w:rsidRPr="008A2411" w:rsidRDefault="00B0005F">
            <w:pPr>
              <w:pStyle w:val="afffffffffffff1"/>
              <w:rPr>
                <w:rFonts w:ascii="Times New Roman" w:hAnsi="Times New Roman" w:cs="Times New Roman"/>
                <w:snapToGrid/>
                <w:color w:val="000000" w:themeColor="text1"/>
                <w:spacing w:val="0"/>
                <w:sz w:val="21"/>
              </w:rPr>
            </w:pPr>
          </w:p>
        </w:tc>
        <w:tc>
          <w:tcPr>
            <w:tcW w:w="1611" w:type="pct"/>
            <w:gridSpan w:val="2"/>
            <w:vAlign w:val="center"/>
          </w:tcPr>
          <w:p w14:paraId="0494B7D2"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H</w:t>
            </w:r>
            <w:r w:rsidRPr="008A2411">
              <w:rPr>
                <w:rFonts w:ascii="Times New Roman" w:hAnsi="Times New Roman" w:cs="Times New Roman"/>
                <w:snapToGrid/>
                <w:color w:val="000000" w:themeColor="text1"/>
                <w:spacing w:val="0"/>
                <w:sz w:val="21"/>
                <w:vertAlign w:val="subscript"/>
              </w:rPr>
              <w:t>2</w:t>
            </w:r>
            <w:r w:rsidRPr="008A2411">
              <w:rPr>
                <w:rFonts w:ascii="Times New Roman" w:hAnsi="Times New Roman" w:cs="Times New Roman"/>
                <w:snapToGrid/>
                <w:color w:val="000000" w:themeColor="text1"/>
                <w:spacing w:val="0"/>
                <w:sz w:val="21"/>
              </w:rPr>
              <w:t>S</w:t>
            </w:r>
          </w:p>
        </w:tc>
        <w:tc>
          <w:tcPr>
            <w:tcW w:w="1529" w:type="pct"/>
            <w:gridSpan w:val="3"/>
            <w:vAlign w:val="center"/>
          </w:tcPr>
          <w:p w14:paraId="585C99BA"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hint="eastAsia"/>
                <w:snapToGrid/>
                <w:color w:val="000000" w:themeColor="text1"/>
                <w:spacing w:val="0"/>
                <w:sz w:val="21"/>
              </w:rPr>
              <w:t>NMHC</w:t>
            </w:r>
          </w:p>
        </w:tc>
      </w:tr>
      <w:tr w:rsidR="008A2411" w:rsidRPr="008A2411" w14:paraId="52404C1D" w14:textId="77777777">
        <w:trPr>
          <w:trHeight w:val="339"/>
          <w:tblHeader/>
          <w:jc w:val="center"/>
        </w:trPr>
        <w:tc>
          <w:tcPr>
            <w:tcW w:w="1859" w:type="pct"/>
            <w:vMerge/>
            <w:vAlign w:val="center"/>
          </w:tcPr>
          <w:p w14:paraId="6D845412" w14:textId="77777777" w:rsidR="00B0005F" w:rsidRPr="008A2411" w:rsidRDefault="00B0005F">
            <w:pPr>
              <w:pStyle w:val="afffffffffffff1"/>
              <w:rPr>
                <w:rFonts w:ascii="Times New Roman" w:hAnsi="Times New Roman" w:cs="Times New Roman"/>
                <w:snapToGrid/>
                <w:color w:val="000000" w:themeColor="text1"/>
                <w:spacing w:val="0"/>
                <w:sz w:val="21"/>
              </w:rPr>
            </w:pPr>
          </w:p>
        </w:tc>
        <w:tc>
          <w:tcPr>
            <w:tcW w:w="792" w:type="pct"/>
            <w:vAlign w:val="center"/>
          </w:tcPr>
          <w:p w14:paraId="089A358C"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C/</w:t>
            </w:r>
            <w:r w:rsidRPr="008A2411">
              <w:rPr>
                <w:rFonts w:ascii="Times New Roman" w:hAnsi="Times New Roman" w:cs="Times New Roman"/>
                <w:snapToGrid/>
                <w:color w:val="000000" w:themeColor="text1"/>
                <w:spacing w:val="0"/>
                <w:sz w:val="21"/>
              </w:rPr>
              <w:t>（</w:t>
            </w:r>
            <w:proofErr w:type="spellStart"/>
            <w:r w:rsidRPr="008A2411">
              <w:rPr>
                <w:rFonts w:ascii="Times New Roman" w:hAnsi="Times New Roman" w:cs="Times New Roman"/>
                <w:snapToGrid/>
                <w:color w:val="000000" w:themeColor="text1"/>
                <w:spacing w:val="0"/>
                <w:sz w:val="21"/>
              </w:rPr>
              <w:t>μg</w:t>
            </w:r>
            <w:proofErr w:type="spellEnd"/>
            <w:r w:rsidRPr="008A2411">
              <w:rPr>
                <w:rFonts w:ascii="Times New Roman" w:hAnsi="Times New Roman" w:cs="Times New Roman"/>
                <w:snapToGrid/>
                <w:color w:val="000000" w:themeColor="text1"/>
                <w:spacing w:val="0"/>
                <w:sz w:val="21"/>
              </w:rPr>
              <w:t>/m³</w:t>
            </w:r>
            <w:r w:rsidRPr="008A2411">
              <w:rPr>
                <w:rFonts w:ascii="Times New Roman" w:hAnsi="Times New Roman" w:cs="Times New Roman"/>
                <w:snapToGrid/>
                <w:color w:val="000000" w:themeColor="text1"/>
                <w:spacing w:val="0"/>
                <w:sz w:val="21"/>
              </w:rPr>
              <w:t>）</w:t>
            </w:r>
          </w:p>
        </w:tc>
        <w:tc>
          <w:tcPr>
            <w:tcW w:w="819" w:type="pct"/>
            <w:vAlign w:val="center"/>
          </w:tcPr>
          <w:p w14:paraId="1F04EAD7"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P/%</w:t>
            </w:r>
          </w:p>
        </w:tc>
        <w:tc>
          <w:tcPr>
            <w:tcW w:w="881" w:type="pct"/>
            <w:vAlign w:val="center"/>
          </w:tcPr>
          <w:p w14:paraId="1AB20FAD"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C/</w:t>
            </w:r>
            <w:r w:rsidRPr="008A2411">
              <w:rPr>
                <w:rFonts w:ascii="Times New Roman" w:hAnsi="Times New Roman" w:cs="Times New Roman"/>
                <w:snapToGrid/>
                <w:color w:val="000000" w:themeColor="text1"/>
                <w:spacing w:val="0"/>
                <w:sz w:val="21"/>
              </w:rPr>
              <w:t>（</w:t>
            </w:r>
            <w:proofErr w:type="spellStart"/>
            <w:r w:rsidRPr="008A2411">
              <w:rPr>
                <w:rFonts w:ascii="Times New Roman" w:hAnsi="Times New Roman" w:cs="Times New Roman"/>
                <w:snapToGrid/>
                <w:color w:val="000000" w:themeColor="text1"/>
                <w:spacing w:val="0"/>
                <w:sz w:val="21"/>
              </w:rPr>
              <w:t>μg</w:t>
            </w:r>
            <w:proofErr w:type="spellEnd"/>
            <w:r w:rsidRPr="008A2411">
              <w:rPr>
                <w:rFonts w:ascii="Times New Roman" w:hAnsi="Times New Roman" w:cs="Times New Roman"/>
                <w:snapToGrid/>
                <w:color w:val="000000" w:themeColor="text1"/>
                <w:spacing w:val="0"/>
                <w:sz w:val="21"/>
              </w:rPr>
              <w:t>/m³</w:t>
            </w:r>
            <w:r w:rsidRPr="008A2411">
              <w:rPr>
                <w:rFonts w:ascii="Times New Roman" w:hAnsi="Times New Roman" w:cs="Times New Roman"/>
                <w:snapToGrid/>
                <w:color w:val="000000" w:themeColor="text1"/>
                <w:spacing w:val="0"/>
                <w:sz w:val="21"/>
              </w:rPr>
              <w:t>）</w:t>
            </w:r>
          </w:p>
        </w:tc>
        <w:tc>
          <w:tcPr>
            <w:tcW w:w="648" w:type="pct"/>
            <w:gridSpan w:val="2"/>
            <w:vAlign w:val="center"/>
          </w:tcPr>
          <w:p w14:paraId="3C1023F5"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P/%</w:t>
            </w:r>
          </w:p>
        </w:tc>
      </w:tr>
      <w:tr w:rsidR="008A2411" w:rsidRPr="008A2411" w14:paraId="49505525" w14:textId="77777777">
        <w:trPr>
          <w:trHeight w:val="339"/>
          <w:tblHeader/>
          <w:jc w:val="center"/>
        </w:trPr>
        <w:tc>
          <w:tcPr>
            <w:tcW w:w="1859" w:type="pct"/>
            <w:vAlign w:val="center"/>
          </w:tcPr>
          <w:p w14:paraId="07B4D3C6"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下风向最大浓度</w:t>
            </w:r>
          </w:p>
        </w:tc>
        <w:tc>
          <w:tcPr>
            <w:tcW w:w="792" w:type="pct"/>
            <w:vAlign w:val="center"/>
          </w:tcPr>
          <w:p w14:paraId="3F2D013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0.212</w:t>
            </w:r>
          </w:p>
        </w:tc>
        <w:tc>
          <w:tcPr>
            <w:tcW w:w="819" w:type="pct"/>
            <w:vAlign w:val="center"/>
          </w:tcPr>
          <w:p w14:paraId="3C953E6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2.12</w:t>
            </w:r>
          </w:p>
        </w:tc>
        <w:tc>
          <w:tcPr>
            <w:tcW w:w="881" w:type="pct"/>
            <w:vAlign w:val="center"/>
          </w:tcPr>
          <w:p w14:paraId="4486D21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3.96</w:t>
            </w:r>
          </w:p>
        </w:tc>
        <w:tc>
          <w:tcPr>
            <w:tcW w:w="648" w:type="pct"/>
            <w:gridSpan w:val="2"/>
            <w:vAlign w:val="center"/>
          </w:tcPr>
          <w:p w14:paraId="0335FDA5"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0.2</w:t>
            </w:r>
          </w:p>
        </w:tc>
      </w:tr>
      <w:tr w:rsidR="008A2411" w:rsidRPr="008A2411" w14:paraId="11D4A88B" w14:textId="77777777">
        <w:trPr>
          <w:trHeight w:val="339"/>
          <w:tblHeader/>
          <w:jc w:val="center"/>
        </w:trPr>
        <w:tc>
          <w:tcPr>
            <w:tcW w:w="1859" w:type="pct"/>
            <w:vAlign w:val="center"/>
          </w:tcPr>
          <w:p w14:paraId="29DF3ABF"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最大浓度出现距离</w:t>
            </w:r>
          </w:p>
        </w:tc>
        <w:tc>
          <w:tcPr>
            <w:tcW w:w="3140" w:type="pct"/>
            <w:gridSpan w:val="5"/>
            <w:vAlign w:val="center"/>
          </w:tcPr>
          <w:p w14:paraId="73DD74BF"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420m</w:t>
            </w:r>
          </w:p>
        </w:tc>
      </w:tr>
      <w:tr w:rsidR="008A2411" w:rsidRPr="008A2411" w14:paraId="6787C021" w14:textId="77777777">
        <w:trPr>
          <w:trHeight w:val="339"/>
          <w:tblHeader/>
          <w:jc w:val="center"/>
        </w:trPr>
        <w:tc>
          <w:tcPr>
            <w:tcW w:w="1859" w:type="pct"/>
            <w:vAlign w:val="center"/>
          </w:tcPr>
          <w:p w14:paraId="2652985E" w14:textId="77777777" w:rsidR="00B0005F" w:rsidRPr="008A2411" w:rsidRDefault="00000000">
            <w:pPr>
              <w:pStyle w:val="afffffffffffff1"/>
              <w:rPr>
                <w:rFonts w:ascii="Times New Roman" w:hAnsi="Times New Roman" w:cs="Times New Roman"/>
                <w:snapToGrid/>
                <w:color w:val="000000" w:themeColor="text1"/>
                <w:spacing w:val="0"/>
                <w:sz w:val="21"/>
              </w:rPr>
            </w:pPr>
            <w:proofErr w:type="gramStart"/>
            <w:r w:rsidRPr="008A2411">
              <w:rPr>
                <w:rFonts w:ascii="Times New Roman" w:hAnsi="Times New Roman" w:cs="Times New Roman"/>
                <w:snapToGrid/>
                <w:color w:val="000000" w:themeColor="text1"/>
                <w:spacing w:val="0"/>
                <w:sz w:val="21"/>
              </w:rPr>
              <w:t>距源最远</w:t>
            </w:r>
            <w:proofErr w:type="gramEnd"/>
            <w:r w:rsidRPr="008A2411">
              <w:rPr>
                <w:rFonts w:ascii="Times New Roman" w:hAnsi="Times New Roman" w:cs="Times New Roman"/>
                <w:snapToGrid/>
                <w:color w:val="000000" w:themeColor="text1"/>
                <w:spacing w:val="0"/>
                <w:sz w:val="21"/>
              </w:rPr>
              <w:t>距离</w:t>
            </w:r>
            <w:r w:rsidRPr="008A2411">
              <w:rPr>
                <w:rFonts w:ascii="Times New Roman" w:hAnsi="Times New Roman" w:cs="Times New Roman"/>
                <w:snapToGrid/>
                <w:color w:val="000000" w:themeColor="text1"/>
                <w:spacing w:val="0"/>
                <w:sz w:val="21"/>
              </w:rPr>
              <w:t>D10%</w:t>
            </w:r>
          </w:p>
        </w:tc>
        <w:tc>
          <w:tcPr>
            <w:tcW w:w="3140" w:type="pct"/>
            <w:gridSpan w:val="5"/>
            <w:vAlign w:val="center"/>
          </w:tcPr>
          <w:p w14:paraId="49AC06A5"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Pmax</w:t>
            </w:r>
            <w:r w:rsidRPr="008A2411">
              <w:rPr>
                <w:rFonts w:ascii="Times New Roman" w:hAnsi="Times New Roman" w:cs="Times New Roman"/>
                <w:snapToGrid/>
                <w:color w:val="000000" w:themeColor="text1"/>
                <w:spacing w:val="0"/>
                <w:sz w:val="21"/>
              </w:rPr>
              <w:t>＜</w:t>
            </w:r>
            <w:r w:rsidRPr="008A2411">
              <w:rPr>
                <w:rFonts w:ascii="Times New Roman" w:hAnsi="Times New Roman" w:cs="Times New Roman"/>
                <w:snapToGrid/>
                <w:color w:val="000000" w:themeColor="text1"/>
                <w:spacing w:val="0"/>
                <w:sz w:val="21"/>
              </w:rPr>
              <w:t>10%</w:t>
            </w:r>
          </w:p>
        </w:tc>
      </w:tr>
      <w:tr w:rsidR="008A2411" w:rsidRPr="008A2411" w14:paraId="104E78DD" w14:textId="77777777">
        <w:trPr>
          <w:trHeight w:val="339"/>
          <w:tblHeader/>
          <w:jc w:val="center"/>
        </w:trPr>
        <w:tc>
          <w:tcPr>
            <w:tcW w:w="1859" w:type="pct"/>
            <w:vMerge w:val="restart"/>
            <w:vAlign w:val="center"/>
          </w:tcPr>
          <w:p w14:paraId="5DE2AA2C" w14:textId="77777777" w:rsidR="00B0005F" w:rsidRPr="008A2411" w:rsidRDefault="00000000">
            <w:pPr>
              <w:pStyle w:val="afffffffffffff1"/>
              <w:rPr>
                <w:rFonts w:ascii="Times New Roman" w:hAnsi="Times New Roman" w:cs="Times New Roman"/>
                <w:snapToGrid/>
                <w:color w:val="000000" w:themeColor="text1"/>
                <w:spacing w:val="0"/>
                <w:sz w:val="21"/>
              </w:rPr>
            </w:pPr>
            <w:proofErr w:type="gramStart"/>
            <w:r w:rsidRPr="008A2411">
              <w:rPr>
                <w:rFonts w:ascii="Times New Roman" w:hAnsi="Times New Roman" w:cs="Times New Roman"/>
                <w:snapToGrid/>
                <w:color w:val="000000" w:themeColor="text1"/>
                <w:spacing w:val="0"/>
                <w:sz w:val="21"/>
              </w:rPr>
              <w:t>距源中心</w:t>
            </w:r>
            <w:proofErr w:type="gramEnd"/>
            <w:r w:rsidRPr="008A2411">
              <w:rPr>
                <w:rFonts w:ascii="Times New Roman" w:hAnsi="Times New Roman" w:cs="Times New Roman"/>
                <w:snapToGrid/>
                <w:color w:val="000000" w:themeColor="text1"/>
                <w:spacing w:val="0"/>
                <w:sz w:val="21"/>
              </w:rPr>
              <w:t>下风向</w:t>
            </w:r>
          </w:p>
          <w:p w14:paraId="5BA7414F"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距离</w:t>
            </w:r>
            <w:r w:rsidRPr="008A2411">
              <w:rPr>
                <w:rFonts w:ascii="Times New Roman" w:hAnsi="Times New Roman" w:cs="Times New Roman"/>
                <w:snapToGrid/>
                <w:color w:val="000000" w:themeColor="text1"/>
                <w:spacing w:val="0"/>
                <w:sz w:val="21"/>
              </w:rPr>
              <w:t>D/m</w:t>
            </w:r>
          </w:p>
        </w:tc>
        <w:tc>
          <w:tcPr>
            <w:tcW w:w="3140" w:type="pct"/>
            <w:gridSpan w:val="5"/>
            <w:vAlign w:val="center"/>
          </w:tcPr>
          <w:p w14:paraId="3A81600C" w14:textId="77777777" w:rsidR="00B0005F" w:rsidRPr="008A2411" w:rsidRDefault="00000000">
            <w:pPr>
              <w:pStyle w:val="afffffffffffff1"/>
              <w:rPr>
                <w:rFonts w:ascii="Times New Roman" w:hAnsi="Times New Roman" w:cs="Times New Roman"/>
                <w:b/>
                <w:bCs/>
                <w:color w:val="000000" w:themeColor="text1"/>
                <w:sz w:val="21"/>
              </w:rPr>
            </w:pPr>
            <w:r w:rsidRPr="008A2411">
              <w:rPr>
                <w:rFonts w:ascii="Times New Roman" w:hAnsi="Times New Roman" w:cs="Times New Roman"/>
                <w:snapToGrid/>
                <w:color w:val="000000" w:themeColor="text1"/>
                <w:spacing w:val="0"/>
                <w:sz w:val="21"/>
              </w:rPr>
              <w:t>导热油炉排气筒</w:t>
            </w:r>
            <w:r w:rsidRPr="008A2411">
              <w:rPr>
                <w:rFonts w:ascii="Times New Roman" w:hAnsi="Times New Roman" w:cs="Times New Roman"/>
                <w:snapToGrid/>
                <w:color w:val="000000" w:themeColor="text1"/>
                <w:spacing w:val="0"/>
                <w:sz w:val="21"/>
              </w:rPr>
              <w:t>(P2)</w:t>
            </w:r>
          </w:p>
        </w:tc>
      </w:tr>
      <w:tr w:rsidR="008A2411" w:rsidRPr="008A2411" w14:paraId="1478A3A8" w14:textId="77777777">
        <w:trPr>
          <w:trHeight w:val="339"/>
          <w:tblHeader/>
          <w:jc w:val="center"/>
        </w:trPr>
        <w:tc>
          <w:tcPr>
            <w:tcW w:w="1859" w:type="pct"/>
            <w:vMerge/>
            <w:vAlign w:val="center"/>
          </w:tcPr>
          <w:p w14:paraId="2D7F7B38" w14:textId="77777777" w:rsidR="00B0005F" w:rsidRPr="008A2411" w:rsidRDefault="00B0005F">
            <w:pPr>
              <w:pStyle w:val="afffffffffffff1"/>
              <w:rPr>
                <w:rFonts w:ascii="Times New Roman" w:hAnsi="Times New Roman" w:cs="Times New Roman"/>
                <w:snapToGrid/>
                <w:color w:val="000000" w:themeColor="text1"/>
                <w:spacing w:val="0"/>
                <w:sz w:val="21"/>
              </w:rPr>
            </w:pPr>
          </w:p>
        </w:tc>
        <w:tc>
          <w:tcPr>
            <w:tcW w:w="1611" w:type="pct"/>
            <w:gridSpan w:val="2"/>
            <w:vAlign w:val="center"/>
          </w:tcPr>
          <w:p w14:paraId="0EA6F162"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SO</w:t>
            </w:r>
            <w:r w:rsidRPr="008A2411">
              <w:rPr>
                <w:rFonts w:ascii="Times New Roman" w:hAnsi="Times New Roman" w:cs="Times New Roman"/>
                <w:snapToGrid/>
                <w:color w:val="000000" w:themeColor="text1"/>
                <w:spacing w:val="0"/>
                <w:sz w:val="21"/>
                <w:vertAlign w:val="subscript"/>
              </w:rPr>
              <w:t>2</w:t>
            </w:r>
          </w:p>
        </w:tc>
        <w:tc>
          <w:tcPr>
            <w:tcW w:w="1529" w:type="pct"/>
            <w:gridSpan w:val="3"/>
            <w:vAlign w:val="center"/>
          </w:tcPr>
          <w:p w14:paraId="3586EE81"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NOx</w:t>
            </w:r>
          </w:p>
        </w:tc>
      </w:tr>
      <w:tr w:rsidR="008A2411" w:rsidRPr="008A2411" w14:paraId="7B20EB9A" w14:textId="77777777">
        <w:trPr>
          <w:trHeight w:val="339"/>
          <w:tblHeader/>
          <w:jc w:val="center"/>
        </w:trPr>
        <w:tc>
          <w:tcPr>
            <w:tcW w:w="1859" w:type="pct"/>
            <w:vMerge/>
            <w:vAlign w:val="center"/>
          </w:tcPr>
          <w:p w14:paraId="732B20DF" w14:textId="77777777" w:rsidR="00B0005F" w:rsidRPr="008A2411" w:rsidRDefault="00B0005F">
            <w:pPr>
              <w:pStyle w:val="afffffffffffff1"/>
              <w:rPr>
                <w:rFonts w:ascii="Times New Roman" w:hAnsi="Times New Roman" w:cs="Times New Roman"/>
                <w:snapToGrid/>
                <w:color w:val="000000" w:themeColor="text1"/>
                <w:spacing w:val="0"/>
                <w:sz w:val="21"/>
              </w:rPr>
            </w:pPr>
          </w:p>
        </w:tc>
        <w:tc>
          <w:tcPr>
            <w:tcW w:w="792" w:type="pct"/>
            <w:vAlign w:val="center"/>
          </w:tcPr>
          <w:p w14:paraId="5898F7BB"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C/</w:t>
            </w:r>
            <w:r w:rsidRPr="008A2411">
              <w:rPr>
                <w:rFonts w:ascii="Times New Roman" w:hAnsi="Times New Roman" w:cs="Times New Roman"/>
                <w:snapToGrid/>
                <w:color w:val="000000" w:themeColor="text1"/>
                <w:spacing w:val="0"/>
                <w:sz w:val="21"/>
              </w:rPr>
              <w:t>（</w:t>
            </w:r>
            <w:proofErr w:type="spellStart"/>
            <w:r w:rsidRPr="008A2411">
              <w:rPr>
                <w:rFonts w:ascii="Times New Roman" w:hAnsi="Times New Roman" w:cs="Times New Roman"/>
                <w:snapToGrid/>
                <w:color w:val="000000" w:themeColor="text1"/>
                <w:spacing w:val="0"/>
                <w:sz w:val="21"/>
              </w:rPr>
              <w:t>μg</w:t>
            </w:r>
            <w:proofErr w:type="spellEnd"/>
            <w:r w:rsidRPr="008A2411">
              <w:rPr>
                <w:rFonts w:ascii="Times New Roman" w:hAnsi="Times New Roman" w:cs="Times New Roman"/>
                <w:snapToGrid/>
                <w:color w:val="000000" w:themeColor="text1"/>
                <w:spacing w:val="0"/>
                <w:sz w:val="21"/>
              </w:rPr>
              <w:t>/m³</w:t>
            </w:r>
            <w:r w:rsidRPr="008A2411">
              <w:rPr>
                <w:rFonts w:ascii="Times New Roman" w:hAnsi="Times New Roman" w:cs="Times New Roman"/>
                <w:snapToGrid/>
                <w:color w:val="000000" w:themeColor="text1"/>
                <w:spacing w:val="0"/>
                <w:sz w:val="21"/>
              </w:rPr>
              <w:t>）</w:t>
            </w:r>
          </w:p>
        </w:tc>
        <w:tc>
          <w:tcPr>
            <w:tcW w:w="819" w:type="pct"/>
            <w:vAlign w:val="center"/>
          </w:tcPr>
          <w:p w14:paraId="7F64B059"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P/%</w:t>
            </w:r>
          </w:p>
        </w:tc>
        <w:tc>
          <w:tcPr>
            <w:tcW w:w="881" w:type="pct"/>
            <w:vAlign w:val="center"/>
          </w:tcPr>
          <w:p w14:paraId="54CE4A5B"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C/</w:t>
            </w:r>
            <w:r w:rsidRPr="008A2411">
              <w:rPr>
                <w:rFonts w:ascii="Times New Roman" w:hAnsi="Times New Roman" w:cs="Times New Roman"/>
                <w:snapToGrid/>
                <w:color w:val="000000" w:themeColor="text1"/>
                <w:spacing w:val="0"/>
                <w:sz w:val="21"/>
              </w:rPr>
              <w:t>（</w:t>
            </w:r>
            <w:proofErr w:type="spellStart"/>
            <w:r w:rsidRPr="008A2411">
              <w:rPr>
                <w:rFonts w:ascii="Times New Roman" w:hAnsi="Times New Roman" w:cs="Times New Roman"/>
                <w:snapToGrid/>
                <w:color w:val="000000" w:themeColor="text1"/>
                <w:spacing w:val="0"/>
                <w:sz w:val="21"/>
              </w:rPr>
              <w:t>μg</w:t>
            </w:r>
            <w:proofErr w:type="spellEnd"/>
            <w:r w:rsidRPr="008A2411">
              <w:rPr>
                <w:rFonts w:ascii="Times New Roman" w:hAnsi="Times New Roman" w:cs="Times New Roman"/>
                <w:snapToGrid/>
                <w:color w:val="000000" w:themeColor="text1"/>
                <w:spacing w:val="0"/>
                <w:sz w:val="21"/>
              </w:rPr>
              <w:t>/m³</w:t>
            </w:r>
            <w:r w:rsidRPr="008A2411">
              <w:rPr>
                <w:rFonts w:ascii="Times New Roman" w:hAnsi="Times New Roman" w:cs="Times New Roman"/>
                <w:snapToGrid/>
                <w:color w:val="000000" w:themeColor="text1"/>
                <w:spacing w:val="0"/>
                <w:sz w:val="21"/>
              </w:rPr>
              <w:t>）</w:t>
            </w:r>
          </w:p>
        </w:tc>
        <w:tc>
          <w:tcPr>
            <w:tcW w:w="648" w:type="pct"/>
            <w:gridSpan w:val="2"/>
            <w:vAlign w:val="center"/>
          </w:tcPr>
          <w:p w14:paraId="09076100"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P/%</w:t>
            </w:r>
          </w:p>
        </w:tc>
      </w:tr>
      <w:tr w:rsidR="008A2411" w:rsidRPr="008A2411" w14:paraId="632BB17D" w14:textId="77777777">
        <w:trPr>
          <w:trHeight w:val="339"/>
          <w:tblHeader/>
          <w:jc w:val="center"/>
        </w:trPr>
        <w:tc>
          <w:tcPr>
            <w:tcW w:w="1859" w:type="pct"/>
            <w:vAlign w:val="center"/>
          </w:tcPr>
          <w:p w14:paraId="38FB7266"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下风向最大浓度</w:t>
            </w:r>
          </w:p>
        </w:tc>
        <w:tc>
          <w:tcPr>
            <w:tcW w:w="792" w:type="pct"/>
            <w:vAlign w:val="center"/>
          </w:tcPr>
          <w:p w14:paraId="21608BD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0.0317</w:t>
            </w:r>
          </w:p>
        </w:tc>
        <w:tc>
          <w:tcPr>
            <w:tcW w:w="819" w:type="pct"/>
            <w:vAlign w:val="center"/>
          </w:tcPr>
          <w:p w14:paraId="0FE1C0AD"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0.01</w:t>
            </w:r>
          </w:p>
        </w:tc>
        <w:tc>
          <w:tcPr>
            <w:tcW w:w="881" w:type="pct"/>
            <w:vAlign w:val="center"/>
          </w:tcPr>
          <w:p w14:paraId="62A97334"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1.52</w:t>
            </w:r>
          </w:p>
        </w:tc>
        <w:tc>
          <w:tcPr>
            <w:tcW w:w="648" w:type="pct"/>
            <w:gridSpan w:val="2"/>
            <w:vAlign w:val="center"/>
          </w:tcPr>
          <w:p w14:paraId="19B5813D"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0.76</w:t>
            </w:r>
          </w:p>
        </w:tc>
      </w:tr>
      <w:tr w:rsidR="008A2411" w:rsidRPr="008A2411" w14:paraId="66FAF244" w14:textId="77777777">
        <w:trPr>
          <w:trHeight w:val="339"/>
          <w:tblHeader/>
          <w:jc w:val="center"/>
        </w:trPr>
        <w:tc>
          <w:tcPr>
            <w:tcW w:w="1859" w:type="pct"/>
            <w:vAlign w:val="center"/>
          </w:tcPr>
          <w:p w14:paraId="1E44E852"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最大浓度出现距离</w:t>
            </w:r>
          </w:p>
        </w:tc>
        <w:tc>
          <w:tcPr>
            <w:tcW w:w="3140" w:type="pct"/>
            <w:gridSpan w:val="5"/>
            <w:vAlign w:val="center"/>
          </w:tcPr>
          <w:p w14:paraId="54915872"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417m</w:t>
            </w:r>
          </w:p>
        </w:tc>
      </w:tr>
      <w:tr w:rsidR="008A2411" w:rsidRPr="008A2411" w14:paraId="692395AD" w14:textId="77777777">
        <w:trPr>
          <w:trHeight w:val="339"/>
          <w:tblHeader/>
          <w:jc w:val="center"/>
        </w:trPr>
        <w:tc>
          <w:tcPr>
            <w:tcW w:w="1859" w:type="pct"/>
            <w:vAlign w:val="center"/>
          </w:tcPr>
          <w:p w14:paraId="442D0746" w14:textId="77777777" w:rsidR="00B0005F" w:rsidRPr="008A2411" w:rsidRDefault="00000000">
            <w:pPr>
              <w:pStyle w:val="afffffffffffff1"/>
              <w:rPr>
                <w:rFonts w:ascii="Times New Roman" w:hAnsi="Times New Roman" w:cs="Times New Roman"/>
                <w:snapToGrid/>
                <w:color w:val="000000" w:themeColor="text1"/>
                <w:spacing w:val="0"/>
                <w:sz w:val="21"/>
              </w:rPr>
            </w:pPr>
            <w:proofErr w:type="gramStart"/>
            <w:r w:rsidRPr="008A2411">
              <w:rPr>
                <w:rFonts w:ascii="Times New Roman" w:hAnsi="Times New Roman" w:cs="Times New Roman"/>
                <w:snapToGrid/>
                <w:color w:val="000000" w:themeColor="text1"/>
                <w:spacing w:val="0"/>
                <w:sz w:val="21"/>
              </w:rPr>
              <w:t>距源最远</w:t>
            </w:r>
            <w:proofErr w:type="gramEnd"/>
            <w:r w:rsidRPr="008A2411">
              <w:rPr>
                <w:rFonts w:ascii="Times New Roman" w:hAnsi="Times New Roman" w:cs="Times New Roman"/>
                <w:snapToGrid/>
                <w:color w:val="000000" w:themeColor="text1"/>
                <w:spacing w:val="0"/>
                <w:sz w:val="21"/>
              </w:rPr>
              <w:t>距离</w:t>
            </w:r>
            <w:r w:rsidRPr="008A2411">
              <w:rPr>
                <w:rFonts w:ascii="Times New Roman" w:hAnsi="Times New Roman" w:cs="Times New Roman"/>
                <w:snapToGrid/>
                <w:color w:val="000000" w:themeColor="text1"/>
                <w:spacing w:val="0"/>
                <w:sz w:val="21"/>
              </w:rPr>
              <w:t>D10%</w:t>
            </w:r>
          </w:p>
        </w:tc>
        <w:tc>
          <w:tcPr>
            <w:tcW w:w="3140" w:type="pct"/>
            <w:gridSpan w:val="5"/>
            <w:vAlign w:val="center"/>
          </w:tcPr>
          <w:p w14:paraId="0E7CE9D7"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Pmax</w:t>
            </w:r>
            <w:r w:rsidRPr="008A2411">
              <w:rPr>
                <w:rFonts w:ascii="Times New Roman" w:hAnsi="Times New Roman" w:cs="Times New Roman"/>
                <w:snapToGrid/>
                <w:color w:val="000000" w:themeColor="text1"/>
                <w:spacing w:val="0"/>
                <w:sz w:val="21"/>
              </w:rPr>
              <w:t>＜</w:t>
            </w:r>
            <w:r w:rsidRPr="008A2411">
              <w:rPr>
                <w:rFonts w:ascii="Times New Roman" w:hAnsi="Times New Roman" w:cs="Times New Roman"/>
                <w:snapToGrid/>
                <w:color w:val="000000" w:themeColor="text1"/>
                <w:spacing w:val="0"/>
                <w:sz w:val="21"/>
              </w:rPr>
              <w:t>10%</w:t>
            </w:r>
          </w:p>
        </w:tc>
      </w:tr>
      <w:tr w:rsidR="008A2411" w:rsidRPr="008A2411" w14:paraId="5D62806F" w14:textId="77777777">
        <w:trPr>
          <w:trHeight w:val="339"/>
          <w:tblHeader/>
          <w:jc w:val="center"/>
        </w:trPr>
        <w:tc>
          <w:tcPr>
            <w:tcW w:w="1859" w:type="pct"/>
            <w:vMerge w:val="restart"/>
            <w:vAlign w:val="center"/>
          </w:tcPr>
          <w:p w14:paraId="1531ED02" w14:textId="77777777" w:rsidR="00B0005F" w:rsidRPr="008A2411" w:rsidRDefault="00000000">
            <w:pPr>
              <w:pStyle w:val="afffffffffffff1"/>
              <w:rPr>
                <w:rFonts w:ascii="Times New Roman" w:hAnsi="Times New Roman" w:cs="Times New Roman"/>
                <w:snapToGrid/>
                <w:color w:val="000000" w:themeColor="text1"/>
                <w:spacing w:val="0"/>
                <w:sz w:val="21"/>
              </w:rPr>
            </w:pPr>
            <w:proofErr w:type="gramStart"/>
            <w:r w:rsidRPr="008A2411">
              <w:rPr>
                <w:rFonts w:ascii="Times New Roman" w:hAnsi="Times New Roman" w:cs="Times New Roman"/>
                <w:snapToGrid/>
                <w:color w:val="000000" w:themeColor="text1"/>
                <w:spacing w:val="0"/>
                <w:sz w:val="21"/>
              </w:rPr>
              <w:t>距源中心</w:t>
            </w:r>
            <w:proofErr w:type="gramEnd"/>
            <w:r w:rsidRPr="008A2411">
              <w:rPr>
                <w:rFonts w:ascii="Times New Roman" w:hAnsi="Times New Roman" w:cs="Times New Roman"/>
                <w:snapToGrid/>
                <w:color w:val="000000" w:themeColor="text1"/>
                <w:spacing w:val="0"/>
                <w:sz w:val="21"/>
              </w:rPr>
              <w:t>下风向</w:t>
            </w:r>
          </w:p>
          <w:p w14:paraId="375E336E"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距离</w:t>
            </w:r>
            <w:r w:rsidRPr="008A2411">
              <w:rPr>
                <w:rFonts w:ascii="Times New Roman" w:hAnsi="Times New Roman" w:cs="Times New Roman"/>
                <w:snapToGrid/>
                <w:color w:val="000000" w:themeColor="text1"/>
                <w:spacing w:val="0"/>
                <w:sz w:val="21"/>
              </w:rPr>
              <w:t>D/m</w:t>
            </w:r>
          </w:p>
        </w:tc>
        <w:tc>
          <w:tcPr>
            <w:tcW w:w="3140" w:type="pct"/>
            <w:gridSpan w:val="5"/>
            <w:vAlign w:val="center"/>
          </w:tcPr>
          <w:p w14:paraId="33E7C44D" w14:textId="77777777" w:rsidR="00B0005F" w:rsidRPr="008A2411" w:rsidRDefault="00000000">
            <w:pPr>
              <w:pStyle w:val="afffffffffffff1"/>
              <w:rPr>
                <w:rFonts w:ascii="Times New Roman" w:hAnsi="Times New Roman" w:cs="Times New Roman"/>
                <w:b/>
                <w:bCs/>
                <w:color w:val="000000" w:themeColor="text1"/>
                <w:sz w:val="21"/>
              </w:rPr>
            </w:pPr>
            <w:r w:rsidRPr="008A2411">
              <w:rPr>
                <w:rFonts w:ascii="Times New Roman" w:hAnsi="Times New Roman" w:cs="Times New Roman"/>
                <w:snapToGrid/>
                <w:color w:val="000000" w:themeColor="text1"/>
                <w:spacing w:val="0"/>
                <w:sz w:val="21"/>
              </w:rPr>
              <w:t>火炬长明灯</w:t>
            </w:r>
            <w:r w:rsidRPr="008A2411">
              <w:rPr>
                <w:rFonts w:ascii="Times New Roman" w:hAnsi="Times New Roman" w:cs="Times New Roman"/>
                <w:snapToGrid/>
                <w:color w:val="000000" w:themeColor="text1"/>
                <w:spacing w:val="0"/>
                <w:sz w:val="21"/>
              </w:rPr>
              <w:t>(P3)</w:t>
            </w:r>
          </w:p>
        </w:tc>
      </w:tr>
      <w:tr w:rsidR="008A2411" w:rsidRPr="008A2411" w14:paraId="56E07462" w14:textId="77777777">
        <w:trPr>
          <w:trHeight w:val="339"/>
          <w:tblHeader/>
          <w:jc w:val="center"/>
        </w:trPr>
        <w:tc>
          <w:tcPr>
            <w:tcW w:w="1859" w:type="pct"/>
            <w:vMerge/>
            <w:vAlign w:val="center"/>
          </w:tcPr>
          <w:p w14:paraId="26E60096" w14:textId="77777777" w:rsidR="00B0005F" w:rsidRPr="008A2411" w:rsidRDefault="00B0005F">
            <w:pPr>
              <w:pStyle w:val="afffffffffffff1"/>
              <w:rPr>
                <w:rFonts w:ascii="Times New Roman" w:hAnsi="Times New Roman" w:cs="Times New Roman"/>
                <w:snapToGrid/>
                <w:color w:val="000000" w:themeColor="text1"/>
                <w:spacing w:val="0"/>
                <w:sz w:val="21"/>
              </w:rPr>
            </w:pPr>
          </w:p>
        </w:tc>
        <w:tc>
          <w:tcPr>
            <w:tcW w:w="1611" w:type="pct"/>
            <w:gridSpan w:val="2"/>
            <w:vAlign w:val="center"/>
          </w:tcPr>
          <w:p w14:paraId="60B1414C"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SO</w:t>
            </w:r>
            <w:r w:rsidRPr="008A2411">
              <w:rPr>
                <w:rFonts w:ascii="Times New Roman" w:hAnsi="Times New Roman" w:cs="Times New Roman"/>
                <w:snapToGrid/>
                <w:color w:val="000000" w:themeColor="text1"/>
                <w:spacing w:val="0"/>
                <w:sz w:val="21"/>
                <w:vertAlign w:val="subscript"/>
              </w:rPr>
              <w:t>2</w:t>
            </w:r>
          </w:p>
        </w:tc>
        <w:tc>
          <w:tcPr>
            <w:tcW w:w="1529" w:type="pct"/>
            <w:gridSpan w:val="3"/>
            <w:vAlign w:val="center"/>
          </w:tcPr>
          <w:p w14:paraId="0B22F367"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NOx</w:t>
            </w:r>
          </w:p>
        </w:tc>
      </w:tr>
      <w:tr w:rsidR="008A2411" w:rsidRPr="008A2411" w14:paraId="5065D56F" w14:textId="77777777">
        <w:trPr>
          <w:trHeight w:val="339"/>
          <w:tblHeader/>
          <w:jc w:val="center"/>
        </w:trPr>
        <w:tc>
          <w:tcPr>
            <w:tcW w:w="1859" w:type="pct"/>
            <w:vMerge/>
            <w:vAlign w:val="center"/>
          </w:tcPr>
          <w:p w14:paraId="7BDDB5C1" w14:textId="77777777" w:rsidR="00B0005F" w:rsidRPr="008A2411" w:rsidRDefault="00B0005F">
            <w:pPr>
              <w:pStyle w:val="afffffffffffff1"/>
              <w:rPr>
                <w:rFonts w:ascii="Times New Roman" w:hAnsi="Times New Roman" w:cs="Times New Roman"/>
                <w:snapToGrid/>
                <w:color w:val="000000" w:themeColor="text1"/>
                <w:spacing w:val="0"/>
                <w:sz w:val="21"/>
              </w:rPr>
            </w:pPr>
          </w:p>
        </w:tc>
        <w:tc>
          <w:tcPr>
            <w:tcW w:w="792" w:type="pct"/>
            <w:vAlign w:val="center"/>
          </w:tcPr>
          <w:p w14:paraId="0392AB5F"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C/</w:t>
            </w:r>
            <w:r w:rsidRPr="008A2411">
              <w:rPr>
                <w:rFonts w:ascii="Times New Roman" w:hAnsi="Times New Roman" w:cs="Times New Roman"/>
                <w:snapToGrid/>
                <w:color w:val="000000" w:themeColor="text1"/>
                <w:spacing w:val="0"/>
                <w:sz w:val="21"/>
              </w:rPr>
              <w:t>（</w:t>
            </w:r>
            <w:proofErr w:type="spellStart"/>
            <w:r w:rsidRPr="008A2411">
              <w:rPr>
                <w:rFonts w:ascii="Times New Roman" w:hAnsi="Times New Roman" w:cs="Times New Roman"/>
                <w:snapToGrid/>
                <w:color w:val="000000" w:themeColor="text1"/>
                <w:spacing w:val="0"/>
                <w:sz w:val="21"/>
              </w:rPr>
              <w:t>μg</w:t>
            </w:r>
            <w:proofErr w:type="spellEnd"/>
            <w:r w:rsidRPr="008A2411">
              <w:rPr>
                <w:rFonts w:ascii="Times New Roman" w:hAnsi="Times New Roman" w:cs="Times New Roman"/>
                <w:snapToGrid/>
                <w:color w:val="000000" w:themeColor="text1"/>
                <w:spacing w:val="0"/>
                <w:sz w:val="21"/>
              </w:rPr>
              <w:t>/m³</w:t>
            </w:r>
            <w:r w:rsidRPr="008A2411">
              <w:rPr>
                <w:rFonts w:ascii="Times New Roman" w:hAnsi="Times New Roman" w:cs="Times New Roman"/>
                <w:snapToGrid/>
                <w:color w:val="000000" w:themeColor="text1"/>
                <w:spacing w:val="0"/>
                <w:sz w:val="21"/>
              </w:rPr>
              <w:t>）</w:t>
            </w:r>
          </w:p>
        </w:tc>
        <w:tc>
          <w:tcPr>
            <w:tcW w:w="819" w:type="pct"/>
            <w:vAlign w:val="center"/>
          </w:tcPr>
          <w:p w14:paraId="2CC51189"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P/%</w:t>
            </w:r>
          </w:p>
        </w:tc>
        <w:tc>
          <w:tcPr>
            <w:tcW w:w="881" w:type="pct"/>
            <w:vAlign w:val="center"/>
          </w:tcPr>
          <w:p w14:paraId="1F3E8D30"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C/</w:t>
            </w:r>
            <w:r w:rsidRPr="008A2411">
              <w:rPr>
                <w:rFonts w:ascii="Times New Roman" w:hAnsi="Times New Roman" w:cs="Times New Roman"/>
                <w:snapToGrid/>
                <w:color w:val="000000" w:themeColor="text1"/>
                <w:spacing w:val="0"/>
                <w:sz w:val="21"/>
              </w:rPr>
              <w:t>（</w:t>
            </w:r>
            <w:proofErr w:type="spellStart"/>
            <w:r w:rsidRPr="008A2411">
              <w:rPr>
                <w:rFonts w:ascii="Times New Roman" w:hAnsi="Times New Roman" w:cs="Times New Roman"/>
                <w:snapToGrid/>
                <w:color w:val="000000" w:themeColor="text1"/>
                <w:spacing w:val="0"/>
                <w:sz w:val="21"/>
              </w:rPr>
              <w:t>μg</w:t>
            </w:r>
            <w:proofErr w:type="spellEnd"/>
            <w:r w:rsidRPr="008A2411">
              <w:rPr>
                <w:rFonts w:ascii="Times New Roman" w:hAnsi="Times New Roman" w:cs="Times New Roman"/>
                <w:snapToGrid/>
                <w:color w:val="000000" w:themeColor="text1"/>
                <w:spacing w:val="0"/>
                <w:sz w:val="21"/>
              </w:rPr>
              <w:t>/m³</w:t>
            </w:r>
            <w:r w:rsidRPr="008A2411">
              <w:rPr>
                <w:rFonts w:ascii="Times New Roman" w:hAnsi="Times New Roman" w:cs="Times New Roman"/>
                <w:snapToGrid/>
                <w:color w:val="000000" w:themeColor="text1"/>
                <w:spacing w:val="0"/>
                <w:sz w:val="21"/>
              </w:rPr>
              <w:t>）</w:t>
            </w:r>
          </w:p>
        </w:tc>
        <w:tc>
          <w:tcPr>
            <w:tcW w:w="648" w:type="pct"/>
            <w:gridSpan w:val="2"/>
            <w:vAlign w:val="center"/>
          </w:tcPr>
          <w:p w14:paraId="3DBB2ACD"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P/%</w:t>
            </w:r>
          </w:p>
        </w:tc>
      </w:tr>
      <w:tr w:rsidR="008A2411" w:rsidRPr="008A2411" w14:paraId="3CBA69D1" w14:textId="77777777">
        <w:trPr>
          <w:trHeight w:val="339"/>
          <w:tblHeader/>
          <w:jc w:val="center"/>
        </w:trPr>
        <w:tc>
          <w:tcPr>
            <w:tcW w:w="1859" w:type="pct"/>
            <w:vAlign w:val="center"/>
          </w:tcPr>
          <w:p w14:paraId="6DB9F0CB"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下风向最大浓度</w:t>
            </w:r>
          </w:p>
        </w:tc>
        <w:tc>
          <w:tcPr>
            <w:tcW w:w="792" w:type="pct"/>
            <w:vAlign w:val="center"/>
          </w:tcPr>
          <w:p w14:paraId="1157840D"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0.0031</w:t>
            </w:r>
          </w:p>
        </w:tc>
        <w:tc>
          <w:tcPr>
            <w:tcW w:w="819" w:type="pct"/>
            <w:vAlign w:val="center"/>
          </w:tcPr>
          <w:p w14:paraId="65719434"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0.001</w:t>
            </w:r>
          </w:p>
        </w:tc>
        <w:tc>
          <w:tcPr>
            <w:tcW w:w="881" w:type="pct"/>
            <w:vAlign w:val="center"/>
          </w:tcPr>
          <w:p w14:paraId="514F728B"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0.326</w:t>
            </w:r>
          </w:p>
        </w:tc>
        <w:tc>
          <w:tcPr>
            <w:tcW w:w="648" w:type="pct"/>
            <w:gridSpan w:val="2"/>
            <w:vAlign w:val="center"/>
          </w:tcPr>
          <w:p w14:paraId="060D066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0.16</w:t>
            </w:r>
          </w:p>
        </w:tc>
      </w:tr>
      <w:tr w:rsidR="008A2411" w:rsidRPr="008A2411" w14:paraId="0A7186BF" w14:textId="77777777">
        <w:trPr>
          <w:trHeight w:val="339"/>
          <w:tblHeader/>
          <w:jc w:val="center"/>
        </w:trPr>
        <w:tc>
          <w:tcPr>
            <w:tcW w:w="1859" w:type="pct"/>
            <w:vAlign w:val="center"/>
          </w:tcPr>
          <w:p w14:paraId="567A41B4"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最大浓度出现距离</w:t>
            </w:r>
          </w:p>
        </w:tc>
        <w:tc>
          <w:tcPr>
            <w:tcW w:w="3140" w:type="pct"/>
            <w:gridSpan w:val="5"/>
            <w:vAlign w:val="center"/>
          </w:tcPr>
          <w:p w14:paraId="2B377ADF"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418m</w:t>
            </w:r>
          </w:p>
        </w:tc>
      </w:tr>
      <w:tr w:rsidR="008A2411" w:rsidRPr="008A2411" w14:paraId="10D62244" w14:textId="77777777">
        <w:trPr>
          <w:trHeight w:val="349"/>
          <w:tblHeader/>
          <w:jc w:val="center"/>
        </w:trPr>
        <w:tc>
          <w:tcPr>
            <w:tcW w:w="1859" w:type="pct"/>
            <w:vAlign w:val="center"/>
          </w:tcPr>
          <w:p w14:paraId="404AF6AC" w14:textId="77777777" w:rsidR="00B0005F" w:rsidRPr="008A2411" w:rsidRDefault="00000000">
            <w:pPr>
              <w:pStyle w:val="afffffffffffff1"/>
              <w:rPr>
                <w:rFonts w:ascii="Times New Roman" w:hAnsi="Times New Roman" w:cs="Times New Roman"/>
                <w:snapToGrid/>
                <w:color w:val="000000" w:themeColor="text1"/>
                <w:spacing w:val="0"/>
                <w:sz w:val="21"/>
              </w:rPr>
            </w:pPr>
            <w:proofErr w:type="gramStart"/>
            <w:r w:rsidRPr="008A2411">
              <w:rPr>
                <w:rFonts w:ascii="Times New Roman" w:hAnsi="Times New Roman" w:cs="Times New Roman"/>
                <w:snapToGrid/>
                <w:color w:val="000000" w:themeColor="text1"/>
                <w:spacing w:val="0"/>
                <w:sz w:val="21"/>
              </w:rPr>
              <w:lastRenderedPageBreak/>
              <w:t>距源最远</w:t>
            </w:r>
            <w:proofErr w:type="gramEnd"/>
            <w:r w:rsidRPr="008A2411">
              <w:rPr>
                <w:rFonts w:ascii="Times New Roman" w:hAnsi="Times New Roman" w:cs="Times New Roman"/>
                <w:snapToGrid/>
                <w:color w:val="000000" w:themeColor="text1"/>
                <w:spacing w:val="0"/>
                <w:sz w:val="21"/>
              </w:rPr>
              <w:t>距离</w:t>
            </w:r>
            <w:r w:rsidRPr="008A2411">
              <w:rPr>
                <w:rFonts w:ascii="Times New Roman" w:hAnsi="Times New Roman" w:cs="Times New Roman"/>
                <w:snapToGrid/>
                <w:color w:val="000000" w:themeColor="text1"/>
                <w:spacing w:val="0"/>
                <w:sz w:val="21"/>
              </w:rPr>
              <w:t>D10%</w:t>
            </w:r>
          </w:p>
        </w:tc>
        <w:tc>
          <w:tcPr>
            <w:tcW w:w="3140" w:type="pct"/>
            <w:gridSpan w:val="5"/>
            <w:vAlign w:val="center"/>
          </w:tcPr>
          <w:p w14:paraId="16E6018C"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Pmax</w:t>
            </w:r>
            <w:r w:rsidRPr="008A2411">
              <w:rPr>
                <w:rFonts w:ascii="Times New Roman" w:hAnsi="Times New Roman" w:cs="Times New Roman"/>
                <w:snapToGrid/>
                <w:color w:val="000000" w:themeColor="text1"/>
                <w:spacing w:val="0"/>
                <w:sz w:val="21"/>
              </w:rPr>
              <w:t>＜</w:t>
            </w:r>
            <w:r w:rsidRPr="008A2411">
              <w:rPr>
                <w:rFonts w:ascii="Times New Roman" w:hAnsi="Times New Roman" w:cs="Times New Roman"/>
                <w:snapToGrid/>
                <w:color w:val="000000" w:themeColor="text1"/>
                <w:spacing w:val="0"/>
                <w:sz w:val="21"/>
              </w:rPr>
              <w:t>10%</w:t>
            </w:r>
          </w:p>
        </w:tc>
      </w:tr>
      <w:tr w:rsidR="008A2411" w:rsidRPr="008A2411" w14:paraId="0FA4AFD1" w14:textId="77777777">
        <w:trPr>
          <w:gridAfter w:val="1"/>
          <w:wAfter w:w="5" w:type="pct"/>
          <w:trHeight w:val="340"/>
          <w:tblHeader/>
          <w:jc w:val="center"/>
        </w:trPr>
        <w:tc>
          <w:tcPr>
            <w:tcW w:w="1857" w:type="pct"/>
            <w:vMerge w:val="restart"/>
            <w:vAlign w:val="center"/>
          </w:tcPr>
          <w:p w14:paraId="01ED4C58" w14:textId="77777777" w:rsidR="00B0005F" w:rsidRPr="008A2411" w:rsidRDefault="00000000">
            <w:pPr>
              <w:pStyle w:val="afffffffffffff1"/>
              <w:rPr>
                <w:rFonts w:ascii="Times New Roman" w:hAnsi="Times New Roman" w:cs="Times New Roman"/>
                <w:snapToGrid/>
                <w:color w:val="000000" w:themeColor="text1"/>
                <w:spacing w:val="0"/>
                <w:sz w:val="21"/>
              </w:rPr>
            </w:pPr>
            <w:proofErr w:type="gramStart"/>
            <w:r w:rsidRPr="008A2411">
              <w:rPr>
                <w:rFonts w:ascii="Times New Roman" w:hAnsi="Times New Roman" w:cs="Times New Roman"/>
                <w:snapToGrid/>
                <w:color w:val="000000" w:themeColor="text1"/>
                <w:spacing w:val="0"/>
                <w:sz w:val="21"/>
              </w:rPr>
              <w:t>距源中心</w:t>
            </w:r>
            <w:proofErr w:type="gramEnd"/>
            <w:r w:rsidRPr="008A2411">
              <w:rPr>
                <w:rFonts w:ascii="Times New Roman" w:hAnsi="Times New Roman" w:cs="Times New Roman"/>
                <w:snapToGrid/>
                <w:color w:val="000000" w:themeColor="text1"/>
                <w:spacing w:val="0"/>
                <w:sz w:val="21"/>
              </w:rPr>
              <w:t>下风向</w:t>
            </w:r>
          </w:p>
          <w:p w14:paraId="079683F2"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距离</w:t>
            </w:r>
            <w:r w:rsidRPr="008A2411">
              <w:rPr>
                <w:rFonts w:ascii="Times New Roman" w:hAnsi="Times New Roman" w:cs="Times New Roman"/>
                <w:snapToGrid/>
                <w:color w:val="000000" w:themeColor="text1"/>
                <w:spacing w:val="0"/>
                <w:sz w:val="21"/>
              </w:rPr>
              <w:t>D/m</w:t>
            </w:r>
          </w:p>
        </w:tc>
        <w:tc>
          <w:tcPr>
            <w:tcW w:w="3135" w:type="pct"/>
            <w:gridSpan w:val="4"/>
            <w:vAlign w:val="center"/>
          </w:tcPr>
          <w:p w14:paraId="34508254"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无组织排放</w:t>
            </w:r>
          </w:p>
        </w:tc>
      </w:tr>
      <w:tr w:rsidR="008A2411" w:rsidRPr="008A2411" w14:paraId="249EC96E" w14:textId="77777777">
        <w:trPr>
          <w:gridAfter w:val="1"/>
          <w:wAfter w:w="5" w:type="pct"/>
          <w:trHeight w:val="340"/>
          <w:tblHeader/>
          <w:jc w:val="center"/>
        </w:trPr>
        <w:tc>
          <w:tcPr>
            <w:tcW w:w="1857" w:type="pct"/>
            <w:vMerge/>
            <w:vAlign w:val="center"/>
          </w:tcPr>
          <w:p w14:paraId="3BF9B151" w14:textId="77777777" w:rsidR="00B0005F" w:rsidRPr="008A2411" w:rsidRDefault="00B0005F">
            <w:pPr>
              <w:pStyle w:val="afffffffffffff1"/>
              <w:rPr>
                <w:rFonts w:ascii="Times New Roman" w:hAnsi="Times New Roman" w:cs="Times New Roman"/>
                <w:snapToGrid/>
                <w:color w:val="000000" w:themeColor="text1"/>
                <w:spacing w:val="0"/>
                <w:sz w:val="21"/>
              </w:rPr>
            </w:pPr>
          </w:p>
        </w:tc>
        <w:tc>
          <w:tcPr>
            <w:tcW w:w="3135" w:type="pct"/>
            <w:gridSpan w:val="4"/>
            <w:vAlign w:val="center"/>
          </w:tcPr>
          <w:p w14:paraId="75143E16"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hint="eastAsia"/>
                <w:snapToGrid/>
                <w:color w:val="000000" w:themeColor="text1"/>
                <w:spacing w:val="0"/>
                <w:sz w:val="21"/>
              </w:rPr>
              <w:t>NMHC</w:t>
            </w:r>
          </w:p>
        </w:tc>
      </w:tr>
      <w:tr w:rsidR="008A2411" w:rsidRPr="008A2411" w14:paraId="7AEBF97D" w14:textId="77777777">
        <w:trPr>
          <w:gridAfter w:val="1"/>
          <w:wAfter w:w="5" w:type="pct"/>
          <w:trHeight w:val="340"/>
          <w:tblHeader/>
          <w:jc w:val="center"/>
        </w:trPr>
        <w:tc>
          <w:tcPr>
            <w:tcW w:w="1857" w:type="pct"/>
            <w:vMerge/>
            <w:vAlign w:val="center"/>
          </w:tcPr>
          <w:p w14:paraId="7AA2491D" w14:textId="77777777" w:rsidR="00B0005F" w:rsidRPr="008A2411" w:rsidRDefault="00B0005F">
            <w:pPr>
              <w:pStyle w:val="afffffffffffff1"/>
              <w:rPr>
                <w:rFonts w:ascii="Times New Roman" w:hAnsi="Times New Roman" w:cs="Times New Roman"/>
                <w:snapToGrid/>
                <w:color w:val="000000" w:themeColor="text1"/>
                <w:spacing w:val="0"/>
                <w:sz w:val="21"/>
              </w:rPr>
            </w:pPr>
          </w:p>
        </w:tc>
        <w:tc>
          <w:tcPr>
            <w:tcW w:w="1611" w:type="pct"/>
            <w:gridSpan w:val="2"/>
            <w:vAlign w:val="center"/>
          </w:tcPr>
          <w:p w14:paraId="3EDBDAAA"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C/</w:t>
            </w:r>
            <w:r w:rsidRPr="008A2411">
              <w:rPr>
                <w:rFonts w:ascii="Times New Roman" w:hAnsi="Times New Roman" w:cs="Times New Roman"/>
                <w:snapToGrid/>
                <w:color w:val="000000" w:themeColor="text1"/>
                <w:spacing w:val="0"/>
                <w:sz w:val="21"/>
              </w:rPr>
              <w:t>（</w:t>
            </w:r>
            <w:proofErr w:type="spellStart"/>
            <w:r w:rsidRPr="008A2411">
              <w:rPr>
                <w:rFonts w:ascii="Times New Roman" w:hAnsi="Times New Roman" w:cs="Times New Roman"/>
                <w:snapToGrid/>
                <w:color w:val="000000" w:themeColor="text1"/>
                <w:spacing w:val="0"/>
                <w:sz w:val="21"/>
              </w:rPr>
              <w:t>μg</w:t>
            </w:r>
            <w:proofErr w:type="spellEnd"/>
            <w:r w:rsidRPr="008A2411">
              <w:rPr>
                <w:rFonts w:ascii="Times New Roman" w:hAnsi="Times New Roman" w:cs="Times New Roman"/>
                <w:snapToGrid/>
                <w:color w:val="000000" w:themeColor="text1"/>
                <w:spacing w:val="0"/>
                <w:sz w:val="21"/>
              </w:rPr>
              <w:t>/m³</w:t>
            </w:r>
            <w:r w:rsidRPr="008A2411">
              <w:rPr>
                <w:rFonts w:ascii="Times New Roman" w:hAnsi="Times New Roman" w:cs="Times New Roman"/>
                <w:snapToGrid/>
                <w:color w:val="000000" w:themeColor="text1"/>
                <w:spacing w:val="0"/>
                <w:sz w:val="21"/>
              </w:rPr>
              <w:t>）</w:t>
            </w:r>
          </w:p>
        </w:tc>
        <w:tc>
          <w:tcPr>
            <w:tcW w:w="1524" w:type="pct"/>
            <w:gridSpan w:val="2"/>
            <w:vAlign w:val="center"/>
          </w:tcPr>
          <w:p w14:paraId="136092CA"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P/%</w:t>
            </w:r>
          </w:p>
        </w:tc>
      </w:tr>
      <w:tr w:rsidR="008A2411" w:rsidRPr="008A2411" w14:paraId="0B666914" w14:textId="77777777">
        <w:trPr>
          <w:gridAfter w:val="1"/>
          <w:wAfter w:w="5" w:type="pct"/>
          <w:trHeight w:val="340"/>
          <w:jc w:val="center"/>
        </w:trPr>
        <w:tc>
          <w:tcPr>
            <w:tcW w:w="1857" w:type="pct"/>
            <w:vAlign w:val="center"/>
          </w:tcPr>
          <w:p w14:paraId="49CF33C2"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下风向最大浓度</w:t>
            </w:r>
          </w:p>
        </w:tc>
        <w:tc>
          <w:tcPr>
            <w:tcW w:w="1611" w:type="pct"/>
            <w:gridSpan w:val="2"/>
            <w:vAlign w:val="center"/>
          </w:tcPr>
          <w:p w14:paraId="2D01835A"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104</w:t>
            </w:r>
          </w:p>
        </w:tc>
        <w:tc>
          <w:tcPr>
            <w:tcW w:w="1524" w:type="pct"/>
            <w:gridSpan w:val="2"/>
            <w:vAlign w:val="center"/>
          </w:tcPr>
          <w:p w14:paraId="2E18E06C"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5.18</w:t>
            </w:r>
          </w:p>
        </w:tc>
      </w:tr>
      <w:tr w:rsidR="008A2411" w:rsidRPr="008A2411" w14:paraId="0FED210D" w14:textId="77777777">
        <w:trPr>
          <w:gridAfter w:val="1"/>
          <w:wAfter w:w="5" w:type="pct"/>
          <w:trHeight w:val="340"/>
          <w:jc w:val="center"/>
        </w:trPr>
        <w:tc>
          <w:tcPr>
            <w:tcW w:w="1857" w:type="pct"/>
            <w:vAlign w:val="center"/>
          </w:tcPr>
          <w:p w14:paraId="72D9CF92"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最大浓度出现距离</w:t>
            </w:r>
          </w:p>
        </w:tc>
        <w:tc>
          <w:tcPr>
            <w:tcW w:w="3135" w:type="pct"/>
            <w:gridSpan w:val="4"/>
            <w:vAlign w:val="center"/>
          </w:tcPr>
          <w:p w14:paraId="28FD13CB"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121m</w:t>
            </w:r>
          </w:p>
        </w:tc>
      </w:tr>
      <w:tr w:rsidR="008A2411" w:rsidRPr="008A2411" w14:paraId="3C5E0B4E" w14:textId="77777777">
        <w:trPr>
          <w:gridAfter w:val="1"/>
          <w:wAfter w:w="5" w:type="pct"/>
          <w:trHeight w:val="340"/>
          <w:jc w:val="center"/>
        </w:trPr>
        <w:tc>
          <w:tcPr>
            <w:tcW w:w="1857" w:type="pct"/>
            <w:vAlign w:val="center"/>
          </w:tcPr>
          <w:p w14:paraId="17199C15" w14:textId="77777777" w:rsidR="00B0005F" w:rsidRPr="008A2411" w:rsidRDefault="00000000">
            <w:pPr>
              <w:pStyle w:val="afffffffffffff1"/>
              <w:rPr>
                <w:rFonts w:ascii="Times New Roman" w:hAnsi="Times New Roman" w:cs="Times New Roman"/>
                <w:snapToGrid/>
                <w:color w:val="000000" w:themeColor="text1"/>
                <w:spacing w:val="0"/>
                <w:sz w:val="21"/>
              </w:rPr>
            </w:pPr>
            <w:proofErr w:type="gramStart"/>
            <w:r w:rsidRPr="008A2411">
              <w:rPr>
                <w:rFonts w:ascii="Times New Roman" w:hAnsi="Times New Roman" w:cs="Times New Roman"/>
                <w:snapToGrid/>
                <w:color w:val="000000" w:themeColor="text1"/>
                <w:spacing w:val="0"/>
                <w:sz w:val="21"/>
              </w:rPr>
              <w:t>距源最远</w:t>
            </w:r>
            <w:proofErr w:type="gramEnd"/>
            <w:r w:rsidRPr="008A2411">
              <w:rPr>
                <w:rFonts w:ascii="Times New Roman" w:hAnsi="Times New Roman" w:cs="Times New Roman"/>
                <w:snapToGrid/>
                <w:color w:val="000000" w:themeColor="text1"/>
                <w:spacing w:val="0"/>
                <w:sz w:val="21"/>
              </w:rPr>
              <w:t>距离</w:t>
            </w:r>
            <w:r w:rsidRPr="008A2411">
              <w:rPr>
                <w:rFonts w:ascii="Times New Roman" w:hAnsi="Times New Roman" w:cs="Times New Roman"/>
                <w:snapToGrid/>
                <w:color w:val="000000" w:themeColor="text1"/>
                <w:spacing w:val="0"/>
                <w:sz w:val="21"/>
              </w:rPr>
              <w:t>D10%</w:t>
            </w:r>
          </w:p>
        </w:tc>
        <w:tc>
          <w:tcPr>
            <w:tcW w:w="3135" w:type="pct"/>
            <w:gridSpan w:val="4"/>
            <w:vAlign w:val="center"/>
          </w:tcPr>
          <w:p w14:paraId="4C85997C"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Pmax</w:t>
            </w:r>
            <w:r w:rsidRPr="008A2411">
              <w:rPr>
                <w:rFonts w:ascii="Times New Roman" w:hAnsi="Times New Roman" w:cs="Times New Roman"/>
                <w:snapToGrid/>
                <w:color w:val="000000" w:themeColor="text1"/>
                <w:spacing w:val="0"/>
                <w:sz w:val="21"/>
              </w:rPr>
              <w:t>＜</w:t>
            </w:r>
            <w:r w:rsidRPr="008A2411">
              <w:rPr>
                <w:rFonts w:ascii="Times New Roman" w:hAnsi="Times New Roman" w:cs="Times New Roman"/>
                <w:snapToGrid/>
                <w:color w:val="000000" w:themeColor="text1"/>
                <w:spacing w:val="0"/>
                <w:sz w:val="21"/>
              </w:rPr>
              <w:t>10%</w:t>
            </w:r>
          </w:p>
        </w:tc>
      </w:tr>
    </w:tbl>
    <w:p w14:paraId="7EE48054" w14:textId="77777777" w:rsidR="00B0005F" w:rsidRPr="008A2411" w:rsidRDefault="00000000">
      <w:pPr>
        <w:jc w:val="center"/>
        <w:rPr>
          <w:rFonts w:ascii="Times New Roman" w:eastAsia="黑体"/>
          <w:color w:val="000000" w:themeColor="text1"/>
        </w:rPr>
      </w:pPr>
      <w:r w:rsidRPr="008A2411">
        <w:rPr>
          <w:rFonts w:ascii="Times New Roman" w:eastAsia="黑体"/>
          <w:color w:val="000000" w:themeColor="text1"/>
        </w:rPr>
        <w:t>表</w:t>
      </w:r>
      <w:r w:rsidRPr="008A2411">
        <w:rPr>
          <w:rFonts w:ascii="Times New Roman" w:eastAsia="黑体"/>
          <w:color w:val="000000" w:themeColor="text1"/>
        </w:rPr>
        <w:t xml:space="preserve">2.7-4  </w:t>
      </w:r>
      <w:r w:rsidRPr="008A2411">
        <w:rPr>
          <w:rFonts w:ascii="Times New Roman" w:eastAsia="黑体"/>
          <w:color w:val="000000" w:themeColor="text1"/>
        </w:rPr>
        <w:t>评价工作等级</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89"/>
        <w:gridCol w:w="6333"/>
      </w:tblGrid>
      <w:tr w:rsidR="008A2411" w:rsidRPr="008A2411" w14:paraId="02B9198F" w14:textId="77777777">
        <w:trPr>
          <w:jc w:val="center"/>
        </w:trPr>
        <w:tc>
          <w:tcPr>
            <w:tcW w:w="2189" w:type="dxa"/>
            <w:vAlign w:val="center"/>
          </w:tcPr>
          <w:p w14:paraId="1F1C2448" w14:textId="77777777" w:rsidR="00B0005F" w:rsidRPr="008A2411" w:rsidRDefault="00000000">
            <w:pPr>
              <w:pStyle w:val="aff9"/>
              <w:adjustRightInd w:val="0"/>
              <w:snapToGrid w:val="0"/>
              <w:jc w:val="center"/>
              <w:rPr>
                <w:rFonts w:ascii="Times New Roman" w:eastAsiaTheme="minorEastAsia" w:hAnsi="Times New Roman" w:cs="Times New Roman"/>
                <w:color w:val="000000" w:themeColor="text1"/>
                <w:sz w:val="21"/>
                <w:szCs w:val="21"/>
              </w:rPr>
            </w:pPr>
            <w:r w:rsidRPr="008A2411">
              <w:rPr>
                <w:rFonts w:ascii="Times New Roman" w:eastAsiaTheme="minorEastAsia" w:hAnsi="Times New Roman" w:cs="Times New Roman"/>
                <w:color w:val="000000" w:themeColor="text1"/>
                <w:sz w:val="21"/>
                <w:szCs w:val="21"/>
              </w:rPr>
              <w:t>评价工作等级</w:t>
            </w:r>
          </w:p>
        </w:tc>
        <w:tc>
          <w:tcPr>
            <w:tcW w:w="6333" w:type="dxa"/>
            <w:vAlign w:val="center"/>
          </w:tcPr>
          <w:p w14:paraId="15A8AB1C" w14:textId="77777777" w:rsidR="00B0005F" w:rsidRPr="008A2411" w:rsidRDefault="00000000">
            <w:pPr>
              <w:pStyle w:val="aff9"/>
              <w:adjustRightInd w:val="0"/>
              <w:snapToGrid w:val="0"/>
              <w:jc w:val="center"/>
              <w:rPr>
                <w:rFonts w:ascii="Times New Roman" w:eastAsiaTheme="minorEastAsia" w:hAnsi="Times New Roman" w:cs="Times New Roman"/>
                <w:color w:val="000000" w:themeColor="text1"/>
                <w:sz w:val="21"/>
                <w:szCs w:val="21"/>
              </w:rPr>
            </w:pPr>
            <w:r w:rsidRPr="008A2411">
              <w:rPr>
                <w:rFonts w:ascii="Times New Roman" w:eastAsiaTheme="minorEastAsia" w:hAnsi="Times New Roman" w:cs="Times New Roman"/>
                <w:color w:val="000000" w:themeColor="text1"/>
                <w:sz w:val="21"/>
                <w:szCs w:val="21"/>
              </w:rPr>
              <w:t>评价工作分级判据</w:t>
            </w:r>
          </w:p>
        </w:tc>
      </w:tr>
      <w:tr w:rsidR="008A2411" w:rsidRPr="008A2411" w14:paraId="2469826B" w14:textId="77777777">
        <w:trPr>
          <w:jc w:val="center"/>
        </w:trPr>
        <w:tc>
          <w:tcPr>
            <w:tcW w:w="2189" w:type="dxa"/>
            <w:vAlign w:val="center"/>
          </w:tcPr>
          <w:p w14:paraId="121621E6" w14:textId="77777777" w:rsidR="00B0005F" w:rsidRPr="008A2411" w:rsidRDefault="00000000">
            <w:pPr>
              <w:pStyle w:val="aff9"/>
              <w:adjustRightInd w:val="0"/>
              <w:snapToGrid w:val="0"/>
              <w:jc w:val="center"/>
              <w:rPr>
                <w:rFonts w:ascii="Times New Roman" w:eastAsiaTheme="minorEastAsia" w:hAnsi="Times New Roman" w:cs="Times New Roman"/>
                <w:color w:val="000000" w:themeColor="text1"/>
                <w:sz w:val="21"/>
                <w:szCs w:val="21"/>
              </w:rPr>
            </w:pPr>
            <w:r w:rsidRPr="008A2411">
              <w:rPr>
                <w:rFonts w:ascii="Times New Roman" w:eastAsiaTheme="minorEastAsia" w:hAnsi="Times New Roman" w:cs="Times New Roman"/>
                <w:color w:val="000000" w:themeColor="text1"/>
                <w:sz w:val="21"/>
                <w:szCs w:val="21"/>
              </w:rPr>
              <w:t>一级</w:t>
            </w:r>
          </w:p>
        </w:tc>
        <w:tc>
          <w:tcPr>
            <w:tcW w:w="6333" w:type="dxa"/>
            <w:vAlign w:val="center"/>
          </w:tcPr>
          <w:p w14:paraId="761F28B4" w14:textId="77777777" w:rsidR="00B0005F" w:rsidRPr="008A2411" w:rsidRDefault="00000000">
            <w:pPr>
              <w:pStyle w:val="aff9"/>
              <w:adjustRightInd w:val="0"/>
              <w:snapToGrid w:val="0"/>
              <w:jc w:val="center"/>
              <w:rPr>
                <w:rFonts w:ascii="Times New Roman" w:eastAsiaTheme="minorEastAsia" w:hAnsi="Times New Roman" w:cs="Times New Roman"/>
                <w:color w:val="000000" w:themeColor="text1"/>
                <w:sz w:val="21"/>
                <w:szCs w:val="21"/>
              </w:rPr>
            </w:pPr>
            <w:r w:rsidRPr="008A2411">
              <w:rPr>
                <w:rFonts w:ascii="Times New Roman" w:eastAsiaTheme="minorEastAsia" w:hAnsi="Times New Roman" w:cs="Times New Roman"/>
                <w:color w:val="000000" w:themeColor="text1"/>
                <w:sz w:val="21"/>
                <w:szCs w:val="21"/>
              </w:rPr>
              <w:t>Pmax≥10%</w:t>
            </w:r>
          </w:p>
        </w:tc>
      </w:tr>
      <w:tr w:rsidR="008A2411" w:rsidRPr="008A2411" w14:paraId="6A97C9BA" w14:textId="77777777">
        <w:trPr>
          <w:jc w:val="center"/>
        </w:trPr>
        <w:tc>
          <w:tcPr>
            <w:tcW w:w="2189" w:type="dxa"/>
            <w:vAlign w:val="center"/>
          </w:tcPr>
          <w:p w14:paraId="7EBD149D" w14:textId="77777777" w:rsidR="00B0005F" w:rsidRPr="008A2411" w:rsidRDefault="00000000">
            <w:pPr>
              <w:pStyle w:val="aff9"/>
              <w:adjustRightInd w:val="0"/>
              <w:snapToGrid w:val="0"/>
              <w:jc w:val="center"/>
              <w:rPr>
                <w:rFonts w:ascii="Times New Roman" w:eastAsiaTheme="minorEastAsia" w:hAnsi="Times New Roman" w:cs="Times New Roman"/>
                <w:b/>
                <w:color w:val="000000" w:themeColor="text1"/>
                <w:sz w:val="21"/>
                <w:szCs w:val="21"/>
              </w:rPr>
            </w:pPr>
            <w:r w:rsidRPr="008A2411">
              <w:rPr>
                <w:rFonts w:ascii="Times New Roman" w:eastAsiaTheme="minorEastAsia" w:hAnsi="Times New Roman" w:cs="Times New Roman"/>
                <w:b/>
                <w:color w:val="000000" w:themeColor="text1"/>
                <w:sz w:val="21"/>
                <w:szCs w:val="21"/>
              </w:rPr>
              <w:t>二级</w:t>
            </w:r>
          </w:p>
        </w:tc>
        <w:tc>
          <w:tcPr>
            <w:tcW w:w="6333" w:type="dxa"/>
            <w:vAlign w:val="center"/>
          </w:tcPr>
          <w:p w14:paraId="36CCD1C2" w14:textId="77777777" w:rsidR="00B0005F" w:rsidRPr="008A2411" w:rsidRDefault="00000000">
            <w:pPr>
              <w:pStyle w:val="aff9"/>
              <w:adjustRightInd w:val="0"/>
              <w:snapToGrid w:val="0"/>
              <w:jc w:val="center"/>
              <w:rPr>
                <w:rFonts w:ascii="Times New Roman" w:eastAsiaTheme="minorEastAsia" w:hAnsi="Times New Roman" w:cs="Times New Roman"/>
                <w:b/>
                <w:color w:val="000000" w:themeColor="text1"/>
                <w:sz w:val="21"/>
                <w:szCs w:val="21"/>
              </w:rPr>
            </w:pPr>
            <w:r w:rsidRPr="008A2411">
              <w:rPr>
                <w:rFonts w:ascii="Times New Roman" w:eastAsiaTheme="minorEastAsia" w:hAnsi="Times New Roman" w:cs="Times New Roman"/>
                <w:b/>
                <w:color w:val="000000" w:themeColor="text1"/>
                <w:sz w:val="21"/>
                <w:szCs w:val="21"/>
              </w:rPr>
              <w:t>1%≤Pmax</w:t>
            </w:r>
            <w:r w:rsidRPr="008A2411">
              <w:rPr>
                <w:rFonts w:ascii="Times New Roman" w:eastAsiaTheme="minorEastAsia" w:hAnsi="Times New Roman" w:cs="Times New Roman"/>
                <w:b/>
                <w:color w:val="000000" w:themeColor="text1"/>
                <w:sz w:val="21"/>
                <w:szCs w:val="21"/>
              </w:rPr>
              <w:t>＜</w:t>
            </w:r>
            <w:r w:rsidRPr="008A2411">
              <w:rPr>
                <w:rFonts w:ascii="Times New Roman" w:eastAsiaTheme="minorEastAsia" w:hAnsi="Times New Roman" w:cs="Times New Roman"/>
                <w:b/>
                <w:color w:val="000000" w:themeColor="text1"/>
                <w:sz w:val="21"/>
                <w:szCs w:val="21"/>
              </w:rPr>
              <w:t>10%</w:t>
            </w:r>
          </w:p>
        </w:tc>
      </w:tr>
      <w:tr w:rsidR="008A2411" w:rsidRPr="008A2411" w14:paraId="48AD9802" w14:textId="77777777">
        <w:trPr>
          <w:jc w:val="center"/>
        </w:trPr>
        <w:tc>
          <w:tcPr>
            <w:tcW w:w="2189" w:type="dxa"/>
            <w:vAlign w:val="center"/>
          </w:tcPr>
          <w:p w14:paraId="5C22E4FF" w14:textId="77777777" w:rsidR="00B0005F" w:rsidRPr="008A2411" w:rsidRDefault="00000000">
            <w:pPr>
              <w:pStyle w:val="aff9"/>
              <w:adjustRightInd w:val="0"/>
              <w:snapToGrid w:val="0"/>
              <w:jc w:val="center"/>
              <w:rPr>
                <w:rFonts w:ascii="Times New Roman" w:eastAsiaTheme="minorEastAsia" w:hAnsi="Times New Roman" w:cs="Times New Roman"/>
                <w:bCs/>
                <w:color w:val="000000" w:themeColor="text1"/>
                <w:sz w:val="21"/>
                <w:szCs w:val="21"/>
              </w:rPr>
            </w:pPr>
            <w:r w:rsidRPr="008A2411">
              <w:rPr>
                <w:rFonts w:ascii="Times New Roman" w:eastAsiaTheme="minorEastAsia" w:hAnsi="Times New Roman" w:cs="Times New Roman"/>
                <w:bCs/>
                <w:color w:val="000000" w:themeColor="text1"/>
                <w:sz w:val="21"/>
                <w:szCs w:val="21"/>
              </w:rPr>
              <w:t>三级</w:t>
            </w:r>
          </w:p>
        </w:tc>
        <w:tc>
          <w:tcPr>
            <w:tcW w:w="6333" w:type="dxa"/>
            <w:vAlign w:val="center"/>
          </w:tcPr>
          <w:p w14:paraId="41B7F137" w14:textId="77777777" w:rsidR="00B0005F" w:rsidRPr="008A2411" w:rsidRDefault="00000000">
            <w:pPr>
              <w:pStyle w:val="aff9"/>
              <w:adjustRightInd w:val="0"/>
              <w:snapToGrid w:val="0"/>
              <w:jc w:val="center"/>
              <w:rPr>
                <w:rFonts w:ascii="Times New Roman" w:eastAsiaTheme="minorEastAsia" w:hAnsi="Times New Roman" w:cs="Times New Roman"/>
                <w:bCs/>
                <w:color w:val="000000" w:themeColor="text1"/>
                <w:sz w:val="21"/>
                <w:szCs w:val="21"/>
              </w:rPr>
            </w:pPr>
            <w:r w:rsidRPr="008A2411">
              <w:rPr>
                <w:rFonts w:ascii="Times New Roman" w:eastAsiaTheme="minorEastAsia" w:hAnsi="Times New Roman" w:cs="Times New Roman"/>
                <w:bCs/>
                <w:color w:val="000000" w:themeColor="text1"/>
                <w:sz w:val="21"/>
                <w:szCs w:val="21"/>
              </w:rPr>
              <w:t>Pmax</w:t>
            </w:r>
            <w:r w:rsidRPr="008A2411">
              <w:rPr>
                <w:rFonts w:ascii="Times New Roman" w:eastAsiaTheme="minorEastAsia" w:hAnsi="Times New Roman" w:cs="Times New Roman"/>
                <w:bCs/>
                <w:color w:val="000000" w:themeColor="text1"/>
                <w:sz w:val="21"/>
                <w:szCs w:val="21"/>
              </w:rPr>
              <w:t>＜</w:t>
            </w:r>
            <w:r w:rsidRPr="008A2411">
              <w:rPr>
                <w:rFonts w:ascii="Times New Roman" w:eastAsiaTheme="minorEastAsia" w:hAnsi="Times New Roman" w:cs="Times New Roman"/>
                <w:bCs/>
                <w:color w:val="000000" w:themeColor="text1"/>
                <w:sz w:val="21"/>
                <w:szCs w:val="21"/>
              </w:rPr>
              <w:t>1%</w:t>
            </w:r>
          </w:p>
        </w:tc>
      </w:tr>
    </w:tbl>
    <w:p w14:paraId="46AD5413" w14:textId="77777777" w:rsidR="00B0005F" w:rsidRPr="008A2411" w:rsidRDefault="00000000">
      <w:pPr>
        <w:adjustRightInd w:val="0"/>
        <w:snapToGrid w:val="0"/>
        <w:spacing w:line="360" w:lineRule="auto"/>
        <w:ind w:firstLine="480"/>
        <w:rPr>
          <w:rFonts w:ascii="Times New Roman"/>
          <w:color w:val="000000" w:themeColor="text1"/>
        </w:rPr>
      </w:pPr>
      <w:r w:rsidRPr="008A2411">
        <w:rPr>
          <w:rFonts w:ascii="Times New Roman"/>
          <w:color w:val="000000" w:themeColor="text1"/>
        </w:rPr>
        <w:t>根据表</w:t>
      </w:r>
      <w:r w:rsidRPr="008A2411">
        <w:rPr>
          <w:rFonts w:ascii="Times New Roman"/>
          <w:color w:val="000000" w:themeColor="text1"/>
        </w:rPr>
        <w:t>2.7-</w:t>
      </w:r>
      <w:r w:rsidRPr="008A2411">
        <w:rPr>
          <w:rFonts w:ascii="Times New Roman" w:hint="eastAsia"/>
          <w:color w:val="000000" w:themeColor="text1"/>
        </w:rPr>
        <w:t>3</w:t>
      </w:r>
      <w:r w:rsidRPr="008A2411">
        <w:rPr>
          <w:rFonts w:ascii="Times New Roman"/>
          <w:color w:val="000000" w:themeColor="text1"/>
        </w:rPr>
        <w:t>、</w:t>
      </w:r>
      <w:r w:rsidRPr="008A2411">
        <w:rPr>
          <w:rFonts w:ascii="Times New Roman"/>
          <w:color w:val="000000" w:themeColor="text1"/>
        </w:rPr>
        <w:t>2.7-</w:t>
      </w:r>
      <w:r w:rsidRPr="008A2411">
        <w:rPr>
          <w:rFonts w:ascii="Times New Roman" w:hint="eastAsia"/>
          <w:color w:val="000000" w:themeColor="text1"/>
        </w:rPr>
        <w:t>4</w:t>
      </w:r>
      <w:r w:rsidRPr="008A2411">
        <w:rPr>
          <w:rFonts w:ascii="Times New Roman"/>
          <w:color w:val="000000" w:themeColor="text1"/>
        </w:rPr>
        <w:t>，确定本项目评价等级为二级评价。</w:t>
      </w:r>
    </w:p>
    <w:p w14:paraId="6771F107" w14:textId="77777777" w:rsidR="00B0005F" w:rsidRPr="008A2411" w:rsidRDefault="00000000">
      <w:pPr>
        <w:adjustRightInd w:val="0"/>
        <w:snapToGrid w:val="0"/>
        <w:spacing w:line="360" w:lineRule="auto"/>
        <w:ind w:firstLineChars="200" w:firstLine="482"/>
        <w:rPr>
          <w:rFonts w:ascii="Times New Roman"/>
          <w:b/>
          <w:bCs/>
          <w:color w:val="000000" w:themeColor="text1"/>
          <w:szCs w:val="26"/>
        </w:rPr>
      </w:pPr>
      <w:r w:rsidRPr="008A2411">
        <w:rPr>
          <w:rFonts w:ascii="Times New Roman"/>
          <w:b/>
          <w:bCs/>
          <w:color w:val="000000" w:themeColor="text1"/>
          <w:szCs w:val="26"/>
        </w:rPr>
        <w:t>（</w:t>
      </w:r>
      <w:r w:rsidRPr="008A2411">
        <w:rPr>
          <w:rFonts w:ascii="Times New Roman"/>
          <w:b/>
          <w:bCs/>
          <w:color w:val="000000" w:themeColor="text1"/>
          <w:szCs w:val="26"/>
        </w:rPr>
        <w:t>3</w:t>
      </w:r>
      <w:r w:rsidRPr="008A2411">
        <w:rPr>
          <w:rFonts w:ascii="Times New Roman"/>
          <w:b/>
          <w:bCs/>
          <w:color w:val="000000" w:themeColor="text1"/>
          <w:szCs w:val="26"/>
        </w:rPr>
        <w:t>）声环境影响评价工作等级</w:t>
      </w:r>
    </w:p>
    <w:p w14:paraId="1938800D" w14:textId="77777777" w:rsidR="00B0005F" w:rsidRPr="008A2411" w:rsidRDefault="00000000">
      <w:pPr>
        <w:adjustRightInd w:val="0"/>
        <w:snapToGrid w:val="0"/>
        <w:spacing w:line="360" w:lineRule="auto"/>
        <w:ind w:firstLineChars="200" w:firstLine="480"/>
        <w:rPr>
          <w:rStyle w:val="1CharChar5"/>
          <w:rFonts w:ascii="Times New Roman" w:hAnsi="Times New Roman" w:cs="Times New Roman"/>
          <w:color w:val="000000" w:themeColor="text1"/>
        </w:rPr>
      </w:pPr>
      <w:r w:rsidRPr="008A2411">
        <w:rPr>
          <w:rStyle w:val="1CharChar5"/>
          <w:rFonts w:ascii="Times New Roman" w:hAnsi="Times New Roman" w:cs="Times New Roman"/>
          <w:color w:val="000000" w:themeColor="text1"/>
        </w:rPr>
        <w:t>本项目拟建场址</w:t>
      </w:r>
      <w:proofErr w:type="gramStart"/>
      <w:r w:rsidRPr="008A2411">
        <w:rPr>
          <w:rStyle w:val="1CharChar5"/>
          <w:rFonts w:ascii="Times New Roman" w:hAnsi="Times New Roman" w:cs="Times New Roman"/>
          <w:color w:val="000000" w:themeColor="text1"/>
        </w:rPr>
        <w:t>周围声</w:t>
      </w:r>
      <w:proofErr w:type="gramEnd"/>
      <w:r w:rsidRPr="008A2411">
        <w:rPr>
          <w:rStyle w:val="1CharChar5"/>
          <w:rFonts w:ascii="Times New Roman" w:hAnsi="Times New Roman" w:cs="Times New Roman"/>
          <w:color w:val="000000" w:themeColor="text1"/>
        </w:rPr>
        <w:t>功能区属于</w:t>
      </w:r>
      <w:r w:rsidRPr="008A2411">
        <w:rPr>
          <w:rStyle w:val="1CharChar5"/>
          <w:rFonts w:ascii="Times New Roman" w:hAnsi="Times New Roman" w:cs="Times New Roman"/>
          <w:color w:val="000000" w:themeColor="text1"/>
        </w:rPr>
        <w:t>3</w:t>
      </w:r>
      <w:r w:rsidRPr="008A2411">
        <w:rPr>
          <w:rStyle w:val="1CharChar5"/>
          <w:rFonts w:ascii="Times New Roman" w:hAnsi="Times New Roman" w:cs="Times New Roman"/>
          <w:color w:val="000000" w:themeColor="text1"/>
        </w:rPr>
        <w:t>类区，项目建设前后噪声级控制增加在</w:t>
      </w:r>
      <w:r w:rsidRPr="008A2411">
        <w:rPr>
          <w:rStyle w:val="1CharChar5"/>
          <w:rFonts w:ascii="Times New Roman" w:hAnsi="Times New Roman" w:cs="Times New Roman"/>
          <w:color w:val="000000" w:themeColor="text1"/>
        </w:rPr>
        <w:t>3dB</w:t>
      </w:r>
      <w:r w:rsidRPr="008A2411">
        <w:rPr>
          <w:rStyle w:val="1CharChar5"/>
          <w:rFonts w:ascii="Times New Roman" w:hAnsi="Times New Roman" w:cs="Times New Roman"/>
          <w:color w:val="000000" w:themeColor="text1"/>
        </w:rPr>
        <w:t>（</w:t>
      </w:r>
      <w:r w:rsidRPr="008A2411">
        <w:rPr>
          <w:rStyle w:val="1CharChar5"/>
          <w:rFonts w:ascii="Times New Roman" w:hAnsi="Times New Roman" w:cs="Times New Roman"/>
          <w:color w:val="000000" w:themeColor="text1"/>
        </w:rPr>
        <w:t>A</w:t>
      </w:r>
      <w:r w:rsidRPr="008A2411">
        <w:rPr>
          <w:rStyle w:val="1CharChar5"/>
          <w:rFonts w:ascii="Times New Roman" w:hAnsi="Times New Roman" w:cs="Times New Roman"/>
          <w:color w:val="000000" w:themeColor="text1"/>
        </w:rPr>
        <w:t>）以内，且受影响人口变化不大，按《环境影响评价技术导则</w:t>
      </w:r>
      <w:r w:rsidRPr="008A2411">
        <w:rPr>
          <w:rStyle w:val="1CharChar5"/>
          <w:rFonts w:ascii="Times New Roman" w:hAnsi="Times New Roman" w:cs="Times New Roman"/>
          <w:color w:val="000000" w:themeColor="text1"/>
        </w:rPr>
        <w:t xml:space="preserve">  </w:t>
      </w:r>
      <w:r w:rsidRPr="008A2411">
        <w:rPr>
          <w:rStyle w:val="1CharChar5"/>
          <w:rFonts w:ascii="Times New Roman" w:hAnsi="Times New Roman" w:cs="Times New Roman"/>
          <w:color w:val="000000" w:themeColor="text1"/>
        </w:rPr>
        <w:t>声环境》（</w:t>
      </w:r>
      <w:r w:rsidRPr="008A2411">
        <w:rPr>
          <w:rStyle w:val="1CharChar5"/>
          <w:rFonts w:ascii="Times New Roman" w:cs="Times New Roman" w:hint="eastAsia"/>
          <w:color w:val="000000" w:themeColor="text1"/>
        </w:rPr>
        <w:t>HJ2.4-2021</w:t>
      </w:r>
      <w:r w:rsidRPr="008A2411">
        <w:rPr>
          <w:rStyle w:val="1CharChar5"/>
          <w:rFonts w:ascii="Times New Roman" w:hAnsi="Times New Roman" w:cs="Times New Roman"/>
          <w:color w:val="000000" w:themeColor="text1"/>
        </w:rPr>
        <w:t>）中的有关规定，本</w:t>
      </w:r>
      <w:proofErr w:type="gramStart"/>
      <w:r w:rsidRPr="008A2411">
        <w:rPr>
          <w:rStyle w:val="1CharChar5"/>
          <w:rFonts w:ascii="Times New Roman" w:hAnsi="Times New Roman" w:cs="Times New Roman"/>
          <w:color w:val="000000" w:themeColor="text1"/>
        </w:rPr>
        <w:t>项目声</w:t>
      </w:r>
      <w:proofErr w:type="gramEnd"/>
      <w:r w:rsidRPr="008A2411">
        <w:rPr>
          <w:rStyle w:val="1CharChar5"/>
          <w:rFonts w:ascii="Times New Roman" w:hAnsi="Times New Roman" w:cs="Times New Roman"/>
          <w:color w:val="000000" w:themeColor="text1"/>
        </w:rPr>
        <w:t>环境影响评价工作等级定为三级。详见表</w:t>
      </w:r>
      <w:r w:rsidRPr="008A2411">
        <w:rPr>
          <w:rStyle w:val="1CharChar5"/>
          <w:rFonts w:ascii="Times New Roman" w:hAnsi="Times New Roman" w:cs="Times New Roman"/>
          <w:color w:val="000000" w:themeColor="text1"/>
        </w:rPr>
        <w:t>2.7-5</w:t>
      </w:r>
      <w:r w:rsidRPr="008A2411">
        <w:rPr>
          <w:rStyle w:val="1CharChar5"/>
          <w:rFonts w:ascii="Times New Roman" w:hAnsi="Times New Roman" w:cs="Times New Roman"/>
          <w:color w:val="000000" w:themeColor="text1"/>
        </w:rPr>
        <w:t>。</w:t>
      </w:r>
    </w:p>
    <w:p w14:paraId="2795296C" w14:textId="77777777" w:rsidR="00B0005F" w:rsidRPr="008A2411" w:rsidRDefault="00000000">
      <w:pPr>
        <w:tabs>
          <w:tab w:val="left" w:pos="5267"/>
        </w:tabs>
        <w:jc w:val="center"/>
        <w:rPr>
          <w:rFonts w:ascii="Times New Roman" w:eastAsia="黑体"/>
          <w:color w:val="000000" w:themeColor="text1"/>
        </w:rPr>
      </w:pPr>
      <w:r w:rsidRPr="008A2411">
        <w:rPr>
          <w:rFonts w:ascii="Times New Roman" w:eastAsia="黑体"/>
          <w:color w:val="000000" w:themeColor="text1"/>
        </w:rPr>
        <w:t>表</w:t>
      </w:r>
      <w:r w:rsidRPr="008A2411">
        <w:rPr>
          <w:rFonts w:ascii="Times New Roman" w:eastAsia="黑体"/>
          <w:color w:val="000000" w:themeColor="text1"/>
        </w:rPr>
        <w:t xml:space="preserve">2.7-5  </w:t>
      </w:r>
      <w:r w:rsidRPr="008A2411">
        <w:rPr>
          <w:rFonts w:ascii="Times New Roman" w:eastAsia="黑体"/>
          <w:color w:val="000000" w:themeColor="text1"/>
        </w:rPr>
        <w:t>声环境影响评价工作判别情况</w:t>
      </w:r>
    </w:p>
    <w:tbl>
      <w:tblPr>
        <w:tblW w:w="4935" w:type="pct"/>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top w:w="57" w:type="dxa"/>
          <w:left w:w="0" w:type="dxa"/>
          <w:bottom w:w="57" w:type="dxa"/>
          <w:right w:w="0" w:type="dxa"/>
        </w:tblCellMar>
        <w:tblLook w:val="04A0" w:firstRow="1" w:lastRow="0" w:firstColumn="1" w:lastColumn="0" w:noHBand="0" w:noVBand="1"/>
      </w:tblPr>
      <w:tblGrid>
        <w:gridCol w:w="1279"/>
        <w:gridCol w:w="5412"/>
        <w:gridCol w:w="1513"/>
      </w:tblGrid>
      <w:tr w:rsidR="008A2411" w:rsidRPr="008A2411" w14:paraId="385B3034" w14:textId="77777777">
        <w:trPr>
          <w:trHeight w:val="318"/>
          <w:jc w:val="center"/>
        </w:trPr>
        <w:tc>
          <w:tcPr>
            <w:tcW w:w="779" w:type="pct"/>
            <w:vAlign w:val="center"/>
          </w:tcPr>
          <w:p w14:paraId="2062DEA4" w14:textId="77777777" w:rsidR="00B0005F" w:rsidRPr="008A2411" w:rsidRDefault="00000000">
            <w:pPr>
              <w:pStyle w:val="affffffff1"/>
              <w:jc w:val="center"/>
              <w:rPr>
                <w:rFonts w:ascii="Times New Roman" w:hAnsi="Times New Roman"/>
                <w:color w:val="000000" w:themeColor="text1"/>
              </w:rPr>
            </w:pPr>
            <w:r w:rsidRPr="008A2411">
              <w:rPr>
                <w:rFonts w:ascii="Times New Roman" w:hAnsi="Times New Roman"/>
                <w:color w:val="000000" w:themeColor="text1"/>
              </w:rPr>
              <w:t>序号</w:t>
            </w:r>
          </w:p>
        </w:tc>
        <w:tc>
          <w:tcPr>
            <w:tcW w:w="3297" w:type="pct"/>
            <w:vAlign w:val="center"/>
          </w:tcPr>
          <w:p w14:paraId="0C03FB38" w14:textId="77777777" w:rsidR="00B0005F" w:rsidRPr="008A2411" w:rsidRDefault="00000000">
            <w:pPr>
              <w:pStyle w:val="affffffff1"/>
              <w:jc w:val="center"/>
              <w:rPr>
                <w:rFonts w:ascii="Times New Roman" w:hAnsi="Times New Roman"/>
                <w:color w:val="000000" w:themeColor="text1"/>
              </w:rPr>
            </w:pPr>
            <w:r w:rsidRPr="008A2411">
              <w:rPr>
                <w:rFonts w:ascii="Times New Roman" w:hAnsi="Times New Roman"/>
                <w:color w:val="000000" w:themeColor="text1"/>
              </w:rPr>
              <w:t>等级划分依据</w:t>
            </w:r>
          </w:p>
        </w:tc>
        <w:tc>
          <w:tcPr>
            <w:tcW w:w="922" w:type="pct"/>
            <w:vAlign w:val="center"/>
          </w:tcPr>
          <w:p w14:paraId="0FC94B52" w14:textId="77777777" w:rsidR="00B0005F" w:rsidRPr="008A2411" w:rsidRDefault="00000000">
            <w:pPr>
              <w:pStyle w:val="affffffff1"/>
              <w:jc w:val="center"/>
              <w:rPr>
                <w:rFonts w:ascii="Times New Roman" w:hAnsi="Times New Roman"/>
                <w:color w:val="000000" w:themeColor="text1"/>
              </w:rPr>
            </w:pPr>
            <w:r w:rsidRPr="008A2411">
              <w:rPr>
                <w:rFonts w:ascii="Times New Roman" w:hAnsi="Times New Roman"/>
                <w:color w:val="000000" w:themeColor="text1"/>
              </w:rPr>
              <w:t>指标</w:t>
            </w:r>
          </w:p>
        </w:tc>
      </w:tr>
      <w:tr w:rsidR="008A2411" w:rsidRPr="008A2411" w14:paraId="37686BCE" w14:textId="77777777">
        <w:trPr>
          <w:trHeight w:val="291"/>
          <w:jc w:val="center"/>
        </w:trPr>
        <w:tc>
          <w:tcPr>
            <w:tcW w:w="779" w:type="pct"/>
            <w:vAlign w:val="center"/>
          </w:tcPr>
          <w:p w14:paraId="1D550333" w14:textId="77777777" w:rsidR="00B0005F" w:rsidRPr="008A2411" w:rsidRDefault="00000000">
            <w:pPr>
              <w:pStyle w:val="affffffff1"/>
              <w:jc w:val="center"/>
              <w:rPr>
                <w:rFonts w:ascii="Times New Roman" w:hAnsi="Times New Roman"/>
                <w:color w:val="000000" w:themeColor="text1"/>
              </w:rPr>
            </w:pPr>
            <w:r w:rsidRPr="008A2411">
              <w:rPr>
                <w:rFonts w:ascii="Times New Roman" w:hAnsi="Times New Roman"/>
                <w:color w:val="000000" w:themeColor="text1"/>
              </w:rPr>
              <w:t>1</w:t>
            </w:r>
          </w:p>
        </w:tc>
        <w:tc>
          <w:tcPr>
            <w:tcW w:w="3297" w:type="pct"/>
            <w:vAlign w:val="center"/>
          </w:tcPr>
          <w:p w14:paraId="616879DE" w14:textId="77777777" w:rsidR="00B0005F" w:rsidRPr="008A2411" w:rsidRDefault="00000000">
            <w:pPr>
              <w:pStyle w:val="affffffff1"/>
              <w:jc w:val="center"/>
              <w:rPr>
                <w:rFonts w:ascii="Times New Roman" w:hAnsi="Times New Roman"/>
                <w:color w:val="000000" w:themeColor="text1"/>
              </w:rPr>
            </w:pPr>
            <w:r w:rsidRPr="008A2411">
              <w:rPr>
                <w:rFonts w:ascii="Times New Roman" w:hAnsi="Times New Roman"/>
                <w:color w:val="000000" w:themeColor="text1"/>
              </w:rPr>
              <w:t>项目所在</w:t>
            </w:r>
            <w:proofErr w:type="gramStart"/>
            <w:r w:rsidRPr="008A2411">
              <w:rPr>
                <w:rFonts w:ascii="Times New Roman" w:hAnsi="Times New Roman"/>
                <w:color w:val="000000" w:themeColor="text1"/>
              </w:rPr>
              <w:t>区域声</w:t>
            </w:r>
            <w:proofErr w:type="gramEnd"/>
            <w:r w:rsidRPr="008A2411">
              <w:rPr>
                <w:rFonts w:ascii="Times New Roman" w:hAnsi="Times New Roman"/>
                <w:color w:val="000000" w:themeColor="text1"/>
              </w:rPr>
              <w:t>环境功能区类别</w:t>
            </w:r>
          </w:p>
        </w:tc>
        <w:tc>
          <w:tcPr>
            <w:tcW w:w="922" w:type="pct"/>
            <w:tcBorders>
              <w:bottom w:val="single" w:sz="2" w:space="0" w:color="auto"/>
            </w:tcBorders>
            <w:vAlign w:val="center"/>
          </w:tcPr>
          <w:p w14:paraId="00181849" w14:textId="77777777" w:rsidR="00B0005F" w:rsidRPr="008A2411" w:rsidRDefault="00000000">
            <w:pPr>
              <w:pStyle w:val="affffffff1"/>
              <w:jc w:val="center"/>
              <w:rPr>
                <w:rFonts w:ascii="Times New Roman" w:hAnsi="Times New Roman"/>
                <w:color w:val="000000" w:themeColor="text1"/>
              </w:rPr>
            </w:pPr>
            <w:r w:rsidRPr="008A2411">
              <w:rPr>
                <w:rFonts w:ascii="Times New Roman" w:hAnsi="Times New Roman"/>
                <w:color w:val="000000" w:themeColor="text1"/>
              </w:rPr>
              <w:t>3</w:t>
            </w:r>
            <w:r w:rsidRPr="008A2411">
              <w:rPr>
                <w:rFonts w:ascii="Times New Roman" w:hAnsi="Times New Roman"/>
                <w:color w:val="000000" w:themeColor="text1"/>
              </w:rPr>
              <w:t>类区</w:t>
            </w:r>
          </w:p>
        </w:tc>
      </w:tr>
      <w:tr w:rsidR="008A2411" w:rsidRPr="008A2411" w14:paraId="1D8BCDD8" w14:textId="77777777">
        <w:trPr>
          <w:trHeight w:val="291"/>
          <w:jc w:val="center"/>
        </w:trPr>
        <w:tc>
          <w:tcPr>
            <w:tcW w:w="779" w:type="pct"/>
            <w:shd w:val="clear" w:color="auto" w:fill="auto"/>
            <w:vAlign w:val="center"/>
          </w:tcPr>
          <w:p w14:paraId="3BFC9C06" w14:textId="77777777" w:rsidR="00B0005F" w:rsidRPr="008A2411" w:rsidRDefault="00000000">
            <w:pPr>
              <w:pStyle w:val="affffffff1"/>
              <w:jc w:val="center"/>
              <w:rPr>
                <w:rFonts w:ascii="Times New Roman" w:hAnsi="Times New Roman"/>
                <w:color w:val="000000" w:themeColor="text1"/>
              </w:rPr>
            </w:pPr>
            <w:r w:rsidRPr="008A2411">
              <w:rPr>
                <w:rFonts w:ascii="Times New Roman" w:hAnsi="Times New Roman"/>
                <w:color w:val="000000" w:themeColor="text1"/>
              </w:rPr>
              <w:t>2</w:t>
            </w:r>
          </w:p>
        </w:tc>
        <w:tc>
          <w:tcPr>
            <w:tcW w:w="3297" w:type="pct"/>
            <w:shd w:val="clear" w:color="auto" w:fill="auto"/>
            <w:vAlign w:val="center"/>
          </w:tcPr>
          <w:p w14:paraId="64FA5FA7" w14:textId="77777777" w:rsidR="00B0005F" w:rsidRPr="008A2411" w:rsidRDefault="00000000">
            <w:pPr>
              <w:pStyle w:val="affffffff1"/>
              <w:jc w:val="center"/>
              <w:rPr>
                <w:rFonts w:ascii="Times New Roman" w:hAnsi="Times New Roman"/>
                <w:color w:val="000000" w:themeColor="text1"/>
              </w:rPr>
            </w:pPr>
            <w:r w:rsidRPr="008A2411">
              <w:rPr>
                <w:rFonts w:ascii="Times New Roman" w:hAnsi="Times New Roman"/>
                <w:color w:val="000000" w:themeColor="text1"/>
              </w:rPr>
              <w:t>项目建设前后评价范围内敏感目标噪声</w:t>
            </w:r>
            <w:proofErr w:type="gramStart"/>
            <w:r w:rsidRPr="008A2411">
              <w:rPr>
                <w:rFonts w:ascii="Times New Roman" w:hAnsi="Times New Roman"/>
                <w:color w:val="000000" w:themeColor="text1"/>
              </w:rPr>
              <w:t>级增加</w:t>
            </w:r>
            <w:proofErr w:type="gramEnd"/>
            <w:r w:rsidRPr="008A2411">
              <w:rPr>
                <w:rFonts w:ascii="Times New Roman" w:hAnsi="Times New Roman"/>
                <w:color w:val="000000" w:themeColor="text1"/>
              </w:rPr>
              <w:t>量</w:t>
            </w:r>
          </w:p>
        </w:tc>
        <w:tc>
          <w:tcPr>
            <w:tcW w:w="922" w:type="pct"/>
            <w:shd w:val="clear" w:color="auto" w:fill="FFFFFF"/>
            <w:vAlign w:val="center"/>
          </w:tcPr>
          <w:p w14:paraId="743482D3" w14:textId="77777777" w:rsidR="00B0005F" w:rsidRPr="008A2411" w:rsidRDefault="00000000">
            <w:pPr>
              <w:pStyle w:val="affffffff1"/>
              <w:jc w:val="center"/>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3dB</w:t>
            </w:r>
            <w:r w:rsidRPr="008A2411">
              <w:rPr>
                <w:rFonts w:ascii="Times New Roman" w:hAnsi="Times New Roman"/>
                <w:color w:val="000000" w:themeColor="text1"/>
              </w:rPr>
              <w:t>（</w:t>
            </w:r>
            <w:r w:rsidRPr="008A2411">
              <w:rPr>
                <w:rFonts w:ascii="Times New Roman" w:hAnsi="Times New Roman"/>
                <w:color w:val="000000" w:themeColor="text1"/>
              </w:rPr>
              <w:t>A</w:t>
            </w:r>
            <w:r w:rsidRPr="008A2411">
              <w:rPr>
                <w:rFonts w:ascii="Times New Roman" w:hAnsi="Times New Roman"/>
                <w:color w:val="000000" w:themeColor="text1"/>
              </w:rPr>
              <w:t>）</w:t>
            </w:r>
          </w:p>
        </w:tc>
      </w:tr>
      <w:tr w:rsidR="008A2411" w:rsidRPr="008A2411" w14:paraId="4644CB40" w14:textId="77777777">
        <w:trPr>
          <w:trHeight w:val="296"/>
          <w:jc w:val="center"/>
        </w:trPr>
        <w:tc>
          <w:tcPr>
            <w:tcW w:w="779" w:type="pct"/>
            <w:vAlign w:val="center"/>
          </w:tcPr>
          <w:p w14:paraId="17648E3E" w14:textId="77777777" w:rsidR="00B0005F" w:rsidRPr="008A2411" w:rsidRDefault="00000000">
            <w:pPr>
              <w:pStyle w:val="affffffff1"/>
              <w:jc w:val="center"/>
              <w:rPr>
                <w:rFonts w:ascii="Times New Roman" w:hAnsi="Times New Roman"/>
                <w:color w:val="000000" w:themeColor="text1"/>
              </w:rPr>
            </w:pPr>
            <w:r w:rsidRPr="008A2411">
              <w:rPr>
                <w:rFonts w:ascii="Times New Roman" w:hAnsi="Times New Roman"/>
                <w:color w:val="000000" w:themeColor="text1"/>
              </w:rPr>
              <w:t>3</w:t>
            </w:r>
          </w:p>
        </w:tc>
        <w:tc>
          <w:tcPr>
            <w:tcW w:w="3297" w:type="pct"/>
            <w:vAlign w:val="center"/>
          </w:tcPr>
          <w:p w14:paraId="07B1B1E6" w14:textId="77777777" w:rsidR="00B0005F" w:rsidRPr="008A2411" w:rsidRDefault="00000000">
            <w:pPr>
              <w:pStyle w:val="affffffff1"/>
              <w:jc w:val="center"/>
              <w:rPr>
                <w:rFonts w:ascii="Times New Roman" w:hAnsi="Times New Roman"/>
                <w:color w:val="000000" w:themeColor="text1"/>
              </w:rPr>
            </w:pPr>
            <w:r w:rsidRPr="008A2411">
              <w:rPr>
                <w:rFonts w:ascii="Times New Roman" w:hAnsi="Times New Roman"/>
                <w:color w:val="000000" w:themeColor="text1"/>
              </w:rPr>
              <w:t>受影响人口数量</w:t>
            </w:r>
          </w:p>
        </w:tc>
        <w:tc>
          <w:tcPr>
            <w:tcW w:w="922" w:type="pct"/>
            <w:vAlign w:val="center"/>
          </w:tcPr>
          <w:p w14:paraId="47028212" w14:textId="77777777" w:rsidR="00B0005F" w:rsidRPr="008A2411" w:rsidRDefault="00000000">
            <w:pPr>
              <w:pStyle w:val="affffffff1"/>
              <w:jc w:val="center"/>
              <w:rPr>
                <w:rFonts w:ascii="Times New Roman" w:hAnsi="Times New Roman"/>
                <w:color w:val="000000" w:themeColor="text1"/>
              </w:rPr>
            </w:pPr>
            <w:r w:rsidRPr="008A2411">
              <w:rPr>
                <w:rFonts w:ascii="Times New Roman" w:hAnsi="Times New Roman"/>
                <w:color w:val="000000" w:themeColor="text1"/>
              </w:rPr>
              <w:t>变化不大</w:t>
            </w:r>
          </w:p>
        </w:tc>
      </w:tr>
    </w:tbl>
    <w:p w14:paraId="58362081" w14:textId="77777777" w:rsidR="00B0005F" w:rsidRPr="008A2411" w:rsidRDefault="00000000">
      <w:pPr>
        <w:spacing w:line="360" w:lineRule="auto"/>
        <w:ind w:firstLineChars="200" w:firstLine="482"/>
        <w:rPr>
          <w:rFonts w:ascii="Times New Roman"/>
          <w:b/>
          <w:bCs/>
          <w:color w:val="000000" w:themeColor="text1"/>
          <w:szCs w:val="26"/>
        </w:rPr>
      </w:pPr>
      <w:bookmarkStart w:id="92" w:name="_Toc5728"/>
      <w:bookmarkStart w:id="93" w:name="_Toc169865552"/>
      <w:bookmarkStart w:id="94" w:name="_Toc503048956"/>
      <w:bookmarkStart w:id="95" w:name="_Toc503048398"/>
      <w:bookmarkStart w:id="96" w:name="_Toc169346288"/>
      <w:bookmarkStart w:id="97" w:name="_Toc503044008"/>
      <w:bookmarkStart w:id="98" w:name="_Toc169354540"/>
      <w:bookmarkStart w:id="99" w:name="_Toc278018555"/>
      <w:bookmarkStart w:id="100" w:name="_Toc169858384"/>
      <w:bookmarkStart w:id="101" w:name="_Toc168125243"/>
      <w:bookmarkStart w:id="102" w:name="_Toc91404783"/>
      <w:bookmarkStart w:id="103" w:name="_Toc31660"/>
      <w:bookmarkStart w:id="104" w:name="_Toc168124983"/>
      <w:bookmarkStart w:id="105" w:name="_Toc169405473"/>
      <w:bookmarkStart w:id="106" w:name="_Toc97359472"/>
      <w:bookmarkStart w:id="107" w:name="_Toc169353998"/>
      <w:r w:rsidRPr="008A2411">
        <w:rPr>
          <w:rFonts w:ascii="Times New Roman"/>
          <w:b/>
          <w:bCs/>
          <w:color w:val="000000" w:themeColor="text1"/>
          <w:szCs w:val="26"/>
        </w:rPr>
        <w:t>（</w:t>
      </w:r>
      <w:r w:rsidRPr="008A2411">
        <w:rPr>
          <w:rFonts w:ascii="Times New Roman"/>
          <w:b/>
          <w:bCs/>
          <w:color w:val="000000" w:themeColor="text1"/>
          <w:szCs w:val="26"/>
        </w:rPr>
        <w:t>4</w:t>
      </w:r>
      <w:r w:rsidRPr="008A2411">
        <w:rPr>
          <w:rFonts w:ascii="Times New Roman"/>
          <w:b/>
          <w:bCs/>
          <w:color w:val="000000" w:themeColor="text1"/>
          <w:szCs w:val="26"/>
        </w:rPr>
        <w:t>）生态环境影响评价工作等级</w:t>
      </w:r>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p>
    <w:p w14:paraId="2F89CEEE" w14:textId="0E2F1031" w:rsidR="00B0005F" w:rsidRPr="008A2411" w:rsidRDefault="00000000">
      <w:pPr>
        <w:adjustRightInd w:val="0"/>
        <w:snapToGrid w:val="0"/>
        <w:spacing w:line="360" w:lineRule="auto"/>
        <w:ind w:firstLineChars="200" w:firstLine="480"/>
        <w:rPr>
          <w:rStyle w:val="1CharChar5"/>
          <w:rFonts w:ascii="Times New Roman" w:hAnsi="Times New Roman" w:cs="Times New Roman"/>
          <w:color w:val="000000" w:themeColor="text1"/>
        </w:rPr>
      </w:pPr>
      <w:bookmarkStart w:id="108" w:name="_Toc28090"/>
      <w:bookmarkStart w:id="109" w:name="_Toc28522"/>
      <w:r w:rsidRPr="008A2411">
        <w:rPr>
          <w:rFonts w:ascii="Times New Roman"/>
          <w:snapToGrid w:val="0"/>
          <w:color w:val="000000" w:themeColor="text1"/>
        </w:rPr>
        <w:t>根</w:t>
      </w:r>
      <w:r w:rsidRPr="008A2411">
        <w:rPr>
          <w:rStyle w:val="1CharChar5"/>
          <w:rFonts w:ascii="Times New Roman" w:hAnsi="Times New Roman" w:cs="Times New Roman"/>
          <w:color w:val="000000" w:themeColor="text1"/>
        </w:rPr>
        <w:t>据《环境影响评价技术导则</w:t>
      </w:r>
      <w:r w:rsidRPr="008A2411">
        <w:rPr>
          <w:rStyle w:val="1CharChar5"/>
          <w:rFonts w:ascii="Times New Roman" w:hAnsi="Times New Roman" w:cs="Times New Roman"/>
          <w:color w:val="000000" w:themeColor="text1"/>
        </w:rPr>
        <w:t xml:space="preserve">  </w:t>
      </w:r>
      <w:r w:rsidRPr="008A2411">
        <w:rPr>
          <w:rStyle w:val="1CharChar5"/>
          <w:rFonts w:ascii="Times New Roman" w:hAnsi="Times New Roman" w:cs="Times New Roman"/>
          <w:color w:val="000000" w:themeColor="text1"/>
        </w:rPr>
        <w:t>生态影响》（</w:t>
      </w:r>
      <w:r w:rsidRPr="008A2411">
        <w:rPr>
          <w:rStyle w:val="1CharChar5"/>
          <w:rFonts w:ascii="Times New Roman" w:hAnsi="Times New Roman" w:cs="Times New Roman" w:hint="eastAsia"/>
          <w:color w:val="000000" w:themeColor="text1"/>
        </w:rPr>
        <w:t>HJ19-2022</w:t>
      </w:r>
      <w:r w:rsidRPr="008A2411">
        <w:rPr>
          <w:rStyle w:val="1CharChar5"/>
          <w:rFonts w:ascii="Times New Roman" w:hAnsi="Times New Roman" w:cs="Times New Roman"/>
          <w:color w:val="000000" w:themeColor="text1"/>
        </w:rPr>
        <w:t>）的规定</w:t>
      </w:r>
      <w:r w:rsidRPr="008A2411">
        <w:rPr>
          <w:rStyle w:val="1CharChar5"/>
          <w:rFonts w:ascii="Times New Roman" w:hAnsi="Times New Roman" w:cs="Times New Roman" w:hint="eastAsia"/>
          <w:color w:val="000000" w:themeColor="text1"/>
        </w:rPr>
        <w:t>：“</w:t>
      </w:r>
      <w:r w:rsidR="0070379B" w:rsidRPr="008A2411">
        <w:rPr>
          <w:color w:val="000000" w:themeColor="text1"/>
        </w:rPr>
        <w:t>符合生态环境分区管控要求且位于原厂界（或永久用地）范围内的污染影响类改扩建项目，位于已批准规划环评的产业园区内且符合规划环评要求、不涉及生态敏感区的污染影响类建设项目，可不确定评价等级，直接进行生态影响简单分析。</w:t>
      </w:r>
      <w:r w:rsidRPr="008A2411">
        <w:rPr>
          <w:rStyle w:val="1CharChar5"/>
          <w:rFonts w:ascii="Times New Roman" w:cs="Times New Roman" w:hint="eastAsia"/>
          <w:color w:val="000000" w:themeColor="text1"/>
        </w:rPr>
        <w:t>”。本项目为位于</w:t>
      </w:r>
      <w:r w:rsidRPr="008A2411">
        <w:rPr>
          <w:rStyle w:val="1CharChar5"/>
          <w:rFonts w:ascii="Times New Roman" w:hAnsi="Times New Roman" w:cs="Times New Roman" w:hint="eastAsia"/>
          <w:color w:val="000000" w:themeColor="text1"/>
        </w:rPr>
        <w:t>已批准规划环评的</w:t>
      </w:r>
      <w:r w:rsidRPr="008A2411">
        <w:rPr>
          <w:rStyle w:val="1CharChar5"/>
          <w:rFonts w:ascii="Times New Roman" w:cs="Times New Roman" w:hint="eastAsia"/>
          <w:color w:val="000000" w:themeColor="text1"/>
        </w:rPr>
        <w:t>达州普光化工</w:t>
      </w:r>
      <w:r w:rsidRPr="008A2411">
        <w:rPr>
          <w:rStyle w:val="1CharChar5"/>
          <w:rFonts w:ascii="Times New Roman" w:hAnsi="Times New Roman" w:cs="Times New Roman" w:hint="eastAsia"/>
          <w:color w:val="000000" w:themeColor="text1"/>
        </w:rPr>
        <w:t>园区</w:t>
      </w:r>
      <w:r w:rsidRPr="008A2411">
        <w:rPr>
          <w:rStyle w:val="1CharChar5"/>
          <w:rFonts w:ascii="Times New Roman" w:cs="Times New Roman" w:hint="eastAsia"/>
          <w:color w:val="000000" w:themeColor="text1"/>
        </w:rPr>
        <w:t>内</w:t>
      </w:r>
      <w:r w:rsidR="0070379B" w:rsidRPr="008A2411">
        <w:rPr>
          <w:color w:val="000000" w:themeColor="text1"/>
        </w:rPr>
        <w:t>且符合规划环评要求</w:t>
      </w:r>
      <w:r w:rsidR="0070379B" w:rsidRPr="008A2411">
        <w:rPr>
          <w:rFonts w:hint="eastAsia"/>
          <w:color w:val="000000" w:themeColor="text1"/>
        </w:rPr>
        <w:t>，项目为选址</w:t>
      </w:r>
      <w:r w:rsidR="0070379B" w:rsidRPr="008A2411">
        <w:rPr>
          <w:color w:val="000000" w:themeColor="text1"/>
        </w:rPr>
        <w:t>不涉及生态敏感区的污染影响类建设项目</w:t>
      </w:r>
      <w:r w:rsidRPr="008A2411">
        <w:rPr>
          <w:rStyle w:val="1CharChar5"/>
          <w:rFonts w:ascii="Times New Roman" w:cs="Times New Roman" w:hint="eastAsia"/>
          <w:color w:val="000000" w:themeColor="text1"/>
        </w:rPr>
        <w:t>，因此生态评价</w:t>
      </w:r>
      <w:r w:rsidR="0070379B" w:rsidRPr="008A2411">
        <w:rPr>
          <w:color w:val="000000" w:themeColor="text1"/>
        </w:rPr>
        <w:t>可不确定评价等级，直接进行生态影响简单分析</w:t>
      </w:r>
      <w:r w:rsidRPr="008A2411">
        <w:rPr>
          <w:rStyle w:val="1CharChar5"/>
          <w:rFonts w:ascii="Times New Roman" w:cs="Times New Roman" w:hint="eastAsia"/>
          <w:color w:val="000000" w:themeColor="text1"/>
        </w:rPr>
        <w:t>。</w:t>
      </w:r>
    </w:p>
    <w:p w14:paraId="54D440AC" w14:textId="77777777" w:rsidR="00B0005F" w:rsidRPr="008A2411" w:rsidRDefault="00000000">
      <w:pPr>
        <w:spacing w:line="360" w:lineRule="auto"/>
        <w:ind w:firstLineChars="200" w:firstLine="482"/>
        <w:rPr>
          <w:rFonts w:ascii="Times New Roman"/>
          <w:b/>
          <w:bCs/>
          <w:color w:val="000000" w:themeColor="text1"/>
          <w:szCs w:val="26"/>
        </w:rPr>
      </w:pPr>
      <w:r w:rsidRPr="008A2411">
        <w:rPr>
          <w:rFonts w:ascii="Times New Roman"/>
          <w:b/>
          <w:bCs/>
          <w:color w:val="000000" w:themeColor="text1"/>
          <w:szCs w:val="26"/>
        </w:rPr>
        <w:t>（</w:t>
      </w:r>
      <w:r w:rsidRPr="008A2411">
        <w:rPr>
          <w:rFonts w:ascii="Times New Roman"/>
          <w:b/>
          <w:bCs/>
          <w:color w:val="000000" w:themeColor="text1"/>
          <w:szCs w:val="26"/>
        </w:rPr>
        <w:t>5</w:t>
      </w:r>
      <w:r w:rsidRPr="008A2411">
        <w:rPr>
          <w:rFonts w:ascii="Times New Roman"/>
          <w:b/>
          <w:bCs/>
          <w:color w:val="000000" w:themeColor="text1"/>
          <w:szCs w:val="26"/>
        </w:rPr>
        <w:t>）地下水环境</w:t>
      </w:r>
      <w:bookmarkEnd w:id="108"/>
      <w:bookmarkEnd w:id="109"/>
      <w:r w:rsidRPr="008A2411">
        <w:rPr>
          <w:rFonts w:ascii="Times New Roman"/>
          <w:b/>
          <w:bCs/>
          <w:color w:val="000000" w:themeColor="text1"/>
          <w:szCs w:val="26"/>
        </w:rPr>
        <w:t>影响评价工作等级</w:t>
      </w:r>
    </w:p>
    <w:p w14:paraId="6DC1F9DF" w14:textId="77777777" w:rsidR="00B0005F" w:rsidRPr="008A2411" w:rsidRDefault="00000000">
      <w:pPr>
        <w:spacing w:line="360" w:lineRule="auto"/>
        <w:ind w:firstLineChars="200" w:firstLine="480"/>
        <w:rPr>
          <w:rFonts w:ascii="Times New Roman"/>
          <w:snapToGrid w:val="0"/>
          <w:color w:val="000000" w:themeColor="text1"/>
        </w:rPr>
      </w:pPr>
      <w:r w:rsidRPr="008A2411">
        <w:rPr>
          <w:rFonts w:ascii="Times New Roman"/>
          <w:color w:val="000000" w:themeColor="text1"/>
        </w:rPr>
        <w:t>根据《环境影响评价技术导则</w:t>
      </w:r>
      <w:r w:rsidRPr="008A2411">
        <w:rPr>
          <w:rFonts w:ascii="Times New Roman"/>
          <w:color w:val="000000" w:themeColor="text1"/>
        </w:rPr>
        <w:t xml:space="preserve">  </w:t>
      </w:r>
      <w:r w:rsidRPr="008A2411">
        <w:rPr>
          <w:rFonts w:ascii="Times New Roman"/>
          <w:color w:val="000000" w:themeColor="text1"/>
        </w:rPr>
        <w:t>地下水环境》（</w:t>
      </w:r>
      <w:r w:rsidRPr="008A2411">
        <w:rPr>
          <w:rFonts w:ascii="Times New Roman"/>
          <w:color w:val="000000" w:themeColor="text1"/>
        </w:rPr>
        <w:t>HJ 610-2016</w:t>
      </w:r>
      <w:r w:rsidRPr="008A2411">
        <w:rPr>
          <w:rFonts w:ascii="Times New Roman"/>
          <w:color w:val="000000" w:themeColor="text1"/>
        </w:rPr>
        <w:t>）和《建设项目环境影响评价分类管理名录》（</w:t>
      </w:r>
      <w:r w:rsidRPr="008A2411">
        <w:rPr>
          <w:rFonts w:ascii="Times New Roman"/>
          <w:color w:val="000000" w:themeColor="text1"/>
        </w:rPr>
        <w:t>2021</w:t>
      </w:r>
      <w:r w:rsidRPr="008A2411">
        <w:rPr>
          <w:rFonts w:ascii="Times New Roman"/>
          <w:color w:val="000000" w:themeColor="text1"/>
        </w:rPr>
        <w:t>版），本项目为天然气净化、液化项目，</w:t>
      </w:r>
      <w:r w:rsidRPr="008A2411">
        <w:rPr>
          <w:rFonts w:ascii="Times New Roman"/>
          <w:color w:val="000000" w:themeColor="text1"/>
        </w:rPr>
        <w:lastRenderedPageBreak/>
        <w:t>涉及水土流失重点防治区，应编制环境影响报告书，属</w:t>
      </w:r>
      <w:r w:rsidRPr="008A2411">
        <w:rPr>
          <w:rFonts w:ascii="Times New Roman"/>
          <w:color w:val="000000" w:themeColor="text1"/>
        </w:rPr>
        <w:t>Ⅱ</w:t>
      </w:r>
      <w:r w:rsidRPr="008A2411">
        <w:rPr>
          <w:rFonts w:ascii="Times New Roman"/>
          <w:color w:val="000000" w:themeColor="text1"/>
        </w:rPr>
        <w:t>类项目</w:t>
      </w:r>
      <w:r w:rsidRPr="008A2411">
        <w:rPr>
          <w:rFonts w:ascii="Times New Roman"/>
          <w:snapToGrid w:val="0"/>
          <w:color w:val="000000" w:themeColor="text1"/>
        </w:rPr>
        <w:t>。</w:t>
      </w:r>
    </w:p>
    <w:p w14:paraId="459BD5B9" w14:textId="77777777" w:rsidR="00B0005F" w:rsidRPr="008A2411" w:rsidRDefault="00000000">
      <w:pPr>
        <w:spacing w:line="360" w:lineRule="auto"/>
        <w:ind w:firstLineChars="200" w:firstLine="480"/>
        <w:rPr>
          <w:rFonts w:ascii="Times New Roman"/>
          <w:snapToGrid w:val="0"/>
          <w:color w:val="000000" w:themeColor="text1"/>
        </w:rPr>
      </w:pPr>
      <w:r w:rsidRPr="008A2411">
        <w:rPr>
          <w:rFonts w:ascii="Times New Roman"/>
          <w:snapToGrid w:val="0"/>
          <w:color w:val="000000" w:themeColor="text1"/>
        </w:rPr>
        <w:t>根据《环境影响评价技术导则</w:t>
      </w:r>
      <w:r w:rsidRPr="008A2411">
        <w:rPr>
          <w:rFonts w:ascii="Times New Roman"/>
          <w:snapToGrid w:val="0"/>
          <w:color w:val="000000" w:themeColor="text1"/>
        </w:rPr>
        <w:t xml:space="preserve">  </w:t>
      </w:r>
      <w:r w:rsidRPr="008A2411">
        <w:rPr>
          <w:rFonts w:ascii="Times New Roman"/>
          <w:snapToGrid w:val="0"/>
          <w:color w:val="000000" w:themeColor="text1"/>
        </w:rPr>
        <w:t>地下水环境》（</w:t>
      </w:r>
      <w:r w:rsidRPr="008A2411">
        <w:rPr>
          <w:rFonts w:ascii="Times New Roman"/>
          <w:snapToGrid w:val="0"/>
          <w:color w:val="000000" w:themeColor="text1"/>
        </w:rPr>
        <w:t>HJ610-2016</w:t>
      </w:r>
      <w:r w:rsidRPr="008A2411">
        <w:rPr>
          <w:rFonts w:ascii="Times New Roman"/>
          <w:snapToGrid w:val="0"/>
          <w:color w:val="000000" w:themeColor="text1"/>
        </w:rPr>
        <w:t>），</w:t>
      </w:r>
      <w:r w:rsidRPr="008A2411">
        <w:rPr>
          <w:rFonts w:ascii="Times New Roman"/>
          <w:color w:val="000000" w:themeColor="text1"/>
        </w:rPr>
        <w:t>Ⅱ</w:t>
      </w:r>
      <w:r w:rsidRPr="008A2411">
        <w:rPr>
          <w:rFonts w:ascii="Times New Roman"/>
          <w:snapToGrid w:val="0"/>
          <w:color w:val="000000" w:themeColor="text1"/>
        </w:rPr>
        <w:t>类建设项目地下水环境影响评价工作等级的划分，应根据建设项目场地的地下水环境敏感程度指标确定。建设项目场地地下水环境敏感程度可分为敏感、较敏感、不敏感三级，分级原则见表</w:t>
      </w:r>
      <w:r w:rsidRPr="008A2411">
        <w:rPr>
          <w:rFonts w:ascii="Times New Roman"/>
          <w:snapToGrid w:val="0"/>
          <w:color w:val="000000" w:themeColor="text1"/>
        </w:rPr>
        <w:t>2.7-6</w:t>
      </w:r>
      <w:r w:rsidRPr="008A2411">
        <w:rPr>
          <w:rFonts w:ascii="Times New Roman"/>
          <w:snapToGrid w:val="0"/>
          <w:color w:val="000000" w:themeColor="text1"/>
        </w:rPr>
        <w:t>。</w:t>
      </w:r>
    </w:p>
    <w:p w14:paraId="066301D6" w14:textId="77777777" w:rsidR="00B0005F" w:rsidRPr="008A2411" w:rsidRDefault="00000000">
      <w:pPr>
        <w:tabs>
          <w:tab w:val="left" w:pos="5267"/>
        </w:tabs>
        <w:jc w:val="center"/>
        <w:rPr>
          <w:rFonts w:ascii="Times New Roman" w:eastAsia="黑体"/>
          <w:color w:val="000000" w:themeColor="text1"/>
        </w:rPr>
      </w:pPr>
      <w:r w:rsidRPr="008A2411">
        <w:rPr>
          <w:rFonts w:ascii="Times New Roman" w:eastAsia="黑体"/>
          <w:color w:val="000000" w:themeColor="text1"/>
        </w:rPr>
        <w:t>表</w:t>
      </w:r>
      <w:r w:rsidRPr="008A2411">
        <w:rPr>
          <w:rFonts w:ascii="Times New Roman" w:eastAsia="黑体"/>
          <w:color w:val="000000" w:themeColor="text1"/>
        </w:rPr>
        <w:t xml:space="preserve">2.7-6  </w:t>
      </w:r>
      <w:r w:rsidRPr="008A2411">
        <w:rPr>
          <w:rFonts w:ascii="Times New Roman" w:eastAsia="黑体"/>
          <w:color w:val="000000" w:themeColor="text1"/>
        </w:rPr>
        <w:t>地下水环境敏感程度分级</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0"/>
        <w:gridCol w:w="4468"/>
        <w:gridCol w:w="2644"/>
      </w:tblGrid>
      <w:tr w:rsidR="008A2411" w:rsidRPr="008A2411" w14:paraId="12692C65" w14:textId="77777777">
        <w:trPr>
          <w:cantSplit/>
          <w:jc w:val="center"/>
        </w:trPr>
        <w:tc>
          <w:tcPr>
            <w:tcW w:w="1410" w:type="dxa"/>
            <w:vAlign w:val="center"/>
          </w:tcPr>
          <w:p w14:paraId="1F4A2A3D" w14:textId="77777777" w:rsidR="00B0005F" w:rsidRPr="008A2411" w:rsidRDefault="00000000">
            <w:pPr>
              <w:widowControl/>
              <w:autoSpaceDE w:val="0"/>
              <w:autoSpaceDN w:val="0"/>
              <w:adjustRightIn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分级</w:t>
            </w:r>
          </w:p>
        </w:tc>
        <w:tc>
          <w:tcPr>
            <w:tcW w:w="4468" w:type="dxa"/>
            <w:vAlign w:val="center"/>
          </w:tcPr>
          <w:p w14:paraId="7B43222D" w14:textId="77777777" w:rsidR="00B0005F" w:rsidRPr="008A2411" w:rsidRDefault="00000000">
            <w:pPr>
              <w:widowControl/>
              <w:autoSpaceDE w:val="0"/>
              <w:autoSpaceDN w:val="0"/>
              <w:adjustRightIn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项目场地的地下水环境敏感特征</w:t>
            </w:r>
          </w:p>
        </w:tc>
        <w:tc>
          <w:tcPr>
            <w:tcW w:w="2644" w:type="dxa"/>
            <w:vAlign w:val="center"/>
          </w:tcPr>
          <w:p w14:paraId="59830524" w14:textId="77777777" w:rsidR="00B0005F" w:rsidRPr="008A2411" w:rsidRDefault="00000000">
            <w:pPr>
              <w:widowControl/>
              <w:autoSpaceDE w:val="0"/>
              <w:autoSpaceDN w:val="0"/>
              <w:adjustRightIn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本项目</w:t>
            </w:r>
          </w:p>
        </w:tc>
      </w:tr>
      <w:tr w:rsidR="008A2411" w:rsidRPr="008A2411" w14:paraId="3F218AC6" w14:textId="77777777">
        <w:trPr>
          <w:cantSplit/>
          <w:jc w:val="center"/>
        </w:trPr>
        <w:tc>
          <w:tcPr>
            <w:tcW w:w="1410" w:type="dxa"/>
            <w:vAlign w:val="center"/>
          </w:tcPr>
          <w:p w14:paraId="67D8CAE6" w14:textId="77777777" w:rsidR="00B0005F" w:rsidRPr="008A2411" w:rsidRDefault="00000000">
            <w:pPr>
              <w:widowControl/>
              <w:autoSpaceDE w:val="0"/>
              <w:autoSpaceDN w:val="0"/>
              <w:adjustRightIn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敏感</w:t>
            </w:r>
          </w:p>
        </w:tc>
        <w:tc>
          <w:tcPr>
            <w:tcW w:w="4468" w:type="dxa"/>
            <w:vAlign w:val="center"/>
          </w:tcPr>
          <w:p w14:paraId="02ECB9D7" w14:textId="77777777" w:rsidR="00B0005F" w:rsidRPr="008A2411" w:rsidRDefault="00000000">
            <w:pPr>
              <w:widowControl/>
              <w:autoSpaceDE w:val="0"/>
              <w:autoSpaceDN w:val="0"/>
              <w:adjustRightInd w:val="0"/>
              <w:jc w:val="left"/>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集中式饮用水源地（包括已建成的在用、备用、应急水源地，在建和规划的水源地）准保护区；除集中式饮用水源地以外的国家或地方政府设定的与地下水环境相关的其它保护区，如热水、矿泉水、温泉等特殊地下水资源保护区。</w:t>
            </w:r>
          </w:p>
        </w:tc>
        <w:tc>
          <w:tcPr>
            <w:tcW w:w="2644" w:type="dxa"/>
            <w:vMerge w:val="restart"/>
            <w:vAlign w:val="center"/>
          </w:tcPr>
          <w:p w14:paraId="4EA2303E" w14:textId="77777777" w:rsidR="00B0005F" w:rsidRPr="008A2411" w:rsidRDefault="00000000">
            <w:pPr>
              <w:widowControl/>
              <w:autoSpaceDE w:val="0"/>
              <w:autoSpaceDN w:val="0"/>
              <w:adjustRightIn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根据现场调查，项目周边居民饮用水水源均为井水，多为几户共用</w:t>
            </w:r>
            <w:r w:rsidRPr="008A2411">
              <w:rPr>
                <w:rFonts w:ascii="Times New Roman" w:eastAsiaTheme="minorEastAsia"/>
                <w:color w:val="000000" w:themeColor="text1"/>
                <w:sz w:val="21"/>
                <w:szCs w:val="21"/>
              </w:rPr>
              <w:t>1</w:t>
            </w:r>
            <w:r w:rsidRPr="008A2411">
              <w:rPr>
                <w:rFonts w:ascii="Times New Roman" w:eastAsiaTheme="minorEastAsia"/>
                <w:color w:val="000000" w:themeColor="text1"/>
                <w:sz w:val="21"/>
                <w:szCs w:val="21"/>
              </w:rPr>
              <w:t>口水井，故本次评价范围内及周边有分散式水源地，但无集中式饮用水源地，且无划定的饮用水和特殊地下水资源保护区，故本项目地下水环境敏感程度为</w:t>
            </w:r>
            <w:r w:rsidRPr="008A2411">
              <w:rPr>
                <w:rFonts w:ascii="Times New Roman" w:eastAsiaTheme="minorEastAsia" w:hint="eastAsia"/>
                <w:color w:val="000000" w:themeColor="text1"/>
                <w:sz w:val="21"/>
                <w:szCs w:val="21"/>
              </w:rPr>
              <w:t>“</w:t>
            </w:r>
            <w:r w:rsidRPr="008A2411">
              <w:rPr>
                <w:rFonts w:ascii="Times New Roman" w:eastAsiaTheme="minorEastAsia"/>
                <w:color w:val="000000" w:themeColor="text1"/>
                <w:sz w:val="21"/>
                <w:szCs w:val="21"/>
              </w:rPr>
              <w:t>较敏感</w:t>
            </w:r>
            <w:r w:rsidRPr="008A2411">
              <w:rPr>
                <w:rFonts w:ascii="Times New Roman" w:eastAsiaTheme="minorEastAsia" w:hint="eastAsia"/>
                <w:color w:val="000000" w:themeColor="text1"/>
                <w:sz w:val="21"/>
                <w:szCs w:val="21"/>
              </w:rPr>
              <w:t>”</w:t>
            </w:r>
            <w:r w:rsidRPr="008A2411">
              <w:rPr>
                <w:rFonts w:ascii="Times New Roman" w:eastAsiaTheme="minorEastAsia"/>
                <w:color w:val="000000" w:themeColor="text1"/>
                <w:sz w:val="21"/>
                <w:szCs w:val="21"/>
              </w:rPr>
              <w:t>。</w:t>
            </w:r>
          </w:p>
        </w:tc>
      </w:tr>
      <w:tr w:rsidR="008A2411" w:rsidRPr="008A2411" w14:paraId="43A858A4" w14:textId="77777777">
        <w:trPr>
          <w:cantSplit/>
          <w:jc w:val="center"/>
        </w:trPr>
        <w:tc>
          <w:tcPr>
            <w:tcW w:w="1410" w:type="dxa"/>
            <w:vAlign w:val="center"/>
          </w:tcPr>
          <w:p w14:paraId="04D5AD05" w14:textId="77777777" w:rsidR="00B0005F" w:rsidRPr="008A2411" w:rsidRDefault="00000000">
            <w:pPr>
              <w:widowControl/>
              <w:autoSpaceDE w:val="0"/>
              <w:autoSpaceDN w:val="0"/>
              <w:adjustRightIn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较敏感（</w:t>
            </w:r>
            <w:r w:rsidRPr="008A2411">
              <w:rPr>
                <w:rFonts w:ascii="Times New Roman" w:eastAsiaTheme="minorEastAsia"/>
                <w:color w:val="000000" w:themeColor="text1"/>
                <w:sz w:val="21"/>
                <w:szCs w:val="21"/>
              </w:rPr>
              <w:t>√</w:t>
            </w:r>
            <w:r w:rsidRPr="008A2411">
              <w:rPr>
                <w:rFonts w:ascii="Times New Roman" w:eastAsiaTheme="minorEastAsia"/>
                <w:color w:val="000000" w:themeColor="text1"/>
                <w:sz w:val="21"/>
                <w:szCs w:val="21"/>
              </w:rPr>
              <w:t>）</w:t>
            </w:r>
          </w:p>
        </w:tc>
        <w:tc>
          <w:tcPr>
            <w:tcW w:w="4468" w:type="dxa"/>
            <w:vAlign w:val="center"/>
          </w:tcPr>
          <w:p w14:paraId="145B3930" w14:textId="77777777" w:rsidR="00B0005F" w:rsidRPr="008A2411" w:rsidRDefault="00000000">
            <w:pPr>
              <w:widowControl/>
              <w:autoSpaceDE w:val="0"/>
              <w:autoSpaceDN w:val="0"/>
              <w:adjustRightInd w:val="0"/>
              <w:jc w:val="left"/>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集中式饮用水水源（包括已建成的在用、备用、应急水源，在建和规划的饮用水水源）准保护区以外的补给径流区。未划定准保护区的集中式饮用水水源，其保护区以外的补给径流区；分散式饮用水水源地；特殊地下水资源（如热水、矿泉水、温泉等）保护区以外的分布区等其他未列入上述敏感分级的环境敏感区。</w:t>
            </w:r>
          </w:p>
        </w:tc>
        <w:tc>
          <w:tcPr>
            <w:tcW w:w="2644" w:type="dxa"/>
            <w:vMerge/>
            <w:vAlign w:val="center"/>
          </w:tcPr>
          <w:p w14:paraId="0AADABE6" w14:textId="77777777" w:rsidR="00B0005F" w:rsidRPr="008A2411" w:rsidRDefault="00B0005F">
            <w:pPr>
              <w:widowControl/>
              <w:autoSpaceDE w:val="0"/>
              <w:autoSpaceDN w:val="0"/>
              <w:adjustRightInd w:val="0"/>
              <w:jc w:val="center"/>
              <w:rPr>
                <w:rFonts w:ascii="Times New Roman" w:eastAsiaTheme="minorEastAsia"/>
                <w:color w:val="000000" w:themeColor="text1"/>
                <w:sz w:val="21"/>
                <w:szCs w:val="21"/>
              </w:rPr>
            </w:pPr>
          </w:p>
        </w:tc>
      </w:tr>
      <w:tr w:rsidR="008A2411" w:rsidRPr="008A2411" w14:paraId="2406042F" w14:textId="77777777">
        <w:trPr>
          <w:cantSplit/>
          <w:jc w:val="center"/>
        </w:trPr>
        <w:tc>
          <w:tcPr>
            <w:tcW w:w="1410" w:type="dxa"/>
            <w:vAlign w:val="center"/>
          </w:tcPr>
          <w:p w14:paraId="2C5D6D5C" w14:textId="77777777" w:rsidR="00B0005F" w:rsidRPr="008A2411" w:rsidRDefault="00000000">
            <w:pPr>
              <w:widowControl/>
              <w:autoSpaceDE w:val="0"/>
              <w:autoSpaceDN w:val="0"/>
              <w:adjustRightIn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不敏感</w:t>
            </w:r>
          </w:p>
        </w:tc>
        <w:tc>
          <w:tcPr>
            <w:tcW w:w="4468" w:type="dxa"/>
            <w:vAlign w:val="center"/>
          </w:tcPr>
          <w:p w14:paraId="17393DD6" w14:textId="77777777" w:rsidR="00B0005F" w:rsidRPr="008A2411" w:rsidRDefault="00000000">
            <w:pPr>
              <w:widowControl/>
              <w:autoSpaceDE w:val="0"/>
              <w:autoSpaceDN w:val="0"/>
              <w:adjustRightIn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上述地区之外的其它地区</w:t>
            </w:r>
          </w:p>
        </w:tc>
        <w:tc>
          <w:tcPr>
            <w:tcW w:w="2644" w:type="dxa"/>
            <w:vMerge/>
            <w:vAlign w:val="center"/>
          </w:tcPr>
          <w:p w14:paraId="0A06054D" w14:textId="77777777" w:rsidR="00B0005F" w:rsidRPr="008A2411" w:rsidRDefault="00B0005F">
            <w:pPr>
              <w:widowControl/>
              <w:autoSpaceDE w:val="0"/>
              <w:autoSpaceDN w:val="0"/>
              <w:adjustRightInd w:val="0"/>
              <w:jc w:val="center"/>
              <w:rPr>
                <w:rFonts w:ascii="Times New Roman" w:eastAsiaTheme="minorEastAsia"/>
                <w:color w:val="000000" w:themeColor="text1"/>
                <w:sz w:val="21"/>
                <w:szCs w:val="21"/>
              </w:rPr>
            </w:pPr>
          </w:p>
        </w:tc>
      </w:tr>
    </w:tbl>
    <w:p w14:paraId="15DB552B" w14:textId="77777777" w:rsidR="00B0005F" w:rsidRPr="008A2411" w:rsidRDefault="00000000">
      <w:pPr>
        <w:ind w:firstLine="420"/>
        <w:jc w:val="left"/>
        <w:rPr>
          <w:rFonts w:ascii="Times New Roman" w:eastAsia="黑体"/>
          <w:color w:val="000000" w:themeColor="text1"/>
          <w:sz w:val="21"/>
          <w:szCs w:val="15"/>
        </w:rPr>
      </w:pPr>
      <w:r w:rsidRPr="008A2411">
        <w:rPr>
          <w:rFonts w:ascii="Times New Roman" w:eastAsia="黑体"/>
          <w:color w:val="000000" w:themeColor="text1"/>
          <w:sz w:val="21"/>
          <w:szCs w:val="15"/>
        </w:rPr>
        <w:t>注：表中</w:t>
      </w:r>
      <w:r w:rsidRPr="008A2411">
        <w:rPr>
          <w:rFonts w:ascii="Times New Roman" w:eastAsia="黑体" w:hint="eastAsia"/>
          <w:color w:val="000000" w:themeColor="text1"/>
          <w:sz w:val="21"/>
          <w:szCs w:val="15"/>
        </w:rPr>
        <w:t>“</w:t>
      </w:r>
      <w:r w:rsidRPr="008A2411">
        <w:rPr>
          <w:rFonts w:ascii="Times New Roman" w:eastAsia="黑体"/>
          <w:color w:val="000000" w:themeColor="text1"/>
          <w:sz w:val="21"/>
          <w:szCs w:val="15"/>
        </w:rPr>
        <w:t>环境敏感区</w:t>
      </w:r>
      <w:r w:rsidRPr="008A2411">
        <w:rPr>
          <w:rFonts w:ascii="Times New Roman" w:eastAsia="黑体" w:hint="eastAsia"/>
          <w:color w:val="000000" w:themeColor="text1"/>
          <w:sz w:val="21"/>
          <w:szCs w:val="15"/>
        </w:rPr>
        <w:t>”</w:t>
      </w:r>
      <w:r w:rsidRPr="008A2411">
        <w:rPr>
          <w:rFonts w:ascii="Times New Roman" w:eastAsia="黑体"/>
          <w:color w:val="000000" w:themeColor="text1"/>
          <w:sz w:val="21"/>
          <w:szCs w:val="15"/>
        </w:rPr>
        <w:t>系指《建设项目环境影响评价分类管理名录》中所界定的涉及地下水的环境敏感区。</w:t>
      </w:r>
    </w:p>
    <w:p w14:paraId="1A5F2126" w14:textId="77777777" w:rsidR="00B0005F" w:rsidRPr="008A2411" w:rsidRDefault="00000000">
      <w:pPr>
        <w:tabs>
          <w:tab w:val="left" w:pos="5267"/>
        </w:tabs>
        <w:adjustRightInd w:val="0"/>
        <w:snapToGrid w:val="0"/>
        <w:spacing w:line="360" w:lineRule="auto"/>
        <w:jc w:val="center"/>
        <w:rPr>
          <w:rFonts w:ascii="Times New Roman" w:eastAsia="黑体"/>
          <w:color w:val="000000" w:themeColor="text1"/>
        </w:rPr>
      </w:pPr>
      <w:r w:rsidRPr="008A2411">
        <w:rPr>
          <w:rFonts w:ascii="Times New Roman" w:eastAsia="黑体"/>
          <w:color w:val="000000" w:themeColor="text1"/>
        </w:rPr>
        <w:t>表</w:t>
      </w:r>
      <w:r w:rsidRPr="008A2411">
        <w:rPr>
          <w:rFonts w:ascii="Times New Roman" w:eastAsia="黑体"/>
          <w:color w:val="000000" w:themeColor="text1"/>
        </w:rPr>
        <w:t xml:space="preserve">2.7-7  </w:t>
      </w:r>
      <w:r w:rsidRPr="008A2411">
        <w:rPr>
          <w:rFonts w:ascii="Times New Roman" w:eastAsia="黑体"/>
          <w:color w:val="000000" w:themeColor="text1"/>
        </w:rPr>
        <w:t>建设项目评价工作等级分级表</w:t>
      </w:r>
    </w:p>
    <w:tbl>
      <w:tblPr>
        <w:tblStyle w:val="affff9"/>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21"/>
        <w:gridCol w:w="2112"/>
        <w:gridCol w:w="2112"/>
        <w:gridCol w:w="1973"/>
      </w:tblGrid>
      <w:tr w:rsidR="008A2411" w:rsidRPr="008A2411" w14:paraId="26014F60" w14:textId="77777777">
        <w:trPr>
          <w:trHeight w:val="237"/>
          <w:jc w:val="center"/>
        </w:trPr>
        <w:tc>
          <w:tcPr>
            <w:tcW w:w="2221" w:type="dxa"/>
            <w:vAlign w:val="center"/>
          </w:tcPr>
          <w:p w14:paraId="4E877011" w14:textId="77777777" w:rsidR="00B0005F" w:rsidRPr="008A2411" w:rsidRDefault="00000000">
            <w:pPr>
              <w:widowControl/>
              <w:autoSpaceDE w:val="0"/>
              <w:autoSpaceDN w:val="0"/>
              <w:adjustRightInd w:val="0"/>
              <w:jc w:val="center"/>
              <w:rPr>
                <w:rFonts w:ascii="Times New Roman"/>
                <w:color w:val="000000" w:themeColor="text1"/>
                <w:sz w:val="20"/>
                <w:szCs w:val="21"/>
              </w:rPr>
            </w:pPr>
            <w:r w:rsidRPr="008A2411">
              <w:rPr>
                <w:rFonts w:ascii="Times New Roman"/>
                <w:color w:val="000000" w:themeColor="text1"/>
                <w:sz w:val="20"/>
                <w:szCs w:val="21"/>
              </w:rPr>
              <w:t>环境敏感程度</w:t>
            </w:r>
          </w:p>
        </w:tc>
        <w:tc>
          <w:tcPr>
            <w:tcW w:w="2112" w:type="dxa"/>
            <w:vAlign w:val="center"/>
          </w:tcPr>
          <w:p w14:paraId="3CE31E08" w14:textId="77777777" w:rsidR="00B0005F" w:rsidRPr="008A2411" w:rsidRDefault="00000000">
            <w:pPr>
              <w:widowControl/>
              <w:autoSpaceDE w:val="0"/>
              <w:autoSpaceDN w:val="0"/>
              <w:adjustRightInd w:val="0"/>
              <w:jc w:val="center"/>
              <w:rPr>
                <w:rFonts w:ascii="Times New Roman"/>
                <w:color w:val="000000" w:themeColor="text1"/>
                <w:sz w:val="20"/>
                <w:szCs w:val="21"/>
              </w:rPr>
            </w:pPr>
            <w:r w:rsidRPr="008A2411">
              <w:rPr>
                <w:rFonts w:ascii="Times New Roman"/>
                <w:color w:val="000000" w:themeColor="text1"/>
                <w:sz w:val="20"/>
                <w:szCs w:val="21"/>
              </w:rPr>
              <w:fldChar w:fldCharType="begin"/>
            </w:r>
            <w:r w:rsidRPr="008A2411">
              <w:rPr>
                <w:rFonts w:ascii="Times New Roman"/>
                <w:color w:val="000000" w:themeColor="text1"/>
                <w:sz w:val="20"/>
                <w:szCs w:val="21"/>
              </w:rPr>
              <w:instrText xml:space="preserve"> = 1 \* ROMAN </w:instrText>
            </w:r>
            <w:r w:rsidRPr="008A2411">
              <w:rPr>
                <w:rFonts w:ascii="Times New Roman"/>
                <w:color w:val="000000" w:themeColor="text1"/>
                <w:sz w:val="20"/>
                <w:szCs w:val="21"/>
              </w:rPr>
              <w:fldChar w:fldCharType="separate"/>
            </w:r>
            <w:r w:rsidRPr="008A2411">
              <w:rPr>
                <w:rFonts w:ascii="Times New Roman"/>
                <w:color w:val="000000" w:themeColor="text1"/>
                <w:sz w:val="20"/>
                <w:szCs w:val="21"/>
              </w:rPr>
              <w:t>I</w:t>
            </w:r>
            <w:r w:rsidRPr="008A2411">
              <w:rPr>
                <w:rFonts w:ascii="Times New Roman"/>
                <w:color w:val="000000" w:themeColor="text1"/>
                <w:sz w:val="20"/>
                <w:szCs w:val="21"/>
              </w:rPr>
              <w:fldChar w:fldCharType="end"/>
            </w:r>
            <w:r w:rsidRPr="008A2411">
              <w:rPr>
                <w:rFonts w:ascii="Times New Roman"/>
                <w:color w:val="000000" w:themeColor="text1"/>
                <w:sz w:val="20"/>
                <w:szCs w:val="21"/>
              </w:rPr>
              <w:t>类项目</w:t>
            </w:r>
          </w:p>
        </w:tc>
        <w:tc>
          <w:tcPr>
            <w:tcW w:w="2112" w:type="dxa"/>
            <w:vAlign w:val="center"/>
          </w:tcPr>
          <w:p w14:paraId="7003FB49" w14:textId="77777777" w:rsidR="00B0005F" w:rsidRPr="008A2411" w:rsidRDefault="00000000">
            <w:pPr>
              <w:widowControl/>
              <w:autoSpaceDE w:val="0"/>
              <w:autoSpaceDN w:val="0"/>
              <w:adjustRightInd w:val="0"/>
              <w:jc w:val="center"/>
              <w:rPr>
                <w:rFonts w:ascii="Times New Roman"/>
                <w:color w:val="000000" w:themeColor="text1"/>
                <w:sz w:val="20"/>
                <w:szCs w:val="21"/>
              </w:rPr>
            </w:pPr>
            <w:r w:rsidRPr="008A2411">
              <w:rPr>
                <w:rFonts w:ascii="Times New Roman"/>
                <w:color w:val="000000" w:themeColor="text1"/>
                <w:sz w:val="20"/>
                <w:szCs w:val="21"/>
              </w:rPr>
              <w:fldChar w:fldCharType="begin"/>
            </w:r>
            <w:r w:rsidRPr="008A2411">
              <w:rPr>
                <w:rFonts w:ascii="Times New Roman"/>
                <w:color w:val="000000" w:themeColor="text1"/>
                <w:sz w:val="20"/>
                <w:szCs w:val="21"/>
              </w:rPr>
              <w:instrText xml:space="preserve"> = 2 \* ROMAN </w:instrText>
            </w:r>
            <w:r w:rsidRPr="008A2411">
              <w:rPr>
                <w:rFonts w:ascii="Times New Roman"/>
                <w:color w:val="000000" w:themeColor="text1"/>
                <w:sz w:val="20"/>
                <w:szCs w:val="21"/>
              </w:rPr>
              <w:fldChar w:fldCharType="separate"/>
            </w:r>
            <w:r w:rsidRPr="008A2411">
              <w:rPr>
                <w:rFonts w:ascii="Times New Roman"/>
                <w:color w:val="000000" w:themeColor="text1"/>
                <w:sz w:val="20"/>
                <w:szCs w:val="21"/>
              </w:rPr>
              <w:t>II</w:t>
            </w:r>
            <w:r w:rsidRPr="008A2411">
              <w:rPr>
                <w:rFonts w:ascii="Times New Roman"/>
                <w:color w:val="000000" w:themeColor="text1"/>
                <w:sz w:val="20"/>
                <w:szCs w:val="21"/>
              </w:rPr>
              <w:fldChar w:fldCharType="end"/>
            </w:r>
            <w:r w:rsidRPr="008A2411">
              <w:rPr>
                <w:rFonts w:ascii="Times New Roman"/>
                <w:color w:val="000000" w:themeColor="text1"/>
                <w:sz w:val="20"/>
                <w:szCs w:val="21"/>
              </w:rPr>
              <w:t>类项目</w:t>
            </w:r>
          </w:p>
        </w:tc>
        <w:tc>
          <w:tcPr>
            <w:tcW w:w="1973" w:type="dxa"/>
            <w:vAlign w:val="center"/>
          </w:tcPr>
          <w:p w14:paraId="63CC0C50" w14:textId="77777777" w:rsidR="00B0005F" w:rsidRPr="008A2411" w:rsidRDefault="00000000">
            <w:pPr>
              <w:widowControl/>
              <w:autoSpaceDE w:val="0"/>
              <w:autoSpaceDN w:val="0"/>
              <w:adjustRightInd w:val="0"/>
              <w:jc w:val="center"/>
              <w:rPr>
                <w:rFonts w:ascii="Times New Roman"/>
                <w:color w:val="000000" w:themeColor="text1"/>
                <w:sz w:val="20"/>
                <w:szCs w:val="21"/>
              </w:rPr>
            </w:pPr>
            <w:r w:rsidRPr="008A2411">
              <w:rPr>
                <w:rFonts w:ascii="Times New Roman"/>
                <w:color w:val="000000" w:themeColor="text1"/>
                <w:sz w:val="20"/>
                <w:szCs w:val="21"/>
              </w:rPr>
              <w:fldChar w:fldCharType="begin"/>
            </w:r>
            <w:r w:rsidRPr="008A2411">
              <w:rPr>
                <w:rFonts w:ascii="Times New Roman"/>
                <w:color w:val="000000" w:themeColor="text1"/>
                <w:sz w:val="20"/>
                <w:szCs w:val="21"/>
              </w:rPr>
              <w:instrText xml:space="preserve"> = 3 \* ROMAN </w:instrText>
            </w:r>
            <w:r w:rsidRPr="008A2411">
              <w:rPr>
                <w:rFonts w:ascii="Times New Roman"/>
                <w:color w:val="000000" w:themeColor="text1"/>
                <w:sz w:val="20"/>
                <w:szCs w:val="21"/>
              </w:rPr>
              <w:fldChar w:fldCharType="separate"/>
            </w:r>
            <w:r w:rsidRPr="008A2411">
              <w:rPr>
                <w:rFonts w:ascii="Times New Roman"/>
                <w:color w:val="000000" w:themeColor="text1"/>
                <w:sz w:val="20"/>
                <w:szCs w:val="21"/>
              </w:rPr>
              <w:t>III</w:t>
            </w:r>
            <w:r w:rsidRPr="008A2411">
              <w:rPr>
                <w:rFonts w:ascii="Times New Roman"/>
                <w:color w:val="000000" w:themeColor="text1"/>
                <w:sz w:val="20"/>
                <w:szCs w:val="21"/>
              </w:rPr>
              <w:fldChar w:fldCharType="end"/>
            </w:r>
            <w:r w:rsidRPr="008A2411">
              <w:rPr>
                <w:rFonts w:ascii="Times New Roman"/>
                <w:color w:val="000000" w:themeColor="text1"/>
                <w:sz w:val="20"/>
                <w:szCs w:val="21"/>
              </w:rPr>
              <w:t>类项目</w:t>
            </w:r>
          </w:p>
        </w:tc>
      </w:tr>
      <w:tr w:rsidR="008A2411" w:rsidRPr="008A2411" w14:paraId="25A7094F" w14:textId="77777777">
        <w:trPr>
          <w:trHeight w:val="237"/>
          <w:jc w:val="center"/>
        </w:trPr>
        <w:tc>
          <w:tcPr>
            <w:tcW w:w="2221" w:type="dxa"/>
            <w:vAlign w:val="center"/>
          </w:tcPr>
          <w:p w14:paraId="1B4EE873" w14:textId="77777777" w:rsidR="00B0005F" w:rsidRPr="008A2411" w:rsidRDefault="00000000">
            <w:pPr>
              <w:widowControl/>
              <w:autoSpaceDE w:val="0"/>
              <w:autoSpaceDN w:val="0"/>
              <w:adjustRightInd w:val="0"/>
              <w:jc w:val="center"/>
              <w:rPr>
                <w:rFonts w:ascii="Times New Roman"/>
                <w:color w:val="000000" w:themeColor="text1"/>
                <w:sz w:val="20"/>
                <w:szCs w:val="21"/>
              </w:rPr>
            </w:pPr>
            <w:r w:rsidRPr="008A2411">
              <w:rPr>
                <w:rFonts w:ascii="Times New Roman"/>
                <w:color w:val="000000" w:themeColor="text1"/>
                <w:sz w:val="20"/>
                <w:szCs w:val="21"/>
              </w:rPr>
              <w:t>敏感</w:t>
            </w:r>
          </w:p>
        </w:tc>
        <w:tc>
          <w:tcPr>
            <w:tcW w:w="2112" w:type="dxa"/>
            <w:vAlign w:val="center"/>
          </w:tcPr>
          <w:p w14:paraId="3D383DB3" w14:textId="77777777" w:rsidR="00B0005F" w:rsidRPr="008A2411" w:rsidRDefault="00000000">
            <w:pPr>
              <w:widowControl/>
              <w:autoSpaceDE w:val="0"/>
              <w:autoSpaceDN w:val="0"/>
              <w:adjustRightInd w:val="0"/>
              <w:jc w:val="center"/>
              <w:rPr>
                <w:rFonts w:ascii="Times New Roman"/>
                <w:color w:val="000000" w:themeColor="text1"/>
                <w:sz w:val="20"/>
                <w:szCs w:val="21"/>
              </w:rPr>
            </w:pPr>
            <w:proofErr w:type="gramStart"/>
            <w:r w:rsidRPr="008A2411">
              <w:rPr>
                <w:rFonts w:ascii="Times New Roman"/>
                <w:color w:val="000000" w:themeColor="text1"/>
                <w:sz w:val="20"/>
                <w:szCs w:val="21"/>
              </w:rPr>
              <w:t>一</w:t>
            </w:r>
            <w:proofErr w:type="gramEnd"/>
          </w:p>
        </w:tc>
        <w:tc>
          <w:tcPr>
            <w:tcW w:w="2112" w:type="dxa"/>
            <w:vAlign w:val="center"/>
          </w:tcPr>
          <w:p w14:paraId="31A3BF2A" w14:textId="77777777" w:rsidR="00B0005F" w:rsidRPr="008A2411" w:rsidRDefault="00000000">
            <w:pPr>
              <w:widowControl/>
              <w:autoSpaceDE w:val="0"/>
              <w:autoSpaceDN w:val="0"/>
              <w:adjustRightInd w:val="0"/>
              <w:jc w:val="center"/>
              <w:rPr>
                <w:rFonts w:ascii="Times New Roman"/>
                <w:color w:val="000000" w:themeColor="text1"/>
                <w:sz w:val="20"/>
                <w:szCs w:val="21"/>
              </w:rPr>
            </w:pPr>
            <w:proofErr w:type="gramStart"/>
            <w:r w:rsidRPr="008A2411">
              <w:rPr>
                <w:rFonts w:ascii="Times New Roman"/>
                <w:color w:val="000000" w:themeColor="text1"/>
                <w:sz w:val="20"/>
                <w:szCs w:val="21"/>
              </w:rPr>
              <w:t>一</w:t>
            </w:r>
            <w:proofErr w:type="gramEnd"/>
          </w:p>
        </w:tc>
        <w:tc>
          <w:tcPr>
            <w:tcW w:w="1973" w:type="dxa"/>
            <w:vAlign w:val="center"/>
          </w:tcPr>
          <w:p w14:paraId="71E97E81" w14:textId="77777777" w:rsidR="00B0005F" w:rsidRPr="008A2411" w:rsidRDefault="00000000">
            <w:pPr>
              <w:widowControl/>
              <w:autoSpaceDE w:val="0"/>
              <w:autoSpaceDN w:val="0"/>
              <w:adjustRightInd w:val="0"/>
              <w:jc w:val="center"/>
              <w:rPr>
                <w:rFonts w:ascii="Times New Roman"/>
                <w:color w:val="000000" w:themeColor="text1"/>
                <w:sz w:val="20"/>
                <w:szCs w:val="21"/>
              </w:rPr>
            </w:pPr>
            <w:r w:rsidRPr="008A2411">
              <w:rPr>
                <w:rFonts w:ascii="Times New Roman"/>
                <w:color w:val="000000" w:themeColor="text1"/>
                <w:sz w:val="20"/>
                <w:szCs w:val="21"/>
              </w:rPr>
              <w:t>二</w:t>
            </w:r>
          </w:p>
        </w:tc>
      </w:tr>
      <w:tr w:rsidR="008A2411" w:rsidRPr="008A2411" w14:paraId="2E143DA8" w14:textId="77777777">
        <w:trPr>
          <w:trHeight w:val="237"/>
          <w:jc w:val="center"/>
        </w:trPr>
        <w:tc>
          <w:tcPr>
            <w:tcW w:w="2221" w:type="dxa"/>
            <w:vAlign w:val="center"/>
          </w:tcPr>
          <w:p w14:paraId="141CEBA7" w14:textId="77777777" w:rsidR="00B0005F" w:rsidRPr="008A2411" w:rsidRDefault="00000000">
            <w:pPr>
              <w:widowControl/>
              <w:autoSpaceDE w:val="0"/>
              <w:autoSpaceDN w:val="0"/>
              <w:adjustRightInd w:val="0"/>
              <w:jc w:val="center"/>
              <w:rPr>
                <w:rFonts w:ascii="Times New Roman"/>
                <w:color w:val="000000" w:themeColor="text1"/>
                <w:sz w:val="20"/>
                <w:szCs w:val="21"/>
              </w:rPr>
            </w:pPr>
            <w:r w:rsidRPr="008A2411">
              <w:rPr>
                <w:rFonts w:ascii="Times New Roman"/>
                <w:color w:val="000000" w:themeColor="text1"/>
                <w:sz w:val="20"/>
                <w:szCs w:val="21"/>
              </w:rPr>
              <w:t>较敏感</w:t>
            </w:r>
          </w:p>
        </w:tc>
        <w:tc>
          <w:tcPr>
            <w:tcW w:w="2112" w:type="dxa"/>
            <w:vAlign w:val="center"/>
          </w:tcPr>
          <w:p w14:paraId="348911E0" w14:textId="77777777" w:rsidR="00B0005F" w:rsidRPr="008A2411" w:rsidRDefault="00000000">
            <w:pPr>
              <w:widowControl/>
              <w:autoSpaceDE w:val="0"/>
              <w:autoSpaceDN w:val="0"/>
              <w:adjustRightInd w:val="0"/>
              <w:jc w:val="center"/>
              <w:rPr>
                <w:rFonts w:ascii="Times New Roman"/>
                <w:color w:val="000000" w:themeColor="text1"/>
                <w:sz w:val="20"/>
                <w:szCs w:val="21"/>
              </w:rPr>
            </w:pPr>
            <w:proofErr w:type="gramStart"/>
            <w:r w:rsidRPr="008A2411">
              <w:rPr>
                <w:rFonts w:ascii="Times New Roman"/>
                <w:color w:val="000000" w:themeColor="text1"/>
                <w:sz w:val="20"/>
                <w:szCs w:val="21"/>
              </w:rPr>
              <w:t>一</w:t>
            </w:r>
            <w:proofErr w:type="gramEnd"/>
          </w:p>
        </w:tc>
        <w:tc>
          <w:tcPr>
            <w:tcW w:w="2112" w:type="dxa"/>
            <w:vAlign w:val="center"/>
          </w:tcPr>
          <w:p w14:paraId="097F9EA9" w14:textId="77777777" w:rsidR="00B0005F" w:rsidRPr="008A2411" w:rsidRDefault="00000000">
            <w:pPr>
              <w:widowControl/>
              <w:autoSpaceDE w:val="0"/>
              <w:autoSpaceDN w:val="0"/>
              <w:adjustRightInd w:val="0"/>
              <w:jc w:val="center"/>
              <w:rPr>
                <w:rFonts w:ascii="Times New Roman"/>
                <w:color w:val="000000" w:themeColor="text1"/>
                <w:sz w:val="20"/>
                <w:szCs w:val="21"/>
              </w:rPr>
            </w:pPr>
            <w:r w:rsidRPr="008A2411">
              <w:rPr>
                <w:rFonts w:ascii="Times New Roman"/>
                <w:b/>
                <w:bCs/>
                <w:color w:val="000000" w:themeColor="text1"/>
                <w:sz w:val="20"/>
                <w:szCs w:val="21"/>
              </w:rPr>
              <w:t>二（</w:t>
            </w:r>
            <w:r w:rsidRPr="008A2411">
              <w:rPr>
                <w:rFonts w:ascii="Times New Roman"/>
                <w:b/>
                <w:bCs/>
                <w:color w:val="000000" w:themeColor="text1"/>
                <w:sz w:val="20"/>
                <w:szCs w:val="21"/>
              </w:rPr>
              <w:t>√</w:t>
            </w:r>
            <w:r w:rsidRPr="008A2411">
              <w:rPr>
                <w:rFonts w:ascii="Times New Roman"/>
                <w:b/>
                <w:bCs/>
                <w:color w:val="000000" w:themeColor="text1"/>
                <w:sz w:val="20"/>
                <w:szCs w:val="21"/>
              </w:rPr>
              <w:t>）</w:t>
            </w:r>
          </w:p>
        </w:tc>
        <w:tc>
          <w:tcPr>
            <w:tcW w:w="1973" w:type="dxa"/>
            <w:vAlign w:val="center"/>
          </w:tcPr>
          <w:p w14:paraId="7FF67C87" w14:textId="77777777" w:rsidR="00B0005F" w:rsidRPr="008A2411" w:rsidRDefault="00000000">
            <w:pPr>
              <w:widowControl/>
              <w:autoSpaceDE w:val="0"/>
              <w:autoSpaceDN w:val="0"/>
              <w:adjustRightInd w:val="0"/>
              <w:jc w:val="center"/>
              <w:rPr>
                <w:rFonts w:ascii="Times New Roman"/>
                <w:color w:val="000000" w:themeColor="text1"/>
                <w:sz w:val="20"/>
                <w:szCs w:val="21"/>
              </w:rPr>
            </w:pPr>
            <w:r w:rsidRPr="008A2411">
              <w:rPr>
                <w:rFonts w:ascii="Times New Roman"/>
                <w:color w:val="000000" w:themeColor="text1"/>
                <w:sz w:val="20"/>
                <w:szCs w:val="21"/>
              </w:rPr>
              <w:t>三</w:t>
            </w:r>
          </w:p>
        </w:tc>
      </w:tr>
      <w:tr w:rsidR="008A2411" w:rsidRPr="008A2411" w14:paraId="29C591AD" w14:textId="77777777">
        <w:trPr>
          <w:trHeight w:val="245"/>
          <w:jc w:val="center"/>
        </w:trPr>
        <w:tc>
          <w:tcPr>
            <w:tcW w:w="2221" w:type="dxa"/>
            <w:vAlign w:val="center"/>
          </w:tcPr>
          <w:p w14:paraId="598E1E30" w14:textId="77777777" w:rsidR="00B0005F" w:rsidRPr="008A2411" w:rsidRDefault="00000000">
            <w:pPr>
              <w:widowControl/>
              <w:autoSpaceDE w:val="0"/>
              <w:autoSpaceDN w:val="0"/>
              <w:adjustRightInd w:val="0"/>
              <w:jc w:val="center"/>
              <w:rPr>
                <w:rFonts w:ascii="Times New Roman"/>
                <w:color w:val="000000" w:themeColor="text1"/>
                <w:sz w:val="20"/>
                <w:szCs w:val="21"/>
              </w:rPr>
            </w:pPr>
            <w:r w:rsidRPr="008A2411">
              <w:rPr>
                <w:rFonts w:ascii="Times New Roman"/>
                <w:color w:val="000000" w:themeColor="text1"/>
                <w:sz w:val="20"/>
                <w:szCs w:val="21"/>
              </w:rPr>
              <w:t>不敏感</w:t>
            </w:r>
          </w:p>
        </w:tc>
        <w:tc>
          <w:tcPr>
            <w:tcW w:w="2112" w:type="dxa"/>
            <w:vAlign w:val="center"/>
          </w:tcPr>
          <w:p w14:paraId="3C28EE34" w14:textId="77777777" w:rsidR="00B0005F" w:rsidRPr="008A2411" w:rsidRDefault="00000000">
            <w:pPr>
              <w:widowControl/>
              <w:autoSpaceDE w:val="0"/>
              <w:autoSpaceDN w:val="0"/>
              <w:adjustRightInd w:val="0"/>
              <w:jc w:val="center"/>
              <w:rPr>
                <w:rFonts w:ascii="Times New Roman"/>
                <w:color w:val="000000" w:themeColor="text1"/>
                <w:sz w:val="20"/>
                <w:szCs w:val="21"/>
              </w:rPr>
            </w:pPr>
            <w:r w:rsidRPr="008A2411">
              <w:rPr>
                <w:rFonts w:ascii="Times New Roman"/>
                <w:color w:val="000000" w:themeColor="text1"/>
                <w:sz w:val="20"/>
                <w:szCs w:val="21"/>
              </w:rPr>
              <w:t>二</w:t>
            </w:r>
          </w:p>
        </w:tc>
        <w:tc>
          <w:tcPr>
            <w:tcW w:w="2112" w:type="dxa"/>
            <w:vAlign w:val="center"/>
          </w:tcPr>
          <w:p w14:paraId="094727C5" w14:textId="77777777" w:rsidR="00B0005F" w:rsidRPr="008A2411" w:rsidRDefault="00000000">
            <w:pPr>
              <w:widowControl/>
              <w:autoSpaceDE w:val="0"/>
              <w:autoSpaceDN w:val="0"/>
              <w:adjustRightInd w:val="0"/>
              <w:jc w:val="center"/>
              <w:rPr>
                <w:rFonts w:ascii="Times New Roman"/>
                <w:color w:val="000000" w:themeColor="text1"/>
                <w:sz w:val="20"/>
                <w:szCs w:val="21"/>
              </w:rPr>
            </w:pPr>
            <w:r w:rsidRPr="008A2411">
              <w:rPr>
                <w:rFonts w:ascii="Times New Roman"/>
                <w:color w:val="000000" w:themeColor="text1"/>
                <w:sz w:val="20"/>
                <w:szCs w:val="21"/>
              </w:rPr>
              <w:t>三</w:t>
            </w:r>
          </w:p>
        </w:tc>
        <w:tc>
          <w:tcPr>
            <w:tcW w:w="1973" w:type="dxa"/>
            <w:vAlign w:val="center"/>
          </w:tcPr>
          <w:p w14:paraId="09CD731B" w14:textId="77777777" w:rsidR="00B0005F" w:rsidRPr="008A2411" w:rsidRDefault="00000000">
            <w:pPr>
              <w:widowControl/>
              <w:autoSpaceDE w:val="0"/>
              <w:autoSpaceDN w:val="0"/>
              <w:adjustRightInd w:val="0"/>
              <w:jc w:val="center"/>
              <w:rPr>
                <w:rFonts w:ascii="Times New Roman"/>
                <w:color w:val="000000" w:themeColor="text1"/>
                <w:sz w:val="20"/>
                <w:szCs w:val="21"/>
              </w:rPr>
            </w:pPr>
            <w:r w:rsidRPr="008A2411">
              <w:rPr>
                <w:rFonts w:ascii="Times New Roman"/>
                <w:color w:val="000000" w:themeColor="text1"/>
                <w:sz w:val="20"/>
                <w:szCs w:val="21"/>
              </w:rPr>
              <w:t>三</w:t>
            </w:r>
          </w:p>
        </w:tc>
      </w:tr>
    </w:tbl>
    <w:p w14:paraId="1B725C89"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综上，依据《环境影响评价技术导则</w:t>
      </w:r>
      <w:r w:rsidRPr="008A2411">
        <w:rPr>
          <w:rFonts w:ascii="Times New Roman" w:hAnsi="Times New Roman"/>
          <w:color w:val="000000" w:themeColor="text1"/>
        </w:rPr>
        <w:t xml:space="preserve">  </w:t>
      </w:r>
      <w:r w:rsidRPr="008A2411">
        <w:rPr>
          <w:rFonts w:ascii="Times New Roman" w:hAnsi="Times New Roman"/>
          <w:color w:val="000000" w:themeColor="text1"/>
        </w:rPr>
        <w:t>地下水环境》（</w:t>
      </w:r>
      <w:r w:rsidRPr="008A2411">
        <w:rPr>
          <w:rFonts w:ascii="Times New Roman" w:hAnsi="Times New Roman"/>
          <w:color w:val="000000" w:themeColor="text1"/>
        </w:rPr>
        <w:t>HJ610-2016</w:t>
      </w:r>
      <w:r w:rsidRPr="008A2411">
        <w:rPr>
          <w:rFonts w:ascii="Times New Roman" w:hAnsi="Times New Roman"/>
          <w:color w:val="000000" w:themeColor="text1"/>
        </w:rPr>
        <w:t>），本项目地下水环境影响评价工作等级为二级。</w:t>
      </w:r>
    </w:p>
    <w:p w14:paraId="0D54C093" w14:textId="77777777" w:rsidR="00B0005F" w:rsidRPr="008A2411" w:rsidRDefault="00000000">
      <w:pPr>
        <w:spacing w:line="360" w:lineRule="auto"/>
        <w:ind w:firstLineChars="200" w:firstLine="482"/>
        <w:rPr>
          <w:rFonts w:ascii="Times New Roman"/>
          <w:b/>
          <w:bCs/>
          <w:color w:val="000000" w:themeColor="text1"/>
          <w:szCs w:val="26"/>
        </w:rPr>
      </w:pPr>
      <w:bookmarkStart w:id="110" w:name="_Toc5615"/>
      <w:bookmarkStart w:id="111" w:name="_Toc6840"/>
      <w:bookmarkStart w:id="112" w:name="_Toc278018556"/>
      <w:r w:rsidRPr="008A2411">
        <w:rPr>
          <w:rFonts w:ascii="Times New Roman"/>
          <w:b/>
          <w:bCs/>
          <w:color w:val="000000" w:themeColor="text1"/>
          <w:szCs w:val="26"/>
        </w:rPr>
        <w:t>（</w:t>
      </w:r>
      <w:r w:rsidRPr="008A2411">
        <w:rPr>
          <w:rFonts w:ascii="Times New Roman"/>
          <w:b/>
          <w:bCs/>
          <w:color w:val="000000" w:themeColor="text1"/>
          <w:szCs w:val="26"/>
        </w:rPr>
        <w:t>6</w:t>
      </w:r>
      <w:r w:rsidRPr="008A2411">
        <w:rPr>
          <w:rFonts w:ascii="Times New Roman"/>
          <w:b/>
          <w:bCs/>
          <w:color w:val="000000" w:themeColor="text1"/>
          <w:szCs w:val="26"/>
        </w:rPr>
        <w:t>）环境风险评价</w:t>
      </w:r>
      <w:bookmarkEnd w:id="110"/>
      <w:bookmarkEnd w:id="111"/>
      <w:bookmarkEnd w:id="112"/>
      <w:r w:rsidRPr="008A2411">
        <w:rPr>
          <w:rFonts w:ascii="Times New Roman"/>
          <w:b/>
          <w:bCs/>
          <w:color w:val="000000" w:themeColor="text1"/>
          <w:szCs w:val="26"/>
        </w:rPr>
        <w:t>工作等级</w:t>
      </w:r>
    </w:p>
    <w:p w14:paraId="076C81DA" w14:textId="77777777" w:rsidR="00B0005F" w:rsidRPr="008A2411" w:rsidRDefault="00000000">
      <w:pPr>
        <w:adjustRightInd w:val="0"/>
        <w:spacing w:line="360" w:lineRule="auto"/>
        <w:ind w:firstLineChars="200" w:firstLine="480"/>
        <w:rPr>
          <w:rFonts w:ascii="Times New Roman"/>
          <w:color w:val="000000" w:themeColor="text1"/>
        </w:rPr>
      </w:pPr>
      <w:r w:rsidRPr="008A2411">
        <w:rPr>
          <w:rFonts w:ascii="Times New Roman"/>
          <w:color w:val="000000" w:themeColor="text1"/>
        </w:rPr>
        <w:t>按《建设项目环境风险评价技术导则》（</w:t>
      </w:r>
      <w:r w:rsidRPr="008A2411">
        <w:rPr>
          <w:rFonts w:ascii="Times New Roman"/>
          <w:color w:val="000000" w:themeColor="text1"/>
        </w:rPr>
        <w:t>HJ/T169-2018</w:t>
      </w:r>
      <w:r w:rsidRPr="008A2411">
        <w:rPr>
          <w:rFonts w:ascii="Times New Roman"/>
          <w:color w:val="000000" w:themeColor="text1"/>
        </w:rPr>
        <w:t>）的要求，环境风险评价工作分为一、二、三级，详见下表表</w:t>
      </w:r>
      <w:r w:rsidRPr="008A2411">
        <w:rPr>
          <w:rFonts w:ascii="Times New Roman"/>
          <w:color w:val="000000" w:themeColor="text1"/>
        </w:rPr>
        <w:t>2.7-8</w:t>
      </w:r>
      <w:r w:rsidRPr="008A2411">
        <w:rPr>
          <w:rFonts w:ascii="Times New Roman"/>
          <w:color w:val="000000" w:themeColor="text1"/>
        </w:rPr>
        <w:t>。</w:t>
      </w:r>
    </w:p>
    <w:p w14:paraId="68BE2F61" w14:textId="77777777" w:rsidR="00B0005F" w:rsidRPr="008A2411" w:rsidRDefault="00000000">
      <w:pPr>
        <w:pStyle w:val="afffffff9"/>
        <w:spacing w:line="240" w:lineRule="auto"/>
        <w:ind w:firstLineChars="0" w:firstLine="0"/>
        <w:jc w:val="center"/>
        <w:rPr>
          <w:rFonts w:ascii="Times New Roman" w:eastAsia="黑体" w:hAnsi="Times New Roman"/>
          <w:bCs/>
          <w:color w:val="000000" w:themeColor="text1"/>
        </w:rPr>
      </w:pPr>
      <w:r w:rsidRPr="008A2411">
        <w:rPr>
          <w:rFonts w:ascii="Times New Roman" w:eastAsia="黑体" w:hAnsi="Times New Roman"/>
          <w:bCs/>
          <w:color w:val="000000" w:themeColor="text1"/>
        </w:rPr>
        <w:t>表</w:t>
      </w:r>
      <w:r w:rsidRPr="008A2411">
        <w:rPr>
          <w:rFonts w:ascii="Times New Roman" w:eastAsia="黑体" w:hAnsi="Times New Roman"/>
          <w:bCs/>
          <w:color w:val="000000" w:themeColor="text1"/>
        </w:rPr>
        <w:t xml:space="preserve">2.7-8  </w:t>
      </w:r>
      <w:r w:rsidRPr="008A2411">
        <w:rPr>
          <w:rFonts w:ascii="Times New Roman" w:eastAsia="黑体" w:hAnsi="Times New Roman"/>
          <w:bCs/>
          <w:color w:val="000000" w:themeColor="text1"/>
        </w:rPr>
        <w:t>项目评价等级划分情况表</w:t>
      </w:r>
    </w:p>
    <w:tbl>
      <w:tblPr>
        <w:tblStyle w:val="affff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0"/>
        <w:gridCol w:w="1717"/>
        <w:gridCol w:w="1701"/>
        <w:gridCol w:w="1702"/>
        <w:gridCol w:w="1702"/>
      </w:tblGrid>
      <w:tr w:rsidR="008A2411" w:rsidRPr="008A2411" w14:paraId="2DF382B7" w14:textId="77777777">
        <w:tc>
          <w:tcPr>
            <w:tcW w:w="1800" w:type="dxa"/>
            <w:vAlign w:val="center"/>
          </w:tcPr>
          <w:p w14:paraId="632C9C5D"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环境风险潜势</w:t>
            </w:r>
          </w:p>
        </w:tc>
        <w:tc>
          <w:tcPr>
            <w:tcW w:w="1800" w:type="dxa"/>
            <w:vAlign w:val="center"/>
          </w:tcPr>
          <w:p w14:paraId="41778CDA"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Ⅳ</w:t>
            </w:r>
            <w:r w:rsidRPr="008A2411">
              <w:rPr>
                <w:rFonts w:ascii="Times New Roman"/>
                <w:color w:val="000000" w:themeColor="text1"/>
                <w:sz w:val="21"/>
                <w:szCs w:val="21"/>
              </w:rPr>
              <w:t>、</w:t>
            </w:r>
            <w:r w:rsidRPr="008A2411">
              <w:rPr>
                <w:rFonts w:ascii="Times New Roman"/>
                <w:color w:val="000000" w:themeColor="text1"/>
                <w:sz w:val="21"/>
                <w:szCs w:val="21"/>
              </w:rPr>
              <w:t>Ⅳ+</w:t>
            </w:r>
          </w:p>
        </w:tc>
        <w:tc>
          <w:tcPr>
            <w:tcW w:w="1800" w:type="dxa"/>
            <w:vAlign w:val="center"/>
          </w:tcPr>
          <w:p w14:paraId="226364B5"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Ⅲ</w:t>
            </w:r>
          </w:p>
        </w:tc>
        <w:tc>
          <w:tcPr>
            <w:tcW w:w="1801" w:type="dxa"/>
            <w:vAlign w:val="center"/>
          </w:tcPr>
          <w:p w14:paraId="5A1B419A"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Ⅱ</w:t>
            </w:r>
          </w:p>
        </w:tc>
        <w:tc>
          <w:tcPr>
            <w:tcW w:w="1801" w:type="dxa"/>
            <w:vAlign w:val="center"/>
          </w:tcPr>
          <w:p w14:paraId="62B0A695"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Ⅰ</w:t>
            </w:r>
          </w:p>
        </w:tc>
      </w:tr>
      <w:tr w:rsidR="00B0005F" w:rsidRPr="008A2411" w14:paraId="4DC9414F" w14:textId="77777777">
        <w:tc>
          <w:tcPr>
            <w:tcW w:w="1800" w:type="dxa"/>
            <w:vAlign w:val="center"/>
          </w:tcPr>
          <w:p w14:paraId="71EA5F20"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评价工作等级</w:t>
            </w:r>
          </w:p>
        </w:tc>
        <w:tc>
          <w:tcPr>
            <w:tcW w:w="1800" w:type="dxa"/>
            <w:vAlign w:val="center"/>
          </w:tcPr>
          <w:p w14:paraId="475034C1" w14:textId="77777777" w:rsidR="00B0005F" w:rsidRPr="008A2411" w:rsidRDefault="00000000">
            <w:pPr>
              <w:adjustRightInd w:val="0"/>
              <w:snapToGrid w:val="0"/>
              <w:jc w:val="center"/>
              <w:rPr>
                <w:rFonts w:ascii="Times New Roman"/>
                <w:color w:val="000000" w:themeColor="text1"/>
                <w:sz w:val="21"/>
                <w:szCs w:val="21"/>
              </w:rPr>
            </w:pPr>
            <w:proofErr w:type="gramStart"/>
            <w:r w:rsidRPr="008A2411">
              <w:rPr>
                <w:rFonts w:ascii="Times New Roman"/>
                <w:color w:val="000000" w:themeColor="text1"/>
                <w:sz w:val="21"/>
                <w:szCs w:val="21"/>
              </w:rPr>
              <w:t>一</w:t>
            </w:r>
            <w:proofErr w:type="gramEnd"/>
          </w:p>
        </w:tc>
        <w:tc>
          <w:tcPr>
            <w:tcW w:w="1800" w:type="dxa"/>
            <w:vAlign w:val="center"/>
          </w:tcPr>
          <w:p w14:paraId="6B0499C4"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二</w:t>
            </w:r>
          </w:p>
        </w:tc>
        <w:tc>
          <w:tcPr>
            <w:tcW w:w="1801" w:type="dxa"/>
            <w:vAlign w:val="center"/>
          </w:tcPr>
          <w:p w14:paraId="2A8BE340"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三</w:t>
            </w:r>
          </w:p>
        </w:tc>
        <w:tc>
          <w:tcPr>
            <w:tcW w:w="1801" w:type="dxa"/>
            <w:vAlign w:val="center"/>
          </w:tcPr>
          <w:p w14:paraId="5399C938"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简单分析</w:t>
            </w:r>
          </w:p>
        </w:tc>
      </w:tr>
    </w:tbl>
    <w:p w14:paraId="3CDB56FB" w14:textId="77777777" w:rsidR="00B0005F" w:rsidRPr="008A2411" w:rsidRDefault="00B0005F">
      <w:pPr>
        <w:pStyle w:val="TOC2"/>
        <w:rPr>
          <w:rFonts w:ascii="Times New Roman" w:hAnsi="Times New Roman" w:cs="Times New Roman"/>
          <w:color w:val="000000" w:themeColor="text1"/>
        </w:rPr>
      </w:pPr>
    </w:p>
    <w:p w14:paraId="45A4A882" w14:textId="5EB0C4E7" w:rsidR="00B0005F" w:rsidRPr="008A2411" w:rsidRDefault="00000000">
      <w:pPr>
        <w:adjustRightInd w:val="0"/>
        <w:spacing w:line="360" w:lineRule="auto"/>
        <w:ind w:firstLineChars="200" w:firstLine="480"/>
        <w:rPr>
          <w:rFonts w:ascii="Times New Roman"/>
          <w:bCs/>
          <w:color w:val="000000" w:themeColor="text1"/>
        </w:rPr>
      </w:pPr>
      <w:r w:rsidRPr="008A2411">
        <w:rPr>
          <w:rFonts w:ascii="Times New Roman"/>
          <w:snapToGrid w:val="0"/>
          <w:color w:val="000000" w:themeColor="text1"/>
        </w:rPr>
        <w:t>根据后文风险评价专题章节，本项目</w:t>
      </w:r>
      <w:r w:rsidRPr="008A2411">
        <w:rPr>
          <w:rFonts w:ascii="Times New Roman"/>
          <w:bCs/>
          <w:color w:val="000000" w:themeColor="text1"/>
          <w:lang w:val="zh-CN"/>
        </w:rPr>
        <w:t>Q≈</w:t>
      </w:r>
      <w:r w:rsidR="00466772">
        <w:rPr>
          <w:rFonts w:ascii="Times New Roman"/>
          <w:bCs/>
          <w:color w:val="000000" w:themeColor="text1"/>
        </w:rPr>
        <w:t>855.212</w:t>
      </w:r>
      <w:r w:rsidRPr="008A2411">
        <w:rPr>
          <w:rFonts w:ascii="Times New Roman"/>
          <w:bCs/>
          <w:color w:val="000000" w:themeColor="text1"/>
          <w:lang w:val="zh-CN"/>
        </w:rPr>
        <w:t>＞</w:t>
      </w:r>
      <w:r w:rsidRPr="008A2411">
        <w:rPr>
          <w:rFonts w:ascii="Times New Roman"/>
          <w:bCs/>
          <w:color w:val="000000" w:themeColor="text1"/>
          <w:lang w:val="zh-CN"/>
        </w:rPr>
        <w:t>1</w:t>
      </w:r>
      <w:r w:rsidRPr="008A2411">
        <w:rPr>
          <w:rFonts w:ascii="Times New Roman"/>
          <w:bCs/>
          <w:color w:val="000000" w:themeColor="text1"/>
        </w:rPr>
        <w:t>00</w:t>
      </w:r>
      <w:r w:rsidRPr="008A2411">
        <w:rPr>
          <w:rFonts w:ascii="Times New Roman"/>
          <w:bCs/>
          <w:color w:val="000000" w:themeColor="text1"/>
          <w:szCs w:val="21"/>
        </w:rPr>
        <w:t>，</w:t>
      </w:r>
      <w:r w:rsidRPr="008A2411">
        <w:rPr>
          <w:rFonts w:ascii="Times New Roman"/>
          <w:bCs/>
          <w:color w:val="000000" w:themeColor="text1"/>
        </w:rPr>
        <w:t>本项目行业及生产工艺（</w:t>
      </w:r>
      <w:r w:rsidRPr="008A2411">
        <w:rPr>
          <w:rFonts w:ascii="Times New Roman"/>
          <w:bCs/>
          <w:color w:val="000000" w:themeColor="text1"/>
        </w:rPr>
        <w:t>M</w:t>
      </w:r>
      <w:r w:rsidRPr="008A2411">
        <w:rPr>
          <w:rFonts w:ascii="Times New Roman"/>
          <w:bCs/>
          <w:color w:val="000000" w:themeColor="text1"/>
        </w:rPr>
        <w:t>）值为</w:t>
      </w:r>
      <w:r w:rsidRPr="008A2411">
        <w:rPr>
          <w:rFonts w:ascii="Times New Roman"/>
          <w:bCs/>
          <w:color w:val="000000" w:themeColor="text1"/>
        </w:rPr>
        <w:t>1</w:t>
      </w:r>
      <w:r w:rsidR="00E316F0" w:rsidRPr="008A2411">
        <w:rPr>
          <w:rFonts w:ascii="Times New Roman" w:hint="eastAsia"/>
          <w:bCs/>
          <w:color w:val="000000" w:themeColor="text1"/>
        </w:rPr>
        <w:t>5</w:t>
      </w:r>
      <w:r w:rsidRPr="008A2411">
        <w:rPr>
          <w:rFonts w:ascii="Times New Roman"/>
          <w:bCs/>
          <w:color w:val="000000" w:themeColor="text1"/>
        </w:rPr>
        <w:t>，</w:t>
      </w:r>
      <w:proofErr w:type="gramStart"/>
      <w:r w:rsidRPr="008A2411">
        <w:rPr>
          <w:rFonts w:ascii="Times New Roman"/>
          <w:bCs/>
          <w:color w:val="000000" w:themeColor="text1"/>
        </w:rPr>
        <w:t>属于属于</w:t>
      </w:r>
      <w:proofErr w:type="gramEnd"/>
      <w:r w:rsidRPr="008A2411">
        <w:rPr>
          <w:rFonts w:ascii="Times New Roman"/>
          <w:bCs/>
          <w:color w:val="000000" w:themeColor="text1"/>
        </w:rPr>
        <w:t>M</w:t>
      </w:r>
      <w:r w:rsidR="00E316F0" w:rsidRPr="008A2411">
        <w:rPr>
          <w:rFonts w:ascii="Times New Roman" w:hint="eastAsia"/>
          <w:bCs/>
          <w:color w:val="000000" w:themeColor="text1"/>
        </w:rPr>
        <w:t>2</w:t>
      </w:r>
      <w:r w:rsidRPr="008A2411">
        <w:rPr>
          <w:rFonts w:ascii="Times New Roman"/>
          <w:bCs/>
          <w:color w:val="000000" w:themeColor="text1"/>
        </w:rPr>
        <w:t>（</w:t>
      </w:r>
      <w:r w:rsidR="00E316F0" w:rsidRPr="008A2411">
        <w:rPr>
          <w:rFonts w:ascii="Times New Roman" w:hint="eastAsia"/>
          <w:bCs/>
          <w:color w:val="000000" w:themeColor="text1"/>
        </w:rPr>
        <w:t>10</w:t>
      </w:r>
      <w:r w:rsidRPr="008A2411">
        <w:rPr>
          <w:rFonts w:ascii="Times New Roman"/>
          <w:bCs/>
          <w:color w:val="000000" w:themeColor="text1"/>
        </w:rPr>
        <w:t>＜</w:t>
      </w:r>
      <w:r w:rsidRPr="008A2411">
        <w:rPr>
          <w:rFonts w:ascii="Times New Roman"/>
          <w:bCs/>
          <w:color w:val="000000" w:themeColor="text1"/>
        </w:rPr>
        <w:t>M≤</w:t>
      </w:r>
      <w:r w:rsidR="00E316F0" w:rsidRPr="008A2411">
        <w:rPr>
          <w:rFonts w:ascii="Times New Roman" w:hint="eastAsia"/>
          <w:bCs/>
          <w:color w:val="000000" w:themeColor="text1"/>
        </w:rPr>
        <w:t>2</w:t>
      </w:r>
      <w:r w:rsidRPr="008A2411">
        <w:rPr>
          <w:rFonts w:ascii="Times New Roman"/>
          <w:bCs/>
          <w:color w:val="000000" w:themeColor="text1"/>
        </w:rPr>
        <w:t>0</w:t>
      </w:r>
      <w:r w:rsidRPr="008A2411">
        <w:rPr>
          <w:rFonts w:ascii="Times New Roman"/>
          <w:bCs/>
          <w:color w:val="000000" w:themeColor="text1"/>
        </w:rPr>
        <w:t>）等级，项目危险物质及工艺系统危害性（</w:t>
      </w:r>
      <w:r w:rsidRPr="008A2411">
        <w:rPr>
          <w:rFonts w:ascii="Times New Roman"/>
          <w:bCs/>
          <w:color w:val="000000" w:themeColor="text1"/>
        </w:rPr>
        <w:t>P</w:t>
      </w:r>
      <w:r w:rsidRPr="008A2411">
        <w:rPr>
          <w:rFonts w:ascii="Times New Roman"/>
          <w:bCs/>
          <w:color w:val="000000" w:themeColor="text1"/>
        </w:rPr>
        <w:t>）的等级</w:t>
      </w:r>
      <w:r w:rsidRPr="008A2411">
        <w:rPr>
          <w:rFonts w:ascii="Times New Roman"/>
          <w:bCs/>
          <w:color w:val="000000" w:themeColor="text1"/>
        </w:rPr>
        <w:t>P</w:t>
      </w:r>
      <w:r w:rsidR="00E316F0" w:rsidRPr="008A2411">
        <w:rPr>
          <w:rFonts w:ascii="Times New Roman" w:hint="eastAsia"/>
          <w:bCs/>
          <w:color w:val="000000" w:themeColor="text1"/>
        </w:rPr>
        <w:t>1</w:t>
      </w:r>
      <w:r w:rsidRPr="008A2411">
        <w:rPr>
          <w:rFonts w:ascii="Times New Roman"/>
          <w:bCs/>
          <w:color w:val="000000" w:themeColor="text1"/>
        </w:rPr>
        <w:t>，项目大气环境敏感程度为环境高度敏感区（</w:t>
      </w:r>
      <w:r w:rsidRPr="008A2411">
        <w:rPr>
          <w:rFonts w:ascii="Times New Roman"/>
          <w:bCs/>
          <w:color w:val="000000" w:themeColor="text1"/>
        </w:rPr>
        <w:t>E2</w:t>
      </w:r>
      <w:r w:rsidRPr="008A2411">
        <w:rPr>
          <w:rFonts w:ascii="Times New Roman"/>
          <w:bCs/>
          <w:color w:val="000000" w:themeColor="text1"/>
        </w:rPr>
        <w:t>），项目地表水环境敏感程度为环境中度敏感区（</w:t>
      </w:r>
      <w:r w:rsidRPr="008A2411">
        <w:rPr>
          <w:rFonts w:ascii="Times New Roman"/>
          <w:bCs/>
          <w:color w:val="000000" w:themeColor="text1"/>
        </w:rPr>
        <w:t>E1</w:t>
      </w:r>
      <w:r w:rsidRPr="008A2411">
        <w:rPr>
          <w:rFonts w:ascii="Times New Roman"/>
          <w:bCs/>
          <w:color w:val="000000" w:themeColor="text1"/>
        </w:rPr>
        <w:t>），项目地下水环境敏感程度为</w:t>
      </w:r>
      <w:r w:rsidRPr="008A2411">
        <w:rPr>
          <w:rFonts w:ascii="Times New Roman"/>
          <w:bCs/>
          <w:color w:val="000000" w:themeColor="text1"/>
        </w:rPr>
        <w:lastRenderedPageBreak/>
        <w:t>环境中度敏感区（</w:t>
      </w:r>
      <w:r w:rsidRPr="008A2411">
        <w:rPr>
          <w:rFonts w:ascii="Times New Roman"/>
          <w:bCs/>
          <w:color w:val="000000" w:themeColor="text1"/>
        </w:rPr>
        <w:t>E2</w:t>
      </w:r>
      <w:r w:rsidRPr="008A2411">
        <w:rPr>
          <w:rFonts w:ascii="Times New Roman"/>
          <w:bCs/>
          <w:color w:val="000000" w:themeColor="text1"/>
        </w:rPr>
        <w:t>）。</w:t>
      </w:r>
    </w:p>
    <w:p w14:paraId="5B5708D8" w14:textId="77777777" w:rsidR="00B0005F" w:rsidRPr="008A2411" w:rsidRDefault="00000000">
      <w:pPr>
        <w:adjustRightInd w:val="0"/>
        <w:spacing w:line="360" w:lineRule="auto"/>
        <w:ind w:firstLineChars="200" w:firstLine="480"/>
        <w:rPr>
          <w:rFonts w:ascii="Times New Roman"/>
          <w:bCs/>
          <w:color w:val="000000" w:themeColor="text1"/>
        </w:rPr>
      </w:pPr>
      <w:r w:rsidRPr="008A2411">
        <w:rPr>
          <w:rFonts w:ascii="Times New Roman"/>
          <w:bCs/>
          <w:color w:val="000000" w:themeColor="text1"/>
        </w:rPr>
        <w:t>按照《建设项目环境风险评价技术导则》（</w:t>
      </w:r>
      <w:r w:rsidRPr="008A2411">
        <w:rPr>
          <w:rFonts w:ascii="Times New Roman"/>
          <w:bCs/>
          <w:color w:val="000000" w:themeColor="text1"/>
        </w:rPr>
        <w:t>HJ 169-2018</w:t>
      </w:r>
      <w:r w:rsidRPr="008A2411">
        <w:rPr>
          <w:rFonts w:ascii="Times New Roman"/>
          <w:bCs/>
          <w:color w:val="000000" w:themeColor="text1"/>
        </w:rPr>
        <w:t>）中的有关规定，本项目环境风险评价等级为一级，其中大气环境风险评价工作等级为一级、地下水环境风险评价工作等级为一级，地表水环境风险评价工作等级为一级。</w:t>
      </w:r>
    </w:p>
    <w:p w14:paraId="34FB22DB" w14:textId="77777777" w:rsidR="00B0005F" w:rsidRPr="008A2411" w:rsidRDefault="00000000">
      <w:pPr>
        <w:pStyle w:val="afffffff9"/>
        <w:spacing w:line="240" w:lineRule="auto"/>
        <w:ind w:firstLineChars="0" w:firstLine="0"/>
        <w:jc w:val="center"/>
        <w:rPr>
          <w:rFonts w:ascii="Times New Roman" w:eastAsia="黑体" w:hAnsi="Times New Roman"/>
          <w:bCs/>
          <w:color w:val="000000" w:themeColor="text1"/>
        </w:rPr>
      </w:pPr>
      <w:r w:rsidRPr="008A2411">
        <w:rPr>
          <w:rFonts w:ascii="Times New Roman" w:eastAsia="黑体" w:hAnsi="Times New Roman"/>
          <w:bCs/>
          <w:color w:val="000000" w:themeColor="text1"/>
        </w:rPr>
        <w:t>表</w:t>
      </w:r>
      <w:r w:rsidRPr="008A2411">
        <w:rPr>
          <w:rFonts w:ascii="Times New Roman" w:eastAsia="黑体" w:hAnsi="Times New Roman"/>
          <w:bCs/>
          <w:color w:val="000000" w:themeColor="text1"/>
        </w:rPr>
        <w:t xml:space="preserve">2.7-9  </w:t>
      </w:r>
      <w:r w:rsidRPr="008A2411">
        <w:rPr>
          <w:rFonts w:ascii="Times New Roman" w:eastAsia="黑体" w:hAnsi="Times New Roman"/>
          <w:bCs/>
          <w:color w:val="000000" w:themeColor="text1"/>
        </w:rPr>
        <w:t>项目各环境要素及项目综合环境风险评价等级划分情况表</w:t>
      </w:r>
    </w:p>
    <w:tbl>
      <w:tblPr>
        <w:tblW w:w="500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228"/>
        <w:gridCol w:w="2932"/>
        <w:gridCol w:w="1470"/>
        <w:gridCol w:w="1712"/>
        <w:gridCol w:w="984"/>
      </w:tblGrid>
      <w:tr w:rsidR="008A2411" w:rsidRPr="008A2411" w14:paraId="7865E535" w14:textId="77777777">
        <w:trPr>
          <w:jc w:val="center"/>
        </w:trPr>
        <w:tc>
          <w:tcPr>
            <w:tcW w:w="737" w:type="pct"/>
            <w:vAlign w:val="center"/>
          </w:tcPr>
          <w:p w14:paraId="217503FA"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环境要素</w:t>
            </w:r>
          </w:p>
        </w:tc>
        <w:tc>
          <w:tcPr>
            <w:tcW w:w="1759" w:type="pct"/>
            <w:vAlign w:val="center"/>
          </w:tcPr>
          <w:p w14:paraId="21264E3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大气环境</w:t>
            </w:r>
          </w:p>
        </w:tc>
        <w:tc>
          <w:tcPr>
            <w:tcW w:w="883" w:type="pct"/>
            <w:vAlign w:val="center"/>
          </w:tcPr>
          <w:p w14:paraId="55923C09"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地表水环境</w:t>
            </w:r>
          </w:p>
        </w:tc>
        <w:tc>
          <w:tcPr>
            <w:tcW w:w="1028" w:type="pct"/>
            <w:vAlign w:val="center"/>
          </w:tcPr>
          <w:p w14:paraId="661612BD"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地下水环境</w:t>
            </w:r>
          </w:p>
        </w:tc>
        <w:tc>
          <w:tcPr>
            <w:tcW w:w="591" w:type="pct"/>
            <w:vAlign w:val="center"/>
          </w:tcPr>
          <w:p w14:paraId="77D9C4F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项目综合评价等级</w:t>
            </w:r>
          </w:p>
        </w:tc>
      </w:tr>
      <w:tr w:rsidR="008A2411" w:rsidRPr="008A2411" w14:paraId="07426E8C" w14:textId="77777777">
        <w:trPr>
          <w:jc w:val="center"/>
        </w:trPr>
        <w:tc>
          <w:tcPr>
            <w:tcW w:w="737" w:type="pct"/>
            <w:vAlign w:val="center"/>
          </w:tcPr>
          <w:p w14:paraId="78172C5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环境潜势</w:t>
            </w:r>
          </w:p>
        </w:tc>
        <w:tc>
          <w:tcPr>
            <w:tcW w:w="1759" w:type="pct"/>
            <w:vAlign w:val="center"/>
          </w:tcPr>
          <w:p w14:paraId="2C0D232E" w14:textId="77777777" w:rsidR="00B0005F" w:rsidRPr="008A2411" w:rsidRDefault="00000000">
            <w:pPr>
              <w:jc w:val="center"/>
              <w:rPr>
                <w:rFonts w:ascii="Times New Roman"/>
                <w:bCs/>
                <w:color w:val="000000" w:themeColor="text1"/>
                <w:sz w:val="21"/>
                <w:szCs w:val="21"/>
              </w:rPr>
            </w:pPr>
            <w:r w:rsidRPr="008A2411">
              <w:rPr>
                <w:rFonts w:ascii="Times New Roman" w:eastAsiaTheme="minorEastAsia"/>
                <w:bCs/>
                <w:snapToGrid w:val="0"/>
                <w:color w:val="000000" w:themeColor="text1"/>
                <w:sz w:val="21"/>
                <w:szCs w:val="21"/>
              </w:rPr>
              <w:t>Ⅳ</w:t>
            </w:r>
          </w:p>
        </w:tc>
        <w:tc>
          <w:tcPr>
            <w:tcW w:w="883" w:type="pct"/>
            <w:vAlign w:val="center"/>
          </w:tcPr>
          <w:p w14:paraId="0F0B7541" w14:textId="77777777" w:rsidR="00B0005F" w:rsidRPr="008A2411" w:rsidRDefault="00000000">
            <w:pPr>
              <w:jc w:val="center"/>
              <w:rPr>
                <w:rFonts w:ascii="Times New Roman"/>
                <w:bCs/>
                <w:color w:val="000000" w:themeColor="text1"/>
                <w:sz w:val="21"/>
                <w:szCs w:val="21"/>
              </w:rPr>
            </w:pPr>
            <w:r w:rsidRPr="008A2411">
              <w:rPr>
                <w:rFonts w:ascii="Times New Roman" w:eastAsiaTheme="minorEastAsia"/>
                <w:bCs/>
                <w:snapToGrid w:val="0"/>
                <w:color w:val="000000" w:themeColor="text1"/>
                <w:sz w:val="21"/>
                <w:szCs w:val="21"/>
              </w:rPr>
              <w:t>Ⅳ</w:t>
            </w:r>
            <w:r w:rsidRPr="008A2411">
              <w:rPr>
                <w:rFonts w:ascii="Times New Roman" w:eastAsiaTheme="minorEastAsia"/>
                <w:bCs/>
                <w:snapToGrid w:val="0"/>
                <w:color w:val="000000" w:themeColor="text1"/>
                <w:sz w:val="21"/>
                <w:szCs w:val="21"/>
                <w:vertAlign w:val="superscript"/>
              </w:rPr>
              <w:t>+</w:t>
            </w:r>
          </w:p>
        </w:tc>
        <w:tc>
          <w:tcPr>
            <w:tcW w:w="1028" w:type="pct"/>
            <w:vAlign w:val="center"/>
          </w:tcPr>
          <w:p w14:paraId="459DF469" w14:textId="77777777" w:rsidR="00B0005F" w:rsidRPr="008A2411" w:rsidRDefault="00000000">
            <w:pPr>
              <w:jc w:val="center"/>
              <w:rPr>
                <w:rFonts w:ascii="Times New Roman"/>
                <w:bCs/>
                <w:color w:val="000000" w:themeColor="text1"/>
                <w:sz w:val="21"/>
                <w:szCs w:val="21"/>
              </w:rPr>
            </w:pPr>
            <w:r w:rsidRPr="008A2411">
              <w:rPr>
                <w:rFonts w:ascii="Times New Roman" w:eastAsiaTheme="minorEastAsia"/>
                <w:bCs/>
                <w:snapToGrid w:val="0"/>
                <w:color w:val="000000" w:themeColor="text1"/>
                <w:sz w:val="21"/>
                <w:szCs w:val="21"/>
              </w:rPr>
              <w:t>Ⅳ</w:t>
            </w:r>
          </w:p>
        </w:tc>
        <w:tc>
          <w:tcPr>
            <w:tcW w:w="591" w:type="pct"/>
            <w:vAlign w:val="center"/>
          </w:tcPr>
          <w:p w14:paraId="57B64A04" w14:textId="77777777" w:rsidR="00B0005F" w:rsidRPr="008A2411" w:rsidRDefault="00000000">
            <w:pPr>
              <w:jc w:val="center"/>
              <w:rPr>
                <w:rFonts w:ascii="Times New Roman"/>
                <w:bCs/>
                <w:color w:val="000000" w:themeColor="text1"/>
                <w:sz w:val="21"/>
                <w:szCs w:val="21"/>
              </w:rPr>
            </w:pPr>
            <w:r w:rsidRPr="008A2411">
              <w:rPr>
                <w:rFonts w:ascii="Times New Roman" w:eastAsiaTheme="minorEastAsia"/>
                <w:bCs/>
                <w:snapToGrid w:val="0"/>
                <w:color w:val="000000" w:themeColor="text1"/>
                <w:sz w:val="21"/>
                <w:szCs w:val="21"/>
              </w:rPr>
              <w:t>Ⅳ</w:t>
            </w:r>
            <w:r w:rsidRPr="008A2411">
              <w:rPr>
                <w:rFonts w:ascii="Times New Roman" w:eastAsiaTheme="minorEastAsia"/>
                <w:bCs/>
                <w:snapToGrid w:val="0"/>
                <w:color w:val="000000" w:themeColor="text1"/>
                <w:sz w:val="21"/>
                <w:szCs w:val="21"/>
                <w:vertAlign w:val="superscript"/>
              </w:rPr>
              <w:t>+</w:t>
            </w:r>
          </w:p>
        </w:tc>
      </w:tr>
      <w:tr w:rsidR="00B0005F" w:rsidRPr="008A2411" w14:paraId="62D5F4A4" w14:textId="77777777">
        <w:trPr>
          <w:jc w:val="center"/>
        </w:trPr>
        <w:tc>
          <w:tcPr>
            <w:tcW w:w="737" w:type="pct"/>
            <w:vAlign w:val="center"/>
          </w:tcPr>
          <w:p w14:paraId="1A97A456"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环境风险工作评价等级</w:t>
            </w:r>
          </w:p>
        </w:tc>
        <w:tc>
          <w:tcPr>
            <w:tcW w:w="1759" w:type="pct"/>
            <w:vAlign w:val="center"/>
          </w:tcPr>
          <w:p w14:paraId="468848EA"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一级</w:t>
            </w:r>
          </w:p>
        </w:tc>
        <w:tc>
          <w:tcPr>
            <w:tcW w:w="883" w:type="pct"/>
            <w:vAlign w:val="center"/>
          </w:tcPr>
          <w:p w14:paraId="7562126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一级</w:t>
            </w:r>
          </w:p>
        </w:tc>
        <w:tc>
          <w:tcPr>
            <w:tcW w:w="1028" w:type="pct"/>
            <w:vAlign w:val="center"/>
          </w:tcPr>
          <w:p w14:paraId="4E68A147"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一级</w:t>
            </w:r>
          </w:p>
        </w:tc>
        <w:tc>
          <w:tcPr>
            <w:tcW w:w="591" w:type="pct"/>
            <w:vAlign w:val="center"/>
          </w:tcPr>
          <w:p w14:paraId="1F0012E9"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一级</w:t>
            </w:r>
          </w:p>
        </w:tc>
      </w:tr>
    </w:tbl>
    <w:p w14:paraId="45173276" w14:textId="77777777" w:rsidR="00B0005F" w:rsidRPr="008A2411" w:rsidRDefault="00B0005F">
      <w:pPr>
        <w:pStyle w:val="TOC2"/>
        <w:rPr>
          <w:rFonts w:ascii="Times New Roman" w:hAnsi="Times New Roman" w:cs="Times New Roman"/>
          <w:color w:val="000000" w:themeColor="text1"/>
        </w:rPr>
      </w:pPr>
    </w:p>
    <w:p w14:paraId="25F7AE83" w14:textId="77777777" w:rsidR="00B0005F" w:rsidRPr="008A2411" w:rsidRDefault="00000000">
      <w:pPr>
        <w:spacing w:line="360" w:lineRule="auto"/>
        <w:ind w:firstLineChars="200" w:firstLine="482"/>
        <w:rPr>
          <w:rFonts w:ascii="Times New Roman"/>
          <w:b/>
          <w:snapToGrid w:val="0"/>
          <w:color w:val="000000" w:themeColor="text1"/>
        </w:rPr>
      </w:pPr>
      <w:r w:rsidRPr="008A2411">
        <w:rPr>
          <w:rFonts w:ascii="Times New Roman"/>
          <w:b/>
          <w:snapToGrid w:val="0"/>
          <w:color w:val="000000" w:themeColor="text1"/>
        </w:rPr>
        <w:t>（</w:t>
      </w:r>
      <w:r w:rsidRPr="008A2411">
        <w:rPr>
          <w:rFonts w:ascii="Times New Roman"/>
          <w:b/>
          <w:snapToGrid w:val="0"/>
          <w:color w:val="000000" w:themeColor="text1"/>
        </w:rPr>
        <w:t>7</w:t>
      </w:r>
      <w:r w:rsidRPr="008A2411">
        <w:rPr>
          <w:rFonts w:ascii="Times New Roman"/>
          <w:b/>
          <w:snapToGrid w:val="0"/>
          <w:color w:val="000000" w:themeColor="text1"/>
        </w:rPr>
        <w:t>）土壤环境影响评价工作等级</w:t>
      </w:r>
    </w:p>
    <w:p w14:paraId="29EEA2AB" w14:textId="727609ED" w:rsidR="00B0005F" w:rsidRPr="008A2411" w:rsidRDefault="00000000">
      <w:pPr>
        <w:pStyle w:val="a9"/>
        <w:spacing w:after="0" w:line="360" w:lineRule="auto"/>
        <w:ind w:firstLine="561"/>
        <w:rPr>
          <w:rFonts w:ascii="Times New Roman" w:eastAsia="黑体"/>
          <w:color w:val="000000" w:themeColor="text1"/>
          <w:sz w:val="24"/>
        </w:rPr>
      </w:pPr>
      <w:r w:rsidRPr="008A2411">
        <w:rPr>
          <w:rFonts w:ascii="Times New Roman"/>
          <w:color w:val="000000" w:themeColor="text1"/>
          <w:sz w:val="24"/>
        </w:rPr>
        <w:t>按照《环境影响评价技术导则</w:t>
      </w:r>
      <w:r w:rsidRPr="008A2411">
        <w:rPr>
          <w:rFonts w:ascii="Times New Roman"/>
          <w:color w:val="000000" w:themeColor="text1"/>
          <w:sz w:val="24"/>
        </w:rPr>
        <w:t xml:space="preserve"> </w:t>
      </w:r>
      <w:r w:rsidRPr="008A2411">
        <w:rPr>
          <w:rFonts w:ascii="Times New Roman"/>
          <w:color w:val="000000" w:themeColor="text1"/>
          <w:sz w:val="24"/>
        </w:rPr>
        <w:t>土壤环境（试行）》（</w:t>
      </w:r>
      <w:r w:rsidRPr="008A2411">
        <w:rPr>
          <w:rFonts w:ascii="Times New Roman"/>
          <w:color w:val="000000" w:themeColor="text1"/>
          <w:sz w:val="24"/>
        </w:rPr>
        <w:t>HJ964-2018</w:t>
      </w:r>
      <w:r w:rsidRPr="008A2411">
        <w:rPr>
          <w:rFonts w:ascii="Times New Roman"/>
          <w:color w:val="000000" w:themeColor="text1"/>
          <w:sz w:val="24"/>
        </w:rPr>
        <w:t>）评价工作等级划分原则与方法，本项目为污染影响型建设项目，占地规模为</w:t>
      </w:r>
      <w:r w:rsidR="00D265A8" w:rsidRPr="008A2411">
        <w:rPr>
          <w:rFonts w:ascii="Times New Roman" w:hint="eastAsia"/>
          <w:color w:val="000000" w:themeColor="text1"/>
          <w:sz w:val="24"/>
        </w:rPr>
        <w:t>1</w:t>
      </w:r>
      <w:r w:rsidR="00D265A8" w:rsidRPr="008A2411">
        <w:rPr>
          <w:rFonts w:ascii="Times New Roman"/>
          <w:color w:val="000000" w:themeColor="text1"/>
          <w:sz w:val="24"/>
        </w:rPr>
        <w:t>32.</w:t>
      </w:r>
      <w:r w:rsidR="00F52364" w:rsidRPr="008A2411">
        <w:rPr>
          <w:rFonts w:ascii="Times New Roman"/>
          <w:color w:val="000000" w:themeColor="text1"/>
          <w:sz w:val="24"/>
        </w:rPr>
        <w:t>02</w:t>
      </w:r>
      <w:r w:rsidR="00F52364" w:rsidRPr="008A2411">
        <w:rPr>
          <w:rFonts w:ascii="Times New Roman" w:hint="eastAsia"/>
          <w:color w:val="000000" w:themeColor="text1"/>
          <w:sz w:val="24"/>
        </w:rPr>
        <w:t>亩</w:t>
      </w:r>
      <w:r w:rsidR="00F52364" w:rsidRPr="008A2411">
        <w:rPr>
          <w:rFonts w:ascii="Times New Roman" w:hint="eastAsia"/>
          <w:color w:val="000000" w:themeColor="text1"/>
          <w:sz w:val="24"/>
        </w:rPr>
        <w:t>=8.8</w:t>
      </w:r>
      <w:r w:rsidR="00F52364" w:rsidRPr="008A2411">
        <w:rPr>
          <w:rFonts w:ascii="Times New Roman"/>
          <w:color w:val="000000" w:themeColor="text1"/>
          <w:sz w:val="24"/>
        </w:rPr>
        <w:t>hm</w:t>
      </w:r>
      <w:r w:rsidR="00F52364" w:rsidRPr="008A2411">
        <w:rPr>
          <w:rFonts w:ascii="Times New Roman"/>
          <w:color w:val="000000" w:themeColor="text1"/>
          <w:sz w:val="24"/>
          <w:vertAlign w:val="superscript"/>
        </w:rPr>
        <w:t>2</w:t>
      </w:r>
      <w:r w:rsidR="00F52364" w:rsidRPr="008A2411">
        <w:rPr>
          <w:rFonts w:ascii="Times New Roman" w:hint="eastAsia"/>
          <w:color w:val="000000" w:themeColor="text1"/>
          <w:sz w:val="24"/>
        </w:rPr>
        <w:t>，属于中</w:t>
      </w:r>
      <w:r w:rsidRPr="008A2411">
        <w:rPr>
          <w:rFonts w:ascii="Times New Roman"/>
          <w:color w:val="000000" w:themeColor="text1"/>
          <w:sz w:val="24"/>
        </w:rPr>
        <w:t>型，根据附录</w:t>
      </w:r>
      <w:r w:rsidRPr="008A2411">
        <w:rPr>
          <w:rFonts w:ascii="Times New Roman"/>
          <w:color w:val="000000" w:themeColor="text1"/>
          <w:sz w:val="24"/>
        </w:rPr>
        <w:t>A</w:t>
      </w:r>
      <w:r w:rsidRPr="008A2411">
        <w:rPr>
          <w:rFonts w:ascii="Times New Roman"/>
          <w:color w:val="000000" w:themeColor="text1"/>
          <w:sz w:val="24"/>
        </w:rPr>
        <w:t>，本项目为</w:t>
      </w:r>
      <w:r w:rsidRPr="008A2411">
        <w:rPr>
          <w:rFonts w:ascii="Times New Roman"/>
          <w:color w:val="000000" w:themeColor="text1"/>
        </w:rPr>
        <w:t>Ⅱ</w:t>
      </w:r>
      <w:r w:rsidRPr="008A2411">
        <w:rPr>
          <w:rFonts w:ascii="Times New Roman"/>
          <w:color w:val="000000" w:themeColor="text1"/>
          <w:sz w:val="24"/>
        </w:rPr>
        <w:t>类建设项目。评价等级判别依据见表</w:t>
      </w:r>
      <w:r w:rsidRPr="008A2411">
        <w:rPr>
          <w:rFonts w:ascii="Times New Roman"/>
          <w:color w:val="000000" w:themeColor="text1"/>
          <w:sz w:val="24"/>
        </w:rPr>
        <w:t>2.7-10</w:t>
      </w:r>
      <w:r w:rsidRPr="008A2411">
        <w:rPr>
          <w:rFonts w:ascii="Times New Roman"/>
          <w:color w:val="000000" w:themeColor="text1"/>
          <w:sz w:val="24"/>
        </w:rPr>
        <w:t>、表</w:t>
      </w:r>
      <w:r w:rsidRPr="008A2411">
        <w:rPr>
          <w:rFonts w:ascii="Times New Roman"/>
          <w:color w:val="000000" w:themeColor="text1"/>
          <w:sz w:val="24"/>
        </w:rPr>
        <w:t>2.7-11</w:t>
      </w:r>
      <w:r w:rsidRPr="008A2411">
        <w:rPr>
          <w:rFonts w:ascii="Times New Roman"/>
          <w:color w:val="000000" w:themeColor="text1"/>
          <w:sz w:val="24"/>
        </w:rPr>
        <w:t>。</w:t>
      </w:r>
    </w:p>
    <w:p w14:paraId="42E3541C" w14:textId="77777777" w:rsidR="00B0005F" w:rsidRPr="008A2411" w:rsidRDefault="00000000">
      <w:pPr>
        <w:pStyle w:val="afffffffff"/>
        <w:spacing w:before="0" w:beforeAutospacing="0" w:after="0" w:afterAutospacing="0" w:line="240" w:lineRule="auto"/>
        <w:ind w:firstLine="482"/>
        <w:jc w:val="center"/>
        <w:rPr>
          <w:rFonts w:eastAsia="黑体" w:hAnsi="Times New Roman" w:cs="Times New Roman"/>
          <w:b w:val="0"/>
          <w:color w:val="000000" w:themeColor="text1"/>
        </w:rPr>
      </w:pPr>
      <w:r w:rsidRPr="008A2411">
        <w:rPr>
          <w:rFonts w:eastAsia="黑体" w:hAnsi="Times New Roman" w:cs="Times New Roman"/>
          <w:b w:val="0"/>
          <w:color w:val="000000" w:themeColor="text1"/>
        </w:rPr>
        <w:t>表</w:t>
      </w:r>
      <w:r w:rsidRPr="008A2411">
        <w:rPr>
          <w:rFonts w:eastAsia="黑体" w:hAnsi="Times New Roman" w:cs="Times New Roman"/>
          <w:b w:val="0"/>
          <w:color w:val="000000" w:themeColor="text1"/>
        </w:rPr>
        <w:t xml:space="preserve">2.7-10  </w:t>
      </w:r>
      <w:r w:rsidRPr="008A2411">
        <w:rPr>
          <w:rFonts w:eastAsia="黑体" w:hAnsi="Times New Roman" w:cs="Times New Roman"/>
          <w:b w:val="0"/>
          <w:color w:val="000000" w:themeColor="text1"/>
        </w:rPr>
        <w:t>污染影响型敏感程度分级表</w:t>
      </w:r>
    </w:p>
    <w:tbl>
      <w:tblPr>
        <w:tblStyle w:val="affff9"/>
        <w:tblW w:w="88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92"/>
        <w:gridCol w:w="7787"/>
      </w:tblGrid>
      <w:tr w:rsidR="008A2411" w:rsidRPr="008A2411" w14:paraId="0090AFD1" w14:textId="77777777">
        <w:trPr>
          <w:trHeight w:val="232"/>
        </w:trPr>
        <w:tc>
          <w:tcPr>
            <w:tcW w:w="1092" w:type="dxa"/>
            <w:vAlign w:val="center"/>
          </w:tcPr>
          <w:p w14:paraId="261E95C8" w14:textId="77777777" w:rsidR="00B0005F" w:rsidRPr="008A2411" w:rsidRDefault="00000000">
            <w:pPr>
              <w:spacing w:line="300" w:lineRule="exact"/>
              <w:rPr>
                <w:rFonts w:ascii="Times New Roman"/>
                <w:color w:val="000000" w:themeColor="text1"/>
                <w:sz w:val="21"/>
                <w:szCs w:val="21"/>
              </w:rPr>
            </w:pPr>
            <w:r w:rsidRPr="008A2411">
              <w:rPr>
                <w:rFonts w:ascii="Times New Roman"/>
                <w:color w:val="000000" w:themeColor="text1"/>
                <w:sz w:val="21"/>
                <w:szCs w:val="21"/>
              </w:rPr>
              <w:t>敏感程度</w:t>
            </w:r>
          </w:p>
        </w:tc>
        <w:tc>
          <w:tcPr>
            <w:tcW w:w="7787" w:type="dxa"/>
            <w:vAlign w:val="center"/>
          </w:tcPr>
          <w:p w14:paraId="7E64EACD" w14:textId="77777777" w:rsidR="00B0005F" w:rsidRPr="008A2411" w:rsidRDefault="00000000">
            <w:pPr>
              <w:spacing w:line="300" w:lineRule="exact"/>
              <w:rPr>
                <w:rFonts w:ascii="Times New Roman"/>
                <w:color w:val="000000" w:themeColor="text1"/>
                <w:sz w:val="21"/>
                <w:szCs w:val="21"/>
              </w:rPr>
            </w:pPr>
            <w:r w:rsidRPr="008A2411">
              <w:rPr>
                <w:rFonts w:ascii="Times New Roman"/>
                <w:color w:val="000000" w:themeColor="text1"/>
                <w:sz w:val="21"/>
                <w:szCs w:val="21"/>
              </w:rPr>
              <w:t>判定依据</w:t>
            </w:r>
          </w:p>
        </w:tc>
      </w:tr>
      <w:tr w:rsidR="008A2411" w:rsidRPr="008A2411" w14:paraId="61C27AD2" w14:textId="77777777">
        <w:trPr>
          <w:trHeight w:val="455"/>
        </w:trPr>
        <w:tc>
          <w:tcPr>
            <w:tcW w:w="1092" w:type="dxa"/>
            <w:vAlign w:val="center"/>
          </w:tcPr>
          <w:p w14:paraId="49B5836C" w14:textId="77777777" w:rsidR="00B0005F" w:rsidRPr="008A2411" w:rsidRDefault="00000000">
            <w:pPr>
              <w:spacing w:line="300" w:lineRule="exact"/>
              <w:rPr>
                <w:rFonts w:ascii="Times New Roman"/>
                <w:color w:val="000000" w:themeColor="text1"/>
                <w:sz w:val="21"/>
                <w:szCs w:val="21"/>
              </w:rPr>
            </w:pPr>
            <w:r w:rsidRPr="008A2411">
              <w:rPr>
                <w:rFonts w:ascii="Times New Roman"/>
                <w:color w:val="000000" w:themeColor="text1"/>
                <w:sz w:val="21"/>
                <w:szCs w:val="21"/>
              </w:rPr>
              <w:t>敏感</w:t>
            </w:r>
          </w:p>
        </w:tc>
        <w:tc>
          <w:tcPr>
            <w:tcW w:w="7787" w:type="dxa"/>
            <w:vAlign w:val="center"/>
          </w:tcPr>
          <w:p w14:paraId="537F9D4D" w14:textId="77777777" w:rsidR="00B0005F" w:rsidRPr="008A2411" w:rsidRDefault="00000000">
            <w:pPr>
              <w:spacing w:line="300" w:lineRule="exact"/>
              <w:rPr>
                <w:rFonts w:ascii="Times New Roman"/>
                <w:color w:val="000000" w:themeColor="text1"/>
                <w:sz w:val="21"/>
                <w:szCs w:val="21"/>
              </w:rPr>
            </w:pPr>
            <w:r w:rsidRPr="008A2411">
              <w:rPr>
                <w:rFonts w:ascii="Times New Roman"/>
                <w:color w:val="000000" w:themeColor="text1"/>
                <w:sz w:val="21"/>
                <w:szCs w:val="21"/>
              </w:rPr>
              <w:t>建设项目周边存在耕地、园地、牧草地、饮用水源地或居民区、学校、医院、疗养院、养老院等土壤环境敏感目标的</w:t>
            </w:r>
          </w:p>
        </w:tc>
      </w:tr>
      <w:tr w:rsidR="008A2411" w:rsidRPr="008A2411" w14:paraId="7C2A7194" w14:textId="77777777">
        <w:trPr>
          <w:trHeight w:val="232"/>
        </w:trPr>
        <w:tc>
          <w:tcPr>
            <w:tcW w:w="1092" w:type="dxa"/>
            <w:vAlign w:val="center"/>
          </w:tcPr>
          <w:p w14:paraId="7CEEC10C" w14:textId="77777777" w:rsidR="00B0005F" w:rsidRPr="008A2411" w:rsidRDefault="00000000">
            <w:pPr>
              <w:spacing w:line="300" w:lineRule="exact"/>
              <w:rPr>
                <w:rFonts w:ascii="Times New Roman"/>
                <w:color w:val="000000" w:themeColor="text1"/>
                <w:sz w:val="21"/>
                <w:szCs w:val="21"/>
              </w:rPr>
            </w:pPr>
            <w:r w:rsidRPr="008A2411">
              <w:rPr>
                <w:rFonts w:ascii="Times New Roman"/>
                <w:color w:val="000000" w:themeColor="text1"/>
                <w:sz w:val="21"/>
                <w:szCs w:val="21"/>
              </w:rPr>
              <w:t>较敏感</w:t>
            </w:r>
          </w:p>
        </w:tc>
        <w:tc>
          <w:tcPr>
            <w:tcW w:w="7787" w:type="dxa"/>
            <w:vAlign w:val="center"/>
          </w:tcPr>
          <w:p w14:paraId="6E70E5BD" w14:textId="77777777" w:rsidR="00B0005F" w:rsidRPr="008A2411" w:rsidRDefault="00000000">
            <w:pPr>
              <w:spacing w:line="300" w:lineRule="exact"/>
              <w:rPr>
                <w:rFonts w:ascii="Times New Roman"/>
                <w:color w:val="000000" w:themeColor="text1"/>
                <w:sz w:val="21"/>
                <w:szCs w:val="21"/>
              </w:rPr>
            </w:pPr>
            <w:r w:rsidRPr="008A2411">
              <w:rPr>
                <w:rFonts w:ascii="Times New Roman"/>
                <w:color w:val="000000" w:themeColor="text1"/>
                <w:sz w:val="21"/>
                <w:szCs w:val="21"/>
              </w:rPr>
              <w:t>建设项目周边存在其他土壤环境敏感目标的</w:t>
            </w:r>
          </w:p>
        </w:tc>
      </w:tr>
      <w:tr w:rsidR="008A2411" w:rsidRPr="008A2411" w14:paraId="4EBA4F34" w14:textId="77777777">
        <w:trPr>
          <w:trHeight w:val="239"/>
        </w:trPr>
        <w:tc>
          <w:tcPr>
            <w:tcW w:w="1092" w:type="dxa"/>
            <w:vAlign w:val="center"/>
          </w:tcPr>
          <w:p w14:paraId="03542697" w14:textId="77777777" w:rsidR="00B0005F" w:rsidRPr="008A2411" w:rsidRDefault="00000000">
            <w:pPr>
              <w:spacing w:line="300" w:lineRule="exact"/>
              <w:rPr>
                <w:rFonts w:ascii="Times New Roman"/>
                <w:color w:val="000000" w:themeColor="text1"/>
                <w:sz w:val="21"/>
                <w:szCs w:val="21"/>
              </w:rPr>
            </w:pPr>
            <w:r w:rsidRPr="008A2411">
              <w:rPr>
                <w:rFonts w:ascii="Times New Roman"/>
                <w:color w:val="000000" w:themeColor="text1"/>
                <w:sz w:val="21"/>
                <w:szCs w:val="21"/>
              </w:rPr>
              <w:t>不敏感</w:t>
            </w:r>
          </w:p>
        </w:tc>
        <w:tc>
          <w:tcPr>
            <w:tcW w:w="7787" w:type="dxa"/>
            <w:vAlign w:val="center"/>
          </w:tcPr>
          <w:p w14:paraId="4E593104" w14:textId="77777777" w:rsidR="00B0005F" w:rsidRPr="008A2411" w:rsidRDefault="00000000">
            <w:pPr>
              <w:spacing w:line="300" w:lineRule="exact"/>
              <w:rPr>
                <w:rFonts w:ascii="Times New Roman"/>
                <w:color w:val="000000" w:themeColor="text1"/>
                <w:sz w:val="21"/>
                <w:szCs w:val="21"/>
              </w:rPr>
            </w:pPr>
            <w:r w:rsidRPr="008A2411">
              <w:rPr>
                <w:rFonts w:ascii="Times New Roman"/>
                <w:color w:val="000000" w:themeColor="text1"/>
                <w:sz w:val="21"/>
                <w:szCs w:val="21"/>
              </w:rPr>
              <w:t>其他情况</w:t>
            </w:r>
          </w:p>
        </w:tc>
      </w:tr>
    </w:tbl>
    <w:p w14:paraId="5C7D6C2F" w14:textId="77777777" w:rsidR="00B0005F" w:rsidRPr="008A2411" w:rsidRDefault="00000000">
      <w:pPr>
        <w:pStyle w:val="a9"/>
        <w:adjustRightInd w:val="0"/>
        <w:spacing w:after="0" w:line="360" w:lineRule="auto"/>
        <w:ind w:firstLine="561"/>
        <w:rPr>
          <w:rFonts w:ascii="Times New Roman"/>
          <w:color w:val="000000" w:themeColor="text1"/>
          <w:sz w:val="24"/>
        </w:rPr>
      </w:pPr>
      <w:r w:rsidRPr="008A2411">
        <w:rPr>
          <w:rFonts w:ascii="Times New Roman"/>
          <w:color w:val="000000" w:themeColor="text1"/>
          <w:sz w:val="24"/>
        </w:rPr>
        <w:t>据现场调查，本项目周边存在耕地，因此，确定区内土壤环境敏感程度为</w:t>
      </w:r>
      <w:r w:rsidRPr="008A2411">
        <w:rPr>
          <w:rFonts w:ascii="Times New Roman" w:hint="eastAsia"/>
          <w:color w:val="000000" w:themeColor="text1"/>
          <w:sz w:val="24"/>
        </w:rPr>
        <w:t>“</w:t>
      </w:r>
      <w:r w:rsidRPr="008A2411">
        <w:rPr>
          <w:rFonts w:ascii="Times New Roman"/>
          <w:color w:val="000000" w:themeColor="text1"/>
          <w:sz w:val="24"/>
        </w:rPr>
        <w:t>敏感</w:t>
      </w:r>
      <w:r w:rsidRPr="008A2411">
        <w:rPr>
          <w:rFonts w:ascii="Times New Roman" w:hint="eastAsia"/>
          <w:color w:val="000000" w:themeColor="text1"/>
          <w:sz w:val="24"/>
        </w:rPr>
        <w:t>”</w:t>
      </w:r>
      <w:r w:rsidRPr="008A2411">
        <w:rPr>
          <w:rFonts w:ascii="Times New Roman"/>
          <w:color w:val="000000" w:themeColor="text1"/>
          <w:sz w:val="24"/>
        </w:rPr>
        <w:t>。</w:t>
      </w:r>
    </w:p>
    <w:p w14:paraId="52AC2F4C" w14:textId="77777777" w:rsidR="00B0005F" w:rsidRPr="008A2411" w:rsidRDefault="00000000">
      <w:pPr>
        <w:pStyle w:val="afffffffff"/>
        <w:spacing w:before="0" w:beforeAutospacing="0" w:after="0" w:afterAutospacing="0" w:line="240" w:lineRule="auto"/>
        <w:ind w:firstLine="482"/>
        <w:jc w:val="center"/>
        <w:rPr>
          <w:rFonts w:eastAsia="黑体" w:hAnsi="Times New Roman" w:cs="Times New Roman"/>
          <w:b w:val="0"/>
          <w:color w:val="000000" w:themeColor="text1"/>
        </w:rPr>
      </w:pPr>
      <w:r w:rsidRPr="008A2411">
        <w:rPr>
          <w:rFonts w:eastAsia="黑体" w:hAnsi="Times New Roman" w:cs="Times New Roman"/>
          <w:b w:val="0"/>
          <w:color w:val="000000" w:themeColor="text1"/>
        </w:rPr>
        <w:t>表</w:t>
      </w:r>
      <w:r w:rsidRPr="008A2411">
        <w:rPr>
          <w:rFonts w:eastAsia="黑体" w:hAnsi="Times New Roman" w:cs="Times New Roman"/>
          <w:b w:val="0"/>
          <w:color w:val="000000" w:themeColor="text1"/>
        </w:rPr>
        <w:t xml:space="preserve">2.7-11  </w:t>
      </w:r>
      <w:r w:rsidRPr="008A2411">
        <w:rPr>
          <w:rFonts w:eastAsia="黑体" w:hAnsi="Times New Roman" w:cs="Times New Roman"/>
          <w:b w:val="0"/>
          <w:color w:val="000000" w:themeColor="text1"/>
        </w:rPr>
        <w:t>污染影响</w:t>
      </w:r>
      <w:proofErr w:type="gramStart"/>
      <w:r w:rsidRPr="008A2411">
        <w:rPr>
          <w:rFonts w:eastAsia="黑体" w:hAnsi="Times New Roman" w:cs="Times New Roman"/>
          <w:b w:val="0"/>
          <w:color w:val="000000" w:themeColor="text1"/>
        </w:rPr>
        <w:t>型评价</w:t>
      </w:r>
      <w:proofErr w:type="gramEnd"/>
      <w:r w:rsidRPr="008A2411">
        <w:rPr>
          <w:rFonts w:eastAsia="黑体" w:hAnsi="Times New Roman" w:cs="Times New Roman"/>
          <w:b w:val="0"/>
          <w:color w:val="000000" w:themeColor="text1"/>
        </w:rPr>
        <w:t>工作等级划分表</w:t>
      </w:r>
    </w:p>
    <w:tbl>
      <w:tblPr>
        <w:tblStyle w:val="affff9"/>
        <w:tblW w:w="85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46"/>
        <w:gridCol w:w="845"/>
        <w:gridCol w:w="700"/>
        <w:gridCol w:w="841"/>
        <w:gridCol w:w="841"/>
        <w:gridCol w:w="701"/>
        <w:gridCol w:w="837"/>
        <w:gridCol w:w="695"/>
        <w:gridCol w:w="6"/>
        <w:gridCol w:w="706"/>
        <w:gridCol w:w="700"/>
      </w:tblGrid>
      <w:tr w:rsidR="008A2411" w:rsidRPr="008A2411" w14:paraId="693F31BA" w14:textId="77777777">
        <w:trPr>
          <w:trHeight w:val="90"/>
        </w:trPr>
        <w:tc>
          <w:tcPr>
            <w:tcW w:w="1646" w:type="dxa"/>
            <w:vMerge w:val="restart"/>
            <w:tcBorders>
              <w:tl2br w:val="single" w:sz="4" w:space="0" w:color="auto"/>
            </w:tcBorders>
            <w:vAlign w:val="center"/>
          </w:tcPr>
          <w:p w14:paraId="329F69DA" w14:textId="77777777" w:rsidR="00B0005F" w:rsidRPr="008A2411" w:rsidRDefault="00000000">
            <w:pPr>
              <w:pStyle w:val="afffffffff"/>
              <w:snapToGrid/>
              <w:spacing w:line="240" w:lineRule="auto"/>
              <w:jc w:val="right"/>
              <w:rPr>
                <w:rFonts w:eastAsiaTheme="minorEastAsia" w:hAnsi="Times New Roman" w:cs="Times New Roman"/>
                <w:b w:val="0"/>
                <w:color w:val="000000" w:themeColor="text1"/>
                <w:kern w:val="0"/>
                <w:sz w:val="21"/>
                <w:szCs w:val="21"/>
              </w:rPr>
            </w:pPr>
            <w:r w:rsidRPr="008A2411">
              <w:rPr>
                <w:rFonts w:eastAsiaTheme="minorEastAsia" w:hAnsi="Times New Roman" w:cs="Times New Roman"/>
                <w:b w:val="0"/>
                <w:color w:val="000000" w:themeColor="text1"/>
                <w:kern w:val="0"/>
                <w:sz w:val="21"/>
                <w:szCs w:val="21"/>
              </w:rPr>
              <w:t>·</w:t>
            </w:r>
            <w:r w:rsidRPr="008A2411">
              <w:rPr>
                <w:rFonts w:eastAsiaTheme="minorEastAsia" w:hAnsi="Times New Roman" w:cs="Times New Roman"/>
                <w:b w:val="0"/>
                <w:color w:val="000000" w:themeColor="text1"/>
                <w:kern w:val="0"/>
                <w:sz w:val="21"/>
                <w:szCs w:val="21"/>
              </w:rPr>
              <w:t>占地规模</w:t>
            </w:r>
          </w:p>
          <w:p w14:paraId="28AC919C" w14:textId="77777777" w:rsidR="00B0005F" w:rsidRPr="008A2411" w:rsidRDefault="00000000">
            <w:pPr>
              <w:pStyle w:val="afffffffff"/>
              <w:snapToGrid/>
              <w:spacing w:line="240" w:lineRule="auto"/>
              <w:rPr>
                <w:rFonts w:eastAsiaTheme="minorEastAsia" w:hAnsi="Times New Roman" w:cs="Times New Roman"/>
                <w:b w:val="0"/>
                <w:color w:val="000000" w:themeColor="text1"/>
                <w:kern w:val="0"/>
                <w:sz w:val="21"/>
                <w:szCs w:val="21"/>
              </w:rPr>
            </w:pPr>
            <w:r w:rsidRPr="008A2411">
              <w:rPr>
                <w:rFonts w:eastAsiaTheme="minorEastAsia" w:hAnsi="Times New Roman" w:cs="Times New Roman"/>
                <w:b w:val="0"/>
                <w:color w:val="000000" w:themeColor="text1"/>
                <w:kern w:val="0"/>
                <w:sz w:val="21"/>
                <w:szCs w:val="21"/>
              </w:rPr>
              <w:t>评价工作等级</w:t>
            </w:r>
          </w:p>
          <w:p w14:paraId="7F5AD719" w14:textId="77777777" w:rsidR="00B0005F" w:rsidRPr="008A2411" w:rsidRDefault="00000000">
            <w:pPr>
              <w:pStyle w:val="afffffffff"/>
              <w:snapToGrid/>
              <w:spacing w:line="240" w:lineRule="auto"/>
              <w:rPr>
                <w:rFonts w:eastAsiaTheme="minorEastAsia" w:hAnsi="Times New Roman" w:cs="Times New Roman"/>
                <w:b w:val="0"/>
                <w:color w:val="000000" w:themeColor="text1"/>
                <w:kern w:val="0"/>
                <w:sz w:val="21"/>
                <w:szCs w:val="21"/>
              </w:rPr>
            </w:pPr>
            <w:r w:rsidRPr="008A2411">
              <w:rPr>
                <w:rFonts w:eastAsiaTheme="minorEastAsia" w:hAnsi="Times New Roman" w:cs="Times New Roman"/>
                <w:b w:val="0"/>
                <w:color w:val="000000" w:themeColor="text1"/>
                <w:kern w:val="0"/>
                <w:sz w:val="21"/>
                <w:szCs w:val="21"/>
              </w:rPr>
              <w:t>敏感程度</w:t>
            </w:r>
          </w:p>
        </w:tc>
        <w:tc>
          <w:tcPr>
            <w:tcW w:w="2386" w:type="dxa"/>
            <w:gridSpan w:val="3"/>
            <w:vAlign w:val="center"/>
          </w:tcPr>
          <w:p w14:paraId="5AFADA95" w14:textId="77777777" w:rsidR="00B0005F" w:rsidRPr="008A2411" w:rsidRDefault="00000000">
            <w:pPr>
              <w:pStyle w:val="afffffffff"/>
              <w:snapToGrid/>
              <w:spacing w:line="240" w:lineRule="auto"/>
              <w:jc w:val="center"/>
              <w:rPr>
                <w:rFonts w:eastAsiaTheme="minorEastAsia" w:hAnsi="Times New Roman" w:cs="Times New Roman"/>
                <w:b w:val="0"/>
                <w:color w:val="000000" w:themeColor="text1"/>
                <w:kern w:val="0"/>
                <w:sz w:val="21"/>
                <w:szCs w:val="21"/>
              </w:rPr>
            </w:pPr>
            <w:r w:rsidRPr="008A2411">
              <w:rPr>
                <w:rFonts w:eastAsiaTheme="minorEastAsia" w:hAnsi="Times New Roman" w:cs="Times New Roman"/>
                <w:b w:val="0"/>
                <w:color w:val="000000" w:themeColor="text1"/>
                <w:kern w:val="0"/>
                <w:sz w:val="20"/>
                <w:szCs w:val="21"/>
              </w:rPr>
              <w:fldChar w:fldCharType="begin"/>
            </w:r>
            <w:r w:rsidRPr="008A2411">
              <w:rPr>
                <w:rFonts w:eastAsiaTheme="minorEastAsia" w:hAnsi="Times New Roman" w:cs="Times New Roman"/>
                <w:b w:val="0"/>
                <w:color w:val="000000" w:themeColor="text1"/>
                <w:kern w:val="0"/>
                <w:sz w:val="21"/>
                <w:szCs w:val="21"/>
              </w:rPr>
              <w:instrText xml:space="preserve"> = 1 \* ROMAN </w:instrText>
            </w:r>
            <w:r w:rsidRPr="008A2411">
              <w:rPr>
                <w:rFonts w:eastAsiaTheme="minorEastAsia" w:hAnsi="Times New Roman" w:cs="Times New Roman"/>
                <w:b w:val="0"/>
                <w:color w:val="000000" w:themeColor="text1"/>
                <w:kern w:val="0"/>
                <w:sz w:val="20"/>
                <w:szCs w:val="21"/>
              </w:rPr>
              <w:fldChar w:fldCharType="separate"/>
            </w:r>
            <w:r w:rsidRPr="008A2411">
              <w:rPr>
                <w:rFonts w:eastAsiaTheme="minorEastAsia" w:hAnsi="Times New Roman" w:cs="Times New Roman"/>
                <w:b w:val="0"/>
                <w:color w:val="000000" w:themeColor="text1"/>
                <w:kern w:val="0"/>
                <w:sz w:val="21"/>
                <w:szCs w:val="21"/>
              </w:rPr>
              <w:t>I</w:t>
            </w:r>
            <w:r w:rsidRPr="008A2411">
              <w:rPr>
                <w:rFonts w:eastAsiaTheme="minorEastAsia" w:hAnsi="Times New Roman" w:cs="Times New Roman"/>
                <w:b w:val="0"/>
                <w:color w:val="000000" w:themeColor="text1"/>
                <w:kern w:val="0"/>
                <w:sz w:val="20"/>
                <w:szCs w:val="21"/>
              </w:rPr>
              <w:fldChar w:fldCharType="end"/>
            </w:r>
            <w:r w:rsidRPr="008A2411">
              <w:rPr>
                <w:rFonts w:eastAsiaTheme="minorEastAsia" w:hAnsi="Times New Roman" w:cs="Times New Roman"/>
                <w:b w:val="0"/>
                <w:color w:val="000000" w:themeColor="text1"/>
                <w:kern w:val="0"/>
                <w:sz w:val="21"/>
                <w:szCs w:val="21"/>
              </w:rPr>
              <w:t>类</w:t>
            </w:r>
          </w:p>
        </w:tc>
        <w:tc>
          <w:tcPr>
            <w:tcW w:w="2379" w:type="dxa"/>
            <w:gridSpan w:val="3"/>
            <w:vAlign w:val="center"/>
          </w:tcPr>
          <w:p w14:paraId="64A073BF" w14:textId="77777777" w:rsidR="00B0005F" w:rsidRPr="008A2411" w:rsidRDefault="00000000">
            <w:pPr>
              <w:pStyle w:val="afffffffff"/>
              <w:snapToGrid/>
              <w:spacing w:line="240" w:lineRule="auto"/>
              <w:jc w:val="center"/>
              <w:rPr>
                <w:rFonts w:eastAsiaTheme="minorEastAsia" w:hAnsi="Times New Roman" w:cs="Times New Roman"/>
                <w:b w:val="0"/>
                <w:color w:val="000000" w:themeColor="text1"/>
                <w:kern w:val="0"/>
                <w:sz w:val="21"/>
                <w:szCs w:val="21"/>
              </w:rPr>
            </w:pPr>
            <w:r w:rsidRPr="008A2411">
              <w:rPr>
                <w:rFonts w:eastAsiaTheme="minorEastAsia" w:hAnsi="Times New Roman" w:cs="Times New Roman"/>
                <w:b w:val="0"/>
                <w:color w:val="000000" w:themeColor="text1"/>
                <w:kern w:val="0"/>
                <w:sz w:val="20"/>
                <w:szCs w:val="21"/>
              </w:rPr>
              <w:fldChar w:fldCharType="begin"/>
            </w:r>
            <w:r w:rsidRPr="008A2411">
              <w:rPr>
                <w:rFonts w:eastAsiaTheme="minorEastAsia" w:hAnsi="Times New Roman" w:cs="Times New Roman"/>
                <w:b w:val="0"/>
                <w:color w:val="000000" w:themeColor="text1"/>
                <w:kern w:val="0"/>
                <w:sz w:val="21"/>
                <w:szCs w:val="21"/>
              </w:rPr>
              <w:instrText xml:space="preserve"> = 2 \* ROMAN </w:instrText>
            </w:r>
            <w:r w:rsidRPr="008A2411">
              <w:rPr>
                <w:rFonts w:eastAsiaTheme="minorEastAsia" w:hAnsi="Times New Roman" w:cs="Times New Roman"/>
                <w:b w:val="0"/>
                <w:color w:val="000000" w:themeColor="text1"/>
                <w:kern w:val="0"/>
                <w:sz w:val="20"/>
                <w:szCs w:val="21"/>
              </w:rPr>
              <w:fldChar w:fldCharType="separate"/>
            </w:r>
            <w:r w:rsidRPr="008A2411">
              <w:rPr>
                <w:rFonts w:eastAsiaTheme="minorEastAsia" w:hAnsi="Times New Roman" w:cs="Times New Roman"/>
                <w:b w:val="0"/>
                <w:color w:val="000000" w:themeColor="text1"/>
                <w:kern w:val="0"/>
                <w:sz w:val="21"/>
                <w:szCs w:val="21"/>
              </w:rPr>
              <w:t>II</w:t>
            </w:r>
            <w:r w:rsidRPr="008A2411">
              <w:rPr>
                <w:rFonts w:eastAsiaTheme="minorEastAsia" w:hAnsi="Times New Roman" w:cs="Times New Roman"/>
                <w:b w:val="0"/>
                <w:color w:val="000000" w:themeColor="text1"/>
                <w:kern w:val="0"/>
                <w:sz w:val="20"/>
                <w:szCs w:val="21"/>
              </w:rPr>
              <w:fldChar w:fldCharType="end"/>
            </w:r>
            <w:r w:rsidRPr="008A2411">
              <w:rPr>
                <w:rFonts w:eastAsiaTheme="minorEastAsia" w:hAnsi="Times New Roman" w:cs="Times New Roman"/>
                <w:b w:val="0"/>
                <w:color w:val="000000" w:themeColor="text1"/>
                <w:kern w:val="0"/>
                <w:sz w:val="21"/>
                <w:szCs w:val="21"/>
              </w:rPr>
              <w:t>类</w:t>
            </w:r>
          </w:p>
        </w:tc>
        <w:tc>
          <w:tcPr>
            <w:tcW w:w="2107" w:type="dxa"/>
            <w:gridSpan w:val="4"/>
            <w:vAlign w:val="center"/>
          </w:tcPr>
          <w:p w14:paraId="7A855C9F" w14:textId="77777777" w:rsidR="00B0005F" w:rsidRPr="008A2411" w:rsidRDefault="00000000">
            <w:pPr>
              <w:pStyle w:val="afffffffff"/>
              <w:snapToGrid/>
              <w:spacing w:line="240" w:lineRule="auto"/>
              <w:jc w:val="center"/>
              <w:rPr>
                <w:rFonts w:eastAsiaTheme="minorEastAsia" w:hAnsi="Times New Roman" w:cs="Times New Roman"/>
                <w:b w:val="0"/>
                <w:color w:val="000000" w:themeColor="text1"/>
                <w:kern w:val="0"/>
                <w:sz w:val="21"/>
                <w:szCs w:val="21"/>
              </w:rPr>
            </w:pPr>
            <w:r w:rsidRPr="008A2411">
              <w:rPr>
                <w:rFonts w:eastAsiaTheme="minorEastAsia" w:hAnsi="Times New Roman" w:cs="Times New Roman"/>
                <w:b w:val="0"/>
                <w:color w:val="000000" w:themeColor="text1"/>
                <w:kern w:val="0"/>
                <w:sz w:val="20"/>
                <w:szCs w:val="21"/>
              </w:rPr>
              <w:fldChar w:fldCharType="begin"/>
            </w:r>
            <w:r w:rsidRPr="008A2411">
              <w:rPr>
                <w:rFonts w:eastAsiaTheme="minorEastAsia" w:hAnsi="Times New Roman" w:cs="Times New Roman"/>
                <w:b w:val="0"/>
                <w:color w:val="000000" w:themeColor="text1"/>
                <w:kern w:val="0"/>
                <w:sz w:val="21"/>
                <w:szCs w:val="21"/>
              </w:rPr>
              <w:instrText xml:space="preserve"> = 3 \* ROMAN </w:instrText>
            </w:r>
            <w:r w:rsidRPr="008A2411">
              <w:rPr>
                <w:rFonts w:eastAsiaTheme="minorEastAsia" w:hAnsi="Times New Roman" w:cs="Times New Roman"/>
                <w:b w:val="0"/>
                <w:color w:val="000000" w:themeColor="text1"/>
                <w:kern w:val="0"/>
                <w:sz w:val="20"/>
                <w:szCs w:val="21"/>
              </w:rPr>
              <w:fldChar w:fldCharType="separate"/>
            </w:r>
            <w:r w:rsidRPr="008A2411">
              <w:rPr>
                <w:rFonts w:eastAsiaTheme="minorEastAsia" w:hAnsi="Times New Roman" w:cs="Times New Roman"/>
                <w:b w:val="0"/>
                <w:color w:val="000000" w:themeColor="text1"/>
                <w:kern w:val="0"/>
                <w:sz w:val="21"/>
                <w:szCs w:val="21"/>
              </w:rPr>
              <w:t>III</w:t>
            </w:r>
            <w:r w:rsidRPr="008A2411">
              <w:rPr>
                <w:rFonts w:eastAsiaTheme="minorEastAsia" w:hAnsi="Times New Roman" w:cs="Times New Roman"/>
                <w:b w:val="0"/>
                <w:color w:val="000000" w:themeColor="text1"/>
                <w:kern w:val="0"/>
                <w:sz w:val="20"/>
                <w:szCs w:val="21"/>
              </w:rPr>
              <w:fldChar w:fldCharType="end"/>
            </w:r>
            <w:r w:rsidRPr="008A2411">
              <w:rPr>
                <w:rFonts w:eastAsiaTheme="minorEastAsia" w:hAnsi="Times New Roman" w:cs="Times New Roman"/>
                <w:b w:val="0"/>
                <w:color w:val="000000" w:themeColor="text1"/>
                <w:kern w:val="0"/>
                <w:sz w:val="21"/>
                <w:szCs w:val="21"/>
              </w:rPr>
              <w:t>类</w:t>
            </w:r>
          </w:p>
        </w:tc>
      </w:tr>
      <w:tr w:rsidR="008A2411" w:rsidRPr="008A2411" w14:paraId="11DE75C7" w14:textId="77777777">
        <w:trPr>
          <w:trHeight w:val="487"/>
        </w:trPr>
        <w:tc>
          <w:tcPr>
            <w:tcW w:w="1646" w:type="dxa"/>
            <w:vMerge/>
            <w:tcBorders>
              <w:tl2br w:val="single" w:sz="4" w:space="0" w:color="auto"/>
            </w:tcBorders>
            <w:vAlign w:val="center"/>
          </w:tcPr>
          <w:p w14:paraId="3863910D" w14:textId="77777777" w:rsidR="00B0005F" w:rsidRPr="008A2411" w:rsidRDefault="00B0005F">
            <w:pPr>
              <w:pStyle w:val="afffffffff"/>
              <w:snapToGrid/>
              <w:spacing w:line="240" w:lineRule="auto"/>
              <w:rPr>
                <w:rFonts w:eastAsiaTheme="minorEastAsia" w:hAnsi="Times New Roman" w:cs="Times New Roman"/>
                <w:b w:val="0"/>
                <w:color w:val="000000" w:themeColor="text1"/>
                <w:kern w:val="0"/>
                <w:sz w:val="21"/>
                <w:szCs w:val="21"/>
              </w:rPr>
            </w:pPr>
          </w:p>
        </w:tc>
        <w:tc>
          <w:tcPr>
            <w:tcW w:w="845" w:type="dxa"/>
            <w:vAlign w:val="center"/>
          </w:tcPr>
          <w:p w14:paraId="5EC06973" w14:textId="77777777" w:rsidR="00B0005F" w:rsidRPr="008A2411" w:rsidRDefault="00000000">
            <w:pPr>
              <w:pStyle w:val="afffffffff"/>
              <w:snapToGrid/>
              <w:spacing w:line="240" w:lineRule="auto"/>
              <w:rPr>
                <w:rFonts w:eastAsiaTheme="minorEastAsia" w:hAnsi="Times New Roman" w:cs="Times New Roman"/>
                <w:b w:val="0"/>
                <w:color w:val="000000" w:themeColor="text1"/>
                <w:kern w:val="0"/>
                <w:sz w:val="21"/>
                <w:szCs w:val="21"/>
              </w:rPr>
            </w:pPr>
            <w:r w:rsidRPr="008A2411">
              <w:rPr>
                <w:rFonts w:eastAsiaTheme="minorEastAsia" w:hAnsi="Times New Roman" w:cs="Times New Roman"/>
                <w:b w:val="0"/>
                <w:color w:val="000000" w:themeColor="text1"/>
                <w:kern w:val="0"/>
                <w:sz w:val="21"/>
                <w:szCs w:val="21"/>
              </w:rPr>
              <w:t>大</w:t>
            </w:r>
          </w:p>
        </w:tc>
        <w:tc>
          <w:tcPr>
            <w:tcW w:w="700" w:type="dxa"/>
            <w:vAlign w:val="center"/>
          </w:tcPr>
          <w:p w14:paraId="169A56CB" w14:textId="77777777" w:rsidR="00B0005F" w:rsidRPr="008A2411" w:rsidRDefault="00000000">
            <w:pPr>
              <w:pStyle w:val="afffffffff"/>
              <w:snapToGrid/>
              <w:spacing w:line="240" w:lineRule="auto"/>
              <w:rPr>
                <w:rFonts w:eastAsiaTheme="minorEastAsia" w:hAnsi="Times New Roman" w:cs="Times New Roman"/>
                <w:b w:val="0"/>
                <w:color w:val="000000" w:themeColor="text1"/>
                <w:kern w:val="0"/>
                <w:sz w:val="21"/>
                <w:szCs w:val="21"/>
              </w:rPr>
            </w:pPr>
            <w:r w:rsidRPr="008A2411">
              <w:rPr>
                <w:rFonts w:eastAsiaTheme="minorEastAsia" w:hAnsi="Times New Roman" w:cs="Times New Roman"/>
                <w:b w:val="0"/>
                <w:color w:val="000000" w:themeColor="text1"/>
                <w:kern w:val="0"/>
                <w:sz w:val="21"/>
                <w:szCs w:val="21"/>
              </w:rPr>
              <w:t>中</w:t>
            </w:r>
          </w:p>
        </w:tc>
        <w:tc>
          <w:tcPr>
            <w:tcW w:w="841" w:type="dxa"/>
            <w:vAlign w:val="center"/>
          </w:tcPr>
          <w:p w14:paraId="3A006072" w14:textId="77777777" w:rsidR="00B0005F" w:rsidRPr="008A2411" w:rsidRDefault="00000000">
            <w:pPr>
              <w:pStyle w:val="afffffffff"/>
              <w:snapToGrid/>
              <w:spacing w:line="240" w:lineRule="auto"/>
              <w:rPr>
                <w:rFonts w:eastAsiaTheme="minorEastAsia" w:hAnsi="Times New Roman" w:cs="Times New Roman"/>
                <w:b w:val="0"/>
                <w:color w:val="000000" w:themeColor="text1"/>
                <w:kern w:val="0"/>
                <w:sz w:val="21"/>
                <w:szCs w:val="21"/>
              </w:rPr>
            </w:pPr>
            <w:r w:rsidRPr="008A2411">
              <w:rPr>
                <w:rFonts w:eastAsiaTheme="minorEastAsia" w:hAnsi="Times New Roman" w:cs="Times New Roman"/>
                <w:b w:val="0"/>
                <w:color w:val="000000" w:themeColor="text1"/>
                <w:kern w:val="0"/>
                <w:sz w:val="21"/>
                <w:szCs w:val="21"/>
              </w:rPr>
              <w:t>小</w:t>
            </w:r>
          </w:p>
        </w:tc>
        <w:tc>
          <w:tcPr>
            <w:tcW w:w="841" w:type="dxa"/>
            <w:vAlign w:val="center"/>
          </w:tcPr>
          <w:p w14:paraId="3B80BFD2" w14:textId="77777777" w:rsidR="00B0005F" w:rsidRPr="008A2411" w:rsidRDefault="00000000">
            <w:pPr>
              <w:pStyle w:val="afffffffff"/>
              <w:snapToGrid/>
              <w:spacing w:line="240" w:lineRule="auto"/>
              <w:rPr>
                <w:rFonts w:eastAsiaTheme="minorEastAsia" w:hAnsi="Times New Roman" w:cs="Times New Roman"/>
                <w:b w:val="0"/>
                <w:color w:val="000000" w:themeColor="text1"/>
                <w:kern w:val="0"/>
                <w:sz w:val="21"/>
                <w:szCs w:val="21"/>
              </w:rPr>
            </w:pPr>
            <w:r w:rsidRPr="008A2411">
              <w:rPr>
                <w:rFonts w:eastAsiaTheme="minorEastAsia" w:hAnsi="Times New Roman" w:cs="Times New Roman"/>
                <w:b w:val="0"/>
                <w:color w:val="000000" w:themeColor="text1"/>
                <w:kern w:val="0"/>
                <w:sz w:val="21"/>
                <w:szCs w:val="21"/>
              </w:rPr>
              <w:t>大</w:t>
            </w:r>
          </w:p>
        </w:tc>
        <w:tc>
          <w:tcPr>
            <w:tcW w:w="701" w:type="dxa"/>
            <w:vAlign w:val="center"/>
          </w:tcPr>
          <w:p w14:paraId="554B9CED" w14:textId="77777777" w:rsidR="00B0005F" w:rsidRPr="008A2411" w:rsidRDefault="00000000">
            <w:pPr>
              <w:pStyle w:val="afffffffff"/>
              <w:snapToGrid/>
              <w:spacing w:line="240" w:lineRule="auto"/>
              <w:rPr>
                <w:rFonts w:eastAsiaTheme="minorEastAsia" w:hAnsi="Times New Roman" w:cs="Times New Roman"/>
                <w:bCs/>
                <w:color w:val="000000" w:themeColor="text1"/>
                <w:kern w:val="0"/>
                <w:sz w:val="21"/>
                <w:szCs w:val="21"/>
              </w:rPr>
            </w:pPr>
            <w:r w:rsidRPr="008A2411">
              <w:rPr>
                <w:rFonts w:eastAsiaTheme="minorEastAsia" w:hAnsi="Times New Roman" w:cs="Times New Roman"/>
                <w:bCs/>
                <w:color w:val="000000" w:themeColor="text1"/>
                <w:kern w:val="0"/>
                <w:sz w:val="21"/>
                <w:szCs w:val="21"/>
              </w:rPr>
              <w:t>中</w:t>
            </w:r>
          </w:p>
        </w:tc>
        <w:tc>
          <w:tcPr>
            <w:tcW w:w="837" w:type="dxa"/>
            <w:vAlign w:val="center"/>
          </w:tcPr>
          <w:p w14:paraId="50D00E6F" w14:textId="77777777" w:rsidR="00B0005F" w:rsidRPr="008A2411" w:rsidRDefault="00000000">
            <w:pPr>
              <w:pStyle w:val="afffffffff"/>
              <w:snapToGrid/>
              <w:spacing w:line="240" w:lineRule="auto"/>
              <w:jc w:val="center"/>
              <w:rPr>
                <w:rFonts w:eastAsiaTheme="minorEastAsia" w:hAnsi="Times New Roman" w:cs="Times New Roman"/>
                <w:b w:val="0"/>
                <w:color w:val="000000" w:themeColor="text1"/>
                <w:kern w:val="0"/>
                <w:sz w:val="21"/>
                <w:szCs w:val="21"/>
              </w:rPr>
            </w:pPr>
            <w:r w:rsidRPr="008A2411">
              <w:rPr>
                <w:rFonts w:eastAsiaTheme="minorEastAsia" w:hAnsi="Times New Roman" w:cs="Times New Roman"/>
                <w:b w:val="0"/>
                <w:color w:val="000000" w:themeColor="text1"/>
                <w:kern w:val="0"/>
                <w:sz w:val="21"/>
                <w:szCs w:val="21"/>
              </w:rPr>
              <w:t>小</w:t>
            </w:r>
          </w:p>
        </w:tc>
        <w:tc>
          <w:tcPr>
            <w:tcW w:w="695" w:type="dxa"/>
            <w:vAlign w:val="center"/>
          </w:tcPr>
          <w:p w14:paraId="58C68619" w14:textId="77777777" w:rsidR="00B0005F" w:rsidRPr="008A2411" w:rsidRDefault="00000000">
            <w:pPr>
              <w:pStyle w:val="afffffffff"/>
              <w:snapToGrid/>
              <w:spacing w:line="240" w:lineRule="auto"/>
              <w:rPr>
                <w:rFonts w:eastAsiaTheme="minorEastAsia" w:hAnsi="Times New Roman" w:cs="Times New Roman"/>
                <w:b w:val="0"/>
                <w:color w:val="000000" w:themeColor="text1"/>
                <w:kern w:val="0"/>
                <w:sz w:val="21"/>
                <w:szCs w:val="21"/>
              </w:rPr>
            </w:pPr>
            <w:r w:rsidRPr="008A2411">
              <w:rPr>
                <w:rFonts w:eastAsiaTheme="minorEastAsia" w:hAnsi="Times New Roman" w:cs="Times New Roman"/>
                <w:b w:val="0"/>
                <w:color w:val="000000" w:themeColor="text1"/>
                <w:kern w:val="0"/>
                <w:sz w:val="21"/>
                <w:szCs w:val="21"/>
              </w:rPr>
              <w:t>大</w:t>
            </w:r>
          </w:p>
        </w:tc>
        <w:tc>
          <w:tcPr>
            <w:tcW w:w="712" w:type="dxa"/>
            <w:gridSpan w:val="2"/>
            <w:vAlign w:val="center"/>
          </w:tcPr>
          <w:p w14:paraId="53135BC0" w14:textId="77777777" w:rsidR="00B0005F" w:rsidRPr="008A2411" w:rsidRDefault="00000000">
            <w:pPr>
              <w:pStyle w:val="afffffffff"/>
              <w:snapToGrid/>
              <w:spacing w:line="240" w:lineRule="auto"/>
              <w:rPr>
                <w:rFonts w:eastAsiaTheme="minorEastAsia" w:hAnsi="Times New Roman" w:cs="Times New Roman"/>
                <w:b w:val="0"/>
                <w:color w:val="000000" w:themeColor="text1"/>
                <w:kern w:val="0"/>
                <w:sz w:val="21"/>
                <w:szCs w:val="21"/>
              </w:rPr>
            </w:pPr>
            <w:r w:rsidRPr="008A2411">
              <w:rPr>
                <w:rFonts w:eastAsiaTheme="minorEastAsia" w:hAnsi="Times New Roman" w:cs="Times New Roman"/>
                <w:b w:val="0"/>
                <w:color w:val="000000" w:themeColor="text1"/>
                <w:kern w:val="0"/>
                <w:sz w:val="21"/>
                <w:szCs w:val="21"/>
              </w:rPr>
              <w:t>中</w:t>
            </w:r>
          </w:p>
        </w:tc>
        <w:tc>
          <w:tcPr>
            <w:tcW w:w="700" w:type="dxa"/>
            <w:vAlign w:val="center"/>
          </w:tcPr>
          <w:p w14:paraId="28B3B975" w14:textId="77777777" w:rsidR="00B0005F" w:rsidRPr="008A2411" w:rsidRDefault="00000000">
            <w:pPr>
              <w:pStyle w:val="afffffffff"/>
              <w:snapToGrid/>
              <w:spacing w:line="240" w:lineRule="auto"/>
              <w:rPr>
                <w:rFonts w:eastAsiaTheme="minorEastAsia" w:hAnsi="Times New Roman" w:cs="Times New Roman"/>
                <w:b w:val="0"/>
                <w:color w:val="000000" w:themeColor="text1"/>
                <w:kern w:val="0"/>
                <w:sz w:val="21"/>
                <w:szCs w:val="21"/>
              </w:rPr>
            </w:pPr>
            <w:r w:rsidRPr="008A2411">
              <w:rPr>
                <w:rFonts w:eastAsiaTheme="minorEastAsia" w:hAnsi="Times New Roman" w:cs="Times New Roman"/>
                <w:b w:val="0"/>
                <w:color w:val="000000" w:themeColor="text1"/>
                <w:kern w:val="0"/>
                <w:sz w:val="21"/>
                <w:szCs w:val="21"/>
              </w:rPr>
              <w:t>小</w:t>
            </w:r>
          </w:p>
        </w:tc>
      </w:tr>
      <w:tr w:rsidR="008A2411" w:rsidRPr="008A2411" w14:paraId="77DE6D01" w14:textId="77777777">
        <w:trPr>
          <w:trHeight w:val="90"/>
        </w:trPr>
        <w:tc>
          <w:tcPr>
            <w:tcW w:w="1646" w:type="dxa"/>
            <w:vAlign w:val="center"/>
          </w:tcPr>
          <w:p w14:paraId="1E591695" w14:textId="77777777" w:rsidR="00B0005F" w:rsidRPr="008A2411" w:rsidRDefault="00000000">
            <w:pPr>
              <w:pStyle w:val="afffffffff"/>
              <w:snapToGrid/>
              <w:spacing w:line="240" w:lineRule="auto"/>
              <w:rPr>
                <w:rFonts w:eastAsiaTheme="minorEastAsia" w:hAnsi="Times New Roman" w:cs="Times New Roman"/>
                <w:b w:val="0"/>
                <w:color w:val="000000" w:themeColor="text1"/>
                <w:kern w:val="0"/>
                <w:sz w:val="21"/>
                <w:szCs w:val="21"/>
              </w:rPr>
            </w:pPr>
            <w:r w:rsidRPr="008A2411">
              <w:rPr>
                <w:rFonts w:eastAsiaTheme="minorEastAsia" w:hAnsi="Times New Roman" w:cs="Times New Roman"/>
                <w:b w:val="0"/>
                <w:color w:val="000000" w:themeColor="text1"/>
                <w:kern w:val="0"/>
                <w:sz w:val="21"/>
                <w:szCs w:val="21"/>
              </w:rPr>
              <w:t>敏感</w:t>
            </w:r>
          </w:p>
        </w:tc>
        <w:tc>
          <w:tcPr>
            <w:tcW w:w="845" w:type="dxa"/>
            <w:vAlign w:val="center"/>
          </w:tcPr>
          <w:p w14:paraId="5AC409F3" w14:textId="77777777" w:rsidR="00B0005F" w:rsidRPr="008A2411" w:rsidRDefault="00000000">
            <w:pPr>
              <w:pStyle w:val="afffffffff"/>
              <w:snapToGrid/>
              <w:spacing w:line="240" w:lineRule="auto"/>
              <w:rPr>
                <w:rFonts w:eastAsiaTheme="minorEastAsia" w:hAnsi="Times New Roman" w:cs="Times New Roman"/>
                <w:b w:val="0"/>
                <w:color w:val="000000" w:themeColor="text1"/>
                <w:kern w:val="0"/>
                <w:sz w:val="21"/>
                <w:szCs w:val="21"/>
              </w:rPr>
            </w:pPr>
            <w:r w:rsidRPr="008A2411">
              <w:rPr>
                <w:rFonts w:eastAsiaTheme="minorEastAsia" w:hAnsi="Times New Roman" w:cs="Times New Roman"/>
                <w:b w:val="0"/>
                <w:color w:val="000000" w:themeColor="text1"/>
                <w:kern w:val="0"/>
                <w:sz w:val="21"/>
                <w:szCs w:val="21"/>
              </w:rPr>
              <w:t>一级</w:t>
            </w:r>
          </w:p>
        </w:tc>
        <w:tc>
          <w:tcPr>
            <w:tcW w:w="700" w:type="dxa"/>
            <w:vAlign w:val="center"/>
          </w:tcPr>
          <w:p w14:paraId="2DBE957B" w14:textId="77777777" w:rsidR="00B0005F" w:rsidRPr="008A2411" w:rsidRDefault="00000000">
            <w:pPr>
              <w:adjustRightIn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一级</w:t>
            </w:r>
          </w:p>
        </w:tc>
        <w:tc>
          <w:tcPr>
            <w:tcW w:w="841" w:type="dxa"/>
            <w:vAlign w:val="center"/>
          </w:tcPr>
          <w:p w14:paraId="0379603C" w14:textId="77777777" w:rsidR="00B0005F" w:rsidRPr="008A2411" w:rsidRDefault="00000000">
            <w:pPr>
              <w:adjustRightIn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一级</w:t>
            </w:r>
          </w:p>
        </w:tc>
        <w:tc>
          <w:tcPr>
            <w:tcW w:w="841" w:type="dxa"/>
            <w:vAlign w:val="center"/>
          </w:tcPr>
          <w:p w14:paraId="626D9B63" w14:textId="77777777" w:rsidR="00B0005F" w:rsidRPr="008A2411" w:rsidRDefault="00000000">
            <w:pPr>
              <w:pStyle w:val="afffffffff"/>
              <w:snapToGrid/>
              <w:spacing w:line="240" w:lineRule="auto"/>
              <w:rPr>
                <w:rFonts w:eastAsiaTheme="minorEastAsia" w:hAnsi="Times New Roman" w:cs="Times New Roman"/>
                <w:b w:val="0"/>
                <w:color w:val="000000" w:themeColor="text1"/>
                <w:kern w:val="0"/>
                <w:sz w:val="21"/>
                <w:szCs w:val="21"/>
              </w:rPr>
            </w:pPr>
            <w:r w:rsidRPr="008A2411">
              <w:rPr>
                <w:rFonts w:eastAsiaTheme="minorEastAsia" w:hAnsi="Times New Roman" w:cs="Times New Roman"/>
                <w:b w:val="0"/>
                <w:color w:val="000000" w:themeColor="text1"/>
                <w:kern w:val="0"/>
                <w:sz w:val="21"/>
                <w:szCs w:val="21"/>
              </w:rPr>
              <w:t>二级</w:t>
            </w:r>
          </w:p>
        </w:tc>
        <w:tc>
          <w:tcPr>
            <w:tcW w:w="701" w:type="dxa"/>
            <w:vAlign w:val="center"/>
          </w:tcPr>
          <w:p w14:paraId="21EF0AA5" w14:textId="77777777" w:rsidR="00B0005F" w:rsidRPr="008A2411" w:rsidRDefault="00000000">
            <w:pPr>
              <w:adjustRightInd w:val="0"/>
              <w:jc w:val="center"/>
              <w:rPr>
                <w:rFonts w:ascii="Times New Roman" w:eastAsiaTheme="minorEastAsia"/>
                <w:b/>
                <w:bCs/>
                <w:color w:val="000000" w:themeColor="text1"/>
                <w:sz w:val="21"/>
                <w:szCs w:val="21"/>
              </w:rPr>
            </w:pPr>
            <w:r w:rsidRPr="008A2411">
              <w:rPr>
                <w:rFonts w:ascii="Times New Roman" w:eastAsiaTheme="minorEastAsia"/>
                <w:b/>
                <w:bCs/>
                <w:color w:val="000000" w:themeColor="text1"/>
                <w:sz w:val="21"/>
                <w:szCs w:val="21"/>
              </w:rPr>
              <w:t>二级</w:t>
            </w:r>
          </w:p>
        </w:tc>
        <w:tc>
          <w:tcPr>
            <w:tcW w:w="837" w:type="dxa"/>
            <w:vAlign w:val="center"/>
          </w:tcPr>
          <w:p w14:paraId="6A782212" w14:textId="77777777" w:rsidR="00B0005F" w:rsidRPr="008A2411" w:rsidRDefault="00000000">
            <w:pPr>
              <w:adjustRightIn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二级</w:t>
            </w:r>
          </w:p>
        </w:tc>
        <w:tc>
          <w:tcPr>
            <w:tcW w:w="701" w:type="dxa"/>
            <w:gridSpan w:val="2"/>
            <w:vAlign w:val="center"/>
          </w:tcPr>
          <w:p w14:paraId="1DC00D58" w14:textId="77777777" w:rsidR="00B0005F" w:rsidRPr="008A2411" w:rsidRDefault="00000000">
            <w:pPr>
              <w:pStyle w:val="afffffffff"/>
              <w:snapToGrid/>
              <w:spacing w:line="240" w:lineRule="auto"/>
              <w:rPr>
                <w:rFonts w:eastAsiaTheme="minorEastAsia" w:hAnsi="Times New Roman" w:cs="Times New Roman"/>
                <w:b w:val="0"/>
                <w:color w:val="000000" w:themeColor="text1"/>
                <w:kern w:val="0"/>
                <w:sz w:val="21"/>
                <w:szCs w:val="21"/>
              </w:rPr>
            </w:pPr>
            <w:r w:rsidRPr="008A2411">
              <w:rPr>
                <w:rFonts w:eastAsiaTheme="minorEastAsia" w:hAnsi="Times New Roman" w:cs="Times New Roman"/>
                <w:b w:val="0"/>
                <w:color w:val="000000" w:themeColor="text1"/>
                <w:kern w:val="0"/>
                <w:sz w:val="21"/>
                <w:szCs w:val="21"/>
              </w:rPr>
              <w:t>三级</w:t>
            </w:r>
          </w:p>
        </w:tc>
        <w:tc>
          <w:tcPr>
            <w:tcW w:w="706" w:type="dxa"/>
            <w:vAlign w:val="center"/>
          </w:tcPr>
          <w:p w14:paraId="6BCCA5A9" w14:textId="77777777" w:rsidR="00B0005F" w:rsidRPr="008A2411" w:rsidRDefault="00000000">
            <w:pPr>
              <w:pStyle w:val="afffffffff"/>
              <w:snapToGrid/>
              <w:spacing w:line="240" w:lineRule="auto"/>
              <w:rPr>
                <w:rFonts w:eastAsiaTheme="minorEastAsia" w:hAnsi="Times New Roman" w:cs="Times New Roman"/>
                <w:b w:val="0"/>
                <w:color w:val="000000" w:themeColor="text1"/>
                <w:kern w:val="0"/>
                <w:sz w:val="21"/>
                <w:szCs w:val="21"/>
              </w:rPr>
            </w:pPr>
            <w:r w:rsidRPr="008A2411">
              <w:rPr>
                <w:rFonts w:eastAsiaTheme="minorEastAsia" w:hAnsi="Times New Roman" w:cs="Times New Roman"/>
                <w:b w:val="0"/>
                <w:color w:val="000000" w:themeColor="text1"/>
                <w:kern w:val="0"/>
                <w:sz w:val="21"/>
                <w:szCs w:val="21"/>
              </w:rPr>
              <w:t>三级</w:t>
            </w:r>
          </w:p>
        </w:tc>
        <w:tc>
          <w:tcPr>
            <w:tcW w:w="700" w:type="dxa"/>
            <w:vAlign w:val="center"/>
          </w:tcPr>
          <w:p w14:paraId="24FC232E" w14:textId="77777777" w:rsidR="00B0005F" w:rsidRPr="008A2411" w:rsidRDefault="00000000">
            <w:pPr>
              <w:pStyle w:val="afffffffff"/>
              <w:snapToGrid/>
              <w:spacing w:line="240" w:lineRule="auto"/>
              <w:rPr>
                <w:rFonts w:eastAsiaTheme="minorEastAsia" w:hAnsi="Times New Roman" w:cs="Times New Roman"/>
                <w:b w:val="0"/>
                <w:color w:val="000000" w:themeColor="text1"/>
                <w:kern w:val="0"/>
                <w:sz w:val="21"/>
                <w:szCs w:val="21"/>
              </w:rPr>
            </w:pPr>
            <w:r w:rsidRPr="008A2411">
              <w:rPr>
                <w:rFonts w:eastAsiaTheme="minorEastAsia" w:hAnsi="Times New Roman" w:cs="Times New Roman"/>
                <w:b w:val="0"/>
                <w:color w:val="000000" w:themeColor="text1"/>
                <w:kern w:val="0"/>
                <w:sz w:val="21"/>
                <w:szCs w:val="21"/>
              </w:rPr>
              <w:t>三级</w:t>
            </w:r>
          </w:p>
        </w:tc>
      </w:tr>
      <w:tr w:rsidR="008A2411" w:rsidRPr="008A2411" w14:paraId="427FBE3F" w14:textId="77777777">
        <w:trPr>
          <w:trHeight w:val="90"/>
        </w:trPr>
        <w:tc>
          <w:tcPr>
            <w:tcW w:w="1646" w:type="dxa"/>
            <w:vAlign w:val="center"/>
          </w:tcPr>
          <w:p w14:paraId="2B08C2A4" w14:textId="77777777" w:rsidR="00B0005F" w:rsidRPr="008A2411" w:rsidRDefault="00000000">
            <w:pPr>
              <w:pStyle w:val="afffffffff"/>
              <w:snapToGrid/>
              <w:spacing w:line="240" w:lineRule="auto"/>
              <w:rPr>
                <w:rFonts w:eastAsiaTheme="minorEastAsia" w:hAnsi="Times New Roman" w:cs="Times New Roman"/>
                <w:b w:val="0"/>
                <w:color w:val="000000" w:themeColor="text1"/>
                <w:kern w:val="0"/>
                <w:sz w:val="21"/>
                <w:szCs w:val="21"/>
              </w:rPr>
            </w:pPr>
            <w:r w:rsidRPr="008A2411">
              <w:rPr>
                <w:rFonts w:eastAsiaTheme="minorEastAsia" w:hAnsi="Times New Roman" w:cs="Times New Roman"/>
                <w:b w:val="0"/>
                <w:color w:val="000000" w:themeColor="text1"/>
                <w:kern w:val="0"/>
                <w:sz w:val="21"/>
                <w:szCs w:val="21"/>
              </w:rPr>
              <w:t>较敏感</w:t>
            </w:r>
          </w:p>
        </w:tc>
        <w:tc>
          <w:tcPr>
            <w:tcW w:w="845" w:type="dxa"/>
            <w:vAlign w:val="center"/>
          </w:tcPr>
          <w:p w14:paraId="0A1FCA0D" w14:textId="77777777" w:rsidR="00B0005F" w:rsidRPr="008A2411" w:rsidRDefault="00000000">
            <w:pPr>
              <w:adjustRightIn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一级</w:t>
            </w:r>
          </w:p>
        </w:tc>
        <w:tc>
          <w:tcPr>
            <w:tcW w:w="700" w:type="dxa"/>
            <w:vAlign w:val="center"/>
          </w:tcPr>
          <w:p w14:paraId="0096F83E" w14:textId="77777777" w:rsidR="00B0005F" w:rsidRPr="008A2411" w:rsidRDefault="00000000">
            <w:pPr>
              <w:adjustRightIn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一级</w:t>
            </w:r>
          </w:p>
        </w:tc>
        <w:tc>
          <w:tcPr>
            <w:tcW w:w="841" w:type="dxa"/>
            <w:vAlign w:val="center"/>
          </w:tcPr>
          <w:p w14:paraId="3ABE19BF" w14:textId="77777777" w:rsidR="00B0005F" w:rsidRPr="008A2411" w:rsidRDefault="00000000">
            <w:pPr>
              <w:adjustRightIn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二级</w:t>
            </w:r>
          </w:p>
        </w:tc>
        <w:tc>
          <w:tcPr>
            <w:tcW w:w="841" w:type="dxa"/>
            <w:vAlign w:val="center"/>
          </w:tcPr>
          <w:p w14:paraId="29EE8935" w14:textId="77777777" w:rsidR="00B0005F" w:rsidRPr="008A2411" w:rsidRDefault="00000000">
            <w:pPr>
              <w:adjustRightIn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二级</w:t>
            </w:r>
          </w:p>
        </w:tc>
        <w:tc>
          <w:tcPr>
            <w:tcW w:w="701" w:type="dxa"/>
            <w:vAlign w:val="center"/>
          </w:tcPr>
          <w:p w14:paraId="3F128CDF" w14:textId="77777777" w:rsidR="00B0005F" w:rsidRPr="008A2411" w:rsidRDefault="00000000">
            <w:pPr>
              <w:pStyle w:val="afffffffff"/>
              <w:snapToGrid/>
              <w:spacing w:line="240" w:lineRule="auto"/>
              <w:rPr>
                <w:rFonts w:eastAsiaTheme="minorEastAsia" w:hAnsi="Times New Roman" w:cs="Times New Roman"/>
                <w:b w:val="0"/>
                <w:color w:val="000000" w:themeColor="text1"/>
                <w:kern w:val="0"/>
                <w:sz w:val="21"/>
                <w:szCs w:val="21"/>
              </w:rPr>
            </w:pPr>
            <w:r w:rsidRPr="008A2411">
              <w:rPr>
                <w:rFonts w:eastAsiaTheme="minorEastAsia" w:hAnsi="Times New Roman" w:cs="Times New Roman"/>
                <w:b w:val="0"/>
                <w:color w:val="000000" w:themeColor="text1"/>
                <w:kern w:val="0"/>
                <w:sz w:val="21"/>
                <w:szCs w:val="21"/>
              </w:rPr>
              <w:t>二级</w:t>
            </w:r>
          </w:p>
        </w:tc>
        <w:tc>
          <w:tcPr>
            <w:tcW w:w="837" w:type="dxa"/>
            <w:vAlign w:val="center"/>
          </w:tcPr>
          <w:p w14:paraId="45B31FF4" w14:textId="77777777" w:rsidR="00B0005F" w:rsidRPr="008A2411" w:rsidRDefault="00000000">
            <w:pPr>
              <w:adjustRightIn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三级</w:t>
            </w:r>
          </w:p>
        </w:tc>
        <w:tc>
          <w:tcPr>
            <w:tcW w:w="701" w:type="dxa"/>
            <w:gridSpan w:val="2"/>
            <w:vAlign w:val="center"/>
          </w:tcPr>
          <w:p w14:paraId="03DD9E6C" w14:textId="77777777" w:rsidR="00B0005F" w:rsidRPr="008A2411" w:rsidRDefault="00000000">
            <w:pPr>
              <w:pStyle w:val="afffffffff"/>
              <w:snapToGrid/>
              <w:spacing w:line="240" w:lineRule="auto"/>
              <w:rPr>
                <w:rFonts w:eastAsiaTheme="minorEastAsia" w:hAnsi="Times New Roman" w:cs="Times New Roman"/>
                <w:b w:val="0"/>
                <w:color w:val="000000" w:themeColor="text1"/>
                <w:kern w:val="0"/>
                <w:sz w:val="21"/>
                <w:szCs w:val="21"/>
              </w:rPr>
            </w:pPr>
            <w:r w:rsidRPr="008A2411">
              <w:rPr>
                <w:rFonts w:eastAsiaTheme="minorEastAsia" w:hAnsi="Times New Roman" w:cs="Times New Roman"/>
                <w:b w:val="0"/>
                <w:color w:val="000000" w:themeColor="text1"/>
                <w:kern w:val="0"/>
                <w:sz w:val="21"/>
                <w:szCs w:val="21"/>
              </w:rPr>
              <w:t>三级</w:t>
            </w:r>
          </w:p>
        </w:tc>
        <w:tc>
          <w:tcPr>
            <w:tcW w:w="706" w:type="dxa"/>
            <w:vAlign w:val="center"/>
          </w:tcPr>
          <w:p w14:paraId="68135359" w14:textId="77777777" w:rsidR="00B0005F" w:rsidRPr="008A2411" w:rsidRDefault="00000000">
            <w:pPr>
              <w:pStyle w:val="afffffffff"/>
              <w:snapToGrid/>
              <w:spacing w:line="240" w:lineRule="auto"/>
              <w:rPr>
                <w:rFonts w:eastAsiaTheme="minorEastAsia" w:hAnsi="Times New Roman" w:cs="Times New Roman"/>
                <w:b w:val="0"/>
                <w:color w:val="000000" w:themeColor="text1"/>
                <w:kern w:val="0"/>
                <w:sz w:val="21"/>
                <w:szCs w:val="21"/>
              </w:rPr>
            </w:pPr>
            <w:r w:rsidRPr="008A2411">
              <w:rPr>
                <w:rFonts w:eastAsiaTheme="minorEastAsia" w:hAnsi="Times New Roman" w:cs="Times New Roman"/>
                <w:b w:val="0"/>
                <w:color w:val="000000" w:themeColor="text1"/>
                <w:kern w:val="0"/>
                <w:sz w:val="21"/>
                <w:szCs w:val="21"/>
              </w:rPr>
              <w:t>三级</w:t>
            </w:r>
          </w:p>
        </w:tc>
        <w:tc>
          <w:tcPr>
            <w:tcW w:w="700" w:type="dxa"/>
            <w:vAlign w:val="center"/>
          </w:tcPr>
          <w:p w14:paraId="48716D6D" w14:textId="77777777" w:rsidR="00B0005F" w:rsidRPr="008A2411" w:rsidRDefault="00000000">
            <w:pPr>
              <w:pStyle w:val="afffffffff"/>
              <w:snapToGrid/>
              <w:spacing w:line="240" w:lineRule="auto"/>
              <w:rPr>
                <w:rFonts w:eastAsiaTheme="minorEastAsia" w:hAnsi="Times New Roman" w:cs="Times New Roman"/>
                <w:b w:val="0"/>
                <w:color w:val="000000" w:themeColor="text1"/>
                <w:kern w:val="0"/>
                <w:sz w:val="21"/>
                <w:szCs w:val="21"/>
              </w:rPr>
            </w:pPr>
            <w:r w:rsidRPr="008A2411">
              <w:rPr>
                <w:rFonts w:eastAsiaTheme="minorEastAsia" w:hAnsi="Times New Roman" w:cs="Times New Roman"/>
                <w:b w:val="0"/>
                <w:color w:val="000000" w:themeColor="text1"/>
                <w:kern w:val="0"/>
                <w:sz w:val="21"/>
                <w:szCs w:val="21"/>
              </w:rPr>
              <w:t>-</w:t>
            </w:r>
          </w:p>
        </w:tc>
      </w:tr>
      <w:tr w:rsidR="008A2411" w:rsidRPr="008A2411" w14:paraId="4D640FF6" w14:textId="77777777">
        <w:trPr>
          <w:trHeight w:val="90"/>
        </w:trPr>
        <w:tc>
          <w:tcPr>
            <w:tcW w:w="1646" w:type="dxa"/>
            <w:vAlign w:val="center"/>
          </w:tcPr>
          <w:p w14:paraId="39B253F3" w14:textId="77777777" w:rsidR="00B0005F" w:rsidRPr="008A2411" w:rsidRDefault="00000000">
            <w:pPr>
              <w:pStyle w:val="afffffffff"/>
              <w:snapToGrid/>
              <w:spacing w:line="240" w:lineRule="auto"/>
              <w:rPr>
                <w:rFonts w:eastAsiaTheme="minorEastAsia" w:hAnsi="Times New Roman" w:cs="Times New Roman"/>
                <w:b w:val="0"/>
                <w:color w:val="000000" w:themeColor="text1"/>
                <w:kern w:val="0"/>
                <w:sz w:val="21"/>
                <w:szCs w:val="21"/>
              </w:rPr>
            </w:pPr>
            <w:r w:rsidRPr="008A2411">
              <w:rPr>
                <w:rFonts w:eastAsiaTheme="minorEastAsia" w:hAnsi="Times New Roman" w:cs="Times New Roman"/>
                <w:b w:val="0"/>
                <w:color w:val="000000" w:themeColor="text1"/>
                <w:kern w:val="0"/>
                <w:sz w:val="21"/>
                <w:szCs w:val="21"/>
              </w:rPr>
              <w:t>不敏感</w:t>
            </w:r>
          </w:p>
        </w:tc>
        <w:tc>
          <w:tcPr>
            <w:tcW w:w="845" w:type="dxa"/>
            <w:vAlign w:val="center"/>
          </w:tcPr>
          <w:p w14:paraId="094B5BAF" w14:textId="77777777" w:rsidR="00B0005F" w:rsidRPr="008A2411" w:rsidRDefault="00000000">
            <w:pPr>
              <w:pStyle w:val="afffffffff"/>
              <w:snapToGrid/>
              <w:spacing w:line="240" w:lineRule="auto"/>
              <w:rPr>
                <w:rFonts w:eastAsiaTheme="minorEastAsia" w:hAnsi="Times New Roman" w:cs="Times New Roman"/>
                <w:b w:val="0"/>
                <w:color w:val="000000" w:themeColor="text1"/>
                <w:kern w:val="0"/>
                <w:sz w:val="21"/>
                <w:szCs w:val="21"/>
              </w:rPr>
            </w:pPr>
            <w:r w:rsidRPr="008A2411">
              <w:rPr>
                <w:rFonts w:eastAsiaTheme="minorEastAsia" w:hAnsi="Times New Roman" w:cs="Times New Roman"/>
                <w:b w:val="0"/>
                <w:color w:val="000000" w:themeColor="text1"/>
                <w:kern w:val="0"/>
                <w:sz w:val="21"/>
                <w:szCs w:val="21"/>
              </w:rPr>
              <w:t>一级</w:t>
            </w:r>
          </w:p>
        </w:tc>
        <w:tc>
          <w:tcPr>
            <w:tcW w:w="700" w:type="dxa"/>
            <w:vAlign w:val="center"/>
          </w:tcPr>
          <w:p w14:paraId="2B090A37" w14:textId="77777777" w:rsidR="00B0005F" w:rsidRPr="008A2411" w:rsidRDefault="00000000">
            <w:pPr>
              <w:adjustRightIn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二级</w:t>
            </w:r>
          </w:p>
        </w:tc>
        <w:tc>
          <w:tcPr>
            <w:tcW w:w="841" w:type="dxa"/>
            <w:vAlign w:val="center"/>
          </w:tcPr>
          <w:p w14:paraId="14D997F4" w14:textId="77777777" w:rsidR="00B0005F" w:rsidRPr="008A2411" w:rsidRDefault="00000000">
            <w:pPr>
              <w:adjustRightIn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二级</w:t>
            </w:r>
          </w:p>
        </w:tc>
        <w:tc>
          <w:tcPr>
            <w:tcW w:w="841" w:type="dxa"/>
            <w:vAlign w:val="center"/>
          </w:tcPr>
          <w:p w14:paraId="7AA7396A" w14:textId="77777777" w:rsidR="00B0005F" w:rsidRPr="008A2411" w:rsidRDefault="00000000">
            <w:pPr>
              <w:adjustRightIn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三级</w:t>
            </w:r>
          </w:p>
        </w:tc>
        <w:tc>
          <w:tcPr>
            <w:tcW w:w="701" w:type="dxa"/>
            <w:vAlign w:val="center"/>
          </w:tcPr>
          <w:p w14:paraId="7C52862C" w14:textId="77777777" w:rsidR="00B0005F" w:rsidRPr="008A2411" w:rsidRDefault="00000000">
            <w:pPr>
              <w:adjustRightIn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三级</w:t>
            </w:r>
          </w:p>
        </w:tc>
        <w:tc>
          <w:tcPr>
            <w:tcW w:w="837" w:type="dxa"/>
            <w:vAlign w:val="center"/>
          </w:tcPr>
          <w:p w14:paraId="04F25121" w14:textId="77777777" w:rsidR="00B0005F" w:rsidRPr="008A2411" w:rsidRDefault="00000000">
            <w:pPr>
              <w:adjustRightIn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三级</w:t>
            </w:r>
          </w:p>
        </w:tc>
        <w:tc>
          <w:tcPr>
            <w:tcW w:w="701" w:type="dxa"/>
            <w:gridSpan w:val="2"/>
            <w:vAlign w:val="center"/>
          </w:tcPr>
          <w:p w14:paraId="5F1F1E4D" w14:textId="77777777" w:rsidR="00B0005F" w:rsidRPr="008A2411" w:rsidRDefault="00000000">
            <w:pPr>
              <w:pStyle w:val="afffffffff"/>
              <w:snapToGrid/>
              <w:spacing w:line="240" w:lineRule="auto"/>
              <w:rPr>
                <w:rFonts w:eastAsiaTheme="minorEastAsia" w:hAnsi="Times New Roman" w:cs="Times New Roman"/>
                <w:b w:val="0"/>
                <w:color w:val="000000" w:themeColor="text1"/>
                <w:kern w:val="0"/>
                <w:sz w:val="21"/>
                <w:szCs w:val="21"/>
              </w:rPr>
            </w:pPr>
            <w:r w:rsidRPr="008A2411">
              <w:rPr>
                <w:rFonts w:eastAsiaTheme="minorEastAsia" w:hAnsi="Times New Roman" w:cs="Times New Roman"/>
                <w:b w:val="0"/>
                <w:color w:val="000000" w:themeColor="text1"/>
                <w:kern w:val="0"/>
                <w:sz w:val="21"/>
                <w:szCs w:val="21"/>
              </w:rPr>
              <w:t>三级</w:t>
            </w:r>
          </w:p>
        </w:tc>
        <w:tc>
          <w:tcPr>
            <w:tcW w:w="706" w:type="dxa"/>
            <w:vAlign w:val="center"/>
          </w:tcPr>
          <w:p w14:paraId="47DA5C78" w14:textId="77777777" w:rsidR="00B0005F" w:rsidRPr="008A2411" w:rsidRDefault="00000000">
            <w:pPr>
              <w:pStyle w:val="afffffffff"/>
              <w:snapToGrid/>
              <w:spacing w:line="240" w:lineRule="auto"/>
              <w:rPr>
                <w:rFonts w:eastAsiaTheme="minorEastAsia" w:hAnsi="Times New Roman" w:cs="Times New Roman"/>
                <w:b w:val="0"/>
                <w:color w:val="000000" w:themeColor="text1"/>
                <w:kern w:val="0"/>
                <w:sz w:val="21"/>
                <w:szCs w:val="21"/>
              </w:rPr>
            </w:pPr>
            <w:r w:rsidRPr="008A2411">
              <w:rPr>
                <w:rFonts w:eastAsiaTheme="minorEastAsia" w:hAnsi="Times New Roman" w:cs="Times New Roman"/>
                <w:b w:val="0"/>
                <w:color w:val="000000" w:themeColor="text1"/>
                <w:kern w:val="0"/>
                <w:sz w:val="21"/>
                <w:szCs w:val="21"/>
              </w:rPr>
              <w:t>-</w:t>
            </w:r>
          </w:p>
        </w:tc>
        <w:tc>
          <w:tcPr>
            <w:tcW w:w="700" w:type="dxa"/>
            <w:vAlign w:val="center"/>
          </w:tcPr>
          <w:p w14:paraId="1F1A4209" w14:textId="77777777" w:rsidR="00B0005F" w:rsidRPr="008A2411" w:rsidRDefault="00000000">
            <w:pPr>
              <w:pStyle w:val="afffffffff"/>
              <w:snapToGrid/>
              <w:spacing w:line="240" w:lineRule="auto"/>
              <w:rPr>
                <w:rFonts w:eastAsiaTheme="minorEastAsia" w:hAnsi="Times New Roman" w:cs="Times New Roman"/>
                <w:b w:val="0"/>
                <w:color w:val="000000" w:themeColor="text1"/>
                <w:kern w:val="0"/>
                <w:sz w:val="21"/>
                <w:szCs w:val="21"/>
              </w:rPr>
            </w:pPr>
            <w:r w:rsidRPr="008A2411">
              <w:rPr>
                <w:rFonts w:eastAsiaTheme="minorEastAsia" w:hAnsi="Times New Roman" w:cs="Times New Roman"/>
                <w:b w:val="0"/>
                <w:color w:val="000000" w:themeColor="text1"/>
                <w:kern w:val="0"/>
                <w:sz w:val="21"/>
                <w:szCs w:val="21"/>
              </w:rPr>
              <w:t>-</w:t>
            </w:r>
          </w:p>
        </w:tc>
      </w:tr>
      <w:tr w:rsidR="008A2411" w:rsidRPr="008A2411" w14:paraId="31AEBC64" w14:textId="77777777">
        <w:trPr>
          <w:trHeight w:val="90"/>
        </w:trPr>
        <w:tc>
          <w:tcPr>
            <w:tcW w:w="8518" w:type="dxa"/>
            <w:gridSpan w:val="11"/>
            <w:vAlign w:val="center"/>
          </w:tcPr>
          <w:p w14:paraId="12C52F28" w14:textId="77777777" w:rsidR="00B0005F" w:rsidRPr="008A2411" w:rsidRDefault="00000000">
            <w:pPr>
              <w:pStyle w:val="afffffffff"/>
              <w:snapToGrid/>
              <w:spacing w:line="240" w:lineRule="auto"/>
              <w:rPr>
                <w:rFonts w:eastAsiaTheme="minorEastAsia" w:hAnsi="Times New Roman" w:cs="Times New Roman"/>
                <w:b w:val="0"/>
                <w:color w:val="000000" w:themeColor="text1"/>
                <w:kern w:val="0"/>
                <w:sz w:val="20"/>
                <w:szCs w:val="21"/>
              </w:rPr>
            </w:pPr>
            <w:r w:rsidRPr="008A2411">
              <w:rPr>
                <w:rFonts w:eastAsiaTheme="minorEastAsia" w:hAnsi="Times New Roman" w:cs="Times New Roman"/>
                <w:b w:val="0"/>
                <w:color w:val="000000" w:themeColor="text1"/>
                <w:kern w:val="0"/>
                <w:sz w:val="20"/>
                <w:szCs w:val="21"/>
              </w:rPr>
              <w:t>注：</w:t>
            </w:r>
            <w:r w:rsidRPr="008A2411">
              <w:rPr>
                <w:rFonts w:eastAsiaTheme="minorEastAsia" w:hAnsi="Times New Roman" w:cs="Times New Roman" w:hint="eastAsia"/>
                <w:b w:val="0"/>
                <w:color w:val="000000" w:themeColor="text1"/>
                <w:kern w:val="0"/>
                <w:sz w:val="20"/>
                <w:szCs w:val="21"/>
              </w:rPr>
              <w:t>“</w:t>
            </w:r>
            <w:r w:rsidRPr="008A2411">
              <w:rPr>
                <w:rFonts w:eastAsiaTheme="minorEastAsia" w:hAnsi="Times New Roman" w:cs="Times New Roman"/>
                <w:b w:val="0"/>
                <w:color w:val="000000" w:themeColor="text1"/>
                <w:kern w:val="0"/>
                <w:sz w:val="20"/>
                <w:szCs w:val="21"/>
              </w:rPr>
              <w:t>-</w:t>
            </w:r>
            <w:r w:rsidRPr="008A2411">
              <w:rPr>
                <w:rFonts w:eastAsiaTheme="minorEastAsia" w:hAnsi="Times New Roman" w:cs="Times New Roman" w:hint="eastAsia"/>
                <w:b w:val="0"/>
                <w:color w:val="000000" w:themeColor="text1"/>
                <w:kern w:val="0"/>
                <w:sz w:val="20"/>
                <w:szCs w:val="21"/>
              </w:rPr>
              <w:t>”</w:t>
            </w:r>
            <w:r w:rsidRPr="008A2411">
              <w:rPr>
                <w:rFonts w:eastAsiaTheme="minorEastAsia" w:hAnsi="Times New Roman" w:cs="Times New Roman"/>
                <w:b w:val="0"/>
                <w:color w:val="000000" w:themeColor="text1"/>
                <w:kern w:val="0"/>
                <w:sz w:val="20"/>
                <w:szCs w:val="21"/>
              </w:rPr>
              <w:t>表示可不开展土壤环境影响评价工作</w:t>
            </w:r>
          </w:p>
        </w:tc>
      </w:tr>
    </w:tbl>
    <w:p w14:paraId="177E1E46" w14:textId="56B196BD" w:rsidR="00B0005F" w:rsidRPr="008A2411" w:rsidRDefault="00000000">
      <w:pPr>
        <w:spacing w:line="360" w:lineRule="auto"/>
        <w:ind w:firstLineChars="200" w:firstLine="480"/>
        <w:rPr>
          <w:rFonts w:ascii="Times New Roman"/>
          <w:snapToGrid w:val="0"/>
          <w:color w:val="000000" w:themeColor="text1"/>
        </w:rPr>
      </w:pPr>
      <w:r w:rsidRPr="008A2411">
        <w:rPr>
          <w:rFonts w:ascii="Times New Roman"/>
          <w:color w:val="000000" w:themeColor="text1"/>
        </w:rPr>
        <w:t>本项目为</w:t>
      </w:r>
      <w:r w:rsidRPr="008A2411">
        <w:rPr>
          <w:rFonts w:ascii="Times New Roman"/>
          <w:color w:val="000000" w:themeColor="text1"/>
        </w:rPr>
        <w:t>Ⅱ</w:t>
      </w:r>
      <w:r w:rsidRPr="008A2411">
        <w:rPr>
          <w:rFonts w:ascii="Times New Roman"/>
          <w:color w:val="000000" w:themeColor="text1"/>
        </w:rPr>
        <w:t>类建设项目，占地规模为</w:t>
      </w:r>
      <w:r w:rsidR="00F52364" w:rsidRPr="008A2411">
        <w:rPr>
          <w:rFonts w:ascii="Times New Roman" w:hint="eastAsia"/>
          <w:color w:val="000000" w:themeColor="text1"/>
        </w:rPr>
        <w:t>中</w:t>
      </w:r>
      <w:r w:rsidRPr="008A2411">
        <w:rPr>
          <w:rFonts w:ascii="Times New Roman"/>
          <w:color w:val="000000" w:themeColor="text1"/>
        </w:rPr>
        <w:t>型，环境敏感程度为</w:t>
      </w:r>
      <w:r w:rsidRPr="008A2411">
        <w:rPr>
          <w:rFonts w:ascii="Times New Roman" w:hint="eastAsia"/>
          <w:color w:val="000000" w:themeColor="text1"/>
        </w:rPr>
        <w:t>“</w:t>
      </w:r>
      <w:r w:rsidRPr="008A2411">
        <w:rPr>
          <w:rFonts w:ascii="Times New Roman"/>
          <w:color w:val="000000" w:themeColor="text1"/>
        </w:rPr>
        <w:t>敏感</w:t>
      </w:r>
      <w:r w:rsidRPr="008A2411">
        <w:rPr>
          <w:rFonts w:ascii="Times New Roman" w:hint="eastAsia"/>
          <w:color w:val="000000" w:themeColor="text1"/>
        </w:rPr>
        <w:t>”</w:t>
      </w:r>
      <w:r w:rsidRPr="008A2411">
        <w:rPr>
          <w:rFonts w:ascii="Times New Roman"/>
          <w:color w:val="000000" w:themeColor="text1"/>
        </w:rPr>
        <w:t>，依据表</w:t>
      </w:r>
      <w:r w:rsidRPr="008A2411">
        <w:rPr>
          <w:rFonts w:ascii="Times New Roman"/>
          <w:color w:val="000000" w:themeColor="text1"/>
        </w:rPr>
        <w:t>2.7-11</w:t>
      </w:r>
      <w:r w:rsidRPr="008A2411">
        <w:rPr>
          <w:rFonts w:ascii="Times New Roman"/>
          <w:color w:val="000000" w:themeColor="text1"/>
        </w:rPr>
        <w:t>，本项目土壤评价等级为二级。</w:t>
      </w:r>
    </w:p>
    <w:p w14:paraId="5C5C2404" w14:textId="77777777" w:rsidR="00B0005F" w:rsidRPr="008A2411" w:rsidRDefault="00000000">
      <w:pPr>
        <w:pStyle w:val="aa"/>
        <w:spacing w:line="360" w:lineRule="auto"/>
        <w:ind w:firstLine="0"/>
        <w:outlineLvl w:val="2"/>
        <w:rPr>
          <w:rFonts w:ascii="Times New Roman"/>
          <w:b/>
          <w:color w:val="000000" w:themeColor="text1"/>
        </w:rPr>
      </w:pPr>
      <w:r w:rsidRPr="008A2411">
        <w:rPr>
          <w:rFonts w:ascii="Times New Roman"/>
          <w:b/>
          <w:color w:val="000000" w:themeColor="text1"/>
        </w:rPr>
        <w:t xml:space="preserve">2.7.2 </w:t>
      </w:r>
      <w:r w:rsidRPr="008A2411">
        <w:rPr>
          <w:rFonts w:ascii="Times New Roman"/>
          <w:b/>
          <w:color w:val="000000" w:themeColor="text1"/>
        </w:rPr>
        <w:t>评价范围</w:t>
      </w:r>
    </w:p>
    <w:p w14:paraId="55DE9D52" w14:textId="77777777" w:rsidR="00B0005F" w:rsidRPr="008A2411" w:rsidRDefault="00000000">
      <w:pPr>
        <w:spacing w:line="360" w:lineRule="auto"/>
        <w:ind w:firstLineChars="200" w:firstLine="482"/>
        <w:rPr>
          <w:rFonts w:ascii="Times New Roman"/>
          <w:b/>
          <w:bCs/>
          <w:color w:val="000000" w:themeColor="text1"/>
        </w:rPr>
      </w:pPr>
      <w:r w:rsidRPr="008A2411">
        <w:rPr>
          <w:rFonts w:ascii="Times New Roman"/>
          <w:b/>
          <w:bCs/>
          <w:color w:val="000000" w:themeColor="text1"/>
        </w:rPr>
        <w:t>2.7.2.1</w:t>
      </w:r>
      <w:r w:rsidRPr="008A2411">
        <w:rPr>
          <w:rFonts w:ascii="Times New Roman"/>
          <w:b/>
          <w:bCs/>
          <w:color w:val="000000" w:themeColor="text1"/>
        </w:rPr>
        <w:t>地表水环境评价范围</w:t>
      </w:r>
    </w:p>
    <w:p w14:paraId="584633E5" w14:textId="7E39C0D8" w:rsidR="00B0005F" w:rsidRPr="008A2411" w:rsidRDefault="00000000">
      <w:pPr>
        <w:spacing w:line="360" w:lineRule="auto"/>
        <w:ind w:firstLineChars="200" w:firstLine="480"/>
        <w:rPr>
          <w:rStyle w:val="1CharChar5"/>
          <w:rFonts w:ascii="Times New Roman" w:hAnsi="Times New Roman" w:cs="Times New Roman"/>
          <w:color w:val="000000" w:themeColor="text1"/>
        </w:rPr>
      </w:pPr>
      <w:r w:rsidRPr="008A2411">
        <w:rPr>
          <w:rFonts w:ascii="Times New Roman"/>
          <w:color w:val="000000" w:themeColor="text1"/>
        </w:rPr>
        <w:t>本项目所产废水直接或经预处理后均排入园区管网，项目所产各类废水均不</w:t>
      </w:r>
      <w:r w:rsidR="00956CB9" w:rsidRPr="008A2411">
        <w:rPr>
          <w:rFonts w:ascii="Times New Roman" w:hint="eastAsia"/>
          <w:color w:val="000000" w:themeColor="text1"/>
        </w:rPr>
        <w:lastRenderedPageBreak/>
        <w:t>直接排入地表水体，</w:t>
      </w:r>
      <w:r w:rsidRPr="008A2411">
        <w:rPr>
          <w:rFonts w:ascii="Times New Roman"/>
          <w:color w:val="000000" w:themeColor="text1"/>
        </w:rPr>
        <w:t>故本项目不划定地表水环境评价范围。</w:t>
      </w:r>
    </w:p>
    <w:p w14:paraId="2DAD93AE" w14:textId="77777777" w:rsidR="00B0005F" w:rsidRPr="008A2411" w:rsidRDefault="00000000">
      <w:pPr>
        <w:spacing w:line="360" w:lineRule="auto"/>
        <w:ind w:firstLineChars="200" w:firstLine="482"/>
        <w:rPr>
          <w:rFonts w:ascii="Times New Roman"/>
          <w:b/>
          <w:bCs/>
          <w:color w:val="000000" w:themeColor="text1"/>
        </w:rPr>
      </w:pPr>
      <w:r w:rsidRPr="008A2411">
        <w:rPr>
          <w:rFonts w:ascii="Times New Roman"/>
          <w:b/>
          <w:bCs/>
          <w:color w:val="000000" w:themeColor="text1"/>
        </w:rPr>
        <w:t>2.7.2.2</w:t>
      </w:r>
      <w:r w:rsidRPr="008A2411">
        <w:rPr>
          <w:rFonts w:ascii="Times New Roman"/>
          <w:b/>
          <w:bCs/>
          <w:color w:val="000000" w:themeColor="text1"/>
        </w:rPr>
        <w:t>大气环境</w:t>
      </w:r>
    </w:p>
    <w:p w14:paraId="77074669" w14:textId="77777777" w:rsidR="00B0005F" w:rsidRPr="008A2411" w:rsidRDefault="00000000">
      <w:pPr>
        <w:spacing w:line="360" w:lineRule="auto"/>
        <w:ind w:firstLineChars="200" w:firstLine="480"/>
        <w:rPr>
          <w:rFonts w:ascii="Times New Roman"/>
          <w:color w:val="000000" w:themeColor="text1"/>
        </w:rPr>
      </w:pPr>
      <w:r w:rsidRPr="008A2411">
        <w:rPr>
          <w:rFonts w:ascii="Times New Roman"/>
          <w:color w:val="000000" w:themeColor="text1"/>
        </w:rPr>
        <w:t>结合项目实际情况，本项目运营后对环境空气质量的影响较小，依据《环境影响评价技术导则</w:t>
      </w:r>
      <w:r w:rsidRPr="008A2411">
        <w:rPr>
          <w:rFonts w:ascii="Times New Roman"/>
          <w:color w:val="000000" w:themeColor="text1"/>
        </w:rPr>
        <w:t xml:space="preserve"> </w:t>
      </w:r>
      <w:r w:rsidRPr="008A2411">
        <w:rPr>
          <w:rFonts w:ascii="Times New Roman"/>
          <w:color w:val="000000" w:themeColor="text1"/>
        </w:rPr>
        <w:t>大气环境》（</w:t>
      </w:r>
      <w:r w:rsidRPr="008A2411">
        <w:rPr>
          <w:rFonts w:ascii="Times New Roman"/>
          <w:color w:val="000000" w:themeColor="text1"/>
        </w:rPr>
        <w:t>HJ2.2-2018</w:t>
      </w:r>
      <w:r w:rsidRPr="008A2411">
        <w:rPr>
          <w:rFonts w:ascii="Times New Roman"/>
          <w:color w:val="000000" w:themeColor="text1"/>
        </w:rPr>
        <w:t>），本次大气环境评价范围为以项目边界起，边长为</w:t>
      </w:r>
      <w:r w:rsidRPr="008A2411">
        <w:rPr>
          <w:rFonts w:ascii="Times New Roman"/>
          <w:color w:val="000000" w:themeColor="text1"/>
        </w:rPr>
        <w:t>5.0km</w:t>
      </w:r>
      <w:r w:rsidRPr="008A2411">
        <w:rPr>
          <w:rFonts w:ascii="Times New Roman"/>
          <w:color w:val="000000" w:themeColor="text1"/>
        </w:rPr>
        <w:t>的矩形区域。重点关心项目施工区域及厂界周边的环境敏感点。</w:t>
      </w:r>
    </w:p>
    <w:p w14:paraId="6D251FEE" w14:textId="77777777" w:rsidR="00B0005F" w:rsidRPr="008A2411" w:rsidRDefault="00000000">
      <w:pPr>
        <w:spacing w:line="360" w:lineRule="auto"/>
        <w:rPr>
          <w:rFonts w:ascii="Times New Roman"/>
          <w:bCs/>
          <w:color w:val="000000" w:themeColor="text1"/>
        </w:rPr>
      </w:pPr>
      <w:r w:rsidRPr="008A2411">
        <w:rPr>
          <w:rFonts w:ascii="Times New Roman"/>
          <w:noProof/>
          <w:color w:val="000000" w:themeColor="text1"/>
          <w:sz w:val="20"/>
        </w:rPr>
        <mc:AlternateContent>
          <mc:Choice Requires="wps">
            <w:drawing>
              <wp:anchor distT="0" distB="0" distL="114300" distR="114300" simplePos="0" relativeHeight="251728384" behindDoc="0" locked="0" layoutInCell="1" allowOverlap="1" wp14:anchorId="7D2A4625" wp14:editId="59D1F1C6">
                <wp:simplePos x="0" y="0"/>
                <wp:positionH relativeFrom="column">
                  <wp:posOffset>3330575</wp:posOffset>
                </wp:positionH>
                <wp:positionV relativeFrom="paragraph">
                  <wp:posOffset>1915795</wp:posOffset>
                </wp:positionV>
                <wp:extent cx="599440" cy="308610"/>
                <wp:effectExtent l="0" t="0" r="0" b="0"/>
                <wp:wrapNone/>
                <wp:docPr id="83" name="文本框 83"/>
                <wp:cNvGraphicFramePr/>
                <a:graphic xmlns:a="http://schemas.openxmlformats.org/drawingml/2006/main">
                  <a:graphicData uri="http://schemas.microsoft.com/office/word/2010/wordprocessingShape">
                    <wps:wsp>
                      <wps:cNvSpPr txBox="1"/>
                      <wps:spPr>
                        <a:xfrm>
                          <a:off x="0" y="0"/>
                          <a:ext cx="599440" cy="308610"/>
                        </a:xfrm>
                        <a:prstGeom prst="rect">
                          <a:avLst/>
                        </a:prstGeom>
                        <a:solidFill>
                          <a:srgbClr val="000000">
                            <a:alpha val="0"/>
                          </a:srgbClr>
                        </a:solidFill>
                        <a:ln w="6350">
                          <a:noFill/>
                        </a:ln>
                      </wps:spPr>
                      <wps:style>
                        <a:lnRef idx="0">
                          <a:schemeClr val="accent1"/>
                        </a:lnRef>
                        <a:fillRef idx="0">
                          <a:schemeClr val="accent1"/>
                        </a:fillRef>
                        <a:effectRef idx="0">
                          <a:schemeClr val="accent1"/>
                        </a:effectRef>
                        <a:fontRef idx="minor">
                          <a:schemeClr val="dk1"/>
                        </a:fontRef>
                      </wps:style>
                      <wps:txbx>
                        <w:txbxContent>
                          <w:p w14:paraId="49EAEB06" w14:textId="77777777" w:rsidR="00B0005F" w:rsidRDefault="00000000">
                            <w:pPr>
                              <w:rPr>
                                <w:b/>
                                <w:bCs/>
                                <w:color w:val="FFFFFF" w:themeColor="background1"/>
                                <w:sz w:val="16"/>
                                <w:szCs w:val="11"/>
                              </w:rPr>
                            </w:pPr>
                            <w:r>
                              <w:rPr>
                                <w:rFonts w:hint="eastAsia"/>
                                <w:b/>
                                <w:bCs/>
                                <w:color w:val="FFFFFF" w:themeColor="background1"/>
                                <w:sz w:val="16"/>
                                <w:szCs w:val="11"/>
                              </w:rPr>
                              <w:t>2.5km</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type w14:anchorId="7D2A4625" id="_x0000_t202" coordsize="21600,21600" o:spt="202" path="m,l,21600r21600,l21600,xe">
                <v:stroke joinstyle="miter"/>
                <v:path gradientshapeok="t" o:connecttype="rect"/>
              </v:shapetype>
              <v:shape id="文本框 83" o:spid="_x0000_s1027" type="#_x0000_t202" style="position:absolute;left:0;text-align:left;margin-left:262.25pt;margin-top:150.85pt;width:47.2pt;height:24.3pt;z-index:2517283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" fillcolor="black" stroked="f" strokeweight=".5pt">
                <v:fill opacity="0"/>
                <v:textbox>
                  <w:txbxContent>
                    <w:p w14:paraId="49EAEB06" w14:textId="77777777" w:rsidR="00B0005F" w:rsidRDefault="00000000">
                      <w:pPr>
                        <w:rPr>
                          <w:b/>
                          <w:bCs/>
                          <w:color w:val="FFFFFF" w:themeColor="background1"/>
                          <w:sz w:val="16"/>
                          <w:szCs w:val="11"/>
                        </w:rPr>
                      </w:pPr>
                      <w:r>
                        <w:rPr>
                          <w:rFonts w:hint="eastAsia"/>
                          <w:b/>
                          <w:bCs/>
                          <w:color w:val="FFFFFF" w:themeColor="background1"/>
                          <w:sz w:val="16"/>
                          <w:szCs w:val="11"/>
                        </w:rPr>
                        <w:t>2.5km</w:t>
                      </w:r>
                    </w:p>
                  </w:txbxContent>
                </v:textbox>
              </v:shape>
            </w:pict>
          </mc:Fallback>
        </mc:AlternateContent>
      </w:r>
      <w:r w:rsidRPr="008A2411">
        <w:rPr>
          <w:rFonts w:ascii="Times New Roman"/>
          <w:noProof/>
          <w:color w:val="000000" w:themeColor="text1"/>
        </w:rPr>
        <mc:AlternateContent>
          <mc:Choice Requires="wps">
            <w:drawing>
              <wp:anchor distT="0" distB="0" distL="114300" distR="114300" simplePos="0" relativeHeight="251725312" behindDoc="0" locked="0" layoutInCell="1" allowOverlap="1" wp14:anchorId="66352E57" wp14:editId="213FB1A6">
                <wp:simplePos x="0" y="0"/>
                <wp:positionH relativeFrom="column">
                  <wp:posOffset>2753360</wp:posOffset>
                </wp:positionH>
                <wp:positionV relativeFrom="paragraph">
                  <wp:posOffset>2105025</wp:posOffset>
                </wp:positionV>
                <wp:extent cx="1959610" cy="22225"/>
                <wp:effectExtent l="0" t="48260" r="6350" b="51435"/>
                <wp:wrapNone/>
                <wp:docPr id="82" name="直接箭头连接符 82"/>
                <wp:cNvGraphicFramePr/>
                <a:graphic xmlns:a="http://schemas.openxmlformats.org/drawingml/2006/main">
                  <a:graphicData uri="http://schemas.microsoft.com/office/word/2010/wordprocessingShape">
                    <wps:wsp>
                      <wps:cNvCnPr/>
                      <wps:spPr>
                        <a:xfrm flipV="1">
                          <a:off x="3896360" y="5391150"/>
                          <a:ext cx="1959610" cy="22225"/>
                        </a:xfrm>
                        <a:prstGeom prst="straightConnector1">
                          <a:avLst/>
                        </a:prstGeom>
                        <a:ln>
                          <a:solidFill>
                            <a:schemeClr val="bg1"/>
                          </a:solidFill>
                          <a:headEnd type="arrow"/>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398FEE83" id="_x0000_t32" coordsize="21600,21600" o:spt="32" o:oned="t" path="m,l21600,21600e" filled="f">
                <v:path arrowok="t" fillok="f" o:connecttype="none"/>
                <o:lock v:ext="edit" shapetype="t"/>
              </v:shapetype>
              <v:shape id="直接箭头连接符 82" o:spid="_x0000_s1026" type="#_x0000_t32" style="position:absolute;left:0;text-align:left;margin-left:216.8pt;margin-top:165.75pt;width:154.3pt;height:1.75pt;flip:y;z-index:2517253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" strokecolor="white [3212]">
                <v:stroke startarrow="open" endarrow="open"/>
              </v:shape>
            </w:pict>
          </mc:Fallback>
        </mc:AlternateContent>
      </w:r>
      <w:r w:rsidRPr="008A2411">
        <w:rPr>
          <w:rFonts w:ascii="Times New Roman"/>
          <w:bCs/>
          <w:noProof/>
          <w:color w:val="000000" w:themeColor="text1"/>
        </w:rPr>
        <w:drawing>
          <wp:inline distT="0" distB="0" distL="114300" distR="114300" wp14:anchorId="238EF251" wp14:editId="3DF2CC11">
            <wp:extent cx="5271770" cy="4264660"/>
            <wp:effectExtent l="0" t="0" r="1270" b="2540"/>
            <wp:docPr id="4" name="图片 4" descr="165297046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1652970467(1)"/>
                    <pic:cNvPicPr>
                      <a:picLocks noChangeAspect="1"/>
                    </pic:cNvPicPr>
                  </pic:nvPicPr>
                  <pic:blipFill>
                    <a:blip r:embed="rId20"/>
                    <a:stretch>
                      <a:fillRect/>
                    </a:stretch>
                  </pic:blipFill>
                  <pic:spPr>
                    <a:xfrm>
                      <a:off x="0" y="0"/>
                      <a:ext cx="5271770" cy="4264660"/>
                    </a:xfrm>
                    <a:prstGeom prst="rect">
                      <a:avLst/>
                    </a:prstGeom>
                  </pic:spPr>
                </pic:pic>
              </a:graphicData>
            </a:graphic>
          </wp:inline>
        </w:drawing>
      </w:r>
    </w:p>
    <w:p w14:paraId="54472A1B" w14:textId="77777777" w:rsidR="00B0005F" w:rsidRPr="008A2411" w:rsidRDefault="00000000">
      <w:pPr>
        <w:pStyle w:val="afffffff9"/>
        <w:spacing w:line="240" w:lineRule="auto"/>
        <w:ind w:firstLineChars="0" w:firstLine="0"/>
        <w:jc w:val="center"/>
        <w:rPr>
          <w:rFonts w:ascii="Times New Roman" w:eastAsia="黑体" w:hAnsi="Times New Roman"/>
          <w:bCs/>
          <w:color w:val="000000" w:themeColor="text1"/>
        </w:rPr>
      </w:pPr>
      <w:r w:rsidRPr="008A2411">
        <w:rPr>
          <w:rFonts w:ascii="Times New Roman" w:eastAsia="黑体" w:hAnsi="Times New Roman"/>
          <w:bCs/>
          <w:color w:val="000000" w:themeColor="text1"/>
        </w:rPr>
        <w:t>图</w:t>
      </w:r>
      <w:r w:rsidRPr="008A2411">
        <w:rPr>
          <w:rFonts w:ascii="Times New Roman" w:eastAsia="黑体" w:hAnsi="Times New Roman"/>
          <w:bCs/>
          <w:color w:val="000000" w:themeColor="text1"/>
        </w:rPr>
        <w:t xml:space="preserve">2.7-4  </w:t>
      </w:r>
      <w:r w:rsidRPr="008A2411">
        <w:rPr>
          <w:rFonts w:ascii="Times New Roman" w:eastAsia="黑体" w:hAnsi="Times New Roman"/>
          <w:bCs/>
          <w:color w:val="000000" w:themeColor="text1"/>
        </w:rPr>
        <w:t>项目大气环境评价范围图</w:t>
      </w:r>
    </w:p>
    <w:p w14:paraId="49274159" w14:textId="77777777" w:rsidR="00B0005F" w:rsidRPr="008A2411" w:rsidRDefault="00B0005F">
      <w:pPr>
        <w:pStyle w:val="TOC2"/>
        <w:rPr>
          <w:rFonts w:ascii="Times New Roman" w:hAnsi="Times New Roman" w:cs="Times New Roman"/>
          <w:color w:val="000000" w:themeColor="text1"/>
        </w:rPr>
      </w:pPr>
    </w:p>
    <w:p w14:paraId="0202D09F" w14:textId="77777777" w:rsidR="00B0005F" w:rsidRPr="008A2411" w:rsidRDefault="00000000">
      <w:pPr>
        <w:spacing w:line="360" w:lineRule="auto"/>
        <w:ind w:firstLineChars="200" w:firstLine="482"/>
        <w:rPr>
          <w:rFonts w:ascii="Times New Roman"/>
          <w:b/>
          <w:bCs/>
          <w:color w:val="000000" w:themeColor="text1"/>
        </w:rPr>
      </w:pPr>
      <w:r w:rsidRPr="008A2411">
        <w:rPr>
          <w:rFonts w:ascii="Times New Roman"/>
          <w:b/>
          <w:bCs/>
          <w:color w:val="000000" w:themeColor="text1"/>
        </w:rPr>
        <w:t>2.7.2.3</w:t>
      </w:r>
      <w:r w:rsidRPr="008A2411">
        <w:rPr>
          <w:rFonts w:ascii="Times New Roman"/>
          <w:b/>
          <w:bCs/>
          <w:color w:val="000000" w:themeColor="text1"/>
        </w:rPr>
        <w:t>声环境</w:t>
      </w:r>
    </w:p>
    <w:p w14:paraId="410A1CB5" w14:textId="77777777" w:rsidR="00B0005F" w:rsidRPr="008A2411" w:rsidRDefault="00000000">
      <w:pPr>
        <w:spacing w:line="360" w:lineRule="auto"/>
        <w:ind w:firstLineChars="200" w:firstLine="480"/>
        <w:rPr>
          <w:rFonts w:ascii="Times New Roman"/>
          <w:color w:val="000000" w:themeColor="text1"/>
        </w:rPr>
      </w:pPr>
      <w:r w:rsidRPr="008A2411">
        <w:rPr>
          <w:rFonts w:ascii="Times New Roman"/>
          <w:color w:val="000000" w:themeColor="text1"/>
        </w:rPr>
        <w:t>根据《环境影响评价技术导则</w:t>
      </w:r>
      <w:r w:rsidRPr="008A2411">
        <w:rPr>
          <w:rFonts w:ascii="Times New Roman"/>
          <w:color w:val="000000" w:themeColor="text1"/>
        </w:rPr>
        <w:t xml:space="preserve">  </w:t>
      </w:r>
      <w:r w:rsidRPr="008A2411">
        <w:rPr>
          <w:rFonts w:ascii="Times New Roman"/>
          <w:color w:val="000000" w:themeColor="text1"/>
        </w:rPr>
        <w:t>声环境》（</w:t>
      </w:r>
      <w:r w:rsidRPr="008A2411">
        <w:rPr>
          <w:rFonts w:ascii="Times New Roman" w:hint="eastAsia"/>
          <w:color w:val="000000" w:themeColor="text1"/>
        </w:rPr>
        <w:t>HJ2.4-2021</w:t>
      </w:r>
      <w:r w:rsidRPr="008A2411">
        <w:rPr>
          <w:rFonts w:ascii="Times New Roman"/>
          <w:color w:val="000000" w:themeColor="text1"/>
        </w:rPr>
        <w:t>）中的有关规定，确定本</w:t>
      </w:r>
      <w:proofErr w:type="gramStart"/>
      <w:r w:rsidRPr="008A2411">
        <w:rPr>
          <w:rFonts w:ascii="Times New Roman"/>
          <w:color w:val="000000" w:themeColor="text1"/>
        </w:rPr>
        <w:t>项目声</w:t>
      </w:r>
      <w:proofErr w:type="gramEnd"/>
      <w:r w:rsidRPr="008A2411">
        <w:rPr>
          <w:rFonts w:ascii="Times New Roman"/>
          <w:color w:val="000000" w:themeColor="text1"/>
        </w:rPr>
        <w:t>环境评价范围为建设项目场区边界外</w:t>
      </w:r>
      <w:r w:rsidRPr="008A2411">
        <w:rPr>
          <w:rFonts w:ascii="Times New Roman"/>
          <w:color w:val="000000" w:themeColor="text1"/>
        </w:rPr>
        <w:t>200m</w:t>
      </w:r>
      <w:r w:rsidRPr="008A2411">
        <w:rPr>
          <w:rFonts w:ascii="Times New Roman"/>
          <w:color w:val="000000" w:themeColor="text1"/>
        </w:rPr>
        <w:t>以内的范围。</w:t>
      </w:r>
    </w:p>
    <w:p w14:paraId="3BFC2765" w14:textId="77777777" w:rsidR="00B0005F" w:rsidRPr="008A2411" w:rsidRDefault="00000000">
      <w:pPr>
        <w:pStyle w:val="TOC2"/>
        <w:ind w:left="0"/>
        <w:rPr>
          <w:rFonts w:ascii="Times New Roman" w:hAnsi="Times New Roman" w:cs="Times New Roman"/>
          <w:color w:val="000000" w:themeColor="text1"/>
        </w:rPr>
      </w:pPr>
      <w:r w:rsidRPr="008A2411">
        <w:rPr>
          <w:rFonts w:ascii="Times New Roman" w:hAnsi="Times New Roman" w:cs="Times New Roman"/>
          <w:noProof/>
          <w:color w:val="000000" w:themeColor="text1"/>
        </w:rPr>
        <w:lastRenderedPageBreak/>
        <mc:AlternateContent>
          <mc:Choice Requires="wps">
            <w:drawing>
              <wp:anchor distT="0" distB="0" distL="114300" distR="114300" simplePos="0" relativeHeight="251765248" behindDoc="0" locked="0" layoutInCell="1" allowOverlap="1" wp14:anchorId="268B7C52" wp14:editId="502D2EF4">
                <wp:simplePos x="0" y="0"/>
                <wp:positionH relativeFrom="column">
                  <wp:posOffset>2630805</wp:posOffset>
                </wp:positionH>
                <wp:positionV relativeFrom="paragraph">
                  <wp:posOffset>480060</wp:posOffset>
                </wp:positionV>
                <wp:extent cx="408940" cy="210185"/>
                <wp:effectExtent l="0" t="0" r="0" b="0"/>
                <wp:wrapNone/>
                <wp:docPr id="121" name="文本框 121"/>
                <wp:cNvGraphicFramePr/>
                <a:graphic xmlns:a="http://schemas.openxmlformats.org/drawingml/2006/main">
                  <a:graphicData uri="http://schemas.microsoft.com/office/word/2010/wordprocessingShape">
                    <wps:wsp>
                      <wps:cNvSpPr txBox="1"/>
                      <wps:spPr>
                        <a:xfrm>
                          <a:off x="0" y="0"/>
                          <a:ext cx="408940" cy="210185"/>
                        </a:xfrm>
                        <a:prstGeom prst="rect">
                          <a:avLst/>
                        </a:prstGeom>
                        <a:solidFill>
                          <a:srgbClr val="000000">
                            <a:alpha val="0"/>
                          </a:srgbClr>
                        </a:solidFill>
                        <a:ln w="6350">
                          <a:noFill/>
                        </a:ln>
                      </wps:spPr>
                      <wps:style>
                        <a:lnRef idx="0">
                          <a:schemeClr val="accent1"/>
                        </a:lnRef>
                        <a:fillRef idx="0">
                          <a:schemeClr val="accent1"/>
                        </a:fillRef>
                        <a:effectRef idx="0">
                          <a:schemeClr val="accent1"/>
                        </a:effectRef>
                        <a:fontRef idx="minor">
                          <a:schemeClr val="dk1"/>
                        </a:fontRef>
                      </wps:style>
                      <wps:txbx>
                        <w:txbxContent>
                          <w:p w14:paraId="295938DF" w14:textId="77777777" w:rsidR="00B0005F" w:rsidRDefault="00000000">
                            <w:pPr>
                              <w:rPr>
                                <w:b/>
                                <w:bCs/>
                                <w:color w:val="FFFFFF" w:themeColor="background1"/>
                                <w:sz w:val="11"/>
                                <w:szCs w:val="6"/>
                              </w:rPr>
                            </w:pPr>
                            <w:r>
                              <w:rPr>
                                <w:rFonts w:hint="eastAsia"/>
                                <w:b/>
                                <w:bCs/>
                                <w:color w:val="FFFFFF" w:themeColor="background1"/>
                                <w:sz w:val="11"/>
                                <w:szCs w:val="6"/>
                              </w:rPr>
                              <w:t>已搬迁</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268B7C52" id="文本框 121" o:spid="_x0000_s1028" type="#_x0000_t202" style="position:absolute;margin-left:207.15pt;margin-top:37.8pt;width:32.2pt;height:16.55pt;z-index:2517652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" fillcolor="black" stroked="f" strokeweight=".5pt">
                <v:fill opacity="0"/>
                <v:textbox>
                  <w:txbxContent>
                    <w:p w14:paraId="295938DF" w14:textId="77777777" w:rsidR="00B0005F" w:rsidRDefault="00000000">
                      <w:pPr>
                        <w:rPr>
                          <w:b/>
                          <w:bCs/>
                          <w:color w:val="FFFFFF" w:themeColor="background1"/>
                          <w:sz w:val="11"/>
                          <w:szCs w:val="6"/>
                        </w:rPr>
                      </w:pPr>
                      <w:r>
                        <w:rPr>
                          <w:rFonts w:hint="eastAsia"/>
                          <w:b/>
                          <w:bCs/>
                          <w:color w:val="FFFFFF" w:themeColor="background1"/>
                          <w:sz w:val="11"/>
                          <w:szCs w:val="6"/>
                        </w:rPr>
                        <w:t>已搬迁</w:t>
                      </w:r>
                    </w:p>
                  </w:txbxContent>
                </v:textbox>
              </v:shape>
            </w:pict>
          </mc:Fallback>
        </mc:AlternateContent>
      </w:r>
      <w:r w:rsidRPr="008A2411">
        <w:rPr>
          <w:noProof/>
          <w:color w:val="000000" w:themeColor="text1"/>
        </w:rPr>
        <mc:AlternateContent>
          <mc:Choice Requires="wps">
            <w:drawing>
              <wp:anchor distT="0" distB="0" distL="114300" distR="114300" simplePos="0" relativeHeight="251762176" behindDoc="0" locked="0" layoutInCell="1" allowOverlap="1" wp14:anchorId="706F2652" wp14:editId="731E1644">
                <wp:simplePos x="0" y="0"/>
                <wp:positionH relativeFrom="column">
                  <wp:posOffset>2647950</wp:posOffset>
                </wp:positionH>
                <wp:positionV relativeFrom="paragraph">
                  <wp:posOffset>401320</wp:posOffset>
                </wp:positionV>
                <wp:extent cx="396240" cy="403860"/>
                <wp:effectExtent l="12700" t="12700" r="17780" b="25400"/>
                <wp:wrapNone/>
                <wp:docPr id="117" name="任意多边形 117"/>
                <wp:cNvGraphicFramePr/>
                <a:graphic xmlns:a="http://schemas.openxmlformats.org/drawingml/2006/main">
                  <a:graphicData uri="http://schemas.microsoft.com/office/word/2010/wordprocessingShape">
                    <wps:wsp>
                      <wps:cNvSpPr/>
                      <wps:spPr>
                        <a:xfrm>
                          <a:off x="3790950" y="1315720"/>
                          <a:ext cx="396240" cy="403860"/>
                        </a:xfrm>
                        <a:custGeom>
                          <a:avLst/>
                          <a:gdLst>
                            <a:gd name="connisteX0" fmla="*/ 167640 w 396240"/>
                            <a:gd name="connsiteY0" fmla="*/ 342900 h 403860"/>
                            <a:gd name="connisteX1" fmla="*/ 0 w 396240"/>
                            <a:gd name="connsiteY1" fmla="*/ 0 h 403860"/>
                            <a:gd name="connisteX2" fmla="*/ 228600 w 396240"/>
                            <a:gd name="connsiteY2" fmla="*/ 53975 h 403860"/>
                            <a:gd name="connisteX3" fmla="*/ 396240 w 396240"/>
                            <a:gd name="connsiteY3" fmla="*/ 206375 h 403860"/>
                            <a:gd name="connisteX4" fmla="*/ 175260 w 396240"/>
                            <a:gd name="connsiteY4" fmla="*/ 381000 h 403860"/>
                            <a:gd name="connisteX5" fmla="*/ 220980 w 396240"/>
                            <a:gd name="connsiteY5" fmla="*/ 403860 h 403860"/>
                            <a:gd name="connisteX6" fmla="*/ 167640 w 396240"/>
                            <a:gd name="connsiteY6" fmla="*/ 381000 h 403860"/>
                          </a:gdLst>
                          <a:ahLst/>
                          <a:cxnLst>
                            <a:cxn ang="0">
                              <a:pos x="connisteX0" y="connsiteY0"/>
                            </a:cxn>
                            <a:cxn ang="0">
                              <a:pos x="connisteX1" y="connsiteY1"/>
                            </a:cxn>
                            <a:cxn ang="0">
                              <a:pos x="connisteX2" y="connsiteY2"/>
                            </a:cxn>
                            <a:cxn ang="0">
                              <a:pos x="connisteX3" y="connsiteY3"/>
                            </a:cxn>
                            <a:cxn ang="0">
                              <a:pos x="connisteX4" y="connsiteY4"/>
                            </a:cxn>
                            <a:cxn ang="0">
                              <a:pos x="connisteX5" y="connsiteY5"/>
                            </a:cxn>
                            <a:cxn ang="0">
                              <a:pos x="connisteX6" y="connsiteY6"/>
                            </a:cxn>
                          </a:cxnLst>
                          <a:rect l="l" t="t" r="r" b="b"/>
                          <a:pathLst>
                            <a:path w="396240" h="403860">
                              <a:moveTo>
                                <a:pt x="167640" y="342900"/>
                              </a:moveTo>
                              <a:lnTo>
                                <a:pt x="0" y="0"/>
                              </a:lnTo>
                              <a:lnTo>
                                <a:pt x="228600" y="53975"/>
                              </a:lnTo>
                              <a:lnTo>
                                <a:pt x="396240" y="206375"/>
                              </a:lnTo>
                              <a:lnTo>
                                <a:pt x="175260" y="381000"/>
                              </a:lnTo>
                              <a:lnTo>
                                <a:pt x="220980" y="403860"/>
                              </a:lnTo>
                              <a:lnTo>
                                <a:pt x="167640" y="381000"/>
                              </a:lnTo>
                            </a:path>
                          </a:pathLst>
                        </a:custGeom>
                        <a:noFill/>
                        <a:ln>
                          <a:solidFill>
                            <a:srgbClr val="00B050"/>
                          </a:solidFill>
                        </a:ln>
                      </wps:spPr>
                      <wps:style>
                        <a:lnRef idx="2">
                          <a:schemeClr val="accent1">
                            <a:shade val="50000"/>
                          </a:schemeClr>
                        </a:lnRef>
                        <a:fillRef idx="1">
                          <a:schemeClr val="accent1"/>
                        </a:fillRef>
                        <a:effectRef idx="0">
                          <a:schemeClr val="accent1"/>
                        </a:effectRef>
                        <a:fontRef idx="minor">
                          <a:schemeClr val="lt1"/>
                        </a:fontRef>
                      </wps:style>
                      <wps:bodyPr/>
                    </wps:wsp>
                  </a:graphicData>
                </a:graphic>
              </wp:anchor>
            </w:drawing>
          </mc:Choice>
          <mc:Fallback>
            <w:pict>
              <v:shape w14:anchorId="0CE95D7B" id="任意多边形 117" o:spid="_x0000_s1026" style="position:absolute;left:0;text-align:left;margin-left:208.5pt;margin-top:31.6pt;width:31.2pt;height:31.8pt;z-index:251762176;visibility:visible;mso-wrap-style:square;mso-wrap-distance-left:9pt;mso-wrap-distance-top:0;mso-wrap-distance-right:9pt;mso-wrap-distance-bottom:0;mso-position-horizontal:absolute;mso-position-horizontal-relative:text;mso-position-vertical:absolute;mso-position-vertical-relative:text;v-text-anchor:top" coordsize="396240,4038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" path="m167640,342900l,,228600,53975,396240,206375,175260,381000r45720,22860l167640,381000e" filled="f" strokecolor="#00b050" strokeweight="2pt">
                <v:path arrowok="t" o:connecttype="custom" o:connectlocs="167640,342900;0,0;228600,53975;396240,206375;175260,381000;220980,403860;167640,381000" o:connectangles="0,0,0,0,0,0,0"/>
              </v:shape>
            </w:pict>
          </mc:Fallback>
        </mc:AlternateContent>
      </w:r>
      <w:r w:rsidRPr="008A2411">
        <w:rPr>
          <w:rFonts w:ascii="Times New Roman" w:hAnsi="Times New Roman" w:cs="Times New Roman"/>
          <w:noProof/>
          <w:color w:val="000000" w:themeColor="text1"/>
        </w:rPr>
        <mc:AlternateContent>
          <mc:Choice Requires="wps">
            <w:drawing>
              <wp:anchor distT="0" distB="0" distL="114300" distR="114300" simplePos="0" relativeHeight="251746816" behindDoc="0" locked="0" layoutInCell="1" allowOverlap="1" wp14:anchorId="64491FEB" wp14:editId="645A65E4">
                <wp:simplePos x="0" y="0"/>
                <wp:positionH relativeFrom="column">
                  <wp:posOffset>1190625</wp:posOffset>
                </wp:positionH>
                <wp:positionV relativeFrom="paragraph">
                  <wp:posOffset>1874520</wp:posOffset>
                </wp:positionV>
                <wp:extent cx="408940" cy="210185"/>
                <wp:effectExtent l="0" t="0" r="0" b="0"/>
                <wp:wrapNone/>
                <wp:docPr id="74" name="文本框 74"/>
                <wp:cNvGraphicFramePr/>
                <a:graphic xmlns:a="http://schemas.openxmlformats.org/drawingml/2006/main">
                  <a:graphicData uri="http://schemas.microsoft.com/office/word/2010/wordprocessingShape">
                    <wps:wsp>
                      <wps:cNvSpPr txBox="1"/>
                      <wps:spPr>
                        <a:xfrm>
                          <a:off x="0" y="0"/>
                          <a:ext cx="408940" cy="210185"/>
                        </a:xfrm>
                        <a:prstGeom prst="rect">
                          <a:avLst/>
                        </a:prstGeom>
                        <a:solidFill>
                          <a:srgbClr val="000000">
                            <a:alpha val="0"/>
                          </a:srgbClr>
                        </a:solidFill>
                        <a:ln w="6350">
                          <a:noFill/>
                        </a:ln>
                      </wps:spPr>
                      <wps:style>
                        <a:lnRef idx="0">
                          <a:schemeClr val="accent1"/>
                        </a:lnRef>
                        <a:fillRef idx="0">
                          <a:schemeClr val="accent1"/>
                        </a:fillRef>
                        <a:effectRef idx="0">
                          <a:schemeClr val="accent1"/>
                        </a:effectRef>
                        <a:fontRef idx="minor">
                          <a:schemeClr val="dk1"/>
                        </a:fontRef>
                      </wps:style>
                      <wps:txbx>
                        <w:txbxContent>
                          <w:p w14:paraId="58D0DDF7" w14:textId="77777777" w:rsidR="00B0005F" w:rsidRDefault="00000000">
                            <w:pPr>
                              <w:rPr>
                                <w:b/>
                                <w:bCs/>
                                <w:color w:val="FFFFFF" w:themeColor="background1"/>
                                <w:sz w:val="11"/>
                                <w:szCs w:val="6"/>
                              </w:rPr>
                            </w:pPr>
                            <w:r>
                              <w:rPr>
                                <w:rFonts w:hint="eastAsia"/>
                                <w:b/>
                                <w:bCs/>
                                <w:color w:val="FFFFFF" w:themeColor="background1"/>
                                <w:sz w:val="11"/>
                                <w:szCs w:val="6"/>
                              </w:rPr>
                              <w:t>已搬迁</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64491FEB" id="文本框 74" o:spid="_x0000_s1029" type="#_x0000_t202" style="position:absolute;margin-left:93.75pt;margin-top:147.6pt;width:32.2pt;height:16.55pt;z-index:2517468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" fillcolor="black" stroked="f" strokeweight=".5pt">
                <v:fill opacity="0"/>
                <v:textbox>
                  <w:txbxContent>
                    <w:p w14:paraId="58D0DDF7" w14:textId="77777777" w:rsidR="00B0005F" w:rsidRDefault="00000000">
                      <w:pPr>
                        <w:rPr>
                          <w:b/>
                          <w:bCs/>
                          <w:color w:val="FFFFFF" w:themeColor="background1"/>
                          <w:sz w:val="11"/>
                          <w:szCs w:val="6"/>
                        </w:rPr>
                      </w:pPr>
                      <w:r>
                        <w:rPr>
                          <w:rFonts w:hint="eastAsia"/>
                          <w:b/>
                          <w:bCs/>
                          <w:color w:val="FFFFFF" w:themeColor="background1"/>
                          <w:sz w:val="11"/>
                          <w:szCs w:val="6"/>
                        </w:rPr>
                        <w:t>已搬迁</w:t>
                      </w:r>
                    </w:p>
                  </w:txbxContent>
                </v:textbox>
              </v:shape>
            </w:pict>
          </mc:Fallback>
        </mc:AlternateContent>
      </w:r>
      <w:r w:rsidRPr="008A2411">
        <w:rPr>
          <w:noProof/>
          <w:color w:val="000000" w:themeColor="text1"/>
        </w:rPr>
        <mc:AlternateContent>
          <mc:Choice Requires="wps">
            <w:drawing>
              <wp:anchor distT="0" distB="0" distL="114300" distR="114300" simplePos="0" relativeHeight="251759104" behindDoc="0" locked="0" layoutInCell="1" allowOverlap="1" wp14:anchorId="7B03CEC4" wp14:editId="5C202778">
                <wp:simplePos x="0" y="0"/>
                <wp:positionH relativeFrom="column">
                  <wp:posOffset>1123950</wp:posOffset>
                </wp:positionH>
                <wp:positionV relativeFrom="paragraph">
                  <wp:posOffset>1788795</wp:posOffset>
                </wp:positionV>
                <wp:extent cx="579120" cy="381000"/>
                <wp:effectExtent l="12700" t="12700" r="17780" b="17780"/>
                <wp:wrapNone/>
                <wp:docPr id="95" name="任意多边形 95"/>
                <wp:cNvGraphicFramePr/>
                <a:graphic xmlns:a="http://schemas.openxmlformats.org/drawingml/2006/main">
                  <a:graphicData uri="http://schemas.microsoft.com/office/word/2010/wordprocessingShape">
                    <wps:wsp>
                      <wps:cNvSpPr/>
                      <wps:spPr>
                        <a:xfrm>
                          <a:off x="2266950" y="2703195"/>
                          <a:ext cx="579120" cy="381000"/>
                        </a:xfrm>
                        <a:custGeom>
                          <a:avLst/>
                          <a:gdLst>
                            <a:gd name="connisteX0" fmla="*/ 335280 w 579120"/>
                            <a:gd name="connsiteY0" fmla="*/ 381000 h 381000"/>
                            <a:gd name="connisteX1" fmla="*/ 0 w 579120"/>
                            <a:gd name="connsiteY1" fmla="*/ 167640 h 381000"/>
                            <a:gd name="connisteX2" fmla="*/ 129540 w 579120"/>
                            <a:gd name="connsiteY2" fmla="*/ 15240 h 381000"/>
                            <a:gd name="connisteX3" fmla="*/ 396240 w 579120"/>
                            <a:gd name="connsiteY3" fmla="*/ 0 h 381000"/>
                            <a:gd name="connisteX4" fmla="*/ 579120 w 579120"/>
                            <a:gd name="connsiteY4" fmla="*/ 38100 h 381000"/>
                            <a:gd name="connisteX5" fmla="*/ 434340 w 579120"/>
                            <a:gd name="connsiteY5" fmla="*/ 349885 h 381000"/>
                            <a:gd name="connisteX6" fmla="*/ 358140 w 579120"/>
                            <a:gd name="connsiteY6" fmla="*/ 349885 h 381000"/>
                            <a:gd name="connisteX7" fmla="*/ 335280 w 579120"/>
                            <a:gd name="connsiteY7" fmla="*/ 381000 h 381000"/>
                          </a:gdLst>
                          <a:ahLst/>
                          <a:cxnLst>
                            <a:cxn ang="0">
                              <a:pos x="connisteX0" y="connsiteY0"/>
                            </a:cxn>
                            <a:cxn ang="0">
                              <a:pos x="connisteX1" y="connsiteY1"/>
                            </a:cxn>
                            <a:cxn ang="0">
                              <a:pos x="connisteX2" y="connsiteY2"/>
                            </a:cxn>
                            <a:cxn ang="0">
                              <a:pos x="connisteX3" y="connsiteY3"/>
                            </a:cxn>
                            <a:cxn ang="0">
                              <a:pos x="connisteX4" y="connsiteY4"/>
                            </a:cxn>
                            <a:cxn ang="0">
                              <a:pos x="connisteX5" y="connsiteY5"/>
                            </a:cxn>
                            <a:cxn ang="0">
                              <a:pos x="connisteX6" y="connsiteY6"/>
                            </a:cxn>
                            <a:cxn ang="0">
                              <a:pos x="connisteX7" y="connsiteY7"/>
                            </a:cxn>
                          </a:cxnLst>
                          <a:rect l="l" t="t" r="r" b="b"/>
                          <a:pathLst>
                            <a:path w="579120" h="381000">
                              <a:moveTo>
                                <a:pt x="335280" y="381000"/>
                              </a:moveTo>
                              <a:lnTo>
                                <a:pt x="0" y="167640"/>
                              </a:lnTo>
                              <a:lnTo>
                                <a:pt x="129540" y="15240"/>
                              </a:lnTo>
                              <a:lnTo>
                                <a:pt x="396240" y="0"/>
                              </a:lnTo>
                              <a:lnTo>
                                <a:pt x="579120" y="38100"/>
                              </a:lnTo>
                              <a:lnTo>
                                <a:pt x="434340" y="349885"/>
                              </a:lnTo>
                              <a:lnTo>
                                <a:pt x="358140" y="349885"/>
                              </a:lnTo>
                              <a:lnTo>
                                <a:pt x="335280" y="381000"/>
                              </a:lnTo>
                              <a:close/>
                            </a:path>
                          </a:pathLst>
                        </a:custGeom>
                        <a:noFill/>
                        <a:ln>
                          <a:solidFill>
                            <a:srgbClr val="00B050"/>
                          </a:solidFill>
                        </a:ln>
                      </wps:spPr>
                      <wps:style>
                        <a:lnRef idx="2">
                          <a:schemeClr val="accent1">
                            <a:shade val="50000"/>
                          </a:schemeClr>
                        </a:lnRef>
                        <a:fillRef idx="1">
                          <a:schemeClr val="accent1"/>
                        </a:fillRef>
                        <a:effectRef idx="0">
                          <a:schemeClr val="accent1"/>
                        </a:effectRef>
                        <a:fontRef idx="minor">
                          <a:schemeClr val="lt1"/>
                        </a:fontRef>
                      </wps:style>
                      <wps:bodyPr/>
                    </wps:wsp>
                  </a:graphicData>
                </a:graphic>
              </wp:anchor>
            </w:drawing>
          </mc:Choice>
          <mc:Fallback>
            <w:pict>
              <v:shape w14:anchorId="4629CE1A" id="任意多边形 95" o:spid="_x0000_s1026" style="position:absolute;left:0;text-align:left;margin-left:88.5pt;margin-top:140.85pt;width:45.6pt;height:30pt;z-index:251759104;visibility:visible;mso-wrap-style:square;mso-wrap-distance-left:9pt;mso-wrap-distance-top:0;mso-wrap-distance-right:9pt;mso-wrap-distance-bottom:0;mso-position-horizontal:absolute;mso-position-horizontal-relative:text;mso-position-vertical:absolute;mso-position-vertical-relative:text;v-text-anchor:top" coordsize="579120,381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" path="m335280,381000l,167640,129540,15240,396240,,579120,38100,434340,349885r-76200,l335280,381000xe" filled="f" strokecolor="#00b050" strokeweight="2pt">
                <v:path arrowok="t" o:connecttype="custom" o:connectlocs="335280,381000;0,167640;129540,15240;396240,0;579120,38100;434340,349885;358140,349885;335280,381000" o:connectangles="0,0,0,0,0,0,0,0"/>
              </v:shape>
            </w:pict>
          </mc:Fallback>
        </mc:AlternateContent>
      </w:r>
      <w:r w:rsidRPr="008A2411">
        <w:rPr>
          <w:rFonts w:ascii="Times New Roman" w:hAnsi="Times New Roman" w:cs="Times New Roman"/>
          <w:noProof/>
          <w:color w:val="000000" w:themeColor="text1"/>
        </w:rPr>
        <mc:AlternateContent>
          <mc:Choice Requires="wps">
            <w:drawing>
              <wp:anchor distT="0" distB="0" distL="114300" distR="114300" simplePos="0" relativeHeight="251743744" behindDoc="0" locked="0" layoutInCell="1" allowOverlap="1" wp14:anchorId="58970095" wp14:editId="33FE33BD">
                <wp:simplePos x="0" y="0"/>
                <wp:positionH relativeFrom="column">
                  <wp:posOffset>1975485</wp:posOffset>
                </wp:positionH>
                <wp:positionV relativeFrom="paragraph">
                  <wp:posOffset>2636520</wp:posOffset>
                </wp:positionV>
                <wp:extent cx="408940" cy="210185"/>
                <wp:effectExtent l="0" t="0" r="0" b="0"/>
                <wp:wrapNone/>
                <wp:docPr id="6" name="文本框 6"/>
                <wp:cNvGraphicFramePr/>
                <a:graphic xmlns:a="http://schemas.openxmlformats.org/drawingml/2006/main">
                  <a:graphicData uri="http://schemas.microsoft.com/office/word/2010/wordprocessingShape">
                    <wps:wsp>
                      <wps:cNvSpPr txBox="1"/>
                      <wps:spPr>
                        <a:xfrm>
                          <a:off x="0" y="0"/>
                          <a:ext cx="408940" cy="210185"/>
                        </a:xfrm>
                        <a:prstGeom prst="rect">
                          <a:avLst/>
                        </a:prstGeom>
                        <a:solidFill>
                          <a:srgbClr val="000000">
                            <a:alpha val="0"/>
                          </a:srgbClr>
                        </a:solidFill>
                        <a:ln w="6350">
                          <a:noFill/>
                        </a:ln>
                      </wps:spPr>
                      <wps:style>
                        <a:lnRef idx="0">
                          <a:schemeClr val="accent1"/>
                        </a:lnRef>
                        <a:fillRef idx="0">
                          <a:schemeClr val="accent1"/>
                        </a:fillRef>
                        <a:effectRef idx="0">
                          <a:schemeClr val="accent1"/>
                        </a:effectRef>
                        <a:fontRef idx="minor">
                          <a:schemeClr val="dk1"/>
                        </a:fontRef>
                      </wps:style>
                      <wps:txbx>
                        <w:txbxContent>
                          <w:p w14:paraId="20C65C0A" w14:textId="77777777" w:rsidR="00B0005F" w:rsidRDefault="00000000">
                            <w:pPr>
                              <w:rPr>
                                <w:b/>
                                <w:bCs/>
                                <w:color w:val="FFFFFF" w:themeColor="background1"/>
                                <w:sz w:val="11"/>
                                <w:szCs w:val="6"/>
                              </w:rPr>
                            </w:pPr>
                            <w:r>
                              <w:rPr>
                                <w:rFonts w:hint="eastAsia"/>
                                <w:b/>
                                <w:bCs/>
                                <w:color w:val="FFFFFF" w:themeColor="background1"/>
                                <w:sz w:val="11"/>
                                <w:szCs w:val="6"/>
                              </w:rPr>
                              <w:t>已搬迁</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58970095" id="文本框 6" o:spid="_x0000_s1030" type="#_x0000_t202" style="position:absolute;margin-left:155.55pt;margin-top:207.6pt;width:32.2pt;height:16.55pt;z-index:2517437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" fillcolor="black" stroked="f" strokeweight=".5pt">
                <v:fill opacity="0"/>
                <v:textbox>
                  <w:txbxContent>
                    <w:p w14:paraId="20C65C0A" w14:textId="77777777" w:rsidR="00B0005F" w:rsidRDefault="00000000">
                      <w:pPr>
                        <w:rPr>
                          <w:b/>
                          <w:bCs/>
                          <w:color w:val="FFFFFF" w:themeColor="background1"/>
                          <w:sz w:val="11"/>
                          <w:szCs w:val="6"/>
                        </w:rPr>
                      </w:pPr>
                      <w:r>
                        <w:rPr>
                          <w:rFonts w:hint="eastAsia"/>
                          <w:b/>
                          <w:bCs/>
                          <w:color w:val="FFFFFF" w:themeColor="background1"/>
                          <w:sz w:val="11"/>
                          <w:szCs w:val="6"/>
                        </w:rPr>
                        <w:t>已搬迁</w:t>
                      </w:r>
                    </w:p>
                  </w:txbxContent>
                </v:textbox>
              </v:shape>
            </w:pict>
          </mc:Fallback>
        </mc:AlternateContent>
      </w:r>
      <w:r w:rsidRPr="008A2411">
        <w:rPr>
          <w:noProof/>
          <w:color w:val="000000" w:themeColor="text1"/>
        </w:rPr>
        <mc:AlternateContent>
          <mc:Choice Requires="wps">
            <w:drawing>
              <wp:anchor distT="0" distB="0" distL="114300" distR="114300" simplePos="0" relativeHeight="251752960" behindDoc="0" locked="0" layoutInCell="1" allowOverlap="1" wp14:anchorId="3A13AACF" wp14:editId="1F8C962D">
                <wp:simplePos x="0" y="0"/>
                <wp:positionH relativeFrom="column">
                  <wp:posOffset>1703070</wp:posOffset>
                </wp:positionH>
                <wp:positionV relativeFrom="paragraph">
                  <wp:posOffset>2420620</wp:posOffset>
                </wp:positionV>
                <wp:extent cx="830580" cy="685800"/>
                <wp:effectExtent l="12700" t="12700" r="25400" b="17780"/>
                <wp:wrapNone/>
                <wp:docPr id="94" name="任意多边形 94"/>
                <wp:cNvGraphicFramePr/>
                <a:graphic xmlns:a="http://schemas.openxmlformats.org/drawingml/2006/main">
                  <a:graphicData uri="http://schemas.microsoft.com/office/word/2010/wordprocessingShape">
                    <wps:wsp>
                      <wps:cNvSpPr/>
                      <wps:spPr>
                        <a:xfrm>
                          <a:off x="2846070" y="3335020"/>
                          <a:ext cx="830580" cy="685800"/>
                        </a:xfrm>
                        <a:custGeom>
                          <a:avLst/>
                          <a:gdLst>
                            <a:gd name="connisteX0" fmla="*/ 76200 w 830580"/>
                            <a:gd name="connsiteY0" fmla="*/ 419100 h 685800"/>
                            <a:gd name="connisteX1" fmla="*/ 0 w 830580"/>
                            <a:gd name="connsiteY1" fmla="*/ 160655 h 685800"/>
                            <a:gd name="connisteX2" fmla="*/ 228600 w 830580"/>
                            <a:gd name="connsiteY2" fmla="*/ 137160 h 685800"/>
                            <a:gd name="connisteX3" fmla="*/ 419100 w 830580"/>
                            <a:gd name="connsiteY3" fmla="*/ 92075 h 685800"/>
                            <a:gd name="connisteX4" fmla="*/ 800100 w 830580"/>
                            <a:gd name="connsiteY4" fmla="*/ 0 h 685800"/>
                            <a:gd name="connisteX5" fmla="*/ 830580 w 830580"/>
                            <a:gd name="connsiteY5" fmla="*/ 107315 h 685800"/>
                            <a:gd name="connisteX6" fmla="*/ 739140 w 830580"/>
                            <a:gd name="connsiteY6" fmla="*/ 320675 h 685800"/>
                            <a:gd name="connisteX7" fmla="*/ 739140 w 830580"/>
                            <a:gd name="connsiteY7" fmla="*/ 647700 h 685800"/>
                            <a:gd name="connisteX8" fmla="*/ 403860 w 830580"/>
                            <a:gd name="connsiteY8" fmla="*/ 685800 h 685800"/>
                            <a:gd name="connisteX9" fmla="*/ 76200 w 830580"/>
                            <a:gd name="connsiteY9" fmla="*/ 419100 h 685800"/>
                          </a:gdLst>
                          <a:ahLst/>
                          <a:cxnLst>
                            <a:cxn ang="0">
                              <a:pos x="connisteX0" y="connsiteY0"/>
                            </a:cxn>
                            <a:cxn ang="0">
                              <a:pos x="connisteX1" y="connsiteY1"/>
                            </a:cxn>
                            <a:cxn ang="0">
                              <a:pos x="connisteX2" y="connsiteY2"/>
                            </a:cxn>
                            <a:cxn ang="0">
                              <a:pos x="connisteX3" y="connsiteY3"/>
                            </a:cxn>
                            <a:cxn ang="0">
                              <a:pos x="connisteX4" y="connsiteY4"/>
                            </a:cxn>
                            <a:cxn ang="0">
                              <a:pos x="connisteX5" y="connsiteY5"/>
                            </a:cxn>
                            <a:cxn ang="0">
                              <a:pos x="connisteX6" y="connsiteY6"/>
                            </a:cxn>
                            <a:cxn ang="0">
                              <a:pos x="connisteX7" y="connsiteY7"/>
                            </a:cxn>
                            <a:cxn ang="0">
                              <a:pos x="connisteX8" y="connsiteY8"/>
                            </a:cxn>
                            <a:cxn ang="0">
                              <a:pos x="connisteX9" y="connsiteY9"/>
                            </a:cxn>
                          </a:cxnLst>
                          <a:rect l="l" t="t" r="r" b="b"/>
                          <a:pathLst>
                            <a:path w="830580" h="685800">
                              <a:moveTo>
                                <a:pt x="76200" y="419100"/>
                              </a:moveTo>
                              <a:lnTo>
                                <a:pt x="0" y="160655"/>
                              </a:lnTo>
                              <a:lnTo>
                                <a:pt x="228600" y="137160"/>
                              </a:lnTo>
                              <a:lnTo>
                                <a:pt x="419100" y="92075"/>
                              </a:lnTo>
                              <a:lnTo>
                                <a:pt x="800100" y="0"/>
                              </a:lnTo>
                              <a:lnTo>
                                <a:pt x="830580" y="107315"/>
                              </a:lnTo>
                              <a:lnTo>
                                <a:pt x="739140" y="320675"/>
                              </a:lnTo>
                              <a:lnTo>
                                <a:pt x="739140" y="647700"/>
                              </a:lnTo>
                              <a:lnTo>
                                <a:pt x="403860" y="685800"/>
                              </a:lnTo>
                              <a:lnTo>
                                <a:pt x="76200" y="419100"/>
                              </a:lnTo>
                              <a:close/>
                            </a:path>
                          </a:pathLst>
                        </a:custGeom>
                        <a:noFill/>
                        <a:ln>
                          <a:solidFill>
                            <a:srgbClr val="00B050"/>
                          </a:solidFill>
                        </a:ln>
                      </wps:spPr>
                      <wps:style>
                        <a:lnRef idx="2">
                          <a:schemeClr val="accent1">
                            <a:shade val="50000"/>
                          </a:schemeClr>
                        </a:lnRef>
                        <a:fillRef idx="1">
                          <a:schemeClr val="accent1"/>
                        </a:fillRef>
                        <a:effectRef idx="0">
                          <a:schemeClr val="accent1"/>
                        </a:effectRef>
                        <a:fontRef idx="minor">
                          <a:schemeClr val="lt1"/>
                        </a:fontRef>
                      </wps:style>
                      <wps:bodyPr/>
                    </wps:wsp>
                  </a:graphicData>
                </a:graphic>
              </wp:anchor>
            </w:drawing>
          </mc:Choice>
          <mc:Fallback>
            <w:pict>
              <v:shape w14:anchorId="14E871D9" id="任意多边形 94" o:spid="_x0000_s1026" style="position:absolute;left:0;text-align:left;margin-left:134.1pt;margin-top:190.6pt;width:65.4pt;height:54pt;z-index:251752960;visibility:visible;mso-wrap-style:square;mso-wrap-distance-left:9pt;mso-wrap-distance-top:0;mso-wrap-distance-right:9pt;mso-wrap-distance-bottom:0;mso-position-horizontal:absolute;mso-position-horizontal-relative:text;mso-position-vertical:absolute;mso-position-vertical-relative:text;v-text-anchor:top" coordsize="830580,6858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" path="m76200,419100l,160655,228600,137160,419100,92075,800100,r30480,107315l739140,320675r,327025l403860,685800,76200,419100xe" filled="f" strokecolor="#00b050" strokeweight="2pt">
                <v:path arrowok="t" o:connecttype="custom" o:connectlocs="76200,419100;0,160655;228600,137160;419100,92075;800100,0;830580,107315;739140,320675;739140,647700;403860,685800;76200,419100" o:connectangles="0,0,0,0,0,0,0,0,0,0"/>
              </v:shape>
            </w:pict>
          </mc:Fallback>
        </mc:AlternateContent>
      </w:r>
      <w:r w:rsidRPr="008A2411">
        <w:rPr>
          <w:rFonts w:ascii="Times New Roman" w:hAnsi="Times New Roman" w:cs="Times New Roman"/>
          <w:noProof/>
          <w:color w:val="000000" w:themeColor="text1"/>
        </w:rPr>
        <mc:AlternateContent>
          <mc:Choice Requires="wps">
            <w:drawing>
              <wp:anchor distT="0" distB="0" distL="114300" distR="114300" simplePos="0" relativeHeight="251719168" behindDoc="0" locked="0" layoutInCell="1" allowOverlap="1" wp14:anchorId="6F6A010E" wp14:editId="50B76594">
                <wp:simplePos x="0" y="0"/>
                <wp:positionH relativeFrom="column">
                  <wp:posOffset>2936875</wp:posOffset>
                </wp:positionH>
                <wp:positionV relativeFrom="paragraph">
                  <wp:posOffset>761365</wp:posOffset>
                </wp:positionV>
                <wp:extent cx="408940" cy="210185"/>
                <wp:effectExtent l="0" t="0" r="0" b="0"/>
                <wp:wrapNone/>
                <wp:docPr id="76" name="文本框 76"/>
                <wp:cNvGraphicFramePr/>
                <a:graphic xmlns:a="http://schemas.openxmlformats.org/drawingml/2006/main">
                  <a:graphicData uri="http://schemas.microsoft.com/office/word/2010/wordprocessingShape">
                    <wps:wsp>
                      <wps:cNvSpPr txBox="1"/>
                      <wps:spPr>
                        <a:xfrm>
                          <a:off x="0" y="0"/>
                          <a:ext cx="408940" cy="210185"/>
                        </a:xfrm>
                        <a:prstGeom prst="rect">
                          <a:avLst/>
                        </a:prstGeom>
                        <a:solidFill>
                          <a:srgbClr val="000000">
                            <a:alpha val="0"/>
                          </a:srgbClr>
                        </a:solidFill>
                        <a:ln w="6350">
                          <a:noFill/>
                        </a:ln>
                      </wps:spPr>
                      <wps:style>
                        <a:lnRef idx="0">
                          <a:schemeClr val="accent1"/>
                        </a:lnRef>
                        <a:fillRef idx="0">
                          <a:schemeClr val="accent1"/>
                        </a:fillRef>
                        <a:effectRef idx="0">
                          <a:schemeClr val="accent1"/>
                        </a:effectRef>
                        <a:fontRef idx="minor">
                          <a:schemeClr val="dk1"/>
                        </a:fontRef>
                      </wps:style>
                      <wps:txbx>
                        <w:txbxContent>
                          <w:p w14:paraId="76467F8A" w14:textId="77777777" w:rsidR="00B0005F" w:rsidRDefault="00000000">
                            <w:pPr>
                              <w:rPr>
                                <w:b/>
                                <w:bCs/>
                                <w:color w:val="FFFFFF" w:themeColor="background1"/>
                                <w:sz w:val="11"/>
                                <w:szCs w:val="6"/>
                              </w:rPr>
                            </w:pPr>
                            <w:r>
                              <w:rPr>
                                <w:rFonts w:hint="eastAsia"/>
                                <w:b/>
                                <w:bCs/>
                                <w:color w:val="FFFFFF" w:themeColor="background1"/>
                                <w:sz w:val="11"/>
                                <w:szCs w:val="6"/>
                              </w:rPr>
                              <w:t>200m</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6F6A010E" id="文本框 76" o:spid="_x0000_s1031" type="#_x0000_t202" style="position:absolute;margin-left:231.25pt;margin-top:59.95pt;width:32.2pt;height:16.55pt;z-index:2517191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" fillcolor="black" stroked="f" strokeweight=".5pt">
                <v:fill opacity="0"/>
                <v:textbox>
                  <w:txbxContent>
                    <w:p w14:paraId="76467F8A" w14:textId="77777777" w:rsidR="00B0005F" w:rsidRDefault="00000000">
                      <w:pPr>
                        <w:rPr>
                          <w:b/>
                          <w:bCs/>
                          <w:color w:val="FFFFFF" w:themeColor="background1"/>
                          <w:sz w:val="11"/>
                          <w:szCs w:val="6"/>
                        </w:rPr>
                      </w:pPr>
                      <w:r>
                        <w:rPr>
                          <w:rFonts w:hint="eastAsia"/>
                          <w:b/>
                          <w:bCs/>
                          <w:color w:val="FFFFFF" w:themeColor="background1"/>
                          <w:sz w:val="11"/>
                          <w:szCs w:val="6"/>
                        </w:rPr>
                        <w:t>200m</w:t>
                      </w:r>
                    </w:p>
                  </w:txbxContent>
                </v:textbox>
              </v:shape>
            </w:pict>
          </mc:Fallback>
        </mc:AlternateContent>
      </w:r>
      <w:r w:rsidRPr="008A2411">
        <w:rPr>
          <w:rFonts w:ascii="Times New Roman" w:hAnsi="Times New Roman" w:cs="Times New Roman"/>
          <w:noProof/>
          <w:color w:val="000000" w:themeColor="text1"/>
        </w:rPr>
        <mc:AlternateContent>
          <mc:Choice Requires="wps">
            <w:drawing>
              <wp:anchor distT="0" distB="0" distL="114300" distR="114300" simplePos="0" relativeHeight="251713024" behindDoc="0" locked="0" layoutInCell="1" allowOverlap="1" wp14:anchorId="26C0C365" wp14:editId="4C14D15B">
                <wp:simplePos x="0" y="0"/>
                <wp:positionH relativeFrom="column">
                  <wp:posOffset>3002915</wp:posOffset>
                </wp:positionH>
                <wp:positionV relativeFrom="paragraph">
                  <wp:posOffset>401955</wp:posOffset>
                </wp:positionV>
                <wp:extent cx="5715" cy="814705"/>
                <wp:effectExtent l="48260" t="0" r="52705" b="8255"/>
                <wp:wrapNone/>
                <wp:docPr id="73" name="直接箭头连接符 73"/>
                <wp:cNvGraphicFramePr/>
                <a:graphic xmlns:a="http://schemas.openxmlformats.org/drawingml/2006/main">
                  <a:graphicData uri="http://schemas.microsoft.com/office/word/2010/wordprocessingShape">
                    <wps:wsp>
                      <wps:cNvCnPr/>
                      <wps:spPr>
                        <a:xfrm flipV="1">
                          <a:off x="0" y="0"/>
                          <a:ext cx="5715" cy="814705"/>
                        </a:xfrm>
                        <a:prstGeom prst="straightConnector1">
                          <a:avLst/>
                        </a:prstGeom>
                        <a:ln>
                          <a:solidFill>
                            <a:schemeClr val="bg1"/>
                          </a:solidFill>
                          <a:headEnd type="arrow"/>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69B333E8" id="直接箭头连接符 73" o:spid="_x0000_s1026" type="#_x0000_t32" style="position:absolute;left:0;text-align:left;margin-left:236.45pt;margin-top:31.65pt;width:.45pt;height:64.15pt;flip:y;z-index:25171302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" strokecolor="white [3212]">
                <v:stroke startarrow="open" endarrow="open"/>
              </v:shape>
            </w:pict>
          </mc:Fallback>
        </mc:AlternateContent>
      </w:r>
      <w:r w:rsidRPr="008A2411">
        <w:rPr>
          <w:rFonts w:ascii="Times New Roman" w:hAnsi="Times New Roman" w:cs="Times New Roman"/>
          <w:noProof/>
          <w:color w:val="000000" w:themeColor="text1"/>
        </w:rPr>
        <mc:AlternateContent>
          <mc:Choice Requires="wps">
            <w:drawing>
              <wp:anchor distT="0" distB="0" distL="114300" distR="114300" simplePos="0" relativeHeight="251709952" behindDoc="0" locked="0" layoutInCell="1" allowOverlap="1" wp14:anchorId="55B07DD4" wp14:editId="6ED80BD3">
                <wp:simplePos x="0" y="0"/>
                <wp:positionH relativeFrom="column">
                  <wp:posOffset>4131945</wp:posOffset>
                </wp:positionH>
                <wp:positionV relativeFrom="paragraph">
                  <wp:posOffset>1336675</wp:posOffset>
                </wp:positionV>
                <wp:extent cx="408940" cy="210185"/>
                <wp:effectExtent l="0" t="0" r="0" b="0"/>
                <wp:wrapNone/>
                <wp:docPr id="70" name="文本框 70"/>
                <wp:cNvGraphicFramePr/>
                <a:graphic xmlns:a="http://schemas.openxmlformats.org/drawingml/2006/main">
                  <a:graphicData uri="http://schemas.microsoft.com/office/word/2010/wordprocessingShape">
                    <wps:wsp>
                      <wps:cNvSpPr txBox="1"/>
                      <wps:spPr>
                        <a:xfrm>
                          <a:off x="0" y="0"/>
                          <a:ext cx="408940" cy="210185"/>
                        </a:xfrm>
                        <a:prstGeom prst="rect">
                          <a:avLst/>
                        </a:prstGeom>
                        <a:solidFill>
                          <a:srgbClr val="000000">
                            <a:alpha val="0"/>
                          </a:srgbClr>
                        </a:solidFill>
                        <a:ln w="6350">
                          <a:noFill/>
                        </a:ln>
                      </wps:spPr>
                      <wps:style>
                        <a:lnRef idx="0">
                          <a:schemeClr val="accent1"/>
                        </a:lnRef>
                        <a:fillRef idx="0">
                          <a:schemeClr val="accent1"/>
                        </a:fillRef>
                        <a:effectRef idx="0">
                          <a:schemeClr val="accent1"/>
                        </a:effectRef>
                        <a:fontRef idx="minor">
                          <a:schemeClr val="dk1"/>
                        </a:fontRef>
                      </wps:style>
                      <wps:txbx>
                        <w:txbxContent>
                          <w:p w14:paraId="084E8238" w14:textId="77777777" w:rsidR="00B0005F" w:rsidRDefault="00000000">
                            <w:pPr>
                              <w:rPr>
                                <w:b/>
                                <w:bCs/>
                                <w:color w:val="FFFFFF" w:themeColor="background1"/>
                                <w:sz w:val="11"/>
                                <w:szCs w:val="6"/>
                              </w:rPr>
                            </w:pPr>
                            <w:r>
                              <w:rPr>
                                <w:rFonts w:hint="eastAsia"/>
                                <w:b/>
                                <w:bCs/>
                                <w:color w:val="FFFFFF" w:themeColor="background1"/>
                                <w:sz w:val="11"/>
                                <w:szCs w:val="6"/>
                              </w:rPr>
                              <w:t>200m</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55B07DD4" id="文本框 70" o:spid="_x0000_s1032" type="#_x0000_t202" style="position:absolute;margin-left:325.35pt;margin-top:105.25pt;width:32.2pt;height:16.55pt;z-index:2517099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" fillcolor="black" stroked="f" strokeweight=".5pt">
                <v:fill opacity="0"/>
                <v:textbox>
                  <w:txbxContent>
                    <w:p w14:paraId="084E8238" w14:textId="77777777" w:rsidR="00B0005F" w:rsidRDefault="00000000">
                      <w:pPr>
                        <w:rPr>
                          <w:b/>
                          <w:bCs/>
                          <w:color w:val="FFFFFF" w:themeColor="background1"/>
                          <w:sz w:val="11"/>
                          <w:szCs w:val="6"/>
                        </w:rPr>
                      </w:pPr>
                      <w:r>
                        <w:rPr>
                          <w:rFonts w:hint="eastAsia"/>
                          <w:b/>
                          <w:bCs/>
                          <w:color w:val="FFFFFF" w:themeColor="background1"/>
                          <w:sz w:val="11"/>
                          <w:szCs w:val="6"/>
                        </w:rPr>
                        <w:t>200m</w:t>
                      </w:r>
                    </w:p>
                  </w:txbxContent>
                </v:textbox>
              </v:shape>
            </w:pict>
          </mc:Fallback>
        </mc:AlternateContent>
      </w:r>
      <w:r w:rsidRPr="008A2411">
        <w:rPr>
          <w:rFonts w:ascii="Times New Roman" w:hAnsi="Times New Roman" w:cs="Times New Roman"/>
          <w:noProof/>
          <w:color w:val="000000" w:themeColor="text1"/>
        </w:rPr>
        <mc:AlternateContent>
          <mc:Choice Requires="wps">
            <w:drawing>
              <wp:anchor distT="0" distB="0" distL="114300" distR="114300" simplePos="0" relativeHeight="251703808" behindDoc="0" locked="0" layoutInCell="1" allowOverlap="1" wp14:anchorId="714A8760" wp14:editId="5338531A">
                <wp:simplePos x="0" y="0"/>
                <wp:positionH relativeFrom="column">
                  <wp:posOffset>3972560</wp:posOffset>
                </wp:positionH>
                <wp:positionV relativeFrom="paragraph">
                  <wp:posOffset>1528445</wp:posOffset>
                </wp:positionV>
                <wp:extent cx="848995" cy="21590"/>
                <wp:effectExtent l="0" t="46990" r="4445" b="53340"/>
                <wp:wrapNone/>
                <wp:docPr id="56" name="直接箭头连接符 56"/>
                <wp:cNvGraphicFramePr/>
                <a:graphic xmlns:a="http://schemas.openxmlformats.org/drawingml/2006/main">
                  <a:graphicData uri="http://schemas.microsoft.com/office/word/2010/wordprocessingShape">
                    <wps:wsp>
                      <wps:cNvCnPr/>
                      <wps:spPr>
                        <a:xfrm>
                          <a:off x="5115560" y="2442845"/>
                          <a:ext cx="848995" cy="21590"/>
                        </a:xfrm>
                        <a:prstGeom prst="straightConnector1">
                          <a:avLst/>
                        </a:prstGeom>
                        <a:ln>
                          <a:solidFill>
                            <a:schemeClr val="bg1"/>
                          </a:solidFill>
                          <a:headEnd type="arrow"/>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024187C8" id="直接箭头连接符 56" o:spid="_x0000_s1026" type="#_x0000_t32" style="position:absolute;left:0;text-align:left;margin-left:312.8pt;margin-top:120.35pt;width:66.85pt;height:1.7pt;z-index:25170380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" strokecolor="white [3212]">
                <v:stroke startarrow="open" endarrow="open"/>
              </v:shape>
            </w:pict>
          </mc:Fallback>
        </mc:AlternateContent>
      </w:r>
      <w:r w:rsidRPr="008A2411">
        <w:rPr>
          <w:rFonts w:ascii="Times New Roman" w:hAnsi="Times New Roman" w:cs="Times New Roman"/>
          <w:noProof/>
          <w:color w:val="000000" w:themeColor="text1"/>
        </w:rPr>
        <mc:AlternateContent>
          <mc:Choice Requires="wps">
            <w:drawing>
              <wp:anchor distT="0" distB="0" distL="114300" distR="114300" simplePos="0" relativeHeight="251700736" behindDoc="0" locked="0" layoutInCell="1" allowOverlap="1" wp14:anchorId="32D8F592" wp14:editId="4851B5CF">
                <wp:simplePos x="0" y="0"/>
                <wp:positionH relativeFrom="column">
                  <wp:posOffset>4124325</wp:posOffset>
                </wp:positionH>
                <wp:positionV relativeFrom="paragraph">
                  <wp:posOffset>2392680</wp:posOffset>
                </wp:positionV>
                <wp:extent cx="408940" cy="210185"/>
                <wp:effectExtent l="0" t="0" r="0" b="0"/>
                <wp:wrapNone/>
                <wp:docPr id="53" name="文本框 53"/>
                <wp:cNvGraphicFramePr/>
                <a:graphic xmlns:a="http://schemas.openxmlformats.org/drawingml/2006/main">
                  <a:graphicData uri="http://schemas.microsoft.com/office/word/2010/wordprocessingShape">
                    <wps:wsp>
                      <wps:cNvSpPr txBox="1"/>
                      <wps:spPr>
                        <a:xfrm>
                          <a:off x="0" y="0"/>
                          <a:ext cx="408940" cy="210185"/>
                        </a:xfrm>
                        <a:prstGeom prst="rect">
                          <a:avLst/>
                        </a:prstGeom>
                        <a:solidFill>
                          <a:srgbClr val="000000">
                            <a:alpha val="0"/>
                          </a:srgbClr>
                        </a:solidFill>
                        <a:ln w="6350">
                          <a:noFill/>
                        </a:ln>
                      </wps:spPr>
                      <wps:style>
                        <a:lnRef idx="0">
                          <a:schemeClr val="accent1"/>
                        </a:lnRef>
                        <a:fillRef idx="0">
                          <a:schemeClr val="accent1"/>
                        </a:fillRef>
                        <a:effectRef idx="0">
                          <a:schemeClr val="accent1"/>
                        </a:effectRef>
                        <a:fontRef idx="minor">
                          <a:schemeClr val="dk1"/>
                        </a:fontRef>
                      </wps:style>
                      <wps:txbx>
                        <w:txbxContent>
                          <w:p w14:paraId="286A95DD" w14:textId="77777777" w:rsidR="00B0005F" w:rsidRDefault="00000000">
                            <w:pPr>
                              <w:rPr>
                                <w:b/>
                                <w:bCs/>
                                <w:color w:val="FFFFFF" w:themeColor="background1"/>
                                <w:sz w:val="11"/>
                                <w:szCs w:val="6"/>
                              </w:rPr>
                            </w:pPr>
                            <w:r>
                              <w:rPr>
                                <w:rFonts w:hint="eastAsia"/>
                                <w:b/>
                                <w:bCs/>
                                <w:color w:val="FFFFFF" w:themeColor="background1"/>
                                <w:sz w:val="11"/>
                                <w:szCs w:val="6"/>
                              </w:rPr>
                              <w:t>居民</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32D8F592" id="文本框 53" o:spid="_x0000_s1033" type="#_x0000_t202" style="position:absolute;margin-left:324.75pt;margin-top:188.4pt;width:32.2pt;height:16.55pt;z-index:2517007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" fillcolor="black" stroked="f" strokeweight=".5pt">
                <v:fill opacity="0"/>
                <v:textbox>
                  <w:txbxContent>
                    <w:p w14:paraId="286A95DD" w14:textId="77777777" w:rsidR="00B0005F" w:rsidRDefault="00000000">
                      <w:pPr>
                        <w:rPr>
                          <w:b/>
                          <w:bCs/>
                          <w:color w:val="FFFFFF" w:themeColor="background1"/>
                          <w:sz w:val="11"/>
                          <w:szCs w:val="6"/>
                        </w:rPr>
                      </w:pPr>
                      <w:r>
                        <w:rPr>
                          <w:rFonts w:hint="eastAsia"/>
                          <w:b/>
                          <w:bCs/>
                          <w:color w:val="FFFFFF" w:themeColor="background1"/>
                          <w:sz w:val="11"/>
                          <w:szCs w:val="6"/>
                        </w:rPr>
                        <w:t>居民</w:t>
                      </w:r>
                    </w:p>
                  </w:txbxContent>
                </v:textbox>
              </v:shape>
            </w:pict>
          </mc:Fallback>
        </mc:AlternateContent>
      </w:r>
      <w:r w:rsidRPr="008A2411">
        <w:rPr>
          <w:rFonts w:ascii="Times New Roman" w:hAnsi="Times New Roman" w:cs="Times New Roman"/>
          <w:noProof/>
          <w:color w:val="000000" w:themeColor="text1"/>
        </w:rPr>
        <mc:AlternateContent>
          <mc:Choice Requires="wps">
            <w:drawing>
              <wp:anchor distT="0" distB="0" distL="114300" distR="114300" simplePos="0" relativeHeight="251694592" behindDoc="0" locked="0" layoutInCell="1" allowOverlap="1" wp14:anchorId="01B8A2E4" wp14:editId="234DAC64">
                <wp:simplePos x="0" y="0"/>
                <wp:positionH relativeFrom="column">
                  <wp:posOffset>3772535</wp:posOffset>
                </wp:positionH>
                <wp:positionV relativeFrom="paragraph">
                  <wp:posOffset>2240280</wp:posOffset>
                </wp:positionV>
                <wp:extent cx="408940" cy="210185"/>
                <wp:effectExtent l="0" t="0" r="0" b="0"/>
                <wp:wrapNone/>
                <wp:docPr id="50" name="文本框 50"/>
                <wp:cNvGraphicFramePr/>
                <a:graphic xmlns:a="http://schemas.openxmlformats.org/drawingml/2006/main">
                  <a:graphicData uri="http://schemas.microsoft.com/office/word/2010/wordprocessingShape">
                    <wps:wsp>
                      <wps:cNvSpPr txBox="1"/>
                      <wps:spPr>
                        <a:xfrm>
                          <a:off x="0" y="0"/>
                          <a:ext cx="408940" cy="210185"/>
                        </a:xfrm>
                        <a:prstGeom prst="rect">
                          <a:avLst/>
                        </a:prstGeom>
                        <a:solidFill>
                          <a:srgbClr val="000000">
                            <a:alpha val="0"/>
                          </a:srgbClr>
                        </a:solidFill>
                        <a:ln w="6350">
                          <a:noFill/>
                        </a:ln>
                      </wps:spPr>
                      <wps:style>
                        <a:lnRef idx="0">
                          <a:schemeClr val="accent1"/>
                        </a:lnRef>
                        <a:fillRef idx="0">
                          <a:schemeClr val="accent1"/>
                        </a:fillRef>
                        <a:effectRef idx="0">
                          <a:schemeClr val="accent1"/>
                        </a:effectRef>
                        <a:fontRef idx="minor">
                          <a:schemeClr val="dk1"/>
                        </a:fontRef>
                      </wps:style>
                      <wps:txbx>
                        <w:txbxContent>
                          <w:p w14:paraId="25AC3768" w14:textId="77777777" w:rsidR="00B0005F" w:rsidRDefault="00000000">
                            <w:pPr>
                              <w:rPr>
                                <w:b/>
                                <w:bCs/>
                                <w:color w:val="FFFFFF" w:themeColor="background1"/>
                                <w:sz w:val="11"/>
                                <w:szCs w:val="6"/>
                              </w:rPr>
                            </w:pPr>
                            <w:r>
                              <w:rPr>
                                <w:rFonts w:hint="eastAsia"/>
                                <w:b/>
                                <w:bCs/>
                                <w:color w:val="FFFFFF" w:themeColor="background1"/>
                                <w:sz w:val="11"/>
                                <w:szCs w:val="6"/>
                              </w:rPr>
                              <w:t>居民</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01B8A2E4" id="文本框 50" o:spid="_x0000_s1034" type="#_x0000_t202" style="position:absolute;margin-left:297.05pt;margin-top:176.4pt;width:32.2pt;height:16.55pt;z-index:2516945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" fillcolor="black" stroked="f" strokeweight=".5pt">
                <v:fill opacity="0"/>
                <v:textbox>
                  <w:txbxContent>
                    <w:p w14:paraId="25AC3768" w14:textId="77777777" w:rsidR="00B0005F" w:rsidRDefault="00000000">
                      <w:pPr>
                        <w:rPr>
                          <w:b/>
                          <w:bCs/>
                          <w:color w:val="FFFFFF" w:themeColor="background1"/>
                          <w:sz w:val="11"/>
                          <w:szCs w:val="6"/>
                        </w:rPr>
                      </w:pPr>
                      <w:r>
                        <w:rPr>
                          <w:rFonts w:hint="eastAsia"/>
                          <w:b/>
                          <w:bCs/>
                          <w:color w:val="FFFFFF" w:themeColor="background1"/>
                          <w:sz w:val="11"/>
                          <w:szCs w:val="6"/>
                        </w:rPr>
                        <w:t>居民</w:t>
                      </w:r>
                    </w:p>
                  </w:txbxContent>
                </v:textbox>
              </v:shape>
            </w:pict>
          </mc:Fallback>
        </mc:AlternateContent>
      </w:r>
      <w:r w:rsidRPr="008A2411">
        <w:rPr>
          <w:rFonts w:ascii="Times New Roman" w:hAnsi="Times New Roman" w:cs="Times New Roman"/>
          <w:noProof/>
          <w:color w:val="000000" w:themeColor="text1"/>
        </w:rPr>
        <mc:AlternateContent>
          <mc:Choice Requires="wps">
            <w:drawing>
              <wp:anchor distT="0" distB="0" distL="114300" distR="114300" simplePos="0" relativeHeight="251688448" behindDoc="0" locked="0" layoutInCell="1" allowOverlap="1" wp14:anchorId="75DB4E92" wp14:editId="79622A80">
                <wp:simplePos x="0" y="0"/>
                <wp:positionH relativeFrom="column">
                  <wp:posOffset>3827145</wp:posOffset>
                </wp:positionH>
                <wp:positionV relativeFrom="paragraph">
                  <wp:posOffset>2022475</wp:posOffset>
                </wp:positionV>
                <wp:extent cx="408940" cy="210185"/>
                <wp:effectExtent l="0" t="0" r="0" b="0"/>
                <wp:wrapNone/>
                <wp:docPr id="32" name="文本框 32"/>
                <wp:cNvGraphicFramePr/>
                <a:graphic xmlns:a="http://schemas.openxmlformats.org/drawingml/2006/main">
                  <a:graphicData uri="http://schemas.microsoft.com/office/word/2010/wordprocessingShape">
                    <wps:wsp>
                      <wps:cNvSpPr txBox="1"/>
                      <wps:spPr>
                        <a:xfrm>
                          <a:off x="5142230" y="2947670"/>
                          <a:ext cx="408940" cy="210185"/>
                        </a:xfrm>
                        <a:prstGeom prst="rect">
                          <a:avLst/>
                        </a:prstGeom>
                        <a:solidFill>
                          <a:srgbClr val="000000">
                            <a:alpha val="0"/>
                          </a:srgbClr>
                        </a:solidFill>
                        <a:ln w="6350">
                          <a:noFill/>
                        </a:ln>
                      </wps:spPr>
                      <wps:style>
                        <a:lnRef idx="0">
                          <a:schemeClr val="accent1"/>
                        </a:lnRef>
                        <a:fillRef idx="0">
                          <a:schemeClr val="accent1"/>
                        </a:fillRef>
                        <a:effectRef idx="0">
                          <a:schemeClr val="accent1"/>
                        </a:effectRef>
                        <a:fontRef idx="minor">
                          <a:schemeClr val="dk1"/>
                        </a:fontRef>
                      </wps:style>
                      <wps:txbx>
                        <w:txbxContent>
                          <w:p w14:paraId="23343BC3" w14:textId="77777777" w:rsidR="00B0005F" w:rsidRDefault="00000000">
                            <w:pPr>
                              <w:rPr>
                                <w:b/>
                                <w:bCs/>
                                <w:color w:val="FFFFFF" w:themeColor="background1"/>
                                <w:sz w:val="11"/>
                                <w:szCs w:val="6"/>
                              </w:rPr>
                            </w:pPr>
                            <w:r>
                              <w:rPr>
                                <w:rFonts w:hint="eastAsia"/>
                                <w:b/>
                                <w:bCs/>
                                <w:color w:val="FFFFFF" w:themeColor="background1"/>
                                <w:sz w:val="11"/>
                                <w:szCs w:val="6"/>
                              </w:rPr>
                              <w:t>居民</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75DB4E92" id="文本框 32" o:spid="_x0000_s1035" type="#_x0000_t202" style="position:absolute;margin-left:301.35pt;margin-top:159.25pt;width:32.2pt;height:16.55pt;z-index:2516884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" fillcolor="black" stroked="f" strokeweight=".5pt">
                <v:fill opacity="0"/>
                <v:textbox>
                  <w:txbxContent>
                    <w:p w14:paraId="23343BC3" w14:textId="77777777" w:rsidR="00B0005F" w:rsidRDefault="00000000">
                      <w:pPr>
                        <w:rPr>
                          <w:b/>
                          <w:bCs/>
                          <w:color w:val="FFFFFF" w:themeColor="background1"/>
                          <w:sz w:val="11"/>
                          <w:szCs w:val="6"/>
                        </w:rPr>
                      </w:pPr>
                      <w:r>
                        <w:rPr>
                          <w:rFonts w:hint="eastAsia"/>
                          <w:b/>
                          <w:bCs/>
                          <w:color w:val="FFFFFF" w:themeColor="background1"/>
                          <w:sz w:val="11"/>
                          <w:szCs w:val="6"/>
                        </w:rPr>
                        <w:t>居民</w:t>
                      </w:r>
                    </w:p>
                  </w:txbxContent>
                </v:textbox>
              </v:shape>
            </w:pict>
          </mc:Fallback>
        </mc:AlternateContent>
      </w:r>
      <w:r w:rsidRPr="008A2411">
        <w:rPr>
          <w:rFonts w:ascii="Times New Roman" w:hAnsi="Times New Roman" w:cs="Times New Roman"/>
          <w:noProof/>
          <w:color w:val="000000" w:themeColor="text1"/>
        </w:rPr>
        <mc:AlternateContent>
          <mc:Choice Requires="wps">
            <w:drawing>
              <wp:anchor distT="0" distB="0" distL="114300" distR="114300" simplePos="0" relativeHeight="251685376" behindDoc="0" locked="0" layoutInCell="1" allowOverlap="1" wp14:anchorId="46056D41" wp14:editId="593D4116">
                <wp:simplePos x="0" y="0"/>
                <wp:positionH relativeFrom="column">
                  <wp:posOffset>4189730</wp:posOffset>
                </wp:positionH>
                <wp:positionV relativeFrom="paragraph">
                  <wp:posOffset>2403475</wp:posOffset>
                </wp:positionV>
                <wp:extent cx="222885" cy="140335"/>
                <wp:effectExtent l="12700" t="12700" r="23495" b="14605"/>
                <wp:wrapNone/>
                <wp:docPr id="27" name="任意多边形 27"/>
                <wp:cNvGraphicFramePr/>
                <a:graphic xmlns:a="http://schemas.openxmlformats.org/drawingml/2006/main">
                  <a:graphicData uri="http://schemas.microsoft.com/office/word/2010/wordprocessingShape">
                    <wps:wsp>
                      <wps:cNvSpPr/>
                      <wps:spPr>
                        <a:xfrm>
                          <a:off x="5332730" y="3317875"/>
                          <a:ext cx="222885" cy="140335"/>
                        </a:xfrm>
                        <a:custGeom>
                          <a:avLst/>
                          <a:gdLst>
                            <a:gd name="connisteX0" fmla="*/ 0 w 222885"/>
                            <a:gd name="connsiteY0" fmla="*/ 42545 h 140335"/>
                            <a:gd name="connisteX1" fmla="*/ 76200 w 222885"/>
                            <a:gd name="connsiteY1" fmla="*/ 0 h 140335"/>
                            <a:gd name="connisteX2" fmla="*/ 222885 w 222885"/>
                            <a:gd name="connsiteY2" fmla="*/ 76200 h 140335"/>
                            <a:gd name="connisteX3" fmla="*/ 212090 w 222885"/>
                            <a:gd name="connsiteY3" fmla="*/ 140335 h 140335"/>
                            <a:gd name="connisteX4" fmla="*/ 0 w 222885"/>
                            <a:gd name="connsiteY4" fmla="*/ 124460 h 140335"/>
                            <a:gd name="connisteX5" fmla="*/ 0 w 222885"/>
                            <a:gd name="connsiteY5" fmla="*/ 42545 h 140335"/>
                          </a:gdLst>
                          <a:ahLst/>
                          <a:cxnLst>
                            <a:cxn ang="0">
                              <a:pos x="connisteX0" y="connsiteY0"/>
                            </a:cxn>
                            <a:cxn ang="0">
                              <a:pos x="connisteX1" y="connsiteY1"/>
                            </a:cxn>
                            <a:cxn ang="0">
                              <a:pos x="connisteX2" y="connsiteY2"/>
                            </a:cxn>
                            <a:cxn ang="0">
                              <a:pos x="connisteX3" y="connsiteY3"/>
                            </a:cxn>
                            <a:cxn ang="0">
                              <a:pos x="connisteX4" y="connsiteY4"/>
                            </a:cxn>
                            <a:cxn ang="0">
                              <a:pos x="connisteX5" y="connsiteY5"/>
                            </a:cxn>
                          </a:cxnLst>
                          <a:rect l="l" t="t" r="r" b="b"/>
                          <a:pathLst>
                            <a:path w="222885" h="140335">
                              <a:moveTo>
                                <a:pt x="0" y="42545"/>
                              </a:moveTo>
                              <a:lnTo>
                                <a:pt x="76200" y="0"/>
                              </a:lnTo>
                              <a:lnTo>
                                <a:pt x="222885" y="76200"/>
                              </a:lnTo>
                              <a:lnTo>
                                <a:pt x="212090" y="140335"/>
                              </a:lnTo>
                              <a:lnTo>
                                <a:pt x="0" y="124460"/>
                              </a:lnTo>
                              <a:lnTo>
                                <a:pt x="0" y="42545"/>
                              </a:lnTo>
                              <a:close/>
                            </a:path>
                          </a:pathLst>
                        </a:cu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wps:wsp>
                  </a:graphicData>
                </a:graphic>
              </wp:anchor>
            </w:drawing>
          </mc:Choice>
          <mc:Fallback>
            <w:pict>
              <v:shape w14:anchorId="3D630D21" id="任意多边形 27" o:spid="_x0000_s1026" style="position:absolute;left:0;text-align:left;margin-left:329.9pt;margin-top:189.25pt;width:17.55pt;height:11.05pt;z-index:251685376;visibility:visible;mso-wrap-style:square;mso-wrap-distance-left:9pt;mso-wrap-distance-top:0;mso-wrap-distance-right:9pt;mso-wrap-distance-bottom:0;mso-position-horizontal:absolute;mso-position-horizontal-relative:text;mso-position-vertical:absolute;mso-position-vertical-relative:text;v-text-anchor:top" coordsize="222885,1403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" path="m,42545l76200,,222885,76200r-10795,64135l,124460,,42545xe" filled="f" strokecolor="black [3213]" strokeweight="2pt">
                <v:path arrowok="t" o:connecttype="custom" o:connectlocs="0,42545;76200,0;222885,76200;212090,140335;0,124460;0,42545" o:connectangles="0,0,0,0,0,0"/>
              </v:shape>
            </w:pict>
          </mc:Fallback>
        </mc:AlternateContent>
      </w:r>
      <w:r w:rsidRPr="008A2411">
        <w:rPr>
          <w:rFonts w:ascii="Times New Roman" w:hAnsi="Times New Roman" w:cs="Times New Roman"/>
          <w:noProof/>
          <w:color w:val="000000" w:themeColor="text1"/>
        </w:rPr>
        <mc:AlternateContent>
          <mc:Choice Requires="wps">
            <w:drawing>
              <wp:anchor distT="0" distB="0" distL="114300" distR="114300" simplePos="0" relativeHeight="251682304" behindDoc="0" locked="0" layoutInCell="1" allowOverlap="1" wp14:anchorId="1DF6C71B" wp14:editId="1F410FAE">
                <wp:simplePos x="0" y="0"/>
                <wp:positionH relativeFrom="column">
                  <wp:posOffset>3879215</wp:posOffset>
                </wp:positionH>
                <wp:positionV relativeFrom="paragraph">
                  <wp:posOffset>2054860</wp:posOffset>
                </wp:positionV>
                <wp:extent cx="207010" cy="141605"/>
                <wp:effectExtent l="12700" t="12700" r="24130" b="13335"/>
                <wp:wrapNone/>
                <wp:docPr id="26" name="任意多边形 26"/>
                <wp:cNvGraphicFramePr/>
                <a:graphic xmlns:a="http://schemas.openxmlformats.org/drawingml/2006/main">
                  <a:graphicData uri="http://schemas.microsoft.com/office/word/2010/wordprocessingShape">
                    <wps:wsp>
                      <wps:cNvSpPr/>
                      <wps:spPr>
                        <a:xfrm>
                          <a:off x="5022215" y="2969260"/>
                          <a:ext cx="207010" cy="141605"/>
                        </a:xfrm>
                        <a:custGeom>
                          <a:avLst/>
                          <a:gdLst>
                            <a:gd name="connisteX0" fmla="*/ 125730 w 207010"/>
                            <a:gd name="connsiteY0" fmla="*/ 124460 h 141605"/>
                            <a:gd name="connisteX1" fmla="*/ 207010 w 207010"/>
                            <a:gd name="connsiteY1" fmla="*/ 48260 h 141605"/>
                            <a:gd name="connisteX2" fmla="*/ 130810 w 207010"/>
                            <a:gd name="connsiteY2" fmla="*/ 0 h 141605"/>
                            <a:gd name="connisteX3" fmla="*/ 0 w 207010"/>
                            <a:gd name="connsiteY3" fmla="*/ 43815 h 141605"/>
                            <a:gd name="connisteX4" fmla="*/ 92710 w 207010"/>
                            <a:gd name="connsiteY4" fmla="*/ 141605 h 141605"/>
                            <a:gd name="connisteX5" fmla="*/ 125730 w 207010"/>
                            <a:gd name="connsiteY5" fmla="*/ 124460 h 141605"/>
                          </a:gdLst>
                          <a:ahLst/>
                          <a:cxnLst>
                            <a:cxn ang="0">
                              <a:pos x="connisteX0" y="connsiteY0"/>
                            </a:cxn>
                            <a:cxn ang="0">
                              <a:pos x="connisteX1" y="connsiteY1"/>
                            </a:cxn>
                            <a:cxn ang="0">
                              <a:pos x="connisteX2" y="connsiteY2"/>
                            </a:cxn>
                            <a:cxn ang="0">
                              <a:pos x="connisteX3" y="connsiteY3"/>
                            </a:cxn>
                            <a:cxn ang="0">
                              <a:pos x="connisteX4" y="connsiteY4"/>
                            </a:cxn>
                            <a:cxn ang="0">
                              <a:pos x="connisteX5" y="connsiteY5"/>
                            </a:cxn>
                          </a:cxnLst>
                          <a:rect l="l" t="t" r="r" b="b"/>
                          <a:pathLst>
                            <a:path w="207010" h="141605">
                              <a:moveTo>
                                <a:pt x="125730" y="124460"/>
                              </a:moveTo>
                              <a:lnTo>
                                <a:pt x="207010" y="48260"/>
                              </a:lnTo>
                              <a:lnTo>
                                <a:pt x="130810" y="0"/>
                              </a:lnTo>
                              <a:lnTo>
                                <a:pt x="0" y="43815"/>
                              </a:lnTo>
                              <a:lnTo>
                                <a:pt x="92710" y="141605"/>
                              </a:lnTo>
                              <a:lnTo>
                                <a:pt x="125730" y="124460"/>
                              </a:lnTo>
                              <a:close/>
                            </a:path>
                          </a:pathLst>
                        </a:cu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wps:wsp>
                  </a:graphicData>
                </a:graphic>
              </wp:anchor>
            </w:drawing>
          </mc:Choice>
          <mc:Fallback>
            <w:pict>
              <v:shape w14:anchorId="3B639A56" id="任意多边形 26" o:spid="_x0000_s1026" style="position:absolute;left:0;text-align:left;margin-left:305.45pt;margin-top:161.8pt;width:16.3pt;height:11.15pt;z-index:251682304;visibility:visible;mso-wrap-style:square;mso-wrap-distance-left:9pt;mso-wrap-distance-top:0;mso-wrap-distance-right:9pt;mso-wrap-distance-bottom:0;mso-position-horizontal:absolute;mso-position-horizontal-relative:text;mso-position-vertical:absolute;mso-position-vertical-relative:text;v-text-anchor:top" coordsize="207010,1416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" path="m125730,124460l207010,48260,130810,,,43815r92710,97790l125730,124460xe" filled="f" strokecolor="black [3213]" strokeweight="2pt">
                <v:path arrowok="t" o:connecttype="custom" o:connectlocs="125730,124460;207010,48260;130810,0;0,43815;92710,141605;125730,124460" o:connectangles="0,0,0,0,0,0"/>
              </v:shape>
            </w:pict>
          </mc:Fallback>
        </mc:AlternateContent>
      </w:r>
      <w:r w:rsidRPr="008A2411">
        <w:rPr>
          <w:rFonts w:ascii="Times New Roman" w:hAnsi="Times New Roman" w:cs="Times New Roman"/>
          <w:noProof/>
          <w:color w:val="000000" w:themeColor="text1"/>
        </w:rPr>
        <mc:AlternateContent>
          <mc:Choice Requires="wps">
            <w:drawing>
              <wp:anchor distT="0" distB="0" distL="114300" distR="114300" simplePos="0" relativeHeight="251679232" behindDoc="0" locked="0" layoutInCell="1" allowOverlap="1" wp14:anchorId="1E035AE2" wp14:editId="01C24D52">
                <wp:simplePos x="0" y="0"/>
                <wp:positionH relativeFrom="column">
                  <wp:posOffset>3836035</wp:posOffset>
                </wp:positionH>
                <wp:positionV relativeFrom="paragraph">
                  <wp:posOffset>2272665</wp:posOffset>
                </wp:positionV>
                <wp:extent cx="168910" cy="168910"/>
                <wp:effectExtent l="12700" t="12700" r="16510" b="16510"/>
                <wp:wrapNone/>
                <wp:docPr id="13" name="任意多边形 13"/>
                <wp:cNvGraphicFramePr/>
                <a:graphic xmlns:a="http://schemas.openxmlformats.org/drawingml/2006/main">
                  <a:graphicData uri="http://schemas.microsoft.com/office/word/2010/wordprocessingShape">
                    <wps:wsp>
                      <wps:cNvSpPr/>
                      <wps:spPr>
                        <a:xfrm>
                          <a:off x="4979035" y="3187065"/>
                          <a:ext cx="168910" cy="168910"/>
                        </a:xfrm>
                        <a:custGeom>
                          <a:avLst/>
                          <a:gdLst>
                            <a:gd name="connisteX0" fmla="*/ 86995 w 168910"/>
                            <a:gd name="connsiteY0" fmla="*/ 168910 h 168910"/>
                            <a:gd name="connisteX1" fmla="*/ 0 w 168910"/>
                            <a:gd name="connsiteY1" fmla="*/ 38100 h 168910"/>
                            <a:gd name="connisteX2" fmla="*/ 97790 w 168910"/>
                            <a:gd name="connsiteY2" fmla="*/ 0 h 168910"/>
                            <a:gd name="connisteX3" fmla="*/ 168910 w 168910"/>
                            <a:gd name="connsiteY3" fmla="*/ 76200 h 168910"/>
                            <a:gd name="connisteX4" fmla="*/ 86995 w 168910"/>
                            <a:gd name="connsiteY4" fmla="*/ 168910 h 168910"/>
                          </a:gdLst>
                          <a:ahLst/>
                          <a:cxnLst>
                            <a:cxn ang="0">
                              <a:pos x="connisteX0" y="connsiteY0"/>
                            </a:cxn>
                            <a:cxn ang="0">
                              <a:pos x="connisteX1" y="connsiteY1"/>
                            </a:cxn>
                            <a:cxn ang="0">
                              <a:pos x="connisteX2" y="connsiteY2"/>
                            </a:cxn>
                            <a:cxn ang="0">
                              <a:pos x="connisteX3" y="connsiteY3"/>
                            </a:cxn>
                            <a:cxn ang="0">
                              <a:pos x="connisteX4" y="connsiteY4"/>
                            </a:cxn>
                          </a:cxnLst>
                          <a:rect l="l" t="t" r="r" b="b"/>
                          <a:pathLst>
                            <a:path w="168910" h="168910">
                              <a:moveTo>
                                <a:pt x="86995" y="168910"/>
                              </a:moveTo>
                              <a:lnTo>
                                <a:pt x="0" y="38100"/>
                              </a:lnTo>
                              <a:lnTo>
                                <a:pt x="97790" y="0"/>
                              </a:lnTo>
                              <a:lnTo>
                                <a:pt x="168910" y="76200"/>
                              </a:lnTo>
                              <a:lnTo>
                                <a:pt x="86995" y="168910"/>
                              </a:lnTo>
                              <a:close/>
                            </a:path>
                          </a:pathLst>
                        </a:cu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wps:wsp>
                  </a:graphicData>
                </a:graphic>
              </wp:anchor>
            </w:drawing>
          </mc:Choice>
          <mc:Fallback>
            <w:pict>
              <v:shape w14:anchorId="0FFC9DFB" id="任意多边形 13" o:spid="_x0000_s1026" style="position:absolute;left:0;text-align:left;margin-left:302.05pt;margin-top:178.95pt;width:13.3pt;height:13.3pt;z-index:251679232;visibility:visible;mso-wrap-style:square;mso-wrap-distance-left:9pt;mso-wrap-distance-top:0;mso-wrap-distance-right:9pt;mso-wrap-distance-bottom:0;mso-position-horizontal:absolute;mso-position-horizontal-relative:text;mso-position-vertical:absolute;mso-position-vertical-relative:text;v-text-anchor:top" coordsize="168910,168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" path="m86995,168910l,38100,97790,r71120,76200l86995,168910xe" filled="f" strokecolor="black [3213]" strokeweight="2pt">
                <v:path arrowok="t" o:connecttype="custom" o:connectlocs="86995,168910;0,38100;97790,0;168910,76200;86995,168910" o:connectangles="0,0,0,0,0"/>
              </v:shape>
            </w:pict>
          </mc:Fallback>
        </mc:AlternateContent>
      </w:r>
      <w:r w:rsidRPr="008A2411">
        <w:rPr>
          <w:rFonts w:ascii="Times New Roman" w:hAnsi="Times New Roman" w:cs="Times New Roman"/>
          <w:noProof/>
          <w:color w:val="000000" w:themeColor="text1"/>
        </w:rPr>
        <w:drawing>
          <wp:inline distT="0" distB="0" distL="114300" distR="114300" wp14:anchorId="161D05A1" wp14:editId="726DA5DD">
            <wp:extent cx="5273675" cy="3467735"/>
            <wp:effectExtent l="0" t="0" r="14605" b="6985"/>
            <wp:docPr id="11" name="图片 11" descr="16529707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1652970716"/>
                    <pic:cNvPicPr>
                      <a:picLocks noChangeAspect="1"/>
                    </pic:cNvPicPr>
                  </pic:nvPicPr>
                  <pic:blipFill>
                    <a:blip r:embed="rId21"/>
                    <a:stretch>
                      <a:fillRect/>
                    </a:stretch>
                  </pic:blipFill>
                  <pic:spPr>
                    <a:xfrm>
                      <a:off x="0" y="0"/>
                      <a:ext cx="5273675" cy="3467735"/>
                    </a:xfrm>
                    <a:prstGeom prst="rect">
                      <a:avLst/>
                    </a:prstGeom>
                  </pic:spPr>
                </pic:pic>
              </a:graphicData>
            </a:graphic>
          </wp:inline>
        </w:drawing>
      </w:r>
    </w:p>
    <w:p w14:paraId="25E5752B" w14:textId="0A8D3FCB" w:rsidR="00B0005F" w:rsidRPr="008A2411" w:rsidRDefault="00000000">
      <w:pPr>
        <w:pStyle w:val="afffffff9"/>
        <w:spacing w:line="240" w:lineRule="auto"/>
        <w:ind w:firstLineChars="0" w:firstLine="0"/>
        <w:jc w:val="center"/>
        <w:rPr>
          <w:rFonts w:ascii="Times New Roman" w:eastAsia="黑体" w:hAnsi="Times New Roman"/>
          <w:bCs/>
          <w:color w:val="000000" w:themeColor="text1"/>
        </w:rPr>
      </w:pPr>
      <w:r w:rsidRPr="008A2411">
        <w:rPr>
          <w:rFonts w:ascii="Times New Roman" w:eastAsia="黑体" w:hAnsi="Times New Roman"/>
          <w:bCs/>
          <w:color w:val="000000" w:themeColor="text1"/>
        </w:rPr>
        <w:t>图</w:t>
      </w:r>
      <w:r w:rsidRPr="008A2411">
        <w:rPr>
          <w:rFonts w:ascii="Times New Roman" w:eastAsia="黑体" w:hAnsi="Times New Roman"/>
          <w:bCs/>
          <w:color w:val="000000" w:themeColor="text1"/>
        </w:rPr>
        <w:t xml:space="preserve">2.7-5  </w:t>
      </w:r>
      <w:r w:rsidRPr="008A2411">
        <w:rPr>
          <w:rFonts w:ascii="Times New Roman" w:eastAsia="黑体" w:hAnsi="Times New Roman"/>
          <w:bCs/>
          <w:color w:val="000000" w:themeColor="text1"/>
        </w:rPr>
        <w:t>项目</w:t>
      </w:r>
      <w:r w:rsidR="00956CB9" w:rsidRPr="008A2411">
        <w:rPr>
          <w:rFonts w:ascii="Times New Roman" w:eastAsia="黑体" w:hAnsi="Times New Roman" w:hint="eastAsia"/>
          <w:bCs/>
          <w:color w:val="000000" w:themeColor="text1"/>
        </w:rPr>
        <w:t>噪声</w:t>
      </w:r>
      <w:r w:rsidRPr="008A2411">
        <w:rPr>
          <w:rFonts w:ascii="Times New Roman" w:eastAsia="黑体" w:hAnsi="Times New Roman"/>
          <w:bCs/>
          <w:color w:val="000000" w:themeColor="text1"/>
        </w:rPr>
        <w:t>环境评价范围图</w:t>
      </w:r>
    </w:p>
    <w:p w14:paraId="3EA7C0C0" w14:textId="77777777" w:rsidR="00B0005F" w:rsidRPr="008A2411" w:rsidRDefault="00B0005F">
      <w:pPr>
        <w:rPr>
          <w:rFonts w:ascii="Times New Roman"/>
          <w:color w:val="000000" w:themeColor="text1"/>
        </w:rPr>
      </w:pPr>
    </w:p>
    <w:p w14:paraId="449A6249" w14:textId="77777777" w:rsidR="00B0005F" w:rsidRPr="008A2411" w:rsidRDefault="00000000">
      <w:pPr>
        <w:spacing w:line="360" w:lineRule="auto"/>
        <w:ind w:firstLineChars="200" w:firstLine="482"/>
        <w:rPr>
          <w:rFonts w:ascii="Times New Roman"/>
          <w:b/>
          <w:bCs/>
          <w:color w:val="000000" w:themeColor="text1"/>
        </w:rPr>
      </w:pPr>
      <w:r w:rsidRPr="008A2411">
        <w:rPr>
          <w:rFonts w:ascii="Times New Roman"/>
          <w:b/>
          <w:bCs/>
          <w:color w:val="000000" w:themeColor="text1"/>
        </w:rPr>
        <w:t>2.7.2.4</w:t>
      </w:r>
      <w:r w:rsidRPr="008A2411">
        <w:rPr>
          <w:rFonts w:ascii="Times New Roman"/>
          <w:b/>
          <w:bCs/>
          <w:color w:val="000000" w:themeColor="text1"/>
        </w:rPr>
        <w:t>生态环境</w:t>
      </w:r>
    </w:p>
    <w:p w14:paraId="71B970DE" w14:textId="122721DD" w:rsidR="00B0005F" w:rsidRPr="008A2411" w:rsidRDefault="00000000">
      <w:pPr>
        <w:adjustRightInd w:val="0"/>
        <w:spacing w:line="360" w:lineRule="auto"/>
        <w:ind w:firstLineChars="200" w:firstLine="480"/>
        <w:rPr>
          <w:rFonts w:ascii="Times New Roman"/>
          <w:color w:val="000000" w:themeColor="text1"/>
        </w:rPr>
      </w:pPr>
      <w:r w:rsidRPr="008A2411">
        <w:rPr>
          <w:rFonts w:ascii="Times New Roman"/>
          <w:color w:val="000000" w:themeColor="text1"/>
        </w:rPr>
        <w:t>根据《环境影响评价技术导则</w:t>
      </w:r>
      <w:r w:rsidRPr="008A2411">
        <w:rPr>
          <w:rFonts w:ascii="Times New Roman"/>
          <w:color w:val="000000" w:themeColor="text1"/>
        </w:rPr>
        <w:t xml:space="preserve">  </w:t>
      </w:r>
      <w:r w:rsidRPr="008A2411">
        <w:rPr>
          <w:rFonts w:ascii="Times New Roman"/>
          <w:color w:val="000000" w:themeColor="text1"/>
        </w:rPr>
        <w:t>生态影响》（</w:t>
      </w:r>
      <w:r w:rsidRPr="008A2411">
        <w:rPr>
          <w:rFonts w:ascii="Times New Roman" w:hint="eastAsia"/>
          <w:color w:val="000000" w:themeColor="text1"/>
        </w:rPr>
        <w:t>HJ19-2022</w:t>
      </w:r>
      <w:r w:rsidRPr="008A2411">
        <w:rPr>
          <w:rFonts w:ascii="Times New Roman"/>
          <w:color w:val="000000" w:themeColor="text1"/>
        </w:rPr>
        <w:t>）的规定，并结合本项目周边实际环境情况，确定生态评价范围为本项目</w:t>
      </w:r>
      <w:r w:rsidRPr="008A2411">
        <w:rPr>
          <w:rFonts w:ascii="Times New Roman" w:hint="eastAsia"/>
          <w:color w:val="000000" w:themeColor="text1"/>
        </w:rPr>
        <w:t>直接占用区域即项目厂界范围（包含施工期临时占地范围）所在区域</w:t>
      </w:r>
      <w:r w:rsidR="00956CB9" w:rsidRPr="008A2411">
        <w:rPr>
          <w:rFonts w:ascii="Times New Roman" w:hint="eastAsia"/>
          <w:color w:val="000000" w:themeColor="text1"/>
        </w:rPr>
        <w:t>以</w:t>
      </w:r>
      <w:r w:rsidR="00956CB9" w:rsidRPr="008A2411">
        <w:rPr>
          <w:color w:val="000000" w:themeColor="text1"/>
        </w:rPr>
        <w:t>及污染物排放产生的间接生态影响区域</w:t>
      </w:r>
      <w:r w:rsidRPr="008A2411">
        <w:rPr>
          <w:rFonts w:ascii="Times New Roman"/>
          <w:color w:val="000000" w:themeColor="text1"/>
        </w:rPr>
        <w:t>。</w:t>
      </w:r>
    </w:p>
    <w:p w14:paraId="1C0F58ED" w14:textId="77777777" w:rsidR="00B0005F" w:rsidRPr="008A2411" w:rsidRDefault="00000000">
      <w:pPr>
        <w:spacing w:line="360" w:lineRule="auto"/>
        <w:ind w:firstLineChars="200" w:firstLine="482"/>
        <w:rPr>
          <w:rFonts w:ascii="Times New Roman"/>
          <w:b/>
          <w:bCs/>
          <w:color w:val="000000" w:themeColor="text1"/>
        </w:rPr>
      </w:pPr>
      <w:r w:rsidRPr="008A2411">
        <w:rPr>
          <w:rFonts w:ascii="Times New Roman"/>
          <w:b/>
          <w:bCs/>
          <w:color w:val="000000" w:themeColor="text1"/>
        </w:rPr>
        <w:t>2.7.2.5</w:t>
      </w:r>
      <w:r w:rsidRPr="008A2411">
        <w:rPr>
          <w:rFonts w:ascii="Times New Roman"/>
          <w:b/>
          <w:bCs/>
          <w:color w:val="000000" w:themeColor="text1"/>
        </w:rPr>
        <w:t>地下水环境</w:t>
      </w:r>
    </w:p>
    <w:p w14:paraId="13D34335" w14:textId="77777777" w:rsidR="00B0005F" w:rsidRPr="008A2411" w:rsidRDefault="00000000">
      <w:pPr>
        <w:adjustRightInd w:val="0"/>
        <w:spacing w:line="360" w:lineRule="auto"/>
        <w:ind w:firstLineChars="200" w:firstLine="480"/>
        <w:rPr>
          <w:rFonts w:ascii="Times New Roman"/>
          <w:color w:val="000000" w:themeColor="text1"/>
        </w:rPr>
      </w:pPr>
      <w:r w:rsidRPr="008A2411">
        <w:rPr>
          <w:rFonts w:ascii="Times New Roman"/>
          <w:color w:val="000000" w:themeColor="text1"/>
        </w:rPr>
        <w:t>根据《地下水环境影响评价技术导则》（</w:t>
      </w:r>
      <w:r w:rsidRPr="008A2411">
        <w:rPr>
          <w:rFonts w:ascii="Times New Roman"/>
          <w:color w:val="000000" w:themeColor="text1"/>
        </w:rPr>
        <w:t>HJ610-2016</w:t>
      </w:r>
      <w:r w:rsidRPr="008A2411">
        <w:rPr>
          <w:rFonts w:ascii="Times New Roman"/>
          <w:color w:val="000000" w:themeColor="text1"/>
        </w:rPr>
        <w:t>），地下水环境现状调查评价范围应包括与建设项目相关的地下水环境保护目标，以能说明地下水环境的现状，反映调查</w:t>
      </w:r>
      <w:proofErr w:type="gramStart"/>
      <w:r w:rsidRPr="008A2411">
        <w:rPr>
          <w:rFonts w:ascii="Times New Roman"/>
          <w:color w:val="000000" w:themeColor="text1"/>
        </w:rPr>
        <w:t>评价区</w:t>
      </w:r>
      <w:proofErr w:type="gramEnd"/>
      <w:r w:rsidRPr="008A2411">
        <w:rPr>
          <w:rFonts w:ascii="Times New Roman"/>
          <w:color w:val="000000" w:themeColor="text1"/>
        </w:rPr>
        <w:t>地下水基本流场特征，满足地下水环境影响预测和评价为基本原则。建设项目地下水环境调查评价范围的确定可采用公式计算法、查表法及自定义法。</w:t>
      </w:r>
    </w:p>
    <w:p w14:paraId="2AC60A31" w14:textId="77777777" w:rsidR="00B0005F" w:rsidRPr="008A2411" w:rsidRDefault="00000000">
      <w:pPr>
        <w:adjustRightInd w:val="0"/>
        <w:spacing w:line="360" w:lineRule="auto"/>
        <w:ind w:firstLineChars="200" w:firstLine="480"/>
        <w:rPr>
          <w:rFonts w:ascii="Times New Roman"/>
          <w:color w:val="000000" w:themeColor="text1"/>
        </w:rPr>
      </w:pPr>
      <w:r w:rsidRPr="008A2411">
        <w:rPr>
          <w:rFonts w:ascii="Times New Roman"/>
          <w:color w:val="000000" w:themeColor="text1"/>
        </w:rPr>
        <w:t>根据《地下水环境影响评价技术导则</w:t>
      </w:r>
      <w:r w:rsidRPr="008A2411">
        <w:rPr>
          <w:rFonts w:ascii="Times New Roman"/>
          <w:color w:val="000000" w:themeColor="text1"/>
        </w:rPr>
        <w:t>-</w:t>
      </w:r>
      <w:r w:rsidRPr="008A2411">
        <w:rPr>
          <w:rFonts w:ascii="Times New Roman"/>
          <w:color w:val="000000" w:themeColor="text1"/>
        </w:rPr>
        <w:t>地下水环境》（</w:t>
      </w:r>
      <w:r w:rsidRPr="008A2411">
        <w:rPr>
          <w:rFonts w:ascii="Times New Roman"/>
          <w:color w:val="000000" w:themeColor="text1"/>
        </w:rPr>
        <w:t>HJ610-2016</w:t>
      </w:r>
      <w:r w:rsidRPr="008A2411">
        <w:rPr>
          <w:rFonts w:ascii="Times New Roman"/>
          <w:color w:val="000000" w:themeColor="text1"/>
        </w:rPr>
        <w:t>），地下水环境现状调查评价范围应包括与建设项目相关的地下水环境保护目标，以能说明地下水环境现状，反映调查</w:t>
      </w:r>
      <w:proofErr w:type="gramStart"/>
      <w:r w:rsidRPr="008A2411">
        <w:rPr>
          <w:rFonts w:ascii="Times New Roman"/>
          <w:color w:val="000000" w:themeColor="text1"/>
        </w:rPr>
        <w:t>评价区</w:t>
      </w:r>
      <w:proofErr w:type="gramEnd"/>
      <w:r w:rsidRPr="008A2411">
        <w:rPr>
          <w:rFonts w:ascii="Times New Roman"/>
          <w:color w:val="000000" w:themeColor="text1"/>
        </w:rPr>
        <w:t>地下水基本渗流特征，满足地下水环境影响预测和评价为基本原则。</w:t>
      </w:r>
    </w:p>
    <w:p w14:paraId="0A81CDA6" w14:textId="77777777" w:rsidR="00B0005F" w:rsidRPr="008A2411" w:rsidRDefault="00000000">
      <w:pPr>
        <w:adjustRightInd w:val="0"/>
        <w:spacing w:line="360" w:lineRule="auto"/>
        <w:ind w:firstLineChars="200" w:firstLine="480"/>
        <w:rPr>
          <w:rFonts w:ascii="Times New Roman"/>
          <w:color w:val="000000" w:themeColor="text1"/>
        </w:rPr>
      </w:pPr>
      <w:r w:rsidRPr="008A2411">
        <w:rPr>
          <w:rFonts w:ascii="Times New Roman"/>
          <w:color w:val="000000" w:themeColor="text1"/>
        </w:rPr>
        <w:t>建设项目地下水环境现状调查评价范围的确定可采用公式计算法、查表法及自定义法。</w:t>
      </w:r>
    </w:p>
    <w:p w14:paraId="30BB1699" w14:textId="77777777" w:rsidR="00B0005F" w:rsidRPr="008A2411" w:rsidRDefault="00000000">
      <w:pPr>
        <w:adjustRightInd w:val="0"/>
        <w:spacing w:line="360" w:lineRule="auto"/>
        <w:ind w:firstLineChars="200" w:firstLine="480"/>
        <w:rPr>
          <w:rFonts w:ascii="Times New Roman"/>
          <w:color w:val="000000" w:themeColor="text1"/>
        </w:rPr>
      </w:pPr>
      <w:r w:rsidRPr="008A2411">
        <w:rPr>
          <w:rFonts w:ascii="Times New Roman"/>
          <w:color w:val="000000" w:themeColor="text1"/>
        </w:rPr>
        <w:lastRenderedPageBreak/>
        <w:t>（</w:t>
      </w:r>
      <w:r w:rsidRPr="008A2411">
        <w:rPr>
          <w:rFonts w:ascii="Times New Roman"/>
          <w:color w:val="000000" w:themeColor="text1"/>
        </w:rPr>
        <w:t>1</w:t>
      </w:r>
      <w:r w:rsidRPr="008A2411">
        <w:rPr>
          <w:rFonts w:ascii="Times New Roman"/>
          <w:color w:val="000000" w:themeColor="text1"/>
        </w:rPr>
        <w:t>）公式计算法</w:t>
      </w:r>
    </w:p>
    <w:p w14:paraId="145EB564" w14:textId="77777777" w:rsidR="00B0005F" w:rsidRPr="008A2411" w:rsidRDefault="00000000">
      <w:pPr>
        <w:adjustRightInd w:val="0"/>
        <w:spacing w:line="360" w:lineRule="auto"/>
        <w:ind w:firstLineChars="200" w:firstLine="480"/>
        <w:rPr>
          <w:rFonts w:ascii="Times New Roman"/>
          <w:color w:val="000000" w:themeColor="text1"/>
        </w:rPr>
      </w:pPr>
      <w:r w:rsidRPr="008A2411">
        <w:rPr>
          <w:rFonts w:ascii="Times New Roman"/>
          <w:color w:val="000000" w:themeColor="text1"/>
        </w:rPr>
        <w:t>当建设项目所在地水文地质条件相对简单，且所掌握的资料能够满足公式计算法的要求时，应采用公式计算法确定：</w:t>
      </w:r>
    </w:p>
    <w:p w14:paraId="10616D96" w14:textId="77777777" w:rsidR="00B0005F" w:rsidRPr="008A2411" w:rsidRDefault="00000000">
      <w:pPr>
        <w:adjustRightInd w:val="0"/>
        <w:spacing w:line="360" w:lineRule="auto"/>
        <w:ind w:firstLineChars="200" w:firstLine="480"/>
        <w:jc w:val="center"/>
        <w:rPr>
          <w:rFonts w:ascii="Times New Roman"/>
          <w:color w:val="000000" w:themeColor="text1"/>
        </w:rPr>
      </w:pPr>
      <w:r w:rsidRPr="008A2411">
        <w:rPr>
          <w:rFonts w:ascii="Times New Roman"/>
          <w:color w:val="000000" w:themeColor="text1"/>
        </w:rPr>
        <w:t>L=α×K×I×T/n</w:t>
      </w:r>
      <w:r w:rsidRPr="008A2411">
        <w:rPr>
          <w:rFonts w:ascii="Times New Roman"/>
          <w:color w:val="000000" w:themeColor="text1"/>
          <w:vertAlign w:val="subscript"/>
        </w:rPr>
        <w:t>e</w:t>
      </w:r>
    </w:p>
    <w:p w14:paraId="04B5C613" w14:textId="77777777" w:rsidR="00B0005F" w:rsidRPr="008A2411" w:rsidRDefault="00000000">
      <w:pPr>
        <w:adjustRightInd w:val="0"/>
        <w:spacing w:line="360" w:lineRule="auto"/>
        <w:ind w:firstLineChars="200" w:firstLine="480"/>
        <w:rPr>
          <w:rFonts w:ascii="Times New Roman"/>
          <w:color w:val="000000" w:themeColor="text1"/>
        </w:rPr>
      </w:pPr>
      <w:r w:rsidRPr="008A2411">
        <w:rPr>
          <w:rFonts w:ascii="Times New Roman"/>
          <w:color w:val="000000" w:themeColor="text1"/>
        </w:rPr>
        <w:t>式中：</w:t>
      </w:r>
      <w:r w:rsidRPr="008A2411">
        <w:rPr>
          <w:rFonts w:ascii="Times New Roman"/>
          <w:color w:val="000000" w:themeColor="text1"/>
        </w:rPr>
        <w:t>L—</w:t>
      </w:r>
      <w:r w:rsidRPr="008A2411">
        <w:rPr>
          <w:rFonts w:ascii="Times New Roman"/>
          <w:color w:val="000000" w:themeColor="text1"/>
        </w:rPr>
        <w:t>下游迁移距离（</w:t>
      </w:r>
      <w:r w:rsidRPr="008A2411">
        <w:rPr>
          <w:rFonts w:ascii="Times New Roman"/>
          <w:color w:val="000000" w:themeColor="text1"/>
        </w:rPr>
        <w:t>3024m</w:t>
      </w:r>
      <w:r w:rsidRPr="008A2411">
        <w:rPr>
          <w:rFonts w:ascii="Times New Roman"/>
          <w:color w:val="000000" w:themeColor="text1"/>
        </w:rPr>
        <w:t>）</w:t>
      </w:r>
    </w:p>
    <w:p w14:paraId="4C7C6B51" w14:textId="77777777" w:rsidR="00B0005F" w:rsidRPr="008A2411" w:rsidRDefault="00000000">
      <w:pPr>
        <w:adjustRightInd w:val="0"/>
        <w:spacing w:line="360" w:lineRule="auto"/>
        <w:ind w:firstLineChars="200" w:firstLine="480"/>
        <w:rPr>
          <w:rFonts w:ascii="Times New Roman"/>
          <w:color w:val="000000" w:themeColor="text1"/>
        </w:rPr>
      </w:pPr>
      <w:r w:rsidRPr="008A2411">
        <w:rPr>
          <w:rFonts w:ascii="Times New Roman"/>
          <w:i/>
          <w:color w:val="000000" w:themeColor="text1"/>
        </w:rPr>
        <w:t>α</w:t>
      </w:r>
      <w:r w:rsidRPr="008A2411">
        <w:rPr>
          <w:rFonts w:ascii="Times New Roman"/>
          <w:color w:val="000000" w:themeColor="text1"/>
        </w:rPr>
        <w:t>—</w:t>
      </w:r>
      <w:r w:rsidRPr="008A2411">
        <w:rPr>
          <w:rFonts w:ascii="Times New Roman"/>
          <w:color w:val="000000" w:themeColor="text1"/>
        </w:rPr>
        <w:t>变化系数，</w:t>
      </w:r>
      <w:r w:rsidRPr="008A2411">
        <w:rPr>
          <w:rFonts w:ascii="Times New Roman"/>
          <w:i/>
          <w:color w:val="000000" w:themeColor="text1"/>
        </w:rPr>
        <w:t>α≥</w:t>
      </w:r>
      <w:r w:rsidRPr="008A2411">
        <w:rPr>
          <w:rFonts w:ascii="Times New Roman"/>
          <w:color w:val="000000" w:themeColor="text1"/>
        </w:rPr>
        <w:t>1</w:t>
      </w:r>
      <w:r w:rsidRPr="008A2411">
        <w:rPr>
          <w:rFonts w:ascii="Times New Roman"/>
          <w:color w:val="000000" w:themeColor="text1"/>
        </w:rPr>
        <w:t>，一般取</w:t>
      </w:r>
      <w:r w:rsidRPr="008A2411">
        <w:rPr>
          <w:rFonts w:ascii="Times New Roman"/>
          <w:color w:val="000000" w:themeColor="text1"/>
        </w:rPr>
        <w:t>2</w:t>
      </w:r>
      <w:r w:rsidRPr="008A2411">
        <w:rPr>
          <w:rFonts w:ascii="Times New Roman"/>
          <w:color w:val="000000" w:themeColor="text1"/>
        </w:rPr>
        <w:t>；</w:t>
      </w:r>
    </w:p>
    <w:p w14:paraId="5C2DE6E7" w14:textId="77777777" w:rsidR="00B0005F" w:rsidRPr="008A2411" w:rsidRDefault="00000000">
      <w:pPr>
        <w:adjustRightInd w:val="0"/>
        <w:spacing w:line="360" w:lineRule="auto"/>
        <w:ind w:firstLineChars="200" w:firstLine="480"/>
        <w:rPr>
          <w:rFonts w:ascii="Times New Roman"/>
          <w:color w:val="000000" w:themeColor="text1"/>
        </w:rPr>
      </w:pPr>
      <w:r w:rsidRPr="008A2411">
        <w:rPr>
          <w:rFonts w:ascii="Times New Roman"/>
          <w:color w:val="000000" w:themeColor="text1"/>
        </w:rPr>
        <w:t xml:space="preserve">    K—</w:t>
      </w:r>
      <w:r w:rsidRPr="008A2411">
        <w:rPr>
          <w:rFonts w:ascii="Times New Roman"/>
          <w:color w:val="000000" w:themeColor="text1"/>
        </w:rPr>
        <w:t>渗透系数，</w:t>
      </w:r>
      <w:r w:rsidRPr="008A2411">
        <w:rPr>
          <w:rFonts w:ascii="Times New Roman"/>
          <w:color w:val="000000" w:themeColor="text1"/>
        </w:rPr>
        <w:t>m/d</w:t>
      </w:r>
      <w:r w:rsidRPr="008A2411">
        <w:rPr>
          <w:rFonts w:ascii="Times New Roman"/>
          <w:color w:val="000000" w:themeColor="text1"/>
        </w:rPr>
        <w:t>；</w:t>
      </w:r>
    </w:p>
    <w:p w14:paraId="68001C02" w14:textId="77777777" w:rsidR="00B0005F" w:rsidRPr="008A2411" w:rsidRDefault="00000000">
      <w:pPr>
        <w:adjustRightInd w:val="0"/>
        <w:spacing w:line="360" w:lineRule="auto"/>
        <w:ind w:firstLineChars="200" w:firstLine="480"/>
        <w:rPr>
          <w:rFonts w:ascii="Times New Roman"/>
          <w:color w:val="000000" w:themeColor="text1"/>
        </w:rPr>
      </w:pPr>
      <w:r w:rsidRPr="008A2411">
        <w:rPr>
          <w:rFonts w:ascii="Times New Roman"/>
          <w:color w:val="000000" w:themeColor="text1"/>
        </w:rPr>
        <w:t xml:space="preserve">    I—</w:t>
      </w:r>
      <w:r w:rsidRPr="008A2411">
        <w:rPr>
          <w:rFonts w:ascii="Times New Roman"/>
          <w:color w:val="000000" w:themeColor="text1"/>
        </w:rPr>
        <w:t>水力坡度，无量纲；</w:t>
      </w:r>
    </w:p>
    <w:p w14:paraId="673F6EBD" w14:textId="77777777" w:rsidR="00B0005F" w:rsidRPr="008A2411" w:rsidRDefault="00000000">
      <w:pPr>
        <w:adjustRightInd w:val="0"/>
        <w:spacing w:line="360" w:lineRule="auto"/>
        <w:ind w:firstLineChars="200" w:firstLine="480"/>
        <w:rPr>
          <w:rFonts w:ascii="Times New Roman"/>
          <w:color w:val="000000" w:themeColor="text1"/>
        </w:rPr>
      </w:pPr>
      <w:r w:rsidRPr="008A2411">
        <w:rPr>
          <w:rFonts w:ascii="Times New Roman"/>
          <w:color w:val="000000" w:themeColor="text1"/>
        </w:rPr>
        <w:t xml:space="preserve">    T—</w:t>
      </w:r>
      <w:r w:rsidRPr="008A2411">
        <w:rPr>
          <w:rFonts w:ascii="Times New Roman"/>
          <w:color w:val="000000" w:themeColor="text1"/>
        </w:rPr>
        <w:t>质点迁移天数，</w:t>
      </w:r>
      <w:r w:rsidRPr="008A2411">
        <w:rPr>
          <w:rFonts w:ascii="Times New Roman"/>
          <w:color w:val="000000" w:themeColor="text1"/>
        </w:rPr>
        <w:t>d</w:t>
      </w:r>
      <w:r w:rsidRPr="008A2411">
        <w:rPr>
          <w:rFonts w:ascii="Times New Roman"/>
          <w:color w:val="000000" w:themeColor="text1"/>
        </w:rPr>
        <w:t>；</w:t>
      </w:r>
    </w:p>
    <w:p w14:paraId="078825BA" w14:textId="77777777" w:rsidR="00B0005F" w:rsidRPr="008A2411" w:rsidRDefault="00000000">
      <w:pPr>
        <w:adjustRightInd w:val="0"/>
        <w:spacing w:line="360" w:lineRule="auto"/>
        <w:ind w:firstLineChars="200" w:firstLine="480"/>
        <w:rPr>
          <w:rFonts w:ascii="Times New Roman"/>
          <w:color w:val="000000" w:themeColor="text1"/>
        </w:rPr>
      </w:pPr>
      <w:r w:rsidRPr="008A2411">
        <w:rPr>
          <w:rFonts w:ascii="Times New Roman"/>
          <w:color w:val="000000" w:themeColor="text1"/>
        </w:rPr>
        <w:t xml:space="preserve">    n</w:t>
      </w:r>
      <w:r w:rsidRPr="008A2411">
        <w:rPr>
          <w:rFonts w:ascii="Times New Roman"/>
          <w:color w:val="000000" w:themeColor="text1"/>
          <w:vertAlign w:val="subscript"/>
        </w:rPr>
        <w:t>e</w:t>
      </w:r>
      <w:r w:rsidRPr="008A2411">
        <w:rPr>
          <w:rFonts w:ascii="Times New Roman"/>
          <w:color w:val="000000" w:themeColor="text1"/>
        </w:rPr>
        <w:t>—</w:t>
      </w:r>
      <w:r w:rsidRPr="008A2411">
        <w:rPr>
          <w:rFonts w:ascii="Times New Roman"/>
          <w:color w:val="000000" w:themeColor="text1"/>
        </w:rPr>
        <w:t>有效孔隙度，无量纲。</w:t>
      </w:r>
    </w:p>
    <w:p w14:paraId="0D1BF49D" w14:textId="77777777" w:rsidR="00B0005F" w:rsidRPr="008A2411" w:rsidRDefault="00000000">
      <w:pPr>
        <w:adjustRightInd w:val="0"/>
        <w:spacing w:line="360" w:lineRule="auto"/>
        <w:ind w:firstLineChars="200"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2</w:t>
      </w:r>
      <w:r w:rsidRPr="008A2411">
        <w:rPr>
          <w:rFonts w:ascii="Times New Roman"/>
          <w:color w:val="000000" w:themeColor="text1"/>
        </w:rPr>
        <w:t>）查表法</w:t>
      </w:r>
      <w:r w:rsidRPr="008A2411">
        <w:rPr>
          <w:rFonts w:ascii="Times New Roman"/>
          <w:color w:val="000000" w:themeColor="text1"/>
        </w:rPr>
        <w:t xml:space="preserve"> </w:t>
      </w:r>
    </w:p>
    <w:p w14:paraId="0483ECAD" w14:textId="77777777" w:rsidR="00B0005F" w:rsidRPr="008A2411" w:rsidRDefault="00000000">
      <w:pPr>
        <w:adjustRightInd w:val="0"/>
        <w:spacing w:line="360" w:lineRule="auto"/>
        <w:ind w:firstLineChars="200" w:firstLine="480"/>
        <w:rPr>
          <w:rFonts w:ascii="Times New Roman"/>
          <w:color w:val="000000" w:themeColor="text1"/>
        </w:rPr>
      </w:pPr>
      <w:r w:rsidRPr="008A2411">
        <w:rPr>
          <w:rFonts w:ascii="Times New Roman"/>
          <w:color w:val="000000" w:themeColor="text1"/>
        </w:rPr>
        <w:t>当不满足公式计算法的要求时，可采用查表法确定。</w:t>
      </w:r>
    </w:p>
    <w:p w14:paraId="541B60D1" w14:textId="77777777" w:rsidR="00B0005F" w:rsidRPr="008A2411" w:rsidRDefault="00000000">
      <w:pPr>
        <w:pStyle w:val="affffffff7"/>
        <w:spacing w:before="60" w:after="60"/>
        <w:rPr>
          <w:color w:val="000000" w:themeColor="text1"/>
        </w:rPr>
      </w:pPr>
      <w:r w:rsidRPr="008A2411">
        <w:rPr>
          <w:color w:val="000000" w:themeColor="text1"/>
        </w:rPr>
        <w:t>表</w:t>
      </w:r>
      <w:r w:rsidRPr="008A2411">
        <w:rPr>
          <w:color w:val="000000" w:themeColor="text1"/>
        </w:rPr>
        <w:t xml:space="preserve">2.7-11  </w:t>
      </w:r>
      <w:r w:rsidRPr="008A2411">
        <w:rPr>
          <w:color w:val="000000" w:themeColor="text1"/>
        </w:rPr>
        <w:t>地下水环境现状调查评价范围参照</w:t>
      </w:r>
    </w:p>
    <w:tbl>
      <w:tblPr>
        <w:tblW w:w="475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97"/>
        <w:gridCol w:w="4111"/>
        <w:gridCol w:w="2388"/>
      </w:tblGrid>
      <w:tr w:rsidR="008A2411" w:rsidRPr="008A2411" w14:paraId="56628D99" w14:textId="77777777">
        <w:trPr>
          <w:jc w:val="center"/>
        </w:trPr>
        <w:tc>
          <w:tcPr>
            <w:tcW w:w="986" w:type="pct"/>
            <w:shd w:val="clear" w:color="auto" w:fill="auto"/>
            <w:vAlign w:val="center"/>
          </w:tcPr>
          <w:p w14:paraId="395E261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评价等级</w:t>
            </w:r>
          </w:p>
        </w:tc>
        <w:tc>
          <w:tcPr>
            <w:tcW w:w="2538" w:type="pct"/>
            <w:shd w:val="clear" w:color="auto" w:fill="auto"/>
            <w:vAlign w:val="center"/>
          </w:tcPr>
          <w:p w14:paraId="6BE7227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调查评价面积（</w:t>
            </w:r>
            <w:r w:rsidRPr="008A2411">
              <w:rPr>
                <w:rFonts w:ascii="Times New Roman"/>
                <w:color w:val="000000" w:themeColor="text1"/>
              </w:rPr>
              <w:t>km</w:t>
            </w:r>
            <w:r w:rsidRPr="008A2411">
              <w:rPr>
                <w:rFonts w:ascii="Times New Roman"/>
                <w:color w:val="000000" w:themeColor="text1"/>
                <w:vertAlign w:val="superscript"/>
              </w:rPr>
              <w:t>2</w:t>
            </w:r>
            <w:r w:rsidRPr="008A2411">
              <w:rPr>
                <w:rFonts w:ascii="Times New Roman"/>
                <w:color w:val="000000" w:themeColor="text1"/>
              </w:rPr>
              <w:t>）</w:t>
            </w:r>
          </w:p>
        </w:tc>
        <w:tc>
          <w:tcPr>
            <w:tcW w:w="1475" w:type="pct"/>
            <w:shd w:val="clear" w:color="auto" w:fill="auto"/>
            <w:vAlign w:val="center"/>
          </w:tcPr>
          <w:p w14:paraId="1D22AD6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备注</w:t>
            </w:r>
          </w:p>
        </w:tc>
      </w:tr>
      <w:tr w:rsidR="008A2411" w:rsidRPr="008A2411" w14:paraId="44C6B87E" w14:textId="77777777">
        <w:trPr>
          <w:jc w:val="center"/>
        </w:trPr>
        <w:tc>
          <w:tcPr>
            <w:tcW w:w="986" w:type="pct"/>
            <w:shd w:val="clear" w:color="auto" w:fill="auto"/>
            <w:vAlign w:val="center"/>
          </w:tcPr>
          <w:p w14:paraId="1DDF103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一级</w:t>
            </w:r>
          </w:p>
        </w:tc>
        <w:tc>
          <w:tcPr>
            <w:tcW w:w="2538" w:type="pct"/>
            <w:shd w:val="clear" w:color="auto" w:fill="auto"/>
            <w:vAlign w:val="center"/>
          </w:tcPr>
          <w:p w14:paraId="117E859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≥20</w:t>
            </w:r>
          </w:p>
        </w:tc>
        <w:tc>
          <w:tcPr>
            <w:tcW w:w="1475" w:type="pct"/>
            <w:vMerge w:val="restart"/>
            <w:shd w:val="clear" w:color="auto" w:fill="auto"/>
            <w:vAlign w:val="center"/>
          </w:tcPr>
          <w:p w14:paraId="3DD8E49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应包括重要的地下水环境保护目标，必要时适当扩大范围</w:t>
            </w:r>
          </w:p>
        </w:tc>
      </w:tr>
      <w:tr w:rsidR="008A2411" w:rsidRPr="008A2411" w14:paraId="7E481109" w14:textId="77777777">
        <w:trPr>
          <w:jc w:val="center"/>
        </w:trPr>
        <w:tc>
          <w:tcPr>
            <w:tcW w:w="986" w:type="pct"/>
            <w:shd w:val="clear" w:color="auto" w:fill="auto"/>
            <w:vAlign w:val="center"/>
          </w:tcPr>
          <w:p w14:paraId="16A09DB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二级</w:t>
            </w:r>
          </w:p>
        </w:tc>
        <w:tc>
          <w:tcPr>
            <w:tcW w:w="2538" w:type="pct"/>
            <w:shd w:val="clear" w:color="auto" w:fill="auto"/>
            <w:vAlign w:val="center"/>
          </w:tcPr>
          <w:p w14:paraId="2ACFCE4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6</w:t>
            </w:r>
            <w:r w:rsidRPr="008A2411">
              <w:rPr>
                <w:rFonts w:ascii="Times New Roman"/>
                <w:color w:val="000000" w:themeColor="text1"/>
              </w:rPr>
              <w:t>～</w:t>
            </w:r>
            <w:r w:rsidRPr="008A2411">
              <w:rPr>
                <w:rFonts w:ascii="Times New Roman"/>
                <w:color w:val="000000" w:themeColor="text1"/>
              </w:rPr>
              <w:t>20</w:t>
            </w:r>
          </w:p>
        </w:tc>
        <w:tc>
          <w:tcPr>
            <w:tcW w:w="1475" w:type="pct"/>
            <w:vMerge/>
            <w:shd w:val="clear" w:color="auto" w:fill="auto"/>
            <w:vAlign w:val="center"/>
          </w:tcPr>
          <w:p w14:paraId="01283363" w14:textId="77777777" w:rsidR="00B0005F" w:rsidRPr="008A2411" w:rsidRDefault="00B0005F">
            <w:pPr>
              <w:pStyle w:val="affffffffffff2"/>
              <w:rPr>
                <w:rFonts w:ascii="Times New Roman"/>
                <w:color w:val="000000" w:themeColor="text1"/>
              </w:rPr>
            </w:pPr>
          </w:p>
        </w:tc>
      </w:tr>
      <w:tr w:rsidR="008A2411" w:rsidRPr="008A2411" w14:paraId="21C9A011" w14:textId="77777777">
        <w:trPr>
          <w:jc w:val="center"/>
        </w:trPr>
        <w:tc>
          <w:tcPr>
            <w:tcW w:w="986" w:type="pct"/>
            <w:shd w:val="clear" w:color="auto" w:fill="auto"/>
            <w:vAlign w:val="center"/>
          </w:tcPr>
          <w:p w14:paraId="2DC28FB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三级</w:t>
            </w:r>
          </w:p>
        </w:tc>
        <w:tc>
          <w:tcPr>
            <w:tcW w:w="2538" w:type="pct"/>
            <w:shd w:val="clear" w:color="auto" w:fill="auto"/>
            <w:vAlign w:val="center"/>
          </w:tcPr>
          <w:p w14:paraId="1C0F3D4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≤6</w:t>
            </w:r>
          </w:p>
        </w:tc>
        <w:tc>
          <w:tcPr>
            <w:tcW w:w="1475" w:type="pct"/>
            <w:vMerge/>
            <w:shd w:val="clear" w:color="auto" w:fill="auto"/>
            <w:vAlign w:val="center"/>
          </w:tcPr>
          <w:p w14:paraId="0FAE0384" w14:textId="77777777" w:rsidR="00B0005F" w:rsidRPr="008A2411" w:rsidRDefault="00B0005F">
            <w:pPr>
              <w:pStyle w:val="affffffffffff2"/>
              <w:rPr>
                <w:rFonts w:ascii="Times New Roman"/>
                <w:color w:val="000000" w:themeColor="text1"/>
              </w:rPr>
            </w:pPr>
          </w:p>
        </w:tc>
      </w:tr>
    </w:tbl>
    <w:p w14:paraId="4F0E8018" w14:textId="77777777" w:rsidR="00B0005F" w:rsidRPr="008A2411" w:rsidRDefault="00000000">
      <w:pPr>
        <w:adjustRightInd w:val="0"/>
        <w:spacing w:line="360" w:lineRule="auto"/>
        <w:ind w:left="482" w:hanging="48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3</w:t>
      </w:r>
      <w:r w:rsidRPr="008A2411">
        <w:rPr>
          <w:rFonts w:ascii="Times New Roman"/>
          <w:color w:val="000000" w:themeColor="text1"/>
        </w:rPr>
        <w:t>）自定义法</w:t>
      </w:r>
    </w:p>
    <w:p w14:paraId="7A550357" w14:textId="77777777" w:rsidR="00B0005F" w:rsidRPr="008A2411" w:rsidRDefault="00000000">
      <w:pPr>
        <w:adjustRightInd w:val="0"/>
        <w:spacing w:line="360" w:lineRule="auto"/>
        <w:ind w:firstLineChars="200" w:firstLine="480"/>
        <w:rPr>
          <w:rFonts w:ascii="Times New Roman"/>
          <w:color w:val="000000" w:themeColor="text1"/>
        </w:rPr>
      </w:pPr>
      <w:r w:rsidRPr="008A2411">
        <w:rPr>
          <w:rFonts w:ascii="Times New Roman"/>
          <w:color w:val="000000" w:themeColor="text1"/>
        </w:rPr>
        <w:t>当计算或查表范围超出所处水文地质单元边界时，应以所处水文地质单元边界为宜，可根据建设项目所在区域水文地质条件确定。</w:t>
      </w:r>
    </w:p>
    <w:p w14:paraId="2A6E0CA7" w14:textId="77777777" w:rsidR="00B0005F" w:rsidRPr="008A2411" w:rsidRDefault="00000000">
      <w:pPr>
        <w:adjustRightInd w:val="0"/>
        <w:spacing w:line="360" w:lineRule="auto"/>
        <w:ind w:firstLineChars="200" w:firstLine="480"/>
        <w:rPr>
          <w:rFonts w:ascii="Times New Roman"/>
          <w:color w:val="000000" w:themeColor="text1"/>
        </w:rPr>
      </w:pPr>
      <w:r w:rsidRPr="008A2411">
        <w:rPr>
          <w:rFonts w:ascii="Times New Roman"/>
          <w:color w:val="000000" w:themeColor="text1"/>
        </w:rPr>
        <w:t>根据现场调查、区域水文地质资料及本项目水文地质勘察，项目区地下水流向为西北向东南，选取自定义法确定本项目地下水环境影响评价范围：东侧、北侧及南侧以当地最低侵蚀基准面</w:t>
      </w:r>
      <w:proofErr w:type="gramStart"/>
      <w:r w:rsidRPr="008A2411">
        <w:rPr>
          <w:rFonts w:ascii="Times New Roman"/>
          <w:color w:val="000000" w:themeColor="text1"/>
        </w:rPr>
        <w:t>墩子河</w:t>
      </w:r>
      <w:proofErr w:type="gramEnd"/>
      <w:r w:rsidRPr="008A2411">
        <w:rPr>
          <w:rFonts w:ascii="Times New Roman"/>
          <w:color w:val="000000" w:themeColor="text1"/>
        </w:rPr>
        <w:t>及其支沟为界，西侧以地表水分水岭为界。据测算，本项目地下水环境影响评价范围共计约</w:t>
      </w:r>
      <w:r w:rsidRPr="008A2411">
        <w:rPr>
          <w:rFonts w:ascii="Times New Roman"/>
          <w:color w:val="000000" w:themeColor="text1"/>
        </w:rPr>
        <w:t>6.36 km</w:t>
      </w:r>
      <w:r w:rsidRPr="008A2411">
        <w:rPr>
          <w:rFonts w:ascii="Times New Roman"/>
          <w:color w:val="000000" w:themeColor="text1"/>
          <w:vertAlign w:val="superscript"/>
        </w:rPr>
        <w:t>2</w:t>
      </w:r>
      <w:r w:rsidRPr="008A2411">
        <w:rPr>
          <w:rFonts w:ascii="Times New Roman"/>
          <w:color w:val="000000" w:themeColor="text1"/>
        </w:rPr>
        <w:t>。本项目调查评价范围见图</w:t>
      </w:r>
      <w:r w:rsidRPr="008A2411">
        <w:rPr>
          <w:rFonts w:ascii="Times New Roman"/>
          <w:color w:val="000000" w:themeColor="text1"/>
        </w:rPr>
        <w:t>2.7-3</w:t>
      </w:r>
      <w:r w:rsidRPr="008A2411">
        <w:rPr>
          <w:rFonts w:ascii="Times New Roman"/>
          <w:color w:val="000000" w:themeColor="text1"/>
        </w:rPr>
        <w:t>。</w:t>
      </w:r>
    </w:p>
    <w:p w14:paraId="5AE839CF" w14:textId="77777777" w:rsidR="00B0005F" w:rsidRPr="008A2411" w:rsidRDefault="00000000">
      <w:pPr>
        <w:jc w:val="center"/>
        <w:rPr>
          <w:rFonts w:ascii="Times New Roman"/>
          <w:color w:val="000000" w:themeColor="text1"/>
        </w:rPr>
      </w:pPr>
      <w:r w:rsidRPr="008A2411">
        <w:rPr>
          <w:rFonts w:ascii="Times New Roman"/>
          <w:noProof/>
          <w:color w:val="000000" w:themeColor="text1"/>
        </w:rPr>
        <w:lastRenderedPageBreak/>
        <w:drawing>
          <wp:inline distT="0" distB="0" distL="0" distR="0" wp14:anchorId="7380FEDA" wp14:editId="36BDDCDE">
            <wp:extent cx="5224145" cy="5213350"/>
            <wp:effectExtent l="0" t="0" r="3175" b="13970"/>
            <wp:docPr id="81" name="图片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图片 81"/>
                    <pic:cNvPicPr>
                      <a:picLocks noChangeAspect="1"/>
                    </pic:cNvPicPr>
                  </pic:nvPicPr>
                  <pic:blipFill>
                    <a:blip r:embed="rId22" cstate="print">
                      <a:extLst>
                        <a:ext uri="{28A0092B-C50C-407E-A947-70E740481C1C}">
                          <a14:useLocalDpi xmlns:a14="http://schemas.microsoft.com/office/drawing/2010/main" val="0"/>
                        </a:ext>
                      </a:extLst>
                    </a:blip>
                    <a:stretch>
                      <a:fillRect/>
                    </a:stretch>
                  </pic:blipFill>
                  <pic:spPr>
                    <a:xfrm>
                      <a:off x="0" y="0"/>
                      <a:ext cx="5224145" cy="5213350"/>
                    </a:xfrm>
                    <a:prstGeom prst="rect">
                      <a:avLst/>
                    </a:prstGeom>
                  </pic:spPr>
                </pic:pic>
              </a:graphicData>
            </a:graphic>
          </wp:inline>
        </w:drawing>
      </w:r>
    </w:p>
    <w:p w14:paraId="19FE9D8F" w14:textId="77777777" w:rsidR="00B0005F" w:rsidRPr="008A2411" w:rsidRDefault="00000000">
      <w:pPr>
        <w:pStyle w:val="affffffff7"/>
        <w:spacing w:before="60" w:after="60"/>
        <w:rPr>
          <w:color w:val="000000" w:themeColor="text1"/>
        </w:rPr>
      </w:pPr>
      <w:r w:rsidRPr="008A2411">
        <w:rPr>
          <w:color w:val="000000" w:themeColor="text1"/>
        </w:rPr>
        <w:t>图</w:t>
      </w:r>
      <w:r w:rsidRPr="008A2411">
        <w:rPr>
          <w:color w:val="000000" w:themeColor="text1"/>
        </w:rPr>
        <w:t xml:space="preserve">10-3  </w:t>
      </w:r>
      <w:r w:rsidRPr="008A2411">
        <w:rPr>
          <w:color w:val="000000" w:themeColor="text1"/>
        </w:rPr>
        <w:t>地下水环境影响调查评价范围</w:t>
      </w:r>
    </w:p>
    <w:p w14:paraId="0C66B2D8" w14:textId="77777777" w:rsidR="00B0005F" w:rsidRPr="008A2411" w:rsidRDefault="00000000">
      <w:pPr>
        <w:spacing w:line="360" w:lineRule="auto"/>
        <w:ind w:firstLineChars="200" w:firstLine="482"/>
        <w:rPr>
          <w:rFonts w:ascii="Times New Roman"/>
          <w:b/>
          <w:bCs/>
          <w:color w:val="000000" w:themeColor="text1"/>
        </w:rPr>
      </w:pPr>
      <w:r w:rsidRPr="008A2411">
        <w:rPr>
          <w:rFonts w:ascii="Times New Roman"/>
          <w:b/>
          <w:bCs/>
          <w:color w:val="000000" w:themeColor="text1"/>
        </w:rPr>
        <w:t>6</w:t>
      </w:r>
      <w:r w:rsidRPr="008A2411">
        <w:rPr>
          <w:rFonts w:ascii="Times New Roman"/>
          <w:b/>
          <w:bCs/>
          <w:color w:val="000000" w:themeColor="text1"/>
        </w:rPr>
        <w:t>、环境风险</w:t>
      </w:r>
    </w:p>
    <w:p w14:paraId="5AE7B98C"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根据《建设项目环境风险评价技术导则》（</w:t>
      </w:r>
      <w:r w:rsidRPr="008A2411">
        <w:rPr>
          <w:rFonts w:ascii="Times New Roman"/>
          <w:bCs/>
          <w:color w:val="000000" w:themeColor="text1"/>
        </w:rPr>
        <w:t>HJ169-2018</w:t>
      </w:r>
      <w:r w:rsidRPr="008A2411">
        <w:rPr>
          <w:rFonts w:ascii="Times New Roman"/>
          <w:bCs/>
          <w:color w:val="000000" w:themeColor="text1"/>
        </w:rPr>
        <w:t>）的规定，本项目大气环境风险评价范围为距离项目厂界</w:t>
      </w:r>
      <w:r w:rsidRPr="008A2411">
        <w:rPr>
          <w:rFonts w:ascii="Times New Roman"/>
          <w:bCs/>
          <w:color w:val="000000" w:themeColor="text1"/>
        </w:rPr>
        <w:t>5km</w:t>
      </w:r>
      <w:r w:rsidRPr="008A2411">
        <w:rPr>
          <w:rFonts w:ascii="Times New Roman"/>
          <w:bCs/>
          <w:color w:val="000000" w:themeColor="text1"/>
        </w:rPr>
        <w:t>的范围；地表水环境风险评价范围为项目所在地河流下游</w:t>
      </w:r>
      <w:r w:rsidRPr="008A2411">
        <w:rPr>
          <w:rFonts w:ascii="Times New Roman"/>
          <w:bCs/>
          <w:color w:val="000000" w:themeColor="text1"/>
        </w:rPr>
        <w:t>10km</w:t>
      </w:r>
      <w:r w:rsidRPr="008A2411">
        <w:rPr>
          <w:rFonts w:ascii="Times New Roman"/>
          <w:bCs/>
          <w:color w:val="000000" w:themeColor="text1"/>
        </w:rPr>
        <w:t>范围、地下水环境风险评价范围为</w:t>
      </w:r>
      <w:r w:rsidRPr="008A2411">
        <w:rPr>
          <w:rFonts w:ascii="Times New Roman"/>
          <w:color w:val="000000" w:themeColor="text1"/>
        </w:rPr>
        <w:t>：东侧、北侧及南侧以当地最低侵蚀基准面</w:t>
      </w:r>
      <w:proofErr w:type="gramStart"/>
      <w:r w:rsidRPr="008A2411">
        <w:rPr>
          <w:rFonts w:ascii="Times New Roman"/>
          <w:color w:val="000000" w:themeColor="text1"/>
        </w:rPr>
        <w:t>墩子河</w:t>
      </w:r>
      <w:proofErr w:type="gramEnd"/>
      <w:r w:rsidRPr="008A2411">
        <w:rPr>
          <w:rFonts w:ascii="Times New Roman"/>
          <w:color w:val="000000" w:themeColor="text1"/>
        </w:rPr>
        <w:t>及其支沟为界，西侧以地表水分水岭为界。据测算，本项目地下水环境影响评价范围共计约</w:t>
      </w:r>
      <w:r w:rsidRPr="008A2411">
        <w:rPr>
          <w:rFonts w:ascii="Times New Roman"/>
          <w:color w:val="000000" w:themeColor="text1"/>
        </w:rPr>
        <w:t>6.36 km</w:t>
      </w:r>
      <w:r w:rsidRPr="008A2411">
        <w:rPr>
          <w:rFonts w:ascii="Times New Roman"/>
          <w:color w:val="000000" w:themeColor="text1"/>
          <w:vertAlign w:val="superscript"/>
        </w:rPr>
        <w:t>2</w:t>
      </w:r>
      <w:r w:rsidRPr="008A2411">
        <w:rPr>
          <w:rFonts w:ascii="Times New Roman"/>
          <w:bCs/>
          <w:color w:val="000000" w:themeColor="text1"/>
        </w:rPr>
        <w:t>。</w:t>
      </w:r>
    </w:p>
    <w:p w14:paraId="06C608BA" w14:textId="77777777" w:rsidR="00B0005F" w:rsidRPr="008A2411" w:rsidRDefault="00000000">
      <w:pPr>
        <w:spacing w:line="360" w:lineRule="auto"/>
        <w:rPr>
          <w:rFonts w:ascii="Times New Roman"/>
          <w:bCs/>
          <w:color w:val="000000" w:themeColor="text1"/>
        </w:rPr>
      </w:pPr>
      <w:r w:rsidRPr="008A2411">
        <w:rPr>
          <w:rFonts w:ascii="Times New Roman"/>
          <w:bCs/>
          <w:noProof/>
          <w:color w:val="000000" w:themeColor="text1"/>
        </w:rPr>
        <w:lastRenderedPageBreak/>
        <w:drawing>
          <wp:inline distT="0" distB="0" distL="114300" distR="114300" wp14:anchorId="2CCF0B3D" wp14:editId="1DEEEDCB">
            <wp:extent cx="5267960" cy="4000500"/>
            <wp:effectExtent l="0" t="0" r="5080" b="7620"/>
            <wp:docPr id="61" name="图片 61" descr="165167279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61" descr="1651672794(1)"/>
                    <pic:cNvPicPr>
                      <a:picLocks noChangeAspect="1"/>
                    </pic:cNvPicPr>
                  </pic:nvPicPr>
                  <pic:blipFill>
                    <a:blip r:embed="rId23"/>
                    <a:stretch>
                      <a:fillRect/>
                    </a:stretch>
                  </pic:blipFill>
                  <pic:spPr>
                    <a:xfrm>
                      <a:off x="0" y="0"/>
                      <a:ext cx="5267960" cy="4000500"/>
                    </a:xfrm>
                    <a:prstGeom prst="rect">
                      <a:avLst/>
                    </a:prstGeom>
                  </pic:spPr>
                </pic:pic>
              </a:graphicData>
            </a:graphic>
          </wp:inline>
        </w:drawing>
      </w:r>
    </w:p>
    <w:p w14:paraId="76498B61" w14:textId="77777777" w:rsidR="00B0005F" w:rsidRPr="008A2411" w:rsidRDefault="00000000">
      <w:pPr>
        <w:pStyle w:val="afffffff9"/>
        <w:spacing w:line="240" w:lineRule="auto"/>
        <w:ind w:firstLineChars="0" w:firstLine="0"/>
        <w:jc w:val="center"/>
        <w:rPr>
          <w:rFonts w:ascii="Times New Roman" w:eastAsia="黑体" w:hAnsi="Times New Roman"/>
          <w:bCs/>
          <w:color w:val="000000" w:themeColor="text1"/>
        </w:rPr>
      </w:pPr>
      <w:r w:rsidRPr="008A2411">
        <w:rPr>
          <w:rFonts w:ascii="Times New Roman" w:eastAsia="黑体" w:hAnsi="Times New Roman"/>
          <w:bCs/>
          <w:color w:val="000000" w:themeColor="text1"/>
        </w:rPr>
        <w:t>图</w:t>
      </w:r>
      <w:r w:rsidRPr="008A2411">
        <w:rPr>
          <w:rFonts w:ascii="Times New Roman" w:eastAsia="黑体" w:hAnsi="Times New Roman"/>
          <w:bCs/>
          <w:color w:val="000000" w:themeColor="text1"/>
        </w:rPr>
        <w:t xml:space="preserve">2.7-4  </w:t>
      </w:r>
      <w:r w:rsidRPr="008A2411">
        <w:rPr>
          <w:rFonts w:ascii="Times New Roman" w:eastAsia="黑体" w:hAnsi="Times New Roman"/>
          <w:bCs/>
          <w:color w:val="000000" w:themeColor="text1"/>
        </w:rPr>
        <w:t>项目大气环境风险评价范围图</w:t>
      </w:r>
    </w:p>
    <w:p w14:paraId="67483175" w14:textId="77777777" w:rsidR="00B0005F" w:rsidRPr="008A2411" w:rsidRDefault="00000000">
      <w:pPr>
        <w:spacing w:line="360" w:lineRule="auto"/>
        <w:ind w:firstLineChars="200" w:firstLine="482"/>
        <w:rPr>
          <w:rFonts w:ascii="Times New Roman"/>
          <w:b/>
          <w:bCs/>
          <w:color w:val="000000" w:themeColor="text1"/>
        </w:rPr>
      </w:pPr>
      <w:r w:rsidRPr="008A2411">
        <w:rPr>
          <w:rFonts w:ascii="Times New Roman"/>
          <w:b/>
          <w:bCs/>
          <w:color w:val="000000" w:themeColor="text1"/>
        </w:rPr>
        <w:t>7</w:t>
      </w:r>
      <w:r w:rsidRPr="008A2411">
        <w:rPr>
          <w:rFonts w:ascii="Times New Roman"/>
          <w:b/>
          <w:bCs/>
          <w:color w:val="000000" w:themeColor="text1"/>
        </w:rPr>
        <w:t>、土壤环境</w:t>
      </w:r>
    </w:p>
    <w:p w14:paraId="579E4F1D" w14:textId="77777777" w:rsidR="00B0005F" w:rsidRPr="008A2411" w:rsidRDefault="00000000">
      <w:pPr>
        <w:spacing w:line="360" w:lineRule="auto"/>
        <w:ind w:firstLine="480"/>
        <w:rPr>
          <w:rFonts w:ascii="Times New Roman"/>
          <w:color w:val="000000" w:themeColor="text1"/>
        </w:rPr>
      </w:pPr>
      <w:r w:rsidRPr="008A2411">
        <w:rPr>
          <w:rFonts w:ascii="Times New Roman"/>
          <w:color w:val="000000" w:themeColor="text1"/>
        </w:rPr>
        <w:t>按照《环境影响评价技术导则</w:t>
      </w:r>
      <w:r w:rsidRPr="008A2411">
        <w:rPr>
          <w:rFonts w:ascii="Times New Roman"/>
          <w:color w:val="000000" w:themeColor="text1"/>
        </w:rPr>
        <w:t xml:space="preserve">  </w:t>
      </w:r>
      <w:r w:rsidRPr="008A2411">
        <w:rPr>
          <w:rFonts w:ascii="Times New Roman"/>
          <w:color w:val="000000" w:themeColor="text1"/>
        </w:rPr>
        <w:t>土壤环境》（试行）（</w:t>
      </w:r>
      <w:r w:rsidRPr="008A2411">
        <w:rPr>
          <w:rFonts w:ascii="Times New Roman"/>
          <w:color w:val="000000" w:themeColor="text1"/>
        </w:rPr>
        <w:t>HJ964-2018</w:t>
      </w:r>
      <w:r w:rsidRPr="008A2411">
        <w:rPr>
          <w:rFonts w:ascii="Times New Roman"/>
          <w:color w:val="000000" w:themeColor="text1"/>
        </w:rPr>
        <w:t>）要求，项目评价范围为场址及厂址外</w:t>
      </w:r>
      <w:r w:rsidRPr="008A2411">
        <w:rPr>
          <w:rFonts w:ascii="Times New Roman"/>
          <w:color w:val="000000" w:themeColor="text1"/>
        </w:rPr>
        <w:t>0.2km</w:t>
      </w:r>
      <w:r w:rsidRPr="008A2411">
        <w:rPr>
          <w:rFonts w:ascii="Times New Roman"/>
          <w:color w:val="000000" w:themeColor="text1"/>
        </w:rPr>
        <w:t>范围。</w:t>
      </w:r>
    </w:p>
    <w:p w14:paraId="6F4DDDCE" w14:textId="77777777" w:rsidR="00B0005F" w:rsidRPr="008A2411" w:rsidRDefault="00000000">
      <w:pPr>
        <w:spacing w:line="360" w:lineRule="auto"/>
        <w:ind w:firstLine="480"/>
        <w:rPr>
          <w:rFonts w:ascii="Times New Roman"/>
          <w:color w:val="000000" w:themeColor="text1"/>
        </w:rPr>
      </w:pPr>
      <w:r w:rsidRPr="008A2411">
        <w:rPr>
          <w:rFonts w:ascii="Times New Roman"/>
          <w:color w:val="000000" w:themeColor="text1"/>
        </w:rPr>
        <w:t>本项目厂界</w:t>
      </w:r>
      <w:r w:rsidRPr="008A2411">
        <w:rPr>
          <w:rFonts w:ascii="Times New Roman"/>
          <w:color w:val="000000" w:themeColor="text1"/>
        </w:rPr>
        <w:t>200m</w:t>
      </w:r>
      <w:r w:rsidRPr="008A2411">
        <w:rPr>
          <w:rFonts w:ascii="Times New Roman"/>
          <w:color w:val="000000" w:themeColor="text1"/>
        </w:rPr>
        <w:t>范围内无饮用水源地、学校、医院、疗养院、养老院等土壤环境敏感目标，均为耕地、居民点等敏感目标。</w:t>
      </w:r>
    </w:p>
    <w:p w14:paraId="1943129D" w14:textId="77777777" w:rsidR="00B0005F" w:rsidRPr="008A2411" w:rsidRDefault="00000000">
      <w:pPr>
        <w:pStyle w:val="2"/>
        <w:adjustRightInd w:val="0"/>
        <w:snapToGrid w:val="0"/>
        <w:spacing w:before="0" w:after="0" w:line="360" w:lineRule="auto"/>
        <w:rPr>
          <w:rFonts w:ascii="Times New Roman" w:eastAsia="宋体"/>
          <w:color w:val="000000" w:themeColor="text1"/>
          <w:sz w:val="24"/>
          <w:szCs w:val="24"/>
        </w:rPr>
      </w:pPr>
      <w:bookmarkStart w:id="113" w:name="_Toc501057861"/>
      <w:bookmarkStart w:id="114" w:name="_Toc19108235"/>
      <w:bookmarkStart w:id="115" w:name="_Toc109170747"/>
      <w:r w:rsidRPr="008A2411">
        <w:rPr>
          <w:rFonts w:ascii="Times New Roman" w:eastAsia="宋体"/>
          <w:color w:val="000000" w:themeColor="text1"/>
          <w:sz w:val="24"/>
          <w:szCs w:val="24"/>
        </w:rPr>
        <w:t xml:space="preserve">2.8 </w:t>
      </w:r>
      <w:r w:rsidRPr="008A2411">
        <w:rPr>
          <w:rFonts w:ascii="Times New Roman" w:eastAsia="宋体"/>
          <w:color w:val="000000" w:themeColor="text1"/>
          <w:sz w:val="24"/>
          <w:szCs w:val="24"/>
        </w:rPr>
        <w:t>污染控制及环境保护目标</w:t>
      </w:r>
      <w:bookmarkEnd w:id="113"/>
      <w:bookmarkEnd w:id="114"/>
      <w:bookmarkEnd w:id="115"/>
    </w:p>
    <w:p w14:paraId="3D2DBE5E" w14:textId="77777777" w:rsidR="00B0005F" w:rsidRPr="008A2411" w:rsidRDefault="00000000">
      <w:pPr>
        <w:pStyle w:val="aa"/>
        <w:adjustRightInd w:val="0"/>
        <w:snapToGrid w:val="0"/>
        <w:spacing w:line="360" w:lineRule="auto"/>
        <w:ind w:firstLine="482"/>
        <w:outlineLvl w:val="2"/>
        <w:rPr>
          <w:rFonts w:ascii="Times New Roman"/>
          <w:b/>
          <w:color w:val="000000" w:themeColor="text1"/>
        </w:rPr>
      </w:pPr>
      <w:r w:rsidRPr="008A2411">
        <w:rPr>
          <w:rFonts w:ascii="Times New Roman"/>
          <w:b/>
          <w:color w:val="000000" w:themeColor="text1"/>
        </w:rPr>
        <w:t xml:space="preserve">2.8.1 </w:t>
      </w:r>
      <w:r w:rsidRPr="008A2411">
        <w:rPr>
          <w:rFonts w:ascii="Times New Roman"/>
          <w:b/>
          <w:color w:val="000000" w:themeColor="text1"/>
        </w:rPr>
        <w:t>污染控制目标</w:t>
      </w:r>
    </w:p>
    <w:p w14:paraId="1EECF1DE" w14:textId="77777777" w:rsidR="00B0005F" w:rsidRPr="008A2411" w:rsidRDefault="00000000">
      <w:pPr>
        <w:pStyle w:val="aa"/>
        <w:adjustRightInd w:val="0"/>
        <w:snapToGrid w:val="0"/>
        <w:spacing w:line="360" w:lineRule="auto"/>
        <w:ind w:firstLine="482"/>
        <w:rPr>
          <w:rFonts w:ascii="Times New Roman"/>
          <w:b/>
          <w:bCs/>
          <w:color w:val="000000" w:themeColor="text1"/>
        </w:rPr>
      </w:pPr>
      <w:r w:rsidRPr="008A2411">
        <w:rPr>
          <w:rFonts w:ascii="Times New Roman"/>
          <w:b/>
          <w:bCs/>
          <w:color w:val="000000" w:themeColor="text1"/>
        </w:rPr>
        <w:t>1</w:t>
      </w:r>
      <w:r w:rsidRPr="008A2411">
        <w:rPr>
          <w:rFonts w:ascii="Times New Roman"/>
          <w:b/>
          <w:bCs/>
          <w:color w:val="000000" w:themeColor="text1"/>
        </w:rPr>
        <w:t>、项目建设阶段对污染物的控制</w:t>
      </w:r>
    </w:p>
    <w:p w14:paraId="0307A3B3" w14:textId="77777777" w:rsidR="00B0005F" w:rsidRPr="008A2411" w:rsidRDefault="00000000">
      <w:pPr>
        <w:adjustRightInd w:val="0"/>
        <w:snapToGrid w:val="0"/>
        <w:spacing w:line="360" w:lineRule="auto"/>
        <w:ind w:firstLine="480"/>
        <w:rPr>
          <w:rStyle w:val="1CharChar5"/>
          <w:rFonts w:ascii="Times New Roman" w:hAnsi="Times New Roman" w:cs="Times New Roman"/>
          <w:color w:val="000000" w:themeColor="text1"/>
        </w:rPr>
      </w:pPr>
      <w:r w:rsidRPr="008A2411">
        <w:rPr>
          <w:rStyle w:val="1CharChar5"/>
          <w:rFonts w:ascii="Times New Roman" w:hAnsi="Times New Roman" w:cs="Times New Roman"/>
          <w:color w:val="000000" w:themeColor="text1"/>
        </w:rPr>
        <w:t>（</w:t>
      </w:r>
      <w:r w:rsidRPr="008A2411">
        <w:rPr>
          <w:rStyle w:val="1CharChar5"/>
          <w:rFonts w:ascii="Times New Roman" w:hAnsi="Times New Roman" w:cs="Times New Roman"/>
          <w:color w:val="000000" w:themeColor="text1"/>
        </w:rPr>
        <w:t>1</w:t>
      </w:r>
      <w:r w:rsidRPr="008A2411">
        <w:rPr>
          <w:rStyle w:val="1CharChar5"/>
          <w:rFonts w:ascii="Times New Roman" w:hAnsi="Times New Roman" w:cs="Times New Roman"/>
          <w:color w:val="000000" w:themeColor="text1"/>
        </w:rPr>
        <w:t>）控制和减轻施工期所造成的水土流失；</w:t>
      </w:r>
    </w:p>
    <w:p w14:paraId="571FB988" w14:textId="77777777" w:rsidR="00B0005F" w:rsidRPr="008A2411" w:rsidRDefault="00000000">
      <w:pPr>
        <w:adjustRightInd w:val="0"/>
        <w:snapToGrid w:val="0"/>
        <w:spacing w:line="360" w:lineRule="auto"/>
        <w:ind w:firstLine="480"/>
        <w:rPr>
          <w:rStyle w:val="1CharChar5"/>
          <w:rFonts w:ascii="Times New Roman" w:hAnsi="Times New Roman" w:cs="Times New Roman"/>
          <w:color w:val="000000" w:themeColor="text1"/>
        </w:rPr>
      </w:pPr>
      <w:r w:rsidRPr="008A2411">
        <w:rPr>
          <w:rStyle w:val="1CharChar5"/>
          <w:rFonts w:ascii="Times New Roman" w:hAnsi="Times New Roman" w:cs="Times New Roman"/>
          <w:color w:val="000000" w:themeColor="text1"/>
        </w:rPr>
        <w:t>（</w:t>
      </w:r>
      <w:r w:rsidRPr="008A2411">
        <w:rPr>
          <w:rStyle w:val="1CharChar5"/>
          <w:rFonts w:ascii="Times New Roman" w:hAnsi="Times New Roman" w:cs="Times New Roman"/>
          <w:color w:val="000000" w:themeColor="text1"/>
        </w:rPr>
        <w:t>2</w:t>
      </w:r>
      <w:r w:rsidRPr="008A2411">
        <w:rPr>
          <w:rStyle w:val="1CharChar5"/>
          <w:rFonts w:ascii="Times New Roman" w:hAnsi="Times New Roman" w:cs="Times New Roman"/>
          <w:color w:val="000000" w:themeColor="text1"/>
        </w:rPr>
        <w:t>）控制施工期噪声对周围环境的影响，</w:t>
      </w:r>
      <w:proofErr w:type="gramStart"/>
      <w:r w:rsidRPr="008A2411">
        <w:rPr>
          <w:rStyle w:val="1CharChar5"/>
          <w:rFonts w:ascii="Times New Roman" w:hAnsi="Times New Roman" w:cs="Times New Roman"/>
          <w:color w:val="000000" w:themeColor="text1"/>
        </w:rPr>
        <w:t>不</w:t>
      </w:r>
      <w:proofErr w:type="gramEnd"/>
      <w:r w:rsidRPr="008A2411">
        <w:rPr>
          <w:rStyle w:val="1CharChar5"/>
          <w:rFonts w:ascii="Times New Roman" w:hAnsi="Times New Roman" w:cs="Times New Roman"/>
          <w:color w:val="000000" w:themeColor="text1"/>
        </w:rPr>
        <w:t>扰民；</w:t>
      </w:r>
    </w:p>
    <w:p w14:paraId="771D7664" w14:textId="77777777" w:rsidR="00B0005F" w:rsidRPr="008A2411" w:rsidRDefault="00000000">
      <w:pPr>
        <w:adjustRightInd w:val="0"/>
        <w:snapToGrid w:val="0"/>
        <w:spacing w:line="360" w:lineRule="auto"/>
        <w:ind w:firstLine="480"/>
        <w:rPr>
          <w:rStyle w:val="1CharChar5"/>
          <w:rFonts w:ascii="Times New Roman" w:hAnsi="Times New Roman" w:cs="Times New Roman"/>
          <w:color w:val="000000" w:themeColor="text1"/>
        </w:rPr>
      </w:pPr>
      <w:r w:rsidRPr="008A2411">
        <w:rPr>
          <w:rStyle w:val="1CharChar5"/>
          <w:rFonts w:ascii="Times New Roman" w:hAnsi="Times New Roman" w:cs="Times New Roman"/>
          <w:color w:val="000000" w:themeColor="text1"/>
        </w:rPr>
        <w:t>（</w:t>
      </w:r>
      <w:r w:rsidRPr="008A2411">
        <w:rPr>
          <w:rStyle w:val="1CharChar5"/>
          <w:rFonts w:ascii="Times New Roman" w:hAnsi="Times New Roman" w:cs="Times New Roman"/>
          <w:color w:val="000000" w:themeColor="text1"/>
        </w:rPr>
        <w:t>3</w:t>
      </w:r>
      <w:r w:rsidRPr="008A2411">
        <w:rPr>
          <w:rStyle w:val="1CharChar5"/>
          <w:rFonts w:ascii="Times New Roman" w:hAnsi="Times New Roman" w:cs="Times New Roman"/>
          <w:color w:val="000000" w:themeColor="text1"/>
        </w:rPr>
        <w:t>）严格控制施工期扬尘，妥善处置施工建筑垃圾和弃土；</w:t>
      </w:r>
    </w:p>
    <w:p w14:paraId="4053BEF5" w14:textId="77777777" w:rsidR="00B0005F" w:rsidRPr="008A2411" w:rsidRDefault="00000000">
      <w:pPr>
        <w:adjustRightInd w:val="0"/>
        <w:snapToGrid w:val="0"/>
        <w:spacing w:line="360" w:lineRule="auto"/>
        <w:ind w:firstLine="480"/>
        <w:rPr>
          <w:rStyle w:val="1CharChar5"/>
          <w:rFonts w:ascii="Times New Roman" w:hAnsi="Times New Roman" w:cs="Times New Roman"/>
          <w:color w:val="000000" w:themeColor="text1"/>
        </w:rPr>
      </w:pPr>
      <w:r w:rsidRPr="008A2411">
        <w:rPr>
          <w:rStyle w:val="1CharChar5"/>
          <w:rFonts w:ascii="Times New Roman" w:hAnsi="Times New Roman" w:cs="Times New Roman"/>
          <w:color w:val="000000" w:themeColor="text1"/>
        </w:rPr>
        <w:t>（</w:t>
      </w:r>
      <w:r w:rsidRPr="008A2411">
        <w:rPr>
          <w:rStyle w:val="1CharChar5"/>
          <w:rFonts w:ascii="Times New Roman" w:hAnsi="Times New Roman" w:cs="Times New Roman"/>
          <w:color w:val="000000" w:themeColor="text1"/>
        </w:rPr>
        <w:t>4</w:t>
      </w:r>
      <w:r w:rsidRPr="008A2411">
        <w:rPr>
          <w:rStyle w:val="1CharChar5"/>
          <w:rFonts w:ascii="Times New Roman" w:hAnsi="Times New Roman" w:cs="Times New Roman"/>
          <w:color w:val="000000" w:themeColor="text1"/>
        </w:rPr>
        <w:t>）施工期产生的污水须经处理达标后回用或排放。</w:t>
      </w:r>
    </w:p>
    <w:p w14:paraId="67D194BE" w14:textId="77777777" w:rsidR="00B0005F" w:rsidRPr="008A2411" w:rsidRDefault="00000000">
      <w:pPr>
        <w:pStyle w:val="aa"/>
        <w:adjustRightInd w:val="0"/>
        <w:snapToGrid w:val="0"/>
        <w:spacing w:line="360" w:lineRule="auto"/>
        <w:ind w:firstLine="482"/>
        <w:rPr>
          <w:rFonts w:ascii="Times New Roman"/>
          <w:b/>
          <w:bCs/>
          <w:color w:val="000000" w:themeColor="text1"/>
        </w:rPr>
      </w:pPr>
      <w:r w:rsidRPr="008A2411">
        <w:rPr>
          <w:rFonts w:ascii="Times New Roman"/>
          <w:b/>
          <w:bCs/>
          <w:color w:val="000000" w:themeColor="text1"/>
        </w:rPr>
        <w:t>2</w:t>
      </w:r>
      <w:r w:rsidRPr="008A2411">
        <w:rPr>
          <w:rFonts w:ascii="Times New Roman"/>
          <w:b/>
          <w:bCs/>
          <w:color w:val="000000" w:themeColor="text1"/>
        </w:rPr>
        <w:t>、项目建成投产后对污染物的控制</w:t>
      </w:r>
    </w:p>
    <w:p w14:paraId="6E4431C2" w14:textId="12ECA236" w:rsidR="00B0005F" w:rsidRPr="008A2411" w:rsidRDefault="00000000">
      <w:pPr>
        <w:adjustRightInd w:val="0"/>
        <w:snapToGrid w:val="0"/>
        <w:spacing w:line="360" w:lineRule="auto"/>
        <w:ind w:firstLine="480"/>
        <w:rPr>
          <w:rStyle w:val="1CharChar5"/>
          <w:rFonts w:ascii="Times New Roman" w:hAnsi="Times New Roman" w:cs="Times New Roman"/>
          <w:color w:val="000000" w:themeColor="text1"/>
        </w:rPr>
      </w:pPr>
      <w:r w:rsidRPr="008A2411">
        <w:rPr>
          <w:rStyle w:val="1CharChar5"/>
          <w:rFonts w:ascii="Times New Roman" w:hAnsi="Times New Roman" w:cs="Times New Roman"/>
          <w:color w:val="000000" w:themeColor="text1"/>
        </w:rPr>
        <w:t>（</w:t>
      </w:r>
      <w:r w:rsidRPr="008A2411">
        <w:rPr>
          <w:rStyle w:val="1CharChar5"/>
          <w:rFonts w:ascii="Times New Roman" w:hAnsi="Times New Roman" w:cs="Times New Roman"/>
          <w:color w:val="000000" w:themeColor="text1"/>
        </w:rPr>
        <w:t>1</w:t>
      </w:r>
      <w:r w:rsidRPr="008A2411">
        <w:rPr>
          <w:rStyle w:val="1CharChar5"/>
          <w:rFonts w:ascii="Times New Roman" w:hAnsi="Times New Roman" w:cs="Times New Roman"/>
          <w:color w:val="000000" w:themeColor="text1"/>
        </w:rPr>
        <w:t>）项目废水</w:t>
      </w:r>
      <w:r w:rsidR="00846A16" w:rsidRPr="008A2411">
        <w:rPr>
          <w:rStyle w:val="1CharChar5"/>
          <w:rFonts w:ascii="Times New Roman" w:hAnsi="Times New Roman" w:cs="Times New Roman" w:hint="eastAsia"/>
          <w:color w:val="000000" w:themeColor="text1"/>
        </w:rPr>
        <w:t>排入园区管网</w:t>
      </w:r>
      <w:r w:rsidRPr="008A2411">
        <w:rPr>
          <w:rStyle w:val="1CharChar5"/>
          <w:rFonts w:ascii="Times New Roman" w:hAnsi="Times New Roman" w:cs="Times New Roman"/>
          <w:color w:val="000000" w:themeColor="text1"/>
        </w:rPr>
        <w:t>，确保其依托处置的可行性；</w:t>
      </w:r>
    </w:p>
    <w:p w14:paraId="32CD2838" w14:textId="77777777" w:rsidR="00B0005F" w:rsidRPr="008A2411" w:rsidRDefault="00000000">
      <w:pPr>
        <w:adjustRightInd w:val="0"/>
        <w:snapToGrid w:val="0"/>
        <w:spacing w:line="360" w:lineRule="auto"/>
        <w:ind w:firstLine="480"/>
        <w:rPr>
          <w:rStyle w:val="1CharChar5"/>
          <w:rFonts w:ascii="Times New Roman" w:hAnsi="Times New Roman" w:cs="Times New Roman"/>
          <w:color w:val="000000" w:themeColor="text1"/>
        </w:rPr>
      </w:pPr>
      <w:r w:rsidRPr="008A2411">
        <w:rPr>
          <w:rStyle w:val="1CharChar5"/>
          <w:rFonts w:ascii="Times New Roman" w:hAnsi="Times New Roman" w:cs="Times New Roman"/>
          <w:color w:val="000000" w:themeColor="text1"/>
        </w:rPr>
        <w:t>（</w:t>
      </w:r>
      <w:r w:rsidRPr="008A2411">
        <w:rPr>
          <w:rStyle w:val="1CharChar5"/>
          <w:rFonts w:ascii="Times New Roman" w:hAnsi="Times New Roman" w:cs="Times New Roman"/>
          <w:color w:val="000000" w:themeColor="text1"/>
        </w:rPr>
        <w:t>2</w:t>
      </w:r>
      <w:r w:rsidRPr="008A2411">
        <w:rPr>
          <w:rStyle w:val="1CharChar5"/>
          <w:rFonts w:ascii="Times New Roman" w:hAnsi="Times New Roman" w:cs="Times New Roman"/>
          <w:color w:val="000000" w:themeColor="text1"/>
        </w:rPr>
        <w:t>）评价区域内大气环境质量不因项目的实施而明显改变；</w:t>
      </w:r>
    </w:p>
    <w:p w14:paraId="038CAE96" w14:textId="77777777" w:rsidR="00B0005F" w:rsidRPr="008A2411" w:rsidRDefault="00000000">
      <w:pPr>
        <w:adjustRightInd w:val="0"/>
        <w:snapToGrid w:val="0"/>
        <w:spacing w:line="360" w:lineRule="auto"/>
        <w:ind w:firstLine="480"/>
        <w:rPr>
          <w:rStyle w:val="1CharChar5"/>
          <w:rFonts w:ascii="Times New Roman" w:hAnsi="Times New Roman" w:cs="Times New Roman"/>
          <w:color w:val="000000" w:themeColor="text1"/>
        </w:rPr>
      </w:pPr>
      <w:r w:rsidRPr="008A2411">
        <w:rPr>
          <w:rStyle w:val="1CharChar5"/>
          <w:rFonts w:ascii="Times New Roman" w:hAnsi="Times New Roman" w:cs="Times New Roman"/>
          <w:color w:val="000000" w:themeColor="text1"/>
        </w:rPr>
        <w:lastRenderedPageBreak/>
        <w:t>（</w:t>
      </w:r>
      <w:r w:rsidRPr="008A2411">
        <w:rPr>
          <w:rStyle w:val="1CharChar5"/>
          <w:rFonts w:ascii="Times New Roman" w:hAnsi="Times New Roman" w:cs="Times New Roman"/>
          <w:color w:val="000000" w:themeColor="text1"/>
        </w:rPr>
        <w:t>3</w:t>
      </w:r>
      <w:r w:rsidRPr="008A2411">
        <w:rPr>
          <w:rStyle w:val="1CharChar5"/>
          <w:rFonts w:ascii="Times New Roman" w:hAnsi="Times New Roman" w:cs="Times New Roman"/>
          <w:color w:val="000000" w:themeColor="text1"/>
        </w:rPr>
        <w:t>）厂界噪声值达标，</w:t>
      </w:r>
      <w:proofErr w:type="gramStart"/>
      <w:r w:rsidRPr="008A2411">
        <w:rPr>
          <w:rStyle w:val="1CharChar5"/>
          <w:rFonts w:ascii="Times New Roman" w:hAnsi="Times New Roman" w:cs="Times New Roman"/>
          <w:color w:val="000000" w:themeColor="text1"/>
        </w:rPr>
        <w:t>区域声</w:t>
      </w:r>
      <w:proofErr w:type="gramEnd"/>
      <w:r w:rsidRPr="008A2411">
        <w:rPr>
          <w:rStyle w:val="1CharChar5"/>
          <w:rFonts w:ascii="Times New Roman" w:hAnsi="Times New Roman" w:cs="Times New Roman"/>
          <w:color w:val="000000" w:themeColor="text1"/>
        </w:rPr>
        <w:t>环境不因项目的噪声而明显改变；</w:t>
      </w:r>
    </w:p>
    <w:p w14:paraId="4712537C" w14:textId="77777777" w:rsidR="00B0005F" w:rsidRPr="008A2411" w:rsidRDefault="00000000">
      <w:pPr>
        <w:adjustRightInd w:val="0"/>
        <w:snapToGrid w:val="0"/>
        <w:spacing w:line="360" w:lineRule="auto"/>
        <w:ind w:firstLine="480"/>
        <w:rPr>
          <w:rStyle w:val="1CharChar5"/>
          <w:rFonts w:ascii="Times New Roman" w:hAnsi="Times New Roman" w:cs="Times New Roman"/>
          <w:color w:val="000000" w:themeColor="text1"/>
        </w:rPr>
      </w:pPr>
      <w:r w:rsidRPr="008A2411">
        <w:rPr>
          <w:rStyle w:val="1CharChar5"/>
          <w:rFonts w:ascii="Times New Roman" w:hAnsi="Times New Roman" w:cs="Times New Roman"/>
          <w:color w:val="000000" w:themeColor="text1"/>
        </w:rPr>
        <w:t>（</w:t>
      </w:r>
      <w:r w:rsidRPr="008A2411">
        <w:rPr>
          <w:rStyle w:val="1CharChar5"/>
          <w:rFonts w:ascii="Times New Roman" w:hAnsi="Times New Roman" w:cs="Times New Roman"/>
          <w:color w:val="000000" w:themeColor="text1"/>
        </w:rPr>
        <w:t>4</w:t>
      </w:r>
      <w:r w:rsidRPr="008A2411">
        <w:rPr>
          <w:rStyle w:val="1CharChar5"/>
          <w:rFonts w:ascii="Times New Roman" w:hAnsi="Times New Roman" w:cs="Times New Roman"/>
          <w:color w:val="000000" w:themeColor="text1"/>
        </w:rPr>
        <w:t>）固体废物不产生二次污染和不影响环境。</w:t>
      </w:r>
    </w:p>
    <w:p w14:paraId="25198F38" w14:textId="77777777" w:rsidR="00B0005F" w:rsidRPr="008A2411" w:rsidRDefault="00000000">
      <w:pPr>
        <w:pStyle w:val="aa"/>
        <w:adjustRightInd w:val="0"/>
        <w:snapToGrid w:val="0"/>
        <w:spacing w:line="360" w:lineRule="auto"/>
        <w:ind w:firstLine="482"/>
        <w:outlineLvl w:val="2"/>
        <w:rPr>
          <w:rFonts w:ascii="Times New Roman"/>
          <w:b/>
          <w:color w:val="000000" w:themeColor="text1"/>
        </w:rPr>
      </w:pPr>
      <w:r w:rsidRPr="008A2411">
        <w:rPr>
          <w:rFonts w:ascii="Times New Roman"/>
          <w:b/>
          <w:color w:val="000000" w:themeColor="text1"/>
        </w:rPr>
        <w:t xml:space="preserve">2.8.2 </w:t>
      </w:r>
      <w:r w:rsidRPr="008A2411">
        <w:rPr>
          <w:rFonts w:ascii="Times New Roman"/>
          <w:b/>
          <w:color w:val="000000" w:themeColor="text1"/>
        </w:rPr>
        <w:t>外环境关系及环境保护目标</w:t>
      </w:r>
    </w:p>
    <w:p w14:paraId="609822A5"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本项目站场位于达州市宣汉县普光化工园区，项目建设用地主要利用现有园区内未平整的山林地建设，地表植被以</w:t>
      </w:r>
      <w:proofErr w:type="gramStart"/>
      <w:r w:rsidRPr="008A2411">
        <w:rPr>
          <w:rFonts w:ascii="Times New Roman" w:hAnsi="Times New Roman"/>
          <w:color w:val="000000" w:themeColor="text1"/>
        </w:rPr>
        <w:t>小型乔</w:t>
      </w:r>
      <w:proofErr w:type="gramEnd"/>
      <w:r w:rsidRPr="008A2411">
        <w:rPr>
          <w:rFonts w:ascii="Times New Roman" w:hAnsi="Times New Roman"/>
          <w:color w:val="000000" w:themeColor="text1"/>
        </w:rPr>
        <w:t>灌木为主，区域内分布的少量的香樟、竹子、杂木等。拟建站场周边以散居农户和一般耕地为主，项目具体外环境情况见下表</w:t>
      </w:r>
      <w:r w:rsidRPr="008A2411">
        <w:rPr>
          <w:rFonts w:ascii="Times New Roman" w:hAnsi="Times New Roman"/>
          <w:color w:val="000000" w:themeColor="text1"/>
        </w:rPr>
        <w:t>2.8-1</w:t>
      </w:r>
      <w:r w:rsidRPr="008A2411">
        <w:rPr>
          <w:rFonts w:ascii="Times New Roman" w:hAnsi="Times New Roman"/>
          <w:color w:val="000000" w:themeColor="text1"/>
        </w:rPr>
        <w:t>。</w:t>
      </w:r>
    </w:p>
    <w:p w14:paraId="477602D6" w14:textId="77777777" w:rsidR="00B0005F" w:rsidRPr="008A2411" w:rsidRDefault="00000000">
      <w:pPr>
        <w:pStyle w:val="afffffffff"/>
        <w:spacing w:before="0" w:beforeAutospacing="0" w:after="0" w:afterAutospacing="0" w:line="240" w:lineRule="auto"/>
        <w:jc w:val="center"/>
        <w:rPr>
          <w:rFonts w:eastAsia="黑体" w:hAnsi="Times New Roman" w:cs="Times New Roman"/>
          <w:b w:val="0"/>
          <w:color w:val="000000" w:themeColor="text1"/>
        </w:rPr>
      </w:pPr>
      <w:r w:rsidRPr="008A2411">
        <w:rPr>
          <w:rFonts w:eastAsia="黑体" w:hAnsi="Times New Roman" w:cs="Times New Roman"/>
          <w:b w:val="0"/>
          <w:color w:val="000000" w:themeColor="text1"/>
        </w:rPr>
        <w:t>表</w:t>
      </w:r>
      <w:r w:rsidRPr="008A2411">
        <w:rPr>
          <w:rFonts w:eastAsia="黑体" w:hAnsi="Times New Roman" w:cs="Times New Roman"/>
          <w:b w:val="0"/>
          <w:color w:val="000000" w:themeColor="text1"/>
        </w:rPr>
        <w:t xml:space="preserve">2.8-1 </w:t>
      </w:r>
      <w:r w:rsidRPr="008A2411">
        <w:rPr>
          <w:rFonts w:eastAsia="黑体" w:hAnsi="Times New Roman" w:cs="Times New Roman"/>
          <w:b w:val="0"/>
          <w:color w:val="000000" w:themeColor="text1"/>
        </w:rPr>
        <w:t>站场环境保护目标一览表</w:t>
      </w:r>
    </w:p>
    <w:tbl>
      <w:tblPr>
        <w:tblW w:w="5198" w:type="pct"/>
        <w:jc w:val="center"/>
        <w:tblBorders>
          <w:top w:val="single" w:sz="4" w:space="0" w:color="auto"/>
          <w:left w:val="single" w:sz="4" w:space="0" w:color="auto"/>
          <w:bottom w:val="single" w:sz="4" w:space="0" w:color="auto"/>
          <w:right w:val="single" w:sz="4" w:space="0" w:color="auto"/>
          <w:insideH w:val="single" w:sz="4" w:space="0" w:color="000000" w:themeColor="text1"/>
          <w:insideV w:val="single" w:sz="4" w:space="0" w:color="000000" w:themeColor="text1"/>
        </w:tblBorders>
        <w:tblLayout w:type="fixed"/>
        <w:tblLook w:val="04A0" w:firstRow="1" w:lastRow="0" w:firstColumn="1" w:lastColumn="0" w:noHBand="0" w:noVBand="1"/>
      </w:tblPr>
      <w:tblGrid>
        <w:gridCol w:w="490"/>
        <w:gridCol w:w="643"/>
        <w:gridCol w:w="990"/>
        <w:gridCol w:w="734"/>
        <w:gridCol w:w="645"/>
        <w:gridCol w:w="810"/>
        <w:gridCol w:w="1244"/>
        <w:gridCol w:w="1469"/>
        <w:gridCol w:w="794"/>
        <w:gridCol w:w="1040"/>
      </w:tblGrid>
      <w:tr w:rsidR="008A2411" w:rsidRPr="008A2411" w14:paraId="664D54A6" w14:textId="77777777">
        <w:trPr>
          <w:trHeight w:val="34"/>
          <w:jc w:val="center"/>
        </w:trPr>
        <w:tc>
          <w:tcPr>
            <w:tcW w:w="276" w:type="pct"/>
            <w:vMerge w:val="restart"/>
            <w:tcBorders>
              <w:bottom w:val="single" w:sz="2" w:space="0" w:color="000000" w:themeColor="text1"/>
              <w:right w:val="single" w:sz="2" w:space="0" w:color="000000" w:themeColor="text1"/>
            </w:tcBorders>
            <w:vAlign w:val="center"/>
          </w:tcPr>
          <w:p w14:paraId="15579EFE" w14:textId="77777777" w:rsidR="00B0005F" w:rsidRPr="008A2411" w:rsidRDefault="00000000">
            <w:pPr>
              <w:jc w:val="center"/>
              <w:rPr>
                <w:rFonts w:ascii="Times New Roman"/>
                <w:b/>
                <w:color w:val="000000" w:themeColor="text1"/>
                <w:sz w:val="21"/>
                <w:szCs w:val="21"/>
              </w:rPr>
            </w:pPr>
            <w:r w:rsidRPr="008A2411">
              <w:rPr>
                <w:rFonts w:ascii="Times New Roman"/>
                <w:b/>
                <w:color w:val="000000" w:themeColor="text1"/>
                <w:sz w:val="21"/>
                <w:szCs w:val="21"/>
              </w:rPr>
              <w:t>序号</w:t>
            </w:r>
          </w:p>
        </w:tc>
        <w:tc>
          <w:tcPr>
            <w:tcW w:w="363" w:type="pct"/>
            <w:vMerge w:val="restart"/>
            <w:tcBorders>
              <w:left w:val="single" w:sz="2" w:space="0" w:color="000000" w:themeColor="text1"/>
              <w:bottom w:val="single" w:sz="2" w:space="0" w:color="000000" w:themeColor="text1"/>
              <w:right w:val="single" w:sz="2" w:space="0" w:color="000000" w:themeColor="text1"/>
            </w:tcBorders>
            <w:vAlign w:val="center"/>
          </w:tcPr>
          <w:p w14:paraId="5D7B222E" w14:textId="77777777" w:rsidR="00B0005F" w:rsidRPr="008A2411" w:rsidRDefault="00000000">
            <w:pPr>
              <w:jc w:val="center"/>
              <w:rPr>
                <w:rFonts w:ascii="Times New Roman"/>
                <w:b/>
                <w:color w:val="000000" w:themeColor="text1"/>
                <w:sz w:val="21"/>
                <w:szCs w:val="21"/>
              </w:rPr>
            </w:pPr>
            <w:r w:rsidRPr="008A2411">
              <w:rPr>
                <w:rFonts w:ascii="Times New Roman"/>
                <w:b/>
                <w:color w:val="000000" w:themeColor="text1"/>
                <w:sz w:val="21"/>
                <w:szCs w:val="21"/>
              </w:rPr>
              <w:t>环境要素</w:t>
            </w:r>
          </w:p>
        </w:tc>
        <w:tc>
          <w:tcPr>
            <w:tcW w:w="556" w:type="pct"/>
            <w:vMerge w:val="restart"/>
            <w:tcBorders>
              <w:left w:val="single" w:sz="2" w:space="0" w:color="000000" w:themeColor="text1"/>
              <w:bottom w:val="single" w:sz="2" w:space="0" w:color="000000" w:themeColor="text1"/>
              <w:right w:val="single" w:sz="2" w:space="0" w:color="000000" w:themeColor="text1"/>
            </w:tcBorders>
            <w:vAlign w:val="center"/>
          </w:tcPr>
          <w:p w14:paraId="57DB297C" w14:textId="77777777" w:rsidR="00B0005F" w:rsidRPr="008A2411" w:rsidRDefault="00000000">
            <w:pPr>
              <w:jc w:val="center"/>
              <w:rPr>
                <w:rFonts w:ascii="Times New Roman"/>
                <w:b/>
                <w:color w:val="000000" w:themeColor="text1"/>
                <w:sz w:val="21"/>
                <w:szCs w:val="21"/>
              </w:rPr>
            </w:pPr>
            <w:r w:rsidRPr="008A2411">
              <w:rPr>
                <w:rFonts w:ascii="Times New Roman"/>
                <w:b/>
                <w:color w:val="000000" w:themeColor="text1"/>
                <w:sz w:val="21"/>
                <w:szCs w:val="21"/>
              </w:rPr>
              <w:t>保护目标</w:t>
            </w:r>
          </w:p>
        </w:tc>
        <w:tc>
          <w:tcPr>
            <w:tcW w:w="778" w:type="pct"/>
            <w:gridSpan w:val="2"/>
            <w:tcBorders>
              <w:left w:val="single" w:sz="2" w:space="0" w:color="000000" w:themeColor="text1"/>
              <w:bottom w:val="single" w:sz="2" w:space="0" w:color="000000" w:themeColor="text1"/>
              <w:right w:val="single" w:sz="2" w:space="0" w:color="000000" w:themeColor="text1"/>
            </w:tcBorders>
            <w:vAlign w:val="center"/>
          </w:tcPr>
          <w:p w14:paraId="0DD34DAC" w14:textId="77777777" w:rsidR="00B0005F" w:rsidRPr="008A2411" w:rsidRDefault="00000000">
            <w:pPr>
              <w:jc w:val="center"/>
              <w:rPr>
                <w:rFonts w:ascii="Times New Roman"/>
                <w:b/>
                <w:color w:val="000000" w:themeColor="text1"/>
                <w:sz w:val="21"/>
                <w:szCs w:val="21"/>
              </w:rPr>
            </w:pPr>
            <w:r w:rsidRPr="008A2411">
              <w:rPr>
                <w:rFonts w:ascii="Times New Roman"/>
                <w:b/>
                <w:color w:val="000000" w:themeColor="text1"/>
                <w:sz w:val="21"/>
                <w:szCs w:val="21"/>
              </w:rPr>
              <w:t>距离最近点坐标</w:t>
            </w:r>
          </w:p>
        </w:tc>
        <w:tc>
          <w:tcPr>
            <w:tcW w:w="457" w:type="pct"/>
            <w:vMerge w:val="restart"/>
            <w:tcBorders>
              <w:left w:val="single" w:sz="2" w:space="0" w:color="000000" w:themeColor="text1"/>
              <w:bottom w:val="single" w:sz="2" w:space="0" w:color="000000" w:themeColor="text1"/>
              <w:right w:val="single" w:sz="2" w:space="0" w:color="000000" w:themeColor="text1"/>
            </w:tcBorders>
            <w:vAlign w:val="center"/>
          </w:tcPr>
          <w:p w14:paraId="7E5767DE" w14:textId="77777777" w:rsidR="00B0005F" w:rsidRPr="008A2411" w:rsidRDefault="00000000">
            <w:pPr>
              <w:jc w:val="center"/>
              <w:rPr>
                <w:rFonts w:ascii="Times New Roman"/>
                <w:b/>
                <w:color w:val="000000" w:themeColor="text1"/>
                <w:sz w:val="21"/>
                <w:szCs w:val="21"/>
              </w:rPr>
            </w:pPr>
            <w:r w:rsidRPr="008A2411">
              <w:rPr>
                <w:rFonts w:ascii="Times New Roman"/>
                <w:b/>
                <w:color w:val="000000" w:themeColor="text1"/>
                <w:sz w:val="21"/>
                <w:szCs w:val="21"/>
              </w:rPr>
              <w:t>保护对象</w:t>
            </w:r>
          </w:p>
        </w:tc>
        <w:tc>
          <w:tcPr>
            <w:tcW w:w="702" w:type="pct"/>
            <w:vMerge w:val="restart"/>
            <w:tcBorders>
              <w:left w:val="single" w:sz="2" w:space="0" w:color="000000" w:themeColor="text1"/>
              <w:right w:val="single" w:sz="2" w:space="0" w:color="000000" w:themeColor="text1"/>
            </w:tcBorders>
            <w:vAlign w:val="center"/>
          </w:tcPr>
          <w:p w14:paraId="7A38AC2D" w14:textId="77777777" w:rsidR="00B0005F" w:rsidRPr="008A2411" w:rsidRDefault="00000000">
            <w:pPr>
              <w:jc w:val="center"/>
              <w:rPr>
                <w:rFonts w:ascii="Times New Roman"/>
                <w:b/>
                <w:color w:val="000000" w:themeColor="text1"/>
                <w:sz w:val="21"/>
                <w:szCs w:val="21"/>
              </w:rPr>
            </w:pPr>
            <w:r w:rsidRPr="008A2411">
              <w:rPr>
                <w:rFonts w:ascii="Times New Roman"/>
                <w:b/>
                <w:color w:val="000000" w:themeColor="text1"/>
                <w:sz w:val="21"/>
                <w:szCs w:val="21"/>
              </w:rPr>
              <w:t>保护内容及规模</w:t>
            </w:r>
          </w:p>
        </w:tc>
        <w:tc>
          <w:tcPr>
            <w:tcW w:w="829" w:type="pct"/>
            <w:vMerge w:val="restart"/>
            <w:tcBorders>
              <w:left w:val="single" w:sz="2" w:space="0" w:color="000000" w:themeColor="text1"/>
              <w:bottom w:val="single" w:sz="2" w:space="0" w:color="000000" w:themeColor="text1"/>
              <w:right w:val="single" w:sz="2" w:space="0" w:color="000000" w:themeColor="text1"/>
            </w:tcBorders>
            <w:vAlign w:val="center"/>
          </w:tcPr>
          <w:p w14:paraId="6B32365A" w14:textId="77777777" w:rsidR="00B0005F" w:rsidRPr="008A2411" w:rsidRDefault="00000000">
            <w:pPr>
              <w:jc w:val="center"/>
              <w:rPr>
                <w:rFonts w:ascii="Times New Roman"/>
                <w:b/>
                <w:color w:val="000000" w:themeColor="text1"/>
                <w:sz w:val="21"/>
                <w:szCs w:val="21"/>
              </w:rPr>
            </w:pPr>
            <w:r w:rsidRPr="008A2411">
              <w:rPr>
                <w:rFonts w:ascii="Times New Roman"/>
                <w:b/>
                <w:color w:val="000000" w:themeColor="text1"/>
                <w:sz w:val="21"/>
                <w:szCs w:val="21"/>
              </w:rPr>
              <w:t>环境功能区</w:t>
            </w:r>
          </w:p>
        </w:tc>
        <w:tc>
          <w:tcPr>
            <w:tcW w:w="1034" w:type="pct"/>
            <w:gridSpan w:val="2"/>
            <w:tcBorders>
              <w:left w:val="single" w:sz="2" w:space="0" w:color="000000" w:themeColor="text1"/>
              <w:bottom w:val="single" w:sz="2" w:space="0" w:color="000000" w:themeColor="text1"/>
            </w:tcBorders>
            <w:vAlign w:val="center"/>
          </w:tcPr>
          <w:p w14:paraId="005C0C37" w14:textId="77777777" w:rsidR="00B0005F" w:rsidRPr="008A2411" w:rsidRDefault="00000000">
            <w:pPr>
              <w:jc w:val="center"/>
              <w:rPr>
                <w:rFonts w:ascii="Times New Roman"/>
                <w:b/>
                <w:color w:val="000000" w:themeColor="text1"/>
                <w:sz w:val="21"/>
                <w:szCs w:val="21"/>
              </w:rPr>
            </w:pPr>
            <w:r w:rsidRPr="008A2411">
              <w:rPr>
                <w:rFonts w:ascii="Times New Roman"/>
                <w:b/>
                <w:color w:val="000000" w:themeColor="text1"/>
                <w:sz w:val="21"/>
                <w:szCs w:val="21"/>
              </w:rPr>
              <w:t>方位及距离</w:t>
            </w:r>
          </w:p>
        </w:tc>
      </w:tr>
      <w:tr w:rsidR="008A2411" w:rsidRPr="008A2411" w14:paraId="654B5A48" w14:textId="77777777">
        <w:trPr>
          <w:trHeight w:val="25"/>
          <w:jc w:val="center"/>
        </w:trPr>
        <w:tc>
          <w:tcPr>
            <w:tcW w:w="276" w:type="pct"/>
            <w:vMerge/>
            <w:tcBorders>
              <w:top w:val="single" w:sz="2" w:space="0" w:color="000000" w:themeColor="text1"/>
              <w:bottom w:val="single" w:sz="2" w:space="0" w:color="000000" w:themeColor="text1"/>
              <w:right w:val="single" w:sz="2" w:space="0" w:color="000000" w:themeColor="text1"/>
            </w:tcBorders>
            <w:vAlign w:val="center"/>
          </w:tcPr>
          <w:p w14:paraId="3FB546C3" w14:textId="77777777" w:rsidR="00B0005F" w:rsidRPr="008A2411" w:rsidRDefault="00B0005F">
            <w:pPr>
              <w:jc w:val="center"/>
              <w:rPr>
                <w:rFonts w:ascii="Times New Roman"/>
                <w:b/>
                <w:color w:val="000000" w:themeColor="text1"/>
                <w:sz w:val="21"/>
                <w:szCs w:val="21"/>
              </w:rPr>
            </w:pPr>
          </w:p>
        </w:tc>
        <w:tc>
          <w:tcPr>
            <w:tcW w:w="363" w:type="pct"/>
            <w:vMerge/>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286882A1" w14:textId="77777777" w:rsidR="00B0005F" w:rsidRPr="008A2411" w:rsidRDefault="00B0005F">
            <w:pPr>
              <w:jc w:val="center"/>
              <w:rPr>
                <w:rFonts w:ascii="Times New Roman"/>
                <w:b/>
                <w:color w:val="000000" w:themeColor="text1"/>
                <w:sz w:val="21"/>
                <w:szCs w:val="21"/>
              </w:rPr>
            </w:pPr>
          </w:p>
        </w:tc>
        <w:tc>
          <w:tcPr>
            <w:tcW w:w="556" w:type="pct"/>
            <w:vMerge/>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4C682185" w14:textId="77777777" w:rsidR="00B0005F" w:rsidRPr="008A2411" w:rsidRDefault="00B0005F">
            <w:pPr>
              <w:jc w:val="center"/>
              <w:rPr>
                <w:rFonts w:ascii="Times New Roman"/>
                <w:b/>
                <w:color w:val="000000" w:themeColor="text1"/>
                <w:sz w:val="21"/>
                <w:szCs w:val="21"/>
              </w:rPr>
            </w:pPr>
          </w:p>
        </w:tc>
        <w:tc>
          <w:tcPr>
            <w:tcW w:w="414"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51DACCA6" w14:textId="77777777" w:rsidR="00B0005F" w:rsidRPr="008A2411" w:rsidRDefault="00000000">
            <w:pPr>
              <w:jc w:val="center"/>
              <w:rPr>
                <w:rFonts w:ascii="Times New Roman"/>
                <w:b/>
                <w:color w:val="000000" w:themeColor="text1"/>
                <w:sz w:val="21"/>
                <w:szCs w:val="21"/>
              </w:rPr>
            </w:pPr>
            <w:r w:rsidRPr="008A2411">
              <w:rPr>
                <w:rFonts w:ascii="Times New Roman"/>
                <w:b/>
                <w:color w:val="000000" w:themeColor="text1"/>
                <w:sz w:val="21"/>
                <w:szCs w:val="21"/>
              </w:rPr>
              <w:t>X</w:t>
            </w:r>
          </w:p>
        </w:tc>
        <w:tc>
          <w:tcPr>
            <w:tcW w:w="363"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51E9D445" w14:textId="77777777" w:rsidR="00B0005F" w:rsidRPr="008A2411" w:rsidRDefault="00000000">
            <w:pPr>
              <w:jc w:val="center"/>
              <w:rPr>
                <w:rFonts w:ascii="Times New Roman"/>
                <w:b/>
                <w:color w:val="000000" w:themeColor="text1"/>
                <w:sz w:val="21"/>
                <w:szCs w:val="21"/>
              </w:rPr>
            </w:pPr>
            <w:r w:rsidRPr="008A2411">
              <w:rPr>
                <w:rFonts w:ascii="Times New Roman"/>
                <w:b/>
                <w:color w:val="000000" w:themeColor="text1"/>
                <w:sz w:val="21"/>
                <w:szCs w:val="21"/>
              </w:rPr>
              <w:t>Y</w:t>
            </w:r>
          </w:p>
        </w:tc>
        <w:tc>
          <w:tcPr>
            <w:tcW w:w="457" w:type="pct"/>
            <w:vMerge/>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12813E59" w14:textId="77777777" w:rsidR="00B0005F" w:rsidRPr="008A2411" w:rsidRDefault="00B0005F">
            <w:pPr>
              <w:jc w:val="center"/>
              <w:rPr>
                <w:rFonts w:ascii="Times New Roman"/>
                <w:b/>
                <w:color w:val="000000" w:themeColor="text1"/>
                <w:sz w:val="21"/>
                <w:szCs w:val="21"/>
              </w:rPr>
            </w:pPr>
          </w:p>
        </w:tc>
        <w:tc>
          <w:tcPr>
            <w:tcW w:w="702" w:type="pct"/>
            <w:vMerge/>
            <w:tcBorders>
              <w:left w:val="single" w:sz="2" w:space="0" w:color="000000" w:themeColor="text1"/>
              <w:bottom w:val="single" w:sz="2" w:space="0" w:color="000000" w:themeColor="text1"/>
              <w:right w:val="single" w:sz="2" w:space="0" w:color="000000" w:themeColor="text1"/>
            </w:tcBorders>
            <w:vAlign w:val="center"/>
          </w:tcPr>
          <w:p w14:paraId="0341A9A9" w14:textId="77777777" w:rsidR="00B0005F" w:rsidRPr="008A2411" w:rsidRDefault="00B0005F">
            <w:pPr>
              <w:jc w:val="center"/>
              <w:rPr>
                <w:rFonts w:ascii="Times New Roman"/>
                <w:b/>
                <w:color w:val="000000" w:themeColor="text1"/>
                <w:sz w:val="21"/>
                <w:szCs w:val="21"/>
              </w:rPr>
            </w:pPr>
          </w:p>
        </w:tc>
        <w:tc>
          <w:tcPr>
            <w:tcW w:w="829" w:type="pct"/>
            <w:vMerge/>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09167D42" w14:textId="77777777" w:rsidR="00B0005F" w:rsidRPr="008A2411" w:rsidRDefault="00B0005F">
            <w:pPr>
              <w:jc w:val="center"/>
              <w:rPr>
                <w:rFonts w:ascii="Times New Roman"/>
                <w:b/>
                <w:color w:val="000000" w:themeColor="text1"/>
                <w:sz w:val="21"/>
                <w:szCs w:val="21"/>
              </w:rPr>
            </w:pPr>
          </w:p>
        </w:tc>
        <w:tc>
          <w:tcPr>
            <w:tcW w:w="448"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3ECFFDAF" w14:textId="77777777" w:rsidR="00B0005F" w:rsidRPr="008A2411" w:rsidRDefault="00000000">
            <w:pPr>
              <w:jc w:val="center"/>
              <w:rPr>
                <w:rFonts w:ascii="Times New Roman"/>
                <w:b/>
                <w:color w:val="000000" w:themeColor="text1"/>
                <w:sz w:val="21"/>
                <w:szCs w:val="21"/>
              </w:rPr>
            </w:pPr>
            <w:r w:rsidRPr="008A2411">
              <w:rPr>
                <w:rFonts w:ascii="Times New Roman"/>
                <w:b/>
                <w:color w:val="000000" w:themeColor="text1"/>
                <w:sz w:val="21"/>
                <w:szCs w:val="21"/>
              </w:rPr>
              <w:t>方位</w:t>
            </w:r>
          </w:p>
        </w:tc>
        <w:tc>
          <w:tcPr>
            <w:tcW w:w="586" w:type="pct"/>
            <w:tcBorders>
              <w:top w:val="single" w:sz="2" w:space="0" w:color="000000" w:themeColor="text1"/>
              <w:left w:val="single" w:sz="2" w:space="0" w:color="000000" w:themeColor="text1"/>
              <w:bottom w:val="single" w:sz="2" w:space="0" w:color="000000" w:themeColor="text1"/>
            </w:tcBorders>
            <w:vAlign w:val="center"/>
          </w:tcPr>
          <w:p w14:paraId="4C43EF97" w14:textId="77777777" w:rsidR="00B0005F" w:rsidRPr="008A2411" w:rsidRDefault="00000000">
            <w:pPr>
              <w:jc w:val="center"/>
              <w:rPr>
                <w:rFonts w:ascii="Times New Roman"/>
                <w:b/>
                <w:color w:val="000000" w:themeColor="text1"/>
                <w:sz w:val="21"/>
                <w:szCs w:val="21"/>
              </w:rPr>
            </w:pPr>
            <w:r w:rsidRPr="008A2411">
              <w:rPr>
                <w:rFonts w:ascii="Times New Roman"/>
                <w:b/>
                <w:color w:val="000000" w:themeColor="text1"/>
                <w:sz w:val="21"/>
                <w:szCs w:val="21"/>
              </w:rPr>
              <w:t>距离（</w:t>
            </w:r>
            <w:r w:rsidRPr="008A2411">
              <w:rPr>
                <w:rFonts w:ascii="Times New Roman"/>
                <w:b/>
                <w:color w:val="000000" w:themeColor="text1"/>
                <w:sz w:val="21"/>
                <w:szCs w:val="21"/>
              </w:rPr>
              <w:t>m</w:t>
            </w:r>
            <w:r w:rsidRPr="008A2411">
              <w:rPr>
                <w:rFonts w:ascii="Times New Roman"/>
                <w:b/>
                <w:color w:val="000000" w:themeColor="text1"/>
                <w:sz w:val="21"/>
                <w:szCs w:val="21"/>
              </w:rPr>
              <w:t>）</w:t>
            </w:r>
          </w:p>
        </w:tc>
      </w:tr>
      <w:tr w:rsidR="008A2411" w:rsidRPr="008A2411" w14:paraId="6F1258BF" w14:textId="77777777">
        <w:trPr>
          <w:trHeight w:val="342"/>
          <w:jc w:val="center"/>
        </w:trPr>
        <w:tc>
          <w:tcPr>
            <w:tcW w:w="276" w:type="pct"/>
            <w:tcBorders>
              <w:top w:val="single" w:sz="2" w:space="0" w:color="000000" w:themeColor="text1"/>
              <w:bottom w:val="single" w:sz="2" w:space="0" w:color="000000" w:themeColor="text1"/>
              <w:right w:val="single" w:sz="2" w:space="0" w:color="000000" w:themeColor="text1"/>
            </w:tcBorders>
            <w:vAlign w:val="center"/>
          </w:tcPr>
          <w:p w14:paraId="16D3619D"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w:t>
            </w:r>
          </w:p>
        </w:tc>
        <w:tc>
          <w:tcPr>
            <w:tcW w:w="363" w:type="pct"/>
            <w:vMerge w:val="restart"/>
            <w:tcBorders>
              <w:top w:val="single" w:sz="2" w:space="0" w:color="000000" w:themeColor="text1"/>
              <w:left w:val="single" w:sz="2" w:space="0" w:color="000000" w:themeColor="text1"/>
              <w:right w:val="single" w:sz="2" w:space="0" w:color="000000" w:themeColor="text1"/>
            </w:tcBorders>
            <w:vAlign w:val="center"/>
          </w:tcPr>
          <w:p w14:paraId="4654754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环境空气</w:t>
            </w:r>
          </w:p>
        </w:tc>
        <w:tc>
          <w:tcPr>
            <w:tcW w:w="556"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31237225"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杏树村居民</w:t>
            </w:r>
          </w:p>
        </w:tc>
        <w:tc>
          <w:tcPr>
            <w:tcW w:w="414"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37DEB10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-171</w:t>
            </w:r>
          </w:p>
        </w:tc>
        <w:tc>
          <w:tcPr>
            <w:tcW w:w="363"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7539831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616</w:t>
            </w:r>
          </w:p>
        </w:tc>
        <w:tc>
          <w:tcPr>
            <w:tcW w:w="457"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3A665894"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农户</w:t>
            </w:r>
          </w:p>
        </w:tc>
        <w:tc>
          <w:tcPr>
            <w:tcW w:w="702"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0360F62B"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3</w:t>
            </w:r>
            <w:r w:rsidRPr="008A2411">
              <w:rPr>
                <w:rFonts w:ascii="Times New Roman"/>
                <w:color w:val="000000" w:themeColor="text1"/>
                <w:sz w:val="21"/>
                <w:szCs w:val="21"/>
              </w:rPr>
              <w:t>户</w:t>
            </w:r>
            <w:r w:rsidRPr="008A2411">
              <w:rPr>
                <w:rFonts w:ascii="Times New Roman"/>
                <w:color w:val="000000" w:themeColor="text1"/>
                <w:sz w:val="21"/>
                <w:szCs w:val="21"/>
              </w:rPr>
              <w:t>12</w:t>
            </w:r>
            <w:r w:rsidRPr="008A2411">
              <w:rPr>
                <w:rFonts w:ascii="Times New Roman"/>
                <w:color w:val="000000" w:themeColor="text1"/>
                <w:sz w:val="21"/>
                <w:szCs w:val="21"/>
              </w:rPr>
              <w:t>人</w:t>
            </w:r>
          </w:p>
        </w:tc>
        <w:tc>
          <w:tcPr>
            <w:tcW w:w="829" w:type="pct"/>
            <w:vMerge w:val="restart"/>
            <w:tcBorders>
              <w:top w:val="single" w:sz="2" w:space="0" w:color="000000" w:themeColor="text1"/>
              <w:left w:val="single" w:sz="2" w:space="0" w:color="000000" w:themeColor="text1"/>
              <w:right w:val="single" w:sz="2" w:space="0" w:color="000000" w:themeColor="text1"/>
            </w:tcBorders>
            <w:vAlign w:val="center"/>
          </w:tcPr>
          <w:p w14:paraId="39D07F47"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《环境空气质量标准》（</w:t>
            </w:r>
            <w:r w:rsidRPr="008A2411">
              <w:rPr>
                <w:rFonts w:ascii="Times New Roman"/>
                <w:color w:val="000000" w:themeColor="text1"/>
                <w:sz w:val="21"/>
                <w:szCs w:val="21"/>
              </w:rPr>
              <w:t>GB3095-2012</w:t>
            </w:r>
            <w:r w:rsidRPr="008A2411">
              <w:rPr>
                <w:rFonts w:ascii="Times New Roman"/>
                <w:color w:val="000000" w:themeColor="text1"/>
                <w:sz w:val="21"/>
                <w:szCs w:val="21"/>
              </w:rPr>
              <w:t>）二级标准</w:t>
            </w:r>
          </w:p>
        </w:tc>
        <w:tc>
          <w:tcPr>
            <w:tcW w:w="448"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0EAF8E5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西北</w:t>
            </w:r>
          </w:p>
        </w:tc>
        <w:tc>
          <w:tcPr>
            <w:tcW w:w="586" w:type="pct"/>
            <w:tcBorders>
              <w:top w:val="single" w:sz="2" w:space="0" w:color="000000" w:themeColor="text1"/>
              <w:left w:val="single" w:sz="2" w:space="0" w:color="000000" w:themeColor="text1"/>
              <w:bottom w:val="single" w:sz="2" w:space="0" w:color="000000" w:themeColor="text1"/>
            </w:tcBorders>
            <w:vAlign w:val="center"/>
          </w:tcPr>
          <w:p w14:paraId="7FF4D81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699~750</w:t>
            </w:r>
          </w:p>
        </w:tc>
      </w:tr>
      <w:tr w:rsidR="008A2411" w:rsidRPr="008A2411" w14:paraId="3B819D29" w14:textId="77777777">
        <w:trPr>
          <w:trHeight w:val="342"/>
          <w:jc w:val="center"/>
        </w:trPr>
        <w:tc>
          <w:tcPr>
            <w:tcW w:w="276" w:type="pct"/>
            <w:tcBorders>
              <w:top w:val="single" w:sz="2" w:space="0" w:color="000000" w:themeColor="text1"/>
              <w:bottom w:val="single" w:sz="2" w:space="0" w:color="000000" w:themeColor="text1"/>
              <w:right w:val="single" w:sz="2" w:space="0" w:color="000000" w:themeColor="text1"/>
            </w:tcBorders>
            <w:vAlign w:val="center"/>
          </w:tcPr>
          <w:p w14:paraId="2DE37D5E"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w:t>
            </w:r>
          </w:p>
        </w:tc>
        <w:tc>
          <w:tcPr>
            <w:tcW w:w="363" w:type="pct"/>
            <w:vMerge/>
            <w:tcBorders>
              <w:left w:val="single" w:sz="2" w:space="0" w:color="000000" w:themeColor="text1"/>
              <w:right w:val="single" w:sz="2" w:space="0" w:color="000000" w:themeColor="text1"/>
            </w:tcBorders>
            <w:vAlign w:val="center"/>
          </w:tcPr>
          <w:p w14:paraId="0B4D3ADF" w14:textId="77777777" w:rsidR="00B0005F" w:rsidRPr="008A2411" w:rsidRDefault="00B0005F">
            <w:pPr>
              <w:jc w:val="center"/>
              <w:rPr>
                <w:rFonts w:ascii="Times New Roman"/>
                <w:color w:val="000000" w:themeColor="text1"/>
                <w:sz w:val="21"/>
                <w:szCs w:val="21"/>
              </w:rPr>
            </w:pPr>
          </w:p>
        </w:tc>
        <w:tc>
          <w:tcPr>
            <w:tcW w:w="556"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2CD8279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杏树村居民</w:t>
            </w:r>
          </w:p>
        </w:tc>
        <w:tc>
          <w:tcPr>
            <w:tcW w:w="414"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7B72EC7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-328</w:t>
            </w:r>
          </w:p>
        </w:tc>
        <w:tc>
          <w:tcPr>
            <w:tcW w:w="363"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02E6AF0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599</w:t>
            </w:r>
          </w:p>
        </w:tc>
        <w:tc>
          <w:tcPr>
            <w:tcW w:w="457"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66D58E0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农户</w:t>
            </w:r>
          </w:p>
        </w:tc>
        <w:tc>
          <w:tcPr>
            <w:tcW w:w="702"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29B7D295"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9</w:t>
            </w:r>
            <w:r w:rsidRPr="008A2411">
              <w:rPr>
                <w:rFonts w:ascii="Times New Roman"/>
                <w:color w:val="000000" w:themeColor="text1"/>
                <w:sz w:val="21"/>
                <w:szCs w:val="21"/>
              </w:rPr>
              <w:t>户</w:t>
            </w:r>
            <w:r w:rsidRPr="008A2411">
              <w:rPr>
                <w:rFonts w:ascii="Times New Roman"/>
                <w:color w:val="000000" w:themeColor="text1"/>
                <w:sz w:val="21"/>
                <w:szCs w:val="21"/>
              </w:rPr>
              <w:t>35</w:t>
            </w:r>
            <w:r w:rsidRPr="008A2411">
              <w:rPr>
                <w:rFonts w:ascii="Times New Roman"/>
                <w:color w:val="000000" w:themeColor="text1"/>
                <w:sz w:val="21"/>
                <w:szCs w:val="21"/>
              </w:rPr>
              <w:t>人</w:t>
            </w:r>
          </w:p>
        </w:tc>
        <w:tc>
          <w:tcPr>
            <w:tcW w:w="829" w:type="pct"/>
            <w:vMerge/>
            <w:tcBorders>
              <w:left w:val="single" w:sz="2" w:space="0" w:color="000000" w:themeColor="text1"/>
              <w:right w:val="single" w:sz="2" w:space="0" w:color="000000" w:themeColor="text1"/>
            </w:tcBorders>
            <w:vAlign w:val="center"/>
          </w:tcPr>
          <w:p w14:paraId="0C1675A6" w14:textId="77777777" w:rsidR="00B0005F" w:rsidRPr="008A2411" w:rsidRDefault="00B0005F">
            <w:pPr>
              <w:jc w:val="center"/>
              <w:rPr>
                <w:rFonts w:ascii="Times New Roman"/>
                <w:color w:val="000000" w:themeColor="text1"/>
                <w:sz w:val="21"/>
                <w:szCs w:val="21"/>
              </w:rPr>
            </w:pPr>
          </w:p>
        </w:tc>
        <w:tc>
          <w:tcPr>
            <w:tcW w:w="448"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54AC1AC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西北</w:t>
            </w:r>
          </w:p>
        </w:tc>
        <w:tc>
          <w:tcPr>
            <w:tcW w:w="586" w:type="pct"/>
            <w:tcBorders>
              <w:top w:val="single" w:sz="2" w:space="0" w:color="000000" w:themeColor="text1"/>
              <w:left w:val="single" w:sz="2" w:space="0" w:color="000000" w:themeColor="text1"/>
              <w:bottom w:val="single" w:sz="2" w:space="0" w:color="000000" w:themeColor="text1"/>
            </w:tcBorders>
            <w:vAlign w:val="center"/>
          </w:tcPr>
          <w:p w14:paraId="698C03FB"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819~960</w:t>
            </w:r>
          </w:p>
        </w:tc>
      </w:tr>
      <w:tr w:rsidR="008A2411" w:rsidRPr="008A2411" w14:paraId="12CEB633" w14:textId="77777777">
        <w:trPr>
          <w:trHeight w:val="342"/>
          <w:jc w:val="center"/>
        </w:trPr>
        <w:tc>
          <w:tcPr>
            <w:tcW w:w="276" w:type="pct"/>
            <w:tcBorders>
              <w:top w:val="single" w:sz="2" w:space="0" w:color="000000" w:themeColor="text1"/>
              <w:bottom w:val="single" w:sz="2" w:space="0" w:color="000000" w:themeColor="text1"/>
              <w:right w:val="single" w:sz="2" w:space="0" w:color="000000" w:themeColor="text1"/>
            </w:tcBorders>
            <w:vAlign w:val="center"/>
          </w:tcPr>
          <w:p w14:paraId="7676F3B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3</w:t>
            </w:r>
          </w:p>
        </w:tc>
        <w:tc>
          <w:tcPr>
            <w:tcW w:w="363" w:type="pct"/>
            <w:vMerge/>
            <w:tcBorders>
              <w:left w:val="single" w:sz="2" w:space="0" w:color="000000" w:themeColor="text1"/>
              <w:right w:val="single" w:sz="2" w:space="0" w:color="000000" w:themeColor="text1"/>
            </w:tcBorders>
            <w:vAlign w:val="center"/>
          </w:tcPr>
          <w:p w14:paraId="4C710B80" w14:textId="77777777" w:rsidR="00B0005F" w:rsidRPr="008A2411" w:rsidRDefault="00B0005F">
            <w:pPr>
              <w:jc w:val="center"/>
              <w:rPr>
                <w:rFonts w:ascii="Times New Roman"/>
                <w:color w:val="000000" w:themeColor="text1"/>
                <w:sz w:val="21"/>
                <w:szCs w:val="21"/>
              </w:rPr>
            </w:pPr>
          </w:p>
        </w:tc>
        <w:tc>
          <w:tcPr>
            <w:tcW w:w="556"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27D2FAC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杏树村居民</w:t>
            </w:r>
          </w:p>
        </w:tc>
        <w:tc>
          <w:tcPr>
            <w:tcW w:w="414"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63EA7C0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-290</w:t>
            </w:r>
          </w:p>
        </w:tc>
        <w:tc>
          <w:tcPr>
            <w:tcW w:w="363"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35A40D8D"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988</w:t>
            </w:r>
          </w:p>
        </w:tc>
        <w:tc>
          <w:tcPr>
            <w:tcW w:w="457"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71A8B63B"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农户</w:t>
            </w:r>
          </w:p>
        </w:tc>
        <w:tc>
          <w:tcPr>
            <w:tcW w:w="702"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7063F7BB"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10</w:t>
            </w:r>
            <w:r w:rsidRPr="008A2411">
              <w:rPr>
                <w:rFonts w:ascii="Times New Roman"/>
                <w:color w:val="000000" w:themeColor="text1"/>
                <w:sz w:val="21"/>
                <w:szCs w:val="21"/>
              </w:rPr>
              <w:t>户</w:t>
            </w:r>
            <w:r w:rsidRPr="008A2411">
              <w:rPr>
                <w:rFonts w:ascii="Times New Roman"/>
                <w:color w:val="000000" w:themeColor="text1"/>
                <w:sz w:val="21"/>
                <w:szCs w:val="21"/>
              </w:rPr>
              <w:t>39</w:t>
            </w:r>
            <w:r w:rsidRPr="008A2411">
              <w:rPr>
                <w:rFonts w:ascii="Times New Roman"/>
                <w:color w:val="000000" w:themeColor="text1"/>
                <w:sz w:val="21"/>
                <w:szCs w:val="21"/>
              </w:rPr>
              <w:t>人</w:t>
            </w:r>
          </w:p>
        </w:tc>
        <w:tc>
          <w:tcPr>
            <w:tcW w:w="829" w:type="pct"/>
            <w:vMerge/>
            <w:tcBorders>
              <w:left w:val="single" w:sz="2" w:space="0" w:color="000000" w:themeColor="text1"/>
              <w:right w:val="single" w:sz="2" w:space="0" w:color="000000" w:themeColor="text1"/>
            </w:tcBorders>
            <w:vAlign w:val="center"/>
          </w:tcPr>
          <w:p w14:paraId="4623BC57" w14:textId="77777777" w:rsidR="00B0005F" w:rsidRPr="008A2411" w:rsidRDefault="00B0005F">
            <w:pPr>
              <w:jc w:val="center"/>
              <w:rPr>
                <w:rFonts w:ascii="Times New Roman"/>
                <w:color w:val="000000" w:themeColor="text1"/>
                <w:sz w:val="21"/>
                <w:szCs w:val="21"/>
              </w:rPr>
            </w:pPr>
          </w:p>
        </w:tc>
        <w:tc>
          <w:tcPr>
            <w:tcW w:w="448"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63FD35BD"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西北</w:t>
            </w:r>
          </w:p>
        </w:tc>
        <w:tc>
          <w:tcPr>
            <w:tcW w:w="586" w:type="pct"/>
            <w:tcBorders>
              <w:top w:val="single" w:sz="2" w:space="0" w:color="000000" w:themeColor="text1"/>
              <w:left w:val="single" w:sz="2" w:space="0" w:color="000000" w:themeColor="text1"/>
              <w:bottom w:val="single" w:sz="2" w:space="0" w:color="000000" w:themeColor="text1"/>
            </w:tcBorders>
            <w:vAlign w:val="center"/>
          </w:tcPr>
          <w:p w14:paraId="04036F3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1048~1160</w:t>
            </w:r>
          </w:p>
        </w:tc>
      </w:tr>
      <w:tr w:rsidR="008A2411" w:rsidRPr="008A2411" w14:paraId="0345C6E1" w14:textId="77777777">
        <w:trPr>
          <w:trHeight w:val="342"/>
          <w:jc w:val="center"/>
        </w:trPr>
        <w:tc>
          <w:tcPr>
            <w:tcW w:w="276" w:type="pct"/>
            <w:tcBorders>
              <w:top w:val="single" w:sz="2" w:space="0" w:color="000000" w:themeColor="text1"/>
              <w:bottom w:val="single" w:sz="2" w:space="0" w:color="000000" w:themeColor="text1"/>
              <w:right w:val="single" w:sz="2" w:space="0" w:color="000000" w:themeColor="text1"/>
            </w:tcBorders>
            <w:vAlign w:val="center"/>
          </w:tcPr>
          <w:p w14:paraId="1F3089DD"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4</w:t>
            </w:r>
          </w:p>
        </w:tc>
        <w:tc>
          <w:tcPr>
            <w:tcW w:w="363" w:type="pct"/>
            <w:vMerge/>
            <w:tcBorders>
              <w:left w:val="single" w:sz="2" w:space="0" w:color="000000" w:themeColor="text1"/>
              <w:right w:val="single" w:sz="2" w:space="0" w:color="000000" w:themeColor="text1"/>
            </w:tcBorders>
            <w:vAlign w:val="center"/>
          </w:tcPr>
          <w:p w14:paraId="242593C4" w14:textId="77777777" w:rsidR="00B0005F" w:rsidRPr="008A2411" w:rsidRDefault="00B0005F">
            <w:pPr>
              <w:jc w:val="center"/>
              <w:rPr>
                <w:rFonts w:ascii="Times New Roman"/>
                <w:color w:val="000000" w:themeColor="text1"/>
                <w:sz w:val="21"/>
                <w:szCs w:val="21"/>
              </w:rPr>
            </w:pPr>
          </w:p>
        </w:tc>
        <w:tc>
          <w:tcPr>
            <w:tcW w:w="556"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50A28DA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杏树村居民</w:t>
            </w:r>
          </w:p>
        </w:tc>
        <w:tc>
          <w:tcPr>
            <w:tcW w:w="414"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0722575B"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-110</w:t>
            </w:r>
          </w:p>
        </w:tc>
        <w:tc>
          <w:tcPr>
            <w:tcW w:w="363"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4B7DFD4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751</w:t>
            </w:r>
          </w:p>
        </w:tc>
        <w:tc>
          <w:tcPr>
            <w:tcW w:w="457"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3B6B322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农户</w:t>
            </w:r>
          </w:p>
        </w:tc>
        <w:tc>
          <w:tcPr>
            <w:tcW w:w="702"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1A6F4747"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w:t>
            </w:r>
            <w:r w:rsidRPr="008A2411">
              <w:rPr>
                <w:rFonts w:ascii="Times New Roman"/>
                <w:color w:val="000000" w:themeColor="text1"/>
                <w:sz w:val="21"/>
                <w:szCs w:val="21"/>
              </w:rPr>
              <w:t>户</w:t>
            </w:r>
            <w:r w:rsidRPr="008A2411">
              <w:rPr>
                <w:rFonts w:ascii="Times New Roman"/>
                <w:color w:val="000000" w:themeColor="text1"/>
                <w:sz w:val="21"/>
                <w:szCs w:val="21"/>
              </w:rPr>
              <w:t>8</w:t>
            </w:r>
            <w:r w:rsidRPr="008A2411">
              <w:rPr>
                <w:rFonts w:ascii="Times New Roman"/>
                <w:color w:val="000000" w:themeColor="text1"/>
                <w:sz w:val="21"/>
                <w:szCs w:val="21"/>
              </w:rPr>
              <w:t>人</w:t>
            </w:r>
          </w:p>
        </w:tc>
        <w:tc>
          <w:tcPr>
            <w:tcW w:w="829" w:type="pct"/>
            <w:vMerge/>
            <w:tcBorders>
              <w:left w:val="single" w:sz="2" w:space="0" w:color="000000" w:themeColor="text1"/>
              <w:right w:val="single" w:sz="2" w:space="0" w:color="000000" w:themeColor="text1"/>
            </w:tcBorders>
            <w:vAlign w:val="center"/>
          </w:tcPr>
          <w:p w14:paraId="3A0E2B1C" w14:textId="77777777" w:rsidR="00B0005F" w:rsidRPr="008A2411" w:rsidRDefault="00B0005F">
            <w:pPr>
              <w:jc w:val="center"/>
              <w:rPr>
                <w:rFonts w:ascii="Times New Roman"/>
                <w:color w:val="000000" w:themeColor="text1"/>
                <w:sz w:val="21"/>
                <w:szCs w:val="21"/>
              </w:rPr>
            </w:pPr>
          </w:p>
        </w:tc>
        <w:tc>
          <w:tcPr>
            <w:tcW w:w="448"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4C98B37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北</w:t>
            </w:r>
          </w:p>
        </w:tc>
        <w:tc>
          <w:tcPr>
            <w:tcW w:w="586" w:type="pct"/>
            <w:tcBorders>
              <w:top w:val="single" w:sz="2" w:space="0" w:color="000000" w:themeColor="text1"/>
              <w:left w:val="single" w:sz="2" w:space="0" w:color="000000" w:themeColor="text1"/>
              <w:bottom w:val="single" w:sz="2" w:space="0" w:color="000000" w:themeColor="text1"/>
            </w:tcBorders>
            <w:vAlign w:val="center"/>
          </w:tcPr>
          <w:p w14:paraId="192A3527"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756~793</w:t>
            </w:r>
          </w:p>
        </w:tc>
      </w:tr>
      <w:tr w:rsidR="008A2411" w:rsidRPr="008A2411" w14:paraId="220CE09C" w14:textId="77777777">
        <w:trPr>
          <w:trHeight w:val="342"/>
          <w:jc w:val="center"/>
        </w:trPr>
        <w:tc>
          <w:tcPr>
            <w:tcW w:w="276" w:type="pct"/>
            <w:tcBorders>
              <w:top w:val="single" w:sz="2" w:space="0" w:color="000000" w:themeColor="text1"/>
              <w:bottom w:val="single" w:sz="2" w:space="0" w:color="000000" w:themeColor="text1"/>
              <w:right w:val="single" w:sz="2" w:space="0" w:color="000000" w:themeColor="text1"/>
            </w:tcBorders>
            <w:vAlign w:val="center"/>
          </w:tcPr>
          <w:p w14:paraId="26EB519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5</w:t>
            </w:r>
          </w:p>
        </w:tc>
        <w:tc>
          <w:tcPr>
            <w:tcW w:w="363" w:type="pct"/>
            <w:vMerge/>
            <w:tcBorders>
              <w:left w:val="single" w:sz="2" w:space="0" w:color="000000" w:themeColor="text1"/>
              <w:right w:val="single" w:sz="2" w:space="0" w:color="000000" w:themeColor="text1"/>
            </w:tcBorders>
            <w:vAlign w:val="center"/>
          </w:tcPr>
          <w:p w14:paraId="2CA531D9" w14:textId="77777777" w:rsidR="00B0005F" w:rsidRPr="008A2411" w:rsidRDefault="00B0005F">
            <w:pPr>
              <w:jc w:val="center"/>
              <w:rPr>
                <w:rFonts w:ascii="Times New Roman"/>
                <w:color w:val="000000" w:themeColor="text1"/>
                <w:sz w:val="21"/>
                <w:szCs w:val="21"/>
              </w:rPr>
            </w:pPr>
          </w:p>
        </w:tc>
        <w:tc>
          <w:tcPr>
            <w:tcW w:w="556"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58761A3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杏树村陶家</w:t>
            </w:r>
            <w:proofErr w:type="gramStart"/>
            <w:r w:rsidRPr="008A2411">
              <w:rPr>
                <w:rFonts w:ascii="Times New Roman"/>
                <w:color w:val="000000" w:themeColor="text1"/>
                <w:sz w:val="21"/>
                <w:szCs w:val="21"/>
              </w:rPr>
              <w:t>沟居民</w:t>
            </w:r>
            <w:proofErr w:type="gramEnd"/>
          </w:p>
        </w:tc>
        <w:tc>
          <w:tcPr>
            <w:tcW w:w="414"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45D8754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0</w:t>
            </w:r>
          </w:p>
        </w:tc>
        <w:tc>
          <w:tcPr>
            <w:tcW w:w="363"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1C18726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952</w:t>
            </w:r>
          </w:p>
        </w:tc>
        <w:tc>
          <w:tcPr>
            <w:tcW w:w="457"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70E976B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农户</w:t>
            </w:r>
          </w:p>
        </w:tc>
        <w:tc>
          <w:tcPr>
            <w:tcW w:w="702"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477C2525"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5</w:t>
            </w:r>
            <w:r w:rsidRPr="008A2411">
              <w:rPr>
                <w:rFonts w:ascii="Times New Roman"/>
                <w:color w:val="000000" w:themeColor="text1"/>
                <w:sz w:val="21"/>
                <w:szCs w:val="21"/>
              </w:rPr>
              <w:t>户</w:t>
            </w:r>
            <w:r w:rsidRPr="008A2411">
              <w:rPr>
                <w:rFonts w:ascii="Times New Roman"/>
                <w:color w:val="000000" w:themeColor="text1"/>
                <w:sz w:val="21"/>
                <w:szCs w:val="21"/>
              </w:rPr>
              <w:t>28</w:t>
            </w:r>
            <w:r w:rsidRPr="008A2411">
              <w:rPr>
                <w:rFonts w:ascii="Times New Roman"/>
                <w:color w:val="000000" w:themeColor="text1"/>
                <w:sz w:val="21"/>
                <w:szCs w:val="21"/>
              </w:rPr>
              <w:t>人</w:t>
            </w:r>
          </w:p>
        </w:tc>
        <w:tc>
          <w:tcPr>
            <w:tcW w:w="829" w:type="pct"/>
            <w:vMerge/>
            <w:tcBorders>
              <w:left w:val="single" w:sz="2" w:space="0" w:color="000000" w:themeColor="text1"/>
              <w:right w:val="single" w:sz="2" w:space="0" w:color="000000" w:themeColor="text1"/>
            </w:tcBorders>
            <w:vAlign w:val="center"/>
          </w:tcPr>
          <w:p w14:paraId="00A9CE31" w14:textId="77777777" w:rsidR="00B0005F" w:rsidRPr="008A2411" w:rsidRDefault="00B0005F">
            <w:pPr>
              <w:jc w:val="center"/>
              <w:rPr>
                <w:rFonts w:ascii="Times New Roman"/>
                <w:color w:val="000000" w:themeColor="text1"/>
                <w:sz w:val="21"/>
                <w:szCs w:val="21"/>
              </w:rPr>
            </w:pPr>
          </w:p>
        </w:tc>
        <w:tc>
          <w:tcPr>
            <w:tcW w:w="448"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0D57E7C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北</w:t>
            </w:r>
          </w:p>
        </w:tc>
        <w:tc>
          <w:tcPr>
            <w:tcW w:w="586" w:type="pct"/>
            <w:tcBorders>
              <w:top w:val="single" w:sz="2" w:space="0" w:color="000000" w:themeColor="text1"/>
              <w:left w:val="single" w:sz="2" w:space="0" w:color="000000" w:themeColor="text1"/>
              <w:bottom w:val="single" w:sz="2" w:space="0" w:color="000000" w:themeColor="text1"/>
            </w:tcBorders>
            <w:vAlign w:val="center"/>
          </w:tcPr>
          <w:p w14:paraId="0064473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944~1100</w:t>
            </w:r>
          </w:p>
        </w:tc>
      </w:tr>
      <w:tr w:rsidR="008A2411" w:rsidRPr="008A2411" w14:paraId="4F4772AE" w14:textId="77777777">
        <w:trPr>
          <w:trHeight w:val="342"/>
          <w:jc w:val="center"/>
        </w:trPr>
        <w:tc>
          <w:tcPr>
            <w:tcW w:w="276" w:type="pct"/>
            <w:tcBorders>
              <w:top w:val="single" w:sz="2" w:space="0" w:color="000000" w:themeColor="text1"/>
              <w:bottom w:val="single" w:sz="2" w:space="0" w:color="000000" w:themeColor="text1"/>
              <w:right w:val="single" w:sz="2" w:space="0" w:color="000000" w:themeColor="text1"/>
            </w:tcBorders>
            <w:vAlign w:val="center"/>
          </w:tcPr>
          <w:p w14:paraId="631197C7"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6</w:t>
            </w:r>
          </w:p>
        </w:tc>
        <w:tc>
          <w:tcPr>
            <w:tcW w:w="363" w:type="pct"/>
            <w:vMerge/>
            <w:tcBorders>
              <w:left w:val="single" w:sz="2" w:space="0" w:color="000000" w:themeColor="text1"/>
              <w:right w:val="single" w:sz="2" w:space="0" w:color="000000" w:themeColor="text1"/>
            </w:tcBorders>
            <w:vAlign w:val="center"/>
          </w:tcPr>
          <w:p w14:paraId="34F8885F" w14:textId="77777777" w:rsidR="00B0005F" w:rsidRPr="008A2411" w:rsidRDefault="00B0005F">
            <w:pPr>
              <w:jc w:val="center"/>
              <w:rPr>
                <w:rFonts w:ascii="Times New Roman"/>
                <w:color w:val="000000" w:themeColor="text1"/>
                <w:sz w:val="21"/>
                <w:szCs w:val="21"/>
              </w:rPr>
            </w:pPr>
          </w:p>
        </w:tc>
        <w:tc>
          <w:tcPr>
            <w:tcW w:w="556"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3D9462D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杏树村窑厂</w:t>
            </w:r>
            <w:proofErr w:type="gramStart"/>
            <w:r w:rsidRPr="008A2411">
              <w:rPr>
                <w:rFonts w:ascii="Times New Roman"/>
                <w:color w:val="000000" w:themeColor="text1"/>
                <w:sz w:val="21"/>
                <w:szCs w:val="21"/>
              </w:rPr>
              <w:t>梁居民</w:t>
            </w:r>
            <w:proofErr w:type="gramEnd"/>
          </w:p>
        </w:tc>
        <w:tc>
          <w:tcPr>
            <w:tcW w:w="414"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00A123D5"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-1100</w:t>
            </w:r>
          </w:p>
        </w:tc>
        <w:tc>
          <w:tcPr>
            <w:tcW w:w="363"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40E865A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146</w:t>
            </w:r>
          </w:p>
        </w:tc>
        <w:tc>
          <w:tcPr>
            <w:tcW w:w="457"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2E9108F2"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农户</w:t>
            </w:r>
          </w:p>
        </w:tc>
        <w:tc>
          <w:tcPr>
            <w:tcW w:w="702"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0D10F73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18</w:t>
            </w:r>
            <w:r w:rsidRPr="008A2411">
              <w:rPr>
                <w:rFonts w:ascii="Times New Roman"/>
                <w:color w:val="000000" w:themeColor="text1"/>
                <w:sz w:val="21"/>
                <w:szCs w:val="21"/>
              </w:rPr>
              <w:t>户</w:t>
            </w:r>
            <w:r w:rsidRPr="008A2411">
              <w:rPr>
                <w:rFonts w:ascii="Times New Roman"/>
                <w:color w:val="000000" w:themeColor="text1"/>
                <w:sz w:val="21"/>
                <w:szCs w:val="21"/>
              </w:rPr>
              <w:t>90</w:t>
            </w:r>
            <w:r w:rsidRPr="008A2411">
              <w:rPr>
                <w:rFonts w:ascii="Times New Roman"/>
                <w:color w:val="000000" w:themeColor="text1"/>
                <w:sz w:val="21"/>
                <w:szCs w:val="21"/>
              </w:rPr>
              <w:t>人</w:t>
            </w:r>
          </w:p>
        </w:tc>
        <w:tc>
          <w:tcPr>
            <w:tcW w:w="829" w:type="pct"/>
            <w:vMerge/>
            <w:tcBorders>
              <w:left w:val="single" w:sz="2" w:space="0" w:color="000000" w:themeColor="text1"/>
              <w:right w:val="single" w:sz="2" w:space="0" w:color="000000" w:themeColor="text1"/>
            </w:tcBorders>
            <w:vAlign w:val="center"/>
          </w:tcPr>
          <w:p w14:paraId="5EE8E7DF" w14:textId="77777777" w:rsidR="00B0005F" w:rsidRPr="008A2411" w:rsidRDefault="00B0005F">
            <w:pPr>
              <w:jc w:val="center"/>
              <w:rPr>
                <w:rFonts w:ascii="Times New Roman"/>
                <w:color w:val="000000" w:themeColor="text1"/>
                <w:sz w:val="21"/>
                <w:szCs w:val="21"/>
              </w:rPr>
            </w:pPr>
          </w:p>
        </w:tc>
        <w:tc>
          <w:tcPr>
            <w:tcW w:w="448"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28144F9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西</w:t>
            </w:r>
          </w:p>
        </w:tc>
        <w:tc>
          <w:tcPr>
            <w:tcW w:w="586" w:type="pct"/>
            <w:tcBorders>
              <w:top w:val="single" w:sz="2" w:space="0" w:color="000000" w:themeColor="text1"/>
              <w:left w:val="single" w:sz="2" w:space="0" w:color="000000" w:themeColor="text1"/>
              <w:bottom w:val="single" w:sz="2" w:space="0" w:color="000000" w:themeColor="text1"/>
            </w:tcBorders>
            <w:vAlign w:val="center"/>
          </w:tcPr>
          <w:p w14:paraId="2E3F590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1120~1860</w:t>
            </w:r>
          </w:p>
        </w:tc>
      </w:tr>
      <w:tr w:rsidR="008A2411" w:rsidRPr="008A2411" w14:paraId="238C1CF6" w14:textId="77777777">
        <w:trPr>
          <w:trHeight w:val="342"/>
          <w:jc w:val="center"/>
        </w:trPr>
        <w:tc>
          <w:tcPr>
            <w:tcW w:w="276" w:type="pct"/>
            <w:tcBorders>
              <w:top w:val="single" w:sz="2" w:space="0" w:color="000000" w:themeColor="text1"/>
              <w:bottom w:val="single" w:sz="2" w:space="0" w:color="000000" w:themeColor="text1"/>
              <w:right w:val="single" w:sz="2" w:space="0" w:color="000000" w:themeColor="text1"/>
            </w:tcBorders>
            <w:vAlign w:val="center"/>
          </w:tcPr>
          <w:p w14:paraId="030750D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7</w:t>
            </w:r>
          </w:p>
        </w:tc>
        <w:tc>
          <w:tcPr>
            <w:tcW w:w="363" w:type="pct"/>
            <w:vMerge/>
            <w:tcBorders>
              <w:left w:val="single" w:sz="2" w:space="0" w:color="000000" w:themeColor="text1"/>
              <w:right w:val="single" w:sz="2" w:space="0" w:color="000000" w:themeColor="text1"/>
            </w:tcBorders>
            <w:vAlign w:val="center"/>
          </w:tcPr>
          <w:p w14:paraId="4AB4CA21" w14:textId="77777777" w:rsidR="00B0005F" w:rsidRPr="008A2411" w:rsidRDefault="00B0005F">
            <w:pPr>
              <w:jc w:val="center"/>
              <w:rPr>
                <w:rFonts w:ascii="Times New Roman"/>
                <w:color w:val="000000" w:themeColor="text1"/>
                <w:sz w:val="21"/>
                <w:szCs w:val="21"/>
              </w:rPr>
            </w:pPr>
          </w:p>
        </w:tc>
        <w:tc>
          <w:tcPr>
            <w:tcW w:w="556"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14BB2A2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杏树村居民</w:t>
            </w:r>
          </w:p>
        </w:tc>
        <w:tc>
          <w:tcPr>
            <w:tcW w:w="414"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6B4D2D0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-1278</w:t>
            </w:r>
          </w:p>
        </w:tc>
        <w:tc>
          <w:tcPr>
            <w:tcW w:w="363"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0AC53FF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731</w:t>
            </w:r>
          </w:p>
        </w:tc>
        <w:tc>
          <w:tcPr>
            <w:tcW w:w="457"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4C34635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农户</w:t>
            </w:r>
          </w:p>
        </w:tc>
        <w:tc>
          <w:tcPr>
            <w:tcW w:w="702"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10D2D9D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27</w:t>
            </w:r>
            <w:r w:rsidRPr="008A2411">
              <w:rPr>
                <w:rFonts w:ascii="Times New Roman"/>
                <w:color w:val="000000" w:themeColor="text1"/>
                <w:sz w:val="21"/>
                <w:szCs w:val="21"/>
              </w:rPr>
              <w:t>户</w:t>
            </w:r>
            <w:r w:rsidRPr="008A2411">
              <w:rPr>
                <w:rFonts w:ascii="Times New Roman"/>
                <w:color w:val="000000" w:themeColor="text1"/>
                <w:sz w:val="21"/>
                <w:szCs w:val="21"/>
              </w:rPr>
              <w:t>113</w:t>
            </w:r>
            <w:r w:rsidRPr="008A2411">
              <w:rPr>
                <w:rFonts w:ascii="Times New Roman"/>
                <w:color w:val="000000" w:themeColor="text1"/>
                <w:sz w:val="21"/>
                <w:szCs w:val="21"/>
              </w:rPr>
              <w:t>人</w:t>
            </w:r>
          </w:p>
        </w:tc>
        <w:tc>
          <w:tcPr>
            <w:tcW w:w="829" w:type="pct"/>
            <w:vMerge/>
            <w:tcBorders>
              <w:left w:val="single" w:sz="2" w:space="0" w:color="000000" w:themeColor="text1"/>
              <w:right w:val="single" w:sz="2" w:space="0" w:color="000000" w:themeColor="text1"/>
            </w:tcBorders>
            <w:vAlign w:val="center"/>
          </w:tcPr>
          <w:p w14:paraId="03FAF408" w14:textId="77777777" w:rsidR="00B0005F" w:rsidRPr="008A2411" w:rsidRDefault="00B0005F">
            <w:pPr>
              <w:jc w:val="center"/>
              <w:rPr>
                <w:rFonts w:ascii="Times New Roman"/>
                <w:color w:val="000000" w:themeColor="text1"/>
                <w:sz w:val="21"/>
                <w:szCs w:val="21"/>
              </w:rPr>
            </w:pPr>
          </w:p>
        </w:tc>
        <w:tc>
          <w:tcPr>
            <w:tcW w:w="448"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4D7086D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西北</w:t>
            </w:r>
          </w:p>
        </w:tc>
        <w:tc>
          <w:tcPr>
            <w:tcW w:w="586" w:type="pct"/>
            <w:tcBorders>
              <w:top w:val="single" w:sz="2" w:space="0" w:color="000000" w:themeColor="text1"/>
              <w:left w:val="single" w:sz="2" w:space="0" w:color="000000" w:themeColor="text1"/>
              <w:bottom w:val="single" w:sz="2" w:space="0" w:color="000000" w:themeColor="text1"/>
            </w:tcBorders>
            <w:vAlign w:val="center"/>
          </w:tcPr>
          <w:p w14:paraId="70F2895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1509~2500</w:t>
            </w:r>
          </w:p>
        </w:tc>
      </w:tr>
      <w:tr w:rsidR="008A2411" w:rsidRPr="008A2411" w14:paraId="3527E431" w14:textId="77777777">
        <w:trPr>
          <w:trHeight w:val="342"/>
          <w:jc w:val="center"/>
        </w:trPr>
        <w:tc>
          <w:tcPr>
            <w:tcW w:w="276" w:type="pct"/>
            <w:tcBorders>
              <w:top w:val="single" w:sz="2" w:space="0" w:color="000000" w:themeColor="text1"/>
              <w:bottom w:val="single" w:sz="2" w:space="0" w:color="000000" w:themeColor="text1"/>
              <w:right w:val="single" w:sz="2" w:space="0" w:color="000000" w:themeColor="text1"/>
            </w:tcBorders>
            <w:vAlign w:val="center"/>
          </w:tcPr>
          <w:p w14:paraId="513FC622"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8</w:t>
            </w:r>
          </w:p>
        </w:tc>
        <w:tc>
          <w:tcPr>
            <w:tcW w:w="363" w:type="pct"/>
            <w:vMerge/>
            <w:tcBorders>
              <w:left w:val="single" w:sz="2" w:space="0" w:color="000000" w:themeColor="text1"/>
              <w:right w:val="single" w:sz="2" w:space="0" w:color="000000" w:themeColor="text1"/>
            </w:tcBorders>
            <w:vAlign w:val="center"/>
          </w:tcPr>
          <w:p w14:paraId="16A0EC1B" w14:textId="77777777" w:rsidR="00B0005F" w:rsidRPr="008A2411" w:rsidRDefault="00B0005F">
            <w:pPr>
              <w:jc w:val="center"/>
              <w:rPr>
                <w:rFonts w:ascii="Times New Roman"/>
                <w:color w:val="000000" w:themeColor="text1"/>
                <w:sz w:val="21"/>
                <w:szCs w:val="21"/>
              </w:rPr>
            </w:pPr>
          </w:p>
        </w:tc>
        <w:tc>
          <w:tcPr>
            <w:tcW w:w="556"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368E94E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鲤鱼村居民</w:t>
            </w:r>
          </w:p>
        </w:tc>
        <w:tc>
          <w:tcPr>
            <w:tcW w:w="414"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16F384F7"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110</w:t>
            </w:r>
          </w:p>
        </w:tc>
        <w:tc>
          <w:tcPr>
            <w:tcW w:w="363"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1740B4CD"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1980</w:t>
            </w:r>
          </w:p>
        </w:tc>
        <w:tc>
          <w:tcPr>
            <w:tcW w:w="457"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2864D16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农户</w:t>
            </w:r>
          </w:p>
        </w:tc>
        <w:tc>
          <w:tcPr>
            <w:tcW w:w="702"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3EC10C7E"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32</w:t>
            </w:r>
            <w:r w:rsidRPr="008A2411">
              <w:rPr>
                <w:rFonts w:ascii="Times New Roman"/>
                <w:color w:val="000000" w:themeColor="text1"/>
                <w:sz w:val="21"/>
                <w:szCs w:val="21"/>
              </w:rPr>
              <w:t>户</w:t>
            </w:r>
            <w:r w:rsidRPr="008A2411">
              <w:rPr>
                <w:rFonts w:ascii="Times New Roman"/>
                <w:color w:val="000000" w:themeColor="text1"/>
                <w:sz w:val="21"/>
                <w:szCs w:val="21"/>
              </w:rPr>
              <w:t>122</w:t>
            </w:r>
            <w:r w:rsidRPr="008A2411">
              <w:rPr>
                <w:rFonts w:ascii="Times New Roman"/>
                <w:color w:val="000000" w:themeColor="text1"/>
                <w:sz w:val="21"/>
                <w:szCs w:val="21"/>
              </w:rPr>
              <w:t>人</w:t>
            </w:r>
          </w:p>
        </w:tc>
        <w:tc>
          <w:tcPr>
            <w:tcW w:w="829" w:type="pct"/>
            <w:vMerge/>
            <w:tcBorders>
              <w:left w:val="single" w:sz="2" w:space="0" w:color="000000" w:themeColor="text1"/>
              <w:right w:val="single" w:sz="2" w:space="0" w:color="000000" w:themeColor="text1"/>
            </w:tcBorders>
            <w:vAlign w:val="center"/>
          </w:tcPr>
          <w:p w14:paraId="0F091598" w14:textId="77777777" w:rsidR="00B0005F" w:rsidRPr="008A2411" w:rsidRDefault="00B0005F">
            <w:pPr>
              <w:jc w:val="center"/>
              <w:rPr>
                <w:rFonts w:ascii="Times New Roman"/>
                <w:color w:val="000000" w:themeColor="text1"/>
                <w:sz w:val="21"/>
                <w:szCs w:val="21"/>
              </w:rPr>
            </w:pPr>
          </w:p>
        </w:tc>
        <w:tc>
          <w:tcPr>
            <w:tcW w:w="448"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6A8E1732"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北</w:t>
            </w:r>
          </w:p>
        </w:tc>
        <w:tc>
          <w:tcPr>
            <w:tcW w:w="586" w:type="pct"/>
            <w:tcBorders>
              <w:top w:val="single" w:sz="2" w:space="0" w:color="000000" w:themeColor="text1"/>
              <w:left w:val="single" w:sz="2" w:space="0" w:color="000000" w:themeColor="text1"/>
              <w:bottom w:val="single" w:sz="2" w:space="0" w:color="000000" w:themeColor="text1"/>
            </w:tcBorders>
            <w:vAlign w:val="center"/>
          </w:tcPr>
          <w:p w14:paraId="681CD51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1990~2500</w:t>
            </w:r>
          </w:p>
        </w:tc>
      </w:tr>
      <w:tr w:rsidR="008A2411" w:rsidRPr="008A2411" w14:paraId="04C41B84" w14:textId="77777777">
        <w:trPr>
          <w:trHeight w:val="342"/>
          <w:jc w:val="center"/>
        </w:trPr>
        <w:tc>
          <w:tcPr>
            <w:tcW w:w="276" w:type="pct"/>
            <w:tcBorders>
              <w:top w:val="single" w:sz="2" w:space="0" w:color="000000" w:themeColor="text1"/>
              <w:bottom w:val="single" w:sz="2" w:space="0" w:color="000000" w:themeColor="text1"/>
              <w:right w:val="single" w:sz="2" w:space="0" w:color="000000" w:themeColor="text1"/>
            </w:tcBorders>
            <w:vAlign w:val="center"/>
          </w:tcPr>
          <w:p w14:paraId="566A09E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9</w:t>
            </w:r>
          </w:p>
        </w:tc>
        <w:tc>
          <w:tcPr>
            <w:tcW w:w="363" w:type="pct"/>
            <w:vMerge/>
            <w:tcBorders>
              <w:left w:val="single" w:sz="2" w:space="0" w:color="000000" w:themeColor="text1"/>
              <w:right w:val="single" w:sz="2" w:space="0" w:color="000000" w:themeColor="text1"/>
            </w:tcBorders>
            <w:vAlign w:val="center"/>
          </w:tcPr>
          <w:p w14:paraId="3D0B0EE1" w14:textId="77777777" w:rsidR="00B0005F" w:rsidRPr="008A2411" w:rsidRDefault="00B0005F">
            <w:pPr>
              <w:jc w:val="center"/>
              <w:rPr>
                <w:rFonts w:ascii="Times New Roman"/>
                <w:color w:val="000000" w:themeColor="text1"/>
                <w:sz w:val="21"/>
                <w:szCs w:val="21"/>
              </w:rPr>
            </w:pPr>
          </w:p>
        </w:tc>
        <w:tc>
          <w:tcPr>
            <w:tcW w:w="556"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6C46A26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汤家</w:t>
            </w:r>
            <w:proofErr w:type="gramStart"/>
            <w:r w:rsidRPr="008A2411">
              <w:rPr>
                <w:rFonts w:ascii="Times New Roman"/>
                <w:color w:val="000000" w:themeColor="text1"/>
                <w:sz w:val="21"/>
                <w:szCs w:val="21"/>
              </w:rPr>
              <w:t>沟居民</w:t>
            </w:r>
            <w:proofErr w:type="gramEnd"/>
          </w:p>
        </w:tc>
        <w:tc>
          <w:tcPr>
            <w:tcW w:w="414"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6CD1535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377</w:t>
            </w:r>
          </w:p>
        </w:tc>
        <w:tc>
          <w:tcPr>
            <w:tcW w:w="363"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3577D9B2"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1266</w:t>
            </w:r>
          </w:p>
        </w:tc>
        <w:tc>
          <w:tcPr>
            <w:tcW w:w="457"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51E76372"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农户</w:t>
            </w:r>
          </w:p>
        </w:tc>
        <w:tc>
          <w:tcPr>
            <w:tcW w:w="702"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34DEE7D4"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6</w:t>
            </w:r>
            <w:r w:rsidRPr="008A2411">
              <w:rPr>
                <w:rFonts w:ascii="Times New Roman"/>
                <w:color w:val="000000" w:themeColor="text1"/>
                <w:sz w:val="21"/>
                <w:szCs w:val="21"/>
              </w:rPr>
              <w:t>户</w:t>
            </w:r>
            <w:r w:rsidRPr="008A2411">
              <w:rPr>
                <w:rFonts w:ascii="Times New Roman"/>
                <w:color w:val="000000" w:themeColor="text1"/>
                <w:sz w:val="21"/>
                <w:szCs w:val="21"/>
              </w:rPr>
              <w:t>25</w:t>
            </w:r>
            <w:r w:rsidRPr="008A2411">
              <w:rPr>
                <w:rFonts w:ascii="Times New Roman"/>
                <w:color w:val="000000" w:themeColor="text1"/>
                <w:sz w:val="21"/>
                <w:szCs w:val="21"/>
              </w:rPr>
              <w:t>人</w:t>
            </w:r>
          </w:p>
        </w:tc>
        <w:tc>
          <w:tcPr>
            <w:tcW w:w="829" w:type="pct"/>
            <w:vMerge/>
            <w:tcBorders>
              <w:left w:val="single" w:sz="2" w:space="0" w:color="000000" w:themeColor="text1"/>
              <w:right w:val="single" w:sz="2" w:space="0" w:color="000000" w:themeColor="text1"/>
            </w:tcBorders>
            <w:vAlign w:val="center"/>
          </w:tcPr>
          <w:p w14:paraId="66707A91" w14:textId="77777777" w:rsidR="00B0005F" w:rsidRPr="008A2411" w:rsidRDefault="00B0005F">
            <w:pPr>
              <w:jc w:val="center"/>
              <w:rPr>
                <w:rFonts w:ascii="Times New Roman"/>
                <w:color w:val="000000" w:themeColor="text1"/>
                <w:sz w:val="21"/>
                <w:szCs w:val="21"/>
              </w:rPr>
            </w:pPr>
          </w:p>
        </w:tc>
        <w:tc>
          <w:tcPr>
            <w:tcW w:w="448"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041B029E"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东北</w:t>
            </w:r>
          </w:p>
        </w:tc>
        <w:tc>
          <w:tcPr>
            <w:tcW w:w="586" w:type="pct"/>
            <w:tcBorders>
              <w:top w:val="single" w:sz="2" w:space="0" w:color="000000" w:themeColor="text1"/>
              <w:left w:val="single" w:sz="2" w:space="0" w:color="000000" w:themeColor="text1"/>
              <w:bottom w:val="single" w:sz="2" w:space="0" w:color="000000" w:themeColor="text1"/>
            </w:tcBorders>
            <w:vAlign w:val="center"/>
          </w:tcPr>
          <w:p w14:paraId="1B40172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1280~1740</w:t>
            </w:r>
          </w:p>
        </w:tc>
      </w:tr>
      <w:tr w:rsidR="008A2411" w:rsidRPr="008A2411" w14:paraId="1710177F" w14:textId="77777777">
        <w:trPr>
          <w:trHeight w:val="342"/>
          <w:jc w:val="center"/>
        </w:trPr>
        <w:tc>
          <w:tcPr>
            <w:tcW w:w="276" w:type="pct"/>
            <w:tcBorders>
              <w:top w:val="single" w:sz="2" w:space="0" w:color="000000" w:themeColor="text1"/>
              <w:bottom w:val="single" w:sz="2" w:space="0" w:color="000000" w:themeColor="text1"/>
              <w:right w:val="single" w:sz="2" w:space="0" w:color="000000" w:themeColor="text1"/>
            </w:tcBorders>
            <w:vAlign w:val="center"/>
          </w:tcPr>
          <w:p w14:paraId="72605837"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10</w:t>
            </w:r>
          </w:p>
        </w:tc>
        <w:tc>
          <w:tcPr>
            <w:tcW w:w="363" w:type="pct"/>
            <w:vMerge/>
            <w:tcBorders>
              <w:left w:val="single" w:sz="2" w:space="0" w:color="000000" w:themeColor="text1"/>
              <w:right w:val="single" w:sz="2" w:space="0" w:color="000000" w:themeColor="text1"/>
            </w:tcBorders>
            <w:vAlign w:val="center"/>
          </w:tcPr>
          <w:p w14:paraId="752517D5" w14:textId="77777777" w:rsidR="00B0005F" w:rsidRPr="008A2411" w:rsidRDefault="00B0005F">
            <w:pPr>
              <w:jc w:val="center"/>
              <w:rPr>
                <w:rFonts w:ascii="Times New Roman"/>
                <w:color w:val="000000" w:themeColor="text1"/>
                <w:sz w:val="21"/>
                <w:szCs w:val="21"/>
              </w:rPr>
            </w:pPr>
          </w:p>
        </w:tc>
        <w:tc>
          <w:tcPr>
            <w:tcW w:w="556"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2B104F4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陈家</w:t>
            </w:r>
            <w:proofErr w:type="gramStart"/>
            <w:r w:rsidRPr="008A2411">
              <w:rPr>
                <w:rFonts w:ascii="Times New Roman"/>
                <w:color w:val="000000" w:themeColor="text1"/>
                <w:sz w:val="21"/>
                <w:szCs w:val="21"/>
              </w:rPr>
              <w:t>湾居民</w:t>
            </w:r>
            <w:proofErr w:type="gramEnd"/>
          </w:p>
        </w:tc>
        <w:tc>
          <w:tcPr>
            <w:tcW w:w="414"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2BBE04E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291</w:t>
            </w:r>
          </w:p>
        </w:tc>
        <w:tc>
          <w:tcPr>
            <w:tcW w:w="363"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33CDD40D"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0</w:t>
            </w:r>
          </w:p>
        </w:tc>
        <w:tc>
          <w:tcPr>
            <w:tcW w:w="457"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7A4CC5EB"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农户</w:t>
            </w:r>
          </w:p>
        </w:tc>
        <w:tc>
          <w:tcPr>
            <w:tcW w:w="702"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6E51C85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14</w:t>
            </w:r>
            <w:r w:rsidRPr="008A2411">
              <w:rPr>
                <w:rFonts w:ascii="Times New Roman"/>
                <w:color w:val="000000" w:themeColor="text1"/>
                <w:sz w:val="21"/>
                <w:szCs w:val="21"/>
              </w:rPr>
              <w:t>户</w:t>
            </w:r>
            <w:r w:rsidRPr="008A2411">
              <w:rPr>
                <w:rFonts w:ascii="Times New Roman"/>
                <w:color w:val="000000" w:themeColor="text1"/>
                <w:sz w:val="21"/>
                <w:szCs w:val="21"/>
              </w:rPr>
              <w:t>52</w:t>
            </w:r>
            <w:r w:rsidRPr="008A2411">
              <w:rPr>
                <w:rFonts w:ascii="Times New Roman"/>
                <w:color w:val="000000" w:themeColor="text1"/>
                <w:sz w:val="21"/>
                <w:szCs w:val="21"/>
              </w:rPr>
              <w:t>人</w:t>
            </w:r>
          </w:p>
        </w:tc>
        <w:tc>
          <w:tcPr>
            <w:tcW w:w="829" w:type="pct"/>
            <w:vMerge/>
            <w:tcBorders>
              <w:left w:val="single" w:sz="2" w:space="0" w:color="000000" w:themeColor="text1"/>
              <w:right w:val="single" w:sz="2" w:space="0" w:color="000000" w:themeColor="text1"/>
            </w:tcBorders>
            <w:vAlign w:val="center"/>
          </w:tcPr>
          <w:p w14:paraId="527FE176" w14:textId="77777777" w:rsidR="00B0005F" w:rsidRPr="008A2411" w:rsidRDefault="00B0005F">
            <w:pPr>
              <w:jc w:val="center"/>
              <w:rPr>
                <w:rFonts w:ascii="Times New Roman"/>
                <w:color w:val="000000" w:themeColor="text1"/>
                <w:sz w:val="21"/>
                <w:szCs w:val="21"/>
              </w:rPr>
            </w:pPr>
          </w:p>
        </w:tc>
        <w:tc>
          <w:tcPr>
            <w:tcW w:w="448"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0EF951B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东</w:t>
            </w:r>
          </w:p>
        </w:tc>
        <w:tc>
          <w:tcPr>
            <w:tcW w:w="586" w:type="pct"/>
            <w:tcBorders>
              <w:top w:val="single" w:sz="2" w:space="0" w:color="000000" w:themeColor="text1"/>
              <w:left w:val="single" w:sz="2" w:space="0" w:color="000000" w:themeColor="text1"/>
              <w:bottom w:val="single" w:sz="2" w:space="0" w:color="000000" w:themeColor="text1"/>
            </w:tcBorders>
            <w:vAlign w:val="center"/>
          </w:tcPr>
          <w:p w14:paraId="0DBFEDBD"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291~766</w:t>
            </w:r>
          </w:p>
        </w:tc>
      </w:tr>
      <w:tr w:rsidR="008A2411" w:rsidRPr="008A2411" w14:paraId="0B813FF1" w14:textId="77777777">
        <w:trPr>
          <w:trHeight w:val="342"/>
          <w:jc w:val="center"/>
        </w:trPr>
        <w:tc>
          <w:tcPr>
            <w:tcW w:w="276" w:type="pct"/>
            <w:tcBorders>
              <w:top w:val="single" w:sz="2" w:space="0" w:color="000000" w:themeColor="text1"/>
              <w:bottom w:val="single" w:sz="2" w:space="0" w:color="000000" w:themeColor="text1"/>
              <w:right w:val="single" w:sz="2" w:space="0" w:color="000000" w:themeColor="text1"/>
            </w:tcBorders>
            <w:vAlign w:val="center"/>
          </w:tcPr>
          <w:p w14:paraId="5F622094"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11</w:t>
            </w:r>
          </w:p>
        </w:tc>
        <w:tc>
          <w:tcPr>
            <w:tcW w:w="363" w:type="pct"/>
            <w:vMerge/>
            <w:tcBorders>
              <w:left w:val="single" w:sz="2" w:space="0" w:color="000000" w:themeColor="text1"/>
              <w:right w:val="single" w:sz="2" w:space="0" w:color="000000" w:themeColor="text1"/>
            </w:tcBorders>
            <w:vAlign w:val="center"/>
          </w:tcPr>
          <w:p w14:paraId="5288A581" w14:textId="77777777" w:rsidR="00B0005F" w:rsidRPr="008A2411" w:rsidRDefault="00B0005F">
            <w:pPr>
              <w:jc w:val="center"/>
              <w:rPr>
                <w:rFonts w:ascii="Times New Roman"/>
                <w:color w:val="000000" w:themeColor="text1"/>
                <w:sz w:val="21"/>
                <w:szCs w:val="21"/>
              </w:rPr>
            </w:pPr>
          </w:p>
        </w:tc>
        <w:tc>
          <w:tcPr>
            <w:tcW w:w="556"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5F423A9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严家</w:t>
            </w:r>
            <w:proofErr w:type="gramStart"/>
            <w:r w:rsidRPr="008A2411">
              <w:rPr>
                <w:rFonts w:ascii="Times New Roman"/>
                <w:color w:val="000000" w:themeColor="text1"/>
                <w:sz w:val="21"/>
                <w:szCs w:val="21"/>
              </w:rPr>
              <w:t>坪居民</w:t>
            </w:r>
            <w:proofErr w:type="gramEnd"/>
          </w:p>
        </w:tc>
        <w:tc>
          <w:tcPr>
            <w:tcW w:w="414"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0ACEFFA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81</w:t>
            </w:r>
          </w:p>
        </w:tc>
        <w:tc>
          <w:tcPr>
            <w:tcW w:w="363"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4231D3F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0</w:t>
            </w:r>
          </w:p>
        </w:tc>
        <w:tc>
          <w:tcPr>
            <w:tcW w:w="457"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0C9CF2E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农户</w:t>
            </w:r>
          </w:p>
        </w:tc>
        <w:tc>
          <w:tcPr>
            <w:tcW w:w="702"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7C1FA21E"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3</w:t>
            </w:r>
            <w:r w:rsidRPr="008A2411">
              <w:rPr>
                <w:rFonts w:ascii="Times New Roman"/>
                <w:color w:val="000000" w:themeColor="text1"/>
                <w:sz w:val="21"/>
                <w:szCs w:val="21"/>
              </w:rPr>
              <w:t>户</w:t>
            </w:r>
            <w:r w:rsidRPr="008A2411">
              <w:rPr>
                <w:rFonts w:ascii="Times New Roman"/>
                <w:color w:val="000000" w:themeColor="text1"/>
                <w:sz w:val="21"/>
                <w:szCs w:val="21"/>
              </w:rPr>
              <w:t>10</w:t>
            </w:r>
            <w:r w:rsidRPr="008A2411">
              <w:rPr>
                <w:rFonts w:ascii="Times New Roman"/>
                <w:color w:val="000000" w:themeColor="text1"/>
                <w:sz w:val="21"/>
                <w:szCs w:val="21"/>
              </w:rPr>
              <w:t>人</w:t>
            </w:r>
          </w:p>
        </w:tc>
        <w:tc>
          <w:tcPr>
            <w:tcW w:w="829" w:type="pct"/>
            <w:vMerge/>
            <w:tcBorders>
              <w:left w:val="single" w:sz="2" w:space="0" w:color="000000" w:themeColor="text1"/>
              <w:right w:val="single" w:sz="2" w:space="0" w:color="000000" w:themeColor="text1"/>
            </w:tcBorders>
            <w:vAlign w:val="center"/>
          </w:tcPr>
          <w:p w14:paraId="649B520E" w14:textId="77777777" w:rsidR="00B0005F" w:rsidRPr="008A2411" w:rsidRDefault="00B0005F">
            <w:pPr>
              <w:jc w:val="center"/>
              <w:rPr>
                <w:rFonts w:ascii="Times New Roman"/>
                <w:color w:val="000000" w:themeColor="text1"/>
                <w:sz w:val="21"/>
                <w:szCs w:val="21"/>
              </w:rPr>
            </w:pPr>
          </w:p>
        </w:tc>
        <w:tc>
          <w:tcPr>
            <w:tcW w:w="448"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35A7D85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东</w:t>
            </w:r>
          </w:p>
        </w:tc>
        <w:tc>
          <w:tcPr>
            <w:tcW w:w="586" w:type="pct"/>
            <w:tcBorders>
              <w:top w:val="single" w:sz="2" w:space="0" w:color="000000" w:themeColor="text1"/>
              <w:left w:val="single" w:sz="2" w:space="0" w:color="000000" w:themeColor="text1"/>
              <w:bottom w:val="single" w:sz="2" w:space="0" w:color="000000" w:themeColor="text1"/>
            </w:tcBorders>
            <w:vAlign w:val="center"/>
          </w:tcPr>
          <w:p w14:paraId="0323B27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81~202</w:t>
            </w:r>
          </w:p>
        </w:tc>
      </w:tr>
      <w:tr w:rsidR="008A2411" w:rsidRPr="008A2411" w14:paraId="0F38CC61" w14:textId="77777777">
        <w:trPr>
          <w:trHeight w:val="342"/>
          <w:jc w:val="center"/>
        </w:trPr>
        <w:tc>
          <w:tcPr>
            <w:tcW w:w="276" w:type="pct"/>
            <w:tcBorders>
              <w:top w:val="single" w:sz="2" w:space="0" w:color="000000" w:themeColor="text1"/>
              <w:bottom w:val="single" w:sz="2" w:space="0" w:color="000000" w:themeColor="text1"/>
              <w:right w:val="single" w:sz="2" w:space="0" w:color="000000" w:themeColor="text1"/>
            </w:tcBorders>
            <w:vAlign w:val="center"/>
          </w:tcPr>
          <w:p w14:paraId="787EBE7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12</w:t>
            </w:r>
          </w:p>
        </w:tc>
        <w:tc>
          <w:tcPr>
            <w:tcW w:w="363" w:type="pct"/>
            <w:vMerge/>
            <w:tcBorders>
              <w:left w:val="single" w:sz="2" w:space="0" w:color="000000" w:themeColor="text1"/>
              <w:right w:val="single" w:sz="2" w:space="0" w:color="000000" w:themeColor="text1"/>
            </w:tcBorders>
            <w:vAlign w:val="center"/>
          </w:tcPr>
          <w:p w14:paraId="315CE73C" w14:textId="77777777" w:rsidR="00B0005F" w:rsidRPr="008A2411" w:rsidRDefault="00B0005F">
            <w:pPr>
              <w:jc w:val="center"/>
              <w:rPr>
                <w:rFonts w:ascii="Times New Roman"/>
                <w:color w:val="000000" w:themeColor="text1"/>
                <w:sz w:val="21"/>
                <w:szCs w:val="21"/>
              </w:rPr>
            </w:pPr>
          </w:p>
        </w:tc>
        <w:tc>
          <w:tcPr>
            <w:tcW w:w="556"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541FAC9B"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严家</w:t>
            </w:r>
            <w:proofErr w:type="gramStart"/>
            <w:r w:rsidRPr="008A2411">
              <w:rPr>
                <w:rFonts w:ascii="Times New Roman"/>
                <w:color w:val="000000" w:themeColor="text1"/>
                <w:sz w:val="21"/>
                <w:szCs w:val="21"/>
              </w:rPr>
              <w:t>坪居民</w:t>
            </w:r>
            <w:proofErr w:type="gramEnd"/>
          </w:p>
        </w:tc>
        <w:tc>
          <w:tcPr>
            <w:tcW w:w="414"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5E2D9EE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87</w:t>
            </w:r>
          </w:p>
        </w:tc>
        <w:tc>
          <w:tcPr>
            <w:tcW w:w="363"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17361A0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-227</w:t>
            </w:r>
          </w:p>
        </w:tc>
        <w:tc>
          <w:tcPr>
            <w:tcW w:w="457"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1190452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农户</w:t>
            </w:r>
          </w:p>
        </w:tc>
        <w:tc>
          <w:tcPr>
            <w:tcW w:w="702"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66BA744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4</w:t>
            </w:r>
            <w:r w:rsidRPr="008A2411">
              <w:rPr>
                <w:rFonts w:ascii="Times New Roman"/>
                <w:color w:val="000000" w:themeColor="text1"/>
                <w:sz w:val="21"/>
                <w:szCs w:val="21"/>
              </w:rPr>
              <w:t>户</w:t>
            </w:r>
            <w:r w:rsidRPr="008A2411">
              <w:rPr>
                <w:rFonts w:ascii="Times New Roman"/>
                <w:color w:val="000000" w:themeColor="text1"/>
                <w:sz w:val="21"/>
                <w:szCs w:val="21"/>
              </w:rPr>
              <w:t>12</w:t>
            </w:r>
            <w:r w:rsidRPr="008A2411">
              <w:rPr>
                <w:rFonts w:ascii="Times New Roman"/>
                <w:color w:val="000000" w:themeColor="text1"/>
                <w:sz w:val="21"/>
                <w:szCs w:val="21"/>
              </w:rPr>
              <w:t>人</w:t>
            </w:r>
          </w:p>
        </w:tc>
        <w:tc>
          <w:tcPr>
            <w:tcW w:w="829" w:type="pct"/>
            <w:vMerge/>
            <w:tcBorders>
              <w:left w:val="single" w:sz="2" w:space="0" w:color="000000" w:themeColor="text1"/>
              <w:right w:val="single" w:sz="2" w:space="0" w:color="000000" w:themeColor="text1"/>
            </w:tcBorders>
            <w:vAlign w:val="center"/>
          </w:tcPr>
          <w:p w14:paraId="1A0C036B" w14:textId="77777777" w:rsidR="00B0005F" w:rsidRPr="008A2411" w:rsidRDefault="00B0005F">
            <w:pPr>
              <w:jc w:val="center"/>
              <w:rPr>
                <w:rFonts w:ascii="Times New Roman"/>
                <w:color w:val="000000" w:themeColor="text1"/>
                <w:sz w:val="21"/>
                <w:szCs w:val="21"/>
              </w:rPr>
            </w:pPr>
          </w:p>
        </w:tc>
        <w:tc>
          <w:tcPr>
            <w:tcW w:w="448"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59EBCCC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南</w:t>
            </w:r>
          </w:p>
        </w:tc>
        <w:tc>
          <w:tcPr>
            <w:tcW w:w="586" w:type="pct"/>
            <w:tcBorders>
              <w:top w:val="single" w:sz="2" w:space="0" w:color="000000" w:themeColor="text1"/>
              <w:left w:val="single" w:sz="2" w:space="0" w:color="000000" w:themeColor="text1"/>
              <w:bottom w:val="single" w:sz="2" w:space="0" w:color="000000" w:themeColor="text1"/>
            </w:tcBorders>
            <w:vAlign w:val="center"/>
          </w:tcPr>
          <w:p w14:paraId="461ADA62"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253~400</w:t>
            </w:r>
          </w:p>
        </w:tc>
      </w:tr>
      <w:tr w:rsidR="008A2411" w:rsidRPr="008A2411" w14:paraId="330C8763" w14:textId="77777777">
        <w:trPr>
          <w:trHeight w:val="342"/>
          <w:jc w:val="center"/>
        </w:trPr>
        <w:tc>
          <w:tcPr>
            <w:tcW w:w="276" w:type="pct"/>
            <w:tcBorders>
              <w:top w:val="single" w:sz="2" w:space="0" w:color="000000" w:themeColor="text1"/>
              <w:bottom w:val="single" w:sz="2" w:space="0" w:color="000000" w:themeColor="text1"/>
              <w:right w:val="single" w:sz="2" w:space="0" w:color="000000" w:themeColor="text1"/>
            </w:tcBorders>
            <w:vAlign w:val="center"/>
          </w:tcPr>
          <w:p w14:paraId="1105528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13</w:t>
            </w:r>
          </w:p>
        </w:tc>
        <w:tc>
          <w:tcPr>
            <w:tcW w:w="363" w:type="pct"/>
            <w:vMerge/>
            <w:tcBorders>
              <w:left w:val="single" w:sz="2" w:space="0" w:color="000000" w:themeColor="text1"/>
              <w:right w:val="single" w:sz="2" w:space="0" w:color="000000" w:themeColor="text1"/>
            </w:tcBorders>
            <w:vAlign w:val="center"/>
          </w:tcPr>
          <w:p w14:paraId="143AA0E4" w14:textId="77777777" w:rsidR="00B0005F" w:rsidRPr="008A2411" w:rsidRDefault="00B0005F">
            <w:pPr>
              <w:jc w:val="center"/>
              <w:rPr>
                <w:rFonts w:ascii="Times New Roman"/>
                <w:color w:val="000000" w:themeColor="text1"/>
                <w:sz w:val="21"/>
                <w:szCs w:val="21"/>
              </w:rPr>
            </w:pPr>
          </w:p>
        </w:tc>
        <w:tc>
          <w:tcPr>
            <w:tcW w:w="556"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283AFAA2"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土主镇居民</w:t>
            </w:r>
          </w:p>
        </w:tc>
        <w:tc>
          <w:tcPr>
            <w:tcW w:w="414"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79ADEE57"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375</w:t>
            </w:r>
          </w:p>
        </w:tc>
        <w:tc>
          <w:tcPr>
            <w:tcW w:w="363"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209D897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-751</w:t>
            </w:r>
          </w:p>
        </w:tc>
        <w:tc>
          <w:tcPr>
            <w:tcW w:w="457"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56AFC93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农户</w:t>
            </w:r>
            <w:r w:rsidRPr="008A2411">
              <w:rPr>
                <w:rFonts w:ascii="Times New Roman"/>
                <w:color w:val="000000" w:themeColor="text1"/>
                <w:sz w:val="21"/>
                <w:szCs w:val="21"/>
              </w:rPr>
              <w:t>+</w:t>
            </w:r>
            <w:r w:rsidRPr="008A2411">
              <w:rPr>
                <w:rFonts w:ascii="Times New Roman"/>
                <w:color w:val="000000" w:themeColor="text1"/>
                <w:sz w:val="21"/>
                <w:szCs w:val="21"/>
              </w:rPr>
              <w:t>居民</w:t>
            </w:r>
          </w:p>
        </w:tc>
        <w:tc>
          <w:tcPr>
            <w:tcW w:w="702"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30C6154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约</w:t>
            </w:r>
            <w:r w:rsidRPr="008A2411">
              <w:rPr>
                <w:rFonts w:ascii="Times New Roman"/>
                <w:color w:val="000000" w:themeColor="text1"/>
                <w:sz w:val="21"/>
                <w:szCs w:val="21"/>
              </w:rPr>
              <w:t>400</w:t>
            </w:r>
            <w:r w:rsidRPr="008A2411">
              <w:rPr>
                <w:rFonts w:ascii="Times New Roman"/>
                <w:color w:val="000000" w:themeColor="text1"/>
                <w:sz w:val="21"/>
                <w:szCs w:val="21"/>
              </w:rPr>
              <w:t>户，</w:t>
            </w:r>
            <w:r w:rsidRPr="008A2411">
              <w:rPr>
                <w:rFonts w:ascii="Times New Roman"/>
                <w:color w:val="000000" w:themeColor="text1"/>
                <w:sz w:val="21"/>
                <w:szCs w:val="21"/>
              </w:rPr>
              <w:t>8000</w:t>
            </w:r>
            <w:r w:rsidRPr="008A2411">
              <w:rPr>
                <w:rFonts w:ascii="Times New Roman"/>
                <w:color w:val="000000" w:themeColor="text1"/>
                <w:sz w:val="21"/>
                <w:szCs w:val="21"/>
              </w:rPr>
              <w:t>人</w:t>
            </w:r>
          </w:p>
        </w:tc>
        <w:tc>
          <w:tcPr>
            <w:tcW w:w="829" w:type="pct"/>
            <w:vMerge/>
            <w:tcBorders>
              <w:left w:val="single" w:sz="2" w:space="0" w:color="000000" w:themeColor="text1"/>
              <w:right w:val="single" w:sz="2" w:space="0" w:color="000000" w:themeColor="text1"/>
            </w:tcBorders>
            <w:vAlign w:val="center"/>
          </w:tcPr>
          <w:p w14:paraId="3A2BDCCD" w14:textId="77777777" w:rsidR="00B0005F" w:rsidRPr="008A2411" w:rsidRDefault="00B0005F">
            <w:pPr>
              <w:jc w:val="center"/>
              <w:rPr>
                <w:rFonts w:ascii="Times New Roman"/>
                <w:color w:val="000000" w:themeColor="text1"/>
                <w:sz w:val="21"/>
                <w:szCs w:val="21"/>
              </w:rPr>
            </w:pPr>
          </w:p>
        </w:tc>
        <w:tc>
          <w:tcPr>
            <w:tcW w:w="448"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3FC2764B"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东南</w:t>
            </w:r>
          </w:p>
        </w:tc>
        <w:tc>
          <w:tcPr>
            <w:tcW w:w="586" w:type="pct"/>
            <w:tcBorders>
              <w:top w:val="single" w:sz="2" w:space="0" w:color="000000" w:themeColor="text1"/>
              <w:left w:val="single" w:sz="2" w:space="0" w:color="000000" w:themeColor="text1"/>
              <w:bottom w:val="single" w:sz="2" w:space="0" w:color="000000" w:themeColor="text1"/>
            </w:tcBorders>
            <w:vAlign w:val="center"/>
          </w:tcPr>
          <w:p w14:paraId="2241029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909~2500</w:t>
            </w:r>
          </w:p>
        </w:tc>
      </w:tr>
      <w:tr w:rsidR="008A2411" w:rsidRPr="008A2411" w14:paraId="0DABEFA2" w14:textId="77777777">
        <w:trPr>
          <w:trHeight w:val="342"/>
          <w:jc w:val="center"/>
        </w:trPr>
        <w:tc>
          <w:tcPr>
            <w:tcW w:w="276" w:type="pct"/>
            <w:tcBorders>
              <w:top w:val="single" w:sz="2" w:space="0" w:color="000000" w:themeColor="text1"/>
              <w:bottom w:val="single" w:sz="2" w:space="0" w:color="000000" w:themeColor="text1"/>
              <w:right w:val="single" w:sz="2" w:space="0" w:color="000000" w:themeColor="text1"/>
            </w:tcBorders>
            <w:vAlign w:val="center"/>
          </w:tcPr>
          <w:p w14:paraId="02B2AD7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14</w:t>
            </w:r>
          </w:p>
        </w:tc>
        <w:tc>
          <w:tcPr>
            <w:tcW w:w="363" w:type="pct"/>
            <w:vMerge/>
            <w:tcBorders>
              <w:left w:val="single" w:sz="2" w:space="0" w:color="000000" w:themeColor="text1"/>
              <w:right w:val="single" w:sz="2" w:space="0" w:color="000000" w:themeColor="text1"/>
            </w:tcBorders>
            <w:vAlign w:val="center"/>
          </w:tcPr>
          <w:p w14:paraId="1BB59988" w14:textId="77777777" w:rsidR="00B0005F" w:rsidRPr="008A2411" w:rsidRDefault="00B0005F">
            <w:pPr>
              <w:jc w:val="center"/>
              <w:rPr>
                <w:rFonts w:ascii="Times New Roman"/>
                <w:color w:val="000000" w:themeColor="text1"/>
                <w:sz w:val="21"/>
                <w:szCs w:val="21"/>
              </w:rPr>
            </w:pPr>
          </w:p>
        </w:tc>
        <w:tc>
          <w:tcPr>
            <w:tcW w:w="556"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20CFAE15"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双树村居民</w:t>
            </w:r>
          </w:p>
        </w:tc>
        <w:tc>
          <w:tcPr>
            <w:tcW w:w="414"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5A56248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-389</w:t>
            </w:r>
          </w:p>
        </w:tc>
        <w:tc>
          <w:tcPr>
            <w:tcW w:w="363"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35C46B7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-293</w:t>
            </w:r>
          </w:p>
        </w:tc>
        <w:tc>
          <w:tcPr>
            <w:tcW w:w="457"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4B5CA4CD"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农户</w:t>
            </w:r>
          </w:p>
        </w:tc>
        <w:tc>
          <w:tcPr>
            <w:tcW w:w="702"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3C2B391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w:t>
            </w:r>
            <w:r w:rsidRPr="008A2411">
              <w:rPr>
                <w:rFonts w:ascii="Times New Roman"/>
                <w:color w:val="000000" w:themeColor="text1"/>
                <w:sz w:val="21"/>
                <w:szCs w:val="21"/>
              </w:rPr>
              <w:t>户</w:t>
            </w:r>
            <w:r w:rsidRPr="008A2411">
              <w:rPr>
                <w:rFonts w:ascii="Times New Roman"/>
                <w:color w:val="000000" w:themeColor="text1"/>
                <w:sz w:val="21"/>
                <w:szCs w:val="21"/>
              </w:rPr>
              <w:t>8</w:t>
            </w:r>
            <w:r w:rsidRPr="008A2411">
              <w:rPr>
                <w:rFonts w:ascii="Times New Roman"/>
                <w:color w:val="000000" w:themeColor="text1"/>
                <w:sz w:val="21"/>
                <w:szCs w:val="21"/>
              </w:rPr>
              <w:t>人</w:t>
            </w:r>
          </w:p>
        </w:tc>
        <w:tc>
          <w:tcPr>
            <w:tcW w:w="829" w:type="pct"/>
            <w:vMerge/>
            <w:tcBorders>
              <w:left w:val="single" w:sz="2" w:space="0" w:color="000000" w:themeColor="text1"/>
              <w:right w:val="single" w:sz="2" w:space="0" w:color="000000" w:themeColor="text1"/>
            </w:tcBorders>
            <w:vAlign w:val="center"/>
          </w:tcPr>
          <w:p w14:paraId="613B1C46" w14:textId="77777777" w:rsidR="00B0005F" w:rsidRPr="008A2411" w:rsidRDefault="00B0005F">
            <w:pPr>
              <w:jc w:val="center"/>
              <w:rPr>
                <w:rFonts w:ascii="Times New Roman"/>
                <w:color w:val="000000" w:themeColor="text1"/>
                <w:sz w:val="21"/>
                <w:szCs w:val="21"/>
              </w:rPr>
            </w:pPr>
          </w:p>
        </w:tc>
        <w:tc>
          <w:tcPr>
            <w:tcW w:w="448"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33B8843E"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西南</w:t>
            </w:r>
          </w:p>
        </w:tc>
        <w:tc>
          <w:tcPr>
            <w:tcW w:w="586" w:type="pct"/>
            <w:tcBorders>
              <w:top w:val="single" w:sz="2" w:space="0" w:color="000000" w:themeColor="text1"/>
              <w:left w:val="single" w:sz="2" w:space="0" w:color="000000" w:themeColor="text1"/>
              <w:bottom w:val="single" w:sz="2" w:space="0" w:color="000000" w:themeColor="text1"/>
            </w:tcBorders>
            <w:vAlign w:val="center"/>
          </w:tcPr>
          <w:p w14:paraId="48B61E0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401~600</w:t>
            </w:r>
          </w:p>
        </w:tc>
      </w:tr>
      <w:tr w:rsidR="008A2411" w:rsidRPr="008A2411" w14:paraId="74F4AF0B" w14:textId="77777777">
        <w:trPr>
          <w:trHeight w:val="342"/>
          <w:jc w:val="center"/>
        </w:trPr>
        <w:tc>
          <w:tcPr>
            <w:tcW w:w="276" w:type="pct"/>
            <w:tcBorders>
              <w:top w:val="single" w:sz="2" w:space="0" w:color="000000" w:themeColor="text1"/>
              <w:bottom w:val="single" w:sz="2" w:space="0" w:color="000000" w:themeColor="text1"/>
              <w:right w:val="single" w:sz="2" w:space="0" w:color="000000" w:themeColor="text1"/>
            </w:tcBorders>
            <w:vAlign w:val="center"/>
          </w:tcPr>
          <w:p w14:paraId="1814C69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15</w:t>
            </w:r>
          </w:p>
        </w:tc>
        <w:tc>
          <w:tcPr>
            <w:tcW w:w="363" w:type="pct"/>
            <w:vMerge/>
            <w:tcBorders>
              <w:left w:val="single" w:sz="2" w:space="0" w:color="000000" w:themeColor="text1"/>
              <w:right w:val="single" w:sz="2" w:space="0" w:color="000000" w:themeColor="text1"/>
            </w:tcBorders>
            <w:vAlign w:val="center"/>
          </w:tcPr>
          <w:p w14:paraId="70132CD3" w14:textId="77777777" w:rsidR="00B0005F" w:rsidRPr="008A2411" w:rsidRDefault="00B0005F">
            <w:pPr>
              <w:jc w:val="center"/>
              <w:rPr>
                <w:rFonts w:ascii="Times New Roman"/>
                <w:color w:val="000000" w:themeColor="text1"/>
                <w:sz w:val="21"/>
                <w:szCs w:val="21"/>
              </w:rPr>
            </w:pPr>
          </w:p>
        </w:tc>
        <w:tc>
          <w:tcPr>
            <w:tcW w:w="556"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2AAB8DAB"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双树村居民</w:t>
            </w:r>
          </w:p>
        </w:tc>
        <w:tc>
          <w:tcPr>
            <w:tcW w:w="414"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1266AC12"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-615</w:t>
            </w:r>
          </w:p>
        </w:tc>
        <w:tc>
          <w:tcPr>
            <w:tcW w:w="363"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07E3E4F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1165</w:t>
            </w:r>
          </w:p>
        </w:tc>
        <w:tc>
          <w:tcPr>
            <w:tcW w:w="457"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4CD2A015"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农户</w:t>
            </w:r>
          </w:p>
        </w:tc>
        <w:tc>
          <w:tcPr>
            <w:tcW w:w="702"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475417C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90</w:t>
            </w:r>
            <w:r w:rsidRPr="008A2411">
              <w:rPr>
                <w:rFonts w:ascii="Times New Roman"/>
                <w:color w:val="000000" w:themeColor="text1"/>
                <w:sz w:val="21"/>
                <w:szCs w:val="21"/>
              </w:rPr>
              <w:t>户</w:t>
            </w:r>
            <w:r w:rsidRPr="008A2411">
              <w:rPr>
                <w:rFonts w:ascii="Times New Roman"/>
                <w:color w:val="000000" w:themeColor="text1"/>
                <w:sz w:val="21"/>
                <w:szCs w:val="21"/>
              </w:rPr>
              <w:t>350</w:t>
            </w:r>
            <w:r w:rsidRPr="008A2411">
              <w:rPr>
                <w:rFonts w:ascii="Times New Roman"/>
                <w:color w:val="000000" w:themeColor="text1"/>
                <w:sz w:val="21"/>
                <w:szCs w:val="21"/>
              </w:rPr>
              <w:t>人</w:t>
            </w:r>
          </w:p>
        </w:tc>
        <w:tc>
          <w:tcPr>
            <w:tcW w:w="829" w:type="pct"/>
            <w:vMerge/>
            <w:tcBorders>
              <w:left w:val="single" w:sz="2" w:space="0" w:color="000000" w:themeColor="text1"/>
              <w:right w:val="single" w:sz="2" w:space="0" w:color="000000" w:themeColor="text1"/>
            </w:tcBorders>
            <w:vAlign w:val="center"/>
          </w:tcPr>
          <w:p w14:paraId="001FFD97" w14:textId="77777777" w:rsidR="00B0005F" w:rsidRPr="008A2411" w:rsidRDefault="00B0005F">
            <w:pPr>
              <w:jc w:val="center"/>
              <w:rPr>
                <w:rFonts w:ascii="Times New Roman"/>
                <w:color w:val="000000" w:themeColor="text1"/>
                <w:sz w:val="21"/>
                <w:szCs w:val="21"/>
              </w:rPr>
            </w:pPr>
          </w:p>
        </w:tc>
        <w:tc>
          <w:tcPr>
            <w:tcW w:w="448"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66503F5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西南</w:t>
            </w:r>
          </w:p>
        </w:tc>
        <w:tc>
          <w:tcPr>
            <w:tcW w:w="586" w:type="pct"/>
            <w:tcBorders>
              <w:top w:val="single" w:sz="2" w:space="0" w:color="000000" w:themeColor="text1"/>
              <w:left w:val="single" w:sz="2" w:space="0" w:color="000000" w:themeColor="text1"/>
              <w:bottom w:val="single" w:sz="2" w:space="0" w:color="000000" w:themeColor="text1"/>
            </w:tcBorders>
            <w:vAlign w:val="center"/>
          </w:tcPr>
          <w:p w14:paraId="2F9B541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1256~2500</w:t>
            </w:r>
          </w:p>
        </w:tc>
      </w:tr>
      <w:tr w:rsidR="008A2411" w:rsidRPr="008A2411" w14:paraId="41B5621F" w14:textId="77777777">
        <w:trPr>
          <w:trHeight w:val="342"/>
          <w:jc w:val="center"/>
        </w:trPr>
        <w:tc>
          <w:tcPr>
            <w:tcW w:w="276" w:type="pct"/>
            <w:tcBorders>
              <w:top w:val="single" w:sz="2" w:space="0" w:color="000000" w:themeColor="text1"/>
              <w:bottom w:val="single" w:sz="2" w:space="0" w:color="000000" w:themeColor="text1"/>
              <w:right w:val="single" w:sz="2" w:space="0" w:color="000000" w:themeColor="text1"/>
            </w:tcBorders>
            <w:vAlign w:val="center"/>
          </w:tcPr>
          <w:p w14:paraId="69EC32E7"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16</w:t>
            </w:r>
          </w:p>
        </w:tc>
        <w:tc>
          <w:tcPr>
            <w:tcW w:w="363" w:type="pct"/>
            <w:vMerge/>
            <w:tcBorders>
              <w:left w:val="single" w:sz="2" w:space="0" w:color="000000" w:themeColor="text1"/>
              <w:bottom w:val="single" w:sz="2" w:space="0" w:color="000000" w:themeColor="text1"/>
              <w:right w:val="single" w:sz="2" w:space="0" w:color="000000" w:themeColor="text1"/>
            </w:tcBorders>
            <w:vAlign w:val="center"/>
          </w:tcPr>
          <w:p w14:paraId="2569B624" w14:textId="77777777" w:rsidR="00B0005F" w:rsidRPr="008A2411" w:rsidRDefault="00B0005F">
            <w:pPr>
              <w:jc w:val="center"/>
              <w:rPr>
                <w:rFonts w:ascii="Times New Roman"/>
                <w:color w:val="000000" w:themeColor="text1"/>
                <w:sz w:val="21"/>
                <w:szCs w:val="21"/>
              </w:rPr>
            </w:pPr>
          </w:p>
        </w:tc>
        <w:tc>
          <w:tcPr>
            <w:tcW w:w="556" w:type="pct"/>
            <w:tcBorders>
              <w:top w:val="single" w:sz="2" w:space="0" w:color="000000" w:themeColor="text1"/>
              <w:left w:val="single" w:sz="2" w:space="0" w:color="000000" w:themeColor="text1"/>
              <w:bottom w:val="single" w:sz="2" w:space="0" w:color="000000" w:themeColor="text1"/>
              <w:right w:val="single" w:sz="4" w:space="0" w:color="auto"/>
            </w:tcBorders>
            <w:vAlign w:val="center"/>
          </w:tcPr>
          <w:p w14:paraId="637D3DF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双树村居民</w:t>
            </w:r>
          </w:p>
        </w:tc>
        <w:tc>
          <w:tcPr>
            <w:tcW w:w="414" w:type="pct"/>
            <w:tcBorders>
              <w:top w:val="single" w:sz="2" w:space="0" w:color="000000" w:themeColor="text1"/>
              <w:left w:val="single" w:sz="4" w:space="0" w:color="auto"/>
              <w:bottom w:val="single" w:sz="2" w:space="0" w:color="000000" w:themeColor="text1"/>
              <w:right w:val="single" w:sz="4" w:space="0" w:color="auto"/>
            </w:tcBorders>
            <w:vAlign w:val="center"/>
          </w:tcPr>
          <w:p w14:paraId="56BF4A74"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0</w:t>
            </w:r>
          </w:p>
        </w:tc>
        <w:tc>
          <w:tcPr>
            <w:tcW w:w="363" w:type="pct"/>
            <w:tcBorders>
              <w:top w:val="single" w:sz="2" w:space="0" w:color="000000" w:themeColor="text1"/>
              <w:left w:val="single" w:sz="4" w:space="0" w:color="auto"/>
              <w:bottom w:val="single" w:sz="2" w:space="0" w:color="000000" w:themeColor="text1"/>
              <w:right w:val="single" w:sz="4" w:space="0" w:color="auto"/>
            </w:tcBorders>
            <w:vAlign w:val="center"/>
          </w:tcPr>
          <w:p w14:paraId="03982B8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-1478</w:t>
            </w:r>
          </w:p>
        </w:tc>
        <w:tc>
          <w:tcPr>
            <w:tcW w:w="457" w:type="pct"/>
            <w:tcBorders>
              <w:top w:val="single" w:sz="2" w:space="0" w:color="000000" w:themeColor="text1"/>
              <w:left w:val="single" w:sz="4" w:space="0" w:color="auto"/>
              <w:bottom w:val="single" w:sz="2" w:space="0" w:color="000000" w:themeColor="text1"/>
              <w:right w:val="single" w:sz="4" w:space="0" w:color="auto"/>
            </w:tcBorders>
            <w:vAlign w:val="center"/>
          </w:tcPr>
          <w:p w14:paraId="7FCB4072"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农户</w:t>
            </w:r>
          </w:p>
        </w:tc>
        <w:tc>
          <w:tcPr>
            <w:tcW w:w="702" w:type="pct"/>
            <w:tcBorders>
              <w:top w:val="single" w:sz="2" w:space="0" w:color="000000" w:themeColor="text1"/>
              <w:left w:val="single" w:sz="4" w:space="0" w:color="auto"/>
              <w:bottom w:val="single" w:sz="2" w:space="0" w:color="000000" w:themeColor="text1"/>
              <w:right w:val="single" w:sz="2" w:space="0" w:color="000000" w:themeColor="text1"/>
            </w:tcBorders>
            <w:vAlign w:val="center"/>
          </w:tcPr>
          <w:p w14:paraId="3374442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25</w:t>
            </w:r>
            <w:r w:rsidRPr="008A2411">
              <w:rPr>
                <w:rFonts w:ascii="Times New Roman"/>
                <w:color w:val="000000" w:themeColor="text1"/>
                <w:sz w:val="21"/>
                <w:szCs w:val="21"/>
              </w:rPr>
              <w:t>户</w:t>
            </w:r>
            <w:r w:rsidRPr="008A2411">
              <w:rPr>
                <w:rFonts w:ascii="Times New Roman"/>
                <w:color w:val="000000" w:themeColor="text1"/>
                <w:sz w:val="21"/>
                <w:szCs w:val="21"/>
              </w:rPr>
              <w:t>90</w:t>
            </w:r>
            <w:r w:rsidRPr="008A2411">
              <w:rPr>
                <w:rFonts w:ascii="Times New Roman"/>
                <w:color w:val="000000" w:themeColor="text1"/>
                <w:sz w:val="21"/>
                <w:szCs w:val="21"/>
              </w:rPr>
              <w:t>人</w:t>
            </w:r>
          </w:p>
        </w:tc>
        <w:tc>
          <w:tcPr>
            <w:tcW w:w="829" w:type="pct"/>
            <w:vMerge/>
            <w:tcBorders>
              <w:left w:val="single" w:sz="2" w:space="0" w:color="000000" w:themeColor="text1"/>
              <w:bottom w:val="single" w:sz="2" w:space="0" w:color="000000" w:themeColor="text1"/>
              <w:right w:val="single" w:sz="2" w:space="0" w:color="000000" w:themeColor="text1"/>
            </w:tcBorders>
            <w:vAlign w:val="center"/>
          </w:tcPr>
          <w:p w14:paraId="0E679E5B" w14:textId="77777777" w:rsidR="00B0005F" w:rsidRPr="008A2411" w:rsidRDefault="00B0005F">
            <w:pPr>
              <w:jc w:val="center"/>
              <w:rPr>
                <w:rFonts w:ascii="Times New Roman"/>
                <w:color w:val="000000" w:themeColor="text1"/>
                <w:sz w:val="21"/>
                <w:szCs w:val="21"/>
              </w:rPr>
            </w:pPr>
          </w:p>
        </w:tc>
        <w:tc>
          <w:tcPr>
            <w:tcW w:w="448"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3832CB25"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南</w:t>
            </w:r>
          </w:p>
        </w:tc>
        <w:tc>
          <w:tcPr>
            <w:tcW w:w="586" w:type="pct"/>
            <w:tcBorders>
              <w:top w:val="single" w:sz="2" w:space="0" w:color="000000" w:themeColor="text1"/>
              <w:left w:val="single" w:sz="2" w:space="0" w:color="000000" w:themeColor="text1"/>
              <w:bottom w:val="single" w:sz="2" w:space="0" w:color="000000" w:themeColor="text1"/>
            </w:tcBorders>
            <w:vAlign w:val="center"/>
          </w:tcPr>
          <w:p w14:paraId="0FA82C3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1478~2500</w:t>
            </w:r>
          </w:p>
        </w:tc>
      </w:tr>
      <w:tr w:rsidR="008A2411" w:rsidRPr="008A2411" w14:paraId="1EF44646" w14:textId="77777777">
        <w:trPr>
          <w:trHeight w:val="342"/>
          <w:jc w:val="center"/>
        </w:trPr>
        <w:tc>
          <w:tcPr>
            <w:tcW w:w="276" w:type="pct"/>
            <w:tcBorders>
              <w:top w:val="single" w:sz="2" w:space="0" w:color="000000" w:themeColor="text1"/>
              <w:bottom w:val="single" w:sz="2" w:space="0" w:color="000000" w:themeColor="text1"/>
              <w:right w:val="single" w:sz="2" w:space="0" w:color="000000" w:themeColor="text1"/>
            </w:tcBorders>
            <w:vAlign w:val="center"/>
          </w:tcPr>
          <w:p w14:paraId="668209D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lastRenderedPageBreak/>
              <w:t>17</w:t>
            </w:r>
          </w:p>
        </w:tc>
        <w:tc>
          <w:tcPr>
            <w:tcW w:w="363" w:type="pct"/>
            <w:tcBorders>
              <w:left w:val="single" w:sz="2" w:space="0" w:color="000000" w:themeColor="text1"/>
              <w:bottom w:val="single" w:sz="2" w:space="0" w:color="000000" w:themeColor="text1"/>
              <w:right w:val="single" w:sz="2" w:space="0" w:color="000000" w:themeColor="text1"/>
            </w:tcBorders>
            <w:vAlign w:val="center"/>
          </w:tcPr>
          <w:p w14:paraId="25BF668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声环境</w:t>
            </w:r>
          </w:p>
        </w:tc>
        <w:tc>
          <w:tcPr>
            <w:tcW w:w="559" w:type="pct"/>
            <w:tcBorders>
              <w:top w:val="single" w:sz="2" w:space="0" w:color="000000" w:themeColor="text1"/>
              <w:left w:val="single" w:sz="2" w:space="0" w:color="000000" w:themeColor="text1"/>
              <w:bottom w:val="single" w:sz="2" w:space="0" w:color="000000" w:themeColor="text1"/>
              <w:right w:val="single" w:sz="4" w:space="0" w:color="auto"/>
            </w:tcBorders>
            <w:vAlign w:val="center"/>
          </w:tcPr>
          <w:p w14:paraId="3ACC129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严家</w:t>
            </w:r>
            <w:proofErr w:type="gramStart"/>
            <w:r w:rsidRPr="008A2411">
              <w:rPr>
                <w:rFonts w:ascii="Times New Roman"/>
                <w:color w:val="000000" w:themeColor="text1"/>
                <w:sz w:val="21"/>
                <w:szCs w:val="21"/>
              </w:rPr>
              <w:t>坪居民</w:t>
            </w:r>
            <w:proofErr w:type="gramEnd"/>
          </w:p>
        </w:tc>
        <w:tc>
          <w:tcPr>
            <w:tcW w:w="414" w:type="pct"/>
            <w:tcBorders>
              <w:top w:val="single" w:sz="2" w:space="0" w:color="000000" w:themeColor="text1"/>
              <w:left w:val="single" w:sz="4" w:space="0" w:color="auto"/>
              <w:bottom w:val="single" w:sz="2" w:space="0" w:color="000000" w:themeColor="text1"/>
              <w:right w:val="single" w:sz="4" w:space="0" w:color="auto"/>
            </w:tcBorders>
            <w:vAlign w:val="center"/>
          </w:tcPr>
          <w:p w14:paraId="41F21FBE"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81</w:t>
            </w:r>
          </w:p>
        </w:tc>
        <w:tc>
          <w:tcPr>
            <w:tcW w:w="363" w:type="pct"/>
            <w:tcBorders>
              <w:top w:val="single" w:sz="2" w:space="0" w:color="000000" w:themeColor="text1"/>
              <w:left w:val="single" w:sz="4" w:space="0" w:color="auto"/>
              <w:bottom w:val="single" w:sz="2" w:space="0" w:color="000000" w:themeColor="text1"/>
              <w:right w:val="single" w:sz="4" w:space="0" w:color="auto"/>
            </w:tcBorders>
            <w:vAlign w:val="center"/>
          </w:tcPr>
          <w:p w14:paraId="00B8A3A7"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0</w:t>
            </w:r>
          </w:p>
        </w:tc>
        <w:tc>
          <w:tcPr>
            <w:tcW w:w="457" w:type="pct"/>
            <w:tcBorders>
              <w:top w:val="single" w:sz="2" w:space="0" w:color="000000" w:themeColor="text1"/>
              <w:left w:val="single" w:sz="4" w:space="0" w:color="auto"/>
              <w:bottom w:val="single" w:sz="2" w:space="0" w:color="000000" w:themeColor="text1"/>
              <w:right w:val="single" w:sz="4" w:space="0" w:color="auto"/>
            </w:tcBorders>
            <w:vAlign w:val="center"/>
          </w:tcPr>
          <w:p w14:paraId="466AF92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农户</w:t>
            </w:r>
          </w:p>
        </w:tc>
        <w:tc>
          <w:tcPr>
            <w:tcW w:w="699" w:type="pct"/>
            <w:tcBorders>
              <w:top w:val="single" w:sz="2" w:space="0" w:color="000000" w:themeColor="text1"/>
              <w:left w:val="single" w:sz="4" w:space="0" w:color="auto"/>
              <w:bottom w:val="single" w:sz="2" w:space="0" w:color="000000" w:themeColor="text1"/>
              <w:right w:val="single" w:sz="2" w:space="0" w:color="000000" w:themeColor="text1"/>
            </w:tcBorders>
            <w:vAlign w:val="center"/>
          </w:tcPr>
          <w:p w14:paraId="10E57C4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3</w:t>
            </w:r>
            <w:r w:rsidRPr="008A2411">
              <w:rPr>
                <w:rFonts w:ascii="Times New Roman"/>
                <w:color w:val="000000" w:themeColor="text1"/>
                <w:sz w:val="21"/>
                <w:szCs w:val="21"/>
              </w:rPr>
              <w:t>户</w:t>
            </w:r>
            <w:r w:rsidRPr="008A2411">
              <w:rPr>
                <w:rFonts w:ascii="Times New Roman"/>
                <w:color w:val="000000" w:themeColor="text1"/>
                <w:sz w:val="21"/>
                <w:szCs w:val="21"/>
              </w:rPr>
              <w:t>10</w:t>
            </w:r>
            <w:r w:rsidRPr="008A2411">
              <w:rPr>
                <w:rFonts w:ascii="Times New Roman"/>
                <w:color w:val="000000" w:themeColor="text1"/>
                <w:sz w:val="21"/>
                <w:szCs w:val="21"/>
              </w:rPr>
              <w:t>人</w:t>
            </w:r>
          </w:p>
        </w:tc>
        <w:tc>
          <w:tcPr>
            <w:tcW w:w="829" w:type="pct"/>
            <w:tcBorders>
              <w:left w:val="single" w:sz="2" w:space="0" w:color="000000" w:themeColor="text1"/>
              <w:bottom w:val="single" w:sz="2" w:space="0" w:color="000000" w:themeColor="text1"/>
              <w:right w:val="single" w:sz="2" w:space="0" w:color="000000" w:themeColor="text1"/>
            </w:tcBorders>
            <w:vAlign w:val="center"/>
          </w:tcPr>
          <w:p w14:paraId="4EDD81B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《声环境质量标准》（</w:t>
            </w:r>
            <w:r w:rsidRPr="008A2411">
              <w:rPr>
                <w:rFonts w:ascii="Times New Roman"/>
                <w:color w:val="000000" w:themeColor="text1"/>
                <w:sz w:val="21"/>
                <w:szCs w:val="21"/>
              </w:rPr>
              <w:t>GB3096-2008</w:t>
            </w:r>
            <w:r w:rsidRPr="008A2411">
              <w:rPr>
                <w:rFonts w:ascii="Times New Roman"/>
                <w:color w:val="000000" w:themeColor="text1"/>
                <w:sz w:val="21"/>
                <w:szCs w:val="21"/>
              </w:rPr>
              <w:t>）</w:t>
            </w:r>
            <w:r w:rsidRPr="008A2411">
              <w:rPr>
                <w:rFonts w:ascii="Times New Roman"/>
                <w:color w:val="000000" w:themeColor="text1"/>
                <w:sz w:val="21"/>
                <w:szCs w:val="21"/>
              </w:rPr>
              <w:t>3</w:t>
            </w:r>
            <w:r w:rsidRPr="008A2411">
              <w:rPr>
                <w:rFonts w:ascii="Times New Roman"/>
                <w:color w:val="000000" w:themeColor="text1"/>
                <w:sz w:val="21"/>
                <w:szCs w:val="21"/>
              </w:rPr>
              <w:t>类声环境功能区标准</w:t>
            </w:r>
          </w:p>
        </w:tc>
        <w:tc>
          <w:tcPr>
            <w:tcW w:w="795" w:type="dxa"/>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22C52B3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东</w:t>
            </w:r>
          </w:p>
        </w:tc>
        <w:tc>
          <w:tcPr>
            <w:tcW w:w="1039" w:type="dxa"/>
            <w:tcBorders>
              <w:top w:val="single" w:sz="2" w:space="0" w:color="000000" w:themeColor="text1"/>
              <w:left w:val="single" w:sz="2" w:space="0" w:color="000000" w:themeColor="text1"/>
              <w:bottom w:val="single" w:sz="2" w:space="0" w:color="000000" w:themeColor="text1"/>
            </w:tcBorders>
            <w:vAlign w:val="center"/>
          </w:tcPr>
          <w:p w14:paraId="01185EA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81~200</w:t>
            </w:r>
          </w:p>
        </w:tc>
      </w:tr>
      <w:tr w:rsidR="008A2411" w:rsidRPr="008A2411" w14:paraId="67470C27" w14:textId="77777777">
        <w:trPr>
          <w:trHeight w:val="342"/>
          <w:jc w:val="center"/>
        </w:trPr>
        <w:tc>
          <w:tcPr>
            <w:tcW w:w="276" w:type="pct"/>
            <w:vMerge w:val="restart"/>
            <w:tcBorders>
              <w:top w:val="single" w:sz="2" w:space="0" w:color="000000" w:themeColor="text1"/>
              <w:right w:val="single" w:sz="2" w:space="0" w:color="000000" w:themeColor="text1"/>
            </w:tcBorders>
            <w:vAlign w:val="center"/>
          </w:tcPr>
          <w:p w14:paraId="1C38ACD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18</w:t>
            </w:r>
          </w:p>
        </w:tc>
        <w:tc>
          <w:tcPr>
            <w:tcW w:w="363" w:type="pct"/>
            <w:vMerge w:val="restart"/>
            <w:tcBorders>
              <w:top w:val="single" w:sz="2" w:space="0" w:color="000000" w:themeColor="text1"/>
              <w:left w:val="single" w:sz="2" w:space="0" w:color="000000" w:themeColor="text1"/>
              <w:right w:val="single" w:sz="2" w:space="0" w:color="000000" w:themeColor="text1"/>
            </w:tcBorders>
            <w:vAlign w:val="center"/>
          </w:tcPr>
          <w:p w14:paraId="454BAF6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地表水</w:t>
            </w:r>
          </w:p>
        </w:tc>
        <w:tc>
          <w:tcPr>
            <w:tcW w:w="1335" w:type="pct"/>
            <w:gridSpan w:val="3"/>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0394C4D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后巴河支流</w:t>
            </w:r>
          </w:p>
        </w:tc>
        <w:tc>
          <w:tcPr>
            <w:tcW w:w="457"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7D505A1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地表水</w:t>
            </w:r>
          </w:p>
        </w:tc>
        <w:tc>
          <w:tcPr>
            <w:tcW w:w="702"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0E9D63CD"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地表水水质</w:t>
            </w:r>
          </w:p>
        </w:tc>
        <w:tc>
          <w:tcPr>
            <w:tcW w:w="829"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470A668B"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《地表水环境质量标准》（</w:t>
            </w:r>
            <w:r w:rsidRPr="008A2411">
              <w:rPr>
                <w:rFonts w:ascii="Times New Roman"/>
                <w:color w:val="000000" w:themeColor="text1"/>
                <w:sz w:val="21"/>
                <w:szCs w:val="21"/>
              </w:rPr>
              <w:t>GB3838-2002</w:t>
            </w:r>
            <w:r w:rsidRPr="008A2411">
              <w:rPr>
                <w:rFonts w:ascii="Times New Roman"/>
                <w:color w:val="000000" w:themeColor="text1"/>
                <w:sz w:val="21"/>
                <w:szCs w:val="21"/>
              </w:rPr>
              <w:t>）</w:t>
            </w:r>
            <w:r w:rsidRPr="008A2411">
              <w:rPr>
                <w:rFonts w:ascii="Times New Roman" w:eastAsia="MS Mincho"/>
                <w:color w:val="000000" w:themeColor="text1"/>
                <w:sz w:val="21"/>
                <w:szCs w:val="21"/>
              </w:rPr>
              <w:t>Ⅲ</w:t>
            </w:r>
            <w:r w:rsidRPr="008A2411">
              <w:rPr>
                <w:rFonts w:ascii="Times New Roman"/>
                <w:color w:val="000000" w:themeColor="text1"/>
                <w:sz w:val="21"/>
                <w:szCs w:val="21"/>
              </w:rPr>
              <w:t>类</w:t>
            </w:r>
          </w:p>
        </w:tc>
        <w:tc>
          <w:tcPr>
            <w:tcW w:w="448"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750CCFBD"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南</w:t>
            </w:r>
          </w:p>
        </w:tc>
        <w:tc>
          <w:tcPr>
            <w:tcW w:w="586" w:type="pct"/>
            <w:tcBorders>
              <w:top w:val="single" w:sz="2" w:space="0" w:color="000000" w:themeColor="text1"/>
              <w:left w:val="single" w:sz="2" w:space="0" w:color="000000" w:themeColor="text1"/>
              <w:bottom w:val="single" w:sz="2" w:space="0" w:color="000000" w:themeColor="text1"/>
            </w:tcBorders>
            <w:vAlign w:val="center"/>
          </w:tcPr>
          <w:p w14:paraId="078A7F6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165</w:t>
            </w:r>
          </w:p>
        </w:tc>
      </w:tr>
      <w:tr w:rsidR="008A2411" w:rsidRPr="008A2411" w14:paraId="6058DF80" w14:textId="77777777">
        <w:trPr>
          <w:trHeight w:val="342"/>
          <w:jc w:val="center"/>
        </w:trPr>
        <w:tc>
          <w:tcPr>
            <w:tcW w:w="276" w:type="pct"/>
            <w:vMerge/>
            <w:tcBorders>
              <w:bottom w:val="single" w:sz="2" w:space="0" w:color="000000" w:themeColor="text1"/>
              <w:right w:val="single" w:sz="2" w:space="0" w:color="000000" w:themeColor="text1"/>
            </w:tcBorders>
            <w:vAlign w:val="center"/>
          </w:tcPr>
          <w:p w14:paraId="2BAA1DAB" w14:textId="77777777" w:rsidR="00B0005F" w:rsidRPr="008A2411" w:rsidRDefault="00B0005F">
            <w:pPr>
              <w:jc w:val="center"/>
              <w:rPr>
                <w:rFonts w:ascii="Times New Roman"/>
                <w:color w:val="000000" w:themeColor="text1"/>
                <w:sz w:val="21"/>
                <w:szCs w:val="21"/>
              </w:rPr>
            </w:pPr>
          </w:p>
        </w:tc>
        <w:tc>
          <w:tcPr>
            <w:tcW w:w="363" w:type="pct"/>
            <w:vMerge/>
            <w:tcBorders>
              <w:left w:val="single" w:sz="2" w:space="0" w:color="000000" w:themeColor="text1"/>
              <w:bottom w:val="single" w:sz="2" w:space="0" w:color="000000" w:themeColor="text1"/>
              <w:right w:val="single" w:sz="2" w:space="0" w:color="000000" w:themeColor="text1"/>
            </w:tcBorders>
            <w:vAlign w:val="center"/>
          </w:tcPr>
          <w:p w14:paraId="3840F95F" w14:textId="77777777" w:rsidR="00B0005F" w:rsidRPr="008A2411" w:rsidRDefault="00B0005F">
            <w:pPr>
              <w:jc w:val="center"/>
              <w:rPr>
                <w:rFonts w:ascii="Times New Roman"/>
                <w:color w:val="000000" w:themeColor="text1"/>
                <w:sz w:val="21"/>
                <w:szCs w:val="21"/>
              </w:rPr>
            </w:pPr>
          </w:p>
        </w:tc>
        <w:tc>
          <w:tcPr>
            <w:tcW w:w="1335" w:type="pct"/>
            <w:gridSpan w:val="3"/>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2FAB799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后巴河</w:t>
            </w:r>
          </w:p>
        </w:tc>
        <w:tc>
          <w:tcPr>
            <w:tcW w:w="457"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60648C04"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地表水</w:t>
            </w:r>
          </w:p>
        </w:tc>
        <w:tc>
          <w:tcPr>
            <w:tcW w:w="702"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0C5C6074"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地表水水质</w:t>
            </w:r>
          </w:p>
        </w:tc>
        <w:tc>
          <w:tcPr>
            <w:tcW w:w="829"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4EED044D"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《地表水环境质量标准》（</w:t>
            </w:r>
            <w:r w:rsidRPr="008A2411">
              <w:rPr>
                <w:rFonts w:ascii="Times New Roman"/>
                <w:color w:val="000000" w:themeColor="text1"/>
                <w:sz w:val="21"/>
                <w:szCs w:val="21"/>
              </w:rPr>
              <w:t>GB3838-2002</w:t>
            </w:r>
            <w:r w:rsidRPr="008A2411">
              <w:rPr>
                <w:rFonts w:ascii="Times New Roman"/>
                <w:color w:val="000000" w:themeColor="text1"/>
                <w:sz w:val="21"/>
                <w:szCs w:val="21"/>
              </w:rPr>
              <w:t>）</w:t>
            </w:r>
            <w:r w:rsidRPr="008A2411">
              <w:rPr>
                <w:rFonts w:ascii="Times New Roman" w:eastAsia="MS Mincho"/>
                <w:color w:val="000000" w:themeColor="text1"/>
                <w:sz w:val="21"/>
                <w:szCs w:val="21"/>
              </w:rPr>
              <w:t>Ⅲ</w:t>
            </w:r>
            <w:r w:rsidRPr="008A2411">
              <w:rPr>
                <w:rFonts w:ascii="Times New Roman"/>
                <w:color w:val="000000" w:themeColor="text1"/>
                <w:sz w:val="21"/>
                <w:szCs w:val="21"/>
              </w:rPr>
              <w:t>类</w:t>
            </w:r>
          </w:p>
        </w:tc>
        <w:tc>
          <w:tcPr>
            <w:tcW w:w="448"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75CAE6B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东</w:t>
            </w:r>
          </w:p>
        </w:tc>
        <w:tc>
          <w:tcPr>
            <w:tcW w:w="586" w:type="pct"/>
            <w:tcBorders>
              <w:top w:val="single" w:sz="2" w:space="0" w:color="000000" w:themeColor="text1"/>
              <w:left w:val="single" w:sz="2" w:space="0" w:color="000000" w:themeColor="text1"/>
              <w:bottom w:val="single" w:sz="2" w:space="0" w:color="000000" w:themeColor="text1"/>
            </w:tcBorders>
            <w:vAlign w:val="center"/>
          </w:tcPr>
          <w:p w14:paraId="04021E8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664</w:t>
            </w:r>
          </w:p>
        </w:tc>
      </w:tr>
      <w:tr w:rsidR="008A2411" w:rsidRPr="008A2411" w14:paraId="0CE0BD7A" w14:textId="77777777">
        <w:trPr>
          <w:trHeight w:val="342"/>
          <w:jc w:val="center"/>
        </w:trPr>
        <w:tc>
          <w:tcPr>
            <w:tcW w:w="276" w:type="pct"/>
            <w:tcBorders>
              <w:top w:val="single" w:sz="2" w:space="0" w:color="000000" w:themeColor="text1"/>
              <w:bottom w:val="single" w:sz="2" w:space="0" w:color="000000" w:themeColor="text1"/>
              <w:right w:val="single" w:sz="2" w:space="0" w:color="000000" w:themeColor="text1"/>
            </w:tcBorders>
            <w:vAlign w:val="center"/>
          </w:tcPr>
          <w:p w14:paraId="4C832AE2"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19</w:t>
            </w:r>
          </w:p>
        </w:tc>
        <w:tc>
          <w:tcPr>
            <w:tcW w:w="363"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5F1103D4"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土壤环境</w:t>
            </w:r>
          </w:p>
        </w:tc>
        <w:tc>
          <w:tcPr>
            <w:tcW w:w="556"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2ACCD327"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周边耕地</w:t>
            </w:r>
          </w:p>
        </w:tc>
        <w:tc>
          <w:tcPr>
            <w:tcW w:w="414"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0ECD51AB"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w:t>
            </w:r>
          </w:p>
        </w:tc>
        <w:tc>
          <w:tcPr>
            <w:tcW w:w="363" w:type="pct"/>
            <w:tcBorders>
              <w:top w:val="single" w:sz="2" w:space="0" w:color="000000" w:themeColor="text1"/>
              <w:left w:val="single" w:sz="2" w:space="0" w:color="000000" w:themeColor="text1"/>
              <w:bottom w:val="single" w:sz="2" w:space="0" w:color="000000" w:themeColor="text1"/>
              <w:right w:val="single" w:sz="4" w:space="0" w:color="auto"/>
            </w:tcBorders>
            <w:vAlign w:val="center"/>
          </w:tcPr>
          <w:p w14:paraId="75C2C012"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w:t>
            </w:r>
          </w:p>
        </w:tc>
        <w:tc>
          <w:tcPr>
            <w:tcW w:w="457" w:type="pct"/>
            <w:tcBorders>
              <w:top w:val="single" w:sz="2" w:space="0" w:color="000000" w:themeColor="text1"/>
              <w:left w:val="single" w:sz="4" w:space="0" w:color="auto"/>
              <w:bottom w:val="single" w:sz="2" w:space="0" w:color="000000" w:themeColor="text1"/>
              <w:right w:val="single" w:sz="2" w:space="0" w:color="000000" w:themeColor="text1"/>
            </w:tcBorders>
            <w:vAlign w:val="center"/>
          </w:tcPr>
          <w:p w14:paraId="4B4F602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耕地</w:t>
            </w:r>
          </w:p>
        </w:tc>
        <w:tc>
          <w:tcPr>
            <w:tcW w:w="702"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3F28D4D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w:t>
            </w:r>
          </w:p>
        </w:tc>
        <w:tc>
          <w:tcPr>
            <w:tcW w:w="829"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1C7A350B"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《土壤环境质量</w:t>
            </w:r>
            <w:r w:rsidRPr="008A2411">
              <w:rPr>
                <w:rFonts w:ascii="Times New Roman"/>
                <w:color w:val="000000" w:themeColor="text1"/>
                <w:sz w:val="21"/>
                <w:szCs w:val="21"/>
              </w:rPr>
              <w:t xml:space="preserve"> </w:t>
            </w:r>
            <w:r w:rsidRPr="008A2411">
              <w:rPr>
                <w:rFonts w:ascii="Times New Roman"/>
                <w:color w:val="000000" w:themeColor="text1"/>
                <w:sz w:val="21"/>
                <w:szCs w:val="21"/>
              </w:rPr>
              <w:t>农用地土壤污染风险管控标准（试行）》（</w:t>
            </w:r>
            <w:r w:rsidRPr="008A2411">
              <w:rPr>
                <w:rFonts w:ascii="Times New Roman"/>
                <w:color w:val="000000" w:themeColor="text1"/>
                <w:sz w:val="21"/>
                <w:szCs w:val="21"/>
              </w:rPr>
              <w:t>GB15618-2018</w:t>
            </w:r>
            <w:r w:rsidRPr="008A2411">
              <w:rPr>
                <w:rFonts w:ascii="Times New Roman"/>
                <w:color w:val="000000" w:themeColor="text1"/>
                <w:sz w:val="21"/>
                <w:szCs w:val="21"/>
              </w:rPr>
              <w:t>）</w:t>
            </w:r>
          </w:p>
        </w:tc>
        <w:tc>
          <w:tcPr>
            <w:tcW w:w="448"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1751A0EB"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w:t>
            </w:r>
          </w:p>
        </w:tc>
        <w:tc>
          <w:tcPr>
            <w:tcW w:w="586" w:type="pct"/>
            <w:tcBorders>
              <w:top w:val="single" w:sz="2" w:space="0" w:color="000000" w:themeColor="text1"/>
              <w:left w:val="single" w:sz="2" w:space="0" w:color="000000" w:themeColor="text1"/>
              <w:bottom w:val="single" w:sz="2" w:space="0" w:color="000000" w:themeColor="text1"/>
            </w:tcBorders>
            <w:vAlign w:val="center"/>
          </w:tcPr>
          <w:p w14:paraId="31971A82"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w:t>
            </w:r>
          </w:p>
        </w:tc>
      </w:tr>
      <w:tr w:rsidR="008A2411" w:rsidRPr="008A2411" w14:paraId="4820B845" w14:textId="77777777">
        <w:trPr>
          <w:trHeight w:val="342"/>
          <w:jc w:val="center"/>
        </w:trPr>
        <w:tc>
          <w:tcPr>
            <w:tcW w:w="276" w:type="pct"/>
            <w:tcBorders>
              <w:top w:val="single" w:sz="2" w:space="0" w:color="000000" w:themeColor="text1"/>
              <w:bottom w:val="single" w:sz="2" w:space="0" w:color="000000" w:themeColor="text1"/>
              <w:right w:val="single" w:sz="2" w:space="0" w:color="000000" w:themeColor="text1"/>
            </w:tcBorders>
            <w:vAlign w:val="center"/>
          </w:tcPr>
          <w:p w14:paraId="24D1B967"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20</w:t>
            </w:r>
          </w:p>
        </w:tc>
        <w:tc>
          <w:tcPr>
            <w:tcW w:w="363"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1CC2743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地下水</w:t>
            </w:r>
          </w:p>
        </w:tc>
        <w:tc>
          <w:tcPr>
            <w:tcW w:w="1792" w:type="pct"/>
            <w:gridSpan w:val="4"/>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6AF14CF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沙</w:t>
            </w:r>
            <w:proofErr w:type="gramStart"/>
            <w:r w:rsidRPr="008A2411">
              <w:rPr>
                <w:rFonts w:ascii="Times New Roman"/>
                <w:color w:val="000000" w:themeColor="text1"/>
                <w:sz w:val="21"/>
                <w:szCs w:val="21"/>
              </w:rPr>
              <w:t>溪庙组砂</w:t>
            </w:r>
            <w:proofErr w:type="gramEnd"/>
            <w:r w:rsidRPr="008A2411">
              <w:rPr>
                <w:rFonts w:ascii="Times New Roman"/>
                <w:color w:val="000000" w:themeColor="text1"/>
                <w:sz w:val="21"/>
                <w:szCs w:val="21"/>
              </w:rPr>
              <w:t>泥岩风化裂隙含水层及项目周边居民水井（具体见表</w:t>
            </w:r>
            <w:r w:rsidRPr="008A2411">
              <w:rPr>
                <w:rFonts w:ascii="Times New Roman"/>
                <w:color w:val="000000" w:themeColor="text1"/>
                <w:sz w:val="21"/>
                <w:szCs w:val="21"/>
              </w:rPr>
              <w:t>5.2-17</w:t>
            </w:r>
            <w:r w:rsidRPr="008A2411">
              <w:rPr>
                <w:rFonts w:ascii="Times New Roman"/>
                <w:color w:val="000000" w:themeColor="text1"/>
                <w:sz w:val="21"/>
                <w:szCs w:val="21"/>
              </w:rPr>
              <w:t>）</w:t>
            </w:r>
          </w:p>
        </w:tc>
        <w:tc>
          <w:tcPr>
            <w:tcW w:w="702"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4622FB5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地下水水质</w:t>
            </w:r>
          </w:p>
        </w:tc>
        <w:tc>
          <w:tcPr>
            <w:tcW w:w="829"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471147CB"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满足《地下水质量标准》（</w:t>
            </w:r>
            <w:r w:rsidRPr="008A2411">
              <w:rPr>
                <w:rFonts w:ascii="Times New Roman"/>
                <w:color w:val="000000" w:themeColor="text1"/>
                <w:sz w:val="21"/>
                <w:szCs w:val="21"/>
              </w:rPr>
              <w:t>GB/T14848-2017</w:t>
            </w:r>
            <w:r w:rsidRPr="008A2411">
              <w:rPr>
                <w:rFonts w:ascii="Times New Roman"/>
                <w:color w:val="000000" w:themeColor="text1"/>
                <w:sz w:val="21"/>
                <w:szCs w:val="21"/>
              </w:rPr>
              <w:t>）</w:t>
            </w:r>
            <w:r w:rsidRPr="008A2411">
              <w:rPr>
                <w:rFonts w:ascii="Times New Roman"/>
                <w:color w:val="000000" w:themeColor="text1"/>
                <w:sz w:val="21"/>
                <w:szCs w:val="21"/>
              </w:rPr>
              <w:t>Ⅲ</w:t>
            </w:r>
            <w:r w:rsidRPr="008A2411">
              <w:rPr>
                <w:rFonts w:ascii="Times New Roman"/>
                <w:color w:val="000000" w:themeColor="text1"/>
                <w:sz w:val="21"/>
                <w:szCs w:val="21"/>
              </w:rPr>
              <w:t>类标准，其环境功能类别不因项目建设而受影响</w:t>
            </w:r>
          </w:p>
        </w:tc>
        <w:tc>
          <w:tcPr>
            <w:tcW w:w="448"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7CFC150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w:t>
            </w:r>
          </w:p>
        </w:tc>
        <w:tc>
          <w:tcPr>
            <w:tcW w:w="586" w:type="pct"/>
            <w:tcBorders>
              <w:top w:val="single" w:sz="2" w:space="0" w:color="000000" w:themeColor="text1"/>
              <w:left w:val="single" w:sz="2" w:space="0" w:color="000000" w:themeColor="text1"/>
              <w:bottom w:val="single" w:sz="2" w:space="0" w:color="000000" w:themeColor="text1"/>
            </w:tcBorders>
            <w:vAlign w:val="center"/>
          </w:tcPr>
          <w:p w14:paraId="6DBEB48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w:t>
            </w:r>
          </w:p>
        </w:tc>
      </w:tr>
      <w:tr w:rsidR="008A2411" w:rsidRPr="008A2411" w14:paraId="73E025C8" w14:textId="77777777">
        <w:trPr>
          <w:trHeight w:val="342"/>
          <w:jc w:val="center"/>
        </w:trPr>
        <w:tc>
          <w:tcPr>
            <w:tcW w:w="276" w:type="pct"/>
            <w:tcBorders>
              <w:top w:val="single" w:sz="2" w:space="0" w:color="000000" w:themeColor="text1"/>
              <w:bottom w:val="single" w:sz="2" w:space="0" w:color="000000" w:themeColor="text1"/>
              <w:right w:val="single" w:sz="2" w:space="0" w:color="000000" w:themeColor="text1"/>
            </w:tcBorders>
            <w:vAlign w:val="center"/>
          </w:tcPr>
          <w:p w14:paraId="2A4A1A7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21</w:t>
            </w:r>
          </w:p>
        </w:tc>
        <w:tc>
          <w:tcPr>
            <w:tcW w:w="363" w:type="pc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2BFD9D72" w14:textId="43BFE9FF" w:rsidR="00B0005F" w:rsidRPr="008A2411" w:rsidRDefault="00846A16">
            <w:pPr>
              <w:spacing w:line="340" w:lineRule="exact"/>
              <w:jc w:val="center"/>
              <w:rPr>
                <w:rFonts w:ascii="Times New Roman"/>
                <w:color w:val="000000" w:themeColor="text1"/>
                <w:sz w:val="21"/>
                <w:szCs w:val="21"/>
              </w:rPr>
            </w:pPr>
            <w:r w:rsidRPr="008A2411">
              <w:rPr>
                <w:rFonts w:ascii="Times New Roman" w:hint="eastAsia"/>
                <w:color w:val="000000" w:themeColor="text1"/>
                <w:sz w:val="21"/>
                <w:szCs w:val="21"/>
              </w:rPr>
              <w:t>环境风险</w:t>
            </w:r>
          </w:p>
        </w:tc>
        <w:tc>
          <w:tcPr>
            <w:tcW w:w="4359" w:type="pct"/>
            <w:gridSpan w:val="8"/>
            <w:tcBorders>
              <w:top w:val="single" w:sz="2" w:space="0" w:color="000000" w:themeColor="text1"/>
              <w:left w:val="single" w:sz="2" w:space="0" w:color="000000" w:themeColor="text1"/>
              <w:bottom w:val="single" w:sz="2" w:space="0" w:color="000000" w:themeColor="text1"/>
            </w:tcBorders>
            <w:vAlign w:val="center"/>
          </w:tcPr>
          <w:p w14:paraId="5062A852" w14:textId="77777777" w:rsidR="00B0005F" w:rsidRPr="008A2411" w:rsidRDefault="00000000">
            <w:pPr>
              <w:jc w:val="center"/>
              <w:rPr>
                <w:rFonts w:ascii="Times New Roman"/>
                <w:color w:val="000000" w:themeColor="text1"/>
                <w:sz w:val="21"/>
                <w:szCs w:val="21"/>
              </w:rPr>
            </w:pPr>
            <w:r w:rsidRPr="008A2411">
              <w:rPr>
                <w:rFonts w:ascii="Times New Roman"/>
                <w:bCs/>
                <w:color w:val="000000" w:themeColor="text1"/>
                <w:sz w:val="21"/>
                <w:szCs w:val="21"/>
              </w:rPr>
              <w:t>主</w:t>
            </w:r>
            <w:r w:rsidRPr="008A2411">
              <w:rPr>
                <w:rFonts w:ascii="Times New Roman"/>
                <w:color w:val="000000" w:themeColor="text1"/>
                <w:sz w:val="21"/>
                <w:szCs w:val="21"/>
              </w:rPr>
              <w:t>要包括居住区、医疗卫生、文化教育等单位，</w:t>
            </w:r>
            <w:r w:rsidRPr="008A2411">
              <w:rPr>
                <w:rFonts w:ascii="Times New Roman"/>
                <w:color w:val="000000" w:themeColor="text1"/>
                <w:sz w:val="21"/>
                <w:szCs w:val="21"/>
              </w:rPr>
              <w:t>5km</w:t>
            </w:r>
            <w:r w:rsidRPr="008A2411">
              <w:rPr>
                <w:rFonts w:ascii="Times New Roman"/>
                <w:color w:val="000000" w:themeColor="text1"/>
                <w:sz w:val="21"/>
                <w:szCs w:val="21"/>
              </w:rPr>
              <w:t>范</w:t>
            </w:r>
            <w:r w:rsidRPr="008A2411">
              <w:rPr>
                <w:rFonts w:ascii="Times New Roman"/>
                <w:bCs/>
                <w:color w:val="000000" w:themeColor="text1"/>
                <w:sz w:val="21"/>
                <w:szCs w:val="21"/>
              </w:rPr>
              <w:t>围内</w:t>
            </w:r>
            <w:r w:rsidRPr="008A2411">
              <w:rPr>
                <w:rFonts w:ascii="Times New Roman" w:hint="eastAsia"/>
                <w:bCs/>
                <w:color w:val="000000" w:themeColor="text1"/>
                <w:sz w:val="21"/>
                <w:szCs w:val="21"/>
              </w:rPr>
              <w:t>主要环境风险受体</w:t>
            </w:r>
            <w:r w:rsidRPr="008A2411">
              <w:rPr>
                <w:rFonts w:ascii="Times New Roman"/>
                <w:bCs/>
                <w:color w:val="000000" w:themeColor="text1"/>
                <w:sz w:val="21"/>
                <w:szCs w:val="21"/>
              </w:rPr>
              <w:t>分布见后文</w:t>
            </w:r>
          </w:p>
        </w:tc>
      </w:tr>
      <w:tr w:rsidR="00B0005F" w:rsidRPr="008A2411" w14:paraId="78E74B5A" w14:textId="77777777">
        <w:trPr>
          <w:trHeight w:val="342"/>
          <w:jc w:val="center"/>
        </w:trPr>
        <w:tc>
          <w:tcPr>
            <w:tcW w:w="276" w:type="pct"/>
            <w:tcBorders>
              <w:top w:val="single" w:sz="2" w:space="0" w:color="000000" w:themeColor="text1"/>
              <w:right w:val="single" w:sz="2" w:space="0" w:color="000000" w:themeColor="text1"/>
            </w:tcBorders>
            <w:vAlign w:val="center"/>
          </w:tcPr>
          <w:p w14:paraId="79165B3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22</w:t>
            </w:r>
          </w:p>
        </w:tc>
        <w:tc>
          <w:tcPr>
            <w:tcW w:w="363" w:type="pct"/>
            <w:tcBorders>
              <w:top w:val="single" w:sz="2" w:space="0" w:color="000000" w:themeColor="text1"/>
              <w:left w:val="single" w:sz="2" w:space="0" w:color="000000" w:themeColor="text1"/>
              <w:right w:val="single" w:sz="2" w:space="0" w:color="000000" w:themeColor="text1"/>
            </w:tcBorders>
            <w:vAlign w:val="center"/>
          </w:tcPr>
          <w:p w14:paraId="69B767CF" w14:textId="77777777" w:rsidR="00B0005F" w:rsidRPr="008A2411" w:rsidRDefault="00000000">
            <w:pPr>
              <w:spacing w:line="340" w:lineRule="exact"/>
              <w:jc w:val="center"/>
              <w:rPr>
                <w:rFonts w:ascii="Times New Roman"/>
                <w:color w:val="000000" w:themeColor="text1"/>
                <w:sz w:val="21"/>
                <w:szCs w:val="21"/>
              </w:rPr>
            </w:pPr>
            <w:r w:rsidRPr="008A2411">
              <w:rPr>
                <w:rFonts w:ascii="Times New Roman"/>
                <w:color w:val="000000" w:themeColor="text1"/>
                <w:sz w:val="21"/>
                <w:szCs w:val="21"/>
              </w:rPr>
              <w:t>生态</w:t>
            </w:r>
          </w:p>
          <w:p w14:paraId="3C166E0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环境</w:t>
            </w:r>
          </w:p>
        </w:tc>
        <w:tc>
          <w:tcPr>
            <w:tcW w:w="1792" w:type="pct"/>
            <w:gridSpan w:val="4"/>
            <w:tcBorders>
              <w:top w:val="single" w:sz="2" w:space="0" w:color="000000" w:themeColor="text1"/>
              <w:left w:val="single" w:sz="2" w:space="0" w:color="000000" w:themeColor="text1"/>
              <w:right w:val="single" w:sz="2" w:space="0" w:color="000000" w:themeColor="text1"/>
            </w:tcBorders>
            <w:vAlign w:val="center"/>
          </w:tcPr>
          <w:p w14:paraId="4386F53A" w14:textId="54CC16FB"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本项目</w:t>
            </w:r>
            <w:r w:rsidRPr="008A2411">
              <w:rPr>
                <w:rFonts w:ascii="Times New Roman" w:hint="eastAsia"/>
                <w:color w:val="000000" w:themeColor="text1"/>
                <w:sz w:val="21"/>
                <w:szCs w:val="21"/>
              </w:rPr>
              <w:t>直接占用区域即项目厂界范围（包含施工期临时占地范围）所在区域</w:t>
            </w:r>
            <w:r w:rsidR="00846A16" w:rsidRPr="008A2411">
              <w:rPr>
                <w:rFonts w:ascii="Times New Roman" w:hint="eastAsia"/>
                <w:color w:val="000000" w:themeColor="text1"/>
                <w:sz w:val="21"/>
                <w:szCs w:val="21"/>
              </w:rPr>
              <w:t>以</w:t>
            </w:r>
            <w:r w:rsidR="00846A16" w:rsidRPr="008A2411">
              <w:rPr>
                <w:rFonts w:ascii="Times New Roman"/>
                <w:color w:val="000000" w:themeColor="text1"/>
                <w:sz w:val="21"/>
                <w:szCs w:val="21"/>
              </w:rPr>
              <w:t>及污染物排放产生的间接生态影响区域</w:t>
            </w:r>
          </w:p>
        </w:tc>
        <w:tc>
          <w:tcPr>
            <w:tcW w:w="702" w:type="pct"/>
            <w:tcBorders>
              <w:top w:val="single" w:sz="2" w:space="0" w:color="000000" w:themeColor="text1"/>
              <w:left w:val="single" w:sz="2" w:space="0" w:color="000000" w:themeColor="text1"/>
              <w:right w:val="single" w:sz="2" w:space="0" w:color="000000" w:themeColor="text1"/>
            </w:tcBorders>
            <w:vAlign w:val="center"/>
          </w:tcPr>
          <w:p w14:paraId="19C8DF2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林木、农田等</w:t>
            </w:r>
          </w:p>
        </w:tc>
        <w:tc>
          <w:tcPr>
            <w:tcW w:w="1864" w:type="pct"/>
            <w:gridSpan w:val="3"/>
            <w:tcBorders>
              <w:top w:val="single" w:sz="2" w:space="0" w:color="000000" w:themeColor="text1"/>
              <w:left w:val="single" w:sz="2" w:space="0" w:color="000000" w:themeColor="text1"/>
            </w:tcBorders>
            <w:vAlign w:val="center"/>
          </w:tcPr>
          <w:p w14:paraId="4A2497FB" w14:textId="77777777" w:rsidR="00B0005F" w:rsidRPr="008A2411" w:rsidRDefault="00000000">
            <w:pPr>
              <w:spacing w:line="340" w:lineRule="exact"/>
              <w:jc w:val="center"/>
              <w:rPr>
                <w:rFonts w:ascii="Times New Roman"/>
                <w:color w:val="000000" w:themeColor="text1"/>
                <w:sz w:val="21"/>
                <w:szCs w:val="21"/>
              </w:rPr>
            </w:pPr>
            <w:r w:rsidRPr="008A2411">
              <w:rPr>
                <w:rFonts w:ascii="Times New Roman"/>
                <w:bCs/>
                <w:color w:val="000000" w:themeColor="text1"/>
                <w:sz w:val="21"/>
                <w:szCs w:val="21"/>
              </w:rPr>
              <w:t>满足当地生态环境功能区划的要求</w:t>
            </w:r>
          </w:p>
        </w:tc>
      </w:tr>
    </w:tbl>
    <w:p w14:paraId="5C42AD5C" w14:textId="77777777" w:rsidR="00B0005F" w:rsidRPr="008A2411" w:rsidRDefault="00B0005F">
      <w:pPr>
        <w:keepNext/>
        <w:keepLines/>
        <w:spacing w:line="360" w:lineRule="auto"/>
        <w:rPr>
          <w:rFonts w:ascii="Times New Roman"/>
          <w:color w:val="000000" w:themeColor="text1"/>
          <w:szCs w:val="24"/>
        </w:rPr>
      </w:pPr>
      <w:bookmarkStart w:id="116" w:name="_Toc490832257"/>
      <w:bookmarkStart w:id="117" w:name="_Toc19108236"/>
      <w:bookmarkStart w:id="118" w:name="_Toc501057862"/>
    </w:p>
    <w:p w14:paraId="05019165" w14:textId="77777777" w:rsidR="00B0005F" w:rsidRPr="008A2411" w:rsidRDefault="00000000">
      <w:pPr>
        <w:pStyle w:val="2"/>
        <w:spacing w:before="0" w:after="0" w:line="360" w:lineRule="auto"/>
        <w:rPr>
          <w:rFonts w:ascii="Times New Roman" w:eastAsia="宋体"/>
          <w:color w:val="000000" w:themeColor="text1"/>
          <w:sz w:val="24"/>
          <w:szCs w:val="24"/>
        </w:rPr>
      </w:pPr>
      <w:bookmarkStart w:id="119" w:name="_Toc109170748"/>
      <w:r w:rsidRPr="008A2411">
        <w:rPr>
          <w:rFonts w:ascii="Times New Roman" w:eastAsia="宋体"/>
          <w:color w:val="000000" w:themeColor="text1"/>
          <w:sz w:val="24"/>
          <w:szCs w:val="24"/>
        </w:rPr>
        <w:t xml:space="preserve">2.9 </w:t>
      </w:r>
      <w:r w:rsidRPr="008A2411">
        <w:rPr>
          <w:rFonts w:ascii="Times New Roman" w:eastAsia="宋体"/>
          <w:color w:val="000000" w:themeColor="text1"/>
          <w:sz w:val="24"/>
          <w:szCs w:val="24"/>
        </w:rPr>
        <w:t>评价工作内容及评价重点</w:t>
      </w:r>
      <w:bookmarkEnd w:id="116"/>
      <w:bookmarkEnd w:id="117"/>
      <w:bookmarkEnd w:id="118"/>
      <w:bookmarkEnd w:id="119"/>
    </w:p>
    <w:p w14:paraId="2833838B" w14:textId="77777777" w:rsidR="00B0005F" w:rsidRPr="008A2411" w:rsidRDefault="00000000">
      <w:pPr>
        <w:pStyle w:val="aa"/>
        <w:spacing w:line="360" w:lineRule="auto"/>
        <w:ind w:firstLine="482"/>
        <w:outlineLvl w:val="2"/>
        <w:rPr>
          <w:rFonts w:ascii="Times New Roman"/>
          <w:b/>
          <w:color w:val="000000" w:themeColor="text1"/>
        </w:rPr>
      </w:pPr>
      <w:r w:rsidRPr="008A2411">
        <w:rPr>
          <w:rFonts w:ascii="Times New Roman"/>
          <w:b/>
          <w:color w:val="000000" w:themeColor="text1"/>
        </w:rPr>
        <w:t xml:space="preserve">2.9.1 </w:t>
      </w:r>
      <w:r w:rsidRPr="008A2411">
        <w:rPr>
          <w:rFonts w:ascii="Times New Roman"/>
          <w:b/>
          <w:color w:val="000000" w:themeColor="text1"/>
        </w:rPr>
        <w:t>评价工作内容</w:t>
      </w:r>
    </w:p>
    <w:p w14:paraId="5B4A39A5" w14:textId="77777777" w:rsidR="00B0005F" w:rsidRPr="008A2411" w:rsidRDefault="00000000">
      <w:pPr>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1</w:t>
      </w:r>
      <w:r w:rsidRPr="008A2411">
        <w:rPr>
          <w:rFonts w:ascii="Times New Roman"/>
          <w:color w:val="000000" w:themeColor="text1"/>
        </w:rPr>
        <w:t>）评价项目建设是否符合国家</w:t>
      </w:r>
      <w:proofErr w:type="gramStart"/>
      <w:r w:rsidRPr="008A2411">
        <w:rPr>
          <w:rFonts w:ascii="Times New Roman"/>
          <w:color w:val="000000" w:themeColor="text1"/>
        </w:rPr>
        <w:t>现行产业</w:t>
      </w:r>
      <w:proofErr w:type="gramEnd"/>
      <w:r w:rsidRPr="008A2411">
        <w:rPr>
          <w:rFonts w:ascii="Times New Roman"/>
          <w:color w:val="000000" w:themeColor="text1"/>
        </w:rPr>
        <w:t>政策，对项目选址合理性进行分析。</w:t>
      </w:r>
    </w:p>
    <w:p w14:paraId="49925A17" w14:textId="77777777" w:rsidR="00B0005F" w:rsidRPr="008A2411" w:rsidRDefault="00000000">
      <w:pPr>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2</w:t>
      </w:r>
      <w:r w:rsidRPr="008A2411">
        <w:rPr>
          <w:rFonts w:ascii="Times New Roman"/>
          <w:color w:val="000000" w:themeColor="text1"/>
        </w:rPr>
        <w:t>）从环境保护的角度出发，分析本项目总平面布置合理性。</w:t>
      </w:r>
    </w:p>
    <w:p w14:paraId="0E96F475" w14:textId="77777777" w:rsidR="00B0005F" w:rsidRPr="008A2411" w:rsidRDefault="00000000">
      <w:pPr>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3</w:t>
      </w:r>
      <w:r w:rsidRPr="008A2411">
        <w:rPr>
          <w:rFonts w:ascii="Times New Roman"/>
          <w:color w:val="000000" w:themeColor="text1"/>
        </w:rPr>
        <w:t>）对施工期、营运期进行全面工程分析，找出污染源、污染因子，核算污染源强和污染物排放总量。</w:t>
      </w:r>
    </w:p>
    <w:p w14:paraId="502CE6A6" w14:textId="77777777" w:rsidR="00B0005F" w:rsidRPr="008A2411" w:rsidRDefault="00000000">
      <w:pPr>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4</w:t>
      </w:r>
      <w:r w:rsidRPr="008A2411">
        <w:rPr>
          <w:rFonts w:ascii="Times New Roman"/>
          <w:color w:val="000000" w:themeColor="text1"/>
        </w:rPr>
        <w:t>）对项目所在区域环境质量现状进行评价，分析是否满足环境质量标准</w:t>
      </w:r>
      <w:r w:rsidRPr="008A2411">
        <w:rPr>
          <w:rFonts w:ascii="Times New Roman"/>
          <w:color w:val="000000" w:themeColor="text1"/>
        </w:rPr>
        <w:lastRenderedPageBreak/>
        <w:t>的要求。</w:t>
      </w:r>
    </w:p>
    <w:p w14:paraId="65994658" w14:textId="77777777" w:rsidR="00B0005F" w:rsidRPr="008A2411" w:rsidRDefault="00000000">
      <w:pPr>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5</w:t>
      </w:r>
      <w:r w:rsidRPr="008A2411">
        <w:rPr>
          <w:rFonts w:ascii="Times New Roman"/>
          <w:color w:val="000000" w:themeColor="text1"/>
        </w:rPr>
        <w:t>）对施工期、营运期的环境影响进行分析，并提出相应的环境保护措施。</w:t>
      </w:r>
    </w:p>
    <w:p w14:paraId="442C8838" w14:textId="77777777" w:rsidR="00B0005F" w:rsidRPr="008A2411" w:rsidRDefault="00000000">
      <w:pPr>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6</w:t>
      </w:r>
      <w:r w:rsidRPr="008A2411">
        <w:rPr>
          <w:rFonts w:ascii="Times New Roman"/>
          <w:color w:val="000000" w:themeColor="text1"/>
        </w:rPr>
        <w:t>）对本项目拟采取的污染治理措施进行经济技术论证，提出针对性的污染控制措施及建议。</w:t>
      </w:r>
    </w:p>
    <w:p w14:paraId="7B72958C" w14:textId="77777777" w:rsidR="00B0005F" w:rsidRPr="008A2411" w:rsidRDefault="00000000">
      <w:pPr>
        <w:pStyle w:val="aa"/>
        <w:spacing w:line="360" w:lineRule="auto"/>
        <w:ind w:firstLine="482"/>
        <w:outlineLvl w:val="2"/>
        <w:rPr>
          <w:rFonts w:ascii="Times New Roman"/>
          <w:b/>
          <w:color w:val="000000" w:themeColor="text1"/>
        </w:rPr>
      </w:pPr>
      <w:bookmarkStart w:id="120" w:name="_Toc31023"/>
      <w:bookmarkStart w:id="121" w:name="_Toc412638119"/>
      <w:r w:rsidRPr="008A2411">
        <w:rPr>
          <w:rFonts w:ascii="Times New Roman"/>
          <w:b/>
          <w:color w:val="000000" w:themeColor="text1"/>
        </w:rPr>
        <w:t>2.9.2</w:t>
      </w:r>
      <w:r w:rsidRPr="008A2411">
        <w:rPr>
          <w:rFonts w:ascii="Times New Roman"/>
          <w:b/>
          <w:color w:val="000000" w:themeColor="text1"/>
        </w:rPr>
        <w:t>评价重点</w:t>
      </w:r>
      <w:bookmarkEnd w:id="120"/>
      <w:bookmarkEnd w:id="121"/>
    </w:p>
    <w:p w14:paraId="75E00774" w14:textId="77777777" w:rsidR="00B0005F" w:rsidRPr="008A2411" w:rsidRDefault="00000000">
      <w:pPr>
        <w:spacing w:line="360" w:lineRule="auto"/>
        <w:ind w:firstLine="480"/>
        <w:rPr>
          <w:rFonts w:ascii="Times New Roman"/>
          <w:color w:val="000000" w:themeColor="text1"/>
        </w:rPr>
      </w:pPr>
      <w:r w:rsidRPr="008A2411">
        <w:rPr>
          <w:rFonts w:ascii="Times New Roman"/>
          <w:color w:val="000000" w:themeColor="text1"/>
        </w:rPr>
        <w:t>根据本项目的特点，本次评价重点为：</w:t>
      </w:r>
    </w:p>
    <w:p w14:paraId="2E8AE70D" w14:textId="77777777" w:rsidR="00B0005F" w:rsidRPr="008A2411" w:rsidRDefault="00000000">
      <w:pPr>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1</w:t>
      </w:r>
      <w:r w:rsidRPr="008A2411">
        <w:rPr>
          <w:rFonts w:ascii="Times New Roman"/>
          <w:color w:val="000000" w:themeColor="text1"/>
        </w:rPr>
        <w:t>）项目施工期扬尘及噪声的环境影响分析及对策。</w:t>
      </w:r>
    </w:p>
    <w:p w14:paraId="21CEA595" w14:textId="77777777" w:rsidR="00B0005F" w:rsidRPr="008A2411" w:rsidRDefault="00000000">
      <w:pPr>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2</w:t>
      </w:r>
      <w:r w:rsidRPr="008A2411">
        <w:rPr>
          <w:rFonts w:ascii="Times New Roman"/>
          <w:color w:val="000000" w:themeColor="text1"/>
        </w:rPr>
        <w:t>）营运期废气、废水的环境影响分析及对策；污染物对区域地下水的环境影响分析及对策。</w:t>
      </w:r>
    </w:p>
    <w:p w14:paraId="0FB30007" w14:textId="77777777" w:rsidR="00B0005F" w:rsidRPr="008A2411" w:rsidRDefault="00000000">
      <w:pPr>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3</w:t>
      </w:r>
      <w:r w:rsidRPr="008A2411">
        <w:rPr>
          <w:rFonts w:ascii="Times New Roman"/>
          <w:color w:val="000000" w:themeColor="text1"/>
        </w:rPr>
        <w:t>）项目规划符合性、总平面布置合理性。</w:t>
      </w:r>
    </w:p>
    <w:p w14:paraId="6114B72D" w14:textId="77777777" w:rsidR="00B0005F" w:rsidRPr="008A2411" w:rsidRDefault="00000000">
      <w:pPr>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4</w:t>
      </w:r>
      <w:r w:rsidRPr="008A2411">
        <w:rPr>
          <w:rFonts w:ascii="Times New Roman"/>
          <w:color w:val="000000" w:themeColor="text1"/>
        </w:rPr>
        <w:t>）环境风险评价。</w:t>
      </w:r>
    </w:p>
    <w:p w14:paraId="72C420BF" w14:textId="77777777" w:rsidR="00B0005F" w:rsidRPr="008A2411" w:rsidRDefault="00000000">
      <w:pPr>
        <w:pStyle w:val="2"/>
        <w:spacing w:before="0" w:after="0" w:line="360" w:lineRule="auto"/>
        <w:rPr>
          <w:rFonts w:ascii="Times New Roman" w:eastAsia="宋体"/>
          <w:color w:val="000000" w:themeColor="text1"/>
          <w:sz w:val="24"/>
          <w:szCs w:val="24"/>
        </w:rPr>
      </w:pPr>
      <w:bookmarkStart w:id="122" w:name="_Toc19108237"/>
      <w:bookmarkStart w:id="123" w:name="_Toc109170749"/>
      <w:r w:rsidRPr="008A2411">
        <w:rPr>
          <w:rFonts w:ascii="Times New Roman" w:eastAsia="宋体"/>
          <w:color w:val="000000" w:themeColor="text1"/>
          <w:sz w:val="24"/>
          <w:szCs w:val="24"/>
        </w:rPr>
        <w:t xml:space="preserve">2.10 </w:t>
      </w:r>
      <w:r w:rsidRPr="008A2411">
        <w:rPr>
          <w:rFonts w:ascii="Times New Roman" w:eastAsia="宋体"/>
          <w:color w:val="000000" w:themeColor="text1"/>
          <w:sz w:val="24"/>
          <w:szCs w:val="24"/>
        </w:rPr>
        <w:t>评价程序</w:t>
      </w:r>
      <w:bookmarkEnd w:id="122"/>
      <w:bookmarkEnd w:id="123"/>
    </w:p>
    <w:p w14:paraId="692932B3" w14:textId="77777777" w:rsidR="00B0005F" w:rsidRPr="008A2411" w:rsidRDefault="00000000">
      <w:pPr>
        <w:spacing w:line="360" w:lineRule="auto"/>
        <w:ind w:firstLine="480"/>
        <w:rPr>
          <w:rFonts w:ascii="Times New Roman"/>
          <w:color w:val="000000" w:themeColor="text1"/>
        </w:rPr>
      </w:pPr>
      <w:proofErr w:type="gramStart"/>
      <w:r w:rsidRPr="008A2411">
        <w:rPr>
          <w:rFonts w:ascii="Times New Roman"/>
          <w:color w:val="000000" w:themeColor="text1"/>
        </w:rPr>
        <w:t>本评价</w:t>
      </w:r>
      <w:proofErr w:type="gramEnd"/>
      <w:r w:rsidRPr="008A2411">
        <w:rPr>
          <w:rFonts w:ascii="Times New Roman"/>
          <w:color w:val="000000" w:themeColor="text1"/>
        </w:rPr>
        <w:t>工作程序主要分为以下三个部分：</w:t>
      </w:r>
      <w:r w:rsidRPr="008A2411">
        <w:rPr>
          <w:rFonts w:ascii="Times New Roman"/>
          <w:color w:val="000000" w:themeColor="text1"/>
        </w:rPr>
        <w:t>①</w:t>
      </w:r>
      <w:r w:rsidRPr="008A2411">
        <w:rPr>
          <w:rFonts w:ascii="Times New Roman"/>
          <w:color w:val="000000" w:themeColor="text1"/>
        </w:rPr>
        <w:t>现场踏勘、资料收集；</w:t>
      </w:r>
      <w:r w:rsidRPr="008A2411">
        <w:rPr>
          <w:rFonts w:ascii="Times New Roman"/>
          <w:color w:val="000000" w:themeColor="text1"/>
        </w:rPr>
        <w:t>②</w:t>
      </w:r>
      <w:r w:rsidRPr="008A2411">
        <w:rPr>
          <w:rFonts w:ascii="Times New Roman"/>
          <w:color w:val="000000" w:themeColor="text1"/>
        </w:rPr>
        <w:t>现状监测、资料收集整理及计算；</w:t>
      </w:r>
      <w:r w:rsidRPr="008A2411">
        <w:rPr>
          <w:rFonts w:ascii="Times New Roman"/>
          <w:color w:val="000000" w:themeColor="text1"/>
        </w:rPr>
        <w:t>③</w:t>
      </w:r>
      <w:r w:rsidRPr="008A2411">
        <w:rPr>
          <w:rFonts w:ascii="Times New Roman"/>
          <w:color w:val="000000" w:themeColor="text1"/>
        </w:rPr>
        <w:t>环境影响报告书编制。</w:t>
      </w:r>
    </w:p>
    <w:p w14:paraId="6C8AEBD8" w14:textId="77777777" w:rsidR="00B0005F" w:rsidRPr="008A2411" w:rsidRDefault="00000000">
      <w:pPr>
        <w:pStyle w:val="2"/>
        <w:spacing w:before="0" w:after="0" w:line="360" w:lineRule="auto"/>
        <w:rPr>
          <w:rFonts w:ascii="Times New Roman" w:eastAsia="宋体"/>
          <w:color w:val="000000" w:themeColor="text1"/>
          <w:sz w:val="24"/>
        </w:rPr>
      </w:pPr>
      <w:bookmarkStart w:id="124" w:name="_Toc19108238"/>
      <w:bookmarkStart w:id="125" w:name="_Toc109170750"/>
      <w:r w:rsidRPr="008A2411">
        <w:rPr>
          <w:rFonts w:ascii="Times New Roman" w:eastAsia="宋体"/>
          <w:color w:val="000000" w:themeColor="text1"/>
          <w:sz w:val="24"/>
        </w:rPr>
        <w:t xml:space="preserve">2.11 </w:t>
      </w:r>
      <w:r w:rsidRPr="008A2411">
        <w:rPr>
          <w:rFonts w:ascii="Times New Roman" w:eastAsia="宋体"/>
          <w:color w:val="000000" w:themeColor="text1"/>
          <w:sz w:val="24"/>
        </w:rPr>
        <w:t>小结</w:t>
      </w:r>
      <w:bookmarkEnd w:id="124"/>
      <w:bookmarkEnd w:id="125"/>
    </w:p>
    <w:p w14:paraId="079CED9E" w14:textId="77777777" w:rsidR="00B0005F" w:rsidRPr="008A2411" w:rsidRDefault="00000000">
      <w:pPr>
        <w:spacing w:line="360" w:lineRule="auto"/>
        <w:ind w:firstLine="480"/>
        <w:rPr>
          <w:rFonts w:ascii="Times New Roman"/>
          <w:color w:val="000000" w:themeColor="text1"/>
          <w:kern w:val="2"/>
          <w:szCs w:val="24"/>
        </w:rPr>
        <w:sectPr w:rsidR="00B0005F" w:rsidRPr="008A2411">
          <w:headerReference w:type="default" r:id="rId24"/>
          <w:footerReference w:type="default" r:id="rId25"/>
          <w:pgSz w:w="11906" w:h="16838"/>
          <w:pgMar w:top="1440" w:right="1800" w:bottom="1440" w:left="1800" w:header="851" w:footer="851" w:gutter="0"/>
          <w:pgNumType w:start="1" w:chapStyle="1"/>
          <w:cols w:space="720"/>
          <w:docGrid w:linePitch="312"/>
        </w:sectPr>
      </w:pPr>
      <w:r w:rsidRPr="008A2411">
        <w:rPr>
          <w:rFonts w:ascii="Times New Roman"/>
          <w:color w:val="000000" w:themeColor="text1"/>
        </w:rPr>
        <w:t>经查阅国家发展和改革委员会</w:t>
      </w:r>
      <w:r w:rsidRPr="008A2411">
        <w:rPr>
          <w:rFonts w:ascii="Times New Roman"/>
          <w:color w:val="000000" w:themeColor="text1"/>
        </w:rPr>
        <w:t>2019</w:t>
      </w:r>
      <w:r w:rsidRPr="008A2411">
        <w:rPr>
          <w:rFonts w:ascii="Times New Roman"/>
          <w:color w:val="000000" w:themeColor="text1"/>
        </w:rPr>
        <w:t>年第</w:t>
      </w:r>
      <w:r w:rsidRPr="008A2411">
        <w:rPr>
          <w:rFonts w:ascii="Times New Roman"/>
          <w:color w:val="000000" w:themeColor="text1"/>
        </w:rPr>
        <w:t>29</w:t>
      </w:r>
      <w:r w:rsidRPr="008A2411">
        <w:rPr>
          <w:rFonts w:ascii="Times New Roman"/>
          <w:color w:val="000000" w:themeColor="text1"/>
        </w:rPr>
        <w:t>号《产业结构调整指导目录》（</w:t>
      </w:r>
      <w:r w:rsidRPr="008A2411">
        <w:rPr>
          <w:rFonts w:ascii="Times New Roman"/>
          <w:color w:val="000000" w:themeColor="text1"/>
        </w:rPr>
        <w:t>2021</w:t>
      </w:r>
      <w:r w:rsidRPr="008A2411">
        <w:rPr>
          <w:rFonts w:ascii="Times New Roman"/>
          <w:color w:val="000000" w:themeColor="text1"/>
        </w:rPr>
        <w:t>年修订），本项目属于第七类</w:t>
      </w:r>
      <w:r w:rsidRPr="008A2411">
        <w:rPr>
          <w:rFonts w:ascii="Times New Roman" w:hint="eastAsia"/>
          <w:color w:val="000000" w:themeColor="text1"/>
        </w:rPr>
        <w:t>“</w:t>
      </w:r>
      <w:r w:rsidRPr="008A2411">
        <w:rPr>
          <w:rFonts w:ascii="Times New Roman"/>
          <w:color w:val="000000" w:themeColor="text1"/>
        </w:rPr>
        <w:t>鼓励类</w:t>
      </w:r>
      <w:r w:rsidRPr="008A2411">
        <w:rPr>
          <w:rFonts w:ascii="Times New Roman" w:hint="eastAsia"/>
          <w:color w:val="000000" w:themeColor="text1"/>
        </w:rPr>
        <w:t>”</w:t>
      </w:r>
      <w:r w:rsidRPr="008A2411">
        <w:rPr>
          <w:rFonts w:ascii="Times New Roman"/>
          <w:color w:val="000000" w:themeColor="text1"/>
        </w:rPr>
        <w:t>中第一条</w:t>
      </w:r>
      <w:r w:rsidRPr="008A2411">
        <w:rPr>
          <w:rFonts w:ascii="Times New Roman" w:hint="eastAsia"/>
          <w:color w:val="000000" w:themeColor="text1"/>
        </w:rPr>
        <w:t>“</w:t>
      </w:r>
      <w:r w:rsidRPr="008A2411">
        <w:rPr>
          <w:rFonts w:ascii="Times New Roman"/>
          <w:color w:val="000000" w:themeColor="text1"/>
        </w:rPr>
        <w:t>石油、天然气</w:t>
      </w:r>
      <w:r w:rsidRPr="008A2411">
        <w:rPr>
          <w:rFonts w:ascii="Times New Roman" w:hint="eastAsia"/>
          <w:color w:val="000000" w:themeColor="text1"/>
        </w:rPr>
        <w:t>”</w:t>
      </w:r>
      <w:r w:rsidRPr="008A2411">
        <w:rPr>
          <w:rFonts w:ascii="Times New Roman"/>
          <w:color w:val="000000" w:themeColor="text1"/>
        </w:rPr>
        <w:t>的第</w:t>
      </w:r>
      <w:r w:rsidRPr="008A2411">
        <w:rPr>
          <w:rFonts w:ascii="Times New Roman"/>
          <w:color w:val="000000" w:themeColor="text1"/>
        </w:rPr>
        <w:t>9</w:t>
      </w:r>
      <w:r w:rsidRPr="008A2411">
        <w:rPr>
          <w:rFonts w:ascii="Times New Roman"/>
          <w:color w:val="000000" w:themeColor="text1"/>
        </w:rPr>
        <w:t>款</w:t>
      </w:r>
      <w:r w:rsidRPr="008A2411">
        <w:rPr>
          <w:rFonts w:ascii="Times New Roman" w:hint="eastAsia"/>
          <w:color w:val="000000" w:themeColor="text1"/>
        </w:rPr>
        <w:t>“</w:t>
      </w:r>
      <w:r w:rsidRPr="008A2411">
        <w:rPr>
          <w:rFonts w:ascii="Times New Roman"/>
          <w:color w:val="000000" w:themeColor="text1"/>
        </w:rPr>
        <w:t>液化天然气技术、装备开发与应用</w:t>
      </w:r>
      <w:r w:rsidRPr="008A2411">
        <w:rPr>
          <w:rFonts w:ascii="Times New Roman" w:hint="eastAsia"/>
          <w:color w:val="000000" w:themeColor="text1"/>
        </w:rPr>
        <w:t>”</w:t>
      </w:r>
      <w:r w:rsidRPr="008A2411">
        <w:rPr>
          <w:rFonts w:ascii="Times New Roman"/>
          <w:color w:val="000000" w:themeColor="text1"/>
        </w:rPr>
        <w:t>，为鼓励类项目，符合国家当前产业政策规定。</w:t>
      </w:r>
      <w:r w:rsidRPr="008A2411">
        <w:rPr>
          <w:rFonts w:ascii="Times New Roman"/>
          <w:color w:val="000000" w:themeColor="text1"/>
          <w:kern w:val="2"/>
          <w:szCs w:val="24"/>
        </w:rPr>
        <w:t>经分析，本项目大气环境环境影响评价工作等级为二级；地表水评价的工作等级为三级</w:t>
      </w:r>
      <w:r w:rsidRPr="008A2411">
        <w:rPr>
          <w:rFonts w:ascii="Times New Roman"/>
          <w:color w:val="000000" w:themeColor="text1"/>
          <w:kern w:val="2"/>
          <w:szCs w:val="24"/>
        </w:rPr>
        <w:t>B</w:t>
      </w:r>
      <w:r w:rsidRPr="008A2411">
        <w:rPr>
          <w:rFonts w:ascii="Times New Roman"/>
          <w:color w:val="000000" w:themeColor="text1"/>
          <w:kern w:val="2"/>
          <w:szCs w:val="24"/>
        </w:rPr>
        <w:t>；声环境影响评价的工作等级为三级；地下水评价工作等级为二级评价；项目生态评价等级为三级；环境风险评价工作为一级；土壤评价工作等级为二级。</w:t>
      </w:r>
    </w:p>
    <w:p w14:paraId="2A5477ED" w14:textId="77777777" w:rsidR="00B0005F" w:rsidRPr="008A2411" w:rsidRDefault="00000000">
      <w:pPr>
        <w:pStyle w:val="11"/>
        <w:numPr>
          <w:ilvl w:val="0"/>
          <w:numId w:val="0"/>
        </w:numPr>
        <w:snapToGrid w:val="0"/>
        <w:spacing w:before="0" w:afterLines="0" w:after="0" w:line="360" w:lineRule="auto"/>
        <w:jc w:val="center"/>
        <w:rPr>
          <w:rFonts w:ascii="Times New Roman" w:eastAsia="宋体"/>
          <w:color w:val="000000" w:themeColor="text1"/>
        </w:rPr>
      </w:pPr>
      <w:bookmarkStart w:id="126" w:name="_Toc109170751"/>
      <w:bookmarkStart w:id="127" w:name="_Toc244950283"/>
      <w:bookmarkStart w:id="128" w:name="_Toc422906826"/>
      <w:bookmarkStart w:id="129" w:name="_Toc242712900"/>
      <w:bookmarkStart w:id="130" w:name="_Toc451355373"/>
      <w:bookmarkStart w:id="131" w:name="_Toc356569245"/>
      <w:bookmarkStart w:id="132" w:name="_Toc405905282"/>
      <w:bookmarkStart w:id="133" w:name="_Toc405904811"/>
      <w:bookmarkStart w:id="134" w:name="_Toc405214226"/>
      <w:bookmarkStart w:id="135" w:name="_Toc405904467"/>
      <w:bookmarkStart w:id="136" w:name="_Toc242713635"/>
      <w:bookmarkStart w:id="137" w:name="_Toc242712710"/>
      <w:r w:rsidRPr="008A2411">
        <w:rPr>
          <w:rFonts w:ascii="Times New Roman" w:eastAsia="宋体"/>
          <w:color w:val="000000" w:themeColor="text1"/>
        </w:rPr>
        <w:lastRenderedPageBreak/>
        <w:t>第三章</w:t>
      </w:r>
      <w:r w:rsidRPr="008A2411">
        <w:rPr>
          <w:rFonts w:ascii="Times New Roman" w:eastAsia="宋体"/>
          <w:color w:val="000000" w:themeColor="text1"/>
        </w:rPr>
        <w:t xml:space="preserve"> </w:t>
      </w:r>
      <w:r w:rsidRPr="008A2411">
        <w:rPr>
          <w:rFonts w:ascii="Times New Roman" w:eastAsia="宋体"/>
          <w:color w:val="000000" w:themeColor="text1"/>
        </w:rPr>
        <w:t>工程分析</w:t>
      </w:r>
      <w:bookmarkEnd w:id="126"/>
    </w:p>
    <w:p w14:paraId="05899B6A" w14:textId="77777777" w:rsidR="00B0005F" w:rsidRPr="008A2411" w:rsidRDefault="00000000">
      <w:pPr>
        <w:pStyle w:val="WJ2"/>
        <w:snapToGrid/>
        <w:spacing w:line="360" w:lineRule="auto"/>
        <w:rPr>
          <w:rFonts w:ascii="Times New Roman" w:hAnsi="Times New Roman"/>
          <w:color w:val="000000" w:themeColor="text1"/>
        </w:rPr>
      </w:pPr>
      <w:bookmarkStart w:id="138" w:name="_Toc469779359"/>
      <w:bookmarkStart w:id="139" w:name="_Toc469780818"/>
      <w:bookmarkStart w:id="140" w:name="_Toc469779192"/>
      <w:bookmarkStart w:id="141" w:name="_Toc109170752"/>
      <w:bookmarkEnd w:id="138"/>
      <w:bookmarkEnd w:id="139"/>
      <w:bookmarkEnd w:id="140"/>
      <w:r w:rsidRPr="008A2411">
        <w:rPr>
          <w:rFonts w:ascii="Times New Roman" w:hAnsi="Times New Roman"/>
          <w:color w:val="000000" w:themeColor="text1"/>
        </w:rPr>
        <w:t>3.1</w:t>
      </w:r>
      <w:r w:rsidRPr="008A2411">
        <w:rPr>
          <w:rFonts w:ascii="Times New Roman" w:hAnsi="Times New Roman"/>
          <w:color w:val="000000" w:themeColor="text1"/>
        </w:rPr>
        <w:t>项目概况</w:t>
      </w:r>
      <w:bookmarkEnd w:id="141"/>
    </w:p>
    <w:p w14:paraId="0B1BDC98" w14:textId="77777777" w:rsidR="00B0005F" w:rsidRPr="008A2411" w:rsidRDefault="00000000">
      <w:pPr>
        <w:pStyle w:val="WJ2"/>
        <w:snapToGrid/>
        <w:spacing w:line="360" w:lineRule="auto"/>
        <w:outlineLvl w:val="3"/>
        <w:rPr>
          <w:rFonts w:ascii="Times New Roman" w:hAnsi="Times New Roman"/>
          <w:color w:val="000000" w:themeColor="text1"/>
          <w:sz w:val="24"/>
          <w:szCs w:val="24"/>
        </w:rPr>
      </w:pPr>
      <w:bookmarkStart w:id="142" w:name="_Toc108365923"/>
      <w:bookmarkStart w:id="143" w:name="_Toc14872"/>
      <w:bookmarkStart w:id="144" w:name="_Toc5205"/>
      <w:bookmarkStart w:id="145" w:name="_Toc25184"/>
      <w:bookmarkStart w:id="146" w:name="_Toc5929"/>
      <w:bookmarkStart w:id="147" w:name="_Toc25524"/>
      <w:bookmarkStart w:id="148" w:name="_Toc109170753"/>
      <w:bookmarkEnd w:id="127"/>
      <w:bookmarkEnd w:id="128"/>
      <w:bookmarkEnd w:id="129"/>
      <w:bookmarkEnd w:id="130"/>
      <w:bookmarkEnd w:id="131"/>
      <w:bookmarkEnd w:id="132"/>
      <w:bookmarkEnd w:id="133"/>
      <w:bookmarkEnd w:id="134"/>
      <w:bookmarkEnd w:id="135"/>
      <w:bookmarkEnd w:id="136"/>
      <w:bookmarkEnd w:id="137"/>
      <w:r w:rsidRPr="008A2411">
        <w:rPr>
          <w:rFonts w:ascii="Times New Roman" w:hAnsi="Times New Roman"/>
          <w:color w:val="000000" w:themeColor="text1"/>
          <w:sz w:val="24"/>
          <w:szCs w:val="24"/>
        </w:rPr>
        <w:t>3.1.1</w:t>
      </w:r>
      <w:r w:rsidRPr="008A2411">
        <w:rPr>
          <w:rFonts w:ascii="Times New Roman" w:hAnsi="Times New Roman"/>
          <w:color w:val="000000" w:themeColor="text1"/>
          <w:sz w:val="24"/>
          <w:szCs w:val="24"/>
        </w:rPr>
        <w:t>项目名称、地点及建设性质</w:t>
      </w:r>
      <w:bookmarkEnd w:id="142"/>
      <w:bookmarkEnd w:id="143"/>
      <w:bookmarkEnd w:id="144"/>
      <w:bookmarkEnd w:id="145"/>
      <w:bookmarkEnd w:id="146"/>
      <w:bookmarkEnd w:id="147"/>
      <w:bookmarkEnd w:id="148"/>
    </w:p>
    <w:p w14:paraId="46EA77B4"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1</w:t>
      </w:r>
      <w:r w:rsidRPr="008A2411">
        <w:rPr>
          <w:rFonts w:ascii="Times New Roman" w:hAnsi="Times New Roman"/>
          <w:color w:val="000000" w:themeColor="text1"/>
        </w:rPr>
        <w:t>）项目名称：</w:t>
      </w:r>
      <w:bookmarkStart w:id="149" w:name="OLE_LINK204"/>
      <w:r w:rsidRPr="008A2411">
        <w:rPr>
          <w:rFonts w:ascii="Times New Roman" w:hAnsi="Times New Roman"/>
          <w:color w:val="000000" w:themeColor="text1"/>
        </w:rPr>
        <w:t>天然气综合利用项目（</w:t>
      </w:r>
      <w:r w:rsidRPr="008A2411">
        <w:rPr>
          <w:rFonts w:ascii="Times New Roman" w:hAnsi="Times New Roman"/>
          <w:color w:val="000000" w:themeColor="text1"/>
        </w:rPr>
        <w:t>LNG</w:t>
      </w:r>
      <w:r w:rsidRPr="008A2411">
        <w:rPr>
          <w:rFonts w:ascii="Times New Roman" w:hAnsi="Times New Roman"/>
          <w:color w:val="000000" w:themeColor="text1"/>
        </w:rPr>
        <w:t>）二期；</w:t>
      </w:r>
      <w:bookmarkEnd w:id="149"/>
    </w:p>
    <w:p w14:paraId="2BFF0EFB" w14:textId="77777777" w:rsidR="00B0005F" w:rsidRPr="008A2411" w:rsidRDefault="00000000">
      <w:pPr>
        <w:adjustRightInd w:val="0"/>
        <w:spacing w:line="360" w:lineRule="auto"/>
        <w:ind w:firstLineChars="200"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2</w:t>
      </w:r>
      <w:r w:rsidRPr="008A2411">
        <w:rPr>
          <w:rFonts w:ascii="Times New Roman"/>
          <w:color w:val="000000" w:themeColor="text1"/>
        </w:rPr>
        <w:t>）建设地点：四川达州普光经济开发区普光工业园区，项目地理位置见附图</w:t>
      </w:r>
      <w:r w:rsidRPr="008A2411">
        <w:rPr>
          <w:rFonts w:ascii="Times New Roman"/>
          <w:color w:val="000000" w:themeColor="text1"/>
        </w:rPr>
        <w:t>1</w:t>
      </w:r>
      <w:r w:rsidRPr="008A2411">
        <w:rPr>
          <w:rFonts w:ascii="Times New Roman"/>
          <w:color w:val="000000" w:themeColor="text1"/>
        </w:rPr>
        <w:t>。</w:t>
      </w:r>
    </w:p>
    <w:p w14:paraId="72EE7DCF"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3</w:t>
      </w:r>
      <w:r w:rsidRPr="008A2411">
        <w:rPr>
          <w:rFonts w:ascii="Times New Roman" w:hAnsi="Times New Roman"/>
          <w:color w:val="000000" w:themeColor="text1"/>
        </w:rPr>
        <w:t>）建设单位：宣汉宏</w:t>
      </w:r>
      <w:proofErr w:type="gramStart"/>
      <w:r w:rsidRPr="008A2411">
        <w:rPr>
          <w:rFonts w:ascii="Times New Roman" w:hAnsi="Times New Roman"/>
          <w:color w:val="000000" w:themeColor="text1"/>
        </w:rPr>
        <w:t>浩</w:t>
      </w:r>
      <w:proofErr w:type="gramEnd"/>
      <w:r w:rsidRPr="008A2411">
        <w:rPr>
          <w:rFonts w:ascii="Times New Roman" w:hAnsi="Times New Roman"/>
          <w:color w:val="000000" w:themeColor="text1"/>
        </w:rPr>
        <w:t>能源科技展有限公司</w:t>
      </w:r>
    </w:p>
    <w:p w14:paraId="425D6B1B"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4</w:t>
      </w:r>
      <w:r w:rsidRPr="008A2411">
        <w:rPr>
          <w:rFonts w:ascii="Times New Roman" w:hAnsi="Times New Roman"/>
          <w:color w:val="000000" w:themeColor="text1"/>
        </w:rPr>
        <w:t>）建设性质：新建；</w:t>
      </w:r>
    </w:p>
    <w:p w14:paraId="14E2BCDC"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5</w:t>
      </w:r>
      <w:r w:rsidRPr="008A2411">
        <w:rPr>
          <w:rFonts w:ascii="Times New Roman" w:hAnsi="Times New Roman"/>
          <w:color w:val="000000" w:themeColor="text1"/>
        </w:rPr>
        <w:t>）建设规模：新征用地约</w:t>
      </w:r>
      <w:r w:rsidRPr="008A2411">
        <w:rPr>
          <w:rFonts w:ascii="Times New Roman" w:hAnsi="Times New Roman"/>
          <w:color w:val="000000" w:themeColor="text1"/>
        </w:rPr>
        <w:t>132.02</w:t>
      </w:r>
      <w:r w:rsidRPr="008A2411">
        <w:rPr>
          <w:rFonts w:ascii="Times New Roman" w:hAnsi="Times New Roman"/>
          <w:color w:val="000000" w:themeColor="text1"/>
        </w:rPr>
        <w:t>亩，新建</w:t>
      </w:r>
      <w:r w:rsidRPr="008A2411">
        <w:rPr>
          <w:rFonts w:ascii="Times New Roman" w:hAnsi="Times New Roman"/>
          <w:color w:val="000000" w:themeColor="text1"/>
        </w:rPr>
        <w:t>100</w:t>
      </w:r>
      <w:r w:rsidRPr="008A2411">
        <w:rPr>
          <w:rFonts w:ascii="Times New Roman" w:hAnsi="Times New Roman"/>
          <w:color w:val="000000" w:themeColor="text1"/>
        </w:rPr>
        <w:t>万方</w:t>
      </w:r>
      <w:r w:rsidRPr="008A2411">
        <w:rPr>
          <w:rFonts w:ascii="Times New Roman" w:hAnsi="Times New Roman"/>
          <w:color w:val="000000" w:themeColor="text1"/>
        </w:rPr>
        <w:t>/</w:t>
      </w:r>
      <w:r w:rsidRPr="008A2411">
        <w:rPr>
          <w:rFonts w:ascii="Times New Roman" w:hAnsi="Times New Roman"/>
          <w:color w:val="000000" w:themeColor="text1"/>
        </w:rPr>
        <w:t>天的天然气液化装置一套；一台</w:t>
      </w:r>
      <w:r w:rsidRPr="008A2411">
        <w:rPr>
          <w:rFonts w:ascii="Times New Roman" w:hAnsi="Times New Roman"/>
          <w:color w:val="000000" w:themeColor="text1"/>
        </w:rPr>
        <w:t>20000</w:t>
      </w:r>
      <w:r w:rsidRPr="008A2411">
        <w:rPr>
          <w:rFonts w:ascii="Times New Roman" w:hAnsi="Times New Roman"/>
          <w:color w:val="000000" w:themeColor="text1"/>
        </w:rPr>
        <w:t>立方液化天然气</w:t>
      </w:r>
      <w:proofErr w:type="gramStart"/>
      <w:r w:rsidRPr="008A2411">
        <w:rPr>
          <w:rFonts w:ascii="Times New Roman" w:hAnsi="Times New Roman"/>
          <w:color w:val="000000" w:themeColor="text1"/>
        </w:rPr>
        <w:t>全容罐</w:t>
      </w:r>
      <w:proofErr w:type="gramEnd"/>
      <w:r w:rsidRPr="008A2411">
        <w:rPr>
          <w:rFonts w:ascii="Times New Roman" w:hAnsi="Times New Roman"/>
          <w:color w:val="000000" w:themeColor="text1"/>
        </w:rPr>
        <w:t>；配套的公辅装置（</w:t>
      </w:r>
      <w:r w:rsidRPr="008A2411">
        <w:rPr>
          <w:rFonts w:ascii="Times New Roman" w:hAnsi="Times New Roman"/>
          <w:color w:val="000000" w:themeColor="text1"/>
        </w:rPr>
        <w:t xml:space="preserve">LNG </w:t>
      </w:r>
      <w:r w:rsidRPr="008A2411">
        <w:rPr>
          <w:rFonts w:ascii="Times New Roman" w:hAnsi="Times New Roman"/>
          <w:color w:val="000000" w:themeColor="text1"/>
        </w:rPr>
        <w:t>装车系统、加注区、空压站、软化水装置、循环水设施、联合变电所、控制室、地面火炬等）及安全环保设施；项目建成投产后可实现年产</w:t>
      </w:r>
      <w:r w:rsidRPr="008A2411">
        <w:rPr>
          <w:rFonts w:ascii="Times New Roman" w:hAnsi="Times New Roman"/>
          <w:color w:val="000000" w:themeColor="text1"/>
        </w:rPr>
        <w:t>23</w:t>
      </w:r>
      <w:r w:rsidRPr="008A2411">
        <w:rPr>
          <w:rFonts w:ascii="Times New Roman" w:hAnsi="Times New Roman"/>
          <w:color w:val="000000" w:themeColor="text1"/>
        </w:rPr>
        <w:t>万吨液化天然气产能。</w:t>
      </w:r>
    </w:p>
    <w:p w14:paraId="5973F36D" w14:textId="77777777" w:rsidR="00B0005F" w:rsidRPr="008A2411" w:rsidRDefault="00000000">
      <w:pPr>
        <w:pStyle w:val="WJ"/>
        <w:adjustRightInd w:val="0"/>
        <w:spacing w:line="360" w:lineRule="auto"/>
        <w:rPr>
          <w:rFonts w:ascii="Times New Roman" w:hAnsi="Times New Roman"/>
          <w:color w:val="000000" w:themeColor="text1"/>
        </w:rPr>
      </w:pPr>
      <w:bookmarkStart w:id="150" w:name="_Toc311884391"/>
      <w:r w:rsidRPr="008A2411">
        <w:rPr>
          <w:rFonts w:ascii="Times New Roman" w:hAnsi="Times New Roman"/>
          <w:color w:val="000000" w:themeColor="text1"/>
        </w:rPr>
        <w:t>（</w:t>
      </w:r>
      <w:r w:rsidRPr="008A2411">
        <w:rPr>
          <w:rFonts w:ascii="Times New Roman" w:hAnsi="Times New Roman"/>
          <w:color w:val="000000" w:themeColor="text1"/>
        </w:rPr>
        <w:t>6</w:t>
      </w:r>
      <w:r w:rsidRPr="008A2411">
        <w:rPr>
          <w:rFonts w:ascii="Times New Roman" w:hAnsi="Times New Roman"/>
          <w:color w:val="000000" w:themeColor="text1"/>
        </w:rPr>
        <w:t>）工程投资：总投资</w:t>
      </w:r>
      <w:r w:rsidRPr="008A2411">
        <w:rPr>
          <w:rFonts w:ascii="Times New Roman" w:hAnsi="Times New Roman"/>
          <w:color w:val="000000" w:themeColor="text1"/>
        </w:rPr>
        <w:t>53000</w:t>
      </w:r>
      <w:r w:rsidRPr="008A2411">
        <w:rPr>
          <w:rFonts w:ascii="Times New Roman" w:hAnsi="Times New Roman"/>
          <w:color w:val="000000" w:themeColor="text1"/>
        </w:rPr>
        <w:t>万元，其中环保投资</w:t>
      </w:r>
      <w:r w:rsidRPr="008A2411">
        <w:rPr>
          <w:rFonts w:ascii="Times New Roman" w:hAnsi="Times New Roman" w:hint="eastAsia"/>
          <w:color w:val="000000" w:themeColor="text1"/>
        </w:rPr>
        <w:t>874</w:t>
      </w:r>
      <w:r w:rsidRPr="008A2411">
        <w:rPr>
          <w:rFonts w:ascii="Times New Roman" w:hAnsi="Times New Roman" w:hint="eastAsia"/>
          <w:color w:val="000000" w:themeColor="text1"/>
        </w:rPr>
        <w:t>万元</w:t>
      </w:r>
      <w:r w:rsidRPr="008A2411">
        <w:rPr>
          <w:rFonts w:ascii="Times New Roman" w:hAnsi="Times New Roman"/>
          <w:color w:val="000000" w:themeColor="text1"/>
        </w:rPr>
        <w:t>；</w:t>
      </w:r>
      <w:bookmarkEnd w:id="150"/>
    </w:p>
    <w:p w14:paraId="504E7C95"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7</w:t>
      </w:r>
      <w:r w:rsidRPr="008A2411">
        <w:rPr>
          <w:rFonts w:ascii="Times New Roman" w:hAnsi="Times New Roman"/>
          <w:color w:val="000000" w:themeColor="text1"/>
        </w:rPr>
        <w:t>）占地面积：项目共计占地</w:t>
      </w:r>
      <w:r w:rsidRPr="008A2411">
        <w:rPr>
          <w:rFonts w:ascii="Times New Roman" w:hAnsi="Times New Roman"/>
          <w:snapToGrid w:val="0"/>
          <w:color w:val="000000" w:themeColor="text1"/>
        </w:rPr>
        <w:t>88013.33m</w:t>
      </w:r>
      <w:r w:rsidRPr="008A2411">
        <w:rPr>
          <w:rFonts w:ascii="Times New Roman" w:hAnsi="Times New Roman"/>
          <w:snapToGrid w:val="0"/>
          <w:color w:val="000000" w:themeColor="text1"/>
          <w:vertAlign w:val="superscript"/>
        </w:rPr>
        <w:t>2</w:t>
      </w:r>
      <w:r w:rsidRPr="008A2411">
        <w:rPr>
          <w:rFonts w:ascii="Times New Roman" w:hAnsi="Times New Roman"/>
          <w:color w:val="000000" w:themeColor="text1"/>
        </w:rPr>
        <w:t>。</w:t>
      </w:r>
    </w:p>
    <w:p w14:paraId="6E0E2DC1"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8</w:t>
      </w:r>
      <w:r w:rsidRPr="008A2411">
        <w:rPr>
          <w:rFonts w:ascii="Times New Roman" w:hAnsi="Times New Roman"/>
          <w:color w:val="000000" w:themeColor="text1"/>
        </w:rPr>
        <w:t>）劳动定员及生产制度：本项目定员</w:t>
      </w:r>
      <w:r w:rsidRPr="008A2411">
        <w:rPr>
          <w:rFonts w:ascii="Times New Roman" w:hAnsi="Times New Roman"/>
          <w:color w:val="000000" w:themeColor="text1"/>
        </w:rPr>
        <w:t>67</w:t>
      </w:r>
      <w:r w:rsidRPr="008A2411">
        <w:rPr>
          <w:rFonts w:ascii="Times New Roman" w:hAnsi="Times New Roman"/>
          <w:color w:val="000000" w:themeColor="text1"/>
        </w:rPr>
        <w:t>人，年生产</w:t>
      </w:r>
      <w:r w:rsidRPr="008A2411">
        <w:rPr>
          <w:rFonts w:ascii="Times New Roman" w:hAnsi="Times New Roman"/>
          <w:color w:val="000000" w:themeColor="text1"/>
        </w:rPr>
        <w:t>330</w:t>
      </w:r>
      <w:r w:rsidRPr="008A2411">
        <w:rPr>
          <w:rFonts w:ascii="Times New Roman" w:hAnsi="Times New Roman"/>
          <w:color w:val="000000" w:themeColor="text1"/>
        </w:rPr>
        <w:t>天，四班三倒。</w:t>
      </w:r>
    </w:p>
    <w:p w14:paraId="30FE25D9" w14:textId="77777777" w:rsidR="00B0005F" w:rsidRPr="008A2411" w:rsidRDefault="00000000">
      <w:pPr>
        <w:pStyle w:val="42"/>
        <w:spacing w:before="0" w:after="0" w:line="360" w:lineRule="auto"/>
        <w:rPr>
          <w:rFonts w:ascii="Times New Roman" w:hAnsi="Times New Roman"/>
          <w:b w:val="0"/>
          <w:color w:val="000000" w:themeColor="text1"/>
          <w:kern w:val="0"/>
          <w:sz w:val="24"/>
          <w:szCs w:val="24"/>
          <w:lang w:bidi="en-US"/>
        </w:rPr>
      </w:pPr>
      <w:bookmarkStart w:id="151" w:name="_Toc19108241"/>
      <w:r w:rsidRPr="008A2411">
        <w:rPr>
          <w:rFonts w:ascii="Times New Roman" w:hAnsi="Times New Roman"/>
          <w:b w:val="0"/>
          <w:color w:val="000000" w:themeColor="text1"/>
          <w:kern w:val="0"/>
          <w:sz w:val="24"/>
          <w:szCs w:val="24"/>
          <w:lang w:bidi="en-US"/>
        </w:rPr>
        <w:t xml:space="preserve">3.2 </w:t>
      </w:r>
      <w:r w:rsidRPr="008A2411">
        <w:rPr>
          <w:rFonts w:ascii="Times New Roman" w:hAnsi="Times New Roman"/>
          <w:b w:val="0"/>
          <w:color w:val="000000" w:themeColor="text1"/>
          <w:kern w:val="0"/>
          <w:sz w:val="24"/>
          <w:szCs w:val="24"/>
          <w:lang w:bidi="en-US"/>
        </w:rPr>
        <w:t>建设内容及项目组成</w:t>
      </w:r>
      <w:bookmarkEnd w:id="151"/>
    </w:p>
    <w:p w14:paraId="20FEBC7E"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本项目建设内容为新建</w:t>
      </w:r>
      <w:r w:rsidRPr="008A2411">
        <w:rPr>
          <w:rFonts w:ascii="Times New Roman" w:hAnsi="Times New Roman"/>
          <w:color w:val="000000" w:themeColor="text1"/>
        </w:rPr>
        <w:t>100</w:t>
      </w:r>
      <w:r w:rsidRPr="008A2411">
        <w:rPr>
          <w:rFonts w:ascii="Times New Roman" w:hAnsi="Times New Roman"/>
          <w:color w:val="000000" w:themeColor="text1"/>
        </w:rPr>
        <w:t>万方</w:t>
      </w:r>
      <w:r w:rsidRPr="008A2411">
        <w:rPr>
          <w:rFonts w:ascii="Times New Roman" w:hAnsi="Times New Roman"/>
          <w:color w:val="000000" w:themeColor="text1"/>
        </w:rPr>
        <w:t>/</w:t>
      </w:r>
      <w:r w:rsidRPr="008A2411">
        <w:rPr>
          <w:rFonts w:ascii="Times New Roman" w:hAnsi="Times New Roman"/>
          <w:color w:val="000000" w:themeColor="text1"/>
        </w:rPr>
        <w:t>天的天然气液化装置一套；一台</w:t>
      </w:r>
      <w:r w:rsidRPr="008A2411">
        <w:rPr>
          <w:rFonts w:ascii="Times New Roman" w:hAnsi="Times New Roman"/>
          <w:color w:val="000000" w:themeColor="text1"/>
        </w:rPr>
        <w:t>20000</w:t>
      </w:r>
      <w:r w:rsidRPr="008A2411">
        <w:rPr>
          <w:rFonts w:ascii="Times New Roman" w:hAnsi="Times New Roman"/>
          <w:color w:val="000000" w:themeColor="text1"/>
        </w:rPr>
        <w:t>立方液化天然气</w:t>
      </w:r>
      <w:proofErr w:type="gramStart"/>
      <w:r w:rsidRPr="008A2411">
        <w:rPr>
          <w:rFonts w:ascii="Times New Roman" w:hAnsi="Times New Roman"/>
          <w:color w:val="000000" w:themeColor="text1"/>
        </w:rPr>
        <w:t>全容罐</w:t>
      </w:r>
      <w:proofErr w:type="gramEnd"/>
      <w:r w:rsidRPr="008A2411">
        <w:rPr>
          <w:rFonts w:ascii="Times New Roman" w:hAnsi="Times New Roman"/>
          <w:color w:val="000000" w:themeColor="text1"/>
        </w:rPr>
        <w:t>；配套的公辅装置（</w:t>
      </w:r>
      <w:r w:rsidRPr="008A2411">
        <w:rPr>
          <w:rFonts w:ascii="Times New Roman" w:hAnsi="Times New Roman"/>
          <w:color w:val="000000" w:themeColor="text1"/>
        </w:rPr>
        <w:t>LNG</w:t>
      </w:r>
      <w:r w:rsidRPr="008A2411">
        <w:rPr>
          <w:rFonts w:ascii="Times New Roman" w:hAnsi="Times New Roman"/>
          <w:color w:val="000000" w:themeColor="text1"/>
        </w:rPr>
        <w:t>装车系统、加注区、空压站、软化水装置、循环水设施、联合变电所、控制室、地面火炬等）及安全环保设施。</w:t>
      </w:r>
    </w:p>
    <w:p w14:paraId="6791EC43"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项目组成及主要环境因素识别见表</w:t>
      </w:r>
      <w:r w:rsidRPr="008A2411">
        <w:rPr>
          <w:rFonts w:ascii="Times New Roman" w:hAnsi="Times New Roman"/>
          <w:color w:val="000000" w:themeColor="text1"/>
        </w:rPr>
        <w:t>3.1-1</w:t>
      </w:r>
      <w:r w:rsidRPr="008A2411">
        <w:rPr>
          <w:rFonts w:ascii="Times New Roman" w:hAnsi="Times New Roman"/>
          <w:color w:val="000000" w:themeColor="text1"/>
        </w:rPr>
        <w:t>。</w:t>
      </w:r>
    </w:p>
    <w:p w14:paraId="6421B2E9" w14:textId="77777777" w:rsidR="00B0005F" w:rsidRPr="008A2411" w:rsidRDefault="00000000">
      <w:pPr>
        <w:pStyle w:val="WJ0"/>
        <w:spacing w:line="360" w:lineRule="auto"/>
        <w:rPr>
          <w:rFonts w:ascii="Times New Roman" w:hAnsi="Times New Roman"/>
          <w:color w:val="000000" w:themeColor="text1"/>
        </w:rPr>
      </w:pPr>
      <w:r w:rsidRPr="008A2411">
        <w:rPr>
          <w:rFonts w:ascii="Times New Roman" w:hAnsi="Times New Roman"/>
          <w:color w:val="000000" w:themeColor="text1"/>
        </w:rPr>
        <w:t>表</w:t>
      </w:r>
      <w:r w:rsidRPr="008A2411">
        <w:rPr>
          <w:rFonts w:ascii="Times New Roman" w:hAnsi="Times New Roman"/>
          <w:color w:val="000000" w:themeColor="text1"/>
        </w:rPr>
        <w:t xml:space="preserve">3.1-1  </w:t>
      </w:r>
      <w:r w:rsidRPr="008A2411">
        <w:rPr>
          <w:rFonts w:ascii="Times New Roman" w:hAnsi="Times New Roman"/>
          <w:color w:val="000000" w:themeColor="text1"/>
        </w:rPr>
        <w:t>项目组成及主要环境影响因素识别</w:t>
      </w:r>
    </w:p>
    <w:tbl>
      <w:tblPr>
        <w:tblW w:w="499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4"/>
        <w:gridCol w:w="1255"/>
        <w:gridCol w:w="3795"/>
        <w:gridCol w:w="1194"/>
        <w:gridCol w:w="1361"/>
      </w:tblGrid>
      <w:tr w:rsidR="008A2411" w:rsidRPr="008A2411" w14:paraId="22125DDE" w14:textId="77777777">
        <w:trPr>
          <w:cantSplit/>
          <w:trHeight w:val="323"/>
          <w:tblHeader/>
          <w:jc w:val="center"/>
        </w:trPr>
        <w:tc>
          <w:tcPr>
            <w:tcW w:w="536" w:type="pct"/>
            <w:vMerge w:val="restart"/>
            <w:vAlign w:val="center"/>
          </w:tcPr>
          <w:p w14:paraId="7BD9760C" w14:textId="77777777" w:rsidR="00B0005F" w:rsidRPr="008A2411" w:rsidRDefault="00000000">
            <w:pPr>
              <w:adjustRightInd w:val="0"/>
              <w:snapToGrid w:val="0"/>
              <w:ind w:leftChars="-50" w:left="-120" w:rightChars="-50" w:right="-120"/>
              <w:jc w:val="center"/>
              <w:rPr>
                <w:rFonts w:ascii="Times New Roman"/>
                <w:b/>
                <w:color w:val="000000" w:themeColor="text1"/>
                <w:sz w:val="21"/>
                <w:szCs w:val="21"/>
              </w:rPr>
            </w:pPr>
            <w:r w:rsidRPr="008A2411">
              <w:rPr>
                <w:rFonts w:ascii="Times New Roman"/>
                <w:b/>
                <w:color w:val="000000" w:themeColor="text1"/>
                <w:sz w:val="21"/>
                <w:szCs w:val="21"/>
              </w:rPr>
              <w:t>工程</w:t>
            </w:r>
          </w:p>
          <w:p w14:paraId="6092AFA8" w14:textId="77777777" w:rsidR="00B0005F" w:rsidRPr="008A2411" w:rsidRDefault="00000000">
            <w:pPr>
              <w:adjustRightInd w:val="0"/>
              <w:snapToGrid w:val="0"/>
              <w:ind w:leftChars="-50" w:left="-120" w:rightChars="-50" w:right="-120"/>
              <w:jc w:val="center"/>
              <w:rPr>
                <w:rFonts w:ascii="Times New Roman"/>
                <w:b/>
                <w:color w:val="000000" w:themeColor="text1"/>
                <w:sz w:val="21"/>
                <w:szCs w:val="21"/>
              </w:rPr>
            </w:pPr>
            <w:r w:rsidRPr="008A2411">
              <w:rPr>
                <w:rFonts w:ascii="Times New Roman"/>
                <w:b/>
                <w:color w:val="000000" w:themeColor="text1"/>
                <w:sz w:val="21"/>
                <w:szCs w:val="21"/>
              </w:rPr>
              <w:t>分类</w:t>
            </w:r>
          </w:p>
        </w:tc>
        <w:tc>
          <w:tcPr>
            <w:tcW w:w="736" w:type="pct"/>
            <w:vMerge w:val="restart"/>
            <w:vAlign w:val="center"/>
          </w:tcPr>
          <w:p w14:paraId="4D0FC85F" w14:textId="6F002AFE" w:rsidR="00B0005F" w:rsidRPr="008A2411" w:rsidRDefault="00846A16" w:rsidP="00846A16">
            <w:pPr>
              <w:adjustRightInd w:val="0"/>
              <w:snapToGrid w:val="0"/>
              <w:ind w:leftChars="-50" w:left="-120" w:rightChars="-50" w:right="-120"/>
              <w:jc w:val="center"/>
              <w:rPr>
                <w:rFonts w:ascii="Times New Roman"/>
                <w:b/>
                <w:color w:val="000000" w:themeColor="text1"/>
                <w:sz w:val="21"/>
                <w:szCs w:val="21"/>
              </w:rPr>
            </w:pPr>
            <w:r w:rsidRPr="008A2411">
              <w:rPr>
                <w:rFonts w:ascii="Times New Roman" w:hint="eastAsia"/>
                <w:b/>
                <w:color w:val="000000" w:themeColor="text1"/>
                <w:sz w:val="21"/>
                <w:szCs w:val="21"/>
              </w:rPr>
              <w:t>工序名称</w:t>
            </w:r>
          </w:p>
        </w:tc>
        <w:tc>
          <w:tcPr>
            <w:tcW w:w="2226" w:type="pct"/>
            <w:vMerge w:val="restart"/>
            <w:vAlign w:val="center"/>
          </w:tcPr>
          <w:p w14:paraId="5ABCC34B" w14:textId="77777777" w:rsidR="00B0005F" w:rsidRPr="008A2411" w:rsidRDefault="00000000">
            <w:pPr>
              <w:adjustRightInd w:val="0"/>
              <w:snapToGrid w:val="0"/>
              <w:ind w:leftChars="-50" w:left="-120" w:rightChars="-50" w:right="-120"/>
              <w:jc w:val="center"/>
              <w:rPr>
                <w:rFonts w:ascii="Times New Roman"/>
                <w:b/>
                <w:color w:val="000000" w:themeColor="text1"/>
                <w:sz w:val="21"/>
                <w:szCs w:val="21"/>
              </w:rPr>
            </w:pPr>
            <w:r w:rsidRPr="008A2411">
              <w:rPr>
                <w:rFonts w:ascii="Times New Roman"/>
                <w:b/>
                <w:color w:val="000000" w:themeColor="text1"/>
                <w:sz w:val="21"/>
                <w:szCs w:val="21"/>
              </w:rPr>
              <w:t>建</w:t>
            </w:r>
            <w:r w:rsidRPr="008A2411">
              <w:rPr>
                <w:rFonts w:ascii="Times New Roman"/>
                <w:b/>
                <w:color w:val="000000" w:themeColor="text1"/>
                <w:sz w:val="21"/>
                <w:szCs w:val="21"/>
              </w:rPr>
              <w:t xml:space="preserve"> </w:t>
            </w:r>
            <w:r w:rsidRPr="008A2411">
              <w:rPr>
                <w:rFonts w:ascii="Times New Roman"/>
                <w:b/>
                <w:color w:val="000000" w:themeColor="text1"/>
                <w:sz w:val="21"/>
                <w:szCs w:val="21"/>
              </w:rPr>
              <w:t>设</w:t>
            </w:r>
            <w:r w:rsidRPr="008A2411">
              <w:rPr>
                <w:rFonts w:ascii="Times New Roman"/>
                <w:b/>
                <w:color w:val="000000" w:themeColor="text1"/>
                <w:sz w:val="21"/>
                <w:szCs w:val="21"/>
              </w:rPr>
              <w:t xml:space="preserve"> </w:t>
            </w:r>
            <w:r w:rsidRPr="008A2411">
              <w:rPr>
                <w:rFonts w:ascii="Times New Roman"/>
                <w:b/>
                <w:color w:val="000000" w:themeColor="text1"/>
                <w:sz w:val="21"/>
                <w:szCs w:val="21"/>
              </w:rPr>
              <w:t>内</w:t>
            </w:r>
            <w:r w:rsidRPr="008A2411">
              <w:rPr>
                <w:rFonts w:ascii="Times New Roman"/>
                <w:b/>
                <w:color w:val="000000" w:themeColor="text1"/>
                <w:sz w:val="21"/>
                <w:szCs w:val="21"/>
              </w:rPr>
              <w:t xml:space="preserve"> </w:t>
            </w:r>
            <w:r w:rsidRPr="008A2411">
              <w:rPr>
                <w:rFonts w:ascii="Times New Roman"/>
                <w:b/>
                <w:color w:val="000000" w:themeColor="text1"/>
                <w:sz w:val="21"/>
                <w:szCs w:val="21"/>
              </w:rPr>
              <w:t>容</w:t>
            </w:r>
          </w:p>
        </w:tc>
        <w:tc>
          <w:tcPr>
            <w:tcW w:w="1500" w:type="pct"/>
            <w:gridSpan w:val="2"/>
            <w:vAlign w:val="center"/>
          </w:tcPr>
          <w:p w14:paraId="169D0D42" w14:textId="77777777" w:rsidR="00B0005F" w:rsidRPr="008A2411" w:rsidRDefault="00000000">
            <w:pPr>
              <w:adjustRightInd w:val="0"/>
              <w:snapToGrid w:val="0"/>
              <w:ind w:leftChars="-50" w:left="-120" w:rightChars="-50" w:right="-120"/>
              <w:jc w:val="center"/>
              <w:rPr>
                <w:rFonts w:ascii="Times New Roman"/>
                <w:b/>
                <w:color w:val="000000" w:themeColor="text1"/>
                <w:sz w:val="21"/>
                <w:szCs w:val="21"/>
              </w:rPr>
            </w:pPr>
            <w:r w:rsidRPr="008A2411">
              <w:rPr>
                <w:rFonts w:ascii="Times New Roman"/>
                <w:b/>
                <w:color w:val="000000" w:themeColor="text1"/>
                <w:sz w:val="21"/>
                <w:szCs w:val="21"/>
              </w:rPr>
              <w:t>主要环境问题</w:t>
            </w:r>
          </w:p>
        </w:tc>
      </w:tr>
      <w:tr w:rsidR="008A2411" w:rsidRPr="008A2411" w14:paraId="2E794B70" w14:textId="77777777">
        <w:trPr>
          <w:cantSplit/>
          <w:trHeight w:val="315"/>
          <w:tblHeader/>
          <w:jc w:val="center"/>
        </w:trPr>
        <w:tc>
          <w:tcPr>
            <w:tcW w:w="536" w:type="pct"/>
            <w:vMerge/>
            <w:vAlign w:val="center"/>
          </w:tcPr>
          <w:p w14:paraId="35A7CCAA" w14:textId="77777777" w:rsidR="00B0005F" w:rsidRPr="008A2411" w:rsidRDefault="00B0005F">
            <w:pPr>
              <w:adjustRightInd w:val="0"/>
              <w:snapToGrid w:val="0"/>
              <w:ind w:leftChars="-50" w:left="-120" w:rightChars="-50" w:right="-120"/>
              <w:jc w:val="center"/>
              <w:rPr>
                <w:rFonts w:ascii="Times New Roman"/>
                <w:b/>
                <w:color w:val="000000" w:themeColor="text1"/>
                <w:sz w:val="21"/>
                <w:szCs w:val="21"/>
              </w:rPr>
            </w:pPr>
          </w:p>
        </w:tc>
        <w:tc>
          <w:tcPr>
            <w:tcW w:w="736" w:type="pct"/>
            <w:vMerge/>
            <w:vAlign w:val="center"/>
          </w:tcPr>
          <w:p w14:paraId="01636663" w14:textId="77777777" w:rsidR="00B0005F" w:rsidRPr="008A2411" w:rsidRDefault="00B0005F">
            <w:pPr>
              <w:adjustRightInd w:val="0"/>
              <w:snapToGrid w:val="0"/>
              <w:ind w:leftChars="-50" w:left="-120" w:rightChars="-50" w:right="-120"/>
              <w:jc w:val="center"/>
              <w:rPr>
                <w:rFonts w:ascii="Times New Roman"/>
                <w:b/>
                <w:color w:val="000000" w:themeColor="text1"/>
                <w:sz w:val="21"/>
                <w:szCs w:val="21"/>
              </w:rPr>
            </w:pPr>
          </w:p>
        </w:tc>
        <w:tc>
          <w:tcPr>
            <w:tcW w:w="2226" w:type="pct"/>
            <w:vMerge/>
            <w:vAlign w:val="center"/>
          </w:tcPr>
          <w:p w14:paraId="5D5B8229" w14:textId="77777777" w:rsidR="00B0005F" w:rsidRPr="008A2411" w:rsidRDefault="00B0005F">
            <w:pPr>
              <w:adjustRightInd w:val="0"/>
              <w:snapToGrid w:val="0"/>
              <w:ind w:leftChars="-50" w:left="-120" w:rightChars="-50" w:right="-120"/>
              <w:jc w:val="center"/>
              <w:rPr>
                <w:rFonts w:ascii="Times New Roman"/>
                <w:b/>
                <w:color w:val="000000" w:themeColor="text1"/>
                <w:sz w:val="21"/>
                <w:szCs w:val="21"/>
              </w:rPr>
            </w:pPr>
          </w:p>
        </w:tc>
        <w:tc>
          <w:tcPr>
            <w:tcW w:w="701" w:type="pct"/>
            <w:vAlign w:val="center"/>
          </w:tcPr>
          <w:p w14:paraId="1A9D4074" w14:textId="77777777" w:rsidR="00B0005F" w:rsidRPr="008A2411" w:rsidRDefault="00000000">
            <w:pPr>
              <w:adjustRightInd w:val="0"/>
              <w:snapToGrid w:val="0"/>
              <w:ind w:leftChars="-50" w:left="-120" w:rightChars="-50" w:right="-120"/>
              <w:jc w:val="center"/>
              <w:rPr>
                <w:rFonts w:ascii="Times New Roman"/>
                <w:b/>
                <w:color w:val="000000" w:themeColor="text1"/>
                <w:sz w:val="21"/>
                <w:szCs w:val="21"/>
              </w:rPr>
            </w:pPr>
            <w:r w:rsidRPr="008A2411">
              <w:rPr>
                <w:rFonts w:ascii="Times New Roman"/>
                <w:b/>
                <w:color w:val="000000" w:themeColor="text1"/>
                <w:sz w:val="21"/>
                <w:szCs w:val="21"/>
              </w:rPr>
              <w:t>施工期</w:t>
            </w:r>
          </w:p>
        </w:tc>
        <w:tc>
          <w:tcPr>
            <w:tcW w:w="799" w:type="pct"/>
            <w:vAlign w:val="center"/>
          </w:tcPr>
          <w:p w14:paraId="1DBE741D" w14:textId="77777777" w:rsidR="00B0005F" w:rsidRPr="008A2411" w:rsidRDefault="00000000">
            <w:pPr>
              <w:adjustRightInd w:val="0"/>
              <w:snapToGrid w:val="0"/>
              <w:ind w:leftChars="-50" w:left="-120" w:rightChars="-50" w:right="-120"/>
              <w:jc w:val="center"/>
              <w:rPr>
                <w:rFonts w:ascii="Times New Roman"/>
                <w:b/>
                <w:color w:val="000000" w:themeColor="text1"/>
                <w:sz w:val="21"/>
                <w:szCs w:val="21"/>
              </w:rPr>
            </w:pPr>
            <w:r w:rsidRPr="008A2411">
              <w:rPr>
                <w:rFonts w:ascii="Times New Roman"/>
                <w:b/>
                <w:color w:val="000000" w:themeColor="text1"/>
                <w:sz w:val="21"/>
                <w:szCs w:val="21"/>
              </w:rPr>
              <w:t>营运期</w:t>
            </w:r>
          </w:p>
        </w:tc>
      </w:tr>
      <w:tr w:rsidR="008A2411" w:rsidRPr="008A2411" w14:paraId="7D55D496" w14:textId="77777777">
        <w:trPr>
          <w:cantSplit/>
          <w:trHeight w:val="943"/>
          <w:jc w:val="center"/>
        </w:trPr>
        <w:tc>
          <w:tcPr>
            <w:tcW w:w="536" w:type="pct"/>
            <w:vMerge w:val="restart"/>
            <w:vAlign w:val="center"/>
          </w:tcPr>
          <w:p w14:paraId="7E4FC56D" w14:textId="77777777" w:rsidR="00B0005F" w:rsidRPr="008A2411" w:rsidRDefault="00000000">
            <w:pPr>
              <w:adjustRightInd w:val="0"/>
              <w:snapToGrid w:val="0"/>
              <w:ind w:leftChars="-50" w:left="-120" w:rightChars="-50" w:right="-120"/>
              <w:jc w:val="center"/>
              <w:rPr>
                <w:rFonts w:ascii="Times New Roman"/>
                <w:color w:val="000000" w:themeColor="text1"/>
                <w:sz w:val="21"/>
                <w:szCs w:val="21"/>
              </w:rPr>
            </w:pPr>
            <w:r w:rsidRPr="008A2411">
              <w:rPr>
                <w:rFonts w:ascii="Times New Roman"/>
                <w:color w:val="000000" w:themeColor="text1"/>
                <w:sz w:val="21"/>
                <w:szCs w:val="21"/>
              </w:rPr>
              <w:t>主</w:t>
            </w:r>
          </w:p>
          <w:p w14:paraId="5555DA36" w14:textId="77777777" w:rsidR="00B0005F" w:rsidRPr="008A2411" w:rsidRDefault="00000000">
            <w:pPr>
              <w:adjustRightInd w:val="0"/>
              <w:snapToGrid w:val="0"/>
              <w:ind w:leftChars="-50" w:left="-120" w:rightChars="-50" w:right="-120"/>
              <w:jc w:val="center"/>
              <w:rPr>
                <w:rFonts w:ascii="Times New Roman"/>
                <w:color w:val="000000" w:themeColor="text1"/>
                <w:sz w:val="21"/>
                <w:szCs w:val="21"/>
              </w:rPr>
            </w:pPr>
            <w:r w:rsidRPr="008A2411">
              <w:rPr>
                <w:rFonts w:ascii="Times New Roman"/>
                <w:color w:val="000000" w:themeColor="text1"/>
                <w:sz w:val="21"/>
                <w:szCs w:val="21"/>
              </w:rPr>
              <w:t>体</w:t>
            </w:r>
          </w:p>
          <w:p w14:paraId="59A12DF2" w14:textId="77777777" w:rsidR="00B0005F" w:rsidRPr="008A2411" w:rsidRDefault="00000000">
            <w:pPr>
              <w:adjustRightInd w:val="0"/>
              <w:snapToGrid w:val="0"/>
              <w:ind w:leftChars="-50" w:left="-120" w:rightChars="-50" w:right="-120"/>
              <w:jc w:val="center"/>
              <w:rPr>
                <w:rFonts w:ascii="Times New Roman"/>
                <w:color w:val="000000" w:themeColor="text1"/>
                <w:sz w:val="21"/>
                <w:szCs w:val="21"/>
              </w:rPr>
            </w:pPr>
            <w:r w:rsidRPr="008A2411">
              <w:rPr>
                <w:rFonts w:ascii="Times New Roman"/>
                <w:color w:val="000000" w:themeColor="text1"/>
                <w:sz w:val="21"/>
                <w:szCs w:val="21"/>
              </w:rPr>
              <w:t>工</w:t>
            </w:r>
          </w:p>
          <w:p w14:paraId="176C7F13" w14:textId="77777777" w:rsidR="00B0005F" w:rsidRPr="008A2411" w:rsidRDefault="00000000">
            <w:pPr>
              <w:adjustRightInd w:val="0"/>
              <w:snapToGrid w:val="0"/>
              <w:ind w:leftChars="-50" w:left="-120" w:rightChars="-50" w:right="-120"/>
              <w:jc w:val="center"/>
              <w:rPr>
                <w:rFonts w:ascii="Times New Roman"/>
                <w:color w:val="000000" w:themeColor="text1"/>
                <w:sz w:val="21"/>
                <w:szCs w:val="21"/>
              </w:rPr>
            </w:pPr>
            <w:r w:rsidRPr="008A2411">
              <w:rPr>
                <w:rFonts w:ascii="Times New Roman"/>
                <w:color w:val="000000" w:themeColor="text1"/>
                <w:sz w:val="21"/>
                <w:szCs w:val="21"/>
              </w:rPr>
              <w:t>程</w:t>
            </w:r>
          </w:p>
        </w:tc>
        <w:tc>
          <w:tcPr>
            <w:tcW w:w="736" w:type="pct"/>
            <w:vAlign w:val="center"/>
          </w:tcPr>
          <w:p w14:paraId="3853AD6E"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原料气</w:t>
            </w:r>
          </w:p>
          <w:p w14:paraId="7D313145" w14:textId="77777777" w:rsidR="00B0005F" w:rsidRPr="008A2411" w:rsidRDefault="00000000">
            <w:pPr>
              <w:adjustRightInd w:val="0"/>
              <w:snapToGrid w:val="0"/>
              <w:ind w:leftChars="-30" w:left="-72" w:rightChars="-30" w:right="-72"/>
              <w:jc w:val="center"/>
              <w:rPr>
                <w:rFonts w:ascii="Times New Roman"/>
                <w:bCs/>
                <w:color w:val="000000" w:themeColor="text1"/>
                <w:sz w:val="21"/>
                <w:szCs w:val="21"/>
              </w:rPr>
            </w:pPr>
            <w:r w:rsidRPr="008A2411">
              <w:rPr>
                <w:rFonts w:ascii="Times New Roman"/>
                <w:color w:val="000000" w:themeColor="text1"/>
                <w:sz w:val="21"/>
                <w:szCs w:val="21"/>
              </w:rPr>
              <w:t>净化工序</w:t>
            </w:r>
          </w:p>
        </w:tc>
        <w:tc>
          <w:tcPr>
            <w:tcW w:w="2226" w:type="pct"/>
            <w:vAlign w:val="center"/>
          </w:tcPr>
          <w:p w14:paraId="14064B4D" w14:textId="77777777" w:rsidR="00B0005F" w:rsidRPr="008A2411" w:rsidRDefault="00000000">
            <w:pPr>
              <w:adjustRightInd w:val="0"/>
              <w:snapToGrid w:val="0"/>
              <w:ind w:leftChars="-30" w:left="-72" w:rightChars="-30" w:right="-72"/>
              <w:jc w:val="left"/>
              <w:rPr>
                <w:rFonts w:ascii="Times New Roman"/>
                <w:bCs/>
                <w:color w:val="000000" w:themeColor="text1"/>
                <w:sz w:val="21"/>
                <w:szCs w:val="21"/>
              </w:rPr>
            </w:pPr>
            <w:r w:rsidRPr="008A2411">
              <w:rPr>
                <w:rFonts w:ascii="Times New Roman"/>
                <w:bCs/>
                <w:color w:val="000000" w:themeColor="text1"/>
                <w:sz w:val="21"/>
                <w:szCs w:val="21"/>
              </w:rPr>
              <w:t>日处理</w:t>
            </w:r>
            <w:r w:rsidRPr="008A2411">
              <w:rPr>
                <w:rFonts w:ascii="Times New Roman"/>
                <w:color w:val="000000" w:themeColor="text1"/>
                <w:sz w:val="21"/>
                <w:szCs w:val="21"/>
              </w:rPr>
              <w:t>100×10</w:t>
            </w:r>
            <w:r w:rsidRPr="008A2411">
              <w:rPr>
                <w:rFonts w:ascii="Times New Roman"/>
                <w:color w:val="000000" w:themeColor="text1"/>
                <w:sz w:val="21"/>
                <w:szCs w:val="21"/>
                <w:vertAlign w:val="superscript"/>
              </w:rPr>
              <w:t>4</w:t>
            </w:r>
            <w:r w:rsidRPr="008A2411">
              <w:rPr>
                <w:rFonts w:ascii="Times New Roman"/>
                <w:color w:val="000000" w:themeColor="text1"/>
                <w:sz w:val="21"/>
                <w:szCs w:val="21"/>
              </w:rPr>
              <w:t>Nm</w:t>
            </w:r>
            <w:r w:rsidRPr="008A2411">
              <w:rPr>
                <w:rFonts w:ascii="Times New Roman"/>
                <w:color w:val="000000" w:themeColor="text1"/>
                <w:sz w:val="21"/>
                <w:szCs w:val="21"/>
                <w:vertAlign w:val="superscript"/>
              </w:rPr>
              <w:t>3</w:t>
            </w:r>
            <w:r w:rsidRPr="008A2411">
              <w:rPr>
                <w:rFonts w:ascii="Times New Roman"/>
                <w:color w:val="000000" w:themeColor="text1"/>
                <w:sz w:val="21"/>
                <w:szCs w:val="21"/>
              </w:rPr>
              <w:t>天然气净化装置</w:t>
            </w:r>
            <w:r w:rsidRPr="008A2411">
              <w:rPr>
                <w:rFonts w:ascii="Times New Roman"/>
                <w:color w:val="000000" w:themeColor="text1"/>
                <w:sz w:val="21"/>
                <w:szCs w:val="21"/>
              </w:rPr>
              <w:t>1</w:t>
            </w:r>
            <w:r w:rsidRPr="008A2411">
              <w:rPr>
                <w:rFonts w:ascii="Times New Roman"/>
                <w:color w:val="000000" w:themeColor="text1"/>
                <w:sz w:val="21"/>
                <w:szCs w:val="21"/>
              </w:rPr>
              <w:t>套，包括原料气分离过滤、脱碳、脱酸、脱汞、脱水</w:t>
            </w:r>
            <w:r w:rsidRPr="008A2411">
              <w:rPr>
                <w:rFonts w:ascii="Times New Roman" w:hint="eastAsia"/>
                <w:color w:val="000000" w:themeColor="text1"/>
                <w:sz w:val="21"/>
                <w:szCs w:val="21"/>
              </w:rPr>
              <w:t>装置</w:t>
            </w:r>
            <w:r w:rsidRPr="008A2411">
              <w:rPr>
                <w:rFonts w:ascii="Times New Roman"/>
                <w:color w:val="000000" w:themeColor="text1"/>
                <w:sz w:val="21"/>
                <w:szCs w:val="21"/>
              </w:rPr>
              <w:t>。</w:t>
            </w:r>
          </w:p>
        </w:tc>
        <w:tc>
          <w:tcPr>
            <w:tcW w:w="701" w:type="pct"/>
            <w:vMerge w:val="restart"/>
            <w:vAlign w:val="center"/>
          </w:tcPr>
          <w:p w14:paraId="5083842A"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施工废水</w:t>
            </w:r>
          </w:p>
          <w:p w14:paraId="60722C21"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施工扬尘</w:t>
            </w:r>
          </w:p>
          <w:p w14:paraId="1713C4E8"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施工噪声</w:t>
            </w:r>
          </w:p>
        </w:tc>
        <w:tc>
          <w:tcPr>
            <w:tcW w:w="799" w:type="pct"/>
            <w:vMerge w:val="restart"/>
            <w:vAlign w:val="center"/>
          </w:tcPr>
          <w:p w14:paraId="6C75C6BB"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噪声、废水、废气、固废、环境风险</w:t>
            </w:r>
          </w:p>
        </w:tc>
      </w:tr>
      <w:tr w:rsidR="008A2411" w:rsidRPr="008A2411" w14:paraId="64B0078D" w14:textId="77777777">
        <w:trPr>
          <w:cantSplit/>
          <w:trHeight w:val="608"/>
          <w:jc w:val="center"/>
        </w:trPr>
        <w:tc>
          <w:tcPr>
            <w:tcW w:w="536" w:type="pct"/>
            <w:vMerge/>
            <w:vAlign w:val="center"/>
          </w:tcPr>
          <w:p w14:paraId="60C98AFB" w14:textId="77777777" w:rsidR="00B0005F" w:rsidRPr="008A2411" w:rsidRDefault="00B0005F">
            <w:pPr>
              <w:adjustRightInd w:val="0"/>
              <w:snapToGrid w:val="0"/>
              <w:ind w:leftChars="-50" w:left="-120" w:rightChars="-50" w:right="-120"/>
              <w:jc w:val="center"/>
              <w:rPr>
                <w:rFonts w:ascii="Times New Roman"/>
                <w:color w:val="000000" w:themeColor="text1"/>
                <w:sz w:val="21"/>
                <w:szCs w:val="21"/>
              </w:rPr>
            </w:pPr>
          </w:p>
        </w:tc>
        <w:tc>
          <w:tcPr>
            <w:tcW w:w="736" w:type="pct"/>
            <w:vAlign w:val="center"/>
          </w:tcPr>
          <w:p w14:paraId="2EE5AF34"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产品</w:t>
            </w:r>
          </w:p>
          <w:p w14:paraId="3C7F2692"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液化工序</w:t>
            </w:r>
          </w:p>
        </w:tc>
        <w:tc>
          <w:tcPr>
            <w:tcW w:w="2226" w:type="pct"/>
            <w:vAlign w:val="center"/>
          </w:tcPr>
          <w:p w14:paraId="5864A4BC" w14:textId="77777777" w:rsidR="00B0005F" w:rsidRPr="008A2411" w:rsidRDefault="00000000">
            <w:pPr>
              <w:adjustRightInd w:val="0"/>
              <w:snapToGrid w:val="0"/>
              <w:ind w:leftChars="-30" w:left="-72" w:rightChars="-30" w:right="-72"/>
              <w:jc w:val="left"/>
              <w:rPr>
                <w:rFonts w:ascii="Times New Roman"/>
                <w:color w:val="000000" w:themeColor="text1"/>
                <w:sz w:val="21"/>
                <w:szCs w:val="21"/>
              </w:rPr>
            </w:pPr>
            <w:proofErr w:type="gramStart"/>
            <w:r w:rsidRPr="008A2411">
              <w:rPr>
                <w:rFonts w:ascii="Times New Roman"/>
                <w:color w:val="000000" w:themeColor="text1"/>
                <w:sz w:val="21"/>
                <w:szCs w:val="21"/>
              </w:rPr>
              <w:t>液化采用液化采用</w:t>
            </w:r>
            <w:proofErr w:type="gramEnd"/>
            <w:r w:rsidRPr="008A2411">
              <w:rPr>
                <w:rFonts w:ascii="Times New Roman"/>
                <w:color w:val="000000" w:themeColor="text1"/>
                <w:sz w:val="21"/>
                <w:szCs w:val="21"/>
              </w:rPr>
              <w:t>单循环混合冷剂制冷工艺，冷剂压缩机为两段压缩，由电机驱动。包括混合冷剂压缩机组</w:t>
            </w:r>
            <w:r w:rsidRPr="008A2411">
              <w:rPr>
                <w:rFonts w:ascii="Times New Roman"/>
                <w:color w:val="000000" w:themeColor="text1"/>
                <w:sz w:val="21"/>
                <w:szCs w:val="21"/>
              </w:rPr>
              <w:t>1</w:t>
            </w:r>
            <w:r w:rsidRPr="008A2411">
              <w:rPr>
                <w:rFonts w:ascii="Times New Roman"/>
                <w:color w:val="000000" w:themeColor="text1"/>
                <w:sz w:val="21"/>
                <w:szCs w:val="21"/>
              </w:rPr>
              <w:t>套、闪蒸气压缩机组</w:t>
            </w:r>
            <w:r w:rsidRPr="008A2411">
              <w:rPr>
                <w:rFonts w:ascii="Times New Roman"/>
                <w:color w:val="000000" w:themeColor="text1"/>
                <w:sz w:val="21"/>
                <w:szCs w:val="21"/>
              </w:rPr>
              <w:t>1</w:t>
            </w:r>
            <w:r w:rsidRPr="008A2411">
              <w:rPr>
                <w:rFonts w:ascii="Times New Roman"/>
                <w:color w:val="000000" w:themeColor="text1"/>
                <w:sz w:val="21"/>
                <w:szCs w:val="21"/>
              </w:rPr>
              <w:t>套、内置式液态轻烃泵</w:t>
            </w:r>
            <w:r w:rsidRPr="008A2411">
              <w:rPr>
                <w:rFonts w:ascii="Times New Roman"/>
                <w:color w:val="000000" w:themeColor="text1"/>
                <w:sz w:val="21"/>
                <w:szCs w:val="21"/>
              </w:rPr>
              <w:t>2</w:t>
            </w:r>
            <w:r w:rsidRPr="008A2411">
              <w:rPr>
                <w:rFonts w:ascii="Times New Roman"/>
                <w:color w:val="000000" w:themeColor="text1"/>
                <w:sz w:val="21"/>
                <w:szCs w:val="21"/>
              </w:rPr>
              <w:t>套。</w:t>
            </w:r>
          </w:p>
        </w:tc>
        <w:tc>
          <w:tcPr>
            <w:tcW w:w="701" w:type="pct"/>
            <w:vMerge/>
            <w:vAlign w:val="center"/>
          </w:tcPr>
          <w:p w14:paraId="2810ABD2" w14:textId="77777777" w:rsidR="00B0005F" w:rsidRPr="008A2411" w:rsidRDefault="00B0005F">
            <w:pPr>
              <w:adjustRightInd w:val="0"/>
              <w:snapToGrid w:val="0"/>
              <w:ind w:left="-50" w:right="-50"/>
              <w:jc w:val="center"/>
              <w:rPr>
                <w:rFonts w:ascii="Times New Roman"/>
                <w:color w:val="000000" w:themeColor="text1"/>
                <w:sz w:val="21"/>
                <w:szCs w:val="21"/>
              </w:rPr>
            </w:pPr>
          </w:p>
        </w:tc>
        <w:tc>
          <w:tcPr>
            <w:tcW w:w="799" w:type="pct"/>
            <w:vMerge/>
            <w:vAlign w:val="center"/>
          </w:tcPr>
          <w:p w14:paraId="229C63DE" w14:textId="77777777" w:rsidR="00B0005F" w:rsidRPr="008A2411" w:rsidRDefault="00B0005F">
            <w:pPr>
              <w:adjustRightInd w:val="0"/>
              <w:snapToGrid w:val="0"/>
              <w:ind w:left="-50" w:rightChars="-30" w:right="-72"/>
              <w:jc w:val="center"/>
              <w:rPr>
                <w:rFonts w:ascii="Times New Roman"/>
                <w:color w:val="000000" w:themeColor="text1"/>
                <w:sz w:val="21"/>
                <w:szCs w:val="21"/>
              </w:rPr>
            </w:pPr>
          </w:p>
        </w:tc>
      </w:tr>
      <w:tr w:rsidR="008A2411" w:rsidRPr="008A2411" w14:paraId="3CB9E87F" w14:textId="77777777">
        <w:trPr>
          <w:cantSplit/>
          <w:jc w:val="center"/>
        </w:trPr>
        <w:tc>
          <w:tcPr>
            <w:tcW w:w="536" w:type="pct"/>
            <w:vMerge w:val="restart"/>
            <w:vAlign w:val="center"/>
          </w:tcPr>
          <w:p w14:paraId="501E8623" w14:textId="77777777" w:rsidR="00B0005F" w:rsidRPr="008A2411" w:rsidRDefault="00000000">
            <w:pPr>
              <w:adjustRightInd w:val="0"/>
              <w:snapToGrid w:val="0"/>
              <w:ind w:leftChars="-50" w:left="-120" w:rightChars="-50" w:right="-120"/>
              <w:jc w:val="center"/>
              <w:rPr>
                <w:rFonts w:ascii="Times New Roman"/>
                <w:color w:val="000000" w:themeColor="text1"/>
                <w:sz w:val="21"/>
                <w:szCs w:val="21"/>
              </w:rPr>
            </w:pPr>
            <w:r w:rsidRPr="008A2411">
              <w:rPr>
                <w:rFonts w:ascii="Times New Roman"/>
                <w:color w:val="000000" w:themeColor="text1"/>
                <w:sz w:val="21"/>
                <w:szCs w:val="21"/>
              </w:rPr>
              <w:lastRenderedPageBreak/>
              <w:t>公</w:t>
            </w:r>
          </w:p>
          <w:p w14:paraId="3E0CC55B" w14:textId="77777777" w:rsidR="00B0005F" w:rsidRPr="008A2411" w:rsidRDefault="00000000">
            <w:pPr>
              <w:adjustRightInd w:val="0"/>
              <w:snapToGrid w:val="0"/>
              <w:ind w:leftChars="-50" w:left="-120" w:rightChars="-50" w:right="-120"/>
              <w:jc w:val="center"/>
              <w:rPr>
                <w:rFonts w:ascii="Times New Roman"/>
                <w:color w:val="000000" w:themeColor="text1"/>
                <w:sz w:val="21"/>
                <w:szCs w:val="21"/>
              </w:rPr>
            </w:pPr>
            <w:r w:rsidRPr="008A2411">
              <w:rPr>
                <w:rFonts w:ascii="Times New Roman"/>
                <w:color w:val="000000" w:themeColor="text1"/>
                <w:sz w:val="21"/>
                <w:szCs w:val="21"/>
              </w:rPr>
              <w:t>辅</w:t>
            </w:r>
          </w:p>
          <w:p w14:paraId="0AFC0955" w14:textId="77777777" w:rsidR="00B0005F" w:rsidRPr="008A2411" w:rsidRDefault="00000000">
            <w:pPr>
              <w:adjustRightInd w:val="0"/>
              <w:snapToGrid w:val="0"/>
              <w:ind w:leftChars="-50" w:left="-120" w:rightChars="-50" w:right="-120"/>
              <w:jc w:val="center"/>
              <w:rPr>
                <w:rFonts w:ascii="Times New Roman"/>
                <w:color w:val="000000" w:themeColor="text1"/>
                <w:sz w:val="21"/>
                <w:szCs w:val="21"/>
              </w:rPr>
            </w:pPr>
            <w:r w:rsidRPr="008A2411">
              <w:rPr>
                <w:rFonts w:ascii="Times New Roman"/>
                <w:color w:val="000000" w:themeColor="text1"/>
                <w:sz w:val="21"/>
                <w:szCs w:val="21"/>
              </w:rPr>
              <w:t>工</w:t>
            </w:r>
          </w:p>
          <w:p w14:paraId="01FEAA1F" w14:textId="77777777" w:rsidR="00B0005F" w:rsidRPr="008A2411" w:rsidRDefault="00000000">
            <w:pPr>
              <w:adjustRightInd w:val="0"/>
              <w:snapToGrid w:val="0"/>
              <w:ind w:leftChars="-50" w:left="-120" w:rightChars="-50" w:right="-120"/>
              <w:jc w:val="center"/>
              <w:rPr>
                <w:rFonts w:ascii="Times New Roman"/>
                <w:color w:val="000000" w:themeColor="text1"/>
                <w:sz w:val="21"/>
                <w:szCs w:val="21"/>
              </w:rPr>
            </w:pPr>
            <w:r w:rsidRPr="008A2411">
              <w:rPr>
                <w:rFonts w:ascii="Times New Roman"/>
                <w:color w:val="000000" w:themeColor="text1"/>
                <w:sz w:val="21"/>
                <w:szCs w:val="21"/>
              </w:rPr>
              <w:t>程</w:t>
            </w:r>
          </w:p>
        </w:tc>
        <w:tc>
          <w:tcPr>
            <w:tcW w:w="736" w:type="pct"/>
            <w:vAlign w:val="center"/>
          </w:tcPr>
          <w:p w14:paraId="21D10922"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proofErr w:type="gramStart"/>
            <w:r w:rsidRPr="008A2411">
              <w:rPr>
                <w:rFonts w:ascii="Times New Roman"/>
                <w:color w:val="000000" w:themeColor="text1"/>
                <w:sz w:val="21"/>
                <w:szCs w:val="21"/>
              </w:rPr>
              <w:t>空压及</w:t>
            </w:r>
            <w:proofErr w:type="gramEnd"/>
            <w:r w:rsidRPr="008A2411">
              <w:rPr>
                <w:rFonts w:ascii="Times New Roman"/>
                <w:color w:val="000000" w:themeColor="text1"/>
                <w:sz w:val="21"/>
                <w:szCs w:val="21"/>
              </w:rPr>
              <w:t>水处理站</w:t>
            </w:r>
          </w:p>
        </w:tc>
        <w:tc>
          <w:tcPr>
            <w:tcW w:w="2226" w:type="pct"/>
            <w:vAlign w:val="center"/>
          </w:tcPr>
          <w:p w14:paraId="6B5814B9" w14:textId="77777777" w:rsidR="00B0005F" w:rsidRPr="008A2411" w:rsidRDefault="00000000">
            <w:pPr>
              <w:adjustRightInd w:val="0"/>
              <w:snapToGrid w:val="0"/>
              <w:ind w:leftChars="-30" w:left="-72" w:rightChars="-30" w:right="-72"/>
              <w:jc w:val="left"/>
              <w:rPr>
                <w:rFonts w:ascii="Times New Roman"/>
                <w:color w:val="000000" w:themeColor="text1"/>
                <w:sz w:val="21"/>
                <w:szCs w:val="21"/>
              </w:rPr>
            </w:pPr>
            <w:proofErr w:type="gramStart"/>
            <w:r w:rsidRPr="008A2411">
              <w:rPr>
                <w:rFonts w:ascii="Times New Roman"/>
                <w:color w:val="000000" w:themeColor="text1"/>
                <w:sz w:val="21"/>
                <w:szCs w:val="21"/>
              </w:rPr>
              <w:t>空压部分</w:t>
            </w:r>
            <w:proofErr w:type="gramEnd"/>
            <w:r w:rsidRPr="008A2411">
              <w:rPr>
                <w:rFonts w:ascii="Times New Roman"/>
                <w:color w:val="000000" w:themeColor="text1"/>
                <w:sz w:val="21"/>
                <w:szCs w:val="21"/>
              </w:rPr>
              <w:t>：站内设压缩机两台，</w:t>
            </w:r>
            <w:r w:rsidRPr="008A2411">
              <w:rPr>
                <w:rFonts w:ascii="Times New Roman"/>
                <w:color w:val="000000" w:themeColor="text1"/>
                <w:sz w:val="21"/>
                <w:szCs w:val="21"/>
              </w:rPr>
              <w:t>1</w:t>
            </w:r>
            <w:r w:rsidRPr="008A2411">
              <w:rPr>
                <w:rFonts w:ascii="Times New Roman"/>
                <w:color w:val="000000" w:themeColor="text1"/>
                <w:sz w:val="21"/>
                <w:szCs w:val="21"/>
              </w:rPr>
              <w:t>开</w:t>
            </w:r>
            <w:r w:rsidRPr="008A2411">
              <w:rPr>
                <w:rFonts w:ascii="Times New Roman"/>
                <w:color w:val="000000" w:themeColor="text1"/>
                <w:sz w:val="21"/>
                <w:szCs w:val="21"/>
              </w:rPr>
              <w:t>1</w:t>
            </w:r>
            <w:r w:rsidRPr="008A2411">
              <w:rPr>
                <w:rFonts w:ascii="Times New Roman"/>
                <w:color w:val="000000" w:themeColor="text1"/>
                <w:sz w:val="21"/>
                <w:szCs w:val="21"/>
              </w:rPr>
              <w:t>备，单台能力为</w:t>
            </w:r>
            <w:r w:rsidRPr="008A2411">
              <w:rPr>
                <w:rFonts w:ascii="Times New Roman"/>
                <w:color w:val="000000" w:themeColor="text1"/>
                <w:sz w:val="21"/>
                <w:szCs w:val="21"/>
              </w:rPr>
              <w:t>150Nm</w:t>
            </w:r>
            <w:r w:rsidRPr="008A2411">
              <w:rPr>
                <w:rFonts w:ascii="Times New Roman"/>
                <w:color w:val="000000" w:themeColor="text1"/>
                <w:sz w:val="21"/>
                <w:szCs w:val="21"/>
                <w:vertAlign w:val="superscript"/>
              </w:rPr>
              <w:t>3</w:t>
            </w:r>
            <w:r w:rsidRPr="008A2411">
              <w:rPr>
                <w:rFonts w:ascii="Times New Roman"/>
                <w:color w:val="000000" w:themeColor="text1"/>
                <w:sz w:val="21"/>
                <w:szCs w:val="21"/>
              </w:rPr>
              <w:t>/h</w:t>
            </w:r>
            <w:r w:rsidRPr="008A2411">
              <w:rPr>
                <w:rFonts w:ascii="Times New Roman"/>
                <w:color w:val="000000" w:themeColor="text1"/>
                <w:sz w:val="21"/>
                <w:szCs w:val="21"/>
              </w:rPr>
              <w:t>，排气压力为</w:t>
            </w:r>
            <w:r w:rsidRPr="008A2411">
              <w:rPr>
                <w:rFonts w:ascii="Times New Roman"/>
                <w:color w:val="000000" w:themeColor="text1"/>
                <w:sz w:val="21"/>
                <w:szCs w:val="21"/>
              </w:rPr>
              <w:t>0.7MPa</w:t>
            </w:r>
            <w:r w:rsidRPr="008A2411">
              <w:rPr>
                <w:rFonts w:ascii="Times New Roman"/>
                <w:color w:val="000000" w:themeColor="text1"/>
                <w:sz w:val="21"/>
                <w:szCs w:val="21"/>
              </w:rPr>
              <w:t>，提供仪表空气、装置用的压缩空气和制氮用压缩空气。</w:t>
            </w:r>
          </w:p>
          <w:p w14:paraId="2D1FF6F8" w14:textId="77777777" w:rsidR="00B0005F" w:rsidRPr="008A2411" w:rsidRDefault="00000000">
            <w:pPr>
              <w:adjustRightInd w:val="0"/>
              <w:snapToGrid w:val="0"/>
              <w:ind w:leftChars="-30" w:left="-72" w:rightChars="-30" w:right="-72"/>
              <w:jc w:val="left"/>
              <w:rPr>
                <w:rFonts w:ascii="Times New Roman"/>
                <w:color w:val="000000" w:themeColor="text1"/>
                <w:sz w:val="21"/>
                <w:szCs w:val="21"/>
              </w:rPr>
            </w:pPr>
            <w:r w:rsidRPr="008A2411">
              <w:rPr>
                <w:rFonts w:ascii="Times New Roman"/>
                <w:color w:val="000000" w:themeColor="text1"/>
                <w:sz w:val="21"/>
                <w:szCs w:val="21"/>
              </w:rPr>
              <w:t>脱盐水站部分：站内建设</w:t>
            </w:r>
            <w:r w:rsidRPr="008A2411">
              <w:rPr>
                <w:rFonts w:ascii="Times New Roman"/>
                <w:color w:val="000000" w:themeColor="text1"/>
                <w:sz w:val="21"/>
                <w:szCs w:val="21"/>
              </w:rPr>
              <w:t>1</w:t>
            </w:r>
            <w:r w:rsidRPr="008A2411">
              <w:rPr>
                <w:rFonts w:ascii="Times New Roman"/>
                <w:color w:val="000000" w:themeColor="text1"/>
                <w:sz w:val="21"/>
                <w:szCs w:val="21"/>
              </w:rPr>
              <w:t>套</w:t>
            </w:r>
            <w:r w:rsidRPr="008A2411">
              <w:rPr>
                <w:rFonts w:ascii="Times New Roman"/>
                <w:color w:val="000000" w:themeColor="text1"/>
                <w:sz w:val="21"/>
                <w:szCs w:val="21"/>
              </w:rPr>
              <w:t>0.5t/h</w:t>
            </w:r>
            <w:r w:rsidRPr="008A2411">
              <w:rPr>
                <w:rFonts w:ascii="Times New Roman"/>
                <w:color w:val="000000" w:themeColor="text1"/>
                <w:sz w:val="21"/>
                <w:szCs w:val="21"/>
              </w:rPr>
              <w:t>脱盐装置</w:t>
            </w:r>
            <w:r w:rsidRPr="008A2411">
              <w:rPr>
                <w:rFonts w:ascii="Times New Roman"/>
                <w:color w:val="000000" w:themeColor="text1"/>
                <w:sz w:val="21"/>
                <w:szCs w:val="21"/>
              </w:rPr>
              <w:t>1</w:t>
            </w:r>
            <w:r w:rsidRPr="008A2411">
              <w:rPr>
                <w:rFonts w:ascii="Times New Roman"/>
                <w:color w:val="000000" w:themeColor="text1"/>
                <w:sz w:val="21"/>
                <w:szCs w:val="21"/>
              </w:rPr>
              <w:t>套，采用</w:t>
            </w:r>
            <w:r w:rsidRPr="008A2411">
              <w:rPr>
                <w:rFonts w:ascii="Times New Roman" w:hint="eastAsia"/>
                <w:color w:val="000000" w:themeColor="text1"/>
                <w:sz w:val="21"/>
                <w:szCs w:val="21"/>
              </w:rPr>
              <w:t>“</w:t>
            </w:r>
            <w:r w:rsidRPr="008A2411">
              <w:rPr>
                <w:rFonts w:ascii="Times New Roman"/>
                <w:color w:val="000000" w:themeColor="text1"/>
                <w:sz w:val="21"/>
                <w:szCs w:val="21"/>
              </w:rPr>
              <w:t>超滤</w:t>
            </w:r>
            <w:r w:rsidRPr="008A2411">
              <w:rPr>
                <w:rFonts w:ascii="Times New Roman"/>
                <w:color w:val="000000" w:themeColor="text1"/>
                <w:sz w:val="21"/>
                <w:szCs w:val="21"/>
              </w:rPr>
              <w:t>+</w:t>
            </w:r>
            <w:r w:rsidRPr="008A2411">
              <w:rPr>
                <w:rFonts w:ascii="Times New Roman"/>
                <w:color w:val="000000" w:themeColor="text1"/>
                <w:sz w:val="21"/>
                <w:szCs w:val="21"/>
              </w:rPr>
              <w:t>反渗透膜</w:t>
            </w:r>
            <w:r w:rsidRPr="008A2411">
              <w:rPr>
                <w:rFonts w:ascii="Times New Roman" w:hint="eastAsia"/>
                <w:color w:val="000000" w:themeColor="text1"/>
                <w:sz w:val="21"/>
                <w:szCs w:val="21"/>
              </w:rPr>
              <w:t>”</w:t>
            </w:r>
            <w:r w:rsidRPr="008A2411">
              <w:rPr>
                <w:rFonts w:ascii="Times New Roman"/>
                <w:color w:val="000000" w:themeColor="text1"/>
                <w:sz w:val="21"/>
                <w:szCs w:val="21"/>
              </w:rPr>
              <w:t>处理工艺，为生产工艺提供脱盐水。</w:t>
            </w:r>
          </w:p>
        </w:tc>
        <w:tc>
          <w:tcPr>
            <w:tcW w:w="701" w:type="pct"/>
            <w:vMerge w:val="restart"/>
            <w:vAlign w:val="center"/>
          </w:tcPr>
          <w:p w14:paraId="3E524204" w14:textId="77777777" w:rsidR="00B0005F" w:rsidRPr="008A2411" w:rsidRDefault="00000000">
            <w:pPr>
              <w:adjustRightInd w:val="0"/>
              <w:snapToGrid w:val="0"/>
              <w:ind w:left="-50" w:right="-50"/>
              <w:jc w:val="center"/>
              <w:rPr>
                <w:rFonts w:ascii="Times New Roman"/>
                <w:color w:val="000000" w:themeColor="text1"/>
                <w:sz w:val="21"/>
                <w:szCs w:val="21"/>
              </w:rPr>
            </w:pPr>
            <w:r w:rsidRPr="008A2411">
              <w:rPr>
                <w:rFonts w:ascii="Times New Roman"/>
                <w:color w:val="000000" w:themeColor="text1"/>
                <w:sz w:val="21"/>
                <w:szCs w:val="21"/>
              </w:rPr>
              <w:t>施工废水</w:t>
            </w:r>
          </w:p>
          <w:p w14:paraId="74BB5696" w14:textId="77777777" w:rsidR="00B0005F" w:rsidRPr="008A2411" w:rsidRDefault="00000000">
            <w:pPr>
              <w:adjustRightInd w:val="0"/>
              <w:snapToGrid w:val="0"/>
              <w:ind w:left="-50" w:right="-50"/>
              <w:jc w:val="center"/>
              <w:rPr>
                <w:rFonts w:ascii="Times New Roman"/>
                <w:color w:val="000000" w:themeColor="text1"/>
                <w:sz w:val="21"/>
                <w:szCs w:val="21"/>
              </w:rPr>
            </w:pPr>
            <w:r w:rsidRPr="008A2411">
              <w:rPr>
                <w:rFonts w:ascii="Times New Roman"/>
                <w:color w:val="000000" w:themeColor="text1"/>
                <w:sz w:val="21"/>
                <w:szCs w:val="21"/>
              </w:rPr>
              <w:t>施工扬尘</w:t>
            </w:r>
          </w:p>
          <w:p w14:paraId="51F5AF1A" w14:textId="77777777" w:rsidR="00B0005F" w:rsidRPr="008A2411" w:rsidRDefault="00000000">
            <w:pPr>
              <w:adjustRightInd w:val="0"/>
              <w:snapToGrid w:val="0"/>
              <w:ind w:left="-50" w:right="-50"/>
              <w:jc w:val="center"/>
              <w:rPr>
                <w:rFonts w:ascii="Times New Roman"/>
                <w:color w:val="000000" w:themeColor="text1"/>
                <w:sz w:val="21"/>
                <w:szCs w:val="21"/>
              </w:rPr>
            </w:pPr>
            <w:r w:rsidRPr="008A2411">
              <w:rPr>
                <w:rFonts w:ascii="Times New Roman"/>
                <w:color w:val="000000" w:themeColor="text1"/>
                <w:sz w:val="21"/>
                <w:szCs w:val="21"/>
              </w:rPr>
              <w:t>施工噪声、建筑垃圾</w:t>
            </w:r>
          </w:p>
        </w:tc>
        <w:tc>
          <w:tcPr>
            <w:tcW w:w="799" w:type="pct"/>
            <w:vAlign w:val="center"/>
          </w:tcPr>
          <w:p w14:paraId="594B66F7"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设备噪声、废水</w:t>
            </w:r>
          </w:p>
        </w:tc>
      </w:tr>
      <w:tr w:rsidR="008A2411" w:rsidRPr="008A2411" w14:paraId="2DE8E32C" w14:textId="77777777">
        <w:trPr>
          <w:cantSplit/>
          <w:jc w:val="center"/>
        </w:trPr>
        <w:tc>
          <w:tcPr>
            <w:tcW w:w="536" w:type="pct"/>
            <w:vMerge/>
            <w:vAlign w:val="center"/>
          </w:tcPr>
          <w:p w14:paraId="43193703" w14:textId="77777777" w:rsidR="00B0005F" w:rsidRPr="008A2411" w:rsidRDefault="00B0005F">
            <w:pPr>
              <w:adjustRightInd w:val="0"/>
              <w:snapToGrid w:val="0"/>
              <w:ind w:leftChars="-50" w:left="-120" w:rightChars="-50" w:right="-120"/>
              <w:jc w:val="center"/>
              <w:rPr>
                <w:rFonts w:ascii="Times New Roman"/>
                <w:color w:val="000000" w:themeColor="text1"/>
                <w:sz w:val="21"/>
                <w:szCs w:val="21"/>
              </w:rPr>
            </w:pPr>
          </w:p>
        </w:tc>
        <w:tc>
          <w:tcPr>
            <w:tcW w:w="736" w:type="pct"/>
            <w:vAlign w:val="center"/>
          </w:tcPr>
          <w:p w14:paraId="396056FD"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氮气制备</w:t>
            </w:r>
          </w:p>
        </w:tc>
        <w:tc>
          <w:tcPr>
            <w:tcW w:w="2226" w:type="pct"/>
            <w:vAlign w:val="center"/>
          </w:tcPr>
          <w:p w14:paraId="3FF60D23" w14:textId="77777777" w:rsidR="00B0005F" w:rsidRPr="008A2411" w:rsidRDefault="00000000">
            <w:pPr>
              <w:adjustRightInd w:val="0"/>
              <w:snapToGrid w:val="0"/>
              <w:ind w:leftChars="-30" w:left="-72" w:rightChars="-30" w:right="-72"/>
              <w:jc w:val="left"/>
              <w:rPr>
                <w:rFonts w:ascii="Times New Roman"/>
                <w:color w:val="000000" w:themeColor="text1"/>
                <w:sz w:val="21"/>
                <w:szCs w:val="21"/>
              </w:rPr>
            </w:pPr>
            <w:r w:rsidRPr="008A2411">
              <w:rPr>
                <w:rFonts w:ascii="Times New Roman"/>
                <w:color w:val="000000" w:themeColor="text1"/>
                <w:sz w:val="21"/>
                <w:szCs w:val="21"/>
              </w:rPr>
              <w:t>站内</w:t>
            </w:r>
            <w:r w:rsidRPr="008A2411">
              <w:rPr>
                <w:rFonts w:ascii="Times New Roman"/>
                <w:color w:val="000000" w:themeColor="text1"/>
                <w:sz w:val="21"/>
                <w:szCs w:val="21"/>
              </w:rPr>
              <w:t>PSA</w:t>
            </w:r>
            <w:r w:rsidRPr="008A2411">
              <w:rPr>
                <w:rFonts w:ascii="Times New Roman"/>
                <w:color w:val="000000" w:themeColor="text1"/>
                <w:sz w:val="21"/>
                <w:szCs w:val="21"/>
              </w:rPr>
              <w:t>制氮系统</w:t>
            </w:r>
            <w:r w:rsidRPr="008A2411">
              <w:rPr>
                <w:rFonts w:ascii="Times New Roman"/>
                <w:color w:val="000000" w:themeColor="text1"/>
                <w:sz w:val="21"/>
                <w:szCs w:val="21"/>
              </w:rPr>
              <w:t>1</w:t>
            </w:r>
            <w:r w:rsidRPr="008A2411">
              <w:rPr>
                <w:rFonts w:ascii="Times New Roman"/>
                <w:color w:val="000000" w:themeColor="text1"/>
                <w:sz w:val="21"/>
                <w:szCs w:val="21"/>
              </w:rPr>
              <w:t>套（含</w:t>
            </w:r>
            <w:r w:rsidRPr="008A2411">
              <w:rPr>
                <w:rFonts w:ascii="Times New Roman"/>
                <w:color w:val="000000" w:themeColor="text1"/>
                <w:sz w:val="21"/>
                <w:szCs w:val="21"/>
              </w:rPr>
              <w:t>1</w:t>
            </w:r>
            <w:r w:rsidRPr="008A2411">
              <w:rPr>
                <w:rFonts w:ascii="Times New Roman"/>
                <w:color w:val="000000" w:themeColor="text1"/>
                <w:sz w:val="21"/>
                <w:szCs w:val="21"/>
              </w:rPr>
              <w:t>台空压机），产氮气量为</w:t>
            </w:r>
            <w:r w:rsidRPr="008A2411">
              <w:rPr>
                <w:rFonts w:ascii="Times New Roman"/>
                <w:color w:val="000000" w:themeColor="text1"/>
                <w:sz w:val="21"/>
                <w:szCs w:val="21"/>
              </w:rPr>
              <w:t>150Nm</w:t>
            </w:r>
            <w:r w:rsidRPr="008A2411">
              <w:rPr>
                <w:rFonts w:ascii="Times New Roman"/>
                <w:color w:val="000000" w:themeColor="text1"/>
                <w:sz w:val="21"/>
                <w:szCs w:val="21"/>
                <w:vertAlign w:val="superscript"/>
              </w:rPr>
              <w:t>3</w:t>
            </w:r>
            <w:r w:rsidRPr="008A2411">
              <w:rPr>
                <w:rFonts w:ascii="Times New Roman"/>
                <w:color w:val="000000" w:themeColor="text1"/>
                <w:sz w:val="21"/>
                <w:szCs w:val="21"/>
              </w:rPr>
              <w:t>/h</w:t>
            </w:r>
            <w:r w:rsidRPr="008A2411">
              <w:rPr>
                <w:rFonts w:ascii="Times New Roman"/>
                <w:color w:val="000000" w:themeColor="text1"/>
                <w:sz w:val="21"/>
                <w:szCs w:val="21"/>
              </w:rPr>
              <w:t>，出口氮气纯度为</w:t>
            </w:r>
            <w:r w:rsidRPr="008A2411">
              <w:rPr>
                <w:rFonts w:ascii="Times New Roman"/>
                <w:color w:val="000000" w:themeColor="text1"/>
                <w:sz w:val="21"/>
                <w:szCs w:val="21"/>
              </w:rPr>
              <w:t>99.95%</w:t>
            </w:r>
            <w:r w:rsidRPr="008A2411">
              <w:rPr>
                <w:rFonts w:ascii="Times New Roman"/>
                <w:color w:val="000000" w:themeColor="text1"/>
                <w:sz w:val="21"/>
                <w:szCs w:val="21"/>
              </w:rPr>
              <w:t>；</w:t>
            </w:r>
            <w:r w:rsidRPr="008A2411">
              <w:rPr>
                <w:rFonts w:ascii="Times New Roman"/>
                <w:color w:val="000000" w:themeColor="text1"/>
                <w:sz w:val="21"/>
                <w:szCs w:val="21"/>
              </w:rPr>
              <w:t xml:space="preserve"> </w:t>
            </w:r>
            <w:r w:rsidRPr="008A2411">
              <w:rPr>
                <w:rFonts w:ascii="Times New Roman"/>
                <w:color w:val="000000" w:themeColor="text1"/>
                <w:sz w:val="21"/>
                <w:szCs w:val="21"/>
              </w:rPr>
              <w:t>氮气液化，</w:t>
            </w:r>
            <w:r w:rsidRPr="008A2411">
              <w:rPr>
                <w:rFonts w:ascii="Times New Roman"/>
                <w:color w:val="000000" w:themeColor="text1"/>
                <w:sz w:val="21"/>
                <w:szCs w:val="21"/>
              </w:rPr>
              <w:t>30m</w:t>
            </w:r>
            <w:r w:rsidRPr="008A2411">
              <w:rPr>
                <w:rFonts w:ascii="Times New Roman"/>
                <w:color w:val="000000" w:themeColor="text1"/>
                <w:sz w:val="21"/>
                <w:szCs w:val="21"/>
                <w:vertAlign w:val="superscript"/>
              </w:rPr>
              <w:t>3</w:t>
            </w:r>
            <w:r w:rsidRPr="008A2411">
              <w:rPr>
                <w:rFonts w:ascii="Times New Roman"/>
                <w:color w:val="000000" w:themeColor="text1"/>
                <w:sz w:val="21"/>
                <w:szCs w:val="21"/>
              </w:rPr>
              <w:t>真空绝热储罐</w:t>
            </w:r>
            <w:r w:rsidRPr="008A2411">
              <w:rPr>
                <w:rFonts w:ascii="Times New Roman"/>
                <w:color w:val="000000" w:themeColor="text1"/>
                <w:sz w:val="21"/>
                <w:szCs w:val="21"/>
              </w:rPr>
              <w:t>1</w:t>
            </w:r>
            <w:r w:rsidRPr="008A2411">
              <w:rPr>
                <w:rFonts w:ascii="Times New Roman"/>
                <w:color w:val="000000" w:themeColor="text1"/>
                <w:sz w:val="21"/>
                <w:szCs w:val="21"/>
              </w:rPr>
              <w:t>只，处理气量</w:t>
            </w:r>
            <w:r w:rsidRPr="008A2411">
              <w:rPr>
                <w:rFonts w:ascii="Times New Roman"/>
                <w:color w:val="000000" w:themeColor="text1"/>
                <w:sz w:val="21"/>
                <w:szCs w:val="21"/>
              </w:rPr>
              <w:t>1000Nm</w:t>
            </w:r>
            <w:r w:rsidRPr="008A2411">
              <w:rPr>
                <w:rFonts w:ascii="Times New Roman"/>
                <w:color w:val="000000" w:themeColor="text1"/>
                <w:sz w:val="21"/>
                <w:szCs w:val="21"/>
                <w:vertAlign w:val="superscript"/>
              </w:rPr>
              <w:t>3</w:t>
            </w:r>
            <w:r w:rsidRPr="008A2411">
              <w:rPr>
                <w:rFonts w:ascii="Times New Roman"/>
                <w:color w:val="000000" w:themeColor="text1"/>
                <w:sz w:val="21"/>
                <w:szCs w:val="21"/>
              </w:rPr>
              <w:t>/h</w:t>
            </w:r>
            <w:r w:rsidRPr="008A2411">
              <w:rPr>
                <w:rFonts w:ascii="Times New Roman"/>
                <w:color w:val="000000" w:themeColor="text1"/>
                <w:sz w:val="21"/>
                <w:szCs w:val="21"/>
              </w:rPr>
              <w:t>的空温式液氮汽化器一台，立式氮气平衡罐</w:t>
            </w:r>
            <w:r w:rsidRPr="008A2411">
              <w:rPr>
                <w:rFonts w:ascii="Times New Roman"/>
                <w:color w:val="000000" w:themeColor="text1"/>
                <w:sz w:val="21"/>
                <w:szCs w:val="21"/>
              </w:rPr>
              <w:t>1</w:t>
            </w:r>
            <w:r w:rsidRPr="008A2411">
              <w:rPr>
                <w:rFonts w:ascii="Times New Roman"/>
                <w:color w:val="000000" w:themeColor="text1"/>
                <w:sz w:val="21"/>
                <w:szCs w:val="21"/>
              </w:rPr>
              <w:t>台</w:t>
            </w:r>
          </w:p>
        </w:tc>
        <w:tc>
          <w:tcPr>
            <w:tcW w:w="701" w:type="pct"/>
            <w:vMerge/>
            <w:vAlign w:val="center"/>
          </w:tcPr>
          <w:p w14:paraId="5D62E0C3" w14:textId="77777777" w:rsidR="00B0005F" w:rsidRPr="008A2411" w:rsidRDefault="00B0005F">
            <w:pPr>
              <w:adjustRightInd w:val="0"/>
              <w:snapToGrid w:val="0"/>
              <w:ind w:left="-50" w:right="-50"/>
              <w:jc w:val="center"/>
              <w:rPr>
                <w:rFonts w:ascii="Times New Roman"/>
                <w:color w:val="000000" w:themeColor="text1"/>
                <w:sz w:val="21"/>
                <w:szCs w:val="21"/>
              </w:rPr>
            </w:pPr>
          </w:p>
        </w:tc>
        <w:tc>
          <w:tcPr>
            <w:tcW w:w="799" w:type="pct"/>
            <w:vAlign w:val="center"/>
          </w:tcPr>
          <w:p w14:paraId="35558C01"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设备噪声</w:t>
            </w:r>
          </w:p>
        </w:tc>
      </w:tr>
      <w:tr w:rsidR="008A2411" w:rsidRPr="008A2411" w14:paraId="680897B0" w14:textId="77777777">
        <w:trPr>
          <w:cantSplit/>
          <w:jc w:val="center"/>
        </w:trPr>
        <w:tc>
          <w:tcPr>
            <w:tcW w:w="536" w:type="pct"/>
            <w:vMerge/>
            <w:vAlign w:val="center"/>
          </w:tcPr>
          <w:p w14:paraId="5A5FDC89" w14:textId="77777777" w:rsidR="00B0005F" w:rsidRPr="008A2411" w:rsidRDefault="00B0005F">
            <w:pPr>
              <w:adjustRightInd w:val="0"/>
              <w:snapToGrid w:val="0"/>
              <w:ind w:leftChars="-50" w:left="-120" w:rightChars="-50" w:right="-120"/>
              <w:jc w:val="center"/>
              <w:rPr>
                <w:rFonts w:ascii="Times New Roman"/>
                <w:color w:val="000000" w:themeColor="text1"/>
                <w:sz w:val="21"/>
                <w:szCs w:val="21"/>
              </w:rPr>
            </w:pPr>
          </w:p>
        </w:tc>
        <w:tc>
          <w:tcPr>
            <w:tcW w:w="736" w:type="pct"/>
            <w:vAlign w:val="center"/>
          </w:tcPr>
          <w:p w14:paraId="2A9C4D89"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分析化验及器材间</w:t>
            </w:r>
          </w:p>
        </w:tc>
        <w:tc>
          <w:tcPr>
            <w:tcW w:w="2226" w:type="pct"/>
            <w:vAlign w:val="center"/>
          </w:tcPr>
          <w:p w14:paraId="49574B79" w14:textId="77777777" w:rsidR="00B0005F" w:rsidRPr="008A2411" w:rsidRDefault="00000000">
            <w:pPr>
              <w:adjustRightInd w:val="0"/>
              <w:snapToGrid w:val="0"/>
              <w:ind w:leftChars="-30" w:left="-72" w:rightChars="-30" w:right="-72"/>
              <w:jc w:val="left"/>
              <w:rPr>
                <w:rFonts w:ascii="Times New Roman"/>
                <w:color w:val="000000" w:themeColor="text1"/>
                <w:sz w:val="21"/>
                <w:szCs w:val="21"/>
              </w:rPr>
            </w:pPr>
            <w:r w:rsidRPr="008A2411">
              <w:rPr>
                <w:rFonts w:ascii="Times New Roman"/>
                <w:color w:val="000000" w:themeColor="text1"/>
                <w:sz w:val="21"/>
                <w:szCs w:val="21"/>
              </w:rPr>
              <w:t>设置化验及器材间</w:t>
            </w:r>
            <w:r w:rsidRPr="008A2411">
              <w:rPr>
                <w:rFonts w:ascii="Times New Roman"/>
                <w:color w:val="000000" w:themeColor="text1"/>
                <w:sz w:val="21"/>
                <w:szCs w:val="21"/>
              </w:rPr>
              <w:t>1</w:t>
            </w:r>
            <w:r w:rsidRPr="008A2411">
              <w:rPr>
                <w:rFonts w:ascii="Times New Roman"/>
                <w:color w:val="000000" w:themeColor="text1"/>
                <w:sz w:val="21"/>
                <w:szCs w:val="21"/>
              </w:rPr>
              <w:t>座，占地</w:t>
            </w:r>
            <w:r w:rsidRPr="008A2411">
              <w:rPr>
                <w:rFonts w:ascii="Times New Roman"/>
                <w:color w:val="000000" w:themeColor="text1"/>
                <w:sz w:val="21"/>
                <w:szCs w:val="21"/>
              </w:rPr>
              <w:t>120m</w:t>
            </w:r>
            <w:r w:rsidRPr="008A2411">
              <w:rPr>
                <w:rFonts w:ascii="Times New Roman"/>
                <w:color w:val="000000" w:themeColor="text1"/>
                <w:sz w:val="21"/>
                <w:szCs w:val="21"/>
                <w:vertAlign w:val="superscript"/>
              </w:rPr>
              <w:t>2</w:t>
            </w:r>
            <w:r w:rsidRPr="008A2411">
              <w:rPr>
                <w:rFonts w:ascii="Times New Roman"/>
                <w:color w:val="000000" w:themeColor="text1"/>
                <w:sz w:val="21"/>
                <w:szCs w:val="21"/>
              </w:rPr>
              <w:t>，配套化验设备</w:t>
            </w:r>
            <w:r w:rsidRPr="008A2411">
              <w:rPr>
                <w:rFonts w:ascii="Times New Roman" w:hint="eastAsia"/>
                <w:color w:val="000000" w:themeColor="text1"/>
                <w:sz w:val="21"/>
                <w:szCs w:val="21"/>
              </w:rPr>
              <w:t>，用于生产（产品）控制的分析化验</w:t>
            </w:r>
          </w:p>
        </w:tc>
        <w:tc>
          <w:tcPr>
            <w:tcW w:w="701" w:type="pct"/>
            <w:vMerge/>
            <w:vAlign w:val="center"/>
          </w:tcPr>
          <w:p w14:paraId="34F73E78" w14:textId="77777777" w:rsidR="00B0005F" w:rsidRPr="008A2411" w:rsidRDefault="00B0005F">
            <w:pPr>
              <w:adjustRightInd w:val="0"/>
              <w:snapToGrid w:val="0"/>
              <w:ind w:left="-50" w:right="-50"/>
              <w:jc w:val="center"/>
              <w:rPr>
                <w:rFonts w:ascii="Times New Roman"/>
                <w:color w:val="000000" w:themeColor="text1"/>
                <w:sz w:val="21"/>
                <w:szCs w:val="21"/>
              </w:rPr>
            </w:pPr>
          </w:p>
        </w:tc>
        <w:tc>
          <w:tcPr>
            <w:tcW w:w="799" w:type="pct"/>
            <w:vAlign w:val="center"/>
          </w:tcPr>
          <w:p w14:paraId="0C244F73" w14:textId="77777777" w:rsidR="00B0005F" w:rsidRPr="008A2411" w:rsidRDefault="00000000">
            <w:pPr>
              <w:adjustRightInd w:val="0"/>
              <w:snapToGrid w:val="0"/>
              <w:ind w:leftChars="-50" w:left="-120" w:rightChars="-50" w:right="-120"/>
              <w:jc w:val="center"/>
              <w:rPr>
                <w:rFonts w:ascii="Times New Roman"/>
                <w:color w:val="000000" w:themeColor="text1"/>
                <w:sz w:val="21"/>
                <w:szCs w:val="21"/>
              </w:rPr>
            </w:pPr>
            <w:r w:rsidRPr="008A2411">
              <w:rPr>
                <w:rFonts w:ascii="Times New Roman"/>
                <w:color w:val="000000" w:themeColor="text1"/>
                <w:sz w:val="21"/>
                <w:szCs w:val="21"/>
              </w:rPr>
              <w:t>化验废液</w:t>
            </w:r>
          </w:p>
        </w:tc>
      </w:tr>
      <w:tr w:rsidR="008A2411" w:rsidRPr="008A2411" w14:paraId="0771CD0E" w14:textId="77777777">
        <w:trPr>
          <w:cantSplit/>
          <w:trHeight w:val="371"/>
          <w:jc w:val="center"/>
        </w:trPr>
        <w:tc>
          <w:tcPr>
            <w:tcW w:w="536" w:type="pct"/>
            <w:vMerge/>
            <w:vAlign w:val="center"/>
          </w:tcPr>
          <w:p w14:paraId="2CB01B86" w14:textId="77777777" w:rsidR="00B0005F" w:rsidRPr="008A2411" w:rsidRDefault="00B0005F">
            <w:pPr>
              <w:adjustRightInd w:val="0"/>
              <w:snapToGrid w:val="0"/>
              <w:ind w:leftChars="-50" w:left="-120" w:rightChars="-50" w:right="-120"/>
              <w:jc w:val="center"/>
              <w:rPr>
                <w:rFonts w:ascii="Times New Roman"/>
                <w:color w:val="000000" w:themeColor="text1"/>
                <w:sz w:val="21"/>
                <w:szCs w:val="21"/>
              </w:rPr>
            </w:pPr>
          </w:p>
        </w:tc>
        <w:tc>
          <w:tcPr>
            <w:tcW w:w="736" w:type="pct"/>
            <w:vAlign w:val="center"/>
          </w:tcPr>
          <w:p w14:paraId="7B1C9C52"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循环水</w:t>
            </w:r>
          </w:p>
          <w:p w14:paraId="13A60248"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系统</w:t>
            </w:r>
          </w:p>
        </w:tc>
        <w:tc>
          <w:tcPr>
            <w:tcW w:w="2226" w:type="pct"/>
            <w:vAlign w:val="center"/>
          </w:tcPr>
          <w:p w14:paraId="62B24DCF" w14:textId="77777777" w:rsidR="00B0005F" w:rsidRPr="008A2411" w:rsidRDefault="00000000">
            <w:pPr>
              <w:adjustRightInd w:val="0"/>
              <w:snapToGrid w:val="0"/>
              <w:ind w:leftChars="-30" w:left="-72" w:rightChars="-30" w:right="-72"/>
              <w:jc w:val="left"/>
              <w:rPr>
                <w:rFonts w:ascii="Times New Roman"/>
                <w:color w:val="000000" w:themeColor="text1"/>
                <w:sz w:val="21"/>
                <w:szCs w:val="21"/>
              </w:rPr>
            </w:pPr>
            <w:proofErr w:type="gramStart"/>
            <w:r w:rsidRPr="008A2411">
              <w:rPr>
                <w:rFonts w:ascii="Times New Roman"/>
                <w:color w:val="000000" w:themeColor="text1"/>
                <w:sz w:val="21"/>
                <w:szCs w:val="21"/>
              </w:rPr>
              <w:t>全厂建</w:t>
            </w:r>
            <w:proofErr w:type="gramEnd"/>
            <w:r w:rsidRPr="008A2411">
              <w:rPr>
                <w:rFonts w:ascii="Times New Roman"/>
                <w:color w:val="000000" w:themeColor="text1"/>
                <w:sz w:val="21"/>
                <w:szCs w:val="21"/>
              </w:rPr>
              <w:t>1</w:t>
            </w:r>
            <w:r w:rsidRPr="008A2411">
              <w:rPr>
                <w:rFonts w:ascii="Times New Roman"/>
                <w:color w:val="000000" w:themeColor="text1"/>
                <w:sz w:val="21"/>
                <w:szCs w:val="21"/>
              </w:rPr>
              <w:t>套</w:t>
            </w:r>
            <w:r w:rsidRPr="008A2411">
              <w:rPr>
                <w:rFonts w:ascii="Times New Roman"/>
                <w:color w:val="000000" w:themeColor="text1"/>
                <w:sz w:val="21"/>
                <w:szCs w:val="21"/>
              </w:rPr>
              <w:t>1600m</w:t>
            </w:r>
            <w:r w:rsidRPr="008A2411">
              <w:rPr>
                <w:rFonts w:ascii="Times New Roman"/>
                <w:color w:val="000000" w:themeColor="text1"/>
                <w:sz w:val="21"/>
                <w:szCs w:val="21"/>
                <w:vertAlign w:val="superscript"/>
              </w:rPr>
              <w:t>3</w:t>
            </w:r>
            <w:r w:rsidRPr="008A2411">
              <w:rPr>
                <w:rFonts w:ascii="Times New Roman"/>
                <w:color w:val="000000" w:themeColor="text1"/>
                <w:sz w:val="21"/>
                <w:szCs w:val="21"/>
              </w:rPr>
              <w:t>/h</w:t>
            </w:r>
            <w:r w:rsidRPr="008A2411">
              <w:rPr>
                <w:rFonts w:ascii="Times New Roman"/>
                <w:color w:val="000000" w:themeColor="text1"/>
                <w:sz w:val="21"/>
                <w:szCs w:val="21"/>
              </w:rPr>
              <w:t>规模的循环水站，站内设低噪声型逆流玻璃钢冷却塔</w:t>
            </w:r>
            <w:r w:rsidRPr="008A2411">
              <w:rPr>
                <w:rFonts w:ascii="Times New Roman"/>
                <w:color w:val="000000" w:themeColor="text1"/>
                <w:sz w:val="21"/>
                <w:szCs w:val="21"/>
              </w:rPr>
              <w:t>2</w:t>
            </w:r>
            <w:r w:rsidRPr="008A2411">
              <w:rPr>
                <w:rFonts w:ascii="Times New Roman"/>
                <w:color w:val="000000" w:themeColor="text1"/>
                <w:sz w:val="21"/>
                <w:szCs w:val="21"/>
              </w:rPr>
              <w:t>台，单台能力</w:t>
            </w:r>
            <w:r w:rsidRPr="008A2411">
              <w:rPr>
                <w:rFonts w:ascii="Times New Roman"/>
                <w:color w:val="000000" w:themeColor="text1"/>
                <w:sz w:val="21"/>
                <w:szCs w:val="21"/>
              </w:rPr>
              <w:t>800m</w:t>
            </w:r>
            <w:r w:rsidRPr="008A2411">
              <w:rPr>
                <w:rFonts w:ascii="Times New Roman"/>
                <w:color w:val="000000" w:themeColor="text1"/>
                <w:sz w:val="21"/>
                <w:szCs w:val="21"/>
                <w:vertAlign w:val="superscript"/>
              </w:rPr>
              <w:t>3</w:t>
            </w:r>
            <w:r w:rsidRPr="008A2411">
              <w:rPr>
                <w:rFonts w:ascii="Times New Roman"/>
                <w:color w:val="000000" w:themeColor="text1"/>
                <w:sz w:val="21"/>
                <w:szCs w:val="21"/>
              </w:rPr>
              <w:t>/h</w:t>
            </w:r>
            <w:r w:rsidRPr="008A2411">
              <w:rPr>
                <w:rFonts w:ascii="Times New Roman"/>
                <w:color w:val="000000" w:themeColor="text1"/>
                <w:sz w:val="21"/>
                <w:szCs w:val="21"/>
              </w:rPr>
              <w:t>，集水池</w:t>
            </w:r>
            <w:r w:rsidRPr="008A2411">
              <w:rPr>
                <w:rFonts w:ascii="Times New Roman"/>
                <w:color w:val="000000" w:themeColor="text1"/>
                <w:sz w:val="21"/>
                <w:szCs w:val="21"/>
              </w:rPr>
              <w:t>1</w:t>
            </w:r>
            <w:r w:rsidRPr="008A2411">
              <w:rPr>
                <w:rFonts w:ascii="Times New Roman"/>
                <w:color w:val="000000" w:themeColor="text1"/>
                <w:sz w:val="21"/>
                <w:szCs w:val="21"/>
              </w:rPr>
              <w:t>座；循环冷却水泵</w:t>
            </w:r>
            <w:r w:rsidRPr="008A2411">
              <w:rPr>
                <w:rFonts w:ascii="Times New Roman"/>
                <w:color w:val="000000" w:themeColor="text1"/>
                <w:sz w:val="21"/>
                <w:szCs w:val="21"/>
              </w:rPr>
              <w:t>3</w:t>
            </w:r>
            <w:r w:rsidRPr="008A2411">
              <w:rPr>
                <w:rFonts w:ascii="Times New Roman"/>
                <w:color w:val="000000" w:themeColor="text1"/>
                <w:sz w:val="21"/>
                <w:szCs w:val="21"/>
              </w:rPr>
              <w:t>台，</w:t>
            </w:r>
            <w:r w:rsidRPr="008A2411">
              <w:rPr>
                <w:rFonts w:ascii="Times New Roman"/>
                <w:color w:val="000000" w:themeColor="text1"/>
                <w:sz w:val="21"/>
                <w:szCs w:val="21"/>
              </w:rPr>
              <w:t>2</w:t>
            </w:r>
            <w:r w:rsidRPr="008A2411">
              <w:rPr>
                <w:rFonts w:ascii="Times New Roman"/>
                <w:color w:val="000000" w:themeColor="text1"/>
                <w:sz w:val="21"/>
                <w:szCs w:val="21"/>
              </w:rPr>
              <w:t>用</w:t>
            </w:r>
            <w:r w:rsidRPr="008A2411">
              <w:rPr>
                <w:rFonts w:ascii="Times New Roman"/>
                <w:color w:val="000000" w:themeColor="text1"/>
                <w:sz w:val="21"/>
                <w:szCs w:val="21"/>
              </w:rPr>
              <w:t>1</w:t>
            </w:r>
            <w:r w:rsidRPr="008A2411">
              <w:rPr>
                <w:rFonts w:ascii="Times New Roman"/>
                <w:color w:val="000000" w:themeColor="text1"/>
                <w:sz w:val="21"/>
                <w:szCs w:val="21"/>
              </w:rPr>
              <w:t>备</w:t>
            </w:r>
          </w:p>
        </w:tc>
        <w:tc>
          <w:tcPr>
            <w:tcW w:w="701" w:type="pct"/>
            <w:vMerge/>
            <w:vAlign w:val="center"/>
          </w:tcPr>
          <w:p w14:paraId="6D5FED3E" w14:textId="77777777" w:rsidR="00B0005F" w:rsidRPr="008A2411" w:rsidRDefault="00B0005F">
            <w:pPr>
              <w:adjustRightInd w:val="0"/>
              <w:snapToGrid w:val="0"/>
              <w:ind w:left="-50" w:right="-50"/>
              <w:jc w:val="center"/>
              <w:rPr>
                <w:rFonts w:ascii="Times New Roman"/>
                <w:color w:val="000000" w:themeColor="text1"/>
                <w:sz w:val="21"/>
                <w:szCs w:val="21"/>
              </w:rPr>
            </w:pPr>
          </w:p>
        </w:tc>
        <w:tc>
          <w:tcPr>
            <w:tcW w:w="799" w:type="pct"/>
            <w:vAlign w:val="center"/>
          </w:tcPr>
          <w:p w14:paraId="141D44B5" w14:textId="77777777" w:rsidR="00B0005F" w:rsidRPr="008A2411" w:rsidRDefault="00000000">
            <w:pPr>
              <w:adjustRightInd w:val="0"/>
              <w:snapToGrid w:val="0"/>
              <w:ind w:leftChars="-50" w:left="-120" w:rightChars="-50" w:right="-120"/>
              <w:jc w:val="center"/>
              <w:rPr>
                <w:rFonts w:ascii="Times New Roman"/>
                <w:color w:val="000000" w:themeColor="text1"/>
                <w:sz w:val="21"/>
                <w:szCs w:val="21"/>
              </w:rPr>
            </w:pPr>
            <w:r w:rsidRPr="008A2411">
              <w:rPr>
                <w:rFonts w:ascii="Times New Roman"/>
                <w:color w:val="000000" w:themeColor="text1"/>
                <w:sz w:val="21"/>
                <w:szCs w:val="21"/>
              </w:rPr>
              <w:t>设备噪声、</w:t>
            </w:r>
          </w:p>
          <w:p w14:paraId="41E19DDC"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循环排水</w:t>
            </w:r>
          </w:p>
        </w:tc>
      </w:tr>
      <w:tr w:rsidR="008A2411" w:rsidRPr="008A2411" w14:paraId="656FE2E9" w14:textId="77777777">
        <w:trPr>
          <w:cantSplit/>
          <w:trHeight w:val="90"/>
          <w:jc w:val="center"/>
        </w:trPr>
        <w:tc>
          <w:tcPr>
            <w:tcW w:w="536" w:type="pct"/>
            <w:vMerge/>
            <w:vAlign w:val="center"/>
          </w:tcPr>
          <w:p w14:paraId="33D4342E" w14:textId="77777777" w:rsidR="00B0005F" w:rsidRPr="008A2411" w:rsidRDefault="00B0005F">
            <w:pPr>
              <w:adjustRightInd w:val="0"/>
              <w:snapToGrid w:val="0"/>
              <w:ind w:leftChars="-50" w:left="-120" w:rightChars="-50" w:right="-120"/>
              <w:jc w:val="center"/>
              <w:rPr>
                <w:rFonts w:ascii="Times New Roman"/>
                <w:color w:val="000000" w:themeColor="text1"/>
                <w:sz w:val="21"/>
                <w:szCs w:val="21"/>
              </w:rPr>
            </w:pPr>
          </w:p>
        </w:tc>
        <w:tc>
          <w:tcPr>
            <w:tcW w:w="736" w:type="pct"/>
            <w:vAlign w:val="center"/>
          </w:tcPr>
          <w:p w14:paraId="6EE294FC" w14:textId="77777777" w:rsidR="00B0005F" w:rsidRPr="008A2411" w:rsidRDefault="00000000">
            <w:pPr>
              <w:adjustRightInd w:val="0"/>
              <w:snapToGrid w:val="0"/>
              <w:ind w:left="-50" w:rightChars="-30" w:right="-72"/>
              <w:jc w:val="center"/>
              <w:rPr>
                <w:rFonts w:ascii="Times New Roman"/>
                <w:color w:val="000000" w:themeColor="text1"/>
                <w:sz w:val="21"/>
                <w:szCs w:val="21"/>
              </w:rPr>
            </w:pPr>
            <w:r w:rsidRPr="008A2411">
              <w:rPr>
                <w:rFonts w:ascii="Times New Roman"/>
                <w:color w:val="000000" w:themeColor="text1"/>
                <w:sz w:val="21"/>
                <w:szCs w:val="21"/>
              </w:rPr>
              <w:t>供</w:t>
            </w:r>
            <w:r w:rsidRPr="008A2411">
              <w:rPr>
                <w:rFonts w:ascii="Times New Roman"/>
                <w:color w:val="000000" w:themeColor="text1"/>
                <w:sz w:val="21"/>
                <w:szCs w:val="21"/>
              </w:rPr>
              <w:t xml:space="preserve">  </w:t>
            </w:r>
            <w:r w:rsidRPr="008A2411">
              <w:rPr>
                <w:rFonts w:ascii="Times New Roman"/>
                <w:color w:val="000000" w:themeColor="text1"/>
                <w:sz w:val="21"/>
                <w:szCs w:val="21"/>
              </w:rPr>
              <w:t>水</w:t>
            </w:r>
          </w:p>
        </w:tc>
        <w:tc>
          <w:tcPr>
            <w:tcW w:w="2226" w:type="pct"/>
            <w:vAlign w:val="center"/>
          </w:tcPr>
          <w:p w14:paraId="057A844E" w14:textId="77777777" w:rsidR="00B0005F" w:rsidRPr="008A2411" w:rsidRDefault="00000000">
            <w:pPr>
              <w:adjustRightInd w:val="0"/>
              <w:snapToGrid w:val="0"/>
              <w:ind w:leftChars="-30" w:left="-72" w:rightChars="-30" w:right="-72"/>
              <w:jc w:val="left"/>
              <w:rPr>
                <w:rFonts w:ascii="Times New Roman"/>
                <w:color w:val="000000" w:themeColor="text1"/>
                <w:sz w:val="21"/>
                <w:szCs w:val="21"/>
              </w:rPr>
            </w:pPr>
            <w:r w:rsidRPr="008A2411">
              <w:rPr>
                <w:rFonts w:ascii="Times New Roman"/>
                <w:color w:val="000000" w:themeColor="text1"/>
                <w:sz w:val="21"/>
                <w:szCs w:val="21"/>
              </w:rPr>
              <w:t>由园区自来水供应解决</w:t>
            </w:r>
          </w:p>
        </w:tc>
        <w:tc>
          <w:tcPr>
            <w:tcW w:w="701" w:type="pct"/>
            <w:vMerge/>
            <w:vAlign w:val="center"/>
          </w:tcPr>
          <w:p w14:paraId="48326872" w14:textId="77777777" w:rsidR="00B0005F" w:rsidRPr="008A2411" w:rsidRDefault="00B0005F">
            <w:pPr>
              <w:adjustRightInd w:val="0"/>
              <w:snapToGrid w:val="0"/>
              <w:ind w:left="-50" w:right="-50"/>
              <w:jc w:val="center"/>
              <w:rPr>
                <w:rFonts w:ascii="Times New Roman"/>
                <w:color w:val="000000" w:themeColor="text1"/>
                <w:sz w:val="21"/>
                <w:szCs w:val="21"/>
              </w:rPr>
            </w:pPr>
          </w:p>
        </w:tc>
        <w:tc>
          <w:tcPr>
            <w:tcW w:w="799" w:type="pct"/>
            <w:vAlign w:val="center"/>
          </w:tcPr>
          <w:p w14:paraId="50DDBB86"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设备噪声</w:t>
            </w:r>
          </w:p>
        </w:tc>
      </w:tr>
      <w:tr w:rsidR="008A2411" w:rsidRPr="008A2411" w14:paraId="27ADA53A" w14:textId="77777777">
        <w:trPr>
          <w:cantSplit/>
          <w:trHeight w:val="441"/>
          <w:jc w:val="center"/>
        </w:trPr>
        <w:tc>
          <w:tcPr>
            <w:tcW w:w="536" w:type="pct"/>
            <w:vMerge/>
            <w:vAlign w:val="center"/>
          </w:tcPr>
          <w:p w14:paraId="1060FFAE" w14:textId="77777777" w:rsidR="00B0005F" w:rsidRPr="008A2411" w:rsidRDefault="00B0005F">
            <w:pPr>
              <w:adjustRightInd w:val="0"/>
              <w:snapToGrid w:val="0"/>
              <w:ind w:leftChars="-50" w:left="-120" w:rightChars="-50" w:right="-120"/>
              <w:jc w:val="center"/>
              <w:rPr>
                <w:rFonts w:ascii="Times New Roman"/>
                <w:color w:val="000000" w:themeColor="text1"/>
                <w:sz w:val="21"/>
                <w:szCs w:val="21"/>
              </w:rPr>
            </w:pPr>
          </w:p>
        </w:tc>
        <w:tc>
          <w:tcPr>
            <w:tcW w:w="736" w:type="pct"/>
            <w:vAlign w:val="center"/>
          </w:tcPr>
          <w:p w14:paraId="743D736D"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供</w:t>
            </w:r>
            <w:r w:rsidRPr="008A2411">
              <w:rPr>
                <w:rFonts w:ascii="Times New Roman"/>
                <w:color w:val="000000" w:themeColor="text1"/>
                <w:sz w:val="21"/>
                <w:szCs w:val="21"/>
              </w:rPr>
              <w:t xml:space="preserve">  </w:t>
            </w:r>
            <w:r w:rsidRPr="008A2411">
              <w:rPr>
                <w:rFonts w:ascii="Times New Roman"/>
                <w:color w:val="000000" w:themeColor="text1"/>
                <w:sz w:val="21"/>
                <w:szCs w:val="21"/>
              </w:rPr>
              <w:t>热</w:t>
            </w:r>
          </w:p>
        </w:tc>
        <w:tc>
          <w:tcPr>
            <w:tcW w:w="2226" w:type="pct"/>
            <w:vAlign w:val="center"/>
          </w:tcPr>
          <w:p w14:paraId="748205CB" w14:textId="77777777" w:rsidR="00B0005F" w:rsidRPr="008A2411" w:rsidRDefault="00000000">
            <w:pPr>
              <w:adjustRightInd w:val="0"/>
              <w:snapToGrid w:val="0"/>
              <w:ind w:leftChars="-30" w:left="-72" w:rightChars="-30" w:right="-72"/>
              <w:jc w:val="left"/>
              <w:rPr>
                <w:rFonts w:ascii="Times New Roman"/>
                <w:color w:val="000000" w:themeColor="text1"/>
                <w:sz w:val="21"/>
                <w:szCs w:val="21"/>
              </w:rPr>
            </w:pPr>
            <w:r w:rsidRPr="008A2411">
              <w:rPr>
                <w:rFonts w:ascii="Times New Roman"/>
                <w:color w:val="000000" w:themeColor="text1"/>
                <w:sz w:val="21"/>
                <w:szCs w:val="21"/>
              </w:rPr>
              <w:t>设置导热油炉</w:t>
            </w:r>
            <w:r w:rsidRPr="008A2411">
              <w:rPr>
                <w:rFonts w:ascii="Times New Roman"/>
                <w:color w:val="000000" w:themeColor="text1"/>
                <w:sz w:val="21"/>
                <w:szCs w:val="21"/>
              </w:rPr>
              <w:t>2</w:t>
            </w:r>
            <w:r w:rsidRPr="008A2411">
              <w:rPr>
                <w:rFonts w:ascii="Times New Roman"/>
                <w:color w:val="000000" w:themeColor="text1"/>
                <w:sz w:val="21"/>
                <w:szCs w:val="21"/>
              </w:rPr>
              <w:t>台（</w:t>
            </w:r>
            <w:r w:rsidRPr="008A2411">
              <w:rPr>
                <w:rFonts w:ascii="Times New Roman"/>
                <w:color w:val="000000" w:themeColor="text1"/>
                <w:sz w:val="21"/>
                <w:szCs w:val="21"/>
              </w:rPr>
              <w:t>1</w:t>
            </w:r>
            <w:r w:rsidRPr="008A2411">
              <w:rPr>
                <w:rFonts w:ascii="Times New Roman"/>
                <w:color w:val="000000" w:themeColor="text1"/>
                <w:sz w:val="21"/>
                <w:szCs w:val="21"/>
              </w:rPr>
              <w:t>备</w:t>
            </w:r>
            <w:r w:rsidRPr="008A2411">
              <w:rPr>
                <w:rFonts w:ascii="Times New Roman"/>
                <w:color w:val="000000" w:themeColor="text1"/>
                <w:sz w:val="21"/>
                <w:szCs w:val="21"/>
              </w:rPr>
              <w:t>1</w:t>
            </w:r>
            <w:r w:rsidRPr="008A2411">
              <w:rPr>
                <w:rFonts w:ascii="Times New Roman"/>
                <w:color w:val="000000" w:themeColor="text1"/>
                <w:sz w:val="21"/>
                <w:szCs w:val="21"/>
              </w:rPr>
              <w:t>用），为脱碳、脱水系统提供热量。</w:t>
            </w:r>
          </w:p>
        </w:tc>
        <w:tc>
          <w:tcPr>
            <w:tcW w:w="701" w:type="pct"/>
            <w:vMerge/>
            <w:vAlign w:val="center"/>
          </w:tcPr>
          <w:p w14:paraId="3B253DD9" w14:textId="77777777" w:rsidR="00B0005F" w:rsidRPr="008A2411" w:rsidRDefault="00B0005F">
            <w:pPr>
              <w:adjustRightInd w:val="0"/>
              <w:snapToGrid w:val="0"/>
              <w:ind w:left="-50" w:right="-50"/>
              <w:jc w:val="center"/>
              <w:rPr>
                <w:rFonts w:ascii="Times New Roman"/>
                <w:color w:val="000000" w:themeColor="text1"/>
                <w:sz w:val="21"/>
                <w:szCs w:val="21"/>
              </w:rPr>
            </w:pPr>
          </w:p>
        </w:tc>
        <w:tc>
          <w:tcPr>
            <w:tcW w:w="799" w:type="pct"/>
            <w:vAlign w:val="center"/>
          </w:tcPr>
          <w:p w14:paraId="1EC28679"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废气、噪声</w:t>
            </w:r>
          </w:p>
        </w:tc>
      </w:tr>
      <w:tr w:rsidR="008A2411" w:rsidRPr="008A2411" w14:paraId="654B5320" w14:textId="77777777">
        <w:trPr>
          <w:cantSplit/>
          <w:trHeight w:val="231"/>
          <w:jc w:val="center"/>
        </w:trPr>
        <w:tc>
          <w:tcPr>
            <w:tcW w:w="536" w:type="pct"/>
            <w:vMerge/>
            <w:vAlign w:val="center"/>
          </w:tcPr>
          <w:p w14:paraId="4BA870AB" w14:textId="77777777" w:rsidR="00B0005F" w:rsidRPr="008A2411" w:rsidRDefault="00B0005F">
            <w:pPr>
              <w:adjustRightInd w:val="0"/>
              <w:snapToGrid w:val="0"/>
              <w:ind w:leftChars="-50" w:left="-120" w:rightChars="-50" w:right="-120"/>
              <w:jc w:val="center"/>
              <w:rPr>
                <w:rFonts w:ascii="Times New Roman"/>
                <w:color w:val="000000" w:themeColor="text1"/>
                <w:sz w:val="21"/>
                <w:szCs w:val="21"/>
              </w:rPr>
            </w:pPr>
          </w:p>
        </w:tc>
        <w:tc>
          <w:tcPr>
            <w:tcW w:w="736" w:type="pct"/>
            <w:vAlign w:val="center"/>
          </w:tcPr>
          <w:p w14:paraId="17F73EB8"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供</w:t>
            </w:r>
            <w:r w:rsidRPr="008A2411">
              <w:rPr>
                <w:rFonts w:ascii="Times New Roman"/>
                <w:color w:val="000000" w:themeColor="text1"/>
                <w:sz w:val="21"/>
                <w:szCs w:val="21"/>
              </w:rPr>
              <w:t xml:space="preserve">  </w:t>
            </w:r>
            <w:r w:rsidRPr="008A2411">
              <w:rPr>
                <w:rFonts w:ascii="Times New Roman"/>
                <w:color w:val="000000" w:themeColor="text1"/>
                <w:sz w:val="21"/>
                <w:szCs w:val="21"/>
              </w:rPr>
              <w:t>电</w:t>
            </w:r>
          </w:p>
        </w:tc>
        <w:tc>
          <w:tcPr>
            <w:tcW w:w="2226" w:type="pct"/>
            <w:vAlign w:val="center"/>
          </w:tcPr>
          <w:p w14:paraId="032DD038" w14:textId="08EE6193" w:rsidR="00B0005F" w:rsidRPr="008A2411" w:rsidRDefault="00846A16">
            <w:pPr>
              <w:adjustRightInd w:val="0"/>
              <w:snapToGrid w:val="0"/>
              <w:ind w:leftChars="-30" w:left="-72" w:rightChars="-30" w:right="-72"/>
              <w:jc w:val="left"/>
              <w:rPr>
                <w:rFonts w:ascii="Times New Roman"/>
                <w:color w:val="000000" w:themeColor="text1"/>
                <w:sz w:val="21"/>
                <w:szCs w:val="21"/>
              </w:rPr>
            </w:pPr>
            <w:r w:rsidRPr="008A2411">
              <w:rPr>
                <w:rFonts w:ascii="Times New Roman"/>
                <w:color w:val="000000" w:themeColor="text1"/>
                <w:sz w:val="21"/>
                <w:szCs w:val="21"/>
              </w:rPr>
              <w:t>本项目从园区变电站引一路</w:t>
            </w:r>
            <w:r w:rsidRPr="008A2411">
              <w:rPr>
                <w:rFonts w:ascii="Times New Roman"/>
                <w:color w:val="000000" w:themeColor="text1"/>
                <w:sz w:val="21"/>
                <w:szCs w:val="21"/>
              </w:rPr>
              <w:t>35kV</w:t>
            </w:r>
            <w:r w:rsidRPr="008A2411">
              <w:rPr>
                <w:rFonts w:ascii="Times New Roman"/>
                <w:color w:val="000000" w:themeColor="text1"/>
                <w:sz w:val="21"/>
                <w:szCs w:val="21"/>
              </w:rPr>
              <w:t>专线，作为本项目主电源。</w:t>
            </w:r>
            <w:proofErr w:type="gramStart"/>
            <w:r w:rsidRPr="008A2411">
              <w:rPr>
                <w:rFonts w:ascii="Times New Roman"/>
                <w:color w:val="000000" w:themeColor="text1"/>
                <w:sz w:val="21"/>
                <w:szCs w:val="21"/>
              </w:rPr>
              <w:t>另引一路</w:t>
            </w:r>
            <w:proofErr w:type="gramEnd"/>
            <w:r w:rsidRPr="008A2411">
              <w:rPr>
                <w:rFonts w:ascii="Times New Roman"/>
                <w:color w:val="000000" w:themeColor="text1"/>
                <w:sz w:val="21"/>
                <w:szCs w:val="21"/>
              </w:rPr>
              <w:t>10kV</w:t>
            </w:r>
            <w:r w:rsidRPr="008A2411">
              <w:rPr>
                <w:rFonts w:ascii="Times New Roman"/>
                <w:color w:val="000000" w:themeColor="text1"/>
                <w:sz w:val="21"/>
                <w:szCs w:val="21"/>
              </w:rPr>
              <w:t>电源作为本项目备用电源。本项目生产厂区内设置高低压联合变电所</w:t>
            </w:r>
          </w:p>
        </w:tc>
        <w:tc>
          <w:tcPr>
            <w:tcW w:w="701" w:type="pct"/>
            <w:vMerge/>
            <w:vAlign w:val="center"/>
          </w:tcPr>
          <w:p w14:paraId="161E0594" w14:textId="77777777" w:rsidR="00B0005F" w:rsidRPr="008A2411" w:rsidRDefault="00B0005F">
            <w:pPr>
              <w:adjustRightInd w:val="0"/>
              <w:snapToGrid w:val="0"/>
              <w:ind w:left="-50" w:right="-50"/>
              <w:jc w:val="center"/>
              <w:rPr>
                <w:rFonts w:ascii="Times New Roman"/>
                <w:color w:val="000000" w:themeColor="text1"/>
                <w:sz w:val="21"/>
                <w:szCs w:val="21"/>
              </w:rPr>
            </w:pPr>
          </w:p>
        </w:tc>
        <w:tc>
          <w:tcPr>
            <w:tcW w:w="799" w:type="pct"/>
            <w:vAlign w:val="center"/>
          </w:tcPr>
          <w:p w14:paraId="18C8AAC0"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w:t>
            </w:r>
          </w:p>
        </w:tc>
      </w:tr>
      <w:tr w:rsidR="008A2411" w:rsidRPr="008A2411" w14:paraId="15404D69" w14:textId="77777777">
        <w:trPr>
          <w:cantSplit/>
          <w:jc w:val="center"/>
        </w:trPr>
        <w:tc>
          <w:tcPr>
            <w:tcW w:w="536" w:type="pct"/>
            <w:vMerge w:val="restart"/>
            <w:vAlign w:val="center"/>
          </w:tcPr>
          <w:p w14:paraId="15C0E87D" w14:textId="77777777" w:rsidR="00B0005F" w:rsidRPr="008A2411" w:rsidRDefault="00000000">
            <w:pPr>
              <w:adjustRightInd w:val="0"/>
              <w:snapToGrid w:val="0"/>
              <w:ind w:leftChars="-50" w:left="-120" w:rightChars="-50" w:right="-120"/>
              <w:jc w:val="center"/>
              <w:rPr>
                <w:rFonts w:ascii="Times New Roman"/>
                <w:color w:val="000000" w:themeColor="text1"/>
                <w:sz w:val="21"/>
                <w:szCs w:val="21"/>
              </w:rPr>
            </w:pPr>
            <w:r w:rsidRPr="008A2411">
              <w:rPr>
                <w:rFonts w:ascii="Times New Roman"/>
                <w:color w:val="000000" w:themeColor="text1"/>
                <w:sz w:val="21"/>
                <w:szCs w:val="21"/>
              </w:rPr>
              <w:t>环保</w:t>
            </w:r>
          </w:p>
          <w:p w14:paraId="24A3D289" w14:textId="77777777" w:rsidR="00B0005F" w:rsidRPr="008A2411" w:rsidRDefault="00000000">
            <w:pPr>
              <w:adjustRightInd w:val="0"/>
              <w:snapToGrid w:val="0"/>
              <w:ind w:leftChars="-50" w:left="-120" w:rightChars="-50" w:right="-120"/>
              <w:jc w:val="center"/>
              <w:rPr>
                <w:rFonts w:ascii="Times New Roman"/>
                <w:color w:val="000000" w:themeColor="text1"/>
                <w:sz w:val="21"/>
                <w:szCs w:val="21"/>
              </w:rPr>
            </w:pPr>
            <w:r w:rsidRPr="008A2411">
              <w:rPr>
                <w:rFonts w:ascii="Times New Roman"/>
                <w:color w:val="000000" w:themeColor="text1"/>
                <w:sz w:val="21"/>
                <w:szCs w:val="21"/>
              </w:rPr>
              <w:t>工程</w:t>
            </w:r>
          </w:p>
        </w:tc>
        <w:tc>
          <w:tcPr>
            <w:tcW w:w="736" w:type="pct"/>
            <w:vMerge w:val="restart"/>
            <w:vAlign w:val="center"/>
          </w:tcPr>
          <w:p w14:paraId="4E405DC2" w14:textId="4B3E81D0" w:rsidR="00B0005F" w:rsidRPr="008A2411" w:rsidRDefault="00000000" w:rsidP="00A43C42">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废水</w:t>
            </w:r>
          </w:p>
        </w:tc>
        <w:tc>
          <w:tcPr>
            <w:tcW w:w="2226" w:type="pct"/>
            <w:vAlign w:val="center"/>
          </w:tcPr>
          <w:p w14:paraId="1659C0DB" w14:textId="77777777" w:rsidR="00B0005F" w:rsidRPr="008A2411" w:rsidRDefault="00000000">
            <w:pPr>
              <w:adjustRightInd w:val="0"/>
              <w:snapToGrid w:val="0"/>
              <w:ind w:leftChars="-30" w:left="-72" w:rightChars="-30" w:right="-72"/>
              <w:jc w:val="left"/>
              <w:rPr>
                <w:rFonts w:ascii="Times New Roman"/>
                <w:color w:val="000000" w:themeColor="text1"/>
                <w:spacing w:val="-2"/>
                <w:sz w:val="21"/>
                <w:szCs w:val="21"/>
              </w:rPr>
            </w:pPr>
            <w:r w:rsidRPr="008A2411">
              <w:rPr>
                <w:rFonts w:ascii="Times New Roman"/>
                <w:color w:val="000000" w:themeColor="text1"/>
                <w:spacing w:val="-2"/>
                <w:sz w:val="21"/>
                <w:szCs w:val="21"/>
              </w:rPr>
              <w:t>新建</w:t>
            </w:r>
            <w:r w:rsidRPr="008A2411">
              <w:rPr>
                <w:rFonts w:ascii="Times New Roman"/>
                <w:color w:val="000000" w:themeColor="text1"/>
                <w:spacing w:val="-2"/>
                <w:sz w:val="21"/>
                <w:szCs w:val="21"/>
              </w:rPr>
              <w:t>15m</w:t>
            </w:r>
            <w:r w:rsidRPr="008A2411">
              <w:rPr>
                <w:rFonts w:ascii="Times New Roman"/>
                <w:color w:val="000000" w:themeColor="text1"/>
                <w:spacing w:val="-2"/>
                <w:sz w:val="21"/>
                <w:szCs w:val="21"/>
                <w:vertAlign w:val="superscript"/>
              </w:rPr>
              <w:t>3</w:t>
            </w:r>
            <w:r w:rsidRPr="008A2411">
              <w:rPr>
                <w:rFonts w:ascii="Times New Roman"/>
                <w:color w:val="000000" w:themeColor="text1"/>
                <w:spacing w:val="-2"/>
                <w:sz w:val="21"/>
                <w:szCs w:val="21"/>
              </w:rPr>
              <w:t>/d</w:t>
            </w:r>
            <w:r w:rsidRPr="008A2411">
              <w:rPr>
                <w:rFonts w:ascii="Times New Roman"/>
                <w:color w:val="000000" w:themeColor="text1"/>
                <w:spacing w:val="-2"/>
                <w:sz w:val="21"/>
                <w:szCs w:val="21"/>
              </w:rPr>
              <w:t>的废水处理站，采用</w:t>
            </w:r>
            <w:r w:rsidRPr="008A2411">
              <w:rPr>
                <w:rFonts w:ascii="Times New Roman" w:hint="eastAsia"/>
                <w:color w:val="000000" w:themeColor="text1"/>
                <w:spacing w:val="-2"/>
                <w:sz w:val="21"/>
                <w:szCs w:val="21"/>
              </w:rPr>
              <w:t>“</w:t>
            </w:r>
            <w:r w:rsidRPr="008A2411">
              <w:rPr>
                <w:rFonts w:ascii="Times New Roman"/>
                <w:color w:val="000000" w:themeColor="text1"/>
                <w:spacing w:val="-2"/>
                <w:sz w:val="21"/>
                <w:szCs w:val="21"/>
              </w:rPr>
              <w:t>二级生化</w:t>
            </w:r>
            <w:r w:rsidRPr="008A2411">
              <w:rPr>
                <w:rFonts w:ascii="Times New Roman"/>
                <w:color w:val="000000" w:themeColor="text1"/>
                <w:spacing w:val="-2"/>
                <w:sz w:val="21"/>
                <w:szCs w:val="21"/>
              </w:rPr>
              <w:t>+TF</w:t>
            </w:r>
            <w:r w:rsidRPr="008A2411">
              <w:rPr>
                <w:rFonts w:ascii="Times New Roman"/>
                <w:color w:val="000000" w:themeColor="text1"/>
                <w:spacing w:val="-2"/>
                <w:sz w:val="21"/>
                <w:szCs w:val="21"/>
              </w:rPr>
              <w:t>超滤</w:t>
            </w:r>
            <w:r w:rsidRPr="008A2411">
              <w:rPr>
                <w:rFonts w:ascii="Times New Roman" w:hint="eastAsia"/>
                <w:color w:val="000000" w:themeColor="text1"/>
                <w:spacing w:val="-2"/>
                <w:sz w:val="21"/>
                <w:szCs w:val="21"/>
              </w:rPr>
              <w:t>”</w:t>
            </w:r>
            <w:r w:rsidRPr="008A2411">
              <w:rPr>
                <w:rFonts w:ascii="Times New Roman"/>
                <w:color w:val="000000" w:themeColor="text1"/>
                <w:spacing w:val="-2"/>
                <w:sz w:val="21"/>
                <w:szCs w:val="21"/>
              </w:rPr>
              <w:t>工艺预处理，排入园区管网；</w:t>
            </w:r>
          </w:p>
        </w:tc>
        <w:tc>
          <w:tcPr>
            <w:tcW w:w="701" w:type="pct"/>
            <w:vMerge/>
            <w:vAlign w:val="center"/>
          </w:tcPr>
          <w:p w14:paraId="0C48622F" w14:textId="77777777" w:rsidR="00B0005F" w:rsidRPr="008A2411" w:rsidRDefault="00B0005F">
            <w:pPr>
              <w:adjustRightInd w:val="0"/>
              <w:snapToGrid w:val="0"/>
              <w:ind w:left="-50" w:right="-50"/>
              <w:jc w:val="center"/>
              <w:rPr>
                <w:rFonts w:ascii="Times New Roman"/>
                <w:color w:val="000000" w:themeColor="text1"/>
                <w:sz w:val="21"/>
                <w:szCs w:val="21"/>
              </w:rPr>
            </w:pPr>
          </w:p>
        </w:tc>
        <w:tc>
          <w:tcPr>
            <w:tcW w:w="799" w:type="pct"/>
            <w:vMerge w:val="restart"/>
            <w:vAlign w:val="center"/>
          </w:tcPr>
          <w:p w14:paraId="4FEB69A2"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废水、废气、固废、环境风险</w:t>
            </w:r>
          </w:p>
        </w:tc>
      </w:tr>
      <w:tr w:rsidR="008A2411" w:rsidRPr="008A2411" w14:paraId="3E07F671" w14:textId="77777777">
        <w:trPr>
          <w:cantSplit/>
          <w:jc w:val="center"/>
        </w:trPr>
        <w:tc>
          <w:tcPr>
            <w:tcW w:w="536" w:type="pct"/>
            <w:vMerge/>
            <w:vAlign w:val="center"/>
          </w:tcPr>
          <w:p w14:paraId="5EE67BA7" w14:textId="77777777" w:rsidR="00B0005F" w:rsidRPr="008A2411" w:rsidRDefault="00B0005F">
            <w:pPr>
              <w:adjustRightInd w:val="0"/>
              <w:snapToGrid w:val="0"/>
              <w:ind w:leftChars="-50" w:left="-120" w:rightChars="-50" w:right="-120"/>
              <w:jc w:val="center"/>
              <w:rPr>
                <w:rFonts w:ascii="Times New Roman"/>
                <w:color w:val="000000" w:themeColor="text1"/>
                <w:sz w:val="21"/>
                <w:szCs w:val="21"/>
              </w:rPr>
            </w:pPr>
          </w:p>
        </w:tc>
        <w:tc>
          <w:tcPr>
            <w:tcW w:w="736" w:type="pct"/>
            <w:vMerge/>
            <w:vAlign w:val="center"/>
          </w:tcPr>
          <w:p w14:paraId="4B228C96" w14:textId="77777777" w:rsidR="00B0005F" w:rsidRPr="008A2411" w:rsidRDefault="00B0005F">
            <w:pPr>
              <w:adjustRightInd w:val="0"/>
              <w:snapToGrid w:val="0"/>
              <w:ind w:leftChars="-30" w:left="-72" w:rightChars="-30" w:right="-72"/>
              <w:jc w:val="center"/>
              <w:rPr>
                <w:rFonts w:ascii="Times New Roman"/>
                <w:color w:val="000000" w:themeColor="text1"/>
                <w:sz w:val="21"/>
                <w:szCs w:val="21"/>
              </w:rPr>
            </w:pPr>
          </w:p>
        </w:tc>
        <w:tc>
          <w:tcPr>
            <w:tcW w:w="2226" w:type="pct"/>
            <w:vAlign w:val="center"/>
          </w:tcPr>
          <w:p w14:paraId="077824F2" w14:textId="77777777" w:rsidR="00B0005F" w:rsidRPr="008A2411" w:rsidRDefault="00000000">
            <w:pPr>
              <w:adjustRightInd w:val="0"/>
              <w:snapToGrid w:val="0"/>
              <w:ind w:leftChars="-30" w:left="-72" w:rightChars="-30" w:right="-72"/>
              <w:jc w:val="left"/>
              <w:rPr>
                <w:rFonts w:ascii="Times New Roman"/>
                <w:color w:val="000000" w:themeColor="text1"/>
                <w:spacing w:val="-2"/>
                <w:sz w:val="21"/>
                <w:szCs w:val="21"/>
              </w:rPr>
            </w:pPr>
            <w:r w:rsidRPr="008A2411">
              <w:rPr>
                <w:rFonts w:ascii="Times New Roman"/>
                <w:color w:val="000000" w:themeColor="text1"/>
                <w:spacing w:val="-2"/>
                <w:sz w:val="21"/>
                <w:szCs w:val="21"/>
              </w:rPr>
              <w:t>事故水池，</w:t>
            </w:r>
            <w:r w:rsidRPr="008A2411">
              <w:rPr>
                <w:rFonts w:ascii="Times New Roman"/>
                <w:color w:val="000000" w:themeColor="text1"/>
                <w:spacing w:val="-2"/>
                <w:sz w:val="21"/>
                <w:szCs w:val="21"/>
              </w:rPr>
              <w:t>1</w:t>
            </w:r>
            <w:r w:rsidRPr="008A2411">
              <w:rPr>
                <w:rFonts w:ascii="Times New Roman"/>
                <w:color w:val="000000" w:themeColor="text1"/>
                <w:spacing w:val="-2"/>
                <w:sz w:val="21"/>
                <w:szCs w:val="21"/>
              </w:rPr>
              <w:t>座</w:t>
            </w:r>
            <w:r w:rsidRPr="008A2411">
              <w:rPr>
                <w:rFonts w:ascii="Times New Roman"/>
                <w:color w:val="000000" w:themeColor="text1"/>
                <w:sz w:val="21"/>
                <w:szCs w:val="21"/>
              </w:rPr>
              <w:t>，</w:t>
            </w:r>
            <w:r w:rsidRPr="008A2411">
              <w:rPr>
                <w:rFonts w:ascii="Times New Roman" w:hint="eastAsia"/>
                <w:color w:val="000000" w:themeColor="text1"/>
                <w:sz w:val="21"/>
                <w:szCs w:val="21"/>
              </w:rPr>
              <w:t>8</w:t>
            </w:r>
            <w:r w:rsidRPr="008A2411">
              <w:rPr>
                <w:rFonts w:ascii="Times New Roman"/>
                <w:color w:val="000000" w:themeColor="text1"/>
                <w:sz w:val="21"/>
                <w:szCs w:val="21"/>
              </w:rPr>
              <w:t>00m</w:t>
            </w:r>
            <w:r w:rsidRPr="008A2411">
              <w:rPr>
                <w:rFonts w:ascii="Times New Roman"/>
                <w:color w:val="000000" w:themeColor="text1"/>
                <w:sz w:val="21"/>
                <w:szCs w:val="21"/>
                <w:vertAlign w:val="superscript"/>
              </w:rPr>
              <w:t>3</w:t>
            </w:r>
            <w:r w:rsidRPr="008A2411">
              <w:rPr>
                <w:rFonts w:ascii="Times New Roman"/>
                <w:color w:val="000000" w:themeColor="text1"/>
                <w:sz w:val="21"/>
                <w:szCs w:val="21"/>
              </w:rPr>
              <w:t>（兼顾初期雨水收集）</w:t>
            </w:r>
          </w:p>
        </w:tc>
        <w:tc>
          <w:tcPr>
            <w:tcW w:w="701" w:type="pct"/>
            <w:vMerge/>
            <w:vAlign w:val="center"/>
          </w:tcPr>
          <w:p w14:paraId="272E1236" w14:textId="77777777" w:rsidR="00B0005F" w:rsidRPr="008A2411" w:rsidRDefault="00B0005F">
            <w:pPr>
              <w:adjustRightInd w:val="0"/>
              <w:snapToGrid w:val="0"/>
              <w:ind w:left="-50" w:right="-50"/>
              <w:jc w:val="center"/>
              <w:rPr>
                <w:rFonts w:ascii="Times New Roman"/>
                <w:color w:val="000000" w:themeColor="text1"/>
                <w:sz w:val="21"/>
                <w:szCs w:val="21"/>
              </w:rPr>
            </w:pPr>
          </w:p>
        </w:tc>
        <w:tc>
          <w:tcPr>
            <w:tcW w:w="799" w:type="pct"/>
            <w:vMerge/>
            <w:vAlign w:val="center"/>
          </w:tcPr>
          <w:p w14:paraId="2D7D613C" w14:textId="77777777" w:rsidR="00B0005F" w:rsidRPr="008A2411" w:rsidRDefault="00B0005F">
            <w:pPr>
              <w:adjustRightInd w:val="0"/>
              <w:snapToGrid w:val="0"/>
              <w:ind w:leftChars="-30" w:left="-72" w:rightChars="-30" w:right="-72"/>
              <w:jc w:val="center"/>
              <w:rPr>
                <w:rFonts w:ascii="Times New Roman"/>
                <w:color w:val="000000" w:themeColor="text1"/>
                <w:sz w:val="21"/>
                <w:szCs w:val="21"/>
              </w:rPr>
            </w:pPr>
          </w:p>
        </w:tc>
      </w:tr>
      <w:tr w:rsidR="008A2411" w:rsidRPr="008A2411" w14:paraId="14AC67D0" w14:textId="77777777">
        <w:trPr>
          <w:cantSplit/>
          <w:jc w:val="center"/>
        </w:trPr>
        <w:tc>
          <w:tcPr>
            <w:tcW w:w="536" w:type="pct"/>
            <w:vMerge/>
            <w:vAlign w:val="center"/>
          </w:tcPr>
          <w:p w14:paraId="52861701" w14:textId="77777777" w:rsidR="00B0005F" w:rsidRPr="008A2411" w:rsidRDefault="00B0005F">
            <w:pPr>
              <w:adjustRightInd w:val="0"/>
              <w:snapToGrid w:val="0"/>
              <w:ind w:leftChars="-50" w:left="-120" w:rightChars="-50" w:right="-120"/>
              <w:jc w:val="center"/>
              <w:rPr>
                <w:rFonts w:ascii="Times New Roman"/>
                <w:color w:val="000000" w:themeColor="text1"/>
                <w:sz w:val="21"/>
                <w:szCs w:val="21"/>
              </w:rPr>
            </w:pPr>
          </w:p>
        </w:tc>
        <w:tc>
          <w:tcPr>
            <w:tcW w:w="736" w:type="pct"/>
            <w:vMerge w:val="restart"/>
            <w:vAlign w:val="center"/>
          </w:tcPr>
          <w:p w14:paraId="7D2D65EA"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废气</w:t>
            </w:r>
          </w:p>
        </w:tc>
        <w:tc>
          <w:tcPr>
            <w:tcW w:w="2226" w:type="pct"/>
            <w:vAlign w:val="center"/>
          </w:tcPr>
          <w:p w14:paraId="51ABB911" w14:textId="77777777" w:rsidR="00B0005F" w:rsidRPr="008A2411" w:rsidRDefault="00000000">
            <w:pPr>
              <w:adjustRightInd w:val="0"/>
              <w:snapToGrid w:val="0"/>
              <w:ind w:leftChars="-30" w:left="-72" w:rightChars="-30" w:right="-72"/>
              <w:jc w:val="left"/>
              <w:rPr>
                <w:rFonts w:ascii="Times New Roman"/>
                <w:bCs/>
                <w:color w:val="000000" w:themeColor="text1"/>
                <w:sz w:val="21"/>
                <w:szCs w:val="21"/>
              </w:rPr>
            </w:pPr>
            <w:r w:rsidRPr="008A2411">
              <w:rPr>
                <w:rFonts w:ascii="Times New Roman"/>
                <w:bCs/>
                <w:color w:val="000000" w:themeColor="text1"/>
                <w:sz w:val="21"/>
                <w:szCs w:val="21"/>
              </w:rPr>
              <w:t>脱硫塔废气：由</w:t>
            </w:r>
            <w:r w:rsidRPr="008A2411">
              <w:rPr>
                <w:rFonts w:ascii="Times New Roman"/>
                <w:bCs/>
                <w:color w:val="000000" w:themeColor="text1"/>
                <w:sz w:val="21"/>
                <w:szCs w:val="21"/>
              </w:rPr>
              <w:t>1</w:t>
            </w:r>
            <w:r w:rsidRPr="008A2411">
              <w:rPr>
                <w:rFonts w:ascii="Times New Roman"/>
                <w:bCs/>
                <w:color w:val="000000" w:themeColor="text1"/>
                <w:sz w:val="21"/>
                <w:szCs w:val="21"/>
              </w:rPr>
              <w:t>根高度为</w:t>
            </w:r>
            <w:r w:rsidRPr="008A2411">
              <w:rPr>
                <w:rFonts w:ascii="Times New Roman"/>
                <w:bCs/>
                <w:color w:val="000000" w:themeColor="text1"/>
                <w:sz w:val="21"/>
                <w:szCs w:val="21"/>
              </w:rPr>
              <w:t>15m</w:t>
            </w:r>
            <w:r w:rsidRPr="008A2411">
              <w:rPr>
                <w:rFonts w:ascii="Times New Roman"/>
                <w:bCs/>
                <w:color w:val="000000" w:themeColor="text1"/>
                <w:sz w:val="21"/>
                <w:szCs w:val="21"/>
              </w:rPr>
              <w:t>的排气筒排放</w:t>
            </w:r>
          </w:p>
        </w:tc>
        <w:tc>
          <w:tcPr>
            <w:tcW w:w="701" w:type="pct"/>
            <w:vMerge/>
            <w:vAlign w:val="center"/>
          </w:tcPr>
          <w:p w14:paraId="43E7B324" w14:textId="77777777" w:rsidR="00B0005F" w:rsidRPr="008A2411" w:rsidRDefault="00B0005F">
            <w:pPr>
              <w:adjustRightInd w:val="0"/>
              <w:snapToGrid w:val="0"/>
              <w:ind w:left="-50" w:right="-50"/>
              <w:jc w:val="center"/>
              <w:rPr>
                <w:rFonts w:ascii="Times New Roman"/>
                <w:color w:val="000000" w:themeColor="text1"/>
                <w:sz w:val="21"/>
                <w:szCs w:val="21"/>
              </w:rPr>
            </w:pPr>
          </w:p>
        </w:tc>
        <w:tc>
          <w:tcPr>
            <w:tcW w:w="799" w:type="pct"/>
            <w:vMerge/>
            <w:vAlign w:val="center"/>
          </w:tcPr>
          <w:p w14:paraId="2AD0507C" w14:textId="77777777" w:rsidR="00B0005F" w:rsidRPr="008A2411" w:rsidRDefault="00B0005F">
            <w:pPr>
              <w:adjustRightInd w:val="0"/>
              <w:snapToGrid w:val="0"/>
              <w:ind w:leftChars="-30" w:left="-72" w:rightChars="-30" w:right="-72"/>
              <w:jc w:val="center"/>
              <w:rPr>
                <w:rFonts w:ascii="Times New Roman"/>
                <w:color w:val="000000" w:themeColor="text1"/>
                <w:sz w:val="21"/>
                <w:szCs w:val="21"/>
              </w:rPr>
            </w:pPr>
          </w:p>
        </w:tc>
      </w:tr>
      <w:tr w:rsidR="008A2411" w:rsidRPr="008A2411" w14:paraId="12BBACD8" w14:textId="77777777">
        <w:trPr>
          <w:cantSplit/>
          <w:jc w:val="center"/>
        </w:trPr>
        <w:tc>
          <w:tcPr>
            <w:tcW w:w="536" w:type="pct"/>
            <w:vMerge/>
            <w:vAlign w:val="center"/>
          </w:tcPr>
          <w:p w14:paraId="351743F8" w14:textId="77777777" w:rsidR="00B0005F" w:rsidRPr="008A2411" w:rsidRDefault="00B0005F">
            <w:pPr>
              <w:adjustRightInd w:val="0"/>
              <w:snapToGrid w:val="0"/>
              <w:ind w:leftChars="-50" w:left="-120" w:rightChars="-50" w:right="-120"/>
              <w:jc w:val="center"/>
              <w:rPr>
                <w:rFonts w:ascii="Times New Roman"/>
                <w:color w:val="000000" w:themeColor="text1"/>
                <w:sz w:val="21"/>
                <w:szCs w:val="21"/>
              </w:rPr>
            </w:pPr>
          </w:p>
        </w:tc>
        <w:tc>
          <w:tcPr>
            <w:tcW w:w="736" w:type="pct"/>
            <w:vMerge/>
            <w:vAlign w:val="center"/>
          </w:tcPr>
          <w:p w14:paraId="58975DC7" w14:textId="77777777" w:rsidR="00B0005F" w:rsidRPr="008A2411" w:rsidRDefault="00B0005F">
            <w:pPr>
              <w:adjustRightInd w:val="0"/>
              <w:snapToGrid w:val="0"/>
              <w:ind w:leftChars="-30" w:left="-72" w:rightChars="-30" w:right="-72"/>
              <w:jc w:val="center"/>
              <w:rPr>
                <w:rFonts w:ascii="Times New Roman"/>
                <w:color w:val="000000" w:themeColor="text1"/>
                <w:sz w:val="21"/>
                <w:szCs w:val="21"/>
              </w:rPr>
            </w:pPr>
          </w:p>
        </w:tc>
        <w:tc>
          <w:tcPr>
            <w:tcW w:w="2226" w:type="pct"/>
            <w:vAlign w:val="center"/>
          </w:tcPr>
          <w:p w14:paraId="41F58F95" w14:textId="77777777" w:rsidR="00B0005F" w:rsidRPr="008A2411" w:rsidRDefault="00000000">
            <w:pPr>
              <w:adjustRightInd w:val="0"/>
              <w:snapToGrid w:val="0"/>
              <w:ind w:leftChars="-30" w:left="-72" w:rightChars="-30" w:right="-72"/>
              <w:jc w:val="left"/>
              <w:rPr>
                <w:rFonts w:ascii="Times New Roman"/>
                <w:bCs/>
                <w:color w:val="000000" w:themeColor="text1"/>
                <w:sz w:val="21"/>
                <w:szCs w:val="21"/>
              </w:rPr>
            </w:pPr>
            <w:r w:rsidRPr="008A2411">
              <w:rPr>
                <w:rFonts w:ascii="Times New Roman"/>
                <w:bCs/>
                <w:color w:val="000000" w:themeColor="text1"/>
                <w:sz w:val="21"/>
                <w:szCs w:val="21"/>
              </w:rPr>
              <w:t>导热油炉烟气，由</w:t>
            </w:r>
            <w:r w:rsidRPr="008A2411">
              <w:rPr>
                <w:rFonts w:ascii="Times New Roman"/>
                <w:bCs/>
                <w:color w:val="000000" w:themeColor="text1"/>
                <w:sz w:val="21"/>
                <w:szCs w:val="21"/>
              </w:rPr>
              <w:t>1</w:t>
            </w:r>
            <w:r w:rsidRPr="008A2411">
              <w:rPr>
                <w:rFonts w:ascii="Times New Roman"/>
                <w:bCs/>
                <w:color w:val="000000" w:themeColor="text1"/>
                <w:sz w:val="21"/>
                <w:szCs w:val="21"/>
              </w:rPr>
              <w:t>根高度为</w:t>
            </w:r>
            <w:r w:rsidRPr="008A2411">
              <w:rPr>
                <w:rFonts w:ascii="Times New Roman"/>
                <w:bCs/>
                <w:color w:val="000000" w:themeColor="text1"/>
                <w:sz w:val="21"/>
                <w:szCs w:val="21"/>
              </w:rPr>
              <w:t>15m</w:t>
            </w:r>
            <w:r w:rsidRPr="008A2411">
              <w:rPr>
                <w:rFonts w:ascii="Times New Roman"/>
                <w:bCs/>
                <w:color w:val="000000" w:themeColor="text1"/>
                <w:sz w:val="21"/>
                <w:szCs w:val="21"/>
              </w:rPr>
              <w:t>的排气筒排放</w:t>
            </w:r>
          </w:p>
        </w:tc>
        <w:tc>
          <w:tcPr>
            <w:tcW w:w="701" w:type="pct"/>
            <w:vMerge/>
            <w:vAlign w:val="center"/>
          </w:tcPr>
          <w:p w14:paraId="04921D60" w14:textId="77777777" w:rsidR="00B0005F" w:rsidRPr="008A2411" w:rsidRDefault="00B0005F">
            <w:pPr>
              <w:adjustRightInd w:val="0"/>
              <w:snapToGrid w:val="0"/>
              <w:ind w:left="-50" w:right="-50"/>
              <w:jc w:val="center"/>
              <w:rPr>
                <w:rFonts w:ascii="Times New Roman"/>
                <w:color w:val="000000" w:themeColor="text1"/>
                <w:sz w:val="21"/>
                <w:szCs w:val="21"/>
              </w:rPr>
            </w:pPr>
          </w:p>
        </w:tc>
        <w:tc>
          <w:tcPr>
            <w:tcW w:w="799" w:type="pct"/>
            <w:vMerge/>
            <w:vAlign w:val="center"/>
          </w:tcPr>
          <w:p w14:paraId="747DA1F8" w14:textId="77777777" w:rsidR="00B0005F" w:rsidRPr="008A2411" w:rsidRDefault="00B0005F">
            <w:pPr>
              <w:adjustRightInd w:val="0"/>
              <w:snapToGrid w:val="0"/>
              <w:ind w:leftChars="-30" w:left="-72" w:rightChars="-30" w:right="-72"/>
              <w:jc w:val="center"/>
              <w:rPr>
                <w:rFonts w:ascii="Times New Roman"/>
                <w:color w:val="000000" w:themeColor="text1"/>
                <w:sz w:val="21"/>
                <w:szCs w:val="21"/>
              </w:rPr>
            </w:pPr>
          </w:p>
        </w:tc>
      </w:tr>
      <w:tr w:rsidR="008A2411" w:rsidRPr="008A2411" w14:paraId="4EF5ED01" w14:textId="77777777">
        <w:trPr>
          <w:cantSplit/>
          <w:jc w:val="center"/>
        </w:trPr>
        <w:tc>
          <w:tcPr>
            <w:tcW w:w="536" w:type="pct"/>
            <w:vMerge/>
            <w:vAlign w:val="center"/>
          </w:tcPr>
          <w:p w14:paraId="44E296C9" w14:textId="77777777" w:rsidR="00B0005F" w:rsidRPr="008A2411" w:rsidRDefault="00B0005F">
            <w:pPr>
              <w:adjustRightInd w:val="0"/>
              <w:snapToGrid w:val="0"/>
              <w:ind w:leftChars="-50" w:left="-120" w:rightChars="-50" w:right="-120"/>
              <w:jc w:val="center"/>
              <w:rPr>
                <w:rFonts w:ascii="Times New Roman"/>
                <w:color w:val="000000" w:themeColor="text1"/>
                <w:sz w:val="21"/>
                <w:szCs w:val="21"/>
              </w:rPr>
            </w:pPr>
          </w:p>
        </w:tc>
        <w:tc>
          <w:tcPr>
            <w:tcW w:w="736" w:type="pct"/>
            <w:vMerge/>
            <w:vAlign w:val="center"/>
          </w:tcPr>
          <w:p w14:paraId="43BF7F53" w14:textId="77777777" w:rsidR="00B0005F" w:rsidRPr="008A2411" w:rsidRDefault="00B0005F">
            <w:pPr>
              <w:adjustRightInd w:val="0"/>
              <w:snapToGrid w:val="0"/>
              <w:ind w:leftChars="-30" w:left="-72" w:rightChars="-30" w:right="-72"/>
              <w:jc w:val="center"/>
              <w:rPr>
                <w:rFonts w:ascii="Times New Roman"/>
                <w:color w:val="000000" w:themeColor="text1"/>
                <w:sz w:val="21"/>
                <w:szCs w:val="21"/>
              </w:rPr>
            </w:pPr>
          </w:p>
        </w:tc>
        <w:tc>
          <w:tcPr>
            <w:tcW w:w="2226" w:type="pct"/>
            <w:vAlign w:val="center"/>
          </w:tcPr>
          <w:p w14:paraId="248478FB" w14:textId="77777777" w:rsidR="00B0005F" w:rsidRPr="008A2411" w:rsidRDefault="00000000">
            <w:pPr>
              <w:adjustRightInd w:val="0"/>
              <w:snapToGrid w:val="0"/>
              <w:ind w:leftChars="-30" w:left="-72" w:rightChars="-30" w:right="-72"/>
              <w:jc w:val="left"/>
              <w:rPr>
                <w:rFonts w:ascii="Times New Roman"/>
                <w:color w:val="000000" w:themeColor="text1"/>
                <w:spacing w:val="-2"/>
                <w:sz w:val="21"/>
                <w:szCs w:val="21"/>
              </w:rPr>
            </w:pPr>
            <w:r w:rsidRPr="008A2411">
              <w:rPr>
                <w:rFonts w:ascii="Times New Roman"/>
                <w:bCs/>
                <w:color w:val="000000" w:themeColor="text1"/>
                <w:sz w:val="21"/>
                <w:szCs w:val="21"/>
              </w:rPr>
              <w:t>火炬燃烧废气：经</w:t>
            </w:r>
            <w:r w:rsidRPr="008A2411">
              <w:rPr>
                <w:rFonts w:ascii="Times New Roman"/>
                <w:bCs/>
                <w:color w:val="000000" w:themeColor="text1"/>
                <w:sz w:val="21"/>
                <w:szCs w:val="21"/>
              </w:rPr>
              <w:t>30m</w:t>
            </w:r>
            <w:r w:rsidRPr="008A2411">
              <w:rPr>
                <w:rFonts w:ascii="Times New Roman"/>
                <w:bCs/>
                <w:color w:val="000000" w:themeColor="text1"/>
                <w:sz w:val="21"/>
                <w:szCs w:val="21"/>
              </w:rPr>
              <w:t>高火炬烟囱直接排放</w:t>
            </w:r>
          </w:p>
        </w:tc>
        <w:tc>
          <w:tcPr>
            <w:tcW w:w="701" w:type="pct"/>
            <w:vMerge/>
            <w:vAlign w:val="center"/>
          </w:tcPr>
          <w:p w14:paraId="09220942" w14:textId="77777777" w:rsidR="00B0005F" w:rsidRPr="008A2411" w:rsidRDefault="00B0005F">
            <w:pPr>
              <w:adjustRightInd w:val="0"/>
              <w:snapToGrid w:val="0"/>
              <w:ind w:left="-50" w:right="-50"/>
              <w:jc w:val="center"/>
              <w:rPr>
                <w:rFonts w:ascii="Times New Roman"/>
                <w:color w:val="000000" w:themeColor="text1"/>
                <w:sz w:val="21"/>
                <w:szCs w:val="21"/>
              </w:rPr>
            </w:pPr>
          </w:p>
        </w:tc>
        <w:tc>
          <w:tcPr>
            <w:tcW w:w="799" w:type="pct"/>
            <w:vMerge/>
            <w:vAlign w:val="center"/>
          </w:tcPr>
          <w:p w14:paraId="79C9D4CE" w14:textId="77777777" w:rsidR="00B0005F" w:rsidRPr="008A2411" w:rsidRDefault="00B0005F">
            <w:pPr>
              <w:adjustRightInd w:val="0"/>
              <w:snapToGrid w:val="0"/>
              <w:ind w:leftChars="-30" w:left="-72" w:rightChars="-30" w:right="-72"/>
              <w:jc w:val="center"/>
              <w:rPr>
                <w:rFonts w:ascii="Times New Roman"/>
                <w:color w:val="000000" w:themeColor="text1"/>
                <w:sz w:val="21"/>
                <w:szCs w:val="21"/>
              </w:rPr>
            </w:pPr>
          </w:p>
        </w:tc>
      </w:tr>
      <w:tr w:rsidR="008A2411" w:rsidRPr="008A2411" w14:paraId="084828C5" w14:textId="77777777">
        <w:trPr>
          <w:cantSplit/>
          <w:jc w:val="center"/>
        </w:trPr>
        <w:tc>
          <w:tcPr>
            <w:tcW w:w="536" w:type="pct"/>
            <w:vMerge/>
            <w:vAlign w:val="center"/>
          </w:tcPr>
          <w:p w14:paraId="4B92171B" w14:textId="77777777" w:rsidR="00B0005F" w:rsidRPr="008A2411" w:rsidRDefault="00B0005F">
            <w:pPr>
              <w:adjustRightInd w:val="0"/>
              <w:snapToGrid w:val="0"/>
              <w:ind w:leftChars="-50" w:left="-120" w:rightChars="-50" w:right="-120"/>
              <w:jc w:val="center"/>
              <w:rPr>
                <w:rFonts w:ascii="Times New Roman"/>
                <w:color w:val="000000" w:themeColor="text1"/>
                <w:sz w:val="21"/>
                <w:szCs w:val="21"/>
              </w:rPr>
            </w:pPr>
          </w:p>
        </w:tc>
        <w:tc>
          <w:tcPr>
            <w:tcW w:w="736" w:type="pct"/>
            <w:vAlign w:val="center"/>
          </w:tcPr>
          <w:p w14:paraId="3E8D352F"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bCs/>
                <w:color w:val="000000" w:themeColor="text1"/>
                <w:sz w:val="21"/>
                <w:szCs w:val="21"/>
              </w:rPr>
              <w:t>噪声治理</w:t>
            </w:r>
          </w:p>
        </w:tc>
        <w:tc>
          <w:tcPr>
            <w:tcW w:w="2226" w:type="pct"/>
            <w:vAlign w:val="center"/>
          </w:tcPr>
          <w:p w14:paraId="4A3E25C3" w14:textId="77777777" w:rsidR="00B0005F" w:rsidRPr="008A2411" w:rsidRDefault="00000000">
            <w:pPr>
              <w:adjustRightInd w:val="0"/>
              <w:snapToGrid w:val="0"/>
              <w:jc w:val="left"/>
              <w:rPr>
                <w:rFonts w:ascii="Times New Roman"/>
                <w:color w:val="000000" w:themeColor="text1"/>
                <w:spacing w:val="-2"/>
                <w:sz w:val="21"/>
                <w:szCs w:val="21"/>
              </w:rPr>
            </w:pPr>
            <w:r w:rsidRPr="008A2411">
              <w:rPr>
                <w:rFonts w:ascii="Times New Roman"/>
                <w:bCs/>
                <w:color w:val="000000" w:themeColor="text1"/>
                <w:sz w:val="21"/>
                <w:szCs w:val="21"/>
              </w:rPr>
              <w:t>选用低噪声设备，合理布局，鼓风机进风口安装消声器、各类机泵设置减振基础、隔声罩等</w:t>
            </w:r>
          </w:p>
        </w:tc>
        <w:tc>
          <w:tcPr>
            <w:tcW w:w="701" w:type="pct"/>
            <w:vMerge/>
            <w:vAlign w:val="center"/>
          </w:tcPr>
          <w:p w14:paraId="4D3B93F0" w14:textId="77777777" w:rsidR="00B0005F" w:rsidRPr="008A2411" w:rsidRDefault="00B0005F">
            <w:pPr>
              <w:adjustRightInd w:val="0"/>
              <w:snapToGrid w:val="0"/>
              <w:ind w:left="-50" w:right="-50"/>
              <w:jc w:val="center"/>
              <w:rPr>
                <w:rFonts w:ascii="Times New Roman"/>
                <w:color w:val="000000" w:themeColor="text1"/>
                <w:sz w:val="21"/>
                <w:szCs w:val="21"/>
              </w:rPr>
            </w:pPr>
          </w:p>
        </w:tc>
        <w:tc>
          <w:tcPr>
            <w:tcW w:w="799" w:type="pct"/>
            <w:vMerge/>
            <w:vAlign w:val="center"/>
          </w:tcPr>
          <w:p w14:paraId="01A73FD3" w14:textId="77777777" w:rsidR="00B0005F" w:rsidRPr="008A2411" w:rsidRDefault="00B0005F">
            <w:pPr>
              <w:adjustRightInd w:val="0"/>
              <w:snapToGrid w:val="0"/>
              <w:ind w:leftChars="-30" w:left="-72" w:rightChars="-30" w:right="-72"/>
              <w:jc w:val="center"/>
              <w:rPr>
                <w:rFonts w:ascii="Times New Roman"/>
                <w:color w:val="000000" w:themeColor="text1"/>
                <w:sz w:val="21"/>
                <w:szCs w:val="21"/>
              </w:rPr>
            </w:pPr>
          </w:p>
        </w:tc>
      </w:tr>
      <w:tr w:rsidR="008A2411" w:rsidRPr="008A2411" w14:paraId="6F9B2A05" w14:textId="77777777">
        <w:trPr>
          <w:cantSplit/>
          <w:jc w:val="center"/>
        </w:trPr>
        <w:tc>
          <w:tcPr>
            <w:tcW w:w="536" w:type="pct"/>
            <w:vMerge/>
            <w:vAlign w:val="center"/>
          </w:tcPr>
          <w:p w14:paraId="5350BA00" w14:textId="77777777" w:rsidR="00B0005F" w:rsidRPr="008A2411" w:rsidRDefault="00B0005F">
            <w:pPr>
              <w:adjustRightInd w:val="0"/>
              <w:snapToGrid w:val="0"/>
              <w:ind w:leftChars="-50" w:left="-120" w:rightChars="-50" w:right="-120"/>
              <w:jc w:val="center"/>
              <w:rPr>
                <w:rFonts w:ascii="Times New Roman"/>
                <w:color w:val="000000" w:themeColor="text1"/>
                <w:sz w:val="21"/>
                <w:szCs w:val="21"/>
              </w:rPr>
            </w:pPr>
          </w:p>
        </w:tc>
        <w:tc>
          <w:tcPr>
            <w:tcW w:w="736" w:type="pct"/>
            <w:vMerge w:val="restart"/>
            <w:vAlign w:val="center"/>
          </w:tcPr>
          <w:p w14:paraId="5AFC6C53"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固废</w:t>
            </w:r>
          </w:p>
        </w:tc>
        <w:tc>
          <w:tcPr>
            <w:tcW w:w="2226" w:type="pct"/>
            <w:vAlign w:val="center"/>
          </w:tcPr>
          <w:p w14:paraId="20D497E7" w14:textId="77777777" w:rsidR="00B0005F" w:rsidRPr="008A2411" w:rsidRDefault="00000000">
            <w:pPr>
              <w:pStyle w:val="WJ"/>
              <w:adjustRightInd w:val="0"/>
              <w:snapToGrid w:val="0"/>
              <w:spacing w:line="240" w:lineRule="auto"/>
              <w:ind w:firstLineChars="0" w:firstLine="0"/>
              <w:jc w:val="left"/>
              <w:rPr>
                <w:rFonts w:ascii="Times New Roman" w:hAnsi="Times New Roman"/>
                <w:color w:val="000000" w:themeColor="text1"/>
                <w:spacing w:val="-2"/>
                <w:sz w:val="21"/>
                <w:szCs w:val="21"/>
              </w:rPr>
            </w:pPr>
            <w:r w:rsidRPr="008A2411">
              <w:rPr>
                <w:rFonts w:ascii="Times New Roman" w:hAnsi="Times New Roman"/>
                <w:b/>
                <w:color w:val="000000" w:themeColor="text1"/>
                <w:kern w:val="0"/>
                <w:sz w:val="21"/>
                <w:szCs w:val="21"/>
              </w:rPr>
              <w:t>一般固体废弃物：</w:t>
            </w:r>
            <w:r w:rsidRPr="008A2411">
              <w:rPr>
                <w:rFonts w:ascii="Times New Roman" w:hAnsi="Times New Roman"/>
                <w:bCs/>
                <w:color w:val="000000" w:themeColor="text1"/>
                <w:kern w:val="0"/>
                <w:sz w:val="21"/>
                <w:szCs w:val="21"/>
              </w:rPr>
              <w:t>设置生活垃圾收集点</w:t>
            </w:r>
            <w:r w:rsidRPr="008A2411">
              <w:rPr>
                <w:rFonts w:ascii="Times New Roman" w:hAnsi="Times New Roman"/>
                <w:bCs/>
                <w:color w:val="000000" w:themeColor="text1"/>
                <w:kern w:val="0"/>
                <w:sz w:val="21"/>
                <w:szCs w:val="21"/>
              </w:rPr>
              <w:t>1</w:t>
            </w:r>
            <w:r w:rsidRPr="008A2411">
              <w:rPr>
                <w:rFonts w:ascii="Times New Roman" w:hAnsi="Times New Roman"/>
                <w:bCs/>
                <w:color w:val="000000" w:themeColor="text1"/>
                <w:kern w:val="0"/>
                <w:sz w:val="21"/>
                <w:szCs w:val="21"/>
              </w:rPr>
              <w:t>处，</w:t>
            </w:r>
            <w:r w:rsidRPr="008A2411">
              <w:rPr>
                <w:rFonts w:ascii="Times New Roman" w:hAnsi="Times New Roman"/>
                <w:bCs/>
                <w:color w:val="000000" w:themeColor="text1"/>
                <w:kern w:val="0"/>
                <w:sz w:val="21"/>
                <w:szCs w:val="21"/>
              </w:rPr>
              <w:t>5m</w:t>
            </w:r>
            <w:r w:rsidRPr="008A2411">
              <w:rPr>
                <w:rFonts w:ascii="Times New Roman" w:hAnsi="Times New Roman"/>
                <w:bCs/>
                <w:color w:val="000000" w:themeColor="text1"/>
                <w:kern w:val="0"/>
                <w:sz w:val="21"/>
                <w:szCs w:val="21"/>
                <w:vertAlign w:val="superscript"/>
              </w:rPr>
              <w:t>2</w:t>
            </w:r>
            <w:r w:rsidRPr="008A2411">
              <w:rPr>
                <w:rFonts w:ascii="Times New Roman" w:hAnsi="Times New Roman"/>
                <w:bCs/>
                <w:color w:val="000000" w:themeColor="text1"/>
                <w:kern w:val="0"/>
                <w:sz w:val="21"/>
                <w:szCs w:val="21"/>
              </w:rPr>
              <w:t>，定点收集，定期交由当地环卫部门统一处理。</w:t>
            </w:r>
          </w:p>
        </w:tc>
        <w:tc>
          <w:tcPr>
            <w:tcW w:w="701" w:type="pct"/>
            <w:vMerge/>
            <w:vAlign w:val="center"/>
          </w:tcPr>
          <w:p w14:paraId="16D4340A" w14:textId="77777777" w:rsidR="00B0005F" w:rsidRPr="008A2411" w:rsidRDefault="00B0005F">
            <w:pPr>
              <w:adjustRightInd w:val="0"/>
              <w:snapToGrid w:val="0"/>
              <w:ind w:left="-50" w:right="-50"/>
              <w:jc w:val="center"/>
              <w:rPr>
                <w:rFonts w:ascii="Times New Roman"/>
                <w:color w:val="000000" w:themeColor="text1"/>
                <w:sz w:val="21"/>
                <w:szCs w:val="21"/>
              </w:rPr>
            </w:pPr>
          </w:p>
        </w:tc>
        <w:tc>
          <w:tcPr>
            <w:tcW w:w="799" w:type="pct"/>
            <w:vMerge/>
            <w:vAlign w:val="center"/>
          </w:tcPr>
          <w:p w14:paraId="65DD232C" w14:textId="77777777" w:rsidR="00B0005F" w:rsidRPr="008A2411" w:rsidRDefault="00B0005F">
            <w:pPr>
              <w:adjustRightInd w:val="0"/>
              <w:snapToGrid w:val="0"/>
              <w:ind w:leftChars="-30" w:left="-72" w:rightChars="-30" w:right="-72"/>
              <w:jc w:val="center"/>
              <w:rPr>
                <w:rFonts w:ascii="Times New Roman"/>
                <w:color w:val="000000" w:themeColor="text1"/>
                <w:sz w:val="21"/>
                <w:szCs w:val="21"/>
              </w:rPr>
            </w:pPr>
          </w:p>
        </w:tc>
      </w:tr>
      <w:tr w:rsidR="008A2411" w:rsidRPr="008A2411" w14:paraId="17E1D9B7" w14:textId="77777777">
        <w:trPr>
          <w:cantSplit/>
          <w:jc w:val="center"/>
        </w:trPr>
        <w:tc>
          <w:tcPr>
            <w:tcW w:w="536" w:type="pct"/>
            <w:vMerge/>
            <w:vAlign w:val="center"/>
          </w:tcPr>
          <w:p w14:paraId="2EA7F642" w14:textId="77777777" w:rsidR="00B0005F" w:rsidRPr="008A2411" w:rsidRDefault="00B0005F">
            <w:pPr>
              <w:adjustRightInd w:val="0"/>
              <w:snapToGrid w:val="0"/>
              <w:ind w:leftChars="-50" w:left="-120" w:rightChars="-50" w:right="-120"/>
              <w:jc w:val="center"/>
              <w:rPr>
                <w:rFonts w:ascii="Times New Roman"/>
                <w:color w:val="000000" w:themeColor="text1"/>
                <w:sz w:val="21"/>
                <w:szCs w:val="21"/>
              </w:rPr>
            </w:pPr>
          </w:p>
        </w:tc>
        <w:tc>
          <w:tcPr>
            <w:tcW w:w="736" w:type="pct"/>
            <w:vMerge/>
            <w:vAlign w:val="center"/>
          </w:tcPr>
          <w:p w14:paraId="7C9EFFF0" w14:textId="77777777" w:rsidR="00B0005F" w:rsidRPr="008A2411" w:rsidRDefault="00B0005F">
            <w:pPr>
              <w:adjustRightInd w:val="0"/>
              <w:snapToGrid w:val="0"/>
              <w:ind w:leftChars="-30" w:left="-72" w:rightChars="-30" w:right="-72"/>
              <w:jc w:val="center"/>
              <w:rPr>
                <w:rFonts w:ascii="Times New Roman"/>
                <w:color w:val="000000" w:themeColor="text1"/>
                <w:sz w:val="21"/>
                <w:szCs w:val="21"/>
              </w:rPr>
            </w:pPr>
          </w:p>
        </w:tc>
        <w:tc>
          <w:tcPr>
            <w:tcW w:w="2226" w:type="pct"/>
            <w:vAlign w:val="center"/>
          </w:tcPr>
          <w:p w14:paraId="7ACDA2B4" w14:textId="77777777" w:rsidR="00B0005F" w:rsidRPr="008A2411" w:rsidRDefault="00000000">
            <w:pPr>
              <w:adjustRightInd w:val="0"/>
              <w:snapToGrid w:val="0"/>
              <w:jc w:val="left"/>
              <w:rPr>
                <w:rFonts w:ascii="Times New Roman"/>
                <w:color w:val="000000" w:themeColor="text1"/>
                <w:spacing w:val="-2"/>
                <w:sz w:val="21"/>
                <w:szCs w:val="21"/>
              </w:rPr>
            </w:pPr>
            <w:r w:rsidRPr="008A2411">
              <w:rPr>
                <w:rFonts w:ascii="Times New Roman"/>
                <w:b/>
                <w:bCs/>
                <w:color w:val="000000" w:themeColor="text1"/>
                <w:sz w:val="21"/>
                <w:szCs w:val="21"/>
              </w:rPr>
              <w:t>危险废物：</w:t>
            </w:r>
            <w:r w:rsidRPr="008A2411">
              <w:rPr>
                <w:rFonts w:ascii="Times New Roman"/>
                <w:bCs/>
                <w:color w:val="000000" w:themeColor="text1"/>
                <w:sz w:val="21"/>
                <w:szCs w:val="21"/>
              </w:rPr>
              <w:t>设置危险废物暂存间</w:t>
            </w:r>
            <w:r w:rsidRPr="008A2411">
              <w:rPr>
                <w:rFonts w:ascii="Times New Roman"/>
                <w:bCs/>
                <w:color w:val="000000" w:themeColor="text1"/>
                <w:sz w:val="21"/>
                <w:szCs w:val="21"/>
              </w:rPr>
              <w:t>1</w:t>
            </w:r>
            <w:r w:rsidRPr="008A2411">
              <w:rPr>
                <w:rFonts w:ascii="Times New Roman"/>
                <w:bCs/>
                <w:color w:val="000000" w:themeColor="text1"/>
                <w:sz w:val="21"/>
                <w:szCs w:val="21"/>
              </w:rPr>
              <w:t>处，占地</w:t>
            </w:r>
            <w:r w:rsidRPr="008A2411">
              <w:rPr>
                <w:rFonts w:ascii="Times New Roman"/>
                <w:bCs/>
                <w:color w:val="000000" w:themeColor="text1"/>
                <w:sz w:val="21"/>
                <w:szCs w:val="21"/>
              </w:rPr>
              <w:t>10m</w:t>
            </w:r>
            <w:r w:rsidRPr="008A2411">
              <w:rPr>
                <w:rFonts w:ascii="Times New Roman"/>
                <w:bCs/>
                <w:color w:val="000000" w:themeColor="text1"/>
                <w:sz w:val="21"/>
                <w:szCs w:val="21"/>
                <w:vertAlign w:val="superscript"/>
              </w:rPr>
              <w:t>2</w:t>
            </w:r>
            <w:r w:rsidRPr="008A2411">
              <w:rPr>
                <w:rFonts w:ascii="Times New Roman"/>
                <w:bCs/>
                <w:color w:val="000000" w:themeColor="text1"/>
                <w:sz w:val="21"/>
                <w:szCs w:val="21"/>
              </w:rPr>
              <w:t>，对废活性炭、</w:t>
            </w:r>
            <w:proofErr w:type="gramStart"/>
            <w:r w:rsidRPr="008A2411">
              <w:rPr>
                <w:rFonts w:ascii="Times New Roman"/>
                <w:bCs/>
                <w:color w:val="000000" w:themeColor="text1"/>
                <w:sz w:val="21"/>
                <w:szCs w:val="21"/>
              </w:rPr>
              <w:t>废脱汞</w:t>
            </w:r>
            <w:proofErr w:type="gramEnd"/>
            <w:r w:rsidRPr="008A2411">
              <w:rPr>
                <w:rFonts w:ascii="Times New Roman"/>
                <w:bCs/>
                <w:color w:val="000000" w:themeColor="text1"/>
                <w:sz w:val="21"/>
                <w:szCs w:val="21"/>
              </w:rPr>
              <w:t>剂、废油、化验间残液等定点分类收集，交由有资质的单位进行处置。</w:t>
            </w:r>
          </w:p>
        </w:tc>
        <w:tc>
          <w:tcPr>
            <w:tcW w:w="701" w:type="pct"/>
            <w:vMerge/>
            <w:vAlign w:val="center"/>
          </w:tcPr>
          <w:p w14:paraId="3DE7D1CC" w14:textId="77777777" w:rsidR="00B0005F" w:rsidRPr="008A2411" w:rsidRDefault="00B0005F">
            <w:pPr>
              <w:adjustRightInd w:val="0"/>
              <w:snapToGrid w:val="0"/>
              <w:ind w:left="-50" w:right="-50"/>
              <w:jc w:val="center"/>
              <w:rPr>
                <w:rFonts w:ascii="Times New Roman"/>
                <w:color w:val="000000" w:themeColor="text1"/>
                <w:sz w:val="21"/>
                <w:szCs w:val="21"/>
              </w:rPr>
            </w:pPr>
          </w:p>
        </w:tc>
        <w:tc>
          <w:tcPr>
            <w:tcW w:w="799" w:type="pct"/>
            <w:vMerge/>
            <w:vAlign w:val="center"/>
          </w:tcPr>
          <w:p w14:paraId="01684313" w14:textId="77777777" w:rsidR="00B0005F" w:rsidRPr="008A2411" w:rsidRDefault="00B0005F">
            <w:pPr>
              <w:adjustRightInd w:val="0"/>
              <w:snapToGrid w:val="0"/>
              <w:ind w:leftChars="-30" w:left="-72" w:rightChars="-30" w:right="-72"/>
              <w:jc w:val="center"/>
              <w:rPr>
                <w:rFonts w:ascii="Times New Roman"/>
                <w:color w:val="000000" w:themeColor="text1"/>
                <w:sz w:val="21"/>
                <w:szCs w:val="21"/>
              </w:rPr>
            </w:pPr>
          </w:p>
        </w:tc>
      </w:tr>
      <w:tr w:rsidR="008A2411" w:rsidRPr="008A2411" w14:paraId="295C33D6" w14:textId="77777777">
        <w:trPr>
          <w:cantSplit/>
          <w:jc w:val="center"/>
        </w:trPr>
        <w:tc>
          <w:tcPr>
            <w:tcW w:w="536" w:type="pct"/>
            <w:vMerge/>
            <w:vAlign w:val="center"/>
          </w:tcPr>
          <w:p w14:paraId="4E6A0298" w14:textId="77777777" w:rsidR="00B0005F" w:rsidRPr="008A2411" w:rsidRDefault="00B0005F">
            <w:pPr>
              <w:adjustRightInd w:val="0"/>
              <w:snapToGrid w:val="0"/>
              <w:ind w:leftChars="-50" w:left="-120" w:rightChars="-50" w:right="-120"/>
              <w:jc w:val="center"/>
              <w:rPr>
                <w:rFonts w:ascii="Times New Roman"/>
                <w:color w:val="000000" w:themeColor="text1"/>
                <w:sz w:val="21"/>
                <w:szCs w:val="21"/>
              </w:rPr>
            </w:pPr>
          </w:p>
        </w:tc>
        <w:tc>
          <w:tcPr>
            <w:tcW w:w="736" w:type="pct"/>
            <w:vAlign w:val="center"/>
          </w:tcPr>
          <w:p w14:paraId="53F260A4"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hint="eastAsia"/>
                <w:color w:val="000000" w:themeColor="text1"/>
                <w:sz w:val="21"/>
                <w:szCs w:val="21"/>
              </w:rPr>
              <w:t>环境风险</w:t>
            </w:r>
          </w:p>
        </w:tc>
        <w:tc>
          <w:tcPr>
            <w:tcW w:w="2226" w:type="pct"/>
            <w:vAlign w:val="center"/>
          </w:tcPr>
          <w:p w14:paraId="14724674" w14:textId="77777777" w:rsidR="00B0005F" w:rsidRPr="008A2411" w:rsidRDefault="00000000">
            <w:pPr>
              <w:adjustRightInd w:val="0"/>
              <w:snapToGrid w:val="0"/>
              <w:jc w:val="left"/>
              <w:rPr>
                <w:rFonts w:ascii="Times New Roman"/>
                <w:b/>
                <w:bCs/>
                <w:color w:val="000000" w:themeColor="text1"/>
                <w:sz w:val="21"/>
                <w:szCs w:val="21"/>
              </w:rPr>
            </w:pPr>
            <w:r w:rsidRPr="008A2411">
              <w:rPr>
                <w:rFonts w:ascii="Times New Roman" w:hint="eastAsia"/>
                <w:color w:val="000000" w:themeColor="text1"/>
                <w:sz w:val="21"/>
                <w:szCs w:val="21"/>
              </w:rPr>
              <w:t>设置</w:t>
            </w:r>
            <w:r w:rsidRPr="008A2411">
              <w:rPr>
                <w:rFonts w:ascii="Times New Roman"/>
                <w:color w:val="000000" w:themeColor="text1"/>
                <w:sz w:val="21"/>
                <w:szCs w:val="21"/>
              </w:rPr>
              <w:t>雨水</w:t>
            </w:r>
            <w:proofErr w:type="gramStart"/>
            <w:r w:rsidRPr="008A2411">
              <w:rPr>
                <w:rFonts w:ascii="Times New Roman"/>
                <w:color w:val="000000" w:themeColor="text1"/>
                <w:sz w:val="21"/>
                <w:szCs w:val="21"/>
              </w:rPr>
              <w:t>监控池兼事故</w:t>
            </w:r>
            <w:proofErr w:type="gramEnd"/>
            <w:r w:rsidRPr="008A2411">
              <w:rPr>
                <w:rFonts w:ascii="Times New Roman"/>
                <w:color w:val="000000" w:themeColor="text1"/>
                <w:sz w:val="21"/>
                <w:szCs w:val="21"/>
              </w:rPr>
              <w:t>池</w:t>
            </w:r>
            <w:r w:rsidRPr="008A2411">
              <w:rPr>
                <w:rFonts w:ascii="Times New Roman" w:hint="eastAsia"/>
                <w:color w:val="000000" w:themeColor="text1"/>
                <w:sz w:val="21"/>
                <w:szCs w:val="21"/>
              </w:rPr>
              <w:t>1</w:t>
            </w:r>
            <w:r w:rsidRPr="008A2411">
              <w:rPr>
                <w:rFonts w:ascii="Times New Roman" w:hint="eastAsia"/>
                <w:color w:val="000000" w:themeColor="text1"/>
                <w:sz w:val="21"/>
                <w:szCs w:val="21"/>
              </w:rPr>
              <w:t>座</w:t>
            </w:r>
            <w:r w:rsidRPr="008A2411">
              <w:rPr>
                <w:rFonts w:ascii="Times New Roman" w:hint="eastAsia"/>
                <w:color w:val="000000" w:themeColor="text1"/>
                <w:sz w:val="21"/>
                <w:szCs w:val="21"/>
              </w:rPr>
              <w:t>800m</w:t>
            </w:r>
            <w:r w:rsidRPr="008A2411">
              <w:rPr>
                <w:rFonts w:ascii="Times New Roman" w:hint="eastAsia"/>
                <w:color w:val="000000" w:themeColor="text1"/>
                <w:sz w:val="21"/>
                <w:szCs w:val="21"/>
                <w:vertAlign w:val="superscript"/>
              </w:rPr>
              <w:t>3</w:t>
            </w:r>
            <w:r w:rsidRPr="008A2411">
              <w:rPr>
                <w:rFonts w:ascii="Times New Roman" w:hint="eastAsia"/>
                <w:color w:val="000000" w:themeColor="text1"/>
                <w:sz w:val="21"/>
                <w:szCs w:val="21"/>
              </w:rPr>
              <w:t>，建设应急救援站</w:t>
            </w:r>
            <w:r w:rsidRPr="008A2411">
              <w:rPr>
                <w:rFonts w:ascii="Times New Roman" w:hint="eastAsia"/>
                <w:color w:val="000000" w:themeColor="text1"/>
                <w:sz w:val="21"/>
                <w:szCs w:val="21"/>
              </w:rPr>
              <w:t>1</w:t>
            </w:r>
            <w:r w:rsidRPr="008A2411">
              <w:rPr>
                <w:rFonts w:ascii="Times New Roman" w:hint="eastAsia"/>
                <w:color w:val="000000" w:themeColor="text1"/>
                <w:sz w:val="21"/>
                <w:szCs w:val="21"/>
              </w:rPr>
              <w:t>座（厂区办公楼内）</w:t>
            </w:r>
          </w:p>
        </w:tc>
        <w:tc>
          <w:tcPr>
            <w:tcW w:w="701" w:type="pct"/>
            <w:vMerge/>
            <w:vAlign w:val="center"/>
          </w:tcPr>
          <w:p w14:paraId="7F057F91" w14:textId="77777777" w:rsidR="00B0005F" w:rsidRPr="008A2411" w:rsidRDefault="00B0005F">
            <w:pPr>
              <w:adjustRightInd w:val="0"/>
              <w:snapToGrid w:val="0"/>
              <w:ind w:left="-50" w:right="-50"/>
              <w:jc w:val="center"/>
              <w:rPr>
                <w:rFonts w:ascii="Times New Roman"/>
                <w:color w:val="000000" w:themeColor="text1"/>
                <w:sz w:val="21"/>
                <w:szCs w:val="21"/>
              </w:rPr>
            </w:pPr>
          </w:p>
        </w:tc>
        <w:tc>
          <w:tcPr>
            <w:tcW w:w="799" w:type="pct"/>
            <w:vMerge/>
            <w:vAlign w:val="center"/>
          </w:tcPr>
          <w:p w14:paraId="10FBDD0F" w14:textId="77777777" w:rsidR="00B0005F" w:rsidRPr="008A2411" w:rsidRDefault="00B0005F">
            <w:pPr>
              <w:adjustRightInd w:val="0"/>
              <w:snapToGrid w:val="0"/>
              <w:ind w:leftChars="-30" w:left="-72" w:rightChars="-30" w:right="-72"/>
              <w:jc w:val="center"/>
              <w:rPr>
                <w:rFonts w:ascii="Times New Roman"/>
                <w:color w:val="000000" w:themeColor="text1"/>
                <w:sz w:val="21"/>
                <w:szCs w:val="21"/>
              </w:rPr>
            </w:pPr>
          </w:p>
        </w:tc>
      </w:tr>
      <w:tr w:rsidR="008A2411" w:rsidRPr="008A2411" w14:paraId="04D07A50" w14:textId="77777777">
        <w:trPr>
          <w:cantSplit/>
          <w:trHeight w:val="153"/>
          <w:jc w:val="center"/>
        </w:trPr>
        <w:tc>
          <w:tcPr>
            <w:tcW w:w="536" w:type="pct"/>
            <w:vMerge w:val="restart"/>
            <w:vAlign w:val="center"/>
          </w:tcPr>
          <w:p w14:paraId="513D52BC" w14:textId="77777777" w:rsidR="00B0005F" w:rsidRPr="008A2411" w:rsidRDefault="00000000">
            <w:pPr>
              <w:adjustRightInd w:val="0"/>
              <w:snapToGrid w:val="0"/>
              <w:ind w:leftChars="-50" w:left="-120" w:rightChars="-50" w:right="-120"/>
              <w:jc w:val="center"/>
              <w:rPr>
                <w:rFonts w:ascii="Times New Roman"/>
                <w:color w:val="000000" w:themeColor="text1"/>
                <w:sz w:val="21"/>
                <w:szCs w:val="21"/>
              </w:rPr>
            </w:pPr>
            <w:r w:rsidRPr="008A2411">
              <w:rPr>
                <w:rFonts w:ascii="Times New Roman"/>
                <w:color w:val="000000" w:themeColor="text1"/>
                <w:sz w:val="21"/>
                <w:szCs w:val="21"/>
              </w:rPr>
              <w:lastRenderedPageBreak/>
              <w:t>储运</w:t>
            </w:r>
          </w:p>
          <w:p w14:paraId="389BE6C4" w14:textId="77777777" w:rsidR="00B0005F" w:rsidRPr="008A2411" w:rsidRDefault="00000000">
            <w:pPr>
              <w:adjustRightInd w:val="0"/>
              <w:snapToGrid w:val="0"/>
              <w:ind w:leftChars="-50" w:left="-120" w:rightChars="-50" w:right="-120"/>
              <w:jc w:val="center"/>
              <w:rPr>
                <w:rFonts w:ascii="Times New Roman"/>
                <w:color w:val="000000" w:themeColor="text1"/>
                <w:sz w:val="21"/>
                <w:szCs w:val="21"/>
              </w:rPr>
            </w:pPr>
            <w:r w:rsidRPr="008A2411">
              <w:rPr>
                <w:rFonts w:ascii="Times New Roman"/>
                <w:color w:val="000000" w:themeColor="text1"/>
                <w:sz w:val="21"/>
                <w:szCs w:val="21"/>
              </w:rPr>
              <w:t>工程</w:t>
            </w:r>
          </w:p>
        </w:tc>
        <w:tc>
          <w:tcPr>
            <w:tcW w:w="736" w:type="pct"/>
            <w:vAlign w:val="center"/>
          </w:tcPr>
          <w:p w14:paraId="4FF0B954"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液态产</w:t>
            </w:r>
          </w:p>
          <w:p w14:paraId="6102BA55"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品储罐</w:t>
            </w:r>
          </w:p>
        </w:tc>
        <w:tc>
          <w:tcPr>
            <w:tcW w:w="2226" w:type="pct"/>
            <w:vAlign w:val="center"/>
          </w:tcPr>
          <w:p w14:paraId="40B34185" w14:textId="77777777" w:rsidR="00B0005F" w:rsidRPr="008A2411" w:rsidRDefault="00000000">
            <w:pPr>
              <w:adjustRightInd w:val="0"/>
              <w:snapToGrid w:val="0"/>
              <w:ind w:leftChars="-30" w:left="-72" w:rightChars="-30" w:right="-72"/>
              <w:jc w:val="left"/>
              <w:rPr>
                <w:rFonts w:ascii="Times New Roman"/>
                <w:color w:val="000000" w:themeColor="text1"/>
                <w:sz w:val="21"/>
                <w:szCs w:val="21"/>
              </w:rPr>
            </w:pPr>
            <w:r w:rsidRPr="008A2411">
              <w:rPr>
                <w:rFonts w:ascii="Times New Roman"/>
                <w:color w:val="000000" w:themeColor="text1"/>
                <w:sz w:val="21"/>
                <w:szCs w:val="21"/>
              </w:rPr>
              <w:t>20000m</w:t>
            </w:r>
            <w:r w:rsidRPr="008A2411">
              <w:rPr>
                <w:rFonts w:ascii="Times New Roman"/>
                <w:color w:val="000000" w:themeColor="text1"/>
                <w:sz w:val="21"/>
                <w:szCs w:val="21"/>
                <w:vertAlign w:val="superscript"/>
              </w:rPr>
              <w:t>3</w:t>
            </w:r>
            <w:r w:rsidRPr="008A2411">
              <w:rPr>
                <w:rFonts w:ascii="Times New Roman"/>
                <w:color w:val="000000" w:themeColor="text1"/>
                <w:sz w:val="21"/>
                <w:szCs w:val="21"/>
              </w:rPr>
              <w:t>LNG</w:t>
            </w:r>
            <w:r w:rsidRPr="008A2411">
              <w:rPr>
                <w:rFonts w:ascii="Times New Roman"/>
                <w:color w:val="000000" w:themeColor="text1"/>
                <w:sz w:val="21"/>
                <w:szCs w:val="21"/>
              </w:rPr>
              <w:t>储罐</w:t>
            </w:r>
            <w:r w:rsidRPr="008A2411">
              <w:rPr>
                <w:rFonts w:ascii="Times New Roman"/>
                <w:color w:val="000000" w:themeColor="text1"/>
                <w:sz w:val="21"/>
                <w:szCs w:val="21"/>
              </w:rPr>
              <w:t>1</w:t>
            </w:r>
            <w:r w:rsidRPr="008A2411">
              <w:rPr>
                <w:rFonts w:ascii="Times New Roman"/>
                <w:color w:val="000000" w:themeColor="text1"/>
                <w:sz w:val="21"/>
                <w:szCs w:val="21"/>
              </w:rPr>
              <w:t>套</w:t>
            </w:r>
          </w:p>
        </w:tc>
        <w:tc>
          <w:tcPr>
            <w:tcW w:w="701" w:type="pct"/>
            <w:vMerge/>
            <w:vAlign w:val="center"/>
          </w:tcPr>
          <w:p w14:paraId="37E561B6" w14:textId="77777777" w:rsidR="00B0005F" w:rsidRPr="008A2411" w:rsidRDefault="00B0005F">
            <w:pPr>
              <w:adjustRightInd w:val="0"/>
              <w:snapToGrid w:val="0"/>
              <w:ind w:left="-50" w:right="-50"/>
              <w:jc w:val="center"/>
              <w:rPr>
                <w:rFonts w:ascii="Times New Roman"/>
                <w:color w:val="000000" w:themeColor="text1"/>
                <w:sz w:val="21"/>
                <w:szCs w:val="21"/>
              </w:rPr>
            </w:pPr>
          </w:p>
        </w:tc>
        <w:tc>
          <w:tcPr>
            <w:tcW w:w="799" w:type="pct"/>
            <w:vMerge w:val="restart"/>
            <w:vAlign w:val="center"/>
          </w:tcPr>
          <w:p w14:paraId="75E24726" w14:textId="77777777" w:rsidR="00B0005F" w:rsidRPr="008A2411" w:rsidRDefault="00000000">
            <w:pPr>
              <w:adjustRightInd w:val="0"/>
              <w:snapToGrid w:val="0"/>
              <w:ind w:leftChars="-30" w:left="-72" w:rightChars="-30" w:right="-72"/>
              <w:jc w:val="center"/>
              <w:rPr>
                <w:rFonts w:ascii="Times New Roman"/>
                <w:color w:val="000000" w:themeColor="text1"/>
                <w:spacing w:val="-8"/>
                <w:sz w:val="21"/>
                <w:szCs w:val="21"/>
              </w:rPr>
            </w:pPr>
            <w:r w:rsidRPr="008A2411">
              <w:rPr>
                <w:rFonts w:ascii="Times New Roman"/>
                <w:color w:val="000000" w:themeColor="text1"/>
                <w:spacing w:val="-8"/>
                <w:sz w:val="21"/>
                <w:szCs w:val="21"/>
              </w:rPr>
              <w:t>环境风险</w:t>
            </w:r>
          </w:p>
        </w:tc>
      </w:tr>
      <w:tr w:rsidR="008A2411" w:rsidRPr="008A2411" w14:paraId="0D461ACA" w14:textId="77777777">
        <w:trPr>
          <w:cantSplit/>
          <w:trHeight w:val="231"/>
          <w:jc w:val="center"/>
        </w:trPr>
        <w:tc>
          <w:tcPr>
            <w:tcW w:w="536" w:type="pct"/>
            <w:vMerge/>
            <w:shd w:val="clear" w:color="auto" w:fill="auto"/>
            <w:vAlign w:val="center"/>
          </w:tcPr>
          <w:p w14:paraId="4CF10C21" w14:textId="77777777" w:rsidR="00B0005F" w:rsidRPr="008A2411" w:rsidRDefault="00B0005F">
            <w:pPr>
              <w:adjustRightInd w:val="0"/>
              <w:snapToGrid w:val="0"/>
              <w:ind w:leftChars="-50" w:left="-120" w:rightChars="-50" w:right="-120"/>
              <w:jc w:val="center"/>
              <w:rPr>
                <w:rFonts w:ascii="Times New Roman"/>
                <w:color w:val="000000" w:themeColor="text1"/>
                <w:sz w:val="21"/>
                <w:szCs w:val="21"/>
              </w:rPr>
            </w:pPr>
          </w:p>
        </w:tc>
        <w:tc>
          <w:tcPr>
            <w:tcW w:w="736" w:type="pct"/>
            <w:shd w:val="clear" w:color="auto" w:fill="auto"/>
            <w:vAlign w:val="center"/>
          </w:tcPr>
          <w:p w14:paraId="566B2940"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产品运输</w:t>
            </w:r>
          </w:p>
        </w:tc>
        <w:tc>
          <w:tcPr>
            <w:tcW w:w="2226" w:type="pct"/>
            <w:shd w:val="clear" w:color="auto" w:fill="auto"/>
            <w:vAlign w:val="center"/>
          </w:tcPr>
          <w:p w14:paraId="681A5F3A" w14:textId="77777777" w:rsidR="00B0005F" w:rsidRPr="008A2411" w:rsidRDefault="00000000">
            <w:pPr>
              <w:adjustRightInd w:val="0"/>
              <w:snapToGrid w:val="0"/>
              <w:ind w:leftChars="-30" w:left="-72" w:rightChars="-30" w:right="-72"/>
              <w:jc w:val="left"/>
              <w:rPr>
                <w:rFonts w:ascii="Times New Roman"/>
                <w:color w:val="000000" w:themeColor="text1"/>
                <w:sz w:val="21"/>
                <w:szCs w:val="21"/>
              </w:rPr>
            </w:pPr>
            <w:r w:rsidRPr="008A2411">
              <w:rPr>
                <w:rFonts w:ascii="Times New Roman"/>
                <w:color w:val="000000" w:themeColor="text1"/>
                <w:sz w:val="21"/>
                <w:szCs w:val="21"/>
              </w:rPr>
              <w:t>采用有效容积</w:t>
            </w:r>
            <w:r w:rsidRPr="008A2411">
              <w:rPr>
                <w:rFonts w:ascii="Times New Roman"/>
                <w:color w:val="000000" w:themeColor="text1"/>
                <w:sz w:val="21"/>
                <w:szCs w:val="21"/>
              </w:rPr>
              <w:t>50 m</w:t>
            </w:r>
            <w:r w:rsidRPr="008A2411">
              <w:rPr>
                <w:rFonts w:ascii="Times New Roman"/>
                <w:color w:val="000000" w:themeColor="text1"/>
                <w:sz w:val="21"/>
                <w:szCs w:val="21"/>
                <w:vertAlign w:val="superscript"/>
              </w:rPr>
              <w:t>3</w:t>
            </w:r>
            <w:r w:rsidRPr="008A2411">
              <w:rPr>
                <w:rFonts w:ascii="Times New Roman"/>
                <w:color w:val="000000" w:themeColor="text1"/>
                <w:sz w:val="21"/>
                <w:szCs w:val="21"/>
              </w:rPr>
              <w:t>的专业低温槽车运输</w:t>
            </w:r>
          </w:p>
        </w:tc>
        <w:tc>
          <w:tcPr>
            <w:tcW w:w="701" w:type="pct"/>
            <w:vMerge/>
            <w:vAlign w:val="center"/>
          </w:tcPr>
          <w:p w14:paraId="56C43240" w14:textId="77777777" w:rsidR="00B0005F" w:rsidRPr="008A2411" w:rsidRDefault="00B0005F">
            <w:pPr>
              <w:adjustRightInd w:val="0"/>
              <w:snapToGrid w:val="0"/>
              <w:ind w:leftChars="-30" w:left="-72" w:rightChars="-30" w:right="-72"/>
              <w:jc w:val="center"/>
              <w:rPr>
                <w:rFonts w:ascii="Times New Roman"/>
                <w:color w:val="000000" w:themeColor="text1"/>
                <w:sz w:val="21"/>
                <w:szCs w:val="21"/>
              </w:rPr>
            </w:pPr>
          </w:p>
        </w:tc>
        <w:tc>
          <w:tcPr>
            <w:tcW w:w="799" w:type="pct"/>
            <w:vMerge/>
            <w:vAlign w:val="center"/>
          </w:tcPr>
          <w:p w14:paraId="3FC89698" w14:textId="77777777" w:rsidR="00B0005F" w:rsidRPr="008A2411" w:rsidRDefault="00B0005F">
            <w:pPr>
              <w:adjustRightInd w:val="0"/>
              <w:snapToGrid w:val="0"/>
              <w:ind w:leftChars="-30" w:left="-72" w:rightChars="-30" w:right="-72"/>
              <w:jc w:val="center"/>
              <w:rPr>
                <w:rFonts w:ascii="Times New Roman"/>
                <w:color w:val="000000" w:themeColor="text1"/>
                <w:spacing w:val="-8"/>
                <w:sz w:val="21"/>
                <w:szCs w:val="21"/>
              </w:rPr>
            </w:pPr>
          </w:p>
        </w:tc>
      </w:tr>
      <w:tr w:rsidR="008A2411" w:rsidRPr="008A2411" w14:paraId="0E5DC1AC" w14:textId="77777777">
        <w:trPr>
          <w:cantSplit/>
          <w:trHeight w:val="231"/>
          <w:jc w:val="center"/>
        </w:trPr>
        <w:tc>
          <w:tcPr>
            <w:tcW w:w="536" w:type="pct"/>
            <w:vMerge/>
            <w:shd w:val="clear" w:color="auto" w:fill="auto"/>
            <w:vAlign w:val="center"/>
          </w:tcPr>
          <w:p w14:paraId="557E7B7E" w14:textId="77777777" w:rsidR="00B0005F" w:rsidRPr="008A2411" w:rsidRDefault="00B0005F">
            <w:pPr>
              <w:adjustRightInd w:val="0"/>
              <w:snapToGrid w:val="0"/>
              <w:ind w:leftChars="-50" w:left="-120" w:rightChars="-50" w:right="-120"/>
              <w:jc w:val="center"/>
              <w:rPr>
                <w:rFonts w:ascii="Times New Roman"/>
                <w:color w:val="000000" w:themeColor="text1"/>
                <w:sz w:val="21"/>
                <w:szCs w:val="21"/>
              </w:rPr>
            </w:pPr>
          </w:p>
        </w:tc>
        <w:tc>
          <w:tcPr>
            <w:tcW w:w="736" w:type="pct"/>
            <w:shd w:val="clear" w:color="auto" w:fill="auto"/>
            <w:vAlign w:val="center"/>
          </w:tcPr>
          <w:p w14:paraId="70546EE1"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LNG</w:t>
            </w:r>
            <w:proofErr w:type="gramStart"/>
            <w:r w:rsidRPr="008A2411">
              <w:rPr>
                <w:rFonts w:ascii="Times New Roman"/>
                <w:color w:val="000000" w:themeColor="text1"/>
                <w:sz w:val="21"/>
                <w:szCs w:val="21"/>
              </w:rPr>
              <w:t>加注区</w:t>
            </w:r>
            <w:proofErr w:type="gramEnd"/>
          </w:p>
        </w:tc>
        <w:tc>
          <w:tcPr>
            <w:tcW w:w="2226" w:type="pct"/>
            <w:shd w:val="clear" w:color="auto" w:fill="auto"/>
            <w:vAlign w:val="center"/>
          </w:tcPr>
          <w:p w14:paraId="722EB355" w14:textId="77777777" w:rsidR="00B0005F" w:rsidRPr="008A2411" w:rsidRDefault="00000000">
            <w:pPr>
              <w:adjustRightInd w:val="0"/>
              <w:snapToGrid w:val="0"/>
              <w:ind w:leftChars="-30" w:left="-72" w:rightChars="-30" w:right="-72"/>
              <w:jc w:val="left"/>
              <w:rPr>
                <w:rFonts w:ascii="Times New Roman"/>
                <w:color w:val="000000" w:themeColor="text1"/>
                <w:sz w:val="21"/>
                <w:szCs w:val="21"/>
              </w:rPr>
            </w:pPr>
            <w:r w:rsidRPr="008A2411">
              <w:rPr>
                <w:rFonts w:ascii="Times New Roman"/>
                <w:color w:val="000000" w:themeColor="text1"/>
                <w:sz w:val="21"/>
                <w:szCs w:val="21"/>
              </w:rPr>
              <w:t>设置</w:t>
            </w:r>
            <w:r w:rsidRPr="008A2411">
              <w:rPr>
                <w:rFonts w:ascii="Times New Roman"/>
                <w:color w:val="000000" w:themeColor="text1"/>
                <w:sz w:val="21"/>
                <w:szCs w:val="21"/>
              </w:rPr>
              <w:t>LNG</w:t>
            </w:r>
            <w:proofErr w:type="gramStart"/>
            <w:r w:rsidRPr="008A2411">
              <w:rPr>
                <w:rFonts w:ascii="Times New Roman"/>
                <w:color w:val="000000" w:themeColor="text1"/>
                <w:sz w:val="21"/>
                <w:szCs w:val="21"/>
              </w:rPr>
              <w:t>加注区</w:t>
            </w:r>
            <w:proofErr w:type="gramEnd"/>
            <w:r w:rsidRPr="008A2411">
              <w:rPr>
                <w:rFonts w:ascii="Times New Roman"/>
                <w:color w:val="000000" w:themeColor="text1"/>
                <w:sz w:val="21"/>
                <w:szCs w:val="21"/>
              </w:rPr>
              <w:t>1</w:t>
            </w:r>
            <w:r w:rsidRPr="008A2411">
              <w:rPr>
                <w:rFonts w:ascii="Times New Roman"/>
                <w:color w:val="000000" w:themeColor="text1"/>
                <w:sz w:val="21"/>
                <w:szCs w:val="21"/>
              </w:rPr>
              <w:t>处，占地面积</w:t>
            </w:r>
            <w:r w:rsidRPr="008A2411">
              <w:rPr>
                <w:rFonts w:ascii="Times New Roman"/>
                <w:color w:val="000000" w:themeColor="text1"/>
                <w:sz w:val="21"/>
                <w:szCs w:val="21"/>
              </w:rPr>
              <w:t>7112.55 m</w:t>
            </w:r>
            <w:r w:rsidRPr="008A2411">
              <w:rPr>
                <w:rFonts w:ascii="Times New Roman"/>
                <w:color w:val="000000" w:themeColor="text1"/>
                <w:sz w:val="21"/>
                <w:szCs w:val="21"/>
                <w:vertAlign w:val="superscript"/>
              </w:rPr>
              <w:t>2</w:t>
            </w:r>
            <w:r w:rsidRPr="008A2411">
              <w:rPr>
                <w:rFonts w:ascii="Times New Roman"/>
                <w:color w:val="000000" w:themeColor="text1"/>
                <w:sz w:val="21"/>
                <w:szCs w:val="21"/>
              </w:rPr>
              <w:t>。</w:t>
            </w:r>
          </w:p>
        </w:tc>
        <w:tc>
          <w:tcPr>
            <w:tcW w:w="701" w:type="pct"/>
            <w:vMerge/>
            <w:vAlign w:val="center"/>
          </w:tcPr>
          <w:p w14:paraId="04A2BEFD" w14:textId="77777777" w:rsidR="00B0005F" w:rsidRPr="008A2411" w:rsidRDefault="00B0005F">
            <w:pPr>
              <w:adjustRightInd w:val="0"/>
              <w:snapToGrid w:val="0"/>
              <w:ind w:leftChars="-30" w:left="-72" w:rightChars="-30" w:right="-72"/>
              <w:jc w:val="center"/>
              <w:rPr>
                <w:rFonts w:ascii="Times New Roman"/>
                <w:color w:val="000000" w:themeColor="text1"/>
                <w:sz w:val="21"/>
                <w:szCs w:val="21"/>
              </w:rPr>
            </w:pPr>
          </w:p>
        </w:tc>
        <w:tc>
          <w:tcPr>
            <w:tcW w:w="799" w:type="pct"/>
            <w:vMerge/>
            <w:vAlign w:val="center"/>
          </w:tcPr>
          <w:p w14:paraId="7285B42B" w14:textId="77777777" w:rsidR="00B0005F" w:rsidRPr="008A2411" w:rsidRDefault="00B0005F">
            <w:pPr>
              <w:adjustRightInd w:val="0"/>
              <w:snapToGrid w:val="0"/>
              <w:ind w:leftChars="-30" w:left="-72" w:rightChars="-30" w:right="-72"/>
              <w:jc w:val="center"/>
              <w:rPr>
                <w:rFonts w:ascii="Times New Roman"/>
                <w:color w:val="000000" w:themeColor="text1"/>
                <w:sz w:val="21"/>
                <w:szCs w:val="21"/>
              </w:rPr>
            </w:pPr>
          </w:p>
        </w:tc>
      </w:tr>
      <w:tr w:rsidR="008A2411" w:rsidRPr="008A2411" w14:paraId="4755F61D" w14:textId="77777777">
        <w:trPr>
          <w:cantSplit/>
          <w:trHeight w:val="231"/>
          <w:jc w:val="center"/>
        </w:trPr>
        <w:tc>
          <w:tcPr>
            <w:tcW w:w="536" w:type="pct"/>
            <w:vMerge/>
            <w:shd w:val="clear" w:color="auto" w:fill="auto"/>
            <w:vAlign w:val="center"/>
          </w:tcPr>
          <w:p w14:paraId="3DDB9443" w14:textId="77777777" w:rsidR="00B0005F" w:rsidRPr="008A2411" w:rsidRDefault="00B0005F">
            <w:pPr>
              <w:adjustRightInd w:val="0"/>
              <w:snapToGrid w:val="0"/>
              <w:ind w:leftChars="-50" w:left="-120" w:rightChars="-50" w:right="-120"/>
              <w:jc w:val="center"/>
              <w:rPr>
                <w:rFonts w:ascii="Times New Roman"/>
                <w:color w:val="000000" w:themeColor="text1"/>
                <w:sz w:val="21"/>
                <w:szCs w:val="21"/>
              </w:rPr>
            </w:pPr>
          </w:p>
        </w:tc>
        <w:tc>
          <w:tcPr>
            <w:tcW w:w="736" w:type="pct"/>
            <w:shd w:val="clear" w:color="auto" w:fill="auto"/>
            <w:vAlign w:val="center"/>
          </w:tcPr>
          <w:p w14:paraId="2BD3B1B2"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LNG</w:t>
            </w:r>
            <w:r w:rsidRPr="008A2411">
              <w:rPr>
                <w:rFonts w:ascii="Times New Roman"/>
                <w:color w:val="000000" w:themeColor="text1"/>
                <w:sz w:val="21"/>
                <w:szCs w:val="21"/>
              </w:rPr>
              <w:t>装车站</w:t>
            </w:r>
          </w:p>
        </w:tc>
        <w:tc>
          <w:tcPr>
            <w:tcW w:w="2226" w:type="pct"/>
            <w:shd w:val="clear" w:color="auto" w:fill="auto"/>
            <w:vAlign w:val="center"/>
          </w:tcPr>
          <w:p w14:paraId="7354CDF5" w14:textId="77777777" w:rsidR="00B0005F" w:rsidRPr="008A2411" w:rsidRDefault="00000000">
            <w:pPr>
              <w:adjustRightInd w:val="0"/>
              <w:snapToGrid w:val="0"/>
              <w:ind w:leftChars="-30" w:left="-72" w:rightChars="-30" w:right="-72"/>
              <w:jc w:val="left"/>
              <w:rPr>
                <w:rFonts w:ascii="Times New Roman"/>
                <w:color w:val="000000" w:themeColor="text1"/>
                <w:sz w:val="21"/>
                <w:szCs w:val="21"/>
              </w:rPr>
            </w:pPr>
            <w:r w:rsidRPr="008A2411">
              <w:rPr>
                <w:rFonts w:ascii="Times New Roman"/>
                <w:color w:val="000000" w:themeColor="text1"/>
                <w:sz w:val="21"/>
                <w:szCs w:val="21"/>
              </w:rPr>
              <w:t>设置</w:t>
            </w:r>
            <w:r w:rsidRPr="008A2411">
              <w:rPr>
                <w:rFonts w:ascii="Times New Roman"/>
                <w:color w:val="000000" w:themeColor="text1"/>
                <w:sz w:val="21"/>
                <w:szCs w:val="21"/>
              </w:rPr>
              <w:t>LNG</w:t>
            </w:r>
            <w:r w:rsidRPr="008A2411">
              <w:rPr>
                <w:rFonts w:ascii="Times New Roman"/>
                <w:color w:val="000000" w:themeColor="text1"/>
                <w:sz w:val="21"/>
                <w:szCs w:val="21"/>
              </w:rPr>
              <w:t>装车站</w:t>
            </w:r>
            <w:r w:rsidRPr="008A2411">
              <w:rPr>
                <w:rFonts w:ascii="Times New Roman"/>
                <w:color w:val="000000" w:themeColor="text1"/>
                <w:sz w:val="21"/>
                <w:szCs w:val="21"/>
              </w:rPr>
              <w:t>1</w:t>
            </w:r>
            <w:r w:rsidRPr="008A2411">
              <w:rPr>
                <w:rFonts w:ascii="Times New Roman"/>
                <w:color w:val="000000" w:themeColor="text1"/>
                <w:sz w:val="21"/>
                <w:szCs w:val="21"/>
              </w:rPr>
              <w:t>处，占地面积</w:t>
            </w:r>
            <w:r w:rsidRPr="008A2411">
              <w:rPr>
                <w:rFonts w:ascii="Times New Roman"/>
                <w:color w:val="000000" w:themeColor="text1"/>
                <w:sz w:val="21"/>
                <w:szCs w:val="21"/>
              </w:rPr>
              <w:t>15078.04m</w:t>
            </w:r>
            <w:r w:rsidRPr="008A2411">
              <w:rPr>
                <w:rFonts w:ascii="Times New Roman"/>
                <w:color w:val="000000" w:themeColor="text1"/>
                <w:sz w:val="21"/>
                <w:szCs w:val="21"/>
                <w:vertAlign w:val="superscript"/>
              </w:rPr>
              <w:t>2</w:t>
            </w:r>
            <w:r w:rsidRPr="008A2411">
              <w:rPr>
                <w:rFonts w:ascii="Times New Roman"/>
                <w:color w:val="000000" w:themeColor="text1"/>
                <w:sz w:val="21"/>
                <w:szCs w:val="21"/>
              </w:rPr>
              <w:t>。</w:t>
            </w:r>
          </w:p>
        </w:tc>
        <w:tc>
          <w:tcPr>
            <w:tcW w:w="701" w:type="pct"/>
            <w:vMerge/>
            <w:vAlign w:val="center"/>
          </w:tcPr>
          <w:p w14:paraId="176E171C" w14:textId="77777777" w:rsidR="00B0005F" w:rsidRPr="008A2411" w:rsidRDefault="00B0005F">
            <w:pPr>
              <w:adjustRightInd w:val="0"/>
              <w:snapToGrid w:val="0"/>
              <w:ind w:leftChars="-30" w:left="-72" w:rightChars="-30" w:right="-72"/>
              <w:jc w:val="center"/>
              <w:rPr>
                <w:rFonts w:ascii="Times New Roman"/>
                <w:color w:val="000000" w:themeColor="text1"/>
                <w:sz w:val="21"/>
                <w:szCs w:val="21"/>
              </w:rPr>
            </w:pPr>
          </w:p>
        </w:tc>
        <w:tc>
          <w:tcPr>
            <w:tcW w:w="799" w:type="pct"/>
            <w:vAlign w:val="center"/>
          </w:tcPr>
          <w:p w14:paraId="75793E3F" w14:textId="77777777" w:rsidR="00B0005F" w:rsidRPr="008A2411" w:rsidRDefault="00B0005F">
            <w:pPr>
              <w:adjustRightInd w:val="0"/>
              <w:snapToGrid w:val="0"/>
              <w:ind w:leftChars="-30" w:left="-72" w:rightChars="-30" w:right="-72"/>
              <w:jc w:val="center"/>
              <w:rPr>
                <w:rFonts w:ascii="Times New Roman"/>
                <w:color w:val="000000" w:themeColor="text1"/>
                <w:sz w:val="21"/>
                <w:szCs w:val="21"/>
              </w:rPr>
            </w:pPr>
          </w:p>
        </w:tc>
      </w:tr>
      <w:tr w:rsidR="008A2411" w:rsidRPr="008A2411" w14:paraId="7FAC9D4B" w14:textId="77777777">
        <w:trPr>
          <w:cantSplit/>
          <w:trHeight w:val="96"/>
          <w:jc w:val="center"/>
        </w:trPr>
        <w:tc>
          <w:tcPr>
            <w:tcW w:w="1272" w:type="pct"/>
            <w:gridSpan w:val="2"/>
            <w:vAlign w:val="center"/>
          </w:tcPr>
          <w:p w14:paraId="47CFA0DC"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办公及生活设施</w:t>
            </w:r>
          </w:p>
        </w:tc>
        <w:tc>
          <w:tcPr>
            <w:tcW w:w="2226" w:type="pct"/>
            <w:vAlign w:val="center"/>
          </w:tcPr>
          <w:p w14:paraId="035AE819" w14:textId="77777777" w:rsidR="00B0005F" w:rsidRPr="008A2411" w:rsidRDefault="00000000">
            <w:pPr>
              <w:adjustRightInd w:val="0"/>
              <w:snapToGrid w:val="0"/>
              <w:ind w:leftChars="-30" w:left="-72" w:rightChars="-30" w:right="-72"/>
              <w:jc w:val="left"/>
              <w:rPr>
                <w:rFonts w:ascii="Times New Roman"/>
                <w:color w:val="000000" w:themeColor="text1"/>
                <w:sz w:val="21"/>
                <w:szCs w:val="21"/>
                <w:vertAlign w:val="superscript"/>
              </w:rPr>
            </w:pPr>
            <w:r w:rsidRPr="008A2411">
              <w:rPr>
                <w:rFonts w:ascii="Times New Roman"/>
                <w:color w:val="000000" w:themeColor="text1"/>
                <w:sz w:val="21"/>
                <w:szCs w:val="21"/>
              </w:rPr>
              <w:t>调度中心</w:t>
            </w:r>
            <w:r w:rsidRPr="008A2411">
              <w:rPr>
                <w:rFonts w:ascii="Times New Roman"/>
                <w:color w:val="000000" w:themeColor="text1"/>
                <w:sz w:val="21"/>
                <w:szCs w:val="21"/>
              </w:rPr>
              <w:t>1</w:t>
            </w:r>
            <w:r w:rsidRPr="008A2411">
              <w:rPr>
                <w:rFonts w:ascii="Times New Roman"/>
                <w:color w:val="000000" w:themeColor="text1"/>
                <w:sz w:val="21"/>
                <w:szCs w:val="21"/>
              </w:rPr>
              <w:t>座，</w:t>
            </w:r>
            <w:r w:rsidRPr="008A2411">
              <w:rPr>
                <w:rFonts w:ascii="Times New Roman"/>
                <w:color w:val="000000" w:themeColor="text1"/>
                <w:sz w:val="21"/>
                <w:szCs w:val="21"/>
              </w:rPr>
              <w:t>880m</w:t>
            </w:r>
            <w:r w:rsidRPr="008A2411">
              <w:rPr>
                <w:rFonts w:ascii="Times New Roman"/>
                <w:color w:val="000000" w:themeColor="text1"/>
                <w:sz w:val="21"/>
                <w:szCs w:val="21"/>
                <w:vertAlign w:val="superscript"/>
              </w:rPr>
              <w:t>2</w:t>
            </w:r>
          </w:p>
        </w:tc>
        <w:tc>
          <w:tcPr>
            <w:tcW w:w="701" w:type="pct"/>
            <w:vMerge/>
            <w:vAlign w:val="center"/>
          </w:tcPr>
          <w:p w14:paraId="5186C832" w14:textId="77777777" w:rsidR="00B0005F" w:rsidRPr="008A2411" w:rsidRDefault="00B0005F">
            <w:pPr>
              <w:adjustRightInd w:val="0"/>
              <w:snapToGrid w:val="0"/>
              <w:ind w:leftChars="-30" w:left="-72" w:rightChars="-30" w:right="-72"/>
              <w:jc w:val="center"/>
              <w:rPr>
                <w:rFonts w:ascii="Times New Roman"/>
                <w:color w:val="000000" w:themeColor="text1"/>
                <w:sz w:val="21"/>
                <w:szCs w:val="21"/>
              </w:rPr>
            </w:pPr>
          </w:p>
        </w:tc>
        <w:tc>
          <w:tcPr>
            <w:tcW w:w="799" w:type="pct"/>
            <w:vAlign w:val="center"/>
          </w:tcPr>
          <w:p w14:paraId="3ABAFA16"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生活污水</w:t>
            </w:r>
          </w:p>
          <w:p w14:paraId="3218E241"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生活垃圾</w:t>
            </w:r>
          </w:p>
        </w:tc>
      </w:tr>
    </w:tbl>
    <w:p w14:paraId="1C1B439B" w14:textId="77777777" w:rsidR="00B0005F" w:rsidRPr="008A2411" w:rsidRDefault="00000000">
      <w:pPr>
        <w:pStyle w:val="42"/>
        <w:adjustRightInd w:val="0"/>
        <w:snapToGrid w:val="0"/>
        <w:spacing w:before="0" w:after="0" w:line="360" w:lineRule="auto"/>
        <w:rPr>
          <w:rFonts w:ascii="Times New Roman" w:hAnsi="Times New Roman"/>
          <w:b w:val="0"/>
          <w:color w:val="000000" w:themeColor="text1"/>
          <w:kern w:val="0"/>
          <w:sz w:val="24"/>
          <w:szCs w:val="24"/>
          <w:lang w:bidi="en-US"/>
        </w:rPr>
      </w:pPr>
      <w:r w:rsidRPr="008A2411">
        <w:rPr>
          <w:rFonts w:ascii="Times New Roman" w:hAnsi="Times New Roman"/>
          <w:b w:val="0"/>
          <w:color w:val="000000" w:themeColor="text1"/>
          <w:kern w:val="0"/>
          <w:sz w:val="24"/>
          <w:szCs w:val="24"/>
          <w:lang w:bidi="en-US"/>
        </w:rPr>
        <w:t xml:space="preserve">3.1.3 </w:t>
      </w:r>
      <w:r w:rsidRPr="008A2411">
        <w:rPr>
          <w:rFonts w:ascii="Times New Roman" w:hAnsi="Times New Roman"/>
          <w:b w:val="0"/>
          <w:color w:val="000000" w:themeColor="text1"/>
          <w:kern w:val="0"/>
          <w:sz w:val="24"/>
          <w:szCs w:val="24"/>
          <w:lang w:bidi="en-US"/>
        </w:rPr>
        <w:t>主要生产设备情况</w:t>
      </w:r>
    </w:p>
    <w:p w14:paraId="5CFD4070" w14:textId="77777777" w:rsidR="00B0005F" w:rsidRPr="008A2411" w:rsidRDefault="00000000">
      <w:pPr>
        <w:pStyle w:val="WJ"/>
        <w:adjustRightInd w:val="0"/>
        <w:snapToGrid w:val="0"/>
        <w:spacing w:line="360" w:lineRule="auto"/>
        <w:rPr>
          <w:rFonts w:ascii="Times New Roman" w:hAnsi="Times New Roman"/>
          <w:color w:val="000000" w:themeColor="text1"/>
          <w:lang w:bidi="en-US"/>
        </w:rPr>
      </w:pPr>
      <w:r w:rsidRPr="008A2411">
        <w:rPr>
          <w:rFonts w:ascii="Times New Roman" w:hAnsi="Times New Roman"/>
          <w:color w:val="000000" w:themeColor="text1"/>
          <w:lang w:bidi="en-US"/>
        </w:rPr>
        <w:t>本项目主要生产设备见表</w:t>
      </w:r>
      <w:r w:rsidRPr="008A2411">
        <w:rPr>
          <w:rFonts w:ascii="Times New Roman" w:hAnsi="Times New Roman"/>
          <w:color w:val="000000" w:themeColor="text1"/>
          <w:lang w:bidi="en-US"/>
        </w:rPr>
        <w:t>3.1-2</w:t>
      </w:r>
      <w:r w:rsidRPr="008A2411">
        <w:rPr>
          <w:rFonts w:ascii="Times New Roman" w:hAnsi="Times New Roman"/>
          <w:color w:val="000000" w:themeColor="text1"/>
          <w:lang w:bidi="en-US"/>
        </w:rPr>
        <w:t>。</w:t>
      </w:r>
    </w:p>
    <w:p w14:paraId="7A9DEC30" w14:textId="77777777" w:rsidR="00B0005F" w:rsidRPr="008A2411" w:rsidRDefault="00000000">
      <w:pPr>
        <w:pStyle w:val="WJ0"/>
        <w:spacing w:line="240" w:lineRule="auto"/>
        <w:rPr>
          <w:rFonts w:ascii="Times New Roman" w:hAnsi="Times New Roman"/>
          <w:color w:val="000000" w:themeColor="text1"/>
        </w:rPr>
      </w:pPr>
      <w:r w:rsidRPr="008A2411">
        <w:rPr>
          <w:rFonts w:ascii="Times New Roman" w:hAnsi="Times New Roman"/>
          <w:color w:val="000000" w:themeColor="text1"/>
        </w:rPr>
        <w:t>表</w:t>
      </w:r>
      <w:r w:rsidRPr="008A2411">
        <w:rPr>
          <w:rFonts w:ascii="Times New Roman" w:hAnsi="Times New Roman"/>
          <w:color w:val="000000" w:themeColor="text1"/>
        </w:rPr>
        <w:t xml:space="preserve">3.1-2  </w:t>
      </w:r>
      <w:r w:rsidRPr="008A2411">
        <w:rPr>
          <w:rFonts w:ascii="Times New Roman" w:hAnsi="Times New Roman"/>
          <w:color w:val="000000" w:themeColor="text1"/>
        </w:rPr>
        <w:t>项目主要生产设备一览表</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1"/>
        <w:gridCol w:w="978"/>
        <w:gridCol w:w="824"/>
        <w:gridCol w:w="930"/>
        <w:gridCol w:w="1005"/>
        <w:gridCol w:w="2745"/>
        <w:gridCol w:w="1409"/>
      </w:tblGrid>
      <w:tr w:rsidR="008A2411" w:rsidRPr="008A2411" w14:paraId="1F97D178" w14:textId="77777777">
        <w:trPr>
          <w:trHeight w:val="432"/>
          <w:tblHeader/>
          <w:jc w:val="center"/>
        </w:trPr>
        <w:tc>
          <w:tcPr>
            <w:tcW w:w="631" w:type="dxa"/>
            <w:vMerge w:val="restart"/>
            <w:vAlign w:val="center"/>
          </w:tcPr>
          <w:p w14:paraId="177AF609"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rPr>
              <w:t>设备类别</w:t>
            </w:r>
          </w:p>
        </w:tc>
        <w:tc>
          <w:tcPr>
            <w:tcW w:w="2732" w:type="dxa"/>
            <w:gridSpan w:val="3"/>
            <w:vAlign w:val="center"/>
          </w:tcPr>
          <w:p w14:paraId="633D6FD7"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rPr>
              <w:t>生产设备</w:t>
            </w:r>
          </w:p>
        </w:tc>
        <w:tc>
          <w:tcPr>
            <w:tcW w:w="1005" w:type="dxa"/>
            <w:vMerge w:val="restart"/>
            <w:vAlign w:val="center"/>
          </w:tcPr>
          <w:p w14:paraId="46F86A44"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rPr>
              <w:t>数量</w:t>
            </w:r>
          </w:p>
          <w:p w14:paraId="43118067"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rPr>
              <w:t>（台</w:t>
            </w:r>
            <w:r w:rsidRPr="008A2411">
              <w:rPr>
                <w:rFonts w:ascii="Times New Roman" w:hAnsi="Times New Roman"/>
                <w:color w:val="000000" w:themeColor="text1"/>
              </w:rPr>
              <w:t>/</w:t>
            </w:r>
            <w:r w:rsidRPr="008A2411">
              <w:rPr>
                <w:rFonts w:ascii="Times New Roman" w:hAnsi="Times New Roman"/>
                <w:color w:val="000000" w:themeColor="text1"/>
              </w:rPr>
              <w:t>套）</w:t>
            </w:r>
          </w:p>
        </w:tc>
        <w:tc>
          <w:tcPr>
            <w:tcW w:w="2745" w:type="dxa"/>
            <w:vMerge w:val="restart"/>
            <w:vAlign w:val="center"/>
          </w:tcPr>
          <w:p w14:paraId="1177D71F"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rPr>
              <w:t>规格</w:t>
            </w:r>
          </w:p>
        </w:tc>
        <w:tc>
          <w:tcPr>
            <w:tcW w:w="1409" w:type="dxa"/>
            <w:vMerge w:val="restart"/>
            <w:vAlign w:val="center"/>
          </w:tcPr>
          <w:p w14:paraId="3D8482B9"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rPr>
              <w:t>备注</w:t>
            </w:r>
          </w:p>
        </w:tc>
      </w:tr>
      <w:tr w:rsidR="008A2411" w:rsidRPr="008A2411" w14:paraId="08478DDB" w14:textId="77777777">
        <w:trPr>
          <w:trHeight w:val="432"/>
          <w:tblHeader/>
          <w:jc w:val="center"/>
        </w:trPr>
        <w:tc>
          <w:tcPr>
            <w:tcW w:w="631" w:type="dxa"/>
            <w:vMerge/>
            <w:vAlign w:val="center"/>
          </w:tcPr>
          <w:p w14:paraId="1E4BAF67" w14:textId="77777777" w:rsidR="00B0005F" w:rsidRPr="008A2411" w:rsidRDefault="00B0005F">
            <w:pPr>
              <w:pStyle w:val="WJ4"/>
              <w:spacing w:line="240" w:lineRule="auto"/>
              <w:rPr>
                <w:rFonts w:ascii="Times New Roman" w:hAnsi="Times New Roman"/>
                <w:color w:val="000000" w:themeColor="text1"/>
              </w:rPr>
            </w:pPr>
          </w:p>
        </w:tc>
        <w:tc>
          <w:tcPr>
            <w:tcW w:w="978" w:type="dxa"/>
            <w:vAlign w:val="center"/>
          </w:tcPr>
          <w:p w14:paraId="5894CED8"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rPr>
              <w:t>功能区</w:t>
            </w:r>
          </w:p>
        </w:tc>
        <w:tc>
          <w:tcPr>
            <w:tcW w:w="1754" w:type="dxa"/>
            <w:gridSpan w:val="2"/>
            <w:vAlign w:val="center"/>
          </w:tcPr>
          <w:p w14:paraId="5FD018CC"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rPr>
              <w:t>设备名称</w:t>
            </w:r>
          </w:p>
        </w:tc>
        <w:tc>
          <w:tcPr>
            <w:tcW w:w="1005" w:type="dxa"/>
            <w:vMerge/>
            <w:vAlign w:val="center"/>
          </w:tcPr>
          <w:p w14:paraId="4D542C44" w14:textId="77777777" w:rsidR="00B0005F" w:rsidRPr="008A2411" w:rsidRDefault="00B0005F">
            <w:pPr>
              <w:pStyle w:val="WJ4"/>
              <w:spacing w:line="240" w:lineRule="auto"/>
              <w:rPr>
                <w:rFonts w:ascii="Times New Roman" w:hAnsi="Times New Roman"/>
                <w:color w:val="000000" w:themeColor="text1"/>
              </w:rPr>
            </w:pPr>
          </w:p>
        </w:tc>
        <w:tc>
          <w:tcPr>
            <w:tcW w:w="2745" w:type="dxa"/>
            <w:vMerge/>
            <w:vAlign w:val="center"/>
          </w:tcPr>
          <w:p w14:paraId="31330498" w14:textId="77777777" w:rsidR="00B0005F" w:rsidRPr="008A2411" w:rsidRDefault="00B0005F">
            <w:pPr>
              <w:pStyle w:val="WJ4"/>
              <w:spacing w:line="240" w:lineRule="auto"/>
              <w:rPr>
                <w:rFonts w:ascii="Times New Roman" w:hAnsi="Times New Roman"/>
                <w:color w:val="000000" w:themeColor="text1"/>
              </w:rPr>
            </w:pPr>
          </w:p>
        </w:tc>
        <w:tc>
          <w:tcPr>
            <w:tcW w:w="1409" w:type="dxa"/>
            <w:vMerge/>
            <w:vAlign w:val="center"/>
          </w:tcPr>
          <w:p w14:paraId="0D441789" w14:textId="77777777" w:rsidR="00B0005F" w:rsidRPr="008A2411" w:rsidRDefault="00B0005F">
            <w:pPr>
              <w:pStyle w:val="WJ4"/>
              <w:spacing w:line="240" w:lineRule="auto"/>
              <w:rPr>
                <w:rFonts w:ascii="Times New Roman" w:hAnsi="Times New Roman"/>
                <w:color w:val="000000" w:themeColor="text1"/>
              </w:rPr>
            </w:pPr>
          </w:p>
        </w:tc>
      </w:tr>
      <w:tr w:rsidR="008A2411" w:rsidRPr="008A2411" w14:paraId="3E17E0B0" w14:textId="77777777">
        <w:trPr>
          <w:tblHeader/>
          <w:jc w:val="center"/>
        </w:trPr>
        <w:tc>
          <w:tcPr>
            <w:tcW w:w="631" w:type="dxa"/>
            <w:vMerge w:val="restart"/>
            <w:vAlign w:val="center"/>
          </w:tcPr>
          <w:p w14:paraId="3C19CF0B"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rPr>
              <w:t>生产设备</w:t>
            </w:r>
          </w:p>
        </w:tc>
        <w:tc>
          <w:tcPr>
            <w:tcW w:w="978" w:type="dxa"/>
            <w:vMerge w:val="restart"/>
            <w:vAlign w:val="center"/>
          </w:tcPr>
          <w:p w14:paraId="4528B396"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rPr>
              <w:t>计量调压系统</w:t>
            </w:r>
          </w:p>
        </w:tc>
        <w:tc>
          <w:tcPr>
            <w:tcW w:w="1754" w:type="dxa"/>
            <w:gridSpan w:val="2"/>
            <w:vAlign w:val="center"/>
          </w:tcPr>
          <w:p w14:paraId="457E4C1F"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过滤分离器</w:t>
            </w:r>
          </w:p>
        </w:tc>
        <w:tc>
          <w:tcPr>
            <w:tcW w:w="1005" w:type="dxa"/>
            <w:vAlign w:val="center"/>
          </w:tcPr>
          <w:p w14:paraId="193B17CE"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1</w:t>
            </w:r>
          </w:p>
        </w:tc>
        <w:tc>
          <w:tcPr>
            <w:tcW w:w="2745" w:type="dxa"/>
            <w:vAlign w:val="center"/>
          </w:tcPr>
          <w:p w14:paraId="0B0D0BD0"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过滤精度：</w:t>
            </w:r>
            <w:r w:rsidRPr="008A2411">
              <w:rPr>
                <w:rFonts w:ascii="Times New Roman" w:eastAsia="宋体" w:hAnsi="Times New Roman" w:cs="Times New Roman"/>
                <w:color w:val="000000" w:themeColor="text1"/>
                <w:kern w:val="2"/>
                <w:sz w:val="21"/>
                <w:szCs w:val="21"/>
              </w:rPr>
              <w:t>≤5μm</w:t>
            </w:r>
          </w:p>
          <w:p w14:paraId="0E8AD31A"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工作压力：</w:t>
            </w:r>
            <w:r w:rsidRPr="008A2411">
              <w:rPr>
                <w:rFonts w:ascii="Times New Roman" w:eastAsia="宋体" w:hAnsi="Times New Roman" w:cs="Times New Roman"/>
                <w:color w:val="000000" w:themeColor="text1"/>
                <w:kern w:val="2"/>
                <w:sz w:val="21"/>
                <w:szCs w:val="21"/>
              </w:rPr>
              <w:t>2.8~3.0MPa</w:t>
            </w:r>
          </w:p>
        </w:tc>
        <w:tc>
          <w:tcPr>
            <w:tcW w:w="1409" w:type="dxa"/>
            <w:vAlign w:val="center"/>
          </w:tcPr>
          <w:p w14:paraId="7ED14A2F" w14:textId="77777777" w:rsidR="00B0005F" w:rsidRPr="008A2411" w:rsidRDefault="00B0005F">
            <w:pPr>
              <w:widowControl/>
              <w:adjustRightInd w:val="0"/>
              <w:snapToGrid w:val="0"/>
              <w:jc w:val="left"/>
              <w:rPr>
                <w:rFonts w:ascii="Times New Roman"/>
                <w:color w:val="000000" w:themeColor="text1"/>
                <w:kern w:val="2"/>
                <w:sz w:val="21"/>
                <w:szCs w:val="21"/>
              </w:rPr>
            </w:pPr>
          </w:p>
        </w:tc>
      </w:tr>
      <w:tr w:rsidR="008A2411" w:rsidRPr="008A2411" w14:paraId="0F6AD24E" w14:textId="77777777">
        <w:trPr>
          <w:trHeight w:val="225"/>
          <w:tblHeader/>
          <w:jc w:val="center"/>
        </w:trPr>
        <w:tc>
          <w:tcPr>
            <w:tcW w:w="631" w:type="dxa"/>
            <w:vMerge/>
            <w:vAlign w:val="center"/>
          </w:tcPr>
          <w:p w14:paraId="3513A444"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4D91A6DC"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67BB1DD0"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调压阀</w:t>
            </w:r>
          </w:p>
        </w:tc>
        <w:tc>
          <w:tcPr>
            <w:tcW w:w="1005" w:type="dxa"/>
            <w:vAlign w:val="center"/>
          </w:tcPr>
          <w:p w14:paraId="107390E1"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2</w:t>
            </w:r>
          </w:p>
        </w:tc>
        <w:tc>
          <w:tcPr>
            <w:tcW w:w="2745" w:type="dxa"/>
            <w:vAlign w:val="center"/>
          </w:tcPr>
          <w:p w14:paraId="3C89B2D3"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p>
        </w:tc>
        <w:tc>
          <w:tcPr>
            <w:tcW w:w="1409" w:type="dxa"/>
            <w:vAlign w:val="center"/>
          </w:tcPr>
          <w:p w14:paraId="099E0D24" w14:textId="77777777" w:rsidR="00B0005F" w:rsidRPr="008A2411" w:rsidRDefault="00B0005F">
            <w:pPr>
              <w:widowControl/>
              <w:tabs>
                <w:tab w:val="left" w:pos="1710"/>
              </w:tabs>
              <w:adjustRightInd w:val="0"/>
              <w:snapToGrid w:val="0"/>
              <w:jc w:val="left"/>
              <w:textAlignment w:val="baseline"/>
              <w:rPr>
                <w:rFonts w:ascii="Times New Roman"/>
                <w:color w:val="000000" w:themeColor="text1"/>
                <w:kern w:val="2"/>
                <w:sz w:val="21"/>
                <w:szCs w:val="21"/>
              </w:rPr>
            </w:pPr>
          </w:p>
        </w:tc>
      </w:tr>
      <w:tr w:rsidR="008A2411" w:rsidRPr="008A2411" w14:paraId="410758B5" w14:textId="77777777">
        <w:trPr>
          <w:tblHeader/>
          <w:jc w:val="center"/>
        </w:trPr>
        <w:tc>
          <w:tcPr>
            <w:tcW w:w="631" w:type="dxa"/>
            <w:vMerge/>
            <w:vAlign w:val="center"/>
          </w:tcPr>
          <w:p w14:paraId="1012C4F8"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3B1B0E46"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17FF6567"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入口缓冲罐</w:t>
            </w:r>
          </w:p>
        </w:tc>
        <w:tc>
          <w:tcPr>
            <w:tcW w:w="1005" w:type="dxa"/>
            <w:vAlign w:val="center"/>
          </w:tcPr>
          <w:p w14:paraId="3BE1EF51"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1</w:t>
            </w:r>
          </w:p>
        </w:tc>
        <w:tc>
          <w:tcPr>
            <w:tcW w:w="2745" w:type="dxa"/>
            <w:vAlign w:val="center"/>
          </w:tcPr>
          <w:p w14:paraId="65A6DA87"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vertAlign w:val="superscript"/>
              </w:rPr>
            </w:pPr>
            <w:r w:rsidRPr="008A2411">
              <w:rPr>
                <w:rFonts w:ascii="Times New Roman" w:eastAsia="宋体" w:hAnsi="Times New Roman" w:cs="Times New Roman"/>
                <w:color w:val="000000" w:themeColor="text1"/>
                <w:kern w:val="2"/>
                <w:sz w:val="21"/>
                <w:szCs w:val="21"/>
              </w:rPr>
              <w:t>容积：</w:t>
            </w:r>
            <w:r w:rsidRPr="008A2411">
              <w:rPr>
                <w:rFonts w:ascii="Times New Roman" w:eastAsia="宋体" w:hAnsi="Times New Roman" w:cs="Times New Roman"/>
                <w:color w:val="000000" w:themeColor="text1"/>
                <w:kern w:val="2"/>
                <w:sz w:val="21"/>
                <w:szCs w:val="21"/>
              </w:rPr>
              <w:t>3m</w:t>
            </w:r>
            <w:r w:rsidRPr="008A2411">
              <w:rPr>
                <w:rFonts w:ascii="Times New Roman" w:eastAsia="宋体" w:hAnsi="Times New Roman" w:cs="Times New Roman"/>
                <w:color w:val="000000" w:themeColor="text1"/>
                <w:kern w:val="2"/>
                <w:sz w:val="21"/>
                <w:szCs w:val="21"/>
                <w:vertAlign w:val="superscript"/>
              </w:rPr>
              <w:t>3</w:t>
            </w:r>
          </w:p>
          <w:p w14:paraId="4D1A60A8"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工作压力：</w:t>
            </w:r>
            <w:r w:rsidRPr="008A2411">
              <w:rPr>
                <w:rFonts w:ascii="Times New Roman" w:eastAsia="宋体" w:hAnsi="Times New Roman" w:cs="Times New Roman"/>
                <w:color w:val="000000" w:themeColor="text1"/>
                <w:kern w:val="2"/>
                <w:sz w:val="21"/>
                <w:szCs w:val="21"/>
              </w:rPr>
              <w:t>3.0MPa</w:t>
            </w:r>
          </w:p>
        </w:tc>
        <w:tc>
          <w:tcPr>
            <w:tcW w:w="1409" w:type="dxa"/>
            <w:vAlign w:val="center"/>
          </w:tcPr>
          <w:p w14:paraId="07FAF14A" w14:textId="77777777" w:rsidR="00B0005F" w:rsidRPr="008A2411" w:rsidRDefault="00B0005F">
            <w:pPr>
              <w:widowControl/>
              <w:adjustRightInd w:val="0"/>
              <w:snapToGrid w:val="0"/>
              <w:jc w:val="left"/>
              <w:rPr>
                <w:rFonts w:ascii="Times New Roman"/>
                <w:color w:val="000000" w:themeColor="text1"/>
                <w:kern w:val="2"/>
                <w:sz w:val="21"/>
                <w:szCs w:val="21"/>
              </w:rPr>
            </w:pPr>
          </w:p>
        </w:tc>
      </w:tr>
      <w:tr w:rsidR="008A2411" w:rsidRPr="008A2411" w14:paraId="2499E492" w14:textId="77777777">
        <w:trPr>
          <w:tblHeader/>
          <w:jc w:val="center"/>
        </w:trPr>
        <w:tc>
          <w:tcPr>
            <w:tcW w:w="631" w:type="dxa"/>
            <w:vMerge/>
            <w:vAlign w:val="center"/>
          </w:tcPr>
          <w:p w14:paraId="51E2F3C4" w14:textId="77777777" w:rsidR="00B0005F" w:rsidRPr="008A2411" w:rsidRDefault="00B0005F">
            <w:pPr>
              <w:pStyle w:val="WJ4"/>
              <w:spacing w:line="240" w:lineRule="auto"/>
              <w:rPr>
                <w:rFonts w:ascii="Times New Roman" w:hAnsi="Times New Roman"/>
                <w:color w:val="000000" w:themeColor="text1"/>
              </w:rPr>
            </w:pPr>
          </w:p>
        </w:tc>
        <w:tc>
          <w:tcPr>
            <w:tcW w:w="978" w:type="dxa"/>
            <w:vMerge w:val="restart"/>
            <w:vAlign w:val="center"/>
          </w:tcPr>
          <w:p w14:paraId="0AAE8225"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rPr>
              <w:t>脱酸单元</w:t>
            </w:r>
          </w:p>
        </w:tc>
        <w:tc>
          <w:tcPr>
            <w:tcW w:w="1754" w:type="dxa"/>
            <w:gridSpan w:val="2"/>
            <w:vAlign w:val="center"/>
          </w:tcPr>
          <w:p w14:paraId="63C3740C"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贫液泵</w:t>
            </w:r>
          </w:p>
        </w:tc>
        <w:tc>
          <w:tcPr>
            <w:tcW w:w="1005" w:type="dxa"/>
            <w:vAlign w:val="center"/>
          </w:tcPr>
          <w:p w14:paraId="5C47C973"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2</w:t>
            </w:r>
            <w:r w:rsidRPr="008A2411">
              <w:rPr>
                <w:rFonts w:ascii="Times New Roman" w:eastAsia="宋体" w:hAnsi="Times New Roman" w:cs="Times New Roman"/>
                <w:color w:val="000000" w:themeColor="text1"/>
                <w:kern w:val="2"/>
                <w:sz w:val="21"/>
                <w:szCs w:val="21"/>
              </w:rPr>
              <w:t>（</w:t>
            </w:r>
            <w:r w:rsidRPr="008A2411">
              <w:rPr>
                <w:rFonts w:ascii="Times New Roman" w:eastAsia="宋体" w:hAnsi="Times New Roman" w:cs="Times New Roman"/>
                <w:color w:val="000000" w:themeColor="text1"/>
                <w:kern w:val="2"/>
                <w:sz w:val="21"/>
                <w:szCs w:val="21"/>
              </w:rPr>
              <w:t>1</w:t>
            </w:r>
            <w:r w:rsidRPr="008A2411">
              <w:rPr>
                <w:rFonts w:ascii="Times New Roman" w:eastAsia="宋体" w:hAnsi="Times New Roman" w:cs="Times New Roman"/>
                <w:color w:val="000000" w:themeColor="text1"/>
                <w:kern w:val="2"/>
                <w:sz w:val="21"/>
                <w:szCs w:val="21"/>
              </w:rPr>
              <w:t>备）</w:t>
            </w:r>
          </w:p>
        </w:tc>
        <w:tc>
          <w:tcPr>
            <w:tcW w:w="2745" w:type="dxa"/>
            <w:vAlign w:val="center"/>
          </w:tcPr>
          <w:p w14:paraId="4908197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Q</w:t>
            </w:r>
            <w:r w:rsidRPr="008A2411">
              <w:rPr>
                <w:rFonts w:ascii="Times New Roman" w:eastAsia="宋体" w:hAnsi="Times New Roman" w:cs="Times New Roman"/>
                <w:color w:val="000000" w:themeColor="text1"/>
                <w:kern w:val="2"/>
                <w:sz w:val="21"/>
                <w:szCs w:val="21"/>
              </w:rPr>
              <w:t>：</w:t>
            </w:r>
            <w:r w:rsidRPr="008A2411">
              <w:rPr>
                <w:rFonts w:ascii="Times New Roman" w:eastAsia="宋体" w:hAnsi="Times New Roman" w:cs="Times New Roman"/>
                <w:color w:val="000000" w:themeColor="text1"/>
                <w:kern w:val="2"/>
                <w:sz w:val="21"/>
                <w:szCs w:val="21"/>
              </w:rPr>
              <w:t>75m</w:t>
            </w:r>
            <w:r w:rsidRPr="008A2411">
              <w:rPr>
                <w:rFonts w:ascii="Times New Roman" w:eastAsia="宋体" w:hAnsi="Times New Roman" w:cs="Times New Roman"/>
                <w:color w:val="000000" w:themeColor="text1"/>
                <w:kern w:val="2"/>
                <w:sz w:val="21"/>
                <w:szCs w:val="21"/>
                <w:vertAlign w:val="superscript"/>
              </w:rPr>
              <w:t>3</w:t>
            </w:r>
            <w:r w:rsidRPr="008A2411">
              <w:rPr>
                <w:rFonts w:ascii="Times New Roman" w:eastAsia="宋体" w:hAnsi="Times New Roman" w:cs="Times New Roman"/>
                <w:color w:val="000000" w:themeColor="text1"/>
                <w:kern w:val="2"/>
                <w:sz w:val="21"/>
                <w:szCs w:val="21"/>
              </w:rPr>
              <w:t xml:space="preserve">/h   </w:t>
            </w:r>
            <w:proofErr w:type="spellStart"/>
            <w:r w:rsidRPr="008A2411">
              <w:rPr>
                <w:rFonts w:ascii="Times New Roman" w:eastAsia="宋体" w:hAnsi="Times New Roman" w:cs="Times New Roman"/>
                <w:color w:val="000000" w:themeColor="text1"/>
                <w:kern w:val="2"/>
                <w:sz w:val="21"/>
                <w:szCs w:val="21"/>
              </w:rPr>
              <w:t>H</w:t>
            </w:r>
            <w:proofErr w:type="spellEnd"/>
            <w:r w:rsidRPr="008A2411">
              <w:rPr>
                <w:rFonts w:ascii="Times New Roman" w:eastAsia="宋体" w:hAnsi="Times New Roman" w:cs="Times New Roman"/>
                <w:color w:val="000000" w:themeColor="text1"/>
                <w:kern w:val="2"/>
                <w:sz w:val="21"/>
                <w:szCs w:val="21"/>
              </w:rPr>
              <w:t>：</w:t>
            </w:r>
            <w:r w:rsidRPr="008A2411">
              <w:rPr>
                <w:rFonts w:ascii="Times New Roman" w:eastAsia="宋体" w:hAnsi="Times New Roman" w:cs="Times New Roman"/>
                <w:color w:val="000000" w:themeColor="text1"/>
                <w:kern w:val="2"/>
                <w:sz w:val="21"/>
                <w:szCs w:val="21"/>
              </w:rPr>
              <w:t>580m</w:t>
            </w:r>
          </w:p>
        </w:tc>
        <w:tc>
          <w:tcPr>
            <w:tcW w:w="1409" w:type="dxa"/>
            <w:vAlign w:val="center"/>
          </w:tcPr>
          <w:p w14:paraId="56C6D302"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不锈钢</w:t>
            </w:r>
          </w:p>
        </w:tc>
      </w:tr>
      <w:tr w:rsidR="008A2411" w:rsidRPr="008A2411" w14:paraId="564A28B1" w14:textId="77777777">
        <w:trPr>
          <w:tblHeader/>
          <w:jc w:val="center"/>
        </w:trPr>
        <w:tc>
          <w:tcPr>
            <w:tcW w:w="631" w:type="dxa"/>
            <w:vMerge/>
            <w:vAlign w:val="center"/>
          </w:tcPr>
          <w:p w14:paraId="3EE27DA5"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11FAFD29"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64CEB5A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液下泵</w:t>
            </w:r>
          </w:p>
        </w:tc>
        <w:tc>
          <w:tcPr>
            <w:tcW w:w="1005" w:type="dxa"/>
            <w:vAlign w:val="center"/>
          </w:tcPr>
          <w:p w14:paraId="691CBF5B"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1</w:t>
            </w:r>
          </w:p>
        </w:tc>
        <w:tc>
          <w:tcPr>
            <w:tcW w:w="2745" w:type="dxa"/>
            <w:vAlign w:val="center"/>
          </w:tcPr>
          <w:p w14:paraId="0EE5FC86"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Q</w:t>
            </w:r>
            <w:r w:rsidRPr="008A2411">
              <w:rPr>
                <w:rFonts w:ascii="Times New Roman" w:eastAsia="宋体" w:hAnsi="Times New Roman" w:cs="Times New Roman"/>
                <w:color w:val="000000" w:themeColor="text1"/>
                <w:kern w:val="2"/>
                <w:sz w:val="21"/>
                <w:szCs w:val="21"/>
              </w:rPr>
              <w:t>：</w:t>
            </w:r>
            <w:r w:rsidRPr="008A2411">
              <w:rPr>
                <w:rFonts w:ascii="Times New Roman" w:eastAsia="宋体" w:hAnsi="Times New Roman" w:cs="Times New Roman"/>
                <w:color w:val="000000" w:themeColor="text1"/>
                <w:kern w:val="2"/>
                <w:sz w:val="21"/>
                <w:szCs w:val="21"/>
              </w:rPr>
              <w:t>5m</w:t>
            </w:r>
            <w:r w:rsidRPr="008A2411">
              <w:rPr>
                <w:rFonts w:ascii="Times New Roman" w:eastAsia="宋体" w:hAnsi="Times New Roman" w:cs="Times New Roman"/>
                <w:color w:val="000000" w:themeColor="text1"/>
                <w:kern w:val="2"/>
                <w:sz w:val="21"/>
                <w:szCs w:val="21"/>
                <w:vertAlign w:val="superscript"/>
              </w:rPr>
              <w:t>3</w:t>
            </w:r>
            <w:r w:rsidRPr="008A2411">
              <w:rPr>
                <w:rFonts w:ascii="Times New Roman" w:eastAsia="宋体" w:hAnsi="Times New Roman" w:cs="Times New Roman"/>
                <w:color w:val="000000" w:themeColor="text1"/>
                <w:kern w:val="2"/>
                <w:sz w:val="21"/>
                <w:szCs w:val="21"/>
              </w:rPr>
              <w:t xml:space="preserve">/h    </w:t>
            </w:r>
            <w:proofErr w:type="spellStart"/>
            <w:r w:rsidRPr="008A2411">
              <w:rPr>
                <w:rFonts w:ascii="Times New Roman" w:eastAsia="宋体" w:hAnsi="Times New Roman" w:cs="Times New Roman"/>
                <w:color w:val="000000" w:themeColor="text1"/>
                <w:kern w:val="2"/>
                <w:sz w:val="21"/>
                <w:szCs w:val="21"/>
              </w:rPr>
              <w:t>H</w:t>
            </w:r>
            <w:proofErr w:type="spellEnd"/>
            <w:r w:rsidRPr="008A2411">
              <w:rPr>
                <w:rFonts w:ascii="Times New Roman" w:eastAsia="宋体" w:hAnsi="Times New Roman" w:cs="Times New Roman"/>
                <w:color w:val="000000" w:themeColor="text1"/>
                <w:kern w:val="2"/>
                <w:sz w:val="21"/>
                <w:szCs w:val="21"/>
              </w:rPr>
              <w:t>：</w:t>
            </w:r>
            <w:r w:rsidRPr="008A2411">
              <w:rPr>
                <w:rFonts w:ascii="Times New Roman" w:eastAsia="宋体" w:hAnsi="Times New Roman" w:cs="Times New Roman"/>
                <w:color w:val="000000" w:themeColor="text1"/>
                <w:kern w:val="2"/>
                <w:sz w:val="21"/>
                <w:szCs w:val="21"/>
              </w:rPr>
              <w:t xml:space="preserve">70m </w:t>
            </w:r>
          </w:p>
        </w:tc>
        <w:tc>
          <w:tcPr>
            <w:tcW w:w="1409" w:type="dxa"/>
            <w:vAlign w:val="center"/>
          </w:tcPr>
          <w:p w14:paraId="28155AD3"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不锈钢</w:t>
            </w:r>
          </w:p>
        </w:tc>
      </w:tr>
      <w:tr w:rsidR="008A2411" w:rsidRPr="008A2411" w14:paraId="3B4B2CF5" w14:textId="77777777">
        <w:trPr>
          <w:tblHeader/>
          <w:jc w:val="center"/>
        </w:trPr>
        <w:tc>
          <w:tcPr>
            <w:tcW w:w="631" w:type="dxa"/>
            <w:vMerge/>
            <w:vAlign w:val="center"/>
          </w:tcPr>
          <w:p w14:paraId="7607F88C"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2AD7026E"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1584FB46"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回收泵</w:t>
            </w:r>
          </w:p>
        </w:tc>
        <w:tc>
          <w:tcPr>
            <w:tcW w:w="1005" w:type="dxa"/>
            <w:vAlign w:val="center"/>
          </w:tcPr>
          <w:p w14:paraId="29A86095"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2</w:t>
            </w:r>
            <w:r w:rsidRPr="008A2411">
              <w:rPr>
                <w:rFonts w:ascii="Times New Roman" w:eastAsia="宋体" w:hAnsi="Times New Roman" w:cs="Times New Roman"/>
                <w:color w:val="000000" w:themeColor="text1"/>
                <w:kern w:val="2"/>
                <w:sz w:val="21"/>
                <w:szCs w:val="21"/>
              </w:rPr>
              <w:t>（</w:t>
            </w:r>
            <w:r w:rsidRPr="008A2411">
              <w:rPr>
                <w:rFonts w:ascii="Times New Roman" w:eastAsia="宋体" w:hAnsi="Times New Roman" w:cs="Times New Roman"/>
                <w:color w:val="000000" w:themeColor="text1"/>
                <w:kern w:val="2"/>
                <w:sz w:val="21"/>
                <w:szCs w:val="21"/>
              </w:rPr>
              <w:t>1</w:t>
            </w:r>
            <w:r w:rsidRPr="008A2411">
              <w:rPr>
                <w:rFonts w:ascii="Times New Roman" w:eastAsia="宋体" w:hAnsi="Times New Roman" w:cs="Times New Roman"/>
                <w:color w:val="000000" w:themeColor="text1"/>
                <w:kern w:val="2"/>
                <w:sz w:val="21"/>
                <w:szCs w:val="21"/>
              </w:rPr>
              <w:t>备）</w:t>
            </w:r>
          </w:p>
        </w:tc>
        <w:tc>
          <w:tcPr>
            <w:tcW w:w="2745" w:type="dxa"/>
            <w:vAlign w:val="center"/>
          </w:tcPr>
          <w:p w14:paraId="3B8DF7CA"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Q</w:t>
            </w:r>
            <w:r w:rsidRPr="008A2411">
              <w:rPr>
                <w:rFonts w:ascii="Times New Roman" w:eastAsia="宋体" w:hAnsi="Times New Roman" w:cs="Times New Roman"/>
                <w:color w:val="000000" w:themeColor="text1"/>
                <w:kern w:val="2"/>
                <w:sz w:val="21"/>
                <w:szCs w:val="21"/>
              </w:rPr>
              <w:t>：</w:t>
            </w:r>
            <w:r w:rsidRPr="008A2411">
              <w:rPr>
                <w:rFonts w:ascii="Times New Roman" w:eastAsia="宋体" w:hAnsi="Times New Roman" w:cs="Times New Roman"/>
                <w:color w:val="000000" w:themeColor="text1"/>
                <w:kern w:val="2"/>
                <w:sz w:val="21"/>
                <w:szCs w:val="21"/>
              </w:rPr>
              <w:t>2m</w:t>
            </w:r>
            <w:r w:rsidRPr="008A2411">
              <w:rPr>
                <w:rFonts w:ascii="Times New Roman" w:eastAsia="宋体" w:hAnsi="Times New Roman" w:cs="Times New Roman"/>
                <w:color w:val="000000" w:themeColor="text1"/>
                <w:kern w:val="2"/>
                <w:sz w:val="21"/>
                <w:szCs w:val="21"/>
                <w:vertAlign w:val="superscript"/>
              </w:rPr>
              <w:t>3</w:t>
            </w:r>
            <w:r w:rsidRPr="008A2411">
              <w:rPr>
                <w:rFonts w:ascii="Times New Roman" w:eastAsia="宋体" w:hAnsi="Times New Roman" w:cs="Times New Roman"/>
                <w:color w:val="000000" w:themeColor="text1"/>
                <w:kern w:val="2"/>
                <w:sz w:val="21"/>
                <w:szCs w:val="21"/>
              </w:rPr>
              <w:t xml:space="preserve">/h   </w:t>
            </w:r>
            <w:proofErr w:type="spellStart"/>
            <w:r w:rsidRPr="008A2411">
              <w:rPr>
                <w:rFonts w:ascii="Times New Roman" w:eastAsia="宋体" w:hAnsi="Times New Roman" w:cs="Times New Roman"/>
                <w:color w:val="000000" w:themeColor="text1"/>
                <w:kern w:val="2"/>
                <w:sz w:val="21"/>
                <w:szCs w:val="21"/>
              </w:rPr>
              <w:t>H</w:t>
            </w:r>
            <w:proofErr w:type="spellEnd"/>
            <w:r w:rsidRPr="008A2411">
              <w:rPr>
                <w:rFonts w:ascii="Times New Roman" w:eastAsia="宋体" w:hAnsi="Times New Roman" w:cs="Times New Roman"/>
                <w:color w:val="000000" w:themeColor="text1"/>
                <w:kern w:val="2"/>
                <w:sz w:val="21"/>
                <w:szCs w:val="21"/>
              </w:rPr>
              <w:t>：</w:t>
            </w:r>
            <w:r w:rsidRPr="008A2411">
              <w:rPr>
                <w:rFonts w:ascii="Times New Roman" w:eastAsia="宋体" w:hAnsi="Times New Roman" w:cs="Times New Roman"/>
                <w:color w:val="000000" w:themeColor="text1"/>
                <w:kern w:val="2"/>
                <w:sz w:val="21"/>
                <w:szCs w:val="21"/>
              </w:rPr>
              <w:t>70m</w:t>
            </w:r>
          </w:p>
        </w:tc>
        <w:tc>
          <w:tcPr>
            <w:tcW w:w="1409" w:type="dxa"/>
            <w:vAlign w:val="center"/>
          </w:tcPr>
          <w:p w14:paraId="5067DB0C"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不锈钢</w:t>
            </w:r>
          </w:p>
        </w:tc>
      </w:tr>
      <w:tr w:rsidR="008A2411" w:rsidRPr="008A2411" w14:paraId="7049FA1F" w14:textId="77777777">
        <w:trPr>
          <w:tblHeader/>
          <w:jc w:val="center"/>
        </w:trPr>
        <w:tc>
          <w:tcPr>
            <w:tcW w:w="631" w:type="dxa"/>
            <w:vMerge/>
            <w:vAlign w:val="center"/>
          </w:tcPr>
          <w:p w14:paraId="4E08856D"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37F378F2"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1273A74C"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吸收塔</w:t>
            </w:r>
          </w:p>
        </w:tc>
        <w:tc>
          <w:tcPr>
            <w:tcW w:w="1005" w:type="dxa"/>
            <w:vAlign w:val="center"/>
          </w:tcPr>
          <w:p w14:paraId="79E5B7B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1</w:t>
            </w:r>
          </w:p>
        </w:tc>
        <w:tc>
          <w:tcPr>
            <w:tcW w:w="2745" w:type="dxa"/>
            <w:vAlign w:val="center"/>
          </w:tcPr>
          <w:p w14:paraId="7CC6E982"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Φ1300×20000</w:t>
            </w:r>
          </w:p>
        </w:tc>
        <w:tc>
          <w:tcPr>
            <w:tcW w:w="1409" w:type="dxa"/>
            <w:vAlign w:val="center"/>
          </w:tcPr>
          <w:p w14:paraId="75F9193C"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碳钢</w:t>
            </w:r>
          </w:p>
        </w:tc>
      </w:tr>
      <w:tr w:rsidR="008A2411" w:rsidRPr="008A2411" w14:paraId="57077CFF" w14:textId="77777777">
        <w:trPr>
          <w:tblHeader/>
          <w:jc w:val="center"/>
        </w:trPr>
        <w:tc>
          <w:tcPr>
            <w:tcW w:w="631" w:type="dxa"/>
            <w:vMerge/>
            <w:vAlign w:val="center"/>
          </w:tcPr>
          <w:p w14:paraId="610D63AE"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59B6041E"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36C8E10B"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吸收塔顶冷却器</w:t>
            </w:r>
          </w:p>
        </w:tc>
        <w:tc>
          <w:tcPr>
            <w:tcW w:w="1005" w:type="dxa"/>
            <w:vAlign w:val="center"/>
          </w:tcPr>
          <w:p w14:paraId="536E3D49"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1</w:t>
            </w:r>
          </w:p>
        </w:tc>
        <w:tc>
          <w:tcPr>
            <w:tcW w:w="2745" w:type="dxa"/>
            <w:vAlign w:val="center"/>
          </w:tcPr>
          <w:p w14:paraId="4731EEA3"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125m</w:t>
            </w:r>
            <w:r w:rsidRPr="008A2411">
              <w:rPr>
                <w:rFonts w:ascii="Times New Roman" w:eastAsia="宋体" w:hAnsi="Times New Roman" w:cs="Times New Roman"/>
                <w:color w:val="000000" w:themeColor="text1"/>
                <w:kern w:val="2"/>
                <w:sz w:val="21"/>
                <w:szCs w:val="21"/>
                <w:vertAlign w:val="superscript"/>
              </w:rPr>
              <w:t>2</w:t>
            </w:r>
          </w:p>
        </w:tc>
        <w:tc>
          <w:tcPr>
            <w:tcW w:w="1409" w:type="dxa"/>
            <w:vAlign w:val="center"/>
          </w:tcPr>
          <w:p w14:paraId="619CCA3D"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组合件</w:t>
            </w:r>
          </w:p>
        </w:tc>
      </w:tr>
      <w:tr w:rsidR="008A2411" w:rsidRPr="008A2411" w14:paraId="4029C6DA" w14:textId="77777777">
        <w:trPr>
          <w:tblHeader/>
          <w:jc w:val="center"/>
        </w:trPr>
        <w:tc>
          <w:tcPr>
            <w:tcW w:w="631" w:type="dxa"/>
            <w:vMerge/>
            <w:vAlign w:val="center"/>
          </w:tcPr>
          <w:p w14:paraId="55531F9F"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70F1008F"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68AF5A12"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吸收塔顶分离器</w:t>
            </w:r>
          </w:p>
        </w:tc>
        <w:tc>
          <w:tcPr>
            <w:tcW w:w="1005" w:type="dxa"/>
            <w:vAlign w:val="center"/>
          </w:tcPr>
          <w:p w14:paraId="2A1F4293"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1</w:t>
            </w:r>
          </w:p>
        </w:tc>
        <w:tc>
          <w:tcPr>
            <w:tcW w:w="2745" w:type="dxa"/>
            <w:vAlign w:val="center"/>
          </w:tcPr>
          <w:p w14:paraId="0C49D9AC"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Φ1300×3000</w:t>
            </w:r>
          </w:p>
        </w:tc>
        <w:tc>
          <w:tcPr>
            <w:tcW w:w="1409" w:type="dxa"/>
            <w:vAlign w:val="center"/>
          </w:tcPr>
          <w:p w14:paraId="08304DEA"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碳钢</w:t>
            </w:r>
          </w:p>
        </w:tc>
      </w:tr>
      <w:tr w:rsidR="008A2411" w:rsidRPr="008A2411" w14:paraId="3F7D6BF7" w14:textId="77777777">
        <w:trPr>
          <w:tblHeader/>
          <w:jc w:val="center"/>
        </w:trPr>
        <w:tc>
          <w:tcPr>
            <w:tcW w:w="631" w:type="dxa"/>
            <w:vMerge/>
            <w:vAlign w:val="center"/>
          </w:tcPr>
          <w:p w14:paraId="1DBE5F8E"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2B649391"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4C7DF85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吸收塔顶过滤器</w:t>
            </w:r>
          </w:p>
        </w:tc>
        <w:tc>
          <w:tcPr>
            <w:tcW w:w="1005" w:type="dxa"/>
            <w:vAlign w:val="center"/>
          </w:tcPr>
          <w:p w14:paraId="17AE0E0F"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1</w:t>
            </w:r>
          </w:p>
        </w:tc>
        <w:tc>
          <w:tcPr>
            <w:tcW w:w="2745" w:type="dxa"/>
            <w:vAlign w:val="center"/>
          </w:tcPr>
          <w:p w14:paraId="0B5E1C1C"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Φ1000×3000</w:t>
            </w:r>
          </w:p>
        </w:tc>
        <w:tc>
          <w:tcPr>
            <w:tcW w:w="1409" w:type="dxa"/>
            <w:vAlign w:val="center"/>
          </w:tcPr>
          <w:p w14:paraId="34691CAA"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组合件</w:t>
            </w:r>
          </w:p>
        </w:tc>
      </w:tr>
      <w:tr w:rsidR="008A2411" w:rsidRPr="008A2411" w14:paraId="4510E21B" w14:textId="77777777">
        <w:trPr>
          <w:tblHeader/>
          <w:jc w:val="center"/>
        </w:trPr>
        <w:tc>
          <w:tcPr>
            <w:tcW w:w="631" w:type="dxa"/>
            <w:vMerge/>
            <w:vAlign w:val="center"/>
          </w:tcPr>
          <w:p w14:paraId="49A3C423"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2AA851A7"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16512C77"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溶液过滤器</w:t>
            </w:r>
          </w:p>
        </w:tc>
        <w:tc>
          <w:tcPr>
            <w:tcW w:w="1005" w:type="dxa"/>
            <w:vAlign w:val="center"/>
          </w:tcPr>
          <w:p w14:paraId="43239EE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1</w:t>
            </w:r>
          </w:p>
        </w:tc>
        <w:tc>
          <w:tcPr>
            <w:tcW w:w="2745" w:type="dxa"/>
            <w:vAlign w:val="center"/>
          </w:tcPr>
          <w:p w14:paraId="4894F829"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Φ1300×6000</w:t>
            </w:r>
          </w:p>
        </w:tc>
        <w:tc>
          <w:tcPr>
            <w:tcW w:w="1409" w:type="dxa"/>
            <w:vAlign w:val="center"/>
          </w:tcPr>
          <w:p w14:paraId="160125B9"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碳钢</w:t>
            </w:r>
          </w:p>
        </w:tc>
      </w:tr>
      <w:tr w:rsidR="008A2411" w:rsidRPr="008A2411" w14:paraId="63D83839" w14:textId="77777777">
        <w:trPr>
          <w:tblHeader/>
          <w:jc w:val="center"/>
        </w:trPr>
        <w:tc>
          <w:tcPr>
            <w:tcW w:w="631" w:type="dxa"/>
            <w:vMerge/>
            <w:vAlign w:val="center"/>
          </w:tcPr>
          <w:p w14:paraId="33BEEC9E"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3E8835D3"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0A85C3FC"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贫液冷却器</w:t>
            </w:r>
          </w:p>
        </w:tc>
        <w:tc>
          <w:tcPr>
            <w:tcW w:w="1005" w:type="dxa"/>
            <w:vAlign w:val="center"/>
          </w:tcPr>
          <w:p w14:paraId="48BC5657"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1</w:t>
            </w:r>
          </w:p>
        </w:tc>
        <w:tc>
          <w:tcPr>
            <w:tcW w:w="2745" w:type="dxa"/>
            <w:vAlign w:val="center"/>
          </w:tcPr>
          <w:p w14:paraId="7C491F7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110m</w:t>
            </w:r>
            <w:r w:rsidRPr="008A2411">
              <w:rPr>
                <w:rFonts w:ascii="Times New Roman" w:eastAsia="宋体" w:hAnsi="Times New Roman" w:cs="Times New Roman"/>
                <w:color w:val="000000" w:themeColor="text1"/>
                <w:kern w:val="2"/>
                <w:sz w:val="21"/>
                <w:szCs w:val="21"/>
                <w:vertAlign w:val="superscript"/>
              </w:rPr>
              <w:t>2</w:t>
            </w:r>
          </w:p>
        </w:tc>
        <w:tc>
          <w:tcPr>
            <w:tcW w:w="1409" w:type="dxa"/>
            <w:vAlign w:val="center"/>
          </w:tcPr>
          <w:p w14:paraId="1C4A2773"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组合件</w:t>
            </w:r>
          </w:p>
        </w:tc>
      </w:tr>
      <w:tr w:rsidR="008A2411" w:rsidRPr="008A2411" w14:paraId="04F90651" w14:textId="77777777">
        <w:trPr>
          <w:trHeight w:val="90"/>
          <w:tblHeader/>
          <w:jc w:val="center"/>
        </w:trPr>
        <w:tc>
          <w:tcPr>
            <w:tcW w:w="631" w:type="dxa"/>
            <w:vMerge/>
            <w:vAlign w:val="center"/>
          </w:tcPr>
          <w:p w14:paraId="78F1CD8D"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6F679B2C"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74B8D80C"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贫富液换热器</w:t>
            </w:r>
          </w:p>
        </w:tc>
        <w:tc>
          <w:tcPr>
            <w:tcW w:w="1005" w:type="dxa"/>
            <w:vAlign w:val="center"/>
          </w:tcPr>
          <w:p w14:paraId="7245484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1</w:t>
            </w:r>
          </w:p>
        </w:tc>
        <w:tc>
          <w:tcPr>
            <w:tcW w:w="2745" w:type="dxa"/>
            <w:vAlign w:val="center"/>
          </w:tcPr>
          <w:p w14:paraId="66F3D397"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150m</w:t>
            </w:r>
            <w:r w:rsidRPr="008A2411">
              <w:rPr>
                <w:rFonts w:ascii="Times New Roman" w:eastAsia="宋体" w:hAnsi="Times New Roman" w:cs="Times New Roman"/>
                <w:color w:val="000000" w:themeColor="text1"/>
                <w:kern w:val="2"/>
                <w:sz w:val="21"/>
                <w:szCs w:val="21"/>
                <w:vertAlign w:val="superscript"/>
              </w:rPr>
              <w:t>2</w:t>
            </w:r>
            <w:r w:rsidRPr="008A2411">
              <w:rPr>
                <w:rFonts w:ascii="Times New Roman" w:eastAsia="宋体" w:hAnsi="Times New Roman" w:cs="Times New Roman"/>
                <w:color w:val="000000" w:themeColor="text1"/>
                <w:kern w:val="2"/>
                <w:sz w:val="21"/>
                <w:szCs w:val="21"/>
              </w:rPr>
              <w:t xml:space="preserve"> </w:t>
            </w:r>
          </w:p>
        </w:tc>
        <w:tc>
          <w:tcPr>
            <w:tcW w:w="1409" w:type="dxa"/>
            <w:vAlign w:val="center"/>
          </w:tcPr>
          <w:p w14:paraId="3309406B"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304</w:t>
            </w:r>
          </w:p>
        </w:tc>
      </w:tr>
      <w:tr w:rsidR="008A2411" w:rsidRPr="008A2411" w14:paraId="04E12E7C" w14:textId="77777777">
        <w:trPr>
          <w:tblHeader/>
          <w:jc w:val="center"/>
        </w:trPr>
        <w:tc>
          <w:tcPr>
            <w:tcW w:w="631" w:type="dxa"/>
            <w:vMerge/>
            <w:vAlign w:val="center"/>
          </w:tcPr>
          <w:p w14:paraId="607402CD"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5D9C6736"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54305C4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再生塔</w:t>
            </w:r>
          </w:p>
        </w:tc>
        <w:tc>
          <w:tcPr>
            <w:tcW w:w="1005" w:type="dxa"/>
            <w:vAlign w:val="center"/>
          </w:tcPr>
          <w:p w14:paraId="5E52066F"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1</w:t>
            </w:r>
          </w:p>
        </w:tc>
        <w:tc>
          <w:tcPr>
            <w:tcW w:w="2745" w:type="dxa"/>
            <w:vAlign w:val="center"/>
          </w:tcPr>
          <w:p w14:paraId="0BCDB1F6"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Φ1400×20000</w:t>
            </w:r>
          </w:p>
        </w:tc>
        <w:tc>
          <w:tcPr>
            <w:tcW w:w="1409" w:type="dxa"/>
            <w:vAlign w:val="center"/>
          </w:tcPr>
          <w:p w14:paraId="6D30D17A"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304</w:t>
            </w:r>
          </w:p>
        </w:tc>
      </w:tr>
      <w:tr w:rsidR="008A2411" w:rsidRPr="008A2411" w14:paraId="55D3E6E0" w14:textId="77777777">
        <w:trPr>
          <w:tblHeader/>
          <w:jc w:val="center"/>
        </w:trPr>
        <w:tc>
          <w:tcPr>
            <w:tcW w:w="631" w:type="dxa"/>
            <w:vMerge/>
            <w:vAlign w:val="center"/>
          </w:tcPr>
          <w:p w14:paraId="4DC0F395"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7E4D7F3B"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7E16EE0B"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再沸器</w:t>
            </w:r>
          </w:p>
        </w:tc>
        <w:tc>
          <w:tcPr>
            <w:tcW w:w="1005" w:type="dxa"/>
            <w:vAlign w:val="center"/>
          </w:tcPr>
          <w:p w14:paraId="50B726B0"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1</w:t>
            </w:r>
          </w:p>
        </w:tc>
        <w:tc>
          <w:tcPr>
            <w:tcW w:w="2745" w:type="dxa"/>
            <w:vAlign w:val="center"/>
          </w:tcPr>
          <w:p w14:paraId="1D54102C"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250 m</w:t>
            </w:r>
            <w:r w:rsidRPr="008A2411">
              <w:rPr>
                <w:rFonts w:ascii="Times New Roman" w:eastAsia="宋体" w:hAnsi="Times New Roman" w:cs="Times New Roman"/>
                <w:color w:val="000000" w:themeColor="text1"/>
                <w:kern w:val="2"/>
                <w:sz w:val="21"/>
                <w:szCs w:val="21"/>
                <w:vertAlign w:val="superscript"/>
              </w:rPr>
              <w:t>2</w:t>
            </w:r>
          </w:p>
        </w:tc>
        <w:tc>
          <w:tcPr>
            <w:tcW w:w="1409" w:type="dxa"/>
            <w:vAlign w:val="center"/>
          </w:tcPr>
          <w:p w14:paraId="3CFD207B"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316L</w:t>
            </w:r>
          </w:p>
        </w:tc>
      </w:tr>
      <w:tr w:rsidR="008A2411" w:rsidRPr="008A2411" w14:paraId="0EBABE18" w14:textId="77777777">
        <w:trPr>
          <w:tblHeader/>
          <w:jc w:val="center"/>
        </w:trPr>
        <w:tc>
          <w:tcPr>
            <w:tcW w:w="631" w:type="dxa"/>
            <w:vMerge/>
            <w:vAlign w:val="center"/>
          </w:tcPr>
          <w:p w14:paraId="3D4CF132"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4BCDF27D"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36DC91C2"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二氧化碳冷凝器</w:t>
            </w:r>
          </w:p>
        </w:tc>
        <w:tc>
          <w:tcPr>
            <w:tcW w:w="1005" w:type="dxa"/>
            <w:vAlign w:val="center"/>
          </w:tcPr>
          <w:p w14:paraId="46D08BFA"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1</w:t>
            </w:r>
          </w:p>
        </w:tc>
        <w:tc>
          <w:tcPr>
            <w:tcW w:w="2745" w:type="dxa"/>
            <w:vAlign w:val="center"/>
          </w:tcPr>
          <w:p w14:paraId="4996E11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100 m</w:t>
            </w:r>
            <w:r w:rsidRPr="008A2411">
              <w:rPr>
                <w:rFonts w:ascii="Times New Roman" w:eastAsia="宋体" w:hAnsi="Times New Roman" w:cs="Times New Roman"/>
                <w:color w:val="000000" w:themeColor="text1"/>
                <w:kern w:val="2"/>
                <w:sz w:val="21"/>
                <w:szCs w:val="21"/>
                <w:vertAlign w:val="superscript"/>
              </w:rPr>
              <w:t>2</w:t>
            </w:r>
          </w:p>
        </w:tc>
        <w:tc>
          <w:tcPr>
            <w:tcW w:w="1409" w:type="dxa"/>
            <w:vAlign w:val="center"/>
          </w:tcPr>
          <w:p w14:paraId="3C4719EF"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304</w:t>
            </w:r>
          </w:p>
        </w:tc>
      </w:tr>
      <w:tr w:rsidR="008A2411" w:rsidRPr="008A2411" w14:paraId="17210CD7" w14:textId="77777777">
        <w:trPr>
          <w:tblHeader/>
          <w:jc w:val="center"/>
        </w:trPr>
        <w:tc>
          <w:tcPr>
            <w:tcW w:w="631" w:type="dxa"/>
            <w:vMerge/>
            <w:vAlign w:val="center"/>
          </w:tcPr>
          <w:p w14:paraId="2D1B5126"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0C04DBA6"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316B35AA"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二氧化碳气液分离器</w:t>
            </w:r>
          </w:p>
        </w:tc>
        <w:tc>
          <w:tcPr>
            <w:tcW w:w="1005" w:type="dxa"/>
            <w:vAlign w:val="center"/>
          </w:tcPr>
          <w:p w14:paraId="78F683BC"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1</w:t>
            </w:r>
          </w:p>
        </w:tc>
        <w:tc>
          <w:tcPr>
            <w:tcW w:w="2745" w:type="dxa"/>
            <w:vAlign w:val="center"/>
          </w:tcPr>
          <w:p w14:paraId="2428C05B"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Φ1200×4500</w:t>
            </w:r>
          </w:p>
        </w:tc>
        <w:tc>
          <w:tcPr>
            <w:tcW w:w="1409" w:type="dxa"/>
            <w:vAlign w:val="center"/>
          </w:tcPr>
          <w:p w14:paraId="4A681CA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304</w:t>
            </w:r>
          </w:p>
        </w:tc>
      </w:tr>
      <w:tr w:rsidR="008A2411" w:rsidRPr="008A2411" w14:paraId="46EA03E1" w14:textId="77777777">
        <w:trPr>
          <w:tblHeader/>
          <w:jc w:val="center"/>
        </w:trPr>
        <w:tc>
          <w:tcPr>
            <w:tcW w:w="631" w:type="dxa"/>
            <w:vMerge/>
            <w:vAlign w:val="center"/>
          </w:tcPr>
          <w:p w14:paraId="69F64E79"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292D64E8"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4D84CFCD"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溶液贮槽</w:t>
            </w:r>
          </w:p>
        </w:tc>
        <w:tc>
          <w:tcPr>
            <w:tcW w:w="1005" w:type="dxa"/>
            <w:vAlign w:val="center"/>
          </w:tcPr>
          <w:p w14:paraId="7B24DC29"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1</w:t>
            </w:r>
          </w:p>
        </w:tc>
        <w:tc>
          <w:tcPr>
            <w:tcW w:w="2745" w:type="dxa"/>
            <w:vAlign w:val="center"/>
          </w:tcPr>
          <w:p w14:paraId="501F184A"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Φ3000 ×6000</w:t>
            </w:r>
          </w:p>
        </w:tc>
        <w:tc>
          <w:tcPr>
            <w:tcW w:w="1409" w:type="dxa"/>
            <w:vAlign w:val="center"/>
          </w:tcPr>
          <w:p w14:paraId="53F3B16A"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碳钢</w:t>
            </w:r>
          </w:p>
        </w:tc>
      </w:tr>
      <w:tr w:rsidR="008A2411" w:rsidRPr="008A2411" w14:paraId="469CCCF9" w14:textId="77777777">
        <w:trPr>
          <w:tblHeader/>
          <w:jc w:val="center"/>
        </w:trPr>
        <w:tc>
          <w:tcPr>
            <w:tcW w:w="631" w:type="dxa"/>
            <w:vMerge/>
            <w:vAlign w:val="center"/>
          </w:tcPr>
          <w:p w14:paraId="1AA39672"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10CF66BD"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7FA51388"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闪蒸罐</w:t>
            </w:r>
          </w:p>
        </w:tc>
        <w:tc>
          <w:tcPr>
            <w:tcW w:w="1005" w:type="dxa"/>
            <w:vAlign w:val="center"/>
          </w:tcPr>
          <w:p w14:paraId="7AEB556B"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1</w:t>
            </w:r>
          </w:p>
        </w:tc>
        <w:tc>
          <w:tcPr>
            <w:tcW w:w="2745" w:type="dxa"/>
            <w:vAlign w:val="center"/>
          </w:tcPr>
          <w:p w14:paraId="3138E461"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Φ1200 ×5000</w:t>
            </w:r>
          </w:p>
        </w:tc>
        <w:tc>
          <w:tcPr>
            <w:tcW w:w="1409" w:type="dxa"/>
            <w:vAlign w:val="center"/>
          </w:tcPr>
          <w:p w14:paraId="6E9E367A"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碳钢</w:t>
            </w:r>
          </w:p>
        </w:tc>
      </w:tr>
      <w:tr w:rsidR="008A2411" w:rsidRPr="008A2411" w14:paraId="433A99EE" w14:textId="77777777">
        <w:trPr>
          <w:tblHeader/>
          <w:jc w:val="center"/>
        </w:trPr>
        <w:tc>
          <w:tcPr>
            <w:tcW w:w="631" w:type="dxa"/>
            <w:vMerge/>
            <w:vAlign w:val="center"/>
          </w:tcPr>
          <w:p w14:paraId="0870409B"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556B2D1C"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0BAE6ADC"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地下储槽</w:t>
            </w:r>
          </w:p>
        </w:tc>
        <w:tc>
          <w:tcPr>
            <w:tcW w:w="1005" w:type="dxa"/>
            <w:vAlign w:val="center"/>
          </w:tcPr>
          <w:p w14:paraId="3D462BAD"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1</w:t>
            </w:r>
          </w:p>
        </w:tc>
        <w:tc>
          <w:tcPr>
            <w:tcW w:w="2745" w:type="dxa"/>
            <w:vAlign w:val="center"/>
          </w:tcPr>
          <w:p w14:paraId="480656B3"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Φ1200×4500</w:t>
            </w:r>
          </w:p>
        </w:tc>
        <w:tc>
          <w:tcPr>
            <w:tcW w:w="1409" w:type="dxa"/>
            <w:vAlign w:val="center"/>
          </w:tcPr>
          <w:p w14:paraId="3638FC7A"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碳钢</w:t>
            </w:r>
          </w:p>
        </w:tc>
      </w:tr>
      <w:tr w:rsidR="008A2411" w:rsidRPr="008A2411" w14:paraId="62BD266C" w14:textId="77777777">
        <w:trPr>
          <w:tblHeader/>
          <w:jc w:val="center"/>
        </w:trPr>
        <w:tc>
          <w:tcPr>
            <w:tcW w:w="631" w:type="dxa"/>
            <w:vMerge/>
            <w:vAlign w:val="center"/>
          </w:tcPr>
          <w:p w14:paraId="3A300F7C"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60CEE196"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7BB113A7"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脱硫塔</w:t>
            </w:r>
          </w:p>
        </w:tc>
        <w:tc>
          <w:tcPr>
            <w:tcW w:w="1005" w:type="dxa"/>
            <w:vAlign w:val="center"/>
          </w:tcPr>
          <w:p w14:paraId="534BD78A"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1</w:t>
            </w:r>
          </w:p>
        </w:tc>
        <w:tc>
          <w:tcPr>
            <w:tcW w:w="2745" w:type="dxa"/>
            <w:vAlign w:val="center"/>
          </w:tcPr>
          <w:p w14:paraId="1F98BC4D"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Φ1400×6000</w:t>
            </w:r>
          </w:p>
        </w:tc>
        <w:tc>
          <w:tcPr>
            <w:tcW w:w="1409" w:type="dxa"/>
            <w:vAlign w:val="center"/>
          </w:tcPr>
          <w:p w14:paraId="417C906B"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碳钢</w:t>
            </w:r>
          </w:p>
        </w:tc>
      </w:tr>
      <w:tr w:rsidR="008A2411" w:rsidRPr="008A2411" w14:paraId="4110B8F2" w14:textId="77777777">
        <w:trPr>
          <w:tblHeader/>
          <w:jc w:val="center"/>
        </w:trPr>
        <w:tc>
          <w:tcPr>
            <w:tcW w:w="631" w:type="dxa"/>
            <w:vMerge/>
            <w:vAlign w:val="center"/>
          </w:tcPr>
          <w:p w14:paraId="0D77D700" w14:textId="77777777" w:rsidR="00B0005F" w:rsidRPr="008A2411" w:rsidRDefault="00B0005F">
            <w:pPr>
              <w:pStyle w:val="WJ4"/>
              <w:spacing w:line="240" w:lineRule="auto"/>
              <w:rPr>
                <w:rFonts w:ascii="Times New Roman" w:hAnsi="Times New Roman"/>
                <w:color w:val="000000" w:themeColor="text1"/>
              </w:rPr>
            </w:pPr>
          </w:p>
        </w:tc>
        <w:tc>
          <w:tcPr>
            <w:tcW w:w="978" w:type="dxa"/>
            <w:vAlign w:val="center"/>
          </w:tcPr>
          <w:p w14:paraId="497FE5B4"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rPr>
              <w:t>脱汞单元</w:t>
            </w:r>
          </w:p>
        </w:tc>
        <w:tc>
          <w:tcPr>
            <w:tcW w:w="1754" w:type="dxa"/>
            <w:gridSpan w:val="2"/>
            <w:vAlign w:val="center"/>
          </w:tcPr>
          <w:p w14:paraId="4A9C07E7"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proofErr w:type="gramStart"/>
            <w:r w:rsidRPr="008A2411">
              <w:rPr>
                <w:rFonts w:ascii="Times New Roman" w:eastAsia="宋体" w:hAnsi="Times New Roman" w:cs="Times New Roman"/>
                <w:color w:val="000000" w:themeColor="text1"/>
                <w:kern w:val="2"/>
                <w:sz w:val="21"/>
                <w:szCs w:val="21"/>
              </w:rPr>
              <w:t>脱汞塔</w:t>
            </w:r>
            <w:proofErr w:type="gramEnd"/>
          </w:p>
        </w:tc>
        <w:tc>
          <w:tcPr>
            <w:tcW w:w="1005" w:type="dxa"/>
            <w:vAlign w:val="center"/>
          </w:tcPr>
          <w:p w14:paraId="5EE7F6C4"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2</w:t>
            </w:r>
          </w:p>
        </w:tc>
        <w:tc>
          <w:tcPr>
            <w:tcW w:w="2745" w:type="dxa"/>
            <w:vAlign w:val="center"/>
          </w:tcPr>
          <w:p w14:paraId="03F2B2D8"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Φ1400×6000</w:t>
            </w:r>
          </w:p>
        </w:tc>
        <w:tc>
          <w:tcPr>
            <w:tcW w:w="1409" w:type="dxa"/>
            <w:vAlign w:val="center"/>
          </w:tcPr>
          <w:p w14:paraId="10C3C2B1"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碳钢</w:t>
            </w:r>
          </w:p>
        </w:tc>
      </w:tr>
      <w:tr w:rsidR="008A2411" w:rsidRPr="008A2411" w14:paraId="58CF41A0" w14:textId="77777777">
        <w:trPr>
          <w:tblHeader/>
          <w:jc w:val="center"/>
        </w:trPr>
        <w:tc>
          <w:tcPr>
            <w:tcW w:w="631" w:type="dxa"/>
            <w:vMerge/>
            <w:vAlign w:val="center"/>
          </w:tcPr>
          <w:p w14:paraId="3994020B" w14:textId="77777777" w:rsidR="00B0005F" w:rsidRPr="008A2411" w:rsidRDefault="00B0005F">
            <w:pPr>
              <w:pStyle w:val="WJ4"/>
              <w:spacing w:line="240" w:lineRule="auto"/>
              <w:rPr>
                <w:rFonts w:ascii="Times New Roman" w:hAnsi="Times New Roman"/>
                <w:color w:val="000000" w:themeColor="text1"/>
              </w:rPr>
            </w:pPr>
          </w:p>
        </w:tc>
        <w:tc>
          <w:tcPr>
            <w:tcW w:w="978" w:type="dxa"/>
            <w:vMerge w:val="restart"/>
            <w:vAlign w:val="center"/>
          </w:tcPr>
          <w:p w14:paraId="7E1F2992"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rPr>
              <w:t>脱水单元</w:t>
            </w:r>
          </w:p>
        </w:tc>
        <w:tc>
          <w:tcPr>
            <w:tcW w:w="1754" w:type="dxa"/>
            <w:gridSpan w:val="2"/>
            <w:vAlign w:val="center"/>
          </w:tcPr>
          <w:p w14:paraId="0C8AD47B"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脱水净化塔</w:t>
            </w:r>
          </w:p>
        </w:tc>
        <w:tc>
          <w:tcPr>
            <w:tcW w:w="1005" w:type="dxa"/>
            <w:vAlign w:val="center"/>
          </w:tcPr>
          <w:p w14:paraId="450631B3"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3</w:t>
            </w:r>
          </w:p>
        </w:tc>
        <w:tc>
          <w:tcPr>
            <w:tcW w:w="2745" w:type="dxa"/>
            <w:vAlign w:val="center"/>
          </w:tcPr>
          <w:p w14:paraId="19AD70A7"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Φ1400×7000</w:t>
            </w:r>
          </w:p>
        </w:tc>
        <w:tc>
          <w:tcPr>
            <w:tcW w:w="1409" w:type="dxa"/>
            <w:vAlign w:val="center"/>
          </w:tcPr>
          <w:p w14:paraId="2DC77B3B"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碳钢</w:t>
            </w:r>
          </w:p>
        </w:tc>
      </w:tr>
      <w:tr w:rsidR="008A2411" w:rsidRPr="008A2411" w14:paraId="6B2A3B61" w14:textId="77777777">
        <w:trPr>
          <w:tblHeader/>
          <w:jc w:val="center"/>
        </w:trPr>
        <w:tc>
          <w:tcPr>
            <w:tcW w:w="631" w:type="dxa"/>
            <w:vMerge/>
            <w:vAlign w:val="center"/>
          </w:tcPr>
          <w:p w14:paraId="221583FF"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2E75A48E"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7236AA08"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再生气加热器</w:t>
            </w:r>
          </w:p>
        </w:tc>
        <w:tc>
          <w:tcPr>
            <w:tcW w:w="1005" w:type="dxa"/>
            <w:vAlign w:val="center"/>
          </w:tcPr>
          <w:p w14:paraId="3625FBE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1</w:t>
            </w:r>
          </w:p>
        </w:tc>
        <w:tc>
          <w:tcPr>
            <w:tcW w:w="2745" w:type="dxa"/>
            <w:vAlign w:val="center"/>
          </w:tcPr>
          <w:p w14:paraId="6A3E9939"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85m</w:t>
            </w:r>
            <w:r w:rsidRPr="008A2411">
              <w:rPr>
                <w:rFonts w:ascii="Times New Roman" w:eastAsia="宋体" w:hAnsi="Times New Roman" w:cs="Times New Roman"/>
                <w:color w:val="000000" w:themeColor="text1"/>
                <w:kern w:val="2"/>
                <w:sz w:val="21"/>
                <w:szCs w:val="21"/>
                <w:vertAlign w:val="superscript"/>
              </w:rPr>
              <w:t>2</w:t>
            </w:r>
          </w:p>
        </w:tc>
        <w:tc>
          <w:tcPr>
            <w:tcW w:w="1409" w:type="dxa"/>
            <w:vAlign w:val="center"/>
          </w:tcPr>
          <w:p w14:paraId="7E890FA5"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碳钢</w:t>
            </w:r>
          </w:p>
        </w:tc>
      </w:tr>
      <w:tr w:rsidR="008A2411" w:rsidRPr="008A2411" w14:paraId="20F1A6E5" w14:textId="77777777">
        <w:trPr>
          <w:tblHeader/>
          <w:jc w:val="center"/>
        </w:trPr>
        <w:tc>
          <w:tcPr>
            <w:tcW w:w="631" w:type="dxa"/>
            <w:vMerge/>
            <w:vAlign w:val="center"/>
          </w:tcPr>
          <w:p w14:paraId="4E34DD9E"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5D26C718"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33B0D59C"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再生气分离器</w:t>
            </w:r>
          </w:p>
        </w:tc>
        <w:tc>
          <w:tcPr>
            <w:tcW w:w="1005" w:type="dxa"/>
            <w:vAlign w:val="center"/>
          </w:tcPr>
          <w:p w14:paraId="21FF9F1C"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1</w:t>
            </w:r>
          </w:p>
        </w:tc>
        <w:tc>
          <w:tcPr>
            <w:tcW w:w="2745" w:type="dxa"/>
            <w:vAlign w:val="center"/>
          </w:tcPr>
          <w:p w14:paraId="6687BC0D"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Φ1000×3700</w:t>
            </w:r>
          </w:p>
        </w:tc>
        <w:tc>
          <w:tcPr>
            <w:tcW w:w="1409" w:type="dxa"/>
            <w:vAlign w:val="center"/>
          </w:tcPr>
          <w:p w14:paraId="0046387C"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碳钢</w:t>
            </w:r>
          </w:p>
        </w:tc>
      </w:tr>
      <w:tr w:rsidR="008A2411" w:rsidRPr="008A2411" w14:paraId="7A00CD6A" w14:textId="77777777">
        <w:trPr>
          <w:tblHeader/>
          <w:jc w:val="center"/>
        </w:trPr>
        <w:tc>
          <w:tcPr>
            <w:tcW w:w="631" w:type="dxa"/>
            <w:vMerge/>
            <w:vAlign w:val="center"/>
          </w:tcPr>
          <w:p w14:paraId="719C5B5C"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1669BB2E"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713E96C5"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再生气冷却器</w:t>
            </w:r>
          </w:p>
        </w:tc>
        <w:tc>
          <w:tcPr>
            <w:tcW w:w="1005" w:type="dxa"/>
            <w:vAlign w:val="center"/>
          </w:tcPr>
          <w:p w14:paraId="092AF337"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1</w:t>
            </w:r>
          </w:p>
        </w:tc>
        <w:tc>
          <w:tcPr>
            <w:tcW w:w="2745" w:type="dxa"/>
            <w:vAlign w:val="center"/>
          </w:tcPr>
          <w:p w14:paraId="4FC12AF8"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Φ800×4000</w:t>
            </w:r>
          </w:p>
        </w:tc>
        <w:tc>
          <w:tcPr>
            <w:tcW w:w="1409" w:type="dxa"/>
            <w:vAlign w:val="center"/>
          </w:tcPr>
          <w:p w14:paraId="409A4974"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碳钢</w:t>
            </w:r>
          </w:p>
        </w:tc>
      </w:tr>
      <w:tr w:rsidR="008A2411" w:rsidRPr="008A2411" w14:paraId="7437983A" w14:textId="77777777">
        <w:trPr>
          <w:tblHeader/>
          <w:jc w:val="center"/>
        </w:trPr>
        <w:tc>
          <w:tcPr>
            <w:tcW w:w="631" w:type="dxa"/>
            <w:vMerge/>
            <w:vAlign w:val="center"/>
          </w:tcPr>
          <w:p w14:paraId="0BD55964"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12D30ACD"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45521A29"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废液收集罐</w:t>
            </w:r>
          </w:p>
        </w:tc>
        <w:tc>
          <w:tcPr>
            <w:tcW w:w="1005" w:type="dxa"/>
            <w:vAlign w:val="center"/>
          </w:tcPr>
          <w:p w14:paraId="79C27FD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1</w:t>
            </w:r>
          </w:p>
        </w:tc>
        <w:tc>
          <w:tcPr>
            <w:tcW w:w="2745" w:type="dxa"/>
            <w:vAlign w:val="center"/>
          </w:tcPr>
          <w:p w14:paraId="35B053D9"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Φ1600×4000</w:t>
            </w:r>
          </w:p>
        </w:tc>
        <w:tc>
          <w:tcPr>
            <w:tcW w:w="1409" w:type="dxa"/>
            <w:vAlign w:val="center"/>
          </w:tcPr>
          <w:p w14:paraId="488D6A66"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碳钢</w:t>
            </w:r>
          </w:p>
        </w:tc>
      </w:tr>
      <w:tr w:rsidR="008A2411" w:rsidRPr="008A2411" w14:paraId="68F639D5" w14:textId="77777777">
        <w:trPr>
          <w:tblHeader/>
          <w:jc w:val="center"/>
        </w:trPr>
        <w:tc>
          <w:tcPr>
            <w:tcW w:w="631" w:type="dxa"/>
            <w:vMerge/>
            <w:vAlign w:val="center"/>
          </w:tcPr>
          <w:p w14:paraId="13D7ECB9"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5DA12E3A"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0B7749A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净化气过滤器</w:t>
            </w:r>
          </w:p>
        </w:tc>
        <w:tc>
          <w:tcPr>
            <w:tcW w:w="1005" w:type="dxa"/>
            <w:vAlign w:val="center"/>
          </w:tcPr>
          <w:p w14:paraId="7A524D2F"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2</w:t>
            </w:r>
          </w:p>
        </w:tc>
        <w:tc>
          <w:tcPr>
            <w:tcW w:w="2745" w:type="dxa"/>
            <w:vAlign w:val="center"/>
          </w:tcPr>
          <w:p w14:paraId="4267EE06"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Φ700×2000</w:t>
            </w:r>
          </w:p>
        </w:tc>
        <w:tc>
          <w:tcPr>
            <w:tcW w:w="1409" w:type="dxa"/>
            <w:vAlign w:val="center"/>
          </w:tcPr>
          <w:p w14:paraId="28233007"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碳钢</w:t>
            </w:r>
          </w:p>
        </w:tc>
      </w:tr>
      <w:tr w:rsidR="008A2411" w:rsidRPr="008A2411" w14:paraId="277925BF" w14:textId="77777777">
        <w:trPr>
          <w:tblHeader/>
          <w:jc w:val="center"/>
        </w:trPr>
        <w:tc>
          <w:tcPr>
            <w:tcW w:w="631" w:type="dxa"/>
            <w:vMerge/>
            <w:vAlign w:val="center"/>
          </w:tcPr>
          <w:p w14:paraId="4915908C"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5B57217A"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38AC1E43"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吸附剂填料</w:t>
            </w:r>
          </w:p>
        </w:tc>
        <w:tc>
          <w:tcPr>
            <w:tcW w:w="1005" w:type="dxa"/>
            <w:vAlign w:val="center"/>
          </w:tcPr>
          <w:p w14:paraId="3E11BB1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若干</w:t>
            </w:r>
          </w:p>
        </w:tc>
        <w:tc>
          <w:tcPr>
            <w:tcW w:w="2745" w:type="dxa"/>
            <w:vAlign w:val="center"/>
          </w:tcPr>
          <w:p w14:paraId="49445261"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Φ1400×7000</w:t>
            </w:r>
          </w:p>
        </w:tc>
        <w:tc>
          <w:tcPr>
            <w:tcW w:w="1409" w:type="dxa"/>
            <w:vAlign w:val="center"/>
          </w:tcPr>
          <w:p w14:paraId="5D191CF7"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碳钢</w:t>
            </w:r>
          </w:p>
        </w:tc>
      </w:tr>
      <w:tr w:rsidR="008A2411" w:rsidRPr="008A2411" w14:paraId="617BB6B5" w14:textId="77777777">
        <w:trPr>
          <w:tblHeader/>
          <w:jc w:val="center"/>
        </w:trPr>
        <w:tc>
          <w:tcPr>
            <w:tcW w:w="631" w:type="dxa"/>
            <w:vMerge/>
            <w:vAlign w:val="center"/>
          </w:tcPr>
          <w:p w14:paraId="6DA9C715" w14:textId="77777777" w:rsidR="00B0005F" w:rsidRPr="008A2411" w:rsidRDefault="00B0005F">
            <w:pPr>
              <w:pStyle w:val="WJ4"/>
              <w:spacing w:line="240" w:lineRule="auto"/>
              <w:rPr>
                <w:rFonts w:ascii="Times New Roman" w:hAnsi="Times New Roman"/>
                <w:color w:val="000000" w:themeColor="text1"/>
              </w:rPr>
            </w:pPr>
          </w:p>
        </w:tc>
        <w:tc>
          <w:tcPr>
            <w:tcW w:w="978" w:type="dxa"/>
            <w:vMerge w:val="restart"/>
            <w:vAlign w:val="center"/>
          </w:tcPr>
          <w:p w14:paraId="25476166"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rPr>
              <w:t>脱重烃单元</w:t>
            </w:r>
          </w:p>
        </w:tc>
        <w:tc>
          <w:tcPr>
            <w:tcW w:w="1754" w:type="dxa"/>
            <w:gridSpan w:val="2"/>
            <w:vAlign w:val="center"/>
          </w:tcPr>
          <w:p w14:paraId="3E7047C4"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重烃吸附塔</w:t>
            </w:r>
          </w:p>
        </w:tc>
        <w:tc>
          <w:tcPr>
            <w:tcW w:w="1005" w:type="dxa"/>
            <w:vAlign w:val="center"/>
          </w:tcPr>
          <w:p w14:paraId="747E0F81"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3</w:t>
            </w:r>
          </w:p>
        </w:tc>
        <w:tc>
          <w:tcPr>
            <w:tcW w:w="2745" w:type="dxa"/>
            <w:vAlign w:val="center"/>
          </w:tcPr>
          <w:p w14:paraId="2325B7E2"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φ1600×5500mm</w:t>
            </w:r>
            <w:r w:rsidRPr="008A2411">
              <w:rPr>
                <w:rFonts w:ascii="Times New Roman"/>
                <w:color w:val="000000" w:themeColor="text1"/>
                <w:kern w:val="2"/>
                <w:sz w:val="21"/>
                <w:szCs w:val="21"/>
              </w:rPr>
              <w:t>，设计压力：</w:t>
            </w:r>
            <w:r w:rsidRPr="008A2411">
              <w:rPr>
                <w:rFonts w:ascii="Times New Roman"/>
                <w:color w:val="000000" w:themeColor="text1"/>
                <w:kern w:val="2"/>
                <w:sz w:val="21"/>
                <w:szCs w:val="21"/>
              </w:rPr>
              <w:t>5.9MPaG</w:t>
            </w:r>
            <w:r w:rsidRPr="008A2411">
              <w:rPr>
                <w:rFonts w:ascii="Times New Roman"/>
                <w:color w:val="000000" w:themeColor="text1"/>
                <w:kern w:val="2"/>
                <w:sz w:val="21"/>
                <w:szCs w:val="21"/>
              </w:rPr>
              <w:t>；设计温度：</w:t>
            </w:r>
            <w:r w:rsidRPr="008A2411">
              <w:rPr>
                <w:rFonts w:ascii="Times New Roman"/>
                <w:color w:val="000000" w:themeColor="text1"/>
                <w:kern w:val="2"/>
                <w:sz w:val="21"/>
                <w:szCs w:val="21"/>
              </w:rPr>
              <w:t>320℃</w:t>
            </w:r>
          </w:p>
        </w:tc>
        <w:tc>
          <w:tcPr>
            <w:tcW w:w="1409" w:type="dxa"/>
            <w:vAlign w:val="center"/>
          </w:tcPr>
          <w:p w14:paraId="790C21DB"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Q345R</w:t>
            </w:r>
          </w:p>
        </w:tc>
      </w:tr>
      <w:tr w:rsidR="008A2411" w:rsidRPr="008A2411" w14:paraId="01E7FC66" w14:textId="77777777">
        <w:trPr>
          <w:tblHeader/>
          <w:jc w:val="center"/>
        </w:trPr>
        <w:tc>
          <w:tcPr>
            <w:tcW w:w="631" w:type="dxa"/>
            <w:vMerge/>
            <w:vAlign w:val="center"/>
          </w:tcPr>
          <w:p w14:paraId="621D2A2C"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13E7D3D2"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3FB5E01A"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脱</w:t>
            </w:r>
            <w:proofErr w:type="gramStart"/>
            <w:r w:rsidRPr="008A2411">
              <w:rPr>
                <w:rFonts w:ascii="Times New Roman"/>
                <w:color w:val="000000" w:themeColor="text1"/>
                <w:kern w:val="2"/>
                <w:sz w:val="21"/>
                <w:szCs w:val="21"/>
              </w:rPr>
              <w:t>重烃再生气</w:t>
            </w:r>
            <w:proofErr w:type="gramEnd"/>
            <w:r w:rsidRPr="008A2411">
              <w:rPr>
                <w:rFonts w:ascii="Times New Roman"/>
                <w:color w:val="000000" w:themeColor="text1"/>
                <w:kern w:val="2"/>
                <w:sz w:val="21"/>
                <w:szCs w:val="21"/>
              </w:rPr>
              <w:t>加热器</w:t>
            </w:r>
          </w:p>
        </w:tc>
        <w:tc>
          <w:tcPr>
            <w:tcW w:w="1005" w:type="dxa"/>
            <w:vAlign w:val="center"/>
          </w:tcPr>
          <w:p w14:paraId="3F6323DB"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1</w:t>
            </w:r>
          </w:p>
        </w:tc>
        <w:tc>
          <w:tcPr>
            <w:tcW w:w="2745" w:type="dxa"/>
            <w:vAlign w:val="center"/>
          </w:tcPr>
          <w:p w14:paraId="59635D4D"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φ500×4500mm</w:t>
            </w:r>
            <w:r w:rsidRPr="008A2411">
              <w:rPr>
                <w:rFonts w:ascii="Times New Roman"/>
                <w:color w:val="000000" w:themeColor="text1"/>
                <w:kern w:val="2"/>
                <w:sz w:val="21"/>
                <w:szCs w:val="21"/>
              </w:rPr>
              <w:t>，</w:t>
            </w:r>
            <w:r w:rsidRPr="008A2411">
              <w:rPr>
                <w:rFonts w:ascii="Times New Roman"/>
                <w:color w:val="000000" w:themeColor="text1"/>
                <w:kern w:val="2"/>
                <w:sz w:val="21"/>
                <w:szCs w:val="21"/>
              </w:rPr>
              <w:t>BEU</w:t>
            </w:r>
            <w:r w:rsidRPr="008A2411">
              <w:rPr>
                <w:rFonts w:ascii="Times New Roman"/>
                <w:color w:val="000000" w:themeColor="text1"/>
                <w:kern w:val="2"/>
                <w:sz w:val="21"/>
                <w:szCs w:val="21"/>
              </w:rPr>
              <w:t>，设计压力：管</w:t>
            </w:r>
            <w:r w:rsidRPr="008A2411">
              <w:rPr>
                <w:rFonts w:ascii="Times New Roman"/>
                <w:color w:val="000000" w:themeColor="text1"/>
                <w:kern w:val="2"/>
                <w:sz w:val="21"/>
                <w:szCs w:val="21"/>
              </w:rPr>
              <w:t>/</w:t>
            </w:r>
            <w:r w:rsidRPr="008A2411">
              <w:rPr>
                <w:rFonts w:ascii="Times New Roman"/>
                <w:color w:val="000000" w:themeColor="text1"/>
                <w:kern w:val="2"/>
                <w:sz w:val="21"/>
                <w:szCs w:val="21"/>
              </w:rPr>
              <w:t>壳程：</w:t>
            </w:r>
            <w:r w:rsidRPr="008A2411">
              <w:rPr>
                <w:rFonts w:ascii="Times New Roman"/>
                <w:color w:val="000000" w:themeColor="text1"/>
                <w:kern w:val="2"/>
                <w:sz w:val="21"/>
                <w:szCs w:val="21"/>
              </w:rPr>
              <w:t>5.9MPaG/1.0MPaG</w:t>
            </w:r>
            <w:r w:rsidRPr="008A2411">
              <w:rPr>
                <w:rFonts w:ascii="Times New Roman"/>
                <w:color w:val="000000" w:themeColor="text1"/>
                <w:kern w:val="2"/>
                <w:sz w:val="21"/>
                <w:szCs w:val="21"/>
              </w:rPr>
              <w:t>；设计温度：管</w:t>
            </w:r>
            <w:r w:rsidRPr="008A2411">
              <w:rPr>
                <w:rFonts w:ascii="Times New Roman"/>
                <w:color w:val="000000" w:themeColor="text1"/>
                <w:kern w:val="2"/>
                <w:sz w:val="21"/>
                <w:szCs w:val="21"/>
              </w:rPr>
              <w:t>/</w:t>
            </w:r>
            <w:r w:rsidRPr="008A2411">
              <w:rPr>
                <w:rFonts w:ascii="Times New Roman"/>
                <w:color w:val="000000" w:themeColor="text1"/>
                <w:kern w:val="2"/>
                <w:sz w:val="21"/>
                <w:szCs w:val="21"/>
              </w:rPr>
              <w:t>壳程：</w:t>
            </w:r>
            <w:r w:rsidRPr="008A2411">
              <w:rPr>
                <w:rFonts w:ascii="Times New Roman"/>
                <w:color w:val="000000" w:themeColor="text1"/>
                <w:kern w:val="2"/>
                <w:sz w:val="21"/>
                <w:szCs w:val="21"/>
              </w:rPr>
              <w:t>320/320℃</w:t>
            </w:r>
          </w:p>
        </w:tc>
        <w:tc>
          <w:tcPr>
            <w:tcW w:w="1409" w:type="dxa"/>
            <w:vAlign w:val="center"/>
          </w:tcPr>
          <w:p w14:paraId="53FF3D85"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Q345R/20#</w:t>
            </w:r>
          </w:p>
        </w:tc>
      </w:tr>
      <w:tr w:rsidR="008A2411" w:rsidRPr="008A2411" w14:paraId="7F73E66E" w14:textId="77777777">
        <w:trPr>
          <w:tblHeader/>
          <w:jc w:val="center"/>
        </w:trPr>
        <w:tc>
          <w:tcPr>
            <w:tcW w:w="631" w:type="dxa"/>
            <w:vMerge/>
            <w:vAlign w:val="center"/>
          </w:tcPr>
          <w:p w14:paraId="3BCA89CE"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641578E1"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26CB46CD"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脱重烃再生气冷却器</w:t>
            </w:r>
          </w:p>
        </w:tc>
        <w:tc>
          <w:tcPr>
            <w:tcW w:w="1005" w:type="dxa"/>
            <w:vAlign w:val="center"/>
          </w:tcPr>
          <w:p w14:paraId="5F67F200"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1</w:t>
            </w:r>
          </w:p>
        </w:tc>
        <w:tc>
          <w:tcPr>
            <w:tcW w:w="2745" w:type="dxa"/>
            <w:vAlign w:val="center"/>
          </w:tcPr>
          <w:p w14:paraId="31BBC770"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φ500×4000mm</w:t>
            </w:r>
            <w:r w:rsidRPr="008A2411">
              <w:rPr>
                <w:rFonts w:ascii="Times New Roman"/>
                <w:color w:val="000000" w:themeColor="text1"/>
                <w:kern w:val="2"/>
                <w:sz w:val="21"/>
                <w:szCs w:val="21"/>
              </w:rPr>
              <w:t>，</w:t>
            </w:r>
            <w:r w:rsidRPr="008A2411">
              <w:rPr>
                <w:rFonts w:ascii="Times New Roman"/>
                <w:color w:val="000000" w:themeColor="text1"/>
                <w:kern w:val="2"/>
                <w:sz w:val="21"/>
                <w:szCs w:val="21"/>
              </w:rPr>
              <w:t>BEU</w:t>
            </w:r>
            <w:r w:rsidRPr="008A2411">
              <w:rPr>
                <w:rFonts w:ascii="Times New Roman"/>
                <w:color w:val="000000" w:themeColor="text1"/>
                <w:kern w:val="2"/>
                <w:sz w:val="21"/>
                <w:szCs w:val="21"/>
              </w:rPr>
              <w:t>，设计压力：管</w:t>
            </w:r>
            <w:r w:rsidRPr="008A2411">
              <w:rPr>
                <w:rFonts w:ascii="Times New Roman"/>
                <w:color w:val="000000" w:themeColor="text1"/>
                <w:kern w:val="2"/>
                <w:sz w:val="21"/>
                <w:szCs w:val="21"/>
              </w:rPr>
              <w:t>/</w:t>
            </w:r>
            <w:r w:rsidRPr="008A2411">
              <w:rPr>
                <w:rFonts w:ascii="Times New Roman"/>
                <w:color w:val="000000" w:themeColor="text1"/>
                <w:kern w:val="2"/>
                <w:sz w:val="21"/>
                <w:szCs w:val="21"/>
              </w:rPr>
              <w:t>壳程：</w:t>
            </w:r>
            <w:r w:rsidRPr="008A2411">
              <w:rPr>
                <w:rFonts w:ascii="Times New Roman"/>
                <w:color w:val="000000" w:themeColor="text1"/>
                <w:kern w:val="2"/>
                <w:sz w:val="21"/>
                <w:szCs w:val="21"/>
              </w:rPr>
              <w:t>5.9MPaG/1.0MPaG</w:t>
            </w:r>
            <w:r w:rsidRPr="008A2411">
              <w:rPr>
                <w:rFonts w:ascii="Times New Roman"/>
                <w:color w:val="000000" w:themeColor="text1"/>
                <w:kern w:val="2"/>
                <w:sz w:val="21"/>
                <w:szCs w:val="21"/>
              </w:rPr>
              <w:t>；设计温度：管</w:t>
            </w:r>
            <w:r w:rsidRPr="008A2411">
              <w:rPr>
                <w:rFonts w:ascii="Times New Roman"/>
                <w:color w:val="000000" w:themeColor="text1"/>
                <w:kern w:val="2"/>
                <w:sz w:val="21"/>
                <w:szCs w:val="21"/>
              </w:rPr>
              <w:t>/</w:t>
            </w:r>
            <w:r w:rsidRPr="008A2411">
              <w:rPr>
                <w:rFonts w:ascii="Times New Roman"/>
                <w:color w:val="000000" w:themeColor="text1"/>
                <w:kern w:val="2"/>
                <w:sz w:val="21"/>
                <w:szCs w:val="21"/>
              </w:rPr>
              <w:t>壳程：</w:t>
            </w:r>
            <w:r w:rsidRPr="008A2411">
              <w:rPr>
                <w:rFonts w:ascii="Times New Roman"/>
                <w:color w:val="000000" w:themeColor="text1"/>
                <w:kern w:val="2"/>
                <w:sz w:val="21"/>
                <w:szCs w:val="21"/>
              </w:rPr>
              <w:t>320/70℃</w:t>
            </w:r>
          </w:p>
        </w:tc>
        <w:tc>
          <w:tcPr>
            <w:tcW w:w="1409" w:type="dxa"/>
            <w:vAlign w:val="center"/>
          </w:tcPr>
          <w:p w14:paraId="0BDEDA93"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S30408/Q345R</w:t>
            </w:r>
          </w:p>
        </w:tc>
      </w:tr>
      <w:tr w:rsidR="008A2411" w:rsidRPr="008A2411" w14:paraId="56C7F37A" w14:textId="77777777">
        <w:trPr>
          <w:tblHeader/>
          <w:jc w:val="center"/>
        </w:trPr>
        <w:tc>
          <w:tcPr>
            <w:tcW w:w="631" w:type="dxa"/>
            <w:vMerge/>
            <w:vAlign w:val="center"/>
          </w:tcPr>
          <w:p w14:paraId="1C5C1089"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12F313F1"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1250B28F"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脱</w:t>
            </w:r>
            <w:proofErr w:type="gramStart"/>
            <w:r w:rsidRPr="008A2411">
              <w:rPr>
                <w:rFonts w:ascii="Times New Roman"/>
                <w:color w:val="000000" w:themeColor="text1"/>
                <w:kern w:val="2"/>
                <w:sz w:val="21"/>
                <w:szCs w:val="21"/>
              </w:rPr>
              <w:t>重烃再生气</w:t>
            </w:r>
            <w:proofErr w:type="gramEnd"/>
            <w:r w:rsidRPr="008A2411">
              <w:rPr>
                <w:rFonts w:ascii="Times New Roman"/>
                <w:color w:val="000000" w:themeColor="text1"/>
                <w:kern w:val="2"/>
                <w:sz w:val="21"/>
                <w:szCs w:val="21"/>
              </w:rPr>
              <w:t>分离器</w:t>
            </w:r>
          </w:p>
        </w:tc>
        <w:tc>
          <w:tcPr>
            <w:tcW w:w="1005" w:type="dxa"/>
            <w:vAlign w:val="center"/>
          </w:tcPr>
          <w:p w14:paraId="3CDEDFA8"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1</w:t>
            </w:r>
          </w:p>
        </w:tc>
        <w:tc>
          <w:tcPr>
            <w:tcW w:w="2745" w:type="dxa"/>
            <w:vAlign w:val="center"/>
          </w:tcPr>
          <w:p w14:paraId="4D37035A"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φ600×2500mm</w:t>
            </w:r>
            <w:r w:rsidRPr="008A2411">
              <w:rPr>
                <w:rFonts w:ascii="Times New Roman"/>
                <w:color w:val="000000" w:themeColor="text1"/>
                <w:kern w:val="2"/>
                <w:sz w:val="21"/>
                <w:szCs w:val="21"/>
              </w:rPr>
              <w:t>，设计压力：</w:t>
            </w:r>
            <w:r w:rsidRPr="008A2411">
              <w:rPr>
                <w:rFonts w:ascii="Times New Roman"/>
                <w:color w:val="000000" w:themeColor="text1"/>
                <w:kern w:val="2"/>
                <w:sz w:val="21"/>
                <w:szCs w:val="21"/>
              </w:rPr>
              <w:t>5.9MPaG</w:t>
            </w:r>
            <w:r w:rsidRPr="008A2411">
              <w:rPr>
                <w:rFonts w:ascii="Times New Roman"/>
                <w:color w:val="000000" w:themeColor="text1"/>
                <w:kern w:val="2"/>
                <w:sz w:val="21"/>
                <w:szCs w:val="21"/>
              </w:rPr>
              <w:t>；设计温度：</w:t>
            </w:r>
            <w:r w:rsidRPr="008A2411">
              <w:rPr>
                <w:rFonts w:ascii="Times New Roman"/>
                <w:color w:val="000000" w:themeColor="text1"/>
                <w:kern w:val="2"/>
                <w:sz w:val="21"/>
                <w:szCs w:val="21"/>
              </w:rPr>
              <w:t>-60℃</w:t>
            </w:r>
          </w:p>
        </w:tc>
        <w:tc>
          <w:tcPr>
            <w:tcW w:w="1409" w:type="dxa"/>
            <w:vAlign w:val="center"/>
          </w:tcPr>
          <w:p w14:paraId="52886CEF"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S30408</w:t>
            </w:r>
          </w:p>
        </w:tc>
      </w:tr>
      <w:tr w:rsidR="008A2411" w:rsidRPr="008A2411" w14:paraId="378CC4DB" w14:textId="77777777">
        <w:trPr>
          <w:tblHeader/>
          <w:jc w:val="center"/>
        </w:trPr>
        <w:tc>
          <w:tcPr>
            <w:tcW w:w="631" w:type="dxa"/>
            <w:vMerge/>
            <w:vAlign w:val="center"/>
          </w:tcPr>
          <w:p w14:paraId="4FD46350"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21F2E5A8"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7E611F97"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脱重烃低温换热器</w:t>
            </w:r>
          </w:p>
        </w:tc>
        <w:tc>
          <w:tcPr>
            <w:tcW w:w="1005" w:type="dxa"/>
            <w:vAlign w:val="center"/>
          </w:tcPr>
          <w:p w14:paraId="6F05E195"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1</w:t>
            </w:r>
          </w:p>
        </w:tc>
        <w:tc>
          <w:tcPr>
            <w:tcW w:w="2745" w:type="dxa"/>
            <w:vAlign w:val="center"/>
          </w:tcPr>
          <w:p w14:paraId="4FAC098A" w14:textId="77777777" w:rsidR="00B0005F" w:rsidRPr="008A2411" w:rsidRDefault="00000000">
            <w:pPr>
              <w:widowControl/>
              <w:adjustRightInd w:val="0"/>
              <w:snapToGrid w:val="0"/>
              <w:jc w:val="center"/>
              <w:rPr>
                <w:rFonts w:ascii="Times New Roman"/>
                <w:color w:val="000000" w:themeColor="text1"/>
                <w:kern w:val="2"/>
                <w:sz w:val="21"/>
                <w:szCs w:val="21"/>
              </w:rPr>
            </w:pPr>
            <w:proofErr w:type="gramStart"/>
            <w:r w:rsidRPr="008A2411">
              <w:rPr>
                <w:rFonts w:ascii="Times New Roman"/>
                <w:color w:val="000000" w:themeColor="text1"/>
                <w:kern w:val="2"/>
                <w:sz w:val="21"/>
                <w:szCs w:val="21"/>
              </w:rPr>
              <w:t>板翅式</w:t>
            </w:r>
            <w:proofErr w:type="gramEnd"/>
            <w:r w:rsidRPr="008A2411">
              <w:rPr>
                <w:rFonts w:ascii="Times New Roman"/>
                <w:color w:val="000000" w:themeColor="text1"/>
                <w:kern w:val="2"/>
                <w:sz w:val="21"/>
                <w:szCs w:val="21"/>
              </w:rPr>
              <w:t>，热负荷：</w:t>
            </w:r>
            <w:proofErr w:type="spellStart"/>
            <w:r w:rsidRPr="008A2411">
              <w:rPr>
                <w:rFonts w:ascii="Times New Roman"/>
                <w:color w:val="000000" w:themeColor="text1"/>
                <w:kern w:val="2"/>
                <w:sz w:val="21"/>
                <w:szCs w:val="21"/>
              </w:rPr>
              <w:t>xxxxkW</w:t>
            </w:r>
            <w:proofErr w:type="spellEnd"/>
            <w:r w:rsidRPr="008A2411">
              <w:rPr>
                <w:rFonts w:ascii="Times New Roman"/>
                <w:color w:val="000000" w:themeColor="text1"/>
                <w:kern w:val="2"/>
                <w:sz w:val="21"/>
                <w:szCs w:val="21"/>
              </w:rPr>
              <w:t>，设计压力：</w:t>
            </w:r>
            <w:r w:rsidRPr="008A2411">
              <w:rPr>
                <w:rFonts w:ascii="Times New Roman"/>
                <w:color w:val="000000" w:themeColor="text1"/>
                <w:kern w:val="2"/>
                <w:sz w:val="21"/>
                <w:szCs w:val="21"/>
              </w:rPr>
              <w:t>5.9/4.7MPaG</w:t>
            </w:r>
            <w:r w:rsidRPr="008A2411">
              <w:rPr>
                <w:rFonts w:ascii="Times New Roman"/>
                <w:color w:val="000000" w:themeColor="text1"/>
                <w:kern w:val="2"/>
                <w:sz w:val="21"/>
                <w:szCs w:val="21"/>
              </w:rPr>
              <w:t>；设计温度：</w:t>
            </w:r>
            <w:r w:rsidRPr="008A2411">
              <w:rPr>
                <w:rFonts w:ascii="Times New Roman"/>
                <w:color w:val="000000" w:themeColor="text1"/>
                <w:kern w:val="2"/>
                <w:sz w:val="21"/>
                <w:szCs w:val="21"/>
              </w:rPr>
              <w:t>60℃/-60℃</w:t>
            </w:r>
          </w:p>
        </w:tc>
        <w:tc>
          <w:tcPr>
            <w:tcW w:w="1409" w:type="dxa"/>
            <w:vAlign w:val="center"/>
          </w:tcPr>
          <w:p w14:paraId="15F6C914"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Al</w:t>
            </w:r>
          </w:p>
        </w:tc>
      </w:tr>
      <w:tr w:rsidR="008A2411" w:rsidRPr="008A2411" w14:paraId="4E72EB51" w14:textId="77777777">
        <w:trPr>
          <w:tblHeader/>
          <w:jc w:val="center"/>
        </w:trPr>
        <w:tc>
          <w:tcPr>
            <w:tcW w:w="631" w:type="dxa"/>
            <w:vMerge/>
            <w:vAlign w:val="center"/>
          </w:tcPr>
          <w:p w14:paraId="2E68CF11"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05DC79EC"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763E15CB"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粉尘过滤器</w:t>
            </w:r>
          </w:p>
        </w:tc>
        <w:tc>
          <w:tcPr>
            <w:tcW w:w="1005" w:type="dxa"/>
            <w:vAlign w:val="center"/>
          </w:tcPr>
          <w:p w14:paraId="46D6FC64"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2</w:t>
            </w:r>
          </w:p>
        </w:tc>
        <w:tc>
          <w:tcPr>
            <w:tcW w:w="2745" w:type="dxa"/>
            <w:vAlign w:val="center"/>
          </w:tcPr>
          <w:p w14:paraId="409D54AE"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φ700×2100mm</w:t>
            </w:r>
            <w:r w:rsidRPr="008A2411">
              <w:rPr>
                <w:rFonts w:ascii="Times New Roman"/>
                <w:color w:val="000000" w:themeColor="text1"/>
                <w:kern w:val="2"/>
                <w:sz w:val="21"/>
                <w:szCs w:val="21"/>
              </w:rPr>
              <w:t>，立式，设计压力：</w:t>
            </w:r>
            <w:r w:rsidRPr="008A2411">
              <w:rPr>
                <w:rFonts w:ascii="Times New Roman"/>
                <w:color w:val="000000" w:themeColor="text1"/>
                <w:kern w:val="2"/>
                <w:sz w:val="21"/>
                <w:szCs w:val="21"/>
              </w:rPr>
              <w:t>5.9MPaG</w:t>
            </w:r>
            <w:r w:rsidRPr="008A2411">
              <w:rPr>
                <w:rFonts w:ascii="Times New Roman"/>
                <w:color w:val="000000" w:themeColor="text1"/>
                <w:kern w:val="2"/>
                <w:sz w:val="21"/>
                <w:szCs w:val="21"/>
              </w:rPr>
              <w:t>；设计温度：</w:t>
            </w:r>
            <w:r w:rsidRPr="008A2411">
              <w:rPr>
                <w:rFonts w:ascii="Times New Roman"/>
                <w:color w:val="000000" w:themeColor="text1"/>
                <w:kern w:val="2"/>
                <w:sz w:val="21"/>
                <w:szCs w:val="21"/>
              </w:rPr>
              <w:t>60℃</w:t>
            </w:r>
          </w:p>
        </w:tc>
        <w:tc>
          <w:tcPr>
            <w:tcW w:w="1409" w:type="dxa"/>
            <w:vAlign w:val="center"/>
          </w:tcPr>
          <w:p w14:paraId="6EC67492"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Q345R</w:t>
            </w:r>
          </w:p>
        </w:tc>
      </w:tr>
      <w:tr w:rsidR="008A2411" w:rsidRPr="008A2411" w14:paraId="4E75807F" w14:textId="77777777">
        <w:trPr>
          <w:tblHeader/>
          <w:jc w:val="center"/>
        </w:trPr>
        <w:tc>
          <w:tcPr>
            <w:tcW w:w="631" w:type="dxa"/>
            <w:vMerge/>
            <w:vAlign w:val="center"/>
          </w:tcPr>
          <w:p w14:paraId="29BA5A05"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6D1C3241"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6DC0C98B"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重烃储罐</w:t>
            </w:r>
          </w:p>
        </w:tc>
        <w:tc>
          <w:tcPr>
            <w:tcW w:w="1005" w:type="dxa"/>
            <w:vAlign w:val="center"/>
          </w:tcPr>
          <w:p w14:paraId="1800C2EC"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1</w:t>
            </w:r>
          </w:p>
        </w:tc>
        <w:tc>
          <w:tcPr>
            <w:tcW w:w="2745" w:type="dxa"/>
            <w:vAlign w:val="center"/>
          </w:tcPr>
          <w:p w14:paraId="7042A116"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50m</w:t>
            </w:r>
            <w:r w:rsidRPr="008A2411">
              <w:rPr>
                <w:rFonts w:ascii="Times New Roman"/>
                <w:color w:val="000000" w:themeColor="text1"/>
                <w:kern w:val="2"/>
                <w:sz w:val="21"/>
                <w:szCs w:val="21"/>
                <w:vertAlign w:val="superscript"/>
              </w:rPr>
              <w:t>3</w:t>
            </w:r>
            <w:r w:rsidRPr="008A2411">
              <w:rPr>
                <w:rFonts w:ascii="Times New Roman"/>
                <w:color w:val="000000" w:themeColor="text1"/>
                <w:kern w:val="2"/>
                <w:sz w:val="21"/>
                <w:szCs w:val="21"/>
              </w:rPr>
              <w:t>，</w:t>
            </w:r>
            <w:r w:rsidRPr="008A2411">
              <w:rPr>
                <w:rFonts w:ascii="Times New Roman"/>
                <w:color w:val="000000" w:themeColor="text1"/>
                <w:kern w:val="2"/>
                <w:sz w:val="21"/>
                <w:szCs w:val="21"/>
              </w:rPr>
              <w:t>φ3000x7000mm</w:t>
            </w:r>
            <w:r w:rsidRPr="008A2411">
              <w:rPr>
                <w:rFonts w:ascii="Times New Roman"/>
                <w:color w:val="000000" w:themeColor="text1"/>
                <w:kern w:val="2"/>
                <w:sz w:val="21"/>
                <w:szCs w:val="21"/>
              </w:rPr>
              <w:t>，设计压力：</w:t>
            </w:r>
            <w:r w:rsidRPr="008A2411">
              <w:rPr>
                <w:rFonts w:ascii="Times New Roman"/>
                <w:color w:val="000000" w:themeColor="text1"/>
                <w:kern w:val="2"/>
                <w:sz w:val="21"/>
                <w:szCs w:val="21"/>
              </w:rPr>
              <w:t>1.0MPaG</w:t>
            </w:r>
            <w:r w:rsidRPr="008A2411">
              <w:rPr>
                <w:rFonts w:ascii="Times New Roman"/>
                <w:color w:val="000000" w:themeColor="text1"/>
                <w:kern w:val="2"/>
                <w:sz w:val="21"/>
                <w:szCs w:val="21"/>
              </w:rPr>
              <w:t>，设计温度：</w:t>
            </w:r>
            <w:r w:rsidRPr="008A2411">
              <w:rPr>
                <w:rFonts w:ascii="Times New Roman"/>
                <w:color w:val="000000" w:themeColor="text1"/>
                <w:kern w:val="2"/>
                <w:sz w:val="21"/>
                <w:szCs w:val="21"/>
              </w:rPr>
              <w:t>60℃</w:t>
            </w:r>
          </w:p>
        </w:tc>
        <w:tc>
          <w:tcPr>
            <w:tcW w:w="1409" w:type="dxa"/>
            <w:vAlign w:val="center"/>
          </w:tcPr>
          <w:p w14:paraId="472AC287"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Q345R</w:t>
            </w:r>
          </w:p>
        </w:tc>
      </w:tr>
      <w:tr w:rsidR="008A2411" w:rsidRPr="008A2411" w14:paraId="67F0B273" w14:textId="77777777">
        <w:trPr>
          <w:tblHeader/>
          <w:jc w:val="center"/>
        </w:trPr>
        <w:tc>
          <w:tcPr>
            <w:tcW w:w="631" w:type="dxa"/>
            <w:vMerge/>
            <w:vAlign w:val="center"/>
          </w:tcPr>
          <w:p w14:paraId="0CCF5E9B"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0A6D2B51"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19236F16"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重烃装车泵</w:t>
            </w:r>
          </w:p>
        </w:tc>
        <w:tc>
          <w:tcPr>
            <w:tcW w:w="1005" w:type="dxa"/>
            <w:vAlign w:val="center"/>
          </w:tcPr>
          <w:p w14:paraId="7F695C5B"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2</w:t>
            </w:r>
          </w:p>
        </w:tc>
        <w:tc>
          <w:tcPr>
            <w:tcW w:w="2745" w:type="dxa"/>
            <w:vAlign w:val="center"/>
          </w:tcPr>
          <w:p w14:paraId="08090633"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滑片泵，流量：</w:t>
            </w:r>
            <w:r w:rsidRPr="008A2411">
              <w:rPr>
                <w:rFonts w:ascii="Times New Roman"/>
                <w:color w:val="000000" w:themeColor="text1"/>
                <w:kern w:val="2"/>
                <w:sz w:val="21"/>
                <w:szCs w:val="21"/>
              </w:rPr>
              <w:t>20m</w:t>
            </w:r>
            <w:r w:rsidRPr="008A2411">
              <w:rPr>
                <w:rFonts w:ascii="Times New Roman"/>
                <w:color w:val="000000" w:themeColor="text1"/>
                <w:kern w:val="2"/>
                <w:sz w:val="21"/>
                <w:szCs w:val="21"/>
                <w:vertAlign w:val="superscript"/>
              </w:rPr>
              <w:t>3</w:t>
            </w:r>
            <w:r w:rsidRPr="008A2411">
              <w:rPr>
                <w:rFonts w:ascii="Times New Roman"/>
                <w:color w:val="000000" w:themeColor="text1"/>
                <w:kern w:val="2"/>
                <w:sz w:val="21"/>
                <w:szCs w:val="21"/>
              </w:rPr>
              <w:t>/h</w:t>
            </w:r>
            <w:r w:rsidRPr="008A2411">
              <w:rPr>
                <w:rFonts w:ascii="Times New Roman"/>
                <w:color w:val="000000" w:themeColor="text1"/>
                <w:kern w:val="2"/>
                <w:sz w:val="21"/>
                <w:szCs w:val="21"/>
              </w:rPr>
              <w:t>，扬程：</w:t>
            </w:r>
            <w:r w:rsidRPr="008A2411">
              <w:rPr>
                <w:rFonts w:ascii="Times New Roman"/>
                <w:color w:val="000000" w:themeColor="text1"/>
                <w:kern w:val="2"/>
                <w:sz w:val="21"/>
                <w:szCs w:val="21"/>
              </w:rPr>
              <w:t>40m</w:t>
            </w:r>
            <w:r w:rsidRPr="008A2411">
              <w:rPr>
                <w:rFonts w:ascii="Times New Roman"/>
                <w:color w:val="000000" w:themeColor="text1"/>
                <w:kern w:val="2"/>
                <w:sz w:val="21"/>
                <w:szCs w:val="21"/>
              </w:rPr>
              <w:t>，电机功率：</w:t>
            </w:r>
            <w:r w:rsidRPr="008A2411">
              <w:rPr>
                <w:rFonts w:ascii="Times New Roman"/>
                <w:color w:val="000000" w:themeColor="text1"/>
                <w:kern w:val="2"/>
                <w:sz w:val="21"/>
                <w:szCs w:val="21"/>
              </w:rPr>
              <w:t>7.5kW</w:t>
            </w:r>
          </w:p>
        </w:tc>
        <w:tc>
          <w:tcPr>
            <w:tcW w:w="1409" w:type="dxa"/>
            <w:vAlign w:val="center"/>
          </w:tcPr>
          <w:p w14:paraId="5D3F7ECF"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过流：</w:t>
            </w:r>
            <w:r w:rsidRPr="008A2411">
              <w:rPr>
                <w:rFonts w:ascii="Times New Roman"/>
                <w:color w:val="000000" w:themeColor="text1"/>
                <w:kern w:val="2"/>
                <w:sz w:val="21"/>
                <w:szCs w:val="21"/>
              </w:rPr>
              <w:t>S30408</w:t>
            </w:r>
          </w:p>
        </w:tc>
      </w:tr>
      <w:tr w:rsidR="008A2411" w:rsidRPr="008A2411" w14:paraId="3E91B676" w14:textId="77777777">
        <w:trPr>
          <w:tblHeader/>
          <w:jc w:val="center"/>
        </w:trPr>
        <w:tc>
          <w:tcPr>
            <w:tcW w:w="631" w:type="dxa"/>
            <w:vMerge/>
            <w:vAlign w:val="center"/>
          </w:tcPr>
          <w:p w14:paraId="17FACB28"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0B508E28"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2C6A5918"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重烃装车臂</w:t>
            </w:r>
          </w:p>
        </w:tc>
        <w:tc>
          <w:tcPr>
            <w:tcW w:w="1005" w:type="dxa"/>
            <w:vAlign w:val="center"/>
          </w:tcPr>
          <w:p w14:paraId="06E8A8EA"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1</w:t>
            </w:r>
          </w:p>
        </w:tc>
        <w:tc>
          <w:tcPr>
            <w:tcW w:w="2745" w:type="dxa"/>
            <w:vAlign w:val="center"/>
          </w:tcPr>
          <w:p w14:paraId="26A4DF84"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DN50</w:t>
            </w:r>
            <w:r w:rsidRPr="008A2411">
              <w:rPr>
                <w:rFonts w:ascii="Times New Roman"/>
                <w:color w:val="000000" w:themeColor="text1"/>
                <w:kern w:val="2"/>
                <w:sz w:val="21"/>
                <w:szCs w:val="21"/>
              </w:rPr>
              <w:t>，设计压力：</w:t>
            </w:r>
            <w:r w:rsidRPr="008A2411">
              <w:rPr>
                <w:rFonts w:ascii="Times New Roman"/>
                <w:color w:val="000000" w:themeColor="text1"/>
                <w:kern w:val="2"/>
                <w:sz w:val="21"/>
                <w:szCs w:val="21"/>
              </w:rPr>
              <w:t>3.5MPaG</w:t>
            </w:r>
            <w:r w:rsidRPr="008A2411">
              <w:rPr>
                <w:rFonts w:ascii="Times New Roman"/>
                <w:color w:val="000000" w:themeColor="text1"/>
                <w:kern w:val="2"/>
                <w:sz w:val="21"/>
                <w:szCs w:val="21"/>
              </w:rPr>
              <w:t>，带定量装车系统</w:t>
            </w:r>
          </w:p>
        </w:tc>
        <w:tc>
          <w:tcPr>
            <w:tcW w:w="1409" w:type="dxa"/>
            <w:vAlign w:val="center"/>
          </w:tcPr>
          <w:p w14:paraId="1E1FA1DF"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CS</w:t>
            </w:r>
          </w:p>
        </w:tc>
      </w:tr>
      <w:tr w:rsidR="008A2411" w:rsidRPr="008A2411" w14:paraId="464CE639" w14:textId="77777777">
        <w:trPr>
          <w:tblHeader/>
          <w:jc w:val="center"/>
        </w:trPr>
        <w:tc>
          <w:tcPr>
            <w:tcW w:w="631" w:type="dxa"/>
            <w:vMerge/>
            <w:vAlign w:val="center"/>
          </w:tcPr>
          <w:p w14:paraId="7711AD86" w14:textId="77777777" w:rsidR="00B0005F" w:rsidRPr="008A2411" w:rsidRDefault="00B0005F">
            <w:pPr>
              <w:pStyle w:val="WJ4"/>
              <w:spacing w:line="240" w:lineRule="auto"/>
              <w:rPr>
                <w:rFonts w:ascii="Times New Roman" w:hAnsi="Times New Roman"/>
                <w:color w:val="000000" w:themeColor="text1"/>
              </w:rPr>
            </w:pPr>
          </w:p>
        </w:tc>
        <w:tc>
          <w:tcPr>
            <w:tcW w:w="978" w:type="dxa"/>
            <w:vMerge w:val="restart"/>
            <w:vAlign w:val="center"/>
          </w:tcPr>
          <w:p w14:paraId="7C3AD3A7" w14:textId="77777777" w:rsidR="00B0005F" w:rsidRPr="008A2411" w:rsidRDefault="00000000">
            <w:pPr>
              <w:pStyle w:val="WJ4"/>
              <w:spacing w:line="240" w:lineRule="auto"/>
              <w:rPr>
                <w:rFonts w:ascii="Times New Roman" w:hAnsi="Times New Roman"/>
                <w:color w:val="000000" w:themeColor="text1"/>
              </w:rPr>
            </w:pPr>
            <w:proofErr w:type="gramStart"/>
            <w:r w:rsidRPr="008A2411">
              <w:rPr>
                <w:rFonts w:ascii="Times New Roman" w:hAnsi="Times New Roman"/>
                <w:color w:val="000000" w:themeColor="text1"/>
                <w:kern w:val="2"/>
                <w:lang w:bidi="ar"/>
              </w:rPr>
              <w:t>液化冷箱系统</w:t>
            </w:r>
            <w:proofErr w:type="gramEnd"/>
          </w:p>
        </w:tc>
        <w:tc>
          <w:tcPr>
            <w:tcW w:w="1754" w:type="dxa"/>
            <w:gridSpan w:val="2"/>
            <w:vAlign w:val="center"/>
          </w:tcPr>
          <w:p w14:paraId="77D6B61C"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重烃分离器</w:t>
            </w:r>
          </w:p>
        </w:tc>
        <w:tc>
          <w:tcPr>
            <w:tcW w:w="1005" w:type="dxa"/>
            <w:vAlign w:val="center"/>
          </w:tcPr>
          <w:p w14:paraId="03154789"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1</w:t>
            </w:r>
          </w:p>
        </w:tc>
        <w:tc>
          <w:tcPr>
            <w:tcW w:w="2745" w:type="dxa"/>
            <w:vAlign w:val="center"/>
          </w:tcPr>
          <w:p w14:paraId="626613E1" w14:textId="77777777" w:rsidR="00B0005F" w:rsidRPr="008A2411" w:rsidRDefault="00000000">
            <w:pPr>
              <w:pStyle w:val="affff2"/>
              <w:widowControl w:val="0"/>
              <w:adjustRightInd w:val="0"/>
              <w:snapToGrid w:val="0"/>
              <w:spacing w:before="0" w:beforeAutospacing="0" w:after="0" w:afterAutospacing="0"/>
              <w:jc w:val="both"/>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型</w:t>
            </w:r>
            <w:r w:rsidRPr="008A2411">
              <w:rPr>
                <w:rFonts w:ascii="Times New Roman" w:eastAsia="宋体" w:hAnsi="Times New Roman" w:cs="Times New Roman"/>
                <w:color w:val="000000" w:themeColor="text1"/>
                <w:kern w:val="2"/>
                <w:sz w:val="21"/>
                <w:szCs w:val="21"/>
              </w:rPr>
              <w:t xml:space="preserve">    </w:t>
            </w:r>
            <w:r w:rsidRPr="008A2411">
              <w:rPr>
                <w:rFonts w:ascii="Times New Roman" w:eastAsia="宋体" w:hAnsi="Times New Roman" w:cs="Times New Roman"/>
                <w:color w:val="000000" w:themeColor="text1"/>
                <w:kern w:val="2"/>
                <w:sz w:val="21"/>
                <w:szCs w:val="21"/>
              </w:rPr>
              <w:t>式：立式</w:t>
            </w:r>
          </w:p>
          <w:p w14:paraId="01159907" w14:textId="77777777" w:rsidR="00B0005F" w:rsidRPr="008A2411" w:rsidRDefault="00000000">
            <w:pPr>
              <w:pStyle w:val="affff2"/>
              <w:widowControl w:val="0"/>
              <w:adjustRightInd w:val="0"/>
              <w:snapToGrid w:val="0"/>
              <w:spacing w:before="0" w:beforeAutospacing="0" w:after="0" w:afterAutospacing="0"/>
              <w:jc w:val="both"/>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工作温度：</w:t>
            </w:r>
            <w:r w:rsidRPr="008A2411">
              <w:rPr>
                <w:rFonts w:ascii="Times New Roman" w:eastAsia="宋体" w:hAnsi="Times New Roman" w:cs="Times New Roman"/>
                <w:color w:val="000000" w:themeColor="text1"/>
                <w:kern w:val="2"/>
                <w:sz w:val="21"/>
                <w:szCs w:val="21"/>
              </w:rPr>
              <w:t>-60℃</w:t>
            </w:r>
          </w:p>
          <w:p w14:paraId="349C5672" w14:textId="77777777" w:rsidR="00B0005F" w:rsidRPr="008A2411" w:rsidRDefault="00000000">
            <w:pPr>
              <w:pStyle w:val="affff2"/>
              <w:widowControl w:val="0"/>
              <w:adjustRightInd w:val="0"/>
              <w:snapToGrid w:val="0"/>
              <w:spacing w:before="0" w:beforeAutospacing="0" w:after="0" w:afterAutospacing="0"/>
              <w:jc w:val="both"/>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工作压力：</w:t>
            </w:r>
            <w:r w:rsidRPr="008A2411">
              <w:rPr>
                <w:rFonts w:ascii="Times New Roman" w:eastAsia="宋体" w:hAnsi="Times New Roman" w:cs="Times New Roman"/>
                <w:color w:val="000000" w:themeColor="text1"/>
                <w:kern w:val="2"/>
                <w:sz w:val="21"/>
                <w:szCs w:val="21"/>
              </w:rPr>
              <w:t>4.8MPa</w:t>
            </w:r>
          </w:p>
        </w:tc>
        <w:tc>
          <w:tcPr>
            <w:tcW w:w="1409" w:type="dxa"/>
            <w:vAlign w:val="center"/>
          </w:tcPr>
          <w:p w14:paraId="6CAD1008"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304</w:t>
            </w:r>
          </w:p>
        </w:tc>
      </w:tr>
      <w:tr w:rsidR="008A2411" w:rsidRPr="008A2411" w14:paraId="3B7782FA" w14:textId="77777777">
        <w:trPr>
          <w:tblHeader/>
          <w:jc w:val="center"/>
        </w:trPr>
        <w:tc>
          <w:tcPr>
            <w:tcW w:w="631" w:type="dxa"/>
            <w:vMerge/>
            <w:vAlign w:val="center"/>
          </w:tcPr>
          <w:p w14:paraId="0F28FCBD"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3274A4F2"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3FE899ED"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混合冷剂低温分离器</w:t>
            </w:r>
          </w:p>
        </w:tc>
        <w:tc>
          <w:tcPr>
            <w:tcW w:w="1005" w:type="dxa"/>
            <w:vAlign w:val="center"/>
          </w:tcPr>
          <w:p w14:paraId="5965F3E9"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1</w:t>
            </w:r>
          </w:p>
        </w:tc>
        <w:tc>
          <w:tcPr>
            <w:tcW w:w="2745" w:type="dxa"/>
            <w:vAlign w:val="center"/>
          </w:tcPr>
          <w:p w14:paraId="374B112E" w14:textId="77777777" w:rsidR="00B0005F" w:rsidRPr="008A2411" w:rsidRDefault="00000000">
            <w:pPr>
              <w:pStyle w:val="affff2"/>
              <w:widowControl w:val="0"/>
              <w:adjustRightInd w:val="0"/>
              <w:snapToGrid w:val="0"/>
              <w:spacing w:before="0" w:beforeAutospacing="0" w:after="0" w:afterAutospacing="0"/>
              <w:jc w:val="both"/>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型</w:t>
            </w:r>
            <w:r w:rsidRPr="008A2411">
              <w:rPr>
                <w:rFonts w:ascii="Times New Roman" w:eastAsia="宋体" w:hAnsi="Times New Roman" w:cs="Times New Roman"/>
                <w:color w:val="000000" w:themeColor="text1"/>
                <w:kern w:val="2"/>
                <w:sz w:val="21"/>
                <w:szCs w:val="21"/>
              </w:rPr>
              <w:t xml:space="preserve">    </w:t>
            </w:r>
            <w:r w:rsidRPr="008A2411">
              <w:rPr>
                <w:rFonts w:ascii="Times New Roman" w:eastAsia="宋体" w:hAnsi="Times New Roman" w:cs="Times New Roman"/>
                <w:color w:val="000000" w:themeColor="text1"/>
                <w:kern w:val="2"/>
                <w:sz w:val="21"/>
                <w:szCs w:val="21"/>
              </w:rPr>
              <w:t>式：立式</w:t>
            </w:r>
          </w:p>
          <w:p w14:paraId="55DEDBE4" w14:textId="77777777" w:rsidR="00B0005F" w:rsidRPr="008A2411" w:rsidRDefault="00000000">
            <w:pPr>
              <w:pStyle w:val="affff2"/>
              <w:widowControl w:val="0"/>
              <w:adjustRightInd w:val="0"/>
              <w:snapToGrid w:val="0"/>
              <w:spacing w:before="0" w:beforeAutospacing="0" w:after="0" w:afterAutospacing="0"/>
              <w:jc w:val="both"/>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工作温度：</w:t>
            </w:r>
            <w:r w:rsidRPr="008A2411">
              <w:rPr>
                <w:rFonts w:ascii="Times New Roman" w:eastAsia="宋体" w:hAnsi="Times New Roman" w:cs="Times New Roman"/>
                <w:color w:val="000000" w:themeColor="text1"/>
                <w:kern w:val="2"/>
                <w:sz w:val="21"/>
                <w:szCs w:val="21"/>
              </w:rPr>
              <w:t>-25℃</w:t>
            </w:r>
          </w:p>
          <w:p w14:paraId="61A68CEC" w14:textId="77777777" w:rsidR="00B0005F" w:rsidRPr="008A2411" w:rsidRDefault="00000000">
            <w:pPr>
              <w:pStyle w:val="affff2"/>
              <w:widowControl w:val="0"/>
              <w:adjustRightInd w:val="0"/>
              <w:snapToGrid w:val="0"/>
              <w:spacing w:before="0" w:beforeAutospacing="0" w:after="0" w:afterAutospacing="0"/>
              <w:jc w:val="both"/>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工作压力：</w:t>
            </w:r>
            <w:r w:rsidRPr="008A2411">
              <w:rPr>
                <w:rFonts w:ascii="Times New Roman" w:eastAsia="宋体" w:hAnsi="Times New Roman" w:cs="Times New Roman"/>
                <w:color w:val="000000" w:themeColor="text1"/>
                <w:kern w:val="2"/>
                <w:sz w:val="21"/>
                <w:szCs w:val="21"/>
              </w:rPr>
              <w:t>3.53MPa.A</w:t>
            </w:r>
          </w:p>
        </w:tc>
        <w:tc>
          <w:tcPr>
            <w:tcW w:w="1409" w:type="dxa"/>
            <w:vAlign w:val="center"/>
          </w:tcPr>
          <w:p w14:paraId="4D79246F"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304</w:t>
            </w:r>
          </w:p>
        </w:tc>
      </w:tr>
      <w:tr w:rsidR="008A2411" w:rsidRPr="008A2411" w14:paraId="345ED5AB" w14:textId="77777777">
        <w:trPr>
          <w:tblHeader/>
          <w:jc w:val="center"/>
        </w:trPr>
        <w:tc>
          <w:tcPr>
            <w:tcW w:w="631" w:type="dxa"/>
            <w:vMerge/>
            <w:vAlign w:val="center"/>
          </w:tcPr>
          <w:p w14:paraId="72E883B0"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5D10F318"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6E4AB8C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换热器组</w:t>
            </w:r>
          </w:p>
        </w:tc>
        <w:tc>
          <w:tcPr>
            <w:tcW w:w="1005" w:type="dxa"/>
            <w:vAlign w:val="center"/>
          </w:tcPr>
          <w:p w14:paraId="43A0B5EA"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1</w:t>
            </w:r>
          </w:p>
        </w:tc>
        <w:tc>
          <w:tcPr>
            <w:tcW w:w="2745" w:type="dxa"/>
            <w:vAlign w:val="center"/>
          </w:tcPr>
          <w:p w14:paraId="076FAE40" w14:textId="77777777" w:rsidR="00B0005F" w:rsidRPr="008A2411" w:rsidRDefault="00000000">
            <w:pPr>
              <w:pStyle w:val="affff2"/>
              <w:widowControl w:val="0"/>
              <w:adjustRightInd w:val="0"/>
              <w:snapToGrid w:val="0"/>
              <w:spacing w:before="0" w:beforeAutospacing="0" w:after="0" w:afterAutospacing="0"/>
              <w:jc w:val="both"/>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型</w:t>
            </w:r>
            <w:r w:rsidRPr="008A2411">
              <w:rPr>
                <w:rFonts w:ascii="Times New Roman" w:eastAsia="宋体" w:hAnsi="Times New Roman" w:cs="Times New Roman"/>
                <w:color w:val="000000" w:themeColor="text1"/>
                <w:kern w:val="2"/>
                <w:sz w:val="21"/>
                <w:szCs w:val="21"/>
              </w:rPr>
              <w:t xml:space="preserve">    </w:t>
            </w:r>
            <w:r w:rsidRPr="008A2411">
              <w:rPr>
                <w:rFonts w:ascii="Times New Roman" w:eastAsia="宋体" w:hAnsi="Times New Roman" w:cs="Times New Roman"/>
                <w:color w:val="000000" w:themeColor="text1"/>
                <w:kern w:val="2"/>
                <w:sz w:val="21"/>
                <w:szCs w:val="21"/>
              </w:rPr>
              <w:t>式：立式</w:t>
            </w:r>
          </w:p>
          <w:p w14:paraId="627C715D" w14:textId="77777777" w:rsidR="00B0005F" w:rsidRPr="008A2411" w:rsidRDefault="00000000">
            <w:pPr>
              <w:pStyle w:val="affff2"/>
              <w:widowControl w:val="0"/>
              <w:adjustRightInd w:val="0"/>
              <w:snapToGrid w:val="0"/>
              <w:spacing w:before="0" w:beforeAutospacing="0" w:after="0" w:afterAutospacing="0"/>
              <w:jc w:val="both"/>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工作温度：</w:t>
            </w:r>
            <w:r w:rsidRPr="008A2411">
              <w:rPr>
                <w:rFonts w:ascii="Times New Roman" w:eastAsia="宋体" w:hAnsi="Times New Roman" w:cs="Times New Roman"/>
                <w:color w:val="000000" w:themeColor="text1"/>
                <w:kern w:val="2"/>
                <w:sz w:val="21"/>
                <w:szCs w:val="21"/>
              </w:rPr>
              <w:t>-60℃</w:t>
            </w:r>
          </w:p>
          <w:p w14:paraId="5B15EBC1" w14:textId="77777777" w:rsidR="00B0005F" w:rsidRPr="008A2411" w:rsidRDefault="00000000">
            <w:pPr>
              <w:pStyle w:val="affff2"/>
              <w:widowControl w:val="0"/>
              <w:adjustRightInd w:val="0"/>
              <w:snapToGrid w:val="0"/>
              <w:spacing w:before="0" w:beforeAutospacing="0" w:after="0" w:afterAutospacing="0"/>
              <w:jc w:val="both"/>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工作压力：</w:t>
            </w:r>
            <w:r w:rsidRPr="008A2411">
              <w:rPr>
                <w:rFonts w:ascii="Times New Roman" w:eastAsia="宋体" w:hAnsi="Times New Roman" w:cs="Times New Roman"/>
                <w:color w:val="000000" w:themeColor="text1"/>
                <w:kern w:val="2"/>
                <w:sz w:val="21"/>
                <w:szCs w:val="21"/>
              </w:rPr>
              <w:t>4.8MPa</w:t>
            </w:r>
          </w:p>
        </w:tc>
        <w:tc>
          <w:tcPr>
            <w:tcW w:w="1409" w:type="dxa"/>
            <w:vAlign w:val="center"/>
          </w:tcPr>
          <w:p w14:paraId="73022553" w14:textId="77777777" w:rsidR="00B0005F" w:rsidRPr="008A2411" w:rsidRDefault="00B0005F">
            <w:pPr>
              <w:pStyle w:val="affff2"/>
              <w:widowControl w:val="0"/>
              <w:adjustRightInd w:val="0"/>
              <w:snapToGrid w:val="0"/>
              <w:spacing w:before="0" w:beforeAutospacing="0" w:after="0" w:afterAutospacing="0"/>
              <w:jc w:val="both"/>
              <w:rPr>
                <w:rFonts w:ascii="Times New Roman" w:eastAsia="宋体" w:hAnsi="Times New Roman" w:cs="Times New Roman"/>
                <w:color w:val="000000" w:themeColor="text1"/>
                <w:kern w:val="2"/>
                <w:sz w:val="21"/>
                <w:szCs w:val="21"/>
              </w:rPr>
            </w:pPr>
          </w:p>
        </w:tc>
      </w:tr>
      <w:tr w:rsidR="008A2411" w:rsidRPr="008A2411" w14:paraId="4AD5B1BE" w14:textId="77777777">
        <w:trPr>
          <w:tblHeader/>
          <w:jc w:val="center"/>
        </w:trPr>
        <w:tc>
          <w:tcPr>
            <w:tcW w:w="631" w:type="dxa"/>
            <w:vMerge/>
            <w:vAlign w:val="center"/>
          </w:tcPr>
          <w:p w14:paraId="3537C5FB"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37B30540"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69DD44A2"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proofErr w:type="gramStart"/>
            <w:r w:rsidRPr="008A2411">
              <w:rPr>
                <w:rFonts w:ascii="Times New Roman" w:eastAsia="宋体" w:hAnsi="Times New Roman" w:cs="Times New Roman"/>
                <w:color w:val="000000" w:themeColor="text1"/>
                <w:kern w:val="2"/>
                <w:sz w:val="21"/>
                <w:szCs w:val="21"/>
              </w:rPr>
              <w:t>冷箱壳体</w:t>
            </w:r>
            <w:proofErr w:type="gramEnd"/>
          </w:p>
        </w:tc>
        <w:tc>
          <w:tcPr>
            <w:tcW w:w="1005" w:type="dxa"/>
            <w:vAlign w:val="center"/>
          </w:tcPr>
          <w:p w14:paraId="689EF9A1"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1</w:t>
            </w:r>
          </w:p>
        </w:tc>
        <w:tc>
          <w:tcPr>
            <w:tcW w:w="2745" w:type="dxa"/>
            <w:vAlign w:val="center"/>
          </w:tcPr>
          <w:p w14:paraId="35DB7C37" w14:textId="77777777" w:rsidR="00B0005F" w:rsidRPr="008A2411" w:rsidRDefault="00000000">
            <w:pPr>
              <w:pStyle w:val="affff2"/>
              <w:widowControl w:val="0"/>
              <w:adjustRightInd w:val="0"/>
              <w:snapToGrid w:val="0"/>
              <w:spacing w:before="0" w:beforeAutospacing="0" w:after="0" w:afterAutospacing="0"/>
              <w:jc w:val="both"/>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型</w:t>
            </w:r>
            <w:r w:rsidRPr="008A2411">
              <w:rPr>
                <w:rFonts w:ascii="Times New Roman" w:eastAsia="宋体" w:hAnsi="Times New Roman" w:cs="Times New Roman"/>
                <w:color w:val="000000" w:themeColor="text1"/>
                <w:kern w:val="2"/>
                <w:sz w:val="21"/>
                <w:szCs w:val="21"/>
              </w:rPr>
              <w:t xml:space="preserve">    </w:t>
            </w:r>
            <w:r w:rsidRPr="008A2411">
              <w:rPr>
                <w:rFonts w:ascii="Times New Roman" w:eastAsia="宋体" w:hAnsi="Times New Roman" w:cs="Times New Roman"/>
                <w:color w:val="000000" w:themeColor="text1"/>
                <w:kern w:val="2"/>
                <w:sz w:val="21"/>
                <w:szCs w:val="21"/>
              </w:rPr>
              <w:t>式：立式</w:t>
            </w:r>
          </w:p>
          <w:p w14:paraId="403924F2" w14:textId="77777777" w:rsidR="00B0005F" w:rsidRPr="008A2411" w:rsidRDefault="00000000">
            <w:pPr>
              <w:pStyle w:val="affff2"/>
              <w:widowControl w:val="0"/>
              <w:adjustRightInd w:val="0"/>
              <w:snapToGrid w:val="0"/>
              <w:spacing w:before="0" w:beforeAutospacing="0" w:after="0" w:afterAutospacing="0"/>
              <w:jc w:val="both"/>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工作温度：</w:t>
            </w:r>
            <w:r w:rsidRPr="008A2411">
              <w:rPr>
                <w:rFonts w:ascii="Times New Roman" w:eastAsia="宋体" w:hAnsi="Times New Roman" w:cs="Times New Roman"/>
                <w:color w:val="000000" w:themeColor="text1"/>
                <w:kern w:val="2"/>
                <w:sz w:val="21"/>
                <w:szCs w:val="21"/>
              </w:rPr>
              <w:t>-25℃</w:t>
            </w:r>
          </w:p>
          <w:p w14:paraId="6B4B1F05" w14:textId="77777777" w:rsidR="00B0005F" w:rsidRPr="008A2411" w:rsidRDefault="00000000">
            <w:pPr>
              <w:pStyle w:val="affff2"/>
              <w:widowControl w:val="0"/>
              <w:adjustRightInd w:val="0"/>
              <w:snapToGrid w:val="0"/>
              <w:spacing w:before="0" w:beforeAutospacing="0" w:after="0" w:afterAutospacing="0"/>
              <w:jc w:val="both"/>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工作压力：</w:t>
            </w:r>
            <w:r w:rsidRPr="008A2411">
              <w:rPr>
                <w:rFonts w:ascii="Times New Roman" w:eastAsia="宋体" w:hAnsi="Times New Roman" w:cs="Times New Roman"/>
                <w:color w:val="000000" w:themeColor="text1"/>
                <w:kern w:val="2"/>
                <w:sz w:val="21"/>
                <w:szCs w:val="21"/>
              </w:rPr>
              <w:t>3.53MPa.A</w:t>
            </w:r>
          </w:p>
        </w:tc>
        <w:tc>
          <w:tcPr>
            <w:tcW w:w="1409" w:type="dxa"/>
            <w:vAlign w:val="center"/>
          </w:tcPr>
          <w:p w14:paraId="3BF1EB1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组合件</w:t>
            </w:r>
          </w:p>
        </w:tc>
      </w:tr>
      <w:tr w:rsidR="008A2411" w:rsidRPr="008A2411" w14:paraId="67091752" w14:textId="77777777">
        <w:trPr>
          <w:tblHeader/>
          <w:jc w:val="center"/>
        </w:trPr>
        <w:tc>
          <w:tcPr>
            <w:tcW w:w="631" w:type="dxa"/>
            <w:vMerge/>
            <w:vAlign w:val="center"/>
          </w:tcPr>
          <w:p w14:paraId="0310A9AF" w14:textId="77777777" w:rsidR="00B0005F" w:rsidRPr="008A2411" w:rsidRDefault="00B0005F">
            <w:pPr>
              <w:pStyle w:val="WJ4"/>
              <w:spacing w:line="240" w:lineRule="auto"/>
              <w:rPr>
                <w:rFonts w:ascii="Times New Roman" w:hAnsi="Times New Roman"/>
                <w:color w:val="000000" w:themeColor="text1"/>
              </w:rPr>
            </w:pPr>
          </w:p>
        </w:tc>
        <w:tc>
          <w:tcPr>
            <w:tcW w:w="978" w:type="dxa"/>
            <w:vMerge w:val="restart"/>
            <w:vAlign w:val="center"/>
          </w:tcPr>
          <w:p w14:paraId="314A4204"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kern w:val="2"/>
                <w:lang w:bidi="ar"/>
              </w:rPr>
              <w:t>混合冷剂压缩系统</w:t>
            </w:r>
          </w:p>
        </w:tc>
        <w:tc>
          <w:tcPr>
            <w:tcW w:w="1754" w:type="dxa"/>
            <w:gridSpan w:val="2"/>
            <w:vAlign w:val="center"/>
          </w:tcPr>
          <w:p w14:paraId="08D36A14" w14:textId="77777777" w:rsidR="00B0005F" w:rsidRPr="008A2411" w:rsidRDefault="00000000">
            <w:pPr>
              <w:pStyle w:val="affff2"/>
              <w:widowControl w:val="0"/>
              <w:adjustRightInd w:val="0"/>
              <w:snapToGrid w:val="0"/>
              <w:spacing w:before="0" w:beforeAutospacing="0" w:after="0" w:afterAutospacing="0"/>
              <w:jc w:val="both"/>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混合工质低压平衡罐</w:t>
            </w:r>
          </w:p>
        </w:tc>
        <w:tc>
          <w:tcPr>
            <w:tcW w:w="1005" w:type="dxa"/>
            <w:vAlign w:val="center"/>
          </w:tcPr>
          <w:p w14:paraId="3199247C"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1</w:t>
            </w:r>
          </w:p>
        </w:tc>
        <w:tc>
          <w:tcPr>
            <w:tcW w:w="2745" w:type="dxa"/>
            <w:vAlign w:val="center"/>
          </w:tcPr>
          <w:p w14:paraId="5B196AC2" w14:textId="77777777" w:rsidR="00B0005F" w:rsidRPr="008A2411" w:rsidRDefault="00000000">
            <w:pPr>
              <w:pStyle w:val="affff2"/>
              <w:widowControl w:val="0"/>
              <w:adjustRightInd w:val="0"/>
              <w:snapToGrid w:val="0"/>
              <w:spacing w:before="0" w:beforeAutospacing="0" w:after="0" w:afterAutospacing="0"/>
              <w:jc w:val="both"/>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工作介质：混合工质</w:t>
            </w:r>
          </w:p>
          <w:p w14:paraId="792179C7" w14:textId="77777777" w:rsidR="00B0005F" w:rsidRPr="008A2411" w:rsidRDefault="00000000">
            <w:pPr>
              <w:pStyle w:val="affff2"/>
              <w:widowControl w:val="0"/>
              <w:adjustRightInd w:val="0"/>
              <w:snapToGrid w:val="0"/>
              <w:spacing w:before="0" w:beforeAutospacing="0" w:after="0" w:afterAutospacing="0"/>
              <w:jc w:val="both"/>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容</w:t>
            </w:r>
            <w:r w:rsidRPr="008A2411">
              <w:rPr>
                <w:rFonts w:ascii="Times New Roman" w:eastAsia="宋体" w:hAnsi="Times New Roman" w:cs="Times New Roman"/>
                <w:color w:val="000000" w:themeColor="text1"/>
                <w:kern w:val="2"/>
                <w:sz w:val="21"/>
                <w:szCs w:val="21"/>
              </w:rPr>
              <w:t xml:space="preserve">    </w:t>
            </w:r>
            <w:r w:rsidRPr="008A2411">
              <w:rPr>
                <w:rFonts w:ascii="Times New Roman" w:eastAsia="宋体" w:hAnsi="Times New Roman" w:cs="Times New Roman"/>
                <w:color w:val="000000" w:themeColor="text1"/>
                <w:kern w:val="2"/>
                <w:sz w:val="21"/>
                <w:szCs w:val="21"/>
              </w:rPr>
              <w:t>积：</w:t>
            </w:r>
            <w:r w:rsidRPr="008A2411">
              <w:rPr>
                <w:rFonts w:ascii="Times New Roman" w:eastAsia="宋体" w:hAnsi="Times New Roman" w:cs="Times New Roman"/>
                <w:color w:val="000000" w:themeColor="text1"/>
                <w:kern w:val="2"/>
                <w:sz w:val="21"/>
                <w:szCs w:val="21"/>
              </w:rPr>
              <w:t>30m</w:t>
            </w:r>
            <w:r w:rsidRPr="008A2411">
              <w:rPr>
                <w:rFonts w:ascii="Times New Roman" w:eastAsia="宋体" w:hAnsi="Times New Roman" w:cs="Times New Roman"/>
                <w:color w:val="000000" w:themeColor="text1"/>
                <w:kern w:val="2"/>
                <w:sz w:val="21"/>
                <w:szCs w:val="21"/>
                <w:vertAlign w:val="superscript"/>
              </w:rPr>
              <w:t>3</w:t>
            </w:r>
          </w:p>
          <w:p w14:paraId="1449B750" w14:textId="77777777" w:rsidR="00B0005F" w:rsidRPr="008A2411" w:rsidRDefault="00000000">
            <w:pPr>
              <w:pStyle w:val="affff2"/>
              <w:widowControl w:val="0"/>
              <w:adjustRightInd w:val="0"/>
              <w:snapToGrid w:val="0"/>
              <w:spacing w:before="0" w:beforeAutospacing="0" w:after="0" w:afterAutospacing="0"/>
              <w:jc w:val="both"/>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工作压力：</w:t>
            </w:r>
            <w:r w:rsidRPr="008A2411">
              <w:rPr>
                <w:rFonts w:ascii="Times New Roman" w:eastAsia="宋体" w:hAnsi="Times New Roman" w:cs="Times New Roman"/>
                <w:color w:val="000000" w:themeColor="text1"/>
                <w:kern w:val="2"/>
                <w:sz w:val="21"/>
                <w:szCs w:val="21"/>
              </w:rPr>
              <w:t>0.414MPa.A</w:t>
            </w:r>
          </w:p>
          <w:p w14:paraId="6B0A40D1" w14:textId="77777777" w:rsidR="00B0005F" w:rsidRPr="008A2411" w:rsidRDefault="00000000">
            <w:pPr>
              <w:pStyle w:val="affff2"/>
              <w:widowControl w:val="0"/>
              <w:adjustRightInd w:val="0"/>
              <w:snapToGrid w:val="0"/>
              <w:spacing w:before="0" w:beforeAutospacing="0" w:after="0" w:afterAutospacing="0"/>
              <w:jc w:val="both"/>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工作温度：</w:t>
            </w:r>
            <w:r w:rsidRPr="008A2411">
              <w:rPr>
                <w:rFonts w:ascii="Times New Roman" w:eastAsia="宋体" w:hAnsi="Times New Roman" w:cs="Times New Roman"/>
                <w:color w:val="000000" w:themeColor="text1"/>
                <w:kern w:val="2"/>
                <w:sz w:val="21"/>
                <w:szCs w:val="21"/>
              </w:rPr>
              <w:t>37℃</w:t>
            </w:r>
          </w:p>
        </w:tc>
        <w:tc>
          <w:tcPr>
            <w:tcW w:w="1409" w:type="dxa"/>
            <w:vAlign w:val="center"/>
          </w:tcPr>
          <w:p w14:paraId="03657A15"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碳钢</w:t>
            </w:r>
          </w:p>
        </w:tc>
      </w:tr>
      <w:tr w:rsidR="008A2411" w:rsidRPr="008A2411" w14:paraId="161A413D" w14:textId="77777777">
        <w:trPr>
          <w:tblHeader/>
          <w:jc w:val="center"/>
        </w:trPr>
        <w:tc>
          <w:tcPr>
            <w:tcW w:w="631" w:type="dxa"/>
            <w:vMerge/>
            <w:vAlign w:val="center"/>
          </w:tcPr>
          <w:p w14:paraId="62D09E9F"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786220EF"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67967598" w14:textId="77777777" w:rsidR="00B0005F" w:rsidRPr="008A2411" w:rsidRDefault="00000000">
            <w:pPr>
              <w:pStyle w:val="affff2"/>
              <w:widowControl w:val="0"/>
              <w:adjustRightInd w:val="0"/>
              <w:snapToGrid w:val="0"/>
              <w:spacing w:before="0" w:beforeAutospacing="0" w:after="0" w:afterAutospacing="0"/>
              <w:jc w:val="both"/>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混合冷剂压缩机组</w:t>
            </w:r>
          </w:p>
        </w:tc>
        <w:tc>
          <w:tcPr>
            <w:tcW w:w="1005" w:type="dxa"/>
            <w:vAlign w:val="center"/>
          </w:tcPr>
          <w:p w14:paraId="122A4354"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1</w:t>
            </w:r>
          </w:p>
        </w:tc>
        <w:tc>
          <w:tcPr>
            <w:tcW w:w="2745" w:type="dxa"/>
            <w:vAlign w:val="center"/>
          </w:tcPr>
          <w:p w14:paraId="7A65B1B2" w14:textId="77777777" w:rsidR="00B0005F" w:rsidRPr="008A2411" w:rsidRDefault="00000000">
            <w:pPr>
              <w:pStyle w:val="affff2"/>
              <w:widowControl w:val="0"/>
              <w:adjustRightInd w:val="0"/>
              <w:snapToGrid w:val="0"/>
              <w:spacing w:before="0" w:beforeAutospacing="0" w:after="0" w:afterAutospacing="0"/>
              <w:jc w:val="both"/>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型式：离心式</w:t>
            </w:r>
          </w:p>
          <w:p w14:paraId="2A5F051B" w14:textId="77777777" w:rsidR="00B0005F" w:rsidRPr="008A2411" w:rsidRDefault="00000000">
            <w:pPr>
              <w:pStyle w:val="affff2"/>
              <w:widowControl w:val="0"/>
              <w:adjustRightInd w:val="0"/>
              <w:snapToGrid w:val="0"/>
              <w:spacing w:before="0" w:beforeAutospacing="0" w:after="0" w:afterAutospacing="0"/>
              <w:jc w:val="both"/>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工作介质：混合冷剂</w:t>
            </w:r>
          </w:p>
          <w:p w14:paraId="1A53B800" w14:textId="77777777" w:rsidR="00B0005F" w:rsidRPr="008A2411" w:rsidRDefault="00000000">
            <w:pPr>
              <w:pStyle w:val="affff2"/>
              <w:widowControl w:val="0"/>
              <w:adjustRightInd w:val="0"/>
              <w:snapToGrid w:val="0"/>
              <w:spacing w:before="0" w:beforeAutospacing="0" w:after="0" w:afterAutospacing="0"/>
              <w:jc w:val="both"/>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进气压力：</w:t>
            </w:r>
            <w:r w:rsidRPr="008A2411">
              <w:rPr>
                <w:rFonts w:ascii="Times New Roman" w:eastAsia="宋体" w:hAnsi="Times New Roman" w:cs="Times New Roman"/>
                <w:color w:val="000000" w:themeColor="text1"/>
                <w:kern w:val="2"/>
                <w:sz w:val="21"/>
                <w:szCs w:val="21"/>
              </w:rPr>
              <w:t>0.414MPa.A</w:t>
            </w:r>
          </w:p>
          <w:p w14:paraId="18C68DA7" w14:textId="77777777" w:rsidR="00B0005F" w:rsidRPr="008A2411" w:rsidRDefault="00000000">
            <w:pPr>
              <w:pStyle w:val="affff2"/>
              <w:widowControl w:val="0"/>
              <w:adjustRightInd w:val="0"/>
              <w:snapToGrid w:val="0"/>
              <w:spacing w:before="0" w:beforeAutospacing="0" w:after="0" w:afterAutospacing="0"/>
              <w:jc w:val="both"/>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排气压力：</w:t>
            </w:r>
            <w:r w:rsidRPr="008A2411">
              <w:rPr>
                <w:rFonts w:ascii="Times New Roman" w:eastAsia="宋体" w:hAnsi="Times New Roman" w:cs="Times New Roman"/>
                <w:color w:val="000000" w:themeColor="text1"/>
                <w:kern w:val="2"/>
                <w:sz w:val="21"/>
                <w:szCs w:val="21"/>
              </w:rPr>
              <w:t>3.53MPa.A</w:t>
            </w:r>
          </w:p>
          <w:p w14:paraId="1434F53F" w14:textId="77777777" w:rsidR="00B0005F" w:rsidRPr="008A2411" w:rsidRDefault="00000000">
            <w:pPr>
              <w:pStyle w:val="affff2"/>
              <w:widowControl w:val="0"/>
              <w:adjustRightInd w:val="0"/>
              <w:snapToGrid w:val="0"/>
              <w:spacing w:before="0" w:beforeAutospacing="0" w:after="0" w:afterAutospacing="0"/>
              <w:jc w:val="both"/>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进气温度：</w:t>
            </w:r>
            <w:r w:rsidRPr="008A2411">
              <w:rPr>
                <w:rFonts w:ascii="Times New Roman" w:eastAsia="宋体" w:hAnsi="Times New Roman" w:cs="Times New Roman"/>
                <w:color w:val="000000" w:themeColor="text1"/>
                <w:kern w:val="2"/>
                <w:sz w:val="21"/>
                <w:szCs w:val="21"/>
              </w:rPr>
              <w:t>37℃</w:t>
            </w:r>
          </w:p>
          <w:p w14:paraId="4EB1207E" w14:textId="77777777" w:rsidR="00B0005F" w:rsidRPr="008A2411" w:rsidRDefault="00000000">
            <w:pPr>
              <w:pStyle w:val="affff2"/>
              <w:widowControl w:val="0"/>
              <w:adjustRightInd w:val="0"/>
              <w:snapToGrid w:val="0"/>
              <w:spacing w:before="0" w:beforeAutospacing="0" w:after="0" w:afterAutospacing="0"/>
              <w:jc w:val="both"/>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排气温度：</w:t>
            </w:r>
            <w:r w:rsidRPr="008A2411">
              <w:rPr>
                <w:rFonts w:ascii="Times New Roman" w:eastAsia="宋体" w:hAnsi="Times New Roman" w:cs="Times New Roman"/>
                <w:color w:val="000000" w:themeColor="text1"/>
                <w:kern w:val="2"/>
                <w:sz w:val="21"/>
                <w:szCs w:val="21"/>
              </w:rPr>
              <w:t>40℃</w:t>
            </w:r>
            <w:r w:rsidRPr="008A2411">
              <w:rPr>
                <w:rFonts w:ascii="Times New Roman" w:eastAsia="宋体" w:hAnsi="Times New Roman" w:cs="Times New Roman"/>
                <w:color w:val="000000" w:themeColor="text1"/>
                <w:kern w:val="2"/>
                <w:sz w:val="21"/>
                <w:szCs w:val="21"/>
              </w:rPr>
              <w:t>（水冷后）</w:t>
            </w:r>
          </w:p>
        </w:tc>
        <w:tc>
          <w:tcPr>
            <w:tcW w:w="1409" w:type="dxa"/>
            <w:vAlign w:val="center"/>
          </w:tcPr>
          <w:p w14:paraId="7C385ADC"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组合件</w:t>
            </w:r>
          </w:p>
          <w:p w14:paraId="1902A901"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（包括分离器及冷却器等辅机）</w:t>
            </w:r>
          </w:p>
        </w:tc>
      </w:tr>
      <w:tr w:rsidR="008A2411" w:rsidRPr="008A2411" w14:paraId="4EB404E6" w14:textId="77777777">
        <w:trPr>
          <w:tblHeader/>
          <w:jc w:val="center"/>
        </w:trPr>
        <w:tc>
          <w:tcPr>
            <w:tcW w:w="631" w:type="dxa"/>
            <w:vMerge/>
            <w:vAlign w:val="center"/>
          </w:tcPr>
          <w:p w14:paraId="08458BA5"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6F0ADB2E"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0E87744B"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bCs/>
                <w:color w:val="000000" w:themeColor="text1"/>
                <w:kern w:val="2"/>
                <w:sz w:val="21"/>
                <w:szCs w:val="21"/>
                <w:lang w:bidi="ar"/>
              </w:rPr>
              <w:t>冷剂回收罐</w:t>
            </w:r>
          </w:p>
        </w:tc>
        <w:tc>
          <w:tcPr>
            <w:tcW w:w="1005" w:type="dxa"/>
            <w:vAlign w:val="center"/>
          </w:tcPr>
          <w:p w14:paraId="7D850908"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1</w:t>
            </w:r>
          </w:p>
        </w:tc>
        <w:tc>
          <w:tcPr>
            <w:tcW w:w="2745" w:type="dxa"/>
            <w:vAlign w:val="center"/>
          </w:tcPr>
          <w:p w14:paraId="73B8630D"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工作介质：混合制冷剂</w:t>
            </w:r>
          </w:p>
          <w:p w14:paraId="03BCE057"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设计温度：</w:t>
            </w:r>
            <w:r w:rsidRPr="008A2411">
              <w:rPr>
                <w:rFonts w:ascii="Times New Roman" w:eastAsia="宋体" w:hAnsi="Times New Roman" w:cs="Times New Roman"/>
                <w:color w:val="000000" w:themeColor="text1"/>
                <w:kern w:val="2"/>
                <w:sz w:val="21"/>
                <w:szCs w:val="21"/>
              </w:rPr>
              <w:t>50℃</w:t>
            </w:r>
          </w:p>
          <w:p w14:paraId="7FF70B65"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设计压力：</w:t>
            </w:r>
            <w:r w:rsidRPr="008A2411">
              <w:rPr>
                <w:rFonts w:ascii="Times New Roman" w:eastAsia="宋体" w:hAnsi="Times New Roman" w:cs="Times New Roman"/>
                <w:color w:val="000000" w:themeColor="text1"/>
                <w:kern w:val="2"/>
                <w:sz w:val="21"/>
                <w:szCs w:val="21"/>
              </w:rPr>
              <w:t>4.0Mpa</w:t>
            </w:r>
          </w:p>
          <w:p w14:paraId="437D1ED2"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容积：</w:t>
            </w:r>
            <w:r w:rsidRPr="008A2411">
              <w:rPr>
                <w:rFonts w:ascii="Times New Roman" w:eastAsia="宋体" w:hAnsi="Times New Roman" w:cs="Times New Roman"/>
                <w:color w:val="000000" w:themeColor="text1"/>
                <w:kern w:val="2"/>
                <w:sz w:val="21"/>
                <w:szCs w:val="21"/>
              </w:rPr>
              <w:t>30m</w:t>
            </w:r>
            <w:r w:rsidRPr="008A2411">
              <w:rPr>
                <w:rFonts w:ascii="Times New Roman" w:eastAsia="宋体" w:hAnsi="Times New Roman" w:cs="Times New Roman"/>
                <w:color w:val="000000" w:themeColor="text1"/>
                <w:kern w:val="2"/>
                <w:sz w:val="21"/>
                <w:szCs w:val="21"/>
                <w:vertAlign w:val="superscript"/>
              </w:rPr>
              <w:t>3</w:t>
            </w:r>
          </w:p>
        </w:tc>
        <w:tc>
          <w:tcPr>
            <w:tcW w:w="1409" w:type="dxa"/>
            <w:vAlign w:val="center"/>
          </w:tcPr>
          <w:p w14:paraId="32144551"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碳钢</w:t>
            </w:r>
          </w:p>
        </w:tc>
      </w:tr>
      <w:tr w:rsidR="008A2411" w:rsidRPr="008A2411" w14:paraId="0ABE75CB" w14:textId="77777777">
        <w:trPr>
          <w:tblHeader/>
          <w:jc w:val="center"/>
        </w:trPr>
        <w:tc>
          <w:tcPr>
            <w:tcW w:w="631" w:type="dxa"/>
            <w:vMerge/>
            <w:vAlign w:val="center"/>
          </w:tcPr>
          <w:p w14:paraId="6B2CC88A" w14:textId="77777777" w:rsidR="00B0005F" w:rsidRPr="008A2411" w:rsidRDefault="00B0005F">
            <w:pPr>
              <w:pStyle w:val="WJ4"/>
              <w:spacing w:line="240" w:lineRule="auto"/>
              <w:rPr>
                <w:rFonts w:ascii="Times New Roman" w:hAnsi="Times New Roman"/>
                <w:color w:val="000000" w:themeColor="text1"/>
              </w:rPr>
            </w:pPr>
          </w:p>
        </w:tc>
        <w:tc>
          <w:tcPr>
            <w:tcW w:w="978" w:type="dxa"/>
            <w:vMerge w:val="restart"/>
            <w:vAlign w:val="center"/>
          </w:tcPr>
          <w:p w14:paraId="609F7995" w14:textId="0E54A477" w:rsidR="00B0005F" w:rsidRPr="008A2411" w:rsidRDefault="00000000" w:rsidP="000F6A34">
            <w:pPr>
              <w:pStyle w:val="WJ4"/>
              <w:spacing w:line="240" w:lineRule="auto"/>
              <w:rPr>
                <w:rFonts w:ascii="Times New Roman" w:hAnsi="Times New Roman"/>
                <w:color w:val="000000" w:themeColor="text1"/>
              </w:rPr>
            </w:pPr>
            <w:r w:rsidRPr="008A2411">
              <w:rPr>
                <w:rFonts w:ascii="Times New Roman" w:hAnsi="Times New Roman"/>
                <w:color w:val="000000" w:themeColor="text1"/>
                <w:kern w:val="2"/>
                <w:szCs w:val="24"/>
                <w:lang w:bidi="ar"/>
              </w:rPr>
              <w:t>LNG</w:t>
            </w:r>
            <w:r w:rsidRPr="008A2411">
              <w:rPr>
                <w:rFonts w:ascii="Times New Roman" w:hAnsi="Times New Roman"/>
                <w:color w:val="000000" w:themeColor="text1"/>
                <w:kern w:val="2"/>
                <w:szCs w:val="24"/>
                <w:lang w:bidi="ar"/>
              </w:rPr>
              <w:t>储存及充装系统</w:t>
            </w:r>
          </w:p>
        </w:tc>
        <w:tc>
          <w:tcPr>
            <w:tcW w:w="1754" w:type="dxa"/>
            <w:gridSpan w:val="2"/>
            <w:vAlign w:val="center"/>
          </w:tcPr>
          <w:p w14:paraId="61082716"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LNG</w:t>
            </w:r>
            <w:r w:rsidRPr="008A2411">
              <w:rPr>
                <w:rFonts w:ascii="Times New Roman" w:eastAsia="宋体" w:hAnsi="Times New Roman" w:cs="Times New Roman"/>
                <w:color w:val="000000" w:themeColor="text1"/>
                <w:kern w:val="2"/>
                <w:sz w:val="21"/>
                <w:szCs w:val="21"/>
              </w:rPr>
              <w:t>储罐</w:t>
            </w:r>
          </w:p>
        </w:tc>
        <w:tc>
          <w:tcPr>
            <w:tcW w:w="1005" w:type="dxa"/>
            <w:vAlign w:val="center"/>
          </w:tcPr>
          <w:p w14:paraId="10D06EA8"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1</w:t>
            </w:r>
          </w:p>
        </w:tc>
        <w:tc>
          <w:tcPr>
            <w:tcW w:w="2745" w:type="dxa"/>
            <w:vAlign w:val="center"/>
          </w:tcPr>
          <w:p w14:paraId="2731D995"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储存介质：</w:t>
            </w:r>
            <w:r w:rsidRPr="008A2411">
              <w:rPr>
                <w:rFonts w:ascii="Times New Roman" w:eastAsia="宋体" w:hAnsi="Times New Roman" w:cs="Times New Roman"/>
                <w:color w:val="000000" w:themeColor="text1"/>
                <w:kern w:val="2"/>
                <w:sz w:val="21"/>
                <w:szCs w:val="21"/>
              </w:rPr>
              <w:t>LNG</w:t>
            </w:r>
          </w:p>
          <w:p w14:paraId="3E74E599"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储存容积：</w:t>
            </w:r>
            <w:r w:rsidRPr="008A2411">
              <w:rPr>
                <w:rFonts w:ascii="Times New Roman" w:eastAsia="宋体" w:hAnsi="Times New Roman" w:cs="Times New Roman"/>
                <w:color w:val="000000" w:themeColor="text1"/>
                <w:kern w:val="2"/>
                <w:sz w:val="21"/>
                <w:szCs w:val="21"/>
              </w:rPr>
              <w:t>20000m</w:t>
            </w:r>
            <w:r w:rsidRPr="008A2411">
              <w:rPr>
                <w:rFonts w:ascii="Times New Roman" w:eastAsia="宋体" w:hAnsi="Times New Roman" w:cs="Times New Roman"/>
                <w:color w:val="000000" w:themeColor="text1"/>
                <w:kern w:val="2"/>
                <w:sz w:val="21"/>
                <w:szCs w:val="21"/>
                <w:vertAlign w:val="superscript"/>
              </w:rPr>
              <w:t>3</w:t>
            </w:r>
          </w:p>
          <w:p w14:paraId="2598E877"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储罐压力：</w:t>
            </w:r>
            <w:r w:rsidRPr="008A2411">
              <w:rPr>
                <w:rFonts w:ascii="Times New Roman" w:eastAsia="宋体" w:hAnsi="Times New Roman" w:cs="Times New Roman"/>
                <w:color w:val="000000" w:themeColor="text1"/>
                <w:kern w:val="2"/>
                <w:sz w:val="21"/>
                <w:szCs w:val="21"/>
              </w:rPr>
              <w:t>0.15bar</w:t>
            </w:r>
          </w:p>
          <w:p w14:paraId="761AD473"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设计温度：</w:t>
            </w:r>
            <w:r w:rsidRPr="008A2411">
              <w:rPr>
                <w:rFonts w:ascii="Times New Roman" w:eastAsia="宋体" w:hAnsi="Times New Roman" w:cs="Times New Roman"/>
                <w:color w:val="000000" w:themeColor="text1"/>
                <w:kern w:val="2"/>
                <w:sz w:val="21"/>
                <w:szCs w:val="21"/>
              </w:rPr>
              <w:t>-196℃</w:t>
            </w:r>
          </w:p>
          <w:p w14:paraId="7E553AF5"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日蒸发率：</w:t>
            </w:r>
            <w:r w:rsidRPr="008A2411">
              <w:rPr>
                <w:rFonts w:ascii="Times New Roman" w:eastAsia="宋体" w:hAnsi="Times New Roman" w:cs="Times New Roman"/>
                <w:color w:val="000000" w:themeColor="text1"/>
                <w:kern w:val="2"/>
                <w:sz w:val="21"/>
                <w:szCs w:val="21"/>
              </w:rPr>
              <w:t>≤0.1</w:t>
            </w:r>
          </w:p>
        </w:tc>
        <w:tc>
          <w:tcPr>
            <w:tcW w:w="1409" w:type="dxa"/>
            <w:vAlign w:val="center"/>
          </w:tcPr>
          <w:p w14:paraId="26C3BA86"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内罐：不锈钢</w:t>
            </w:r>
          </w:p>
          <w:p w14:paraId="3DD76159"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外罐：不锈钢</w:t>
            </w:r>
          </w:p>
        </w:tc>
      </w:tr>
      <w:tr w:rsidR="008A2411" w:rsidRPr="008A2411" w14:paraId="6C0249E2" w14:textId="77777777">
        <w:trPr>
          <w:tblHeader/>
          <w:jc w:val="center"/>
        </w:trPr>
        <w:tc>
          <w:tcPr>
            <w:tcW w:w="631" w:type="dxa"/>
            <w:vMerge/>
            <w:vAlign w:val="center"/>
          </w:tcPr>
          <w:p w14:paraId="47B993C9"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356751D9"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57BBC4C7"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LNG</w:t>
            </w:r>
            <w:proofErr w:type="gramStart"/>
            <w:r w:rsidRPr="008A2411">
              <w:rPr>
                <w:rFonts w:ascii="Times New Roman" w:eastAsia="宋体" w:hAnsi="Times New Roman" w:cs="Times New Roman"/>
                <w:color w:val="000000" w:themeColor="text1"/>
                <w:kern w:val="2"/>
                <w:sz w:val="21"/>
                <w:szCs w:val="21"/>
              </w:rPr>
              <w:t>充车泵</w:t>
            </w:r>
            <w:proofErr w:type="gramEnd"/>
          </w:p>
        </w:tc>
        <w:tc>
          <w:tcPr>
            <w:tcW w:w="1005" w:type="dxa"/>
            <w:vAlign w:val="center"/>
          </w:tcPr>
          <w:p w14:paraId="5978E30E"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2</w:t>
            </w:r>
          </w:p>
        </w:tc>
        <w:tc>
          <w:tcPr>
            <w:tcW w:w="2745" w:type="dxa"/>
            <w:vAlign w:val="center"/>
          </w:tcPr>
          <w:p w14:paraId="0DAB64FC"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类型：内置式</w:t>
            </w:r>
          </w:p>
          <w:p w14:paraId="034DC34F"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装车流量：</w:t>
            </w:r>
            <w:r w:rsidRPr="008A2411">
              <w:rPr>
                <w:rFonts w:ascii="Times New Roman" w:eastAsia="宋体" w:hAnsi="Times New Roman" w:cs="Times New Roman"/>
                <w:color w:val="000000" w:themeColor="text1"/>
                <w:kern w:val="2"/>
                <w:sz w:val="21"/>
                <w:szCs w:val="21"/>
              </w:rPr>
              <w:t>240m</w:t>
            </w:r>
            <w:r w:rsidRPr="008A2411">
              <w:rPr>
                <w:rFonts w:ascii="Times New Roman" w:eastAsia="宋体" w:hAnsi="Times New Roman" w:cs="Times New Roman"/>
                <w:color w:val="000000" w:themeColor="text1"/>
                <w:kern w:val="2"/>
                <w:sz w:val="21"/>
                <w:szCs w:val="21"/>
                <w:vertAlign w:val="superscript"/>
              </w:rPr>
              <w:t>3</w:t>
            </w:r>
            <w:r w:rsidRPr="008A2411">
              <w:rPr>
                <w:rFonts w:ascii="Times New Roman" w:eastAsia="宋体" w:hAnsi="Times New Roman" w:cs="Times New Roman"/>
                <w:color w:val="000000" w:themeColor="text1"/>
                <w:kern w:val="2"/>
                <w:sz w:val="21"/>
                <w:szCs w:val="21"/>
              </w:rPr>
              <w:t>/h</w:t>
            </w:r>
          </w:p>
          <w:p w14:paraId="594A642C"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扬程：</w:t>
            </w:r>
            <w:r w:rsidRPr="008A2411">
              <w:rPr>
                <w:rFonts w:ascii="Times New Roman" w:eastAsia="宋体" w:hAnsi="Times New Roman" w:cs="Times New Roman"/>
                <w:color w:val="000000" w:themeColor="text1"/>
                <w:kern w:val="2"/>
                <w:sz w:val="21"/>
                <w:szCs w:val="21"/>
              </w:rPr>
              <w:t>100m</w:t>
            </w:r>
          </w:p>
          <w:p w14:paraId="15F1C7DA"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内置式低温潜液泵</w:t>
            </w:r>
          </w:p>
        </w:tc>
        <w:tc>
          <w:tcPr>
            <w:tcW w:w="1409" w:type="dxa"/>
            <w:vAlign w:val="center"/>
          </w:tcPr>
          <w:p w14:paraId="778CB4D5" w14:textId="77777777" w:rsidR="00B0005F" w:rsidRPr="008A2411" w:rsidRDefault="00B0005F">
            <w:pPr>
              <w:widowControl/>
              <w:adjustRightInd w:val="0"/>
              <w:snapToGrid w:val="0"/>
              <w:jc w:val="center"/>
              <w:rPr>
                <w:rFonts w:ascii="Times New Roman"/>
                <w:color w:val="000000" w:themeColor="text1"/>
                <w:kern w:val="2"/>
                <w:sz w:val="21"/>
                <w:szCs w:val="21"/>
              </w:rPr>
            </w:pPr>
          </w:p>
        </w:tc>
      </w:tr>
      <w:tr w:rsidR="008A2411" w:rsidRPr="008A2411" w14:paraId="0F035C89" w14:textId="77777777">
        <w:trPr>
          <w:tblHeader/>
          <w:jc w:val="center"/>
        </w:trPr>
        <w:tc>
          <w:tcPr>
            <w:tcW w:w="631" w:type="dxa"/>
            <w:vMerge/>
            <w:vAlign w:val="center"/>
          </w:tcPr>
          <w:p w14:paraId="2ED962B5"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64AC7A1E"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47D5ABDC"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LNG</w:t>
            </w:r>
            <w:r w:rsidRPr="008A2411">
              <w:rPr>
                <w:rFonts w:ascii="Times New Roman" w:eastAsia="宋体" w:hAnsi="Times New Roman" w:cs="Times New Roman"/>
                <w:color w:val="000000" w:themeColor="text1"/>
                <w:kern w:val="2"/>
                <w:sz w:val="21"/>
                <w:szCs w:val="21"/>
              </w:rPr>
              <w:t>装车臂</w:t>
            </w:r>
          </w:p>
        </w:tc>
        <w:tc>
          <w:tcPr>
            <w:tcW w:w="1005" w:type="dxa"/>
            <w:vAlign w:val="center"/>
          </w:tcPr>
          <w:p w14:paraId="6B2F0464"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6</w:t>
            </w:r>
            <w:r w:rsidRPr="008A2411">
              <w:rPr>
                <w:rFonts w:ascii="Times New Roman" w:eastAsia="宋体" w:hAnsi="Times New Roman" w:cs="Times New Roman"/>
                <w:color w:val="000000" w:themeColor="text1"/>
                <w:kern w:val="2"/>
                <w:sz w:val="21"/>
                <w:szCs w:val="21"/>
              </w:rPr>
              <w:t>（</w:t>
            </w:r>
            <w:r w:rsidRPr="008A2411">
              <w:rPr>
                <w:rFonts w:ascii="Times New Roman" w:eastAsia="宋体" w:hAnsi="Times New Roman" w:cs="Times New Roman"/>
                <w:color w:val="000000" w:themeColor="text1"/>
                <w:kern w:val="2"/>
                <w:sz w:val="21"/>
                <w:szCs w:val="21"/>
              </w:rPr>
              <w:t>1</w:t>
            </w:r>
            <w:r w:rsidRPr="008A2411">
              <w:rPr>
                <w:rFonts w:ascii="Times New Roman" w:eastAsia="宋体" w:hAnsi="Times New Roman" w:cs="Times New Roman"/>
                <w:color w:val="000000" w:themeColor="text1"/>
                <w:kern w:val="2"/>
                <w:sz w:val="21"/>
                <w:szCs w:val="21"/>
              </w:rPr>
              <w:t>备）</w:t>
            </w:r>
          </w:p>
        </w:tc>
        <w:tc>
          <w:tcPr>
            <w:tcW w:w="2745" w:type="dxa"/>
            <w:vAlign w:val="center"/>
          </w:tcPr>
          <w:p w14:paraId="05C858A2"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p>
        </w:tc>
        <w:tc>
          <w:tcPr>
            <w:tcW w:w="1409" w:type="dxa"/>
            <w:vAlign w:val="center"/>
          </w:tcPr>
          <w:p w14:paraId="71FCEC55"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p>
        </w:tc>
      </w:tr>
      <w:tr w:rsidR="008A2411" w:rsidRPr="008A2411" w14:paraId="5FF24EB8" w14:textId="77777777">
        <w:trPr>
          <w:tblHeader/>
          <w:jc w:val="center"/>
        </w:trPr>
        <w:tc>
          <w:tcPr>
            <w:tcW w:w="631" w:type="dxa"/>
            <w:vMerge/>
            <w:vAlign w:val="center"/>
          </w:tcPr>
          <w:p w14:paraId="0F01BDBA" w14:textId="77777777" w:rsidR="00B0005F" w:rsidRPr="008A2411" w:rsidRDefault="00B0005F">
            <w:pPr>
              <w:pStyle w:val="WJ4"/>
              <w:spacing w:line="240" w:lineRule="auto"/>
              <w:rPr>
                <w:rFonts w:ascii="Times New Roman" w:hAnsi="Times New Roman"/>
                <w:color w:val="000000" w:themeColor="text1"/>
              </w:rPr>
            </w:pPr>
          </w:p>
        </w:tc>
        <w:tc>
          <w:tcPr>
            <w:tcW w:w="978" w:type="dxa"/>
            <w:vMerge w:val="restart"/>
            <w:vAlign w:val="center"/>
          </w:tcPr>
          <w:p w14:paraId="50D846C3"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kern w:val="2"/>
                <w:szCs w:val="24"/>
                <w:lang w:bidi="ar"/>
              </w:rPr>
              <w:t>BOG</w:t>
            </w:r>
            <w:r w:rsidRPr="008A2411">
              <w:rPr>
                <w:rFonts w:ascii="Times New Roman" w:hAnsi="Times New Roman"/>
                <w:color w:val="000000" w:themeColor="text1"/>
                <w:kern w:val="2"/>
                <w:szCs w:val="24"/>
                <w:lang w:bidi="ar"/>
              </w:rPr>
              <w:t>回收系统</w:t>
            </w:r>
          </w:p>
          <w:p w14:paraId="141F778A"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1639B4AA"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BOG</w:t>
            </w:r>
            <w:r w:rsidRPr="008A2411">
              <w:rPr>
                <w:rFonts w:ascii="Times New Roman" w:eastAsia="宋体" w:hAnsi="Times New Roman" w:cs="Times New Roman"/>
                <w:color w:val="000000" w:themeColor="text1"/>
                <w:kern w:val="2"/>
                <w:sz w:val="21"/>
                <w:szCs w:val="21"/>
              </w:rPr>
              <w:t>缓冲罐</w:t>
            </w:r>
          </w:p>
        </w:tc>
        <w:tc>
          <w:tcPr>
            <w:tcW w:w="1005" w:type="dxa"/>
            <w:vAlign w:val="center"/>
          </w:tcPr>
          <w:p w14:paraId="3ED494D5"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1</w:t>
            </w:r>
          </w:p>
        </w:tc>
        <w:tc>
          <w:tcPr>
            <w:tcW w:w="2745" w:type="dxa"/>
            <w:vAlign w:val="center"/>
          </w:tcPr>
          <w:p w14:paraId="7C5E7642"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型</w:t>
            </w:r>
            <w:r w:rsidRPr="008A2411">
              <w:rPr>
                <w:rFonts w:ascii="Times New Roman" w:eastAsia="宋体" w:hAnsi="Times New Roman" w:cs="Times New Roman"/>
                <w:color w:val="000000" w:themeColor="text1"/>
                <w:kern w:val="2"/>
                <w:sz w:val="21"/>
                <w:szCs w:val="21"/>
              </w:rPr>
              <w:t xml:space="preserve">    </w:t>
            </w:r>
            <w:r w:rsidRPr="008A2411">
              <w:rPr>
                <w:rFonts w:ascii="Times New Roman" w:eastAsia="宋体" w:hAnsi="Times New Roman" w:cs="Times New Roman"/>
                <w:color w:val="000000" w:themeColor="text1"/>
                <w:kern w:val="2"/>
                <w:sz w:val="21"/>
                <w:szCs w:val="21"/>
              </w:rPr>
              <w:t>式：立式</w:t>
            </w:r>
          </w:p>
          <w:p w14:paraId="4EEBBBBC"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容</w:t>
            </w:r>
            <w:r w:rsidRPr="008A2411">
              <w:rPr>
                <w:rFonts w:ascii="Times New Roman" w:eastAsia="宋体" w:hAnsi="Times New Roman" w:cs="Times New Roman"/>
                <w:color w:val="000000" w:themeColor="text1"/>
                <w:kern w:val="2"/>
                <w:sz w:val="21"/>
                <w:szCs w:val="21"/>
              </w:rPr>
              <w:t xml:space="preserve">    </w:t>
            </w:r>
            <w:r w:rsidRPr="008A2411">
              <w:rPr>
                <w:rFonts w:ascii="Times New Roman" w:eastAsia="宋体" w:hAnsi="Times New Roman" w:cs="Times New Roman"/>
                <w:color w:val="000000" w:themeColor="text1"/>
                <w:kern w:val="2"/>
                <w:sz w:val="21"/>
                <w:szCs w:val="21"/>
              </w:rPr>
              <w:t>积：</w:t>
            </w:r>
            <w:r w:rsidRPr="008A2411">
              <w:rPr>
                <w:rFonts w:ascii="Times New Roman" w:eastAsia="宋体" w:hAnsi="Times New Roman" w:cs="Times New Roman"/>
                <w:color w:val="000000" w:themeColor="text1"/>
                <w:kern w:val="2"/>
                <w:sz w:val="21"/>
                <w:szCs w:val="21"/>
              </w:rPr>
              <w:t>10 m</w:t>
            </w:r>
            <w:r w:rsidRPr="008A2411">
              <w:rPr>
                <w:rFonts w:ascii="Times New Roman" w:eastAsia="宋体" w:hAnsi="Times New Roman" w:cs="Times New Roman"/>
                <w:color w:val="000000" w:themeColor="text1"/>
                <w:kern w:val="2"/>
                <w:sz w:val="21"/>
                <w:szCs w:val="21"/>
                <w:vertAlign w:val="superscript"/>
              </w:rPr>
              <w:t>3</w:t>
            </w:r>
          </w:p>
          <w:p w14:paraId="448DFB94"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设计压力：</w:t>
            </w:r>
            <w:r w:rsidRPr="008A2411">
              <w:rPr>
                <w:rFonts w:ascii="Times New Roman" w:eastAsia="宋体" w:hAnsi="Times New Roman" w:cs="Times New Roman"/>
                <w:color w:val="000000" w:themeColor="text1"/>
                <w:kern w:val="2"/>
                <w:sz w:val="21"/>
                <w:szCs w:val="21"/>
              </w:rPr>
              <w:t>0.5MPa.A</w:t>
            </w:r>
          </w:p>
          <w:p w14:paraId="15F94644"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设计温度：</w:t>
            </w:r>
            <w:r w:rsidRPr="008A2411">
              <w:rPr>
                <w:rFonts w:ascii="Times New Roman" w:eastAsia="宋体" w:hAnsi="Times New Roman" w:cs="Times New Roman"/>
                <w:color w:val="000000" w:themeColor="text1"/>
                <w:kern w:val="2"/>
                <w:sz w:val="21"/>
                <w:szCs w:val="21"/>
              </w:rPr>
              <w:t>50℃</w:t>
            </w:r>
          </w:p>
        </w:tc>
        <w:tc>
          <w:tcPr>
            <w:tcW w:w="1409" w:type="dxa"/>
            <w:vAlign w:val="center"/>
          </w:tcPr>
          <w:p w14:paraId="17096EF4"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p>
        </w:tc>
      </w:tr>
      <w:tr w:rsidR="008A2411" w:rsidRPr="008A2411" w14:paraId="28A37BB2" w14:textId="77777777">
        <w:trPr>
          <w:tblHeader/>
          <w:jc w:val="center"/>
        </w:trPr>
        <w:tc>
          <w:tcPr>
            <w:tcW w:w="631" w:type="dxa"/>
            <w:vMerge/>
            <w:vAlign w:val="center"/>
          </w:tcPr>
          <w:p w14:paraId="6DC2DF01"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67F2145C"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4D03F5F2"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BOG</w:t>
            </w:r>
            <w:r w:rsidRPr="008A2411">
              <w:rPr>
                <w:rFonts w:ascii="Times New Roman" w:eastAsia="宋体" w:hAnsi="Times New Roman" w:cs="Times New Roman"/>
                <w:color w:val="000000" w:themeColor="text1"/>
                <w:kern w:val="2"/>
                <w:sz w:val="21"/>
                <w:szCs w:val="21"/>
              </w:rPr>
              <w:t>气化器</w:t>
            </w:r>
          </w:p>
        </w:tc>
        <w:tc>
          <w:tcPr>
            <w:tcW w:w="1005" w:type="dxa"/>
            <w:vAlign w:val="center"/>
          </w:tcPr>
          <w:p w14:paraId="2BFF2DAA"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1</w:t>
            </w:r>
          </w:p>
        </w:tc>
        <w:tc>
          <w:tcPr>
            <w:tcW w:w="2745" w:type="dxa"/>
            <w:vAlign w:val="center"/>
          </w:tcPr>
          <w:p w14:paraId="7787AA0C"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型式：空温式</w:t>
            </w:r>
          </w:p>
          <w:p w14:paraId="2A937FA7"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气化量：</w:t>
            </w:r>
            <w:r w:rsidRPr="008A2411">
              <w:rPr>
                <w:rFonts w:ascii="Times New Roman" w:eastAsia="宋体" w:hAnsi="Times New Roman" w:cs="Times New Roman"/>
                <w:color w:val="000000" w:themeColor="text1"/>
                <w:kern w:val="2"/>
                <w:sz w:val="21"/>
                <w:szCs w:val="21"/>
              </w:rPr>
              <w:t>1000Nm</w:t>
            </w:r>
            <w:r w:rsidRPr="008A2411">
              <w:rPr>
                <w:rFonts w:ascii="Times New Roman" w:eastAsia="宋体" w:hAnsi="Times New Roman" w:cs="Times New Roman"/>
                <w:color w:val="000000" w:themeColor="text1"/>
                <w:kern w:val="2"/>
                <w:sz w:val="21"/>
                <w:szCs w:val="21"/>
                <w:vertAlign w:val="superscript"/>
              </w:rPr>
              <w:t>3</w:t>
            </w:r>
            <w:r w:rsidRPr="008A2411">
              <w:rPr>
                <w:rFonts w:ascii="Times New Roman" w:eastAsia="宋体" w:hAnsi="Times New Roman" w:cs="Times New Roman"/>
                <w:color w:val="000000" w:themeColor="text1"/>
                <w:kern w:val="2"/>
                <w:sz w:val="21"/>
                <w:szCs w:val="21"/>
              </w:rPr>
              <w:t>/h</w:t>
            </w:r>
          </w:p>
        </w:tc>
        <w:tc>
          <w:tcPr>
            <w:tcW w:w="1409" w:type="dxa"/>
            <w:vAlign w:val="center"/>
          </w:tcPr>
          <w:p w14:paraId="7794F5B8"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p>
        </w:tc>
      </w:tr>
      <w:tr w:rsidR="008A2411" w:rsidRPr="008A2411" w14:paraId="474DFED7" w14:textId="77777777">
        <w:trPr>
          <w:tblHeader/>
          <w:jc w:val="center"/>
        </w:trPr>
        <w:tc>
          <w:tcPr>
            <w:tcW w:w="631" w:type="dxa"/>
            <w:vMerge/>
            <w:vAlign w:val="center"/>
          </w:tcPr>
          <w:p w14:paraId="22CD2C37"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3425F793"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2F9781B8"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BOG</w:t>
            </w:r>
            <w:r w:rsidRPr="008A2411">
              <w:rPr>
                <w:rFonts w:ascii="Times New Roman" w:eastAsia="宋体" w:hAnsi="Times New Roman" w:cs="Times New Roman"/>
                <w:color w:val="000000" w:themeColor="text1"/>
                <w:kern w:val="2"/>
                <w:sz w:val="21"/>
                <w:szCs w:val="21"/>
              </w:rPr>
              <w:t>换热器</w:t>
            </w:r>
          </w:p>
        </w:tc>
        <w:tc>
          <w:tcPr>
            <w:tcW w:w="1005" w:type="dxa"/>
            <w:vAlign w:val="center"/>
          </w:tcPr>
          <w:p w14:paraId="625835FA"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1</w:t>
            </w:r>
          </w:p>
        </w:tc>
        <w:tc>
          <w:tcPr>
            <w:tcW w:w="2745" w:type="dxa"/>
            <w:vAlign w:val="center"/>
          </w:tcPr>
          <w:p w14:paraId="6D1B9242"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型式：管壳式</w:t>
            </w:r>
          </w:p>
        </w:tc>
        <w:tc>
          <w:tcPr>
            <w:tcW w:w="1409" w:type="dxa"/>
            <w:vAlign w:val="center"/>
          </w:tcPr>
          <w:p w14:paraId="55C6D108"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p>
        </w:tc>
      </w:tr>
      <w:tr w:rsidR="008A2411" w:rsidRPr="008A2411" w14:paraId="68FC5A54" w14:textId="77777777">
        <w:trPr>
          <w:tblHeader/>
          <w:jc w:val="center"/>
        </w:trPr>
        <w:tc>
          <w:tcPr>
            <w:tcW w:w="631" w:type="dxa"/>
            <w:vMerge/>
            <w:vAlign w:val="center"/>
          </w:tcPr>
          <w:p w14:paraId="16365D44"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3EA4C767"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5282A21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BOG</w:t>
            </w:r>
            <w:r w:rsidRPr="008A2411">
              <w:rPr>
                <w:rFonts w:ascii="Times New Roman" w:eastAsia="宋体" w:hAnsi="Times New Roman" w:cs="Times New Roman"/>
                <w:color w:val="000000" w:themeColor="text1"/>
                <w:kern w:val="2"/>
                <w:sz w:val="21"/>
                <w:szCs w:val="21"/>
              </w:rPr>
              <w:t>压缩机</w:t>
            </w:r>
          </w:p>
        </w:tc>
        <w:tc>
          <w:tcPr>
            <w:tcW w:w="1005" w:type="dxa"/>
            <w:vAlign w:val="center"/>
          </w:tcPr>
          <w:p w14:paraId="789241B8"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2</w:t>
            </w:r>
          </w:p>
        </w:tc>
        <w:tc>
          <w:tcPr>
            <w:tcW w:w="2745" w:type="dxa"/>
            <w:vAlign w:val="center"/>
          </w:tcPr>
          <w:p w14:paraId="1DF03478"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型号：往复式（变频）</w:t>
            </w:r>
          </w:p>
          <w:p w14:paraId="2319A68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额定流量：</w:t>
            </w:r>
            <w:r w:rsidRPr="008A2411">
              <w:rPr>
                <w:rFonts w:ascii="Times New Roman" w:eastAsia="宋体" w:hAnsi="Times New Roman" w:cs="Times New Roman"/>
                <w:color w:val="000000" w:themeColor="text1"/>
                <w:kern w:val="2"/>
                <w:sz w:val="21"/>
                <w:szCs w:val="21"/>
              </w:rPr>
              <w:t xml:space="preserve"> 1000Nm</w:t>
            </w:r>
            <w:r w:rsidRPr="008A2411">
              <w:rPr>
                <w:rFonts w:ascii="Times New Roman" w:eastAsia="宋体" w:hAnsi="Times New Roman" w:cs="Times New Roman"/>
                <w:color w:val="000000" w:themeColor="text1"/>
                <w:kern w:val="2"/>
                <w:sz w:val="21"/>
                <w:szCs w:val="21"/>
                <w:vertAlign w:val="superscript"/>
              </w:rPr>
              <w:t>3</w:t>
            </w:r>
            <w:r w:rsidRPr="008A2411">
              <w:rPr>
                <w:rFonts w:ascii="Times New Roman" w:eastAsia="宋体" w:hAnsi="Times New Roman" w:cs="Times New Roman"/>
                <w:color w:val="000000" w:themeColor="text1"/>
                <w:kern w:val="2"/>
                <w:sz w:val="21"/>
                <w:szCs w:val="21"/>
              </w:rPr>
              <w:t>/h</w:t>
            </w:r>
          </w:p>
          <w:p w14:paraId="2A174996"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吸气压力：</w:t>
            </w:r>
            <w:r w:rsidRPr="008A2411">
              <w:rPr>
                <w:rFonts w:ascii="Times New Roman" w:eastAsia="宋体" w:hAnsi="Times New Roman" w:cs="Times New Roman"/>
                <w:color w:val="000000" w:themeColor="text1"/>
                <w:kern w:val="2"/>
                <w:sz w:val="21"/>
                <w:szCs w:val="21"/>
              </w:rPr>
              <w:t>0.01MPa</w:t>
            </w:r>
          </w:p>
          <w:p w14:paraId="5A6EDB94"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排气压力：</w:t>
            </w:r>
            <w:r w:rsidRPr="008A2411">
              <w:rPr>
                <w:rFonts w:ascii="Times New Roman" w:eastAsia="宋体" w:hAnsi="Times New Roman" w:cs="Times New Roman"/>
                <w:color w:val="000000" w:themeColor="text1"/>
                <w:kern w:val="2"/>
                <w:sz w:val="21"/>
                <w:szCs w:val="21"/>
              </w:rPr>
              <w:t>3.0MPa</w:t>
            </w:r>
          </w:p>
        </w:tc>
        <w:tc>
          <w:tcPr>
            <w:tcW w:w="1409" w:type="dxa"/>
            <w:vAlign w:val="center"/>
          </w:tcPr>
          <w:p w14:paraId="69EA9FAB"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p>
        </w:tc>
      </w:tr>
      <w:tr w:rsidR="008A2411" w:rsidRPr="008A2411" w14:paraId="1E71E172" w14:textId="77777777">
        <w:trPr>
          <w:tblHeader/>
          <w:jc w:val="center"/>
        </w:trPr>
        <w:tc>
          <w:tcPr>
            <w:tcW w:w="631" w:type="dxa"/>
            <w:vMerge/>
            <w:vAlign w:val="center"/>
          </w:tcPr>
          <w:p w14:paraId="34224858" w14:textId="77777777" w:rsidR="00B0005F" w:rsidRPr="008A2411" w:rsidRDefault="00B0005F">
            <w:pPr>
              <w:pStyle w:val="WJ4"/>
              <w:spacing w:line="240" w:lineRule="auto"/>
              <w:rPr>
                <w:rFonts w:ascii="Times New Roman" w:hAnsi="Times New Roman"/>
                <w:color w:val="000000" w:themeColor="text1"/>
              </w:rPr>
            </w:pPr>
          </w:p>
        </w:tc>
        <w:tc>
          <w:tcPr>
            <w:tcW w:w="978" w:type="dxa"/>
            <w:vMerge w:val="restart"/>
            <w:vAlign w:val="center"/>
          </w:tcPr>
          <w:p w14:paraId="223E2D2A"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szCs w:val="24"/>
              </w:rPr>
              <w:t>LNG</w:t>
            </w:r>
            <w:r w:rsidRPr="008A2411">
              <w:rPr>
                <w:rFonts w:ascii="Times New Roman" w:hAnsi="Times New Roman"/>
                <w:color w:val="000000" w:themeColor="text1"/>
                <w:szCs w:val="24"/>
              </w:rPr>
              <w:t>加注系统</w:t>
            </w:r>
          </w:p>
        </w:tc>
        <w:tc>
          <w:tcPr>
            <w:tcW w:w="1754" w:type="dxa"/>
            <w:gridSpan w:val="2"/>
            <w:vAlign w:val="center"/>
          </w:tcPr>
          <w:p w14:paraId="46576BE4"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LNG</w:t>
            </w:r>
            <w:r w:rsidRPr="008A2411">
              <w:rPr>
                <w:rFonts w:ascii="Times New Roman" w:eastAsia="宋体" w:hAnsi="Times New Roman" w:cs="Times New Roman"/>
                <w:color w:val="000000" w:themeColor="text1"/>
                <w:kern w:val="2"/>
                <w:sz w:val="21"/>
                <w:szCs w:val="21"/>
              </w:rPr>
              <w:t>储罐</w:t>
            </w:r>
          </w:p>
        </w:tc>
        <w:tc>
          <w:tcPr>
            <w:tcW w:w="1005" w:type="dxa"/>
            <w:vAlign w:val="center"/>
          </w:tcPr>
          <w:p w14:paraId="22D2D62F"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1</w:t>
            </w:r>
          </w:p>
        </w:tc>
        <w:tc>
          <w:tcPr>
            <w:tcW w:w="2745" w:type="dxa"/>
            <w:vAlign w:val="center"/>
          </w:tcPr>
          <w:p w14:paraId="0D6F8013"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 xml:space="preserve">  </w:t>
            </w:r>
            <w:r w:rsidRPr="008A2411">
              <w:rPr>
                <w:rFonts w:ascii="Times New Roman" w:eastAsia="宋体" w:hAnsi="Times New Roman" w:cs="Times New Roman"/>
                <w:color w:val="000000" w:themeColor="text1"/>
                <w:kern w:val="2"/>
                <w:sz w:val="21"/>
                <w:szCs w:val="21"/>
              </w:rPr>
              <w:t>容积：</w:t>
            </w:r>
            <w:r w:rsidRPr="008A2411">
              <w:rPr>
                <w:rFonts w:ascii="Times New Roman" w:eastAsia="宋体" w:hAnsi="Times New Roman" w:cs="Times New Roman"/>
                <w:color w:val="000000" w:themeColor="text1"/>
                <w:kern w:val="2"/>
                <w:sz w:val="21"/>
                <w:szCs w:val="21"/>
              </w:rPr>
              <w:t>30m</w:t>
            </w:r>
            <w:r w:rsidRPr="008A2411">
              <w:rPr>
                <w:rFonts w:ascii="Times New Roman" w:eastAsia="宋体" w:hAnsi="Times New Roman" w:cs="Times New Roman"/>
                <w:color w:val="000000" w:themeColor="text1"/>
                <w:kern w:val="2"/>
                <w:sz w:val="21"/>
                <w:szCs w:val="21"/>
                <w:vertAlign w:val="superscript"/>
              </w:rPr>
              <w:t>3</w:t>
            </w:r>
            <w:r w:rsidRPr="008A2411">
              <w:rPr>
                <w:rFonts w:ascii="Times New Roman" w:eastAsia="宋体" w:hAnsi="Times New Roman" w:cs="Times New Roman"/>
                <w:color w:val="000000" w:themeColor="text1"/>
                <w:kern w:val="2"/>
                <w:sz w:val="21"/>
                <w:szCs w:val="21"/>
              </w:rPr>
              <w:t>；设计温度：</w:t>
            </w:r>
            <w:r w:rsidRPr="008A2411">
              <w:rPr>
                <w:rFonts w:ascii="Times New Roman" w:eastAsia="宋体" w:hAnsi="Times New Roman" w:cs="Times New Roman"/>
                <w:color w:val="000000" w:themeColor="text1"/>
                <w:kern w:val="2"/>
                <w:sz w:val="21"/>
                <w:szCs w:val="21"/>
              </w:rPr>
              <w:t>-196℃</w:t>
            </w:r>
            <w:r w:rsidRPr="008A2411">
              <w:rPr>
                <w:rFonts w:ascii="Times New Roman" w:eastAsia="宋体" w:hAnsi="Times New Roman" w:cs="Times New Roman"/>
                <w:color w:val="000000" w:themeColor="text1"/>
                <w:kern w:val="2"/>
                <w:sz w:val="21"/>
                <w:szCs w:val="21"/>
              </w:rPr>
              <w:t>（内）</w:t>
            </w:r>
            <w:r w:rsidRPr="008A2411">
              <w:rPr>
                <w:rFonts w:ascii="Times New Roman" w:eastAsia="宋体" w:hAnsi="Times New Roman" w:cs="Times New Roman"/>
                <w:color w:val="000000" w:themeColor="text1"/>
                <w:kern w:val="2"/>
                <w:sz w:val="21"/>
                <w:szCs w:val="21"/>
              </w:rPr>
              <w:t>/60℃</w:t>
            </w:r>
            <w:r w:rsidRPr="008A2411">
              <w:rPr>
                <w:rFonts w:ascii="Times New Roman" w:eastAsia="宋体" w:hAnsi="Times New Roman" w:cs="Times New Roman"/>
                <w:color w:val="000000" w:themeColor="text1"/>
                <w:kern w:val="2"/>
                <w:sz w:val="21"/>
                <w:szCs w:val="21"/>
              </w:rPr>
              <w:t>（外）；设计压力：</w:t>
            </w:r>
            <w:r w:rsidRPr="008A2411">
              <w:rPr>
                <w:rFonts w:ascii="Times New Roman" w:eastAsia="宋体" w:hAnsi="Times New Roman" w:cs="Times New Roman"/>
                <w:color w:val="000000" w:themeColor="text1"/>
                <w:kern w:val="2"/>
                <w:sz w:val="21"/>
                <w:szCs w:val="21"/>
              </w:rPr>
              <w:t>1.44MPaG</w:t>
            </w:r>
            <w:r w:rsidRPr="008A2411">
              <w:rPr>
                <w:rFonts w:ascii="Times New Roman" w:eastAsia="宋体" w:hAnsi="Times New Roman" w:cs="Times New Roman"/>
                <w:color w:val="000000" w:themeColor="text1"/>
                <w:kern w:val="2"/>
                <w:sz w:val="21"/>
                <w:szCs w:val="21"/>
              </w:rPr>
              <w:t>（内）</w:t>
            </w:r>
            <w:r w:rsidRPr="008A2411">
              <w:rPr>
                <w:rFonts w:ascii="Times New Roman" w:eastAsia="宋体" w:hAnsi="Times New Roman" w:cs="Times New Roman"/>
                <w:color w:val="000000" w:themeColor="text1"/>
                <w:kern w:val="2"/>
                <w:sz w:val="21"/>
                <w:szCs w:val="21"/>
              </w:rPr>
              <w:t>/-0.1MPaG</w:t>
            </w:r>
            <w:r w:rsidRPr="008A2411">
              <w:rPr>
                <w:rFonts w:ascii="Times New Roman" w:eastAsia="宋体" w:hAnsi="Times New Roman" w:cs="Times New Roman"/>
                <w:color w:val="000000" w:themeColor="text1"/>
                <w:kern w:val="2"/>
                <w:sz w:val="21"/>
                <w:szCs w:val="21"/>
              </w:rPr>
              <w:t>（外）</w:t>
            </w:r>
          </w:p>
        </w:tc>
        <w:tc>
          <w:tcPr>
            <w:tcW w:w="1409" w:type="dxa"/>
            <w:vAlign w:val="center"/>
          </w:tcPr>
          <w:p w14:paraId="099118D2"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S30408</w:t>
            </w:r>
            <w:r w:rsidRPr="008A2411">
              <w:rPr>
                <w:rFonts w:ascii="Times New Roman" w:eastAsia="宋体" w:hAnsi="Times New Roman" w:cs="Times New Roman"/>
                <w:color w:val="000000" w:themeColor="text1"/>
                <w:kern w:val="2"/>
                <w:sz w:val="21"/>
                <w:szCs w:val="21"/>
              </w:rPr>
              <w:t>（内）</w:t>
            </w:r>
            <w:r w:rsidRPr="008A2411">
              <w:rPr>
                <w:rFonts w:ascii="Times New Roman" w:eastAsia="宋体" w:hAnsi="Times New Roman" w:cs="Times New Roman"/>
                <w:color w:val="000000" w:themeColor="text1"/>
                <w:kern w:val="2"/>
                <w:sz w:val="21"/>
                <w:szCs w:val="21"/>
              </w:rPr>
              <w:t>/Q345R</w:t>
            </w:r>
            <w:r w:rsidRPr="008A2411">
              <w:rPr>
                <w:rFonts w:ascii="Times New Roman" w:eastAsia="宋体" w:hAnsi="Times New Roman" w:cs="Times New Roman"/>
                <w:color w:val="000000" w:themeColor="text1"/>
                <w:kern w:val="2"/>
                <w:sz w:val="21"/>
                <w:szCs w:val="21"/>
              </w:rPr>
              <w:t>（外）</w:t>
            </w:r>
          </w:p>
        </w:tc>
      </w:tr>
      <w:tr w:rsidR="008A2411" w:rsidRPr="008A2411" w14:paraId="2DAB6805" w14:textId="77777777">
        <w:trPr>
          <w:tblHeader/>
          <w:jc w:val="center"/>
        </w:trPr>
        <w:tc>
          <w:tcPr>
            <w:tcW w:w="631" w:type="dxa"/>
            <w:vMerge/>
            <w:vAlign w:val="center"/>
          </w:tcPr>
          <w:p w14:paraId="11E28BE3"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3B1D4328"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6CA61824"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潜液泵</w:t>
            </w:r>
          </w:p>
        </w:tc>
        <w:tc>
          <w:tcPr>
            <w:tcW w:w="1005" w:type="dxa"/>
            <w:vAlign w:val="center"/>
          </w:tcPr>
          <w:p w14:paraId="3AF90946"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1</w:t>
            </w:r>
          </w:p>
        </w:tc>
        <w:tc>
          <w:tcPr>
            <w:tcW w:w="2745" w:type="dxa"/>
            <w:vAlign w:val="center"/>
          </w:tcPr>
          <w:p w14:paraId="7EE5A75B"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流量：</w:t>
            </w:r>
            <w:r w:rsidRPr="008A2411">
              <w:rPr>
                <w:rFonts w:ascii="Times New Roman" w:eastAsia="宋体" w:hAnsi="Times New Roman" w:cs="Times New Roman"/>
                <w:color w:val="000000" w:themeColor="text1"/>
                <w:kern w:val="2"/>
                <w:sz w:val="21"/>
                <w:szCs w:val="21"/>
              </w:rPr>
              <w:t>30~430L/min</w:t>
            </w:r>
            <w:r w:rsidRPr="008A2411">
              <w:rPr>
                <w:rFonts w:ascii="Times New Roman" w:eastAsia="宋体" w:hAnsi="Times New Roman" w:cs="Times New Roman"/>
                <w:color w:val="000000" w:themeColor="text1"/>
                <w:kern w:val="2"/>
                <w:sz w:val="21"/>
                <w:szCs w:val="21"/>
              </w:rPr>
              <w:t>；扬程：</w:t>
            </w:r>
            <w:r w:rsidRPr="008A2411">
              <w:rPr>
                <w:rFonts w:ascii="Times New Roman" w:eastAsia="宋体" w:hAnsi="Times New Roman" w:cs="Times New Roman"/>
                <w:color w:val="000000" w:themeColor="text1"/>
                <w:kern w:val="2"/>
                <w:sz w:val="21"/>
                <w:szCs w:val="21"/>
              </w:rPr>
              <w:t>280m</w:t>
            </w:r>
            <w:r w:rsidRPr="008A2411">
              <w:rPr>
                <w:rFonts w:ascii="Times New Roman" w:eastAsia="宋体" w:hAnsi="Times New Roman" w:cs="Times New Roman"/>
                <w:color w:val="000000" w:themeColor="text1"/>
                <w:kern w:val="2"/>
                <w:sz w:val="21"/>
                <w:szCs w:val="21"/>
              </w:rPr>
              <w:t>；电机功率：</w:t>
            </w:r>
            <w:r w:rsidRPr="008A2411">
              <w:rPr>
                <w:rFonts w:ascii="Times New Roman" w:eastAsia="宋体" w:hAnsi="Times New Roman" w:cs="Times New Roman"/>
                <w:color w:val="000000" w:themeColor="text1"/>
                <w:kern w:val="2"/>
                <w:sz w:val="21"/>
                <w:szCs w:val="21"/>
              </w:rPr>
              <w:t>12.6kW</w:t>
            </w:r>
          </w:p>
        </w:tc>
        <w:tc>
          <w:tcPr>
            <w:tcW w:w="1409" w:type="dxa"/>
            <w:vAlign w:val="center"/>
          </w:tcPr>
          <w:p w14:paraId="4B524199"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组合件</w:t>
            </w:r>
          </w:p>
        </w:tc>
      </w:tr>
      <w:tr w:rsidR="008A2411" w:rsidRPr="008A2411" w14:paraId="11ED38F7" w14:textId="77777777">
        <w:trPr>
          <w:tblHeader/>
          <w:jc w:val="center"/>
        </w:trPr>
        <w:tc>
          <w:tcPr>
            <w:tcW w:w="631" w:type="dxa"/>
            <w:vMerge/>
            <w:vAlign w:val="center"/>
          </w:tcPr>
          <w:p w14:paraId="23C24EB3"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7051FC6B"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144D9B72"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储罐增压器</w:t>
            </w:r>
          </w:p>
        </w:tc>
        <w:tc>
          <w:tcPr>
            <w:tcW w:w="1005" w:type="dxa"/>
            <w:vAlign w:val="center"/>
          </w:tcPr>
          <w:p w14:paraId="00512096"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1</w:t>
            </w:r>
          </w:p>
        </w:tc>
        <w:tc>
          <w:tcPr>
            <w:tcW w:w="2745" w:type="dxa"/>
            <w:vAlign w:val="center"/>
          </w:tcPr>
          <w:p w14:paraId="435BC880"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气化量：</w:t>
            </w:r>
            <w:r w:rsidRPr="008A2411">
              <w:rPr>
                <w:rFonts w:ascii="Times New Roman" w:eastAsia="宋体" w:hAnsi="Times New Roman" w:cs="Times New Roman"/>
                <w:color w:val="000000" w:themeColor="text1"/>
                <w:kern w:val="2"/>
                <w:sz w:val="21"/>
                <w:szCs w:val="21"/>
              </w:rPr>
              <w:t>300Nm</w:t>
            </w:r>
            <w:r w:rsidRPr="008A2411">
              <w:rPr>
                <w:rFonts w:ascii="Times New Roman" w:eastAsia="宋体" w:hAnsi="Times New Roman" w:cs="Times New Roman"/>
                <w:color w:val="000000" w:themeColor="text1"/>
                <w:kern w:val="2"/>
                <w:sz w:val="21"/>
                <w:szCs w:val="21"/>
                <w:vertAlign w:val="superscript"/>
              </w:rPr>
              <w:t>3</w:t>
            </w:r>
            <w:r w:rsidRPr="008A2411">
              <w:rPr>
                <w:rFonts w:ascii="Times New Roman" w:eastAsia="宋体" w:hAnsi="Times New Roman" w:cs="Times New Roman"/>
                <w:color w:val="000000" w:themeColor="text1"/>
                <w:kern w:val="2"/>
                <w:sz w:val="21"/>
                <w:szCs w:val="21"/>
              </w:rPr>
              <w:t>/h</w:t>
            </w:r>
            <w:r w:rsidRPr="008A2411">
              <w:rPr>
                <w:rFonts w:ascii="Times New Roman" w:eastAsia="宋体" w:hAnsi="Times New Roman" w:cs="Times New Roman"/>
                <w:color w:val="000000" w:themeColor="text1"/>
                <w:kern w:val="2"/>
                <w:sz w:val="21"/>
                <w:szCs w:val="21"/>
              </w:rPr>
              <w:t>；设计温度：</w:t>
            </w:r>
            <w:r w:rsidRPr="008A2411">
              <w:rPr>
                <w:rFonts w:ascii="Times New Roman" w:eastAsia="宋体" w:hAnsi="Times New Roman" w:cs="Times New Roman"/>
                <w:color w:val="000000" w:themeColor="text1"/>
                <w:kern w:val="2"/>
                <w:sz w:val="21"/>
                <w:szCs w:val="21"/>
              </w:rPr>
              <w:t>-196℃</w:t>
            </w:r>
            <w:r w:rsidRPr="008A2411">
              <w:rPr>
                <w:rFonts w:ascii="Times New Roman" w:eastAsia="宋体" w:hAnsi="Times New Roman" w:cs="Times New Roman"/>
                <w:color w:val="000000" w:themeColor="text1"/>
                <w:kern w:val="2"/>
                <w:sz w:val="21"/>
                <w:szCs w:val="21"/>
              </w:rPr>
              <w:t>；设计压力：</w:t>
            </w:r>
            <w:r w:rsidRPr="008A2411">
              <w:rPr>
                <w:rFonts w:ascii="Times New Roman" w:eastAsia="宋体" w:hAnsi="Times New Roman" w:cs="Times New Roman"/>
                <w:color w:val="000000" w:themeColor="text1"/>
                <w:kern w:val="2"/>
                <w:sz w:val="21"/>
                <w:szCs w:val="21"/>
              </w:rPr>
              <w:t>2.5MPaG</w:t>
            </w:r>
          </w:p>
        </w:tc>
        <w:tc>
          <w:tcPr>
            <w:tcW w:w="1409" w:type="dxa"/>
            <w:vAlign w:val="center"/>
          </w:tcPr>
          <w:p w14:paraId="33279E35"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AL</w:t>
            </w:r>
          </w:p>
        </w:tc>
      </w:tr>
      <w:tr w:rsidR="008A2411" w:rsidRPr="008A2411" w14:paraId="31F9894D" w14:textId="77777777">
        <w:trPr>
          <w:tblHeader/>
          <w:jc w:val="center"/>
        </w:trPr>
        <w:tc>
          <w:tcPr>
            <w:tcW w:w="631" w:type="dxa"/>
            <w:vMerge/>
            <w:vAlign w:val="center"/>
          </w:tcPr>
          <w:p w14:paraId="54AF09CF"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5A183F3C"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6F3ED65B"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EAG</w:t>
            </w:r>
            <w:r w:rsidRPr="008A2411">
              <w:rPr>
                <w:rFonts w:ascii="Times New Roman" w:eastAsia="宋体" w:hAnsi="Times New Roman" w:cs="Times New Roman"/>
                <w:color w:val="000000" w:themeColor="text1"/>
                <w:kern w:val="2"/>
                <w:sz w:val="21"/>
                <w:szCs w:val="21"/>
              </w:rPr>
              <w:t>加热器</w:t>
            </w:r>
          </w:p>
        </w:tc>
        <w:tc>
          <w:tcPr>
            <w:tcW w:w="1005" w:type="dxa"/>
            <w:vAlign w:val="center"/>
          </w:tcPr>
          <w:p w14:paraId="58B26109"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1</w:t>
            </w:r>
          </w:p>
        </w:tc>
        <w:tc>
          <w:tcPr>
            <w:tcW w:w="2745" w:type="dxa"/>
            <w:vAlign w:val="center"/>
          </w:tcPr>
          <w:p w14:paraId="4E417966"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气化量：</w:t>
            </w:r>
            <w:r w:rsidRPr="008A2411">
              <w:rPr>
                <w:rFonts w:ascii="Times New Roman" w:eastAsia="宋体" w:hAnsi="Times New Roman" w:cs="Times New Roman"/>
                <w:color w:val="000000" w:themeColor="text1"/>
                <w:kern w:val="2"/>
                <w:sz w:val="21"/>
                <w:szCs w:val="21"/>
              </w:rPr>
              <w:t>150Nm</w:t>
            </w:r>
            <w:r w:rsidRPr="008A2411">
              <w:rPr>
                <w:rFonts w:ascii="Times New Roman" w:eastAsia="宋体" w:hAnsi="Times New Roman" w:cs="Times New Roman"/>
                <w:color w:val="000000" w:themeColor="text1"/>
                <w:kern w:val="2"/>
                <w:sz w:val="21"/>
                <w:szCs w:val="21"/>
                <w:vertAlign w:val="superscript"/>
              </w:rPr>
              <w:t>3</w:t>
            </w:r>
            <w:r w:rsidRPr="008A2411">
              <w:rPr>
                <w:rFonts w:ascii="Times New Roman" w:eastAsia="宋体" w:hAnsi="Times New Roman" w:cs="Times New Roman"/>
                <w:color w:val="000000" w:themeColor="text1"/>
                <w:kern w:val="2"/>
                <w:sz w:val="21"/>
                <w:szCs w:val="21"/>
              </w:rPr>
              <w:t>/h</w:t>
            </w:r>
            <w:r w:rsidRPr="008A2411">
              <w:rPr>
                <w:rFonts w:ascii="Times New Roman" w:eastAsia="宋体" w:hAnsi="Times New Roman" w:cs="Times New Roman"/>
                <w:color w:val="000000" w:themeColor="text1"/>
                <w:kern w:val="2"/>
                <w:sz w:val="21"/>
                <w:szCs w:val="21"/>
              </w:rPr>
              <w:t>；设计温度：</w:t>
            </w:r>
            <w:r w:rsidRPr="008A2411">
              <w:rPr>
                <w:rFonts w:ascii="Times New Roman" w:eastAsia="宋体" w:hAnsi="Times New Roman" w:cs="Times New Roman"/>
                <w:color w:val="000000" w:themeColor="text1"/>
                <w:kern w:val="2"/>
                <w:sz w:val="21"/>
                <w:szCs w:val="21"/>
              </w:rPr>
              <w:t>-196℃</w:t>
            </w:r>
            <w:r w:rsidRPr="008A2411">
              <w:rPr>
                <w:rFonts w:ascii="Times New Roman" w:eastAsia="宋体" w:hAnsi="Times New Roman" w:cs="Times New Roman"/>
                <w:color w:val="000000" w:themeColor="text1"/>
                <w:kern w:val="2"/>
                <w:sz w:val="21"/>
                <w:szCs w:val="21"/>
              </w:rPr>
              <w:t>；设计压力：</w:t>
            </w:r>
            <w:r w:rsidRPr="008A2411">
              <w:rPr>
                <w:rFonts w:ascii="Times New Roman" w:eastAsia="宋体" w:hAnsi="Times New Roman" w:cs="Times New Roman"/>
                <w:color w:val="000000" w:themeColor="text1"/>
                <w:kern w:val="2"/>
                <w:sz w:val="21"/>
                <w:szCs w:val="21"/>
              </w:rPr>
              <w:t>2.5MPaG</w:t>
            </w:r>
          </w:p>
        </w:tc>
        <w:tc>
          <w:tcPr>
            <w:tcW w:w="1409" w:type="dxa"/>
            <w:vAlign w:val="center"/>
          </w:tcPr>
          <w:p w14:paraId="40DB23CF"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AL</w:t>
            </w:r>
          </w:p>
        </w:tc>
      </w:tr>
      <w:tr w:rsidR="008A2411" w:rsidRPr="008A2411" w14:paraId="3F4DBD4D" w14:textId="77777777">
        <w:trPr>
          <w:tblHeader/>
          <w:jc w:val="center"/>
        </w:trPr>
        <w:tc>
          <w:tcPr>
            <w:tcW w:w="631" w:type="dxa"/>
            <w:vMerge/>
            <w:vAlign w:val="center"/>
          </w:tcPr>
          <w:p w14:paraId="4D15254A"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3F446B50"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3ED5B753"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LNG</w:t>
            </w:r>
            <w:r w:rsidRPr="008A2411">
              <w:rPr>
                <w:rFonts w:ascii="Times New Roman" w:eastAsia="宋体" w:hAnsi="Times New Roman" w:cs="Times New Roman"/>
                <w:color w:val="000000" w:themeColor="text1"/>
                <w:kern w:val="2"/>
                <w:sz w:val="21"/>
                <w:szCs w:val="21"/>
              </w:rPr>
              <w:t>加气机</w:t>
            </w:r>
          </w:p>
        </w:tc>
        <w:tc>
          <w:tcPr>
            <w:tcW w:w="1005" w:type="dxa"/>
            <w:vAlign w:val="center"/>
          </w:tcPr>
          <w:p w14:paraId="27E6CE22"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1</w:t>
            </w:r>
          </w:p>
        </w:tc>
        <w:tc>
          <w:tcPr>
            <w:tcW w:w="2745" w:type="dxa"/>
            <w:vAlign w:val="center"/>
          </w:tcPr>
          <w:p w14:paraId="5C7EC62B"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 xml:space="preserve">  </w:t>
            </w:r>
            <w:r w:rsidRPr="008A2411">
              <w:rPr>
                <w:rFonts w:ascii="Times New Roman" w:eastAsia="宋体" w:hAnsi="Times New Roman" w:cs="Times New Roman"/>
                <w:color w:val="000000" w:themeColor="text1"/>
                <w:kern w:val="2"/>
                <w:sz w:val="21"/>
                <w:szCs w:val="21"/>
              </w:rPr>
              <w:t>容积：</w:t>
            </w:r>
            <w:r w:rsidRPr="008A2411">
              <w:rPr>
                <w:rFonts w:ascii="Times New Roman" w:eastAsia="宋体" w:hAnsi="Times New Roman" w:cs="Times New Roman"/>
                <w:color w:val="000000" w:themeColor="text1"/>
                <w:kern w:val="2"/>
                <w:sz w:val="21"/>
                <w:szCs w:val="21"/>
              </w:rPr>
              <w:t>30m</w:t>
            </w:r>
            <w:r w:rsidRPr="008A2411">
              <w:rPr>
                <w:rFonts w:ascii="Times New Roman" w:eastAsia="宋体" w:hAnsi="Times New Roman" w:cs="Times New Roman"/>
                <w:color w:val="000000" w:themeColor="text1"/>
                <w:kern w:val="2"/>
                <w:sz w:val="21"/>
                <w:szCs w:val="21"/>
                <w:vertAlign w:val="superscript"/>
              </w:rPr>
              <w:t>3</w:t>
            </w:r>
            <w:r w:rsidRPr="008A2411">
              <w:rPr>
                <w:rFonts w:ascii="Times New Roman" w:eastAsia="宋体" w:hAnsi="Times New Roman" w:cs="Times New Roman"/>
                <w:color w:val="000000" w:themeColor="text1"/>
                <w:kern w:val="2"/>
                <w:sz w:val="21"/>
                <w:szCs w:val="21"/>
              </w:rPr>
              <w:t>；设计温度：</w:t>
            </w:r>
            <w:r w:rsidRPr="008A2411">
              <w:rPr>
                <w:rFonts w:ascii="Times New Roman" w:eastAsia="宋体" w:hAnsi="Times New Roman" w:cs="Times New Roman"/>
                <w:color w:val="000000" w:themeColor="text1"/>
                <w:kern w:val="2"/>
                <w:sz w:val="21"/>
                <w:szCs w:val="21"/>
              </w:rPr>
              <w:t>-196℃</w:t>
            </w:r>
            <w:r w:rsidRPr="008A2411">
              <w:rPr>
                <w:rFonts w:ascii="Times New Roman" w:eastAsia="宋体" w:hAnsi="Times New Roman" w:cs="Times New Roman"/>
                <w:color w:val="000000" w:themeColor="text1"/>
                <w:kern w:val="2"/>
                <w:sz w:val="21"/>
                <w:szCs w:val="21"/>
              </w:rPr>
              <w:t>（内）</w:t>
            </w:r>
            <w:r w:rsidRPr="008A2411">
              <w:rPr>
                <w:rFonts w:ascii="Times New Roman" w:eastAsia="宋体" w:hAnsi="Times New Roman" w:cs="Times New Roman"/>
                <w:color w:val="000000" w:themeColor="text1"/>
                <w:kern w:val="2"/>
                <w:sz w:val="21"/>
                <w:szCs w:val="21"/>
              </w:rPr>
              <w:t>/60℃</w:t>
            </w:r>
            <w:r w:rsidRPr="008A2411">
              <w:rPr>
                <w:rFonts w:ascii="Times New Roman" w:eastAsia="宋体" w:hAnsi="Times New Roman" w:cs="Times New Roman"/>
                <w:color w:val="000000" w:themeColor="text1"/>
                <w:kern w:val="2"/>
                <w:sz w:val="21"/>
                <w:szCs w:val="21"/>
              </w:rPr>
              <w:t>（外）；设计压力：</w:t>
            </w:r>
            <w:r w:rsidRPr="008A2411">
              <w:rPr>
                <w:rFonts w:ascii="Times New Roman" w:eastAsia="宋体" w:hAnsi="Times New Roman" w:cs="Times New Roman"/>
                <w:color w:val="000000" w:themeColor="text1"/>
                <w:kern w:val="2"/>
                <w:sz w:val="21"/>
                <w:szCs w:val="21"/>
              </w:rPr>
              <w:t>1.44MPaG</w:t>
            </w:r>
            <w:r w:rsidRPr="008A2411">
              <w:rPr>
                <w:rFonts w:ascii="Times New Roman" w:eastAsia="宋体" w:hAnsi="Times New Roman" w:cs="Times New Roman"/>
                <w:color w:val="000000" w:themeColor="text1"/>
                <w:kern w:val="2"/>
                <w:sz w:val="21"/>
                <w:szCs w:val="21"/>
              </w:rPr>
              <w:t>（内）</w:t>
            </w:r>
            <w:r w:rsidRPr="008A2411">
              <w:rPr>
                <w:rFonts w:ascii="Times New Roman" w:eastAsia="宋体" w:hAnsi="Times New Roman" w:cs="Times New Roman"/>
                <w:color w:val="000000" w:themeColor="text1"/>
                <w:kern w:val="2"/>
                <w:sz w:val="21"/>
                <w:szCs w:val="21"/>
              </w:rPr>
              <w:t>/-0.1MPaG</w:t>
            </w:r>
            <w:r w:rsidRPr="008A2411">
              <w:rPr>
                <w:rFonts w:ascii="Times New Roman" w:eastAsia="宋体" w:hAnsi="Times New Roman" w:cs="Times New Roman"/>
                <w:color w:val="000000" w:themeColor="text1"/>
                <w:kern w:val="2"/>
                <w:sz w:val="21"/>
                <w:szCs w:val="21"/>
              </w:rPr>
              <w:t>（外）</w:t>
            </w:r>
          </w:p>
        </w:tc>
        <w:tc>
          <w:tcPr>
            <w:tcW w:w="1409" w:type="dxa"/>
            <w:vAlign w:val="center"/>
          </w:tcPr>
          <w:p w14:paraId="068534F8"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组合件</w:t>
            </w:r>
          </w:p>
        </w:tc>
      </w:tr>
      <w:tr w:rsidR="008A2411" w:rsidRPr="008A2411" w14:paraId="5B1C6F8C" w14:textId="77777777">
        <w:trPr>
          <w:tblHeader/>
          <w:jc w:val="center"/>
        </w:trPr>
        <w:tc>
          <w:tcPr>
            <w:tcW w:w="631" w:type="dxa"/>
            <w:vMerge w:val="restart"/>
            <w:vAlign w:val="center"/>
          </w:tcPr>
          <w:p w14:paraId="2463F716"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rPr>
              <w:t>公</w:t>
            </w:r>
            <w:proofErr w:type="gramStart"/>
            <w:r w:rsidRPr="008A2411">
              <w:rPr>
                <w:rFonts w:ascii="Times New Roman" w:hAnsi="Times New Roman"/>
                <w:color w:val="000000" w:themeColor="text1"/>
              </w:rPr>
              <w:t>辅工程</w:t>
            </w:r>
            <w:proofErr w:type="gramEnd"/>
          </w:p>
        </w:tc>
        <w:tc>
          <w:tcPr>
            <w:tcW w:w="978" w:type="dxa"/>
            <w:vAlign w:val="center"/>
          </w:tcPr>
          <w:p w14:paraId="2A0ABEBE"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rPr>
              <w:t>火炬系统</w:t>
            </w:r>
          </w:p>
        </w:tc>
        <w:tc>
          <w:tcPr>
            <w:tcW w:w="1754" w:type="dxa"/>
            <w:gridSpan w:val="2"/>
            <w:vAlign w:val="center"/>
          </w:tcPr>
          <w:p w14:paraId="794437E4"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放空火炬</w:t>
            </w:r>
          </w:p>
        </w:tc>
        <w:tc>
          <w:tcPr>
            <w:tcW w:w="1005" w:type="dxa"/>
            <w:vAlign w:val="center"/>
          </w:tcPr>
          <w:p w14:paraId="492120DC"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1</w:t>
            </w:r>
          </w:p>
        </w:tc>
        <w:tc>
          <w:tcPr>
            <w:tcW w:w="2745" w:type="dxa"/>
            <w:vAlign w:val="center"/>
          </w:tcPr>
          <w:p w14:paraId="16F67BA7"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DN200</w:t>
            </w:r>
            <w:r w:rsidRPr="008A2411">
              <w:rPr>
                <w:rFonts w:ascii="Times New Roman" w:hAnsi="Times New Roman"/>
                <w:color w:val="000000" w:themeColor="text1"/>
              </w:rPr>
              <w:t>，</w:t>
            </w:r>
            <w:r w:rsidRPr="008A2411">
              <w:rPr>
                <w:rFonts w:ascii="Times New Roman" w:hAnsi="Times New Roman"/>
                <w:color w:val="000000" w:themeColor="text1"/>
              </w:rPr>
              <w:t>30m</w:t>
            </w:r>
          </w:p>
        </w:tc>
        <w:tc>
          <w:tcPr>
            <w:tcW w:w="1409" w:type="dxa"/>
            <w:vAlign w:val="center"/>
          </w:tcPr>
          <w:p w14:paraId="08F28672" w14:textId="77777777" w:rsidR="00B0005F" w:rsidRPr="008A2411" w:rsidRDefault="00B0005F">
            <w:pPr>
              <w:pStyle w:val="WJ5"/>
              <w:spacing w:line="240" w:lineRule="auto"/>
              <w:rPr>
                <w:rFonts w:ascii="Times New Roman" w:hAnsi="Times New Roman"/>
                <w:color w:val="000000" w:themeColor="text1"/>
              </w:rPr>
            </w:pPr>
          </w:p>
        </w:tc>
      </w:tr>
      <w:tr w:rsidR="008A2411" w:rsidRPr="008A2411" w14:paraId="1CF214AD" w14:textId="77777777">
        <w:trPr>
          <w:tblHeader/>
          <w:jc w:val="center"/>
        </w:trPr>
        <w:tc>
          <w:tcPr>
            <w:tcW w:w="631" w:type="dxa"/>
            <w:vMerge/>
            <w:vAlign w:val="center"/>
          </w:tcPr>
          <w:p w14:paraId="6CF0272C" w14:textId="77777777" w:rsidR="00B0005F" w:rsidRPr="008A2411" w:rsidRDefault="00B0005F">
            <w:pPr>
              <w:pStyle w:val="WJ4"/>
              <w:spacing w:line="240" w:lineRule="auto"/>
              <w:rPr>
                <w:rFonts w:ascii="Times New Roman" w:hAnsi="Times New Roman"/>
                <w:color w:val="000000" w:themeColor="text1"/>
              </w:rPr>
            </w:pPr>
          </w:p>
        </w:tc>
        <w:tc>
          <w:tcPr>
            <w:tcW w:w="978" w:type="dxa"/>
            <w:vMerge w:val="restart"/>
            <w:vAlign w:val="center"/>
          </w:tcPr>
          <w:p w14:paraId="541BB09B"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kern w:val="2"/>
                <w:szCs w:val="24"/>
                <w:lang w:bidi="ar"/>
              </w:rPr>
              <w:t>制氮系统</w:t>
            </w:r>
          </w:p>
        </w:tc>
        <w:tc>
          <w:tcPr>
            <w:tcW w:w="1754" w:type="dxa"/>
            <w:gridSpan w:val="2"/>
            <w:vAlign w:val="center"/>
          </w:tcPr>
          <w:p w14:paraId="4552FA42" w14:textId="77777777" w:rsidR="00B0005F" w:rsidRPr="008A2411" w:rsidRDefault="00000000">
            <w:pPr>
              <w:widowControl/>
              <w:adjustRightInd w:val="0"/>
              <w:snapToGrid w:val="0"/>
              <w:jc w:val="center"/>
              <w:rPr>
                <w:rFonts w:ascii="Times New Roman"/>
                <w:bCs/>
                <w:color w:val="000000" w:themeColor="text1"/>
                <w:kern w:val="2"/>
                <w:sz w:val="21"/>
                <w:szCs w:val="21"/>
                <w:lang w:bidi="ar"/>
              </w:rPr>
            </w:pPr>
            <w:r w:rsidRPr="008A2411">
              <w:rPr>
                <w:rFonts w:ascii="Times New Roman"/>
                <w:bCs/>
                <w:color w:val="000000" w:themeColor="text1"/>
                <w:kern w:val="2"/>
                <w:sz w:val="21"/>
                <w:szCs w:val="21"/>
                <w:lang w:bidi="ar"/>
              </w:rPr>
              <w:t>PSA</w:t>
            </w:r>
            <w:r w:rsidRPr="008A2411">
              <w:rPr>
                <w:rFonts w:ascii="Times New Roman"/>
                <w:bCs/>
                <w:color w:val="000000" w:themeColor="text1"/>
                <w:kern w:val="2"/>
                <w:sz w:val="21"/>
                <w:szCs w:val="21"/>
                <w:lang w:bidi="ar"/>
              </w:rPr>
              <w:t>制氮系统（含</w:t>
            </w:r>
            <w:r w:rsidRPr="008A2411">
              <w:rPr>
                <w:rFonts w:ascii="Times New Roman"/>
                <w:bCs/>
                <w:color w:val="000000" w:themeColor="text1"/>
                <w:kern w:val="2"/>
                <w:sz w:val="21"/>
                <w:szCs w:val="21"/>
                <w:lang w:bidi="ar"/>
              </w:rPr>
              <w:t>1</w:t>
            </w:r>
            <w:r w:rsidRPr="008A2411">
              <w:rPr>
                <w:rFonts w:ascii="Times New Roman"/>
                <w:bCs/>
                <w:color w:val="000000" w:themeColor="text1"/>
                <w:kern w:val="2"/>
                <w:sz w:val="21"/>
                <w:szCs w:val="21"/>
                <w:lang w:bidi="ar"/>
              </w:rPr>
              <w:t>台空压机）</w:t>
            </w:r>
          </w:p>
        </w:tc>
        <w:tc>
          <w:tcPr>
            <w:tcW w:w="1005" w:type="dxa"/>
            <w:vAlign w:val="center"/>
          </w:tcPr>
          <w:p w14:paraId="1B57888D" w14:textId="77777777" w:rsidR="00B0005F" w:rsidRPr="008A2411" w:rsidRDefault="00000000">
            <w:pPr>
              <w:widowControl/>
              <w:adjustRightInd w:val="0"/>
              <w:snapToGrid w:val="0"/>
              <w:jc w:val="center"/>
              <w:rPr>
                <w:rFonts w:ascii="Times New Roman"/>
                <w:bCs/>
                <w:color w:val="000000" w:themeColor="text1"/>
                <w:kern w:val="2"/>
                <w:sz w:val="21"/>
                <w:szCs w:val="21"/>
                <w:lang w:bidi="ar"/>
              </w:rPr>
            </w:pPr>
            <w:r w:rsidRPr="008A2411">
              <w:rPr>
                <w:rFonts w:ascii="Times New Roman"/>
                <w:bCs/>
                <w:color w:val="000000" w:themeColor="text1"/>
                <w:kern w:val="2"/>
                <w:sz w:val="21"/>
                <w:szCs w:val="21"/>
                <w:lang w:bidi="ar"/>
              </w:rPr>
              <w:t>1</w:t>
            </w:r>
          </w:p>
        </w:tc>
        <w:tc>
          <w:tcPr>
            <w:tcW w:w="2745" w:type="dxa"/>
            <w:vAlign w:val="center"/>
          </w:tcPr>
          <w:p w14:paraId="081E4325" w14:textId="77777777" w:rsidR="00B0005F" w:rsidRPr="008A2411" w:rsidRDefault="00000000">
            <w:pPr>
              <w:widowControl/>
              <w:adjustRightInd w:val="0"/>
              <w:snapToGrid w:val="0"/>
              <w:jc w:val="center"/>
              <w:rPr>
                <w:rFonts w:ascii="Times New Roman"/>
                <w:bCs/>
                <w:color w:val="000000" w:themeColor="text1"/>
                <w:kern w:val="2"/>
                <w:sz w:val="21"/>
                <w:szCs w:val="21"/>
                <w:lang w:bidi="ar"/>
              </w:rPr>
            </w:pPr>
            <w:r w:rsidRPr="008A2411">
              <w:rPr>
                <w:rFonts w:ascii="Times New Roman"/>
                <w:bCs/>
                <w:color w:val="000000" w:themeColor="text1"/>
                <w:kern w:val="2"/>
                <w:sz w:val="21"/>
                <w:szCs w:val="21"/>
                <w:lang w:bidi="ar"/>
              </w:rPr>
              <w:t>氮气产量：</w:t>
            </w:r>
            <w:r w:rsidRPr="008A2411">
              <w:rPr>
                <w:rFonts w:ascii="Times New Roman"/>
                <w:bCs/>
                <w:color w:val="000000" w:themeColor="text1"/>
                <w:kern w:val="2"/>
                <w:sz w:val="21"/>
                <w:szCs w:val="21"/>
                <w:lang w:bidi="ar"/>
              </w:rPr>
              <w:t>150Nm</w:t>
            </w:r>
            <w:r w:rsidRPr="008A2411">
              <w:rPr>
                <w:rFonts w:ascii="Times New Roman"/>
                <w:bCs/>
                <w:color w:val="000000" w:themeColor="text1"/>
                <w:kern w:val="2"/>
                <w:sz w:val="21"/>
                <w:szCs w:val="21"/>
                <w:vertAlign w:val="superscript"/>
                <w:lang w:bidi="ar"/>
              </w:rPr>
              <w:t>3</w:t>
            </w:r>
            <w:r w:rsidRPr="008A2411">
              <w:rPr>
                <w:rFonts w:ascii="Times New Roman"/>
                <w:bCs/>
                <w:color w:val="000000" w:themeColor="text1"/>
                <w:kern w:val="2"/>
                <w:sz w:val="21"/>
                <w:szCs w:val="21"/>
                <w:lang w:bidi="ar"/>
              </w:rPr>
              <w:t>/h</w:t>
            </w:r>
          </w:p>
          <w:p w14:paraId="0C02A595" w14:textId="77777777" w:rsidR="00B0005F" w:rsidRPr="008A2411" w:rsidRDefault="00000000">
            <w:pPr>
              <w:widowControl/>
              <w:adjustRightInd w:val="0"/>
              <w:snapToGrid w:val="0"/>
              <w:jc w:val="center"/>
              <w:rPr>
                <w:rFonts w:ascii="Times New Roman"/>
                <w:bCs/>
                <w:color w:val="000000" w:themeColor="text1"/>
                <w:kern w:val="2"/>
                <w:sz w:val="21"/>
                <w:szCs w:val="21"/>
                <w:lang w:bidi="ar"/>
              </w:rPr>
            </w:pPr>
            <w:r w:rsidRPr="008A2411">
              <w:rPr>
                <w:rFonts w:ascii="Times New Roman"/>
                <w:bCs/>
                <w:color w:val="000000" w:themeColor="text1"/>
                <w:kern w:val="2"/>
                <w:sz w:val="21"/>
                <w:szCs w:val="21"/>
                <w:lang w:bidi="ar"/>
              </w:rPr>
              <w:t>产品压力：</w:t>
            </w:r>
            <w:r w:rsidRPr="008A2411">
              <w:rPr>
                <w:rFonts w:ascii="Times New Roman"/>
                <w:bCs/>
                <w:color w:val="000000" w:themeColor="text1"/>
                <w:kern w:val="2"/>
                <w:sz w:val="21"/>
                <w:szCs w:val="21"/>
                <w:lang w:bidi="ar"/>
              </w:rPr>
              <w:t>0.7MPa</w:t>
            </w:r>
          </w:p>
          <w:p w14:paraId="5C96EF03" w14:textId="77777777" w:rsidR="00B0005F" w:rsidRPr="008A2411" w:rsidRDefault="00000000">
            <w:pPr>
              <w:widowControl/>
              <w:adjustRightInd w:val="0"/>
              <w:snapToGrid w:val="0"/>
              <w:jc w:val="center"/>
              <w:rPr>
                <w:rFonts w:ascii="Times New Roman"/>
                <w:bCs/>
                <w:color w:val="000000" w:themeColor="text1"/>
                <w:kern w:val="2"/>
                <w:sz w:val="21"/>
                <w:szCs w:val="21"/>
                <w:lang w:bidi="ar"/>
              </w:rPr>
            </w:pPr>
            <w:r w:rsidRPr="008A2411">
              <w:rPr>
                <w:rFonts w:ascii="Times New Roman"/>
                <w:bCs/>
                <w:color w:val="000000" w:themeColor="text1"/>
                <w:kern w:val="2"/>
                <w:sz w:val="21"/>
                <w:szCs w:val="21"/>
                <w:lang w:bidi="ar"/>
              </w:rPr>
              <w:t>纯度：</w:t>
            </w:r>
            <w:r w:rsidRPr="008A2411">
              <w:rPr>
                <w:rFonts w:ascii="Times New Roman"/>
                <w:bCs/>
                <w:color w:val="000000" w:themeColor="text1"/>
                <w:kern w:val="2"/>
                <w:sz w:val="21"/>
                <w:szCs w:val="21"/>
                <w:lang w:bidi="ar"/>
              </w:rPr>
              <w:t>99.95%</w:t>
            </w:r>
          </w:p>
          <w:p w14:paraId="255C3489" w14:textId="77777777" w:rsidR="00B0005F" w:rsidRPr="008A2411" w:rsidRDefault="00000000">
            <w:pPr>
              <w:widowControl/>
              <w:adjustRightInd w:val="0"/>
              <w:snapToGrid w:val="0"/>
              <w:jc w:val="center"/>
              <w:rPr>
                <w:rFonts w:ascii="Times New Roman"/>
                <w:bCs/>
                <w:color w:val="000000" w:themeColor="text1"/>
                <w:kern w:val="2"/>
                <w:sz w:val="21"/>
                <w:szCs w:val="21"/>
                <w:lang w:bidi="ar"/>
              </w:rPr>
            </w:pPr>
            <w:r w:rsidRPr="008A2411">
              <w:rPr>
                <w:rFonts w:ascii="Times New Roman"/>
                <w:bCs/>
                <w:color w:val="000000" w:themeColor="text1"/>
                <w:kern w:val="2"/>
                <w:sz w:val="21"/>
                <w:szCs w:val="21"/>
                <w:lang w:bidi="ar"/>
              </w:rPr>
              <w:t>露点温度：</w:t>
            </w:r>
            <w:r w:rsidRPr="008A2411">
              <w:rPr>
                <w:rFonts w:ascii="Times New Roman"/>
                <w:bCs/>
                <w:color w:val="000000" w:themeColor="text1"/>
                <w:kern w:val="2"/>
                <w:sz w:val="21"/>
                <w:szCs w:val="21"/>
                <w:lang w:bidi="ar"/>
              </w:rPr>
              <w:t>≤-70℃</w:t>
            </w:r>
            <w:r w:rsidRPr="008A2411">
              <w:rPr>
                <w:rFonts w:ascii="Times New Roman"/>
                <w:bCs/>
                <w:color w:val="000000" w:themeColor="text1"/>
                <w:kern w:val="2"/>
                <w:sz w:val="21"/>
                <w:szCs w:val="21"/>
                <w:lang w:bidi="ar"/>
              </w:rPr>
              <w:t>（常压）</w:t>
            </w:r>
          </w:p>
        </w:tc>
        <w:tc>
          <w:tcPr>
            <w:tcW w:w="1409" w:type="dxa"/>
            <w:vAlign w:val="center"/>
          </w:tcPr>
          <w:p w14:paraId="5D583B91" w14:textId="77777777" w:rsidR="00B0005F" w:rsidRPr="008A2411" w:rsidRDefault="00B0005F">
            <w:pPr>
              <w:widowControl/>
              <w:adjustRightInd w:val="0"/>
              <w:snapToGrid w:val="0"/>
              <w:jc w:val="center"/>
              <w:rPr>
                <w:rFonts w:ascii="Times New Roman"/>
                <w:bCs/>
                <w:color w:val="000000" w:themeColor="text1"/>
                <w:kern w:val="2"/>
                <w:sz w:val="21"/>
                <w:szCs w:val="21"/>
                <w:lang w:bidi="ar"/>
              </w:rPr>
            </w:pPr>
          </w:p>
        </w:tc>
      </w:tr>
      <w:tr w:rsidR="008A2411" w:rsidRPr="008A2411" w14:paraId="77585AEB" w14:textId="77777777">
        <w:trPr>
          <w:tblHeader/>
          <w:jc w:val="center"/>
        </w:trPr>
        <w:tc>
          <w:tcPr>
            <w:tcW w:w="631" w:type="dxa"/>
            <w:vMerge/>
            <w:vAlign w:val="center"/>
          </w:tcPr>
          <w:p w14:paraId="0E0FF303"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14EA7C7B"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02B62B9E" w14:textId="77777777" w:rsidR="00B0005F" w:rsidRPr="008A2411" w:rsidRDefault="00000000">
            <w:pPr>
              <w:widowControl/>
              <w:adjustRightInd w:val="0"/>
              <w:snapToGrid w:val="0"/>
              <w:jc w:val="center"/>
              <w:rPr>
                <w:rFonts w:ascii="Times New Roman"/>
                <w:bCs/>
                <w:color w:val="000000" w:themeColor="text1"/>
                <w:kern w:val="2"/>
                <w:sz w:val="21"/>
                <w:szCs w:val="21"/>
                <w:lang w:bidi="ar"/>
              </w:rPr>
            </w:pPr>
            <w:r w:rsidRPr="008A2411">
              <w:rPr>
                <w:rFonts w:ascii="Times New Roman"/>
                <w:bCs/>
                <w:color w:val="000000" w:themeColor="text1"/>
                <w:kern w:val="2"/>
                <w:sz w:val="21"/>
                <w:szCs w:val="21"/>
                <w:lang w:bidi="ar"/>
              </w:rPr>
              <w:t>液氮储罐</w:t>
            </w:r>
          </w:p>
        </w:tc>
        <w:tc>
          <w:tcPr>
            <w:tcW w:w="1005" w:type="dxa"/>
            <w:vAlign w:val="center"/>
          </w:tcPr>
          <w:p w14:paraId="21B3F0F7" w14:textId="77777777" w:rsidR="00B0005F" w:rsidRPr="008A2411" w:rsidRDefault="00000000">
            <w:pPr>
              <w:widowControl/>
              <w:adjustRightInd w:val="0"/>
              <w:snapToGrid w:val="0"/>
              <w:jc w:val="center"/>
              <w:rPr>
                <w:rFonts w:ascii="Times New Roman"/>
                <w:bCs/>
                <w:color w:val="000000" w:themeColor="text1"/>
                <w:kern w:val="2"/>
                <w:sz w:val="21"/>
                <w:szCs w:val="21"/>
                <w:lang w:bidi="ar"/>
              </w:rPr>
            </w:pPr>
            <w:r w:rsidRPr="008A2411">
              <w:rPr>
                <w:rFonts w:ascii="Times New Roman"/>
                <w:bCs/>
                <w:color w:val="000000" w:themeColor="text1"/>
                <w:kern w:val="2"/>
                <w:sz w:val="21"/>
                <w:szCs w:val="21"/>
                <w:lang w:bidi="ar"/>
              </w:rPr>
              <w:t>1</w:t>
            </w:r>
          </w:p>
        </w:tc>
        <w:tc>
          <w:tcPr>
            <w:tcW w:w="2745" w:type="dxa"/>
            <w:vAlign w:val="center"/>
          </w:tcPr>
          <w:p w14:paraId="0F2FFFCA" w14:textId="77777777" w:rsidR="00B0005F" w:rsidRPr="008A2411" w:rsidRDefault="00000000">
            <w:pPr>
              <w:widowControl/>
              <w:adjustRightInd w:val="0"/>
              <w:snapToGrid w:val="0"/>
              <w:jc w:val="center"/>
              <w:rPr>
                <w:rFonts w:ascii="Times New Roman"/>
                <w:bCs/>
                <w:color w:val="000000" w:themeColor="text1"/>
                <w:kern w:val="2"/>
                <w:sz w:val="21"/>
                <w:szCs w:val="21"/>
                <w:lang w:bidi="ar"/>
              </w:rPr>
            </w:pPr>
            <w:r w:rsidRPr="008A2411">
              <w:rPr>
                <w:rFonts w:ascii="Times New Roman"/>
                <w:bCs/>
                <w:color w:val="000000" w:themeColor="text1"/>
                <w:kern w:val="2"/>
                <w:sz w:val="21"/>
                <w:szCs w:val="21"/>
                <w:lang w:bidi="ar"/>
              </w:rPr>
              <w:t>V=30m³,</w:t>
            </w:r>
            <w:r w:rsidRPr="008A2411">
              <w:rPr>
                <w:rFonts w:ascii="Times New Roman"/>
                <w:bCs/>
                <w:color w:val="000000" w:themeColor="text1"/>
                <w:kern w:val="2"/>
                <w:sz w:val="21"/>
                <w:szCs w:val="21"/>
                <w:lang w:bidi="ar"/>
              </w:rPr>
              <w:t>真空绝热储罐</w:t>
            </w:r>
          </w:p>
        </w:tc>
        <w:tc>
          <w:tcPr>
            <w:tcW w:w="1409" w:type="dxa"/>
            <w:vAlign w:val="center"/>
          </w:tcPr>
          <w:p w14:paraId="3F749A83" w14:textId="77777777" w:rsidR="00B0005F" w:rsidRPr="008A2411" w:rsidRDefault="00000000">
            <w:pPr>
              <w:widowControl/>
              <w:adjustRightInd w:val="0"/>
              <w:snapToGrid w:val="0"/>
              <w:jc w:val="center"/>
              <w:rPr>
                <w:rFonts w:ascii="Times New Roman"/>
                <w:bCs/>
                <w:color w:val="000000" w:themeColor="text1"/>
                <w:kern w:val="2"/>
                <w:sz w:val="21"/>
                <w:szCs w:val="21"/>
                <w:lang w:bidi="ar"/>
              </w:rPr>
            </w:pPr>
            <w:r w:rsidRPr="008A2411">
              <w:rPr>
                <w:rFonts w:ascii="Times New Roman"/>
                <w:bCs/>
                <w:color w:val="000000" w:themeColor="text1"/>
                <w:kern w:val="2"/>
                <w:sz w:val="21"/>
                <w:szCs w:val="21"/>
                <w:lang w:bidi="ar"/>
              </w:rPr>
              <w:t>S30408/Q345R</w:t>
            </w:r>
          </w:p>
        </w:tc>
      </w:tr>
      <w:tr w:rsidR="008A2411" w:rsidRPr="008A2411" w14:paraId="0D82EE39" w14:textId="77777777">
        <w:trPr>
          <w:tblHeader/>
          <w:jc w:val="center"/>
        </w:trPr>
        <w:tc>
          <w:tcPr>
            <w:tcW w:w="631" w:type="dxa"/>
            <w:vMerge/>
            <w:vAlign w:val="center"/>
          </w:tcPr>
          <w:p w14:paraId="13A4E694"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382E8353"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6B70CC89" w14:textId="77777777" w:rsidR="00B0005F" w:rsidRPr="008A2411" w:rsidRDefault="00000000">
            <w:pPr>
              <w:widowControl/>
              <w:adjustRightInd w:val="0"/>
              <w:snapToGrid w:val="0"/>
              <w:jc w:val="center"/>
              <w:rPr>
                <w:rFonts w:ascii="Times New Roman"/>
                <w:bCs/>
                <w:color w:val="000000" w:themeColor="text1"/>
                <w:kern w:val="2"/>
                <w:sz w:val="21"/>
                <w:szCs w:val="21"/>
                <w:lang w:bidi="ar"/>
              </w:rPr>
            </w:pPr>
            <w:r w:rsidRPr="008A2411">
              <w:rPr>
                <w:rFonts w:ascii="Times New Roman"/>
                <w:bCs/>
                <w:color w:val="000000" w:themeColor="text1"/>
                <w:kern w:val="2"/>
                <w:sz w:val="21"/>
                <w:szCs w:val="21"/>
                <w:lang w:bidi="ar"/>
              </w:rPr>
              <w:t>液氮汽化器</w:t>
            </w:r>
          </w:p>
        </w:tc>
        <w:tc>
          <w:tcPr>
            <w:tcW w:w="1005" w:type="dxa"/>
            <w:vAlign w:val="center"/>
          </w:tcPr>
          <w:p w14:paraId="61638540" w14:textId="77777777" w:rsidR="00B0005F" w:rsidRPr="008A2411" w:rsidRDefault="00000000">
            <w:pPr>
              <w:widowControl/>
              <w:adjustRightInd w:val="0"/>
              <w:snapToGrid w:val="0"/>
              <w:jc w:val="center"/>
              <w:rPr>
                <w:rFonts w:ascii="Times New Roman"/>
                <w:bCs/>
                <w:color w:val="000000" w:themeColor="text1"/>
                <w:kern w:val="2"/>
                <w:sz w:val="21"/>
                <w:szCs w:val="21"/>
                <w:lang w:bidi="ar"/>
              </w:rPr>
            </w:pPr>
            <w:r w:rsidRPr="008A2411">
              <w:rPr>
                <w:rFonts w:ascii="Times New Roman"/>
                <w:bCs/>
                <w:color w:val="000000" w:themeColor="text1"/>
                <w:kern w:val="2"/>
                <w:sz w:val="21"/>
                <w:szCs w:val="21"/>
                <w:lang w:bidi="ar"/>
              </w:rPr>
              <w:t>1</w:t>
            </w:r>
          </w:p>
        </w:tc>
        <w:tc>
          <w:tcPr>
            <w:tcW w:w="2745" w:type="dxa"/>
            <w:vAlign w:val="center"/>
          </w:tcPr>
          <w:p w14:paraId="41FBCE3A" w14:textId="77777777" w:rsidR="00B0005F" w:rsidRPr="008A2411" w:rsidRDefault="00000000">
            <w:pPr>
              <w:widowControl/>
              <w:adjustRightInd w:val="0"/>
              <w:snapToGrid w:val="0"/>
              <w:jc w:val="center"/>
              <w:rPr>
                <w:rFonts w:ascii="Times New Roman"/>
                <w:bCs/>
                <w:color w:val="000000" w:themeColor="text1"/>
                <w:kern w:val="2"/>
                <w:sz w:val="21"/>
                <w:szCs w:val="21"/>
                <w:lang w:bidi="ar"/>
              </w:rPr>
            </w:pPr>
            <w:r w:rsidRPr="008A2411">
              <w:rPr>
                <w:rFonts w:ascii="Times New Roman"/>
                <w:bCs/>
                <w:color w:val="000000" w:themeColor="text1"/>
                <w:kern w:val="2"/>
                <w:sz w:val="21"/>
                <w:szCs w:val="21"/>
                <w:lang w:bidi="ar"/>
              </w:rPr>
              <w:t>空温式，</w:t>
            </w:r>
            <w:r w:rsidRPr="008A2411">
              <w:rPr>
                <w:rFonts w:ascii="Times New Roman"/>
                <w:bCs/>
                <w:color w:val="000000" w:themeColor="text1"/>
                <w:kern w:val="2"/>
                <w:sz w:val="21"/>
                <w:szCs w:val="21"/>
                <w:lang w:bidi="ar"/>
              </w:rPr>
              <w:t>1000Nm³/h</w:t>
            </w:r>
            <w:r w:rsidRPr="008A2411">
              <w:rPr>
                <w:rFonts w:ascii="Times New Roman"/>
                <w:bCs/>
                <w:color w:val="000000" w:themeColor="text1"/>
                <w:kern w:val="2"/>
                <w:sz w:val="21"/>
                <w:szCs w:val="21"/>
                <w:lang w:bidi="ar"/>
              </w:rPr>
              <w:t>，设计压力</w:t>
            </w:r>
            <w:r w:rsidRPr="008A2411">
              <w:rPr>
                <w:rFonts w:ascii="Times New Roman"/>
                <w:bCs/>
                <w:color w:val="000000" w:themeColor="text1"/>
                <w:kern w:val="2"/>
                <w:sz w:val="21"/>
                <w:szCs w:val="21"/>
                <w:lang w:bidi="ar"/>
              </w:rPr>
              <w:t>:1.0MPaG</w:t>
            </w:r>
            <w:r w:rsidRPr="008A2411">
              <w:rPr>
                <w:rFonts w:ascii="Times New Roman"/>
                <w:bCs/>
                <w:color w:val="000000" w:themeColor="text1"/>
                <w:kern w:val="2"/>
                <w:sz w:val="21"/>
                <w:szCs w:val="21"/>
                <w:lang w:bidi="ar"/>
              </w:rPr>
              <w:t>；设计温度</w:t>
            </w:r>
            <w:r w:rsidRPr="008A2411">
              <w:rPr>
                <w:rFonts w:ascii="Times New Roman"/>
                <w:bCs/>
                <w:color w:val="000000" w:themeColor="text1"/>
                <w:kern w:val="2"/>
                <w:sz w:val="21"/>
                <w:szCs w:val="21"/>
                <w:lang w:bidi="ar"/>
              </w:rPr>
              <w:t>:-196℃</w:t>
            </w:r>
          </w:p>
        </w:tc>
        <w:tc>
          <w:tcPr>
            <w:tcW w:w="1409" w:type="dxa"/>
            <w:vAlign w:val="center"/>
          </w:tcPr>
          <w:p w14:paraId="74236913" w14:textId="77777777" w:rsidR="00B0005F" w:rsidRPr="008A2411" w:rsidRDefault="00000000">
            <w:pPr>
              <w:widowControl/>
              <w:adjustRightInd w:val="0"/>
              <w:snapToGrid w:val="0"/>
              <w:jc w:val="center"/>
              <w:rPr>
                <w:rFonts w:ascii="Times New Roman"/>
                <w:bCs/>
                <w:color w:val="000000" w:themeColor="text1"/>
                <w:kern w:val="2"/>
                <w:sz w:val="21"/>
                <w:szCs w:val="21"/>
                <w:lang w:bidi="ar"/>
              </w:rPr>
            </w:pPr>
            <w:r w:rsidRPr="008A2411">
              <w:rPr>
                <w:rFonts w:ascii="Times New Roman"/>
                <w:bCs/>
                <w:color w:val="000000" w:themeColor="text1"/>
                <w:kern w:val="2"/>
                <w:sz w:val="21"/>
                <w:szCs w:val="21"/>
                <w:lang w:bidi="ar"/>
              </w:rPr>
              <w:t>Al</w:t>
            </w:r>
          </w:p>
        </w:tc>
      </w:tr>
      <w:tr w:rsidR="008A2411" w:rsidRPr="008A2411" w14:paraId="2540E605" w14:textId="77777777">
        <w:trPr>
          <w:tblHeader/>
          <w:jc w:val="center"/>
        </w:trPr>
        <w:tc>
          <w:tcPr>
            <w:tcW w:w="631" w:type="dxa"/>
            <w:vMerge/>
            <w:vAlign w:val="center"/>
          </w:tcPr>
          <w:p w14:paraId="72F9BEF8"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72202E1F"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5796492E" w14:textId="77777777" w:rsidR="00B0005F" w:rsidRPr="008A2411" w:rsidRDefault="00000000">
            <w:pPr>
              <w:widowControl/>
              <w:adjustRightInd w:val="0"/>
              <w:snapToGrid w:val="0"/>
              <w:jc w:val="center"/>
              <w:rPr>
                <w:rFonts w:ascii="Times New Roman"/>
                <w:bCs/>
                <w:color w:val="000000" w:themeColor="text1"/>
                <w:kern w:val="2"/>
                <w:sz w:val="21"/>
                <w:szCs w:val="21"/>
                <w:lang w:bidi="ar"/>
              </w:rPr>
            </w:pPr>
            <w:r w:rsidRPr="008A2411">
              <w:rPr>
                <w:rFonts w:ascii="Times New Roman"/>
                <w:bCs/>
                <w:color w:val="000000" w:themeColor="text1"/>
                <w:kern w:val="2"/>
                <w:sz w:val="21"/>
                <w:szCs w:val="21"/>
                <w:lang w:bidi="ar"/>
              </w:rPr>
              <w:t>氮气平衡罐</w:t>
            </w:r>
          </w:p>
        </w:tc>
        <w:tc>
          <w:tcPr>
            <w:tcW w:w="1005" w:type="dxa"/>
            <w:vAlign w:val="center"/>
          </w:tcPr>
          <w:p w14:paraId="3B825589" w14:textId="77777777" w:rsidR="00B0005F" w:rsidRPr="008A2411" w:rsidRDefault="00000000">
            <w:pPr>
              <w:widowControl/>
              <w:adjustRightInd w:val="0"/>
              <w:snapToGrid w:val="0"/>
              <w:jc w:val="center"/>
              <w:rPr>
                <w:rFonts w:ascii="Times New Roman"/>
                <w:bCs/>
                <w:color w:val="000000" w:themeColor="text1"/>
                <w:kern w:val="2"/>
                <w:sz w:val="21"/>
                <w:szCs w:val="21"/>
                <w:lang w:bidi="ar"/>
              </w:rPr>
            </w:pPr>
            <w:r w:rsidRPr="008A2411">
              <w:rPr>
                <w:rFonts w:ascii="Times New Roman"/>
                <w:bCs/>
                <w:color w:val="000000" w:themeColor="text1"/>
                <w:kern w:val="2"/>
                <w:sz w:val="21"/>
                <w:szCs w:val="21"/>
                <w:lang w:bidi="ar"/>
              </w:rPr>
              <w:t>1</w:t>
            </w:r>
          </w:p>
        </w:tc>
        <w:tc>
          <w:tcPr>
            <w:tcW w:w="2745" w:type="dxa"/>
            <w:vAlign w:val="center"/>
          </w:tcPr>
          <w:p w14:paraId="12182ADC" w14:textId="77777777" w:rsidR="00B0005F" w:rsidRPr="008A2411" w:rsidRDefault="00000000">
            <w:pPr>
              <w:widowControl/>
              <w:adjustRightInd w:val="0"/>
              <w:snapToGrid w:val="0"/>
              <w:jc w:val="center"/>
              <w:rPr>
                <w:rFonts w:ascii="Times New Roman"/>
                <w:bCs/>
                <w:color w:val="000000" w:themeColor="text1"/>
                <w:kern w:val="2"/>
                <w:sz w:val="21"/>
                <w:szCs w:val="21"/>
                <w:lang w:bidi="ar"/>
              </w:rPr>
            </w:pPr>
            <w:r w:rsidRPr="008A2411">
              <w:rPr>
                <w:rFonts w:ascii="Times New Roman"/>
                <w:bCs/>
                <w:color w:val="000000" w:themeColor="text1"/>
                <w:kern w:val="2"/>
                <w:sz w:val="21"/>
                <w:szCs w:val="21"/>
                <w:lang w:bidi="ar"/>
              </w:rPr>
              <w:t>φ1200×4000mm</w:t>
            </w:r>
            <w:r w:rsidRPr="008A2411">
              <w:rPr>
                <w:rFonts w:ascii="Times New Roman"/>
                <w:bCs/>
                <w:color w:val="000000" w:themeColor="text1"/>
                <w:kern w:val="2"/>
                <w:sz w:val="21"/>
                <w:szCs w:val="21"/>
                <w:lang w:bidi="ar"/>
              </w:rPr>
              <w:t>，立式，设计压力：</w:t>
            </w:r>
            <w:r w:rsidRPr="008A2411">
              <w:rPr>
                <w:rFonts w:ascii="Times New Roman"/>
                <w:bCs/>
                <w:color w:val="000000" w:themeColor="text1"/>
                <w:kern w:val="2"/>
                <w:sz w:val="21"/>
                <w:szCs w:val="21"/>
                <w:lang w:bidi="ar"/>
              </w:rPr>
              <w:t>1.0MPaG</w:t>
            </w:r>
            <w:r w:rsidRPr="008A2411">
              <w:rPr>
                <w:rFonts w:ascii="Times New Roman"/>
                <w:bCs/>
                <w:color w:val="000000" w:themeColor="text1"/>
                <w:kern w:val="2"/>
                <w:sz w:val="21"/>
                <w:szCs w:val="21"/>
                <w:lang w:bidi="ar"/>
              </w:rPr>
              <w:t>；设计温度：</w:t>
            </w:r>
            <w:r w:rsidRPr="008A2411">
              <w:rPr>
                <w:rFonts w:ascii="Times New Roman"/>
                <w:bCs/>
                <w:color w:val="000000" w:themeColor="text1"/>
                <w:kern w:val="2"/>
                <w:sz w:val="21"/>
                <w:szCs w:val="21"/>
                <w:lang w:bidi="ar"/>
              </w:rPr>
              <w:t>60℃</w:t>
            </w:r>
          </w:p>
        </w:tc>
        <w:tc>
          <w:tcPr>
            <w:tcW w:w="1409" w:type="dxa"/>
            <w:vAlign w:val="center"/>
          </w:tcPr>
          <w:p w14:paraId="4430F557" w14:textId="77777777" w:rsidR="00B0005F" w:rsidRPr="008A2411" w:rsidRDefault="00000000">
            <w:pPr>
              <w:widowControl/>
              <w:adjustRightInd w:val="0"/>
              <w:snapToGrid w:val="0"/>
              <w:jc w:val="center"/>
              <w:rPr>
                <w:rFonts w:ascii="Times New Roman"/>
                <w:bCs/>
                <w:color w:val="000000" w:themeColor="text1"/>
                <w:kern w:val="2"/>
                <w:sz w:val="21"/>
                <w:szCs w:val="21"/>
                <w:lang w:bidi="ar"/>
              </w:rPr>
            </w:pPr>
            <w:r w:rsidRPr="008A2411">
              <w:rPr>
                <w:rFonts w:ascii="Times New Roman"/>
                <w:bCs/>
                <w:color w:val="000000" w:themeColor="text1"/>
                <w:kern w:val="2"/>
                <w:sz w:val="21"/>
                <w:szCs w:val="21"/>
                <w:lang w:bidi="ar"/>
              </w:rPr>
              <w:t>Q345R</w:t>
            </w:r>
          </w:p>
        </w:tc>
      </w:tr>
      <w:tr w:rsidR="008A2411" w:rsidRPr="008A2411" w14:paraId="120B4825" w14:textId="77777777">
        <w:trPr>
          <w:tblHeader/>
          <w:jc w:val="center"/>
        </w:trPr>
        <w:tc>
          <w:tcPr>
            <w:tcW w:w="631" w:type="dxa"/>
            <w:vMerge/>
            <w:vAlign w:val="center"/>
          </w:tcPr>
          <w:p w14:paraId="45C5185F" w14:textId="77777777" w:rsidR="00B0005F" w:rsidRPr="008A2411" w:rsidRDefault="00B0005F">
            <w:pPr>
              <w:pStyle w:val="WJ4"/>
              <w:spacing w:line="240" w:lineRule="auto"/>
              <w:rPr>
                <w:rFonts w:ascii="Times New Roman" w:hAnsi="Times New Roman"/>
                <w:color w:val="000000" w:themeColor="text1"/>
              </w:rPr>
            </w:pPr>
          </w:p>
        </w:tc>
        <w:tc>
          <w:tcPr>
            <w:tcW w:w="978" w:type="dxa"/>
            <w:vMerge w:val="restart"/>
            <w:vAlign w:val="center"/>
          </w:tcPr>
          <w:p w14:paraId="3544C416"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kern w:val="2"/>
                <w:szCs w:val="24"/>
                <w:lang w:bidi="ar"/>
              </w:rPr>
              <w:t>仪表空气系统</w:t>
            </w:r>
          </w:p>
        </w:tc>
        <w:tc>
          <w:tcPr>
            <w:tcW w:w="1754" w:type="dxa"/>
            <w:gridSpan w:val="2"/>
            <w:vAlign w:val="center"/>
          </w:tcPr>
          <w:p w14:paraId="2A235616"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螺杆式空压机</w:t>
            </w:r>
          </w:p>
        </w:tc>
        <w:tc>
          <w:tcPr>
            <w:tcW w:w="1005" w:type="dxa"/>
            <w:vAlign w:val="center"/>
          </w:tcPr>
          <w:p w14:paraId="28AA5885" w14:textId="77777777" w:rsidR="00B0005F" w:rsidRPr="008A2411" w:rsidRDefault="00000000">
            <w:pPr>
              <w:pStyle w:val="WJ5"/>
              <w:spacing w:line="240" w:lineRule="auto"/>
              <w:rPr>
                <w:rFonts w:ascii="Times New Roman" w:hAnsi="Times New Roman"/>
                <w:color w:val="000000" w:themeColor="text1"/>
                <w:lang w:bidi="ar"/>
              </w:rPr>
            </w:pPr>
            <w:r w:rsidRPr="008A2411">
              <w:rPr>
                <w:rFonts w:ascii="Times New Roman" w:hAnsi="Times New Roman"/>
                <w:color w:val="000000" w:themeColor="text1"/>
                <w:lang w:bidi="ar"/>
              </w:rPr>
              <w:t>3</w:t>
            </w:r>
          </w:p>
        </w:tc>
        <w:tc>
          <w:tcPr>
            <w:tcW w:w="2745" w:type="dxa"/>
            <w:vAlign w:val="center"/>
          </w:tcPr>
          <w:p w14:paraId="2A12A795"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1409" w:type="dxa"/>
            <w:vAlign w:val="center"/>
          </w:tcPr>
          <w:p w14:paraId="28B3BAA0" w14:textId="77777777" w:rsidR="00B0005F" w:rsidRPr="008A2411" w:rsidRDefault="00B0005F">
            <w:pPr>
              <w:pStyle w:val="WJ5"/>
              <w:spacing w:line="240" w:lineRule="auto"/>
              <w:rPr>
                <w:rFonts w:ascii="Times New Roman" w:hAnsi="Times New Roman"/>
                <w:color w:val="000000" w:themeColor="text1"/>
                <w:lang w:bidi="ar"/>
              </w:rPr>
            </w:pPr>
          </w:p>
        </w:tc>
      </w:tr>
      <w:tr w:rsidR="008A2411" w:rsidRPr="008A2411" w14:paraId="3177EC46" w14:textId="77777777">
        <w:trPr>
          <w:tblHeader/>
          <w:jc w:val="center"/>
        </w:trPr>
        <w:tc>
          <w:tcPr>
            <w:tcW w:w="631" w:type="dxa"/>
            <w:vMerge/>
            <w:vAlign w:val="center"/>
          </w:tcPr>
          <w:p w14:paraId="55DB79DF"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5FDF5652"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15FF80BA"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仪表空气净化干燥设备</w:t>
            </w:r>
          </w:p>
        </w:tc>
        <w:tc>
          <w:tcPr>
            <w:tcW w:w="1005" w:type="dxa"/>
            <w:vAlign w:val="center"/>
          </w:tcPr>
          <w:p w14:paraId="05FA197E" w14:textId="77777777" w:rsidR="00B0005F" w:rsidRPr="008A2411" w:rsidRDefault="00000000">
            <w:pPr>
              <w:pStyle w:val="WJ5"/>
              <w:spacing w:line="240" w:lineRule="auto"/>
              <w:rPr>
                <w:rFonts w:ascii="Times New Roman" w:hAnsi="Times New Roman"/>
                <w:color w:val="000000" w:themeColor="text1"/>
                <w:lang w:bidi="ar"/>
              </w:rPr>
            </w:pPr>
            <w:r w:rsidRPr="008A2411">
              <w:rPr>
                <w:rFonts w:ascii="Times New Roman" w:hAnsi="Times New Roman"/>
                <w:color w:val="000000" w:themeColor="text1"/>
                <w:lang w:bidi="ar"/>
              </w:rPr>
              <w:t>1</w:t>
            </w:r>
          </w:p>
        </w:tc>
        <w:tc>
          <w:tcPr>
            <w:tcW w:w="2745" w:type="dxa"/>
            <w:vAlign w:val="center"/>
          </w:tcPr>
          <w:p w14:paraId="66B0B9E8"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仪表空气量：</w:t>
            </w:r>
            <w:r w:rsidRPr="008A2411">
              <w:rPr>
                <w:rFonts w:ascii="Times New Roman" w:eastAsia="宋体" w:hAnsi="Times New Roman" w:cs="Times New Roman"/>
                <w:bCs/>
                <w:color w:val="000000" w:themeColor="text1"/>
                <w:kern w:val="2"/>
                <w:sz w:val="21"/>
                <w:szCs w:val="21"/>
                <w:lang w:bidi="ar"/>
              </w:rPr>
              <w:t>300Nm</w:t>
            </w:r>
            <w:r w:rsidRPr="008A2411">
              <w:rPr>
                <w:rFonts w:ascii="Times New Roman" w:eastAsia="宋体" w:hAnsi="Times New Roman" w:cs="Times New Roman"/>
                <w:bCs/>
                <w:color w:val="000000" w:themeColor="text1"/>
                <w:kern w:val="2"/>
                <w:sz w:val="21"/>
                <w:szCs w:val="21"/>
                <w:vertAlign w:val="superscript"/>
                <w:lang w:bidi="ar"/>
              </w:rPr>
              <w:t>3</w:t>
            </w:r>
            <w:r w:rsidRPr="008A2411">
              <w:rPr>
                <w:rFonts w:ascii="Times New Roman" w:eastAsia="宋体" w:hAnsi="Times New Roman" w:cs="Times New Roman"/>
                <w:bCs/>
                <w:color w:val="000000" w:themeColor="text1"/>
                <w:kern w:val="2"/>
                <w:sz w:val="21"/>
                <w:szCs w:val="21"/>
                <w:lang w:bidi="ar"/>
              </w:rPr>
              <w:t>/h</w:t>
            </w:r>
          </w:p>
        </w:tc>
        <w:tc>
          <w:tcPr>
            <w:tcW w:w="1409" w:type="dxa"/>
            <w:vAlign w:val="center"/>
          </w:tcPr>
          <w:p w14:paraId="24D8EFE5" w14:textId="77777777" w:rsidR="00B0005F" w:rsidRPr="008A2411" w:rsidRDefault="00B0005F">
            <w:pPr>
              <w:pStyle w:val="WJ5"/>
              <w:spacing w:line="240" w:lineRule="auto"/>
              <w:rPr>
                <w:rFonts w:ascii="Times New Roman" w:hAnsi="Times New Roman"/>
                <w:color w:val="000000" w:themeColor="text1"/>
                <w:lang w:bidi="ar"/>
              </w:rPr>
            </w:pPr>
          </w:p>
        </w:tc>
      </w:tr>
      <w:tr w:rsidR="008A2411" w:rsidRPr="008A2411" w14:paraId="1A65D1EA" w14:textId="77777777">
        <w:trPr>
          <w:tblHeader/>
          <w:jc w:val="center"/>
        </w:trPr>
        <w:tc>
          <w:tcPr>
            <w:tcW w:w="631" w:type="dxa"/>
            <w:vMerge/>
            <w:vAlign w:val="center"/>
          </w:tcPr>
          <w:p w14:paraId="60B0093A"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5C5EE111"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3EED31B3"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仪表空气储罐</w:t>
            </w:r>
          </w:p>
        </w:tc>
        <w:tc>
          <w:tcPr>
            <w:tcW w:w="1005" w:type="dxa"/>
            <w:vAlign w:val="center"/>
          </w:tcPr>
          <w:p w14:paraId="2C9888C7" w14:textId="77777777" w:rsidR="00B0005F" w:rsidRPr="008A2411" w:rsidRDefault="00000000">
            <w:pPr>
              <w:pStyle w:val="WJ5"/>
              <w:spacing w:line="240" w:lineRule="auto"/>
              <w:rPr>
                <w:rFonts w:ascii="Times New Roman" w:hAnsi="Times New Roman"/>
                <w:color w:val="000000" w:themeColor="text1"/>
                <w:lang w:bidi="ar"/>
              </w:rPr>
            </w:pPr>
            <w:r w:rsidRPr="008A2411">
              <w:rPr>
                <w:rFonts w:ascii="Times New Roman" w:hAnsi="Times New Roman"/>
                <w:color w:val="000000" w:themeColor="text1"/>
                <w:lang w:bidi="ar"/>
              </w:rPr>
              <w:t>1</w:t>
            </w:r>
          </w:p>
        </w:tc>
        <w:tc>
          <w:tcPr>
            <w:tcW w:w="2745" w:type="dxa"/>
            <w:vAlign w:val="center"/>
          </w:tcPr>
          <w:p w14:paraId="72C41195"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工作压力：</w:t>
            </w:r>
            <w:r w:rsidRPr="008A2411">
              <w:rPr>
                <w:rFonts w:ascii="Times New Roman" w:eastAsia="宋体" w:hAnsi="Times New Roman" w:cs="Times New Roman"/>
                <w:bCs/>
                <w:color w:val="000000" w:themeColor="text1"/>
                <w:kern w:val="2"/>
                <w:sz w:val="21"/>
                <w:szCs w:val="21"/>
                <w:lang w:bidi="ar"/>
              </w:rPr>
              <w:t>0.8MPa</w:t>
            </w:r>
          </w:p>
          <w:p w14:paraId="66E3726B"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容积：</w:t>
            </w:r>
            <w:r w:rsidRPr="008A2411">
              <w:rPr>
                <w:rFonts w:ascii="Times New Roman" w:eastAsia="宋体" w:hAnsi="Times New Roman" w:cs="Times New Roman"/>
                <w:bCs/>
                <w:color w:val="000000" w:themeColor="text1"/>
                <w:kern w:val="2"/>
                <w:sz w:val="21"/>
                <w:szCs w:val="21"/>
                <w:lang w:bidi="ar"/>
              </w:rPr>
              <w:t>20m</w:t>
            </w:r>
            <w:r w:rsidRPr="008A2411">
              <w:rPr>
                <w:rFonts w:ascii="Times New Roman" w:eastAsia="宋体" w:hAnsi="Times New Roman" w:cs="Times New Roman"/>
                <w:bCs/>
                <w:color w:val="000000" w:themeColor="text1"/>
                <w:kern w:val="2"/>
                <w:sz w:val="21"/>
                <w:szCs w:val="21"/>
                <w:vertAlign w:val="superscript"/>
                <w:lang w:bidi="ar"/>
              </w:rPr>
              <w:t>3</w:t>
            </w:r>
          </w:p>
          <w:p w14:paraId="3EA96549"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设计温度：</w:t>
            </w:r>
            <w:r w:rsidRPr="008A2411">
              <w:rPr>
                <w:rFonts w:ascii="Times New Roman" w:eastAsia="宋体" w:hAnsi="Times New Roman" w:cs="Times New Roman"/>
                <w:bCs/>
                <w:color w:val="000000" w:themeColor="text1"/>
                <w:kern w:val="2"/>
                <w:sz w:val="21"/>
                <w:szCs w:val="21"/>
                <w:lang w:bidi="ar"/>
              </w:rPr>
              <w:t>50℃</w:t>
            </w:r>
          </w:p>
        </w:tc>
        <w:tc>
          <w:tcPr>
            <w:tcW w:w="1409" w:type="dxa"/>
            <w:vAlign w:val="center"/>
          </w:tcPr>
          <w:p w14:paraId="039F8960" w14:textId="77777777" w:rsidR="00B0005F" w:rsidRPr="008A2411" w:rsidRDefault="00B0005F">
            <w:pPr>
              <w:pStyle w:val="WJ5"/>
              <w:spacing w:line="240" w:lineRule="auto"/>
              <w:rPr>
                <w:rFonts w:ascii="Times New Roman" w:hAnsi="Times New Roman"/>
                <w:color w:val="000000" w:themeColor="text1"/>
                <w:lang w:bidi="ar"/>
              </w:rPr>
            </w:pPr>
          </w:p>
        </w:tc>
      </w:tr>
      <w:tr w:rsidR="008A2411" w:rsidRPr="008A2411" w14:paraId="2D4C0F62" w14:textId="77777777">
        <w:trPr>
          <w:trHeight w:val="183"/>
          <w:tblHeader/>
          <w:jc w:val="center"/>
        </w:trPr>
        <w:tc>
          <w:tcPr>
            <w:tcW w:w="631" w:type="dxa"/>
            <w:vMerge/>
            <w:vAlign w:val="center"/>
          </w:tcPr>
          <w:p w14:paraId="4F32ADA9" w14:textId="77777777" w:rsidR="00B0005F" w:rsidRPr="008A2411" w:rsidRDefault="00B0005F">
            <w:pPr>
              <w:pStyle w:val="WJ4"/>
              <w:spacing w:line="240" w:lineRule="auto"/>
              <w:rPr>
                <w:rFonts w:ascii="Times New Roman" w:hAnsi="Times New Roman"/>
                <w:color w:val="000000" w:themeColor="text1"/>
              </w:rPr>
            </w:pPr>
          </w:p>
        </w:tc>
        <w:tc>
          <w:tcPr>
            <w:tcW w:w="978" w:type="dxa"/>
            <w:vMerge w:val="restart"/>
            <w:vAlign w:val="center"/>
          </w:tcPr>
          <w:p w14:paraId="663D1A50"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kern w:val="2"/>
                <w:szCs w:val="24"/>
                <w:lang w:bidi="ar"/>
              </w:rPr>
              <w:t>导热油系统</w:t>
            </w:r>
          </w:p>
        </w:tc>
        <w:tc>
          <w:tcPr>
            <w:tcW w:w="1754" w:type="dxa"/>
            <w:gridSpan w:val="2"/>
            <w:vAlign w:val="center"/>
          </w:tcPr>
          <w:p w14:paraId="51275ACF"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导热油炉</w:t>
            </w:r>
          </w:p>
        </w:tc>
        <w:tc>
          <w:tcPr>
            <w:tcW w:w="1005" w:type="dxa"/>
            <w:vAlign w:val="center"/>
          </w:tcPr>
          <w:p w14:paraId="6DD398A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1</w:t>
            </w:r>
          </w:p>
        </w:tc>
        <w:tc>
          <w:tcPr>
            <w:tcW w:w="2745" w:type="dxa"/>
            <w:vAlign w:val="center"/>
          </w:tcPr>
          <w:p w14:paraId="6995311C"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型　式：卧式</w:t>
            </w:r>
          </w:p>
          <w:p w14:paraId="1B8A0093"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热出量：～</w:t>
            </w:r>
            <w:r w:rsidRPr="008A2411">
              <w:rPr>
                <w:rFonts w:ascii="Times New Roman" w:eastAsia="宋体" w:hAnsi="Times New Roman" w:cs="Times New Roman"/>
                <w:bCs/>
                <w:color w:val="000000" w:themeColor="text1"/>
                <w:kern w:val="2"/>
                <w:sz w:val="21"/>
                <w:szCs w:val="21"/>
                <w:lang w:bidi="ar"/>
              </w:rPr>
              <w:t>350×10</w:t>
            </w:r>
            <w:r w:rsidRPr="008A2411">
              <w:rPr>
                <w:rFonts w:ascii="Times New Roman" w:eastAsia="宋体" w:hAnsi="Times New Roman" w:cs="Times New Roman"/>
                <w:bCs/>
                <w:color w:val="000000" w:themeColor="text1"/>
                <w:kern w:val="2"/>
                <w:sz w:val="21"/>
                <w:szCs w:val="21"/>
                <w:vertAlign w:val="superscript"/>
                <w:lang w:bidi="ar"/>
              </w:rPr>
              <w:t>4</w:t>
            </w:r>
            <w:r w:rsidRPr="008A2411">
              <w:rPr>
                <w:rFonts w:ascii="Times New Roman" w:eastAsia="宋体" w:hAnsi="Times New Roman" w:cs="Times New Roman"/>
                <w:bCs/>
                <w:color w:val="000000" w:themeColor="text1"/>
                <w:kern w:val="2"/>
                <w:sz w:val="21"/>
                <w:szCs w:val="21"/>
                <w:lang w:bidi="ar"/>
              </w:rPr>
              <w:t>kcal/h</w:t>
            </w:r>
          </w:p>
          <w:p w14:paraId="1844D57B"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设计压力：</w:t>
            </w:r>
            <w:r w:rsidRPr="008A2411">
              <w:rPr>
                <w:rFonts w:ascii="Times New Roman" w:eastAsia="宋体" w:hAnsi="Times New Roman" w:cs="Times New Roman"/>
                <w:bCs/>
                <w:color w:val="000000" w:themeColor="text1"/>
                <w:kern w:val="2"/>
                <w:sz w:val="21"/>
                <w:szCs w:val="21"/>
                <w:lang w:bidi="ar"/>
              </w:rPr>
              <w:t>0.7MPa</w:t>
            </w:r>
          </w:p>
          <w:p w14:paraId="23BE8D80"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最高使用温度：</w:t>
            </w:r>
            <w:r w:rsidRPr="008A2411">
              <w:rPr>
                <w:rFonts w:ascii="Times New Roman" w:eastAsia="宋体" w:hAnsi="Times New Roman" w:cs="Times New Roman"/>
                <w:bCs/>
                <w:color w:val="000000" w:themeColor="text1"/>
                <w:kern w:val="2"/>
                <w:sz w:val="21"/>
                <w:szCs w:val="21"/>
                <w:lang w:bidi="ar"/>
              </w:rPr>
              <w:t>300℃</w:t>
            </w:r>
          </w:p>
          <w:p w14:paraId="60473BB8"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燃料介质：天然气</w:t>
            </w:r>
          </w:p>
        </w:tc>
        <w:tc>
          <w:tcPr>
            <w:tcW w:w="1409" w:type="dxa"/>
            <w:vAlign w:val="center"/>
          </w:tcPr>
          <w:p w14:paraId="27CAE1FB" w14:textId="77777777" w:rsidR="00B0005F" w:rsidRPr="008A2411" w:rsidRDefault="00B0005F">
            <w:pPr>
              <w:pStyle w:val="WJ5"/>
              <w:spacing w:line="240" w:lineRule="auto"/>
              <w:rPr>
                <w:rFonts w:ascii="Times New Roman" w:hAnsi="Times New Roman"/>
                <w:color w:val="000000" w:themeColor="text1"/>
              </w:rPr>
            </w:pPr>
          </w:p>
        </w:tc>
      </w:tr>
      <w:tr w:rsidR="008A2411" w:rsidRPr="008A2411" w14:paraId="30994CB4" w14:textId="77777777">
        <w:trPr>
          <w:trHeight w:val="586"/>
          <w:tblHeader/>
          <w:jc w:val="center"/>
        </w:trPr>
        <w:tc>
          <w:tcPr>
            <w:tcW w:w="631" w:type="dxa"/>
            <w:vMerge/>
            <w:vAlign w:val="center"/>
          </w:tcPr>
          <w:p w14:paraId="59F6FB17"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730B8F0C"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1D7BBC91"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辅助设备</w:t>
            </w:r>
          </w:p>
        </w:tc>
        <w:tc>
          <w:tcPr>
            <w:tcW w:w="1005" w:type="dxa"/>
            <w:vAlign w:val="center"/>
          </w:tcPr>
          <w:p w14:paraId="2EFDCE3C"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1</w:t>
            </w:r>
          </w:p>
        </w:tc>
        <w:tc>
          <w:tcPr>
            <w:tcW w:w="2745" w:type="dxa"/>
            <w:vAlign w:val="center"/>
          </w:tcPr>
          <w:p w14:paraId="59DD992E"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1409" w:type="dxa"/>
            <w:vAlign w:val="center"/>
          </w:tcPr>
          <w:p w14:paraId="254A5B32" w14:textId="77777777" w:rsidR="00B0005F" w:rsidRPr="008A2411" w:rsidRDefault="00B0005F">
            <w:pPr>
              <w:pStyle w:val="WJ5"/>
              <w:spacing w:line="240" w:lineRule="auto"/>
              <w:rPr>
                <w:rFonts w:ascii="Times New Roman" w:hAnsi="Times New Roman"/>
                <w:color w:val="000000" w:themeColor="text1"/>
              </w:rPr>
            </w:pPr>
          </w:p>
        </w:tc>
      </w:tr>
      <w:tr w:rsidR="008A2411" w:rsidRPr="008A2411" w14:paraId="7B083F60" w14:textId="77777777">
        <w:trPr>
          <w:tblHeader/>
          <w:jc w:val="center"/>
        </w:trPr>
        <w:tc>
          <w:tcPr>
            <w:tcW w:w="631" w:type="dxa"/>
            <w:vMerge/>
            <w:vAlign w:val="center"/>
          </w:tcPr>
          <w:p w14:paraId="0420706F" w14:textId="77777777" w:rsidR="00B0005F" w:rsidRPr="008A2411" w:rsidRDefault="00B0005F">
            <w:pPr>
              <w:pStyle w:val="WJ4"/>
              <w:spacing w:line="240" w:lineRule="auto"/>
              <w:rPr>
                <w:rFonts w:ascii="Times New Roman" w:hAnsi="Times New Roman"/>
                <w:color w:val="000000" w:themeColor="text1"/>
              </w:rPr>
            </w:pPr>
          </w:p>
        </w:tc>
        <w:tc>
          <w:tcPr>
            <w:tcW w:w="978" w:type="dxa"/>
            <w:vMerge w:val="restart"/>
            <w:vAlign w:val="center"/>
          </w:tcPr>
          <w:p w14:paraId="6B85FA09"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kern w:val="2"/>
                <w:szCs w:val="24"/>
                <w:lang w:bidi="ar"/>
              </w:rPr>
              <w:t>闭式循环冷却水系统</w:t>
            </w:r>
          </w:p>
        </w:tc>
        <w:tc>
          <w:tcPr>
            <w:tcW w:w="1754" w:type="dxa"/>
            <w:gridSpan w:val="2"/>
            <w:vAlign w:val="center"/>
          </w:tcPr>
          <w:p w14:paraId="0DD60F74"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循环水泵</w:t>
            </w:r>
          </w:p>
        </w:tc>
        <w:tc>
          <w:tcPr>
            <w:tcW w:w="1005" w:type="dxa"/>
            <w:vAlign w:val="center"/>
          </w:tcPr>
          <w:p w14:paraId="681B8312"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3</w:t>
            </w:r>
          </w:p>
        </w:tc>
        <w:tc>
          <w:tcPr>
            <w:tcW w:w="2745" w:type="dxa"/>
            <w:vAlign w:val="center"/>
          </w:tcPr>
          <w:p w14:paraId="028030A5"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流量：</w:t>
            </w:r>
            <w:r w:rsidRPr="008A2411">
              <w:rPr>
                <w:rFonts w:ascii="Times New Roman" w:eastAsia="宋体" w:hAnsi="Times New Roman" w:cs="Times New Roman"/>
                <w:bCs/>
                <w:color w:val="000000" w:themeColor="text1"/>
                <w:kern w:val="2"/>
                <w:sz w:val="21"/>
                <w:szCs w:val="21"/>
                <w:lang w:bidi="ar"/>
              </w:rPr>
              <w:t>1600m</w:t>
            </w:r>
            <w:r w:rsidRPr="008A2411">
              <w:rPr>
                <w:rFonts w:ascii="Times New Roman" w:eastAsia="宋体" w:hAnsi="Times New Roman" w:cs="Times New Roman"/>
                <w:bCs/>
                <w:color w:val="000000" w:themeColor="text1"/>
                <w:kern w:val="2"/>
                <w:sz w:val="21"/>
                <w:szCs w:val="21"/>
                <w:vertAlign w:val="superscript"/>
                <w:lang w:bidi="ar"/>
              </w:rPr>
              <w:t>3</w:t>
            </w:r>
            <w:r w:rsidRPr="008A2411">
              <w:rPr>
                <w:rFonts w:ascii="Times New Roman" w:eastAsia="宋体" w:hAnsi="Times New Roman" w:cs="Times New Roman"/>
                <w:bCs/>
                <w:color w:val="000000" w:themeColor="text1"/>
                <w:kern w:val="2"/>
                <w:sz w:val="21"/>
                <w:szCs w:val="21"/>
                <w:lang w:bidi="ar"/>
              </w:rPr>
              <w:t>/h</w:t>
            </w:r>
          </w:p>
          <w:p w14:paraId="0AD6DB06"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扬程：</w:t>
            </w:r>
            <w:r w:rsidRPr="008A2411">
              <w:rPr>
                <w:rFonts w:ascii="Times New Roman" w:eastAsia="宋体" w:hAnsi="Times New Roman" w:cs="Times New Roman"/>
                <w:bCs/>
                <w:color w:val="000000" w:themeColor="text1"/>
                <w:kern w:val="2"/>
                <w:sz w:val="21"/>
                <w:szCs w:val="21"/>
                <w:lang w:bidi="ar"/>
              </w:rPr>
              <w:t>44m</w:t>
            </w:r>
          </w:p>
        </w:tc>
        <w:tc>
          <w:tcPr>
            <w:tcW w:w="1409" w:type="dxa"/>
            <w:vAlign w:val="center"/>
          </w:tcPr>
          <w:p w14:paraId="6F9D27AE"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r>
      <w:tr w:rsidR="008A2411" w:rsidRPr="008A2411" w14:paraId="52B1CFA5" w14:textId="77777777">
        <w:trPr>
          <w:tblHeader/>
          <w:jc w:val="center"/>
        </w:trPr>
        <w:tc>
          <w:tcPr>
            <w:tcW w:w="631" w:type="dxa"/>
            <w:vMerge/>
            <w:vAlign w:val="center"/>
          </w:tcPr>
          <w:p w14:paraId="06743CA4"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34470F4F"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2523183A"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冷却塔</w:t>
            </w:r>
          </w:p>
        </w:tc>
        <w:tc>
          <w:tcPr>
            <w:tcW w:w="1005" w:type="dxa"/>
            <w:vAlign w:val="center"/>
          </w:tcPr>
          <w:p w14:paraId="4E652A55"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5</w:t>
            </w:r>
          </w:p>
        </w:tc>
        <w:tc>
          <w:tcPr>
            <w:tcW w:w="2745" w:type="dxa"/>
            <w:vAlign w:val="center"/>
          </w:tcPr>
          <w:p w14:paraId="1A15E0BD"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总冷却水量：</w:t>
            </w:r>
            <w:r w:rsidRPr="008A2411">
              <w:rPr>
                <w:rFonts w:ascii="Times New Roman" w:eastAsia="宋体" w:hAnsi="Times New Roman" w:cs="Times New Roman"/>
                <w:bCs/>
                <w:color w:val="000000" w:themeColor="text1"/>
                <w:kern w:val="2"/>
                <w:sz w:val="21"/>
                <w:szCs w:val="21"/>
                <w:lang w:bidi="ar"/>
              </w:rPr>
              <w:t>3200m</w:t>
            </w:r>
            <w:r w:rsidRPr="008A2411">
              <w:rPr>
                <w:rFonts w:ascii="Times New Roman" w:eastAsia="宋体" w:hAnsi="Times New Roman" w:cs="Times New Roman"/>
                <w:bCs/>
                <w:color w:val="000000" w:themeColor="text1"/>
                <w:kern w:val="2"/>
                <w:sz w:val="21"/>
                <w:szCs w:val="21"/>
                <w:vertAlign w:val="superscript"/>
                <w:lang w:bidi="ar"/>
              </w:rPr>
              <w:t>3</w:t>
            </w:r>
            <w:r w:rsidRPr="008A2411">
              <w:rPr>
                <w:rFonts w:ascii="Times New Roman" w:eastAsia="宋体" w:hAnsi="Times New Roman" w:cs="Times New Roman"/>
                <w:bCs/>
                <w:color w:val="000000" w:themeColor="text1"/>
                <w:kern w:val="2"/>
                <w:sz w:val="21"/>
                <w:szCs w:val="21"/>
                <w:lang w:bidi="ar"/>
              </w:rPr>
              <w:t>/h</w:t>
            </w:r>
          </w:p>
        </w:tc>
        <w:tc>
          <w:tcPr>
            <w:tcW w:w="1409" w:type="dxa"/>
            <w:vAlign w:val="center"/>
          </w:tcPr>
          <w:p w14:paraId="545B6EAD"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r>
      <w:tr w:rsidR="008A2411" w:rsidRPr="008A2411" w14:paraId="640BC9B4" w14:textId="77777777">
        <w:trPr>
          <w:tblHeader/>
          <w:jc w:val="center"/>
        </w:trPr>
        <w:tc>
          <w:tcPr>
            <w:tcW w:w="631" w:type="dxa"/>
            <w:vMerge/>
            <w:vAlign w:val="center"/>
          </w:tcPr>
          <w:p w14:paraId="0A77BCE5"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2E964967"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568AAE56"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辅助设备</w:t>
            </w:r>
          </w:p>
        </w:tc>
        <w:tc>
          <w:tcPr>
            <w:tcW w:w="1005" w:type="dxa"/>
            <w:vAlign w:val="center"/>
          </w:tcPr>
          <w:p w14:paraId="214F02B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1</w:t>
            </w:r>
          </w:p>
        </w:tc>
        <w:tc>
          <w:tcPr>
            <w:tcW w:w="2745" w:type="dxa"/>
            <w:vAlign w:val="center"/>
          </w:tcPr>
          <w:p w14:paraId="6F290345"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流量：</w:t>
            </w:r>
            <w:r w:rsidRPr="008A2411">
              <w:rPr>
                <w:rFonts w:ascii="Times New Roman" w:eastAsia="宋体" w:hAnsi="Times New Roman" w:cs="Times New Roman"/>
                <w:bCs/>
                <w:color w:val="000000" w:themeColor="text1"/>
                <w:kern w:val="2"/>
                <w:sz w:val="21"/>
                <w:szCs w:val="21"/>
                <w:lang w:bidi="ar"/>
              </w:rPr>
              <w:t>1600m</w:t>
            </w:r>
            <w:r w:rsidRPr="008A2411">
              <w:rPr>
                <w:rFonts w:ascii="Times New Roman" w:eastAsia="宋体" w:hAnsi="Times New Roman" w:cs="Times New Roman"/>
                <w:bCs/>
                <w:color w:val="000000" w:themeColor="text1"/>
                <w:kern w:val="2"/>
                <w:sz w:val="21"/>
                <w:szCs w:val="21"/>
                <w:vertAlign w:val="superscript"/>
                <w:lang w:bidi="ar"/>
              </w:rPr>
              <w:t>3</w:t>
            </w:r>
            <w:r w:rsidRPr="008A2411">
              <w:rPr>
                <w:rFonts w:ascii="Times New Roman" w:eastAsia="宋体" w:hAnsi="Times New Roman" w:cs="Times New Roman"/>
                <w:bCs/>
                <w:color w:val="000000" w:themeColor="text1"/>
                <w:kern w:val="2"/>
                <w:sz w:val="21"/>
                <w:szCs w:val="21"/>
                <w:lang w:bidi="ar"/>
              </w:rPr>
              <w:t>/h</w:t>
            </w:r>
          </w:p>
          <w:p w14:paraId="136F5C84"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扬程：</w:t>
            </w:r>
            <w:r w:rsidRPr="008A2411">
              <w:rPr>
                <w:rFonts w:ascii="Times New Roman" w:eastAsia="宋体" w:hAnsi="Times New Roman" w:cs="Times New Roman"/>
                <w:bCs/>
                <w:color w:val="000000" w:themeColor="text1"/>
                <w:kern w:val="2"/>
                <w:sz w:val="21"/>
                <w:szCs w:val="21"/>
                <w:lang w:bidi="ar"/>
              </w:rPr>
              <w:t>44m</w:t>
            </w:r>
          </w:p>
        </w:tc>
        <w:tc>
          <w:tcPr>
            <w:tcW w:w="1409" w:type="dxa"/>
            <w:vAlign w:val="center"/>
          </w:tcPr>
          <w:p w14:paraId="323CDD8A"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r>
      <w:tr w:rsidR="008A2411" w:rsidRPr="008A2411" w14:paraId="20F7833D" w14:textId="77777777">
        <w:trPr>
          <w:tblHeader/>
          <w:jc w:val="center"/>
        </w:trPr>
        <w:tc>
          <w:tcPr>
            <w:tcW w:w="631" w:type="dxa"/>
            <w:vMerge/>
            <w:vAlign w:val="center"/>
          </w:tcPr>
          <w:p w14:paraId="3345DEAD" w14:textId="77777777" w:rsidR="00B0005F" w:rsidRPr="008A2411" w:rsidRDefault="00B0005F">
            <w:pPr>
              <w:pStyle w:val="WJ4"/>
              <w:spacing w:line="240" w:lineRule="auto"/>
              <w:rPr>
                <w:rFonts w:ascii="Times New Roman" w:hAnsi="Times New Roman"/>
                <w:color w:val="000000" w:themeColor="text1"/>
              </w:rPr>
            </w:pPr>
          </w:p>
        </w:tc>
        <w:tc>
          <w:tcPr>
            <w:tcW w:w="978" w:type="dxa"/>
            <w:vMerge w:val="restart"/>
            <w:vAlign w:val="center"/>
          </w:tcPr>
          <w:p w14:paraId="1A7C55FC"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rPr>
              <w:t>脱盐水及软水系统</w:t>
            </w:r>
          </w:p>
        </w:tc>
        <w:tc>
          <w:tcPr>
            <w:tcW w:w="1754" w:type="dxa"/>
            <w:gridSpan w:val="2"/>
            <w:vAlign w:val="center"/>
          </w:tcPr>
          <w:p w14:paraId="2EFB74CC"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反渗透装置</w:t>
            </w:r>
          </w:p>
        </w:tc>
        <w:tc>
          <w:tcPr>
            <w:tcW w:w="1005" w:type="dxa"/>
            <w:vAlign w:val="center"/>
          </w:tcPr>
          <w:p w14:paraId="7FBC7E30"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1</w:t>
            </w:r>
          </w:p>
        </w:tc>
        <w:tc>
          <w:tcPr>
            <w:tcW w:w="2745" w:type="dxa"/>
            <w:vAlign w:val="center"/>
          </w:tcPr>
          <w:p w14:paraId="7D41ED99"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5000kg/h</w:t>
            </w:r>
          </w:p>
        </w:tc>
        <w:tc>
          <w:tcPr>
            <w:tcW w:w="1409" w:type="dxa"/>
            <w:vAlign w:val="center"/>
          </w:tcPr>
          <w:p w14:paraId="6544F1A7"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r>
      <w:tr w:rsidR="008A2411" w:rsidRPr="008A2411" w14:paraId="03C92AC6" w14:textId="77777777">
        <w:trPr>
          <w:tblHeader/>
          <w:jc w:val="center"/>
        </w:trPr>
        <w:tc>
          <w:tcPr>
            <w:tcW w:w="631" w:type="dxa"/>
            <w:vMerge/>
            <w:vAlign w:val="center"/>
          </w:tcPr>
          <w:p w14:paraId="52728065"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0DB4763D"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5F28C9F1"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辅助设备</w:t>
            </w:r>
          </w:p>
        </w:tc>
        <w:tc>
          <w:tcPr>
            <w:tcW w:w="1005" w:type="dxa"/>
            <w:vAlign w:val="center"/>
          </w:tcPr>
          <w:p w14:paraId="3AD7FCD7"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1</w:t>
            </w:r>
          </w:p>
        </w:tc>
        <w:tc>
          <w:tcPr>
            <w:tcW w:w="2745" w:type="dxa"/>
            <w:vAlign w:val="center"/>
          </w:tcPr>
          <w:p w14:paraId="0B0B993A"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1409" w:type="dxa"/>
            <w:vAlign w:val="center"/>
          </w:tcPr>
          <w:p w14:paraId="570206BB"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r>
      <w:tr w:rsidR="008A2411" w:rsidRPr="008A2411" w14:paraId="4660D1E4" w14:textId="77777777">
        <w:trPr>
          <w:tblHeader/>
          <w:jc w:val="center"/>
        </w:trPr>
        <w:tc>
          <w:tcPr>
            <w:tcW w:w="631" w:type="dxa"/>
            <w:vMerge/>
            <w:vAlign w:val="center"/>
          </w:tcPr>
          <w:p w14:paraId="577AA48D" w14:textId="77777777" w:rsidR="00B0005F" w:rsidRPr="008A2411" w:rsidRDefault="00B0005F">
            <w:pPr>
              <w:pStyle w:val="WJ4"/>
              <w:spacing w:line="240" w:lineRule="auto"/>
              <w:rPr>
                <w:rFonts w:ascii="Times New Roman" w:hAnsi="Times New Roman"/>
                <w:color w:val="000000" w:themeColor="text1"/>
              </w:rPr>
            </w:pPr>
          </w:p>
        </w:tc>
        <w:tc>
          <w:tcPr>
            <w:tcW w:w="978" w:type="dxa"/>
            <w:vMerge/>
            <w:vAlign w:val="center"/>
          </w:tcPr>
          <w:p w14:paraId="17079F06" w14:textId="77777777" w:rsidR="00B0005F" w:rsidRPr="008A2411" w:rsidRDefault="00B0005F">
            <w:pPr>
              <w:pStyle w:val="WJ4"/>
              <w:spacing w:line="240" w:lineRule="auto"/>
              <w:rPr>
                <w:rFonts w:ascii="Times New Roman" w:hAnsi="Times New Roman"/>
                <w:color w:val="000000" w:themeColor="text1"/>
              </w:rPr>
            </w:pPr>
          </w:p>
        </w:tc>
        <w:tc>
          <w:tcPr>
            <w:tcW w:w="1754" w:type="dxa"/>
            <w:gridSpan w:val="2"/>
            <w:vAlign w:val="center"/>
          </w:tcPr>
          <w:p w14:paraId="1A6C6EF1"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软化水系统</w:t>
            </w:r>
          </w:p>
        </w:tc>
        <w:tc>
          <w:tcPr>
            <w:tcW w:w="1005" w:type="dxa"/>
            <w:vAlign w:val="center"/>
          </w:tcPr>
          <w:p w14:paraId="4CE8CB26"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1</w:t>
            </w:r>
          </w:p>
        </w:tc>
        <w:tc>
          <w:tcPr>
            <w:tcW w:w="2745" w:type="dxa"/>
            <w:vAlign w:val="center"/>
          </w:tcPr>
          <w:p w14:paraId="19C6421B"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50t/h</w:t>
            </w:r>
          </w:p>
        </w:tc>
        <w:tc>
          <w:tcPr>
            <w:tcW w:w="1409" w:type="dxa"/>
            <w:vAlign w:val="center"/>
          </w:tcPr>
          <w:p w14:paraId="65E2BC5B"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r>
      <w:tr w:rsidR="008A2411" w:rsidRPr="008A2411" w14:paraId="77EFC4AE" w14:textId="77777777">
        <w:trPr>
          <w:tblHeader/>
          <w:jc w:val="center"/>
        </w:trPr>
        <w:tc>
          <w:tcPr>
            <w:tcW w:w="631" w:type="dxa"/>
            <w:vMerge w:val="restart"/>
            <w:vAlign w:val="center"/>
          </w:tcPr>
          <w:p w14:paraId="0B60E1B6" w14:textId="77777777" w:rsidR="00B0005F" w:rsidRPr="008A2411" w:rsidRDefault="00000000">
            <w:pPr>
              <w:pStyle w:val="WJ4"/>
              <w:spacing w:line="240" w:lineRule="auto"/>
              <w:jc w:val="left"/>
              <w:rPr>
                <w:rFonts w:ascii="Times New Roman" w:hAnsi="Times New Roman"/>
                <w:color w:val="000000" w:themeColor="text1"/>
              </w:rPr>
            </w:pPr>
            <w:r w:rsidRPr="008A2411">
              <w:rPr>
                <w:rFonts w:ascii="Times New Roman" w:hAnsi="Times New Roman"/>
                <w:color w:val="000000" w:themeColor="text1"/>
              </w:rPr>
              <w:t>环保工程</w:t>
            </w:r>
          </w:p>
        </w:tc>
        <w:tc>
          <w:tcPr>
            <w:tcW w:w="978" w:type="dxa"/>
            <w:vMerge w:val="restart"/>
            <w:vAlign w:val="center"/>
          </w:tcPr>
          <w:p w14:paraId="1EBFBA57" w14:textId="77777777" w:rsidR="00B0005F" w:rsidRPr="008A2411" w:rsidRDefault="00000000">
            <w:pPr>
              <w:pStyle w:val="WJ4"/>
              <w:spacing w:line="240" w:lineRule="auto"/>
              <w:jc w:val="left"/>
              <w:rPr>
                <w:rFonts w:ascii="Times New Roman" w:hAnsi="Times New Roman"/>
                <w:color w:val="000000" w:themeColor="text1"/>
              </w:rPr>
            </w:pPr>
            <w:r w:rsidRPr="008A2411">
              <w:rPr>
                <w:rFonts w:ascii="Times New Roman" w:hAnsi="Times New Roman"/>
                <w:color w:val="000000" w:themeColor="text1"/>
              </w:rPr>
              <w:t>污水处理站</w:t>
            </w:r>
          </w:p>
        </w:tc>
        <w:tc>
          <w:tcPr>
            <w:tcW w:w="824" w:type="dxa"/>
            <w:vAlign w:val="center"/>
          </w:tcPr>
          <w:p w14:paraId="3C5C706D"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格栅井</w:t>
            </w:r>
          </w:p>
        </w:tc>
        <w:tc>
          <w:tcPr>
            <w:tcW w:w="930" w:type="dxa"/>
            <w:vAlign w:val="center"/>
          </w:tcPr>
          <w:p w14:paraId="4151D0C0"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人工格栅</w:t>
            </w:r>
          </w:p>
        </w:tc>
        <w:tc>
          <w:tcPr>
            <w:tcW w:w="1005" w:type="dxa"/>
            <w:vAlign w:val="center"/>
          </w:tcPr>
          <w:p w14:paraId="7AC236B4"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2</w:t>
            </w:r>
            <w:r w:rsidRPr="008A2411">
              <w:rPr>
                <w:rFonts w:ascii="Times New Roman" w:eastAsia="宋体" w:hAnsi="Times New Roman" w:cs="Times New Roman"/>
                <w:bCs/>
                <w:color w:val="000000" w:themeColor="text1"/>
                <w:kern w:val="2"/>
                <w:sz w:val="21"/>
                <w:szCs w:val="21"/>
                <w:lang w:bidi="ar"/>
              </w:rPr>
              <w:t>座</w:t>
            </w:r>
          </w:p>
        </w:tc>
        <w:tc>
          <w:tcPr>
            <w:tcW w:w="2745" w:type="dxa"/>
            <w:vAlign w:val="center"/>
          </w:tcPr>
          <w:p w14:paraId="07B9993F"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W600*H2000*D5</w:t>
            </w:r>
          </w:p>
        </w:tc>
        <w:tc>
          <w:tcPr>
            <w:tcW w:w="1409" w:type="dxa"/>
            <w:vAlign w:val="center"/>
          </w:tcPr>
          <w:p w14:paraId="7638B11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SUS304</w:t>
            </w:r>
          </w:p>
        </w:tc>
      </w:tr>
      <w:tr w:rsidR="008A2411" w:rsidRPr="008A2411" w14:paraId="5A41F2F2" w14:textId="77777777">
        <w:trPr>
          <w:tblHeader/>
          <w:jc w:val="center"/>
        </w:trPr>
        <w:tc>
          <w:tcPr>
            <w:tcW w:w="631" w:type="dxa"/>
            <w:vMerge/>
            <w:vAlign w:val="center"/>
          </w:tcPr>
          <w:p w14:paraId="44593FEC" w14:textId="77777777" w:rsidR="00B0005F" w:rsidRPr="008A2411" w:rsidRDefault="00B0005F">
            <w:pPr>
              <w:pStyle w:val="WJ4"/>
              <w:spacing w:line="240" w:lineRule="auto"/>
              <w:jc w:val="left"/>
              <w:rPr>
                <w:rFonts w:ascii="Times New Roman" w:hAnsi="Times New Roman"/>
                <w:color w:val="000000" w:themeColor="text1"/>
              </w:rPr>
            </w:pPr>
          </w:p>
        </w:tc>
        <w:tc>
          <w:tcPr>
            <w:tcW w:w="978" w:type="dxa"/>
            <w:vMerge/>
            <w:vAlign w:val="center"/>
          </w:tcPr>
          <w:p w14:paraId="2EF60C30" w14:textId="77777777" w:rsidR="00B0005F" w:rsidRPr="008A2411" w:rsidRDefault="00B0005F">
            <w:pPr>
              <w:pStyle w:val="WJ4"/>
              <w:spacing w:line="240" w:lineRule="auto"/>
              <w:jc w:val="left"/>
              <w:rPr>
                <w:rFonts w:ascii="Times New Roman" w:hAnsi="Times New Roman"/>
                <w:color w:val="000000" w:themeColor="text1"/>
              </w:rPr>
            </w:pPr>
          </w:p>
        </w:tc>
        <w:tc>
          <w:tcPr>
            <w:tcW w:w="824" w:type="dxa"/>
            <w:vAlign w:val="center"/>
          </w:tcPr>
          <w:p w14:paraId="303E63E8"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污水收集池</w:t>
            </w:r>
          </w:p>
        </w:tc>
        <w:tc>
          <w:tcPr>
            <w:tcW w:w="930" w:type="dxa"/>
            <w:vAlign w:val="center"/>
          </w:tcPr>
          <w:p w14:paraId="648B8648"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污物提水泵</w:t>
            </w:r>
          </w:p>
        </w:tc>
        <w:tc>
          <w:tcPr>
            <w:tcW w:w="1005" w:type="dxa"/>
            <w:vAlign w:val="center"/>
          </w:tcPr>
          <w:p w14:paraId="57AB718A"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2</w:t>
            </w:r>
            <w:r w:rsidRPr="008A2411">
              <w:rPr>
                <w:rFonts w:ascii="Times New Roman" w:eastAsia="宋体" w:hAnsi="Times New Roman" w:cs="Times New Roman"/>
                <w:bCs/>
                <w:color w:val="000000" w:themeColor="text1"/>
                <w:kern w:val="2"/>
                <w:sz w:val="21"/>
                <w:szCs w:val="21"/>
                <w:lang w:bidi="ar"/>
              </w:rPr>
              <w:t>台</w:t>
            </w:r>
          </w:p>
        </w:tc>
        <w:tc>
          <w:tcPr>
            <w:tcW w:w="2745" w:type="dxa"/>
            <w:vAlign w:val="center"/>
          </w:tcPr>
          <w:p w14:paraId="672F9EDC"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2.2kw*30CMH*15m</w:t>
            </w:r>
          </w:p>
        </w:tc>
        <w:tc>
          <w:tcPr>
            <w:tcW w:w="1409" w:type="dxa"/>
            <w:vAlign w:val="center"/>
          </w:tcPr>
          <w:p w14:paraId="28EE550F"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r>
      <w:tr w:rsidR="008A2411" w:rsidRPr="008A2411" w14:paraId="02E1A4EE" w14:textId="77777777">
        <w:trPr>
          <w:trHeight w:val="615"/>
          <w:tblHeader/>
          <w:jc w:val="center"/>
        </w:trPr>
        <w:tc>
          <w:tcPr>
            <w:tcW w:w="631" w:type="dxa"/>
            <w:vMerge/>
            <w:vAlign w:val="center"/>
          </w:tcPr>
          <w:p w14:paraId="2F12073B" w14:textId="77777777" w:rsidR="00B0005F" w:rsidRPr="008A2411" w:rsidRDefault="00B0005F">
            <w:pPr>
              <w:pStyle w:val="WJ4"/>
              <w:spacing w:line="240" w:lineRule="auto"/>
              <w:jc w:val="left"/>
              <w:rPr>
                <w:rFonts w:ascii="Times New Roman" w:hAnsi="Times New Roman"/>
                <w:color w:val="000000" w:themeColor="text1"/>
              </w:rPr>
            </w:pPr>
          </w:p>
        </w:tc>
        <w:tc>
          <w:tcPr>
            <w:tcW w:w="978" w:type="dxa"/>
            <w:vMerge/>
            <w:vAlign w:val="center"/>
          </w:tcPr>
          <w:p w14:paraId="61AC29B0" w14:textId="77777777" w:rsidR="00B0005F" w:rsidRPr="008A2411" w:rsidRDefault="00B0005F">
            <w:pPr>
              <w:pStyle w:val="WJ4"/>
              <w:spacing w:line="240" w:lineRule="auto"/>
              <w:jc w:val="left"/>
              <w:rPr>
                <w:rFonts w:ascii="Times New Roman" w:hAnsi="Times New Roman"/>
                <w:color w:val="000000" w:themeColor="text1"/>
              </w:rPr>
            </w:pPr>
          </w:p>
        </w:tc>
        <w:tc>
          <w:tcPr>
            <w:tcW w:w="824" w:type="dxa"/>
            <w:vMerge w:val="restart"/>
            <w:vAlign w:val="center"/>
          </w:tcPr>
          <w:p w14:paraId="24C83B2D"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水解酸化池</w:t>
            </w:r>
          </w:p>
        </w:tc>
        <w:tc>
          <w:tcPr>
            <w:tcW w:w="930" w:type="dxa"/>
            <w:vAlign w:val="center"/>
          </w:tcPr>
          <w:p w14:paraId="3092F8F4"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搅拌器</w:t>
            </w:r>
          </w:p>
        </w:tc>
        <w:tc>
          <w:tcPr>
            <w:tcW w:w="1005" w:type="dxa"/>
            <w:vAlign w:val="center"/>
          </w:tcPr>
          <w:p w14:paraId="116566AF"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4</w:t>
            </w:r>
            <w:r w:rsidRPr="008A2411">
              <w:rPr>
                <w:rFonts w:ascii="Times New Roman" w:eastAsia="宋体" w:hAnsi="Times New Roman" w:cs="Times New Roman"/>
                <w:bCs/>
                <w:color w:val="000000" w:themeColor="text1"/>
                <w:kern w:val="2"/>
                <w:sz w:val="21"/>
                <w:szCs w:val="21"/>
                <w:lang w:bidi="ar"/>
              </w:rPr>
              <w:t>台</w:t>
            </w:r>
          </w:p>
        </w:tc>
        <w:tc>
          <w:tcPr>
            <w:tcW w:w="2745" w:type="dxa"/>
            <w:vAlign w:val="center"/>
          </w:tcPr>
          <w:p w14:paraId="7A210A55"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1.5kw*120rpm</w:t>
            </w:r>
          </w:p>
        </w:tc>
        <w:tc>
          <w:tcPr>
            <w:tcW w:w="1409" w:type="dxa"/>
            <w:vAlign w:val="center"/>
          </w:tcPr>
          <w:p w14:paraId="60965903"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FC-20</w:t>
            </w:r>
            <w:r w:rsidRPr="008A2411">
              <w:rPr>
                <w:rFonts w:ascii="Times New Roman" w:eastAsia="宋体" w:hAnsi="Times New Roman" w:cs="Times New Roman"/>
                <w:bCs/>
                <w:color w:val="000000" w:themeColor="text1"/>
                <w:kern w:val="2"/>
                <w:sz w:val="21"/>
                <w:szCs w:val="21"/>
                <w:lang w:bidi="ar"/>
              </w:rPr>
              <w:t>或</w:t>
            </w:r>
            <w:r w:rsidRPr="008A2411">
              <w:rPr>
                <w:rFonts w:ascii="Times New Roman" w:eastAsia="宋体" w:hAnsi="Times New Roman" w:cs="Times New Roman"/>
                <w:bCs/>
                <w:color w:val="000000" w:themeColor="text1"/>
                <w:kern w:val="2"/>
                <w:sz w:val="21"/>
                <w:szCs w:val="21"/>
                <w:lang w:bidi="ar"/>
              </w:rPr>
              <w:t>SUS304</w:t>
            </w:r>
          </w:p>
        </w:tc>
      </w:tr>
      <w:tr w:rsidR="008A2411" w:rsidRPr="008A2411" w14:paraId="5D768F4B" w14:textId="77777777">
        <w:trPr>
          <w:trHeight w:val="615"/>
          <w:tblHeader/>
          <w:jc w:val="center"/>
        </w:trPr>
        <w:tc>
          <w:tcPr>
            <w:tcW w:w="631" w:type="dxa"/>
            <w:vMerge/>
            <w:vAlign w:val="center"/>
          </w:tcPr>
          <w:p w14:paraId="2580F3F6" w14:textId="77777777" w:rsidR="00B0005F" w:rsidRPr="008A2411" w:rsidRDefault="00B0005F">
            <w:pPr>
              <w:pStyle w:val="WJ4"/>
              <w:spacing w:line="240" w:lineRule="auto"/>
              <w:jc w:val="left"/>
              <w:rPr>
                <w:rFonts w:ascii="Times New Roman" w:hAnsi="Times New Roman"/>
                <w:color w:val="000000" w:themeColor="text1"/>
              </w:rPr>
            </w:pPr>
          </w:p>
        </w:tc>
        <w:tc>
          <w:tcPr>
            <w:tcW w:w="978" w:type="dxa"/>
            <w:vMerge/>
            <w:vAlign w:val="center"/>
          </w:tcPr>
          <w:p w14:paraId="5F1BF25E" w14:textId="77777777" w:rsidR="00B0005F" w:rsidRPr="008A2411" w:rsidRDefault="00B0005F">
            <w:pPr>
              <w:pStyle w:val="WJ4"/>
              <w:spacing w:line="240" w:lineRule="auto"/>
              <w:jc w:val="left"/>
              <w:rPr>
                <w:rFonts w:ascii="Times New Roman" w:hAnsi="Times New Roman"/>
                <w:color w:val="000000" w:themeColor="text1"/>
              </w:rPr>
            </w:pPr>
          </w:p>
        </w:tc>
        <w:tc>
          <w:tcPr>
            <w:tcW w:w="824" w:type="dxa"/>
            <w:vMerge/>
            <w:vAlign w:val="center"/>
          </w:tcPr>
          <w:p w14:paraId="4E2DF45D"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930" w:type="dxa"/>
            <w:vAlign w:val="center"/>
          </w:tcPr>
          <w:p w14:paraId="5404630F"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生物填料</w:t>
            </w:r>
          </w:p>
        </w:tc>
        <w:tc>
          <w:tcPr>
            <w:tcW w:w="1005" w:type="dxa"/>
            <w:vAlign w:val="center"/>
          </w:tcPr>
          <w:p w14:paraId="47591708"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1</w:t>
            </w:r>
            <w:r w:rsidRPr="008A2411">
              <w:rPr>
                <w:rFonts w:ascii="Times New Roman" w:eastAsia="宋体" w:hAnsi="Times New Roman" w:cs="Times New Roman"/>
                <w:bCs/>
                <w:color w:val="000000" w:themeColor="text1"/>
                <w:kern w:val="2"/>
                <w:sz w:val="21"/>
                <w:szCs w:val="21"/>
                <w:lang w:bidi="ar"/>
              </w:rPr>
              <w:t>批</w:t>
            </w:r>
          </w:p>
        </w:tc>
        <w:tc>
          <w:tcPr>
            <w:tcW w:w="2745" w:type="dxa"/>
            <w:vAlign w:val="center"/>
          </w:tcPr>
          <w:p w14:paraId="3FD56CEA"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1409" w:type="dxa"/>
            <w:vAlign w:val="center"/>
          </w:tcPr>
          <w:p w14:paraId="79C03322"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PE</w:t>
            </w:r>
            <w:r w:rsidRPr="008A2411">
              <w:rPr>
                <w:rFonts w:ascii="Times New Roman" w:eastAsia="宋体" w:hAnsi="Times New Roman" w:cs="Times New Roman"/>
                <w:bCs/>
                <w:color w:val="000000" w:themeColor="text1"/>
                <w:kern w:val="2"/>
                <w:sz w:val="21"/>
                <w:szCs w:val="21"/>
                <w:lang w:bidi="ar"/>
              </w:rPr>
              <w:t>材质</w:t>
            </w:r>
          </w:p>
        </w:tc>
      </w:tr>
      <w:tr w:rsidR="008A2411" w:rsidRPr="008A2411" w14:paraId="66037C85" w14:textId="77777777">
        <w:trPr>
          <w:tblHeader/>
          <w:jc w:val="center"/>
        </w:trPr>
        <w:tc>
          <w:tcPr>
            <w:tcW w:w="631" w:type="dxa"/>
            <w:vMerge/>
            <w:vAlign w:val="center"/>
          </w:tcPr>
          <w:p w14:paraId="28641879" w14:textId="77777777" w:rsidR="00B0005F" w:rsidRPr="008A2411" w:rsidRDefault="00B0005F">
            <w:pPr>
              <w:pStyle w:val="WJ4"/>
              <w:spacing w:line="240" w:lineRule="auto"/>
              <w:jc w:val="left"/>
              <w:rPr>
                <w:rFonts w:ascii="Times New Roman" w:hAnsi="Times New Roman"/>
                <w:color w:val="000000" w:themeColor="text1"/>
              </w:rPr>
            </w:pPr>
          </w:p>
        </w:tc>
        <w:tc>
          <w:tcPr>
            <w:tcW w:w="978" w:type="dxa"/>
            <w:vMerge/>
            <w:vAlign w:val="center"/>
          </w:tcPr>
          <w:p w14:paraId="230BA6D6" w14:textId="77777777" w:rsidR="00B0005F" w:rsidRPr="008A2411" w:rsidRDefault="00B0005F">
            <w:pPr>
              <w:pStyle w:val="WJ4"/>
              <w:spacing w:line="240" w:lineRule="auto"/>
              <w:jc w:val="left"/>
              <w:rPr>
                <w:rFonts w:ascii="Times New Roman" w:hAnsi="Times New Roman"/>
                <w:color w:val="000000" w:themeColor="text1"/>
              </w:rPr>
            </w:pPr>
          </w:p>
        </w:tc>
        <w:tc>
          <w:tcPr>
            <w:tcW w:w="824" w:type="dxa"/>
            <w:vMerge w:val="restart"/>
            <w:vAlign w:val="center"/>
          </w:tcPr>
          <w:p w14:paraId="110C2128"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生物接触氧化池</w:t>
            </w:r>
          </w:p>
        </w:tc>
        <w:tc>
          <w:tcPr>
            <w:tcW w:w="930" w:type="dxa"/>
            <w:vAlign w:val="center"/>
          </w:tcPr>
          <w:p w14:paraId="1960C4F7"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回转式鼓风机</w:t>
            </w:r>
          </w:p>
        </w:tc>
        <w:tc>
          <w:tcPr>
            <w:tcW w:w="1005" w:type="dxa"/>
            <w:vAlign w:val="center"/>
          </w:tcPr>
          <w:p w14:paraId="3070EB82"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3</w:t>
            </w:r>
            <w:r w:rsidRPr="008A2411">
              <w:rPr>
                <w:rFonts w:ascii="Times New Roman" w:eastAsia="宋体" w:hAnsi="Times New Roman" w:cs="Times New Roman"/>
                <w:bCs/>
                <w:color w:val="000000" w:themeColor="text1"/>
                <w:kern w:val="2"/>
                <w:sz w:val="21"/>
                <w:szCs w:val="21"/>
                <w:lang w:bidi="ar"/>
              </w:rPr>
              <w:t>台</w:t>
            </w:r>
          </w:p>
        </w:tc>
        <w:tc>
          <w:tcPr>
            <w:tcW w:w="2745" w:type="dxa"/>
            <w:vAlign w:val="center"/>
          </w:tcPr>
          <w:p w14:paraId="7707A168"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HZ-125A</w:t>
            </w:r>
          </w:p>
        </w:tc>
        <w:tc>
          <w:tcPr>
            <w:tcW w:w="1409" w:type="dxa"/>
            <w:vAlign w:val="center"/>
          </w:tcPr>
          <w:p w14:paraId="7AC8020C"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r>
      <w:tr w:rsidR="008A2411" w:rsidRPr="008A2411" w14:paraId="472A534C" w14:textId="77777777">
        <w:trPr>
          <w:tblHeader/>
          <w:jc w:val="center"/>
        </w:trPr>
        <w:tc>
          <w:tcPr>
            <w:tcW w:w="631" w:type="dxa"/>
            <w:vMerge/>
            <w:vAlign w:val="center"/>
          </w:tcPr>
          <w:p w14:paraId="2ECCE564" w14:textId="77777777" w:rsidR="00B0005F" w:rsidRPr="008A2411" w:rsidRDefault="00B0005F">
            <w:pPr>
              <w:pStyle w:val="WJ4"/>
              <w:spacing w:line="240" w:lineRule="auto"/>
              <w:jc w:val="left"/>
              <w:rPr>
                <w:rFonts w:ascii="Times New Roman" w:hAnsi="Times New Roman"/>
                <w:color w:val="000000" w:themeColor="text1"/>
              </w:rPr>
            </w:pPr>
          </w:p>
        </w:tc>
        <w:tc>
          <w:tcPr>
            <w:tcW w:w="978" w:type="dxa"/>
            <w:vMerge/>
            <w:vAlign w:val="center"/>
          </w:tcPr>
          <w:p w14:paraId="0588F676" w14:textId="77777777" w:rsidR="00B0005F" w:rsidRPr="008A2411" w:rsidRDefault="00B0005F">
            <w:pPr>
              <w:pStyle w:val="WJ4"/>
              <w:spacing w:line="240" w:lineRule="auto"/>
              <w:jc w:val="left"/>
              <w:rPr>
                <w:rFonts w:ascii="Times New Roman" w:hAnsi="Times New Roman"/>
                <w:color w:val="000000" w:themeColor="text1"/>
              </w:rPr>
            </w:pPr>
          </w:p>
        </w:tc>
        <w:tc>
          <w:tcPr>
            <w:tcW w:w="824" w:type="dxa"/>
            <w:vMerge/>
            <w:vAlign w:val="center"/>
          </w:tcPr>
          <w:p w14:paraId="7263CB21"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930" w:type="dxa"/>
            <w:vAlign w:val="center"/>
          </w:tcPr>
          <w:p w14:paraId="7974AF04"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PH</w:t>
            </w:r>
            <w:r w:rsidRPr="008A2411">
              <w:rPr>
                <w:rFonts w:ascii="Times New Roman" w:eastAsia="宋体" w:hAnsi="Times New Roman" w:cs="Times New Roman"/>
                <w:bCs/>
                <w:color w:val="000000" w:themeColor="text1"/>
                <w:kern w:val="2"/>
                <w:sz w:val="21"/>
                <w:szCs w:val="21"/>
                <w:lang w:bidi="ar"/>
              </w:rPr>
              <w:t>控制器</w:t>
            </w:r>
          </w:p>
        </w:tc>
        <w:tc>
          <w:tcPr>
            <w:tcW w:w="1005" w:type="dxa"/>
            <w:vAlign w:val="center"/>
          </w:tcPr>
          <w:p w14:paraId="0C6B1A60"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1</w:t>
            </w:r>
            <w:r w:rsidRPr="008A2411">
              <w:rPr>
                <w:rFonts w:ascii="Times New Roman" w:eastAsia="宋体" w:hAnsi="Times New Roman" w:cs="Times New Roman"/>
                <w:bCs/>
                <w:color w:val="000000" w:themeColor="text1"/>
                <w:kern w:val="2"/>
                <w:sz w:val="21"/>
                <w:szCs w:val="21"/>
                <w:lang w:bidi="ar"/>
              </w:rPr>
              <w:t>套</w:t>
            </w:r>
          </w:p>
        </w:tc>
        <w:tc>
          <w:tcPr>
            <w:tcW w:w="2745" w:type="dxa"/>
            <w:vAlign w:val="center"/>
          </w:tcPr>
          <w:p w14:paraId="03DF9A56"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PC-3100</w:t>
            </w:r>
          </w:p>
        </w:tc>
        <w:tc>
          <w:tcPr>
            <w:tcW w:w="1409" w:type="dxa"/>
            <w:vAlign w:val="center"/>
          </w:tcPr>
          <w:p w14:paraId="34309754"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r>
      <w:tr w:rsidR="008A2411" w:rsidRPr="008A2411" w14:paraId="6BC413A8" w14:textId="77777777">
        <w:trPr>
          <w:tblHeader/>
          <w:jc w:val="center"/>
        </w:trPr>
        <w:tc>
          <w:tcPr>
            <w:tcW w:w="631" w:type="dxa"/>
            <w:vMerge/>
            <w:vAlign w:val="center"/>
          </w:tcPr>
          <w:p w14:paraId="3DCA6606" w14:textId="77777777" w:rsidR="00B0005F" w:rsidRPr="008A2411" w:rsidRDefault="00B0005F">
            <w:pPr>
              <w:pStyle w:val="WJ4"/>
              <w:spacing w:line="240" w:lineRule="auto"/>
              <w:jc w:val="left"/>
              <w:rPr>
                <w:rFonts w:ascii="Times New Roman" w:hAnsi="Times New Roman"/>
                <w:color w:val="000000" w:themeColor="text1"/>
              </w:rPr>
            </w:pPr>
          </w:p>
        </w:tc>
        <w:tc>
          <w:tcPr>
            <w:tcW w:w="978" w:type="dxa"/>
            <w:vMerge/>
            <w:vAlign w:val="center"/>
          </w:tcPr>
          <w:p w14:paraId="18B8BEBC" w14:textId="77777777" w:rsidR="00B0005F" w:rsidRPr="008A2411" w:rsidRDefault="00B0005F">
            <w:pPr>
              <w:pStyle w:val="WJ4"/>
              <w:spacing w:line="240" w:lineRule="auto"/>
              <w:jc w:val="left"/>
              <w:rPr>
                <w:rFonts w:ascii="Times New Roman" w:hAnsi="Times New Roman"/>
                <w:color w:val="000000" w:themeColor="text1"/>
              </w:rPr>
            </w:pPr>
          </w:p>
        </w:tc>
        <w:tc>
          <w:tcPr>
            <w:tcW w:w="824" w:type="dxa"/>
            <w:vMerge/>
            <w:vAlign w:val="center"/>
          </w:tcPr>
          <w:p w14:paraId="027A01E0"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930" w:type="dxa"/>
            <w:vAlign w:val="center"/>
          </w:tcPr>
          <w:p w14:paraId="1DA69E1B"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DO</w:t>
            </w:r>
            <w:r w:rsidRPr="008A2411">
              <w:rPr>
                <w:rFonts w:ascii="Times New Roman" w:eastAsia="宋体" w:hAnsi="Times New Roman" w:cs="Times New Roman"/>
                <w:bCs/>
                <w:color w:val="000000" w:themeColor="text1"/>
                <w:kern w:val="2"/>
                <w:sz w:val="21"/>
                <w:szCs w:val="21"/>
                <w:lang w:bidi="ar"/>
              </w:rPr>
              <w:t>溶氧仪</w:t>
            </w:r>
          </w:p>
        </w:tc>
        <w:tc>
          <w:tcPr>
            <w:tcW w:w="1005" w:type="dxa"/>
            <w:vAlign w:val="center"/>
          </w:tcPr>
          <w:p w14:paraId="1C0C4057"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1</w:t>
            </w:r>
            <w:r w:rsidRPr="008A2411">
              <w:rPr>
                <w:rFonts w:ascii="Times New Roman" w:eastAsia="宋体" w:hAnsi="Times New Roman" w:cs="Times New Roman"/>
                <w:bCs/>
                <w:color w:val="000000" w:themeColor="text1"/>
                <w:kern w:val="2"/>
                <w:sz w:val="21"/>
                <w:szCs w:val="21"/>
                <w:lang w:bidi="ar"/>
              </w:rPr>
              <w:t>台</w:t>
            </w:r>
          </w:p>
        </w:tc>
        <w:tc>
          <w:tcPr>
            <w:tcW w:w="2745" w:type="dxa"/>
            <w:vAlign w:val="center"/>
          </w:tcPr>
          <w:p w14:paraId="1D0CFB83"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DC-5100</w:t>
            </w:r>
          </w:p>
        </w:tc>
        <w:tc>
          <w:tcPr>
            <w:tcW w:w="1409" w:type="dxa"/>
            <w:vAlign w:val="center"/>
          </w:tcPr>
          <w:p w14:paraId="16198305"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r>
      <w:tr w:rsidR="008A2411" w:rsidRPr="008A2411" w14:paraId="268885F1" w14:textId="77777777">
        <w:trPr>
          <w:tblHeader/>
          <w:jc w:val="center"/>
        </w:trPr>
        <w:tc>
          <w:tcPr>
            <w:tcW w:w="631" w:type="dxa"/>
            <w:vMerge/>
            <w:vAlign w:val="center"/>
          </w:tcPr>
          <w:p w14:paraId="5C3300C0" w14:textId="77777777" w:rsidR="00B0005F" w:rsidRPr="008A2411" w:rsidRDefault="00B0005F">
            <w:pPr>
              <w:pStyle w:val="WJ4"/>
              <w:spacing w:line="240" w:lineRule="auto"/>
              <w:jc w:val="left"/>
              <w:rPr>
                <w:rFonts w:ascii="Times New Roman" w:hAnsi="Times New Roman"/>
                <w:color w:val="000000" w:themeColor="text1"/>
              </w:rPr>
            </w:pPr>
          </w:p>
        </w:tc>
        <w:tc>
          <w:tcPr>
            <w:tcW w:w="978" w:type="dxa"/>
            <w:vMerge/>
            <w:vAlign w:val="center"/>
          </w:tcPr>
          <w:p w14:paraId="2BB0B52C" w14:textId="77777777" w:rsidR="00B0005F" w:rsidRPr="008A2411" w:rsidRDefault="00B0005F">
            <w:pPr>
              <w:pStyle w:val="WJ4"/>
              <w:spacing w:line="240" w:lineRule="auto"/>
              <w:jc w:val="left"/>
              <w:rPr>
                <w:rFonts w:ascii="Times New Roman" w:hAnsi="Times New Roman"/>
                <w:color w:val="000000" w:themeColor="text1"/>
              </w:rPr>
            </w:pPr>
          </w:p>
        </w:tc>
        <w:tc>
          <w:tcPr>
            <w:tcW w:w="824" w:type="dxa"/>
            <w:vMerge/>
            <w:vAlign w:val="center"/>
          </w:tcPr>
          <w:p w14:paraId="35231048"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930" w:type="dxa"/>
            <w:vAlign w:val="center"/>
          </w:tcPr>
          <w:p w14:paraId="1D3475F2"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回流泵</w:t>
            </w:r>
          </w:p>
        </w:tc>
        <w:tc>
          <w:tcPr>
            <w:tcW w:w="1005" w:type="dxa"/>
            <w:vAlign w:val="center"/>
          </w:tcPr>
          <w:p w14:paraId="009D8BF3"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2</w:t>
            </w:r>
            <w:r w:rsidRPr="008A2411">
              <w:rPr>
                <w:rFonts w:ascii="Times New Roman" w:eastAsia="宋体" w:hAnsi="Times New Roman" w:cs="Times New Roman"/>
                <w:bCs/>
                <w:color w:val="000000" w:themeColor="text1"/>
                <w:kern w:val="2"/>
                <w:sz w:val="21"/>
                <w:szCs w:val="21"/>
                <w:lang w:bidi="ar"/>
              </w:rPr>
              <w:t>台</w:t>
            </w:r>
          </w:p>
        </w:tc>
        <w:tc>
          <w:tcPr>
            <w:tcW w:w="2745" w:type="dxa"/>
            <w:vAlign w:val="center"/>
          </w:tcPr>
          <w:p w14:paraId="370EA43F"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1.5kw*15CMH*15m</w:t>
            </w:r>
          </w:p>
        </w:tc>
        <w:tc>
          <w:tcPr>
            <w:tcW w:w="1409" w:type="dxa"/>
            <w:vAlign w:val="center"/>
          </w:tcPr>
          <w:p w14:paraId="47BFDCDB"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r>
      <w:tr w:rsidR="008A2411" w:rsidRPr="008A2411" w14:paraId="3998E4AE" w14:textId="77777777">
        <w:trPr>
          <w:tblHeader/>
          <w:jc w:val="center"/>
        </w:trPr>
        <w:tc>
          <w:tcPr>
            <w:tcW w:w="631" w:type="dxa"/>
            <w:vMerge/>
            <w:vAlign w:val="center"/>
          </w:tcPr>
          <w:p w14:paraId="5E8733DC" w14:textId="77777777" w:rsidR="00B0005F" w:rsidRPr="008A2411" w:rsidRDefault="00B0005F">
            <w:pPr>
              <w:pStyle w:val="WJ4"/>
              <w:spacing w:line="240" w:lineRule="auto"/>
              <w:jc w:val="left"/>
              <w:rPr>
                <w:rFonts w:ascii="Times New Roman" w:hAnsi="Times New Roman"/>
                <w:color w:val="000000" w:themeColor="text1"/>
              </w:rPr>
            </w:pPr>
          </w:p>
        </w:tc>
        <w:tc>
          <w:tcPr>
            <w:tcW w:w="978" w:type="dxa"/>
            <w:vMerge/>
            <w:vAlign w:val="center"/>
          </w:tcPr>
          <w:p w14:paraId="03DD5970" w14:textId="77777777" w:rsidR="00B0005F" w:rsidRPr="008A2411" w:rsidRDefault="00B0005F">
            <w:pPr>
              <w:pStyle w:val="WJ4"/>
              <w:spacing w:line="240" w:lineRule="auto"/>
              <w:jc w:val="left"/>
              <w:rPr>
                <w:rFonts w:ascii="Times New Roman" w:hAnsi="Times New Roman"/>
                <w:color w:val="000000" w:themeColor="text1"/>
              </w:rPr>
            </w:pPr>
          </w:p>
        </w:tc>
        <w:tc>
          <w:tcPr>
            <w:tcW w:w="824" w:type="dxa"/>
            <w:vMerge w:val="restart"/>
            <w:vAlign w:val="center"/>
          </w:tcPr>
          <w:p w14:paraId="5DBCE159"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生物沉淀池</w:t>
            </w:r>
          </w:p>
        </w:tc>
        <w:tc>
          <w:tcPr>
            <w:tcW w:w="930" w:type="dxa"/>
            <w:vAlign w:val="center"/>
          </w:tcPr>
          <w:p w14:paraId="321DEDFF"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排水堰</w:t>
            </w:r>
          </w:p>
        </w:tc>
        <w:tc>
          <w:tcPr>
            <w:tcW w:w="1005" w:type="dxa"/>
            <w:vAlign w:val="center"/>
          </w:tcPr>
          <w:p w14:paraId="4140213C"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2745" w:type="dxa"/>
            <w:vAlign w:val="center"/>
          </w:tcPr>
          <w:p w14:paraId="5447CD38"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1409" w:type="dxa"/>
            <w:vAlign w:val="center"/>
          </w:tcPr>
          <w:p w14:paraId="6198AFB0"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PVC</w:t>
            </w:r>
            <w:r w:rsidRPr="008A2411">
              <w:rPr>
                <w:rFonts w:ascii="Times New Roman" w:eastAsia="宋体" w:hAnsi="Times New Roman" w:cs="Times New Roman"/>
                <w:bCs/>
                <w:color w:val="000000" w:themeColor="text1"/>
                <w:kern w:val="2"/>
                <w:sz w:val="21"/>
                <w:szCs w:val="21"/>
                <w:lang w:bidi="ar"/>
              </w:rPr>
              <w:t>或</w:t>
            </w:r>
            <w:r w:rsidRPr="008A2411">
              <w:rPr>
                <w:rFonts w:ascii="Times New Roman" w:eastAsia="宋体" w:hAnsi="Times New Roman" w:cs="Times New Roman"/>
                <w:bCs/>
                <w:color w:val="000000" w:themeColor="text1"/>
                <w:kern w:val="2"/>
                <w:sz w:val="21"/>
                <w:szCs w:val="21"/>
                <w:lang w:bidi="ar"/>
              </w:rPr>
              <w:t>SUS304</w:t>
            </w:r>
          </w:p>
        </w:tc>
      </w:tr>
      <w:tr w:rsidR="008A2411" w:rsidRPr="008A2411" w14:paraId="407DA674" w14:textId="77777777">
        <w:trPr>
          <w:tblHeader/>
          <w:jc w:val="center"/>
        </w:trPr>
        <w:tc>
          <w:tcPr>
            <w:tcW w:w="631" w:type="dxa"/>
            <w:vMerge/>
            <w:vAlign w:val="center"/>
          </w:tcPr>
          <w:p w14:paraId="3989B6B6" w14:textId="77777777" w:rsidR="00B0005F" w:rsidRPr="008A2411" w:rsidRDefault="00B0005F">
            <w:pPr>
              <w:pStyle w:val="WJ4"/>
              <w:spacing w:line="240" w:lineRule="auto"/>
              <w:jc w:val="left"/>
              <w:rPr>
                <w:rFonts w:ascii="Times New Roman" w:hAnsi="Times New Roman"/>
                <w:color w:val="000000" w:themeColor="text1"/>
              </w:rPr>
            </w:pPr>
          </w:p>
        </w:tc>
        <w:tc>
          <w:tcPr>
            <w:tcW w:w="978" w:type="dxa"/>
            <w:vMerge/>
            <w:vAlign w:val="center"/>
          </w:tcPr>
          <w:p w14:paraId="7333333D" w14:textId="77777777" w:rsidR="00B0005F" w:rsidRPr="008A2411" w:rsidRDefault="00B0005F">
            <w:pPr>
              <w:pStyle w:val="WJ4"/>
              <w:spacing w:line="240" w:lineRule="auto"/>
              <w:jc w:val="left"/>
              <w:rPr>
                <w:rFonts w:ascii="Times New Roman" w:hAnsi="Times New Roman"/>
                <w:color w:val="000000" w:themeColor="text1"/>
              </w:rPr>
            </w:pPr>
          </w:p>
        </w:tc>
        <w:tc>
          <w:tcPr>
            <w:tcW w:w="824" w:type="dxa"/>
            <w:vMerge/>
            <w:vAlign w:val="center"/>
          </w:tcPr>
          <w:p w14:paraId="0E41A42C"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930" w:type="dxa"/>
            <w:vAlign w:val="center"/>
          </w:tcPr>
          <w:p w14:paraId="0743ECF3"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roofErr w:type="gramStart"/>
            <w:r w:rsidRPr="008A2411">
              <w:rPr>
                <w:rFonts w:ascii="Times New Roman" w:eastAsia="宋体" w:hAnsi="Times New Roman" w:cs="Times New Roman"/>
                <w:bCs/>
                <w:color w:val="000000" w:themeColor="text1"/>
                <w:kern w:val="2"/>
                <w:sz w:val="21"/>
                <w:szCs w:val="21"/>
                <w:lang w:bidi="ar"/>
              </w:rPr>
              <w:t>中心中心</w:t>
            </w:r>
            <w:proofErr w:type="gramEnd"/>
            <w:r w:rsidRPr="008A2411">
              <w:rPr>
                <w:rFonts w:ascii="Times New Roman" w:eastAsia="宋体" w:hAnsi="Times New Roman" w:cs="Times New Roman"/>
                <w:bCs/>
                <w:color w:val="000000" w:themeColor="text1"/>
                <w:kern w:val="2"/>
                <w:sz w:val="21"/>
                <w:szCs w:val="21"/>
                <w:lang w:bidi="ar"/>
              </w:rPr>
              <w:t>整流桶</w:t>
            </w:r>
          </w:p>
        </w:tc>
        <w:tc>
          <w:tcPr>
            <w:tcW w:w="1005" w:type="dxa"/>
            <w:vAlign w:val="center"/>
          </w:tcPr>
          <w:p w14:paraId="53E5EC42"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1</w:t>
            </w:r>
            <w:r w:rsidRPr="008A2411">
              <w:rPr>
                <w:rFonts w:ascii="Times New Roman" w:eastAsia="宋体" w:hAnsi="Times New Roman" w:cs="Times New Roman"/>
                <w:bCs/>
                <w:color w:val="000000" w:themeColor="text1"/>
                <w:kern w:val="2"/>
                <w:sz w:val="21"/>
                <w:szCs w:val="21"/>
                <w:lang w:bidi="ar"/>
              </w:rPr>
              <w:t>套</w:t>
            </w:r>
          </w:p>
        </w:tc>
        <w:tc>
          <w:tcPr>
            <w:tcW w:w="2745" w:type="dxa"/>
            <w:vAlign w:val="center"/>
          </w:tcPr>
          <w:p w14:paraId="36A592D8"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Ф600*H2000</w:t>
            </w:r>
          </w:p>
        </w:tc>
        <w:tc>
          <w:tcPr>
            <w:tcW w:w="1409" w:type="dxa"/>
            <w:vAlign w:val="center"/>
          </w:tcPr>
          <w:p w14:paraId="08FF2D68"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PVC</w:t>
            </w:r>
            <w:r w:rsidRPr="008A2411">
              <w:rPr>
                <w:rFonts w:ascii="Times New Roman" w:eastAsia="宋体" w:hAnsi="Times New Roman" w:cs="Times New Roman"/>
                <w:bCs/>
                <w:color w:val="000000" w:themeColor="text1"/>
                <w:kern w:val="2"/>
                <w:sz w:val="21"/>
                <w:szCs w:val="21"/>
                <w:lang w:bidi="ar"/>
              </w:rPr>
              <w:t>或</w:t>
            </w:r>
            <w:r w:rsidRPr="008A2411">
              <w:rPr>
                <w:rFonts w:ascii="Times New Roman" w:eastAsia="宋体" w:hAnsi="Times New Roman" w:cs="Times New Roman"/>
                <w:bCs/>
                <w:color w:val="000000" w:themeColor="text1"/>
                <w:kern w:val="2"/>
                <w:sz w:val="21"/>
                <w:szCs w:val="21"/>
                <w:lang w:bidi="ar"/>
              </w:rPr>
              <w:t>SUS304</w:t>
            </w:r>
          </w:p>
        </w:tc>
      </w:tr>
      <w:tr w:rsidR="008A2411" w:rsidRPr="008A2411" w14:paraId="3939C49C" w14:textId="77777777">
        <w:trPr>
          <w:tblHeader/>
          <w:jc w:val="center"/>
        </w:trPr>
        <w:tc>
          <w:tcPr>
            <w:tcW w:w="631" w:type="dxa"/>
            <w:vMerge/>
            <w:vAlign w:val="center"/>
          </w:tcPr>
          <w:p w14:paraId="2F678868" w14:textId="77777777" w:rsidR="00B0005F" w:rsidRPr="008A2411" w:rsidRDefault="00B0005F">
            <w:pPr>
              <w:pStyle w:val="WJ4"/>
              <w:spacing w:line="240" w:lineRule="auto"/>
              <w:jc w:val="left"/>
              <w:rPr>
                <w:rFonts w:ascii="Times New Roman" w:hAnsi="Times New Roman"/>
                <w:color w:val="000000" w:themeColor="text1"/>
              </w:rPr>
            </w:pPr>
          </w:p>
        </w:tc>
        <w:tc>
          <w:tcPr>
            <w:tcW w:w="978" w:type="dxa"/>
            <w:vMerge/>
            <w:vAlign w:val="center"/>
          </w:tcPr>
          <w:p w14:paraId="31E8D693" w14:textId="77777777" w:rsidR="00B0005F" w:rsidRPr="008A2411" w:rsidRDefault="00B0005F">
            <w:pPr>
              <w:pStyle w:val="WJ4"/>
              <w:spacing w:line="240" w:lineRule="auto"/>
              <w:jc w:val="left"/>
              <w:rPr>
                <w:rFonts w:ascii="Times New Roman" w:hAnsi="Times New Roman"/>
                <w:color w:val="000000" w:themeColor="text1"/>
              </w:rPr>
            </w:pPr>
          </w:p>
        </w:tc>
        <w:tc>
          <w:tcPr>
            <w:tcW w:w="824" w:type="dxa"/>
            <w:vMerge/>
            <w:vAlign w:val="center"/>
          </w:tcPr>
          <w:p w14:paraId="4C7C823E"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930" w:type="dxa"/>
            <w:vAlign w:val="center"/>
          </w:tcPr>
          <w:p w14:paraId="5F9D713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刮泥机</w:t>
            </w:r>
          </w:p>
        </w:tc>
        <w:tc>
          <w:tcPr>
            <w:tcW w:w="1005" w:type="dxa"/>
            <w:vAlign w:val="center"/>
          </w:tcPr>
          <w:p w14:paraId="360E46D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1</w:t>
            </w:r>
            <w:r w:rsidRPr="008A2411">
              <w:rPr>
                <w:rFonts w:ascii="Times New Roman" w:eastAsia="宋体" w:hAnsi="Times New Roman" w:cs="Times New Roman"/>
                <w:bCs/>
                <w:color w:val="000000" w:themeColor="text1"/>
                <w:kern w:val="2"/>
                <w:sz w:val="21"/>
                <w:szCs w:val="21"/>
                <w:lang w:bidi="ar"/>
              </w:rPr>
              <w:t>台</w:t>
            </w:r>
          </w:p>
        </w:tc>
        <w:tc>
          <w:tcPr>
            <w:tcW w:w="2745" w:type="dxa"/>
            <w:vAlign w:val="center"/>
          </w:tcPr>
          <w:p w14:paraId="5CC18957"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1.5kw*0.1rpm</w:t>
            </w:r>
          </w:p>
        </w:tc>
        <w:tc>
          <w:tcPr>
            <w:tcW w:w="1409" w:type="dxa"/>
            <w:vAlign w:val="center"/>
          </w:tcPr>
          <w:p w14:paraId="07BEAE84"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r>
      <w:tr w:rsidR="008A2411" w:rsidRPr="008A2411" w14:paraId="3F9239C1" w14:textId="77777777">
        <w:trPr>
          <w:tblHeader/>
          <w:jc w:val="center"/>
        </w:trPr>
        <w:tc>
          <w:tcPr>
            <w:tcW w:w="631" w:type="dxa"/>
            <w:vMerge/>
            <w:vAlign w:val="center"/>
          </w:tcPr>
          <w:p w14:paraId="78387986" w14:textId="77777777" w:rsidR="00B0005F" w:rsidRPr="008A2411" w:rsidRDefault="00B0005F">
            <w:pPr>
              <w:pStyle w:val="WJ4"/>
              <w:spacing w:line="240" w:lineRule="auto"/>
              <w:jc w:val="left"/>
              <w:rPr>
                <w:rFonts w:ascii="Times New Roman" w:hAnsi="Times New Roman"/>
                <w:color w:val="000000" w:themeColor="text1"/>
              </w:rPr>
            </w:pPr>
          </w:p>
        </w:tc>
        <w:tc>
          <w:tcPr>
            <w:tcW w:w="978" w:type="dxa"/>
            <w:vMerge/>
            <w:vAlign w:val="center"/>
          </w:tcPr>
          <w:p w14:paraId="299AF641" w14:textId="77777777" w:rsidR="00B0005F" w:rsidRPr="008A2411" w:rsidRDefault="00B0005F">
            <w:pPr>
              <w:pStyle w:val="WJ4"/>
              <w:spacing w:line="240" w:lineRule="auto"/>
              <w:jc w:val="left"/>
              <w:rPr>
                <w:rFonts w:ascii="Times New Roman" w:hAnsi="Times New Roman"/>
                <w:color w:val="000000" w:themeColor="text1"/>
              </w:rPr>
            </w:pPr>
          </w:p>
        </w:tc>
        <w:tc>
          <w:tcPr>
            <w:tcW w:w="824" w:type="dxa"/>
            <w:vMerge/>
            <w:vAlign w:val="center"/>
          </w:tcPr>
          <w:p w14:paraId="38E5D6BC"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930" w:type="dxa"/>
            <w:vAlign w:val="center"/>
          </w:tcPr>
          <w:p w14:paraId="646BA9D6"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污物泵</w:t>
            </w:r>
          </w:p>
        </w:tc>
        <w:tc>
          <w:tcPr>
            <w:tcW w:w="1005" w:type="dxa"/>
            <w:vAlign w:val="center"/>
          </w:tcPr>
          <w:p w14:paraId="115F51C9"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2</w:t>
            </w:r>
            <w:r w:rsidRPr="008A2411">
              <w:rPr>
                <w:rFonts w:ascii="Times New Roman" w:eastAsia="宋体" w:hAnsi="Times New Roman" w:cs="Times New Roman"/>
                <w:bCs/>
                <w:color w:val="000000" w:themeColor="text1"/>
                <w:kern w:val="2"/>
                <w:sz w:val="21"/>
                <w:szCs w:val="21"/>
                <w:lang w:bidi="ar"/>
              </w:rPr>
              <w:t>台</w:t>
            </w:r>
          </w:p>
        </w:tc>
        <w:tc>
          <w:tcPr>
            <w:tcW w:w="2745" w:type="dxa"/>
            <w:vAlign w:val="center"/>
          </w:tcPr>
          <w:p w14:paraId="10D133BC"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1.5kw*15CMH*15m</w:t>
            </w:r>
          </w:p>
        </w:tc>
        <w:tc>
          <w:tcPr>
            <w:tcW w:w="1409" w:type="dxa"/>
            <w:vAlign w:val="center"/>
          </w:tcPr>
          <w:p w14:paraId="44BA711D"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r>
      <w:tr w:rsidR="008A2411" w:rsidRPr="008A2411" w14:paraId="53A64CF6" w14:textId="77777777">
        <w:trPr>
          <w:tblHeader/>
          <w:jc w:val="center"/>
        </w:trPr>
        <w:tc>
          <w:tcPr>
            <w:tcW w:w="631" w:type="dxa"/>
            <w:vMerge/>
            <w:vAlign w:val="center"/>
          </w:tcPr>
          <w:p w14:paraId="67BE813F" w14:textId="77777777" w:rsidR="00B0005F" w:rsidRPr="008A2411" w:rsidRDefault="00B0005F">
            <w:pPr>
              <w:pStyle w:val="WJ4"/>
              <w:spacing w:line="240" w:lineRule="auto"/>
              <w:jc w:val="left"/>
              <w:rPr>
                <w:rFonts w:ascii="Times New Roman" w:hAnsi="Times New Roman"/>
                <w:color w:val="000000" w:themeColor="text1"/>
              </w:rPr>
            </w:pPr>
          </w:p>
        </w:tc>
        <w:tc>
          <w:tcPr>
            <w:tcW w:w="978" w:type="dxa"/>
            <w:vMerge/>
            <w:vAlign w:val="center"/>
          </w:tcPr>
          <w:p w14:paraId="12712974" w14:textId="77777777" w:rsidR="00B0005F" w:rsidRPr="008A2411" w:rsidRDefault="00B0005F">
            <w:pPr>
              <w:pStyle w:val="WJ4"/>
              <w:spacing w:line="240" w:lineRule="auto"/>
              <w:jc w:val="left"/>
              <w:rPr>
                <w:rFonts w:ascii="Times New Roman" w:hAnsi="Times New Roman"/>
                <w:color w:val="000000" w:themeColor="text1"/>
              </w:rPr>
            </w:pPr>
          </w:p>
        </w:tc>
        <w:tc>
          <w:tcPr>
            <w:tcW w:w="824" w:type="dxa"/>
            <w:vMerge w:val="restart"/>
            <w:vAlign w:val="center"/>
          </w:tcPr>
          <w:p w14:paraId="1A4FF945"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清水池</w:t>
            </w:r>
          </w:p>
        </w:tc>
        <w:tc>
          <w:tcPr>
            <w:tcW w:w="930" w:type="dxa"/>
            <w:vAlign w:val="center"/>
          </w:tcPr>
          <w:p w14:paraId="091A9367"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过滤泵</w:t>
            </w:r>
          </w:p>
        </w:tc>
        <w:tc>
          <w:tcPr>
            <w:tcW w:w="1005" w:type="dxa"/>
            <w:vAlign w:val="center"/>
          </w:tcPr>
          <w:p w14:paraId="5B9586E5"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2</w:t>
            </w:r>
            <w:r w:rsidRPr="008A2411">
              <w:rPr>
                <w:rFonts w:ascii="Times New Roman" w:eastAsia="宋体" w:hAnsi="Times New Roman" w:cs="Times New Roman"/>
                <w:bCs/>
                <w:color w:val="000000" w:themeColor="text1"/>
                <w:kern w:val="2"/>
                <w:sz w:val="21"/>
                <w:szCs w:val="21"/>
                <w:lang w:bidi="ar"/>
              </w:rPr>
              <w:t>台</w:t>
            </w:r>
          </w:p>
        </w:tc>
        <w:tc>
          <w:tcPr>
            <w:tcW w:w="2745" w:type="dxa"/>
            <w:vAlign w:val="center"/>
          </w:tcPr>
          <w:p w14:paraId="1264ED0A"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4.0kw*25m</w:t>
            </w:r>
            <w:r w:rsidRPr="008A2411">
              <w:rPr>
                <w:rFonts w:ascii="Times New Roman" w:eastAsia="宋体" w:hAnsi="Times New Roman" w:cs="Times New Roman"/>
                <w:bCs/>
                <w:color w:val="000000" w:themeColor="text1"/>
                <w:kern w:val="2"/>
                <w:sz w:val="21"/>
                <w:szCs w:val="21"/>
                <w:vertAlign w:val="superscript"/>
                <w:lang w:bidi="ar"/>
              </w:rPr>
              <w:t>3</w:t>
            </w:r>
            <w:r w:rsidRPr="008A2411">
              <w:rPr>
                <w:rFonts w:ascii="Times New Roman" w:eastAsia="宋体" w:hAnsi="Times New Roman" w:cs="Times New Roman"/>
                <w:bCs/>
                <w:color w:val="000000" w:themeColor="text1"/>
                <w:kern w:val="2"/>
                <w:sz w:val="21"/>
                <w:szCs w:val="21"/>
                <w:lang w:bidi="ar"/>
              </w:rPr>
              <w:t>/</w:t>
            </w:r>
            <w:proofErr w:type="spellStart"/>
            <w:r w:rsidRPr="008A2411">
              <w:rPr>
                <w:rFonts w:ascii="Times New Roman" w:eastAsia="宋体" w:hAnsi="Times New Roman" w:cs="Times New Roman"/>
                <w:bCs/>
                <w:color w:val="000000" w:themeColor="text1"/>
                <w:kern w:val="2"/>
                <w:sz w:val="21"/>
                <w:szCs w:val="21"/>
                <w:lang w:bidi="ar"/>
              </w:rPr>
              <w:t>hr</w:t>
            </w:r>
            <w:proofErr w:type="spellEnd"/>
            <w:r w:rsidRPr="008A2411">
              <w:rPr>
                <w:rFonts w:ascii="Times New Roman" w:eastAsia="宋体" w:hAnsi="Times New Roman" w:cs="Times New Roman"/>
                <w:bCs/>
                <w:color w:val="000000" w:themeColor="text1"/>
                <w:kern w:val="2"/>
                <w:sz w:val="21"/>
                <w:szCs w:val="21"/>
                <w:lang w:bidi="ar"/>
              </w:rPr>
              <w:t>*30m</w:t>
            </w:r>
          </w:p>
        </w:tc>
        <w:tc>
          <w:tcPr>
            <w:tcW w:w="1409" w:type="dxa"/>
            <w:vAlign w:val="center"/>
          </w:tcPr>
          <w:p w14:paraId="44E6570C"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r>
      <w:tr w:rsidR="008A2411" w:rsidRPr="008A2411" w14:paraId="57C1B831" w14:textId="77777777">
        <w:trPr>
          <w:tblHeader/>
          <w:jc w:val="center"/>
        </w:trPr>
        <w:tc>
          <w:tcPr>
            <w:tcW w:w="631" w:type="dxa"/>
            <w:vMerge/>
            <w:vAlign w:val="center"/>
          </w:tcPr>
          <w:p w14:paraId="2DE35EE5" w14:textId="77777777" w:rsidR="00B0005F" w:rsidRPr="008A2411" w:rsidRDefault="00B0005F">
            <w:pPr>
              <w:pStyle w:val="WJ4"/>
              <w:spacing w:line="240" w:lineRule="auto"/>
              <w:jc w:val="left"/>
              <w:rPr>
                <w:rFonts w:ascii="Times New Roman" w:hAnsi="Times New Roman"/>
                <w:color w:val="000000" w:themeColor="text1"/>
              </w:rPr>
            </w:pPr>
          </w:p>
        </w:tc>
        <w:tc>
          <w:tcPr>
            <w:tcW w:w="978" w:type="dxa"/>
            <w:vMerge/>
            <w:vAlign w:val="center"/>
          </w:tcPr>
          <w:p w14:paraId="06BC55C1" w14:textId="77777777" w:rsidR="00B0005F" w:rsidRPr="008A2411" w:rsidRDefault="00B0005F">
            <w:pPr>
              <w:pStyle w:val="WJ4"/>
              <w:spacing w:line="240" w:lineRule="auto"/>
              <w:jc w:val="left"/>
              <w:rPr>
                <w:rFonts w:ascii="Times New Roman" w:hAnsi="Times New Roman"/>
                <w:color w:val="000000" w:themeColor="text1"/>
              </w:rPr>
            </w:pPr>
          </w:p>
        </w:tc>
        <w:tc>
          <w:tcPr>
            <w:tcW w:w="824" w:type="dxa"/>
            <w:vMerge/>
            <w:vAlign w:val="center"/>
          </w:tcPr>
          <w:p w14:paraId="0232896F"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930" w:type="dxa"/>
            <w:vAlign w:val="center"/>
          </w:tcPr>
          <w:p w14:paraId="67CF2344"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袋式过滤器</w:t>
            </w:r>
          </w:p>
        </w:tc>
        <w:tc>
          <w:tcPr>
            <w:tcW w:w="1005" w:type="dxa"/>
            <w:vAlign w:val="center"/>
          </w:tcPr>
          <w:p w14:paraId="1088CD89"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2</w:t>
            </w:r>
            <w:r w:rsidRPr="008A2411">
              <w:rPr>
                <w:rFonts w:ascii="Times New Roman" w:eastAsia="宋体" w:hAnsi="Times New Roman" w:cs="Times New Roman"/>
                <w:bCs/>
                <w:color w:val="000000" w:themeColor="text1"/>
                <w:kern w:val="2"/>
                <w:sz w:val="21"/>
                <w:szCs w:val="21"/>
                <w:lang w:bidi="ar"/>
              </w:rPr>
              <w:t>只</w:t>
            </w:r>
          </w:p>
        </w:tc>
        <w:tc>
          <w:tcPr>
            <w:tcW w:w="2745" w:type="dxa"/>
            <w:vAlign w:val="center"/>
          </w:tcPr>
          <w:p w14:paraId="6B41C57A"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25m</w:t>
            </w:r>
            <w:r w:rsidRPr="008A2411">
              <w:rPr>
                <w:rFonts w:ascii="Times New Roman" w:eastAsia="宋体" w:hAnsi="Times New Roman" w:cs="Times New Roman"/>
                <w:bCs/>
                <w:color w:val="000000" w:themeColor="text1"/>
                <w:kern w:val="2"/>
                <w:sz w:val="21"/>
                <w:szCs w:val="21"/>
                <w:vertAlign w:val="superscript"/>
                <w:lang w:bidi="ar"/>
              </w:rPr>
              <w:t>3</w:t>
            </w:r>
            <w:r w:rsidRPr="008A2411">
              <w:rPr>
                <w:rFonts w:ascii="Times New Roman" w:eastAsia="宋体" w:hAnsi="Times New Roman" w:cs="Times New Roman"/>
                <w:bCs/>
                <w:color w:val="000000" w:themeColor="text1"/>
                <w:kern w:val="2"/>
                <w:sz w:val="21"/>
                <w:szCs w:val="21"/>
                <w:lang w:bidi="ar"/>
              </w:rPr>
              <w:t>/h</w:t>
            </w:r>
          </w:p>
        </w:tc>
        <w:tc>
          <w:tcPr>
            <w:tcW w:w="1409" w:type="dxa"/>
            <w:vAlign w:val="center"/>
          </w:tcPr>
          <w:p w14:paraId="5541C8D0"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SUS304</w:t>
            </w:r>
          </w:p>
        </w:tc>
      </w:tr>
      <w:tr w:rsidR="008A2411" w:rsidRPr="008A2411" w14:paraId="70CAB72E" w14:textId="77777777">
        <w:trPr>
          <w:tblHeader/>
          <w:jc w:val="center"/>
        </w:trPr>
        <w:tc>
          <w:tcPr>
            <w:tcW w:w="631" w:type="dxa"/>
            <w:vMerge/>
            <w:vAlign w:val="center"/>
          </w:tcPr>
          <w:p w14:paraId="3DC40778" w14:textId="77777777" w:rsidR="00B0005F" w:rsidRPr="008A2411" w:rsidRDefault="00B0005F">
            <w:pPr>
              <w:pStyle w:val="WJ4"/>
              <w:spacing w:line="240" w:lineRule="auto"/>
              <w:jc w:val="left"/>
              <w:rPr>
                <w:rFonts w:ascii="Times New Roman" w:hAnsi="Times New Roman"/>
                <w:color w:val="000000" w:themeColor="text1"/>
              </w:rPr>
            </w:pPr>
          </w:p>
        </w:tc>
        <w:tc>
          <w:tcPr>
            <w:tcW w:w="978" w:type="dxa"/>
            <w:vMerge/>
            <w:vAlign w:val="center"/>
          </w:tcPr>
          <w:p w14:paraId="245F4E01" w14:textId="77777777" w:rsidR="00B0005F" w:rsidRPr="008A2411" w:rsidRDefault="00B0005F">
            <w:pPr>
              <w:pStyle w:val="WJ4"/>
              <w:spacing w:line="240" w:lineRule="auto"/>
              <w:jc w:val="left"/>
              <w:rPr>
                <w:rFonts w:ascii="Times New Roman" w:hAnsi="Times New Roman"/>
                <w:color w:val="000000" w:themeColor="text1"/>
              </w:rPr>
            </w:pPr>
          </w:p>
        </w:tc>
        <w:tc>
          <w:tcPr>
            <w:tcW w:w="824" w:type="dxa"/>
            <w:vMerge/>
            <w:vAlign w:val="center"/>
          </w:tcPr>
          <w:p w14:paraId="774033CF"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930" w:type="dxa"/>
            <w:vAlign w:val="center"/>
          </w:tcPr>
          <w:p w14:paraId="751075EC"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TF</w:t>
            </w:r>
            <w:r w:rsidRPr="008A2411">
              <w:rPr>
                <w:rFonts w:ascii="Times New Roman" w:eastAsia="宋体" w:hAnsi="Times New Roman" w:cs="Times New Roman"/>
                <w:bCs/>
                <w:color w:val="000000" w:themeColor="text1"/>
                <w:kern w:val="2"/>
                <w:sz w:val="21"/>
                <w:szCs w:val="21"/>
                <w:lang w:bidi="ar"/>
              </w:rPr>
              <w:t>主机系统</w:t>
            </w:r>
          </w:p>
        </w:tc>
        <w:tc>
          <w:tcPr>
            <w:tcW w:w="1005" w:type="dxa"/>
            <w:vAlign w:val="center"/>
          </w:tcPr>
          <w:p w14:paraId="1388C3F7"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1</w:t>
            </w:r>
            <w:r w:rsidRPr="008A2411">
              <w:rPr>
                <w:rFonts w:ascii="Times New Roman" w:eastAsia="宋体" w:hAnsi="Times New Roman" w:cs="Times New Roman"/>
                <w:bCs/>
                <w:color w:val="000000" w:themeColor="text1"/>
                <w:kern w:val="2"/>
                <w:sz w:val="21"/>
                <w:szCs w:val="21"/>
                <w:lang w:bidi="ar"/>
              </w:rPr>
              <w:t>套</w:t>
            </w:r>
          </w:p>
        </w:tc>
        <w:tc>
          <w:tcPr>
            <w:tcW w:w="2745" w:type="dxa"/>
            <w:vAlign w:val="center"/>
          </w:tcPr>
          <w:p w14:paraId="00D29D7F"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25m3/h</w:t>
            </w:r>
          </w:p>
        </w:tc>
        <w:tc>
          <w:tcPr>
            <w:tcW w:w="1409" w:type="dxa"/>
            <w:vAlign w:val="center"/>
          </w:tcPr>
          <w:p w14:paraId="2AF0BE8B"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自动控制</w:t>
            </w:r>
          </w:p>
        </w:tc>
      </w:tr>
      <w:tr w:rsidR="008A2411" w:rsidRPr="008A2411" w14:paraId="1ECF6A9B" w14:textId="77777777">
        <w:trPr>
          <w:tblHeader/>
          <w:jc w:val="center"/>
        </w:trPr>
        <w:tc>
          <w:tcPr>
            <w:tcW w:w="631" w:type="dxa"/>
            <w:vMerge/>
            <w:vAlign w:val="center"/>
          </w:tcPr>
          <w:p w14:paraId="2BE25F81" w14:textId="77777777" w:rsidR="00B0005F" w:rsidRPr="008A2411" w:rsidRDefault="00B0005F">
            <w:pPr>
              <w:pStyle w:val="WJ4"/>
              <w:spacing w:line="240" w:lineRule="auto"/>
              <w:jc w:val="left"/>
              <w:rPr>
                <w:rFonts w:ascii="Times New Roman" w:hAnsi="Times New Roman"/>
                <w:color w:val="000000" w:themeColor="text1"/>
              </w:rPr>
            </w:pPr>
          </w:p>
        </w:tc>
        <w:tc>
          <w:tcPr>
            <w:tcW w:w="978" w:type="dxa"/>
            <w:vMerge/>
            <w:vAlign w:val="center"/>
          </w:tcPr>
          <w:p w14:paraId="2676966E" w14:textId="77777777" w:rsidR="00B0005F" w:rsidRPr="008A2411" w:rsidRDefault="00B0005F">
            <w:pPr>
              <w:pStyle w:val="WJ4"/>
              <w:spacing w:line="240" w:lineRule="auto"/>
              <w:jc w:val="left"/>
              <w:rPr>
                <w:rFonts w:ascii="Times New Roman" w:hAnsi="Times New Roman"/>
                <w:color w:val="000000" w:themeColor="text1"/>
              </w:rPr>
            </w:pPr>
          </w:p>
        </w:tc>
        <w:tc>
          <w:tcPr>
            <w:tcW w:w="824" w:type="dxa"/>
            <w:vMerge/>
            <w:vAlign w:val="center"/>
          </w:tcPr>
          <w:p w14:paraId="2E75C723"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930" w:type="dxa"/>
            <w:vAlign w:val="center"/>
          </w:tcPr>
          <w:p w14:paraId="776566FF"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反冲洗泵</w:t>
            </w:r>
          </w:p>
        </w:tc>
        <w:tc>
          <w:tcPr>
            <w:tcW w:w="1005" w:type="dxa"/>
            <w:vAlign w:val="center"/>
          </w:tcPr>
          <w:p w14:paraId="082D4A50"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1</w:t>
            </w:r>
            <w:r w:rsidRPr="008A2411">
              <w:rPr>
                <w:rFonts w:ascii="Times New Roman" w:eastAsia="宋体" w:hAnsi="Times New Roman" w:cs="Times New Roman"/>
                <w:bCs/>
                <w:color w:val="000000" w:themeColor="text1"/>
                <w:kern w:val="2"/>
                <w:sz w:val="21"/>
                <w:szCs w:val="21"/>
                <w:lang w:bidi="ar"/>
              </w:rPr>
              <w:t>台</w:t>
            </w:r>
          </w:p>
        </w:tc>
        <w:tc>
          <w:tcPr>
            <w:tcW w:w="2745" w:type="dxa"/>
            <w:vAlign w:val="center"/>
          </w:tcPr>
          <w:p w14:paraId="4C889456"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3.0kw*35m</w:t>
            </w:r>
            <w:r w:rsidRPr="008A2411">
              <w:rPr>
                <w:rFonts w:ascii="Times New Roman" w:eastAsia="宋体" w:hAnsi="Times New Roman" w:cs="Times New Roman"/>
                <w:bCs/>
                <w:color w:val="000000" w:themeColor="text1"/>
                <w:kern w:val="2"/>
                <w:sz w:val="21"/>
                <w:szCs w:val="21"/>
                <w:vertAlign w:val="superscript"/>
                <w:lang w:bidi="ar"/>
              </w:rPr>
              <w:t>3</w:t>
            </w:r>
            <w:r w:rsidRPr="008A2411">
              <w:rPr>
                <w:rFonts w:ascii="Times New Roman" w:eastAsia="宋体" w:hAnsi="Times New Roman" w:cs="Times New Roman"/>
                <w:bCs/>
                <w:color w:val="000000" w:themeColor="text1"/>
                <w:kern w:val="2"/>
                <w:sz w:val="21"/>
                <w:szCs w:val="21"/>
                <w:lang w:bidi="ar"/>
              </w:rPr>
              <w:t>/</w:t>
            </w:r>
            <w:proofErr w:type="spellStart"/>
            <w:r w:rsidRPr="008A2411">
              <w:rPr>
                <w:rFonts w:ascii="Times New Roman" w:eastAsia="宋体" w:hAnsi="Times New Roman" w:cs="Times New Roman"/>
                <w:bCs/>
                <w:color w:val="000000" w:themeColor="text1"/>
                <w:kern w:val="2"/>
                <w:sz w:val="21"/>
                <w:szCs w:val="21"/>
                <w:lang w:bidi="ar"/>
              </w:rPr>
              <w:t>hr</w:t>
            </w:r>
            <w:proofErr w:type="spellEnd"/>
            <w:r w:rsidRPr="008A2411">
              <w:rPr>
                <w:rFonts w:ascii="Times New Roman" w:eastAsia="宋体" w:hAnsi="Times New Roman" w:cs="Times New Roman"/>
                <w:bCs/>
                <w:color w:val="000000" w:themeColor="text1"/>
                <w:kern w:val="2"/>
                <w:sz w:val="21"/>
                <w:szCs w:val="21"/>
                <w:lang w:bidi="ar"/>
              </w:rPr>
              <w:t>*20m</w:t>
            </w:r>
          </w:p>
        </w:tc>
        <w:tc>
          <w:tcPr>
            <w:tcW w:w="1409" w:type="dxa"/>
            <w:vAlign w:val="center"/>
          </w:tcPr>
          <w:p w14:paraId="2EAF86B4"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r>
      <w:tr w:rsidR="008A2411" w:rsidRPr="008A2411" w14:paraId="3BCD0BCA" w14:textId="77777777">
        <w:trPr>
          <w:tblHeader/>
          <w:jc w:val="center"/>
        </w:trPr>
        <w:tc>
          <w:tcPr>
            <w:tcW w:w="631" w:type="dxa"/>
            <w:vMerge/>
            <w:vAlign w:val="center"/>
          </w:tcPr>
          <w:p w14:paraId="16396D2A" w14:textId="77777777" w:rsidR="00B0005F" w:rsidRPr="008A2411" w:rsidRDefault="00B0005F">
            <w:pPr>
              <w:pStyle w:val="WJ4"/>
              <w:spacing w:line="240" w:lineRule="auto"/>
              <w:jc w:val="left"/>
              <w:rPr>
                <w:rFonts w:ascii="Times New Roman" w:hAnsi="Times New Roman"/>
                <w:color w:val="000000" w:themeColor="text1"/>
              </w:rPr>
            </w:pPr>
          </w:p>
        </w:tc>
        <w:tc>
          <w:tcPr>
            <w:tcW w:w="978" w:type="dxa"/>
            <w:vMerge/>
            <w:vAlign w:val="center"/>
          </w:tcPr>
          <w:p w14:paraId="341DA838" w14:textId="77777777" w:rsidR="00B0005F" w:rsidRPr="008A2411" w:rsidRDefault="00B0005F">
            <w:pPr>
              <w:pStyle w:val="WJ4"/>
              <w:spacing w:line="240" w:lineRule="auto"/>
              <w:jc w:val="left"/>
              <w:rPr>
                <w:rFonts w:ascii="Times New Roman" w:hAnsi="Times New Roman"/>
                <w:color w:val="000000" w:themeColor="text1"/>
              </w:rPr>
            </w:pPr>
          </w:p>
        </w:tc>
        <w:tc>
          <w:tcPr>
            <w:tcW w:w="824" w:type="dxa"/>
            <w:vMerge/>
            <w:vAlign w:val="center"/>
          </w:tcPr>
          <w:p w14:paraId="70CB3C84"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930" w:type="dxa"/>
            <w:vAlign w:val="center"/>
          </w:tcPr>
          <w:p w14:paraId="3FDD7B6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TF</w:t>
            </w:r>
            <w:r w:rsidRPr="008A2411">
              <w:rPr>
                <w:rFonts w:ascii="Times New Roman" w:eastAsia="宋体" w:hAnsi="Times New Roman" w:cs="Times New Roman"/>
                <w:bCs/>
                <w:color w:val="000000" w:themeColor="text1"/>
                <w:kern w:val="2"/>
                <w:sz w:val="21"/>
                <w:szCs w:val="21"/>
                <w:lang w:bidi="ar"/>
              </w:rPr>
              <w:t>清洗系统</w:t>
            </w:r>
          </w:p>
        </w:tc>
        <w:tc>
          <w:tcPr>
            <w:tcW w:w="1005" w:type="dxa"/>
            <w:vAlign w:val="center"/>
          </w:tcPr>
          <w:p w14:paraId="2ED4FEF5"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1</w:t>
            </w:r>
            <w:r w:rsidRPr="008A2411">
              <w:rPr>
                <w:rFonts w:ascii="Times New Roman" w:eastAsia="宋体" w:hAnsi="Times New Roman" w:cs="Times New Roman"/>
                <w:bCs/>
                <w:color w:val="000000" w:themeColor="text1"/>
                <w:kern w:val="2"/>
                <w:sz w:val="21"/>
                <w:szCs w:val="21"/>
                <w:lang w:bidi="ar"/>
              </w:rPr>
              <w:t>套</w:t>
            </w:r>
          </w:p>
        </w:tc>
        <w:tc>
          <w:tcPr>
            <w:tcW w:w="2745" w:type="dxa"/>
            <w:vAlign w:val="center"/>
          </w:tcPr>
          <w:p w14:paraId="3C45C83C"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1409" w:type="dxa"/>
            <w:vAlign w:val="center"/>
          </w:tcPr>
          <w:p w14:paraId="5C1F675C"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r>
      <w:tr w:rsidR="008A2411" w:rsidRPr="008A2411" w14:paraId="7C5AA53B" w14:textId="77777777">
        <w:trPr>
          <w:tblHeader/>
          <w:jc w:val="center"/>
        </w:trPr>
        <w:tc>
          <w:tcPr>
            <w:tcW w:w="631" w:type="dxa"/>
            <w:vMerge/>
            <w:vAlign w:val="center"/>
          </w:tcPr>
          <w:p w14:paraId="444A1648" w14:textId="77777777" w:rsidR="00B0005F" w:rsidRPr="008A2411" w:rsidRDefault="00B0005F">
            <w:pPr>
              <w:pStyle w:val="WJ4"/>
              <w:spacing w:line="240" w:lineRule="auto"/>
              <w:jc w:val="left"/>
              <w:rPr>
                <w:rFonts w:ascii="Times New Roman" w:hAnsi="Times New Roman"/>
                <w:color w:val="000000" w:themeColor="text1"/>
              </w:rPr>
            </w:pPr>
          </w:p>
        </w:tc>
        <w:tc>
          <w:tcPr>
            <w:tcW w:w="978" w:type="dxa"/>
            <w:vMerge/>
            <w:vAlign w:val="center"/>
          </w:tcPr>
          <w:p w14:paraId="69459016" w14:textId="77777777" w:rsidR="00B0005F" w:rsidRPr="008A2411" w:rsidRDefault="00B0005F">
            <w:pPr>
              <w:pStyle w:val="WJ4"/>
              <w:spacing w:line="240" w:lineRule="auto"/>
              <w:jc w:val="left"/>
              <w:rPr>
                <w:rFonts w:ascii="Times New Roman" w:hAnsi="Times New Roman"/>
                <w:color w:val="000000" w:themeColor="text1"/>
              </w:rPr>
            </w:pPr>
          </w:p>
        </w:tc>
        <w:tc>
          <w:tcPr>
            <w:tcW w:w="824" w:type="dxa"/>
            <w:vMerge w:val="restart"/>
            <w:vAlign w:val="center"/>
          </w:tcPr>
          <w:p w14:paraId="2CB58438"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过滤水池</w:t>
            </w:r>
          </w:p>
        </w:tc>
        <w:tc>
          <w:tcPr>
            <w:tcW w:w="930" w:type="dxa"/>
            <w:vAlign w:val="center"/>
          </w:tcPr>
          <w:p w14:paraId="4A9E2538"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过滤泵</w:t>
            </w:r>
          </w:p>
        </w:tc>
        <w:tc>
          <w:tcPr>
            <w:tcW w:w="1005" w:type="dxa"/>
            <w:vAlign w:val="center"/>
          </w:tcPr>
          <w:p w14:paraId="3006BD1F"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2</w:t>
            </w:r>
            <w:r w:rsidRPr="008A2411">
              <w:rPr>
                <w:rFonts w:ascii="Times New Roman" w:eastAsia="宋体" w:hAnsi="Times New Roman" w:cs="Times New Roman"/>
                <w:bCs/>
                <w:color w:val="000000" w:themeColor="text1"/>
                <w:kern w:val="2"/>
                <w:sz w:val="21"/>
                <w:szCs w:val="21"/>
                <w:lang w:bidi="ar"/>
              </w:rPr>
              <w:t>台</w:t>
            </w:r>
          </w:p>
        </w:tc>
        <w:tc>
          <w:tcPr>
            <w:tcW w:w="2745" w:type="dxa"/>
            <w:vAlign w:val="center"/>
          </w:tcPr>
          <w:p w14:paraId="0D9217B2"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4.0kw*25m3/</w:t>
            </w:r>
            <w:proofErr w:type="spellStart"/>
            <w:r w:rsidRPr="008A2411">
              <w:rPr>
                <w:rFonts w:ascii="Times New Roman" w:eastAsia="宋体" w:hAnsi="Times New Roman" w:cs="Times New Roman"/>
                <w:bCs/>
                <w:color w:val="000000" w:themeColor="text1"/>
                <w:kern w:val="2"/>
                <w:sz w:val="21"/>
                <w:szCs w:val="21"/>
                <w:lang w:bidi="ar"/>
              </w:rPr>
              <w:t>hr</w:t>
            </w:r>
            <w:proofErr w:type="spellEnd"/>
            <w:r w:rsidRPr="008A2411">
              <w:rPr>
                <w:rFonts w:ascii="Times New Roman" w:eastAsia="宋体" w:hAnsi="Times New Roman" w:cs="Times New Roman"/>
                <w:bCs/>
                <w:color w:val="000000" w:themeColor="text1"/>
                <w:kern w:val="2"/>
                <w:sz w:val="21"/>
                <w:szCs w:val="21"/>
                <w:lang w:bidi="ar"/>
              </w:rPr>
              <w:t>*30m</w:t>
            </w:r>
          </w:p>
        </w:tc>
        <w:tc>
          <w:tcPr>
            <w:tcW w:w="1409" w:type="dxa"/>
            <w:vAlign w:val="center"/>
          </w:tcPr>
          <w:p w14:paraId="38A3BB71"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r>
      <w:tr w:rsidR="008A2411" w:rsidRPr="008A2411" w14:paraId="5DCADB17" w14:textId="77777777">
        <w:trPr>
          <w:tblHeader/>
          <w:jc w:val="center"/>
        </w:trPr>
        <w:tc>
          <w:tcPr>
            <w:tcW w:w="631" w:type="dxa"/>
            <w:vMerge/>
            <w:vAlign w:val="center"/>
          </w:tcPr>
          <w:p w14:paraId="3C81B7B4" w14:textId="77777777" w:rsidR="00B0005F" w:rsidRPr="008A2411" w:rsidRDefault="00B0005F">
            <w:pPr>
              <w:pStyle w:val="WJ4"/>
              <w:spacing w:line="240" w:lineRule="auto"/>
              <w:jc w:val="left"/>
              <w:rPr>
                <w:rFonts w:ascii="Times New Roman" w:hAnsi="Times New Roman"/>
                <w:color w:val="000000" w:themeColor="text1"/>
              </w:rPr>
            </w:pPr>
          </w:p>
        </w:tc>
        <w:tc>
          <w:tcPr>
            <w:tcW w:w="978" w:type="dxa"/>
            <w:vMerge/>
            <w:vAlign w:val="center"/>
          </w:tcPr>
          <w:p w14:paraId="57714430" w14:textId="77777777" w:rsidR="00B0005F" w:rsidRPr="008A2411" w:rsidRDefault="00B0005F">
            <w:pPr>
              <w:pStyle w:val="WJ4"/>
              <w:spacing w:line="240" w:lineRule="auto"/>
              <w:jc w:val="left"/>
              <w:rPr>
                <w:rFonts w:ascii="Times New Roman" w:hAnsi="Times New Roman"/>
                <w:color w:val="000000" w:themeColor="text1"/>
              </w:rPr>
            </w:pPr>
          </w:p>
        </w:tc>
        <w:tc>
          <w:tcPr>
            <w:tcW w:w="824" w:type="dxa"/>
            <w:vMerge/>
            <w:vAlign w:val="center"/>
          </w:tcPr>
          <w:p w14:paraId="2F51D070"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930" w:type="dxa"/>
            <w:vAlign w:val="center"/>
          </w:tcPr>
          <w:p w14:paraId="70B61AD9"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活性炭吸附器</w:t>
            </w:r>
          </w:p>
        </w:tc>
        <w:tc>
          <w:tcPr>
            <w:tcW w:w="1005" w:type="dxa"/>
            <w:vAlign w:val="center"/>
          </w:tcPr>
          <w:p w14:paraId="1530DF96"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1</w:t>
            </w:r>
            <w:r w:rsidRPr="008A2411">
              <w:rPr>
                <w:rFonts w:ascii="Times New Roman" w:eastAsia="宋体" w:hAnsi="Times New Roman" w:cs="Times New Roman"/>
                <w:bCs/>
                <w:color w:val="000000" w:themeColor="text1"/>
                <w:kern w:val="2"/>
                <w:sz w:val="21"/>
                <w:szCs w:val="21"/>
                <w:lang w:bidi="ar"/>
              </w:rPr>
              <w:t>套</w:t>
            </w:r>
          </w:p>
        </w:tc>
        <w:tc>
          <w:tcPr>
            <w:tcW w:w="2745" w:type="dxa"/>
            <w:vAlign w:val="center"/>
          </w:tcPr>
          <w:p w14:paraId="0EFE2E93"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Ф1800*H3600</w:t>
            </w:r>
          </w:p>
        </w:tc>
        <w:tc>
          <w:tcPr>
            <w:tcW w:w="1409" w:type="dxa"/>
            <w:vAlign w:val="center"/>
          </w:tcPr>
          <w:p w14:paraId="484D6FE7"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SS-41+</w:t>
            </w:r>
            <w:r w:rsidRPr="008A2411">
              <w:rPr>
                <w:rFonts w:ascii="Times New Roman" w:eastAsia="宋体" w:hAnsi="Times New Roman" w:cs="Times New Roman"/>
                <w:bCs/>
                <w:color w:val="000000" w:themeColor="text1"/>
                <w:kern w:val="2"/>
                <w:sz w:val="21"/>
                <w:szCs w:val="21"/>
                <w:lang w:bidi="ar"/>
              </w:rPr>
              <w:t>衬胶防腐</w:t>
            </w:r>
          </w:p>
        </w:tc>
      </w:tr>
      <w:tr w:rsidR="008A2411" w:rsidRPr="008A2411" w14:paraId="4035A85C" w14:textId="77777777">
        <w:trPr>
          <w:tblHeader/>
          <w:jc w:val="center"/>
        </w:trPr>
        <w:tc>
          <w:tcPr>
            <w:tcW w:w="631" w:type="dxa"/>
            <w:vMerge/>
            <w:vAlign w:val="center"/>
          </w:tcPr>
          <w:p w14:paraId="4A43E9F4" w14:textId="77777777" w:rsidR="00B0005F" w:rsidRPr="008A2411" w:rsidRDefault="00B0005F">
            <w:pPr>
              <w:pStyle w:val="WJ4"/>
              <w:spacing w:line="240" w:lineRule="auto"/>
              <w:jc w:val="left"/>
              <w:rPr>
                <w:rFonts w:ascii="Times New Roman" w:hAnsi="Times New Roman"/>
                <w:color w:val="000000" w:themeColor="text1"/>
              </w:rPr>
            </w:pPr>
          </w:p>
        </w:tc>
        <w:tc>
          <w:tcPr>
            <w:tcW w:w="978" w:type="dxa"/>
            <w:vMerge/>
            <w:vAlign w:val="center"/>
          </w:tcPr>
          <w:p w14:paraId="2A73255C" w14:textId="77777777" w:rsidR="00B0005F" w:rsidRPr="008A2411" w:rsidRDefault="00B0005F">
            <w:pPr>
              <w:pStyle w:val="WJ4"/>
              <w:spacing w:line="240" w:lineRule="auto"/>
              <w:jc w:val="left"/>
              <w:rPr>
                <w:rFonts w:ascii="Times New Roman" w:hAnsi="Times New Roman"/>
                <w:color w:val="000000" w:themeColor="text1"/>
              </w:rPr>
            </w:pPr>
          </w:p>
        </w:tc>
        <w:tc>
          <w:tcPr>
            <w:tcW w:w="824" w:type="dxa"/>
            <w:vAlign w:val="center"/>
          </w:tcPr>
          <w:p w14:paraId="1E6D0D98"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回收水池</w:t>
            </w:r>
          </w:p>
        </w:tc>
        <w:tc>
          <w:tcPr>
            <w:tcW w:w="930" w:type="dxa"/>
            <w:vAlign w:val="center"/>
          </w:tcPr>
          <w:p w14:paraId="58AF4B85"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消毒加药系统</w:t>
            </w:r>
          </w:p>
        </w:tc>
        <w:tc>
          <w:tcPr>
            <w:tcW w:w="1005" w:type="dxa"/>
            <w:vAlign w:val="center"/>
          </w:tcPr>
          <w:p w14:paraId="57F11C36"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1</w:t>
            </w:r>
            <w:r w:rsidRPr="008A2411">
              <w:rPr>
                <w:rFonts w:ascii="Times New Roman" w:eastAsia="宋体" w:hAnsi="Times New Roman" w:cs="Times New Roman"/>
                <w:bCs/>
                <w:color w:val="000000" w:themeColor="text1"/>
                <w:kern w:val="2"/>
                <w:sz w:val="21"/>
                <w:szCs w:val="21"/>
                <w:lang w:bidi="ar"/>
              </w:rPr>
              <w:t>套</w:t>
            </w:r>
          </w:p>
        </w:tc>
        <w:tc>
          <w:tcPr>
            <w:tcW w:w="2745" w:type="dxa"/>
            <w:vAlign w:val="center"/>
          </w:tcPr>
          <w:p w14:paraId="57D416DD"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（臭氧发生器）</w:t>
            </w:r>
          </w:p>
        </w:tc>
        <w:tc>
          <w:tcPr>
            <w:tcW w:w="1409" w:type="dxa"/>
            <w:vAlign w:val="center"/>
          </w:tcPr>
          <w:p w14:paraId="7E7DEE8E"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r>
      <w:tr w:rsidR="008A2411" w:rsidRPr="008A2411" w14:paraId="2C7A8349" w14:textId="77777777">
        <w:trPr>
          <w:tblHeader/>
          <w:jc w:val="center"/>
        </w:trPr>
        <w:tc>
          <w:tcPr>
            <w:tcW w:w="631" w:type="dxa"/>
            <w:vMerge/>
            <w:vAlign w:val="center"/>
          </w:tcPr>
          <w:p w14:paraId="6588A51D" w14:textId="77777777" w:rsidR="00B0005F" w:rsidRPr="008A2411" w:rsidRDefault="00B0005F">
            <w:pPr>
              <w:pStyle w:val="WJ4"/>
              <w:spacing w:line="240" w:lineRule="auto"/>
              <w:jc w:val="left"/>
              <w:rPr>
                <w:rFonts w:ascii="Times New Roman" w:hAnsi="Times New Roman"/>
                <w:color w:val="000000" w:themeColor="text1"/>
              </w:rPr>
            </w:pPr>
          </w:p>
        </w:tc>
        <w:tc>
          <w:tcPr>
            <w:tcW w:w="978" w:type="dxa"/>
            <w:vMerge/>
            <w:vAlign w:val="center"/>
          </w:tcPr>
          <w:p w14:paraId="4633459E" w14:textId="77777777" w:rsidR="00B0005F" w:rsidRPr="008A2411" w:rsidRDefault="00B0005F">
            <w:pPr>
              <w:pStyle w:val="WJ4"/>
              <w:spacing w:line="240" w:lineRule="auto"/>
              <w:jc w:val="left"/>
              <w:rPr>
                <w:rFonts w:ascii="Times New Roman" w:hAnsi="Times New Roman"/>
                <w:color w:val="000000" w:themeColor="text1"/>
              </w:rPr>
            </w:pPr>
          </w:p>
        </w:tc>
        <w:tc>
          <w:tcPr>
            <w:tcW w:w="824" w:type="dxa"/>
            <w:vMerge w:val="restart"/>
            <w:vAlign w:val="center"/>
          </w:tcPr>
          <w:p w14:paraId="38029072"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污泥浓缩池</w:t>
            </w:r>
          </w:p>
        </w:tc>
        <w:tc>
          <w:tcPr>
            <w:tcW w:w="930" w:type="dxa"/>
            <w:vAlign w:val="center"/>
          </w:tcPr>
          <w:p w14:paraId="556C3B48"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污泥脱水机</w:t>
            </w:r>
          </w:p>
        </w:tc>
        <w:tc>
          <w:tcPr>
            <w:tcW w:w="1005" w:type="dxa"/>
            <w:vAlign w:val="center"/>
          </w:tcPr>
          <w:p w14:paraId="342B1924"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1</w:t>
            </w:r>
            <w:r w:rsidRPr="008A2411">
              <w:rPr>
                <w:rFonts w:ascii="Times New Roman" w:eastAsia="宋体" w:hAnsi="Times New Roman" w:cs="Times New Roman"/>
                <w:bCs/>
                <w:color w:val="000000" w:themeColor="text1"/>
                <w:kern w:val="2"/>
                <w:sz w:val="21"/>
                <w:szCs w:val="21"/>
                <w:lang w:bidi="ar"/>
              </w:rPr>
              <w:t>台</w:t>
            </w:r>
          </w:p>
        </w:tc>
        <w:tc>
          <w:tcPr>
            <w:tcW w:w="2745" w:type="dxa"/>
            <w:vAlign w:val="center"/>
          </w:tcPr>
          <w:p w14:paraId="747047B3"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XMY40/800</w:t>
            </w:r>
          </w:p>
        </w:tc>
        <w:tc>
          <w:tcPr>
            <w:tcW w:w="1409" w:type="dxa"/>
            <w:vAlign w:val="center"/>
          </w:tcPr>
          <w:p w14:paraId="127BA520"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r>
      <w:tr w:rsidR="008A2411" w:rsidRPr="008A2411" w14:paraId="79F743EC" w14:textId="77777777">
        <w:trPr>
          <w:tblHeader/>
          <w:jc w:val="center"/>
        </w:trPr>
        <w:tc>
          <w:tcPr>
            <w:tcW w:w="631" w:type="dxa"/>
            <w:vMerge/>
            <w:vAlign w:val="center"/>
          </w:tcPr>
          <w:p w14:paraId="730B4602" w14:textId="77777777" w:rsidR="00B0005F" w:rsidRPr="008A2411" w:rsidRDefault="00B0005F">
            <w:pPr>
              <w:pStyle w:val="WJ4"/>
              <w:spacing w:line="240" w:lineRule="auto"/>
              <w:jc w:val="left"/>
              <w:rPr>
                <w:rFonts w:ascii="Times New Roman" w:hAnsi="Times New Roman"/>
                <w:color w:val="000000" w:themeColor="text1"/>
              </w:rPr>
            </w:pPr>
          </w:p>
        </w:tc>
        <w:tc>
          <w:tcPr>
            <w:tcW w:w="978" w:type="dxa"/>
            <w:vMerge/>
            <w:vAlign w:val="center"/>
          </w:tcPr>
          <w:p w14:paraId="1289A74D" w14:textId="77777777" w:rsidR="00B0005F" w:rsidRPr="008A2411" w:rsidRDefault="00B0005F">
            <w:pPr>
              <w:pStyle w:val="WJ4"/>
              <w:spacing w:line="240" w:lineRule="auto"/>
              <w:jc w:val="left"/>
              <w:rPr>
                <w:rFonts w:ascii="Times New Roman" w:hAnsi="Times New Roman"/>
                <w:color w:val="000000" w:themeColor="text1"/>
              </w:rPr>
            </w:pPr>
          </w:p>
        </w:tc>
        <w:tc>
          <w:tcPr>
            <w:tcW w:w="824" w:type="dxa"/>
            <w:vMerge/>
            <w:vAlign w:val="center"/>
          </w:tcPr>
          <w:p w14:paraId="45E3F017"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930" w:type="dxa"/>
            <w:vAlign w:val="center"/>
          </w:tcPr>
          <w:p w14:paraId="547E8842"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气动泵</w:t>
            </w:r>
          </w:p>
        </w:tc>
        <w:tc>
          <w:tcPr>
            <w:tcW w:w="1005" w:type="dxa"/>
            <w:vAlign w:val="center"/>
          </w:tcPr>
          <w:p w14:paraId="153E2704"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2</w:t>
            </w:r>
            <w:r w:rsidRPr="008A2411">
              <w:rPr>
                <w:rFonts w:ascii="Times New Roman" w:eastAsia="宋体" w:hAnsi="Times New Roman" w:cs="Times New Roman"/>
                <w:bCs/>
                <w:color w:val="000000" w:themeColor="text1"/>
                <w:kern w:val="2"/>
                <w:sz w:val="21"/>
                <w:szCs w:val="21"/>
                <w:lang w:bidi="ar"/>
              </w:rPr>
              <w:t>台</w:t>
            </w:r>
          </w:p>
        </w:tc>
        <w:tc>
          <w:tcPr>
            <w:tcW w:w="2745" w:type="dxa"/>
            <w:vAlign w:val="center"/>
          </w:tcPr>
          <w:p w14:paraId="0C6B9288"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DN50</w:t>
            </w:r>
          </w:p>
        </w:tc>
        <w:tc>
          <w:tcPr>
            <w:tcW w:w="1409" w:type="dxa"/>
            <w:vAlign w:val="center"/>
          </w:tcPr>
          <w:p w14:paraId="15E1293A"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r>
      <w:tr w:rsidR="008A2411" w:rsidRPr="008A2411" w14:paraId="33694187" w14:textId="77777777">
        <w:trPr>
          <w:tblHeader/>
          <w:jc w:val="center"/>
        </w:trPr>
        <w:tc>
          <w:tcPr>
            <w:tcW w:w="631" w:type="dxa"/>
            <w:vMerge/>
            <w:vAlign w:val="center"/>
          </w:tcPr>
          <w:p w14:paraId="1DF5BB3C" w14:textId="77777777" w:rsidR="00B0005F" w:rsidRPr="008A2411" w:rsidRDefault="00B0005F">
            <w:pPr>
              <w:pStyle w:val="WJ4"/>
              <w:spacing w:line="240" w:lineRule="auto"/>
              <w:jc w:val="left"/>
              <w:rPr>
                <w:rFonts w:ascii="Times New Roman" w:hAnsi="Times New Roman"/>
                <w:color w:val="000000" w:themeColor="text1"/>
              </w:rPr>
            </w:pPr>
          </w:p>
        </w:tc>
        <w:tc>
          <w:tcPr>
            <w:tcW w:w="978" w:type="dxa"/>
            <w:vMerge/>
            <w:vAlign w:val="center"/>
          </w:tcPr>
          <w:p w14:paraId="771CA211" w14:textId="77777777" w:rsidR="00B0005F" w:rsidRPr="008A2411" w:rsidRDefault="00B0005F">
            <w:pPr>
              <w:pStyle w:val="WJ4"/>
              <w:spacing w:line="240" w:lineRule="auto"/>
              <w:jc w:val="left"/>
              <w:rPr>
                <w:rFonts w:ascii="Times New Roman" w:hAnsi="Times New Roman"/>
                <w:color w:val="000000" w:themeColor="text1"/>
              </w:rPr>
            </w:pPr>
          </w:p>
        </w:tc>
        <w:tc>
          <w:tcPr>
            <w:tcW w:w="824" w:type="dxa"/>
            <w:vMerge/>
            <w:vAlign w:val="center"/>
          </w:tcPr>
          <w:p w14:paraId="20826C00"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930" w:type="dxa"/>
            <w:vAlign w:val="center"/>
          </w:tcPr>
          <w:p w14:paraId="4675FF5C"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空压机</w:t>
            </w:r>
          </w:p>
        </w:tc>
        <w:tc>
          <w:tcPr>
            <w:tcW w:w="1005" w:type="dxa"/>
            <w:vAlign w:val="center"/>
          </w:tcPr>
          <w:p w14:paraId="37D25193"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1</w:t>
            </w:r>
            <w:r w:rsidRPr="008A2411">
              <w:rPr>
                <w:rFonts w:ascii="Times New Roman" w:eastAsia="宋体" w:hAnsi="Times New Roman" w:cs="Times New Roman"/>
                <w:bCs/>
                <w:color w:val="000000" w:themeColor="text1"/>
                <w:kern w:val="2"/>
                <w:sz w:val="21"/>
                <w:szCs w:val="21"/>
                <w:lang w:bidi="ar"/>
              </w:rPr>
              <w:t>台</w:t>
            </w:r>
          </w:p>
        </w:tc>
        <w:tc>
          <w:tcPr>
            <w:tcW w:w="2745" w:type="dxa"/>
            <w:vAlign w:val="center"/>
          </w:tcPr>
          <w:p w14:paraId="1A90567C"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TV-80</w:t>
            </w:r>
          </w:p>
        </w:tc>
        <w:tc>
          <w:tcPr>
            <w:tcW w:w="1409" w:type="dxa"/>
            <w:vAlign w:val="center"/>
          </w:tcPr>
          <w:p w14:paraId="2E52A3F9"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r>
      <w:tr w:rsidR="008A2411" w:rsidRPr="008A2411" w14:paraId="4C8B3509" w14:textId="77777777">
        <w:trPr>
          <w:tblHeader/>
          <w:jc w:val="center"/>
        </w:trPr>
        <w:tc>
          <w:tcPr>
            <w:tcW w:w="631" w:type="dxa"/>
            <w:vMerge/>
            <w:vAlign w:val="center"/>
          </w:tcPr>
          <w:p w14:paraId="6803A91D" w14:textId="77777777" w:rsidR="00B0005F" w:rsidRPr="008A2411" w:rsidRDefault="00B0005F">
            <w:pPr>
              <w:pStyle w:val="WJ4"/>
              <w:spacing w:line="240" w:lineRule="auto"/>
              <w:jc w:val="left"/>
              <w:rPr>
                <w:rFonts w:ascii="Times New Roman" w:hAnsi="Times New Roman"/>
                <w:color w:val="000000" w:themeColor="text1"/>
              </w:rPr>
            </w:pPr>
          </w:p>
        </w:tc>
        <w:tc>
          <w:tcPr>
            <w:tcW w:w="978" w:type="dxa"/>
            <w:vMerge/>
            <w:vAlign w:val="center"/>
          </w:tcPr>
          <w:p w14:paraId="6F7BABE7" w14:textId="77777777" w:rsidR="00B0005F" w:rsidRPr="008A2411" w:rsidRDefault="00B0005F">
            <w:pPr>
              <w:pStyle w:val="WJ4"/>
              <w:spacing w:line="240" w:lineRule="auto"/>
              <w:jc w:val="left"/>
              <w:rPr>
                <w:rFonts w:ascii="Times New Roman" w:hAnsi="Times New Roman"/>
                <w:color w:val="000000" w:themeColor="text1"/>
              </w:rPr>
            </w:pPr>
          </w:p>
        </w:tc>
        <w:tc>
          <w:tcPr>
            <w:tcW w:w="824" w:type="dxa"/>
            <w:vAlign w:val="center"/>
          </w:tcPr>
          <w:p w14:paraId="767EAC1C"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控制室</w:t>
            </w:r>
          </w:p>
        </w:tc>
        <w:tc>
          <w:tcPr>
            <w:tcW w:w="930" w:type="dxa"/>
            <w:vAlign w:val="center"/>
          </w:tcPr>
          <w:p w14:paraId="749D9D4A"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配电箱</w:t>
            </w:r>
          </w:p>
        </w:tc>
        <w:tc>
          <w:tcPr>
            <w:tcW w:w="1005" w:type="dxa"/>
            <w:vAlign w:val="center"/>
          </w:tcPr>
          <w:p w14:paraId="5DA8081B"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1</w:t>
            </w:r>
            <w:r w:rsidRPr="008A2411">
              <w:rPr>
                <w:rFonts w:ascii="Times New Roman" w:eastAsia="宋体" w:hAnsi="Times New Roman" w:cs="Times New Roman"/>
                <w:bCs/>
                <w:color w:val="000000" w:themeColor="text1"/>
                <w:kern w:val="2"/>
                <w:sz w:val="21"/>
                <w:szCs w:val="21"/>
                <w:lang w:bidi="ar"/>
              </w:rPr>
              <w:t>套</w:t>
            </w:r>
          </w:p>
        </w:tc>
        <w:tc>
          <w:tcPr>
            <w:tcW w:w="2745" w:type="dxa"/>
            <w:vAlign w:val="center"/>
          </w:tcPr>
          <w:p w14:paraId="124BE720"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1409" w:type="dxa"/>
            <w:vAlign w:val="center"/>
          </w:tcPr>
          <w:p w14:paraId="04EE7F02"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PLC</w:t>
            </w:r>
            <w:r w:rsidRPr="008A2411">
              <w:rPr>
                <w:rFonts w:ascii="Times New Roman" w:eastAsia="宋体" w:hAnsi="Times New Roman" w:cs="Times New Roman"/>
                <w:bCs/>
                <w:color w:val="000000" w:themeColor="text1"/>
                <w:kern w:val="2"/>
                <w:sz w:val="21"/>
                <w:szCs w:val="21"/>
                <w:lang w:bidi="ar"/>
              </w:rPr>
              <w:t>控制</w:t>
            </w:r>
          </w:p>
        </w:tc>
      </w:tr>
      <w:tr w:rsidR="008A2411" w:rsidRPr="008A2411" w14:paraId="33F31AC0" w14:textId="77777777">
        <w:trPr>
          <w:tblHeader/>
          <w:jc w:val="center"/>
        </w:trPr>
        <w:tc>
          <w:tcPr>
            <w:tcW w:w="631" w:type="dxa"/>
            <w:vMerge/>
            <w:vAlign w:val="center"/>
          </w:tcPr>
          <w:p w14:paraId="137E74C9" w14:textId="77777777" w:rsidR="00B0005F" w:rsidRPr="008A2411" w:rsidRDefault="00B0005F">
            <w:pPr>
              <w:pStyle w:val="WJ4"/>
              <w:spacing w:line="240" w:lineRule="auto"/>
              <w:jc w:val="left"/>
              <w:rPr>
                <w:rFonts w:ascii="Times New Roman" w:hAnsi="Times New Roman"/>
                <w:color w:val="000000" w:themeColor="text1"/>
              </w:rPr>
            </w:pPr>
          </w:p>
        </w:tc>
        <w:tc>
          <w:tcPr>
            <w:tcW w:w="978" w:type="dxa"/>
            <w:vMerge/>
            <w:vAlign w:val="center"/>
          </w:tcPr>
          <w:p w14:paraId="755306AD" w14:textId="77777777" w:rsidR="00B0005F" w:rsidRPr="008A2411" w:rsidRDefault="00B0005F">
            <w:pPr>
              <w:pStyle w:val="WJ4"/>
              <w:spacing w:line="240" w:lineRule="auto"/>
              <w:jc w:val="left"/>
              <w:rPr>
                <w:rFonts w:ascii="Times New Roman" w:hAnsi="Times New Roman"/>
                <w:color w:val="000000" w:themeColor="text1"/>
              </w:rPr>
            </w:pPr>
          </w:p>
        </w:tc>
        <w:tc>
          <w:tcPr>
            <w:tcW w:w="824" w:type="dxa"/>
            <w:vAlign w:val="center"/>
          </w:tcPr>
          <w:p w14:paraId="0D341BE1"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管道阀件及配件</w:t>
            </w:r>
          </w:p>
        </w:tc>
        <w:tc>
          <w:tcPr>
            <w:tcW w:w="930" w:type="dxa"/>
            <w:vAlign w:val="center"/>
          </w:tcPr>
          <w:p w14:paraId="231E3220"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1005" w:type="dxa"/>
            <w:vAlign w:val="center"/>
          </w:tcPr>
          <w:p w14:paraId="5875AF9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1</w:t>
            </w:r>
            <w:r w:rsidRPr="008A2411">
              <w:rPr>
                <w:rFonts w:ascii="Times New Roman" w:eastAsia="宋体" w:hAnsi="Times New Roman" w:cs="Times New Roman"/>
                <w:bCs/>
                <w:color w:val="000000" w:themeColor="text1"/>
                <w:kern w:val="2"/>
                <w:sz w:val="21"/>
                <w:szCs w:val="21"/>
                <w:lang w:bidi="ar"/>
              </w:rPr>
              <w:t>式</w:t>
            </w:r>
          </w:p>
        </w:tc>
        <w:tc>
          <w:tcPr>
            <w:tcW w:w="2745" w:type="dxa"/>
            <w:vAlign w:val="center"/>
          </w:tcPr>
          <w:p w14:paraId="35DF30D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废水站内管道</w:t>
            </w:r>
          </w:p>
        </w:tc>
        <w:tc>
          <w:tcPr>
            <w:tcW w:w="1409" w:type="dxa"/>
            <w:vAlign w:val="center"/>
          </w:tcPr>
          <w:p w14:paraId="4E6280C6"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UPVC</w:t>
            </w:r>
          </w:p>
        </w:tc>
      </w:tr>
      <w:tr w:rsidR="008A2411" w:rsidRPr="008A2411" w14:paraId="28D7F4B6" w14:textId="77777777">
        <w:trPr>
          <w:tblHeader/>
          <w:jc w:val="center"/>
        </w:trPr>
        <w:tc>
          <w:tcPr>
            <w:tcW w:w="631" w:type="dxa"/>
            <w:vMerge/>
            <w:vAlign w:val="center"/>
          </w:tcPr>
          <w:p w14:paraId="10560408" w14:textId="77777777" w:rsidR="00B0005F" w:rsidRPr="008A2411" w:rsidRDefault="00B0005F">
            <w:pPr>
              <w:pStyle w:val="WJ4"/>
              <w:spacing w:line="240" w:lineRule="auto"/>
              <w:jc w:val="left"/>
              <w:rPr>
                <w:rFonts w:ascii="Times New Roman" w:hAnsi="Times New Roman"/>
                <w:color w:val="000000" w:themeColor="text1"/>
              </w:rPr>
            </w:pPr>
          </w:p>
        </w:tc>
        <w:tc>
          <w:tcPr>
            <w:tcW w:w="978" w:type="dxa"/>
            <w:vMerge/>
            <w:vAlign w:val="center"/>
          </w:tcPr>
          <w:p w14:paraId="4EE556EF" w14:textId="77777777" w:rsidR="00B0005F" w:rsidRPr="008A2411" w:rsidRDefault="00B0005F">
            <w:pPr>
              <w:pStyle w:val="WJ4"/>
              <w:spacing w:line="240" w:lineRule="auto"/>
              <w:jc w:val="left"/>
              <w:rPr>
                <w:rFonts w:ascii="Times New Roman" w:hAnsi="Times New Roman"/>
                <w:color w:val="000000" w:themeColor="text1"/>
              </w:rPr>
            </w:pPr>
          </w:p>
        </w:tc>
        <w:tc>
          <w:tcPr>
            <w:tcW w:w="824" w:type="dxa"/>
            <w:vAlign w:val="center"/>
          </w:tcPr>
          <w:p w14:paraId="4F44F939"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配电电缆、桥架</w:t>
            </w:r>
          </w:p>
        </w:tc>
        <w:tc>
          <w:tcPr>
            <w:tcW w:w="930" w:type="dxa"/>
            <w:vAlign w:val="center"/>
          </w:tcPr>
          <w:p w14:paraId="2419D6DA"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1005" w:type="dxa"/>
            <w:vAlign w:val="center"/>
          </w:tcPr>
          <w:p w14:paraId="0E542631"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1</w:t>
            </w:r>
            <w:r w:rsidRPr="008A2411">
              <w:rPr>
                <w:rFonts w:ascii="Times New Roman" w:eastAsia="宋体" w:hAnsi="Times New Roman" w:cs="Times New Roman"/>
                <w:bCs/>
                <w:color w:val="000000" w:themeColor="text1"/>
                <w:kern w:val="2"/>
                <w:sz w:val="21"/>
                <w:szCs w:val="21"/>
                <w:lang w:bidi="ar"/>
              </w:rPr>
              <w:t>式</w:t>
            </w:r>
          </w:p>
        </w:tc>
        <w:tc>
          <w:tcPr>
            <w:tcW w:w="2745" w:type="dxa"/>
            <w:vAlign w:val="center"/>
          </w:tcPr>
          <w:p w14:paraId="4D49D3BB"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电线及电缆、桥架</w:t>
            </w:r>
          </w:p>
        </w:tc>
        <w:tc>
          <w:tcPr>
            <w:tcW w:w="1409" w:type="dxa"/>
            <w:vAlign w:val="center"/>
          </w:tcPr>
          <w:p w14:paraId="244C9409"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r>
    </w:tbl>
    <w:p w14:paraId="7FD3C2FB" w14:textId="77777777" w:rsidR="00B0005F" w:rsidRPr="008A2411" w:rsidRDefault="00000000">
      <w:pPr>
        <w:pStyle w:val="42"/>
        <w:adjustRightInd w:val="0"/>
        <w:snapToGrid w:val="0"/>
        <w:spacing w:before="0" w:after="0" w:line="360" w:lineRule="auto"/>
        <w:rPr>
          <w:rFonts w:ascii="Times New Roman" w:hAnsi="Times New Roman"/>
          <w:b w:val="0"/>
          <w:color w:val="000000" w:themeColor="text1"/>
          <w:kern w:val="0"/>
          <w:sz w:val="24"/>
          <w:szCs w:val="24"/>
          <w:lang w:bidi="en-US"/>
        </w:rPr>
      </w:pPr>
      <w:r w:rsidRPr="008A2411">
        <w:rPr>
          <w:rFonts w:ascii="Times New Roman" w:hAnsi="Times New Roman"/>
          <w:b w:val="0"/>
          <w:color w:val="000000" w:themeColor="text1"/>
          <w:kern w:val="0"/>
          <w:sz w:val="24"/>
          <w:szCs w:val="24"/>
          <w:lang w:bidi="en-US"/>
        </w:rPr>
        <w:t>3.1.4</w:t>
      </w:r>
      <w:r w:rsidRPr="008A2411">
        <w:rPr>
          <w:rFonts w:ascii="Times New Roman" w:hAnsi="Times New Roman"/>
          <w:b w:val="0"/>
          <w:color w:val="000000" w:themeColor="text1"/>
          <w:kern w:val="0"/>
          <w:sz w:val="24"/>
          <w:szCs w:val="24"/>
          <w:lang w:bidi="en-US"/>
        </w:rPr>
        <w:t>主要原辅材料及能耗表</w:t>
      </w:r>
    </w:p>
    <w:p w14:paraId="79EC015B" w14:textId="77777777" w:rsidR="00B0005F" w:rsidRPr="008A2411" w:rsidRDefault="00000000">
      <w:pPr>
        <w:pStyle w:val="afffffffffffff7"/>
        <w:adjustRightInd w:val="0"/>
        <w:snapToGrid w:val="0"/>
        <w:ind w:firstLine="480"/>
        <w:rPr>
          <w:color w:val="000000" w:themeColor="text1"/>
          <w:sz w:val="24"/>
          <w:szCs w:val="24"/>
        </w:rPr>
      </w:pPr>
      <w:r w:rsidRPr="008A2411">
        <w:rPr>
          <w:color w:val="000000" w:themeColor="text1"/>
          <w:sz w:val="24"/>
          <w:szCs w:val="24"/>
        </w:rPr>
        <w:t>项目主要原辅料见表</w:t>
      </w:r>
      <w:r w:rsidRPr="008A2411">
        <w:rPr>
          <w:color w:val="000000" w:themeColor="text1"/>
          <w:sz w:val="24"/>
          <w:szCs w:val="24"/>
        </w:rPr>
        <w:t>3.1-3</w:t>
      </w:r>
      <w:r w:rsidRPr="008A2411">
        <w:rPr>
          <w:color w:val="000000" w:themeColor="text1"/>
          <w:sz w:val="24"/>
          <w:szCs w:val="24"/>
        </w:rPr>
        <w:t>，原辅材料主要理化性质见</w:t>
      </w:r>
      <w:r w:rsidRPr="008A2411">
        <w:rPr>
          <w:color w:val="000000" w:themeColor="text1"/>
          <w:sz w:val="24"/>
          <w:szCs w:val="24"/>
        </w:rPr>
        <w:t>3.1-4</w:t>
      </w:r>
      <w:r w:rsidRPr="008A2411">
        <w:rPr>
          <w:color w:val="000000" w:themeColor="text1"/>
          <w:sz w:val="24"/>
          <w:szCs w:val="24"/>
        </w:rPr>
        <w:t>。</w:t>
      </w:r>
    </w:p>
    <w:p w14:paraId="6DFCE8BB" w14:textId="77777777" w:rsidR="00B0005F" w:rsidRPr="008A2411" w:rsidRDefault="00000000">
      <w:pPr>
        <w:autoSpaceDE w:val="0"/>
        <w:autoSpaceDN w:val="0"/>
        <w:ind w:firstLine="482"/>
        <w:jc w:val="center"/>
        <w:rPr>
          <w:rFonts w:ascii="Times New Roman" w:eastAsia="黑体"/>
          <w:color w:val="000000" w:themeColor="text1"/>
          <w:szCs w:val="24"/>
        </w:rPr>
      </w:pPr>
      <w:r w:rsidRPr="008A2411">
        <w:rPr>
          <w:rFonts w:ascii="Times New Roman" w:eastAsia="黑体"/>
          <w:color w:val="000000" w:themeColor="text1"/>
          <w:szCs w:val="24"/>
        </w:rPr>
        <w:t>表</w:t>
      </w:r>
      <w:r w:rsidRPr="008A2411">
        <w:rPr>
          <w:rFonts w:ascii="Times New Roman" w:eastAsia="黑体"/>
          <w:color w:val="000000" w:themeColor="text1"/>
          <w:szCs w:val="24"/>
        </w:rPr>
        <w:t xml:space="preserve">3.1-3   </w:t>
      </w:r>
      <w:r w:rsidRPr="008A2411">
        <w:rPr>
          <w:rFonts w:ascii="Times New Roman" w:eastAsia="黑体"/>
          <w:color w:val="000000" w:themeColor="text1"/>
          <w:szCs w:val="24"/>
        </w:rPr>
        <w:t>项目主要原辅料</w:t>
      </w:r>
    </w:p>
    <w:tbl>
      <w:tblPr>
        <w:tblW w:w="499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6"/>
        <w:gridCol w:w="1257"/>
        <w:gridCol w:w="1107"/>
        <w:gridCol w:w="1107"/>
        <w:gridCol w:w="950"/>
        <w:gridCol w:w="1547"/>
        <w:gridCol w:w="1593"/>
      </w:tblGrid>
      <w:tr w:rsidR="008A2411" w:rsidRPr="008A2411" w14:paraId="076ADAE8" w14:textId="77777777">
        <w:trPr>
          <w:trHeight w:val="322"/>
          <w:jc w:val="center"/>
        </w:trPr>
        <w:tc>
          <w:tcPr>
            <w:tcW w:w="588" w:type="pct"/>
            <w:tcBorders>
              <w:top w:val="single" w:sz="4" w:space="0" w:color="auto"/>
              <w:left w:val="single" w:sz="4" w:space="0" w:color="auto"/>
              <w:bottom w:val="single" w:sz="4" w:space="0" w:color="auto"/>
              <w:right w:val="single" w:sz="4" w:space="0" w:color="auto"/>
            </w:tcBorders>
            <w:vAlign w:val="center"/>
          </w:tcPr>
          <w:p w14:paraId="1A7944B3"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t>序号</w:t>
            </w:r>
          </w:p>
        </w:tc>
        <w:tc>
          <w:tcPr>
            <w:tcW w:w="765" w:type="pct"/>
            <w:tcBorders>
              <w:top w:val="single" w:sz="4" w:space="0" w:color="auto"/>
              <w:left w:val="single" w:sz="4" w:space="0" w:color="auto"/>
              <w:bottom w:val="single" w:sz="4" w:space="0" w:color="auto"/>
              <w:right w:val="single" w:sz="4" w:space="0" w:color="auto"/>
            </w:tcBorders>
            <w:vAlign w:val="center"/>
          </w:tcPr>
          <w:p w14:paraId="394D36C2"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t>项目</w:t>
            </w:r>
          </w:p>
        </w:tc>
        <w:tc>
          <w:tcPr>
            <w:tcW w:w="677" w:type="pct"/>
            <w:tcBorders>
              <w:top w:val="single" w:sz="4" w:space="0" w:color="auto"/>
              <w:left w:val="single" w:sz="4" w:space="0" w:color="auto"/>
              <w:bottom w:val="single" w:sz="4" w:space="0" w:color="auto"/>
              <w:right w:val="single" w:sz="4" w:space="0" w:color="auto"/>
            </w:tcBorders>
            <w:vAlign w:val="center"/>
          </w:tcPr>
          <w:p w14:paraId="623A7F00"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t>单位</w:t>
            </w:r>
          </w:p>
        </w:tc>
        <w:tc>
          <w:tcPr>
            <w:tcW w:w="677" w:type="pct"/>
            <w:tcBorders>
              <w:top w:val="single" w:sz="4" w:space="0" w:color="auto"/>
              <w:left w:val="single" w:sz="4" w:space="0" w:color="auto"/>
              <w:bottom w:val="single" w:sz="4" w:space="0" w:color="auto"/>
              <w:right w:val="single" w:sz="4" w:space="0" w:color="auto"/>
            </w:tcBorders>
            <w:vAlign w:val="center"/>
          </w:tcPr>
          <w:p w14:paraId="79270A9F"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t>小时耗量</w:t>
            </w:r>
          </w:p>
        </w:tc>
        <w:tc>
          <w:tcPr>
            <w:tcW w:w="585" w:type="pct"/>
            <w:tcBorders>
              <w:top w:val="single" w:sz="4" w:space="0" w:color="auto"/>
              <w:left w:val="single" w:sz="4" w:space="0" w:color="auto"/>
              <w:bottom w:val="single" w:sz="4" w:space="0" w:color="auto"/>
              <w:right w:val="single" w:sz="4" w:space="0" w:color="auto"/>
            </w:tcBorders>
            <w:vAlign w:val="center"/>
          </w:tcPr>
          <w:p w14:paraId="69CF7DFB"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t>年耗量</w:t>
            </w:r>
          </w:p>
        </w:tc>
        <w:tc>
          <w:tcPr>
            <w:tcW w:w="934" w:type="pct"/>
            <w:tcBorders>
              <w:top w:val="single" w:sz="4" w:space="0" w:color="auto"/>
              <w:left w:val="single" w:sz="4" w:space="0" w:color="auto"/>
              <w:bottom w:val="single" w:sz="4" w:space="0" w:color="auto"/>
              <w:right w:val="single" w:sz="4" w:space="0" w:color="auto"/>
            </w:tcBorders>
            <w:vAlign w:val="center"/>
          </w:tcPr>
          <w:p w14:paraId="5820E8B7"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主要成分</w:t>
            </w:r>
          </w:p>
        </w:tc>
        <w:tc>
          <w:tcPr>
            <w:tcW w:w="771" w:type="pct"/>
            <w:tcBorders>
              <w:top w:val="single" w:sz="4" w:space="0" w:color="auto"/>
              <w:left w:val="single" w:sz="4" w:space="0" w:color="auto"/>
              <w:bottom w:val="single" w:sz="4" w:space="0" w:color="auto"/>
              <w:right w:val="single" w:sz="4" w:space="0" w:color="auto"/>
            </w:tcBorders>
            <w:vAlign w:val="center"/>
          </w:tcPr>
          <w:p w14:paraId="018C88DB"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lang w:bidi="ar"/>
              </w:rPr>
            </w:pPr>
            <w:r w:rsidRPr="008A2411">
              <w:rPr>
                <w:rFonts w:ascii="Times New Roman" w:eastAsiaTheme="minorEastAsia"/>
                <w:color w:val="000000" w:themeColor="text1"/>
                <w:sz w:val="21"/>
                <w:szCs w:val="21"/>
                <w:lang w:bidi="ar"/>
              </w:rPr>
              <w:t>备注</w:t>
            </w:r>
          </w:p>
        </w:tc>
      </w:tr>
      <w:tr w:rsidR="008A2411" w:rsidRPr="008A2411" w14:paraId="0CCB58EE" w14:textId="77777777">
        <w:trPr>
          <w:trHeight w:val="322"/>
          <w:jc w:val="center"/>
        </w:trPr>
        <w:tc>
          <w:tcPr>
            <w:tcW w:w="588" w:type="pct"/>
            <w:tcBorders>
              <w:top w:val="single" w:sz="4" w:space="0" w:color="auto"/>
              <w:left w:val="single" w:sz="4" w:space="0" w:color="auto"/>
              <w:bottom w:val="single" w:sz="4" w:space="0" w:color="auto"/>
              <w:right w:val="single" w:sz="4" w:space="0" w:color="auto"/>
            </w:tcBorders>
            <w:vAlign w:val="center"/>
          </w:tcPr>
          <w:p w14:paraId="295CA33E"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proofErr w:type="gramStart"/>
            <w:r w:rsidRPr="008A2411">
              <w:rPr>
                <w:rFonts w:ascii="Times New Roman" w:eastAsiaTheme="minorEastAsia"/>
                <w:color w:val="000000" w:themeColor="text1"/>
                <w:sz w:val="21"/>
                <w:szCs w:val="21"/>
                <w:lang w:bidi="ar"/>
              </w:rPr>
              <w:t>一</w:t>
            </w:r>
            <w:proofErr w:type="gramEnd"/>
          </w:p>
        </w:tc>
        <w:tc>
          <w:tcPr>
            <w:tcW w:w="3639" w:type="pct"/>
            <w:gridSpan w:val="5"/>
            <w:tcBorders>
              <w:top w:val="single" w:sz="4" w:space="0" w:color="auto"/>
              <w:left w:val="single" w:sz="4" w:space="0" w:color="auto"/>
              <w:bottom w:val="single" w:sz="4" w:space="0" w:color="auto"/>
              <w:right w:val="single" w:sz="4" w:space="0" w:color="auto"/>
            </w:tcBorders>
            <w:vAlign w:val="center"/>
          </w:tcPr>
          <w:p w14:paraId="61EF3FE6"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t>原辅材料消耗定额</w:t>
            </w:r>
          </w:p>
        </w:tc>
        <w:tc>
          <w:tcPr>
            <w:tcW w:w="771" w:type="pct"/>
            <w:tcBorders>
              <w:top w:val="single" w:sz="4" w:space="0" w:color="auto"/>
              <w:left w:val="single" w:sz="4" w:space="0" w:color="auto"/>
              <w:bottom w:val="single" w:sz="4" w:space="0" w:color="auto"/>
              <w:right w:val="single" w:sz="4" w:space="0" w:color="auto"/>
            </w:tcBorders>
            <w:vAlign w:val="center"/>
          </w:tcPr>
          <w:p w14:paraId="32734FDB" w14:textId="77777777" w:rsidR="00B0005F" w:rsidRPr="008A2411" w:rsidRDefault="00B0005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lang w:bidi="ar"/>
              </w:rPr>
            </w:pPr>
          </w:p>
        </w:tc>
      </w:tr>
      <w:tr w:rsidR="008A2411" w:rsidRPr="008A2411" w14:paraId="43CBD243" w14:textId="77777777">
        <w:trPr>
          <w:trHeight w:val="322"/>
          <w:jc w:val="center"/>
        </w:trPr>
        <w:tc>
          <w:tcPr>
            <w:tcW w:w="588" w:type="pct"/>
            <w:tcBorders>
              <w:top w:val="single" w:sz="4" w:space="0" w:color="auto"/>
              <w:left w:val="single" w:sz="4" w:space="0" w:color="auto"/>
              <w:bottom w:val="single" w:sz="4" w:space="0" w:color="auto"/>
              <w:right w:val="single" w:sz="4" w:space="0" w:color="auto"/>
            </w:tcBorders>
            <w:vAlign w:val="center"/>
          </w:tcPr>
          <w:p w14:paraId="701F6A2A"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t>1</w:t>
            </w:r>
          </w:p>
        </w:tc>
        <w:tc>
          <w:tcPr>
            <w:tcW w:w="765" w:type="pct"/>
            <w:tcBorders>
              <w:top w:val="single" w:sz="4" w:space="0" w:color="auto"/>
              <w:left w:val="single" w:sz="4" w:space="0" w:color="auto"/>
              <w:bottom w:val="single" w:sz="4" w:space="0" w:color="auto"/>
              <w:right w:val="single" w:sz="4" w:space="0" w:color="auto"/>
            </w:tcBorders>
            <w:vAlign w:val="center"/>
          </w:tcPr>
          <w:p w14:paraId="0038C6F2"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t>天然气（甲烷）</w:t>
            </w:r>
          </w:p>
        </w:tc>
        <w:tc>
          <w:tcPr>
            <w:tcW w:w="677" w:type="pct"/>
            <w:tcBorders>
              <w:top w:val="single" w:sz="4" w:space="0" w:color="auto"/>
              <w:left w:val="single" w:sz="4" w:space="0" w:color="auto"/>
              <w:bottom w:val="single" w:sz="4" w:space="0" w:color="auto"/>
              <w:right w:val="single" w:sz="4" w:space="0" w:color="auto"/>
            </w:tcBorders>
            <w:vAlign w:val="center"/>
          </w:tcPr>
          <w:p w14:paraId="1D34E4CB"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hint="eastAsia"/>
                <w:color w:val="000000" w:themeColor="text1"/>
                <w:sz w:val="21"/>
                <w:szCs w:val="21"/>
                <w:lang w:bidi="ar"/>
              </w:rPr>
              <w:t>万</w:t>
            </w:r>
            <w:r w:rsidRPr="008A2411">
              <w:rPr>
                <w:rFonts w:ascii="Times New Roman" w:eastAsiaTheme="minorEastAsia"/>
                <w:color w:val="000000" w:themeColor="text1"/>
                <w:sz w:val="21"/>
                <w:szCs w:val="21"/>
                <w:lang w:bidi="ar"/>
              </w:rPr>
              <w:t>Nm</w:t>
            </w:r>
            <w:r w:rsidRPr="008A2411">
              <w:rPr>
                <w:rFonts w:ascii="Times New Roman" w:eastAsiaTheme="minorEastAsia"/>
                <w:color w:val="000000" w:themeColor="text1"/>
                <w:sz w:val="21"/>
                <w:szCs w:val="21"/>
                <w:vertAlign w:val="superscript"/>
                <w:lang w:bidi="ar"/>
              </w:rPr>
              <w:t>3</w:t>
            </w:r>
          </w:p>
        </w:tc>
        <w:tc>
          <w:tcPr>
            <w:tcW w:w="677" w:type="pct"/>
            <w:tcBorders>
              <w:top w:val="single" w:sz="4" w:space="0" w:color="auto"/>
              <w:left w:val="single" w:sz="4" w:space="0" w:color="auto"/>
              <w:bottom w:val="single" w:sz="4" w:space="0" w:color="auto"/>
              <w:right w:val="single" w:sz="4" w:space="0" w:color="auto"/>
            </w:tcBorders>
            <w:vAlign w:val="center"/>
          </w:tcPr>
          <w:p w14:paraId="113A000A"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t>4.1667</w:t>
            </w:r>
          </w:p>
        </w:tc>
        <w:tc>
          <w:tcPr>
            <w:tcW w:w="585" w:type="pct"/>
            <w:tcBorders>
              <w:top w:val="single" w:sz="4" w:space="0" w:color="auto"/>
              <w:left w:val="single" w:sz="4" w:space="0" w:color="auto"/>
              <w:bottom w:val="single" w:sz="4" w:space="0" w:color="auto"/>
              <w:right w:val="single" w:sz="4" w:space="0" w:color="auto"/>
            </w:tcBorders>
            <w:vAlign w:val="center"/>
          </w:tcPr>
          <w:p w14:paraId="79203BA6"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t>33315.5</w:t>
            </w:r>
          </w:p>
        </w:tc>
        <w:tc>
          <w:tcPr>
            <w:tcW w:w="934" w:type="pct"/>
            <w:tcBorders>
              <w:top w:val="single" w:sz="4" w:space="0" w:color="auto"/>
              <w:left w:val="single" w:sz="4" w:space="0" w:color="auto"/>
              <w:bottom w:val="single" w:sz="4" w:space="0" w:color="auto"/>
              <w:right w:val="single" w:sz="4" w:space="0" w:color="auto"/>
            </w:tcBorders>
            <w:vAlign w:val="center"/>
          </w:tcPr>
          <w:p w14:paraId="649D3C19"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甲烷、二氧化碳、氦、乙烷等</w:t>
            </w:r>
          </w:p>
        </w:tc>
        <w:tc>
          <w:tcPr>
            <w:tcW w:w="771" w:type="pct"/>
            <w:tcBorders>
              <w:top w:val="single" w:sz="4" w:space="0" w:color="auto"/>
              <w:left w:val="single" w:sz="4" w:space="0" w:color="auto"/>
              <w:bottom w:val="single" w:sz="4" w:space="0" w:color="auto"/>
              <w:right w:val="single" w:sz="4" w:space="0" w:color="auto"/>
            </w:tcBorders>
            <w:vAlign w:val="center"/>
          </w:tcPr>
          <w:p w14:paraId="7F178164"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原料气</w:t>
            </w:r>
          </w:p>
        </w:tc>
      </w:tr>
      <w:tr w:rsidR="008A2411" w:rsidRPr="008A2411" w14:paraId="14CA203A" w14:textId="77777777">
        <w:trPr>
          <w:trHeight w:val="892"/>
          <w:jc w:val="center"/>
        </w:trPr>
        <w:tc>
          <w:tcPr>
            <w:tcW w:w="588" w:type="pct"/>
            <w:tcBorders>
              <w:top w:val="single" w:sz="4" w:space="0" w:color="auto"/>
              <w:left w:val="single" w:sz="4" w:space="0" w:color="auto"/>
              <w:bottom w:val="single" w:sz="4" w:space="0" w:color="auto"/>
              <w:right w:val="single" w:sz="4" w:space="0" w:color="auto"/>
            </w:tcBorders>
            <w:vAlign w:val="center"/>
          </w:tcPr>
          <w:p w14:paraId="7D4E34C5"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t>2</w:t>
            </w:r>
          </w:p>
        </w:tc>
        <w:tc>
          <w:tcPr>
            <w:tcW w:w="765" w:type="pct"/>
            <w:tcBorders>
              <w:top w:val="single" w:sz="4" w:space="0" w:color="auto"/>
              <w:left w:val="single" w:sz="4" w:space="0" w:color="auto"/>
              <w:bottom w:val="single" w:sz="4" w:space="0" w:color="auto"/>
              <w:right w:val="single" w:sz="4" w:space="0" w:color="auto"/>
            </w:tcBorders>
            <w:vAlign w:val="center"/>
          </w:tcPr>
          <w:p w14:paraId="3C4B6101"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t>导热油炉燃料气</w:t>
            </w:r>
          </w:p>
        </w:tc>
        <w:tc>
          <w:tcPr>
            <w:tcW w:w="677" w:type="pct"/>
            <w:tcBorders>
              <w:top w:val="single" w:sz="4" w:space="0" w:color="auto"/>
              <w:left w:val="single" w:sz="4" w:space="0" w:color="auto"/>
              <w:bottom w:val="single" w:sz="4" w:space="0" w:color="auto"/>
              <w:right w:val="single" w:sz="4" w:space="0" w:color="auto"/>
            </w:tcBorders>
            <w:vAlign w:val="center"/>
          </w:tcPr>
          <w:p w14:paraId="32D52B85"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hint="eastAsia"/>
                <w:color w:val="000000" w:themeColor="text1"/>
                <w:sz w:val="21"/>
                <w:szCs w:val="21"/>
                <w:lang w:bidi="ar"/>
              </w:rPr>
              <w:t>万</w:t>
            </w:r>
            <w:r w:rsidRPr="008A2411">
              <w:rPr>
                <w:rFonts w:ascii="Times New Roman" w:eastAsiaTheme="minorEastAsia"/>
                <w:color w:val="000000" w:themeColor="text1"/>
                <w:sz w:val="21"/>
                <w:szCs w:val="21"/>
                <w:lang w:bidi="ar"/>
              </w:rPr>
              <w:t>Nm</w:t>
            </w:r>
            <w:r w:rsidRPr="008A2411">
              <w:rPr>
                <w:rFonts w:ascii="Times New Roman" w:eastAsiaTheme="minorEastAsia"/>
                <w:color w:val="000000" w:themeColor="text1"/>
                <w:sz w:val="21"/>
                <w:szCs w:val="21"/>
                <w:vertAlign w:val="superscript"/>
                <w:lang w:bidi="ar"/>
              </w:rPr>
              <w:t>3</w:t>
            </w:r>
          </w:p>
        </w:tc>
        <w:tc>
          <w:tcPr>
            <w:tcW w:w="677" w:type="pct"/>
            <w:tcBorders>
              <w:top w:val="single" w:sz="4" w:space="0" w:color="auto"/>
              <w:left w:val="single" w:sz="4" w:space="0" w:color="auto"/>
              <w:bottom w:val="single" w:sz="4" w:space="0" w:color="auto"/>
              <w:right w:val="single" w:sz="4" w:space="0" w:color="auto"/>
            </w:tcBorders>
            <w:vAlign w:val="center"/>
          </w:tcPr>
          <w:p w14:paraId="36F36416"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t>0.07</w:t>
            </w:r>
          </w:p>
        </w:tc>
        <w:tc>
          <w:tcPr>
            <w:tcW w:w="585" w:type="pct"/>
            <w:tcBorders>
              <w:top w:val="single" w:sz="4" w:space="0" w:color="auto"/>
              <w:left w:val="single" w:sz="4" w:space="0" w:color="auto"/>
              <w:bottom w:val="single" w:sz="4" w:space="0" w:color="auto"/>
              <w:right w:val="single" w:sz="4" w:space="0" w:color="auto"/>
            </w:tcBorders>
            <w:vAlign w:val="center"/>
          </w:tcPr>
          <w:p w14:paraId="32536082"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t>554.4</w:t>
            </w:r>
          </w:p>
        </w:tc>
        <w:tc>
          <w:tcPr>
            <w:tcW w:w="934" w:type="pct"/>
            <w:tcBorders>
              <w:top w:val="single" w:sz="4" w:space="0" w:color="auto"/>
              <w:left w:val="single" w:sz="4" w:space="0" w:color="auto"/>
              <w:bottom w:val="single" w:sz="4" w:space="0" w:color="auto"/>
              <w:right w:val="single" w:sz="4" w:space="0" w:color="auto"/>
            </w:tcBorders>
            <w:vAlign w:val="center"/>
          </w:tcPr>
          <w:p w14:paraId="43AA1DC3" w14:textId="77777777" w:rsidR="00B0005F" w:rsidRPr="008A2411" w:rsidRDefault="00B0005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p>
        </w:tc>
        <w:tc>
          <w:tcPr>
            <w:tcW w:w="771" w:type="pct"/>
            <w:tcBorders>
              <w:top w:val="single" w:sz="4" w:space="0" w:color="auto"/>
              <w:left w:val="single" w:sz="4" w:space="0" w:color="auto"/>
              <w:bottom w:val="single" w:sz="4" w:space="0" w:color="auto"/>
              <w:right w:val="single" w:sz="4" w:space="0" w:color="auto"/>
            </w:tcBorders>
            <w:vAlign w:val="center"/>
          </w:tcPr>
          <w:p w14:paraId="7044A711"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t>按</w:t>
            </w:r>
            <w:r w:rsidRPr="008A2411">
              <w:rPr>
                <w:rFonts w:ascii="Times New Roman" w:eastAsiaTheme="minorEastAsia"/>
                <w:color w:val="000000" w:themeColor="text1"/>
                <w:sz w:val="21"/>
                <w:szCs w:val="21"/>
                <w:lang w:bidi="ar"/>
              </w:rPr>
              <w:t>BOG</w:t>
            </w:r>
            <w:r w:rsidRPr="008A2411">
              <w:rPr>
                <w:rFonts w:ascii="Times New Roman" w:eastAsiaTheme="minorEastAsia"/>
                <w:color w:val="000000" w:themeColor="text1"/>
                <w:sz w:val="21"/>
                <w:szCs w:val="21"/>
                <w:lang w:bidi="ar"/>
              </w:rPr>
              <w:t>热值</w:t>
            </w:r>
            <w:r w:rsidRPr="008A2411">
              <w:rPr>
                <w:rFonts w:ascii="Times New Roman" w:eastAsiaTheme="minorEastAsia"/>
                <w:color w:val="000000" w:themeColor="text1"/>
                <w:sz w:val="21"/>
                <w:szCs w:val="21"/>
                <w:lang w:bidi="ar"/>
              </w:rPr>
              <w:t>7280kcal/Nm</w:t>
            </w:r>
            <w:r w:rsidRPr="008A2411">
              <w:rPr>
                <w:rFonts w:ascii="Times New Roman" w:eastAsiaTheme="minorEastAsia"/>
                <w:color w:val="000000" w:themeColor="text1"/>
                <w:sz w:val="21"/>
                <w:szCs w:val="21"/>
                <w:vertAlign w:val="superscript"/>
                <w:lang w:bidi="ar"/>
              </w:rPr>
              <w:t>3</w:t>
            </w:r>
            <w:r w:rsidRPr="008A2411">
              <w:rPr>
                <w:rFonts w:ascii="Times New Roman" w:eastAsiaTheme="minorEastAsia"/>
                <w:color w:val="000000" w:themeColor="text1"/>
                <w:sz w:val="21"/>
                <w:szCs w:val="21"/>
                <w:lang w:bidi="ar"/>
              </w:rPr>
              <w:t>/h</w:t>
            </w:r>
            <w:r w:rsidRPr="008A2411">
              <w:rPr>
                <w:rFonts w:ascii="Times New Roman" w:eastAsiaTheme="minorEastAsia"/>
                <w:color w:val="000000" w:themeColor="text1"/>
                <w:sz w:val="21"/>
                <w:szCs w:val="21"/>
                <w:lang w:bidi="ar"/>
              </w:rPr>
              <w:t>计算</w:t>
            </w:r>
          </w:p>
        </w:tc>
      </w:tr>
      <w:tr w:rsidR="008A2411" w:rsidRPr="008A2411" w14:paraId="4DA86ABF" w14:textId="77777777">
        <w:trPr>
          <w:trHeight w:val="322"/>
          <w:jc w:val="center"/>
        </w:trPr>
        <w:tc>
          <w:tcPr>
            <w:tcW w:w="588" w:type="pct"/>
            <w:tcBorders>
              <w:top w:val="single" w:sz="4" w:space="0" w:color="auto"/>
              <w:left w:val="single" w:sz="4" w:space="0" w:color="auto"/>
              <w:bottom w:val="single" w:sz="4" w:space="0" w:color="auto"/>
              <w:right w:val="single" w:sz="4" w:space="0" w:color="auto"/>
            </w:tcBorders>
            <w:vAlign w:val="center"/>
          </w:tcPr>
          <w:p w14:paraId="29431E06"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t>3</w:t>
            </w:r>
          </w:p>
        </w:tc>
        <w:tc>
          <w:tcPr>
            <w:tcW w:w="765" w:type="pct"/>
            <w:tcBorders>
              <w:top w:val="single" w:sz="4" w:space="0" w:color="auto"/>
              <w:left w:val="single" w:sz="4" w:space="0" w:color="auto"/>
              <w:bottom w:val="single" w:sz="4" w:space="0" w:color="auto"/>
              <w:right w:val="single" w:sz="4" w:space="0" w:color="auto"/>
            </w:tcBorders>
            <w:vAlign w:val="center"/>
          </w:tcPr>
          <w:p w14:paraId="0EE39490"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t>丙烷</w:t>
            </w:r>
          </w:p>
        </w:tc>
        <w:tc>
          <w:tcPr>
            <w:tcW w:w="677" w:type="pct"/>
            <w:tcBorders>
              <w:top w:val="single" w:sz="4" w:space="0" w:color="auto"/>
              <w:left w:val="single" w:sz="4" w:space="0" w:color="auto"/>
              <w:bottom w:val="single" w:sz="4" w:space="0" w:color="auto"/>
              <w:right w:val="single" w:sz="4" w:space="0" w:color="auto"/>
            </w:tcBorders>
            <w:vAlign w:val="center"/>
          </w:tcPr>
          <w:p w14:paraId="4BC71D9F"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t>t</w:t>
            </w:r>
          </w:p>
        </w:tc>
        <w:tc>
          <w:tcPr>
            <w:tcW w:w="677" w:type="pct"/>
            <w:tcBorders>
              <w:top w:val="single" w:sz="4" w:space="0" w:color="auto"/>
              <w:left w:val="single" w:sz="4" w:space="0" w:color="auto"/>
              <w:bottom w:val="single" w:sz="4" w:space="0" w:color="auto"/>
              <w:right w:val="single" w:sz="4" w:space="0" w:color="auto"/>
            </w:tcBorders>
            <w:vAlign w:val="center"/>
          </w:tcPr>
          <w:p w14:paraId="30C83747" w14:textId="77777777" w:rsidR="00B0005F" w:rsidRPr="008A2411" w:rsidRDefault="00B0005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p>
        </w:tc>
        <w:tc>
          <w:tcPr>
            <w:tcW w:w="585" w:type="pct"/>
            <w:tcBorders>
              <w:top w:val="single" w:sz="4" w:space="0" w:color="auto"/>
              <w:left w:val="single" w:sz="4" w:space="0" w:color="auto"/>
              <w:bottom w:val="single" w:sz="4" w:space="0" w:color="auto"/>
              <w:right w:val="single" w:sz="4" w:space="0" w:color="auto"/>
            </w:tcBorders>
            <w:vAlign w:val="center"/>
          </w:tcPr>
          <w:p w14:paraId="0BFD6275"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t>39.6</w:t>
            </w:r>
          </w:p>
        </w:tc>
        <w:tc>
          <w:tcPr>
            <w:tcW w:w="934" w:type="pct"/>
            <w:tcBorders>
              <w:top w:val="single" w:sz="4" w:space="0" w:color="auto"/>
              <w:left w:val="single" w:sz="4" w:space="0" w:color="auto"/>
              <w:bottom w:val="single" w:sz="4" w:space="0" w:color="auto"/>
              <w:right w:val="single" w:sz="4" w:space="0" w:color="auto"/>
            </w:tcBorders>
            <w:vAlign w:val="center"/>
          </w:tcPr>
          <w:p w14:paraId="12B6D6CF" w14:textId="77777777" w:rsidR="00B0005F" w:rsidRPr="008A2411" w:rsidRDefault="00B0005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p>
        </w:tc>
        <w:tc>
          <w:tcPr>
            <w:tcW w:w="771" w:type="pct"/>
            <w:tcBorders>
              <w:top w:val="single" w:sz="4" w:space="0" w:color="auto"/>
              <w:left w:val="single" w:sz="4" w:space="0" w:color="auto"/>
              <w:bottom w:val="single" w:sz="4" w:space="0" w:color="auto"/>
              <w:right w:val="single" w:sz="4" w:space="0" w:color="auto"/>
            </w:tcBorders>
            <w:vAlign w:val="center"/>
          </w:tcPr>
          <w:p w14:paraId="0B5B6E70"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t>间断补充</w:t>
            </w:r>
          </w:p>
        </w:tc>
      </w:tr>
      <w:tr w:rsidR="008A2411" w:rsidRPr="008A2411" w14:paraId="3FFB22DB" w14:textId="77777777">
        <w:trPr>
          <w:trHeight w:val="322"/>
          <w:jc w:val="center"/>
        </w:trPr>
        <w:tc>
          <w:tcPr>
            <w:tcW w:w="588" w:type="pct"/>
            <w:tcBorders>
              <w:top w:val="single" w:sz="4" w:space="0" w:color="auto"/>
              <w:left w:val="single" w:sz="4" w:space="0" w:color="auto"/>
              <w:bottom w:val="single" w:sz="4" w:space="0" w:color="auto"/>
              <w:right w:val="single" w:sz="4" w:space="0" w:color="auto"/>
            </w:tcBorders>
            <w:vAlign w:val="center"/>
          </w:tcPr>
          <w:p w14:paraId="5113F3BB"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t>4</w:t>
            </w:r>
          </w:p>
        </w:tc>
        <w:tc>
          <w:tcPr>
            <w:tcW w:w="765" w:type="pct"/>
            <w:tcBorders>
              <w:top w:val="single" w:sz="4" w:space="0" w:color="auto"/>
              <w:left w:val="single" w:sz="4" w:space="0" w:color="auto"/>
              <w:bottom w:val="single" w:sz="4" w:space="0" w:color="auto"/>
              <w:right w:val="single" w:sz="4" w:space="0" w:color="auto"/>
            </w:tcBorders>
            <w:vAlign w:val="center"/>
          </w:tcPr>
          <w:p w14:paraId="057A3EAE"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t>乙烯</w:t>
            </w:r>
          </w:p>
        </w:tc>
        <w:tc>
          <w:tcPr>
            <w:tcW w:w="677" w:type="pct"/>
            <w:tcBorders>
              <w:top w:val="single" w:sz="4" w:space="0" w:color="auto"/>
              <w:left w:val="single" w:sz="4" w:space="0" w:color="auto"/>
              <w:bottom w:val="single" w:sz="4" w:space="0" w:color="auto"/>
              <w:right w:val="single" w:sz="4" w:space="0" w:color="auto"/>
            </w:tcBorders>
            <w:vAlign w:val="center"/>
          </w:tcPr>
          <w:p w14:paraId="3DC34259"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t>t</w:t>
            </w:r>
          </w:p>
        </w:tc>
        <w:tc>
          <w:tcPr>
            <w:tcW w:w="677" w:type="pct"/>
            <w:tcBorders>
              <w:top w:val="single" w:sz="4" w:space="0" w:color="auto"/>
              <w:left w:val="single" w:sz="4" w:space="0" w:color="auto"/>
              <w:bottom w:val="single" w:sz="4" w:space="0" w:color="auto"/>
              <w:right w:val="single" w:sz="4" w:space="0" w:color="auto"/>
            </w:tcBorders>
            <w:vAlign w:val="center"/>
          </w:tcPr>
          <w:p w14:paraId="06D51F76" w14:textId="77777777" w:rsidR="00B0005F" w:rsidRPr="008A2411" w:rsidRDefault="00B0005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p>
        </w:tc>
        <w:tc>
          <w:tcPr>
            <w:tcW w:w="585" w:type="pct"/>
            <w:tcBorders>
              <w:top w:val="single" w:sz="4" w:space="0" w:color="auto"/>
              <w:left w:val="single" w:sz="4" w:space="0" w:color="auto"/>
              <w:bottom w:val="single" w:sz="4" w:space="0" w:color="auto"/>
              <w:right w:val="single" w:sz="4" w:space="0" w:color="auto"/>
            </w:tcBorders>
            <w:vAlign w:val="center"/>
          </w:tcPr>
          <w:p w14:paraId="39249E27"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t>63.4</w:t>
            </w:r>
          </w:p>
        </w:tc>
        <w:tc>
          <w:tcPr>
            <w:tcW w:w="934" w:type="pct"/>
            <w:tcBorders>
              <w:top w:val="single" w:sz="4" w:space="0" w:color="auto"/>
              <w:left w:val="single" w:sz="4" w:space="0" w:color="auto"/>
              <w:bottom w:val="single" w:sz="4" w:space="0" w:color="auto"/>
              <w:right w:val="single" w:sz="4" w:space="0" w:color="auto"/>
            </w:tcBorders>
            <w:vAlign w:val="center"/>
          </w:tcPr>
          <w:p w14:paraId="4CD3FF0E" w14:textId="77777777" w:rsidR="00B0005F" w:rsidRPr="008A2411" w:rsidRDefault="00B0005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p>
        </w:tc>
        <w:tc>
          <w:tcPr>
            <w:tcW w:w="771" w:type="pct"/>
            <w:tcBorders>
              <w:top w:val="single" w:sz="4" w:space="0" w:color="auto"/>
              <w:left w:val="single" w:sz="4" w:space="0" w:color="auto"/>
              <w:bottom w:val="single" w:sz="4" w:space="0" w:color="auto"/>
              <w:right w:val="single" w:sz="4" w:space="0" w:color="auto"/>
            </w:tcBorders>
            <w:vAlign w:val="center"/>
          </w:tcPr>
          <w:p w14:paraId="7BECA176"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t>间断补充</w:t>
            </w:r>
          </w:p>
        </w:tc>
      </w:tr>
      <w:tr w:rsidR="008A2411" w:rsidRPr="008A2411" w14:paraId="5216AC80" w14:textId="77777777">
        <w:trPr>
          <w:trHeight w:val="322"/>
          <w:jc w:val="center"/>
        </w:trPr>
        <w:tc>
          <w:tcPr>
            <w:tcW w:w="588" w:type="pct"/>
            <w:tcBorders>
              <w:top w:val="single" w:sz="4" w:space="0" w:color="auto"/>
              <w:left w:val="single" w:sz="4" w:space="0" w:color="auto"/>
              <w:bottom w:val="single" w:sz="4" w:space="0" w:color="auto"/>
              <w:right w:val="single" w:sz="4" w:space="0" w:color="auto"/>
            </w:tcBorders>
            <w:vAlign w:val="center"/>
          </w:tcPr>
          <w:p w14:paraId="2074F01F"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t>5</w:t>
            </w:r>
          </w:p>
        </w:tc>
        <w:tc>
          <w:tcPr>
            <w:tcW w:w="765" w:type="pct"/>
            <w:tcBorders>
              <w:top w:val="single" w:sz="4" w:space="0" w:color="auto"/>
              <w:left w:val="single" w:sz="4" w:space="0" w:color="auto"/>
              <w:bottom w:val="single" w:sz="4" w:space="0" w:color="auto"/>
              <w:right w:val="single" w:sz="4" w:space="0" w:color="auto"/>
            </w:tcBorders>
            <w:vAlign w:val="center"/>
          </w:tcPr>
          <w:p w14:paraId="412C9075"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t>异戊烷</w:t>
            </w:r>
          </w:p>
        </w:tc>
        <w:tc>
          <w:tcPr>
            <w:tcW w:w="677" w:type="pct"/>
            <w:tcBorders>
              <w:top w:val="single" w:sz="4" w:space="0" w:color="auto"/>
              <w:left w:val="single" w:sz="4" w:space="0" w:color="auto"/>
              <w:bottom w:val="single" w:sz="4" w:space="0" w:color="auto"/>
              <w:right w:val="single" w:sz="4" w:space="0" w:color="auto"/>
            </w:tcBorders>
            <w:vAlign w:val="center"/>
          </w:tcPr>
          <w:p w14:paraId="65AE9F02"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t>t</w:t>
            </w:r>
          </w:p>
        </w:tc>
        <w:tc>
          <w:tcPr>
            <w:tcW w:w="677" w:type="pct"/>
            <w:tcBorders>
              <w:top w:val="single" w:sz="4" w:space="0" w:color="auto"/>
              <w:left w:val="single" w:sz="4" w:space="0" w:color="auto"/>
              <w:bottom w:val="single" w:sz="4" w:space="0" w:color="auto"/>
              <w:right w:val="single" w:sz="4" w:space="0" w:color="auto"/>
            </w:tcBorders>
            <w:vAlign w:val="center"/>
          </w:tcPr>
          <w:p w14:paraId="77170D01" w14:textId="77777777" w:rsidR="00B0005F" w:rsidRPr="008A2411" w:rsidRDefault="00B0005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p>
        </w:tc>
        <w:tc>
          <w:tcPr>
            <w:tcW w:w="585" w:type="pct"/>
            <w:tcBorders>
              <w:top w:val="single" w:sz="4" w:space="0" w:color="auto"/>
              <w:left w:val="single" w:sz="4" w:space="0" w:color="auto"/>
              <w:bottom w:val="single" w:sz="4" w:space="0" w:color="auto"/>
              <w:right w:val="single" w:sz="4" w:space="0" w:color="auto"/>
            </w:tcBorders>
            <w:vAlign w:val="center"/>
          </w:tcPr>
          <w:p w14:paraId="4A5AD42D"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t>39.6</w:t>
            </w:r>
          </w:p>
        </w:tc>
        <w:tc>
          <w:tcPr>
            <w:tcW w:w="934" w:type="pct"/>
            <w:tcBorders>
              <w:top w:val="single" w:sz="4" w:space="0" w:color="auto"/>
              <w:left w:val="single" w:sz="4" w:space="0" w:color="auto"/>
              <w:bottom w:val="single" w:sz="4" w:space="0" w:color="auto"/>
              <w:right w:val="single" w:sz="4" w:space="0" w:color="auto"/>
            </w:tcBorders>
            <w:vAlign w:val="center"/>
          </w:tcPr>
          <w:p w14:paraId="198AA315" w14:textId="77777777" w:rsidR="00B0005F" w:rsidRPr="008A2411" w:rsidRDefault="00B0005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p>
        </w:tc>
        <w:tc>
          <w:tcPr>
            <w:tcW w:w="771" w:type="pct"/>
            <w:tcBorders>
              <w:top w:val="single" w:sz="4" w:space="0" w:color="auto"/>
              <w:left w:val="single" w:sz="4" w:space="0" w:color="auto"/>
              <w:bottom w:val="single" w:sz="4" w:space="0" w:color="auto"/>
              <w:right w:val="single" w:sz="4" w:space="0" w:color="auto"/>
            </w:tcBorders>
            <w:vAlign w:val="center"/>
          </w:tcPr>
          <w:p w14:paraId="769F2335"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t>间断补充</w:t>
            </w:r>
          </w:p>
        </w:tc>
      </w:tr>
      <w:tr w:rsidR="008A2411" w:rsidRPr="008A2411" w14:paraId="45090968" w14:textId="77777777">
        <w:trPr>
          <w:trHeight w:val="322"/>
          <w:jc w:val="center"/>
        </w:trPr>
        <w:tc>
          <w:tcPr>
            <w:tcW w:w="588" w:type="pct"/>
            <w:tcBorders>
              <w:top w:val="single" w:sz="4" w:space="0" w:color="auto"/>
              <w:left w:val="single" w:sz="4" w:space="0" w:color="auto"/>
              <w:bottom w:val="single" w:sz="4" w:space="0" w:color="auto"/>
              <w:right w:val="single" w:sz="4" w:space="0" w:color="auto"/>
            </w:tcBorders>
            <w:vAlign w:val="center"/>
          </w:tcPr>
          <w:p w14:paraId="4AE49B44"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t>6</w:t>
            </w:r>
          </w:p>
        </w:tc>
        <w:tc>
          <w:tcPr>
            <w:tcW w:w="765" w:type="pct"/>
            <w:tcBorders>
              <w:top w:val="single" w:sz="4" w:space="0" w:color="auto"/>
              <w:left w:val="single" w:sz="4" w:space="0" w:color="auto"/>
              <w:bottom w:val="single" w:sz="4" w:space="0" w:color="auto"/>
              <w:right w:val="single" w:sz="4" w:space="0" w:color="auto"/>
            </w:tcBorders>
            <w:vAlign w:val="center"/>
          </w:tcPr>
          <w:p w14:paraId="3F2567B4"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t>MDEA</w:t>
            </w:r>
          </w:p>
        </w:tc>
        <w:tc>
          <w:tcPr>
            <w:tcW w:w="677" w:type="pct"/>
            <w:tcBorders>
              <w:top w:val="single" w:sz="4" w:space="0" w:color="auto"/>
              <w:left w:val="single" w:sz="4" w:space="0" w:color="auto"/>
              <w:bottom w:val="single" w:sz="4" w:space="0" w:color="auto"/>
              <w:right w:val="single" w:sz="4" w:space="0" w:color="auto"/>
            </w:tcBorders>
            <w:vAlign w:val="center"/>
          </w:tcPr>
          <w:p w14:paraId="190842BA"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t>t</w:t>
            </w:r>
          </w:p>
        </w:tc>
        <w:tc>
          <w:tcPr>
            <w:tcW w:w="677" w:type="pct"/>
            <w:tcBorders>
              <w:top w:val="single" w:sz="4" w:space="0" w:color="auto"/>
              <w:left w:val="single" w:sz="4" w:space="0" w:color="auto"/>
              <w:bottom w:val="single" w:sz="4" w:space="0" w:color="auto"/>
              <w:right w:val="single" w:sz="4" w:space="0" w:color="auto"/>
            </w:tcBorders>
            <w:vAlign w:val="center"/>
          </w:tcPr>
          <w:p w14:paraId="6CF4A758" w14:textId="77777777" w:rsidR="00B0005F" w:rsidRPr="008A2411" w:rsidRDefault="00B0005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p>
        </w:tc>
        <w:tc>
          <w:tcPr>
            <w:tcW w:w="585" w:type="pct"/>
            <w:tcBorders>
              <w:top w:val="single" w:sz="4" w:space="0" w:color="auto"/>
              <w:left w:val="single" w:sz="4" w:space="0" w:color="auto"/>
              <w:bottom w:val="single" w:sz="4" w:space="0" w:color="auto"/>
              <w:right w:val="single" w:sz="4" w:space="0" w:color="auto"/>
            </w:tcBorders>
            <w:vAlign w:val="center"/>
          </w:tcPr>
          <w:p w14:paraId="00C4C9A4"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t>2.97</w:t>
            </w:r>
          </w:p>
        </w:tc>
        <w:tc>
          <w:tcPr>
            <w:tcW w:w="934" w:type="pct"/>
            <w:tcBorders>
              <w:top w:val="single" w:sz="4" w:space="0" w:color="auto"/>
              <w:left w:val="single" w:sz="4" w:space="0" w:color="auto"/>
              <w:bottom w:val="single" w:sz="4" w:space="0" w:color="auto"/>
              <w:right w:val="single" w:sz="4" w:space="0" w:color="auto"/>
            </w:tcBorders>
            <w:vAlign w:val="center"/>
          </w:tcPr>
          <w:p w14:paraId="187856FF" w14:textId="77777777" w:rsidR="00B0005F" w:rsidRPr="008A2411" w:rsidRDefault="00B0005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p>
        </w:tc>
        <w:tc>
          <w:tcPr>
            <w:tcW w:w="771" w:type="pct"/>
            <w:tcBorders>
              <w:top w:val="single" w:sz="4" w:space="0" w:color="auto"/>
              <w:left w:val="single" w:sz="4" w:space="0" w:color="auto"/>
              <w:bottom w:val="single" w:sz="4" w:space="0" w:color="auto"/>
              <w:right w:val="single" w:sz="4" w:space="0" w:color="auto"/>
            </w:tcBorders>
            <w:vAlign w:val="center"/>
          </w:tcPr>
          <w:p w14:paraId="5BAE33E0"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t>间断补充</w:t>
            </w:r>
          </w:p>
        </w:tc>
      </w:tr>
      <w:tr w:rsidR="008A2411" w:rsidRPr="008A2411" w14:paraId="1D0309C7" w14:textId="77777777">
        <w:trPr>
          <w:trHeight w:val="322"/>
          <w:jc w:val="center"/>
        </w:trPr>
        <w:tc>
          <w:tcPr>
            <w:tcW w:w="588" w:type="pct"/>
            <w:tcBorders>
              <w:top w:val="single" w:sz="4" w:space="0" w:color="auto"/>
              <w:left w:val="single" w:sz="4" w:space="0" w:color="auto"/>
              <w:bottom w:val="single" w:sz="4" w:space="0" w:color="auto"/>
              <w:right w:val="single" w:sz="4" w:space="0" w:color="auto"/>
            </w:tcBorders>
            <w:vAlign w:val="center"/>
          </w:tcPr>
          <w:p w14:paraId="06BAA1AB"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t>7</w:t>
            </w:r>
          </w:p>
        </w:tc>
        <w:tc>
          <w:tcPr>
            <w:tcW w:w="765" w:type="pct"/>
            <w:tcBorders>
              <w:top w:val="single" w:sz="4" w:space="0" w:color="auto"/>
              <w:left w:val="single" w:sz="4" w:space="0" w:color="auto"/>
              <w:bottom w:val="single" w:sz="4" w:space="0" w:color="auto"/>
              <w:right w:val="single" w:sz="4" w:space="0" w:color="auto"/>
            </w:tcBorders>
            <w:vAlign w:val="center"/>
          </w:tcPr>
          <w:p w14:paraId="40D8CA27"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t>分子筛</w:t>
            </w:r>
          </w:p>
        </w:tc>
        <w:tc>
          <w:tcPr>
            <w:tcW w:w="677" w:type="pct"/>
            <w:tcBorders>
              <w:top w:val="single" w:sz="4" w:space="0" w:color="auto"/>
              <w:left w:val="single" w:sz="4" w:space="0" w:color="auto"/>
              <w:bottom w:val="single" w:sz="4" w:space="0" w:color="auto"/>
              <w:right w:val="single" w:sz="4" w:space="0" w:color="auto"/>
            </w:tcBorders>
            <w:vAlign w:val="center"/>
          </w:tcPr>
          <w:p w14:paraId="57D01A60"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t>m</w:t>
            </w:r>
            <w:r w:rsidRPr="008A2411">
              <w:rPr>
                <w:rFonts w:ascii="Times New Roman" w:eastAsiaTheme="minorEastAsia"/>
                <w:color w:val="000000" w:themeColor="text1"/>
                <w:sz w:val="21"/>
                <w:szCs w:val="21"/>
                <w:vertAlign w:val="superscript"/>
                <w:lang w:bidi="ar"/>
              </w:rPr>
              <w:t>3</w:t>
            </w:r>
          </w:p>
        </w:tc>
        <w:tc>
          <w:tcPr>
            <w:tcW w:w="677" w:type="pct"/>
            <w:tcBorders>
              <w:top w:val="single" w:sz="4" w:space="0" w:color="auto"/>
              <w:left w:val="single" w:sz="4" w:space="0" w:color="auto"/>
              <w:bottom w:val="single" w:sz="4" w:space="0" w:color="auto"/>
              <w:right w:val="single" w:sz="4" w:space="0" w:color="auto"/>
            </w:tcBorders>
            <w:vAlign w:val="center"/>
          </w:tcPr>
          <w:p w14:paraId="6590B767" w14:textId="77777777" w:rsidR="00B0005F" w:rsidRPr="008A2411" w:rsidRDefault="00B0005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p>
        </w:tc>
        <w:tc>
          <w:tcPr>
            <w:tcW w:w="585" w:type="pct"/>
            <w:tcBorders>
              <w:top w:val="single" w:sz="4" w:space="0" w:color="auto"/>
              <w:left w:val="single" w:sz="4" w:space="0" w:color="auto"/>
              <w:bottom w:val="single" w:sz="4" w:space="0" w:color="auto"/>
              <w:right w:val="single" w:sz="4" w:space="0" w:color="auto"/>
            </w:tcBorders>
            <w:vAlign w:val="center"/>
          </w:tcPr>
          <w:p w14:paraId="7BD8E526"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t>22.5</w:t>
            </w:r>
          </w:p>
        </w:tc>
        <w:tc>
          <w:tcPr>
            <w:tcW w:w="934" w:type="pct"/>
            <w:tcBorders>
              <w:top w:val="single" w:sz="4" w:space="0" w:color="auto"/>
              <w:left w:val="single" w:sz="4" w:space="0" w:color="auto"/>
              <w:bottom w:val="single" w:sz="4" w:space="0" w:color="auto"/>
              <w:right w:val="single" w:sz="4" w:space="0" w:color="auto"/>
            </w:tcBorders>
            <w:vAlign w:val="center"/>
          </w:tcPr>
          <w:p w14:paraId="4ADBD0E0" w14:textId="77777777" w:rsidR="00B0005F" w:rsidRPr="008A2411" w:rsidRDefault="00B0005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p>
        </w:tc>
        <w:tc>
          <w:tcPr>
            <w:tcW w:w="771" w:type="pct"/>
            <w:tcBorders>
              <w:top w:val="single" w:sz="4" w:space="0" w:color="auto"/>
              <w:left w:val="single" w:sz="4" w:space="0" w:color="auto"/>
              <w:bottom w:val="single" w:sz="4" w:space="0" w:color="auto"/>
              <w:right w:val="single" w:sz="4" w:space="0" w:color="auto"/>
            </w:tcBorders>
            <w:vAlign w:val="center"/>
          </w:tcPr>
          <w:p w14:paraId="6DE8F4C5"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t>3</w:t>
            </w:r>
            <w:r w:rsidRPr="008A2411">
              <w:rPr>
                <w:rFonts w:ascii="Times New Roman" w:eastAsiaTheme="minorEastAsia"/>
                <w:color w:val="000000" w:themeColor="text1"/>
                <w:sz w:val="21"/>
                <w:szCs w:val="21"/>
                <w:lang w:bidi="ar"/>
              </w:rPr>
              <w:t>～</w:t>
            </w:r>
            <w:r w:rsidRPr="008A2411">
              <w:rPr>
                <w:rFonts w:ascii="Times New Roman" w:eastAsiaTheme="minorEastAsia"/>
                <w:color w:val="000000" w:themeColor="text1"/>
                <w:sz w:val="21"/>
                <w:szCs w:val="21"/>
                <w:lang w:bidi="ar"/>
              </w:rPr>
              <w:t>5</w:t>
            </w:r>
            <w:r w:rsidRPr="008A2411">
              <w:rPr>
                <w:rFonts w:ascii="Times New Roman" w:eastAsiaTheme="minorEastAsia"/>
                <w:color w:val="000000" w:themeColor="text1"/>
                <w:sz w:val="21"/>
                <w:szCs w:val="21"/>
                <w:lang w:bidi="ar"/>
              </w:rPr>
              <w:t>年更换</w:t>
            </w:r>
          </w:p>
        </w:tc>
      </w:tr>
      <w:tr w:rsidR="008A2411" w:rsidRPr="008A2411" w14:paraId="661282D0" w14:textId="77777777">
        <w:trPr>
          <w:trHeight w:val="322"/>
          <w:jc w:val="center"/>
        </w:trPr>
        <w:tc>
          <w:tcPr>
            <w:tcW w:w="588" w:type="pct"/>
            <w:tcBorders>
              <w:top w:val="single" w:sz="4" w:space="0" w:color="auto"/>
              <w:left w:val="single" w:sz="4" w:space="0" w:color="auto"/>
              <w:bottom w:val="single" w:sz="4" w:space="0" w:color="auto"/>
              <w:right w:val="single" w:sz="4" w:space="0" w:color="auto"/>
            </w:tcBorders>
            <w:vAlign w:val="center"/>
          </w:tcPr>
          <w:p w14:paraId="189AD377"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t>8</w:t>
            </w:r>
          </w:p>
        </w:tc>
        <w:tc>
          <w:tcPr>
            <w:tcW w:w="765" w:type="pct"/>
            <w:tcBorders>
              <w:top w:val="single" w:sz="4" w:space="0" w:color="auto"/>
              <w:left w:val="single" w:sz="4" w:space="0" w:color="auto"/>
              <w:bottom w:val="single" w:sz="4" w:space="0" w:color="auto"/>
              <w:right w:val="single" w:sz="4" w:space="0" w:color="auto"/>
            </w:tcBorders>
            <w:vAlign w:val="center"/>
          </w:tcPr>
          <w:p w14:paraId="06AF2A3E"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t>过滤活性炭</w:t>
            </w:r>
          </w:p>
        </w:tc>
        <w:tc>
          <w:tcPr>
            <w:tcW w:w="677" w:type="pct"/>
            <w:tcBorders>
              <w:top w:val="single" w:sz="4" w:space="0" w:color="auto"/>
              <w:left w:val="single" w:sz="4" w:space="0" w:color="auto"/>
              <w:bottom w:val="single" w:sz="4" w:space="0" w:color="auto"/>
              <w:right w:val="single" w:sz="4" w:space="0" w:color="auto"/>
            </w:tcBorders>
            <w:vAlign w:val="center"/>
          </w:tcPr>
          <w:p w14:paraId="08F42DDF"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t>m</w:t>
            </w:r>
            <w:r w:rsidRPr="008A2411">
              <w:rPr>
                <w:rFonts w:ascii="Times New Roman" w:eastAsiaTheme="minorEastAsia"/>
                <w:color w:val="000000" w:themeColor="text1"/>
                <w:sz w:val="21"/>
                <w:szCs w:val="21"/>
                <w:vertAlign w:val="superscript"/>
                <w:lang w:bidi="ar"/>
              </w:rPr>
              <w:t>3</w:t>
            </w:r>
          </w:p>
        </w:tc>
        <w:tc>
          <w:tcPr>
            <w:tcW w:w="677" w:type="pct"/>
            <w:tcBorders>
              <w:top w:val="single" w:sz="4" w:space="0" w:color="auto"/>
              <w:left w:val="single" w:sz="4" w:space="0" w:color="auto"/>
              <w:bottom w:val="single" w:sz="4" w:space="0" w:color="auto"/>
              <w:right w:val="single" w:sz="4" w:space="0" w:color="auto"/>
            </w:tcBorders>
            <w:vAlign w:val="center"/>
          </w:tcPr>
          <w:p w14:paraId="324AB356" w14:textId="77777777" w:rsidR="00B0005F" w:rsidRPr="008A2411" w:rsidRDefault="00B0005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p>
        </w:tc>
        <w:tc>
          <w:tcPr>
            <w:tcW w:w="585" w:type="pct"/>
            <w:tcBorders>
              <w:top w:val="single" w:sz="4" w:space="0" w:color="auto"/>
              <w:left w:val="single" w:sz="4" w:space="0" w:color="auto"/>
              <w:bottom w:val="single" w:sz="4" w:space="0" w:color="auto"/>
              <w:right w:val="single" w:sz="4" w:space="0" w:color="auto"/>
            </w:tcBorders>
            <w:vAlign w:val="center"/>
          </w:tcPr>
          <w:p w14:paraId="76CEAA87" w14:textId="449D6601" w:rsidR="00B0005F" w:rsidRPr="008A2411" w:rsidRDefault="000008B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hint="eastAsia"/>
                <w:color w:val="000000" w:themeColor="text1"/>
                <w:sz w:val="21"/>
                <w:szCs w:val="21"/>
                <w:lang w:bidi="ar"/>
              </w:rPr>
              <w:t>1</w:t>
            </w:r>
            <w:r w:rsidRPr="008A2411">
              <w:rPr>
                <w:rFonts w:ascii="Times New Roman" w:eastAsiaTheme="minorEastAsia"/>
                <w:color w:val="000000" w:themeColor="text1"/>
                <w:sz w:val="21"/>
                <w:szCs w:val="21"/>
                <w:lang w:bidi="ar"/>
              </w:rPr>
              <w:t>0</w:t>
            </w:r>
          </w:p>
        </w:tc>
        <w:tc>
          <w:tcPr>
            <w:tcW w:w="934" w:type="pct"/>
            <w:tcBorders>
              <w:top w:val="single" w:sz="4" w:space="0" w:color="auto"/>
              <w:left w:val="single" w:sz="4" w:space="0" w:color="auto"/>
              <w:bottom w:val="single" w:sz="4" w:space="0" w:color="auto"/>
              <w:right w:val="single" w:sz="4" w:space="0" w:color="auto"/>
            </w:tcBorders>
            <w:vAlign w:val="center"/>
          </w:tcPr>
          <w:p w14:paraId="7170F766" w14:textId="77777777" w:rsidR="00B0005F" w:rsidRPr="008A2411" w:rsidRDefault="00B0005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p>
        </w:tc>
        <w:tc>
          <w:tcPr>
            <w:tcW w:w="771" w:type="pct"/>
            <w:tcBorders>
              <w:top w:val="single" w:sz="4" w:space="0" w:color="auto"/>
              <w:left w:val="single" w:sz="4" w:space="0" w:color="auto"/>
              <w:bottom w:val="single" w:sz="4" w:space="0" w:color="auto"/>
              <w:right w:val="single" w:sz="4" w:space="0" w:color="auto"/>
            </w:tcBorders>
            <w:vAlign w:val="center"/>
          </w:tcPr>
          <w:p w14:paraId="15CFF5B9"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t>1</w:t>
            </w:r>
            <w:r w:rsidRPr="008A2411">
              <w:rPr>
                <w:rFonts w:ascii="Times New Roman" w:eastAsiaTheme="minorEastAsia"/>
                <w:color w:val="000000" w:themeColor="text1"/>
                <w:sz w:val="21"/>
                <w:szCs w:val="21"/>
                <w:lang w:bidi="ar"/>
              </w:rPr>
              <w:t>～</w:t>
            </w:r>
            <w:r w:rsidRPr="008A2411">
              <w:rPr>
                <w:rFonts w:ascii="Times New Roman" w:eastAsiaTheme="minorEastAsia"/>
                <w:color w:val="000000" w:themeColor="text1"/>
                <w:sz w:val="21"/>
                <w:szCs w:val="21"/>
                <w:lang w:bidi="ar"/>
              </w:rPr>
              <w:t>2</w:t>
            </w:r>
            <w:r w:rsidRPr="008A2411">
              <w:rPr>
                <w:rFonts w:ascii="Times New Roman" w:eastAsiaTheme="minorEastAsia"/>
                <w:color w:val="000000" w:themeColor="text1"/>
                <w:sz w:val="21"/>
                <w:szCs w:val="21"/>
                <w:lang w:bidi="ar"/>
              </w:rPr>
              <w:t>年更换</w:t>
            </w:r>
          </w:p>
        </w:tc>
      </w:tr>
      <w:tr w:rsidR="008A2411" w:rsidRPr="008A2411" w14:paraId="24586DC9" w14:textId="77777777">
        <w:trPr>
          <w:trHeight w:val="624"/>
          <w:jc w:val="center"/>
        </w:trPr>
        <w:tc>
          <w:tcPr>
            <w:tcW w:w="588" w:type="pct"/>
            <w:tcBorders>
              <w:top w:val="single" w:sz="4" w:space="0" w:color="auto"/>
              <w:left w:val="single" w:sz="4" w:space="0" w:color="auto"/>
              <w:bottom w:val="single" w:sz="4" w:space="0" w:color="auto"/>
              <w:right w:val="single" w:sz="4" w:space="0" w:color="auto"/>
            </w:tcBorders>
            <w:vAlign w:val="center"/>
          </w:tcPr>
          <w:p w14:paraId="6F313FC6"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lastRenderedPageBreak/>
              <w:t>9</w:t>
            </w:r>
          </w:p>
        </w:tc>
        <w:tc>
          <w:tcPr>
            <w:tcW w:w="765" w:type="pct"/>
            <w:tcBorders>
              <w:top w:val="single" w:sz="4" w:space="0" w:color="auto"/>
              <w:left w:val="single" w:sz="4" w:space="0" w:color="auto"/>
              <w:bottom w:val="single" w:sz="4" w:space="0" w:color="auto"/>
              <w:right w:val="single" w:sz="4" w:space="0" w:color="auto"/>
            </w:tcBorders>
            <w:vAlign w:val="center"/>
          </w:tcPr>
          <w:p w14:paraId="4F688371"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t>冷剂脱水干燥剂</w:t>
            </w:r>
          </w:p>
        </w:tc>
        <w:tc>
          <w:tcPr>
            <w:tcW w:w="677" w:type="pct"/>
            <w:tcBorders>
              <w:top w:val="single" w:sz="4" w:space="0" w:color="auto"/>
              <w:left w:val="single" w:sz="4" w:space="0" w:color="auto"/>
              <w:bottom w:val="single" w:sz="4" w:space="0" w:color="auto"/>
              <w:right w:val="single" w:sz="4" w:space="0" w:color="auto"/>
            </w:tcBorders>
            <w:vAlign w:val="center"/>
          </w:tcPr>
          <w:p w14:paraId="77877145"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t>m</w:t>
            </w:r>
            <w:r w:rsidRPr="008A2411">
              <w:rPr>
                <w:rFonts w:ascii="Times New Roman" w:eastAsiaTheme="minorEastAsia"/>
                <w:color w:val="000000" w:themeColor="text1"/>
                <w:sz w:val="21"/>
                <w:szCs w:val="21"/>
                <w:vertAlign w:val="superscript"/>
                <w:lang w:bidi="ar"/>
              </w:rPr>
              <w:t>3</w:t>
            </w:r>
          </w:p>
        </w:tc>
        <w:tc>
          <w:tcPr>
            <w:tcW w:w="677" w:type="pct"/>
            <w:tcBorders>
              <w:top w:val="single" w:sz="4" w:space="0" w:color="auto"/>
              <w:left w:val="single" w:sz="4" w:space="0" w:color="auto"/>
              <w:bottom w:val="single" w:sz="4" w:space="0" w:color="auto"/>
              <w:right w:val="single" w:sz="4" w:space="0" w:color="auto"/>
            </w:tcBorders>
            <w:vAlign w:val="center"/>
          </w:tcPr>
          <w:p w14:paraId="22116180" w14:textId="77777777" w:rsidR="00B0005F" w:rsidRPr="008A2411" w:rsidRDefault="00B0005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p>
        </w:tc>
        <w:tc>
          <w:tcPr>
            <w:tcW w:w="585" w:type="pct"/>
            <w:tcBorders>
              <w:top w:val="single" w:sz="4" w:space="0" w:color="auto"/>
              <w:left w:val="single" w:sz="4" w:space="0" w:color="auto"/>
              <w:bottom w:val="single" w:sz="4" w:space="0" w:color="auto"/>
              <w:right w:val="single" w:sz="4" w:space="0" w:color="auto"/>
            </w:tcBorders>
            <w:vAlign w:val="center"/>
          </w:tcPr>
          <w:p w14:paraId="0FD621AD"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t>2</w:t>
            </w:r>
          </w:p>
        </w:tc>
        <w:tc>
          <w:tcPr>
            <w:tcW w:w="934" w:type="pct"/>
            <w:tcBorders>
              <w:top w:val="single" w:sz="4" w:space="0" w:color="auto"/>
              <w:left w:val="single" w:sz="4" w:space="0" w:color="auto"/>
              <w:bottom w:val="single" w:sz="4" w:space="0" w:color="auto"/>
              <w:right w:val="single" w:sz="4" w:space="0" w:color="auto"/>
            </w:tcBorders>
            <w:vAlign w:val="center"/>
          </w:tcPr>
          <w:p w14:paraId="24D6A9D7" w14:textId="77777777" w:rsidR="00B0005F" w:rsidRPr="008A2411" w:rsidRDefault="00B0005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p>
        </w:tc>
        <w:tc>
          <w:tcPr>
            <w:tcW w:w="771" w:type="pct"/>
            <w:tcBorders>
              <w:top w:val="single" w:sz="4" w:space="0" w:color="auto"/>
              <w:left w:val="single" w:sz="4" w:space="0" w:color="auto"/>
              <w:bottom w:val="single" w:sz="4" w:space="0" w:color="auto"/>
              <w:right w:val="single" w:sz="4" w:space="0" w:color="auto"/>
            </w:tcBorders>
            <w:vAlign w:val="center"/>
          </w:tcPr>
          <w:p w14:paraId="5A3E553A"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t>2</w:t>
            </w:r>
            <w:r w:rsidRPr="008A2411">
              <w:rPr>
                <w:rFonts w:ascii="Times New Roman" w:eastAsiaTheme="minorEastAsia"/>
                <w:color w:val="000000" w:themeColor="text1"/>
                <w:sz w:val="21"/>
                <w:szCs w:val="21"/>
                <w:lang w:bidi="ar"/>
              </w:rPr>
              <w:t>年更换</w:t>
            </w:r>
          </w:p>
        </w:tc>
      </w:tr>
      <w:tr w:rsidR="00B0005F" w:rsidRPr="008A2411" w14:paraId="18340817" w14:textId="77777777">
        <w:trPr>
          <w:trHeight w:val="343"/>
          <w:jc w:val="center"/>
        </w:trPr>
        <w:tc>
          <w:tcPr>
            <w:tcW w:w="588" w:type="pct"/>
            <w:tcBorders>
              <w:top w:val="single" w:sz="4" w:space="0" w:color="auto"/>
              <w:left w:val="single" w:sz="4" w:space="0" w:color="auto"/>
              <w:bottom w:val="single" w:sz="4" w:space="0" w:color="auto"/>
              <w:right w:val="single" w:sz="4" w:space="0" w:color="auto"/>
            </w:tcBorders>
            <w:vAlign w:val="center"/>
          </w:tcPr>
          <w:p w14:paraId="6F787815"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lang w:bidi="ar"/>
              </w:rPr>
            </w:pPr>
            <w:r w:rsidRPr="008A2411">
              <w:rPr>
                <w:rFonts w:ascii="Times New Roman" w:eastAsiaTheme="minorEastAsia"/>
                <w:color w:val="000000" w:themeColor="text1"/>
                <w:sz w:val="21"/>
                <w:szCs w:val="21"/>
                <w:lang w:bidi="ar"/>
              </w:rPr>
              <w:t>10</w:t>
            </w:r>
          </w:p>
        </w:tc>
        <w:tc>
          <w:tcPr>
            <w:tcW w:w="765" w:type="pct"/>
            <w:tcBorders>
              <w:top w:val="single" w:sz="4" w:space="0" w:color="auto"/>
              <w:left w:val="single" w:sz="4" w:space="0" w:color="auto"/>
              <w:bottom w:val="single" w:sz="4" w:space="0" w:color="auto"/>
              <w:right w:val="single" w:sz="4" w:space="0" w:color="auto"/>
            </w:tcBorders>
            <w:vAlign w:val="center"/>
          </w:tcPr>
          <w:p w14:paraId="7BA3A314"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lang w:bidi="ar"/>
              </w:rPr>
            </w:pPr>
            <w:r w:rsidRPr="008A2411">
              <w:rPr>
                <w:rFonts w:ascii="Times New Roman" w:eastAsiaTheme="minorEastAsia"/>
                <w:color w:val="000000" w:themeColor="text1"/>
                <w:sz w:val="21"/>
                <w:szCs w:val="21"/>
                <w:lang w:bidi="ar"/>
              </w:rPr>
              <w:t>液氮</w:t>
            </w:r>
          </w:p>
        </w:tc>
        <w:tc>
          <w:tcPr>
            <w:tcW w:w="677" w:type="pct"/>
            <w:tcBorders>
              <w:top w:val="single" w:sz="4" w:space="0" w:color="auto"/>
              <w:left w:val="single" w:sz="4" w:space="0" w:color="auto"/>
              <w:bottom w:val="single" w:sz="4" w:space="0" w:color="auto"/>
              <w:right w:val="single" w:sz="4" w:space="0" w:color="auto"/>
            </w:tcBorders>
            <w:vAlign w:val="center"/>
          </w:tcPr>
          <w:p w14:paraId="4FB4345F"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lang w:bidi="ar"/>
              </w:rPr>
            </w:pPr>
            <w:r w:rsidRPr="008A2411">
              <w:rPr>
                <w:rFonts w:ascii="Times New Roman" w:eastAsiaTheme="minorEastAsia" w:hint="eastAsia"/>
                <w:color w:val="000000" w:themeColor="text1"/>
                <w:sz w:val="21"/>
                <w:szCs w:val="21"/>
                <w:lang w:bidi="ar"/>
              </w:rPr>
              <w:t>万</w:t>
            </w:r>
            <w:r w:rsidRPr="008A2411">
              <w:rPr>
                <w:rFonts w:ascii="Times New Roman" w:eastAsiaTheme="minorEastAsia"/>
                <w:color w:val="000000" w:themeColor="text1"/>
                <w:sz w:val="21"/>
                <w:szCs w:val="21"/>
                <w:lang w:bidi="ar"/>
              </w:rPr>
              <w:t>m</w:t>
            </w:r>
            <w:r w:rsidRPr="008A2411">
              <w:rPr>
                <w:rFonts w:ascii="Times New Roman" w:eastAsiaTheme="minorEastAsia"/>
                <w:color w:val="000000" w:themeColor="text1"/>
                <w:sz w:val="21"/>
                <w:szCs w:val="21"/>
                <w:vertAlign w:val="superscript"/>
                <w:lang w:bidi="ar"/>
              </w:rPr>
              <w:t>3</w:t>
            </w:r>
          </w:p>
        </w:tc>
        <w:tc>
          <w:tcPr>
            <w:tcW w:w="677" w:type="pct"/>
            <w:tcBorders>
              <w:top w:val="single" w:sz="4" w:space="0" w:color="auto"/>
              <w:left w:val="single" w:sz="4" w:space="0" w:color="auto"/>
              <w:bottom w:val="single" w:sz="4" w:space="0" w:color="auto"/>
              <w:right w:val="single" w:sz="4" w:space="0" w:color="auto"/>
            </w:tcBorders>
            <w:vAlign w:val="center"/>
          </w:tcPr>
          <w:p w14:paraId="4F49EEF6" w14:textId="77777777" w:rsidR="00B0005F" w:rsidRPr="008A2411" w:rsidRDefault="00B0005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rPr>
            </w:pPr>
          </w:p>
        </w:tc>
        <w:tc>
          <w:tcPr>
            <w:tcW w:w="585" w:type="pct"/>
            <w:tcBorders>
              <w:top w:val="single" w:sz="4" w:space="0" w:color="auto"/>
              <w:left w:val="single" w:sz="4" w:space="0" w:color="auto"/>
              <w:bottom w:val="single" w:sz="4" w:space="0" w:color="auto"/>
              <w:right w:val="single" w:sz="4" w:space="0" w:color="auto"/>
            </w:tcBorders>
            <w:vAlign w:val="center"/>
          </w:tcPr>
          <w:p w14:paraId="62613406"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lang w:bidi="ar"/>
              </w:rPr>
            </w:pPr>
            <w:r w:rsidRPr="008A2411">
              <w:rPr>
                <w:rFonts w:ascii="Times New Roman" w:eastAsiaTheme="minorEastAsia" w:hint="eastAsia"/>
                <w:color w:val="000000" w:themeColor="text1"/>
                <w:sz w:val="21"/>
                <w:szCs w:val="21"/>
                <w:lang w:bidi="ar"/>
              </w:rPr>
              <w:t>12</w:t>
            </w:r>
            <w:r w:rsidRPr="008A2411">
              <w:rPr>
                <w:rFonts w:ascii="Times New Roman" w:eastAsiaTheme="minorEastAsia"/>
                <w:color w:val="000000" w:themeColor="text1"/>
                <w:sz w:val="21"/>
                <w:szCs w:val="21"/>
                <w:lang w:bidi="ar"/>
              </w:rPr>
              <w:t>0</w:t>
            </w:r>
          </w:p>
        </w:tc>
        <w:tc>
          <w:tcPr>
            <w:tcW w:w="934" w:type="pct"/>
            <w:tcBorders>
              <w:top w:val="single" w:sz="4" w:space="0" w:color="auto"/>
              <w:left w:val="single" w:sz="4" w:space="0" w:color="auto"/>
              <w:bottom w:val="single" w:sz="4" w:space="0" w:color="auto"/>
              <w:right w:val="single" w:sz="4" w:space="0" w:color="auto"/>
            </w:tcBorders>
            <w:vAlign w:val="center"/>
          </w:tcPr>
          <w:p w14:paraId="4615B028" w14:textId="77777777" w:rsidR="00B0005F" w:rsidRPr="008A2411" w:rsidRDefault="00B0005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lang w:bidi="ar"/>
              </w:rPr>
            </w:pPr>
          </w:p>
        </w:tc>
        <w:tc>
          <w:tcPr>
            <w:tcW w:w="771" w:type="pct"/>
            <w:tcBorders>
              <w:top w:val="single" w:sz="4" w:space="0" w:color="auto"/>
              <w:left w:val="single" w:sz="4" w:space="0" w:color="auto"/>
              <w:bottom w:val="single" w:sz="4" w:space="0" w:color="auto"/>
              <w:right w:val="single" w:sz="4" w:space="0" w:color="auto"/>
            </w:tcBorders>
            <w:vAlign w:val="center"/>
          </w:tcPr>
          <w:p w14:paraId="4913D08A"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eastAsiaTheme="minorEastAsia"/>
                <w:color w:val="000000" w:themeColor="text1"/>
                <w:sz w:val="21"/>
                <w:szCs w:val="21"/>
                <w:lang w:bidi="ar"/>
              </w:rPr>
            </w:pPr>
            <w:r w:rsidRPr="008A2411">
              <w:rPr>
                <w:rFonts w:ascii="Times New Roman" w:eastAsiaTheme="minorEastAsia"/>
                <w:color w:val="000000" w:themeColor="text1"/>
                <w:sz w:val="21"/>
                <w:szCs w:val="21"/>
                <w:lang w:bidi="ar"/>
              </w:rPr>
              <w:t>间断补充</w:t>
            </w:r>
          </w:p>
        </w:tc>
      </w:tr>
    </w:tbl>
    <w:p w14:paraId="1F27188C" w14:textId="77777777" w:rsidR="00B0005F" w:rsidRPr="008A2411" w:rsidRDefault="00B0005F">
      <w:pPr>
        <w:adjustRightInd w:val="0"/>
        <w:snapToGrid w:val="0"/>
        <w:spacing w:line="360" w:lineRule="auto"/>
        <w:ind w:firstLineChars="200" w:firstLine="480"/>
        <w:rPr>
          <w:rFonts w:ascii="Times New Roman"/>
          <w:color w:val="000000" w:themeColor="text1"/>
          <w:kern w:val="2"/>
          <w:szCs w:val="24"/>
        </w:rPr>
      </w:pPr>
    </w:p>
    <w:p w14:paraId="39E5838F" w14:textId="77777777" w:rsidR="00B0005F" w:rsidRPr="008A2411" w:rsidRDefault="00000000">
      <w:pPr>
        <w:adjustRightInd w:val="0"/>
        <w:snapToGrid w:val="0"/>
        <w:spacing w:line="360" w:lineRule="auto"/>
        <w:ind w:firstLineChars="200" w:firstLine="480"/>
        <w:rPr>
          <w:rFonts w:ascii="Times New Roman"/>
          <w:color w:val="000000" w:themeColor="text1"/>
          <w:kern w:val="2"/>
          <w:szCs w:val="24"/>
        </w:rPr>
      </w:pPr>
      <w:r w:rsidRPr="008A2411">
        <w:rPr>
          <w:rFonts w:ascii="Times New Roman"/>
          <w:color w:val="000000" w:themeColor="text1"/>
          <w:kern w:val="2"/>
          <w:szCs w:val="24"/>
        </w:rPr>
        <w:t>（</w:t>
      </w:r>
      <w:r w:rsidRPr="008A2411">
        <w:rPr>
          <w:rFonts w:ascii="Times New Roman"/>
          <w:color w:val="000000" w:themeColor="text1"/>
          <w:kern w:val="2"/>
          <w:szCs w:val="24"/>
        </w:rPr>
        <w:t>1</w:t>
      </w:r>
      <w:r w:rsidRPr="008A2411">
        <w:rPr>
          <w:rFonts w:ascii="Times New Roman"/>
          <w:color w:val="000000" w:themeColor="text1"/>
          <w:kern w:val="2"/>
          <w:szCs w:val="24"/>
        </w:rPr>
        <w:t>）原料天然气主要组分物化性质</w:t>
      </w:r>
    </w:p>
    <w:p w14:paraId="34F4D07A" w14:textId="77777777" w:rsidR="00B0005F" w:rsidRPr="008A2411" w:rsidRDefault="00000000">
      <w:pPr>
        <w:adjustRightInd w:val="0"/>
        <w:snapToGrid w:val="0"/>
        <w:spacing w:line="360" w:lineRule="auto"/>
        <w:ind w:firstLineChars="199" w:firstLine="478"/>
        <w:rPr>
          <w:rFonts w:ascii="Times New Roman"/>
          <w:color w:val="000000" w:themeColor="text1"/>
          <w:kern w:val="2"/>
          <w:szCs w:val="24"/>
        </w:rPr>
      </w:pPr>
      <w:r w:rsidRPr="008A2411">
        <w:rPr>
          <w:rFonts w:ascii="Times New Roman"/>
          <w:color w:val="000000" w:themeColor="text1"/>
          <w:kern w:val="2"/>
          <w:szCs w:val="24"/>
        </w:rPr>
        <w:t>①</w:t>
      </w:r>
      <w:r w:rsidRPr="008A2411">
        <w:rPr>
          <w:rFonts w:ascii="Times New Roman"/>
          <w:color w:val="000000" w:themeColor="text1"/>
          <w:kern w:val="2"/>
          <w:szCs w:val="24"/>
        </w:rPr>
        <w:t>甲烷</w:t>
      </w:r>
    </w:p>
    <w:p w14:paraId="2EEEB5C2" w14:textId="77777777" w:rsidR="00B0005F" w:rsidRPr="008A2411" w:rsidRDefault="00000000">
      <w:pPr>
        <w:adjustRightInd w:val="0"/>
        <w:snapToGrid w:val="0"/>
        <w:spacing w:line="360" w:lineRule="auto"/>
        <w:ind w:firstLineChars="200" w:firstLine="480"/>
        <w:rPr>
          <w:rFonts w:ascii="Times New Roman"/>
          <w:color w:val="000000" w:themeColor="text1"/>
          <w:kern w:val="2"/>
          <w:szCs w:val="24"/>
        </w:rPr>
      </w:pPr>
      <w:r w:rsidRPr="008A2411">
        <w:rPr>
          <w:rFonts w:ascii="Times New Roman"/>
          <w:color w:val="000000" w:themeColor="text1"/>
          <w:kern w:val="2"/>
          <w:szCs w:val="24"/>
        </w:rPr>
        <w:t>甲烷是无色、无臭气体。分子量为</w:t>
      </w:r>
      <w:r w:rsidRPr="008A2411">
        <w:rPr>
          <w:rFonts w:ascii="Times New Roman"/>
          <w:color w:val="000000" w:themeColor="text1"/>
          <w:kern w:val="2"/>
          <w:szCs w:val="24"/>
        </w:rPr>
        <w:t>16</w:t>
      </w:r>
      <w:r w:rsidRPr="008A2411">
        <w:rPr>
          <w:rFonts w:ascii="Times New Roman"/>
          <w:color w:val="000000" w:themeColor="text1"/>
          <w:kern w:val="2"/>
          <w:szCs w:val="24"/>
        </w:rPr>
        <w:t>，相对密度为</w:t>
      </w:r>
      <w:r w:rsidRPr="008A2411">
        <w:rPr>
          <w:rFonts w:ascii="Times New Roman"/>
          <w:color w:val="000000" w:themeColor="text1"/>
          <w:kern w:val="2"/>
          <w:szCs w:val="24"/>
        </w:rPr>
        <w:t>0.42</w:t>
      </w:r>
      <w:r w:rsidRPr="008A2411">
        <w:rPr>
          <w:rFonts w:ascii="Times New Roman"/>
          <w:color w:val="000000" w:themeColor="text1"/>
          <w:kern w:val="2"/>
          <w:szCs w:val="24"/>
        </w:rPr>
        <w:t>（空气），饱和蒸汽压为</w:t>
      </w:r>
      <w:r w:rsidRPr="008A2411">
        <w:rPr>
          <w:rFonts w:ascii="Times New Roman"/>
          <w:color w:val="000000" w:themeColor="text1"/>
          <w:kern w:val="2"/>
          <w:szCs w:val="24"/>
        </w:rPr>
        <w:t>53.32kpa</w:t>
      </w:r>
      <w:r w:rsidRPr="008A2411">
        <w:rPr>
          <w:rFonts w:ascii="Times New Roman"/>
          <w:color w:val="000000" w:themeColor="text1"/>
          <w:kern w:val="2"/>
          <w:szCs w:val="24"/>
        </w:rPr>
        <w:t>，熔点为</w:t>
      </w:r>
      <w:r w:rsidRPr="008A2411">
        <w:rPr>
          <w:rFonts w:ascii="Times New Roman"/>
          <w:color w:val="000000" w:themeColor="text1"/>
          <w:kern w:val="2"/>
          <w:szCs w:val="24"/>
        </w:rPr>
        <w:t>-182.5℃</w:t>
      </w:r>
      <w:r w:rsidRPr="008A2411">
        <w:rPr>
          <w:rFonts w:ascii="Times New Roman"/>
          <w:color w:val="000000" w:themeColor="text1"/>
          <w:kern w:val="2"/>
          <w:szCs w:val="24"/>
        </w:rPr>
        <w:t>，沸点为</w:t>
      </w:r>
      <w:r w:rsidRPr="008A2411">
        <w:rPr>
          <w:rFonts w:ascii="Times New Roman"/>
          <w:color w:val="000000" w:themeColor="text1"/>
          <w:kern w:val="2"/>
          <w:szCs w:val="24"/>
        </w:rPr>
        <w:t>-164℃</w:t>
      </w:r>
      <w:r w:rsidRPr="008A2411">
        <w:rPr>
          <w:rFonts w:ascii="Times New Roman"/>
          <w:color w:val="000000" w:themeColor="text1"/>
          <w:kern w:val="2"/>
          <w:szCs w:val="24"/>
        </w:rPr>
        <w:t>，闪点</w:t>
      </w:r>
      <w:r w:rsidRPr="008A2411">
        <w:rPr>
          <w:rFonts w:ascii="Times New Roman"/>
          <w:color w:val="000000" w:themeColor="text1"/>
          <w:kern w:val="2"/>
          <w:szCs w:val="24"/>
        </w:rPr>
        <w:t>-188℃</w:t>
      </w:r>
      <w:r w:rsidRPr="008A2411">
        <w:rPr>
          <w:rFonts w:ascii="Times New Roman"/>
          <w:color w:val="000000" w:themeColor="text1"/>
          <w:kern w:val="2"/>
          <w:szCs w:val="24"/>
        </w:rPr>
        <w:t>，爆炸限值</w:t>
      </w:r>
      <w:r w:rsidRPr="008A2411">
        <w:rPr>
          <w:rFonts w:ascii="Times New Roman"/>
          <w:color w:val="000000" w:themeColor="text1"/>
          <w:kern w:val="2"/>
          <w:szCs w:val="24"/>
        </w:rPr>
        <w:t>4.3</w:t>
      </w:r>
      <w:r w:rsidRPr="008A2411">
        <w:rPr>
          <w:rFonts w:ascii="Times New Roman"/>
          <w:color w:val="000000" w:themeColor="text1"/>
          <w:kern w:val="2"/>
          <w:szCs w:val="24"/>
        </w:rPr>
        <w:t>～</w:t>
      </w:r>
      <w:r w:rsidRPr="008A2411">
        <w:rPr>
          <w:rFonts w:ascii="Times New Roman"/>
          <w:color w:val="000000" w:themeColor="text1"/>
          <w:kern w:val="2"/>
          <w:szCs w:val="24"/>
        </w:rPr>
        <w:t>15%</w:t>
      </w:r>
      <w:r w:rsidRPr="008A2411">
        <w:rPr>
          <w:rFonts w:ascii="Times New Roman"/>
          <w:color w:val="000000" w:themeColor="text1"/>
          <w:kern w:val="2"/>
          <w:szCs w:val="24"/>
        </w:rPr>
        <w:t>（</w:t>
      </w:r>
      <w:r w:rsidRPr="008A2411">
        <w:rPr>
          <w:rFonts w:ascii="Times New Roman"/>
          <w:color w:val="000000" w:themeColor="text1"/>
          <w:kern w:val="2"/>
          <w:szCs w:val="24"/>
        </w:rPr>
        <w:t>V/V</w:t>
      </w:r>
      <w:r w:rsidRPr="008A2411">
        <w:rPr>
          <w:rFonts w:ascii="Times New Roman"/>
          <w:color w:val="000000" w:themeColor="text1"/>
          <w:kern w:val="2"/>
          <w:szCs w:val="24"/>
        </w:rPr>
        <w:t>）。甲烷易燃，与空气混合能形成爆炸性混合物，遇热源和明火有燃烧爆炸的危险。甲烷对人基本无毒，但当空气中甲烷达</w:t>
      </w:r>
      <w:r w:rsidRPr="008A2411">
        <w:rPr>
          <w:rFonts w:ascii="Times New Roman"/>
          <w:color w:val="000000" w:themeColor="text1"/>
          <w:kern w:val="2"/>
          <w:szCs w:val="24"/>
        </w:rPr>
        <w:t>25%</w:t>
      </w:r>
      <w:r w:rsidRPr="008A2411">
        <w:rPr>
          <w:rFonts w:ascii="Times New Roman"/>
          <w:color w:val="000000" w:themeColor="text1"/>
          <w:kern w:val="2"/>
          <w:szCs w:val="24"/>
        </w:rPr>
        <w:t>～</w:t>
      </w:r>
      <w:r w:rsidRPr="008A2411">
        <w:rPr>
          <w:rFonts w:ascii="Times New Roman"/>
          <w:color w:val="000000" w:themeColor="text1"/>
          <w:kern w:val="2"/>
          <w:szCs w:val="24"/>
        </w:rPr>
        <w:t>30%</w:t>
      </w:r>
      <w:r w:rsidRPr="008A2411">
        <w:rPr>
          <w:rFonts w:ascii="Times New Roman"/>
          <w:color w:val="000000" w:themeColor="text1"/>
          <w:kern w:val="2"/>
          <w:szCs w:val="24"/>
        </w:rPr>
        <w:t>时，可引起头痛、头晕、乏力、注意力不集中、呼吸和心跳加速，若不及时远离，可致窒息死亡。</w:t>
      </w:r>
    </w:p>
    <w:p w14:paraId="16BF9A5D" w14:textId="77777777" w:rsidR="00B0005F" w:rsidRPr="008A2411" w:rsidRDefault="00000000">
      <w:pPr>
        <w:adjustRightInd w:val="0"/>
        <w:snapToGrid w:val="0"/>
        <w:spacing w:line="360" w:lineRule="auto"/>
        <w:ind w:firstLineChars="200" w:firstLine="480"/>
        <w:rPr>
          <w:rFonts w:ascii="Times New Roman"/>
          <w:color w:val="000000" w:themeColor="text1"/>
          <w:kern w:val="2"/>
          <w:szCs w:val="24"/>
        </w:rPr>
      </w:pPr>
      <w:r w:rsidRPr="008A2411">
        <w:rPr>
          <w:rFonts w:ascii="Times New Roman"/>
          <w:color w:val="000000" w:themeColor="text1"/>
          <w:kern w:val="2"/>
          <w:szCs w:val="24"/>
        </w:rPr>
        <w:t>（</w:t>
      </w:r>
      <w:r w:rsidRPr="008A2411">
        <w:rPr>
          <w:rFonts w:ascii="Times New Roman"/>
          <w:color w:val="000000" w:themeColor="text1"/>
          <w:kern w:val="2"/>
          <w:szCs w:val="24"/>
        </w:rPr>
        <w:t>2</w:t>
      </w:r>
      <w:r w:rsidRPr="008A2411">
        <w:rPr>
          <w:rFonts w:ascii="Times New Roman"/>
          <w:color w:val="000000" w:themeColor="text1"/>
          <w:kern w:val="2"/>
          <w:szCs w:val="24"/>
        </w:rPr>
        <w:t>）</w:t>
      </w:r>
      <w:r w:rsidRPr="008A2411">
        <w:rPr>
          <w:rFonts w:ascii="Times New Roman"/>
          <w:color w:val="000000" w:themeColor="text1"/>
          <w:kern w:val="2"/>
          <w:szCs w:val="24"/>
        </w:rPr>
        <w:t>MDEA</w:t>
      </w:r>
      <w:r w:rsidRPr="008A2411">
        <w:rPr>
          <w:rFonts w:ascii="Times New Roman"/>
          <w:color w:val="000000" w:themeColor="text1"/>
          <w:kern w:val="2"/>
          <w:szCs w:val="24"/>
        </w:rPr>
        <w:t>（甲基二乙醇胺）</w:t>
      </w:r>
    </w:p>
    <w:p w14:paraId="4F918ED1" w14:textId="77777777" w:rsidR="00B0005F" w:rsidRPr="008A2411" w:rsidRDefault="00000000">
      <w:pPr>
        <w:adjustRightInd w:val="0"/>
        <w:snapToGrid w:val="0"/>
        <w:spacing w:line="360" w:lineRule="auto"/>
        <w:ind w:firstLineChars="200" w:firstLine="480"/>
        <w:rPr>
          <w:rFonts w:ascii="Times New Roman"/>
          <w:color w:val="000000" w:themeColor="text1"/>
          <w:kern w:val="2"/>
          <w:szCs w:val="24"/>
        </w:rPr>
      </w:pPr>
      <w:r w:rsidRPr="008A2411">
        <w:rPr>
          <w:rFonts w:ascii="Times New Roman"/>
          <w:color w:val="000000" w:themeColor="text1"/>
          <w:kern w:val="2"/>
          <w:szCs w:val="24"/>
        </w:rPr>
        <w:t>本品为无色或微黄色油状液体，相对分子量为</w:t>
      </w:r>
      <w:r w:rsidRPr="008A2411">
        <w:rPr>
          <w:rFonts w:ascii="Times New Roman"/>
          <w:color w:val="000000" w:themeColor="text1"/>
          <w:kern w:val="2"/>
          <w:szCs w:val="24"/>
        </w:rPr>
        <w:t>119</w:t>
      </w:r>
      <w:r w:rsidRPr="008A2411">
        <w:rPr>
          <w:rFonts w:ascii="Times New Roman"/>
          <w:color w:val="000000" w:themeColor="text1"/>
          <w:kern w:val="2"/>
          <w:szCs w:val="24"/>
        </w:rPr>
        <w:t>，凝固点为</w:t>
      </w:r>
      <w:r w:rsidRPr="008A2411">
        <w:rPr>
          <w:rFonts w:ascii="Times New Roman"/>
          <w:color w:val="000000" w:themeColor="text1"/>
          <w:kern w:val="2"/>
          <w:szCs w:val="24"/>
        </w:rPr>
        <w:t>-21℃</w:t>
      </w:r>
      <w:r w:rsidRPr="008A2411">
        <w:rPr>
          <w:rFonts w:ascii="Times New Roman"/>
          <w:color w:val="000000" w:themeColor="text1"/>
          <w:kern w:val="2"/>
          <w:szCs w:val="24"/>
        </w:rPr>
        <w:t>，沸点</w:t>
      </w:r>
      <w:r w:rsidRPr="008A2411">
        <w:rPr>
          <w:rFonts w:ascii="Times New Roman"/>
          <w:color w:val="000000" w:themeColor="text1"/>
          <w:kern w:val="2"/>
          <w:szCs w:val="24"/>
        </w:rPr>
        <w:t>247.2℃</w:t>
      </w:r>
      <w:r w:rsidRPr="008A2411">
        <w:rPr>
          <w:rFonts w:ascii="Times New Roman"/>
          <w:color w:val="000000" w:themeColor="text1"/>
          <w:kern w:val="2"/>
          <w:szCs w:val="24"/>
        </w:rPr>
        <w:t>，</w:t>
      </w:r>
      <w:r w:rsidRPr="008A2411">
        <w:rPr>
          <w:rFonts w:ascii="Times New Roman"/>
          <w:color w:val="000000" w:themeColor="text1"/>
          <w:kern w:val="2"/>
          <w:szCs w:val="24"/>
        </w:rPr>
        <w:t>121℃</w:t>
      </w:r>
      <w:r w:rsidRPr="008A2411">
        <w:rPr>
          <w:rFonts w:ascii="Times New Roman"/>
          <w:color w:val="000000" w:themeColor="text1"/>
          <w:kern w:val="2"/>
          <w:szCs w:val="24"/>
        </w:rPr>
        <w:t>（</w:t>
      </w:r>
      <w:r w:rsidRPr="008A2411">
        <w:rPr>
          <w:rFonts w:ascii="Times New Roman"/>
          <w:color w:val="000000" w:themeColor="text1"/>
          <w:kern w:val="2"/>
          <w:szCs w:val="24"/>
        </w:rPr>
        <w:t>0.53kPa</w:t>
      </w:r>
      <w:r w:rsidRPr="008A2411">
        <w:rPr>
          <w:rFonts w:ascii="Times New Roman"/>
          <w:color w:val="000000" w:themeColor="text1"/>
          <w:kern w:val="2"/>
          <w:szCs w:val="24"/>
        </w:rPr>
        <w:t>），</w:t>
      </w:r>
      <w:r>
        <w:fldChar w:fldCharType="begin"/>
      </w:r>
      <w:r>
        <w:instrText xml:space="preserve"> HYPERLINK "http://www.chemyq.com/xz/xz8/71741mksai.htm" </w:instrText>
      </w:r>
      <w:r>
        <w:fldChar w:fldCharType="separate"/>
      </w:r>
      <w:r w:rsidRPr="008A2411">
        <w:rPr>
          <w:rFonts w:ascii="Times New Roman"/>
          <w:color w:val="000000" w:themeColor="text1"/>
          <w:kern w:val="2"/>
          <w:szCs w:val="24"/>
        </w:rPr>
        <w:t>相对密度</w:t>
      </w:r>
      <w:r>
        <w:rPr>
          <w:rFonts w:ascii="Times New Roman"/>
          <w:color w:val="000000" w:themeColor="text1"/>
          <w:kern w:val="2"/>
          <w:szCs w:val="24"/>
        </w:rPr>
        <w:fldChar w:fldCharType="end"/>
      </w:r>
      <w:r w:rsidRPr="008A2411">
        <w:rPr>
          <w:rFonts w:ascii="Times New Roman"/>
          <w:color w:val="000000" w:themeColor="text1"/>
          <w:kern w:val="2"/>
          <w:szCs w:val="24"/>
        </w:rPr>
        <w:t>1.0377</w:t>
      </w:r>
      <w:r w:rsidRPr="008A2411">
        <w:rPr>
          <w:rFonts w:ascii="Times New Roman"/>
          <w:color w:val="000000" w:themeColor="text1"/>
          <w:kern w:val="2"/>
          <w:szCs w:val="24"/>
        </w:rPr>
        <w:t>（</w:t>
      </w:r>
      <w:r w:rsidRPr="008A2411">
        <w:rPr>
          <w:rFonts w:ascii="Times New Roman"/>
          <w:color w:val="000000" w:themeColor="text1"/>
          <w:kern w:val="2"/>
          <w:szCs w:val="24"/>
        </w:rPr>
        <w:t>20</w:t>
      </w:r>
      <w:r w:rsidRPr="008A2411">
        <w:rPr>
          <w:rFonts w:ascii="Times New Roman"/>
          <w:color w:val="000000" w:themeColor="text1"/>
          <w:kern w:val="2"/>
          <w:szCs w:val="24"/>
        </w:rPr>
        <w:t>、</w:t>
      </w:r>
      <w:r w:rsidRPr="008A2411">
        <w:rPr>
          <w:rFonts w:ascii="Times New Roman"/>
          <w:color w:val="000000" w:themeColor="text1"/>
          <w:kern w:val="2"/>
          <w:szCs w:val="24"/>
        </w:rPr>
        <w:t>4℃</w:t>
      </w:r>
      <w:r w:rsidRPr="008A2411">
        <w:rPr>
          <w:rFonts w:ascii="Times New Roman"/>
          <w:color w:val="000000" w:themeColor="text1"/>
          <w:kern w:val="2"/>
          <w:szCs w:val="24"/>
        </w:rPr>
        <w:t>），</w:t>
      </w:r>
      <w:r>
        <w:fldChar w:fldCharType="begin"/>
      </w:r>
      <w:r>
        <w:instrText xml:space="preserve"> HYPERLINK "http://www.chemyq.com/xz/xz7/64989dbqrv.htm" </w:instrText>
      </w:r>
      <w:r>
        <w:fldChar w:fldCharType="separate"/>
      </w:r>
      <w:r w:rsidRPr="008A2411">
        <w:rPr>
          <w:rFonts w:ascii="Times New Roman"/>
          <w:color w:val="000000" w:themeColor="text1"/>
          <w:kern w:val="2"/>
          <w:szCs w:val="24"/>
        </w:rPr>
        <w:t>折射率</w:t>
      </w:r>
      <w:r>
        <w:rPr>
          <w:rFonts w:ascii="Times New Roman"/>
          <w:color w:val="000000" w:themeColor="text1"/>
          <w:kern w:val="2"/>
          <w:szCs w:val="24"/>
        </w:rPr>
        <w:fldChar w:fldCharType="end"/>
      </w:r>
      <w:r w:rsidRPr="008A2411">
        <w:rPr>
          <w:rFonts w:ascii="Times New Roman"/>
          <w:color w:val="000000" w:themeColor="text1"/>
          <w:kern w:val="2"/>
          <w:szCs w:val="24"/>
        </w:rPr>
        <w:t>1.4678</w:t>
      </w:r>
      <w:r w:rsidRPr="008A2411">
        <w:rPr>
          <w:rFonts w:ascii="Times New Roman"/>
          <w:color w:val="000000" w:themeColor="text1"/>
          <w:kern w:val="2"/>
          <w:szCs w:val="24"/>
        </w:rPr>
        <w:t>，闪点</w:t>
      </w:r>
      <w:r w:rsidRPr="008A2411">
        <w:rPr>
          <w:rFonts w:ascii="Times New Roman"/>
          <w:color w:val="000000" w:themeColor="text1"/>
          <w:kern w:val="2"/>
          <w:szCs w:val="24"/>
        </w:rPr>
        <w:t>260℃</w:t>
      </w:r>
      <w:r w:rsidRPr="008A2411">
        <w:rPr>
          <w:rFonts w:ascii="Times New Roman"/>
          <w:color w:val="000000" w:themeColor="text1"/>
          <w:kern w:val="2"/>
          <w:szCs w:val="24"/>
        </w:rPr>
        <w:t>。能与水、醇混溶，微溶于醚。无毒。</w:t>
      </w:r>
    </w:p>
    <w:p w14:paraId="1E20C823" w14:textId="77777777" w:rsidR="00B0005F" w:rsidRPr="008A2411" w:rsidRDefault="00000000">
      <w:pPr>
        <w:autoSpaceDE w:val="0"/>
        <w:autoSpaceDN w:val="0"/>
        <w:ind w:firstLine="482"/>
        <w:jc w:val="center"/>
        <w:rPr>
          <w:rFonts w:ascii="Times New Roman" w:eastAsia="黑体"/>
          <w:color w:val="000000" w:themeColor="text1"/>
          <w:szCs w:val="24"/>
        </w:rPr>
      </w:pPr>
      <w:r w:rsidRPr="008A2411">
        <w:rPr>
          <w:rFonts w:ascii="Times New Roman" w:eastAsia="黑体"/>
          <w:color w:val="000000" w:themeColor="text1"/>
          <w:szCs w:val="24"/>
        </w:rPr>
        <w:t>表</w:t>
      </w:r>
      <w:r w:rsidRPr="008A2411">
        <w:rPr>
          <w:rFonts w:ascii="Times New Roman" w:eastAsia="黑体"/>
          <w:color w:val="000000" w:themeColor="text1"/>
          <w:szCs w:val="24"/>
        </w:rPr>
        <w:t xml:space="preserve">3.1-4  </w:t>
      </w:r>
      <w:r w:rsidRPr="008A2411">
        <w:rPr>
          <w:rFonts w:ascii="Times New Roman" w:eastAsia="黑体"/>
          <w:color w:val="000000" w:themeColor="text1"/>
          <w:szCs w:val="24"/>
        </w:rPr>
        <w:t>辅料</w:t>
      </w:r>
      <w:r w:rsidRPr="008A2411">
        <w:rPr>
          <w:rFonts w:ascii="Times New Roman" w:eastAsia="黑体"/>
          <w:color w:val="000000" w:themeColor="text1"/>
          <w:szCs w:val="24"/>
        </w:rPr>
        <w:t>MDEA</w:t>
      </w:r>
      <w:proofErr w:type="gramStart"/>
      <w:r w:rsidRPr="008A2411">
        <w:rPr>
          <w:rFonts w:ascii="Times New Roman" w:eastAsia="黑体"/>
          <w:color w:val="000000" w:themeColor="text1"/>
          <w:szCs w:val="24"/>
        </w:rPr>
        <w:t>醇胺液质量标准</w:t>
      </w:r>
      <w:proofErr w:type="gramEnd"/>
      <w:r w:rsidRPr="008A2411">
        <w:rPr>
          <w:rFonts w:ascii="Times New Roman" w:eastAsia="黑体"/>
          <w:color w:val="000000" w:themeColor="text1"/>
          <w:szCs w:val="24"/>
        </w:rPr>
        <w:t>（</w:t>
      </w:r>
      <w:r w:rsidRPr="008A2411">
        <w:rPr>
          <w:rFonts w:ascii="Times New Roman" w:eastAsia="黑体"/>
          <w:color w:val="000000" w:themeColor="text1"/>
          <w:szCs w:val="24"/>
        </w:rPr>
        <w:t>Q/</w:t>
      </w:r>
      <w:bookmarkStart w:id="152" w:name="baidusnap1"/>
      <w:bookmarkEnd w:id="152"/>
      <w:r w:rsidRPr="008A2411">
        <w:rPr>
          <w:rFonts w:ascii="Times New Roman" w:eastAsia="黑体"/>
          <w:color w:val="000000" w:themeColor="text1"/>
          <w:szCs w:val="24"/>
        </w:rPr>
        <w:t>45090447-X·4-2000</w:t>
      </w:r>
      <w:r w:rsidRPr="008A2411">
        <w:rPr>
          <w:rFonts w:ascii="Times New Roman" w:eastAsia="黑体"/>
          <w:color w:val="000000" w:themeColor="text1"/>
          <w:szCs w:val="24"/>
        </w:rPr>
        <w:t>）</w:t>
      </w:r>
    </w:p>
    <w:tbl>
      <w:tblPr>
        <w:tblW w:w="4998" w:type="pct"/>
        <w:jc w:val="center"/>
        <w:tblBorders>
          <w:top w:val="single" w:sz="2" w:space="0" w:color="auto"/>
          <w:bottom w:val="single" w:sz="2" w:space="0" w:color="auto"/>
          <w:insideH w:val="single" w:sz="2" w:space="0" w:color="auto"/>
          <w:insideV w:val="single" w:sz="2" w:space="0" w:color="auto"/>
        </w:tblBorders>
        <w:tblLook w:val="04A0" w:firstRow="1" w:lastRow="0" w:firstColumn="1" w:lastColumn="0" w:noHBand="0" w:noVBand="1"/>
      </w:tblPr>
      <w:tblGrid>
        <w:gridCol w:w="4034"/>
        <w:gridCol w:w="1464"/>
        <w:gridCol w:w="1460"/>
        <w:gridCol w:w="1561"/>
      </w:tblGrid>
      <w:tr w:rsidR="008A2411" w:rsidRPr="008A2411" w14:paraId="51277E81" w14:textId="77777777">
        <w:trPr>
          <w:trHeight w:val="285"/>
          <w:jc w:val="center"/>
        </w:trPr>
        <w:tc>
          <w:tcPr>
            <w:tcW w:w="2367" w:type="pct"/>
            <w:tcBorders>
              <w:top w:val="single" w:sz="4" w:space="0" w:color="auto"/>
              <w:left w:val="single" w:sz="4" w:space="0" w:color="auto"/>
            </w:tcBorders>
            <w:shd w:val="clear" w:color="auto" w:fill="auto"/>
            <w:vAlign w:val="center"/>
          </w:tcPr>
          <w:p w14:paraId="6AAAA2E1" w14:textId="77777777" w:rsidR="00B0005F" w:rsidRPr="008A2411" w:rsidRDefault="00000000">
            <w:pPr>
              <w:widowControl/>
              <w:spacing w:line="30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项目指标</w:t>
            </w:r>
          </w:p>
        </w:tc>
        <w:tc>
          <w:tcPr>
            <w:tcW w:w="859" w:type="pct"/>
            <w:tcBorders>
              <w:top w:val="single" w:sz="4" w:space="0" w:color="auto"/>
            </w:tcBorders>
            <w:shd w:val="clear" w:color="auto" w:fill="auto"/>
            <w:vAlign w:val="center"/>
          </w:tcPr>
          <w:p w14:paraId="2F378C79" w14:textId="77777777" w:rsidR="00B0005F" w:rsidRPr="008A2411" w:rsidRDefault="00000000">
            <w:pPr>
              <w:spacing w:line="30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优级</w:t>
            </w:r>
          </w:p>
        </w:tc>
        <w:tc>
          <w:tcPr>
            <w:tcW w:w="857" w:type="pct"/>
            <w:tcBorders>
              <w:top w:val="single" w:sz="4" w:space="0" w:color="auto"/>
            </w:tcBorders>
            <w:shd w:val="clear" w:color="auto" w:fill="auto"/>
            <w:vAlign w:val="center"/>
          </w:tcPr>
          <w:p w14:paraId="0114C5AB" w14:textId="77777777" w:rsidR="00B0005F" w:rsidRPr="008A2411" w:rsidRDefault="00000000">
            <w:pPr>
              <w:spacing w:line="30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一级</w:t>
            </w:r>
          </w:p>
        </w:tc>
        <w:tc>
          <w:tcPr>
            <w:tcW w:w="914" w:type="pct"/>
            <w:tcBorders>
              <w:top w:val="single" w:sz="4" w:space="0" w:color="auto"/>
              <w:right w:val="single" w:sz="4" w:space="0" w:color="auto"/>
            </w:tcBorders>
            <w:shd w:val="clear" w:color="auto" w:fill="auto"/>
            <w:vAlign w:val="center"/>
          </w:tcPr>
          <w:p w14:paraId="14EFDE15" w14:textId="77777777" w:rsidR="00B0005F" w:rsidRPr="008A2411" w:rsidRDefault="00000000">
            <w:pPr>
              <w:spacing w:line="30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合格品</w:t>
            </w:r>
          </w:p>
        </w:tc>
      </w:tr>
      <w:tr w:rsidR="008A2411" w:rsidRPr="008A2411" w14:paraId="53555BC9" w14:textId="77777777">
        <w:trPr>
          <w:trHeight w:val="201"/>
          <w:jc w:val="center"/>
        </w:trPr>
        <w:tc>
          <w:tcPr>
            <w:tcW w:w="2367" w:type="pct"/>
            <w:tcBorders>
              <w:left w:val="single" w:sz="4" w:space="0" w:color="auto"/>
            </w:tcBorders>
            <w:shd w:val="clear" w:color="auto" w:fill="auto"/>
            <w:vAlign w:val="center"/>
          </w:tcPr>
          <w:p w14:paraId="732D0D04" w14:textId="77777777" w:rsidR="00B0005F" w:rsidRPr="008A2411" w:rsidRDefault="00000000">
            <w:pPr>
              <w:widowControl/>
              <w:spacing w:line="30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外观</w:t>
            </w:r>
          </w:p>
        </w:tc>
        <w:tc>
          <w:tcPr>
            <w:tcW w:w="2632" w:type="pct"/>
            <w:gridSpan w:val="3"/>
            <w:tcBorders>
              <w:right w:val="single" w:sz="4" w:space="0" w:color="auto"/>
            </w:tcBorders>
            <w:shd w:val="clear" w:color="auto" w:fill="auto"/>
            <w:vAlign w:val="center"/>
          </w:tcPr>
          <w:p w14:paraId="22593510" w14:textId="77777777" w:rsidR="00B0005F" w:rsidRPr="008A2411" w:rsidRDefault="00000000">
            <w:pPr>
              <w:spacing w:line="30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无色或微黄色粘性液体，无悬浮物</w:t>
            </w:r>
          </w:p>
        </w:tc>
      </w:tr>
      <w:tr w:rsidR="008A2411" w:rsidRPr="008A2411" w14:paraId="4A56131A" w14:textId="77777777">
        <w:trPr>
          <w:trHeight w:val="177"/>
          <w:jc w:val="center"/>
        </w:trPr>
        <w:tc>
          <w:tcPr>
            <w:tcW w:w="2367" w:type="pct"/>
            <w:tcBorders>
              <w:left w:val="single" w:sz="4" w:space="0" w:color="auto"/>
            </w:tcBorders>
            <w:shd w:val="clear" w:color="auto" w:fill="auto"/>
            <w:vAlign w:val="center"/>
          </w:tcPr>
          <w:p w14:paraId="0CAF17F9" w14:textId="77777777" w:rsidR="00B0005F" w:rsidRPr="008A2411" w:rsidRDefault="00000000">
            <w:pPr>
              <w:widowControl/>
              <w:spacing w:line="30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密度（</w:t>
            </w:r>
            <w:r w:rsidRPr="008A2411">
              <w:rPr>
                <w:rFonts w:ascii="Times New Roman" w:eastAsiaTheme="minorEastAsia"/>
                <w:color w:val="000000" w:themeColor="text1"/>
                <w:sz w:val="21"/>
                <w:szCs w:val="21"/>
              </w:rPr>
              <w:t>20℃</w:t>
            </w:r>
            <w:r w:rsidRPr="008A2411">
              <w:rPr>
                <w:rFonts w:ascii="Times New Roman" w:eastAsiaTheme="minorEastAsia"/>
                <w:color w:val="000000" w:themeColor="text1"/>
                <w:sz w:val="21"/>
                <w:szCs w:val="21"/>
              </w:rPr>
              <w:t>）</w:t>
            </w:r>
            <w:r w:rsidRPr="008A2411">
              <w:rPr>
                <w:rFonts w:ascii="Times New Roman" w:eastAsiaTheme="minorEastAsia"/>
                <w:color w:val="000000" w:themeColor="text1"/>
                <w:sz w:val="21"/>
                <w:szCs w:val="21"/>
              </w:rPr>
              <w:t>g/cm</w:t>
            </w:r>
            <w:r w:rsidRPr="008A2411">
              <w:rPr>
                <w:rFonts w:ascii="Times New Roman" w:eastAsiaTheme="minorEastAsia"/>
                <w:color w:val="000000" w:themeColor="text1"/>
                <w:sz w:val="21"/>
                <w:szCs w:val="21"/>
                <w:vertAlign w:val="superscript"/>
              </w:rPr>
              <w:t>3</w:t>
            </w:r>
            <w:r w:rsidRPr="008A2411">
              <w:rPr>
                <w:rFonts w:ascii="Times New Roman" w:eastAsiaTheme="minorEastAsia"/>
                <w:color w:val="000000" w:themeColor="text1"/>
                <w:sz w:val="21"/>
                <w:szCs w:val="21"/>
              </w:rPr>
              <w:t>≤</w:t>
            </w:r>
          </w:p>
        </w:tc>
        <w:tc>
          <w:tcPr>
            <w:tcW w:w="2632" w:type="pct"/>
            <w:gridSpan w:val="3"/>
            <w:tcBorders>
              <w:right w:val="single" w:sz="4" w:space="0" w:color="auto"/>
            </w:tcBorders>
            <w:shd w:val="clear" w:color="auto" w:fill="auto"/>
            <w:vAlign w:val="center"/>
          </w:tcPr>
          <w:p w14:paraId="343758CA" w14:textId="77777777" w:rsidR="00B0005F" w:rsidRPr="008A2411" w:rsidRDefault="00000000">
            <w:pPr>
              <w:spacing w:line="30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1.035</w:t>
            </w:r>
            <w:r w:rsidRPr="008A2411">
              <w:rPr>
                <w:rFonts w:ascii="Times New Roman" w:eastAsiaTheme="minorEastAsia"/>
                <w:color w:val="000000" w:themeColor="text1"/>
                <w:sz w:val="21"/>
                <w:szCs w:val="21"/>
              </w:rPr>
              <w:t>～</w:t>
            </w:r>
            <w:r w:rsidRPr="008A2411">
              <w:rPr>
                <w:rFonts w:ascii="Times New Roman" w:eastAsiaTheme="minorEastAsia"/>
                <w:color w:val="000000" w:themeColor="text1"/>
                <w:sz w:val="21"/>
                <w:szCs w:val="21"/>
              </w:rPr>
              <w:t>1.045</w:t>
            </w:r>
          </w:p>
        </w:tc>
      </w:tr>
      <w:tr w:rsidR="008A2411" w:rsidRPr="008A2411" w14:paraId="1BE307ED" w14:textId="77777777">
        <w:trPr>
          <w:trHeight w:val="203"/>
          <w:jc w:val="center"/>
        </w:trPr>
        <w:tc>
          <w:tcPr>
            <w:tcW w:w="2367" w:type="pct"/>
            <w:tcBorders>
              <w:left w:val="single" w:sz="4" w:space="0" w:color="auto"/>
            </w:tcBorders>
            <w:shd w:val="clear" w:color="auto" w:fill="auto"/>
            <w:vAlign w:val="center"/>
          </w:tcPr>
          <w:p w14:paraId="63279E7D" w14:textId="77777777" w:rsidR="00B0005F" w:rsidRPr="008A2411" w:rsidRDefault="00000000">
            <w:pPr>
              <w:widowControl/>
              <w:spacing w:line="300" w:lineRule="exact"/>
              <w:jc w:val="center"/>
              <w:rPr>
                <w:rFonts w:ascii="Times New Roman" w:eastAsiaTheme="minorEastAsia"/>
                <w:color w:val="000000" w:themeColor="text1"/>
                <w:sz w:val="21"/>
                <w:szCs w:val="21"/>
              </w:rPr>
            </w:pPr>
            <w:proofErr w:type="gramStart"/>
            <w:r w:rsidRPr="008A2411">
              <w:rPr>
                <w:rFonts w:ascii="Times New Roman" w:eastAsiaTheme="minorEastAsia"/>
                <w:color w:val="000000" w:themeColor="text1"/>
                <w:sz w:val="21"/>
                <w:szCs w:val="21"/>
              </w:rPr>
              <w:t>MDEA,%</w:t>
            </w:r>
            <w:proofErr w:type="gramEnd"/>
            <w:r w:rsidRPr="008A2411">
              <w:rPr>
                <w:rFonts w:ascii="Times New Roman" w:eastAsiaTheme="minorEastAsia"/>
                <w:color w:val="000000" w:themeColor="text1"/>
                <w:sz w:val="21"/>
                <w:szCs w:val="21"/>
              </w:rPr>
              <w:t xml:space="preserve"> ≥</w:t>
            </w:r>
          </w:p>
        </w:tc>
        <w:tc>
          <w:tcPr>
            <w:tcW w:w="859" w:type="pct"/>
            <w:shd w:val="clear" w:color="auto" w:fill="auto"/>
            <w:vAlign w:val="center"/>
          </w:tcPr>
          <w:p w14:paraId="01F81DA5" w14:textId="77777777" w:rsidR="00B0005F" w:rsidRPr="008A2411" w:rsidRDefault="00000000">
            <w:pPr>
              <w:widowControl/>
              <w:spacing w:line="30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99.0</w:t>
            </w:r>
          </w:p>
        </w:tc>
        <w:tc>
          <w:tcPr>
            <w:tcW w:w="857" w:type="pct"/>
            <w:shd w:val="clear" w:color="auto" w:fill="auto"/>
            <w:vAlign w:val="center"/>
          </w:tcPr>
          <w:p w14:paraId="2695FC90" w14:textId="77777777" w:rsidR="00B0005F" w:rsidRPr="008A2411" w:rsidRDefault="00000000">
            <w:pPr>
              <w:spacing w:line="30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97.0</w:t>
            </w:r>
          </w:p>
        </w:tc>
        <w:tc>
          <w:tcPr>
            <w:tcW w:w="914" w:type="pct"/>
            <w:tcBorders>
              <w:right w:val="single" w:sz="4" w:space="0" w:color="auto"/>
            </w:tcBorders>
            <w:shd w:val="clear" w:color="auto" w:fill="auto"/>
            <w:vAlign w:val="center"/>
          </w:tcPr>
          <w:p w14:paraId="6306EDF0" w14:textId="77777777" w:rsidR="00B0005F" w:rsidRPr="008A2411" w:rsidRDefault="00000000">
            <w:pPr>
              <w:spacing w:line="30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95.0</w:t>
            </w:r>
          </w:p>
        </w:tc>
      </w:tr>
      <w:tr w:rsidR="008A2411" w:rsidRPr="008A2411" w14:paraId="01700929" w14:textId="77777777">
        <w:trPr>
          <w:trHeight w:val="309"/>
          <w:jc w:val="center"/>
        </w:trPr>
        <w:tc>
          <w:tcPr>
            <w:tcW w:w="2367" w:type="pct"/>
            <w:tcBorders>
              <w:left w:val="single" w:sz="4" w:space="0" w:color="auto"/>
              <w:bottom w:val="single" w:sz="4" w:space="0" w:color="auto"/>
            </w:tcBorders>
            <w:shd w:val="clear" w:color="auto" w:fill="auto"/>
            <w:vAlign w:val="center"/>
          </w:tcPr>
          <w:p w14:paraId="6FB3CC9C" w14:textId="77777777" w:rsidR="00B0005F" w:rsidRPr="008A2411" w:rsidRDefault="00000000">
            <w:pPr>
              <w:widowControl/>
              <w:spacing w:line="30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水分，</w:t>
            </w:r>
            <w:r w:rsidRPr="008A2411">
              <w:rPr>
                <w:rFonts w:ascii="Times New Roman" w:eastAsiaTheme="minorEastAsia"/>
                <w:color w:val="000000" w:themeColor="text1"/>
                <w:sz w:val="21"/>
                <w:szCs w:val="21"/>
              </w:rPr>
              <w:t>% ≤</w:t>
            </w:r>
          </w:p>
        </w:tc>
        <w:tc>
          <w:tcPr>
            <w:tcW w:w="859" w:type="pct"/>
            <w:tcBorders>
              <w:bottom w:val="single" w:sz="4" w:space="0" w:color="auto"/>
            </w:tcBorders>
            <w:shd w:val="clear" w:color="auto" w:fill="auto"/>
            <w:vAlign w:val="center"/>
          </w:tcPr>
          <w:p w14:paraId="5FBD81BE" w14:textId="77777777" w:rsidR="00B0005F" w:rsidRPr="008A2411" w:rsidRDefault="00000000">
            <w:pPr>
              <w:widowControl/>
              <w:spacing w:line="30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0.5</w:t>
            </w:r>
          </w:p>
        </w:tc>
        <w:tc>
          <w:tcPr>
            <w:tcW w:w="857" w:type="pct"/>
            <w:tcBorders>
              <w:bottom w:val="single" w:sz="4" w:space="0" w:color="auto"/>
            </w:tcBorders>
            <w:shd w:val="clear" w:color="auto" w:fill="auto"/>
            <w:vAlign w:val="center"/>
          </w:tcPr>
          <w:p w14:paraId="042746A5" w14:textId="77777777" w:rsidR="00B0005F" w:rsidRPr="008A2411" w:rsidRDefault="00000000">
            <w:pPr>
              <w:spacing w:line="30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0.8</w:t>
            </w:r>
          </w:p>
        </w:tc>
        <w:tc>
          <w:tcPr>
            <w:tcW w:w="914" w:type="pct"/>
            <w:tcBorders>
              <w:bottom w:val="single" w:sz="4" w:space="0" w:color="auto"/>
              <w:right w:val="single" w:sz="4" w:space="0" w:color="auto"/>
            </w:tcBorders>
            <w:shd w:val="clear" w:color="auto" w:fill="auto"/>
            <w:vAlign w:val="center"/>
          </w:tcPr>
          <w:p w14:paraId="71CDDBA4" w14:textId="77777777" w:rsidR="00B0005F" w:rsidRPr="008A2411" w:rsidRDefault="00000000">
            <w:pPr>
              <w:spacing w:line="30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1.0</w:t>
            </w:r>
          </w:p>
        </w:tc>
      </w:tr>
    </w:tbl>
    <w:p w14:paraId="421C10A2" w14:textId="77777777" w:rsidR="00B0005F" w:rsidRPr="008A2411" w:rsidRDefault="00000000">
      <w:pPr>
        <w:adjustRightInd w:val="0"/>
        <w:snapToGrid w:val="0"/>
        <w:spacing w:line="360" w:lineRule="auto"/>
        <w:ind w:firstLineChars="200" w:firstLine="480"/>
        <w:rPr>
          <w:rFonts w:ascii="Times New Roman"/>
          <w:color w:val="000000" w:themeColor="text1"/>
          <w:kern w:val="2"/>
          <w:szCs w:val="24"/>
        </w:rPr>
      </w:pPr>
      <w:r w:rsidRPr="008A2411">
        <w:rPr>
          <w:rFonts w:ascii="Times New Roman"/>
          <w:color w:val="000000" w:themeColor="text1"/>
          <w:kern w:val="2"/>
          <w:szCs w:val="24"/>
        </w:rPr>
        <w:t>（</w:t>
      </w:r>
      <w:r w:rsidRPr="008A2411">
        <w:rPr>
          <w:rFonts w:ascii="Times New Roman"/>
          <w:color w:val="000000" w:themeColor="text1"/>
          <w:kern w:val="2"/>
          <w:szCs w:val="24"/>
        </w:rPr>
        <w:t>3</w:t>
      </w:r>
      <w:r w:rsidRPr="008A2411">
        <w:rPr>
          <w:rFonts w:ascii="Times New Roman"/>
          <w:color w:val="000000" w:themeColor="text1"/>
          <w:kern w:val="2"/>
          <w:szCs w:val="24"/>
        </w:rPr>
        <w:t>）制冷剂主要组分物化性质</w:t>
      </w:r>
    </w:p>
    <w:p w14:paraId="49B6ED2B" w14:textId="77777777" w:rsidR="00B0005F" w:rsidRPr="008A2411" w:rsidRDefault="00000000">
      <w:pPr>
        <w:adjustRightInd w:val="0"/>
        <w:snapToGrid w:val="0"/>
        <w:spacing w:line="360" w:lineRule="auto"/>
        <w:ind w:firstLineChars="199" w:firstLine="478"/>
        <w:rPr>
          <w:rFonts w:ascii="Times New Roman"/>
          <w:color w:val="000000" w:themeColor="text1"/>
          <w:kern w:val="2"/>
          <w:szCs w:val="24"/>
        </w:rPr>
      </w:pPr>
      <w:r w:rsidRPr="008A2411">
        <w:rPr>
          <w:rFonts w:ascii="Times New Roman"/>
          <w:color w:val="000000" w:themeColor="text1"/>
          <w:kern w:val="2"/>
          <w:szCs w:val="24"/>
        </w:rPr>
        <w:t>①</w:t>
      </w:r>
      <w:r w:rsidRPr="008A2411">
        <w:rPr>
          <w:rFonts w:ascii="Times New Roman"/>
          <w:color w:val="000000" w:themeColor="text1"/>
          <w:kern w:val="2"/>
          <w:szCs w:val="24"/>
        </w:rPr>
        <w:t>丙烷</w:t>
      </w:r>
    </w:p>
    <w:p w14:paraId="09B57985" w14:textId="77777777" w:rsidR="00B0005F" w:rsidRPr="008A2411" w:rsidRDefault="00000000">
      <w:pPr>
        <w:adjustRightInd w:val="0"/>
        <w:snapToGrid w:val="0"/>
        <w:spacing w:line="360" w:lineRule="auto"/>
        <w:ind w:firstLine="420"/>
        <w:rPr>
          <w:rFonts w:ascii="Times New Roman"/>
          <w:color w:val="000000" w:themeColor="text1"/>
          <w:kern w:val="2"/>
          <w:szCs w:val="24"/>
        </w:rPr>
      </w:pPr>
      <w:r w:rsidRPr="008A2411">
        <w:rPr>
          <w:rFonts w:ascii="Times New Roman"/>
          <w:color w:val="000000" w:themeColor="text1"/>
          <w:kern w:val="2"/>
          <w:szCs w:val="24"/>
        </w:rPr>
        <w:t>丙烷为无色、无臭气体，分子量为</w:t>
      </w:r>
      <w:r w:rsidRPr="008A2411">
        <w:rPr>
          <w:rFonts w:ascii="Times New Roman"/>
          <w:color w:val="000000" w:themeColor="text1"/>
          <w:kern w:val="2"/>
          <w:szCs w:val="24"/>
        </w:rPr>
        <w:t>44</w:t>
      </w:r>
      <w:r w:rsidRPr="008A2411">
        <w:rPr>
          <w:rFonts w:ascii="Times New Roman"/>
          <w:color w:val="000000" w:themeColor="text1"/>
          <w:kern w:val="2"/>
          <w:szCs w:val="24"/>
        </w:rPr>
        <w:t>，熔点为</w:t>
      </w:r>
      <w:r w:rsidRPr="008A2411">
        <w:rPr>
          <w:rFonts w:ascii="Times New Roman"/>
          <w:color w:val="000000" w:themeColor="text1"/>
          <w:kern w:val="2"/>
          <w:szCs w:val="24"/>
        </w:rPr>
        <w:t>-187.6℃</w:t>
      </w:r>
      <w:r w:rsidRPr="008A2411">
        <w:rPr>
          <w:rFonts w:ascii="Times New Roman"/>
          <w:color w:val="000000" w:themeColor="text1"/>
          <w:kern w:val="2"/>
          <w:szCs w:val="24"/>
        </w:rPr>
        <w:t>，沸点为</w:t>
      </w:r>
      <w:r w:rsidRPr="008A2411">
        <w:rPr>
          <w:rFonts w:ascii="Times New Roman"/>
          <w:color w:val="000000" w:themeColor="text1"/>
          <w:kern w:val="2"/>
          <w:szCs w:val="24"/>
        </w:rPr>
        <w:t>-42.1℃</w:t>
      </w:r>
      <w:r w:rsidRPr="008A2411">
        <w:rPr>
          <w:rFonts w:ascii="Times New Roman"/>
          <w:color w:val="000000" w:themeColor="text1"/>
          <w:kern w:val="2"/>
          <w:szCs w:val="24"/>
        </w:rPr>
        <w:t>，相对密度为</w:t>
      </w:r>
      <w:r w:rsidRPr="008A2411">
        <w:rPr>
          <w:rFonts w:ascii="Times New Roman"/>
          <w:color w:val="000000" w:themeColor="text1"/>
          <w:kern w:val="2"/>
          <w:szCs w:val="24"/>
        </w:rPr>
        <w:t>0.58</w:t>
      </w:r>
      <w:r w:rsidRPr="008A2411">
        <w:rPr>
          <w:rFonts w:ascii="Times New Roman"/>
          <w:color w:val="000000" w:themeColor="text1"/>
          <w:kern w:val="2"/>
          <w:szCs w:val="24"/>
        </w:rPr>
        <w:t>，饱和蒸汽压</w:t>
      </w:r>
      <w:r w:rsidRPr="008A2411">
        <w:rPr>
          <w:rFonts w:ascii="Times New Roman"/>
          <w:color w:val="000000" w:themeColor="text1"/>
          <w:kern w:val="2"/>
          <w:szCs w:val="24"/>
        </w:rPr>
        <w:t>53.32kpa(-55.6℃)</w:t>
      </w:r>
      <w:r w:rsidRPr="008A2411">
        <w:rPr>
          <w:rFonts w:ascii="Times New Roman"/>
          <w:color w:val="000000" w:themeColor="text1"/>
          <w:kern w:val="2"/>
          <w:szCs w:val="24"/>
        </w:rPr>
        <w:t>，闪点</w:t>
      </w:r>
      <w:r w:rsidRPr="008A2411">
        <w:rPr>
          <w:rFonts w:ascii="Times New Roman"/>
          <w:color w:val="000000" w:themeColor="text1"/>
          <w:kern w:val="2"/>
          <w:szCs w:val="24"/>
        </w:rPr>
        <w:t>-104℃</w:t>
      </w:r>
      <w:r w:rsidRPr="008A2411">
        <w:rPr>
          <w:rFonts w:ascii="Times New Roman"/>
          <w:color w:val="000000" w:themeColor="text1"/>
          <w:kern w:val="2"/>
          <w:szCs w:val="24"/>
        </w:rPr>
        <w:t>，爆炸限值</w:t>
      </w:r>
      <w:r w:rsidRPr="008A2411">
        <w:rPr>
          <w:rFonts w:ascii="Times New Roman"/>
          <w:color w:val="000000" w:themeColor="text1"/>
          <w:kern w:val="2"/>
          <w:szCs w:val="24"/>
        </w:rPr>
        <w:t>2.1</w:t>
      </w:r>
      <w:r w:rsidRPr="008A2411">
        <w:rPr>
          <w:rFonts w:ascii="Times New Roman"/>
          <w:color w:val="000000" w:themeColor="text1"/>
          <w:kern w:val="2"/>
          <w:szCs w:val="24"/>
        </w:rPr>
        <w:t>～</w:t>
      </w:r>
      <w:r w:rsidRPr="008A2411">
        <w:rPr>
          <w:rFonts w:ascii="Times New Roman"/>
          <w:color w:val="000000" w:themeColor="text1"/>
          <w:kern w:val="2"/>
          <w:szCs w:val="24"/>
        </w:rPr>
        <w:t>9.5%</w:t>
      </w:r>
      <w:r w:rsidRPr="008A2411">
        <w:rPr>
          <w:rFonts w:ascii="Times New Roman"/>
          <w:color w:val="000000" w:themeColor="text1"/>
          <w:kern w:val="2"/>
          <w:szCs w:val="24"/>
        </w:rPr>
        <w:t>（</w:t>
      </w:r>
      <w:r w:rsidRPr="008A2411">
        <w:rPr>
          <w:rFonts w:ascii="Times New Roman"/>
          <w:color w:val="000000" w:themeColor="text1"/>
          <w:kern w:val="2"/>
          <w:szCs w:val="24"/>
        </w:rPr>
        <w:t>V/V</w:t>
      </w:r>
      <w:r w:rsidRPr="008A2411">
        <w:rPr>
          <w:rFonts w:ascii="Times New Roman"/>
          <w:color w:val="000000" w:themeColor="text1"/>
          <w:kern w:val="2"/>
          <w:szCs w:val="24"/>
        </w:rPr>
        <w:t>），微溶于水，溶于乙醇、乙醚。本品有单纯性窒息及麻醉作用，人短暂接触</w:t>
      </w:r>
      <w:r w:rsidRPr="008A2411">
        <w:rPr>
          <w:rFonts w:ascii="Times New Roman"/>
          <w:color w:val="000000" w:themeColor="text1"/>
          <w:kern w:val="2"/>
          <w:szCs w:val="24"/>
        </w:rPr>
        <w:t xml:space="preserve"> 1%</w:t>
      </w:r>
      <w:r w:rsidRPr="008A2411">
        <w:rPr>
          <w:rFonts w:ascii="Times New Roman"/>
          <w:color w:val="000000" w:themeColor="text1"/>
          <w:kern w:val="2"/>
          <w:szCs w:val="24"/>
        </w:rPr>
        <w:t>以下丙烷，不引起症状。本品易燃。</w:t>
      </w:r>
    </w:p>
    <w:p w14:paraId="12039034" w14:textId="77777777" w:rsidR="00B0005F" w:rsidRPr="008A2411" w:rsidRDefault="00000000">
      <w:pPr>
        <w:adjustRightInd w:val="0"/>
        <w:snapToGrid w:val="0"/>
        <w:spacing w:line="360" w:lineRule="auto"/>
        <w:ind w:firstLineChars="200" w:firstLine="480"/>
        <w:rPr>
          <w:rFonts w:ascii="Times New Roman"/>
          <w:color w:val="000000" w:themeColor="text1"/>
          <w:kern w:val="2"/>
          <w:szCs w:val="24"/>
        </w:rPr>
      </w:pPr>
      <w:r w:rsidRPr="008A2411">
        <w:rPr>
          <w:rFonts w:ascii="Times New Roman"/>
          <w:color w:val="000000" w:themeColor="text1"/>
          <w:kern w:val="2"/>
          <w:szCs w:val="24"/>
        </w:rPr>
        <w:t>②</w:t>
      </w:r>
      <w:r w:rsidRPr="008A2411">
        <w:rPr>
          <w:rFonts w:ascii="Times New Roman"/>
          <w:color w:val="000000" w:themeColor="text1"/>
          <w:kern w:val="2"/>
          <w:szCs w:val="24"/>
        </w:rPr>
        <w:t>乙烯</w:t>
      </w:r>
    </w:p>
    <w:p w14:paraId="2DBFC6CD" w14:textId="77777777" w:rsidR="00B0005F" w:rsidRPr="008A2411" w:rsidRDefault="00000000">
      <w:pPr>
        <w:adjustRightInd w:val="0"/>
        <w:snapToGrid w:val="0"/>
        <w:spacing w:line="360" w:lineRule="auto"/>
        <w:ind w:firstLineChars="200" w:firstLine="480"/>
        <w:rPr>
          <w:rFonts w:ascii="Times New Roman"/>
          <w:color w:val="000000" w:themeColor="text1"/>
          <w:kern w:val="2"/>
          <w:szCs w:val="24"/>
        </w:rPr>
      </w:pPr>
      <w:r w:rsidRPr="008A2411">
        <w:rPr>
          <w:rFonts w:ascii="Times New Roman"/>
          <w:color w:val="000000" w:themeColor="text1"/>
          <w:kern w:val="2"/>
          <w:szCs w:val="24"/>
        </w:rPr>
        <w:t>乙烯为无色气体，略具烃类特殊臭味，分子量为</w:t>
      </w:r>
      <w:r w:rsidRPr="008A2411">
        <w:rPr>
          <w:rFonts w:ascii="Times New Roman"/>
          <w:color w:val="000000" w:themeColor="text1"/>
          <w:kern w:val="2"/>
          <w:szCs w:val="24"/>
        </w:rPr>
        <w:t>28</w:t>
      </w:r>
      <w:r w:rsidRPr="008A2411">
        <w:rPr>
          <w:rFonts w:ascii="Times New Roman"/>
          <w:color w:val="000000" w:themeColor="text1"/>
          <w:kern w:val="2"/>
          <w:szCs w:val="24"/>
        </w:rPr>
        <w:t>，熔点为</w:t>
      </w:r>
      <w:r w:rsidRPr="008A2411">
        <w:rPr>
          <w:rFonts w:ascii="Times New Roman"/>
          <w:color w:val="000000" w:themeColor="text1"/>
          <w:kern w:val="2"/>
          <w:szCs w:val="24"/>
        </w:rPr>
        <w:t>-169.4℃</w:t>
      </w:r>
      <w:r w:rsidRPr="008A2411">
        <w:rPr>
          <w:rFonts w:ascii="Times New Roman"/>
          <w:color w:val="000000" w:themeColor="text1"/>
          <w:kern w:val="2"/>
          <w:szCs w:val="24"/>
        </w:rPr>
        <w:t>，沸点为</w:t>
      </w:r>
      <w:r w:rsidRPr="008A2411">
        <w:rPr>
          <w:rFonts w:ascii="Times New Roman"/>
          <w:color w:val="000000" w:themeColor="text1"/>
          <w:kern w:val="2"/>
          <w:szCs w:val="24"/>
        </w:rPr>
        <w:t>-103.9℃</w:t>
      </w:r>
      <w:r w:rsidRPr="008A2411">
        <w:rPr>
          <w:rFonts w:ascii="Times New Roman"/>
          <w:color w:val="000000" w:themeColor="text1"/>
          <w:kern w:val="2"/>
          <w:szCs w:val="24"/>
        </w:rPr>
        <w:t>，相对密度</w:t>
      </w:r>
      <w:r w:rsidRPr="008A2411">
        <w:rPr>
          <w:rFonts w:ascii="Times New Roman"/>
          <w:color w:val="000000" w:themeColor="text1"/>
          <w:kern w:val="2"/>
          <w:szCs w:val="24"/>
        </w:rPr>
        <w:t>0.61</w:t>
      </w:r>
      <w:r w:rsidRPr="008A2411">
        <w:rPr>
          <w:rFonts w:ascii="Times New Roman"/>
          <w:color w:val="000000" w:themeColor="text1"/>
          <w:kern w:val="2"/>
          <w:szCs w:val="24"/>
        </w:rPr>
        <w:t>，饱和蒸汽压为</w:t>
      </w:r>
      <w:r w:rsidRPr="008A2411">
        <w:rPr>
          <w:rFonts w:ascii="Times New Roman"/>
          <w:color w:val="000000" w:themeColor="text1"/>
          <w:kern w:val="2"/>
          <w:szCs w:val="24"/>
        </w:rPr>
        <w:t xml:space="preserve">4083 </w:t>
      </w:r>
      <w:proofErr w:type="spellStart"/>
      <w:r w:rsidRPr="008A2411">
        <w:rPr>
          <w:rFonts w:ascii="Times New Roman"/>
          <w:color w:val="000000" w:themeColor="text1"/>
          <w:kern w:val="2"/>
          <w:szCs w:val="24"/>
        </w:rPr>
        <w:t>kpa</w:t>
      </w:r>
      <w:proofErr w:type="spellEnd"/>
      <w:r w:rsidRPr="008A2411">
        <w:rPr>
          <w:rFonts w:ascii="Times New Roman"/>
          <w:color w:val="000000" w:themeColor="text1"/>
          <w:kern w:val="2"/>
          <w:szCs w:val="24"/>
        </w:rPr>
        <w:t xml:space="preserve"> </w:t>
      </w:r>
      <w:r w:rsidRPr="008A2411">
        <w:rPr>
          <w:rFonts w:ascii="Times New Roman"/>
          <w:color w:val="000000" w:themeColor="text1"/>
          <w:kern w:val="2"/>
          <w:szCs w:val="24"/>
        </w:rPr>
        <w:t>（</w:t>
      </w:r>
      <w:r w:rsidRPr="008A2411">
        <w:rPr>
          <w:rFonts w:ascii="Times New Roman"/>
          <w:color w:val="000000" w:themeColor="text1"/>
          <w:kern w:val="2"/>
          <w:szCs w:val="24"/>
        </w:rPr>
        <w:t>0℃</w:t>
      </w:r>
      <w:r w:rsidRPr="008A2411">
        <w:rPr>
          <w:rFonts w:ascii="Times New Roman"/>
          <w:color w:val="000000" w:themeColor="text1"/>
          <w:kern w:val="2"/>
          <w:szCs w:val="24"/>
        </w:rPr>
        <w:t>）。具有较强的麻醉作用。本品易燃。</w:t>
      </w:r>
    </w:p>
    <w:p w14:paraId="313A6AE2" w14:textId="77777777" w:rsidR="00B0005F" w:rsidRPr="008A2411" w:rsidRDefault="00000000">
      <w:pPr>
        <w:adjustRightInd w:val="0"/>
        <w:snapToGrid w:val="0"/>
        <w:spacing w:line="360" w:lineRule="auto"/>
        <w:ind w:firstLineChars="200" w:firstLine="480"/>
        <w:rPr>
          <w:rFonts w:ascii="Times New Roman"/>
          <w:color w:val="000000" w:themeColor="text1"/>
          <w:kern w:val="2"/>
          <w:szCs w:val="24"/>
        </w:rPr>
      </w:pPr>
      <w:r w:rsidRPr="008A2411">
        <w:rPr>
          <w:rFonts w:ascii="Times New Roman"/>
          <w:color w:val="000000" w:themeColor="text1"/>
          <w:kern w:val="2"/>
          <w:szCs w:val="24"/>
        </w:rPr>
        <w:t>③</w:t>
      </w:r>
      <w:r w:rsidRPr="008A2411">
        <w:rPr>
          <w:rFonts w:ascii="Times New Roman"/>
          <w:color w:val="000000" w:themeColor="text1"/>
          <w:kern w:val="2"/>
          <w:szCs w:val="24"/>
        </w:rPr>
        <w:t>异戊烷</w:t>
      </w:r>
    </w:p>
    <w:p w14:paraId="292333B9" w14:textId="77777777" w:rsidR="00B0005F" w:rsidRPr="008A2411" w:rsidRDefault="00000000">
      <w:pPr>
        <w:adjustRightInd w:val="0"/>
        <w:snapToGrid w:val="0"/>
        <w:spacing w:line="360" w:lineRule="auto"/>
        <w:ind w:firstLineChars="200" w:firstLine="480"/>
        <w:rPr>
          <w:rFonts w:ascii="Times New Roman"/>
          <w:color w:val="000000" w:themeColor="text1"/>
          <w:kern w:val="2"/>
          <w:szCs w:val="24"/>
        </w:rPr>
      </w:pPr>
      <w:r w:rsidRPr="008A2411">
        <w:rPr>
          <w:rFonts w:ascii="Times New Roman"/>
          <w:color w:val="000000" w:themeColor="text1"/>
          <w:kern w:val="2"/>
          <w:szCs w:val="24"/>
        </w:rPr>
        <w:lastRenderedPageBreak/>
        <w:t>异戊烷又名</w:t>
      </w:r>
      <w:r w:rsidRPr="008A2411">
        <w:rPr>
          <w:rFonts w:ascii="Times New Roman"/>
          <w:color w:val="000000" w:themeColor="text1"/>
          <w:kern w:val="2"/>
          <w:szCs w:val="24"/>
        </w:rPr>
        <w:t>2-</w:t>
      </w:r>
      <w:r w:rsidRPr="008A2411">
        <w:rPr>
          <w:rFonts w:ascii="Times New Roman"/>
          <w:color w:val="000000" w:themeColor="text1"/>
          <w:kern w:val="2"/>
          <w:szCs w:val="24"/>
        </w:rPr>
        <w:t>甲基丁烷，分子量为</w:t>
      </w:r>
      <w:r w:rsidRPr="008A2411">
        <w:rPr>
          <w:rFonts w:ascii="Times New Roman"/>
          <w:color w:val="000000" w:themeColor="text1"/>
          <w:kern w:val="2"/>
          <w:szCs w:val="24"/>
        </w:rPr>
        <w:t>72</w:t>
      </w:r>
      <w:r w:rsidRPr="008A2411">
        <w:rPr>
          <w:rFonts w:ascii="Times New Roman"/>
          <w:color w:val="000000" w:themeColor="text1"/>
          <w:kern w:val="2"/>
          <w:szCs w:val="24"/>
        </w:rPr>
        <w:t>。本品无色透明的易挥发液体，有令人愉快的芳香气味，熔点</w:t>
      </w:r>
      <w:r w:rsidRPr="008A2411">
        <w:rPr>
          <w:rFonts w:ascii="Times New Roman"/>
          <w:color w:val="000000" w:themeColor="text1"/>
          <w:kern w:val="2"/>
          <w:szCs w:val="24"/>
        </w:rPr>
        <w:t>-159.4℃</w:t>
      </w:r>
      <w:r w:rsidRPr="008A2411">
        <w:rPr>
          <w:rFonts w:ascii="Times New Roman"/>
          <w:color w:val="000000" w:themeColor="text1"/>
          <w:kern w:val="2"/>
          <w:szCs w:val="24"/>
        </w:rPr>
        <w:t>，沸点</w:t>
      </w:r>
      <w:r w:rsidRPr="008A2411">
        <w:rPr>
          <w:rFonts w:ascii="Times New Roman"/>
          <w:color w:val="000000" w:themeColor="text1"/>
          <w:kern w:val="2"/>
          <w:szCs w:val="24"/>
        </w:rPr>
        <w:t>27.8℃</w:t>
      </w:r>
      <w:r w:rsidRPr="008A2411">
        <w:rPr>
          <w:rFonts w:ascii="Times New Roman"/>
          <w:color w:val="000000" w:themeColor="text1"/>
          <w:kern w:val="2"/>
          <w:szCs w:val="24"/>
        </w:rPr>
        <w:t>，相对密度</w:t>
      </w:r>
      <w:r w:rsidRPr="008A2411">
        <w:rPr>
          <w:rFonts w:ascii="Times New Roman"/>
          <w:color w:val="000000" w:themeColor="text1"/>
          <w:kern w:val="2"/>
          <w:szCs w:val="24"/>
        </w:rPr>
        <w:t>0.62</w:t>
      </w:r>
      <w:r w:rsidRPr="008A2411">
        <w:rPr>
          <w:rFonts w:ascii="Times New Roman"/>
          <w:color w:val="000000" w:themeColor="text1"/>
          <w:kern w:val="2"/>
          <w:szCs w:val="24"/>
        </w:rPr>
        <w:t>，饱和蒸汽压</w:t>
      </w:r>
      <w:r w:rsidRPr="008A2411">
        <w:rPr>
          <w:rFonts w:ascii="Times New Roman"/>
          <w:color w:val="000000" w:themeColor="text1"/>
          <w:kern w:val="2"/>
          <w:szCs w:val="24"/>
        </w:rPr>
        <w:t>79.31kpa</w:t>
      </w:r>
      <w:r w:rsidRPr="008A2411">
        <w:rPr>
          <w:rFonts w:ascii="Times New Roman"/>
          <w:color w:val="000000" w:themeColor="text1"/>
          <w:kern w:val="2"/>
          <w:szCs w:val="24"/>
        </w:rPr>
        <w:t>（</w:t>
      </w:r>
      <w:r w:rsidRPr="008A2411">
        <w:rPr>
          <w:rFonts w:ascii="Times New Roman"/>
          <w:color w:val="000000" w:themeColor="text1"/>
          <w:kern w:val="2"/>
          <w:szCs w:val="24"/>
        </w:rPr>
        <w:t>21.1℃</w:t>
      </w:r>
      <w:r w:rsidRPr="008A2411">
        <w:rPr>
          <w:rFonts w:ascii="Times New Roman"/>
          <w:color w:val="000000" w:themeColor="text1"/>
          <w:kern w:val="2"/>
          <w:szCs w:val="24"/>
        </w:rPr>
        <w:t>），闪点</w:t>
      </w:r>
      <w:r w:rsidRPr="008A2411">
        <w:rPr>
          <w:rFonts w:ascii="Times New Roman"/>
          <w:color w:val="000000" w:themeColor="text1"/>
          <w:kern w:val="2"/>
          <w:szCs w:val="24"/>
        </w:rPr>
        <w:t>-56℃</w:t>
      </w:r>
      <w:r w:rsidRPr="008A2411">
        <w:rPr>
          <w:rFonts w:ascii="Times New Roman"/>
          <w:color w:val="000000" w:themeColor="text1"/>
          <w:kern w:val="2"/>
          <w:szCs w:val="24"/>
        </w:rPr>
        <w:t>，爆炸上限</w:t>
      </w:r>
      <w:r w:rsidRPr="008A2411">
        <w:rPr>
          <w:rFonts w:ascii="Times New Roman"/>
          <w:color w:val="000000" w:themeColor="text1"/>
          <w:kern w:val="2"/>
          <w:szCs w:val="24"/>
        </w:rPr>
        <w:t>7.6%</w:t>
      </w:r>
      <w:r w:rsidRPr="008A2411">
        <w:rPr>
          <w:rFonts w:ascii="Times New Roman"/>
          <w:color w:val="000000" w:themeColor="text1"/>
          <w:kern w:val="2"/>
          <w:szCs w:val="24"/>
        </w:rPr>
        <w:t>（</w:t>
      </w:r>
      <w:r w:rsidRPr="008A2411">
        <w:rPr>
          <w:rFonts w:ascii="Times New Roman"/>
          <w:color w:val="000000" w:themeColor="text1"/>
          <w:kern w:val="2"/>
          <w:szCs w:val="24"/>
        </w:rPr>
        <w:t>V/V</w:t>
      </w:r>
      <w:r w:rsidRPr="008A2411">
        <w:rPr>
          <w:rFonts w:ascii="Times New Roman"/>
          <w:color w:val="000000" w:themeColor="text1"/>
          <w:kern w:val="2"/>
          <w:szCs w:val="24"/>
        </w:rPr>
        <w:t>），爆炸下限</w:t>
      </w:r>
      <w:r w:rsidRPr="008A2411">
        <w:rPr>
          <w:rFonts w:ascii="Times New Roman"/>
          <w:color w:val="000000" w:themeColor="text1"/>
          <w:kern w:val="2"/>
          <w:szCs w:val="24"/>
        </w:rPr>
        <w:t>1.4%</w:t>
      </w:r>
      <w:r w:rsidRPr="008A2411">
        <w:rPr>
          <w:rFonts w:ascii="Times New Roman"/>
          <w:color w:val="000000" w:themeColor="text1"/>
          <w:kern w:val="2"/>
          <w:szCs w:val="24"/>
        </w:rPr>
        <w:t>（</w:t>
      </w:r>
      <w:r w:rsidRPr="008A2411">
        <w:rPr>
          <w:rFonts w:ascii="Times New Roman"/>
          <w:color w:val="000000" w:themeColor="text1"/>
          <w:kern w:val="2"/>
          <w:szCs w:val="24"/>
        </w:rPr>
        <w:t>V/V</w:t>
      </w:r>
      <w:r w:rsidRPr="008A2411">
        <w:rPr>
          <w:rFonts w:ascii="Times New Roman"/>
          <w:color w:val="000000" w:themeColor="text1"/>
          <w:kern w:val="2"/>
          <w:szCs w:val="24"/>
        </w:rPr>
        <w:t>）。不溶于水，可混溶于乙醇、乙醚等多数有机溶剂。主要有麻醉及轻度刺激作用，</w:t>
      </w:r>
      <w:r w:rsidRPr="008A2411">
        <w:rPr>
          <w:rFonts w:ascii="Times New Roman"/>
          <w:color w:val="000000" w:themeColor="text1"/>
          <w:kern w:val="2"/>
          <w:szCs w:val="24"/>
        </w:rPr>
        <w:t>LC</w:t>
      </w:r>
      <w:r w:rsidRPr="008A2411">
        <w:rPr>
          <w:rFonts w:ascii="Times New Roman"/>
          <w:color w:val="000000" w:themeColor="text1"/>
          <w:kern w:val="2"/>
          <w:szCs w:val="24"/>
          <w:vertAlign w:val="subscript"/>
        </w:rPr>
        <w:t>50</w:t>
      </w:r>
      <w:r w:rsidRPr="008A2411">
        <w:rPr>
          <w:rFonts w:ascii="Times New Roman"/>
          <w:color w:val="000000" w:themeColor="text1"/>
          <w:kern w:val="2"/>
          <w:szCs w:val="24"/>
        </w:rPr>
        <w:t>为</w:t>
      </w:r>
      <w:r w:rsidRPr="008A2411">
        <w:rPr>
          <w:rFonts w:ascii="Times New Roman"/>
          <w:color w:val="000000" w:themeColor="text1"/>
          <w:kern w:val="2"/>
          <w:szCs w:val="24"/>
        </w:rPr>
        <w:t>1000mg/m</w:t>
      </w:r>
      <w:r w:rsidRPr="008A2411">
        <w:rPr>
          <w:rFonts w:ascii="Times New Roman"/>
          <w:color w:val="000000" w:themeColor="text1"/>
          <w:kern w:val="2"/>
          <w:szCs w:val="24"/>
          <w:vertAlign w:val="superscript"/>
        </w:rPr>
        <w:t>3</w:t>
      </w:r>
      <w:r w:rsidRPr="008A2411">
        <w:rPr>
          <w:rFonts w:ascii="Times New Roman"/>
          <w:color w:val="000000" w:themeColor="text1"/>
          <w:kern w:val="2"/>
          <w:szCs w:val="24"/>
        </w:rPr>
        <w:t>（小鼠吸入）。</w:t>
      </w:r>
    </w:p>
    <w:p w14:paraId="46840EF5" w14:textId="77777777" w:rsidR="00B0005F" w:rsidRPr="008A2411" w:rsidRDefault="00000000">
      <w:pPr>
        <w:adjustRightInd w:val="0"/>
        <w:snapToGrid w:val="0"/>
        <w:spacing w:line="360" w:lineRule="auto"/>
        <w:ind w:firstLineChars="200" w:firstLine="480"/>
        <w:rPr>
          <w:rFonts w:ascii="Times New Roman"/>
          <w:color w:val="000000" w:themeColor="text1"/>
          <w:kern w:val="2"/>
          <w:szCs w:val="24"/>
        </w:rPr>
      </w:pPr>
      <w:r w:rsidRPr="008A2411">
        <w:rPr>
          <w:rFonts w:ascii="Times New Roman"/>
          <w:color w:val="000000" w:themeColor="text1"/>
          <w:kern w:val="2"/>
          <w:szCs w:val="24"/>
        </w:rPr>
        <w:t>④</w:t>
      </w:r>
      <w:r w:rsidRPr="008A2411">
        <w:rPr>
          <w:rFonts w:ascii="Times New Roman"/>
          <w:color w:val="000000" w:themeColor="text1"/>
          <w:kern w:val="2"/>
          <w:szCs w:val="24"/>
        </w:rPr>
        <w:t>液氮</w:t>
      </w:r>
    </w:p>
    <w:p w14:paraId="533EA32C" w14:textId="77777777" w:rsidR="00B0005F" w:rsidRPr="008A2411" w:rsidRDefault="00000000">
      <w:pPr>
        <w:autoSpaceDE w:val="0"/>
        <w:autoSpaceDN w:val="0"/>
        <w:adjustRightInd w:val="0"/>
        <w:snapToGrid w:val="0"/>
        <w:spacing w:line="360" w:lineRule="auto"/>
        <w:ind w:firstLine="482"/>
        <w:jc w:val="left"/>
        <w:rPr>
          <w:rFonts w:ascii="Times New Roman"/>
          <w:color w:val="000000" w:themeColor="text1"/>
          <w:kern w:val="2"/>
          <w:szCs w:val="24"/>
        </w:rPr>
      </w:pPr>
      <w:r w:rsidRPr="008A2411">
        <w:rPr>
          <w:rFonts w:ascii="Times New Roman"/>
          <w:color w:val="000000" w:themeColor="text1"/>
          <w:kern w:val="2"/>
          <w:szCs w:val="24"/>
        </w:rPr>
        <w:t>液态氮是惰性的，无色，无嗅，无腐蚀性，不可燃，温度极低。密度</w:t>
      </w:r>
      <w:r w:rsidRPr="008A2411">
        <w:rPr>
          <w:rFonts w:ascii="Times New Roman"/>
          <w:color w:val="000000" w:themeColor="text1"/>
          <w:kern w:val="2"/>
          <w:szCs w:val="24"/>
        </w:rPr>
        <w:t>1.25kg/m</w:t>
      </w:r>
      <w:r w:rsidRPr="008A2411">
        <w:rPr>
          <w:rFonts w:ascii="Times New Roman"/>
          <w:color w:val="000000" w:themeColor="text1"/>
          <w:kern w:val="2"/>
          <w:szCs w:val="24"/>
          <w:vertAlign w:val="superscript"/>
        </w:rPr>
        <w:t>3</w:t>
      </w:r>
      <w:r w:rsidRPr="008A2411">
        <w:rPr>
          <w:rFonts w:ascii="Times New Roman"/>
          <w:color w:val="000000" w:themeColor="text1"/>
          <w:kern w:val="2"/>
          <w:szCs w:val="24"/>
        </w:rPr>
        <w:t>（</w:t>
      </w:r>
      <w:r w:rsidRPr="008A2411">
        <w:rPr>
          <w:rFonts w:ascii="Times New Roman"/>
          <w:color w:val="000000" w:themeColor="text1"/>
          <w:kern w:val="2"/>
          <w:szCs w:val="24"/>
        </w:rPr>
        <w:t>0℃</w:t>
      </w:r>
      <w:r w:rsidRPr="008A2411">
        <w:rPr>
          <w:rFonts w:ascii="Times New Roman"/>
          <w:color w:val="000000" w:themeColor="text1"/>
          <w:kern w:val="2"/>
          <w:szCs w:val="24"/>
        </w:rPr>
        <w:t>、气体）、</w:t>
      </w:r>
      <w:r w:rsidRPr="008A2411">
        <w:rPr>
          <w:rFonts w:ascii="Times New Roman"/>
          <w:color w:val="000000" w:themeColor="text1"/>
          <w:kern w:val="2"/>
          <w:szCs w:val="24"/>
        </w:rPr>
        <w:t>0.804kg/m</w:t>
      </w:r>
      <w:r w:rsidRPr="008A2411">
        <w:rPr>
          <w:rFonts w:ascii="Times New Roman"/>
          <w:color w:val="000000" w:themeColor="text1"/>
          <w:kern w:val="2"/>
          <w:szCs w:val="24"/>
          <w:vertAlign w:val="superscript"/>
        </w:rPr>
        <w:t>3</w:t>
      </w:r>
      <w:r w:rsidRPr="008A2411">
        <w:rPr>
          <w:rFonts w:ascii="Times New Roman"/>
          <w:color w:val="000000" w:themeColor="text1"/>
          <w:kern w:val="2"/>
          <w:szCs w:val="24"/>
        </w:rPr>
        <w:t xml:space="preserve"> (-183℃</w:t>
      </w:r>
      <w:r w:rsidRPr="008A2411">
        <w:rPr>
          <w:rFonts w:ascii="Times New Roman"/>
          <w:color w:val="000000" w:themeColor="text1"/>
          <w:kern w:val="2"/>
          <w:szCs w:val="24"/>
        </w:rPr>
        <w:t>、液体</w:t>
      </w:r>
      <w:r w:rsidRPr="008A2411">
        <w:rPr>
          <w:rFonts w:ascii="Times New Roman"/>
          <w:color w:val="000000" w:themeColor="text1"/>
          <w:kern w:val="2"/>
          <w:szCs w:val="24"/>
        </w:rPr>
        <w:t>)</w:t>
      </w:r>
      <w:r w:rsidRPr="008A2411">
        <w:rPr>
          <w:rFonts w:ascii="Times New Roman"/>
          <w:color w:val="000000" w:themeColor="text1"/>
          <w:kern w:val="2"/>
          <w:szCs w:val="24"/>
        </w:rPr>
        <w:t>熔点</w:t>
      </w:r>
      <w:r w:rsidRPr="008A2411">
        <w:rPr>
          <w:rFonts w:ascii="Times New Roman"/>
          <w:color w:val="000000" w:themeColor="text1"/>
          <w:kern w:val="2"/>
          <w:szCs w:val="24"/>
        </w:rPr>
        <w:t>-210℃</w:t>
      </w:r>
      <w:r w:rsidRPr="008A2411">
        <w:rPr>
          <w:rFonts w:ascii="Times New Roman"/>
          <w:color w:val="000000" w:themeColor="text1"/>
          <w:kern w:val="2"/>
          <w:szCs w:val="24"/>
        </w:rPr>
        <w:t>；沸点</w:t>
      </w:r>
      <w:r w:rsidRPr="008A2411">
        <w:rPr>
          <w:rFonts w:ascii="Times New Roman"/>
          <w:color w:val="000000" w:themeColor="text1"/>
          <w:kern w:val="2"/>
          <w:szCs w:val="24"/>
        </w:rPr>
        <w:t>-195.8℃</w:t>
      </w:r>
      <w:r w:rsidRPr="008A2411">
        <w:rPr>
          <w:rFonts w:ascii="Times New Roman"/>
          <w:color w:val="000000" w:themeColor="text1"/>
          <w:kern w:val="2"/>
          <w:szCs w:val="24"/>
        </w:rPr>
        <w:t>；临界温度</w:t>
      </w:r>
      <w:r w:rsidRPr="008A2411">
        <w:rPr>
          <w:rFonts w:ascii="Times New Roman"/>
          <w:color w:val="000000" w:themeColor="text1"/>
          <w:kern w:val="2"/>
          <w:szCs w:val="24"/>
        </w:rPr>
        <w:t>-147℃</w:t>
      </w:r>
      <w:r w:rsidRPr="008A2411">
        <w:rPr>
          <w:rFonts w:ascii="Times New Roman"/>
          <w:color w:val="000000" w:themeColor="text1"/>
          <w:kern w:val="2"/>
          <w:szCs w:val="24"/>
        </w:rPr>
        <w:t>；临界压力</w:t>
      </w:r>
      <w:r w:rsidRPr="008A2411">
        <w:rPr>
          <w:rFonts w:ascii="Times New Roman"/>
          <w:color w:val="000000" w:themeColor="text1"/>
          <w:kern w:val="2"/>
          <w:szCs w:val="24"/>
        </w:rPr>
        <w:t>3.39MPa</w:t>
      </w:r>
      <w:r w:rsidRPr="008A2411">
        <w:rPr>
          <w:rFonts w:ascii="Times New Roman"/>
          <w:color w:val="000000" w:themeColor="text1"/>
          <w:kern w:val="2"/>
          <w:szCs w:val="24"/>
        </w:rPr>
        <w:t>它是一种使人窒息的气体、液氮为低温会对人造成冻伤、不可与皮肤接触。</w:t>
      </w:r>
    </w:p>
    <w:p w14:paraId="2506A47B" w14:textId="77777777" w:rsidR="00B0005F" w:rsidRPr="008A2411" w:rsidRDefault="00000000">
      <w:pPr>
        <w:pStyle w:val="a9"/>
        <w:adjustRightInd w:val="0"/>
        <w:snapToGrid w:val="0"/>
        <w:spacing w:after="0" w:line="360" w:lineRule="auto"/>
        <w:ind w:firstLineChars="200" w:firstLine="480"/>
        <w:rPr>
          <w:rFonts w:ascii="Times New Roman"/>
          <w:color w:val="000000" w:themeColor="text1"/>
          <w:sz w:val="24"/>
        </w:rPr>
      </w:pPr>
      <w:r w:rsidRPr="008A2411">
        <w:rPr>
          <w:rFonts w:ascii="Times New Roman"/>
          <w:color w:val="000000" w:themeColor="text1"/>
          <w:sz w:val="24"/>
        </w:rPr>
        <w:t>项目涉及的主要化学品理化性质情况见下表</w:t>
      </w:r>
      <w:r w:rsidRPr="008A2411">
        <w:rPr>
          <w:rFonts w:ascii="Times New Roman"/>
          <w:color w:val="000000" w:themeColor="text1"/>
          <w:sz w:val="24"/>
        </w:rPr>
        <w:t>3.1-5</w:t>
      </w:r>
      <w:r w:rsidRPr="008A2411">
        <w:rPr>
          <w:rFonts w:ascii="Times New Roman"/>
          <w:color w:val="000000" w:themeColor="text1"/>
          <w:sz w:val="24"/>
        </w:rPr>
        <w:t>。</w:t>
      </w:r>
    </w:p>
    <w:p w14:paraId="0AE0BFD4" w14:textId="77777777" w:rsidR="00B0005F" w:rsidRPr="008A2411" w:rsidRDefault="00000000">
      <w:pPr>
        <w:autoSpaceDE w:val="0"/>
        <w:autoSpaceDN w:val="0"/>
        <w:adjustRightInd w:val="0"/>
        <w:snapToGrid w:val="0"/>
        <w:ind w:firstLine="482"/>
        <w:jc w:val="center"/>
        <w:rPr>
          <w:rFonts w:ascii="Times New Roman" w:eastAsia="黑体"/>
          <w:color w:val="000000" w:themeColor="text1"/>
          <w:szCs w:val="24"/>
        </w:rPr>
      </w:pPr>
      <w:r w:rsidRPr="008A2411">
        <w:rPr>
          <w:rFonts w:ascii="Times New Roman" w:eastAsia="黑体"/>
          <w:color w:val="000000" w:themeColor="text1"/>
          <w:szCs w:val="24"/>
        </w:rPr>
        <w:t>表</w:t>
      </w:r>
      <w:r w:rsidRPr="008A2411">
        <w:rPr>
          <w:rFonts w:ascii="Times New Roman" w:eastAsia="黑体"/>
          <w:color w:val="000000" w:themeColor="text1"/>
          <w:szCs w:val="24"/>
        </w:rPr>
        <w:t xml:space="preserve">3.1-5  </w:t>
      </w:r>
      <w:r w:rsidRPr="008A2411">
        <w:rPr>
          <w:rFonts w:ascii="Times New Roman" w:eastAsia="黑体"/>
          <w:color w:val="000000" w:themeColor="text1"/>
          <w:szCs w:val="24"/>
        </w:rPr>
        <w:t>项目涉及主要化学品理化性质一览表</w:t>
      </w:r>
    </w:p>
    <w:tbl>
      <w:tblPr>
        <w:tblW w:w="4998" w:type="pct"/>
        <w:tblBorders>
          <w:top w:val="single" w:sz="12" w:space="0" w:color="auto"/>
          <w:bottom w:val="single" w:sz="12" w:space="0" w:color="auto"/>
          <w:insideH w:val="single" w:sz="4" w:space="0" w:color="auto"/>
          <w:insideV w:val="single" w:sz="4" w:space="0" w:color="auto"/>
        </w:tblBorders>
        <w:tblLook w:val="04A0" w:firstRow="1" w:lastRow="0" w:firstColumn="1" w:lastColumn="0" w:noHBand="0" w:noVBand="1"/>
      </w:tblPr>
      <w:tblGrid>
        <w:gridCol w:w="703"/>
        <w:gridCol w:w="1400"/>
        <w:gridCol w:w="1625"/>
        <w:gridCol w:w="1496"/>
        <w:gridCol w:w="1508"/>
        <w:gridCol w:w="860"/>
        <w:gridCol w:w="927"/>
      </w:tblGrid>
      <w:tr w:rsidR="008A2411" w:rsidRPr="008A2411" w14:paraId="08BA788A" w14:textId="77777777">
        <w:trPr>
          <w:trHeight w:val="454"/>
        </w:trPr>
        <w:tc>
          <w:tcPr>
            <w:tcW w:w="412" w:type="pct"/>
            <w:tcBorders>
              <w:top w:val="single" w:sz="4" w:space="0" w:color="auto"/>
              <w:left w:val="single" w:sz="4" w:space="0" w:color="auto"/>
            </w:tcBorders>
            <w:vAlign w:val="center"/>
          </w:tcPr>
          <w:p w14:paraId="6B2BE3E2" w14:textId="77777777" w:rsidR="00B0005F" w:rsidRPr="008A2411" w:rsidRDefault="00000000">
            <w:pPr>
              <w:spacing w:line="240" w:lineRule="exact"/>
              <w:jc w:val="center"/>
              <w:rPr>
                <w:rFonts w:ascii="Times New Roman"/>
                <w:b/>
                <w:color w:val="000000" w:themeColor="text1"/>
                <w:sz w:val="21"/>
                <w:szCs w:val="21"/>
              </w:rPr>
            </w:pPr>
            <w:r w:rsidRPr="008A2411">
              <w:rPr>
                <w:rFonts w:ascii="Times New Roman"/>
                <w:b/>
                <w:color w:val="000000" w:themeColor="text1"/>
                <w:sz w:val="21"/>
                <w:szCs w:val="21"/>
              </w:rPr>
              <w:t>名称</w:t>
            </w:r>
          </w:p>
        </w:tc>
        <w:tc>
          <w:tcPr>
            <w:tcW w:w="821" w:type="pct"/>
            <w:tcBorders>
              <w:top w:val="single" w:sz="4" w:space="0" w:color="auto"/>
            </w:tcBorders>
            <w:vAlign w:val="center"/>
          </w:tcPr>
          <w:p w14:paraId="0DD233F7" w14:textId="77777777" w:rsidR="00B0005F" w:rsidRPr="008A2411" w:rsidRDefault="00000000">
            <w:pPr>
              <w:spacing w:line="240" w:lineRule="exact"/>
              <w:jc w:val="center"/>
              <w:rPr>
                <w:rFonts w:ascii="Times New Roman"/>
                <w:b/>
                <w:color w:val="000000" w:themeColor="text1"/>
                <w:sz w:val="21"/>
                <w:szCs w:val="21"/>
              </w:rPr>
            </w:pPr>
            <w:r w:rsidRPr="008A2411">
              <w:rPr>
                <w:rFonts w:ascii="Times New Roman"/>
                <w:b/>
                <w:color w:val="000000" w:themeColor="text1"/>
                <w:sz w:val="21"/>
                <w:szCs w:val="21"/>
              </w:rPr>
              <w:t>外观性状</w:t>
            </w:r>
          </w:p>
        </w:tc>
        <w:tc>
          <w:tcPr>
            <w:tcW w:w="953" w:type="pct"/>
            <w:tcBorders>
              <w:top w:val="single" w:sz="4" w:space="0" w:color="auto"/>
            </w:tcBorders>
            <w:vAlign w:val="center"/>
          </w:tcPr>
          <w:p w14:paraId="54203CB5" w14:textId="77777777" w:rsidR="00B0005F" w:rsidRPr="008A2411" w:rsidRDefault="00000000">
            <w:pPr>
              <w:spacing w:line="240" w:lineRule="exact"/>
              <w:jc w:val="center"/>
              <w:rPr>
                <w:rFonts w:ascii="Times New Roman"/>
                <w:b/>
                <w:color w:val="000000" w:themeColor="text1"/>
                <w:sz w:val="21"/>
                <w:szCs w:val="21"/>
              </w:rPr>
            </w:pPr>
            <w:r w:rsidRPr="008A2411">
              <w:rPr>
                <w:rFonts w:ascii="Times New Roman"/>
                <w:b/>
                <w:color w:val="000000" w:themeColor="text1"/>
                <w:sz w:val="21"/>
                <w:szCs w:val="21"/>
              </w:rPr>
              <w:t>熔点</w:t>
            </w:r>
            <w:r w:rsidRPr="008A2411">
              <w:rPr>
                <w:rFonts w:ascii="Times New Roman"/>
                <w:b/>
                <w:color w:val="000000" w:themeColor="text1"/>
                <w:sz w:val="21"/>
                <w:szCs w:val="21"/>
              </w:rPr>
              <w:t>/</w:t>
            </w:r>
            <w:r w:rsidRPr="008A2411">
              <w:rPr>
                <w:rFonts w:ascii="Times New Roman"/>
                <w:b/>
                <w:color w:val="000000" w:themeColor="text1"/>
                <w:sz w:val="21"/>
                <w:szCs w:val="21"/>
              </w:rPr>
              <w:t>沸点</w:t>
            </w:r>
            <w:r w:rsidRPr="008A2411">
              <w:rPr>
                <w:rFonts w:ascii="Times New Roman"/>
                <w:b/>
                <w:color w:val="000000" w:themeColor="text1"/>
                <w:sz w:val="21"/>
                <w:szCs w:val="21"/>
              </w:rPr>
              <w:t>(℃)</w:t>
            </w:r>
          </w:p>
        </w:tc>
        <w:tc>
          <w:tcPr>
            <w:tcW w:w="878" w:type="pct"/>
            <w:tcBorders>
              <w:top w:val="single" w:sz="4" w:space="0" w:color="auto"/>
            </w:tcBorders>
            <w:vAlign w:val="center"/>
          </w:tcPr>
          <w:p w14:paraId="73C5CB82" w14:textId="77777777" w:rsidR="00B0005F" w:rsidRPr="008A2411" w:rsidRDefault="00000000">
            <w:pPr>
              <w:spacing w:line="240" w:lineRule="exact"/>
              <w:jc w:val="center"/>
              <w:rPr>
                <w:rFonts w:ascii="Times New Roman"/>
                <w:b/>
                <w:color w:val="000000" w:themeColor="text1"/>
                <w:sz w:val="21"/>
                <w:szCs w:val="21"/>
              </w:rPr>
            </w:pPr>
            <w:r w:rsidRPr="008A2411">
              <w:rPr>
                <w:rFonts w:ascii="Times New Roman"/>
                <w:b/>
                <w:color w:val="000000" w:themeColor="text1"/>
                <w:sz w:val="21"/>
                <w:szCs w:val="21"/>
              </w:rPr>
              <w:t>溶解性</w:t>
            </w:r>
          </w:p>
        </w:tc>
        <w:tc>
          <w:tcPr>
            <w:tcW w:w="885" w:type="pct"/>
            <w:tcBorders>
              <w:top w:val="single" w:sz="4" w:space="0" w:color="auto"/>
            </w:tcBorders>
            <w:vAlign w:val="center"/>
          </w:tcPr>
          <w:p w14:paraId="061D3FAD" w14:textId="77777777" w:rsidR="00B0005F" w:rsidRPr="008A2411" w:rsidRDefault="00000000">
            <w:pPr>
              <w:spacing w:line="240" w:lineRule="exact"/>
              <w:jc w:val="center"/>
              <w:rPr>
                <w:rFonts w:ascii="Times New Roman"/>
                <w:b/>
                <w:color w:val="000000" w:themeColor="text1"/>
                <w:sz w:val="21"/>
                <w:szCs w:val="21"/>
              </w:rPr>
            </w:pPr>
            <w:r w:rsidRPr="008A2411">
              <w:rPr>
                <w:rFonts w:ascii="Times New Roman"/>
                <w:b/>
                <w:color w:val="000000" w:themeColor="text1"/>
                <w:sz w:val="21"/>
                <w:szCs w:val="21"/>
              </w:rPr>
              <w:t>密度</w:t>
            </w:r>
          </w:p>
        </w:tc>
        <w:tc>
          <w:tcPr>
            <w:tcW w:w="505" w:type="pct"/>
            <w:tcBorders>
              <w:top w:val="single" w:sz="4" w:space="0" w:color="auto"/>
            </w:tcBorders>
            <w:vAlign w:val="center"/>
          </w:tcPr>
          <w:p w14:paraId="2B2096A8" w14:textId="77777777" w:rsidR="00B0005F" w:rsidRPr="008A2411" w:rsidRDefault="00000000">
            <w:pPr>
              <w:spacing w:line="240" w:lineRule="exact"/>
              <w:jc w:val="center"/>
              <w:rPr>
                <w:rFonts w:ascii="Times New Roman"/>
                <w:b/>
                <w:color w:val="000000" w:themeColor="text1"/>
                <w:sz w:val="21"/>
                <w:szCs w:val="21"/>
              </w:rPr>
            </w:pPr>
            <w:r w:rsidRPr="008A2411">
              <w:rPr>
                <w:rFonts w:ascii="Times New Roman"/>
                <w:b/>
                <w:color w:val="000000" w:themeColor="text1"/>
                <w:sz w:val="21"/>
                <w:szCs w:val="21"/>
              </w:rPr>
              <w:t>爆炸极限</w:t>
            </w:r>
          </w:p>
        </w:tc>
        <w:tc>
          <w:tcPr>
            <w:tcW w:w="544" w:type="pct"/>
            <w:tcBorders>
              <w:top w:val="single" w:sz="4" w:space="0" w:color="auto"/>
              <w:right w:val="single" w:sz="4" w:space="0" w:color="auto"/>
            </w:tcBorders>
            <w:vAlign w:val="center"/>
          </w:tcPr>
          <w:p w14:paraId="1C407776" w14:textId="77777777" w:rsidR="00B0005F" w:rsidRPr="008A2411" w:rsidRDefault="00000000">
            <w:pPr>
              <w:spacing w:line="240" w:lineRule="exact"/>
              <w:jc w:val="center"/>
              <w:rPr>
                <w:rFonts w:ascii="Times New Roman"/>
                <w:b/>
                <w:color w:val="000000" w:themeColor="text1"/>
                <w:sz w:val="21"/>
                <w:szCs w:val="21"/>
              </w:rPr>
            </w:pPr>
            <w:r w:rsidRPr="008A2411">
              <w:rPr>
                <w:rFonts w:ascii="Times New Roman"/>
                <w:b/>
                <w:color w:val="000000" w:themeColor="text1"/>
                <w:sz w:val="21"/>
                <w:szCs w:val="21"/>
              </w:rPr>
              <w:t>燃烧性</w:t>
            </w:r>
            <w:r w:rsidRPr="008A2411">
              <w:rPr>
                <w:rFonts w:ascii="Times New Roman"/>
                <w:b/>
                <w:color w:val="000000" w:themeColor="text1"/>
                <w:sz w:val="21"/>
                <w:szCs w:val="21"/>
              </w:rPr>
              <w:t>/</w:t>
            </w:r>
          </w:p>
          <w:p w14:paraId="7033A7D5" w14:textId="77777777" w:rsidR="00B0005F" w:rsidRPr="008A2411" w:rsidRDefault="00000000">
            <w:pPr>
              <w:spacing w:line="240" w:lineRule="exact"/>
              <w:jc w:val="center"/>
              <w:rPr>
                <w:rFonts w:ascii="Times New Roman"/>
                <w:b/>
                <w:color w:val="000000" w:themeColor="text1"/>
                <w:sz w:val="21"/>
                <w:szCs w:val="21"/>
              </w:rPr>
            </w:pPr>
            <w:r w:rsidRPr="008A2411">
              <w:rPr>
                <w:rFonts w:ascii="Times New Roman"/>
                <w:b/>
                <w:color w:val="000000" w:themeColor="text1"/>
                <w:sz w:val="21"/>
                <w:szCs w:val="21"/>
              </w:rPr>
              <w:t>闪点</w:t>
            </w:r>
            <w:r w:rsidRPr="008A2411">
              <w:rPr>
                <w:rFonts w:ascii="Times New Roman"/>
                <w:b/>
                <w:color w:val="000000" w:themeColor="text1"/>
                <w:sz w:val="21"/>
                <w:szCs w:val="21"/>
              </w:rPr>
              <w:t>(℃)</w:t>
            </w:r>
          </w:p>
        </w:tc>
      </w:tr>
      <w:tr w:rsidR="008A2411" w:rsidRPr="008A2411" w14:paraId="13C7979B" w14:textId="77777777">
        <w:trPr>
          <w:trHeight w:val="454"/>
        </w:trPr>
        <w:tc>
          <w:tcPr>
            <w:tcW w:w="412" w:type="pct"/>
            <w:tcBorders>
              <w:left w:val="single" w:sz="4" w:space="0" w:color="auto"/>
            </w:tcBorders>
            <w:vAlign w:val="center"/>
          </w:tcPr>
          <w:p w14:paraId="74AEF7C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天然气</w:t>
            </w:r>
            <w:r w:rsidRPr="008A2411">
              <w:rPr>
                <w:rFonts w:ascii="Times New Roman"/>
                <w:color w:val="000000" w:themeColor="text1"/>
                <w:sz w:val="21"/>
                <w:szCs w:val="21"/>
              </w:rPr>
              <w:t>(</w:t>
            </w:r>
            <w:r w:rsidRPr="008A2411">
              <w:rPr>
                <w:rFonts w:ascii="Times New Roman"/>
                <w:color w:val="000000" w:themeColor="text1"/>
                <w:sz w:val="21"/>
                <w:szCs w:val="21"/>
              </w:rPr>
              <w:t>甲烷</w:t>
            </w:r>
            <w:r w:rsidRPr="008A2411">
              <w:rPr>
                <w:rFonts w:ascii="Times New Roman"/>
                <w:color w:val="000000" w:themeColor="text1"/>
                <w:sz w:val="21"/>
                <w:szCs w:val="21"/>
              </w:rPr>
              <w:t>)</w:t>
            </w:r>
          </w:p>
        </w:tc>
        <w:tc>
          <w:tcPr>
            <w:tcW w:w="821" w:type="pct"/>
            <w:vAlign w:val="center"/>
          </w:tcPr>
          <w:p w14:paraId="7765AA72"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lang w:val="zh-CN"/>
              </w:rPr>
              <w:t>无色无臭气体</w:t>
            </w:r>
          </w:p>
        </w:tc>
        <w:tc>
          <w:tcPr>
            <w:tcW w:w="953" w:type="pct"/>
            <w:vAlign w:val="center"/>
          </w:tcPr>
          <w:p w14:paraId="1248C72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lang w:val="zh-CN"/>
              </w:rPr>
              <w:t>-182.5/-161.5</w:t>
            </w:r>
          </w:p>
        </w:tc>
        <w:tc>
          <w:tcPr>
            <w:tcW w:w="878" w:type="pct"/>
            <w:vAlign w:val="center"/>
          </w:tcPr>
          <w:p w14:paraId="0D0C369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lang w:val="zh-CN"/>
              </w:rPr>
              <w:t>微溶于水、溶于醇、乙醚</w:t>
            </w:r>
          </w:p>
        </w:tc>
        <w:tc>
          <w:tcPr>
            <w:tcW w:w="885" w:type="pct"/>
            <w:vAlign w:val="center"/>
          </w:tcPr>
          <w:p w14:paraId="28975DDB"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lang w:val="zh-CN"/>
              </w:rPr>
              <w:t>水</w:t>
            </w:r>
            <w:r w:rsidRPr="008A2411">
              <w:rPr>
                <w:rFonts w:ascii="Times New Roman"/>
                <w:color w:val="000000" w:themeColor="text1"/>
                <w:sz w:val="21"/>
                <w:szCs w:val="21"/>
              </w:rPr>
              <w:t>：</w:t>
            </w:r>
            <w:r w:rsidRPr="008A2411">
              <w:rPr>
                <w:rFonts w:ascii="Times New Roman"/>
                <w:color w:val="000000" w:themeColor="text1"/>
                <w:sz w:val="21"/>
                <w:szCs w:val="21"/>
              </w:rPr>
              <w:t>0.42(-164℃)</w:t>
            </w:r>
          </w:p>
          <w:p w14:paraId="51F85EF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lang w:val="zh-CN"/>
              </w:rPr>
              <w:t>空气</w:t>
            </w:r>
            <w:r w:rsidRPr="008A2411">
              <w:rPr>
                <w:rFonts w:ascii="Times New Roman"/>
                <w:color w:val="000000" w:themeColor="text1"/>
                <w:sz w:val="21"/>
                <w:szCs w:val="21"/>
              </w:rPr>
              <w:t>0.55</w:t>
            </w:r>
          </w:p>
        </w:tc>
        <w:tc>
          <w:tcPr>
            <w:tcW w:w="505" w:type="pct"/>
            <w:vAlign w:val="center"/>
          </w:tcPr>
          <w:p w14:paraId="406023B7"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lang w:val="zh-CN"/>
              </w:rPr>
              <w:t>4.3</w:t>
            </w:r>
            <w:r w:rsidRPr="008A2411">
              <w:rPr>
                <w:rFonts w:ascii="Times New Roman"/>
                <w:color w:val="000000" w:themeColor="text1"/>
                <w:sz w:val="21"/>
                <w:szCs w:val="21"/>
                <w:lang w:val="zh-CN"/>
              </w:rPr>
              <w:t>～</w:t>
            </w:r>
            <w:r w:rsidRPr="008A2411">
              <w:rPr>
                <w:rFonts w:ascii="Times New Roman"/>
                <w:color w:val="000000" w:themeColor="text1"/>
                <w:sz w:val="21"/>
                <w:szCs w:val="21"/>
                <w:lang w:val="zh-CN"/>
              </w:rPr>
              <w:t>15%</w:t>
            </w:r>
          </w:p>
        </w:tc>
        <w:tc>
          <w:tcPr>
            <w:tcW w:w="544" w:type="pct"/>
            <w:tcBorders>
              <w:right w:val="single" w:sz="4" w:space="0" w:color="auto"/>
            </w:tcBorders>
            <w:vAlign w:val="center"/>
          </w:tcPr>
          <w:p w14:paraId="4346F23B"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lang w:val="zh-CN"/>
              </w:rPr>
              <w:t>易燃</w:t>
            </w:r>
            <w:r w:rsidRPr="008A2411">
              <w:rPr>
                <w:rFonts w:ascii="Times New Roman"/>
                <w:color w:val="000000" w:themeColor="text1"/>
                <w:sz w:val="21"/>
                <w:szCs w:val="21"/>
                <w:lang w:val="zh-CN"/>
              </w:rPr>
              <w:t>/-188</w:t>
            </w:r>
          </w:p>
        </w:tc>
      </w:tr>
      <w:tr w:rsidR="008A2411" w:rsidRPr="008A2411" w14:paraId="3782E2C4" w14:textId="77777777">
        <w:trPr>
          <w:trHeight w:val="454"/>
        </w:trPr>
        <w:tc>
          <w:tcPr>
            <w:tcW w:w="412" w:type="pct"/>
            <w:tcBorders>
              <w:left w:val="single" w:sz="4" w:space="0" w:color="auto"/>
            </w:tcBorders>
            <w:vAlign w:val="center"/>
          </w:tcPr>
          <w:p w14:paraId="6B0FC47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氮气</w:t>
            </w:r>
          </w:p>
        </w:tc>
        <w:tc>
          <w:tcPr>
            <w:tcW w:w="821" w:type="pct"/>
            <w:vAlign w:val="center"/>
          </w:tcPr>
          <w:p w14:paraId="56EFE03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lang w:val="zh-CN"/>
              </w:rPr>
              <w:t>无色无臭气味</w:t>
            </w:r>
          </w:p>
        </w:tc>
        <w:tc>
          <w:tcPr>
            <w:tcW w:w="953" w:type="pct"/>
            <w:vAlign w:val="center"/>
          </w:tcPr>
          <w:p w14:paraId="4B789A0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lang w:val="zh-CN"/>
              </w:rPr>
              <w:t>-209.8/-195.6</w:t>
            </w:r>
          </w:p>
        </w:tc>
        <w:tc>
          <w:tcPr>
            <w:tcW w:w="878" w:type="pct"/>
            <w:vAlign w:val="center"/>
          </w:tcPr>
          <w:p w14:paraId="6CBA03C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lang w:val="zh-CN"/>
              </w:rPr>
              <w:t>微溶于水、乙醇</w:t>
            </w:r>
          </w:p>
        </w:tc>
        <w:tc>
          <w:tcPr>
            <w:tcW w:w="885" w:type="pct"/>
            <w:vAlign w:val="center"/>
          </w:tcPr>
          <w:p w14:paraId="372F4E65" w14:textId="77777777" w:rsidR="00B0005F" w:rsidRPr="008A2411" w:rsidRDefault="00000000">
            <w:pPr>
              <w:jc w:val="center"/>
              <w:rPr>
                <w:rFonts w:ascii="Times New Roman"/>
                <w:color w:val="000000" w:themeColor="text1"/>
                <w:sz w:val="21"/>
                <w:szCs w:val="21"/>
                <w:lang w:val="zh-CN"/>
              </w:rPr>
            </w:pPr>
            <w:r w:rsidRPr="008A2411">
              <w:rPr>
                <w:rFonts w:ascii="Times New Roman"/>
                <w:color w:val="000000" w:themeColor="text1"/>
                <w:sz w:val="21"/>
                <w:szCs w:val="21"/>
                <w:lang w:val="zh-CN"/>
              </w:rPr>
              <w:t>水：</w:t>
            </w:r>
            <w:r w:rsidRPr="008A2411">
              <w:rPr>
                <w:rFonts w:ascii="Times New Roman"/>
                <w:color w:val="000000" w:themeColor="text1"/>
                <w:sz w:val="21"/>
                <w:szCs w:val="21"/>
                <w:lang w:val="zh-CN"/>
              </w:rPr>
              <w:t>0.81(-196℃)</w:t>
            </w:r>
          </w:p>
          <w:p w14:paraId="2CDF4A97"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lang w:val="zh-CN"/>
              </w:rPr>
              <w:t>空气：</w:t>
            </w:r>
            <w:r w:rsidRPr="008A2411">
              <w:rPr>
                <w:rFonts w:ascii="Times New Roman"/>
                <w:color w:val="000000" w:themeColor="text1"/>
                <w:sz w:val="21"/>
                <w:szCs w:val="21"/>
                <w:lang w:val="zh-CN"/>
              </w:rPr>
              <w:t>0.97</w:t>
            </w:r>
          </w:p>
        </w:tc>
        <w:tc>
          <w:tcPr>
            <w:tcW w:w="505" w:type="pct"/>
            <w:vAlign w:val="center"/>
          </w:tcPr>
          <w:p w14:paraId="0D3D4AC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w:t>
            </w:r>
          </w:p>
        </w:tc>
        <w:tc>
          <w:tcPr>
            <w:tcW w:w="544" w:type="pct"/>
            <w:tcBorders>
              <w:right w:val="single" w:sz="4" w:space="0" w:color="auto"/>
            </w:tcBorders>
            <w:vAlign w:val="center"/>
          </w:tcPr>
          <w:p w14:paraId="036AE94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不燃</w:t>
            </w:r>
          </w:p>
        </w:tc>
      </w:tr>
      <w:tr w:rsidR="008A2411" w:rsidRPr="008A2411" w14:paraId="39A20610" w14:textId="77777777">
        <w:trPr>
          <w:trHeight w:val="454"/>
        </w:trPr>
        <w:tc>
          <w:tcPr>
            <w:tcW w:w="412" w:type="pct"/>
            <w:tcBorders>
              <w:left w:val="single" w:sz="4" w:space="0" w:color="auto"/>
            </w:tcBorders>
            <w:vAlign w:val="center"/>
          </w:tcPr>
          <w:p w14:paraId="33423A9E"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lang w:val="zh-CN"/>
              </w:rPr>
              <w:t>二氧化碳</w:t>
            </w:r>
          </w:p>
        </w:tc>
        <w:tc>
          <w:tcPr>
            <w:tcW w:w="821" w:type="pct"/>
            <w:vAlign w:val="center"/>
          </w:tcPr>
          <w:p w14:paraId="0ECF88D5"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无色无臭气体</w:t>
            </w:r>
          </w:p>
        </w:tc>
        <w:tc>
          <w:tcPr>
            <w:tcW w:w="953" w:type="pct"/>
            <w:vAlign w:val="center"/>
          </w:tcPr>
          <w:p w14:paraId="4AC10727"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-56.6(527kPa)/</w:t>
            </w:r>
          </w:p>
          <w:p w14:paraId="6A3C50B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-78.5(</w:t>
            </w:r>
            <w:r w:rsidRPr="008A2411">
              <w:rPr>
                <w:rFonts w:ascii="Times New Roman"/>
                <w:color w:val="000000" w:themeColor="text1"/>
                <w:sz w:val="21"/>
                <w:szCs w:val="21"/>
              </w:rPr>
              <w:t>升华</w:t>
            </w:r>
            <w:r w:rsidRPr="008A2411">
              <w:rPr>
                <w:rFonts w:ascii="Times New Roman"/>
                <w:color w:val="000000" w:themeColor="text1"/>
                <w:sz w:val="21"/>
                <w:szCs w:val="21"/>
              </w:rPr>
              <w:t>)</w:t>
            </w:r>
          </w:p>
        </w:tc>
        <w:tc>
          <w:tcPr>
            <w:tcW w:w="878" w:type="pct"/>
            <w:vAlign w:val="center"/>
          </w:tcPr>
          <w:p w14:paraId="26F1456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溶于水、烃类等多数有机溶剂</w:t>
            </w:r>
          </w:p>
        </w:tc>
        <w:tc>
          <w:tcPr>
            <w:tcW w:w="885" w:type="pct"/>
            <w:vAlign w:val="center"/>
          </w:tcPr>
          <w:p w14:paraId="10FFB6B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水：</w:t>
            </w:r>
            <w:r w:rsidRPr="008A2411">
              <w:rPr>
                <w:rFonts w:ascii="Times New Roman"/>
                <w:color w:val="000000" w:themeColor="text1"/>
                <w:sz w:val="21"/>
                <w:szCs w:val="21"/>
              </w:rPr>
              <w:t>1.56(-79℃)</w:t>
            </w:r>
          </w:p>
          <w:p w14:paraId="3D1061F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空气：</w:t>
            </w:r>
            <w:r w:rsidRPr="008A2411">
              <w:rPr>
                <w:rFonts w:ascii="Times New Roman"/>
                <w:color w:val="000000" w:themeColor="text1"/>
                <w:sz w:val="21"/>
                <w:szCs w:val="21"/>
              </w:rPr>
              <w:t>1.53</w:t>
            </w:r>
          </w:p>
        </w:tc>
        <w:tc>
          <w:tcPr>
            <w:tcW w:w="505" w:type="pct"/>
            <w:vAlign w:val="center"/>
          </w:tcPr>
          <w:p w14:paraId="388B2D6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w:t>
            </w:r>
          </w:p>
        </w:tc>
        <w:tc>
          <w:tcPr>
            <w:tcW w:w="544" w:type="pct"/>
            <w:tcBorders>
              <w:right w:val="single" w:sz="4" w:space="0" w:color="auto"/>
            </w:tcBorders>
            <w:vAlign w:val="center"/>
          </w:tcPr>
          <w:p w14:paraId="4E58A44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不燃</w:t>
            </w:r>
          </w:p>
        </w:tc>
      </w:tr>
      <w:tr w:rsidR="008A2411" w:rsidRPr="008A2411" w14:paraId="7FA6DB15" w14:textId="77777777">
        <w:trPr>
          <w:trHeight w:val="454"/>
        </w:trPr>
        <w:tc>
          <w:tcPr>
            <w:tcW w:w="412" w:type="pct"/>
            <w:tcBorders>
              <w:left w:val="single" w:sz="4" w:space="0" w:color="auto"/>
            </w:tcBorders>
            <w:vAlign w:val="center"/>
          </w:tcPr>
          <w:p w14:paraId="17CF735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lang w:val="zh-CN"/>
              </w:rPr>
              <w:t>乙烯</w:t>
            </w:r>
          </w:p>
        </w:tc>
        <w:tc>
          <w:tcPr>
            <w:tcW w:w="821" w:type="pct"/>
            <w:vAlign w:val="center"/>
          </w:tcPr>
          <w:p w14:paraId="0C88E784"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无色气体，略具烃类特有的臭味</w:t>
            </w:r>
          </w:p>
        </w:tc>
        <w:tc>
          <w:tcPr>
            <w:tcW w:w="953" w:type="pct"/>
            <w:vAlign w:val="center"/>
          </w:tcPr>
          <w:p w14:paraId="7B265FA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-169.4/-103.9</w:t>
            </w:r>
          </w:p>
        </w:tc>
        <w:tc>
          <w:tcPr>
            <w:tcW w:w="878" w:type="pct"/>
            <w:vAlign w:val="center"/>
          </w:tcPr>
          <w:p w14:paraId="0A31A747"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不溶于水、微溶于乙醇、酮、苯，溶于醚</w:t>
            </w:r>
          </w:p>
        </w:tc>
        <w:tc>
          <w:tcPr>
            <w:tcW w:w="885" w:type="pct"/>
            <w:vAlign w:val="center"/>
          </w:tcPr>
          <w:p w14:paraId="2DEAF515"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水：</w:t>
            </w:r>
            <w:r w:rsidRPr="008A2411">
              <w:rPr>
                <w:rFonts w:ascii="Times New Roman"/>
                <w:color w:val="000000" w:themeColor="text1"/>
                <w:sz w:val="21"/>
                <w:szCs w:val="21"/>
              </w:rPr>
              <w:t>0.61</w:t>
            </w:r>
          </w:p>
          <w:p w14:paraId="29C8F98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空气：</w:t>
            </w:r>
            <w:r w:rsidRPr="008A2411">
              <w:rPr>
                <w:rFonts w:ascii="Times New Roman"/>
                <w:color w:val="000000" w:themeColor="text1"/>
                <w:sz w:val="21"/>
                <w:szCs w:val="21"/>
              </w:rPr>
              <w:t>0.98</w:t>
            </w:r>
          </w:p>
        </w:tc>
        <w:tc>
          <w:tcPr>
            <w:tcW w:w="505" w:type="pct"/>
            <w:vAlign w:val="center"/>
          </w:tcPr>
          <w:p w14:paraId="1E18794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2.7</w:t>
            </w:r>
            <w:r w:rsidRPr="008A2411">
              <w:rPr>
                <w:rFonts w:ascii="Times New Roman"/>
                <w:color w:val="000000" w:themeColor="text1"/>
                <w:sz w:val="21"/>
                <w:szCs w:val="21"/>
              </w:rPr>
              <w:t>～</w:t>
            </w:r>
            <w:r w:rsidRPr="008A2411">
              <w:rPr>
                <w:rFonts w:ascii="Times New Roman"/>
                <w:color w:val="000000" w:themeColor="text1"/>
                <w:sz w:val="21"/>
                <w:szCs w:val="21"/>
              </w:rPr>
              <w:t>2.7%</w:t>
            </w:r>
          </w:p>
        </w:tc>
        <w:tc>
          <w:tcPr>
            <w:tcW w:w="544" w:type="pct"/>
            <w:tcBorders>
              <w:right w:val="single" w:sz="4" w:space="0" w:color="auto"/>
            </w:tcBorders>
            <w:vAlign w:val="center"/>
          </w:tcPr>
          <w:p w14:paraId="2BF20B4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易燃</w:t>
            </w:r>
          </w:p>
        </w:tc>
      </w:tr>
      <w:tr w:rsidR="008A2411" w:rsidRPr="008A2411" w14:paraId="725DA8A3" w14:textId="77777777">
        <w:trPr>
          <w:trHeight w:val="454"/>
        </w:trPr>
        <w:tc>
          <w:tcPr>
            <w:tcW w:w="412" w:type="pct"/>
            <w:tcBorders>
              <w:left w:val="single" w:sz="4" w:space="0" w:color="auto"/>
            </w:tcBorders>
            <w:vAlign w:val="center"/>
          </w:tcPr>
          <w:p w14:paraId="3F2FBB5A" w14:textId="77777777" w:rsidR="00B0005F" w:rsidRPr="008A2411" w:rsidRDefault="00000000">
            <w:pPr>
              <w:jc w:val="center"/>
              <w:rPr>
                <w:rFonts w:ascii="Times New Roman"/>
                <w:color w:val="000000" w:themeColor="text1"/>
                <w:sz w:val="21"/>
                <w:szCs w:val="21"/>
                <w:lang w:val="zh-CN"/>
              </w:rPr>
            </w:pPr>
            <w:r w:rsidRPr="008A2411">
              <w:rPr>
                <w:rFonts w:ascii="Times New Roman"/>
                <w:color w:val="000000" w:themeColor="text1"/>
                <w:sz w:val="21"/>
                <w:szCs w:val="21"/>
              </w:rPr>
              <w:t>丙烷</w:t>
            </w:r>
          </w:p>
        </w:tc>
        <w:tc>
          <w:tcPr>
            <w:tcW w:w="821" w:type="pct"/>
            <w:vAlign w:val="center"/>
          </w:tcPr>
          <w:p w14:paraId="253335F4"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无色气体，纯品无臭</w:t>
            </w:r>
          </w:p>
        </w:tc>
        <w:tc>
          <w:tcPr>
            <w:tcW w:w="953" w:type="pct"/>
            <w:vAlign w:val="center"/>
          </w:tcPr>
          <w:p w14:paraId="38A9855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-187.6/-42.1</w:t>
            </w:r>
          </w:p>
        </w:tc>
        <w:tc>
          <w:tcPr>
            <w:tcW w:w="878" w:type="pct"/>
            <w:vAlign w:val="center"/>
          </w:tcPr>
          <w:p w14:paraId="5A6D412E"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微溶于水，溶于乙醇、乙醚</w:t>
            </w:r>
          </w:p>
        </w:tc>
        <w:tc>
          <w:tcPr>
            <w:tcW w:w="885" w:type="pct"/>
            <w:vAlign w:val="center"/>
          </w:tcPr>
          <w:p w14:paraId="2C6A751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水：</w:t>
            </w:r>
            <w:r w:rsidRPr="008A2411">
              <w:rPr>
                <w:rFonts w:ascii="Times New Roman"/>
                <w:color w:val="000000" w:themeColor="text1"/>
                <w:sz w:val="21"/>
                <w:szCs w:val="21"/>
              </w:rPr>
              <w:t>0.58(-44.5℃)</w:t>
            </w:r>
          </w:p>
          <w:p w14:paraId="0B1B35C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空气：</w:t>
            </w:r>
            <w:r w:rsidRPr="008A2411">
              <w:rPr>
                <w:rFonts w:ascii="Times New Roman"/>
                <w:color w:val="000000" w:themeColor="text1"/>
                <w:sz w:val="21"/>
                <w:szCs w:val="21"/>
              </w:rPr>
              <w:t>1.56</w:t>
            </w:r>
          </w:p>
        </w:tc>
        <w:tc>
          <w:tcPr>
            <w:tcW w:w="505" w:type="pct"/>
            <w:vAlign w:val="center"/>
          </w:tcPr>
          <w:p w14:paraId="2DEB944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2.1</w:t>
            </w:r>
            <w:r w:rsidRPr="008A2411">
              <w:rPr>
                <w:rFonts w:ascii="Times New Roman"/>
                <w:color w:val="000000" w:themeColor="text1"/>
                <w:sz w:val="21"/>
                <w:szCs w:val="21"/>
              </w:rPr>
              <w:t>～</w:t>
            </w:r>
            <w:r w:rsidRPr="008A2411">
              <w:rPr>
                <w:rFonts w:ascii="Times New Roman"/>
                <w:color w:val="000000" w:themeColor="text1"/>
                <w:sz w:val="21"/>
                <w:szCs w:val="21"/>
              </w:rPr>
              <w:t>9.5%</w:t>
            </w:r>
          </w:p>
        </w:tc>
        <w:tc>
          <w:tcPr>
            <w:tcW w:w="544" w:type="pct"/>
            <w:tcBorders>
              <w:right w:val="single" w:sz="4" w:space="0" w:color="auto"/>
            </w:tcBorders>
            <w:vAlign w:val="center"/>
          </w:tcPr>
          <w:p w14:paraId="41A5027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易燃</w:t>
            </w:r>
            <w:r w:rsidRPr="008A2411">
              <w:rPr>
                <w:rFonts w:ascii="Times New Roman"/>
                <w:color w:val="000000" w:themeColor="text1"/>
                <w:sz w:val="21"/>
                <w:szCs w:val="21"/>
              </w:rPr>
              <w:t>/-104</w:t>
            </w:r>
          </w:p>
        </w:tc>
      </w:tr>
      <w:tr w:rsidR="00B0005F" w:rsidRPr="008A2411" w14:paraId="6ADD56D4" w14:textId="77777777">
        <w:trPr>
          <w:trHeight w:val="454"/>
        </w:trPr>
        <w:tc>
          <w:tcPr>
            <w:tcW w:w="412" w:type="pct"/>
            <w:tcBorders>
              <w:left w:val="single" w:sz="4" w:space="0" w:color="auto"/>
              <w:bottom w:val="single" w:sz="4" w:space="0" w:color="auto"/>
            </w:tcBorders>
            <w:vAlign w:val="center"/>
          </w:tcPr>
          <w:p w14:paraId="0E1B61A4"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异戊烷</w:t>
            </w:r>
          </w:p>
        </w:tc>
        <w:tc>
          <w:tcPr>
            <w:tcW w:w="821" w:type="pct"/>
            <w:tcBorders>
              <w:bottom w:val="single" w:sz="4" w:space="0" w:color="auto"/>
            </w:tcBorders>
            <w:vAlign w:val="center"/>
          </w:tcPr>
          <w:p w14:paraId="4B7D7DC2"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无色透明的易挥发液体，有令人愉快的芳香气味</w:t>
            </w:r>
          </w:p>
        </w:tc>
        <w:tc>
          <w:tcPr>
            <w:tcW w:w="953" w:type="pct"/>
            <w:tcBorders>
              <w:bottom w:val="single" w:sz="4" w:space="0" w:color="auto"/>
            </w:tcBorders>
            <w:vAlign w:val="center"/>
          </w:tcPr>
          <w:p w14:paraId="284E699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-159.4/27.8</w:t>
            </w:r>
          </w:p>
        </w:tc>
        <w:tc>
          <w:tcPr>
            <w:tcW w:w="878" w:type="pct"/>
            <w:tcBorders>
              <w:bottom w:val="single" w:sz="4" w:space="0" w:color="auto"/>
            </w:tcBorders>
            <w:vAlign w:val="center"/>
          </w:tcPr>
          <w:p w14:paraId="6336D30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不溶于水，可混溶于乙醇、乙醚等多数有机溶剂</w:t>
            </w:r>
          </w:p>
        </w:tc>
        <w:tc>
          <w:tcPr>
            <w:tcW w:w="885" w:type="pct"/>
            <w:tcBorders>
              <w:bottom w:val="single" w:sz="4" w:space="0" w:color="auto"/>
            </w:tcBorders>
            <w:vAlign w:val="center"/>
          </w:tcPr>
          <w:p w14:paraId="494B6ED7"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水：</w:t>
            </w:r>
            <w:r w:rsidRPr="008A2411">
              <w:rPr>
                <w:rFonts w:ascii="Times New Roman"/>
                <w:color w:val="000000" w:themeColor="text1"/>
                <w:sz w:val="21"/>
                <w:szCs w:val="21"/>
              </w:rPr>
              <w:t>0.63</w:t>
            </w:r>
          </w:p>
          <w:p w14:paraId="6DE8152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空气：</w:t>
            </w:r>
            <w:r w:rsidRPr="008A2411">
              <w:rPr>
                <w:rFonts w:ascii="Times New Roman"/>
                <w:color w:val="000000" w:themeColor="text1"/>
                <w:sz w:val="21"/>
                <w:szCs w:val="21"/>
              </w:rPr>
              <w:t>2.48</w:t>
            </w:r>
          </w:p>
        </w:tc>
        <w:tc>
          <w:tcPr>
            <w:tcW w:w="505" w:type="pct"/>
            <w:tcBorders>
              <w:bottom w:val="single" w:sz="4" w:space="0" w:color="auto"/>
            </w:tcBorders>
            <w:vAlign w:val="center"/>
          </w:tcPr>
          <w:p w14:paraId="7B7F89D2"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1.4</w:t>
            </w:r>
            <w:r w:rsidRPr="008A2411">
              <w:rPr>
                <w:rFonts w:ascii="Times New Roman"/>
                <w:color w:val="000000" w:themeColor="text1"/>
                <w:sz w:val="21"/>
                <w:szCs w:val="21"/>
              </w:rPr>
              <w:t>～</w:t>
            </w:r>
            <w:r w:rsidRPr="008A2411">
              <w:rPr>
                <w:rFonts w:ascii="Times New Roman"/>
                <w:color w:val="000000" w:themeColor="text1"/>
                <w:sz w:val="21"/>
                <w:szCs w:val="21"/>
              </w:rPr>
              <w:t>7.6%</w:t>
            </w:r>
          </w:p>
        </w:tc>
        <w:tc>
          <w:tcPr>
            <w:tcW w:w="544" w:type="pct"/>
            <w:tcBorders>
              <w:bottom w:val="single" w:sz="4" w:space="0" w:color="auto"/>
              <w:right w:val="single" w:sz="4" w:space="0" w:color="auto"/>
            </w:tcBorders>
            <w:vAlign w:val="center"/>
          </w:tcPr>
          <w:p w14:paraId="66D740C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易燃</w:t>
            </w:r>
            <w:r w:rsidRPr="008A2411">
              <w:rPr>
                <w:rFonts w:ascii="Times New Roman"/>
                <w:color w:val="000000" w:themeColor="text1"/>
                <w:sz w:val="21"/>
                <w:szCs w:val="21"/>
              </w:rPr>
              <w:t>/-56</w:t>
            </w:r>
          </w:p>
        </w:tc>
      </w:tr>
    </w:tbl>
    <w:p w14:paraId="4858EDDD" w14:textId="77777777" w:rsidR="00B0005F" w:rsidRPr="008A2411" w:rsidRDefault="00B0005F">
      <w:pPr>
        <w:autoSpaceDE w:val="0"/>
        <w:autoSpaceDN w:val="0"/>
        <w:adjustRightInd w:val="0"/>
        <w:snapToGrid w:val="0"/>
        <w:spacing w:line="360" w:lineRule="auto"/>
        <w:ind w:firstLine="482"/>
        <w:rPr>
          <w:rFonts w:ascii="Times New Roman"/>
          <w:color w:val="000000" w:themeColor="text1"/>
          <w:szCs w:val="24"/>
          <w:lang w:bidi="ar"/>
        </w:rPr>
      </w:pPr>
    </w:p>
    <w:p w14:paraId="16AA1207" w14:textId="77777777" w:rsidR="00B0005F" w:rsidRPr="008A2411" w:rsidRDefault="00000000">
      <w:pPr>
        <w:autoSpaceDE w:val="0"/>
        <w:autoSpaceDN w:val="0"/>
        <w:adjustRightInd w:val="0"/>
        <w:snapToGrid w:val="0"/>
        <w:spacing w:line="360" w:lineRule="auto"/>
        <w:ind w:firstLine="482"/>
        <w:rPr>
          <w:rFonts w:ascii="Times New Roman"/>
          <w:color w:val="000000" w:themeColor="text1"/>
          <w:szCs w:val="24"/>
          <w:lang w:bidi="ar"/>
        </w:rPr>
      </w:pPr>
      <w:r w:rsidRPr="008A2411">
        <w:rPr>
          <w:rFonts w:ascii="Times New Roman"/>
          <w:color w:val="000000" w:themeColor="text1"/>
          <w:szCs w:val="24"/>
          <w:lang w:bidi="ar"/>
        </w:rPr>
        <w:t>项目能耗情况见表</w:t>
      </w:r>
      <w:r w:rsidRPr="008A2411">
        <w:rPr>
          <w:rFonts w:ascii="Times New Roman"/>
          <w:color w:val="000000" w:themeColor="text1"/>
          <w:szCs w:val="24"/>
          <w:lang w:bidi="ar"/>
        </w:rPr>
        <w:t>3.1-6</w:t>
      </w:r>
      <w:r w:rsidRPr="008A2411">
        <w:rPr>
          <w:rFonts w:ascii="Times New Roman"/>
          <w:color w:val="000000" w:themeColor="text1"/>
          <w:szCs w:val="24"/>
          <w:lang w:bidi="ar"/>
        </w:rPr>
        <w:t>。</w:t>
      </w:r>
    </w:p>
    <w:p w14:paraId="158248BF" w14:textId="77777777" w:rsidR="00B0005F" w:rsidRPr="008A2411" w:rsidRDefault="00000000">
      <w:pPr>
        <w:autoSpaceDE w:val="0"/>
        <w:autoSpaceDN w:val="0"/>
        <w:adjustRightInd w:val="0"/>
        <w:snapToGrid w:val="0"/>
        <w:ind w:firstLine="482"/>
        <w:jc w:val="center"/>
        <w:rPr>
          <w:rFonts w:ascii="Times New Roman" w:eastAsia="黑体"/>
          <w:color w:val="000000" w:themeColor="text1"/>
          <w:szCs w:val="24"/>
        </w:rPr>
      </w:pPr>
      <w:r w:rsidRPr="008A2411">
        <w:rPr>
          <w:rFonts w:ascii="Times New Roman" w:eastAsia="黑体"/>
          <w:color w:val="000000" w:themeColor="text1"/>
          <w:szCs w:val="24"/>
        </w:rPr>
        <w:t>表</w:t>
      </w:r>
      <w:r w:rsidRPr="008A2411">
        <w:rPr>
          <w:rFonts w:ascii="Times New Roman" w:eastAsia="黑体"/>
          <w:color w:val="000000" w:themeColor="text1"/>
          <w:szCs w:val="24"/>
        </w:rPr>
        <w:t xml:space="preserve">3.1-6  </w:t>
      </w:r>
      <w:r w:rsidRPr="008A2411">
        <w:rPr>
          <w:rFonts w:ascii="Times New Roman" w:eastAsia="黑体"/>
          <w:color w:val="000000" w:themeColor="text1"/>
          <w:szCs w:val="24"/>
        </w:rPr>
        <w:t>项目能耗情况</w:t>
      </w:r>
    </w:p>
    <w:tbl>
      <w:tblPr>
        <w:tblStyle w:val="affff9"/>
        <w:tblW w:w="499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7"/>
        <w:gridCol w:w="1344"/>
        <w:gridCol w:w="1743"/>
        <w:gridCol w:w="2264"/>
        <w:gridCol w:w="2131"/>
      </w:tblGrid>
      <w:tr w:rsidR="008A2411" w:rsidRPr="008A2411" w14:paraId="65E8901B" w14:textId="77777777" w:rsidTr="008C59F6">
        <w:trPr>
          <w:trHeight w:val="425"/>
        </w:trPr>
        <w:tc>
          <w:tcPr>
            <w:tcW w:w="608" w:type="pct"/>
            <w:vAlign w:val="center"/>
          </w:tcPr>
          <w:p w14:paraId="422D95B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序号</w:t>
            </w:r>
          </w:p>
        </w:tc>
        <w:tc>
          <w:tcPr>
            <w:tcW w:w="789" w:type="pct"/>
            <w:vAlign w:val="center"/>
          </w:tcPr>
          <w:p w14:paraId="69D453A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名称</w:t>
            </w:r>
          </w:p>
        </w:tc>
        <w:tc>
          <w:tcPr>
            <w:tcW w:w="1023" w:type="pct"/>
            <w:vAlign w:val="center"/>
          </w:tcPr>
          <w:p w14:paraId="119A424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小时消耗量</w:t>
            </w:r>
          </w:p>
        </w:tc>
        <w:tc>
          <w:tcPr>
            <w:tcW w:w="1328" w:type="pct"/>
            <w:vAlign w:val="center"/>
          </w:tcPr>
          <w:p w14:paraId="65EC728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年消耗量</w:t>
            </w:r>
          </w:p>
        </w:tc>
        <w:tc>
          <w:tcPr>
            <w:tcW w:w="1250" w:type="pct"/>
            <w:vAlign w:val="center"/>
          </w:tcPr>
          <w:p w14:paraId="3AF1B63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备注</w:t>
            </w:r>
          </w:p>
        </w:tc>
      </w:tr>
      <w:tr w:rsidR="008A2411" w:rsidRPr="008A2411" w14:paraId="720163DF" w14:textId="77777777" w:rsidTr="008C59F6">
        <w:trPr>
          <w:trHeight w:val="425"/>
        </w:trPr>
        <w:tc>
          <w:tcPr>
            <w:tcW w:w="608" w:type="pct"/>
            <w:vAlign w:val="center"/>
          </w:tcPr>
          <w:p w14:paraId="25ED4F2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w:t>
            </w:r>
          </w:p>
        </w:tc>
        <w:tc>
          <w:tcPr>
            <w:tcW w:w="789" w:type="pct"/>
            <w:vAlign w:val="center"/>
          </w:tcPr>
          <w:p w14:paraId="1C014702"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水</w:t>
            </w:r>
          </w:p>
        </w:tc>
        <w:tc>
          <w:tcPr>
            <w:tcW w:w="1023" w:type="pct"/>
            <w:vAlign w:val="center"/>
          </w:tcPr>
          <w:p w14:paraId="780DDD08" w14:textId="77777777" w:rsidR="00B0005F" w:rsidRPr="008A2411" w:rsidRDefault="00000000">
            <w:pPr>
              <w:jc w:val="center"/>
              <w:rPr>
                <w:rFonts w:ascii="Times New Roman"/>
                <w:color w:val="000000" w:themeColor="text1"/>
                <w:sz w:val="21"/>
                <w:szCs w:val="21"/>
              </w:rPr>
            </w:pPr>
            <w:r w:rsidRPr="008A2411">
              <w:rPr>
                <w:rFonts w:ascii="Times New Roman" w:hint="eastAsia"/>
                <w:color w:val="000000" w:themeColor="text1"/>
                <w:sz w:val="21"/>
                <w:szCs w:val="21"/>
              </w:rPr>
              <w:t>71.9025</w:t>
            </w:r>
            <w:r w:rsidRPr="008A2411">
              <w:rPr>
                <w:rFonts w:ascii="Times New Roman"/>
                <w:color w:val="000000" w:themeColor="text1"/>
                <w:sz w:val="21"/>
                <w:szCs w:val="21"/>
              </w:rPr>
              <w:t xml:space="preserve"> m</w:t>
            </w:r>
            <w:r w:rsidRPr="008A2411">
              <w:rPr>
                <w:rFonts w:ascii="Times New Roman"/>
                <w:color w:val="000000" w:themeColor="text1"/>
                <w:sz w:val="21"/>
                <w:szCs w:val="21"/>
                <w:vertAlign w:val="superscript"/>
              </w:rPr>
              <w:t>3</w:t>
            </w:r>
          </w:p>
        </w:tc>
        <w:tc>
          <w:tcPr>
            <w:tcW w:w="1328" w:type="pct"/>
            <w:vAlign w:val="center"/>
          </w:tcPr>
          <w:p w14:paraId="46E57CC8" w14:textId="77777777" w:rsidR="00B0005F" w:rsidRPr="008A2411" w:rsidRDefault="00000000">
            <w:pPr>
              <w:jc w:val="center"/>
              <w:rPr>
                <w:rFonts w:ascii="Times New Roman"/>
                <w:color w:val="000000" w:themeColor="text1"/>
                <w:sz w:val="21"/>
                <w:szCs w:val="21"/>
              </w:rPr>
            </w:pPr>
            <w:r w:rsidRPr="008A2411">
              <w:rPr>
                <w:rFonts w:ascii="Times New Roman" w:hint="eastAsia"/>
                <w:color w:val="000000" w:themeColor="text1"/>
                <w:sz w:val="21"/>
                <w:szCs w:val="21"/>
              </w:rPr>
              <w:t>569467.8</w:t>
            </w:r>
            <w:r w:rsidRPr="008A2411">
              <w:rPr>
                <w:rFonts w:ascii="Times New Roman"/>
                <w:color w:val="000000" w:themeColor="text1"/>
                <w:sz w:val="21"/>
                <w:szCs w:val="21"/>
              </w:rPr>
              <w:t xml:space="preserve"> m</w:t>
            </w:r>
            <w:r w:rsidRPr="008A2411">
              <w:rPr>
                <w:rFonts w:ascii="Times New Roman"/>
                <w:color w:val="000000" w:themeColor="text1"/>
                <w:sz w:val="21"/>
                <w:szCs w:val="21"/>
                <w:vertAlign w:val="superscript"/>
              </w:rPr>
              <w:t>3</w:t>
            </w:r>
          </w:p>
        </w:tc>
        <w:tc>
          <w:tcPr>
            <w:tcW w:w="1250" w:type="pct"/>
            <w:vAlign w:val="center"/>
          </w:tcPr>
          <w:p w14:paraId="6CF0EEAD" w14:textId="77777777" w:rsidR="00B0005F" w:rsidRPr="008A2411" w:rsidRDefault="00000000">
            <w:pPr>
              <w:jc w:val="center"/>
              <w:rPr>
                <w:rFonts w:ascii="Times New Roman"/>
                <w:color w:val="000000" w:themeColor="text1"/>
                <w:sz w:val="21"/>
                <w:szCs w:val="21"/>
              </w:rPr>
            </w:pPr>
            <w:r w:rsidRPr="008A2411">
              <w:rPr>
                <w:rFonts w:ascii="Times New Roman" w:hint="eastAsia"/>
                <w:color w:val="000000" w:themeColor="text1"/>
                <w:sz w:val="21"/>
                <w:szCs w:val="21"/>
              </w:rPr>
              <w:t>新鲜水</w:t>
            </w:r>
          </w:p>
        </w:tc>
      </w:tr>
      <w:tr w:rsidR="008A2411" w:rsidRPr="008A2411" w14:paraId="2182E366" w14:textId="77777777" w:rsidTr="008C59F6">
        <w:trPr>
          <w:trHeight w:val="425"/>
        </w:trPr>
        <w:tc>
          <w:tcPr>
            <w:tcW w:w="608" w:type="pct"/>
            <w:vAlign w:val="center"/>
          </w:tcPr>
          <w:p w14:paraId="3A615A1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lastRenderedPageBreak/>
              <w:t>2</w:t>
            </w:r>
          </w:p>
        </w:tc>
        <w:tc>
          <w:tcPr>
            <w:tcW w:w="789" w:type="pct"/>
            <w:vAlign w:val="center"/>
          </w:tcPr>
          <w:p w14:paraId="43CB37B2"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电</w:t>
            </w:r>
          </w:p>
        </w:tc>
        <w:tc>
          <w:tcPr>
            <w:tcW w:w="1023" w:type="pct"/>
            <w:vAlign w:val="center"/>
          </w:tcPr>
          <w:p w14:paraId="662478B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w:t>
            </w:r>
            <w:r w:rsidRPr="008A2411">
              <w:rPr>
                <w:rFonts w:ascii="Times New Roman" w:hint="eastAsia"/>
                <w:color w:val="000000" w:themeColor="text1"/>
                <w:sz w:val="21"/>
                <w:szCs w:val="21"/>
              </w:rPr>
              <w:t>353</w:t>
            </w:r>
            <w:r w:rsidRPr="008A2411">
              <w:rPr>
                <w:rFonts w:ascii="Times New Roman" w:hint="eastAsia"/>
                <w:color w:val="000000" w:themeColor="text1"/>
                <w:sz w:val="21"/>
                <w:szCs w:val="21"/>
              </w:rPr>
              <w:t>万</w:t>
            </w:r>
            <w:proofErr w:type="spellStart"/>
            <w:r w:rsidRPr="008A2411">
              <w:rPr>
                <w:rFonts w:ascii="Times New Roman"/>
                <w:color w:val="000000" w:themeColor="text1"/>
                <w:sz w:val="21"/>
                <w:szCs w:val="21"/>
              </w:rPr>
              <w:t>kw·h</w:t>
            </w:r>
            <w:proofErr w:type="spellEnd"/>
          </w:p>
        </w:tc>
        <w:tc>
          <w:tcPr>
            <w:tcW w:w="1328" w:type="pct"/>
            <w:vAlign w:val="center"/>
          </w:tcPr>
          <w:p w14:paraId="2038B2AB" w14:textId="77777777" w:rsidR="00B0005F" w:rsidRPr="008A2411" w:rsidRDefault="00000000">
            <w:pPr>
              <w:jc w:val="center"/>
              <w:rPr>
                <w:rFonts w:ascii="Times New Roman"/>
                <w:color w:val="000000" w:themeColor="text1"/>
                <w:sz w:val="21"/>
                <w:szCs w:val="21"/>
              </w:rPr>
            </w:pPr>
            <w:r w:rsidRPr="008A2411">
              <w:rPr>
                <w:rFonts w:ascii="Times New Roman" w:hint="eastAsia"/>
                <w:color w:val="000000" w:themeColor="text1"/>
                <w:sz w:val="21"/>
                <w:szCs w:val="21"/>
              </w:rPr>
              <w:t>10824</w:t>
            </w:r>
            <w:r w:rsidRPr="008A2411">
              <w:rPr>
                <w:rFonts w:ascii="Times New Roman" w:hint="eastAsia"/>
                <w:color w:val="000000" w:themeColor="text1"/>
                <w:sz w:val="21"/>
                <w:szCs w:val="21"/>
              </w:rPr>
              <w:t>万</w:t>
            </w:r>
            <w:proofErr w:type="spellStart"/>
            <w:r w:rsidRPr="008A2411">
              <w:rPr>
                <w:rFonts w:ascii="Times New Roman"/>
                <w:color w:val="000000" w:themeColor="text1"/>
                <w:sz w:val="21"/>
                <w:szCs w:val="21"/>
              </w:rPr>
              <w:t>kw·h</w:t>
            </w:r>
            <w:proofErr w:type="spellEnd"/>
          </w:p>
        </w:tc>
        <w:tc>
          <w:tcPr>
            <w:tcW w:w="1250" w:type="pct"/>
            <w:vAlign w:val="center"/>
          </w:tcPr>
          <w:p w14:paraId="3A2B12F4" w14:textId="77777777" w:rsidR="00B0005F" w:rsidRPr="008A2411" w:rsidRDefault="00B0005F">
            <w:pPr>
              <w:jc w:val="center"/>
              <w:rPr>
                <w:rFonts w:ascii="Times New Roman"/>
                <w:color w:val="000000" w:themeColor="text1"/>
                <w:sz w:val="21"/>
                <w:szCs w:val="21"/>
              </w:rPr>
            </w:pPr>
          </w:p>
        </w:tc>
      </w:tr>
      <w:tr w:rsidR="00B0005F" w:rsidRPr="008A2411" w14:paraId="41ACB50B" w14:textId="77777777" w:rsidTr="008C59F6">
        <w:trPr>
          <w:trHeight w:val="425"/>
        </w:trPr>
        <w:tc>
          <w:tcPr>
            <w:tcW w:w="608" w:type="pct"/>
            <w:vAlign w:val="center"/>
          </w:tcPr>
          <w:p w14:paraId="355A81D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3</w:t>
            </w:r>
          </w:p>
        </w:tc>
        <w:tc>
          <w:tcPr>
            <w:tcW w:w="789" w:type="pct"/>
            <w:vAlign w:val="center"/>
          </w:tcPr>
          <w:p w14:paraId="6C34016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仪表空气</w:t>
            </w:r>
          </w:p>
        </w:tc>
        <w:tc>
          <w:tcPr>
            <w:tcW w:w="1023" w:type="pct"/>
            <w:vAlign w:val="center"/>
          </w:tcPr>
          <w:p w14:paraId="2225ABC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200 Nm</w:t>
            </w:r>
            <w:r w:rsidRPr="008A2411">
              <w:rPr>
                <w:rFonts w:ascii="Times New Roman"/>
                <w:color w:val="000000" w:themeColor="text1"/>
                <w:sz w:val="21"/>
                <w:szCs w:val="21"/>
                <w:vertAlign w:val="superscript"/>
              </w:rPr>
              <w:t>3</w:t>
            </w:r>
            <w:r w:rsidRPr="008A2411">
              <w:rPr>
                <w:rFonts w:ascii="Times New Roman"/>
                <w:color w:val="000000" w:themeColor="text1"/>
                <w:sz w:val="21"/>
                <w:szCs w:val="21"/>
              </w:rPr>
              <w:t>/h</w:t>
            </w:r>
          </w:p>
        </w:tc>
        <w:tc>
          <w:tcPr>
            <w:tcW w:w="1328" w:type="pct"/>
            <w:vAlign w:val="center"/>
          </w:tcPr>
          <w:p w14:paraId="1A3B93FD"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160×10</w:t>
            </w:r>
            <w:r w:rsidRPr="008A2411">
              <w:rPr>
                <w:rFonts w:ascii="Times New Roman"/>
                <w:color w:val="000000" w:themeColor="text1"/>
                <w:sz w:val="21"/>
                <w:szCs w:val="21"/>
                <w:vertAlign w:val="superscript"/>
              </w:rPr>
              <w:t>4</w:t>
            </w:r>
            <w:r w:rsidRPr="008A2411">
              <w:rPr>
                <w:rFonts w:ascii="Times New Roman"/>
                <w:color w:val="000000" w:themeColor="text1"/>
                <w:sz w:val="21"/>
                <w:szCs w:val="21"/>
              </w:rPr>
              <w:t xml:space="preserve"> Nm</w:t>
            </w:r>
            <w:r w:rsidRPr="008A2411">
              <w:rPr>
                <w:rFonts w:ascii="Times New Roman"/>
                <w:color w:val="000000" w:themeColor="text1"/>
                <w:sz w:val="21"/>
                <w:szCs w:val="21"/>
                <w:vertAlign w:val="superscript"/>
              </w:rPr>
              <w:t>3</w:t>
            </w:r>
            <w:r w:rsidRPr="008A2411">
              <w:rPr>
                <w:rFonts w:ascii="Times New Roman"/>
                <w:color w:val="000000" w:themeColor="text1"/>
                <w:sz w:val="21"/>
                <w:szCs w:val="21"/>
              </w:rPr>
              <w:t>/h</w:t>
            </w:r>
          </w:p>
        </w:tc>
        <w:tc>
          <w:tcPr>
            <w:tcW w:w="1250" w:type="pct"/>
            <w:vAlign w:val="center"/>
          </w:tcPr>
          <w:p w14:paraId="7AA90834"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0.6MPa(G)</w:t>
            </w:r>
          </w:p>
        </w:tc>
      </w:tr>
    </w:tbl>
    <w:p w14:paraId="19AA2E1B" w14:textId="77777777" w:rsidR="00B0005F" w:rsidRPr="008A2411" w:rsidRDefault="00B0005F">
      <w:pPr>
        <w:tabs>
          <w:tab w:val="left" w:pos="1008"/>
        </w:tabs>
        <w:snapToGrid w:val="0"/>
        <w:spacing w:line="360" w:lineRule="auto"/>
        <w:rPr>
          <w:rFonts w:ascii="Times New Roman"/>
          <w:color w:val="000000" w:themeColor="text1"/>
          <w:szCs w:val="24"/>
          <w:lang w:bidi="en-US"/>
        </w:rPr>
      </w:pPr>
    </w:p>
    <w:p w14:paraId="30B783BF" w14:textId="77777777" w:rsidR="00B0005F" w:rsidRPr="008A2411" w:rsidRDefault="00000000">
      <w:pPr>
        <w:pStyle w:val="42"/>
        <w:snapToGrid w:val="0"/>
        <w:spacing w:before="0" w:after="0" w:line="360" w:lineRule="auto"/>
        <w:rPr>
          <w:rFonts w:ascii="Times New Roman" w:hAnsi="Times New Roman"/>
          <w:b w:val="0"/>
          <w:color w:val="000000" w:themeColor="text1"/>
          <w:kern w:val="0"/>
          <w:sz w:val="24"/>
          <w:szCs w:val="24"/>
          <w:lang w:bidi="en-US"/>
        </w:rPr>
      </w:pPr>
      <w:r w:rsidRPr="008A2411">
        <w:rPr>
          <w:rFonts w:ascii="Times New Roman" w:hAnsi="Times New Roman"/>
          <w:b w:val="0"/>
          <w:color w:val="000000" w:themeColor="text1"/>
          <w:kern w:val="0"/>
          <w:sz w:val="24"/>
          <w:szCs w:val="24"/>
          <w:lang w:bidi="en-US"/>
        </w:rPr>
        <w:t xml:space="preserve">3.1.5 </w:t>
      </w:r>
      <w:r w:rsidRPr="008A2411">
        <w:rPr>
          <w:rFonts w:ascii="Times New Roman" w:hAnsi="Times New Roman"/>
          <w:b w:val="0"/>
          <w:color w:val="000000" w:themeColor="text1"/>
          <w:kern w:val="0"/>
          <w:sz w:val="24"/>
          <w:szCs w:val="24"/>
          <w:lang w:bidi="en-US"/>
        </w:rPr>
        <w:t>公用及辅助设施</w:t>
      </w:r>
    </w:p>
    <w:p w14:paraId="0B460A3C" w14:textId="77777777" w:rsidR="00B0005F" w:rsidRPr="008A2411" w:rsidRDefault="00000000">
      <w:pPr>
        <w:pStyle w:val="WJ"/>
        <w:adjustRightInd w:val="0"/>
        <w:snapToGrid w:val="0"/>
        <w:spacing w:line="360" w:lineRule="auto"/>
        <w:rPr>
          <w:rFonts w:ascii="Times New Roman" w:hAnsi="Times New Roman"/>
          <w:snapToGrid w:val="0"/>
          <w:color w:val="000000" w:themeColor="text1"/>
        </w:rPr>
      </w:pPr>
      <w:r w:rsidRPr="008A2411">
        <w:rPr>
          <w:rFonts w:ascii="Times New Roman" w:hAnsi="Times New Roman"/>
          <w:color w:val="000000" w:themeColor="text1"/>
        </w:rPr>
        <w:t>公用工程主要为生产提供保障性服务，主要工程项目包括</w:t>
      </w:r>
      <w:r w:rsidRPr="008A2411">
        <w:rPr>
          <w:rFonts w:ascii="Times New Roman" w:hAnsi="Times New Roman"/>
          <w:snapToGrid w:val="0"/>
          <w:color w:val="000000" w:themeColor="text1"/>
        </w:rPr>
        <w:t>给排水系统、供电系统、消防、自控系统等部分。</w:t>
      </w:r>
    </w:p>
    <w:p w14:paraId="19035D17" w14:textId="77777777" w:rsidR="00B0005F" w:rsidRPr="008A2411" w:rsidRDefault="00000000">
      <w:pPr>
        <w:pStyle w:val="WJ"/>
        <w:adjustRightInd w:val="0"/>
        <w:snapToGrid w:val="0"/>
        <w:spacing w:line="360" w:lineRule="auto"/>
        <w:rPr>
          <w:rFonts w:ascii="Times New Roman" w:hAnsi="Times New Roman"/>
          <w:snapToGrid w:val="0"/>
          <w:color w:val="000000" w:themeColor="text1"/>
        </w:rPr>
      </w:pPr>
      <w:r w:rsidRPr="008A2411">
        <w:rPr>
          <w:rFonts w:ascii="Times New Roman" w:hAnsi="Times New Roman"/>
          <w:snapToGrid w:val="0"/>
          <w:color w:val="000000" w:themeColor="text1"/>
        </w:rPr>
        <w:t>（</w:t>
      </w:r>
      <w:r w:rsidRPr="008A2411">
        <w:rPr>
          <w:rFonts w:ascii="Times New Roman" w:hAnsi="Times New Roman"/>
          <w:snapToGrid w:val="0"/>
          <w:color w:val="000000" w:themeColor="text1"/>
        </w:rPr>
        <w:t>1</w:t>
      </w:r>
      <w:r w:rsidRPr="008A2411">
        <w:rPr>
          <w:rFonts w:ascii="Times New Roman" w:hAnsi="Times New Roman"/>
          <w:snapToGrid w:val="0"/>
          <w:color w:val="000000" w:themeColor="text1"/>
        </w:rPr>
        <w:t>）给排水系统</w:t>
      </w:r>
    </w:p>
    <w:p w14:paraId="31170529" w14:textId="77777777" w:rsidR="00B0005F" w:rsidRPr="008A2411" w:rsidRDefault="00000000">
      <w:pPr>
        <w:pStyle w:val="WJ"/>
        <w:adjustRightInd w:val="0"/>
        <w:snapToGrid w:val="0"/>
        <w:spacing w:line="360" w:lineRule="auto"/>
        <w:rPr>
          <w:rFonts w:ascii="Times New Roman" w:hAnsi="Times New Roman"/>
          <w:snapToGrid w:val="0"/>
          <w:color w:val="000000" w:themeColor="text1"/>
        </w:rPr>
      </w:pPr>
      <w:r w:rsidRPr="008A2411">
        <w:rPr>
          <w:rFonts w:ascii="Times New Roman" w:hAnsi="Times New Roman"/>
          <w:snapToGrid w:val="0"/>
          <w:color w:val="000000" w:themeColor="text1"/>
        </w:rPr>
        <w:t>A</w:t>
      </w:r>
      <w:r w:rsidRPr="008A2411">
        <w:rPr>
          <w:rFonts w:ascii="Times New Roman" w:hAnsi="Times New Roman"/>
          <w:snapToGrid w:val="0"/>
          <w:color w:val="000000" w:themeColor="text1"/>
        </w:rPr>
        <w:t>、给水系统</w:t>
      </w:r>
    </w:p>
    <w:p w14:paraId="5B2DCC83" w14:textId="77777777" w:rsidR="00B0005F" w:rsidRPr="008A2411" w:rsidRDefault="00000000">
      <w:pPr>
        <w:pStyle w:val="WJ"/>
        <w:adjustRightInd w:val="0"/>
        <w:spacing w:line="360" w:lineRule="auto"/>
        <w:rPr>
          <w:rFonts w:ascii="Times New Roman" w:hAnsi="Times New Roman"/>
          <w:color w:val="000000" w:themeColor="text1"/>
          <w:kern w:val="0"/>
          <w:lang w:bidi="ar"/>
        </w:rPr>
      </w:pPr>
      <w:r w:rsidRPr="008A2411">
        <w:rPr>
          <w:rFonts w:ascii="Times New Roman" w:hAnsi="Times New Roman"/>
          <w:color w:val="000000" w:themeColor="text1"/>
          <w:kern w:val="0"/>
          <w:lang w:bidi="ar"/>
        </w:rPr>
        <w:t>本项目用水量包括生产用水、循环冷却水及除盐水水量，项目生产及生活用水由市政给水管网供应。循环冷却水拟采用闭式循环水系统，循环水回水温度为</w:t>
      </w:r>
      <w:r w:rsidRPr="008A2411">
        <w:rPr>
          <w:rFonts w:ascii="Times New Roman" w:hAnsi="Times New Roman"/>
          <w:color w:val="000000" w:themeColor="text1"/>
          <w:kern w:val="0"/>
          <w:lang w:bidi="ar"/>
        </w:rPr>
        <w:t>40℃</w:t>
      </w:r>
      <w:r w:rsidRPr="008A2411">
        <w:rPr>
          <w:rFonts w:ascii="Times New Roman" w:hAnsi="Times New Roman"/>
          <w:color w:val="000000" w:themeColor="text1"/>
          <w:kern w:val="0"/>
          <w:lang w:bidi="ar"/>
        </w:rPr>
        <w:t>，循环水上水温度为</w:t>
      </w:r>
      <w:r w:rsidRPr="008A2411">
        <w:rPr>
          <w:rFonts w:ascii="Times New Roman" w:hAnsi="Times New Roman"/>
          <w:color w:val="000000" w:themeColor="text1"/>
          <w:kern w:val="0"/>
          <w:lang w:bidi="ar"/>
        </w:rPr>
        <w:t>32℃</w:t>
      </w:r>
      <w:r w:rsidRPr="008A2411">
        <w:rPr>
          <w:rFonts w:ascii="Times New Roman" w:hAnsi="Times New Roman"/>
          <w:color w:val="000000" w:themeColor="text1"/>
          <w:kern w:val="0"/>
          <w:lang w:bidi="ar"/>
        </w:rPr>
        <w:t>。设计压力</w:t>
      </w:r>
      <w:r w:rsidRPr="008A2411">
        <w:rPr>
          <w:rFonts w:ascii="Times New Roman" w:hAnsi="Times New Roman"/>
          <w:color w:val="000000" w:themeColor="text1"/>
          <w:kern w:val="0"/>
          <w:lang w:bidi="ar"/>
        </w:rPr>
        <w:t>0.4MPa</w:t>
      </w:r>
      <w:r w:rsidRPr="008A2411">
        <w:rPr>
          <w:rFonts w:ascii="Times New Roman" w:hAnsi="Times New Roman"/>
          <w:color w:val="000000" w:themeColor="text1"/>
          <w:kern w:val="0"/>
          <w:lang w:bidi="ar"/>
        </w:rPr>
        <w:t>。闭式循环水系统补</w:t>
      </w:r>
      <w:proofErr w:type="gramStart"/>
      <w:r w:rsidRPr="008A2411">
        <w:rPr>
          <w:rFonts w:ascii="Times New Roman" w:hAnsi="Times New Roman"/>
          <w:color w:val="000000" w:themeColor="text1"/>
          <w:kern w:val="0"/>
          <w:lang w:bidi="ar"/>
        </w:rPr>
        <w:t>水采</w:t>
      </w:r>
      <w:proofErr w:type="gramEnd"/>
      <w:r w:rsidRPr="008A2411">
        <w:rPr>
          <w:rFonts w:ascii="Times New Roman" w:hAnsi="Times New Roman"/>
          <w:color w:val="000000" w:themeColor="text1"/>
          <w:kern w:val="0"/>
          <w:lang w:bidi="ar"/>
        </w:rPr>
        <w:t>用脱盐水，来自项目纯水系统。脱盐</w:t>
      </w:r>
      <w:proofErr w:type="gramStart"/>
      <w:r w:rsidRPr="008A2411">
        <w:rPr>
          <w:rFonts w:ascii="Times New Roman" w:hAnsi="Times New Roman"/>
          <w:color w:val="000000" w:themeColor="text1"/>
          <w:kern w:val="0"/>
          <w:lang w:bidi="ar"/>
        </w:rPr>
        <w:t>水采</w:t>
      </w:r>
      <w:proofErr w:type="gramEnd"/>
      <w:r w:rsidRPr="008A2411">
        <w:rPr>
          <w:rFonts w:ascii="Times New Roman" w:hAnsi="Times New Roman"/>
          <w:color w:val="000000" w:themeColor="text1"/>
          <w:kern w:val="0"/>
          <w:lang w:bidi="ar"/>
        </w:rPr>
        <w:t>用反渗透装置生产，水质要求复合《工业用水软化除盐设计规范》</w:t>
      </w:r>
      <w:r w:rsidRPr="008A2411">
        <w:rPr>
          <w:rFonts w:ascii="Times New Roman" w:hAnsi="Times New Roman"/>
          <w:color w:val="000000" w:themeColor="text1"/>
          <w:kern w:val="0"/>
          <w:lang w:bidi="ar"/>
        </w:rPr>
        <w:t>GB/T50109-2014</w:t>
      </w:r>
      <w:r w:rsidRPr="008A2411">
        <w:rPr>
          <w:rFonts w:ascii="Times New Roman" w:hAnsi="Times New Roman"/>
          <w:color w:val="000000" w:themeColor="text1"/>
          <w:kern w:val="0"/>
          <w:lang w:bidi="ar"/>
        </w:rPr>
        <w:t>表</w:t>
      </w:r>
      <w:r w:rsidRPr="008A2411">
        <w:rPr>
          <w:rFonts w:ascii="Times New Roman" w:hAnsi="Times New Roman"/>
          <w:color w:val="000000" w:themeColor="text1"/>
          <w:kern w:val="0"/>
          <w:lang w:bidi="ar"/>
        </w:rPr>
        <w:t>4.3.1</w:t>
      </w:r>
      <w:r w:rsidRPr="008A2411">
        <w:rPr>
          <w:rFonts w:ascii="Times New Roman" w:hAnsi="Times New Roman"/>
          <w:color w:val="000000" w:themeColor="text1"/>
          <w:kern w:val="0"/>
          <w:lang w:bidi="ar"/>
        </w:rPr>
        <w:t>中的一级除盐设计标准。</w:t>
      </w:r>
    </w:p>
    <w:p w14:paraId="070B9689" w14:textId="77777777" w:rsidR="00B0005F" w:rsidRPr="008A2411" w:rsidRDefault="00000000">
      <w:pPr>
        <w:pStyle w:val="WJ"/>
        <w:adjustRightInd w:val="0"/>
        <w:spacing w:line="360" w:lineRule="auto"/>
        <w:rPr>
          <w:rFonts w:ascii="Times New Roman" w:hAnsi="Times New Roman"/>
          <w:snapToGrid w:val="0"/>
          <w:color w:val="000000" w:themeColor="text1"/>
        </w:rPr>
      </w:pPr>
      <w:r w:rsidRPr="008A2411">
        <w:rPr>
          <w:rFonts w:ascii="Times New Roman" w:hAnsi="Times New Roman"/>
          <w:snapToGrid w:val="0"/>
          <w:color w:val="000000" w:themeColor="text1"/>
        </w:rPr>
        <w:t>B</w:t>
      </w:r>
      <w:r w:rsidRPr="008A2411">
        <w:rPr>
          <w:rFonts w:ascii="Times New Roman" w:hAnsi="Times New Roman"/>
          <w:snapToGrid w:val="0"/>
          <w:color w:val="000000" w:themeColor="text1"/>
        </w:rPr>
        <w:t>、排水系统</w:t>
      </w:r>
    </w:p>
    <w:p w14:paraId="629AAA2F" w14:textId="6AD0718A" w:rsidR="00B0005F" w:rsidRPr="008A2411" w:rsidRDefault="00000000" w:rsidP="00542D62">
      <w:pPr>
        <w:pStyle w:val="WJ"/>
        <w:adjustRightInd w:val="0"/>
        <w:spacing w:line="360" w:lineRule="auto"/>
        <w:rPr>
          <w:rFonts w:ascii="Times New Roman" w:hAnsi="Times New Roman"/>
          <w:color w:val="000000" w:themeColor="text1"/>
          <w:kern w:val="0"/>
          <w:lang w:bidi="ar"/>
        </w:rPr>
      </w:pPr>
      <w:r w:rsidRPr="008A2411">
        <w:rPr>
          <w:rFonts w:ascii="Times New Roman" w:hAnsi="Times New Roman"/>
          <w:color w:val="000000" w:themeColor="text1"/>
          <w:kern w:val="0"/>
          <w:lang w:bidi="ar"/>
        </w:rPr>
        <w:t>本项目排水实行清污分流。其中工艺装置各工段的生产废水包括进口过滤器分离器废水</w:t>
      </w:r>
      <w:r w:rsidR="00542D62" w:rsidRPr="008A2411">
        <w:rPr>
          <w:rFonts w:ascii="Times New Roman" w:hAnsi="Times New Roman" w:hint="eastAsia"/>
          <w:color w:val="000000" w:themeColor="text1"/>
          <w:kern w:val="0"/>
          <w:lang w:bidi="ar"/>
        </w:rPr>
        <w:t>、</w:t>
      </w:r>
      <w:r w:rsidR="00542D62" w:rsidRPr="008A2411">
        <w:rPr>
          <w:rFonts w:ascii="Times New Roman" w:hAnsi="Times New Roman"/>
          <w:color w:val="000000" w:themeColor="text1"/>
          <w:kern w:val="0"/>
          <w:lang w:bidi="ar"/>
        </w:rPr>
        <w:t>脱水再生器冷却器凝液</w:t>
      </w:r>
      <w:r w:rsidR="00542D62" w:rsidRPr="008A2411">
        <w:rPr>
          <w:rFonts w:ascii="Times New Roman" w:hAnsi="Times New Roman" w:hint="eastAsia"/>
          <w:color w:val="000000" w:themeColor="text1"/>
          <w:kern w:val="0"/>
          <w:lang w:bidi="ar"/>
        </w:rPr>
        <w:t>及生活污水，</w:t>
      </w:r>
      <w:r w:rsidR="00542D62" w:rsidRPr="008A2411">
        <w:rPr>
          <w:rFonts w:ascii="Times New Roman" w:hAnsi="Times New Roman"/>
          <w:color w:val="000000" w:themeColor="text1"/>
          <w:kern w:val="0"/>
          <w:lang w:bidi="ar"/>
        </w:rPr>
        <w:t>排入厂区污水处理站预处理达到《污水综合排放标准》</w:t>
      </w:r>
      <w:r w:rsidR="00542D62" w:rsidRPr="008A2411">
        <w:rPr>
          <w:rFonts w:ascii="Times New Roman" w:hAnsi="Times New Roman"/>
          <w:color w:val="000000" w:themeColor="text1"/>
          <w:kern w:val="0"/>
          <w:lang w:bidi="ar"/>
        </w:rPr>
        <w:t>GB8978-1996</w:t>
      </w:r>
      <w:proofErr w:type="gramStart"/>
      <w:r w:rsidR="00542D62" w:rsidRPr="008A2411">
        <w:rPr>
          <w:rFonts w:ascii="Times New Roman" w:hAnsi="Times New Roman"/>
          <w:color w:val="000000" w:themeColor="text1"/>
          <w:kern w:val="0"/>
          <w:lang w:bidi="ar"/>
        </w:rPr>
        <w:t>三</w:t>
      </w:r>
      <w:proofErr w:type="gramEnd"/>
      <w:r w:rsidR="00542D62" w:rsidRPr="008A2411">
        <w:rPr>
          <w:rFonts w:ascii="Times New Roman" w:hAnsi="Times New Roman"/>
          <w:color w:val="000000" w:themeColor="text1"/>
          <w:kern w:val="0"/>
          <w:lang w:bidi="ar"/>
        </w:rPr>
        <w:t>级标准，排入园区</w:t>
      </w:r>
      <w:r w:rsidR="00542D62" w:rsidRPr="008A2411">
        <w:rPr>
          <w:rFonts w:ascii="Times New Roman" w:hAnsi="Times New Roman" w:hint="eastAsia"/>
          <w:color w:val="000000" w:themeColor="text1"/>
          <w:kern w:val="0"/>
          <w:lang w:bidi="ar"/>
        </w:rPr>
        <w:t>污水管网，最终由园区</w:t>
      </w:r>
      <w:r w:rsidR="00542D62" w:rsidRPr="008A2411">
        <w:rPr>
          <w:rFonts w:ascii="Times New Roman" w:hAnsi="Times New Roman"/>
          <w:color w:val="000000" w:themeColor="text1"/>
          <w:kern w:val="0"/>
          <w:lang w:bidi="ar"/>
        </w:rPr>
        <w:t>污水处理厂</w:t>
      </w:r>
      <w:r w:rsidR="00542D62" w:rsidRPr="008A2411">
        <w:rPr>
          <w:rFonts w:ascii="Times New Roman" w:hAnsi="Times New Roman" w:hint="eastAsia"/>
          <w:color w:val="000000" w:themeColor="text1"/>
          <w:kern w:val="0"/>
          <w:lang w:bidi="ar"/>
        </w:rPr>
        <w:t>处理达标后排放；</w:t>
      </w:r>
      <w:r w:rsidRPr="008A2411">
        <w:rPr>
          <w:rFonts w:ascii="Times New Roman" w:hAnsi="Times New Roman"/>
          <w:color w:val="000000" w:themeColor="text1"/>
          <w:kern w:val="0"/>
          <w:lang w:bidi="ar"/>
        </w:rPr>
        <w:t>脱盐水系统</w:t>
      </w:r>
      <w:r w:rsidR="00542D62" w:rsidRPr="008A2411">
        <w:rPr>
          <w:rFonts w:ascii="Times New Roman" w:hAnsi="Times New Roman" w:hint="eastAsia"/>
          <w:color w:val="000000" w:themeColor="text1"/>
          <w:kern w:val="0"/>
          <w:lang w:bidi="ar"/>
        </w:rPr>
        <w:t>及软水装置产生的较为清洁的废水直接</w:t>
      </w:r>
      <w:r w:rsidRPr="008A2411">
        <w:rPr>
          <w:rFonts w:ascii="Times New Roman" w:hAnsi="Times New Roman"/>
          <w:color w:val="000000" w:themeColor="text1"/>
          <w:kern w:val="0"/>
          <w:lang w:bidi="ar"/>
        </w:rPr>
        <w:t>排入园区</w:t>
      </w:r>
      <w:r w:rsidR="00542D62" w:rsidRPr="008A2411">
        <w:rPr>
          <w:rFonts w:ascii="Times New Roman" w:hAnsi="Times New Roman" w:hint="eastAsia"/>
          <w:color w:val="000000" w:themeColor="text1"/>
          <w:kern w:val="0"/>
          <w:lang w:bidi="ar"/>
        </w:rPr>
        <w:t>管网，，最终由园区</w:t>
      </w:r>
      <w:r w:rsidR="00542D62" w:rsidRPr="008A2411">
        <w:rPr>
          <w:rFonts w:ascii="Times New Roman" w:hAnsi="Times New Roman"/>
          <w:color w:val="000000" w:themeColor="text1"/>
          <w:kern w:val="0"/>
          <w:lang w:bidi="ar"/>
        </w:rPr>
        <w:t>污水处理厂</w:t>
      </w:r>
      <w:r w:rsidR="00542D62" w:rsidRPr="008A2411">
        <w:rPr>
          <w:rFonts w:ascii="Times New Roman" w:hAnsi="Times New Roman" w:hint="eastAsia"/>
          <w:color w:val="000000" w:themeColor="text1"/>
          <w:kern w:val="0"/>
          <w:lang w:bidi="ar"/>
        </w:rPr>
        <w:t>处理达标后排放</w:t>
      </w:r>
      <w:r w:rsidRPr="008A2411">
        <w:rPr>
          <w:rFonts w:ascii="Times New Roman" w:hAnsi="Times New Roman"/>
          <w:color w:val="000000" w:themeColor="text1"/>
          <w:kern w:val="0"/>
          <w:lang w:bidi="ar"/>
        </w:rPr>
        <w:t>。</w:t>
      </w:r>
    </w:p>
    <w:p w14:paraId="57CB5E50" w14:textId="0B197C10" w:rsidR="00B0005F" w:rsidRPr="008A2411" w:rsidRDefault="00542D62">
      <w:pPr>
        <w:pStyle w:val="WJ"/>
        <w:adjustRightInd w:val="0"/>
        <w:spacing w:line="360" w:lineRule="auto"/>
        <w:rPr>
          <w:rFonts w:ascii="Times New Roman" w:hAnsi="Times New Roman"/>
          <w:color w:val="000000" w:themeColor="text1"/>
          <w:kern w:val="0"/>
          <w:lang w:bidi="ar"/>
        </w:rPr>
      </w:pPr>
      <w:r w:rsidRPr="008A2411">
        <w:rPr>
          <w:rFonts w:ascii="Times New Roman" w:hAnsi="Times New Roman" w:hint="eastAsia"/>
          <w:color w:val="000000" w:themeColor="text1"/>
          <w:kern w:val="0"/>
          <w:lang w:bidi="ar"/>
        </w:rPr>
        <w:t>此外，厂区设置雨水分流收集系统，</w:t>
      </w:r>
      <w:r w:rsidRPr="008A2411">
        <w:rPr>
          <w:rFonts w:ascii="Times New Roman" w:hAnsi="Times New Roman"/>
          <w:color w:val="000000" w:themeColor="text1"/>
          <w:kern w:val="0"/>
          <w:lang w:bidi="ar"/>
        </w:rPr>
        <w:t>储罐区、装车站及工艺装置区均设有</w:t>
      </w:r>
      <w:proofErr w:type="gramStart"/>
      <w:r w:rsidRPr="008A2411">
        <w:rPr>
          <w:rFonts w:ascii="Times New Roman" w:hAnsi="Times New Roman"/>
          <w:color w:val="000000" w:themeColor="text1"/>
          <w:kern w:val="0"/>
          <w:lang w:bidi="ar"/>
        </w:rPr>
        <w:t>集液池</w:t>
      </w:r>
      <w:proofErr w:type="gramEnd"/>
      <w:r w:rsidRPr="008A2411">
        <w:rPr>
          <w:rFonts w:ascii="Times New Roman" w:hAnsi="Times New Roman"/>
          <w:color w:val="000000" w:themeColor="text1"/>
          <w:kern w:val="0"/>
          <w:lang w:bidi="ar"/>
        </w:rPr>
        <w:t>或导流槽</w:t>
      </w:r>
      <w:r w:rsidR="00E321C0" w:rsidRPr="008A2411">
        <w:rPr>
          <w:rFonts w:ascii="Times New Roman" w:hAnsi="Times New Roman" w:hint="eastAsia"/>
          <w:color w:val="000000" w:themeColor="text1"/>
          <w:kern w:val="0"/>
          <w:lang w:bidi="ar"/>
        </w:rPr>
        <w:t>，初期</w:t>
      </w:r>
      <w:r w:rsidRPr="008A2411">
        <w:rPr>
          <w:rFonts w:ascii="Times New Roman" w:hAnsi="Times New Roman"/>
          <w:color w:val="000000" w:themeColor="text1"/>
          <w:kern w:val="0"/>
          <w:lang w:bidi="ar"/>
        </w:rPr>
        <w:t>雨水由地面导流槽收集排至事故</w:t>
      </w:r>
      <w:r w:rsidR="00E321C0" w:rsidRPr="008A2411">
        <w:rPr>
          <w:rFonts w:ascii="Times New Roman" w:hAnsi="Times New Roman" w:hint="eastAsia"/>
          <w:color w:val="000000" w:themeColor="text1"/>
          <w:kern w:val="0"/>
          <w:lang w:bidi="ar"/>
        </w:rPr>
        <w:t>水</w:t>
      </w:r>
      <w:r w:rsidRPr="008A2411">
        <w:rPr>
          <w:rFonts w:ascii="Times New Roman" w:hAnsi="Times New Roman"/>
          <w:color w:val="000000" w:themeColor="text1"/>
          <w:kern w:val="0"/>
          <w:lang w:bidi="ar"/>
        </w:rPr>
        <w:t>池，装车站和储罐区</w:t>
      </w:r>
      <w:proofErr w:type="gramStart"/>
      <w:r w:rsidRPr="008A2411">
        <w:rPr>
          <w:rFonts w:ascii="Times New Roman" w:hAnsi="Times New Roman"/>
          <w:color w:val="000000" w:themeColor="text1"/>
          <w:kern w:val="0"/>
          <w:lang w:bidi="ar"/>
        </w:rPr>
        <w:t>集液池</w:t>
      </w:r>
      <w:proofErr w:type="gramEnd"/>
      <w:r w:rsidRPr="008A2411">
        <w:rPr>
          <w:rFonts w:ascii="Times New Roman" w:hAnsi="Times New Roman"/>
          <w:color w:val="000000" w:themeColor="text1"/>
          <w:kern w:val="0"/>
          <w:lang w:bidi="ar"/>
        </w:rPr>
        <w:t>的雨水经防爆型潜水排污泵提升后排至站内雨水系统。</w:t>
      </w:r>
      <w:r w:rsidR="00E321C0" w:rsidRPr="008A2411">
        <w:rPr>
          <w:rFonts w:ascii="Times New Roman" w:hAnsi="Times New Roman" w:hint="eastAsia"/>
          <w:color w:val="000000" w:themeColor="text1"/>
          <w:kern w:val="0"/>
          <w:lang w:bidi="ar"/>
        </w:rPr>
        <w:t>此外，</w:t>
      </w:r>
      <w:r w:rsidRPr="008A2411">
        <w:rPr>
          <w:rFonts w:ascii="Times New Roman" w:hAnsi="Times New Roman"/>
          <w:color w:val="000000" w:themeColor="text1"/>
          <w:kern w:val="0"/>
          <w:lang w:bidi="ar"/>
        </w:rPr>
        <w:t>各装置区四周设置环形排水沟，排水沟各出口处通过暗管合并成总管，在总管处设置切换阀门，一个阀门（常关，事故时打开）</w:t>
      </w:r>
      <w:r w:rsidRPr="008A2411">
        <w:rPr>
          <w:rFonts w:ascii="Times New Roman" w:hAnsi="Times New Roman" w:hint="eastAsia"/>
          <w:color w:val="000000" w:themeColor="text1"/>
          <w:kern w:val="0"/>
          <w:lang w:bidi="ar"/>
        </w:rPr>
        <w:t>，</w:t>
      </w:r>
      <w:r w:rsidRPr="008A2411">
        <w:rPr>
          <w:rFonts w:ascii="Times New Roman" w:hAnsi="Times New Roman"/>
          <w:color w:val="000000" w:themeColor="text1"/>
          <w:kern w:val="0"/>
          <w:lang w:bidi="ar"/>
        </w:rPr>
        <w:t>其管线排向事故</w:t>
      </w:r>
      <w:r w:rsidR="00E321C0" w:rsidRPr="008A2411">
        <w:rPr>
          <w:rFonts w:ascii="Times New Roman" w:hAnsi="Times New Roman" w:hint="eastAsia"/>
          <w:color w:val="000000" w:themeColor="text1"/>
          <w:kern w:val="0"/>
          <w:lang w:bidi="ar"/>
        </w:rPr>
        <w:t>水</w:t>
      </w:r>
      <w:r w:rsidRPr="008A2411">
        <w:rPr>
          <w:rFonts w:ascii="Times New Roman" w:hAnsi="Times New Roman"/>
          <w:color w:val="000000" w:themeColor="text1"/>
          <w:kern w:val="0"/>
          <w:lang w:bidi="ar"/>
        </w:rPr>
        <w:t>池，一个阀门（常开，事故时关闭）</w:t>
      </w:r>
      <w:r w:rsidR="00E321C0" w:rsidRPr="008A2411">
        <w:rPr>
          <w:rFonts w:ascii="Times New Roman" w:hAnsi="Times New Roman" w:hint="eastAsia"/>
          <w:color w:val="000000" w:themeColor="text1"/>
          <w:kern w:val="0"/>
          <w:lang w:bidi="ar"/>
        </w:rPr>
        <w:t>，</w:t>
      </w:r>
      <w:r w:rsidRPr="008A2411">
        <w:rPr>
          <w:rFonts w:ascii="Times New Roman" w:hAnsi="Times New Roman"/>
          <w:color w:val="000000" w:themeColor="text1"/>
          <w:kern w:val="0"/>
          <w:lang w:bidi="ar"/>
        </w:rPr>
        <w:t>其管线排向雨水管网。全厂</w:t>
      </w:r>
      <w:r w:rsidR="00E321C0" w:rsidRPr="008A2411">
        <w:rPr>
          <w:rFonts w:ascii="Times New Roman" w:hAnsi="Times New Roman" w:hint="eastAsia"/>
          <w:color w:val="000000" w:themeColor="text1"/>
          <w:kern w:val="0"/>
          <w:lang w:bidi="ar"/>
        </w:rPr>
        <w:t>非初期</w:t>
      </w:r>
      <w:r w:rsidRPr="008A2411">
        <w:rPr>
          <w:rFonts w:ascii="Times New Roman" w:hAnsi="Times New Roman"/>
          <w:color w:val="000000" w:themeColor="text1"/>
          <w:kern w:val="0"/>
          <w:lang w:bidi="ar"/>
        </w:rPr>
        <w:t>雨水采用路边排水沟收集，集中在南北两侧，并在南侧排出场外。</w:t>
      </w:r>
    </w:p>
    <w:p w14:paraId="2FEE1913"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2</w:t>
      </w:r>
      <w:r w:rsidRPr="008A2411">
        <w:rPr>
          <w:rFonts w:ascii="Times New Roman" w:hAnsi="Times New Roman"/>
          <w:color w:val="000000" w:themeColor="text1"/>
        </w:rPr>
        <w:t>）消防系统</w:t>
      </w:r>
    </w:p>
    <w:p w14:paraId="5C44CAF6" w14:textId="77777777" w:rsidR="00B0005F" w:rsidRPr="008A2411" w:rsidRDefault="00000000">
      <w:pPr>
        <w:widowControl/>
        <w:tabs>
          <w:tab w:val="left" w:pos="377"/>
        </w:tabs>
        <w:adjustRightInd w:val="0"/>
        <w:spacing w:line="360" w:lineRule="auto"/>
        <w:ind w:firstLineChars="200" w:firstLine="480"/>
        <w:rPr>
          <w:rFonts w:ascii="Times New Roman"/>
          <w:color w:val="000000" w:themeColor="text1"/>
          <w:szCs w:val="28"/>
        </w:rPr>
      </w:pPr>
      <w:r w:rsidRPr="008A2411">
        <w:rPr>
          <w:rFonts w:ascii="Times New Roman"/>
          <w:color w:val="000000" w:themeColor="text1"/>
          <w:szCs w:val="28"/>
        </w:rPr>
        <w:t>新建消防水泵房一座，配有消防水罐</w:t>
      </w:r>
      <w:r w:rsidRPr="008A2411">
        <w:rPr>
          <w:rFonts w:ascii="Times New Roman"/>
          <w:color w:val="000000" w:themeColor="text1"/>
          <w:szCs w:val="28"/>
        </w:rPr>
        <w:t>2</w:t>
      </w:r>
      <w:r w:rsidRPr="008A2411">
        <w:rPr>
          <w:rFonts w:ascii="Times New Roman"/>
          <w:color w:val="000000" w:themeColor="text1"/>
          <w:szCs w:val="28"/>
        </w:rPr>
        <w:t>座，总有效容积约</w:t>
      </w:r>
      <w:r w:rsidRPr="008A2411">
        <w:rPr>
          <w:rFonts w:ascii="Times New Roman"/>
          <w:color w:val="000000" w:themeColor="text1"/>
          <w:szCs w:val="28"/>
        </w:rPr>
        <w:t>7200m</w:t>
      </w:r>
      <w:r w:rsidRPr="008A2411">
        <w:rPr>
          <w:rFonts w:ascii="Times New Roman"/>
          <w:color w:val="000000" w:themeColor="text1"/>
          <w:szCs w:val="28"/>
          <w:vertAlign w:val="superscript"/>
        </w:rPr>
        <w:t>3</w:t>
      </w:r>
      <w:r w:rsidRPr="008A2411">
        <w:rPr>
          <w:rFonts w:ascii="Times New Roman"/>
          <w:color w:val="000000" w:themeColor="text1"/>
          <w:szCs w:val="28"/>
        </w:rPr>
        <w:t>。泵房内设有消防水泵和消防稳压泵等消防设备。</w:t>
      </w:r>
    </w:p>
    <w:p w14:paraId="562B3022" w14:textId="77777777" w:rsidR="00B0005F" w:rsidRPr="008A2411" w:rsidRDefault="00000000">
      <w:pPr>
        <w:widowControl/>
        <w:tabs>
          <w:tab w:val="left" w:pos="377"/>
        </w:tabs>
        <w:adjustRightInd w:val="0"/>
        <w:spacing w:line="360" w:lineRule="auto"/>
        <w:ind w:firstLineChars="200" w:firstLine="480"/>
        <w:rPr>
          <w:rFonts w:ascii="Times New Roman"/>
          <w:color w:val="000000" w:themeColor="text1"/>
          <w:szCs w:val="28"/>
        </w:rPr>
      </w:pPr>
      <w:r w:rsidRPr="008A2411">
        <w:rPr>
          <w:rFonts w:ascii="Times New Roman"/>
          <w:color w:val="000000" w:themeColor="text1"/>
          <w:szCs w:val="28"/>
        </w:rPr>
        <w:lastRenderedPageBreak/>
        <w:t>消防泵房地上式设置。泵房内设置消防泵组</w:t>
      </w:r>
      <w:r w:rsidRPr="008A2411">
        <w:rPr>
          <w:rFonts w:ascii="Times New Roman"/>
          <w:color w:val="000000" w:themeColor="text1"/>
          <w:szCs w:val="28"/>
        </w:rPr>
        <w:t>4</w:t>
      </w:r>
      <w:r w:rsidRPr="008A2411">
        <w:rPr>
          <w:rFonts w:ascii="Times New Roman"/>
          <w:color w:val="000000" w:themeColor="text1"/>
          <w:szCs w:val="28"/>
        </w:rPr>
        <w:t>台，两用两备；其中两台电动泵，</w:t>
      </w:r>
      <w:r w:rsidRPr="008A2411">
        <w:rPr>
          <w:rFonts w:ascii="Times New Roman"/>
          <w:color w:val="000000" w:themeColor="text1"/>
          <w:szCs w:val="28"/>
        </w:rPr>
        <w:t xml:space="preserve"> Q=558m</w:t>
      </w:r>
      <w:r w:rsidRPr="008A2411">
        <w:rPr>
          <w:rFonts w:ascii="Times New Roman"/>
          <w:color w:val="000000" w:themeColor="text1"/>
          <w:szCs w:val="28"/>
          <w:vertAlign w:val="superscript"/>
        </w:rPr>
        <w:t>3</w:t>
      </w:r>
      <w:r w:rsidRPr="008A2411">
        <w:rPr>
          <w:rFonts w:ascii="Times New Roman"/>
          <w:color w:val="000000" w:themeColor="text1"/>
          <w:szCs w:val="28"/>
        </w:rPr>
        <w:t>/h</w:t>
      </w:r>
      <w:r w:rsidRPr="008A2411">
        <w:rPr>
          <w:rFonts w:ascii="Times New Roman"/>
          <w:color w:val="000000" w:themeColor="text1"/>
          <w:szCs w:val="28"/>
        </w:rPr>
        <w:t>，</w:t>
      </w:r>
      <w:r w:rsidRPr="008A2411">
        <w:rPr>
          <w:rFonts w:ascii="Times New Roman"/>
          <w:color w:val="000000" w:themeColor="text1"/>
          <w:szCs w:val="28"/>
        </w:rPr>
        <w:t>H=100m</w:t>
      </w:r>
      <w:r w:rsidRPr="008A2411">
        <w:rPr>
          <w:rFonts w:ascii="Times New Roman"/>
          <w:color w:val="000000" w:themeColor="text1"/>
          <w:szCs w:val="28"/>
        </w:rPr>
        <w:t>；两台柴油泵，</w:t>
      </w:r>
      <w:r w:rsidRPr="008A2411">
        <w:rPr>
          <w:rFonts w:ascii="Times New Roman"/>
          <w:color w:val="000000" w:themeColor="text1"/>
          <w:szCs w:val="28"/>
        </w:rPr>
        <w:t>Q=558m</w:t>
      </w:r>
      <w:r w:rsidRPr="008A2411">
        <w:rPr>
          <w:rFonts w:ascii="Times New Roman"/>
          <w:color w:val="000000" w:themeColor="text1"/>
          <w:szCs w:val="28"/>
          <w:vertAlign w:val="superscript"/>
        </w:rPr>
        <w:t>3</w:t>
      </w:r>
      <w:r w:rsidRPr="008A2411">
        <w:rPr>
          <w:rFonts w:ascii="Times New Roman"/>
          <w:color w:val="000000" w:themeColor="text1"/>
          <w:szCs w:val="28"/>
        </w:rPr>
        <w:t>/h</w:t>
      </w:r>
      <w:r w:rsidRPr="008A2411">
        <w:rPr>
          <w:rFonts w:ascii="Times New Roman"/>
          <w:color w:val="000000" w:themeColor="text1"/>
          <w:szCs w:val="28"/>
        </w:rPr>
        <w:t>，</w:t>
      </w:r>
      <w:r w:rsidRPr="008A2411">
        <w:rPr>
          <w:rFonts w:ascii="Times New Roman"/>
          <w:color w:val="000000" w:themeColor="text1"/>
          <w:szCs w:val="28"/>
        </w:rPr>
        <w:t>H=100m</w:t>
      </w:r>
      <w:r w:rsidRPr="008A2411">
        <w:rPr>
          <w:rFonts w:ascii="Times New Roman"/>
          <w:color w:val="000000" w:themeColor="text1"/>
          <w:szCs w:val="28"/>
        </w:rPr>
        <w:t>，且柴油机的油料储备满足机组连续运转</w:t>
      </w:r>
      <w:r w:rsidRPr="008A2411">
        <w:rPr>
          <w:rFonts w:ascii="Times New Roman"/>
          <w:color w:val="000000" w:themeColor="text1"/>
          <w:szCs w:val="28"/>
        </w:rPr>
        <w:t>6h</w:t>
      </w:r>
      <w:r w:rsidRPr="008A2411">
        <w:rPr>
          <w:rFonts w:ascii="Times New Roman"/>
          <w:color w:val="000000" w:themeColor="text1"/>
          <w:szCs w:val="28"/>
        </w:rPr>
        <w:t>的要求。设置电动稳压泵两台，一用</w:t>
      </w:r>
      <w:proofErr w:type="gramStart"/>
      <w:r w:rsidRPr="008A2411">
        <w:rPr>
          <w:rFonts w:ascii="Times New Roman"/>
          <w:color w:val="000000" w:themeColor="text1"/>
          <w:szCs w:val="28"/>
        </w:rPr>
        <w:t>一</w:t>
      </w:r>
      <w:proofErr w:type="gramEnd"/>
      <w:r w:rsidRPr="008A2411">
        <w:rPr>
          <w:rFonts w:ascii="Times New Roman"/>
          <w:color w:val="000000" w:themeColor="text1"/>
          <w:szCs w:val="28"/>
        </w:rPr>
        <w:t>备，</w:t>
      </w:r>
      <w:r w:rsidRPr="008A2411">
        <w:rPr>
          <w:rFonts w:ascii="Times New Roman"/>
          <w:color w:val="000000" w:themeColor="text1"/>
          <w:szCs w:val="28"/>
        </w:rPr>
        <w:t xml:space="preserve"> Q=15m</w:t>
      </w:r>
      <w:r w:rsidRPr="008A2411">
        <w:rPr>
          <w:rFonts w:ascii="Times New Roman"/>
          <w:color w:val="000000" w:themeColor="text1"/>
          <w:szCs w:val="28"/>
          <w:vertAlign w:val="superscript"/>
        </w:rPr>
        <w:t>3</w:t>
      </w:r>
      <w:r w:rsidRPr="008A2411">
        <w:rPr>
          <w:rFonts w:ascii="Times New Roman"/>
          <w:color w:val="000000" w:themeColor="text1"/>
          <w:szCs w:val="28"/>
        </w:rPr>
        <w:t>/h</w:t>
      </w:r>
      <w:r w:rsidRPr="008A2411">
        <w:rPr>
          <w:rFonts w:ascii="Times New Roman"/>
          <w:color w:val="000000" w:themeColor="text1"/>
          <w:szCs w:val="28"/>
        </w:rPr>
        <w:t>，</w:t>
      </w:r>
      <w:r w:rsidRPr="008A2411">
        <w:rPr>
          <w:rFonts w:ascii="Times New Roman"/>
          <w:color w:val="000000" w:themeColor="text1"/>
          <w:szCs w:val="28"/>
        </w:rPr>
        <w:t>H=110m</w:t>
      </w:r>
      <w:r w:rsidRPr="008A2411">
        <w:rPr>
          <w:rFonts w:ascii="Times New Roman"/>
          <w:color w:val="000000" w:themeColor="text1"/>
          <w:szCs w:val="28"/>
        </w:rPr>
        <w:t>，</w:t>
      </w:r>
      <w:r w:rsidRPr="008A2411">
        <w:rPr>
          <w:rFonts w:ascii="Times New Roman"/>
          <w:color w:val="000000" w:themeColor="text1"/>
          <w:szCs w:val="28"/>
        </w:rPr>
        <w:t>N=30kW</w:t>
      </w:r>
      <w:r w:rsidRPr="008A2411">
        <w:rPr>
          <w:rFonts w:ascii="Times New Roman"/>
          <w:color w:val="000000" w:themeColor="text1"/>
          <w:szCs w:val="28"/>
        </w:rPr>
        <w:t>；隔膜式气压罐一座，</w:t>
      </w:r>
      <w:r w:rsidRPr="008A2411">
        <w:rPr>
          <w:rFonts w:ascii="Times New Roman"/>
          <w:color w:val="000000" w:themeColor="text1"/>
          <w:szCs w:val="28"/>
        </w:rPr>
        <w:t>V=450L</w:t>
      </w:r>
      <w:r w:rsidRPr="008A2411">
        <w:rPr>
          <w:rFonts w:ascii="Times New Roman"/>
          <w:color w:val="000000" w:themeColor="text1"/>
          <w:szCs w:val="28"/>
        </w:rPr>
        <w:t>。稳压</w:t>
      </w:r>
      <w:proofErr w:type="gramStart"/>
      <w:r w:rsidRPr="008A2411">
        <w:rPr>
          <w:rFonts w:ascii="Times New Roman"/>
          <w:color w:val="000000" w:themeColor="text1"/>
          <w:szCs w:val="28"/>
        </w:rPr>
        <w:t>泵主要</w:t>
      </w:r>
      <w:proofErr w:type="gramEnd"/>
      <w:r w:rsidRPr="008A2411">
        <w:rPr>
          <w:rFonts w:ascii="Times New Roman"/>
          <w:color w:val="000000" w:themeColor="text1"/>
          <w:szCs w:val="28"/>
        </w:rPr>
        <w:t>用于维持平时高压消防水管网的压力，而气压罐则是为了减少稳压泵的启闭次数。消防泵房由两路出水管与室外的稳高压消防水环网相连接。消防主泵开启和稳压泵启闭根据管网压力自动控制。</w:t>
      </w:r>
    </w:p>
    <w:p w14:paraId="51E2705A"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3</w:t>
      </w:r>
      <w:r w:rsidRPr="008A2411">
        <w:rPr>
          <w:rFonts w:ascii="Times New Roman" w:hAnsi="Times New Roman"/>
          <w:color w:val="000000" w:themeColor="text1"/>
        </w:rPr>
        <w:t>）供配电</w:t>
      </w:r>
    </w:p>
    <w:p w14:paraId="76FD0B07" w14:textId="77777777" w:rsidR="00B0005F" w:rsidRPr="008A2411" w:rsidRDefault="00000000">
      <w:pPr>
        <w:widowControl/>
        <w:tabs>
          <w:tab w:val="left" w:pos="377"/>
        </w:tabs>
        <w:adjustRightInd w:val="0"/>
        <w:spacing w:line="360" w:lineRule="auto"/>
        <w:ind w:firstLineChars="200" w:firstLine="480"/>
        <w:rPr>
          <w:rFonts w:ascii="Times New Roman"/>
          <w:color w:val="000000" w:themeColor="text1"/>
        </w:rPr>
      </w:pPr>
      <w:r w:rsidRPr="008A2411">
        <w:rPr>
          <w:rFonts w:ascii="Times New Roman"/>
          <w:color w:val="000000" w:themeColor="text1"/>
          <w:szCs w:val="28"/>
        </w:rPr>
        <w:t>本项目从园区变电站引一路</w:t>
      </w:r>
      <w:r w:rsidRPr="008A2411">
        <w:rPr>
          <w:rFonts w:ascii="Times New Roman"/>
          <w:color w:val="000000" w:themeColor="text1"/>
          <w:szCs w:val="28"/>
        </w:rPr>
        <w:t>35kV</w:t>
      </w:r>
      <w:r w:rsidRPr="008A2411">
        <w:rPr>
          <w:rFonts w:ascii="Times New Roman"/>
          <w:color w:val="000000" w:themeColor="text1"/>
          <w:szCs w:val="28"/>
        </w:rPr>
        <w:t>专线，作为本项目主电源。</w:t>
      </w:r>
      <w:proofErr w:type="gramStart"/>
      <w:r w:rsidRPr="008A2411">
        <w:rPr>
          <w:rFonts w:ascii="Times New Roman"/>
          <w:color w:val="000000" w:themeColor="text1"/>
          <w:szCs w:val="28"/>
        </w:rPr>
        <w:t>另引一路</w:t>
      </w:r>
      <w:proofErr w:type="gramEnd"/>
      <w:r w:rsidRPr="008A2411">
        <w:rPr>
          <w:rFonts w:ascii="Times New Roman"/>
          <w:color w:val="000000" w:themeColor="text1"/>
          <w:szCs w:val="28"/>
        </w:rPr>
        <w:t>10kV</w:t>
      </w:r>
      <w:r w:rsidRPr="008A2411">
        <w:rPr>
          <w:rFonts w:ascii="Times New Roman"/>
          <w:color w:val="000000" w:themeColor="text1"/>
          <w:szCs w:val="28"/>
        </w:rPr>
        <w:t>电源作为本项目备用电源</w:t>
      </w:r>
      <w:r w:rsidRPr="008A2411">
        <w:rPr>
          <w:rFonts w:ascii="Times New Roman"/>
          <w:bCs/>
          <w:color w:val="000000" w:themeColor="text1"/>
          <w:kern w:val="2"/>
          <w:szCs w:val="24"/>
          <w:lang w:bidi="ar"/>
        </w:rPr>
        <w:t>，供一、二级负荷使用</w:t>
      </w:r>
      <w:r w:rsidRPr="008A2411">
        <w:rPr>
          <w:rFonts w:ascii="Times New Roman"/>
          <w:color w:val="000000" w:themeColor="text1"/>
          <w:szCs w:val="24"/>
          <w:lang w:bidi="ar"/>
        </w:rPr>
        <w:t>可以满足本项目需求。</w:t>
      </w:r>
      <w:r w:rsidRPr="008A2411">
        <w:rPr>
          <w:rFonts w:ascii="Times New Roman"/>
          <w:bCs/>
          <w:color w:val="000000" w:themeColor="text1"/>
          <w:szCs w:val="24"/>
          <w:lang w:bidi="ar"/>
        </w:rPr>
        <w:t>35kV</w:t>
      </w:r>
      <w:r w:rsidRPr="008A2411">
        <w:rPr>
          <w:rFonts w:ascii="Times New Roman"/>
          <w:bCs/>
          <w:color w:val="000000" w:themeColor="text1"/>
          <w:szCs w:val="24"/>
          <w:lang w:bidi="ar"/>
        </w:rPr>
        <w:t>专线报装容量为</w:t>
      </w:r>
      <w:r w:rsidRPr="008A2411">
        <w:rPr>
          <w:rFonts w:ascii="Times New Roman"/>
          <w:bCs/>
          <w:color w:val="000000" w:themeColor="text1"/>
          <w:szCs w:val="24"/>
          <w:lang w:bidi="ar"/>
        </w:rPr>
        <w:t>20000kVA</w:t>
      </w:r>
      <w:r w:rsidRPr="008A2411">
        <w:rPr>
          <w:rFonts w:ascii="Times New Roman"/>
          <w:bCs/>
          <w:color w:val="000000" w:themeColor="text1"/>
          <w:szCs w:val="24"/>
          <w:lang w:bidi="ar"/>
        </w:rPr>
        <w:t>，</w:t>
      </w:r>
      <w:r w:rsidRPr="008A2411">
        <w:rPr>
          <w:rFonts w:ascii="Times New Roman"/>
          <w:bCs/>
          <w:color w:val="000000" w:themeColor="text1"/>
          <w:szCs w:val="24"/>
          <w:lang w:bidi="ar"/>
        </w:rPr>
        <w:t>10kV</w:t>
      </w:r>
      <w:r w:rsidRPr="008A2411">
        <w:rPr>
          <w:rFonts w:ascii="Times New Roman"/>
          <w:bCs/>
          <w:color w:val="000000" w:themeColor="text1"/>
          <w:szCs w:val="24"/>
          <w:lang w:bidi="ar"/>
        </w:rPr>
        <w:t>线路报装容量</w:t>
      </w:r>
      <w:r w:rsidRPr="008A2411">
        <w:rPr>
          <w:rFonts w:ascii="Times New Roman"/>
          <w:bCs/>
          <w:color w:val="000000" w:themeColor="text1"/>
          <w:szCs w:val="24"/>
          <w:lang w:bidi="ar"/>
        </w:rPr>
        <w:t>1200kVA</w:t>
      </w:r>
      <w:r w:rsidRPr="008A2411">
        <w:rPr>
          <w:rFonts w:ascii="Times New Roman"/>
          <w:color w:val="000000" w:themeColor="text1"/>
        </w:rPr>
        <w:t>。</w:t>
      </w:r>
    </w:p>
    <w:p w14:paraId="64F80B52" w14:textId="22F4923E" w:rsidR="00C27D2A" w:rsidRPr="008A2411" w:rsidRDefault="00C27D2A" w:rsidP="00C27D2A">
      <w:pPr>
        <w:pStyle w:val="42"/>
        <w:snapToGrid w:val="0"/>
        <w:spacing w:before="0" w:after="0" w:line="360" w:lineRule="auto"/>
        <w:rPr>
          <w:rFonts w:ascii="Times New Roman" w:hAnsi="Times New Roman"/>
          <w:b w:val="0"/>
          <w:color w:val="000000" w:themeColor="text1"/>
          <w:kern w:val="0"/>
          <w:sz w:val="24"/>
          <w:szCs w:val="24"/>
          <w:lang w:bidi="en-US"/>
        </w:rPr>
      </w:pPr>
      <w:r w:rsidRPr="008A2411">
        <w:rPr>
          <w:rFonts w:ascii="Times New Roman" w:hAnsi="Times New Roman"/>
          <w:b w:val="0"/>
          <w:color w:val="000000" w:themeColor="text1"/>
          <w:kern w:val="0"/>
          <w:sz w:val="24"/>
          <w:szCs w:val="24"/>
          <w:lang w:bidi="en-US"/>
        </w:rPr>
        <w:t xml:space="preserve">3.1.6 </w:t>
      </w:r>
      <w:r w:rsidRPr="008A2411">
        <w:rPr>
          <w:rFonts w:ascii="Times New Roman" w:hAnsi="Times New Roman" w:hint="eastAsia"/>
          <w:b w:val="0"/>
          <w:color w:val="000000" w:themeColor="text1"/>
          <w:kern w:val="0"/>
          <w:sz w:val="24"/>
          <w:szCs w:val="24"/>
          <w:lang w:bidi="en-US"/>
        </w:rPr>
        <w:t>项目经济技术指标</w:t>
      </w:r>
    </w:p>
    <w:p w14:paraId="6FF28A2C" w14:textId="0D498BC7" w:rsidR="00C27D2A" w:rsidRPr="008A2411" w:rsidRDefault="00C27D2A" w:rsidP="00C27D2A">
      <w:pPr>
        <w:widowControl/>
        <w:tabs>
          <w:tab w:val="left" w:pos="377"/>
        </w:tabs>
        <w:adjustRightInd w:val="0"/>
        <w:spacing w:line="360" w:lineRule="auto"/>
        <w:ind w:firstLineChars="200" w:firstLine="480"/>
        <w:rPr>
          <w:rFonts w:ascii="Times New Roman"/>
          <w:color w:val="000000" w:themeColor="text1"/>
        </w:rPr>
      </w:pPr>
      <w:r w:rsidRPr="008A2411">
        <w:rPr>
          <w:rFonts w:ascii="Times New Roman"/>
          <w:color w:val="000000" w:themeColor="text1"/>
          <w:szCs w:val="28"/>
        </w:rPr>
        <w:t>本项目</w:t>
      </w:r>
      <w:r w:rsidRPr="008A2411">
        <w:rPr>
          <w:rFonts w:ascii="Times New Roman" w:hint="eastAsia"/>
          <w:color w:val="000000" w:themeColor="text1"/>
          <w:szCs w:val="28"/>
        </w:rPr>
        <w:t>经济技术指标情况如下</w:t>
      </w:r>
      <w:r w:rsidRPr="008A2411">
        <w:rPr>
          <w:rFonts w:ascii="Times New Roman"/>
          <w:color w:val="000000" w:themeColor="text1"/>
        </w:rPr>
        <w:t>。</w:t>
      </w:r>
    </w:p>
    <w:p w14:paraId="17E1A3CC" w14:textId="7AF5AE0F" w:rsidR="00C27D2A" w:rsidRPr="008A2411" w:rsidRDefault="00C27D2A" w:rsidP="00C27D2A">
      <w:pPr>
        <w:pStyle w:val="WJ0"/>
        <w:spacing w:line="240" w:lineRule="auto"/>
        <w:rPr>
          <w:rFonts w:ascii="Times New Roman" w:hAnsi="Times New Roman"/>
          <w:color w:val="000000" w:themeColor="text1"/>
        </w:rPr>
      </w:pPr>
      <w:r w:rsidRPr="008A2411">
        <w:rPr>
          <w:rFonts w:ascii="Times New Roman" w:hAnsi="Times New Roman"/>
          <w:color w:val="000000" w:themeColor="text1"/>
        </w:rPr>
        <w:t>表</w:t>
      </w:r>
      <w:r w:rsidRPr="008A2411">
        <w:rPr>
          <w:rFonts w:ascii="Times New Roman" w:hAnsi="Times New Roman"/>
          <w:color w:val="000000" w:themeColor="text1"/>
        </w:rPr>
        <w:t xml:space="preserve">3.1-8  </w:t>
      </w:r>
      <w:r w:rsidRPr="008A2411">
        <w:rPr>
          <w:rFonts w:ascii="Times New Roman" w:hAnsi="Times New Roman" w:hint="eastAsia"/>
          <w:color w:val="000000" w:themeColor="text1"/>
        </w:rPr>
        <w:t>本项目主要经济技术指标</w:t>
      </w:r>
      <w:r w:rsidRPr="008A2411">
        <w:rPr>
          <w:rFonts w:ascii="Times New Roman" w:hAnsi="Times New Roman"/>
          <w:color w:val="000000" w:themeColor="text1"/>
        </w:rPr>
        <w:t>表</w:t>
      </w:r>
    </w:p>
    <w:tbl>
      <w:tblPr>
        <w:tblW w:w="9055"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829"/>
        <w:gridCol w:w="4480"/>
        <w:gridCol w:w="1288"/>
        <w:gridCol w:w="1150"/>
        <w:gridCol w:w="1308"/>
      </w:tblGrid>
      <w:tr w:rsidR="008A2411" w:rsidRPr="008A2411" w14:paraId="1B03598B" w14:textId="77777777" w:rsidTr="00C27D2A">
        <w:trPr>
          <w:tblHeader/>
        </w:trPr>
        <w:tc>
          <w:tcPr>
            <w:tcW w:w="829" w:type="dxa"/>
            <w:vAlign w:val="center"/>
          </w:tcPr>
          <w:p w14:paraId="27054096"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序号</w:t>
            </w:r>
          </w:p>
        </w:tc>
        <w:tc>
          <w:tcPr>
            <w:tcW w:w="4480" w:type="dxa"/>
            <w:vAlign w:val="center"/>
          </w:tcPr>
          <w:p w14:paraId="0F8B8A12"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项目名称</w:t>
            </w:r>
          </w:p>
        </w:tc>
        <w:tc>
          <w:tcPr>
            <w:tcW w:w="1288" w:type="dxa"/>
            <w:vAlign w:val="center"/>
          </w:tcPr>
          <w:p w14:paraId="773C8444"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单位</w:t>
            </w:r>
          </w:p>
        </w:tc>
        <w:tc>
          <w:tcPr>
            <w:tcW w:w="1150" w:type="dxa"/>
            <w:vAlign w:val="center"/>
          </w:tcPr>
          <w:p w14:paraId="67AB1997"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指标</w:t>
            </w:r>
          </w:p>
        </w:tc>
        <w:tc>
          <w:tcPr>
            <w:tcW w:w="1308" w:type="dxa"/>
            <w:vAlign w:val="center"/>
          </w:tcPr>
          <w:p w14:paraId="2A019D7C"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备注</w:t>
            </w:r>
          </w:p>
        </w:tc>
      </w:tr>
      <w:tr w:rsidR="008A2411" w:rsidRPr="008A2411" w14:paraId="15AD2EDC" w14:textId="77777777" w:rsidTr="00C27D2A">
        <w:tc>
          <w:tcPr>
            <w:tcW w:w="829" w:type="dxa"/>
            <w:vAlign w:val="center"/>
          </w:tcPr>
          <w:p w14:paraId="6A8EE583"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roofErr w:type="gramStart"/>
            <w:r w:rsidRPr="008A2411">
              <w:rPr>
                <w:rFonts w:ascii="Times New Roman" w:eastAsiaTheme="minorEastAsia"/>
                <w:color w:val="000000" w:themeColor="text1"/>
                <w:sz w:val="21"/>
                <w:szCs w:val="21"/>
              </w:rPr>
              <w:t>一</w:t>
            </w:r>
            <w:proofErr w:type="gramEnd"/>
          </w:p>
        </w:tc>
        <w:tc>
          <w:tcPr>
            <w:tcW w:w="4480" w:type="dxa"/>
            <w:vAlign w:val="center"/>
          </w:tcPr>
          <w:p w14:paraId="0707BF64"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生产规模</w:t>
            </w:r>
          </w:p>
        </w:tc>
        <w:tc>
          <w:tcPr>
            <w:tcW w:w="1288" w:type="dxa"/>
            <w:vAlign w:val="center"/>
          </w:tcPr>
          <w:p w14:paraId="4F4608EA"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eastAsia="en-US" w:bidi="en-US"/>
              </w:rPr>
              <w:t>10</w:t>
            </w:r>
            <w:r w:rsidRPr="008A2411">
              <w:rPr>
                <w:rFonts w:ascii="Times New Roman" w:eastAsiaTheme="minorEastAsia"/>
                <w:color w:val="000000" w:themeColor="text1"/>
                <w:sz w:val="21"/>
                <w:szCs w:val="21"/>
                <w:vertAlign w:val="superscript"/>
                <w:lang w:eastAsia="en-US" w:bidi="en-US"/>
              </w:rPr>
              <w:t>4</w:t>
            </w:r>
            <w:r w:rsidRPr="008A2411">
              <w:rPr>
                <w:rFonts w:ascii="Times New Roman" w:eastAsiaTheme="minorEastAsia"/>
                <w:color w:val="000000" w:themeColor="text1"/>
                <w:sz w:val="21"/>
                <w:szCs w:val="21"/>
                <w:lang w:eastAsia="en-US" w:bidi="en-US"/>
              </w:rPr>
              <w:t>Nm</w:t>
            </w:r>
            <w:r w:rsidRPr="008A2411">
              <w:rPr>
                <w:rFonts w:ascii="Times New Roman" w:eastAsiaTheme="minorEastAsia"/>
                <w:color w:val="000000" w:themeColor="text1"/>
                <w:sz w:val="21"/>
                <w:szCs w:val="21"/>
                <w:vertAlign w:val="superscript"/>
                <w:lang w:eastAsia="en-US" w:bidi="en-US"/>
              </w:rPr>
              <w:t>3</w:t>
            </w:r>
            <w:r w:rsidRPr="008A2411">
              <w:rPr>
                <w:rFonts w:ascii="Times New Roman" w:eastAsiaTheme="minorEastAsia"/>
                <w:color w:val="000000" w:themeColor="text1"/>
                <w:sz w:val="21"/>
                <w:szCs w:val="21"/>
                <w:lang w:bidi="en-US"/>
              </w:rPr>
              <w:t>/d</w:t>
            </w:r>
          </w:p>
        </w:tc>
        <w:tc>
          <w:tcPr>
            <w:tcW w:w="1150" w:type="dxa"/>
            <w:vAlign w:val="center"/>
          </w:tcPr>
          <w:p w14:paraId="4CD0CB94"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100</w:t>
            </w:r>
          </w:p>
        </w:tc>
        <w:tc>
          <w:tcPr>
            <w:tcW w:w="1308" w:type="dxa"/>
            <w:vAlign w:val="center"/>
          </w:tcPr>
          <w:p w14:paraId="011ECD0D"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r>
      <w:tr w:rsidR="008A2411" w:rsidRPr="008A2411" w14:paraId="675F267B" w14:textId="77777777" w:rsidTr="00C27D2A">
        <w:tc>
          <w:tcPr>
            <w:tcW w:w="829" w:type="dxa"/>
            <w:vAlign w:val="center"/>
          </w:tcPr>
          <w:p w14:paraId="2FEB7E2C"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二</w:t>
            </w:r>
          </w:p>
        </w:tc>
        <w:tc>
          <w:tcPr>
            <w:tcW w:w="4480" w:type="dxa"/>
            <w:vAlign w:val="center"/>
          </w:tcPr>
          <w:p w14:paraId="78543190"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产品方案</w:t>
            </w:r>
          </w:p>
        </w:tc>
        <w:tc>
          <w:tcPr>
            <w:tcW w:w="1288" w:type="dxa"/>
            <w:vAlign w:val="center"/>
          </w:tcPr>
          <w:p w14:paraId="50FE661F"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c>
          <w:tcPr>
            <w:tcW w:w="1150" w:type="dxa"/>
            <w:vAlign w:val="center"/>
          </w:tcPr>
          <w:p w14:paraId="4AA09EC9"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c>
          <w:tcPr>
            <w:tcW w:w="1308" w:type="dxa"/>
            <w:vAlign w:val="center"/>
          </w:tcPr>
          <w:p w14:paraId="0EF85199"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r>
      <w:tr w:rsidR="008A2411" w:rsidRPr="008A2411" w14:paraId="7DBF4A0F" w14:textId="77777777" w:rsidTr="00C27D2A">
        <w:tc>
          <w:tcPr>
            <w:tcW w:w="829" w:type="dxa"/>
            <w:vAlign w:val="center"/>
          </w:tcPr>
          <w:p w14:paraId="48543CF6"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l</w:t>
            </w:r>
          </w:p>
        </w:tc>
        <w:tc>
          <w:tcPr>
            <w:tcW w:w="4480" w:type="dxa"/>
            <w:vAlign w:val="center"/>
          </w:tcPr>
          <w:p w14:paraId="62B38201"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产品</w:t>
            </w:r>
          </w:p>
        </w:tc>
        <w:tc>
          <w:tcPr>
            <w:tcW w:w="1288" w:type="dxa"/>
            <w:vAlign w:val="center"/>
          </w:tcPr>
          <w:p w14:paraId="1B8F5BFF"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c>
          <w:tcPr>
            <w:tcW w:w="1150" w:type="dxa"/>
            <w:vAlign w:val="center"/>
          </w:tcPr>
          <w:p w14:paraId="65C9143C"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c>
          <w:tcPr>
            <w:tcW w:w="1308" w:type="dxa"/>
            <w:vAlign w:val="center"/>
          </w:tcPr>
          <w:p w14:paraId="6E1A3063"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r>
      <w:tr w:rsidR="008A2411" w:rsidRPr="008A2411" w14:paraId="6418F4C0" w14:textId="77777777" w:rsidTr="004E5720">
        <w:tc>
          <w:tcPr>
            <w:tcW w:w="829" w:type="dxa"/>
            <w:vAlign w:val="center"/>
          </w:tcPr>
          <w:p w14:paraId="2E892AA5" w14:textId="77777777" w:rsidR="00C27D2A" w:rsidRPr="008A2411" w:rsidRDefault="00C27D2A" w:rsidP="00C27D2A">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w:t>
            </w:r>
            <w:r w:rsidRPr="008A2411">
              <w:rPr>
                <w:rFonts w:ascii="Times New Roman" w:eastAsiaTheme="minorEastAsia"/>
                <w:color w:val="000000" w:themeColor="text1"/>
                <w:sz w:val="21"/>
                <w:szCs w:val="21"/>
              </w:rPr>
              <w:t>1</w:t>
            </w:r>
            <w:r w:rsidRPr="008A2411">
              <w:rPr>
                <w:rFonts w:ascii="Times New Roman" w:eastAsiaTheme="minorEastAsia"/>
                <w:color w:val="000000" w:themeColor="text1"/>
                <w:sz w:val="21"/>
                <w:szCs w:val="21"/>
              </w:rPr>
              <w:t>）</w:t>
            </w:r>
          </w:p>
        </w:tc>
        <w:tc>
          <w:tcPr>
            <w:tcW w:w="4480" w:type="dxa"/>
            <w:vAlign w:val="center"/>
          </w:tcPr>
          <w:p w14:paraId="5F35C5E5" w14:textId="77777777" w:rsidR="00C27D2A" w:rsidRPr="008A2411" w:rsidRDefault="00C27D2A" w:rsidP="00C27D2A">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液化天然气</w:t>
            </w:r>
          </w:p>
        </w:tc>
        <w:tc>
          <w:tcPr>
            <w:tcW w:w="1288" w:type="dxa"/>
          </w:tcPr>
          <w:p w14:paraId="2CF5C6BF" w14:textId="3A9F3AD0" w:rsidR="00C27D2A" w:rsidRPr="008A2411" w:rsidRDefault="00C27D2A" w:rsidP="00C27D2A">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t/a</w:t>
            </w:r>
          </w:p>
        </w:tc>
        <w:tc>
          <w:tcPr>
            <w:tcW w:w="1150" w:type="dxa"/>
          </w:tcPr>
          <w:p w14:paraId="6BD65E15" w14:textId="5EF64D58" w:rsidR="00C27D2A" w:rsidRPr="008A2411" w:rsidRDefault="00C27D2A" w:rsidP="00C27D2A">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23×10</w:t>
            </w:r>
            <w:r w:rsidRPr="008A2411">
              <w:rPr>
                <w:rFonts w:ascii="Times New Roman" w:eastAsiaTheme="minorEastAsia"/>
                <w:color w:val="000000" w:themeColor="text1"/>
                <w:sz w:val="21"/>
                <w:szCs w:val="21"/>
                <w:vertAlign w:val="superscript"/>
              </w:rPr>
              <w:t>4</w:t>
            </w:r>
          </w:p>
        </w:tc>
        <w:tc>
          <w:tcPr>
            <w:tcW w:w="1308" w:type="dxa"/>
          </w:tcPr>
          <w:p w14:paraId="19E43D86" w14:textId="2A021F48" w:rsidR="00C27D2A" w:rsidRPr="008A2411" w:rsidRDefault="00C27D2A" w:rsidP="00C27D2A">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主产品，外售</w:t>
            </w:r>
          </w:p>
        </w:tc>
      </w:tr>
      <w:tr w:rsidR="008A2411" w:rsidRPr="008A2411" w14:paraId="78D2161E" w14:textId="77777777" w:rsidTr="00FB0A11">
        <w:tc>
          <w:tcPr>
            <w:tcW w:w="829" w:type="dxa"/>
            <w:vAlign w:val="center"/>
          </w:tcPr>
          <w:p w14:paraId="14AEC808" w14:textId="599A9258" w:rsidR="00C27D2A" w:rsidRPr="008A2411" w:rsidRDefault="00C27D2A" w:rsidP="00C27D2A">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w:t>
            </w:r>
            <w:r w:rsidRPr="008A2411">
              <w:rPr>
                <w:rFonts w:ascii="Times New Roman" w:eastAsiaTheme="minorEastAsia"/>
                <w:color w:val="000000" w:themeColor="text1"/>
                <w:sz w:val="21"/>
                <w:szCs w:val="21"/>
              </w:rPr>
              <w:t>2</w:t>
            </w:r>
            <w:r w:rsidRPr="008A2411">
              <w:rPr>
                <w:rFonts w:ascii="Times New Roman" w:eastAsiaTheme="minorEastAsia"/>
                <w:color w:val="000000" w:themeColor="text1"/>
                <w:sz w:val="21"/>
                <w:szCs w:val="21"/>
              </w:rPr>
              <w:t>）</w:t>
            </w:r>
          </w:p>
        </w:tc>
        <w:tc>
          <w:tcPr>
            <w:tcW w:w="4480" w:type="dxa"/>
            <w:vAlign w:val="center"/>
          </w:tcPr>
          <w:p w14:paraId="103C9CFF" w14:textId="721F34C4" w:rsidR="00C27D2A" w:rsidRPr="008A2411" w:rsidRDefault="00C27D2A" w:rsidP="00C27D2A">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副产品</w:t>
            </w:r>
          </w:p>
        </w:tc>
        <w:tc>
          <w:tcPr>
            <w:tcW w:w="1288" w:type="dxa"/>
          </w:tcPr>
          <w:p w14:paraId="005F9E0F" w14:textId="2171C2DB" w:rsidR="00C27D2A" w:rsidRPr="008A2411" w:rsidRDefault="00C27D2A" w:rsidP="00C27D2A">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t/a</w:t>
            </w:r>
          </w:p>
        </w:tc>
        <w:tc>
          <w:tcPr>
            <w:tcW w:w="1150" w:type="dxa"/>
          </w:tcPr>
          <w:p w14:paraId="6F3F5A7F" w14:textId="244D0EB2" w:rsidR="00C27D2A" w:rsidRPr="008A2411" w:rsidRDefault="00C27D2A" w:rsidP="00C27D2A">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104</w:t>
            </w:r>
          </w:p>
        </w:tc>
        <w:tc>
          <w:tcPr>
            <w:tcW w:w="1308" w:type="dxa"/>
          </w:tcPr>
          <w:p w14:paraId="6C7FAB0E" w14:textId="2AC5E317" w:rsidR="00C27D2A" w:rsidRPr="008A2411" w:rsidRDefault="00C27D2A" w:rsidP="00C27D2A">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副产品，外售</w:t>
            </w:r>
          </w:p>
        </w:tc>
      </w:tr>
      <w:tr w:rsidR="008A2411" w:rsidRPr="008A2411" w14:paraId="73DF1C90" w14:textId="77777777" w:rsidTr="00C27D2A">
        <w:tc>
          <w:tcPr>
            <w:tcW w:w="829" w:type="dxa"/>
            <w:vAlign w:val="center"/>
          </w:tcPr>
          <w:p w14:paraId="2C7256FF"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三</w:t>
            </w:r>
          </w:p>
        </w:tc>
        <w:tc>
          <w:tcPr>
            <w:tcW w:w="4480" w:type="dxa"/>
            <w:vAlign w:val="center"/>
          </w:tcPr>
          <w:p w14:paraId="39804808"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年操作时间</w:t>
            </w:r>
          </w:p>
        </w:tc>
        <w:tc>
          <w:tcPr>
            <w:tcW w:w="1288" w:type="dxa"/>
            <w:vAlign w:val="center"/>
          </w:tcPr>
          <w:p w14:paraId="09583B1E"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小时</w:t>
            </w:r>
          </w:p>
        </w:tc>
        <w:tc>
          <w:tcPr>
            <w:tcW w:w="1150" w:type="dxa"/>
            <w:vAlign w:val="center"/>
          </w:tcPr>
          <w:p w14:paraId="18E0AA12"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8000</w:t>
            </w:r>
          </w:p>
        </w:tc>
        <w:tc>
          <w:tcPr>
            <w:tcW w:w="1308" w:type="dxa"/>
            <w:vAlign w:val="center"/>
          </w:tcPr>
          <w:p w14:paraId="7DE9228B"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r>
      <w:tr w:rsidR="008A2411" w:rsidRPr="008A2411" w14:paraId="2EF87CA0" w14:textId="77777777" w:rsidTr="00C27D2A">
        <w:tc>
          <w:tcPr>
            <w:tcW w:w="829" w:type="dxa"/>
            <w:vAlign w:val="center"/>
          </w:tcPr>
          <w:p w14:paraId="5157BA12"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四</w:t>
            </w:r>
          </w:p>
        </w:tc>
        <w:tc>
          <w:tcPr>
            <w:tcW w:w="4480" w:type="dxa"/>
            <w:vAlign w:val="center"/>
          </w:tcPr>
          <w:p w14:paraId="2D8A24D3"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主要原辅材料、燃料用量</w:t>
            </w:r>
          </w:p>
        </w:tc>
        <w:tc>
          <w:tcPr>
            <w:tcW w:w="1288" w:type="dxa"/>
            <w:vAlign w:val="center"/>
          </w:tcPr>
          <w:p w14:paraId="27B375CA"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c>
          <w:tcPr>
            <w:tcW w:w="1150" w:type="dxa"/>
            <w:vAlign w:val="center"/>
          </w:tcPr>
          <w:p w14:paraId="2ABA96A2"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c>
          <w:tcPr>
            <w:tcW w:w="1308" w:type="dxa"/>
            <w:vAlign w:val="center"/>
          </w:tcPr>
          <w:p w14:paraId="53318CEF"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r>
      <w:tr w:rsidR="008A2411" w:rsidRPr="008A2411" w14:paraId="30F7BA27" w14:textId="77777777" w:rsidTr="00C27D2A">
        <w:tc>
          <w:tcPr>
            <w:tcW w:w="829" w:type="dxa"/>
            <w:vAlign w:val="center"/>
          </w:tcPr>
          <w:p w14:paraId="0DD1CAC3"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l</w:t>
            </w:r>
          </w:p>
        </w:tc>
        <w:tc>
          <w:tcPr>
            <w:tcW w:w="4480" w:type="dxa"/>
            <w:vAlign w:val="center"/>
          </w:tcPr>
          <w:p w14:paraId="445C5D00"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原料天然气</w:t>
            </w:r>
          </w:p>
        </w:tc>
        <w:tc>
          <w:tcPr>
            <w:tcW w:w="1288" w:type="dxa"/>
            <w:vAlign w:val="center"/>
          </w:tcPr>
          <w:p w14:paraId="2668B1C0"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eastAsia="en-US" w:bidi="en-US"/>
              </w:rPr>
              <w:t>10</w:t>
            </w:r>
            <w:r w:rsidRPr="008A2411">
              <w:rPr>
                <w:rFonts w:ascii="Times New Roman" w:eastAsiaTheme="minorEastAsia"/>
                <w:color w:val="000000" w:themeColor="text1"/>
                <w:sz w:val="21"/>
                <w:szCs w:val="21"/>
                <w:vertAlign w:val="superscript"/>
                <w:lang w:bidi="en-US"/>
              </w:rPr>
              <w:t>8</w:t>
            </w:r>
            <w:r w:rsidRPr="008A2411">
              <w:rPr>
                <w:rFonts w:ascii="Times New Roman" w:eastAsiaTheme="minorEastAsia"/>
                <w:color w:val="000000" w:themeColor="text1"/>
                <w:sz w:val="21"/>
                <w:szCs w:val="21"/>
                <w:lang w:eastAsia="en-US" w:bidi="en-US"/>
              </w:rPr>
              <w:t>Nm</w:t>
            </w:r>
            <w:r w:rsidRPr="008A2411">
              <w:rPr>
                <w:rFonts w:ascii="Times New Roman" w:eastAsiaTheme="minorEastAsia"/>
                <w:color w:val="000000" w:themeColor="text1"/>
                <w:sz w:val="21"/>
                <w:szCs w:val="21"/>
                <w:vertAlign w:val="superscript"/>
                <w:lang w:eastAsia="en-US" w:bidi="en-US"/>
              </w:rPr>
              <w:t>3</w:t>
            </w:r>
            <w:r w:rsidRPr="008A2411">
              <w:rPr>
                <w:rFonts w:ascii="Times New Roman" w:eastAsiaTheme="minorEastAsia"/>
                <w:color w:val="000000" w:themeColor="text1"/>
                <w:sz w:val="21"/>
                <w:szCs w:val="21"/>
                <w:lang w:bidi="en-US"/>
              </w:rPr>
              <w:t>/a</w:t>
            </w:r>
          </w:p>
        </w:tc>
        <w:tc>
          <w:tcPr>
            <w:tcW w:w="1150" w:type="dxa"/>
            <w:vAlign w:val="center"/>
          </w:tcPr>
          <w:p w14:paraId="1977EA0B" w14:textId="599FF932"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bidi="ar"/>
              </w:rPr>
              <w:t>33315.5</w:t>
            </w:r>
          </w:p>
        </w:tc>
        <w:tc>
          <w:tcPr>
            <w:tcW w:w="1308" w:type="dxa"/>
            <w:vAlign w:val="center"/>
          </w:tcPr>
          <w:p w14:paraId="285A72ED"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r>
      <w:tr w:rsidR="008A2411" w:rsidRPr="008A2411" w14:paraId="6F3E7269" w14:textId="77777777" w:rsidTr="00C27D2A">
        <w:trPr>
          <w:trHeight w:val="90"/>
        </w:trPr>
        <w:tc>
          <w:tcPr>
            <w:tcW w:w="829" w:type="dxa"/>
            <w:vAlign w:val="center"/>
          </w:tcPr>
          <w:p w14:paraId="2AAD2BA8"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2</w:t>
            </w:r>
          </w:p>
        </w:tc>
        <w:tc>
          <w:tcPr>
            <w:tcW w:w="4480" w:type="dxa"/>
            <w:vAlign w:val="center"/>
          </w:tcPr>
          <w:p w14:paraId="50709C6E"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导热油炉燃料气</w:t>
            </w:r>
          </w:p>
        </w:tc>
        <w:tc>
          <w:tcPr>
            <w:tcW w:w="1288" w:type="dxa"/>
          </w:tcPr>
          <w:p w14:paraId="0B2DFDFB"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10</w:t>
            </w:r>
            <w:r w:rsidRPr="008A2411">
              <w:rPr>
                <w:rFonts w:ascii="Times New Roman" w:eastAsiaTheme="minorEastAsia"/>
                <w:color w:val="000000" w:themeColor="text1"/>
                <w:sz w:val="21"/>
                <w:szCs w:val="21"/>
                <w:vertAlign w:val="superscript"/>
                <w:lang w:bidi="en-US"/>
              </w:rPr>
              <w:t>4</w:t>
            </w:r>
            <w:r w:rsidRPr="008A2411">
              <w:rPr>
                <w:rFonts w:ascii="Times New Roman" w:eastAsiaTheme="minorEastAsia"/>
                <w:color w:val="000000" w:themeColor="text1"/>
                <w:sz w:val="21"/>
                <w:szCs w:val="21"/>
              </w:rPr>
              <w:t>Nm</w:t>
            </w:r>
            <w:r w:rsidRPr="008A2411">
              <w:rPr>
                <w:rFonts w:ascii="Times New Roman" w:eastAsiaTheme="minorEastAsia"/>
                <w:color w:val="000000" w:themeColor="text1"/>
                <w:sz w:val="21"/>
                <w:szCs w:val="21"/>
                <w:vertAlign w:val="superscript"/>
              </w:rPr>
              <w:t>3</w:t>
            </w:r>
            <w:r w:rsidRPr="008A2411">
              <w:rPr>
                <w:rFonts w:ascii="Times New Roman" w:eastAsiaTheme="minorEastAsia"/>
                <w:color w:val="000000" w:themeColor="text1"/>
                <w:sz w:val="21"/>
                <w:szCs w:val="21"/>
              </w:rPr>
              <w:t>/a</w:t>
            </w:r>
          </w:p>
        </w:tc>
        <w:tc>
          <w:tcPr>
            <w:tcW w:w="1150" w:type="dxa"/>
            <w:vAlign w:val="center"/>
          </w:tcPr>
          <w:p w14:paraId="7E754DBD"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555.4</w:t>
            </w:r>
          </w:p>
        </w:tc>
        <w:tc>
          <w:tcPr>
            <w:tcW w:w="1308" w:type="dxa"/>
            <w:vAlign w:val="center"/>
          </w:tcPr>
          <w:p w14:paraId="75343767"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r>
      <w:tr w:rsidR="008A2411" w:rsidRPr="008A2411" w14:paraId="279CCC1D" w14:textId="77777777" w:rsidTr="00C27D2A">
        <w:tc>
          <w:tcPr>
            <w:tcW w:w="829" w:type="dxa"/>
            <w:vAlign w:val="center"/>
          </w:tcPr>
          <w:p w14:paraId="49B81A0F"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3</w:t>
            </w:r>
          </w:p>
        </w:tc>
        <w:tc>
          <w:tcPr>
            <w:tcW w:w="4480" w:type="dxa"/>
            <w:vAlign w:val="center"/>
          </w:tcPr>
          <w:p w14:paraId="36CC8B4A"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roofErr w:type="spellStart"/>
            <w:r w:rsidRPr="008A2411">
              <w:rPr>
                <w:rFonts w:ascii="Times New Roman" w:eastAsiaTheme="minorEastAsia"/>
                <w:color w:val="000000" w:themeColor="text1"/>
                <w:sz w:val="21"/>
                <w:szCs w:val="21"/>
                <w:lang w:eastAsia="en-US"/>
              </w:rPr>
              <w:t>丙烷</w:t>
            </w:r>
            <w:proofErr w:type="spellEnd"/>
          </w:p>
        </w:tc>
        <w:tc>
          <w:tcPr>
            <w:tcW w:w="1288" w:type="dxa"/>
          </w:tcPr>
          <w:p w14:paraId="6008678E"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t/a</w:t>
            </w:r>
          </w:p>
        </w:tc>
        <w:tc>
          <w:tcPr>
            <w:tcW w:w="1150" w:type="dxa"/>
            <w:vAlign w:val="center"/>
          </w:tcPr>
          <w:p w14:paraId="3D798BFA"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39.6</w:t>
            </w:r>
          </w:p>
        </w:tc>
        <w:tc>
          <w:tcPr>
            <w:tcW w:w="1308" w:type="dxa"/>
            <w:vAlign w:val="center"/>
          </w:tcPr>
          <w:p w14:paraId="7AFBC40B"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r>
      <w:tr w:rsidR="008A2411" w:rsidRPr="008A2411" w14:paraId="6115ED18" w14:textId="77777777" w:rsidTr="00C27D2A">
        <w:tc>
          <w:tcPr>
            <w:tcW w:w="829" w:type="dxa"/>
            <w:vAlign w:val="center"/>
          </w:tcPr>
          <w:p w14:paraId="454F4096"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4</w:t>
            </w:r>
          </w:p>
        </w:tc>
        <w:tc>
          <w:tcPr>
            <w:tcW w:w="4480" w:type="dxa"/>
            <w:vAlign w:val="center"/>
          </w:tcPr>
          <w:p w14:paraId="0C6DA259"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roofErr w:type="spellStart"/>
            <w:r w:rsidRPr="008A2411">
              <w:rPr>
                <w:rFonts w:ascii="Times New Roman" w:eastAsiaTheme="minorEastAsia"/>
                <w:color w:val="000000" w:themeColor="text1"/>
                <w:sz w:val="21"/>
                <w:szCs w:val="21"/>
                <w:lang w:eastAsia="en-US"/>
              </w:rPr>
              <w:t>乙烯</w:t>
            </w:r>
            <w:proofErr w:type="spellEnd"/>
          </w:p>
        </w:tc>
        <w:tc>
          <w:tcPr>
            <w:tcW w:w="1288" w:type="dxa"/>
          </w:tcPr>
          <w:p w14:paraId="64F9DA5D"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lang w:eastAsia="en-US"/>
              </w:rPr>
            </w:pPr>
            <w:r w:rsidRPr="008A2411">
              <w:rPr>
                <w:rFonts w:ascii="Times New Roman" w:eastAsiaTheme="minorEastAsia"/>
                <w:color w:val="000000" w:themeColor="text1"/>
                <w:sz w:val="21"/>
                <w:szCs w:val="21"/>
              </w:rPr>
              <w:t>t/a</w:t>
            </w:r>
          </w:p>
        </w:tc>
        <w:tc>
          <w:tcPr>
            <w:tcW w:w="1150" w:type="dxa"/>
            <w:vAlign w:val="center"/>
          </w:tcPr>
          <w:p w14:paraId="603B1E2A"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63.4</w:t>
            </w:r>
          </w:p>
        </w:tc>
        <w:tc>
          <w:tcPr>
            <w:tcW w:w="1308" w:type="dxa"/>
            <w:vAlign w:val="center"/>
          </w:tcPr>
          <w:p w14:paraId="57011F2D"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r>
      <w:tr w:rsidR="008A2411" w:rsidRPr="008A2411" w14:paraId="715BD4D8" w14:textId="77777777" w:rsidTr="00C27D2A">
        <w:tc>
          <w:tcPr>
            <w:tcW w:w="829" w:type="dxa"/>
            <w:vAlign w:val="center"/>
          </w:tcPr>
          <w:p w14:paraId="21359334"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5</w:t>
            </w:r>
          </w:p>
        </w:tc>
        <w:tc>
          <w:tcPr>
            <w:tcW w:w="4480" w:type="dxa"/>
            <w:vAlign w:val="center"/>
          </w:tcPr>
          <w:p w14:paraId="1F5CF16F"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roofErr w:type="spellStart"/>
            <w:r w:rsidRPr="008A2411">
              <w:rPr>
                <w:rFonts w:ascii="Times New Roman" w:eastAsiaTheme="minorEastAsia"/>
                <w:color w:val="000000" w:themeColor="text1"/>
                <w:sz w:val="21"/>
                <w:szCs w:val="21"/>
                <w:lang w:eastAsia="en-US"/>
              </w:rPr>
              <w:t>异戊烷</w:t>
            </w:r>
            <w:proofErr w:type="spellEnd"/>
          </w:p>
        </w:tc>
        <w:tc>
          <w:tcPr>
            <w:tcW w:w="1288" w:type="dxa"/>
          </w:tcPr>
          <w:p w14:paraId="4BA6E400"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lang w:eastAsia="en-US"/>
              </w:rPr>
            </w:pPr>
            <w:r w:rsidRPr="008A2411">
              <w:rPr>
                <w:rFonts w:ascii="Times New Roman" w:eastAsiaTheme="minorEastAsia"/>
                <w:color w:val="000000" w:themeColor="text1"/>
                <w:sz w:val="21"/>
                <w:szCs w:val="21"/>
              </w:rPr>
              <w:t>t/a</w:t>
            </w:r>
          </w:p>
        </w:tc>
        <w:tc>
          <w:tcPr>
            <w:tcW w:w="1150" w:type="dxa"/>
            <w:vAlign w:val="center"/>
          </w:tcPr>
          <w:p w14:paraId="5C85A213"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39.6</w:t>
            </w:r>
          </w:p>
        </w:tc>
        <w:tc>
          <w:tcPr>
            <w:tcW w:w="1308" w:type="dxa"/>
            <w:vAlign w:val="center"/>
          </w:tcPr>
          <w:p w14:paraId="0DA79716"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r>
      <w:tr w:rsidR="008A2411" w:rsidRPr="008A2411" w14:paraId="7A7DB9F3" w14:textId="77777777" w:rsidTr="00C27D2A">
        <w:tc>
          <w:tcPr>
            <w:tcW w:w="829" w:type="dxa"/>
            <w:vAlign w:val="center"/>
          </w:tcPr>
          <w:p w14:paraId="6B0168F6"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6</w:t>
            </w:r>
          </w:p>
        </w:tc>
        <w:tc>
          <w:tcPr>
            <w:tcW w:w="4480" w:type="dxa"/>
            <w:vAlign w:val="center"/>
          </w:tcPr>
          <w:p w14:paraId="3024A75E"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lang w:eastAsia="en-US"/>
              </w:rPr>
            </w:pPr>
            <w:r w:rsidRPr="008A2411">
              <w:rPr>
                <w:rFonts w:ascii="Times New Roman" w:eastAsiaTheme="minorEastAsia"/>
                <w:color w:val="000000" w:themeColor="text1"/>
                <w:sz w:val="21"/>
                <w:szCs w:val="21"/>
                <w:lang w:eastAsia="en-US"/>
              </w:rPr>
              <w:t>MDEA</w:t>
            </w:r>
          </w:p>
        </w:tc>
        <w:tc>
          <w:tcPr>
            <w:tcW w:w="1288" w:type="dxa"/>
          </w:tcPr>
          <w:p w14:paraId="0935A0B0"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lang w:eastAsia="en-US"/>
              </w:rPr>
            </w:pPr>
            <w:r w:rsidRPr="008A2411">
              <w:rPr>
                <w:rFonts w:ascii="Times New Roman" w:eastAsiaTheme="minorEastAsia"/>
                <w:color w:val="000000" w:themeColor="text1"/>
                <w:sz w:val="21"/>
                <w:szCs w:val="21"/>
              </w:rPr>
              <w:t>t/a</w:t>
            </w:r>
          </w:p>
        </w:tc>
        <w:tc>
          <w:tcPr>
            <w:tcW w:w="1150" w:type="dxa"/>
            <w:vAlign w:val="center"/>
          </w:tcPr>
          <w:p w14:paraId="696223C0"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2.97</w:t>
            </w:r>
          </w:p>
        </w:tc>
        <w:tc>
          <w:tcPr>
            <w:tcW w:w="1308" w:type="dxa"/>
            <w:vAlign w:val="center"/>
          </w:tcPr>
          <w:p w14:paraId="75027635"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r>
      <w:tr w:rsidR="008A2411" w:rsidRPr="008A2411" w14:paraId="68D1C5B6" w14:textId="77777777" w:rsidTr="00C27D2A">
        <w:tc>
          <w:tcPr>
            <w:tcW w:w="829" w:type="dxa"/>
            <w:vAlign w:val="center"/>
          </w:tcPr>
          <w:p w14:paraId="4453924B"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7</w:t>
            </w:r>
          </w:p>
        </w:tc>
        <w:tc>
          <w:tcPr>
            <w:tcW w:w="4480" w:type="dxa"/>
            <w:vAlign w:val="center"/>
          </w:tcPr>
          <w:p w14:paraId="55201A31"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lang w:eastAsia="en-US"/>
              </w:rPr>
            </w:pPr>
            <w:proofErr w:type="spellStart"/>
            <w:r w:rsidRPr="008A2411">
              <w:rPr>
                <w:rFonts w:ascii="Times New Roman" w:eastAsiaTheme="minorEastAsia"/>
                <w:color w:val="000000" w:themeColor="text1"/>
                <w:sz w:val="21"/>
                <w:szCs w:val="21"/>
                <w:lang w:eastAsia="en-US"/>
              </w:rPr>
              <w:t>分子筛</w:t>
            </w:r>
            <w:proofErr w:type="spellEnd"/>
          </w:p>
        </w:tc>
        <w:tc>
          <w:tcPr>
            <w:tcW w:w="1288" w:type="dxa"/>
          </w:tcPr>
          <w:p w14:paraId="4B99A690"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lang w:eastAsia="en-US"/>
              </w:rPr>
            </w:pPr>
            <w:r w:rsidRPr="008A2411">
              <w:rPr>
                <w:rFonts w:ascii="Times New Roman" w:eastAsiaTheme="minorEastAsia"/>
                <w:color w:val="000000" w:themeColor="text1"/>
                <w:sz w:val="21"/>
                <w:szCs w:val="21"/>
              </w:rPr>
              <w:t>m3/a</w:t>
            </w:r>
          </w:p>
        </w:tc>
        <w:tc>
          <w:tcPr>
            <w:tcW w:w="1150" w:type="dxa"/>
            <w:vAlign w:val="center"/>
          </w:tcPr>
          <w:p w14:paraId="6097B734" w14:textId="3D7E48D3"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hint="eastAsia"/>
                <w:color w:val="000000" w:themeColor="text1"/>
                <w:sz w:val="21"/>
                <w:szCs w:val="21"/>
              </w:rPr>
              <w:t>22.5</w:t>
            </w:r>
          </w:p>
        </w:tc>
        <w:tc>
          <w:tcPr>
            <w:tcW w:w="1308" w:type="dxa"/>
            <w:vAlign w:val="center"/>
          </w:tcPr>
          <w:p w14:paraId="375C3E60"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r>
      <w:tr w:rsidR="008A2411" w:rsidRPr="008A2411" w14:paraId="0ED4C273" w14:textId="77777777" w:rsidTr="00C27D2A">
        <w:tc>
          <w:tcPr>
            <w:tcW w:w="829" w:type="dxa"/>
            <w:vAlign w:val="center"/>
          </w:tcPr>
          <w:p w14:paraId="529AB2FA"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8</w:t>
            </w:r>
          </w:p>
        </w:tc>
        <w:tc>
          <w:tcPr>
            <w:tcW w:w="4480" w:type="dxa"/>
            <w:vAlign w:val="center"/>
          </w:tcPr>
          <w:p w14:paraId="13D11530"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lang w:eastAsia="en-US"/>
              </w:rPr>
            </w:pPr>
            <w:proofErr w:type="spellStart"/>
            <w:r w:rsidRPr="008A2411">
              <w:rPr>
                <w:rFonts w:ascii="Times New Roman" w:eastAsiaTheme="minorEastAsia"/>
                <w:color w:val="000000" w:themeColor="text1"/>
                <w:sz w:val="21"/>
                <w:szCs w:val="21"/>
                <w:lang w:eastAsia="en-US"/>
              </w:rPr>
              <w:t>过滤活性炭</w:t>
            </w:r>
            <w:proofErr w:type="spellEnd"/>
          </w:p>
        </w:tc>
        <w:tc>
          <w:tcPr>
            <w:tcW w:w="1288" w:type="dxa"/>
          </w:tcPr>
          <w:p w14:paraId="57268949"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lang w:eastAsia="en-US"/>
              </w:rPr>
            </w:pPr>
            <w:r w:rsidRPr="008A2411">
              <w:rPr>
                <w:rFonts w:ascii="Times New Roman" w:eastAsiaTheme="minorEastAsia"/>
                <w:color w:val="000000" w:themeColor="text1"/>
                <w:sz w:val="21"/>
                <w:szCs w:val="21"/>
              </w:rPr>
              <w:t>m3/a</w:t>
            </w:r>
          </w:p>
        </w:tc>
        <w:tc>
          <w:tcPr>
            <w:tcW w:w="1150" w:type="dxa"/>
            <w:vAlign w:val="center"/>
          </w:tcPr>
          <w:p w14:paraId="7C6D8DDB"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10</w:t>
            </w:r>
          </w:p>
        </w:tc>
        <w:tc>
          <w:tcPr>
            <w:tcW w:w="1308" w:type="dxa"/>
            <w:vAlign w:val="center"/>
          </w:tcPr>
          <w:p w14:paraId="11E810AF"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r>
      <w:tr w:rsidR="008A2411" w:rsidRPr="008A2411" w14:paraId="29CB19A3" w14:textId="77777777" w:rsidTr="00C27D2A">
        <w:tc>
          <w:tcPr>
            <w:tcW w:w="829" w:type="dxa"/>
            <w:vAlign w:val="center"/>
          </w:tcPr>
          <w:p w14:paraId="13346416"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9</w:t>
            </w:r>
          </w:p>
        </w:tc>
        <w:tc>
          <w:tcPr>
            <w:tcW w:w="4480" w:type="dxa"/>
            <w:vAlign w:val="center"/>
          </w:tcPr>
          <w:p w14:paraId="5BF05D35"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lang w:eastAsia="en-US"/>
              </w:rPr>
            </w:pPr>
            <w:proofErr w:type="spellStart"/>
            <w:r w:rsidRPr="008A2411">
              <w:rPr>
                <w:rFonts w:ascii="Times New Roman" w:eastAsiaTheme="minorEastAsia"/>
                <w:color w:val="000000" w:themeColor="text1"/>
                <w:sz w:val="21"/>
                <w:szCs w:val="21"/>
                <w:lang w:eastAsia="en-US"/>
              </w:rPr>
              <w:t>冷剂脱水干燥剂</w:t>
            </w:r>
            <w:proofErr w:type="spellEnd"/>
          </w:p>
        </w:tc>
        <w:tc>
          <w:tcPr>
            <w:tcW w:w="1288" w:type="dxa"/>
          </w:tcPr>
          <w:p w14:paraId="2F34A374"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lang w:eastAsia="en-US"/>
              </w:rPr>
            </w:pPr>
            <w:r w:rsidRPr="008A2411">
              <w:rPr>
                <w:rFonts w:ascii="Times New Roman" w:eastAsiaTheme="minorEastAsia"/>
                <w:color w:val="000000" w:themeColor="text1"/>
                <w:sz w:val="21"/>
                <w:szCs w:val="21"/>
              </w:rPr>
              <w:t>m3/a</w:t>
            </w:r>
          </w:p>
        </w:tc>
        <w:tc>
          <w:tcPr>
            <w:tcW w:w="1150" w:type="dxa"/>
            <w:vAlign w:val="center"/>
          </w:tcPr>
          <w:p w14:paraId="116F73E2"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1</w:t>
            </w:r>
          </w:p>
        </w:tc>
        <w:tc>
          <w:tcPr>
            <w:tcW w:w="1308" w:type="dxa"/>
            <w:vAlign w:val="center"/>
          </w:tcPr>
          <w:p w14:paraId="7BBD574D"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r>
      <w:tr w:rsidR="008A2411" w:rsidRPr="008A2411" w14:paraId="3929E4D6" w14:textId="77777777" w:rsidTr="00C27D2A">
        <w:tc>
          <w:tcPr>
            <w:tcW w:w="829" w:type="dxa"/>
            <w:vAlign w:val="center"/>
          </w:tcPr>
          <w:p w14:paraId="6FA35502"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五</w:t>
            </w:r>
          </w:p>
        </w:tc>
        <w:tc>
          <w:tcPr>
            <w:tcW w:w="4480" w:type="dxa"/>
            <w:vAlign w:val="center"/>
          </w:tcPr>
          <w:p w14:paraId="680122EA"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动力消耗量</w:t>
            </w:r>
          </w:p>
        </w:tc>
        <w:tc>
          <w:tcPr>
            <w:tcW w:w="1288" w:type="dxa"/>
            <w:vAlign w:val="center"/>
          </w:tcPr>
          <w:p w14:paraId="0EA54826"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c>
          <w:tcPr>
            <w:tcW w:w="1150" w:type="dxa"/>
            <w:vAlign w:val="center"/>
          </w:tcPr>
          <w:p w14:paraId="75CD84D0"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c>
          <w:tcPr>
            <w:tcW w:w="1308" w:type="dxa"/>
            <w:vAlign w:val="center"/>
          </w:tcPr>
          <w:p w14:paraId="686D0371"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r>
      <w:tr w:rsidR="008A2411" w:rsidRPr="008A2411" w14:paraId="03A0AFB6" w14:textId="77777777" w:rsidTr="00C27D2A">
        <w:tc>
          <w:tcPr>
            <w:tcW w:w="829" w:type="dxa"/>
            <w:vAlign w:val="center"/>
          </w:tcPr>
          <w:p w14:paraId="173CB6F8"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l</w:t>
            </w:r>
          </w:p>
        </w:tc>
        <w:tc>
          <w:tcPr>
            <w:tcW w:w="4480" w:type="dxa"/>
            <w:vAlign w:val="center"/>
          </w:tcPr>
          <w:p w14:paraId="0F43F7AD"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供水（新鲜水）</w:t>
            </w:r>
          </w:p>
        </w:tc>
        <w:tc>
          <w:tcPr>
            <w:tcW w:w="1288" w:type="dxa"/>
            <w:vAlign w:val="center"/>
          </w:tcPr>
          <w:p w14:paraId="3D816870"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t/a</w:t>
            </w:r>
          </w:p>
        </w:tc>
        <w:tc>
          <w:tcPr>
            <w:tcW w:w="1150" w:type="dxa"/>
            <w:vAlign w:val="center"/>
          </w:tcPr>
          <w:p w14:paraId="28905A32" w14:textId="09170C7A"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hint="eastAsia"/>
                <w:color w:val="000000" w:themeColor="text1"/>
                <w:kern w:val="2"/>
                <w:sz w:val="21"/>
                <w:szCs w:val="21"/>
                <w:lang w:bidi="ar"/>
              </w:rPr>
              <w:t>56.95</w:t>
            </w:r>
            <w:r w:rsidRPr="008A2411">
              <w:rPr>
                <w:rFonts w:ascii="Times New Roman" w:eastAsiaTheme="minorEastAsia" w:hint="eastAsia"/>
                <w:color w:val="000000" w:themeColor="text1"/>
                <w:kern w:val="2"/>
                <w:sz w:val="21"/>
                <w:szCs w:val="21"/>
                <w:lang w:bidi="ar"/>
              </w:rPr>
              <w:t>×</w:t>
            </w:r>
            <w:r w:rsidRPr="008A2411">
              <w:rPr>
                <w:rFonts w:ascii="Times New Roman" w:eastAsiaTheme="minorEastAsia"/>
                <w:color w:val="000000" w:themeColor="text1"/>
                <w:kern w:val="2"/>
                <w:sz w:val="21"/>
                <w:szCs w:val="21"/>
                <w:lang w:bidi="ar"/>
              </w:rPr>
              <w:t>10</w:t>
            </w:r>
            <w:r w:rsidRPr="008A2411">
              <w:rPr>
                <w:rFonts w:ascii="Times New Roman" w:eastAsiaTheme="minorEastAsia"/>
                <w:color w:val="000000" w:themeColor="text1"/>
                <w:kern w:val="2"/>
                <w:sz w:val="21"/>
                <w:szCs w:val="21"/>
                <w:vertAlign w:val="superscript"/>
                <w:lang w:bidi="ar"/>
              </w:rPr>
              <w:t>4</w:t>
            </w:r>
          </w:p>
        </w:tc>
        <w:tc>
          <w:tcPr>
            <w:tcW w:w="1308" w:type="dxa"/>
            <w:vAlign w:val="center"/>
          </w:tcPr>
          <w:p w14:paraId="44E0EAE8"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r>
      <w:tr w:rsidR="008A2411" w:rsidRPr="008A2411" w14:paraId="6D9306E6" w14:textId="77777777" w:rsidTr="00C27D2A">
        <w:tc>
          <w:tcPr>
            <w:tcW w:w="829" w:type="dxa"/>
            <w:vAlign w:val="center"/>
          </w:tcPr>
          <w:p w14:paraId="46817C09"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2</w:t>
            </w:r>
          </w:p>
        </w:tc>
        <w:tc>
          <w:tcPr>
            <w:tcW w:w="4480" w:type="dxa"/>
            <w:vAlign w:val="center"/>
          </w:tcPr>
          <w:p w14:paraId="70803178"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供电</w:t>
            </w:r>
          </w:p>
        </w:tc>
        <w:tc>
          <w:tcPr>
            <w:tcW w:w="1288" w:type="dxa"/>
            <w:vAlign w:val="center"/>
          </w:tcPr>
          <w:p w14:paraId="00F6BE63"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c>
          <w:tcPr>
            <w:tcW w:w="1150" w:type="dxa"/>
            <w:vAlign w:val="center"/>
          </w:tcPr>
          <w:p w14:paraId="14F27DC3"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c>
          <w:tcPr>
            <w:tcW w:w="1308" w:type="dxa"/>
            <w:vAlign w:val="center"/>
          </w:tcPr>
          <w:p w14:paraId="35CF523F"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r>
      <w:tr w:rsidR="008A2411" w:rsidRPr="008A2411" w14:paraId="4C67D35D" w14:textId="77777777" w:rsidTr="00C27D2A">
        <w:tc>
          <w:tcPr>
            <w:tcW w:w="829" w:type="dxa"/>
            <w:vAlign w:val="center"/>
          </w:tcPr>
          <w:p w14:paraId="3C7C9D24"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c>
          <w:tcPr>
            <w:tcW w:w="4480" w:type="dxa"/>
            <w:vAlign w:val="center"/>
          </w:tcPr>
          <w:p w14:paraId="13A54406"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装机容量</w:t>
            </w:r>
          </w:p>
        </w:tc>
        <w:tc>
          <w:tcPr>
            <w:tcW w:w="1288" w:type="dxa"/>
            <w:vAlign w:val="center"/>
          </w:tcPr>
          <w:p w14:paraId="462F5AC5"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10</w:t>
            </w:r>
            <w:r w:rsidRPr="008A2411">
              <w:rPr>
                <w:rFonts w:ascii="Times New Roman" w:eastAsiaTheme="minorEastAsia"/>
                <w:color w:val="000000" w:themeColor="text1"/>
                <w:sz w:val="21"/>
                <w:szCs w:val="21"/>
                <w:vertAlign w:val="superscript"/>
              </w:rPr>
              <w:t>4</w:t>
            </w:r>
            <w:r w:rsidRPr="008A2411">
              <w:rPr>
                <w:rFonts w:ascii="Times New Roman" w:eastAsiaTheme="minorEastAsia"/>
                <w:color w:val="000000" w:themeColor="text1"/>
                <w:sz w:val="21"/>
                <w:szCs w:val="21"/>
              </w:rPr>
              <w:t>kW</w:t>
            </w:r>
          </w:p>
        </w:tc>
        <w:tc>
          <w:tcPr>
            <w:tcW w:w="1150" w:type="dxa"/>
            <w:vAlign w:val="center"/>
          </w:tcPr>
          <w:p w14:paraId="21BA0113"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1.353</w:t>
            </w:r>
          </w:p>
        </w:tc>
        <w:tc>
          <w:tcPr>
            <w:tcW w:w="1308" w:type="dxa"/>
            <w:vAlign w:val="center"/>
          </w:tcPr>
          <w:p w14:paraId="77C7F0A5"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r>
      <w:tr w:rsidR="008A2411" w:rsidRPr="008A2411" w14:paraId="54A4821B" w14:textId="77777777" w:rsidTr="00C27D2A">
        <w:tc>
          <w:tcPr>
            <w:tcW w:w="829" w:type="dxa"/>
            <w:vAlign w:val="center"/>
          </w:tcPr>
          <w:p w14:paraId="46248681"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c>
          <w:tcPr>
            <w:tcW w:w="4480" w:type="dxa"/>
            <w:vAlign w:val="center"/>
          </w:tcPr>
          <w:p w14:paraId="0248D60A"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年耗电量</w:t>
            </w:r>
          </w:p>
        </w:tc>
        <w:tc>
          <w:tcPr>
            <w:tcW w:w="1288" w:type="dxa"/>
            <w:vAlign w:val="center"/>
          </w:tcPr>
          <w:p w14:paraId="3F47E293"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10</w:t>
            </w:r>
            <w:r w:rsidRPr="008A2411">
              <w:rPr>
                <w:rFonts w:ascii="Times New Roman" w:eastAsiaTheme="minorEastAsia"/>
                <w:color w:val="000000" w:themeColor="text1"/>
                <w:sz w:val="21"/>
                <w:szCs w:val="21"/>
                <w:vertAlign w:val="superscript"/>
              </w:rPr>
              <w:t>4</w:t>
            </w:r>
            <w:r w:rsidRPr="008A2411">
              <w:rPr>
                <w:rFonts w:ascii="Times New Roman" w:eastAsiaTheme="minorEastAsia"/>
                <w:color w:val="000000" w:themeColor="text1"/>
                <w:sz w:val="21"/>
                <w:szCs w:val="21"/>
              </w:rPr>
              <w:t>kWh</w:t>
            </w:r>
          </w:p>
        </w:tc>
        <w:tc>
          <w:tcPr>
            <w:tcW w:w="1150" w:type="dxa"/>
            <w:vAlign w:val="center"/>
          </w:tcPr>
          <w:p w14:paraId="43CBE9EF"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10824</w:t>
            </w:r>
          </w:p>
        </w:tc>
        <w:tc>
          <w:tcPr>
            <w:tcW w:w="1308" w:type="dxa"/>
            <w:vAlign w:val="center"/>
          </w:tcPr>
          <w:p w14:paraId="00DA6014"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r>
      <w:tr w:rsidR="008A2411" w:rsidRPr="008A2411" w14:paraId="4556017C" w14:textId="77777777" w:rsidTr="00C27D2A">
        <w:trPr>
          <w:trHeight w:val="168"/>
        </w:trPr>
        <w:tc>
          <w:tcPr>
            <w:tcW w:w="829" w:type="dxa"/>
            <w:vAlign w:val="center"/>
          </w:tcPr>
          <w:p w14:paraId="6C71F86A" w14:textId="5EBBBB04"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hint="eastAsia"/>
                <w:color w:val="000000" w:themeColor="text1"/>
                <w:sz w:val="21"/>
                <w:szCs w:val="21"/>
              </w:rPr>
              <w:lastRenderedPageBreak/>
              <w:t>六</w:t>
            </w:r>
          </w:p>
        </w:tc>
        <w:tc>
          <w:tcPr>
            <w:tcW w:w="4480" w:type="dxa"/>
            <w:vAlign w:val="center"/>
          </w:tcPr>
          <w:p w14:paraId="6B53F503"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运输量</w:t>
            </w:r>
          </w:p>
        </w:tc>
        <w:tc>
          <w:tcPr>
            <w:tcW w:w="1288" w:type="dxa"/>
            <w:vAlign w:val="center"/>
          </w:tcPr>
          <w:p w14:paraId="0EEB73B2"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c>
          <w:tcPr>
            <w:tcW w:w="1150" w:type="dxa"/>
            <w:vAlign w:val="center"/>
          </w:tcPr>
          <w:p w14:paraId="79C23406"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c>
          <w:tcPr>
            <w:tcW w:w="1308" w:type="dxa"/>
            <w:vAlign w:val="center"/>
          </w:tcPr>
          <w:p w14:paraId="2A52CB82"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r>
      <w:tr w:rsidR="008A2411" w:rsidRPr="008A2411" w14:paraId="1E43A79A" w14:textId="77777777" w:rsidTr="00C27D2A">
        <w:trPr>
          <w:trHeight w:val="163"/>
        </w:trPr>
        <w:tc>
          <w:tcPr>
            <w:tcW w:w="829" w:type="dxa"/>
            <w:vAlign w:val="center"/>
          </w:tcPr>
          <w:p w14:paraId="0F83C1EC"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1</w:t>
            </w:r>
          </w:p>
        </w:tc>
        <w:tc>
          <w:tcPr>
            <w:tcW w:w="4480" w:type="dxa"/>
            <w:vAlign w:val="center"/>
          </w:tcPr>
          <w:p w14:paraId="4CB34656"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运入量</w:t>
            </w:r>
          </w:p>
        </w:tc>
        <w:tc>
          <w:tcPr>
            <w:tcW w:w="1288" w:type="dxa"/>
            <w:vAlign w:val="center"/>
          </w:tcPr>
          <w:p w14:paraId="149E35A6"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c>
          <w:tcPr>
            <w:tcW w:w="1150" w:type="dxa"/>
            <w:vAlign w:val="center"/>
          </w:tcPr>
          <w:p w14:paraId="147CE412"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c>
          <w:tcPr>
            <w:tcW w:w="1308" w:type="dxa"/>
            <w:vAlign w:val="center"/>
          </w:tcPr>
          <w:p w14:paraId="164633F3"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r>
      <w:tr w:rsidR="008A2411" w:rsidRPr="008A2411" w14:paraId="3FA474F7" w14:textId="77777777" w:rsidTr="00C27D2A">
        <w:trPr>
          <w:trHeight w:val="281"/>
        </w:trPr>
        <w:tc>
          <w:tcPr>
            <w:tcW w:w="829" w:type="dxa"/>
            <w:vAlign w:val="center"/>
          </w:tcPr>
          <w:p w14:paraId="24818CDF"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c>
          <w:tcPr>
            <w:tcW w:w="4480" w:type="dxa"/>
            <w:vAlign w:val="center"/>
          </w:tcPr>
          <w:p w14:paraId="19061D42"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roofErr w:type="spellStart"/>
            <w:r w:rsidRPr="008A2411">
              <w:rPr>
                <w:rFonts w:ascii="Times New Roman" w:eastAsiaTheme="minorEastAsia"/>
                <w:color w:val="000000" w:themeColor="text1"/>
                <w:sz w:val="21"/>
                <w:szCs w:val="21"/>
                <w:lang w:eastAsia="en-US" w:bidi="en-US"/>
              </w:rPr>
              <w:t>天然气</w:t>
            </w:r>
            <w:proofErr w:type="spellEnd"/>
          </w:p>
        </w:tc>
        <w:tc>
          <w:tcPr>
            <w:tcW w:w="1288" w:type="dxa"/>
            <w:vAlign w:val="center"/>
          </w:tcPr>
          <w:p w14:paraId="1A9D2314"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lang w:eastAsia="en-US" w:bidi="en-US"/>
              </w:rPr>
              <w:t>10</w:t>
            </w:r>
            <w:r w:rsidRPr="008A2411">
              <w:rPr>
                <w:rFonts w:ascii="Times New Roman" w:eastAsiaTheme="minorEastAsia"/>
                <w:color w:val="000000" w:themeColor="text1"/>
                <w:sz w:val="21"/>
                <w:szCs w:val="21"/>
                <w:vertAlign w:val="superscript"/>
                <w:lang w:bidi="en-US"/>
              </w:rPr>
              <w:t>8</w:t>
            </w:r>
            <w:r w:rsidRPr="008A2411">
              <w:rPr>
                <w:rFonts w:ascii="Times New Roman" w:eastAsiaTheme="minorEastAsia"/>
                <w:color w:val="000000" w:themeColor="text1"/>
                <w:sz w:val="21"/>
                <w:szCs w:val="21"/>
                <w:lang w:eastAsia="en-US" w:bidi="en-US"/>
              </w:rPr>
              <w:t>N</w:t>
            </w:r>
            <w:r w:rsidRPr="008A2411">
              <w:rPr>
                <w:rFonts w:ascii="Times New Roman" w:eastAsiaTheme="minorEastAsia"/>
                <w:color w:val="000000" w:themeColor="text1"/>
                <w:sz w:val="21"/>
                <w:szCs w:val="21"/>
                <w:lang w:bidi="en-US"/>
              </w:rPr>
              <w:t>m</w:t>
            </w:r>
            <w:r w:rsidRPr="008A2411">
              <w:rPr>
                <w:rFonts w:ascii="Times New Roman" w:eastAsiaTheme="minorEastAsia"/>
                <w:color w:val="000000" w:themeColor="text1"/>
                <w:sz w:val="21"/>
                <w:szCs w:val="21"/>
                <w:vertAlign w:val="superscript"/>
                <w:lang w:eastAsia="en-US" w:bidi="en-US"/>
              </w:rPr>
              <w:t>3</w:t>
            </w:r>
            <w:r w:rsidRPr="008A2411">
              <w:rPr>
                <w:rFonts w:ascii="Times New Roman" w:eastAsiaTheme="minorEastAsia"/>
                <w:color w:val="000000" w:themeColor="text1"/>
                <w:sz w:val="21"/>
                <w:szCs w:val="21"/>
                <w:lang w:bidi="en-US"/>
              </w:rPr>
              <w:t>/a</w:t>
            </w:r>
          </w:p>
        </w:tc>
        <w:tc>
          <w:tcPr>
            <w:tcW w:w="1150" w:type="dxa"/>
            <w:vAlign w:val="center"/>
          </w:tcPr>
          <w:p w14:paraId="19576F4A" w14:textId="4366DBDB"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3.33</w:t>
            </w:r>
            <w:r w:rsidRPr="008A2411">
              <w:rPr>
                <w:rFonts w:ascii="Times New Roman" w:eastAsiaTheme="minorEastAsia" w:hint="eastAsia"/>
                <w:color w:val="000000" w:themeColor="text1"/>
                <w:sz w:val="21"/>
                <w:szCs w:val="21"/>
              </w:rPr>
              <w:t>15</w:t>
            </w:r>
          </w:p>
        </w:tc>
        <w:tc>
          <w:tcPr>
            <w:tcW w:w="1308" w:type="dxa"/>
            <w:vAlign w:val="center"/>
          </w:tcPr>
          <w:p w14:paraId="4A552620" w14:textId="16348236"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hint="eastAsia"/>
                <w:color w:val="000000" w:themeColor="text1"/>
                <w:sz w:val="21"/>
                <w:szCs w:val="21"/>
              </w:rPr>
              <w:t>外部</w:t>
            </w:r>
            <w:r w:rsidRPr="008A2411">
              <w:rPr>
                <w:rFonts w:ascii="Times New Roman" w:eastAsiaTheme="minorEastAsia"/>
                <w:color w:val="000000" w:themeColor="text1"/>
                <w:sz w:val="21"/>
                <w:szCs w:val="21"/>
              </w:rPr>
              <w:t>管道输送</w:t>
            </w:r>
          </w:p>
        </w:tc>
      </w:tr>
      <w:tr w:rsidR="008A2411" w:rsidRPr="008A2411" w14:paraId="6F2501F4" w14:textId="77777777" w:rsidTr="00C27D2A">
        <w:trPr>
          <w:trHeight w:val="163"/>
        </w:trPr>
        <w:tc>
          <w:tcPr>
            <w:tcW w:w="829" w:type="dxa"/>
            <w:vAlign w:val="center"/>
          </w:tcPr>
          <w:p w14:paraId="2327EB51" w14:textId="77777777" w:rsidR="00C27D2A" w:rsidRPr="008A2411" w:rsidRDefault="00C27D2A" w:rsidP="00C27D2A">
            <w:pPr>
              <w:autoSpaceDE w:val="0"/>
              <w:autoSpaceDN w:val="0"/>
              <w:spacing w:line="320" w:lineRule="exact"/>
              <w:jc w:val="center"/>
              <w:rPr>
                <w:rFonts w:ascii="Times New Roman" w:eastAsiaTheme="minorEastAsia"/>
                <w:color w:val="000000" w:themeColor="text1"/>
                <w:sz w:val="21"/>
                <w:szCs w:val="21"/>
              </w:rPr>
            </w:pPr>
          </w:p>
        </w:tc>
        <w:tc>
          <w:tcPr>
            <w:tcW w:w="4480" w:type="dxa"/>
            <w:vAlign w:val="center"/>
          </w:tcPr>
          <w:p w14:paraId="4D7B561F" w14:textId="77777777" w:rsidR="00C27D2A" w:rsidRPr="008A2411" w:rsidRDefault="00C27D2A" w:rsidP="00C27D2A">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丙烷</w:t>
            </w:r>
          </w:p>
        </w:tc>
        <w:tc>
          <w:tcPr>
            <w:tcW w:w="1288" w:type="dxa"/>
            <w:vAlign w:val="center"/>
          </w:tcPr>
          <w:p w14:paraId="0FA3B8FC" w14:textId="77777777" w:rsidR="00C27D2A" w:rsidRPr="008A2411" w:rsidRDefault="00C27D2A" w:rsidP="00C27D2A">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t/a</w:t>
            </w:r>
          </w:p>
        </w:tc>
        <w:tc>
          <w:tcPr>
            <w:tcW w:w="1150" w:type="dxa"/>
            <w:vAlign w:val="center"/>
          </w:tcPr>
          <w:p w14:paraId="16FC473C" w14:textId="0B1EC648" w:rsidR="00C27D2A" w:rsidRPr="008A2411" w:rsidRDefault="00C27D2A" w:rsidP="00C27D2A">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39.6</w:t>
            </w:r>
          </w:p>
        </w:tc>
        <w:tc>
          <w:tcPr>
            <w:tcW w:w="1308" w:type="dxa"/>
            <w:vAlign w:val="center"/>
          </w:tcPr>
          <w:p w14:paraId="6745784D" w14:textId="77777777" w:rsidR="00C27D2A" w:rsidRPr="008A2411" w:rsidRDefault="00C27D2A" w:rsidP="00C27D2A">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槽车运输</w:t>
            </w:r>
          </w:p>
        </w:tc>
      </w:tr>
      <w:tr w:rsidR="008A2411" w:rsidRPr="008A2411" w14:paraId="160A7C6E" w14:textId="77777777" w:rsidTr="00C27D2A">
        <w:trPr>
          <w:trHeight w:val="90"/>
        </w:trPr>
        <w:tc>
          <w:tcPr>
            <w:tcW w:w="829" w:type="dxa"/>
            <w:vAlign w:val="center"/>
          </w:tcPr>
          <w:p w14:paraId="79C8E1A0" w14:textId="77777777" w:rsidR="00C27D2A" w:rsidRPr="008A2411" w:rsidRDefault="00C27D2A" w:rsidP="00C27D2A">
            <w:pPr>
              <w:autoSpaceDE w:val="0"/>
              <w:autoSpaceDN w:val="0"/>
              <w:spacing w:line="320" w:lineRule="exact"/>
              <w:jc w:val="center"/>
              <w:rPr>
                <w:rFonts w:ascii="Times New Roman" w:eastAsiaTheme="minorEastAsia"/>
                <w:color w:val="000000" w:themeColor="text1"/>
                <w:sz w:val="21"/>
                <w:szCs w:val="21"/>
              </w:rPr>
            </w:pPr>
          </w:p>
        </w:tc>
        <w:tc>
          <w:tcPr>
            <w:tcW w:w="4480" w:type="dxa"/>
            <w:vAlign w:val="center"/>
          </w:tcPr>
          <w:p w14:paraId="2A84BE39" w14:textId="77777777" w:rsidR="00C27D2A" w:rsidRPr="008A2411" w:rsidRDefault="00C27D2A" w:rsidP="00C27D2A">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乙烯</w:t>
            </w:r>
          </w:p>
        </w:tc>
        <w:tc>
          <w:tcPr>
            <w:tcW w:w="1288" w:type="dxa"/>
            <w:vAlign w:val="center"/>
          </w:tcPr>
          <w:p w14:paraId="4182575D" w14:textId="77777777" w:rsidR="00C27D2A" w:rsidRPr="008A2411" w:rsidRDefault="00C27D2A" w:rsidP="00C27D2A">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t/a</w:t>
            </w:r>
          </w:p>
        </w:tc>
        <w:tc>
          <w:tcPr>
            <w:tcW w:w="1150" w:type="dxa"/>
            <w:vAlign w:val="center"/>
          </w:tcPr>
          <w:p w14:paraId="405E6FA4" w14:textId="1E142632" w:rsidR="00C27D2A" w:rsidRPr="008A2411" w:rsidRDefault="00C27D2A" w:rsidP="00C27D2A">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63.4</w:t>
            </w:r>
          </w:p>
        </w:tc>
        <w:tc>
          <w:tcPr>
            <w:tcW w:w="1308" w:type="dxa"/>
            <w:vAlign w:val="center"/>
          </w:tcPr>
          <w:p w14:paraId="01EDACCA" w14:textId="77777777" w:rsidR="00C27D2A" w:rsidRPr="008A2411" w:rsidRDefault="00C27D2A" w:rsidP="00C27D2A">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槽车运输</w:t>
            </w:r>
          </w:p>
        </w:tc>
      </w:tr>
      <w:tr w:rsidR="008A2411" w:rsidRPr="008A2411" w14:paraId="5A29479C" w14:textId="77777777" w:rsidTr="00C27D2A">
        <w:trPr>
          <w:trHeight w:val="163"/>
        </w:trPr>
        <w:tc>
          <w:tcPr>
            <w:tcW w:w="829" w:type="dxa"/>
            <w:vAlign w:val="center"/>
          </w:tcPr>
          <w:p w14:paraId="2B544089" w14:textId="77777777" w:rsidR="00C27D2A" w:rsidRPr="008A2411" w:rsidRDefault="00C27D2A" w:rsidP="00C27D2A">
            <w:pPr>
              <w:autoSpaceDE w:val="0"/>
              <w:autoSpaceDN w:val="0"/>
              <w:spacing w:line="320" w:lineRule="exact"/>
              <w:jc w:val="center"/>
              <w:rPr>
                <w:rFonts w:ascii="Times New Roman" w:eastAsiaTheme="minorEastAsia"/>
                <w:color w:val="000000" w:themeColor="text1"/>
                <w:sz w:val="21"/>
                <w:szCs w:val="21"/>
              </w:rPr>
            </w:pPr>
          </w:p>
        </w:tc>
        <w:tc>
          <w:tcPr>
            <w:tcW w:w="4480" w:type="dxa"/>
            <w:vAlign w:val="center"/>
          </w:tcPr>
          <w:p w14:paraId="5A3C9791" w14:textId="77777777" w:rsidR="00C27D2A" w:rsidRPr="008A2411" w:rsidRDefault="00C27D2A" w:rsidP="00C27D2A">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异戊烷</w:t>
            </w:r>
          </w:p>
        </w:tc>
        <w:tc>
          <w:tcPr>
            <w:tcW w:w="1288" w:type="dxa"/>
            <w:vAlign w:val="center"/>
          </w:tcPr>
          <w:p w14:paraId="618F80AC" w14:textId="77777777" w:rsidR="00C27D2A" w:rsidRPr="008A2411" w:rsidRDefault="00C27D2A" w:rsidP="00C27D2A">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t/a</w:t>
            </w:r>
          </w:p>
        </w:tc>
        <w:tc>
          <w:tcPr>
            <w:tcW w:w="1150" w:type="dxa"/>
            <w:vAlign w:val="center"/>
          </w:tcPr>
          <w:p w14:paraId="59482F02" w14:textId="4C0AE0EF" w:rsidR="00C27D2A" w:rsidRPr="008A2411" w:rsidRDefault="00C27D2A" w:rsidP="00C27D2A">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39.6</w:t>
            </w:r>
          </w:p>
        </w:tc>
        <w:tc>
          <w:tcPr>
            <w:tcW w:w="1308" w:type="dxa"/>
            <w:vAlign w:val="center"/>
          </w:tcPr>
          <w:p w14:paraId="4140487A" w14:textId="77777777" w:rsidR="00C27D2A" w:rsidRPr="008A2411" w:rsidRDefault="00C27D2A" w:rsidP="00C27D2A">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槽车运输</w:t>
            </w:r>
          </w:p>
        </w:tc>
      </w:tr>
      <w:tr w:rsidR="008A2411" w:rsidRPr="008A2411" w14:paraId="63FA20F1" w14:textId="77777777" w:rsidTr="00C27D2A">
        <w:trPr>
          <w:trHeight w:val="163"/>
        </w:trPr>
        <w:tc>
          <w:tcPr>
            <w:tcW w:w="829" w:type="dxa"/>
            <w:vAlign w:val="center"/>
          </w:tcPr>
          <w:p w14:paraId="7CAD1CF6" w14:textId="77777777" w:rsidR="00C27D2A" w:rsidRPr="008A2411" w:rsidRDefault="00C27D2A" w:rsidP="00C27D2A">
            <w:pPr>
              <w:autoSpaceDE w:val="0"/>
              <w:autoSpaceDN w:val="0"/>
              <w:spacing w:line="320" w:lineRule="exact"/>
              <w:jc w:val="center"/>
              <w:rPr>
                <w:rFonts w:ascii="Times New Roman" w:eastAsiaTheme="minorEastAsia"/>
                <w:color w:val="000000" w:themeColor="text1"/>
                <w:sz w:val="21"/>
                <w:szCs w:val="21"/>
              </w:rPr>
            </w:pPr>
          </w:p>
        </w:tc>
        <w:tc>
          <w:tcPr>
            <w:tcW w:w="4480" w:type="dxa"/>
            <w:vAlign w:val="center"/>
          </w:tcPr>
          <w:p w14:paraId="183CFBC9" w14:textId="77777777" w:rsidR="00C27D2A" w:rsidRPr="008A2411" w:rsidRDefault="00C27D2A" w:rsidP="00C27D2A">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MDEA</w:t>
            </w:r>
          </w:p>
        </w:tc>
        <w:tc>
          <w:tcPr>
            <w:tcW w:w="1288" w:type="dxa"/>
            <w:vAlign w:val="center"/>
          </w:tcPr>
          <w:p w14:paraId="76940F94" w14:textId="77777777" w:rsidR="00C27D2A" w:rsidRPr="008A2411" w:rsidRDefault="00C27D2A" w:rsidP="00C27D2A">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t/a</w:t>
            </w:r>
          </w:p>
        </w:tc>
        <w:tc>
          <w:tcPr>
            <w:tcW w:w="1150" w:type="dxa"/>
            <w:vAlign w:val="center"/>
          </w:tcPr>
          <w:p w14:paraId="29269E7F" w14:textId="12E29773" w:rsidR="00C27D2A" w:rsidRPr="008A2411" w:rsidRDefault="00C27D2A" w:rsidP="00C27D2A">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2.97</w:t>
            </w:r>
          </w:p>
        </w:tc>
        <w:tc>
          <w:tcPr>
            <w:tcW w:w="1308" w:type="dxa"/>
            <w:vAlign w:val="center"/>
          </w:tcPr>
          <w:p w14:paraId="499B402F" w14:textId="77777777" w:rsidR="00C27D2A" w:rsidRPr="008A2411" w:rsidRDefault="00C27D2A" w:rsidP="00C27D2A">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汽车运输</w:t>
            </w:r>
          </w:p>
        </w:tc>
      </w:tr>
      <w:tr w:rsidR="008A2411" w:rsidRPr="008A2411" w14:paraId="578ABAA7" w14:textId="77777777" w:rsidTr="00C27D2A">
        <w:trPr>
          <w:trHeight w:val="163"/>
        </w:trPr>
        <w:tc>
          <w:tcPr>
            <w:tcW w:w="829" w:type="dxa"/>
            <w:vAlign w:val="center"/>
          </w:tcPr>
          <w:p w14:paraId="0DCE9D8A" w14:textId="77777777" w:rsidR="00C27D2A" w:rsidRPr="008A2411" w:rsidRDefault="00C27D2A" w:rsidP="00C27D2A">
            <w:pPr>
              <w:autoSpaceDE w:val="0"/>
              <w:autoSpaceDN w:val="0"/>
              <w:spacing w:line="320" w:lineRule="exact"/>
              <w:jc w:val="center"/>
              <w:rPr>
                <w:rFonts w:ascii="Times New Roman" w:eastAsiaTheme="minorEastAsia"/>
                <w:color w:val="000000" w:themeColor="text1"/>
                <w:sz w:val="21"/>
                <w:szCs w:val="21"/>
              </w:rPr>
            </w:pPr>
          </w:p>
        </w:tc>
        <w:tc>
          <w:tcPr>
            <w:tcW w:w="4480" w:type="dxa"/>
            <w:vAlign w:val="center"/>
          </w:tcPr>
          <w:p w14:paraId="4A7E5E65" w14:textId="77777777" w:rsidR="00C27D2A" w:rsidRPr="008A2411" w:rsidRDefault="00C27D2A" w:rsidP="00C27D2A">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分子筛</w:t>
            </w:r>
          </w:p>
        </w:tc>
        <w:tc>
          <w:tcPr>
            <w:tcW w:w="1288" w:type="dxa"/>
            <w:vAlign w:val="center"/>
          </w:tcPr>
          <w:p w14:paraId="6CF8296C" w14:textId="77777777" w:rsidR="00C27D2A" w:rsidRPr="008A2411" w:rsidRDefault="00C27D2A" w:rsidP="00C27D2A">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m³/a</w:t>
            </w:r>
          </w:p>
        </w:tc>
        <w:tc>
          <w:tcPr>
            <w:tcW w:w="1150" w:type="dxa"/>
            <w:vAlign w:val="center"/>
          </w:tcPr>
          <w:p w14:paraId="075A012F" w14:textId="2B418364" w:rsidR="00C27D2A" w:rsidRPr="008A2411" w:rsidRDefault="00C27D2A" w:rsidP="00C27D2A">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hint="eastAsia"/>
                <w:color w:val="000000" w:themeColor="text1"/>
                <w:sz w:val="21"/>
                <w:szCs w:val="21"/>
              </w:rPr>
              <w:t>22.5</w:t>
            </w:r>
          </w:p>
        </w:tc>
        <w:tc>
          <w:tcPr>
            <w:tcW w:w="1308" w:type="dxa"/>
            <w:vAlign w:val="center"/>
          </w:tcPr>
          <w:p w14:paraId="22EC1FBF" w14:textId="77777777" w:rsidR="00C27D2A" w:rsidRPr="008A2411" w:rsidRDefault="00C27D2A" w:rsidP="00C27D2A">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汽车运输</w:t>
            </w:r>
          </w:p>
        </w:tc>
      </w:tr>
      <w:tr w:rsidR="008A2411" w:rsidRPr="008A2411" w14:paraId="7ADEFDDE" w14:textId="77777777" w:rsidTr="00C27D2A">
        <w:trPr>
          <w:trHeight w:val="163"/>
        </w:trPr>
        <w:tc>
          <w:tcPr>
            <w:tcW w:w="829" w:type="dxa"/>
            <w:vAlign w:val="center"/>
          </w:tcPr>
          <w:p w14:paraId="00277176" w14:textId="77777777" w:rsidR="00C27D2A" w:rsidRPr="008A2411" w:rsidRDefault="00C27D2A" w:rsidP="00C27D2A">
            <w:pPr>
              <w:autoSpaceDE w:val="0"/>
              <w:autoSpaceDN w:val="0"/>
              <w:spacing w:line="320" w:lineRule="exact"/>
              <w:jc w:val="center"/>
              <w:rPr>
                <w:rFonts w:ascii="Times New Roman" w:eastAsiaTheme="minorEastAsia"/>
                <w:color w:val="000000" w:themeColor="text1"/>
                <w:sz w:val="21"/>
                <w:szCs w:val="21"/>
              </w:rPr>
            </w:pPr>
          </w:p>
        </w:tc>
        <w:tc>
          <w:tcPr>
            <w:tcW w:w="4480" w:type="dxa"/>
            <w:vAlign w:val="center"/>
          </w:tcPr>
          <w:p w14:paraId="043878B7" w14:textId="77777777" w:rsidR="00C27D2A" w:rsidRPr="008A2411" w:rsidRDefault="00C27D2A" w:rsidP="00C27D2A">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过滤活性炭</w:t>
            </w:r>
          </w:p>
        </w:tc>
        <w:tc>
          <w:tcPr>
            <w:tcW w:w="1288" w:type="dxa"/>
            <w:vAlign w:val="center"/>
          </w:tcPr>
          <w:p w14:paraId="057BA47B" w14:textId="77777777" w:rsidR="00C27D2A" w:rsidRPr="008A2411" w:rsidRDefault="00C27D2A" w:rsidP="00C27D2A">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m³/a</w:t>
            </w:r>
          </w:p>
        </w:tc>
        <w:tc>
          <w:tcPr>
            <w:tcW w:w="1150" w:type="dxa"/>
            <w:vAlign w:val="center"/>
          </w:tcPr>
          <w:p w14:paraId="7361B3AB" w14:textId="27431A7C" w:rsidR="00C27D2A" w:rsidRPr="008A2411" w:rsidRDefault="00C27D2A" w:rsidP="00C27D2A">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10</w:t>
            </w:r>
          </w:p>
        </w:tc>
        <w:tc>
          <w:tcPr>
            <w:tcW w:w="1308" w:type="dxa"/>
            <w:vAlign w:val="center"/>
          </w:tcPr>
          <w:p w14:paraId="0636AEDD" w14:textId="77777777" w:rsidR="00C27D2A" w:rsidRPr="008A2411" w:rsidRDefault="00C27D2A" w:rsidP="00C27D2A">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汽车运输</w:t>
            </w:r>
          </w:p>
        </w:tc>
      </w:tr>
      <w:tr w:rsidR="008A2411" w:rsidRPr="008A2411" w14:paraId="64C6D4A3" w14:textId="77777777" w:rsidTr="00C27D2A">
        <w:trPr>
          <w:trHeight w:val="163"/>
        </w:trPr>
        <w:tc>
          <w:tcPr>
            <w:tcW w:w="829" w:type="dxa"/>
            <w:vAlign w:val="center"/>
          </w:tcPr>
          <w:p w14:paraId="57BE2695" w14:textId="77777777" w:rsidR="00C27D2A" w:rsidRPr="008A2411" w:rsidRDefault="00C27D2A" w:rsidP="00C27D2A">
            <w:pPr>
              <w:autoSpaceDE w:val="0"/>
              <w:autoSpaceDN w:val="0"/>
              <w:spacing w:line="320" w:lineRule="exact"/>
              <w:jc w:val="center"/>
              <w:rPr>
                <w:rFonts w:ascii="Times New Roman" w:eastAsiaTheme="minorEastAsia"/>
                <w:color w:val="000000" w:themeColor="text1"/>
                <w:sz w:val="21"/>
                <w:szCs w:val="21"/>
              </w:rPr>
            </w:pPr>
          </w:p>
        </w:tc>
        <w:tc>
          <w:tcPr>
            <w:tcW w:w="4480" w:type="dxa"/>
            <w:vAlign w:val="center"/>
          </w:tcPr>
          <w:p w14:paraId="34DB0290" w14:textId="77777777" w:rsidR="00C27D2A" w:rsidRPr="008A2411" w:rsidRDefault="00C27D2A" w:rsidP="00C27D2A">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冷剂脱水干燥剂</w:t>
            </w:r>
          </w:p>
        </w:tc>
        <w:tc>
          <w:tcPr>
            <w:tcW w:w="1288" w:type="dxa"/>
            <w:vAlign w:val="center"/>
          </w:tcPr>
          <w:p w14:paraId="50FE1F62" w14:textId="77777777" w:rsidR="00C27D2A" w:rsidRPr="008A2411" w:rsidRDefault="00C27D2A" w:rsidP="00C27D2A">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m³/a</w:t>
            </w:r>
          </w:p>
        </w:tc>
        <w:tc>
          <w:tcPr>
            <w:tcW w:w="1150" w:type="dxa"/>
            <w:vAlign w:val="center"/>
          </w:tcPr>
          <w:p w14:paraId="4006E0F9" w14:textId="60D85847" w:rsidR="00C27D2A" w:rsidRPr="008A2411" w:rsidRDefault="00C27D2A" w:rsidP="00C27D2A">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1</w:t>
            </w:r>
          </w:p>
        </w:tc>
        <w:tc>
          <w:tcPr>
            <w:tcW w:w="1308" w:type="dxa"/>
            <w:vAlign w:val="center"/>
          </w:tcPr>
          <w:p w14:paraId="62F17949" w14:textId="77777777" w:rsidR="00C27D2A" w:rsidRPr="008A2411" w:rsidRDefault="00C27D2A" w:rsidP="00C27D2A">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汽车运输</w:t>
            </w:r>
          </w:p>
        </w:tc>
      </w:tr>
      <w:tr w:rsidR="008A2411" w:rsidRPr="008A2411" w14:paraId="4487A43F" w14:textId="77777777" w:rsidTr="00C27D2A">
        <w:trPr>
          <w:trHeight w:val="163"/>
        </w:trPr>
        <w:tc>
          <w:tcPr>
            <w:tcW w:w="829" w:type="dxa"/>
            <w:vAlign w:val="center"/>
          </w:tcPr>
          <w:p w14:paraId="3AD8595E"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2</w:t>
            </w:r>
          </w:p>
        </w:tc>
        <w:tc>
          <w:tcPr>
            <w:tcW w:w="4480" w:type="dxa"/>
            <w:vAlign w:val="center"/>
          </w:tcPr>
          <w:p w14:paraId="18E9310F"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运出量</w:t>
            </w:r>
          </w:p>
        </w:tc>
        <w:tc>
          <w:tcPr>
            <w:tcW w:w="1288" w:type="dxa"/>
            <w:vAlign w:val="center"/>
          </w:tcPr>
          <w:p w14:paraId="450BD1FC"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10</w:t>
            </w:r>
            <w:r w:rsidRPr="008A2411">
              <w:rPr>
                <w:rFonts w:ascii="Times New Roman" w:eastAsiaTheme="minorEastAsia"/>
                <w:color w:val="000000" w:themeColor="text1"/>
                <w:sz w:val="21"/>
                <w:szCs w:val="21"/>
                <w:vertAlign w:val="superscript"/>
              </w:rPr>
              <w:t>4</w:t>
            </w:r>
            <w:r w:rsidRPr="008A2411">
              <w:rPr>
                <w:rFonts w:ascii="Times New Roman" w:eastAsiaTheme="minorEastAsia"/>
                <w:color w:val="000000" w:themeColor="text1"/>
                <w:sz w:val="21"/>
                <w:szCs w:val="21"/>
              </w:rPr>
              <w:t>t/a</w:t>
            </w:r>
          </w:p>
        </w:tc>
        <w:tc>
          <w:tcPr>
            <w:tcW w:w="1150" w:type="dxa"/>
            <w:vAlign w:val="center"/>
          </w:tcPr>
          <w:p w14:paraId="71837999"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c>
          <w:tcPr>
            <w:tcW w:w="1308" w:type="dxa"/>
            <w:vAlign w:val="center"/>
          </w:tcPr>
          <w:p w14:paraId="5BDCE69B"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r>
      <w:tr w:rsidR="008A2411" w:rsidRPr="008A2411" w14:paraId="0CD6A228" w14:textId="77777777" w:rsidTr="00C27D2A">
        <w:trPr>
          <w:trHeight w:val="163"/>
        </w:trPr>
        <w:tc>
          <w:tcPr>
            <w:tcW w:w="829" w:type="dxa"/>
            <w:vAlign w:val="center"/>
          </w:tcPr>
          <w:p w14:paraId="22B4D9DC"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c>
          <w:tcPr>
            <w:tcW w:w="4480" w:type="dxa"/>
            <w:vAlign w:val="center"/>
          </w:tcPr>
          <w:p w14:paraId="0F167FA7"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液化天然气</w:t>
            </w:r>
          </w:p>
        </w:tc>
        <w:tc>
          <w:tcPr>
            <w:tcW w:w="1288" w:type="dxa"/>
            <w:vAlign w:val="center"/>
          </w:tcPr>
          <w:p w14:paraId="6D2BDC04"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10</w:t>
            </w:r>
            <w:r w:rsidRPr="008A2411">
              <w:rPr>
                <w:rFonts w:ascii="Times New Roman" w:eastAsiaTheme="minorEastAsia"/>
                <w:color w:val="000000" w:themeColor="text1"/>
                <w:sz w:val="21"/>
                <w:szCs w:val="21"/>
                <w:vertAlign w:val="superscript"/>
              </w:rPr>
              <w:t>4</w:t>
            </w:r>
            <w:r w:rsidRPr="008A2411">
              <w:rPr>
                <w:rFonts w:ascii="Times New Roman" w:eastAsiaTheme="minorEastAsia"/>
                <w:color w:val="000000" w:themeColor="text1"/>
                <w:sz w:val="21"/>
                <w:szCs w:val="21"/>
              </w:rPr>
              <w:t>t/a</w:t>
            </w:r>
          </w:p>
        </w:tc>
        <w:tc>
          <w:tcPr>
            <w:tcW w:w="1150" w:type="dxa"/>
            <w:vAlign w:val="center"/>
          </w:tcPr>
          <w:p w14:paraId="46A4880E"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23</w:t>
            </w:r>
          </w:p>
        </w:tc>
        <w:tc>
          <w:tcPr>
            <w:tcW w:w="1308" w:type="dxa"/>
            <w:vAlign w:val="center"/>
          </w:tcPr>
          <w:p w14:paraId="31044BA4"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槽车运输</w:t>
            </w:r>
          </w:p>
        </w:tc>
      </w:tr>
      <w:tr w:rsidR="008A2411" w:rsidRPr="008A2411" w14:paraId="525CF989" w14:textId="77777777" w:rsidTr="00C27D2A">
        <w:trPr>
          <w:trHeight w:val="158"/>
        </w:trPr>
        <w:tc>
          <w:tcPr>
            <w:tcW w:w="829" w:type="dxa"/>
            <w:vAlign w:val="center"/>
          </w:tcPr>
          <w:p w14:paraId="21178843" w14:textId="18DFE610"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hint="eastAsia"/>
                <w:color w:val="000000" w:themeColor="text1"/>
                <w:sz w:val="21"/>
                <w:szCs w:val="21"/>
              </w:rPr>
              <w:t>七</w:t>
            </w:r>
          </w:p>
        </w:tc>
        <w:tc>
          <w:tcPr>
            <w:tcW w:w="4480" w:type="dxa"/>
            <w:vAlign w:val="center"/>
          </w:tcPr>
          <w:p w14:paraId="1ED340DE"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定员</w:t>
            </w:r>
          </w:p>
        </w:tc>
        <w:tc>
          <w:tcPr>
            <w:tcW w:w="1288" w:type="dxa"/>
            <w:vAlign w:val="center"/>
          </w:tcPr>
          <w:p w14:paraId="296C45EA"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人</w:t>
            </w:r>
          </w:p>
        </w:tc>
        <w:tc>
          <w:tcPr>
            <w:tcW w:w="1150" w:type="dxa"/>
            <w:vAlign w:val="center"/>
          </w:tcPr>
          <w:p w14:paraId="39C2DD80" w14:textId="7A80576F"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hint="eastAsia"/>
                <w:color w:val="000000" w:themeColor="text1"/>
                <w:sz w:val="21"/>
                <w:szCs w:val="21"/>
              </w:rPr>
              <w:t>67</w:t>
            </w:r>
          </w:p>
        </w:tc>
        <w:tc>
          <w:tcPr>
            <w:tcW w:w="1308" w:type="dxa"/>
            <w:vAlign w:val="center"/>
          </w:tcPr>
          <w:p w14:paraId="03B859E3"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r>
      <w:tr w:rsidR="008A2411" w:rsidRPr="008A2411" w14:paraId="7EEA1DAA" w14:textId="77777777" w:rsidTr="00C27D2A">
        <w:trPr>
          <w:trHeight w:val="163"/>
        </w:trPr>
        <w:tc>
          <w:tcPr>
            <w:tcW w:w="829" w:type="dxa"/>
            <w:vAlign w:val="center"/>
          </w:tcPr>
          <w:p w14:paraId="53DDCCB8"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1</w:t>
            </w:r>
          </w:p>
        </w:tc>
        <w:tc>
          <w:tcPr>
            <w:tcW w:w="4480" w:type="dxa"/>
            <w:vAlign w:val="center"/>
          </w:tcPr>
          <w:p w14:paraId="7F038169"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生产工人</w:t>
            </w:r>
          </w:p>
        </w:tc>
        <w:tc>
          <w:tcPr>
            <w:tcW w:w="1288" w:type="dxa"/>
            <w:vAlign w:val="center"/>
          </w:tcPr>
          <w:p w14:paraId="44889FCA"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人</w:t>
            </w:r>
          </w:p>
        </w:tc>
        <w:tc>
          <w:tcPr>
            <w:tcW w:w="1150" w:type="dxa"/>
            <w:vAlign w:val="center"/>
          </w:tcPr>
          <w:p w14:paraId="4866F1F5" w14:textId="2ABBE609"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hint="eastAsia"/>
                <w:color w:val="000000" w:themeColor="text1"/>
                <w:sz w:val="21"/>
                <w:szCs w:val="21"/>
              </w:rPr>
              <w:t>64</w:t>
            </w:r>
          </w:p>
        </w:tc>
        <w:tc>
          <w:tcPr>
            <w:tcW w:w="1308" w:type="dxa"/>
            <w:vAlign w:val="center"/>
          </w:tcPr>
          <w:p w14:paraId="305D1B39"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r>
      <w:tr w:rsidR="008A2411" w:rsidRPr="008A2411" w14:paraId="5F32A2C1" w14:textId="77777777" w:rsidTr="00C27D2A">
        <w:trPr>
          <w:trHeight w:val="163"/>
        </w:trPr>
        <w:tc>
          <w:tcPr>
            <w:tcW w:w="829" w:type="dxa"/>
            <w:vAlign w:val="center"/>
          </w:tcPr>
          <w:p w14:paraId="7680F94B"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2</w:t>
            </w:r>
          </w:p>
        </w:tc>
        <w:tc>
          <w:tcPr>
            <w:tcW w:w="4480" w:type="dxa"/>
            <w:vAlign w:val="center"/>
          </w:tcPr>
          <w:p w14:paraId="4CE899DF"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技术及管理人员</w:t>
            </w:r>
          </w:p>
        </w:tc>
        <w:tc>
          <w:tcPr>
            <w:tcW w:w="1288" w:type="dxa"/>
            <w:vAlign w:val="center"/>
          </w:tcPr>
          <w:p w14:paraId="1263E1F2"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人</w:t>
            </w:r>
          </w:p>
        </w:tc>
        <w:tc>
          <w:tcPr>
            <w:tcW w:w="1150" w:type="dxa"/>
            <w:vAlign w:val="center"/>
          </w:tcPr>
          <w:p w14:paraId="1CDFC3E7"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3</w:t>
            </w:r>
          </w:p>
        </w:tc>
        <w:tc>
          <w:tcPr>
            <w:tcW w:w="1308" w:type="dxa"/>
            <w:vAlign w:val="center"/>
          </w:tcPr>
          <w:p w14:paraId="4F6B373B"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由一期管理人员兼任</w:t>
            </w:r>
          </w:p>
        </w:tc>
      </w:tr>
      <w:tr w:rsidR="008A2411" w:rsidRPr="008A2411" w14:paraId="5CD16777" w14:textId="77777777" w:rsidTr="00C27D2A">
        <w:trPr>
          <w:trHeight w:val="163"/>
        </w:trPr>
        <w:tc>
          <w:tcPr>
            <w:tcW w:w="829" w:type="dxa"/>
            <w:vAlign w:val="center"/>
          </w:tcPr>
          <w:p w14:paraId="349ABB87" w14:textId="4AA3D0BE"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hint="eastAsia"/>
                <w:color w:val="000000" w:themeColor="text1"/>
                <w:sz w:val="21"/>
                <w:szCs w:val="21"/>
              </w:rPr>
              <w:t>八</w:t>
            </w:r>
          </w:p>
        </w:tc>
        <w:tc>
          <w:tcPr>
            <w:tcW w:w="4480" w:type="dxa"/>
            <w:vAlign w:val="center"/>
          </w:tcPr>
          <w:p w14:paraId="2F18F5B9"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总占地面积</w:t>
            </w:r>
          </w:p>
        </w:tc>
        <w:tc>
          <w:tcPr>
            <w:tcW w:w="1288" w:type="dxa"/>
            <w:vAlign w:val="center"/>
          </w:tcPr>
          <w:p w14:paraId="6B977F37"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亩</w:t>
            </w:r>
          </w:p>
        </w:tc>
        <w:tc>
          <w:tcPr>
            <w:tcW w:w="1150" w:type="dxa"/>
            <w:vAlign w:val="center"/>
          </w:tcPr>
          <w:p w14:paraId="2DF845FC" w14:textId="676C8B85"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132.0</w:t>
            </w:r>
            <w:r w:rsidRPr="008A2411">
              <w:rPr>
                <w:rFonts w:ascii="Times New Roman" w:eastAsiaTheme="minorEastAsia" w:hint="eastAsia"/>
                <w:color w:val="000000" w:themeColor="text1"/>
                <w:sz w:val="21"/>
                <w:szCs w:val="21"/>
              </w:rPr>
              <w:t>2</w:t>
            </w:r>
          </w:p>
        </w:tc>
        <w:tc>
          <w:tcPr>
            <w:tcW w:w="1308" w:type="dxa"/>
            <w:vAlign w:val="center"/>
          </w:tcPr>
          <w:p w14:paraId="28A1A8B1"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r>
      <w:tr w:rsidR="008A2411" w:rsidRPr="008A2411" w14:paraId="57DCB25F" w14:textId="77777777" w:rsidTr="00C27D2A">
        <w:trPr>
          <w:trHeight w:val="158"/>
        </w:trPr>
        <w:tc>
          <w:tcPr>
            <w:tcW w:w="829" w:type="dxa"/>
            <w:vAlign w:val="center"/>
          </w:tcPr>
          <w:p w14:paraId="687B1FE9" w14:textId="31A68CED"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hint="eastAsia"/>
                <w:color w:val="000000" w:themeColor="text1"/>
                <w:sz w:val="21"/>
                <w:szCs w:val="21"/>
              </w:rPr>
              <w:t>九</w:t>
            </w:r>
          </w:p>
        </w:tc>
        <w:tc>
          <w:tcPr>
            <w:tcW w:w="4480" w:type="dxa"/>
            <w:vAlign w:val="center"/>
          </w:tcPr>
          <w:p w14:paraId="56842C1F"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总建构筑物面积</w:t>
            </w:r>
          </w:p>
        </w:tc>
        <w:tc>
          <w:tcPr>
            <w:tcW w:w="1288" w:type="dxa"/>
            <w:vAlign w:val="center"/>
          </w:tcPr>
          <w:p w14:paraId="279D927B"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10</w:t>
            </w:r>
            <w:r w:rsidRPr="008A2411">
              <w:rPr>
                <w:rFonts w:ascii="Times New Roman" w:eastAsiaTheme="minorEastAsia"/>
                <w:color w:val="000000" w:themeColor="text1"/>
                <w:sz w:val="21"/>
                <w:szCs w:val="21"/>
                <w:vertAlign w:val="superscript"/>
              </w:rPr>
              <w:t>4</w:t>
            </w:r>
            <w:r w:rsidRPr="008A2411">
              <w:rPr>
                <w:rFonts w:ascii="Times New Roman" w:eastAsiaTheme="minorEastAsia"/>
                <w:color w:val="000000" w:themeColor="text1"/>
                <w:sz w:val="21"/>
                <w:szCs w:val="21"/>
              </w:rPr>
              <w:t>m</w:t>
            </w:r>
            <w:r w:rsidRPr="008A2411">
              <w:rPr>
                <w:rFonts w:ascii="Times New Roman" w:eastAsiaTheme="minorEastAsia"/>
                <w:color w:val="000000" w:themeColor="text1"/>
                <w:sz w:val="21"/>
                <w:szCs w:val="21"/>
                <w:vertAlign w:val="superscript"/>
              </w:rPr>
              <w:t>2</w:t>
            </w:r>
          </w:p>
        </w:tc>
        <w:tc>
          <w:tcPr>
            <w:tcW w:w="1150" w:type="dxa"/>
            <w:vAlign w:val="center"/>
          </w:tcPr>
          <w:p w14:paraId="63093DC4"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3.83</w:t>
            </w:r>
          </w:p>
        </w:tc>
        <w:tc>
          <w:tcPr>
            <w:tcW w:w="1308" w:type="dxa"/>
            <w:vAlign w:val="center"/>
          </w:tcPr>
          <w:p w14:paraId="7493742C"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r>
      <w:tr w:rsidR="008A2411" w:rsidRPr="008A2411" w14:paraId="229A14B4" w14:textId="77777777" w:rsidTr="00C27D2A">
        <w:trPr>
          <w:trHeight w:val="163"/>
        </w:trPr>
        <w:tc>
          <w:tcPr>
            <w:tcW w:w="829" w:type="dxa"/>
            <w:vAlign w:val="center"/>
          </w:tcPr>
          <w:p w14:paraId="48B3C00D"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c>
          <w:tcPr>
            <w:tcW w:w="4480" w:type="dxa"/>
            <w:vAlign w:val="center"/>
          </w:tcPr>
          <w:p w14:paraId="32DB8EE3"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总建筑物面积</w:t>
            </w:r>
          </w:p>
        </w:tc>
        <w:tc>
          <w:tcPr>
            <w:tcW w:w="1288" w:type="dxa"/>
            <w:vAlign w:val="center"/>
          </w:tcPr>
          <w:p w14:paraId="2C055DFA"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10</w:t>
            </w:r>
            <w:r w:rsidRPr="008A2411">
              <w:rPr>
                <w:rFonts w:ascii="Times New Roman" w:eastAsiaTheme="minorEastAsia"/>
                <w:color w:val="000000" w:themeColor="text1"/>
                <w:sz w:val="21"/>
                <w:szCs w:val="21"/>
                <w:vertAlign w:val="superscript"/>
              </w:rPr>
              <w:t>4</w:t>
            </w:r>
            <w:r w:rsidRPr="008A2411">
              <w:rPr>
                <w:rFonts w:ascii="Times New Roman" w:eastAsiaTheme="minorEastAsia"/>
                <w:color w:val="000000" w:themeColor="text1"/>
                <w:sz w:val="21"/>
                <w:szCs w:val="21"/>
              </w:rPr>
              <w:t>m</w:t>
            </w:r>
            <w:r w:rsidRPr="008A2411">
              <w:rPr>
                <w:rFonts w:ascii="Times New Roman" w:eastAsiaTheme="minorEastAsia"/>
                <w:color w:val="000000" w:themeColor="text1"/>
                <w:sz w:val="21"/>
                <w:szCs w:val="21"/>
                <w:vertAlign w:val="superscript"/>
              </w:rPr>
              <w:t>2</w:t>
            </w:r>
          </w:p>
        </w:tc>
        <w:tc>
          <w:tcPr>
            <w:tcW w:w="1150" w:type="dxa"/>
            <w:vAlign w:val="center"/>
          </w:tcPr>
          <w:p w14:paraId="64F30C8C"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0.75</w:t>
            </w:r>
          </w:p>
        </w:tc>
        <w:tc>
          <w:tcPr>
            <w:tcW w:w="1308" w:type="dxa"/>
            <w:vAlign w:val="center"/>
          </w:tcPr>
          <w:p w14:paraId="5B3530B2"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r>
      <w:tr w:rsidR="008A2411" w:rsidRPr="008A2411" w14:paraId="43D46917" w14:textId="77777777" w:rsidTr="00C27D2A">
        <w:trPr>
          <w:trHeight w:val="163"/>
        </w:trPr>
        <w:tc>
          <w:tcPr>
            <w:tcW w:w="829" w:type="dxa"/>
            <w:vAlign w:val="center"/>
          </w:tcPr>
          <w:p w14:paraId="0C18F06C"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c>
          <w:tcPr>
            <w:tcW w:w="4480" w:type="dxa"/>
            <w:vAlign w:val="center"/>
          </w:tcPr>
          <w:p w14:paraId="33CC0719"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总构筑物面积</w:t>
            </w:r>
          </w:p>
        </w:tc>
        <w:tc>
          <w:tcPr>
            <w:tcW w:w="1288" w:type="dxa"/>
            <w:vAlign w:val="center"/>
          </w:tcPr>
          <w:p w14:paraId="353915D6"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10</w:t>
            </w:r>
            <w:r w:rsidRPr="008A2411">
              <w:rPr>
                <w:rFonts w:ascii="Times New Roman" w:eastAsiaTheme="minorEastAsia"/>
                <w:color w:val="000000" w:themeColor="text1"/>
                <w:sz w:val="21"/>
                <w:szCs w:val="21"/>
                <w:vertAlign w:val="superscript"/>
              </w:rPr>
              <w:t>4</w:t>
            </w:r>
            <w:r w:rsidRPr="008A2411">
              <w:rPr>
                <w:rFonts w:ascii="Times New Roman" w:eastAsiaTheme="minorEastAsia"/>
                <w:color w:val="000000" w:themeColor="text1"/>
                <w:sz w:val="21"/>
                <w:szCs w:val="21"/>
              </w:rPr>
              <w:t>m</w:t>
            </w:r>
            <w:r w:rsidRPr="008A2411">
              <w:rPr>
                <w:rFonts w:ascii="Times New Roman" w:eastAsiaTheme="minorEastAsia"/>
                <w:color w:val="000000" w:themeColor="text1"/>
                <w:sz w:val="21"/>
                <w:szCs w:val="21"/>
                <w:vertAlign w:val="superscript"/>
              </w:rPr>
              <w:t>2</w:t>
            </w:r>
          </w:p>
        </w:tc>
        <w:tc>
          <w:tcPr>
            <w:tcW w:w="1150" w:type="dxa"/>
            <w:vAlign w:val="center"/>
          </w:tcPr>
          <w:p w14:paraId="6A077EB8"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3.08</w:t>
            </w:r>
          </w:p>
        </w:tc>
        <w:tc>
          <w:tcPr>
            <w:tcW w:w="1308" w:type="dxa"/>
            <w:vAlign w:val="center"/>
          </w:tcPr>
          <w:p w14:paraId="3C9539BA"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r>
      <w:tr w:rsidR="008A2411" w:rsidRPr="008A2411" w14:paraId="4B12D59C" w14:textId="77777777" w:rsidTr="00C27D2A">
        <w:trPr>
          <w:trHeight w:val="163"/>
        </w:trPr>
        <w:tc>
          <w:tcPr>
            <w:tcW w:w="829" w:type="dxa"/>
            <w:vAlign w:val="center"/>
          </w:tcPr>
          <w:p w14:paraId="46D06D00"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1</w:t>
            </w:r>
          </w:p>
        </w:tc>
        <w:tc>
          <w:tcPr>
            <w:tcW w:w="4480" w:type="dxa"/>
            <w:vAlign w:val="center"/>
          </w:tcPr>
          <w:p w14:paraId="44F26414"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生产用建筑面积</w:t>
            </w:r>
          </w:p>
        </w:tc>
        <w:tc>
          <w:tcPr>
            <w:tcW w:w="1288" w:type="dxa"/>
            <w:vAlign w:val="center"/>
          </w:tcPr>
          <w:p w14:paraId="21F62D42"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c>
          <w:tcPr>
            <w:tcW w:w="1150" w:type="dxa"/>
            <w:vAlign w:val="center"/>
          </w:tcPr>
          <w:p w14:paraId="7C32F638"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c>
          <w:tcPr>
            <w:tcW w:w="1308" w:type="dxa"/>
            <w:vAlign w:val="center"/>
          </w:tcPr>
          <w:p w14:paraId="4A1CB9DB"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r>
      <w:tr w:rsidR="008A2411" w:rsidRPr="008A2411" w14:paraId="78529BD5" w14:textId="77777777" w:rsidTr="00C27D2A">
        <w:trPr>
          <w:trHeight w:val="163"/>
        </w:trPr>
        <w:tc>
          <w:tcPr>
            <w:tcW w:w="829" w:type="dxa"/>
            <w:vAlign w:val="center"/>
          </w:tcPr>
          <w:p w14:paraId="2C998D5A"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c>
          <w:tcPr>
            <w:tcW w:w="4480" w:type="dxa"/>
            <w:vAlign w:val="center"/>
          </w:tcPr>
          <w:p w14:paraId="19D07AB5"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生产用建筑面积</w:t>
            </w:r>
          </w:p>
        </w:tc>
        <w:tc>
          <w:tcPr>
            <w:tcW w:w="1288" w:type="dxa"/>
            <w:vAlign w:val="center"/>
          </w:tcPr>
          <w:p w14:paraId="6E003064"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10</w:t>
            </w:r>
            <w:r w:rsidRPr="008A2411">
              <w:rPr>
                <w:rFonts w:ascii="Times New Roman" w:eastAsiaTheme="minorEastAsia"/>
                <w:color w:val="000000" w:themeColor="text1"/>
                <w:sz w:val="21"/>
                <w:szCs w:val="21"/>
                <w:vertAlign w:val="superscript"/>
              </w:rPr>
              <w:t>4</w:t>
            </w:r>
            <w:r w:rsidRPr="008A2411">
              <w:rPr>
                <w:rFonts w:ascii="Times New Roman" w:eastAsiaTheme="minorEastAsia"/>
                <w:color w:val="000000" w:themeColor="text1"/>
                <w:sz w:val="21"/>
                <w:szCs w:val="21"/>
              </w:rPr>
              <w:t>m</w:t>
            </w:r>
            <w:r w:rsidRPr="008A2411">
              <w:rPr>
                <w:rFonts w:ascii="Times New Roman" w:eastAsiaTheme="minorEastAsia"/>
                <w:color w:val="000000" w:themeColor="text1"/>
                <w:sz w:val="21"/>
                <w:szCs w:val="21"/>
                <w:vertAlign w:val="superscript"/>
              </w:rPr>
              <w:t>2</w:t>
            </w:r>
          </w:p>
        </w:tc>
        <w:tc>
          <w:tcPr>
            <w:tcW w:w="1150" w:type="dxa"/>
            <w:vAlign w:val="center"/>
          </w:tcPr>
          <w:p w14:paraId="184D66D7"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0.73</w:t>
            </w:r>
          </w:p>
        </w:tc>
        <w:tc>
          <w:tcPr>
            <w:tcW w:w="1308" w:type="dxa"/>
            <w:vAlign w:val="center"/>
          </w:tcPr>
          <w:p w14:paraId="6C6EF8FB"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r>
      <w:tr w:rsidR="008A2411" w:rsidRPr="008A2411" w14:paraId="647F976C" w14:textId="77777777" w:rsidTr="00C27D2A">
        <w:trPr>
          <w:trHeight w:val="90"/>
        </w:trPr>
        <w:tc>
          <w:tcPr>
            <w:tcW w:w="829" w:type="dxa"/>
            <w:vAlign w:val="center"/>
          </w:tcPr>
          <w:p w14:paraId="143134E4"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c>
          <w:tcPr>
            <w:tcW w:w="4480" w:type="dxa"/>
            <w:vAlign w:val="center"/>
          </w:tcPr>
          <w:p w14:paraId="3EC6C1B4"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c>
          <w:tcPr>
            <w:tcW w:w="1288" w:type="dxa"/>
            <w:vAlign w:val="center"/>
          </w:tcPr>
          <w:p w14:paraId="6A01FD0A"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c>
          <w:tcPr>
            <w:tcW w:w="1150" w:type="dxa"/>
            <w:vAlign w:val="center"/>
          </w:tcPr>
          <w:p w14:paraId="695562FD"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c>
          <w:tcPr>
            <w:tcW w:w="1308" w:type="dxa"/>
            <w:vAlign w:val="center"/>
          </w:tcPr>
          <w:p w14:paraId="0BC37581"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r>
      <w:tr w:rsidR="008A2411" w:rsidRPr="008A2411" w14:paraId="2DCB4816" w14:textId="77777777" w:rsidTr="00C27D2A">
        <w:trPr>
          <w:trHeight w:val="90"/>
        </w:trPr>
        <w:tc>
          <w:tcPr>
            <w:tcW w:w="829" w:type="dxa"/>
            <w:vAlign w:val="center"/>
          </w:tcPr>
          <w:p w14:paraId="0DE107F8"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2</w:t>
            </w:r>
          </w:p>
        </w:tc>
        <w:tc>
          <w:tcPr>
            <w:tcW w:w="4480" w:type="dxa"/>
            <w:vAlign w:val="center"/>
          </w:tcPr>
          <w:p w14:paraId="0CFB60A1"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行政办公及生活服务设施用地面积</w:t>
            </w:r>
          </w:p>
          <w:p w14:paraId="22B6C86C"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所占比重</w:t>
            </w:r>
          </w:p>
        </w:tc>
        <w:tc>
          <w:tcPr>
            <w:tcW w:w="1288" w:type="dxa"/>
            <w:vAlign w:val="center"/>
          </w:tcPr>
          <w:p w14:paraId="59339918"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w:t>
            </w:r>
          </w:p>
        </w:tc>
        <w:tc>
          <w:tcPr>
            <w:tcW w:w="1150" w:type="dxa"/>
            <w:vAlign w:val="center"/>
          </w:tcPr>
          <w:p w14:paraId="2B8520F6"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6.71</w:t>
            </w:r>
          </w:p>
        </w:tc>
        <w:tc>
          <w:tcPr>
            <w:tcW w:w="1308" w:type="dxa"/>
            <w:vAlign w:val="center"/>
          </w:tcPr>
          <w:p w14:paraId="2D4E3EC8"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r>
      <w:tr w:rsidR="008A2411" w:rsidRPr="008A2411" w14:paraId="3FD07AD2" w14:textId="77777777" w:rsidTr="00C27D2A">
        <w:trPr>
          <w:trHeight w:val="90"/>
        </w:trPr>
        <w:tc>
          <w:tcPr>
            <w:tcW w:w="829" w:type="dxa"/>
            <w:vAlign w:val="center"/>
          </w:tcPr>
          <w:p w14:paraId="6A994E21"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3</w:t>
            </w:r>
          </w:p>
        </w:tc>
        <w:tc>
          <w:tcPr>
            <w:tcW w:w="4480" w:type="dxa"/>
            <w:vAlign w:val="center"/>
          </w:tcPr>
          <w:p w14:paraId="16573589"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容积率</w:t>
            </w:r>
          </w:p>
        </w:tc>
        <w:tc>
          <w:tcPr>
            <w:tcW w:w="1288" w:type="dxa"/>
            <w:vAlign w:val="center"/>
          </w:tcPr>
          <w:p w14:paraId="2AAD91AD"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c>
          <w:tcPr>
            <w:tcW w:w="1150" w:type="dxa"/>
            <w:vAlign w:val="center"/>
          </w:tcPr>
          <w:p w14:paraId="5FBA6992"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0.48</w:t>
            </w:r>
          </w:p>
        </w:tc>
        <w:tc>
          <w:tcPr>
            <w:tcW w:w="1308" w:type="dxa"/>
            <w:vAlign w:val="center"/>
          </w:tcPr>
          <w:p w14:paraId="0D70EA12"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r>
      <w:tr w:rsidR="008A2411" w:rsidRPr="008A2411" w14:paraId="231CD77B" w14:textId="77777777" w:rsidTr="00C27D2A">
        <w:trPr>
          <w:trHeight w:val="298"/>
        </w:trPr>
        <w:tc>
          <w:tcPr>
            <w:tcW w:w="829" w:type="dxa"/>
            <w:vAlign w:val="center"/>
          </w:tcPr>
          <w:p w14:paraId="3C04B2AA"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4</w:t>
            </w:r>
          </w:p>
        </w:tc>
        <w:tc>
          <w:tcPr>
            <w:tcW w:w="4480" w:type="dxa"/>
            <w:vAlign w:val="center"/>
          </w:tcPr>
          <w:p w14:paraId="1B46FE93"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建筑系数</w:t>
            </w:r>
          </w:p>
        </w:tc>
        <w:tc>
          <w:tcPr>
            <w:tcW w:w="1288" w:type="dxa"/>
            <w:vAlign w:val="center"/>
          </w:tcPr>
          <w:p w14:paraId="0DA10693"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c>
          <w:tcPr>
            <w:tcW w:w="1150" w:type="dxa"/>
            <w:vAlign w:val="center"/>
          </w:tcPr>
          <w:p w14:paraId="7585FF94"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 xml:space="preserve">41.74    </w:t>
            </w:r>
          </w:p>
        </w:tc>
        <w:tc>
          <w:tcPr>
            <w:tcW w:w="1308" w:type="dxa"/>
            <w:vAlign w:val="center"/>
          </w:tcPr>
          <w:p w14:paraId="30AACA3A"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r>
      <w:tr w:rsidR="008A2411" w:rsidRPr="008A2411" w14:paraId="4BF8AA62" w14:textId="77777777" w:rsidTr="00C27D2A">
        <w:trPr>
          <w:trHeight w:val="163"/>
        </w:trPr>
        <w:tc>
          <w:tcPr>
            <w:tcW w:w="829" w:type="dxa"/>
            <w:vAlign w:val="center"/>
          </w:tcPr>
          <w:p w14:paraId="12685384" w14:textId="5D792182"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十</w:t>
            </w:r>
          </w:p>
        </w:tc>
        <w:tc>
          <w:tcPr>
            <w:tcW w:w="4480" w:type="dxa"/>
            <w:vAlign w:val="center"/>
          </w:tcPr>
          <w:p w14:paraId="4758A0C8"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工程项目总投资</w:t>
            </w:r>
          </w:p>
        </w:tc>
        <w:tc>
          <w:tcPr>
            <w:tcW w:w="1288" w:type="dxa"/>
            <w:vAlign w:val="center"/>
          </w:tcPr>
          <w:p w14:paraId="2E1CEA7B"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万元</w:t>
            </w:r>
          </w:p>
        </w:tc>
        <w:tc>
          <w:tcPr>
            <w:tcW w:w="1150" w:type="dxa"/>
            <w:vAlign w:val="center"/>
          </w:tcPr>
          <w:p w14:paraId="265C31A6"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54827.72</w:t>
            </w:r>
          </w:p>
        </w:tc>
        <w:tc>
          <w:tcPr>
            <w:tcW w:w="1308" w:type="dxa"/>
            <w:vAlign w:val="center"/>
          </w:tcPr>
          <w:p w14:paraId="39E9734A"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r>
      <w:tr w:rsidR="008A2411" w:rsidRPr="008A2411" w14:paraId="77158DB0" w14:textId="77777777" w:rsidTr="00C27D2A">
        <w:trPr>
          <w:trHeight w:val="163"/>
        </w:trPr>
        <w:tc>
          <w:tcPr>
            <w:tcW w:w="829" w:type="dxa"/>
            <w:vAlign w:val="center"/>
          </w:tcPr>
          <w:p w14:paraId="1DAD5CE7"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l</w:t>
            </w:r>
          </w:p>
        </w:tc>
        <w:tc>
          <w:tcPr>
            <w:tcW w:w="4480" w:type="dxa"/>
            <w:vAlign w:val="center"/>
          </w:tcPr>
          <w:p w14:paraId="1ED1C198"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建设投资</w:t>
            </w:r>
          </w:p>
        </w:tc>
        <w:tc>
          <w:tcPr>
            <w:tcW w:w="1288" w:type="dxa"/>
            <w:vAlign w:val="center"/>
          </w:tcPr>
          <w:p w14:paraId="6FFC961E"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万元</w:t>
            </w:r>
          </w:p>
        </w:tc>
        <w:tc>
          <w:tcPr>
            <w:tcW w:w="1150" w:type="dxa"/>
            <w:vAlign w:val="center"/>
          </w:tcPr>
          <w:p w14:paraId="4817FC0D"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53000</w:t>
            </w:r>
          </w:p>
        </w:tc>
        <w:tc>
          <w:tcPr>
            <w:tcW w:w="1308" w:type="dxa"/>
            <w:vAlign w:val="center"/>
          </w:tcPr>
          <w:p w14:paraId="5B2D6200"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r>
      <w:tr w:rsidR="008A2411" w:rsidRPr="008A2411" w14:paraId="2357B4C5" w14:textId="77777777" w:rsidTr="00C27D2A">
        <w:trPr>
          <w:trHeight w:val="163"/>
        </w:trPr>
        <w:tc>
          <w:tcPr>
            <w:tcW w:w="829" w:type="dxa"/>
            <w:vAlign w:val="center"/>
          </w:tcPr>
          <w:p w14:paraId="10E9842A"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2</w:t>
            </w:r>
          </w:p>
        </w:tc>
        <w:tc>
          <w:tcPr>
            <w:tcW w:w="4480" w:type="dxa"/>
            <w:vAlign w:val="center"/>
          </w:tcPr>
          <w:p w14:paraId="697FF009"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建设期利息</w:t>
            </w:r>
          </w:p>
        </w:tc>
        <w:tc>
          <w:tcPr>
            <w:tcW w:w="1288" w:type="dxa"/>
            <w:vAlign w:val="center"/>
          </w:tcPr>
          <w:p w14:paraId="6C286C9F"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万元</w:t>
            </w:r>
          </w:p>
        </w:tc>
        <w:tc>
          <w:tcPr>
            <w:tcW w:w="1150" w:type="dxa"/>
            <w:vAlign w:val="center"/>
          </w:tcPr>
          <w:p w14:paraId="65DC0A6B"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1110</w:t>
            </w:r>
          </w:p>
        </w:tc>
        <w:tc>
          <w:tcPr>
            <w:tcW w:w="1308" w:type="dxa"/>
            <w:vAlign w:val="center"/>
          </w:tcPr>
          <w:p w14:paraId="4588920C"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r>
      <w:tr w:rsidR="008A2411" w:rsidRPr="008A2411" w14:paraId="679BD6CB" w14:textId="77777777" w:rsidTr="00C27D2A">
        <w:trPr>
          <w:trHeight w:val="163"/>
        </w:trPr>
        <w:tc>
          <w:tcPr>
            <w:tcW w:w="829" w:type="dxa"/>
            <w:vAlign w:val="center"/>
          </w:tcPr>
          <w:p w14:paraId="76BEBE4F"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c>
          <w:tcPr>
            <w:tcW w:w="4480" w:type="dxa"/>
            <w:vAlign w:val="center"/>
          </w:tcPr>
          <w:p w14:paraId="0E97C740"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固定资产投资</w:t>
            </w:r>
          </w:p>
        </w:tc>
        <w:tc>
          <w:tcPr>
            <w:tcW w:w="1288" w:type="dxa"/>
            <w:vAlign w:val="center"/>
          </w:tcPr>
          <w:p w14:paraId="6FC3A11D"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万元</w:t>
            </w:r>
          </w:p>
        </w:tc>
        <w:tc>
          <w:tcPr>
            <w:tcW w:w="1150" w:type="dxa"/>
            <w:vAlign w:val="center"/>
          </w:tcPr>
          <w:p w14:paraId="3F08BE96"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54110</w:t>
            </w:r>
          </w:p>
        </w:tc>
        <w:tc>
          <w:tcPr>
            <w:tcW w:w="1308" w:type="dxa"/>
            <w:vAlign w:val="center"/>
          </w:tcPr>
          <w:p w14:paraId="4D844D71"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r>
      <w:tr w:rsidR="008A2411" w:rsidRPr="008A2411" w14:paraId="54EA0C7F" w14:textId="77777777" w:rsidTr="00C27D2A">
        <w:trPr>
          <w:trHeight w:val="163"/>
        </w:trPr>
        <w:tc>
          <w:tcPr>
            <w:tcW w:w="829" w:type="dxa"/>
            <w:vAlign w:val="center"/>
          </w:tcPr>
          <w:p w14:paraId="608C156B"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3</w:t>
            </w:r>
          </w:p>
        </w:tc>
        <w:tc>
          <w:tcPr>
            <w:tcW w:w="4480" w:type="dxa"/>
            <w:vAlign w:val="center"/>
          </w:tcPr>
          <w:p w14:paraId="791E8462"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铺底流动资金</w:t>
            </w:r>
          </w:p>
        </w:tc>
        <w:tc>
          <w:tcPr>
            <w:tcW w:w="1288" w:type="dxa"/>
            <w:vAlign w:val="center"/>
          </w:tcPr>
          <w:p w14:paraId="22C98DA1"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万元</w:t>
            </w:r>
          </w:p>
        </w:tc>
        <w:tc>
          <w:tcPr>
            <w:tcW w:w="1150" w:type="dxa"/>
            <w:vAlign w:val="center"/>
          </w:tcPr>
          <w:p w14:paraId="294B0DDD"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717.72</w:t>
            </w:r>
          </w:p>
        </w:tc>
        <w:tc>
          <w:tcPr>
            <w:tcW w:w="1308" w:type="dxa"/>
            <w:vAlign w:val="center"/>
          </w:tcPr>
          <w:p w14:paraId="3F5FAFDA"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r>
      <w:tr w:rsidR="008A2411" w:rsidRPr="008A2411" w14:paraId="48681957" w14:textId="77777777" w:rsidTr="00C27D2A">
        <w:trPr>
          <w:trHeight w:val="163"/>
        </w:trPr>
        <w:tc>
          <w:tcPr>
            <w:tcW w:w="829" w:type="dxa"/>
            <w:vAlign w:val="center"/>
          </w:tcPr>
          <w:p w14:paraId="31EE36DC" w14:textId="0C09A4B2"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十</w:t>
            </w:r>
            <w:r w:rsidRPr="008A2411">
              <w:rPr>
                <w:rFonts w:ascii="Times New Roman" w:eastAsiaTheme="minorEastAsia" w:hint="eastAsia"/>
                <w:color w:val="000000" w:themeColor="text1"/>
                <w:sz w:val="21"/>
                <w:szCs w:val="21"/>
              </w:rPr>
              <w:t>一</w:t>
            </w:r>
          </w:p>
        </w:tc>
        <w:tc>
          <w:tcPr>
            <w:tcW w:w="4480" w:type="dxa"/>
            <w:vAlign w:val="center"/>
          </w:tcPr>
          <w:p w14:paraId="1ABB5DC8"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年均销售收入</w:t>
            </w:r>
          </w:p>
        </w:tc>
        <w:tc>
          <w:tcPr>
            <w:tcW w:w="1288" w:type="dxa"/>
            <w:vAlign w:val="center"/>
          </w:tcPr>
          <w:p w14:paraId="21097C8D"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万元</w:t>
            </w:r>
          </w:p>
        </w:tc>
        <w:tc>
          <w:tcPr>
            <w:tcW w:w="1150" w:type="dxa"/>
            <w:vAlign w:val="center"/>
          </w:tcPr>
          <w:p w14:paraId="03FBFE39"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71484.00</w:t>
            </w:r>
          </w:p>
        </w:tc>
        <w:tc>
          <w:tcPr>
            <w:tcW w:w="1308" w:type="dxa"/>
            <w:vAlign w:val="center"/>
          </w:tcPr>
          <w:p w14:paraId="755491BE"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r>
      <w:tr w:rsidR="008A2411" w:rsidRPr="008A2411" w14:paraId="07A50C41" w14:textId="77777777" w:rsidTr="00C27D2A">
        <w:trPr>
          <w:trHeight w:val="163"/>
        </w:trPr>
        <w:tc>
          <w:tcPr>
            <w:tcW w:w="829" w:type="dxa"/>
            <w:vAlign w:val="center"/>
          </w:tcPr>
          <w:p w14:paraId="5CA0E70F"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c>
          <w:tcPr>
            <w:tcW w:w="4480" w:type="dxa"/>
            <w:vAlign w:val="center"/>
          </w:tcPr>
          <w:p w14:paraId="23CD1D17"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其中：销项税额</w:t>
            </w:r>
          </w:p>
        </w:tc>
        <w:tc>
          <w:tcPr>
            <w:tcW w:w="1288" w:type="dxa"/>
            <w:vAlign w:val="center"/>
          </w:tcPr>
          <w:p w14:paraId="0EE1D1C0"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万元</w:t>
            </w:r>
          </w:p>
        </w:tc>
        <w:tc>
          <w:tcPr>
            <w:tcW w:w="1150" w:type="dxa"/>
            <w:vAlign w:val="center"/>
          </w:tcPr>
          <w:p w14:paraId="083876CA"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6498.55</w:t>
            </w:r>
          </w:p>
        </w:tc>
        <w:tc>
          <w:tcPr>
            <w:tcW w:w="1308" w:type="dxa"/>
            <w:vAlign w:val="center"/>
          </w:tcPr>
          <w:p w14:paraId="7931D428"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r>
      <w:tr w:rsidR="008A2411" w:rsidRPr="008A2411" w14:paraId="58ECE608" w14:textId="77777777" w:rsidTr="00C27D2A">
        <w:trPr>
          <w:trHeight w:val="163"/>
        </w:trPr>
        <w:tc>
          <w:tcPr>
            <w:tcW w:w="829" w:type="dxa"/>
            <w:vAlign w:val="center"/>
          </w:tcPr>
          <w:p w14:paraId="61D3C7B1" w14:textId="50778645"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十</w:t>
            </w:r>
            <w:r w:rsidRPr="008A2411">
              <w:rPr>
                <w:rFonts w:ascii="Times New Roman" w:eastAsiaTheme="minorEastAsia" w:hint="eastAsia"/>
                <w:color w:val="000000" w:themeColor="text1"/>
                <w:sz w:val="21"/>
                <w:szCs w:val="21"/>
              </w:rPr>
              <w:t>二</w:t>
            </w:r>
          </w:p>
        </w:tc>
        <w:tc>
          <w:tcPr>
            <w:tcW w:w="4480" w:type="dxa"/>
            <w:vAlign w:val="center"/>
          </w:tcPr>
          <w:p w14:paraId="14A0C657"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成本和费用</w:t>
            </w:r>
          </w:p>
        </w:tc>
        <w:tc>
          <w:tcPr>
            <w:tcW w:w="1288" w:type="dxa"/>
            <w:vAlign w:val="center"/>
          </w:tcPr>
          <w:p w14:paraId="76E5C6CD"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万元</w:t>
            </w:r>
          </w:p>
        </w:tc>
        <w:tc>
          <w:tcPr>
            <w:tcW w:w="1150" w:type="dxa"/>
            <w:vAlign w:val="center"/>
          </w:tcPr>
          <w:p w14:paraId="6808A673"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c>
          <w:tcPr>
            <w:tcW w:w="1308" w:type="dxa"/>
            <w:vAlign w:val="center"/>
          </w:tcPr>
          <w:p w14:paraId="2EE66CE9" w14:textId="77777777" w:rsidR="00C27D2A" w:rsidRPr="008A2411" w:rsidRDefault="00C27D2A" w:rsidP="00DD53AE">
            <w:pPr>
              <w:autoSpaceDE w:val="0"/>
              <w:autoSpaceDN w:val="0"/>
              <w:spacing w:line="320" w:lineRule="exact"/>
              <w:jc w:val="center"/>
              <w:rPr>
                <w:rFonts w:ascii="Times New Roman" w:eastAsiaTheme="minorEastAsia"/>
                <w:color w:val="000000" w:themeColor="text1"/>
                <w:sz w:val="21"/>
                <w:szCs w:val="21"/>
              </w:rPr>
            </w:pPr>
          </w:p>
        </w:tc>
      </w:tr>
      <w:tr w:rsidR="008A2411" w:rsidRPr="008A2411" w14:paraId="442BDDD5" w14:textId="77777777" w:rsidTr="00C27D2A">
        <w:trPr>
          <w:trHeight w:val="158"/>
        </w:trPr>
        <w:tc>
          <w:tcPr>
            <w:tcW w:w="829" w:type="dxa"/>
            <w:vAlign w:val="center"/>
          </w:tcPr>
          <w:p w14:paraId="1341B460" w14:textId="77777777" w:rsidR="00C27D2A" w:rsidRPr="008A2411" w:rsidRDefault="00C27D2A" w:rsidP="00DD53AE">
            <w:pPr>
              <w:autoSpaceDE w:val="0"/>
              <w:autoSpaceDN w:val="0"/>
              <w:spacing w:line="320" w:lineRule="exact"/>
              <w:jc w:val="center"/>
              <w:rPr>
                <w:rFonts w:hAnsi="宋体" w:cs="宋体"/>
                <w:color w:val="000000" w:themeColor="text1"/>
                <w:szCs w:val="24"/>
              </w:rPr>
            </w:pPr>
            <w:r w:rsidRPr="008A2411">
              <w:rPr>
                <w:rFonts w:hAnsi="宋体" w:cs="宋体" w:hint="eastAsia"/>
                <w:color w:val="000000" w:themeColor="text1"/>
                <w:szCs w:val="24"/>
              </w:rPr>
              <w:t>1</w:t>
            </w:r>
          </w:p>
        </w:tc>
        <w:tc>
          <w:tcPr>
            <w:tcW w:w="4480" w:type="dxa"/>
            <w:vAlign w:val="center"/>
          </w:tcPr>
          <w:p w14:paraId="5AB176D4" w14:textId="77777777" w:rsidR="00C27D2A" w:rsidRPr="008A2411" w:rsidRDefault="00C27D2A" w:rsidP="00DD53AE">
            <w:pPr>
              <w:autoSpaceDE w:val="0"/>
              <w:autoSpaceDN w:val="0"/>
              <w:spacing w:line="320" w:lineRule="exact"/>
              <w:jc w:val="center"/>
              <w:rPr>
                <w:rFonts w:hAnsi="宋体" w:cs="宋体"/>
                <w:color w:val="000000" w:themeColor="text1"/>
                <w:szCs w:val="24"/>
              </w:rPr>
            </w:pPr>
            <w:proofErr w:type="gramStart"/>
            <w:r w:rsidRPr="008A2411">
              <w:rPr>
                <w:rFonts w:hAnsi="宋体" w:cs="宋体" w:hint="eastAsia"/>
                <w:color w:val="000000" w:themeColor="text1"/>
                <w:szCs w:val="24"/>
              </w:rPr>
              <w:t>年均总</w:t>
            </w:r>
            <w:proofErr w:type="gramEnd"/>
            <w:r w:rsidRPr="008A2411">
              <w:rPr>
                <w:rFonts w:hAnsi="宋体" w:cs="宋体" w:hint="eastAsia"/>
                <w:color w:val="000000" w:themeColor="text1"/>
                <w:szCs w:val="24"/>
              </w:rPr>
              <w:t>成本费用</w:t>
            </w:r>
          </w:p>
        </w:tc>
        <w:tc>
          <w:tcPr>
            <w:tcW w:w="1288" w:type="dxa"/>
            <w:vAlign w:val="center"/>
          </w:tcPr>
          <w:p w14:paraId="65288672" w14:textId="77777777" w:rsidR="00C27D2A" w:rsidRPr="008A2411" w:rsidRDefault="00C27D2A" w:rsidP="00DD53AE">
            <w:pPr>
              <w:autoSpaceDE w:val="0"/>
              <w:autoSpaceDN w:val="0"/>
              <w:spacing w:line="320" w:lineRule="exact"/>
              <w:jc w:val="center"/>
              <w:rPr>
                <w:rFonts w:hAnsi="宋体" w:cs="宋体"/>
                <w:color w:val="000000" w:themeColor="text1"/>
                <w:szCs w:val="24"/>
              </w:rPr>
            </w:pPr>
            <w:r w:rsidRPr="008A2411">
              <w:rPr>
                <w:rFonts w:hAnsi="宋体" w:cs="宋体" w:hint="eastAsia"/>
                <w:color w:val="000000" w:themeColor="text1"/>
                <w:szCs w:val="24"/>
              </w:rPr>
              <w:t>万元</w:t>
            </w:r>
          </w:p>
        </w:tc>
        <w:tc>
          <w:tcPr>
            <w:tcW w:w="1150" w:type="dxa"/>
            <w:vAlign w:val="center"/>
          </w:tcPr>
          <w:p w14:paraId="5EBA9EAD" w14:textId="77777777" w:rsidR="00C27D2A" w:rsidRPr="008A2411" w:rsidRDefault="00C27D2A" w:rsidP="00DD53AE">
            <w:pPr>
              <w:autoSpaceDE w:val="0"/>
              <w:autoSpaceDN w:val="0"/>
              <w:spacing w:line="320" w:lineRule="exact"/>
              <w:jc w:val="center"/>
              <w:rPr>
                <w:rFonts w:hAnsi="宋体" w:cs="宋体"/>
                <w:color w:val="000000" w:themeColor="text1"/>
                <w:szCs w:val="24"/>
              </w:rPr>
            </w:pPr>
            <w:r w:rsidRPr="008A2411">
              <w:rPr>
                <w:rFonts w:hAnsi="宋体" w:cs="宋体" w:hint="eastAsia"/>
                <w:color w:val="000000" w:themeColor="text1"/>
                <w:szCs w:val="24"/>
              </w:rPr>
              <w:t>59058.39</w:t>
            </w:r>
          </w:p>
        </w:tc>
        <w:tc>
          <w:tcPr>
            <w:tcW w:w="1308" w:type="dxa"/>
            <w:vAlign w:val="center"/>
          </w:tcPr>
          <w:p w14:paraId="386635D4" w14:textId="77777777" w:rsidR="00C27D2A" w:rsidRPr="008A2411" w:rsidRDefault="00C27D2A" w:rsidP="00DD53AE">
            <w:pPr>
              <w:autoSpaceDE w:val="0"/>
              <w:autoSpaceDN w:val="0"/>
              <w:spacing w:line="320" w:lineRule="exact"/>
              <w:jc w:val="center"/>
              <w:rPr>
                <w:rFonts w:hAnsi="宋体" w:cs="宋体"/>
                <w:color w:val="000000" w:themeColor="text1"/>
                <w:szCs w:val="24"/>
              </w:rPr>
            </w:pPr>
          </w:p>
        </w:tc>
      </w:tr>
      <w:tr w:rsidR="008A2411" w:rsidRPr="008A2411" w14:paraId="4F949076" w14:textId="77777777" w:rsidTr="00C27D2A">
        <w:trPr>
          <w:trHeight w:val="163"/>
        </w:trPr>
        <w:tc>
          <w:tcPr>
            <w:tcW w:w="829" w:type="dxa"/>
            <w:vAlign w:val="center"/>
          </w:tcPr>
          <w:p w14:paraId="61EA09B8" w14:textId="77777777" w:rsidR="00C27D2A" w:rsidRPr="008A2411" w:rsidRDefault="00C27D2A" w:rsidP="00DD53AE">
            <w:pPr>
              <w:autoSpaceDE w:val="0"/>
              <w:autoSpaceDN w:val="0"/>
              <w:spacing w:line="320" w:lineRule="exact"/>
              <w:jc w:val="center"/>
              <w:rPr>
                <w:rFonts w:hAnsi="宋体" w:cs="宋体"/>
                <w:color w:val="000000" w:themeColor="text1"/>
                <w:szCs w:val="24"/>
              </w:rPr>
            </w:pPr>
            <w:r w:rsidRPr="008A2411">
              <w:rPr>
                <w:rFonts w:hAnsi="宋体" w:cs="宋体" w:hint="eastAsia"/>
                <w:color w:val="000000" w:themeColor="text1"/>
                <w:szCs w:val="24"/>
              </w:rPr>
              <w:t>2</w:t>
            </w:r>
          </w:p>
        </w:tc>
        <w:tc>
          <w:tcPr>
            <w:tcW w:w="4480" w:type="dxa"/>
            <w:vAlign w:val="center"/>
          </w:tcPr>
          <w:p w14:paraId="6A83D3C6" w14:textId="77777777" w:rsidR="00C27D2A" w:rsidRPr="008A2411" w:rsidRDefault="00C27D2A" w:rsidP="00DD53AE">
            <w:pPr>
              <w:autoSpaceDE w:val="0"/>
              <w:autoSpaceDN w:val="0"/>
              <w:spacing w:line="320" w:lineRule="exact"/>
              <w:jc w:val="center"/>
              <w:rPr>
                <w:rFonts w:hAnsi="宋体" w:cs="宋体"/>
                <w:color w:val="000000" w:themeColor="text1"/>
                <w:szCs w:val="24"/>
              </w:rPr>
            </w:pPr>
            <w:r w:rsidRPr="008A2411">
              <w:rPr>
                <w:rFonts w:hAnsi="宋体" w:cs="宋体" w:hint="eastAsia"/>
                <w:color w:val="000000" w:themeColor="text1"/>
                <w:szCs w:val="24"/>
              </w:rPr>
              <w:t>年均经营成本</w:t>
            </w:r>
          </w:p>
        </w:tc>
        <w:tc>
          <w:tcPr>
            <w:tcW w:w="1288" w:type="dxa"/>
            <w:vAlign w:val="center"/>
          </w:tcPr>
          <w:p w14:paraId="5E603D67" w14:textId="77777777" w:rsidR="00C27D2A" w:rsidRPr="008A2411" w:rsidRDefault="00C27D2A" w:rsidP="00DD53AE">
            <w:pPr>
              <w:autoSpaceDE w:val="0"/>
              <w:autoSpaceDN w:val="0"/>
              <w:spacing w:line="320" w:lineRule="exact"/>
              <w:jc w:val="center"/>
              <w:rPr>
                <w:rFonts w:hAnsi="宋体" w:cs="宋体"/>
                <w:color w:val="000000" w:themeColor="text1"/>
                <w:szCs w:val="24"/>
              </w:rPr>
            </w:pPr>
            <w:r w:rsidRPr="008A2411">
              <w:rPr>
                <w:rFonts w:hAnsi="宋体" w:cs="宋体" w:hint="eastAsia"/>
                <w:color w:val="000000" w:themeColor="text1"/>
                <w:szCs w:val="24"/>
              </w:rPr>
              <w:t>万元</w:t>
            </w:r>
          </w:p>
        </w:tc>
        <w:tc>
          <w:tcPr>
            <w:tcW w:w="1150" w:type="dxa"/>
            <w:vAlign w:val="center"/>
          </w:tcPr>
          <w:p w14:paraId="2D207688" w14:textId="77777777" w:rsidR="00C27D2A" w:rsidRPr="008A2411" w:rsidRDefault="00C27D2A" w:rsidP="00DD53AE">
            <w:pPr>
              <w:autoSpaceDE w:val="0"/>
              <w:autoSpaceDN w:val="0"/>
              <w:spacing w:line="320" w:lineRule="exact"/>
              <w:jc w:val="center"/>
              <w:rPr>
                <w:rFonts w:hAnsi="宋体" w:cs="宋体"/>
                <w:color w:val="000000" w:themeColor="text1"/>
                <w:szCs w:val="24"/>
              </w:rPr>
            </w:pPr>
            <w:r w:rsidRPr="008A2411">
              <w:rPr>
                <w:rFonts w:hAnsi="宋体" w:cs="宋体" w:hint="eastAsia"/>
                <w:color w:val="000000" w:themeColor="text1"/>
                <w:szCs w:val="24"/>
              </w:rPr>
              <w:t>55514.03</w:t>
            </w:r>
          </w:p>
        </w:tc>
        <w:tc>
          <w:tcPr>
            <w:tcW w:w="1308" w:type="dxa"/>
            <w:vAlign w:val="center"/>
          </w:tcPr>
          <w:p w14:paraId="516FF847" w14:textId="77777777" w:rsidR="00C27D2A" w:rsidRPr="008A2411" w:rsidRDefault="00C27D2A" w:rsidP="00DD53AE">
            <w:pPr>
              <w:autoSpaceDE w:val="0"/>
              <w:autoSpaceDN w:val="0"/>
              <w:spacing w:line="320" w:lineRule="exact"/>
              <w:jc w:val="center"/>
              <w:rPr>
                <w:rFonts w:hAnsi="宋体" w:cs="宋体"/>
                <w:color w:val="000000" w:themeColor="text1"/>
                <w:szCs w:val="24"/>
              </w:rPr>
            </w:pPr>
          </w:p>
        </w:tc>
      </w:tr>
      <w:tr w:rsidR="008A2411" w:rsidRPr="008A2411" w14:paraId="537B9169" w14:textId="77777777" w:rsidTr="00C27D2A">
        <w:trPr>
          <w:trHeight w:val="163"/>
        </w:trPr>
        <w:tc>
          <w:tcPr>
            <w:tcW w:w="829" w:type="dxa"/>
            <w:vAlign w:val="center"/>
          </w:tcPr>
          <w:p w14:paraId="1176E273" w14:textId="77777777" w:rsidR="00C27D2A" w:rsidRPr="008A2411" w:rsidRDefault="00C27D2A" w:rsidP="00DD53AE">
            <w:pPr>
              <w:autoSpaceDE w:val="0"/>
              <w:autoSpaceDN w:val="0"/>
              <w:spacing w:line="320" w:lineRule="exact"/>
              <w:jc w:val="center"/>
              <w:rPr>
                <w:rFonts w:hAnsi="宋体" w:cs="宋体"/>
                <w:color w:val="000000" w:themeColor="text1"/>
                <w:szCs w:val="24"/>
              </w:rPr>
            </w:pPr>
            <w:r w:rsidRPr="008A2411">
              <w:rPr>
                <w:rFonts w:hAnsi="宋体" w:cs="宋体" w:hint="eastAsia"/>
                <w:color w:val="000000" w:themeColor="text1"/>
                <w:szCs w:val="24"/>
              </w:rPr>
              <w:t>3</w:t>
            </w:r>
          </w:p>
        </w:tc>
        <w:tc>
          <w:tcPr>
            <w:tcW w:w="4480" w:type="dxa"/>
            <w:vAlign w:val="center"/>
          </w:tcPr>
          <w:p w14:paraId="18DA189E" w14:textId="77777777" w:rsidR="00C27D2A" w:rsidRPr="008A2411" w:rsidRDefault="00C27D2A" w:rsidP="00DD53AE">
            <w:pPr>
              <w:autoSpaceDE w:val="0"/>
              <w:autoSpaceDN w:val="0"/>
              <w:spacing w:line="320" w:lineRule="exact"/>
              <w:jc w:val="center"/>
              <w:rPr>
                <w:rFonts w:hAnsi="宋体" w:cs="宋体"/>
                <w:color w:val="000000" w:themeColor="text1"/>
                <w:szCs w:val="24"/>
              </w:rPr>
            </w:pPr>
            <w:r w:rsidRPr="008A2411">
              <w:rPr>
                <w:rFonts w:hAnsi="宋体" w:cs="宋体" w:hint="eastAsia"/>
                <w:color w:val="000000" w:themeColor="text1"/>
                <w:szCs w:val="24"/>
              </w:rPr>
              <w:t>主要产品单位生产成本</w:t>
            </w:r>
          </w:p>
        </w:tc>
        <w:tc>
          <w:tcPr>
            <w:tcW w:w="1288" w:type="dxa"/>
            <w:vAlign w:val="center"/>
          </w:tcPr>
          <w:p w14:paraId="01EF19C7" w14:textId="77777777" w:rsidR="00C27D2A" w:rsidRPr="008A2411" w:rsidRDefault="00C27D2A" w:rsidP="00DD53AE">
            <w:pPr>
              <w:autoSpaceDE w:val="0"/>
              <w:autoSpaceDN w:val="0"/>
              <w:spacing w:line="320" w:lineRule="exact"/>
              <w:jc w:val="center"/>
              <w:rPr>
                <w:rFonts w:hAnsi="宋体" w:cs="宋体"/>
                <w:color w:val="000000" w:themeColor="text1"/>
                <w:szCs w:val="24"/>
              </w:rPr>
            </w:pPr>
            <w:r w:rsidRPr="008A2411">
              <w:rPr>
                <w:rFonts w:hAnsi="宋体" w:cs="宋体" w:hint="eastAsia"/>
                <w:color w:val="000000" w:themeColor="text1"/>
                <w:szCs w:val="24"/>
              </w:rPr>
              <w:t>元/吨</w:t>
            </w:r>
          </w:p>
        </w:tc>
        <w:tc>
          <w:tcPr>
            <w:tcW w:w="1150" w:type="dxa"/>
            <w:vAlign w:val="center"/>
          </w:tcPr>
          <w:p w14:paraId="4CBC997F" w14:textId="77777777" w:rsidR="00C27D2A" w:rsidRPr="008A2411" w:rsidRDefault="00C27D2A" w:rsidP="00DD53AE">
            <w:pPr>
              <w:autoSpaceDE w:val="0"/>
              <w:autoSpaceDN w:val="0"/>
              <w:spacing w:line="320" w:lineRule="exact"/>
              <w:jc w:val="center"/>
              <w:rPr>
                <w:rFonts w:hAnsi="宋体" w:cs="宋体"/>
                <w:color w:val="000000" w:themeColor="text1"/>
                <w:szCs w:val="24"/>
              </w:rPr>
            </w:pPr>
            <w:r w:rsidRPr="008A2411">
              <w:rPr>
                <w:rFonts w:hAnsi="宋体" w:cs="宋体" w:hint="eastAsia"/>
                <w:color w:val="000000" w:themeColor="text1"/>
                <w:szCs w:val="24"/>
              </w:rPr>
              <w:t>2597.63</w:t>
            </w:r>
          </w:p>
        </w:tc>
        <w:tc>
          <w:tcPr>
            <w:tcW w:w="1308" w:type="dxa"/>
            <w:vAlign w:val="center"/>
          </w:tcPr>
          <w:p w14:paraId="7A596B70" w14:textId="77777777" w:rsidR="00C27D2A" w:rsidRPr="008A2411" w:rsidRDefault="00C27D2A" w:rsidP="00DD53AE">
            <w:pPr>
              <w:autoSpaceDE w:val="0"/>
              <w:autoSpaceDN w:val="0"/>
              <w:spacing w:line="320" w:lineRule="exact"/>
              <w:jc w:val="center"/>
              <w:rPr>
                <w:rFonts w:hAnsi="宋体" w:cs="宋体"/>
                <w:color w:val="000000" w:themeColor="text1"/>
                <w:szCs w:val="24"/>
              </w:rPr>
            </w:pPr>
          </w:p>
        </w:tc>
      </w:tr>
      <w:tr w:rsidR="008A2411" w:rsidRPr="008A2411" w14:paraId="40D8C215" w14:textId="77777777" w:rsidTr="00C27D2A">
        <w:trPr>
          <w:trHeight w:val="163"/>
        </w:trPr>
        <w:tc>
          <w:tcPr>
            <w:tcW w:w="829" w:type="dxa"/>
            <w:vAlign w:val="center"/>
          </w:tcPr>
          <w:p w14:paraId="46864E5F" w14:textId="6703E26F" w:rsidR="00C27D2A" w:rsidRPr="008A2411" w:rsidRDefault="00C27D2A" w:rsidP="00DD53AE">
            <w:pPr>
              <w:autoSpaceDE w:val="0"/>
              <w:autoSpaceDN w:val="0"/>
              <w:spacing w:line="320" w:lineRule="exact"/>
              <w:jc w:val="center"/>
              <w:rPr>
                <w:rFonts w:hAnsi="宋体" w:cs="宋体"/>
                <w:color w:val="000000" w:themeColor="text1"/>
                <w:szCs w:val="24"/>
              </w:rPr>
            </w:pPr>
            <w:r w:rsidRPr="008A2411">
              <w:rPr>
                <w:rFonts w:hAnsi="宋体" w:cs="宋体" w:hint="eastAsia"/>
                <w:color w:val="000000" w:themeColor="text1"/>
                <w:szCs w:val="24"/>
              </w:rPr>
              <w:t>十三</w:t>
            </w:r>
          </w:p>
        </w:tc>
        <w:tc>
          <w:tcPr>
            <w:tcW w:w="4480" w:type="dxa"/>
            <w:vAlign w:val="center"/>
          </w:tcPr>
          <w:p w14:paraId="29797B90" w14:textId="77777777" w:rsidR="00C27D2A" w:rsidRPr="008A2411" w:rsidRDefault="00C27D2A" w:rsidP="00DD53AE">
            <w:pPr>
              <w:autoSpaceDE w:val="0"/>
              <w:autoSpaceDN w:val="0"/>
              <w:spacing w:line="320" w:lineRule="exact"/>
              <w:jc w:val="center"/>
              <w:rPr>
                <w:rFonts w:hAnsi="宋体" w:cs="宋体"/>
                <w:color w:val="000000" w:themeColor="text1"/>
                <w:szCs w:val="24"/>
              </w:rPr>
            </w:pPr>
            <w:r w:rsidRPr="008A2411">
              <w:rPr>
                <w:rFonts w:hAnsi="宋体" w:cs="宋体" w:hint="eastAsia"/>
                <w:color w:val="000000" w:themeColor="text1"/>
                <w:szCs w:val="24"/>
              </w:rPr>
              <w:t>年利税总额</w:t>
            </w:r>
          </w:p>
        </w:tc>
        <w:tc>
          <w:tcPr>
            <w:tcW w:w="1288" w:type="dxa"/>
            <w:vAlign w:val="center"/>
          </w:tcPr>
          <w:p w14:paraId="3486101D" w14:textId="77777777" w:rsidR="00C27D2A" w:rsidRPr="008A2411" w:rsidRDefault="00C27D2A" w:rsidP="00DD53AE">
            <w:pPr>
              <w:autoSpaceDE w:val="0"/>
              <w:autoSpaceDN w:val="0"/>
              <w:spacing w:line="320" w:lineRule="exact"/>
              <w:jc w:val="center"/>
              <w:rPr>
                <w:rFonts w:hAnsi="宋体" w:cs="宋体"/>
                <w:color w:val="000000" w:themeColor="text1"/>
                <w:szCs w:val="24"/>
              </w:rPr>
            </w:pPr>
            <w:r w:rsidRPr="008A2411">
              <w:rPr>
                <w:rFonts w:hAnsi="宋体" w:cs="宋体" w:hint="eastAsia"/>
                <w:color w:val="000000" w:themeColor="text1"/>
                <w:szCs w:val="24"/>
              </w:rPr>
              <w:t>万元</w:t>
            </w:r>
          </w:p>
        </w:tc>
        <w:tc>
          <w:tcPr>
            <w:tcW w:w="1150" w:type="dxa"/>
            <w:vAlign w:val="center"/>
          </w:tcPr>
          <w:p w14:paraId="16250958" w14:textId="77777777" w:rsidR="00C27D2A" w:rsidRPr="008A2411" w:rsidRDefault="00C27D2A" w:rsidP="00DD53AE">
            <w:pPr>
              <w:autoSpaceDE w:val="0"/>
              <w:autoSpaceDN w:val="0"/>
              <w:spacing w:line="320" w:lineRule="exact"/>
              <w:jc w:val="center"/>
              <w:rPr>
                <w:rFonts w:hAnsi="宋体" w:cs="宋体"/>
                <w:color w:val="000000" w:themeColor="text1"/>
                <w:szCs w:val="24"/>
              </w:rPr>
            </w:pPr>
            <w:r w:rsidRPr="008A2411">
              <w:rPr>
                <w:rFonts w:hAnsi="宋体" w:cs="宋体" w:hint="eastAsia"/>
                <w:color w:val="000000" w:themeColor="text1"/>
                <w:szCs w:val="24"/>
              </w:rPr>
              <w:t>12425.61</w:t>
            </w:r>
          </w:p>
        </w:tc>
        <w:tc>
          <w:tcPr>
            <w:tcW w:w="1308" w:type="dxa"/>
            <w:vAlign w:val="center"/>
          </w:tcPr>
          <w:p w14:paraId="25E44285" w14:textId="77777777" w:rsidR="00C27D2A" w:rsidRPr="008A2411" w:rsidRDefault="00C27D2A" w:rsidP="00DD53AE">
            <w:pPr>
              <w:autoSpaceDE w:val="0"/>
              <w:autoSpaceDN w:val="0"/>
              <w:spacing w:line="320" w:lineRule="exact"/>
              <w:jc w:val="center"/>
              <w:rPr>
                <w:rFonts w:hAnsi="宋体" w:cs="宋体"/>
                <w:color w:val="000000" w:themeColor="text1"/>
                <w:szCs w:val="24"/>
              </w:rPr>
            </w:pPr>
          </w:p>
        </w:tc>
      </w:tr>
      <w:tr w:rsidR="008A2411" w:rsidRPr="008A2411" w14:paraId="50B827E3" w14:textId="77777777" w:rsidTr="00C27D2A">
        <w:trPr>
          <w:trHeight w:val="163"/>
        </w:trPr>
        <w:tc>
          <w:tcPr>
            <w:tcW w:w="829" w:type="dxa"/>
            <w:vAlign w:val="center"/>
          </w:tcPr>
          <w:p w14:paraId="569A6A55" w14:textId="77F148ED" w:rsidR="00C27D2A" w:rsidRPr="008A2411" w:rsidRDefault="00C27D2A" w:rsidP="00DD53AE">
            <w:pPr>
              <w:autoSpaceDE w:val="0"/>
              <w:autoSpaceDN w:val="0"/>
              <w:spacing w:line="320" w:lineRule="exact"/>
              <w:jc w:val="center"/>
              <w:rPr>
                <w:rFonts w:hAnsi="宋体" w:cs="宋体"/>
                <w:color w:val="000000" w:themeColor="text1"/>
                <w:szCs w:val="24"/>
              </w:rPr>
            </w:pPr>
            <w:r w:rsidRPr="008A2411">
              <w:rPr>
                <w:rFonts w:hAnsi="宋体" w:cs="宋体" w:hint="eastAsia"/>
                <w:color w:val="000000" w:themeColor="text1"/>
                <w:szCs w:val="24"/>
              </w:rPr>
              <w:t>十四</w:t>
            </w:r>
          </w:p>
        </w:tc>
        <w:tc>
          <w:tcPr>
            <w:tcW w:w="4480" w:type="dxa"/>
            <w:vAlign w:val="center"/>
          </w:tcPr>
          <w:p w14:paraId="7CEE1C63" w14:textId="77777777" w:rsidR="00C27D2A" w:rsidRPr="008A2411" w:rsidRDefault="00C27D2A" w:rsidP="00DD53AE">
            <w:pPr>
              <w:autoSpaceDE w:val="0"/>
              <w:autoSpaceDN w:val="0"/>
              <w:spacing w:line="320" w:lineRule="exact"/>
              <w:jc w:val="center"/>
              <w:rPr>
                <w:rFonts w:hAnsi="宋体" w:cs="宋体"/>
                <w:color w:val="000000" w:themeColor="text1"/>
                <w:szCs w:val="24"/>
              </w:rPr>
            </w:pPr>
            <w:r w:rsidRPr="008A2411">
              <w:rPr>
                <w:rFonts w:hAnsi="宋体" w:cs="宋体" w:hint="eastAsia"/>
                <w:color w:val="000000" w:themeColor="text1"/>
                <w:szCs w:val="24"/>
              </w:rPr>
              <w:t>年销售利润</w:t>
            </w:r>
          </w:p>
        </w:tc>
        <w:tc>
          <w:tcPr>
            <w:tcW w:w="1288" w:type="dxa"/>
            <w:vAlign w:val="center"/>
          </w:tcPr>
          <w:p w14:paraId="55C3F62D" w14:textId="77777777" w:rsidR="00C27D2A" w:rsidRPr="008A2411" w:rsidRDefault="00C27D2A" w:rsidP="00DD53AE">
            <w:pPr>
              <w:autoSpaceDE w:val="0"/>
              <w:autoSpaceDN w:val="0"/>
              <w:spacing w:line="320" w:lineRule="exact"/>
              <w:jc w:val="center"/>
              <w:rPr>
                <w:rFonts w:hAnsi="宋体" w:cs="宋体"/>
                <w:color w:val="000000" w:themeColor="text1"/>
                <w:szCs w:val="24"/>
              </w:rPr>
            </w:pPr>
            <w:r w:rsidRPr="008A2411">
              <w:rPr>
                <w:rFonts w:hAnsi="宋体" w:cs="宋体" w:hint="eastAsia"/>
                <w:color w:val="000000" w:themeColor="text1"/>
                <w:szCs w:val="24"/>
              </w:rPr>
              <w:t>万元</w:t>
            </w:r>
          </w:p>
        </w:tc>
        <w:tc>
          <w:tcPr>
            <w:tcW w:w="1150" w:type="dxa"/>
            <w:vAlign w:val="center"/>
          </w:tcPr>
          <w:p w14:paraId="59C8120F" w14:textId="77777777" w:rsidR="00C27D2A" w:rsidRPr="008A2411" w:rsidRDefault="00C27D2A" w:rsidP="00DD53AE">
            <w:pPr>
              <w:autoSpaceDE w:val="0"/>
              <w:autoSpaceDN w:val="0"/>
              <w:spacing w:line="320" w:lineRule="exact"/>
              <w:jc w:val="center"/>
              <w:rPr>
                <w:rFonts w:hAnsi="宋体" w:cs="宋体"/>
                <w:color w:val="000000" w:themeColor="text1"/>
                <w:szCs w:val="24"/>
              </w:rPr>
            </w:pPr>
            <w:r w:rsidRPr="008A2411">
              <w:rPr>
                <w:rFonts w:hAnsi="宋体" w:cs="宋体" w:hint="eastAsia"/>
                <w:color w:val="000000" w:themeColor="text1"/>
                <w:szCs w:val="24"/>
              </w:rPr>
              <w:t>10776.13</w:t>
            </w:r>
          </w:p>
        </w:tc>
        <w:tc>
          <w:tcPr>
            <w:tcW w:w="1308" w:type="dxa"/>
            <w:vAlign w:val="center"/>
          </w:tcPr>
          <w:p w14:paraId="6B69B0FF" w14:textId="77777777" w:rsidR="00C27D2A" w:rsidRPr="008A2411" w:rsidRDefault="00C27D2A" w:rsidP="00DD53AE">
            <w:pPr>
              <w:autoSpaceDE w:val="0"/>
              <w:autoSpaceDN w:val="0"/>
              <w:spacing w:line="320" w:lineRule="exact"/>
              <w:jc w:val="center"/>
              <w:rPr>
                <w:rFonts w:hAnsi="宋体" w:cs="宋体"/>
                <w:color w:val="000000" w:themeColor="text1"/>
                <w:szCs w:val="24"/>
              </w:rPr>
            </w:pPr>
          </w:p>
        </w:tc>
      </w:tr>
      <w:tr w:rsidR="008A2411" w:rsidRPr="008A2411" w14:paraId="329F0821" w14:textId="77777777" w:rsidTr="00C27D2A">
        <w:trPr>
          <w:trHeight w:val="158"/>
        </w:trPr>
        <w:tc>
          <w:tcPr>
            <w:tcW w:w="829" w:type="dxa"/>
            <w:vAlign w:val="center"/>
          </w:tcPr>
          <w:p w14:paraId="43DF160B" w14:textId="407C6E29" w:rsidR="00C27D2A" w:rsidRPr="008A2411" w:rsidRDefault="00C27D2A" w:rsidP="00DD53AE">
            <w:pPr>
              <w:autoSpaceDE w:val="0"/>
              <w:autoSpaceDN w:val="0"/>
              <w:spacing w:line="320" w:lineRule="exact"/>
              <w:jc w:val="center"/>
              <w:rPr>
                <w:rFonts w:hAnsi="宋体" w:cs="宋体"/>
                <w:color w:val="000000" w:themeColor="text1"/>
                <w:szCs w:val="24"/>
              </w:rPr>
            </w:pPr>
            <w:r w:rsidRPr="008A2411">
              <w:rPr>
                <w:rFonts w:hAnsi="宋体" w:cs="宋体" w:hint="eastAsia"/>
                <w:color w:val="000000" w:themeColor="text1"/>
                <w:szCs w:val="24"/>
              </w:rPr>
              <w:t>十五</w:t>
            </w:r>
          </w:p>
        </w:tc>
        <w:tc>
          <w:tcPr>
            <w:tcW w:w="4480" w:type="dxa"/>
            <w:vAlign w:val="center"/>
          </w:tcPr>
          <w:p w14:paraId="605D7105" w14:textId="77777777" w:rsidR="00C27D2A" w:rsidRPr="008A2411" w:rsidRDefault="00C27D2A" w:rsidP="00DD53AE">
            <w:pPr>
              <w:autoSpaceDE w:val="0"/>
              <w:autoSpaceDN w:val="0"/>
              <w:spacing w:line="320" w:lineRule="exact"/>
              <w:jc w:val="center"/>
              <w:rPr>
                <w:rFonts w:hAnsi="宋体" w:cs="宋体"/>
                <w:color w:val="000000" w:themeColor="text1"/>
                <w:szCs w:val="24"/>
              </w:rPr>
            </w:pPr>
            <w:r w:rsidRPr="008A2411">
              <w:rPr>
                <w:rFonts w:hAnsi="宋体" w:cs="宋体" w:hint="eastAsia"/>
                <w:color w:val="000000" w:themeColor="text1"/>
                <w:szCs w:val="24"/>
              </w:rPr>
              <w:t>年税后利润</w:t>
            </w:r>
          </w:p>
        </w:tc>
        <w:tc>
          <w:tcPr>
            <w:tcW w:w="1288" w:type="dxa"/>
            <w:vAlign w:val="center"/>
          </w:tcPr>
          <w:p w14:paraId="7BC5C287" w14:textId="77777777" w:rsidR="00C27D2A" w:rsidRPr="008A2411" w:rsidRDefault="00C27D2A" w:rsidP="00DD53AE">
            <w:pPr>
              <w:autoSpaceDE w:val="0"/>
              <w:autoSpaceDN w:val="0"/>
              <w:spacing w:line="320" w:lineRule="exact"/>
              <w:jc w:val="center"/>
              <w:rPr>
                <w:rFonts w:hAnsi="宋体" w:cs="宋体"/>
                <w:color w:val="000000" w:themeColor="text1"/>
                <w:szCs w:val="24"/>
              </w:rPr>
            </w:pPr>
            <w:r w:rsidRPr="008A2411">
              <w:rPr>
                <w:rFonts w:hAnsi="宋体" w:cs="宋体" w:hint="eastAsia"/>
                <w:color w:val="000000" w:themeColor="text1"/>
                <w:szCs w:val="24"/>
              </w:rPr>
              <w:t>万元</w:t>
            </w:r>
          </w:p>
        </w:tc>
        <w:tc>
          <w:tcPr>
            <w:tcW w:w="1150" w:type="dxa"/>
            <w:vAlign w:val="center"/>
          </w:tcPr>
          <w:p w14:paraId="6CC49C97" w14:textId="77777777" w:rsidR="00C27D2A" w:rsidRPr="008A2411" w:rsidRDefault="00C27D2A" w:rsidP="00DD53AE">
            <w:pPr>
              <w:autoSpaceDE w:val="0"/>
              <w:autoSpaceDN w:val="0"/>
              <w:spacing w:line="320" w:lineRule="exact"/>
              <w:jc w:val="center"/>
              <w:rPr>
                <w:rFonts w:hAnsi="宋体" w:cs="宋体"/>
                <w:color w:val="000000" w:themeColor="text1"/>
                <w:szCs w:val="24"/>
              </w:rPr>
            </w:pPr>
            <w:r w:rsidRPr="008A2411">
              <w:rPr>
                <w:rFonts w:hAnsi="宋体" w:cs="宋体" w:hint="eastAsia"/>
                <w:color w:val="000000" w:themeColor="text1"/>
                <w:szCs w:val="24"/>
              </w:rPr>
              <w:t>8082.09</w:t>
            </w:r>
          </w:p>
        </w:tc>
        <w:tc>
          <w:tcPr>
            <w:tcW w:w="1308" w:type="dxa"/>
            <w:vAlign w:val="center"/>
          </w:tcPr>
          <w:p w14:paraId="4DB84E42" w14:textId="77777777" w:rsidR="00C27D2A" w:rsidRPr="008A2411" w:rsidRDefault="00C27D2A" w:rsidP="00DD53AE">
            <w:pPr>
              <w:autoSpaceDE w:val="0"/>
              <w:autoSpaceDN w:val="0"/>
              <w:spacing w:line="320" w:lineRule="exact"/>
              <w:jc w:val="center"/>
              <w:rPr>
                <w:rFonts w:hAnsi="宋体" w:cs="宋体"/>
                <w:color w:val="000000" w:themeColor="text1"/>
                <w:szCs w:val="24"/>
              </w:rPr>
            </w:pPr>
          </w:p>
        </w:tc>
      </w:tr>
    </w:tbl>
    <w:p w14:paraId="7609A507" w14:textId="70D8C977" w:rsidR="00B0005F" w:rsidRPr="008A2411" w:rsidRDefault="00000000">
      <w:pPr>
        <w:pStyle w:val="42"/>
        <w:snapToGrid w:val="0"/>
        <w:spacing w:before="0" w:after="0" w:line="360" w:lineRule="auto"/>
        <w:rPr>
          <w:rFonts w:ascii="Times New Roman" w:hAnsi="Times New Roman"/>
          <w:b w:val="0"/>
          <w:color w:val="000000" w:themeColor="text1"/>
          <w:kern w:val="0"/>
          <w:sz w:val="24"/>
          <w:szCs w:val="24"/>
          <w:lang w:bidi="en-US"/>
        </w:rPr>
      </w:pPr>
      <w:r w:rsidRPr="008A2411">
        <w:rPr>
          <w:rFonts w:ascii="Times New Roman" w:hAnsi="Times New Roman"/>
          <w:b w:val="0"/>
          <w:color w:val="000000" w:themeColor="text1"/>
          <w:kern w:val="0"/>
          <w:sz w:val="24"/>
          <w:szCs w:val="24"/>
          <w:lang w:bidi="en-US"/>
        </w:rPr>
        <w:lastRenderedPageBreak/>
        <w:t xml:space="preserve">3.1.6 </w:t>
      </w:r>
      <w:r w:rsidRPr="008A2411">
        <w:rPr>
          <w:rFonts w:ascii="Times New Roman" w:hAnsi="Times New Roman"/>
          <w:b w:val="0"/>
          <w:color w:val="000000" w:themeColor="text1"/>
          <w:kern w:val="0"/>
          <w:sz w:val="24"/>
          <w:szCs w:val="24"/>
          <w:lang w:bidi="en-US"/>
        </w:rPr>
        <w:t>建设规模及产品方案</w:t>
      </w:r>
    </w:p>
    <w:p w14:paraId="6B0CF02E" w14:textId="77777777" w:rsidR="00B0005F" w:rsidRPr="008A2411" w:rsidRDefault="00000000">
      <w:pPr>
        <w:pStyle w:val="WJ3"/>
        <w:spacing w:line="360" w:lineRule="auto"/>
        <w:outlineLvl w:val="9"/>
        <w:rPr>
          <w:rFonts w:ascii="Times New Roman" w:eastAsia="宋体" w:hAnsi="Times New Roman"/>
          <w:bCs/>
          <w:color w:val="000000" w:themeColor="text1"/>
          <w:kern w:val="2"/>
          <w:lang w:bidi="ar-SA"/>
        </w:rPr>
      </w:pPr>
      <w:r w:rsidRPr="008A2411">
        <w:rPr>
          <w:rFonts w:ascii="Times New Roman" w:eastAsia="宋体" w:hAnsi="Times New Roman"/>
          <w:bCs/>
          <w:color w:val="000000" w:themeColor="text1"/>
          <w:kern w:val="2"/>
          <w:lang w:bidi="ar-SA"/>
        </w:rPr>
        <w:t>1</w:t>
      </w:r>
      <w:r w:rsidRPr="008A2411">
        <w:rPr>
          <w:rFonts w:ascii="Times New Roman" w:eastAsia="宋体" w:hAnsi="Times New Roman"/>
          <w:bCs/>
          <w:color w:val="000000" w:themeColor="text1"/>
          <w:kern w:val="2"/>
          <w:lang w:bidi="ar-SA"/>
        </w:rPr>
        <w:t>、原料气气质组分</w:t>
      </w:r>
    </w:p>
    <w:p w14:paraId="6A67119D" w14:textId="05A928DE" w:rsidR="00B0005F" w:rsidRPr="008A2411" w:rsidRDefault="00000000">
      <w:pPr>
        <w:widowControl/>
        <w:adjustRightInd w:val="0"/>
        <w:snapToGrid w:val="0"/>
        <w:spacing w:line="360" w:lineRule="auto"/>
        <w:ind w:firstLineChars="200" w:firstLine="480"/>
        <w:jc w:val="left"/>
        <w:rPr>
          <w:rFonts w:ascii="Times New Roman"/>
          <w:color w:val="000000" w:themeColor="text1"/>
        </w:rPr>
      </w:pPr>
      <w:r w:rsidRPr="008A2411">
        <w:rPr>
          <w:rFonts w:ascii="Times New Roman"/>
          <w:color w:val="000000" w:themeColor="text1"/>
          <w:kern w:val="2"/>
          <w:szCs w:val="24"/>
        </w:rPr>
        <w:t>本</w:t>
      </w:r>
      <w:proofErr w:type="gramStart"/>
      <w:r w:rsidRPr="008A2411">
        <w:rPr>
          <w:rFonts w:ascii="Times New Roman"/>
          <w:color w:val="000000" w:themeColor="text1"/>
          <w:kern w:val="2"/>
          <w:szCs w:val="24"/>
        </w:rPr>
        <w:t>项目项目</w:t>
      </w:r>
      <w:proofErr w:type="gramEnd"/>
      <w:r w:rsidRPr="008A2411">
        <w:rPr>
          <w:rFonts w:ascii="Times New Roman"/>
          <w:color w:val="000000" w:themeColor="text1"/>
          <w:kern w:val="2"/>
          <w:szCs w:val="24"/>
        </w:rPr>
        <w:t>原料天然气</w:t>
      </w:r>
      <w:r w:rsidR="00D51E5C" w:rsidRPr="008A2411">
        <w:rPr>
          <w:rFonts w:ascii="Times New Roman" w:hint="eastAsia"/>
          <w:color w:val="000000" w:themeColor="text1"/>
          <w:kern w:val="2"/>
          <w:szCs w:val="24"/>
        </w:rPr>
        <w:t>将</w:t>
      </w:r>
      <w:r w:rsidRPr="008A2411">
        <w:rPr>
          <w:rFonts w:ascii="Times New Roman"/>
          <w:color w:val="000000" w:themeColor="text1"/>
          <w:kern w:val="2"/>
          <w:szCs w:val="24"/>
        </w:rPr>
        <w:t>采用管输气</w:t>
      </w:r>
      <w:r w:rsidR="00D51E5C" w:rsidRPr="008A2411">
        <w:rPr>
          <w:rFonts w:ascii="Times New Roman" w:hint="eastAsia"/>
          <w:color w:val="000000" w:themeColor="text1"/>
          <w:kern w:val="2"/>
          <w:szCs w:val="24"/>
        </w:rPr>
        <w:t>（管道工程不包含本次评价，另行环评）</w:t>
      </w:r>
      <w:r w:rsidRPr="008A2411">
        <w:rPr>
          <w:rFonts w:ascii="Times New Roman"/>
          <w:color w:val="000000" w:themeColor="text1"/>
          <w:kern w:val="2"/>
          <w:szCs w:val="24"/>
        </w:rPr>
        <w:t>，气源来自普光气田，供应充足可靠，根据中国测试技术研究院出具的检测报告可知，该项目所需来自普光净化厂的天然气原料的组分</w:t>
      </w:r>
      <w:r w:rsidRPr="008A2411">
        <w:rPr>
          <w:rFonts w:ascii="Times New Roman"/>
          <w:color w:val="000000" w:themeColor="text1"/>
        </w:rPr>
        <w:t>见表</w:t>
      </w:r>
      <w:r w:rsidRPr="008A2411">
        <w:rPr>
          <w:rFonts w:ascii="Times New Roman"/>
          <w:color w:val="000000" w:themeColor="text1"/>
        </w:rPr>
        <w:t>3.1-8</w:t>
      </w:r>
      <w:r w:rsidRPr="008A2411">
        <w:rPr>
          <w:rFonts w:ascii="Times New Roman"/>
          <w:color w:val="000000" w:themeColor="text1"/>
        </w:rPr>
        <w:t>。</w:t>
      </w:r>
    </w:p>
    <w:p w14:paraId="0F1BAC73" w14:textId="77777777" w:rsidR="00B0005F" w:rsidRPr="008A2411" w:rsidRDefault="00000000">
      <w:pPr>
        <w:pStyle w:val="WJ0"/>
        <w:spacing w:line="240" w:lineRule="auto"/>
        <w:rPr>
          <w:rFonts w:ascii="Times New Roman" w:hAnsi="Times New Roman"/>
          <w:color w:val="000000" w:themeColor="text1"/>
        </w:rPr>
      </w:pPr>
      <w:r w:rsidRPr="008A2411">
        <w:rPr>
          <w:rFonts w:ascii="Times New Roman" w:hAnsi="Times New Roman"/>
          <w:color w:val="000000" w:themeColor="text1"/>
        </w:rPr>
        <w:t>表</w:t>
      </w:r>
      <w:r w:rsidRPr="008A2411">
        <w:rPr>
          <w:rFonts w:ascii="Times New Roman" w:hAnsi="Times New Roman"/>
          <w:color w:val="000000" w:themeColor="text1"/>
        </w:rPr>
        <w:t xml:space="preserve">3.1-8  </w:t>
      </w:r>
      <w:r w:rsidRPr="008A2411">
        <w:rPr>
          <w:rFonts w:ascii="Times New Roman" w:hAnsi="Times New Roman"/>
          <w:color w:val="000000" w:themeColor="text1"/>
        </w:rPr>
        <w:t>原料天然气组分分析表</w:t>
      </w:r>
    </w:p>
    <w:tbl>
      <w:tblPr>
        <w:tblStyle w:val="affff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9"/>
        <w:gridCol w:w="2840"/>
        <w:gridCol w:w="2840"/>
      </w:tblGrid>
      <w:tr w:rsidR="008A2411" w:rsidRPr="008A2411" w14:paraId="483F811F" w14:textId="77777777">
        <w:trPr>
          <w:trHeight w:val="304"/>
        </w:trPr>
        <w:tc>
          <w:tcPr>
            <w:tcW w:w="2839" w:type="dxa"/>
          </w:tcPr>
          <w:p w14:paraId="33B36748"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序号</w:t>
            </w:r>
          </w:p>
        </w:tc>
        <w:tc>
          <w:tcPr>
            <w:tcW w:w="2840" w:type="dxa"/>
          </w:tcPr>
          <w:p w14:paraId="048E1525"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组分</w:t>
            </w:r>
          </w:p>
        </w:tc>
        <w:tc>
          <w:tcPr>
            <w:tcW w:w="2840" w:type="dxa"/>
          </w:tcPr>
          <w:p w14:paraId="59CDD3B4"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天然气</w:t>
            </w:r>
            <w:r w:rsidRPr="008A2411">
              <w:rPr>
                <w:rFonts w:ascii="Times New Roman" w:eastAsiaTheme="minorEastAsia" w:hAnsi="Times New Roman"/>
                <w:color w:val="000000" w:themeColor="text1"/>
                <w:sz w:val="21"/>
                <w:szCs w:val="21"/>
              </w:rPr>
              <w:t>/mol%</w:t>
            </w:r>
          </w:p>
        </w:tc>
      </w:tr>
      <w:tr w:rsidR="008A2411" w:rsidRPr="008A2411" w14:paraId="75023BCF" w14:textId="77777777">
        <w:trPr>
          <w:trHeight w:val="270"/>
        </w:trPr>
        <w:tc>
          <w:tcPr>
            <w:tcW w:w="2839" w:type="dxa"/>
          </w:tcPr>
          <w:p w14:paraId="47496F35"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1</w:t>
            </w:r>
          </w:p>
        </w:tc>
        <w:tc>
          <w:tcPr>
            <w:tcW w:w="2840" w:type="dxa"/>
          </w:tcPr>
          <w:p w14:paraId="673C2223"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He</w:t>
            </w:r>
          </w:p>
        </w:tc>
        <w:tc>
          <w:tcPr>
            <w:tcW w:w="2840" w:type="dxa"/>
          </w:tcPr>
          <w:p w14:paraId="08F68969"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0.027</w:t>
            </w:r>
          </w:p>
        </w:tc>
      </w:tr>
      <w:tr w:rsidR="008A2411" w:rsidRPr="008A2411" w14:paraId="2E8DB495" w14:textId="77777777">
        <w:trPr>
          <w:trHeight w:val="304"/>
        </w:trPr>
        <w:tc>
          <w:tcPr>
            <w:tcW w:w="2839" w:type="dxa"/>
          </w:tcPr>
          <w:p w14:paraId="71BD7D04"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2</w:t>
            </w:r>
          </w:p>
        </w:tc>
        <w:tc>
          <w:tcPr>
            <w:tcW w:w="2840" w:type="dxa"/>
          </w:tcPr>
          <w:p w14:paraId="0D71F65F"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H</w:t>
            </w:r>
            <w:r w:rsidRPr="008A2411">
              <w:rPr>
                <w:rFonts w:ascii="Times New Roman" w:eastAsiaTheme="minorEastAsia" w:hAnsi="Times New Roman"/>
                <w:color w:val="000000" w:themeColor="text1"/>
                <w:sz w:val="21"/>
                <w:szCs w:val="21"/>
                <w:vertAlign w:val="subscript"/>
              </w:rPr>
              <w:t>2</w:t>
            </w:r>
          </w:p>
        </w:tc>
        <w:tc>
          <w:tcPr>
            <w:tcW w:w="2840" w:type="dxa"/>
          </w:tcPr>
          <w:p w14:paraId="68054DFC"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w:t>
            </w:r>
            <w:r w:rsidRPr="008A2411">
              <w:rPr>
                <w:rFonts w:ascii="Times New Roman" w:eastAsiaTheme="minorEastAsia" w:hAnsi="Times New Roman"/>
                <w:color w:val="000000" w:themeColor="text1"/>
                <w:sz w:val="21"/>
                <w:szCs w:val="21"/>
              </w:rPr>
              <w:t>0.01</w:t>
            </w:r>
          </w:p>
        </w:tc>
      </w:tr>
      <w:tr w:rsidR="008A2411" w:rsidRPr="008A2411" w14:paraId="4E80F43A" w14:textId="77777777">
        <w:trPr>
          <w:trHeight w:val="270"/>
        </w:trPr>
        <w:tc>
          <w:tcPr>
            <w:tcW w:w="2839" w:type="dxa"/>
          </w:tcPr>
          <w:p w14:paraId="0D559186"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3</w:t>
            </w:r>
          </w:p>
        </w:tc>
        <w:tc>
          <w:tcPr>
            <w:tcW w:w="2840" w:type="dxa"/>
          </w:tcPr>
          <w:p w14:paraId="26BC698B"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CO</w:t>
            </w:r>
            <w:r w:rsidRPr="008A2411">
              <w:rPr>
                <w:rFonts w:ascii="Times New Roman" w:eastAsiaTheme="minorEastAsia" w:hAnsi="Times New Roman"/>
                <w:color w:val="000000" w:themeColor="text1"/>
                <w:sz w:val="21"/>
                <w:szCs w:val="21"/>
                <w:vertAlign w:val="subscript"/>
              </w:rPr>
              <w:t>2</w:t>
            </w:r>
          </w:p>
        </w:tc>
        <w:tc>
          <w:tcPr>
            <w:tcW w:w="2840" w:type="dxa"/>
          </w:tcPr>
          <w:p w14:paraId="2529C540"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1.26</w:t>
            </w:r>
          </w:p>
        </w:tc>
      </w:tr>
      <w:tr w:rsidR="008A2411" w:rsidRPr="008A2411" w14:paraId="4BA2A136" w14:textId="77777777">
        <w:trPr>
          <w:trHeight w:val="304"/>
        </w:trPr>
        <w:tc>
          <w:tcPr>
            <w:tcW w:w="2839" w:type="dxa"/>
          </w:tcPr>
          <w:p w14:paraId="442635F4"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4</w:t>
            </w:r>
          </w:p>
        </w:tc>
        <w:tc>
          <w:tcPr>
            <w:tcW w:w="2840" w:type="dxa"/>
          </w:tcPr>
          <w:p w14:paraId="08F0A62A"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乙烷</w:t>
            </w:r>
          </w:p>
        </w:tc>
        <w:tc>
          <w:tcPr>
            <w:tcW w:w="2840" w:type="dxa"/>
          </w:tcPr>
          <w:p w14:paraId="1323488A"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0.0892</w:t>
            </w:r>
          </w:p>
        </w:tc>
      </w:tr>
      <w:tr w:rsidR="008A2411" w:rsidRPr="008A2411" w14:paraId="0ECD6C4B" w14:textId="77777777">
        <w:trPr>
          <w:trHeight w:val="304"/>
        </w:trPr>
        <w:tc>
          <w:tcPr>
            <w:tcW w:w="2839" w:type="dxa"/>
          </w:tcPr>
          <w:p w14:paraId="390F6E9B"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5</w:t>
            </w:r>
          </w:p>
        </w:tc>
        <w:tc>
          <w:tcPr>
            <w:tcW w:w="2840" w:type="dxa"/>
          </w:tcPr>
          <w:p w14:paraId="20130FEB"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丙烷</w:t>
            </w:r>
          </w:p>
        </w:tc>
        <w:tc>
          <w:tcPr>
            <w:tcW w:w="2840" w:type="dxa"/>
          </w:tcPr>
          <w:p w14:paraId="16567B85"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0.0153</w:t>
            </w:r>
          </w:p>
        </w:tc>
      </w:tr>
      <w:tr w:rsidR="008A2411" w:rsidRPr="008A2411" w14:paraId="58E9B1D9" w14:textId="77777777">
        <w:trPr>
          <w:trHeight w:val="304"/>
        </w:trPr>
        <w:tc>
          <w:tcPr>
            <w:tcW w:w="2839" w:type="dxa"/>
          </w:tcPr>
          <w:p w14:paraId="79C03DF4"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6</w:t>
            </w:r>
          </w:p>
        </w:tc>
        <w:tc>
          <w:tcPr>
            <w:tcW w:w="2840" w:type="dxa"/>
          </w:tcPr>
          <w:p w14:paraId="5F15A922"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异丁烷</w:t>
            </w:r>
          </w:p>
        </w:tc>
        <w:tc>
          <w:tcPr>
            <w:tcW w:w="2840" w:type="dxa"/>
          </w:tcPr>
          <w:p w14:paraId="5D0661FB"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0.0118</w:t>
            </w:r>
          </w:p>
        </w:tc>
      </w:tr>
      <w:tr w:rsidR="008A2411" w:rsidRPr="008A2411" w14:paraId="12164BE6" w14:textId="77777777">
        <w:trPr>
          <w:trHeight w:val="304"/>
        </w:trPr>
        <w:tc>
          <w:tcPr>
            <w:tcW w:w="2839" w:type="dxa"/>
          </w:tcPr>
          <w:p w14:paraId="1858BF9B"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7</w:t>
            </w:r>
          </w:p>
        </w:tc>
        <w:tc>
          <w:tcPr>
            <w:tcW w:w="2840" w:type="dxa"/>
          </w:tcPr>
          <w:p w14:paraId="1FBB54C2"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正丁烷</w:t>
            </w:r>
          </w:p>
        </w:tc>
        <w:tc>
          <w:tcPr>
            <w:tcW w:w="2840" w:type="dxa"/>
          </w:tcPr>
          <w:p w14:paraId="70AF59D6"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0.0124</w:t>
            </w:r>
          </w:p>
        </w:tc>
      </w:tr>
      <w:tr w:rsidR="008A2411" w:rsidRPr="008A2411" w14:paraId="1D186436" w14:textId="77777777">
        <w:trPr>
          <w:trHeight w:val="304"/>
        </w:trPr>
        <w:tc>
          <w:tcPr>
            <w:tcW w:w="2839" w:type="dxa"/>
          </w:tcPr>
          <w:p w14:paraId="7C6A726B"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8</w:t>
            </w:r>
          </w:p>
        </w:tc>
        <w:tc>
          <w:tcPr>
            <w:tcW w:w="2840" w:type="dxa"/>
          </w:tcPr>
          <w:p w14:paraId="1AB47819"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新戊烷</w:t>
            </w:r>
          </w:p>
        </w:tc>
        <w:tc>
          <w:tcPr>
            <w:tcW w:w="2840" w:type="dxa"/>
          </w:tcPr>
          <w:p w14:paraId="18700910"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w:t>
            </w:r>
            <w:r w:rsidRPr="008A2411">
              <w:rPr>
                <w:rFonts w:ascii="Times New Roman" w:eastAsiaTheme="minorEastAsia" w:hAnsi="Times New Roman"/>
                <w:color w:val="000000" w:themeColor="text1"/>
                <w:sz w:val="21"/>
                <w:szCs w:val="21"/>
              </w:rPr>
              <w:t>0.01</w:t>
            </w:r>
          </w:p>
        </w:tc>
      </w:tr>
      <w:tr w:rsidR="008A2411" w:rsidRPr="008A2411" w14:paraId="190B8557" w14:textId="77777777">
        <w:trPr>
          <w:trHeight w:val="304"/>
        </w:trPr>
        <w:tc>
          <w:tcPr>
            <w:tcW w:w="2839" w:type="dxa"/>
          </w:tcPr>
          <w:p w14:paraId="4BC92456"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9</w:t>
            </w:r>
          </w:p>
        </w:tc>
        <w:tc>
          <w:tcPr>
            <w:tcW w:w="2840" w:type="dxa"/>
          </w:tcPr>
          <w:p w14:paraId="7E83E456"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异戊烷</w:t>
            </w:r>
          </w:p>
        </w:tc>
        <w:tc>
          <w:tcPr>
            <w:tcW w:w="2840" w:type="dxa"/>
          </w:tcPr>
          <w:p w14:paraId="24DBA311" w14:textId="77777777" w:rsidR="00B0005F" w:rsidRPr="008A2411" w:rsidRDefault="00000000">
            <w:pPr>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w:t>
            </w:r>
            <w:r w:rsidRPr="008A2411">
              <w:rPr>
                <w:rFonts w:ascii="Times New Roman" w:eastAsiaTheme="minorEastAsia"/>
                <w:color w:val="000000" w:themeColor="text1"/>
                <w:sz w:val="21"/>
                <w:szCs w:val="21"/>
              </w:rPr>
              <w:t>0.01</w:t>
            </w:r>
          </w:p>
        </w:tc>
      </w:tr>
      <w:tr w:rsidR="008A2411" w:rsidRPr="008A2411" w14:paraId="12F2425D" w14:textId="77777777">
        <w:trPr>
          <w:trHeight w:val="304"/>
        </w:trPr>
        <w:tc>
          <w:tcPr>
            <w:tcW w:w="2839" w:type="dxa"/>
          </w:tcPr>
          <w:p w14:paraId="6A071CFD"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10</w:t>
            </w:r>
          </w:p>
        </w:tc>
        <w:tc>
          <w:tcPr>
            <w:tcW w:w="2840" w:type="dxa"/>
          </w:tcPr>
          <w:p w14:paraId="2DF01391"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正戊烷</w:t>
            </w:r>
          </w:p>
        </w:tc>
        <w:tc>
          <w:tcPr>
            <w:tcW w:w="2840" w:type="dxa"/>
          </w:tcPr>
          <w:p w14:paraId="6E2B6C9A" w14:textId="77777777" w:rsidR="00B0005F" w:rsidRPr="008A2411" w:rsidRDefault="00000000">
            <w:pPr>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w:t>
            </w:r>
            <w:r w:rsidRPr="008A2411">
              <w:rPr>
                <w:rFonts w:ascii="Times New Roman" w:eastAsiaTheme="minorEastAsia"/>
                <w:color w:val="000000" w:themeColor="text1"/>
                <w:sz w:val="21"/>
                <w:szCs w:val="21"/>
              </w:rPr>
              <w:t>0.01</w:t>
            </w:r>
          </w:p>
        </w:tc>
      </w:tr>
      <w:tr w:rsidR="008A2411" w:rsidRPr="008A2411" w14:paraId="7DDE4BC4" w14:textId="77777777">
        <w:trPr>
          <w:trHeight w:val="304"/>
        </w:trPr>
        <w:tc>
          <w:tcPr>
            <w:tcW w:w="2839" w:type="dxa"/>
          </w:tcPr>
          <w:p w14:paraId="72E8AB58"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11</w:t>
            </w:r>
          </w:p>
        </w:tc>
        <w:tc>
          <w:tcPr>
            <w:tcW w:w="2840" w:type="dxa"/>
          </w:tcPr>
          <w:p w14:paraId="63024CB2"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乙烷及更重组分</w:t>
            </w:r>
          </w:p>
        </w:tc>
        <w:tc>
          <w:tcPr>
            <w:tcW w:w="2840" w:type="dxa"/>
          </w:tcPr>
          <w:p w14:paraId="6A454112"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w:t>
            </w:r>
            <w:r w:rsidRPr="008A2411">
              <w:rPr>
                <w:rFonts w:ascii="Times New Roman" w:eastAsiaTheme="minorEastAsia" w:hAnsi="Times New Roman"/>
                <w:color w:val="000000" w:themeColor="text1"/>
                <w:sz w:val="21"/>
                <w:szCs w:val="21"/>
              </w:rPr>
              <w:t>0.01</w:t>
            </w:r>
          </w:p>
        </w:tc>
      </w:tr>
      <w:tr w:rsidR="008A2411" w:rsidRPr="008A2411" w14:paraId="0AA2AE27" w14:textId="77777777">
        <w:trPr>
          <w:trHeight w:val="304"/>
        </w:trPr>
        <w:tc>
          <w:tcPr>
            <w:tcW w:w="2839" w:type="dxa"/>
          </w:tcPr>
          <w:p w14:paraId="540DA48C"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12</w:t>
            </w:r>
          </w:p>
        </w:tc>
        <w:tc>
          <w:tcPr>
            <w:tcW w:w="2840" w:type="dxa"/>
          </w:tcPr>
          <w:p w14:paraId="2A6E82ED"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氧</w:t>
            </w:r>
          </w:p>
        </w:tc>
        <w:tc>
          <w:tcPr>
            <w:tcW w:w="2840" w:type="dxa"/>
          </w:tcPr>
          <w:p w14:paraId="6CA17F6F"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0.0183</w:t>
            </w:r>
          </w:p>
        </w:tc>
      </w:tr>
      <w:tr w:rsidR="008A2411" w:rsidRPr="008A2411" w14:paraId="5856B810" w14:textId="77777777">
        <w:trPr>
          <w:trHeight w:val="304"/>
        </w:trPr>
        <w:tc>
          <w:tcPr>
            <w:tcW w:w="2839" w:type="dxa"/>
          </w:tcPr>
          <w:p w14:paraId="1DFFC624"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13</w:t>
            </w:r>
          </w:p>
        </w:tc>
        <w:tc>
          <w:tcPr>
            <w:tcW w:w="2840" w:type="dxa"/>
          </w:tcPr>
          <w:p w14:paraId="786120DA"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氮</w:t>
            </w:r>
          </w:p>
        </w:tc>
        <w:tc>
          <w:tcPr>
            <w:tcW w:w="2840" w:type="dxa"/>
          </w:tcPr>
          <w:p w14:paraId="413639DD"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1.09</w:t>
            </w:r>
          </w:p>
        </w:tc>
      </w:tr>
      <w:tr w:rsidR="008A2411" w:rsidRPr="008A2411" w14:paraId="1A7A59B3" w14:textId="77777777">
        <w:trPr>
          <w:trHeight w:val="304"/>
        </w:trPr>
        <w:tc>
          <w:tcPr>
            <w:tcW w:w="2839" w:type="dxa"/>
          </w:tcPr>
          <w:p w14:paraId="11E0236B"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14</w:t>
            </w:r>
          </w:p>
        </w:tc>
        <w:tc>
          <w:tcPr>
            <w:tcW w:w="2840" w:type="dxa"/>
          </w:tcPr>
          <w:p w14:paraId="5EBB7F09"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甲烷</w:t>
            </w:r>
          </w:p>
        </w:tc>
        <w:tc>
          <w:tcPr>
            <w:tcW w:w="2840" w:type="dxa"/>
          </w:tcPr>
          <w:p w14:paraId="5A055AD4"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97.5</w:t>
            </w:r>
          </w:p>
        </w:tc>
      </w:tr>
      <w:tr w:rsidR="008A2411" w:rsidRPr="008A2411" w14:paraId="13BBB409" w14:textId="77777777">
        <w:trPr>
          <w:trHeight w:val="304"/>
        </w:trPr>
        <w:tc>
          <w:tcPr>
            <w:tcW w:w="2839" w:type="dxa"/>
          </w:tcPr>
          <w:p w14:paraId="62CFE3F8"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15</w:t>
            </w:r>
          </w:p>
        </w:tc>
        <w:tc>
          <w:tcPr>
            <w:tcW w:w="2840" w:type="dxa"/>
          </w:tcPr>
          <w:p w14:paraId="5C6986EB"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H</w:t>
            </w:r>
            <w:r w:rsidRPr="008A2411">
              <w:rPr>
                <w:rFonts w:ascii="Times New Roman" w:eastAsiaTheme="minorEastAsia" w:hAnsi="Times New Roman"/>
                <w:color w:val="000000" w:themeColor="text1"/>
                <w:sz w:val="21"/>
                <w:szCs w:val="21"/>
                <w:vertAlign w:val="subscript"/>
              </w:rPr>
              <w:t>2</w:t>
            </w:r>
            <w:r w:rsidRPr="008A2411">
              <w:rPr>
                <w:rFonts w:ascii="Times New Roman" w:eastAsiaTheme="minorEastAsia" w:hAnsi="Times New Roman"/>
                <w:color w:val="000000" w:themeColor="text1"/>
                <w:sz w:val="21"/>
                <w:szCs w:val="21"/>
              </w:rPr>
              <w:t>S</w:t>
            </w:r>
          </w:p>
        </w:tc>
        <w:tc>
          <w:tcPr>
            <w:tcW w:w="2840" w:type="dxa"/>
          </w:tcPr>
          <w:p w14:paraId="5769DFCE"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w:t>
            </w:r>
            <w:r w:rsidRPr="008A2411">
              <w:rPr>
                <w:rFonts w:ascii="Times New Roman" w:eastAsiaTheme="minorEastAsia" w:hAnsi="Times New Roman"/>
                <w:color w:val="000000" w:themeColor="text1"/>
                <w:sz w:val="21"/>
                <w:szCs w:val="21"/>
              </w:rPr>
              <w:t>0.00001</w:t>
            </w:r>
            <w:r w:rsidRPr="008A2411">
              <w:rPr>
                <w:rFonts w:ascii="Times New Roman" w:eastAsiaTheme="minorEastAsia" w:hAnsi="Times New Roman"/>
                <w:color w:val="000000" w:themeColor="text1"/>
                <w:sz w:val="21"/>
                <w:szCs w:val="21"/>
              </w:rPr>
              <w:t>（小于</w:t>
            </w:r>
            <w:r w:rsidRPr="008A2411">
              <w:rPr>
                <w:rFonts w:ascii="Times New Roman" w:eastAsiaTheme="minorEastAsia" w:hAnsi="Times New Roman"/>
                <w:color w:val="000000" w:themeColor="text1"/>
                <w:sz w:val="21"/>
                <w:szCs w:val="21"/>
              </w:rPr>
              <w:t>1mg/m</w:t>
            </w:r>
            <w:r w:rsidRPr="008A2411">
              <w:rPr>
                <w:rFonts w:ascii="Times New Roman" w:eastAsiaTheme="minorEastAsia" w:hAnsi="Times New Roman"/>
                <w:color w:val="000000" w:themeColor="text1"/>
                <w:sz w:val="21"/>
                <w:szCs w:val="21"/>
                <w:vertAlign w:val="superscript"/>
              </w:rPr>
              <w:t>3</w:t>
            </w:r>
            <w:r w:rsidRPr="008A2411">
              <w:rPr>
                <w:rFonts w:ascii="Times New Roman" w:eastAsiaTheme="minorEastAsia" w:hAnsi="Times New Roman"/>
                <w:color w:val="000000" w:themeColor="text1"/>
                <w:sz w:val="21"/>
                <w:szCs w:val="21"/>
              </w:rPr>
              <w:t>）</w:t>
            </w:r>
          </w:p>
        </w:tc>
      </w:tr>
      <w:tr w:rsidR="008A2411" w:rsidRPr="008A2411" w14:paraId="2525524D" w14:textId="77777777">
        <w:trPr>
          <w:trHeight w:val="304"/>
        </w:trPr>
        <w:tc>
          <w:tcPr>
            <w:tcW w:w="2839" w:type="dxa"/>
          </w:tcPr>
          <w:p w14:paraId="22F67AB6"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16</w:t>
            </w:r>
          </w:p>
        </w:tc>
        <w:tc>
          <w:tcPr>
            <w:tcW w:w="2840" w:type="dxa"/>
          </w:tcPr>
          <w:p w14:paraId="64CE6FDB"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总硫</w:t>
            </w:r>
          </w:p>
        </w:tc>
        <w:tc>
          <w:tcPr>
            <w:tcW w:w="2840" w:type="dxa"/>
          </w:tcPr>
          <w:p w14:paraId="5EA6194C"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vertAlign w:val="superscript"/>
              </w:rPr>
              <w:t>*</w:t>
            </w:r>
            <w:r w:rsidRPr="008A2411">
              <w:rPr>
                <w:rFonts w:ascii="Times New Roman" w:eastAsiaTheme="minorEastAsia" w:hAnsi="Times New Roman"/>
                <w:color w:val="000000" w:themeColor="text1"/>
                <w:sz w:val="21"/>
                <w:szCs w:val="21"/>
              </w:rPr>
              <w:t>7.28mg/m</w:t>
            </w:r>
            <w:r w:rsidRPr="008A2411">
              <w:rPr>
                <w:rFonts w:ascii="Times New Roman" w:eastAsiaTheme="minorEastAsia" w:hAnsi="Times New Roman"/>
                <w:color w:val="000000" w:themeColor="text1"/>
                <w:sz w:val="21"/>
                <w:szCs w:val="21"/>
                <w:vertAlign w:val="superscript"/>
              </w:rPr>
              <w:t>3</w:t>
            </w:r>
          </w:p>
        </w:tc>
      </w:tr>
      <w:tr w:rsidR="008A2411" w:rsidRPr="008A2411" w14:paraId="3A9734FF" w14:textId="77777777">
        <w:trPr>
          <w:trHeight w:val="314"/>
        </w:trPr>
        <w:tc>
          <w:tcPr>
            <w:tcW w:w="2839" w:type="dxa"/>
          </w:tcPr>
          <w:p w14:paraId="23D317B6"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17</w:t>
            </w:r>
          </w:p>
        </w:tc>
        <w:tc>
          <w:tcPr>
            <w:tcW w:w="2840" w:type="dxa"/>
          </w:tcPr>
          <w:p w14:paraId="74415C62"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合计</w:t>
            </w:r>
          </w:p>
        </w:tc>
        <w:tc>
          <w:tcPr>
            <w:tcW w:w="2840" w:type="dxa"/>
          </w:tcPr>
          <w:p w14:paraId="0A820F72"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100</w:t>
            </w:r>
          </w:p>
        </w:tc>
      </w:tr>
    </w:tbl>
    <w:p w14:paraId="55D8F766" w14:textId="77777777" w:rsidR="00B0005F" w:rsidRPr="008A2411" w:rsidRDefault="00000000">
      <w:pPr>
        <w:pStyle w:val="WJ0"/>
        <w:spacing w:line="240" w:lineRule="auto"/>
        <w:rPr>
          <w:rFonts w:ascii="Times New Roman" w:hAnsi="Times New Roman"/>
          <w:color w:val="000000" w:themeColor="text1"/>
          <w:sz w:val="21"/>
          <w:szCs w:val="21"/>
        </w:rPr>
      </w:pPr>
      <w:r w:rsidRPr="008A2411">
        <w:rPr>
          <w:rFonts w:ascii="Times New Roman" w:hAnsi="Times New Roman"/>
          <w:color w:val="000000" w:themeColor="text1"/>
          <w:sz w:val="21"/>
          <w:szCs w:val="21"/>
        </w:rPr>
        <w:t>*</w:t>
      </w:r>
      <w:r w:rsidRPr="008A2411">
        <w:rPr>
          <w:rFonts w:ascii="Times New Roman" w:hAnsi="Times New Roman"/>
          <w:color w:val="000000" w:themeColor="text1"/>
          <w:sz w:val="21"/>
          <w:szCs w:val="21"/>
        </w:rPr>
        <w:t>注释：总硫浓度来自石油天然气质量监督检验中心测试结果，监测报告编号：</w:t>
      </w:r>
      <w:r w:rsidRPr="008A2411">
        <w:rPr>
          <w:rFonts w:ascii="Times New Roman" w:hAnsi="Times New Roman"/>
          <w:color w:val="000000" w:themeColor="text1"/>
          <w:sz w:val="21"/>
          <w:szCs w:val="21"/>
        </w:rPr>
        <w:t>2018Z028</w:t>
      </w:r>
      <w:r w:rsidRPr="008A2411">
        <w:rPr>
          <w:rFonts w:ascii="Times New Roman" w:hAnsi="Times New Roman"/>
          <w:color w:val="000000" w:themeColor="text1"/>
          <w:sz w:val="21"/>
          <w:szCs w:val="21"/>
        </w:rPr>
        <w:t>；</w:t>
      </w:r>
    </w:p>
    <w:p w14:paraId="7F97D8F2" w14:textId="77777777" w:rsidR="00B0005F" w:rsidRPr="008A2411" w:rsidRDefault="00000000">
      <w:pPr>
        <w:pStyle w:val="WJ3"/>
        <w:spacing w:line="360" w:lineRule="auto"/>
        <w:outlineLvl w:val="9"/>
        <w:rPr>
          <w:rFonts w:ascii="Times New Roman" w:eastAsia="宋体" w:hAnsi="Times New Roman"/>
          <w:bCs/>
          <w:color w:val="000000" w:themeColor="text1"/>
          <w:kern w:val="2"/>
          <w:lang w:bidi="ar-SA"/>
        </w:rPr>
      </w:pPr>
      <w:r w:rsidRPr="008A2411">
        <w:rPr>
          <w:rFonts w:ascii="Times New Roman" w:eastAsia="宋体" w:hAnsi="Times New Roman"/>
          <w:bCs/>
          <w:color w:val="000000" w:themeColor="text1"/>
          <w:kern w:val="2"/>
          <w:lang w:bidi="ar-SA"/>
        </w:rPr>
        <w:t>2</w:t>
      </w:r>
      <w:r w:rsidRPr="008A2411">
        <w:rPr>
          <w:rFonts w:ascii="Times New Roman" w:eastAsia="宋体" w:hAnsi="Times New Roman"/>
          <w:bCs/>
          <w:color w:val="000000" w:themeColor="text1"/>
          <w:kern w:val="2"/>
          <w:lang w:bidi="ar-SA"/>
        </w:rPr>
        <w:t>、建设规模及产品方案</w:t>
      </w:r>
    </w:p>
    <w:p w14:paraId="7F6AB465"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lang w:bidi="ar"/>
        </w:rPr>
        <w:t>本项目主要产品为液化天然气，产品方案结构见表</w:t>
      </w:r>
      <w:r w:rsidRPr="008A2411">
        <w:rPr>
          <w:rFonts w:ascii="Times New Roman" w:hAnsi="Times New Roman"/>
          <w:color w:val="000000" w:themeColor="text1"/>
        </w:rPr>
        <w:t>3.1-9</w:t>
      </w:r>
      <w:r w:rsidRPr="008A2411">
        <w:rPr>
          <w:rFonts w:ascii="Times New Roman" w:hAnsi="Times New Roman"/>
          <w:color w:val="000000" w:themeColor="text1"/>
        </w:rPr>
        <w:t>，</w:t>
      </w:r>
      <w:r w:rsidRPr="008A2411">
        <w:rPr>
          <w:rFonts w:ascii="Times New Roman" w:hAnsi="Times New Roman"/>
          <w:color w:val="000000" w:themeColor="text1"/>
          <w:lang w:bidi="ar"/>
        </w:rPr>
        <w:t>产品规格见表</w:t>
      </w:r>
      <w:r w:rsidRPr="008A2411">
        <w:rPr>
          <w:rFonts w:ascii="Times New Roman" w:hAnsi="Times New Roman"/>
          <w:color w:val="000000" w:themeColor="text1"/>
        </w:rPr>
        <w:t>3.1-10</w:t>
      </w:r>
      <w:r w:rsidRPr="008A2411">
        <w:rPr>
          <w:rFonts w:ascii="Times New Roman" w:hAnsi="Times New Roman"/>
          <w:color w:val="000000" w:themeColor="text1"/>
        </w:rPr>
        <w:t>。</w:t>
      </w:r>
    </w:p>
    <w:p w14:paraId="3B9789E4" w14:textId="77777777" w:rsidR="00B0005F" w:rsidRPr="008A2411" w:rsidRDefault="00000000">
      <w:pPr>
        <w:pStyle w:val="WJ0"/>
        <w:rPr>
          <w:rFonts w:ascii="Times New Roman" w:hAnsi="Times New Roman"/>
          <w:color w:val="000000" w:themeColor="text1"/>
        </w:rPr>
      </w:pPr>
      <w:r w:rsidRPr="008A2411">
        <w:rPr>
          <w:rFonts w:ascii="Times New Roman" w:hAnsi="Times New Roman"/>
          <w:color w:val="000000" w:themeColor="text1"/>
        </w:rPr>
        <w:t>表</w:t>
      </w:r>
      <w:r w:rsidRPr="008A2411">
        <w:rPr>
          <w:rFonts w:ascii="Times New Roman" w:hAnsi="Times New Roman"/>
          <w:color w:val="000000" w:themeColor="text1"/>
        </w:rPr>
        <w:t xml:space="preserve">3.1-9  </w:t>
      </w:r>
      <w:r w:rsidRPr="008A2411">
        <w:rPr>
          <w:rFonts w:ascii="Times New Roman" w:hAnsi="Times New Roman"/>
          <w:color w:val="000000" w:themeColor="text1"/>
          <w:kern w:val="2"/>
          <w:lang w:bidi="ar"/>
        </w:rPr>
        <w:t>产品方案表</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84"/>
        <w:gridCol w:w="1764"/>
        <w:gridCol w:w="1716"/>
        <w:gridCol w:w="1794"/>
        <w:gridCol w:w="1937"/>
      </w:tblGrid>
      <w:tr w:rsidR="008A2411" w:rsidRPr="008A2411" w14:paraId="5506AE6B" w14:textId="77777777">
        <w:trPr>
          <w:trHeight w:val="20"/>
          <w:jc w:val="center"/>
        </w:trPr>
        <w:tc>
          <w:tcPr>
            <w:tcW w:w="1084" w:type="dxa"/>
            <w:tcBorders>
              <w:top w:val="single" w:sz="4" w:space="0" w:color="auto"/>
              <w:left w:val="single" w:sz="4" w:space="0" w:color="auto"/>
              <w:bottom w:val="single" w:sz="4" w:space="0" w:color="auto"/>
              <w:right w:val="single" w:sz="4" w:space="0" w:color="auto"/>
            </w:tcBorders>
          </w:tcPr>
          <w:p w14:paraId="3F91CBC4"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序号</w:t>
            </w:r>
          </w:p>
        </w:tc>
        <w:tc>
          <w:tcPr>
            <w:tcW w:w="1764" w:type="dxa"/>
            <w:tcBorders>
              <w:top w:val="single" w:sz="4" w:space="0" w:color="auto"/>
              <w:left w:val="single" w:sz="4" w:space="0" w:color="auto"/>
              <w:bottom w:val="single" w:sz="4" w:space="0" w:color="auto"/>
              <w:right w:val="single" w:sz="4" w:space="0" w:color="auto"/>
            </w:tcBorders>
          </w:tcPr>
          <w:p w14:paraId="5742F32C"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物料</w:t>
            </w:r>
          </w:p>
        </w:tc>
        <w:tc>
          <w:tcPr>
            <w:tcW w:w="1716" w:type="dxa"/>
            <w:tcBorders>
              <w:top w:val="single" w:sz="4" w:space="0" w:color="auto"/>
              <w:left w:val="single" w:sz="4" w:space="0" w:color="auto"/>
              <w:bottom w:val="single" w:sz="4" w:space="0" w:color="auto"/>
              <w:right w:val="single" w:sz="4" w:space="0" w:color="auto"/>
            </w:tcBorders>
          </w:tcPr>
          <w:p w14:paraId="3E77B813"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单位</w:t>
            </w:r>
          </w:p>
        </w:tc>
        <w:tc>
          <w:tcPr>
            <w:tcW w:w="1794" w:type="dxa"/>
            <w:tcBorders>
              <w:top w:val="single" w:sz="4" w:space="0" w:color="auto"/>
              <w:left w:val="single" w:sz="4" w:space="0" w:color="auto"/>
              <w:bottom w:val="single" w:sz="4" w:space="0" w:color="auto"/>
              <w:right w:val="single" w:sz="4" w:space="0" w:color="auto"/>
            </w:tcBorders>
          </w:tcPr>
          <w:p w14:paraId="11DD899F"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数量</w:t>
            </w:r>
          </w:p>
        </w:tc>
        <w:tc>
          <w:tcPr>
            <w:tcW w:w="1937" w:type="dxa"/>
            <w:tcBorders>
              <w:top w:val="single" w:sz="4" w:space="0" w:color="auto"/>
              <w:left w:val="single" w:sz="4" w:space="0" w:color="auto"/>
              <w:bottom w:val="single" w:sz="4" w:space="0" w:color="auto"/>
              <w:right w:val="single" w:sz="4" w:space="0" w:color="auto"/>
            </w:tcBorders>
          </w:tcPr>
          <w:p w14:paraId="7AF54EA2"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备注</w:t>
            </w:r>
          </w:p>
        </w:tc>
      </w:tr>
      <w:tr w:rsidR="008A2411" w:rsidRPr="008A2411" w14:paraId="23EAB8D5" w14:textId="77777777">
        <w:trPr>
          <w:trHeight w:val="20"/>
          <w:jc w:val="center"/>
        </w:trPr>
        <w:tc>
          <w:tcPr>
            <w:tcW w:w="1084" w:type="dxa"/>
            <w:tcBorders>
              <w:top w:val="single" w:sz="4" w:space="0" w:color="auto"/>
              <w:left w:val="single" w:sz="4" w:space="0" w:color="auto"/>
              <w:bottom w:val="single" w:sz="4" w:space="0" w:color="auto"/>
              <w:right w:val="single" w:sz="4" w:space="0" w:color="auto"/>
            </w:tcBorders>
          </w:tcPr>
          <w:p w14:paraId="7C5E2705"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1</w:t>
            </w:r>
          </w:p>
        </w:tc>
        <w:tc>
          <w:tcPr>
            <w:tcW w:w="1764" w:type="dxa"/>
            <w:tcBorders>
              <w:top w:val="single" w:sz="4" w:space="0" w:color="auto"/>
              <w:left w:val="single" w:sz="4" w:space="0" w:color="auto"/>
              <w:bottom w:val="single" w:sz="4" w:space="0" w:color="auto"/>
              <w:right w:val="single" w:sz="4" w:space="0" w:color="auto"/>
            </w:tcBorders>
          </w:tcPr>
          <w:p w14:paraId="430BD717"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液化天然气</w:t>
            </w:r>
          </w:p>
        </w:tc>
        <w:tc>
          <w:tcPr>
            <w:tcW w:w="1716" w:type="dxa"/>
            <w:tcBorders>
              <w:top w:val="single" w:sz="4" w:space="0" w:color="auto"/>
              <w:left w:val="single" w:sz="4" w:space="0" w:color="auto"/>
              <w:bottom w:val="single" w:sz="4" w:space="0" w:color="auto"/>
              <w:right w:val="single" w:sz="4" w:space="0" w:color="auto"/>
            </w:tcBorders>
          </w:tcPr>
          <w:p w14:paraId="384752F7"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t/a</w:t>
            </w:r>
          </w:p>
        </w:tc>
        <w:tc>
          <w:tcPr>
            <w:tcW w:w="1794" w:type="dxa"/>
            <w:tcBorders>
              <w:top w:val="single" w:sz="4" w:space="0" w:color="auto"/>
              <w:left w:val="single" w:sz="4" w:space="0" w:color="auto"/>
              <w:bottom w:val="single" w:sz="4" w:space="0" w:color="auto"/>
              <w:right w:val="single" w:sz="4" w:space="0" w:color="auto"/>
            </w:tcBorders>
          </w:tcPr>
          <w:p w14:paraId="23469DC2"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23×10</w:t>
            </w:r>
            <w:r w:rsidRPr="008A2411">
              <w:rPr>
                <w:rFonts w:ascii="Times New Roman" w:eastAsiaTheme="minorEastAsia" w:hAnsi="Times New Roman"/>
                <w:color w:val="000000" w:themeColor="text1"/>
                <w:sz w:val="21"/>
                <w:szCs w:val="21"/>
                <w:vertAlign w:val="superscript"/>
              </w:rPr>
              <w:t>4</w:t>
            </w:r>
          </w:p>
        </w:tc>
        <w:tc>
          <w:tcPr>
            <w:tcW w:w="1937" w:type="dxa"/>
            <w:tcBorders>
              <w:top w:val="single" w:sz="4" w:space="0" w:color="auto"/>
              <w:left w:val="single" w:sz="4" w:space="0" w:color="auto"/>
              <w:bottom w:val="single" w:sz="4" w:space="0" w:color="auto"/>
              <w:right w:val="single" w:sz="4" w:space="0" w:color="auto"/>
            </w:tcBorders>
          </w:tcPr>
          <w:p w14:paraId="671ECEA7" w14:textId="73E8FC10"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主产品</w:t>
            </w:r>
            <w:r w:rsidR="00E321C0" w:rsidRPr="008A2411">
              <w:rPr>
                <w:rFonts w:ascii="Times New Roman" w:eastAsiaTheme="minorEastAsia" w:hAnsi="Times New Roman" w:hint="eastAsia"/>
                <w:color w:val="000000" w:themeColor="text1"/>
                <w:sz w:val="21"/>
                <w:szCs w:val="21"/>
              </w:rPr>
              <w:t>，外售</w:t>
            </w:r>
          </w:p>
        </w:tc>
      </w:tr>
      <w:tr w:rsidR="008A2411" w:rsidRPr="008A2411" w14:paraId="5305DC8B" w14:textId="77777777">
        <w:trPr>
          <w:trHeight w:val="20"/>
          <w:jc w:val="center"/>
        </w:trPr>
        <w:tc>
          <w:tcPr>
            <w:tcW w:w="1084" w:type="dxa"/>
            <w:tcBorders>
              <w:top w:val="single" w:sz="4" w:space="0" w:color="auto"/>
              <w:left w:val="single" w:sz="4" w:space="0" w:color="auto"/>
              <w:bottom w:val="single" w:sz="4" w:space="0" w:color="auto"/>
              <w:right w:val="single" w:sz="4" w:space="0" w:color="auto"/>
            </w:tcBorders>
          </w:tcPr>
          <w:p w14:paraId="48CB56C0" w14:textId="60074FE2" w:rsidR="00DA7273" w:rsidRPr="008A2411" w:rsidRDefault="00DA7273" w:rsidP="00DA7273">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hint="eastAsia"/>
                <w:color w:val="000000" w:themeColor="text1"/>
                <w:sz w:val="21"/>
                <w:szCs w:val="21"/>
              </w:rPr>
              <w:t>2</w:t>
            </w:r>
          </w:p>
        </w:tc>
        <w:tc>
          <w:tcPr>
            <w:tcW w:w="1764" w:type="dxa"/>
            <w:tcBorders>
              <w:top w:val="single" w:sz="4" w:space="0" w:color="auto"/>
              <w:left w:val="single" w:sz="4" w:space="0" w:color="auto"/>
              <w:bottom w:val="single" w:sz="4" w:space="0" w:color="auto"/>
              <w:right w:val="single" w:sz="4" w:space="0" w:color="auto"/>
            </w:tcBorders>
          </w:tcPr>
          <w:p w14:paraId="3BCBF0FF" w14:textId="32EAB420" w:rsidR="00DA7273" w:rsidRPr="008A2411" w:rsidRDefault="00DA7273" w:rsidP="00DA7273">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hint="eastAsia"/>
                <w:color w:val="000000" w:themeColor="text1"/>
                <w:sz w:val="21"/>
                <w:szCs w:val="21"/>
              </w:rPr>
              <w:t>重烃</w:t>
            </w:r>
          </w:p>
        </w:tc>
        <w:tc>
          <w:tcPr>
            <w:tcW w:w="1716" w:type="dxa"/>
            <w:tcBorders>
              <w:top w:val="single" w:sz="4" w:space="0" w:color="auto"/>
              <w:left w:val="single" w:sz="4" w:space="0" w:color="auto"/>
              <w:bottom w:val="single" w:sz="4" w:space="0" w:color="auto"/>
              <w:right w:val="single" w:sz="4" w:space="0" w:color="auto"/>
            </w:tcBorders>
          </w:tcPr>
          <w:p w14:paraId="19E93A09" w14:textId="50959866" w:rsidR="00DA7273" w:rsidRPr="008A2411" w:rsidRDefault="00DA7273" w:rsidP="00DA7273">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t/a</w:t>
            </w:r>
          </w:p>
        </w:tc>
        <w:tc>
          <w:tcPr>
            <w:tcW w:w="1794" w:type="dxa"/>
            <w:tcBorders>
              <w:top w:val="single" w:sz="4" w:space="0" w:color="auto"/>
              <w:left w:val="single" w:sz="4" w:space="0" w:color="auto"/>
              <w:bottom w:val="single" w:sz="4" w:space="0" w:color="auto"/>
              <w:right w:val="single" w:sz="4" w:space="0" w:color="auto"/>
            </w:tcBorders>
          </w:tcPr>
          <w:p w14:paraId="2364251E" w14:textId="0A7B71C7" w:rsidR="00DA7273" w:rsidRPr="008A2411" w:rsidRDefault="00DA7273" w:rsidP="00DA7273">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hint="eastAsia"/>
                <w:color w:val="000000" w:themeColor="text1"/>
                <w:sz w:val="21"/>
                <w:szCs w:val="21"/>
              </w:rPr>
              <w:t>104</w:t>
            </w:r>
          </w:p>
        </w:tc>
        <w:tc>
          <w:tcPr>
            <w:tcW w:w="1937" w:type="dxa"/>
            <w:tcBorders>
              <w:top w:val="single" w:sz="4" w:space="0" w:color="auto"/>
              <w:left w:val="single" w:sz="4" w:space="0" w:color="auto"/>
              <w:bottom w:val="single" w:sz="4" w:space="0" w:color="auto"/>
              <w:right w:val="single" w:sz="4" w:space="0" w:color="auto"/>
            </w:tcBorders>
          </w:tcPr>
          <w:p w14:paraId="53F0AC11" w14:textId="7084F019" w:rsidR="00DA7273" w:rsidRPr="008A2411" w:rsidRDefault="00DA7273" w:rsidP="00DA7273">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hint="eastAsia"/>
                <w:color w:val="000000" w:themeColor="text1"/>
                <w:sz w:val="21"/>
                <w:szCs w:val="21"/>
              </w:rPr>
              <w:t>副</w:t>
            </w:r>
            <w:r w:rsidRPr="008A2411">
              <w:rPr>
                <w:rFonts w:ascii="Times New Roman" w:eastAsiaTheme="minorEastAsia" w:hAnsi="Times New Roman"/>
                <w:color w:val="000000" w:themeColor="text1"/>
                <w:sz w:val="21"/>
                <w:szCs w:val="21"/>
              </w:rPr>
              <w:t>产品</w:t>
            </w:r>
            <w:r w:rsidRPr="008A2411">
              <w:rPr>
                <w:rFonts w:ascii="Times New Roman" w:eastAsiaTheme="minorEastAsia" w:hAnsi="Times New Roman" w:hint="eastAsia"/>
                <w:color w:val="000000" w:themeColor="text1"/>
                <w:sz w:val="21"/>
                <w:szCs w:val="21"/>
              </w:rPr>
              <w:t>，外售</w:t>
            </w:r>
          </w:p>
        </w:tc>
      </w:tr>
    </w:tbl>
    <w:p w14:paraId="7EC186E3" w14:textId="77777777" w:rsidR="00B0005F" w:rsidRPr="008A2411" w:rsidRDefault="00000000">
      <w:pPr>
        <w:pStyle w:val="WJ0"/>
        <w:rPr>
          <w:rFonts w:ascii="Times New Roman" w:hAnsi="Times New Roman"/>
          <w:color w:val="000000" w:themeColor="text1"/>
        </w:rPr>
      </w:pPr>
      <w:r w:rsidRPr="008A2411">
        <w:rPr>
          <w:rFonts w:ascii="Times New Roman" w:hAnsi="Times New Roman"/>
          <w:color w:val="000000" w:themeColor="text1"/>
        </w:rPr>
        <w:t>表</w:t>
      </w:r>
      <w:r w:rsidRPr="008A2411">
        <w:rPr>
          <w:rFonts w:ascii="Times New Roman" w:hAnsi="Times New Roman"/>
          <w:color w:val="000000" w:themeColor="text1"/>
        </w:rPr>
        <w:t xml:space="preserve">3.1-10  </w:t>
      </w:r>
      <w:r w:rsidRPr="008A2411">
        <w:rPr>
          <w:rFonts w:ascii="Times New Roman" w:hAnsi="Times New Roman"/>
          <w:color w:val="000000" w:themeColor="text1"/>
          <w:kern w:val="2"/>
          <w:lang w:bidi="ar"/>
        </w:rPr>
        <w:t>液化天然气产品质量表</w:t>
      </w:r>
    </w:p>
    <w:tbl>
      <w:tblPr>
        <w:tblW w:w="499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1836"/>
        <w:gridCol w:w="2541"/>
        <w:gridCol w:w="1725"/>
        <w:gridCol w:w="2257"/>
      </w:tblGrid>
      <w:tr w:rsidR="008A2411" w:rsidRPr="008A2411" w14:paraId="4E6C7D75" w14:textId="77777777">
        <w:trPr>
          <w:tblHeader/>
          <w:jc w:val="center"/>
        </w:trPr>
        <w:tc>
          <w:tcPr>
            <w:tcW w:w="2617" w:type="pct"/>
            <w:gridSpan w:val="2"/>
            <w:tcBorders>
              <w:top w:val="single" w:sz="4" w:space="0" w:color="auto"/>
              <w:left w:val="single" w:sz="4" w:space="0" w:color="auto"/>
              <w:bottom w:val="single" w:sz="4" w:space="0" w:color="auto"/>
              <w:right w:val="single" w:sz="4" w:space="0" w:color="auto"/>
            </w:tcBorders>
            <w:vAlign w:val="center"/>
          </w:tcPr>
          <w:p w14:paraId="6160A58E"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产品参数</w:t>
            </w:r>
          </w:p>
        </w:tc>
        <w:tc>
          <w:tcPr>
            <w:tcW w:w="1032" w:type="pct"/>
            <w:tcBorders>
              <w:top w:val="single" w:sz="4" w:space="0" w:color="auto"/>
              <w:left w:val="single" w:sz="4" w:space="0" w:color="auto"/>
              <w:bottom w:val="single" w:sz="4" w:space="0" w:color="auto"/>
              <w:right w:val="single" w:sz="4" w:space="0" w:color="auto"/>
            </w:tcBorders>
            <w:vAlign w:val="center"/>
          </w:tcPr>
          <w:p w14:paraId="53BC126D"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参数数据</w:t>
            </w:r>
          </w:p>
        </w:tc>
        <w:tc>
          <w:tcPr>
            <w:tcW w:w="1349" w:type="pct"/>
            <w:tcBorders>
              <w:top w:val="single" w:sz="4" w:space="0" w:color="auto"/>
              <w:left w:val="single" w:sz="4" w:space="0" w:color="auto"/>
              <w:bottom w:val="single" w:sz="4" w:space="0" w:color="auto"/>
              <w:right w:val="single" w:sz="4" w:space="0" w:color="auto"/>
            </w:tcBorders>
            <w:vAlign w:val="center"/>
          </w:tcPr>
          <w:p w14:paraId="711BB144"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备注</w:t>
            </w:r>
          </w:p>
        </w:tc>
      </w:tr>
      <w:tr w:rsidR="008A2411" w:rsidRPr="008A2411" w14:paraId="742E2AB7" w14:textId="77777777">
        <w:trPr>
          <w:jc w:val="center"/>
        </w:trPr>
        <w:tc>
          <w:tcPr>
            <w:tcW w:w="1098" w:type="pct"/>
            <w:vMerge w:val="restart"/>
            <w:tcBorders>
              <w:top w:val="single" w:sz="4" w:space="0" w:color="auto"/>
              <w:left w:val="single" w:sz="4" w:space="0" w:color="auto"/>
              <w:bottom w:val="single" w:sz="4" w:space="0" w:color="auto"/>
              <w:right w:val="single" w:sz="4" w:space="0" w:color="auto"/>
            </w:tcBorders>
            <w:vAlign w:val="center"/>
          </w:tcPr>
          <w:p w14:paraId="3315BFCE"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组成（体积比）</w:t>
            </w:r>
          </w:p>
        </w:tc>
        <w:tc>
          <w:tcPr>
            <w:tcW w:w="1518" w:type="pct"/>
            <w:tcBorders>
              <w:top w:val="single" w:sz="4" w:space="0" w:color="auto"/>
              <w:left w:val="single" w:sz="4" w:space="0" w:color="auto"/>
              <w:bottom w:val="single" w:sz="4" w:space="0" w:color="auto"/>
              <w:right w:val="single" w:sz="4" w:space="0" w:color="auto"/>
            </w:tcBorders>
            <w:vAlign w:val="center"/>
          </w:tcPr>
          <w:p w14:paraId="646C148E"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甲烷</w:t>
            </w:r>
          </w:p>
        </w:tc>
        <w:tc>
          <w:tcPr>
            <w:tcW w:w="1032" w:type="pct"/>
            <w:tcBorders>
              <w:top w:val="single" w:sz="4" w:space="0" w:color="auto"/>
              <w:left w:val="single" w:sz="4" w:space="0" w:color="auto"/>
              <w:bottom w:val="single" w:sz="4" w:space="0" w:color="auto"/>
              <w:right w:val="single" w:sz="4" w:space="0" w:color="auto"/>
            </w:tcBorders>
            <w:vAlign w:val="center"/>
          </w:tcPr>
          <w:p w14:paraId="215D79CF"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0.9927</w:t>
            </w:r>
          </w:p>
        </w:tc>
        <w:tc>
          <w:tcPr>
            <w:tcW w:w="1349" w:type="pct"/>
            <w:vMerge w:val="restart"/>
            <w:tcBorders>
              <w:top w:val="single" w:sz="4" w:space="0" w:color="auto"/>
              <w:left w:val="single" w:sz="4" w:space="0" w:color="auto"/>
              <w:bottom w:val="single" w:sz="4" w:space="0" w:color="auto"/>
              <w:right w:val="single" w:sz="4" w:space="0" w:color="auto"/>
            </w:tcBorders>
            <w:vAlign w:val="center"/>
          </w:tcPr>
          <w:p w14:paraId="1A16B518"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运行状态</w:t>
            </w:r>
            <w:proofErr w:type="gramStart"/>
            <w:r w:rsidRPr="008A2411">
              <w:rPr>
                <w:rFonts w:ascii="Times New Roman" w:eastAsiaTheme="minorEastAsia" w:hAnsi="Times New Roman"/>
                <w:color w:val="000000" w:themeColor="text1"/>
                <w:sz w:val="21"/>
                <w:szCs w:val="21"/>
              </w:rPr>
              <w:t>下原料</w:t>
            </w:r>
            <w:proofErr w:type="gramEnd"/>
            <w:r w:rsidRPr="008A2411">
              <w:rPr>
                <w:rFonts w:ascii="Times New Roman" w:eastAsiaTheme="minorEastAsia" w:hAnsi="Times New Roman"/>
                <w:color w:val="000000" w:themeColor="text1"/>
                <w:sz w:val="21"/>
                <w:szCs w:val="21"/>
              </w:rPr>
              <w:t>天然气组分发生变化时该数据也会跟随变化。</w:t>
            </w:r>
          </w:p>
        </w:tc>
      </w:tr>
      <w:tr w:rsidR="008A2411" w:rsidRPr="008A2411" w14:paraId="550DDD6E" w14:textId="77777777">
        <w:trPr>
          <w:jc w:val="center"/>
        </w:trPr>
        <w:tc>
          <w:tcPr>
            <w:tcW w:w="1098" w:type="pct"/>
            <w:vMerge/>
            <w:tcBorders>
              <w:top w:val="single" w:sz="4" w:space="0" w:color="auto"/>
              <w:left w:val="single" w:sz="4" w:space="0" w:color="auto"/>
              <w:bottom w:val="single" w:sz="4" w:space="0" w:color="auto"/>
              <w:right w:val="single" w:sz="4" w:space="0" w:color="auto"/>
            </w:tcBorders>
            <w:vAlign w:val="center"/>
          </w:tcPr>
          <w:p w14:paraId="2A2995E2" w14:textId="77777777" w:rsidR="00B0005F" w:rsidRPr="008A2411" w:rsidRDefault="00B0005F">
            <w:pPr>
              <w:pStyle w:val="WJ0"/>
              <w:spacing w:line="240" w:lineRule="auto"/>
              <w:rPr>
                <w:rFonts w:ascii="Times New Roman" w:eastAsiaTheme="minorEastAsia" w:hAnsi="Times New Roman"/>
                <w:color w:val="000000" w:themeColor="text1"/>
                <w:sz w:val="21"/>
                <w:szCs w:val="21"/>
              </w:rPr>
            </w:pPr>
          </w:p>
        </w:tc>
        <w:tc>
          <w:tcPr>
            <w:tcW w:w="1518" w:type="pct"/>
            <w:tcBorders>
              <w:top w:val="single" w:sz="4" w:space="0" w:color="auto"/>
              <w:left w:val="single" w:sz="4" w:space="0" w:color="auto"/>
              <w:bottom w:val="single" w:sz="4" w:space="0" w:color="auto"/>
              <w:right w:val="single" w:sz="4" w:space="0" w:color="auto"/>
            </w:tcBorders>
            <w:vAlign w:val="center"/>
          </w:tcPr>
          <w:p w14:paraId="1867CC0E"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乙烷</w:t>
            </w:r>
          </w:p>
        </w:tc>
        <w:tc>
          <w:tcPr>
            <w:tcW w:w="1032" w:type="pct"/>
            <w:tcBorders>
              <w:top w:val="single" w:sz="4" w:space="0" w:color="auto"/>
              <w:left w:val="single" w:sz="4" w:space="0" w:color="auto"/>
              <w:bottom w:val="single" w:sz="4" w:space="0" w:color="auto"/>
              <w:right w:val="single" w:sz="4" w:space="0" w:color="auto"/>
            </w:tcBorders>
            <w:vAlign w:val="center"/>
          </w:tcPr>
          <w:p w14:paraId="610BFD77"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0.0004</w:t>
            </w:r>
          </w:p>
        </w:tc>
        <w:tc>
          <w:tcPr>
            <w:tcW w:w="1349" w:type="pct"/>
            <w:vMerge/>
            <w:tcBorders>
              <w:top w:val="single" w:sz="4" w:space="0" w:color="auto"/>
              <w:left w:val="single" w:sz="4" w:space="0" w:color="auto"/>
              <w:bottom w:val="single" w:sz="4" w:space="0" w:color="auto"/>
              <w:right w:val="single" w:sz="4" w:space="0" w:color="auto"/>
            </w:tcBorders>
            <w:vAlign w:val="center"/>
          </w:tcPr>
          <w:p w14:paraId="2407A9E8" w14:textId="77777777" w:rsidR="00B0005F" w:rsidRPr="008A2411" w:rsidRDefault="00B0005F">
            <w:pPr>
              <w:rPr>
                <w:rFonts w:ascii="Times New Roman"/>
                <w:color w:val="000000" w:themeColor="text1"/>
                <w:szCs w:val="24"/>
              </w:rPr>
            </w:pPr>
          </w:p>
        </w:tc>
      </w:tr>
      <w:tr w:rsidR="008A2411" w:rsidRPr="008A2411" w14:paraId="22C426C4" w14:textId="77777777">
        <w:trPr>
          <w:jc w:val="center"/>
        </w:trPr>
        <w:tc>
          <w:tcPr>
            <w:tcW w:w="1098" w:type="pct"/>
            <w:vMerge/>
            <w:tcBorders>
              <w:top w:val="single" w:sz="4" w:space="0" w:color="auto"/>
              <w:left w:val="single" w:sz="4" w:space="0" w:color="auto"/>
              <w:bottom w:val="single" w:sz="4" w:space="0" w:color="auto"/>
              <w:right w:val="single" w:sz="4" w:space="0" w:color="auto"/>
            </w:tcBorders>
            <w:vAlign w:val="center"/>
          </w:tcPr>
          <w:p w14:paraId="0FF4AEFD" w14:textId="77777777" w:rsidR="00B0005F" w:rsidRPr="008A2411" w:rsidRDefault="00B0005F">
            <w:pPr>
              <w:pStyle w:val="WJ0"/>
              <w:spacing w:line="240" w:lineRule="auto"/>
              <w:rPr>
                <w:rFonts w:ascii="Times New Roman" w:eastAsiaTheme="minorEastAsia" w:hAnsi="Times New Roman"/>
                <w:color w:val="000000" w:themeColor="text1"/>
                <w:sz w:val="21"/>
                <w:szCs w:val="21"/>
              </w:rPr>
            </w:pPr>
          </w:p>
        </w:tc>
        <w:tc>
          <w:tcPr>
            <w:tcW w:w="1518" w:type="pct"/>
            <w:tcBorders>
              <w:top w:val="single" w:sz="4" w:space="0" w:color="auto"/>
              <w:left w:val="single" w:sz="4" w:space="0" w:color="auto"/>
              <w:bottom w:val="single" w:sz="4" w:space="0" w:color="auto"/>
              <w:right w:val="single" w:sz="4" w:space="0" w:color="auto"/>
            </w:tcBorders>
            <w:vAlign w:val="center"/>
          </w:tcPr>
          <w:p w14:paraId="38E9D436"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氮</w:t>
            </w:r>
          </w:p>
        </w:tc>
        <w:tc>
          <w:tcPr>
            <w:tcW w:w="1032" w:type="pct"/>
            <w:tcBorders>
              <w:top w:val="single" w:sz="4" w:space="0" w:color="auto"/>
              <w:left w:val="single" w:sz="4" w:space="0" w:color="auto"/>
              <w:bottom w:val="single" w:sz="4" w:space="0" w:color="auto"/>
              <w:right w:val="single" w:sz="4" w:space="0" w:color="auto"/>
            </w:tcBorders>
            <w:vAlign w:val="center"/>
          </w:tcPr>
          <w:p w14:paraId="7D7EED36"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0.0069</w:t>
            </w:r>
          </w:p>
        </w:tc>
        <w:tc>
          <w:tcPr>
            <w:tcW w:w="1349" w:type="pct"/>
            <w:vMerge/>
            <w:tcBorders>
              <w:top w:val="single" w:sz="4" w:space="0" w:color="auto"/>
              <w:left w:val="single" w:sz="4" w:space="0" w:color="auto"/>
              <w:bottom w:val="single" w:sz="4" w:space="0" w:color="auto"/>
              <w:right w:val="single" w:sz="4" w:space="0" w:color="auto"/>
            </w:tcBorders>
            <w:vAlign w:val="center"/>
          </w:tcPr>
          <w:p w14:paraId="095F2968" w14:textId="77777777" w:rsidR="00B0005F" w:rsidRPr="008A2411" w:rsidRDefault="00B0005F">
            <w:pPr>
              <w:rPr>
                <w:rFonts w:ascii="Times New Roman"/>
                <w:color w:val="000000" w:themeColor="text1"/>
                <w:szCs w:val="24"/>
              </w:rPr>
            </w:pPr>
          </w:p>
        </w:tc>
      </w:tr>
      <w:tr w:rsidR="008A2411" w:rsidRPr="008A2411" w14:paraId="73867FAE" w14:textId="77777777">
        <w:trPr>
          <w:trHeight w:val="240"/>
          <w:jc w:val="center"/>
        </w:trPr>
        <w:tc>
          <w:tcPr>
            <w:tcW w:w="2617" w:type="pct"/>
            <w:gridSpan w:val="2"/>
            <w:tcBorders>
              <w:top w:val="single" w:sz="4" w:space="0" w:color="auto"/>
              <w:left w:val="single" w:sz="4" w:space="0" w:color="auto"/>
              <w:bottom w:val="single" w:sz="4" w:space="0" w:color="auto"/>
              <w:right w:val="single" w:sz="4" w:space="0" w:color="auto"/>
            </w:tcBorders>
            <w:vAlign w:val="center"/>
          </w:tcPr>
          <w:p w14:paraId="5A0FF894"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分子量</w:t>
            </w:r>
          </w:p>
        </w:tc>
        <w:tc>
          <w:tcPr>
            <w:tcW w:w="1032" w:type="pct"/>
            <w:tcBorders>
              <w:top w:val="single" w:sz="4" w:space="0" w:color="auto"/>
              <w:left w:val="single" w:sz="4" w:space="0" w:color="auto"/>
              <w:bottom w:val="single" w:sz="4" w:space="0" w:color="auto"/>
              <w:right w:val="single" w:sz="4" w:space="0" w:color="auto"/>
            </w:tcBorders>
            <w:vAlign w:val="center"/>
          </w:tcPr>
          <w:p w14:paraId="31C03BA1"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16.13</w:t>
            </w:r>
          </w:p>
        </w:tc>
        <w:tc>
          <w:tcPr>
            <w:tcW w:w="1349" w:type="pct"/>
            <w:vMerge/>
            <w:tcBorders>
              <w:top w:val="single" w:sz="4" w:space="0" w:color="auto"/>
              <w:left w:val="single" w:sz="4" w:space="0" w:color="auto"/>
              <w:bottom w:val="single" w:sz="4" w:space="0" w:color="auto"/>
              <w:right w:val="single" w:sz="4" w:space="0" w:color="auto"/>
            </w:tcBorders>
            <w:vAlign w:val="center"/>
          </w:tcPr>
          <w:p w14:paraId="36BC5E9D" w14:textId="77777777" w:rsidR="00B0005F" w:rsidRPr="008A2411" w:rsidRDefault="00B0005F">
            <w:pPr>
              <w:rPr>
                <w:rFonts w:ascii="Times New Roman"/>
                <w:color w:val="000000" w:themeColor="text1"/>
                <w:szCs w:val="24"/>
              </w:rPr>
            </w:pPr>
          </w:p>
        </w:tc>
      </w:tr>
      <w:tr w:rsidR="008A2411" w:rsidRPr="008A2411" w14:paraId="3DA89BEF" w14:textId="77777777">
        <w:trPr>
          <w:jc w:val="center"/>
        </w:trPr>
        <w:tc>
          <w:tcPr>
            <w:tcW w:w="2617" w:type="pct"/>
            <w:gridSpan w:val="2"/>
            <w:tcBorders>
              <w:top w:val="single" w:sz="4" w:space="0" w:color="auto"/>
              <w:left w:val="single" w:sz="4" w:space="0" w:color="auto"/>
              <w:bottom w:val="single" w:sz="4" w:space="0" w:color="auto"/>
              <w:right w:val="single" w:sz="4" w:space="0" w:color="auto"/>
            </w:tcBorders>
            <w:vAlign w:val="center"/>
          </w:tcPr>
          <w:p w14:paraId="09DD1D77"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密度（</w:t>
            </w:r>
            <w:r w:rsidRPr="008A2411">
              <w:rPr>
                <w:rFonts w:ascii="Times New Roman" w:eastAsiaTheme="minorEastAsia" w:hAnsi="Times New Roman"/>
                <w:color w:val="000000" w:themeColor="text1"/>
                <w:sz w:val="21"/>
                <w:szCs w:val="21"/>
              </w:rPr>
              <w:t>kg/m</w:t>
            </w:r>
            <w:r w:rsidRPr="008A2411">
              <w:rPr>
                <w:rFonts w:ascii="Times New Roman" w:eastAsiaTheme="minorEastAsia" w:hAnsi="Times New Roman"/>
                <w:color w:val="000000" w:themeColor="text1"/>
                <w:sz w:val="21"/>
                <w:szCs w:val="21"/>
                <w:vertAlign w:val="superscript"/>
              </w:rPr>
              <w:t>3</w:t>
            </w:r>
            <w:r w:rsidRPr="008A2411">
              <w:rPr>
                <w:rFonts w:ascii="Times New Roman" w:eastAsiaTheme="minorEastAsia" w:hAnsi="Times New Roman"/>
                <w:color w:val="000000" w:themeColor="text1"/>
                <w:sz w:val="21"/>
                <w:szCs w:val="21"/>
              </w:rPr>
              <w:t>）</w:t>
            </w:r>
          </w:p>
        </w:tc>
        <w:tc>
          <w:tcPr>
            <w:tcW w:w="1032" w:type="pct"/>
            <w:tcBorders>
              <w:top w:val="single" w:sz="4" w:space="0" w:color="auto"/>
              <w:left w:val="single" w:sz="4" w:space="0" w:color="auto"/>
              <w:bottom w:val="single" w:sz="4" w:space="0" w:color="auto"/>
              <w:right w:val="single" w:sz="4" w:space="0" w:color="auto"/>
            </w:tcBorders>
            <w:vAlign w:val="center"/>
          </w:tcPr>
          <w:p w14:paraId="02C01D66"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426.5</w:t>
            </w:r>
          </w:p>
        </w:tc>
        <w:tc>
          <w:tcPr>
            <w:tcW w:w="1349" w:type="pct"/>
            <w:vMerge/>
            <w:tcBorders>
              <w:top w:val="single" w:sz="4" w:space="0" w:color="auto"/>
              <w:left w:val="single" w:sz="4" w:space="0" w:color="auto"/>
              <w:bottom w:val="single" w:sz="4" w:space="0" w:color="auto"/>
              <w:right w:val="single" w:sz="4" w:space="0" w:color="auto"/>
            </w:tcBorders>
            <w:vAlign w:val="center"/>
          </w:tcPr>
          <w:p w14:paraId="1F348A41" w14:textId="77777777" w:rsidR="00B0005F" w:rsidRPr="008A2411" w:rsidRDefault="00B0005F">
            <w:pPr>
              <w:rPr>
                <w:rFonts w:ascii="Times New Roman"/>
                <w:color w:val="000000" w:themeColor="text1"/>
                <w:szCs w:val="24"/>
              </w:rPr>
            </w:pPr>
          </w:p>
        </w:tc>
      </w:tr>
      <w:tr w:rsidR="008A2411" w:rsidRPr="008A2411" w14:paraId="632A1944" w14:textId="77777777">
        <w:trPr>
          <w:jc w:val="center"/>
        </w:trPr>
        <w:tc>
          <w:tcPr>
            <w:tcW w:w="2617" w:type="pct"/>
            <w:gridSpan w:val="2"/>
            <w:tcBorders>
              <w:top w:val="single" w:sz="4" w:space="0" w:color="auto"/>
              <w:left w:val="single" w:sz="4" w:space="0" w:color="auto"/>
              <w:bottom w:val="single" w:sz="4" w:space="0" w:color="auto"/>
              <w:right w:val="single" w:sz="4" w:space="0" w:color="auto"/>
            </w:tcBorders>
            <w:vAlign w:val="center"/>
          </w:tcPr>
          <w:p w14:paraId="0872F2C6"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低位热值（</w:t>
            </w:r>
            <w:r w:rsidRPr="008A2411">
              <w:rPr>
                <w:rFonts w:ascii="Times New Roman" w:eastAsiaTheme="minorEastAsia" w:hAnsi="Times New Roman"/>
                <w:color w:val="000000" w:themeColor="text1"/>
                <w:sz w:val="21"/>
                <w:szCs w:val="21"/>
              </w:rPr>
              <w:t>kcal/Nm</w:t>
            </w:r>
            <w:r w:rsidRPr="008A2411">
              <w:rPr>
                <w:rFonts w:ascii="Times New Roman" w:eastAsiaTheme="minorEastAsia" w:hAnsi="Times New Roman"/>
                <w:color w:val="000000" w:themeColor="text1"/>
                <w:sz w:val="21"/>
                <w:szCs w:val="21"/>
                <w:vertAlign w:val="superscript"/>
              </w:rPr>
              <w:t>3</w:t>
            </w:r>
            <w:r w:rsidRPr="008A2411">
              <w:rPr>
                <w:rFonts w:ascii="Times New Roman" w:eastAsiaTheme="minorEastAsia" w:hAnsi="Times New Roman"/>
                <w:color w:val="000000" w:themeColor="text1"/>
                <w:sz w:val="21"/>
                <w:szCs w:val="21"/>
              </w:rPr>
              <w:t>）</w:t>
            </w:r>
          </w:p>
        </w:tc>
        <w:tc>
          <w:tcPr>
            <w:tcW w:w="1032" w:type="pct"/>
            <w:tcBorders>
              <w:top w:val="single" w:sz="4" w:space="0" w:color="auto"/>
              <w:left w:val="single" w:sz="4" w:space="0" w:color="auto"/>
              <w:bottom w:val="single" w:sz="4" w:space="0" w:color="auto"/>
              <w:right w:val="single" w:sz="4" w:space="0" w:color="auto"/>
            </w:tcBorders>
            <w:vAlign w:val="center"/>
          </w:tcPr>
          <w:p w14:paraId="3CD84C54"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8509</w:t>
            </w:r>
          </w:p>
        </w:tc>
        <w:tc>
          <w:tcPr>
            <w:tcW w:w="1349" w:type="pct"/>
            <w:vMerge/>
            <w:tcBorders>
              <w:top w:val="single" w:sz="4" w:space="0" w:color="auto"/>
              <w:left w:val="single" w:sz="4" w:space="0" w:color="auto"/>
              <w:bottom w:val="single" w:sz="4" w:space="0" w:color="auto"/>
              <w:right w:val="single" w:sz="4" w:space="0" w:color="auto"/>
            </w:tcBorders>
            <w:vAlign w:val="center"/>
          </w:tcPr>
          <w:p w14:paraId="50F50769" w14:textId="77777777" w:rsidR="00B0005F" w:rsidRPr="008A2411" w:rsidRDefault="00B0005F">
            <w:pPr>
              <w:rPr>
                <w:rFonts w:ascii="Times New Roman"/>
                <w:color w:val="000000" w:themeColor="text1"/>
                <w:szCs w:val="24"/>
              </w:rPr>
            </w:pPr>
          </w:p>
        </w:tc>
      </w:tr>
      <w:tr w:rsidR="008A2411" w:rsidRPr="008A2411" w14:paraId="1BC7F981" w14:textId="77777777">
        <w:trPr>
          <w:jc w:val="center"/>
        </w:trPr>
        <w:tc>
          <w:tcPr>
            <w:tcW w:w="2617" w:type="pct"/>
            <w:gridSpan w:val="2"/>
            <w:tcBorders>
              <w:top w:val="single" w:sz="4" w:space="0" w:color="auto"/>
              <w:left w:val="single" w:sz="4" w:space="0" w:color="auto"/>
              <w:bottom w:val="single" w:sz="4" w:space="0" w:color="auto"/>
              <w:right w:val="single" w:sz="4" w:space="0" w:color="auto"/>
            </w:tcBorders>
            <w:vAlign w:val="center"/>
          </w:tcPr>
          <w:p w14:paraId="6118228A"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lastRenderedPageBreak/>
              <w:t>每吨</w:t>
            </w:r>
            <w:r w:rsidRPr="008A2411">
              <w:rPr>
                <w:rFonts w:ascii="Times New Roman" w:eastAsiaTheme="minorEastAsia" w:hAnsi="Times New Roman"/>
                <w:color w:val="000000" w:themeColor="text1"/>
                <w:sz w:val="21"/>
                <w:szCs w:val="21"/>
              </w:rPr>
              <w:t>LNG</w:t>
            </w:r>
            <w:r w:rsidRPr="008A2411">
              <w:rPr>
                <w:rFonts w:ascii="Times New Roman" w:eastAsiaTheme="minorEastAsia" w:hAnsi="Times New Roman"/>
                <w:color w:val="000000" w:themeColor="text1"/>
                <w:sz w:val="21"/>
                <w:szCs w:val="21"/>
              </w:rPr>
              <w:t>汽化成标准状态的体积</w:t>
            </w:r>
          </w:p>
        </w:tc>
        <w:tc>
          <w:tcPr>
            <w:tcW w:w="1032" w:type="pct"/>
            <w:tcBorders>
              <w:top w:val="single" w:sz="4" w:space="0" w:color="auto"/>
              <w:left w:val="single" w:sz="4" w:space="0" w:color="auto"/>
              <w:bottom w:val="single" w:sz="4" w:space="0" w:color="auto"/>
              <w:right w:val="single" w:sz="4" w:space="0" w:color="auto"/>
            </w:tcBorders>
            <w:vAlign w:val="center"/>
          </w:tcPr>
          <w:p w14:paraId="75F1E3FE"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1390</w:t>
            </w:r>
          </w:p>
        </w:tc>
        <w:tc>
          <w:tcPr>
            <w:tcW w:w="1349" w:type="pct"/>
            <w:vMerge/>
            <w:tcBorders>
              <w:top w:val="single" w:sz="4" w:space="0" w:color="auto"/>
              <w:left w:val="single" w:sz="4" w:space="0" w:color="auto"/>
              <w:bottom w:val="single" w:sz="4" w:space="0" w:color="auto"/>
              <w:right w:val="single" w:sz="4" w:space="0" w:color="auto"/>
            </w:tcBorders>
            <w:vAlign w:val="center"/>
          </w:tcPr>
          <w:p w14:paraId="5BC47BA3" w14:textId="77777777" w:rsidR="00B0005F" w:rsidRPr="008A2411" w:rsidRDefault="00B0005F">
            <w:pPr>
              <w:rPr>
                <w:rFonts w:ascii="Times New Roman"/>
                <w:color w:val="000000" w:themeColor="text1"/>
                <w:szCs w:val="24"/>
              </w:rPr>
            </w:pPr>
          </w:p>
        </w:tc>
      </w:tr>
      <w:tr w:rsidR="008A2411" w:rsidRPr="008A2411" w14:paraId="0C3A8541" w14:textId="77777777">
        <w:trPr>
          <w:jc w:val="center"/>
        </w:trPr>
        <w:tc>
          <w:tcPr>
            <w:tcW w:w="2617" w:type="pct"/>
            <w:gridSpan w:val="2"/>
            <w:tcBorders>
              <w:top w:val="single" w:sz="4" w:space="0" w:color="auto"/>
              <w:left w:val="single" w:sz="4" w:space="0" w:color="auto"/>
              <w:bottom w:val="single" w:sz="4" w:space="0" w:color="auto"/>
              <w:right w:val="single" w:sz="4" w:space="0" w:color="auto"/>
            </w:tcBorders>
            <w:vAlign w:val="center"/>
          </w:tcPr>
          <w:p w14:paraId="61BB82CF"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每立方米</w:t>
            </w:r>
            <w:r w:rsidRPr="008A2411">
              <w:rPr>
                <w:rFonts w:ascii="Times New Roman" w:eastAsiaTheme="minorEastAsia" w:hAnsi="Times New Roman"/>
                <w:color w:val="000000" w:themeColor="text1"/>
                <w:sz w:val="21"/>
                <w:szCs w:val="21"/>
              </w:rPr>
              <w:t>LNG</w:t>
            </w:r>
            <w:r w:rsidRPr="008A2411">
              <w:rPr>
                <w:rFonts w:ascii="Times New Roman" w:eastAsiaTheme="minorEastAsia" w:hAnsi="Times New Roman"/>
                <w:color w:val="000000" w:themeColor="text1"/>
                <w:sz w:val="21"/>
                <w:szCs w:val="21"/>
              </w:rPr>
              <w:t>汽化成标准状态的体积</w:t>
            </w:r>
          </w:p>
        </w:tc>
        <w:tc>
          <w:tcPr>
            <w:tcW w:w="1032" w:type="pct"/>
            <w:tcBorders>
              <w:top w:val="single" w:sz="4" w:space="0" w:color="auto"/>
              <w:left w:val="single" w:sz="4" w:space="0" w:color="auto"/>
              <w:bottom w:val="single" w:sz="4" w:space="0" w:color="auto"/>
              <w:right w:val="single" w:sz="4" w:space="0" w:color="auto"/>
            </w:tcBorders>
            <w:vAlign w:val="center"/>
          </w:tcPr>
          <w:p w14:paraId="71961AD5"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593</w:t>
            </w:r>
          </w:p>
        </w:tc>
        <w:tc>
          <w:tcPr>
            <w:tcW w:w="1349" w:type="pct"/>
            <w:vMerge/>
            <w:tcBorders>
              <w:top w:val="single" w:sz="4" w:space="0" w:color="auto"/>
              <w:left w:val="single" w:sz="4" w:space="0" w:color="auto"/>
              <w:bottom w:val="single" w:sz="4" w:space="0" w:color="auto"/>
              <w:right w:val="single" w:sz="4" w:space="0" w:color="auto"/>
            </w:tcBorders>
            <w:vAlign w:val="center"/>
          </w:tcPr>
          <w:p w14:paraId="26906334" w14:textId="77777777" w:rsidR="00B0005F" w:rsidRPr="008A2411" w:rsidRDefault="00B0005F">
            <w:pPr>
              <w:rPr>
                <w:rFonts w:ascii="Times New Roman"/>
                <w:color w:val="000000" w:themeColor="text1"/>
                <w:szCs w:val="24"/>
              </w:rPr>
            </w:pPr>
          </w:p>
        </w:tc>
      </w:tr>
    </w:tbl>
    <w:p w14:paraId="3C16CD67" w14:textId="77777777" w:rsidR="00B0005F" w:rsidRPr="008A2411" w:rsidRDefault="00000000">
      <w:pPr>
        <w:pStyle w:val="WJ2"/>
        <w:snapToGrid/>
        <w:spacing w:line="360" w:lineRule="auto"/>
        <w:outlineLvl w:val="3"/>
        <w:rPr>
          <w:rFonts w:ascii="Times New Roman" w:hAnsi="Times New Roman"/>
          <w:color w:val="000000" w:themeColor="text1"/>
          <w:sz w:val="24"/>
          <w:szCs w:val="24"/>
        </w:rPr>
      </w:pPr>
      <w:bookmarkStart w:id="153" w:name="_Toc356569249"/>
      <w:bookmarkStart w:id="154" w:name="_Toc405904815"/>
      <w:bookmarkStart w:id="155" w:name="_Toc27907"/>
      <w:bookmarkStart w:id="156" w:name="_Toc422906831"/>
      <w:bookmarkStart w:id="157" w:name="_Toc269682525"/>
      <w:bookmarkStart w:id="158" w:name="_Toc8543"/>
      <w:bookmarkStart w:id="159" w:name="_Toc244950288"/>
      <w:bookmarkStart w:id="160" w:name="_Toc451355377"/>
      <w:bookmarkStart w:id="161" w:name="_Toc405214233"/>
      <w:bookmarkStart w:id="162" w:name="_Toc25286"/>
      <w:bookmarkStart w:id="163" w:name="_Toc242712905"/>
      <w:bookmarkStart w:id="164" w:name="_Toc108365924"/>
      <w:bookmarkStart w:id="165" w:name="_Toc405904471"/>
      <w:bookmarkStart w:id="166" w:name="_Toc10777"/>
      <w:bookmarkStart w:id="167" w:name="_Toc18372"/>
      <w:bookmarkStart w:id="168" w:name="_Toc242713640"/>
      <w:bookmarkStart w:id="169" w:name="_Toc242712715"/>
      <w:bookmarkStart w:id="170" w:name="_Toc405905287"/>
      <w:bookmarkStart w:id="171" w:name="_Toc225148163"/>
      <w:bookmarkStart w:id="172" w:name="_Toc109170754"/>
      <w:r w:rsidRPr="008A2411">
        <w:rPr>
          <w:rFonts w:ascii="Times New Roman" w:hAnsi="Times New Roman"/>
          <w:color w:val="000000" w:themeColor="text1"/>
          <w:sz w:val="24"/>
          <w:szCs w:val="24"/>
        </w:rPr>
        <w:t>3.1.7</w:t>
      </w:r>
      <w:r w:rsidRPr="008A2411">
        <w:rPr>
          <w:rFonts w:ascii="Times New Roman" w:hAnsi="Times New Roman"/>
          <w:color w:val="000000" w:themeColor="text1"/>
          <w:sz w:val="24"/>
          <w:szCs w:val="24"/>
        </w:rPr>
        <w:t>总图布置及合理性分析</w:t>
      </w:r>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p>
    <w:p w14:paraId="51D2CA80" w14:textId="77777777" w:rsidR="00B0005F" w:rsidRPr="008A2411" w:rsidRDefault="00000000">
      <w:pPr>
        <w:adjustRightInd w:val="0"/>
        <w:snapToGrid w:val="0"/>
        <w:spacing w:line="360" w:lineRule="auto"/>
        <w:ind w:firstLineChars="200" w:firstLine="482"/>
        <w:rPr>
          <w:rFonts w:ascii="Times New Roman"/>
          <w:b/>
          <w:bCs/>
          <w:color w:val="000000" w:themeColor="text1"/>
          <w:kern w:val="2"/>
          <w:szCs w:val="24"/>
        </w:rPr>
      </w:pPr>
      <w:r w:rsidRPr="008A2411">
        <w:rPr>
          <w:rFonts w:ascii="Times New Roman"/>
          <w:b/>
          <w:bCs/>
          <w:color w:val="000000" w:themeColor="text1"/>
          <w:kern w:val="2"/>
          <w:szCs w:val="24"/>
        </w:rPr>
        <w:t>1</w:t>
      </w:r>
      <w:r w:rsidRPr="008A2411">
        <w:rPr>
          <w:rFonts w:ascii="Times New Roman"/>
          <w:b/>
          <w:bCs/>
          <w:color w:val="000000" w:themeColor="text1"/>
          <w:kern w:val="2"/>
          <w:szCs w:val="24"/>
        </w:rPr>
        <w:t>、项目总平面布局情况</w:t>
      </w:r>
    </w:p>
    <w:p w14:paraId="1EAF616D" w14:textId="77777777" w:rsidR="00B0005F" w:rsidRPr="008A2411" w:rsidRDefault="00000000">
      <w:pPr>
        <w:adjustRightInd w:val="0"/>
        <w:snapToGrid w:val="0"/>
        <w:spacing w:line="360" w:lineRule="auto"/>
        <w:ind w:firstLineChars="200" w:firstLine="480"/>
        <w:rPr>
          <w:rFonts w:ascii="Times New Roman"/>
          <w:color w:val="000000" w:themeColor="text1"/>
          <w:kern w:val="2"/>
          <w:szCs w:val="24"/>
        </w:rPr>
      </w:pPr>
      <w:r w:rsidRPr="008A2411">
        <w:rPr>
          <w:rFonts w:ascii="Times New Roman"/>
          <w:color w:val="000000" w:themeColor="text1"/>
          <w:kern w:val="2"/>
          <w:szCs w:val="24"/>
        </w:rPr>
        <w:t>该项目平面布置分为三部分：厂前区、公用</w:t>
      </w:r>
      <w:proofErr w:type="gramStart"/>
      <w:r w:rsidRPr="008A2411">
        <w:rPr>
          <w:rFonts w:ascii="Times New Roman"/>
          <w:color w:val="000000" w:themeColor="text1"/>
          <w:kern w:val="2"/>
          <w:szCs w:val="24"/>
        </w:rPr>
        <w:t>辅助区</w:t>
      </w:r>
      <w:proofErr w:type="gramEnd"/>
      <w:r w:rsidRPr="008A2411">
        <w:rPr>
          <w:rFonts w:ascii="Times New Roman"/>
          <w:color w:val="000000" w:themeColor="text1"/>
          <w:kern w:val="2"/>
          <w:szCs w:val="24"/>
        </w:rPr>
        <w:t>和生产区，在</w:t>
      </w:r>
      <w:proofErr w:type="gramStart"/>
      <w:r w:rsidRPr="008A2411">
        <w:rPr>
          <w:rFonts w:ascii="Times New Roman"/>
          <w:color w:val="000000" w:themeColor="text1"/>
          <w:kern w:val="2"/>
          <w:szCs w:val="24"/>
        </w:rPr>
        <w:t>厂区西</w:t>
      </w:r>
      <w:proofErr w:type="gramEnd"/>
      <w:r w:rsidRPr="008A2411">
        <w:rPr>
          <w:rFonts w:ascii="Times New Roman"/>
          <w:color w:val="000000" w:themeColor="text1"/>
          <w:kern w:val="2"/>
          <w:szCs w:val="24"/>
        </w:rPr>
        <w:t>南侧设置厂区出入口和西北侧设置生产区出入口。</w:t>
      </w:r>
      <w:r w:rsidRPr="008A2411">
        <w:rPr>
          <w:rFonts w:ascii="Times New Roman"/>
          <w:color w:val="000000" w:themeColor="text1"/>
          <w:kern w:val="2"/>
          <w:szCs w:val="24"/>
        </w:rPr>
        <w:t xml:space="preserve"> </w:t>
      </w:r>
    </w:p>
    <w:p w14:paraId="49394CAB" w14:textId="77777777" w:rsidR="00B0005F" w:rsidRPr="008A2411" w:rsidRDefault="00000000">
      <w:pPr>
        <w:adjustRightInd w:val="0"/>
        <w:snapToGrid w:val="0"/>
        <w:spacing w:line="360" w:lineRule="auto"/>
        <w:ind w:firstLineChars="200" w:firstLine="480"/>
        <w:rPr>
          <w:rFonts w:ascii="Times New Roman"/>
          <w:color w:val="000000" w:themeColor="text1"/>
          <w:kern w:val="2"/>
          <w:szCs w:val="24"/>
        </w:rPr>
      </w:pPr>
      <w:r w:rsidRPr="008A2411">
        <w:rPr>
          <w:rFonts w:ascii="Times New Roman"/>
          <w:color w:val="000000" w:themeColor="text1"/>
          <w:kern w:val="2"/>
          <w:szCs w:val="24"/>
        </w:rPr>
        <w:t>（</w:t>
      </w:r>
      <w:r w:rsidRPr="008A2411">
        <w:rPr>
          <w:rFonts w:ascii="Times New Roman"/>
          <w:color w:val="000000" w:themeColor="text1"/>
          <w:kern w:val="2"/>
          <w:szCs w:val="24"/>
        </w:rPr>
        <w:t>1</w:t>
      </w:r>
      <w:r w:rsidRPr="008A2411">
        <w:rPr>
          <w:rFonts w:ascii="Times New Roman"/>
          <w:color w:val="000000" w:themeColor="text1"/>
          <w:kern w:val="2"/>
          <w:szCs w:val="24"/>
        </w:rPr>
        <w:t>）厂前区</w:t>
      </w:r>
      <w:r w:rsidRPr="008A2411">
        <w:rPr>
          <w:rFonts w:ascii="Times New Roman"/>
          <w:color w:val="000000" w:themeColor="text1"/>
          <w:kern w:val="2"/>
          <w:szCs w:val="24"/>
        </w:rPr>
        <w:t xml:space="preserve"> </w:t>
      </w:r>
    </w:p>
    <w:p w14:paraId="363F0D32" w14:textId="77777777" w:rsidR="00B0005F" w:rsidRPr="008A2411" w:rsidRDefault="00000000">
      <w:pPr>
        <w:adjustRightInd w:val="0"/>
        <w:snapToGrid w:val="0"/>
        <w:spacing w:line="360" w:lineRule="auto"/>
        <w:ind w:firstLineChars="200" w:firstLine="480"/>
        <w:rPr>
          <w:rFonts w:ascii="Times New Roman"/>
          <w:color w:val="000000" w:themeColor="text1"/>
          <w:kern w:val="2"/>
          <w:szCs w:val="24"/>
        </w:rPr>
      </w:pPr>
      <w:r w:rsidRPr="008A2411">
        <w:rPr>
          <w:rFonts w:ascii="Times New Roman"/>
          <w:color w:val="000000" w:themeColor="text1"/>
          <w:kern w:val="2"/>
          <w:szCs w:val="24"/>
        </w:rPr>
        <w:t>厂前区位于厂区的西南侧，包含厂前区入口门卫室、一座三层的调度指挥中心、一层的分析化验及器材间、一层的</w:t>
      </w:r>
      <w:r w:rsidRPr="008A2411">
        <w:rPr>
          <w:rFonts w:ascii="Times New Roman"/>
          <w:color w:val="000000" w:themeColor="text1"/>
          <w:kern w:val="2"/>
          <w:szCs w:val="24"/>
        </w:rPr>
        <w:t>35kV</w:t>
      </w:r>
      <w:r w:rsidRPr="008A2411">
        <w:rPr>
          <w:rFonts w:ascii="Times New Roman"/>
          <w:color w:val="000000" w:themeColor="text1"/>
          <w:kern w:val="2"/>
          <w:szCs w:val="24"/>
        </w:rPr>
        <w:t>变电所和一层的</w:t>
      </w:r>
      <w:r w:rsidRPr="008A2411">
        <w:rPr>
          <w:rFonts w:ascii="Times New Roman"/>
          <w:color w:val="000000" w:themeColor="text1"/>
          <w:kern w:val="2"/>
          <w:szCs w:val="24"/>
        </w:rPr>
        <w:t>10kV</w:t>
      </w:r>
      <w:r w:rsidRPr="008A2411">
        <w:rPr>
          <w:rFonts w:ascii="Times New Roman"/>
          <w:color w:val="000000" w:themeColor="text1"/>
          <w:kern w:val="2"/>
          <w:szCs w:val="24"/>
        </w:rPr>
        <w:t>变电所。厂前区内相邻建筑之间的间距大于</w:t>
      </w:r>
      <w:r w:rsidRPr="008A2411">
        <w:rPr>
          <w:rFonts w:ascii="Times New Roman"/>
          <w:color w:val="000000" w:themeColor="text1"/>
          <w:kern w:val="2"/>
          <w:szCs w:val="24"/>
        </w:rPr>
        <w:t>12m</w:t>
      </w:r>
      <w:r w:rsidRPr="008A2411">
        <w:rPr>
          <w:rFonts w:ascii="Times New Roman"/>
          <w:color w:val="000000" w:themeColor="text1"/>
          <w:kern w:val="2"/>
          <w:szCs w:val="24"/>
        </w:rPr>
        <w:t>。</w:t>
      </w:r>
      <w:r w:rsidRPr="008A2411">
        <w:rPr>
          <w:rFonts w:ascii="Times New Roman"/>
          <w:color w:val="000000" w:themeColor="text1"/>
          <w:kern w:val="2"/>
          <w:szCs w:val="24"/>
        </w:rPr>
        <w:t xml:space="preserve"> </w:t>
      </w:r>
    </w:p>
    <w:p w14:paraId="2BE9FF2C" w14:textId="77777777" w:rsidR="00B0005F" w:rsidRPr="008A2411" w:rsidRDefault="00000000">
      <w:pPr>
        <w:adjustRightInd w:val="0"/>
        <w:snapToGrid w:val="0"/>
        <w:spacing w:line="360" w:lineRule="auto"/>
        <w:ind w:firstLineChars="200" w:firstLine="480"/>
        <w:rPr>
          <w:rFonts w:ascii="Times New Roman"/>
          <w:color w:val="000000" w:themeColor="text1"/>
          <w:kern w:val="2"/>
          <w:szCs w:val="24"/>
        </w:rPr>
      </w:pPr>
      <w:r w:rsidRPr="008A2411">
        <w:rPr>
          <w:rFonts w:ascii="Times New Roman"/>
          <w:color w:val="000000" w:themeColor="text1"/>
          <w:kern w:val="2"/>
          <w:szCs w:val="24"/>
        </w:rPr>
        <w:t>（</w:t>
      </w:r>
      <w:r w:rsidRPr="008A2411">
        <w:rPr>
          <w:rFonts w:ascii="Times New Roman"/>
          <w:color w:val="000000" w:themeColor="text1"/>
          <w:kern w:val="2"/>
          <w:szCs w:val="24"/>
        </w:rPr>
        <w:t>2</w:t>
      </w:r>
      <w:r w:rsidRPr="008A2411">
        <w:rPr>
          <w:rFonts w:ascii="Times New Roman"/>
          <w:color w:val="000000" w:themeColor="text1"/>
          <w:kern w:val="2"/>
          <w:szCs w:val="24"/>
        </w:rPr>
        <w:t>）公用辅助区</w:t>
      </w:r>
      <w:r w:rsidRPr="008A2411">
        <w:rPr>
          <w:rFonts w:ascii="Times New Roman"/>
          <w:color w:val="000000" w:themeColor="text1"/>
          <w:kern w:val="2"/>
          <w:szCs w:val="24"/>
        </w:rPr>
        <w:t xml:space="preserve"> </w:t>
      </w:r>
    </w:p>
    <w:p w14:paraId="4AEF03D0" w14:textId="77777777" w:rsidR="00B0005F" w:rsidRPr="008A2411" w:rsidRDefault="00000000">
      <w:pPr>
        <w:adjustRightInd w:val="0"/>
        <w:snapToGrid w:val="0"/>
        <w:spacing w:line="360" w:lineRule="auto"/>
        <w:ind w:firstLineChars="200" w:firstLine="480"/>
        <w:rPr>
          <w:rFonts w:ascii="Times New Roman"/>
          <w:color w:val="000000" w:themeColor="text1"/>
          <w:kern w:val="2"/>
          <w:szCs w:val="24"/>
        </w:rPr>
      </w:pPr>
      <w:r w:rsidRPr="008A2411">
        <w:rPr>
          <w:rFonts w:ascii="Times New Roman"/>
          <w:color w:val="000000" w:themeColor="text1"/>
          <w:kern w:val="2"/>
          <w:szCs w:val="24"/>
        </w:rPr>
        <w:t>公用辅助区位于</w:t>
      </w:r>
      <w:proofErr w:type="gramStart"/>
      <w:r w:rsidRPr="008A2411">
        <w:rPr>
          <w:rFonts w:ascii="Times New Roman"/>
          <w:color w:val="000000" w:themeColor="text1"/>
          <w:kern w:val="2"/>
          <w:szCs w:val="24"/>
        </w:rPr>
        <w:t>厂区西</w:t>
      </w:r>
      <w:proofErr w:type="gramEnd"/>
      <w:r w:rsidRPr="008A2411">
        <w:rPr>
          <w:rFonts w:ascii="Times New Roman"/>
          <w:color w:val="000000" w:themeColor="text1"/>
          <w:kern w:val="2"/>
          <w:szCs w:val="24"/>
        </w:rPr>
        <w:t>北侧，按照由西向东呈三排布置，西侧为循环水设施区；中部由北至南分别为消防水罐、消防泵房和维修间；东侧由北至南分别</w:t>
      </w:r>
      <w:proofErr w:type="gramStart"/>
      <w:r w:rsidRPr="008A2411">
        <w:rPr>
          <w:rFonts w:ascii="Times New Roman"/>
          <w:color w:val="000000" w:themeColor="text1"/>
          <w:kern w:val="2"/>
          <w:szCs w:val="24"/>
        </w:rPr>
        <w:t>为空压及</w:t>
      </w:r>
      <w:proofErr w:type="gramEnd"/>
      <w:r w:rsidRPr="008A2411">
        <w:rPr>
          <w:rFonts w:ascii="Times New Roman"/>
          <w:color w:val="000000" w:themeColor="text1"/>
          <w:kern w:val="2"/>
          <w:szCs w:val="24"/>
        </w:rPr>
        <w:t>水处理站和控制室。公用辅助区内相邻建筑之间的间距大于</w:t>
      </w:r>
      <w:r w:rsidRPr="008A2411">
        <w:rPr>
          <w:rFonts w:ascii="Times New Roman"/>
          <w:color w:val="000000" w:themeColor="text1"/>
          <w:kern w:val="2"/>
          <w:szCs w:val="24"/>
        </w:rPr>
        <w:t>12m</w:t>
      </w:r>
      <w:r w:rsidRPr="008A2411">
        <w:rPr>
          <w:rFonts w:ascii="Times New Roman"/>
          <w:color w:val="000000" w:themeColor="text1"/>
          <w:kern w:val="2"/>
          <w:szCs w:val="24"/>
        </w:rPr>
        <w:t>。</w:t>
      </w:r>
    </w:p>
    <w:p w14:paraId="4E7231AE" w14:textId="77777777" w:rsidR="00B0005F" w:rsidRPr="008A2411" w:rsidRDefault="00000000">
      <w:pPr>
        <w:adjustRightInd w:val="0"/>
        <w:snapToGrid w:val="0"/>
        <w:spacing w:line="360" w:lineRule="auto"/>
        <w:ind w:firstLineChars="200" w:firstLine="480"/>
        <w:rPr>
          <w:rFonts w:ascii="Times New Roman"/>
          <w:color w:val="000000" w:themeColor="text1"/>
          <w:kern w:val="2"/>
          <w:szCs w:val="24"/>
        </w:rPr>
      </w:pPr>
      <w:r w:rsidRPr="008A2411">
        <w:rPr>
          <w:rFonts w:ascii="Times New Roman"/>
          <w:color w:val="000000" w:themeColor="text1"/>
          <w:kern w:val="2"/>
          <w:szCs w:val="24"/>
        </w:rPr>
        <w:t>（</w:t>
      </w:r>
      <w:r w:rsidRPr="008A2411">
        <w:rPr>
          <w:rFonts w:ascii="Times New Roman"/>
          <w:color w:val="000000" w:themeColor="text1"/>
          <w:kern w:val="2"/>
          <w:szCs w:val="24"/>
        </w:rPr>
        <w:t>3</w:t>
      </w:r>
      <w:r w:rsidRPr="008A2411">
        <w:rPr>
          <w:rFonts w:ascii="Times New Roman"/>
          <w:color w:val="000000" w:themeColor="text1"/>
          <w:kern w:val="2"/>
          <w:szCs w:val="24"/>
        </w:rPr>
        <w:t>）生产区</w:t>
      </w:r>
      <w:r w:rsidRPr="008A2411">
        <w:rPr>
          <w:rFonts w:ascii="Times New Roman"/>
          <w:color w:val="000000" w:themeColor="text1"/>
          <w:kern w:val="2"/>
          <w:szCs w:val="24"/>
        </w:rPr>
        <w:t xml:space="preserve"> </w:t>
      </w:r>
    </w:p>
    <w:p w14:paraId="0DE8C85D" w14:textId="77777777" w:rsidR="00B0005F" w:rsidRPr="008A2411" w:rsidRDefault="00000000">
      <w:pPr>
        <w:adjustRightInd w:val="0"/>
        <w:snapToGrid w:val="0"/>
        <w:spacing w:line="360" w:lineRule="auto"/>
        <w:ind w:firstLineChars="200" w:firstLine="480"/>
        <w:rPr>
          <w:rFonts w:ascii="Times New Roman"/>
          <w:color w:val="000000" w:themeColor="text1"/>
          <w:kern w:val="2"/>
          <w:szCs w:val="24"/>
        </w:rPr>
      </w:pPr>
      <w:r w:rsidRPr="008A2411">
        <w:rPr>
          <w:rFonts w:ascii="Times New Roman"/>
          <w:color w:val="000000" w:themeColor="text1"/>
          <w:kern w:val="2"/>
          <w:szCs w:val="24"/>
        </w:rPr>
        <w:t>生产区位于厂区东侧，整体呈南北两排布置，北侧由西向东分别工艺装置区（包括压缩机厂房、导热油炉棚、工艺装置区、冷剂储罐区）、液化天然气（</w:t>
      </w:r>
      <w:r w:rsidRPr="008A2411">
        <w:rPr>
          <w:rFonts w:ascii="Times New Roman"/>
          <w:color w:val="000000" w:themeColor="text1"/>
          <w:kern w:val="2"/>
          <w:szCs w:val="24"/>
        </w:rPr>
        <w:t>LNG</w:t>
      </w:r>
      <w:r w:rsidRPr="008A2411">
        <w:rPr>
          <w:rFonts w:ascii="Times New Roman"/>
          <w:color w:val="000000" w:themeColor="text1"/>
          <w:kern w:val="2"/>
          <w:szCs w:val="24"/>
        </w:rPr>
        <w:t>）储罐区及火炬系统；南侧有西向东分别为污水处理设置及事故水池、加注区、装车服务站房、</w:t>
      </w:r>
      <w:r w:rsidRPr="008A2411">
        <w:rPr>
          <w:rFonts w:ascii="Times New Roman"/>
          <w:color w:val="000000" w:themeColor="text1"/>
          <w:kern w:val="2"/>
          <w:szCs w:val="24"/>
        </w:rPr>
        <w:t xml:space="preserve">LNG </w:t>
      </w:r>
      <w:r w:rsidRPr="008A2411">
        <w:rPr>
          <w:rFonts w:ascii="Times New Roman"/>
          <w:color w:val="000000" w:themeColor="text1"/>
          <w:kern w:val="2"/>
          <w:szCs w:val="24"/>
        </w:rPr>
        <w:t>装车站和</w:t>
      </w:r>
      <w:proofErr w:type="gramStart"/>
      <w:r w:rsidRPr="008A2411">
        <w:rPr>
          <w:rFonts w:ascii="Times New Roman"/>
          <w:color w:val="000000" w:themeColor="text1"/>
          <w:kern w:val="2"/>
          <w:szCs w:val="24"/>
        </w:rPr>
        <w:t>危废</w:t>
      </w:r>
      <w:proofErr w:type="gramEnd"/>
      <w:r w:rsidRPr="008A2411">
        <w:rPr>
          <w:rFonts w:ascii="Times New Roman"/>
          <w:color w:val="000000" w:themeColor="text1"/>
          <w:kern w:val="2"/>
          <w:szCs w:val="24"/>
        </w:rPr>
        <w:t>间。</w:t>
      </w:r>
    </w:p>
    <w:p w14:paraId="365B5DB2" w14:textId="77777777" w:rsidR="00B0005F" w:rsidRPr="008A2411" w:rsidRDefault="00000000">
      <w:pPr>
        <w:adjustRightInd w:val="0"/>
        <w:snapToGrid w:val="0"/>
        <w:spacing w:line="360" w:lineRule="auto"/>
        <w:ind w:firstLineChars="200" w:firstLine="480"/>
        <w:rPr>
          <w:rFonts w:ascii="Times New Roman"/>
          <w:color w:val="000000" w:themeColor="text1"/>
          <w:kern w:val="2"/>
          <w:szCs w:val="24"/>
        </w:rPr>
      </w:pPr>
      <w:r w:rsidRPr="008A2411">
        <w:rPr>
          <w:rFonts w:ascii="Times New Roman"/>
          <w:color w:val="000000" w:themeColor="text1"/>
          <w:kern w:val="2"/>
          <w:szCs w:val="24"/>
        </w:rPr>
        <w:t>（</w:t>
      </w:r>
      <w:r w:rsidRPr="008A2411">
        <w:rPr>
          <w:rFonts w:ascii="Times New Roman"/>
          <w:color w:val="000000" w:themeColor="text1"/>
          <w:kern w:val="2"/>
          <w:szCs w:val="24"/>
        </w:rPr>
        <w:t>4</w:t>
      </w:r>
      <w:r w:rsidRPr="008A2411">
        <w:rPr>
          <w:rFonts w:ascii="Times New Roman"/>
          <w:color w:val="000000" w:themeColor="text1"/>
          <w:kern w:val="2"/>
          <w:szCs w:val="24"/>
        </w:rPr>
        <w:t>）道路布置</w:t>
      </w:r>
      <w:r w:rsidRPr="008A2411">
        <w:rPr>
          <w:rFonts w:ascii="Times New Roman"/>
          <w:color w:val="000000" w:themeColor="text1"/>
          <w:kern w:val="2"/>
          <w:szCs w:val="24"/>
        </w:rPr>
        <w:t xml:space="preserve"> </w:t>
      </w:r>
    </w:p>
    <w:p w14:paraId="6A263B32" w14:textId="77777777" w:rsidR="00B0005F" w:rsidRPr="008A2411" w:rsidRDefault="00000000">
      <w:pPr>
        <w:adjustRightInd w:val="0"/>
        <w:snapToGrid w:val="0"/>
        <w:spacing w:line="360" w:lineRule="auto"/>
        <w:ind w:firstLineChars="200" w:firstLine="480"/>
        <w:rPr>
          <w:rFonts w:ascii="Times New Roman"/>
          <w:color w:val="000000" w:themeColor="text1"/>
          <w:kern w:val="2"/>
          <w:szCs w:val="24"/>
        </w:rPr>
      </w:pPr>
      <w:r w:rsidRPr="008A2411">
        <w:rPr>
          <w:rFonts w:ascii="Times New Roman"/>
          <w:color w:val="000000" w:themeColor="text1"/>
          <w:kern w:val="2"/>
          <w:szCs w:val="24"/>
        </w:rPr>
        <w:t>生产区内道路采用环状布置，道路交叉采用正交，其中工艺装置区形成环形通道，液化天然气（</w:t>
      </w:r>
      <w:r w:rsidRPr="008A2411">
        <w:rPr>
          <w:rFonts w:ascii="Times New Roman"/>
          <w:color w:val="000000" w:themeColor="text1"/>
          <w:kern w:val="2"/>
          <w:szCs w:val="24"/>
        </w:rPr>
        <w:t>LNG</w:t>
      </w:r>
      <w:r w:rsidRPr="008A2411">
        <w:rPr>
          <w:rFonts w:ascii="Times New Roman"/>
          <w:color w:val="000000" w:themeColor="text1"/>
          <w:kern w:val="2"/>
          <w:szCs w:val="24"/>
        </w:rPr>
        <w:t>）储罐区四周设置环形通道。厂区内道路分为</w:t>
      </w:r>
      <w:r w:rsidRPr="008A2411">
        <w:rPr>
          <w:rFonts w:ascii="Times New Roman"/>
          <w:color w:val="000000" w:themeColor="text1"/>
          <w:kern w:val="2"/>
          <w:szCs w:val="24"/>
        </w:rPr>
        <w:t>12m</w:t>
      </w:r>
      <w:r w:rsidRPr="008A2411">
        <w:rPr>
          <w:rFonts w:ascii="Times New Roman"/>
          <w:color w:val="000000" w:themeColor="text1"/>
          <w:kern w:val="2"/>
          <w:szCs w:val="24"/>
        </w:rPr>
        <w:t>和</w:t>
      </w:r>
      <w:r w:rsidRPr="008A2411">
        <w:rPr>
          <w:rFonts w:ascii="Times New Roman"/>
          <w:color w:val="000000" w:themeColor="text1"/>
          <w:kern w:val="2"/>
          <w:szCs w:val="24"/>
        </w:rPr>
        <w:t>6m</w:t>
      </w:r>
      <w:r w:rsidRPr="008A2411">
        <w:rPr>
          <w:rFonts w:ascii="Times New Roman"/>
          <w:color w:val="000000" w:themeColor="text1"/>
          <w:kern w:val="2"/>
          <w:szCs w:val="24"/>
        </w:rPr>
        <w:t>，路面净空高度均大于</w:t>
      </w:r>
      <w:r w:rsidRPr="008A2411">
        <w:rPr>
          <w:rFonts w:ascii="Times New Roman"/>
          <w:color w:val="000000" w:themeColor="text1"/>
          <w:kern w:val="2"/>
          <w:szCs w:val="24"/>
        </w:rPr>
        <w:t>5m</w:t>
      </w:r>
      <w:r w:rsidRPr="008A2411">
        <w:rPr>
          <w:rFonts w:ascii="Times New Roman"/>
          <w:color w:val="000000" w:themeColor="text1"/>
          <w:kern w:val="2"/>
          <w:szCs w:val="24"/>
        </w:rPr>
        <w:t>，路面结构为混凝土路面。</w:t>
      </w:r>
    </w:p>
    <w:p w14:paraId="57B9DC95" w14:textId="77777777" w:rsidR="00B0005F" w:rsidRPr="008A2411" w:rsidRDefault="00000000">
      <w:pPr>
        <w:adjustRightInd w:val="0"/>
        <w:snapToGrid w:val="0"/>
        <w:spacing w:line="360" w:lineRule="auto"/>
        <w:ind w:firstLineChars="200" w:firstLine="482"/>
        <w:rPr>
          <w:rFonts w:ascii="Times New Roman"/>
          <w:b/>
          <w:bCs/>
          <w:color w:val="000000" w:themeColor="text1"/>
          <w:kern w:val="2"/>
          <w:szCs w:val="24"/>
        </w:rPr>
      </w:pPr>
      <w:r w:rsidRPr="008A2411">
        <w:rPr>
          <w:rFonts w:ascii="Times New Roman"/>
          <w:b/>
          <w:bCs/>
          <w:color w:val="000000" w:themeColor="text1"/>
          <w:kern w:val="2"/>
          <w:szCs w:val="24"/>
        </w:rPr>
        <w:t>2</w:t>
      </w:r>
      <w:r w:rsidRPr="008A2411">
        <w:rPr>
          <w:rFonts w:ascii="Times New Roman"/>
          <w:b/>
          <w:bCs/>
          <w:color w:val="000000" w:themeColor="text1"/>
          <w:kern w:val="2"/>
          <w:szCs w:val="24"/>
        </w:rPr>
        <w:t>、项目总平面合理性分析</w:t>
      </w:r>
    </w:p>
    <w:p w14:paraId="10501DCB" w14:textId="77777777" w:rsidR="00B0005F" w:rsidRPr="008A2411" w:rsidRDefault="00000000">
      <w:pPr>
        <w:pStyle w:val="WJ3"/>
        <w:spacing w:line="360" w:lineRule="auto"/>
        <w:ind w:firstLineChars="200" w:firstLine="482"/>
        <w:outlineLvl w:val="9"/>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1</w:t>
      </w:r>
      <w:r w:rsidRPr="008A2411">
        <w:rPr>
          <w:rFonts w:ascii="Times New Roman" w:hAnsi="Times New Roman"/>
          <w:color w:val="000000" w:themeColor="text1"/>
        </w:rPr>
        <w:t>）</w:t>
      </w:r>
      <w:r w:rsidRPr="008A2411">
        <w:rPr>
          <w:rFonts w:ascii="Times New Roman" w:hAnsi="Times New Roman" w:hint="eastAsia"/>
          <w:color w:val="000000" w:themeColor="text1"/>
        </w:rPr>
        <w:t>厂区</w:t>
      </w:r>
      <w:r w:rsidRPr="008A2411">
        <w:rPr>
          <w:rFonts w:ascii="Times New Roman" w:hAnsi="Times New Roman"/>
          <w:color w:val="000000" w:themeColor="text1"/>
        </w:rPr>
        <w:t>布局合理性分析</w:t>
      </w:r>
    </w:p>
    <w:p w14:paraId="6C93AA2B" w14:textId="77777777" w:rsidR="00B0005F" w:rsidRPr="008A2411" w:rsidRDefault="00000000">
      <w:pPr>
        <w:adjustRightInd w:val="0"/>
        <w:snapToGrid w:val="0"/>
        <w:spacing w:line="360" w:lineRule="auto"/>
        <w:ind w:firstLineChars="200" w:firstLine="468"/>
        <w:rPr>
          <w:rFonts w:ascii="Times New Roman"/>
          <w:color w:val="000000" w:themeColor="text1"/>
          <w:kern w:val="2"/>
          <w:szCs w:val="24"/>
        </w:rPr>
      </w:pPr>
      <w:r w:rsidRPr="008A2411">
        <w:rPr>
          <w:rFonts w:ascii="Times New Roman"/>
          <w:color w:val="000000" w:themeColor="text1"/>
          <w:spacing w:val="-3"/>
          <w:szCs w:val="22"/>
        </w:rPr>
        <w:t>根据</w:t>
      </w:r>
      <w:r w:rsidRPr="008A2411">
        <w:rPr>
          <w:rFonts w:ascii="Times New Roman" w:eastAsia="Times New Roman"/>
          <w:color w:val="000000" w:themeColor="text1"/>
          <w:spacing w:val="-3"/>
          <w:szCs w:val="22"/>
        </w:rPr>
        <w:t>《</w:t>
      </w:r>
      <w:proofErr w:type="spellStart"/>
      <w:r w:rsidRPr="008A2411">
        <w:rPr>
          <w:rFonts w:ascii="Times New Roman" w:eastAsia="Times New Roman"/>
          <w:color w:val="000000" w:themeColor="text1"/>
          <w:spacing w:val="-3"/>
          <w:szCs w:val="22"/>
        </w:rPr>
        <w:t>天然气液化工厂设计标准</w:t>
      </w:r>
      <w:proofErr w:type="spellEnd"/>
      <w:r w:rsidRPr="008A2411">
        <w:rPr>
          <w:rFonts w:ascii="Times New Roman" w:eastAsia="Times New Roman"/>
          <w:color w:val="000000" w:themeColor="text1"/>
          <w:spacing w:val="-3"/>
          <w:szCs w:val="22"/>
        </w:rPr>
        <w:t>》（</w:t>
      </w:r>
      <w:r w:rsidRPr="008A2411">
        <w:rPr>
          <w:rFonts w:ascii="Times New Roman" w:eastAsia="Times New Roman"/>
          <w:color w:val="000000" w:themeColor="text1"/>
          <w:szCs w:val="22"/>
        </w:rPr>
        <w:t>GB51261-2019</w:t>
      </w:r>
      <w:r w:rsidRPr="008A2411">
        <w:rPr>
          <w:rFonts w:ascii="Times New Roman" w:eastAsia="Times New Roman"/>
          <w:color w:val="000000" w:themeColor="text1"/>
          <w:spacing w:val="2"/>
          <w:szCs w:val="22"/>
        </w:rPr>
        <w:t>）</w:t>
      </w:r>
      <w:r w:rsidRPr="008A2411">
        <w:rPr>
          <w:rFonts w:ascii="Times New Roman"/>
          <w:color w:val="000000" w:themeColor="text1"/>
          <w:spacing w:val="2"/>
          <w:szCs w:val="22"/>
        </w:rPr>
        <w:t>中的各装置距离要求，对比本项目各工艺装置及辅助生产设施的总平面布局合理性分析如下。</w:t>
      </w:r>
    </w:p>
    <w:p w14:paraId="77F42103" w14:textId="77777777" w:rsidR="00B0005F" w:rsidRPr="008A2411" w:rsidRDefault="00000000">
      <w:pPr>
        <w:adjustRightInd w:val="0"/>
        <w:snapToGrid w:val="0"/>
        <w:spacing w:line="360" w:lineRule="auto"/>
        <w:ind w:firstLineChars="200" w:firstLine="480"/>
        <w:rPr>
          <w:rFonts w:ascii="Times New Roman"/>
          <w:color w:val="000000" w:themeColor="text1"/>
          <w:kern w:val="2"/>
          <w:szCs w:val="24"/>
        </w:rPr>
      </w:pPr>
      <w:r w:rsidRPr="008A2411">
        <w:rPr>
          <w:rFonts w:ascii="Times New Roman"/>
          <w:color w:val="000000" w:themeColor="text1"/>
          <w:kern w:val="2"/>
          <w:szCs w:val="24"/>
        </w:rPr>
        <w:t>本项目工艺装置区位于公用</w:t>
      </w:r>
      <w:proofErr w:type="gramStart"/>
      <w:r w:rsidRPr="008A2411">
        <w:rPr>
          <w:rFonts w:ascii="Times New Roman"/>
          <w:color w:val="000000" w:themeColor="text1"/>
          <w:kern w:val="2"/>
          <w:szCs w:val="24"/>
        </w:rPr>
        <w:t>辅助区</w:t>
      </w:r>
      <w:proofErr w:type="gramEnd"/>
      <w:r w:rsidRPr="008A2411">
        <w:rPr>
          <w:rFonts w:ascii="Times New Roman"/>
          <w:color w:val="000000" w:themeColor="text1"/>
          <w:kern w:val="2"/>
          <w:szCs w:val="24"/>
        </w:rPr>
        <w:t>的东侧、</w:t>
      </w:r>
      <w:r w:rsidRPr="008A2411">
        <w:rPr>
          <w:rFonts w:ascii="Times New Roman"/>
          <w:color w:val="000000" w:themeColor="text1"/>
          <w:kern w:val="2"/>
          <w:szCs w:val="24"/>
        </w:rPr>
        <w:t xml:space="preserve">LNG </w:t>
      </w:r>
      <w:r w:rsidRPr="008A2411">
        <w:rPr>
          <w:rFonts w:ascii="Times New Roman"/>
          <w:color w:val="000000" w:themeColor="text1"/>
          <w:kern w:val="2"/>
          <w:szCs w:val="24"/>
        </w:rPr>
        <w:t>储罐区的西侧，工艺装置区包括压缩机厂房、导热油炉棚、工艺装置</w:t>
      </w:r>
      <w:r w:rsidRPr="008A2411">
        <w:rPr>
          <w:rFonts w:ascii="Times New Roman" w:hint="eastAsia"/>
          <w:color w:val="000000" w:themeColor="text1"/>
          <w:kern w:val="2"/>
          <w:szCs w:val="24"/>
        </w:rPr>
        <w:t>设备</w:t>
      </w:r>
      <w:r w:rsidRPr="008A2411">
        <w:rPr>
          <w:rFonts w:ascii="Times New Roman"/>
          <w:color w:val="000000" w:themeColor="text1"/>
          <w:kern w:val="2"/>
          <w:szCs w:val="24"/>
        </w:rPr>
        <w:t>、冷剂储罐</w:t>
      </w:r>
      <w:r w:rsidRPr="008A2411">
        <w:rPr>
          <w:rFonts w:ascii="Times New Roman" w:hint="eastAsia"/>
          <w:color w:val="000000" w:themeColor="text1"/>
          <w:kern w:val="2"/>
          <w:szCs w:val="24"/>
        </w:rPr>
        <w:t>区</w:t>
      </w:r>
      <w:r w:rsidRPr="008A2411">
        <w:rPr>
          <w:rFonts w:ascii="Times New Roman"/>
          <w:color w:val="000000" w:themeColor="text1"/>
          <w:kern w:val="2"/>
          <w:szCs w:val="24"/>
        </w:rPr>
        <w:t>，冷剂储罐区设置</w:t>
      </w:r>
      <w:r w:rsidRPr="008A2411">
        <w:rPr>
          <w:rFonts w:ascii="Times New Roman"/>
          <w:color w:val="000000" w:themeColor="text1"/>
          <w:kern w:val="2"/>
          <w:szCs w:val="24"/>
        </w:rPr>
        <w:t>19m×27m</w:t>
      </w:r>
      <w:r w:rsidRPr="008A2411">
        <w:rPr>
          <w:rFonts w:ascii="Times New Roman"/>
          <w:color w:val="000000" w:themeColor="text1"/>
          <w:kern w:val="2"/>
          <w:szCs w:val="24"/>
        </w:rPr>
        <w:t>的围堰，储罐距离围堰最近</w:t>
      </w:r>
      <w:r w:rsidRPr="008A2411">
        <w:rPr>
          <w:rFonts w:ascii="Times New Roman"/>
          <w:color w:val="000000" w:themeColor="text1"/>
          <w:kern w:val="2"/>
          <w:szCs w:val="24"/>
        </w:rPr>
        <w:t>3m</w:t>
      </w:r>
      <w:r w:rsidRPr="008A2411">
        <w:rPr>
          <w:rFonts w:ascii="Times New Roman"/>
          <w:color w:val="000000" w:themeColor="text1"/>
          <w:kern w:val="2"/>
          <w:szCs w:val="24"/>
        </w:rPr>
        <w:t>。工艺装置区与周边厂内建构筑距离如</w:t>
      </w:r>
      <w:r w:rsidRPr="008A2411">
        <w:rPr>
          <w:rFonts w:ascii="Times New Roman"/>
          <w:color w:val="000000" w:themeColor="text1"/>
          <w:kern w:val="2"/>
          <w:szCs w:val="24"/>
        </w:rPr>
        <w:lastRenderedPageBreak/>
        <w:t>下表：</w:t>
      </w:r>
      <w:r w:rsidRPr="008A2411">
        <w:rPr>
          <w:rFonts w:ascii="Times New Roman"/>
          <w:color w:val="000000" w:themeColor="text1"/>
          <w:kern w:val="2"/>
          <w:szCs w:val="24"/>
        </w:rPr>
        <w:t xml:space="preserve"> </w:t>
      </w:r>
    </w:p>
    <w:p w14:paraId="6BA377C8" w14:textId="77777777" w:rsidR="00B0005F" w:rsidRPr="008A2411" w:rsidRDefault="00000000">
      <w:pPr>
        <w:pStyle w:val="WJ0"/>
        <w:spacing w:line="240" w:lineRule="auto"/>
        <w:rPr>
          <w:rFonts w:ascii="Times New Roman" w:hAnsi="Times New Roman"/>
          <w:color w:val="000000" w:themeColor="text1"/>
          <w:kern w:val="2"/>
          <w:lang w:bidi="ar"/>
        </w:rPr>
      </w:pPr>
      <w:r w:rsidRPr="008A2411">
        <w:rPr>
          <w:rFonts w:ascii="Times New Roman" w:hAnsi="Times New Roman"/>
          <w:color w:val="000000" w:themeColor="text1"/>
          <w:kern w:val="2"/>
          <w:lang w:bidi="ar"/>
        </w:rPr>
        <w:t>表</w:t>
      </w:r>
      <w:r w:rsidRPr="008A2411">
        <w:rPr>
          <w:rFonts w:ascii="Times New Roman" w:hAnsi="Times New Roman"/>
          <w:color w:val="000000" w:themeColor="text1"/>
          <w:kern w:val="2"/>
          <w:lang w:bidi="ar"/>
        </w:rPr>
        <w:t xml:space="preserve">3.1-11  </w:t>
      </w:r>
      <w:r w:rsidRPr="008A2411">
        <w:rPr>
          <w:rFonts w:ascii="Times New Roman" w:hAnsi="Times New Roman"/>
          <w:color w:val="000000" w:themeColor="text1"/>
          <w:kern w:val="2"/>
          <w:lang w:bidi="ar"/>
        </w:rPr>
        <w:t>工艺装置区与周边厂内建构筑物间距一览表</w:t>
      </w:r>
    </w:p>
    <w:tbl>
      <w:tblPr>
        <w:tblStyle w:val="affff9"/>
        <w:tblW w:w="499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87"/>
        <w:gridCol w:w="1275"/>
        <w:gridCol w:w="2266"/>
        <w:gridCol w:w="1830"/>
        <w:gridCol w:w="1861"/>
      </w:tblGrid>
      <w:tr w:rsidR="008A2411" w:rsidRPr="008A2411" w14:paraId="7B6B697E" w14:textId="77777777">
        <w:tc>
          <w:tcPr>
            <w:tcW w:w="755" w:type="pct"/>
            <w:vAlign w:val="center"/>
          </w:tcPr>
          <w:p w14:paraId="7937320F"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序号</w:t>
            </w:r>
          </w:p>
        </w:tc>
        <w:tc>
          <w:tcPr>
            <w:tcW w:w="748" w:type="pct"/>
            <w:vAlign w:val="center"/>
          </w:tcPr>
          <w:p w14:paraId="558853C5"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方位</w:t>
            </w:r>
          </w:p>
        </w:tc>
        <w:tc>
          <w:tcPr>
            <w:tcW w:w="1329" w:type="pct"/>
            <w:vAlign w:val="center"/>
          </w:tcPr>
          <w:p w14:paraId="6A02A32D"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周边建筑物（</w:t>
            </w:r>
            <w:r w:rsidRPr="008A2411">
              <w:rPr>
                <w:rFonts w:ascii="Times New Roman" w:eastAsiaTheme="minorEastAsia" w:hAnsi="Times New Roman"/>
                <w:color w:val="000000" w:themeColor="text1"/>
                <w:sz w:val="21"/>
                <w:szCs w:val="21"/>
              </w:rPr>
              <w:t>m</w:t>
            </w:r>
            <w:r w:rsidRPr="008A2411">
              <w:rPr>
                <w:rFonts w:ascii="Times New Roman" w:eastAsiaTheme="minorEastAsia" w:hAnsi="Times New Roman"/>
                <w:color w:val="000000" w:themeColor="text1"/>
                <w:sz w:val="21"/>
                <w:szCs w:val="21"/>
              </w:rPr>
              <w:t>）</w:t>
            </w:r>
          </w:p>
        </w:tc>
        <w:tc>
          <w:tcPr>
            <w:tcW w:w="1074" w:type="pct"/>
            <w:vAlign w:val="center"/>
          </w:tcPr>
          <w:p w14:paraId="023AE3CC"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设计距离（</w:t>
            </w:r>
            <w:r w:rsidRPr="008A2411">
              <w:rPr>
                <w:rFonts w:ascii="Times New Roman" w:eastAsiaTheme="minorEastAsia" w:hAnsi="Times New Roman"/>
                <w:color w:val="000000" w:themeColor="text1"/>
                <w:sz w:val="21"/>
                <w:szCs w:val="21"/>
              </w:rPr>
              <w:t>m</w:t>
            </w:r>
            <w:r w:rsidRPr="008A2411">
              <w:rPr>
                <w:rFonts w:ascii="Times New Roman" w:eastAsiaTheme="minorEastAsia" w:hAnsi="Times New Roman"/>
                <w:color w:val="000000" w:themeColor="text1"/>
                <w:sz w:val="21"/>
                <w:szCs w:val="21"/>
              </w:rPr>
              <w:t>）</w:t>
            </w:r>
          </w:p>
        </w:tc>
        <w:tc>
          <w:tcPr>
            <w:tcW w:w="1092" w:type="pct"/>
            <w:vAlign w:val="center"/>
          </w:tcPr>
          <w:p w14:paraId="2841B28C"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规范要求距离（</w:t>
            </w:r>
            <w:r w:rsidRPr="008A2411">
              <w:rPr>
                <w:rFonts w:ascii="Times New Roman" w:eastAsiaTheme="minorEastAsia" w:hAnsi="Times New Roman"/>
                <w:color w:val="000000" w:themeColor="text1"/>
                <w:sz w:val="21"/>
                <w:szCs w:val="21"/>
              </w:rPr>
              <w:t>m</w:t>
            </w:r>
            <w:r w:rsidRPr="008A2411">
              <w:rPr>
                <w:rFonts w:ascii="Times New Roman" w:eastAsiaTheme="minorEastAsia" w:hAnsi="Times New Roman"/>
                <w:color w:val="000000" w:themeColor="text1"/>
                <w:sz w:val="21"/>
                <w:szCs w:val="21"/>
              </w:rPr>
              <w:t>）</w:t>
            </w:r>
          </w:p>
        </w:tc>
      </w:tr>
      <w:tr w:rsidR="008A2411" w:rsidRPr="008A2411" w14:paraId="57365707" w14:textId="77777777">
        <w:tc>
          <w:tcPr>
            <w:tcW w:w="755" w:type="pct"/>
            <w:vMerge w:val="restart"/>
            <w:vAlign w:val="center"/>
          </w:tcPr>
          <w:p w14:paraId="62BB064D"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1</w:t>
            </w:r>
          </w:p>
        </w:tc>
        <w:tc>
          <w:tcPr>
            <w:tcW w:w="748" w:type="pct"/>
            <w:vMerge w:val="restart"/>
            <w:vAlign w:val="center"/>
          </w:tcPr>
          <w:p w14:paraId="3BED97CE"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西侧</w:t>
            </w:r>
          </w:p>
        </w:tc>
        <w:tc>
          <w:tcPr>
            <w:tcW w:w="1329" w:type="pct"/>
            <w:vAlign w:val="center"/>
          </w:tcPr>
          <w:p w14:paraId="24E59FE4"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proofErr w:type="spellStart"/>
            <w:r w:rsidRPr="008A2411">
              <w:rPr>
                <w:rFonts w:ascii="Times New Roman" w:eastAsiaTheme="minorEastAsia" w:hAnsi="Times New Roman"/>
                <w:color w:val="000000" w:themeColor="text1"/>
                <w:sz w:val="21"/>
                <w:szCs w:val="21"/>
                <w:lang w:eastAsia="en-US"/>
              </w:rPr>
              <w:t>空压及水处理站</w:t>
            </w:r>
            <w:proofErr w:type="spellEnd"/>
          </w:p>
        </w:tc>
        <w:tc>
          <w:tcPr>
            <w:tcW w:w="1074" w:type="pct"/>
            <w:vAlign w:val="center"/>
          </w:tcPr>
          <w:p w14:paraId="1833B071"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44.10</w:t>
            </w:r>
          </w:p>
        </w:tc>
        <w:tc>
          <w:tcPr>
            <w:tcW w:w="1092" w:type="pct"/>
            <w:vAlign w:val="center"/>
          </w:tcPr>
          <w:p w14:paraId="1204A4E3"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35</w:t>
            </w:r>
          </w:p>
        </w:tc>
      </w:tr>
      <w:tr w:rsidR="008A2411" w:rsidRPr="008A2411" w14:paraId="760859A3" w14:textId="77777777">
        <w:tc>
          <w:tcPr>
            <w:tcW w:w="755" w:type="pct"/>
            <w:vMerge/>
            <w:vAlign w:val="center"/>
          </w:tcPr>
          <w:p w14:paraId="5AB59B15" w14:textId="77777777" w:rsidR="00B0005F" w:rsidRPr="008A2411" w:rsidRDefault="00B0005F">
            <w:pPr>
              <w:pStyle w:val="WJ0"/>
              <w:spacing w:line="240" w:lineRule="auto"/>
              <w:rPr>
                <w:rFonts w:ascii="Times New Roman" w:eastAsiaTheme="minorEastAsia" w:hAnsi="Times New Roman"/>
                <w:color w:val="000000" w:themeColor="text1"/>
                <w:sz w:val="21"/>
                <w:szCs w:val="21"/>
              </w:rPr>
            </w:pPr>
          </w:p>
        </w:tc>
        <w:tc>
          <w:tcPr>
            <w:tcW w:w="748" w:type="pct"/>
            <w:vMerge/>
            <w:vAlign w:val="center"/>
          </w:tcPr>
          <w:p w14:paraId="040B51EB" w14:textId="77777777" w:rsidR="00B0005F" w:rsidRPr="008A2411" w:rsidRDefault="00B0005F">
            <w:pPr>
              <w:pStyle w:val="WJ0"/>
              <w:spacing w:line="240" w:lineRule="auto"/>
              <w:rPr>
                <w:rFonts w:ascii="Times New Roman" w:eastAsiaTheme="minorEastAsia" w:hAnsi="Times New Roman"/>
                <w:color w:val="000000" w:themeColor="text1"/>
                <w:sz w:val="21"/>
                <w:szCs w:val="21"/>
              </w:rPr>
            </w:pPr>
          </w:p>
        </w:tc>
        <w:tc>
          <w:tcPr>
            <w:tcW w:w="1329" w:type="pct"/>
            <w:vAlign w:val="center"/>
          </w:tcPr>
          <w:p w14:paraId="41525D51"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控制室</w:t>
            </w:r>
          </w:p>
        </w:tc>
        <w:tc>
          <w:tcPr>
            <w:tcW w:w="1074" w:type="pct"/>
            <w:vAlign w:val="center"/>
          </w:tcPr>
          <w:p w14:paraId="0FD2C811"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44.10</w:t>
            </w:r>
          </w:p>
        </w:tc>
        <w:tc>
          <w:tcPr>
            <w:tcW w:w="1092" w:type="pct"/>
            <w:vAlign w:val="center"/>
          </w:tcPr>
          <w:p w14:paraId="2451ED46"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40</w:t>
            </w:r>
          </w:p>
        </w:tc>
      </w:tr>
      <w:tr w:rsidR="008A2411" w:rsidRPr="008A2411" w14:paraId="4648AF4A" w14:textId="77777777">
        <w:tc>
          <w:tcPr>
            <w:tcW w:w="755" w:type="pct"/>
            <w:vAlign w:val="center"/>
          </w:tcPr>
          <w:p w14:paraId="3963BFCC"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2</w:t>
            </w:r>
          </w:p>
        </w:tc>
        <w:tc>
          <w:tcPr>
            <w:tcW w:w="748" w:type="pct"/>
            <w:vAlign w:val="center"/>
          </w:tcPr>
          <w:p w14:paraId="42C1B912"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西南侧</w:t>
            </w:r>
          </w:p>
        </w:tc>
        <w:tc>
          <w:tcPr>
            <w:tcW w:w="1329" w:type="pct"/>
            <w:vAlign w:val="center"/>
          </w:tcPr>
          <w:p w14:paraId="1CE5B7B7"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hint="eastAsia"/>
                <w:color w:val="000000" w:themeColor="text1"/>
                <w:sz w:val="21"/>
                <w:szCs w:val="21"/>
              </w:rPr>
              <w:t>35</w:t>
            </w:r>
            <w:r w:rsidRPr="008A2411">
              <w:rPr>
                <w:rFonts w:ascii="Times New Roman" w:eastAsiaTheme="minorEastAsia" w:hAnsi="Times New Roman"/>
                <w:color w:val="000000" w:themeColor="text1"/>
                <w:sz w:val="21"/>
                <w:szCs w:val="21"/>
              </w:rPr>
              <w:t>kV</w:t>
            </w:r>
            <w:r w:rsidRPr="008A2411">
              <w:rPr>
                <w:rFonts w:ascii="Times New Roman" w:eastAsiaTheme="minorEastAsia" w:hAnsi="Times New Roman"/>
                <w:color w:val="000000" w:themeColor="text1"/>
                <w:sz w:val="21"/>
                <w:szCs w:val="21"/>
              </w:rPr>
              <w:t>变电所</w:t>
            </w:r>
          </w:p>
        </w:tc>
        <w:tc>
          <w:tcPr>
            <w:tcW w:w="1074" w:type="pct"/>
            <w:vAlign w:val="center"/>
          </w:tcPr>
          <w:p w14:paraId="40E1A324"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37</w:t>
            </w:r>
          </w:p>
        </w:tc>
        <w:tc>
          <w:tcPr>
            <w:tcW w:w="1092" w:type="pct"/>
            <w:vAlign w:val="center"/>
          </w:tcPr>
          <w:p w14:paraId="2B3C6057"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35</w:t>
            </w:r>
          </w:p>
        </w:tc>
      </w:tr>
      <w:tr w:rsidR="008A2411" w:rsidRPr="008A2411" w14:paraId="3526D4D5" w14:textId="77777777">
        <w:tc>
          <w:tcPr>
            <w:tcW w:w="755" w:type="pct"/>
            <w:vMerge w:val="restart"/>
            <w:vAlign w:val="center"/>
          </w:tcPr>
          <w:p w14:paraId="6D7980DF"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3</w:t>
            </w:r>
          </w:p>
        </w:tc>
        <w:tc>
          <w:tcPr>
            <w:tcW w:w="748" w:type="pct"/>
            <w:vMerge w:val="restart"/>
            <w:vAlign w:val="center"/>
          </w:tcPr>
          <w:p w14:paraId="6951E6CB"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南侧</w:t>
            </w:r>
          </w:p>
        </w:tc>
        <w:tc>
          <w:tcPr>
            <w:tcW w:w="1329" w:type="pct"/>
            <w:vAlign w:val="center"/>
          </w:tcPr>
          <w:p w14:paraId="060FD649"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污水处理设施</w:t>
            </w:r>
          </w:p>
        </w:tc>
        <w:tc>
          <w:tcPr>
            <w:tcW w:w="1074" w:type="pct"/>
            <w:vAlign w:val="center"/>
          </w:tcPr>
          <w:p w14:paraId="289C6E83"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26</w:t>
            </w:r>
          </w:p>
        </w:tc>
        <w:tc>
          <w:tcPr>
            <w:tcW w:w="1092" w:type="pct"/>
            <w:vAlign w:val="center"/>
          </w:tcPr>
          <w:p w14:paraId="14484FB7"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25</w:t>
            </w:r>
          </w:p>
        </w:tc>
      </w:tr>
      <w:tr w:rsidR="008A2411" w:rsidRPr="008A2411" w14:paraId="42547608" w14:textId="77777777">
        <w:tc>
          <w:tcPr>
            <w:tcW w:w="755" w:type="pct"/>
            <w:vMerge/>
            <w:vAlign w:val="center"/>
          </w:tcPr>
          <w:p w14:paraId="2DBFAF72" w14:textId="77777777" w:rsidR="00B0005F" w:rsidRPr="008A2411" w:rsidRDefault="00B0005F">
            <w:pPr>
              <w:pStyle w:val="WJ0"/>
              <w:spacing w:line="240" w:lineRule="auto"/>
              <w:rPr>
                <w:rFonts w:ascii="Times New Roman" w:eastAsiaTheme="minorEastAsia" w:hAnsi="Times New Roman"/>
                <w:color w:val="000000" w:themeColor="text1"/>
                <w:sz w:val="21"/>
                <w:szCs w:val="21"/>
              </w:rPr>
            </w:pPr>
          </w:p>
        </w:tc>
        <w:tc>
          <w:tcPr>
            <w:tcW w:w="748" w:type="pct"/>
            <w:vMerge/>
            <w:vAlign w:val="center"/>
          </w:tcPr>
          <w:p w14:paraId="2DBA6781" w14:textId="77777777" w:rsidR="00B0005F" w:rsidRPr="008A2411" w:rsidRDefault="00B0005F">
            <w:pPr>
              <w:pStyle w:val="WJ0"/>
              <w:spacing w:line="240" w:lineRule="auto"/>
              <w:rPr>
                <w:rFonts w:ascii="Times New Roman" w:eastAsiaTheme="minorEastAsia" w:hAnsi="Times New Roman"/>
                <w:color w:val="000000" w:themeColor="text1"/>
                <w:sz w:val="21"/>
                <w:szCs w:val="21"/>
              </w:rPr>
            </w:pPr>
          </w:p>
        </w:tc>
        <w:tc>
          <w:tcPr>
            <w:tcW w:w="1329" w:type="pct"/>
            <w:vAlign w:val="center"/>
          </w:tcPr>
          <w:p w14:paraId="63219774"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proofErr w:type="gramStart"/>
            <w:r w:rsidRPr="008A2411">
              <w:rPr>
                <w:rFonts w:ascii="Times New Roman" w:eastAsiaTheme="minorEastAsia" w:hAnsi="Times New Roman"/>
                <w:color w:val="000000" w:themeColor="text1"/>
                <w:sz w:val="21"/>
                <w:szCs w:val="21"/>
              </w:rPr>
              <w:t>加注区</w:t>
            </w:r>
            <w:proofErr w:type="gramEnd"/>
          </w:p>
        </w:tc>
        <w:tc>
          <w:tcPr>
            <w:tcW w:w="1074" w:type="pct"/>
            <w:vAlign w:val="center"/>
          </w:tcPr>
          <w:p w14:paraId="1ABC23F2"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42.82</w:t>
            </w:r>
          </w:p>
        </w:tc>
        <w:tc>
          <w:tcPr>
            <w:tcW w:w="1092" w:type="pct"/>
            <w:vAlign w:val="center"/>
          </w:tcPr>
          <w:p w14:paraId="3EBBB67C"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30</w:t>
            </w:r>
          </w:p>
        </w:tc>
      </w:tr>
      <w:tr w:rsidR="008A2411" w:rsidRPr="008A2411" w14:paraId="4C7C597C" w14:textId="77777777">
        <w:tc>
          <w:tcPr>
            <w:tcW w:w="755" w:type="pct"/>
            <w:vAlign w:val="center"/>
          </w:tcPr>
          <w:p w14:paraId="3D40F995"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4</w:t>
            </w:r>
          </w:p>
        </w:tc>
        <w:tc>
          <w:tcPr>
            <w:tcW w:w="748" w:type="pct"/>
            <w:vAlign w:val="center"/>
          </w:tcPr>
          <w:p w14:paraId="00B39975"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东南侧</w:t>
            </w:r>
          </w:p>
        </w:tc>
        <w:tc>
          <w:tcPr>
            <w:tcW w:w="1329" w:type="pct"/>
            <w:vAlign w:val="center"/>
          </w:tcPr>
          <w:p w14:paraId="0512C632"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LNG</w:t>
            </w:r>
            <w:r w:rsidRPr="008A2411">
              <w:rPr>
                <w:rFonts w:ascii="Times New Roman" w:eastAsiaTheme="minorEastAsia" w:hAnsi="Times New Roman"/>
                <w:color w:val="000000" w:themeColor="text1"/>
                <w:sz w:val="21"/>
                <w:szCs w:val="21"/>
              </w:rPr>
              <w:t>装车站</w:t>
            </w:r>
          </w:p>
        </w:tc>
        <w:tc>
          <w:tcPr>
            <w:tcW w:w="1074" w:type="pct"/>
            <w:vAlign w:val="center"/>
          </w:tcPr>
          <w:p w14:paraId="3C4A117B"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71.76</w:t>
            </w:r>
          </w:p>
        </w:tc>
        <w:tc>
          <w:tcPr>
            <w:tcW w:w="1092" w:type="pct"/>
            <w:vAlign w:val="center"/>
          </w:tcPr>
          <w:p w14:paraId="008D6C32"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25</w:t>
            </w:r>
          </w:p>
        </w:tc>
      </w:tr>
      <w:tr w:rsidR="008A2411" w:rsidRPr="008A2411" w14:paraId="0495CB53" w14:textId="77777777">
        <w:tc>
          <w:tcPr>
            <w:tcW w:w="755" w:type="pct"/>
            <w:vAlign w:val="center"/>
          </w:tcPr>
          <w:p w14:paraId="5981C10A"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5</w:t>
            </w:r>
          </w:p>
        </w:tc>
        <w:tc>
          <w:tcPr>
            <w:tcW w:w="748" w:type="pct"/>
            <w:vAlign w:val="center"/>
          </w:tcPr>
          <w:p w14:paraId="61D77D83"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东侧</w:t>
            </w:r>
          </w:p>
        </w:tc>
        <w:tc>
          <w:tcPr>
            <w:tcW w:w="1329" w:type="pct"/>
            <w:vAlign w:val="center"/>
          </w:tcPr>
          <w:p w14:paraId="22F70579"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LNG</w:t>
            </w:r>
            <w:r w:rsidRPr="008A2411">
              <w:rPr>
                <w:rFonts w:ascii="Times New Roman" w:eastAsiaTheme="minorEastAsia" w:hAnsi="Times New Roman"/>
                <w:color w:val="000000" w:themeColor="text1"/>
                <w:sz w:val="21"/>
                <w:szCs w:val="21"/>
              </w:rPr>
              <w:t>储罐</w:t>
            </w:r>
          </w:p>
        </w:tc>
        <w:tc>
          <w:tcPr>
            <w:tcW w:w="1074" w:type="pct"/>
            <w:vAlign w:val="center"/>
          </w:tcPr>
          <w:p w14:paraId="7999C899"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71.39</w:t>
            </w:r>
          </w:p>
        </w:tc>
        <w:tc>
          <w:tcPr>
            <w:tcW w:w="1092" w:type="pct"/>
            <w:vAlign w:val="center"/>
          </w:tcPr>
          <w:p w14:paraId="1BB18707"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60</w:t>
            </w:r>
          </w:p>
        </w:tc>
      </w:tr>
      <w:tr w:rsidR="008A2411" w:rsidRPr="008A2411" w14:paraId="1D6935A0" w14:textId="77777777">
        <w:tc>
          <w:tcPr>
            <w:tcW w:w="755" w:type="pct"/>
            <w:vAlign w:val="center"/>
          </w:tcPr>
          <w:p w14:paraId="01A5CFFA"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6</w:t>
            </w:r>
          </w:p>
        </w:tc>
        <w:tc>
          <w:tcPr>
            <w:tcW w:w="748" w:type="pct"/>
            <w:vAlign w:val="center"/>
          </w:tcPr>
          <w:p w14:paraId="51284C5D"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北侧</w:t>
            </w:r>
          </w:p>
        </w:tc>
        <w:tc>
          <w:tcPr>
            <w:tcW w:w="1329" w:type="pct"/>
            <w:vAlign w:val="center"/>
          </w:tcPr>
          <w:p w14:paraId="12065B83"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围墙</w:t>
            </w:r>
          </w:p>
        </w:tc>
        <w:tc>
          <w:tcPr>
            <w:tcW w:w="1074" w:type="pct"/>
            <w:vAlign w:val="center"/>
          </w:tcPr>
          <w:p w14:paraId="18F179B9"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30.17</w:t>
            </w:r>
          </w:p>
        </w:tc>
        <w:tc>
          <w:tcPr>
            <w:tcW w:w="1092" w:type="pct"/>
            <w:vAlign w:val="center"/>
          </w:tcPr>
          <w:p w14:paraId="02D76C7A"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25</w:t>
            </w:r>
          </w:p>
        </w:tc>
      </w:tr>
    </w:tbl>
    <w:p w14:paraId="683B0288" w14:textId="77777777" w:rsidR="00B0005F" w:rsidRPr="008A2411" w:rsidRDefault="00000000">
      <w:pPr>
        <w:adjustRightInd w:val="0"/>
        <w:snapToGrid w:val="0"/>
        <w:spacing w:line="360" w:lineRule="auto"/>
        <w:ind w:firstLineChars="200" w:firstLine="480"/>
        <w:rPr>
          <w:rFonts w:ascii="Times New Roman"/>
          <w:color w:val="000000" w:themeColor="text1"/>
          <w:kern w:val="2"/>
          <w:szCs w:val="24"/>
        </w:rPr>
      </w:pPr>
      <w:r w:rsidRPr="008A2411">
        <w:rPr>
          <w:rFonts w:ascii="Times New Roman"/>
          <w:color w:val="000000" w:themeColor="text1"/>
          <w:kern w:val="2"/>
          <w:szCs w:val="24"/>
        </w:rPr>
        <w:t>本项目液化天然气（</w:t>
      </w:r>
      <w:r w:rsidRPr="008A2411">
        <w:rPr>
          <w:rFonts w:ascii="Times New Roman"/>
          <w:color w:val="000000" w:themeColor="text1"/>
          <w:kern w:val="2"/>
          <w:szCs w:val="24"/>
        </w:rPr>
        <w:t>LNG</w:t>
      </w:r>
      <w:r w:rsidRPr="008A2411">
        <w:rPr>
          <w:rFonts w:ascii="Times New Roman"/>
          <w:color w:val="000000" w:themeColor="text1"/>
          <w:kern w:val="2"/>
          <w:szCs w:val="24"/>
        </w:rPr>
        <w:t>）储罐区西侧为工艺装置区，处于厂界区的北面，东侧为地面火炬，东南侧为危废库，南侧为</w:t>
      </w:r>
      <w:r w:rsidRPr="008A2411">
        <w:rPr>
          <w:rFonts w:ascii="Times New Roman"/>
          <w:color w:val="000000" w:themeColor="text1"/>
          <w:kern w:val="2"/>
          <w:szCs w:val="24"/>
        </w:rPr>
        <w:t xml:space="preserve"> LNG</w:t>
      </w:r>
      <w:r w:rsidRPr="008A2411">
        <w:rPr>
          <w:rFonts w:ascii="Times New Roman"/>
          <w:color w:val="000000" w:themeColor="text1"/>
          <w:kern w:val="2"/>
          <w:szCs w:val="24"/>
        </w:rPr>
        <w:t>装车站，西南侧为加注区。</w:t>
      </w:r>
      <w:r w:rsidRPr="008A2411">
        <w:rPr>
          <w:rFonts w:ascii="Times New Roman"/>
          <w:color w:val="000000" w:themeColor="text1"/>
          <w:kern w:val="2"/>
          <w:szCs w:val="24"/>
        </w:rPr>
        <w:t>LNG</w:t>
      </w:r>
      <w:r w:rsidRPr="008A2411">
        <w:rPr>
          <w:rFonts w:ascii="Times New Roman"/>
          <w:color w:val="000000" w:themeColor="text1"/>
          <w:kern w:val="2"/>
          <w:szCs w:val="24"/>
        </w:rPr>
        <w:t>储罐与周边厂内建构筑距离如下表</w:t>
      </w:r>
      <w:r w:rsidRPr="008A2411">
        <w:rPr>
          <w:rFonts w:ascii="Times New Roman"/>
          <w:color w:val="000000" w:themeColor="text1"/>
          <w:kern w:val="2"/>
          <w:szCs w:val="24"/>
        </w:rPr>
        <w:t>3.1-12</w:t>
      </w:r>
      <w:r w:rsidRPr="008A2411">
        <w:rPr>
          <w:rFonts w:ascii="Times New Roman"/>
          <w:color w:val="000000" w:themeColor="text1"/>
          <w:kern w:val="2"/>
          <w:szCs w:val="24"/>
        </w:rPr>
        <w:t>。</w:t>
      </w:r>
    </w:p>
    <w:p w14:paraId="3ADD1038" w14:textId="77777777" w:rsidR="00B0005F" w:rsidRPr="008A2411" w:rsidRDefault="00000000">
      <w:pPr>
        <w:pStyle w:val="WJ0"/>
        <w:spacing w:line="360" w:lineRule="auto"/>
        <w:rPr>
          <w:rFonts w:ascii="Times New Roman" w:hAnsi="Times New Roman"/>
          <w:color w:val="000000" w:themeColor="text1"/>
          <w:kern w:val="2"/>
          <w:lang w:bidi="ar"/>
        </w:rPr>
      </w:pPr>
      <w:r w:rsidRPr="008A2411">
        <w:rPr>
          <w:rFonts w:ascii="Times New Roman" w:hAnsi="Times New Roman"/>
          <w:color w:val="000000" w:themeColor="text1"/>
          <w:kern w:val="2"/>
          <w:lang w:bidi="ar"/>
        </w:rPr>
        <w:t>表</w:t>
      </w:r>
      <w:r w:rsidRPr="008A2411">
        <w:rPr>
          <w:rFonts w:ascii="Times New Roman" w:hAnsi="Times New Roman"/>
          <w:color w:val="000000" w:themeColor="text1"/>
          <w:kern w:val="2"/>
          <w:lang w:bidi="ar"/>
        </w:rPr>
        <w:t>3.1-12   LNG</w:t>
      </w:r>
      <w:r w:rsidRPr="008A2411">
        <w:rPr>
          <w:rFonts w:ascii="Times New Roman" w:hAnsi="Times New Roman"/>
          <w:color w:val="000000" w:themeColor="text1"/>
          <w:kern w:val="2"/>
          <w:lang w:bidi="ar"/>
        </w:rPr>
        <w:t>储罐区与周边厂内建构筑物间距一览表</w:t>
      </w:r>
    </w:p>
    <w:tbl>
      <w:tblPr>
        <w:tblStyle w:val="affff9"/>
        <w:tblW w:w="499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87"/>
        <w:gridCol w:w="1275"/>
        <w:gridCol w:w="2266"/>
        <w:gridCol w:w="1830"/>
        <w:gridCol w:w="1861"/>
      </w:tblGrid>
      <w:tr w:rsidR="008A2411" w:rsidRPr="008A2411" w14:paraId="25936301" w14:textId="77777777">
        <w:tc>
          <w:tcPr>
            <w:tcW w:w="755" w:type="pct"/>
            <w:vAlign w:val="center"/>
          </w:tcPr>
          <w:p w14:paraId="4DC41500"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序号</w:t>
            </w:r>
          </w:p>
        </w:tc>
        <w:tc>
          <w:tcPr>
            <w:tcW w:w="748" w:type="pct"/>
            <w:vAlign w:val="center"/>
          </w:tcPr>
          <w:p w14:paraId="766686F9"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方位</w:t>
            </w:r>
          </w:p>
        </w:tc>
        <w:tc>
          <w:tcPr>
            <w:tcW w:w="1329" w:type="pct"/>
            <w:vAlign w:val="center"/>
          </w:tcPr>
          <w:p w14:paraId="565506D3"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周边建筑物（</w:t>
            </w:r>
            <w:r w:rsidRPr="008A2411">
              <w:rPr>
                <w:rFonts w:ascii="Times New Roman" w:eastAsiaTheme="minorEastAsia" w:hAnsi="Times New Roman"/>
                <w:color w:val="000000" w:themeColor="text1"/>
                <w:sz w:val="21"/>
                <w:szCs w:val="21"/>
              </w:rPr>
              <w:t>m</w:t>
            </w:r>
            <w:r w:rsidRPr="008A2411">
              <w:rPr>
                <w:rFonts w:ascii="Times New Roman" w:eastAsiaTheme="minorEastAsia" w:hAnsi="Times New Roman"/>
                <w:color w:val="000000" w:themeColor="text1"/>
                <w:sz w:val="21"/>
                <w:szCs w:val="21"/>
              </w:rPr>
              <w:t>）</w:t>
            </w:r>
          </w:p>
        </w:tc>
        <w:tc>
          <w:tcPr>
            <w:tcW w:w="1074" w:type="pct"/>
            <w:vAlign w:val="center"/>
          </w:tcPr>
          <w:p w14:paraId="16F3BCF9"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设计距离（</w:t>
            </w:r>
            <w:r w:rsidRPr="008A2411">
              <w:rPr>
                <w:rFonts w:ascii="Times New Roman" w:eastAsiaTheme="minorEastAsia" w:hAnsi="Times New Roman"/>
                <w:color w:val="000000" w:themeColor="text1"/>
                <w:sz w:val="21"/>
                <w:szCs w:val="21"/>
              </w:rPr>
              <w:t>m</w:t>
            </w:r>
            <w:r w:rsidRPr="008A2411">
              <w:rPr>
                <w:rFonts w:ascii="Times New Roman" w:eastAsiaTheme="minorEastAsia" w:hAnsi="Times New Roman"/>
                <w:color w:val="000000" w:themeColor="text1"/>
                <w:sz w:val="21"/>
                <w:szCs w:val="21"/>
              </w:rPr>
              <w:t>）</w:t>
            </w:r>
          </w:p>
        </w:tc>
        <w:tc>
          <w:tcPr>
            <w:tcW w:w="1092" w:type="pct"/>
            <w:vAlign w:val="center"/>
          </w:tcPr>
          <w:p w14:paraId="1FA55AA6"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规范要求距离（</w:t>
            </w:r>
            <w:r w:rsidRPr="008A2411">
              <w:rPr>
                <w:rFonts w:ascii="Times New Roman" w:eastAsiaTheme="minorEastAsia" w:hAnsi="Times New Roman"/>
                <w:color w:val="000000" w:themeColor="text1"/>
                <w:sz w:val="21"/>
                <w:szCs w:val="21"/>
              </w:rPr>
              <w:t>m</w:t>
            </w:r>
            <w:r w:rsidRPr="008A2411">
              <w:rPr>
                <w:rFonts w:ascii="Times New Roman" w:eastAsiaTheme="minorEastAsia" w:hAnsi="Times New Roman"/>
                <w:color w:val="000000" w:themeColor="text1"/>
                <w:sz w:val="21"/>
                <w:szCs w:val="21"/>
              </w:rPr>
              <w:t>）</w:t>
            </w:r>
          </w:p>
        </w:tc>
      </w:tr>
      <w:tr w:rsidR="008A2411" w:rsidRPr="008A2411" w14:paraId="226C1504" w14:textId="77777777">
        <w:tc>
          <w:tcPr>
            <w:tcW w:w="755" w:type="pct"/>
            <w:vAlign w:val="center"/>
          </w:tcPr>
          <w:p w14:paraId="2249E8E5"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1</w:t>
            </w:r>
          </w:p>
        </w:tc>
        <w:tc>
          <w:tcPr>
            <w:tcW w:w="748" w:type="pct"/>
            <w:vAlign w:val="center"/>
          </w:tcPr>
          <w:p w14:paraId="08785044"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西侧</w:t>
            </w:r>
          </w:p>
        </w:tc>
        <w:tc>
          <w:tcPr>
            <w:tcW w:w="1329" w:type="pct"/>
            <w:vAlign w:val="center"/>
          </w:tcPr>
          <w:p w14:paraId="0AAC0797"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工艺装置区</w:t>
            </w:r>
          </w:p>
        </w:tc>
        <w:tc>
          <w:tcPr>
            <w:tcW w:w="1074" w:type="pct"/>
            <w:vAlign w:val="center"/>
          </w:tcPr>
          <w:p w14:paraId="04ABD8E4"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71.39</w:t>
            </w:r>
          </w:p>
        </w:tc>
        <w:tc>
          <w:tcPr>
            <w:tcW w:w="1092" w:type="pct"/>
            <w:vAlign w:val="center"/>
          </w:tcPr>
          <w:p w14:paraId="4FAC5CAC"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60</w:t>
            </w:r>
          </w:p>
        </w:tc>
      </w:tr>
      <w:tr w:rsidR="008A2411" w:rsidRPr="008A2411" w14:paraId="22EC9E24" w14:textId="77777777">
        <w:tc>
          <w:tcPr>
            <w:tcW w:w="755" w:type="pct"/>
            <w:vAlign w:val="center"/>
          </w:tcPr>
          <w:p w14:paraId="276F0ED3"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2</w:t>
            </w:r>
          </w:p>
        </w:tc>
        <w:tc>
          <w:tcPr>
            <w:tcW w:w="748" w:type="pct"/>
            <w:vAlign w:val="center"/>
          </w:tcPr>
          <w:p w14:paraId="6A987C5B"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北侧</w:t>
            </w:r>
          </w:p>
        </w:tc>
        <w:tc>
          <w:tcPr>
            <w:tcW w:w="1329" w:type="pct"/>
            <w:vAlign w:val="center"/>
          </w:tcPr>
          <w:p w14:paraId="76E7A8BD"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围墙</w:t>
            </w:r>
          </w:p>
        </w:tc>
        <w:tc>
          <w:tcPr>
            <w:tcW w:w="1074" w:type="pct"/>
            <w:vAlign w:val="center"/>
          </w:tcPr>
          <w:p w14:paraId="30415A44"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37</w:t>
            </w:r>
          </w:p>
        </w:tc>
        <w:tc>
          <w:tcPr>
            <w:tcW w:w="1092" w:type="pct"/>
            <w:vAlign w:val="center"/>
          </w:tcPr>
          <w:p w14:paraId="5630A311"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30</w:t>
            </w:r>
          </w:p>
        </w:tc>
      </w:tr>
      <w:tr w:rsidR="008A2411" w:rsidRPr="008A2411" w14:paraId="4DCCDFF4" w14:textId="77777777">
        <w:tc>
          <w:tcPr>
            <w:tcW w:w="755" w:type="pct"/>
            <w:vAlign w:val="center"/>
          </w:tcPr>
          <w:p w14:paraId="6A7B922F"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3</w:t>
            </w:r>
          </w:p>
        </w:tc>
        <w:tc>
          <w:tcPr>
            <w:tcW w:w="748" w:type="pct"/>
            <w:vAlign w:val="center"/>
          </w:tcPr>
          <w:p w14:paraId="21A3FD60"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东侧</w:t>
            </w:r>
          </w:p>
        </w:tc>
        <w:tc>
          <w:tcPr>
            <w:tcW w:w="1329" w:type="pct"/>
            <w:vAlign w:val="center"/>
          </w:tcPr>
          <w:p w14:paraId="2B3C1FB9"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地面火炬</w:t>
            </w:r>
          </w:p>
        </w:tc>
        <w:tc>
          <w:tcPr>
            <w:tcW w:w="1074" w:type="pct"/>
            <w:vAlign w:val="center"/>
          </w:tcPr>
          <w:p w14:paraId="3C99B980"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7</w:t>
            </w:r>
            <w:r w:rsidRPr="008A2411">
              <w:rPr>
                <w:rFonts w:ascii="Times New Roman" w:eastAsiaTheme="minorEastAsia" w:hAnsi="Times New Roman" w:hint="eastAsia"/>
                <w:color w:val="000000" w:themeColor="text1"/>
                <w:sz w:val="21"/>
                <w:szCs w:val="21"/>
              </w:rPr>
              <w:t>2</w:t>
            </w:r>
          </w:p>
        </w:tc>
        <w:tc>
          <w:tcPr>
            <w:tcW w:w="1092" w:type="pct"/>
            <w:vAlign w:val="center"/>
          </w:tcPr>
          <w:p w14:paraId="706E2D4D"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60</w:t>
            </w:r>
          </w:p>
        </w:tc>
      </w:tr>
      <w:tr w:rsidR="008A2411" w:rsidRPr="008A2411" w14:paraId="734E80FF" w14:textId="77777777">
        <w:tc>
          <w:tcPr>
            <w:tcW w:w="755" w:type="pct"/>
            <w:vAlign w:val="center"/>
          </w:tcPr>
          <w:p w14:paraId="47B86C95"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4</w:t>
            </w:r>
          </w:p>
        </w:tc>
        <w:tc>
          <w:tcPr>
            <w:tcW w:w="748" w:type="pct"/>
            <w:vAlign w:val="center"/>
          </w:tcPr>
          <w:p w14:paraId="092A5AE9"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南侧</w:t>
            </w:r>
          </w:p>
        </w:tc>
        <w:tc>
          <w:tcPr>
            <w:tcW w:w="1329" w:type="pct"/>
            <w:vAlign w:val="center"/>
          </w:tcPr>
          <w:p w14:paraId="38EE5AC3"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proofErr w:type="gramStart"/>
            <w:r w:rsidRPr="008A2411">
              <w:rPr>
                <w:rFonts w:ascii="Times New Roman" w:eastAsiaTheme="minorEastAsia" w:hAnsi="Times New Roman"/>
                <w:color w:val="000000" w:themeColor="text1"/>
                <w:sz w:val="21"/>
                <w:szCs w:val="21"/>
              </w:rPr>
              <w:t>危废间</w:t>
            </w:r>
            <w:proofErr w:type="gramEnd"/>
          </w:p>
        </w:tc>
        <w:tc>
          <w:tcPr>
            <w:tcW w:w="1074" w:type="pct"/>
            <w:vAlign w:val="center"/>
          </w:tcPr>
          <w:p w14:paraId="2B1CB492"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70.02</w:t>
            </w:r>
          </w:p>
        </w:tc>
        <w:tc>
          <w:tcPr>
            <w:tcW w:w="1092" w:type="pct"/>
            <w:vAlign w:val="center"/>
          </w:tcPr>
          <w:p w14:paraId="074814B1"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60</w:t>
            </w:r>
          </w:p>
        </w:tc>
      </w:tr>
      <w:tr w:rsidR="008A2411" w:rsidRPr="008A2411" w14:paraId="5431FE8F" w14:textId="77777777">
        <w:tc>
          <w:tcPr>
            <w:tcW w:w="755" w:type="pct"/>
            <w:vAlign w:val="center"/>
          </w:tcPr>
          <w:p w14:paraId="25B7A768"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5</w:t>
            </w:r>
          </w:p>
        </w:tc>
        <w:tc>
          <w:tcPr>
            <w:tcW w:w="748" w:type="pct"/>
            <w:vAlign w:val="center"/>
          </w:tcPr>
          <w:p w14:paraId="119E027F"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西南侧</w:t>
            </w:r>
          </w:p>
        </w:tc>
        <w:tc>
          <w:tcPr>
            <w:tcW w:w="1329" w:type="pct"/>
            <w:vAlign w:val="center"/>
          </w:tcPr>
          <w:p w14:paraId="75D28113"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LNG</w:t>
            </w:r>
            <w:r w:rsidRPr="008A2411">
              <w:rPr>
                <w:rFonts w:ascii="Times New Roman" w:eastAsiaTheme="minorEastAsia" w:hAnsi="Times New Roman"/>
                <w:color w:val="000000" w:themeColor="text1"/>
                <w:sz w:val="21"/>
                <w:szCs w:val="21"/>
              </w:rPr>
              <w:t>装车站</w:t>
            </w:r>
          </w:p>
        </w:tc>
        <w:tc>
          <w:tcPr>
            <w:tcW w:w="1074" w:type="pct"/>
            <w:vAlign w:val="center"/>
          </w:tcPr>
          <w:p w14:paraId="27AEA5EC"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55</w:t>
            </w:r>
          </w:p>
        </w:tc>
        <w:tc>
          <w:tcPr>
            <w:tcW w:w="1092" w:type="pct"/>
            <w:vAlign w:val="center"/>
          </w:tcPr>
          <w:p w14:paraId="7220177D"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45</w:t>
            </w:r>
          </w:p>
        </w:tc>
      </w:tr>
      <w:tr w:rsidR="008A2411" w:rsidRPr="008A2411" w14:paraId="2E6F61D0" w14:textId="77777777">
        <w:tc>
          <w:tcPr>
            <w:tcW w:w="755" w:type="pct"/>
            <w:vAlign w:val="center"/>
          </w:tcPr>
          <w:p w14:paraId="1CFFA05F"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6</w:t>
            </w:r>
          </w:p>
        </w:tc>
        <w:tc>
          <w:tcPr>
            <w:tcW w:w="748" w:type="pct"/>
            <w:vAlign w:val="center"/>
          </w:tcPr>
          <w:p w14:paraId="15B82FFC"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西南侧</w:t>
            </w:r>
          </w:p>
        </w:tc>
        <w:tc>
          <w:tcPr>
            <w:tcW w:w="1329" w:type="pct"/>
            <w:vAlign w:val="center"/>
          </w:tcPr>
          <w:p w14:paraId="5615975C"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proofErr w:type="gramStart"/>
            <w:r w:rsidRPr="008A2411">
              <w:rPr>
                <w:rFonts w:ascii="Times New Roman" w:eastAsiaTheme="minorEastAsia" w:hAnsi="Times New Roman"/>
                <w:color w:val="000000" w:themeColor="text1"/>
                <w:sz w:val="21"/>
                <w:szCs w:val="21"/>
              </w:rPr>
              <w:t>加注区</w:t>
            </w:r>
            <w:proofErr w:type="gramEnd"/>
          </w:p>
        </w:tc>
        <w:tc>
          <w:tcPr>
            <w:tcW w:w="1074" w:type="pct"/>
            <w:vAlign w:val="center"/>
          </w:tcPr>
          <w:p w14:paraId="155C82D6"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78.53</w:t>
            </w:r>
          </w:p>
        </w:tc>
        <w:tc>
          <w:tcPr>
            <w:tcW w:w="1092" w:type="pct"/>
            <w:vAlign w:val="center"/>
          </w:tcPr>
          <w:p w14:paraId="1913FA20"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60</w:t>
            </w:r>
          </w:p>
        </w:tc>
      </w:tr>
    </w:tbl>
    <w:p w14:paraId="02082748" w14:textId="77777777" w:rsidR="00B0005F" w:rsidRPr="008A2411" w:rsidRDefault="00000000">
      <w:pPr>
        <w:adjustRightInd w:val="0"/>
        <w:snapToGrid w:val="0"/>
        <w:spacing w:line="360" w:lineRule="auto"/>
        <w:ind w:firstLineChars="200" w:firstLine="480"/>
        <w:rPr>
          <w:rFonts w:ascii="Times New Roman"/>
          <w:color w:val="000000" w:themeColor="text1"/>
          <w:kern w:val="2"/>
          <w:szCs w:val="24"/>
        </w:rPr>
      </w:pPr>
      <w:r w:rsidRPr="008A2411">
        <w:rPr>
          <w:rFonts w:ascii="Times New Roman"/>
          <w:color w:val="000000" w:themeColor="text1"/>
          <w:kern w:val="2"/>
          <w:szCs w:val="24"/>
        </w:rPr>
        <w:t>本项目</w:t>
      </w:r>
      <w:r w:rsidRPr="008A2411">
        <w:rPr>
          <w:rFonts w:ascii="Times New Roman"/>
          <w:color w:val="000000" w:themeColor="text1"/>
          <w:kern w:val="2"/>
          <w:szCs w:val="24"/>
        </w:rPr>
        <w:t>LNG</w:t>
      </w:r>
      <w:r w:rsidRPr="008A2411">
        <w:rPr>
          <w:rFonts w:ascii="Times New Roman"/>
          <w:color w:val="000000" w:themeColor="text1"/>
          <w:kern w:val="2"/>
          <w:szCs w:val="24"/>
        </w:rPr>
        <w:t>装车站位于厂区东南侧，设有独立的出入口，位于</w:t>
      </w:r>
      <w:r w:rsidRPr="008A2411">
        <w:rPr>
          <w:rFonts w:ascii="Times New Roman"/>
          <w:color w:val="000000" w:themeColor="text1"/>
          <w:kern w:val="2"/>
          <w:szCs w:val="24"/>
        </w:rPr>
        <w:t xml:space="preserve"> LNG</w:t>
      </w:r>
      <w:r w:rsidRPr="008A2411">
        <w:rPr>
          <w:rFonts w:ascii="Times New Roman"/>
          <w:color w:val="000000" w:themeColor="text1"/>
          <w:kern w:val="2"/>
          <w:szCs w:val="24"/>
        </w:rPr>
        <w:t>装车站西南侧，该项目共设</w:t>
      </w:r>
      <w:r w:rsidRPr="008A2411">
        <w:rPr>
          <w:rFonts w:ascii="Times New Roman"/>
          <w:color w:val="000000" w:themeColor="text1"/>
          <w:kern w:val="2"/>
          <w:szCs w:val="24"/>
        </w:rPr>
        <w:t>6</w:t>
      </w:r>
      <w:r w:rsidRPr="008A2411">
        <w:rPr>
          <w:rFonts w:ascii="Times New Roman"/>
          <w:color w:val="000000" w:themeColor="text1"/>
          <w:kern w:val="2"/>
          <w:szCs w:val="24"/>
        </w:rPr>
        <w:t>个装车台。西侧为加注区，西北侧为工艺装置区，北侧为</w:t>
      </w:r>
      <w:r w:rsidRPr="008A2411">
        <w:rPr>
          <w:rFonts w:ascii="Times New Roman"/>
          <w:color w:val="000000" w:themeColor="text1"/>
          <w:kern w:val="2"/>
          <w:szCs w:val="24"/>
        </w:rPr>
        <w:t xml:space="preserve">LNG </w:t>
      </w:r>
      <w:r w:rsidRPr="008A2411">
        <w:rPr>
          <w:rFonts w:ascii="Times New Roman"/>
          <w:color w:val="000000" w:themeColor="text1"/>
          <w:kern w:val="2"/>
          <w:szCs w:val="24"/>
        </w:rPr>
        <w:t>储罐区，东北侧为地面火炬系统，东侧为</w:t>
      </w:r>
      <w:proofErr w:type="gramStart"/>
      <w:r w:rsidRPr="008A2411">
        <w:rPr>
          <w:rFonts w:ascii="Times New Roman"/>
          <w:color w:val="000000" w:themeColor="text1"/>
          <w:kern w:val="2"/>
          <w:szCs w:val="24"/>
        </w:rPr>
        <w:t>危废间</w:t>
      </w:r>
      <w:proofErr w:type="gramEnd"/>
      <w:r w:rsidRPr="008A2411">
        <w:rPr>
          <w:rFonts w:ascii="Times New Roman"/>
          <w:color w:val="000000" w:themeColor="text1"/>
          <w:kern w:val="2"/>
          <w:szCs w:val="24"/>
        </w:rPr>
        <w:t>，南侧为厂区围墙。装卸区与周边厂内建构筑距离如下表</w:t>
      </w:r>
      <w:r w:rsidRPr="008A2411">
        <w:rPr>
          <w:rFonts w:ascii="Times New Roman"/>
          <w:color w:val="000000" w:themeColor="text1"/>
          <w:kern w:val="2"/>
          <w:szCs w:val="24"/>
        </w:rPr>
        <w:t>3.1-13</w:t>
      </w:r>
      <w:r w:rsidRPr="008A2411">
        <w:rPr>
          <w:rFonts w:ascii="Times New Roman"/>
          <w:color w:val="000000" w:themeColor="text1"/>
          <w:kern w:val="2"/>
          <w:szCs w:val="24"/>
        </w:rPr>
        <w:t>。</w:t>
      </w:r>
    </w:p>
    <w:p w14:paraId="0DD7A9E9" w14:textId="77777777" w:rsidR="00B0005F" w:rsidRPr="008A2411" w:rsidRDefault="00000000">
      <w:pPr>
        <w:pStyle w:val="WJ0"/>
        <w:spacing w:line="360" w:lineRule="auto"/>
        <w:rPr>
          <w:rFonts w:ascii="Times New Roman" w:hAnsi="Times New Roman"/>
          <w:color w:val="000000" w:themeColor="text1"/>
          <w:kern w:val="2"/>
          <w:lang w:bidi="ar"/>
        </w:rPr>
      </w:pPr>
      <w:r w:rsidRPr="008A2411">
        <w:rPr>
          <w:rFonts w:ascii="Times New Roman" w:hAnsi="Times New Roman"/>
          <w:color w:val="000000" w:themeColor="text1"/>
          <w:kern w:val="2"/>
          <w:lang w:bidi="ar"/>
        </w:rPr>
        <w:t>表</w:t>
      </w:r>
      <w:r w:rsidRPr="008A2411">
        <w:rPr>
          <w:rFonts w:ascii="Times New Roman" w:hAnsi="Times New Roman"/>
          <w:color w:val="000000" w:themeColor="text1"/>
          <w:kern w:val="2"/>
          <w:lang w:bidi="ar"/>
        </w:rPr>
        <w:t>3.1-13  LNG</w:t>
      </w:r>
      <w:r w:rsidRPr="008A2411">
        <w:rPr>
          <w:rFonts w:ascii="Times New Roman" w:hAnsi="Times New Roman"/>
          <w:color w:val="000000" w:themeColor="text1"/>
          <w:kern w:val="2"/>
          <w:lang w:bidi="ar"/>
        </w:rPr>
        <w:t>装车站与周边厂内建构筑物间距一览表</w:t>
      </w:r>
    </w:p>
    <w:tbl>
      <w:tblPr>
        <w:tblStyle w:val="affff9"/>
        <w:tblW w:w="499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87"/>
        <w:gridCol w:w="1275"/>
        <w:gridCol w:w="2266"/>
        <w:gridCol w:w="1830"/>
        <w:gridCol w:w="1861"/>
      </w:tblGrid>
      <w:tr w:rsidR="008A2411" w:rsidRPr="008A2411" w14:paraId="12532920" w14:textId="77777777">
        <w:tc>
          <w:tcPr>
            <w:tcW w:w="755" w:type="pct"/>
            <w:vAlign w:val="center"/>
          </w:tcPr>
          <w:p w14:paraId="259DFE54"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序号</w:t>
            </w:r>
          </w:p>
        </w:tc>
        <w:tc>
          <w:tcPr>
            <w:tcW w:w="748" w:type="pct"/>
            <w:vAlign w:val="center"/>
          </w:tcPr>
          <w:p w14:paraId="3932AD37"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方位</w:t>
            </w:r>
          </w:p>
        </w:tc>
        <w:tc>
          <w:tcPr>
            <w:tcW w:w="1329" w:type="pct"/>
            <w:vAlign w:val="center"/>
          </w:tcPr>
          <w:p w14:paraId="682BE282"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周边建筑物（</w:t>
            </w:r>
            <w:r w:rsidRPr="008A2411">
              <w:rPr>
                <w:rFonts w:ascii="Times New Roman" w:eastAsiaTheme="minorEastAsia" w:hAnsi="Times New Roman"/>
                <w:color w:val="000000" w:themeColor="text1"/>
                <w:sz w:val="21"/>
                <w:szCs w:val="21"/>
              </w:rPr>
              <w:t>m</w:t>
            </w:r>
            <w:r w:rsidRPr="008A2411">
              <w:rPr>
                <w:rFonts w:ascii="Times New Roman" w:eastAsiaTheme="minorEastAsia" w:hAnsi="Times New Roman"/>
                <w:color w:val="000000" w:themeColor="text1"/>
                <w:sz w:val="21"/>
                <w:szCs w:val="21"/>
              </w:rPr>
              <w:t>）</w:t>
            </w:r>
          </w:p>
        </w:tc>
        <w:tc>
          <w:tcPr>
            <w:tcW w:w="1074" w:type="pct"/>
            <w:vAlign w:val="center"/>
          </w:tcPr>
          <w:p w14:paraId="769D72A9"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设计距离（</w:t>
            </w:r>
            <w:r w:rsidRPr="008A2411">
              <w:rPr>
                <w:rFonts w:ascii="Times New Roman" w:eastAsiaTheme="minorEastAsia" w:hAnsi="Times New Roman"/>
                <w:color w:val="000000" w:themeColor="text1"/>
                <w:sz w:val="21"/>
                <w:szCs w:val="21"/>
              </w:rPr>
              <w:t>m</w:t>
            </w:r>
            <w:r w:rsidRPr="008A2411">
              <w:rPr>
                <w:rFonts w:ascii="Times New Roman" w:eastAsiaTheme="minorEastAsia" w:hAnsi="Times New Roman"/>
                <w:color w:val="000000" w:themeColor="text1"/>
                <w:sz w:val="21"/>
                <w:szCs w:val="21"/>
              </w:rPr>
              <w:t>）</w:t>
            </w:r>
          </w:p>
        </w:tc>
        <w:tc>
          <w:tcPr>
            <w:tcW w:w="1092" w:type="pct"/>
            <w:vAlign w:val="center"/>
          </w:tcPr>
          <w:p w14:paraId="1144AAA5"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规范要求距离（</w:t>
            </w:r>
            <w:r w:rsidRPr="008A2411">
              <w:rPr>
                <w:rFonts w:ascii="Times New Roman" w:eastAsiaTheme="minorEastAsia" w:hAnsi="Times New Roman"/>
                <w:color w:val="000000" w:themeColor="text1"/>
                <w:sz w:val="21"/>
                <w:szCs w:val="21"/>
              </w:rPr>
              <w:t>m</w:t>
            </w:r>
            <w:r w:rsidRPr="008A2411">
              <w:rPr>
                <w:rFonts w:ascii="Times New Roman" w:eastAsiaTheme="minorEastAsia" w:hAnsi="Times New Roman"/>
                <w:color w:val="000000" w:themeColor="text1"/>
                <w:sz w:val="21"/>
                <w:szCs w:val="21"/>
              </w:rPr>
              <w:t>）</w:t>
            </w:r>
          </w:p>
        </w:tc>
      </w:tr>
      <w:tr w:rsidR="008A2411" w:rsidRPr="008A2411" w14:paraId="10418CB9" w14:textId="77777777">
        <w:tc>
          <w:tcPr>
            <w:tcW w:w="755" w:type="pct"/>
            <w:vAlign w:val="center"/>
          </w:tcPr>
          <w:p w14:paraId="1B5D7869"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1</w:t>
            </w:r>
          </w:p>
        </w:tc>
        <w:tc>
          <w:tcPr>
            <w:tcW w:w="748" w:type="pct"/>
            <w:vAlign w:val="center"/>
          </w:tcPr>
          <w:p w14:paraId="6BE10811"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西侧</w:t>
            </w:r>
          </w:p>
        </w:tc>
        <w:tc>
          <w:tcPr>
            <w:tcW w:w="1329" w:type="pct"/>
            <w:vAlign w:val="center"/>
          </w:tcPr>
          <w:p w14:paraId="32FF6FA9"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proofErr w:type="gramStart"/>
            <w:r w:rsidRPr="008A2411">
              <w:rPr>
                <w:rFonts w:ascii="Times New Roman" w:eastAsiaTheme="minorEastAsia" w:hAnsi="Times New Roman"/>
                <w:color w:val="000000" w:themeColor="text1"/>
                <w:sz w:val="21"/>
                <w:szCs w:val="21"/>
              </w:rPr>
              <w:t>加注区</w:t>
            </w:r>
            <w:proofErr w:type="gramEnd"/>
          </w:p>
        </w:tc>
        <w:tc>
          <w:tcPr>
            <w:tcW w:w="1074" w:type="pct"/>
            <w:vAlign w:val="center"/>
          </w:tcPr>
          <w:p w14:paraId="0C6B6710"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31.2</w:t>
            </w:r>
          </w:p>
        </w:tc>
        <w:tc>
          <w:tcPr>
            <w:tcW w:w="1092" w:type="pct"/>
            <w:vAlign w:val="center"/>
          </w:tcPr>
          <w:p w14:paraId="0F5D7AED"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25</w:t>
            </w:r>
          </w:p>
        </w:tc>
      </w:tr>
      <w:tr w:rsidR="008A2411" w:rsidRPr="008A2411" w14:paraId="50C76E16" w14:textId="77777777">
        <w:tc>
          <w:tcPr>
            <w:tcW w:w="755" w:type="pct"/>
            <w:vAlign w:val="center"/>
          </w:tcPr>
          <w:p w14:paraId="3DC058A5"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2</w:t>
            </w:r>
          </w:p>
        </w:tc>
        <w:tc>
          <w:tcPr>
            <w:tcW w:w="748" w:type="pct"/>
            <w:vAlign w:val="center"/>
          </w:tcPr>
          <w:p w14:paraId="171577B4"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西北侧</w:t>
            </w:r>
          </w:p>
        </w:tc>
        <w:tc>
          <w:tcPr>
            <w:tcW w:w="1329" w:type="pct"/>
            <w:vAlign w:val="center"/>
          </w:tcPr>
          <w:p w14:paraId="2D9DEBFD"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工艺装置区</w:t>
            </w:r>
          </w:p>
        </w:tc>
        <w:tc>
          <w:tcPr>
            <w:tcW w:w="1074" w:type="pct"/>
            <w:vAlign w:val="center"/>
          </w:tcPr>
          <w:p w14:paraId="1E731A36"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71.76</w:t>
            </w:r>
          </w:p>
        </w:tc>
        <w:tc>
          <w:tcPr>
            <w:tcW w:w="1092" w:type="pct"/>
            <w:vAlign w:val="center"/>
          </w:tcPr>
          <w:p w14:paraId="40C1402A"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25</w:t>
            </w:r>
          </w:p>
        </w:tc>
      </w:tr>
      <w:tr w:rsidR="008A2411" w:rsidRPr="008A2411" w14:paraId="35274A5F" w14:textId="77777777">
        <w:tc>
          <w:tcPr>
            <w:tcW w:w="755" w:type="pct"/>
            <w:vAlign w:val="center"/>
          </w:tcPr>
          <w:p w14:paraId="0DD7323D"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3</w:t>
            </w:r>
          </w:p>
        </w:tc>
        <w:tc>
          <w:tcPr>
            <w:tcW w:w="748" w:type="pct"/>
            <w:vAlign w:val="center"/>
          </w:tcPr>
          <w:p w14:paraId="13AF0563"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北侧</w:t>
            </w:r>
          </w:p>
        </w:tc>
        <w:tc>
          <w:tcPr>
            <w:tcW w:w="1329" w:type="pct"/>
            <w:vAlign w:val="center"/>
          </w:tcPr>
          <w:p w14:paraId="3C6E556C"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LNG</w:t>
            </w:r>
            <w:r w:rsidRPr="008A2411">
              <w:rPr>
                <w:rFonts w:ascii="Times New Roman" w:eastAsiaTheme="minorEastAsia" w:hAnsi="Times New Roman"/>
                <w:color w:val="000000" w:themeColor="text1"/>
                <w:sz w:val="21"/>
                <w:szCs w:val="21"/>
              </w:rPr>
              <w:t>储罐区</w:t>
            </w:r>
          </w:p>
        </w:tc>
        <w:tc>
          <w:tcPr>
            <w:tcW w:w="1074" w:type="pct"/>
            <w:vAlign w:val="center"/>
          </w:tcPr>
          <w:p w14:paraId="6FCFDB63"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55</w:t>
            </w:r>
          </w:p>
        </w:tc>
        <w:tc>
          <w:tcPr>
            <w:tcW w:w="1092" w:type="pct"/>
            <w:vAlign w:val="center"/>
          </w:tcPr>
          <w:p w14:paraId="142045ED"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45</w:t>
            </w:r>
          </w:p>
        </w:tc>
      </w:tr>
      <w:tr w:rsidR="008A2411" w:rsidRPr="008A2411" w14:paraId="29F1924F" w14:textId="77777777">
        <w:tc>
          <w:tcPr>
            <w:tcW w:w="755" w:type="pct"/>
            <w:vAlign w:val="center"/>
          </w:tcPr>
          <w:p w14:paraId="3F5CFDF9"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4</w:t>
            </w:r>
          </w:p>
        </w:tc>
        <w:tc>
          <w:tcPr>
            <w:tcW w:w="748" w:type="pct"/>
            <w:vAlign w:val="center"/>
          </w:tcPr>
          <w:p w14:paraId="6D87FCAA"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东北侧</w:t>
            </w:r>
          </w:p>
        </w:tc>
        <w:tc>
          <w:tcPr>
            <w:tcW w:w="1329" w:type="pct"/>
            <w:vAlign w:val="center"/>
          </w:tcPr>
          <w:p w14:paraId="14F50357"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地面火炬系统</w:t>
            </w:r>
          </w:p>
        </w:tc>
        <w:tc>
          <w:tcPr>
            <w:tcW w:w="1074" w:type="pct"/>
            <w:vAlign w:val="center"/>
          </w:tcPr>
          <w:p w14:paraId="168DE491"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109.08</w:t>
            </w:r>
          </w:p>
        </w:tc>
        <w:tc>
          <w:tcPr>
            <w:tcW w:w="1092" w:type="pct"/>
            <w:vAlign w:val="center"/>
          </w:tcPr>
          <w:p w14:paraId="5C865ED9"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25</w:t>
            </w:r>
          </w:p>
        </w:tc>
      </w:tr>
      <w:tr w:rsidR="008A2411" w:rsidRPr="008A2411" w14:paraId="7E515926" w14:textId="77777777">
        <w:tc>
          <w:tcPr>
            <w:tcW w:w="755" w:type="pct"/>
            <w:vAlign w:val="center"/>
          </w:tcPr>
          <w:p w14:paraId="3386B49F"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5</w:t>
            </w:r>
          </w:p>
        </w:tc>
        <w:tc>
          <w:tcPr>
            <w:tcW w:w="748" w:type="pct"/>
            <w:vAlign w:val="center"/>
          </w:tcPr>
          <w:p w14:paraId="51CBFC05"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东侧</w:t>
            </w:r>
          </w:p>
        </w:tc>
        <w:tc>
          <w:tcPr>
            <w:tcW w:w="1329" w:type="pct"/>
            <w:vAlign w:val="center"/>
          </w:tcPr>
          <w:p w14:paraId="199037DE"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proofErr w:type="gramStart"/>
            <w:r w:rsidRPr="008A2411">
              <w:rPr>
                <w:rFonts w:ascii="Times New Roman" w:eastAsiaTheme="minorEastAsia" w:hAnsi="Times New Roman"/>
                <w:color w:val="000000" w:themeColor="text1"/>
                <w:sz w:val="21"/>
                <w:szCs w:val="21"/>
              </w:rPr>
              <w:t>危废间</w:t>
            </w:r>
            <w:proofErr w:type="gramEnd"/>
          </w:p>
        </w:tc>
        <w:tc>
          <w:tcPr>
            <w:tcW w:w="1074" w:type="pct"/>
            <w:vAlign w:val="center"/>
          </w:tcPr>
          <w:p w14:paraId="4CBBF047"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44.37</w:t>
            </w:r>
          </w:p>
        </w:tc>
        <w:tc>
          <w:tcPr>
            <w:tcW w:w="1092" w:type="pct"/>
            <w:vAlign w:val="center"/>
          </w:tcPr>
          <w:p w14:paraId="60FDA936"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25</w:t>
            </w:r>
          </w:p>
        </w:tc>
      </w:tr>
      <w:tr w:rsidR="00B0005F" w:rsidRPr="008A2411" w14:paraId="1AF93DF9" w14:textId="77777777">
        <w:tc>
          <w:tcPr>
            <w:tcW w:w="755" w:type="pct"/>
            <w:vAlign w:val="center"/>
          </w:tcPr>
          <w:p w14:paraId="11D61386"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6</w:t>
            </w:r>
          </w:p>
        </w:tc>
        <w:tc>
          <w:tcPr>
            <w:tcW w:w="748" w:type="pct"/>
            <w:vAlign w:val="center"/>
          </w:tcPr>
          <w:p w14:paraId="5CB7B3F3"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南侧</w:t>
            </w:r>
          </w:p>
        </w:tc>
        <w:tc>
          <w:tcPr>
            <w:tcW w:w="1329" w:type="pct"/>
            <w:vAlign w:val="center"/>
          </w:tcPr>
          <w:p w14:paraId="0E7F5AEE"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围墙</w:t>
            </w:r>
          </w:p>
        </w:tc>
        <w:tc>
          <w:tcPr>
            <w:tcW w:w="1074" w:type="pct"/>
            <w:vAlign w:val="center"/>
          </w:tcPr>
          <w:p w14:paraId="46D01448"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88.35</w:t>
            </w:r>
          </w:p>
        </w:tc>
        <w:tc>
          <w:tcPr>
            <w:tcW w:w="1092" w:type="pct"/>
            <w:vAlign w:val="center"/>
          </w:tcPr>
          <w:p w14:paraId="37A6F45C"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25</w:t>
            </w:r>
          </w:p>
        </w:tc>
      </w:tr>
    </w:tbl>
    <w:p w14:paraId="66CB370C" w14:textId="77777777" w:rsidR="00B0005F" w:rsidRPr="008A2411" w:rsidRDefault="00B0005F">
      <w:pPr>
        <w:pStyle w:val="TOC2"/>
        <w:rPr>
          <w:rFonts w:ascii="Times New Roman" w:hAnsi="Times New Roman" w:cs="Times New Roman"/>
          <w:color w:val="000000" w:themeColor="text1"/>
          <w:kern w:val="2"/>
          <w:szCs w:val="24"/>
        </w:rPr>
      </w:pPr>
    </w:p>
    <w:p w14:paraId="1D0BAD0A" w14:textId="77777777" w:rsidR="00B0005F" w:rsidRPr="008A2411" w:rsidRDefault="00000000">
      <w:pPr>
        <w:adjustRightInd w:val="0"/>
        <w:snapToGrid w:val="0"/>
        <w:spacing w:line="360" w:lineRule="auto"/>
        <w:ind w:firstLineChars="200" w:firstLine="480"/>
        <w:rPr>
          <w:rFonts w:ascii="Times New Roman"/>
          <w:color w:val="000000" w:themeColor="text1"/>
          <w:kern w:val="2"/>
          <w:szCs w:val="24"/>
        </w:rPr>
      </w:pPr>
      <w:r w:rsidRPr="008A2411">
        <w:rPr>
          <w:rFonts w:ascii="Times New Roman"/>
          <w:color w:val="000000" w:themeColor="text1"/>
          <w:kern w:val="2"/>
          <w:szCs w:val="24"/>
        </w:rPr>
        <w:t>本项目加注区位于厂区南侧，其西侧为污水处理设施及事故水池，北侧为工艺装置区，东北侧为</w:t>
      </w:r>
      <w:r w:rsidRPr="008A2411">
        <w:rPr>
          <w:rFonts w:ascii="Times New Roman"/>
          <w:color w:val="000000" w:themeColor="text1"/>
          <w:kern w:val="2"/>
          <w:szCs w:val="24"/>
        </w:rPr>
        <w:t xml:space="preserve"> LNG</w:t>
      </w:r>
      <w:r w:rsidRPr="008A2411">
        <w:rPr>
          <w:rFonts w:ascii="Times New Roman"/>
          <w:color w:val="000000" w:themeColor="text1"/>
          <w:kern w:val="2"/>
          <w:szCs w:val="24"/>
        </w:rPr>
        <w:t>储罐区，东侧为</w:t>
      </w:r>
      <w:r w:rsidRPr="008A2411">
        <w:rPr>
          <w:rFonts w:ascii="Times New Roman"/>
          <w:color w:val="000000" w:themeColor="text1"/>
          <w:kern w:val="2"/>
          <w:szCs w:val="24"/>
        </w:rPr>
        <w:t xml:space="preserve"> LNG</w:t>
      </w:r>
      <w:r w:rsidRPr="008A2411">
        <w:rPr>
          <w:rFonts w:ascii="Times New Roman"/>
          <w:color w:val="000000" w:themeColor="text1"/>
          <w:kern w:val="2"/>
          <w:szCs w:val="24"/>
        </w:rPr>
        <w:t>装车站，东南侧为装车服务站房。加注区区与周边厂内建构筑距离如下表</w:t>
      </w:r>
      <w:r w:rsidRPr="008A2411">
        <w:rPr>
          <w:rFonts w:ascii="Times New Roman"/>
          <w:color w:val="000000" w:themeColor="text1"/>
          <w:kern w:val="2"/>
          <w:szCs w:val="24"/>
        </w:rPr>
        <w:t>3.1-14</w:t>
      </w:r>
      <w:r w:rsidRPr="008A2411">
        <w:rPr>
          <w:rFonts w:ascii="Times New Roman"/>
          <w:color w:val="000000" w:themeColor="text1"/>
          <w:kern w:val="2"/>
          <w:szCs w:val="24"/>
        </w:rPr>
        <w:t>。</w:t>
      </w:r>
    </w:p>
    <w:p w14:paraId="63FA1EC4" w14:textId="77777777" w:rsidR="00B0005F" w:rsidRPr="008A2411" w:rsidRDefault="00000000">
      <w:pPr>
        <w:pStyle w:val="WJ0"/>
        <w:spacing w:line="360" w:lineRule="auto"/>
        <w:rPr>
          <w:rFonts w:ascii="Times New Roman" w:hAnsi="Times New Roman"/>
          <w:color w:val="000000" w:themeColor="text1"/>
          <w:kern w:val="2"/>
          <w:lang w:bidi="ar"/>
        </w:rPr>
      </w:pPr>
      <w:r w:rsidRPr="008A2411">
        <w:rPr>
          <w:rFonts w:ascii="Times New Roman" w:hAnsi="Times New Roman"/>
          <w:color w:val="000000" w:themeColor="text1"/>
          <w:kern w:val="2"/>
          <w:lang w:bidi="ar"/>
        </w:rPr>
        <w:t>表</w:t>
      </w:r>
      <w:r w:rsidRPr="008A2411">
        <w:rPr>
          <w:rFonts w:ascii="Times New Roman" w:hAnsi="Times New Roman"/>
          <w:color w:val="000000" w:themeColor="text1"/>
          <w:kern w:val="2"/>
          <w:lang w:bidi="ar"/>
        </w:rPr>
        <w:t xml:space="preserve">3.1-14  </w:t>
      </w:r>
      <w:proofErr w:type="gramStart"/>
      <w:r w:rsidRPr="008A2411">
        <w:rPr>
          <w:rFonts w:ascii="Times New Roman" w:hAnsi="Times New Roman"/>
          <w:color w:val="000000" w:themeColor="text1"/>
          <w:kern w:val="2"/>
          <w:lang w:bidi="ar"/>
        </w:rPr>
        <w:t>加注区</w:t>
      </w:r>
      <w:proofErr w:type="gramEnd"/>
      <w:r w:rsidRPr="008A2411">
        <w:rPr>
          <w:rFonts w:ascii="Times New Roman" w:hAnsi="Times New Roman"/>
          <w:color w:val="000000" w:themeColor="text1"/>
          <w:kern w:val="2"/>
          <w:lang w:bidi="ar"/>
        </w:rPr>
        <w:t>与周边厂内建构筑物间距一览表</w:t>
      </w:r>
    </w:p>
    <w:tbl>
      <w:tblPr>
        <w:tblStyle w:val="affff9"/>
        <w:tblW w:w="499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87"/>
        <w:gridCol w:w="1275"/>
        <w:gridCol w:w="2266"/>
        <w:gridCol w:w="1830"/>
        <w:gridCol w:w="1861"/>
      </w:tblGrid>
      <w:tr w:rsidR="008A2411" w:rsidRPr="008A2411" w14:paraId="6ACFDD83" w14:textId="77777777">
        <w:tc>
          <w:tcPr>
            <w:tcW w:w="755" w:type="pct"/>
            <w:vAlign w:val="center"/>
          </w:tcPr>
          <w:p w14:paraId="0D7B1FA5"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序号</w:t>
            </w:r>
          </w:p>
        </w:tc>
        <w:tc>
          <w:tcPr>
            <w:tcW w:w="748" w:type="pct"/>
            <w:vAlign w:val="center"/>
          </w:tcPr>
          <w:p w14:paraId="4779B9A2"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方位</w:t>
            </w:r>
          </w:p>
        </w:tc>
        <w:tc>
          <w:tcPr>
            <w:tcW w:w="1329" w:type="pct"/>
            <w:vAlign w:val="center"/>
          </w:tcPr>
          <w:p w14:paraId="23D35AA3"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周边建筑物（</w:t>
            </w:r>
            <w:r w:rsidRPr="008A2411">
              <w:rPr>
                <w:rFonts w:ascii="Times New Roman" w:eastAsiaTheme="minorEastAsia" w:hAnsi="Times New Roman"/>
                <w:color w:val="000000" w:themeColor="text1"/>
                <w:sz w:val="21"/>
                <w:szCs w:val="21"/>
              </w:rPr>
              <w:t>m</w:t>
            </w:r>
            <w:r w:rsidRPr="008A2411">
              <w:rPr>
                <w:rFonts w:ascii="Times New Roman" w:eastAsiaTheme="minorEastAsia" w:hAnsi="Times New Roman"/>
                <w:color w:val="000000" w:themeColor="text1"/>
                <w:sz w:val="21"/>
                <w:szCs w:val="21"/>
              </w:rPr>
              <w:t>）</w:t>
            </w:r>
          </w:p>
        </w:tc>
        <w:tc>
          <w:tcPr>
            <w:tcW w:w="1074" w:type="pct"/>
            <w:vAlign w:val="center"/>
          </w:tcPr>
          <w:p w14:paraId="7E48F06F"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设计距离（</w:t>
            </w:r>
            <w:r w:rsidRPr="008A2411">
              <w:rPr>
                <w:rFonts w:ascii="Times New Roman" w:eastAsiaTheme="minorEastAsia" w:hAnsi="Times New Roman"/>
                <w:color w:val="000000" w:themeColor="text1"/>
                <w:sz w:val="21"/>
                <w:szCs w:val="21"/>
              </w:rPr>
              <w:t>m</w:t>
            </w:r>
            <w:r w:rsidRPr="008A2411">
              <w:rPr>
                <w:rFonts w:ascii="Times New Roman" w:eastAsiaTheme="minorEastAsia" w:hAnsi="Times New Roman"/>
                <w:color w:val="000000" w:themeColor="text1"/>
                <w:sz w:val="21"/>
                <w:szCs w:val="21"/>
              </w:rPr>
              <w:t>）</w:t>
            </w:r>
          </w:p>
        </w:tc>
        <w:tc>
          <w:tcPr>
            <w:tcW w:w="1092" w:type="pct"/>
            <w:vAlign w:val="center"/>
          </w:tcPr>
          <w:p w14:paraId="4F3CCEA1"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规范要求距离（</w:t>
            </w:r>
            <w:r w:rsidRPr="008A2411">
              <w:rPr>
                <w:rFonts w:ascii="Times New Roman" w:eastAsiaTheme="minorEastAsia" w:hAnsi="Times New Roman"/>
                <w:color w:val="000000" w:themeColor="text1"/>
                <w:sz w:val="21"/>
                <w:szCs w:val="21"/>
              </w:rPr>
              <w:t>m</w:t>
            </w:r>
            <w:r w:rsidRPr="008A2411">
              <w:rPr>
                <w:rFonts w:ascii="Times New Roman" w:eastAsiaTheme="minorEastAsia" w:hAnsi="Times New Roman"/>
                <w:color w:val="000000" w:themeColor="text1"/>
                <w:sz w:val="21"/>
                <w:szCs w:val="21"/>
              </w:rPr>
              <w:t>）</w:t>
            </w:r>
          </w:p>
        </w:tc>
      </w:tr>
      <w:tr w:rsidR="008A2411" w:rsidRPr="008A2411" w14:paraId="4DFEE2BE" w14:textId="77777777">
        <w:tc>
          <w:tcPr>
            <w:tcW w:w="755" w:type="pct"/>
            <w:vAlign w:val="center"/>
          </w:tcPr>
          <w:p w14:paraId="4371E16D"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lastRenderedPageBreak/>
              <w:t>1</w:t>
            </w:r>
          </w:p>
        </w:tc>
        <w:tc>
          <w:tcPr>
            <w:tcW w:w="748" w:type="pct"/>
            <w:vAlign w:val="center"/>
          </w:tcPr>
          <w:p w14:paraId="02E1EFBD"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西侧</w:t>
            </w:r>
          </w:p>
        </w:tc>
        <w:tc>
          <w:tcPr>
            <w:tcW w:w="1329" w:type="pct"/>
            <w:vAlign w:val="center"/>
          </w:tcPr>
          <w:p w14:paraId="30B6D0AC"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污水处理设施</w:t>
            </w:r>
          </w:p>
        </w:tc>
        <w:tc>
          <w:tcPr>
            <w:tcW w:w="1074" w:type="pct"/>
            <w:vAlign w:val="center"/>
          </w:tcPr>
          <w:p w14:paraId="70701400"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68.77</w:t>
            </w:r>
          </w:p>
        </w:tc>
        <w:tc>
          <w:tcPr>
            <w:tcW w:w="1092" w:type="pct"/>
            <w:vAlign w:val="center"/>
          </w:tcPr>
          <w:p w14:paraId="16BC39B7"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25</w:t>
            </w:r>
          </w:p>
        </w:tc>
      </w:tr>
      <w:tr w:rsidR="008A2411" w:rsidRPr="008A2411" w14:paraId="2CF00098" w14:textId="77777777">
        <w:tc>
          <w:tcPr>
            <w:tcW w:w="755" w:type="pct"/>
            <w:vAlign w:val="center"/>
          </w:tcPr>
          <w:p w14:paraId="464D74E1"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2</w:t>
            </w:r>
          </w:p>
        </w:tc>
        <w:tc>
          <w:tcPr>
            <w:tcW w:w="748" w:type="pct"/>
            <w:vAlign w:val="center"/>
          </w:tcPr>
          <w:p w14:paraId="2489BE1F"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北侧</w:t>
            </w:r>
          </w:p>
        </w:tc>
        <w:tc>
          <w:tcPr>
            <w:tcW w:w="1329" w:type="pct"/>
            <w:vAlign w:val="center"/>
          </w:tcPr>
          <w:p w14:paraId="534F71B2"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工艺装置区</w:t>
            </w:r>
          </w:p>
        </w:tc>
        <w:tc>
          <w:tcPr>
            <w:tcW w:w="1074" w:type="pct"/>
            <w:vAlign w:val="center"/>
          </w:tcPr>
          <w:p w14:paraId="29C9899D"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42.82</w:t>
            </w:r>
          </w:p>
        </w:tc>
        <w:tc>
          <w:tcPr>
            <w:tcW w:w="1092" w:type="pct"/>
            <w:vAlign w:val="center"/>
          </w:tcPr>
          <w:p w14:paraId="33B11E9B"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30</w:t>
            </w:r>
          </w:p>
        </w:tc>
      </w:tr>
      <w:tr w:rsidR="008A2411" w:rsidRPr="008A2411" w14:paraId="2137E33E" w14:textId="77777777">
        <w:tc>
          <w:tcPr>
            <w:tcW w:w="755" w:type="pct"/>
            <w:vAlign w:val="center"/>
          </w:tcPr>
          <w:p w14:paraId="0E538A5C"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3</w:t>
            </w:r>
          </w:p>
        </w:tc>
        <w:tc>
          <w:tcPr>
            <w:tcW w:w="748" w:type="pct"/>
            <w:vAlign w:val="center"/>
          </w:tcPr>
          <w:p w14:paraId="35EF954F"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东北侧</w:t>
            </w:r>
          </w:p>
        </w:tc>
        <w:tc>
          <w:tcPr>
            <w:tcW w:w="1329" w:type="pct"/>
            <w:vAlign w:val="center"/>
          </w:tcPr>
          <w:p w14:paraId="433FBFC8"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LNG</w:t>
            </w:r>
            <w:r w:rsidRPr="008A2411">
              <w:rPr>
                <w:rFonts w:ascii="Times New Roman" w:eastAsiaTheme="minorEastAsia" w:hAnsi="Times New Roman"/>
                <w:color w:val="000000" w:themeColor="text1"/>
                <w:sz w:val="21"/>
                <w:szCs w:val="21"/>
              </w:rPr>
              <w:t>储罐区</w:t>
            </w:r>
          </w:p>
        </w:tc>
        <w:tc>
          <w:tcPr>
            <w:tcW w:w="1074" w:type="pct"/>
            <w:vAlign w:val="center"/>
          </w:tcPr>
          <w:p w14:paraId="7FAD2B74"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78.53</w:t>
            </w:r>
          </w:p>
        </w:tc>
        <w:tc>
          <w:tcPr>
            <w:tcW w:w="1092" w:type="pct"/>
            <w:vAlign w:val="center"/>
          </w:tcPr>
          <w:p w14:paraId="3168EC24"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60</w:t>
            </w:r>
          </w:p>
        </w:tc>
      </w:tr>
      <w:tr w:rsidR="008A2411" w:rsidRPr="008A2411" w14:paraId="0A38E26E" w14:textId="77777777">
        <w:tc>
          <w:tcPr>
            <w:tcW w:w="755" w:type="pct"/>
            <w:vAlign w:val="center"/>
          </w:tcPr>
          <w:p w14:paraId="781583E8"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4</w:t>
            </w:r>
          </w:p>
        </w:tc>
        <w:tc>
          <w:tcPr>
            <w:tcW w:w="748" w:type="pct"/>
            <w:vAlign w:val="center"/>
          </w:tcPr>
          <w:p w14:paraId="6C7258EF"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东侧</w:t>
            </w:r>
          </w:p>
        </w:tc>
        <w:tc>
          <w:tcPr>
            <w:tcW w:w="1329" w:type="pct"/>
            <w:vAlign w:val="center"/>
          </w:tcPr>
          <w:p w14:paraId="79CABA30"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LNG</w:t>
            </w:r>
            <w:r w:rsidRPr="008A2411">
              <w:rPr>
                <w:rFonts w:ascii="Times New Roman" w:eastAsiaTheme="minorEastAsia" w:hAnsi="Times New Roman"/>
                <w:color w:val="000000" w:themeColor="text1"/>
                <w:sz w:val="21"/>
                <w:szCs w:val="21"/>
              </w:rPr>
              <w:t>装车站</w:t>
            </w:r>
          </w:p>
        </w:tc>
        <w:tc>
          <w:tcPr>
            <w:tcW w:w="1074" w:type="pct"/>
            <w:vAlign w:val="center"/>
          </w:tcPr>
          <w:p w14:paraId="7155BCE5"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31.2</w:t>
            </w:r>
          </w:p>
        </w:tc>
        <w:tc>
          <w:tcPr>
            <w:tcW w:w="1092" w:type="pct"/>
            <w:vAlign w:val="center"/>
          </w:tcPr>
          <w:p w14:paraId="013C87F8"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25</w:t>
            </w:r>
          </w:p>
        </w:tc>
      </w:tr>
      <w:tr w:rsidR="00B0005F" w:rsidRPr="008A2411" w14:paraId="3F33D0BC" w14:textId="77777777">
        <w:tc>
          <w:tcPr>
            <w:tcW w:w="755" w:type="pct"/>
            <w:vAlign w:val="center"/>
          </w:tcPr>
          <w:p w14:paraId="43534551"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5</w:t>
            </w:r>
          </w:p>
        </w:tc>
        <w:tc>
          <w:tcPr>
            <w:tcW w:w="748" w:type="pct"/>
            <w:vAlign w:val="center"/>
          </w:tcPr>
          <w:p w14:paraId="6C9711F9"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南侧</w:t>
            </w:r>
          </w:p>
        </w:tc>
        <w:tc>
          <w:tcPr>
            <w:tcW w:w="1329" w:type="pct"/>
            <w:vAlign w:val="center"/>
          </w:tcPr>
          <w:p w14:paraId="7A996202"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围墙</w:t>
            </w:r>
          </w:p>
        </w:tc>
        <w:tc>
          <w:tcPr>
            <w:tcW w:w="1074" w:type="pct"/>
            <w:vAlign w:val="center"/>
          </w:tcPr>
          <w:p w14:paraId="6951DDEF"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45.15</w:t>
            </w:r>
          </w:p>
        </w:tc>
        <w:tc>
          <w:tcPr>
            <w:tcW w:w="1092" w:type="pct"/>
            <w:vAlign w:val="center"/>
          </w:tcPr>
          <w:p w14:paraId="04BC19BB"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25</w:t>
            </w:r>
          </w:p>
        </w:tc>
      </w:tr>
    </w:tbl>
    <w:p w14:paraId="41DB7FCF" w14:textId="77777777" w:rsidR="00B0005F" w:rsidRPr="008A2411" w:rsidRDefault="00B0005F">
      <w:pPr>
        <w:adjustRightInd w:val="0"/>
        <w:snapToGrid w:val="0"/>
        <w:spacing w:line="360" w:lineRule="auto"/>
        <w:ind w:firstLineChars="200" w:firstLine="480"/>
        <w:rPr>
          <w:rFonts w:ascii="Times New Roman"/>
          <w:color w:val="000000" w:themeColor="text1"/>
          <w:kern w:val="2"/>
          <w:szCs w:val="24"/>
        </w:rPr>
      </w:pPr>
    </w:p>
    <w:p w14:paraId="1CC2F4EE" w14:textId="77777777" w:rsidR="00B0005F" w:rsidRPr="008A2411" w:rsidRDefault="00000000">
      <w:pPr>
        <w:adjustRightInd w:val="0"/>
        <w:snapToGrid w:val="0"/>
        <w:spacing w:line="360" w:lineRule="auto"/>
        <w:ind w:firstLineChars="200" w:firstLine="480"/>
        <w:rPr>
          <w:rFonts w:ascii="Times New Roman"/>
          <w:color w:val="000000" w:themeColor="text1"/>
          <w:kern w:val="2"/>
          <w:szCs w:val="24"/>
        </w:rPr>
      </w:pPr>
      <w:r w:rsidRPr="008A2411">
        <w:rPr>
          <w:rFonts w:ascii="Times New Roman"/>
          <w:color w:val="000000" w:themeColor="text1"/>
          <w:kern w:val="2"/>
          <w:szCs w:val="24"/>
        </w:rPr>
        <w:t>本项目地面火炬系统位于厂区东侧，西侧为</w:t>
      </w:r>
      <w:r w:rsidRPr="008A2411">
        <w:rPr>
          <w:rFonts w:ascii="Times New Roman"/>
          <w:color w:val="000000" w:themeColor="text1"/>
          <w:kern w:val="2"/>
          <w:szCs w:val="24"/>
        </w:rPr>
        <w:t xml:space="preserve"> LNG</w:t>
      </w:r>
      <w:r w:rsidRPr="008A2411">
        <w:rPr>
          <w:rFonts w:ascii="Times New Roman"/>
          <w:color w:val="000000" w:themeColor="text1"/>
          <w:kern w:val="2"/>
          <w:szCs w:val="24"/>
        </w:rPr>
        <w:t>储罐区，北侧、东侧和南侧均为厂区围墙，西南侧为危废库和</w:t>
      </w:r>
      <w:r w:rsidRPr="008A2411">
        <w:rPr>
          <w:rFonts w:ascii="Times New Roman"/>
          <w:color w:val="000000" w:themeColor="text1"/>
          <w:kern w:val="2"/>
          <w:szCs w:val="24"/>
        </w:rPr>
        <w:t xml:space="preserve"> LNG</w:t>
      </w:r>
      <w:r w:rsidRPr="008A2411">
        <w:rPr>
          <w:rFonts w:ascii="Times New Roman"/>
          <w:color w:val="000000" w:themeColor="text1"/>
          <w:kern w:val="2"/>
          <w:szCs w:val="24"/>
        </w:rPr>
        <w:t>装车站。地面火炬与周边厂内建构筑距离如下表</w:t>
      </w:r>
      <w:r w:rsidRPr="008A2411">
        <w:rPr>
          <w:rFonts w:ascii="Times New Roman"/>
          <w:color w:val="000000" w:themeColor="text1"/>
          <w:kern w:val="2"/>
          <w:szCs w:val="24"/>
        </w:rPr>
        <w:t>3.1-15</w:t>
      </w:r>
      <w:r w:rsidRPr="008A2411">
        <w:rPr>
          <w:rFonts w:ascii="Times New Roman"/>
          <w:color w:val="000000" w:themeColor="text1"/>
          <w:kern w:val="2"/>
          <w:szCs w:val="24"/>
        </w:rPr>
        <w:t>。</w:t>
      </w:r>
    </w:p>
    <w:p w14:paraId="7E3B01EF" w14:textId="77777777" w:rsidR="00B0005F" w:rsidRPr="008A2411" w:rsidRDefault="00000000">
      <w:pPr>
        <w:pStyle w:val="WJ0"/>
        <w:spacing w:line="360" w:lineRule="auto"/>
        <w:rPr>
          <w:rFonts w:ascii="Times New Roman" w:hAnsi="Times New Roman"/>
          <w:color w:val="000000" w:themeColor="text1"/>
          <w:kern w:val="2"/>
          <w:lang w:bidi="ar"/>
        </w:rPr>
      </w:pPr>
      <w:r w:rsidRPr="008A2411">
        <w:rPr>
          <w:rFonts w:ascii="Times New Roman" w:hAnsi="Times New Roman"/>
          <w:color w:val="000000" w:themeColor="text1"/>
          <w:kern w:val="2"/>
          <w:lang w:bidi="ar"/>
        </w:rPr>
        <w:t>表</w:t>
      </w:r>
      <w:r w:rsidRPr="008A2411">
        <w:rPr>
          <w:rFonts w:ascii="Times New Roman" w:hAnsi="Times New Roman"/>
          <w:color w:val="000000" w:themeColor="text1"/>
          <w:kern w:val="2"/>
          <w:lang w:bidi="ar"/>
        </w:rPr>
        <w:t xml:space="preserve">3.1-15  </w:t>
      </w:r>
      <w:r w:rsidRPr="008A2411">
        <w:rPr>
          <w:rFonts w:ascii="Times New Roman" w:hAnsi="Times New Roman"/>
          <w:color w:val="000000" w:themeColor="text1"/>
          <w:kern w:val="2"/>
          <w:lang w:bidi="ar"/>
        </w:rPr>
        <w:t>地面火炬系统与周边厂内建构筑物间距一览表</w:t>
      </w:r>
    </w:p>
    <w:tbl>
      <w:tblPr>
        <w:tblStyle w:val="affff9"/>
        <w:tblW w:w="499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87"/>
        <w:gridCol w:w="1275"/>
        <w:gridCol w:w="2266"/>
        <w:gridCol w:w="1830"/>
        <w:gridCol w:w="1861"/>
      </w:tblGrid>
      <w:tr w:rsidR="008A2411" w:rsidRPr="008A2411" w14:paraId="401AE76C" w14:textId="77777777">
        <w:tc>
          <w:tcPr>
            <w:tcW w:w="755" w:type="pct"/>
            <w:vAlign w:val="center"/>
          </w:tcPr>
          <w:p w14:paraId="38C625DC"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序号</w:t>
            </w:r>
          </w:p>
        </w:tc>
        <w:tc>
          <w:tcPr>
            <w:tcW w:w="748" w:type="pct"/>
            <w:vAlign w:val="center"/>
          </w:tcPr>
          <w:p w14:paraId="24A74277"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方位</w:t>
            </w:r>
          </w:p>
        </w:tc>
        <w:tc>
          <w:tcPr>
            <w:tcW w:w="1329" w:type="pct"/>
            <w:vAlign w:val="center"/>
          </w:tcPr>
          <w:p w14:paraId="3FAD8508"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周边建筑物（</w:t>
            </w:r>
            <w:r w:rsidRPr="008A2411">
              <w:rPr>
                <w:rFonts w:ascii="Times New Roman" w:eastAsiaTheme="minorEastAsia" w:hAnsi="Times New Roman"/>
                <w:color w:val="000000" w:themeColor="text1"/>
                <w:sz w:val="21"/>
                <w:szCs w:val="21"/>
              </w:rPr>
              <w:t>m</w:t>
            </w:r>
            <w:r w:rsidRPr="008A2411">
              <w:rPr>
                <w:rFonts w:ascii="Times New Roman" w:eastAsiaTheme="minorEastAsia" w:hAnsi="Times New Roman"/>
                <w:color w:val="000000" w:themeColor="text1"/>
                <w:sz w:val="21"/>
                <w:szCs w:val="21"/>
              </w:rPr>
              <w:t>）</w:t>
            </w:r>
          </w:p>
        </w:tc>
        <w:tc>
          <w:tcPr>
            <w:tcW w:w="1074" w:type="pct"/>
            <w:vAlign w:val="center"/>
          </w:tcPr>
          <w:p w14:paraId="7ED5476A"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设计距离（</w:t>
            </w:r>
            <w:r w:rsidRPr="008A2411">
              <w:rPr>
                <w:rFonts w:ascii="Times New Roman" w:eastAsiaTheme="minorEastAsia" w:hAnsi="Times New Roman"/>
                <w:color w:val="000000" w:themeColor="text1"/>
                <w:sz w:val="21"/>
                <w:szCs w:val="21"/>
              </w:rPr>
              <w:t>m</w:t>
            </w:r>
            <w:r w:rsidRPr="008A2411">
              <w:rPr>
                <w:rFonts w:ascii="Times New Roman" w:eastAsiaTheme="minorEastAsia" w:hAnsi="Times New Roman"/>
                <w:color w:val="000000" w:themeColor="text1"/>
                <w:sz w:val="21"/>
                <w:szCs w:val="21"/>
              </w:rPr>
              <w:t>）</w:t>
            </w:r>
          </w:p>
        </w:tc>
        <w:tc>
          <w:tcPr>
            <w:tcW w:w="1092" w:type="pct"/>
            <w:vAlign w:val="center"/>
          </w:tcPr>
          <w:p w14:paraId="5721A099"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规范要求距离（</w:t>
            </w:r>
            <w:r w:rsidRPr="008A2411">
              <w:rPr>
                <w:rFonts w:ascii="Times New Roman" w:eastAsiaTheme="minorEastAsia" w:hAnsi="Times New Roman"/>
                <w:color w:val="000000" w:themeColor="text1"/>
                <w:sz w:val="21"/>
                <w:szCs w:val="21"/>
              </w:rPr>
              <w:t>m</w:t>
            </w:r>
            <w:r w:rsidRPr="008A2411">
              <w:rPr>
                <w:rFonts w:ascii="Times New Roman" w:eastAsiaTheme="minorEastAsia" w:hAnsi="Times New Roman"/>
                <w:color w:val="000000" w:themeColor="text1"/>
                <w:sz w:val="21"/>
                <w:szCs w:val="21"/>
              </w:rPr>
              <w:t>）</w:t>
            </w:r>
          </w:p>
        </w:tc>
      </w:tr>
      <w:tr w:rsidR="008A2411" w:rsidRPr="008A2411" w14:paraId="159761CC" w14:textId="77777777">
        <w:tc>
          <w:tcPr>
            <w:tcW w:w="755" w:type="pct"/>
            <w:vAlign w:val="center"/>
          </w:tcPr>
          <w:p w14:paraId="632CEBE8"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1</w:t>
            </w:r>
          </w:p>
        </w:tc>
        <w:tc>
          <w:tcPr>
            <w:tcW w:w="748" w:type="pct"/>
            <w:vAlign w:val="center"/>
          </w:tcPr>
          <w:p w14:paraId="4D62FCAC"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西侧</w:t>
            </w:r>
          </w:p>
        </w:tc>
        <w:tc>
          <w:tcPr>
            <w:tcW w:w="1329" w:type="pct"/>
            <w:vAlign w:val="center"/>
          </w:tcPr>
          <w:p w14:paraId="698420B5"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LNG</w:t>
            </w:r>
            <w:r w:rsidRPr="008A2411">
              <w:rPr>
                <w:rFonts w:ascii="Times New Roman" w:eastAsiaTheme="minorEastAsia" w:hAnsi="Times New Roman"/>
                <w:color w:val="000000" w:themeColor="text1"/>
                <w:sz w:val="21"/>
                <w:szCs w:val="21"/>
              </w:rPr>
              <w:t>储罐区</w:t>
            </w:r>
          </w:p>
        </w:tc>
        <w:tc>
          <w:tcPr>
            <w:tcW w:w="1074" w:type="pct"/>
            <w:vAlign w:val="center"/>
          </w:tcPr>
          <w:p w14:paraId="0CE7B1E0"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70</w:t>
            </w:r>
          </w:p>
        </w:tc>
        <w:tc>
          <w:tcPr>
            <w:tcW w:w="1092" w:type="pct"/>
            <w:vAlign w:val="center"/>
          </w:tcPr>
          <w:p w14:paraId="2F9F83FE"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60</w:t>
            </w:r>
          </w:p>
        </w:tc>
      </w:tr>
      <w:tr w:rsidR="008A2411" w:rsidRPr="008A2411" w14:paraId="0A48449D" w14:textId="77777777">
        <w:tc>
          <w:tcPr>
            <w:tcW w:w="755" w:type="pct"/>
            <w:vAlign w:val="center"/>
          </w:tcPr>
          <w:p w14:paraId="6B8F7D43"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2</w:t>
            </w:r>
          </w:p>
        </w:tc>
        <w:tc>
          <w:tcPr>
            <w:tcW w:w="748" w:type="pct"/>
            <w:vAlign w:val="center"/>
          </w:tcPr>
          <w:p w14:paraId="7AC56F58"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北侧</w:t>
            </w:r>
          </w:p>
        </w:tc>
        <w:tc>
          <w:tcPr>
            <w:tcW w:w="1329" w:type="pct"/>
            <w:vAlign w:val="center"/>
          </w:tcPr>
          <w:p w14:paraId="034D747D"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围墙</w:t>
            </w:r>
          </w:p>
        </w:tc>
        <w:tc>
          <w:tcPr>
            <w:tcW w:w="1074" w:type="pct"/>
            <w:vAlign w:val="center"/>
          </w:tcPr>
          <w:p w14:paraId="4D7A9A14"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32.21</w:t>
            </w:r>
          </w:p>
        </w:tc>
        <w:tc>
          <w:tcPr>
            <w:tcW w:w="1092" w:type="pct"/>
            <w:vAlign w:val="center"/>
          </w:tcPr>
          <w:p w14:paraId="7375D3B9"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w:t>
            </w:r>
          </w:p>
        </w:tc>
      </w:tr>
      <w:tr w:rsidR="008A2411" w:rsidRPr="008A2411" w14:paraId="6226C17E" w14:textId="77777777">
        <w:tc>
          <w:tcPr>
            <w:tcW w:w="755" w:type="pct"/>
            <w:vAlign w:val="center"/>
          </w:tcPr>
          <w:p w14:paraId="117CFDCD"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3</w:t>
            </w:r>
          </w:p>
        </w:tc>
        <w:tc>
          <w:tcPr>
            <w:tcW w:w="748" w:type="pct"/>
            <w:vAlign w:val="center"/>
          </w:tcPr>
          <w:p w14:paraId="03214EE2"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东侧</w:t>
            </w:r>
          </w:p>
        </w:tc>
        <w:tc>
          <w:tcPr>
            <w:tcW w:w="1329" w:type="pct"/>
            <w:vAlign w:val="center"/>
          </w:tcPr>
          <w:p w14:paraId="2FDBEA6D"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围墙</w:t>
            </w:r>
          </w:p>
        </w:tc>
        <w:tc>
          <w:tcPr>
            <w:tcW w:w="1074" w:type="pct"/>
            <w:vAlign w:val="center"/>
          </w:tcPr>
          <w:p w14:paraId="22BD2587"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22.75</w:t>
            </w:r>
          </w:p>
        </w:tc>
        <w:tc>
          <w:tcPr>
            <w:tcW w:w="1092" w:type="pct"/>
            <w:vAlign w:val="center"/>
          </w:tcPr>
          <w:p w14:paraId="4D5572ED"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w:t>
            </w:r>
          </w:p>
        </w:tc>
      </w:tr>
      <w:tr w:rsidR="008A2411" w:rsidRPr="008A2411" w14:paraId="0AC9E146" w14:textId="77777777">
        <w:tc>
          <w:tcPr>
            <w:tcW w:w="755" w:type="pct"/>
            <w:vAlign w:val="center"/>
          </w:tcPr>
          <w:p w14:paraId="03D9DEFC"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4</w:t>
            </w:r>
          </w:p>
        </w:tc>
        <w:tc>
          <w:tcPr>
            <w:tcW w:w="748" w:type="pct"/>
            <w:vAlign w:val="center"/>
          </w:tcPr>
          <w:p w14:paraId="584C25B7"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南侧</w:t>
            </w:r>
          </w:p>
        </w:tc>
        <w:tc>
          <w:tcPr>
            <w:tcW w:w="1329" w:type="pct"/>
            <w:vAlign w:val="center"/>
          </w:tcPr>
          <w:p w14:paraId="7C4FB1D9"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围墙</w:t>
            </w:r>
          </w:p>
        </w:tc>
        <w:tc>
          <w:tcPr>
            <w:tcW w:w="1074" w:type="pct"/>
            <w:vAlign w:val="center"/>
          </w:tcPr>
          <w:p w14:paraId="1866BFE8"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37.39</w:t>
            </w:r>
          </w:p>
        </w:tc>
        <w:tc>
          <w:tcPr>
            <w:tcW w:w="1092" w:type="pct"/>
            <w:vAlign w:val="center"/>
          </w:tcPr>
          <w:p w14:paraId="38DCD450"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w:t>
            </w:r>
          </w:p>
        </w:tc>
      </w:tr>
      <w:tr w:rsidR="008A2411" w:rsidRPr="008A2411" w14:paraId="6DE48656" w14:textId="77777777">
        <w:tc>
          <w:tcPr>
            <w:tcW w:w="755" w:type="pct"/>
            <w:vAlign w:val="center"/>
          </w:tcPr>
          <w:p w14:paraId="7DD3F698"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5</w:t>
            </w:r>
          </w:p>
        </w:tc>
        <w:tc>
          <w:tcPr>
            <w:tcW w:w="748" w:type="pct"/>
            <w:vAlign w:val="center"/>
          </w:tcPr>
          <w:p w14:paraId="47A81FF3"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西南侧</w:t>
            </w:r>
          </w:p>
        </w:tc>
        <w:tc>
          <w:tcPr>
            <w:tcW w:w="1329" w:type="pct"/>
            <w:vAlign w:val="center"/>
          </w:tcPr>
          <w:p w14:paraId="17DE9B80"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proofErr w:type="gramStart"/>
            <w:r w:rsidRPr="008A2411">
              <w:rPr>
                <w:rFonts w:ascii="Times New Roman" w:eastAsiaTheme="minorEastAsia" w:hAnsi="Times New Roman"/>
                <w:color w:val="000000" w:themeColor="text1"/>
                <w:sz w:val="21"/>
                <w:szCs w:val="21"/>
              </w:rPr>
              <w:t>危废间</w:t>
            </w:r>
            <w:proofErr w:type="gramEnd"/>
          </w:p>
        </w:tc>
        <w:tc>
          <w:tcPr>
            <w:tcW w:w="1074" w:type="pct"/>
            <w:vAlign w:val="center"/>
          </w:tcPr>
          <w:p w14:paraId="52003865"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62.86</w:t>
            </w:r>
          </w:p>
        </w:tc>
        <w:tc>
          <w:tcPr>
            <w:tcW w:w="1092" w:type="pct"/>
            <w:vAlign w:val="center"/>
          </w:tcPr>
          <w:p w14:paraId="6D804BB0"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30</w:t>
            </w:r>
          </w:p>
        </w:tc>
      </w:tr>
      <w:tr w:rsidR="008A2411" w:rsidRPr="008A2411" w14:paraId="6C408735" w14:textId="77777777">
        <w:tc>
          <w:tcPr>
            <w:tcW w:w="755" w:type="pct"/>
            <w:vAlign w:val="center"/>
          </w:tcPr>
          <w:p w14:paraId="7302848E"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6</w:t>
            </w:r>
          </w:p>
        </w:tc>
        <w:tc>
          <w:tcPr>
            <w:tcW w:w="748" w:type="pct"/>
            <w:vAlign w:val="center"/>
          </w:tcPr>
          <w:p w14:paraId="42A42A68"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西南侧</w:t>
            </w:r>
          </w:p>
        </w:tc>
        <w:tc>
          <w:tcPr>
            <w:tcW w:w="1329" w:type="pct"/>
            <w:vAlign w:val="center"/>
          </w:tcPr>
          <w:p w14:paraId="2EFBA422"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LNG</w:t>
            </w:r>
            <w:r w:rsidRPr="008A2411">
              <w:rPr>
                <w:rFonts w:ascii="Times New Roman" w:eastAsiaTheme="minorEastAsia" w:hAnsi="Times New Roman"/>
                <w:color w:val="000000" w:themeColor="text1"/>
                <w:sz w:val="21"/>
                <w:szCs w:val="21"/>
              </w:rPr>
              <w:t>装车站</w:t>
            </w:r>
          </w:p>
        </w:tc>
        <w:tc>
          <w:tcPr>
            <w:tcW w:w="1074" w:type="pct"/>
            <w:vAlign w:val="center"/>
          </w:tcPr>
          <w:p w14:paraId="06D489B7"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109.08</w:t>
            </w:r>
          </w:p>
        </w:tc>
        <w:tc>
          <w:tcPr>
            <w:tcW w:w="1092" w:type="pct"/>
            <w:vAlign w:val="center"/>
          </w:tcPr>
          <w:p w14:paraId="22B3F165" w14:textId="77777777" w:rsidR="00B0005F" w:rsidRPr="008A2411" w:rsidRDefault="00000000">
            <w:pPr>
              <w:pStyle w:val="WJ0"/>
              <w:spacing w:line="240" w:lineRule="auto"/>
              <w:rPr>
                <w:rFonts w:ascii="Times New Roman" w:eastAsiaTheme="minorEastAsia" w:hAnsi="Times New Roman"/>
                <w:color w:val="000000" w:themeColor="text1"/>
                <w:sz w:val="21"/>
                <w:szCs w:val="21"/>
              </w:rPr>
            </w:pPr>
            <w:r w:rsidRPr="008A2411">
              <w:rPr>
                <w:rFonts w:ascii="Times New Roman" w:eastAsiaTheme="minorEastAsia" w:hAnsi="Times New Roman"/>
                <w:color w:val="000000" w:themeColor="text1"/>
                <w:sz w:val="21"/>
                <w:szCs w:val="21"/>
              </w:rPr>
              <w:t>25</w:t>
            </w:r>
          </w:p>
        </w:tc>
      </w:tr>
    </w:tbl>
    <w:p w14:paraId="028FDC17" w14:textId="72BF984C" w:rsidR="00B0005F" w:rsidRPr="008A2411" w:rsidRDefault="00000000">
      <w:pPr>
        <w:adjustRightInd w:val="0"/>
        <w:snapToGrid w:val="0"/>
        <w:spacing w:line="360" w:lineRule="auto"/>
        <w:ind w:firstLineChars="200" w:firstLine="480"/>
        <w:rPr>
          <w:rFonts w:ascii="Times New Roman"/>
          <w:color w:val="000000" w:themeColor="text1"/>
          <w:kern w:val="2"/>
          <w:szCs w:val="24"/>
        </w:rPr>
      </w:pPr>
      <w:r w:rsidRPr="008A2411">
        <w:rPr>
          <w:rFonts w:ascii="Times New Roman"/>
          <w:color w:val="000000" w:themeColor="text1"/>
          <w:kern w:val="2"/>
          <w:szCs w:val="24"/>
        </w:rPr>
        <w:t>由此可见，本项目各工艺装置总平面布置满足《天然气液化工厂设计标准》（</w:t>
      </w:r>
      <w:r w:rsidRPr="008A2411">
        <w:rPr>
          <w:rFonts w:ascii="Times New Roman"/>
          <w:color w:val="000000" w:themeColor="text1"/>
          <w:kern w:val="2"/>
          <w:szCs w:val="24"/>
        </w:rPr>
        <w:t>GB51261-2019</w:t>
      </w:r>
      <w:r w:rsidRPr="008A2411">
        <w:rPr>
          <w:rFonts w:ascii="Times New Roman"/>
          <w:color w:val="000000" w:themeColor="text1"/>
          <w:kern w:val="2"/>
          <w:szCs w:val="24"/>
        </w:rPr>
        <w:t>）的相关要求，功能</w:t>
      </w:r>
      <w:proofErr w:type="gramStart"/>
      <w:r w:rsidRPr="008A2411">
        <w:rPr>
          <w:rFonts w:ascii="Times New Roman"/>
          <w:color w:val="000000" w:themeColor="text1"/>
          <w:kern w:val="2"/>
          <w:szCs w:val="24"/>
        </w:rPr>
        <w:t>分区较</w:t>
      </w:r>
      <w:proofErr w:type="gramEnd"/>
      <w:r w:rsidRPr="008A2411">
        <w:rPr>
          <w:rFonts w:ascii="Times New Roman"/>
          <w:color w:val="000000" w:themeColor="text1"/>
          <w:kern w:val="2"/>
          <w:szCs w:val="24"/>
        </w:rPr>
        <w:t>合理，布置紧凑，工艺和公用工程物料管线短。从工艺角度分析，项目厂区总图布置具有工艺流程顺畅，场地利用合理。项目厂区主体生产区，无组织废气排放量较少，且地面放空系统位于站区东侧，尽量远离了评价区域内的环境空气敏感目标。</w:t>
      </w:r>
    </w:p>
    <w:p w14:paraId="33BF54D8" w14:textId="77777777" w:rsidR="00B0005F" w:rsidRPr="008A2411" w:rsidRDefault="00000000">
      <w:pPr>
        <w:pStyle w:val="WJ3"/>
        <w:spacing w:line="360" w:lineRule="auto"/>
        <w:ind w:firstLineChars="200" w:firstLine="482"/>
        <w:outlineLvl w:val="9"/>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2</w:t>
      </w:r>
      <w:r w:rsidRPr="008A2411">
        <w:rPr>
          <w:rFonts w:ascii="Times New Roman" w:hAnsi="Times New Roman"/>
          <w:color w:val="000000" w:themeColor="text1"/>
        </w:rPr>
        <w:t>）噪声源布置合理性分析</w:t>
      </w:r>
    </w:p>
    <w:p w14:paraId="4E26BB2F"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本项目运营期主要噪声源包括风机、空压机、泵等，此类噪声源尽量布置在站场中部及西侧、北侧，厂界四周设有砖砌实体围墙，具备一定的隔声效果，根据现场调查，站场厂界外</w:t>
      </w:r>
      <w:r w:rsidRPr="008A2411">
        <w:rPr>
          <w:rFonts w:ascii="Times New Roman" w:hAnsi="Times New Roman"/>
          <w:color w:val="000000" w:themeColor="text1"/>
        </w:rPr>
        <w:t>200m</w:t>
      </w:r>
      <w:r w:rsidRPr="008A2411">
        <w:rPr>
          <w:rFonts w:ascii="Times New Roman" w:hAnsi="Times New Roman"/>
          <w:color w:val="000000" w:themeColor="text1"/>
        </w:rPr>
        <w:t>范围内的声环境敏感目标主要分布在东北侧、东南侧区域，因此将主要</w:t>
      </w:r>
      <w:proofErr w:type="gramStart"/>
      <w:r w:rsidRPr="008A2411">
        <w:rPr>
          <w:rFonts w:ascii="Times New Roman" w:hAnsi="Times New Roman" w:hint="eastAsia"/>
          <w:color w:val="000000" w:themeColor="text1"/>
        </w:rPr>
        <w:t>产噪设备</w:t>
      </w:r>
      <w:proofErr w:type="gramEnd"/>
      <w:r w:rsidRPr="008A2411">
        <w:rPr>
          <w:rFonts w:ascii="Times New Roman" w:hAnsi="Times New Roman"/>
          <w:color w:val="000000" w:themeColor="text1"/>
        </w:rPr>
        <w:t>置于中部及西侧、北侧区域的布置合理。综上，本项目</w:t>
      </w:r>
      <w:proofErr w:type="gramStart"/>
      <w:r w:rsidRPr="008A2411">
        <w:rPr>
          <w:rFonts w:ascii="Times New Roman" w:hAnsi="Times New Roman" w:hint="eastAsia"/>
          <w:color w:val="000000" w:themeColor="text1"/>
        </w:rPr>
        <w:t>产噪设备</w:t>
      </w:r>
      <w:proofErr w:type="gramEnd"/>
      <w:r w:rsidRPr="008A2411">
        <w:rPr>
          <w:rFonts w:ascii="Times New Roman" w:hAnsi="Times New Roman"/>
          <w:color w:val="000000" w:themeColor="text1"/>
        </w:rPr>
        <w:t>布置合理。</w:t>
      </w:r>
    </w:p>
    <w:p w14:paraId="3EE7D650" w14:textId="77777777" w:rsidR="00B0005F" w:rsidRPr="008A2411" w:rsidRDefault="00000000">
      <w:pPr>
        <w:pStyle w:val="WJ3"/>
        <w:spacing w:line="360" w:lineRule="auto"/>
        <w:ind w:firstLineChars="200" w:firstLine="482"/>
        <w:outlineLvl w:val="9"/>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3</w:t>
      </w:r>
      <w:r w:rsidRPr="008A2411">
        <w:rPr>
          <w:rFonts w:ascii="Times New Roman" w:hAnsi="Times New Roman"/>
          <w:color w:val="000000" w:themeColor="text1"/>
        </w:rPr>
        <w:t>）污水处理设施布置合理性分析</w:t>
      </w:r>
    </w:p>
    <w:p w14:paraId="5F15858A"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本项目设置</w:t>
      </w:r>
      <w:r w:rsidRPr="008A2411">
        <w:rPr>
          <w:rFonts w:ascii="Times New Roman" w:hAnsi="Times New Roman"/>
          <w:color w:val="000000" w:themeColor="text1"/>
        </w:rPr>
        <w:t>1</w:t>
      </w:r>
      <w:r w:rsidRPr="008A2411">
        <w:rPr>
          <w:rFonts w:ascii="Times New Roman" w:hAnsi="Times New Roman"/>
          <w:color w:val="000000" w:themeColor="text1"/>
        </w:rPr>
        <w:t>座污水与处理站，位于厂区中部。从总平面布局看，各污水收集、处理设施均靠近主要的废水产生装置进行布置，缩短了废水输送距离，有利于降低生产中的环境风险。因此，本项目污水处理设施布置合理。</w:t>
      </w:r>
    </w:p>
    <w:p w14:paraId="57B0EE1A" w14:textId="77777777" w:rsidR="00B0005F" w:rsidRPr="008A2411" w:rsidRDefault="00000000">
      <w:pPr>
        <w:pStyle w:val="WJ"/>
        <w:adjustRightInd w:val="0"/>
        <w:snapToGrid w:val="0"/>
        <w:spacing w:line="360" w:lineRule="auto"/>
        <w:ind w:firstLine="482"/>
        <w:rPr>
          <w:rFonts w:ascii="Times New Roman" w:eastAsia="黑体" w:hAnsi="Times New Roman"/>
          <w:b/>
          <w:color w:val="000000" w:themeColor="text1"/>
          <w:kern w:val="0"/>
          <w:lang w:bidi="en-US"/>
        </w:rPr>
      </w:pPr>
      <w:r w:rsidRPr="008A2411">
        <w:rPr>
          <w:rFonts w:ascii="Times New Roman" w:eastAsia="黑体" w:hAnsi="Times New Roman" w:hint="eastAsia"/>
          <w:b/>
          <w:color w:val="000000" w:themeColor="text1"/>
          <w:kern w:val="0"/>
          <w:lang w:bidi="en-US"/>
        </w:rPr>
        <w:t>（</w:t>
      </w:r>
      <w:r w:rsidRPr="008A2411">
        <w:rPr>
          <w:rFonts w:ascii="Times New Roman" w:eastAsia="黑体" w:hAnsi="Times New Roman" w:hint="eastAsia"/>
          <w:b/>
          <w:color w:val="000000" w:themeColor="text1"/>
          <w:kern w:val="0"/>
          <w:lang w:bidi="en-US"/>
        </w:rPr>
        <w:t>4</w:t>
      </w:r>
      <w:r w:rsidRPr="008A2411">
        <w:rPr>
          <w:rFonts w:ascii="Times New Roman" w:eastAsia="黑体" w:hAnsi="Times New Roman" w:hint="eastAsia"/>
          <w:b/>
          <w:color w:val="000000" w:themeColor="text1"/>
          <w:kern w:val="0"/>
          <w:lang w:bidi="en-US"/>
        </w:rPr>
        <w:t>）与</w:t>
      </w:r>
      <w:r w:rsidRPr="008A2411">
        <w:rPr>
          <w:rFonts w:ascii="Times New Roman" w:eastAsia="黑体" w:hAnsi="Times New Roman"/>
          <w:b/>
          <w:color w:val="000000" w:themeColor="text1"/>
          <w:kern w:val="0"/>
          <w:lang w:bidi="en-US"/>
        </w:rPr>
        <w:t>石油天然气工程设计防火规范</w:t>
      </w:r>
      <w:r w:rsidRPr="008A2411">
        <w:rPr>
          <w:rFonts w:ascii="Times New Roman" w:eastAsia="黑体" w:hAnsi="Times New Roman" w:hint="eastAsia"/>
          <w:b/>
          <w:color w:val="000000" w:themeColor="text1"/>
          <w:kern w:val="0"/>
          <w:lang w:bidi="en-US"/>
        </w:rPr>
        <w:t>符合性分析</w:t>
      </w:r>
    </w:p>
    <w:p w14:paraId="39AB35A9"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根据《石油天然气工程设计防火规范》（</w:t>
      </w:r>
      <w:r w:rsidRPr="008A2411">
        <w:rPr>
          <w:rFonts w:ascii="Times New Roman" w:hAnsi="Times New Roman" w:hint="eastAsia"/>
          <w:color w:val="000000" w:themeColor="text1"/>
        </w:rPr>
        <w:t>GB 50183-2004</w:t>
      </w:r>
      <w:r w:rsidRPr="008A2411">
        <w:rPr>
          <w:rFonts w:ascii="Times New Roman" w:hAnsi="Times New Roman"/>
          <w:color w:val="000000" w:themeColor="text1"/>
        </w:rPr>
        <w:t>）中有关规定：</w:t>
      </w:r>
      <w:r w:rsidRPr="008A2411">
        <w:rPr>
          <w:rFonts w:ascii="Times New Roman" w:hAnsi="Times New Roman" w:hint="eastAsia"/>
          <w:color w:val="000000" w:themeColor="text1"/>
        </w:rPr>
        <w:t>“</w:t>
      </w:r>
      <w:r w:rsidRPr="008A2411">
        <w:rPr>
          <w:rFonts w:ascii="Times New Roman" w:hAnsi="Times New Roman"/>
          <w:color w:val="000000" w:themeColor="text1"/>
        </w:rPr>
        <w:t>储存总容量大于或等于</w:t>
      </w:r>
      <w:r w:rsidRPr="008A2411">
        <w:rPr>
          <w:rFonts w:ascii="Times New Roman" w:hAnsi="Times New Roman"/>
          <w:color w:val="000000" w:themeColor="text1"/>
        </w:rPr>
        <w:t>265m</w:t>
      </w:r>
      <w:r w:rsidRPr="008A2411">
        <w:rPr>
          <w:rFonts w:ascii="Times New Roman" w:hAnsi="Times New Roman"/>
          <w:color w:val="000000" w:themeColor="text1"/>
          <w:vertAlign w:val="superscript"/>
        </w:rPr>
        <w:t>3</w:t>
      </w:r>
      <w:r w:rsidRPr="008A2411">
        <w:rPr>
          <w:rFonts w:ascii="Times New Roman" w:hAnsi="Times New Roman"/>
          <w:color w:val="000000" w:themeColor="text1"/>
        </w:rPr>
        <w:t>的液化天然气储罐组应设置固定的给水系统。固定消</w:t>
      </w:r>
      <w:r w:rsidRPr="008A2411">
        <w:rPr>
          <w:rFonts w:ascii="Times New Roman" w:hAnsi="Times New Roman"/>
          <w:color w:val="000000" w:themeColor="text1"/>
        </w:rPr>
        <w:lastRenderedPageBreak/>
        <w:t>防水系统的消防水量应以最大可能出现的单一事故设计水量，并考虑</w:t>
      </w:r>
      <w:r w:rsidRPr="008A2411">
        <w:rPr>
          <w:rFonts w:ascii="Times New Roman" w:hAnsi="Times New Roman"/>
          <w:color w:val="000000" w:themeColor="text1"/>
        </w:rPr>
        <w:t>200m</w:t>
      </w:r>
      <w:r w:rsidRPr="008A2411">
        <w:rPr>
          <w:rFonts w:ascii="Times New Roman" w:hAnsi="Times New Roman"/>
          <w:color w:val="000000" w:themeColor="text1"/>
          <w:vertAlign w:val="superscript"/>
        </w:rPr>
        <w:t>3</w:t>
      </w:r>
      <w:r w:rsidRPr="008A2411">
        <w:rPr>
          <w:rFonts w:ascii="Times New Roman" w:hAnsi="Times New Roman"/>
          <w:color w:val="000000" w:themeColor="text1"/>
        </w:rPr>
        <w:t>/h</w:t>
      </w:r>
      <w:r w:rsidRPr="008A2411">
        <w:rPr>
          <w:rFonts w:ascii="Times New Roman" w:hAnsi="Times New Roman"/>
          <w:color w:val="000000" w:themeColor="text1"/>
        </w:rPr>
        <w:t>余量后确定；液化天然气储罐总容量大于或等于</w:t>
      </w:r>
      <w:r w:rsidRPr="008A2411">
        <w:rPr>
          <w:rFonts w:ascii="Times New Roman" w:hAnsi="Times New Roman"/>
          <w:color w:val="000000" w:themeColor="text1"/>
        </w:rPr>
        <w:t>3000m</w:t>
      </w:r>
      <w:r w:rsidRPr="008A2411">
        <w:rPr>
          <w:rFonts w:ascii="Times New Roman" w:hAnsi="Times New Roman"/>
          <w:color w:val="000000" w:themeColor="text1"/>
          <w:vertAlign w:val="superscript"/>
        </w:rPr>
        <w:t>3</w:t>
      </w:r>
      <w:r w:rsidRPr="008A2411">
        <w:rPr>
          <w:rFonts w:ascii="Times New Roman" w:hAnsi="Times New Roman"/>
          <w:color w:val="000000" w:themeColor="text1"/>
        </w:rPr>
        <w:t>的站场，集液池应配固定式全淹没高倍数泡沫灭火系统，并应与低温探测报警装置连锁。</w:t>
      </w:r>
      <w:r w:rsidRPr="008A2411">
        <w:rPr>
          <w:rFonts w:ascii="Times New Roman" w:hAnsi="Times New Roman" w:hint="eastAsia"/>
          <w:color w:val="000000" w:themeColor="text1"/>
        </w:rPr>
        <w:t>”</w:t>
      </w:r>
      <w:r w:rsidRPr="008A2411">
        <w:rPr>
          <w:rFonts w:ascii="Times New Roman" w:hAnsi="Times New Roman"/>
          <w:color w:val="000000" w:themeColor="text1"/>
        </w:rPr>
        <w:t>本项目液化天然气储罐容积为</w:t>
      </w:r>
      <w:r w:rsidRPr="008A2411">
        <w:rPr>
          <w:rFonts w:ascii="Times New Roman" w:hAnsi="Times New Roman"/>
          <w:color w:val="000000" w:themeColor="text1"/>
        </w:rPr>
        <w:t>20000m</w:t>
      </w:r>
      <w:r w:rsidRPr="008A2411">
        <w:rPr>
          <w:rFonts w:ascii="Times New Roman" w:hAnsi="Times New Roman"/>
          <w:color w:val="000000" w:themeColor="text1"/>
          <w:vertAlign w:val="superscript"/>
        </w:rPr>
        <w:t>3</w:t>
      </w:r>
      <w:r w:rsidRPr="008A2411">
        <w:rPr>
          <w:rFonts w:ascii="Times New Roman" w:hAnsi="Times New Roman"/>
          <w:color w:val="000000" w:themeColor="text1"/>
        </w:rPr>
        <w:t>，厂区设有一套完整的稳高压消防给水系统，包括消防水池、消防泵、消火栓、消防水炮、独立的消防水管网及所需的消防设备。</w:t>
      </w:r>
      <w:r w:rsidRPr="008A2411">
        <w:rPr>
          <w:rFonts w:ascii="Times New Roman" w:hAnsi="Times New Roman"/>
          <w:color w:val="000000" w:themeColor="text1"/>
        </w:rPr>
        <w:t xml:space="preserve">LNG </w:t>
      </w:r>
      <w:r w:rsidRPr="008A2411">
        <w:rPr>
          <w:rFonts w:ascii="Times New Roman" w:hAnsi="Times New Roman"/>
          <w:color w:val="000000" w:themeColor="text1"/>
        </w:rPr>
        <w:t>储罐设置喷淋冷却系统，采用</w:t>
      </w:r>
      <w:proofErr w:type="gramStart"/>
      <w:r w:rsidRPr="008A2411">
        <w:rPr>
          <w:rFonts w:ascii="Times New Roman" w:hAnsi="Times New Roman"/>
          <w:color w:val="000000" w:themeColor="text1"/>
        </w:rPr>
        <w:t>雨淋阀控制</w:t>
      </w:r>
      <w:proofErr w:type="gramEnd"/>
      <w:r w:rsidRPr="008A2411">
        <w:rPr>
          <w:rFonts w:ascii="Times New Roman" w:hAnsi="Times New Roman"/>
          <w:color w:val="000000" w:themeColor="text1"/>
        </w:rPr>
        <w:t>，控制方式为自动控制、手动控制和应急操作三种方式。</w:t>
      </w:r>
      <w:r w:rsidRPr="008A2411">
        <w:rPr>
          <w:rFonts w:ascii="Times New Roman" w:hAnsi="Times New Roman"/>
          <w:color w:val="000000" w:themeColor="text1"/>
        </w:rPr>
        <w:t>LNG</w:t>
      </w:r>
      <w:r w:rsidRPr="008A2411">
        <w:rPr>
          <w:rFonts w:ascii="Times New Roman" w:hAnsi="Times New Roman"/>
          <w:color w:val="000000" w:themeColor="text1"/>
        </w:rPr>
        <w:t>罐区</w:t>
      </w:r>
      <w:proofErr w:type="gramStart"/>
      <w:r w:rsidRPr="008A2411">
        <w:rPr>
          <w:rFonts w:ascii="Times New Roman" w:hAnsi="Times New Roman"/>
          <w:color w:val="000000" w:themeColor="text1"/>
        </w:rPr>
        <w:t>集液池</w:t>
      </w:r>
      <w:proofErr w:type="gramEnd"/>
      <w:r w:rsidRPr="008A2411">
        <w:rPr>
          <w:rFonts w:ascii="Times New Roman" w:hAnsi="Times New Roman"/>
          <w:color w:val="000000" w:themeColor="text1"/>
        </w:rPr>
        <w:t>及</w:t>
      </w:r>
      <w:r w:rsidRPr="008A2411">
        <w:rPr>
          <w:rFonts w:ascii="Times New Roman" w:hAnsi="Times New Roman"/>
          <w:color w:val="000000" w:themeColor="text1"/>
        </w:rPr>
        <w:t>LNG</w:t>
      </w:r>
      <w:r w:rsidRPr="008A2411">
        <w:rPr>
          <w:rFonts w:ascii="Times New Roman" w:hAnsi="Times New Roman"/>
          <w:color w:val="000000" w:themeColor="text1"/>
        </w:rPr>
        <w:t>装车区</w:t>
      </w:r>
      <w:proofErr w:type="gramStart"/>
      <w:r w:rsidRPr="008A2411">
        <w:rPr>
          <w:rFonts w:ascii="Times New Roman" w:hAnsi="Times New Roman"/>
          <w:color w:val="000000" w:themeColor="text1"/>
        </w:rPr>
        <w:t>集液池设置</w:t>
      </w:r>
      <w:proofErr w:type="gramEnd"/>
      <w:r w:rsidRPr="008A2411">
        <w:rPr>
          <w:rFonts w:ascii="Times New Roman" w:hAnsi="Times New Roman"/>
          <w:color w:val="000000" w:themeColor="text1"/>
        </w:rPr>
        <w:t>固定式高倍数泡沫灭火系统。</w:t>
      </w:r>
      <w:r w:rsidRPr="008A2411">
        <w:rPr>
          <w:rFonts w:ascii="Times New Roman" w:hAnsi="Times New Roman"/>
          <w:color w:val="000000" w:themeColor="text1"/>
        </w:rPr>
        <w:t>LNG</w:t>
      </w:r>
      <w:r w:rsidRPr="008A2411">
        <w:rPr>
          <w:rFonts w:ascii="Times New Roman" w:hAnsi="Times New Roman"/>
          <w:color w:val="000000" w:themeColor="text1"/>
        </w:rPr>
        <w:t>罐顶安全</w:t>
      </w:r>
      <w:proofErr w:type="gramStart"/>
      <w:r w:rsidRPr="008A2411">
        <w:rPr>
          <w:rFonts w:ascii="Times New Roman" w:hAnsi="Times New Roman"/>
          <w:color w:val="000000" w:themeColor="text1"/>
        </w:rPr>
        <w:t>释放阀设一套</w:t>
      </w:r>
      <w:proofErr w:type="gramEnd"/>
      <w:r w:rsidRPr="008A2411">
        <w:rPr>
          <w:rFonts w:ascii="Times New Roman" w:hAnsi="Times New Roman"/>
          <w:color w:val="000000" w:themeColor="text1"/>
        </w:rPr>
        <w:t>固定干粉灭火系统。</w:t>
      </w:r>
    </w:p>
    <w:p w14:paraId="7836628B" w14:textId="77777777" w:rsidR="00B0005F" w:rsidRPr="008A2411" w:rsidRDefault="00000000">
      <w:pPr>
        <w:pStyle w:val="WJ"/>
        <w:adjustRightInd w:val="0"/>
        <w:snapToGrid w:val="0"/>
        <w:spacing w:line="360" w:lineRule="auto"/>
        <w:rPr>
          <w:rFonts w:ascii="Times New Roman" w:hAnsi="Times New Roman"/>
          <w:b/>
          <w:bCs/>
          <w:color w:val="000000" w:themeColor="text1"/>
        </w:rPr>
      </w:pPr>
      <w:r w:rsidRPr="008A2411">
        <w:rPr>
          <w:rFonts w:ascii="Times New Roman" w:hAnsi="Times New Roman" w:hint="eastAsia"/>
          <w:color w:val="000000" w:themeColor="text1"/>
        </w:rPr>
        <w:t>此外，根据</w:t>
      </w:r>
      <w:r w:rsidRPr="008A2411">
        <w:rPr>
          <w:rFonts w:ascii="Times New Roman" w:hAnsi="Times New Roman"/>
          <w:color w:val="000000" w:themeColor="text1"/>
        </w:rPr>
        <w:t>《石油天然气工程设计防火规范》（</w:t>
      </w:r>
      <w:r w:rsidRPr="008A2411">
        <w:rPr>
          <w:rFonts w:ascii="Times New Roman" w:hAnsi="Times New Roman" w:hint="eastAsia"/>
          <w:color w:val="000000" w:themeColor="text1"/>
        </w:rPr>
        <w:t>GB 50183-2004</w:t>
      </w:r>
      <w:r w:rsidRPr="008A2411">
        <w:rPr>
          <w:rFonts w:ascii="Times New Roman" w:hAnsi="Times New Roman"/>
          <w:color w:val="000000" w:themeColor="text1"/>
        </w:rPr>
        <w:t>）中有</w:t>
      </w:r>
      <w:r w:rsidRPr="008A2411">
        <w:rPr>
          <w:rFonts w:ascii="Times New Roman" w:hAnsi="Times New Roman" w:hint="eastAsia"/>
          <w:color w:val="000000" w:themeColor="text1"/>
        </w:rPr>
        <w:t>10.2.5</w:t>
      </w:r>
      <w:r w:rsidRPr="008A2411">
        <w:rPr>
          <w:rFonts w:ascii="Times New Roman" w:hAnsi="Times New Roman"/>
          <w:color w:val="000000" w:themeColor="text1"/>
        </w:rPr>
        <w:t>规定：</w:t>
      </w:r>
      <w:r w:rsidRPr="008A2411">
        <w:rPr>
          <w:rFonts w:ascii="Times New Roman" w:hAnsi="Times New Roman" w:hint="eastAsia"/>
          <w:color w:val="000000" w:themeColor="text1"/>
        </w:rPr>
        <w:t>“液化天然气储存总量不大于</w:t>
      </w:r>
      <w:r w:rsidRPr="008A2411">
        <w:rPr>
          <w:rFonts w:ascii="Times New Roman" w:hAnsi="Times New Roman" w:hint="eastAsia"/>
          <w:color w:val="000000" w:themeColor="text1"/>
        </w:rPr>
        <w:t>3000m</w:t>
      </w:r>
      <w:r w:rsidRPr="008A2411">
        <w:rPr>
          <w:rFonts w:ascii="Times New Roman" w:hAnsi="Times New Roman" w:hint="eastAsia"/>
          <w:color w:val="000000" w:themeColor="text1"/>
          <w:vertAlign w:val="superscript"/>
        </w:rPr>
        <w:t>3</w:t>
      </w:r>
      <w:r w:rsidRPr="008A2411">
        <w:rPr>
          <w:rFonts w:ascii="Times New Roman" w:hAnsi="Times New Roman" w:hint="eastAsia"/>
          <w:color w:val="000000" w:themeColor="text1"/>
        </w:rPr>
        <w:t>时，可按照本规范表</w:t>
      </w:r>
      <w:r w:rsidRPr="008A2411">
        <w:rPr>
          <w:rFonts w:ascii="Times New Roman" w:hAnsi="Times New Roman" w:hint="eastAsia"/>
          <w:color w:val="000000" w:themeColor="text1"/>
        </w:rPr>
        <w:t>3.2.2</w:t>
      </w:r>
      <w:r w:rsidRPr="008A2411">
        <w:rPr>
          <w:rFonts w:ascii="Times New Roman" w:hAnsi="Times New Roman" w:hint="eastAsia"/>
          <w:color w:val="000000" w:themeColor="text1"/>
        </w:rPr>
        <w:t>和表</w:t>
      </w:r>
      <w:r w:rsidRPr="008A2411">
        <w:rPr>
          <w:rFonts w:ascii="Times New Roman" w:hAnsi="Times New Roman" w:hint="eastAsia"/>
          <w:color w:val="000000" w:themeColor="text1"/>
        </w:rPr>
        <w:t>4.0.4</w:t>
      </w:r>
      <w:r w:rsidRPr="008A2411">
        <w:rPr>
          <w:rFonts w:ascii="Times New Roman" w:hAnsi="Times New Roman" w:hint="eastAsia"/>
          <w:color w:val="000000" w:themeColor="text1"/>
        </w:rPr>
        <w:t>中的液化石油气站场确定；液化天然气储存总容量大于或等于</w:t>
      </w:r>
      <w:r w:rsidRPr="008A2411">
        <w:rPr>
          <w:rFonts w:ascii="Times New Roman" w:hAnsi="Times New Roman" w:hint="eastAsia"/>
          <w:color w:val="000000" w:themeColor="text1"/>
        </w:rPr>
        <w:t>30000m</w:t>
      </w:r>
      <w:r w:rsidRPr="008A2411">
        <w:rPr>
          <w:rFonts w:ascii="Times New Roman" w:hAnsi="Times New Roman" w:hint="eastAsia"/>
          <w:color w:val="000000" w:themeColor="text1"/>
          <w:vertAlign w:val="superscript"/>
        </w:rPr>
        <w:t>3</w:t>
      </w:r>
      <w:r w:rsidRPr="008A2411">
        <w:rPr>
          <w:rFonts w:ascii="Times New Roman" w:hAnsi="Times New Roman" w:hint="eastAsia"/>
          <w:color w:val="000000" w:themeColor="text1"/>
        </w:rPr>
        <w:t>时，与居住区、公共福利设施的距离应大于</w:t>
      </w:r>
      <w:r w:rsidRPr="008A2411">
        <w:rPr>
          <w:rFonts w:ascii="Times New Roman" w:hAnsi="Times New Roman" w:hint="eastAsia"/>
          <w:color w:val="000000" w:themeColor="text1"/>
        </w:rPr>
        <w:t>0.5km</w:t>
      </w:r>
      <w:r w:rsidRPr="008A2411">
        <w:rPr>
          <w:rFonts w:ascii="Times New Roman" w:hAnsi="Times New Roman" w:hint="eastAsia"/>
          <w:color w:val="000000" w:themeColor="text1"/>
        </w:rPr>
        <w:t>。液化天然气储存总容量介于</w:t>
      </w:r>
      <w:r w:rsidRPr="008A2411">
        <w:rPr>
          <w:rFonts w:ascii="Times New Roman" w:hAnsi="Times New Roman" w:hint="eastAsia"/>
          <w:color w:val="000000" w:themeColor="text1"/>
        </w:rPr>
        <w:t>3000m</w:t>
      </w:r>
      <w:r w:rsidRPr="008A2411">
        <w:rPr>
          <w:rFonts w:ascii="Times New Roman" w:hAnsi="Times New Roman" w:hint="eastAsia"/>
          <w:color w:val="000000" w:themeColor="text1"/>
          <w:vertAlign w:val="superscript"/>
        </w:rPr>
        <w:t>3</w:t>
      </w:r>
      <w:r w:rsidRPr="008A2411">
        <w:rPr>
          <w:rFonts w:ascii="Times New Roman" w:hAnsi="Times New Roman" w:hint="eastAsia"/>
          <w:color w:val="000000" w:themeColor="text1"/>
        </w:rPr>
        <w:t>~30000m</w:t>
      </w:r>
      <w:r w:rsidRPr="008A2411">
        <w:rPr>
          <w:rFonts w:ascii="Times New Roman" w:hAnsi="Times New Roman" w:hint="eastAsia"/>
          <w:color w:val="000000" w:themeColor="text1"/>
          <w:vertAlign w:val="superscript"/>
        </w:rPr>
        <w:t>3</w:t>
      </w:r>
      <w:r w:rsidRPr="008A2411">
        <w:rPr>
          <w:rFonts w:ascii="Times New Roman" w:hAnsi="Times New Roman" w:hint="eastAsia"/>
          <w:color w:val="000000" w:themeColor="text1"/>
        </w:rPr>
        <w:t>之间时，应根据现场条件、设施安全防护程度的评价确定，且不应小于本条液化天然气储存总量不大于</w:t>
      </w:r>
      <w:r w:rsidRPr="008A2411">
        <w:rPr>
          <w:rFonts w:ascii="Times New Roman" w:hAnsi="Times New Roman" w:hint="eastAsia"/>
          <w:color w:val="000000" w:themeColor="text1"/>
        </w:rPr>
        <w:t>3000m</w:t>
      </w:r>
      <w:r w:rsidRPr="008A2411">
        <w:rPr>
          <w:rFonts w:ascii="Times New Roman" w:hAnsi="Times New Roman" w:hint="eastAsia"/>
          <w:color w:val="000000" w:themeColor="text1"/>
          <w:vertAlign w:val="superscript"/>
        </w:rPr>
        <w:t>3</w:t>
      </w:r>
      <w:r w:rsidRPr="008A2411">
        <w:rPr>
          <w:rFonts w:ascii="Times New Roman" w:hAnsi="Times New Roman" w:hint="eastAsia"/>
          <w:color w:val="000000" w:themeColor="text1"/>
        </w:rPr>
        <w:t>时的规定要求。”本项目液化天然气</w:t>
      </w:r>
      <w:proofErr w:type="gramStart"/>
      <w:r w:rsidRPr="008A2411">
        <w:rPr>
          <w:rFonts w:ascii="Times New Roman" w:hAnsi="Times New Roman" w:hint="eastAsia"/>
          <w:color w:val="000000" w:themeColor="text1"/>
        </w:rPr>
        <w:t>储存总</w:t>
      </w:r>
      <w:proofErr w:type="gramEnd"/>
      <w:r w:rsidRPr="008A2411">
        <w:rPr>
          <w:rFonts w:ascii="Times New Roman" w:hAnsi="Times New Roman" w:hint="eastAsia"/>
          <w:color w:val="000000" w:themeColor="text1"/>
        </w:rPr>
        <w:t>容量为</w:t>
      </w:r>
      <w:r w:rsidRPr="008A2411">
        <w:rPr>
          <w:rFonts w:ascii="Times New Roman" w:hAnsi="Times New Roman" w:hint="eastAsia"/>
          <w:color w:val="000000" w:themeColor="text1"/>
        </w:rPr>
        <w:t>20000m</w:t>
      </w:r>
      <w:r w:rsidRPr="008A2411">
        <w:rPr>
          <w:rFonts w:ascii="Times New Roman" w:hAnsi="Times New Roman" w:hint="eastAsia"/>
          <w:color w:val="000000" w:themeColor="text1"/>
          <w:vertAlign w:val="superscript"/>
        </w:rPr>
        <w:t>3</w:t>
      </w:r>
      <w:r w:rsidRPr="008A2411">
        <w:rPr>
          <w:rFonts w:ascii="Times New Roman" w:hAnsi="Times New Roman" w:hint="eastAsia"/>
          <w:color w:val="000000" w:themeColor="text1"/>
        </w:rPr>
        <w:t>，参照</w:t>
      </w:r>
      <w:r w:rsidRPr="008A2411">
        <w:rPr>
          <w:rFonts w:ascii="Times New Roman" w:hAnsi="Times New Roman"/>
          <w:color w:val="000000" w:themeColor="text1"/>
        </w:rPr>
        <w:t>《石油天然气工程设计防火规范》（</w:t>
      </w:r>
      <w:r w:rsidRPr="008A2411">
        <w:rPr>
          <w:rFonts w:ascii="Times New Roman" w:hAnsi="Times New Roman" w:hint="eastAsia"/>
          <w:color w:val="000000" w:themeColor="text1"/>
        </w:rPr>
        <w:t>GB 50183-2004</w:t>
      </w:r>
      <w:r w:rsidRPr="008A2411">
        <w:rPr>
          <w:rFonts w:ascii="Times New Roman" w:hAnsi="Times New Roman"/>
          <w:color w:val="000000" w:themeColor="text1"/>
        </w:rPr>
        <w:t>）中</w:t>
      </w:r>
      <w:r w:rsidRPr="008A2411">
        <w:rPr>
          <w:rFonts w:ascii="Times New Roman" w:hAnsi="Times New Roman" w:hint="eastAsia"/>
          <w:color w:val="000000" w:themeColor="text1"/>
        </w:rPr>
        <w:t>表</w:t>
      </w:r>
      <w:r w:rsidRPr="008A2411">
        <w:rPr>
          <w:rFonts w:ascii="Times New Roman" w:hAnsi="Times New Roman" w:hint="eastAsia"/>
          <w:color w:val="000000" w:themeColor="text1"/>
        </w:rPr>
        <w:t>3.2.2</w:t>
      </w:r>
      <w:r w:rsidRPr="008A2411">
        <w:rPr>
          <w:rFonts w:ascii="Times New Roman" w:hAnsi="Times New Roman" w:hint="eastAsia"/>
          <w:color w:val="000000" w:themeColor="text1"/>
        </w:rPr>
        <w:t>规定，为一级站场，再根据</w:t>
      </w:r>
      <w:r w:rsidRPr="008A2411">
        <w:rPr>
          <w:rFonts w:ascii="Times New Roman" w:hAnsi="Times New Roman"/>
          <w:color w:val="000000" w:themeColor="text1"/>
        </w:rPr>
        <w:t>《石油天然气工程设计防火规范》（</w:t>
      </w:r>
      <w:r w:rsidRPr="008A2411">
        <w:rPr>
          <w:rFonts w:ascii="Times New Roman" w:hAnsi="Times New Roman" w:hint="eastAsia"/>
          <w:color w:val="000000" w:themeColor="text1"/>
        </w:rPr>
        <w:t>GB 50183-2004</w:t>
      </w:r>
      <w:r w:rsidRPr="008A2411">
        <w:rPr>
          <w:rFonts w:ascii="Times New Roman" w:hAnsi="Times New Roman"/>
          <w:color w:val="000000" w:themeColor="text1"/>
        </w:rPr>
        <w:t>）中</w:t>
      </w:r>
      <w:r w:rsidRPr="008A2411">
        <w:rPr>
          <w:rFonts w:ascii="Times New Roman" w:hAnsi="Times New Roman" w:hint="eastAsia"/>
          <w:color w:val="000000" w:themeColor="text1"/>
        </w:rPr>
        <w:t>表</w:t>
      </w:r>
      <w:r w:rsidRPr="008A2411">
        <w:rPr>
          <w:rFonts w:ascii="Times New Roman" w:hAnsi="Times New Roman" w:hint="eastAsia"/>
          <w:color w:val="000000" w:themeColor="text1"/>
        </w:rPr>
        <w:t>3.2.2</w:t>
      </w:r>
      <w:r w:rsidRPr="008A2411">
        <w:rPr>
          <w:rFonts w:ascii="Times New Roman" w:hAnsi="Times New Roman" w:hint="eastAsia"/>
          <w:color w:val="000000" w:themeColor="text1"/>
        </w:rPr>
        <w:t>规定，一级站场距离</w:t>
      </w:r>
      <w:r w:rsidRPr="008A2411">
        <w:rPr>
          <w:rFonts w:ascii="Times New Roman" w:hAnsi="Times New Roman" w:hint="eastAsia"/>
          <w:color w:val="000000" w:themeColor="text1"/>
        </w:rPr>
        <w:t>100</w:t>
      </w:r>
      <w:r w:rsidRPr="008A2411">
        <w:rPr>
          <w:rFonts w:ascii="Times New Roman" w:hAnsi="Times New Roman" w:hint="eastAsia"/>
          <w:color w:val="000000" w:themeColor="text1"/>
        </w:rPr>
        <w:t>人以下的散居房屋距离不应小于</w:t>
      </w:r>
      <w:r w:rsidRPr="008A2411">
        <w:rPr>
          <w:rFonts w:ascii="Times New Roman" w:hAnsi="Times New Roman" w:hint="eastAsia"/>
          <w:color w:val="000000" w:themeColor="text1"/>
        </w:rPr>
        <w:t>90m</w:t>
      </w:r>
      <w:r w:rsidRPr="008A2411">
        <w:rPr>
          <w:rFonts w:ascii="Times New Roman" w:hAnsi="Times New Roman" w:hint="eastAsia"/>
          <w:color w:val="000000" w:themeColor="text1"/>
        </w:rPr>
        <w:t>（此规定中的距离是指甲、乙类储罐外壁与周围居住区的距离）。</w:t>
      </w:r>
      <w:r w:rsidRPr="008A2411">
        <w:rPr>
          <w:rFonts w:ascii="Times New Roman" w:hAnsi="Times New Roman" w:hint="eastAsia"/>
          <w:b/>
          <w:bCs/>
          <w:color w:val="000000" w:themeColor="text1"/>
        </w:rPr>
        <w:t>根据外环境关系调查，项目厂界周边最近居民为严家坪居民，位于厂界东侧</w:t>
      </w:r>
      <w:r w:rsidRPr="008A2411">
        <w:rPr>
          <w:rFonts w:ascii="Times New Roman" w:hAnsi="Times New Roman" w:hint="eastAsia"/>
          <w:b/>
          <w:bCs/>
          <w:color w:val="000000" w:themeColor="text1"/>
        </w:rPr>
        <w:t>81m</w:t>
      </w:r>
      <w:r w:rsidRPr="008A2411">
        <w:rPr>
          <w:rFonts w:ascii="Times New Roman" w:hAnsi="Times New Roman" w:hint="eastAsia"/>
          <w:b/>
          <w:bCs/>
          <w:color w:val="000000" w:themeColor="text1"/>
        </w:rPr>
        <w:t>，距离液化天然气储罐距离约为</w:t>
      </w:r>
      <w:r w:rsidRPr="008A2411">
        <w:rPr>
          <w:rFonts w:ascii="Times New Roman" w:hAnsi="Times New Roman" w:hint="eastAsia"/>
          <w:b/>
          <w:bCs/>
          <w:color w:val="000000" w:themeColor="text1"/>
        </w:rPr>
        <w:t>153m</w:t>
      </w:r>
      <w:r w:rsidRPr="008A2411">
        <w:rPr>
          <w:rFonts w:ascii="Times New Roman" w:hAnsi="Times New Roman" w:hint="eastAsia"/>
          <w:b/>
          <w:bCs/>
          <w:color w:val="000000" w:themeColor="text1"/>
        </w:rPr>
        <w:t>，满足</w:t>
      </w:r>
      <w:r w:rsidRPr="008A2411">
        <w:rPr>
          <w:rFonts w:ascii="Times New Roman" w:hAnsi="Times New Roman"/>
          <w:b/>
          <w:bCs/>
          <w:color w:val="000000" w:themeColor="text1"/>
        </w:rPr>
        <w:t>《石油天然气工程设计防火规范》（</w:t>
      </w:r>
      <w:r w:rsidRPr="008A2411">
        <w:rPr>
          <w:rFonts w:ascii="Times New Roman" w:hAnsi="Times New Roman" w:hint="eastAsia"/>
          <w:b/>
          <w:bCs/>
          <w:color w:val="000000" w:themeColor="text1"/>
        </w:rPr>
        <w:t>GB 50183-2004</w:t>
      </w:r>
      <w:r w:rsidRPr="008A2411">
        <w:rPr>
          <w:rFonts w:ascii="Times New Roman" w:hAnsi="Times New Roman"/>
          <w:b/>
          <w:bCs/>
          <w:color w:val="000000" w:themeColor="text1"/>
        </w:rPr>
        <w:t>）中</w:t>
      </w:r>
      <w:r w:rsidRPr="008A2411">
        <w:rPr>
          <w:rFonts w:ascii="Times New Roman" w:hAnsi="Times New Roman" w:hint="eastAsia"/>
          <w:b/>
          <w:bCs/>
          <w:color w:val="000000" w:themeColor="text1"/>
        </w:rPr>
        <w:t>表</w:t>
      </w:r>
      <w:r w:rsidRPr="008A2411">
        <w:rPr>
          <w:rFonts w:ascii="Times New Roman" w:hAnsi="Times New Roman" w:hint="eastAsia"/>
          <w:b/>
          <w:bCs/>
          <w:color w:val="000000" w:themeColor="text1"/>
        </w:rPr>
        <w:t>3.2.2</w:t>
      </w:r>
      <w:r w:rsidRPr="008A2411">
        <w:rPr>
          <w:rFonts w:ascii="Times New Roman" w:hAnsi="Times New Roman" w:hint="eastAsia"/>
          <w:b/>
          <w:bCs/>
          <w:color w:val="000000" w:themeColor="text1"/>
        </w:rPr>
        <w:t>规定的一级站场距离</w:t>
      </w:r>
      <w:r w:rsidRPr="008A2411">
        <w:rPr>
          <w:rFonts w:ascii="Times New Roman" w:hAnsi="Times New Roman" w:hint="eastAsia"/>
          <w:b/>
          <w:bCs/>
          <w:color w:val="000000" w:themeColor="text1"/>
        </w:rPr>
        <w:t>100</w:t>
      </w:r>
      <w:r w:rsidRPr="008A2411">
        <w:rPr>
          <w:rFonts w:ascii="Times New Roman" w:hAnsi="Times New Roman" w:hint="eastAsia"/>
          <w:b/>
          <w:bCs/>
          <w:color w:val="000000" w:themeColor="text1"/>
        </w:rPr>
        <w:t>人以下的散居房屋距离不应小于</w:t>
      </w:r>
      <w:r w:rsidRPr="008A2411">
        <w:rPr>
          <w:rFonts w:ascii="Times New Roman" w:hAnsi="Times New Roman" w:hint="eastAsia"/>
          <w:b/>
          <w:bCs/>
          <w:color w:val="000000" w:themeColor="text1"/>
        </w:rPr>
        <w:t>90m</w:t>
      </w:r>
      <w:r w:rsidRPr="008A2411">
        <w:rPr>
          <w:rFonts w:ascii="Times New Roman" w:hAnsi="Times New Roman" w:hint="eastAsia"/>
          <w:b/>
          <w:bCs/>
          <w:color w:val="000000" w:themeColor="text1"/>
        </w:rPr>
        <w:t>的距离要求。</w:t>
      </w:r>
    </w:p>
    <w:p w14:paraId="5E5522E1"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因此，</w:t>
      </w:r>
      <w:r w:rsidRPr="008A2411">
        <w:rPr>
          <w:rFonts w:ascii="Times New Roman" w:hAnsi="Times New Roman" w:hint="eastAsia"/>
          <w:color w:val="000000" w:themeColor="text1"/>
        </w:rPr>
        <w:t>综合考虑，</w:t>
      </w:r>
      <w:r w:rsidRPr="008A2411">
        <w:rPr>
          <w:rFonts w:ascii="Times New Roman" w:hAnsi="Times New Roman"/>
          <w:color w:val="000000" w:themeColor="text1"/>
        </w:rPr>
        <w:t>本项目总平面布置还满足《石油天然气工程设计防火规范》（</w:t>
      </w:r>
      <w:r w:rsidRPr="008A2411">
        <w:rPr>
          <w:rFonts w:ascii="Times New Roman" w:hAnsi="Times New Roman" w:hint="eastAsia"/>
          <w:color w:val="000000" w:themeColor="text1"/>
        </w:rPr>
        <w:t>GB 50183-2004</w:t>
      </w:r>
      <w:r w:rsidRPr="008A2411">
        <w:rPr>
          <w:rFonts w:ascii="Times New Roman" w:hAnsi="Times New Roman"/>
          <w:color w:val="000000" w:themeColor="text1"/>
        </w:rPr>
        <w:t>）中有关规定，总平面布置合理。</w:t>
      </w:r>
    </w:p>
    <w:p w14:paraId="032807E7" w14:textId="012A5CBC" w:rsidR="00B0005F" w:rsidRPr="008A2411" w:rsidRDefault="00000000">
      <w:pPr>
        <w:adjustRightInd w:val="0"/>
        <w:snapToGrid w:val="0"/>
        <w:spacing w:line="360" w:lineRule="auto"/>
        <w:ind w:firstLineChars="200" w:firstLine="482"/>
        <w:rPr>
          <w:rFonts w:ascii="Times New Roman"/>
          <w:b/>
          <w:bCs/>
          <w:color w:val="000000" w:themeColor="text1"/>
          <w:kern w:val="2"/>
          <w:szCs w:val="24"/>
        </w:rPr>
      </w:pPr>
      <w:r w:rsidRPr="008A2411">
        <w:rPr>
          <w:rFonts w:ascii="Times New Roman"/>
          <w:b/>
          <w:bCs/>
          <w:color w:val="000000" w:themeColor="text1"/>
          <w:kern w:val="2"/>
          <w:szCs w:val="24"/>
        </w:rPr>
        <w:t>综上所述，本项目总平面布置满足《天然气液化工厂设计标准》（</w:t>
      </w:r>
      <w:r w:rsidRPr="008A2411">
        <w:rPr>
          <w:rFonts w:ascii="Times New Roman"/>
          <w:b/>
          <w:bCs/>
          <w:color w:val="000000" w:themeColor="text1"/>
          <w:kern w:val="2"/>
          <w:szCs w:val="24"/>
        </w:rPr>
        <w:t>GB51261-2019</w:t>
      </w:r>
      <w:r w:rsidRPr="008A2411">
        <w:rPr>
          <w:rFonts w:ascii="Times New Roman"/>
          <w:b/>
          <w:bCs/>
          <w:color w:val="000000" w:themeColor="text1"/>
          <w:kern w:val="2"/>
          <w:szCs w:val="24"/>
        </w:rPr>
        <w:t>）及《石油天然气工程设计防火规范》（</w:t>
      </w:r>
      <w:r w:rsidRPr="008A2411">
        <w:rPr>
          <w:rFonts w:ascii="Times New Roman" w:hint="eastAsia"/>
          <w:b/>
          <w:bCs/>
          <w:color w:val="000000" w:themeColor="text1"/>
          <w:kern w:val="2"/>
          <w:szCs w:val="24"/>
        </w:rPr>
        <w:t>GB 50183-2004</w:t>
      </w:r>
      <w:r w:rsidRPr="008A2411">
        <w:rPr>
          <w:rFonts w:ascii="Times New Roman"/>
          <w:b/>
          <w:bCs/>
          <w:color w:val="000000" w:themeColor="text1"/>
          <w:kern w:val="2"/>
          <w:szCs w:val="24"/>
        </w:rPr>
        <w:t>）中有关规定，</w:t>
      </w:r>
      <w:proofErr w:type="gramStart"/>
      <w:r w:rsidRPr="008A2411">
        <w:rPr>
          <w:rFonts w:ascii="Times New Roman"/>
          <w:b/>
          <w:bCs/>
          <w:color w:val="000000" w:themeColor="text1"/>
          <w:kern w:val="2"/>
          <w:szCs w:val="24"/>
        </w:rPr>
        <w:t>各设施</w:t>
      </w:r>
      <w:proofErr w:type="gramEnd"/>
      <w:r w:rsidRPr="008A2411">
        <w:rPr>
          <w:rFonts w:ascii="Times New Roman"/>
          <w:b/>
          <w:bCs/>
          <w:color w:val="000000" w:themeColor="text1"/>
          <w:kern w:val="2"/>
          <w:szCs w:val="24"/>
        </w:rPr>
        <w:t>的从总图布置上做到了尽可能远离周边敏感目标，从工艺及环保角度项目总平面布置是合理的。</w:t>
      </w:r>
    </w:p>
    <w:p w14:paraId="31C3ED8E" w14:textId="2C918056" w:rsidR="00B0005F" w:rsidRPr="008A2411" w:rsidRDefault="00000000">
      <w:pPr>
        <w:pStyle w:val="42"/>
        <w:snapToGrid w:val="0"/>
        <w:spacing w:before="0" w:after="0" w:line="360" w:lineRule="auto"/>
        <w:rPr>
          <w:rFonts w:ascii="Times New Roman" w:hAnsi="Times New Roman"/>
          <w:b w:val="0"/>
          <w:color w:val="000000" w:themeColor="text1"/>
          <w:kern w:val="0"/>
          <w:sz w:val="24"/>
          <w:szCs w:val="24"/>
          <w:lang w:bidi="en-US"/>
        </w:rPr>
      </w:pPr>
      <w:r w:rsidRPr="008A2411">
        <w:rPr>
          <w:rFonts w:ascii="Times New Roman" w:hAnsi="Times New Roman"/>
          <w:b w:val="0"/>
          <w:color w:val="000000" w:themeColor="text1"/>
          <w:kern w:val="0"/>
          <w:sz w:val="24"/>
          <w:szCs w:val="24"/>
          <w:lang w:bidi="en-US"/>
        </w:rPr>
        <w:t>3.1.</w:t>
      </w:r>
      <w:r w:rsidR="00E321C0" w:rsidRPr="008A2411">
        <w:rPr>
          <w:rFonts w:ascii="Times New Roman" w:hAnsi="Times New Roman" w:hint="eastAsia"/>
          <w:b w:val="0"/>
          <w:color w:val="000000" w:themeColor="text1"/>
          <w:kern w:val="0"/>
          <w:sz w:val="24"/>
          <w:szCs w:val="24"/>
          <w:lang w:bidi="en-US"/>
        </w:rPr>
        <w:t>8</w:t>
      </w:r>
      <w:r w:rsidRPr="008A2411">
        <w:rPr>
          <w:rFonts w:ascii="Times New Roman" w:hAnsi="Times New Roman"/>
          <w:b w:val="0"/>
          <w:color w:val="000000" w:themeColor="text1"/>
          <w:kern w:val="0"/>
          <w:sz w:val="24"/>
          <w:szCs w:val="24"/>
          <w:lang w:bidi="en-US"/>
        </w:rPr>
        <w:t>劳动定员及生产制度</w:t>
      </w:r>
    </w:p>
    <w:p w14:paraId="447D22C0"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本项目生产定员</w:t>
      </w:r>
      <w:r w:rsidRPr="008A2411">
        <w:rPr>
          <w:rFonts w:ascii="Times New Roman" w:hAnsi="Times New Roman"/>
          <w:color w:val="000000" w:themeColor="text1"/>
        </w:rPr>
        <w:t>67</w:t>
      </w:r>
      <w:r w:rsidRPr="008A2411">
        <w:rPr>
          <w:rFonts w:ascii="Times New Roman" w:hAnsi="Times New Roman"/>
          <w:color w:val="000000" w:themeColor="text1"/>
        </w:rPr>
        <w:t>人，四班三倒，</w:t>
      </w:r>
      <w:r w:rsidRPr="008A2411">
        <w:rPr>
          <w:rFonts w:ascii="Times New Roman" w:hAnsi="Times New Roman"/>
          <w:color w:val="000000" w:themeColor="text1"/>
        </w:rPr>
        <w:t>24</w:t>
      </w:r>
      <w:r w:rsidRPr="008A2411">
        <w:rPr>
          <w:rFonts w:ascii="Times New Roman" w:hAnsi="Times New Roman"/>
          <w:color w:val="000000" w:themeColor="text1"/>
        </w:rPr>
        <w:t>小时运行，年运行时间约</w:t>
      </w:r>
      <w:r w:rsidRPr="008A2411">
        <w:rPr>
          <w:rFonts w:ascii="Times New Roman" w:hAnsi="Times New Roman"/>
          <w:color w:val="000000" w:themeColor="text1"/>
        </w:rPr>
        <w:t>330d</w:t>
      </w:r>
      <w:r w:rsidRPr="008A2411">
        <w:rPr>
          <w:rFonts w:ascii="Times New Roman" w:hAnsi="Times New Roman"/>
          <w:color w:val="000000" w:themeColor="text1"/>
          <w:kern w:val="0"/>
        </w:rPr>
        <w:t>。</w:t>
      </w:r>
    </w:p>
    <w:p w14:paraId="0FAAF925" w14:textId="77777777" w:rsidR="00B0005F" w:rsidRPr="008A2411" w:rsidRDefault="00000000">
      <w:pPr>
        <w:pStyle w:val="WJ2"/>
        <w:snapToGrid/>
        <w:spacing w:line="360" w:lineRule="auto"/>
        <w:rPr>
          <w:rFonts w:ascii="Times New Roman" w:hAnsi="Times New Roman"/>
          <w:color w:val="000000" w:themeColor="text1"/>
        </w:rPr>
      </w:pPr>
      <w:bookmarkStart w:id="173" w:name="_Toc8828"/>
      <w:bookmarkStart w:id="174" w:name="_Toc6779"/>
      <w:bookmarkStart w:id="175" w:name="_Toc109170755"/>
      <w:r w:rsidRPr="008A2411">
        <w:rPr>
          <w:rFonts w:ascii="Times New Roman" w:hAnsi="Times New Roman"/>
          <w:color w:val="000000" w:themeColor="text1"/>
        </w:rPr>
        <w:lastRenderedPageBreak/>
        <w:t>3.2</w:t>
      </w:r>
      <w:r w:rsidRPr="008A2411">
        <w:rPr>
          <w:rFonts w:ascii="Times New Roman" w:hAnsi="Times New Roman"/>
          <w:color w:val="000000" w:themeColor="text1"/>
        </w:rPr>
        <w:t>工程分析</w:t>
      </w:r>
      <w:bookmarkEnd w:id="173"/>
      <w:bookmarkEnd w:id="174"/>
      <w:bookmarkEnd w:id="175"/>
    </w:p>
    <w:p w14:paraId="2D24A84E" w14:textId="77777777" w:rsidR="00B0005F" w:rsidRPr="008A2411" w:rsidRDefault="00000000">
      <w:pPr>
        <w:pStyle w:val="WJ"/>
        <w:adjustRightInd w:val="0"/>
        <w:snapToGrid w:val="0"/>
        <w:spacing w:line="360" w:lineRule="auto"/>
        <w:rPr>
          <w:rFonts w:ascii="Times New Roman" w:hAnsi="Times New Roman"/>
          <w:color w:val="000000" w:themeColor="text1"/>
          <w:lang w:bidi="en-US"/>
        </w:rPr>
      </w:pPr>
      <w:r w:rsidRPr="008A2411">
        <w:rPr>
          <w:rFonts w:ascii="Times New Roman" w:hAnsi="Times New Roman"/>
          <w:color w:val="000000" w:themeColor="text1"/>
          <w:lang w:bidi="en-US"/>
        </w:rPr>
        <w:t>根据本项目的工程特点，将项目实施分为两个阶段：建设施工期和运营期。</w:t>
      </w:r>
      <w:bookmarkStart w:id="176" w:name="_Toc469780832"/>
      <w:bookmarkStart w:id="177" w:name="_Toc422906834"/>
      <w:bookmarkStart w:id="178" w:name="_Toc405214238"/>
      <w:bookmarkStart w:id="179" w:name="_Toc405905292"/>
      <w:bookmarkStart w:id="180" w:name="_Toc405904820"/>
      <w:bookmarkStart w:id="181" w:name="_Toc405904476"/>
      <w:bookmarkEnd w:id="176"/>
    </w:p>
    <w:p w14:paraId="72598416" w14:textId="77777777" w:rsidR="00B0005F" w:rsidRPr="008A2411" w:rsidRDefault="00000000">
      <w:pPr>
        <w:pStyle w:val="WJ2"/>
        <w:spacing w:line="360" w:lineRule="auto"/>
        <w:outlineLvl w:val="2"/>
        <w:rPr>
          <w:rFonts w:ascii="Times New Roman" w:hAnsi="Times New Roman"/>
          <w:color w:val="000000" w:themeColor="text1"/>
          <w:sz w:val="24"/>
          <w:szCs w:val="24"/>
        </w:rPr>
      </w:pPr>
      <w:bookmarkStart w:id="182" w:name="_Toc8189"/>
      <w:bookmarkStart w:id="183" w:name="_Toc21196"/>
      <w:bookmarkStart w:id="184" w:name="_Toc15184"/>
      <w:bookmarkStart w:id="185" w:name="_Toc27215"/>
      <w:bookmarkStart w:id="186" w:name="_Toc32062"/>
      <w:bookmarkStart w:id="187" w:name="_Toc108365926"/>
      <w:bookmarkStart w:id="188" w:name="_Toc109170756"/>
      <w:r w:rsidRPr="008A2411">
        <w:rPr>
          <w:rFonts w:ascii="Times New Roman" w:hAnsi="Times New Roman"/>
          <w:color w:val="000000" w:themeColor="text1"/>
          <w:sz w:val="24"/>
          <w:szCs w:val="24"/>
        </w:rPr>
        <w:t>3.2.1</w:t>
      </w:r>
      <w:r w:rsidRPr="008A2411">
        <w:rPr>
          <w:rFonts w:ascii="Times New Roman" w:hAnsi="Times New Roman"/>
          <w:color w:val="000000" w:themeColor="text1"/>
          <w:sz w:val="24"/>
          <w:szCs w:val="24"/>
        </w:rPr>
        <w:t>建设项目施工期工程分析</w:t>
      </w:r>
      <w:bookmarkEnd w:id="177"/>
      <w:bookmarkEnd w:id="178"/>
      <w:bookmarkEnd w:id="179"/>
      <w:bookmarkEnd w:id="180"/>
      <w:bookmarkEnd w:id="181"/>
      <w:bookmarkEnd w:id="182"/>
      <w:bookmarkEnd w:id="183"/>
      <w:bookmarkEnd w:id="184"/>
      <w:bookmarkEnd w:id="185"/>
      <w:bookmarkEnd w:id="186"/>
      <w:bookmarkEnd w:id="187"/>
      <w:bookmarkEnd w:id="188"/>
    </w:p>
    <w:p w14:paraId="6F2D3255" w14:textId="77777777" w:rsidR="00B0005F" w:rsidRPr="008A2411" w:rsidRDefault="00000000">
      <w:pPr>
        <w:pStyle w:val="WJ3"/>
        <w:spacing w:line="360" w:lineRule="auto"/>
        <w:outlineLvl w:val="9"/>
        <w:rPr>
          <w:rFonts w:ascii="Times New Roman" w:hAnsi="Times New Roman"/>
          <w:color w:val="000000" w:themeColor="text1"/>
        </w:rPr>
      </w:pPr>
      <w:r w:rsidRPr="008A2411">
        <w:rPr>
          <w:rFonts w:ascii="Times New Roman" w:hAnsi="Times New Roman"/>
          <w:color w:val="000000" w:themeColor="text1"/>
        </w:rPr>
        <w:t>3.2.1.1</w:t>
      </w:r>
      <w:r w:rsidRPr="008A2411">
        <w:rPr>
          <w:rFonts w:ascii="Times New Roman" w:hAnsi="Times New Roman"/>
          <w:color w:val="000000" w:themeColor="text1"/>
        </w:rPr>
        <w:t>主要施工内容</w:t>
      </w:r>
      <w:proofErr w:type="gramStart"/>
      <w:r w:rsidRPr="008A2411">
        <w:rPr>
          <w:rFonts w:ascii="Times New Roman" w:hAnsi="Times New Roman"/>
          <w:color w:val="000000" w:themeColor="text1"/>
        </w:rPr>
        <w:t>及产污环节</w:t>
      </w:r>
      <w:proofErr w:type="gramEnd"/>
    </w:p>
    <w:p w14:paraId="33F0C7EA" w14:textId="77777777" w:rsidR="00B0005F" w:rsidRPr="008A2411" w:rsidRDefault="00000000">
      <w:pPr>
        <w:pStyle w:val="WJ"/>
        <w:adjustRightInd w:val="0"/>
        <w:snapToGrid w:val="0"/>
        <w:spacing w:line="360" w:lineRule="auto"/>
        <w:rPr>
          <w:rFonts w:ascii="Times New Roman" w:hAnsi="Times New Roman"/>
          <w:color w:val="000000" w:themeColor="text1"/>
          <w:lang w:bidi="en-US"/>
        </w:rPr>
      </w:pPr>
      <w:r w:rsidRPr="008A2411">
        <w:rPr>
          <w:rFonts w:ascii="Times New Roman" w:hAnsi="Times New Roman"/>
          <w:color w:val="000000" w:themeColor="text1"/>
          <w:lang w:bidi="en-US"/>
        </w:rPr>
        <w:t>本项目施工期施工工序</w:t>
      </w:r>
      <w:proofErr w:type="gramStart"/>
      <w:r w:rsidRPr="008A2411">
        <w:rPr>
          <w:rFonts w:ascii="Times New Roman" w:hAnsi="Times New Roman"/>
          <w:color w:val="000000" w:themeColor="text1"/>
          <w:lang w:bidi="en-US"/>
        </w:rPr>
        <w:t>及产污环节</w:t>
      </w:r>
      <w:proofErr w:type="gramEnd"/>
    </w:p>
    <w:p w14:paraId="3732182D" w14:textId="77777777" w:rsidR="00B0005F" w:rsidRPr="008A2411" w:rsidRDefault="00000000">
      <w:pPr>
        <w:pStyle w:val="WJ"/>
        <w:adjustRightInd w:val="0"/>
        <w:snapToGrid w:val="0"/>
        <w:spacing w:line="360" w:lineRule="auto"/>
        <w:rPr>
          <w:rFonts w:ascii="Times New Roman" w:hAnsi="Times New Roman"/>
          <w:color w:val="000000" w:themeColor="text1"/>
          <w:lang w:bidi="en-US"/>
        </w:rPr>
      </w:pPr>
      <w:r w:rsidRPr="008A2411">
        <w:rPr>
          <w:rFonts w:ascii="Times New Roman" w:hAnsi="Times New Roman"/>
          <w:color w:val="000000" w:themeColor="text1"/>
          <w:lang w:bidi="en-US"/>
        </w:rPr>
        <w:t>项目施工工序为：场</w:t>
      </w:r>
      <w:proofErr w:type="gramStart"/>
      <w:r w:rsidRPr="008A2411">
        <w:rPr>
          <w:rFonts w:ascii="Times New Roman" w:hAnsi="Times New Roman"/>
          <w:color w:val="000000" w:themeColor="text1"/>
          <w:lang w:bidi="en-US"/>
        </w:rPr>
        <w:t>平施工</w:t>
      </w:r>
      <w:proofErr w:type="gramEnd"/>
      <w:r w:rsidRPr="008A2411">
        <w:rPr>
          <w:rFonts w:ascii="Times New Roman" w:hAnsi="Times New Roman"/>
          <w:color w:val="000000" w:themeColor="text1"/>
          <w:lang w:bidi="en-US"/>
        </w:rPr>
        <w:t>——</w:t>
      </w:r>
      <w:r w:rsidRPr="008A2411">
        <w:rPr>
          <w:rFonts w:ascii="Times New Roman" w:hAnsi="Times New Roman"/>
          <w:color w:val="000000" w:themeColor="text1"/>
          <w:lang w:bidi="en-US"/>
        </w:rPr>
        <w:t>基础施工</w:t>
      </w:r>
      <w:r w:rsidRPr="008A2411">
        <w:rPr>
          <w:rFonts w:ascii="Times New Roman" w:hAnsi="Times New Roman"/>
          <w:color w:val="000000" w:themeColor="text1"/>
          <w:lang w:bidi="en-US"/>
        </w:rPr>
        <w:t>——</w:t>
      </w:r>
      <w:r w:rsidRPr="008A2411">
        <w:rPr>
          <w:rFonts w:ascii="Times New Roman" w:hAnsi="Times New Roman"/>
          <w:color w:val="000000" w:themeColor="text1"/>
          <w:lang w:bidi="en-US"/>
        </w:rPr>
        <w:t>土建工程</w:t>
      </w:r>
      <w:r w:rsidRPr="008A2411">
        <w:rPr>
          <w:rFonts w:ascii="Times New Roman" w:hAnsi="Times New Roman"/>
          <w:color w:val="000000" w:themeColor="text1"/>
          <w:lang w:bidi="en-US"/>
        </w:rPr>
        <w:t>——</w:t>
      </w:r>
      <w:r w:rsidRPr="008A2411">
        <w:rPr>
          <w:rFonts w:ascii="Times New Roman" w:hAnsi="Times New Roman"/>
          <w:color w:val="000000" w:themeColor="text1"/>
          <w:lang w:bidi="en-US"/>
        </w:rPr>
        <w:t>装置运输</w:t>
      </w:r>
      <w:r w:rsidRPr="008A2411">
        <w:rPr>
          <w:rFonts w:ascii="Times New Roman" w:hAnsi="Times New Roman"/>
          <w:color w:val="000000" w:themeColor="text1"/>
          <w:lang w:bidi="en-US"/>
        </w:rPr>
        <w:t>——</w:t>
      </w:r>
      <w:r w:rsidRPr="008A2411">
        <w:rPr>
          <w:rFonts w:ascii="Times New Roman" w:hAnsi="Times New Roman"/>
          <w:color w:val="000000" w:themeColor="text1"/>
          <w:lang w:bidi="en-US"/>
        </w:rPr>
        <w:t>安装工程</w:t>
      </w:r>
      <w:r w:rsidRPr="008A2411">
        <w:rPr>
          <w:rFonts w:ascii="Times New Roman" w:hAnsi="Times New Roman"/>
          <w:color w:val="000000" w:themeColor="text1"/>
          <w:lang w:bidi="en-US"/>
        </w:rPr>
        <w:t>——</w:t>
      </w:r>
      <w:r w:rsidRPr="008A2411">
        <w:rPr>
          <w:rFonts w:ascii="Times New Roman" w:hAnsi="Times New Roman"/>
          <w:color w:val="000000" w:themeColor="text1"/>
          <w:lang w:bidi="en-US"/>
        </w:rPr>
        <w:t>调试运营，项目施工期工艺流程</w:t>
      </w:r>
      <w:proofErr w:type="gramStart"/>
      <w:r w:rsidRPr="008A2411">
        <w:rPr>
          <w:rFonts w:ascii="Times New Roman" w:hAnsi="Times New Roman"/>
          <w:color w:val="000000" w:themeColor="text1"/>
          <w:lang w:bidi="en-US"/>
        </w:rPr>
        <w:t>及产污环节</w:t>
      </w:r>
      <w:proofErr w:type="gramEnd"/>
      <w:r w:rsidRPr="008A2411">
        <w:rPr>
          <w:rFonts w:ascii="Times New Roman" w:hAnsi="Times New Roman"/>
          <w:color w:val="000000" w:themeColor="text1"/>
          <w:lang w:bidi="en-US"/>
        </w:rPr>
        <w:t>见图</w:t>
      </w:r>
      <w:r w:rsidRPr="008A2411">
        <w:rPr>
          <w:rFonts w:ascii="Times New Roman" w:hAnsi="Times New Roman"/>
          <w:color w:val="000000" w:themeColor="text1"/>
          <w:lang w:bidi="en-US"/>
        </w:rPr>
        <w:t>3.1-1</w:t>
      </w:r>
      <w:r w:rsidRPr="008A2411">
        <w:rPr>
          <w:rFonts w:ascii="Times New Roman" w:hAnsi="Times New Roman"/>
          <w:color w:val="000000" w:themeColor="text1"/>
          <w:lang w:bidi="en-US"/>
        </w:rPr>
        <w:t>。</w:t>
      </w:r>
    </w:p>
    <w:p w14:paraId="7901D3D5" w14:textId="77777777" w:rsidR="006E5757" w:rsidRPr="008A2411" w:rsidRDefault="006E5757">
      <w:pPr>
        <w:spacing w:line="360" w:lineRule="auto"/>
        <w:ind w:firstLineChars="200" w:firstLine="480"/>
        <w:rPr>
          <w:rFonts w:ascii="Times New Roman"/>
          <w:color w:val="000000" w:themeColor="text1"/>
          <w:lang w:bidi="en-US"/>
        </w:rPr>
      </w:pPr>
    </w:p>
    <w:p w14:paraId="12FD3C8E" w14:textId="38539181" w:rsidR="00B0005F" w:rsidRPr="008A2411" w:rsidRDefault="00000000">
      <w:pPr>
        <w:spacing w:line="360" w:lineRule="auto"/>
        <w:ind w:firstLineChars="200" w:firstLine="480"/>
        <w:rPr>
          <w:rFonts w:ascii="Times New Roman"/>
          <w:color w:val="000000" w:themeColor="text1"/>
          <w:lang w:bidi="en-US"/>
        </w:rPr>
      </w:pPr>
      <w:r w:rsidRPr="008A2411">
        <w:rPr>
          <w:rFonts w:ascii="Times New Roman"/>
          <w:noProof/>
          <w:color w:val="000000" w:themeColor="text1"/>
        </w:rPr>
        <mc:AlternateContent>
          <mc:Choice Requires="wps">
            <w:drawing>
              <wp:anchor distT="0" distB="0" distL="114300" distR="114300" simplePos="0" relativeHeight="251590144" behindDoc="0" locked="0" layoutInCell="1" allowOverlap="1" wp14:anchorId="722534EC" wp14:editId="186C3A12">
                <wp:simplePos x="0" y="0"/>
                <wp:positionH relativeFrom="column">
                  <wp:posOffset>1056005</wp:posOffset>
                </wp:positionH>
                <wp:positionV relativeFrom="paragraph">
                  <wp:posOffset>17145</wp:posOffset>
                </wp:positionV>
                <wp:extent cx="2693035" cy="314325"/>
                <wp:effectExtent l="8255" t="7620" r="13335" b="11430"/>
                <wp:wrapNone/>
                <wp:docPr id="202" name="文本框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93035" cy="314325"/>
                        </a:xfrm>
                        <a:prstGeom prst="rect">
                          <a:avLst/>
                        </a:prstGeom>
                        <a:noFill/>
                        <a:ln w="9525">
                          <a:solidFill>
                            <a:srgbClr val="000000"/>
                          </a:solidFill>
                          <a:prstDash val="dash"/>
                          <a:miter lim="800000"/>
                        </a:ln>
                      </wps:spPr>
                      <wps:txbx>
                        <w:txbxContent>
                          <w:p w14:paraId="0AB1ABF4" w14:textId="77777777" w:rsidR="00B0005F" w:rsidRDefault="00000000">
                            <w:pPr>
                              <w:jc w:val="center"/>
                            </w:pPr>
                            <w:r>
                              <w:rPr>
                                <w:rFonts w:hint="eastAsia"/>
                              </w:rPr>
                              <w:t>噪声、扬尘、废气、水土流失、废水</w:t>
                            </w:r>
                          </w:p>
                        </w:txbxContent>
                      </wps:txbx>
                      <wps:bodyPr rot="0" vert="horz" wrap="square" lIns="91440" tIns="45720" rIns="91440" bIns="45720" anchor="t" anchorCtr="0" upright="1">
                        <a:noAutofit/>
                      </wps:bodyPr>
                    </wps:wsp>
                  </a:graphicData>
                </a:graphic>
              </wp:anchor>
            </w:drawing>
          </mc:Choice>
          <mc:Fallback>
            <w:pict>
              <v:shape w14:anchorId="722534EC" id="文本框 44" o:spid="_x0000_s1036" type="#_x0000_t202" style="position:absolute;left:0;text-align:left;margin-left:83.15pt;margin-top:1.35pt;width:212.05pt;height:24.75pt;z-index:2515901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" filled="f">
                <v:stroke dashstyle="dash"/>
                <v:textbox>
                  <w:txbxContent>
                    <w:p w14:paraId="0AB1ABF4" w14:textId="77777777" w:rsidR="00B0005F" w:rsidRDefault="00000000">
                      <w:pPr>
                        <w:jc w:val="center"/>
                      </w:pPr>
                      <w:r>
                        <w:rPr>
                          <w:rFonts w:hint="eastAsia"/>
                        </w:rPr>
                        <w:t>噪声、扬尘、废气、水土流失、废水</w:t>
                      </w:r>
                    </w:p>
                  </w:txbxContent>
                </v:textbox>
              </v:shape>
            </w:pict>
          </mc:Fallback>
        </mc:AlternateContent>
      </w:r>
    </w:p>
    <w:p w14:paraId="5D1E5D45" w14:textId="77777777" w:rsidR="00B0005F" w:rsidRPr="008A2411" w:rsidRDefault="00000000">
      <w:pPr>
        <w:spacing w:line="360" w:lineRule="auto"/>
        <w:ind w:firstLineChars="200" w:firstLine="480"/>
        <w:rPr>
          <w:rFonts w:ascii="Times New Roman"/>
          <w:color w:val="000000" w:themeColor="text1"/>
          <w:lang w:bidi="en-US"/>
        </w:rPr>
      </w:pPr>
      <w:r w:rsidRPr="008A2411">
        <w:rPr>
          <w:rFonts w:ascii="Times New Roman"/>
          <w:noProof/>
          <w:color w:val="000000" w:themeColor="text1"/>
        </w:rPr>
        <mc:AlternateContent>
          <mc:Choice Requires="wps">
            <w:drawing>
              <wp:anchor distT="0" distB="0" distL="114300" distR="114300" simplePos="0" relativeHeight="251596288" behindDoc="0" locked="0" layoutInCell="1" allowOverlap="1" wp14:anchorId="0AFC9398" wp14:editId="16B6D389">
                <wp:simplePos x="0" y="0"/>
                <wp:positionH relativeFrom="column">
                  <wp:posOffset>2340610</wp:posOffset>
                </wp:positionH>
                <wp:positionV relativeFrom="paragraph">
                  <wp:posOffset>34290</wp:posOffset>
                </wp:positionV>
                <wp:extent cx="635" cy="567690"/>
                <wp:effectExtent l="54610" t="15240" r="59055" b="7620"/>
                <wp:wrapNone/>
                <wp:docPr id="201" name="AutoShape 5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 cy="567690"/>
                        </a:xfrm>
                        <a:prstGeom prst="straightConnector1">
                          <a:avLst/>
                        </a:prstGeom>
                        <a:noFill/>
                        <a:ln w="9525">
                          <a:solidFill>
                            <a:srgbClr val="000000"/>
                          </a:solidFill>
                          <a:prstDash val="dashDot"/>
                          <a:round/>
                          <a:tailEnd type="triangle" w="med" len="med"/>
                        </a:ln>
                      </wps:spPr>
                      <wps:bodyPr/>
                    </wps:wsp>
                  </a:graphicData>
                </a:graphic>
              </wp:anchor>
            </w:drawing>
          </mc:Choice>
          <mc:Fallback>
            <w:pict>
              <v:shape w14:anchorId="41292D01" id="AutoShape 556" o:spid="_x0000_s1026" type="#_x0000_t32" style="position:absolute;left:0;text-align:left;margin-left:184.3pt;margin-top:2.7pt;width:.05pt;height:44.7pt;flip:y;z-index:2515962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">
                <v:stroke dashstyle="dashDot" endarrow="block"/>
              </v:shape>
            </w:pict>
          </mc:Fallback>
        </mc:AlternateContent>
      </w:r>
    </w:p>
    <w:p w14:paraId="70ED11A8" w14:textId="77777777" w:rsidR="00B0005F" w:rsidRPr="008A2411" w:rsidRDefault="00000000">
      <w:pPr>
        <w:spacing w:line="360" w:lineRule="auto"/>
        <w:ind w:firstLineChars="200" w:firstLine="480"/>
        <w:rPr>
          <w:rFonts w:ascii="Times New Roman"/>
          <w:color w:val="000000" w:themeColor="text1"/>
          <w:lang w:bidi="en-US"/>
        </w:rPr>
      </w:pPr>
      <w:r w:rsidRPr="008A2411">
        <w:rPr>
          <w:rFonts w:ascii="Times New Roman"/>
          <w:noProof/>
          <w:color w:val="000000" w:themeColor="text1"/>
        </w:rPr>
        <mc:AlternateContent>
          <mc:Choice Requires="wps">
            <w:drawing>
              <wp:anchor distT="0" distB="0" distL="114300" distR="114300" simplePos="0" relativeHeight="251571712" behindDoc="0" locked="0" layoutInCell="1" allowOverlap="1" wp14:anchorId="7EDDF3C6" wp14:editId="23DDFE4C">
                <wp:simplePos x="0" y="0"/>
                <wp:positionH relativeFrom="column">
                  <wp:posOffset>4334510</wp:posOffset>
                </wp:positionH>
                <wp:positionV relativeFrom="paragraph">
                  <wp:posOffset>1270</wp:posOffset>
                </wp:positionV>
                <wp:extent cx="0" cy="266700"/>
                <wp:effectExtent l="0" t="0" r="19050" b="0"/>
                <wp:wrapNone/>
                <wp:docPr id="210" name="直接连接符 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6700"/>
                        </a:xfrm>
                        <a:prstGeom prst="line">
                          <a:avLst/>
                        </a:prstGeom>
                        <a:noFill/>
                        <a:ln w="9525">
                          <a:solidFill>
                            <a:srgbClr val="000000"/>
                          </a:solidFill>
                          <a:prstDash val="dash"/>
                          <a:round/>
                        </a:ln>
                      </wps:spPr>
                      <wps:bodyPr/>
                    </wps:wsp>
                  </a:graphicData>
                </a:graphic>
              </wp:anchor>
            </w:drawing>
          </mc:Choice>
          <mc:Fallback>
            <w:pict>
              <v:line w14:anchorId="0BD50B03" id="直接连接符 38" o:spid="_x0000_s1026" style="position:absolute;left:0;text-align:left;z-index:251571712;visibility:visible;mso-wrap-style:square;mso-wrap-distance-left:9pt;mso-wrap-distance-top:0;mso-wrap-distance-right:9pt;mso-wrap-distance-bottom:0;mso-position-horizontal:absolute;mso-position-horizontal-relative:text;mso-position-vertical:absolute;mso-position-vertical-relative:text" from="341.3pt,.1pt" to="341.3pt,2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">
                <v:stroke dashstyle="dash"/>
              </v:line>
            </w:pict>
          </mc:Fallback>
        </mc:AlternateContent>
      </w:r>
      <w:r w:rsidRPr="008A2411">
        <w:rPr>
          <w:rFonts w:ascii="Times New Roman"/>
          <w:noProof/>
          <w:color w:val="000000" w:themeColor="text1"/>
        </w:rPr>
        <mc:AlternateContent>
          <mc:Choice Requires="wps">
            <w:drawing>
              <wp:anchor distT="0" distB="0" distL="114300" distR="114300" simplePos="0" relativeHeight="251599360" behindDoc="0" locked="0" layoutInCell="1" allowOverlap="1" wp14:anchorId="16717DC2" wp14:editId="1AF22E48">
                <wp:simplePos x="0" y="0"/>
                <wp:positionH relativeFrom="column">
                  <wp:posOffset>558165</wp:posOffset>
                </wp:positionH>
                <wp:positionV relativeFrom="paragraph">
                  <wp:posOffset>1270</wp:posOffset>
                </wp:positionV>
                <wp:extent cx="3773805" cy="17780"/>
                <wp:effectExtent l="5715" t="6985" r="11430" b="13335"/>
                <wp:wrapNone/>
                <wp:docPr id="200" name="AutoShape 5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3773805" cy="17780"/>
                        </a:xfrm>
                        <a:prstGeom prst="straightConnector1">
                          <a:avLst/>
                        </a:prstGeom>
                        <a:noFill/>
                        <a:ln w="9525">
                          <a:solidFill>
                            <a:srgbClr val="000000"/>
                          </a:solidFill>
                          <a:prstDash val="dash"/>
                          <a:round/>
                        </a:ln>
                      </wps:spPr>
                      <wps:bodyPr/>
                    </wps:wsp>
                  </a:graphicData>
                </a:graphic>
              </wp:anchor>
            </w:drawing>
          </mc:Choice>
          <mc:Fallback>
            <w:pict>
              <v:shape w14:anchorId="6B4F10AE" id="AutoShape 557" o:spid="_x0000_s1026" type="#_x0000_t32" style="position:absolute;left:0;text-align:left;margin-left:43.95pt;margin-top:.1pt;width:297.15pt;height:1.4pt;flip:y;z-index:25159936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">
                <v:stroke dashstyle="dash"/>
              </v:shape>
            </w:pict>
          </mc:Fallback>
        </mc:AlternateContent>
      </w:r>
      <w:r w:rsidRPr="008A2411">
        <w:rPr>
          <w:rFonts w:ascii="Times New Roman"/>
          <w:noProof/>
          <w:color w:val="000000" w:themeColor="text1"/>
        </w:rPr>
        <mc:AlternateContent>
          <mc:Choice Requires="wps">
            <w:drawing>
              <wp:anchor distT="0" distB="0" distL="114300" distR="114300" simplePos="0" relativeHeight="251568640" behindDoc="0" locked="0" layoutInCell="1" allowOverlap="1" wp14:anchorId="57E6397A" wp14:editId="3637D570">
                <wp:simplePos x="0" y="0"/>
                <wp:positionH relativeFrom="column">
                  <wp:posOffset>557530</wp:posOffset>
                </wp:positionH>
                <wp:positionV relativeFrom="paragraph">
                  <wp:posOffset>19050</wp:posOffset>
                </wp:positionV>
                <wp:extent cx="635" cy="304800"/>
                <wp:effectExtent l="5080" t="5715" r="13335" b="13335"/>
                <wp:wrapNone/>
                <wp:docPr id="199" name="直接连接符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304800"/>
                        </a:xfrm>
                        <a:prstGeom prst="line">
                          <a:avLst/>
                        </a:prstGeom>
                        <a:noFill/>
                        <a:ln w="9525">
                          <a:solidFill>
                            <a:srgbClr val="000000"/>
                          </a:solidFill>
                          <a:prstDash val="dash"/>
                          <a:round/>
                        </a:ln>
                      </wps:spPr>
                      <wps:bodyPr/>
                    </wps:wsp>
                  </a:graphicData>
                </a:graphic>
              </wp:anchor>
            </w:drawing>
          </mc:Choice>
          <mc:Fallback>
            <w:pict>
              <v:line w14:anchorId="56B398FF" id="直接连接符 35" o:spid="_x0000_s1026" style="position:absolute;left:0;text-align:left;z-index:251568640;visibility:visible;mso-wrap-style:square;mso-wrap-distance-left:9pt;mso-wrap-distance-top:0;mso-wrap-distance-right:9pt;mso-wrap-distance-bottom:0;mso-position-horizontal:absolute;mso-position-horizontal-relative:text;mso-position-vertical:absolute;mso-position-vertical-relative:text" from="43.9pt,1.5pt" to="43.95pt,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">
                <v:stroke dashstyle="dash"/>
              </v:line>
            </w:pict>
          </mc:Fallback>
        </mc:AlternateContent>
      </w:r>
    </w:p>
    <w:p w14:paraId="51CB41F5" w14:textId="77777777" w:rsidR="00B0005F" w:rsidRPr="008A2411" w:rsidRDefault="00000000">
      <w:pPr>
        <w:spacing w:line="360" w:lineRule="auto"/>
        <w:ind w:firstLineChars="200" w:firstLine="480"/>
        <w:rPr>
          <w:rFonts w:ascii="Times New Roman"/>
          <w:color w:val="000000" w:themeColor="text1"/>
          <w:lang w:bidi="en-US"/>
        </w:rPr>
      </w:pPr>
      <w:r w:rsidRPr="008A2411">
        <w:rPr>
          <w:rFonts w:ascii="Times New Roman"/>
          <w:noProof/>
          <w:color w:val="000000" w:themeColor="text1"/>
        </w:rPr>
        <mc:AlternateContent>
          <mc:Choice Requires="wps">
            <w:drawing>
              <wp:anchor distT="0" distB="0" distL="114300" distR="114300" simplePos="0" relativeHeight="251553280" behindDoc="0" locked="0" layoutInCell="1" allowOverlap="1" wp14:anchorId="1703F48B" wp14:editId="0DC93D95">
                <wp:simplePos x="0" y="0"/>
                <wp:positionH relativeFrom="column">
                  <wp:posOffset>1708150</wp:posOffset>
                </wp:positionH>
                <wp:positionV relativeFrom="paragraph">
                  <wp:posOffset>26670</wp:posOffset>
                </wp:positionV>
                <wp:extent cx="1202055" cy="314325"/>
                <wp:effectExtent l="12700" t="13335" r="13970" b="5715"/>
                <wp:wrapNone/>
                <wp:docPr id="198" name="文本框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2055" cy="314325"/>
                        </a:xfrm>
                        <a:prstGeom prst="rect">
                          <a:avLst/>
                        </a:prstGeom>
                        <a:noFill/>
                        <a:ln w="3175">
                          <a:solidFill>
                            <a:srgbClr val="000000"/>
                          </a:solidFill>
                          <a:miter lim="800000"/>
                        </a:ln>
                      </wps:spPr>
                      <wps:txbx>
                        <w:txbxContent>
                          <w:p w14:paraId="3EC9C71E" w14:textId="77777777" w:rsidR="00B0005F" w:rsidRDefault="00000000">
                            <w:pPr>
                              <w:jc w:val="center"/>
                            </w:pPr>
                            <w:r>
                              <w:rPr>
                                <w:rFonts w:hint="eastAsia"/>
                              </w:rPr>
                              <w:t>基础施工</w:t>
                            </w:r>
                          </w:p>
                        </w:txbxContent>
                      </wps:txbx>
                      <wps:bodyPr rot="0" vert="horz" wrap="square" lIns="91440" tIns="45720" rIns="91440" bIns="45720" anchor="t" anchorCtr="0" upright="1">
                        <a:noAutofit/>
                      </wps:bodyPr>
                    </wps:wsp>
                  </a:graphicData>
                </a:graphic>
              </wp:anchor>
            </w:drawing>
          </mc:Choice>
          <mc:Fallback>
            <w:pict>
              <v:shape w14:anchorId="1703F48B" id="_x0000_s1037" type="#_x0000_t202" style="position:absolute;left:0;text-align:left;margin-left:134.5pt;margin-top:2.1pt;width:94.65pt;height:24.75pt;z-index:2515532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" filled="f" strokeweight=".25pt">
                <v:textbox>
                  <w:txbxContent>
                    <w:p w14:paraId="3EC9C71E" w14:textId="77777777" w:rsidR="00B0005F" w:rsidRDefault="00000000">
                      <w:pPr>
                        <w:jc w:val="center"/>
                      </w:pPr>
                      <w:r>
                        <w:rPr>
                          <w:rFonts w:hint="eastAsia"/>
                        </w:rPr>
                        <w:t>基础施工</w:t>
                      </w:r>
                    </w:p>
                  </w:txbxContent>
                </v:textbox>
              </v:shape>
            </w:pict>
          </mc:Fallback>
        </mc:AlternateContent>
      </w:r>
      <w:r w:rsidRPr="008A2411">
        <w:rPr>
          <w:rFonts w:ascii="Times New Roman"/>
          <w:noProof/>
          <w:color w:val="000000" w:themeColor="text1"/>
        </w:rPr>
        <mc:AlternateContent>
          <mc:Choice Requires="wps">
            <w:drawing>
              <wp:anchor distT="0" distB="0" distL="114300" distR="114300" simplePos="0" relativeHeight="251611648" behindDoc="0" locked="0" layoutInCell="1" allowOverlap="1" wp14:anchorId="7C4C42BC" wp14:editId="14A91CB0">
                <wp:simplePos x="0" y="0"/>
                <wp:positionH relativeFrom="column">
                  <wp:posOffset>2910205</wp:posOffset>
                </wp:positionH>
                <wp:positionV relativeFrom="paragraph">
                  <wp:posOffset>133985</wp:posOffset>
                </wp:positionV>
                <wp:extent cx="955675" cy="635"/>
                <wp:effectExtent l="5080" t="57785" r="20320" b="55880"/>
                <wp:wrapNone/>
                <wp:docPr id="197" name="AutoShape 55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5675" cy="635"/>
                        </a:xfrm>
                        <a:prstGeom prst="straightConnector1">
                          <a:avLst/>
                        </a:prstGeom>
                        <a:noFill/>
                        <a:ln w="9525">
                          <a:solidFill>
                            <a:srgbClr val="000000"/>
                          </a:solidFill>
                          <a:round/>
                          <a:tailEnd type="triangle" w="med" len="med"/>
                        </a:ln>
                      </wps:spPr>
                      <wps:bodyPr/>
                    </wps:wsp>
                  </a:graphicData>
                </a:graphic>
              </wp:anchor>
            </w:drawing>
          </mc:Choice>
          <mc:Fallback>
            <w:pict>
              <v:shape w14:anchorId="5D3427BB" id="AutoShape 559" o:spid="_x0000_s1026" type="#_x0000_t32" style="position:absolute;left:0;text-align:left;margin-left:229.15pt;margin-top:10.55pt;width:75.25pt;height:.05pt;z-index:2516116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">
                <v:stroke endarrow="block"/>
              </v:shape>
            </w:pict>
          </mc:Fallback>
        </mc:AlternateContent>
      </w:r>
      <w:r w:rsidRPr="008A2411">
        <w:rPr>
          <w:rFonts w:ascii="Times New Roman"/>
          <w:noProof/>
          <w:color w:val="000000" w:themeColor="text1"/>
        </w:rPr>
        <mc:AlternateContent>
          <mc:Choice Requires="wps">
            <w:drawing>
              <wp:anchor distT="0" distB="0" distL="114300" distR="114300" simplePos="0" relativeHeight="251605504" behindDoc="0" locked="0" layoutInCell="1" allowOverlap="1" wp14:anchorId="36BE3F1D" wp14:editId="3B8817B3">
                <wp:simplePos x="0" y="0"/>
                <wp:positionH relativeFrom="column">
                  <wp:posOffset>1056005</wp:posOffset>
                </wp:positionH>
                <wp:positionV relativeFrom="paragraph">
                  <wp:posOffset>146050</wp:posOffset>
                </wp:positionV>
                <wp:extent cx="652145" cy="0"/>
                <wp:effectExtent l="8255" t="60325" r="15875" b="53975"/>
                <wp:wrapNone/>
                <wp:docPr id="196" name="AutoShape 5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2145" cy="0"/>
                        </a:xfrm>
                        <a:prstGeom prst="straightConnector1">
                          <a:avLst/>
                        </a:prstGeom>
                        <a:noFill/>
                        <a:ln w="9525">
                          <a:solidFill>
                            <a:srgbClr val="000000"/>
                          </a:solidFill>
                          <a:round/>
                          <a:tailEnd type="triangle" w="med" len="med"/>
                        </a:ln>
                      </wps:spPr>
                      <wps:bodyPr/>
                    </wps:wsp>
                  </a:graphicData>
                </a:graphic>
              </wp:anchor>
            </w:drawing>
          </mc:Choice>
          <mc:Fallback>
            <w:pict>
              <v:shape w14:anchorId="60DA77A4" id="AutoShape 558" o:spid="_x0000_s1026" type="#_x0000_t32" style="position:absolute;left:0;text-align:left;margin-left:83.15pt;margin-top:11.5pt;width:51.35pt;height:0;z-index:25160550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">
                <v:stroke endarrow="block"/>
              </v:shape>
            </w:pict>
          </mc:Fallback>
        </mc:AlternateContent>
      </w:r>
      <w:r w:rsidRPr="008A2411">
        <w:rPr>
          <w:rFonts w:ascii="Times New Roman"/>
          <w:noProof/>
          <w:color w:val="000000" w:themeColor="text1"/>
        </w:rPr>
        <mc:AlternateContent>
          <mc:Choice Requires="wps">
            <w:drawing>
              <wp:anchor distT="0" distB="0" distL="114300" distR="114300" simplePos="0" relativeHeight="251550208" behindDoc="0" locked="0" layoutInCell="1" allowOverlap="1" wp14:anchorId="6F01F189" wp14:editId="389C07DC">
                <wp:simplePos x="0" y="0"/>
                <wp:positionH relativeFrom="column">
                  <wp:posOffset>142875</wp:posOffset>
                </wp:positionH>
                <wp:positionV relativeFrom="paragraph">
                  <wp:posOffset>7620</wp:posOffset>
                </wp:positionV>
                <wp:extent cx="871855" cy="314325"/>
                <wp:effectExtent l="9525" t="7620" r="13970" b="11430"/>
                <wp:wrapNone/>
                <wp:docPr id="195" name="文本框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71855" cy="314325"/>
                        </a:xfrm>
                        <a:prstGeom prst="rect">
                          <a:avLst/>
                        </a:prstGeom>
                        <a:noFill/>
                        <a:ln w="3175">
                          <a:solidFill>
                            <a:srgbClr val="000000"/>
                          </a:solidFill>
                          <a:miter lim="800000"/>
                        </a:ln>
                      </wps:spPr>
                      <wps:txbx>
                        <w:txbxContent>
                          <w:p w14:paraId="1BE74960" w14:textId="77777777" w:rsidR="00B0005F" w:rsidRDefault="00000000">
                            <w:pPr>
                              <w:jc w:val="center"/>
                            </w:pPr>
                            <w:r>
                              <w:rPr>
                                <w:rFonts w:hint="eastAsia"/>
                              </w:rPr>
                              <w:t>场平施工</w:t>
                            </w:r>
                          </w:p>
                        </w:txbxContent>
                      </wps:txbx>
                      <wps:bodyPr rot="0" vert="horz" wrap="square" lIns="91440" tIns="45720" rIns="91440" bIns="45720" anchor="t" anchorCtr="0" upright="1">
                        <a:noAutofit/>
                      </wps:bodyPr>
                    </wps:wsp>
                  </a:graphicData>
                </a:graphic>
              </wp:anchor>
            </w:drawing>
          </mc:Choice>
          <mc:Fallback>
            <w:pict>
              <v:shape w14:anchorId="6F01F189" id="文本框 2" o:spid="_x0000_s1038" type="#_x0000_t202" style="position:absolute;left:0;text-align:left;margin-left:11.25pt;margin-top:.6pt;width:68.65pt;height:24.75pt;z-index:2515502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" filled="f" strokeweight=".25pt">
                <v:textbox>
                  <w:txbxContent>
                    <w:p w14:paraId="1BE74960" w14:textId="77777777" w:rsidR="00B0005F" w:rsidRDefault="00000000">
                      <w:pPr>
                        <w:jc w:val="center"/>
                      </w:pPr>
                      <w:r>
                        <w:rPr>
                          <w:rFonts w:hint="eastAsia"/>
                        </w:rPr>
                        <w:t>场平施工</w:t>
                      </w:r>
                    </w:p>
                  </w:txbxContent>
                </v:textbox>
              </v:shape>
            </w:pict>
          </mc:Fallback>
        </mc:AlternateContent>
      </w:r>
      <w:r w:rsidRPr="008A2411">
        <w:rPr>
          <w:rFonts w:ascii="Times New Roman"/>
          <w:noProof/>
          <w:color w:val="000000" w:themeColor="text1"/>
        </w:rPr>
        <mc:AlternateContent>
          <mc:Choice Requires="wps">
            <w:drawing>
              <wp:anchor distT="0" distB="0" distL="114300" distR="114300" simplePos="0" relativeHeight="251556352" behindDoc="0" locked="0" layoutInCell="1" allowOverlap="1" wp14:anchorId="54E65CC3" wp14:editId="24817684">
                <wp:simplePos x="0" y="0"/>
                <wp:positionH relativeFrom="column">
                  <wp:posOffset>3865880</wp:posOffset>
                </wp:positionH>
                <wp:positionV relativeFrom="paragraph">
                  <wp:posOffset>4445</wp:posOffset>
                </wp:positionV>
                <wp:extent cx="921385" cy="314325"/>
                <wp:effectExtent l="0" t="0" r="12065" b="28575"/>
                <wp:wrapNone/>
                <wp:docPr id="209" name="文本框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21385" cy="314325"/>
                        </a:xfrm>
                        <a:prstGeom prst="rect">
                          <a:avLst/>
                        </a:prstGeom>
                        <a:noFill/>
                        <a:ln w="3175">
                          <a:solidFill>
                            <a:srgbClr val="000000"/>
                          </a:solidFill>
                          <a:miter lim="800000"/>
                        </a:ln>
                      </wps:spPr>
                      <wps:txbx>
                        <w:txbxContent>
                          <w:p w14:paraId="71E8A00B" w14:textId="77777777" w:rsidR="00B0005F" w:rsidRDefault="00000000">
                            <w:pPr>
                              <w:jc w:val="center"/>
                            </w:pPr>
                            <w:r>
                              <w:rPr>
                                <w:rFonts w:hint="eastAsia"/>
                              </w:rPr>
                              <w:t>土建工程</w:t>
                            </w:r>
                          </w:p>
                        </w:txbxContent>
                      </wps:txbx>
                      <wps:bodyPr rot="0" vert="horz" wrap="square" lIns="91440" tIns="45720" rIns="91440" bIns="45720" anchor="t" anchorCtr="0" upright="1">
                        <a:noAutofit/>
                      </wps:bodyPr>
                    </wps:wsp>
                  </a:graphicData>
                </a:graphic>
              </wp:anchor>
            </w:drawing>
          </mc:Choice>
          <mc:Fallback>
            <w:pict>
              <v:shape w14:anchorId="54E65CC3" id="文本框 7" o:spid="_x0000_s1039" type="#_x0000_t202" style="position:absolute;left:0;text-align:left;margin-left:304.4pt;margin-top:.35pt;width:72.55pt;height:24.75pt;z-index:2515563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" filled="f" strokeweight=".25pt">
                <v:textbox>
                  <w:txbxContent>
                    <w:p w14:paraId="71E8A00B" w14:textId="77777777" w:rsidR="00B0005F" w:rsidRDefault="00000000">
                      <w:pPr>
                        <w:jc w:val="center"/>
                      </w:pPr>
                      <w:r>
                        <w:rPr>
                          <w:rFonts w:hint="eastAsia"/>
                        </w:rPr>
                        <w:t>土建工程</w:t>
                      </w:r>
                    </w:p>
                  </w:txbxContent>
                </v:textbox>
              </v:shape>
            </w:pict>
          </mc:Fallback>
        </mc:AlternateContent>
      </w:r>
    </w:p>
    <w:p w14:paraId="0450C1C8" w14:textId="77777777" w:rsidR="00B0005F" w:rsidRPr="008A2411" w:rsidRDefault="00000000">
      <w:pPr>
        <w:spacing w:line="360" w:lineRule="auto"/>
        <w:ind w:firstLineChars="200" w:firstLine="480"/>
        <w:rPr>
          <w:rFonts w:ascii="Times New Roman"/>
          <w:color w:val="000000" w:themeColor="text1"/>
          <w:lang w:bidi="en-US"/>
        </w:rPr>
      </w:pPr>
      <w:r w:rsidRPr="008A2411">
        <w:rPr>
          <w:rFonts w:ascii="Times New Roman"/>
          <w:noProof/>
          <w:color w:val="000000" w:themeColor="text1"/>
        </w:rPr>
        <mc:AlternateContent>
          <mc:Choice Requires="wps">
            <w:drawing>
              <wp:anchor distT="0" distB="0" distL="114300" distR="114300" simplePos="0" relativeHeight="251614720" behindDoc="0" locked="0" layoutInCell="1" allowOverlap="1" wp14:anchorId="15AC58FB" wp14:editId="0FDE6369">
                <wp:simplePos x="0" y="0"/>
                <wp:positionH relativeFrom="column">
                  <wp:posOffset>4340860</wp:posOffset>
                </wp:positionH>
                <wp:positionV relativeFrom="paragraph">
                  <wp:posOffset>24765</wp:posOffset>
                </wp:positionV>
                <wp:extent cx="635" cy="572135"/>
                <wp:effectExtent l="54610" t="5715" r="59055" b="22225"/>
                <wp:wrapNone/>
                <wp:docPr id="194" name="AutoShape 56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572135"/>
                        </a:xfrm>
                        <a:prstGeom prst="straightConnector1">
                          <a:avLst/>
                        </a:prstGeom>
                        <a:noFill/>
                        <a:ln w="9525">
                          <a:solidFill>
                            <a:srgbClr val="000000"/>
                          </a:solidFill>
                          <a:round/>
                          <a:tailEnd type="triangle" w="med" len="med"/>
                        </a:ln>
                      </wps:spPr>
                      <wps:bodyPr/>
                    </wps:wsp>
                  </a:graphicData>
                </a:graphic>
              </wp:anchor>
            </w:drawing>
          </mc:Choice>
          <mc:Fallback>
            <w:pict>
              <v:shape w14:anchorId="05931645" id="AutoShape 562" o:spid="_x0000_s1026" type="#_x0000_t32" style="position:absolute;left:0;text-align:left;margin-left:341.8pt;margin-top:1.95pt;width:.05pt;height:45.05pt;z-index:25161472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">
                <v:stroke endarrow="block"/>
              </v:shape>
            </w:pict>
          </mc:Fallback>
        </mc:AlternateContent>
      </w:r>
    </w:p>
    <w:p w14:paraId="2926CBD5" w14:textId="77777777" w:rsidR="00B0005F" w:rsidRPr="008A2411" w:rsidRDefault="00000000">
      <w:pPr>
        <w:tabs>
          <w:tab w:val="left" w:pos="6045"/>
        </w:tabs>
        <w:spacing w:line="360" w:lineRule="auto"/>
        <w:ind w:firstLineChars="200" w:firstLine="480"/>
        <w:rPr>
          <w:rFonts w:ascii="Times New Roman"/>
          <w:color w:val="000000" w:themeColor="text1"/>
          <w:lang w:bidi="en-US"/>
        </w:rPr>
      </w:pPr>
      <w:r w:rsidRPr="008A2411">
        <w:rPr>
          <w:rFonts w:ascii="Times New Roman"/>
          <w:color w:val="000000" w:themeColor="text1"/>
          <w:lang w:bidi="en-US"/>
        </w:rPr>
        <w:tab/>
      </w:r>
    </w:p>
    <w:p w14:paraId="50666A5E" w14:textId="77777777" w:rsidR="00B0005F" w:rsidRPr="008A2411" w:rsidRDefault="00000000">
      <w:pPr>
        <w:spacing w:line="360" w:lineRule="auto"/>
        <w:ind w:firstLineChars="200" w:firstLine="480"/>
        <w:rPr>
          <w:rFonts w:ascii="Times New Roman"/>
          <w:color w:val="000000" w:themeColor="text1"/>
          <w:lang w:bidi="en-US"/>
        </w:rPr>
      </w:pPr>
      <w:r w:rsidRPr="008A2411">
        <w:rPr>
          <w:rFonts w:ascii="Times New Roman"/>
          <w:noProof/>
          <w:color w:val="000000" w:themeColor="text1"/>
        </w:rPr>
        <mc:AlternateContent>
          <mc:Choice Requires="wps">
            <w:drawing>
              <wp:anchor distT="0" distB="0" distL="114300" distR="114300" simplePos="0" relativeHeight="251562496" behindDoc="0" locked="0" layoutInCell="1" allowOverlap="1" wp14:anchorId="61987EE5" wp14:editId="32490988">
                <wp:simplePos x="0" y="0"/>
                <wp:positionH relativeFrom="column">
                  <wp:posOffset>2606675</wp:posOffset>
                </wp:positionH>
                <wp:positionV relativeFrom="paragraph">
                  <wp:posOffset>71755</wp:posOffset>
                </wp:positionV>
                <wp:extent cx="864870" cy="314325"/>
                <wp:effectExtent l="0" t="0" r="11430" b="28575"/>
                <wp:wrapNone/>
                <wp:docPr id="207" name="文本框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64870" cy="314325"/>
                        </a:xfrm>
                        <a:prstGeom prst="rect">
                          <a:avLst/>
                        </a:prstGeom>
                        <a:noFill/>
                        <a:ln w="3175">
                          <a:solidFill>
                            <a:srgbClr val="000000"/>
                          </a:solidFill>
                          <a:miter lim="800000"/>
                        </a:ln>
                      </wps:spPr>
                      <wps:txbx>
                        <w:txbxContent>
                          <w:p w14:paraId="27C97ABE" w14:textId="77777777" w:rsidR="00B0005F" w:rsidRDefault="00000000">
                            <w:pPr>
                              <w:jc w:val="center"/>
                            </w:pPr>
                            <w:r>
                              <w:rPr>
                                <w:rFonts w:hint="eastAsia"/>
                              </w:rPr>
                              <w:t>安装工程</w:t>
                            </w:r>
                          </w:p>
                        </w:txbxContent>
                      </wps:txbx>
                      <wps:bodyPr rot="0" vert="horz" wrap="square" lIns="91440" tIns="45720" rIns="91440" bIns="45720" anchor="t" anchorCtr="0" upright="1">
                        <a:noAutofit/>
                      </wps:bodyPr>
                    </wps:wsp>
                  </a:graphicData>
                </a:graphic>
              </wp:anchor>
            </w:drawing>
          </mc:Choice>
          <mc:Fallback>
            <w:pict>
              <v:shape w14:anchorId="61987EE5" id="文本框 14" o:spid="_x0000_s1040" type="#_x0000_t202" style="position:absolute;left:0;text-align:left;margin-left:205.25pt;margin-top:5.65pt;width:68.1pt;height:24.75pt;z-index:2515624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" filled="f" strokeweight=".25pt">
                <v:textbox>
                  <w:txbxContent>
                    <w:p w14:paraId="27C97ABE" w14:textId="77777777" w:rsidR="00B0005F" w:rsidRDefault="00000000">
                      <w:pPr>
                        <w:jc w:val="center"/>
                      </w:pPr>
                      <w:r>
                        <w:rPr>
                          <w:rFonts w:hint="eastAsia"/>
                        </w:rPr>
                        <w:t>安装工程</w:t>
                      </w:r>
                    </w:p>
                  </w:txbxContent>
                </v:textbox>
              </v:shape>
            </w:pict>
          </mc:Fallback>
        </mc:AlternateContent>
      </w:r>
      <w:r w:rsidRPr="008A2411">
        <w:rPr>
          <w:rFonts w:ascii="Times New Roman"/>
          <w:noProof/>
          <w:color w:val="000000" w:themeColor="text1"/>
        </w:rPr>
        <mc:AlternateContent>
          <mc:Choice Requires="wps">
            <w:drawing>
              <wp:anchor distT="0" distB="0" distL="114300" distR="114300" simplePos="0" relativeHeight="251639296" behindDoc="0" locked="0" layoutInCell="1" allowOverlap="1" wp14:anchorId="36FF874A" wp14:editId="03F5F668">
                <wp:simplePos x="0" y="0"/>
                <wp:positionH relativeFrom="column">
                  <wp:posOffset>3467100</wp:posOffset>
                </wp:positionH>
                <wp:positionV relativeFrom="paragraph">
                  <wp:posOffset>226060</wp:posOffset>
                </wp:positionV>
                <wp:extent cx="415925" cy="0"/>
                <wp:effectExtent l="38100" t="76200" r="0" b="95250"/>
                <wp:wrapNone/>
                <wp:docPr id="193" name="AutoShape 8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15926" cy="0"/>
                        </a:xfrm>
                        <a:prstGeom prst="straightConnector1">
                          <a:avLst/>
                        </a:prstGeom>
                        <a:noFill/>
                        <a:ln w="9525">
                          <a:solidFill>
                            <a:srgbClr val="000000"/>
                          </a:solidFill>
                          <a:round/>
                          <a:tailEnd type="triangle" w="med" len="med"/>
                        </a:ln>
                      </wps:spPr>
                      <wps:bodyPr/>
                    </wps:wsp>
                  </a:graphicData>
                </a:graphic>
              </wp:anchor>
            </w:drawing>
          </mc:Choice>
          <mc:Fallback>
            <w:pict>
              <v:shape w14:anchorId="358419D0" id="AutoShape 853" o:spid="_x0000_s1026" type="#_x0000_t32" style="position:absolute;left:0;text-align:left;margin-left:273pt;margin-top:17.8pt;width:32.75pt;height:0;flip:x;z-index:2516392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">
                <v:stroke endarrow="block"/>
              </v:shape>
            </w:pict>
          </mc:Fallback>
        </mc:AlternateContent>
      </w:r>
      <w:r w:rsidRPr="008A2411">
        <w:rPr>
          <w:rFonts w:ascii="Times New Roman"/>
          <w:noProof/>
          <w:color w:val="000000" w:themeColor="text1"/>
        </w:rPr>
        <mc:AlternateContent>
          <mc:Choice Requires="wps">
            <w:drawing>
              <wp:anchor distT="0" distB="0" distL="114300" distR="114300" simplePos="0" relativeHeight="251565568" behindDoc="0" locked="0" layoutInCell="1" allowOverlap="1" wp14:anchorId="0DFAA310" wp14:editId="634E67E4">
                <wp:simplePos x="0" y="0"/>
                <wp:positionH relativeFrom="column">
                  <wp:posOffset>1014730</wp:posOffset>
                </wp:positionH>
                <wp:positionV relativeFrom="paragraph">
                  <wp:posOffset>71755</wp:posOffset>
                </wp:positionV>
                <wp:extent cx="931545" cy="314325"/>
                <wp:effectExtent l="0" t="0" r="20955" b="28575"/>
                <wp:wrapNone/>
                <wp:docPr id="204" name="文本框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1545" cy="314325"/>
                        </a:xfrm>
                        <a:prstGeom prst="rect">
                          <a:avLst/>
                        </a:prstGeom>
                        <a:noFill/>
                        <a:ln w="3175">
                          <a:solidFill>
                            <a:srgbClr val="000000"/>
                          </a:solidFill>
                          <a:miter lim="800000"/>
                        </a:ln>
                      </wps:spPr>
                      <wps:txbx>
                        <w:txbxContent>
                          <w:p w14:paraId="43647C80" w14:textId="77777777" w:rsidR="00B0005F" w:rsidRDefault="00000000">
                            <w:pPr>
                              <w:jc w:val="center"/>
                            </w:pPr>
                            <w:r>
                              <w:rPr>
                                <w:rFonts w:hint="eastAsia"/>
                              </w:rPr>
                              <w:t>运营生产</w:t>
                            </w:r>
                          </w:p>
                        </w:txbxContent>
                      </wps:txbx>
                      <wps:bodyPr rot="0" vert="horz" wrap="square" lIns="91440" tIns="45720" rIns="91440" bIns="45720" anchor="t" anchorCtr="0" upright="1">
                        <a:noAutofit/>
                      </wps:bodyPr>
                    </wps:wsp>
                  </a:graphicData>
                </a:graphic>
              </wp:anchor>
            </w:drawing>
          </mc:Choice>
          <mc:Fallback>
            <w:pict>
              <v:shape w14:anchorId="0DFAA310" id="文本框 18" o:spid="_x0000_s1041" type="#_x0000_t202" style="position:absolute;left:0;text-align:left;margin-left:79.9pt;margin-top:5.65pt;width:73.35pt;height:24.75pt;z-index:2515655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" filled="f" strokeweight=".25pt">
                <v:textbox>
                  <w:txbxContent>
                    <w:p w14:paraId="43647C80" w14:textId="77777777" w:rsidR="00B0005F" w:rsidRDefault="00000000">
                      <w:pPr>
                        <w:jc w:val="center"/>
                      </w:pPr>
                      <w:r>
                        <w:rPr>
                          <w:rFonts w:hint="eastAsia"/>
                        </w:rPr>
                        <w:t>运营生产</w:t>
                      </w:r>
                    </w:p>
                  </w:txbxContent>
                </v:textbox>
              </v:shape>
            </w:pict>
          </mc:Fallback>
        </mc:AlternateContent>
      </w:r>
      <w:r w:rsidRPr="008A2411">
        <w:rPr>
          <w:rFonts w:ascii="Times New Roman"/>
          <w:noProof/>
          <w:color w:val="000000" w:themeColor="text1"/>
        </w:rPr>
        <mc:AlternateContent>
          <mc:Choice Requires="wps">
            <w:drawing>
              <wp:anchor distT="0" distB="0" distL="114300" distR="114300" simplePos="0" relativeHeight="251559424" behindDoc="0" locked="0" layoutInCell="1" allowOverlap="1" wp14:anchorId="51F46FD1" wp14:editId="29728489">
                <wp:simplePos x="0" y="0"/>
                <wp:positionH relativeFrom="column">
                  <wp:posOffset>3885565</wp:posOffset>
                </wp:positionH>
                <wp:positionV relativeFrom="paragraph">
                  <wp:posOffset>75565</wp:posOffset>
                </wp:positionV>
                <wp:extent cx="864870" cy="314325"/>
                <wp:effectExtent l="0" t="0" r="11430" b="28575"/>
                <wp:wrapNone/>
                <wp:docPr id="208" name="文本框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64870" cy="314325"/>
                        </a:xfrm>
                        <a:prstGeom prst="rect">
                          <a:avLst/>
                        </a:prstGeom>
                        <a:noFill/>
                        <a:ln w="3175">
                          <a:solidFill>
                            <a:srgbClr val="000000"/>
                          </a:solidFill>
                          <a:miter lim="800000"/>
                        </a:ln>
                      </wps:spPr>
                      <wps:txbx>
                        <w:txbxContent>
                          <w:p w14:paraId="4F2BE435" w14:textId="77777777" w:rsidR="00B0005F" w:rsidRDefault="00000000">
                            <w:pPr>
                              <w:jc w:val="center"/>
                            </w:pPr>
                            <w:r>
                              <w:rPr>
                                <w:rFonts w:hint="eastAsia"/>
                              </w:rPr>
                              <w:t>装置运输</w:t>
                            </w:r>
                          </w:p>
                        </w:txbxContent>
                      </wps:txbx>
                      <wps:bodyPr rot="0" vert="horz" wrap="square" lIns="91440" tIns="45720" rIns="91440" bIns="45720" anchor="t" anchorCtr="0" upright="1">
                        <a:noAutofit/>
                      </wps:bodyPr>
                    </wps:wsp>
                  </a:graphicData>
                </a:graphic>
              </wp:anchor>
            </w:drawing>
          </mc:Choice>
          <mc:Fallback>
            <w:pict>
              <v:shape w14:anchorId="51F46FD1" id="文本框 11" o:spid="_x0000_s1042" type="#_x0000_t202" style="position:absolute;left:0;text-align:left;margin-left:305.95pt;margin-top:5.95pt;width:68.1pt;height:24.75pt;z-index:2515594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" filled="f" strokeweight=".25pt">
                <v:textbox>
                  <w:txbxContent>
                    <w:p w14:paraId="4F2BE435" w14:textId="77777777" w:rsidR="00B0005F" w:rsidRDefault="00000000">
                      <w:pPr>
                        <w:jc w:val="center"/>
                      </w:pPr>
                      <w:r>
                        <w:rPr>
                          <w:rFonts w:hint="eastAsia"/>
                        </w:rPr>
                        <w:t>装置运输</w:t>
                      </w:r>
                    </w:p>
                  </w:txbxContent>
                </v:textbox>
              </v:shape>
            </w:pict>
          </mc:Fallback>
        </mc:AlternateContent>
      </w:r>
      <w:r w:rsidRPr="008A2411">
        <w:rPr>
          <w:rFonts w:ascii="Times New Roman" w:eastAsia="黑体"/>
          <w:noProof/>
          <w:color w:val="000000" w:themeColor="text1"/>
          <w:szCs w:val="21"/>
        </w:rPr>
        <mc:AlternateContent>
          <mc:Choice Requires="wps">
            <w:drawing>
              <wp:anchor distT="0" distB="0" distL="114300" distR="114300" simplePos="0" relativeHeight="251584000" behindDoc="0" locked="0" layoutInCell="1" allowOverlap="1" wp14:anchorId="29534CEB" wp14:editId="7BBAA258">
                <wp:simplePos x="0" y="0"/>
                <wp:positionH relativeFrom="column">
                  <wp:posOffset>1943100</wp:posOffset>
                </wp:positionH>
                <wp:positionV relativeFrom="paragraph">
                  <wp:posOffset>226695</wp:posOffset>
                </wp:positionV>
                <wp:extent cx="666115" cy="0"/>
                <wp:effectExtent l="38100" t="76200" r="0" b="95250"/>
                <wp:wrapNone/>
                <wp:docPr id="206" name="AutoShape 5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66115" cy="0"/>
                        </a:xfrm>
                        <a:prstGeom prst="straightConnector1">
                          <a:avLst/>
                        </a:prstGeom>
                        <a:noFill/>
                        <a:ln w="9525">
                          <a:solidFill>
                            <a:srgbClr val="000000"/>
                          </a:solidFill>
                          <a:round/>
                          <a:tailEnd type="triangle" w="med" len="med"/>
                        </a:ln>
                      </wps:spPr>
                      <wps:bodyPr/>
                    </wps:wsp>
                  </a:graphicData>
                </a:graphic>
              </wp:anchor>
            </w:drawing>
          </mc:Choice>
          <mc:Fallback>
            <w:pict>
              <v:shape w14:anchorId="663331E4" id="AutoShape 552" o:spid="_x0000_s1026" type="#_x0000_t32" style="position:absolute;left:0;text-align:left;margin-left:153pt;margin-top:17.85pt;width:52.45pt;height:0;flip:x;z-index:2515840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">
                <v:stroke endarrow="block"/>
              </v:shape>
            </w:pict>
          </mc:Fallback>
        </mc:AlternateContent>
      </w:r>
    </w:p>
    <w:p w14:paraId="61DE9D85" w14:textId="77777777" w:rsidR="00B0005F" w:rsidRPr="008A2411" w:rsidRDefault="00000000">
      <w:pPr>
        <w:spacing w:line="360" w:lineRule="auto"/>
        <w:rPr>
          <w:rFonts w:ascii="Times New Roman" w:eastAsia="黑体"/>
          <w:color w:val="000000" w:themeColor="text1"/>
          <w:szCs w:val="21"/>
          <w:lang w:bidi="en-US"/>
        </w:rPr>
      </w:pPr>
      <w:r w:rsidRPr="008A2411">
        <w:rPr>
          <w:rFonts w:ascii="Times New Roman" w:eastAsia="黑体"/>
          <w:noProof/>
          <w:color w:val="000000" w:themeColor="text1"/>
          <w:szCs w:val="21"/>
        </w:rPr>
        <mc:AlternateContent>
          <mc:Choice Requires="wps">
            <w:drawing>
              <wp:anchor distT="0" distB="0" distL="114300" distR="114300" simplePos="0" relativeHeight="251623936" behindDoc="0" locked="0" layoutInCell="1" allowOverlap="1" wp14:anchorId="41F2F50B" wp14:editId="20AF7034">
                <wp:simplePos x="0" y="0"/>
                <wp:positionH relativeFrom="column">
                  <wp:posOffset>3080385</wp:posOffset>
                </wp:positionH>
                <wp:positionV relativeFrom="paragraph">
                  <wp:posOffset>113030</wp:posOffset>
                </wp:positionV>
                <wp:extent cx="635" cy="440690"/>
                <wp:effectExtent l="76200" t="0" r="75565" b="54610"/>
                <wp:wrapNone/>
                <wp:docPr id="191" name="AutoShape 56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440690"/>
                        </a:xfrm>
                        <a:prstGeom prst="straightConnector1">
                          <a:avLst/>
                        </a:prstGeom>
                        <a:noFill/>
                        <a:ln w="9525">
                          <a:solidFill>
                            <a:srgbClr val="000000"/>
                          </a:solidFill>
                          <a:prstDash val="dash"/>
                          <a:round/>
                          <a:tailEnd type="triangle" w="med" len="med"/>
                        </a:ln>
                      </wps:spPr>
                      <wps:bodyPr/>
                    </wps:wsp>
                  </a:graphicData>
                </a:graphic>
              </wp:anchor>
            </w:drawing>
          </mc:Choice>
          <mc:Fallback>
            <w:pict>
              <v:shape w14:anchorId="660C755C" id="AutoShape 564" o:spid="_x0000_s1026" type="#_x0000_t32" style="position:absolute;left:0;text-align:left;margin-left:242.55pt;margin-top:8.9pt;width:.05pt;height:34.7pt;z-index:2516239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">
                <v:stroke dashstyle="dash" endarrow="block"/>
              </v:shape>
            </w:pict>
          </mc:Fallback>
        </mc:AlternateContent>
      </w:r>
      <w:r w:rsidRPr="008A2411">
        <w:rPr>
          <w:rFonts w:ascii="Times New Roman" w:eastAsia="黑体"/>
          <w:noProof/>
          <w:color w:val="000000" w:themeColor="text1"/>
          <w:szCs w:val="21"/>
        </w:rPr>
        <mc:AlternateContent>
          <mc:Choice Requires="wps">
            <w:drawing>
              <wp:anchor distT="0" distB="0" distL="114300" distR="114300" simplePos="0" relativeHeight="251633152" behindDoc="0" locked="0" layoutInCell="1" allowOverlap="1" wp14:anchorId="05704021" wp14:editId="3E58DF2C">
                <wp:simplePos x="0" y="0"/>
                <wp:positionH relativeFrom="column">
                  <wp:posOffset>1523365</wp:posOffset>
                </wp:positionH>
                <wp:positionV relativeFrom="paragraph">
                  <wp:posOffset>118745</wp:posOffset>
                </wp:positionV>
                <wp:extent cx="635" cy="444500"/>
                <wp:effectExtent l="76200" t="0" r="75565" b="50800"/>
                <wp:wrapNone/>
                <wp:docPr id="190" name="AutoShape 57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444500"/>
                        </a:xfrm>
                        <a:prstGeom prst="straightConnector1">
                          <a:avLst/>
                        </a:prstGeom>
                        <a:noFill/>
                        <a:ln w="9525">
                          <a:solidFill>
                            <a:srgbClr val="000000"/>
                          </a:solidFill>
                          <a:prstDash val="dash"/>
                          <a:round/>
                          <a:tailEnd type="triangle" w="med" len="med"/>
                        </a:ln>
                      </wps:spPr>
                      <wps:bodyPr/>
                    </wps:wsp>
                  </a:graphicData>
                </a:graphic>
              </wp:anchor>
            </w:drawing>
          </mc:Choice>
          <mc:Fallback>
            <w:pict>
              <v:shape w14:anchorId="371675DA" id="AutoShape 570" o:spid="_x0000_s1026" type="#_x0000_t32" style="position:absolute;left:0;text-align:left;margin-left:119.95pt;margin-top:9.35pt;width:.05pt;height:35pt;z-index:2516331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">
                <v:stroke dashstyle="dash" endarrow="block"/>
              </v:shape>
            </w:pict>
          </mc:Fallback>
        </mc:AlternateContent>
      </w:r>
      <w:r w:rsidRPr="008A2411">
        <w:rPr>
          <w:rFonts w:ascii="Times New Roman"/>
          <w:noProof/>
          <w:color w:val="000000" w:themeColor="text1"/>
        </w:rPr>
        <mc:AlternateContent>
          <mc:Choice Requires="wps">
            <w:drawing>
              <wp:anchor distT="0" distB="0" distL="114300" distR="114300" simplePos="0" relativeHeight="251620864" behindDoc="0" locked="0" layoutInCell="1" allowOverlap="1" wp14:anchorId="727662C3" wp14:editId="42B7D37E">
                <wp:simplePos x="0" y="0"/>
                <wp:positionH relativeFrom="column">
                  <wp:posOffset>4343400</wp:posOffset>
                </wp:positionH>
                <wp:positionV relativeFrom="paragraph">
                  <wp:posOffset>134620</wp:posOffset>
                </wp:positionV>
                <wp:extent cx="10160" cy="409575"/>
                <wp:effectExtent l="38100" t="0" r="66040" b="47625"/>
                <wp:wrapNone/>
                <wp:docPr id="192" name="AutoShape 5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160" cy="409575"/>
                        </a:xfrm>
                        <a:prstGeom prst="straightConnector1">
                          <a:avLst/>
                        </a:prstGeom>
                        <a:noFill/>
                        <a:ln w="9525">
                          <a:solidFill>
                            <a:srgbClr val="000000"/>
                          </a:solidFill>
                          <a:prstDash val="dash"/>
                          <a:round/>
                          <a:tailEnd type="triangle" w="med" len="med"/>
                        </a:ln>
                        <a:effectLst/>
                      </wps:spPr>
                      <wps:bodyPr/>
                    </wps:wsp>
                  </a:graphicData>
                </a:graphic>
              </wp:anchor>
            </w:drawing>
          </mc:Choice>
          <mc:Fallback>
            <w:pict>
              <v:shape w14:anchorId="7FF23603" id="AutoShape 563" o:spid="_x0000_s1026" type="#_x0000_t32" style="position:absolute;left:0;text-align:left;margin-left:342pt;margin-top:10.6pt;width:.8pt;height:32.25pt;z-index:2516208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">
                <v:stroke dashstyle="dash" endarrow="block"/>
              </v:shape>
            </w:pict>
          </mc:Fallback>
        </mc:AlternateContent>
      </w:r>
    </w:p>
    <w:p w14:paraId="344DD01C" w14:textId="77777777" w:rsidR="00B0005F" w:rsidRPr="008A2411" w:rsidRDefault="00B0005F">
      <w:pPr>
        <w:spacing w:line="360" w:lineRule="auto"/>
        <w:rPr>
          <w:rFonts w:ascii="Times New Roman" w:eastAsia="黑体"/>
          <w:color w:val="000000" w:themeColor="text1"/>
          <w:szCs w:val="21"/>
          <w:lang w:bidi="en-US"/>
        </w:rPr>
      </w:pPr>
    </w:p>
    <w:p w14:paraId="28357F04" w14:textId="77777777" w:rsidR="00B0005F" w:rsidRPr="008A2411" w:rsidRDefault="00000000">
      <w:pPr>
        <w:spacing w:line="360" w:lineRule="auto"/>
        <w:rPr>
          <w:rFonts w:ascii="Times New Roman" w:eastAsia="黑体"/>
          <w:color w:val="000000" w:themeColor="text1"/>
          <w:szCs w:val="21"/>
          <w:lang w:bidi="en-US"/>
        </w:rPr>
      </w:pPr>
      <w:r w:rsidRPr="008A2411">
        <w:rPr>
          <w:rFonts w:ascii="Times New Roman"/>
          <w:noProof/>
          <w:color w:val="000000" w:themeColor="text1"/>
        </w:rPr>
        <mc:AlternateContent>
          <mc:Choice Requires="wps">
            <w:drawing>
              <wp:anchor distT="0" distB="0" distL="114300" distR="114300" simplePos="0" relativeHeight="251580928" behindDoc="0" locked="0" layoutInCell="1" allowOverlap="1" wp14:anchorId="21395DF8" wp14:editId="30D6BABA">
                <wp:simplePos x="0" y="0"/>
                <wp:positionH relativeFrom="column">
                  <wp:posOffset>2454910</wp:posOffset>
                </wp:positionH>
                <wp:positionV relativeFrom="paragraph">
                  <wp:posOffset>20320</wp:posOffset>
                </wp:positionV>
                <wp:extent cx="1240155" cy="314325"/>
                <wp:effectExtent l="0" t="0" r="17145" b="28575"/>
                <wp:wrapNone/>
                <wp:docPr id="188" name="文本框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40155" cy="314325"/>
                        </a:xfrm>
                        <a:prstGeom prst="rect">
                          <a:avLst/>
                        </a:prstGeom>
                        <a:noFill/>
                        <a:ln w="9525">
                          <a:solidFill>
                            <a:srgbClr val="000000"/>
                          </a:solidFill>
                          <a:prstDash val="dash"/>
                          <a:miter lim="800000"/>
                        </a:ln>
                        <a:effectLst/>
                      </wps:spPr>
                      <wps:txbx>
                        <w:txbxContent>
                          <w:p w14:paraId="3F376130" w14:textId="77777777" w:rsidR="00B0005F" w:rsidRDefault="00000000">
                            <w:pPr>
                              <w:jc w:val="center"/>
                              <w:rPr>
                                <w:sz w:val="21"/>
                                <w:szCs w:val="21"/>
                              </w:rPr>
                            </w:pPr>
                            <w:r>
                              <w:rPr>
                                <w:rFonts w:hint="eastAsia"/>
                                <w:sz w:val="21"/>
                                <w:szCs w:val="21"/>
                              </w:rPr>
                              <w:t>固废、扬尘、噪声</w:t>
                            </w:r>
                          </w:p>
                        </w:txbxContent>
                      </wps:txbx>
                      <wps:bodyPr rot="0" vert="horz" wrap="square" lIns="91440" tIns="45720" rIns="91440" bIns="45720" anchor="t" anchorCtr="0" upright="1">
                        <a:noAutofit/>
                      </wps:bodyPr>
                    </wps:wsp>
                  </a:graphicData>
                </a:graphic>
              </wp:anchor>
            </w:drawing>
          </mc:Choice>
          <mc:Fallback>
            <w:pict>
              <v:shape w14:anchorId="21395DF8" id="文本框 56" o:spid="_x0000_s1043" type="#_x0000_t202" style="position:absolute;left:0;text-align:left;margin-left:193.3pt;margin-top:1.6pt;width:97.65pt;height:24.75pt;z-index:2515809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" filled="f">
                <v:stroke dashstyle="dash"/>
                <v:textbox>
                  <w:txbxContent>
                    <w:p w14:paraId="3F376130" w14:textId="77777777" w:rsidR="00B0005F" w:rsidRDefault="00000000">
                      <w:pPr>
                        <w:jc w:val="center"/>
                        <w:rPr>
                          <w:sz w:val="21"/>
                          <w:szCs w:val="21"/>
                        </w:rPr>
                      </w:pPr>
                      <w:r>
                        <w:rPr>
                          <w:rFonts w:hint="eastAsia"/>
                          <w:sz w:val="21"/>
                          <w:szCs w:val="21"/>
                        </w:rPr>
                        <w:t>固废、扬尘、噪声</w:t>
                      </w:r>
                    </w:p>
                  </w:txbxContent>
                </v:textbox>
              </v:shape>
            </w:pict>
          </mc:Fallback>
        </mc:AlternateContent>
      </w:r>
      <w:r w:rsidRPr="008A2411">
        <w:rPr>
          <w:rFonts w:ascii="Times New Roman" w:eastAsia="黑体"/>
          <w:noProof/>
          <w:color w:val="000000" w:themeColor="text1"/>
          <w:szCs w:val="21"/>
        </w:rPr>
        <mc:AlternateContent>
          <mc:Choice Requires="wps">
            <w:drawing>
              <wp:anchor distT="0" distB="0" distL="114300" distR="114300" simplePos="0" relativeHeight="251630080" behindDoc="0" locked="0" layoutInCell="1" allowOverlap="1" wp14:anchorId="38C63DEC" wp14:editId="28426419">
                <wp:simplePos x="0" y="0"/>
                <wp:positionH relativeFrom="column">
                  <wp:posOffset>727710</wp:posOffset>
                </wp:positionH>
                <wp:positionV relativeFrom="paragraph">
                  <wp:posOffset>10795</wp:posOffset>
                </wp:positionV>
                <wp:extent cx="1650365" cy="314325"/>
                <wp:effectExtent l="0" t="0" r="26035" b="28575"/>
                <wp:wrapNone/>
                <wp:docPr id="187" name="文本框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0365" cy="314325"/>
                        </a:xfrm>
                        <a:prstGeom prst="rect">
                          <a:avLst/>
                        </a:prstGeom>
                        <a:noFill/>
                        <a:ln w="9525">
                          <a:solidFill>
                            <a:srgbClr val="000000"/>
                          </a:solidFill>
                          <a:prstDash val="dash"/>
                          <a:miter lim="800000"/>
                        </a:ln>
                        <a:effectLst/>
                      </wps:spPr>
                      <wps:txbx>
                        <w:txbxContent>
                          <w:p w14:paraId="090238C4" w14:textId="77777777" w:rsidR="00B0005F" w:rsidRDefault="00000000">
                            <w:pPr>
                              <w:jc w:val="center"/>
                              <w:rPr>
                                <w:sz w:val="21"/>
                                <w:szCs w:val="21"/>
                              </w:rPr>
                            </w:pPr>
                            <w:r>
                              <w:rPr>
                                <w:rFonts w:hint="eastAsia"/>
                                <w:sz w:val="21"/>
                                <w:szCs w:val="21"/>
                              </w:rPr>
                              <w:t>废气、废水、噪声、固废</w:t>
                            </w:r>
                          </w:p>
                        </w:txbxContent>
                      </wps:txbx>
                      <wps:bodyPr rot="0" vert="horz" wrap="square" lIns="91440" tIns="45720" rIns="91440" bIns="45720" anchor="t" anchorCtr="0" upright="1">
                        <a:noAutofit/>
                      </wps:bodyPr>
                    </wps:wsp>
                  </a:graphicData>
                </a:graphic>
              </wp:anchor>
            </w:drawing>
          </mc:Choice>
          <mc:Fallback>
            <w:pict>
              <v:shape w14:anchorId="38C63DEC" id="_x0000_s1044" type="#_x0000_t202" style="position:absolute;left:0;text-align:left;margin-left:57.3pt;margin-top:.85pt;width:129.95pt;height:24.75pt;z-index:2516300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" filled="f">
                <v:stroke dashstyle="dash"/>
                <v:textbox>
                  <w:txbxContent>
                    <w:p w14:paraId="090238C4" w14:textId="77777777" w:rsidR="00B0005F" w:rsidRDefault="00000000">
                      <w:pPr>
                        <w:jc w:val="center"/>
                        <w:rPr>
                          <w:sz w:val="21"/>
                          <w:szCs w:val="21"/>
                        </w:rPr>
                      </w:pPr>
                      <w:r>
                        <w:rPr>
                          <w:rFonts w:hint="eastAsia"/>
                          <w:sz w:val="21"/>
                          <w:szCs w:val="21"/>
                        </w:rPr>
                        <w:t>废气、废水、噪声、固废</w:t>
                      </w:r>
                    </w:p>
                  </w:txbxContent>
                </v:textbox>
              </v:shape>
            </w:pict>
          </mc:Fallback>
        </mc:AlternateContent>
      </w:r>
      <w:r w:rsidRPr="008A2411">
        <w:rPr>
          <w:rFonts w:ascii="Times New Roman"/>
          <w:noProof/>
          <w:color w:val="000000" w:themeColor="text1"/>
        </w:rPr>
        <mc:AlternateContent>
          <mc:Choice Requires="wps">
            <w:drawing>
              <wp:anchor distT="0" distB="0" distL="114300" distR="114300" simplePos="0" relativeHeight="251574784" behindDoc="0" locked="0" layoutInCell="1" allowOverlap="1" wp14:anchorId="1606D300" wp14:editId="1ED95828">
                <wp:simplePos x="0" y="0"/>
                <wp:positionH relativeFrom="column">
                  <wp:posOffset>4071620</wp:posOffset>
                </wp:positionH>
                <wp:positionV relativeFrom="paragraph">
                  <wp:posOffset>22225</wp:posOffset>
                </wp:positionV>
                <wp:extent cx="609600" cy="314325"/>
                <wp:effectExtent l="0" t="0" r="19050" b="28575"/>
                <wp:wrapNone/>
                <wp:docPr id="189" name="文本框 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314325"/>
                        </a:xfrm>
                        <a:prstGeom prst="rect">
                          <a:avLst/>
                        </a:prstGeom>
                        <a:noFill/>
                        <a:ln w="9525">
                          <a:solidFill>
                            <a:srgbClr val="000000"/>
                          </a:solidFill>
                          <a:prstDash val="dash"/>
                          <a:miter lim="800000"/>
                        </a:ln>
                      </wps:spPr>
                      <wps:txbx>
                        <w:txbxContent>
                          <w:p w14:paraId="51082E28" w14:textId="77777777" w:rsidR="00B0005F" w:rsidRDefault="00000000">
                            <w:pPr>
                              <w:jc w:val="center"/>
                              <w:rPr>
                                <w:sz w:val="21"/>
                                <w:szCs w:val="21"/>
                              </w:rPr>
                            </w:pPr>
                            <w:r>
                              <w:rPr>
                                <w:rFonts w:hint="eastAsia"/>
                                <w:sz w:val="21"/>
                                <w:szCs w:val="21"/>
                              </w:rPr>
                              <w:t>扬尘</w:t>
                            </w:r>
                          </w:p>
                        </w:txbxContent>
                      </wps:txbx>
                      <wps:bodyPr rot="0" vert="horz" wrap="square" lIns="91440" tIns="45720" rIns="91440" bIns="45720" anchor="t" anchorCtr="0" upright="1">
                        <a:noAutofit/>
                      </wps:bodyPr>
                    </wps:wsp>
                  </a:graphicData>
                </a:graphic>
              </wp:anchor>
            </w:drawing>
          </mc:Choice>
          <mc:Fallback>
            <w:pict>
              <v:shape w14:anchorId="1606D300" id="文本框 54" o:spid="_x0000_s1045" type="#_x0000_t202" style="position:absolute;left:0;text-align:left;margin-left:320.6pt;margin-top:1.75pt;width:48pt;height:24.75pt;z-index:2515747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" filled="f">
                <v:stroke dashstyle="dash"/>
                <v:textbox>
                  <w:txbxContent>
                    <w:p w14:paraId="51082E28" w14:textId="77777777" w:rsidR="00B0005F" w:rsidRDefault="00000000">
                      <w:pPr>
                        <w:jc w:val="center"/>
                        <w:rPr>
                          <w:sz w:val="21"/>
                          <w:szCs w:val="21"/>
                        </w:rPr>
                      </w:pPr>
                      <w:r>
                        <w:rPr>
                          <w:rFonts w:hint="eastAsia"/>
                          <w:sz w:val="21"/>
                          <w:szCs w:val="21"/>
                        </w:rPr>
                        <w:t>扬尘</w:t>
                      </w:r>
                    </w:p>
                  </w:txbxContent>
                </v:textbox>
              </v:shape>
            </w:pict>
          </mc:Fallback>
        </mc:AlternateContent>
      </w:r>
    </w:p>
    <w:p w14:paraId="6BE882C1" w14:textId="77777777" w:rsidR="006E5757" w:rsidRPr="008A2411" w:rsidRDefault="006E5757">
      <w:pPr>
        <w:pStyle w:val="WJ0"/>
        <w:rPr>
          <w:rFonts w:ascii="Times New Roman" w:hAnsi="Times New Roman"/>
          <w:color w:val="000000" w:themeColor="text1"/>
        </w:rPr>
      </w:pPr>
    </w:p>
    <w:p w14:paraId="3931BB01" w14:textId="562887A4" w:rsidR="00B0005F" w:rsidRPr="008A2411" w:rsidRDefault="00000000">
      <w:pPr>
        <w:pStyle w:val="WJ0"/>
        <w:rPr>
          <w:rFonts w:ascii="Times New Roman" w:hAnsi="Times New Roman"/>
          <w:color w:val="000000" w:themeColor="text1"/>
        </w:rPr>
      </w:pPr>
      <w:r w:rsidRPr="008A2411">
        <w:rPr>
          <w:rFonts w:ascii="Times New Roman" w:hAnsi="Times New Roman"/>
          <w:color w:val="000000" w:themeColor="text1"/>
        </w:rPr>
        <w:t>图</w:t>
      </w:r>
      <w:r w:rsidRPr="008A2411">
        <w:rPr>
          <w:rFonts w:ascii="Times New Roman" w:hAnsi="Times New Roman"/>
          <w:color w:val="000000" w:themeColor="text1"/>
        </w:rPr>
        <w:t xml:space="preserve">3.2-1 </w:t>
      </w:r>
      <w:r w:rsidRPr="008A2411">
        <w:rPr>
          <w:rFonts w:ascii="Times New Roman" w:hAnsi="Times New Roman"/>
          <w:color w:val="000000" w:themeColor="text1"/>
        </w:rPr>
        <w:t>本项目施工工艺流程</w:t>
      </w:r>
      <w:proofErr w:type="gramStart"/>
      <w:r w:rsidRPr="008A2411">
        <w:rPr>
          <w:rFonts w:ascii="Times New Roman" w:hAnsi="Times New Roman"/>
          <w:color w:val="000000" w:themeColor="text1"/>
        </w:rPr>
        <w:t>及产污环节</w:t>
      </w:r>
      <w:proofErr w:type="gramEnd"/>
      <w:r w:rsidRPr="008A2411">
        <w:rPr>
          <w:rFonts w:ascii="Times New Roman" w:hAnsi="Times New Roman"/>
          <w:color w:val="000000" w:themeColor="text1"/>
        </w:rPr>
        <w:t>图</w:t>
      </w:r>
    </w:p>
    <w:p w14:paraId="43DFD6B3" w14:textId="77777777" w:rsidR="00B0005F" w:rsidRPr="008A2411" w:rsidRDefault="00B0005F">
      <w:pPr>
        <w:pStyle w:val="WJ0"/>
        <w:rPr>
          <w:rFonts w:ascii="Times New Roman" w:hAnsi="Times New Roman"/>
          <w:color w:val="000000" w:themeColor="text1"/>
        </w:rPr>
      </w:pPr>
    </w:p>
    <w:p w14:paraId="7D3C79D9"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项目施工期主要环境影响为因场地平整、设备安装、材料运输等产生的扬尘、固废、土石方等；此外施工机械将产生一定的噪声及废气，交通运输车辆产生扬尘，施工废渣处理不好可能影响周围土壤及地下水环境。</w:t>
      </w:r>
    </w:p>
    <w:p w14:paraId="141B7E75" w14:textId="77777777" w:rsidR="00B0005F" w:rsidRPr="008A2411" w:rsidRDefault="00000000">
      <w:pPr>
        <w:pStyle w:val="WJ3"/>
        <w:spacing w:line="360" w:lineRule="auto"/>
        <w:outlineLvl w:val="9"/>
        <w:rPr>
          <w:rFonts w:ascii="Times New Roman" w:hAnsi="Times New Roman"/>
          <w:color w:val="000000" w:themeColor="text1"/>
        </w:rPr>
      </w:pPr>
      <w:bookmarkStart w:id="189" w:name="_Toc405904822"/>
      <w:bookmarkStart w:id="190" w:name="_Toc422906836"/>
      <w:bookmarkStart w:id="191" w:name="_Toc405905294"/>
      <w:bookmarkStart w:id="192" w:name="_Toc405904478"/>
      <w:bookmarkStart w:id="193" w:name="_Toc405214240"/>
      <w:bookmarkStart w:id="194" w:name="OLE_LINK181"/>
      <w:r w:rsidRPr="008A2411">
        <w:rPr>
          <w:rFonts w:ascii="Times New Roman" w:hAnsi="Times New Roman"/>
          <w:color w:val="000000" w:themeColor="text1"/>
        </w:rPr>
        <w:t>3.2.1.2</w:t>
      </w:r>
      <w:r w:rsidRPr="008A2411">
        <w:rPr>
          <w:rFonts w:ascii="Times New Roman" w:hAnsi="Times New Roman"/>
          <w:color w:val="000000" w:themeColor="text1"/>
        </w:rPr>
        <w:t>施工期</w:t>
      </w:r>
      <w:bookmarkEnd w:id="189"/>
      <w:bookmarkEnd w:id="190"/>
      <w:bookmarkEnd w:id="191"/>
      <w:bookmarkEnd w:id="192"/>
      <w:bookmarkEnd w:id="193"/>
      <w:r w:rsidRPr="008A2411">
        <w:rPr>
          <w:rFonts w:ascii="Times New Roman" w:hAnsi="Times New Roman"/>
          <w:color w:val="000000" w:themeColor="text1"/>
        </w:rPr>
        <w:t>环境影响</w:t>
      </w:r>
    </w:p>
    <w:bookmarkEnd w:id="194"/>
    <w:p w14:paraId="7DCF1575" w14:textId="77777777" w:rsidR="00B0005F" w:rsidRPr="008A2411" w:rsidRDefault="00000000">
      <w:pPr>
        <w:pStyle w:val="WJ"/>
        <w:adjustRightInd w:val="0"/>
        <w:snapToGrid w:val="0"/>
        <w:spacing w:line="360" w:lineRule="auto"/>
        <w:ind w:firstLine="482"/>
        <w:rPr>
          <w:rFonts w:ascii="Times New Roman" w:hAnsi="Times New Roman"/>
          <w:b/>
          <w:bCs/>
          <w:color w:val="000000" w:themeColor="text1"/>
          <w:lang w:bidi="en-US"/>
        </w:rPr>
      </w:pPr>
      <w:r w:rsidRPr="008A2411">
        <w:rPr>
          <w:rFonts w:ascii="Times New Roman" w:hAnsi="Times New Roman"/>
          <w:b/>
          <w:bCs/>
          <w:color w:val="000000" w:themeColor="text1"/>
          <w:lang w:bidi="en-US"/>
        </w:rPr>
        <w:t>（</w:t>
      </w:r>
      <w:r w:rsidRPr="008A2411">
        <w:rPr>
          <w:rFonts w:ascii="Times New Roman" w:hAnsi="Times New Roman"/>
          <w:b/>
          <w:bCs/>
          <w:color w:val="000000" w:themeColor="text1"/>
          <w:lang w:bidi="en-US"/>
        </w:rPr>
        <w:t>1</w:t>
      </w:r>
      <w:r w:rsidRPr="008A2411">
        <w:rPr>
          <w:rFonts w:ascii="Times New Roman" w:hAnsi="Times New Roman"/>
          <w:b/>
          <w:bCs/>
          <w:color w:val="000000" w:themeColor="text1"/>
          <w:lang w:bidi="en-US"/>
        </w:rPr>
        <w:t>）废水</w:t>
      </w:r>
    </w:p>
    <w:p w14:paraId="0C772A3C" w14:textId="77777777" w:rsidR="00B0005F" w:rsidRPr="008A2411" w:rsidRDefault="00000000">
      <w:pPr>
        <w:pStyle w:val="WJ"/>
        <w:adjustRightInd w:val="0"/>
        <w:snapToGrid w:val="0"/>
        <w:spacing w:line="360" w:lineRule="auto"/>
        <w:rPr>
          <w:rFonts w:ascii="Times New Roman" w:hAnsi="Times New Roman"/>
          <w:color w:val="000000" w:themeColor="text1"/>
          <w:lang w:bidi="en-US"/>
        </w:rPr>
      </w:pPr>
      <w:r w:rsidRPr="008A2411">
        <w:rPr>
          <w:rFonts w:ascii="Times New Roman" w:hAnsi="Times New Roman"/>
          <w:color w:val="000000" w:themeColor="text1"/>
          <w:lang w:bidi="en-US"/>
        </w:rPr>
        <w:t>项目施工期废水主要为施工人员产生的生活污水。项目施工人员共计约</w:t>
      </w:r>
      <w:r w:rsidRPr="008A2411">
        <w:rPr>
          <w:rFonts w:ascii="Times New Roman" w:hAnsi="Times New Roman"/>
          <w:color w:val="000000" w:themeColor="text1"/>
          <w:lang w:bidi="en-US"/>
        </w:rPr>
        <w:t>100</w:t>
      </w:r>
      <w:r w:rsidRPr="008A2411">
        <w:rPr>
          <w:rFonts w:ascii="Times New Roman" w:hAnsi="Times New Roman"/>
          <w:color w:val="000000" w:themeColor="text1"/>
          <w:lang w:bidi="en-US"/>
        </w:rPr>
        <w:t>人，生活用水量约</w:t>
      </w:r>
      <w:r w:rsidRPr="008A2411">
        <w:rPr>
          <w:rFonts w:ascii="Times New Roman" w:hAnsi="Times New Roman"/>
          <w:color w:val="000000" w:themeColor="text1"/>
          <w:lang w:bidi="en-US"/>
        </w:rPr>
        <w:t>0.08m</w:t>
      </w:r>
      <w:r w:rsidRPr="008A2411">
        <w:rPr>
          <w:rFonts w:ascii="Times New Roman" w:hAnsi="Times New Roman"/>
          <w:color w:val="000000" w:themeColor="text1"/>
          <w:vertAlign w:val="superscript"/>
          <w:lang w:bidi="en-US"/>
        </w:rPr>
        <w:t>3</w:t>
      </w:r>
      <w:r w:rsidRPr="008A2411">
        <w:rPr>
          <w:rFonts w:ascii="Times New Roman" w:hAnsi="Times New Roman"/>
          <w:color w:val="000000" w:themeColor="text1"/>
          <w:lang w:bidi="en-US"/>
        </w:rPr>
        <w:t>/</w:t>
      </w:r>
      <w:r w:rsidRPr="008A2411">
        <w:rPr>
          <w:rFonts w:ascii="Times New Roman" w:hAnsi="Times New Roman"/>
          <w:color w:val="000000" w:themeColor="text1"/>
          <w:lang w:bidi="en-US"/>
        </w:rPr>
        <w:t>（</w:t>
      </w:r>
      <w:r w:rsidRPr="008A2411">
        <w:rPr>
          <w:rFonts w:ascii="Times New Roman" w:hAnsi="Times New Roman"/>
          <w:color w:val="000000" w:themeColor="text1"/>
          <w:lang w:bidi="en-US"/>
        </w:rPr>
        <w:t>d·</w:t>
      </w:r>
      <w:r w:rsidRPr="008A2411">
        <w:rPr>
          <w:rFonts w:ascii="Times New Roman" w:hAnsi="Times New Roman"/>
          <w:color w:val="000000" w:themeColor="text1"/>
          <w:lang w:bidi="en-US"/>
        </w:rPr>
        <w:t>人），则施工期生活废水总量约</w:t>
      </w:r>
      <w:r w:rsidRPr="008A2411">
        <w:rPr>
          <w:rFonts w:ascii="Times New Roman" w:hAnsi="Times New Roman"/>
          <w:color w:val="000000" w:themeColor="text1"/>
          <w:lang w:bidi="en-US"/>
        </w:rPr>
        <w:t>6.8m</w:t>
      </w:r>
      <w:r w:rsidRPr="008A2411">
        <w:rPr>
          <w:rFonts w:ascii="Times New Roman" w:hAnsi="Times New Roman"/>
          <w:color w:val="000000" w:themeColor="text1"/>
          <w:vertAlign w:val="superscript"/>
          <w:lang w:bidi="en-US"/>
        </w:rPr>
        <w:t>3</w:t>
      </w:r>
      <w:r w:rsidRPr="008A2411">
        <w:rPr>
          <w:rFonts w:ascii="Times New Roman" w:hAnsi="Times New Roman"/>
          <w:color w:val="000000" w:themeColor="text1"/>
          <w:lang w:bidi="en-US"/>
        </w:rPr>
        <w:t>/d</w:t>
      </w:r>
      <w:r w:rsidRPr="008A2411">
        <w:rPr>
          <w:rFonts w:ascii="Times New Roman" w:hAnsi="Times New Roman"/>
          <w:color w:val="000000" w:themeColor="text1"/>
          <w:lang w:bidi="en-US"/>
        </w:rPr>
        <w:t>。由于施工工地不设食堂、宿舍等生活设施，施工人员均在当地乡镇食宿，所产生的生活污水</w:t>
      </w:r>
      <w:bookmarkStart w:id="195" w:name="OLE_LINK102"/>
      <w:r w:rsidRPr="008A2411">
        <w:rPr>
          <w:rFonts w:ascii="Times New Roman" w:hAnsi="Times New Roman"/>
          <w:color w:val="000000" w:themeColor="text1"/>
          <w:lang w:bidi="en-US"/>
        </w:rPr>
        <w:t>均由园区已有设施收集</w:t>
      </w:r>
      <w:bookmarkEnd w:id="195"/>
      <w:r w:rsidRPr="008A2411">
        <w:rPr>
          <w:rFonts w:ascii="Times New Roman" w:hAnsi="Times New Roman"/>
          <w:color w:val="000000" w:themeColor="text1"/>
          <w:lang w:bidi="en-US"/>
        </w:rPr>
        <w:t>处理。</w:t>
      </w:r>
    </w:p>
    <w:p w14:paraId="529BF5AB" w14:textId="77777777" w:rsidR="00B0005F" w:rsidRPr="008A2411" w:rsidRDefault="00000000">
      <w:pPr>
        <w:pStyle w:val="WJ"/>
        <w:adjustRightInd w:val="0"/>
        <w:snapToGrid w:val="0"/>
        <w:spacing w:line="360" w:lineRule="auto"/>
        <w:ind w:firstLine="482"/>
        <w:rPr>
          <w:rFonts w:ascii="Times New Roman" w:hAnsi="Times New Roman"/>
          <w:b/>
          <w:bCs/>
          <w:color w:val="000000" w:themeColor="text1"/>
          <w:lang w:bidi="en-US"/>
        </w:rPr>
      </w:pPr>
      <w:r w:rsidRPr="008A2411">
        <w:rPr>
          <w:rFonts w:ascii="Times New Roman" w:hAnsi="Times New Roman"/>
          <w:b/>
          <w:bCs/>
          <w:color w:val="000000" w:themeColor="text1"/>
          <w:lang w:bidi="en-US"/>
        </w:rPr>
        <w:t>（</w:t>
      </w:r>
      <w:r w:rsidRPr="008A2411">
        <w:rPr>
          <w:rFonts w:ascii="Times New Roman" w:hAnsi="Times New Roman"/>
          <w:b/>
          <w:bCs/>
          <w:color w:val="000000" w:themeColor="text1"/>
          <w:lang w:bidi="en-US"/>
        </w:rPr>
        <w:t>2</w:t>
      </w:r>
      <w:r w:rsidRPr="008A2411">
        <w:rPr>
          <w:rFonts w:ascii="Times New Roman" w:hAnsi="Times New Roman"/>
          <w:b/>
          <w:bCs/>
          <w:color w:val="000000" w:themeColor="text1"/>
          <w:lang w:bidi="en-US"/>
        </w:rPr>
        <w:t>）废气</w:t>
      </w:r>
    </w:p>
    <w:p w14:paraId="442C91F7" w14:textId="77777777" w:rsidR="00B0005F" w:rsidRPr="008A2411" w:rsidRDefault="00000000">
      <w:pPr>
        <w:pStyle w:val="WJ"/>
        <w:adjustRightInd w:val="0"/>
        <w:snapToGrid w:val="0"/>
        <w:spacing w:line="360" w:lineRule="auto"/>
        <w:rPr>
          <w:rFonts w:ascii="Times New Roman" w:hAnsi="Times New Roman"/>
          <w:color w:val="000000" w:themeColor="text1"/>
          <w:lang w:bidi="en-US"/>
        </w:rPr>
      </w:pPr>
      <w:r w:rsidRPr="008A2411">
        <w:rPr>
          <w:rFonts w:ascii="Times New Roman" w:hAnsi="Times New Roman"/>
          <w:color w:val="000000" w:themeColor="text1"/>
          <w:lang w:bidi="en-US"/>
        </w:rPr>
        <w:lastRenderedPageBreak/>
        <w:t>工程主要废气来源主要为地面开挖、车辆运输产生的扬尘以及施工机械排放的废气。</w:t>
      </w:r>
    </w:p>
    <w:p w14:paraId="7CE87955" w14:textId="44245003" w:rsidR="00B0005F" w:rsidRPr="008A2411" w:rsidRDefault="00000000">
      <w:pPr>
        <w:pStyle w:val="WJ"/>
        <w:adjustRightInd w:val="0"/>
        <w:snapToGrid w:val="0"/>
        <w:spacing w:line="360" w:lineRule="auto"/>
        <w:rPr>
          <w:rFonts w:ascii="Times New Roman" w:hAnsi="Times New Roman"/>
          <w:color w:val="000000" w:themeColor="text1"/>
          <w:lang w:bidi="en-US"/>
        </w:rPr>
      </w:pPr>
      <w:r w:rsidRPr="008A2411">
        <w:rPr>
          <w:rFonts w:ascii="Times New Roman" w:hAnsi="Times New Roman"/>
          <w:color w:val="000000" w:themeColor="text1"/>
          <w:lang w:bidi="en-US"/>
        </w:rPr>
        <w:t>施工期扬尘排放源较多，主要为：建筑材料（砂石、水泥）的无遮盖、超量运输泄漏、粗放式卸料、用料造成的扬尘；工地材料、渣堆、土堆的露天堆放，随风造成的扬尘污染；裸露道路上行驶的运输车辆产生的扬尘；地面开挖</w:t>
      </w:r>
      <w:r w:rsidR="006E5757" w:rsidRPr="008A2411">
        <w:rPr>
          <w:rFonts w:ascii="Times New Roman" w:hAnsi="Times New Roman" w:hint="eastAsia"/>
          <w:color w:val="000000" w:themeColor="text1"/>
          <w:lang w:bidi="en-US"/>
        </w:rPr>
        <w:t>也</w:t>
      </w:r>
      <w:r w:rsidRPr="008A2411">
        <w:rPr>
          <w:rFonts w:ascii="Times New Roman" w:hAnsi="Times New Roman"/>
          <w:color w:val="000000" w:themeColor="text1"/>
          <w:lang w:bidi="en-US"/>
        </w:rPr>
        <w:t>会产生大量的粉尘。施工扬尘在空气中的飘扬距离与空气动力特性有关，特别是与风速和大气稳定度关系密切。在大气稳定度处于稳定状态时，其传播距离较近，风速较小时，其传播距离也较近。如遇干旱无雨季节，加上大风，施工扬尘则更为严重。</w:t>
      </w:r>
    </w:p>
    <w:p w14:paraId="406200A8" w14:textId="77777777" w:rsidR="00B0005F" w:rsidRPr="008A2411" w:rsidRDefault="00000000">
      <w:pPr>
        <w:pStyle w:val="WJ"/>
        <w:adjustRightInd w:val="0"/>
        <w:snapToGrid w:val="0"/>
        <w:spacing w:line="360" w:lineRule="auto"/>
        <w:rPr>
          <w:rFonts w:ascii="Times New Roman" w:hAnsi="Times New Roman"/>
          <w:color w:val="000000" w:themeColor="text1"/>
          <w:lang w:bidi="en-US"/>
        </w:rPr>
      </w:pPr>
      <w:r w:rsidRPr="008A2411">
        <w:rPr>
          <w:rFonts w:ascii="Times New Roman" w:hAnsi="Times New Roman"/>
          <w:color w:val="000000" w:themeColor="text1"/>
          <w:lang w:bidi="en-US"/>
        </w:rPr>
        <w:t>施工期由于使用柴油机等设备，将有少量的燃烧烟气产生，主要污染物的</w:t>
      </w:r>
      <w:r w:rsidRPr="008A2411">
        <w:rPr>
          <w:rFonts w:ascii="Times New Roman" w:hAnsi="Times New Roman"/>
          <w:color w:val="000000" w:themeColor="text1"/>
          <w:lang w:bidi="en-US"/>
        </w:rPr>
        <w:t>SO</w:t>
      </w:r>
      <w:r w:rsidRPr="008A2411">
        <w:rPr>
          <w:rFonts w:ascii="Times New Roman" w:hAnsi="Times New Roman"/>
          <w:color w:val="000000" w:themeColor="text1"/>
          <w:vertAlign w:val="subscript"/>
          <w:lang w:bidi="en-US"/>
        </w:rPr>
        <w:t>2</w:t>
      </w:r>
      <w:r w:rsidRPr="008A2411">
        <w:rPr>
          <w:rFonts w:ascii="Times New Roman" w:hAnsi="Times New Roman"/>
          <w:color w:val="000000" w:themeColor="text1"/>
          <w:lang w:bidi="en-US"/>
        </w:rPr>
        <w:t>、</w:t>
      </w:r>
      <w:r w:rsidRPr="008A2411">
        <w:rPr>
          <w:rFonts w:ascii="Times New Roman" w:hAnsi="Times New Roman"/>
          <w:color w:val="000000" w:themeColor="text1"/>
          <w:lang w:bidi="en-US"/>
        </w:rPr>
        <w:t>NO</w:t>
      </w:r>
      <w:r w:rsidRPr="008A2411">
        <w:rPr>
          <w:rFonts w:ascii="Times New Roman" w:hAnsi="Times New Roman"/>
          <w:color w:val="000000" w:themeColor="text1"/>
          <w:vertAlign w:val="subscript"/>
          <w:lang w:bidi="en-US"/>
        </w:rPr>
        <w:t>2</w:t>
      </w:r>
      <w:r w:rsidRPr="008A2411">
        <w:rPr>
          <w:rFonts w:ascii="Times New Roman" w:hAnsi="Times New Roman"/>
          <w:color w:val="000000" w:themeColor="text1"/>
          <w:lang w:bidi="en-US"/>
        </w:rPr>
        <w:t>、</w:t>
      </w:r>
      <w:proofErr w:type="spellStart"/>
      <w:r w:rsidRPr="008A2411">
        <w:rPr>
          <w:rFonts w:ascii="Times New Roman" w:hAnsi="Times New Roman"/>
          <w:color w:val="000000" w:themeColor="text1"/>
          <w:lang w:bidi="en-US"/>
        </w:rPr>
        <w:t>C</w:t>
      </w:r>
      <w:r w:rsidRPr="008A2411">
        <w:rPr>
          <w:rFonts w:ascii="Times New Roman" w:hAnsi="Times New Roman"/>
          <w:color w:val="000000" w:themeColor="text1"/>
          <w:vertAlign w:val="subscript"/>
          <w:lang w:bidi="en-US"/>
        </w:rPr>
        <w:t>m</w:t>
      </w:r>
      <w:r w:rsidRPr="008A2411">
        <w:rPr>
          <w:rFonts w:ascii="Times New Roman" w:hAnsi="Times New Roman"/>
          <w:color w:val="000000" w:themeColor="text1"/>
          <w:lang w:bidi="en-US"/>
        </w:rPr>
        <w:t>H</w:t>
      </w:r>
      <w:r w:rsidRPr="008A2411">
        <w:rPr>
          <w:rFonts w:ascii="Times New Roman" w:hAnsi="Times New Roman"/>
          <w:color w:val="000000" w:themeColor="text1"/>
          <w:vertAlign w:val="subscript"/>
          <w:lang w:bidi="en-US"/>
        </w:rPr>
        <w:t>n</w:t>
      </w:r>
      <w:proofErr w:type="spellEnd"/>
      <w:r w:rsidRPr="008A2411">
        <w:rPr>
          <w:rFonts w:ascii="Times New Roman" w:hAnsi="Times New Roman"/>
          <w:color w:val="000000" w:themeColor="text1"/>
          <w:lang w:bidi="en-US"/>
        </w:rPr>
        <w:t>等。由于废气量较小，且施工场地较空旷，有利于废气的扩散，同时废气污染源具有间歇性和流动性，因此对局部地区的环境影响较轻。</w:t>
      </w:r>
    </w:p>
    <w:p w14:paraId="0ABFF1E5" w14:textId="77777777" w:rsidR="00B0005F" w:rsidRPr="008A2411" w:rsidRDefault="00000000">
      <w:pPr>
        <w:pStyle w:val="aff"/>
        <w:adjustRightInd w:val="0"/>
        <w:snapToGrid w:val="0"/>
        <w:spacing w:line="360" w:lineRule="auto"/>
        <w:ind w:firstLineChars="200" w:firstLine="480"/>
        <w:rPr>
          <w:rFonts w:ascii="Times New Roman"/>
          <w:color w:val="000000" w:themeColor="text1"/>
          <w:kern w:val="2"/>
          <w:szCs w:val="24"/>
          <w:lang w:bidi="en-US"/>
        </w:rPr>
      </w:pPr>
      <w:r w:rsidRPr="008A2411">
        <w:rPr>
          <w:rFonts w:ascii="Times New Roman"/>
          <w:color w:val="000000" w:themeColor="text1"/>
          <w:lang w:bidi="en-US"/>
        </w:rPr>
        <w:t>为了减少施工</w:t>
      </w:r>
      <w:r w:rsidRPr="008A2411">
        <w:rPr>
          <w:rFonts w:ascii="Times New Roman"/>
          <w:color w:val="000000" w:themeColor="text1"/>
          <w:kern w:val="2"/>
          <w:szCs w:val="24"/>
          <w:lang w:bidi="en-US"/>
        </w:rPr>
        <w:t>建设过程中扬尘对周围环境的污染影响，要求施工单位要做到文明施工，</w:t>
      </w:r>
      <w:r w:rsidRPr="008A2411">
        <w:rPr>
          <w:rFonts w:ascii="Times New Roman" w:hint="eastAsia"/>
          <w:color w:val="000000" w:themeColor="text1"/>
          <w:kern w:val="2"/>
          <w:szCs w:val="24"/>
          <w:lang w:bidi="en-US"/>
        </w:rPr>
        <w:t>施工严格按照“六必须、六不准”要求施工，同时施工场地设置围挡、施工围墙设置连续式喷雾降尘、裸露表土及物料遮盖。此外，</w:t>
      </w:r>
      <w:r w:rsidRPr="008A2411">
        <w:rPr>
          <w:rFonts w:ascii="Times New Roman"/>
          <w:color w:val="000000" w:themeColor="text1"/>
          <w:kern w:val="2"/>
          <w:szCs w:val="24"/>
          <w:lang w:bidi="en-US"/>
        </w:rPr>
        <w:t>加强场地内的建材管理，及时清运场地内废弃土，周密安排进入工地车流量，减少扬尘。施工场地出入口道路硬化处理，铺设草垫，</w:t>
      </w:r>
      <w:r w:rsidRPr="008A2411">
        <w:rPr>
          <w:rFonts w:ascii="Times New Roman" w:hint="eastAsia"/>
          <w:color w:val="000000" w:themeColor="text1"/>
          <w:kern w:val="2"/>
          <w:szCs w:val="24"/>
          <w:lang w:bidi="en-US"/>
        </w:rPr>
        <w:t>车辆进出施工场地都要冲洗，</w:t>
      </w:r>
      <w:r w:rsidRPr="008A2411">
        <w:rPr>
          <w:rFonts w:ascii="Times New Roman"/>
          <w:color w:val="000000" w:themeColor="text1"/>
          <w:kern w:val="2"/>
          <w:szCs w:val="24"/>
          <w:lang w:bidi="en-US"/>
        </w:rPr>
        <w:t>施工道路应经常洒水，运输土石料车辆应实行遮盖密闭运输。</w:t>
      </w:r>
    </w:p>
    <w:p w14:paraId="00AF8EE6" w14:textId="77777777" w:rsidR="00B0005F" w:rsidRPr="008A2411" w:rsidRDefault="00000000">
      <w:pPr>
        <w:pStyle w:val="WJ"/>
        <w:adjustRightInd w:val="0"/>
        <w:snapToGrid w:val="0"/>
        <w:spacing w:line="360" w:lineRule="auto"/>
        <w:rPr>
          <w:rFonts w:ascii="Times New Roman" w:hAnsi="Times New Roman"/>
          <w:color w:val="000000" w:themeColor="text1"/>
          <w:lang w:bidi="en-US"/>
        </w:rPr>
      </w:pPr>
      <w:r w:rsidRPr="008A2411">
        <w:rPr>
          <w:rFonts w:ascii="Times New Roman" w:hAnsi="Times New Roman"/>
          <w:color w:val="000000" w:themeColor="text1"/>
          <w:lang w:bidi="en-US"/>
        </w:rPr>
        <w:t>通过加强管理，对环境空气影响不大。</w:t>
      </w:r>
    </w:p>
    <w:p w14:paraId="6A09C393" w14:textId="77777777" w:rsidR="00B0005F" w:rsidRPr="008A2411" w:rsidRDefault="00000000">
      <w:pPr>
        <w:pStyle w:val="WJ"/>
        <w:adjustRightInd w:val="0"/>
        <w:snapToGrid w:val="0"/>
        <w:spacing w:line="360" w:lineRule="auto"/>
        <w:rPr>
          <w:rFonts w:ascii="Times New Roman" w:hAnsi="Times New Roman"/>
          <w:color w:val="000000" w:themeColor="text1"/>
          <w:lang w:bidi="en-US"/>
        </w:rPr>
      </w:pPr>
      <w:r w:rsidRPr="008A2411">
        <w:rPr>
          <w:rFonts w:ascii="Times New Roman" w:hAnsi="Times New Roman"/>
          <w:color w:val="000000" w:themeColor="text1"/>
          <w:lang w:bidi="en-US"/>
        </w:rPr>
        <w:t>（</w:t>
      </w:r>
      <w:r w:rsidRPr="008A2411">
        <w:rPr>
          <w:rFonts w:ascii="Times New Roman" w:hAnsi="Times New Roman"/>
          <w:color w:val="000000" w:themeColor="text1"/>
          <w:lang w:bidi="en-US"/>
        </w:rPr>
        <w:t>3</w:t>
      </w:r>
      <w:r w:rsidRPr="008A2411">
        <w:rPr>
          <w:rFonts w:ascii="Times New Roman" w:hAnsi="Times New Roman"/>
          <w:color w:val="000000" w:themeColor="text1"/>
          <w:lang w:bidi="en-US"/>
        </w:rPr>
        <w:t>）噪声</w:t>
      </w:r>
    </w:p>
    <w:p w14:paraId="13A0DD2F" w14:textId="77777777" w:rsidR="00B0005F" w:rsidRPr="008A2411" w:rsidRDefault="00000000">
      <w:pPr>
        <w:pStyle w:val="WJ"/>
        <w:adjustRightInd w:val="0"/>
        <w:snapToGrid w:val="0"/>
        <w:spacing w:line="360" w:lineRule="auto"/>
        <w:rPr>
          <w:rFonts w:ascii="Times New Roman" w:hAnsi="Times New Roman"/>
          <w:color w:val="000000" w:themeColor="text1"/>
          <w:lang w:bidi="en-US"/>
        </w:rPr>
      </w:pPr>
      <w:r w:rsidRPr="008A2411">
        <w:rPr>
          <w:rFonts w:ascii="Times New Roman" w:hAnsi="Times New Roman"/>
          <w:color w:val="000000" w:themeColor="text1"/>
        </w:rPr>
        <w:t>项目</w:t>
      </w:r>
      <w:proofErr w:type="gramStart"/>
      <w:r w:rsidRPr="008A2411">
        <w:rPr>
          <w:rFonts w:ascii="Times New Roman" w:hAnsi="Times New Roman"/>
          <w:color w:val="000000" w:themeColor="text1"/>
        </w:rPr>
        <w:t>施工施工</w:t>
      </w:r>
      <w:proofErr w:type="gramEnd"/>
      <w:r w:rsidRPr="008A2411">
        <w:rPr>
          <w:rFonts w:ascii="Times New Roman" w:hAnsi="Times New Roman"/>
          <w:color w:val="000000" w:themeColor="text1"/>
        </w:rPr>
        <w:t>噪声源主要为设备基础施工、设备安装及站内道路的建设等作业设备产生</w:t>
      </w:r>
      <w:r w:rsidRPr="008A2411">
        <w:rPr>
          <w:rFonts w:ascii="Times New Roman" w:hAnsi="Times New Roman"/>
          <w:color w:val="000000" w:themeColor="text1"/>
          <w:lang w:bidi="en-US"/>
        </w:rPr>
        <w:t>。主要的噪声源为各类作业设备，其主要</w:t>
      </w:r>
      <w:proofErr w:type="gramStart"/>
      <w:r w:rsidRPr="008A2411">
        <w:rPr>
          <w:rFonts w:ascii="Times New Roman" w:hAnsi="Times New Roman"/>
          <w:color w:val="000000" w:themeColor="text1"/>
          <w:lang w:bidi="en-US"/>
        </w:rPr>
        <w:t>噪声值见下表</w:t>
      </w:r>
      <w:proofErr w:type="gramEnd"/>
      <w:r w:rsidRPr="008A2411">
        <w:rPr>
          <w:rFonts w:ascii="Times New Roman" w:hAnsi="Times New Roman"/>
          <w:color w:val="000000" w:themeColor="text1"/>
          <w:lang w:bidi="en-US"/>
        </w:rPr>
        <w:t>3.2-1</w:t>
      </w:r>
      <w:r w:rsidRPr="008A2411">
        <w:rPr>
          <w:rFonts w:ascii="Times New Roman" w:hAnsi="Times New Roman"/>
          <w:color w:val="000000" w:themeColor="text1"/>
          <w:lang w:bidi="en-US"/>
        </w:rPr>
        <w:t>。</w:t>
      </w:r>
    </w:p>
    <w:p w14:paraId="1D521FE7" w14:textId="77777777" w:rsidR="00B0005F" w:rsidRPr="008A2411" w:rsidRDefault="00000000">
      <w:pPr>
        <w:pStyle w:val="WJ0"/>
        <w:spacing w:line="240" w:lineRule="auto"/>
        <w:rPr>
          <w:rFonts w:ascii="Times New Roman" w:hAnsi="Times New Roman"/>
          <w:color w:val="000000" w:themeColor="text1"/>
        </w:rPr>
      </w:pPr>
      <w:r w:rsidRPr="008A2411">
        <w:rPr>
          <w:rFonts w:ascii="Times New Roman" w:hAnsi="Times New Roman"/>
          <w:color w:val="000000" w:themeColor="text1"/>
        </w:rPr>
        <w:t>表</w:t>
      </w:r>
      <w:r w:rsidRPr="008A2411">
        <w:rPr>
          <w:rFonts w:ascii="Times New Roman" w:hAnsi="Times New Roman"/>
          <w:color w:val="000000" w:themeColor="text1"/>
        </w:rPr>
        <w:t xml:space="preserve">3.2-1  </w:t>
      </w:r>
      <w:r w:rsidRPr="008A2411">
        <w:rPr>
          <w:rFonts w:ascii="Times New Roman" w:hAnsi="Times New Roman"/>
          <w:color w:val="000000" w:themeColor="text1"/>
        </w:rPr>
        <w:t>项目施工噪声源强值（单位：</w:t>
      </w:r>
      <w:r w:rsidRPr="008A2411">
        <w:rPr>
          <w:rFonts w:ascii="Times New Roman" w:hAnsi="Times New Roman"/>
          <w:color w:val="000000" w:themeColor="text1"/>
        </w:rPr>
        <w:t>dB</w:t>
      </w:r>
      <w:r w:rsidRPr="008A2411">
        <w:rPr>
          <w:rFonts w:ascii="Times New Roman" w:hAnsi="Times New Roman"/>
          <w:color w:val="000000" w:themeColor="text1"/>
        </w:rPr>
        <w:t>（</w:t>
      </w:r>
      <w:r w:rsidRPr="008A2411">
        <w:rPr>
          <w:rFonts w:ascii="Times New Roman" w:hAnsi="Times New Roman"/>
          <w:color w:val="000000" w:themeColor="text1"/>
        </w:rPr>
        <w:t>A</w:t>
      </w:r>
      <w:r w:rsidRPr="008A2411">
        <w:rPr>
          <w:rFonts w:ascii="Times New Roman" w:hAnsi="Times New Roman"/>
          <w:color w:val="000000" w:themeColor="text1"/>
        </w:rPr>
        <w:t>））</w:t>
      </w:r>
    </w:p>
    <w:tbl>
      <w:tblPr>
        <w:tblW w:w="0" w:type="auto"/>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4A0" w:firstRow="1" w:lastRow="0" w:firstColumn="1" w:lastColumn="0" w:noHBand="0" w:noVBand="1"/>
      </w:tblPr>
      <w:tblGrid>
        <w:gridCol w:w="4644"/>
        <w:gridCol w:w="3878"/>
      </w:tblGrid>
      <w:tr w:rsidR="008A2411" w:rsidRPr="008A2411" w14:paraId="03C65B68" w14:textId="77777777">
        <w:trPr>
          <w:trHeight w:val="340"/>
          <w:tblHeader/>
          <w:jc w:val="center"/>
        </w:trPr>
        <w:tc>
          <w:tcPr>
            <w:tcW w:w="4644" w:type="dxa"/>
            <w:vAlign w:val="center"/>
          </w:tcPr>
          <w:p w14:paraId="729EB3DC" w14:textId="77777777" w:rsidR="00B0005F" w:rsidRPr="008A2411" w:rsidRDefault="00000000">
            <w:pPr>
              <w:pStyle w:val="WJ4"/>
              <w:rPr>
                <w:rFonts w:ascii="Times New Roman" w:hAnsi="Times New Roman"/>
                <w:color w:val="000000" w:themeColor="text1"/>
              </w:rPr>
            </w:pPr>
            <w:r w:rsidRPr="008A2411">
              <w:rPr>
                <w:rFonts w:ascii="Times New Roman" w:hAnsi="Times New Roman"/>
                <w:color w:val="000000" w:themeColor="text1"/>
              </w:rPr>
              <w:t>噪声源</w:t>
            </w:r>
          </w:p>
        </w:tc>
        <w:tc>
          <w:tcPr>
            <w:tcW w:w="3878" w:type="dxa"/>
            <w:vAlign w:val="center"/>
          </w:tcPr>
          <w:p w14:paraId="4D67020C" w14:textId="77777777" w:rsidR="00B0005F" w:rsidRPr="008A2411" w:rsidRDefault="00000000">
            <w:pPr>
              <w:pStyle w:val="WJ4"/>
              <w:rPr>
                <w:rFonts w:ascii="Times New Roman" w:hAnsi="Times New Roman"/>
                <w:color w:val="000000" w:themeColor="text1"/>
              </w:rPr>
            </w:pPr>
            <w:r w:rsidRPr="008A2411">
              <w:rPr>
                <w:rFonts w:ascii="Times New Roman" w:hAnsi="Times New Roman"/>
                <w:color w:val="000000" w:themeColor="text1"/>
              </w:rPr>
              <w:t>噪声强度声功率级</w:t>
            </w:r>
          </w:p>
        </w:tc>
      </w:tr>
      <w:tr w:rsidR="008A2411" w:rsidRPr="008A2411" w14:paraId="3F29E7B2" w14:textId="77777777">
        <w:trPr>
          <w:trHeight w:val="340"/>
          <w:jc w:val="center"/>
        </w:trPr>
        <w:tc>
          <w:tcPr>
            <w:tcW w:w="4644" w:type="dxa"/>
            <w:vAlign w:val="center"/>
          </w:tcPr>
          <w:p w14:paraId="6BAD5E79" w14:textId="77777777" w:rsidR="00B0005F" w:rsidRPr="008A2411" w:rsidRDefault="00000000">
            <w:pPr>
              <w:pStyle w:val="WJ4"/>
              <w:rPr>
                <w:rFonts w:ascii="Times New Roman" w:hAnsi="Times New Roman"/>
                <w:b w:val="0"/>
                <w:color w:val="000000" w:themeColor="text1"/>
              </w:rPr>
            </w:pPr>
            <w:r w:rsidRPr="008A2411">
              <w:rPr>
                <w:rFonts w:ascii="Times New Roman" w:hAnsi="Times New Roman"/>
                <w:b w:val="0"/>
                <w:color w:val="000000" w:themeColor="text1"/>
              </w:rPr>
              <w:t>中型载重汽车</w:t>
            </w:r>
          </w:p>
        </w:tc>
        <w:tc>
          <w:tcPr>
            <w:tcW w:w="3878" w:type="dxa"/>
            <w:vAlign w:val="center"/>
          </w:tcPr>
          <w:p w14:paraId="750E42E9"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79</w:t>
            </w:r>
            <w:r w:rsidRPr="008A2411">
              <w:rPr>
                <w:rFonts w:ascii="Times New Roman" w:hAnsi="Times New Roman"/>
                <w:color w:val="000000" w:themeColor="text1"/>
              </w:rPr>
              <w:t>～</w:t>
            </w:r>
            <w:r w:rsidRPr="008A2411">
              <w:rPr>
                <w:rFonts w:ascii="Times New Roman" w:hAnsi="Times New Roman"/>
                <w:color w:val="000000" w:themeColor="text1"/>
              </w:rPr>
              <w:t>85</w:t>
            </w:r>
          </w:p>
        </w:tc>
      </w:tr>
      <w:tr w:rsidR="008A2411" w:rsidRPr="008A2411" w14:paraId="033D8D70" w14:textId="77777777">
        <w:trPr>
          <w:trHeight w:val="340"/>
          <w:jc w:val="center"/>
        </w:trPr>
        <w:tc>
          <w:tcPr>
            <w:tcW w:w="4644" w:type="dxa"/>
            <w:vAlign w:val="center"/>
          </w:tcPr>
          <w:p w14:paraId="45AA65AA" w14:textId="77777777" w:rsidR="00B0005F" w:rsidRPr="008A2411" w:rsidRDefault="00000000">
            <w:pPr>
              <w:pStyle w:val="WJ4"/>
              <w:rPr>
                <w:rFonts w:ascii="Times New Roman" w:hAnsi="Times New Roman"/>
                <w:b w:val="0"/>
                <w:color w:val="000000" w:themeColor="text1"/>
              </w:rPr>
            </w:pPr>
            <w:r w:rsidRPr="008A2411">
              <w:rPr>
                <w:rFonts w:ascii="Times New Roman" w:hAnsi="Times New Roman"/>
                <w:b w:val="0"/>
                <w:color w:val="000000" w:themeColor="text1"/>
              </w:rPr>
              <w:t>轻型载重汽车</w:t>
            </w:r>
          </w:p>
        </w:tc>
        <w:tc>
          <w:tcPr>
            <w:tcW w:w="3878" w:type="dxa"/>
            <w:vAlign w:val="center"/>
          </w:tcPr>
          <w:p w14:paraId="350B07F8"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76</w:t>
            </w:r>
            <w:r w:rsidRPr="008A2411">
              <w:rPr>
                <w:rFonts w:ascii="Times New Roman" w:hAnsi="Times New Roman"/>
                <w:color w:val="000000" w:themeColor="text1"/>
              </w:rPr>
              <w:t>～</w:t>
            </w:r>
            <w:r w:rsidRPr="008A2411">
              <w:rPr>
                <w:rFonts w:ascii="Times New Roman" w:hAnsi="Times New Roman"/>
                <w:color w:val="000000" w:themeColor="text1"/>
              </w:rPr>
              <w:t>84</w:t>
            </w:r>
          </w:p>
        </w:tc>
      </w:tr>
      <w:tr w:rsidR="008A2411" w:rsidRPr="008A2411" w14:paraId="3F129137" w14:textId="77777777">
        <w:trPr>
          <w:trHeight w:val="340"/>
          <w:jc w:val="center"/>
        </w:trPr>
        <w:tc>
          <w:tcPr>
            <w:tcW w:w="4644" w:type="dxa"/>
            <w:vAlign w:val="center"/>
          </w:tcPr>
          <w:p w14:paraId="6B67BB15" w14:textId="77777777" w:rsidR="00B0005F" w:rsidRPr="008A2411" w:rsidRDefault="00000000">
            <w:pPr>
              <w:pStyle w:val="WJ4"/>
              <w:rPr>
                <w:rFonts w:ascii="Times New Roman" w:hAnsi="Times New Roman"/>
                <w:b w:val="0"/>
                <w:color w:val="000000" w:themeColor="text1"/>
              </w:rPr>
            </w:pPr>
            <w:r w:rsidRPr="008A2411">
              <w:rPr>
                <w:rFonts w:ascii="Times New Roman" w:hAnsi="Times New Roman"/>
                <w:b w:val="0"/>
                <w:color w:val="000000" w:themeColor="text1"/>
              </w:rPr>
              <w:t>装卸操作</w:t>
            </w:r>
          </w:p>
        </w:tc>
        <w:tc>
          <w:tcPr>
            <w:tcW w:w="3878" w:type="dxa"/>
            <w:vAlign w:val="center"/>
          </w:tcPr>
          <w:p w14:paraId="0580F3B8"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70~80</w:t>
            </w:r>
          </w:p>
        </w:tc>
      </w:tr>
      <w:tr w:rsidR="008A2411" w:rsidRPr="008A2411" w14:paraId="0E0858C0" w14:textId="77777777">
        <w:trPr>
          <w:trHeight w:val="340"/>
          <w:jc w:val="center"/>
        </w:trPr>
        <w:tc>
          <w:tcPr>
            <w:tcW w:w="4644" w:type="dxa"/>
            <w:vAlign w:val="center"/>
          </w:tcPr>
          <w:p w14:paraId="4659CDBC" w14:textId="77777777" w:rsidR="00B0005F" w:rsidRPr="008A2411" w:rsidRDefault="00000000">
            <w:pPr>
              <w:pStyle w:val="WJ4"/>
              <w:rPr>
                <w:rFonts w:ascii="Times New Roman" w:hAnsi="Times New Roman"/>
                <w:b w:val="0"/>
                <w:color w:val="000000" w:themeColor="text1"/>
              </w:rPr>
            </w:pPr>
            <w:r w:rsidRPr="008A2411">
              <w:rPr>
                <w:rFonts w:ascii="Times New Roman" w:hAnsi="Times New Roman"/>
                <w:b w:val="0"/>
                <w:color w:val="000000" w:themeColor="text1"/>
              </w:rPr>
              <w:t>混凝土搅拌机</w:t>
            </w:r>
          </w:p>
        </w:tc>
        <w:tc>
          <w:tcPr>
            <w:tcW w:w="3878" w:type="dxa"/>
            <w:vAlign w:val="center"/>
          </w:tcPr>
          <w:p w14:paraId="7E368E91"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100</w:t>
            </w:r>
            <w:r w:rsidRPr="008A2411">
              <w:rPr>
                <w:rFonts w:ascii="Times New Roman" w:hAnsi="Times New Roman"/>
                <w:color w:val="000000" w:themeColor="text1"/>
              </w:rPr>
              <w:t>～</w:t>
            </w:r>
            <w:r w:rsidRPr="008A2411">
              <w:rPr>
                <w:rFonts w:ascii="Times New Roman" w:hAnsi="Times New Roman"/>
                <w:color w:val="000000" w:themeColor="text1"/>
              </w:rPr>
              <w:t>110</w:t>
            </w:r>
          </w:p>
        </w:tc>
      </w:tr>
      <w:tr w:rsidR="008A2411" w:rsidRPr="008A2411" w14:paraId="2B467D70" w14:textId="77777777">
        <w:trPr>
          <w:trHeight w:val="340"/>
          <w:jc w:val="center"/>
        </w:trPr>
        <w:tc>
          <w:tcPr>
            <w:tcW w:w="4644" w:type="dxa"/>
            <w:vAlign w:val="center"/>
          </w:tcPr>
          <w:p w14:paraId="71416BD4" w14:textId="77777777" w:rsidR="00B0005F" w:rsidRPr="008A2411" w:rsidRDefault="00000000">
            <w:pPr>
              <w:pStyle w:val="WJ4"/>
              <w:rPr>
                <w:rFonts w:ascii="Times New Roman" w:hAnsi="Times New Roman"/>
                <w:b w:val="0"/>
                <w:color w:val="000000" w:themeColor="text1"/>
              </w:rPr>
            </w:pPr>
            <w:r w:rsidRPr="008A2411">
              <w:rPr>
                <w:rFonts w:ascii="Times New Roman" w:hAnsi="Times New Roman" w:hint="eastAsia"/>
                <w:b w:val="0"/>
                <w:color w:val="000000" w:themeColor="text1"/>
              </w:rPr>
              <w:t>挖掘机</w:t>
            </w:r>
          </w:p>
        </w:tc>
        <w:tc>
          <w:tcPr>
            <w:tcW w:w="3878" w:type="dxa"/>
            <w:vAlign w:val="center"/>
          </w:tcPr>
          <w:p w14:paraId="75D2990D"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105</w:t>
            </w:r>
            <w:r w:rsidRPr="008A2411">
              <w:rPr>
                <w:rFonts w:ascii="Times New Roman" w:hAnsi="Times New Roman"/>
                <w:color w:val="000000" w:themeColor="text1"/>
              </w:rPr>
              <w:t>～</w:t>
            </w:r>
            <w:r w:rsidRPr="008A2411">
              <w:rPr>
                <w:rFonts w:ascii="Times New Roman" w:hAnsi="Times New Roman"/>
                <w:color w:val="000000" w:themeColor="text1"/>
              </w:rPr>
              <w:t>110</w:t>
            </w:r>
          </w:p>
        </w:tc>
      </w:tr>
      <w:tr w:rsidR="008A2411" w:rsidRPr="008A2411" w14:paraId="0DA098BC" w14:textId="77777777">
        <w:trPr>
          <w:trHeight w:val="340"/>
          <w:jc w:val="center"/>
        </w:trPr>
        <w:tc>
          <w:tcPr>
            <w:tcW w:w="4644" w:type="dxa"/>
            <w:vAlign w:val="center"/>
          </w:tcPr>
          <w:p w14:paraId="4A46F2F3" w14:textId="77777777" w:rsidR="00B0005F" w:rsidRPr="008A2411" w:rsidRDefault="00000000">
            <w:pPr>
              <w:pStyle w:val="WJ4"/>
              <w:rPr>
                <w:rFonts w:ascii="Times New Roman" w:hAnsi="Times New Roman"/>
                <w:b w:val="0"/>
                <w:color w:val="000000" w:themeColor="text1"/>
              </w:rPr>
            </w:pPr>
            <w:r w:rsidRPr="008A2411">
              <w:rPr>
                <w:rFonts w:ascii="Times New Roman" w:hAnsi="Times New Roman"/>
                <w:b w:val="0"/>
                <w:color w:val="000000" w:themeColor="text1"/>
              </w:rPr>
              <w:t>混凝土振捣棒</w:t>
            </w:r>
          </w:p>
        </w:tc>
        <w:tc>
          <w:tcPr>
            <w:tcW w:w="3878" w:type="dxa"/>
            <w:vAlign w:val="center"/>
          </w:tcPr>
          <w:p w14:paraId="1EE33623"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95</w:t>
            </w:r>
            <w:r w:rsidRPr="008A2411">
              <w:rPr>
                <w:rFonts w:ascii="Times New Roman" w:hAnsi="Times New Roman"/>
                <w:color w:val="000000" w:themeColor="text1"/>
              </w:rPr>
              <w:t>～</w:t>
            </w:r>
            <w:r w:rsidRPr="008A2411">
              <w:rPr>
                <w:rFonts w:ascii="Times New Roman" w:hAnsi="Times New Roman"/>
                <w:color w:val="000000" w:themeColor="text1"/>
              </w:rPr>
              <w:t>105</w:t>
            </w:r>
          </w:p>
        </w:tc>
      </w:tr>
      <w:tr w:rsidR="008A2411" w:rsidRPr="008A2411" w14:paraId="27550BAD" w14:textId="77777777">
        <w:trPr>
          <w:trHeight w:val="340"/>
          <w:jc w:val="center"/>
        </w:trPr>
        <w:tc>
          <w:tcPr>
            <w:tcW w:w="4644" w:type="dxa"/>
            <w:vAlign w:val="center"/>
          </w:tcPr>
          <w:p w14:paraId="65102ABA" w14:textId="77777777" w:rsidR="00B0005F" w:rsidRPr="008A2411" w:rsidRDefault="00000000">
            <w:pPr>
              <w:pStyle w:val="WJ4"/>
              <w:rPr>
                <w:rFonts w:ascii="Times New Roman" w:hAnsi="Times New Roman"/>
                <w:b w:val="0"/>
                <w:color w:val="000000" w:themeColor="text1"/>
              </w:rPr>
            </w:pPr>
            <w:r w:rsidRPr="008A2411">
              <w:rPr>
                <w:rFonts w:ascii="Times New Roman" w:hAnsi="Times New Roman"/>
                <w:b w:val="0"/>
                <w:color w:val="000000" w:themeColor="text1"/>
              </w:rPr>
              <w:t>切割机</w:t>
            </w:r>
          </w:p>
        </w:tc>
        <w:tc>
          <w:tcPr>
            <w:tcW w:w="3878" w:type="dxa"/>
            <w:vAlign w:val="center"/>
          </w:tcPr>
          <w:p w14:paraId="384417E2"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95</w:t>
            </w:r>
            <w:r w:rsidRPr="008A2411">
              <w:rPr>
                <w:rFonts w:ascii="Times New Roman" w:hAnsi="Times New Roman"/>
                <w:color w:val="000000" w:themeColor="text1"/>
              </w:rPr>
              <w:t>～</w:t>
            </w:r>
            <w:r w:rsidRPr="008A2411">
              <w:rPr>
                <w:rFonts w:ascii="Times New Roman" w:hAnsi="Times New Roman"/>
                <w:color w:val="000000" w:themeColor="text1"/>
              </w:rPr>
              <w:t>110</w:t>
            </w:r>
          </w:p>
        </w:tc>
      </w:tr>
    </w:tbl>
    <w:p w14:paraId="04ADA5C5" w14:textId="77777777" w:rsidR="00B0005F" w:rsidRPr="008A2411" w:rsidRDefault="00000000">
      <w:pPr>
        <w:pStyle w:val="WJ"/>
        <w:adjustRightInd w:val="0"/>
        <w:snapToGrid w:val="0"/>
        <w:spacing w:line="360" w:lineRule="auto"/>
        <w:rPr>
          <w:rFonts w:ascii="Times New Roman" w:hAnsi="Times New Roman"/>
          <w:color w:val="000000" w:themeColor="text1"/>
          <w:lang w:bidi="en-US"/>
        </w:rPr>
      </w:pPr>
      <w:r w:rsidRPr="008A2411">
        <w:rPr>
          <w:rFonts w:ascii="Times New Roman" w:hAnsi="Times New Roman"/>
          <w:color w:val="000000" w:themeColor="text1"/>
          <w:lang w:bidi="en-US"/>
        </w:rPr>
        <w:t>（</w:t>
      </w:r>
      <w:r w:rsidRPr="008A2411">
        <w:rPr>
          <w:rFonts w:ascii="Times New Roman" w:hAnsi="Times New Roman"/>
          <w:color w:val="000000" w:themeColor="text1"/>
          <w:lang w:bidi="en-US"/>
        </w:rPr>
        <w:t>4</w:t>
      </w:r>
      <w:r w:rsidRPr="008A2411">
        <w:rPr>
          <w:rFonts w:ascii="Times New Roman" w:hAnsi="Times New Roman"/>
          <w:color w:val="000000" w:themeColor="text1"/>
          <w:lang w:bidi="en-US"/>
        </w:rPr>
        <w:t>）固废</w:t>
      </w:r>
    </w:p>
    <w:p w14:paraId="14BD39B5" w14:textId="3064F905" w:rsidR="00B0005F" w:rsidRPr="008A2411" w:rsidRDefault="00000000">
      <w:pPr>
        <w:pStyle w:val="WJ"/>
        <w:adjustRightInd w:val="0"/>
        <w:snapToGrid w:val="0"/>
        <w:spacing w:line="360" w:lineRule="auto"/>
        <w:rPr>
          <w:rFonts w:ascii="Times New Roman" w:hAnsi="Times New Roman"/>
          <w:color w:val="000000" w:themeColor="text1"/>
          <w:lang w:bidi="en-US"/>
        </w:rPr>
      </w:pPr>
      <w:r w:rsidRPr="008A2411">
        <w:rPr>
          <w:rFonts w:ascii="Times New Roman" w:hAnsi="Times New Roman"/>
          <w:color w:val="000000" w:themeColor="text1"/>
          <w:lang w:bidi="en-US"/>
        </w:rPr>
        <w:lastRenderedPageBreak/>
        <w:t>项目施工期固废的来源为少量场地平整、基础施工及安装作业产生</w:t>
      </w:r>
      <w:proofErr w:type="gramStart"/>
      <w:r w:rsidRPr="008A2411">
        <w:rPr>
          <w:rFonts w:ascii="Times New Roman" w:hAnsi="Times New Roman"/>
          <w:color w:val="000000" w:themeColor="text1"/>
          <w:lang w:bidi="en-US"/>
        </w:rPr>
        <w:t>废材料</w:t>
      </w:r>
      <w:proofErr w:type="gramEnd"/>
      <w:r w:rsidRPr="008A2411">
        <w:rPr>
          <w:rFonts w:ascii="Times New Roman" w:hAnsi="Times New Roman"/>
          <w:color w:val="000000" w:themeColor="text1"/>
          <w:lang w:bidi="en-US"/>
        </w:rPr>
        <w:t>以及施工人员产生的生活垃圾。站场场地平整及基础施工产生的土石方用于站内平整；安装工程产生的</w:t>
      </w:r>
      <w:proofErr w:type="gramStart"/>
      <w:r w:rsidRPr="008A2411">
        <w:rPr>
          <w:rFonts w:ascii="Times New Roman" w:hAnsi="Times New Roman"/>
          <w:color w:val="000000" w:themeColor="text1"/>
          <w:lang w:bidi="en-US"/>
        </w:rPr>
        <w:t>废材料</w:t>
      </w:r>
      <w:proofErr w:type="gramEnd"/>
      <w:r w:rsidRPr="008A2411">
        <w:rPr>
          <w:rFonts w:ascii="Times New Roman" w:hAnsi="Times New Roman"/>
          <w:color w:val="000000" w:themeColor="text1"/>
          <w:lang w:bidi="en-US"/>
        </w:rPr>
        <w:t>由材料供货商进行统一回收；施工人员产生的生活垃圾，按</w:t>
      </w:r>
      <w:r w:rsidRPr="008A2411">
        <w:rPr>
          <w:rFonts w:ascii="Times New Roman" w:hAnsi="Times New Roman"/>
          <w:color w:val="000000" w:themeColor="text1"/>
          <w:lang w:bidi="en-US"/>
        </w:rPr>
        <w:t>0.5kg/</w:t>
      </w:r>
      <w:r w:rsidRPr="008A2411">
        <w:rPr>
          <w:rFonts w:ascii="Times New Roman" w:hAnsi="Times New Roman"/>
          <w:color w:val="000000" w:themeColor="text1"/>
          <w:lang w:bidi="en-US"/>
        </w:rPr>
        <w:t>（</w:t>
      </w:r>
      <w:r w:rsidRPr="008A2411">
        <w:rPr>
          <w:rFonts w:ascii="Times New Roman" w:hAnsi="Times New Roman"/>
          <w:color w:val="000000" w:themeColor="text1"/>
          <w:lang w:bidi="en-US"/>
        </w:rPr>
        <w:t>d·</w:t>
      </w:r>
      <w:r w:rsidRPr="008A2411">
        <w:rPr>
          <w:rFonts w:ascii="Times New Roman" w:hAnsi="Times New Roman"/>
          <w:color w:val="000000" w:themeColor="text1"/>
          <w:lang w:bidi="en-US"/>
        </w:rPr>
        <w:t>人）约</w:t>
      </w:r>
      <w:r w:rsidR="006E5757" w:rsidRPr="008A2411">
        <w:rPr>
          <w:rFonts w:ascii="Times New Roman" w:hAnsi="Times New Roman" w:hint="eastAsia"/>
          <w:color w:val="000000" w:themeColor="text1"/>
          <w:lang w:bidi="en-US"/>
        </w:rPr>
        <w:t>5</w:t>
      </w:r>
      <w:r w:rsidRPr="008A2411">
        <w:rPr>
          <w:rFonts w:ascii="Times New Roman" w:hAnsi="Times New Roman"/>
          <w:color w:val="000000" w:themeColor="text1"/>
          <w:lang w:bidi="en-US"/>
        </w:rPr>
        <w:t>0kg/d</w:t>
      </w:r>
      <w:r w:rsidRPr="008A2411">
        <w:rPr>
          <w:rFonts w:ascii="Times New Roman" w:hAnsi="Times New Roman"/>
          <w:color w:val="000000" w:themeColor="text1"/>
          <w:lang w:bidi="en-US"/>
        </w:rPr>
        <w:t>，利用附近垃圾收集系统统一收集。</w:t>
      </w:r>
    </w:p>
    <w:p w14:paraId="631621A8" w14:textId="77777777" w:rsidR="00B0005F" w:rsidRPr="008A2411" w:rsidRDefault="00000000">
      <w:pPr>
        <w:pStyle w:val="WJ2"/>
        <w:spacing w:line="360" w:lineRule="auto"/>
        <w:outlineLvl w:val="2"/>
        <w:rPr>
          <w:rFonts w:ascii="Times New Roman" w:hAnsi="Times New Roman"/>
          <w:color w:val="000000" w:themeColor="text1"/>
          <w:sz w:val="24"/>
          <w:szCs w:val="24"/>
        </w:rPr>
      </w:pPr>
      <w:bookmarkStart w:id="196" w:name="_Toc11544"/>
      <w:bookmarkStart w:id="197" w:name="_Toc31952"/>
      <w:bookmarkStart w:id="198" w:name="_Toc31605"/>
      <w:bookmarkStart w:id="199" w:name="_Toc108365927"/>
      <w:bookmarkStart w:id="200" w:name="_Toc11477"/>
      <w:bookmarkStart w:id="201" w:name="_Toc8427"/>
      <w:bookmarkStart w:id="202" w:name="_Toc109170757"/>
      <w:r w:rsidRPr="008A2411">
        <w:rPr>
          <w:rFonts w:ascii="Times New Roman" w:hAnsi="Times New Roman"/>
          <w:color w:val="000000" w:themeColor="text1"/>
          <w:sz w:val="24"/>
          <w:szCs w:val="24"/>
        </w:rPr>
        <w:t>3.2.2</w:t>
      </w:r>
      <w:r w:rsidRPr="008A2411">
        <w:rPr>
          <w:rFonts w:ascii="Times New Roman" w:hAnsi="Times New Roman"/>
          <w:color w:val="000000" w:themeColor="text1"/>
          <w:sz w:val="24"/>
          <w:szCs w:val="24"/>
        </w:rPr>
        <w:t>建设项目运营期工程分析</w:t>
      </w:r>
      <w:bookmarkEnd w:id="196"/>
      <w:bookmarkEnd w:id="197"/>
      <w:bookmarkEnd w:id="198"/>
      <w:bookmarkEnd w:id="199"/>
      <w:bookmarkEnd w:id="200"/>
      <w:bookmarkEnd w:id="201"/>
      <w:bookmarkEnd w:id="202"/>
    </w:p>
    <w:p w14:paraId="63162031" w14:textId="77777777" w:rsidR="00B0005F" w:rsidRPr="008A2411" w:rsidRDefault="00000000">
      <w:pPr>
        <w:pStyle w:val="WJ3"/>
        <w:spacing w:line="360" w:lineRule="auto"/>
        <w:outlineLvl w:val="9"/>
        <w:rPr>
          <w:rFonts w:ascii="Times New Roman" w:hAnsi="Times New Roman"/>
          <w:color w:val="000000" w:themeColor="text1"/>
        </w:rPr>
      </w:pPr>
      <w:bookmarkStart w:id="203" w:name="_Toc422906838"/>
      <w:bookmarkStart w:id="204" w:name="_Toc405904824"/>
      <w:bookmarkStart w:id="205" w:name="_Toc405904480"/>
      <w:bookmarkStart w:id="206" w:name="_Toc405214242"/>
      <w:bookmarkStart w:id="207" w:name="_Toc405905296"/>
      <w:r w:rsidRPr="008A2411">
        <w:rPr>
          <w:rFonts w:ascii="Times New Roman" w:hAnsi="Times New Roman"/>
          <w:color w:val="000000" w:themeColor="text1"/>
        </w:rPr>
        <w:t>3.2.2.1</w:t>
      </w:r>
      <w:r w:rsidRPr="008A2411">
        <w:rPr>
          <w:rFonts w:ascii="Times New Roman" w:hAnsi="Times New Roman"/>
          <w:color w:val="000000" w:themeColor="text1"/>
        </w:rPr>
        <w:t>工艺技术路线选择</w:t>
      </w:r>
    </w:p>
    <w:p w14:paraId="62DDE2CC" w14:textId="77777777" w:rsidR="00B0005F" w:rsidRPr="008A2411" w:rsidRDefault="00000000">
      <w:pPr>
        <w:adjustRightInd w:val="0"/>
        <w:snapToGrid w:val="0"/>
        <w:spacing w:line="360" w:lineRule="auto"/>
        <w:ind w:firstLineChars="200" w:firstLine="480"/>
        <w:rPr>
          <w:rFonts w:ascii="Times New Roman"/>
          <w:color w:val="000000" w:themeColor="text1"/>
        </w:rPr>
      </w:pPr>
      <w:r w:rsidRPr="008A2411">
        <w:rPr>
          <w:rFonts w:ascii="Times New Roman"/>
          <w:color w:val="000000" w:themeColor="text1"/>
        </w:rPr>
        <w:t>项目工艺过程包括原料天然气预处理（净化）、液化、储存、装车及辅助系统等，主工艺流程包括天然气预处理和液化工艺。项目工艺选址详述如下。</w:t>
      </w:r>
    </w:p>
    <w:p w14:paraId="755294A2" w14:textId="77777777" w:rsidR="00B0005F" w:rsidRPr="008A2411" w:rsidRDefault="00000000">
      <w:pPr>
        <w:pStyle w:val="afffffffffffff7"/>
        <w:ind w:firstLineChars="0" w:firstLine="0"/>
        <w:rPr>
          <w:b/>
          <w:color w:val="000000" w:themeColor="text1"/>
          <w:sz w:val="24"/>
          <w:szCs w:val="24"/>
        </w:rPr>
      </w:pPr>
      <w:r w:rsidRPr="008A2411">
        <w:rPr>
          <w:b/>
          <w:color w:val="000000" w:themeColor="text1"/>
          <w:sz w:val="24"/>
          <w:szCs w:val="24"/>
        </w:rPr>
        <w:t>1</w:t>
      </w:r>
      <w:r w:rsidRPr="008A2411">
        <w:rPr>
          <w:b/>
          <w:color w:val="000000" w:themeColor="text1"/>
          <w:sz w:val="24"/>
          <w:szCs w:val="24"/>
        </w:rPr>
        <w:t>、原料气净化路线选择</w:t>
      </w:r>
    </w:p>
    <w:p w14:paraId="7C1CF399" w14:textId="77777777" w:rsidR="00B0005F" w:rsidRPr="008A2411" w:rsidRDefault="00000000">
      <w:pPr>
        <w:adjustRightInd w:val="0"/>
        <w:snapToGrid w:val="0"/>
        <w:spacing w:line="360" w:lineRule="auto"/>
        <w:ind w:firstLineChars="200" w:firstLine="480"/>
        <w:rPr>
          <w:rFonts w:ascii="Times New Roman"/>
          <w:color w:val="000000" w:themeColor="text1"/>
        </w:rPr>
      </w:pPr>
      <w:r w:rsidRPr="008A2411">
        <w:rPr>
          <w:rFonts w:ascii="Times New Roman"/>
          <w:color w:val="000000" w:themeColor="text1"/>
        </w:rPr>
        <w:t>天然气中含二氧化碳、硫化氢、水分等杂质，这些杂质的存在会腐蚀设备及在低温下冻结而阻塞设备和管道。若天然气中含有水分，则在液化装置中，水与天然气在低温下形成水合物冻结在换热器的表面和节流阀的工作部分。酸性气对设备管道有腐蚀作用，而且因其沸点较高，在降温过程中易呈固体析出，必须脱除。液化天然气工厂原料气预处理标准和杂质的最大含量见表</w:t>
      </w:r>
      <w:r w:rsidRPr="008A2411">
        <w:rPr>
          <w:rFonts w:ascii="Times New Roman"/>
          <w:color w:val="000000" w:themeColor="text1"/>
        </w:rPr>
        <w:t>3.2-2</w:t>
      </w:r>
      <w:r w:rsidRPr="008A2411">
        <w:rPr>
          <w:rFonts w:ascii="Times New Roman"/>
          <w:color w:val="000000" w:themeColor="text1"/>
        </w:rPr>
        <w:t>。</w:t>
      </w:r>
    </w:p>
    <w:p w14:paraId="7DBA3262" w14:textId="77777777" w:rsidR="00B0005F" w:rsidRPr="008A2411" w:rsidRDefault="00000000">
      <w:pPr>
        <w:widowControl/>
        <w:ind w:firstLineChars="200" w:firstLine="480"/>
        <w:jc w:val="center"/>
        <w:rPr>
          <w:rFonts w:ascii="Times New Roman" w:eastAsia="黑体"/>
          <w:color w:val="000000" w:themeColor="text1"/>
          <w:szCs w:val="24"/>
        </w:rPr>
      </w:pPr>
      <w:r w:rsidRPr="008A2411">
        <w:rPr>
          <w:rFonts w:ascii="Times New Roman" w:eastAsia="黑体"/>
          <w:color w:val="000000" w:themeColor="text1"/>
          <w:szCs w:val="24"/>
        </w:rPr>
        <w:t>表</w:t>
      </w:r>
      <w:r w:rsidRPr="008A2411">
        <w:rPr>
          <w:rFonts w:ascii="Times New Roman" w:eastAsia="黑体"/>
          <w:color w:val="000000" w:themeColor="text1"/>
          <w:szCs w:val="24"/>
        </w:rPr>
        <w:t xml:space="preserve">3.2-2 </w:t>
      </w:r>
      <w:r w:rsidRPr="008A2411">
        <w:rPr>
          <w:rFonts w:ascii="Times New Roman" w:eastAsia="黑体"/>
          <w:color w:val="000000" w:themeColor="text1"/>
          <w:szCs w:val="24"/>
        </w:rPr>
        <w:t>液化天然气工厂原料气预处理标准和杂质的最大含量</w:t>
      </w:r>
    </w:p>
    <w:tbl>
      <w:tblPr>
        <w:tblW w:w="499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5"/>
        <w:gridCol w:w="2859"/>
        <w:gridCol w:w="4136"/>
      </w:tblGrid>
      <w:tr w:rsidR="008A2411" w:rsidRPr="008A2411" w14:paraId="23B0F3F4" w14:textId="77777777">
        <w:trPr>
          <w:trHeight w:val="360"/>
        </w:trPr>
        <w:tc>
          <w:tcPr>
            <w:tcW w:w="895" w:type="pct"/>
            <w:tcBorders>
              <w:top w:val="single" w:sz="4" w:space="0" w:color="auto"/>
              <w:left w:val="single" w:sz="4" w:space="0" w:color="auto"/>
              <w:bottom w:val="single" w:sz="4" w:space="0" w:color="auto"/>
              <w:right w:val="single" w:sz="4" w:space="0" w:color="auto"/>
            </w:tcBorders>
            <w:vAlign w:val="center"/>
          </w:tcPr>
          <w:p w14:paraId="6B2BD8E7"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ind w:firstLineChars="200" w:firstLine="420"/>
              <w:jc w:val="center"/>
              <w:rPr>
                <w:rFonts w:ascii="Times New Roman"/>
                <w:color w:val="000000" w:themeColor="text1"/>
                <w:sz w:val="21"/>
                <w:szCs w:val="21"/>
              </w:rPr>
            </w:pPr>
            <w:r w:rsidRPr="008A2411">
              <w:rPr>
                <w:rFonts w:ascii="Times New Roman"/>
                <w:bCs/>
                <w:color w:val="000000" w:themeColor="text1"/>
                <w:sz w:val="21"/>
                <w:szCs w:val="21"/>
                <w:lang w:bidi="ar"/>
              </w:rPr>
              <w:t>杂质</w:t>
            </w:r>
          </w:p>
        </w:tc>
        <w:tc>
          <w:tcPr>
            <w:tcW w:w="1678" w:type="pct"/>
            <w:tcBorders>
              <w:top w:val="single" w:sz="4" w:space="0" w:color="auto"/>
              <w:left w:val="single" w:sz="4" w:space="0" w:color="auto"/>
              <w:bottom w:val="single" w:sz="4" w:space="0" w:color="auto"/>
              <w:right w:val="single" w:sz="4" w:space="0" w:color="auto"/>
            </w:tcBorders>
            <w:vAlign w:val="center"/>
          </w:tcPr>
          <w:p w14:paraId="0C2D0723"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ind w:firstLineChars="200" w:firstLine="420"/>
              <w:jc w:val="center"/>
              <w:rPr>
                <w:rFonts w:ascii="Times New Roman"/>
                <w:color w:val="000000" w:themeColor="text1"/>
                <w:sz w:val="21"/>
                <w:szCs w:val="21"/>
              </w:rPr>
            </w:pPr>
            <w:r w:rsidRPr="008A2411">
              <w:rPr>
                <w:rFonts w:ascii="Times New Roman"/>
                <w:bCs/>
                <w:color w:val="000000" w:themeColor="text1"/>
                <w:sz w:val="21"/>
                <w:szCs w:val="21"/>
                <w:lang w:bidi="ar"/>
              </w:rPr>
              <w:t>含量极限</w:t>
            </w:r>
          </w:p>
        </w:tc>
        <w:tc>
          <w:tcPr>
            <w:tcW w:w="2425" w:type="pct"/>
            <w:tcBorders>
              <w:top w:val="single" w:sz="4" w:space="0" w:color="auto"/>
              <w:left w:val="single" w:sz="4" w:space="0" w:color="auto"/>
              <w:bottom w:val="single" w:sz="4" w:space="0" w:color="auto"/>
              <w:right w:val="single" w:sz="4" w:space="0" w:color="auto"/>
            </w:tcBorders>
            <w:vAlign w:val="center"/>
          </w:tcPr>
          <w:p w14:paraId="36778EE0"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ind w:firstLineChars="200" w:firstLine="420"/>
              <w:jc w:val="center"/>
              <w:rPr>
                <w:rFonts w:ascii="Times New Roman"/>
                <w:color w:val="000000" w:themeColor="text1"/>
                <w:sz w:val="21"/>
                <w:szCs w:val="21"/>
              </w:rPr>
            </w:pPr>
            <w:r w:rsidRPr="008A2411">
              <w:rPr>
                <w:rFonts w:ascii="Times New Roman"/>
                <w:bCs/>
                <w:color w:val="000000" w:themeColor="text1"/>
                <w:sz w:val="21"/>
                <w:szCs w:val="21"/>
                <w:lang w:bidi="ar"/>
              </w:rPr>
              <w:t>依据</w:t>
            </w:r>
          </w:p>
        </w:tc>
      </w:tr>
      <w:tr w:rsidR="008A2411" w:rsidRPr="008A2411" w14:paraId="507E854A" w14:textId="77777777">
        <w:trPr>
          <w:trHeight w:val="401"/>
        </w:trPr>
        <w:tc>
          <w:tcPr>
            <w:tcW w:w="895" w:type="pct"/>
            <w:tcBorders>
              <w:top w:val="single" w:sz="4" w:space="0" w:color="auto"/>
              <w:left w:val="single" w:sz="4" w:space="0" w:color="auto"/>
              <w:bottom w:val="single" w:sz="4" w:space="0" w:color="auto"/>
              <w:right w:val="single" w:sz="4" w:space="0" w:color="auto"/>
            </w:tcBorders>
            <w:vAlign w:val="center"/>
          </w:tcPr>
          <w:p w14:paraId="568BA38B"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ind w:firstLineChars="200" w:firstLine="420"/>
              <w:jc w:val="center"/>
              <w:rPr>
                <w:rFonts w:ascii="Times New Roman"/>
                <w:color w:val="000000" w:themeColor="text1"/>
                <w:sz w:val="21"/>
                <w:szCs w:val="21"/>
              </w:rPr>
            </w:pPr>
            <w:r w:rsidRPr="008A2411">
              <w:rPr>
                <w:rFonts w:ascii="Times New Roman"/>
                <w:bCs/>
                <w:color w:val="000000" w:themeColor="text1"/>
                <w:sz w:val="21"/>
                <w:szCs w:val="21"/>
                <w:lang w:bidi="ar"/>
              </w:rPr>
              <w:t>H</w:t>
            </w:r>
            <w:r w:rsidRPr="008A2411">
              <w:rPr>
                <w:rFonts w:ascii="Times New Roman"/>
                <w:bCs/>
                <w:color w:val="000000" w:themeColor="text1"/>
                <w:sz w:val="21"/>
                <w:szCs w:val="21"/>
                <w:vertAlign w:val="subscript"/>
                <w:lang w:bidi="ar"/>
              </w:rPr>
              <w:t>2</w:t>
            </w:r>
            <w:r w:rsidRPr="008A2411">
              <w:rPr>
                <w:rFonts w:ascii="Times New Roman"/>
                <w:bCs/>
                <w:color w:val="000000" w:themeColor="text1"/>
                <w:sz w:val="21"/>
                <w:szCs w:val="21"/>
                <w:lang w:bidi="ar"/>
              </w:rPr>
              <w:t>O</w:t>
            </w:r>
          </w:p>
        </w:tc>
        <w:tc>
          <w:tcPr>
            <w:tcW w:w="1678" w:type="pct"/>
            <w:tcBorders>
              <w:top w:val="single" w:sz="4" w:space="0" w:color="auto"/>
              <w:left w:val="single" w:sz="4" w:space="0" w:color="auto"/>
              <w:bottom w:val="single" w:sz="4" w:space="0" w:color="auto"/>
              <w:right w:val="single" w:sz="4" w:space="0" w:color="auto"/>
            </w:tcBorders>
            <w:vAlign w:val="center"/>
          </w:tcPr>
          <w:p w14:paraId="460DE569"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ind w:firstLineChars="200" w:firstLine="420"/>
              <w:jc w:val="center"/>
              <w:rPr>
                <w:rFonts w:ascii="Times New Roman"/>
                <w:color w:val="000000" w:themeColor="text1"/>
                <w:sz w:val="21"/>
                <w:szCs w:val="21"/>
              </w:rPr>
            </w:pPr>
            <w:r w:rsidRPr="008A2411">
              <w:rPr>
                <w:rFonts w:ascii="Times New Roman"/>
                <w:bCs/>
                <w:color w:val="000000" w:themeColor="text1"/>
                <w:sz w:val="21"/>
                <w:szCs w:val="21"/>
                <w:lang w:bidi="ar"/>
              </w:rPr>
              <w:t>≤1ppmV</w:t>
            </w:r>
          </w:p>
        </w:tc>
        <w:tc>
          <w:tcPr>
            <w:tcW w:w="2425" w:type="pct"/>
            <w:tcBorders>
              <w:top w:val="single" w:sz="4" w:space="0" w:color="auto"/>
              <w:left w:val="single" w:sz="4" w:space="0" w:color="auto"/>
              <w:bottom w:val="single" w:sz="4" w:space="0" w:color="auto"/>
              <w:right w:val="single" w:sz="4" w:space="0" w:color="auto"/>
            </w:tcBorders>
            <w:vAlign w:val="center"/>
          </w:tcPr>
          <w:p w14:paraId="1E26C5C9"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bCs/>
                <w:color w:val="000000" w:themeColor="text1"/>
                <w:sz w:val="21"/>
                <w:szCs w:val="21"/>
              </w:rPr>
            </w:pPr>
            <w:r w:rsidRPr="008A2411">
              <w:rPr>
                <w:rFonts w:ascii="Times New Roman"/>
                <w:bCs/>
                <w:color w:val="000000" w:themeColor="text1"/>
                <w:sz w:val="21"/>
                <w:szCs w:val="21"/>
                <w:lang w:bidi="ar"/>
              </w:rPr>
              <w:t>A</w:t>
            </w:r>
            <w:r w:rsidRPr="008A2411">
              <w:rPr>
                <w:rFonts w:ascii="Times New Roman"/>
                <w:bCs/>
                <w:color w:val="000000" w:themeColor="text1"/>
                <w:sz w:val="21"/>
                <w:szCs w:val="21"/>
                <w:lang w:bidi="ar"/>
              </w:rPr>
              <w:t>（在不限制产量条件下，允许超过溶解极限）</w:t>
            </w:r>
          </w:p>
        </w:tc>
      </w:tr>
      <w:tr w:rsidR="008A2411" w:rsidRPr="008A2411" w14:paraId="76470DCC" w14:textId="77777777">
        <w:trPr>
          <w:trHeight w:val="345"/>
        </w:trPr>
        <w:tc>
          <w:tcPr>
            <w:tcW w:w="895" w:type="pct"/>
            <w:tcBorders>
              <w:top w:val="single" w:sz="4" w:space="0" w:color="auto"/>
              <w:left w:val="single" w:sz="4" w:space="0" w:color="auto"/>
              <w:bottom w:val="single" w:sz="4" w:space="0" w:color="auto"/>
              <w:right w:val="single" w:sz="4" w:space="0" w:color="auto"/>
            </w:tcBorders>
            <w:vAlign w:val="center"/>
          </w:tcPr>
          <w:p w14:paraId="20CC367C"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ind w:firstLineChars="200" w:firstLine="420"/>
              <w:jc w:val="center"/>
              <w:rPr>
                <w:rFonts w:ascii="Times New Roman"/>
                <w:color w:val="000000" w:themeColor="text1"/>
                <w:sz w:val="21"/>
                <w:szCs w:val="21"/>
              </w:rPr>
            </w:pPr>
            <w:r w:rsidRPr="008A2411">
              <w:rPr>
                <w:rFonts w:ascii="Times New Roman"/>
                <w:bCs/>
                <w:color w:val="000000" w:themeColor="text1"/>
                <w:sz w:val="21"/>
                <w:szCs w:val="21"/>
                <w:lang w:bidi="ar"/>
              </w:rPr>
              <w:t>CO</w:t>
            </w:r>
            <w:r w:rsidRPr="008A2411">
              <w:rPr>
                <w:rFonts w:ascii="Times New Roman"/>
                <w:bCs/>
                <w:color w:val="000000" w:themeColor="text1"/>
                <w:sz w:val="21"/>
                <w:szCs w:val="21"/>
                <w:vertAlign w:val="subscript"/>
                <w:lang w:bidi="ar"/>
              </w:rPr>
              <w:t>2</w:t>
            </w:r>
          </w:p>
        </w:tc>
        <w:tc>
          <w:tcPr>
            <w:tcW w:w="1678" w:type="pct"/>
            <w:tcBorders>
              <w:top w:val="single" w:sz="4" w:space="0" w:color="auto"/>
              <w:left w:val="single" w:sz="4" w:space="0" w:color="auto"/>
              <w:bottom w:val="single" w:sz="4" w:space="0" w:color="auto"/>
              <w:right w:val="single" w:sz="4" w:space="0" w:color="auto"/>
            </w:tcBorders>
            <w:vAlign w:val="center"/>
          </w:tcPr>
          <w:p w14:paraId="5552FB47"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ind w:firstLineChars="200" w:firstLine="420"/>
              <w:jc w:val="center"/>
              <w:rPr>
                <w:rFonts w:ascii="Times New Roman"/>
                <w:color w:val="000000" w:themeColor="text1"/>
                <w:sz w:val="21"/>
                <w:szCs w:val="21"/>
              </w:rPr>
            </w:pPr>
            <w:r w:rsidRPr="008A2411">
              <w:rPr>
                <w:rFonts w:ascii="Times New Roman"/>
                <w:bCs/>
                <w:color w:val="000000" w:themeColor="text1"/>
                <w:sz w:val="21"/>
                <w:szCs w:val="21"/>
                <w:lang w:bidi="ar"/>
              </w:rPr>
              <w:t xml:space="preserve">≤50 </w:t>
            </w:r>
            <w:proofErr w:type="spellStart"/>
            <w:r w:rsidRPr="008A2411">
              <w:rPr>
                <w:rFonts w:ascii="Times New Roman"/>
                <w:bCs/>
                <w:color w:val="000000" w:themeColor="text1"/>
                <w:sz w:val="21"/>
                <w:szCs w:val="21"/>
                <w:lang w:bidi="ar"/>
              </w:rPr>
              <w:t>ppmV</w:t>
            </w:r>
            <w:proofErr w:type="spellEnd"/>
          </w:p>
        </w:tc>
        <w:tc>
          <w:tcPr>
            <w:tcW w:w="2425" w:type="pct"/>
            <w:tcBorders>
              <w:top w:val="single" w:sz="4" w:space="0" w:color="auto"/>
              <w:left w:val="single" w:sz="4" w:space="0" w:color="auto"/>
              <w:bottom w:val="single" w:sz="4" w:space="0" w:color="auto"/>
              <w:right w:val="single" w:sz="4" w:space="0" w:color="auto"/>
            </w:tcBorders>
            <w:vAlign w:val="center"/>
          </w:tcPr>
          <w:p w14:paraId="6B7EB087"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ind w:firstLineChars="200" w:firstLine="420"/>
              <w:jc w:val="center"/>
              <w:rPr>
                <w:rFonts w:ascii="Times New Roman"/>
                <w:color w:val="000000" w:themeColor="text1"/>
                <w:sz w:val="21"/>
                <w:szCs w:val="21"/>
              </w:rPr>
            </w:pPr>
            <w:r w:rsidRPr="008A2411">
              <w:rPr>
                <w:rFonts w:ascii="Times New Roman"/>
                <w:bCs/>
                <w:color w:val="000000" w:themeColor="text1"/>
                <w:sz w:val="21"/>
                <w:szCs w:val="21"/>
                <w:lang w:bidi="ar"/>
              </w:rPr>
              <w:t>B</w:t>
            </w:r>
            <w:r w:rsidRPr="008A2411">
              <w:rPr>
                <w:rFonts w:ascii="Times New Roman"/>
                <w:bCs/>
                <w:color w:val="000000" w:themeColor="text1"/>
                <w:sz w:val="21"/>
                <w:szCs w:val="21"/>
                <w:lang w:bidi="ar"/>
              </w:rPr>
              <w:t>（极限溶解度</w:t>
            </w:r>
            <w:r w:rsidRPr="008A2411">
              <w:rPr>
                <w:rFonts w:ascii="Times New Roman"/>
                <w:bCs/>
                <w:color w:val="000000" w:themeColor="text1"/>
                <w:sz w:val="21"/>
                <w:szCs w:val="21"/>
                <w:lang w:bidi="ar"/>
              </w:rPr>
              <w:t>)</w:t>
            </w:r>
          </w:p>
        </w:tc>
      </w:tr>
      <w:tr w:rsidR="008A2411" w:rsidRPr="008A2411" w14:paraId="0A296091" w14:textId="77777777">
        <w:trPr>
          <w:trHeight w:val="345"/>
        </w:trPr>
        <w:tc>
          <w:tcPr>
            <w:tcW w:w="895" w:type="pct"/>
            <w:tcBorders>
              <w:top w:val="single" w:sz="4" w:space="0" w:color="auto"/>
              <w:left w:val="single" w:sz="4" w:space="0" w:color="auto"/>
              <w:bottom w:val="single" w:sz="4" w:space="0" w:color="auto"/>
              <w:right w:val="single" w:sz="4" w:space="0" w:color="auto"/>
            </w:tcBorders>
            <w:vAlign w:val="center"/>
          </w:tcPr>
          <w:p w14:paraId="1EE93489"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ind w:firstLineChars="200" w:firstLine="420"/>
              <w:jc w:val="center"/>
              <w:rPr>
                <w:rFonts w:ascii="Times New Roman"/>
                <w:color w:val="000000" w:themeColor="text1"/>
                <w:sz w:val="21"/>
                <w:szCs w:val="21"/>
              </w:rPr>
            </w:pPr>
            <w:r w:rsidRPr="008A2411">
              <w:rPr>
                <w:rFonts w:ascii="Times New Roman"/>
                <w:bCs/>
                <w:color w:val="000000" w:themeColor="text1"/>
                <w:sz w:val="21"/>
                <w:szCs w:val="21"/>
                <w:lang w:bidi="ar"/>
              </w:rPr>
              <w:t>H</w:t>
            </w:r>
            <w:r w:rsidRPr="008A2411">
              <w:rPr>
                <w:rFonts w:ascii="Times New Roman"/>
                <w:bCs/>
                <w:color w:val="000000" w:themeColor="text1"/>
                <w:sz w:val="21"/>
                <w:szCs w:val="21"/>
                <w:vertAlign w:val="subscript"/>
                <w:lang w:bidi="ar"/>
              </w:rPr>
              <w:t>2</w:t>
            </w:r>
            <w:r w:rsidRPr="008A2411">
              <w:rPr>
                <w:rFonts w:ascii="Times New Roman"/>
                <w:bCs/>
                <w:color w:val="000000" w:themeColor="text1"/>
                <w:sz w:val="21"/>
                <w:szCs w:val="21"/>
                <w:lang w:bidi="ar"/>
              </w:rPr>
              <w:t>S</w:t>
            </w:r>
          </w:p>
        </w:tc>
        <w:tc>
          <w:tcPr>
            <w:tcW w:w="1678" w:type="pct"/>
            <w:tcBorders>
              <w:top w:val="single" w:sz="4" w:space="0" w:color="auto"/>
              <w:left w:val="single" w:sz="4" w:space="0" w:color="auto"/>
              <w:bottom w:val="single" w:sz="4" w:space="0" w:color="auto"/>
              <w:right w:val="single" w:sz="4" w:space="0" w:color="auto"/>
            </w:tcBorders>
            <w:vAlign w:val="center"/>
          </w:tcPr>
          <w:p w14:paraId="7391351F"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ind w:firstLineChars="200" w:firstLine="420"/>
              <w:jc w:val="center"/>
              <w:rPr>
                <w:rFonts w:ascii="Times New Roman"/>
                <w:color w:val="000000" w:themeColor="text1"/>
                <w:sz w:val="21"/>
                <w:szCs w:val="21"/>
              </w:rPr>
            </w:pPr>
            <w:r w:rsidRPr="008A2411">
              <w:rPr>
                <w:rFonts w:ascii="Times New Roman"/>
                <w:bCs/>
                <w:color w:val="000000" w:themeColor="text1"/>
                <w:sz w:val="21"/>
                <w:szCs w:val="21"/>
                <w:lang w:bidi="ar"/>
              </w:rPr>
              <w:t>≤3.5mg/Nm</w:t>
            </w:r>
            <w:r w:rsidRPr="008A2411">
              <w:rPr>
                <w:rFonts w:ascii="Times New Roman"/>
                <w:bCs/>
                <w:color w:val="000000" w:themeColor="text1"/>
                <w:sz w:val="21"/>
                <w:szCs w:val="21"/>
                <w:vertAlign w:val="superscript"/>
                <w:lang w:bidi="ar"/>
              </w:rPr>
              <w:t>3</w:t>
            </w:r>
            <w:r w:rsidRPr="008A2411">
              <w:rPr>
                <w:rFonts w:ascii="Times New Roman"/>
                <w:bCs/>
                <w:color w:val="000000" w:themeColor="text1"/>
                <w:sz w:val="21"/>
                <w:szCs w:val="21"/>
                <w:lang w:bidi="ar"/>
              </w:rPr>
              <w:t>（</w:t>
            </w:r>
            <w:r w:rsidRPr="008A2411">
              <w:rPr>
                <w:rFonts w:ascii="Times New Roman"/>
                <w:bCs/>
                <w:color w:val="000000" w:themeColor="text1"/>
                <w:sz w:val="21"/>
                <w:szCs w:val="21"/>
                <w:lang w:bidi="ar"/>
              </w:rPr>
              <w:t xml:space="preserve">4 </w:t>
            </w:r>
            <w:proofErr w:type="spellStart"/>
            <w:r w:rsidRPr="008A2411">
              <w:rPr>
                <w:rFonts w:ascii="Times New Roman"/>
                <w:bCs/>
                <w:color w:val="000000" w:themeColor="text1"/>
                <w:sz w:val="21"/>
                <w:szCs w:val="21"/>
                <w:lang w:bidi="ar"/>
              </w:rPr>
              <w:t>ppmV</w:t>
            </w:r>
            <w:proofErr w:type="spellEnd"/>
            <w:r w:rsidRPr="008A2411">
              <w:rPr>
                <w:rFonts w:ascii="Times New Roman"/>
                <w:bCs/>
                <w:color w:val="000000" w:themeColor="text1"/>
                <w:sz w:val="21"/>
                <w:szCs w:val="21"/>
                <w:lang w:bidi="ar"/>
              </w:rPr>
              <w:t>）</w:t>
            </w:r>
          </w:p>
        </w:tc>
        <w:tc>
          <w:tcPr>
            <w:tcW w:w="2425" w:type="pct"/>
            <w:tcBorders>
              <w:top w:val="single" w:sz="4" w:space="0" w:color="auto"/>
              <w:left w:val="single" w:sz="4" w:space="0" w:color="auto"/>
              <w:bottom w:val="single" w:sz="4" w:space="0" w:color="auto"/>
              <w:right w:val="single" w:sz="4" w:space="0" w:color="auto"/>
            </w:tcBorders>
            <w:vAlign w:val="center"/>
          </w:tcPr>
          <w:p w14:paraId="24AFDFCC"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ind w:firstLineChars="200" w:firstLine="420"/>
              <w:jc w:val="center"/>
              <w:rPr>
                <w:rFonts w:ascii="Times New Roman"/>
                <w:color w:val="000000" w:themeColor="text1"/>
                <w:sz w:val="21"/>
                <w:szCs w:val="21"/>
              </w:rPr>
            </w:pPr>
            <w:r w:rsidRPr="008A2411">
              <w:rPr>
                <w:rFonts w:ascii="Times New Roman"/>
                <w:bCs/>
                <w:color w:val="000000" w:themeColor="text1"/>
                <w:sz w:val="21"/>
                <w:szCs w:val="21"/>
                <w:lang w:bidi="ar"/>
              </w:rPr>
              <w:t>C</w:t>
            </w:r>
            <w:r w:rsidRPr="008A2411">
              <w:rPr>
                <w:rFonts w:ascii="Times New Roman"/>
                <w:bCs/>
                <w:color w:val="000000" w:themeColor="text1"/>
                <w:sz w:val="21"/>
                <w:szCs w:val="21"/>
                <w:lang w:bidi="ar"/>
              </w:rPr>
              <w:t>（产品技术要求）</w:t>
            </w:r>
          </w:p>
        </w:tc>
      </w:tr>
      <w:tr w:rsidR="008A2411" w:rsidRPr="008A2411" w14:paraId="3F0D011C" w14:textId="77777777">
        <w:trPr>
          <w:trHeight w:val="345"/>
        </w:trPr>
        <w:tc>
          <w:tcPr>
            <w:tcW w:w="895" w:type="pct"/>
            <w:tcBorders>
              <w:top w:val="single" w:sz="4" w:space="0" w:color="auto"/>
              <w:left w:val="single" w:sz="4" w:space="0" w:color="auto"/>
              <w:bottom w:val="single" w:sz="4" w:space="0" w:color="auto"/>
              <w:right w:val="single" w:sz="4" w:space="0" w:color="auto"/>
            </w:tcBorders>
            <w:vAlign w:val="center"/>
          </w:tcPr>
          <w:p w14:paraId="706A4AC7"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ind w:firstLineChars="200" w:firstLine="420"/>
              <w:jc w:val="center"/>
              <w:rPr>
                <w:rFonts w:ascii="Times New Roman"/>
                <w:color w:val="000000" w:themeColor="text1"/>
                <w:sz w:val="21"/>
                <w:szCs w:val="21"/>
              </w:rPr>
            </w:pPr>
            <w:r w:rsidRPr="008A2411">
              <w:rPr>
                <w:rFonts w:ascii="Times New Roman"/>
                <w:bCs/>
                <w:color w:val="000000" w:themeColor="text1"/>
                <w:sz w:val="21"/>
                <w:szCs w:val="21"/>
                <w:lang w:bidi="ar"/>
              </w:rPr>
              <w:t>COS</w:t>
            </w:r>
          </w:p>
        </w:tc>
        <w:tc>
          <w:tcPr>
            <w:tcW w:w="1678" w:type="pct"/>
            <w:tcBorders>
              <w:top w:val="single" w:sz="4" w:space="0" w:color="auto"/>
              <w:left w:val="single" w:sz="4" w:space="0" w:color="auto"/>
              <w:bottom w:val="single" w:sz="4" w:space="0" w:color="auto"/>
              <w:right w:val="single" w:sz="4" w:space="0" w:color="auto"/>
            </w:tcBorders>
            <w:vAlign w:val="center"/>
          </w:tcPr>
          <w:p w14:paraId="38C3A5A9"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ind w:firstLineChars="200" w:firstLine="420"/>
              <w:jc w:val="center"/>
              <w:rPr>
                <w:rFonts w:ascii="Times New Roman"/>
                <w:color w:val="000000" w:themeColor="text1"/>
                <w:sz w:val="21"/>
                <w:szCs w:val="21"/>
              </w:rPr>
            </w:pPr>
            <w:r w:rsidRPr="008A2411">
              <w:rPr>
                <w:rFonts w:ascii="Times New Roman"/>
                <w:bCs/>
                <w:color w:val="000000" w:themeColor="text1"/>
                <w:sz w:val="21"/>
                <w:szCs w:val="21"/>
                <w:lang w:bidi="ar"/>
              </w:rPr>
              <w:t>≤0.1ppmV</w:t>
            </w:r>
          </w:p>
        </w:tc>
        <w:tc>
          <w:tcPr>
            <w:tcW w:w="2425" w:type="pct"/>
            <w:tcBorders>
              <w:top w:val="single" w:sz="4" w:space="0" w:color="auto"/>
              <w:left w:val="single" w:sz="4" w:space="0" w:color="auto"/>
              <w:bottom w:val="single" w:sz="4" w:space="0" w:color="auto"/>
              <w:right w:val="single" w:sz="4" w:space="0" w:color="auto"/>
            </w:tcBorders>
            <w:vAlign w:val="center"/>
          </w:tcPr>
          <w:p w14:paraId="44B7177D"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ind w:firstLineChars="200" w:firstLine="420"/>
              <w:jc w:val="center"/>
              <w:rPr>
                <w:rFonts w:ascii="Times New Roman"/>
                <w:color w:val="000000" w:themeColor="text1"/>
                <w:sz w:val="21"/>
                <w:szCs w:val="21"/>
              </w:rPr>
            </w:pPr>
            <w:r w:rsidRPr="008A2411">
              <w:rPr>
                <w:rFonts w:ascii="Times New Roman"/>
                <w:bCs/>
                <w:color w:val="000000" w:themeColor="text1"/>
                <w:sz w:val="21"/>
                <w:szCs w:val="21"/>
                <w:lang w:bidi="ar"/>
              </w:rPr>
              <w:t>C</w:t>
            </w:r>
          </w:p>
        </w:tc>
      </w:tr>
      <w:tr w:rsidR="008A2411" w:rsidRPr="008A2411" w14:paraId="49F13CB7" w14:textId="77777777">
        <w:trPr>
          <w:trHeight w:val="345"/>
        </w:trPr>
        <w:tc>
          <w:tcPr>
            <w:tcW w:w="895" w:type="pct"/>
            <w:tcBorders>
              <w:top w:val="single" w:sz="4" w:space="0" w:color="auto"/>
              <w:left w:val="single" w:sz="4" w:space="0" w:color="auto"/>
              <w:bottom w:val="single" w:sz="4" w:space="0" w:color="auto"/>
              <w:right w:val="single" w:sz="4" w:space="0" w:color="auto"/>
            </w:tcBorders>
            <w:vAlign w:val="center"/>
          </w:tcPr>
          <w:p w14:paraId="70F05BD2"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color w:val="000000" w:themeColor="text1"/>
                <w:sz w:val="21"/>
                <w:szCs w:val="21"/>
              </w:rPr>
            </w:pPr>
            <w:r w:rsidRPr="008A2411">
              <w:rPr>
                <w:rFonts w:ascii="Times New Roman"/>
                <w:bCs/>
                <w:color w:val="000000" w:themeColor="text1"/>
                <w:sz w:val="21"/>
                <w:szCs w:val="21"/>
                <w:lang w:bidi="ar"/>
              </w:rPr>
              <w:t>总含硫量</w:t>
            </w:r>
          </w:p>
        </w:tc>
        <w:tc>
          <w:tcPr>
            <w:tcW w:w="1678" w:type="pct"/>
            <w:tcBorders>
              <w:top w:val="single" w:sz="4" w:space="0" w:color="auto"/>
              <w:left w:val="single" w:sz="4" w:space="0" w:color="auto"/>
              <w:bottom w:val="single" w:sz="4" w:space="0" w:color="auto"/>
              <w:right w:val="single" w:sz="4" w:space="0" w:color="auto"/>
            </w:tcBorders>
            <w:vAlign w:val="center"/>
          </w:tcPr>
          <w:p w14:paraId="4FFF8086"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ind w:firstLineChars="200" w:firstLine="420"/>
              <w:jc w:val="center"/>
              <w:rPr>
                <w:rFonts w:ascii="Times New Roman"/>
                <w:color w:val="000000" w:themeColor="text1"/>
                <w:sz w:val="21"/>
                <w:szCs w:val="21"/>
              </w:rPr>
            </w:pPr>
            <w:r w:rsidRPr="008A2411">
              <w:rPr>
                <w:rFonts w:ascii="Times New Roman"/>
                <w:bCs/>
                <w:color w:val="000000" w:themeColor="text1"/>
                <w:sz w:val="21"/>
                <w:szCs w:val="21"/>
                <w:lang w:bidi="ar"/>
              </w:rPr>
              <w:t>10</w:t>
            </w:r>
            <w:r w:rsidRPr="008A2411">
              <w:rPr>
                <w:rFonts w:ascii="Times New Roman"/>
                <w:bCs/>
                <w:color w:val="000000" w:themeColor="text1"/>
                <w:sz w:val="21"/>
                <w:szCs w:val="21"/>
                <w:lang w:bidi="ar"/>
              </w:rPr>
              <w:t>～</w:t>
            </w:r>
            <w:r w:rsidRPr="008A2411">
              <w:rPr>
                <w:rFonts w:ascii="Times New Roman"/>
                <w:bCs/>
                <w:color w:val="000000" w:themeColor="text1"/>
                <w:sz w:val="21"/>
                <w:szCs w:val="21"/>
                <w:lang w:bidi="ar"/>
              </w:rPr>
              <w:t>50 mg/Nm</w:t>
            </w:r>
            <w:r w:rsidRPr="008A2411">
              <w:rPr>
                <w:rFonts w:ascii="Times New Roman"/>
                <w:bCs/>
                <w:color w:val="000000" w:themeColor="text1"/>
                <w:sz w:val="21"/>
                <w:szCs w:val="21"/>
                <w:vertAlign w:val="superscript"/>
                <w:lang w:bidi="ar"/>
              </w:rPr>
              <w:t>3</w:t>
            </w:r>
          </w:p>
        </w:tc>
        <w:tc>
          <w:tcPr>
            <w:tcW w:w="2425" w:type="pct"/>
            <w:tcBorders>
              <w:top w:val="single" w:sz="4" w:space="0" w:color="auto"/>
              <w:left w:val="single" w:sz="4" w:space="0" w:color="auto"/>
              <w:bottom w:val="single" w:sz="4" w:space="0" w:color="auto"/>
              <w:right w:val="single" w:sz="4" w:space="0" w:color="auto"/>
            </w:tcBorders>
            <w:vAlign w:val="center"/>
          </w:tcPr>
          <w:p w14:paraId="17F26AA0"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ind w:firstLineChars="200" w:firstLine="420"/>
              <w:jc w:val="center"/>
              <w:rPr>
                <w:rFonts w:ascii="Times New Roman"/>
                <w:color w:val="000000" w:themeColor="text1"/>
                <w:sz w:val="21"/>
                <w:szCs w:val="21"/>
              </w:rPr>
            </w:pPr>
            <w:r w:rsidRPr="008A2411">
              <w:rPr>
                <w:rFonts w:ascii="Times New Roman"/>
                <w:bCs/>
                <w:color w:val="000000" w:themeColor="text1"/>
                <w:sz w:val="21"/>
                <w:szCs w:val="21"/>
                <w:lang w:bidi="ar"/>
              </w:rPr>
              <w:t>C</w:t>
            </w:r>
          </w:p>
        </w:tc>
      </w:tr>
      <w:tr w:rsidR="008A2411" w:rsidRPr="008A2411" w14:paraId="40965B00" w14:textId="77777777">
        <w:trPr>
          <w:trHeight w:val="345"/>
        </w:trPr>
        <w:tc>
          <w:tcPr>
            <w:tcW w:w="895" w:type="pct"/>
            <w:tcBorders>
              <w:top w:val="single" w:sz="4" w:space="0" w:color="auto"/>
              <w:left w:val="single" w:sz="4" w:space="0" w:color="auto"/>
              <w:bottom w:val="single" w:sz="4" w:space="0" w:color="auto"/>
              <w:right w:val="single" w:sz="4" w:space="0" w:color="auto"/>
            </w:tcBorders>
            <w:vAlign w:val="center"/>
          </w:tcPr>
          <w:p w14:paraId="46B301FC"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ind w:firstLineChars="200" w:firstLine="420"/>
              <w:jc w:val="center"/>
              <w:rPr>
                <w:rFonts w:ascii="Times New Roman"/>
                <w:color w:val="000000" w:themeColor="text1"/>
                <w:sz w:val="21"/>
                <w:szCs w:val="21"/>
              </w:rPr>
            </w:pPr>
            <w:r w:rsidRPr="008A2411">
              <w:rPr>
                <w:rFonts w:ascii="Times New Roman"/>
                <w:bCs/>
                <w:color w:val="000000" w:themeColor="text1"/>
                <w:sz w:val="21"/>
                <w:szCs w:val="21"/>
                <w:lang w:bidi="ar"/>
              </w:rPr>
              <w:t>Hg</w:t>
            </w:r>
          </w:p>
        </w:tc>
        <w:tc>
          <w:tcPr>
            <w:tcW w:w="1678" w:type="pct"/>
            <w:tcBorders>
              <w:top w:val="single" w:sz="4" w:space="0" w:color="auto"/>
              <w:left w:val="single" w:sz="4" w:space="0" w:color="auto"/>
              <w:bottom w:val="single" w:sz="4" w:space="0" w:color="auto"/>
              <w:right w:val="single" w:sz="4" w:space="0" w:color="auto"/>
            </w:tcBorders>
            <w:vAlign w:val="center"/>
          </w:tcPr>
          <w:p w14:paraId="5C6001A7"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ind w:firstLineChars="200" w:firstLine="420"/>
              <w:jc w:val="center"/>
              <w:rPr>
                <w:rFonts w:ascii="Times New Roman"/>
                <w:color w:val="000000" w:themeColor="text1"/>
                <w:sz w:val="21"/>
                <w:szCs w:val="21"/>
              </w:rPr>
            </w:pPr>
            <w:r w:rsidRPr="008A2411">
              <w:rPr>
                <w:rFonts w:ascii="Times New Roman"/>
                <w:bCs/>
                <w:color w:val="000000" w:themeColor="text1"/>
                <w:sz w:val="21"/>
                <w:szCs w:val="21"/>
                <w:lang w:bidi="ar"/>
              </w:rPr>
              <w:t>＜</w:t>
            </w:r>
            <w:r w:rsidRPr="008A2411">
              <w:rPr>
                <w:rFonts w:ascii="Times New Roman"/>
                <w:bCs/>
                <w:color w:val="000000" w:themeColor="text1"/>
                <w:sz w:val="21"/>
                <w:szCs w:val="21"/>
                <w:lang w:bidi="ar"/>
              </w:rPr>
              <w:t>0.01μg/Nm</w:t>
            </w:r>
            <w:r w:rsidRPr="008A2411">
              <w:rPr>
                <w:rFonts w:ascii="Times New Roman"/>
                <w:bCs/>
                <w:color w:val="000000" w:themeColor="text1"/>
                <w:sz w:val="21"/>
                <w:szCs w:val="21"/>
                <w:vertAlign w:val="superscript"/>
                <w:lang w:bidi="ar"/>
              </w:rPr>
              <w:t>3</w:t>
            </w:r>
          </w:p>
        </w:tc>
        <w:tc>
          <w:tcPr>
            <w:tcW w:w="2425" w:type="pct"/>
            <w:tcBorders>
              <w:top w:val="single" w:sz="4" w:space="0" w:color="auto"/>
              <w:left w:val="single" w:sz="4" w:space="0" w:color="auto"/>
              <w:bottom w:val="single" w:sz="4" w:space="0" w:color="auto"/>
              <w:right w:val="single" w:sz="4" w:space="0" w:color="auto"/>
            </w:tcBorders>
            <w:vAlign w:val="center"/>
          </w:tcPr>
          <w:p w14:paraId="6A2C4D17"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ind w:firstLineChars="200" w:firstLine="420"/>
              <w:jc w:val="center"/>
              <w:rPr>
                <w:rFonts w:ascii="Times New Roman"/>
                <w:color w:val="000000" w:themeColor="text1"/>
                <w:sz w:val="21"/>
                <w:szCs w:val="21"/>
              </w:rPr>
            </w:pPr>
            <w:r w:rsidRPr="008A2411">
              <w:rPr>
                <w:rFonts w:ascii="Times New Roman"/>
                <w:bCs/>
                <w:color w:val="000000" w:themeColor="text1"/>
                <w:sz w:val="21"/>
                <w:szCs w:val="21"/>
                <w:lang w:bidi="ar"/>
              </w:rPr>
              <w:t>A</w:t>
            </w:r>
          </w:p>
        </w:tc>
      </w:tr>
      <w:tr w:rsidR="008A2411" w:rsidRPr="008A2411" w14:paraId="48EEBAF8" w14:textId="77777777">
        <w:trPr>
          <w:trHeight w:val="345"/>
        </w:trPr>
        <w:tc>
          <w:tcPr>
            <w:tcW w:w="895" w:type="pct"/>
            <w:tcBorders>
              <w:top w:val="single" w:sz="4" w:space="0" w:color="auto"/>
              <w:left w:val="single" w:sz="4" w:space="0" w:color="auto"/>
              <w:bottom w:val="single" w:sz="4" w:space="0" w:color="auto"/>
              <w:right w:val="single" w:sz="4" w:space="0" w:color="auto"/>
            </w:tcBorders>
            <w:vAlign w:val="center"/>
          </w:tcPr>
          <w:p w14:paraId="632DDB33"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color w:val="000000" w:themeColor="text1"/>
                <w:sz w:val="21"/>
                <w:szCs w:val="21"/>
              </w:rPr>
            </w:pPr>
            <w:r w:rsidRPr="008A2411">
              <w:rPr>
                <w:rFonts w:ascii="Times New Roman"/>
                <w:bCs/>
                <w:color w:val="000000" w:themeColor="text1"/>
                <w:sz w:val="21"/>
                <w:szCs w:val="21"/>
                <w:lang w:bidi="ar"/>
              </w:rPr>
              <w:t>芳香烃类</w:t>
            </w:r>
          </w:p>
        </w:tc>
        <w:tc>
          <w:tcPr>
            <w:tcW w:w="1678" w:type="pct"/>
            <w:tcBorders>
              <w:top w:val="single" w:sz="4" w:space="0" w:color="auto"/>
              <w:left w:val="single" w:sz="4" w:space="0" w:color="auto"/>
              <w:bottom w:val="single" w:sz="4" w:space="0" w:color="auto"/>
              <w:right w:val="single" w:sz="4" w:space="0" w:color="auto"/>
            </w:tcBorders>
            <w:vAlign w:val="center"/>
          </w:tcPr>
          <w:p w14:paraId="713F2950"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ind w:firstLineChars="200" w:firstLine="420"/>
              <w:jc w:val="center"/>
              <w:rPr>
                <w:rFonts w:ascii="Times New Roman"/>
                <w:color w:val="000000" w:themeColor="text1"/>
                <w:sz w:val="21"/>
                <w:szCs w:val="21"/>
              </w:rPr>
            </w:pPr>
            <w:r w:rsidRPr="008A2411">
              <w:rPr>
                <w:rFonts w:ascii="Times New Roman"/>
                <w:bCs/>
                <w:color w:val="000000" w:themeColor="text1"/>
                <w:sz w:val="21"/>
                <w:szCs w:val="21"/>
                <w:lang w:bidi="ar"/>
              </w:rPr>
              <w:t>≤10ppmV</w:t>
            </w:r>
          </w:p>
        </w:tc>
        <w:tc>
          <w:tcPr>
            <w:tcW w:w="2425" w:type="pct"/>
            <w:tcBorders>
              <w:top w:val="single" w:sz="4" w:space="0" w:color="auto"/>
              <w:left w:val="single" w:sz="4" w:space="0" w:color="auto"/>
              <w:bottom w:val="single" w:sz="4" w:space="0" w:color="auto"/>
              <w:right w:val="single" w:sz="4" w:space="0" w:color="auto"/>
            </w:tcBorders>
            <w:vAlign w:val="center"/>
          </w:tcPr>
          <w:p w14:paraId="1F20D096"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ind w:firstLineChars="200" w:firstLine="420"/>
              <w:jc w:val="center"/>
              <w:rPr>
                <w:rFonts w:ascii="Times New Roman"/>
                <w:color w:val="000000" w:themeColor="text1"/>
                <w:sz w:val="21"/>
                <w:szCs w:val="21"/>
              </w:rPr>
            </w:pPr>
            <w:r w:rsidRPr="008A2411">
              <w:rPr>
                <w:rFonts w:ascii="Times New Roman"/>
                <w:bCs/>
                <w:color w:val="000000" w:themeColor="text1"/>
                <w:sz w:val="21"/>
                <w:szCs w:val="21"/>
                <w:lang w:bidi="ar"/>
              </w:rPr>
              <w:t>A</w:t>
            </w:r>
            <w:r w:rsidRPr="008A2411">
              <w:rPr>
                <w:rFonts w:ascii="Times New Roman"/>
                <w:bCs/>
                <w:color w:val="000000" w:themeColor="text1"/>
                <w:sz w:val="21"/>
                <w:szCs w:val="21"/>
                <w:lang w:bidi="ar"/>
              </w:rPr>
              <w:t>或</w:t>
            </w:r>
            <w:r w:rsidRPr="008A2411">
              <w:rPr>
                <w:rFonts w:ascii="Times New Roman"/>
                <w:bCs/>
                <w:color w:val="000000" w:themeColor="text1"/>
                <w:sz w:val="21"/>
                <w:szCs w:val="21"/>
                <w:lang w:bidi="ar"/>
              </w:rPr>
              <w:t>B</w:t>
            </w:r>
          </w:p>
        </w:tc>
      </w:tr>
      <w:tr w:rsidR="008A2411" w:rsidRPr="008A2411" w14:paraId="2B8A8769" w14:textId="77777777">
        <w:trPr>
          <w:trHeight w:val="345"/>
        </w:trPr>
        <w:tc>
          <w:tcPr>
            <w:tcW w:w="895" w:type="pct"/>
            <w:tcBorders>
              <w:top w:val="single" w:sz="4" w:space="0" w:color="auto"/>
              <w:left w:val="single" w:sz="4" w:space="0" w:color="auto"/>
              <w:bottom w:val="single" w:sz="4" w:space="0" w:color="auto"/>
              <w:right w:val="single" w:sz="4" w:space="0" w:color="auto"/>
            </w:tcBorders>
            <w:vAlign w:val="center"/>
          </w:tcPr>
          <w:p w14:paraId="0987A9F1"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ascii="Times New Roman"/>
                <w:bCs/>
                <w:color w:val="000000" w:themeColor="text1"/>
                <w:sz w:val="21"/>
                <w:szCs w:val="21"/>
              </w:rPr>
            </w:pPr>
            <w:r w:rsidRPr="008A2411">
              <w:rPr>
                <w:rFonts w:ascii="Times New Roman"/>
                <w:bCs/>
                <w:color w:val="000000" w:themeColor="text1"/>
                <w:sz w:val="21"/>
                <w:szCs w:val="21"/>
                <w:lang w:bidi="ar"/>
              </w:rPr>
              <w:t>环烷烃类</w:t>
            </w:r>
          </w:p>
        </w:tc>
        <w:tc>
          <w:tcPr>
            <w:tcW w:w="1678" w:type="pct"/>
            <w:tcBorders>
              <w:top w:val="single" w:sz="4" w:space="0" w:color="auto"/>
              <w:left w:val="single" w:sz="4" w:space="0" w:color="auto"/>
              <w:bottom w:val="single" w:sz="4" w:space="0" w:color="auto"/>
              <w:right w:val="single" w:sz="4" w:space="0" w:color="auto"/>
            </w:tcBorders>
            <w:vAlign w:val="center"/>
          </w:tcPr>
          <w:p w14:paraId="348F40F8"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ind w:firstLineChars="200" w:firstLine="420"/>
              <w:jc w:val="center"/>
              <w:rPr>
                <w:rFonts w:ascii="Times New Roman"/>
                <w:color w:val="000000" w:themeColor="text1"/>
                <w:sz w:val="21"/>
                <w:szCs w:val="21"/>
              </w:rPr>
            </w:pPr>
            <w:r w:rsidRPr="008A2411">
              <w:rPr>
                <w:rFonts w:ascii="Times New Roman"/>
                <w:bCs/>
                <w:color w:val="000000" w:themeColor="text1"/>
                <w:sz w:val="21"/>
                <w:szCs w:val="21"/>
                <w:lang w:bidi="ar"/>
              </w:rPr>
              <w:t>≤10ppmV</w:t>
            </w:r>
          </w:p>
        </w:tc>
        <w:tc>
          <w:tcPr>
            <w:tcW w:w="2425" w:type="pct"/>
            <w:tcBorders>
              <w:top w:val="single" w:sz="4" w:space="0" w:color="auto"/>
              <w:left w:val="single" w:sz="4" w:space="0" w:color="auto"/>
              <w:bottom w:val="single" w:sz="4" w:space="0" w:color="auto"/>
              <w:right w:val="single" w:sz="4" w:space="0" w:color="auto"/>
            </w:tcBorders>
            <w:vAlign w:val="center"/>
          </w:tcPr>
          <w:p w14:paraId="76BC2955" w14:textId="77777777" w:rsidR="00B0005F" w:rsidRPr="008A2411"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ind w:firstLineChars="200" w:firstLine="420"/>
              <w:jc w:val="center"/>
              <w:rPr>
                <w:rFonts w:ascii="Times New Roman"/>
                <w:color w:val="000000" w:themeColor="text1"/>
                <w:sz w:val="21"/>
                <w:szCs w:val="21"/>
              </w:rPr>
            </w:pPr>
            <w:r w:rsidRPr="008A2411">
              <w:rPr>
                <w:rFonts w:ascii="Times New Roman"/>
                <w:bCs/>
                <w:color w:val="000000" w:themeColor="text1"/>
                <w:sz w:val="21"/>
                <w:szCs w:val="21"/>
                <w:lang w:bidi="ar"/>
              </w:rPr>
              <w:t>A</w:t>
            </w:r>
            <w:r w:rsidRPr="008A2411">
              <w:rPr>
                <w:rFonts w:ascii="Times New Roman"/>
                <w:bCs/>
                <w:color w:val="000000" w:themeColor="text1"/>
                <w:sz w:val="21"/>
                <w:szCs w:val="21"/>
                <w:lang w:bidi="ar"/>
              </w:rPr>
              <w:t>或</w:t>
            </w:r>
            <w:r w:rsidRPr="008A2411">
              <w:rPr>
                <w:rFonts w:ascii="Times New Roman"/>
                <w:bCs/>
                <w:color w:val="000000" w:themeColor="text1"/>
                <w:sz w:val="21"/>
                <w:szCs w:val="21"/>
                <w:lang w:bidi="ar"/>
              </w:rPr>
              <w:t>B</w:t>
            </w:r>
          </w:p>
        </w:tc>
      </w:tr>
      <w:tr w:rsidR="00B0005F" w:rsidRPr="008A2411" w14:paraId="69F8AFDD" w14:textId="77777777">
        <w:trPr>
          <w:trHeight w:val="345"/>
        </w:trPr>
        <w:tc>
          <w:tcPr>
            <w:tcW w:w="5000" w:type="pct"/>
            <w:gridSpan w:val="3"/>
            <w:tcBorders>
              <w:top w:val="single" w:sz="4" w:space="0" w:color="auto"/>
              <w:left w:val="single" w:sz="4" w:space="0" w:color="auto"/>
              <w:bottom w:val="single" w:sz="4" w:space="0" w:color="auto"/>
              <w:right w:val="single" w:sz="4" w:space="0" w:color="auto"/>
            </w:tcBorders>
            <w:vAlign w:val="center"/>
          </w:tcPr>
          <w:p w14:paraId="7C797F6A" w14:textId="77777777" w:rsidR="00B0005F" w:rsidRPr="008A2411" w:rsidRDefault="00000000">
            <w:pPr>
              <w:widowControl/>
              <w:jc w:val="left"/>
              <w:rPr>
                <w:rFonts w:ascii="Times New Roman"/>
                <w:bCs/>
                <w:color w:val="000000" w:themeColor="text1"/>
                <w:sz w:val="21"/>
                <w:szCs w:val="21"/>
              </w:rPr>
            </w:pPr>
            <w:r w:rsidRPr="008A2411">
              <w:rPr>
                <w:rFonts w:ascii="Times New Roman"/>
                <w:bCs/>
                <w:color w:val="000000" w:themeColor="text1"/>
                <w:sz w:val="21"/>
                <w:szCs w:val="21"/>
                <w:lang w:bidi="ar"/>
              </w:rPr>
              <w:t>注：</w:t>
            </w:r>
            <w:r w:rsidRPr="008A2411">
              <w:rPr>
                <w:rFonts w:ascii="Times New Roman"/>
                <w:bCs/>
                <w:color w:val="000000" w:themeColor="text1"/>
                <w:sz w:val="21"/>
                <w:szCs w:val="21"/>
                <w:lang w:bidi="ar"/>
              </w:rPr>
              <w:t xml:space="preserve"> A</w:t>
            </w:r>
            <w:r w:rsidRPr="008A2411">
              <w:rPr>
                <w:rFonts w:ascii="Times New Roman"/>
                <w:bCs/>
                <w:color w:val="000000" w:themeColor="text1"/>
                <w:sz w:val="21"/>
                <w:szCs w:val="21"/>
                <w:lang w:bidi="ar"/>
              </w:rPr>
              <w:t>为无限制生产下的累积允许值；</w:t>
            </w:r>
            <w:r w:rsidRPr="008A2411">
              <w:rPr>
                <w:rFonts w:ascii="Times New Roman"/>
                <w:bCs/>
                <w:color w:val="000000" w:themeColor="text1"/>
                <w:sz w:val="21"/>
                <w:szCs w:val="21"/>
                <w:lang w:bidi="ar"/>
              </w:rPr>
              <w:t>B</w:t>
            </w:r>
            <w:r w:rsidRPr="008A2411">
              <w:rPr>
                <w:rFonts w:ascii="Times New Roman"/>
                <w:bCs/>
                <w:color w:val="000000" w:themeColor="text1"/>
                <w:sz w:val="21"/>
                <w:szCs w:val="21"/>
                <w:lang w:bidi="ar"/>
              </w:rPr>
              <w:t>为溶解度限制；</w:t>
            </w:r>
            <w:r w:rsidRPr="008A2411">
              <w:rPr>
                <w:rFonts w:ascii="Times New Roman"/>
                <w:bCs/>
                <w:color w:val="000000" w:themeColor="text1"/>
                <w:sz w:val="21"/>
                <w:szCs w:val="21"/>
                <w:lang w:bidi="ar"/>
              </w:rPr>
              <w:t>C</w:t>
            </w:r>
            <w:r w:rsidRPr="008A2411">
              <w:rPr>
                <w:rFonts w:ascii="Times New Roman"/>
                <w:bCs/>
                <w:color w:val="000000" w:themeColor="text1"/>
                <w:sz w:val="21"/>
                <w:szCs w:val="21"/>
                <w:lang w:bidi="ar"/>
              </w:rPr>
              <w:t>为产品规格</w:t>
            </w:r>
          </w:p>
          <w:p w14:paraId="5C19EF28" w14:textId="77777777" w:rsidR="00B0005F" w:rsidRPr="008A2411" w:rsidRDefault="00000000">
            <w:pPr>
              <w:widowControl/>
              <w:ind w:firstLineChars="200" w:firstLine="420"/>
              <w:jc w:val="left"/>
              <w:rPr>
                <w:rFonts w:ascii="Times New Roman"/>
                <w:bCs/>
                <w:color w:val="000000" w:themeColor="text1"/>
                <w:sz w:val="21"/>
                <w:szCs w:val="21"/>
                <w:lang w:bidi="ar"/>
              </w:rPr>
            </w:pPr>
            <w:r w:rsidRPr="008A2411">
              <w:rPr>
                <w:rFonts w:ascii="Times New Roman"/>
                <w:bCs/>
                <w:color w:val="000000" w:themeColor="text1"/>
                <w:sz w:val="21"/>
                <w:szCs w:val="21"/>
                <w:lang w:bidi="ar"/>
              </w:rPr>
              <w:t>从气质分析报告来看，本工程原料气必须进行进一步净化，净化合格后方可</w:t>
            </w:r>
            <w:proofErr w:type="gramStart"/>
            <w:r w:rsidRPr="008A2411">
              <w:rPr>
                <w:rFonts w:ascii="Times New Roman"/>
                <w:bCs/>
                <w:color w:val="000000" w:themeColor="text1"/>
                <w:sz w:val="21"/>
                <w:szCs w:val="21"/>
                <w:lang w:bidi="ar"/>
              </w:rPr>
              <w:t>进入冷箱进行</w:t>
            </w:r>
            <w:proofErr w:type="gramEnd"/>
            <w:r w:rsidRPr="008A2411">
              <w:rPr>
                <w:rFonts w:ascii="Times New Roman"/>
                <w:bCs/>
                <w:color w:val="000000" w:themeColor="text1"/>
                <w:sz w:val="21"/>
                <w:szCs w:val="21"/>
                <w:lang w:bidi="ar"/>
              </w:rPr>
              <w:t>液化。</w:t>
            </w:r>
            <w:r w:rsidRPr="008A2411">
              <w:rPr>
                <w:rFonts w:ascii="Times New Roman"/>
                <w:color w:val="000000" w:themeColor="text1"/>
                <w:sz w:val="21"/>
                <w:szCs w:val="21"/>
                <w:lang w:bidi="ar"/>
              </w:rPr>
              <w:t xml:space="preserve"> </w:t>
            </w:r>
          </w:p>
        </w:tc>
      </w:tr>
    </w:tbl>
    <w:p w14:paraId="047FA56E" w14:textId="77777777" w:rsidR="00B0005F" w:rsidRPr="008A2411" w:rsidRDefault="00B0005F">
      <w:pPr>
        <w:pStyle w:val="affff2"/>
        <w:spacing w:before="0" w:beforeAutospacing="0" w:after="0" w:afterAutospacing="0" w:line="360" w:lineRule="auto"/>
        <w:ind w:firstLineChars="200" w:firstLine="482"/>
        <w:rPr>
          <w:rFonts w:ascii="Times New Roman" w:eastAsiaTheme="minorEastAsia" w:hAnsi="Times New Roman" w:cs="Times New Roman"/>
          <w:b/>
          <w:bCs/>
          <w:color w:val="000000" w:themeColor="text1"/>
          <w:sz w:val="24"/>
          <w:szCs w:val="24"/>
          <w:lang w:bidi="ar"/>
        </w:rPr>
      </w:pPr>
    </w:p>
    <w:p w14:paraId="2FFA0EE8" w14:textId="77777777" w:rsidR="00B0005F" w:rsidRPr="008A2411" w:rsidRDefault="00000000">
      <w:pPr>
        <w:pStyle w:val="affff2"/>
        <w:spacing w:before="0" w:beforeAutospacing="0" w:after="0" w:afterAutospacing="0" w:line="360" w:lineRule="auto"/>
        <w:ind w:firstLineChars="200" w:firstLine="482"/>
        <w:rPr>
          <w:rFonts w:ascii="Times New Roman" w:eastAsiaTheme="minorEastAsia" w:hAnsi="Times New Roman" w:cs="Times New Roman"/>
          <w:color w:val="000000" w:themeColor="text1"/>
          <w:sz w:val="24"/>
          <w:szCs w:val="24"/>
        </w:rPr>
      </w:pPr>
      <w:r w:rsidRPr="008A2411">
        <w:rPr>
          <w:rFonts w:ascii="Times New Roman" w:eastAsiaTheme="minorEastAsia" w:hAnsi="Times New Roman" w:cs="Times New Roman"/>
          <w:b/>
          <w:bCs/>
          <w:color w:val="000000" w:themeColor="text1"/>
          <w:sz w:val="24"/>
          <w:szCs w:val="24"/>
          <w:lang w:bidi="ar"/>
        </w:rPr>
        <w:t>（</w:t>
      </w:r>
      <w:r w:rsidRPr="008A2411">
        <w:rPr>
          <w:rFonts w:ascii="Times New Roman" w:eastAsiaTheme="minorEastAsia" w:hAnsi="Times New Roman" w:cs="Times New Roman"/>
          <w:b/>
          <w:bCs/>
          <w:color w:val="000000" w:themeColor="text1"/>
          <w:sz w:val="24"/>
          <w:szCs w:val="24"/>
          <w:lang w:bidi="ar"/>
        </w:rPr>
        <w:t>1</w:t>
      </w:r>
      <w:r w:rsidRPr="008A2411">
        <w:rPr>
          <w:rFonts w:ascii="Times New Roman" w:eastAsiaTheme="minorEastAsia" w:hAnsi="Times New Roman" w:cs="Times New Roman"/>
          <w:b/>
          <w:bCs/>
          <w:color w:val="000000" w:themeColor="text1"/>
          <w:sz w:val="24"/>
          <w:szCs w:val="24"/>
          <w:lang w:bidi="ar"/>
        </w:rPr>
        <w:t>）脱</w:t>
      </w:r>
      <w:r w:rsidRPr="008A2411">
        <w:rPr>
          <w:rFonts w:ascii="Times New Roman" w:eastAsiaTheme="minorEastAsia" w:hAnsi="Times New Roman" w:cs="Times New Roman"/>
          <w:b/>
          <w:bCs/>
          <w:color w:val="000000" w:themeColor="text1"/>
          <w:sz w:val="24"/>
          <w:szCs w:val="24"/>
          <w:lang w:bidi="ar"/>
        </w:rPr>
        <w:t>CO</w:t>
      </w:r>
      <w:r w:rsidRPr="008A2411">
        <w:rPr>
          <w:rFonts w:ascii="Times New Roman" w:eastAsiaTheme="minorEastAsia" w:hAnsi="Times New Roman" w:cs="Times New Roman"/>
          <w:b/>
          <w:bCs/>
          <w:color w:val="000000" w:themeColor="text1"/>
          <w:sz w:val="24"/>
          <w:szCs w:val="24"/>
          <w:vertAlign w:val="subscript"/>
          <w:lang w:bidi="ar"/>
        </w:rPr>
        <w:t>2</w:t>
      </w:r>
      <w:r w:rsidRPr="008A2411">
        <w:rPr>
          <w:rFonts w:ascii="Times New Roman" w:eastAsiaTheme="minorEastAsia" w:hAnsi="Times New Roman" w:cs="Times New Roman"/>
          <w:b/>
          <w:bCs/>
          <w:color w:val="000000" w:themeColor="text1"/>
          <w:sz w:val="24"/>
          <w:szCs w:val="24"/>
          <w:lang w:bidi="ar"/>
        </w:rPr>
        <w:t>工艺选择</w:t>
      </w:r>
      <w:r w:rsidRPr="008A2411">
        <w:rPr>
          <w:rFonts w:ascii="Times New Roman" w:eastAsiaTheme="minorEastAsia" w:hAnsi="Times New Roman" w:cs="Times New Roman"/>
          <w:color w:val="000000" w:themeColor="text1"/>
          <w:sz w:val="24"/>
          <w:szCs w:val="24"/>
          <w:lang w:bidi="ar"/>
        </w:rPr>
        <w:t xml:space="preserve"> </w:t>
      </w:r>
    </w:p>
    <w:p w14:paraId="271A98A0" w14:textId="77777777" w:rsidR="00B0005F" w:rsidRPr="008A2411" w:rsidRDefault="00000000">
      <w:pPr>
        <w:pStyle w:val="affff2"/>
        <w:spacing w:before="0" w:beforeAutospacing="0" w:after="0" w:afterAutospacing="0" w:line="360" w:lineRule="auto"/>
        <w:ind w:firstLine="360"/>
        <w:rPr>
          <w:rFonts w:ascii="Times New Roman" w:eastAsiaTheme="minorEastAsia" w:hAnsi="Times New Roman" w:cs="Times New Roman"/>
          <w:color w:val="000000" w:themeColor="text1"/>
          <w:sz w:val="24"/>
          <w:szCs w:val="24"/>
        </w:rPr>
      </w:pPr>
      <w:r w:rsidRPr="008A2411">
        <w:rPr>
          <w:rFonts w:ascii="Times New Roman" w:eastAsiaTheme="minorEastAsia" w:hAnsi="Times New Roman" w:cs="Times New Roman"/>
          <w:color w:val="000000" w:themeColor="text1"/>
          <w:sz w:val="24"/>
          <w:szCs w:val="24"/>
          <w:lang w:bidi="ar"/>
        </w:rPr>
        <w:t>CO</w:t>
      </w:r>
      <w:r w:rsidRPr="008A2411">
        <w:rPr>
          <w:rFonts w:ascii="Times New Roman" w:eastAsiaTheme="minorEastAsia" w:hAnsi="Times New Roman" w:cs="Times New Roman"/>
          <w:color w:val="000000" w:themeColor="text1"/>
          <w:sz w:val="24"/>
          <w:szCs w:val="24"/>
          <w:vertAlign w:val="subscript"/>
          <w:lang w:bidi="ar"/>
        </w:rPr>
        <w:t>2</w:t>
      </w:r>
      <w:r w:rsidRPr="008A2411">
        <w:rPr>
          <w:rFonts w:ascii="Times New Roman" w:eastAsiaTheme="minorEastAsia" w:hAnsi="Times New Roman" w:cs="Times New Roman"/>
          <w:color w:val="000000" w:themeColor="text1"/>
          <w:sz w:val="24"/>
          <w:szCs w:val="24"/>
          <w:lang w:bidi="ar"/>
        </w:rPr>
        <w:t>的脱除方法主要有化学吸收法和分子筛吸附法。其脱除的溶剂与流程选择主要根据是：原料气的组成、压力、对产品的规格要求、总的成本与运行费用的估价等。</w:t>
      </w:r>
    </w:p>
    <w:p w14:paraId="425DEA65" w14:textId="77777777" w:rsidR="00B0005F" w:rsidRPr="008A2411" w:rsidRDefault="00000000">
      <w:pPr>
        <w:pStyle w:val="affff2"/>
        <w:spacing w:before="0" w:beforeAutospacing="0" w:after="0" w:afterAutospacing="0" w:line="360" w:lineRule="auto"/>
        <w:ind w:firstLineChars="150" w:firstLine="360"/>
        <w:rPr>
          <w:rFonts w:ascii="Times New Roman" w:eastAsiaTheme="minorEastAsia" w:hAnsi="Times New Roman" w:cs="Times New Roman"/>
          <w:color w:val="000000" w:themeColor="text1"/>
          <w:sz w:val="24"/>
          <w:szCs w:val="24"/>
        </w:rPr>
      </w:pPr>
      <w:r w:rsidRPr="008A2411">
        <w:rPr>
          <w:rFonts w:ascii="Times New Roman" w:eastAsiaTheme="minorEastAsia" w:hAnsi="Times New Roman" w:cs="Times New Roman"/>
          <w:color w:val="000000" w:themeColor="text1"/>
          <w:sz w:val="24"/>
          <w:szCs w:val="24"/>
          <w:lang w:bidi="ar"/>
        </w:rPr>
        <w:lastRenderedPageBreak/>
        <w:t>分子筛吸附</w:t>
      </w:r>
      <w:r w:rsidRPr="008A2411">
        <w:rPr>
          <w:rFonts w:ascii="Times New Roman" w:eastAsiaTheme="minorEastAsia" w:hAnsi="Times New Roman" w:cs="Times New Roman"/>
          <w:color w:val="000000" w:themeColor="text1"/>
          <w:sz w:val="24"/>
          <w:szCs w:val="24"/>
          <w:lang w:bidi="ar"/>
        </w:rPr>
        <w:t>CO</w:t>
      </w:r>
      <w:r w:rsidRPr="008A2411">
        <w:rPr>
          <w:rFonts w:ascii="Times New Roman" w:eastAsiaTheme="minorEastAsia" w:hAnsi="Times New Roman" w:cs="Times New Roman"/>
          <w:color w:val="000000" w:themeColor="text1"/>
          <w:sz w:val="24"/>
          <w:szCs w:val="24"/>
          <w:vertAlign w:val="subscript"/>
          <w:lang w:bidi="ar"/>
        </w:rPr>
        <w:t>2</w:t>
      </w:r>
      <w:r w:rsidRPr="008A2411">
        <w:rPr>
          <w:rFonts w:ascii="Times New Roman" w:eastAsiaTheme="minorEastAsia" w:hAnsi="Times New Roman" w:cs="Times New Roman"/>
          <w:color w:val="000000" w:themeColor="text1"/>
          <w:sz w:val="24"/>
          <w:szCs w:val="24"/>
          <w:lang w:bidi="ar"/>
        </w:rPr>
        <w:t>近些年取得了较大进步，新型、高效的产品不断被发现应用。例如上海</w:t>
      </w:r>
      <w:r w:rsidRPr="008A2411">
        <w:rPr>
          <w:rFonts w:ascii="Times New Roman" w:eastAsiaTheme="minorEastAsia" w:hAnsi="Times New Roman" w:cs="Times New Roman"/>
          <w:color w:val="000000" w:themeColor="text1"/>
          <w:sz w:val="24"/>
          <w:szCs w:val="24"/>
          <w:lang w:bidi="ar"/>
        </w:rPr>
        <w:t>UOP</w:t>
      </w:r>
      <w:r w:rsidRPr="008A2411">
        <w:rPr>
          <w:rFonts w:ascii="Times New Roman" w:eastAsiaTheme="minorEastAsia" w:hAnsi="Times New Roman" w:cs="Times New Roman"/>
          <w:color w:val="000000" w:themeColor="text1"/>
          <w:sz w:val="24"/>
          <w:szCs w:val="24"/>
          <w:lang w:bidi="ar"/>
        </w:rPr>
        <w:t>分子筛厂的</w:t>
      </w:r>
      <w:r w:rsidRPr="008A2411">
        <w:rPr>
          <w:rFonts w:ascii="Times New Roman" w:eastAsiaTheme="minorEastAsia" w:hAnsi="Times New Roman" w:cs="Times New Roman"/>
          <w:color w:val="000000" w:themeColor="text1"/>
          <w:sz w:val="24"/>
          <w:szCs w:val="24"/>
          <w:lang w:bidi="ar"/>
        </w:rPr>
        <w:t>13X</w:t>
      </w:r>
      <w:r w:rsidRPr="008A2411">
        <w:rPr>
          <w:rFonts w:ascii="Times New Roman" w:eastAsiaTheme="minorEastAsia" w:hAnsi="Times New Roman" w:cs="Times New Roman"/>
          <w:color w:val="000000" w:themeColor="text1"/>
          <w:sz w:val="24"/>
          <w:szCs w:val="24"/>
          <w:lang w:bidi="ar"/>
        </w:rPr>
        <w:t>分子筛就是一种</w:t>
      </w:r>
      <w:r w:rsidRPr="008A2411">
        <w:rPr>
          <w:rFonts w:ascii="Times New Roman" w:eastAsiaTheme="minorEastAsia" w:hAnsi="Times New Roman" w:cs="Times New Roman"/>
          <w:color w:val="000000" w:themeColor="text1"/>
          <w:sz w:val="24"/>
          <w:szCs w:val="24"/>
          <w:lang w:bidi="ar"/>
        </w:rPr>
        <w:t>CO</w:t>
      </w:r>
      <w:r w:rsidRPr="008A2411">
        <w:rPr>
          <w:rFonts w:ascii="Times New Roman" w:eastAsiaTheme="minorEastAsia" w:hAnsi="Times New Roman" w:cs="Times New Roman"/>
          <w:color w:val="000000" w:themeColor="text1"/>
          <w:sz w:val="24"/>
          <w:szCs w:val="24"/>
          <w:vertAlign w:val="subscript"/>
          <w:lang w:bidi="ar"/>
        </w:rPr>
        <w:t>2</w:t>
      </w:r>
      <w:r w:rsidRPr="008A2411">
        <w:rPr>
          <w:rFonts w:ascii="Times New Roman" w:eastAsiaTheme="minorEastAsia" w:hAnsi="Times New Roman" w:cs="Times New Roman"/>
          <w:color w:val="000000" w:themeColor="text1"/>
          <w:sz w:val="24"/>
          <w:szCs w:val="24"/>
          <w:lang w:bidi="ar"/>
        </w:rPr>
        <w:t>吸附能力很强的分子筛，其动态吸附率最高能达到</w:t>
      </w:r>
      <w:r w:rsidRPr="008A2411">
        <w:rPr>
          <w:rFonts w:ascii="Times New Roman" w:eastAsiaTheme="minorEastAsia" w:hAnsi="Times New Roman" w:cs="Times New Roman"/>
          <w:color w:val="000000" w:themeColor="text1"/>
          <w:sz w:val="24"/>
          <w:szCs w:val="24"/>
          <w:lang w:bidi="ar"/>
        </w:rPr>
        <w:t>2.5%</w:t>
      </w:r>
      <w:r w:rsidRPr="008A2411">
        <w:rPr>
          <w:rFonts w:ascii="Times New Roman" w:eastAsiaTheme="minorEastAsia" w:hAnsi="Times New Roman" w:cs="Times New Roman"/>
          <w:color w:val="000000" w:themeColor="text1"/>
          <w:sz w:val="24"/>
          <w:szCs w:val="24"/>
          <w:lang w:bidi="ar"/>
        </w:rPr>
        <w:t>。在原料气中的</w:t>
      </w:r>
      <w:r w:rsidRPr="008A2411">
        <w:rPr>
          <w:rFonts w:ascii="Times New Roman" w:eastAsiaTheme="minorEastAsia" w:hAnsi="Times New Roman" w:cs="Times New Roman"/>
          <w:color w:val="000000" w:themeColor="text1"/>
          <w:sz w:val="24"/>
          <w:szCs w:val="24"/>
          <w:lang w:bidi="ar"/>
        </w:rPr>
        <w:t>CO</w:t>
      </w:r>
      <w:r w:rsidRPr="008A2411">
        <w:rPr>
          <w:rFonts w:ascii="Times New Roman" w:eastAsiaTheme="minorEastAsia" w:hAnsi="Times New Roman" w:cs="Times New Roman"/>
          <w:color w:val="000000" w:themeColor="text1"/>
          <w:sz w:val="24"/>
          <w:szCs w:val="24"/>
          <w:vertAlign w:val="subscript"/>
          <w:lang w:bidi="ar"/>
        </w:rPr>
        <w:t>2</w:t>
      </w:r>
      <w:r w:rsidRPr="008A2411">
        <w:rPr>
          <w:rFonts w:ascii="Times New Roman" w:eastAsiaTheme="minorEastAsia" w:hAnsi="Times New Roman" w:cs="Times New Roman"/>
          <w:color w:val="000000" w:themeColor="text1"/>
          <w:sz w:val="24"/>
          <w:szCs w:val="24"/>
          <w:lang w:bidi="ar"/>
        </w:rPr>
        <w:t>浓度低于</w:t>
      </w:r>
      <w:r w:rsidRPr="008A2411">
        <w:rPr>
          <w:rFonts w:ascii="Times New Roman" w:eastAsiaTheme="minorEastAsia" w:hAnsi="Times New Roman" w:cs="Times New Roman"/>
          <w:color w:val="000000" w:themeColor="text1"/>
          <w:sz w:val="24"/>
          <w:szCs w:val="24"/>
          <w:lang w:bidi="ar"/>
        </w:rPr>
        <w:t>500ppm</w:t>
      </w:r>
      <w:r w:rsidRPr="008A2411">
        <w:rPr>
          <w:rFonts w:ascii="Times New Roman" w:eastAsiaTheme="minorEastAsia" w:hAnsi="Times New Roman" w:cs="Times New Roman"/>
          <w:color w:val="000000" w:themeColor="text1"/>
          <w:sz w:val="24"/>
          <w:szCs w:val="24"/>
          <w:lang w:bidi="ar"/>
        </w:rPr>
        <w:t>时，吸附效果很好，具有投资低、操作简单等特点。但是随着</w:t>
      </w:r>
      <w:r w:rsidRPr="008A2411">
        <w:rPr>
          <w:rFonts w:ascii="Times New Roman" w:eastAsiaTheme="minorEastAsia" w:hAnsi="Times New Roman" w:cs="Times New Roman"/>
          <w:color w:val="000000" w:themeColor="text1"/>
          <w:sz w:val="24"/>
          <w:szCs w:val="24"/>
          <w:lang w:bidi="ar"/>
        </w:rPr>
        <w:t>CO</w:t>
      </w:r>
      <w:r w:rsidRPr="008A2411">
        <w:rPr>
          <w:rFonts w:ascii="Times New Roman" w:eastAsiaTheme="minorEastAsia" w:hAnsi="Times New Roman" w:cs="Times New Roman"/>
          <w:color w:val="000000" w:themeColor="text1"/>
          <w:sz w:val="24"/>
          <w:szCs w:val="24"/>
          <w:vertAlign w:val="subscript"/>
          <w:lang w:bidi="ar"/>
        </w:rPr>
        <w:t>2</w:t>
      </w:r>
      <w:r w:rsidRPr="008A2411">
        <w:rPr>
          <w:rFonts w:ascii="Times New Roman" w:eastAsiaTheme="minorEastAsia" w:hAnsi="Times New Roman" w:cs="Times New Roman"/>
          <w:color w:val="000000" w:themeColor="text1"/>
          <w:sz w:val="24"/>
          <w:szCs w:val="24"/>
          <w:lang w:bidi="ar"/>
        </w:rPr>
        <w:t>浓度的增高，投资和运行费用上升很快，而且当</w:t>
      </w:r>
      <w:r w:rsidRPr="008A2411">
        <w:rPr>
          <w:rFonts w:ascii="Times New Roman" w:eastAsiaTheme="minorEastAsia" w:hAnsi="Times New Roman" w:cs="Times New Roman"/>
          <w:color w:val="000000" w:themeColor="text1"/>
          <w:sz w:val="24"/>
          <w:szCs w:val="24"/>
          <w:lang w:bidi="ar"/>
        </w:rPr>
        <w:t>CO</w:t>
      </w:r>
      <w:r w:rsidRPr="008A2411">
        <w:rPr>
          <w:rFonts w:ascii="Times New Roman" w:eastAsiaTheme="minorEastAsia" w:hAnsi="Times New Roman" w:cs="Times New Roman"/>
          <w:color w:val="000000" w:themeColor="text1"/>
          <w:sz w:val="24"/>
          <w:szCs w:val="24"/>
          <w:vertAlign w:val="subscript"/>
          <w:lang w:bidi="ar"/>
        </w:rPr>
        <w:t>2</w:t>
      </w:r>
      <w:r w:rsidRPr="008A2411">
        <w:rPr>
          <w:rFonts w:ascii="Times New Roman" w:eastAsiaTheme="minorEastAsia" w:hAnsi="Times New Roman" w:cs="Times New Roman"/>
          <w:color w:val="000000" w:themeColor="text1"/>
          <w:sz w:val="24"/>
          <w:szCs w:val="24"/>
          <w:lang w:bidi="ar"/>
        </w:rPr>
        <w:t>浓度超过一定值时，脱除精度无法满足深冷要求。</w:t>
      </w:r>
    </w:p>
    <w:p w14:paraId="27F60E58" w14:textId="77777777" w:rsidR="00B0005F" w:rsidRPr="008A2411" w:rsidRDefault="00000000">
      <w:pPr>
        <w:pStyle w:val="affff2"/>
        <w:spacing w:before="0" w:beforeAutospacing="0" w:after="0" w:afterAutospacing="0" w:line="360" w:lineRule="auto"/>
        <w:ind w:firstLine="540"/>
        <w:rPr>
          <w:rFonts w:ascii="Times New Roman" w:eastAsiaTheme="minorEastAsia" w:hAnsi="Times New Roman" w:cs="Times New Roman"/>
          <w:color w:val="000000" w:themeColor="text1"/>
          <w:sz w:val="24"/>
          <w:szCs w:val="24"/>
        </w:rPr>
      </w:pPr>
      <w:r w:rsidRPr="008A2411">
        <w:rPr>
          <w:rFonts w:ascii="Times New Roman" w:eastAsiaTheme="minorEastAsia" w:hAnsi="Times New Roman" w:cs="Times New Roman"/>
          <w:color w:val="000000" w:themeColor="text1"/>
          <w:sz w:val="24"/>
          <w:szCs w:val="24"/>
          <w:lang w:bidi="ar"/>
        </w:rPr>
        <w:t>天然气的脱硫通常有三种方法：化学吸收法、物理吸收法和氧化还原法。目前国内外天然气脱硫通常都采用化学吸收法。为了将</w:t>
      </w:r>
      <w:r w:rsidRPr="008A2411">
        <w:rPr>
          <w:rFonts w:ascii="Times New Roman" w:eastAsiaTheme="minorEastAsia" w:hAnsi="Times New Roman" w:cs="Times New Roman"/>
          <w:color w:val="000000" w:themeColor="text1"/>
          <w:sz w:val="24"/>
          <w:szCs w:val="24"/>
          <w:lang w:bidi="ar"/>
        </w:rPr>
        <w:t>CO</w:t>
      </w:r>
      <w:r w:rsidRPr="008A2411">
        <w:rPr>
          <w:rFonts w:ascii="Times New Roman" w:eastAsiaTheme="minorEastAsia" w:hAnsi="Times New Roman" w:cs="Times New Roman"/>
          <w:color w:val="000000" w:themeColor="text1"/>
          <w:sz w:val="24"/>
          <w:szCs w:val="24"/>
          <w:vertAlign w:val="subscript"/>
          <w:lang w:bidi="ar"/>
        </w:rPr>
        <w:t>2</w:t>
      </w:r>
      <w:r w:rsidRPr="008A2411">
        <w:rPr>
          <w:rFonts w:ascii="Times New Roman" w:eastAsiaTheme="minorEastAsia" w:hAnsi="Times New Roman" w:cs="Times New Roman"/>
          <w:color w:val="000000" w:themeColor="text1"/>
          <w:sz w:val="24"/>
          <w:szCs w:val="24"/>
          <w:lang w:bidi="ar"/>
        </w:rPr>
        <w:t xml:space="preserve"> </w:t>
      </w:r>
      <w:r w:rsidRPr="008A2411">
        <w:rPr>
          <w:rFonts w:ascii="Times New Roman" w:eastAsiaTheme="minorEastAsia" w:hAnsi="Times New Roman" w:cs="Times New Roman"/>
          <w:color w:val="000000" w:themeColor="text1"/>
          <w:sz w:val="24"/>
          <w:szCs w:val="24"/>
          <w:lang w:bidi="ar"/>
        </w:rPr>
        <w:t>和</w:t>
      </w:r>
      <w:r w:rsidRPr="008A2411">
        <w:rPr>
          <w:rFonts w:ascii="Times New Roman" w:eastAsiaTheme="minorEastAsia" w:hAnsi="Times New Roman" w:cs="Times New Roman"/>
          <w:color w:val="000000" w:themeColor="text1"/>
          <w:sz w:val="24"/>
          <w:szCs w:val="24"/>
          <w:lang w:bidi="ar"/>
        </w:rPr>
        <w:t>H</w:t>
      </w:r>
      <w:r w:rsidRPr="008A2411">
        <w:rPr>
          <w:rFonts w:ascii="Times New Roman" w:eastAsiaTheme="minorEastAsia" w:hAnsi="Times New Roman" w:cs="Times New Roman"/>
          <w:color w:val="000000" w:themeColor="text1"/>
          <w:sz w:val="24"/>
          <w:szCs w:val="24"/>
          <w:vertAlign w:val="subscript"/>
          <w:lang w:bidi="ar"/>
        </w:rPr>
        <w:t>2</w:t>
      </w:r>
      <w:r w:rsidRPr="008A2411">
        <w:rPr>
          <w:rFonts w:ascii="Times New Roman" w:eastAsiaTheme="minorEastAsia" w:hAnsi="Times New Roman" w:cs="Times New Roman"/>
          <w:color w:val="000000" w:themeColor="text1"/>
          <w:sz w:val="24"/>
          <w:szCs w:val="24"/>
          <w:lang w:bidi="ar"/>
        </w:rPr>
        <w:t>S</w:t>
      </w:r>
      <w:r w:rsidRPr="008A2411">
        <w:rPr>
          <w:rFonts w:ascii="Times New Roman" w:eastAsiaTheme="minorEastAsia" w:hAnsi="Times New Roman" w:cs="Times New Roman"/>
          <w:color w:val="000000" w:themeColor="text1"/>
          <w:sz w:val="24"/>
          <w:szCs w:val="24"/>
          <w:lang w:bidi="ar"/>
        </w:rPr>
        <w:t>同时脱出我们推荐选用化学吸收法。这三种方法的对比见</w:t>
      </w:r>
      <w:r w:rsidRPr="008A2411">
        <w:rPr>
          <w:rFonts w:ascii="Times New Roman" w:eastAsiaTheme="minorEastAsia" w:hAnsi="Times New Roman" w:cs="Times New Roman"/>
          <w:color w:val="000000" w:themeColor="text1"/>
          <w:sz w:val="24"/>
          <w:szCs w:val="24"/>
          <w:lang w:bidi="ar"/>
        </w:rPr>
        <w:t>3.2-3</w:t>
      </w:r>
      <w:r w:rsidRPr="008A2411">
        <w:rPr>
          <w:rFonts w:ascii="Times New Roman" w:eastAsiaTheme="minorEastAsia" w:hAnsi="Times New Roman" w:cs="Times New Roman"/>
          <w:color w:val="000000" w:themeColor="text1"/>
          <w:sz w:val="24"/>
          <w:szCs w:val="24"/>
          <w:lang w:bidi="ar"/>
        </w:rPr>
        <w:t>。</w:t>
      </w:r>
    </w:p>
    <w:p w14:paraId="2590FDCB" w14:textId="140F4A19" w:rsidR="00B0005F" w:rsidRPr="008A2411" w:rsidRDefault="00000000">
      <w:pPr>
        <w:pStyle w:val="affff2"/>
        <w:spacing w:before="0" w:beforeAutospacing="0" w:after="0" w:afterAutospacing="0" w:line="360" w:lineRule="auto"/>
        <w:ind w:leftChars="200" w:left="480"/>
        <w:jc w:val="center"/>
        <w:rPr>
          <w:rFonts w:ascii="Times New Roman" w:eastAsia="黑体" w:hAnsi="Times New Roman" w:cs="Times New Roman"/>
          <w:color w:val="000000" w:themeColor="text1"/>
          <w:sz w:val="24"/>
          <w:szCs w:val="24"/>
        </w:rPr>
      </w:pPr>
      <w:r w:rsidRPr="008A2411">
        <w:rPr>
          <w:rFonts w:ascii="Times New Roman" w:eastAsia="黑体" w:hAnsi="Times New Roman" w:cs="Times New Roman"/>
          <w:color w:val="000000" w:themeColor="text1"/>
          <w:sz w:val="24"/>
          <w:szCs w:val="24"/>
        </w:rPr>
        <w:t>表</w:t>
      </w:r>
      <w:r w:rsidRPr="008A2411">
        <w:rPr>
          <w:rFonts w:ascii="Times New Roman" w:eastAsia="黑体" w:hAnsi="Times New Roman" w:cs="Times New Roman"/>
          <w:color w:val="000000" w:themeColor="text1"/>
          <w:sz w:val="24"/>
          <w:szCs w:val="24"/>
        </w:rPr>
        <w:t xml:space="preserve">3.2-3  </w:t>
      </w:r>
      <w:r w:rsidRPr="008A2411">
        <w:rPr>
          <w:rFonts w:ascii="Times New Roman" w:eastAsia="黑体" w:hAnsi="Times New Roman" w:cs="Times New Roman"/>
          <w:color w:val="000000" w:themeColor="text1"/>
          <w:sz w:val="24"/>
          <w:szCs w:val="24"/>
        </w:rPr>
        <w:t>化学吸收方法对比表</w:t>
      </w:r>
    </w:p>
    <w:tbl>
      <w:tblPr>
        <w:tblW w:w="499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96"/>
        <w:gridCol w:w="1474"/>
        <w:gridCol w:w="3031"/>
        <w:gridCol w:w="1411"/>
        <w:gridCol w:w="1408"/>
      </w:tblGrid>
      <w:tr w:rsidR="008A2411" w:rsidRPr="008A2411" w14:paraId="74958D56" w14:textId="77777777">
        <w:trPr>
          <w:jc w:val="center"/>
        </w:trPr>
        <w:tc>
          <w:tcPr>
            <w:tcW w:w="701" w:type="pct"/>
            <w:tcBorders>
              <w:top w:val="single" w:sz="4" w:space="0" w:color="auto"/>
              <w:left w:val="single" w:sz="4" w:space="0" w:color="auto"/>
              <w:bottom w:val="single" w:sz="4" w:space="0" w:color="auto"/>
              <w:right w:val="single" w:sz="4" w:space="0" w:color="auto"/>
            </w:tcBorders>
            <w:vAlign w:val="center"/>
          </w:tcPr>
          <w:p w14:paraId="46651496" w14:textId="77777777" w:rsidR="00B0005F" w:rsidRPr="008A2411" w:rsidRDefault="00000000">
            <w:pPr>
              <w:widowControl/>
              <w:adjustRightInd w:val="0"/>
              <w:snapToGrid w:val="0"/>
              <w:jc w:val="center"/>
              <w:rPr>
                <w:rFonts w:ascii="Times New Roman"/>
                <w:color w:val="000000" w:themeColor="text1"/>
                <w:sz w:val="21"/>
                <w:szCs w:val="21"/>
              </w:rPr>
            </w:pPr>
            <w:r w:rsidRPr="008A2411">
              <w:rPr>
                <w:rFonts w:ascii="Times New Roman"/>
                <w:color w:val="000000" w:themeColor="text1"/>
                <w:sz w:val="21"/>
                <w:szCs w:val="21"/>
                <w:lang w:bidi="ar"/>
              </w:rPr>
              <w:t>方法</w:t>
            </w:r>
          </w:p>
        </w:tc>
        <w:tc>
          <w:tcPr>
            <w:tcW w:w="865" w:type="pct"/>
            <w:tcBorders>
              <w:top w:val="single" w:sz="4" w:space="0" w:color="auto"/>
              <w:left w:val="single" w:sz="4" w:space="0" w:color="auto"/>
              <w:bottom w:val="single" w:sz="4" w:space="0" w:color="auto"/>
              <w:right w:val="single" w:sz="4" w:space="0" w:color="auto"/>
            </w:tcBorders>
            <w:vAlign w:val="center"/>
          </w:tcPr>
          <w:p w14:paraId="2ED38F0B" w14:textId="77777777" w:rsidR="00B0005F" w:rsidRPr="008A2411" w:rsidRDefault="00000000">
            <w:pPr>
              <w:widowControl/>
              <w:adjustRightInd w:val="0"/>
              <w:snapToGrid w:val="0"/>
              <w:jc w:val="center"/>
              <w:rPr>
                <w:rFonts w:ascii="Times New Roman"/>
                <w:color w:val="000000" w:themeColor="text1"/>
                <w:sz w:val="21"/>
                <w:szCs w:val="21"/>
              </w:rPr>
            </w:pPr>
            <w:r w:rsidRPr="008A2411">
              <w:rPr>
                <w:rFonts w:ascii="Times New Roman"/>
                <w:color w:val="000000" w:themeColor="text1"/>
                <w:sz w:val="21"/>
                <w:szCs w:val="21"/>
                <w:lang w:bidi="ar"/>
              </w:rPr>
              <w:t>脱酸剂</w:t>
            </w:r>
          </w:p>
        </w:tc>
        <w:tc>
          <w:tcPr>
            <w:tcW w:w="1779" w:type="pct"/>
            <w:tcBorders>
              <w:top w:val="single" w:sz="4" w:space="0" w:color="auto"/>
              <w:left w:val="single" w:sz="4" w:space="0" w:color="auto"/>
              <w:bottom w:val="single" w:sz="4" w:space="0" w:color="auto"/>
              <w:right w:val="single" w:sz="4" w:space="0" w:color="auto"/>
            </w:tcBorders>
            <w:vAlign w:val="center"/>
          </w:tcPr>
          <w:p w14:paraId="05235697" w14:textId="77777777" w:rsidR="00B0005F" w:rsidRPr="008A2411" w:rsidRDefault="00000000">
            <w:pPr>
              <w:widowControl/>
              <w:adjustRightInd w:val="0"/>
              <w:snapToGrid w:val="0"/>
              <w:jc w:val="center"/>
              <w:rPr>
                <w:rFonts w:ascii="Times New Roman"/>
                <w:color w:val="000000" w:themeColor="text1"/>
                <w:sz w:val="21"/>
                <w:szCs w:val="21"/>
              </w:rPr>
            </w:pPr>
            <w:r w:rsidRPr="008A2411">
              <w:rPr>
                <w:rFonts w:ascii="Times New Roman"/>
                <w:color w:val="000000" w:themeColor="text1"/>
                <w:sz w:val="21"/>
                <w:szCs w:val="21"/>
                <w:lang w:bidi="ar"/>
              </w:rPr>
              <w:t>脱酸情况</w:t>
            </w:r>
          </w:p>
        </w:tc>
        <w:tc>
          <w:tcPr>
            <w:tcW w:w="826" w:type="pct"/>
            <w:tcBorders>
              <w:top w:val="single" w:sz="4" w:space="0" w:color="auto"/>
              <w:left w:val="single" w:sz="4" w:space="0" w:color="auto"/>
              <w:bottom w:val="single" w:sz="4" w:space="0" w:color="auto"/>
              <w:right w:val="single" w:sz="4" w:space="0" w:color="auto"/>
            </w:tcBorders>
            <w:vAlign w:val="center"/>
          </w:tcPr>
          <w:p w14:paraId="37BD9E2C" w14:textId="77777777" w:rsidR="00B0005F" w:rsidRPr="008A2411" w:rsidRDefault="00000000">
            <w:pPr>
              <w:widowControl/>
              <w:adjustRightInd w:val="0"/>
              <w:snapToGrid w:val="0"/>
              <w:jc w:val="center"/>
              <w:rPr>
                <w:rFonts w:ascii="Times New Roman"/>
                <w:color w:val="000000" w:themeColor="text1"/>
                <w:sz w:val="21"/>
                <w:szCs w:val="21"/>
              </w:rPr>
            </w:pPr>
            <w:r w:rsidRPr="008A2411">
              <w:rPr>
                <w:rFonts w:ascii="Times New Roman"/>
                <w:color w:val="000000" w:themeColor="text1"/>
                <w:sz w:val="21"/>
                <w:szCs w:val="21"/>
                <w:lang w:bidi="ar"/>
              </w:rPr>
              <w:t>应用</w:t>
            </w:r>
          </w:p>
        </w:tc>
        <w:tc>
          <w:tcPr>
            <w:tcW w:w="826" w:type="pct"/>
            <w:tcBorders>
              <w:top w:val="single" w:sz="4" w:space="0" w:color="auto"/>
              <w:left w:val="single" w:sz="4" w:space="0" w:color="auto"/>
              <w:bottom w:val="single" w:sz="4" w:space="0" w:color="auto"/>
              <w:right w:val="single" w:sz="4" w:space="0" w:color="auto"/>
            </w:tcBorders>
            <w:vAlign w:val="center"/>
          </w:tcPr>
          <w:p w14:paraId="0069C41F" w14:textId="77777777" w:rsidR="00B0005F" w:rsidRPr="008A2411" w:rsidRDefault="00000000">
            <w:pPr>
              <w:widowControl/>
              <w:adjustRightInd w:val="0"/>
              <w:snapToGrid w:val="0"/>
              <w:jc w:val="center"/>
              <w:rPr>
                <w:rFonts w:ascii="Times New Roman"/>
                <w:color w:val="000000" w:themeColor="text1"/>
                <w:sz w:val="21"/>
                <w:szCs w:val="21"/>
                <w:lang w:bidi="ar"/>
              </w:rPr>
            </w:pPr>
            <w:r w:rsidRPr="008A2411">
              <w:rPr>
                <w:rFonts w:ascii="Times New Roman"/>
                <w:color w:val="000000" w:themeColor="text1"/>
                <w:sz w:val="21"/>
                <w:szCs w:val="21"/>
                <w:lang w:bidi="ar"/>
              </w:rPr>
              <w:t>环保优缺点</w:t>
            </w:r>
          </w:p>
        </w:tc>
      </w:tr>
      <w:tr w:rsidR="008A2411" w:rsidRPr="008A2411" w14:paraId="55506707" w14:textId="77777777">
        <w:trPr>
          <w:jc w:val="center"/>
        </w:trPr>
        <w:tc>
          <w:tcPr>
            <w:tcW w:w="701" w:type="pct"/>
            <w:tcBorders>
              <w:top w:val="single" w:sz="4" w:space="0" w:color="auto"/>
              <w:left w:val="single" w:sz="4" w:space="0" w:color="auto"/>
              <w:bottom w:val="single" w:sz="4" w:space="0" w:color="auto"/>
              <w:right w:val="single" w:sz="4" w:space="0" w:color="auto"/>
            </w:tcBorders>
            <w:vAlign w:val="center"/>
          </w:tcPr>
          <w:p w14:paraId="285BFF4D" w14:textId="77777777" w:rsidR="00B0005F" w:rsidRPr="008A2411" w:rsidRDefault="00000000">
            <w:pPr>
              <w:widowControl/>
              <w:adjustRightInd w:val="0"/>
              <w:snapToGrid w:val="0"/>
              <w:jc w:val="center"/>
              <w:rPr>
                <w:rFonts w:ascii="Times New Roman"/>
                <w:color w:val="000000" w:themeColor="text1"/>
                <w:sz w:val="21"/>
                <w:szCs w:val="21"/>
              </w:rPr>
            </w:pPr>
            <w:r w:rsidRPr="008A2411">
              <w:rPr>
                <w:rFonts w:ascii="Times New Roman"/>
                <w:color w:val="000000" w:themeColor="text1"/>
                <w:sz w:val="21"/>
                <w:szCs w:val="21"/>
                <w:lang w:bidi="ar"/>
              </w:rPr>
              <w:t>醇胺法</w:t>
            </w:r>
          </w:p>
          <w:p w14:paraId="6C5DF3C7" w14:textId="77777777" w:rsidR="00B0005F" w:rsidRPr="008A2411" w:rsidRDefault="00000000">
            <w:pPr>
              <w:widowControl/>
              <w:adjustRightInd w:val="0"/>
              <w:snapToGrid w:val="0"/>
              <w:jc w:val="center"/>
              <w:rPr>
                <w:rFonts w:ascii="Times New Roman"/>
                <w:color w:val="000000" w:themeColor="text1"/>
                <w:sz w:val="21"/>
                <w:szCs w:val="21"/>
              </w:rPr>
            </w:pPr>
            <w:r w:rsidRPr="008A2411">
              <w:rPr>
                <w:rFonts w:ascii="Times New Roman"/>
                <w:color w:val="000000" w:themeColor="text1"/>
                <w:sz w:val="21"/>
                <w:szCs w:val="21"/>
                <w:lang w:bidi="ar"/>
              </w:rPr>
              <w:t>（</w:t>
            </w:r>
            <w:r w:rsidRPr="008A2411">
              <w:rPr>
                <w:rFonts w:ascii="Times New Roman"/>
                <w:color w:val="000000" w:themeColor="text1"/>
                <w:sz w:val="21"/>
                <w:szCs w:val="21"/>
                <w:lang w:bidi="ar"/>
              </w:rPr>
              <w:t>MEA</w:t>
            </w:r>
            <w:r w:rsidRPr="008A2411">
              <w:rPr>
                <w:rFonts w:ascii="Times New Roman"/>
                <w:color w:val="000000" w:themeColor="text1"/>
                <w:sz w:val="21"/>
                <w:szCs w:val="21"/>
                <w:lang w:bidi="ar"/>
              </w:rPr>
              <w:t>、</w:t>
            </w:r>
            <w:r w:rsidRPr="008A2411">
              <w:rPr>
                <w:rFonts w:ascii="Times New Roman"/>
                <w:color w:val="000000" w:themeColor="text1"/>
                <w:sz w:val="21"/>
                <w:szCs w:val="21"/>
                <w:lang w:bidi="ar"/>
              </w:rPr>
              <w:t>MDEA</w:t>
            </w:r>
            <w:r w:rsidRPr="008A2411">
              <w:rPr>
                <w:rFonts w:ascii="Times New Roman"/>
                <w:color w:val="000000" w:themeColor="text1"/>
                <w:sz w:val="21"/>
                <w:szCs w:val="21"/>
                <w:lang w:bidi="ar"/>
              </w:rPr>
              <w:t>）</w:t>
            </w:r>
          </w:p>
        </w:tc>
        <w:tc>
          <w:tcPr>
            <w:tcW w:w="865" w:type="pct"/>
            <w:tcBorders>
              <w:top w:val="single" w:sz="4" w:space="0" w:color="auto"/>
              <w:left w:val="single" w:sz="4" w:space="0" w:color="auto"/>
              <w:bottom w:val="single" w:sz="4" w:space="0" w:color="auto"/>
              <w:right w:val="single" w:sz="4" w:space="0" w:color="auto"/>
            </w:tcBorders>
            <w:vAlign w:val="center"/>
          </w:tcPr>
          <w:p w14:paraId="6B5E0C15" w14:textId="77777777" w:rsidR="00B0005F" w:rsidRPr="008A2411" w:rsidRDefault="00000000">
            <w:pPr>
              <w:widowControl/>
              <w:adjustRightInd w:val="0"/>
              <w:snapToGrid w:val="0"/>
              <w:jc w:val="center"/>
              <w:rPr>
                <w:rFonts w:ascii="Times New Roman"/>
                <w:color w:val="000000" w:themeColor="text1"/>
                <w:sz w:val="21"/>
                <w:szCs w:val="21"/>
              </w:rPr>
            </w:pPr>
            <w:r w:rsidRPr="008A2411">
              <w:rPr>
                <w:rFonts w:ascii="Times New Roman"/>
                <w:color w:val="000000" w:themeColor="text1"/>
                <w:sz w:val="21"/>
                <w:szCs w:val="21"/>
                <w:lang w:bidi="ar"/>
              </w:rPr>
              <w:t>～</w:t>
            </w:r>
            <w:r w:rsidRPr="008A2411">
              <w:rPr>
                <w:rFonts w:ascii="Times New Roman"/>
                <w:color w:val="000000" w:themeColor="text1"/>
                <w:sz w:val="21"/>
                <w:szCs w:val="21"/>
                <w:lang w:bidi="ar"/>
              </w:rPr>
              <w:t>50%</w:t>
            </w:r>
            <w:r w:rsidRPr="008A2411">
              <w:rPr>
                <w:rFonts w:ascii="Times New Roman"/>
                <w:color w:val="000000" w:themeColor="text1"/>
                <w:sz w:val="21"/>
                <w:szCs w:val="21"/>
                <w:lang w:bidi="ar"/>
              </w:rPr>
              <w:t>（重）</w:t>
            </w:r>
            <w:r w:rsidRPr="008A2411">
              <w:rPr>
                <w:rFonts w:ascii="Times New Roman"/>
                <w:color w:val="000000" w:themeColor="text1"/>
                <w:sz w:val="21"/>
                <w:szCs w:val="21"/>
                <w:lang w:bidi="ar"/>
              </w:rPr>
              <w:t>--</w:t>
            </w:r>
            <w:r w:rsidRPr="008A2411">
              <w:rPr>
                <w:rFonts w:ascii="Times New Roman"/>
                <w:color w:val="000000" w:themeColor="text1"/>
                <w:sz w:val="21"/>
                <w:szCs w:val="21"/>
                <w:lang w:bidi="ar"/>
              </w:rPr>
              <w:t>乙醇胺水溶液</w:t>
            </w:r>
          </w:p>
        </w:tc>
        <w:tc>
          <w:tcPr>
            <w:tcW w:w="1779" w:type="pct"/>
            <w:tcBorders>
              <w:top w:val="single" w:sz="4" w:space="0" w:color="auto"/>
              <w:left w:val="single" w:sz="4" w:space="0" w:color="auto"/>
              <w:bottom w:val="single" w:sz="4" w:space="0" w:color="auto"/>
              <w:right w:val="single" w:sz="4" w:space="0" w:color="auto"/>
            </w:tcBorders>
            <w:vAlign w:val="center"/>
          </w:tcPr>
          <w:p w14:paraId="120265F6" w14:textId="77777777" w:rsidR="00B0005F" w:rsidRPr="008A2411" w:rsidRDefault="00000000">
            <w:pPr>
              <w:widowControl/>
              <w:adjustRightInd w:val="0"/>
              <w:snapToGrid w:val="0"/>
              <w:jc w:val="center"/>
              <w:rPr>
                <w:rFonts w:ascii="Times New Roman"/>
                <w:color w:val="000000" w:themeColor="text1"/>
                <w:sz w:val="21"/>
                <w:szCs w:val="21"/>
              </w:rPr>
            </w:pPr>
            <w:r w:rsidRPr="008A2411">
              <w:rPr>
                <w:rFonts w:ascii="Times New Roman"/>
                <w:color w:val="000000" w:themeColor="text1"/>
                <w:sz w:val="21"/>
                <w:szCs w:val="21"/>
                <w:lang w:bidi="ar"/>
              </w:rPr>
              <w:t>主要是化学吸收过程，操作压力影响较小，当酸气分压较低时用此法较为经济。此法工艺成熟，同时吸收</w:t>
            </w:r>
            <w:r w:rsidRPr="008A2411">
              <w:rPr>
                <w:rFonts w:ascii="Times New Roman"/>
                <w:color w:val="000000" w:themeColor="text1"/>
                <w:sz w:val="21"/>
                <w:szCs w:val="21"/>
                <w:lang w:bidi="ar"/>
              </w:rPr>
              <w:t>CO</w:t>
            </w:r>
            <w:r w:rsidRPr="008A2411">
              <w:rPr>
                <w:rFonts w:ascii="Times New Roman"/>
                <w:color w:val="000000" w:themeColor="text1"/>
                <w:sz w:val="21"/>
                <w:szCs w:val="21"/>
                <w:vertAlign w:val="subscript"/>
                <w:lang w:bidi="ar"/>
              </w:rPr>
              <w:t>2</w:t>
            </w:r>
            <w:r w:rsidRPr="008A2411">
              <w:rPr>
                <w:rFonts w:ascii="Times New Roman"/>
                <w:color w:val="000000" w:themeColor="text1"/>
                <w:sz w:val="21"/>
                <w:szCs w:val="21"/>
                <w:lang w:bidi="ar"/>
              </w:rPr>
              <w:t>和</w:t>
            </w:r>
            <w:r w:rsidRPr="008A2411">
              <w:rPr>
                <w:rFonts w:ascii="Times New Roman"/>
                <w:color w:val="000000" w:themeColor="text1"/>
                <w:sz w:val="21"/>
                <w:szCs w:val="21"/>
                <w:lang w:bidi="ar"/>
              </w:rPr>
              <w:t>H</w:t>
            </w:r>
            <w:r w:rsidRPr="008A2411">
              <w:rPr>
                <w:rFonts w:ascii="Times New Roman"/>
                <w:color w:val="000000" w:themeColor="text1"/>
                <w:sz w:val="21"/>
                <w:szCs w:val="21"/>
                <w:vertAlign w:val="subscript"/>
                <w:lang w:bidi="ar"/>
              </w:rPr>
              <w:t>2</w:t>
            </w:r>
            <w:r w:rsidRPr="008A2411">
              <w:rPr>
                <w:rFonts w:ascii="Times New Roman"/>
                <w:color w:val="000000" w:themeColor="text1"/>
                <w:sz w:val="21"/>
                <w:szCs w:val="21"/>
                <w:lang w:bidi="ar"/>
              </w:rPr>
              <w:t>S</w:t>
            </w:r>
            <w:r w:rsidRPr="008A2411">
              <w:rPr>
                <w:rFonts w:ascii="Times New Roman"/>
                <w:color w:val="000000" w:themeColor="text1"/>
                <w:sz w:val="21"/>
                <w:szCs w:val="21"/>
                <w:lang w:bidi="ar"/>
              </w:rPr>
              <w:t>的能力强，尤在</w:t>
            </w:r>
            <w:r w:rsidRPr="008A2411">
              <w:rPr>
                <w:rFonts w:ascii="Times New Roman"/>
                <w:color w:val="000000" w:themeColor="text1"/>
                <w:sz w:val="21"/>
                <w:szCs w:val="21"/>
                <w:lang w:bidi="ar"/>
              </w:rPr>
              <w:t>CO</w:t>
            </w:r>
            <w:r w:rsidRPr="008A2411">
              <w:rPr>
                <w:rFonts w:ascii="Times New Roman"/>
                <w:color w:val="000000" w:themeColor="text1"/>
                <w:sz w:val="21"/>
                <w:szCs w:val="21"/>
                <w:vertAlign w:val="subscript"/>
                <w:lang w:bidi="ar"/>
              </w:rPr>
              <w:t>2</w:t>
            </w:r>
            <w:r w:rsidRPr="008A2411">
              <w:rPr>
                <w:rFonts w:ascii="Times New Roman"/>
                <w:color w:val="000000" w:themeColor="text1"/>
                <w:sz w:val="21"/>
                <w:szCs w:val="21"/>
                <w:lang w:bidi="ar"/>
              </w:rPr>
              <w:t>浓度、</w:t>
            </w:r>
            <w:r w:rsidRPr="008A2411">
              <w:rPr>
                <w:rFonts w:ascii="Times New Roman"/>
                <w:color w:val="000000" w:themeColor="text1"/>
                <w:sz w:val="21"/>
                <w:szCs w:val="21"/>
                <w:lang w:bidi="ar"/>
              </w:rPr>
              <w:t>H</w:t>
            </w:r>
            <w:r w:rsidRPr="008A2411">
              <w:rPr>
                <w:rFonts w:ascii="Times New Roman"/>
                <w:color w:val="000000" w:themeColor="text1"/>
                <w:sz w:val="21"/>
                <w:szCs w:val="21"/>
                <w:vertAlign w:val="subscript"/>
                <w:lang w:bidi="ar"/>
              </w:rPr>
              <w:t>2</w:t>
            </w:r>
            <w:r w:rsidRPr="008A2411">
              <w:rPr>
                <w:rFonts w:ascii="Times New Roman"/>
                <w:color w:val="000000" w:themeColor="text1"/>
                <w:sz w:val="21"/>
                <w:szCs w:val="21"/>
                <w:lang w:bidi="ar"/>
              </w:rPr>
              <w:t>S</w:t>
            </w:r>
            <w:r w:rsidRPr="008A2411">
              <w:rPr>
                <w:rFonts w:ascii="Times New Roman"/>
                <w:color w:val="000000" w:themeColor="text1"/>
                <w:sz w:val="21"/>
                <w:szCs w:val="21"/>
                <w:lang w:bidi="ar"/>
              </w:rPr>
              <w:t>浓度较高时应用，亦可部分脱除有机硫。缺点是</w:t>
            </w:r>
            <w:proofErr w:type="gramStart"/>
            <w:r w:rsidRPr="008A2411">
              <w:rPr>
                <w:rFonts w:ascii="Times New Roman"/>
                <w:color w:val="000000" w:themeColor="text1"/>
                <w:sz w:val="21"/>
                <w:szCs w:val="21"/>
                <w:lang w:bidi="ar"/>
              </w:rPr>
              <w:t>须较高</w:t>
            </w:r>
            <w:proofErr w:type="gramEnd"/>
            <w:r w:rsidRPr="008A2411">
              <w:rPr>
                <w:rFonts w:ascii="Times New Roman"/>
                <w:color w:val="000000" w:themeColor="text1"/>
                <w:sz w:val="21"/>
                <w:szCs w:val="21"/>
                <w:lang w:bidi="ar"/>
              </w:rPr>
              <w:t>再生热、溶液易发泡、与有机硫作用易变质等。</w:t>
            </w:r>
          </w:p>
        </w:tc>
        <w:tc>
          <w:tcPr>
            <w:tcW w:w="826" w:type="pct"/>
            <w:tcBorders>
              <w:top w:val="single" w:sz="4" w:space="0" w:color="auto"/>
              <w:left w:val="single" w:sz="4" w:space="0" w:color="auto"/>
              <w:bottom w:val="single" w:sz="4" w:space="0" w:color="auto"/>
              <w:right w:val="single" w:sz="4" w:space="0" w:color="auto"/>
            </w:tcBorders>
            <w:vAlign w:val="center"/>
          </w:tcPr>
          <w:p w14:paraId="010E4A3D" w14:textId="77777777" w:rsidR="00B0005F" w:rsidRPr="008A2411" w:rsidRDefault="00000000">
            <w:pPr>
              <w:widowControl/>
              <w:adjustRightInd w:val="0"/>
              <w:snapToGrid w:val="0"/>
              <w:jc w:val="center"/>
              <w:rPr>
                <w:rFonts w:ascii="Times New Roman"/>
                <w:color w:val="000000" w:themeColor="text1"/>
                <w:sz w:val="21"/>
                <w:szCs w:val="21"/>
                <w:lang w:bidi="ar"/>
              </w:rPr>
            </w:pPr>
            <w:r w:rsidRPr="008A2411">
              <w:rPr>
                <w:rFonts w:ascii="Times New Roman"/>
                <w:color w:val="000000" w:themeColor="text1"/>
                <w:sz w:val="21"/>
                <w:szCs w:val="21"/>
                <w:lang w:bidi="ar"/>
              </w:rPr>
              <w:t>常用的方法，应用广泛。</w:t>
            </w:r>
          </w:p>
        </w:tc>
        <w:tc>
          <w:tcPr>
            <w:tcW w:w="826" w:type="pct"/>
            <w:tcBorders>
              <w:top w:val="single" w:sz="4" w:space="0" w:color="auto"/>
              <w:left w:val="single" w:sz="4" w:space="0" w:color="auto"/>
              <w:bottom w:val="single" w:sz="4" w:space="0" w:color="auto"/>
              <w:right w:val="single" w:sz="4" w:space="0" w:color="auto"/>
            </w:tcBorders>
            <w:vAlign w:val="center"/>
          </w:tcPr>
          <w:p w14:paraId="1C42BEA9" w14:textId="77777777" w:rsidR="00B0005F" w:rsidRPr="008A2411" w:rsidRDefault="00000000">
            <w:pPr>
              <w:widowControl/>
              <w:adjustRightInd w:val="0"/>
              <w:snapToGrid w:val="0"/>
              <w:jc w:val="center"/>
              <w:rPr>
                <w:rFonts w:ascii="Times New Roman"/>
                <w:color w:val="000000" w:themeColor="text1"/>
                <w:sz w:val="21"/>
                <w:szCs w:val="21"/>
                <w:lang w:bidi="ar"/>
              </w:rPr>
            </w:pPr>
            <w:r w:rsidRPr="008A2411">
              <w:rPr>
                <w:rFonts w:ascii="Times New Roman"/>
                <w:color w:val="000000" w:themeColor="text1"/>
                <w:sz w:val="21"/>
                <w:szCs w:val="21"/>
                <w:lang w:bidi="ar"/>
              </w:rPr>
              <w:t>优点：占地小，工艺成熟，环境风险较小；</w:t>
            </w:r>
          </w:p>
          <w:p w14:paraId="47990B39" w14:textId="77777777" w:rsidR="00B0005F" w:rsidRPr="008A2411" w:rsidRDefault="00000000">
            <w:pPr>
              <w:widowControl/>
              <w:adjustRightInd w:val="0"/>
              <w:snapToGrid w:val="0"/>
              <w:jc w:val="center"/>
              <w:rPr>
                <w:rFonts w:ascii="Times New Roman"/>
                <w:color w:val="000000" w:themeColor="text1"/>
                <w:sz w:val="21"/>
                <w:szCs w:val="21"/>
                <w:lang w:bidi="ar"/>
              </w:rPr>
            </w:pPr>
            <w:r w:rsidRPr="008A2411">
              <w:rPr>
                <w:rFonts w:ascii="Times New Roman"/>
                <w:color w:val="000000" w:themeColor="text1"/>
                <w:sz w:val="21"/>
                <w:szCs w:val="21"/>
                <w:lang w:bidi="ar"/>
              </w:rPr>
              <w:t>缺点：设备噪声较大</w:t>
            </w:r>
          </w:p>
        </w:tc>
      </w:tr>
      <w:tr w:rsidR="008A2411" w:rsidRPr="008A2411" w14:paraId="009B669D" w14:textId="77777777">
        <w:trPr>
          <w:jc w:val="center"/>
        </w:trPr>
        <w:tc>
          <w:tcPr>
            <w:tcW w:w="701" w:type="pct"/>
            <w:tcBorders>
              <w:top w:val="single" w:sz="4" w:space="0" w:color="auto"/>
              <w:left w:val="single" w:sz="4" w:space="0" w:color="auto"/>
              <w:bottom w:val="single" w:sz="4" w:space="0" w:color="auto"/>
              <w:right w:val="single" w:sz="4" w:space="0" w:color="auto"/>
            </w:tcBorders>
            <w:vAlign w:val="center"/>
          </w:tcPr>
          <w:p w14:paraId="088D6D7C" w14:textId="77777777" w:rsidR="00B0005F" w:rsidRPr="008A2411" w:rsidRDefault="00000000">
            <w:pPr>
              <w:widowControl/>
              <w:adjustRightInd w:val="0"/>
              <w:snapToGrid w:val="0"/>
              <w:jc w:val="center"/>
              <w:rPr>
                <w:rFonts w:ascii="Times New Roman"/>
                <w:color w:val="000000" w:themeColor="text1"/>
                <w:sz w:val="21"/>
                <w:szCs w:val="21"/>
              </w:rPr>
            </w:pPr>
            <w:r w:rsidRPr="008A2411">
              <w:rPr>
                <w:rFonts w:ascii="Times New Roman"/>
                <w:color w:val="000000" w:themeColor="text1"/>
                <w:sz w:val="21"/>
                <w:szCs w:val="21"/>
                <w:lang w:bidi="ar"/>
              </w:rPr>
              <w:t>二异丙醇胺法（</w:t>
            </w:r>
            <w:r w:rsidRPr="008A2411">
              <w:rPr>
                <w:rFonts w:ascii="Times New Roman"/>
                <w:color w:val="000000" w:themeColor="text1"/>
                <w:sz w:val="21"/>
                <w:szCs w:val="21"/>
                <w:lang w:bidi="ar"/>
              </w:rPr>
              <w:t>DIPA</w:t>
            </w:r>
            <w:r w:rsidRPr="008A2411">
              <w:rPr>
                <w:rFonts w:ascii="Times New Roman"/>
                <w:color w:val="000000" w:themeColor="text1"/>
                <w:sz w:val="21"/>
                <w:szCs w:val="21"/>
                <w:lang w:bidi="ar"/>
              </w:rPr>
              <w:t>法）</w:t>
            </w:r>
          </w:p>
        </w:tc>
        <w:tc>
          <w:tcPr>
            <w:tcW w:w="865" w:type="pct"/>
            <w:tcBorders>
              <w:top w:val="single" w:sz="4" w:space="0" w:color="auto"/>
              <w:left w:val="single" w:sz="4" w:space="0" w:color="auto"/>
              <w:bottom w:val="single" w:sz="4" w:space="0" w:color="auto"/>
              <w:right w:val="single" w:sz="4" w:space="0" w:color="auto"/>
            </w:tcBorders>
            <w:vAlign w:val="center"/>
          </w:tcPr>
          <w:p w14:paraId="34ADDDC7" w14:textId="77777777" w:rsidR="00B0005F" w:rsidRPr="008A2411" w:rsidRDefault="00000000">
            <w:pPr>
              <w:widowControl/>
              <w:adjustRightInd w:val="0"/>
              <w:snapToGrid w:val="0"/>
              <w:jc w:val="center"/>
              <w:rPr>
                <w:rFonts w:ascii="Times New Roman"/>
                <w:color w:val="000000" w:themeColor="text1"/>
                <w:sz w:val="21"/>
                <w:szCs w:val="21"/>
              </w:rPr>
            </w:pPr>
            <w:r w:rsidRPr="008A2411">
              <w:rPr>
                <w:rFonts w:ascii="Times New Roman"/>
                <w:color w:val="000000" w:themeColor="text1"/>
                <w:sz w:val="21"/>
                <w:szCs w:val="21"/>
                <w:lang w:bidi="ar"/>
              </w:rPr>
              <w:t>25%</w:t>
            </w:r>
            <w:r w:rsidRPr="008A2411">
              <w:rPr>
                <w:rFonts w:ascii="Times New Roman"/>
                <w:color w:val="000000" w:themeColor="text1"/>
                <w:sz w:val="21"/>
                <w:szCs w:val="21"/>
                <w:lang w:bidi="ar"/>
              </w:rPr>
              <w:t>～</w:t>
            </w:r>
            <w:r w:rsidRPr="008A2411">
              <w:rPr>
                <w:rFonts w:ascii="Times New Roman"/>
                <w:color w:val="000000" w:themeColor="text1"/>
                <w:sz w:val="21"/>
                <w:szCs w:val="21"/>
                <w:lang w:bidi="ar"/>
              </w:rPr>
              <w:t>30%</w:t>
            </w:r>
            <w:r w:rsidRPr="008A2411">
              <w:rPr>
                <w:rFonts w:ascii="Times New Roman"/>
                <w:color w:val="000000" w:themeColor="text1"/>
                <w:sz w:val="21"/>
                <w:szCs w:val="21"/>
                <w:lang w:bidi="ar"/>
              </w:rPr>
              <w:t>（重）</w:t>
            </w:r>
          </w:p>
          <w:p w14:paraId="0D21E9D2" w14:textId="77777777" w:rsidR="00B0005F" w:rsidRPr="008A2411" w:rsidRDefault="00000000">
            <w:pPr>
              <w:widowControl/>
              <w:adjustRightInd w:val="0"/>
              <w:snapToGrid w:val="0"/>
              <w:jc w:val="center"/>
              <w:rPr>
                <w:rFonts w:ascii="Times New Roman"/>
                <w:color w:val="000000" w:themeColor="text1"/>
                <w:sz w:val="21"/>
                <w:szCs w:val="21"/>
              </w:rPr>
            </w:pPr>
            <w:r w:rsidRPr="008A2411">
              <w:rPr>
                <w:rFonts w:ascii="Times New Roman"/>
                <w:color w:val="000000" w:themeColor="text1"/>
                <w:sz w:val="21"/>
                <w:szCs w:val="21"/>
                <w:lang w:bidi="ar"/>
              </w:rPr>
              <w:t>--</w:t>
            </w:r>
            <w:r w:rsidRPr="008A2411">
              <w:rPr>
                <w:rFonts w:ascii="Times New Roman"/>
                <w:color w:val="000000" w:themeColor="text1"/>
                <w:sz w:val="21"/>
                <w:szCs w:val="21"/>
                <w:lang w:bidi="ar"/>
              </w:rPr>
              <w:t>二异丙醇</w:t>
            </w:r>
            <w:proofErr w:type="gramStart"/>
            <w:r w:rsidRPr="008A2411">
              <w:rPr>
                <w:rFonts w:ascii="Times New Roman"/>
                <w:color w:val="000000" w:themeColor="text1"/>
                <w:sz w:val="21"/>
                <w:szCs w:val="21"/>
                <w:lang w:bidi="ar"/>
              </w:rPr>
              <w:t>胺水</w:t>
            </w:r>
            <w:proofErr w:type="gramEnd"/>
            <w:r w:rsidRPr="008A2411">
              <w:rPr>
                <w:rFonts w:ascii="Times New Roman"/>
                <w:color w:val="000000" w:themeColor="text1"/>
                <w:sz w:val="21"/>
                <w:szCs w:val="21"/>
                <w:lang w:bidi="ar"/>
              </w:rPr>
              <w:t>溶液</w:t>
            </w:r>
          </w:p>
        </w:tc>
        <w:tc>
          <w:tcPr>
            <w:tcW w:w="1779" w:type="pct"/>
            <w:tcBorders>
              <w:top w:val="single" w:sz="4" w:space="0" w:color="auto"/>
              <w:left w:val="single" w:sz="4" w:space="0" w:color="auto"/>
              <w:bottom w:val="single" w:sz="4" w:space="0" w:color="auto"/>
              <w:right w:val="single" w:sz="4" w:space="0" w:color="auto"/>
            </w:tcBorders>
            <w:vAlign w:val="center"/>
          </w:tcPr>
          <w:p w14:paraId="6913DE8D" w14:textId="77777777" w:rsidR="00B0005F" w:rsidRPr="008A2411" w:rsidRDefault="00000000">
            <w:pPr>
              <w:widowControl/>
              <w:adjustRightInd w:val="0"/>
              <w:snapToGrid w:val="0"/>
              <w:jc w:val="center"/>
              <w:rPr>
                <w:rFonts w:ascii="Times New Roman"/>
                <w:color w:val="000000" w:themeColor="text1"/>
                <w:sz w:val="21"/>
                <w:szCs w:val="21"/>
              </w:rPr>
            </w:pPr>
            <w:r w:rsidRPr="008A2411">
              <w:rPr>
                <w:rFonts w:ascii="Times New Roman"/>
                <w:color w:val="000000" w:themeColor="text1"/>
                <w:sz w:val="21"/>
                <w:szCs w:val="21"/>
                <w:lang w:bidi="ar"/>
              </w:rPr>
              <w:t>脱硫情况与醇胺法（</w:t>
            </w:r>
            <w:r w:rsidRPr="008A2411">
              <w:rPr>
                <w:rFonts w:ascii="Times New Roman"/>
                <w:color w:val="000000" w:themeColor="text1"/>
                <w:sz w:val="21"/>
                <w:szCs w:val="21"/>
                <w:lang w:bidi="ar"/>
              </w:rPr>
              <w:t>MEA</w:t>
            </w:r>
            <w:r w:rsidRPr="008A2411">
              <w:rPr>
                <w:rFonts w:ascii="Times New Roman"/>
                <w:color w:val="000000" w:themeColor="text1"/>
                <w:sz w:val="21"/>
                <w:szCs w:val="21"/>
                <w:lang w:bidi="ar"/>
              </w:rPr>
              <w:t>法）大致类似，可以脱出部分有机硫化物。在存在时对的吸收有一定的选择性，腐蚀性小，</w:t>
            </w:r>
            <w:proofErr w:type="gramStart"/>
            <w:r w:rsidRPr="008A2411">
              <w:rPr>
                <w:rFonts w:ascii="Times New Roman"/>
                <w:color w:val="000000" w:themeColor="text1"/>
                <w:sz w:val="21"/>
                <w:szCs w:val="21"/>
                <w:lang w:bidi="ar"/>
              </w:rPr>
              <w:t>胺损失</w:t>
            </w:r>
            <w:proofErr w:type="gramEnd"/>
            <w:r w:rsidRPr="008A2411">
              <w:rPr>
                <w:rFonts w:ascii="Times New Roman"/>
                <w:color w:val="000000" w:themeColor="text1"/>
                <w:sz w:val="21"/>
                <w:szCs w:val="21"/>
                <w:lang w:bidi="ar"/>
              </w:rPr>
              <w:t>小。</w:t>
            </w:r>
          </w:p>
        </w:tc>
        <w:tc>
          <w:tcPr>
            <w:tcW w:w="826" w:type="pct"/>
            <w:tcBorders>
              <w:top w:val="single" w:sz="4" w:space="0" w:color="auto"/>
              <w:left w:val="single" w:sz="4" w:space="0" w:color="auto"/>
              <w:bottom w:val="single" w:sz="4" w:space="0" w:color="auto"/>
              <w:right w:val="single" w:sz="4" w:space="0" w:color="auto"/>
            </w:tcBorders>
            <w:vAlign w:val="center"/>
          </w:tcPr>
          <w:p w14:paraId="3A4DA914" w14:textId="77777777" w:rsidR="00B0005F" w:rsidRPr="008A2411" w:rsidRDefault="00000000">
            <w:pPr>
              <w:widowControl/>
              <w:adjustRightInd w:val="0"/>
              <w:snapToGrid w:val="0"/>
              <w:jc w:val="center"/>
              <w:rPr>
                <w:rFonts w:ascii="Times New Roman"/>
                <w:color w:val="000000" w:themeColor="text1"/>
                <w:sz w:val="21"/>
                <w:szCs w:val="21"/>
              </w:rPr>
            </w:pPr>
            <w:r w:rsidRPr="008A2411">
              <w:rPr>
                <w:rFonts w:ascii="Times New Roman"/>
                <w:color w:val="000000" w:themeColor="text1"/>
                <w:sz w:val="21"/>
                <w:szCs w:val="21"/>
                <w:lang w:bidi="ar"/>
              </w:rPr>
              <w:t>主要应用于炼厂气脱硫和施柯特法硫回收装置尾气处理。</w:t>
            </w:r>
          </w:p>
        </w:tc>
        <w:tc>
          <w:tcPr>
            <w:tcW w:w="826" w:type="pct"/>
            <w:tcBorders>
              <w:top w:val="single" w:sz="4" w:space="0" w:color="auto"/>
              <w:left w:val="single" w:sz="4" w:space="0" w:color="auto"/>
              <w:bottom w:val="single" w:sz="4" w:space="0" w:color="auto"/>
              <w:right w:val="single" w:sz="4" w:space="0" w:color="auto"/>
            </w:tcBorders>
            <w:vAlign w:val="center"/>
          </w:tcPr>
          <w:p w14:paraId="505C46A5" w14:textId="77777777" w:rsidR="00B0005F" w:rsidRPr="008A2411" w:rsidRDefault="00000000">
            <w:pPr>
              <w:widowControl/>
              <w:adjustRightInd w:val="0"/>
              <w:snapToGrid w:val="0"/>
              <w:jc w:val="center"/>
              <w:rPr>
                <w:rFonts w:ascii="Times New Roman"/>
                <w:color w:val="000000" w:themeColor="text1"/>
                <w:sz w:val="21"/>
                <w:szCs w:val="21"/>
                <w:lang w:bidi="ar"/>
              </w:rPr>
            </w:pPr>
            <w:r w:rsidRPr="008A2411">
              <w:rPr>
                <w:rFonts w:ascii="Times New Roman"/>
                <w:color w:val="000000" w:themeColor="text1"/>
                <w:sz w:val="21"/>
                <w:szCs w:val="21"/>
                <w:lang w:bidi="ar"/>
              </w:rPr>
              <w:t>优点：工艺成熟；</w:t>
            </w:r>
          </w:p>
          <w:p w14:paraId="7F0F14BC" w14:textId="77777777" w:rsidR="00B0005F" w:rsidRPr="008A2411" w:rsidRDefault="00000000">
            <w:pPr>
              <w:widowControl/>
              <w:adjustRightInd w:val="0"/>
              <w:snapToGrid w:val="0"/>
              <w:jc w:val="center"/>
              <w:rPr>
                <w:rFonts w:ascii="Times New Roman"/>
                <w:color w:val="000000" w:themeColor="text1"/>
                <w:sz w:val="21"/>
                <w:szCs w:val="21"/>
                <w:lang w:bidi="ar"/>
              </w:rPr>
            </w:pPr>
            <w:r w:rsidRPr="008A2411">
              <w:rPr>
                <w:rFonts w:ascii="Times New Roman"/>
                <w:color w:val="000000" w:themeColor="text1"/>
                <w:sz w:val="21"/>
                <w:szCs w:val="21"/>
                <w:lang w:bidi="ar"/>
              </w:rPr>
              <w:t>缺点：占地大、设备噪声较大</w:t>
            </w:r>
          </w:p>
        </w:tc>
      </w:tr>
      <w:tr w:rsidR="008A2411" w:rsidRPr="008A2411" w14:paraId="3D8788B1" w14:textId="77777777">
        <w:trPr>
          <w:jc w:val="center"/>
        </w:trPr>
        <w:tc>
          <w:tcPr>
            <w:tcW w:w="4173" w:type="pct"/>
            <w:gridSpan w:val="4"/>
            <w:tcBorders>
              <w:top w:val="single" w:sz="4" w:space="0" w:color="auto"/>
              <w:left w:val="single" w:sz="4" w:space="0" w:color="auto"/>
              <w:bottom w:val="single" w:sz="4" w:space="0" w:color="auto"/>
              <w:right w:val="single" w:sz="4" w:space="0" w:color="auto"/>
            </w:tcBorders>
            <w:vAlign w:val="center"/>
          </w:tcPr>
          <w:p w14:paraId="64BC4151" w14:textId="77777777" w:rsidR="00B0005F" w:rsidRPr="008A2411" w:rsidRDefault="00000000">
            <w:pPr>
              <w:widowControl/>
              <w:adjustRightInd w:val="0"/>
              <w:snapToGrid w:val="0"/>
              <w:jc w:val="center"/>
              <w:rPr>
                <w:rFonts w:ascii="Times New Roman"/>
                <w:color w:val="000000" w:themeColor="text1"/>
                <w:sz w:val="21"/>
                <w:szCs w:val="21"/>
              </w:rPr>
            </w:pPr>
            <w:r w:rsidRPr="008A2411">
              <w:rPr>
                <w:rFonts w:ascii="Times New Roman"/>
                <w:color w:val="000000" w:themeColor="text1"/>
                <w:sz w:val="21"/>
                <w:szCs w:val="21"/>
                <w:lang w:bidi="ar"/>
              </w:rPr>
              <w:t>碱性</w:t>
            </w:r>
            <w:proofErr w:type="gramStart"/>
            <w:r w:rsidRPr="008A2411">
              <w:rPr>
                <w:rFonts w:ascii="Times New Roman"/>
                <w:color w:val="000000" w:themeColor="text1"/>
                <w:sz w:val="21"/>
                <w:szCs w:val="21"/>
                <w:lang w:bidi="ar"/>
              </w:rPr>
              <w:t>盐溶液法</w:t>
            </w:r>
            <w:proofErr w:type="gramEnd"/>
          </w:p>
        </w:tc>
        <w:tc>
          <w:tcPr>
            <w:tcW w:w="826" w:type="pct"/>
            <w:tcBorders>
              <w:top w:val="single" w:sz="4" w:space="0" w:color="auto"/>
              <w:left w:val="single" w:sz="4" w:space="0" w:color="auto"/>
              <w:bottom w:val="single" w:sz="4" w:space="0" w:color="auto"/>
              <w:right w:val="single" w:sz="4" w:space="0" w:color="auto"/>
            </w:tcBorders>
            <w:vAlign w:val="center"/>
          </w:tcPr>
          <w:p w14:paraId="2522A7AE" w14:textId="77777777" w:rsidR="00B0005F" w:rsidRPr="008A2411" w:rsidRDefault="00B0005F">
            <w:pPr>
              <w:widowControl/>
              <w:adjustRightInd w:val="0"/>
              <w:snapToGrid w:val="0"/>
              <w:jc w:val="center"/>
              <w:rPr>
                <w:rFonts w:ascii="Times New Roman"/>
                <w:color w:val="000000" w:themeColor="text1"/>
                <w:sz w:val="21"/>
                <w:szCs w:val="21"/>
                <w:lang w:bidi="ar"/>
              </w:rPr>
            </w:pPr>
          </w:p>
        </w:tc>
      </w:tr>
      <w:tr w:rsidR="008A2411" w:rsidRPr="008A2411" w14:paraId="3DEE303D" w14:textId="77777777">
        <w:trPr>
          <w:jc w:val="center"/>
        </w:trPr>
        <w:tc>
          <w:tcPr>
            <w:tcW w:w="701" w:type="pct"/>
            <w:tcBorders>
              <w:top w:val="single" w:sz="4" w:space="0" w:color="auto"/>
              <w:left w:val="single" w:sz="4" w:space="0" w:color="auto"/>
              <w:bottom w:val="single" w:sz="4" w:space="0" w:color="auto"/>
              <w:right w:val="single" w:sz="4" w:space="0" w:color="auto"/>
            </w:tcBorders>
            <w:vAlign w:val="center"/>
          </w:tcPr>
          <w:p w14:paraId="1393B6E9" w14:textId="77777777" w:rsidR="00B0005F" w:rsidRPr="008A2411" w:rsidRDefault="00000000">
            <w:pPr>
              <w:widowControl/>
              <w:adjustRightInd w:val="0"/>
              <w:snapToGrid w:val="0"/>
              <w:jc w:val="center"/>
              <w:rPr>
                <w:rFonts w:ascii="Times New Roman"/>
                <w:color w:val="000000" w:themeColor="text1"/>
                <w:sz w:val="21"/>
                <w:szCs w:val="21"/>
              </w:rPr>
            </w:pPr>
            <w:r w:rsidRPr="008A2411">
              <w:rPr>
                <w:rFonts w:ascii="Times New Roman"/>
                <w:color w:val="000000" w:themeColor="text1"/>
                <w:sz w:val="21"/>
                <w:szCs w:val="21"/>
                <w:lang w:bidi="ar"/>
              </w:rPr>
              <w:t>改良热钾碱法</w:t>
            </w:r>
          </w:p>
        </w:tc>
        <w:tc>
          <w:tcPr>
            <w:tcW w:w="865" w:type="pct"/>
            <w:tcBorders>
              <w:top w:val="single" w:sz="4" w:space="0" w:color="auto"/>
              <w:left w:val="single" w:sz="4" w:space="0" w:color="auto"/>
              <w:bottom w:val="single" w:sz="4" w:space="0" w:color="auto"/>
              <w:right w:val="single" w:sz="4" w:space="0" w:color="auto"/>
            </w:tcBorders>
            <w:vAlign w:val="center"/>
          </w:tcPr>
          <w:p w14:paraId="24DCBC7F" w14:textId="77777777" w:rsidR="00B0005F" w:rsidRPr="008A2411" w:rsidRDefault="00000000">
            <w:pPr>
              <w:widowControl/>
              <w:adjustRightInd w:val="0"/>
              <w:snapToGrid w:val="0"/>
              <w:jc w:val="center"/>
              <w:rPr>
                <w:rFonts w:ascii="Times New Roman"/>
                <w:color w:val="000000" w:themeColor="text1"/>
                <w:sz w:val="21"/>
                <w:szCs w:val="21"/>
              </w:rPr>
            </w:pPr>
            <w:r w:rsidRPr="008A2411">
              <w:rPr>
                <w:rFonts w:ascii="Times New Roman"/>
                <w:color w:val="000000" w:themeColor="text1"/>
                <w:sz w:val="21"/>
                <w:szCs w:val="21"/>
                <w:lang w:bidi="ar"/>
              </w:rPr>
              <w:t>20</w:t>
            </w:r>
            <w:r w:rsidRPr="008A2411">
              <w:rPr>
                <w:rFonts w:ascii="Times New Roman"/>
                <w:color w:val="000000" w:themeColor="text1"/>
                <w:sz w:val="21"/>
                <w:szCs w:val="21"/>
                <w:lang w:bidi="ar"/>
              </w:rPr>
              <w:t>～</w:t>
            </w:r>
            <w:r w:rsidRPr="008A2411">
              <w:rPr>
                <w:rFonts w:ascii="Times New Roman"/>
                <w:color w:val="000000" w:themeColor="text1"/>
                <w:sz w:val="21"/>
                <w:szCs w:val="21"/>
                <w:lang w:bidi="ar"/>
              </w:rPr>
              <w:t>35%</w:t>
            </w:r>
            <w:r w:rsidRPr="008A2411">
              <w:rPr>
                <w:rFonts w:ascii="Times New Roman"/>
                <w:color w:val="000000" w:themeColor="text1"/>
                <w:sz w:val="21"/>
                <w:szCs w:val="21"/>
                <w:lang w:bidi="ar"/>
              </w:rPr>
              <w:t>碳酸钾溶液中加入烷基醇胺和硼酸盐等活化剂</w:t>
            </w:r>
          </w:p>
        </w:tc>
        <w:tc>
          <w:tcPr>
            <w:tcW w:w="1779" w:type="pct"/>
            <w:tcBorders>
              <w:top w:val="single" w:sz="4" w:space="0" w:color="auto"/>
              <w:left w:val="single" w:sz="4" w:space="0" w:color="auto"/>
              <w:bottom w:val="single" w:sz="4" w:space="0" w:color="auto"/>
              <w:right w:val="single" w:sz="4" w:space="0" w:color="auto"/>
            </w:tcBorders>
            <w:vAlign w:val="center"/>
          </w:tcPr>
          <w:p w14:paraId="43382249" w14:textId="77777777" w:rsidR="00B0005F" w:rsidRPr="008A2411" w:rsidRDefault="00000000">
            <w:pPr>
              <w:widowControl/>
              <w:adjustRightInd w:val="0"/>
              <w:snapToGrid w:val="0"/>
              <w:jc w:val="center"/>
              <w:rPr>
                <w:rFonts w:ascii="Times New Roman"/>
                <w:color w:val="000000" w:themeColor="text1"/>
                <w:sz w:val="21"/>
                <w:szCs w:val="21"/>
              </w:rPr>
            </w:pPr>
            <w:r w:rsidRPr="008A2411">
              <w:rPr>
                <w:rFonts w:ascii="Times New Roman"/>
                <w:color w:val="000000" w:themeColor="text1"/>
                <w:sz w:val="21"/>
                <w:szCs w:val="21"/>
                <w:lang w:bidi="ar"/>
              </w:rPr>
              <w:t>主要是化学吸收过程，当酸气分压较高时用此法较为经济。压力对操作影响较大，尤在</w:t>
            </w:r>
            <w:r w:rsidRPr="008A2411">
              <w:rPr>
                <w:rFonts w:ascii="Times New Roman"/>
                <w:color w:val="000000" w:themeColor="text1"/>
                <w:sz w:val="21"/>
                <w:szCs w:val="21"/>
                <w:lang w:bidi="ar"/>
              </w:rPr>
              <w:t>CO</w:t>
            </w:r>
            <w:r w:rsidRPr="008A2411">
              <w:rPr>
                <w:rFonts w:ascii="Times New Roman"/>
                <w:color w:val="000000" w:themeColor="text1"/>
                <w:sz w:val="21"/>
                <w:szCs w:val="21"/>
                <w:vertAlign w:val="subscript"/>
                <w:lang w:bidi="ar"/>
              </w:rPr>
              <w:t>2</w:t>
            </w:r>
            <w:r w:rsidRPr="008A2411">
              <w:rPr>
                <w:rFonts w:ascii="Times New Roman"/>
                <w:color w:val="000000" w:themeColor="text1"/>
                <w:sz w:val="21"/>
                <w:szCs w:val="21"/>
                <w:lang w:bidi="ar"/>
              </w:rPr>
              <w:t>浓度比</w:t>
            </w:r>
            <w:r w:rsidRPr="008A2411">
              <w:rPr>
                <w:rFonts w:ascii="Times New Roman"/>
                <w:color w:val="000000" w:themeColor="text1"/>
                <w:sz w:val="21"/>
                <w:szCs w:val="21"/>
                <w:lang w:bidi="ar"/>
              </w:rPr>
              <w:t>H</w:t>
            </w:r>
            <w:r w:rsidRPr="008A2411">
              <w:rPr>
                <w:rFonts w:ascii="Times New Roman"/>
                <w:color w:val="000000" w:themeColor="text1"/>
                <w:sz w:val="21"/>
                <w:szCs w:val="21"/>
                <w:vertAlign w:val="subscript"/>
                <w:lang w:bidi="ar"/>
              </w:rPr>
              <w:t>2</w:t>
            </w:r>
            <w:r w:rsidRPr="008A2411">
              <w:rPr>
                <w:rFonts w:ascii="Times New Roman"/>
                <w:color w:val="000000" w:themeColor="text1"/>
                <w:sz w:val="21"/>
                <w:szCs w:val="21"/>
                <w:lang w:bidi="ar"/>
              </w:rPr>
              <w:t>S</w:t>
            </w:r>
            <w:r w:rsidRPr="008A2411">
              <w:rPr>
                <w:rFonts w:ascii="Times New Roman"/>
                <w:color w:val="000000" w:themeColor="text1"/>
                <w:sz w:val="21"/>
                <w:szCs w:val="21"/>
                <w:lang w:bidi="ar"/>
              </w:rPr>
              <w:t>浓度较高时适用。此法所需的再生热较低。</w:t>
            </w:r>
          </w:p>
        </w:tc>
        <w:tc>
          <w:tcPr>
            <w:tcW w:w="826" w:type="pct"/>
            <w:tcBorders>
              <w:top w:val="single" w:sz="4" w:space="0" w:color="auto"/>
              <w:left w:val="single" w:sz="4" w:space="0" w:color="auto"/>
              <w:bottom w:val="single" w:sz="4" w:space="0" w:color="auto"/>
              <w:right w:val="single" w:sz="4" w:space="0" w:color="auto"/>
            </w:tcBorders>
            <w:vAlign w:val="center"/>
          </w:tcPr>
          <w:p w14:paraId="5B8835AA" w14:textId="77777777" w:rsidR="00B0005F" w:rsidRPr="008A2411" w:rsidRDefault="00000000">
            <w:pPr>
              <w:widowControl/>
              <w:adjustRightInd w:val="0"/>
              <w:snapToGrid w:val="0"/>
              <w:jc w:val="center"/>
              <w:rPr>
                <w:rFonts w:ascii="Times New Roman"/>
                <w:color w:val="000000" w:themeColor="text1"/>
                <w:sz w:val="21"/>
                <w:szCs w:val="21"/>
              </w:rPr>
            </w:pPr>
            <w:r w:rsidRPr="008A2411">
              <w:rPr>
                <w:rFonts w:ascii="Times New Roman"/>
                <w:color w:val="000000" w:themeColor="text1"/>
                <w:sz w:val="21"/>
                <w:szCs w:val="21"/>
                <w:lang w:bidi="ar"/>
              </w:rPr>
              <w:t>美国和日本合成氨厂在大量使用，已有</w:t>
            </w:r>
            <w:r w:rsidRPr="008A2411">
              <w:rPr>
                <w:rFonts w:ascii="Times New Roman"/>
                <w:color w:val="000000" w:themeColor="text1"/>
                <w:sz w:val="21"/>
                <w:szCs w:val="21"/>
                <w:lang w:bidi="ar"/>
              </w:rPr>
              <w:t>90</w:t>
            </w:r>
            <w:r w:rsidRPr="008A2411">
              <w:rPr>
                <w:rFonts w:ascii="Times New Roman"/>
                <w:color w:val="000000" w:themeColor="text1"/>
                <w:sz w:val="21"/>
                <w:szCs w:val="21"/>
                <w:lang w:bidi="ar"/>
              </w:rPr>
              <w:t>多套装置在使用。</w:t>
            </w:r>
          </w:p>
        </w:tc>
        <w:tc>
          <w:tcPr>
            <w:tcW w:w="826" w:type="pct"/>
            <w:tcBorders>
              <w:top w:val="single" w:sz="4" w:space="0" w:color="auto"/>
              <w:left w:val="single" w:sz="4" w:space="0" w:color="auto"/>
              <w:bottom w:val="single" w:sz="4" w:space="0" w:color="auto"/>
              <w:right w:val="single" w:sz="4" w:space="0" w:color="auto"/>
            </w:tcBorders>
            <w:vAlign w:val="center"/>
          </w:tcPr>
          <w:p w14:paraId="137FB139" w14:textId="77777777" w:rsidR="00B0005F" w:rsidRPr="008A2411" w:rsidRDefault="00000000">
            <w:pPr>
              <w:widowControl/>
              <w:adjustRightInd w:val="0"/>
              <w:snapToGrid w:val="0"/>
              <w:jc w:val="center"/>
              <w:rPr>
                <w:rFonts w:ascii="Times New Roman"/>
                <w:color w:val="000000" w:themeColor="text1"/>
                <w:sz w:val="21"/>
                <w:szCs w:val="21"/>
                <w:lang w:bidi="ar"/>
              </w:rPr>
            </w:pPr>
            <w:r w:rsidRPr="008A2411">
              <w:rPr>
                <w:rFonts w:ascii="Times New Roman"/>
                <w:color w:val="000000" w:themeColor="text1"/>
                <w:sz w:val="21"/>
                <w:szCs w:val="21"/>
                <w:lang w:bidi="ar"/>
              </w:rPr>
              <w:t>优点：占地小，工艺成熟</w:t>
            </w:r>
          </w:p>
          <w:p w14:paraId="24BE91DA" w14:textId="77777777" w:rsidR="00B0005F" w:rsidRPr="008A2411" w:rsidRDefault="00000000">
            <w:pPr>
              <w:widowControl/>
              <w:adjustRightInd w:val="0"/>
              <w:snapToGrid w:val="0"/>
              <w:jc w:val="center"/>
              <w:rPr>
                <w:rFonts w:ascii="Times New Roman"/>
                <w:color w:val="000000" w:themeColor="text1"/>
                <w:sz w:val="21"/>
                <w:szCs w:val="21"/>
                <w:lang w:bidi="ar"/>
              </w:rPr>
            </w:pPr>
            <w:r w:rsidRPr="008A2411">
              <w:rPr>
                <w:rFonts w:ascii="Times New Roman"/>
                <w:color w:val="000000" w:themeColor="text1"/>
                <w:sz w:val="21"/>
                <w:szCs w:val="21"/>
                <w:lang w:bidi="ar"/>
              </w:rPr>
              <w:t>缺点：能耗高</w:t>
            </w:r>
          </w:p>
        </w:tc>
      </w:tr>
      <w:tr w:rsidR="008A2411" w:rsidRPr="008A2411" w14:paraId="54266A73" w14:textId="77777777">
        <w:trPr>
          <w:jc w:val="center"/>
        </w:trPr>
        <w:tc>
          <w:tcPr>
            <w:tcW w:w="701" w:type="pct"/>
            <w:tcBorders>
              <w:top w:val="single" w:sz="4" w:space="0" w:color="auto"/>
              <w:left w:val="single" w:sz="4" w:space="0" w:color="auto"/>
              <w:bottom w:val="single" w:sz="4" w:space="0" w:color="auto"/>
              <w:right w:val="single" w:sz="4" w:space="0" w:color="auto"/>
            </w:tcBorders>
            <w:vAlign w:val="center"/>
          </w:tcPr>
          <w:p w14:paraId="75BD580B" w14:textId="77777777" w:rsidR="00B0005F" w:rsidRPr="008A2411" w:rsidRDefault="00000000">
            <w:pPr>
              <w:widowControl/>
              <w:adjustRightInd w:val="0"/>
              <w:snapToGrid w:val="0"/>
              <w:jc w:val="center"/>
              <w:rPr>
                <w:rFonts w:ascii="Times New Roman"/>
                <w:color w:val="000000" w:themeColor="text1"/>
                <w:sz w:val="21"/>
                <w:szCs w:val="21"/>
              </w:rPr>
            </w:pPr>
            <w:proofErr w:type="gramStart"/>
            <w:r w:rsidRPr="008A2411">
              <w:rPr>
                <w:rFonts w:ascii="Times New Roman"/>
                <w:color w:val="000000" w:themeColor="text1"/>
                <w:sz w:val="21"/>
                <w:szCs w:val="21"/>
                <w:lang w:bidi="ar"/>
              </w:rPr>
              <w:t>砜胺法</w:t>
            </w:r>
            <w:proofErr w:type="gramEnd"/>
          </w:p>
        </w:tc>
        <w:tc>
          <w:tcPr>
            <w:tcW w:w="865" w:type="pct"/>
            <w:tcBorders>
              <w:top w:val="single" w:sz="4" w:space="0" w:color="auto"/>
              <w:left w:val="single" w:sz="4" w:space="0" w:color="auto"/>
              <w:bottom w:val="single" w:sz="4" w:space="0" w:color="auto"/>
              <w:right w:val="single" w:sz="4" w:space="0" w:color="auto"/>
            </w:tcBorders>
            <w:vAlign w:val="center"/>
          </w:tcPr>
          <w:p w14:paraId="7BE78D90" w14:textId="77777777" w:rsidR="00B0005F" w:rsidRPr="008A2411" w:rsidRDefault="00000000">
            <w:pPr>
              <w:widowControl/>
              <w:adjustRightInd w:val="0"/>
              <w:snapToGrid w:val="0"/>
              <w:jc w:val="center"/>
              <w:rPr>
                <w:rFonts w:ascii="Times New Roman"/>
                <w:color w:val="000000" w:themeColor="text1"/>
                <w:sz w:val="21"/>
                <w:szCs w:val="21"/>
              </w:rPr>
            </w:pPr>
            <w:r w:rsidRPr="008A2411">
              <w:rPr>
                <w:rFonts w:ascii="Times New Roman"/>
                <w:color w:val="000000" w:themeColor="text1"/>
                <w:sz w:val="21"/>
                <w:szCs w:val="21"/>
                <w:lang w:bidi="ar"/>
              </w:rPr>
              <w:t>环丁砜和二异丙醇胺或甲基单乙醇胺</w:t>
            </w:r>
          </w:p>
        </w:tc>
        <w:tc>
          <w:tcPr>
            <w:tcW w:w="1779" w:type="pct"/>
            <w:tcBorders>
              <w:top w:val="single" w:sz="4" w:space="0" w:color="auto"/>
              <w:left w:val="single" w:sz="4" w:space="0" w:color="auto"/>
              <w:bottom w:val="single" w:sz="4" w:space="0" w:color="auto"/>
              <w:right w:val="single" w:sz="4" w:space="0" w:color="auto"/>
            </w:tcBorders>
            <w:vAlign w:val="center"/>
          </w:tcPr>
          <w:p w14:paraId="7D2EB8FB" w14:textId="77777777" w:rsidR="00B0005F" w:rsidRPr="008A2411" w:rsidRDefault="00000000">
            <w:pPr>
              <w:widowControl/>
              <w:adjustRightInd w:val="0"/>
              <w:snapToGrid w:val="0"/>
              <w:jc w:val="center"/>
              <w:rPr>
                <w:rFonts w:ascii="Times New Roman"/>
                <w:color w:val="000000" w:themeColor="text1"/>
                <w:sz w:val="21"/>
                <w:szCs w:val="21"/>
              </w:rPr>
            </w:pPr>
            <w:r w:rsidRPr="008A2411">
              <w:rPr>
                <w:rFonts w:ascii="Times New Roman"/>
                <w:color w:val="000000" w:themeColor="text1"/>
                <w:sz w:val="21"/>
                <w:szCs w:val="21"/>
                <w:lang w:bidi="ar"/>
              </w:rPr>
              <w:t>兼有化学吸收和物理吸收作用，当酸气分压较高，</w:t>
            </w:r>
            <w:r w:rsidRPr="008A2411">
              <w:rPr>
                <w:rFonts w:ascii="Times New Roman"/>
                <w:color w:val="000000" w:themeColor="text1"/>
                <w:sz w:val="21"/>
                <w:szCs w:val="21"/>
                <w:lang w:bidi="ar"/>
              </w:rPr>
              <w:t>H</w:t>
            </w:r>
            <w:r w:rsidRPr="008A2411">
              <w:rPr>
                <w:rFonts w:ascii="Times New Roman"/>
                <w:color w:val="000000" w:themeColor="text1"/>
                <w:sz w:val="21"/>
                <w:szCs w:val="21"/>
                <w:vertAlign w:val="subscript"/>
                <w:lang w:bidi="ar"/>
              </w:rPr>
              <w:t>2</w:t>
            </w:r>
            <w:r w:rsidRPr="008A2411">
              <w:rPr>
                <w:rFonts w:ascii="Times New Roman"/>
                <w:color w:val="000000" w:themeColor="text1"/>
                <w:sz w:val="21"/>
                <w:szCs w:val="21"/>
                <w:lang w:bidi="ar"/>
              </w:rPr>
              <w:t>S</w:t>
            </w:r>
            <w:r w:rsidRPr="008A2411">
              <w:rPr>
                <w:rFonts w:ascii="Times New Roman"/>
                <w:color w:val="000000" w:themeColor="text1"/>
                <w:sz w:val="21"/>
                <w:szCs w:val="21"/>
                <w:lang w:bidi="ar"/>
              </w:rPr>
              <w:t>浓度比</w:t>
            </w:r>
            <w:r w:rsidRPr="008A2411">
              <w:rPr>
                <w:rFonts w:ascii="Times New Roman"/>
                <w:color w:val="000000" w:themeColor="text1"/>
                <w:sz w:val="21"/>
                <w:szCs w:val="21"/>
                <w:lang w:bidi="ar"/>
              </w:rPr>
              <w:t>CO</w:t>
            </w:r>
            <w:r w:rsidRPr="008A2411">
              <w:rPr>
                <w:rFonts w:ascii="Times New Roman"/>
                <w:color w:val="000000" w:themeColor="text1"/>
                <w:sz w:val="21"/>
                <w:szCs w:val="21"/>
                <w:vertAlign w:val="subscript"/>
                <w:lang w:bidi="ar"/>
              </w:rPr>
              <w:t>2</w:t>
            </w:r>
            <w:r w:rsidRPr="008A2411">
              <w:rPr>
                <w:rFonts w:ascii="Times New Roman"/>
                <w:color w:val="000000" w:themeColor="text1"/>
                <w:sz w:val="21"/>
                <w:szCs w:val="21"/>
                <w:lang w:bidi="ar"/>
              </w:rPr>
              <w:t>浓度较高时，此法较为经济，能脱除有机硫、对设备腐蚀小。缺点是价格较高，能吸收重烃。</w:t>
            </w:r>
          </w:p>
        </w:tc>
        <w:tc>
          <w:tcPr>
            <w:tcW w:w="826" w:type="pct"/>
            <w:tcBorders>
              <w:top w:val="single" w:sz="4" w:space="0" w:color="auto"/>
              <w:left w:val="single" w:sz="4" w:space="0" w:color="auto"/>
              <w:bottom w:val="single" w:sz="4" w:space="0" w:color="auto"/>
              <w:right w:val="single" w:sz="4" w:space="0" w:color="auto"/>
            </w:tcBorders>
            <w:vAlign w:val="center"/>
          </w:tcPr>
          <w:p w14:paraId="047B7624" w14:textId="77777777" w:rsidR="00B0005F" w:rsidRPr="008A2411" w:rsidRDefault="00000000">
            <w:pPr>
              <w:widowControl/>
              <w:adjustRightInd w:val="0"/>
              <w:snapToGrid w:val="0"/>
              <w:jc w:val="center"/>
              <w:rPr>
                <w:rFonts w:ascii="Times New Roman"/>
                <w:color w:val="000000" w:themeColor="text1"/>
                <w:sz w:val="21"/>
                <w:szCs w:val="21"/>
              </w:rPr>
            </w:pPr>
            <w:r w:rsidRPr="008A2411">
              <w:rPr>
                <w:rFonts w:ascii="Times New Roman"/>
                <w:color w:val="000000" w:themeColor="text1"/>
                <w:sz w:val="21"/>
                <w:szCs w:val="21"/>
                <w:lang w:bidi="ar"/>
              </w:rPr>
              <w:t>为重要的天然气净化方法，有</w:t>
            </w:r>
            <w:r w:rsidRPr="008A2411">
              <w:rPr>
                <w:rFonts w:ascii="Times New Roman"/>
                <w:color w:val="000000" w:themeColor="text1"/>
                <w:sz w:val="21"/>
                <w:szCs w:val="21"/>
                <w:lang w:bidi="ar"/>
              </w:rPr>
              <w:t>130</w:t>
            </w:r>
            <w:r w:rsidRPr="008A2411">
              <w:rPr>
                <w:rFonts w:ascii="Times New Roman"/>
                <w:color w:val="000000" w:themeColor="text1"/>
                <w:sz w:val="21"/>
                <w:szCs w:val="21"/>
                <w:lang w:bidi="ar"/>
              </w:rPr>
              <w:t>多套装置在使用。</w:t>
            </w:r>
          </w:p>
        </w:tc>
        <w:tc>
          <w:tcPr>
            <w:tcW w:w="826" w:type="pct"/>
            <w:tcBorders>
              <w:top w:val="single" w:sz="4" w:space="0" w:color="auto"/>
              <w:left w:val="single" w:sz="4" w:space="0" w:color="auto"/>
              <w:bottom w:val="single" w:sz="4" w:space="0" w:color="auto"/>
              <w:right w:val="single" w:sz="4" w:space="0" w:color="auto"/>
            </w:tcBorders>
            <w:vAlign w:val="center"/>
          </w:tcPr>
          <w:p w14:paraId="0F6FE76C" w14:textId="77777777" w:rsidR="00B0005F" w:rsidRPr="008A2411" w:rsidRDefault="00000000">
            <w:pPr>
              <w:widowControl/>
              <w:adjustRightInd w:val="0"/>
              <w:snapToGrid w:val="0"/>
              <w:jc w:val="center"/>
              <w:rPr>
                <w:rFonts w:ascii="Times New Roman"/>
                <w:color w:val="000000" w:themeColor="text1"/>
                <w:sz w:val="21"/>
                <w:szCs w:val="21"/>
                <w:lang w:bidi="ar"/>
              </w:rPr>
            </w:pPr>
            <w:r w:rsidRPr="008A2411">
              <w:rPr>
                <w:rFonts w:ascii="Times New Roman"/>
                <w:color w:val="000000" w:themeColor="text1"/>
                <w:sz w:val="21"/>
                <w:szCs w:val="21"/>
                <w:lang w:bidi="ar"/>
              </w:rPr>
              <w:t>优点：占地小，工艺成熟</w:t>
            </w:r>
          </w:p>
          <w:p w14:paraId="530DD161" w14:textId="77777777" w:rsidR="00B0005F" w:rsidRPr="008A2411" w:rsidRDefault="00000000">
            <w:pPr>
              <w:widowControl/>
              <w:adjustRightInd w:val="0"/>
              <w:snapToGrid w:val="0"/>
              <w:jc w:val="center"/>
              <w:rPr>
                <w:rFonts w:ascii="Times New Roman"/>
                <w:color w:val="000000" w:themeColor="text1"/>
                <w:sz w:val="21"/>
                <w:szCs w:val="21"/>
                <w:lang w:bidi="ar"/>
              </w:rPr>
            </w:pPr>
            <w:r w:rsidRPr="008A2411">
              <w:rPr>
                <w:rFonts w:ascii="Times New Roman"/>
                <w:color w:val="000000" w:themeColor="text1"/>
                <w:sz w:val="21"/>
                <w:szCs w:val="21"/>
                <w:lang w:bidi="ar"/>
              </w:rPr>
              <w:t>缺点：能耗高</w:t>
            </w:r>
          </w:p>
        </w:tc>
      </w:tr>
    </w:tbl>
    <w:p w14:paraId="60CEB36A" w14:textId="77777777" w:rsidR="00B0005F" w:rsidRPr="008A2411" w:rsidRDefault="00000000">
      <w:pPr>
        <w:widowControl/>
        <w:adjustRightInd w:val="0"/>
        <w:snapToGrid w:val="0"/>
        <w:spacing w:line="360" w:lineRule="auto"/>
        <w:ind w:firstLineChars="200" w:firstLine="480"/>
        <w:jc w:val="left"/>
        <w:rPr>
          <w:rFonts w:ascii="Times New Roman" w:eastAsiaTheme="minorEastAsia"/>
          <w:color w:val="000000" w:themeColor="text1"/>
          <w:szCs w:val="24"/>
          <w:lang w:bidi="ar"/>
        </w:rPr>
      </w:pPr>
      <w:r w:rsidRPr="008A2411">
        <w:rPr>
          <w:rFonts w:ascii="Times New Roman" w:eastAsiaTheme="minorEastAsia"/>
          <w:color w:val="000000" w:themeColor="text1"/>
          <w:szCs w:val="24"/>
          <w:lang w:bidi="ar"/>
        </w:rPr>
        <w:t>其主要反应方程式如下：</w:t>
      </w:r>
    </w:p>
    <w:p w14:paraId="74C5CA16" w14:textId="77777777" w:rsidR="00B0005F" w:rsidRPr="008A2411" w:rsidRDefault="00000000">
      <w:pPr>
        <w:widowControl/>
        <w:adjustRightInd w:val="0"/>
        <w:snapToGrid w:val="0"/>
        <w:spacing w:line="360" w:lineRule="auto"/>
        <w:ind w:firstLineChars="200" w:firstLine="480"/>
        <w:jc w:val="left"/>
        <w:rPr>
          <w:rFonts w:ascii="Times New Roman" w:eastAsiaTheme="minorEastAsia"/>
          <w:color w:val="000000" w:themeColor="text1"/>
          <w:szCs w:val="24"/>
          <w:lang w:bidi="ar"/>
        </w:rPr>
      </w:pPr>
      <w:r w:rsidRPr="008A2411">
        <w:rPr>
          <w:rFonts w:ascii="Times New Roman" w:eastAsiaTheme="minorEastAsia"/>
          <w:noProof/>
          <w:color w:val="000000" w:themeColor="text1"/>
          <w:szCs w:val="24"/>
          <w:lang w:bidi="ar"/>
        </w:rPr>
        <mc:AlternateContent>
          <mc:Choice Requires="wps">
            <w:drawing>
              <wp:anchor distT="0" distB="0" distL="114300" distR="114300" simplePos="0" relativeHeight="251577856" behindDoc="0" locked="0" layoutInCell="1" allowOverlap="1" wp14:anchorId="1317B001" wp14:editId="0EC7D60E">
                <wp:simplePos x="0" y="0"/>
                <wp:positionH relativeFrom="column">
                  <wp:posOffset>1076960</wp:posOffset>
                </wp:positionH>
                <wp:positionV relativeFrom="paragraph">
                  <wp:posOffset>76835</wp:posOffset>
                </wp:positionV>
                <wp:extent cx="350520" cy="0"/>
                <wp:effectExtent l="0" t="38100" r="0" b="38100"/>
                <wp:wrapNone/>
                <wp:docPr id="20" name="直接连接符 20"/>
                <wp:cNvGraphicFramePr/>
                <a:graphic xmlns:a="http://schemas.openxmlformats.org/drawingml/2006/main">
                  <a:graphicData uri="http://schemas.microsoft.com/office/word/2010/wordprocessingShape">
                    <wps:wsp>
                      <wps:cNvCnPr/>
                      <wps:spPr>
                        <a:xfrm>
                          <a:off x="0" y="0"/>
                          <a:ext cx="350520" cy="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w14:anchorId="2AADD217" id="直接连接符 20" o:spid="_x0000_s1026" style="position:absolute;left:0;text-align:left;z-index:251577856;visibility:visible;mso-wrap-style:square;mso-wrap-distance-left:9pt;mso-wrap-distance-top:0;mso-wrap-distance-right:9pt;mso-wrap-distance-bottom:0;mso-position-horizontal:absolute;mso-position-horizontal-relative:text;mso-position-vertical:absolute;mso-position-vertical-relative:text" from="84.8pt,6.05pt" to="112.4pt,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">
                <v:stroke endarrow="block"/>
              </v:line>
            </w:pict>
          </mc:Fallback>
        </mc:AlternateContent>
      </w:r>
      <w:r w:rsidRPr="008A2411">
        <w:rPr>
          <w:rFonts w:ascii="Times New Roman" w:eastAsiaTheme="minorEastAsia"/>
          <w:color w:val="000000" w:themeColor="text1"/>
          <w:szCs w:val="24"/>
          <w:lang w:bidi="ar"/>
        </w:rPr>
        <w:t>H</w:t>
      </w:r>
      <w:r w:rsidRPr="008A2411">
        <w:rPr>
          <w:rFonts w:ascii="Times New Roman" w:eastAsiaTheme="minorEastAsia"/>
          <w:color w:val="000000" w:themeColor="text1"/>
          <w:szCs w:val="24"/>
          <w:vertAlign w:val="subscript"/>
          <w:lang w:bidi="ar"/>
        </w:rPr>
        <w:t>2</w:t>
      </w:r>
      <w:r w:rsidRPr="008A2411">
        <w:rPr>
          <w:rFonts w:ascii="Times New Roman" w:eastAsiaTheme="minorEastAsia"/>
          <w:color w:val="000000" w:themeColor="text1"/>
          <w:szCs w:val="24"/>
          <w:lang w:bidi="ar"/>
        </w:rPr>
        <w:t>S+ R</w:t>
      </w:r>
      <w:r w:rsidRPr="008A2411">
        <w:rPr>
          <w:rFonts w:ascii="Times New Roman" w:eastAsiaTheme="minorEastAsia"/>
          <w:color w:val="000000" w:themeColor="text1"/>
          <w:szCs w:val="24"/>
          <w:vertAlign w:val="subscript"/>
          <w:lang w:bidi="ar"/>
        </w:rPr>
        <w:t>3</w:t>
      </w:r>
      <w:r w:rsidRPr="008A2411">
        <w:rPr>
          <w:rFonts w:ascii="Times New Roman" w:eastAsiaTheme="minorEastAsia"/>
          <w:color w:val="000000" w:themeColor="text1"/>
          <w:szCs w:val="24"/>
          <w:lang w:bidi="ar"/>
        </w:rPr>
        <w:t>N        R</w:t>
      </w:r>
      <w:r w:rsidRPr="008A2411">
        <w:rPr>
          <w:rFonts w:ascii="Times New Roman" w:eastAsiaTheme="minorEastAsia"/>
          <w:color w:val="000000" w:themeColor="text1"/>
          <w:szCs w:val="24"/>
          <w:vertAlign w:val="subscript"/>
          <w:lang w:bidi="ar"/>
        </w:rPr>
        <w:t>3</w:t>
      </w:r>
      <w:r w:rsidRPr="008A2411">
        <w:rPr>
          <w:rFonts w:ascii="Times New Roman" w:eastAsiaTheme="minorEastAsia"/>
          <w:color w:val="000000" w:themeColor="text1"/>
          <w:szCs w:val="24"/>
          <w:lang w:bidi="ar"/>
        </w:rPr>
        <w:t>NH</w:t>
      </w:r>
      <w:r w:rsidRPr="008A2411">
        <w:rPr>
          <w:rFonts w:ascii="Times New Roman" w:eastAsiaTheme="minorEastAsia"/>
          <w:color w:val="000000" w:themeColor="text1"/>
          <w:szCs w:val="24"/>
          <w:vertAlign w:val="superscript"/>
          <w:lang w:bidi="ar"/>
        </w:rPr>
        <w:t>+</w:t>
      </w:r>
      <w:r w:rsidRPr="008A2411">
        <w:rPr>
          <w:rFonts w:ascii="Times New Roman" w:eastAsiaTheme="minorEastAsia"/>
          <w:color w:val="000000" w:themeColor="text1"/>
          <w:szCs w:val="24"/>
          <w:lang w:bidi="ar"/>
        </w:rPr>
        <w:t xml:space="preserve"> +HS</w:t>
      </w:r>
      <w:r w:rsidRPr="008A2411">
        <w:rPr>
          <w:rFonts w:ascii="Times New Roman" w:eastAsiaTheme="minorEastAsia"/>
          <w:color w:val="000000" w:themeColor="text1"/>
          <w:szCs w:val="24"/>
          <w:vertAlign w:val="superscript"/>
          <w:lang w:bidi="ar"/>
        </w:rPr>
        <w:t>-</w:t>
      </w:r>
    </w:p>
    <w:p w14:paraId="62E6B35D" w14:textId="77777777" w:rsidR="00B0005F" w:rsidRPr="008A2411" w:rsidRDefault="00000000">
      <w:pPr>
        <w:widowControl/>
        <w:adjustRightInd w:val="0"/>
        <w:snapToGrid w:val="0"/>
        <w:spacing w:line="360" w:lineRule="auto"/>
        <w:ind w:firstLineChars="200" w:firstLine="480"/>
        <w:jc w:val="left"/>
        <w:rPr>
          <w:rFonts w:ascii="Times New Roman" w:eastAsiaTheme="minorEastAsia"/>
          <w:color w:val="000000" w:themeColor="text1"/>
          <w:szCs w:val="24"/>
          <w:lang w:bidi="ar"/>
        </w:rPr>
      </w:pPr>
      <w:r w:rsidRPr="008A2411">
        <w:rPr>
          <w:rFonts w:ascii="Times New Roman" w:eastAsiaTheme="minorEastAsia"/>
          <w:noProof/>
          <w:color w:val="000000" w:themeColor="text1"/>
          <w:szCs w:val="24"/>
          <w:lang w:bidi="ar"/>
        </w:rPr>
        <mc:AlternateContent>
          <mc:Choice Requires="wps">
            <w:drawing>
              <wp:anchor distT="0" distB="0" distL="114300" distR="114300" simplePos="0" relativeHeight="251587072" behindDoc="0" locked="0" layoutInCell="1" allowOverlap="1" wp14:anchorId="236B99B3" wp14:editId="71F42DDC">
                <wp:simplePos x="0" y="0"/>
                <wp:positionH relativeFrom="column">
                  <wp:posOffset>1115060</wp:posOffset>
                </wp:positionH>
                <wp:positionV relativeFrom="paragraph">
                  <wp:posOffset>102235</wp:posOffset>
                </wp:positionV>
                <wp:extent cx="350520" cy="0"/>
                <wp:effectExtent l="0" t="38100" r="0" b="38100"/>
                <wp:wrapNone/>
                <wp:docPr id="18" name="直接连接符 18"/>
                <wp:cNvGraphicFramePr/>
                <a:graphic xmlns:a="http://schemas.openxmlformats.org/drawingml/2006/main">
                  <a:graphicData uri="http://schemas.microsoft.com/office/word/2010/wordprocessingShape">
                    <wps:wsp>
                      <wps:cNvCnPr/>
                      <wps:spPr>
                        <a:xfrm>
                          <a:off x="0" y="0"/>
                          <a:ext cx="350520" cy="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w14:anchorId="2ED010A0" id="直接连接符 18" o:spid="_x0000_s1026" style="position:absolute;left:0;text-align:left;z-index:251587072;visibility:visible;mso-wrap-style:square;mso-wrap-distance-left:9pt;mso-wrap-distance-top:0;mso-wrap-distance-right:9pt;mso-wrap-distance-bottom:0;mso-position-horizontal:absolute;mso-position-horizontal-relative:text;mso-position-vertical:absolute;mso-position-vertical-relative:text" from="87.8pt,8.05pt" to="115.4pt,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">
                <v:stroke endarrow="block"/>
              </v:line>
            </w:pict>
          </mc:Fallback>
        </mc:AlternateContent>
      </w:r>
      <w:r w:rsidRPr="008A2411">
        <w:rPr>
          <w:rFonts w:ascii="Times New Roman" w:eastAsiaTheme="minorEastAsia"/>
          <w:color w:val="000000" w:themeColor="text1"/>
          <w:szCs w:val="24"/>
          <w:lang w:bidi="ar"/>
        </w:rPr>
        <w:t>CO</w:t>
      </w:r>
      <w:r w:rsidRPr="008A2411">
        <w:rPr>
          <w:rFonts w:ascii="Times New Roman" w:eastAsiaTheme="minorEastAsia"/>
          <w:color w:val="000000" w:themeColor="text1"/>
          <w:szCs w:val="24"/>
          <w:vertAlign w:val="subscript"/>
          <w:lang w:bidi="ar"/>
        </w:rPr>
        <w:t>2</w:t>
      </w:r>
      <w:r w:rsidRPr="008A2411">
        <w:rPr>
          <w:rFonts w:ascii="Times New Roman" w:eastAsiaTheme="minorEastAsia"/>
          <w:color w:val="000000" w:themeColor="text1"/>
          <w:szCs w:val="24"/>
          <w:lang w:bidi="ar"/>
        </w:rPr>
        <w:t>+ H</w:t>
      </w:r>
      <w:r w:rsidRPr="008A2411">
        <w:rPr>
          <w:rFonts w:ascii="Times New Roman" w:eastAsiaTheme="minorEastAsia"/>
          <w:color w:val="000000" w:themeColor="text1"/>
          <w:szCs w:val="24"/>
          <w:vertAlign w:val="subscript"/>
          <w:lang w:bidi="ar"/>
        </w:rPr>
        <w:t>2</w:t>
      </w:r>
      <w:r w:rsidRPr="008A2411">
        <w:rPr>
          <w:rFonts w:ascii="Times New Roman" w:eastAsiaTheme="minorEastAsia"/>
          <w:color w:val="000000" w:themeColor="text1"/>
          <w:szCs w:val="24"/>
          <w:lang w:bidi="ar"/>
        </w:rPr>
        <w:t>O        H+ + HCO</w:t>
      </w:r>
      <w:r w:rsidRPr="008A2411">
        <w:rPr>
          <w:rFonts w:ascii="Times New Roman" w:eastAsiaTheme="minorEastAsia"/>
          <w:color w:val="000000" w:themeColor="text1"/>
          <w:szCs w:val="24"/>
          <w:vertAlign w:val="subscript"/>
          <w:lang w:bidi="ar"/>
        </w:rPr>
        <w:t>3</w:t>
      </w:r>
      <w:r w:rsidRPr="008A2411">
        <w:rPr>
          <w:rFonts w:ascii="Times New Roman" w:eastAsiaTheme="minorEastAsia"/>
          <w:color w:val="000000" w:themeColor="text1"/>
          <w:szCs w:val="24"/>
          <w:vertAlign w:val="superscript"/>
          <w:lang w:bidi="ar"/>
        </w:rPr>
        <w:t>-</w:t>
      </w:r>
    </w:p>
    <w:p w14:paraId="477BDCEA" w14:textId="77777777" w:rsidR="00B0005F" w:rsidRPr="008A2411" w:rsidRDefault="00000000">
      <w:pPr>
        <w:widowControl/>
        <w:adjustRightInd w:val="0"/>
        <w:snapToGrid w:val="0"/>
        <w:spacing w:line="360" w:lineRule="auto"/>
        <w:ind w:firstLineChars="200" w:firstLine="480"/>
        <w:jc w:val="left"/>
        <w:rPr>
          <w:rFonts w:ascii="Times New Roman" w:eastAsiaTheme="minorEastAsia"/>
          <w:color w:val="000000" w:themeColor="text1"/>
          <w:szCs w:val="24"/>
          <w:lang w:bidi="ar"/>
        </w:rPr>
      </w:pPr>
      <w:r w:rsidRPr="008A2411">
        <w:rPr>
          <w:rFonts w:ascii="Times New Roman" w:eastAsiaTheme="minorEastAsia"/>
          <w:noProof/>
          <w:color w:val="000000" w:themeColor="text1"/>
          <w:szCs w:val="24"/>
          <w:lang w:bidi="ar"/>
        </w:rPr>
        <mc:AlternateContent>
          <mc:Choice Requires="wps">
            <w:drawing>
              <wp:anchor distT="0" distB="0" distL="114300" distR="114300" simplePos="0" relativeHeight="251593216" behindDoc="0" locked="0" layoutInCell="1" allowOverlap="1" wp14:anchorId="3F9035DA" wp14:editId="1A6EB973">
                <wp:simplePos x="0" y="0"/>
                <wp:positionH relativeFrom="column">
                  <wp:posOffset>1108710</wp:posOffset>
                </wp:positionH>
                <wp:positionV relativeFrom="paragraph">
                  <wp:posOffset>86360</wp:posOffset>
                </wp:positionV>
                <wp:extent cx="350520" cy="0"/>
                <wp:effectExtent l="0" t="38100" r="0" b="38100"/>
                <wp:wrapNone/>
                <wp:docPr id="10" name="直接连接符 10"/>
                <wp:cNvGraphicFramePr/>
                <a:graphic xmlns:a="http://schemas.openxmlformats.org/drawingml/2006/main">
                  <a:graphicData uri="http://schemas.microsoft.com/office/word/2010/wordprocessingShape">
                    <wps:wsp>
                      <wps:cNvCnPr/>
                      <wps:spPr>
                        <a:xfrm>
                          <a:off x="0" y="0"/>
                          <a:ext cx="350520" cy="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w14:anchorId="150F2D50" id="直接连接符 10" o:spid="_x0000_s1026" style="position:absolute;left:0;text-align:left;z-index:251593216;visibility:visible;mso-wrap-style:square;mso-wrap-distance-left:9pt;mso-wrap-distance-top:0;mso-wrap-distance-right:9pt;mso-wrap-distance-bottom:0;mso-position-horizontal:absolute;mso-position-horizontal-relative:text;mso-position-vertical:absolute;mso-position-vertical-relative:text" from="87.3pt,6.8pt" to="114.9pt,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">
                <v:stroke endarrow="block"/>
              </v:line>
            </w:pict>
          </mc:Fallback>
        </mc:AlternateContent>
      </w:r>
      <w:r w:rsidRPr="008A2411">
        <w:rPr>
          <w:rFonts w:ascii="Times New Roman" w:eastAsiaTheme="minorEastAsia"/>
          <w:color w:val="000000" w:themeColor="text1"/>
          <w:szCs w:val="24"/>
          <w:lang w:bidi="ar"/>
        </w:rPr>
        <w:t>H</w:t>
      </w:r>
      <w:r w:rsidRPr="008A2411">
        <w:rPr>
          <w:rFonts w:ascii="Times New Roman" w:eastAsiaTheme="minorEastAsia"/>
          <w:color w:val="000000" w:themeColor="text1"/>
          <w:szCs w:val="24"/>
          <w:vertAlign w:val="superscript"/>
          <w:lang w:bidi="ar"/>
        </w:rPr>
        <w:t>+</w:t>
      </w:r>
      <w:r w:rsidRPr="008A2411">
        <w:rPr>
          <w:rFonts w:ascii="Times New Roman" w:eastAsiaTheme="minorEastAsia"/>
          <w:color w:val="000000" w:themeColor="text1"/>
          <w:szCs w:val="24"/>
          <w:lang w:bidi="ar"/>
        </w:rPr>
        <w:t xml:space="preserve"> + R</w:t>
      </w:r>
      <w:r w:rsidRPr="008A2411">
        <w:rPr>
          <w:rFonts w:ascii="Times New Roman" w:eastAsiaTheme="minorEastAsia"/>
          <w:color w:val="000000" w:themeColor="text1"/>
          <w:szCs w:val="24"/>
          <w:vertAlign w:val="subscript"/>
          <w:lang w:bidi="ar"/>
        </w:rPr>
        <w:t>3</w:t>
      </w:r>
      <w:r w:rsidRPr="008A2411">
        <w:rPr>
          <w:rFonts w:ascii="Times New Roman" w:eastAsiaTheme="minorEastAsia"/>
          <w:color w:val="000000" w:themeColor="text1"/>
          <w:szCs w:val="24"/>
          <w:lang w:bidi="ar"/>
        </w:rPr>
        <w:t>N         R</w:t>
      </w:r>
      <w:r w:rsidRPr="008A2411">
        <w:rPr>
          <w:rFonts w:ascii="Times New Roman" w:eastAsiaTheme="minorEastAsia"/>
          <w:color w:val="000000" w:themeColor="text1"/>
          <w:szCs w:val="24"/>
          <w:vertAlign w:val="subscript"/>
          <w:lang w:bidi="ar"/>
        </w:rPr>
        <w:t>3</w:t>
      </w:r>
      <w:r w:rsidRPr="008A2411">
        <w:rPr>
          <w:rFonts w:ascii="Times New Roman" w:eastAsiaTheme="minorEastAsia"/>
          <w:color w:val="000000" w:themeColor="text1"/>
          <w:szCs w:val="24"/>
          <w:lang w:bidi="ar"/>
        </w:rPr>
        <w:t>NH</w:t>
      </w:r>
      <w:r w:rsidRPr="008A2411">
        <w:rPr>
          <w:rFonts w:ascii="Times New Roman" w:eastAsiaTheme="minorEastAsia"/>
          <w:color w:val="000000" w:themeColor="text1"/>
          <w:szCs w:val="24"/>
          <w:vertAlign w:val="superscript"/>
          <w:lang w:bidi="ar"/>
        </w:rPr>
        <w:t>+</w:t>
      </w:r>
    </w:p>
    <w:p w14:paraId="75D6C696" w14:textId="77777777" w:rsidR="00B0005F" w:rsidRPr="008A2411" w:rsidRDefault="00000000">
      <w:pPr>
        <w:widowControl/>
        <w:adjustRightInd w:val="0"/>
        <w:snapToGrid w:val="0"/>
        <w:spacing w:line="360" w:lineRule="auto"/>
        <w:ind w:firstLineChars="200" w:firstLine="480"/>
        <w:jc w:val="left"/>
        <w:rPr>
          <w:rFonts w:ascii="Times New Roman" w:eastAsiaTheme="minorEastAsia"/>
          <w:color w:val="000000" w:themeColor="text1"/>
          <w:szCs w:val="24"/>
          <w:lang w:bidi="ar"/>
        </w:rPr>
      </w:pPr>
      <w:r w:rsidRPr="008A2411">
        <w:rPr>
          <w:rFonts w:ascii="Times New Roman" w:eastAsiaTheme="minorEastAsia"/>
          <w:color w:val="000000" w:themeColor="text1"/>
          <w:szCs w:val="24"/>
          <w:lang w:bidi="ar"/>
        </w:rPr>
        <w:lastRenderedPageBreak/>
        <w:t>本装置原料气中含有</w:t>
      </w:r>
      <w:r w:rsidRPr="008A2411">
        <w:rPr>
          <w:rFonts w:ascii="Times New Roman" w:eastAsiaTheme="minorEastAsia"/>
          <w:color w:val="000000" w:themeColor="text1"/>
          <w:szCs w:val="24"/>
          <w:lang w:bidi="ar"/>
        </w:rPr>
        <w:t>CO</w:t>
      </w:r>
      <w:r w:rsidRPr="008A2411">
        <w:rPr>
          <w:rFonts w:ascii="Times New Roman" w:eastAsiaTheme="minorEastAsia"/>
          <w:color w:val="000000" w:themeColor="text1"/>
          <w:szCs w:val="24"/>
          <w:vertAlign w:val="subscript"/>
          <w:lang w:bidi="ar"/>
        </w:rPr>
        <w:t>2</w:t>
      </w:r>
      <w:r w:rsidRPr="008A2411">
        <w:rPr>
          <w:rFonts w:ascii="Times New Roman" w:eastAsiaTheme="minorEastAsia"/>
          <w:color w:val="000000" w:themeColor="text1"/>
          <w:szCs w:val="24"/>
          <w:lang w:bidi="ar"/>
        </w:rPr>
        <w:t>和少量的</w:t>
      </w:r>
      <w:r w:rsidRPr="008A2411">
        <w:rPr>
          <w:rFonts w:ascii="Times New Roman" w:eastAsiaTheme="minorEastAsia"/>
          <w:color w:val="000000" w:themeColor="text1"/>
          <w:szCs w:val="24"/>
          <w:lang w:bidi="ar"/>
        </w:rPr>
        <w:t>H</w:t>
      </w:r>
      <w:r w:rsidRPr="008A2411">
        <w:rPr>
          <w:rFonts w:ascii="Times New Roman" w:eastAsiaTheme="minorEastAsia"/>
          <w:color w:val="000000" w:themeColor="text1"/>
          <w:szCs w:val="24"/>
          <w:vertAlign w:val="subscript"/>
          <w:lang w:bidi="ar"/>
        </w:rPr>
        <w:t>2</w:t>
      </w:r>
      <w:r w:rsidRPr="008A2411">
        <w:rPr>
          <w:rFonts w:ascii="Times New Roman" w:eastAsiaTheme="minorEastAsia"/>
          <w:color w:val="000000" w:themeColor="text1"/>
          <w:szCs w:val="24"/>
          <w:lang w:bidi="ar"/>
        </w:rPr>
        <w:t>S</w:t>
      </w:r>
      <w:r w:rsidRPr="008A2411">
        <w:rPr>
          <w:rFonts w:ascii="Times New Roman" w:eastAsiaTheme="minorEastAsia"/>
          <w:color w:val="000000" w:themeColor="text1"/>
          <w:szCs w:val="24"/>
          <w:lang w:bidi="ar"/>
        </w:rPr>
        <w:t>，基于原料气的组成、压力、对产品的规格要求、总的成本与运行费用等因素的考虑。本项目选用化学吸收法中</w:t>
      </w:r>
      <w:proofErr w:type="gramStart"/>
      <w:r w:rsidRPr="008A2411">
        <w:rPr>
          <w:rFonts w:ascii="Times New Roman" w:eastAsiaTheme="minorEastAsia"/>
          <w:color w:val="000000" w:themeColor="text1"/>
          <w:szCs w:val="24"/>
          <w:lang w:bidi="ar"/>
        </w:rPr>
        <w:t>醇胺法较</w:t>
      </w:r>
      <w:proofErr w:type="gramEnd"/>
      <w:r w:rsidRPr="008A2411">
        <w:rPr>
          <w:rFonts w:ascii="Times New Roman" w:eastAsiaTheme="minorEastAsia"/>
          <w:color w:val="000000" w:themeColor="text1"/>
          <w:szCs w:val="24"/>
          <w:lang w:bidi="ar"/>
        </w:rPr>
        <w:t>适合。本项目中从经济性和技术适用性考虑，在众多的醇胺中，选择</w:t>
      </w:r>
      <w:r w:rsidRPr="008A2411">
        <w:rPr>
          <w:rFonts w:ascii="Times New Roman" w:eastAsiaTheme="minorEastAsia"/>
          <w:color w:val="000000" w:themeColor="text1"/>
          <w:szCs w:val="24"/>
          <w:lang w:bidi="ar"/>
        </w:rPr>
        <w:t>N-</w:t>
      </w:r>
      <w:r w:rsidRPr="008A2411">
        <w:rPr>
          <w:rFonts w:ascii="Times New Roman" w:eastAsiaTheme="minorEastAsia"/>
          <w:color w:val="000000" w:themeColor="text1"/>
          <w:szCs w:val="24"/>
          <w:lang w:bidi="ar"/>
        </w:rPr>
        <w:t>甲基二乙醇胺（</w:t>
      </w:r>
      <w:r w:rsidRPr="008A2411">
        <w:rPr>
          <w:rFonts w:ascii="Times New Roman" w:eastAsiaTheme="minorEastAsia"/>
          <w:color w:val="000000" w:themeColor="text1"/>
          <w:szCs w:val="24"/>
          <w:lang w:bidi="ar"/>
        </w:rPr>
        <w:t>MDEA</w:t>
      </w:r>
      <w:r w:rsidRPr="008A2411">
        <w:rPr>
          <w:rFonts w:ascii="Times New Roman" w:eastAsiaTheme="minorEastAsia"/>
          <w:color w:val="000000" w:themeColor="text1"/>
          <w:szCs w:val="24"/>
          <w:lang w:bidi="ar"/>
        </w:rPr>
        <w:t>）中加入活化剂组成的</w:t>
      </w:r>
      <w:proofErr w:type="gramStart"/>
      <w:r w:rsidRPr="008A2411">
        <w:rPr>
          <w:rFonts w:ascii="Times New Roman" w:eastAsiaTheme="minorEastAsia"/>
          <w:color w:val="000000" w:themeColor="text1"/>
          <w:szCs w:val="24"/>
          <w:lang w:bidi="ar"/>
        </w:rPr>
        <w:t>复合胺液作为</w:t>
      </w:r>
      <w:proofErr w:type="gramEnd"/>
      <w:r w:rsidRPr="008A2411">
        <w:rPr>
          <w:rFonts w:ascii="Times New Roman" w:eastAsiaTheme="minorEastAsia"/>
          <w:color w:val="000000" w:themeColor="text1"/>
          <w:szCs w:val="24"/>
          <w:lang w:bidi="ar"/>
        </w:rPr>
        <w:t>脱除</w:t>
      </w:r>
      <w:r w:rsidRPr="008A2411">
        <w:rPr>
          <w:rFonts w:ascii="Times New Roman" w:eastAsiaTheme="minorEastAsia"/>
          <w:color w:val="000000" w:themeColor="text1"/>
          <w:szCs w:val="24"/>
          <w:lang w:bidi="ar"/>
        </w:rPr>
        <w:t>CO</w:t>
      </w:r>
      <w:r w:rsidRPr="008A2411">
        <w:rPr>
          <w:rFonts w:ascii="Times New Roman" w:eastAsiaTheme="minorEastAsia"/>
          <w:color w:val="000000" w:themeColor="text1"/>
          <w:szCs w:val="24"/>
          <w:vertAlign w:val="subscript"/>
          <w:lang w:bidi="ar"/>
        </w:rPr>
        <w:t>2</w:t>
      </w:r>
      <w:r w:rsidRPr="008A2411">
        <w:rPr>
          <w:rFonts w:ascii="Times New Roman" w:eastAsiaTheme="minorEastAsia"/>
          <w:color w:val="000000" w:themeColor="text1"/>
          <w:szCs w:val="24"/>
          <w:lang w:bidi="ar"/>
        </w:rPr>
        <w:t>气体的溶剂，</w:t>
      </w:r>
      <w:r w:rsidRPr="008A2411">
        <w:rPr>
          <w:rFonts w:ascii="Times New Roman" w:eastAsiaTheme="minorEastAsia"/>
          <w:color w:val="000000" w:themeColor="text1"/>
          <w:szCs w:val="24"/>
          <w:lang w:bidi="ar"/>
        </w:rPr>
        <w:t>MDEA</w:t>
      </w:r>
      <w:r w:rsidRPr="008A2411">
        <w:rPr>
          <w:rFonts w:ascii="Times New Roman" w:eastAsiaTheme="minorEastAsia"/>
          <w:color w:val="000000" w:themeColor="text1"/>
          <w:szCs w:val="24"/>
          <w:lang w:bidi="ar"/>
        </w:rPr>
        <w:t>是一种价格适中、对</w:t>
      </w:r>
      <w:r w:rsidRPr="008A2411">
        <w:rPr>
          <w:rFonts w:ascii="Times New Roman" w:eastAsiaTheme="minorEastAsia"/>
          <w:color w:val="000000" w:themeColor="text1"/>
          <w:szCs w:val="24"/>
          <w:lang w:bidi="ar"/>
        </w:rPr>
        <w:t>CO</w:t>
      </w:r>
      <w:r w:rsidRPr="008A2411">
        <w:rPr>
          <w:rFonts w:ascii="Times New Roman" w:eastAsiaTheme="minorEastAsia"/>
          <w:color w:val="000000" w:themeColor="text1"/>
          <w:szCs w:val="24"/>
          <w:vertAlign w:val="subscript"/>
          <w:lang w:bidi="ar"/>
        </w:rPr>
        <w:t>2</w:t>
      </w:r>
      <w:r w:rsidRPr="008A2411">
        <w:rPr>
          <w:rFonts w:ascii="Times New Roman" w:eastAsiaTheme="minorEastAsia"/>
          <w:color w:val="000000" w:themeColor="text1"/>
          <w:szCs w:val="24"/>
          <w:lang w:bidi="ar"/>
        </w:rPr>
        <w:t>、</w:t>
      </w:r>
      <w:r w:rsidRPr="008A2411">
        <w:rPr>
          <w:rFonts w:ascii="Times New Roman" w:eastAsiaTheme="minorEastAsia"/>
          <w:color w:val="000000" w:themeColor="text1"/>
          <w:szCs w:val="24"/>
          <w:lang w:bidi="ar"/>
        </w:rPr>
        <w:t>H</w:t>
      </w:r>
      <w:r w:rsidRPr="008A2411">
        <w:rPr>
          <w:rFonts w:ascii="Times New Roman" w:eastAsiaTheme="minorEastAsia"/>
          <w:color w:val="000000" w:themeColor="text1"/>
          <w:szCs w:val="24"/>
          <w:vertAlign w:val="subscript"/>
          <w:lang w:bidi="ar"/>
        </w:rPr>
        <w:t>2</w:t>
      </w:r>
      <w:r w:rsidRPr="008A2411">
        <w:rPr>
          <w:rFonts w:ascii="Times New Roman" w:eastAsiaTheme="minorEastAsia"/>
          <w:color w:val="000000" w:themeColor="text1"/>
          <w:szCs w:val="24"/>
          <w:lang w:bidi="ar"/>
        </w:rPr>
        <w:t>S</w:t>
      </w:r>
      <w:r w:rsidRPr="008A2411">
        <w:rPr>
          <w:rFonts w:ascii="Times New Roman" w:eastAsiaTheme="minorEastAsia"/>
          <w:color w:val="000000" w:themeColor="text1"/>
          <w:szCs w:val="24"/>
          <w:lang w:bidi="ar"/>
        </w:rPr>
        <w:t>等酸性气体有很强的吸收能力，具有脱除精度高、反应热小，解吸能耗低，化学性质稳定，</w:t>
      </w:r>
      <w:proofErr w:type="gramStart"/>
      <w:r w:rsidRPr="008A2411">
        <w:rPr>
          <w:rFonts w:ascii="Times New Roman" w:eastAsiaTheme="minorEastAsia"/>
          <w:color w:val="000000" w:themeColor="text1"/>
          <w:szCs w:val="24"/>
          <w:lang w:bidi="ar"/>
        </w:rPr>
        <w:t>不</w:t>
      </w:r>
      <w:proofErr w:type="gramEnd"/>
      <w:r w:rsidRPr="008A2411">
        <w:rPr>
          <w:rFonts w:ascii="Times New Roman" w:eastAsiaTheme="minorEastAsia"/>
          <w:color w:val="000000" w:themeColor="text1"/>
          <w:szCs w:val="24"/>
          <w:lang w:bidi="ar"/>
        </w:rPr>
        <w:t>降解，对碳钢基本不腐蚀，发泡率低等优点。在国内外的天然气液化工厂预处理中广泛的应用。</w:t>
      </w:r>
    </w:p>
    <w:p w14:paraId="4B8D5091" w14:textId="77777777" w:rsidR="00B0005F" w:rsidRPr="008A2411" w:rsidRDefault="00000000">
      <w:pPr>
        <w:widowControl/>
        <w:adjustRightInd w:val="0"/>
        <w:snapToGrid w:val="0"/>
        <w:spacing w:line="360" w:lineRule="auto"/>
        <w:ind w:firstLineChars="200" w:firstLine="480"/>
        <w:jc w:val="left"/>
        <w:rPr>
          <w:rFonts w:ascii="Times New Roman" w:eastAsiaTheme="minorEastAsia"/>
          <w:color w:val="000000" w:themeColor="text1"/>
          <w:szCs w:val="24"/>
          <w:lang w:bidi="ar"/>
        </w:rPr>
      </w:pPr>
      <w:r w:rsidRPr="008A2411">
        <w:rPr>
          <w:rFonts w:ascii="Times New Roman" w:eastAsiaTheme="minorEastAsia"/>
          <w:color w:val="000000" w:themeColor="text1"/>
          <w:szCs w:val="24"/>
          <w:lang w:bidi="ar"/>
        </w:rPr>
        <w:t>从环保角度，醇胺</w:t>
      </w:r>
      <w:proofErr w:type="gramStart"/>
      <w:r w:rsidRPr="008A2411">
        <w:rPr>
          <w:rFonts w:ascii="Times New Roman" w:eastAsiaTheme="minorEastAsia"/>
          <w:color w:val="000000" w:themeColor="text1"/>
          <w:szCs w:val="24"/>
          <w:lang w:bidi="ar"/>
        </w:rPr>
        <w:t>法相较</w:t>
      </w:r>
      <w:proofErr w:type="gramEnd"/>
      <w:r w:rsidRPr="008A2411">
        <w:rPr>
          <w:rFonts w:ascii="Times New Roman" w:eastAsiaTheme="minorEastAsia"/>
          <w:color w:val="000000" w:themeColor="text1"/>
          <w:szCs w:val="24"/>
          <w:lang w:bidi="ar"/>
        </w:rPr>
        <w:t>于其它方法有着占地小，工艺成熟，环境风险较小的特点，更适用于本项目。</w:t>
      </w:r>
    </w:p>
    <w:p w14:paraId="0758B00F" w14:textId="77777777" w:rsidR="00B0005F" w:rsidRPr="008A2411" w:rsidRDefault="00000000">
      <w:pPr>
        <w:widowControl/>
        <w:adjustRightInd w:val="0"/>
        <w:snapToGrid w:val="0"/>
        <w:spacing w:line="360" w:lineRule="auto"/>
        <w:ind w:firstLineChars="200" w:firstLine="480"/>
        <w:jc w:val="left"/>
        <w:rPr>
          <w:rFonts w:ascii="Times New Roman"/>
          <w:bCs/>
          <w:color w:val="000000" w:themeColor="text1"/>
          <w:szCs w:val="24"/>
        </w:rPr>
      </w:pPr>
      <w:r w:rsidRPr="008A2411">
        <w:rPr>
          <w:rFonts w:ascii="Times New Roman" w:eastAsiaTheme="minorEastAsia"/>
          <w:color w:val="000000" w:themeColor="text1"/>
          <w:szCs w:val="24"/>
          <w:lang w:bidi="ar"/>
        </w:rPr>
        <w:t>因此，本项目采用</w:t>
      </w:r>
      <w:r w:rsidRPr="008A2411">
        <w:rPr>
          <w:rFonts w:ascii="Times New Roman" w:eastAsiaTheme="minorEastAsia"/>
          <w:color w:val="000000" w:themeColor="text1"/>
          <w:szCs w:val="24"/>
          <w:lang w:bidi="ar"/>
        </w:rPr>
        <w:t>MDEA</w:t>
      </w:r>
      <w:proofErr w:type="gramStart"/>
      <w:r w:rsidRPr="008A2411">
        <w:rPr>
          <w:rFonts w:ascii="Times New Roman" w:eastAsiaTheme="minorEastAsia"/>
          <w:color w:val="000000" w:themeColor="text1"/>
          <w:szCs w:val="24"/>
          <w:lang w:bidi="ar"/>
        </w:rPr>
        <w:t>化学吸收法脱</w:t>
      </w:r>
      <w:proofErr w:type="gramEnd"/>
      <w:r w:rsidRPr="008A2411">
        <w:rPr>
          <w:rFonts w:ascii="Times New Roman" w:eastAsiaTheme="minorEastAsia"/>
          <w:color w:val="000000" w:themeColor="text1"/>
          <w:szCs w:val="24"/>
          <w:lang w:bidi="ar"/>
        </w:rPr>
        <w:t>H</w:t>
      </w:r>
      <w:r w:rsidRPr="008A2411">
        <w:rPr>
          <w:rFonts w:ascii="Times New Roman" w:eastAsiaTheme="minorEastAsia"/>
          <w:color w:val="000000" w:themeColor="text1"/>
          <w:szCs w:val="24"/>
          <w:vertAlign w:val="subscript"/>
          <w:lang w:bidi="ar"/>
        </w:rPr>
        <w:t>2</w:t>
      </w:r>
      <w:r w:rsidRPr="008A2411">
        <w:rPr>
          <w:rFonts w:ascii="Times New Roman" w:eastAsiaTheme="minorEastAsia"/>
          <w:color w:val="000000" w:themeColor="text1"/>
          <w:szCs w:val="24"/>
          <w:lang w:bidi="ar"/>
        </w:rPr>
        <w:t xml:space="preserve">S </w:t>
      </w:r>
      <w:r w:rsidRPr="008A2411">
        <w:rPr>
          <w:rFonts w:ascii="Times New Roman" w:eastAsiaTheme="minorEastAsia"/>
          <w:color w:val="000000" w:themeColor="text1"/>
          <w:szCs w:val="24"/>
          <w:lang w:bidi="ar"/>
        </w:rPr>
        <w:t>和</w:t>
      </w:r>
      <w:r w:rsidRPr="008A2411">
        <w:rPr>
          <w:rFonts w:ascii="Times New Roman" w:eastAsiaTheme="minorEastAsia"/>
          <w:color w:val="000000" w:themeColor="text1"/>
          <w:szCs w:val="24"/>
          <w:lang w:bidi="ar"/>
        </w:rPr>
        <w:t>CO</w:t>
      </w:r>
      <w:r w:rsidRPr="008A2411">
        <w:rPr>
          <w:rFonts w:ascii="Times New Roman" w:eastAsiaTheme="minorEastAsia"/>
          <w:color w:val="000000" w:themeColor="text1"/>
          <w:szCs w:val="24"/>
          <w:vertAlign w:val="subscript"/>
          <w:lang w:bidi="ar"/>
        </w:rPr>
        <w:t>2</w:t>
      </w:r>
      <w:r w:rsidRPr="008A2411">
        <w:rPr>
          <w:rFonts w:ascii="Times New Roman" w:eastAsiaTheme="minorEastAsia"/>
          <w:color w:val="000000" w:themeColor="text1"/>
          <w:szCs w:val="24"/>
          <w:lang w:bidi="ar"/>
        </w:rPr>
        <w:t>的净化工艺，从经济、技术及环境保护的角度是可行的。</w:t>
      </w:r>
      <w:r w:rsidRPr="008A2411">
        <w:rPr>
          <w:rFonts w:ascii="Times New Roman" w:eastAsiaTheme="minorEastAsia"/>
          <w:color w:val="000000" w:themeColor="text1"/>
          <w:szCs w:val="24"/>
          <w:lang w:bidi="ar"/>
        </w:rPr>
        <w:t xml:space="preserve">  </w:t>
      </w:r>
      <w:r w:rsidRPr="008A2411">
        <w:rPr>
          <w:rFonts w:ascii="Times New Roman"/>
          <w:color w:val="000000" w:themeColor="text1"/>
          <w:szCs w:val="24"/>
          <w:lang w:bidi="ar"/>
        </w:rPr>
        <w:t xml:space="preserve"> </w:t>
      </w:r>
    </w:p>
    <w:p w14:paraId="7066D9B5" w14:textId="77777777" w:rsidR="00B0005F" w:rsidRPr="008A2411" w:rsidRDefault="00000000">
      <w:pPr>
        <w:pStyle w:val="affff2"/>
        <w:spacing w:before="0" w:beforeAutospacing="0" w:after="0" w:afterAutospacing="0" w:line="360" w:lineRule="auto"/>
        <w:ind w:firstLineChars="200" w:firstLine="482"/>
        <w:rPr>
          <w:rFonts w:ascii="Times New Roman" w:eastAsiaTheme="minorEastAsia" w:hAnsi="Times New Roman" w:cs="Times New Roman"/>
          <w:b/>
          <w:bCs/>
          <w:color w:val="000000" w:themeColor="text1"/>
          <w:sz w:val="24"/>
          <w:szCs w:val="24"/>
          <w:lang w:bidi="ar"/>
        </w:rPr>
      </w:pPr>
      <w:r w:rsidRPr="008A2411">
        <w:rPr>
          <w:rFonts w:ascii="Times New Roman" w:eastAsiaTheme="minorEastAsia" w:hAnsi="Times New Roman" w:cs="Times New Roman"/>
          <w:b/>
          <w:bCs/>
          <w:color w:val="000000" w:themeColor="text1"/>
          <w:sz w:val="24"/>
          <w:szCs w:val="24"/>
          <w:lang w:bidi="ar"/>
        </w:rPr>
        <w:t>（</w:t>
      </w:r>
      <w:r w:rsidRPr="008A2411">
        <w:rPr>
          <w:rFonts w:ascii="Times New Roman" w:eastAsiaTheme="minorEastAsia" w:hAnsi="Times New Roman" w:cs="Times New Roman"/>
          <w:b/>
          <w:bCs/>
          <w:color w:val="000000" w:themeColor="text1"/>
          <w:sz w:val="24"/>
          <w:szCs w:val="24"/>
          <w:lang w:bidi="ar"/>
        </w:rPr>
        <w:t>2</w:t>
      </w:r>
      <w:r w:rsidRPr="008A2411">
        <w:rPr>
          <w:rFonts w:ascii="Times New Roman" w:eastAsiaTheme="minorEastAsia" w:hAnsi="Times New Roman" w:cs="Times New Roman"/>
          <w:b/>
          <w:bCs/>
          <w:color w:val="000000" w:themeColor="text1"/>
          <w:sz w:val="24"/>
          <w:szCs w:val="24"/>
          <w:lang w:bidi="ar"/>
        </w:rPr>
        <w:t>）脱水工艺选择</w:t>
      </w:r>
      <w:r w:rsidRPr="008A2411">
        <w:rPr>
          <w:rFonts w:ascii="Times New Roman" w:eastAsiaTheme="minorEastAsia" w:hAnsi="Times New Roman" w:cs="Times New Roman"/>
          <w:b/>
          <w:bCs/>
          <w:color w:val="000000" w:themeColor="text1"/>
          <w:sz w:val="24"/>
          <w:szCs w:val="24"/>
          <w:lang w:bidi="ar"/>
        </w:rPr>
        <w:t xml:space="preserve"> </w:t>
      </w:r>
    </w:p>
    <w:p w14:paraId="34BADFAD" w14:textId="77777777" w:rsidR="00B0005F" w:rsidRPr="008A2411" w:rsidRDefault="00000000">
      <w:pPr>
        <w:pStyle w:val="affff2"/>
        <w:spacing w:before="0" w:beforeAutospacing="0" w:after="0" w:afterAutospacing="0" w:line="360" w:lineRule="auto"/>
        <w:ind w:leftChars="175" w:left="420"/>
        <w:rPr>
          <w:rFonts w:ascii="Times New Roman" w:eastAsiaTheme="minorEastAsia" w:hAnsi="Times New Roman" w:cs="Times New Roman"/>
          <w:color w:val="000000" w:themeColor="text1"/>
          <w:sz w:val="24"/>
          <w:szCs w:val="24"/>
          <w:lang w:bidi="ar"/>
        </w:rPr>
      </w:pPr>
      <w:r w:rsidRPr="008A2411">
        <w:rPr>
          <w:rFonts w:ascii="Times New Roman" w:eastAsiaTheme="minorEastAsia" w:hAnsi="Times New Roman" w:cs="Times New Roman"/>
          <w:color w:val="000000" w:themeColor="text1"/>
          <w:sz w:val="24"/>
          <w:szCs w:val="24"/>
          <w:lang w:bidi="ar"/>
        </w:rPr>
        <w:t>天然气干燥脱水的方法有很多，按其原理可归纳为如下四种见表</w:t>
      </w:r>
      <w:r w:rsidRPr="008A2411">
        <w:rPr>
          <w:rFonts w:ascii="Times New Roman" w:eastAsiaTheme="minorEastAsia" w:hAnsi="Times New Roman" w:cs="Times New Roman"/>
          <w:color w:val="000000" w:themeColor="text1"/>
          <w:sz w:val="24"/>
          <w:szCs w:val="24"/>
          <w:lang w:bidi="ar"/>
        </w:rPr>
        <w:t>3.2-4</w:t>
      </w:r>
      <w:r w:rsidRPr="008A2411">
        <w:rPr>
          <w:rFonts w:ascii="Times New Roman" w:eastAsiaTheme="minorEastAsia" w:hAnsi="Times New Roman" w:cs="Times New Roman"/>
          <w:color w:val="000000" w:themeColor="text1"/>
          <w:sz w:val="24"/>
          <w:szCs w:val="24"/>
          <w:lang w:bidi="ar"/>
        </w:rPr>
        <w:t>：</w:t>
      </w:r>
    </w:p>
    <w:p w14:paraId="0023D17C" w14:textId="77777777" w:rsidR="00B0005F" w:rsidRPr="008A2411" w:rsidRDefault="00000000">
      <w:pPr>
        <w:pStyle w:val="affff2"/>
        <w:spacing w:before="0" w:beforeAutospacing="0" w:after="0" w:afterAutospacing="0" w:line="360" w:lineRule="auto"/>
        <w:ind w:leftChars="200" w:left="480"/>
        <w:jc w:val="center"/>
        <w:rPr>
          <w:rFonts w:ascii="Times New Roman" w:eastAsia="黑体" w:hAnsi="Times New Roman" w:cs="Times New Roman"/>
          <w:color w:val="000000" w:themeColor="text1"/>
          <w:sz w:val="24"/>
          <w:szCs w:val="24"/>
        </w:rPr>
      </w:pPr>
      <w:r w:rsidRPr="008A2411">
        <w:rPr>
          <w:rFonts w:ascii="Times New Roman" w:eastAsia="黑体" w:hAnsi="Times New Roman" w:cs="Times New Roman"/>
          <w:color w:val="000000" w:themeColor="text1"/>
          <w:sz w:val="24"/>
          <w:szCs w:val="24"/>
        </w:rPr>
        <w:t>表</w:t>
      </w:r>
      <w:r w:rsidRPr="008A2411">
        <w:rPr>
          <w:rFonts w:ascii="Times New Roman" w:eastAsia="黑体" w:hAnsi="Times New Roman" w:cs="Times New Roman"/>
          <w:color w:val="000000" w:themeColor="text1"/>
          <w:sz w:val="24"/>
          <w:szCs w:val="24"/>
        </w:rPr>
        <w:t xml:space="preserve">3.2-4  </w:t>
      </w:r>
      <w:r w:rsidRPr="008A2411">
        <w:rPr>
          <w:rFonts w:ascii="Times New Roman" w:eastAsia="黑体" w:hAnsi="Times New Roman" w:cs="Times New Roman"/>
          <w:color w:val="000000" w:themeColor="text1"/>
          <w:sz w:val="24"/>
          <w:szCs w:val="24"/>
        </w:rPr>
        <w:t>天然气脱水方法比较</w:t>
      </w:r>
    </w:p>
    <w:tbl>
      <w:tblPr>
        <w:tblW w:w="499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7"/>
        <w:gridCol w:w="3273"/>
        <w:gridCol w:w="2074"/>
        <w:gridCol w:w="1755"/>
      </w:tblGrid>
      <w:tr w:rsidR="008A2411" w:rsidRPr="008A2411" w14:paraId="18DBF01D" w14:textId="77777777">
        <w:trPr>
          <w:jc w:val="center"/>
        </w:trPr>
        <w:tc>
          <w:tcPr>
            <w:tcW w:w="831" w:type="pct"/>
            <w:tcBorders>
              <w:top w:val="single" w:sz="4" w:space="0" w:color="auto"/>
              <w:left w:val="single" w:sz="4" w:space="0" w:color="auto"/>
              <w:bottom w:val="single" w:sz="4" w:space="0" w:color="auto"/>
              <w:right w:val="single" w:sz="4" w:space="0" w:color="auto"/>
            </w:tcBorders>
            <w:vAlign w:val="center"/>
          </w:tcPr>
          <w:p w14:paraId="79282928" w14:textId="77777777" w:rsidR="00B0005F" w:rsidRPr="008A2411" w:rsidRDefault="00000000">
            <w:pPr>
              <w:widowControl/>
              <w:adjustRightInd w:val="0"/>
              <w:snapToGrid w:val="0"/>
              <w:jc w:val="center"/>
              <w:rPr>
                <w:rFonts w:ascii="Times New Roman"/>
                <w:color w:val="000000" w:themeColor="text1"/>
                <w:sz w:val="21"/>
                <w:szCs w:val="21"/>
              </w:rPr>
            </w:pPr>
            <w:r w:rsidRPr="008A2411">
              <w:rPr>
                <w:rFonts w:ascii="Times New Roman"/>
                <w:color w:val="000000" w:themeColor="text1"/>
                <w:sz w:val="21"/>
                <w:szCs w:val="21"/>
                <w:lang w:bidi="ar"/>
              </w:rPr>
              <w:t>方法</w:t>
            </w:r>
          </w:p>
        </w:tc>
        <w:tc>
          <w:tcPr>
            <w:tcW w:w="1920" w:type="pct"/>
            <w:tcBorders>
              <w:top w:val="single" w:sz="4" w:space="0" w:color="auto"/>
              <w:left w:val="single" w:sz="4" w:space="0" w:color="auto"/>
              <w:bottom w:val="single" w:sz="4" w:space="0" w:color="auto"/>
              <w:right w:val="single" w:sz="4" w:space="0" w:color="auto"/>
            </w:tcBorders>
            <w:vAlign w:val="center"/>
          </w:tcPr>
          <w:p w14:paraId="14BFDCB2" w14:textId="77777777" w:rsidR="00B0005F" w:rsidRPr="008A2411" w:rsidRDefault="00000000">
            <w:pPr>
              <w:widowControl/>
              <w:adjustRightInd w:val="0"/>
              <w:snapToGrid w:val="0"/>
              <w:jc w:val="center"/>
              <w:rPr>
                <w:rFonts w:ascii="Times New Roman"/>
                <w:color w:val="000000" w:themeColor="text1"/>
                <w:sz w:val="21"/>
                <w:szCs w:val="21"/>
              </w:rPr>
            </w:pPr>
            <w:r w:rsidRPr="008A2411">
              <w:rPr>
                <w:rFonts w:ascii="Times New Roman"/>
                <w:color w:val="000000" w:themeColor="text1"/>
                <w:sz w:val="21"/>
                <w:szCs w:val="21"/>
                <w:lang w:bidi="ar"/>
              </w:rPr>
              <w:t>原理</w:t>
            </w:r>
          </w:p>
        </w:tc>
        <w:tc>
          <w:tcPr>
            <w:tcW w:w="1217" w:type="pct"/>
            <w:tcBorders>
              <w:top w:val="single" w:sz="4" w:space="0" w:color="auto"/>
              <w:left w:val="single" w:sz="4" w:space="0" w:color="auto"/>
              <w:bottom w:val="single" w:sz="4" w:space="0" w:color="auto"/>
              <w:right w:val="single" w:sz="4" w:space="0" w:color="auto"/>
            </w:tcBorders>
            <w:vAlign w:val="center"/>
          </w:tcPr>
          <w:p w14:paraId="1F824F97" w14:textId="77777777" w:rsidR="00B0005F" w:rsidRPr="008A2411" w:rsidRDefault="00000000">
            <w:pPr>
              <w:widowControl/>
              <w:adjustRightInd w:val="0"/>
              <w:snapToGrid w:val="0"/>
              <w:jc w:val="center"/>
              <w:rPr>
                <w:rFonts w:ascii="Times New Roman"/>
                <w:color w:val="000000" w:themeColor="text1"/>
                <w:sz w:val="21"/>
                <w:szCs w:val="21"/>
              </w:rPr>
            </w:pPr>
            <w:r w:rsidRPr="008A2411">
              <w:rPr>
                <w:rFonts w:ascii="Times New Roman"/>
                <w:color w:val="000000" w:themeColor="text1"/>
                <w:sz w:val="21"/>
                <w:szCs w:val="21"/>
                <w:lang w:bidi="ar"/>
              </w:rPr>
              <w:t>应用</w:t>
            </w:r>
          </w:p>
        </w:tc>
        <w:tc>
          <w:tcPr>
            <w:tcW w:w="1030" w:type="pct"/>
            <w:tcBorders>
              <w:top w:val="single" w:sz="4" w:space="0" w:color="auto"/>
              <w:left w:val="single" w:sz="4" w:space="0" w:color="auto"/>
              <w:bottom w:val="single" w:sz="4" w:space="0" w:color="auto"/>
              <w:right w:val="single" w:sz="4" w:space="0" w:color="auto"/>
            </w:tcBorders>
            <w:vAlign w:val="center"/>
          </w:tcPr>
          <w:p w14:paraId="65340CCD" w14:textId="77777777" w:rsidR="00B0005F" w:rsidRPr="008A2411" w:rsidRDefault="00000000">
            <w:pPr>
              <w:widowControl/>
              <w:adjustRightInd w:val="0"/>
              <w:snapToGrid w:val="0"/>
              <w:jc w:val="center"/>
              <w:rPr>
                <w:rFonts w:ascii="Times New Roman"/>
                <w:color w:val="000000" w:themeColor="text1"/>
                <w:sz w:val="21"/>
                <w:szCs w:val="21"/>
                <w:lang w:bidi="ar"/>
              </w:rPr>
            </w:pPr>
            <w:r w:rsidRPr="008A2411">
              <w:rPr>
                <w:rFonts w:ascii="Times New Roman"/>
                <w:color w:val="000000" w:themeColor="text1"/>
                <w:sz w:val="21"/>
                <w:szCs w:val="21"/>
                <w:lang w:bidi="ar"/>
              </w:rPr>
              <w:t>环保比选</w:t>
            </w:r>
          </w:p>
        </w:tc>
      </w:tr>
      <w:tr w:rsidR="008A2411" w:rsidRPr="008A2411" w14:paraId="647051EA" w14:textId="77777777">
        <w:trPr>
          <w:jc w:val="center"/>
        </w:trPr>
        <w:tc>
          <w:tcPr>
            <w:tcW w:w="831" w:type="pct"/>
            <w:tcBorders>
              <w:top w:val="single" w:sz="4" w:space="0" w:color="auto"/>
              <w:left w:val="single" w:sz="4" w:space="0" w:color="auto"/>
              <w:bottom w:val="single" w:sz="4" w:space="0" w:color="auto"/>
              <w:right w:val="single" w:sz="4" w:space="0" w:color="auto"/>
            </w:tcBorders>
            <w:vAlign w:val="center"/>
          </w:tcPr>
          <w:p w14:paraId="489741A1" w14:textId="77777777" w:rsidR="00B0005F" w:rsidRPr="008A2411" w:rsidRDefault="00000000">
            <w:pPr>
              <w:widowControl/>
              <w:adjustRightInd w:val="0"/>
              <w:snapToGrid w:val="0"/>
              <w:jc w:val="center"/>
              <w:rPr>
                <w:rFonts w:ascii="Times New Roman"/>
                <w:color w:val="000000" w:themeColor="text1"/>
                <w:sz w:val="21"/>
                <w:szCs w:val="21"/>
              </w:rPr>
            </w:pPr>
            <w:r w:rsidRPr="008A2411">
              <w:rPr>
                <w:rFonts w:ascii="Times New Roman"/>
                <w:color w:val="000000" w:themeColor="text1"/>
                <w:sz w:val="21"/>
                <w:szCs w:val="21"/>
                <w:lang w:bidi="ar"/>
              </w:rPr>
              <w:t>低温冷凝法</w:t>
            </w:r>
          </w:p>
        </w:tc>
        <w:tc>
          <w:tcPr>
            <w:tcW w:w="1920" w:type="pct"/>
            <w:tcBorders>
              <w:top w:val="single" w:sz="4" w:space="0" w:color="auto"/>
              <w:left w:val="single" w:sz="4" w:space="0" w:color="auto"/>
              <w:bottom w:val="single" w:sz="4" w:space="0" w:color="auto"/>
              <w:right w:val="single" w:sz="4" w:space="0" w:color="auto"/>
            </w:tcBorders>
            <w:vAlign w:val="center"/>
          </w:tcPr>
          <w:p w14:paraId="6DBDA70F" w14:textId="77777777" w:rsidR="00B0005F" w:rsidRPr="008A2411" w:rsidRDefault="00000000">
            <w:pPr>
              <w:widowControl/>
              <w:adjustRightInd w:val="0"/>
              <w:snapToGrid w:val="0"/>
              <w:jc w:val="center"/>
              <w:rPr>
                <w:rFonts w:ascii="Times New Roman"/>
                <w:color w:val="000000" w:themeColor="text1"/>
                <w:sz w:val="21"/>
                <w:szCs w:val="21"/>
              </w:rPr>
            </w:pPr>
            <w:r w:rsidRPr="008A2411">
              <w:rPr>
                <w:rFonts w:ascii="Times New Roman"/>
                <w:color w:val="000000" w:themeColor="text1"/>
                <w:sz w:val="21"/>
                <w:szCs w:val="21"/>
                <w:lang w:bidi="ar"/>
              </w:rPr>
              <w:t>借助于水和天然气凝结成液体的温度差异，在一定压力下降低含水气的温度，使其中的水汽和重烃凝结为液体，再借助于重烃与水的相对密度差异和互不相容的特点进行重力分离，使水脱出。</w:t>
            </w:r>
          </w:p>
        </w:tc>
        <w:tc>
          <w:tcPr>
            <w:tcW w:w="1217" w:type="pct"/>
            <w:tcBorders>
              <w:top w:val="single" w:sz="4" w:space="0" w:color="auto"/>
              <w:left w:val="single" w:sz="4" w:space="0" w:color="auto"/>
              <w:bottom w:val="single" w:sz="4" w:space="0" w:color="auto"/>
              <w:right w:val="single" w:sz="4" w:space="0" w:color="auto"/>
            </w:tcBorders>
            <w:vAlign w:val="center"/>
          </w:tcPr>
          <w:p w14:paraId="1FBEE808" w14:textId="77777777" w:rsidR="00B0005F" w:rsidRPr="008A2411" w:rsidRDefault="00000000">
            <w:pPr>
              <w:widowControl/>
              <w:adjustRightInd w:val="0"/>
              <w:snapToGrid w:val="0"/>
              <w:jc w:val="center"/>
              <w:rPr>
                <w:rFonts w:ascii="Times New Roman"/>
                <w:color w:val="000000" w:themeColor="text1"/>
                <w:sz w:val="21"/>
                <w:szCs w:val="21"/>
              </w:rPr>
            </w:pPr>
            <w:r w:rsidRPr="008A2411">
              <w:rPr>
                <w:rFonts w:ascii="Times New Roman"/>
                <w:color w:val="000000" w:themeColor="text1"/>
                <w:sz w:val="21"/>
                <w:szCs w:val="21"/>
                <w:lang w:bidi="ar"/>
              </w:rPr>
              <w:t>如果要提高脱水深度，需要有制冷设施，会增加投资和能耗，而且水脱除精度有限，不能满足深冷除水精度要求。</w:t>
            </w:r>
          </w:p>
        </w:tc>
        <w:tc>
          <w:tcPr>
            <w:tcW w:w="1030" w:type="pct"/>
            <w:tcBorders>
              <w:top w:val="single" w:sz="4" w:space="0" w:color="auto"/>
              <w:left w:val="single" w:sz="4" w:space="0" w:color="auto"/>
              <w:bottom w:val="single" w:sz="4" w:space="0" w:color="auto"/>
              <w:right w:val="single" w:sz="4" w:space="0" w:color="auto"/>
            </w:tcBorders>
            <w:vAlign w:val="center"/>
          </w:tcPr>
          <w:p w14:paraId="79D83EDD" w14:textId="77777777" w:rsidR="00B0005F" w:rsidRPr="008A2411" w:rsidRDefault="00000000">
            <w:pPr>
              <w:widowControl/>
              <w:adjustRightInd w:val="0"/>
              <w:snapToGrid w:val="0"/>
              <w:jc w:val="center"/>
              <w:rPr>
                <w:rFonts w:ascii="Times New Roman"/>
                <w:color w:val="000000" w:themeColor="text1"/>
                <w:sz w:val="21"/>
                <w:szCs w:val="21"/>
                <w:lang w:bidi="ar"/>
              </w:rPr>
            </w:pPr>
            <w:r w:rsidRPr="008A2411">
              <w:rPr>
                <w:rFonts w:ascii="Times New Roman"/>
                <w:color w:val="000000" w:themeColor="text1"/>
                <w:sz w:val="21"/>
                <w:szCs w:val="21"/>
                <w:lang w:bidi="ar"/>
              </w:rPr>
              <w:t>优点：工艺成熟、环境风险小；</w:t>
            </w:r>
          </w:p>
          <w:p w14:paraId="77F09AD2" w14:textId="77777777" w:rsidR="00B0005F" w:rsidRPr="008A2411" w:rsidRDefault="00000000">
            <w:pPr>
              <w:widowControl/>
              <w:adjustRightInd w:val="0"/>
              <w:snapToGrid w:val="0"/>
              <w:jc w:val="center"/>
              <w:rPr>
                <w:rFonts w:ascii="Times New Roman"/>
                <w:color w:val="000000" w:themeColor="text1"/>
                <w:sz w:val="21"/>
                <w:szCs w:val="21"/>
                <w:lang w:bidi="ar"/>
              </w:rPr>
            </w:pPr>
            <w:r w:rsidRPr="008A2411">
              <w:rPr>
                <w:rFonts w:ascii="Times New Roman"/>
                <w:color w:val="000000" w:themeColor="text1"/>
                <w:sz w:val="21"/>
                <w:szCs w:val="21"/>
                <w:lang w:bidi="ar"/>
              </w:rPr>
              <w:t>缺点：能耗高，存在设备噪声较大</w:t>
            </w:r>
          </w:p>
        </w:tc>
      </w:tr>
      <w:tr w:rsidR="008A2411" w:rsidRPr="008A2411" w14:paraId="2299F5CD" w14:textId="77777777">
        <w:trPr>
          <w:jc w:val="center"/>
        </w:trPr>
        <w:tc>
          <w:tcPr>
            <w:tcW w:w="831" w:type="pct"/>
            <w:tcBorders>
              <w:top w:val="single" w:sz="4" w:space="0" w:color="auto"/>
              <w:left w:val="single" w:sz="4" w:space="0" w:color="auto"/>
              <w:bottom w:val="single" w:sz="4" w:space="0" w:color="auto"/>
              <w:right w:val="single" w:sz="4" w:space="0" w:color="auto"/>
            </w:tcBorders>
            <w:vAlign w:val="center"/>
          </w:tcPr>
          <w:p w14:paraId="44035FF0" w14:textId="77777777" w:rsidR="00B0005F" w:rsidRPr="008A2411" w:rsidRDefault="00000000">
            <w:pPr>
              <w:widowControl/>
              <w:adjustRightInd w:val="0"/>
              <w:snapToGrid w:val="0"/>
              <w:jc w:val="center"/>
              <w:rPr>
                <w:rFonts w:ascii="Times New Roman"/>
                <w:color w:val="000000" w:themeColor="text1"/>
                <w:sz w:val="21"/>
                <w:szCs w:val="21"/>
              </w:rPr>
            </w:pPr>
            <w:r w:rsidRPr="008A2411">
              <w:rPr>
                <w:rFonts w:ascii="Times New Roman"/>
                <w:color w:val="000000" w:themeColor="text1"/>
                <w:sz w:val="21"/>
                <w:szCs w:val="21"/>
                <w:lang w:bidi="ar"/>
              </w:rPr>
              <w:t>化学试剂法</w:t>
            </w:r>
          </w:p>
        </w:tc>
        <w:tc>
          <w:tcPr>
            <w:tcW w:w="1920" w:type="pct"/>
            <w:tcBorders>
              <w:top w:val="single" w:sz="4" w:space="0" w:color="auto"/>
              <w:left w:val="single" w:sz="4" w:space="0" w:color="auto"/>
              <w:bottom w:val="single" w:sz="4" w:space="0" w:color="auto"/>
              <w:right w:val="single" w:sz="4" w:space="0" w:color="auto"/>
            </w:tcBorders>
            <w:vAlign w:val="center"/>
          </w:tcPr>
          <w:p w14:paraId="50846389" w14:textId="77777777" w:rsidR="00B0005F" w:rsidRPr="008A2411" w:rsidRDefault="00000000">
            <w:pPr>
              <w:widowControl/>
              <w:adjustRightInd w:val="0"/>
              <w:snapToGrid w:val="0"/>
              <w:jc w:val="center"/>
              <w:rPr>
                <w:rFonts w:ascii="Times New Roman"/>
                <w:color w:val="000000" w:themeColor="text1"/>
                <w:sz w:val="21"/>
                <w:szCs w:val="21"/>
              </w:rPr>
            </w:pPr>
            <w:r w:rsidRPr="008A2411">
              <w:rPr>
                <w:rFonts w:ascii="Times New Roman"/>
                <w:color w:val="000000" w:themeColor="text1"/>
                <w:sz w:val="21"/>
                <w:szCs w:val="21"/>
                <w:lang w:bidi="ar"/>
              </w:rPr>
              <w:t>采用可以和天然气中水发生化学反应的试剂与天然气充分接触，生成具有很低蒸汽压的另一种物质。这样可以使水完全脱出。</w:t>
            </w:r>
          </w:p>
        </w:tc>
        <w:tc>
          <w:tcPr>
            <w:tcW w:w="1217" w:type="pct"/>
            <w:tcBorders>
              <w:top w:val="single" w:sz="4" w:space="0" w:color="auto"/>
              <w:left w:val="single" w:sz="4" w:space="0" w:color="auto"/>
              <w:bottom w:val="single" w:sz="4" w:space="0" w:color="auto"/>
              <w:right w:val="single" w:sz="4" w:space="0" w:color="auto"/>
            </w:tcBorders>
            <w:vAlign w:val="center"/>
          </w:tcPr>
          <w:p w14:paraId="01EB6773" w14:textId="77777777" w:rsidR="00B0005F" w:rsidRPr="008A2411" w:rsidRDefault="00000000">
            <w:pPr>
              <w:widowControl/>
              <w:adjustRightInd w:val="0"/>
              <w:snapToGrid w:val="0"/>
              <w:jc w:val="center"/>
              <w:rPr>
                <w:rFonts w:ascii="Times New Roman"/>
                <w:color w:val="000000" w:themeColor="text1"/>
                <w:sz w:val="21"/>
                <w:szCs w:val="21"/>
              </w:rPr>
            </w:pPr>
            <w:r w:rsidRPr="008A2411">
              <w:rPr>
                <w:rFonts w:ascii="Times New Roman"/>
                <w:color w:val="000000" w:themeColor="text1"/>
                <w:sz w:val="21"/>
                <w:szCs w:val="21"/>
                <w:lang w:bidi="ar"/>
              </w:rPr>
              <w:t>化学试剂再生很困难，工业很少采用。</w:t>
            </w:r>
          </w:p>
        </w:tc>
        <w:tc>
          <w:tcPr>
            <w:tcW w:w="1030" w:type="pct"/>
            <w:tcBorders>
              <w:top w:val="single" w:sz="4" w:space="0" w:color="auto"/>
              <w:left w:val="single" w:sz="4" w:space="0" w:color="auto"/>
              <w:bottom w:val="single" w:sz="4" w:space="0" w:color="auto"/>
              <w:right w:val="single" w:sz="4" w:space="0" w:color="auto"/>
            </w:tcBorders>
            <w:vAlign w:val="center"/>
          </w:tcPr>
          <w:p w14:paraId="3EEC50BD" w14:textId="77777777" w:rsidR="00B0005F" w:rsidRPr="008A2411" w:rsidRDefault="00000000">
            <w:pPr>
              <w:widowControl/>
              <w:adjustRightInd w:val="0"/>
              <w:snapToGrid w:val="0"/>
              <w:jc w:val="center"/>
              <w:rPr>
                <w:rFonts w:ascii="Times New Roman"/>
                <w:color w:val="000000" w:themeColor="text1"/>
                <w:sz w:val="21"/>
                <w:szCs w:val="21"/>
                <w:lang w:bidi="ar"/>
              </w:rPr>
            </w:pPr>
            <w:r w:rsidRPr="008A2411">
              <w:rPr>
                <w:rFonts w:ascii="Times New Roman"/>
                <w:color w:val="000000" w:themeColor="text1"/>
                <w:sz w:val="21"/>
                <w:szCs w:val="21"/>
                <w:lang w:bidi="ar"/>
              </w:rPr>
              <w:t>优点：</w:t>
            </w:r>
            <w:r w:rsidRPr="008A2411">
              <w:rPr>
                <w:rFonts w:ascii="Times New Roman"/>
                <w:color w:val="000000" w:themeColor="text1"/>
                <w:sz w:val="21"/>
                <w:szCs w:val="21"/>
                <w:lang w:bidi="ar"/>
              </w:rPr>
              <w:t>/</w:t>
            </w:r>
          </w:p>
          <w:p w14:paraId="0AE231B7" w14:textId="77777777" w:rsidR="00B0005F" w:rsidRPr="008A2411" w:rsidRDefault="00000000">
            <w:pPr>
              <w:widowControl/>
              <w:adjustRightInd w:val="0"/>
              <w:snapToGrid w:val="0"/>
              <w:jc w:val="center"/>
              <w:rPr>
                <w:rFonts w:ascii="Times New Roman"/>
                <w:color w:val="000000" w:themeColor="text1"/>
                <w:sz w:val="21"/>
                <w:szCs w:val="21"/>
                <w:lang w:bidi="ar"/>
              </w:rPr>
            </w:pPr>
            <w:r w:rsidRPr="008A2411">
              <w:rPr>
                <w:rFonts w:ascii="Times New Roman"/>
                <w:color w:val="000000" w:themeColor="text1"/>
                <w:sz w:val="21"/>
                <w:szCs w:val="21"/>
                <w:lang w:bidi="ar"/>
              </w:rPr>
              <w:t>缺点：采用化学试剂，环境风险较大</w:t>
            </w:r>
          </w:p>
        </w:tc>
      </w:tr>
      <w:tr w:rsidR="008A2411" w:rsidRPr="008A2411" w14:paraId="303BCE66" w14:textId="77777777">
        <w:trPr>
          <w:jc w:val="center"/>
        </w:trPr>
        <w:tc>
          <w:tcPr>
            <w:tcW w:w="831" w:type="pct"/>
            <w:tcBorders>
              <w:top w:val="single" w:sz="4" w:space="0" w:color="auto"/>
              <w:left w:val="single" w:sz="4" w:space="0" w:color="auto"/>
              <w:bottom w:val="single" w:sz="4" w:space="0" w:color="auto"/>
              <w:right w:val="single" w:sz="4" w:space="0" w:color="auto"/>
            </w:tcBorders>
            <w:vAlign w:val="center"/>
          </w:tcPr>
          <w:p w14:paraId="0777756B" w14:textId="77777777" w:rsidR="00B0005F" w:rsidRPr="008A2411" w:rsidRDefault="00000000">
            <w:pPr>
              <w:widowControl/>
              <w:adjustRightInd w:val="0"/>
              <w:snapToGrid w:val="0"/>
              <w:jc w:val="center"/>
              <w:rPr>
                <w:rFonts w:ascii="Times New Roman"/>
                <w:color w:val="000000" w:themeColor="text1"/>
                <w:sz w:val="21"/>
                <w:szCs w:val="21"/>
              </w:rPr>
            </w:pPr>
            <w:r w:rsidRPr="008A2411">
              <w:rPr>
                <w:rFonts w:ascii="Times New Roman"/>
                <w:color w:val="000000" w:themeColor="text1"/>
                <w:sz w:val="21"/>
                <w:szCs w:val="21"/>
                <w:lang w:bidi="ar"/>
              </w:rPr>
              <w:t>溶剂吸收脱水法</w:t>
            </w:r>
          </w:p>
        </w:tc>
        <w:tc>
          <w:tcPr>
            <w:tcW w:w="1920" w:type="pct"/>
            <w:tcBorders>
              <w:top w:val="single" w:sz="4" w:space="0" w:color="auto"/>
              <w:left w:val="single" w:sz="4" w:space="0" w:color="auto"/>
              <w:bottom w:val="single" w:sz="4" w:space="0" w:color="auto"/>
              <w:right w:val="single" w:sz="4" w:space="0" w:color="auto"/>
            </w:tcBorders>
            <w:vAlign w:val="center"/>
          </w:tcPr>
          <w:p w14:paraId="0CE04957" w14:textId="77777777" w:rsidR="00B0005F" w:rsidRPr="008A2411" w:rsidRDefault="00000000">
            <w:pPr>
              <w:widowControl/>
              <w:adjustRightInd w:val="0"/>
              <w:snapToGrid w:val="0"/>
              <w:jc w:val="center"/>
              <w:rPr>
                <w:rFonts w:ascii="Times New Roman"/>
                <w:color w:val="000000" w:themeColor="text1"/>
                <w:sz w:val="21"/>
                <w:szCs w:val="21"/>
              </w:rPr>
            </w:pPr>
            <w:r w:rsidRPr="008A2411">
              <w:rPr>
                <w:rFonts w:ascii="Times New Roman"/>
                <w:color w:val="000000" w:themeColor="text1"/>
                <w:sz w:val="21"/>
                <w:szCs w:val="21"/>
                <w:lang w:bidi="ar"/>
              </w:rPr>
              <w:t>利用一些液体物质和天然气中的水发生化学反应，而不与天然气反应，只对水有很好的溶解能力，这样的物质有：甲醇、甘醇等。</w:t>
            </w:r>
          </w:p>
        </w:tc>
        <w:tc>
          <w:tcPr>
            <w:tcW w:w="1217" w:type="pct"/>
            <w:tcBorders>
              <w:top w:val="single" w:sz="4" w:space="0" w:color="auto"/>
              <w:left w:val="single" w:sz="4" w:space="0" w:color="auto"/>
              <w:bottom w:val="single" w:sz="4" w:space="0" w:color="auto"/>
              <w:right w:val="single" w:sz="4" w:space="0" w:color="auto"/>
            </w:tcBorders>
            <w:vAlign w:val="center"/>
          </w:tcPr>
          <w:p w14:paraId="136A3C51" w14:textId="77777777" w:rsidR="00B0005F" w:rsidRPr="008A2411" w:rsidRDefault="00000000">
            <w:pPr>
              <w:widowControl/>
              <w:adjustRightInd w:val="0"/>
              <w:snapToGrid w:val="0"/>
              <w:jc w:val="center"/>
              <w:rPr>
                <w:rFonts w:ascii="Times New Roman"/>
                <w:color w:val="000000" w:themeColor="text1"/>
                <w:sz w:val="21"/>
                <w:szCs w:val="21"/>
              </w:rPr>
            </w:pPr>
            <w:r w:rsidRPr="008A2411">
              <w:rPr>
                <w:rFonts w:ascii="Times New Roman"/>
                <w:color w:val="000000" w:themeColor="text1"/>
                <w:sz w:val="21"/>
                <w:szCs w:val="21"/>
                <w:lang w:bidi="ar"/>
              </w:rPr>
              <w:t>需要溶剂，使用较广泛。</w:t>
            </w:r>
          </w:p>
        </w:tc>
        <w:tc>
          <w:tcPr>
            <w:tcW w:w="1030" w:type="pct"/>
            <w:tcBorders>
              <w:top w:val="single" w:sz="4" w:space="0" w:color="auto"/>
              <w:left w:val="single" w:sz="4" w:space="0" w:color="auto"/>
              <w:bottom w:val="single" w:sz="4" w:space="0" w:color="auto"/>
              <w:right w:val="single" w:sz="4" w:space="0" w:color="auto"/>
            </w:tcBorders>
            <w:vAlign w:val="center"/>
          </w:tcPr>
          <w:p w14:paraId="6D989B42" w14:textId="77777777" w:rsidR="00B0005F" w:rsidRPr="008A2411" w:rsidRDefault="00000000">
            <w:pPr>
              <w:widowControl/>
              <w:adjustRightInd w:val="0"/>
              <w:snapToGrid w:val="0"/>
              <w:jc w:val="center"/>
              <w:rPr>
                <w:rFonts w:ascii="Times New Roman"/>
                <w:color w:val="000000" w:themeColor="text1"/>
                <w:sz w:val="21"/>
                <w:szCs w:val="21"/>
                <w:lang w:bidi="ar"/>
              </w:rPr>
            </w:pPr>
            <w:r w:rsidRPr="008A2411">
              <w:rPr>
                <w:rFonts w:ascii="Times New Roman"/>
                <w:color w:val="000000" w:themeColor="text1"/>
                <w:sz w:val="21"/>
                <w:szCs w:val="21"/>
                <w:lang w:bidi="ar"/>
              </w:rPr>
              <w:t>优点：工艺成熟；</w:t>
            </w:r>
          </w:p>
          <w:p w14:paraId="128916C9" w14:textId="77777777" w:rsidR="00B0005F" w:rsidRPr="008A2411" w:rsidRDefault="00000000">
            <w:pPr>
              <w:widowControl/>
              <w:adjustRightInd w:val="0"/>
              <w:snapToGrid w:val="0"/>
              <w:jc w:val="center"/>
              <w:rPr>
                <w:rFonts w:ascii="Times New Roman"/>
                <w:color w:val="000000" w:themeColor="text1"/>
                <w:sz w:val="21"/>
                <w:szCs w:val="21"/>
                <w:lang w:bidi="ar"/>
              </w:rPr>
            </w:pPr>
            <w:r w:rsidRPr="008A2411">
              <w:rPr>
                <w:rFonts w:ascii="Times New Roman"/>
                <w:color w:val="000000" w:themeColor="text1"/>
                <w:sz w:val="21"/>
                <w:szCs w:val="21"/>
                <w:lang w:bidi="ar"/>
              </w:rPr>
              <w:t>缺点：采用脱水溶剂、存在一定环境风险</w:t>
            </w:r>
          </w:p>
        </w:tc>
      </w:tr>
      <w:tr w:rsidR="008A2411" w:rsidRPr="008A2411" w14:paraId="72DCD998" w14:textId="77777777">
        <w:trPr>
          <w:trHeight w:val="1345"/>
          <w:jc w:val="center"/>
        </w:trPr>
        <w:tc>
          <w:tcPr>
            <w:tcW w:w="831" w:type="pct"/>
            <w:tcBorders>
              <w:top w:val="single" w:sz="4" w:space="0" w:color="auto"/>
              <w:left w:val="single" w:sz="4" w:space="0" w:color="auto"/>
              <w:bottom w:val="single" w:sz="4" w:space="0" w:color="auto"/>
              <w:right w:val="single" w:sz="4" w:space="0" w:color="auto"/>
            </w:tcBorders>
            <w:vAlign w:val="center"/>
          </w:tcPr>
          <w:p w14:paraId="0169ED6F" w14:textId="77777777" w:rsidR="00B0005F" w:rsidRPr="008A2411" w:rsidRDefault="00000000">
            <w:pPr>
              <w:widowControl/>
              <w:adjustRightInd w:val="0"/>
              <w:snapToGrid w:val="0"/>
              <w:jc w:val="center"/>
              <w:rPr>
                <w:rFonts w:ascii="Times New Roman"/>
                <w:color w:val="000000" w:themeColor="text1"/>
                <w:sz w:val="21"/>
                <w:szCs w:val="21"/>
              </w:rPr>
            </w:pPr>
            <w:r w:rsidRPr="008A2411">
              <w:rPr>
                <w:rFonts w:ascii="Times New Roman"/>
                <w:color w:val="000000" w:themeColor="text1"/>
                <w:sz w:val="21"/>
                <w:szCs w:val="21"/>
                <w:lang w:bidi="ar"/>
              </w:rPr>
              <w:t>固体吸附脱水法</w:t>
            </w:r>
          </w:p>
        </w:tc>
        <w:tc>
          <w:tcPr>
            <w:tcW w:w="1920" w:type="pct"/>
            <w:tcBorders>
              <w:top w:val="single" w:sz="4" w:space="0" w:color="auto"/>
              <w:left w:val="single" w:sz="4" w:space="0" w:color="auto"/>
              <w:bottom w:val="single" w:sz="4" w:space="0" w:color="auto"/>
              <w:right w:val="single" w:sz="4" w:space="0" w:color="auto"/>
            </w:tcBorders>
            <w:vAlign w:val="center"/>
          </w:tcPr>
          <w:p w14:paraId="57C66EA6" w14:textId="77777777" w:rsidR="00B0005F" w:rsidRPr="008A2411" w:rsidRDefault="00000000">
            <w:pPr>
              <w:widowControl/>
              <w:adjustRightInd w:val="0"/>
              <w:snapToGrid w:val="0"/>
              <w:jc w:val="center"/>
              <w:rPr>
                <w:rFonts w:ascii="Times New Roman"/>
                <w:color w:val="000000" w:themeColor="text1"/>
                <w:sz w:val="21"/>
                <w:szCs w:val="21"/>
                <w:lang w:bidi="ar"/>
              </w:rPr>
            </w:pPr>
            <w:r w:rsidRPr="008A2411">
              <w:rPr>
                <w:rFonts w:ascii="Times New Roman"/>
                <w:color w:val="000000" w:themeColor="text1"/>
                <w:sz w:val="21"/>
                <w:szCs w:val="21"/>
                <w:lang w:bidi="ar"/>
              </w:rPr>
              <w:t>利用某些固体物质比表面积高，表面空隙可以吸附大量水分子的特点进行天然气脱水。脱水后的含量可降到</w:t>
            </w:r>
            <w:r w:rsidRPr="008A2411">
              <w:rPr>
                <w:rFonts w:ascii="Times New Roman"/>
                <w:color w:val="000000" w:themeColor="text1"/>
                <w:sz w:val="21"/>
                <w:szCs w:val="21"/>
                <w:lang w:bidi="ar"/>
              </w:rPr>
              <w:t>1ppm</w:t>
            </w:r>
            <w:r w:rsidRPr="008A2411">
              <w:rPr>
                <w:rFonts w:ascii="Times New Roman"/>
                <w:color w:val="000000" w:themeColor="text1"/>
                <w:sz w:val="21"/>
                <w:szCs w:val="21"/>
                <w:lang w:bidi="ar"/>
              </w:rPr>
              <w:t>，这些物质有：分子筛、硅胶、活性氧化铝等。</w:t>
            </w:r>
          </w:p>
        </w:tc>
        <w:tc>
          <w:tcPr>
            <w:tcW w:w="1217" w:type="pct"/>
            <w:tcBorders>
              <w:top w:val="single" w:sz="4" w:space="0" w:color="auto"/>
              <w:left w:val="single" w:sz="4" w:space="0" w:color="auto"/>
              <w:bottom w:val="single" w:sz="4" w:space="0" w:color="auto"/>
              <w:right w:val="single" w:sz="4" w:space="0" w:color="auto"/>
            </w:tcBorders>
            <w:vAlign w:val="center"/>
          </w:tcPr>
          <w:p w14:paraId="728FC067" w14:textId="77777777" w:rsidR="00B0005F" w:rsidRPr="008A2411" w:rsidRDefault="00000000">
            <w:pPr>
              <w:widowControl/>
              <w:adjustRightInd w:val="0"/>
              <w:snapToGrid w:val="0"/>
              <w:jc w:val="center"/>
              <w:rPr>
                <w:rFonts w:ascii="Times New Roman"/>
                <w:color w:val="000000" w:themeColor="text1"/>
                <w:sz w:val="21"/>
                <w:szCs w:val="21"/>
                <w:lang w:bidi="ar"/>
              </w:rPr>
            </w:pPr>
            <w:r w:rsidRPr="008A2411">
              <w:rPr>
                <w:rFonts w:ascii="Times New Roman"/>
                <w:color w:val="000000" w:themeColor="text1"/>
                <w:sz w:val="21"/>
                <w:szCs w:val="21"/>
                <w:lang w:bidi="ar"/>
              </w:rPr>
              <w:t>常用于低含水量天然气深度脱水，使用广泛。</w:t>
            </w:r>
          </w:p>
        </w:tc>
        <w:tc>
          <w:tcPr>
            <w:tcW w:w="1030" w:type="pct"/>
            <w:tcBorders>
              <w:top w:val="single" w:sz="4" w:space="0" w:color="auto"/>
              <w:left w:val="single" w:sz="4" w:space="0" w:color="auto"/>
              <w:bottom w:val="single" w:sz="4" w:space="0" w:color="auto"/>
              <w:right w:val="single" w:sz="4" w:space="0" w:color="auto"/>
            </w:tcBorders>
            <w:vAlign w:val="center"/>
          </w:tcPr>
          <w:p w14:paraId="0FD51C84" w14:textId="77777777" w:rsidR="00B0005F" w:rsidRPr="008A2411" w:rsidRDefault="00000000">
            <w:pPr>
              <w:widowControl/>
              <w:adjustRightInd w:val="0"/>
              <w:snapToGrid w:val="0"/>
              <w:jc w:val="center"/>
              <w:rPr>
                <w:rFonts w:ascii="Times New Roman"/>
                <w:color w:val="000000" w:themeColor="text1"/>
                <w:sz w:val="21"/>
                <w:szCs w:val="21"/>
                <w:lang w:bidi="ar"/>
              </w:rPr>
            </w:pPr>
            <w:r w:rsidRPr="008A2411">
              <w:rPr>
                <w:rFonts w:ascii="Times New Roman"/>
                <w:color w:val="000000" w:themeColor="text1"/>
                <w:sz w:val="21"/>
                <w:szCs w:val="21"/>
                <w:lang w:bidi="ar"/>
              </w:rPr>
              <w:t>优化：工艺成熟、环境风险小；</w:t>
            </w:r>
          </w:p>
          <w:p w14:paraId="7DB3B969" w14:textId="77777777" w:rsidR="00B0005F" w:rsidRPr="008A2411" w:rsidRDefault="00000000">
            <w:pPr>
              <w:widowControl/>
              <w:adjustRightInd w:val="0"/>
              <w:snapToGrid w:val="0"/>
              <w:jc w:val="center"/>
              <w:rPr>
                <w:rFonts w:ascii="Times New Roman"/>
                <w:color w:val="000000" w:themeColor="text1"/>
                <w:sz w:val="21"/>
                <w:szCs w:val="21"/>
                <w:lang w:bidi="ar"/>
              </w:rPr>
            </w:pPr>
            <w:r w:rsidRPr="008A2411">
              <w:rPr>
                <w:rFonts w:ascii="Times New Roman"/>
                <w:color w:val="000000" w:themeColor="text1"/>
                <w:sz w:val="21"/>
                <w:szCs w:val="21"/>
                <w:lang w:bidi="ar"/>
              </w:rPr>
              <w:t>缺点：产生废分子筛等固废</w:t>
            </w:r>
          </w:p>
        </w:tc>
      </w:tr>
    </w:tbl>
    <w:p w14:paraId="1D947E27" w14:textId="77777777" w:rsidR="00B0005F" w:rsidRPr="008A2411" w:rsidRDefault="00000000">
      <w:pPr>
        <w:pStyle w:val="affff2"/>
        <w:spacing w:before="0" w:beforeAutospacing="0" w:after="0" w:afterAutospacing="0" w:line="360" w:lineRule="auto"/>
        <w:ind w:firstLineChars="200" w:firstLine="480"/>
        <w:rPr>
          <w:rFonts w:ascii="Times New Roman" w:eastAsiaTheme="minorEastAsia" w:hAnsi="Times New Roman" w:cs="Times New Roman"/>
          <w:color w:val="000000" w:themeColor="text1"/>
          <w:sz w:val="24"/>
          <w:szCs w:val="24"/>
          <w:lang w:bidi="ar"/>
        </w:rPr>
      </w:pPr>
      <w:r w:rsidRPr="008A2411">
        <w:rPr>
          <w:rFonts w:ascii="Times New Roman" w:eastAsiaTheme="minorEastAsia" w:hAnsi="Times New Roman" w:cs="Times New Roman"/>
          <w:color w:val="000000" w:themeColor="text1"/>
          <w:sz w:val="24"/>
          <w:szCs w:val="24"/>
          <w:lang w:bidi="ar"/>
        </w:rPr>
        <w:t>低温冷凝法主要用于避免天然气在温度低时出现水化物，然而它所允许达到的低温是有限的，不能满足天然气液化的脱水精度要求；化学试剂法溶剂再生困难，不适用于工业化装置的脱水；溶剂吸收通常包括浓酸（一般是浓磷酸等有机酸）、甘醇（常用的是三甘醇）等，但这些方法脱水深度较低，不能满足深冷装</w:t>
      </w:r>
      <w:r w:rsidRPr="008A2411">
        <w:rPr>
          <w:rFonts w:ascii="Times New Roman" w:eastAsiaTheme="minorEastAsia" w:hAnsi="Times New Roman" w:cs="Times New Roman"/>
          <w:color w:val="000000" w:themeColor="text1"/>
          <w:sz w:val="24"/>
          <w:szCs w:val="24"/>
          <w:lang w:bidi="ar"/>
        </w:rPr>
        <w:lastRenderedPageBreak/>
        <w:t>置脱除精度要求；固体干燥剂脱水法常见的是硅胶法、分子筛法或这两种方法的混合使用。</w:t>
      </w:r>
    </w:p>
    <w:p w14:paraId="64B8613A" w14:textId="77777777" w:rsidR="00B0005F" w:rsidRPr="008A2411" w:rsidRDefault="00000000">
      <w:pPr>
        <w:pStyle w:val="affff2"/>
        <w:spacing w:before="0" w:beforeAutospacing="0" w:after="0" w:afterAutospacing="0" w:line="360" w:lineRule="auto"/>
        <w:ind w:firstLineChars="200" w:firstLine="480"/>
        <w:rPr>
          <w:rFonts w:ascii="Times New Roman" w:eastAsiaTheme="minorEastAsia" w:hAnsi="Times New Roman" w:cs="Times New Roman"/>
          <w:color w:val="000000" w:themeColor="text1"/>
          <w:sz w:val="24"/>
          <w:szCs w:val="24"/>
          <w:lang w:bidi="ar"/>
        </w:rPr>
      </w:pPr>
      <w:r w:rsidRPr="008A2411">
        <w:rPr>
          <w:rFonts w:ascii="Times New Roman" w:eastAsiaTheme="minorEastAsia" w:hAnsi="Times New Roman" w:cs="Times New Roman"/>
          <w:color w:val="000000" w:themeColor="text1"/>
          <w:sz w:val="24"/>
          <w:szCs w:val="24"/>
          <w:lang w:bidi="ar"/>
        </w:rPr>
        <w:t>从环境保护角度，上述四种方法在环保上固体吸附脱水</w:t>
      </w:r>
      <w:proofErr w:type="gramStart"/>
      <w:r w:rsidRPr="008A2411">
        <w:rPr>
          <w:rFonts w:ascii="Times New Roman" w:eastAsiaTheme="minorEastAsia" w:hAnsi="Times New Roman" w:cs="Times New Roman"/>
          <w:color w:val="000000" w:themeColor="text1"/>
          <w:sz w:val="24"/>
          <w:szCs w:val="24"/>
          <w:lang w:bidi="ar"/>
        </w:rPr>
        <w:t>法相较</w:t>
      </w:r>
      <w:proofErr w:type="gramEnd"/>
      <w:r w:rsidRPr="008A2411">
        <w:rPr>
          <w:rFonts w:ascii="Times New Roman" w:eastAsiaTheme="minorEastAsia" w:hAnsi="Times New Roman" w:cs="Times New Roman"/>
          <w:color w:val="000000" w:themeColor="text1"/>
          <w:sz w:val="24"/>
          <w:szCs w:val="24"/>
          <w:lang w:bidi="ar"/>
        </w:rPr>
        <w:t>于其它方法，有工艺成熟、环境风险小的特点，虽然运行生产时会产生废分子筛等固废，但通过采取相应收集处置措施后，不会对环境造成二次污染。因此，从工艺技术上，能达到脱除后含水量</w:t>
      </w:r>
      <w:r w:rsidRPr="008A2411">
        <w:rPr>
          <w:rFonts w:ascii="Times New Roman" w:eastAsiaTheme="minorEastAsia" w:hAnsi="Times New Roman" w:cs="Times New Roman"/>
          <w:color w:val="000000" w:themeColor="text1"/>
          <w:sz w:val="24"/>
          <w:szCs w:val="24"/>
          <w:lang w:bidi="ar"/>
        </w:rPr>
        <w:t>≤1ppm</w:t>
      </w:r>
      <w:r w:rsidRPr="008A2411">
        <w:rPr>
          <w:rFonts w:ascii="Times New Roman" w:eastAsiaTheme="minorEastAsia" w:hAnsi="Times New Roman" w:cs="Times New Roman"/>
          <w:color w:val="000000" w:themeColor="text1"/>
          <w:sz w:val="24"/>
          <w:szCs w:val="24"/>
          <w:lang w:bidi="ar"/>
        </w:rPr>
        <w:t>的水平，需选择吸附能力强（脱除后含水量</w:t>
      </w:r>
      <w:r w:rsidRPr="008A2411">
        <w:rPr>
          <w:rFonts w:ascii="Times New Roman" w:eastAsiaTheme="minorEastAsia" w:hAnsi="Times New Roman" w:cs="Times New Roman"/>
          <w:color w:val="000000" w:themeColor="text1"/>
          <w:sz w:val="24"/>
          <w:szCs w:val="24"/>
          <w:lang w:bidi="ar"/>
        </w:rPr>
        <w:t>≤1ppm</w:t>
      </w:r>
      <w:r w:rsidRPr="008A2411">
        <w:rPr>
          <w:rFonts w:ascii="Times New Roman" w:eastAsiaTheme="minorEastAsia" w:hAnsi="Times New Roman" w:cs="Times New Roman"/>
          <w:color w:val="000000" w:themeColor="text1"/>
          <w:sz w:val="24"/>
          <w:szCs w:val="24"/>
          <w:lang w:bidi="ar"/>
        </w:rPr>
        <w:t>）、低水汽分压下的高吸附特性以及同时进一步脱除残余酸性气等的工艺。因此，基于本项目的脱水深度要求，和固体吸附脱水法（分子筛吸附法）的优点等因素选择固体吸附脱水法（三塔分子筛）脱水法。在满足环境保护要求的同时，有着更好的技术优势。</w:t>
      </w:r>
    </w:p>
    <w:p w14:paraId="1076DDB7" w14:textId="77777777" w:rsidR="00B0005F" w:rsidRPr="008A2411" w:rsidRDefault="00000000">
      <w:pPr>
        <w:pStyle w:val="affff2"/>
        <w:spacing w:before="0" w:beforeAutospacing="0" w:after="0" w:afterAutospacing="0" w:line="360" w:lineRule="auto"/>
        <w:ind w:firstLineChars="200" w:firstLine="482"/>
        <w:rPr>
          <w:rFonts w:ascii="Times New Roman" w:eastAsiaTheme="minorEastAsia" w:hAnsi="Times New Roman" w:cs="Times New Roman"/>
          <w:b/>
          <w:bCs/>
          <w:color w:val="000000" w:themeColor="text1"/>
          <w:sz w:val="24"/>
          <w:szCs w:val="24"/>
          <w:lang w:bidi="ar"/>
        </w:rPr>
      </w:pPr>
      <w:r w:rsidRPr="008A2411">
        <w:rPr>
          <w:rFonts w:ascii="Times New Roman" w:eastAsiaTheme="minorEastAsia" w:hAnsi="Times New Roman" w:cs="Times New Roman"/>
          <w:b/>
          <w:bCs/>
          <w:color w:val="000000" w:themeColor="text1"/>
          <w:sz w:val="24"/>
          <w:szCs w:val="24"/>
          <w:lang w:bidi="ar"/>
        </w:rPr>
        <w:t>（</w:t>
      </w:r>
      <w:r w:rsidRPr="008A2411">
        <w:rPr>
          <w:rFonts w:ascii="Times New Roman" w:eastAsiaTheme="minorEastAsia" w:hAnsi="Times New Roman" w:cs="Times New Roman"/>
          <w:b/>
          <w:bCs/>
          <w:color w:val="000000" w:themeColor="text1"/>
          <w:sz w:val="24"/>
          <w:szCs w:val="24"/>
          <w:lang w:bidi="ar"/>
        </w:rPr>
        <w:t>3</w:t>
      </w:r>
      <w:r w:rsidRPr="008A2411">
        <w:rPr>
          <w:rFonts w:ascii="Times New Roman" w:eastAsiaTheme="minorEastAsia" w:hAnsi="Times New Roman" w:cs="Times New Roman"/>
          <w:b/>
          <w:bCs/>
          <w:color w:val="000000" w:themeColor="text1"/>
          <w:sz w:val="24"/>
          <w:szCs w:val="24"/>
          <w:lang w:bidi="ar"/>
        </w:rPr>
        <w:t>）脱汞工艺选择</w:t>
      </w:r>
      <w:r w:rsidRPr="008A2411">
        <w:rPr>
          <w:rFonts w:ascii="Times New Roman" w:eastAsiaTheme="minorEastAsia" w:hAnsi="Times New Roman" w:cs="Times New Roman"/>
          <w:b/>
          <w:bCs/>
          <w:color w:val="000000" w:themeColor="text1"/>
          <w:sz w:val="24"/>
          <w:szCs w:val="24"/>
          <w:lang w:bidi="ar"/>
        </w:rPr>
        <w:t xml:space="preserve"> </w:t>
      </w:r>
    </w:p>
    <w:p w14:paraId="3B2481AF" w14:textId="77777777" w:rsidR="00B0005F" w:rsidRPr="008A2411" w:rsidRDefault="00000000">
      <w:pPr>
        <w:pStyle w:val="affff2"/>
        <w:spacing w:before="0" w:beforeAutospacing="0" w:after="0" w:afterAutospacing="0" w:line="360" w:lineRule="auto"/>
        <w:ind w:firstLine="480"/>
        <w:rPr>
          <w:rFonts w:ascii="Times New Roman" w:eastAsiaTheme="minorEastAsia" w:hAnsi="Times New Roman" w:cs="Times New Roman"/>
          <w:color w:val="000000" w:themeColor="text1"/>
          <w:sz w:val="24"/>
          <w:szCs w:val="24"/>
          <w:lang w:bidi="ar"/>
        </w:rPr>
      </w:pPr>
      <w:r w:rsidRPr="008A2411">
        <w:rPr>
          <w:rFonts w:ascii="Times New Roman" w:eastAsiaTheme="minorEastAsia" w:hAnsi="Times New Roman" w:cs="Times New Roman"/>
          <w:color w:val="000000" w:themeColor="text1"/>
          <w:sz w:val="24"/>
          <w:szCs w:val="24"/>
          <w:lang w:bidi="ar"/>
        </w:rPr>
        <w:t>天然气中如含有汞，将会与液化冷箱中的铝制板翅式换热器反应，发生汞腐蚀，从而造成换热器的损坏。因此，天然气在</w:t>
      </w:r>
      <w:proofErr w:type="gramStart"/>
      <w:r w:rsidRPr="008A2411">
        <w:rPr>
          <w:rFonts w:ascii="Times New Roman" w:eastAsiaTheme="minorEastAsia" w:hAnsi="Times New Roman" w:cs="Times New Roman"/>
          <w:color w:val="000000" w:themeColor="text1"/>
          <w:sz w:val="24"/>
          <w:szCs w:val="24"/>
          <w:lang w:bidi="ar"/>
        </w:rPr>
        <w:t>进冷箱</w:t>
      </w:r>
      <w:proofErr w:type="gramEnd"/>
      <w:r w:rsidRPr="008A2411">
        <w:rPr>
          <w:rFonts w:ascii="Times New Roman" w:eastAsiaTheme="minorEastAsia" w:hAnsi="Times New Roman" w:cs="Times New Roman"/>
          <w:color w:val="000000" w:themeColor="text1"/>
          <w:sz w:val="24"/>
          <w:szCs w:val="24"/>
          <w:lang w:bidi="ar"/>
        </w:rPr>
        <w:t>之前需要进行脱汞处理，将原料气体中汞含量脱除至</w:t>
      </w:r>
      <w:r w:rsidRPr="008A2411">
        <w:rPr>
          <w:rFonts w:ascii="Times New Roman" w:eastAsiaTheme="minorEastAsia" w:hAnsi="Times New Roman" w:cs="Times New Roman"/>
          <w:color w:val="000000" w:themeColor="text1"/>
          <w:sz w:val="24"/>
          <w:szCs w:val="24"/>
          <w:lang w:bidi="ar"/>
        </w:rPr>
        <w:t>≤0.01μg/Nm</w:t>
      </w:r>
      <w:r w:rsidRPr="008A2411">
        <w:rPr>
          <w:rFonts w:ascii="Times New Roman" w:eastAsiaTheme="minorEastAsia" w:hAnsi="Times New Roman" w:cs="Times New Roman"/>
          <w:color w:val="000000" w:themeColor="text1"/>
          <w:sz w:val="24"/>
          <w:szCs w:val="24"/>
          <w:vertAlign w:val="superscript"/>
          <w:lang w:bidi="ar"/>
        </w:rPr>
        <w:t>3</w:t>
      </w:r>
      <w:r w:rsidRPr="008A2411">
        <w:rPr>
          <w:rFonts w:ascii="Times New Roman" w:eastAsiaTheme="minorEastAsia" w:hAnsi="Times New Roman" w:cs="Times New Roman"/>
          <w:color w:val="000000" w:themeColor="text1"/>
          <w:sz w:val="24"/>
          <w:szCs w:val="24"/>
          <w:lang w:bidi="ar"/>
        </w:rPr>
        <w:t>。</w:t>
      </w:r>
    </w:p>
    <w:p w14:paraId="028FE601" w14:textId="77777777" w:rsidR="00B0005F" w:rsidRPr="008A2411" w:rsidRDefault="00000000">
      <w:pPr>
        <w:pStyle w:val="affff2"/>
        <w:spacing w:before="0" w:beforeAutospacing="0" w:after="0" w:afterAutospacing="0" w:line="360" w:lineRule="auto"/>
        <w:ind w:firstLine="480"/>
        <w:rPr>
          <w:rFonts w:ascii="Times New Roman" w:eastAsiaTheme="minorEastAsia" w:hAnsi="Times New Roman" w:cs="Times New Roman"/>
          <w:color w:val="000000" w:themeColor="text1"/>
          <w:sz w:val="24"/>
          <w:szCs w:val="24"/>
          <w:lang w:bidi="ar"/>
        </w:rPr>
      </w:pPr>
      <w:r w:rsidRPr="008A2411">
        <w:rPr>
          <w:rFonts w:ascii="Times New Roman" w:eastAsiaTheme="minorEastAsia" w:hAnsi="Times New Roman" w:cs="Times New Roman"/>
          <w:color w:val="000000" w:themeColor="text1"/>
          <w:sz w:val="24"/>
          <w:szCs w:val="24"/>
          <w:lang w:bidi="ar"/>
        </w:rPr>
        <w:t>目前，国内和国际上通用的脱汞工艺主要采用</w:t>
      </w:r>
      <w:proofErr w:type="spellStart"/>
      <w:r w:rsidRPr="008A2411">
        <w:rPr>
          <w:rFonts w:ascii="Times New Roman" w:eastAsiaTheme="minorEastAsia" w:hAnsi="Times New Roman" w:cs="Times New Roman"/>
          <w:color w:val="000000" w:themeColor="text1"/>
          <w:sz w:val="24"/>
          <w:szCs w:val="24"/>
          <w:lang w:bidi="ar"/>
        </w:rPr>
        <w:t>HgSIV</w:t>
      </w:r>
      <w:proofErr w:type="spellEnd"/>
      <w:r w:rsidRPr="008A2411">
        <w:rPr>
          <w:rFonts w:ascii="Times New Roman" w:eastAsiaTheme="minorEastAsia" w:hAnsi="Times New Roman" w:cs="Times New Roman"/>
          <w:color w:val="000000" w:themeColor="text1"/>
          <w:sz w:val="24"/>
          <w:szCs w:val="24"/>
          <w:lang w:bidi="ar"/>
        </w:rPr>
        <w:t>分子筛吸附法</w:t>
      </w:r>
      <w:proofErr w:type="gramStart"/>
      <w:r w:rsidRPr="008A2411">
        <w:rPr>
          <w:rFonts w:ascii="Times New Roman" w:eastAsiaTheme="minorEastAsia" w:hAnsi="Times New Roman" w:cs="Times New Roman"/>
          <w:color w:val="000000" w:themeColor="text1"/>
          <w:sz w:val="24"/>
          <w:szCs w:val="24"/>
          <w:lang w:bidi="ar"/>
        </w:rPr>
        <w:t>和浸硫活性炭</w:t>
      </w:r>
      <w:proofErr w:type="gramEnd"/>
      <w:r w:rsidRPr="008A2411">
        <w:rPr>
          <w:rFonts w:ascii="Times New Roman" w:eastAsiaTheme="minorEastAsia" w:hAnsi="Times New Roman" w:cs="Times New Roman"/>
          <w:color w:val="000000" w:themeColor="text1"/>
          <w:sz w:val="24"/>
          <w:szCs w:val="24"/>
          <w:lang w:bidi="ar"/>
        </w:rPr>
        <w:t>吸附法脱除天然气中的汞，</w:t>
      </w:r>
      <w:proofErr w:type="gramStart"/>
      <w:r w:rsidRPr="008A2411">
        <w:rPr>
          <w:rFonts w:ascii="Times New Roman" w:eastAsiaTheme="minorEastAsia" w:hAnsi="Times New Roman" w:cs="Times New Roman"/>
          <w:color w:val="000000" w:themeColor="text1"/>
          <w:sz w:val="24"/>
          <w:szCs w:val="24"/>
          <w:lang w:bidi="ar"/>
        </w:rPr>
        <w:t>其中浸硫活性炭</w:t>
      </w:r>
      <w:proofErr w:type="gramEnd"/>
      <w:r w:rsidRPr="008A2411">
        <w:rPr>
          <w:rFonts w:ascii="Times New Roman" w:eastAsiaTheme="minorEastAsia" w:hAnsi="Times New Roman" w:cs="Times New Roman"/>
          <w:color w:val="000000" w:themeColor="text1"/>
          <w:sz w:val="24"/>
          <w:szCs w:val="24"/>
          <w:lang w:bidi="ar"/>
        </w:rPr>
        <w:t>脱</w:t>
      </w:r>
      <w:proofErr w:type="gramStart"/>
      <w:r w:rsidRPr="008A2411">
        <w:rPr>
          <w:rFonts w:ascii="Times New Roman" w:eastAsiaTheme="minorEastAsia" w:hAnsi="Times New Roman" w:cs="Times New Roman"/>
          <w:color w:val="000000" w:themeColor="text1"/>
          <w:sz w:val="24"/>
          <w:szCs w:val="24"/>
          <w:lang w:bidi="ar"/>
        </w:rPr>
        <w:t>汞反应</w:t>
      </w:r>
      <w:proofErr w:type="gramEnd"/>
      <w:r w:rsidRPr="008A2411">
        <w:rPr>
          <w:rFonts w:ascii="Times New Roman" w:eastAsiaTheme="minorEastAsia" w:hAnsi="Times New Roman" w:cs="Times New Roman"/>
          <w:color w:val="000000" w:themeColor="text1"/>
          <w:sz w:val="24"/>
          <w:szCs w:val="24"/>
          <w:lang w:bidi="ar"/>
        </w:rPr>
        <w:t>原理如下：</w:t>
      </w:r>
      <w:r w:rsidRPr="008A2411">
        <w:rPr>
          <w:rFonts w:ascii="Times New Roman" w:eastAsiaTheme="minorEastAsia" w:hAnsi="Times New Roman" w:cs="Times New Roman"/>
          <w:color w:val="000000" w:themeColor="text1"/>
          <w:sz w:val="24"/>
          <w:szCs w:val="24"/>
          <w:lang w:bidi="ar"/>
        </w:rPr>
        <w:t xml:space="preserve">Hg + S = </w:t>
      </w:r>
      <w:proofErr w:type="spellStart"/>
      <w:r w:rsidRPr="008A2411">
        <w:rPr>
          <w:rFonts w:ascii="Times New Roman" w:eastAsiaTheme="minorEastAsia" w:hAnsi="Times New Roman" w:cs="Times New Roman"/>
          <w:color w:val="000000" w:themeColor="text1"/>
          <w:sz w:val="24"/>
          <w:szCs w:val="24"/>
          <w:lang w:bidi="ar"/>
        </w:rPr>
        <w:t>HgS</w:t>
      </w:r>
      <w:proofErr w:type="spellEnd"/>
    </w:p>
    <w:p w14:paraId="65775627" w14:textId="77777777" w:rsidR="00B0005F" w:rsidRPr="008A2411" w:rsidRDefault="00000000">
      <w:pPr>
        <w:pStyle w:val="affff2"/>
        <w:spacing w:before="0" w:beforeAutospacing="0" w:after="0" w:afterAutospacing="0" w:line="360" w:lineRule="auto"/>
        <w:ind w:firstLine="480"/>
        <w:rPr>
          <w:rFonts w:ascii="Times New Roman" w:eastAsiaTheme="minorEastAsia" w:hAnsi="Times New Roman" w:cs="Times New Roman"/>
          <w:color w:val="000000" w:themeColor="text1"/>
          <w:sz w:val="24"/>
          <w:szCs w:val="24"/>
          <w:lang w:bidi="ar"/>
        </w:rPr>
      </w:pPr>
      <w:r w:rsidRPr="008A2411">
        <w:rPr>
          <w:rFonts w:ascii="Times New Roman" w:eastAsiaTheme="minorEastAsia" w:hAnsi="Times New Roman" w:cs="Times New Roman"/>
          <w:color w:val="000000" w:themeColor="text1"/>
          <w:sz w:val="24"/>
          <w:szCs w:val="24"/>
          <w:lang w:bidi="ar"/>
        </w:rPr>
        <w:t>天然气中</w:t>
      </w:r>
      <w:proofErr w:type="gramStart"/>
      <w:r w:rsidRPr="008A2411">
        <w:rPr>
          <w:rFonts w:ascii="Times New Roman" w:eastAsiaTheme="minorEastAsia" w:hAnsi="Times New Roman" w:cs="Times New Roman"/>
          <w:color w:val="000000" w:themeColor="text1"/>
          <w:sz w:val="24"/>
          <w:szCs w:val="24"/>
          <w:lang w:bidi="ar"/>
        </w:rPr>
        <w:t>的汞与脱</w:t>
      </w:r>
      <w:proofErr w:type="gramEnd"/>
      <w:r w:rsidRPr="008A2411">
        <w:rPr>
          <w:rFonts w:ascii="Times New Roman" w:eastAsiaTheme="minorEastAsia" w:hAnsi="Times New Roman" w:cs="Times New Roman"/>
          <w:color w:val="000000" w:themeColor="text1"/>
          <w:sz w:val="24"/>
          <w:szCs w:val="24"/>
          <w:lang w:bidi="ar"/>
        </w:rPr>
        <w:t>汞剂中孔道表面的硫反应，生成的</w:t>
      </w:r>
      <w:proofErr w:type="spellStart"/>
      <w:r w:rsidRPr="008A2411">
        <w:rPr>
          <w:rFonts w:ascii="Times New Roman" w:eastAsiaTheme="minorEastAsia" w:hAnsi="Times New Roman" w:cs="Times New Roman"/>
          <w:color w:val="000000" w:themeColor="text1"/>
          <w:sz w:val="24"/>
          <w:szCs w:val="24"/>
          <w:lang w:bidi="ar"/>
        </w:rPr>
        <w:t>HgS</w:t>
      </w:r>
      <w:proofErr w:type="spellEnd"/>
      <w:r w:rsidRPr="008A2411">
        <w:rPr>
          <w:rFonts w:ascii="Times New Roman" w:eastAsiaTheme="minorEastAsia" w:hAnsi="Times New Roman" w:cs="Times New Roman"/>
          <w:color w:val="000000" w:themeColor="text1"/>
          <w:sz w:val="24"/>
          <w:szCs w:val="24"/>
          <w:lang w:bidi="ar"/>
        </w:rPr>
        <w:t>被截留在吸附的众多孔道内，以达到脱汞的目的。</w:t>
      </w:r>
    </w:p>
    <w:p w14:paraId="2E31134D" w14:textId="77777777" w:rsidR="00B0005F" w:rsidRPr="008A2411" w:rsidRDefault="00000000">
      <w:pPr>
        <w:pStyle w:val="affff2"/>
        <w:spacing w:before="0" w:beforeAutospacing="0" w:after="0" w:afterAutospacing="0" w:line="360" w:lineRule="auto"/>
        <w:ind w:firstLine="480"/>
        <w:rPr>
          <w:rFonts w:ascii="Times New Roman" w:eastAsiaTheme="minorEastAsia" w:hAnsi="Times New Roman" w:cs="Times New Roman"/>
          <w:color w:val="000000" w:themeColor="text1"/>
          <w:sz w:val="24"/>
          <w:szCs w:val="24"/>
          <w:lang w:bidi="ar"/>
        </w:rPr>
      </w:pPr>
      <w:r w:rsidRPr="008A2411">
        <w:rPr>
          <w:rFonts w:ascii="Times New Roman" w:eastAsiaTheme="minorEastAsia" w:hAnsi="Times New Roman" w:cs="Times New Roman"/>
          <w:color w:val="000000" w:themeColor="text1"/>
          <w:sz w:val="24"/>
          <w:szCs w:val="24"/>
          <w:lang w:bidi="ar"/>
        </w:rPr>
        <w:t>从环境保护的角度，选择专用</w:t>
      </w:r>
      <w:proofErr w:type="gramStart"/>
      <w:r w:rsidRPr="008A2411">
        <w:rPr>
          <w:rFonts w:ascii="Times New Roman" w:eastAsiaTheme="minorEastAsia" w:hAnsi="Times New Roman" w:cs="Times New Roman"/>
          <w:color w:val="000000" w:themeColor="text1"/>
          <w:sz w:val="24"/>
          <w:szCs w:val="24"/>
          <w:lang w:bidi="ar"/>
        </w:rPr>
        <w:t>的浸硫活性炭</w:t>
      </w:r>
      <w:proofErr w:type="gramEnd"/>
      <w:r w:rsidRPr="008A2411">
        <w:rPr>
          <w:rFonts w:ascii="Times New Roman" w:eastAsiaTheme="minorEastAsia" w:hAnsi="Times New Roman" w:cs="Times New Roman"/>
          <w:color w:val="000000" w:themeColor="text1"/>
          <w:sz w:val="24"/>
          <w:szCs w:val="24"/>
          <w:lang w:bidi="ar"/>
        </w:rPr>
        <w:t>吸附法在有效脱除天然气中的汞的同时，需采取有效措施，</w:t>
      </w:r>
      <w:proofErr w:type="gramStart"/>
      <w:r w:rsidRPr="008A2411">
        <w:rPr>
          <w:rFonts w:ascii="Times New Roman" w:eastAsiaTheme="minorEastAsia" w:hAnsi="Times New Roman" w:cs="Times New Roman"/>
          <w:color w:val="000000" w:themeColor="text1"/>
          <w:sz w:val="24"/>
          <w:szCs w:val="24"/>
          <w:lang w:bidi="ar"/>
        </w:rPr>
        <w:t>落实废脱汞</w:t>
      </w:r>
      <w:proofErr w:type="gramEnd"/>
      <w:r w:rsidRPr="008A2411">
        <w:rPr>
          <w:rFonts w:ascii="Times New Roman" w:eastAsiaTheme="minorEastAsia" w:hAnsi="Times New Roman" w:cs="Times New Roman"/>
          <w:color w:val="000000" w:themeColor="text1"/>
          <w:sz w:val="24"/>
          <w:szCs w:val="24"/>
          <w:lang w:bidi="ar"/>
        </w:rPr>
        <w:t>吸附剂的收集处置，杜绝形成二次污染，采取用</w:t>
      </w:r>
      <w:proofErr w:type="gramStart"/>
      <w:r w:rsidRPr="008A2411">
        <w:rPr>
          <w:rFonts w:ascii="Times New Roman" w:eastAsiaTheme="minorEastAsia" w:hAnsi="Times New Roman" w:cs="Times New Roman"/>
          <w:color w:val="000000" w:themeColor="text1"/>
          <w:sz w:val="24"/>
          <w:szCs w:val="24"/>
          <w:lang w:bidi="ar"/>
        </w:rPr>
        <w:t>的浸硫活性炭</w:t>
      </w:r>
      <w:proofErr w:type="gramEnd"/>
      <w:r w:rsidRPr="008A2411">
        <w:rPr>
          <w:rFonts w:ascii="Times New Roman" w:eastAsiaTheme="minorEastAsia" w:hAnsi="Times New Roman" w:cs="Times New Roman"/>
          <w:color w:val="000000" w:themeColor="text1"/>
          <w:sz w:val="24"/>
          <w:szCs w:val="24"/>
          <w:lang w:bidi="ar"/>
        </w:rPr>
        <w:t>吸附法可行。</w:t>
      </w:r>
    </w:p>
    <w:p w14:paraId="2BBE487E" w14:textId="77777777" w:rsidR="00B0005F" w:rsidRPr="008A2411" w:rsidRDefault="00000000">
      <w:pPr>
        <w:tabs>
          <w:tab w:val="left" w:pos="1008"/>
        </w:tabs>
        <w:adjustRightInd w:val="0"/>
        <w:snapToGrid w:val="0"/>
        <w:spacing w:line="360" w:lineRule="auto"/>
        <w:rPr>
          <w:rFonts w:ascii="Times New Roman"/>
          <w:color w:val="000000" w:themeColor="text1"/>
          <w:szCs w:val="24"/>
        </w:rPr>
      </w:pPr>
      <w:r w:rsidRPr="008A2411">
        <w:rPr>
          <w:rFonts w:ascii="Times New Roman"/>
          <w:b/>
          <w:color w:val="000000" w:themeColor="text1"/>
          <w:szCs w:val="24"/>
        </w:rPr>
        <w:t>2</w:t>
      </w:r>
      <w:r w:rsidRPr="008A2411">
        <w:rPr>
          <w:rFonts w:ascii="Times New Roman"/>
          <w:b/>
          <w:color w:val="000000" w:themeColor="text1"/>
          <w:szCs w:val="24"/>
        </w:rPr>
        <w:t>、</w:t>
      </w:r>
      <w:r w:rsidRPr="008A2411">
        <w:rPr>
          <w:rFonts w:ascii="Times New Roman"/>
          <w:color w:val="000000" w:themeColor="text1"/>
          <w:szCs w:val="24"/>
        </w:rPr>
        <w:t>产品液化工艺选择</w:t>
      </w:r>
    </w:p>
    <w:p w14:paraId="3DEFC33E" w14:textId="77777777" w:rsidR="00B0005F" w:rsidRPr="008A2411" w:rsidRDefault="00000000">
      <w:pPr>
        <w:widowControl/>
        <w:adjustRightInd w:val="0"/>
        <w:snapToGrid w:val="0"/>
        <w:spacing w:line="360" w:lineRule="auto"/>
        <w:ind w:firstLineChars="200" w:firstLine="480"/>
        <w:jc w:val="left"/>
        <w:rPr>
          <w:rFonts w:ascii="Times New Roman"/>
          <w:bCs/>
          <w:color w:val="000000" w:themeColor="text1"/>
          <w:szCs w:val="24"/>
        </w:rPr>
      </w:pPr>
      <w:r w:rsidRPr="008A2411">
        <w:rPr>
          <w:rFonts w:ascii="Times New Roman"/>
          <w:bCs/>
          <w:color w:val="000000" w:themeColor="text1"/>
          <w:szCs w:val="24"/>
          <w:lang w:bidi="ar"/>
        </w:rPr>
        <w:t>目前国内外在天然气烃类液化领域中成熟的液化工艺主要有以下三种：阶式制冷循环工艺、混合制冷循环工艺和</w:t>
      </w:r>
      <w:proofErr w:type="gramStart"/>
      <w:r w:rsidRPr="008A2411">
        <w:rPr>
          <w:rFonts w:ascii="Times New Roman"/>
          <w:bCs/>
          <w:color w:val="000000" w:themeColor="text1"/>
          <w:szCs w:val="24"/>
          <w:lang w:bidi="ar"/>
        </w:rPr>
        <w:t>膨胀机</w:t>
      </w:r>
      <w:proofErr w:type="gramEnd"/>
      <w:r w:rsidRPr="008A2411">
        <w:rPr>
          <w:rFonts w:ascii="Times New Roman"/>
          <w:bCs/>
          <w:color w:val="000000" w:themeColor="text1"/>
          <w:szCs w:val="24"/>
          <w:lang w:bidi="ar"/>
        </w:rPr>
        <w:t>制冷循环工艺。</w:t>
      </w:r>
    </w:p>
    <w:p w14:paraId="32220794" w14:textId="77777777" w:rsidR="00B0005F" w:rsidRPr="008A2411" w:rsidRDefault="00000000">
      <w:pPr>
        <w:pStyle w:val="affff2"/>
        <w:adjustRightInd w:val="0"/>
        <w:snapToGrid w:val="0"/>
        <w:spacing w:before="0" w:beforeAutospacing="0" w:after="0" w:afterAutospacing="0" w:line="360" w:lineRule="auto"/>
        <w:ind w:firstLineChars="200" w:firstLine="480"/>
        <w:rPr>
          <w:rFonts w:ascii="Times New Roman" w:eastAsia="宋体" w:hAnsi="Times New Roman" w:cs="Times New Roman"/>
          <w:color w:val="000000" w:themeColor="text1"/>
          <w:sz w:val="24"/>
          <w:szCs w:val="24"/>
        </w:rPr>
      </w:pPr>
      <w:r w:rsidRPr="008A2411">
        <w:rPr>
          <w:rFonts w:ascii="Times New Roman" w:eastAsia="宋体" w:hAnsi="Times New Roman" w:cs="Times New Roman"/>
          <w:color w:val="000000" w:themeColor="text1"/>
          <w:sz w:val="24"/>
          <w:szCs w:val="24"/>
          <w:lang w:bidi="ar"/>
        </w:rPr>
        <w:t>1</w:t>
      </w:r>
      <w:r w:rsidRPr="008A2411">
        <w:rPr>
          <w:rFonts w:ascii="Times New Roman" w:eastAsia="宋体" w:hAnsi="Times New Roman" w:cs="Times New Roman"/>
          <w:color w:val="000000" w:themeColor="text1"/>
          <w:sz w:val="24"/>
          <w:szCs w:val="24"/>
          <w:lang w:bidi="ar"/>
        </w:rPr>
        <w:t>、阶式制冷循环工艺</w:t>
      </w:r>
    </w:p>
    <w:p w14:paraId="5E897B60" w14:textId="77777777" w:rsidR="00B0005F" w:rsidRPr="008A2411" w:rsidRDefault="00000000">
      <w:pPr>
        <w:widowControl/>
        <w:adjustRightInd w:val="0"/>
        <w:snapToGrid w:val="0"/>
        <w:spacing w:line="360" w:lineRule="auto"/>
        <w:ind w:firstLineChars="200" w:firstLine="480"/>
        <w:jc w:val="left"/>
        <w:rPr>
          <w:rFonts w:ascii="Times New Roman"/>
          <w:bCs/>
          <w:color w:val="000000" w:themeColor="text1"/>
          <w:szCs w:val="24"/>
        </w:rPr>
      </w:pPr>
      <w:r w:rsidRPr="008A2411">
        <w:rPr>
          <w:rFonts w:ascii="Times New Roman"/>
          <w:bCs/>
          <w:color w:val="000000" w:themeColor="text1"/>
          <w:szCs w:val="24"/>
          <w:lang w:bidi="ar"/>
        </w:rPr>
        <w:t>阶式制冷循环是用丙烷（或丙烯）、乙烷（或乙烯）、甲烷（或氮气）等</w:t>
      </w:r>
      <w:proofErr w:type="gramStart"/>
      <w:r w:rsidRPr="008A2411">
        <w:rPr>
          <w:rFonts w:ascii="Times New Roman"/>
          <w:bCs/>
          <w:color w:val="000000" w:themeColor="text1"/>
          <w:szCs w:val="24"/>
          <w:lang w:bidi="ar"/>
        </w:rPr>
        <w:t>纯冷剂</w:t>
      </w:r>
      <w:proofErr w:type="gramEnd"/>
      <w:r w:rsidRPr="008A2411">
        <w:rPr>
          <w:rFonts w:ascii="Times New Roman"/>
          <w:bCs/>
          <w:color w:val="000000" w:themeColor="text1"/>
          <w:szCs w:val="24"/>
          <w:lang w:bidi="ar"/>
        </w:rPr>
        <w:t>进行的三级冷冻，使天然气在多个温度等级的制冷剂中与相应的制冷剂换热，从而使其冷却和液化。</w:t>
      </w:r>
      <w:r w:rsidRPr="008A2411">
        <w:rPr>
          <w:rFonts w:ascii="Times New Roman"/>
          <w:bCs/>
          <w:color w:val="000000" w:themeColor="text1"/>
          <w:szCs w:val="24"/>
          <w:lang w:bidi="ar"/>
        </w:rPr>
        <w:t xml:space="preserve"> </w:t>
      </w:r>
    </w:p>
    <w:p w14:paraId="5B4EFE12" w14:textId="77777777" w:rsidR="00B0005F" w:rsidRPr="008A2411" w:rsidRDefault="00000000">
      <w:pPr>
        <w:widowControl/>
        <w:adjustRightInd w:val="0"/>
        <w:snapToGrid w:val="0"/>
        <w:spacing w:line="360" w:lineRule="auto"/>
        <w:ind w:firstLineChars="200" w:firstLine="480"/>
        <w:jc w:val="left"/>
        <w:rPr>
          <w:rFonts w:ascii="Times New Roman"/>
          <w:bCs/>
          <w:color w:val="000000" w:themeColor="text1"/>
          <w:szCs w:val="24"/>
        </w:rPr>
      </w:pPr>
      <w:r w:rsidRPr="008A2411">
        <w:rPr>
          <w:rFonts w:ascii="Times New Roman"/>
          <w:bCs/>
          <w:color w:val="000000" w:themeColor="text1"/>
          <w:szCs w:val="24"/>
          <w:lang w:bidi="ar"/>
        </w:rPr>
        <w:lastRenderedPageBreak/>
        <w:t>阶式制冷工艺操作灵活，开停车快捷，易于初期开车投产。其缺点是需要三个大型循环压缩机，以及相当数量的冷换设备；流程长、设备多、控制复杂等。主要应用于日处理量大于</w:t>
      </w:r>
      <w:r w:rsidRPr="008A2411">
        <w:rPr>
          <w:rFonts w:ascii="Times New Roman"/>
          <w:bCs/>
          <w:color w:val="000000" w:themeColor="text1"/>
          <w:szCs w:val="24"/>
          <w:lang w:bidi="ar"/>
        </w:rPr>
        <w:t>500×10</w:t>
      </w:r>
      <w:r w:rsidRPr="008A2411">
        <w:rPr>
          <w:rFonts w:ascii="Times New Roman"/>
          <w:bCs/>
          <w:color w:val="000000" w:themeColor="text1"/>
          <w:szCs w:val="24"/>
          <w:vertAlign w:val="superscript"/>
          <w:lang w:bidi="ar"/>
        </w:rPr>
        <w:t>4</w:t>
      </w:r>
      <w:r w:rsidRPr="008A2411">
        <w:rPr>
          <w:rFonts w:ascii="Times New Roman"/>
          <w:bCs/>
          <w:color w:val="000000" w:themeColor="text1"/>
          <w:szCs w:val="24"/>
          <w:lang w:bidi="ar"/>
        </w:rPr>
        <w:t>Nm</w:t>
      </w:r>
      <w:r w:rsidRPr="008A2411">
        <w:rPr>
          <w:rFonts w:ascii="Times New Roman"/>
          <w:bCs/>
          <w:color w:val="000000" w:themeColor="text1"/>
          <w:szCs w:val="24"/>
          <w:vertAlign w:val="superscript"/>
          <w:lang w:bidi="ar"/>
        </w:rPr>
        <w:t>3</w:t>
      </w:r>
      <w:r w:rsidRPr="008A2411">
        <w:rPr>
          <w:rFonts w:ascii="Times New Roman"/>
          <w:bCs/>
          <w:color w:val="000000" w:themeColor="text1"/>
          <w:szCs w:val="24"/>
          <w:lang w:bidi="ar"/>
        </w:rPr>
        <w:t>/d</w:t>
      </w:r>
      <w:r w:rsidRPr="008A2411">
        <w:rPr>
          <w:rFonts w:ascii="Times New Roman"/>
          <w:bCs/>
          <w:color w:val="000000" w:themeColor="text1"/>
          <w:szCs w:val="24"/>
          <w:lang w:bidi="ar"/>
        </w:rPr>
        <w:t>的基本负荷型天然气液化工厂。</w:t>
      </w:r>
    </w:p>
    <w:p w14:paraId="0075DD79" w14:textId="77777777" w:rsidR="00B0005F" w:rsidRPr="008A2411" w:rsidRDefault="00000000">
      <w:pPr>
        <w:pStyle w:val="affff2"/>
        <w:adjustRightInd w:val="0"/>
        <w:snapToGrid w:val="0"/>
        <w:spacing w:before="0" w:beforeAutospacing="0" w:after="0" w:afterAutospacing="0" w:line="360" w:lineRule="auto"/>
        <w:ind w:firstLineChars="200" w:firstLine="480"/>
        <w:rPr>
          <w:rFonts w:ascii="Times New Roman" w:eastAsia="宋体" w:hAnsi="Times New Roman" w:cs="Times New Roman"/>
          <w:color w:val="000000" w:themeColor="text1"/>
          <w:sz w:val="24"/>
          <w:szCs w:val="24"/>
        </w:rPr>
      </w:pPr>
      <w:r w:rsidRPr="008A2411">
        <w:rPr>
          <w:rFonts w:ascii="Times New Roman" w:eastAsia="宋体" w:hAnsi="Times New Roman" w:cs="Times New Roman"/>
          <w:color w:val="000000" w:themeColor="text1"/>
          <w:sz w:val="24"/>
          <w:szCs w:val="24"/>
          <w:lang w:bidi="ar"/>
        </w:rPr>
        <w:t>2</w:t>
      </w:r>
      <w:r w:rsidRPr="008A2411">
        <w:rPr>
          <w:rFonts w:ascii="Times New Roman" w:eastAsia="宋体" w:hAnsi="Times New Roman" w:cs="Times New Roman"/>
          <w:color w:val="000000" w:themeColor="text1"/>
          <w:sz w:val="24"/>
          <w:szCs w:val="24"/>
          <w:lang w:bidi="ar"/>
        </w:rPr>
        <w:t>、混合制冷循环工艺</w:t>
      </w:r>
    </w:p>
    <w:p w14:paraId="44BE11C5" w14:textId="77777777" w:rsidR="00B0005F" w:rsidRPr="008A2411" w:rsidRDefault="00000000">
      <w:pPr>
        <w:widowControl/>
        <w:adjustRightInd w:val="0"/>
        <w:snapToGrid w:val="0"/>
        <w:spacing w:line="360" w:lineRule="auto"/>
        <w:ind w:firstLineChars="200" w:firstLine="480"/>
        <w:jc w:val="left"/>
        <w:rPr>
          <w:rFonts w:ascii="Times New Roman"/>
          <w:bCs/>
          <w:color w:val="000000" w:themeColor="text1"/>
          <w:szCs w:val="24"/>
        </w:rPr>
      </w:pPr>
      <w:r w:rsidRPr="008A2411">
        <w:rPr>
          <w:rFonts w:ascii="Times New Roman"/>
          <w:bCs/>
          <w:color w:val="000000" w:themeColor="text1"/>
          <w:szCs w:val="24"/>
          <w:lang w:bidi="ar"/>
        </w:rPr>
        <w:t>混合制冷剂制冷循环是采用</w:t>
      </w:r>
      <w:r w:rsidRPr="008A2411">
        <w:rPr>
          <w:rFonts w:ascii="Times New Roman"/>
          <w:bCs/>
          <w:color w:val="000000" w:themeColor="text1"/>
          <w:szCs w:val="24"/>
          <w:lang w:bidi="ar"/>
        </w:rPr>
        <w:t>N</w:t>
      </w:r>
      <w:r w:rsidRPr="008A2411">
        <w:rPr>
          <w:rFonts w:ascii="Times New Roman"/>
          <w:bCs/>
          <w:color w:val="000000" w:themeColor="text1"/>
          <w:szCs w:val="24"/>
          <w:vertAlign w:val="subscript"/>
          <w:lang w:bidi="ar"/>
        </w:rPr>
        <w:t>2</w:t>
      </w:r>
      <w:r w:rsidRPr="008A2411">
        <w:rPr>
          <w:rFonts w:ascii="Times New Roman"/>
          <w:bCs/>
          <w:color w:val="000000" w:themeColor="text1"/>
          <w:szCs w:val="24"/>
          <w:lang w:bidi="ar"/>
        </w:rPr>
        <w:t>和</w:t>
      </w:r>
      <w:r w:rsidRPr="008A2411">
        <w:rPr>
          <w:rFonts w:ascii="Times New Roman"/>
          <w:bCs/>
          <w:color w:val="000000" w:themeColor="text1"/>
          <w:szCs w:val="24"/>
          <w:lang w:bidi="ar"/>
        </w:rPr>
        <w:t>C</w:t>
      </w:r>
      <w:r w:rsidRPr="008A2411">
        <w:rPr>
          <w:rFonts w:ascii="Times New Roman"/>
          <w:bCs/>
          <w:color w:val="000000" w:themeColor="text1"/>
          <w:szCs w:val="24"/>
          <w:vertAlign w:val="subscript"/>
          <w:lang w:bidi="ar"/>
        </w:rPr>
        <w:t>1</w:t>
      </w:r>
      <w:r w:rsidRPr="008A2411">
        <w:rPr>
          <w:rFonts w:ascii="Times New Roman"/>
          <w:bCs/>
          <w:color w:val="000000" w:themeColor="text1"/>
          <w:szCs w:val="24"/>
          <w:lang w:bidi="ar"/>
        </w:rPr>
        <w:t>～</w:t>
      </w:r>
      <w:r w:rsidRPr="008A2411">
        <w:rPr>
          <w:rFonts w:ascii="Times New Roman"/>
          <w:bCs/>
          <w:color w:val="000000" w:themeColor="text1"/>
          <w:szCs w:val="24"/>
          <w:lang w:bidi="ar"/>
        </w:rPr>
        <w:t>C</w:t>
      </w:r>
      <w:r w:rsidRPr="008A2411">
        <w:rPr>
          <w:rFonts w:ascii="Times New Roman"/>
          <w:bCs/>
          <w:color w:val="000000" w:themeColor="text1"/>
          <w:szCs w:val="24"/>
          <w:vertAlign w:val="subscript"/>
          <w:lang w:bidi="ar"/>
        </w:rPr>
        <w:t>5</w:t>
      </w:r>
      <w:r w:rsidRPr="008A2411">
        <w:rPr>
          <w:rFonts w:ascii="Times New Roman"/>
          <w:bCs/>
          <w:color w:val="000000" w:themeColor="text1"/>
          <w:szCs w:val="24"/>
          <w:lang w:bidi="ar"/>
        </w:rPr>
        <w:t>烃类混合物作为循环制冷剂的工艺。该工艺的特点是在制冷循环中采用混合制冷剂，只需要一台压缩机，简化了流程，降低了造价。混合冷剂的组成比例应按照天然气原料的组成、压力、工艺流程而异，因此对冷剂的配比和原料气的气质要求更为严格，一旦确定是不容易改变的。</w:t>
      </w:r>
      <w:r w:rsidRPr="008A2411">
        <w:rPr>
          <w:rFonts w:ascii="Times New Roman"/>
          <w:bCs/>
          <w:color w:val="000000" w:themeColor="text1"/>
          <w:szCs w:val="24"/>
          <w:lang w:bidi="ar"/>
        </w:rPr>
        <w:t xml:space="preserve"> </w:t>
      </w:r>
    </w:p>
    <w:p w14:paraId="4ABC8FDA" w14:textId="77777777" w:rsidR="00B0005F" w:rsidRPr="008A2411" w:rsidRDefault="00000000">
      <w:pPr>
        <w:pStyle w:val="affff2"/>
        <w:adjustRightInd w:val="0"/>
        <w:snapToGrid w:val="0"/>
        <w:spacing w:before="0" w:beforeAutospacing="0" w:after="0" w:afterAutospacing="0" w:line="360" w:lineRule="auto"/>
        <w:ind w:firstLineChars="200" w:firstLine="480"/>
        <w:rPr>
          <w:rFonts w:ascii="Times New Roman" w:eastAsia="宋体" w:hAnsi="Times New Roman" w:cs="Times New Roman"/>
          <w:color w:val="000000" w:themeColor="text1"/>
          <w:sz w:val="24"/>
          <w:szCs w:val="24"/>
        </w:rPr>
      </w:pPr>
      <w:r w:rsidRPr="008A2411">
        <w:rPr>
          <w:rFonts w:ascii="Times New Roman" w:eastAsia="宋体" w:hAnsi="Times New Roman" w:cs="Times New Roman"/>
          <w:color w:val="000000" w:themeColor="text1"/>
          <w:sz w:val="24"/>
          <w:szCs w:val="24"/>
          <w:lang w:bidi="ar"/>
        </w:rPr>
        <w:t>3</w:t>
      </w:r>
      <w:r w:rsidRPr="008A2411">
        <w:rPr>
          <w:rFonts w:ascii="Times New Roman" w:eastAsia="宋体" w:hAnsi="Times New Roman" w:cs="Times New Roman"/>
          <w:color w:val="000000" w:themeColor="text1"/>
          <w:sz w:val="24"/>
          <w:szCs w:val="24"/>
          <w:lang w:bidi="ar"/>
        </w:rPr>
        <w:t>、氮气膨胀制冷循环工艺</w:t>
      </w:r>
    </w:p>
    <w:p w14:paraId="3EE788F8" w14:textId="77777777" w:rsidR="00B0005F" w:rsidRPr="008A2411" w:rsidRDefault="00000000">
      <w:pPr>
        <w:widowControl/>
        <w:adjustRightInd w:val="0"/>
        <w:snapToGrid w:val="0"/>
        <w:spacing w:line="360" w:lineRule="auto"/>
        <w:ind w:firstLineChars="200" w:firstLine="480"/>
        <w:jc w:val="left"/>
        <w:rPr>
          <w:rFonts w:ascii="Times New Roman"/>
          <w:bCs/>
          <w:color w:val="000000" w:themeColor="text1"/>
          <w:szCs w:val="24"/>
          <w:lang w:bidi="ar"/>
        </w:rPr>
      </w:pPr>
      <w:r w:rsidRPr="008A2411">
        <w:rPr>
          <w:rFonts w:ascii="Times New Roman"/>
          <w:bCs/>
          <w:color w:val="000000" w:themeColor="text1"/>
          <w:szCs w:val="24"/>
          <w:lang w:bidi="ar"/>
        </w:rPr>
        <w:t>氮气</w:t>
      </w:r>
      <w:proofErr w:type="gramStart"/>
      <w:r w:rsidRPr="008A2411">
        <w:rPr>
          <w:rFonts w:ascii="Times New Roman"/>
          <w:bCs/>
          <w:color w:val="000000" w:themeColor="text1"/>
          <w:szCs w:val="24"/>
          <w:lang w:bidi="ar"/>
        </w:rPr>
        <w:t>膨胀机</w:t>
      </w:r>
      <w:proofErr w:type="gramEnd"/>
      <w:r w:rsidRPr="008A2411">
        <w:rPr>
          <w:rFonts w:ascii="Times New Roman"/>
          <w:bCs/>
          <w:color w:val="000000" w:themeColor="text1"/>
          <w:szCs w:val="24"/>
          <w:lang w:bidi="ar"/>
        </w:rPr>
        <w:t>制冷循环工艺是利用透平膨胀机制冷原理，以氮气为介质，进行密闭循环制冷，该工艺的结构比较简单，设备投资少、维修方便，而且通用性比较强，但其缺点是能耗比较高，一般</w:t>
      </w:r>
      <w:proofErr w:type="gramStart"/>
      <w:r w:rsidRPr="008A2411">
        <w:rPr>
          <w:rFonts w:ascii="Times New Roman"/>
          <w:bCs/>
          <w:color w:val="000000" w:themeColor="text1"/>
          <w:szCs w:val="24"/>
          <w:lang w:bidi="ar"/>
        </w:rPr>
        <w:t>比阶式</w:t>
      </w:r>
      <w:proofErr w:type="gramEnd"/>
      <w:r w:rsidRPr="008A2411">
        <w:rPr>
          <w:rFonts w:ascii="Times New Roman"/>
          <w:bCs/>
          <w:color w:val="000000" w:themeColor="text1"/>
          <w:szCs w:val="24"/>
          <w:lang w:bidi="ar"/>
        </w:rPr>
        <w:t>制冷工艺高</w:t>
      </w:r>
      <w:r w:rsidRPr="008A2411">
        <w:rPr>
          <w:rFonts w:ascii="Times New Roman"/>
          <w:bCs/>
          <w:color w:val="000000" w:themeColor="text1"/>
          <w:szCs w:val="24"/>
          <w:lang w:bidi="ar"/>
        </w:rPr>
        <w:t>50%</w:t>
      </w:r>
      <w:r w:rsidRPr="008A2411">
        <w:rPr>
          <w:rFonts w:ascii="Times New Roman"/>
          <w:bCs/>
          <w:color w:val="000000" w:themeColor="text1"/>
          <w:szCs w:val="24"/>
          <w:lang w:bidi="ar"/>
        </w:rPr>
        <w:t>左右。</w:t>
      </w:r>
      <w:r w:rsidRPr="008A2411">
        <w:rPr>
          <w:rFonts w:ascii="Times New Roman"/>
          <w:bCs/>
          <w:color w:val="000000" w:themeColor="text1"/>
          <w:szCs w:val="24"/>
          <w:lang w:bidi="ar"/>
        </w:rPr>
        <w:t xml:space="preserve"> </w:t>
      </w:r>
    </w:p>
    <w:p w14:paraId="537E65B6" w14:textId="77777777" w:rsidR="00B0005F" w:rsidRPr="008A2411" w:rsidRDefault="00000000">
      <w:pPr>
        <w:pStyle w:val="affff2"/>
        <w:adjustRightInd w:val="0"/>
        <w:snapToGrid w:val="0"/>
        <w:spacing w:before="0" w:beforeAutospacing="0" w:after="0" w:afterAutospacing="0" w:line="360" w:lineRule="auto"/>
        <w:ind w:firstLineChars="200" w:firstLine="480"/>
        <w:rPr>
          <w:rFonts w:ascii="Times New Roman" w:eastAsia="宋体" w:hAnsi="Times New Roman" w:cs="Times New Roman"/>
          <w:color w:val="000000" w:themeColor="text1"/>
          <w:sz w:val="24"/>
          <w:szCs w:val="24"/>
        </w:rPr>
      </w:pPr>
      <w:r w:rsidRPr="008A2411">
        <w:rPr>
          <w:rFonts w:ascii="Times New Roman" w:eastAsia="宋体" w:hAnsi="Times New Roman" w:cs="Times New Roman"/>
          <w:color w:val="000000" w:themeColor="text1"/>
          <w:sz w:val="24"/>
          <w:szCs w:val="24"/>
          <w:lang w:bidi="ar"/>
        </w:rPr>
        <w:t>4</w:t>
      </w:r>
      <w:r w:rsidRPr="008A2411">
        <w:rPr>
          <w:rFonts w:ascii="Times New Roman" w:eastAsia="宋体" w:hAnsi="Times New Roman" w:cs="Times New Roman"/>
          <w:color w:val="000000" w:themeColor="text1"/>
          <w:sz w:val="24"/>
          <w:szCs w:val="24"/>
          <w:lang w:bidi="ar"/>
        </w:rPr>
        <w:t>、三种工艺的技术经济比较</w:t>
      </w:r>
    </w:p>
    <w:p w14:paraId="3310EC3B" w14:textId="77777777" w:rsidR="00B0005F" w:rsidRPr="008A2411" w:rsidRDefault="00000000">
      <w:pPr>
        <w:widowControl/>
        <w:adjustRightInd w:val="0"/>
        <w:snapToGrid w:val="0"/>
        <w:spacing w:line="360" w:lineRule="auto"/>
        <w:ind w:firstLineChars="200" w:firstLine="480"/>
        <w:jc w:val="left"/>
        <w:rPr>
          <w:rFonts w:ascii="Times New Roman"/>
          <w:color w:val="000000" w:themeColor="text1"/>
          <w:szCs w:val="24"/>
        </w:rPr>
      </w:pPr>
      <w:proofErr w:type="gramStart"/>
      <w:r w:rsidRPr="008A2411">
        <w:rPr>
          <w:rFonts w:ascii="Times New Roman"/>
          <w:bCs/>
          <w:color w:val="000000" w:themeColor="text1"/>
          <w:szCs w:val="24"/>
          <w:lang w:bidi="ar"/>
        </w:rPr>
        <w:t>将阶式</w:t>
      </w:r>
      <w:proofErr w:type="gramEnd"/>
      <w:r w:rsidRPr="008A2411">
        <w:rPr>
          <w:rFonts w:ascii="Times New Roman"/>
          <w:bCs/>
          <w:color w:val="000000" w:themeColor="text1"/>
          <w:szCs w:val="24"/>
          <w:lang w:bidi="ar"/>
        </w:rPr>
        <w:t>制冷循环的能耗设定为</w:t>
      </w:r>
      <w:r w:rsidRPr="008A2411">
        <w:rPr>
          <w:rFonts w:ascii="Times New Roman"/>
          <w:bCs/>
          <w:color w:val="000000" w:themeColor="text1"/>
          <w:szCs w:val="24"/>
          <w:lang w:bidi="ar"/>
        </w:rPr>
        <w:t>1</w:t>
      </w:r>
      <w:r w:rsidRPr="008A2411">
        <w:rPr>
          <w:rFonts w:ascii="Times New Roman"/>
          <w:bCs/>
          <w:color w:val="000000" w:themeColor="text1"/>
          <w:szCs w:val="24"/>
          <w:lang w:bidi="ar"/>
        </w:rPr>
        <w:t>，各种制冷循环效率比较见左表所列，各种制冷循环的效率、特性比较见表</w:t>
      </w:r>
      <w:r w:rsidRPr="008A2411">
        <w:rPr>
          <w:rFonts w:ascii="Times New Roman"/>
          <w:bCs/>
          <w:color w:val="000000" w:themeColor="text1"/>
          <w:szCs w:val="24"/>
          <w:lang w:bidi="ar"/>
        </w:rPr>
        <w:t>3.2-5</w:t>
      </w:r>
      <w:r w:rsidRPr="008A2411">
        <w:rPr>
          <w:rFonts w:ascii="Times New Roman"/>
          <w:bCs/>
          <w:color w:val="000000" w:themeColor="text1"/>
          <w:szCs w:val="24"/>
          <w:lang w:bidi="ar"/>
        </w:rPr>
        <w:t>、表</w:t>
      </w:r>
      <w:r w:rsidRPr="008A2411">
        <w:rPr>
          <w:rFonts w:ascii="Times New Roman"/>
          <w:bCs/>
          <w:color w:val="000000" w:themeColor="text1"/>
          <w:szCs w:val="24"/>
          <w:lang w:bidi="ar"/>
        </w:rPr>
        <w:t>3.2-6</w:t>
      </w:r>
      <w:r w:rsidRPr="008A2411">
        <w:rPr>
          <w:rFonts w:ascii="Times New Roman"/>
          <w:bCs/>
          <w:color w:val="000000" w:themeColor="text1"/>
          <w:szCs w:val="24"/>
          <w:lang w:bidi="ar"/>
        </w:rPr>
        <w:t>。</w:t>
      </w:r>
    </w:p>
    <w:p w14:paraId="2B43699A" w14:textId="77777777" w:rsidR="00B0005F" w:rsidRPr="008A2411" w:rsidRDefault="00000000">
      <w:pPr>
        <w:widowControl/>
        <w:ind w:firstLineChars="200" w:firstLine="480"/>
        <w:jc w:val="center"/>
        <w:rPr>
          <w:rFonts w:ascii="Times New Roman" w:eastAsia="黑体"/>
          <w:color w:val="000000" w:themeColor="text1"/>
          <w:szCs w:val="24"/>
        </w:rPr>
      </w:pPr>
      <w:r w:rsidRPr="008A2411">
        <w:rPr>
          <w:rFonts w:ascii="Times New Roman" w:eastAsia="黑体"/>
          <w:color w:val="000000" w:themeColor="text1"/>
          <w:szCs w:val="24"/>
        </w:rPr>
        <w:t>表</w:t>
      </w:r>
      <w:r w:rsidRPr="008A2411">
        <w:rPr>
          <w:rFonts w:ascii="Times New Roman" w:eastAsia="黑体"/>
          <w:color w:val="000000" w:themeColor="text1"/>
          <w:szCs w:val="24"/>
        </w:rPr>
        <w:t xml:space="preserve">3.2-5 </w:t>
      </w:r>
      <w:r w:rsidRPr="008A2411">
        <w:rPr>
          <w:rFonts w:ascii="Times New Roman" w:eastAsia="黑体"/>
          <w:color w:val="000000" w:themeColor="text1"/>
          <w:szCs w:val="24"/>
        </w:rPr>
        <w:t>各种制冷循环效率比较</w:t>
      </w:r>
    </w:p>
    <w:tbl>
      <w:tblPr>
        <w:tblpPr w:leftFromText="180" w:rightFromText="180" w:vertAnchor="text" w:tblpXSpec="center" w:tblpY="1"/>
        <w:tblW w:w="499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90"/>
        <w:gridCol w:w="4630"/>
      </w:tblGrid>
      <w:tr w:rsidR="008A2411" w:rsidRPr="008A2411" w14:paraId="12F3B409" w14:textId="77777777">
        <w:trPr>
          <w:trHeight w:val="417"/>
        </w:trPr>
        <w:tc>
          <w:tcPr>
            <w:tcW w:w="2283" w:type="pct"/>
            <w:tcBorders>
              <w:top w:val="single" w:sz="4" w:space="0" w:color="auto"/>
              <w:left w:val="single" w:sz="4" w:space="0" w:color="auto"/>
              <w:bottom w:val="single" w:sz="4" w:space="0" w:color="auto"/>
              <w:right w:val="single" w:sz="4" w:space="0" w:color="auto"/>
            </w:tcBorders>
          </w:tcPr>
          <w:p w14:paraId="54370E70" w14:textId="77777777" w:rsidR="00B0005F" w:rsidRPr="008A2411" w:rsidRDefault="00000000">
            <w:pPr>
              <w:widowControl/>
              <w:spacing w:line="400" w:lineRule="exact"/>
              <w:jc w:val="center"/>
              <w:rPr>
                <w:rFonts w:ascii="Times New Roman"/>
                <w:bCs/>
                <w:color w:val="000000" w:themeColor="text1"/>
                <w:sz w:val="21"/>
                <w:szCs w:val="21"/>
                <w:lang w:bidi="ar"/>
              </w:rPr>
            </w:pPr>
            <w:r w:rsidRPr="008A2411">
              <w:rPr>
                <w:rFonts w:ascii="Times New Roman"/>
                <w:bCs/>
                <w:color w:val="000000" w:themeColor="text1"/>
                <w:sz w:val="21"/>
                <w:szCs w:val="21"/>
                <w:lang w:bidi="ar"/>
              </w:rPr>
              <w:t>制冷工艺</w:t>
            </w:r>
          </w:p>
        </w:tc>
        <w:tc>
          <w:tcPr>
            <w:tcW w:w="2716" w:type="pct"/>
            <w:tcBorders>
              <w:top w:val="single" w:sz="4" w:space="0" w:color="auto"/>
              <w:left w:val="single" w:sz="4" w:space="0" w:color="auto"/>
              <w:bottom w:val="single" w:sz="4" w:space="0" w:color="auto"/>
              <w:right w:val="single" w:sz="4" w:space="0" w:color="auto"/>
            </w:tcBorders>
          </w:tcPr>
          <w:p w14:paraId="5F31C231" w14:textId="77777777" w:rsidR="00B0005F" w:rsidRPr="008A2411" w:rsidRDefault="00000000">
            <w:pPr>
              <w:widowControl/>
              <w:spacing w:line="400" w:lineRule="exact"/>
              <w:jc w:val="center"/>
              <w:rPr>
                <w:rFonts w:ascii="Times New Roman"/>
                <w:bCs/>
                <w:color w:val="000000" w:themeColor="text1"/>
                <w:sz w:val="21"/>
                <w:szCs w:val="21"/>
                <w:lang w:bidi="ar"/>
              </w:rPr>
            </w:pPr>
            <w:proofErr w:type="gramStart"/>
            <w:r w:rsidRPr="008A2411">
              <w:rPr>
                <w:rFonts w:ascii="Times New Roman"/>
                <w:bCs/>
                <w:color w:val="000000" w:themeColor="text1"/>
                <w:sz w:val="21"/>
                <w:szCs w:val="21"/>
                <w:lang w:bidi="ar"/>
              </w:rPr>
              <w:t>与阶式</w:t>
            </w:r>
            <w:proofErr w:type="gramEnd"/>
            <w:r w:rsidRPr="008A2411">
              <w:rPr>
                <w:rFonts w:ascii="Times New Roman"/>
                <w:bCs/>
                <w:color w:val="000000" w:themeColor="text1"/>
                <w:sz w:val="21"/>
                <w:szCs w:val="21"/>
                <w:lang w:bidi="ar"/>
              </w:rPr>
              <w:t>制冷的相对能耗</w:t>
            </w:r>
          </w:p>
        </w:tc>
      </w:tr>
      <w:tr w:rsidR="008A2411" w:rsidRPr="008A2411" w14:paraId="2C96CC84" w14:textId="77777777">
        <w:trPr>
          <w:trHeight w:val="279"/>
        </w:trPr>
        <w:tc>
          <w:tcPr>
            <w:tcW w:w="2283" w:type="pct"/>
            <w:tcBorders>
              <w:top w:val="single" w:sz="4" w:space="0" w:color="auto"/>
              <w:left w:val="single" w:sz="4" w:space="0" w:color="auto"/>
              <w:bottom w:val="single" w:sz="4" w:space="0" w:color="auto"/>
              <w:right w:val="single" w:sz="4" w:space="0" w:color="auto"/>
            </w:tcBorders>
          </w:tcPr>
          <w:p w14:paraId="2A4E75C4" w14:textId="77777777" w:rsidR="00B0005F" w:rsidRPr="008A2411" w:rsidRDefault="00000000">
            <w:pPr>
              <w:widowControl/>
              <w:spacing w:line="400" w:lineRule="exact"/>
              <w:jc w:val="center"/>
              <w:rPr>
                <w:rFonts w:ascii="Times New Roman"/>
                <w:bCs/>
                <w:color w:val="000000" w:themeColor="text1"/>
                <w:sz w:val="21"/>
                <w:szCs w:val="21"/>
                <w:lang w:bidi="ar"/>
              </w:rPr>
            </w:pPr>
            <w:r w:rsidRPr="008A2411">
              <w:rPr>
                <w:rFonts w:ascii="Times New Roman"/>
                <w:bCs/>
                <w:color w:val="000000" w:themeColor="text1"/>
                <w:sz w:val="21"/>
                <w:szCs w:val="21"/>
                <w:lang w:bidi="ar"/>
              </w:rPr>
              <w:t>阶式制冷循环</w:t>
            </w:r>
          </w:p>
        </w:tc>
        <w:tc>
          <w:tcPr>
            <w:tcW w:w="2716" w:type="pct"/>
            <w:tcBorders>
              <w:top w:val="single" w:sz="4" w:space="0" w:color="auto"/>
              <w:left w:val="single" w:sz="4" w:space="0" w:color="auto"/>
              <w:bottom w:val="single" w:sz="4" w:space="0" w:color="auto"/>
              <w:right w:val="single" w:sz="4" w:space="0" w:color="auto"/>
            </w:tcBorders>
          </w:tcPr>
          <w:p w14:paraId="1F08B865" w14:textId="77777777" w:rsidR="00B0005F" w:rsidRPr="008A2411" w:rsidRDefault="00000000">
            <w:pPr>
              <w:widowControl/>
              <w:spacing w:line="400" w:lineRule="exact"/>
              <w:jc w:val="center"/>
              <w:rPr>
                <w:rFonts w:ascii="Times New Roman"/>
                <w:bCs/>
                <w:color w:val="000000" w:themeColor="text1"/>
                <w:sz w:val="21"/>
                <w:szCs w:val="21"/>
                <w:lang w:bidi="ar"/>
              </w:rPr>
            </w:pPr>
            <w:r w:rsidRPr="008A2411">
              <w:rPr>
                <w:rFonts w:ascii="Times New Roman"/>
                <w:bCs/>
                <w:color w:val="000000" w:themeColor="text1"/>
                <w:sz w:val="21"/>
                <w:szCs w:val="21"/>
                <w:lang w:bidi="ar"/>
              </w:rPr>
              <w:t>1</w:t>
            </w:r>
          </w:p>
        </w:tc>
      </w:tr>
      <w:tr w:rsidR="008A2411" w:rsidRPr="008A2411" w14:paraId="365C1C90" w14:textId="77777777">
        <w:trPr>
          <w:trHeight w:val="243"/>
        </w:trPr>
        <w:tc>
          <w:tcPr>
            <w:tcW w:w="2283" w:type="pct"/>
            <w:tcBorders>
              <w:top w:val="single" w:sz="4" w:space="0" w:color="auto"/>
              <w:left w:val="single" w:sz="4" w:space="0" w:color="auto"/>
              <w:bottom w:val="single" w:sz="4" w:space="0" w:color="auto"/>
              <w:right w:val="single" w:sz="4" w:space="0" w:color="auto"/>
            </w:tcBorders>
          </w:tcPr>
          <w:p w14:paraId="3030A4EB" w14:textId="77777777" w:rsidR="00B0005F" w:rsidRPr="008A2411" w:rsidRDefault="00000000">
            <w:pPr>
              <w:widowControl/>
              <w:spacing w:line="400" w:lineRule="exact"/>
              <w:jc w:val="center"/>
              <w:rPr>
                <w:rFonts w:ascii="Times New Roman"/>
                <w:bCs/>
                <w:color w:val="000000" w:themeColor="text1"/>
                <w:sz w:val="21"/>
                <w:szCs w:val="21"/>
                <w:lang w:bidi="ar"/>
              </w:rPr>
            </w:pPr>
            <w:r w:rsidRPr="008A2411">
              <w:rPr>
                <w:rFonts w:ascii="Times New Roman"/>
                <w:bCs/>
                <w:color w:val="000000" w:themeColor="text1"/>
                <w:sz w:val="21"/>
                <w:szCs w:val="21"/>
                <w:lang w:bidi="ar"/>
              </w:rPr>
              <w:t>混合制冷循环</w:t>
            </w:r>
          </w:p>
        </w:tc>
        <w:tc>
          <w:tcPr>
            <w:tcW w:w="2716" w:type="pct"/>
            <w:tcBorders>
              <w:top w:val="single" w:sz="4" w:space="0" w:color="auto"/>
              <w:left w:val="single" w:sz="4" w:space="0" w:color="auto"/>
              <w:bottom w:val="single" w:sz="4" w:space="0" w:color="auto"/>
              <w:right w:val="single" w:sz="4" w:space="0" w:color="auto"/>
            </w:tcBorders>
          </w:tcPr>
          <w:p w14:paraId="5533915A" w14:textId="77777777" w:rsidR="00B0005F" w:rsidRPr="008A2411" w:rsidRDefault="00000000">
            <w:pPr>
              <w:widowControl/>
              <w:spacing w:line="400" w:lineRule="exact"/>
              <w:jc w:val="center"/>
              <w:rPr>
                <w:rFonts w:ascii="Times New Roman"/>
                <w:bCs/>
                <w:color w:val="000000" w:themeColor="text1"/>
                <w:sz w:val="21"/>
                <w:szCs w:val="21"/>
                <w:lang w:bidi="ar"/>
              </w:rPr>
            </w:pPr>
            <w:r w:rsidRPr="008A2411">
              <w:rPr>
                <w:rFonts w:ascii="Times New Roman"/>
                <w:bCs/>
                <w:color w:val="000000" w:themeColor="text1"/>
                <w:sz w:val="21"/>
                <w:szCs w:val="21"/>
                <w:lang w:bidi="ar"/>
              </w:rPr>
              <w:t>1.15</w:t>
            </w:r>
          </w:p>
        </w:tc>
      </w:tr>
      <w:tr w:rsidR="008A2411" w:rsidRPr="008A2411" w14:paraId="6C37F8FF" w14:textId="77777777">
        <w:trPr>
          <w:trHeight w:val="454"/>
        </w:trPr>
        <w:tc>
          <w:tcPr>
            <w:tcW w:w="2283" w:type="pct"/>
            <w:tcBorders>
              <w:top w:val="single" w:sz="4" w:space="0" w:color="auto"/>
              <w:left w:val="single" w:sz="4" w:space="0" w:color="auto"/>
              <w:bottom w:val="single" w:sz="4" w:space="0" w:color="auto"/>
              <w:right w:val="single" w:sz="4" w:space="0" w:color="auto"/>
            </w:tcBorders>
          </w:tcPr>
          <w:p w14:paraId="06C08540" w14:textId="77777777" w:rsidR="00B0005F" w:rsidRPr="008A2411" w:rsidRDefault="00000000">
            <w:pPr>
              <w:widowControl/>
              <w:spacing w:line="400" w:lineRule="exact"/>
              <w:jc w:val="center"/>
              <w:rPr>
                <w:rFonts w:ascii="Times New Roman"/>
                <w:bCs/>
                <w:color w:val="000000" w:themeColor="text1"/>
                <w:sz w:val="21"/>
                <w:szCs w:val="21"/>
                <w:lang w:bidi="ar"/>
              </w:rPr>
            </w:pPr>
            <w:r w:rsidRPr="008A2411">
              <w:rPr>
                <w:rFonts w:ascii="Times New Roman"/>
                <w:bCs/>
                <w:color w:val="000000" w:themeColor="text1"/>
                <w:sz w:val="21"/>
                <w:szCs w:val="21"/>
                <w:lang w:bidi="ar"/>
              </w:rPr>
              <w:t>膨胀制冷循环</w:t>
            </w:r>
          </w:p>
        </w:tc>
        <w:tc>
          <w:tcPr>
            <w:tcW w:w="2716" w:type="pct"/>
            <w:tcBorders>
              <w:top w:val="single" w:sz="4" w:space="0" w:color="auto"/>
              <w:left w:val="single" w:sz="4" w:space="0" w:color="auto"/>
              <w:bottom w:val="single" w:sz="4" w:space="0" w:color="auto"/>
              <w:right w:val="single" w:sz="4" w:space="0" w:color="auto"/>
            </w:tcBorders>
          </w:tcPr>
          <w:p w14:paraId="22C49FED" w14:textId="77777777" w:rsidR="00B0005F" w:rsidRPr="008A2411" w:rsidRDefault="00000000">
            <w:pPr>
              <w:widowControl/>
              <w:spacing w:line="400" w:lineRule="exact"/>
              <w:jc w:val="center"/>
              <w:rPr>
                <w:rFonts w:ascii="Times New Roman"/>
                <w:bCs/>
                <w:color w:val="000000" w:themeColor="text1"/>
                <w:sz w:val="21"/>
                <w:szCs w:val="21"/>
                <w:lang w:bidi="ar"/>
              </w:rPr>
            </w:pPr>
            <w:r w:rsidRPr="008A2411">
              <w:rPr>
                <w:rFonts w:ascii="Times New Roman"/>
                <w:bCs/>
                <w:color w:val="000000" w:themeColor="text1"/>
                <w:sz w:val="21"/>
                <w:szCs w:val="21"/>
                <w:lang w:bidi="ar"/>
              </w:rPr>
              <w:t>1.5</w:t>
            </w:r>
          </w:p>
        </w:tc>
      </w:tr>
    </w:tbl>
    <w:p w14:paraId="3A584DCA" w14:textId="77777777" w:rsidR="00B0005F" w:rsidRPr="008A2411" w:rsidRDefault="00000000">
      <w:pPr>
        <w:widowControl/>
        <w:ind w:firstLineChars="200" w:firstLine="480"/>
        <w:jc w:val="center"/>
        <w:rPr>
          <w:rFonts w:ascii="Times New Roman" w:eastAsia="黑体"/>
          <w:color w:val="000000" w:themeColor="text1"/>
          <w:szCs w:val="24"/>
        </w:rPr>
      </w:pPr>
      <w:r w:rsidRPr="008A2411">
        <w:rPr>
          <w:rFonts w:ascii="Times New Roman" w:eastAsia="黑体"/>
          <w:color w:val="000000" w:themeColor="text1"/>
          <w:szCs w:val="24"/>
        </w:rPr>
        <w:t>表</w:t>
      </w:r>
      <w:r w:rsidRPr="008A2411">
        <w:rPr>
          <w:rFonts w:ascii="Times New Roman" w:eastAsia="黑体"/>
          <w:color w:val="000000" w:themeColor="text1"/>
          <w:szCs w:val="24"/>
        </w:rPr>
        <w:t xml:space="preserve">3.2-6 </w:t>
      </w:r>
      <w:r w:rsidRPr="008A2411">
        <w:rPr>
          <w:rFonts w:ascii="Times New Roman" w:eastAsia="黑体"/>
          <w:color w:val="000000" w:themeColor="text1"/>
          <w:szCs w:val="24"/>
        </w:rPr>
        <w:t>各种制冷循环特性比较</w:t>
      </w:r>
    </w:p>
    <w:tbl>
      <w:tblPr>
        <w:tblW w:w="499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08"/>
        <w:gridCol w:w="1986"/>
        <w:gridCol w:w="2115"/>
        <w:gridCol w:w="2010"/>
      </w:tblGrid>
      <w:tr w:rsidR="008A2411" w:rsidRPr="008A2411" w14:paraId="792E04B9" w14:textId="77777777">
        <w:trPr>
          <w:trHeight w:val="427"/>
          <w:tblHeader/>
          <w:jc w:val="center"/>
        </w:trPr>
        <w:tc>
          <w:tcPr>
            <w:tcW w:w="1412" w:type="pct"/>
            <w:tcBorders>
              <w:top w:val="single" w:sz="4" w:space="0" w:color="auto"/>
              <w:left w:val="single" w:sz="4" w:space="0" w:color="auto"/>
              <w:bottom w:val="single" w:sz="4" w:space="0" w:color="auto"/>
              <w:right w:val="single" w:sz="4" w:space="0" w:color="auto"/>
            </w:tcBorders>
          </w:tcPr>
          <w:p w14:paraId="68AD21A9" w14:textId="77777777" w:rsidR="00B0005F" w:rsidRPr="008A2411" w:rsidRDefault="00000000">
            <w:pPr>
              <w:widowControl/>
              <w:spacing w:line="400" w:lineRule="exact"/>
              <w:jc w:val="center"/>
              <w:rPr>
                <w:rFonts w:ascii="Times New Roman"/>
                <w:bCs/>
                <w:color w:val="000000" w:themeColor="text1"/>
                <w:sz w:val="21"/>
                <w:szCs w:val="21"/>
                <w:lang w:bidi="ar"/>
              </w:rPr>
            </w:pPr>
            <w:r w:rsidRPr="008A2411">
              <w:rPr>
                <w:rFonts w:ascii="Times New Roman"/>
                <w:bCs/>
                <w:color w:val="000000" w:themeColor="text1"/>
                <w:sz w:val="21"/>
                <w:szCs w:val="21"/>
                <w:lang w:bidi="ar"/>
              </w:rPr>
              <w:t>指标</w:t>
            </w:r>
          </w:p>
        </w:tc>
        <w:tc>
          <w:tcPr>
            <w:tcW w:w="1165" w:type="pct"/>
            <w:tcBorders>
              <w:top w:val="single" w:sz="4" w:space="0" w:color="auto"/>
              <w:left w:val="single" w:sz="4" w:space="0" w:color="auto"/>
              <w:bottom w:val="single" w:sz="4" w:space="0" w:color="auto"/>
              <w:right w:val="single" w:sz="4" w:space="0" w:color="auto"/>
            </w:tcBorders>
          </w:tcPr>
          <w:p w14:paraId="54F14415" w14:textId="77777777" w:rsidR="00B0005F" w:rsidRPr="008A2411" w:rsidRDefault="00000000">
            <w:pPr>
              <w:widowControl/>
              <w:spacing w:line="400" w:lineRule="exact"/>
              <w:jc w:val="center"/>
              <w:rPr>
                <w:rFonts w:ascii="Times New Roman"/>
                <w:bCs/>
                <w:color w:val="000000" w:themeColor="text1"/>
                <w:sz w:val="21"/>
                <w:szCs w:val="21"/>
                <w:lang w:bidi="ar"/>
              </w:rPr>
            </w:pPr>
            <w:r w:rsidRPr="008A2411">
              <w:rPr>
                <w:rFonts w:ascii="Times New Roman"/>
                <w:bCs/>
                <w:color w:val="000000" w:themeColor="text1"/>
                <w:sz w:val="21"/>
                <w:szCs w:val="21"/>
                <w:lang w:bidi="ar"/>
              </w:rPr>
              <w:t>阶式制冷</w:t>
            </w:r>
          </w:p>
        </w:tc>
        <w:tc>
          <w:tcPr>
            <w:tcW w:w="1241" w:type="pct"/>
            <w:tcBorders>
              <w:top w:val="single" w:sz="4" w:space="0" w:color="auto"/>
              <w:left w:val="single" w:sz="4" w:space="0" w:color="auto"/>
              <w:bottom w:val="single" w:sz="4" w:space="0" w:color="auto"/>
              <w:right w:val="single" w:sz="4" w:space="0" w:color="auto"/>
            </w:tcBorders>
          </w:tcPr>
          <w:p w14:paraId="46CDC4DA" w14:textId="77777777" w:rsidR="00B0005F" w:rsidRPr="008A2411" w:rsidRDefault="00000000">
            <w:pPr>
              <w:widowControl/>
              <w:spacing w:line="400" w:lineRule="exact"/>
              <w:jc w:val="center"/>
              <w:rPr>
                <w:rFonts w:ascii="Times New Roman"/>
                <w:bCs/>
                <w:color w:val="000000" w:themeColor="text1"/>
                <w:sz w:val="21"/>
                <w:szCs w:val="21"/>
                <w:lang w:bidi="ar"/>
              </w:rPr>
            </w:pPr>
            <w:r w:rsidRPr="008A2411">
              <w:rPr>
                <w:rFonts w:ascii="Times New Roman"/>
                <w:bCs/>
                <w:color w:val="000000" w:themeColor="text1"/>
                <w:sz w:val="21"/>
                <w:szCs w:val="21"/>
                <w:lang w:bidi="ar"/>
              </w:rPr>
              <w:t>混合制冷</w:t>
            </w:r>
          </w:p>
        </w:tc>
        <w:tc>
          <w:tcPr>
            <w:tcW w:w="1180" w:type="pct"/>
            <w:tcBorders>
              <w:top w:val="single" w:sz="4" w:space="0" w:color="auto"/>
              <w:left w:val="single" w:sz="4" w:space="0" w:color="auto"/>
              <w:bottom w:val="single" w:sz="4" w:space="0" w:color="auto"/>
              <w:right w:val="single" w:sz="4" w:space="0" w:color="auto"/>
            </w:tcBorders>
          </w:tcPr>
          <w:p w14:paraId="5F05B643" w14:textId="77777777" w:rsidR="00B0005F" w:rsidRPr="008A2411" w:rsidRDefault="00000000">
            <w:pPr>
              <w:widowControl/>
              <w:spacing w:line="400" w:lineRule="exact"/>
              <w:jc w:val="center"/>
              <w:rPr>
                <w:rFonts w:ascii="Times New Roman"/>
                <w:bCs/>
                <w:color w:val="000000" w:themeColor="text1"/>
                <w:sz w:val="21"/>
                <w:szCs w:val="21"/>
                <w:lang w:bidi="ar"/>
              </w:rPr>
            </w:pPr>
            <w:r w:rsidRPr="008A2411">
              <w:rPr>
                <w:rFonts w:ascii="Times New Roman"/>
                <w:bCs/>
                <w:color w:val="000000" w:themeColor="text1"/>
                <w:sz w:val="21"/>
                <w:szCs w:val="21"/>
                <w:lang w:bidi="ar"/>
              </w:rPr>
              <w:t>膨胀制冷</w:t>
            </w:r>
          </w:p>
        </w:tc>
      </w:tr>
      <w:tr w:rsidR="008A2411" w:rsidRPr="008A2411" w14:paraId="0BAD0E4E" w14:textId="77777777">
        <w:trPr>
          <w:trHeight w:val="330"/>
          <w:jc w:val="center"/>
        </w:trPr>
        <w:tc>
          <w:tcPr>
            <w:tcW w:w="1412" w:type="pct"/>
            <w:tcBorders>
              <w:top w:val="single" w:sz="4" w:space="0" w:color="auto"/>
              <w:left w:val="single" w:sz="4" w:space="0" w:color="auto"/>
              <w:bottom w:val="single" w:sz="4" w:space="0" w:color="auto"/>
              <w:right w:val="single" w:sz="4" w:space="0" w:color="auto"/>
            </w:tcBorders>
          </w:tcPr>
          <w:p w14:paraId="75782BFC" w14:textId="77777777" w:rsidR="00B0005F" w:rsidRPr="008A2411" w:rsidRDefault="00000000">
            <w:pPr>
              <w:widowControl/>
              <w:spacing w:line="400" w:lineRule="exact"/>
              <w:jc w:val="center"/>
              <w:rPr>
                <w:rFonts w:ascii="Times New Roman"/>
                <w:bCs/>
                <w:color w:val="000000" w:themeColor="text1"/>
                <w:sz w:val="21"/>
                <w:szCs w:val="21"/>
                <w:lang w:bidi="ar"/>
              </w:rPr>
            </w:pPr>
            <w:r w:rsidRPr="008A2411">
              <w:rPr>
                <w:rFonts w:ascii="Times New Roman"/>
                <w:bCs/>
                <w:color w:val="000000" w:themeColor="text1"/>
                <w:sz w:val="21"/>
                <w:szCs w:val="21"/>
                <w:lang w:bidi="ar"/>
              </w:rPr>
              <w:t>效率</w:t>
            </w:r>
          </w:p>
        </w:tc>
        <w:tc>
          <w:tcPr>
            <w:tcW w:w="1165" w:type="pct"/>
            <w:tcBorders>
              <w:top w:val="single" w:sz="4" w:space="0" w:color="auto"/>
              <w:left w:val="single" w:sz="4" w:space="0" w:color="auto"/>
              <w:bottom w:val="single" w:sz="4" w:space="0" w:color="auto"/>
              <w:right w:val="single" w:sz="4" w:space="0" w:color="auto"/>
            </w:tcBorders>
          </w:tcPr>
          <w:p w14:paraId="1E3C4947" w14:textId="77777777" w:rsidR="00B0005F" w:rsidRPr="008A2411" w:rsidRDefault="00000000">
            <w:pPr>
              <w:widowControl/>
              <w:spacing w:line="400" w:lineRule="exact"/>
              <w:jc w:val="center"/>
              <w:rPr>
                <w:rFonts w:ascii="Times New Roman"/>
                <w:bCs/>
                <w:color w:val="000000" w:themeColor="text1"/>
                <w:sz w:val="21"/>
                <w:szCs w:val="21"/>
                <w:lang w:bidi="ar"/>
              </w:rPr>
            </w:pPr>
            <w:r w:rsidRPr="008A2411">
              <w:rPr>
                <w:rFonts w:ascii="Times New Roman"/>
                <w:bCs/>
                <w:color w:val="000000" w:themeColor="text1"/>
                <w:sz w:val="21"/>
                <w:szCs w:val="21"/>
                <w:lang w:bidi="ar"/>
              </w:rPr>
              <w:t>高</w:t>
            </w:r>
          </w:p>
        </w:tc>
        <w:tc>
          <w:tcPr>
            <w:tcW w:w="1241" w:type="pct"/>
            <w:tcBorders>
              <w:top w:val="single" w:sz="4" w:space="0" w:color="auto"/>
              <w:left w:val="single" w:sz="4" w:space="0" w:color="auto"/>
              <w:bottom w:val="single" w:sz="4" w:space="0" w:color="auto"/>
              <w:right w:val="single" w:sz="4" w:space="0" w:color="auto"/>
            </w:tcBorders>
          </w:tcPr>
          <w:p w14:paraId="09D3DD79" w14:textId="77777777" w:rsidR="00B0005F" w:rsidRPr="008A2411" w:rsidRDefault="00000000">
            <w:pPr>
              <w:widowControl/>
              <w:spacing w:line="400" w:lineRule="exact"/>
              <w:jc w:val="center"/>
              <w:rPr>
                <w:rFonts w:ascii="Times New Roman"/>
                <w:bCs/>
                <w:color w:val="000000" w:themeColor="text1"/>
                <w:sz w:val="21"/>
                <w:szCs w:val="21"/>
                <w:lang w:bidi="ar"/>
              </w:rPr>
            </w:pPr>
            <w:r w:rsidRPr="008A2411">
              <w:rPr>
                <w:rFonts w:ascii="Times New Roman"/>
                <w:bCs/>
                <w:color w:val="000000" w:themeColor="text1"/>
                <w:sz w:val="21"/>
                <w:szCs w:val="21"/>
                <w:lang w:bidi="ar"/>
              </w:rPr>
              <w:t>中</w:t>
            </w:r>
          </w:p>
        </w:tc>
        <w:tc>
          <w:tcPr>
            <w:tcW w:w="1180" w:type="pct"/>
            <w:tcBorders>
              <w:top w:val="single" w:sz="4" w:space="0" w:color="auto"/>
              <w:left w:val="single" w:sz="4" w:space="0" w:color="auto"/>
              <w:bottom w:val="single" w:sz="4" w:space="0" w:color="auto"/>
              <w:right w:val="single" w:sz="4" w:space="0" w:color="auto"/>
            </w:tcBorders>
          </w:tcPr>
          <w:p w14:paraId="1FE412AC" w14:textId="77777777" w:rsidR="00B0005F" w:rsidRPr="008A2411" w:rsidRDefault="00000000">
            <w:pPr>
              <w:widowControl/>
              <w:spacing w:line="400" w:lineRule="exact"/>
              <w:jc w:val="center"/>
              <w:rPr>
                <w:rFonts w:ascii="Times New Roman"/>
                <w:bCs/>
                <w:color w:val="000000" w:themeColor="text1"/>
                <w:sz w:val="21"/>
                <w:szCs w:val="21"/>
                <w:lang w:bidi="ar"/>
              </w:rPr>
            </w:pPr>
            <w:r w:rsidRPr="008A2411">
              <w:rPr>
                <w:rFonts w:ascii="Times New Roman"/>
                <w:bCs/>
                <w:color w:val="000000" w:themeColor="text1"/>
                <w:sz w:val="21"/>
                <w:szCs w:val="21"/>
                <w:lang w:bidi="ar"/>
              </w:rPr>
              <w:t>低</w:t>
            </w:r>
          </w:p>
        </w:tc>
      </w:tr>
      <w:tr w:rsidR="008A2411" w:rsidRPr="008A2411" w14:paraId="69CB1893" w14:textId="77777777">
        <w:trPr>
          <w:trHeight w:val="330"/>
          <w:jc w:val="center"/>
        </w:trPr>
        <w:tc>
          <w:tcPr>
            <w:tcW w:w="1412" w:type="pct"/>
            <w:tcBorders>
              <w:top w:val="single" w:sz="4" w:space="0" w:color="auto"/>
              <w:left w:val="single" w:sz="4" w:space="0" w:color="auto"/>
              <w:bottom w:val="single" w:sz="4" w:space="0" w:color="auto"/>
              <w:right w:val="single" w:sz="4" w:space="0" w:color="auto"/>
            </w:tcBorders>
          </w:tcPr>
          <w:p w14:paraId="090A7432" w14:textId="77777777" w:rsidR="00B0005F" w:rsidRPr="008A2411" w:rsidRDefault="00000000">
            <w:pPr>
              <w:widowControl/>
              <w:spacing w:line="400" w:lineRule="exact"/>
              <w:jc w:val="center"/>
              <w:rPr>
                <w:rFonts w:ascii="Times New Roman"/>
                <w:bCs/>
                <w:color w:val="000000" w:themeColor="text1"/>
                <w:sz w:val="21"/>
                <w:szCs w:val="21"/>
                <w:lang w:bidi="ar"/>
              </w:rPr>
            </w:pPr>
            <w:r w:rsidRPr="008A2411">
              <w:rPr>
                <w:rFonts w:ascii="Times New Roman"/>
                <w:bCs/>
                <w:color w:val="000000" w:themeColor="text1"/>
                <w:sz w:val="21"/>
                <w:szCs w:val="21"/>
                <w:lang w:bidi="ar"/>
              </w:rPr>
              <w:t>复杂程度</w:t>
            </w:r>
          </w:p>
        </w:tc>
        <w:tc>
          <w:tcPr>
            <w:tcW w:w="1165" w:type="pct"/>
            <w:tcBorders>
              <w:top w:val="single" w:sz="4" w:space="0" w:color="auto"/>
              <w:left w:val="single" w:sz="4" w:space="0" w:color="auto"/>
              <w:bottom w:val="single" w:sz="4" w:space="0" w:color="auto"/>
              <w:right w:val="single" w:sz="4" w:space="0" w:color="auto"/>
            </w:tcBorders>
          </w:tcPr>
          <w:p w14:paraId="71185BEE" w14:textId="77777777" w:rsidR="00B0005F" w:rsidRPr="008A2411" w:rsidRDefault="00000000">
            <w:pPr>
              <w:widowControl/>
              <w:spacing w:line="400" w:lineRule="exact"/>
              <w:jc w:val="center"/>
              <w:rPr>
                <w:rFonts w:ascii="Times New Roman"/>
                <w:bCs/>
                <w:color w:val="000000" w:themeColor="text1"/>
                <w:sz w:val="21"/>
                <w:szCs w:val="21"/>
                <w:lang w:bidi="ar"/>
              </w:rPr>
            </w:pPr>
            <w:r w:rsidRPr="008A2411">
              <w:rPr>
                <w:rFonts w:ascii="Times New Roman"/>
                <w:bCs/>
                <w:color w:val="000000" w:themeColor="text1"/>
                <w:sz w:val="21"/>
                <w:szCs w:val="21"/>
                <w:lang w:bidi="ar"/>
              </w:rPr>
              <w:t>高</w:t>
            </w:r>
          </w:p>
        </w:tc>
        <w:tc>
          <w:tcPr>
            <w:tcW w:w="1241" w:type="pct"/>
            <w:tcBorders>
              <w:top w:val="single" w:sz="4" w:space="0" w:color="auto"/>
              <w:left w:val="single" w:sz="4" w:space="0" w:color="auto"/>
              <w:bottom w:val="single" w:sz="4" w:space="0" w:color="auto"/>
              <w:right w:val="single" w:sz="4" w:space="0" w:color="auto"/>
            </w:tcBorders>
          </w:tcPr>
          <w:p w14:paraId="4E8BBB63" w14:textId="77777777" w:rsidR="00B0005F" w:rsidRPr="008A2411" w:rsidRDefault="00000000">
            <w:pPr>
              <w:widowControl/>
              <w:spacing w:line="400" w:lineRule="exact"/>
              <w:jc w:val="center"/>
              <w:rPr>
                <w:rFonts w:ascii="Times New Roman"/>
                <w:bCs/>
                <w:color w:val="000000" w:themeColor="text1"/>
                <w:sz w:val="21"/>
                <w:szCs w:val="21"/>
                <w:lang w:bidi="ar"/>
              </w:rPr>
            </w:pPr>
            <w:r w:rsidRPr="008A2411">
              <w:rPr>
                <w:rFonts w:ascii="Times New Roman"/>
                <w:bCs/>
                <w:color w:val="000000" w:themeColor="text1"/>
                <w:sz w:val="21"/>
                <w:szCs w:val="21"/>
                <w:lang w:bidi="ar"/>
              </w:rPr>
              <w:t>中</w:t>
            </w:r>
          </w:p>
        </w:tc>
        <w:tc>
          <w:tcPr>
            <w:tcW w:w="1180" w:type="pct"/>
            <w:tcBorders>
              <w:top w:val="single" w:sz="4" w:space="0" w:color="auto"/>
              <w:left w:val="single" w:sz="4" w:space="0" w:color="auto"/>
              <w:bottom w:val="single" w:sz="4" w:space="0" w:color="auto"/>
              <w:right w:val="single" w:sz="4" w:space="0" w:color="auto"/>
            </w:tcBorders>
          </w:tcPr>
          <w:p w14:paraId="61A09D9A" w14:textId="77777777" w:rsidR="00B0005F" w:rsidRPr="008A2411" w:rsidRDefault="00000000">
            <w:pPr>
              <w:widowControl/>
              <w:spacing w:line="400" w:lineRule="exact"/>
              <w:jc w:val="center"/>
              <w:rPr>
                <w:rFonts w:ascii="Times New Roman"/>
                <w:bCs/>
                <w:color w:val="000000" w:themeColor="text1"/>
                <w:sz w:val="21"/>
                <w:szCs w:val="21"/>
                <w:lang w:bidi="ar"/>
              </w:rPr>
            </w:pPr>
            <w:r w:rsidRPr="008A2411">
              <w:rPr>
                <w:rFonts w:ascii="Times New Roman"/>
                <w:bCs/>
                <w:color w:val="000000" w:themeColor="text1"/>
                <w:sz w:val="21"/>
                <w:szCs w:val="21"/>
                <w:lang w:bidi="ar"/>
              </w:rPr>
              <w:t>低</w:t>
            </w:r>
          </w:p>
        </w:tc>
      </w:tr>
      <w:tr w:rsidR="008A2411" w:rsidRPr="008A2411" w14:paraId="2D43E7E5" w14:textId="77777777">
        <w:trPr>
          <w:trHeight w:val="268"/>
          <w:jc w:val="center"/>
        </w:trPr>
        <w:tc>
          <w:tcPr>
            <w:tcW w:w="1412" w:type="pct"/>
            <w:tcBorders>
              <w:top w:val="single" w:sz="4" w:space="0" w:color="auto"/>
              <w:left w:val="single" w:sz="4" w:space="0" w:color="auto"/>
              <w:bottom w:val="single" w:sz="4" w:space="0" w:color="auto"/>
              <w:right w:val="single" w:sz="4" w:space="0" w:color="auto"/>
            </w:tcBorders>
          </w:tcPr>
          <w:p w14:paraId="2F7AB45E" w14:textId="77777777" w:rsidR="00B0005F" w:rsidRPr="008A2411" w:rsidRDefault="00000000">
            <w:pPr>
              <w:widowControl/>
              <w:spacing w:line="400" w:lineRule="exact"/>
              <w:jc w:val="center"/>
              <w:rPr>
                <w:rFonts w:ascii="Times New Roman"/>
                <w:bCs/>
                <w:color w:val="000000" w:themeColor="text1"/>
                <w:sz w:val="21"/>
                <w:szCs w:val="21"/>
                <w:lang w:bidi="ar"/>
              </w:rPr>
            </w:pPr>
            <w:r w:rsidRPr="008A2411">
              <w:rPr>
                <w:rFonts w:ascii="Times New Roman"/>
                <w:bCs/>
                <w:color w:val="000000" w:themeColor="text1"/>
                <w:sz w:val="21"/>
                <w:szCs w:val="21"/>
                <w:lang w:bidi="ar"/>
              </w:rPr>
              <w:t>换热器类型</w:t>
            </w:r>
          </w:p>
        </w:tc>
        <w:tc>
          <w:tcPr>
            <w:tcW w:w="1165" w:type="pct"/>
            <w:tcBorders>
              <w:top w:val="single" w:sz="4" w:space="0" w:color="auto"/>
              <w:left w:val="single" w:sz="4" w:space="0" w:color="auto"/>
              <w:bottom w:val="single" w:sz="4" w:space="0" w:color="auto"/>
              <w:right w:val="single" w:sz="4" w:space="0" w:color="auto"/>
            </w:tcBorders>
          </w:tcPr>
          <w:p w14:paraId="11664262" w14:textId="77777777" w:rsidR="00B0005F" w:rsidRPr="008A2411" w:rsidRDefault="00000000">
            <w:pPr>
              <w:widowControl/>
              <w:spacing w:line="400" w:lineRule="exact"/>
              <w:jc w:val="center"/>
              <w:rPr>
                <w:rFonts w:ascii="Times New Roman"/>
                <w:bCs/>
                <w:color w:val="000000" w:themeColor="text1"/>
                <w:sz w:val="21"/>
                <w:szCs w:val="21"/>
                <w:lang w:bidi="ar"/>
              </w:rPr>
            </w:pPr>
            <w:proofErr w:type="gramStart"/>
            <w:r w:rsidRPr="008A2411">
              <w:rPr>
                <w:rFonts w:ascii="Times New Roman"/>
                <w:bCs/>
                <w:color w:val="000000" w:themeColor="text1"/>
                <w:sz w:val="21"/>
                <w:szCs w:val="21"/>
                <w:lang w:bidi="ar"/>
              </w:rPr>
              <w:t>板翅</w:t>
            </w:r>
            <w:proofErr w:type="gramEnd"/>
          </w:p>
        </w:tc>
        <w:tc>
          <w:tcPr>
            <w:tcW w:w="1241" w:type="pct"/>
            <w:tcBorders>
              <w:top w:val="single" w:sz="4" w:space="0" w:color="auto"/>
              <w:left w:val="single" w:sz="4" w:space="0" w:color="auto"/>
              <w:bottom w:val="single" w:sz="4" w:space="0" w:color="auto"/>
              <w:right w:val="single" w:sz="4" w:space="0" w:color="auto"/>
            </w:tcBorders>
          </w:tcPr>
          <w:p w14:paraId="1B0D60FA" w14:textId="77777777" w:rsidR="00B0005F" w:rsidRPr="008A2411" w:rsidRDefault="00000000">
            <w:pPr>
              <w:widowControl/>
              <w:spacing w:line="400" w:lineRule="exact"/>
              <w:jc w:val="center"/>
              <w:rPr>
                <w:rFonts w:ascii="Times New Roman"/>
                <w:bCs/>
                <w:color w:val="000000" w:themeColor="text1"/>
                <w:sz w:val="21"/>
                <w:szCs w:val="21"/>
                <w:lang w:bidi="ar"/>
              </w:rPr>
            </w:pPr>
            <w:proofErr w:type="gramStart"/>
            <w:r w:rsidRPr="008A2411">
              <w:rPr>
                <w:rFonts w:ascii="Times New Roman"/>
                <w:bCs/>
                <w:color w:val="000000" w:themeColor="text1"/>
                <w:sz w:val="21"/>
                <w:szCs w:val="21"/>
                <w:lang w:bidi="ar"/>
              </w:rPr>
              <w:t>板翅或绕管</w:t>
            </w:r>
            <w:proofErr w:type="gramEnd"/>
          </w:p>
        </w:tc>
        <w:tc>
          <w:tcPr>
            <w:tcW w:w="1180" w:type="pct"/>
            <w:tcBorders>
              <w:top w:val="single" w:sz="4" w:space="0" w:color="auto"/>
              <w:left w:val="single" w:sz="4" w:space="0" w:color="auto"/>
              <w:bottom w:val="single" w:sz="4" w:space="0" w:color="auto"/>
              <w:right w:val="single" w:sz="4" w:space="0" w:color="auto"/>
            </w:tcBorders>
          </w:tcPr>
          <w:p w14:paraId="6B4E1336" w14:textId="77777777" w:rsidR="00B0005F" w:rsidRPr="008A2411" w:rsidRDefault="00000000">
            <w:pPr>
              <w:widowControl/>
              <w:spacing w:line="400" w:lineRule="exact"/>
              <w:jc w:val="center"/>
              <w:rPr>
                <w:rFonts w:ascii="Times New Roman"/>
                <w:bCs/>
                <w:color w:val="000000" w:themeColor="text1"/>
                <w:sz w:val="21"/>
                <w:szCs w:val="21"/>
                <w:lang w:bidi="ar"/>
              </w:rPr>
            </w:pPr>
            <w:proofErr w:type="gramStart"/>
            <w:r w:rsidRPr="008A2411">
              <w:rPr>
                <w:rFonts w:ascii="Times New Roman"/>
                <w:bCs/>
                <w:color w:val="000000" w:themeColor="text1"/>
                <w:sz w:val="21"/>
                <w:szCs w:val="21"/>
                <w:lang w:bidi="ar"/>
              </w:rPr>
              <w:t>板翅</w:t>
            </w:r>
            <w:proofErr w:type="gramEnd"/>
          </w:p>
        </w:tc>
      </w:tr>
      <w:tr w:rsidR="008A2411" w:rsidRPr="008A2411" w14:paraId="3594D34A" w14:textId="77777777">
        <w:trPr>
          <w:trHeight w:val="330"/>
          <w:jc w:val="center"/>
        </w:trPr>
        <w:tc>
          <w:tcPr>
            <w:tcW w:w="1412" w:type="pct"/>
            <w:tcBorders>
              <w:top w:val="single" w:sz="4" w:space="0" w:color="auto"/>
              <w:left w:val="single" w:sz="4" w:space="0" w:color="auto"/>
              <w:bottom w:val="single" w:sz="4" w:space="0" w:color="auto"/>
              <w:right w:val="single" w:sz="4" w:space="0" w:color="auto"/>
            </w:tcBorders>
          </w:tcPr>
          <w:p w14:paraId="2123F79D" w14:textId="77777777" w:rsidR="00B0005F" w:rsidRPr="008A2411" w:rsidRDefault="00000000">
            <w:pPr>
              <w:widowControl/>
              <w:spacing w:line="400" w:lineRule="exact"/>
              <w:jc w:val="center"/>
              <w:rPr>
                <w:rFonts w:ascii="Times New Roman"/>
                <w:bCs/>
                <w:color w:val="000000" w:themeColor="text1"/>
                <w:sz w:val="21"/>
                <w:szCs w:val="21"/>
                <w:lang w:bidi="ar"/>
              </w:rPr>
            </w:pPr>
            <w:r w:rsidRPr="008A2411">
              <w:rPr>
                <w:rFonts w:ascii="Times New Roman"/>
                <w:bCs/>
                <w:color w:val="000000" w:themeColor="text1"/>
                <w:sz w:val="21"/>
                <w:szCs w:val="21"/>
                <w:lang w:bidi="ar"/>
              </w:rPr>
              <w:t>换热器面积</w:t>
            </w:r>
          </w:p>
        </w:tc>
        <w:tc>
          <w:tcPr>
            <w:tcW w:w="1165" w:type="pct"/>
            <w:tcBorders>
              <w:top w:val="single" w:sz="4" w:space="0" w:color="auto"/>
              <w:left w:val="single" w:sz="4" w:space="0" w:color="auto"/>
              <w:bottom w:val="single" w:sz="4" w:space="0" w:color="auto"/>
              <w:right w:val="single" w:sz="4" w:space="0" w:color="auto"/>
            </w:tcBorders>
          </w:tcPr>
          <w:p w14:paraId="7BDEF715" w14:textId="77777777" w:rsidR="00B0005F" w:rsidRPr="008A2411" w:rsidRDefault="00000000">
            <w:pPr>
              <w:widowControl/>
              <w:spacing w:line="400" w:lineRule="exact"/>
              <w:jc w:val="center"/>
              <w:rPr>
                <w:rFonts w:ascii="Times New Roman"/>
                <w:bCs/>
                <w:color w:val="000000" w:themeColor="text1"/>
                <w:sz w:val="21"/>
                <w:szCs w:val="21"/>
                <w:lang w:bidi="ar"/>
              </w:rPr>
            </w:pPr>
            <w:r w:rsidRPr="008A2411">
              <w:rPr>
                <w:rFonts w:ascii="Times New Roman"/>
                <w:bCs/>
                <w:color w:val="000000" w:themeColor="text1"/>
                <w:sz w:val="21"/>
                <w:szCs w:val="21"/>
                <w:lang w:bidi="ar"/>
              </w:rPr>
              <w:t>大</w:t>
            </w:r>
          </w:p>
        </w:tc>
        <w:tc>
          <w:tcPr>
            <w:tcW w:w="1241" w:type="pct"/>
            <w:tcBorders>
              <w:top w:val="single" w:sz="4" w:space="0" w:color="auto"/>
              <w:left w:val="single" w:sz="4" w:space="0" w:color="auto"/>
              <w:bottom w:val="single" w:sz="4" w:space="0" w:color="auto"/>
              <w:right w:val="single" w:sz="4" w:space="0" w:color="auto"/>
            </w:tcBorders>
          </w:tcPr>
          <w:p w14:paraId="33B9D18C" w14:textId="77777777" w:rsidR="00B0005F" w:rsidRPr="008A2411" w:rsidRDefault="00000000">
            <w:pPr>
              <w:widowControl/>
              <w:spacing w:line="400" w:lineRule="exact"/>
              <w:jc w:val="center"/>
              <w:rPr>
                <w:rFonts w:ascii="Times New Roman"/>
                <w:bCs/>
                <w:color w:val="000000" w:themeColor="text1"/>
                <w:sz w:val="21"/>
                <w:szCs w:val="21"/>
                <w:lang w:bidi="ar"/>
              </w:rPr>
            </w:pPr>
            <w:r w:rsidRPr="008A2411">
              <w:rPr>
                <w:rFonts w:ascii="Times New Roman"/>
                <w:bCs/>
                <w:color w:val="000000" w:themeColor="text1"/>
                <w:sz w:val="21"/>
                <w:szCs w:val="21"/>
                <w:lang w:bidi="ar"/>
              </w:rPr>
              <w:t>大</w:t>
            </w:r>
          </w:p>
        </w:tc>
        <w:tc>
          <w:tcPr>
            <w:tcW w:w="1180" w:type="pct"/>
            <w:tcBorders>
              <w:top w:val="single" w:sz="4" w:space="0" w:color="auto"/>
              <w:left w:val="single" w:sz="4" w:space="0" w:color="auto"/>
              <w:bottom w:val="single" w:sz="4" w:space="0" w:color="auto"/>
              <w:right w:val="single" w:sz="4" w:space="0" w:color="auto"/>
            </w:tcBorders>
          </w:tcPr>
          <w:p w14:paraId="7AA8B781" w14:textId="77777777" w:rsidR="00B0005F" w:rsidRPr="008A2411" w:rsidRDefault="00000000">
            <w:pPr>
              <w:widowControl/>
              <w:spacing w:line="400" w:lineRule="exact"/>
              <w:jc w:val="center"/>
              <w:rPr>
                <w:rFonts w:ascii="Times New Roman"/>
                <w:bCs/>
                <w:color w:val="000000" w:themeColor="text1"/>
                <w:sz w:val="21"/>
                <w:szCs w:val="21"/>
                <w:lang w:bidi="ar"/>
              </w:rPr>
            </w:pPr>
            <w:r w:rsidRPr="008A2411">
              <w:rPr>
                <w:rFonts w:ascii="Times New Roman"/>
                <w:bCs/>
                <w:color w:val="000000" w:themeColor="text1"/>
                <w:sz w:val="21"/>
                <w:szCs w:val="21"/>
                <w:lang w:bidi="ar"/>
              </w:rPr>
              <w:t>小</w:t>
            </w:r>
          </w:p>
        </w:tc>
      </w:tr>
      <w:tr w:rsidR="008A2411" w:rsidRPr="008A2411" w14:paraId="33E9FC75" w14:textId="77777777">
        <w:trPr>
          <w:trHeight w:val="330"/>
          <w:jc w:val="center"/>
        </w:trPr>
        <w:tc>
          <w:tcPr>
            <w:tcW w:w="1412" w:type="pct"/>
            <w:tcBorders>
              <w:top w:val="single" w:sz="4" w:space="0" w:color="auto"/>
              <w:left w:val="single" w:sz="4" w:space="0" w:color="auto"/>
              <w:bottom w:val="single" w:sz="4" w:space="0" w:color="auto"/>
              <w:right w:val="single" w:sz="4" w:space="0" w:color="auto"/>
            </w:tcBorders>
          </w:tcPr>
          <w:p w14:paraId="297A8870" w14:textId="77777777" w:rsidR="00B0005F" w:rsidRPr="008A2411" w:rsidRDefault="00000000">
            <w:pPr>
              <w:widowControl/>
              <w:spacing w:line="400" w:lineRule="exact"/>
              <w:jc w:val="center"/>
              <w:rPr>
                <w:rFonts w:ascii="Times New Roman"/>
                <w:bCs/>
                <w:color w:val="000000" w:themeColor="text1"/>
                <w:sz w:val="21"/>
                <w:szCs w:val="21"/>
                <w:lang w:bidi="ar"/>
              </w:rPr>
            </w:pPr>
            <w:r w:rsidRPr="008A2411">
              <w:rPr>
                <w:rFonts w:ascii="Times New Roman"/>
                <w:bCs/>
                <w:color w:val="000000" w:themeColor="text1"/>
                <w:sz w:val="21"/>
                <w:szCs w:val="21"/>
                <w:lang w:bidi="ar"/>
              </w:rPr>
              <w:t>适应性</w:t>
            </w:r>
          </w:p>
        </w:tc>
        <w:tc>
          <w:tcPr>
            <w:tcW w:w="1165" w:type="pct"/>
            <w:tcBorders>
              <w:top w:val="single" w:sz="4" w:space="0" w:color="auto"/>
              <w:left w:val="single" w:sz="4" w:space="0" w:color="auto"/>
              <w:bottom w:val="single" w:sz="4" w:space="0" w:color="auto"/>
              <w:right w:val="single" w:sz="4" w:space="0" w:color="auto"/>
            </w:tcBorders>
          </w:tcPr>
          <w:p w14:paraId="5CD10043" w14:textId="77777777" w:rsidR="00B0005F" w:rsidRPr="008A2411" w:rsidRDefault="00000000">
            <w:pPr>
              <w:widowControl/>
              <w:spacing w:line="400" w:lineRule="exact"/>
              <w:jc w:val="center"/>
              <w:rPr>
                <w:rFonts w:ascii="Times New Roman"/>
                <w:bCs/>
                <w:color w:val="000000" w:themeColor="text1"/>
                <w:sz w:val="21"/>
                <w:szCs w:val="21"/>
                <w:lang w:bidi="ar"/>
              </w:rPr>
            </w:pPr>
            <w:r w:rsidRPr="008A2411">
              <w:rPr>
                <w:rFonts w:ascii="Times New Roman"/>
                <w:bCs/>
                <w:color w:val="000000" w:themeColor="text1"/>
                <w:sz w:val="21"/>
                <w:szCs w:val="21"/>
                <w:lang w:bidi="ar"/>
              </w:rPr>
              <w:t>中</w:t>
            </w:r>
          </w:p>
        </w:tc>
        <w:tc>
          <w:tcPr>
            <w:tcW w:w="1241" w:type="pct"/>
            <w:tcBorders>
              <w:top w:val="single" w:sz="4" w:space="0" w:color="auto"/>
              <w:left w:val="single" w:sz="4" w:space="0" w:color="auto"/>
              <w:bottom w:val="single" w:sz="4" w:space="0" w:color="auto"/>
              <w:right w:val="single" w:sz="4" w:space="0" w:color="auto"/>
            </w:tcBorders>
          </w:tcPr>
          <w:p w14:paraId="5903E06E" w14:textId="77777777" w:rsidR="00B0005F" w:rsidRPr="008A2411" w:rsidRDefault="00000000">
            <w:pPr>
              <w:widowControl/>
              <w:spacing w:line="400" w:lineRule="exact"/>
              <w:jc w:val="center"/>
              <w:rPr>
                <w:rFonts w:ascii="Times New Roman"/>
                <w:bCs/>
                <w:color w:val="000000" w:themeColor="text1"/>
                <w:sz w:val="21"/>
                <w:szCs w:val="21"/>
                <w:lang w:bidi="ar"/>
              </w:rPr>
            </w:pPr>
            <w:r w:rsidRPr="008A2411">
              <w:rPr>
                <w:rFonts w:ascii="Times New Roman"/>
                <w:bCs/>
                <w:color w:val="000000" w:themeColor="text1"/>
                <w:sz w:val="21"/>
                <w:szCs w:val="21"/>
                <w:lang w:bidi="ar"/>
              </w:rPr>
              <w:t>高</w:t>
            </w:r>
          </w:p>
        </w:tc>
        <w:tc>
          <w:tcPr>
            <w:tcW w:w="1180" w:type="pct"/>
            <w:tcBorders>
              <w:top w:val="single" w:sz="4" w:space="0" w:color="auto"/>
              <w:left w:val="single" w:sz="4" w:space="0" w:color="auto"/>
              <w:bottom w:val="single" w:sz="4" w:space="0" w:color="auto"/>
              <w:right w:val="single" w:sz="4" w:space="0" w:color="auto"/>
            </w:tcBorders>
          </w:tcPr>
          <w:p w14:paraId="04C5D0DA" w14:textId="77777777" w:rsidR="00B0005F" w:rsidRPr="008A2411" w:rsidRDefault="00000000">
            <w:pPr>
              <w:widowControl/>
              <w:spacing w:line="400" w:lineRule="exact"/>
              <w:jc w:val="center"/>
              <w:rPr>
                <w:rFonts w:ascii="Times New Roman"/>
                <w:bCs/>
                <w:color w:val="000000" w:themeColor="text1"/>
                <w:sz w:val="21"/>
                <w:szCs w:val="21"/>
                <w:lang w:bidi="ar"/>
              </w:rPr>
            </w:pPr>
            <w:r w:rsidRPr="008A2411">
              <w:rPr>
                <w:rFonts w:ascii="Times New Roman"/>
                <w:bCs/>
                <w:color w:val="000000" w:themeColor="text1"/>
                <w:sz w:val="21"/>
                <w:szCs w:val="21"/>
                <w:lang w:bidi="ar"/>
              </w:rPr>
              <w:t>中</w:t>
            </w:r>
          </w:p>
        </w:tc>
      </w:tr>
    </w:tbl>
    <w:p w14:paraId="3286F65D" w14:textId="77777777" w:rsidR="00B0005F" w:rsidRPr="008A2411" w:rsidRDefault="00000000">
      <w:pPr>
        <w:widowControl/>
        <w:adjustRightInd w:val="0"/>
        <w:snapToGrid w:val="0"/>
        <w:spacing w:line="360" w:lineRule="auto"/>
        <w:ind w:firstLineChars="200" w:firstLine="482"/>
        <w:jc w:val="left"/>
        <w:rPr>
          <w:rFonts w:ascii="Times New Roman"/>
          <w:b/>
          <w:color w:val="000000" w:themeColor="text1"/>
          <w:szCs w:val="24"/>
          <w:lang w:bidi="ar"/>
        </w:rPr>
      </w:pPr>
      <w:r w:rsidRPr="008A2411">
        <w:rPr>
          <w:rFonts w:ascii="Times New Roman"/>
          <w:b/>
          <w:color w:val="000000" w:themeColor="text1"/>
          <w:szCs w:val="24"/>
          <w:lang w:bidi="ar"/>
        </w:rPr>
        <w:t>由上表可见，从环境保护的角度而言，混合制冷工艺流程简单、设备少，对应的占地面积小，造成的生态影响较小；此外，混合制冷工艺能耗相对较低，</w:t>
      </w:r>
      <w:r w:rsidRPr="008A2411">
        <w:rPr>
          <w:rFonts w:ascii="Times New Roman"/>
          <w:b/>
          <w:color w:val="000000" w:themeColor="text1"/>
          <w:szCs w:val="24"/>
          <w:lang w:bidi="ar"/>
        </w:rPr>
        <w:lastRenderedPageBreak/>
        <w:t>更为节能。因此从环境保护的角度，本工程液化工艺推荐选用混合制冷工艺合理。</w:t>
      </w:r>
    </w:p>
    <w:p w14:paraId="7EA609CD" w14:textId="77777777" w:rsidR="00B0005F" w:rsidRPr="008A2411" w:rsidRDefault="00000000">
      <w:pPr>
        <w:numPr>
          <w:ilvl w:val="0"/>
          <w:numId w:val="15"/>
        </w:numPr>
        <w:adjustRightInd w:val="0"/>
        <w:snapToGrid w:val="0"/>
        <w:spacing w:line="360" w:lineRule="auto"/>
        <w:ind w:firstLine="480"/>
        <w:rPr>
          <w:rFonts w:ascii="Times New Roman"/>
          <w:color w:val="000000" w:themeColor="text1"/>
        </w:rPr>
      </w:pPr>
      <w:r w:rsidRPr="008A2411">
        <w:rPr>
          <w:rFonts w:ascii="Times New Roman"/>
          <w:color w:val="000000" w:themeColor="text1"/>
        </w:rPr>
        <w:t>典型混合冷剂循环（</w:t>
      </w:r>
      <w:r w:rsidRPr="008A2411">
        <w:rPr>
          <w:rFonts w:ascii="Times New Roman"/>
          <w:color w:val="000000" w:themeColor="text1"/>
        </w:rPr>
        <w:t>MRC</w:t>
      </w:r>
      <w:r w:rsidRPr="008A2411">
        <w:rPr>
          <w:rFonts w:ascii="Times New Roman"/>
          <w:color w:val="000000" w:themeColor="text1"/>
        </w:rPr>
        <w:t>）工艺选择</w:t>
      </w:r>
    </w:p>
    <w:p w14:paraId="42D2EA45" w14:textId="77777777" w:rsidR="00B0005F" w:rsidRPr="008A2411" w:rsidRDefault="00000000">
      <w:pPr>
        <w:adjustRightInd w:val="0"/>
        <w:snapToGrid w:val="0"/>
        <w:spacing w:line="360" w:lineRule="auto"/>
        <w:rPr>
          <w:rFonts w:ascii="Times New Roman"/>
          <w:bCs/>
          <w:color w:val="000000" w:themeColor="text1"/>
          <w:szCs w:val="24"/>
          <w:lang w:bidi="ar"/>
        </w:rPr>
      </w:pPr>
      <w:r w:rsidRPr="008A2411">
        <w:rPr>
          <w:rFonts w:ascii="Times New Roman"/>
          <w:b/>
          <w:color w:val="000000" w:themeColor="text1"/>
          <w:szCs w:val="21"/>
        </w:rPr>
        <w:t xml:space="preserve">  </w:t>
      </w:r>
      <w:r w:rsidRPr="008A2411">
        <w:rPr>
          <w:rFonts w:ascii="Times New Roman"/>
          <w:bCs/>
          <w:color w:val="000000" w:themeColor="text1"/>
          <w:szCs w:val="24"/>
          <w:lang w:bidi="ar"/>
        </w:rPr>
        <w:t xml:space="preserve">  </w:t>
      </w:r>
      <w:r w:rsidRPr="008A2411">
        <w:rPr>
          <w:rFonts w:ascii="Times New Roman"/>
          <w:bCs/>
          <w:color w:val="000000" w:themeColor="text1"/>
          <w:szCs w:val="24"/>
          <w:lang w:bidi="ar"/>
        </w:rPr>
        <w:t>根据国内已建成类似项目的成功经验以及为使本装置在操作、维修的方便，本项目液化工艺技术选用美国</w:t>
      </w:r>
      <w:r w:rsidRPr="008A2411">
        <w:rPr>
          <w:rFonts w:ascii="Times New Roman"/>
          <w:bCs/>
          <w:color w:val="000000" w:themeColor="text1"/>
          <w:szCs w:val="24"/>
          <w:lang w:bidi="ar"/>
        </w:rPr>
        <w:t xml:space="preserve">BV </w:t>
      </w:r>
      <w:r w:rsidRPr="008A2411">
        <w:rPr>
          <w:rFonts w:ascii="Times New Roman"/>
          <w:bCs/>
          <w:color w:val="000000" w:themeColor="text1"/>
          <w:szCs w:val="24"/>
          <w:lang w:bidi="ar"/>
        </w:rPr>
        <w:t>公司</w:t>
      </w:r>
      <w:r w:rsidRPr="008A2411">
        <w:rPr>
          <w:rFonts w:ascii="Times New Roman"/>
          <w:bCs/>
          <w:color w:val="000000" w:themeColor="text1"/>
          <w:szCs w:val="24"/>
          <w:lang w:bidi="ar"/>
        </w:rPr>
        <w:t xml:space="preserve">PRICO </w:t>
      </w:r>
      <w:r w:rsidRPr="008A2411">
        <w:rPr>
          <w:rFonts w:ascii="Times New Roman"/>
          <w:bCs/>
          <w:color w:val="000000" w:themeColor="text1"/>
          <w:szCs w:val="24"/>
          <w:lang w:bidi="ar"/>
        </w:rPr>
        <w:t>混合制冷工艺，其与其它工艺对比分析如下。</w:t>
      </w:r>
    </w:p>
    <w:p w14:paraId="30722904" w14:textId="77777777" w:rsidR="00B0005F" w:rsidRPr="008A2411" w:rsidRDefault="00000000">
      <w:pPr>
        <w:widowControl/>
        <w:ind w:firstLineChars="200" w:firstLine="480"/>
        <w:jc w:val="center"/>
        <w:rPr>
          <w:rFonts w:ascii="Times New Roman" w:eastAsia="黑体"/>
          <w:color w:val="000000" w:themeColor="text1"/>
          <w:szCs w:val="24"/>
        </w:rPr>
      </w:pPr>
      <w:r w:rsidRPr="008A2411">
        <w:rPr>
          <w:rFonts w:ascii="Times New Roman" w:eastAsia="黑体"/>
          <w:color w:val="000000" w:themeColor="text1"/>
          <w:szCs w:val="24"/>
        </w:rPr>
        <w:t>表</w:t>
      </w:r>
      <w:r w:rsidRPr="008A2411">
        <w:rPr>
          <w:rFonts w:ascii="Times New Roman" w:eastAsia="黑体"/>
          <w:color w:val="000000" w:themeColor="text1"/>
          <w:szCs w:val="24"/>
        </w:rPr>
        <w:t xml:space="preserve">3.2-7  </w:t>
      </w:r>
      <w:r w:rsidRPr="008A2411">
        <w:rPr>
          <w:rFonts w:ascii="Times New Roman" w:eastAsia="黑体"/>
          <w:color w:val="000000" w:themeColor="text1"/>
          <w:szCs w:val="24"/>
        </w:rPr>
        <w:t>典型混合冷剂循环（</w:t>
      </w:r>
      <w:r w:rsidRPr="008A2411">
        <w:rPr>
          <w:rFonts w:ascii="Times New Roman" w:eastAsia="黑体"/>
          <w:color w:val="000000" w:themeColor="text1"/>
          <w:szCs w:val="24"/>
        </w:rPr>
        <w:t>MRC</w:t>
      </w:r>
      <w:r w:rsidRPr="008A2411">
        <w:rPr>
          <w:rFonts w:ascii="Times New Roman" w:eastAsia="黑体"/>
          <w:color w:val="000000" w:themeColor="text1"/>
          <w:szCs w:val="24"/>
        </w:rPr>
        <w:t>）工艺流程及特点对比</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64"/>
        <w:gridCol w:w="2188"/>
        <w:gridCol w:w="3094"/>
        <w:gridCol w:w="2076"/>
      </w:tblGrid>
      <w:tr w:rsidR="008A2411" w:rsidRPr="008A2411" w14:paraId="416CF623" w14:textId="77777777">
        <w:trPr>
          <w:trHeight w:val="400"/>
          <w:tblHeader/>
          <w:jc w:val="center"/>
        </w:trPr>
        <w:tc>
          <w:tcPr>
            <w:tcW w:w="1548" w:type="dxa"/>
            <w:shd w:val="clear" w:color="auto" w:fill="auto"/>
            <w:vAlign w:val="center"/>
          </w:tcPr>
          <w:p w14:paraId="269C5107" w14:textId="77777777" w:rsidR="00B0005F" w:rsidRPr="008A2411" w:rsidRDefault="00000000">
            <w:pPr>
              <w:spacing w:line="260" w:lineRule="exact"/>
              <w:jc w:val="center"/>
              <w:rPr>
                <w:rFonts w:ascii="Times New Roman"/>
                <w:b/>
                <w:color w:val="000000" w:themeColor="text1"/>
                <w:sz w:val="21"/>
                <w:szCs w:val="21"/>
              </w:rPr>
            </w:pPr>
            <w:r w:rsidRPr="008A2411">
              <w:rPr>
                <w:rFonts w:ascii="Times New Roman"/>
                <w:b/>
                <w:color w:val="000000" w:themeColor="text1"/>
                <w:sz w:val="21"/>
                <w:szCs w:val="21"/>
              </w:rPr>
              <w:t>工艺名称</w:t>
            </w:r>
          </w:p>
        </w:tc>
        <w:tc>
          <w:tcPr>
            <w:tcW w:w="2712" w:type="dxa"/>
            <w:shd w:val="clear" w:color="auto" w:fill="auto"/>
            <w:vAlign w:val="center"/>
          </w:tcPr>
          <w:p w14:paraId="55DD3376" w14:textId="77777777" w:rsidR="00B0005F" w:rsidRPr="008A2411" w:rsidRDefault="00000000">
            <w:pPr>
              <w:spacing w:line="260" w:lineRule="exact"/>
              <w:jc w:val="center"/>
              <w:rPr>
                <w:rFonts w:ascii="Times New Roman"/>
                <w:b/>
                <w:color w:val="000000" w:themeColor="text1"/>
                <w:sz w:val="21"/>
                <w:szCs w:val="21"/>
              </w:rPr>
            </w:pPr>
            <w:r w:rsidRPr="008A2411">
              <w:rPr>
                <w:rFonts w:ascii="Times New Roman"/>
                <w:b/>
                <w:color w:val="000000" w:themeColor="text1"/>
                <w:sz w:val="21"/>
                <w:szCs w:val="21"/>
              </w:rPr>
              <w:t>概述</w:t>
            </w:r>
          </w:p>
        </w:tc>
        <w:tc>
          <w:tcPr>
            <w:tcW w:w="6160" w:type="dxa"/>
            <w:shd w:val="clear" w:color="auto" w:fill="auto"/>
            <w:vAlign w:val="center"/>
          </w:tcPr>
          <w:p w14:paraId="220C1F5E" w14:textId="77777777" w:rsidR="00B0005F" w:rsidRPr="008A2411" w:rsidRDefault="00000000">
            <w:pPr>
              <w:spacing w:line="260" w:lineRule="exact"/>
              <w:jc w:val="center"/>
              <w:rPr>
                <w:rFonts w:ascii="Times New Roman"/>
                <w:b/>
                <w:color w:val="000000" w:themeColor="text1"/>
                <w:sz w:val="21"/>
                <w:szCs w:val="21"/>
              </w:rPr>
            </w:pPr>
            <w:r w:rsidRPr="008A2411">
              <w:rPr>
                <w:rFonts w:ascii="Times New Roman"/>
                <w:b/>
                <w:color w:val="000000" w:themeColor="text1"/>
                <w:sz w:val="21"/>
                <w:szCs w:val="21"/>
              </w:rPr>
              <w:t>工艺流程</w:t>
            </w:r>
          </w:p>
        </w:tc>
        <w:tc>
          <w:tcPr>
            <w:tcW w:w="3741" w:type="dxa"/>
            <w:shd w:val="clear" w:color="auto" w:fill="auto"/>
            <w:vAlign w:val="center"/>
          </w:tcPr>
          <w:p w14:paraId="461C2966" w14:textId="77777777" w:rsidR="00B0005F" w:rsidRPr="008A2411" w:rsidRDefault="00000000">
            <w:pPr>
              <w:spacing w:line="260" w:lineRule="exact"/>
              <w:jc w:val="center"/>
              <w:rPr>
                <w:rFonts w:ascii="Times New Roman"/>
                <w:b/>
                <w:color w:val="000000" w:themeColor="text1"/>
                <w:sz w:val="21"/>
                <w:szCs w:val="21"/>
              </w:rPr>
            </w:pPr>
            <w:r w:rsidRPr="008A2411">
              <w:rPr>
                <w:rFonts w:ascii="Times New Roman"/>
                <w:b/>
                <w:color w:val="000000" w:themeColor="text1"/>
                <w:sz w:val="21"/>
                <w:szCs w:val="21"/>
              </w:rPr>
              <w:t>工艺特点</w:t>
            </w:r>
          </w:p>
        </w:tc>
      </w:tr>
      <w:tr w:rsidR="008A2411" w:rsidRPr="008A2411" w14:paraId="1361E384" w14:textId="77777777">
        <w:trPr>
          <w:jc w:val="center"/>
        </w:trPr>
        <w:tc>
          <w:tcPr>
            <w:tcW w:w="1548" w:type="dxa"/>
            <w:shd w:val="clear" w:color="auto" w:fill="auto"/>
            <w:vAlign w:val="center"/>
          </w:tcPr>
          <w:p w14:paraId="0C2B6C84" w14:textId="77777777" w:rsidR="00B0005F" w:rsidRPr="008A2411" w:rsidRDefault="00000000">
            <w:pPr>
              <w:spacing w:line="280" w:lineRule="exact"/>
              <w:jc w:val="center"/>
              <w:rPr>
                <w:rFonts w:ascii="Times New Roman"/>
                <w:color w:val="000000" w:themeColor="text1"/>
                <w:sz w:val="21"/>
                <w:szCs w:val="21"/>
              </w:rPr>
            </w:pPr>
            <w:proofErr w:type="spellStart"/>
            <w:r w:rsidRPr="008A2411">
              <w:rPr>
                <w:rFonts w:ascii="Times New Roman"/>
                <w:color w:val="000000" w:themeColor="text1"/>
                <w:sz w:val="21"/>
                <w:szCs w:val="21"/>
              </w:rPr>
              <w:t>Liquefin</w:t>
            </w:r>
            <w:proofErr w:type="spellEnd"/>
            <w:r w:rsidRPr="008A2411">
              <w:rPr>
                <w:rFonts w:ascii="Times New Roman"/>
                <w:color w:val="000000" w:themeColor="text1"/>
                <w:sz w:val="21"/>
                <w:szCs w:val="21"/>
              </w:rPr>
              <w:t>工艺</w:t>
            </w:r>
          </w:p>
        </w:tc>
        <w:tc>
          <w:tcPr>
            <w:tcW w:w="2712" w:type="dxa"/>
            <w:shd w:val="clear" w:color="auto" w:fill="auto"/>
            <w:vAlign w:val="center"/>
          </w:tcPr>
          <w:p w14:paraId="78EEC896"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由法国</w:t>
            </w:r>
            <w:proofErr w:type="spellStart"/>
            <w:r w:rsidRPr="008A2411">
              <w:rPr>
                <w:rFonts w:ascii="Times New Roman"/>
                <w:color w:val="000000" w:themeColor="text1"/>
                <w:sz w:val="21"/>
                <w:szCs w:val="21"/>
              </w:rPr>
              <w:t>Axens</w:t>
            </w:r>
            <w:proofErr w:type="spellEnd"/>
            <w:r w:rsidRPr="008A2411">
              <w:rPr>
                <w:rFonts w:ascii="Times New Roman"/>
                <w:color w:val="000000" w:themeColor="text1"/>
                <w:sz w:val="21"/>
                <w:szCs w:val="21"/>
              </w:rPr>
              <w:t xml:space="preserve"> </w:t>
            </w:r>
            <w:r w:rsidRPr="008A2411">
              <w:rPr>
                <w:rFonts w:ascii="Times New Roman"/>
                <w:color w:val="000000" w:themeColor="text1"/>
                <w:sz w:val="21"/>
                <w:szCs w:val="21"/>
              </w:rPr>
              <w:t>公司与法国石油研究所</w:t>
            </w:r>
            <w:r w:rsidRPr="008A2411">
              <w:rPr>
                <w:rFonts w:ascii="Times New Roman"/>
                <w:color w:val="000000" w:themeColor="text1"/>
                <w:sz w:val="21"/>
                <w:szCs w:val="21"/>
              </w:rPr>
              <w:t xml:space="preserve">IFP </w:t>
            </w:r>
            <w:r w:rsidRPr="008A2411">
              <w:rPr>
                <w:rFonts w:ascii="Times New Roman"/>
                <w:color w:val="000000" w:themeColor="text1"/>
                <w:sz w:val="21"/>
                <w:szCs w:val="21"/>
              </w:rPr>
              <w:t>合作共同开发的液化新工艺，该工艺采用混合冷剂双循环工艺</w:t>
            </w:r>
            <w:r w:rsidRPr="008A2411">
              <w:rPr>
                <w:rFonts w:ascii="Times New Roman"/>
                <w:color w:val="000000" w:themeColor="text1"/>
                <w:sz w:val="21"/>
                <w:szCs w:val="21"/>
              </w:rPr>
              <w:t xml:space="preserve">, </w:t>
            </w:r>
            <w:r w:rsidRPr="008A2411">
              <w:rPr>
                <w:rFonts w:ascii="Times New Roman"/>
                <w:color w:val="000000" w:themeColor="text1"/>
                <w:sz w:val="21"/>
                <w:szCs w:val="21"/>
              </w:rPr>
              <w:t>混合冷剂代替传统的丙烷进行原料气的预冷，其单列生产能力可达</w:t>
            </w:r>
            <w:r w:rsidRPr="008A2411">
              <w:rPr>
                <w:rFonts w:ascii="Times New Roman"/>
                <w:color w:val="000000" w:themeColor="text1"/>
                <w:sz w:val="21"/>
                <w:szCs w:val="21"/>
              </w:rPr>
              <w:t>400</w:t>
            </w:r>
            <w:r w:rsidRPr="008A2411">
              <w:rPr>
                <w:rFonts w:ascii="Times New Roman"/>
                <w:color w:val="000000" w:themeColor="text1"/>
                <w:sz w:val="21"/>
                <w:szCs w:val="21"/>
              </w:rPr>
              <w:t>万</w:t>
            </w:r>
            <w:r w:rsidRPr="008A2411">
              <w:rPr>
                <w:rFonts w:ascii="Times New Roman"/>
                <w:color w:val="000000" w:themeColor="text1"/>
                <w:sz w:val="21"/>
                <w:szCs w:val="21"/>
              </w:rPr>
              <w:t>t/</w:t>
            </w:r>
            <w:r w:rsidRPr="008A2411">
              <w:rPr>
                <w:rFonts w:ascii="Times New Roman"/>
                <w:color w:val="000000" w:themeColor="text1"/>
                <w:sz w:val="21"/>
                <w:szCs w:val="21"/>
              </w:rPr>
              <w:t>年，目前还没有工业化装置运行。</w:t>
            </w:r>
          </w:p>
        </w:tc>
        <w:tc>
          <w:tcPr>
            <w:tcW w:w="6160" w:type="dxa"/>
            <w:shd w:val="clear" w:color="auto" w:fill="auto"/>
            <w:vAlign w:val="center"/>
          </w:tcPr>
          <w:p w14:paraId="7B920B04" w14:textId="77777777" w:rsidR="00B0005F" w:rsidRPr="008A2411" w:rsidRDefault="00000000">
            <w:pPr>
              <w:autoSpaceDE w:val="0"/>
              <w:autoSpaceDN w:val="0"/>
              <w:adjustRightInd w:val="0"/>
              <w:spacing w:line="280" w:lineRule="exact"/>
              <w:jc w:val="center"/>
              <w:rPr>
                <w:rFonts w:ascii="Times New Roman"/>
                <w:color w:val="000000" w:themeColor="text1"/>
                <w:sz w:val="21"/>
                <w:szCs w:val="21"/>
              </w:rPr>
            </w:pPr>
            <w:r w:rsidRPr="008A2411">
              <w:rPr>
                <w:rFonts w:ascii="Times New Roman"/>
                <w:color w:val="000000" w:themeColor="text1"/>
                <w:sz w:val="21"/>
                <w:szCs w:val="21"/>
                <w:bdr w:val="single" w:sz="4" w:space="0" w:color="auto"/>
              </w:rPr>
              <w:t>液化过程</w:t>
            </w:r>
            <w:r w:rsidRPr="008A2411">
              <w:rPr>
                <w:rFonts w:ascii="Times New Roman"/>
                <w:color w:val="000000" w:themeColor="text1"/>
                <w:sz w:val="21"/>
                <w:szCs w:val="21"/>
              </w:rPr>
              <w:t>：原料</w:t>
            </w:r>
            <w:proofErr w:type="gramStart"/>
            <w:r w:rsidRPr="008A2411">
              <w:rPr>
                <w:rFonts w:ascii="Times New Roman"/>
                <w:color w:val="000000" w:themeColor="text1"/>
                <w:sz w:val="21"/>
                <w:szCs w:val="21"/>
              </w:rPr>
              <w:t>气经过</w:t>
            </w:r>
            <w:proofErr w:type="gramEnd"/>
            <w:r w:rsidRPr="008A2411">
              <w:rPr>
                <w:rFonts w:ascii="Times New Roman"/>
                <w:color w:val="000000" w:themeColor="text1"/>
                <w:sz w:val="21"/>
                <w:szCs w:val="21"/>
              </w:rPr>
              <w:t>过滤分离器，除掉液体和固体杂质后，进入原料气压缩机，压缩后的原料气冷却后进入预冷段，被混合冷</w:t>
            </w:r>
            <w:proofErr w:type="gramStart"/>
            <w:r w:rsidRPr="008A2411">
              <w:rPr>
                <w:rFonts w:ascii="Times New Roman"/>
                <w:color w:val="000000" w:themeColor="text1"/>
                <w:sz w:val="21"/>
                <w:szCs w:val="21"/>
              </w:rPr>
              <w:t>剂逐渐</w:t>
            </w:r>
            <w:proofErr w:type="gramEnd"/>
            <w:r w:rsidRPr="008A2411">
              <w:rPr>
                <w:rFonts w:ascii="Times New Roman"/>
                <w:color w:val="000000" w:themeColor="text1"/>
                <w:sz w:val="21"/>
                <w:szCs w:val="21"/>
              </w:rPr>
              <w:t>冷却，再去酸性气体脱除装置，脱除酸性气体，脱除酸性气体的溶液采用</w:t>
            </w:r>
            <w:proofErr w:type="gramStart"/>
            <w:r w:rsidRPr="008A2411">
              <w:rPr>
                <w:rFonts w:ascii="Times New Roman"/>
                <w:color w:val="000000" w:themeColor="text1"/>
                <w:sz w:val="21"/>
                <w:szCs w:val="21"/>
              </w:rPr>
              <w:t>一</w:t>
            </w:r>
            <w:proofErr w:type="gramEnd"/>
            <w:r w:rsidRPr="008A2411">
              <w:rPr>
                <w:rFonts w:ascii="Times New Roman"/>
                <w:color w:val="000000" w:themeColor="text1"/>
                <w:sz w:val="21"/>
                <w:szCs w:val="21"/>
              </w:rPr>
              <w:t>乙醇胺（</w:t>
            </w:r>
            <w:r w:rsidRPr="008A2411">
              <w:rPr>
                <w:rFonts w:ascii="Times New Roman"/>
                <w:color w:val="000000" w:themeColor="text1"/>
                <w:sz w:val="21"/>
                <w:szCs w:val="21"/>
              </w:rPr>
              <w:t>MEA</w:t>
            </w:r>
            <w:r w:rsidRPr="008A2411">
              <w:rPr>
                <w:rFonts w:ascii="Times New Roman"/>
                <w:color w:val="000000" w:themeColor="text1"/>
                <w:sz w:val="21"/>
                <w:szCs w:val="21"/>
              </w:rPr>
              <w:t>），然后进入分子筛干燥器脱水，之后返回到预冷段。原料气经预冷后再进入深冷段，出</w:t>
            </w:r>
            <w:proofErr w:type="gramStart"/>
            <w:r w:rsidRPr="008A2411">
              <w:rPr>
                <w:rFonts w:ascii="Times New Roman"/>
                <w:color w:val="000000" w:themeColor="text1"/>
                <w:sz w:val="21"/>
                <w:szCs w:val="21"/>
              </w:rPr>
              <w:t>深冷段的</w:t>
            </w:r>
            <w:proofErr w:type="gramEnd"/>
            <w:r w:rsidRPr="008A2411">
              <w:rPr>
                <w:rFonts w:ascii="Times New Roman"/>
                <w:color w:val="000000" w:themeColor="text1"/>
                <w:sz w:val="21"/>
                <w:szCs w:val="21"/>
              </w:rPr>
              <w:t>天然气被液化，温度约</w:t>
            </w:r>
            <w:r w:rsidRPr="008A2411">
              <w:rPr>
                <w:rFonts w:ascii="Times New Roman"/>
                <w:color w:val="000000" w:themeColor="text1"/>
                <w:sz w:val="21"/>
                <w:szCs w:val="21"/>
              </w:rPr>
              <w:t>-150℃</w:t>
            </w:r>
            <w:r w:rsidRPr="008A2411">
              <w:rPr>
                <w:rFonts w:ascii="Times New Roman"/>
                <w:color w:val="000000" w:themeColor="text1"/>
                <w:sz w:val="21"/>
                <w:szCs w:val="21"/>
              </w:rPr>
              <w:t>，液态轻烃经</w:t>
            </w:r>
            <w:proofErr w:type="gramStart"/>
            <w:r w:rsidRPr="008A2411">
              <w:rPr>
                <w:rFonts w:ascii="Times New Roman"/>
                <w:color w:val="000000" w:themeColor="text1"/>
                <w:sz w:val="21"/>
                <w:szCs w:val="21"/>
              </w:rPr>
              <w:t>膨胀机</w:t>
            </w:r>
            <w:proofErr w:type="gramEnd"/>
            <w:r w:rsidRPr="008A2411">
              <w:rPr>
                <w:rFonts w:ascii="Times New Roman"/>
                <w:color w:val="000000" w:themeColor="text1"/>
                <w:sz w:val="21"/>
                <w:szCs w:val="21"/>
              </w:rPr>
              <w:t>降压过冷，温度约</w:t>
            </w:r>
            <w:r w:rsidRPr="008A2411">
              <w:rPr>
                <w:rFonts w:ascii="Times New Roman"/>
                <w:color w:val="000000" w:themeColor="text1"/>
                <w:sz w:val="21"/>
                <w:szCs w:val="21"/>
              </w:rPr>
              <w:t>-180℃</w:t>
            </w:r>
            <w:r w:rsidRPr="008A2411">
              <w:rPr>
                <w:rFonts w:ascii="Times New Roman"/>
                <w:color w:val="000000" w:themeColor="text1"/>
                <w:sz w:val="21"/>
                <w:szCs w:val="21"/>
              </w:rPr>
              <w:t>，送入液态轻烃储罐贮存。</w:t>
            </w:r>
          </w:p>
          <w:p w14:paraId="2CBD8148"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bdr w:val="single" w:sz="4" w:space="0" w:color="auto"/>
              </w:rPr>
              <w:t>冷剂循环</w:t>
            </w:r>
            <w:r w:rsidRPr="008A2411">
              <w:rPr>
                <w:rFonts w:ascii="Times New Roman"/>
                <w:color w:val="000000" w:themeColor="text1"/>
                <w:sz w:val="21"/>
                <w:szCs w:val="21"/>
              </w:rPr>
              <w:t>：采用混合冷剂双循环工艺，预冷剂和低温冷冻剂都是混合组分，预冷混合冷剂主要由乙烷、丙烷、戊烷组成，低温混合冷剂主要由氮、甲烷、乙烷组成，采用板翅式换热器进行低温液化。混合预冷剂压缩冷却后进入预冷</w:t>
            </w:r>
            <w:proofErr w:type="gramStart"/>
            <w:r w:rsidRPr="008A2411">
              <w:rPr>
                <w:rFonts w:ascii="Times New Roman"/>
                <w:color w:val="000000" w:themeColor="text1"/>
                <w:sz w:val="21"/>
                <w:szCs w:val="21"/>
              </w:rPr>
              <w:t>段冷剂</w:t>
            </w:r>
            <w:proofErr w:type="gramEnd"/>
            <w:r w:rsidRPr="008A2411">
              <w:rPr>
                <w:rFonts w:ascii="Times New Roman"/>
                <w:color w:val="000000" w:themeColor="text1"/>
                <w:sz w:val="21"/>
                <w:szCs w:val="21"/>
              </w:rPr>
              <w:t>换热器，并在不同阶段引出在不同压力下节流降温，分别</w:t>
            </w:r>
            <w:proofErr w:type="gramStart"/>
            <w:r w:rsidRPr="008A2411">
              <w:rPr>
                <w:rFonts w:ascii="Times New Roman"/>
                <w:color w:val="000000" w:themeColor="text1"/>
                <w:sz w:val="21"/>
                <w:szCs w:val="21"/>
              </w:rPr>
              <w:t>返回冷箱蒸发</w:t>
            </w:r>
            <w:proofErr w:type="gramEnd"/>
            <w:r w:rsidRPr="008A2411">
              <w:rPr>
                <w:rFonts w:ascii="Times New Roman"/>
                <w:color w:val="000000" w:themeColor="text1"/>
                <w:sz w:val="21"/>
                <w:szCs w:val="21"/>
              </w:rPr>
              <w:t>制冷，蒸发的冷剂气体返回到预冷剂压缩机入口。低温混合冷冻剂在</w:t>
            </w:r>
            <w:r w:rsidRPr="008A2411">
              <w:rPr>
                <w:rFonts w:ascii="Times New Roman"/>
                <w:color w:val="000000" w:themeColor="text1"/>
                <w:sz w:val="21"/>
                <w:szCs w:val="21"/>
              </w:rPr>
              <w:t xml:space="preserve">-50℃ </w:t>
            </w:r>
            <w:r w:rsidRPr="008A2411">
              <w:rPr>
                <w:rFonts w:ascii="Times New Roman"/>
                <w:color w:val="000000" w:themeColor="text1"/>
                <w:sz w:val="21"/>
                <w:szCs w:val="21"/>
              </w:rPr>
              <w:t>至</w:t>
            </w:r>
            <w:r w:rsidRPr="008A2411">
              <w:rPr>
                <w:rFonts w:ascii="Times New Roman"/>
                <w:color w:val="000000" w:themeColor="text1"/>
                <w:sz w:val="21"/>
                <w:szCs w:val="21"/>
              </w:rPr>
              <w:t>-80℃</w:t>
            </w:r>
            <w:r w:rsidRPr="008A2411">
              <w:rPr>
                <w:rFonts w:ascii="Times New Roman"/>
                <w:color w:val="000000" w:themeColor="text1"/>
                <w:sz w:val="21"/>
                <w:szCs w:val="21"/>
              </w:rPr>
              <w:t>的预冷温度范围内可完全冷凝，因而不需要进行相分离。低温混合冷冻剂，出</w:t>
            </w:r>
            <w:proofErr w:type="gramStart"/>
            <w:r w:rsidRPr="008A2411">
              <w:rPr>
                <w:rFonts w:ascii="Times New Roman"/>
                <w:color w:val="000000" w:themeColor="text1"/>
                <w:sz w:val="21"/>
                <w:szCs w:val="21"/>
              </w:rPr>
              <w:t>深冷段温度</w:t>
            </w:r>
            <w:proofErr w:type="gramEnd"/>
            <w:r w:rsidRPr="008A2411">
              <w:rPr>
                <w:rFonts w:ascii="Times New Roman"/>
                <w:color w:val="000000" w:themeColor="text1"/>
                <w:sz w:val="21"/>
                <w:szCs w:val="21"/>
              </w:rPr>
              <w:t>约</w:t>
            </w:r>
            <w:r w:rsidRPr="008A2411">
              <w:rPr>
                <w:rFonts w:ascii="Times New Roman"/>
                <w:color w:val="000000" w:themeColor="text1"/>
                <w:sz w:val="21"/>
                <w:szCs w:val="21"/>
              </w:rPr>
              <w:t>-150℃</w:t>
            </w:r>
            <w:r w:rsidRPr="008A2411">
              <w:rPr>
                <w:rFonts w:ascii="Times New Roman"/>
                <w:color w:val="000000" w:themeColor="text1"/>
                <w:sz w:val="21"/>
                <w:szCs w:val="21"/>
              </w:rPr>
              <w:t>，低温混合冷冻剂液体经</w:t>
            </w:r>
            <w:proofErr w:type="gramStart"/>
            <w:r w:rsidRPr="008A2411">
              <w:rPr>
                <w:rFonts w:ascii="Times New Roman"/>
                <w:color w:val="000000" w:themeColor="text1"/>
                <w:sz w:val="21"/>
                <w:szCs w:val="21"/>
              </w:rPr>
              <w:t>膨胀机</w:t>
            </w:r>
            <w:proofErr w:type="gramEnd"/>
            <w:r w:rsidRPr="008A2411">
              <w:rPr>
                <w:rFonts w:ascii="Times New Roman"/>
                <w:color w:val="000000" w:themeColor="text1"/>
                <w:sz w:val="21"/>
                <w:szCs w:val="21"/>
              </w:rPr>
              <w:t>降压过冷，温度约</w:t>
            </w:r>
            <w:r w:rsidRPr="008A2411">
              <w:rPr>
                <w:rFonts w:ascii="Times New Roman"/>
                <w:color w:val="000000" w:themeColor="text1"/>
                <w:sz w:val="21"/>
                <w:szCs w:val="21"/>
              </w:rPr>
              <w:t>-180℃</w:t>
            </w:r>
            <w:r w:rsidRPr="008A2411">
              <w:rPr>
                <w:rFonts w:ascii="Times New Roman"/>
                <w:color w:val="000000" w:themeColor="text1"/>
                <w:sz w:val="21"/>
                <w:szCs w:val="21"/>
              </w:rPr>
              <w:t>，</w:t>
            </w:r>
            <w:proofErr w:type="gramStart"/>
            <w:r w:rsidRPr="008A2411">
              <w:rPr>
                <w:rFonts w:ascii="Times New Roman"/>
                <w:color w:val="000000" w:themeColor="text1"/>
                <w:sz w:val="21"/>
                <w:szCs w:val="21"/>
              </w:rPr>
              <w:t>返回冷箱蒸发</w:t>
            </w:r>
            <w:proofErr w:type="gramEnd"/>
            <w:r w:rsidRPr="008A2411">
              <w:rPr>
                <w:rFonts w:ascii="Times New Roman"/>
                <w:color w:val="000000" w:themeColor="text1"/>
                <w:sz w:val="21"/>
                <w:szCs w:val="21"/>
              </w:rPr>
              <w:t>制冷，蒸发的冷剂气体返回到低温冷冻剂压缩机入口。预冷剂循环压缩机和低温冷冻剂循环压缩机</w:t>
            </w:r>
            <w:r w:rsidRPr="008A2411">
              <w:rPr>
                <w:rFonts w:ascii="Times New Roman"/>
                <w:color w:val="000000" w:themeColor="text1"/>
                <w:sz w:val="21"/>
                <w:szCs w:val="21"/>
              </w:rPr>
              <w:t>,</w:t>
            </w:r>
            <w:r w:rsidRPr="008A2411">
              <w:rPr>
                <w:rFonts w:ascii="Times New Roman"/>
                <w:color w:val="000000" w:themeColor="text1"/>
                <w:sz w:val="21"/>
                <w:szCs w:val="21"/>
              </w:rPr>
              <w:t>均采用燃气轮机驱动。</w:t>
            </w:r>
          </w:p>
        </w:tc>
        <w:tc>
          <w:tcPr>
            <w:tcW w:w="3741" w:type="dxa"/>
            <w:shd w:val="clear" w:color="auto" w:fill="auto"/>
            <w:vAlign w:val="center"/>
          </w:tcPr>
          <w:p w14:paraId="7D155F20" w14:textId="77777777" w:rsidR="00B0005F" w:rsidRPr="008A2411" w:rsidRDefault="00000000">
            <w:pPr>
              <w:autoSpaceDE w:val="0"/>
              <w:autoSpaceDN w:val="0"/>
              <w:adjustRightInd w:val="0"/>
              <w:spacing w:line="280" w:lineRule="exact"/>
              <w:jc w:val="center"/>
              <w:rPr>
                <w:rFonts w:ascii="Times New Roman"/>
                <w:color w:val="000000" w:themeColor="text1"/>
                <w:sz w:val="21"/>
                <w:szCs w:val="21"/>
              </w:rPr>
            </w:pPr>
            <w:r w:rsidRPr="008A2411">
              <w:rPr>
                <w:rFonts w:ascii="Times New Roman"/>
                <w:color w:val="000000" w:themeColor="text1"/>
                <w:sz w:val="21"/>
                <w:szCs w:val="21"/>
              </w:rPr>
              <w:t xml:space="preserve">● </w:t>
            </w:r>
            <w:r w:rsidRPr="008A2411">
              <w:rPr>
                <w:rFonts w:ascii="Times New Roman"/>
                <w:color w:val="000000" w:themeColor="text1"/>
                <w:sz w:val="21"/>
                <w:szCs w:val="21"/>
              </w:rPr>
              <w:t>采用混合冷剂双循环工艺</w:t>
            </w:r>
          </w:p>
          <w:p w14:paraId="37EF42C4" w14:textId="77777777" w:rsidR="00B0005F" w:rsidRPr="008A2411" w:rsidRDefault="00000000">
            <w:pPr>
              <w:autoSpaceDE w:val="0"/>
              <w:autoSpaceDN w:val="0"/>
              <w:adjustRightInd w:val="0"/>
              <w:spacing w:line="280" w:lineRule="exact"/>
              <w:jc w:val="center"/>
              <w:rPr>
                <w:rFonts w:ascii="Times New Roman"/>
                <w:color w:val="000000" w:themeColor="text1"/>
                <w:sz w:val="21"/>
                <w:szCs w:val="21"/>
              </w:rPr>
            </w:pPr>
            <w:r w:rsidRPr="008A2411">
              <w:rPr>
                <w:rFonts w:ascii="Times New Roman"/>
                <w:color w:val="000000" w:themeColor="text1"/>
                <w:sz w:val="21"/>
                <w:szCs w:val="21"/>
              </w:rPr>
              <w:t xml:space="preserve">● </w:t>
            </w:r>
            <w:r w:rsidRPr="008A2411">
              <w:rPr>
                <w:rFonts w:ascii="Times New Roman"/>
                <w:color w:val="000000" w:themeColor="text1"/>
                <w:sz w:val="21"/>
                <w:szCs w:val="21"/>
              </w:rPr>
              <w:t>混合冷剂中的</w:t>
            </w:r>
            <w:r w:rsidRPr="008A2411">
              <w:rPr>
                <w:rFonts w:ascii="Times New Roman"/>
                <w:color w:val="000000" w:themeColor="text1"/>
                <w:sz w:val="21"/>
                <w:szCs w:val="21"/>
              </w:rPr>
              <w:t>C</w:t>
            </w:r>
            <w:r w:rsidRPr="008A2411">
              <w:rPr>
                <w:rFonts w:ascii="Times New Roman"/>
                <w:color w:val="000000" w:themeColor="text1"/>
                <w:sz w:val="21"/>
                <w:szCs w:val="21"/>
                <w:vertAlign w:val="subscript"/>
              </w:rPr>
              <w:t xml:space="preserve">2 </w:t>
            </w:r>
            <w:r w:rsidRPr="008A2411">
              <w:rPr>
                <w:rFonts w:ascii="Times New Roman"/>
                <w:color w:val="000000" w:themeColor="text1"/>
                <w:sz w:val="21"/>
                <w:szCs w:val="21"/>
              </w:rPr>
              <w:t>为乙烷</w:t>
            </w:r>
          </w:p>
          <w:p w14:paraId="70E121A8" w14:textId="77777777" w:rsidR="00B0005F" w:rsidRPr="008A2411" w:rsidRDefault="00000000">
            <w:pPr>
              <w:autoSpaceDE w:val="0"/>
              <w:autoSpaceDN w:val="0"/>
              <w:adjustRightInd w:val="0"/>
              <w:spacing w:line="280" w:lineRule="exact"/>
              <w:jc w:val="center"/>
              <w:rPr>
                <w:rFonts w:ascii="Times New Roman"/>
                <w:color w:val="000000" w:themeColor="text1"/>
                <w:sz w:val="21"/>
                <w:szCs w:val="21"/>
              </w:rPr>
            </w:pPr>
            <w:r w:rsidRPr="008A2411">
              <w:rPr>
                <w:rFonts w:ascii="Times New Roman"/>
                <w:color w:val="000000" w:themeColor="text1"/>
                <w:sz w:val="21"/>
                <w:szCs w:val="21"/>
              </w:rPr>
              <w:t xml:space="preserve">● </w:t>
            </w:r>
            <w:r w:rsidRPr="008A2411">
              <w:rPr>
                <w:rFonts w:ascii="Times New Roman"/>
                <w:color w:val="000000" w:themeColor="text1"/>
                <w:sz w:val="21"/>
                <w:szCs w:val="21"/>
              </w:rPr>
              <w:t>采用</w:t>
            </w:r>
            <w:proofErr w:type="gramStart"/>
            <w:r w:rsidRPr="008A2411">
              <w:rPr>
                <w:rFonts w:ascii="Times New Roman"/>
                <w:color w:val="000000" w:themeColor="text1"/>
                <w:sz w:val="21"/>
                <w:szCs w:val="21"/>
              </w:rPr>
              <w:t>膨胀机</w:t>
            </w:r>
            <w:proofErr w:type="gramEnd"/>
            <w:r w:rsidRPr="008A2411">
              <w:rPr>
                <w:rFonts w:ascii="Times New Roman"/>
                <w:color w:val="000000" w:themeColor="text1"/>
                <w:sz w:val="21"/>
                <w:szCs w:val="21"/>
              </w:rPr>
              <w:t>降压过冷</w:t>
            </w:r>
          </w:p>
          <w:p w14:paraId="07D51CAD" w14:textId="77777777" w:rsidR="00B0005F" w:rsidRPr="008A2411" w:rsidRDefault="00000000">
            <w:pPr>
              <w:autoSpaceDE w:val="0"/>
              <w:autoSpaceDN w:val="0"/>
              <w:adjustRightInd w:val="0"/>
              <w:spacing w:line="280" w:lineRule="exact"/>
              <w:jc w:val="center"/>
              <w:rPr>
                <w:rFonts w:ascii="Times New Roman"/>
                <w:color w:val="000000" w:themeColor="text1"/>
                <w:sz w:val="21"/>
                <w:szCs w:val="21"/>
              </w:rPr>
            </w:pPr>
            <w:r w:rsidRPr="008A2411">
              <w:rPr>
                <w:rFonts w:ascii="Times New Roman"/>
                <w:color w:val="000000" w:themeColor="text1"/>
                <w:sz w:val="21"/>
                <w:szCs w:val="21"/>
              </w:rPr>
              <w:t xml:space="preserve">● </w:t>
            </w:r>
            <w:r w:rsidRPr="008A2411">
              <w:rPr>
                <w:rFonts w:ascii="Times New Roman"/>
                <w:color w:val="000000" w:themeColor="text1"/>
                <w:sz w:val="21"/>
                <w:szCs w:val="21"/>
              </w:rPr>
              <w:t>预冷和低温换热</w:t>
            </w:r>
            <w:proofErr w:type="gramStart"/>
            <w:r w:rsidRPr="008A2411">
              <w:rPr>
                <w:rFonts w:ascii="Times New Roman"/>
                <w:color w:val="000000" w:themeColor="text1"/>
                <w:sz w:val="21"/>
                <w:szCs w:val="21"/>
              </w:rPr>
              <w:t>热</w:t>
            </w:r>
            <w:proofErr w:type="gramEnd"/>
            <w:r w:rsidRPr="008A2411">
              <w:rPr>
                <w:rFonts w:ascii="Times New Roman"/>
                <w:color w:val="000000" w:themeColor="text1"/>
                <w:sz w:val="21"/>
                <w:szCs w:val="21"/>
              </w:rPr>
              <w:t>函曲线与理论曲线比较接近，能耗应该较低</w:t>
            </w:r>
          </w:p>
          <w:p w14:paraId="15B9C908"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 xml:space="preserve">● </w:t>
            </w:r>
            <w:r w:rsidRPr="008A2411">
              <w:rPr>
                <w:rFonts w:ascii="Times New Roman"/>
                <w:color w:val="000000" w:themeColor="text1"/>
                <w:sz w:val="21"/>
                <w:szCs w:val="21"/>
              </w:rPr>
              <w:t>采用多台燃气轮机驱动，将会影响开工率</w:t>
            </w:r>
          </w:p>
        </w:tc>
      </w:tr>
      <w:tr w:rsidR="008A2411" w:rsidRPr="008A2411" w14:paraId="15C8B792" w14:textId="77777777">
        <w:trPr>
          <w:jc w:val="center"/>
        </w:trPr>
        <w:tc>
          <w:tcPr>
            <w:tcW w:w="1548" w:type="dxa"/>
            <w:shd w:val="clear" w:color="auto" w:fill="auto"/>
            <w:vAlign w:val="center"/>
          </w:tcPr>
          <w:p w14:paraId="2D620DDB"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MRC</w:t>
            </w:r>
            <w:r w:rsidRPr="008A2411">
              <w:rPr>
                <w:rFonts w:ascii="Times New Roman"/>
                <w:color w:val="000000" w:themeColor="text1"/>
                <w:sz w:val="21"/>
                <w:szCs w:val="21"/>
              </w:rPr>
              <w:t>工艺</w:t>
            </w:r>
          </w:p>
        </w:tc>
        <w:tc>
          <w:tcPr>
            <w:tcW w:w="2712" w:type="dxa"/>
            <w:shd w:val="clear" w:color="auto" w:fill="auto"/>
            <w:vAlign w:val="center"/>
          </w:tcPr>
          <w:p w14:paraId="25BA484D"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由德国</w:t>
            </w:r>
            <w:r w:rsidRPr="008A2411">
              <w:rPr>
                <w:rFonts w:ascii="Times New Roman"/>
                <w:color w:val="000000" w:themeColor="text1"/>
                <w:sz w:val="21"/>
                <w:szCs w:val="21"/>
              </w:rPr>
              <w:t xml:space="preserve">Linda </w:t>
            </w:r>
            <w:r w:rsidRPr="008A2411">
              <w:rPr>
                <w:rFonts w:ascii="Times New Roman"/>
                <w:color w:val="000000" w:themeColor="text1"/>
                <w:sz w:val="21"/>
                <w:szCs w:val="21"/>
              </w:rPr>
              <w:t>公司开</w:t>
            </w:r>
            <w:r w:rsidRPr="008A2411">
              <w:rPr>
                <w:rFonts w:ascii="Times New Roman"/>
                <w:color w:val="000000" w:themeColor="text1"/>
                <w:sz w:val="21"/>
                <w:szCs w:val="21"/>
              </w:rPr>
              <w:lastRenderedPageBreak/>
              <w:t>发的液态轻烃技术，该技术采用混合冷剂代替单组份冷剂进行级联型液化，</w:t>
            </w:r>
            <w:proofErr w:type="gramStart"/>
            <w:r w:rsidRPr="008A2411">
              <w:rPr>
                <w:rFonts w:ascii="Times New Roman"/>
                <w:color w:val="000000" w:themeColor="text1"/>
                <w:sz w:val="21"/>
                <w:szCs w:val="21"/>
              </w:rPr>
              <w:t>冷箱采用</w:t>
            </w:r>
            <w:proofErr w:type="gramEnd"/>
            <w:r w:rsidRPr="008A2411">
              <w:rPr>
                <w:rFonts w:ascii="Times New Roman"/>
                <w:color w:val="000000" w:themeColor="text1"/>
                <w:sz w:val="21"/>
                <w:szCs w:val="21"/>
              </w:rPr>
              <w:t>螺旋管板式换热器。另外德国</w:t>
            </w:r>
            <w:r w:rsidRPr="008A2411">
              <w:rPr>
                <w:rFonts w:ascii="Times New Roman"/>
                <w:color w:val="000000" w:themeColor="text1"/>
                <w:sz w:val="21"/>
                <w:szCs w:val="21"/>
              </w:rPr>
              <w:t xml:space="preserve">Linda </w:t>
            </w:r>
            <w:r w:rsidRPr="008A2411">
              <w:rPr>
                <w:rFonts w:ascii="Times New Roman"/>
                <w:color w:val="000000" w:themeColor="text1"/>
                <w:sz w:val="21"/>
                <w:szCs w:val="21"/>
              </w:rPr>
              <w:t>公司和挪威</w:t>
            </w:r>
            <w:r w:rsidRPr="008A2411">
              <w:rPr>
                <w:rFonts w:ascii="Times New Roman"/>
                <w:color w:val="000000" w:themeColor="text1"/>
                <w:sz w:val="21"/>
                <w:szCs w:val="21"/>
              </w:rPr>
              <w:t xml:space="preserve">Statoil </w:t>
            </w:r>
            <w:r w:rsidRPr="008A2411">
              <w:rPr>
                <w:rFonts w:ascii="Times New Roman"/>
                <w:color w:val="000000" w:themeColor="text1"/>
                <w:sz w:val="21"/>
                <w:szCs w:val="21"/>
              </w:rPr>
              <w:t>公司于</w:t>
            </w:r>
            <w:r w:rsidRPr="008A2411">
              <w:rPr>
                <w:rFonts w:ascii="Times New Roman"/>
                <w:color w:val="000000" w:themeColor="text1"/>
                <w:sz w:val="21"/>
                <w:szCs w:val="21"/>
              </w:rPr>
              <w:t xml:space="preserve">1997 </w:t>
            </w:r>
            <w:proofErr w:type="gramStart"/>
            <w:r w:rsidRPr="008A2411">
              <w:rPr>
                <w:rFonts w:ascii="Times New Roman"/>
                <w:color w:val="000000" w:themeColor="text1"/>
                <w:sz w:val="21"/>
                <w:szCs w:val="21"/>
              </w:rPr>
              <w:t>年共同</w:t>
            </w:r>
            <w:proofErr w:type="gramEnd"/>
            <w:r w:rsidRPr="008A2411">
              <w:rPr>
                <w:rFonts w:ascii="Times New Roman"/>
                <w:color w:val="000000" w:themeColor="text1"/>
                <w:sz w:val="21"/>
                <w:szCs w:val="21"/>
              </w:rPr>
              <w:t>开发出</w:t>
            </w:r>
            <w:proofErr w:type="spellStart"/>
            <w:r w:rsidRPr="008A2411">
              <w:rPr>
                <w:rFonts w:ascii="Times New Roman"/>
                <w:color w:val="000000" w:themeColor="text1"/>
                <w:sz w:val="21"/>
                <w:szCs w:val="21"/>
              </w:rPr>
              <w:t>MFCâ</w:t>
            </w:r>
            <w:proofErr w:type="spellEnd"/>
            <w:r w:rsidRPr="008A2411">
              <w:rPr>
                <w:rFonts w:ascii="Times New Roman"/>
                <w:color w:val="000000" w:themeColor="text1"/>
                <w:sz w:val="21"/>
                <w:szCs w:val="21"/>
              </w:rPr>
              <w:t>工艺，单列生产能力为</w:t>
            </w:r>
            <w:r w:rsidRPr="008A2411">
              <w:rPr>
                <w:rFonts w:ascii="Times New Roman"/>
                <w:color w:val="000000" w:themeColor="text1"/>
                <w:sz w:val="21"/>
                <w:szCs w:val="21"/>
              </w:rPr>
              <w:t>430</w:t>
            </w:r>
            <w:r w:rsidRPr="008A2411">
              <w:rPr>
                <w:rFonts w:ascii="Times New Roman"/>
                <w:color w:val="000000" w:themeColor="text1"/>
                <w:sz w:val="21"/>
                <w:szCs w:val="21"/>
              </w:rPr>
              <w:t>万吨</w:t>
            </w:r>
            <w:r w:rsidRPr="008A2411">
              <w:rPr>
                <w:rFonts w:ascii="Times New Roman"/>
                <w:color w:val="000000" w:themeColor="text1"/>
                <w:sz w:val="21"/>
                <w:szCs w:val="21"/>
              </w:rPr>
              <w:t>/</w:t>
            </w:r>
            <w:r w:rsidRPr="008A2411">
              <w:rPr>
                <w:rFonts w:ascii="Times New Roman"/>
                <w:color w:val="000000" w:themeColor="text1"/>
                <w:sz w:val="21"/>
                <w:szCs w:val="21"/>
              </w:rPr>
              <w:t>年的工业化装置于</w:t>
            </w:r>
            <w:r w:rsidRPr="008A2411">
              <w:rPr>
                <w:rFonts w:ascii="Times New Roman"/>
                <w:color w:val="000000" w:themeColor="text1"/>
                <w:sz w:val="21"/>
                <w:szCs w:val="21"/>
              </w:rPr>
              <w:t xml:space="preserve">2006 </w:t>
            </w:r>
            <w:r w:rsidRPr="008A2411">
              <w:rPr>
                <w:rFonts w:ascii="Times New Roman"/>
                <w:color w:val="000000" w:themeColor="text1"/>
                <w:sz w:val="21"/>
                <w:szCs w:val="21"/>
              </w:rPr>
              <w:t>年开车运行。</w:t>
            </w:r>
          </w:p>
        </w:tc>
        <w:tc>
          <w:tcPr>
            <w:tcW w:w="6160" w:type="dxa"/>
            <w:shd w:val="clear" w:color="auto" w:fill="auto"/>
            <w:vAlign w:val="center"/>
          </w:tcPr>
          <w:p w14:paraId="76747F39" w14:textId="77777777" w:rsidR="00B0005F" w:rsidRPr="008A2411" w:rsidRDefault="00000000">
            <w:pPr>
              <w:autoSpaceDE w:val="0"/>
              <w:autoSpaceDN w:val="0"/>
              <w:adjustRightInd w:val="0"/>
              <w:spacing w:line="280" w:lineRule="exact"/>
              <w:jc w:val="center"/>
              <w:rPr>
                <w:rFonts w:ascii="Times New Roman"/>
                <w:color w:val="000000" w:themeColor="text1"/>
                <w:sz w:val="21"/>
                <w:szCs w:val="21"/>
              </w:rPr>
            </w:pPr>
            <w:r w:rsidRPr="008A2411">
              <w:rPr>
                <w:rFonts w:ascii="Times New Roman"/>
                <w:color w:val="000000" w:themeColor="text1"/>
                <w:sz w:val="21"/>
                <w:szCs w:val="21"/>
                <w:bdr w:val="single" w:sz="4" w:space="0" w:color="auto"/>
              </w:rPr>
              <w:lastRenderedPageBreak/>
              <w:t>原料气压缩与预处理</w:t>
            </w:r>
            <w:r w:rsidRPr="008A2411">
              <w:rPr>
                <w:rFonts w:ascii="Times New Roman"/>
                <w:color w:val="000000" w:themeColor="text1"/>
                <w:sz w:val="21"/>
                <w:szCs w:val="21"/>
              </w:rPr>
              <w:t>：原料</w:t>
            </w:r>
            <w:proofErr w:type="gramStart"/>
            <w:r w:rsidRPr="008A2411">
              <w:rPr>
                <w:rFonts w:ascii="Times New Roman"/>
                <w:color w:val="000000" w:themeColor="text1"/>
                <w:sz w:val="21"/>
                <w:szCs w:val="21"/>
              </w:rPr>
              <w:t>气经</w:t>
            </w:r>
            <w:r w:rsidRPr="008A2411">
              <w:rPr>
                <w:rFonts w:ascii="Times New Roman"/>
                <w:color w:val="000000" w:themeColor="text1"/>
                <w:sz w:val="21"/>
                <w:szCs w:val="21"/>
              </w:rPr>
              <w:lastRenderedPageBreak/>
              <w:t>过</w:t>
            </w:r>
            <w:proofErr w:type="gramEnd"/>
            <w:r w:rsidRPr="008A2411">
              <w:rPr>
                <w:rFonts w:ascii="Times New Roman"/>
                <w:color w:val="000000" w:themeColor="text1"/>
                <w:sz w:val="21"/>
                <w:szCs w:val="21"/>
              </w:rPr>
              <w:t>过滤分离器，除掉液体和固体杂质，再经过二级压缩并冷却后去酸性气体脱除装置，酸性气体脱除，采用</w:t>
            </w:r>
            <w:proofErr w:type="gramStart"/>
            <w:r w:rsidRPr="008A2411">
              <w:rPr>
                <w:rFonts w:ascii="Times New Roman"/>
                <w:color w:val="000000" w:themeColor="text1"/>
                <w:sz w:val="21"/>
                <w:szCs w:val="21"/>
              </w:rPr>
              <w:t>一</w:t>
            </w:r>
            <w:proofErr w:type="gramEnd"/>
            <w:r w:rsidRPr="008A2411">
              <w:rPr>
                <w:rFonts w:ascii="Times New Roman"/>
                <w:color w:val="000000" w:themeColor="text1"/>
                <w:sz w:val="21"/>
                <w:szCs w:val="21"/>
              </w:rPr>
              <w:t>乙醇胺（</w:t>
            </w:r>
            <w:r w:rsidRPr="008A2411">
              <w:rPr>
                <w:rFonts w:ascii="Times New Roman"/>
                <w:color w:val="000000" w:themeColor="text1"/>
                <w:sz w:val="21"/>
                <w:szCs w:val="21"/>
              </w:rPr>
              <w:t>MEA</w:t>
            </w:r>
            <w:r w:rsidRPr="008A2411">
              <w:rPr>
                <w:rFonts w:ascii="Times New Roman"/>
                <w:color w:val="000000" w:themeColor="text1"/>
                <w:sz w:val="21"/>
                <w:szCs w:val="21"/>
              </w:rPr>
              <w:t>）溶液，脱除酸性气体的原料气，再返回压缩机三段压缩，出三段压缩的原料气冷却后进入分子筛干燥器脱水，再送入液化装置。</w:t>
            </w:r>
          </w:p>
          <w:p w14:paraId="6E4191F5" w14:textId="77777777" w:rsidR="00B0005F" w:rsidRPr="008A2411" w:rsidRDefault="00000000">
            <w:pPr>
              <w:autoSpaceDE w:val="0"/>
              <w:autoSpaceDN w:val="0"/>
              <w:adjustRightInd w:val="0"/>
              <w:spacing w:line="280" w:lineRule="exact"/>
              <w:jc w:val="center"/>
              <w:rPr>
                <w:rFonts w:ascii="Times New Roman"/>
                <w:color w:val="000000" w:themeColor="text1"/>
                <w:sz w:val="21"/>
                <w:szCs w:val="21"/>
                <w:bdr w:val="single" w:sz="4" w:space="0" w:color="auto"/>
              </w:rPr>
            </w:pPr>
            <w:r w:rsidRPr="008A2411">
              <w:rPr>
                <w:rFonts w:ascii="Times New Roman"/>
                <w:color w:val="000000" w:themeColor="text1"/>
                <w:sz w:val="21"/>
                <w:szCs w:val="21"/>
                <w:bdr w:val="single" w:sz="4" w:space="0" w:color="auto"/>
              </w:rPr>
              <w:t>产品液化与冷剂循环</w:t>
            </w:r>
            <w:r w:rsidRPr="008A2411">
              <w:rPr>
                <w:rFonts w:ascii="Times New Roman"/>
                <w:color w:val="000000" w:themeColor="text1"/>
                <w:sz w:val="21"/>
                <w:szCs w:val="21"/>
              </w:rPr>
              <w:t>：采用混合冷剂级联式循环工艺，由三个螺旋管式换热器组成的冷塔进行液化，混合冷剂由氮、甲烷、乙烯、丙烷、戊烷组成。预处理后的天然气首先进入预冷器冷却，分离出重烃后进入液化器冷凝，并在过冷器中过冷到</w:t>
            </w:r>
            <w:r w:rsidRPr="008A2411">
              <w:rPr>
                <w:rFonts w:ascii="Times New Roman"/>
                <w:color w:val="000000" w:themeColor="text1"/>
                <w:sz w:val="21"/>
                <w:szCs w:val="21"/>
              </w:rPr>
              <w:t xml:space="preserve">-155°C </w:t>
            </w:r>
            <w:r w:rsidRPr="008A2411">
              <w:rPr>
                <w:rFonts w:ascii="Times New Roman"/>
                <w:color w:val="000000" w:themeColor="text1"/>
                <w:sz w:val="21"/>
                <w:szCs w:val="21"/>
              </w:rPr>
              <w:t>后流出，最后经</w:t>
            </w:r>
            <w:r w:rsidRPr="008A2411">
              <w:rPr>
                <w:rFonts w:ascii="Times New Roman"/>
                <w:color w:val="000000" w:themeColor="text1"/>
                <w:sz w:val="21"/>
                <w:szCs w:val="21"/>
              </w:rPr>
              <w:t xml:space="preserve">J-T </w:t>
            </w:r>
            <w:r w:rsidRPr="008A2411">
              <w:rPr>
                <w:rFonts w:ascii="Times New Roman"/>
                <w:color w:val="000000" w:themeColor="text1"/>
                <w:sz w:val="21"/>
                <w:szCs w:val="21"/>
              </w:rPr>
              <w:t>阀</w:t>
            </w:r>
            <w:proofErr w:type="gramStart"/>
            <w:r w:rsidRPr="008A2411">
              <w:rPr>
                <w:rFonts w:ascii="Times New Roman"/>
                <w:color w:val="000000" w:themeColor="text1"/>
                <w:sz w:val="21"/>
                <w:szCs w:val="21"/>
              </w:rPr>
              <w:t>降压减温后</w:t>
            </w:r>
            <w:proofErr w:type="gramEnd"/>
            <w:r w:rsidRPr="008A2411">
              <w:rPr>
                <w:rFonts w:ascii="Times New Roman"/>
                <w:color w:val="000000" w:themeColor="text1"/>
                <w:sz w:val="21"/>
                <w:szCs w:val="21"/>
              </w:rPr>
              <w:t>流入液态轻烃储罐贮存。混合冷冻剂循环采用三段循环压缩机，由燃气轮机驱动。每一段混合冷剂在不同的压力下节流降温为产品液化提供冷量。</w:t>
            </w:r>
          </w:p>
        </w:tc>
        <w:tc>
          <w:tcPr>
            <w:tcW w:w="3741" w:type="dxa"/>
            <w:shd w:val="clear" w:color="auto" w:fill="auto"/>
            <w:vAlign w:val="center"/>
          </w:tcPr>
          <w:p w14:paraId="648965B4" w14:textId="77777777" w:rsidR="00B0005F" w:rsidRPr="008A2411" w:rsidRDefault="00000000">
            <w:pPr>
              <w:autoSpaceDE w:val="0"/>
              <w:autoSpaceDN w:val="0"/>
              <w:adjustRightInd w:val="0"/>
              <w:spacing w:line="280" w:lineRule="exact"/>
              <w:jc w:val="center"/>
              <w:rPr>
                <w:rFonts w:ascii="Times New Roman"/>
                <w:color w:val="000000" w:themeColor="text1"/>
                <w:sz w:val="21"/>
                <w:szCs w:val="21"/>
              </w:rPr>
            </w:pPr>
            <w:r w:rsidRPr="008A2411">
              <w:rPr>
                <w:rFonts w:ascii="Times New Roman"/>
                <w:color w:val="000000" w:themeColor="text1"/>
                <w:sz w:val="21"/>
                <w:szCs w:val="21"/>
              </w:rPr>
              <w:lastRenderedPageBreak/>
              <w:t xml:space="preserve">● </w:t>
            </w:r>
            <w:r w:rsidRPr="008A2411">
              <w:rPr>
                <w:rFonts w:ascii="Times New Roman"/>
                <w:color w:val="000000" w:themeColor="text1"/>
                <w:sz w:val="21"/>
                <w:szCs w:val="21"/>
              </w:rPr>
              <w:t>采用混合冷剂级</w:t>
            </w:r>
            <w:r w:rsidRPr="008A2411">
              <w:rPr>
                <w:rFonts w:ascii="Times New Roman"/>
                <w:color w:val="000000" w:themeColor="text1"/>
                <w:sz w:val="21"/>
                <w:szCs w:val="21"/>
              </w:rPr>
              <w:lastRenderedPageBreak/>
              <w:t>联式循环工艺</w:t>
            </w:r>
          </w:p>
          <w:p w14:paraId="060F946B" w14:textId="77777777" w:rsidR="00B0005F" w:rsidRPr="008A2411" w:rsidRDefault="00000000">
            <w:pPr>
              <w:autoSpaceDE w:val="0"/>
              <w:autoSpaceDN w:val="0"/>
              <w:adjustRightInd w:val="0"/>
              <w:spacing w:line="280" w:lineRule="exact"/>
              <w:jc w:val="center"/>
              <w:rPr>
                <w:rFonts w:ascii="Times New Roman"/>
                <w:color w:val="000000" w:themeColor="text1"/>
                <w:sz w:val="21"/>
                <w:szCs w:val="21"/>
              </w:rPr>
            </w:pPr>
            <w:r w:rsidRPr="008A2411">
              <w:rPr>
                <w:rFonts w:ascii="Times New Roman"/>
                <w:color w:val="000000" w:themeColor="text1"/>
                <w:sz w:val="21"/>
                <w:szCs w:val="21"/>
              </w:rPr>
              <w:t xml:space="preserve">● </w:t>
            </w:r>
            <w:r w:rsidRPr="008A2411">
              <w:rPr>
                <w:rFonts w:ascii="Times New Roman"/>
                <w:color w:val="000000" w:themeColor="text1"/>
                <w:sz w:val="21"/>
                <w:szCs w:val="21"/>
              </w:rPr>
              <w:t>混合冷剂中的</w:t>
            </w:r>
            <w:r w:rsidRPr="008A2411">
              <w:rPr>
                <w:rFonts w:ascii="Times New Roman"/>
                <w:color w:val="000000" w:themeColor="text1"/>
                <w:sz w:val="21"/>
                <w:szCs w:val="21"/>
              </w:rPr>
              <w:t>C</w:t>
            </w:r>
            <w:r w:rsidRPr="008A2411">
              <w:rPr>
                <w:rFonts w:ascii="Times New Roman"/>
                <w:color w:val="000000" w:themeColor="text1"/>
                <w:sz w:val="21"/>
                <w:szCs w:val="21"/>
                <w:vertAlign w:val="subscript"/>
              </w:rPr>
              <w:t>2</w:t>
            </w:r>
            <w:r w:rsidRPr="008A2411">
              <w:rPr>
                <w:rFonts w:ascii="Times New Roman"/>
                <w:color w:val="000000" w:themeColor="text1"/>
                <w:sz w:val="21"/>
                <w:szCs w:val="21"/>
              </w:rPr>
              <w:t xml:space="preserve"> </w:t>
            </w:r>
            <w:r w:rsidRPr="008A2411">
              <w:rPr>
                <w:rFonts w:ascii="Times New Roman"/>
                <w:color w:val="000000" w:themeColor="text1"/>
                <w:sz w:val="21"/>
                <w:szCs w:val="21"/>
              </w:rPr>
              <w:t>为乙烯</w:t>
            </w:r>
          </w:p>
          <w:p w14:paraId="1EBD812C" w14:textId="77777777" w:rsidR="00B0005F" w:rsidRPr="008A2411" w:rsidRDefault="00000000">
            <w:pPr>
              <w:autoSpaceDE w:val="0"/>
              <w:autoSpaceDN w:val="0"/>
              <w:adjustRightInd w:val="0"/>
              <w:spacing w:line="280" w:lineRule="exact"/>
              <w:jc w:val="center"/>
              <w:rPr>
                <w:rFonts w:ascii="Times New Roman"/>
                <w:color w:val="000000" w:themeColor="text1"/>
                <w:sz w:val="21"/>
                <w:szCs w:val="21"/>
              </w:rPr>
            </w:pPr>
            <w:r w:rsidRPr="008A2411">
              <w:rPr>
                <w:rFonts w:ascii="Times New Roman"/>
                <w:color w:val="000000" w:themeColor="text1"/>
                <w:sz w:val="21"/>
                <w:szCs w:val="21"/>
              </w:rPr>
              <w:t xml:space="preserve">● </w:t>
            </w:r>
            <w:r w:rsidRPr="008A2411">
              <w:rPr>
                <w:rFonts w:ascii="Times New Roman"/>
                <w:color w:val="000000" w:themeColor="text1"/>
                <w:sz w:val="21"/>
                <w:szCs w:val="21"/>
              </w:rPr>
              <w:t>采用</w:t>
            </w:r>
            <w:r w:rsidRPr="008A2411">
              <w:rPr>
                <w:rFonts w:ascii="Times New Roman"/>
                <w:color w:val="000000" w:themeColor="text1"/>
                <w:sz w:val="21"/>
                <w:szCs w:val="21"/>
              </w:rPr>
              <w:t xml:space="preserve">J-T </w:t>
            </w:r>
            <w:r w:rsidRPr="008A2411">
              <w:rPr>
                <w:rFonts w:ascii="Times New Roman"/>
                <w:color w:val="000000" w:themeColor="text1"/>
                <w:sz w:val="21"/>
                <w:szCs w:val="21"/>
              </w:rPr>
              <w:t>阀降压减温</w:t>
            </w:r>
          </w:p>
          <w:p w14:paraId="67114694" w14:textId="77777777" w:rsidR="00B0005F" w:rsidRPr="008A2411" w:rsidRDefault="00000000">
            <w:pPr>
              <w:autoSpaceDE w:val="0"/>
              <w:autoSpaceDN w:val="0"/>
              <w:adjustRightInd w:val="0"/>
              <w:spacing w:line="280" w:lineRule="exact"/>
              <w:jc w:val="center"/>
              <w:rPr>
                <w:rFonts w:ascii="Times New Roman"/>
                <w:color w:val="000000" w:themeColor="text1"/>
                <w:sz w:val="21"/>
                <w:szCs w:val="21"/>
              </w:rPr>
            </w:pPr>
            <w:r w:rsidRPr="008A2411">
              <w:rPr>
                <w:rFonts w:ascii="Times New Roman"/>
                <w:color w:val="000000" w:themeColor="text1"/>
                <w:sz w:val="21"/>
                <w:szCs w:val="21"/>
              </w:rPr>
              <w:t xml:space="preserve">● </w:t>
            </w:r>
            <w:r w:rsidRPr="008A2411">
              <w:rPr>
                <w:rFonts w:ascii="Times New Roman"/>
                <w:color w:val="000000" w:themeColor="text1"/>
                <w:sz w:val="21"/>
                <w:szCs w:val="21"/>
              </w:rPr>
              <w:t>冷剂级联式</w:t>
            </w:r>
            <w:proofErr w:type="gramStart"/>
            <w:r w:rsidRPr="008A2411">
              <w:rPr>
                <w:rFonts w:ascii="Times New Roman"/>
                <w:color w:val="000000" w:themeColor="text1"/>
                <w:sz w:val="21"/>
                <w:szCs w:val="21"/>
              </w:rPr>
              <w:t>循环热函曲线</w:t>
            </w:r>
            <w:proofErr w:type="gramEnd"/>
            <w:r w:rsidRPr="008A2411">
              <w:rPr>
                <w:rFonts w:ascii="Times New Roman"/>
                <w:color w:val="000000" w:themeColor="text1"/>
                <w:sz w:val="21"/>
                <w:szCs w:val="21"/>
              </w:rPr>
              <w:t>与理论曲线比较接近，能耗应该较低</w:t>
            </w:r>
          </w:p>
          <w:p w14:paraId="1CCD948D" w14:textId="77777777" w:rsidR="00B0005F" w:rsidRPr="008A2411" w:rsidRDefault="00000000">
            <w:pPr>
              <w:autoSpaceDE w:val="0"/>
              <w:autoSpaceDN w:val="0"/>
              <w:adjustRightInd w:val="0"/>
              <w:spacing w:line="280" w:lineRule="exact"/>
              <w:jc w:val="center"/>
              <w:rPr>
                <w:rFonts w:ascii="Times New Roman"/>
                <w:color w:val="000000" w:themeColor="text1"/>
                <w:sz w:val="21"/>
                <w:szCs w:val="21"/>
              </w:rPr>
            </w:pPr>
            <w:r w:rsidRPr="008A2411">
              <w:rPr>
                <w:rFonts w:ascii="Times New Roman"/>
                <w:color w:val="000000" w:themeColor="text1"/>
                <w:sz w:val="21"/>
                <w:szCs w:val="21"/>
              </w:rPr>
              <w:t xml:space="preserve">● </w:t>
            </w:r>
            <w:r w:rsidRPr="008A2411">
              <w:rPr>
                <w:rFonts w:ascii="Times New Roman"/>
                <w:color w:val="000000" w:themeColor="text1"/>
                <w:sz w:val="21"/>
                <w:szCs w:val="21"/>
              </w:rPr>
              <w:t>由于采用冷剂级联式循环，要增加</w:t>
            </w:r>
            <w:r w:rsidRPr="008A2411">
              <w:rPr>
                <w:rFonts w:ascii="Times New Roman"/>
                <w:color w:val="000000" w:themeColor="text1"/>
                <w:sz w:val="21"/>
                <w:szCs w:val="21"/>
              </w:rPr>
              <w:t xml:space="preserve">J-T </w:t>
            </w:r>
            <w:r w:rsidRPr="008A2411">
              <w:rPr>
                <w:rFonts w:ascii="Times New Roman"/>
                <w:color w:val="000000" w:themeColor="text1"/>
                <w:sz w:val="21"/>
                <w:szCs w:val="21"/>
              </w:rPr>
              <w:t>阀和分离设备，将会增加维修量</w:t>
            </w:r>
          </w:p>
        </w:tc>
      </w:tr>
      <w:tr w:rsidR="00B0005F" w:rsidRPr="008A2411" w14:paraId="74F17C7F" w14:textId="77777777">
        <w:trPr>
          <w:jc w:val="center"/>
        </w:trPr>
        <w:tc>
          <w:tcPr>
            <w:tcW w:w="1548" w:type="dxa"/>
            <w:shd w:val="clear" w:color="auto" w:fill="auto"/>
            <w:vAlign w:val="center"/>
          </w:tcPr>
          <w:p w14:paraId="5037276B" w14:textId="77777777" w:rsidR="00B0005F" w:rsidRPr="008A2411" w:rsidRDefault="00000000">
            <w:pPr>
              <w:spacing w:line="260" w:lineRule="exact"/>
              <w:jc w:val="center"/>
              <w:rPr>
                <w:rFonts w:ascii="Times New Roman"/>
                <w:color w:val="000000" w:themeColor="text1"/>
                <w:sz w:val="21"/>
                <w:szCs w:val="21"/>
              </w:rPr>
            </w:pPr>
            <w:r w:rsidRPr="008A2411">
              <w:rPr>
                <w:rFonts w:ascii="Times New Roman"/>
                <w:color w:val="000000" w:themeColor="text1"/>
                <w:sz w:val="21"/>
                <w:szCs w:val="21"/>
              </w:rPr>
              <w:lastRenderedPageBreak/>
              <w:t>PRICO</w:t>
            </w:r>
            <w:r w:rsidRPr="008A2411">
              <w:rPr>
                <w:rFonts w:ascii="Times New Roman"/>
                <w:color w:val="000000" w:themeColor="text1"/>
                <w:sz w:val="21"/>
                <w:szCs w:val="21"/>
              </w:rPr>
              <w:t>工艺</w:t>
            </w:r>
          </w:p>
        </w:tc>
        <w:tc>
          <w:tcPr>
            <w:tcW w:w="2712" w:type="dxa"/>
            <w:shd w:val="clear" w:color="auto" w:fill="auto"/>
            <w:vAlign w:val="center"/>
          </w:tcPr>
          <w:p w14:paraId="6EF0035E" w14:textId="77777777" w:rsidR="00B0005F" w:rsidRPr="008A2411" w:rsidRDefault="00000000">
            <w:pPr>
              <w:spacing w:line="260" w:lineRule="exact"/>
              <w:jc w:val="center"/>
              <w:rPr>
                <w:rFonts w:ascii="Times New Roman"/>
                <w:color w:val="000000" w:themeColor="text1"/>
                <w:sz w:val="21"/>
                <w:szCs w:val="21"/>
              </w:rPr>
            </w:pPr>
            <w:r w:rsidRPr="008A2411">
              <w:rPr>
                <w:rFonts w:ascii="Times New Roman"/>
                <w:color w:val="000000" w:themeColor="text1"/>
                <w:sz w:val="21"/>
                <w:szCs w:val="21"/>
              </w:rPr>
              <w:t>由美国博莱克</w:t>
            </w:r>
            <w:r w:rsidRPr="008A2411">
              <w:rPr>
                <w:rFonts w:ascii="Times New Roman"/>
                <w:color w:val="000000" w:themeColor="text1"/>
                <w:sz w:val="21"/>
                <w:szCs w:val="21"/>
              </w:rPr>
              <w:t>·</w:t>
            </w:r>
            <w:r w:rsidRPr="008A2411">
              <w:rPr>
                <w:rFonts w:ascii="Times New Roman"/>
                <w:color w:val="000000" w:themeColor="text1"/>
                <w:sz w:val="21"/>
                <w:szCs w:val="21"/>
              </w:rPr>
              <w:t>威奇（</w:t>
            </w:r>
            <w:proofErr w:type="spellStart"/>
            <w:r w:rsidRPr="008A2411">
              <w:rPr>
                <w:rFonts w:ascii="Times New Roman"/>
                <w:color w:val="000000" w:themeColor="text1"/>
                <w:sz w:val="21"/>
                <w:szCs w:val="21"/>
              </w:rPr>
              <w:t>Black&amp;Veatch</w:t>
            </w:r>
            <w:proofErr w:type="spellEnd"/>
            <w:r w:rsidRPr="008A2411">
              <w:rPr>
                <w:rFonts w:ascii="Times New Roman"/>
                <w:color w:val="000000" w:themeColor="text1"/>
                <w:sz w:val="21"/>
                <w:szCs w:val="21"/>
              </w:rPr>
              <w:t>）公司</w:t>
            </w:r>
            <w:r w:rsidRPr="008A2411">
              <w:rPr>
                <w:rFonts w:ascii="Times New Roman"/>
                <w:color w:val="000000" w:themeColor="text1"/>
                <w:sz w:val="21"/>
                <w:szCs w:val="21"/>
              </w:rPr>
              <w:t>1950</w:t>
            </w:r>
            <w:r w:rsidRPr="008A2411">
              <w:rPr>
                <w:rFonts w:ascii="Times New Roman"/>
                <w:color w:val="000000" w:themeColor="text1"/>
                <w:sz w:val="21"/>
                <w:szCs w:val="21"/>
              </w:rPr>
              <w:t>年开发并不断改进而成，液化工艺采用单循环混合制冷剂和单循环压缩系统，</w:t>
            </w:r>
            <w:proofErr w:type="gramStart"/>
            <w:r w:rsidRPr="008A2411">
              <w:rPr>
                <w:rFonts w:ascii="Times New Roman"/>
                <w:color w:val="000000" w:themeColor="text1"/>
                <w:sz w:val="21"/>
                <w:szCs w:val="21"/>
              </w:rPr>
              <w:t>冷箱采用</w:t>
            </w:r>
            <w:proofErr w:type="gramEnd"/>
            <w:r w:rsidRPr="008A2411">
              <w:rPr>
                <w:rFonts w:ascii="Times New Roman"/>
                <w:color w:val="000000" w:themeColor="text1"/>
                <w:sz w:val="21"/>
                <w:szCs w:val="21"/>
              </w:rPr>
              <w:t>板翅式换热器。迄今为止，该工艺已成功运用到</w:t>
            </w:r>
            <w:r w:rsidRPr="008A2411">
              <w:rPr>
                <w:rFonts w:ascii="Times New Roman" w:hint="eastAsia"/>
                <w:color w:val="000000" w:themeColor="text1"/>
                <w:sz w:val="21"/>
                <w:szCs w:val="21"/>
              </w:rPr>
              <w:t>20</w:t>
            </w:r>
            <w:r w:rsidRPr="008A2411">
              <w:rPr>
                <w:rFonts w:ascii="Times New Roman"/>
                <w:color w:val="000000" w:themeColor="text1"/>
                <w:sz w:val="21"/>
                <w:szCs w:val="21"/>
              </w:rPr>
              <w:t>多套基荷和调峰装置中，液化装置规模从</w:t>
            </w:r>
            <w:r w:rsidRPr="008A2411">
              <w:rPr>
                <w:rFonts w:ascii="Times New Roman" w:hint="eastAsia"/>
                <w:color w:val="000000" w:themeColor="text1"/>
                <w:sz w:val="21"/>
                <w:szCs w:val="21"/>
              </w:rPr>
              <w:t>4</w:t>
            </w:r>
            <w:proofErr w:type="gramStart"/>
            <w:r w:rsidRPr="008A2411">
              <w:rPr>
                <w:rFonts w:ascii="Times New Roman"/>
                <w:color w:val="000000" w:themeColor="text1"/>
                <w:sz w:val="21"/>
                <w:szCs w:val="21"/>
              </w:rPr>
              <w:t>百万</w:t>
            </w:r>
            <w:proofErr w:type="gramEnd"/>
            <w:r w:rsidRPr="008A2411">
              <w:rPr>
                <w:rFonts w:ascii="Times New Roman"/>
                <w:color w:val="000000" w:themeColor="text1"/>
                <w:sz w:val="21"/>
                <w:szCs w:val="21"/>
              </w:rPr>
              <w:t>标准立方英尺</w:t>
            </w:r>
            <w:r w:rsidRPr="008A2411">
              <w:rPr>
                <w:rFonts w:ascii="Times New Roman"/>
                <w:color w:val="000000" w:themeColor="text1"/>
                <w:sz w:val="21"/>
                <w:szCs w:val="21"/>
              </w:rPr>
              <w:t>/</w:t>
            </w:r>
            <w:r w:rsidRPr="008A2411">
              <w:rPr>
                <w:rFonts w:ascii="Times New Roman"/>
                <w:color w:val="000000" w:themeColor="text1"/>
                <w:sz w:val="21"/>
                <w:szCs w:val="21"/>
              </w:rPr>
              <w:t>天（</w:t>
            </w:r>
            <w:r w:rsidRPr="008A2411">
              <w:rPr>
                <w:rFonts w:ascii="Times New Roman"/>
                <w:color w:val="000000" w:themeColor="text1"/>
                <w:sz w:val="21"/>
                <w:szCs w:val="21"/>
              </w:rPr>
              <w:t>11</w:t>
            </w:r>
            <w:r w:rsidRPr="008A2411">
              <w:rPr>
                <w:rFonts w:ascii="Times New Roman"/>
                <w:color w:val="000000" w:themeColor="text1"/>
                <w:sz w:val="21"/>
                <w:szCs w:val="21"/>
              </w:rPr>
              <w:t>万</w:t>
            </w:r>
            <w:r w:rsidRPr="008A2411">
              <w:rPr>
                <w:rFonts w:ascii="Times New Roman"/>
                <w:color w:val="000000" w:themeColor="text1"/>
                <w:sz w:val="21"/>
                <w:szCs w:val="21"/>
              </w:rPr>
              <w:t>Nm</w:t>
            </w:r>
            <w:r w:rsidRPr="008A2411">
              <w:rPr>
                <w:rFonts w:ascii="Times New Roman"/>
                <w:color w:val="000000" w:themeColor="text1"/>
                <w:sz w:val="21"/>
                <w:szCs w:val="21"/>
                <w:vertAlign w:val="superscript"/>
              </w:rPr>
              <w:t>3</w:t>
            </w:r>
            <w:r w:rsidRPr="008A2411">
              <w:rPr>
                <w:rFonts w:ascii="Times New Roman"/>
                <w:color w:val="000000" w:themeColor="text1"/>
                <w:sz w:val="21"/>
                <w:szCs w:val="21"/>
              </w:rPr>
              <w:t>/</w:t>
            </w:r>
            <w:r w:rsidRPr="008A2411">
              <w:rPr>
                <w:rFonts w:ascii="Times New Roman"/>
                <w:color w:val="000000" w:themeColor="text1"/>
                <w:sz w:val="21"/>
                <w:szCs w:val="21"/>
              </w:rPr>
              <w:t>天）到</w:t>
            </w:r>
            <w:r w:rsidRPr="008A2411">
              <w:rPr>
                <w:rFonts w:ascii="Times New Roman"/>
                <w:color w:val="000000" w:themeColor="text1"/>
                <w:sz w:val="21"/>
                <w:szCs w:val="21"/>
              </w:rPr>
              <w:t>800</w:t>
            </w:r>
            <w:proofErr w:type="gramStart"/>
            <w:r w:rsidRPr="008A2411">
              <w:rPr>
                <w:rFonts w:ascii="Times New Roman"/>
                <w:color w:val="000000" w:themeColor="text1"/>
                <w:sz w:val="21"/>
                <w:szCs w:val="21"/>
              </w:rPr>
              <w:t>百万</w:t>
            </w:r>
            <w:proofErr w:type="gramEnd"/>
            <w:r w:rsidRPr="008A2411">
              <w:rPr>
                <w:rFonts w:ascii="Times New Roman"/>
                <w:color w:val="000000" w:themeColor="text1"/>
                <w:sz w:val="21"/>
                <w:szCs w:val="21"/>
              </w:rPr>
              <w:t>标准立方英尺</w:t>
            </w:r>
            <w:r w:rsidRPr="008A2411">
              <w:rPr>
                <w:rFonts w:ascii="Times New Roman"/>
                <w:color w:val="000000" w:themeColor="text1"/>
                <w:sz w:val="21"/>
                <w:szCs w:val="21"/>
              </w:rPr>
              <w:t>/</w:t>
            </w:r>
            <w:r w:rsidRPr="008A2411">
              <w:rPr>
                <w:rFonts w:ascii="Times New Roman"/>
                <w:color w:val="000000" w:themeColor="text1"/>
                <w:sz w:val="21"/>
                <w:szCs w:val="21"/>
              </w:rPr>
              <w:t>天（</w:t>
            </w:r>
            <w:r w:rsidRPr="008A2411">
              <w:rPr>
                <w:rFonts w:ascii="Times New Roman"/>
                <w:color w:val="000000" w:themeColor="text1"/>
                <w:sz w:val="21"/>
                <w:szCs w:val="21"/>
              </w:rPr>
              <w:t>2200</w:t>
            </w:r>
            <w:r w:rsidRPr="008A2411">
              <w:rPr>
                <w:rFonts w:ascii="Times New Roman"/>
                <w:color w:val="000000" w:themeColor="text1"/>
                <w:sz w:val="21"/>
                <w:szCs w:val="21"/>
              </w:rPr>
              <w:t>万</w:t>
            </w:r>
            <w:r w:rsidRPr="008A2411">
              <w:rPr>
                <w:rFonts w:ascii="Times New Roman"/>
                <w:color w:val="000000" w:themeColor="text1"/>
                <w:sz w:val="21"/>
                <w:szCs w:val="21"/>
              </w:rPr>
              <w:t>Nm</w:t>
            </w:r>
            <w:r w:rsidRPr="008A2411">
              <w:rPr>
                <w:rFonts w:ascii="Times New Roman"/>
                <w:color w:val="000000" w:themeColor="text1"/>
                <w:sz w:val="21"/>
                <w:szCs w:val="21"/>
                <w:vertAlign w:val="superscript"/>
              </w:rPr>
              <w:t>3</w:t>
            </w:r>
            <w:r w:rsidRPr="008A2411">
              <w:rPr>
                <w:rFonts w:ascii="Times New Roman"/>
                <w:color w:val="000000" w:themeColor="text1"/>
                <w:sz w:val="21"/>
                <w:szCs w:val="21"/>
              </w:rPr>
              <w:t>/</w:t>
            </w:r>
            <w:r w:rsidRPr="008A2411">
              <w:rPr>
                <w:rFonts w:ascii="Times New Roman"/>
                <w:color w:val="000000" w:themeColor="text1"/>
                <w:sz w:val="21"/>
                <w:szCs w:val="21"/>
              </w:rPr>
              <w:t>天）</w:t>
            </w:r>
          </w:p>
        </w:tc>
        <w:tc>
          <w:tcPr>
            <w:tcW w:w="6160" w:type="dxa"/>
            <w:shd w:val="clear" w:color="auto" w:fill="auto"/>
            <w:vAlign w:val="center"/>
          </w:tcPr>
          <w:p w14:paraId="08BE22A4" w14:textId="77777777" w:rsidR="00B0005F" w:rsidRPr="008A2411" w:rsidRDefault="00000000">
            <w:pPr>
              <w:autoSpaceDE w:val="0"/>
              <w:autoSpaceDN w:val="0"/>
              <w:adjustRightInd w:val="0"/>
              <w:spacing w:line="260" w:lineRule="exact"/>
              <w:jc w:val="center"/>
              <w:rPr>
                <w:rFonts w:ascii="Times New Roman"/>
                <w:color w:val="000000" w:themeColor="text1"/>
                <w:sz w:val="21"/>
                <w:szCs w:val="21"/>
              </w:rPr>
            </w:pPr>
            <w:r w:rsidRPr="008A2411">
              <w:rPr>
                <w:rFonts w:ascii="Times New Roman"/>
                <w:color w:val="000000" w:themeColor="text1"/>
                <w:sz w:val="21"/>
                <w:szCs w:val="21"/>
              </w:rPr>
              <w:t>原料气压缩与预处理：原料</w:t>
            </w:r>
            <w:proofErr w:type="gramStart"/>
            <w:r w:rsidRPr="008A2411">
              <w:rPr>
                <w:rFonts w:ascii="Times New Roman"/>
                <w:color w:val="000000" w:themeColor="text1"/>
                <w:sz w:val="21"/>
                <w:szCs w:val="21"/>
              </w:rPr>
              <w:t>气经过</w:t>
            </w:r>
            <w:proofErr w:type="gramEnd"/>
            <w:r w:rsidRPr="008A2411">
              <w:rPr>
                <w:rFonts w:ascii="Times New Roman"/>
                <w:color w:val="000000" w:themeColor="text1"/>
                <w:sz w:val="21"/>
                <w:szCs w:val="21"/>
              </w:rPr>
              <w:t>过滤分离器，除掉液体和固体杂质，然后进入原料气压缩机压缩至一定压力，经冷却器冷却至常温后，原料气送入酸性气体脱除装置，酸性气体脱除采用甲基二乙醇胺（</w:t>
            </w:r>
            <w:r w:rsidRPr="008A2411">
              <w:rPr>
                <w:rFonts w:ascii="Times New Roman"/>
                <w:color w:val="000000" w:themeColor="text1"/>
                <w:sz w:val="21"/>
                <w:szCs w:val="21"/>
              </w:rPr>
              <w:t>MDEA</w:t>
            </w:r>
            <w:r w:rsidRPr="008A2411">
              <w:rPr>
                <w:rFonts w:ascii="Times New Roman"/>
                <w:color w:val="000000" w:themeColor="text1"/>
                <w:sz w:val="21"/>
                <w:szCs w:val="21"/>
              </w:rPr>
              <w:t>）溶液，脱除酸性气体后的原料气，采用分子筛干燥剂脱除</w:t>
            </w:r>
            <w:proofErr w:type="gramStart"/>
            <w:r w:rsidRPr="008A2411">
              <w:rPr>
                <w:rFonts w:ascii="Times New Roman"/>
                <w:color w:val="000000" w:themeColor="text1"/>
                <w:sz w:val="21"/>
                <w:szCs w:val="21"/>
              </w:rPr>
              <w:t>水份</w:t>
            </w:r>
            <w:proofErr w:type="gramEnd"/>
            <w:r w:rsidRPr="008A2411">
              <w:rPr>
                <w:rFonts w:ascii="Times New Roman"/>
                <w:color w:val="000000" w:themeColor="text1"/>
                <w:sz w:val="21"/>
                <w:szCs w:val="21"/>
              </w:rPr>
              <w:t>。</w:t>
            </w:r>
          </w:p>
          <w:p w14:paraId="014399DD" w14:textId="77777777" w:rsidR="00B0005F" w:rsidRPr="008A2411" w:rsidRDefault="00000000">
            <w:pPr>
              <w:autoSpaceDE w:val="0"/>
              <w:autoSpaceDN w:val="0"/>
              <w:adjustRightInd w:val="0"/>
              <w:spacing w:line="260" w:lineRule="exact"/>
              <w:jc w:val="center"/>
              <w:rPr>
                <w:rFonts w:ascii="Times New Roman"/>
                <w:color w:val="000000" w:themeColor="text1"/>
                <w:sz w:val="21"/>
                <w:szCs w:val="21"/>
              </w:rPr>
            </w:pPr>
            <w:r w:rsidRPr="008A2411">
              <w:rPr>
                <w:rFonts w:ascii="Times New Roman"/>
                <w:color w:val="000000" w:themeColor="text1"/>
                <w:sz w:val="21"/>
                <w:szCs w:val="21"/>
              </w:rPr>
              <w:t>液化过程：采用板翅式换热器进行低温液化。预处理后的天然气从冷剂换热器上部向下流动被逐渐冷却，在</w:t>
            </w:r>
            <w:proofErr w:type="gramStart"/>
            <w:r w:rsidRPr="008A2411">
              <w:rPr>
                <w:rFonts w:ascii="Times New Roman" w:hint="eastAsia"/>
                <w:color w:val="000000" w:themeColor="text1"/>
                <w:sz w:val="21"/>
                <w:szCs w:val="21"/>
              </w:rPr>
              <w:t>“</w:t>
            </w:r>
            <w:proofErr w:type="gramEnd"/>
            <w:r w:rsidRPr="008A2411">
              <w:rPr>
                <w:rFonts w:ascii="Times New Roman"/>
                <w:color w:val="000000" w:themeColor="text1"/>
                <w:sz w:val="21"/>
                <w:szCs w:val="21"/>
              </w:rPr>
              <w:t>中点</w:t>
            </w:r>
            <w:r w:rsidRPr="008A2411">
              <w:rPr>
                <w:rFonts w:ascii="Times New Roman" w:hint="eastAsia"/>
                <w:color w:val="000000" w:themeColor="text1"/>
                <w:sz w:val="21"/>
                <w:szCs w:val="21"/>
              </w:rPr>
              <w:t>“</w:t>
            </w:r>
            <w:r w:rsidRPr="008A2411">
              <w:rPr>
                <w:rFonts w:ascii="Times New Roman"/>
                <w:color w:val="000000" w:themeColor="text1"/>
                <w:sz w:val="21"/>
                <w:szCs w:val="21"/>
              </w:rPr>
              <w:t>温度时天然气被引出至重烃分离器分离出重组分，然后返回冷剂换热器继续向下流动，被液化并在底部过冷到</w:t>
            </w:r>
            <w:r w:rsidRPr="008A2411">
              <w:rPr>
                <w:rFonts w:ascii="Times New Roman"/>
                <w:color w:val="000000" w:themeColor="text1"/>
                <w:sz w:val="21"/>
                <w:szCs w:val="21"/>
              </w:rPr>
              <w:t>-153℃</w:t>
            </w:r>
            <w:r w:rsidRPr="008A2411">
              <w:rPr>
                <w:rFonts w:ascii="Times New Roman"/>
                <w:color w:val="000000" w:themeColor="text1"/>
                <w:sz w:val="21"/>
                <w:szCs w:val="21"/>
              </w:rPr>
              <w:t>后流出，最后经</w:t>
            </w:r>
            <w:r w:rsidRPr="008A2411">
              <w:rPr>
                <w:rFonts w:ascii="Times New Roman"/>
                <w:color w:val="000000" w:themeColor="text1"/>
                <w:sz w:val="21"/>
                <w:szCs w:val="21"/>
              </w:rPr>
              <w:t>J-T</w:t>
            </w:r>
            <w:r w:rsidRPr="008A2411">
              <w:rPr>
                <w:rFonts w:ascii="Times New Roman"/>
                <w:color w:val="000000" w:themeColor="text1"/>
                <w:sz w:val="21"/>
                <w:szCs w:val="21"/>
              </w:rPr>
              <w:t>阀降压减温至</w:t>
            </w:r>
            <w:r w:rsidRPr="008A2411">
              <w:rPr>
                <w:rFonts w:ascii="Times New Roman"/>
                <w:color w:val="000000" w:themeColor="text1"/>
                <w:sz w:val="21"/>
                <w:szCs w:val="21"/>
              </w:rPr>
              <w:t>-162℃</w:t>
            </w:r>
            <w:r w:rsidRPr="008A2411">
              <w:rPr>
                <w:rFonts w:ascii="Times New Roman"/>
                <w:color w:val="000000" w:themeColor="text1"/>
                <w:sz w:val="21"/>
                <w:szCs w:val="21"/>
              </w:rPr>
              <w:t>后，流入液态轻烃储罐贮存。</w:t>
            </w:r>
          </w:p>
          <w:p w14:paraId="1972742D" w14:textId="77777777" w:rsidR="00B0005F" w:rsidRPr="008A2411" w:rsidRDefault="00000000">
            <w:pPr>
              <w:autoSpaceDE w:val="0"/>
              <w:autoSpaceDN w:val="0"/>
              <w:adjustRightInd w:val="0"/>
              <w:spacing w:line="260" w:lineRule="exact"/>
              <w:jc w:val="center"/>
              <w:rPr>
                <w:rFonts w:ascii="Times New Roman"/>
                <w:color w:val="000000" w:themeColor="text1"/>
                <w:sz w:val="21"/>
                <w:szCs w:val="21"/>
                <w:bdr w:val="single" w:sz="4" w:space="0" w:color="auto"/>
              </w:rPr>
            </w:pPr>
            <w:r w:rsidRPr="008A2411">
              <w:rPr>
                <w:rFonts w:ascii="Times New Roman"/>
                <w:color w:val="000000" w:themeColor="text1"/>
                <w:sz w:val="21"/>
                <w:szCs w:val="21"/>
              </w:rPr>
              <w:t>制冷循环：采用单循环混合冷剂制冷工艺。冷剂是由氮气、甲烷、乙烯、丙烷和异戊烷组成的混合物，冷剂压缩机为两段压缩，由燃气轮机驱动。</w:t>
            </w:r>
            <w:proofErr w:type="gramStart"/>
            <w:r w:rsidRPr="008A2411">
              <w:rPr>
                <w:rFonts w:ascii="Times New Roman"/>
                <w:color w:val="000000" w:themeColor="text1"/>
                <w:sz w:val="21"/>
                <w:szCs w:val="21"/>
              </w:rPr>
              <w:t>冷剂经压缩机</w:t>
            </w:r>
            <w:proofErr w:type="gramEnd"/>
            <w:r w:rsidRPr="008A2411">
              <w:rPr>
                <w:rFonts w:ascii="Times New Roman"/>
                <w:color w:val="000000" w:themeColor="text1"/>
                <w:sz w:val="21"/>
                <w:szCs w:val="21"/>
              </w:rPr>
              <w:t>一段、中间冷却器和段间罐，分离出的气相进入压缩机二段压缩为高压冷剂，与</w:t>
            </w:r>
            <w:proofErr w:type="gramStart"/>
            <w:r w:rsidRPr="008A2411">
              <w:rPr>
                <w:rFonts w:ascii="Times New Roman"/>
                <w:color w:val="000000" w:themeColor="text1"/>
                <w:sz w:val="21"/>
                <w:szCs w:val="21"/>
              </w:rPr>
              <w:t>段间罐的</w:t>
            </w:r>
            <w:proofErr w:type="gramEnd"/>
            <w:r w:rsidRPr="008A2411">
              <w:rPr>
                <w:rFonts w:ascii="Times New Roman"/>
                <w:color w:val="000000" w:themeColor="text1"/>
                <w:sz w:val="21"/>
                <w:szCs w:val="21"/>
              </w:rPr>
              <w:t>泵送液</w:t>
            </w:r>
            <w:r w:rsidRPr="008A2411">
              <w:rPr>
                <w:rFonts w:ascii="Times New Roman"/>
                <w:color w:val="000000" w:themeColor="text1"/>
                <w:sz w:val="21"/>
                <w:szCs w:val="21"/>
              </w:rPr>
              <w:lastRenderedPageBreak/>
              <w:t>相冷剂混合，并经冷却分离后，气液相冷剂分别进入冷剂换热器，在其内部混合，向下流过冷剂换热器，在底部流出时已全部冷凝。然后流经汤姆斯</w:t>
            </w:r>
            <w:r w:rsidRPr="008A2411">
              <w:rPr>
                <w:rFonts w:ascii="Times New Roman"/>
                <w:color w:val="000000" w:themeColor="text1"/>
                <w:sz w:val="21"/>
                <w:szCs w:val="21"/>
              </w:rPr>
              <w:t>-</w:t>
            </w:r>
            <w:r w:rsidRPr="008A2411">
              <w:rPr>
                <w:rFonts w:ascii="Times New Roman"/>
                <w:color w:val="000000" w:themeColor="text1"/>
                <w:sz w:val="21"/>
                <w:szCs w:val="21"/>
              </w:rPr>
              <w:t>焦耳阀，减压并部分蒸发，使冷剂的温度进一步降低，再重新进入冷剂换热器冷端，向上流动，吸收原料气和高压冷剂的热量。由冷剂换热器出来的低压冷剂，进入冷剂吸入罐，然后进入冷剂压缩机</w:t>
            </w:r>
          </w:p>
        </w:tc>
        <w:tc>
          <w:tcPr>
            <w:tcW w:w="3741" w:type="dxa"/>
            <w:shd w:val="clear" w:color="auto" w:fill="auto"/>
            <w:vAlign w:val="center"/>
          </w:tcPr>
          <w:p w14:paraId="56DFA15D" w14:textId="77777777" w:rsidR="00B0005F" w:rsidRPr="008A2411" w:rsidRDefault="00000000">
            <w:pPr>
              <w:autoSpaceDE w:val="0"/>
              <w:autoSpaceDN w:val="0"/>
              <w:adjustRightInd w:val="0"/>
              <w:spacing w:line="260" w:lineRule="exact"/>
              <w:jc w:val="center"/>
              <w:rPr>
                <w:rFonts w:ascii="Times New Roman"/>
                <w:color w:val="000000" w:themeColor="text1"/>
                <w:sz w:val="21"/>
                <w:szCs w:val="21"/>
              </w:rPr>
            </w:pPr>
            <w:r w:rsidRPr="008A2411">
              <w:rPr>
                <w:rFonts w:ascii="Times New Roman"/>
                <w:color w:val="000000" w:themeColor="text1"/>
                <w:sz w:val="21"/>
                <w:szCs w:val="21"/>
              </w:rPr>
              <w:lastRenderedPageBreak/>
              <w:t xml:space="preserve">● </w:t>
            </w:r>
            <w:r w:rsidRPr="008A2411">
              <w:rPr>
                <w:rFonts w:ascii="Times New Roman"/>
                <w:color w:val="000000" w:themeColor="text1"/>
                <w:sz w:val="21"/>
                <w:szCs w:val="21"/>
              </w:rPr>
              <w:t>采用单循环混合制冷剂和单循环压缩工艺，制冷循环只有一台压缩机和一个冷箱，关键设备数量少，流程损失低。</w:t>
            </w:r>
          </w:p>
          <w:p w14:paraId="5C3E48E8" w14:textId="77777777" w:rsidR="00B0005F" w:rsidRPr="008A2411" w:rsidRDefault="00000000">
            <w:pPr>
              <w:autoSpaceDE w:val="0"/>
              <w:autoSpaceDN w:val="0"/>
              <w:adjustRightInd w:val="0"/>
              <w:spacing w:line="260" w:lineRule="exact"/>
              <w:jc w:val="center"/>
              <w:rPr>
                <w:rFonts w:ascii="Times New Roman"/>
                <w:color w:val="000000" w:themeColor="text1"/>
                <w:sz w:val="21"/>
                <w:szCs w:val="21"/>
              </w:rPr>
            </w:pPr>
            <w:r w:rsidRPr="008A2411">
              <w:rPr>
                <w:rFonts w:ascii="Times New Roman"/>
                <w:color w:val="000000" w:themeColor="text1"/>
                <w:sz w:val="21"/>
                <w:szCs w:val="21"/>
              </w:rPr>
              <w:t xml:space="preserve">● </w:t>
            </w:r>
            <w:r w:rsidRPr="008A2411">
              <w:rPr>
                <w:rFonts w:ascii="Times New Roman"/>
                <w:color w:val="000000" w:themeColor="text1"/>
                <w:sz w:val="21"/>
                <w:szCs w:val="21"/>
              </w:rPr>
              <w:t>混合冷剂中的</w:t>
            </w:r>
            <w:r w:rsidRPr="008A2411">
              <w:rPr>
                <w:rFonts w:ascii="Times New Roman"/>
                <w:color w:val="000000" w:themeColor="text1"/>
                <w:sz w:val="21"/>
                <w:szCs w:val="21"/>
              </w:rPr>
              <w:t>C</w:t>
            </w:r>
            <w:r w:rsidRPr="008A2411">
              <w:rPr>
                <w:rFonts w:ascii="Times New Roman"/>
                <w:color w:val="000000" w:themeColor="text1"/>
                <w:sz w:val="21"/>
                <w:szCs w:val="21"/>
                <w:vertAlign w:val="subscript"/>
              </w:rPr>
              <w:t xml:space="preserve">2 </w:t>
            </w:r>
            <w:r w:rsidRPr="008A2411">
              <w:rPr>
                <w:rFonts w:ascii="Times New Roman"/>
                <w:color w:val="000000" w:themeColor="text1"/>
                <w:sz w:val="21"/>
                <w:szCs w:val="21"/>
              </w:rPr>
              <w:t>为乙烯</w:t>
            </w:r>
          </w:p>
          <w:p w14:paraId="5C7FE5D0" w14:textId="77777777" w:rsidR="00B0005F" w:rsidRPr="008A2411" w:rsidRDefault="00000000">
            <w:pPr>
              <w:autoSpaceDE w:val="0"/>
              <w:autoSpaceDN w:val="0"/>
              <w:adjustRightInd w:val="0"/>
              <w:spacing w:line="260" w:lineRule="exact"/>
              <w:jc w:val="center"/>
              <w:rPr>
                <w:rFonts w:ascii="Times New Roman"/>
                <w:color w:val="000000" w:themeColor="text1"/>
                <w:sz w:val="21"/>
                <w:szCs w:val="21"/>
              </w:rPr>
            </w:pPr>
            <w:r w:rsidRPr="008A2411">
              <w:rPr>
                <w:rFonts w:ascii="Times New Roman"/>
                <w:color w:val="000000" w:themeColor="text1"/>
                <w:sz w:val="21"/>
                <w:szCs w:val="21"/>
              </w:rPr>
              <w:t xml:space="preserve">● </w:t>
            </w:r>
            <w:r w:rsidRPr="008A2411">
              <w:rPr>
                <w:rFonts w:ascii="Times New Roman"/>
                <w:color w:val="000000" w:themeColor="text1"/>
                <w:sz w:val="21"/>
                <w:szCs w:val="21"/>
              </w:rPr>
              <w:t>采用</w:t>
            </w:r>
            <w:r w:rsidRPr="008A2411">
              <w:rPr>
                <w:rFonts w:ascii="Times New Roman"/>
                <w:color w:val="000000" w:themeColor="text1"/>
                <w:sz w:val="21"/>
                <w:szCs w:val="21"/>
              </w:rPr>
              <w:t xml:space="preserve">J-T </w:t>
            </w:r>
            <w:r w:rsidRPr="008A2411">
              <w:rPr>
                <w:rFonts w:ascii="Times New Roman"/>
                <w:color w:val="000000" w:themeColor="text1"/>
                <w:sz w:val="21"/>
                <w:szCs w:val="21"/>
              </w:rPr>
              <w:t>阀降压减温</w:t>
            </w:r>
          </w:p>
          <w:p w14:paraId="31A04E3B" w14:textId="77777777" w:rsidR="00B0005F" w:rsidRPr="008A2411" w:rsidRDefault="00000000">
            <w:pPr>
              <w:autoSpaceDE w:val="0"/>
              <w:autoSpaceDN w:val="0"/>
              <w:adjustRightInd w:val="0"/>
              <w:spacing w:line="260" w:lineRule="exact"/>
              <w:jc w:val="center"/>
              <w:rPr>
                <w:rFonts w:ascii="Times New Roman"/>
                <w:color w:val="000000" w:themeColor="text1"/>
                <w:sz w:val="21"/>
                <w:szCs w:val="21"/>
              </w:rPr>
            </w:pPr>
            <w:r w:rsidRPr="008A2411">
              <w:rPr>
                <w:rFonts w:ascii="Times New Roman"/>
                <w:color w:val="000000" w:themeColor="text1"/>
                <w:sz w:val="21"/>
                <w:szCs w:val="21"/>
              </w:rPr>
              <w:t xml:space="preserve">● </w:t>
            </w:r>
            <w:r w:rsidRPr="008A2411">
              <w:rPr>
                <w:rFonts w:ascii="Times New Roman"/>
                <w:color w:val="000000" w:themeColor="text1"/>
                <w:sz w:val="21"/>
                <w:szCs w:val="21"/>
              </w:rPr>
              <w:t>由于采用单循环混合制冷剂和单循环压缩工艺，</w:t>
            </w:r>
            <w:r w:rsidRPr="008A2411">
              <w:rPr>
                <w:rFonts w:ascii="Times New Roman"/>
                <w:color w:val="000000" w:themeColor="text1"/>
                <w:sz w:val="21"/>
                <w:szCs w:val="21"/>
              </w:rPr>
              <w:t xml:space="preserve">J-T </w:t>
            </w:r>
            <w:r w:rsidRPr="008A2411">
              <w:rPr>
                <w:rFonts w:ascii="Times New Roman"/>
                <w:color w:val="000000" w:themeColor="text1"/>
                <w:sz w:val="21"/>
                <w:szCs w:val="21"/>
              </w:rPr>
              <w:t>阀和分离设备的数量比较少，操作方便，维修量减少。在同类工艺中控制回路最少，操作简单。</w:t>
            </w:r>
          </w:p>
          <w:p w14:paraId="6DE5F5F6" w14:textId="77777777" w:rsidR="00B0005F" w:rsidRPr="008A2411" w:rsidRDefault="00000000">
            <w:pPr>
              <w:autoSpaceDE w:val="0"/>
              <w:autoSpaceDN w:val="0"/>
              <w:adjustRightInd w:val="0"/>
              <w:spacing w:line="260" w:lineRule="exact"/>
              <w:jc w:val="center"/>
              <w:rPr>
                <w:rFonts w:ascii="Times New Roman"/>
                <w:color w:val="000000" w:themeColor="text1"/>
                <w:sz w:val="21"/>
                <w:szCs w:val="21"/>
              </w:rPr>
            </w:pPr>
            <w:r w:rsidRPr="008A2411">
              <w:rPr>
                <w:rFonts w:ascii="Times New Roman"/>
                <w:color w:val="000000" w:themeColor="text1"/>
                <w:sz w:val="21"/>
                <w:szCs w:val="21"/>
              </w:rPr>
              <w:t xml:space="preserve">● </w:t>
            </w:r>
            <w:r w:rsidRPr="008A2411">
              <w:rPr>
                <w:rFonts w:ascii="Times New Roman"/>
                <w:color w:val="000000" w:themeColor="text1"/>
                <w:sz w:val="21"/>
                <w:szCs w:val="21"/>
              </w:rPr>
              <w:t>虽然只有一台压缩机，但采用多段压缩，通过段间对轻重冷剂进行分离，降低了整个制冷循环的压缩功耗。</w:t>
            </w:r>
          </w:p>
          <w:p w14:paraId="2A19D7FA" w14:textId="77777777" w:rsidR="00B0005F" w:rsidRPr="008A2411" w:rsidRDefault="00000000">
            <w:pPr>
              <w:autoSpaceDE w:val="0"/>
              <w:autoSpaceDN w:val="0"/>
              <w:adjustRightInd w:val="0"/>
              <w:spacing w:line="260" w:lineRule="exact"/>
              <w:jc w:val="center"/>
              <w:rPr>
                <w:rFonts w:ascii="Times New Roman"/>
                <w:color w:val="000000" w:themeColor="text1"/>
                <w:sz w:val="21"/>
                <w:szCs w:val="21"/>
              </w:rPr>
            </w:pPr>
            <w:r w:rsidRPr="008A2411">
              <w:rPr>
                <w:rFonts w:ascii="Times New Roman"/>
                <w:color w:val="000000" w:themeColor="text1"/>
                <w:sz w:val="21"/>
                <w:szCs w:val="21"/>
              </w:rPr>
              <w:t xml:space="preserve">● </w:t>
            </w:r>
            <w:r w:rsidRPr="008A2411">
              <w:rPr>
                <w:rFonts w:ascii="Times New Roman"/>
                <w:color w:val="000000" w:themeColor="text1"/>
                <w:sz w:val="21"/>
                <w:szCs w:val="21"/>
              </w:rPr>
              <w:t>在段间可根据原料气成分和工况的变化以及其它工艺</w:t>
            </w:r>
            <w:r w:rsidRPr="008A2411">
              <w:rPr>
                <w:rFonts w:ascii="Times New Roman"/>
                <w:color w:val="000000" w:themeColor="text1"/>
                <w:sz w:val="21"/>
                <w:szCs w:val="21"/>
              </w:rPr>
              <w:lastRenderedPageBreak/>
              <w:t>需要对轻重冷剂进行多次混配，冷箱中冷剂的轻重组分配比，不需调整冷剂回路（压缩机入口）组成即可以实现冷箱中与天然气进行换热的冷剂（工作部分）的轻重配比，不仅可以实现运行效率的最优化，同时使操作弹性和灵活性极大的提高。</w:t>
            </w:r>
          </w:p>
          <w:p w14:paraId="3C7F642B" w14:textId="77777777" w:rsidR="00B0005F" w:rsidRPr="008A2411" w:rsidRDefault="00000000">
            <w:pPr>
              <w:autoSpaceDE w:val="0"/>
              <w:autoSpaceDN w:val="0"/>
              <w:adjustRightInd w:val="0"/>
              <w:spacing w:line="260" w:lineRule="exact"/>
              <w:jc w:val="center"/>
              <w:rPr>
                <w:rFonts w:ascii="Times New Roman"/>
                <w:color w:val="000000" w:themeColor="text1"/>
                <w:sz w:val="21"/>
                <w:szCs w:val="21"/>
              </w:rPr>
            </w:pPr>
            <w:r w:rsidRPr="008A2411">
              <w:rPr>
                <w:rFonts w:ascii="Times New Roman"/>
                <w:color w:val="000000" w:themeColor="text1"/>
                <w:sz w:val="21"/>
                <w:szCs w:val="21"/>
              </w:rPr>
              <w:t xml:space="preserve">● </w:t>
            </w:r>
            <w:r w:rsidRPr="008A2411">
              <w:rPr>
                <w:rFonts w:ascii="Times New Roman"/>
                <w:color w:val="000000" w:themeColor="text1"/>
                <w:sz w:val="21"/>
                <w:szCs w:val="21"/>
              </w:rPr>
              <w:t>混合冷剂中的各种组分冷剂纯度要求不高，氮气要求</w:t>
            </w:r>
            <w:r w:rsidRPr="008A2411">
              <w:rPr>
                <w:rFonts w:ascii="Times New Roman"/>
                <w:color w:val="000000" w:themeColor="text1"/>
                <w:sz w:val="21"/>
                <w:szCs w:val="21"/>
              </w:rPr>
              <w:t>99.9</w:t>
            </w:r>
            <w:r w:rsidRPr="008A2411">
              <w:rPr>
                <w:rFonts w:ascii="Times New Roman"/>
                <w:color w:val="000000" w:themeColor="text1"/>
                <w:sz w:val="21"/>
                <w:szCs w:val="21"/>
              </w:rPr>
              <w:t>％，其它（碳氢化合物）要求为</w:t>
            </w:r>
            <w:r w:rsidRPr="008A2411">
              <w:rPr>
                <w:rFonts w:ascii="Times New Roman"/>
                <w:color w:val="000000" w:themeColor="text1"/>
                <w:sz w:val="21"/>
                <w:szCs w:val="21"/>
              </w:rPr>
              <w:t>95</w:t>
            </w:r>
            <w:r w:rsidRPr="008A2411">
              <w:rPr>
                <w:rFonts w:ascii="Times New Roman"/>
                <w:color w:val="000000" w:themeColor="text1"/>
                <w:sz w:val="21"/>
                <w:szCs w:val="21"/>
              </w:rPr>
              <w:t>％。加上冷剂循环中可实现冷剂二次混配，工艺对冷剂回路中的冷</w:t>
            </w:r>
            <w:proofErr w:type="gramStart"/>
            <w:r w:rsidRPr="008A2411">
              <w:rPr>
                <w:rFonts w:ascii="Times New Roman"/>
                <w:color w:val="000000" w:themeColor="text1"/>
                <w:sz w:val="21"/>
                <w:szCs w:val="21"/>
              </w:rPr>
              <w:t>剂损失</w:t>
            </w:r>
            <w:proofErr w:type="gramEnd"/>
            <w:r w:rsidRPr="008A2411">
              <w:rPr>
                <w:rFonts w:ascii="Times New Roman"/>
                <w:color w:val="000000" w:themeColor="text1"/>
                <w:sz w:val="21"/>
                <w:szCs w:val="21"/>
              </w:rPr>
              <w:t>不敏感。其它混合制冷工艺多要求氮气纯度在</w:t>
            </w:r>
            <w:r w:rsidRPr="008A2411">
              <w:rPr>
                <w:rFonts w:ascii="Times New Roman"/>
                <w:color w:val="000000" w:themeColor="text1"/>
                <w:sz w:val="21"/>
                <w:szCs w:val="21"/>
              </w:rPr>
              <w:t>99.99</w:t>
            </w:r>
            <w:r w:rsidRPr="008A2411">
              <w:rPr>
                <w:rFonts w:ascii="Times New Roman"/>
                <w:color w:val="000000" w:themeColor="text1"/>
                <w:sz w:val="21"/>
                <w:szCs w:val="21"/>
              </w:rPr>
              <w:t>％，其它（碳氢化合物）要求为</w:t>
            </w:r>
            <w:r w:rsidRPr="008A2411">
              <w:rPr>
                <w:rFonts w:ascii="Times New Roman"/>
                <w:color w:val="000000" w:themeColor="text1"/>
                <w:sz w:val="21"/>
                <w:szCs w:val="21"/>
              </w:rPr>
              <w:t>98.5</w:t>
            </w:r>
            <w:r w:rsidRPr="008A2411">
              <w:rPr>
                <w:rFonts w:ascii="Times New Roman"/>
                <w:color w:val="000000" w:themeColor="text1"/>
                <w:sz w:val="21"/>
                <w:szCs w:val="21"/>
              </w:rPr>
              <w:t>％甚至</w:t>
            </w:r>
            <w:r w:rsidRPr="008A2411">
              <w:rPr>
                <w:rFonts w:ascii="Times New Roman"/>
                <w:color w:val="000000" w:themeColor="text1"/>
                <w:sz w:val="21"/>
                <w:szCs w:val="21"/>
              </w:rPr>
              <w:t>99</w:t>
            </w:r>
            <w:r w:rsidRPr="008A2411">
              <w:rPr>
                <w:rFonts w:ascii="Times New Roman"/>
                <w:color w:val="000000" w:themeColor="text1"/>
                <w:sz w:val="21"/>
                <w:szCs w:val="21"/>
              </w:rPr>
              <w:t>％以上，不仅购买困难而且操作敏感，不易控制。</w:t>
            </w:r>
          </w:p>
          <w:p w14:paraId="7E3290FF" w14:textId="77777777" w:rsidR="00B0005F" w:rsidRPr="008A2411" w:rsidRDefault="00000000">
            <w:pPr>
              <w:autoSpaceDE w:val="0"/>
              <w:autoSpaceDN w:val="0"/>
              <w:adjustRightInd w:val="0"/>
              <w:spacing w:line="260" w:lineRule="exact"/>
              <w:jc w:val="center"/>
              <w:rPr>
                <w:rFonts w:ascii="Times New Roman"/>
                <w:color w:val="000000" w:themeColor="text1"/>
                <w:sz w:val="21"/>
                <w:szCs w:val="21"/>
              </w:rPr>
            </w:pPr>
            <w:r w:rsidRPr="008A2411">
              <w:rPr>
                <w:rFonts w:ascii="Times New Roman"/>
                <w:color w:val="000000" w:themeColor="text1"/>
                <w:sz w:val="21"/>
                <w:szCs w:val="21"/>
              </w:rPr>
              <w:t xml:space="preserve">● </w:t>
            </w:r>
            <w:r w:rsidRPr="008A2411">
              <w:rPr>
                <w:rFonts w:ascii="Times New Roman"/>
                <w:color w:val="000000" w:themeColor="text1"/>
                <w:sz w:val="21"/>
                <w:szCs w:val="21"/>
              </w:rPr>
              <w:t>制冷循环和冷剂的补充流程经过特殊设计，在停车期间，冷剂可在系统中保留较长时间，不必</w:t>
            </w:r>
            <w:proofErr w:type="gramStart"/>
            <w:r w:rsidRPr="008A2411">
              <w:rPr>
                <w:rFonts w:ascii="Times New Roman"/>
                <w:color w:val="000000" w:themeColor="text1"/>
                <w:sz w:val="21"/>
                <w:szCs w:val="21"/>
              </w:rPr>
              <w:t>象</w:t>
            </w:r>
            <w:proofErr w:type="gramEnd"/>
            <w:r w:rsidRPr="008A2411">
              <w:rPr>
                <w:rFonts w:ascii="Times New Roman"/>
                <w:color w:val="000000" w:themeColor="text1"/>
                <w:sz w:val="21"/>
                <w:szCs w:val="21"/>
              </w:rPr>
              <w:t>多数其它工艺一样长时间保留时需要排放。</w:t>
            </w:r>
          </w:p>
        </w:tc>
      </w:tr>
    </w:tbl>
    <w:p w14:paraId="6F4209B2" w14:textId="77777777" w:rsidR="00B0005F" w:rsidRPr="008A2411" w:rsidRDefault="00B0005F">
      <w:pPr>
        <w:pStyle w:val="a9"/>
        <w:rPr>
          <w:rFonts w:ascii="Times New Roman"/>
          <w:bCs/>
          <w:color w:val="000000" w:themeColor="text1"/>
          <w:kern w:val="0"/>
          <w:lang w:bidi="ar"/>
        </w:rPr>
      </w:pPr>
    </w:p>
    <w:p w14:paraId="537AF1B7" w14:textId="77777777" w:rsidR="00B0005F" w:rsidRPr="008A2411" w:rsidRDefault="00000000">
      <w:pPr>
        <w:pStyle w:val="afffffffffffff7"/>
        <w:adjustRightInd w:val="0"/>
        <w:snapToGrid w:val="0"/>
        <w:ind w:firstLine="482"/>
        <w:rPr>
          <w:b/>
          <w:color w:val="000000" w:themeColor="text1"/>
          <w:sz w:val="24"/>
          <w:szCs w:val="24"/>
        </w:rPr>
      </w:pPr>
      <w:r w:rsidRPr="008A2411">
        <w:rPr>
          <w:b/>
          <w:color w:val="000000" w:themeColor="text1"/>
          <w:sz w:val="24"/>
          <w:szCs w:val="24"/>
        </w:rPr>
        <w:t>由上表对比分析可知：</w:t>
      </w:r>
    </w:p>
    <w:p w14:paraId="2E97E3A8" w14:textId="77777777" w:rsidR="00B0005F" w:rsidRPr="008A2411" w:rsidRDefault="00000000">
      <w:pPr>
        <w:widowControl/>
        <w:adjustRightInd w:val="0"/>
        <w:snapToGrid w:val="0"/>
        <w:spacing w:line="360" w:lineRule="auto"/>
        <w:ind w:firstLineChars="200" w:firstLine="480"/>
        <w:jc w:val="left"/>
        <w:rPr>
          <w:rFonts w:ascii="Times New Roman"/>
          <w:color w:val="000000" w:themeColor="text1"/>
          <w:kern w:val="2"/>
          <w:szCs w:val="24"/>
        </w:rPr>
      </w:pPr>
      <w:r w:rsidRPr="008A2411">
        <w:rPr>
          <w:rFonts w:ascii="Times New Roman"/>
          <w:color w:val="000000" w:themeColor="text1"/>
          <w:kern w:val="2"/>
          <w:szCs w:val="24"/>
        </w:rPr>
        <w:t>LIQUEFIN</w:t>
      </w:r>
      <w:r w:rsidRPr="008A2411">
        <w:rPr>
          <w:rFonts w:ascii="Times New Roman"/>
          <w:color w:val="000000" w:themeColor="text1"/>
          <w:kern w:val="2"/>
          <w:szCs w:val="24"/>
        </w:rPr>
        <w:sym w:font="Symbol" w:char="00E2"/>
      </w:r>
      <w:r w:rsidRPr="008A2411">
        <w:rPr>
          <w:rFonts w:ascii="Times New Roman"/>
          <w:color w:val="000000" w:themeColor="text1"/>
          <w:kern w:val="2"/>
          <w:szCs w:val="24"/>
        </w:rPr>
        <w:t>双循环混合冷剂制冷工艺具有液化能耗低的优点，适用于单线产能在</w:t>
      </w:r>
      <w:r w:rsidRPr="008A2411">
        <w:rPr>
          <w:rFonts w:ascii="Times New Roman"/>
          <w:color w:val="000000" w:themeColor="text1"/>
          <w:kern w:val="2"/>
          <w:szCs w:val="24"/>
        </w:rPr>
        <w:t>200</w:t>
      </w:r>
      <w:r w:rsidRPr="008A2411">
        <w:rPr>
          <w:rFonts w:ascii="Times New Roman"/>
          <w:color w:val="000000" w:themeColor="text1"/>
          <w:kern w:val="2"/>
          <w:szCs w:val="24"/>
        </w:rPr>
        <w:t>万吨</w:t>
      </w:r>
      <w:r w:rsidRPr="008A2411">
        <w:rPr>
          <w:rFonts w:ascii="Times New Roman"/>
          <w:color w:val="000000" w:themeColor="text1"/>
          <w:kern w:val="2"/>
          <w:szCs w:val="24"/>
        </w:rPr>
        <w:t>/</w:t>
      </w:r>
      <w:r w:rsidRPr="008A2411">
        <w:rPr>
          <w:rFonts w:ascii="Times New Roman"/>
          <w:color w:val="000000" w:themeColor="text1"/>
          <w:kern w:val="2"/>
          <w:szCs w:val="24"/>
        </w:rPr>
        <w:t>年以上的液化装置，但该工艺流程复杂，需要两台压缩机，而且其中一台为低温压缩机，配套的液体</w:t>
      </w:r>
      <w:proofErr w:type="gramStart"/>
      <w:r w:rsidRPr="008A2411">
        <w:rPr>
          <w:rFonts w:ascii="Times New Roman"/>
          <w:color w:val="000000" w:themeColor="text1"/>
          <w:kern w:val="2"/>
          <w:szCs w:val="24"/>
        </w:rPr>
        <w:t>膨胀机</w:t>
      </w:r>
      <w:proofErr w:type="gramEnd"/>
      <w:r w:rsidRPr="008A2411">
        <w:rPr>
          <w:rFonts w:ascii="Times New Roman"/>
          <w:color w:val="000000" w:themeColor="text1"/>
          <w:kern w:val="2"/>
          <w:szCs w:val="24"/>
        </w:rPr>
        <w:t>价格昂贵，设备投资大，操作复杂，不适用于中小型</w:t>
      </w:r>
      <w:r w:rsidRPr="008A2411">
        <w:rPr>
          <w:rFonts w:ascii="Times New Roman"/>
          <w:color w:val="000000" w:themeColor="text1"/>
          <w:kern w:val="2"/>
          <w:szCs w:val="24"/>
        </w:rPr>
        <w:t>LNG</w:t>
      </w:r>
      <w:r w:rsidRPr="008A2411">
        <w:rPr>
          <w:rFonts w:ascii="Times New Roman"/>
          <w:color w:val="000000" w:themeColor="text1"/>
          <w:kern w:val="2"/>
          <w:szCs w:val="24"/>
        </w:rPr>
        <w:t>液化装置。</w:t>
      </w:r>
    </w:p>
    <w:p w14:paraId="14056645" w14:textId="77777777" w:rsidR="00B0005F" w:rsidRPr="008A2411" w:rsidRDefault="00000000">
      <w:pPr>
        <w:widowControl/>
        <w:adjustRightInd w:val="0"/>
        <w:snapToGrid w:val="0"/>
        <w:spacing w:line="360" w:lineRule="auto"/>
        <w:ind w:firstLineChars="200" w:firstLine="480"/>
        <w:jc w:val="left"/>
        <w:rPr>
          <w:rFonts w:ascii="Times New Roman"/>
          <w:color w:val="000000" w:themeColor="text1"/>
          <w:kern w:val="2"/>
          <w:szCs w:val="24"/>
        </w:rPr>
      </w:pPr>
      <w:r w:rsidRPr="008A2411">
        <w:rPr>
          <w:rFonts w:ascii="Times New Roman"/>
          <w:color w:val="000000" w:themeColor="text1"/>
          <w:kern w:val="2"/>
          <w:szCs w:val="24"/>
        </w:rPr>
        <w:t>Linde</w:t>
      </w:r>
      <w:r w:rsidRPr="008A2411">
        <w:rPr>
          <w:rFonts w:ascii="Times New Roman"/>
          <w:color w:val="000000" w:themeColor="text1"/>
          <w:kern w:val="2"/>
          <w:szCs w:val="24"/>
        </w:rPr>
        <w:t>开发的</w:t>
      </w:r>
      <w:r w:rsidRPr="008A2411">
        <w:rPr>
          <w:rFonts w:ascii="Times New Roman"/>
          <w:color w:val="000000" w:themeColor="text1"/>
          <w:kern w:val="2"/>
          <w:szCs w:val="24"/>
        </w:rPr>
        <w:t>MRC</w:t>
      </w:r>
      <w:r w:rsidRPr="008A2411">
        <w:rPr>
          <w:rFonts w:ascii="Times New Roman"/>
          <w:color w:val="000000" w:themeColor="text1"/>
          <w:kern w:val="2"/>
          <w:szCs w:val="24"/>
        </w:rPr>
        <w:sym w:font="Symbol" w:char="00E2"/>
      </w:r>
      <w:r w:rsidRPr="008A2411">
        <w:rPr>
          <w:rFonts w:ascii="Times New Roman"/>
          <w:color w:val="000000" w:themeColor="text1"/>
          <w:kern w:val="2"/>
          <w:szCs w:val="24"/>
        </w:rPr>
        <w:t>工艺</w:t>
      </w:r>
      <w:proofErr w:type="gramStart"/>
      <w:r w:rsidRPr="008A2411">
        <w:rPr>
          <w:rFonts w:ascii="Times New Roman"/>
          <w:color w:val="000000" w:themeColor="text1"/>
          <w:kern w:val="2"/>
          <w:szCs w:val="24"/>
        </w:rPr>
        <w:t>是阶式</w:t>
      </w:r>
      <w:proofErr w:type="gramEnd"/>
      <w:r w:rsidRPr="008A2411">
        <w:rPr>
          <w:rFonts w:ascii="Times New Roman"/>
          <w:color w:val="000000" w:themeColor="text1"/>
          <w:kern w:val="2"/>
          <w:szCs w:val="24"/>
        </w:rPr>
        <w:t>工艺的改良，该工艺</w:t>
      </w:r>
      <w:proofErr w:type="gramStart"/>
      <w:r w:rsidRPr="008A2411">
        <w:rPr>
          <w:rFonts w:ascii="Times New Roman"/>
          <w:color w:val="000000" w:themeColor="text1"/>
          <w:kern w:val="2"/>
          <w:szCs w:val="24"/>
        </w:rPr>
        <w:t>能耗能耗</w:t>
      </w:r>
      <w:proofErr w:type="gramEnd"/>
      <w:r w:rsidRPr="008A2411">
        <w:rPr>
          <w:rFonts w:ascii="Times New Roman"/>
          <w:color w:val="000000" w:themeColor="text1"/>
          <w:kern w:val="2"/>
          <w:szCs w:val="24"/>
        </w:rPr>
        <w:t>较低，与传统阶式工艺接近，相比于单一混合制冷工艺，具有流程复杂、压缩机数量多，且</w:t>
      </w:r>
      <w:r w:rsidRPr="008A2411">
        <w:rPr>
          <w:rFonts w:ascii="Times New Roman"/>
          <w:color w:val="000000" w:themeColor="text1"/>
          <w:kern w:val="2"/>
          <w:szCs w:val="24"/>
        </w:rPr>
        <w:lastRenderedPageBreak/>
        <w:t>部分为低温压缩机，设备投资大，控制复杂等缺点，该工艺适用于大型液化天然气装置。</w:t>
      </w:r>
    </w:p>
    <w:p w14:paraId="2E312E6C" w14:textId="77777777" w:rsidR="00B0005F" w:rsidRPr="008A2411" w:rsidRDefault="00000000">
      <w:pPr>
        <w:widowControl/>
        <w:adjustRightInd w:val="0"/>
        <w:snapToGrid w:val="0"/>
        <w:spacing w:line="360" w:lineRule="auto"/>
        <w:ind w:firstLineChars="200" w:firstLine="480"/>
        <w:jc w:val="left"/>
        <w:rPr>
          <w:rFonts w:ascii="Times New Roman"/>
          <w:color w:val="000000" w:themeColor="text1"/>
          <w:kern w:val="2"/>
          <w:szCs w:val="24"/>
        </w:rPr>
      </w:pPr>
      <w:r w:rsidRPr="008A2411">
        <w:rPr>
          <w:rFonts w:ascii="Times New Roman"/>
          <w:color w:val="000000" w:themeColor="text1"/>
          <w:kern w:val="2"/>
          <w:szCs w:val="24"/>
        </w:rPr>
        <w:t>PRICO</w:t>
      </w:r>
      <w:r w:rsidRPr="008A2411">
        <w:rPr>
          <w:rFonts w:ascii="Times New Roman"/>
          <w:color w:val="000000" w:themeColor="text1"/>
          <w:kern w:val="2"/>
          <w:szCs w:val="24"/>
        </w:rPr>
        <w:sym w:font="Symbol" w:char="00E2"/>
      </w:r>
      <w:r w:rsidRPr="008A2411">
        <w:rPr>
          <w:rFonts w:ascii="Times New Roman"/>
          <w:color w:val="000000" w:themeColor="text1"/>
          <w:kern w:val="2"/>
          <w:szCs w:val="24"/>
        </w:rPr>
        <w:t>工艺具有流程简单，只需要一台冷剂压缩机，操作简单、控制方便、开车迅速、操作可靠高、设备投资小，在保持工艺简单性的同时提高流程效率，整体工艺能耗也相对较低，对于中小型天然气液化装置单一混合冷剂制冷工艺是实现技术和经济性的最佳选择。</w:t>
      </w:r>
    </w:p>
    <w:p w14:paraId="2FCEB868" w14:textId="77777777" w:rsidR="00B0005F" w:rsidRPr="008A2411" w:rsidRDefault="00000000">
      <w:pPr>
        <w:widowControl/>
        <w:adjustRightInd w:val="0"/>
        <w:snapToGrid w:val="0"/>
        <w:spacing w:line="360" w:lineRule="auto"/>
        <w:ind w:firstLineChars="200" w:firstLine="482"/>
        <w:jc w:val="left"/>
        <w:rPr>
          <w:rFonts w:ascii="Times New Roman"/>
          <w:b/>
          <w:bCs/>
          <w:color w:val="000000" w:themeColor="text1"/>
          <w:kern w:val="2"/>
          <w:szCs w:val="24"/>
        </w:rPr>
      </w:pPr>
      <w:r w:rsidRPr="008A2411">
        <w:rPr>
          <w:rFonts w:ascii="Times New Roman"/>
          <w:b/>
          <w:bCs/>
          <w:color w:val="000000" w:themeColor="text1"/>
          <w:kern w:val="2"/>
          <w:szCs w:val="24"/>
        </w:rPr>
        <w:t>从环境保护的角度，三种工艺的环保优缺点相差不大。从经济技术角度，本项目在规模上属于中小型天然气液化装置，综合考虑上述各种</w:t>
      </w:r>
      <w:r w:rsidRPr="008A2411">
        <w:rPr>
          <w:rFonts w:ascii="Times New Roman"/>
          <w:b/>
          <w:bCs/>
          <w:color w:val="000000" w:themeColor="text1"/>
          <w:kern w:val="2"/>
          <w:szCs w:val="24"/>
        </w:rPr>
        <w:t>MRC</w:t>
      </w:r>
      <w:r w:rsidRPr="008A2411">
        <w:rPr>
          <w:rFonts w:ascii="Times New Roman"/>
          <w:b/>
          <w:bCs/>
          <w:color w:val="000000" w:themeColor="text1"/>
          <w:kern w:val="2"/>
          <w:szCs w:val="24"/>
        </w:rPr>
        <w:t>工艺的优缺点后，本项目采用改良的单一混合冷剂制冷工艺。该工艺在国内同规模液化工厂以及本项目一期工程的生产运行中已经得到了很好的检验，很适合应用于本项目的液化天然气装置。</w:t>
      </w:r>
    </w:p>
    <w:p w14:paraId="28853916" w14:textId="77777777" w:rsidR="00B0005F" w:rsidRPr="008A2411" w:rsidRDefault="00000000">
      <w:pPr>
        <w:pStyle w:val="WJ3"/>
        <w:spacing w:line="360" w:lineRule="auto"/>
        <w:outlineLvl w:val="9"/>
        <w:rPr>
          <w:rFonts w:ascii="Times New Roman" w:hAnsi="Times New Roman"/>
          <w:color w:val="000000" w:themeColor="text1"/>
        </w:rPr>
      </w:pPr>
      <w:r w:rsidRPr="008A2411">
        <w:rPr>
          <w:rFonts w:ascii="Times New Roman" w:hAnsi="Times New Roman"/>
          <w:color w:val="000000" w:themeColor="text1"/>
        </w:rPr>
        <w:t>3.2.2.2</w:t>
      </w:r>
      <w:r w:rsidRPr="008A2411">
        <w:rPr>
          <w:rFonts w:ascii="Times New Roman" w:hAnsi="Times New Roman"/>
          <w:color w:val="000000" w:themeColor="text1"/>
        </w:rPr>
        <w:t>生产流程</w:t>
      </w:r>
      <w:proofErr w:type="gramStart"/>
      <w:r w:rsidRPr="008A2411">
        <w:rPr>
          <w:rFonts w:ascii="Times New Roman" w:hAnsi="Times New Roman"/>
          <w:color w:val="000000" w:themeColor="text1"/>
        </w:rPr>
        <w:t>及产污分析</w:t>
      </w:r>
      <w:proofErr w:type="gramEnd"/>
    </w:p>
    <w:p w14:paraId="19EBC987" w14:textId="77777777" w:rsidR="00B0005F" w:rsidRPr="008A2411" w:rsidRDefault="00000000">
      <w:pPr>
        <w:pStyle w:val="afffffffffffff7"/>
        <w:adjustRightInd w:val="0"/>
        <w:snapToGrid w:val="0"/>
        <w:ind w:firstLine="482"/>
        <w:rPr>
          <w:b/>
          <w:color w:val="000000" w:themeColor="text1"/>
          <w:sz w:val="24"/>
          <w:szCs w:val="24"/>
        </w:rPr>
      </w:pPr>
      <w:r w:rsidRPr="008A2411">
        <w:rPr>
          <w:b/>
          <w:color w:val="000000" w:themeColor="text1"/>
          <w:sz w:val="24"/>
          <w:szCs w:val="24"/>
        </w:rPr>
        <w:t>1</w:t>
      </w:r>
      <w:r w:rsidRPr="008A2411">
        <w:rPr>
          <w:b/>
          <w:color w:val="000000" w:themeColor="text1"/>
          <w:sz w:val="24"/>
          <w:szCs w:val="24"/>
        </w:rPr>
        <w:t>、净化工艺</w:t>
      </w:r>
    </w:p>
    <w:p w14:paraId="059EECEE" w14:textId="77777777" w:rsidR="00B0005F" w:rsidRPr="008A2411" w:rsidRDefault="00000000">
      <w:pPr>
        <w:pStyle w:val="afffffffffffff7"/>
        <w:adjustRightInd w:val="0"/>
        <w:snapToGrid w:val="0"/>
        <w:ind w:firstLine="482"/>
        <w:rPr>
          <w:b/>
          <w:color w:val="000000" w:themeColor="text1"/>
          <w:sz w:val="24"/>
          <w:szCs w:val="24"/>
        </w:rPr>
      </w:pPr>
      <w:r w:rsidRPr="008A2411">
        <w:rPr>
          <w:b/>
          <w:color w:val="000000" w:themeColor="text1"/>
          <w:sz w:val="24"/>
          <w:szCs w:val="24"/>
        </w:rPr>
        <w:t>（</w:t>
      </w:r>
      <w:r w:rsidRPr="008A2411">
        <w:rPr>
          <w:b/>
          <w:color w:val="000000" w:themeColor="text1"/>
          <w:sz w:val="24"/>
          <w:szCs w:val="24"/>
        </w:rPr>
        <w:t>1</w:t>
      </w:r>
      <w:r w:rsidRPr="008A2411">
        <w:rPr>
          <w:b/>
          <w:color w:val="000000" w:themeColor="text1"/>
          <w:sz w:val="24"/>
          <w:szCs w:val="24"/>
        </w:rPr>
        <w:t>）原料气分离</w:t>
      </w:r>
    </w:p>
    <w:p w14:paraId="3CF4125F" w14:textId="77777777" w:rsidR="00B0005F" w:rsidRPr="008A2411" w:rsidRDefault="00000000">
      <w:pPr>
        <w:pStyle w:val="afffffffffffff7"/>
        <w:ind w:firstLine="480"/>
        <w:rPr>
          <w:color w:val="000000" w:themeColor="text1"/>
          <w:sz w:val="24"/>
          <w:szCs w:val="24"/>
        </w:rPr>
      </w:pPr>
      <w:r w:rsidRPr="008A2411">
        <w:rPr>
          <w:color w:val="000000" w:themeColor="text1"/>
          <w:sz w:val="24"/>
          <w:szCs w:val="24"/>
        </w:rPr>
        <w:t>为了使后续净化、液化单元能够平稳运转，在原料天然气自界区进入装置前进行调压，以稳定其压力，进入本装置后首先经过系统设置的原料气过滤分离器，除去原料气中可能携带的液体和固体杂质。分离后的液体进入废水储罐，以避免液体带入净化单元，对吸收溶剂的污染，过滤分离后的天然气经流量计准确计量后进入</w:t>
      </w:r>
      <w:r w:rsidRPr="008A2411">
        <w:rPr>
          <w:color w:val="000000" w:themeColor="text1"/>
          <w:kern w:val="0"/>
          <w:sz w:val="24"/>
          <w:szCs w:val="24"/>
        </w:rPr>
        <w:t>脱</w:t>
      </w:r>
      <w:r w:rsidRPr="008A2411">
        <w:rPr>
          <w:color w:val="000000" w:themeColor="text1"/>
          <w:kern w:val="0"/>
          <w:sz w:val="24"/>
          <w:szCs w:val="24"/>
        </w:rPr>
        <w:t>CO</w:t>
      </w:r>
      <w:r w:rsidRPr="008A2411">
        <w:rPr>
          <w:color w:val="000000" w:themeColor="text1"/>
          <w:kern w:val="0"/>
          <w:sz w:val="24"/>
          <w:szCs w:val="24"/>
          <w:vertAlign w:val="subscript"/>
        </w:rPr>
        <w:t>2</w:t>
      </w:r>
      <w:r w:rsidRPr="008A2411">
        <w:rPr>
          <w:color w:val="000000" w:themeColor="text1"/>
          <w:kern w:val="0"/>
          <w:sz w:val="24"/>
          <w:szCs w:val="24"/>
        </w:rPr>
        <w:t>单元。</w:t>
      </w:r>
    </w:p>
    <w:p w14:paraId="70EB535A" w14:textId="77777777" w:rsidR="00B0005F" w:rsidRPr="008A2411" w:rsidRDefault="00000000">
      <w:pPr>
        <w:pStyle w:val="afffffffffffff7"/>
        <w:ind w:firstLine="482"/>
        <w:rPr>
          <w:b/>
          <w:color w:val="000000" w:themeColor="text1"/>
          <w:sz w:val="24"/>
          <w:szCs w:val="24"/>
        </w:rPr>
      </w:pPr>
      <w:r w:rsidRPr="008A2411">
        <w:rPr>
          <w:b/>
          <w:color w:val="000000" w:themeColor="text1"/>
          <w:sz w:val="24"/>
          <w:szCs w:val="24"/>
        </w:rPr>
        <w:t>（</w:t>
      </w:r>
      <w:r w:rsidRPr="008A2411">
        <w:rPr>
          <w:b/>
          <w:color w:val="000000" w:themeColor="text1"/>
          <w:sz w:val="24"/>
          <w:szCs w:val="24"/>
        </w:rPr>
        <w:t>2</w:t>
      </w:r>
      <w:r w:rsidRPr="008A2411">
        <w:rPr>
          <w:b/>
          <w:color w:val="000000" w:themeColor="text1"/>
          <w:sz w:val="24"/>
          <w:szCs w:val="24"/>
        </w:rPr>
        <w:t>）</w:t>
      </w:r>
      <w:r w:rsidRPr="008A2411">
        <w:rPr>
          <w:b/>
          <w:color w:val="000000" w:themeColor="text1"/>
          <w:sz w:val="24"/>
          <w:szCs w:val="24"/>
        </w:rPr>
        <w:t>MDEA</w:t>
      </w:r>
      <w:proofErr w:type="gramStart"/>
      <w:r w:rsidRPr="008A2411">
        <w:rPr>
          <w:b/>
          <w:color w:val="000000" w:themeColor="text1"/>
          <w:sz w:val="24"/>
          <w:szCs w:val="24"/>
        </w:rPr>
        <w:t>法脱</w:t>
      </w:r>
      <w:proofErr w:type="gramEnd"/>
      <w:r w:rsidRPr="008A2411">
        <w:rPr>
          <w:b/>
          <w:color w:val="000000" w:themeColor="text1"/>
          <w:sz w:val="24"/>
          <w:szCs w:val="24"/>
        </w:rPr>
        <w:t>CO</w:t>
      </w:r>
      <w:r w:rsidRPr="008A2411">
        <w:rPr>
          <w:b/>
          <w:color w:val="000000" w:themeColor="text1"/>
          <w:sz w:val="24"/>
          <w:szCs w:val="24"/>
          <w:vertAlign w:val="subscript"/>
        </w:rPr>
        <w:t>2</w:t>
      </w:r>
    </w:p>
    <w:p w14:paraId="0EE998D0" w14:textId="77777777" w:rsidR="00B0005F" w:rsidRPr="008A2411" w:rsidRDefault="00000000">
      <w:pPr>
        <w:widowControl/>
        <w:adjustRightInd w:val="0"/>
        <w:snapToGrid w:val="0"/>
        <w:spacing w:line="360" w:lineRule="auto"/>
        <w:ind w:firstLineChars="200" w:firstLine="480"/>
        <w:jc w:val="left"/>
        <w:rPr>
          <w:rFonts w:ascii="Times New Roman"/>
          <w:color w:val="000000" w:themeColor="text1"/>
          <w:kern w:val="2"/>
          <w:szCs w:val="24"/>
        </w:rPr>
      </w:pPr>
      <w:r w:rsidRPr="008A2411">
        <w:rPr>
          <w:rFonts w:ascii="Times New Roman"/>
          <w:color w:val="000000" w:themeColor="text1"/>
          <w:kern w:val="2"/>
          <w:szCs w:val="24"/>
        </w:rPr>
        <w:t>经稳压、过滤后的天然气从</w:t>
      </w:r>
      <w:r w:rsidRPr="008A2411">
        <w:rPr>
          <w:rFonts w:ascii="Times New Roman"/>
          <w:color w:val="000000" w:themeColor="text1"/>
          <w:kern w:val="2"/>
          <w:szCs w:val="24"/>
        </w:rPr>
        <w:t>CO</w:t>
      </w:r>
      <w:r w:rsidRPr="008A2411">
        <w:rPr>
          <w:rFonts w:ascii="Times New Roman"/>
          <w:color w:val="000000" w:themeColor="text1"/>
          <w:kern w:val="2"/>
          <w:szCs w:val="24"/>
          <w:vertAlign w:val="subscript"/>
        </w:rPr>
        <w:t>2</w:t>
      </w:r>
      <w:r w:rsidRPr="008A2411">
        <w:rPr>
          <w:rFonts w:ascii="Times New Roman"/>
          <w:color w:val="000000" w:themeColor="text1"/>
          <w:kern w:val="2"/>
          <w:szCs w:val="24"/>
        </w:rPr>
        <w:t>吸收塔的下部进入，自下而上通过吸收塔；再生后的复合</w:t>
      </w:r>
      <w:proofErr w:type="gramStart"/>
      <w:r w:rsidRPr="008A2411">
        <w:rPr>
          <w:rFonts w:ascii="Times New Roman"/>
          <w:color w:val="000000" w:themeColor="text1"/>
          <w:kern w:val="2"/>
          <w:szCs w:val="24"/>
        </w:rPr>
        <w:t>胺</w:t>
      </w:r>
      <w:proofErr w:type="gramEnd"/>
      <w:r w:rsidRPr="008A2411">
        <w:rPr>
          <w:rFonts w:ascii="Times New Roman"/>
          <w:color w:val="000000" w:themeColor="text1"/>
          <w:kern w:val="2"/>
          <w:szCs w:val="24"/>
        </w:rPr>
        <w:t>溶液（贫液）从</w:t>
      </w:r>
      <w:r w:rsidRPr="008A2411">
        <w:rPr>
          <w:rFonts w:ascii="Times New Roman"/>
          <w:color w:val="000000" w:themeColor="text1"/>
          <w:kern w:val="2"/>
          <w:szCs w:val="24"/>
        </w:rPr>
        <w:t>CO</w:t>
      </w:r>
      <w:r w:rsidRPr="008A2411">
        <w:rPr>
          <w:rFonts w:ascii="Times New Roman"/>
          <w:color w:val="000000" w:themeColor="text1"/>
          <w:kern w:val="2"/>
          <w:szCs w:val="24"/>
          <w:vertAlign w:val="subscript"/>
        </w:rPr>
        <w:t>2</w:t>
      </w:r>
      <w:r w:rsidRPr="008A2411">
        <w:rPr>
          <w:rFonts w:ascii="Times New Roman"/>
          <w:color w:val="000000" w:themeColor="text1"/>
          <w:kern w:val="2"/>
          <w:szCs w:val="24"/>
        </w:rPr>
        <w:t>吸收塔上部进入，自上而下通过吸收塔，逆向流动的复合</w:t>
      </w:r>
      <w:proofErr w:type="gramStart"/>
      <w:r w:rsidRPr="008A2411">
        <w:rPr>
          <w:rFonts w:ascii="Times New Roman"/>
          <w:color w:val="000000" w:themeColor="text1"/>
          <w:kern w:val="2"/>
          <w:szCs w:val="24"/>
        </w:rPr>
        <w:t>胺</w:t>
      </w:r>
      <w:proofErr w:type="gramEnd"/>
      <w:r w:rsidRPr="008A2411">
        <w:rPr>
          <w:rFonts w:ascii="Times New Roman"/>
          <w:color w:val="000000" w:themeColor="text1"/>
          <w:kern w:val="2"/>
          <w:szCs w:val="24"/>
        </w:rPr>
        <w:t>溶液和天然气在吸收塔内充分接触，原料气中的</w:t>
      </w:r>
      <w:r w:rsidRPr="008A2411">
        <w:rPr>
          <w:rFonts w:ascii="Times New Roman"/>
          <w:color w:val="000000" w:themeColor="text1"/>
          <w:kern w:val="2"/>
          <w:szCs w:val="24"/>
        </w:rPr>
        <w:t>CO</w:t>
      </w:r>
      <w:r w:rsidRPr="008A2411">
        <w:rPr>
          <w:rFonts w:ascii="Times New Roman"/>
          <w:color w:val="000000" w:themeColor="text1"/>
          <w:kern w:val="2"/>
          <w:szCs w:val="24"/>
          <w:vertAlign w:val="subscript"/>
        </w:rPr>
        <w:t>2</w:t>
      </w:r>
      <w:r w:rsidRPr="008A2411">
        <w:rPr>
          <w:rFonts w:ascii="Times New Roman"/>
          <w:color w:val="000000" w:themeColor="text1"/>
          <w:kern w:val="2"/>
          <w:szCs w:val="24"/>
        </w:rPr>
        <w:t>被吸收而进入液相，未被吸收的组份从吸收塔顶部引出，进入吸收塔顶冷却器，将温度降至</w:t>
      </w:r>
      <w:r w:rsidRPr="008A2411">
        <w:rPr>
          <w:rFonts w:ascii="Times New Roman"/>
          <w:color w:val="000000" w:themeColor="text1"/>
          <w:kern w:val="2"/>
          <w:szCs w:val="24"/>
        </w:rPr>
        <w:t>≤40℃</w:t>
      </w:r>
      <w:r w:rsidRPr="008A2411">
        <w:rPr>
          <w:rFonts w:ascii="Times New Roman"/>
          <w:color w:val="000000" w:themeColor="text1"/>
          <w:kern w:val="2"/>
          <w:szCs w:val="24"/>
        </w:rPr>
        <w:t>，分别经塔顶气液分离器和过滤器后，进入下游工序，冷凝液</w:t>
      </w:r>
      <w:proofErr w:type="gramStart"/>
      <w:r w:rsidRPr="008A2411">
        <w:rPr>
          <w:rFonts w:ascii="Times New Roman"/>
          <w:color w:val="000000" w:themeColor="text1"/>
          <w:kern w:val="2"/>
          <w:szCs w:val="24"/>
        </w:rPr>
        <w:t>去胺液闪蒸</w:t>
      </w:r>
      <w:proofErr w:type="gramEnd"/>
      <w:r w:rsidRPr="008A2411">
        <w:rPr>
          <w:rFonts w:ascii="Times New Roman"/>
          <w:color w:val="000000" w:themeColor="text1"/>
          <w:kern w:val="2"/>
          <w:szCs w:val="24"/>
        </w:rPr>
        <w:t>罐。</w:t>
      </w:r>
    </w:p>
    <w:p w14:paraId="32981371" w14:textId="77777777" w:rsidR="00B0005F" w:rsidRPr="008A2411" w:rsidRDefault="00000000">
      <w:pPr>
        <w:widowControl/>
        <w:adjustRightInd w:val="0"/>
        <w:snapToGrid w:val="0"/>
        <w:spacing w:line="360" w:lineRule="auto"/>
        <w:ind w:firstLineChars="200" w:firstLine="480"/>
        <w:jc w:val="left"/>
        <w:rPr>
          <w:rFonts w:ascii="Times New Roman"/>
          <w:color w:val="000000" w:themeColor="text1"/>
          <w:kern w:val="2"/>
          <w:szCs w:val="24"/>
        </w:rPr>
      </w:pPr>
      <w:r w:rsidRPr="008A2411">
        <w:rPr>
          <w:rFonts w:ascii="Times New Roman"/>
          <w:color w:val="000000" w:themeColor="text1"/>
          <w:kern w:val="2"/>
          <w:szCs w:val="24"/>
        </w:rPr>
        <w:t>吸收</w:t>
      </w:r>
      <w:r w:rsidRPr="008A2411">
        <w:rPr>
          <w:rFonts w:ascii="Times New Roman"/>
          <w:color w:val="000000" w:themeColor="text1"/>
          <w:kern w:val="2"/>
          <w:szCs w:val="24"/>
        </w:rPr>
        <w:t>CO</w:t>
      </w:r>
      <w:r w:rsidRPr="008A2411">
        <w:rPr>
          <w:rFonts w:ascii="Times New Roman"/>
          <w:color w:val="000000" w:themeColor="text1"/>
          <w:kern w:val="2"/>
          <w:szCs w:val="24"/>
          <w:vertAlign w:val="subscript"/>
        </w:rPr>
        <w:t>2</w:t>
      </w:r>
      <w:r w:rsidRPr="008A2411">
        <w:rPr>
          <w:rFonts w:ascii="Times New Roman"/>
          <w:color w:val="000000" w:themeColor="text1"/>
          <w:kern w:val="2"/>
          <w:szCs w:val="24"/>
        </w:rPr>
        <w:t>的复合</w:t>
      </w:r>
      <w:proofErr w:type="gramStart"/>
      <w:r w:rsidRPr="008A2411">
        <w:rPr>
          <w:rFonts w:ascii="Times New Roman"/>
          <w:color w:val="000000" w:themeColor="text1"/>
          <w:kern w:val="2"/>
          <w:szCs w:val="24"/>
        </w:rPr>
        <w:t>胺</w:t>
      </w:r>
      <w:proofErr w:type="gramEnd"/>
      <w:r w:rsidRPr="008A2411">
        <w:rPr>
          <w:rFonts w:ascii="Times New Roman"/>
          <w:color w:val="000000" w:themeColor="text1"/>
          <w:kern w:val="2"/>
          <w:szCs w:val="24"/>
        </w:rPr>
        <w:t>溶液称富液，从吸收塔底部出来后，节流降压进入溶液闪蒸罐，将溶液中溶解的部分甲烷和</w:t>
      </w:r>
      <w:r w:rsidRPr="008A2411">
        <w:rPr>
          <w:rFonts w:ascii="Times New Roman"/>
          <w:color w:val="000000" w:themeColor="text1"/>
          <w:kern w:val="2"/>
          <w:szCs w:val="24"/>
        </w:rPr>
        <w:t>CO</w:t>
      </w:r>
      <w:r w:rsidRPr="008A2411">
        <w:rPr>
          <w:rFonts w:ascii="Times New Roman"/>
          <w:color w:val="000000" w:themeColor="text1"/>
          <w:kern w:val="2"/>
          <w:szCs w:val="24"/>
          <w:vertAlign w:val="subscript"/>
        </w:rPr>
        <w:t>2</w:t>
      </w:r>
      <w:r w:rsidRPr="008A2411">
        <w:rPr>
          <w:rFonts w:ascii="Times New Roman"/>
          <w:color w:val="000000" w:themeColor="text1"/>
          <w:kern w:val="2"/>
          <w:szCs w:val="24"/>
        </w:rPr>
        <w:t>闪蒸出来。溶液闪蒸罐底部的溶液（富液）在贫富液换热器中与再生塔底部流出的溶液（贫液）换热后，升温到～</w:t>
      </w:r>
      <w:r w:rsidRPr="008A2411">
        <w:rPr>
          <w:rFonts w:ascii="Times New Roman"/>
          <w:color w:val="000000" w:themeColor="text1"/>
          <w:kern w:val="2"/>
          <w:szCs w:val="24"/>
        </w:rPr>
        <w:t>99℃</w:t>
      </w:r>
      <w:r w:rsidRPr="008A2411">
        <w:rPr>
          <w:rFonts w:ascii="Times New Roman"/>
          <w:color w:val="000000" w:themeColor="text1"/>
          <w:kern w:val="2"/>
          <w:szCs w:val="24"/>
        </w:rPr>
        <w:t>去再生塔上部，在再生塔中进行汽提再生，直至富液再生变成贫液。</w:t>
      </w:r>
    </w:p>
    <w:p w14:paraId="0F2EB284" w14:textId="77777777" w:rsidR="00B0005F" w:rsidRPr="008A2411" w:rsidRDefault="00000000">
      <w:pPr>
        <w:widowControl/>
        <w:adjustRightInd w:val="0"/>
        <w:snapToGrid w:val="0"/>
        <w:spacing w:line="360" w:lineRule="auto"/>
        <w:ind w:firstLineChars="200" w:firstLine="480"/>
        <w:jc w:val="left"/>
        <w:rPr>
          <w:rFonts w:ascii="Times New Roman"/>
          <w:color w:val="000000" w:themeColor="text1"/>
          <w:kern w:val="2"/>
          <w:szCs w:val="24"/>
        </w:rPr>
      </w:pPr>
      <w:r w:rsidRPr="008A2411">
        <w:rPr>
          <w:rFonts w:ascii="Times New Roman"/>
          <w:color w:val="000000" w:themeColor="text1"/>
          <w:kern w:val="2"/>
          <w:szCs w:val="24"/>
        </w:rPr>
        <w:lastRenderedPageBreak/>
        <w:t>出再生塔的贫液经过贫富液换热器预冷后通过贫液泵加压并经贫液冷却器进一步冷却后从吸收塔上部进入，</w:t>
      </w:r>
      <w:proofErr w:type="gramStart"/>
      <w:r w:rsidRPr="008A2411">
        <w:rPr>
          <w:rFonts w:ascii="Times New Roman"/>
          <w:color w:val="000000" w:themeColor="text1"/>
          <w:kern w:val="2"/>
          <w:szCs w:val="24"/>
        </w:rPr>
        <w:t>完成胺液循环</w:t>
      </w:r>
      <w:proofErr w:type="gramEnd"/>
      <w:r w:rsidRPr="008A2411">
        <w:rPr>
          <w:rFonts w:ascii="Times New Roman"/>
          <w:color w:val="000000" w:themeColor="text1"/>
          <w:kern w:val="2"/>
          <w:szCs w:val="24"/>
        </w:rPr>
        <w:t>。贫液</w:t>
      </w:r>
      <w:proofErr w:type="gramStart"/>
      <w:r w:rsidRPr="008A2411">
        <w:rPr>
          <w:rFonts w:ascii="Times New Roman"/>
          <w:color w:val="000000" w:themeColor="text1"/>
          <w:kern w:val="2"/>
          <w:szCs w:val="24"/>
        </w:rPr>
        <w:t>泵出口</w:t>
      </w:r>
      <w:proofErr w:type="gramEnd"/>
      <w:r w:rsidRPr="008A2411">
        <w:rPr>
          <w:rFonts w:ascii="Times New Roman"/>
          <w:color w:val="000000" w:themeColor="text1"/>
          <w:kern w:val="2"/>
          <w:szCs w:val="24"/>
        </w:rPr>
        <w:t>约有</w:t>
      </w:r>
      <w:r w:rsidRPr="008A2411">
        <w:rPr>
          <w:rFonts w:ascii="Times New Roman"/>
          <w:color w:val="000000" w:themeColor="text1"/>
          <w:kern w:val="2"/>
          <w:szCs w:val="24"/>
        </w:rPr>
        <w:t>1/10</w:t>
      </w:r>
      <w:r w:rsidRPr="008A2411">
        <w:rPr>
          <w:rFonts w:ascii="Times New Roman"/>
          <w:color w:val="000000" w:themeColor="text1"/>
          <w:kern w:val="2"/>
          <w:szCs w:val="24"/>
        </w:rPr>
        <w:t>的量被分流到溶液过滤器中，过滤掉溶液中的杂质。</w:t>
      </w:r>
    </w:p>
    <w:p w14:paraId="0D832AFA" w14:textId="77777777" w:rsidR="00B0005F" w:rsidRPr="008A2411" w:rsidRDefault="00000000">
      <w:pPr>
        <w:widowControl/>
        <w:adjustRightInd w:val="0"/>
        <w:snapToGrid w:val="0"/>
        <w:spacing w:line="360" w:lineRule="auto"/>
        <w:ind w:firstLineChars="200" w:firstLine="480"/>
        <w:jc w:val="left"/>
        <w:rPr>
          <w:rFonts w:ascii="Times New Roman"/>
          <w:color w:val="000000" w:themeColor="text1"/>
          <w:kern w:val="2"/>
          <w:szCs w:val="24"/>
        </w:rPr>
      </w:pPr>
      <w:r w:rsidRPr="008A2411">
        <w:rPr>
          <w:rFonts w:ascii="Times New Roman"/>
          <w:color w:val="000000" w:themeColor="text1"/>
          <w:kern w:val="2"/>
          <w:szCs w:val="24"/>
        </w:rPr>
        <w:t>再生塔顶部出口酸性气体经冷却器，进入</w:t>
      </w:r>
      <w:r w:rsidRPr="008A2411">
        <w:rPr>
          <w:rFonts w:ascii="Times New Roman"/>
          <w:color w:val="000000" w:themeColor="text1"/>
          <w:kern w:val="2"/>
          <w:szCs w:val="24"/>
        </w:rPr>
        <w:t>CO</w:t>
      </w:r>
      <w:r w:rsidRPr="008A2411">
        <w:rPr>
          <w:rFonts w:ascii="Times New Roman"/>
          <w:color w:val="000000" w:themeColor="text1"/>
          <w:kern w:val="2"/>
          <w:szCs w:val="24"/>
          <w:vertAlign w:val="subscript"/>
        </w:rPr>
        <w:t>2</w:t>
      </w:r>
      <w:r w:rsidRPr="008A2411">
        <w:rPr>
          <w:rFonts w:ascii="Times New Roman"/>
          <w:color w:val="000000" w:themeColor="text1"/>
          <w:kern w:val="2"/>
          <w:szCs w:val="24"/>
        </w:rPr>
        <w:t>气液分离罐，出</w:t>
      </w:r>
      <w:r w:rsidRPr="008A2411">
        <w:rPr>
          <w:rFonts w:ascii="Times New Roman"/>
          <w:color w:val="000000" w:themeColor="text1"/>
          <w:kern w:val="2"/>
          <w:szCs w:val="24"/>
        </w:rPr>
        <w:t>CO</w:t>
      </w:r>
      <w:r w:rsidRPr="008A2411">
        <w:rPr>
          <w:rFonts w:ascii="Times New Roman"/>
          <w:color w:val="000000" w:themeColor="text1"/>
          <w:kern w:val="2"/>
          <w:szCs w:val="24"/>
          <w:vertAlign w:val="subscript"/>
        </w:rPr>
        <w:t>2</w:t>
      </w:r>
      <w:r w:rsidRPr="008A2411">
        <w:rPr>
          <w:rFonts w:ascii="Times New Roman"/>
          <w:color w:val="000000" w:themeColor="text1"/>
          <w:kern w:val="2"/>
          <w:szCs w:val="24"/>
        </w:rPr>
        <w:t>气液分离罐的气体经</w:t>
      </w:r>
      <w:r w:rsidRPr="008A2411">
        <w:rPr>
          <w:rFonts w:ascii="Times New Roman"/>
          <w:color w:val="000000" w:themeColor="text1"/>
          <w:kern w:val="2"/>
          <w:szCs w:val="24"/>
        </w:rPr>
        <w:t>H</w:t>
      </w:r>
      <w:r w:rsidRPr="008A2411">
        <w:rPr>
          <w:rFonts w:ascii="Times New Roman"/>
          <w:color w:val="000000" w:themeColor="text1"/>
          <w:kern w:val="2"/>
          <w:szCs w:val="24"/>
          <w:vertAlign w:val="subscript"/>
        </w:rPr>
        <w:t>2</w:t>
      </w:r>
      <w:r w:rsidRPr="008A2411">
        <w:rPr>
          <w:rFonts w:ascii="Times New Roman"/>
          <w:color w:val="000000" w:themeColor="text1"/>
          <w:kern w:val="2"/>
          <w:szCs w:val="24"/>
        </w:rPr>
        <w:t>S</w:t>
      </w:r>
      <w:r w:rsidRPr="008A2411">
        <w:rPr>
          <w:rFonts w:ascii="Times New Roman"/>
          <w:color w:val="000000" w:themeColor="text1"/>
          <w:kern w:val="2"/>
          <w:szCs w:val="24"/>
        </w:rPr>
        <w:t>脱除塔吸附掉其中的</w:t>
      </w:r>
      <w:r w:rsidRPr="008A2411">
        <w:rPr>
          <w:rFonts w:ascii="Times New Roman"/>
          <w:color w:val="000000" w:themeColor="text1"/>
          <w:kern w:val="2"/>
          <w:szCs w:val="24"/>
        </w:rPr>
        <w:t>H</w:t>
      </w:r>
      <w:r w:rsidRPr="008A2411">
        <w:rPr>
          <w:rFonts w:ascii="Times New Roman"/>
          <w:color w:val="000000" w:themeColor="text1"/>
          <w:kern w:val="2"/>
          <w:szCs w:val="24"/>
          <w:vertAlign w:val="subscript"/>
        </w:rPr>
        <w:t>2</w:t>
      </w:r>
      <w:r w:rsidRPr="008A2411">
        <w:rPr>
          <w:rFonts w:ascii="Times New Roman"/>
          <w:color w:val="000000" w:themeColor="text1"/>
          <w:kern w:val="2"/>
          <w:szCs w:val="24"/>
        </w:rPr>
        <w:t>S</w:t>
      </w:r>
      <w:r w:rsidRPr="008A2411">
        <w:rPr>
          <w:rFonts w:ascii="Times New Roman"/>
          <w:color w:val="000000" w:themeColor="text1"/>
          <w:kern w:val="2"/>
          <w:szCs w:val="24"/>
        </w:rPr>
        <w:t>等气体后排放，冷凝液经回收泵打入溶液闪蒸罐。</w:t>
      </w:r>
    </w:p>
    <w:p w14:paraId="7C14750F" w14:textId="77777777" w:rsidR="00B0005F" w:rsidRPr="008A2411" w:rsidRDefault="00000000">
      <w:pPr>
        <w:widowControl/>
        <w:adjustRightInd w:val="0"/>
        <w:snapToGrid w:val="0"/>
        <w:spacing w:line="360" w:lineRule="auto"/>
        <w:ind w:firstLineChars="200" w:firstLine="480"/>
        <w:jc w:val="left"/>
        <w:rPr>
          <w:rFonts w:ascii="Times New Roman"/>
          <w:color w:val="000000" w:themeColor="text1"/>
          <w:kern w:val="2"/>
          <w:szCs w:val="24"/>
        </w:rPr>
      </w:pPr>
      <w:r w:rsidRPr="008A2411">
        <w:rPr>
          <w:rFonts w:ascii="Times New Roman"/>
          <w:color w:val="000000" w:themeColor="text1"/>
          <w:kern w:val="2"/>
          <w:szCs w:val="24"/>
        </w:rPr>
        <w:t>再沸器的热量由系统设置的导热油炉低温导热油提供。</w:t>
      </w:r>
      <w:r w:rsidRPr="008A2411">
        <w:rPr>
          <w:rFonts w:ascii="Times New Roman"/>
          <w:color w:val="000000" w:themeColor="text1"/>
          <w:kern w:val="2"/>
          <w:szCs w:val="24"/>
        </w:rPr>
        <w:t xml:space="preserve"> </w:t>
      </w:r>
    </w:p>
    <w:p w14:paraId="37DBC227" w14:textId="77777777" w:rsidR="00B0005F" w:rsidRPr="008A2411" w:rsidRDefault="00000000">
      <w:pPr>
        <w:widowControl/>
        <w:adjustRightInd w:val="0"/>
        <w:snapToGrid w:val="0"/>
        <w:spacing w:line="360" w:lineRule="auto"/>
        <w:ind w:firstLineChars="200" w:firstLine="480"/>
        <w:jc w:val="left"/>
        <w:rPr>
          <w:rFonts w:ascii="Times New Roman"/>
          <w:color w:val="000000" w:themeColor="text1"/>
          <w:kern w:val="2"/>
          <w:szCs w:val="24"/>
        </w:rPr>
      </w:pPr>
      <w:r w:rsidRPr="008A2411">
        <w:rPr>
          <w:rFonts w:ascii="Times New Roman"/>
          <w:color w:val="000000" w:themeColor="text1"/>
          <w:kern w:val="2"/>
          <w:szCs w:val="24"/>
        </w:rPr>
        <w:t>为防止</w:t>
      </w:r>
      <w:r w:rsidRPr="008A2411">
        <w:rPr>
          <w:rFonts w:ascii="Times New Roman"/>
          <w:color w:val="000000" w:themeColor="text1"/>
          <w:kern w:val="2"/>
          <w:szCs w:val="24"/>
        </w:rPr>
        <w:t>MDEA</w:t>
      </w:r>
      <w:r w:rsidRPr="008A2411">
        <w:rPr>
          <w:rFonts w:ascii="Times New Roman"/>
          <w:color w:val="000000" w:themeColor="text1"/>
          <w:kern w:val="2"/>
          <w:szCs w:val="24"/>
        </w:rPr>
        <w:t>溶液发泡，系统中需增加消泡剂补充设施。</w:t>
      </w:r>
      <w:r w:rsidRPr="008A2411">
        <w:rPr>
          <w:rFonts w:ascii="Times New Roman"/>
          <w:color w:val="000000" w:themeColor="text1"/>
          <w:kern w:val="2"/>
          <w:szCs w:val="24"/>
        </w:rPr>
        <w:t xml:space="preserve"> </w:t>
      </w:r>
    </w:p>
    <w:p w14:paraId="04B415D5" w14:textId="77777777" w:rsidR="00B0005F" w:rsidRPr="008A2411" w:rsidRDefault="00000000">
      <w:pPr>
        <w:widowControl/>
        <w:adjustRightInd w:val="0"/>
        <w:snapToGrid w:val="0"/>
        <w:spacing w:line="360" w:lineRule="auto"/>
        <w:ind w:firstLineChars="200" w:firstLine="480"/>
        <w:jc w:val="left"/>
        <w:rPr>
          <w:rFonts w:ascii="Times New Roman"/>
          <w:color w:val="000000" w:themeColor="text1"/>
          <w:kern w:val="2"/>
          <w:szCs w:val="24"/>
        </w:rPr>
      </w:pPr>
      <w:r w:rsidRPr="008A2411">
        <w:rPr>
          <w:rFonts w:ascii="Times New Roman"/>
          <w:color w:val="000000" w:themeColor="text1"/>
          <w:kern w:val="2"/>
          <w:szCs w:val="24"/>
        </w:rPr>
        <w:t>H</w:t>
      </w:r>
      <w:r w:rsidRPr="008A2411">
        <w:rPr>
          <w:rFonts w:ascii="Times New Roman"/>
          <w:color w:val="000000" w:themeColor="text1"/>
          <w:kern w:val="2"/>
          <w:szCs w:val="24"/>
          <w:vertAlign w:val="subscript"/>
        </w:rPr>
        <w:t>2</w:t>
      </w:r>
      <w:r w:rsidRPr="008A2411">
        <w:rPr>
          <w:rFonts w:ascii="Times New Roman"/>
          <w:color w:val="000000" w:themeColor="text1"/>
          <w:kern w:val="2"/>
          <w:szCs w:val="24"/>
        </w:rPr>
        <w:t>S</w:t>
      </w:r>
      <w:r w:rsidRPr="008A2411">
        <w:rPr>
          <w:rFonts w:ascii="Times New Roman"/>
          <w:color w:val="000000" w:themeColor="text1"/>
          <w:kern w:val="2"/>
          <w:szCs w:val="24"/>
        </w:rPr>
        <w:t>和部分硫醇等在该系统可以一并脱除。</w:t>
      </w:r>
    </w:p>
    <w:p w14:paraId="0BB640AF" w14:textId="77777777" w:rsidR="00B0005F" w:rsidRPr="008A2411" w:rsidRDefault="00000000">
      <w:pPr>
        <w:pStyle w:val="afffffffffffff7"/>
        <w:adjustRightInd w:val="0"/>
        <w:snapToGrid w:val="0"/>
        <w:ind w:firstLine="480"/>
        <w:rPr>
          <w:color w:val="000000" w:themeColor="text1"/>
          <w:sz w:val="24"/>
          <w:szCs w:val="24"/>
        </w:rPr>
      </w:pPr>
      <w:r w:rsidRPr="008A2411">
        <w:rPr>
          <w:color w:val="000000" w:themeColor="text1"/>
          <w:sz w:val="24"/>
          <w:szCs w:val="24"/>
        </w:rPr>
        <w:t>要求脱酸处理后天然气中</w:t>
      </w:r>
      <w:r w:rsidRPr="008A2411">
        <w:rPr>
          <w:color w:val="000000" w:themeColor="text1"/>
          <w:sz w:val="24"/>
          <w:szCs w:val="24"/>
        </w:rPr>
        <w:t>CO</w:t>
      </w:r>
      <w:r w:rsidRPr="008A2411">
        <w:rPr>
          <w:color w:val="000000" w:themeColor="text1"/>
          <w:sz w:val="24"/>
          <w:szCs w:val="24"/>
          <w:vertAlign w:val="subscript"/>
        </w:rPr>
        <w:t>2</w:t>
      </w:r>
      <w:r w:rsidRPr="008A2411">
        <w:rPr>
          <w:color w:val="000000" w:themeColor="text1"/>
          <w:sz w:val="24"/>
          <w:szCs w:val="24"/>
        </w:rPr>
        <w:t>含量</w:t>
      </w:r>
      <w:r w:rsidRPr="008A2411">
        <w:rPr>
          <w:color w:val="000000" w:themeColor="text1"/>
          <w:sz w:val="24"/>
          <w:szCs w:val="24"/>
        </w:rPr>
        <w:t>≤50ppm</w:t>
      </w:r>
      <w:r w:rsidRPr="008A2411">
        <w:rPr>
          <w:color w:val="000000" w:themeColor="text1"/>
          <w:sz w:val="24"/>
          <w:szCs w:val="24"/>
        </w:rPr>
        <w:t>，</w:t>
      </w:r>
      <w:r w:rsidRPr="008A2411">
        <w:rPr>
          <w:color w:val="000000" w:themeColor="text1"/>
          <w:sz w:val="24"/>
          <w:szCs w:val="24"/>
        </w:rPr>
        <w:t>H</w:t>
      </w:r>
      <w:r w:rsidRPr="008A2411">
        <w:rPr>
          <w:color w:val="000000" w:themeColor="text1"/>
          <w:sz w:val="24"/>
          <w:szCs w:val="24"/>
          <w:vertAlign w:val="subscript"/>
        </w:rPr>
        <w:t>2</w:t>
      </w:r>
      <w:r w:rsidRPr="008A2411">
        <w:rPr>
          <w:color w:val="000000" w:themeColor="text1"/>
          <w:sz w:val="24"/>
          <w:szCs w:val="24"/>
        </w:rPr>
        <w:t>S</w:t>
      </w:r>
      <w:r w:rsidRPr="008A2411">
        <w:rPr>
          <w:color w:val="000000" w:themeColor="text1"/>
          <w:sz w:val="24"/>
          <w:szCs w:val="24"/>
        </w:rPr>
        <w:t>含量</w:t>
      </w:r>
      <w:r w:rsidRPr="008A2411">
        <w:rPr>
          <w:color w:val="000000" w:themeColor="text1"/>
          <w:sz w:val="24"/>
          <w:szCs w:val="24"/>
        </w:rPr>
        <w:t>≤4ppm</w:t>
      </w:r>
      <w:r w:rsidRPr="008A2411">
        <w:rPr>
          <w:color w:val="000000" w:themeColor="text1"/>
          <w:sz w:val="24"/>
          <w:szCs w:val="24"/>
        </w:rPr>
        <w:t>。</w:t>
      </w:r>
    </w:p>
    <w:p w14:paraId="69DC24CE" w14:textId="77777777" w:rsidR="00B0005F" w:rsidRPr="008A2411" w:rsidRDefault="00000000">
      <w:pPr>
        <w:pStyle w:val="afffffffffffff7"/>
        <w:numPr>
          <w:ilvl w:val="0"/>
          <w:numId w:val="16"/>
        </w:numPr>
        <w:ind w:firstLine="482"/>
        <w:rPr>
          <w:b/>
          <w:color w:val="000000" w:themeColor="text1"/>
          <w:sz w:val="24"/>
          <w:szCs w:val="24"/>
          <w:lang w:eastAsia="en-US"/>
        </w:rPr>
      </w:pPr>
      <w:r w:rsidRPr="008A2411">
        <w:rPr>
          <w:b/>
          <w:color w:val="000000" w:themeColor="text1"/>
          <w:sz w:val="24"/>
          <w:szCs w:val="24"/>
        </w:rPr>
        <w:t>脱水</w:t>
      </w:r>
    </w:p>
    <w:p w14:paraId="3D7CEB9F" w14:textId="77777777" w:rsidR="00B0005F" w:rsidRPr="008A2411" w:rsidRDefault="00000000">
      <w:pPr>
        <w:widowControl/>
        <w:adjustRightInd w:val="0"/>
        <w:snapToGrid w:val="0"/>
        <w:spacing w:line="360" w:lineRule="auto"/>
        <w:ind w:firstLineChars="200" w:firstLine="480"/>
        <w:jc w:val="left"/>
        <w:rPr>
          <w:rFonts w:ascii="Times New Roman"/>
          <w:color w:val="000000" w:themeColor="text1"/>
          <w:kern w:val="2"/>
          <w:szCs w:val="24"/>
        </w:rPr>
      </w:pPr>
      <w:r w:rsidRPr="008A2411">
        <w:rPr>
          <w:rFonts w:ascii="Times New Roman"/>
          <w:color w:val="000000" w:themeColor="text1"/>
          <w:kern w:val="2"/>
          <w:szCs w:val="24"/>
        </w:rPr>
        <w:t>脱水单元采用等压干燥净化流程，再生所需的气源为工艺天然气，闭路循环。该工艺具有操作弹性大，易于强化操作。</w:t>
      </w:r>
    </w:p>
    <w:p w14:paraId="7C68051B" w14:textId="77777777" w:rsidR="00B0005F" w:rsidRPr="008A2411" w:rsidRDefault="00000000">
      <w:pPr>
        <w:widowControl/>
        <w:adjustRightInd w:val="0"/>
        <w:snapToGrid w:val="0"/>
        <w:spacing w:line="360" w:lineRule="auto"/>
        <w:ind w:firstLineChars="200" w:firstLine="480"/>
        <w:jc w:val="left"/>
        <w:rPr>
          <w:rFonts w:ascii="Times New Roman"/>
          <w:color w:val="000000" w:themeColor="text1"/>
          <w:kern w:val="2"/>
          <w:szCs w:val="24"/>
        </w:rPr>
      </w:pPr>
      <w:r w:rsidRPr="008A2411">
        <w:rPr>
          <w:rFonts w:ascii="Times New Roman"/>
          <w:color w:val="000000" w:themeColor="text1"/>
          <w:kern w:val="2"/>
          <w:szCs w:val="24"/>
        </w:rPr>
        <w:t>气体首先经流量调节回路分成两路。其中一路直接去干燥塔，其中装填的干燥剂将气体中的水分吸附下来，使气体得以干燥纯化。在一台干燥塔处于干燥的状态下，另一台干燥塔处于再生过程。</w:t>
      </w:r>
    </w:p>
    <w:p w14:paraId="3D98CE8D" w14:textId="77777777" w:rsidR="00B0005F" w:rsidRPr="008A2411" w:rsidRDefault="00000000">
      <w:pPr>
        <w:widowControl/>
        <w:adjustRightInd w:val="0"/>
        <w:snapToGrid w:val="0"/>
        <w:spacing w:line="360" w:lineRule="auto"/>
        <w:ind w:firstLineChars="200" w:firstLine="480"/>
        <w:jc w:val="left"/>
        <w:rPr>
          <w:rFonts w:ascii="Times New Roman"/>
          <w:color w:val="000000" w:themeColor="text1"/>
          <w:kern w:val="2"/>
          <w:szCs w:val="24"/>
        </w:rPr>
      </w:pPr>
      <w:r w:rsidRPr="008A2411">
        <w:rPr>
          <w:rFonts w:ascii="Times New Roman"/>
          <w:color w:val="000000" w:themeColor="text1"/>
          <w:kern w:val="2"/>
          <w:szCs w:val="24"/>
        </w:rPr>
        <w:t>干燥塔的再生过程包括加热再生和吹冷两个步骤。在加热再生过程中，另一路再生气首先对其中一台干燥塔进行吹冷，然后经脱水再生气加热器升温至</w:t>
      </w:r>
      <w:r w:rsidRPr="008A2411">
        <w:rPr>
          <w:rFonts w:ascii="Times New Roman"/>
          <w:color w:val="000000" w:themeColor="text1"/>
          <w:kern w:val="2"/>
          <w:szCs w:val="24"/>
        </w:rPr>
        <w:t>220℃</w:t>
      </w:r>
      <w:r w:rsidRPr="008A2411">
        <w:rPr>
          <w:rFonts w:ascii="Times New Roman"/>
          <w:color w:val="000000" w:themeColor="text1"/>
          <w:kern w:val="2"/>
          <w:szCs w:val="24"/>
        </w:rPr>
        <w:t>后冲洗需要再生的干燥塔，使吸附剂升温、其中的水分得以解吸出来，解吸气经冷却和分液后再与另一路气体混合，然后去处于干燥状态的干燥塔进行干燥。</w:t>
      </w:r>
    </w:p>
    <w:p w14:paraId="2A38C6E0" w14:textId="77777777" w:rsidR="00B0005F" w:rsidRPr="008A2411" w:rsidRDefault="00000000">
      <w:pPr>
        <w:widowControl/>
        <w:adjustRightInd w:val="0"/>
        <w:snapToGrid w:val="0"/>
        <w:spacing w:line="360" w:lineRule="auto"/>
        <w:ind w:firstLineChars="200" w:firstLine="480"/>
        <w:jc w:val="left"/>
        <w:rPr>
          <w:rFonts w:ascii="Times New Roman"/>
          <w:color w:val="000000" w:themeColor="text1"/>
          <w:kern w:val="2"/>
          <w:szCs w:val="24"/>
        </w:rPr>
      </w:pPr>
      <w:r w:rsidRPr="008A2411">
        <w:rPr>
          <w:rFonts w:ascii="Times New Roman"/>
          <w:color w:val="000000" w:themeColor="text1"/>
          <w:kern w:val="2"/>
          <w:szCs w:val="24"/>
        </w:rPr>
        <w:t>干燥系统脱除的水分经系统设置的凝结水过滤器吸附掉其中的烃类杂质后返回</w:t>
      </w:r>
      <w:proofErr w:type="gramStart"/>
      <w:r w:rsidRPr="008A2411">
        <w:rPr>
          <w:rFonts w:ascii="Times New Roman"/>
          <w:color w:val="000000" w:themeColor="text1"/>
          <w:kern w:val="2"/>
          <w:szCs w:val="24"/>
        </w:rPr>
        <w:t>至胺液闪蒸</w:t>
      </w:r>
      <w:proofErr w:type="gramEnd"/>
      <w:r w:rsidRPr="008A2411">
        <w:rPr>
          <w:rFonts w:ascii="Times New Roman"/>
          <w:color w:val="000000" w:themeColor="text1"/>
          <w:kern w:val="2"/>
          <w:szCs w:val="24"/>
        </w:rPr>
        <w:t>罐，循环利用，作为</w:t>
      </w:r>
      <w:proofErr w:type="gramStart"/>
      <w:r w:rsidRPr="008A2411">
        <w:rPr>
          <w:rFonts w:ascii="Times New Roman"/>
          <w:color w:val="000000" w:themeColor="text1"/>
          <w:kern w:val="2"/>
          <w:szCs w:val="24"/>
        </w:rPr>
        <w:t>胺液系统</w:t>
      </w:r>
      <w:proofErr w:type="gramEnd"/>
      <w:r w:rsidRPr="008A2411">
        <w:rPr>
          <w:rFonts w:ascii="Times New Roman"/>
          <w:color w:val="000000" w:themeColor="text1"/>
          <w:kern w:val="2"/>
          <w:szCs w:val="24"/>
        </w:rPr>
        <w:t>的补水。同时设置的废水罐，在非正常工况下产生的废水经废水收集罐收集后集中处理达标后排放。</w:t>
      </w:r>
    </w:p>
    <w:p w14:paraId="5F323612" w14:textId="77777777" w:rsidR="00B0005F" w:rsidRPr="008A2411" w:rsidRDefault="00000000">
      <w:pPr>
        <w:widowControl/>
        <w:adjustRightInd w:val="0"/>
        <w:snapToGrid w:val="0"/>
        <w:spacing w:line="360" w:lineRule="auto"/>
        <w:ind w:firstLineChars="200" w:firstLine="480"/>
        <w:jc w:val="left"/>
        <w:rPr>
          <w:rFonts w:ascii="Times New Roman"/>
          <w:color w:val="000000" w:themeColor="text1"/>
          <w:kern w:val="2"/>
          <w:szCs w:val="24"/>
        </w:rPr>
      </w:pPr>
      <w:r w:rsidRPr="008A2411">
        <w:rPr>
          <w:rFonts w:ascii="Times New Roman"/>
          <w:color w:val="000000" w:themeColor="text1"/>
          <w:kern w:val="2"/>
          <w:szCs w:val="24"/>
        </w:rPr>
        <w:t>再生过程所需的热量由导热油炉高温导热油提供。</w:t>
      </w:r>
    </w:p>
    <w:p w14:paraId="2451414F" w14:textId="77777777" w:rsidR="00B0005F" w:rsidRPr="008A2411" w:rsidRDefault="00000000">
      <w:pPr>
        <w:widowControl/>
        <w:adjustRightInd w:val="0"/>
        <w:snapToGrid w:val="0"/>
        <w:spacing w:line="360" w:lineRule="auto"/>
        <w:ind w:firstLineChars="200" w:firstLine="480"/>
        <w:jc w:val="left"/>
        <w:rPr>
          <w:rFonts w:ascii="Times New Roman"/>
          <w:color w:val="000000" w:themeColor="text1"/>
          <w:kern w:val="2"/>
          <w:szCs w:val="24"/>
        </w:rPr>
      </w:pPr>
      <w:r w:rsidRPr="008A2411">
        <w:rPr>
          <w:rFonts w:ascii="Times New Roman"/>
          <w:color w:val="000000" w:themeColor="text1"/>
          <w:kern w:val="2"/>
          <w:szCs w:val="24"/>
        </w:rPr>
        <w:t>要求脱除后天然气中的水含量小于</w:t>
      </w:r>
      <w:r w:rsidRPr="008A2411">
        <w:rPr>
          <w:rFonts w:ascii="Times New Roman"/>
          <w:color w:val="000000" w:themeColor="text1"/>
          <w:kern w:val="2"/>
          <w:szCs w:val="24"/>
        </w:rPr>
        <w:t>1ppm</w:t>
      </w:r>
      <w:r w:rsidRPr="008A2411">
        <w:rPr>
          <w:rFonts w:ascii="Times New Roman"/>
          <w:color w:val="000000" w:themeColor="text1"/>
          <w:kern w:val="2"/>
          <w:szCs w:val="24"/>
        </w:rPr>
        <w:t>。</w:t>
      </w:r>
    </w:p>
    <w:p w14:paraId="5C433556" w14:textId="77777777" w:rsidR="00B0005F" w:rsidRPr="008A2411" w:rsidRDefault="00000000">
      <w:pPr>
        <w:pStyle w:val="afffffffffffff7"/>
        <w:numPr>
          <w:ilvl w:val="0"/>
          <w:numId w:val="16"/>
        </w:numPr>
        <w:adjustRightInd w:val="0"/>
        <w:snapToGrid w:val="0"/>
        <w:ind w:firstLine="482"/>
        <w:rPr>
          <w:b/>
          <w:color w:val="000000" w:themeColor="text1"/>
          <w:sz w:val="24"/>
          <w:szCs w:val="24"/>
          <w:lang w:eastAsia="en-US"/>
        </w:rPr>
      </w:pPr>
      <w:r w:rsidRPr="008A2411">
        <w:rPr>
          <w:b/>
          <w:color w:val="000000" w:themeColor="text1"/>
          <w:sz w:val="24"/>
          <w:szCs w:val="24"/>
        </w:rPr>
        <w:t>脱汞</w:t>
      </w:r>
    </w:p>
    <w:p w14:paraId="19620294" w14:textId="77777777" w:rsidR="00B0005F" w:rsidRPr="008A2411" w:rsidRDefault="00000000">
      <w:pPr>
        <w:widowControl/>
        <w:adjustRightInd w:val="0"/>
        <w:snapToGrid w:val="0"/>
        <w:spacing w:line="360" w:lineRule="auto"/>
        <w:ind w:firstLineChars="200" w:firstLine="480"/>
        <w:jc w:val="left"/>
        <w:rPr>
          <w:rFonts w:ascii="Times New Roman"/>
          <w:color w:val="000000" w:themeColor="text1"/>
          <w:szCs w:val="24"/>
        </w:rPr>
      </w:pPr>
      <w:r w:rsidRPr="008A2411">
        <w:rPr>
          <w:rFonts w:ascii="Times New Roman"/>
          <w:color w:val="000000" w:themeColor="text1"/>
          <w:szCs w:val="24"/>
          <w:lang w:bidi="ar"/>
        </w:rPr>
        <w:t>本项目采用脱汞专用的</w:t>
      </w:r>
      <w:r w:rsidRPr="008A2411">
        <w:rPr>
          <w:rFonts w:ascii="Times New Roman"/>
          <w:color w:val="000000" w:themeColor="text1"/>
          <w:szCs w:val="24"/>
          <w:lang w:bidi="ar"/>
        </w:rPr>
        <w:t>ZS</w:t>
      </w:r>
      <w:proofErr w:type="gramStart"/>
      <w:r w:rsidRPr="008A2411">
        <w:rPr>
          <w:rFonts w:ascii="Times New Roman"/>
          <w:color w:val="000000" w:themeColor="text1"/>
          <w:szCs w:val="24"/>
          <w:lang w:bidi="ar"/>
        </w:rPr>
        <w:t>型载硫</w:t>
      </w:r>
      <w:proofErr w:type="gramEnd"/>
      <w:r w:rsidRPr="008A2411">
        <w:rPr>
          <w:rFonts w:ascii="Times New Roman"/>
          <w:color w:val="000000" w:themeColor="text1"/>
          <w:szCs w:val="24"/>
          <w:lang w:bidi="ar"/>
        </w:rPr>
        <w:t>活性炭来脱汞工艺气中微量的汞，</w:t>
      </w:r>
      <w:proofErr w:type="gramStart"/>
      <w:r w:rsidRPr="008A2411">
        <w:rPr>
          <w:rFonts w:ascii="Times New Roman"/>
          <w:color w:val="000000" w:themeColor="text1"/>
          <w:szCs w:val="24"/>
          <w:lang w:bidi="ar"/>
        </w:rPr>
        <w:t>避免汞对冷</w:t>
      </w:r>
      <w:proofErr w:type="gramEnd"/>
      <w:r w:rsidRPr="008A2411">
        <w:rPr>
          <w:rFonts w:ascii="Times New Roman"/>
          <w:color w:val="000000" w:themeColor="text1"/>
          <w:szCs w:val="24"/>
          <w:lang w:bidi="ar"/>
        </w:rPr>
        <w:t>箱内铝制低温板式换热器的腐蚀。天然气中</w:t>
      </w:r>
      <w:proofErr w:type="gramStart"/>
      <w:r w:rsidRPr="008A2411">
        <w:rPr>
          <w:rFonts w:ascii="Times New Roman"/>
          <w:color w:val="000000" w:themeColor="text1"/>
          <w:szCs w:val="24"/>
          <w:lang w:bidi="ar"/>
        </w:rPr>
        <w:t>的汞与脱</w:t>
      </w:r>
      <w:proofErr w:type="gramEnd"/>
      <w:r w:rsidRPr="008A2411">
        <w:rPr>
          <w:rFonts w:ascii="Times New Roman"/>
          <w:color w:val="000000" w:themeColor="text1"/>
          <w:szCs w:val="24"/>
          <w:lang w:bidi="ar"/>
        </w:rPr>
        <w:t>汞剂中孔道表面的硫反</w:t>
      </w:r>
      <w:r w:rsidRPr="008A2411">
        <w:rPr>
          <w:rFonts w:ascii="Times New Roman"/>
          <w:color w:val="000000" w:themeColor="text1"/>
          <w:szCs w:val="24"/>
          <w:lang w:bidi="ar"/>
        </w:rPr>
        <w:lastRenderedPageBreak/>
        <w:t>应，生成的</w:t>
      </w:r>
      <w:proofErr w:type="spellStart"/>
      <w:r w:rsidRPr="008A2411">
        <w:rPr>
          <w:rFonts w:ascii="Times New Roman"/>
          <w:color w:val="000000" w:themeColor="text1"/>
          <w:szCs w:val="24"/>
          <w:lang w:bidi="ar"/>
        </w:rPr>
        <w:t>HgS</w:t>
      </w:r>
      <w:proofErr w:type="spellEnd"/>
      <w:r w:rsidRPr="008A2411">
        <w:rPr>
          <w:rFonts w:ascii="Times New Roman"/>
          <w:color w:val="000000" w:themeColor="text1"/>
          <w:szCs w:val="24"/>
          <w:lang w:bidi="ar"/>
        </w:rPr>
        <w:t>被截留在吸附的众多孔道内，以达到脱汞的目的，最终将原料气体中汞含量脱除至</w:t>
      </w:r>
      <w:r w:rsidRPr="008A2411">
        <w:rPr>
          <w:rFonts w:ascii="Times New Roman"/>
          <w:color w:val="000000" w:themeColor="text1"/>
          <w:szCs w:val="24"/>
          <w:lang w:bidi="ar"/>
        </w:rPr>
        <w:t>≤0.01μg/Nm</w:t>
      </w:r>
      <w:r w:rsidRPr="008A2411">
        <w:rPr>
          <w:rFonts w:ascii="Times New Roman"/>
          <w:color w:val="000000" w:themeColor="text1"/>
          <w:szCs w:val="24"/>
          <w:vertAlign w:val="superscript"/>
          <w:lang w:bidi="ar"/>
        </w:rPr>
        <w:t>3</w:t>
      </w:r>
      <w:r w:rsidRPr="008A2411">
        <w:rPr>
          <w:rFonts w:ascii="Times New Roman"/>
          <w:color w:val="000000" w:themeColor="text1"/>
          <w:szCs w:val="24"/>
          <w:lang w:bidi="ar"/>
        </w:rPr>
        <w:t>，其反应原理如下：</w:t>
      </w:r>
    </w:p>
    <w:p w14:paraId="6009B58A" w14:textId="77777777" w:rsidR="00B0005F" w:rsidRPr="008A2411" w:rsidRDefault="00000000">
      <w:pPr>
        <w:widowControl/>
        <w:adjustRightInd w:val="0"/>
        <w:snapToGrid w:val="0"/>
        <w:spacing w:line="360" w:lineRule="auto"/>
        <w:ind w:firstLineChars="200" w:firstLine="480"/>
        <w:jc w:val="left"/>
        <w:rPr>
          <w:rFonts w:ascii="Times New Roman"/>
          <w:color w:val="000000" w:themeColor="text1"/>
          <w:szCs w:val="24"/>
        </w:rPr>
      </w:pPr>
      <w:r w:rsidRPr="008A2411">
        <w:rPr>
          <w:rFonts w:ascii="Times New Roman"/>
          <w:color w:val="000000" w:themeColor="text1"/>
          <w:szCs w:val="24"/>
          <w:lang w:bidi="ar"/>
        </w:rPr>
        <w:t xml:space="preserve">Hg + S == </w:t>
      </w:r>
      <w:proofErr w:type="spellStart"/>
      <w:r w:rsidRPr="008A2411">
        <w:rPr>
          <w:rFonts w:ascii="Times New Roman"/>
          <w:color w:val="000000" w:themeColor="text1"/>
          <w:szCs w:val="24"/>
          <w:lang w:bidi="ar"/>
        </w:rPr>
        <w:t>HgS</w:t>
      </w:r>
      <w:proofErr w:type="spellEnd"/>
    </w:p>
    <w:p w14:paraId="6F865DCD" w14:textId="77777777" w:rsidR="00B0005F" w:rsidRPr="008A2411" w:rsidRDefault="00000000">
      <w:pPr>
        <w:pStyle w:val="afffffffffffff7"/>
        <w:adjustRightInd w:val="0"/>
        <w:snapToGrid w:val="0"/>
        <w:ind w:firstLine="480"/>
        <w:rPr>
          <w:color w:val="000000" w:themeColor="text1"/>
          <w:sz w:val="24"/>
          <w:szCs w:val="24"/>
        </w:rPr>
      </w:pPr>
      <w:r w:rsidRPr="008A2411">
        <w:rPr>
          <w:color w:val="000000" w:themeColor="text1"/>
          <w:kern w:val="0"/>
          <w:sz w:val="24"/>
          <w:szCs w:val="24"/>
          <w:lang w:bidi="ar"/>
        </w:rPr>
        <w:t>此法广泛适用于天然气及其它低浓度含汞气体处理净化</w:t>
      </w:r>
      <w:r w:rsidRPr="008A2411">
        <w:rPr>
          <w:color w:val="000000" w:themeColor="text1"/>
          <w:sz w:val="24"/>
          <w:szCs w:val="24"/>
        </w:rPr>
        <w:t>。</w:t>
      </w:r>
    </w:p>
    <w:p w14:paraId="10C9662E" w14:textId="77777777" w:rsidR="00B0005F" w:rsidRPr="008A2411" w:rsidRDefault="00000000">
      <w:pPr>
        <w:pStyle w:val="afffffffffffff7"/>
        <w:adjustRightInd w:val="0"/>
        <w:snapToGrid w:val="0"/>
        <w:ind w:firstLine="482"/>
        <w:rPr>
          <w:b/>
          <w:color w:val="000000" w:themeColor="text1"/>
          <w:sz w:val="24"/>
          <w:szCs w:val="24"/>
        </w:rPr>
      </w:pPr>
      <w:r w:rsidRPr="008A2411">
        <w:rPr>
          <w:b/>
          <w:color w:val="000000" w:themeColor="text1"/>
          <w:sz w:val="24"/>
          <w:szCs w:val="24"/>
        </w:rPr>
        <w:t>2</w:t>
      </w:r>
      <w:r w:rsidRPr="008A2411">
        <w:rPr>
          <w:b/>
          <w:color w:val="000000" w:themeColor="text1"/>
          <w:sz w:val="24"/>
          <w:szCs w:val="24"/>
        </w:rPr>
        <w:t>、产品液化工艺</w:t>
      </w:r>
    </w:p>
    <w:p w14:paraId="1961AAFC" w14:textId="4E8EB226" w:rsidR="00B0005F" w:rsidRPr="008A2411" w:rsidRDefault="00000000">
      <w:pPr>
        <w:pStyle w:val="afffffffffffff7"/>
        <w:adjustRightInd w:val="0"/>
        <w:snapToGrid w:val="0"/>
        <w:ind w:firstLine="482"/>
        <w:rPr>
          <w:b/>
          <w:color w:val="000000" w:themeColor="text1"/>
          <w:sz w:val="24"/>
          <w:szCs w:val="24"/>
        </w:rPr>
      </w:pPr>
      <w:r w:rsidRPr="008A2411">
        <w:rPr>
          <w:b/>
          <w:color w:val="000000" w:themeColor="text1"/>
          <w:sz w:val="24"/>
          <w:szCs w:val="24"/>
        </w:rPr>
        <w:t>（</w:t>
      </w:r>
      <w:r w:rsidRPr="008A2411">
        <w:rPr>
          <w:b/>
          <w:color w:val="000000" w:themeColor="text1"/>
          <w:sz w:val="24"/>
          <w:szCs w:val="24"/>
        </w:rPr>
        <w:t>1</w:t>
      </w:r>
      <w:r w:rsidRPr="008A2411">
        <w:rPr>
          <w:b/>
          <w:color w:val="000000" w:themeColor="text1"/>
          <w:sz w:val="24"/>
          <w:szCs w:val="24"/>
        </w:rPr>
        <w:t>）原料气液化流程</w:t>
      </w:r>
      <w:r w:rsidR="008B257E" w:rsidRPr="008A2411">
        <w:rPr>
          <w:rFonts w:hint="eastAsia"/>
          <w:b/>
          <w:color w:val="000000" w:themeColor="text1"/>
          <w:sz w:val="24"/>
          <w:szCs w:val="24"/>
        </w:rPr>
        <w:t>（含重烃生产）</w:t>
      </w:r>
    </w:p>
    <w:p w14:paraId="52E948D5" w14:textId="77777777" w:rsidR="00B0005F" w:rsidRPr="008A2411" w:rsidRDefault="00000000">
      <w:pPr>
        <w:adjustRightInd w:val="0"/>
        <w:snapToGrid w:val="0"/>
        <w:spacing w:line="360" w:lineRule="auto"/>
        <w:ind w:firstLineChars="200" w:firstLine="480"/>
        <w:rPr>
          <w:rFonts w:ascii="Times New Roman"/>
          <w:color w:val="000000" w:themeColor="text1"/>
          <w:szCs w:val="24"/>
        </w:rPr>
      </w:pPr>
      <w:r w:rsidRPr="008A2411">
        <w:rPr>
          <w:rFonts w:ascii="Times New Roman"/>
          <w:color w:val="000000" w:themeColor="text1"/>
          <w:kern w:val="2"/>
          <w:szCs w:val="24"/>
          <w:lang w:bidi="ar"/>
        </w:rPr>
        <w:t>液化采用单循环混合冷剂制冷工艺。冷剂为一种混合物，由氮气和从甲烷至异戊烷的碳氢化合物组成。冷剂压缩机为两段压缩，由电机驱动。</w:t>
      </w:r>
    </w:p>
    <w:p w14:paraId="5A9BF190" w14:textId="20649037" w:rsidR="00B0005F" w:rsidRPr="008A2411" w:rsidRDefault="00000000" w:rsidP="008C59F6">
      <w:pPr>
        <w:pStyle w:val="afffffffffffff7"/>
        <w:adjustRightInd w:val="0"/>
        <w:snapToGrid w:val="0"/>
        <w:ind w:firstLine="480"/>
        <w:rPr>
          <w:bCs/>
          <w:color w:val="000000" w:themeColor="text1"/>
          <w:sz w:val="24"/>
          <w:szCs w:val="24"/>
          <w:lang w:bidi="ar"/>
        </w:rPr>
      </w:pPr>
      <w:r w:rsidRPr="008A2411">
        <w:rPr>
          <w:bCs/>
          <w:color w:val="000000" w:themeColor="text1"/>
          <w:sz w:val="24"/>
          <w:szCs w:val="24"/>
          <w:lang w:bidi="ar"/>
        </w:rPr>
        <w:t>净化处理后的原料</w:t>
      </w:r>
      <w:proofErr w:type="gramStart"/>
      <w:r w:rsidRPr="008A2411">
        <w:rPr>
          <w:bCs/>
          <w:color w:val="000000" w:themeColor="text1"/>
          <w:sz w:val="24"/>
          <w:szCs w:val="24"/>
          <w:lang w:bidi="ar"/>
        </w:rPr>
        <w:t>气经过</w:t>
      </w:r>
      <w:proofErr w:type="gramEnd"/>
      <w:r w:rsidRPr="008A2411">
        <w:rPr>
          <w:bCs/>
          <w:color w:val="000000" w:themeColor="text1"/>
          <w:sz w:val="24"/>
          <w:szCs w:val="24"/>
          <w:lang w:bidi="ar"/>
        </w:rPr>
        <w:t>一个紧急切断阀后进入液化冷箱，被制冷剂的返流低温气体冷却到</w:t>
      </w:r>
      <w:r w:rsidRPr="008A2411">
        <w:rPr>
          <w:bCs/>
          <w:color w:val="000000" w:themeColor="text1"/>
          <w:sz w:val="24"/>
          <w:szCs w:val="24"/>
          <w:lang w:bidi="ar"/>
        </w:rPr>
        <w:t>-50℃</w:t>
      </w:r>
      <w:r w:rsidRPr="008A2411">
        <w:rPr>
          <w:bCs/>
          <w:color w:val="000000" w:themeColor="text1"/>
          <w:sz w:val="24"/>
          <w:szCs w:val="24"/>
          <w:lang w:bidi="ar"/>
        </w:rPr>
        <w:t>的时候被抽出进行重烃分离，其中分离的</w:t>
      </w:r>
      <w:proofErr w:type="gramStart"/>
      <w:r w:rsidRPr="008A2411">
        <w:rPr>
          <w:bCs/>
          <w:color w:val="000000" w:themeColor="text1"/>
          <w:sz w:val="24"/>
          <w:szCs w:val="24"/>
          <w:lang w:bidi="ar"/>
        </w:rPr>
        <w:t>重烃</w:t>
      </w:r>
      <w:r w:rsidR="008C59F6" w:rsidRPr="008A2411">
        <w:rPr>
          <w:rFonts w:hint="eastAsia"/>
          <w:bCs/>
          <w:color w:val="000000" w:themeColor="text1"/>
          <w:sz w:val="24"/>
          <w:szCs w:val="24"/>
          <w:lang w:bidi="ar"/>
        </w:rPr>
        <w:t>经重</w:t>
      </w:r>
      <w:proofErr w:type="gramEnd"/>
      <w:r w:rsidR="008C59F6" w:rsidRPr="008A2411">
        <w:rPr>
          <w:rFonts w:hint="eastAsia"/>
          <w:bCs/>
          <w:color w:val="000000" w:themeColor="text1"/>
          <w:sz w:val="24"/>
          <w:szCs w:val="24"/>
          <w:lang w:bidi="ar"/>
        </w:rPr>
        <w:t>烃吸收塔进行吸收，再经重烃再生加热塔及脱重烃再生冷却器进行加热、冷却再生工序，加热再生工段采用导热油炉提供热源（与干燥脱水塔为同一热源），最后再生的重烃组分</w:t>
      </w:r>
      <w:r w:rsidRPr="008A2411">
        <w:rPr>
          <w:bCs/>
          <w:color w:val="000000" w:themeColor="text1"/>
          <w:sz w:val="24"/>
          <w:szCs w:val="24"/>
          <w:lang w:bidi="ar"/>
        </w:rPr>
        <w:t>经</w:t>
      </w:r>
      <w:r w:rsidR="008C59F6" w:rsidRPr="008A2411">
        <w:rPr>
          <w:rFonts w:hint="eastAsia"/>
          <w:bCs/>
          <w:color w:val="000000" w:themeColor="text1"/>
          <w:sz w:val="24"/>
          <w:szCs w:val="24"/>
          <w:lang w:bidi="ar"/>
        </w:rPr>
        <w:t>过滤杂质后</w:t>
      </w:r>
      <w:r w:rsidRPr="008A2411">
        <w:rPr>
          <w:bCs/>
          <w:color w:val="000000" w:themeColor="text1"/>
          <w:sz w:val="24"/>
          <w:szCs w:val="24"/>
          <w:lang w:bidi="ar"/>
        </w:rPr>
        <w:t>由重烃闪蒸阀降压至</w:t>
      </w:r>
      <w:r w:rsidRPr="008A2411">
        <w:rPr>
          <w:bCs/>
          <w:color w:val="000000" w:themeColor="text1"/>
          <w:sz w:val="24"/>
          <w:szCs w:val="24"/>
          <w:lang w:bidi="ar"/>
        </w:rPr>
        <w:t>1.6MPa</w:t>
      </w:r>
      <w:r w:rsidRPr="008A2411">
        <w:rPr>
          <w:bCs/>
          <w:color w:val="000000" w:themeColor="text1"/>
          <w:sz w:val="24"/>
          <w:szCs w:val="24"/>
          <w:lang w:bidi="ar"/>
        </w:rPr>
        <w:t>后送入到重烃气化器和</w:t>
      </w:r>
      <w:r w:rsidRPr="008A2411">
        <w:rPr>
          <w:bCs/>
          <w:color w:val="000000" w:themeColor="text1"/>
          <w:sz w:val="24"/>
          <w:szCs w:val="24"/>
          <w:lang w:bidi="ar"/>
        </w:rPr>
        <w:t>LPG</w:t>
      </w:r>
      <w:r w:rsidRPr="008A2411">
        <w:rPr>
          <w:bCs/>
          <w:color w:val="000000" w:themeColor="text1"/>
          <w:sz w:val="24"/>
          <w:szCs w:val="24"/>
          <w:lang w:bidi="ar"/>
        </w:rPr>
        <w:t>储罐进行储存和外输。进行重烃分离后的原料气被低压返流制冷剂继续冷却、液化、过冷后经由一个质量流量计计量后经产品阀节流降压后送入到</w:t>
      </w:r>
      <w:r w:rsidRPr="008A2411">
        <w:rPr>
          <w:bCs/>
          <w:color w:val="000000" w:themeColor="text1"/>
          <w:sz w:val="24"/>
          <w:szCs w:val="24"/>
          <w:lang w:bidi="ar"/>
        </w:rPr>
        <w:t>LNG</w:t>
      </w:r>
      <w:r w:rsidRPr="008A2411">
        <w:rPr>
          <w:bCs/>
          <w:color w:val="000000" w:themeColor="text1"/>
          <w:sz w:val="24"/>
          <w:szCs w:val="24"/>
          <w:lang w:bidi="ar"/>
        </w:rPr>
        <w:t>储存单元。重烃分离温度可以通过冷箱入口分出的一股天然气由调节阀进行调节</w:t>
      </w:r>
      <w:r w:rsidRPr="008A2411">
        <w:rPr>
          <w:color w:val="000000" w:themeColor="text1"/>
          <w:sz w:val="24"/>
          <w:szCs w:val="24"/>
        </w:rPr>
        <w:t>。</w:t>
      </w:r>
    </w:p>
    <w:p w14:paraId="29202381" w14:textId="77777777" w:rsidR="00B0005F" w:rsidRPr="008A2411" w:rsidRDefault="00000000">
      <w:pPr>
        <w:pStyle w:val="afffffffffffff7"/>
        <w:adjustRightInd w:val="0"/>
        <w:snapToGrid w:val="0"/>
        <w:ind w:firstLine="482"/>
        <w:rPr>
          <w:b/>
          <w:color w:val="000000" w:themeColor="text1"/>
          <w:sz w:val="24"/>
          <w:szCs w:val="24"/>
        </w:rPr>
      </w:pPr>
      <w:r w:rsidRPr="008A2411">
        <w:rPr>
          <w:b/>
          <w:color w:val="000000" w:themeColor="text1"/>
          <w:sz w:val="24"/>
          <w:szCs w:val="24"/>
        </w:rPr>
        <w:t>（</w:t>
      </w:r>
      <w:r w:rsidRPr="008A2411">
        <w:rPr>
          <w:b/>
          <w:color w:val="000000" w:themeColor="text1"/>
          <w:sz w:val="24"/>
          <w:szCs w:val="24"/>
        </w:rPr>
        <w:t>2</w:t>
      </w:r>
      <w:r w:rsidRPr="008A2411">
        <w:rPr>
          <w:b/>
          <w:color w:val="000000" w:themeColor="text1"/>
          <w:sz w:val="24"/>
          <w:szCs w:val="24"/>
        </w:rPr>
        <w:t>）制冷剂系统</w:t>
      </w:r>
    </w:p>
    <w:p w14:paraId="50FEC974" w14:textId="77777777" w:rsidR="00B0005F" w:rsidRPr="008A2411" w:rsidRDefault="00000000">
      <w:pPr>
        <w:adjustRightInd w:val="0"/>
        <w:snapToGrid w:val="0"/>
        <w:spacing w:line="360" w:lineRule="auto"/>
        <w:ind w:firstLineChars="200" w:firstLine="480"/>
        <w:rPr>
          <w:rFonts w:ascii="Times New Roman"/>
          <w:bCs/>
          <w:color w:val="000000" w:themeColor="text1"/>
          <w:kern w:val="2"/>
          <w:szCs w:val="24"/>
          <w:lang w:bidi="ar"/>
        </w:rPr>
      </w:pPr>
      <w:r w:rsidRPr="008A2411">
        <w:rPr>
          <w:rFonts w:ascii="Times New Roman"/>
          <w:bCs/>
          <w:color w:val="000000" w:themeColor="text1"/>
          <w:kern w:val="2"/>
          <w:szCs w:val="24"/>
          <w:lang w:bidi="ar"/>
        </w:rPr>
        <w:t>工艺设计采用一个简单的闭式制冷循环，</w:t>
      </w:r>
      <w:proofErr w:type="gramStart"/>
      <w:r w:rsidRPr="008A2411">
        <w:rPr>
          <w:rFonts w:ascii="Times New Roman"/>
          <w:bCs/>
          <w:color w:val="000000" w:themeColor="text1"/>
          <w:kern w:val="2"/>
          <w:szCs w:val="24"/>
          <w:lang w:bidi="ar"/>
        </w:rPr>
        <w:t>冷剂经压缩</w:t>
      </w:r>
      <w:proofErr w:type="gramEnd"/>
      <w:r w:rsidRPr="008A2411">
        <w:rPr>
          <w:rFonts w:ascii="Times New Roman"/>
          <w:bCs/>
          <w:color w:val="000000" w:themeColor="text1"/>
          <w:kern w:val="2"/>
          <w:szCs w:val="24"/>
          <w:lang w:bidi="ar"/>
        </w:rPr>
        <w:t>、部分冷凝、冷却、膨胀，然后被加热并提供冷量。冷剂由氮气、甲烷、丙烷、乙烯、异戊烷组成的混合物。</w:t>
      </w:r>
    </w:p>
    <w:p w14:paraId="1D26DA6D" w14:textId="77777777" w:rsidR="00B0005F" w:rsidRPr="008A2411" w:rsidRDefault="00000000">
      <w:pPr>
        <w:adjustRightInd w:val="0"/>
        <w:snapToGrid w:val="0"/>
        <w:spacing w:line="360" w:lineRule="auto"/>
        <w:ind w:firstLineChars="200" w:firstLine="480"/>
        <w:rPr>
          <w:rFonts w:ascii="Times New Roman"/>
          <w:bCs/>
          <w:color w:val="000000" w:themeColor="text1"/>
          <w:kern w:val="2"/>
          <w:szCs w:val="24"/>
          <w:lang w:bidi="ar"/>
        </w:rPr>
      </w:pPr>
      <w:r w:rsidRPr="008A2411">
        <w:rPr>
          <w:rFonts w:ascii="Times New Roman"/>
          <w:bCs/>
          <w:color w:val="000000" w:themeColor="text1"/>
          <w:kern w:val="2"/>
          <w:szCs w:val="24"/>
          <w:lang w:bidi="ar"/>
        </w:rPr>
        <w:t>来自冷剂换热器顶部的低压</w:t>
      </w:r>
      <w:proofErr w:type="gramStart"/>
      <w:r w:rsidRPr="008A2411">
        <w:rPr>
          <w:rFonts w:ascii="Times New Roman"/>
          <w:bCs/>
          <w:color w:val="000000" w:themeColor="text1"/>
          <w:kern w:val="2"/>
          <w:szCs w:val="24"/>
          <w:lang w:bidi="ar"/>
        </w:rPr>
        <w:t>冷剂经冷</w:t>
      </w:r>
      <w:proofErr w:type="gramEnd"/>
      <w:r w:rsidRPr="008A2411">
        <w:rPr>
          <w:rFonts w:ascii="Times New Roman"/>
          <w:bCs/>
          <w:color w:val="000000" w:themeColor="text1"/>
          <w:kern w:val="2"/>
          <w:szCs w:val="24"/>
          <w:lang w:bidi="ar"/>
        </w:rPr>
        <w:t>剂压缩机的第一段压缩后，进入冷剂压缩机段间冷却器，冷却后的冷剂进入段间罐，进行气液分离，气相进入冷剂压缩机的二段，压缩至</w:t>
      </w:r>
      <w:r w:rsidRPr="008A2411">
        <w:rPr>
          <w:rFonts w:ascii="Times New Roman"/>
          <w:bCs/>
          <w:color w:val="000000" w:themeColor="text1"/>
          <w:kern w:val="2"/>
          <w:szCs w:val="24"/>
          <w:lang w:bidi="ar"/>
        </w:rPr>
        <w:t>3.4MPa</w:t>
      </w:r>
      <w:r w:rsidRPr="008A2411">
        <w:rPr>
          <w:rFonts w:ascii="Times New Roman"/>
          <w:bCs/>
          <w:color w:val="000000" w:themeColor="text1"/>
          <w:kern w:val="2"/>
          <w:szCs w:val="24"/>
          <w:lang w:bidi="ar"/>
        </w:rPr>
        <w:t>后的冷剂同来自</w:t>
      </w:r>
      <w:proofErr w:type="gramStart"/>
      <w:r w:rsidRPr="008A2411">
        <w:rPr>
          <w:rFonts w:ascii="Times New Roman"/>
          <w:bCs/>
          <w:color w:val="000000" w:themeColor="text1"/>
          <w:kern w:val="2"/>
          <w:szCs w:val="24"/>
          <w:lang w:bidi="ar"/>
        </w:rPr>
        <w:t>段间罐的</w:t>
      </w:r>
      <w:proofErr w:type="gramEnd"/>
      <w:r w:rsidRPr="008A2411">
        <w:rPr>
          <w:rFonts w:ascii="Times New Roman"/>
          <w:bCs/>
          <w:color w:val="000000" w:themeColor="text1"/>
          <w:kern w:val="2"/>
          <w:szCs w:val="24"/>
          <w:lang w:bidi="ar"/>
        </w:rPr>
        <w:t>泵送液相冷剂混合，然后在冷剂冷凝器冷却，进入冷</w:t>
      </w:r>
      <w:proofErr w:type="gramStart"/>
      <w:r w:rsidRPr="008A2411">
        <w:rPr>
          <w:rFonts w:ascii="Times New Roman"/>
          <w:bCs/>
          <w:color w:val="000000" w:themeColor="text1"/>
          <w:kern w:val="2"/>
          <w:szCs w:val="24"/>
          <w:lang w:bidi="ar"/>
        </w:rPr>
        <w:t>剂出口</w:t>
      </w:r>
      <w:proofErr w:type="gramEnd"/>
      <w:r w:rsidRPr="008A2411">
        <w:rPr>
          <w:rFonts w:ascii="Times New Roman"/>
          <w:bCs/>
          <w:color w:val="000000" w:themeColor="text1"/>
          <w:kern w:val="2"/>
          <w:szCs w:val="24"/>
          <w:lang w:bidi="ar"/>
        </w:rPr>
        <w:t>分离器，进行气液分离。</w:t>
      </w:r>
    </w:p>
    <w:p w14:paraId="76963BAB" w14:textId="77777777" w:rsidR="00B0005F" w:rsidRPr="008A2411" w:rsidRDefault="00000000">
      <w:pPr>
        <w:adjustRightInd w:val="0"/>
        <w:snapToGrid w:val="0"/>
        <w:spacing w:line="360" w:lineRule="auto"/>
        <w:ind w:firstLineChars="200" w:firstLine="480"/>
        <w:rPr>
          <w:rFonts w:ascii="Times New Roman"/>
          <w:bCs/>
          <w:color w:val="000000" w:themeColor="text1"/>
          <w:kern w:val="2"/>
          <w:szCs w:val="24"/>
          <w:lang w:bidi="ar"/>
        </w:rPr>
      </w:pPr>
      <w:r w:rsidRPr="008A2411">
        <w:rPr>
          <w:rFonts w:ascii="Times New Roman"/>
          <w:bCs/>
          <w:color w:val="000000" w:themeColor="text1"/>
          <w:kern w:val="2"/>
          <w:szCs w:val="24"/>
          <w:lang w:bidi="ar"/>
        </w:rPr>
        <w:t>来自冷</w:t>
      </w:r>
      <w:proofErr w:type="gramStart"/>
      <w:r w:rsidRPr="008A2411">
        <w:rPr>
          <w:rFonts w:ascii="Times New Roman"/>
          <w:bCs/>
          <w:color w:val="000000" w:themeColor="text1"/>
          <w:kern w:val="2"/>
          <w:szCs w:val="24"/>
          <w:lang w:bidi="ar"/>
        </w:rPr>
        <w:t>剂出口</w:t>
      </w:r>
      <w:proofErr w:type="gramEnd"/>
      <w:r w:rsidRPr="008A2411">
        <w:rPr>
          <w:rFonts w:ascii="Times New Roman"/>
          <w:bCs/>
          <w:color w:val="000000" w:themeColor="text1"/>
          <w:kern w:val="2"/>
          <w:szCs w:val="24"/>
          <w:lang w:bidi="ar"/>
        </w:rPr>
        <w:t>分离器的高压气相和液相冷剂，分别进入冷剂换热器。气相冷剂以其自身的压力流动，液相冷剂则由冷剂泵送入。气相和液相冷剂在冷剂换热器内部汇合。分别处理气相和液相冷剂可以保证冷剂进入冷剂换热器时，合理的分布。</w:t>
      </w:r>
    </w:p>
    <w:p w14:paraId="7C7C1889" w14:textId="77777777" w:rsidR="00B0005F" w:rsidRPr="008A2411" w:rsidRDefault="00000000">
      <w:pPr>
        <w:pStyle w:val="afffffffffffff7"/>
        <w:adjustRightInd w:val="0"/>
        <w:snapToGrid w:val="0"/>
        <w:ind w:firstLine="480"/>
        <w:rPr>
          <w:bCs/>
          <w:color w:val="000000" w:themeColor="text1"/>
          <w:sz w:val="24"/>
          <w:szCs w:val="24"/>
          <w:lang w:bidi="ar"/>
        </w:rPr>
      </w:pPr>
      <w:r w:rsidRPr="008A2411">
        <w:rPr>
          <w:bCs/>
          <w:color w:val="000000" w:themeColor="text1"/>
          <w:sz w:val="24"/>
          <w:szCs w:val="24"/>
          <w:lang w:bidi="ar"/>
        </w:rPr>
        <w:t>高压冷剂向下流出冷剂换热器，然后流经汤</w:t>
      </w:r>
      <w:proofErr w:type="gramStart"/>
      <w:r w:rsidRPr="008A2411">
        <w:rPr>
          <w:bCs/>
          <w:color w:val="000000" w:themeColor="text1"/>
          <w:sz w:val="24"/>
          <w:szCs w:val="24"/>
          <w:lang w:bidi="ar"/>
        </w:rPr>
        <w:t>姆</w:t>
      </w:r>
      <w:proofErr w:type="gramEnd"/>
      <w:r w:rsidRPr="008A2411">
        <w:rPr>
          <w:bCs/>
          <w:color w:val="000000" w:themeColor="text1"/>
          <w:sz w:val="24"/>
          <w:szCs w:val="24"/>
          <w:lang w:bidi="ar"/>
        </w:rPr>
        <w:t>逊－焦尔阀，冷剂节流膨胀至</w:t>
      </w:r>
      <w:r w:rsidRPr="008A2411">
        <w:rPr>
          <w:bCs/>
          <w:color w:val="000000" w:themeColor="text1"/>
          <w:sz w:val="24"/>
          <w:szCs w:val="24"/>
          <w:lang w:bidi="ar"/>
        </w:rPr>
        <w:t>2</w:t>
      </w:r>
      <w:r w:rsidRPr="008A2411">
        <w:rPr>
          <w:bCs/>
          <w:color w:val="000000" w:themeColor="text1"/>
          <w:sz w:val="24"/>
          <w:szCs w:val="24"/>
          <w:lang w:bidi="ar"/>
        </w:rPr>
        <w:t>公斤，然后返回冷剂换热器，由下向上流动，吸收原料气和高压冷剂的热量。</w:t>
      </w:r>
      <w:r w:rsidRPr="008A2411">
        <w:rPr>
          <w:bCs/>
          <w:color w:val="000000" w:themeColor="text1"/>
          <w:sz w:val="24"/>
          <w:szCs w:val="24"/>
          <w:lang w:bidi="ar"/>
        </w:rPr>
        <w:t xml:space="preserve"> </w:t>
      </w:r>
      <w:r w:rsidRPr="008A2411">
        <w:rPr>
          <w:bCs/>
          <w:color w:val="000000" w:themeColor="text1"/>
          <w:sz w:val="24"/>
          <w:szCs w:val="24"/>
          <w:lang w:bidi="ar"/>
        </w:rPr>
        <w:lastRenderedPageBreak/>
        <w:t>由冷剂换热器出来的低压冷剂，进入冷剂吸入罐然后进入冷剂压缩机一级入口。</w:t>
      </w:r>
    </w:p>
    <w:p w14:paraId="3FC64511" w14:textId="77777777" w:rsidR="00B0005F" w:rsidRPr="008A2411" w:rsidRDefault="00000000">
      <w:pPr>
        <w:adjustRightInd w:val="0"/>
        <w:snapToGrid w:val="0"/>
        <w:spacing w:line="360" w:lineRule="auto"/>
        <w:ind w:firstLineChars="200" w:firstLine="480"/>
        <w:rPr>
          <w:rFonts w:ascii="Times New Roman"/>
          <w:bCs/>
          <w:color w:val="000000" w:themeColor="text1"/>
          <w:kern w:val="2"/>
          <w:szCs w:val="24"/>
          <w:lang w:bidi="ar"/>
        </w:rPr>
      </w:pPr>
      <w:r w:rsidRPr="008A2411">
        <w:rPr>
          <w:rFonts w:ascii="Times New Roman"/>
          <w:bCs/>
          <w:color w:val="000000" w:themeColor="text1"/>
          <w:kern w:val="2"/>
          <w:szCs w:val="24"/>
          <w:lang w:bidi="ar"/>
        </w:rPr>
        <w:t>冷剂的补充：乙烯、丙烷、异戊烷由外面购买；甲烷的补充来自干燥脱水后的原料气；氮气由</w:t>
      </w:r>
      <w:r w:rsidRPr="008A2411">
        <w:rPr>
          <w:rFonts w:ascii="Times New Roman" w:hint="eastAsia"/>
          <w:bCs/>
          <w:color w:val="000000" w:themeColor="text1"/>
          <w:kern w:val="2"/>
          <w:szCs w:val="24"/>
          <w:lang w:bidi="ar"/>
        </w:rPr>
        <w:t>制氮装置</w:t>
      </w:r>
      <w:r w:rsidRPr="008A2411">
        <w:rPr>
          <w:rFonts w:ascii="Times New Roman"/>
          <w:bCs/>
          <w:color w:val="000000" w:themeColor="text1"/>
          <w:kern w:val="2"/>
          <w:szCs w:val="24"/>
          <w:lang w:bidi="ar"/>
        </w:rPr>
        <w:t>提供。对于该制冷工艺，由于为闭式循环，当制冷系统首次填装冷剂后，不存在大的泄漏，只需要较少的冷剂补充。项目制冷循环系统生产工艺如下图</w:t>
      </w:r>
      <w:r w:rsidRPr="008A2411">
        <w:rPr>
          <w:rFonts w:ascii="Times New Roman"/>
          <w:bCs/>
          <w:color w:val="000000" w:themeColor="text1"/>
          <w:kern w:val="2"/>
          <w:szCs w:val="24"/>
          <w:lang w:bidi="ar"/>
        </w:rPr>
        <w:t>3.2-3</w:t>
      </w:r>
      <w:r w:rsidRPr="008A2411">
        <w:rPr>
          <w:rFonts w:ascii="Times New Roman"/>
          <w:bCs/>
          <w:color w:val="000000" w:themeColor="text1"/>
          <w:kern w:val="2"/>
          <w:szCs w:val="24"/>
          <w:lang w:bidi="ar"/>
        </w:rPr>
        <w:t>所示。</w:t>
      </w:r>
    </w:p>
    <w:p w14:paraId="34547C69" w14:textId="77777777" w:rsidR="00B0005F" w:rsidRPr="008A2411" w:rsidRDefault="00000000">
      <w:pPr>
        <w:pStyle w:val="afffffffffffff7"/>
        <w:ind w:firstLineChars="0" w:firstLine="0"/>
        <w:jc w:val="center"/>
        <w:rPr>
          <w:color w:val="000000" w:themeColor="text1"/>
        </w:rPr>
      </w:pPr>
      <w:r w:rsidRPr="008A2411">
        <w:rPr>
          <w:noProof/>
          <w:color w:val="000000" w:themeColor="text1"/>
        </w:rPr>
        <mc:AlternateContent>
          <mc:Choice Requires="wps">
            <w:drawing>
              <wp:anchor distT="0" distB="0" distL="114300" distR="114300" simplePos="0" relativeHeight="251670016" behindDoc="0" locked="0" layoutInCell="1" allowOverlap="1" wp14:anchorId="24CD2EAC" wp14:editId="6E84314E">
                <wp:simplePos x="0" y="0"/>
                <wp:positionH relativeFrom="column">
                  <wp:posOffset>2959735</wp:posOffset>
                </wp:positionH>
                <wp:positionV relativeFrom="paragraph">
                  <wp:posOffset>2390775</wp:posOffset>
                </wp:positionV>
                <wp:extent cx="708025" cy="173990"/>
                <wp:effectExtent l="0" t="0" r="8255" b="8890"/>
                <wp:wrapNone/>
                <wp:docPr id="78" name="文本框 78"/>
                <wp:cNvGraphicFramePr/>
                <a:graphic xmlns:a="http://schemas.openxmlformats.org/drawingml/2006/main">
                  <a:graphicData uri="http://schemas.microsoft.com/office/word/2010/wordprocessingShape">
                    <wps:wsp>
                      <wps:cNvSpPr txBox="1"/>
                      <wps:spPr>
                        <a:xfrm>
                          <a:off x="4102735" y="6565900"/>
                          <a:ext cx="708025" cy="17399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14:paraId="0E913D48" w14:textId="77777777" w:rsidR="00B0005F" w:rsidRDefault="00000000">
                            <w:pPr>
                              <w:rPr>
                                <w:rFonts w:ascii="黑体" w:eastAsia="黑体" w:hAnsi="黑体" w:cs="黑体"/>
                                <w:sz w:val="10"/>
                                <w:szCs w:val="10"/>
                              </w:rPr>
                            </w:pPr>
                            <w:r>
                              <w:rPr>
                                <w:rFonts w:ascii="黑体" w:eastAsia="黑体" w:hAnsi="黑体" w:cs="黑体" w:hint="eastAsia"/>
                                <w:sz w:val="10"/>
                                <w:szCs w:val="10"/>
                              </w:rPr>
                              <w:t>定期排入园区管网</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24CD2EAC" id="文本框 78" o:spid="_x0000_s1046" type="#_x0000_t202" style="position:absolute;left:0;text-align:left;margin-left:233.05pt;margin-top:188.25pt;width:55.75pt;height:13.7pt;z-index:2516700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" fillcolor="white [3201]" stroked="f" strokeweight=".5pt">
                <v:textbox>
                  <w:txbxContent>
                    <w:p w14:paraId="0E913D48" w14:textId="77777777" w:rsidR="00B0005F" w:rsidRDefault="00000000">
                      <w:pPr>
                        <w:rPr>
                          <w:rFonts w:ascii="黑体" w:eastAsia="黑体" w:hAnsi="黑体" w:cs="黑体"/>
                          <w:sz w:val="10"/>
                          <w:szCs w:val="10"/>
                        </w:rPr>
                      </w:pPr>
                      <w:r>
                        <w:rPr>
                          <w:rFonts w:ascii="黑体" w:eastAsia="黑体" w:hAnsi="黑体" w:cs="黑体" w:hint="eastAsia"/>
                          <w:sz w:val="10"/>
                          <w:szCs w:val="10"/>
                        </w:rPr>
                        <w:t>定期排入园区管网</w:t>
                      </w:r>
                    </w:p>
                  </w:txbxContent>
                </v:textbox>
              </v:shape>
            </w:pict>
          </mc:Fallback>
        </mc:AlternateContent>
      </w:r>
      <w:r w:rsidRPr="008A2411">
        <w:rPr>
          <w:noProof/>
          <w:color w:val="000000" w:themeColor="text1"/>
        </w:rPr>
        <mc:AlternateContent>
          <mc:Choice Requires="wps">
            <w:drawing>
              <wp:anchor distT="0" distB="0" distL="114300" distR="114300" simplePos="0" relativeHeight="251666944" behindDoc="0" locked="0" layoutInCell="1" allowOverlap="1" wp14:anchorId="60647FB6" wp14:editId="0A84450F">
                <wp:simplePos x="0" y="0"/>
                <wp:positionH relativeFrom="column">
                  <wp:posOffset>2312035</wp:posOffset>
                </wp:positionH>
                <wp:positionV relativeFrom="paragraph">
                  <wp:posOffset>2040255</wp:posOffset>
                </wp:positionV>
                <wp:extent cx="382270" cy="263525"/>
                <wp:effectExtent l="0" t="0" r="13970" b="10795"/>
                <wp:wrapNone/>
                <wp:docPr id="77" name="文本框 77"/>
                <wp:cNvGraphicFramePr/>
                <a:graphic xmlns:a="http://schemas.openxmlformats.org/drawingml/2006/main">
                  <a:graphicData uri="http://schemas.microsoft.com/office/word/2010/wordprocessingShape">
                    <wps:wsp>
                      <wps:cNvSpPr txBox="1"/>
                      <wps:spPr>
                        <a:xfrm>
                          <a:off x="3470275" y="6245860"/>
                          <a:ext cx="382270" cy="263525"/>
                        </a:xfrm>
                        <a:prstGeom prst="rect">
                          <a:avLst/>
                        </a:prstGeom>
                        <a:solidFill>
                          <a:schemeClr val="bg1"/>
                        </a:solidFill>
                        <a:ln w="6350">
                          <a:noFill/>
                        </a:ln>
                      </wps:spPr>
                      <wps:style>
                        <a:lnRef idx="0">
                          <a:schemeClr val="accent1"/>
                        </a:lnRef>
                        <a:fillRef idx="0">
                          <a:schemeClr val="accent1"/>
                        </a:fillRef>
                        <a:effectRef idx="0">
                          <a:schemeClr val="accent1"/>
                        </a:effectRef>
                        <a:fontRef idx="minor">
                          <a:schemeClr val="dk1"/>
                        </a:fontRef>
                      </wps:style>
                      <wps:txbx>
                        <w:txbxContent>
                          <w:p w14:paraId="0BAFF2E9" w14:textId="77777777" w:rsidR="00B0005F" w:rsidRDefault="00000000">
                            <w:pPr>
                              <w:jc w:val="center"/>
                              <w:rPr>
                                <w:rFonts w:ascii="黑体" w:eastAsia="黑体" w:hAnsi="黑体" w:cs="黑体"/>
                                <w:sz w:val="10"/>
                                <w:szCs w:val="10"/>
                              </w:rPr>
                            </w:pPr>
                            <w:r>
                              <w:rPr>
                                <w:rFonts w:ascii="黑体" w:eastAsia="黑体" w:hAnsi="黑体" w:cs="黑体" w:hint="eastAsia"/>
                                <w:sz w:val="10"/>
                                <w:szCs w:val="10"/>
                              </w:rPr>
                              <w:t>循环水系统</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60647FB6" id="文本框 77" o:spid="_x0000_s1047" type="#_x0000_t202" style="position:absolute;left:0;text-align:left;margin-left:182.05pt;margin-top:160.65pt;width:30.1pt;height:20.75pt;z-index:2516669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" fillcolor="white [3212]" stroked="f" strokeweight=".5pt">
                <v:textbox>
                  <w:txbxContent>
                    <w:p w14:paraId="0BAFF2E9" w14:textId="77777777" w:rsidR="00B0005F" w:rsidRDefault="00000000">
                      <w:pPr>
                        <w:jc w:val="center"/>
                        <w:rPr>
                          <w:rFonts w:ascii="黑体" w:eastAsia="黑体" w:hAnsi="黑体" w:cs="黑体"/>
                          <w:sz w:val="10"/>
                          <w:szCs w:val="10"/>
                        </w:rPr>
                      </w:pPr>
                      <w:r>
                        <w:rPr>
                          <w:rFonts w:ascii="黑体" w:eastAsia="黑体" w:hAnsi="黑体" w:cs="黑体" w:hint="eastAsia"/>
                          <w:sz w:val="10"/>
                          <w:szCs w:val="10"/>
                        </w:rPr>
                        <w:t>循环水系统</w:t>
                      </w:r>
                    </w:p>
                  </w:txbxContent>
                </v:textbox>
              </v:shape>
            </w:pict>
          </mc:Fallback>
        </mc:AlternateContent>
      </w:r>
      <w:r w:rsidRPr="008A2411">
        <w:rPr>
          <w:noProof/>
          <w:color w:val="000000" w:themeColor="text1"/>
        </w:rPr>
        <w:drawing>
          <wp:inline distT="0" distB="0" distL="0" distR="0" wp14:anchorId="0F59FF0F" wp14:editId="0A9A952E">
            <wp:extent cx="5276850" cy="2566035"/>
            <wp:effectExtent l="0" t="0" r="11430" b="9525"/>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26" cstate="print">
                      <a:lum bright="-6000" contrast="18000"/>
                    </a:blip>
                    <a:srcRect l="2764" t="6558" r="1952"/>
                    <a:stretch>
                      <a:fillRect/>
                    </a:stretch>
                  </pic:blipFill>
                  <pic:spPr>
                    <a:xfrm>
                      <a:off x="0" y="0"/>
                      <a:ext cx="5276850" cy="2566035"/>
                    </a:xfrm>
                    <a:prstGeom prst="rect">
                      <a:avLst/>
                    </a:prstGeom>
                    <a:ln>
                      <a:noFill/>
                    </a:ln>
                  </pic:spPr>
                </pic:pic>
              </a:graphicData>
            </a:graphic>
          </wp:inline>
        </w:drawing>
      </w:r>
    </w:p>
    <w:p w14:paraId="78068EF0" w14:textId="77777777" w:rsidR="00B0005F" w:rsidRPr="008A2411" w:rsidRDefault="00000000">
      <w:pPr>
        <w:pStyle w:val="afffffffffffff7"/>
        <w:ind w:firstLineChars="0" w:firstLine="0"/>
        <w:jc w:val="center"/>
        <w:rPr>
          <w:rFonts w:eastAsia="黑体"/>
          <w:color w:val="000000" w:themeColor="text1"/>
          <w:sz w:val="24"/>
          <w:szCs w:val="24"/>
        </w:rPr>
      </w:pPr>
      <w:r w:rsidRPr="008A2411">
        <w:rPr>
          <w:rFonts w:eastAsia="黑体"/>
          <w:color w:val="000000" w:themeColor="text1"/>
          <w:sz w:val="24"/>
          <w:szCs w:val="24"/>
        </w:rPr>
        <w:t>图</w:t>
      </w:r>
      <w:r w:rsidRPr="008A2411">
        <w:rPr>
          <w:rFonts w:eastAsia="黑体"/>
          <w:color w:val="000000" w:themeColor="text1"/>
          <w:sz w:val="24"/>
          <w:szCs w:val="24"/>
        </w:rPr>
        <w:t xml:space="preserve">3.2-3  </w:t>
      </w:r>
      <w:r w:rsidRPr="008A2411">
        <w:rPr>
          <w:rFonts w:eastAsia="黑体"/>
          <w:color w:val="000000" w:themeColor="text1"/>
          <w:sz w:val="24"/>
          <w:szCs w:val="24"/>
        </w:rPr>
        <w:t>制冷循环系统工艺流程</w:t>
      </w:r>
      <w:proofErr w:type="gramStart"/>
      <w:r w:rsidRPr="008A2411">
        <w:rPr>
          <w:rFonts w:eastAsia="黑体"/>
          <w:color w:val="000000" w:themeColor="text1"/>
          <w:sz w:val="24"/>
          <w:szCs w:val="24"/>
        </w:rPr>
        <w:t>及产污位置图</w:t>
      </w:r>
      <w:proofErr w:type="gramEnd"/>
    </w:p>
    <w:p w14:paraId="2EA6732B" w14:textId="77777777" w:rsidR="00B0005F" w:rsidRPr="008A2411" w:rsidRDefault="00000000">
      <w:pPr>
        <w:pStyle w:val="afffffffffffff7"/>
        <w:adjustRightInd w:val="0"/>
        <w:snapToGrid w:val="0"/>
        <w:ind w:firstLine="482"/>
        <w:rPr>
          <w:b/>
          <w:color w:val="000000" w:themeColor="text1"/>
          <w:sz w:val="24"/>
          <w:szCs w:val="24"/>
        </w:rPr>
      </w:pPr>
      <w:r w:rsidRPr="008A2411">
        <w:rPr>
          <w:b/>
          <w:color w:val="000000" w:themeColor="text1"/>
          <w:sz w:val="24"/>
          <w:szCs w:val="24"/>
        </w:rPr>
        <w:t>（</w:t>
      </w:r>
      <w:r w:rsidRPr="008A2411">
        <w:rPr>
          <w:b/>
          <w:color w:val="000000" w:themeColor="text1"/>
          <w:sz w:val="24"/>
          <w:szCs w:val="24"/>
        </w:rPr>
        <w:t>3</w:t>
      </w:r>
      <w:r w:rsidRPr="008A2411">
        <w:rPr>
          <w:b/>
          <w:color w:val="000000" w:themeColor="text1"/>
          <w:sz w:val="24"/>
          <w:szCs w:val="24"/>
        </w:rPr>
        <w:t>）</w:t>
      </w:r>
      <w:r w:rsidRPr="008A2411">
        <w:rPr>
          <w:b/>
          <w:color w:val="000000" w:themeColor="text1"/>
          <w:sz w:val="24"/>
          <w:szCs w:val="24"/>
        </w:rPr>
        <w:t>BOG</w:t>
      </w:r>
      <w:r w:rsidRPr="008A2411">
        <w:rPr>
          <w:b/>
          <w:color w:val="000000" w:themeColor="text1"/>
          <w:sz w:val="24"/>
          <w:szCs w:val="24"/>
        </w:rPr>
        <w:t>压缩</w:t>
      </w:r>
    </w:p>
    <w:p w14:paraId="429CF457" w14:textId="77777777" w:rsidR="00B0005F" w:rsidRPr="008A2411" w:rsidRDefault="00000000">
      <w:pPr>
        <w:adjustRightInd w:val="0"/>
        <w:snapToGrid w:val="0"/>
        <w:spacing w:line="360" w:lineRule="auto"/>
        <w:ind w:firstLineChars="200" w:firstLine="480"/>
        <w:jc w:val="left"/>
        <w:rPr>
          <w:rFonts w:ascii="Times New Roman"/>
          <w:color w:val="000000" w:themeColor="text1"/>
          <w:szCs w:val="24"/>
        </w:rPr>
      </w:pPr>
      <w:r w:rsidRPr="008A2411">
        <w:rPr>
          <w:rFonts w:ascii="Times New Roman"/>
          <w:color w:val="000000" w:themeColor="text1"/>
          <w:kern w:val="2"/>
          <w:szCs w:val="24"/>
          <w:lang w:bidi="ar"/>
        </w:rPr>
        <w:t>来自液化天然气储罐的蒸发气经换热器升温后由蒸发气压缩机压缩。压缩机为螺杆压缩机，操作范围宽，而且可靠性高。</w:t>
      </w:r>
    </w:p>
    <w:p w14:paraId="1A567E88" w14:textId="77777777" w:rsidR="00B0005F" w:rsidRPr="008A2411" w:rsidRDefault="00000000">
      <w:pPr>
        <w:pStyle w:val="afffffffffffff7"/>
        <w:adjustRightInd w:val="0"/>
        <w:snapToGrid w:val="0"/>
        <w:ind w:firstLine="480"/>
        <w:rPr>
          <w:color w:val="000000" w:themeColor="text1"/>
          <w:sz w:val="24"/>
          <w:szCs w:val="24"/>
        </w:rPr>
      </w:pPr>
      <w:r w:rsidRPr="008A2411">
        <w:rPr>
          <w:color w:val="000000" w:themeColor="text1"/>
          <w:sz w:val="24"/>
          <w:szCs w:val="24"/>
          <w:lang w:bidi="ar"/>
        </w:rPr>
        <w:t>由于由液化天然气进入储罐时产生的闪蒸气、储罐吸热产生的闪蒸气、环境温度变化产生的气体、液化天然气进出储罐造成的气相变化等所组成，蒸发气的体积是连续变化的。而且蒸发气压缩机的吸入压力接近常压。蒸发气被压缩后送到燃料气系统，剩余部分送往下游天然气门站</w:t>
      </w:r>
      <w:r w:rsidRPr="008A2411">
        <w:rPr>
          <w:color w:val="000000" w:themeColor="text1"/>
          <w:sz w:val="24"/>
          <w:szCs w:val="24"/>
        </w:rPr>
        <w:t>。</w:t>
      </w:r>
    </w:p>
    <w:p w14:paraId="0340E17B" w14:textId="77777777" w:rsidR="00B0005F" w:rsidRPr="008A2411" w:rsidRDefault="00000000">
      <w:pPr>
        <w:pStyle w:val="afffffffffffff7"/>
        <w:adjustRightInd w:val="0"/>
        <w:snapToGrid w:val="0"/>
        <w:ind w:firstLine="482"/>
        <w:rPr>
          <w:b/>
          <w:color w:val="000000" w:themeColor="text1"/>
          <w:sz w:val="24"/>
          <w:szCs w:val="24"/>
        </w:rPr>
      </w:pPr>
      <w:r w:rsidRPr="008A2411">
        <w:rPr>
          <w:b/>
          <w:color w:val="000000" w:themeColor="text1"/>
          <w:sz w:val="24"/>
          <w:szCs w:val="24"/>
        </w:rPr>
        <w:t>3</w:t>
      </w:r>
      <w:r w:rsidRPr="008A2411">
        <w:rPr>
          <w:b/>
          <w:color w:val="000000" w:themeColor="text1"/>
          <w:sz w:val="24"/>
          <w:szCs w:val="24"/>
        </w:rPr>
        <w:t>、储运工序</w:t>
      </w:r>
    </w:p>
    <w:p w14:paraId="6B16D664" w14:textId="77777777" w:rsidR="00B0005F" w:rsidRPr="008A2411" w:rsidRDefault="00000000">
      <w:pPr>
        <w:pStyle w:val="afffffffffffff7"/>
        <w:adjustRightInd w:val="0"/>
        <w:snapToGrid w:val="0"/>
        <w:ind w:firstLine="480"/>
        <w:rPr>
          <w:color w:val="000000" w:themeColor="text1"/>
          <w:sz w:val="24"/>
          <w:szCs w:val="24"/>
        </w:rPr>
      </w:pPr>
      <w:r w:rsidRPr="008A2411">
        <w:rPr>
          <w:color w:val="000000" w:themeColor="text1"/>
          <w:kern w:val="0"/>
          <w:sz w:val="24"/>
          <w:szCs w:val="24"/>
        </w:rPr>
        <w:t>项目建设</w:t>
      </w:r>
      <w:r w:rsidRPr="008A2411">
        <w:rPr>
          <w:color w:val="000000" w:themeColor="text1"/>
          <w:kern w:val="0"/>
          <w:sz w:val="24"/>
          <w:szCs w:val="24"/>
        </w:rPr>
        <w:t>1</w:t>
      </w:r>
      <w:r w:rsidRPr="008A2411">
        <w:rPr>
          <w:color w:val="000000" w:themeColor="text1"/>
          <w:kern w:val="0"/>
          <w:sz w:val="24"/>
          <w:szCs w:val="24"/>
        </w:rPr>
        <w:t>个</w:t>
      </w:r>
      <w:r w:rsidRPr="008A2411">
        <w:rPr>
          <w:color w:val="000000" w:themeColor="text1"/>
          <w:kern w:val="0"/>
          <w:sz w:val="24"/>
          <w:szCs w:val="24"/>
        </w:rPr>
        <w:t>5000m</w:t>
      </w:r>
      <w:r w:rsidRPr="008A2411">
        <w:rPr>
          <w:color w:val="000000" w:themeColor="text1"/>
          <w:kern w:val="0"/>
          <w:sz w:val="24"/>
          <w:szCs w:val="24"/>
          <w:vertAlign w:val="superscript"/>
        </w:rPr>
        <w:t>3</w:t>
      </w:r>
      <w:r w:rsidRPr="008A2411">
        <w:rPr>
          <w:color w:val="000000" w:themeColor="text1"/>
          <w:kern w:val="0"/>
          <w:sz w:val="24"/>
          <w:szCs w:val="24"/>
        </w:rPr>
        <w:t>LNG</w:t>
      </w:r>
      <w:r w:rsidRPr="008A2411">
        <w:rPr>
          <w:color w:val="000000" w:themeColor="text1"/>
          <w:kern w:val="0"/>
          <w:sz w:val="24"/>
          <w:szCs w:val="24"/>
        </w:rPr>
        <w:t>储罐，采用</w:t>
      </w:r>
      <w:proofErr w:type="gramStart"/>
      <w:r w:rsidRPr="008A2411">
        <w:rPr>
          <w:color w:val="000000" w:themeColor="text1"/>
          <w:kern w:val="0"/>
          <w:sz w:val="24"/>
          <w:szCs w:val="24"/>
        </w:rPr>
        <w:t>单防罐</w:t>
      </w:r>
      <w:proofErr w:type="gramEnd"/>
      <w:r w:rsidRPr="008A2411">
        <w:rPr>
          <w:color w:val="000000" w:themeColor="text1"/>
          <w:kern w:val="0"/>
          <w:sz w:val="24"/>
          <w:szCs w:val="24"/>
        </w:rPr>
        <w:t>，内壁不锈钢</w:t>
      </w:r>
      <w:r w:rsidRPr="008A2411">
        <w:rPr>
          <w:color w:val="000000" w:themeColor="text1"/>
          <w:kern w:val="0"/>
          <w:sz w:val="24"/>
          <w:szCs w:val="24"/>
        </w:rPr>
        <w:t>304</w:t>
      </w:r>
      <w:r w:rsidRPr="008A2411">
        <w:rPr>
          <w:color w:val="000000" w:themeColor="text1"/>
          <w:kern w:val="0"/>
          <w:sz w:val="24"/>
          <w:szCs w:val="24"/>
        </w:rPr>
        <w:t>，外壁</w:t>
      </w:r>
      <w:r w:rsidRPr="008A2411">
        <w:rPr>
          <w:color w:val="000000" w:themeColor="text1"/>
          <w:kern w:val="0"/>
          <w:sz w:val="24"/>
          <w:szCs w:val="24"/>
        </w:rPr>
        <w:t>16MnR</w:t>
      </w:r>
      <w:r w:rsidRPr="008A2411">
        <w:rPr>
          <w:color w:val="000000" w:themeColor="text1"/>
          <w:kern w:val="0"/>
          <w:sz w:val="24"/>
          <w:szCs w:val="24"/>
        </w:rPr>
        <w:t>，中间是珠光</w:t>
      </w:r>
      <w:proofErr w:type="gramStart"/>
      <w:r w:rsidRPr="008A2411">
        <w:rPr>
          <w:color w:val="000000" w:themeColor="text1"/>
          <w:kern w:val="0"/>
          <w:sz w:val="24"/>
          <w:szCs w:val="24"/>
        </w:rPr>
        <w:t>砂</w:t>
      </w:r>
      <w:proofErr w:type="gramEnd"/>
      <w:r w:rsidRPr="008A2411">
        <w:rPr>
          <w:color w:val="000000" w:themeColor="text1"/>
          <w:kern w:val="0"/>
          <w:sz w:val="24"/>
          <w:szCs w:val="24"/>
        </w:rPr>
        <w:t>填充；运输方式以有效容积</w:t>
      </w:r>
      <w:r w:rsidRPr="008A2411">
        <w:rPr>
          <w:color w:val="000000" w:themeColor="text1"/>
          <w:kern w:val="0"/>
          <w:sz w:val="24"/>
          <w:szCs w:val="24"/>
        </w:rPr>
        <w:t>50 m</w:t>
      </w:r>
      <w:r w:rsidRPr="008A2411">
        <w:rPr>
          <w:color w:val="000000" w:themeColor="text1"/>
          <w:kern w:val="0"/>
          <w:sz w:val="24"/>
          <w:szCs w:val="24"/>
          <w:vertAlign w:val="superscript"/>
        </w:rPr>
        <w:t>3</w:t>
      </w:r>
      <w:r w:rsidRPr="008A2411">
        <w:rPr>
          <w:color w:val="000000" w:themeColor="text1"/>
          <w:kern w:val="0"/>
          <w:sz w:val="24"/>
          <w:szCs w:val="24"/>
        </w:rPr>
        <w:t>的专业低温槽车运输。</w:t>
      </w:r>
    </w:p>
    <w:p w14:paraId="662BA8B3" w14:textId="77777777" w:rsidR="00B0005F" w:rsidRPr="008A2411" w:rsidRDefault="00000000">
      <w:pPr>
        <w:pStyle w:val="afffffffffffff7"/>
        <w:adjustRightInd w:val="0"/>
        <w:snapToGrid w:val="0"/>
        <w:ind w:firstLine="482"/>
        <w:rPr>
          <w:b/>
          <w:color w:val="000000" w:themeColor="text1"/>
          <w:sz w:val="24"/>
          <w:szCs w:val="24"/>
        </w:rPr>
      </w:pPr>
      <w:r w:rsidRPr="008A2411">
        <w:rPr>
          <w:b/>
          <w:color w:val="000000" w:themeColor="text1"/>
          <w:sz w:val="24"/>
          <w:szCs w:val="24"/>
        </w:rPr>
        <w:t>4</w:t>
      </w:r>
      <w:r w:rsidRPr="008A2411">
        <w:rPr>
          <w:b/>
          <w:color w:val="000000" w:themeColor="text1"/>
          <w:sz w:val="24"/>
          <w:szCs w:val="24"/>
        </w:rPr>
        <w:t>、装车外售</w:t>
      </w:r>
    </w:p>
    <w:p w14:paraId="33F3BADD" w14:textId="77777777" w:rsidR="00B0005F" w:rsidRPr="008A2411" w:rsidRDefault="00000000">
      <w:pPr>
        <w:pStyle w:val="afffffffffffff7"/>
        <w:adjustRightInd w:val="0"/>
        <w:snapToGrid w:val="0"/>
        <w:ind w:firstLine="480"/>
        <w:rPr>
          <w:color w:val="000000" w:themeColor="text1"/>
          <w:sz w:val="24"/>
          <w:szCs w:val="24"/>
        </w:rPr>
      </w:pPr>
      <w:r w:rsidRPr="008A2411">
        <w:rPr>
          <w:color w:val="000000" w:themeColor="text1"/>
          <w:sz w:val="24"/>
          <w:szCs w:val="24"/>
        </w:rPr>
        <w:t>LNG</w:t>
      </w:r>
      <w:r w:rsidRPr="008A2411">
        <w:rPr>
          <w:color w:val="000000" w:themeColor="text1"/>
          <w:sz w:val="24"/>
          <w:szCs w:val="24"/>
        </w:rPr>
        <w:t>产品通过</w:t>
      </w:r>
      <w:r w:rsidRPr="008A2411">
        <w:rPr>
          <w:color w:val="000000" w:themeColor="text1"/>
          <w:sz w:val="24"/>
          <w:szCs w:val="24"/>
        </w:rPr>
        <w:t>LNG</w:t>
      </w:r>
      <w:r w:rsidRPr="008A2411">
        <w:rPr>
          <w:color w:val="000000" w:themeColor="text1"/>
          <w:sz w:val="24"/>
          <w:szCs w:val="24"/>
        </w:rPr>
        <w:t>槽车外运，</w:t>
      </w:r>
      <w:r w:rsidRPr="008A2411">
        <w:rPr>
          <w:color w:val="000000" w:themeColor="text1"/>
          <w:sz w:val="24"/>
          <w:szCs w:val="24"/>
        </w:rPr>
        <w:t>LNG</w:t>
      </w:r>
      <w:r w:rsidRPr="008A2411">
        <w:rPr>
          <w:color w:val="000000" w:themeColor="text1"/>
          <w:sz w:val="24"/>
          <w:szCs w:val="24"/>
        </w:rPr>
        <w:t>槽车装车采用装车臂装车。设置</w:t>
      </w:r>
      <w:r w:rsidRPr="008A2411">
        <w:rPr>
          <w:color w:val="000000" w:themeColor="text1"/>
          <w:sz w:val="24"/>
          <w:szCs w:val="24"/>
        </w:rPr>
        <w:t>2</w:t>
      </w:r>
      <w:r w:rsidRPr="008A2411">
        <w:rPr>
          <w:color w:val="000000" w:themeColor="text1"/>
          <w:sz w:val="24"/>
          <w:szCs w:val="24"/>
        </w:rPr>
        <w:t>台装车泵，单台泵的额定流量为</w:t>
      </w:r>
      <w:r w:rsidRPr="008A2411">
        <w:rPr>
          <w:color w:val="000000" w:themeColor="text1"/>
          <w:sz w:val="24"/>
          <w:szCs w:val="24"/>
        </w:rPr>
        <w:t>80m</w:t>
      </w:r>
      <w:r w:rsidRPr="008A2411">
        <w:rPr>
          <w:color w:val="000000" w:themeColor="text1"/>
          <w:sz w:val="24"/>
          <w:szCs w:val="24"/>
          <w:vertAlign w:val="superscript"/>
        </w:rPr>
        <w:t>3</w:t>
      </w:r>
      <w:r w:rsidRPr="008A2411">
        <w:rPr>
          <w:color w:val="000000" w:themeColor="text1"/>
          <w:sz w:val="24"/>
          <w:szCs w:val="24"/>
        </w:rPr>
        <w:t>/h</w:t>
      </w:r>
      <w:r w:rsidRPr="008A2411">
        <w:rPr>
          <w:color w:val="000000" w:themeColor="text1"/>
          <w:sz w:val="24"/>
          <w:szCs w:val="24"/>
        </w:rPr>
        <w:t>，扬程</w:t>
      </w:r>
      <w:r w:rsidRPr="008A2411">
        <w:rPr>
          <w:color w:val="000000" w:themeColor="text1"/>
          <w:sz w:val="24"/>
          <w:szCs w:val="24"/>
        </w:rPr>
        <w:t>60m</w:t>
      </w:r>
      <w:r w:rsidRPr="008A2411">
        <w:rPr>
          <w:color w:val="000000" w:themeColor="text1"/>
          <w:sz w:val="24"/>
          <w:szCs w:val="24"/>
        </w:rPr>
        <w:t>。共设置</w:t>
      </w:r>
      <w:r w:rsidRPr="008A2411">
        <w:rPr>
          <w:color w:val="000000" w:themeColor="text1"/>
          <w:sz w:val="24"/>
          <w:szCs w:val="24"/>
        </w:rPr>
        <w:t>3</w:t>
      </w:r>
      <w:r w:rsidRPr="008A2411">
        <w:rPr>
          <w:color w:val="000000" w:themeColor="text1"/>
          <w:sz w:val="24"/>
          <w:szCs w:val="24"/>
        </w:rPr>
        <w:t>个装车位，装车臂的气液相管径均为</w:t>
      </w:r>
      <w:r w:rsidRPr="008A2411">
        <w:rPr>
          <w:color w:val="000000" w:themeColor="text1"/>
          <w:sz w:val="24"/>
          <w:szCs w:val="24"/>
        </w:rPr>
        <w:t>DN80</w:t>
      </w:r>
      <w:r w:rsidRPr="008A2411">
        <w:rPr>
          <w:color w:val="000000" w:themeColor="text1"/>
          <w:sz w:val="24"/>
          <w:szCs w:val="24"/>
        </w:rPr>
        <w:t>，与槽车的接口均采用</w:t>
      </w:r>
      <w:r w:rsidRPr="008A2411">
        <w:rPr>
          <w:color w:val="000000" w:themeColor="text1"/>
          <w:sz w:val="24"/>
          <w:szCs w:val="24"/>
        </w:rPr>
        <w:t>DN50</w:t>
      </w:r>
      <w:r w:rsidRPr="008A2411">
        <w:rPr>
          <w:color w:val="000000" w:themeColor="text1"/>
          <w:sz w:val="24"/>
          <w:szCs w:val="24"/>
        </w:rPr>
        <w:t>。</w:t>
      </w:r>
      <w:r w:rsidRPr="008A2411">
        <w:rPr>
          <w:color w:val="000000" w:themeColor="text1"/>
          <w:sz w:val="24"/>
          <w:szCs w:val="24"/>
        </w:rPr>
        <w:t>LNG</w:t>
      </w:r>
      <w:r w:rsidRPr="008A2411">
        <w:rPr>
          <w:color w:val="000000" w:themeColor="text1"/>
          <w:sz w:val="24"/>
          <w:szCs w:val="24"/>
        </w:rPr>
        <w:t>槽车容量一般为</w:t>
      </w:r>
      <w:r w:rsidRPr="008A2411">
        <w:rPr>
          <w:color w:val="000000" w:themeColor="text1"/>
          <w:sz w:val="24"/>
          <w:szCs w:val="24"/>
        </w:rPr>
        <w:t>50-55m</w:t>
      </w:r>
      <w:r w:rsidRPr="008A2411">
        <w:rPr>
          <w:color w:val="000000" w:themeColor="text1"/>
          <w:sz w:val="24"/>
          <w:szCs w:val="24"/>
          <w:vertAlign w:val="superscript"/>
        </w:rPr>
        <w:t>3</w:t>
      </w:r>
      <w:r w:rsidRPr="008A2411">
        <w:rPr>
          <w:color w:val="000000" w:themeColor="text1"/>
          <w:sz w:val="24"/>
          <w:szCs w:val="24"/>
        </w:rPr>
        <w:t>，考虑充装系数为</w:t>
      </w:r>
      <w:r w:rsidRPr="008A2411">
        <w:rPr>
          <w:color w:val="000000" w:themeColor="text1"/>
          <w:sz w:val="24"/>
          <w:szCs w:val="24"/>
        </w:rPr>
        <w:t>0.9</w:t>
      </w:r>
      <w:r w:rsidRPr="008A2411">
        <w:rPr>
          <w:color w:val="000000" w:themeColor="text1"/>
          <w:sz w:val="24"/>
          <w:szCs w:val="24"/>
        </w:rPr>
        <w:t>，每次运输约</w:t>
      </w:r>
      <w:r w:rsidRPr="008A2411">
        <w:rPr>
          <w:color w:val="000000" w:themeColor="text1"/>
          <w:sz w:val="24"/>
          <w:szCs w:val="24"/>
        </w:rPr>
        <w:t>45~50m</w:t>
      </w:r>
      <w:r w:rsidRPr="008A2411">
        <w:rPr>
          <w:color w:val="000000" w:themeColor="text1"/>
          <w:sz w:val="24"/>
          <w:szCs w:val="24"/>
          <w:vertAlign w:val="superscript"/>
        </w:rPr>
        <w:t>3</w:t>
      </w:r>
      <w:r w:rsidRPr="008A2411">
        <w:rPr>
          <w:color w:val="000000" w:themeColor="text1"/>
          <w:sz w:val="24"/>
          <w:szCs w:val="24"/>
        </w:rPr>
        <w:t>的</w:t>
      </w:r>
      <w:r w:rsidRPr="008A2411">
        <w:rPr>
          <w:color w:val="000000" w:themeColor="text1"/>
          <w:sz w:val="24"/>
          <w:szCs w:val="24"/>
        </w:rPr>
        <w:t>LNG</w:t>
      </w:r>
      <w:r w:rsidRPr="008A2411">
        <w:rPr>
          <w:color w:val="000000" w:themeColor="text1"/>
          <w:sz w:val="24"/>
          <w:szCs w:val="24"/>
        </w:rPr>
        <w:t>产品。</w:t>
      </w:r>
    </w:p>
    <w:p w14:paraId="28546FFA" w14:textId="77777777" w:rsidR="00B0005F" w:rsidRPr="008A2411" w:rsidRDefault="00000000">
      <w:pPr>
        <w:pStyle w:val="afffffffffffff7"/>
        <w:adjustRightInd w:val="0"/>
        <w:snapToGrid w:val="0"/>
        <w:ind w:firstLine="482"/>
        <w:rPr>
          <w:b/>
          <w:color w:val="000000" w:themeColor="text1"/>
          <w:sz w:val="24"/>
          <w:szCs w:val="24"/>
        </w:rPr>
      </w:pPr>
      <w:r w:rsidRPr="008A2411">
        <w:rPr>
          <w:b/>
          <w:color w:val="000000" w:themeColor="text1"/>
          <w:sz w:val="24"/>
          <w:szCs w:val="24"/>
        </w:rPr>
        <w:lastRenderedPageBreak/>
        <w:t>5</w:t>
      </w:r>
      <w:r w:rsidRPr="008A2411">
        <w:rPr>
          <w:b/>
          <w:color w:val="000000" w:themeColor="text1"/>
          <w:sz w:val="24"/>
          <w:szCs w:val="24"/>
        </w:rPr>
        <w:t>、氮气制备</w:t>
      </w:r>
    </w:p>
    <w:p w14:paraId="4A588C6E" w14:textId="77777777" w:rsidR="00B0005F" w:rsidRPr="008A2411" w:rsidRDefault="00000000">
      <w:pPr>
        <w:pStyle w:val="afffffffffffff7"/>
        <w:adjustRightInd w:val="0"/>
        <w:snapToGrid w:val="0"/>
        <w:ind w:firstLine="480"/>
        <w:rPr>
          <w:color w:val="000000" w:themeColor="text1"/>
          <w:sz w:val="24"/>
          <w:szCs w:val="24"/>
        </w:rPr>
      </w:pPr>
      <w:r w:rsidRPr="008A2411">
        <w:rPr>
          <w:color w:val="000000" w:themeColor="text1"/>
          <w:sz w:val="24"/>
          <w:szCs w:val="24"/>
        </w:rPr>
        <w:t>氮气站主要向</w:t>
      </w:r>
      <w:r w:rsidRPr="008A2411">
        <w:rPr>
          <w:color w:val="000000" w:themeColor="text1"/>
          <w:sz w:val="24"/>
          <w:szCs w:val="24"/>
        </w:rPr>
        <w:t>LNG</w:t>
      </w:r>
      <w:r w:rsidRPr="008A2411">
        <w:rPr>
          <w:color w:val="000000" w:themeColor="text1"/>
          <w:sz w:val="24"/>
          <w:szCs w:val="24"/>
        </w:rPr>
        <w:t>生产装置及</w:t>
      </w:r>
      <w:r w:rsidRPr="008A2411">
        <w:rPr>
          <w:color w:val="000000" w:themeColor="text1"/>
          <w:sz w:val="24"/>
          <w:szCs w:val="24"/>
        </w:rPr>
        <w:t>LNG</w:t>
      </w:r>
      <w:r w:rsidRPr="008A2411">
        <w:rPr>
          <w:color w:val="000000" w:themeColor="text1"/>
          <w:sz w:val="24"/>
          <w:szCs w:val="24"/>
        </w:rPr>
        <w:t>储罐区提供</w:t>
      </w:r>
      <w:r w:rsidRPr="008A2411">
        <w:rPr>
          <w:color w:val="000000" w:themeColor="text1"/>
          <w:sz w:val="24"/>
          <w:szCs w:val="24"/>
        </w:rPr>
        <w:t>0.6MPa</w:t>
      </w:r>
      <w:r w:rsidRPr="008A2411">
        <w:rPr>
          <w:color w:val="000000" w:themeColor="text1"/>
          <w:sz w:val="24"/>
          <w:szCs w:val="24"/>
        </w:rPr>
        <w:t>，纯度</w:t>
      </w:r>
      <w:r w:rsidRPr="008A2411">
        <w:rPr>
          <w:color w:val="000000" w:themeColor="text1"/>
          <w:sz w:val="24"/>
          <w:szCs w:val="24"/>
        </w:rPr>
        <w:t>99.9%</w:t>
      </w:r>
      <w:r w:rsidRPr="008A2411">
        <w:rPr>
          <w:color w:val="000000" w:themeColor="text1"/>
          <w:sz w:val="24"/>
          <w:szCs w:val="24"/>
        </w:rPr>
        <w:t>的氮气。</w:t>
      </w:r>
    </w:p>
    <w:p w14:paraId="42104428" w14:textId="77777777" w:rsidR="00B0005F" w:rsidRPr="008A2411" w:rsidRDefault="00000000">
      <w:pPr>
        <w:pStyle w:val="afffffffffffff7"/>
        <w:adjustRightInd w:val="0"/>
        <w:snapToGrid w:val="0"/>
        <w:ind w:firstLine="480"/>
        <w:rPr>
          <w:color w:val="000000" w:themeColor="text1"/>
          <w:sz w:val="24"/>
          <w:szCs w:val="24"/>
        </w:rPr>
      </w:pPr>
      <w:r w:rsidRPr="008A2411">
        <w:rPr>
          <w:noProof/>
          <w:color w:val="000000" w:themeColor="text1"/>
          <w:sz w:val="24"/>
        </w:rPr>
        <mc:AlternateContent>
          <mc:Choice Requires="wps">
            <w:drawing>
              <wp:anchor distT="0" distB="0" distL="114300" distR="114300" simplePos="0" relativeHeight="251737600" behindDoc="0" locked="0" layoutInCell="1" allowOverlap="1" wp14:anchorId="6759B810" wp14:editId="77F71A0C">
                <wp:simplePos x="0" y="0"/>
                <wp:positionH relativeFrom="column">
                  <wp:posOffset>2505075</wp:posOffset>
                </wp:positionH>
                <wp:positionV relativeFrom="paragraph">
                  <wp:posOffset>1356360</wp:posOffset>
                </wp:positionV>
                <wp:extent cx="790575" cy="285750"/>
                <wp:effectExtent l="0" t="0" r="0" b="0"/>
                <wp:wrapNone/>
                <wp:docPr id="127" name="文本框 127"/>
                <wp:cNvGraphicFramePr/>
                <a:graphic xmlns:a="http://schemas.openxmlformats.org/drawingml/2006/main">
                  <a:graphicData uri="http://schemas.microsoft.com/office/word/2010/wordprocessingShape">
                    <wps:wsp>
                      <wps:cNvSpPr txBox="1"/>
                      <wps:spPr>
                        <a:xfrm>
                          <a:off x="0" y="0"/>
                          <a:ext cx="790575" cy="28575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7661E49" w14:textId="77777777" w:rsidR="00B0005F" w:rsidRDefault="00000000">
                            <w:pPr>
                              <w:adjustRightInd w:val="0"/>
                              <w:snapToGrid w:val="0"/>
                              <w:rPr>
                                <w:sz w:val="20"/>
                                <w:szCs w:val="15"/>
                              </w:rPr>
                            </w:pPr>
                            <w:r>
                              <w:rPr>
                                <w:rFonts w:hint="eastAsia"/>
                                <w:sz w:val="20"/>
                                <w:szCs w:val="15"/>
                              </w:rPr>
                              <w:t>废过滤器</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6759B810" id="文本框 127" o:spid="_x0000_s1048" type="#_x0000_t202" style="position:absolute;left:0;text-align:left;margin-left:197.25pt;margin-top:106.8pt;width:62.25pt;height:22.5pt;z-index:2517376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" filled="f" stroked="f" strokeweight=".5pt">
                <v:textbox>
                  <w:txbxContent>
                    <w:p w14:paraId="17661E49" w14:textId="77777777" w:rsidR="00B0005F" w:rsidRDefault="00000000">
                      <w:pPr>
                        <w:adjustRightInd w:val="0"/>
                        <w:snapToGrid w:val="0"/>
                        <w:rPr>
                          <w:sz w:val="20"/>
                          <w:szCs w:val="15"/>
                        </w:rPr>
                      </w:pPr>
                      <w:r>
                        <w:rPr>
                          <w:rFonts w:hint="eastAsia"/>
                          <w:sz w:val="20"/>
                          <w:szCs w:val="15"/>
                        </w:rPr>
                        <w:t>废过滤器</w:t>
                      </w:r>
                    </w:p>
                  </w:txbxContent>
                </v:textbox>
              </v:shape>
            </w:pict>
          </mc:Fallback>
        </mc:AlternateContent>
      </w:r>
      <w:r w:rsidRPr="008A2411">
        <w:rPr>
          <w:noProof/>
          <w:color w:val="000000" w:themeColor="text1"/>
          <w:sz w:val="24"/>
        </w:rPr>
        <mc:AlternateContent>
          <mc:Choice Requires="wps">
            <w:drawing>
              <wp:anchor distT="0" distB="0" distL="114300" distR="114300" simplePos="0" relativeHeight="251731456" behindDoc="0" locked="0" layoutInCell="1" allowOverlap="1" wp14:anchorId="5DAF2F33" wp14:editId="24B2A6A6">
                <wp:simplePos x="0" y="0"/>
                <wp:positionH relativeFrom="column">
                  <wp:posOffset>552450</wp:posOffset>
                </wp:positionH>
                <wp:positionV relativeFrom="paragraph">
                  <wp:posOffset>1445260</wp:posOffset>
                </wp:positionV>
                <wp:extent cx="495300" cy="285750"/>
                <wp:effectExtent l="0" t="0" r="7620" b="3810"/>
                <wp:wrapNone/>
                <wp:docPr id="126" name="文本框 126"/>
                <wp:cNvGraphicFramePr/>
                <a:graphic xmlns:a="http://schemas.openxmlformats.org/drawingml/2006/main">
                  <a:graphicData uri="http://schemas.microsoft.com/office/word/2010/wordprocessingShape">
                    <wps:wsp>
                      <wps:cNvSpPr txBox="1"/>
                      <wps:spPr>
                        <a:xfrm>
                          <a:off x="1752600" y="5610860"/>
                          <a:ext cx="495300" cy="28575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E3B5B1B" w14:textId="77777777" w:rsidR="00B0005F" w:rsidRDefault="00000000">
                            <w:pPr>
                              <w:adjustRightInd w:val="0"/>
                              <w:snapToGrid w:val="0"/>
                              <w:rPr>
                                <w:sz w:val="20"/>
                                <w:szCs w:val="15"/>
                              </w:rPr>
                            </w:pPr>
                            <w:r>
                              <w:rPr>
                                <w:rFonts w:hint="eastAsia"/>
                                <w:sz w:val="20"/>
                                <w:szCs w:val="15"/>
                              </w:rPr>
                              <w:t>噪声</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5DAF2F33" id="文本框 126" o:spid="_x0000_s1049" type="#_x0000_t202" style="position:absolute;left:0;text-align:left;margin-left:43.5pt;margin-top:113.8pt;width:39pt;height:22.5pt;z-index:2517314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" filled="f" stroked="f" strokeweight=".5pt">
                <v:textbox>
                  <w:txbxContent>
                    <w:p w14:paraId="4E3B5B1B" w14:textId="77777777" w:rsidR="00B0005F" w:rsidRDefault="00000000">
                      <w:pPr>
                        <w:adjustRightInd w:val="0"/>
                        <w:snapToGrid w:val="0"/>
                        <w:rPr>
                          <w:sz w:val="20"/>
                          <w:szCs w:val="15"/>
                        </w:rPr>
                      </w:pPr>
                      <w:r>
                        <w:rPr>
                          <w:rFonts w:hint="eastAsia"/>
                          <w:sz w:val="20"/>
                          <w:szCs w:val="15"/>
                        </w:rPr>
                        <w:t>噪声</w:t>
                      </w:r>
                    </w:p>
                  </w:txbxContent>
                </v:textbox>
              </v:shape>
            </w:pict>
          </mc:Fallback>
        </mc:AlternateContent>
      </w:r>
      <w:r w:rsidRPr="008A2411">
        <w:rPr>
          <w:color w:val="000000" w:themeColor="text1"/>
          <w:sz w:val="24"/>
          <w:szCs w:val="24"/>
        </w:rPr>
        <w:t>根据纯度和用量，</w:t>
      </w:r>
      <w:proofErr w:type="gramStart"/>
      <w:r w:rsidRPr="008A2411">
        <w:rPr>
          <w:color w:val="000000" w:themeColor="text1"/>
          <w:sz w:val="24"/>
          <w:szCs w:val="24"/>
        </w:rPr>
        <w:t>供氮方式</w:t>
      </w:r>
      <w:proofErr w:type="gramEnd"/>
      <w:r w:rsidRPr="008A2411">
        <w:rPr>
          <w:color w:val="000000" w:themeColor="text1"/>
          <w:sz w:val="24"/>
          <w:szCs w:val="24"/>
        </w:rPr>
        <w:t>选用成套的</w:t>
      </w:r>
      <w:r w:rsidRPr="008A2411">
        <w:rPr>
          <w:color w:val="000000" w:themeColor="text1"/>
          <w:sz w:val="24"/>
          <w:szCs w:val="24"/>
        </w:rPr>
        <w:t>PSA</w:t>
      </w:r>
      <w:r w:rsidRPr="008A2411">
        <w:rPr>
          <w:color w:val="000000" w:themeColor="text1"/>
          <w:sz w:val="24"/>
          <w:szCs w:val="24"/>
        </w:rPr>
        <w:t>变压吸附式装置。</w:t>
      </w:r>
      <w:r w:rsidRPr="008A2411">
        <w:rPr>
          <w:color w:val="000000" w:themeColor="text1"/>
          <w:sz w:val="24"/>
          <w:szCs w:val="24"/>
        </w:rPr>
        <w:t>PSA</w:t>
      </w:r>
      <w:r w:rsidRPr="008A2411">
        <w:rPr>
          <w:color w:val="000000" w:themeColor="text1"/>
          <w:sz w:val="24"/>
          <w:szCs w:val="24"/>
        </w:rPr>
        <w:t>装置包括过滤器、吸附系统等设备。根据工艺装置生产的要求，项目</w:t>
      </w:r>
      <w:r w:rsidRPr="008A2411">
        <w:rPr>
          <w:color w:val="000000" w:themeColor="text1"/>
          <w:sz w:val="24"/>
          <w:szCs w:val="24"/>
        </w:rPr>
        <w:t>PSA</w:t>
      </w:r>
      <w:r w:rsidRPr="008A2411">
        <w:rPr>
          <w:color w:val="000000" w:themeColor="text1"/>
          <w:sz w:val="24"/>
          <w:szCs w:val="24"/>
        </w:rPr>
        <w:t>变压吸附制氮装置产气量为</w:t>
      </w:r>
      <w:r w:rsidRPr="008A2411">
        <w:rPr>
          <w:color w:val="000000" w:themeColor="text1"/>
          <w:sz w:val="24"/>
          <w:szCs w:val="24"/>
        </w:rPr>
        <w:t>150Nm</w:t>
      </w:r>
      <w:r w:rsidRPr="008A2411">
        <w:rPr>
          <w:color w:val="000000" w:themeColor="text1"/>
          <w:sz w:val="24"/>
          <w:szCs w:val="24"/>
          <w:vertAlign w:val="superscript"/>
        </w:rPr>
        <w:t>3</w:t>
      </w:r>
      <w:r w:rsidRPr="008A2411">
        <w:rPr>
          <w:color w:val="000000" w:themeColor="text1"/>
          <w:sz w:val="24"/>
          <w:szCs w:val="24"/>
        </w:rPr>
        <w:t>/h</w:t>
      </w:r>
      <w:r w:rsidRPr="008A2411">
        <w:rPr>
          <w:color w:val="000000" w:themeColor="text1"/>
          <w:sz w:val="24"/>
          <w:szCs w:val="24"/>
        </w:rPr>
        <w:t>，出口氮气纯度为</w:t>
      </w:r>
      <w:r w:rsidRPr="008A2411">
        <w:rPr>
          <w:color w:val="000000" w:themeColor="text1"/>
          <w:sz w:val="24"/>
          <w:szCs w:val="24"/>
        </w:rPr>
        <w:t>99.9</w:t>
      </w:r>
      <w:r w:rsidRPr="008A2411">
        <w:rPr>
          <w:color w:val="000000" w:themeColor="text1"/>
          <w:sz w:val="24"/>
          <w:szCs w:val="24"/>
        </w:rPr>
        <w:t>％。液氮采用</w:t>
      </w:r>
      <w:r w:rsidRPr="008A2411">
        <w:rPr>
          <w:color w:val="000000" w:themeColor="text1"/>
          <w:sz w:val="24"/>
          <w:szCs w:val="24"/>
        </w:rPr>
        <w:t>30.16 m</w:t>
      </w:r>
      <w:r w:rsidRPr="008A2411">
        <w:rPr>
          <w:color w:val="000000" w:themeColor="text1"/>
          <w:sz w:val="24"/>
          <w:szCs w:val="24"/>
          <w:vertAlign w:val="superscript"/>
        </w:rPr>
        <w:t>3</w:t>
      </w:r>
      <w:r w:rsidRPr="008A2411">
        <w:rPr>
          <w:color w:val="000000" w:themeColor="text1"/>
          <w:sz w:val="24"/>
          <w:szCs w:val="24"/>
        </w:rPr>
        <w:t>立式真空夹层储罐</w:t>
      </w:r>
      <w:r w:rsidRPr="008A2411">
        <w:rPr>
          <w:color w:val="000000" w:themeColor="text1"/>
          <w:sz w:val="24"/>
          <w:szCs w:val="24"/>
        </w:rPr>
        <w:t>1</w:t>
      </w:r>
      <w:r w:rsidRPr="008A2411">
        <w:rPr>
          <w:color w:val="000000" w:themeColor="text1"/>
          <w:sz w:val="24"/>
          <w:szCs w:val="24"/>
        </w:rPr>
        <w:t>台，空温式汽化器</w:t>
      </w:r>
      <w:r w:rsidRPr="008A2411">
        <w:rPr>
          <w:color w:val="000000" w:themeColor="text1"/>
          <w:sz w:val="24"/>
          <w:szCs w:val="24"/>
        </w:rPr>
        <w:t>1</w:t>
      </w:r>
      <w:r w:rsidRPr="008A2411">
        <w:rPr>
          <w:color w:val="000000" w:themeColor="text1"/>
          <w:sz w:val="24"/>
          <w:szCs w:val="24"/>
        </w:rPr>
        <w:t>台，处理气量为</w:t>
      </w:r>
      <w:r w:rsidRPr="008A2411">
        <w:rPr>
          <w:color w:val="000000" w:themeColor="text1"/>
          <w:sz w:val="24"/>
          <w:szCs w:val="24"/>
        </w:rPr>
        <w:t>500Nm³/h</w:t>
      </w:r>
      <w:r w:rsidRPr="008A2411">
        <w:rPr>
          <w:color w:val="000000" w:themeColor="text1"/>
          <w:sz w:val="24"/>
          <w:szCs w:val="24"/>
        </w:rPr>
        <w:t>。项目制氮工艺如下图</w:t>
      </w:r>
      <w:r w:rsidRPr="008A2411">
        <w:rPr>
          <w:color w:val="000000" w:themeColor="text1"/>
          <w:sz w:val="24"/>
          <w:szCs w:val="24"/>
        </w:rPr>
        <w:t>3.2-4</w:t>
      </w:r>
      <w:r w:rsidRPr="008A2411">
        <w:rPr>
          <w:color w:val="000000" w:themeColor="text1"/>
          <w:sz w:val="24"/>
          <w:szCs w:val="24"/>
        </w:rPr>
        <w:t>所示。</w:t>
      </w:r>
    </w:p>
    <w:p w14:paraId="56230462" w14:textId="77777777" w:rsidR="00B0005F" w:rsidRPr="008A2411" w:rsidRDefault="00000000">
      <w:pPr>
        <w:pStyle w:val="WJ3"/>
        <w:snapToGrid/>
        <w:spacing w:line="360" w:lineRule="auto"/>
        <w:jc w:val="center"/>
        <w:outlineLvl w:val="9"/>
        <w:rPr>
          <w:rFonts w:ascii="Times New Roman" w:hAnsi="Times New Roman"/>
          <w:b w:val="0"/>
          <w:color w:val="000000" w:themeColor="text1"/>
          <w:lang w:bidi="ar-SA"/>
        </w:rPr>
      </w:pPr>
      <w:r w:rsidRPr="008A2411">
        <w:rPr>
          <w:noProof/>
          <w:color w:val="000000" w:themeColor="text1"/>
        </w:rPr>
        <mc:AlternateContent>
          <mc:Choice Requires="wps">
            <w:drawing>
              <wp:anchor distT="0" distB="0" distL="114300" distR="114300" simplePos="0" relativeHeight="251734528" behindDoc="0" locked="0" layoutInCell="1" allowOverlap="1" wp14:anchorId="74AFF017" wp14:editId="1C9A8EA1">
                <wp:simplePos x="0" y="0"/>
                <wp:positionH relativeFrom="column">
                  <wp:posOffset>2247900</wp:posOffset>
                </wp:positionH>
                <wp:positionV relativeFrom="paragraph">
                  <wp:posOffset>95885</wp:posOffset>
                </wp:positionV>
                <wp:extent cx="247650" cy="142875"/>
                <wp:effectExtent l="0" t="46355" r="11430" b="8890"/>
                <wp:wrapNone/>
                <wp:docPr id="128" name="曲线连接符 128"/>
                <wp:cNvGraphicFramePr/>
                <a:graphic xmlns:a="http://schemas.openxmlformats.org/drawingml/2006/main">
                  <a:graphicData uri="http://schemas.microsoft.com/office/word/2010/wordprocessingShape">
                    <wps:wsp>
                      <wps:cNvCnPr/>
                      <wps:spPr>
                        <a:xfrm flipV="1">
                          <a:off x="0" y="0"/>
                          <a:ext cx="247650" cy="142875"/>
                        </a:xfrm>
                        <a:prstGeom prst="curvedConnector3">
                          <a:avLst>
                            <a:gd name="adj1" fmla="val 50256"/>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42F1D84C" id="_x0000_t38" coordsize="21600,21600" o:spt="38" o:oned="t" path="m,c@0,0@1,5400@1,10800@1,16200@2,21600,21600,21600e" filled="f">
                <v:formulas>
                  <v:f eqn="mid #0 0"/>
                  <v:f eqn="val #0"/>
                  <v:f eqn="mid #0 21600"/>
                </v:formulas>
                <v:path arrowok="t" fillok="f" o:connecttype="none"/>
                <v:handles>
                  <v:h position="#0,center"/>
                </v:handles>
                <o:lock v:ext="edit" shapetype="t"/>
              </v:shapetype>
              <v:shape id="曲线连接符 128" o:spid="_x0000_s1026" type="#_x0000_t38" style="position:absolute;left:0;text-align:left;margin-left:177pt;margin-top:7.55pt;width:19.5pt;height:11.25pt;flip:y;z-index:2517345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" adj="10855" strokecolor="black [3213]">
                <v:stroke endarrow="open"/>
              </v:shape>
            </w:pict>
          </mc:Fallback>
        </mc:AlternateContent>
      </w:r>
      <w:r w:rsidRPr="008A2411">
        <w:rPr>
          <w:noProof/>
          <w:color w:val="000000" w:themeColor="text1"/>
        </w:rPr>
        <mc:AlternateContent>
          <mc:Choice Requires="wps">
            <w:drawing>
              <wp:anchor distT="0" distB="0" distL="114300" distR="114300" simplePos="0" relativeHeight="251722240" behindDoc="0" locked="0" layoutInCell="1" allowOverlap="1" wp14:anchorId="705E7C18" wp14:editId="73CB9B1A">
                <wp:simplePos x="0" y="0"/>
                <wp:positionH relativeFrom="column">
                  <wp:posOffset>314325</wp:posOffset>
                </wp:positionH>
                <wp:positionV relativeFrom="paragraph">
                  <wp:posOffset>114935</wp:posOffset>
                </wp:positionV>
                <wp:extent cx="247650" cy="142875"/>
                <wp:effectExtent l="0" t="46355" r="11430" b="8890"/>
                <wp:wrapNone/>
                <wp:docPr id="125" name="曲线连接符 125"/>
                <wp:cNvGraphicFramePr/>
                <a:graphic xmlns:a="http://schemas.openxmlformats.org/drawingml/2006/main">
                  <a:graphicData uri="http://schemas.microsoft.com/office/word/2010/wordprocessingShape">
                    <wps:wsp>
                      <wps:cNvCnPr/>
                      <wps:spPr>
                        <a:xfrm flipV="1">
                          <a:off x="1457325" y="5772785"/>
                          <a:ext cx="247650" cy="142875"/>
                        </a:xfrm>
                        <a:prstGeom prst="curvedConnector3">
                          <a:avLst>
                            <a:gd name="adj1" fmla="val 50256"/>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2FCD8F4C" id="曲线连接符 125" o:spid="_x0000_s1026" type="#_x0000_t38" style="position:absolute;left:0;text-align:left;margin-left:24.75pt;margin-top:9.05pt;width:19.5pt;height:11.25pt;flip:y;z-index:25172224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" adj="10855" strokecolor="black [3213]">
                <v:stroke endarrow="open"/>
              </v:shape>
            </w:pict>
          </mc:Fallback>
        </mc:AlternateContent>
      </w:r>
    </w:p>
    <w:p w14:paraId="186BFAD2" w14:textId="77777777" w:rsidR="00B0005F" w:rsidRPr="008A2411" w:rsidRDefault="00000000">
      <w:pPr>
        <w:pStyle w:val="afffffffffffff7"/>
        <w:ind w:firstLineChars="0" w:firstLine="0"/>
        <w:jc w:val="center"/>
        <w:rPr>
          <w:color w:val="000000" w:themeColor="text1"/>
        </w:rPr>
      </w:pPr>
      <w:r w:rsidRPr="008A2411">
        <w:rPr>
          <w:color w:val="000000" w:themeColor="text1"/>
        </w:rPr>
        <w:object w:dxaOrig="8430" w:dyaOrig="709" w14:anchorId="5704F8EC">
          <v:shape id="_x0000_i1026" type="#_x0000_t75" style="width:421.5pt;height:36.5pt" o:ole="">
            <v:imagedata r:id="rId27" o:title="" cropbottom="37716f" cropright="310f"/>
          </v:shape>
          <o:OLEObject Type="Embed" ProgID="Visio.Drawing.11" ShapeID="_x0000_i1026" DrawAspect="Content" ObjectID="_1719945146" r:id="rId28"/>
        </w:object>
      </w:r>
    </w:p>
    <w:p w14:paraId="29D82BB0" w14:textId="77777777" w:rsidR="00B0005F" w:rsidRPr="008A2411" w:rsidRDefault="00000000">
      <w:pPr>
        <w:pStyle w:val="afffffffffffff7"/>
        <w:ind w:firstLineChars="0" w:firstLine="0"/>
        <w:jc w:val="center"/>
        <w:rPr>
          <w:b/>
          <w:color w:val="000000" w:themeColor="text1"/>
        </w:rPr>
      </w:pPr>
      <w:r w:rsidRPr="008A2411">
        <w:rPr>
          <w:rFonts w:eastAsia="黑体"/>
          <w:color w:val="000000" w:themeColor="text1"/>
          <w:sz w:val="24"/>
          <w:szCs w:val="24"/>
        </w:rPr>
        <w:t>图</w:t>
      </w:r>
      <w:r w:rsidRPr="008A2411">
        <w:rPr>
          <w:rFonts w:eastAsia="黑体"/>
          <w:color w:val="000000" w:themeColor="text1"/>
          <w:sz w:val="24"/>
          <w:szCs w:val="24"/>
        </w:rPr>
        <w:t>3.2-</w:t>
      </w:r>
      <w:r w:rsidRPr="008A2411">
        <w:rPr>
          <w:color w:val="000000" w:themeColor="text1"/>
          <w:sz w:val="24"/>
          <w:szCs w:val="24"/>
        </w:rPr>
        <w:t>4</w:t>
      </w:r>
      <w:r w:rsidRPr="008A2411">
        <w:rPr>
          <w:rFonts w:eastAsia="黑体"/>
          <w:color w:val="000000" w:themeColor="text1"/>
          <w:sz w:val="24"/>
          <w:szCs w:val="24"/>
        </w:rPr>
        <w:t xml:space="preserve">  </w:t>
      </w:r>
      <w:r w:rsidRPr="008A2411">
        <w:rPr>
          <w:rFonts w:eastAsia="黑体"/>
          <w:color w:val="000000" w:themeColor="text1"/>
          <w:sz w:val="24"/>
          <w:szCs w:val="24"/>
        </w:rPr>
        <w:t>项目</w:t>
      </w:r>
      <w:r w:rsidRPr="008A2411">
        <w:rPr>
          <w:rFonts w:eastAsia="黑体"/>
          <w:color w:val="000000" w:themeColor="text1"/>
          <w:sz w:val="24"/>
          <w:szCs w:val="24"/>
        </w:rPr>
        <w:t>PSA</w:t>
      </w:r>
      <w:r w:rsidRPr="008A2411">
        <w:rPr>
          <w:rFonts w:eastAsia="黑体"/>
          <w:color w:val="000000" w:themeColor="text1"/>
          <w:sz w:val="24"/>
          <w:szCs w:val="24"/>
        </w:rPr>
        <w:t>变压吸附式制氮工艺图</w:t>
      </w:r>
    </w:p>
    <w:p w14:paraId="6510CC09" w14:textId="77777777" w:rsidR="00B0005F" w:rsidRPr="008A2411" w:rsidRDefault="00000000">
      <w:pPr>
        <w:pStyle w:val="afffffffffffff7"/>
        <w:adjustRightInd w:val="0"/>
        <w:snapToGrid w:val="0"/>
        <w:ind w:firstLine="480"/>
        <w:rPr>
          <w:color w:val="000000" w:themeColor="text1"/>
          <w:sz w:val="24"/>
          <w:szCs w:val="24"/>
        </w:rPr>
      </w:pPr>
      <w:r w:rsidRPr="008A2411">
        <w:rPr>
          <w:color w:val="000000" w:themeColor="text1"/>
          <w:sz w:val="24"/>
          <w:szCs w:val="24"/>
        </w:rPr>
        <w:t>项目工艺流程及产排污位置见图</w:t>
      </w:r>
      <w:r w:rsidRPr="008A2411">
        <w:rPr>
          <w:color w:val="000000" w:themeColor="text1"/>
          <w:sz w:val="24"/>
          <w:szCs w:val="24"/>
        </w:rPr>
        <w:t>3.2-5</w:t>
      </w:r>
      <w:r w:rsidRPr="008A2411">
        <w:rPr>
          <w:color w:val="000000" w:themeColor="text1"/>
          <w:sz w:val="24"/>
          <w:szCs w:val="24"/>
        </w:rPr>
        <w:t>。</w:t>
      </w:r>
    </w:p>
    <w:p w14:paraId="48936ACC" w14:textId="7CBE92C6" w:rsidR="00B0005F" w:rsidRPr="008A2411" w:rsidRDefault="00B0005F">
      <w:pPr>
        <w:pStyle w:val="WJ3"/>
        <w:snapToGrid/>
        <w:spacing w:line="360" w:lineRule="auto"/>
        <w:jc w:val="center"/>
        <w:outlineLvl w:val="9"/>
        <w:rPr>
          <w:rFonts w:ascii="Times New Roman" w:hAnsi="Times New Roman"/>
          <w:b w:val="0"/>
          <w:color w:val="000000" w:themeColor="text1"/>
          <w:lang w:bidi="ar-SA"/>
        </w:rPr>
      </w:pPr>
    </w:p>
    <w:p w14:paraId="3611A0EE" w14:textId="5D578C9F" w:rsidR="0092602A" w:rsidRPr="008A2411" w:rsidRDefault="0092602A">
      <w:pPr>
        <w:pStyle w:val="WJ3"/>
        <w:snapToGrid/>
        <w:spacing w:line="360" w:lineRule="auto"/>
        <w:jc w:val="center"/>
        <w:outlineLvl w:val="9"/>
        <w:rPr>
          <w:rFonts w:ascii="Times New Roman" w:hAnsi="Times New Roman"/>
          <w:b w:val="0"/>
          <w:color w:val="000000" w:themeColor="text1"/>
          <w:lang w:bidi="ar-SA"/>
        </w:rPr>
      </w:pPr>
    </w:p>
    <w:p w14:paraId="02BA9884" w14:textId="4B79B0E2" w:rsidR="0092602A" w:rsidRPr="008A2411" w:rsidRDefault="0092602A">
      <w:pPr>
        <w:pStyle w:val="WJ3"/>
        <w:snapToGrid/>
        <w:spacing w:line="360" w:lineRule="auto"/>
        <w:jc w:val="center"/>
        <w:outlineLvl w:val="9"/>
        <w:rPr>
          <w:rFonts w:ascii="Times New Roman" w:hAnsi="Times New Roman"/>
          <w:b w:val="0"/>
          <w:color w:val="000000" w:themeColor="text1"/>
          <w:lang w:bidi="ar-SA"/>
        </w:rPr>
      </w:pPr>
    </w:p>
    <w:p w14:paraId="16839909" w14:textId="5192AAF6" w:rsidR="0092602A" w:rsidRPr="008A2411" w:rsidRDefault="0092602A">
      <w:pPr>
        <w:pStyle w:val="WJ3"/>
        <w:snapToGrid/>
        <w:spacing w:line="360" w:lineRule="auto"/>
        <w:jc w:val="center"/>
        <w:outlineLvl w:val="9"/>
        <w:rPr>
          <w:rFonts w:ascii="Times New Roman" w:hAnsi="Times New Roman"/>
          <w:b w:val="0"/>
          <w:color w:val="000000" w:themeColor="text1"/>
          <w:lang w:bidi="ar-SA"/>
        </w:rPr>
      </w:pPr>
    </w:p>
    <w:p w14:paraId="02B57E28" w14:textId="07B56F65" w:rsidR="0092602A" w:rsidRPr="008A2411" w:rsidRDefault="0092602A">
      <w:pPr>
        <w:pStyle w:val="WJ3"/>
        <w:snapToGrid/>
        <w:spacing w:line="360" w:lineRule="auto"/>
        <w:jc w:val="center"/>
        <w:outlineLvl w:val="9"/>
        <w:rPr>
          <w:rFonts w:ascii="Times New Roman" w:hAnsi="Times New Roman"/>
          <w:b w:val="0"/>
          <w:color w:val="000000" w:themeColor="text1"/>
          <w:lang w:bidi="ar-SA"/>
        </w:rPr>
      </w:pPr>
    </w:p>
    <w:p w14:paraId="567F2546" w14:textId="66C5C602" w:rsidR="0092602A" w:rsidRPr="008A2411" w:rsidRDefault="0092602A">
      <w:pPr>
        <w:pStyle w:val="WJ3"/>
        <w:snapToGrid/>
        <w:spacing w:line="360" w:lineRule="auto"/>
        <w:jc w:val="center"/>
        <w:outlineLvl w:val="9"/>
        <w:rPr>
          <w:rFonts w:ascii="Times New Roman" w:hAnsi="Times New Roman"/>
          <w:b w:val="0"/>
          <w:color w:val="000000" w:themeColor="text1"/>
          <w:lang w:bidi="ar-SA"/>
        </w:rPr>
      </w:pPr>
    </w:p>
    <w:p w14:paraId="4C4A389B" w14:textId="566A7224" w:rsidR="0092602A" w:rsidRPr="008A2411" w:rsidRDefault="0092602A">
      <w:pPr>
        <w:pStyle w:val="WJ3"/>
        <w:snapToGrid/>
        <w:spacing w:line="360" w:lineRule="auto"/>
        <w:jc w:val="center"/>
        <w:outlineLvl w:val="9"/>
        <w:rPr>
          <w:rFonts w:ascii="Times New Roman" w:hAnsi="Times New Roman"/>
          <w:b w:val="0"/>
          <w:color w:val="000000" w:themeColor="text1"/>
          <w:lang w:bidi="ar-SA"/>
        </w:rPr>
      </w:pPr>
    </w:p>
    <w:p w14:paraId="4CA9B521" w14:textId="25969BF7" w:rsidR="0092602A" w:rsidRPr="008A2411" w:rsidRDefault="0092602A">
      <w:pPr>
        <w:pStyle w:val="WJ3"/>
        <w:snapToGrid/>
        <w:spacing w:line="360" w:lineRule="auto"/>
        <w:jc w:val="center"/>
        <w:outlineLvl w:val="9"/>
        <w:rPr>
          <w:rFonts w:ascii="Times New Roman" w:hAnsi="Times New Roman"/>
          <w:b w:val="0"/>
          <w:color w:val="000000" w:themeColor="text1"/>
          <w:lang w:bidi="ar-SA"/>
        </w:rPr>
      </w:pPr>
    </w:p>
    <w:p w14:paraId="1DEA1891" w14:textId="38BD313E" w:rsidR="0092602A" w:rsidRPr="008A2411" w:rsidRDefault="0092602A">
      <w:pPr>
        <w:pStyle w:val="WJ3"/>
        <w:snapToGrid/>
        <w:spacing w:line="360" w:lineRule="auto"/>
        <w:jc w:val="center"/>
        <w:outlineLvl w:val="9"/>
        <w:rPr>
          <w:rFonts w:ascii="Times New Roman" w:hAnsi="Times New Roman"/>
          <w:b w:val="0"/>
          <w:color w:val="000000" w:themeColor="text1"/>
          <w:lang w:bidi="ar-SA"/>
        </w:rPr>
      </w:pPr>
    </w:p>
    <w:p w14:paraId="4D16E4B3" w14:textId="02508451" w:rsidR="0092602A" w:rsidRPr="008A2411" w:rsidRDefault="0092602A">
      <w:pPr>
        <w:pStyle w:val="WJ3"/>
        <w:snapToGrid/>
        <w:spacing w:line="360" w:lineRule="auto"/>
        <w:jc w:val="center"/>
        <w:outlineLvl w:val="9"/>
        <w:rPr>
          <w:rFonts w:ascii="Times New Roman" w:hAnsi="Times New Roman"/>
          <w:b w:val="0"/>
          <w:color w:val="000000" w:themeColor="text1"/>
          <w:lang w:bidi="ar-SA"/>
        </w:rPr>
      </w:pPr>
    </w:p>
    <w:p w14:paraId="65F0D05F" w14:textId="6276A826" w:rsidR="0092602A" w:rsidRPr="008A2411" w:rsidRDefault="0092602A">
      <w:pPr>
        <w:pStyle w:val="WJ3"/>
        <w:snapToGrid/>
        <w:spacing w:line="360" w:lineRule="auto"/>
        <w:jc w:val="center"/>
        <w:outlineLvl w:val="9"/>
        <w:rPr>
          <w:rFonts w:ascii="Times New Roman" w:hAnsi="Times New Roman"/>
          <w:b w:val="0"/>
          <w:color w:val="000000" w:themeColor="text1"/>
          <w:lang w:bidi="ar-SA"/>
        </w:rPr>
      </w:pPr>
    </w:p>
    <w:p w14:paraId="7D1DB043" w14:textId="77000135" w:rsidR="0092602A" w:rsidRPr="008A2411" w:rsidRDefault="0092602A">
      <w:pPr>
        <w:pStyle w:val="WJ3"/>
        <w:snapToGrid/>
        <w:spacing w:line="360" w:lineRule="auto"/>
        <w:jc w:val="center"/>
        <w:outlineLvl w:val="9"/>
        <w:rPr>
          <w:rFonts w:ascii="Times New Roman" w:hAnsi="Times New Roman"/>
          <w:b w:val="0"/>
          <w:color w:val="000000" w:themeColor="text1"/>
          <w:lang w:bidi="ar-SA"/>
        </w:rPr>
      </w:pPr>
    </w:p>
    <w:p w14:paraId="563B4CA8" w14:textId="3BF8B35B" w:rsidR="0092602A" w:rsidRPr="008A2411" w:rsidRDefault="0092602A">
      <w:pPr>
        <w:pStyle w:val="WJ3"/>
        <w:snapToGrid/>
        <w:spacing w:line="360" w:lineRule="auto"/>
        <w:jc w:val="center"/>
        <w:outlineLvl w:val="9"/>
        <w:rPr>
          <w:rFonts w:ascii="Times New Roman" w:hAnsi="Times New Roman"/>
          <w:b w:val="0"/>
          <w:color w:val="000000" w:themeColor="text1"/>
          <w:lang w:bidi="ar-SA"/>
        </w:rPr>
      </w:pPr>
    </w:p>
    <w:p w14:paraId="4F057A3B" w14:textId="202F10E9" w:rsidR="0092602A" w:rsidRPr="008A2411" w:rsidRDefault="0092602A">
      <w:pPr>
        <w:pStyle w:val="WJ3"/>
        <w:snapToGrid/>
        <w:spacing w:line="360" w:lineRule="auto"/>
        <w:jc w:val="center"/>
        <w:outlineLvl w:val="9"/>
        <w:rPr>
          <w:rFonts w:ascii="Times New Roman" w:hAnsi="Times New Roman"/>
          <w:b w:val="0"/>
          <w:color w:val="000000" w:themeColor="text1"/>
          <w:lang w:bidi="ar-SA"/>
        </w:rPr>
      </w:pPr>
    </w:p>
    <w:p w14:paraId="48A88E90" w14:textId="057214F0" w:rsidR="0092602A" w:rsidRPr="008A2411" w:rsidRDefault="0092602A">
      <w:pPr>
        <w:pStyle w:val="WJ3"/>
        <w:snapToGrid/>
        <w:spacing w:line="360" w:lineRule="auto"/>
        <w:jc w:val="center"/>
        <w:outlineLvl w:val="9"/>
        <w:rPr>
          <w:rFonts w:ascii="Times New Roman" w:hAnsi="Times New Roman"/>
          <w:b w:val="0"/>
          <w:color w:val="000000" w:themeColor="text1"/>
          <w:lang w:bidi="ar-SA"/>
        </w:rPr>
      </w:pPr>
    </w:p>
    <w:p w14:paraId="049A00E0" w14:textId="23204201" w:rsidR="0092602A" w:rsidRPr="008A2411" w:rsidRDefault="0092602A">
      <w:pPr>
        <w:pStyle w:val="WJ3"/>
        <w:snapToGrid/>
        <w:spacing w:line="360" w:lineRule="auto"/>
        <w:jc w:val="center"/>
        <w:outlineLvl w:val="9"/>
        <w:rPr>
          <w:rFonts w:ascii="Times New Roman" w:hAnsi="Times New Roman"/>
          <w:b w:val="0"/>
          <w:color w:val="000000" w:themeColor="text1"/>
          <w:lang w:bidi="ar-SA"/>
        </w:rPr>
      </w:pPr>
    </w:p>
    <w:p w14:paraId="2790F5C9" w14:textId="7F31D630" w:rsidR="0092602A" w:rsidRPr="008A2411" w:rsidRDefault="0092602A">
      <w:pPr>
        <w:pStyle w:val="WJ3"/>
        <w:snapToGrid/>
        <w:spacing w:line="360" w:lineRule="auto"/>
        <w:jc w:val="center"/>
        <w:outlineLvl w:val="9"/>
        <w:rPr>
          <w:rFonts w:ascii="Times New Roman" w:hAnsi="Times New Roman"/>
          <w:b w:val="0"/>
          <w:color w:val="000000" w:themeColor="text1"/>
          <w:lang w:bidi="ar-SA"/>
        </w:rPr>
      </w:pPr>
    </w:p>
    <w:p w14:paraId="35F2FC27" w14:textId="45C042CD" w:rsidR="0092602A" w:rsidRPr="008A2411" w:rsidRDefault="0092602A">
      <w:pPr>
        <w:pStyle w:val="WJ3"/>
        <w:snapToGrid/>
        <w:spacing w:line="360" w:lineRule="auto"/>
        <w:jc w:val="center"/>
        <w:outlineLvl w:val="9"/>
        <w:rPr>
          <w:rFonts w:ascii="Times New Roman" w:hAnsi="Times New Roman"/>
          <w:b w:val="0"/>
          <w:color w:val="000000" w:themeColor="text1"/>
          <w:lang w:bidi="ar-SA"/>
        </w:rPr>
      </w:pPr>
    </w:p>
    <w:p w14:paraId="5A74F930" w14:textId="1E759BDE" w:rsidR="00B0005F" w:rsidRPr="008A2411" w:rsidRDefault="00000000">
      <w:pPr>
        <w:pStyle w:val="WJ3"/>
        <w:snapToGrid/>
        <w:spacing w:line="360" w:lineRule="auto"/>
        <w:jc w:val="center"/>
        <w:outlineLvl w:val="9"/>
        <w:rPr>
          <w:rFonts w:ascii="Times New Roman" w:hAnsi="Times New Roman"/>
          <w:b w:val="0"/>
          <w:color w:val="000000" w:themeColor="text1"/>
          <w:lang w:bidi="ar-SA"/>
        </w:rPr>
      </w:pPr>
      <w:r w:rsidRPr="008A2411">
        <w:rPr>
          <w:rFonts w:ascii="Times New Roman" w:hAnsi="Times New Roman"/>
          <w:noProof/>
          <w:color w:val="000000" w:themeColor="text1"/>
          <w:sz w:val="21"/>
        </w:rPr>
        <w:lastRenderedPageBreak/>
        <mc:AlternateContent>
          <mc:Choice Requires="wpg">
            <w:drawing>
              <wp:anchor distT="0" distB="0" distL="114300" distR="114300" simplePos="0" relativeHeight="251608576" behindDoc="0" locked="0" layoutInCell="1" allowOverlap="1" wp14:anchorId="650A3459" wp14:editId="341A7D1A">
                <wp:simplePos x="0" y="0"/>
                <wp:positionH relativeFrom="column">
                  <wp:posOffset>-211092</wp:posOffset>
                </wp:positionH>
                <wp:positionV relativeFrom="paragraph">
                  <wp:posOffset>-97971</wp:posOffset>
                </wp:positionV>
                <wp:extent cx="5942330" cy="8224520"/>
                <wp:effectExtent l="0" t="0" r="0" b="5080"/>
                <wp:wrapNone/>
                <wp:docPr id="216" name="组合 216"/>
                <wp:cNvGraphicFramePr/>
                <a:graphic xmlns:a="http://schemas.openxmlformats.org/drawingml/2006/main">
                  <a:graphicData uri="http://schemas.microsoft.com/office/word/2010/wordprocessingGroup">
                    <wpg:wgp>
                      <wpg:cNvGrpSpPr/>
                      <wpg:grpSpPr>
                        <a:xfrm>
                          <a:off x="0" y="0"/>
                          <a:ext cx="5942330" cy="8224520"/>
                          <a:chOff x="20259" y="1089"/>
                          <a:chExt cx="9518" cy="13471"/>
                        </a:xfrm>
                      </wpg:grpSpPr>
                      <wps:wsp>
                        <wps:cNvPr id="217" name="文本框 1"/>
                        <wps:cNvSpPr txBox="1"/>
                        <wps:spPr>
                          <a:xfrm>
                            <a:off x="20397" y="1755"/>
                            <a:ext cx="1714" cy="48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665BB7C2"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计量调压系统</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20" name="文本框 2"/>
                        <wps:cNvSpPr txBox="1"/>
                        <wps:spPr>
                          <a:xfrm>
                            <a:off x="20427" y="2725"/>
                            <a:ext cx="1714" cy="48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63FB4C25"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过滤分离器</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21" name="直接箭头连接符 3"/>
                        <wps:cNvCnPr/>
                        <wps:spPr>
                          <a:xfrm flipH="1">
                            <a:off x="21205" y="1294"/>
                            <a:ext cx="4" cy="455"/>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224" name="直接箭头连接符 4"/>
                        <wps:cNvCnPr/>
                        <wps:spPr>
                          <a:xfrm flipH="1">
                            <a:off x="21199" y="2266"/>
                            <a:ext cx="4" cy="455"/>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225" name="直接箭头连接符 5"/>
                        <wps:cNvCnPr/>
                        <wps:spPr>
                          <a:xfrm>
                            <a:off x="22158" y="2850"/>
                            <a:ext cx="690" cy="3"/>
                          </a:xfrm>
                          <a:prstGeom prst="straightConnector1">
                            <a:avLst/>
                          </a:prstGeom>
                          <a:ln w="15875" cmpd="sng">
                            <a:solidFill>
                              <a:schemeClr val="tx1"/>
                            </a:solidFill>
                            <a:prstDash val="sysDash"/>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226" name="文本框 6"/>
                        <wps:cNvSpPr txBox="1"/>
                        <wps:spPr>
                          <a:xfrm>
                            <a:off x="21907" y="2363"/>
                            <a:ext cx="1185" cy="462"/>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3F99BA5"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废水W</w:t>
                              </w:r>
                              <w:r>
                                <w:rPr>
                                  <w:rFonts w:ascii="黑体" w:eastAsia="黑体" w:hAnsi="黑体" w:cs="黑体" w:hint="eastAsia"/>
                                  <w:sz w:val="15"/>
                                  <w:szCs w:val="15"/>
                                  <w:vertAlign w:val="subscript"/>
                                </w:rPr>
                                <w:t>1</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28" name="直接箭头连接符 7"/>
                        <wps:cNvCnPr/>
                        <wps:spPr>
                          <a:xfrm>
                            <a:off x="24048" y="2850"/>
                            <a:ext cx="690" cy="3"/>
                          </a:xfrm>
                          <a:prstGeom prst="straightConnector1">
                            <a:avLst/>
                          </a:prstGeom>
                          <a:ln w="15875" cmpd="sng">
                            <a:solidFill>
                              <a:schemeClr val="tx1"/>
                            </a:solidFill>
                            <a:prstDash val="sysDash"/>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229" name="文本框 8"/>
                        <wps:cNvSpPr txBox="1"/>
                        <wps:spPr>
                          <a:xfrm>
                            <a:off x="22887" y="2645"/>
                            <a:ext cx="1134" cy="460"/>
                          </a:xfrm>
                          <a:prstGeom prst="rect">
                            <a:avLst/>
                          </a:prstGeom>
                          <a:noFill/>
                          <a:ln w="6350">
                            <a:solidFill>
                              <a:schemeClr val="tx1"/>
                            </a:solidFill>
                          </a:ln>
                        </wps:spPr>
                        <wps:style>
                          <a:lnRef idx="0">
                            <a:schemeClr val="accent1"/>
                          </a:lnRef>
                          <a:fillRef idx="0">
                            <a:schemeClr val="accent1"/>
                          </a:fillRef>
                          <a:effectRef idx="0">
                            <a:schemeClr val="accent1"/>
                          </a:effectRef>
                          <a:fontRef idx="minor">
                            <a:schemeClr val="dk1"/>
                          </a:fontRef>
                        </wps:style>
                        <wps:txbx>
                          <w:txbxContent>
                            <w:p w14:paraId="76CAD901"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废水储罐</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5" name="文本框 9"/>
                        <wps:cNvSpPr txBox="1"/>
                        <wps:spPr>
                          <a:xfrm>
                            <a:off x="24737" y="2649"/>
                            <a:ext cx="1285" cy="460"/>
                          </a:xfrm>
                          <a:prstGeom prst="rect">
                            <a:avLst/>
                          </a:prstGeom>
                          <a:noFill/>
                          <a:ln w="6350">
                            <a:solidFill>
                              <a:schemeClr val="tx1"/>
                            </a:solidFill>
                          </a:ln>
                        </wps:spPr>
                        <wps:style>
                          <a:lnRef idx="0">
                            <a:schemeClr val="accent1"/>
                          </a:lnRef>
                          <a:fillRef idx="0">
                            <a:schemeClr val="accent1"/>
                          </a:fillRef>
                          <a:effectRef idx="0">
                            <a:schemeClr val="accent1"/>
                          </a:effectRef>
                          <a:fontRef idx="minor">
                            <a:schemeClr val="dk1"/>
                          </a:fontRef>
                        </wps:style>
                        <wps:txbx>
                          <w:txbxContent>
                            <w:p w14:paraId="5D779B4A"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污水处理站</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30" name="直接箭头连接符 10"/>
                        <wps:cNvCnPr/>
                        <wps:spPr>
                          <a:xfrm>
                            <a:off x="26020" y="2860"/>
                            <a:ext cx="690" cy="3"/>
                          </a:xfrm>
                          <a:prstGeom prst="straightConnector1">
                            <a:avLst/>
                          </a:prstGeom>
                          <a:ln w="15875" cmpd="sng">
                            <a:solidFill>
                              <a:schemeClr val="tx1"/>
                            </a:solidFill>
                            <a:prstDash val="sysDash"/>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231" name="文本框 11"/>
                        <wps:cNvSpPr txBox="1"/>
                        <wps:spPr>
                          <a:xfrm>
                            <a:off x="26511" y="2533"/>
                            <a:ext cx="1185" cy="67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676D3FB"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园区污水管网</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32" name="文本框 12"/>
                        <wps:cNvSpPr txBox="1"/>
                        <wps:spPr>
                          <a:xfrm>
                            <a:off x="21037" y="1089"/>
                            <a:ext cx="1185" cy="46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5F931BE"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原料气</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33" name="直接箭头连接符 13"/>
                        <wps:cNvCnPr/>
                        <wps:spPr>
                          <a:xfrm flipH="1">
                            <a:off x="21157" y="3293"/>
                            <a:ext cx="18" cy="1486"/>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234" name="直接箭头连接符 15"/>
                        <wps:cNvCnPr/>
                        <wps:spPr>
                          <a:xfrm>
                            <a:off x="22159" y="3127"/>
                            <a:ext cx="462" cy="0"/>
                          </a:xfrm>
                          <a:prstGeom prst="straightConnector1">
                            <a:avLst/>
                          </a:prstGeom>
                          <a:ln w="12700">
                            <a:solidFill>
                              <a:schemeClr val="tx1"/>
                            </a:solidFill>
                            <a:prstDash val="dash"/>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235" name="文本框 14"/>
                        <wps:cNvSpPr txBox="1"/>
                        <wps:spPr>
                          <a:xfrm>
                            <a:off x="22057" y="3167"/>
                            <a:ext cx="743" cy="377"/>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F31F237"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杂质S</w:t>
                              </w:r>
                              <w:r>
                                <w:rPr>
                                  <w:rFonts w:ascii="黑体" w:eastAsia="黑体" w:hAnsi="黑体" w:cs="黑体" w:hint="eastAsia"/>
                                  <w:sz w:val="15"/>
                                  <w:szCs w:val="15"/>
                                  <w:vertAlign w:val="subscript"/>
                                </w:rPr>
                                <w:t>1</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36" name="文本框 16"/>
                        <wps:cNvSpPr txBox="1"/>
                        <wps:spPr>
                          <a:xfrm>
                            <a:off x="20259" y="4796"/>
                            <a:ext cx="1714" cy="48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07F26EC2"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胺吸收塔</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37" name="直接箭头连接符 17"/>
                        <wps:cNvCnPr/>
                        <wps:spPr>
                          <a:xfrm>
                            <a:off x="21996" y="5029"/>
                            <a:ext cx="1144" cy="0"/>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238" name="文本框 19"/>
                        <wps:cNvSpPr txBox="1"/>
                        <wps:spPr>
                          <a:xfrm>
                            <a:off x="23154" y="4799"/>
                            <a:ext cx="1271" cy="489"/>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7FCDF46B"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闪蒸罐</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39" name="直接箭头连接符 20"/>
                        <wps:cNvCnPr/>
                        <wps:spPr>
                          <a:xfrm>
                            <a:off x="26818" y="4295"/>
                            <a:ext cx="415" cy="0"/>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240" name="文本框 21"/>
                        <wps:cNvSpPr txBox="1"/>
                        <wps:spPr>
                          <a:xfrm>
                            <a:off x="20637" y="5742"/>
                            <a:ext cx="966" cy="364"/>
                          </a:xfrm>
                          <a:prstGeom prst="rect">
                            <a:avLst/>
                          </a:prstGeom>
                          <a:noFill/>
                          <a:ln w="6350">
                            <a:solidFill>
                              <a:schemeClr val="tx1"/>
                            </a:solidFill>
                          </a:ln>
                        </wps:spPr>
                        <wps:style>
                          <a:lnRef idx="0">
                            <a:schemeClr val="accent1"/>
                          </a:lnRef>
                          <a:fillRef idx="0">
                            <a:schemeClr val="accent1"/>
                          </a:fillRef>
                          <a:effectRef idx="0">
                            <a:schemeClr val="accent1"/>
                          </a:effectRef>
                          <a:fontRef idx="minor">
                            <a:schemeClr val="dk1"/>
                          </a:fontRef>
                        </wps:style>
                        <wps:txbx>
                          <w:txbxContent>
                            <w:p w14:paraId="7FDD7839"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冷却器</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41" name="直接连接符 23"/>
                        <wps:cNvCnPr/>
                        <wps:spPr>
                          <a:xfrm flipH="1">
                            <a:off x="21420" y="4190"/>
                            <a:ext cx="1222" cy="8"/>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242" name="直接箭头连接符 24"/>
                        <wps:cNvCnPr/>
                        <wps:spPr>
                          <a:xfrm flipV="1">
                            <a:off x="23671" y="5310"/>
                            <a:ext cx="10" cy="580"/>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25" name="文本框 25"/>
                        <wps:cNvSpPr txBox="1"/>
                        <wps:spPr>
                          <a:xfrm>
                            <a:off x="20656" y="6570"/>
                            <a:ext cx="966" cy="364"/>
                          </a:xfrm>
                          <a:prstGeom prst="rect">
                            <a:avLst/>
                          </a:prstGeom>
                          <a:noFill/>
                          <a:ln w="6350">
                            <a:solidFill>
                              <a:schemeClr val="tx1"/>
                            </a:solidFill>
                          </a:ln>
                        </wps:spPr>
                        <wps:style>
                          <a:lnRef idx="0">
                            <a:schemeClr val="accent1"/>
                          </a:lnRef>
                          <a:fillRef idx="0">
                            <a:schemeClr val="accent1"/>
                          </a:fillRef>
                          <a:effectRef idx="0">
                            <a:schemeClr val="accent1"/>
                          </a:effectRef>
                          <a:fontRef idx="minor">
                            <a:schemeClr val="dk1"/>
                          </a:fontRef>
                        </wps:style>
                        <wps:txbx>
                          <w:txbxContent>
                            <w:p w14:paraId="1EFBA08D"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过滤器</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43" name="直接箭头连接符 26"/>
                        <wps:cNvCnPr/>
                        <wps:spPr>
                          <a:xfrm flipH="1">
                            <a:off x="21119" y="5278"/>
                            <a:ext cx="6" cy="462"/>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244" name="直接箭头连接符 27"/>
                        <wps:cNvCnPr/>
                        <wps:spPr>
                          <a:xfrm flipH="1">
                            <a:off x="21110" y="6100"/>
                            <a:ext cx="6" cy="462"/>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246" name="直接连接符 28"/>
                        <wps:cNvCnPr/>
                        <wps:spPr>
                          <a:xfrm>
                            <a:off x="21585" y="5867"/>
                            <a:ext cx="2074" cy="5"/>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247" name="文本框 29"/>
                        <wps:cNvSpPr txBox="1"/>
                        <wps:spPr>
                          <a:xfrm>
                            <a:off x="21610" y="5501"/>
                            <a:ext cx="1185" cy="46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9AA841E"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胺液</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48" name="文本框 30"/>
                        <wps:cNvSpPr txBox="1"/>
                        <wps:spPr>
                          <a:xfrm>
                            <a:off x="21850" y="4674"/>
                            <a:ext cx="1185" cy="46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E0E4389"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富液</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1" name="文本框 31"/>
                        <wps:cNvSpPr txBox="1"/>
                        <wps:spPr>
                          <a:xfrm>
                            <a:off x="25582" y="4824"/>
                            <a:ext cx="1285" cy="415"/>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214C1091"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再生塔</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49" name="文本框 32"/>
                        <wps:cNvSpPr txBox="1"/>
                        <wps:spPr>
                          <a:xfrm>
                            <a:off x="24804" y="4695"/>
                            <a:ext cx="344" cy="968"/>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7E8B017A" w14:textId="77777777" w:rsidR="00B0005F" w:rsidRDefault="00B0005F">
                              <w:pPr>
                                <w:adjustRightInd w:val="0"/>
                                <w:snapToGrid w:val="0"/>
                                <w:jc w:val="center"/>
                                <w:rPr>
                                  <w:rFonts w:ascii="黑体" w:eastAsia="黑体" w:hAnsi="黑体" w:cs="黑体"/>
                                  <w:sz w:val="18"/>
                                  <w:szCs w:val="18"/>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50" name="直接箭头连接符 33"/>
                        <wps:cNvCnPr/>
                        <wps:spPr>
                          <a:xfrm flipV="1">
                            <a:off x="24414" y="5111"/>
                            <a:ext cx="1146" cy="11"/>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4" name="直接箭头连接符 34"/>
                        <wps:cNvCnPr/>
                        <wps:spPr>
                          <a:xfrm flipV="1">
                            <a:off x="24937" y="4418"/>
                            <a:ext cx="9" cy="490"/>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5" name="文本框 35"/>
                        <wps:cNvSpPr txBox="1"/>
                        <wps:spPr>
                          <a:xfrm>
                            <a:off x="24286" y="4839"/>
                            <a:ext cx="669" cy="334"/>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DA44A0"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富液</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6" name="文本框 36"/>
                        <wps:cNvSpPr txBox="1"/>
                        <wps:spPr>
                          <a:xfrm>
                            <a:off x="25011" y="4612"/>
                            <a:ext cx="624" cy="33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5216EC2"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贫液</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51" name="直接连接符 37"/>
                        <wps:cNvCnPr/>
                        <wps:spPr>
                          <a:xfrm>
                            <a:off x="24937" y="4900"/>
                            <a:ext cx="633" cy="8"/>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38" name="文本框 38"/>
                        <wps:cNvSpPr txBox="1"/>
                        <wps:spPr>
                          <a:xfrm>
                            <a:off x="24482" y="3983"/>
                            <a:ext cx="914" cy="409"/>
                          </a:xfrm>
                          <a:prstGeom prst="rect">
                            <a:avLst/>
                          </a:prstGeom>
                          <a:noFill/>
                          <a:ln w="6350">
                            <a:solidFill>
                              <a:schemeClr val="tx1"/>
                            </a:solidFill>
                          </a:ln>
                        </wps:spPr>
                        <wps:style>
                          <a:lnRef idx="0">
                            <a:schemeClr val="accent1"/>
                          </a:lnRef>
                          <a:fillRef idx="0">
                            <a:schemeClr val="accent1"/>
                          </a:fillRef>
                          <a:effectRef idx="0">
                            <a:schemeClr val="accent1"/>
                          </a:effectRef>
                          <a:fontRef idx="minor">
                            <a:schemeClr val="dk1"/>
                          </a:fontRef>
                        </wps:style>
                        <wps:txbx>
                          <w:txbxContent>
                            <w:p w14:paraId="7AD9B441"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贫液泵</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9" name="文本框 39"/>
                        <wps:cNvSpPr txBox="1"/>
                        <wps:spPr>
                          <a:xfrm>
                            <a:off x="22630" y="4008"/>
                            <a:ext cx="1383" cy="399"/>
                          </a:xfrm>
                          <a:prstGeom prst="rect">
                            <a:avLst/>
                          </a:prstGeom>
                          <a:noFill/>
                          <a:ln w="6350">
                            <a:solidFill>
                              <a:schemeClr val="tx1"/>
                            </a:solidFill>
                          </a:ln>
                        </wps:spPr>
                        <wps:style>
                          <a:lnRef idx="0">
                            <a:schemeClr val="accent1"/>
                          </a:lnRef>
                          <a:fillRef idx="0">
                            <a:schemeClr val="accent1"/>
                          </a:fillRef>
                          <a:effectRef idx="0">
                            <a:schemeClr val="accent1"/>
                          </a:effectRef>
                          <a:fontRef idx="minor">
                            <a:schemeClr val="dk1"/>
                          </a:fontRef>
                        </wps:style>
                        <wps:txbx>
                          <w:txbxContent>
                            <w:p w14:paraId="228DCDCA"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贫液冷却器</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0" name="直接箭头连接符 40"/>
                        <wps:cNvCnPr/>
                        <wps:spPr>
                          <a:xfrm flipH="1" flipV="1">
                            <a:off x="24014" y="4179"/>
                            <a:ext cx="490" cy="9"/>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41" name="文本框 41"/>
                        <wps:cNvSpPr txBox="1"/>
                        <wps:spPr>
                          <a:xfrm>
                            <a:off x="24749" y="4815"/>
                            <a:ext cx="516" cy="794"/>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4515C44" w14:textId="77777777" w:rsidR="00B0005F" w:rsidRDefault="00000000">
                              <w:pPr>
                                <w:adjustRightInd w:val="0"/>
                                <w:snapToGrid w:val="0"/>
                                <w:rPr>
                                  <w:rFonts w:ascii="黑体" w:eastAsia="黑体" w:hAnsi="黑体" w:cs="黑体"/>
                                  <w:sz w:val="18"/>
                                  <w:szCs w:val="18"/>
                                </w:rPr>
                              </w:pPr>
                              <w:r>
                                <w:rPr>
                                  <w:rFonts w:ascii="黑体" w:eastAsia="黑体" w:hAnsi="黑体" w:cs="黑体" w:hint="eastAsia"/>
                                  <w:sz w:val="18"/>
                                  <w:szCs w:val="18"/>
                                </w:rPr>
                                <w:t>换热器</w:t>
                              </w:r>
                            </w:p>
                          </w:txbxContent>
                        </wps:txbx>
                        <wps:bodyPr rot="0" spcFirstLastPara="0" vertOverflow="overflow" horzOverflow="overflow" vert="eaVert" wrap="square" lIns="91440" tIns="45720" rIns="91440" bIns="45720" numCol="1" spcCol="0" rtlCol="0" fromWordArt="0" anchor="t" anchorCtr="0" forceAA="0" compatLnSpc="1">
                          <a:noAutofit/>
                        </wps:bodyPr>
                      </wps:wsp>
                      <wps:wsp>
                        <wps:cNvPr id="42" name="文本框 42"/>
                        <wps:cNvSpPr txBox="1"/>
                        <wps:spPr>
                          <a:xfrm>
                            <a:off x="24385" y="3275"/>
                            <a:ext cx="1297" cy="397"/>
                          </a:xfrm>
                          <a:prstGeom prst="rect">
                            <a:avLst/>
                          </a:prstGeom>
                          <a:noFill/>
                          <a:ln w="6350">
                            <a:solidFill>
                              <a:schemeClr val="tx1"/>
                            </a:solidFill>
                          </a:ln>
                        </wps:spPr>
                        <wps:style>
                          <a:lnRef idx="0">
                            <a:schemeClr val="accent1"/>
                          </a:lnRef>
                          <a:fillRef idx="0">
                            <a:schemeClr val="accent1"/>
                          </a:fillRef>
                          <a:effectRef idx="0">
                            <a:schemeClr val="accent1"/>
                          </a:effectRef>
                          <a:fontRef idx="minor">
                            <a:schemeClr val="dk1"/>
                          </a:fontRef>
                        </wps:style>
                        <wps:txbx>
                          <w:txbxContent>
                            <w:p w14:paraId="13021641"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溶液过滤器</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3" name="直接箭头连接符 43"/>
                        <wps:cNvCnPr/>
                        <wps:spPr>
                          <a:xfrm flipV="1">
                            <a:off x="25116" y="3663"/>
                            <a:ext cx="1" cy="324"/>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44" name="直接箭头连接符 44"/>
                        <wps:cNvCnPr/>
                        <wps:spPr>
                          <a:xfrm>
                            <a:off x="25693" y="3517"/>
                            <a:ext cx="453" cy="7"/>
                          </a:xfrm>
                          <a:prstGeom prst="straightConnector1">
                            <a:avLst/>
                          </a:prstGeom>
                          <a:ln w="12700">
                            <a:solidFill>
                              <a:schemeClr val="tx1"/>
                            </a:solidFill>
                            <a:prstDash val="dash"/>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252" name="文本框 45"/>
                        <wps:cNvSpPr txBox="1"/>
                        <wps:spPr>
                          <a:xfrm>
                            <a:off x="25634" y="3217"/>
                            <a:ext cx="743" cy="377"/>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8577B11"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杂质S</w:t>
                              </w:r>
                              <w:r>
                                <w:rPr>
                                  <w:rFonts w:ascii="黑体" w:eastAsia="黑体" w:hAnsi="黑体" w:cs="黑体" w:hint="eastAsia"/>
                                  <w:sz w:val="15"/>
                                  <w:szCs w:val="15"/>
                                  <w:vertAlign w:val="subscript"/>
                                </w:rPr>
                                <w:t>2</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6" name="直接箭头连接符 46"/>
                        <wps:cNvCnPr/>
                        <wps:spPr>
                          <a:xfrm>
                            <a:off x="21425" y="4189"/>
                            <a:ext cx="4" cy="616"/>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253" name="直接箭头连接符 47"/>
                        <wps:cNvCnPr/>
                        <wps:spPr>
                          <a:xfrm>
                            <a:off x="24822" y="3664"/>
                            <a:ext cx="5" cy="322"/>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254" name="直接箭头连接符 48"/>
                        <wps:cNvCnPr/>
                        <wps:spPr>
                          <a:xfrm flipV="1">
                            <a:off x="26305" y="4465"/>
                            <a:ext cx="1" cy="324"/>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257" name="文本框 49"/>
                        <wps:cNvSpPr txBox="1"/>
                        <wps:spPr>
                          <a:xfrm>
                            <a:off x="25904" y="4111"/>
                            <a:ext cx="914" cy="349"/>
                          </a:xfrm>
                          <a:prstGeom prst="rect">
                            <a:avLst/>
                          </a:prstGeom>
                          <a:noFill/>
                          <a:ln w="6350">
                            <a:solidFill>
                              <a:schemeClr val="tx1"/>
                            </a:solidFill>
                          </a:ln>
                        </wps:spPr>
                        <wps:style>
                          <a:lnRef idx="0">
                            <a:schemeClr val="accent1"/>
                          </a:lnRef>
                          <a:fillRef idx="0">
                            <a:schemeClr val="accent1"/>
                          </a:fillRef>
                          <a:effectRef idx="0">
                            <a:schemeClr val="accent1"/>
                          </a:effectRef>
                          <a:fontRef idx="minor">
                            <a:schemeClr val="dk1"/>
                          </a:fontRef>
                        </wps:style>
                        <wps:txbx>
                          <w:txbxContent>
                            <w:p w14:paraId="2BC9F696"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冷却器</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51" name="文本框 50"/>
                        <wps:cNvSpPr txBox="1"/>
                        <wps:spPr>
                          <a:xfrm>
                            <a:off x="27233" y="4111"/>
                            <a:ext cx="914" cy="349"/>
                          </a:xfrm>
                          <a:prstGeom prst="rect">
                            <a:avLst/>
                          </a:prstGeom>
                          <a:noFill/>
                          <a:ln w="6350">
                            <a:solidFill>
                              <a:schemeClr val="tx1"/>
                            </a:solidFill>
                          </a:ln>
                        </wps:spPr>
                        <wps:style>
                          <a:lnRef idx="0">
                            <a:schemeClr val="accent1"/>
                          </a:lnRef>
                          <a:fillRef idx="0">
                            <a:schemeClr val="accent1"/>
                          </a:fillRef>
                          <a:effectRef idx="0">
                            <a:schemeClr val="accent1"/>
                          </a:effectRef>
                          <a:fontRef idx="minor">
                            <a:schemeClr val="dk1"/>
                          </a:fontRef>
                        </wps:style>
                        <wps:txbx>
                          <w:txbxContent>
                            <w:p w14:paraId="003A9176"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分离罐</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51" name="文本框 51"/>
                        <wps:cNvSpPr txBox="1"/>
                        <wps:spPr>
                          <a:xfrm>
                            <a:off x="27252" y="3484"/>
                            <a:ext cx="914" cy="349"/>
                          </a:xfrm>
                          <a:prstGeom prst="rect">
                            <a:avLst/>
                          </a:prstGeom>
                          <a:noFill/>
                          <a:ln w="6350">
                            <a:solidFill>
                              <a:schemeClr val="tx1"/>
                            </a:solidFill>
                          </a:ln>
                        </wps:spPr>
                        <wps:style>
                          <a:lnRef idx="0">
                            <a:schemeClr val="accent1"/>
                          </a:lnRef>
                          <a:fillRef idx="0">
                            <a:schemeClr val="accent1"/>
                          </a:fillRef>
                          <a:effectRef idx="0">
                            <a:schemeClr val="accent1"/>
                          </a:effectRef>
                          <a:fontRef idx="minor">
                            <a:schemeClr val="dk1"/>
                          </a:fontRef>
                        </wps:style>
                        <wps:txbx>
                          <w:txbxContent>
                            <w:p w14:paraId="27FBBC84"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脱硫塔</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52" name="直接箭头连接符 52"/>
                        <wps:cNvCnPr/>
                        <wps:spPr>
                          <a:xfrm flipV="1">
                            <a:off x="27701" y="3809"/>
                            <a:ext cx="1" cy="324"/>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53" name="直接箭头连接符 61"/>
                        <wps:cNvCnPr/>
                        <wps:spPr>
                          <a:xfrm flipV="1">
                            <a:off x="26916" y="6356"/>
                            <a:ext cx="407" cy="4"/>
                          </a:xfrm>
                          <a:prstGeom prst="straightConnector1">
                            <a:avLst/>
                          </a:prstGeom>
                          <a:ln w="12700">
                            <a:solidFill>
                              <a:schemeClr val="tx1"/>
                            </a:solidFill>
                            <a:prstDash val="dashDot"/>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54" name="文本框 62"/>
                        <wps:cNvSpPr txBox="1"/>
                        <wps:spPr>
                          <a:xfrm>
                            <a:off x="26916" y="6000"/>
                            <a:ext cx="809" cy="34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8717438"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废气G</w:t>
                              </w:r>
                              <w:r>
                                <w:rPr>
                                  <w:rFonts w:ascii="黑体" w:eastAsia="黑体" w:hAnsi="黑体" w:cs="黑体" w:hint="eastAsia"/>
                                  <w:sz w:val="15"/>
                                  <w:szCs w:val="15"/>
                                  <w:vertAlign w:val="subscript"/>
                                </w:rPr>
                                <w:t>3</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55" name="直接箭头连接符 53"/>
                        <wps:cNvCnPr/>
                        <wps:spPr>
                          <a:xfrm flipV="1">
                            <a:off x="27738" y="3146"/>
                            <a:ext cx="1" cy="324"/>
                          </a:xfrm>
                          <a:prstGeom prst="straightConnector1">
                            <a:avLst/>
                          </a:prstGeom>
                          <a:ln w="12700">
                            <a:solidFill>
                              <a:schemeClr val="tx1"/>
                            </a:solidFill>
                            <a:prstDash val="dashDot"/>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54" name="文本框 54"/>
                        <wps:cNvSpPr txBox="1"/>
                        <wps:spPr>
                          <a:xfrm>
                            <a:off x="27858" y="3159"/>
                            <a:ext cx="1140" cy="46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269474"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废气G</w:t>
                              </w:r>
                              <w:r>
                                <w:rPr>
                                  <w:rFonts w:ascii="黑体" w:eastAsia="黑体" w:hAnsi="黑体" w:cs="黑体" w:hint="eastAsia"/>
                                  <w:sz w:val="15"/>
                                  <w:szCs w:val="15"/>
                                  <w:vertAlign w:val="subscript"/>
                                </w:rPr>
                                <w:t>2</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65" name="文本框 65"/>
                        <wps:cNvSpPr txBox="1"/>
                        <wps:spPr>
                          <a:xfrm>
                            <a:off x="26315" y="5502"/>
                            <a:ext cx="809" cy="34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B2A273D"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导热油</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55" name="直接箭头连接符 55"/>
                        <wps:cNvCnPr>
                          <a:endCxn id="31" idx="3"/>
                        </wps:cNvCnPr>
                        <wps:spPr>
                          <a:xfrm flipH="1">
                            <a:off x="26867" y="5025"/>
                            <a:ext cx="357" cy="7"/>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66" name="文本框 66"/>
                        <wps:cNvSpPr txBox="1"/>
                        <wps:spPr>
                          <a:xfrm>
                            <a:off x="25490" y="5469"/>
                            <a:ext cx="809" cy="34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391DD61"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导热油</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56" name="文本框 56"/>
                        <wps:cNvSpPr txBox="1"/>
                        <wps:spPr>
                          <a:xfrm>
                            <a:off x="27224" y="4850"/>
                            <a:ext cx="914" cy="349"/>
                          </a:xfrm>
                          <a:prstGeom prst="rect">
                            <a:avLst/>
                          </a:prstGeom>
                          <a:noFill/>
                          <a:ln w="6350">
                            <a:solidFill>
                              <a:schemeClr val="tx1"/>
                            </a:solidFill>
                          </a:ln>
                        </wps:spPr>
                        <wps:style>
                          <a:lnRef idx="0">
                            <a:schemeClr val="accent1"/>
                          </a:lnRef>
                          <a:fillRef idx="0">
                            <a:schemeClr val="accent1"/>
                          </a:fillRef>
                          <a:effectRef idx="0">
                            <a:schemeClr val="accent1"/>
                          </a:effectRef>
                          <a:fontRef idx="minor">
                            <a:schemeClr val="dk1"/>
                          </a:fontRef>
                        </wps:style>
                        <wps:txbx>
                          <w:txbxContent>
                            <w:p w14:paraId="640A4518"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回流泵</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59" name="文本框 59"/>
                        <wps:cNvSpPr txBox="1"/>
                        <wps:spPr>
                          <a:xfrm>
                            <a:off x="27619" y="3814"/>
                            <a:ext cx="1829" cy="377"/>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674A8D8"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不凝气（H</w:t>
                              </w:r>
                              <w:r>
                                <w:rPr>
                                  <w:rFonts w:ascii="黑体" w:eastAsia="黑体" w:hAnsi="黑体" w:cs="黑体" w:hint="eastAsia"/>
                                  <w:sz w:val="15"/>
                                  <w:szCs w:val="15"/>
                                  <w:vertAlign w:val="subscript"/>
                                </w:rPr>
                                <w:t>2</w:t>
                              </w:r>
                              <w:r>
                                <w:rPr>
                                  <w:rFonts w:ascii="黑体" w:eastAsia="黑体" w:hAnsi="黑体" w:cs="黑体" w:hint="eastAsia"/>
                                  <w:sz w:val="15"/>
                                  <w:szCs w:val="15"/>
                                </w:rPr>
                                <w:t>S、CO</w:t>
                              </w:r>
                              <w:r>
                                <w:rPr>
                                  <w:rFonts w:ascii="黑体" w:eastAsia="黑体" w:hAnsi="黑体" w:cs="黑体" w:hint="eastAsia"/>
                                  <w:sz w:val="15"/>
                                  <w:szCs w:val="15"/>
                                  <w:vertAlign w:val="subscript"/>
                                </w:rPr>
                                <w:t>2</w:t>
                              </w:r>
                              <w:r>
                                <w:rPr>
                                  <w:rFonts w:ascii="黑体" w:eastAsia="黑体" w:hAnsi="黑体" w:cs="黑体" w:hint="eastAsia"/>
                                  <w:sz w:val="15"/>
                                  <w:szCs w:val="15"/>
                                </w:rPr>
                                <w:t>等）</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57" name="直接箭头连接符 57"/>
                        <wps:cNvCnPr/>
                        <wps:spPr>
                          <a:xfrm>
                            <a:off x="27711" y="4502"/>
                            <a:ext cx="5" cy="322"/>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58" name="文本框 58"/>
                        <wps:cNvSpPr txBox="1"/>
                        <wps:spPr>
                          <a:xfrm>
                            <a:off x="27646" y="4469"/>
                            <a:ext cx="990" cy="377"/>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4A0C6A0"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分离液</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60" name="文本框 60"/>
                        <wps:cNvSpPr txBox="1"/>
                        <wps:spPr>
                          <a:xfrm>
                            <a:off x="25627" y="6146"/>
                            <a:ext cx="1285" cy="415"/>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1E255956"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导热油炉</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57" name="直接箭头连接符 63"/>
                        <wps:cNvCnPr/>
                        <wps:spPr>
                          <a:xfrm flipV="1">
                            <a:off x="26419" y="5244"/>
                            <a:ext cx="1" cy="868"/>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64" name="直接箭头连接符 64"/>
                        <wps:cNvCnPr/>
                        <wps:spPr>
                          <a:xfrm>
                            <a:off x="26142" y="5262"/>
                            <a:ext cx="0" cy="859"/>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67" name="文本框 67"/>
                        <wps:cNvSpPr txBox="1"/>
                        <wps:spPr>
                          <a:xfrm>
                            <a:off x="21551" y="6370"/>
                            <a:ext cx="743" cy="377"/>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0DCC0B"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杂质S</w:t>
                              </w:r>
                              <w:r>
                                <w:rPr>
                                  <w:rFonts w:ascii="黑体" w:eastAsia="黑体" w:hAnsi="黑体" w:cs="黑体" w:hint="eastAsia"/>
                                  <w:sz w:val="15"/>
                                  <w:szCs w:val="15"/>
                                  <w:vertAlign w:val="subscript"/>
                                </w:rPr>
                                <w:t>4</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68" name="直接箭头连接符 68"/>
                        <wps:cNvCnPr/>
                        <wps:spPr>
                          <a:xfrm>
                            <a:off x="21660" y="6754"/>
                            <a:ext cx="462" cy="0"/>
                          </a:xfrm>
                          <a:prstGeom prst="straightConnector1">
                            <a:avLst/>
                          </a:prstGeom>
                          <a:ln w="12700">
                            <a:solidFill>
                              <a:schemeClr val="tx1"/>
                            </a:solidFill>
                            <a:prstDash val="dash"/>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69" name="直接箭头连接符 69"/>
                        <wps:cNvCnPr/>
                        <wps:spPr>
                          <a:xfrm flipH="1">
                            <a:off x="21128" y="10275"/>
                            <a:ext cx="2" cy="797"/>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71" name="直接箭头连接符 71"/>
                        <wps:cNvCnPr/>
                        <wps:spPr>
                          <a:xfrm>
                            <a:off x="21667" y="8595"/>
                            <a:ext cx="9" cy="360"/>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72" name="直接箭头连接符 72"/>
                        <wps:cNvCnPr/>
                        <wps:spPr>
                          <a:xfrm flipV="1">
                            <a:off x="21894" y="8573"/>
                            <a:ext cx="0" cy="393"/>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75" name="直接箭头连接符 75"/>
                        <wps:cNvCnPr/>
                        <wps:spPr>
                          <a:xfrm>
                            <a:off x="22056" y="11272"/>
                            <a:ext cx="690" cy="3"/>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58" name="直接连接符 78"/>
                        <wps:cNvCnPr/>
                        <wps:spPr>
                          <a:xfrm flipV="1">
                            <a:off x="21636" y="10723"/>
                            <a:ext cx="1551" cy="1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79" name="直接箭头连接符 79"/>
                        <wps:cNvCnPr/>
                        <wps:spPr>
                          <a:xfrm flipV="1">
                            <a:off x="24087" y="5323"/>
                            <a:ext cx="5" cy="1075"/>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80" name="直接箭头连接符 80"/>
                        <wps:cNvCnPr/>
                        <wps:spPr>
                          <a:xfrm flipH="1">
                            <a:off x="21652" y="10749"/>
                            <a:ext cx="2" cy="298"/>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60" name="文本框 83"/>
                        <wps:cNvSpPr txBox="1"/>
                        <wps:spPr>
                          <a:xfrm>
                            <a:off x="28968" y="13907"/>
                            <a:ext cx="809" cy="34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601349"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外输</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61" name="直接连接符 81"/>
                        <wps:cNvCnPr/>
                        <wps:spPr>
                          <a:xfrm flipH="1">
                            <a:off x="23177" y="10726"/>
                            <a:ext cx="4" cy="306"/>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362" name="文本框 86"/>
                        <wps:cNvSpPr txBox="1"/>
                        <wps:spPr>
                          <a:xfrm>
                            <a:off x="21793" y="8604"/>
                            <a:ext cx="809" cy="34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B611BCE"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导热油</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89" name="直接箭头连接符 89"/>
                        <wps:cNvCnPr/>
                        <wps:spPr>
                          <a:xfrm>
                            <a:off x="22047" y="8305"/>
                            <a:ext cx="417" cy="7"/>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63" name="直接箭头连接符 85"/>
                        <wps:cNvCnPr/>
                        <wps:spPr>
                          <a:xfrm flipV="1">
                            <a:off x="28952" y="14377"/>
                            <a:ext cx="572" cy="4"/>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90" name="文本框 90"/>
                        <wps:cNvSpPr txBox="1"/>
                        <wps:spPr>
                          <a:xfrm>
                            <a:off x="22769" y="11060"/>
                            <a:ext cx="1460" cy="395"/>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15D50818"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制冷循环系统</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96" name="直接箭头连接符 96"/>
                        <wps:cNvCnPr/>
                        <wps:spPr>
                          <a:xfrm flipV="1">
                            <a:off x="24120" y="6858"/>
                            <a:ext cx="0" cy="531"/>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91" name="直接箭头连接符 91"/>
                        <wps:cNvCnPr/>
                        <wps:spPr>
                          <a:xfrm flipH="1" flipV="1">
                            <a:off x="23059" y="7610"/>
                            <a:ext cx="2" cy="434"/>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93" name="直接连接符 93"/>
                        <wps:cNvCnPr/>
                        <wps:spPr>
                          <a:xfrm>
                            <a:off x="23709" y="7374"/>
                            <a:ext cx="400" cy="8"/>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02" name="文本框 102"/>
                        <wps:cNvSpPr txBox="1"/>
                        <wps:spPr>
                          <a:xfrm>
                            <a:off x="22445" y="7162"/>
                            <a:ext cx="1258" cy="384"/>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44F30E0A"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再生分离器</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98" name="直接箭头连接符 98"/>
                        <wps:cNvCnPr/>
                        <wps:spPr>
                          <a:xfrm flipH="1">
                            <a:off x="21107" y="6983"/>
                            <a:ext cx="5" cy="1001"/>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103" name="直接箭头连接符 103"/>
                        <wps:cNvCnPr/>
                        <wps:spPr>
                          <a:xfrm flipH="1" flipV="1">
                            <a:off x="21130" y="7360"/>
                            <a:ext cx="1233" cy="3"/>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99" name="文本框 99"/>
                        <wps:cNvSpPr txBox="1"/>
                        <wps:spPr>
                          <a:xfrm>
                            <a:off x="22468" y="8098"/>
                            <a:ext cx="1258" cy="384"/>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2D40565F"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再生冷却器</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00" name="文本框 100"/>
                        <wps:cNvSpPr txBox="1"/>
                        <wps:spPr>
                          <a:xfrm>
                            <a:off x="20314" y="8069"/>
                            <a:ext cx="1714" cy="48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479634E9"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干燥脱水塔</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04" name="文本框 104"/>
                        <wps:cNvSpPr txBox="1"/>
                        <wps:spPr>
                          <a:xfrm>
                            <a:off x="23641" y="6457"/>
                            <a:ext cx="914" cy="385"/>
                          </a:xfrm>
                          <a:prstGeom prst="rect">
                            <a:avLst/>
                          </a:prstGeom>
                          <a:noFill/>
                          <a:ln w="6350">
                            <a:solidFill>
                              <a:schemeClr val="tx1"/>
                            </a:solidFill>
                          </a:ln>
                        </wps:spPr>
                        <wps:style>
                          <a:lnRef idx="0">
                            <a:schemeClr val="accent1"/>
                          </a:lnRef>
                          <a:fillRef idx="0">
                            <a:schemeClr val="accent1"/>
                          </a:fillRef>
                          <a:effectRef idx="0">
                            <a:schemeClr val="accent1"/>
                          </a:effectRef>
                          <a:fontRef idx="minor">
                            <a:schemeClr val="dk1"/>
                          </a:fontRef>
                        </wps:style>
                        <wps:txbx>
                          <w:txbxContent>
                            <w:p w14:paraId="5AA2F60E"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过滤器</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05" name="文本框 105"/>
                        <wps:cNvSpPr txBox="1"/>
                        <wps:spPr>
                          <a:xfrm>
                            <a:off x="24518" y="6261"/>
                            <a:ext cx="743" cy="377"/>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48339D5"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杂质S</w:t>
                              </w:r>
                              <w:r>
                                <w:rPr>
                                  <w:rFonts w:ascii="黑体" w:eastAsia="黑体" w:hAnsi="黑体" w:cs="黑体" w:hint="eastAsia"/>
                                  <w:sz w:val="15"/>
                                  <w:szCs w:val="15"/>
                                  <w:vertAlign w:val="subscript"/>
                                </w:rPr>
                                <w:t>3</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14" name="直接箭头连接符 114"/>
                        <wps:cNvCnPr/>
                        <wps:spPr>
                          <a:xfrm flipH="1">
                            <a:off x="21087" y="8587"/>
                            <a:ext cx="14" cy="1260"/>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107" name="文本框 107"/>
                        <wps:cNvSpPr txBox="1"/>
                        <wps:spPr>
                          <a:xfrm>
                            <a:off x="21505" y="8993"/>
                            <a:ext cx="1285" cy="415"/>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14D78F2E"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导热油炉</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13" name="直接箭头连接符 113"/>
                        <wps:cNvCnPr/>
                        <wps:spPr>
                          <a:xfrm flipV="1">
                            <a:off x="22814" y="9204"/>
                            <a:ext cx="407" cy="4"/>
                          </a:xfrm>
                          <a:prstGeom prst="straightConnector1">
                            <a:avLst/>
                          </a:prstGeom>
                          <a:ln w="12700">
                            <a:solidFill>
                              <a:schemeClr val="tx1"/>
                            </a:solidFill>
                            <a:prstDash val="dashDot"/>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112" name="文本框 112"/>
                        <wps:cNvSpPr txBox="1"/>
                        <wps:spPr>
                          <a:xfrm>
                            <a:off x="22814" y="8848"/>
                            <a:ext cx="809" cy="34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0C2E628"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废气G</w:t>
                              </w:r>
                              <w:r>
                                <w:rPr>
                                  <w:rFonts w:ascii="黑体" w:eastAsia="黑体" w:hAnsi="黑体" w:cs="黑体" w:hint="eastAsia"/>
                                  <w:sz w:val="15"/>
                                  <w:szCs w:val="15"/>
                                  <w:vertAlign w:val="subscript"/>
                                </w:rPr>
                                <w:t>3</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06" name="直接箭头连接符 106"/>
                        <wps:cNvCnPr/>
                        <wps:spPr>
                          <a:xfrm>
                            <a:off x="24573" y="6634"/>
                            <a:ext cx="462" cy="0"/>
                          </a:xfrm>
                          <a:prstGeom prst="straightConnector1">
                            <a:avLst/>
                          </a:prstGeom>
                          <a:ln w="12700">
                            <a:solidFill>
                              <a:schemeClr val="tx1"/>
                            </a:solidFill>
                            <a:prstDash val="dash"/>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108" name="文本框 108"/>
                        <wps:cNvSpPr txBox="1"/>
                        <wps:spPr>
                          <a:xfrm>
                            <a:off x="23759" y="5913"/>
                            <a:ext cx="1185" cy="46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A591673"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滤液</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15" name="文本框 115"/>
                        <wps:cNvSpPr txBox="1"/>
                        <wps:spPr>
                          <a:xfrm>
                            <a:off x="20316" y="9814"/>
                            <a:ext cx="1714" cy="48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37F3D432"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脱汞塔</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16" name="文本框 116"/>
                        <wps:cNvSpPr txBox="1"/>
                        <wps:spPr>
                          <a:xfrm>
                            <a:off x="20285" y="11045"/>
                            <a:ext cx="1714" cy="48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363DAD06"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液化冷箱</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11" name="文本框 111"/>
                        <wps:cNvSpPr txBox="1"/>
                        <wps:spPr>
                          <a:xfrm>
                            <a:off x="21339" y="7027"/>
                            <a:ext cx="1185" cy="46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9AF3DB4"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再生气</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18" name="直接箭头连接符 118"/>
                        <wps:cNvCnPr/>
                        <wps:spPr>
                          <a:xfrm flipH="1">
                            <a:off x="21089" y="11559"/>
                            <a:ext cx="4" cy="1237"/>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119" name="文本框 119"/>
                        <wps:cNvSpPr txBox="1"/>
                        <wps:spPr>
                          <a:xfrm>
                            <a:off x="21406" y="12012"/>
                            <a:ext cx="1714" cy="42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2DDB76A0"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重烃吸附塔</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20" name="文本框 120"/>
                        <wps:cNvSpPr txBox="1"/>
                        <wps:spPr>
                          <a:xfrm>
                            <a:off x="23690" y="12012"/>
                            <a:ext cx="1545" cy="398"/>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2B6E8945"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重烃再生加热器</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24" name="文本框 124"/>
                        <wps:cNvSpPr txBox="1"/>
                        <wps:spPr>
                          <a:xfrm>
                            <a:off x="27633" y="14107"/>
                            <a:ext cx="1301" cy="42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68E94534"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LPG储罐</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22" name="文本框 122"/>
                        <wps:cNvSpPr txBox="1"/>
                        <wps:spPr>
                          <a:xfrm>
                            <a:off x="27570" y="13351"/>
                            <a:ext cx="1301" cy="42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31B92099"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重烃气化器</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23" name="文本框 123"/>
                        <wps:cNvSpPr txBox="1"/>
                        <wps:spPr>
                          <a:xfrm>
                            <a:off x="27500" y="12648"/>
                            <a:ext cx="1399" cy="41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3F7BF812"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重烃闪蒸阀</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64" name="文本框 133"/>
                        <wps:cNvSpPr txBox="1"/>
                        <wps:spPr>
                          <a:xfrm>
                            <a:off x="21531" y="11595"/>
                            <a:ext cx="1018" cy="34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AEF1603"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低压气体</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65" name="直接箭头连接符 132"/>
                        <wps:cNvCnPr/>
                        <wps:spPr>
                          <a:xfrm flipH="1">
                            <a:off x="21598" y="11558"/>
                            <a:ext cx="5" cy="442"/>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66" name="直接箭头连接符 126"/>
                        <wps:cNvCnPr/>
                        <wps:spPr>
                          <a:xfrm>
                            <a:off x="25125" y="12193"/>
                            <a:ext cx="508" cy="14"/>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67" name="文本框 125"/>
                        <wps:cNvSpPr txBox="1"/>
                        <wps:spPr>
                          <a:xfrm>
                            <a:off x="21017" y="8559"/>
                            <a:ext cx="809" cy="34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D16D69C"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导热油</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68" name="直接箭头连接符 127"/>
                        <wps:cNvCnPr/>
                        <wps:spPr>
                          <a:xfrm>
                            <a:off x="23145" y="12193"/>
                            <a:ext cx="508" cy="14"/>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69" name="直接箭头连接符 131"/>
                        <wps:cNvCnPr/>
                        <wps:spPr>
                          <a:xfrm>
                            <a:off x="28223" y="13779"/>
                            <a:ext cx="2" cy="318"/>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136" name="文本框 136"/>
                        <wps:cNvSpPr txBox="1"/>
                        <wps:spPr>
                          <a:xfrm>
                            <a:off x="20598" y="14144"/>
                            <a:ext cx="1048" cy="34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E1AF9F5"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装车外售</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70" name="文本框 134"/>
                        <wps:cNvSpPr txBox="1"/>
                        <wps:spPr>
                          <a:xfrm>
                            <a:off x="20300" y="12830"/>
                            <a:ext cx="1714" cy="48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54B84D83"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LNG储罐</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71" name="直接箭头连接符 140"/>
                        <wps:cNvCnPr/>
                        <wps:spPr>
                          <a:xfrm>
                            <a:off x="24107" y="13131"/>
                            <a:ext cx="408" cy="0"/>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135" name="直接箭头连接符 135"/>
                        <wps:cNvCnPr/>
                        <wps:spPr>
                          <a:xfrm flipH="1">
                            <a:off x="21128" y="13335"/>
                            <a:ext cx="2" cy="797"/>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72" name="文本框 139"/>
                        <wps:cNvSpPr txBox="1"/>
                        <wps:spPr>
                          <a:xfrm>
                            <a:off x="24579" y="12914"/>
                            <a:ext cx="1568" cy="385"/>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0C985270"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燃料气缓冲罐</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73" name="直接箭头连接符 137"/>
                        <wps:cNvCnPr/>
                        <wps:spPr>
                          <a:xfrm>
                            <a:off x="22050" y="13078"/>
                            <a:ext cx="508" cy="14"/>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74" name="文本框 142"/>
                        <wps:cNvSpPr txBox="1"/>
                        <wps:spPr>
                          <a:xfrm>
                            <a:off x="23934" y="12722"/>
                            <a:ext cx="809" cy="34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1B7ABF"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压缩机</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75" name="文本框 143"/>
                        <wps:cNvSpPr txBox="1"/>
                        <wps:spPr>
                          <a:xfrm>
                            <a:off x="24123" y="13799"/>
                            <a:ext cx="2594" cy="76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9FB32D5"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送到燃料气系统（用于导热油炉、火炬系统及办公等用气），剩余部分送往下游天然气门站</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76" name="文本框 138"/>
                        <wps:cNvSpPr txBox="1"/>
                        <wps:spPr>
                          <a:xfrm>
                            <a:off x="22595" y="12897"/>
                            <a:ext cx="1399" cy="398"/>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567D9040"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BOG缓存罐</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77" name="直接箭头连接符 151"/>
                        <wps:cNvCnPr/>
                        <wps:spPr>
                          <a:xfrm flipV="1">
                            <a:off x="24031" y="4493"/>
                            <a:ext cx="1" cy="324"/>
                          </a:xfrm>
                          <a:prstGeom prst="straightConnector1">
                            <a:avLst/>
                          </a:prstGeom>
                          <a:ln w="12700">
                            <a:solidFill>
                              <a:schemeClr val="tx1"/>
                            </a:solidFill>
                            <a:prstDash val="dashDot"/>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78" name="文本框 150"/>
                        <wps:cNvSpPr txBox="1"/>
                        <wps:spPr>
                          <a:xfrm>
                            <a:off x="23897" y="4400"/>
                            <a:ext cx="1101" cy="377"/>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1333FEF"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闪蒸气G</w:t>
                              </w:r>
                              <w:r>
                                <w:rPr>
                                  <w:rFonts w:ascii="黑体" w:eastAsia="黑体" w:hAnsi="黑体" w:cs="黑体" w:hint="eastAsia"/>
                                  <w:sz w:val="15"/>
                                  <w:szCs w:val="15"/>
                                  <w:vertAlign w:val="subscript"/>
                                </w:rPr>
                                <w:t>1</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41" name="直接箭头连接符 141"/>
                        <wps:cNvCnPr/>
                        <wps:spPr>
                          <a:xfrm>
                            <a:off x="25228" y="13332"/>
                            <a:ext cx="0" cy="420"/>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79" name="直接箭头连接符 144"/>
                        <wps:cNvCnPr/>
                        <wps:spPr>
                          <a:xfrm>
                            <a:off x="22066" y="10087"/>
                            <a:ext cx="462" cy="0"/>
                          </a:xfrm>
                          <a:prstGeom prst="straightConnector1">
                            <a:avLst/>
                          </a:prstGeom>
                          <a:ln w="12700">
                            <a:solidFill>
                              <a:schemeClr val="tx1"/>
                            </a:solidFill>
                            <a:prstDash val="dash"/>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80" name="文本框 152"/>
                        <wps:cNvSpPr txBox="1"/>
                        <wps:spPr>
                          <a:xfrm>
                            <a:off x="21772" y="12817"/>
                            <a:ext cx="1004" cy="674"/>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5E0A8B6" w14:textId="2201E1C6" w:rsidR="00B0005F" w:rsidRDefault="00000000">
                              <w:pPr>
                                <w:adjustRightInd w:val="0"/>
                                <w:snapToGrid w:val="0"/>
                                <w:jc w:val="center"/>
                                <w:rPr>
                                  <w:rFonts w:ascii="黑体" w:eastAsia="黑体" w:hAnsi="黑体" w:cs="黑体"/>
                                  <w:sz w:val="15"/>
                                  <w:szCs w:val="15"/>
                                  <w:vertAlign w:val="subscript"/>
                                </w:rPr>
                              </w:pPr>
                              <w:r>
                                <w:rPr>
                                  <w:rFonts w:ascii="黑体" w:eastAsia="黑体" w:hAnsi="黑体" w:cs="黑体" w:hint="eastAsia"/>
                                  <w:sz w:val="15"/>
                                  <w:szCs w:val="15"/>
                                </w:rPr>
                                <w:t>蒸发气G</w:t>
                              </w:r>
                              <w:r w:rsidR="00A54EA8">
                                <w:rPr>
                                  <w:rFonts w:ascii="黑体" w:eastAsia="黑体" w:hAnsi="黑体" w:cs="黑体"/>
                                  <w:sz w:val="15"/>
                                  <w:szCs w:val="15"/>
                                  <w:vertAlign w:val="subscript"/>
                                </w:rPr>
                                <w:t>4</w:t>
                              </w:r>
                            </w:p>
                            <w:p w14:paraId="46B549AD"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加热</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81" name="文本框 145"/>
                        <wps:cNvSpPr txBox="1"/>
                        <wps:spPr>
                          <a:xfrm>
                            <a:off x="22071" y="9730"/>
                            <a:ext cx="1343" cy="377"/>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448D085"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废脱汞剂S</w:t>
                              </w:r>
                              <w:r>
                                <w:rPr>
                                  <w:rFonts w:ascii="黑体" w:eastAsia="黑体" w:hAnsi="黑体" w:cs="黑体" w:hint="eastAsia"/>
                                  <w:sz w:val="15"/>
                                  <w:szCs w:val="15"/>
                                  <w:vertAlign w:val="subscript"/>
                                </w:rPr>
                                <w:t>5</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82" name="直接箭头连接符 146"/>
                        <wps:cNvCnPr/>
                        <wps:spPr>
                          <a:xfrm>
                            <a:off x="28186" y="3687"/>
                            <a:ext cx="462" cy="0"/>
                          </a:xfrm>
                          <a:prstGeom prst="straightConnector1">
                            <a:avLst/>
                          </a:prstGeom>
                          <a:ln w="12700">
                            <a:solidFill>
                              <a:schemeClr val="tx1"/>
                            </a:solidFill>
                            <a:prstDash val="dash"/>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83" name="文本框 147"/>
                        <wps:cNvSpPr txBox="1"/>
                        <wps:spPr>
                          <a:xfrm>
                            <a:off x="28470" y="3354"/>
                            <a:ext cx="1075" cy="377"/>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5240795"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废活性炭S</w:t>
                              </w:r>
                              <w:r>
                                <w:rPr>
                                  <w:rFonts w:ascii="黑体" w:eastAsia="黑体" w:hAnsi="黑体" w:cs="黑体" w:hint="eastAsia"/>
                                  <w:sz w:val="15"/>
                                  <w:szCs w:val="15"/>
                                  <w:vertAlign w:val="subscript"/>
                                </w:rPr>
                                <w:t>3</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84" name="文本框 148"/>
                        <wps:cNvSpPr txBox="1"/>
                        <wps:spPr>
                          <a:xfrm>
                            <a:off x="21677" y="3863"/>
                            <a:ext cx="1185" cy="46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14DA30A"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贫液</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85" name="文本框 149"/>
                        <wps:cNvSpPr txBox="1"/>
                        <wps:spPr>
                          <a:xfrm>
                            <a:off x="23691" y="3862"/>
                            <a:ext cx="1185" cy="46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BD3DEE6"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贫液</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86" name="文本框 87"/>
                        <wps:cNvSpPr txBox="1"/>
                        <wps:spPr>
                          <a:xfrm>
                            <a:off x="25610" y="11916"/>
                            <a:ext cx="1399" cy="588"/>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31901D09"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脱重烃再生冷却器</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97" name="文本框 97"/>
                        <wps:cNvSpPr txBox="1"/>
                        <wps:spPr>
                          <a:xfrm>
                            <a:off x="27500" y="11928"/>
                            <a:ext cx="1399" cy="41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5334C361"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重烃过滤系统</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01" name="直接箭头连接符 101"/>
                        <wps:cNvCnPr/>
                        <wps:spPr>
                          <a:xfrm>
                            <a:off x="27011" y="12159"/>
                            <a:ext cx="494" cy="0"/>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109" name="直接箭头连接符 109"/>
                        <wps:cNvCnPr/>
                        <wps:spPr>
                          <a:xfrm>
                            <a:off x="28199" y="13047"/>
                            <a:ext cx="2" cy="318"/>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110" name="直接箭头连接符 110"/>
                        <wps:cNvCnPr/>
                        <wps:spPr>
                          <a:xfrm>
                            <a:off x="28187" y="12339"/>
                            <a:ext cx="2" cy="318"/>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87" name="直接箭头连接符 128"/>
                        <wps:cNvCnPr>
                          <a:stCxn id="97" idx="0"/>
                        </wps:cNvCnPr>
                        <wps:spPr>
                          <a:xfrm flipH="1" flipV="1">
                            <a:off x="28199" y="11457"/>
                            <a:ext cx="1" cy="471"/>
                          </a:xfrm>
                          <a:prstGeom prst="straightConnector1">
                            <a:avLst/>
                          </a:prstGeom>
                          <a:ln w="12700">
                            <a:solidFill>
                              <a:schemeClr val="tx1"/>
                            </a:solidFill>
                            <a:prstDash val="dash"/>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88" name="文本框 129"/>
                        <wps:cNvSpPr txBox="1"/>
                        <wps:spPr>
                          <a:xfrm>
                            <a:off x="28154" y="11277"/>
                            <a:ext cx="743" cy="377"/>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EEB7D39"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杂质S</w:t>
                              </w:r>
                              <w:r>
                                <w:rPr>
                                  <w:rFonts w:ascii="黑体" w:eastAsia="黑体" w:hAnsi="黑体" w:cs="黑体" w:hint="eastAsia"/>
                                  <w:sz w:val="15"/>
                                  <w:szCs w:val="15"/>
                                  <w:vertAlign w:val="subscript"/>
                                </w:rPr>
                                <w:t>5</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89" name="直接箭头连接符 130"/>
                        <wps:cNvCnPr/>
                        <wps:spPr>
                          <a:xfrm flipV="1">
                            <a:off x="25728" y="11264"/>
                            <a:ext cx="407" cy="4"/>
                          </a:xfrm>
                          <a:prstGeom prst="straightConnector1">
                            <a:avLst/>
                          </a:prstGeom>
                          <a:ln w="12700">
                            <a:solidFill>
                              <a:schemeClr val="tx1"/>
                            </a:solidFill>
                            <a:prstDash val="dashDot"/>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90" name="文本框 153"/>
                        <wps:cNvSpPr txBox="1"/>
                        <wps:spPr>
                          <a:xfrm>
                            <a:off x="25713" y="10815"/>
                            <a:ext cx="809" cy="34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62723CC"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废气G</w:t>
                              </w:r>
                              <w:r>
                                <w:rPr>
                                  <w:rFonts w:ascii="黑体" w:eastAsia="黑体" w:hAnsi="黑体" w:cs="黑体" w:hint="eastAsia"/>
                                  <w:sz w:val="15"/>
                                  <w:szCs w:val="15"/>
                                  <w:vertAlign w:val="subscript"/>
                                </w:rPr>
                                <w:t>3</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91" name="文本框 154"/>
                        <wps:cNvSpPr txBox="1"/>
                        <wps:spPr>
                          <a:xfrm>
                            <a:off x="24439" y="11054"/>
                            <a:ext cx="1285" cy="415"/>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328A649D"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导热油炉</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92" name="直接箭头连接符 155"/>
                        <wps:cNvCnPr/>
                        <wps:spPr>
                          <a:xfrm flipH="1">
                            <a:off x="24874" y="11534"/>
                            <a:ext cx="5" cy="442"/>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93" name="直接箭头连接符 156"/>
                        <wps:cNvCnPr/>
                        <wps:spPr>
                          <a:xfrm flipH="1" flipV="1">
                            <a:off x="24659" y="11511"/>
                            <a:ext cx="4" cy="442"/>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94" name="文本框 157"/>
                        <wps:cNvSpPr txBox="1"/>
                        <wps:spPr>
                          <a:xfrm>
                            <a:off x="23785" y="11604"/>
                            <a:ext cx="809" cy="34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7234364"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导热油</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95" name="文本框 158"/>
                        <wps:cNvSpPr txBox="1"/>
                        <wps:spPr>
                          <a:xfrm>
                            <a:off x="24841" y="11556"/>
                            <a:ext cx="809" cy="34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9143F35"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导热油</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96" name="直接箭头连接符 159"/>
                        <wps:cNvCnPr>
                          <a:endCxn id="16" idx="1"/>
                        </wps:cNvCnPr>
                        <wps:spPr>
                          <a:xfrm>
                            <a:off x="23819" y="8283"/>
                            <a:ext cx="529" cy="11"/>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97" name="文本框 160"/>
                        <wps:cNvSpPr txBox="1"/>
                        <wps:spPr>
                          <a:xfrm>
                            <a:off x="23477" y="7865"/>
                            <a:ext cx="1083" cy="34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72D78C"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冷凝液</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6" name="直接箭头连接符 15"/>
                        <wps:cNvCnPr/>
                        <wps:spPr>
                          <a:xfrm flipH="1" flipV="1">
                            <a:off x="25313" y="2315"/>
                            <a:ext cx="7" cy="337"/>
                          </a:xfrm>
                          <a:prstGeom prst="straightConnector1">
                            <a:avLst/>
                          </a:prstGeom>
                          <a:ln w="12700">
                            <a:solidFill>
                              <a:schemeClr val="tx1"/>
                            </a:solidFill>
                            <a:prstDash val="dash"/>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17" name="文本框 14"/>
                        <wps:cNvSpPr txBox="1"/>
                        <wps:spPr>
                          <a:xfrm>
                            <a:off x="25206" y="2144"/>
                            <a:ext cx="875" cy="378"/>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E0B1356"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污泥S</w:t>
                              </w:r>
                              <w:r>
                                <w:rPr>
                                  <w:rFonts w:ascii="黑体" w:eastAsia="黑体" w:hAnsi="黑体" w:cs="黑体" w:hint="eastAsia"/>
                                  <w:sz w:val="15"/>
                                  <w:szCs w:val="15"/>
                                  <w:vertAlign w:val="subscript"/>
                                </w:rPr>
                                <w:t>2</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1" name="文本框 16"/>
                        <wps:cNvSpPr txBox="1"/>
                        <wps:spPr>
                          <a:xfrm>
                            <a:off x="24348" y="8100"/>
                            <a:ext cx="1562" cy="386"/>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2DD09A35"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sz w:val="18"/>
                                  <w:szCs w:val="18"/>
                                </w:rPr>
                                <w:t>分离装置</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2" name="直接箭头连接符 7"/>
                        <wps:cNvCnPr/>
                        <wps:spPr>
                          <a:xfrm>
                            <a:off x="25933" y="8300"/>
                            <a:ext cx="691" cy="3"/>
                          </a:xfrm>
                          <a:prstGeom prst="straightConnector1">
                            <a:avLst/>
                          </a:prstGeom>
                          <a:ln w="15875" cmpd="sng">
                            <a:solidFill>
                              <a:schemeClr val="tx1"/>
                            </a:solidFill>
                            <a:prstDash val="sysDash"/>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24" name="文本框 21"/>
                        <wps:cNvSpPr txBox="1"/>
                        <wps:spPr>
                          <a:xfrm>
                            <a:off x="26623" y="8099"/>
                            <a:ext cx="1285" cy="460"/>
                          </a:xfrm>
                          <a:prstGeom prst="rect">
                            <a:avLst/>
                          </a:prstGeom>
                          <a:noFill/>
                          <a:ln w="6350">
                            <a:solidFill>
                              <a:schemeClr val="tx1"/>
                            </a:solidFill>
                          </a:ln>
                        </wps:spPr>
                        <wps:style>
                          <a:lnRef idx="0">
                            <a:schemeClr val="accent1"/>
                          </a:lnRef>
                          <a:fillRef idx="0">
                            <a:schemeClr val="accent1"/>
                          </a:fillRef>
                          <a:effectRef idx="0">
                            <a:schemeClr val="accent1"/>
                          </a:effectRef>
                          <a:fontRef idx="minor">
                            <a:schemeClr val="dk1"/>
                          </a:fontRef>
                        </wps:style>
                        <wps:txbx>
                          <w:txbxContent>
                            <w:p w14:paraId="510436E4"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污水处理站</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8" name="直接箭头连接符 10"/>
                        <wps:cNvCnPr/>
                        <wps:spPr>
                          <a:xfrm>
                            <a:off x="27922" y="8366"/>
                            <a:ext cx="691" cy="3"/>
                          </a:xfrm>
                          <a:prstGeom prst="straightConnector1">
                            <a:avLst/>
                          </a:prstGeom>
                          <a:ln w="15875" cmpd="sng">
                            <a:solidFill>
                              <a:schemeClr val="tx1"/>
                            </a:solidFill>
                            <a:prstDash val="sysDash"/>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29" name="文本框 11"/>
                        <wps:cNvSpPr txBox="1"/>
                        <wps:spPr>
                          <a:xfrm>
                            <a:off x="28413" y="8039"/>
                            <a:ext cx="1185" cy="67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58BC9F3"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园区污水管网</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0" name="直接箭头连接符 15"/>
                        <wps:cNvCnPr/>
                        <wps:spPr>
                          <a:xfrm flipH="1" flipV="1">
                            <a:off x="25042" y="7698"/>
                            <a:ext cx="7" cy="337"/>
                          </a:xfrm>
                          <a:prstGeom prst="straightConnector1">
                            <a:avLst/>
                          </a:prstGeom>
                          <a:ln w="12700">
                            <a:solidFill>
                              <a:schemeClr val="tx1"/>
                            </a:solidFill>
                            <a:prstDash val="dash"/>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3" name="文本框 14"/>
                        <wps:cNvSpPr txBox="1"/>
                        <wps:spPr>
                          <a:xfrm>
                            <a:off x="24772" y="7471"/>
                            <a:ext cx="1361" cy="352"/>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017C556"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含油废液S</w:t>
                              </w:r>
                              <w:r>
                                <w:rPr>
                                  <w:rFonts w:ascii="黑体" w:eastAsia="黑体" w:hAnsi="黑体" w:cs="黑体" w:hint="eastAsia"/>
                                  <w:sz w:val="15"/>
                                  <w:szCs w:val="15"/>
                                  <w:vertAlign w:val="subscript"/>
                                </w:rPr>
                                <w:t>5</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7" name="文本框 160"/>
                        <wps:cNvSpPr txBox="1"/>
                        <wps:spPr>
                          <a:xfrm>
                            <a:off x="25664" y="7727"/>
                            <a:ext cx="1124" cy="59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97FCD05"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冷凝隔油分离废水W</w:t>
                              </w:r>
                              <w:r>
                                <w:rPr>
                                  <w:rFonts w:ascii="黑体" w:eastAsia="黑体" w:hAnsi="黑体" w:cs="黑体" w:hint="eastAsia"/>
                                  <w:sz w:val="15"/>
                                  <w:szCs w:val="15"/>
                                  <w:vertAlign w:val="subscript"/>
                                </w:rPr>
                                <w:t>2</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29" name="直接箭头连接符 130"/>
                        <wps:cNvCnPr/>
                        <wps:spPr>
                          <a:xfrm flipV="1">
                            <a:off x="23333" y="13343"/>
                            <a:ext cx="8" cy="934"/>
                          </a:xfrm>
                          <a:prstGeom prst="straightConnector1">
                            <a:avLst/>
                          </a:prstGeom>
                          <a:ln w="12700">
                            <a:solidFill>
                              <a:schemeClr val="tx1"/>
                            </a:solidFill>
                            <a:prstDash val="dashDot"/>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131" name="文本框 153"/>
                        <wps:cNvSpPr txBox="1"/>
                        <wps:spPr>
                          <a:xfrm>
                            <a:off x="21503" y="13842"/>
                            <a:ext cx="810" cy="34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905E274" w14:textId="3A42A72B"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废气G</w:t>
                              </w:r>
                              <w:r w:rsidR="00A54EA8">
                                <w:rPr>
                                  <w:rFonts w:ascii="黑体" w:eastAsia="黑体" w:hAnsi="黑体" w:cs="黑体"/>
                                  <w:sz w:val="15"/>
                                  <w:szCs w:val="15"/>
                                  <w:vertAlign w:val="subscript"/>
                                </w:rPr>
                                <w:t>5</w:t>
                              </w: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w14:anchorId="650A3459" id="组合 216" o:spid="_x0000_s1050" style="position:absolute;left:0;text-align:left;margin-left:-16.6pt;margin-top:-7.7pt;width:467.9pt;height:647.6pt;z-index:251608576" coordorigin="20259,1089" coordsize="9518,134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">
                <v:shape id="文本框 1" o:spid="_x0000_s1051" type="#_x0000_t202" style="position:absolute;left:20397;top:1755;width:1714;height: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" fillcolor="white [3201]" strokeweight=".5pt">
                  <v:textbox>
                    <w:txbxContent>
                      <w:p w14:paraId="665BB7C2"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计量调压系统</w:t>
                        </w:r>
                      </w:p>
                    </w:txbxContent>
                  </v:textbox>
                </v:shape>
                <v:shape id="_x0000_s1052" type="#_x0000_t202" style="position:absolute;left:20427;top:2725;width:1714;height: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" fillcolor="white [3201]" strokeweight=".5pt">
                  <v:textbox>
                    <w:txbxContent>
                      <w:p w14:paraId="63FB4C25"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过滤分离器</w:t>
                        </w:r>
                      </w:p>
                    </w:txbxContent>
                  </v:textbox>
                </v:shape>
                <v:shape id="直接箭头连接符 3" o:spid="_x0000_s1053" type="#_x0000_t32" style="position:absolute;left:21205;top:1294;width:4;height:45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" strokecolor="black [3213]" strokeweight="1pt">
                  <v:stroke endarrow="block"/>
                </v:shape>
                <v:shape id="直接箭头连接符 4" o:spid="_x0000_s1054" type="#_x0000_t32" style="position:absolute;left:21199;top:2266;width:4;height:45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" strokecolor="black [3213]" strokeweight="1pt">
                  <v:stroke endarrow="block"/>
                </v:shape>
                <v:shape id="直接箭头连接符 5" o:spid="_x0000_s1055" type="#_x0000_t32" style="position:absolute;left:22158;top:2850;width:690;height: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" strokecolor="black [3213]" strokeweight="1.25pt">
                  <v:stroke dashstyle="3 1" endarrow="block"/>
                </v:shape>
                <v:shape id="_x0000_s1056" type="#_x0000_t202" style="position:absolute;left:21907;top:2363;width:1185;height:4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" filled="f" stroked="f" strokeweight=".5pt">
                  <v:textbox>
                    <w:txbxContent>
                      <w:p w14:paraId="13F99BA5"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废水W</w:t>
                        </w:r>
                        <w:r>
                          <w:rPr>
                            <w:rFonts w:ascii="黑体" w:eastAsia="黑体" w:hAnsi="黑体" w:cs="黑体" w:hint="eastAsia"/>
                            <w:sz w:val="15"/>
                            <w:szCs w:val="15"/>
                            <w:vertAlign w:val="subscript"/>
                          </w:rPr>
                          <w:t>1</w:t>
                        </w:r>
                      </w:p>
                    </w:txbxContent>
                  </v:textbox>
                </v:shape>
                <v:shape id="直接箭头连接符 7" o:spid="_x0000_s1057" type="#_x0000_t32" style="position:absolute;left:24048;top:2850;width:690;height: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" strokecolor="black [3213]" strokeweight="1.25pt">
                  <v:stroke dashstyle="3 1" endarrow="block"/>
                </v:shape>
                <v:shape id="文本框 8" o:spid="_x0000_s1058" type="#_x0000_t202" style="position:absolute;left:22887;top:2645;width:1134;height:4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" filled="f" strokecolor="black [3213]" strokeweight=".5pt">
                  <v:textbox>
                    <w:txbxContent>
                      <w:p w14:paraId="76CAD901"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废水储罐</w:t>
                        </w:r>
                      </w:p>
                    </w:txbxContent>
                  </v:textbox>
                </v:shape>
                <v:shape id="文本框 9" o:spid="_x0000_s1059" type="#_x0000_t202" style="position:absolute;left:24737;top:2649;width:1285;height:4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" filled="f" strokecolor="black [3213]" strokeweight=".5pt">
                  <v:textbox>
                    <w:txbxContent>
                      <w:p w14:paraId="5D779B4A"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污水处理站</w:t>
                        </w:r>
                      </w:p>
                    </w:txbxContent>
                  </v:textbox>
                </v:shape>
                <v:shape id="直接箭头连接符 10" o:spid="_x0000_s1060" type="#_x0000_t32" style="position:absolute;left:26020;top:2860;width:690;height: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" strokecolor="black [3213]" strokeweight="1.25pt">
                  <v:stroke dashstyle="3 1" endarrow="block"/>
                </v:shape>
                <v:shape id="_x0000_s1061" type="#_x0000_t202" style="position:absolute;left:26511;top:2533;width:1185;height:6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" filled="f" stroked="f" strokeweight=".5pt">
                  <v:textbox>
                    <w:txbxContent>
                      <w:p w14:paraId="0676D3FB"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园区污水管网</w:t>
                        </w:r>
                      </w:p>
                    </w:txbxContent>
                  </v:textbox>
                </v:shape>
                <v:shape id="文本框 12" o:spid="_x0000_s1062" type="#_x0000_t202" style="position:absolute;left:21037;top:1089;width:1185;height:4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" filled="f" stroked="f" strokeweight=".5pt">
                  <v:textbox>
                    <w:txbxContent>
                      <w:p w14:paraId="65F931BE"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原料气</w:t>
                        </w:r>
                      </w:p>
                    </w:txbxContent>
                  </v:textbox>
                </v:shape>
                <v:shape id="直接箭头连接符 13" o:spid="_x0000_s1063" type="#_x0000_t32" style="position:absolute;left:21157;top:3293;width:18;height:1486;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" strokecolor="black [3213]" strokeweight="1pt">
                  <v:stroke endarrow="block"/>
                </v:shape>
                <v:shape id="直接箭头连接符 15" o:spid="_x0000_s1064" type="#_x0000_t32" style="position:absolute;left:22159;top:3127;width:462;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" strokecolor="black [3213]" strokeweight="1pt">
                  <v:stroke dashstyle="dash" endarrow="block"/>
                </v:shape>
                <v:shape id="_x0000_s1065" type="#_x0000_t202" style="position:absolute;left:22057;top:3167;width:743;height:3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" filled="f" stroked="f" strokeweight=".5pt">
                  <v:textbox>
                    <w:txbxContent>
                      <w:p w14:paraId="1F31F237"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杂质S</w:t>
                        </w:r>
                        <w:r>
                          <w:rPr>
                            <w:rFonts w:ascii="黑体" w:eastAsia="黑体" w:hAnsi="黑体" w:cs="黑体" w:hint="eastAsia"/>
                            <w:sz w:val="15"/>
                            <w:szCs w:val="15"/>
                            <w:vertAlign w:val="subscript"/>
                          </w:rPr>
                          <w:t>1</w:t>
                        </w:r>
                      </w:p>
                    </w:txbxContent>
                  </v:textbox>
                </v:shape>
                <v:shape id="文本框 16" o:spid="_x0000_s1066" type="#_x0000_t202" style="position:absolute;left:20259;top:4796;width:1714;height: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" fillcolor="white [3201]" strokeweight=".5pt">
                  <v:textbox>
                    <w:txbxContent>
                      <w:p w14:paraId="07F26EC2"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胺吸收塔</w:t>
                        </w:r>
                      </w:p>
                    </w:txbxContent>
                  </v:textbox>
                </v:shape>
                <v:shape id="直接箭头连接符 17" o:spid="_x0000_s1067" type="#_x0000_t32" style="position:absolute;left:21996;top:5029;width:1144;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" strokecolor="black [3213]" strokeweight="1pt">
                  <v:stroke endarrow="block"/>
                </v:shape>
                <v:shape id="文本框 19" o:spid="_x0000_s1068" type="#_x0000_t202" style="position:absolute;left:23154;top:4799;width:1271;height:4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" fillcolor="white [3201]" strokeweight=".5pt">
                  <v:textbox>
                    <w:txbxContent>
                      <w:p w14:paraId="7FCDF46B"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闪蒸罐</w:t>
                        </w:r>
                      </w:p>
                    </w:txbxContent>
                  </v:textbox>
                </v:shape>
                <v:shape id="直接箭头连接符 20" o:spid="_x0000_s1069" type="#_x0000_t32" style="position:absolute;left:26818;top:4295;width:415;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" strokecolor="black [3213]" strokeweight="1pt">
                  <v:stroke endarrow="block"/>
                </v:shape>
                <v:shape id="文本框 21" o:spid="_x0000_s1070" type="#_x0000_t202" style="position:absolute;left:20637;top:5742;width:966;height:3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" filled="f" strokecolor="black [3213]" strokeweight=".5pt">
                  <v:textbox>
                    <w:txbxContent>
                      <w:p w14:paraId="7FDD7839"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冷却器</w:t>
                        </w:r>
                      </w:p>
                    </w:txbxContent>
                  </v:textbox>
                </v:shape>
                <v:line id="直接连接符 23" o:spid="_x0000_s1071" style="position:absolute;flip:x;visibility:visible;mso-wrap-style:square" from="21420,4190" to="22642,419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" strokecolor="black [3213]" strokeweight="1pt"/>
                <v:shape id="直接箭头连接符 24" o:spid="_x0000_s1072" type="#_x0000_t32" style="position:absolute;left:23671;top:5310;width:10;height:580;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" strokecolor="black [3213]" strokeweight="1pt">
                  <v:stroke endarrow="block"/>
                </v:shape>
                <v:shape id="文本框 25" o:spid="_x0000_s1073" type="#_x0000_t202" style="position:absolute;left:20656;top:6570;width:966;height:3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" filled="f" strokecolor="black [3213]" strokeweight=".5pt">
                  <v:textbox>
                    <w:txbxContent>
                      <w:p w14:paraId="1EFBA08D"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过滤器</w:t>
                        </w:r>
                      </w:p>
                    </w:txbxContent>
                  </v:textbox>
                </v:shape>
                <v:shape id="直接箭头连接符 26" o:spid="_x0000_s1074" type="#_x0000_t32" style="position:absolute;left:21119;top:5278;width:6;height:462;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" strokecolor="black [3213]" strokeweight="1pt">
                  <v:stroke endarrow="block"/>
                </v:shape>
                <v:shape id="直接箭头连接符 27" o:spid="_x0000_s1075" type="#_x0000_t32" style="position:absolute;left:21110;top:6100;width:6;height:462;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" strokecolor="black [3213]" strokeweight="1pt">
                  <v:stroke endarrow="block"/>
                </v:shape>
                <v:line id="直接连接符 28" o:spid="_x0000_s1076" style="position:absolute;visibility:visible;mso-wrap-style:square" from="21585,5867" to="23659,587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" strokecolor="black [3213]" strokeweight="1pt"/>
                <v:shape id="文本框 29" o:spid="_x0000_s1077" type="#_x0000_t202" style="position:absolute;left:21610;top:5501;width:1185;height:4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" filled="f" stroked="f" strokeweight=".5pt">
                  <v:textbox>
                    <w:txbxContent>
                      <w:p w14:paraId="69AA841E"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胺液</w:t>
                        </w:r>
                      </w:p>
                    </w:txbxContent>
                  </v:textbox>
                </v:shape>
                <v:shape id="文本框 30" o:spid="_x0000_s1078" type="#_x0000_t202" style="position:absolute;left:21850;top:4674;width:1185;height:4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" filled="f" stroked="f" strokeweight=".5pt">
                  <v:textbox>
                    <w:txbxContent>
                      <w:p w14:paraId="3E0E4389"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富液</w:t>
                        </w:r>
                      </w:p>
                    </w:txbxContent>
                  </v:textbox>
                </v:shape>
                <v:shape id="文本框 31" o:spid="_x0000_s1079" type="#_x0000_t202" style="position:absolute;left:25582;top:4824;width:1285;height:4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" fillcolor="white [3201]" strokeweight=".5pt">
                  <v:textbox>
                    <w:txbxContent>
                      <w:p w14:paraId="214C1091"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再生塔</w:t>
                        </w:r>
                      </w:p>
                    </w:txbxContent>
                  </v:textbox>
                </v:shape>
                <v:shape id="_x0000_s1080" type="#_x0000_t202" style="position:absolute;left:24804;top:4695;width:344;height:9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" fillcolor="white [3201]" strokeweight=".5pt">
                  <v:textbox>
                    <w:txbxContent>
                      <w:p w14:paraId="7E8B017A" w14:textId="77777777" w:rsidR="00B0005F" w:rsidRDefault="00B0005F">
                        <w:pPr>
                          <w:adjustRightInd w:val="0"/>
                          <w:snapToGrid w:val="0"/>
                          <w:jc w:val="center"/>
                          <w:rPr>
                            <w:rFonts w:ascii="黑体" w:eastAsia="黑体" w:hAnsi="黑体" w:cs="黑体"/>
                            <w:sz w:val="18"/>
                            <w:szCs w:val="18"/>
                          </w:rPr>
                        </w:pPr>
                      </w:p>
                    </w:txbxContent>
                  </v:textbox>
                </v:shape>
                <v:shape id="直接箭头连接符 33" o:spid="_x0000_s1081" type="#_x0000_t32" style="position:absolute;left:24414;top:5111;width:1146;height:11;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" strokecolor="black [3213]" strokeweight="1pt">
                  <v:stroke endarrow="block"/>
                </v:shape>
                <v:shape id="直接箭头连接符 34" o:spid="_x0000_s1082" type="#_x0000_t32" style="position:absolute;left:24937;top:4418;width:9;height:490;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" strokecolor="black [3213]" strokeweight="1pt">
                  <v:stroke endarrow="block"/>
                </v:shape>
                <v:shape id="文本框 35" o:spid="_x0000_s1083" type="#_x0000_t202" style="position:absolute;left:24286;top:4839;width:669;height:3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" filled="f" stroked="f" strokeweight=".5pt">
                  <v:textbox>
                    <w:txbxContent>
                      <w:p w14:paraId="03DA44A0"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富液</w:t>
                        </w:r>
                      </w:p>
                    </w:txbxContent>
                  </v:textbox>
                </v:shape>
                <v:shape id="文本框 36" o:spid="_x0000_s1084" type="#_x0000_t202" style="position:absolute;left:25011;top:4612;width:624;height:3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" filled="f" stroked="f" strokeweight=".5pt">
                  <v:textbox>
                    <w:txbxContent>
                      <w:p w14:paraId="25216EC2"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贫液</w:t>
                        </w:r>
                      </w:p>
                    </w:txbxContent>
                  </v:textbox>
                </v:shape>
                <v:line id="直接连接符 37" o:spid="_x0000_s1085" style="position:absolute;visibility:visible;mso-wrap-style:square" from="24937,4900" to="25570,49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" strokecolor="black [3213]" strokeweight="1pt"/>
                <v:shape id="文本框 38" o:spid="_x0000_s1086" type="#_x0000_t202" style="position:absolute;left:24482;top:3983;width:914;height:4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" filled="f" strokecolor="black [3213]" strokeweight=".5pt">
                  <v:textbox>
                    <w:txbxContent>
                      <w:p w14:paraId="7AD9B441"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贫液泵</w:t>
                        </w:r>
                      </w:p>
                    </w:txbxContent>
                  </v:textbox>
                </v:shape>
                <v:shape id="文本框 39" o:spid="_x0000_s1087" type="#_x0000_t202" style="position:absolute;left:22630;top:4008;width:1383;height:3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" filled="f" strokecolor="black [3213]" strokeweight=".5pt">
                  <v:textbox>
                    <w:txbxContent>
                      <w:p w14:paraId="228DCDCA"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贫液冷却器</w:t>
                        </w:r>
                      </w:p>
                    </w:txbxContent>
                  </v:textbox>
                </v:shape>
                <v:shape id="直接箭头连接符 40" o:spid="_x0000_s1088" type="#_x0000_t32" style="position:absolute;left:24014;top:4179;width:490;height:9;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" strokecolor="black [3213]" strokeweight="1pt">
                  <v:stroke endarrow="block"/>
                </v:shape>
                <v:shape id="文本框 41" o:spid="_x0000_s1089" type="#_x0000_t202" style="position:absolute;left:24749;top:4815;width:516;height:7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" filled="f" stroked="f" strokeweight=".5pt">
                  <v:textbox style="layout-flow:vertical-ideographic">
                    <w:txbxContent>
                      <w:p w14:paraId="44515C44" w14:textId="77777777" w:rsidR="00B0005F" w:rsidRDefault="00000000">
                        <w:pPr>
                          <w:adjustRightInd w:val="0"/>
                          <w:snapToGrid w:val="0"/>
                          <w:rPr>
                            <w:rFonts w:ascii="黑体" w:eastAsia="黑体" w:hAnsi="黑体" w:cs="黑体"/>
                            <w:sz w:val="18"/>
                            <w:szCs w:val="18"/>
                          </w:rPr>
                        </w:pPr>
                        <w:r>
                          <w:rPr>
                            <w:rFonts w:ascii="黑体" w:eastAsia="黑体" w:hAnsi="黑体" w:cs="黑体" w:hint="eastAsia"/>
                            <w:sz w:val="18"/>
                            <w:szCs w:val="18"/>
                          </w:rPr>
                          <w:t>换热器</w:t>
                        </w:r>
                      </w:p>
                    </w:txbxContent>
                  </v:textbox>
                </v:shape>
                <v:shape id="文本框 42" o:spid="_x0000_s1090" type="#_x0000_t202" style="position:absolute;left:24385;top:3275;width:1297;height:3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" filled="f" strokecolor="black [3213]" strokeweight=".5pt">
                  <v:textbox>
                    <w:txbxContent>
                      <w:p w14:paraId="13021641"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溶液过滤器</w:t>
                        </w:r>
                      </w:p>
                    </w:txbxContent>
                  </v:textbox>
                </v:shape>
                <v:shape id="直接箭头连接符 43" o:spid="_x0000_s1091" type="#_x0000_t32" style="position:absolute;left:25116;top:3663;width:1;height:324;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" strokecolor="black [3213]" strokeweight="1pt">
                  <v:stroke endarrow="block"/>
                </v:shape>
                <v:shape id="直接箭头连接符 44" o:spid="_x0000_s1092" type="#_x0000_t32" style="position:absolute;left:25693;top:3517;width:453;height: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" strokecolor="black [3213]" strokeweight="1pt">
                  <v:stroke dashstyle="dash" endarrow="block"/>
                </v:shape>
                <v:shape id="文本框 45" o:spid="_x0000_s1093" type="#_x0000_t202" style="position:absolute;left:25634;top:3217;width:743;height:3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" filled="f" stroked="f" strokeweight=".5pt">
                  <v:textbox>
                    <w:txbxContent>
                      <w:p w14:paraId="48577B11"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杂质S</w:t>
                        </w:r>
                        <w:r>
                          <w:rPr>
                            <w:rFonts w:ascii="黑体" w:eastAsia="黑体" w:hAnsi="黑体" w:cs="黑体" w:hint="eastAsia"/>
                            <w:sz w:val="15"/>
                            <w:szCs w:val="15"/>
                            <w:vertAlign w:val="subscript"/>
                          </w:rPr>
                          <w:t>2</w:t>
                        </w:r>
                      </w:p>
                    </w:txbxContent>
                  </v:textbox>
                </v:shape>
                <v:shape id="直接箭头连接符 46" o:spid="_x0000_s1094" type="#_x0000_t32" style="position:absolute;left:21425;top:4189;width:4;height:616;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" strokecolor="black [3213]" strokeweight="1pt">
                  <v:stroke endarrow="block"/>
                </v:shape>
                <v:shape id="直接箭头连接符 47" o:spid="_x0000_s1095" type="#_x0000_t32" style="position:absolute;left:24822;top:3664;width:5;height:32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" strokecolor="black [3213]" strokeweight="1pt">
                  <v:stroke endarrow="block"/>
                </v:shape>
                <v:shape id="直接箭头连接符 48" o:spid="_x0000_s1096" type="#_x0000_t32" style="position:absolute;left:26305;top:4465;width:1;height:324;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" strokecolor="black [3213]" strokeweight="1pt">
                  <v:stroke endarrow="block"/>
                </v:shape>
                <v:shape id="文本框 49" o:spid="_x0000_s1097" type="#_x0000_t202" style="position:absolute;left:25904;top:4111;width:914;height:3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" filled="f" strokecolor="black [3213]" strokeweight=".5pt">
                  <v:textbox>
                    <w:txbxContent>
                      <w:p w14:paraId="2BC9F696"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冷却器</w:t>
                        </w:r>
                      </w:p>
                    </w:txbxContent>
                  </v:textbox>
                </v:shape>
                <v:shape id="_x0000_s1098" type="#_x0000_t202" style="position:absolute;left:27233;top:4111;width:914;height:3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" filled="f" strokecolor="black [3213]" strokeweight=".5pt">
                  <v:textbox>
                    <w:txbxContent>
                      <w:p w14:paraId="003A9176"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分离罐</w:t>
                        </w:r>
                      </w:p>
                    </w:txbxContent>
                  </v:textbox>
                </v:shape>
                <v:shape id="文本框 51" o:spid="_x0000_s1099" type="#_x0000_t202" style="position:absolute;left:27252;top:3484;width:914;height:3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" filled="f" strokecolor="black [3213]" strokeweight=".5pt">
                  <v:textbox>
                    <w:txbxContent>
                      <w:p w14:paraId="27FBBC84"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脱硫塔</w:t>
                        </w:r>
                      </w:p>
                    </w:txbxContent>
                  </v:textbox>
                </v:shape>
                <v:shape id="直接箭头连接符 52" o:spid="_x0000_s1100" type="#_x0000_t32" style="position:absolute;left:27701;top:3809;width:1;height:324;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" strokecolor="black [3213]" strokeweight="1pt">
                  <v:stroke endarrow="block"/>
                </v:shape>
                <v:shape id="直接箭头连接符 61" o:spid="_x0000_s1101" type="#_x0000_t32" style="position:absolute;left:26916;top:6356;width:407;height:4;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" strokecolor="black [3213]" strokeweight="1pt">
                  <v:stroke dashstyle="dashDot" endarrow="block"/>
                </v:shape>
                <v:shape id="文本框 62" o:spid="_x0000_s1102" type="#_x0000_t202" style="position:absolute;left:26916;top:6000;width:809;height:3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" filled="f" stroked="f" strokeweight=".5pt">
                  <v:textbox>
                    <w:txbxContent>
                      <w:p w14:paraId="48717438"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废气G</w:t>
                        </w:r>
                        <w:r>
                          <w:rPr>
                            <w:rFonts w:ascii="黑体" w:eastAsia="黑体" w:hAnsi="黑体" w:cs="黑体" w:hint="eastAsia"/>
                            <w:sz w:val="15"/>
                            <w:szCs w:val="15"/>
                            <w:vertAlign w:val="subscript"/>
                          </w:rPr>
                          <w:t>3</w:t>
                        </w:r>
                      </w:p>
                    </w:txbxContent>
                  </v:textbox>
                </v:shape>
                <v:shape id="直接箭头连接符 53" o:spid="_x0000_s1103" type="#_x0000_t32" style="position:absolute;left:27738;top:3146;width:1;height:324;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" strokecolor="black [3213]" strokeweight="1pt">
                  <v:stroke dashstyle="dashDot" endarrow="block"/>
                </v:shape>
                <v:shape id="_x0000_s1104" type="#_x0000_t202" style="position:absolute;left:27858;top:3159;width:1140;height:4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" filled="f" stroked="f" strokeweight=".5pt">
                  <v:textbox>
                    <w:txbxContent>
                      <w:p w14:paraId="0C269474"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废气G</w:t>
                        </w:r>
                        <w:r>
                          <w:rPr>
                            <w:rFonts w:ascii="黑体" w:eastAsia="黑体" w:hAnsi="黑体" w:cs="黑体" w:hint="eastAsia"/>
                            <w:sz w:val="15"/>
                            <w:szCs w:val="15"/>
                            <w:vertAlign w:val="subscript"/>
                          </w:rPr>
                          <w:t>2</w:t>
                        </w:r>
                      </w:p>
                    </w:txbxContent>
                  </v:textbox>
                </v:shape>
                <v:shape id="文本框 65" o:spid="_x0000_s1105" type="#_x0000_t202" style="position:absolute;left:26315;top:5502;width:809;height:3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" filled="f" stroked="f" strokeweight=".5pt">
                  <v:textbox>
                    <w:txbxContent>
                      <w:p w14:paraId="1B2A273D"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导热油</w:t>
                        </w:r>
                      </w:p>
                    </w:txbxContent>
                  </v:textbox>
                </v:shape>
                <v:shape id="直接箭头连接符 55" o:spid="_x0000_s1106" type="#_x0000_t32" style="position:absolute;left:26867;top:5025;width:357;height:7;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" strokecolor="black [3213]" strokeweight="1pt">
                  <v:stroke endarrow="block"/>
                </v:shape>
                <v:shape id="文本框 66" o:spid="_x0000_s1107" type="#_x0000_t202" style="position:absolute;left:25490;top:5469;width:809;height:3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" filled="f" stroked="f" strokeweight=".5pt">
                  <v:textbox>
                    <w:txbxContent>
                      <w:p w14:paraId="3391DD61"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导热油</w:t>
                        </w:r>
                      </w:p>
                    </w:txbxContent>
                  </v:textbox>
                </v:shape>
                <v:shape id="_x0000_s1108" type="#_x0000_t202" style="position:absolute;left:27224;top:4850;width:914;height:3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" filled="f" strokecolor="black [3213]" strokeweight=".5pt">
                  <v:textbox>
                    <w:txbxContent>
                      <w:p w14:paraId="640A4518"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回流泵</w:t>
                        </w:r>
                      </w:p>
                    </w:txbxContent>
                  </v:textbox>
                </v:shape>
                <v:shape id="文本框 59" o:spid="_x0000_s1109" type="#_x0000_t202" style="position:absolute;left:27619;top:3814;width:1829;height:3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" filled="f" stroked="f" strokeweight=".5pt">
                  <v:textbox>
                    <w:txbxContent>
                      <w:p w14:paraId="6674A8D8"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不凝气（H</w:t>
                        </w:r>
                        <w:r>
                          <w:rPr>
                            <w:rFonts w:ascii="黑体" w:eastAsia="黑体" w:hAnsi="黑体" w:cs="黑体" w:hint="eastAsia"/>
                            <w:sz w:val="15"/>
                            <w:szCs w:val="15"/>
                            <w:vertAlign w:val="subscript"/>
                          </w:rPr>
                          <w:t>2</w:t>
                        </w:r>
                        <w:r>
                          <w:rPr>
                            <w:rFonts w:ascii="黑体" w:eastAsia="黑体" w:hAnsi="黑体" w:cs="黑体" w:hint="eastAsia"/>
                            <w:sz w:val="15"/>
                            <w:szCs w:val="15"/>
                          </w:rPr>
                          <w:t>S、CO</w:t>
                        </w:r>
                        <w:r>
                          <w:rPr>
                            <w:rFonts w:ascii="黑体" w:eastAsia="黑体" w:hAnsi="黑体" w:cs="黑体" w:hint="eastAsia"/>
                            <w:sz w:val="15"/>
                            <w:szCs w:val="15"/>
                            <w:vertAlign w:val="subscript"/>
                          </w:rPr>
                          <w:t>2</w:t>
                        </w:r>
                        <w:r>
                          <w:rPr>
                            <w:rFonts w:ascii="黑体" w:eastAsia="黑体" w:hAnsi="黑体" w:cs="黑体" w:hint="eastAsia"/>
                            <w:sz w:val="15"/>
                            <w:szCs w:val="15"/>
                          </w:rPr>
                          <w:t>等）</w:t>
                        </w:r>
                      </w:p>
                    </w:txbxContent>
                  </v:textbox>
                </v:shape>
                <v:shape id="直接箭头连接符 57" o:spid="_x0000_s1110" type="#_x0000_t32" style="position:absolute;left:27711;top:4502;width:5;height:32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" strokecolor="black [3213]" strokeweight="1pt">
                  <v:stroke endarrow="block"/>
                </v:shape>
                <v:shape id="文本框 58" o:spid="_x0000_s1111" type="#_x0000_t202" style="position:absolute;left:27646;top:4469;width:990;height:3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" filled="f" stroked="f" strokeweight=".5pt">
                  <v:textbox>
                    <w:txbxContent>
                      <w:p w14:paraId="24A0C6A0"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分离液</w:t>
                        </w:r>
                      </w:p>
                    </w:txbxContent>
                  </v:textbox>
                </v:shape>
                <v:shape id="文本框 60" o:spid="_x0000_s1112" type="#_x0000_t202" style="position:absolute;left:25627;top:6146;width:1285;height:4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" fillcolor="white [3201]" strokeweight=".5pt">
                  <v:textbox>
                    <w:txbxContent>
                      <w:p w14:paraId="1E255956"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导热油炉</w:t>
                        </w:r>
                      </w:p>
                    </w:txbxContent>
                  </v:textbox>
                </v:shape>
                <v:shape id="直接箭头连接符 63" o:spid="_x0000_s1113" type="#_x0000_t32" style="position:absolute;left:26419;top:5244;width:1;height:868;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" strokecolor="black [3213]" strokeweight="1pt">
                  <v:stroke endarrow="block"/>
                </v:shape>
                <v:shape id="直接箭头连接符 64" o:spid="_x0000_s1114" type="#_x0000_t32" style="position:absolute;left:26142;top:5262;width:0;height:85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" strokecolor="black [3213]" strokeweight="1pt">
                  <v:stroke endarrow="block"/>
                </v:shape>
                <v:shape id="文本框 67" o:spid="_x0000_s1115" type="#_x0000_t202" style="position:absolute;left:21551;top:6370;width:743;height:3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" filled="f" stroked="f" strokeweight=".5pt">
                  <v:textbox>
                    <w:txbxContent>
                      <w:p w14:paraId="2F0DCC0B"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杂质S</w:t>
                        </w:r>
                        <w:r>
                          <w:rPr>
                            <w:rFonts w:ascii="黑体" w:eastAsia="黑体" w:hAnsi="黑体" w:cs="黑体" w:hint="eastAsia"/>
                            <w:sz w:val="15"/>
                            <w:szCs w:val="15"/>
                            <w:vertAlign w:val="subscript"/>
                          </w:rPr>
                          <w:t>4</w:t>
                        </w:r>
                      </w:p>
                    </w:txbxContent>
                  </v:textbox>
                </v:shape>
                <v:shape id="直接箭头连接符 68" o:spid="_x0000_s1116" type="#_x0000_t32" style="position:absolute;left:21660;top:6754;width:462;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" strokecolor="black [3213]" strokeweight="1pt">
                  <v:stroke dashstyle="dash" endarrow="block"/>
                </v:shape>
                <v:shape id="直接箭头连接符 69" o:spid="_x0000_s1117" type="#_x0000_t32" style="position:absolute;left:21128;top:10275;width:2;height:797;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" strokecolor="black [3213]" strokeweight="1pt">
                  <v:stroke endarrow="block"/>
                </v:shape>
                <v:shape id="直接箭头连接符 71" o:spid="_x0000_s1118" type="#_x0000_t32" style="position:absolute;left:21667;top:8595;width:9;height:36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" strokecolor="black [3213]" strokeweight="1pt">
                  <v:stroke endarrow="block"/>
                </v:shape>
                <v:shape id="直接箭头连接符 72" o:spid="_x0000_s1119" type="#_x0000_t32" style="position:absolute;left:21894;top:8573;width:0;height:393;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" strokecolor="black [3213]" strokeweight="1pt">
                  <v:stroke endarrow="block"/>
                </v:shape>
                <v:shape id="直接箭头连接符 75" o:spid="_x0000_s1120" type="#_x0000_t32" style="position:absolute;left:22056;top:11272;width:690;height: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" strokecolor="black [3213]" strokeweight="1pt">
                  <v:stroke endarrow="block"/>
                </v:shape>
                <v:line id="直接连接符 78" o:spid="_x0000_s1121" style="position:absolute;flip:y;visibility:visible;mso-wrap-style:square" from="21636,10723" to="23187,1073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" strokecolor="black [3213]" strokeweight="1pt"/>
                <v:shape id="直接箭头连接符 79" o:spid="_x0000_s1122" type="#_x0000_t32" style="position:absolute;left:24087;top:5323;width:5;height:1075;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" strokecolor="black [3213]" strokeweight="1pt">
                  <v:stroke endarrow="block"/>
                </v:shape>
                <v:shape id="直接箭头连接符 80" o:spid="_x0000_s1123" type="#_x0000_t32" style="position:absolute;left:21652;top:10749;width:2;height:298;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" strokecolor="black [3213]" strokeweight="1pt">
                  <v:stroke endarrow="block"/>
                </v:shape>
                <v:shape id="_x0000_s1124" type="#_x0000_t202" style="position:absolute;left:28968;top:13907;width:809;height:3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" filled="f" stroked="f" strokeweight=".5pt">
                  <v:textbox>
                    <w:txbxContent>
                      <w:p w14:paraId="53601349"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外输</w:t>
                        </w:r>
                      </w:p>
                    </w:txbxContent>
                  </v:textbox>
                </v:shape>
                <v:line id="直接连接符 81" o:spid="_x0000_s1125" style="position:absolute;flip:x;visibility:visible;mso-wrap-style:square" from="23177,10726" to="23181,110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" strokecolor="black [3213]" strokeweight="1pt"/>
                <v:shape id="_x0000_s1126" type="#_x0000_t202" style="position:absolute;left:21793;top:8604;width:809;height:3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" filled="f" stroked="f" strokeweight=".5pt">
                  <v:textbox>
                    <w:txbxContent>
                      <w:p w14:paraId="2B611BCE"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导热油</w:t>
                        </w:r>
                      </w:p>
                    </w:txbxContent>
                  </v:textbox>
                </v:shape>
                <v:shape id="直接箭头连接符 89" o:spid="_x0000_s1127" type="#_x0000_t32" style="position:absolute;left:22047;top:8305;width:417;height: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" strokecolor="black [3213]" strokeweight="1pt">
                  <v:stroke endarrow="block"/>
                </v:shape>
                <v:shape id="直接箭头连接符 85" o:spid="_x0000_s1128" type="#_x0000_t32" style="position:absolute;left:28952;top:14377;width:572;height:4;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" strokecolor="black [3213]" strokeweight="1pt">
                  <v:stroke endarrow="block"/>
                </v:shape>
                <v:shape id="文本框 90" o:spid="_x0000_s1129" type="#_x0000_t202" style="position:absolute;left:22769;top:11060;width:1460;height:3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" fillcolor="white [3201]" strokeweight=".5pt">
                  <v:textbox>
                    <w:txbxContent>
                      <w:p w14:paraId="15D50818"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制冷循环系统</w:t>
                        </w:r>
                      </w:p>
                    </w:txbxContent>
                  </v:textbox>
                </v:shape>
                <v:shape id="直接箭头连接符 96" o:spid="_x0000_s1130" type="#_x0000_t32" style="position:absolute;left:24120;top:6858;width:0;height:531;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" strokecolor="black [3213]" strokeweight="1pt">
                  <v:stroke endarrow="block"/>
                </v:shape>
                <v:shape id="直接箭头连接符 91" o:spid="_x0000_s1131" type="#_x0000_t32" style="position:absolute;left:23059;top:7610;width:2;height:434;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" strokecolor="black [3213]" strokeweight="1pt">
                  <v:stroke endarrow="block"/>
                </v:shape>
                <v:line id="直接连接符 93" o:spid="_x0000_s1132" style="position:absolute;visibility:visible;mso-wrap-style:square" from="23709,7374" to="24109,73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" strokecolor="black [3213]" strokeweight="1pt"/>
                <v:shape id="文本框 102" o:spid="_x0000_s1133" type="#_x0000_t202" style="position:absolute;left:22445;top:7162;width:1258;height:3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" fillcolor="white [3201]" strokeweight=".5pt">
                  <v:textbox>
                    <w:txbxContent>
                      <w:p w14:paraId="44F30E0A"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再生分离器</w:t>
                        </w:r>
                      </w:p>
                    </w:txbxContent>
                  </v:textbox>
                </v:shape>
                <v:shape id="直接箭头连接符 98" o:spid="_x0000_s1134" type="#_x0000_t32" style="position:absolute;left:21107;top:6983;width:5;height:1001;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" strokecolor="black [3213]" strokeweight="1pt">
                  <v:stroke endarrow="block"/>
                </v:shape>
                <v:shape id="直接箭头连接符 103" o:spid="_x0000_s1135" type="#_x0000_t32" style="position:absolute;left:21130;top:7360;width:1233;height:3;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" strokecolor="black [3213]" strokeweight="1pt">
                  <v:stroke endarrow="block"/>
                </v:shape>
                <v:shape id="文本框 99" o:spid="_x0000_s1136" type="#_x0000_t202" style="position:absolute;left:22468;top:8098;width:1258;height:3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" fillcolor="white [3201]" strokeweight=".5pt">
                  <v:textbox>
                    <w:txbxContent>
                      <w:p w14:paraId="2D40565F"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再生冷却器</w:t>
                        </w:r>
                      </w:p>
                    </w:txbxContent>
                  </v:textbox>
                </v:shape>
                <v:shape id="文本框 100" o:spid="_x0000_s1137" type="#_x0000_t202" style="position:absolute;left:20314;top:8069;width:1714;height: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" fillcolor="white [3201]" strokeweight=".5pt">
                  <v:textbox>
                    <w:txbxContent>
                      <w:p w14:paraId="479634E9"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干燥脱水塔</w:t>
                        </w:r>
                      </w:p>
                    </w:txbxContent>
                  </v:textbox>
                </v:shape>
                <v:shape id="文本框 104" o:spid="_x0000_s1138" type="#_x0000_t202" style="position:absolute;left:23641;top:6457;width:914;height:3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" filled="f" strokecolor="black [3213]" strokeweight=".5pt">
                  <v:textbox>
                    <w:txbxContent>
                      <w:p w14:paraId="5AA2F60E"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过滤器</w:t>
                        </w:r>
                      </w:p>
                    </w:txbxContent>
                  </v:textbox>
                </v:shape>
                <v:shape id="文本框 105" o:spid="_x0000_s1139" type="#_x0000_t202" style="position:absolute;left:24518;top:6261;width:743;height:3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" filled="f" stroked="f" strokeweight=".5pt">
                  <v:textbox>
                    <w:txbxContent>
                      <w:p w14:paraId="748339D5"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杂质S</w:t>
                        </w:r>
                        <w:r>
                          <w:rPr>
                            <w:rFonts w:ascii="黑体" w:eastAsia="黑体" w:hAnsi="黑体" w:cs="黑体" w:hint="eastAsia"/>
                            <w:sz w:val="15"/>
                            <w:szCs w:val="15"/>
                            <w:vertAlign w:val="subscript"/>
                          </w:rPr>
                          <w:t>3</w:t>
                        </w:r>
                      </w:p>
                    </w:txbxContent>
                  </v:textbox>
                </v:shape>
                <v:shape id="直接箭头连接符 114" o:spid="_x0000_s1140" type="#_x0000_t32" style="position:absolute;left:21087;top:8587;width:14;height:126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" strokecolor="black [3213]" strokeweight="1pt">
                  <v:stroke endarrow="block"/>
                </v:shape>
                <v:shape id="文本框 107" o:spid="_x0000_s1141" type="#_x0000_t202" style="position:absolute;left:21505;top:8993;width:1285;height:4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" fillcolor="white [3201]" strokeweight=".5pt">
                  <v:textbox>
                    <w:txbxContent>
                      <w:p w14:paraId="14D78F2E"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导热油炉</w:t>
                        </w:r>
                      </w:p>
                    </w:txbxContent>
                  </v:textbox>
                </v:shape>
                <v:shape id="直接箭头连接符 113" o:spid="_x0000_s1142" type="#_x0000_t32" style="position:absolute;left:22814;top:9204;width:407;height:4;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" strokecolor="black [3213]" strokeweight="1pt">
                  <v:stroke dashstyle="dashDot" endarrow="block"/>
                </v:shape>
                <v:shape id="文本框 112" o:spid="_x0000_s1143" type="#_x0000_t202" style="position:absolute;left:22814;top:8848;width:809;height:3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" filled="f" stroked="f" strokeweight=".5pt">
                  <v:textbox>
                    <w:txbxContent>
                      <w:p w14:paraId="20C2E628"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废气G</w:t>
                        </w:r>
                        <w:r>
                          <w:rPr>
                            <w:rFonts w:ascii="黑体" w:eastAsia="黑体" w:hAnsi="黑体" w:cs="黑体" w:hint="eastAsia"/>
                            <w:sz w:val="15"/>
                            <w:szCs w:val="15"/>
                            <w:vertAlign w:val="subscript"/>
                          </w:rPr>
                          <w:t>3</w:t>
                        </w:r>
                      </w:p>
                    </w:txbxContent>
                  </v:textbox>
                </v:shape>
                <v:shape id="直接箭头连接符 106" o:spid="_x0000_s1144" type="#_x0000_t32" style="position:absolute;left:24573;top:6634;width:462;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" strokecolor="black [3213]" strokeweight="1pt">
                  <v:stroke dashstyle="dash" endarrow="block"/>
                </v:shape>
                <v:shape id="文本框 108" o:spid="_x0000_s1145" type="#_x0000_t202" style="position:absolute;left:23759;top:5913;width:1185;height:4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" filled="f" stroked="f" strokeweight=".5pt">
                  <v:textbox>
                    <w:txbxContent>
                      <w:p w14:paraId="0A591673"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滤液</w:t>
                        </w:r>
                      </w:p>
                    </w:txbxContent>
                  </v:textbox>
                </v:shape>
                <v:shape id="文本框 115" o:spid="_x0000_s1146" type="#_x0000_t202" style="position:absolute;left:20316;top:9814;width:1714;height: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" fillcolor="white [3201]" strokeweight=".5pt">
                  <v:textbox>
                    <w:txbxContent>
                      <w:p w14:paraId="37F3D432"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脱汞塔</w:t>
                        </w:r>
                      </w:p>
                    </w:txbxContent>
                  </v:textbox>
                </v:shape>
                <v:shape id="文本框 116" o:spid="_x0000_s1147" type="#_x0000_t202" style="position:absolute;left:20285;top:11045;width:1714;height: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" fillcolor="white [3201]" strokeweight=".5pt">
                  <v:textbox>
                    <w:txbxContent>
                      <w:p w14:paraId="363DAD06"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液化冷箱</w:t>
                        </w:r>
                      </w:p>
                    </w:txbxContent>
                  </v:textbox>
                </v:shape>
                <v:shape id="文本框 111" o:spid="_x0000_s1148" type="#_x0000_t202" style="position:absolute;left:21339;top:7027;width:1185;height:4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" filled="f" stroked="f" strokeweight=".5pt">
                  <v:textbox>
                    <w:txbxContent>
                      <w:p w14:paraId="19AF3DB4"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再生气</w:t>
                        </w:r>
                      </w:p>
                    </w:txbxContent>
                  </v:textbox>
                </v:shape>
                <v:shape id="直接箭头连接符 118" o:spid="_x0000_s1149" type="#_x0000_t32" style="position:absolute;left:21089;top:11559;width:4;height:1237;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" strokecolor="black [3213]" strokeweight="1pt">
                  <v:stroke endarrow="block"/>
                </v:shape>
                <v:shape id="文本框 119" o:spid="_x0000_s1150" type="#_x0000_t202" style="position:absolute;left:21406;top:12012;width:1714;height:4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" fillcolor="white [3201]" strokeweight=".5pt">
                  <v:textbox>
                    <w:txbxContent>
                      <w:p w14:paraId="2DDB76A0"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重烃吸附塔</w:t>
                        </w:r>
                      </w:p>
                    </w:txbxContent>
                  </v:textbox>
                </v:shape>
                <v:shape id="文本框 120" o:spid="_x0000_s1151" type="#_x0000_t202" style="position:absolute;left:23690;top:12012;width:1545;height:3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" fillcolor="white [3201]" strokeweight=".5pt">
                  <v:textbox>
                    <w:txbxContent>
                      <w:p w14:paraId="2B6E8945"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重烃再生加热器</w:t>
                        </w:r>
                      </w:p>
                    </w:txbxContent>
                  </v:textbox>
                </v:shape>
                <v:shape id="文本框 124" o:spid="_x0000_s1152" type="#_x0000_t202" style="position:absolute;left:27633;top:14107;width:1301;height:4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" fillcolor="white [3201]" strokeweight=".5pt">
                  <v:textbox>
                    <w:txbxContent>
                      <w:p w14:paraId="68E94534"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LPG储罐</w:t>
                        </w:r>
                      </w:p>
                    </w:txbxContent>
                  </v:textbox>
                </v:shape>
                <v:shape id="文本框 122" o:spid="_x0000_s1153" type="#_x0000_t202" style="position:absolute;left:27570;top:13351;width:1301;height:4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" fillcolor="white [3201]" strokeweight=".5pt">
                  <v:textbox>
                    <w:txbxContent>
                      <w:p w14:paraId="31B92099"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重烃气化器</w:t>
                        </w:r>
                      </w:p>
                    </w:txbxContent>
                  </v:textbox>
                </v:shape>
                <v:shape id="文本框 123" o:spid="_x0000_s1154" type="#_x0000_t202" style="position:absolute;left:27500;top:12648;width:1399;height:4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" fillcolor="white [3201]" strokeweight=".5pt">
                  <v:textbox>
                    <w:txbxContent>
                      <w:p w14:paraId="3F7BF812"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重烃闪蒸阀</w:t>
                        </w:r>
                      </w:p>
                    </w:txbxContent>
                  </v:textbox>
                </v:shape>
                <v:shape id="文本框 133" o:spid="_x0000_s1155" type="#_x0000_t202" style="position:absolute;left:21531;top:11595;width:1018;height:3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" filled="f" stroked="f" strokeweight=".5pt">
                  <v:textbox>
                    <w:txbxContent>
                      <w:p w14:paraId="1AEF1603"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低压气体</w:t>
                        </w:r>
                      </w:p>
                    </w:txbxContent>
                  </v:textbox>
                </v:shape>
                <v:shape id="直接箭头连接符 132" o:spid="_x0000_s1156" type="#_x0000_t32" style="position:absolute;left:21598;top:11558;width:5;height:442;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" strokecolor="black [3213]" strokeweight="1pt">
                  <v:stroke endarrow="block"/>
                </v:shape>
                <v:shape id="直接箭头连接符 126" o:spid="_x0000_s1157" type="#_x0000_t32" style="position:absolute;left:25125;top:12193;width:508;height:14;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" strokecolor="black [3213]" strokeweight="1pt">
                  <v:stroke endarrow="block"/>
                </v:shape>
                <v:shape id="文本框 125" o:spid="_x0000_s1158" type="#_x0000_t202" style="position:absolute;left:21017;top:8559;width:809;height:3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" filled="f" stroked="f" strokeweight=".5pt">
                  <v:textbox>
                    <w:txbxContent>
                      <w:p w14:paraId="4D16D69C"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导热油</w:t>
                        </w:r>
                      </w:p>
                    </w:txbxContent>
                  </v:textbox>
                </v:shape>
                <v:shape id="直接箭头连接符 127" o:spid="_x0000_s1159" type="#_x0000_t32" style="position:absolute;left:23145;top:12193;width:508;height:14;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" strokecolor="black [3213]" strokeweight="1pt">
                  <v:stroke endarrow="block"/>
                </v:shape>
                <v:shape id="直接箭头连接符 131" o:spid="_x0000_s1160" type="#_x0000_t32" style="position:absolute;left:28223;top:13779;width:2;height:318;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" strokecolor="black [3213]" strokeweight="1pt">
                  <v:stroke endarrow="block"/>
                </v:shape>
                <v:shape id="文本框 136" o:spid="_x0000_s1161" type="#_x0000_t202" style="position:absolute;left:20598;top:14144;width:1048;height:3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" filled="f" stroked="f" strokeweight=".5pt">
                  <v:textbox>
                    <w:txbxContent>
                      <w:p w14:paraId="2E1AF9F5"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装车外售</w:t>
                        </w:r>
                      </w:p>
                    </w:txbxContent>
                  </v:textbox>
                </v:shape>
                <v:shape id="文本框 134" o:spid="_x0000_s1162" type="#_x0000_t202" style="position:absolute;left:20300;top:12830;width:1714;height: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" fillcolor="white [3201]" strokeweight=".5pt">
                  <v:textbox>
                    <w:txbxContent>
                      <w:p w14:paraId="54B84D83"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LNG储罐</w:t>
                        </w:r>
                      </w:p>
                    </w:txbxContent>
                  </v:textbox>
                </v:shape>
                <v:shape id="直接箭头连接符 140" o:spid="_x0000_s1163" type="#_x0000_t32" style="position:absolute;left:24107;top:13131;width:408;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" strokecolor="black [3213]" strokeweight="1pt">
                  <v:stroke endarrow="block"/>
                </v:shape>
                <v:shape id="直接箭头连接符 135" o:spid="_x0000_s1164" type="#_x0000_t32" style="position:absolute;left:21128;top:13335;width:2;height:797;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" strokecolor="black [3213]" strokeweight="1pt">
                  <v:stroke endarrow="block"/>
                </v:shape>
                <v:shape id="文本框 139" o:spid="_x0000_s1165" type="#_x0000_t202" style="position:absolute;left:24579;top:12914;width:1568;height:3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" fillcolor="white [3201]" strokeweight=".5pt">
                  <v:textbox>
                    <w:txbxContent>
                      <w:p w14:paraId="0C985270"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燃料气缓冲罐</w:t>
                        </w:r>
                      </w:p>
                    </w:txbxContent>
                  </v:textbox>
                </v:shape>
                <v:shape id="直接箭头连接符 137" o:spid="_x0000_s1166" type="#_x0000_t32" style="position:absolute;left:22050;top:13078;width:508;height:14;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" strokecolor="black [3213]" strokeweight="1pt">
                  <v:stroke endarrow="block"/>
                </v:shape>
                <v:shape id="文本框 142" o:spid="_x0000_s1167" type="#_x0000_t202" style="position:absolute;left:23934;top:12722;width:809;height:3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" filled="f" stroked="f" strokeweight=".5pt">
                  <v:textbox>
                    <w:txbxContent>
                      <w:p w14:paraId="521B7ABF"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压缩机</w:t>
                        </w:r>
                      </w:p>
                    </w:txbxContent>
                  </v:textbox>
                </v:shape>
                <v:shape id="文本框 143" o:spid="_x0000_s1168" type="#_x0000_t202" style="position:absolute;left:24123;top:13799;width:2594;height:7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" filled="f" stroked="f" strokeweight=".5pt">
                  <v:textbox>
                    <w:txbxContent>
                      <w:p w14:paraId="59FB32D5"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送到燃料气系统（用于导热油炉、火炬系统及办公等用气），剩余部分送往下游天然气门站</w:t>
                        </w:r>
                      </w:p>
                    </w:txbxContent>
                  </v:textbox>
                </v:shape>
                <v:shape id="文本框 138" o:spid="_x0000_s1169" type="#_x0000_t202" style="position:absolute;left:22595;top:12897;width:1399;height:3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" fillcolor="white [3201]" strokeweight=".5pt">
                  <v:textbox>
                    <w:txbxContent>
                      <w:p w14:paraId="567D9040"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BOG缓存罐</w:t>
                        </w:r>
                      </w:p>
                    </w:txbxContent>
                  </v:textbox>
                </v:shape>
                <v:shape id="直接箭头连接符 151" o:spid="_x0000_s1170" type="#_x0000_t32" style="position:absolute;left:24031;top:4493;width:1;height:324;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" strokecolor="black [3213]" strokeweight="1pt">
                  <v:stroke dashstyle="dashDot" endarrow="block"/>
                </v:shape>
                <v:shape id="文本框 150" o:spid="_x0000_s1171" type="#_x0000_t202" style="position:absolute;left:23897;top:4400;width:1101;height:3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" filled="f" stroked="f" strokeweight=".5pt">
                  <v:textbox>
                    <w:txbxContent>
                      <w:p w14:paraId="01333FEF"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闪蒸气G</w:t>
                        </w:r>
                        <w:r>
                          <w:rPr>
                            <w:rFonts w:ascii="黑体" w:eastAsia="黑体" w:hAnsi="黑体" w:cs="黑体" w:hint="eastAsia"/>
                            <w:sz w:val="15"/>
                            <w:szCs w:val="15"/>
                            <w:vertAlign w:val="subscript"/>
                          </w:rPr>
                          <w:t>1</w:t>
                        </w:r>
                      </w:p>
                    </w:txbxContent>
                  </v:textbox>
                </v:shape>
                <v:shape id="直接箭头连接符 141" o:spid="_x0000_s1172" type="#_x0000_t32" style="position:absolute;left:25228;top:13332;width:0;height:42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" strokecolor="black [3213]" strokeweight="1pt">
                  <v:stroke endarrow="block"/>
                </v:shape>
                <v:shape id="直接箭头连接符 144" o:spid="_x0000_s1173" type="#_x0000_t32" style="position:absolute;left:22066;top:10087;width:462;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" strokecolor="black [3213]" strokeweight="1pt">
                  <v:stroke dashstyle="dash" endarrow="block"/>
                </v:shape>
                <v:shape id="文本框 152" o:spid="_x0000_s1174" type="#_x0000_t202" style="position:absolute;left:21772;top:12817;width:1004;height:6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" filled="f" stroked="f" strokeweight=".5pt">
                  <v:textbox>
                    <w:txbxContent>
                      <w:p w14:paraId="75E0A8B6" w14:textId="2201E1C6" w:rsidR="00B0005F" w:rsidRDefault="00000000">
                        <w:pPr>
                          <w:adjustRightInd w:val="0"/>
                          <w:snapToGrid w:val="0"/>
                          <w:jc w:val="center"/>
                          <w:rPr>
                            <w:rFonts w:ascii="黑体" w:eastAsia="黑体" w:hAnsi="黑体" w:cs="黑体"/>
                            <w:sz w:val="15"/>
                            <w:szCs w:val="15"/>
                            <w:vertAlign w:val="subscript"/>
                          </w:rPr>
                        </w:pPr>
                        <w:r>
                          <w:rPr>
                            <w:rFonts w:ascii="黑体" w:eastAsia="黑体" w:hAnsi="黑体" w:cs="黑体" w:hint="eastAsia"/>
                            <w:sz w:val="15"/>
                            <w:szCs w:val="15"/>
                          </w:rPr>
                          <w:t>蒸发气G</w:t>
                        </w:r>
                        <w:r w:rsidR="00A54EA8">
                          <w:rPr>
                            <w:rFonts w:ascii="黑体" w:eastAsia="黑体" w:hAnsi="黑体" w:cs="黑体"/>
                            <w:sz w:val="15"/>
                            <w:szCs w:val="15"/>
                            <w:vertAlign w:val="subscript"/>
                          </w:rPr>
                          <w:t>4</w:t>
                        </w:r>
                      </w:p>
                      <w:p w14:paraId="46B549AD"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加热</w:t>
                        </w:r>
                      </w:p>
                    </w:txbxContent>
                  </v:textbox>
                </v:shape>
                <v:shape id="文本框 145" o:spid="_x0000_s1175" type="#_x0000_t202" style="position:absolute;left:22071;top:9730;width:1343;height:3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" filled="f" stroked="f" strokeweight=".5pt">
                  <v:textbox>
                    <w:txbxContent>
                      <w:p w14:paraId="6448D085"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废脱汞剂S</w:t>
                        </w:r>
                        <w:r>
                          <w:rPr>
                            <w:rFonts w:ascii="黑体" w:eastAsia="黑体" w:hAnsi="黑体" w:cs="黑体" w:hint="eastAsia"/>
                            <w:sz w:val="15"/>
                            <w:szCs w:val="15"/>
                            <w:vertAlign w:val="subscript"/>
                          </w:rPr>
                          <w:t>5</w:t>
                        </w:r>
                      </w:p>
                    </w:txbxContent>
                  </v:textbox>
                </v:shape>
                <v:shape id="直接箭头连接符 146" o:spid="_x0000_s1176" type="#_x0000_t32" style="position:absolute;left:28186;top:3687;width:462;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" strokecolor="black [3213]" strokeweight="1pt">
                  <v:stroke dashstyle="dash" endarrow="block"/>
                </v:shape>
                <v:shape id="文本框 147" o:spid="_x0000_s1177" type="#_x0000_t202" style="position:absolute;left:28470;top:3354;width:1075;height:3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" filled="f" stroked="f" strokeweight=".5pt">
                  <v:textbox>
                    <w:txbxContent>
                      <w:p w14:paraId="65240795"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废活性炭S</w:t>
                        </w:r>
                        <w:r>
                          <w:rPr>
                            <w:rFonts w:ascii="黑体" w:eastAsia="黑体" w:hAnsi="黑体" w:cs="黑体" w:hint="eastAsia"/>
                            <w:sz w:val="15"/>
                            <w:szCs w:val="15"/>
                            <w:vertAlign w:val="subscript"/>
                          </w:rPr>
                          <w:t>3</w:t>
                        </w:r>
                      </w:p>
                    </w:txbxContent>
                  </v:textbox>
                </v:shape>
                <v:shape id="文本框 148" o:spid="_x0000_s1178" type="#_x0000_t202" style="position:absolute;left:21677;top:3863;width:1185;height:4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" filled="f" stroked="f" strokeweight=".5pt">
                  <v:textbox>
                    <w:txbxContent>
                      <w:p w14:paraId="214DA30A"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贫液</w:t>
                        </w:r>
                      </w:p>
                    </w:txbxContent>
                  </v:textbox>
                </v:shape>
                <v:shape id="文本框 149" o:spid="_x0000_s1179" type="#_x0000_t202" style="position:absolute;left:23691;top:3862;width:1185;height:4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" filled="f" stroked="f" strokeweight=".5pt">
                  <v:textbox>
                    <w:txbxContent>
                      <w:p w14:paraId="6BD3DEE6"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贫液</w:t>
                        </w:r>
                      </w:p>
                    </w:txbxContent>
                  </v:textbox>
                </v:shape>
                <v:shape id="_x0000_s1180" type="#_x0000_t202" style="position:absolute;left:25610;top:11916;width:1399;height:5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" fillcolor="white [3201]" strokeweight=".5pt">
                  <v:textbox>
                    <w:txbxContent>
                      <w:p w14:paraId="31901D09"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脱重烃再生冷却器</w:t>
                        </w:r>
                      </w:p>
                    </w:txbxContent>
                  </v:textbox>
                </v:shape>
                <v:shape id="文本框 97" o:spid="_x0000_s1181" type="#_x0000_t202" style="position:absolute;left:27500;top:11928;width:1399;height:4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" fillcolor="white [3201]" strokeweight=".5pt">
                  <v:textbox>
                    <w:txbxContent>
                      <w:p w14:paraId="5334C361"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重烃过滤系统</w:t>
                        </w:r>
                      </w:p>
                    </w:txbxContent>
                  </v:textbox>
                </v:shape>
                <v:shape id="直接箭头连接符 101" o:spid="_x0000_s1182" type="#_x0000_t32" style="position:absolute;left:27011;top:12159;width:494;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" strokecolor="black [3213]" strokeweight="1pt">
                  <v:stroke endarrow="block"/>
                </v:shape>
                <v:shape id="直接箭头连接符 109" o:spid="_x0000_s1183" type="#_x0000_t32" style="position:absolute;left:28199;top:13047;width:2;height:318;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" strokecolor="black [3213]" strokeweight="1pt">
                  <v:stroke endarrow="block"/>
                </v:shape>
                <v:shape id="直接箭头连接符 110" o:spid="_x0000_s1184" type="#_x0000_t32" style="position:absolute;left:28187;top:12339;width:2;height:318;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" strokecolor="black [3213]" strokeweight="1pt">
                  <v:stroke endarrow="block"/>
                </v:shape>
                <v:shape id="直接箭头连接符 128" o:spid="_x0000_s1185" type="#_x0000_t32" style="position:absolute;left:28199;top:11457;width:1;height:471;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" strokecolor="black [3213]" strokeweight="1pt">
                  <v:stroke dashstyle="dash" endarrow="block"/>
                </v:shape>
                <v:shape id="文本框 129" o:spid="_x0000_s1186" type="#_x0000_t202" style="position:absolute;left:28154;top:11277;width:743;height:3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" filled="f" stroked="f" strokeweight=".5pt">
                  <v:textbox>
                    <w:txbxContent>
                      <w:p w14:paraId="7EEB7D39"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杂质S</w:t>
                        </w:r>
                        <w:r>
                          <w:rPr>
                            <w:rFonts w:ascii="黑体" w:eastAsia="黑体" w:hAnsi="黑体" w:cs="黑体" w:hint="eastAsia"/>
                            <w:sz w:val="15"/>
                            <w:szCs w:val="15"/>
                            <w:vertAlign w:val="subscript"/>
                          </w:rPr>
                          <w:t>5</w:t>
                        </w:r>
                      </w:p>
                    </w:txbxContent>
                  </v:textbox>
                </v:shape>
                <v:shape id="直接箭头连接符 130" o:spid="_x0000_s1187" type="#_x0000_t32" style="position:absolute;left:25728;top:11264;width:407;height:4;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" strokecolor="black [3213]" strokeweight="1pt">
                  <v:stroke dashstyle="dashDot" endarrow="block"/>
                </v:shape>
                <v:shape id="文本框 153" o:spid="_x0000_s1188" type="#_x0000_t202" style="position:absolute;left:25713;top:10815;width:809;height:3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" filled="f" stroked="f" strokeweight=".5pt">
                  <v:textbox>
                    <w:txbxContent>
                      <w:p w14:paraId="662723CC"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废气G</w:t>
                        </w:r>
                        <w:r>
                          <w:rPr>
                            <w:rFonts w:ascii="黑体" w:eastAsia="黑体" w:hAnsi="黑体" w:cs="黑体" w:hint="eastAsia"/>
                            <w:sz w:val="15"/>
                            <w:szCs w:val="15"/>
                            <w:vertAlign w:val="subscript"/>
                          </w:rPr>
                          <w:t>3</w:t>
                        </w:r>
                      </w:p>
                    </w:txbxContent>
                  </v:textbox>
                </v:shape>
                <v:shape id="文本框 154" o:spid="_x0000_s1189" type="#_x0000_t202" style="position:absolute;left:24439;top:11054;width:1285;height:4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" fillcolor="white [3201]" strokeweight=".5pt">
                  <v:textbox>
                    <w:txbxContent>
                      <w:p w14:paraId="328A649D"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导热油炉</w:t>
                        </w:r>
                      </w:p>
                    </w:txbxContent>
                  </v:textbox>
                </v:shape>
                <v:shape id="直接箭头连接符 155" o:spid="_x0000_s1190" type="#_x0000_t32" style="position:absolute;left:24874;top:11534;width:5;height:442;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" strokecolor="black [3213]" strokeweight="1pt">
                  <v:stroke endarrow="block"/>
                </v:shape>
                <v:shape id="直接箭头连接符 156" o:spid="_x0000_s1191" type="#_x0000_t32" style="position:absolute;left:24659;top:11511;width:4;height:442;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" strokecolor="black [3213]" strokeweight="1pt">
                  <v:stroke endarrow="block"/>
                </v:shape>
                <v:shape id="文本框 157" o:spid="_x0000_s1192" type="#_x0000_t202" style="position:absolute;left:23785;top:11604;width:809;height:3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" filled="f" stroked="f" strokeweight=".5pt">
                  <v:textbox>
                    <w:txbxContent>
                      <w:p w14:paraId="27234364"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导热油</w:t>
                        </w:r>
                      </w:p>
                    </w:txbxContent>
                  </v:textbox>
                </v:shape>
                <v:shape id="文本框 158" o:spid="_x0000_s1193" type="#_x0000_t202" style="position:absolute;left:24841;top:11556;width:809;height:3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" filled="f" stroked="f" strokeweight=".5pt">
                  <v:textbox>
                    <w:txbxContent>
                      <w:p w14:paraId="29143F35"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导热油</w:t>
                        </w:r>
                      </w:p>
                    </w:txbxContent>
                  </v:textbox>
                </v:shape>
                <v:shape id="直接箭头连接符 159" o:spid="_x0000_s1194" type="#_x0000_t32" style="position:absolute;left:23819;top:8283;width:529;height:1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" strokecolor="black [3213]" strokeweight="1pt">
                  <v:stroke endarrow="block"/>
                </v:shape>
                <v:shape id="文本框 160" o:spid="_x0000_s1195" type="#_x0000_t202" style="position:absolute;left:23477;top:7865;width:1083;height:3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" filled="f" stroked="f" strokeweight=".5pt">
                  <v:textbox>
                    <w:txbxContent>
                      <w:p w14:paraId="7272D78C"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冷凝液</w:t>
                        </w:r>
                      </w:p>
                    </w:txbxContent>
                  </v:textbox>
                </v:shape>
                <v:shape id="直接箭头连接符 15" o:spid="_x0000_s1196" type="#_x0000_t32" style="position:absolute;left:25313;top:2315;width:7;height:337;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" strokecolor="black [3213]" strokeweight="1pt">
                  <v:stroke dashstyle="dash" endarrow="block"/>
                </v:shape>
                <v:shape id="_x0000_s1197" type="#_x0000_t202" style="position:absolute;left:25206;top:2144;width:875;height:3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" filled="f" stroked="f" strokeweight=".5pt">
                  <v:textbox>
                    <w:txbxContent>
                      <w:p w14:paraId="2E0B1356"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污泥S</w:t>
                        </w:r>
                        <w:r>
                          <w:rPr>
                            <w:rFonts w:ascii="黑体" w:eastAsia="黑体" w:hAnsi="黑体" w:cs="黑体" w:hint="eastAsia"/>
                            <w:sz w:val="15"/>
                            <w:szCs w:val="15"/>
                            <w:vertAlign w:val="subscript"/>
                          </w:rPr>
                          <w:t>2</w:t>
                        </w:r>
                      </w:p>
                    </w:txbxContent>
                  </v:textbox>
                </v:shape>
                <v:shape id="文本框 16" o:spid="_x0000_s1198" type="#_x0000_t202" style="position:absolute;left:24348;top:8100;width:1562;height:3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" fillcolor="white [3201]" strokeweight=".5pt">
                  <v:textbox>
                    <w:txbxContent>
                      <w:p w14:paraId="2DD09A35"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sz w:val="18"/>
                            <w:szCs w:val="18"/>
                          </w:rPr>
                          <w:t>分离装置</w:t>
                        </w:r>
                      </w:p>
                    </w:txbxContent>
                  </v:textbox>
                </v:shape>
                <v:shape id="直接箭头连接符 7" o:spid="_x0000_s1199" type="#_x0000_t32" style="position:absolute;left:25933;top:8300;width:691;height: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" strokecolor="black [3213]" strokeweight="1.25pt">
                  <v:stroke dashstyle="3 1" endarrow="block"/>
                </v:shape>
                <v:shape id="文本框 21" o:spid="_x0000_s1200" type="#_x0000_t202" style="position:absolute;left:26623;top:8099;width:1285;height:4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" filled="f" strokecolor="black [3213]" strokeweight=".5pt">
                  <v:textbox>
                    <w:txbxContent>
                      <w:p w14:paraId="510436E4"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污水处理站</w:t>
                        </w:r>
                      </w:p>
                    </w:txbxContent>
                  </v:textbox>
                </v:shape>
                <v:shape id="直接箭头连接符 10" o:spid="_x0000_s1201" type="#_x0000_t32" style="position:absolute;left:27922;top:8366;width:691;height: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" strokecolor="black [3213]" strokeweight="1.25pt">
                  <v:stroke dashstyle="3 1" endarrow="block"/>
                </v:shape>
                <v:shape id="_x0000_s1202" type="#_x0000_t202" style="position:absolute;left:28413;top:8039;width:1185;height:6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" filled="f" stroked="f" strokeweight=".5pt">
                  <v:textbox>
                    <w:txbxContent>
                      <w:p w14:paraId="358BC9F3"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园区污水管网</w:t>
                        </w:r>
                      </w:p>
                    </w:txbxContent>
                  </v:textbox>
                </v:shape>
                <v:shape id="直接箭头连接符 15" o:spid="_x0000_s1203" type="#_x0000_t32" style="position:absolute;left:25042;top:7698;width:7;height:337;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" strokecolor="black [3213]" strokeweight="1pt">
                  <v:stroke dashstyle="dash" endarrow="block"/>
                </v:shape>
                <v:shape id="_x0000_s1204" type="#_x0000_t202" style="position:absolute;left:24772;top:7471;width:1361;height:3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" filled="f" stroked="f" strokeweight=".5pt">
                  <v:textbox>
                    <w:txbxContent>
                      <w:p w14:paraId="2017C556"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含油废液S</w:t>
                        </w:r>
                        <w:r>
                          <w:rPr>
                            <w:rFonts w:ascii="黑体" w:eastAsia="黑体" w:hAnsi="黑体" w:cs="黑体" w:hint="eastAsia"/>
                            <w:sz w:val="15"/>
                            <w:szCs w:val="15"/>
                            <w:vertAlign w:val="subscript"/>
                          </w:rPr>
                          <w:t>5</w:t>
                        </w:r>
                      </w:p>
                    </w:txbxContent>
                  </v:textbox>
                </v:shape>
                <v:shape id="文本框 160" o:spid="_x0000_s1205" type="#_x0000_t202" style="position:absolute;left:25664;top:7727;width:1124;height:5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" filled="f" stroked="f" strokeweight=".5pt">
                  <v:textbox>
                    <w:txbxContent>
                      <w:p w14:paraId="197FCD05"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冷凝隔油分离废水W</w:t>
                        </w:r>
                        <w:r>
                          <w:rPr>
                            <w:rFonts w:ascii="黑体" w:eastAsia="黑体" w:hAnsi="黑体" w:cs="黑体" w:hint="eastAsia"/>
                            <w:sz w:val="15"/>
                            <w:szCs w:val="15"/>
                            <w:vertAlign w:val="subscript"/>
                          </w:rPr>
                          <w:t>2</w:t>
                        </w:r>
                      </w:p>
                    </w:txbxContent>
                  </v:textbox>
                </v:shape>
                <v:shape id="直接箭头连接符 130" o:spid="_x0000_s1206" type="#_x0000_t32" style="position:absolute;left:23333;top:13343;width:8;height:934;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" strokecolor="black [3213]" strokeweight="1pt">
                  <v:stroke dashstyle="dashDot" endarrow="block"/>
                </v:shape>
                <v:shape id="文本框 153" o:spid="_x0000_s1207" type="#_x0000_t202" style="position:absolute;left:21503;top:13842;width:810;height:3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" filled="f" stroked="f" strokeweight=".5pt">
                  <v:textbox>
                    <w:txbxContent>
                      <w:p w14:paraId="0905E274" w14:textId="3A42A72B"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废气G</w:t>
                        </w:r>
                        <w:r w:rsidR="00A54EA8">
                          <w:rPr>
                            <w:rFonts w:ascii="黑体" w:eastAsia="黑体" w:hAnsi="黑体" w:cs="黑体"/>
                            <w:sz w:val="15"/>
                            <w:szCs w:val="15"/>
                            <w:vertAlign w:val="subscript"/>
                          </w:rPr>
                          <w:t>5</w:t>
                        </w:r>
                      </w:p>
                    </w:txbxContent>
                  </v:textbox>
                </v:shape>
              </v:group>
            </w:pict>
          </mc:Fallback>
        </mc:AlternateContent>
      </w:r>
    </w:p>
    <w:p w14:paraId="41CD407A" w14:textId="1E468F88" w:rsidR="00B0005F" w:rsidRPr="008A2411" w:rsidRDefault="00A54EA8">
      <w:pPr>
        <w:pStyle w:val="WJ3"/>
        <w:snapToGrid/>
        <w:spacing w:line="360" w:lineRule="auto"/>
        <w:jc w:val="center"/>
        <w:outlineLvl w:val="9"/>
        <w:rPr>
          <w:rFonts w:ascii="Times New Roman" w:hAnsi="Times New Roman"/>
          <w:b w:val="0"/>
          <w:color w:val="000000" w:themeColor="text1"/>
          <w:lang w:bidi="ar-SA"/>
        </w:rPr>
      </w:pPr>
      <w:r w:rsidRPr="008A2411">
        <w:rPr>
          <w:rFonts w:ascii="Times New Roman" w:hAnsi="Times New Roman"/>
          <w:noProof/>
          <w:color w:val="000000" w:themeColor="text1"/>
        </w:rPr>
        <mc:AlternateContent>
          <mc:Choice Requires="wps">
            <w:drawing>
              <wp:anchor distT="0" distB="0" distL="114300" distR="114300" simplePos="0" relativeHeight="251691520" behindDoc="0" locked="0" layoutInCell="1" allowOverlap="1" wp14:anchorId="196106F4" wp14:editId="2686E8A1">
                <wp:simplePos x="0" y="0"/>
                <wp:positionH relativeFrom="column">
                  <wp:posOffset>-594360</wp:posOffset>
                </wp:positionH>
                <wp:positionV relativeFrom="paragraph">
                  <wp:posOffset>338813</wp:posOffset>
                </wp:positionV>
                <wp:extent cx="6362700" cy="5101596"/>
                <wp:effectExtent l="0" t="0" r="19050" b="22860"/>
                <wp:wrapNone/>
                <wp:docPr id="84" name="矩形 84"/>
                <wp:cNvGraphicFramePr/>
                <a:graphic xmlns:a="http://schemas.openxmlformats.org/drawingml/2006/main">
                  <a:graphicData uri="http://schemas.microsoft.com/office/word/2010/wordprocessingShape">
                    <wps:wsp>
                      <wps:cNvSpPr/>
                      <wps:spPr>
                        <a:xfrm>
                          <a:off x="0" y="0"/>
                          <a:ext cx="6362700" cy="5101596"/>
                        </a:xfrm>
                        <a:prstGeom prst="rect">
                          <a:avLst/>
                        </a:prstGeom>
                        <a:noFill/>
                        <a:ln>
                          <a:solidFill>
                            <a:schemeClr val="tx1"/>
                          </a:solidFill>
                          <a:prstDash val="dash"/>
                        </a:ln>
                      </wps:spPr>
                      <wps:style>
                        <a:lnRef idx="2">
                          <a:schemeClr val="accent1">
                            <a:shade val="50000"/>
                          </a:schemeClr>
                        </a:lnRef>
                        <a:fillRef idx="1">
                          <a:schemeClr val="accent1"/>
                        </a:fillRef>
                        <a:effectRef idx="0">
                          <a:schemeClr val="accent1"/>
                        </a:effectRef>
                        <a:fontRef idx="minor">
                          <a:schemeClr val="lt1"/>
                        </a:fontRef>
                      </wps:style>
                      <wps:txbx>
                        <w:txbxContent>
                          <w:p w14:paraId="110C55BD" w14:textId="77777777" w:rsidR="00B0005F" w:rsidRDefault="00B0005F">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14:sizeRelV relativeFrom="margin">
                  <wp14:pctHeight>0</wp14:pctHeight>
                </wp14:sizeRelV>
              </wp:anchor>
            </w:drawing>
          </mc:Choice>
          <mc:Fallback>
            <w:pict>
              <v:rect w14:anchorId="196106F4" id="矩形 84" o:spid="_x0000_s1208" style="position:absolute;left:0;text-align:left;margin-left:-46.8pt;margin-top:26.7pt;width:501pt;height:401.7pt;z-index:2516915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" filled="f" strokecolor="black [3213]" strokeweight="2pt">
                <v:stroke dashstyle="dash"/>
                <v:textbox>
                  <w:txbxContent>
                    <w:p w14:paraId="110C55BD" w14:textId="77777777" w:rsidR="00B0005F" w:rsidRDefault="00B0005F">
                      <w:pPr>
                        <w:jc w:val="center"/>
                      </w:pPr>
                    </w:p>
                  </w:txbxContent>
                </v:textbox>
              </v:rect>
            </w:pict>
          </mc:Fallback>
        </mc:AlternateContent>
      </w:r>
    </w:p>
    <w:p w14:paraId="7A2F54F8" w14:textId="1AA74674" w:rsidR="00B0005F" w:rsidRPr="008A2411" w:rsidRDefault="00000000">
      <w:pPr>
        <w:pStyle w:val="WJ3"/>
        <w:snapToGrid/>
        <w:spacing w:line="360" w:lineRule="auto"/>
        <w:jc w:val="center"/>
        <w:outlineLvl w:val="9"/>
        <w:rPr>
          <w:rFonts w:ascii="Times New Roman" w:hAnsi="Times New Roman"/>
          <w:b w:val="0"/>
          <w:color w:val="000000" w:themeColor="text1"/>
          <w:lang w:bidi="ar-SA"/>
        </w:rPr>
      </w:pPr>
      <w:r w:rsidRPr="008A2411">
        <w:rPr>
          <w:rFonts w:ascii="Times New Roman" w:hAnsi="Times New Roman"/>
          <w:noProof/>
          <w:color w:val="000000" w:themeColor="text1"/>
        </w:rPr>
        <mc:AlternateContent>
          <mc:Choice Requires="wps">
            <w:drawing>
              <wp:anchor distT="0" distB="0" distL="114300" distR="114300" simplePos="0" relativeHeight="251706880" behindDoc="0" locked="0" layoutInCell="1" allowOverlap="1" wp14:anchorId="0079A986" wp14:editId="56691BEC">
                <wp:simplePos x="0" y="0"/>
                <wp:positionH relativeFrom="column">
                  <wp:posOffset>4434840</wp:posOffset>
                </wp:positionH>
                <wp:positionV relativeFrom="paragraph">
                  <wp:posOffset>203200</wp:posOffset>
                </wp:positionV>
                <wp:extent cx="1295400" cy="368300"/>
                <wp:effectExtent l="4445" t="4445" r="10795" b="8255"/>
                <wp:wrapNone/>
                <wp:docPr id="86" name="文本框 86"/>
                <wp:cNvGraphicFramePr/>
                <a:graphic xmlns:a="http://schemas.openxmlformats.org/drawingml/2006/main">
                  <a:graphicData uri="http://schemas.microsoft.com/office/word/2010/wordprocessingShape">
                    <wps:wsp>
                      <wps:cNvSpPr txBox="1"/>
                      <wps:spPr>
                        <a:xfrm>
                          <a:off x="5895340" y="1337945"/>
                          <a:ext cx="1295400" cy="36830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4D23CA74" w14:textId="77777777" w:rsidR="00B0005F" w:rsidRDefault="00000000">
                            <w:pPr>
                              <w:jc w:val="center"/>
                              <w:rPr>
                                <w:b/>
                                <w:bCs/>
                              </w:rPr>
                            </w:pPr>
                            <w:r>
                              <w:rPr>
                                <w:rFonts w:hint="eastAsia"/>
                                <w:b/>
                                <w:bCs/>
                              </w:rPr>
                              <w:t>天然净化单元</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0079A986" id="文本框 86" o:spid="_x0000_s1209" type="#_x0000_t202" style="position:absolute;left:0;text-align:left;margin-left:349.2pt;margin-top:16pt;width:102pt;height:29pt;z-index:2517068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" fillcolor="white [3201]" strokeweight=".5pt">
                <v:textbox>
                  <w:txbxContent>
                    <w:p w14:paraId="4D23CA74" w14:textId="77777777" w:rsidR="00B0005F" w:rsidRDefault="00000000">
                      <w:pPr>
                        <w:jc w:val="center"/>
                        <w:rPr>
                          <w:b/>
                          <w:bCs/>
                        </w:rPr>
                      </w:pPr>
                      <w:r>
                        <w:rPr>
                          <w:rFonts w:hint="eastAsia"/>
                          <w:b/>
                          <w:bCs/>
                        </w:rPr>
                        <w:t>天然净化单元</w:t>
                      </w:r>
                    </w:p>
                  </w:txbxContent>
                </v:textbox>
              </v:shape>
            </w:pict>
          </mc:Fallback>
        </mc:AlternateContent>
      </w:r>
    </w:p>
    <w:p w14:paraId="2141E544" w14:textId="130B280E" w:rsidR="00B0005F" w:rsidRPr="008A2411" w:rsidRDefault="00B0005F">
      <w:pPr>
        <w:pStyle w:val="WJ3"/>
        <w:snapToGrid/>
        <w:spacing w:line="360" w:lineRule="auto"/>
        <w:jc w:val="center"/>
        <w:outlineLvl w:val="9"/>
        <w:rPr>
          <w:rFonts w:ascii="Times New Roman" w:hAnsi="Times New Roman"/>
          <w:b w:val="0"/>
          <w:color w:val="000000" w:themeColor="text1"/>
          <w:lang w:bidi="ar-SA"/>
        </w:rPr>
      </w:pPr>
    </w:p>
    <w:p w14:paraId="78051E9E" w14:textId="18228D8B" w:rsidR="00B0005F" w:rsidRPr="008A2411" w:rsidRDefault="00B0005F">
      <w:pPr>
        <w:pStyle w:val="WJ3"/>
        <w:snapToGrid/>
        <w:spacing w:line="360" w:lineRule="auto"/>
        <w:jc w:val="center"/>
        <w:outlineLvl w:val="9"/>
        <w:rPr>
          <w:rFonts w:ascii="Times New Roman" w:hAnsi="Times New Roman"/>
          <w:b w:val="0"/>
          <w:color w:val="000000" w:themeColor="text1"/>
          <w:lang w:bidi="ar-SA"/>
        </w:rPr>
      </w:pPr>
    </w:p>
    <w:p w14:paraId="77748716" w14:textId="2F6BCC18" w:rsidR="00B0005F" w:rsidRPr="008A2411" w:rsidRDefault="00B0005F">
      <w:pPr>
        <w:pStyle w:val="WJ3"/>
        <w:snapToGrid/>
        <w:spacing w:line="360" w:lineRule="auto"/>
        <w:jc w:val="center"/>
        <w:outlineLvl w:val="9"/>
        <w:rPr>
          <w:rFonts w:ascii="Times New Roman" w:hAnsi="Times New Roman"/>
          <w:b w:val="0"/>
          <w:color w:val="000000" w:themeColor="text1"/>
          <w:lang w:bidi="ar-SA"/>
        </w:rPr>
      </w:pPr>
    </w:p>
    <w:p w14:paraId="4C6F4237" w14:textId="52B013AD" w:rsidR="00B0005F" w:rsidRPr="008A2411" w:rsidRDefault="00B0005F">
      <w:pPr>
        <w:pStyle w:val="WJ3"/>
        <w:snapToGrid/>
        <w:spacing w:line="360" w:lineRule="auto"/>
        <w:jc w:val="center"/>
        <w:outlineLvl w:val="9"/>
        <w:rPr>
          <w:rFonts w:ascii="Times New Roman" w:hAnsi="Times New Roman"/>
          <w:b w:val="0"/>
          <w:color w:val="000000" w:themeColor="text1"/>
          <w:lang w:bidi="ar-SA"/>
        </w:rPr>
      </w:pPr>
    </w:p>
    <w:p w14:paraId="634C0F1F" w14:textId="66C3BAFF" w:rsidR="00B0005F" w:rsidRPr="008A2411" w:rsidRDefault="00B0005F">
      <w:pPr>
        <w:pStyle w:val="WJ3"/>
        <w:snapToGrid/>
        <w:spacing w:line="360" w:lineRule="auto"/>
        <w:jc w:val="center"/>
        <w:outlineLvl w:val="9"/>
        <w:rPr>
          <w:rFonts w:ascii="Times New Roman" w:hAnsi="Times New Roman"/>
          <w:b w:val="0"/>
          <w:color w:val="000000" w:themeColor="text1"/>
          <w:lang w:bidi="ar-SA"/>
        </w:rPr>
      </w:pPr>
    </w:p>
    <w:p w14:paraId="77ECFB9D" w14:textId="3FC7FA26" w:rsidR="00B0005F" w:rsidRPr="008A2411" w:rsidRDefault="00B0005F">
      <w:pPr>
        <w:pStyle w:val="WJ3"/>
        <w:snapToGrid/>
        <w:spacing w:line="360" w:lineRule="auto"/>
        <w:jc w:val="center"/>
        <w:outlineLvl w:val="9"/>
        <w:rPr>
          <w:rFonts w:ascii="Times New Roman" w:hAnsi="Times New Roman"/>
          <w:b w:val="0"/>
          <w:color w:val="000000" w:themeColor="text1"/>
          <w:lang w:bidi="ar-SA"/>
        </w:rPr>
      </w:pPr>
    </w:p>
    <w:p w14:paraId="597DB0B1" w14:textId="77777777" w:rsidR="00B0005F" w:rsidRPr="008A2411" w:rsidRDefault="00B0005F">
      <w:pPr>
        <w:pStyle w:val="WJ3"/>
        <w:snapToGrid/>
        <w:spacing w:line="360" w:lineRule="auto"/>
        <w:jc w:val="center"/>
        <w:outlineLvl w:val="9"/>
        <w:rPr>
          <w:rFonts w:ascii="Times New Roman" w:hAnsi="Times New Roman"/>
          <w:b w:val="0"/>
          <w:color w:val="000000" w:themeColor="text1"/>
          <w:lang w:bidi="ar-SA"/>
        </w:rPr>
      </w:pPr>
    </w:p>
    <w:p w14:paraId="45F05D7A" w14:textId="77777777" w:rsidR="00B0005F" w:rsidRPr="008A2411" w:rsidRDefault="00B0005F">
      <w:pPr>
        <w:pStyle w:val="WJ3"/>
        <w:snapToGrid/>
        <w:spacing w:line="360" w:lineRule="auto"/>
        <w:jc w:val="center"/>
        <w:outlineLvl w:val="9"/>
        <w:rPr>
          <w:rFonts w:ascii="Times New Roman" w:hAnsi="Times New Roman"/>
          <w:b w:val="0"/>
          <w:color w:val="000000" w:themeColor="text1"/>
          <w:lang w:bidi="ar-SA"/>
        </w:rPr>
      </w:pPr>
    </w:p>
    <w:p w14:paraId="313EEFBB" w14:textId="77777777" w:rsidR="00B0005F" w:rsidRPr="008A2411" w:rsidRDefault="00B0005F">
      <w:pPr>
        <w:pStyle w:val="WJ3"/>
        <w:snapToGrid/>
        <w:spacing w:line="360" w:lineRule="auto"/>
        <w:jc w:val="center"/>
        <w:outlineLvl w:val="9"/>
        <w:rPr>
          <w:rFonts w:ascii="Times New Roman" w:hAnsi="Times New Roman"/>
          <w:b w:val="0"/>
          <w:color w:val="000000" w:themeColor="text1"/>
          <w:lang w:bidi="ar-SA"/>
        </w:rPr>
      </w:pPr>
    </w:p>
    <w:p w14:paraId="567FADAD" w14:textId="77777777" w:rsidR="00B0005F" w:rsidRPr="008A2411" w:rsidRDefault="00B0005F">
      <w:pPr>
        <w:pStyle w:val="WJ3"/>
        <w:snapToGrid/>
        <w:spacing w:line="360" w:lineRule="auto"/>
        <w:jc w:val="center"/>
        <w:outlineLvl w:val="9"/>
        <w:rPr>
          <w:rFonts w:ascii="Times New Roman" w:hAnsi="Times New Roman"/>
          <w:b w:val="0"/>
          <w:color w:val="000000" w:themeColor="text1"/>
          <w:lang w:bidi="ar-SA"/>
        </w:rPr>
      </w:pPr>
    </w:p>
    <w:p w14:paraId="7B36B064" w14:textId="77777777" w:rsidR="00B0005F" w:rsidRPr="008A2411" w:rsidRDefault="00B0005F">
      <w:pPr>
        <w:pStyle w:val="WJ3"/>
        <w:snapToGrid/>
        <w:spacing w:line="360" w:lineRule="auto"/>
        <w:jc w:val="center"/>
        <w:outlineLvl w:val="9"/>
        <w:rPr>
          <w:rFonts w:ascii="Times New Roman" w:hAnsi="Times New Roman"/>
          <w:b w:val="0"/>
          <w:color w:val="000000" w:themeColor="text1"/>
          <w:lang w:bidi="ar-SA"/>
        </w:rPr>
      </w:pPr>
    </w:p>
    <w:p w14:paraId="7C19F7C4" w14:textId="77777777" w:rsidR="00B0005F" w:rsidRPr="008A2411" w:rsidRDefault="00B0005F">
      <w:pPr>
        <w:pStyle w:val="WJ3"/>
        <w:snapToGrid/>
        <w:spacing w:line="360" w:lineRule="auto"/>
        <w:jc w:val="center"/>
        <w:outlineLvl w:val="9"/>
        <w:rPr>
          <w:rFonts w:ascii="Times New Roman" w:hAnsi="Times New Roman"/>
          <w:b w:val="0"/>
          <w:color w:val="000000" w:themeColor="text1"/>
          <w:lang w:bidi="ar-SA"/>
        </w:rPr>
      </w:pPr>
    </w:p>
    <w:p w14:paraId="0B431BC2" w14:textId="77777777" w:rsidR="00B0005F" w:rsidRPr="008A2411" w:rsidRDefault="00B0005F">
      <w:pPr>
        <w:pStyle w:val="WJ3"/>
        <w:snapToGrid/>
        <w:spacing w:line="360" w:lineRule="auto"/>
        <w:jc w:val="center"/>
        <w:outlineLvl w:val="9"/>
        <w:rPr>
          <w:rFonts w:ascii="Times New Roman" w:hAnsi="Times New Roman"/>
          <w:b w:val="0"/>
          <w:color w:val="000000" w:themeColor="text1"/>
          <w:lang w:bidi="ar-SA"/>
        </w:rPr>
      </w:pPr>
    </w:p>
    <w:p w14:paraId="288C9734" w14:textId="77777777" w:rsidR="00B0005F" w:rsidRPr="008A2411" w:rsidRDefault="00B0005F">
      <w:pPr>
        <w:pStyle w:val="WJ3"/>
        <w:snapToGrid/>
        <w:spacing w:line="360" w:lineRule="auto"/>
        <w:jc w:val="center"/>
        <w:outlineLvl w:val="9"/>
        <w:rPr>
          <w:rFonts w:ascii="Times New Roman" w:hAnsi="Times New Roman"/>
          <w:b w:val="0"/>
          <w:color w:val="000000" w:themeColor="text1"/>
          <w:lang w:bidi="ar-SA"/>
        </w:rPr>
      </w:pPr>
    </w:p>
    <w:p w14:paraId="3491626F" w14:textId="77777777" w:rsidR="00B0005F" w:rsidRPr="008A2411" w:rsidRDefault="00B0005F">
      <w:pPr>
        <w:pStyle w:val="WJ3"/>
        <w:snapToGrid/>
        <w:spacing w:line="360" w:lineRule="auto"/>
        <w:jc w:val="center"/>
        <w:outlineLvl w:val="9"/>
        <w:rPr>
          <w:rFonts w:ascii="Times New Roman" w:hAnsi="Times New Roman"/>
          <w:b w:val="0"/>
          <w:color w:val="000000" w:themeColor="text1"/>
          <w:lang w:bidi="ar-SA"/>
        </w:rPr>
      </w:pPr>
    </w:p>
    <w:p w14:paraId="487A0D2C" w14:textId="77777777" w:rsidR="00B0005F" w:rsidRPr="008A2411" w:rsidRDefault="00B0005F">
      <w:pPr>
        <w:pStyle w:val="WJ3"/>
        <w:snapToGrid/>
        <w:spacing w:line="360" w:lineRule="auto"/>
        <w:jc w:val="center"/>
        <w:outlineLvl w:val="9"/>
        <w:rPr>
          <w:rFonts w:ascii="Times New Roman" w:hAnsi="Times New Roman"/>
          <w:b w:val="0"/>
          <w:color w:val="000000" w:themeColor="text1"/>
          <w:lang w:bidi="ar-SA"/>
        </w:rPr>
      </w:pPr>
    </w:p>
    <w:p w14:paraId="0D582A74" w14:textId="77777777" w:rsidR="00B0005F" w:rsidRPr="008A2411" w:rsidRDefault="00B0005F">
      <w:pPr>
        <w:pStyle w:val="WJ3"/>
        <w:snapToGrid/>
        <w:spacing w:line="360" w:lineRule="auto"/>
        <w:jc w:val="center"/>
        <w:outlineLvl w:val="9"/>
        <w:rPr>
          <w:rFonts w:ascii="Times New Roman" w:hAnsi="Times New Roman"/>
          <w:b w:val="0"/>
          <w:color w:val="000000" w:themeColor="text1"/>
          <w:lang w:bidi="ar-SA"/>
        </w:rPr>
      </w:pPr>
    </w:p>
    <w:p w14:paraId="0A6152F9" w14:textId="77777777" w:rsidR="00B0005F" w:rsidRPr="008A2411" w:rsidRDefault="00B0005F">
      <w:pPr>
        <w:pStyle w:val="WJ3"/>
        <w:snapToGrid/>
        <w:spacing w:line="360" w:lineRule="auto"/>
        <w:jc w:val="center"/>
        <w:outlineLvl w:val="9"/>
        <w:rPr>
          <w:rFonts w:ascii="Times New Roman" w:hAnsi="Times New Roman"/>
          <w:b w:val="0"/>
          <w:color w:val="000000" w:themeColor="text1"/>
          <w:lang w:bidi="ar-SA"/>
        </w:rPr>
      </w:pPr>
    </w:p>
    <w:p w14:paraId="52B8E216" w14:textId="77777777" w:rsidR="00B0005F" w:rsidRPr="008A2411" w:rsidRDefault="00000000">
      <w:pPr>
        <w:pStyle w:val="WJ3"/>
        <w:snapToGrid/>
        <w:spacing w:line="360" w:lineRule="auto"/>
        <w:jc w:val="center"/>
        <w:outlineLvl w:val="9"/>
        <w:rPr>
          <w:rFonts w:ascii="Times New Roman" w:hAnsi="Times New Roman"/>
          <w:b w:val="0"/>
          <w:color w:val="000000" w:themeColor="text1"/>
          <w:lang w:bidi="ar-SA"/>
        </w:rPr>
      </w:pPr>
      <w:r w:rsidRPr="008A2411">
        <w:rPr>
          <w:rFonts w:ascii="Times New Roman" w:hAnsi="Times New Roman"/>
          <w:noProof/>
          <w:color w:val="000000" w:themeColor="text1"/>
        </w:rPr>
        <mc:AlternateContent>
          <mc:Choice Requires="wps">
            <w:drawing>
              <wp:anchor distT="0" distB="0" distL="114300" distR="114300" simplePos="0" relativeHeight="251697664" behindDoc="0" locked="0" layoutInCell="1" allowOverlap="1" wp14:anchorId="54A21AF5" wp14:editId="1D943557">
                <wp:simplePos x="0" y="0"/>
                <wp:positionH relativeFrom="column">
                  <wp:posOffset>-581297</wp:posOffset>
                </wp:positionH>
                <wp:positionV relativeFrom="paragraph">
                  <wp:posOffset>273322</wp:posOffset>
                </wp:positionV>
                <wp:extent cx="6391746" cy="2416629"/>
                <wp:effectExtent l="0" t="0" r="28575" b="22225"/>
                <wp:wrapNone/>
                <wp:docPr id="85" name="矩形 85"/>
                <wp:cNvGraphicFramePr/>
                <a:graphic xmlns:a="http://schemas.openxmlformats.org/drawingml/2006/main">
                  <a:graphicData uri="http://schemas.microsoft.com/office/word/2010/wordprocessingShape">
                    <wps:wsp>
                      <wps:cNvSpPr/>
                      <wps:spPr>
                        <a:xfrm>
                          <a:off x="0" y="0"/>
                          <a:ext cx="6391746" cy="2416629"/>
                        </a:xfrm>
                        <a:prstGeom prst="rect">
                          <a:avLst/>
                        </a:prstGeom>
                        <a:noFill/>
                        <a:ln>
                          <a:solidFill>
                            <a:schemeClr val="tx1"/>
                          </a:solidFill>
                          <a:prstDash val="dash"/>
                        </a:ln>
                      </wps:spPr>
                      <wps:style>
                        <a:lnRef idx="2">
                          <a:schemeClr val="accent1">
                            <a:shade val="50000"/>
                          </a:schemeClr>
                        </a:lnRef>
                        <a:fillRef idx="1">
                          <a:schemeClr val="accent1"/>
                        </a:fillRef>
                        <a:effectRef idx="0">
                          <a:schemeClr val="accent1"/>
                        </a:effectRef>
                        <a:fontRef idx="minor">
                          <a:schemeClr val="lt1"/>
                        </a:fontRef>
                      </wps:style>
                      <wps:txbx>
                        <w:txbxContent>
                          <w:p w14:paraId="3BD93FD0" w14:textId="77777777" w:rsidR="00B0005F" w:rsidRDefault="00B0005F">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14:sizeRelV relativeFrom="margin">
                  <wp14:pctHeight>0</wp14:pctHeight>
                </wp14:sizeRelV>
              </wp:anchor>
            </w:drawing>
          </mc:Choice>
          <mc:Fallback>
            <w:pict>
              <v:rect w14:anchorId="54A21AF5" id="矩形 85" o:spid="_x0000_s1210" style="position:absolute;left:0;text-align:left;margin-left:-45.75pt;margin-top:21.5pt;width:503.3pt;height:190.3pt;z-index:2516976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" filled="f" strokecolor="black [3213]" strokeweight="2pt">
                <v:stroke dashstyle="dash"/>
                <v:textbox>
                  <w:txbxContent>
                    <w:p w14:paraId="3BD93FD0" w14:textId="77777777" w:rsidR="00B0005F" w:rsidRDefault="00B0005F">
                      <w:pPr>
                        <w:jc w:val="center"/>
                      </w:pPr>
                    </w:p>
                  </w:txbxContent>
                </v:textbox>
              </v:rect>
            </w:pict>
          </mc:Fallback>
        </mc:AlternateContent>
      </w:r>
      <w:r w:rsidRPr="008A2411">
        <w:rPr>
          <w:rFonts w:ascii="Times New Roman" w:hAnsi="Times New Roman"/>
          <w:noProof/>
          <w:color w:val="000000" w:themeColor="text1"/>
        </w:rPr>
        <mc:AlternateContent>
          <mc:Choice Requires="wps">
            <w:drawing>
              <wp:anchor distT="0" distB="0" distL="114300" distR="114300" simplePos="0" relativeHeight="251716096" behindDoc="0" locked="0" layoutInCell="1" allowOverlap="1" wp14:anchorId="5FCFF593" wp14:editId="480D0515">
                <wp:simplePos x="0" y="0"/>
                <wp:positionH relativeFrom="column">
                  <wp:posOffset>4472940</wp:posOffset>
                </wp:positionH>
                <wp:positionV relativeFrom="paragraph">
                  <wp:posOffset>250190</wp:posOffset>
                </wp:positionV>
                <wp:extent cx="1295400" cy="368300"/>
                <wp:effectExtent l="4445" t="4445" r="10795" b="8255"/>
                <wp:wrapNone/>
                <wp:docPr id="87" name="文本框 87"/>
                <wp:cNvGraphicFramePr/>
                <a:graphic xmlns:a="http://schemas.openxmlformats.org/drawingml/2006/main">
                  <a:graphicData uri="http://schemas.microsoft.com/office/word/2010/wordprocessingShape">
                    <wps:wsp>
                      <wps:cNvSpPr txBox="1"/>
                      <wps:spPr>
                        <a:xfrm>
                          <a:off x="0" y="0"/>
                          <a:ext cx="1295400" cy="36830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2D2A3E23" w14:textId="77777777" w:rsidR="00B0005F" w:rsidRDefault="00000000">
                            <w:pPr>
                              <w:jc w:val="center"/>
                              <w:rPr>
                                <w:b/>
                                <w:bCs/>
                              </w:rPr>
                            </w:pPr>
                            <w:r>
                              <w:rPr>
                                <w:rFonts w:hint="eastAsia"/>
                                <w:b/>
                                <w:bCs/>
                              </w:rPr>
                              <w:t>天然液化单元</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5FCFF593" id="文本框 87" o:spid="_x0000_s1211" type="#_x0000_t202" style="position:absolute;left:0;text-align:left;margin-left:352.2pt;margin-top:19.7pt;width:102pt;height:29pt;z-index:2517160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" fillcolor="white [3201]" strokeweight=".5pt">
                <v:textbox>
                  <w:txbxContent>
                    <w:p w14:paraId="2D2A3E23" w14:textId="77777777" w:rsidR="00B0005F" w:rsidRDefault="00000000">
                      <w:pPr>
                        <w:jc w:val="center"/>
                        <w:rPr>
                          <w:b/>
                          <w:bCs/>
                        </w:rPr>
                      </w:pPr>
                      <w:r>
                        <w:rPr>
                          <w:rFonts w:hint="eastAsia"/>
                          <w:b/>
                          <w:bCs/>
                        </w:rPr>
                        <w:t>天然液化单元</w:t>
                      </w:r>
                    </w:p>
                  </w:txbxContent>
                </v:textbox>
              </v:shape>
            </w:pict>
          </mc:Fallback>
        </mc:AlternateContent>
      </w:r>
    </w:p>
    <w:p w14:paraId="489E8753" w14:textId="77777777" w:rsidR="00B0005F" w:rsidRPr="008A2411" w:rsidRDefault="00B0005F">
      <w:pPr>
        <w:pStyle w:val="WJ3"/>
        <w:snapToGrid/>
        <w:spacing w:line="360" w:lineRule="auto"/>
        <w:jc w:val="center"/>
        <w:outlineLvl w:val="9"/>
        <w:rPr>
          <w:rFonts w:ascii="Times New Roman" w:hAnsi="Times New Roman"/>
          <w:b w:val="0"/>
          <w:color w:val="000000" w:themeColor="text1"/>
          <w:lang w:bidi="ar-SA"/>
        </w:rPr>
      </w:pPr>
    </w:p>
    <w:p w14:paraId="04BA675A" w14:textId="77777777" w:rsidR="00B0005F" w:rsidRPr="008A2411" w:rsidRDefault="00B0005F">
      <w:pPr>
        <w:pStyle w:val="WJ3"/>
        <w:snapToGrid/>
        <w:spacing w:line="360" w:lineRule="auto"/>
        <w:jc w:val="center"/>
        <w:outlineLvl w:val="9"/>
        <w:rPr>
          <w:rFonts w:ascii="Times New Roman" w:hAnsi="Times New Roman"/>
          <w:b w:val="0"/>
          <w:color w:val="000000" w:themeColor="text1"/>
          <w:lang w:bidi="ar-SA"/>
        </w:rPr>
      </w:pPr>
    </w:p>
    <w:p w14:paraId="7E1BA642" w14:textId="77777777" w:rsidR="00B0005F" w:rsidRPr="008A2411" w:rsidRDefault="00B0005F">
      <w:pPr>
        <w:pStyle w:val="WJ3"/>
        <w:snapToGrid/>
        <w:spacing w:line="360" w:lineRule="auto"/>
        <w:jc w:val="center"/>
        <w:outlineLvl w:val="9"/>
        <w:rPr>
          <w:rFonts w:ascii="Times New Roman" w:hAnsi="Times New Roman"/>
          <w:b w:val="0"/>
          <w:color w:val="000000" w:themeColor="text1"/>
          <w:lang w:bidi="ar-SA"/>
        </w:rPr>
      </w:pPr>
    </w:p>
    <w:p w14:paraId="05C62585" w14:textId="77777777" w:rsidR="00B0005F" w:rsidRPr="008A2411" w:rsidRDefault="00B0005F">
      <w:pPr>
        <w:pStyle w:val="WJ3"/>
        <w:snapToGrid/>
        <w:spacing w:line="360" w:lineRule="auto"/>
        <w:jc w:val="center"/>
        <w:outlineLvl w:val="9"/>
        <w:rPr>
          <w:rFonts w:ascii="Times New Roman" w:hAnsi="Times New Roman"/>
          <w:b w:val="0"/>
          <w:color w:val="000000" w:themeColor="text1"/>
          <w:lang w:bidi="ar-SA"/>
        </w:rPr>
      </w:pPr>
    </w:p>
    <w:p w14:paraId="1D9A1664" w14:textId="77777777" w:rsidR="00B0005F" w:rsidRPr="008A2411" w:rsidRDefault="00B0005F">
      <w:pPr>
        <w:pStyle w:val="WJ3"/>
        <w:snapToGrid/>
        <w:spacing w:line="360" w:lineRule="auto"/>
        <w:jc w:val="center"/>
        <w:outlineLvl w:val="9"/>
        <w:rPr>
          <w:rFonts w:ascii="Times New Roman" w:hAnsi="Times New Roman"/>
          <w:b w:val="0"/>
          <w:color w:val="000000" w:themeColor="text1"/>
          <w:lang w:bidi="ar-SA"/>
        </w:rPr>
      </w:pPr>
    </w:p>
    <w:p w14:paraId="3B59C136" w14:textId="77777777" w:rsidR="00B0005F" w:rsidRPr="008A2411" w:rsidRDefault="00B0005F">
      <w:pPr>
        <w:pStyle w:val="WJ3"/>
        <w:snapToGrid/>
        <w:spacing w:line="360" w:lineRule="auto"/>
        <w:jc w:val="center"/>
        <w:outlineLvl w:val="9"/>
        <w:rPr>
          <w:rFonts w:ascii="Times New Roman" w:hAnsi="Times New Roman"/>
          <w:b w:val="0"/>
          <w:color w:val="000000" w:themeColor="text1"/>
          <w:lang w:bidi="ar-SA"/>
        </w:rPr>
      </w:pPr>
    </w:p>
    <w:p w14:paraId="7D560802" w14:textId="77777777" w:rsidR="00B0005F" w:rsidRPr="008A2411" w:rsidRDefault="00B0005F">
      <w:pPr>
        <w:pStyle w:val="WJ3"/>
        <w:snapToGrid/>
        <w:spacing w:line="360" w:lineRule="auto"/>
        <w:jc w:val="center"/>
        <w:outlineLvl w:val="9"/>
        <w:rPr>
          <w:rFonts w:ascii="Times New Roman" w:hAnsi="Times New Roman"/>
          <w:b w:val="0"/>
          <w:color w:val="000000" w:themeColor="text1"/>
          <w:lang w:bidi="ar-SA"/>
        </w:rPr>
      </w:pPr>
    </w:p>
    <w:p w14:paraId="687E3B4C" w14:textId="77777777" w:rsidR="00B0005F" w:rsidRPr="008A2411" w:rsidRDefault="00000000">
      <w:pPr>
        <w:pStyle w:val="WJ3"/>
        <w:snapToGrid/>
        <w:spacing w:line="360" w:lineRule="auto"/>
        <w:jc w:val="center"/>
        <w:outlineLvl w:val="9"/>
        <w:rPr>
          <w:rFonts w:ascii="Times New Roman" w:hAnsi="Times New Roman"/>
          <w:b w:val="0"/>
          <w:color w:val="000000" w:themeColor="text1"/>
          <w:lang w:bidi="ar-SA"/>
        </w:rPr>
      </w:pPr>
      <w:r w:rsidRPr="008A2411">
        <w:rPr>
          <w:noProof/>
          <w:color w:val="000000" w:themeColor="text1"/>
        </w:rPr>
        <mc:AlternateContent>
          <mc:Choice Requires="wps">
            <w:drawing>
              <wp:anchor distT="0" distB="0" distL="114300" distR="114300" simplePos="0" relativeHeight="251740672" behindDoc="0" locked="0" layoutInCell="1" allowOverlap="1" wp14:anchorId="3688DA0F" wp14:editId="3B224CB6">
                <wp:simplePos x="0" y="0"/>
                <wp:positionH relativeFrom="column">
                  <wp:posOffset>534670</wp:posOffset>
                </wp:positionH>
                <wp:positionV relativeFrom="paragraph">
                  <wp:posOffset>330835</wp:posOffset>
                </wp:positionV>
                <wp:extent cx="1158240" cy="0"/>
                <wp:effectExtent l="0" t="0" r="0" b="0"/>
                <wp:wrapNone/>
                <wp:docPr id="132" name="直接连接符 132"/>
                <wp:cNvGraphicFramePr/>
                <a:graphic xmlns:a="http://schemas.openxmlformats.org/drawingml/2006/main">
                  <a:graphicData uri="http://schemas.microsoft.com/office/word/2010/wordprocessingShape">
                    <wps:wsp>
                      <wps:cNvCnPr/>
                      <wps:spPr>
                        <a:xfrm flipH="1">
                          <a:off x="1677670" y="8745855"/>
                          <a:ext cx="1158240" cy="0"/>
                        </a:xfrm>
                        <a:prstGeom prst="line">
                          <a:avLst/>
                        </a:prstGeom>
                        <a:ln w="12700">
                          <a:solidFill>
                            <a:schemeClr val="tx1"/>
                          </a:solidFill>
                          <a:prstDash val="dashDot"/>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FEC7116" id="直接连接符 132" o:spid="_x0000_s1026" style="position:absolute;left:0;text-align:left;flip:x;z-index:251740672;visibility:visible;mso-wrap-style:square;mso-wrap-distance-left:9pt;mso-wrap-distance-top:0;mso-wrap-distance-right:9pt;mso-wrap-distance-bottom:0;mso-position-horizontal:absolute;mso-position-horizontal-relative:text;mso-position-vertical:absolute;mso-position-vertical-relative:text" from="42.1pt,26.05pt" to="133.3pt,2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" strokecolor="black [3213]" strokeweight="1pt">
                <v:stroke dashstyle="dashDot"/>
              </v:line>
            </w:pict>
          </mc:Fallback>
        </mc:AlternateContent>
      </w:r>
    </w:p>
    <w:p w14:paraId="4DB5B524" w14:textId="77777777" w:rsidR="00B0005F" w:rsidRPr="008A2411" w:rsidRDefault="00B0005F">
      <w:pPr>
        <w:pStyle w:val="WJ3"/>
        <w:snapToGrid/>
        <w:spacing w:line="360" w:lineRule="auto"/>
        <w:jc w:val="center"/>
        <w:outlineLvl w:val="9"/>
        <w:rPr>
          <w:rFonts w:ascii="Times New Roman" w:hAnsi="Times New Roman"/>
          <w:b w:val="0"/>
          <w:color w:val="000000" w:themeColor="text1"/>
          <w:lang w:bidi="ar-SA"/>
        </w:rPr>
      </w:pPr>
    </w:p>
    <w:p w14:paraId="4EF2FA72" w14:textId="77777777" w:rsidR="00B0005F" w:rsidRPr="008A2411" w:rsidRDefault="00B0005F">
      <w:pPr>
        <w:pStyle w:val="WJ3"/>
        <w:snapToGrid/>
        <w:spacing w:line="360" w:lineRule="auto"/>
        <w:jc w:val="center"/>
        <w:outlineLvl w:val="9"/>
        <w:rPr>
          <w:rFonts w:ascii="Times New Roman" w:hAnsi="Times New Roman"/>
          <w:b w:val="0"/>
          <w:color w:val="000000" w:themeColor="text1"/>
          <w:lang w:bidi="ar-SA"/>
        </w:rPr>
      </w:pPr>
    </w:p>
    <w:p w14:paraId="5A7ED57C" w14:textId="77777777" w:rsidR="00B0005F" w:rsidRPr="008A2411" w:rsidRDefault="00000000">
      <w:pPr>
        <w:pStyle w:val="WJ3"/>
        <w:snapToGrid/>
        <w:spacing w:line="360" w:lineRule="auto"/>
        <w:jc w:val="center"/>
        <w:outlineLvl w:val="9"/>
        <w:rPr>
          <w:rFonts w:ascii="Times New Roman" w:hAnsi="Times New Roman"/>
          <w:b w:val="0"/>
          <w:color w:val="000000" w:themeColor="text1"/>
          <w:lang w:bidi="ar-SA"/>
        </w:rPr>
      </w:pPr>
      <w:r w:rsidRPr="008A2411">
        <w:rPr>
          <w:rFonts w:ascii="Times New Roman" w:hAnsi="Times New Roman"/>
          <w:b w:val="0"/>
          <w:color w:val="000000" w:themeColor="text1"/>
          <w:lang w:bidi="ar-SA"/>
        </w:rPr>
        <w:t>图</w:t>
      </w:r>
      <w:r w:rsidRPr="008A2411">
        <w:rPr>
          <w:rFonts w:ascii="Times New Roman" w:hAnsi="Times New Roman"/>
          <w:b w:val="0"/>
          <w:color w:val="000000" w:themeColor="text1"/>
          <w:lang w:bidi="ar-SA"/>
        </w:rPr>
        <w:t xml:space="preserve">3.2-5  </w:t>
      </w:r>
      <w:r w:rsidRPr="008A2411">
        <w:rPr>
          <w:rFonts w:ascii="Times New Roman" w:hAnsi="Times New Roman"/>
          <w:b w:val="0"/>
          <w:color w:val="000000" w:themeColor="text1"/>
          <w:lang w:bidi="ar-SA"/>
        </w:rPr>
        <w:t>项目生产工艺流程</w:t>
      </w:r>
      <w:proofErr w:type="gramStart"/>
      <w:r w:rsidRPr="008A2411">
        <w:rPr>
          <w:rFonts w:ascii="Times New Roman" w:hAnsi="Times New Roman"/>
          <w:b w:val="0"/>
          <w:color w:val="000000" w:themeColor="text1"/>
          <w:lang w:bidi="ar-SA"/>
        </w:rPr>
        <w:t>及产污位置图</w:t>
      </w:r>
      <w:proofErr w:type="gramEnd"/>
    </w:p>
    <w:p w14:paraId="3AC9F464" w14:textId="77777777" w:rsidR="00B0005F" w:rsidRPr="008A2411" w:rsidRDefault="00000000">
      <w:pPr>
        <w:pStyle w:val="WJ3"/>
        <w:spacing w:line="360" w:lineRule="auto"/>
        <w:outlineLvl w:val="9"/>
        <w:rPr>
          <w:rFonts w:ascii="Times New Roman" w:hAnsi="Times New Roman"/>
          <w:color w:val="000000" w:themeColor="text1"/>
        </w:rPr>
      </w:pPr>
      <w:bookmarkStart w:id="208" w:name="_Toc422906839"/>
      <w:bookmarkEnd w:id="203"/>
      <w:r w:rsidRPr="008A2411">
        <w:rPr>
          <w:rFonts w:ascii="Times New Roman" w:hAnsi="Times New Roman"/>
          <w:color w:val="000000" w:themeColor="text1"/>
        </w:rPr>
        <w:lastRenderedPageBreak/>
        <w:t>6</w:t>
      </w:r>
      <w:r w:rsidRPr="008A2411">
        <w:rPr>
          <w:rFonts w:ascii="Times New Roman" w:hAnsi="Times New Roman"/>
          <w:color w:val="000000" w:themeColor="text1"/>
        </w:rPr>
        <w:t>、物料平衡及水平衡</w:t>
      </w:r>
    </w:p>
    <w:p w14:paraId="70B1609D" w14:textId="77777777" w:rsidR="00B0005F" w:rsidRPr="008A2411" w:rsidRDefault="00000000">
      <w:pPr>
        <w:pStyle w:val="WJ3"/>
        <w:spacing w:line="360" w:lineRule="auto"/>
        <w:outlineLvl w:val="9"/>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1</w:t>
      </w:r>
      <w:r w:rsidRPr="008A2411">
        <w:rPr>
          <w:rFonts w:ascii="Times New Roman" w:hAnsi="Times New Roman"/>
          <w:color w:val="000000" w:themeColor="text1"/>
        </w:rPr>
        <w:t>）总物料平衡</w:t>
      </w:r>
    </w:p>
    <w:p w14:paraId="71A92AFE" w14:textId="77777777" w:rsidR="00B0005F" w:rsidRPr="008A2411" w:rsidRDefault="00000000">
      <w:pPr>
        <w:adjustRightInd w:val="0"/>
        <w:snapToGrid w:val="0"/>
        <w:spacing w:line="360" w:lineRule="auto"/>
        <w:ind w:firstLineChars="200" w:firstLine="480"/>
        <w:rPr>
          <w:rFonts w:ascii="Times New Roman"/>
          <w:color w:val="000000" w:themeColor="text1"/>
        </w:rPr>
      </w:pPr>
      <w:r w:rsidRPr="008A2411">
        <w:rPr>
          <w:rFonts w:ascii="Times New Roman"/>
          <w:color w:val="000000" w:themeColor="text1"/>
        </w:rPr>
        <w:t>本项目年处理天然气</w:t>
      </w:r>
      <w:r w:rsidRPr="008A2411">
        <w:rPr>
          <w:rFonts w:ascii="Times New Roman"/>
          <w:color w:val="000000" w:themeColor="text1"/>
        </w:rPr>
        <w:t>3.</w:t>
      </w:r>
      <w:r w:rsidRPr="008A2411">
        <w:rPr>
          <w:rFonts w:ascii="Times New Roman" w:hint="eastAsia"/>
          <w:color w:val="000000" w:themeColor="text1"/>
        </w:rPr>
        <w:t>3315</w:t>
      </w:r>
      <w:r w:rsidRPr="008A2411">
        <w:rPr>
          <w:rFonts w:ascii="Times New Roman"/>
          <w:color w:val="000000" w:themeColor="text1"/>
        </w:rPr>
        <w:t>×10</w:t>
      </w:r>
      <w:r w:rsidRPr="008A2411">
        <w:rPr>
          <w:rFonts w:ascii="Times New Roman"/>
          <w:color w:val="000000" w:themeColor="text1"/>
          <w:vertAlign w:val="superscript"/>
        </w:rPr>
        <w:t>8</w:t>
      </w:r>
      <w:r w:rsidRPr="008A2411">
        <w:rPr>
          <w:rFonts w:ascii="Times New Roman"/>
          <w:color w:val="000000" w:themeColor="text1"/>
        </w:rPr>
        <w:t>Nm</w:t>
      </w:r>
      <w:r w:rsidRPr="008A2411">
        <w:rPr>
          <w:rFonts w:ascii="Times New Roman"/>
          <w:color w:val="000000" w:themeColor="text1"/>
          <w:vertAlign w:val="superscript"/>
        </w:rPr>
        <w:t>3</w:t>
      </w:r>
      <w:r w:rsidRPr="008A2411">
        <w:rPr>
          <w:rFonts w:ascii="Times New Roman"/>
          <w:color w:val="000000" w:themeColor="text1"/>
        </w:rPr>
        <w:t>，得</w:t>
      </w:r>
      <w:r w:rsidRPr="008A2411">
        <w:rPr>
          <w:rFonts w:ascii="Times New Roman" w:hint="eastAsia"/>
          <w:color w:val="000000" w:themeColor="text1"/>
        </w:rPr>
        <w:t>到约</w:t>
      </w:r>
      <w:r w:rsidRPr="008A2411">
        <w:rPr>
          <w:rFonts w:ascii="Times New Roman"/>
          <w:color w:val="000000" w:themeColor="text1"/>
        </w:rPr>
        <w:t>23</w:t>
      </w:r>
      <w:r w:rsidRPr="008A2411">
        <w:rPr>
          <w:rFonts w:ascii="Times New Roman"/>
          <w:color w:val="000000" w:themeColor="text1"/>
        </w:rPr>
        <w:t>万吨液化</w:t>
      </w:r>
      <w:r w:rsidRPr="008A2411">
        <w:rPr>
          <w:rFonts w:ascii="Times New Roman"/>
          <w:color w:val="000000" w:themeColor="text1"/>
        </w:rPr>
        <w:t>LNG</w:t>
      </w:r>
      <w:r w:rsidRPr="008A2411">
        <w:rPr>
          <w:rFonts w:ascii="Times New Roman"/>
          <w:color w:val="000000" w:themeColor="text1"/>
        </w:rPr>
        <w:t>产品。</w:t>
      </w:r>
    </w:p>
    <w:p w14:paraId="01E3412C" w14:textId="77777777" w:rsidR="00B0005F" w:rsidRPr="008A2411" w:rsidRDefault="00000000">
      <w:pPr>
        <w:jc w:val="center"/>
        <w:rPr>
          <w:rFonts w:ascii="Times New Roman" w:eastAsia="黑体"/>
          <w:color w:val="000000" w:themeColor="text1"/>
          <w:sz w:val="21"/>
          <w:szCs w:val="21"/>
        </w:rPr>
      </w:pPr>
      <w:r w:rsidRPr="008A2411">
        <w:rPr>
          <w:rFonts w:ascii="Times New Roman" w:eastAsia="黑体"/>
          <w:color w:val="000000" w:themeColor="text1"/>
          <w:sz w:val="21"/>
          <w:szCs w:val="21"/>
        </w:rPr>
        <w:t>表</w:t>
      </w:r>
      <w:r w:rsidRPr="008A2411">
        <w:rPr>
          <w:rFonts w:ascii="Times New Roman" w:eastAsia="黑体"/>
          <w:color w:val="000000" w:themeColor="text1"/>
          <w:sz w:val="21"/>
          <w:szCs w:val="21"/>
        </w:rPr>
        <w:t xml:space="preserve">3.2-8  </w:t>
      </w:r>
      <w:r w:rsidRPr="008A2411">
        <w:rPr>
          <w:rFonts w:ascii="Times New Roman" w:eastAsia="黑体"/>
          <w:color w:val="000000" w:themeColor="text1"/>
          <w:sz w:val="21"/>
          <w:szCs w:val="21"/>
        </w:rPr>
        <w:t>项目总物料平衡分析</w:t>
      </w:r>
    </w:p>
    <w:tbl>
      <w:tblPr>
        <w:tblW w:w="4998" w:type="pct"/>
        <w:tblLayout w:type="fixed"/>
        <w:tblLook w:val="04A0" w:firstRow="1" w:lastRow="0" w:firstColumn="1" w:lastColumn="0" w:noHBand="0" w:noVBand="1"/>
      </w:tblPr>
      <w:tblGrid>
        <w:gridCol w:w="1119"/>
        <w:gridCol w:w="1225"/>
        <w:gridCol w:w="1150"/>
        <w:gridCol w:w="2036"/>
        <w:gridCol w:w="1065"/>
        <w:gridCol w:w="1924"/>
      </w:tblGrid>
      <w:tr w:rsidR="008A2411" w:rsidRPr="008A2411" w14:paraId="30BEE024" w14:textId="77777777">
        <w:trPr>
          <w:trHeight w:val="303"/>
        </w:trPr>
        <w:tc>
          <w:tcPr>
            <w:tcW w:w="2050" w:type="pct"/>
            <w:gridSpan w:val="3"/>
            <w:tcBorders>
              <w:top w:val="single" w:sz="8" w:space="0" w:color="000000"/>
              <w:left w:val="single" w:sz="8" w:space="0" w:color="000000"/>
              <w:bottom w:val="single" w:sz="8" w:space="0" w:color="000000"/>
              <w:right w:val="single" w:sz="8" w:space="0" w:color="000000"/>
            </w:tcBorders>
            <w:shd w:val="clear" w:color="auto" w:fill="auto"/>
            <w:vAlign w:val="center"/>
          </w:tcPr>
          <w:p w14:paraId="0647E1DF" w14:textId="77777777" w:rsidR="00B0005F" w:rsidRPr="008A2411" w:rsidRDefault="00000000">
            <w:pPr>
              <w:widowControl/>
              <w:jc w:val="center"/>
              <w:textAlignment w:val="top"/>
              <w:rPr>
                <w:rFonts w:ascii="Times New Roman"/>
                <w:b/>
                <w:bCs/>
                <w:color w:val="000000" w:themeColor="text1"/>
                <w:sz w:val="21"/>
                <w:szCs w:val="21"/>
              </w:rPr>
            </w:pPr>
            <w:r w:rsidRPr="008A2411">
              <w:rPr>
                <w:rFonts w:ascii="Times New Roman"/>
                <w:b/>
                <w:bCs/>
                <w:color w:val="000000" w:themeColor="text1"/>
                <w:sz w:val="21"/>
                <w:szCs w:val="21"/>
                <w:lang w:bidi="ar"/>
              </w:rPr>
              <w:t>投入（</w:t>
            </w:r>
            <w:r w:rsidRPr="008A2411">
              <w:rPr>
                <w:rFonts w:ascii="Times New Roman"/>
                <w:b/>
                <w:bCs/>
                <w:color w:val="000000" w:themeColor="text1"/>
                <w:sz w:val="21"/>
                <w:szCs w:val="21"/>
                <w:lang w:bidi="ar"/>
              </w:rPr>
              <w:t>kg/h</w:t>
            </w:r>
            <w:r w:rsidRPr="008A2411">
              <w:rPr>
                <w:rFonts w:ascii="Times New Roman"/>
                <w:b/>
                <w:bCs/>
                <w:color w:val="000000" w:themeColor="text1"/>
                <w:sz w:val="21"/>
                <w:szCs w:val="21"/>
                <w:lang w:bidi="ar"/>
              </w:rPr>
              <w:t>）</w:t>
            </w:r>
          </w:p>
        </w:tc>
        <w:tc>
          <w:tcPr>
            <w:tcW w:w="2949" w:type="pct"/>
            <w:gridSpan w:val="3"/>
            <w:tcBorders>
              <w:top w:val="single" w:sz="8" w:space="0" w:color="000000"/>
              <w:left w:val="single" w:sz="8" w:space="0" w:color="000000"/>
              <w:bottom w:val="single" w:sz="8" w:space="0" w:color="000000"/>
              <w:right w:val="single" w:sz="8" w:space="0" w:color="000000"/>
            </w:tcBorders>
            <w:shd w:val="clear" w:color="auto" w:fill="auto"/>
            <w:vAlign w:val="center"/>
          </w:tcPr>
          <w:p w14:paraId="0EB0D3ED" w14:textId="77777777" w:rsidR="00B0005F" w:rsidRPr="008A2411" w:rsidRDefault="00000000">
            <w:pPr>
              <w:widowControl/>
              <w:jc w:val="center"/>
              <w:textAlignment w:val="top"/>
              <w:rPr>
                <w:rFonts w:ascii="Times New Roman"/>
                <w:b/>
                <w:bCs/>
                <w:color w:val="000000" w:themeColor="text1"/>
                <w:sz w:val="21"/>
                <w:szCs w:val="21"/>
              </w:rPr>
            </w:pPr>
            <w:r w:rsidRPr="008A2411">
              <w:rPr>
                <w:rFonts w:ascii="Times New Roman"/>
                <w:b/>
                <w:bCs/>
                <w:color w:val="000000" w:themeColor="text1"/>
                <w:sz w:val="21"/>
                <w:szCs w:val="21"/>
                <w:lang w:bidi="ar"/>
              </w:rPr>
              <w:t>产出（</w:t>
            </w:r>
            <w:r w:rsidRPr="008A2411">
              <w:rPr>
                <w:rFonts w:ascii="Times New Roman"/>
                <w:b/>
                <w:bCs/>
                <w:color w:val="000000" w:themeColor="text1"/>
                <w:sz w:val="21"/>
                <w:szCs w:val="21"/>
                <w:lang w:bidi="ar"/>
              </w:rPr>
              <w:t>kg/h</w:t>
            </w:r>
            <w:r w:rsidRPr="008A2411">
              <w:rPr>
                <w:rFonts w:ascii="Times New Roman"/>
                <w:b/>
                <w:bCs/>
                <w:color w:val="000000" w:themeColor="text1"/>
                <w:sz w:val="21"/>
                <w:szCs w:val="21"/>
                <w:lang w:bidi="ar"/>
              </w:rPr>
              <w:t>）</w:t>
            </w:r>
          </w:p>
        </w:tc>
      </w:tr>
      <w:tr w:rsidR="008A2411" w:rsidRPr="008A2411" w14:paraId="54B7C66E" w14:textId="77777777">
        <w:trPr>
          <w:trHeight w:val="303"/>
        </w:trPr>
        <w:tc>
          <w:tcPr>
            <w:tcW w:w="656" w:type="pct"/>
            <w:tcBorders>
              <w:top w:val="nil"/>
              <w:left w:val="single" w:sz="8" w:space="0" w:color="000000"/>
              <w:bottom w:val="single" w:sz="8" w:space="0" w:color="000000"/>
              <w:right w:val="single" w:sz="8" w:space="0" w:color="000000"/>
            </w:tcBorders>
            <w:shd w:val="clear" w:color="auto" w:fill="auto"/>
            <w:vAlign w:val="center"/>
          </w:tcPr>
          <w:p w14:paraId="25A98063" w14:textId="77777777" w:rsidR="00B0005F" w:rsidRPr="008A2411" w:rsidRDefault="00000000">
            <w:pPr>
              <w:widowControl/>
              <w:jc w:val="center"/>
              <w:textAlignment w:val="top"/>
              <w:rPr>
                <w:rFonts w:ascii="Times New Roman"/>
                <w:b/>
                <w:bCs/>
                <w:color w:val="000000" w:themeColor="text1"/>
                <w:sz w:val="21"/>
                <w:szCs w:val="21"/>
              </w:rPr>
            </w:pPr>
            <w:r w:rsidRPr="008A2411">
              <w:rPr>
                <w:rFonts w:ascii="Times New Roman"/>
                <w:b/>
                <w:bCs/>
                <w:color w:val="000000" w:themeColor="text1"/>
                <w:sz w:val="21"/>
                <w:szCs w:val="21"/>
                <w:lang w:bidi="ar"/>
              </w:rPr>
              <w:t>类别</w:t>
            </w:r>
          </w:p>
        </w:tc>
        <w:tc>
          <w:tcPr>
            <w:tcW w:w="718" w:type="pct"/>
            <w:tcBorders>
              <w:top w:val="nil"/>
              <w:left w:val="single" w:sz="8" w:space="0" w:color="000000"/>
              <w:bottom w:val="single" w:sz="8" w:space="0" w:color="000000"/>
              <w:right w:val="single" w:sz="8" w:space="0" w:color="000000"/>
            </w:tcBorders>
            <w:shd w:val="clear" w:color="auto" w:fill="auto"/>
            <w:vAlign w:val="center"/>
          </w:tcPr>
          <w:p w14:paraId="72AF13BE" w14:textId="77777777" w:rsidR="00B0005F" w:rsidRPr="008A2411" w:rsidRDefault="00000000">
            <w:pPr>
              <w:widowControl/>
              <w:jc w:val="center"/>
              <w:textAlignment w:val="top"/>
              <w:rPr>
                <w:rFonts w:ascii="Times New Roman"/>
                <w:b/>
                <w:bCs/>
                <w:color w:val="000000" w:themeColor="text1"/>
                <w:sz w:val="21"/>
                <w:szCs w:val="21"/>
              </w:rPr>
            </w:pPr>
            <w:r w:rsidRPr="008A2411">
              <w:rPr>
                <w:rFonts w:ascii="Times New Roman"/>
                <w:b/>
                <w:bCs/>
                <w:color w:val="000000" w:themeColor="text1"/>
                <w:sz w:val="21"/>
                <w:szCs w:val="21"/>
                <w:lang w:bidi="ar"/>
              </w:rPr>
              <w:t>物料名称</w:t>
            </w:r>
          </w:p>
        </w:tc>
        <w:tc>
          <w:tcPr>
            <w:tcW w:w="674" w:type="pct"/>
            <w:tcBorders>
              <w:top w:val="single" w:sz="8" w:space="0" w:color="000000"/>
              <w:left w:val="single" w:sz="8" w:space="0" w:color="000000"/>
              <w:bottom w:val="single" w:sz="8" w:space="0" w:color="000000"/>
              <w:right w:val="single" w:sz="8" w:space="0" w:color="000000"/>
            </w:tcBorders>
            <w:shd w:val="clear" w:color="auto" w:fill="auto"/>
            <w:vAlign w:val="center"/>
          </w:tcPr>
          <w:p w14:paraId="419543F1" w14:textId="77777777" w:rsidR="00B0005F" w:rsidRPr="008A2411" w:rsidRDefault="00000000">
            <w:pPr>
              <w:widowControl/>
              <w:jc w:val="center"/>
              <w:textAlignment w:val="top"/>
              <w:rPr>
                <w:rFonts w:ascii="Times New Roman"/>
                <w:b/>
                <w:bCs/>
                <w:color w:val="000000" w:themeColor="text1"/>
                <w:sz w:val="21"/>
                <w:szCs w:val="21"/>
              </w:rPr>
            </w:pPr>
            <w:r w:rsidRPr="008A2411">
              <w:rPr>
                <w:rFonts w:ascii="Times New Roman"/>
                <w:b/>
                <w:bCs/>
                <w:color w:val="000000" w:themeColor="text1"/>
                <w:sz w:val="21"/>
                <w:szCs w:val="21"/>
                <w:lang w:bidi="ar"/>
              </w:rPr>
              <w:t>数量</w:t>
            </w:r>
          </w:p>
        </w:tc>
        <w:tc>
          <w:tcPr>
            <w:tcW w:w="1195" w:type="pct"/>
            <w:tcBorders>
              <w:top w:val="single" w:sz="8" w:space="0" w:color="000000"/>
              <w:left w:val="single" w:sz="8" w:space="0" w:color="000000"/>
              <w:bottom w:val="single" w:sz="8" w:space="0" w:color="000000"/>
              <w:right w:val="single" w:sz="8" w:space="0" w:color="000000"/>
            </w:tcBorders>
            <w:shd w:val="clear" w:color="auto" w:fill="auto"/>
            <w:vAlign w:val="center"/>
          </w:tcPr>
          <w:p w14:paraId="165C439A" w14:textId="77777777" w:rsidR="00B0005F" w:rsidRPr="008A2411" w:rsidRDefault="00000000">
            <w:pPr>
              <w:widowControl/>
              <w:jc w:val="center"/>
              <w:textAlignment w:val="top"/>
              <w:rPr>
                <w:rFonts w:ascii="Times New Roman"/>
                <w:b/>
                <w:bCs/>
                <w:color w:val="000000" w:themeColor="text1"/>
                <w:sz w:val="21"/>
                <w:szCs w:val="21"/>
              </w:rPr>
            </w:pPr>
            <w:r w:rsidRPr="008A2411">
              <w:rPr>
                <w:rFonts w:ascii="Times New Roman"/>
                <w:b/>
                <w:bCs/>
                <w:color w:val="000000" w:themeColor="text1"/>
                <w:sz w:val="21"/>
                <w:szCs w:val="21"/>
                <w:lang w:bidi="ar"/>
              </w:rPr>
              <w:t>物料名称</w:t>
            </w:r>
          </w:p>
        </w:tc>
        <w:tc>
          <w:tcPr>
            <w:tcW w:w="625" w:type="pct"/>
            <w:tcBorders>
              <w:top w:val="single" w:sz="8" w:space="0" w:color="000000"/>
              <w:left w:val="single" w:sz="8" w:space="0" w:color="000000"/>
              <w:bottom w:val="single" w:sz="8" w:space="0" w:color="000000"/>
              <w:right w:val="single" w:sz="8" w:space="0" w:color="000000"/>
            </w:tcBorders>
            <w:shd w:val="clear" w:color="auto" w:fill="auto"/>
            <w:vAlign w:val="center"/>
          </w:tcPr>
          <w:p w14:paraId="6C9A369F" w14:textId="77777777" w:rsidR="00B0005F" w:rsidRPr="008A2411" w:rsidRDefault="00000000">
            <w:pPr>
              <w:widowControl/>
              <w:jc w:val="center"/>
              <w:textAlignment w:val="top"/>
              <w:rPr>
                <w:rFonts w:ascii="Times New Roman"/>
                <w:b/>
                <w:bCs/>
                <w:color w:val="000000" w:themeColor="text1"/>
                <w:sz w:val="21"/>
                <w:szCs w:val="21"/>
              </w:rPr>
            </w:pPr>
            <w:r w:rsidRPr="008A2411">
              <w:rPr>
                <w:rFonts w:ascii="Times New Roman"/>
                <w:b/>
                <w:bCs/>
                <w:color w:val="000000" w:themeColor="text1"/>
                <w:sz w:val="21"/>
                <w:szCs w:val="21"/>
                <w:lang w:bidi="ar"/>
              </w:rPr>
              <w:t>数量</w:t>
            </w:r>
          </w:p>
        </w:tc>
        <w:tc>
          <w:tcPr>
            <w:tcW w:w="1128" w:type="pct"/>
            <w:tcBorders>
              <w:top w:val="single" w:sz="8" w:space="0" w:color="000000"/>
              <w:left w:val="single" w:sz="8" w:space="0" w:color="000000"/>
              <w:bottom w:val="single" w:sz="8" w:space="0" w:color="000000"/>
              <w:right w:val="single" w:sz="8" w:space="0" w:color="000000"/>
            </w:tcBorders>
            <w:shd w:val="clear" w:color="auto" w:fill="auto"/>
            <w:vAlign w:val="center"/>
          </w:tcPr>
          <w:p w14:paraId="732E5D22" w14:textId="77777777" w:rsidR="00B0005F" w:rsidRPr="008A2411" w:rsidRDefault="00000000">
            <w:pPr>
              <w:widowControl/>
              <w:jc w:val="center"/>
              <w:textAlignment w:val="top"/>
              <w:rPr>
                <w:rFonts w:ascii="Times New Roman"/>
                <w:b/>
                <w:bCs/>
                <w:color w:val="000000" w:themeColor="text1"/>
                <w:sz w:val="21"/>
                <w:szCs w:val="21"/>
              </w:rPr>
            </w:pPr>
            <w:r w:rsidRPr="008A2411">
              <w:rPr>
                <w:rFonts w:ascii="Times New Roman"/>
                <w:b/>
                <w:bCs/>
                <w:color w:val="000000" w:themeColor="text1"/>
                <w:sz w:val="21"/>
                <w:szCs w:val="21"/>
                <w:lang w:bidi="ar"/>
              </w:rPr>
              <w:t>去向</w:t>
            </w:r>
          </w:p>
        </w:tc>
      </w:tr>
      <w:tr w:rsidR="008A2411" w:rsidRPr="008A2411" w14:paraId="44178DD4" w14:textId="77777777">
        <w:trPr>
          <w:trHeight w:val="303"/>
        </w:trPr>
        <w:tc>
          <w:tcPr>
            <w:tcW w:w="656" w:type="pct"/>
            <w:tcBorders>
              <w:top w:val="nil"/>
              <w:left w:val="single" w:sz="8" w:space="0" w:color="000000"/>
              <w:bottom w:val="single" w:sz="4" w:space="0" w:color="auto"/>
              <w:right w:val="single" w:sz="8" w:space="0" w:color="000000"/>
            </w:tcBorders>
            <w:shd w:val="clear" w:color="auto" w:fill="auto"/>
            <w:vAlign w:val="center"/>
          </w:tcPr>
          <w:p w14:paraId="29444526"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原料</w:t>
            </w:r>
          </w:p>
        </w:tc>
        <w:tc>
          <w:tcPr>
            <w:tcW w:w="718" w:type="pct"/>
            <w:tcBorders>
              <w:top w:val="nil"/>
              <w:left w:val="single" w:sz="8" w:space="0" w:color="000000"/>
              <w:bottom w:val="single" w:sz="4" w:space="0" w:color="auto"/>
              <w:right w:val="single" w:sz="8" w:space="0" w:color="000000"/>
            </w:tcBorders>
            <w:shd w:val="clear" w:color="auto" w:fill="auto"/>
            <w:vAlign w:val="center"/>
          </w:tcPr>
          <w:p w14:paraId="3B1D9ED1"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原料气</w:t>
            </w:r>
          </w:p>
        </w:tc>
        <w:tc>
          <w:tcPr>
            <w:tcW w:w="674" w:type="pct"/>
            <w:tcBorders>
              <w:top w:val="nil"/>
              <w:left w:val="single" w:sz="8" w:space="0" w:color="000000"/>
              <w:bottom w:val="single" w:sz="8" w:space="0" w:color="000000"/>
              <w:right w:val="single" w:sz="8" w:space="0" w:color="000000"/>
            </w:tcBorders>
            <w:shd w:val="clear" w:color="auto" w:fill="auto"/>
            <w:vAlign w:val="center"/>
          </w:tcPr>
          <w:p w14:paraId="7A6293DC"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28999.6</w:t>
            </w:r>
          </w:p>
        </w:tc>
        <w:tc>
          <w:tcPr>
            <w:tcW w:w="1195" w:type="pct"/>
            <w:tcBorders>
              <w:top w:val="nil"/>
              <w:left w:val="single" w:sz="8" w:space="0" w:color="000000"/>
              <w:bottom w:val="single" w:sz="8" w:space="0" w:color="000000"/>
              <w:right w:val="single" w:sz="8" w:space="0" w:color="000000"/>
            </w:tcBorders>
            <w:shd w:val="clear" w:color="auto" w:fill="auto"/>
            <w:vAlign w:val="center"/>
          </w:tcPr>
          <w:p w14:paraId="32CF5A41" w14:textId="77777777" w:rsidR="00B0005F" w:rsidRPr="008A2411" w:rsidRDefault="00000000">
            <w:pPr>
              <w:widowControl/>
              <w:jc w:val="center"/>
              <w:textAlignment w:val="top"/>
              <w:rPr>
                <w:rFonts w:ascii="Times New Roman"/>
                <w:color w:val="000000" w:themeColor="text1"/>
                <w:sz w:val="21"/>
                <w:szCs w:val="21"/>
              </w:rPr>
            </w:pPr>
            <w:r w:rsidRPr="008A2411">
              <w:rPr>
                <w:rFonts w:ascii="Times New Roman"/>
                <w:color w:val="000000" w:themeColor="text1"/>
                <w:sz w:val="21"/>
                <w:szCs w:val="21"/>
                <w:lang w:bidi="ar"/>
              </w:rPr>
              <w:t>原料气分离水</w:t>
            </w:r>
          </w:p>
        </w:tc>
        <w:tc>
          <w:tcPr>
            <w:tcW w:w="625" w:type="pct"/>
            <w:tcBorders>
              <w:top w:val="nil"/>
              <w:left w:val="single" w:sz="8" w:space="0" w:color="000000"/>
              <w:bottom w:val="single" w:sz="8" w:space="0" w:color="000000"/>
              <w:right w:val="single" w:sz="8" w:space="0" w:color="000000"/>
            </w:tcBorders>
            <w:shd w:val="clear" w:color="auto" w:fill="auto"/>
            <w:vAlign w:val="center"/>
          </w:tcPr>
          <w:p w14:paraId="57C648DA"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8.33</w:t>
            </w:r>
          </w:p>
        </w:tc>
        <w:tc>
          <w:tcPr>
            <w:tcW w:w="1128" w:type="pct"/>
            <w:tcBorders>
              <w:top w:val="nil"/>
              <w:left w:val="single" w:sz="8" w:space="0" w:color="000000"/>
              <w:bottom w:val="single" w:sz="8" w:space="0" w:color="000000"/>
              <w:right w:val="single" w:sz="8" w:space="0" w:color="000000"/>
            </w:tcBorders>
            <w:shd w:val="clear" w:color="auto" w:fill="auto"/>
            <w:vAlign w:val="center"/>
          </w:tcPr>
          <w:p w14:paraId="6CE5B9D8" w14:textId="77777777" w:rsidR="00B0005F" w:rsidRPr="008A2411" w:rsidRDefault="00000000">
            <w:pPr>
              <w:widowControl/>
              <w:jc w:val="center"/>
              <w:textAlignment w:val="top"/>
              <w:rPr>
                <w:rFonts w:ascii="Times New Roman"/>
                <w:color w:val="000000" w:themeColor="text1"/>
                <w:sz w:val="21"/>
                <w:szCs w:val="21"/>
              </w:rPr>
            </w:pPr>
            <w:r w:rsidRPr="008A2411">
              <w:rPr>
                <w:rFonts w:ascii="Times New Roman"/>
                <w:color w:val="000000" w:themeColor="text1"/>
                <w:sz w:val="21"/>
                <w:szCs w:val="21"/>
                <w:lang w:bidi="ar"/>
              </w:rPr>
              <w:t>污水预处理系统</w:t>
            </w:r>
          </w:p>
        </w:tc>
      </w:tr>
      <w:tr w:rsidR="008A2411" w:rsidRPr="008A2411" w14:paraId="34BF6EAB" w14:textId="77777777">
        <w:trPr>
          <w:trHeight w:val="303"/>
        </w:trPr>
        <w:tc>
          <w:tcPr>
            <w:tcW w:w="656" w:type="pct"/>
            <w:tcBorders>
              <w:top w:val="single" w:sz="4" w:space="0" w:color="auto"/>
              <w:left w:val="single" w:sz="8" w:space="0" w:color="000000"/>
              <w:bottom w:val="single" w:sz="4" w:space="0" w:color="auto"/>
              <w:right w:val="single" w:sz="8" w:space="0" w:color="000000"/>
            </w:tcBorders>
            <w:shd w:val="clear" w:color="auto" w:fill="auto"/>
            <w:vAlign w:val="center"/>
          </w:tcPr>
          <w:p w14:paraId="56A8C95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辅料</w:t>
            </w:r>
          </w:p>
        </w:tc>
        <w:tc>
          <w:tcPr>
            <w:tcW w:w="718" w:type="pct"/>
            <w:tcBorders>
              <w:top w:val="single" w:sz="4" w:space="0" w:color="auto"/>
              <w:left w:val="single" w:sz="8" w:space="0" w:color="000000"/>
              <w:bottom w:val="single" w:sz="4" w:space="0" w:color="auto"/>
              <w:right w:val="single" w:sz="8" w:space="0" w:color="000000"/>
            </w:tcBorders>
            <w:shd w:val="clear" w:color="auto" w:fill="auto"/>
            <w:vAlign w:val="center"/>
          </w:tcPr>
          <w:p w14:paraId="24401752"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MDEA</w:t>
            </w:r>
          </w:p>
        </w:tc>
        <w:tc>
          <w:tcPr>
            <w:tcW w:w="674" w:type="pct"/>
            <w:tcBorders>
              <w:top w:val="nil"/>
              <w:left w:val="single" w:sz="8" w:space="0" w:color="000000"/>
              <w:bottom w:val="single" w:sz="8" w:space="0" w:color="000000"/>
              <w:right w:val="single" w:sz="8" w:space="0" w:color="000000"/>
            </w:tcBorders>
            <w:shd w:val="clear" w:color="auto" w:fill="auto"/>
            <w:vAlign w:val="center"/>
          </w:tcPr>
          <w:p w14:paraId="49CB7809"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0.375</w:t>
            </w:r>
          </w:p>
        </w:tc>
        <w:tc>
          <w:tcPr>
            <w:tcW w:w="1195" w:type="pct"/>
            <w:tcBorders>
              <w:top w:val="nil"/>
              <w:left w:val="single" w:sz="8" w:space="0" w:color="000000"/>
              <w:bottom w:val="single" w:sz="8" w:space="0" w:color="000000"/>
              <w:right w:val="single" w:sz="8" w:space="0" w:color="000000"/>
            </w:tcBorders>
            <w:shd w:val="clear" w:color="auto" w:fill="auto"/>
            <w:vAlign w:val="center"/>
          </w:tcPr>
          <w:p w14:paraId="1DC8C38B" w14:textId="77777777" w:rsidR="00B0005F" w:rsidRPr="008A2411" w:rsidRDefault="00000000">
            <w:pPr>
              <w:widowControl/>
              <w:jc w:val="center"/>
              <w:textAlignment w:val="top"/>
              <w:rPr>
                <w:rFonts w:ascii="Times New Roman"/>
                <w:color w:val="000000" w:themeColor="text1"/>
                <w:sz w:val="21"/>
                <w:szCs w:val="21"/>
              </w:rPr>
            </w:pPr>
            <w:r w:rsidRPr="008A2411">
              <w:rPr>
                <w:rFonts w:ascii="Times New Roman"/>
                <w:color w:val="000000" w:themeColor="text1"/>
                <w:sz w:val="21"/>
                <w:szCs w:val="21"/>
                <w:lang w:bidi="ar"/>
              </w:rPr>
              <w:t>原料气分杂质</w:t>
            </w:r>
          </w:p>
        </w:tc>
        <w:tc>
          <w:tcPr>
            <w:tcW w:w="625" w:type="pct"/>
            <w:tcBorders>
              <w:top w:val="nil"/>
              <w:left w:val="single" w:sz="8" w:space="0" w:color="000000"/>
              <w:bottom w:val="single" w:sz="8" w:space="0" w:color="000000"/>
              <w:right w:val="single" w:sz="8" w:space="0" w:color="000000"/>
            </w:tcBorders>
            <w:shd w:val="clear" w:color="auto" w:fill="auto"/>
            <w:vAlign w:val="center"/>
          </w:tcPr>
          <w:p w14:paraId="3A026FE8"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0.01</w:t>
            </w:r>
            <w:r w:rsidRPr="008A2411">
              <w:rPr>
                <w:rFonts w:ascii="Times New Roman" w:hint="eastAsia"/>
                <w:color w:val="000000" w:themeColor="text1"/>
                <w:sz w:val="21"/>
                <w:szCs w:val="21"/>
                <w:lang w:bidi="ar"/>
              </w:rPr>
              <w:t>5</w:t>
            </w:r>
          </w:p>
        </w:tc>
        <w:tc>
          <w:tcPr>
            <w:tcW w:w="1128" w:type="pct"/>
            <w:tcBorders>
              <w:top w:val="nil"/>
              <w:left w:val="single" w:sz="8" w:space="0" w:color="000000"/>
              <w:bottom w:val="single" w:sz="8" w:space="0" w:color="000000"/>
              <w:right w:val="single" w:sz="8" w:space="0" w:color="000000"/>
            </w:tcBorders>
            <w:shd w:val="clear" w:color="auto" w:fill="auto"/>
            <w:vAlign w:val="center"/>
          </w:tcPr>
          <w:p w14:paraId="0A8BEAE8" w14:textId="77777777" w:rsidR="00B0005F" w:rsidRPr="008A2411" w:rsidRDefault="00000000">
            <w:pPr>
              <w:widowControl/>
              <w:jc w:val="center"/>
              <w:textAlignment w:val="top"/>
              <w:rPr>
                <w:rFonts w:ascii="Times New Roman"/>
                <w:color w:val="000000" w:themeColor="text1"/>
                <w:sz w:val="21"/>
                <w:szCs w:val="21"/>
              </w:rPr>
            </w:pPr>
            <w:proofErr w:type="gramStart"/>
            <w:r w:rsidRPr="008A2411">
              <w:rPr>
                <w:rFonts w:ascii="Times New Roman"/>
                <w:color w:val="000000" w:themeColor="text1"/>
                <w:sz w:val="21"/>
                <w:szCs w:val="21"/>
                <w:lang w:bidi="ar"/>
              </w:rPr>
              <w:t>存于危废暂存</w:t>
            </w:r>
            <w:proofErr w:type="gramEnd"/>
            <w:r w:rsidRPr="008A2411">
              <w:rPr>
                <w:rFonts w:ascii="Times New Roman"/>
                <w:color w:val="000000" w:themeColor="text1"/>
                <w:sz w:val="21"/>
                <w:szCs w:val="21"/>
                <w:lang w:bidi="ar"/>
              </w:rPr>
              <w:t>间</w:t>
            </w:r>
          </w:p>
        </w:tc>
      </w:tr>
      <w:tr w:rsidR="008A2411" w:rsidRPr="008A2411" w14:paraId="406E79BE" w14:textId="77777777">
        <w:trPr>
          <w:trHeight w:val="303"/>
        </w:trPr>
        <w:tc>
          <w:tcPr>
            <w:tcW w:w="656" w:type="pct"/>
            <w:vMerge w:val="restart"/>
            <w:tcBorders>
              <w:top w:val="single" w:sz="4" w:space="0" w:color="auto"/>
              <w:left w:val="single" w:sz="8" w:space="0" w:color="000000"/>
              <w:right w:val="single" w:sz="8" w:space="0" w:color="000000"/>
            </w:tcBorders>
            <w:shd w:val="clear" w:color="auto" w:fill="auto"/>
            <w:vAlign w:val="center"/>
          </w:tcPr>
          <w:p w14:paraId="2F056C4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w:t>
            </w:r>
          </w:p>
        </w:tc>
        <w:tc>
          <w:tcPr>
            <w:tcW w:w="718" w:type="pct"/>
            <w:tcBorders>
              <w:top w:val="single" w:sz="4" w:space="0" w:color="auto"/>
              <w:left w:val="single" w:sz="8" w:space="0" w:color="000000"/>
              <w:bottom w:val="single" w:sz="8" w:space="0" w:color="000000"/>
              <w:right w:val="single" w:sz="8" w:space="0" w:color="000000"/>
            </w:tcBorders>
            <w:shd w:val="clear" w:color="auto" w:fill="auto"/>
            <w:vAlign w:val="center"/>
          </w:tcPr>
          <w:p w14:paraId="7E18285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w:t>
            </w:r>
          </w:p>
        </w:tc>
        <w:tc>
          <w:tcPr>
            <w:tcW w:w="674" w:type="pct"/>
            <w:tcBorders>
              <w:top w:val="nil"/>
              <w:left w:val="single" w:sz="8" w:space="0" w:color="000000"/>
              <w:bottom w:val="single" w:sz="8" w:space="0" w:color="000000"/>
              <w:right w:val="single" w:sz="8" w:space="0" w:color="000000"/>
            </w:tcBorders>
            <w:shd w:val="clear" w:color="auto" w:fill="auto"/>
            <w:vAlign w:val="center"/>
          </w:tcPr>
          <w:p w14:paraId="7FD1CE6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w:t>
            </w:r>
          </w:p>
        </w:tc>
        <w:tc>
          <w:tcPr>
            <w:tcW w:w="1195" w:type="pct"/>
            <w:tcBorders>
              <w:top w:val="nil"/>
              <w:left w:val="single" w:sz="8" w:space="0" w:color="000000"/>
              <w:bottom w:val="single" w:sz="8" w:space="0" w:color="000000"/>
              <w:right w:val="single" w:sz="8" w:space="0" w:color="000000"/>
            </w:tcBorders>
            <w:shd w:val="clear" w:color="auto" w:fill="auto"/>
            <w:vAlign w:val="center"/>
          </w:tcPr>
          <w:p w14:paraId="2EE74178" w14:textId="77777777" w:rsidR="00B0005F" w:rsidRPr="008A2411" w:rsidRDefault="00000000">
            <w:pPr>
              <w:widowControl/>
              <w:jc w:val="center"/>
              <w:textAlignment w:val="top"/>
              <w:rPr>
                <w:rFonts w:ascii="Times New Roman"/>
                <w:color w:val="000000" w:themeColor="text1"/>
                <w:sz w:val="21"/>
                <w:szCs w:val="21"/>
              </w:rPr>
            </w:pPr>
            <w:r w:rsidRPr="008A2411">
              <w:rPr>
                <w:rFonts w:ascii="Times New Roman"/>
                <w:color w:val="000000" w:themeColor="text1"/>
                <w:sz w:val="21"/>
                <w:szCs w:val="21"/>
                <w:lang w:bidi="ar"/>
              </w:rPr>
              <w:t>溶液闪蒸气</w:t>
            </w:r>
          </w:p>
        </w:tc>
        <w:tc>
          <w:tcPr>
            <w:tcW w:w="625" w:type="pct"/>
            <w:tcBorders>
              <w:top w:val="nil"/>
              <w:left w:val="single" w:sz="8" w:space="0" w:color="000000"/>
              <w:bottom w:val="single" w:sz="8" w:space="0" w:color="000000"/>
              <w:right w:val="single" w:sz="8" w:space="0" w:color="000000"/>
            </w:tcBorders>
            <w:shd w:val="clear" w:color="auto" w:fill="auto"/>
            <w:vAlign w:val="center"/>
          </w:tcPr>
          <w:p w14:paraId="78C77786"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25.6</w:t>
            </w:r>
          </w:p>
        </w:tc>
        <w:tc>
          <w:tcPr>
            <w:tcW w:w="1128" w:type="pct"/>
            <w:tcBorders>
              <w:top w:val="nil"/>
              <w:left w:val="single" w:sz="8" w:space="0" w:color="000000"/>
              <w:bottom w:val="single" w:sz="8" w:space="0" w:color="000000"/>
              <w:right w:val="single" w:sz="8" w:space="0" w:color="000000"/>
            </w:tcBorders>
            <w:shd w:val="clear" w:color="auto" w:fill="auto"/>
            <w:vAlign w:val="center"/>
          </w:tcPr>
          <w:p w14:paraId="17415534" w14:textId="77777777" w:rsidR="00B0005F" w:rsidRPr="008A2411" w:rsidRDefault="00000000">
            <w:pPr>
              <w:widowControl/>
              <w:jc w:val="center"/>
              <w:textAlignment w:val="top"/>
              <w:rPr>
                <w:rFonts w:ascii="Times New Roman"/>
                <w:color w:val="000000" w:themeColor="text1"/>
                <w:sz w:val="21"/>
                <w:szCs w:val="21"/>
              </w:rPr>
            </w:pPr>
            <w:r w:rsidRPr="008A2411">
              <w:rPr>
                <w:rFonts w:ascii="Times New Roman"/>
                <w:color w:val="000000" w:themeColor="text1"/>
                <w:sz w:val="21"/>
                <w:szCs w:val="21"/>
                <w:lang w:bidi="ar"/>
              </w:rPr>
              <w:t>进燃料气系统</w:t>
            </w:r>
          </w:p>
        </w:tc>
      </w:tr>
      <w:tr w:rsidR="008A2411" w:rsidRPr="008A2411" w14:paraId="24F9C70D" w14:textId="77777777">
        <w:trPr>
          <w:trHeight w:val="303"/>
        </w:trPr>
        <w:tc>
          <w:tcPr>
            <w:tcW w:w="656" w:type="pct"/>
            <w:vMerge/>
            <w:tcBorders>
              <w:top w:val="nil"/>
              <w:left w:val="single" w:sz="8" w:space="0" w:color="000000"/>
              <w:bottom w:val="single" w:sz="8" w:space="0" w:color="000000"/>
              <w:right w:val="single" w:sz="8" w:space="0" w:color="000000"/>
            </w:tcBorders>
            <w:shd w:val="clear" w:color="auto" w:fill="auto"/>
            <w:vAlign w:val="center"/>
          </w:tcPr>
          <w:p w14:paraId="69413D4C" w14:textId="77777777" w:rsidR="00B0005F" w:rsidRPr="008A2411" w:rsidRDefault="00B0005F">
            <w:pPr>
              <w:jc w:val="center"/>
              <w:rPr>
                <w:rFonts w:ascii="Times New Roman"/>
                <w:color w:val="000000" w:themeColor="text1"/>
                <w:sz w:val="21"/>
                <w:szCs w:val="21"/>
              </w:rPr>
            </w:pPr>
          </w:p>
        </w:tc>
        <w:tc>
          <w:tcPr>
            <w:tcW w:w="718" w:type="pct"/>
            <w:tcBorders>
              <w:top w:val="nil"/>
              <w:left w:val="single" w:sz="8" w:space="0" w:color="000000"/>
              <w:bottom w:val="single" w:sz="8" w:space="0" w:color="000000"/>
              <w:right w:val="single" w:sz="8" w:space="0" w:color="000000"/>
            </w:tcBorders>
            <w:shd w:val="clear" w:color="auto" w:fill="auto"/>
            <w:vAlign w:val="center"/>
          </w:tcPr>
          <w:p w14:paraId="06D96D32"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w:t>
            </w:r>
          </w:p>
        </w:tc>
        <w:tc>
          <w:tcPr>
            <w:tcW w:w="674" w:type="pct"/>
            <w:tcBorders>
              <w:top w:val="nil"/>
              <w:left w:val="single" w:sz="8" w:space="0" w:color="000000"/>
              <w:bottom w:val="single" w:sz="8" w:space="0" w:color="000000"/>
              <w:right w:val="single" w:sz="8" w:space="0" w:color="000000"/>
            </w:tcBorders>
            <w:shd w:val="clear" w:color="auto" w:fill="auto"/>
            <w:vAlign w:val="center"/>
          </w:tcPr>
          <w:p w14:paraId="5E3ECFC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w:t>
            </w:r>
          </w:p>
        </w:tc>
        <w:tc>
          <w:tcPr>
            <w:tcW w:w="1195" w:type="pct"/>
            <w:tcBorders>
              <w:top w:val="nil"/>
              <w:left w:val="single" w:sz="8" w:space="0" w:color="000000"/>
              <w:bottom w:val="single" w:sz="8" w:space="0" w:color="000000"/>
              <w:right w:val="single" w:sz="8" w:space="0" w:color="000000"/>
            </w:tcBorders>
            <w:shd w:val="clear" w:color="auto" w:fill="auto"/>
            <w:vAlign w:val="center"/>
          </w:tcPr>
          <w:p w14:paraId="2AB71E54" w14:textId="77777777" w:rsidR="00B0005F" w:rsidRPr="008A2411" w:rsidRDefault="00000000">
            <w:pPr>
              <w:widowControl/>
              <w:jc w:val="center"/>
              <w:textAlignment w:val="top"/>
              <w:rPr>
                <w:rFonts w:ascii="Times New Roman"/>
                <w:color w:val="000000" w:themeColor="text1"/>
                <w:sz w:val="21"/>
                <w:szCs w:val="21"/>
              </w:rPr>
            </w:pPr>
            <w:r w:rsidRPr="008A2411">
              <w:rPr>
                <w:rFonts w:ascii="Times New Roman"/>
                <w:color w:val="000000" w:themeColor="text1"/>
                <w:sz w:val="21"/>
                <w:szCs w:val="21"/>
                <w:lang w:bidi="ar"/>
              </w:rPr>
              <w:t>脱硫塔废气</w:t>
            </w:r>
          </w:p>
        </w:tc>
        <w:tc>
          <w:tcPr>
            <w:tcW w:w="625" w:type="pct"/>
            <w:tcBorders>
              <w:top w:val="nil"/>
              <w:left w:val="single" w:sz="8" w:space="0" w:color="000000"/>
              <w:bottom w:val="single" w:sz="8" w:space="0" w:color="000000"/>
              <w:right w:val="single" w:sz="8" w:space="0" w:color="000000"/>
            </w:tcBorders>
            <w:shd w:val="clear" w:color="auto" w:fill="auto"/>
            <w:vAlign w:val="center"/>
          </w:tcPr>
          <w:p w14:paraId="4E134618"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hint="eastAsia"/>
                <w:color w:val="000000" w:themeColor="text1"/>
                <w:sz w:val="21"/>
                <w:szCs w:val="21"/>
                <w:lang w:bidi="ar"/>
              </w:rPr>
              <w:t>979.3</w:t>
            </w:r>
          </w:p>
        </w:tc>
        <w:tc>
          <w:tcPr>
            <w:tcW w:w="1128" w:type="pct"/>
            <w:tcBorders>
              <w:top w:val="nil"/>
              <w:left w:val="single" w:sz="8" w:space="0" w:color="000000"/>
              <w:bottom w:val="single" w:sz="8" w:space="0" w:color="000000"/>
              <w:right w:val="single" w:sz="8" w:space="0" w:color="000000"/>
            </w:tcBorders>
            <w:shd w:val="clear" w:color="auto" w:fill="auto"/>
            <w:vAlign w:val="center"/>
          </w:tcPr>
          <w:p w14:paraId="5474EECB" w14:textId="77777777" w:rsidR="00B0005F" w:rsidRPr="008A2411" w:rsidRDefault="00000000">
            <w:pPr>
              <w:widowControl/>
              <w:jc w:val="center"/>
              <w:textAlignment w:val="top"/>
              <w:rPr>
                <w:rFonts w:ascii="Times New Roman"/>
                <w:color w:val="000000" w:themeColor="text1"/>
                <w:sz w:val="21"/>
                <w:szCs w:val="21"/>
              </w:rPr>
            </w:pPr>
            <w:r w:rsidRPr="008A2411">
              <w:rPr>
                <w:rFonts w:ascii="Times New Roman"/>
                <w:color w:val="000000" w:themeColor="text1"/>
                <w:sz w:val="21"/>
                <w:szCs w:val="21"/>
                <w:lang w:bidi="ar"/>
              </w:rPr>
              <w:t>排入空气</w:t>
            </w:r>
          </w:p>
        </w:tc>
      </w:tr>
      <w:tr w:rsidR="008A2411" w:rsidRPr="008A2411" w14:paraId="20AE33F3" w14:textId="77777777">
        <w:trPr>
          <w:trHeight w:val="303"/>
        </w:trPr>
        <w:tc>
          <w:tcPr>
            <w:tcW w:w="656" w:type="pct"/>
            <w:vMerge/>
            <w:tcBorders>
              <w:top w:val="nil"/>
              <w:left w:val="single" w:sz="8" w:space="0" w:color="000000"/>
              <w:bottom w:val="single" w:sz="8" w:space="0" w:color="000000"/>
              <w:right w:val="single" w:sz="8" w:space="0" w:color="000000"/>
            </w:tcBorders>
            <w:shd w:val="clear" w:color="auto" w:fill="auto"/>
            <w:vAlign w:val="center"/>
          </w:tcPr>
          <w:p w14:paraId="1D560761" w14:textId="77777777" w:rsidR="00B0005F" w:rsidRPr="008A2411" w:rsidRDefault="00B0005F">
            <w:pPr>
              <w:jc w:val="center"/>
              <w:rPr>
                <w:rFonts w:ascii="Times New Roman"/>
                <w:color w:val="000000" w:themeColor="text1"/>
                <w:sz w:val="21"/>
                <w:szCs w:val="21"/>
              </w:rPr>
            </w:pPr>
          </w:p>
        </w:tc>
        <w:tc>
          <w:tcPr>
            <w:tcW w:w="718" w:type="pct"/>
            <w:tcBorders>
              <w:top w:val="nil"/>
              <w:left w:val="single" w:sz="8" w:space="0" w:color="000000"/>
              <w:bottom w:val="single" w:sz="8" w:space="0" w:color="000000"/>
              <w:right w:val="single" w:sz="8" w:space="0" w:color="000000"/>
            </w:tcBorders>
            <w:shd w:val="clear" w:color="auto" w:fill="auto"/>
            <w:vAlign w:val="center"/>
          </w:tcPr>
          <w:p w14:paraId="0865DCE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w:t>
            </w:r>
          </w:p>
        </w:tc>
        <w:tc>
          <w:tcPr>
            <w:tcW w:w="674" w:type="pct"/>
            <w:tcBorders>
              <w:top w:val="nil"/>
              <w:left w:val="single" w:sz="8" w:space="0" w:color="000000"/>
              <w:bottom w:val="single" w:sz="8" w:space="0" w:color="000000"/>
              <w:right w:val="single" w:sz="8" w:space="0" w:color="000000"/>
            </w:tcBorders>
            <w:shd w:val="clear" w:color="auto" w:fill="auto"/>
            <w:vAlign w:val="center"/>
          </w:tcPr>
          <w:p w14:paraId="46D9048E"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w:t>
            </w:r>
          </w:p>
        </w:tc>
        <w:tc>
          <w:tcPr>
            <w:tcW w:w="1195" w:type="pct"/>
            <w:tcBorders>
              <w:top w:val="nil"/>
              <w:left w:val="single" w:sz="8" w:space="0" w:color="000000"/>
              <w:bottom w:val="single" w:sz="8" w:space="0" w:color="000000"/>
              <w:right w:val="single" w:sz="8" w:space="0" w:color="000000"/>
            </w:tcBorders>
            <w:shd w:val="clear" w:color="auto" w:fill="auto"/>
            <w:vAlign w:val="center"/>
          </w:tcPr>
          <w:p w14:paraId="0E90859E" w14:textId="77777777" w:rsidR="00B0005F" w:rsidRPr="008A2411" w:rsidRDefault="00000000">
            <w:pPr>
              <w:widowControl/>
              <w:jc w:val="center"/>
              <w:textAlignment w:val="top"/>
              <w:rPr>
                <w:rFonts w:ascii="Times New Roman"/>
                <w:color w:val="000000" w:themeColor="text1"/>
                <w:sz w:val="21"/>
                <w:szCs w:val="21"/>
              </w:rPr>
            </w:pPr>
            <w:proofErr w:type="gramStart"/>
            <w:r w:rsidRPr="008A2411">
              <w:rPr>
                <w:rFonts w:ascii="Times New Roman"/>
                <w:color w:val="000000" w:themeColor="text1"/>
                <w:sz w:val="21"/>
                <w:szCs w:val="21"/>
                <w:lang w:bidi="ar"/>
              </w:rPr>
              <w:t>脱硫塔废活性炭</w:t>
            </w:r>
            <w:proofErr w:type="gramEnd"/>
          </w:p>
        </w:tc>
        <w:tc>
          <w:tcPr>
            <w:tcW w:w="625" w:type="pct"/>
            <w:tcBorders>
              <w:top w:val="nil"/>
              <w:left w:val="single" w:sz="8" w:space="0" w:color="000000"/>
              <w:bottom w:val="single" w:sz="8" w:space="0" w:color="000000"/>
              <w:right w:val="single" w:sz="8" w:space="0" w:color="000000"/>
            </w:tcBorders>
            <w:shd w:val="clear" w:color="auto" w:fill="auto"/>
            <w:vAlign w:val="center"/>
          </w:tcPr>
          <w:p w14:paraId="5962C38E"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0.25</w:t>
            </w:r>
          </w:p>
        </w:tc>
        <w:tc>
          <w:tcPr>
            <w:tcW w:w="1128" w:type="pct"/>
            <w:tcBorders>
              <w:top w:val="nil"/>
              <w:left w:val="single" w:sz="8" w:space="0" w:color="000000"/>
              <w:bottom w:val="single" w:sz="8" w:space="0" w:color="000000"/>
              <w:right w:val="single" w:sz="8" w:space="0" w:color="000000"/>
            </w:tcBorders>
            <w:shd w:val="clear" w:color="auto" w:fill="auto"/>
            <w:vAlign w:val="center"/>
          </w:tcPr>
          <w:p w14:paraId="3CF51187" w14:textId="77777777" w:rsidR="00B0005F" w:rsidRPr="008A2411" w:rsidRDefault="00000000">
            <w:pPr>
              <w:widowControl/>
              <w:jc w:val="center"/>
              <w:textAlignment w:val="top"/>
              <w:rPr>
                <w:rFonts w:ascii="Times New Roman"/>
                <w:color w:val="000000" w:themeColor="text1"/>
                <w:sz w:val="21"/>
                <w:szCs w:val="21"/>
              </w:rPr>
            </w:pPr>
            <w:proofErr w:type="gramStart"/>
            <w:r w:rsidRPr="008A2411">
              <w:rPr>
                <w:rFonts w:ascii="Times New Roman"/>
                <w:color w:val="000000" w:themeColor="text1"/>
                <w:sz w:val="21"/>
                <w:szCs w:val="21"/>
                <w:lang w:bidi="ar"/>
              </w:rPr>
              <w:t>存于危废暂存</w:t>
            </w:r>
            <w:proofErr w:type="gramEnd"/>
            <w:r w:rsidRPr="008A2411">
              <w:rPr>
                <w:rFonts w:ascii="Times New Roman"/>
                <w:color w:val="000000" w:themeColor="text1"/>
                <w:sz w:val="21"/>
                <w:szCs w:val="21"/>
                <w:lang w:bidi="ar"/>
              </w:rPr>
              <w:t>间</w:t>
            </w:r>
          </w:p>
        </w:tc>
      </w:tr>
      <w:tr w:rsidR="008A2411" w:rsidRPr="008A2411" w14:paraId="682CAF3F" w14:textId="77777777">
        <w:trPr>
          <w:trHeight w:val="447"/>
        </w:trPr>
        <w:tc>
          <w:tcPr>
            <w:tcW w:w="656" w:type="pct"/>
            <w:vMerge/>
            <w:tcBorders>
              <w:top w:val="nil"/>
              <w:left w:val="single" w:sz="8" w:space="0" w:color="000000"/>
              <w:bottom w:val="single" w:sz="8" w:space="0" w:color="000000"/>
              <w:right w:val="single" w:sz="8" w:space="0" w:color="000000"/>
            </w:tcBorders>
            <w:shd w:val="clear" w:color="auto" w:fill="auto"/>
            <w:vAlign w:val="center"/>
          </w:tcPr>
          <w:p w14:paraId="560BA4D4" w14:textId="77777777" w:rsidR="00B0005F" w:rsidRPr="008A2411" w:rsidRDefault="00B0005F">
            <w:pPr>
              <w:jc w:val="center"/>
              <w:rPr>
                <w:rFonts w:ascii="Times New Roman"/>
                <w:color w:val="000000" w:themeColor="text1"/>
                <w:sz w:val="21"/>
                <w:szCs w:val="21"/>
              </w:rPr>
            </w:pPr>
          </w:p>
        </w:tc>
        <w:tc>
          <w:tcPr>
            <w:tcW w:w="718" w:type="pct"/>
            <w:tcBorders>
              <w:top w:val="nil"/>
              <w:left w:val="single" w:sz="8" w:space="0" w:color="000000"/>
              <w:bottom w:val="single" w:sz="8" w:space="0" w:color="000000"/>
              <w:right w:val="single" w:sz="8" w:space="0" w:color="000000"/>
            </w:tcBorders>
            <w:shd w:val="clear" w:color="auto" w:fill="auto"/>
            <w:vAlign w:val="center"/>
          </w:tcPr>
          <w:p w14:paraId="17BF31A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w:t>
            </w:r>
          </w:p>
        </w:tc>
        <w:tc>
          <w:tcPr>
            <w:tcW w:w="674" w:type="pct"/>
            <w:tcBorders>
              <w:top w:val="nil"/>
              <w:left w:val="single" w:sz="8" w:space="0" w:color="000000"/>
              <w:bottom w:val="single" w:sz="8" w:space="0" w:color="000000"/>
              <w:right w:val="single" w:sz="8" w:space="0" w:color="000000"/>
            </w:tcBorders>
            <w:shd w:val="clear" w:color="auto" w:fill="auto"/>
            <w:vAlign w:val="center"/>
          </w:tcPr>
          <w:p w14:paraId="1CE0CF4D"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w:t>
            </w:r>
          </w:p>
        </w:tc>
        <w:tc>
          <w:tcPr>
            <w:tcW w:w="1195" w:type="pct"/>
            <w:tcBorders>
              <w:top w:val="nil"/>
              <w:left w:val="single" w:sz="8" w:space="0" w:color="000000"/>
              <w:bottom w:val="single" w:sz="8" w:space="0" w:color="000000"/>
              <w:right w:val="single" w:sz="8" w:space="0" w:color="000000"/>
            </w:tcBorders>
            <w:shd w:val="clear" w:color="auto" w:fill="auto"/>
            <w:vAlign w:val="center"/>
          </w:tcPr>
          <w:p w14:paraId="777D8B92" w14:textId="77777777" w:rsidR="00B0005F" w:rsidRPr="008A2411" w:rsidRDefault="00000000">
            <w:pPr>
              <w:widowControl/>
              <w:jc w:val="center"/>
              <w:textAlignment w:val="top"/>
              <w:rPr>
                <w:rFonts w:ascii="Times New Roman"/>
                <w:color w:val="000000" w:themeColor="text1"/>
                <w:sz w:val="21"/>
                <w:szCs w:val="21"/>
              </w:rPr>
            </w:pPr>
            <w:r w:rsidRPr="008A2411">
              <w:rPr>
                <w:rFonts w:ascii="Times New Roman"/>
                <w:color w:val="000000" w:themeColor="text1"/>
                <w:sz w:val="21"/>
                <w:szCs w:val="21"/>
                <w:lang w:bidi="ar"/>
              </w:rPr>
              <w:t>贫液回流溶液过滤器杂质</w:t>
            </w:r>
          </w:p>
        </w:tc>
        <w:tc>
          <w:tcPr>
            <w:tcW w:w="625" w:type="pct"/>
            <w:tcBorders>
              <w:top w:val="nil"/>
              <w:left w:val="single" w:sz="8" w:space="0" w:color="000000"/>
              <w:bottom w:val="single" w:sz="8" w:space="0" w:color="000000"/>
              <w:right w:val="single" w:sz="8" w:space="0" w:color="000000"/>
            </w:tcBorders>
            <w:shd w:val="clear" w:color="auto" w:fill="auto"/>
            <w:vAlign w:val="center"/>
          </w:tcPr>
          <w:p w14:paraId="26604EA3"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0.028</w:t>
            </w:r>
          </w:p>
        </w:tc>
        <w:tc>
          <w:tcPr>
            <w:tcW w:w="1128" w:type="pct"/>
            <w:tcBorders>
              <w:top w:val="nil"/>
              <w:left w:val="single" w:sz="8" w:space="0" w:color="000000"/>
              <w:bottom w:val="single" w:sz="8" w:space="0" w:color="000000"/>
              <w:right w:val="single" w:sz="8" w:space="0" w:color="000000"/>
            </w:tcBorders>
            <w:shd w:val="clear" w:color="auto" w:fill="auto"/>
            <w:vAlign w:val="center"/>
          </w:tcPr>
          <w:p w14:paraId="57B57A96" w14:textId="77777777" w:rsidR="00B0005F" w:rsidRPr="008A2411" w:rsidRDefault="00000000">
            <w:pPr>
              <w:widowControl/>
              <w:jc w:val="center"/>
              <w:textAlignment w:val="top"/>
              <w:rPr>
                <w:rFonts w:ascii="Times New Roman"/>
                <w:color w:val="000000" w:themeColor="text1"/>
                <w:sz w:val="21"/>
                <w:szCs w:val="21"/>
              </w:rPr>
            </w:pPr>
            <w:proofErr w:type="gramStart"/>
            <w:r w:rsidRPr="008A2411">
              <w:rPr>
                <w:rFonts w:ascii="Times New Roman"/>
                <w:color w:val="000000" w:themeColor="text1"/>
                <w:sz w:val="21"/>
                <w:szCs w:val="21"/>
                <w:lang w:bidi="ar"/>
              </w:rPr>
              <w:t>存于危废暂存</w:t>
            </w:r>
            <w:proofErr w:type="gramEnd"/>
            <w:r w:rsidRPr="008A2411">
              <w:rPr>
                <w:rFonts w:ascii="Times New Roman"/>
                <w:color w:val="000000" w:themeColor="text1"/>
                <w:sz w:val="21"/>
                <w:szCs w:val="21"/>
                <w:lang w:bidi="ar"/>
              </w:rPr>
              <w:t>间</w:t>
            </w:r>
          </w:p>
        </w:tc>
      </w:tr>
      <w:tr w:rsidR="008A2411" w:rsidRPr="008A2411" w14:paraId="58B76F3A" w14:textId="77777777">
        <w:trPr>
          <w:trHeight w:val="303"/>
        </w:trPr>
        <w:tc>
          <w:tcPr>
            <w:tcW w:w="656" w:type="pct"/>
            <w:vMerge/>
            <w:tcBorders>
              <w:top w:val="nil"/>
              <w:left w:val="single" w:sz="8" w:space="0" w:color="000000"/>
              <w:bottom w:val="single" w:sz="8" w:space="0" w:color="000000"/>
              <w:right w:val="single" w:sz="8" w:space="0" w:color="000000"/>
            </w:tcBorders>
            <w:shd w:val="clear" w:color="auto" w:fill="auto"/>
            <w:vAlign w:val="center"/>
          </w:tcPr>
          <w:p w14:paraId="154BED2A" w14:textId="77777777" w:rsidR="00B0005F" w:rsidRPr="008A2411" w:rsidRDefault="00B0005F">
            <w:pPr>
              <w:jc w:val="center"/>
              <w:rPr>
                <w:rFonts w:ascii="Times New Roman"/>
                <w:color w:val="000000" w:themeColor="text1"/>
                <w:sz w:val="21"/>
                <w:szCs w:val="21"/>
              </w:rPr>
            </w:pPr>
          </w:p>
        </w:tc>
        <w:tc>
          <w:tcPr>
            <w:tcW w:w="718" w:type="pct"/>
            <w:tcBorders>
              <w:top w:val="nil"/>
              <w:left w:val="single" w:sz="8" w:space="0" w:color="000000"/>
              <w:bottom w:val="single" w:sz="8" w:space="0" w:color="000000"/>
              <w:right w:val="single" w:sz="8" w:space="0" w:color="000000"/>
            </w:tcBorders>
            <w:shd w:val="clear" w:color="auto" w:fill="auto"/>
            <w:vAlign w:val="center"/>
          </w:tcPr>
          <w:p w14:paraId="1CD61F9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w:t>
            </w:r>
          </w:p>
        </w:tc>
        <w:tc>
          <w:tcPr>
            <w:tcW w:w="674" w:type="pct"/>
            <w:tcBorders>
              <w:top w:val="nil"/>
              <w:left w:val="single" w:sz="8" w:space="0" w:color="000000"/>
              <w:bottom w:val="single" w:sz="8" w:space="0" w:color="000000"/>
              <w:right w:val="single" w:sz="8" w:space="0" w:color="000000"/>
            </w:tcBorders>
            <w:shd w:val="clear" w:color="auto" w:fill="auto"/>
            <w:vAlign w:val="center"/>
          </w:tcPr>
          <w:p w14:paraId="5D872B6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w:t>
            </w:r>
          </w:p>
        </w:tc>
        <w:tc>
          <w:tcPr>
            <w:tcW w:w="1195" w:type="pct"/>
            <w:tcBorders>
              <w:top w:val="nil"/>
              <w:left w:val="single" w:sz="8" w:space="0" w:color="000000"/>
              <w:bottom w:val="single" w:sz="8" w:space="0" w:color="000000"/>
              <w:right w:val="single" w:sz="8" w:space="0" w:color="000000"/>
            </w:tcBorders>
            <w:shd w:val="clear" w:color="auto" w:fill="auto"/>
            <w:vAlign w:val="center"/>
          </w:tcPr>
          <w:p w14:paraId="25986A01" w14:textId="77777777" w:rsidR="00B0005F" w:rsidRPr="008A2411" w:rsidRDefault="00000000">
            <w:pPr>
              <w:widowControl/>
              <w:jc w:val="center"/>
              <w:textAlignment w:val="top"/>
              <w:rPr>
                <w:rFonts w:ascii="Times New Roman"/>
                <w:color w:val="000000" w:themeColor="text1"/>
                <w:sz w:val="21"/>
                <w:szCs w:val="21"/>
              </w:rPr>
            </w:pPr>
            <w:proofErr w:type="gramStart"/>
            <w:r w:rsidRPr="008A2411">
              <w:rPr>
                <w:rFonts w:ascii="Times New Roman"/>
                <w:color w:val="000000" w:themeColor="text1"/>
                <w:sz w:val="21"/>
                <w:szCs w:val="21"/>
                <w:lang w:bidi="ar"/>
              </w:rPr>
              <w:t>胺液过滤器</w:t>
            </w:r>
            <w:proofErr w:type="gramEnd"/>
            <w:r w:rsidRPr="008A2411">
              <w:rPr>
                <w:rFonts w:ascii="Times New Roman"/>
                <w:color w:val="000000" w:themeColor="text1"/>
                <w:sz w:val="21"/>
                <w:szCs w:val="21"/>
                <w:lang w:bidi="ar"/>
              </w:rPr>
              <w:t>杂质</w:t>
            </w:r>
          </w:p>
        </w:tc>
        <w:tc>
          <w:tcPr>
            <w:tcW w:w="625" w:type="pct"/>
            <w:tcBorders>
              <w:top w:val="nil"/>
              <w:left w:val="single" w:sz="8" w:space="0" w:color="000000"/>
              <w:bottom w:val="single" w:sz="8" w:space="0" w:color="000000"/>
              <w:right w:val="single" w:sz="8" w:space="0" w:color="000000"/>
            </w:tcBorders>
            <w:shd w:val="clear" w:color="auto" w:fill="auto"/>
            <w:vAlign w:val="center"/>
          </w:tcPr>
          <w:p w14:paraId="63277790"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0.014</w:t>
            </w:r>
          </w:p>
        </w:tc>
        <w:tc>
          <w:tcPr>
            <w:tcW w:w="1128" w:type="pct"/>
            <w:tcBorders>
              <w:top w:val="nil"/>
              <w:left w:val="single" w:sz="8" w:space="0" w:color="000000"/>
              <w:bottom w:val="single" w:sz="8" w:space="0" w:color="000000"/>
              <w:right w:val="single" w:sz="8" w:space="0" w:color="000000"/>
            </w:tcBorders>
            <w:shd w:val="clear" w:color="auto" w:fill="auto"/>
            <w:vAlign w:val="center"/>
          </w:tcPr>
          <w:p w14:paraId="7C22A8EC" w14:textId="77777777" w:rsidR="00B0005F" w:rsidRPr="008A2411" w:rsidRDefault="00000000">
            <w:pPr>
              <w:widowControl/>
              <w:jc w:val="center"/>
              <w:textAlignment w:val="top"/>
              <w:rPr>
                <w:rFonts w:ascii="Times New Roman"/>
                <w:color w:val="000000" w:themeColor="text1"/>
                <w:sz w:val="21"/>
                <w:szCs w:val="21"/>
              </w:rPr>
            </w:pPr>
            <w:proofErr w:type="gramStart"/>
            <w:r w:rsidRPr="008A2411">
              <w:rPr>
                <w:rFonts w:ascii="Times New Roman"/>
                <w:color w:val="000000" w:themeColor="text1"/>
                <w:sz w:val="21"/>
                <w:szCs w:val="21"/>
                <w:lang w:bidi="ar"/>
              </w:rPr>
              <w:t>存于危废暂存</w:t>
            </w:r>
            <w:proofErr w:type="gramEnd"/>
            <w:r w:rsidRPr="008A2411">
              <w:rPr>
                <w:rFonts w:ascii="Times New Roman"/>
                <w:color w:val="000000" w:themeColor="text1"/>
                <w:sz w:val="21"/>
                <w:szCs w:val="21"/>
                <w:lang w:bidi="ar"/>
              </w:rPr>
              <w:t>间</w:t>
            </w:r>
          </w:p>
        </w:tc>
      </w:tr>
      <w:tr w:rsidR="008A2411" w:rsidRPr="008A2411" w14:paraId="781D1CDC" w14:textId="77777777">
        <w:trPr>
          <w:trHeight w:val="303"/>
        </w:trPr>
        <w:tc>
          <w:tcPr>
            <w:tcW w:w="656" w:type="pct"/>
            <w:vMerge/>
            <w:tcBorders>
              <w:top w:val="nil"/>
              <w:left w:val="single" w:sz="8" w:space="0" w:color="000000"/>
              <w:bottom w:val="single" w:sz="8" w:space="0" w:color="000000"/>
              <w:right w:val="single" w:sz="8" w:space="0" w:color="000000"/>
            </w:tcBorders>
            <w:shd w:val="clear" w:color="auto" w:fill="auto"/>
            <w:vAlign w:val="center"/>
          </w:tcPr>
          <w:p w14:paraId="1032E9E7" w14:textId="77777777" w:rsidR="00B0005F" w:rsidRPr="008A2411" w:rsidRDefault="00B0005F">
            <w:pPr>
              <w:jc w:val="center"/>
              <w:rPr>
                <w:rFonts w:ascii="Times New Roman"/>
                <w:color w:val="000000" w:themeColor="text1"/>
                <w:sz w:val="21"/>
                <w:szCs w:val="21"/>
              </w:rPr>
            </w:pPr>
          </w:p>
        </w:tc>
        <w:tc>
          <w:tcPr>
            <w:tcW w:w="718" w:type="pct"/>
            <w:tcBorders>
              <w:top w:val="nil"/>
              <w:left w:val="single" w:sz="8" w:space="0" w:color="000000"/>
              <w:bottom w:val="single" w:sz="8" w:space="0" w:color="000000"/>
              <w:right w:val="single" w:sz="8" w:space="0" w:color="000000"/>
            </w:tcBorders>
            <w:shd w:val="clear" w:color="auto" w:fill="auto"/>
            <w:vAlign w:val="center"/>
          </w:tcPr>
          <w:p w14:paraId="0C43F0A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w:t>
            </w:r>
          </w:p>
        </w:tc>
        <w:tc>
          <w:tcPr>
            <w:tcW w:w="674" w:type="pct"/>
            <w:tcBorders>
              <w:top w:val="nil"/>
              <w:left w:val="single" w:sz="8" w:space="0" w:color="000000"/>
              <w:bottom w:val="single" w:sz="8" w:space="0" w:color="000000"/>
              <w:right w:val="single" w:sz="8" w:space="0" w:color="000000"/>
            </w:tcBorders>
            <w:shd w:val="clear" w:color="auto" w:fill="auto"/>
            <w:vAlign w:val="center"/>
          </w:tcPr>
          <w:p w14:paraId="2572FC5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w:t>
            </w:r>
          </w:p>
        </w:tc>
        <w:tc>
          <w:tcPr>
            <w:tcW w:w="1195" w:type="pct"/>
            <w:tcBorders>
              <w:top w:val="nil"/>
              <w:left w:val="single" w:sz="8" w:space="0" w:color="000000"/>
              <w:bottom w:val="single" w:sz="8" w:space="0" w:color="000000"/>
              <w:right w:val="single" w:sz="8" w:space="0" w:color="000000"/>
            </w:tcBorders>
            <w:shd w:val="clear" w:color="auto" w:fill="auto"/>
            <w:vAlign w:val="center"/>
          </w:tcPr>
          <w:p w14:paraId="4746B998" w14:textId="77777777" w:rsidR="00B0005F" w:rsidRPr="008A2411" w:rsidRDefault="00000000">
            <w:pPr>
              <w:widowControl/>
              <w:jc w:val="center"/>
              <w:textAlignment w:val="top"/>
              <w:rPr>
                <w:rFonts w:ascii="Times New Roman"/>
                <w:color w:val="000000" w:themeColor="text1"/>
                <w:sz w:val="21"/>
                <w:szCs w:val="21"/>
              </w:rPr>
            </w:pPr>
            <w:r w:rsidRPr="008A2411">
              <w:rPr>
                <w:rFonts w:ascii="Times New Roman"/>
                <w:color w:val="000000" w:themeColor="text1"/>
                <w:sz w:val="21"/>
                <w:szCs w:val="21"/>
                <w:lang w:bidi="ar"/>
              </w:rPr>
              <w:t>脱水单元过滤器杂质</w:t>
            </w:r>
          </w:p>
        </w:tc>
        <w:tc>
          <w:tcPr>
            <w:tcW w:w="625" w:type="pct"/>
            <w:tcBorders>
              <w:top w:val="nil"/>
              <w:left w:val="single" w:sz="8" w:space="0" w:color="000000"/>
              <w:bottom w:val="single" w:sz="8" w:space="0" w:color="000000"/>
              <w:right w:val="single" w:sz="8" w:space="0" w:color="000000"/>
            </w:tcBorders>
            <w:shd w:val="clear" w:color="auto" w:fill="auto"/>
            <w:vAlign w:val="center"/>
          </w:tcPr>
          <w:p w14:paraId="7F4AD3F5"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0.028</w:t>
            </w:r>
          </w:p>
        </w:tc>
        <w:tc>
          <w:tcPr>
            <w:tcW w:w="1128" w:type="pct"/>
            <w:tcBorders>
              <w:top w:val="nil"/>
              <w:left w:val="single" w:sz="8" w:space="0" w:color="000000"/>
              <w:bottom w:val="single" w:sz="8" w:space="0" w:color="000000"/>
              <w:right w:val="single" w:sz="8" w:space="0" w:color="000000"/>
            </w:tcBorders>
            <w:shd w:val="clear" w:color="auto" w:fill="auto"/>
            <w:vAlign w:val="center"/>
          </w:tcPr>
          <w:p w14:paraId="74B252BD" w14:textId="77777777" w:rsidR="00B0005F" w:rsidRPr="008A2411" w:rsidRDefault="00000000">
            <w:pPr>
              <w:widowControl/>
              <w:jc w:val="center"/>
              <w:textAlignment w:val="top"/>
              <w:rPr>
                <w:rFonts w:ascii="Times New Roman"/>
                <w:color w:val="000000" w:themeColor="text1"/>
                <w:sz w:val="21"/>
                <w:szCs w:val="21"/>
              </w:rPr>
            </w:pPr>
            <w:proofErr w:type="gramStart"/>
            <w:r w:rsidRPr="008A2411">
              <w:rPr>
                <w:rFonts w:ascii="Times New Roman"/>
                <w:color w:val="000000" w:themeColor="text1"/>
                <w:sz w:val="21"/>
                <w:szCs w:val="21"/>
                <w:lang w:bidi="ar"/>
              </w:rPr>
              <w:t>存于危废暂存</w:t>
            </w:r>
            <w:proofErr w:type="gramEnd"/>
            <w:r w:rsidRPr="008A2411">
              <w:rPr>
                <w:rFonts w:ascii="Times New Roman"/>
                <w:color w:val="000000" w:themeColor="text1"/>
                <w:sz w:val="21"/>
                <w:szCs w:val="21"/>
                <w:lang w:bidi="ar"/>
              </w:rPr>
              <w:t>间</w:t>
            </w:r>
          </w:p>
        </w:tc>
      </w:tr>
      <w:tr w:rsidR="008A2411" w:rsidRPr="008A2411" w14:paraId="5141DA4C" w14:textId="77777777">
        <w:trPr>
          <w:trHeight w:val="303"/>
        </w:trPr>
        <w:tc>
          <w:tcPr>
            <w:tcW w:w="656" w:type="pct"/>
            <w:vMerge/>
            <w:tcBorders>
              <w:top w:val="nil"/>
              <w:left w:val="single" w:sz="8" w:space="0" w:color="000000"/>
              <w:bottom w:val="single" w:sz="8" w:space="0" w:color="000000"/>
              <w:right w:val="single" w:sz="8" w:space="0" w:color="000000"/>
            </w:tcBorders>
            <w:shd w:val="clear" w:color="auto" w:fill="auto"/>
            <w:vAlign w:val="center"/>
          </w:tcPr>
          <w:p w14:paraId="0FE91C09" w14:textId="77777777" w:rsidR="00B0005F" w:rsidRPr="008A2411" w:rsidRDefault="00B0005F">
            <w:pPr>
              <w:jc w:val="center"/>
              <w:rPr>
                <w:rFonts w:ascii="Times New Roman"/>
                <w:color w:val="000000" w:themeColor="text1"/>
                <w:sz w:val="21"/>
                <w:szCs w:val="21"/>
              </w:rPr>
            </w:pPr>
          </w:p>
        </w:tc>
        <w:tc>
          <w:tcPr>
            <w:tcW w:w="718" w:type="pct"/>
            <w:tcBorders>
              <w:top w:val="nil"/>
              <w:left w:val="single" w:sz="8" w:space="0" w:color="000000"/>
              <w:bottom w:val="single" w:sz="8" w:space="0" w:color="000000"/>
              <w:right w:val="single" w:sz="8" w:space="0" w:color="000000"/>
            </w:tcBorders>
            <w:shd w:val="clear" w:color="auto" w:fill="auto"/>
            <w:vAlign w:val="center"/>
          </w:tcPr>
          <w:p w14:paraId="7CE53F5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w:t>
            </w:r>
          </w:p>
        </w:tc>
        <w:tc>
          <w:tcPr>
            <w:tcW w:w="674" w:type="pct"/>
            <w:tcBorders>
              <w:top w:val="nil"/>
              <w:left w:val="single" w:sz="8" w:space="0" w:color="000000"/>
              <w:bottom w:val="single" w:sz="8" w:space="0" w:color="000000"/>
              <w:right w:val="single" w:sz="8" w:space="0" w:color="000000"/>
            </w:tcBorders>
            <w:shd w:val="clear" w:color="auto" w:fill="auto"/>
            <w:vAlign w:val="center"/>
          </w:tcPr>
          <w:p w14:paraId="01BBBDA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w:t>
            </w:r>
          </w:p>
        </w:tc>
        <w:tc>
          <w:tcPr>
            <w:tcW w:w="1195" w:type="pct"/>
            <w:tcBorders>
              <w:top w:val="nil"/>
              <w:left w:val="single" w:sz="8" w:space="0" w:color="000000"/>
              <w:bottom w:val="single" w:sz="8" w:space="0" w:color="000000"/>
              <w:right w:val="single" w:sz="8" w:space="0" w:color="000000"/>
            </w:tcBorders>
            <w:shd w:val="clear" w:color="auto" w:fill="auto"/>
            <w:vAlign w:val="center"/>
          </w:tcPr>
          <w:p w14:paraId="1A68845F" w14:textId="77777777" w:rsidR="00B0005F" w:rsidRPr="008A2411" w:rsidRDefault="00000000">
            <w:pPr>
              <w:widowControl/>
              <w:jc w:val="center"/>
              <w:textAlignment w:val="top"/>
              <w:rPr>
                <w:rFonts w:ascii="Times New Roman"/>
                <w:color w:val="000000" w:themeColor="text1"/>
                <w:sz w:val="21"/>
                <w:szCs w:val="21"/>
              </w:rPr>
            </w:pPr>
            <w:r w:rsidRPr="008A2411">
              <w:rPr>
                <w:rFonts w:ascii="Times New Roman"/>
                <w:color w:val="000000" w:themeColor="text1"/>
                <w:sz w:val="21"/>
                <w:szCs w:val="21"/>
                <w:lang w:bidi="ar"/>
              </w:rPr>
              <w:t>脱水再生单元含油废液</w:t>
            </w:r>
          </w:p>
        </w:tc>
        <w:tc>
          <w:tcPr>
            <w:tcW w:w="625" w:type="pct"/>
            <w:tcBorders>
              <w:top w:val="nil"/>
              <w:left w:val="single" w:sz="8" w:space="0" w:color="000000"/>
              <w:bottom w:val="single" w:sz="8" w:space="0" w:color="000000"/>
              <w:right w:val="single" w:sz="8" w:space="0" w:color="000000"/>
            </w:tcBorders>
            <w:shd w:val="clear" w:color="auto" w:fill="auto"/>
            <w:vAlign w:val="center"/>
          </w:tcPr>
          <w:p w14:paraId="36AAE0EB"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0.4</w:t>
            </w:r>
          </w:p>
        </w:tc>
        <w:tc>
          <w:tcPr>
            <w:tcW w:w="1128" w:type="pct"/>
            <w:tcBorders>
              <w:top w:val="nil"/>
              <w:left w:val="single" w:sz="8" w:space="0" w:color="000000"/>
              <w:bottom w:val="single" w:sz="8" w:space="0" w:color="000000"/>
              <w:right w:val="single" w:sz="8" w:space="0" w:color="000000"/>
            </w:tcBorders>
            <w:shd w:val="clear" w:color="auto" w:fill="auto"/>
            <w:vAlign w:val="center"/>
          </w:tcPr>
          <w:p w14:paraId="54836EE3" w14:textId="77777777" w:rsidR="00B0005F" w:rsidRPr="008A2411" w:rsidRDefault="00000000">
            <w:pPr>
              <w:widowControl/>
              <w:jc w:val="center"/>
              <w:textAlignment w:val="top"/>
              <w:rPr>
                <w:rFonts w:ascii="Times New Roman"/>
                <w:color w:val="000000" w:themeColor="text1"/>
                <w:sz w:val="21"/>
                <w:szCs w:val="21"/>
              </w:rPr>
            </w:pPr>
            <w:proofErr w:type="gramStart"/>
            <w:r w:rsidRPr="008A2411">
              <w:rPr>
                <w:rFonts w:ascii="Times New Roman"/>
                <w:color w:val="000000" w:themeColor="text1"/>
                <w:sz w:val="21"/>
                <w:szCs w:val="21"/>
                <w:lang w:bidi="ar"/>
              </w:rPr>
              <w:t>存于危废暂存</w:t>
            </w:r>
            <w:proofErr w:type="gramEnd"/>
            <w:r w:rsidRPr="008A2411">
              <w:rPr>
                <w:rFonts w:ascii="Times New Roman"/>
                <w:color w:val="000000" w:themeColor="text1"/>
                <w:sz w:val="21"/>
                <w:szCs w:val="21"/>
                <w:lang w:bidi="ar"/>
              </w:rPr>
              <w:t>间</w:t>
            </w:r>
          </w:p>
        </w:tc>
      </w:tr>
      <w:tr w:rsidR="008A2411" w:rsidRPr="008A2411" w14:paraId="6EC0B3A6" w14:textId="77777777">
        <w:trPr>
          <w:trHeight w:val="447"/>
        </w:trPr>
        <w:tc>
          <w:tcPr>
            <w:tcW w:w="656" w:type="pct"/>
            <w:vMerge/>
            <w:tcBorders>
              <w:top w:val="nil"/>
              <w:left w:val="single" w:sz="8" w:space="0" w:color="000000"/>
              <w:bottom w:val="single" w:sz="8" w:space="0" w:color="000000"/>
              <w:right w:val="single" w:sz="8" w:space="0" w:color="000000"/>
            </w:tcBorders>
            <w:shd w:val="clear" w:color="auto" w:fill="auto"/>
            <w:vAlign w:val="center"/>
          </w:tcPr>
          <w:p w14:paraId="66607BA9" w14:textId="77777777" w:rsidR="00B0005F" w:rsidRPr="008A2411" w:rsidRDefault="00B0005F">
            <w:pPr>
              <w:jc w:val="center"/>
              <w:rPr>
                <w:rFonts w:ascii="Times New Roman"/>
                <w:color w:val="000000" w:themeColor="text1"/>
                <w:sz w:val="21"/>
                <w:szCs w:val="21"/>
              </w:rPr>
            </w:pPr>
          </w:p>
        </w:tc>
        <w:tc>
          <w:tcPr>
            <w:tcW w:w="718" w:type="pct"/>
            <w:tcBorders>
              <w:top w:val="nil"/>
              <w:left w:val="single" w:sz="8" w:space="0" w:color="000000"/>
              <w:bottom w:val="single" w:sz="8" w:space="0" w:color="000000"/>
              <w:right w:val="single" w:sz="8" w:space="0" w:color="000000"/>
            </w:tcBorders>
            <w:shd w:val="clear" w:color="auto" w:fill="auto"/>
            <w:vAlign w:val="center"/>
          </w:tcPr>
          <w:p w14:paraId="1E74EB5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w:t>
            </w:r>
          </w:p>
        </w:tc>
        <w:tc>
          <w:tcPr>
            <w:tcW w:w="674" w:type="pct"/>
            <w:tcBorders>
              <w:top w:val="nil"/>
              <w:left w:val="single" w:sz="8" w:space="0" w:color="000000"/>
              <w:bottom w:val="single" w:sz="8" w:space="0" w:color="000000"/>
              <w:right w:val="single" w:sz="8" w:space="0" w:color="000000"/>
            </w:tcBorders>
            <w:shd w:val="clear" w:color="auto" w:fill="auto"/>
            <w:vAlign w:val="center"/>
          </w:tcPr>
          <w:p w14:paraId="0676615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w:t>
            </w:r>
          </w:p>
        </w:tc>
        <w:tc>
          <w:tcPr>
            <w:tcW w:w="1195" w:type="pct"/>
            <w:tcBorders>
              <w:top w:val="nil"/>
              <w:left w:val="single" w:sz="8" w:space="0" w:color="000000"/>
              <w:bottom w:val="single" w:sz="8" w:space="0" w:color="000000"/>
              <w:right w:val="single" w:sz="8" w:space="0" w:color="000000"/>
            </w:tcBorders>
            <w:shd w:val="clear" w:color="auto" w:fill="auto"/>
            <w:vAlign w:val="center"/>
          </w:tcPr>
          <w:p w14:paraId="068151E7" w14:textId="77777777" w:rsidR="00B0005F" w:rsidRPr="008A2411" w:rsidRDefault="00000000">
            <w:pPr>
              <w:widowControl/>
              <w:jc w:val="center"/>
              <w:textAlignment w:val="top"/>
              <w:rPr>
                <w:rFonts w:ascii="Times New Roman"/>
                <w:color w:val="000000" w:themeColor="text1"/>
                <w:sz w:val="21"/>
                <w:szCs w:val="21"/>
              </w:rPr>
            </w:pPr>
            <w:r w:rsidRPr="008A2411">
              <w:rPr>
                <w:rFonts w:ascii="Times New Roman"/>
                <w:color w:val="000000" w:themeColor="text1"/>
                <w:sz w:val="21"/>
                <w:szCs w:val="21"/>
                <w:lang w:bidi="ar"/>
              </w:rPr>
              <w:t>脱水再生单元冷凝隔油分离水</w:t>
            </w:r>
          </w:p>
        </w:tc>
        <w:tc>
          <w:tcPr>
            <w:tcW w:w="625" w:type="pct"/>
            <w:tcBorders>
              <w:top w:val="nil"/>
              <w:left w:val="single" w:sz="8" w:space="0" w:color="000000"/>
              <w:bottom w:val="single" w:sz="8" w:space="0" w:color="000000"/>
              <w:right w:val="single" w:sz="8" w:space="0" w:color="000000"/>
            </w:tcBorders>
            <w:shd w:val="clear" w:color="auto" w:fill="auto"/>
            <w:vAlign w:val="center"/>
          </w:tcPr>
          <w:p w14:paraId="2A2FB1BC"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36</w:t>
            </w:r>
          </w:p>
        </w:tc>
        <w:tc>
          <w:tcPr>
            <w:tcW w:w="1128" w:type="pct"/>
            <w:tcBorders>
              <w:top w:val="nil"/>
              <w:left w:val="single" w:sz="8" w:space="0" w:color="000000"/>
              <w:bottom w:val="single" w:sz="8" w:space="0" w:color="000000"/>
              <w:right w:val="single" w:sz="8" w:space="0" w:color="000000"/>
            </w:tcBorders>
            <w:shd w:val="clear" w:color="auto" w:fill="auto"/>
            <w:vAlign w:val="center"/>
          </w:tcPr>
          <w:p w14:paraId="02C23039" w14:textId="77777777" w:rsidR="00B0005F" w:rsidRPr="008A2411" w:rsidRDefault="00000000">
            <w:pPr>
              <w:widowControl/>
              <w:jc w:val="center"/>
              <w:textAlignment w:val="top"/>
              <w:rPr>
                <w:rFonts w:ascii="Times New Roman"/>
                <w:color w:val="000000" w:themeColor="text1"/>
                <w:sz w:val="21"/>
                <w:szCs w:val="21"/>
              </w:rPr>
            </w:pPr>
            <w:r w:rsidRPr="008A2411">
              <w:rPr>
                <w:rFonts w:ascii="Times New Roman"/>
                <w:color w:val="000000" w:themeColor="text1"/>
                <w:sz w:val="21"/>
                <w:szCs w:val="21"/>
                <w:lang w:bidi="ar"/>
              </w:rPr>
              <w:t>污水预处理系统</w:t>
            </w:r>
          </w:p>
        </w:tc>
      </w:tr>
      <w:tr w:rsidR="008A2411" w:rsidRPr="008A2411" w14:paraId="44BD3B2A" w14:textId="77777777">
        <w:trPr>
          <w:trHeight w:val="303"/>
        </w:trPr>
        <w:tc>
          <w:tcPr>
            <w:tcW w:w="656" w:type="pct"/>
            <w:vMerge/>
            <w:tcBorders>
              <w:top w:val="nil"/>
              <w:left w:val="single" w:sz="8" w:space="0" w:color="000000"/>
              <w:bottom w:val="single" w:sz="8" w:space="0" w:color="000000"/>
              <w:right w:val="single" w:sz="8" w:space="0" w:color="000000"/>
            </w:tcBorders>
            <w:shd w:val="clear" w:color="auto" w:fill="auto"/>
            <w:vAlign w:val="center"/>
          </w:tcPr>
          <w:p w14:paraId="71B8E94E" w14:textId="77777777" w:rsidR="00B0005F" w:rsidRPr="008A2411" w:rsidRDefault="00B0005F">
            <w:pPr>
              <w:jc w:val="center"/>
              <w:rPr>
                <w:rFonts w:ascii="Times New Roman"/>
                <w:color w:val="000000" w:themeColor="text1"/>
                <w:sz w:val="21"/>
                <w:szCs w:val="21"/>
              </w:rPr>
            </w:pPr>
          </w:p>
        </w:tc>
        <w:tc>
          <w:tcPr>
            <w:tcW w:w="718" w:type="pct"/>
            <w:tcBorders>
              <w:top w:val="nil"/>
              <w:left w:val="single" w:sz="8" w:space="0" w:color="000000"/>
              <w:bottom w:val="single" w:sz="8" w:space="0" w:color="000000"/>
              <w:right w:val="single" w:sz="8" w:space="0" w:color="000000"/>
            </w:tcBorders>
            <w:shd w:val="clear" w:color="auto" w:fill="auto"/>
            <w:vAlign w:val="center"/>
          </w:tcPr>
          <w:p w14:paraId="5DDB4BC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w:t>
            </w:r>
          </w:p>
        </w:tc>
        <w:tc>
          <w:tcPr>
            <w:tcW w:w="674" w:type="pct"/>
            <w:tcBorders>
              <w:top w:val="nil"/>
              <w:left w:val="single" w:sz="8" w:space="0" w:color="000000"/>
              <w:bottom w:val="single" w:sz="8" w:space="0" w:color="000000"/>
              <w:right w:val="single" w:sz="8" w:space="0" w:color="000000"/>
            </w:tcBorders>
            <w:shd w:val="clear" w:color="auto" w:fill="auto"/>
            <w:vAlign w:val="center"/>
          </w:tcPr>
          <w:p w14:paraId="40F7B1B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w:t>
            </w:r>
          </w:p>
        </w:tc>
        <w:tc>
          <w:tcPr>
            <w:tcW w:w="1195" w:type="pct"/>
            <w:tcBorders>
              <w:top w:val="nil"/>
              <w:left w:val="single" w:sz="8" w:space="0" w:color="000000"/>
              <w:bottom w:val="single" w:sz="8" w:space="0" w:color="000000"/>
              <w:right w:val="single" w:sz="8" w:space="0" w:color="000000"/>
            </w:tcBorders>
            <w:shd w:val="clear" w:color="auto" w:fill="auto"/>
            <w:vAlign w:val="center"/>
          </w:tcPr>
          <w:p w14:paraId="7968B24F" w14:textId="77777777" w:rsidR="00B0005F" w:rsidRPr="008A2411" w:rsidRDefault="00000000">
            <w:pPr>
              <w:widowControl/>
              <w:jc w:val="center"/>
              <w:textAlignment w:val="top"/>
              <w:rPr>
                <w:rFonts w:ascii="Times New Roman"/>
                <w:color w:val="000000" w:themeColor="text1"/>
                <w:sz w:val="21"/>
                <w:szCs w:val="21"/>
              </w:rPr>
            </w:pPr>
            <w:r w:rsidRPr="008A2411">
              <w:rPr>
                <w:rFonts w:ascii="Times New Roman"/>
                <w:color w:val="000000" w:themeColor="text1"/>
                <w:sz w:val="21"/>
                <w:szCs w:val="21"/>
                <w:lang w:bidi="ar"/>
              </w:rPr>
              <w:t>重烃组分</w:t>
            </w:r>
          </w:p>
        </w:tc>
        <w:tc>
          <w:tcPr>
            <w:tcW w:w="625" w:type="pct"/>
            <w:tcBorders>
              <w:top w:val="nil"/>
              <w:left w:val="single" w:sz="8" w:space="0" w:color="000000"/>
              <w:bottom w:val="single" w:sz="8" w:space="0" w:color="000000"/>
              <w:right w:val="single" w:sz="8" w:space="0" w:color="000000"/>
            </w:tcBorders>
            <w:shd w:val="clear" w:color="auto" w:fill="auto"/>
            <w:vAlign w:val="center"/>
          </w:tcPr>
          <w:p w14:paraId="408D66D4"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13</w:t>
            </w:r>
          </w:p>
        </w:tc>
        <w:tc>
          <w:tcPr>
            <w:tcW w:w="1128" w:type="pct"/>
            <w:tcBorders>
              <w:top w:val="nil"/>
              <w:left w:val="single" w:sz="8" w:space="0" w:color="000000"/>
              <w:bottom w:val="single" w:sz="8" w:space="0" w:color="000000"/>
              <w:right w:val="single" w:sz="8" w:space="0" w:color="000000"/>
            </w:tcBorders>
            <w:shd w:val="clear" w:color="auto" w:fill="auto"/>
            <w:vAlign w:val="center"/>
          </w:tcPr>
          <w:p w14:paraId="0BAE9CAC" w14:textId="77777777" w:rsidR="00B0005F" w:rsidRPr="008A2411" w:rsidRDefault="00000000">
            <w:pPr>
              <w:widowControl/>
              <w:jc w:val="center"/>
              <w:textAlignment w:val="top"/>
              <w:rPr>
                <w:rFonts w:ascii="Times New Roman"/>
                <w:color w:val="000000" w:themeColor="text1"/>
                <w:sz w:val="21"/>
                <w:szCs w:val="21"/>
              </w:rPr>
            </w:pPr>
            <w:r w:rsidRPr="008A2411">
              <w:rPr>
                <w:rFonts w:ascii="Times New Roman"/>
                <w:color w:val="000000" w:themeColor="text1"/>
                <w:sz w:val="21"/>
                <w:szCs w:val="21"/>
                <w:lang w:bidi="ar"/>
              </w:rPr>
              <w:t>副产品，外售</w:t>
            </w:r>
          </w:p>
        </w:tc>
      </w:tr>
      <w:tr w:rsidR="008A2411" w:rsidRPr="008A2411" w14:paraId="3AD16DC5" w14:textId="77777777">
        <w:trPr>
          <w:trHeight w:val="447"/>
        </w:trPr>
        <w:tc>
          <w:tcPr>
            <w:tcW w:w="656" w:type="pct"/>
            <w:vMerge/>
            <w:tcBorders>
              <w:top w:val="nil"/>
              <w:left w:val="single" w:sz="8" w:space="0" w:color="000000"/>
              <w:bottom w:val="single" w:sz="8" w:space="0" w:color="000000"/>
              <w:right w:val="single" w:sz="8" w:space="0" w:color="000000"/>
            </w:tcBorders>
            <w:shd w:val="clear" w:color="auto" w:fill="auto"/>
            <w:vAlign w:val="center"/>
          </w:tcPr>
          <w:p w14:paraId="2A939B71" w14:textId="77777777" w:rsidR="00B0005F" w:rsidRPr="008A2411" w:rsidRDefault="00B0005F">
            <w:pPr>
              <w:jc w:val="center"/>
              <w:rPr>
                <w:rFonts w:ascii="Times New Roman"/>
                <w:color w:val="000000" w:themeColor="text1"/>
                <w:sz w:val="21"/>
                <w:szCs w:val="21"/>
              </w:rPr>
            </w:pPr>
          </w:p>
        </w:tc>
        <w:tc>
          <w:tcPr>
            <w:tcW w:w="718" w:type="pct"/>
            <w:tcBorders>
              <w:top w:val="nil"/>
              <w:left w:val="single" w:sz="8" w:space="0" w:color="000000"/>
              <w:bottom w:val="single" w:sz="8" w:space="0" w:color="000000"/>
              <w:right w:val="single" w:sz="8" w:space="0" w:color="000000"/>
            </w:tcBorders>
            <w:shd w:val="clear" w:color="auto" w:fill="auto"/>
            <w:vAlign w:val="center"/>
          </w:tcPr>
          <w:p w14:paraId="7BBF0814"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w:t>
            </w:r>
          </w:p>
        </w:tc>
        <w:tc>
          <w:tcPr>
            <w:tcW w:w="674" w:type="pct"/>
            <w:tcBorders>
              <w:top w:val="nil"/>
              <w:left w:val="single" w:sz="8" w:space="0" w:color="000000"/>
              <w:bottom w:val="single" w:sz="8" w:space="0" w:color="000000"/>
              <w:right w:val="single" w:sz="8" w:space="0" w:color="000000"/>
            </w:tcBorders>
            <w:shd w:val="clear" w:color="auto" w:fill="auto"/>
            <w:vAlign w:val="center"/>
          </w:tcPr>
          <w:p w14:paraId="6AA5D2C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w:t>
            </w:r>
          </w:p>
        </w:tc>
        <w:tc>
          <w:tcPr>
            <w:tcW w:w="1195" w:type="pct"/>
            <w:tcBorders>
              <w:top w:val="nil"/>
              <w:left w:val="single" w:sz="8" w:space="0" w:color="000000"/>
              <w:bottom w:val="single" w:sz="8" w:space="0" w:color="000000"/>
              <w:right w:val="single" w:sz="8" w:space="0" w:color="000000"/>
            </w:tcBorders>
            <w:shd w:val="clear" w:color="auto" w:fill="auto"/>
            <w:vAlign w:val="center"/>
          </w:tcPr>
          <w:p w14:paraId="76945C08" w14:textId="77777777" w:rsidR="00B0005F" w:rsidRPr="008A2411" w:rsidRDefault="00000000">
            <w:pPr>
              <w:widowControl/>
              <w:jc w:val="center"/>
              <w:textAlignment w:val="top"/>
              <w:rPr>
                <w:rFonts w:ascii="Times New Roman"/>
                <w:color w:val="000000" w:themeColor="text1"/>
                <w:sz w:val="21"/>
                <w:szCs w:val="21"/>
              </w:rPr>
            </w:pPr>
            <w:r w:rsidRPr="008A2411">
              <w:rPr>
                <w:rFonts w:ascii="Times New Roman" w:hint="eastAsia"/>
                <w:color w:val="000000" w:themeColor="text1"/>
                <w:sz w:val="21"/>
                <w:szCs w:val="21"/>
                <w:lang w:bidi="ar"/>
              </w:rPr>
              <w:t>装车蒸发气及</w:t>
            </w:r>
            <w:r w:rsidRPr="008A2411">
              <w:rPr>
                <w:rFonts w:ascii="Times New Roman"/>
                <w:color w:val="000000" w:themeColor="text1"/>
                <w:sz w:val="21"/>
                <w:szCs w:val="21"/>
                <w:lang w:bidi="ar"/>
              </w:rPr>
              <w:t>BOG</w:t>
            </w:r>
            <w:r w:rsidRPr="008A2411">
              <w:rPr>
                <w:rFonts w:ascii="Times New Roman"/>
                <w:color w:val="000000" w:themeColor="text1"/>
                <w:sz w:val="21"/>
                <w:szCs w:val="21"/>
                <w:lang w:bidi="ar"/>
              </w:rPr>
              <w:t>蒸发气</w:t>
            </w:r>
          </w:p>
        </w:tc>
        <w:tc>
          <w:tcPr>
            <w:tcW w:w="625" w:type="pct"/>
            <w:tcBorders>
              <w:top w:val="nil"/>
              <w:left w:val="single" w:sz="8" w:space="0" w:color="000000"/>
              <w:bottom w:val="single" w:sz="8" w:space="0" w:color="000000"/>
              <w:right w:val="single" w:sz="8" w:space="0" w:color="000000"/>
            </w:tcBorders>
            <w:shd w:val="clear" w:color="auto" w:fill="auto"/>
            <w:vAlign w:val="center"/>
          </w:tcPr>
          <w:p w14:paraId="349B9824"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286</w:t>
            </w:r>
          </w:p>
        </w:tc>
        <w:tc>
          <w:tcPr>
            <w:tcW w:w="1128" w:type="pct"/>
            <w:tcBorders>
              <w:top w:val="nil"/>
              <w:left w:val="single" w:sz="8" w:space="0" w:color="000000"/>
              <w:bottom w:val="single" w:sz="8" w:space="0" w:color="000000"/>
              <w:right w:val="single" w:sz="8" w:space="0" w:color="000000"/>
            </w:tcBorders>
            <w:shd w:val="clear" w:color="auto" w:fill="auto"/>
            <w:vAlign w:val="center"/>
          </w:tcPr>
          <w:p w14:paraId="50287305" w14:textId="77777777" w:rsidR="00B0005F" w:rsidRPr="008A2411" w:rsidRDefault="00000000">
            <w:pPr>
              <w:widowControl/>
              <w:jc w:val="center"/>
              <w:textAlignment w:val="top"/>
              <w:rPr>
                <w:rFonts w:ascii="Times New Roman"/>
                <w:color w:val="000000" w:themeColor="text1"/>
                <w:sz w:val="21"/>
                <w:szCs w:val="21"/>
              </w:rPr>
            </w:pPr>
            <w:r w:rsidRPr="008A2411">
              <w:rPr>
                <w:rFonts w:ascii="Times New Roman"/>
                <w:color w:val="000000" w:themeColor="text1"/>
                <w:sz w:val="21"/>
                <w:szCs w:val="21"/>
                <w:lang w:bidi="ar"/>
              </w:rPr>
              <w:t>燃料气系统火下游门站</w:t>
            </w:r>
          </w:p>
        </w:tc>
      </w:tr>
      <w:tr w:rsidR="008A2411" w:rsidRPr="008A2411" w14:paraId="55A828BB" w14:textId="77777777">
        <w:trPr>
          <w:trHeight w:val="303"/>
        </w:trPr>
        <w:tc>
          <w:tcPr>
            <w:tcW w:w="656" w:type="pct"/>
            <w:vMerge/>
            <w:tcBorders>
              <w:top w:val="nil"/>
              <w:left w:val="single" w:sz="8" w:space="0" w:color="000000"/>
              <w:bottom w:val="single" w:sz="8" w:space="0" w:color="000000"/>
              <w:right w:val="single" w:sz="8" w:space="0" w:color="000000"/>
            </w:tcBorders>
            <w:shd w:val="clear" w:color="auto" w:fill="auto"/>
            <w:vAlign w:val="center"/>
          </w:tcPr>
          <w:p w14:paraId="0F6CE813" w14:textId="77777777" w:rsidR="00B0005F" w:rsidRPr="008A2411" w:rsidRDefault="00B0005F">
            <w:pPr>
              <w:jc w:val="center"/>
              <w:rPr>
                <w:rFonts w:ascii="Times New Roman"/>
                <w:color w:val="000000" w:themeColor="text1"/>
                <w:sz w:val="21"/>
                <w:szCs w:val="21"/>
              </w:rPr>
            </w:pPr>
          </w:p>
        </w:tc>
        <w:tc>
          <w:tcPr>
            <w:tcW w:w="718" w:type="pct"/>
            <w:tcBorders>
              <w:top w:val="nil"/>
              <w:left w:val="single" w:sz="8" w:space="0" w:color="000000"/>
              <w:bottom w:val="single" w:sz="8" w:space="0" w:color="000000"/>
              <w:right w:val="single" w:sz="8" w:space="0" w:color="000000"/>
            </w:tcBorders>
            <w:shd w:val="clear" w:color="auto" w:fill="auto"/>
            <w:vAlign w:val="center"/>
          </w:tcPr>
          <w:p w14:paraId="600FDBA5"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w:t>
            </w:r>
          </w:p>
        </w:tc>
        <w:tc>
          <w:tcPr>
            <w:tcW w:w="674" w:type="pct"/>
            <w:tcBorders>
              <w:top w:val="nil"/>
              <w:left w:val="single" w:sz="8" w:space="0" w:color="000000"/>
              <w:bottom w:val="single" w:sz="8" w:space="0" w:color="000000"/>
              <w:right w:val="single" w:sz="8" w:space="0" w:color="000000"/>
            </w:tcBorders>
            <w:shd w:val="clear" w:color="auto" w:fill="auto"/>
            <w:vAlign w:val="center"/>
          </w:tcPr>
          <w:p w14:paraId="5B6A325D"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w:t>
            </w:r>
          </w:p>
        </w:tc>
        <w:tc>
          <w:tcPr>
            <w:tcW w:w="1195" w:type="pct"/>
            <w:tcBorders>
              <w:top w:val="nil"/>
              <w:left w:val="single" w:sz="8" w:space="0" w:color="000000"/>
              <w:bottom w:val="single" w:sz="8" w:space="0" w:color="000000"/>
              <w:right w:val="single" w:sz="8" w:space="0" w:color="000000"/>
            </w:tcBorders>
            <w:shd w:val="clear" w:color="auto" w:fill="auto"/>
            <w:vAlign w:val="center"/>
          </w:tcPr>
          <w:p w14:paraId="141B096E" w14:textId="77777777" w:rsidR="00B0005F" w:rsidRPr="008A2411" w:rsidRDefault="00000000">
            <w:pPr>
              <w:widowControl/>
              <w:jc w:val="center"/>
              <w:textAlignment w:val="top"/>
              <w:rPr>
                <w:rFonts w:ascii="Times New Roman"/>
                <w:color w:val="000000" w:themeColor="text1"/>
                <w:sz w:val="21"/>
                <w:szCs w:val="21"/>
                <w:lang w:bidi="ar"/>
              </w:rPr>
            </w:pPr>
            <w:r w:rsidRPr="008A2411">
              <w:rPr>
                <w:rFonts w:ascii="Times New Roman"/>
                <w:color w:val="000000" w:themeColor="text1"/>
                <w:sz w:val="21"/>
                <w:szCs w:val="21"/>
                <w:lang w:bidi="ar"/>
              </w:rPr>
              <w:t>LNG</w:t>
            </w:r>
            <w:r w:rsidRPr="008A2411">
              <w:rPr>
                <w:rFonts w:ascii="Times New Roman"/>
                <w:color w:val="000000" w:themeColor="text1"/>
                <w:sz w:val="21"/>
                <w:szCs w:val="21"/>
                <w:lang w:bidi="ar"/>
              </w:rPr>
              <w:t>产品</w:t>
            </w:r>
          </w:p>
        </w:tc>
        <w:tc>
          <w:tcPr>
            <w:tcW w:w="625" w:type="pct"/>
            <w:tcBorders>
              <w:top w:val="nil"/>
              <w:left w:val="single" w:sz="8" w:space="0" w:color="000000"/>
              <w:bottom w:val="single" w:sz="8" w:space="0" w:color="000000"/>
              <w:right w:val="single" w:sz="8" w:space="0" w:color="000000"/>
            </w:tcBorders>
            <w:shd w:val="clear" w:color="auto" w:fill="auto"/>
            <w:vAlign w:val="center"/>
          </w:tcPr>
          <w:p w14:paraId="6C458D29" w14:textId="77777777" w:rsidR="00B0005F" w:rsidRPr="008A2411" w:rsidRDefault="00000000">
            <w:pPr>
              <w:rPr>
                <w:rFonts w:ascii="Times New Roman"/>
                <w:color w:val="000000" w:themeColor="text1"/>
                <w:sz w:val="21"/>
                <w:szCs w:val="21"/>
                <w:lang w:bidi="ar"/>
              </w:rPr>
            </w:pPr>
            <w:r w:rsidRPr="008A2411">
              <w:rPr>
                <w:rFonts w:ascii="Times New Roman"/>
                <w:color w:val="000000" w:themeColor="text1"/>
                <w:sz w:val="21"/>
                <w:szCs w:val="21"/>
                <w:lang w:bidi="ar"/>
              </w:rPr>
              <w:t>27651.01</w:t>
            </w:r>
          </w:p>
        </w:tc>
        <w:tc>
          <w:tcPr>
            <w:tcW w:w="1128" w:type="pct"/>
            <w:tcBorders>
              <w:top w:val="nil"/>
              <w:left w:val="single" w:sz="8" w:space="0" w:color="000000"/>
              <w:bottom w:val="single" w:sz="8" w:space="0" w:color="000000"/>
              <w:right w:val="single" w:sz="8" w:space="0" w:color="000000"/>
            </w:tcBorders>
            <w:shd w:val="clear" w:color="auto" w:fill="auto"/>
            <w:vAlign w:val="center"/>
          </w:tcPr>
          <w:p w14:paraId="434553AF" w14:textId="77777777" w:rsidR="00B0005F" w:rsidRPr="008A2411" w:rsidRDefault="00000000">
            <w:pPr>
              <w:widowControl/>
              <w:jc w:val="center"/>
              <w:textAlignment w:val="top"/>
              <w:rPr>
                <w:rFonts w:ascii="Times New Roman"/>
                <w:color w:val="000000" w:themeColor="text1"/>
                <w:sz w:val="21"/>
                <w:szCs w:val="21"/>
                <w:lang w:bidi="ar"/>
              </w:rPr>
            </w:pPr>
            <w:r w:rsidRPr="008A2411">
              <w:rPr>
                <w:rFonts w:ascii="Times New Roman"/>
                <w:color w:val="000000" w:themeColor="text1"/>
                <w:sz w:val="21"/>
                <w:szCs w:val="21"/>
                <w:lang w:bidi="ar"/>
              </w:rPr>
              <w:t>产品，外售</w:t>
            </w:r>
          </w:p>
        </w:tc>
      </w:tr>
      <w:tr w:rsidR="008A2411" w:rsidRPr="008A2411" w14:paraId="4AC2BC8C" w14:textId="77777777">
        <w:trPr>
          <w:trHeight w:val="447"/>
        </w:trPr>
        <w:tc>
          <w:tcPr>
            <w:tcW w:w="656" w:type="pct"/>
            <w:tcBorders>
              <w:top w:val="nil"/>
              <w:left w:val="single" w:sz="8" w:space="0" w:color="000000"/>
              <w:bottom w:val="single" w:sz="8" w:space="0" w:color="000000"/>
              <w:right w:val="single" w:sz="8" w:space="0" w:color="000000"/>
            </w:tcBorders>
            <w:shd w:val="clear" w:color="auto" w:fill="auto"/>
            <w:vAlign w:val="center"/>
          </w:tcPr>
          <w:p w14:paraId="2F2F64B4"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辅料</w:t>
            </w:r>
          </w:p>
        </w:tc>
        <w:tc>
          <w:tcPr>
            <w:tcW w:w="718" w:type="pct"/>
            <w:tcBorders>
              <w:top w:val="nil"/>
              <w:left w:val="single" w:sz="8" w:space="0" w:color="000000"/>
              <w:bottom w:val="single" w:sz="8" w:space="0" w:color="000000"/>
              <w:right w:val="single" w:sz="8" w:space="0" w:color="000000"/>
            </w:tcBorders>
            <w:shd w:val="clear" w:color="auto" w:fill="auto"/>
            <w:vAlign w:val="center"/>
          </w:tcPr>
          <w:p w14:paraId="48370DE7" w14:textId="77777777" w:rsidR="00B0005F" w:rsidRPr="008A2411" w:rsidRDefault="00000000">
            <w:pPr>
              <w:widowControl/>
              <w:jc w:val="center"/>
              <w:textAlignment w:val="top"/>
              <w:rPr>
                <w:rFonts w:ascii="Times New Roman"/>
                <w:color w:val="000000" w:themeColor="text1"/>
                <w:sz w:val="21"/>
                <w:szCs w:val="21"/>
              </w:rPr>
            </w:pPr>
            <w:r w:rsidRPr="008A2411">
              <w:rPr>
                <w:rFonts w:ascii="Times New Roman"/>
                <w:color w:val="000000" w:themeColor="text1"/>
                <w:sz w:val="21"/>
                <w:szCs w:val="21"/>
                <w:lang w:bidi="ar"/>
              </w:rPr>
              <w:t>冷剂（丙烷、乙烯、异戊烷）</w:t>
            </w:r>
          </w:p>
        </w:tc>
        <w:tc>
          <w:tcPr>
            <w:tcW w:w="674" w:type="pct"/>
            <w:tcBorders>
              <w:top w:val="nil"/>
              <w:left w:val="single" w:sz="8" w:space="0" w:color="000000"/>
              <w:bottom w:val="single" w:sz="8" w:space="0" w:color="000000"/>
              <w:right w:val="single" w:sz="8" w:space="0" w:color="000000"/>
            </w:tcBorders>
            <w:shd w:val="clear" w:color="auto" w:fill="auto"/>
            <w:vAlign w:val="center"/>
          </w:tcPr>
          <w:p w14:paraId="031D3FD2" w14:textId="77777777" w:rsidR="00B0005F" w:rsidRPr="008A2411" w:rsidRDefault="00000000">
            <w:pPr>
              <w:widowControl/>
              <w:jc w:val="center"/>
              <w:textAlignment w:val="top"/>
              <w:rPr>
                <w:rFonts w:ascii="Times New Roman"/>
                <w:color w:val="000000" w:themeColor="text1"/>
                <w:sz w:val="21"/>
                <w:szCs w:val="21"/>
              </w:rPr>
            </w:pPr>
            <w:r w:rsidRPr="008A2411">
              <w:rPr>
                <w:rFonts w:ascii="Times New Roman"/>
                <w:color w:val="000000" w:themeColor="text1"/>
                <w:sz w:val="21"/>
                <w:szCs w:val="21"/>
                <w:lang w:bidi="ar"/>
              </w:rPr>
              <w:t>142.6</w:t>
            </w:r>
          </w:p>
        </w:tc>
        <w:tc>
          <w:tcPr>
            <w:tcW w:w="1195" w:type="pct"/>
            <w:tcBorders>
              <w:top w:val="nil"/>
              <w:left w:val="single" w:sz="8" w:space="0" w:color="000000"/>
              <w:bottom w:val="single" w:sz="8" w:space="0" w:color="000000"/>
              <w:right w:val="single" w:sz="8" w:space="0" w:color="000000"/>
            </w:tcBorders>
            <w:shd w:val="clear" w:color="auto" w:fill="auto"/>
            <w:vAlign w:val="center"/>
          </w:tcPr>
          <w:p w14:paraId="14261A28" w14:textId="77777777" w:rsidR="00B0005F" w:rsidRPr="008A2411" w:rsidRDefault="00000000">
            <w:pPr>
              <w:widowControl/>
              <w:jc w:val="center"/>
              <w:textAlignment w:val="top"/>
              <w:rPr>
                <w:rFonts w:ascii="Times New Roman"/>
                <w:color w:val="000000" w:themeColor="text1"/>
                <w:sz w:val="21"/>
                <w:szCs w:val="21"/>
              </w:rPr>
            </w:pPr>
            <w:r w:rsidRPr="008A2411">
              <w:rPr>
                <w:rFonts w:ascii="Times New Roman"/>
                <w:color w:val="000000" w:themeColor="text1"/>
                <w:sz w:val="21"/>
                <w:szCs w:val="21"/>
                <w:lang w:bidi="ar"/>
              </w:rPr>
              <w:t>循环冷剂</w:t>
            </w:r>
          </w:p>
        </w:tc>
        <w:tc>
          <w:tcPr>
            <w:tcW w:w="625" w:type="pct"/>
            <w:tcBorders>
              <w:top w:val="nil"/>
              <w:left w:val="single" w:sz="8" w:space="0" w:color="000000"/>
              <w:bottom w:val="single" w:sz="8" w:space="0" w:color="000000"/>
              <w:right w:val="single" w:sz="8" w:space="0" w:color="000000"/>
            </w:tcBorders>
            <w:shd w:val="clear" w:color="auto" w:fill="auto"/>
            <w:vAlign w:val="center"/>
          </w:tcPr>
          <w:p w14:paraId="14C63339" w14:textId="77777777" w:rsidR="00B0005F" w:rsidRPr="008A2411" w:rsidRDefault="00000000">
            <w:pPr>
              <w:widowControl/>
              <w:jc w:val="center"/>
              <w:textAlignment w:val="top"/>
              <w:rPr>
                <w:rFonts w:ascii="Times New Roman"/>
                <w:color w:val="000000" w:themeColor="text1"/>
                <w:sz w:val="21"/>
                <w:szCs w:val="21"/>
              </w:rPr>
            </w:pPr>
            <w:r w:rsidRPr="008A2411">
              <w:rPr>
                <w:rFonts w:ascii="Times New Roman"/>
                <w:color w:val="000000" w:themeColor="text1"/>
                <w:sz w:val="21"/>
                <w:szCs w:val="21"/>
                <w:lang w:bidi="ar"/>
              </w:rPr>
              <w:t>142.6</w:t>
            </w:r>
          </w:p>
        </w:tc>
        <w:tc>
          <w:tcPr>
            <w:tcW w:w="1128" w:type="pct"/>
            <w:tcBorders>
              <w:top w:val="nil"/>
              <w:left w:val="single" w:sz="8" w:space="0" w:color="000000"/>
              <w:bottom w:val="single" w:sz="8" w:space="0" w:color="000000"/>
              <w:right w:val="single" w:sz="8" w:space="0" w:color="000000"/>
            </w:tcBorders>
            <w:shd w:val="clear" w:color="auto" w:fill="auto"/>
            <w:vAlign w:val="center"/>
          </w:tcPr>
          <w:p w14:paraId="12A7CF27" w14:textId="77777777" w:rsidR="00B0005F" w:rsidRPr="008A2411" w:rsidRDefault="00000000">
            <w:pPr>
              <w:widowControl/>
              <w:jc w:val="center"/>
              <w:textAlignment w:val="top"/>
              <w:rPr>
                <w:rFonts w:ascii="Times New Roman"/>
                <w:color w:val="000000" w:themeColor="text1"/>
                <w:sz w:val="21"/>
                <w:szCs w:val="21"/>
              </w:rPr>
            </w:pPr>
            <w:r w:rsidRPr="008A2411">
              <w:rPr>
                <w:rFonts w:ascii="Times New Roman"/>
                <w:color w:val="000000" w:themeColor="text1"/>
                <w:sz w:val="21"/>
                <w:szCs w:val="21"/>
                <w:lang w:bidi="ar"/>
              </w:rPr>
              <w:t>循环使用</w:t>
            </w:r>
          </w:p>
        </w:tc>
      </w:tr>
      <w:tr w:rsidR="008A2411" w:rsidRPr="008A2411" w14:paraId="259E4E74" w14:textId="77777777">
        <w:trPr>
          <w:trHeight w:val="303"/>
        </w:trPr>
        <w:tc>
          <w:tcPr>
            <w:tcW w:w="1375" w:type="pct"/>
            <w:gridSpan w:val="2"/>
            <w:tcBorders>
              <w:top w:val="nil"/>
              <w:left w:val="single" w:sz="8" w:space="0" w:color="000000"/>
              <w:bottom w:val="single" w:sz="8" w:space="0" w:color="000000"/>
              <w:right w:val="single" w:sz="8" w:space="0" w:color="000000"/>
            </w:tcBorders>
            <w:shd w:val="clear" w:color="auto" w:fill="auto"/>
            <w:vAlign w:val="center"/>
          </w:tcPr>
          <w:p w14:paraId="2BC8153C" w14:textId="77777777" w:rsidR="00B0005F" w:rsidRPr="008A2411" w:rsidRDefault="00000000">
            <w:pPr>
              <w:widowControl/>
              <w:jc w:val="center"/>
              <w:textAlignment w:val="top"/>
              <w:rPr>
                <w:rFonts w:ascii="Times New Roman"/>
                <w:b/>
                <w:bCs/>
                <w:color w:val="000000" w:themeColor="text1"/>
                <w:sz w:val="21"/>
                <w:szCs w:val="21"/>
              </w:rPr>
            </w:pPr>
            <w:r w:rsidRPr="008A2411">
              <w:rPr>
                <w:rFonts w:ascii="Times New Roman"/>
                <w:b/>
                <w:bCs/>
                <w:color w:val="000000" w:themeColor="text1"/>
                <w:sz w:val="21"/>
                <w:szCs w:val="21"/>
                <w:lang w:bidi="ar"/>
              </w:rPr>
              <w:t>合</w:t>
            </w:r>
            <w:r w:rsidRPr="008A2411">
              <w:rPr>
                <w:rFonts w:ascii="Times New Roman"/>
                <w:b/>
                <w:bCs/>
                <w:color w:val="000000" w:themeColor="text1"/>
                <w:sz w:val="21"/>
                <w:szCs w:val="21"/>
                <w:lang w:bidi="ar"/>
              </w:rPr>
              <w:t xml:space="preserve"> </w:t>
            </w:r>
            <w:r w:rsidRPr="008A2411">
              <w:rPr>
                <w:rFonts w:ascii="Times New Roman"/>
                <w:b/>
                <w:bCs/>
                <w:color w:val="000000" w:themeColor="text1"/>
                <w:sz w:val="21"/>
                <w:szCs w:val="21"/>
                <w:lang w:bidi="ar"/>
              </w:rPr>
              <w:t>计</w:t>
            </w:r>
          </w:p>
        </w:tc>
        <w:tc>
          <w:tcPr>
            <w:tcW w:w="674" w:type="pct"/>
            <w:tcBorders>
              <w:top w:val="nil"/>
              <w:left w:val="single" w:sz="8" w:space="0" w:color="000000"/>
              <w:bottom w:val="single" w:sz="8" w:space="0" w:color="000000"/>
              <w:right w:val="single" w:sz="8" w:space="0" w:color="000000"/>
            </w:tcBorders>
            <w:shd w:val="clear" w:color="auto" w:fill="auto"/>
            <w:vAlign w:val="center"/>
          </w:tcPr>
          <w:p w14:paraId="35E3787D" w14:textId="77777777" w:rsidR="00B0005F" w:rsidRPr="008A2411" w:rsidRDefault="00000000">
            <w:pPr>
              <w:widowControl/>
              <w:jc w:val="center"/>
              <w:textAlignment w:val="center"/>
              <w:rPr>
                <w:rFonts w:ascii="Times New Roman"/>
                <w:b/>
                <w:bCs/>
                <w:color w:val="000000" w:themeColor="text1"/>
                <w:sz w:val="21"/>
                <w:szCs w:val="21"/>
              </w:rPr>
            </w:pPr>
            <w:r w:rsidRPr="008A2411">
              <w:rPr>
                <w:rFonts w:ascii="Times New Roman"/>
                <w:b/>
                <w:bCs/>
                <w:color w:val="000000" w:themeColor="text1"/>
                <w:sz w:val="21"/>
                <w:szCs w:val="21"/>
                <w:lang w:bidi="ar"/>
              </w:rPr>
              <w:t>29142.575</w:t>
            </w:r>
          </w:p>
        </w:tc>
        <w:tc>
          <w:tcPr>
            <w:tcW w:w="1195" w:type="pct"/>
            <w:tcBorders>
              <w:top w:val="nil"/>
              <w:left w:val="single" w:sz="8" w:space="0" w:color="000000"/>
              <w:bottom w:val="single" w:sz="8" w:space="0" w:color="000000"/>
              <w:right w:val="single" w:sz="8" w:space="0" w:color="000000"/>
            </w:tcBorders>
            <w:shd w:val="clear" w:color="auto" w:fill="auto"/>
            <w:vAlign w:val="center"/>
          </w:tcPr>
          <w:p w14:paraId="72921724" w14:textId="77777777" w:rsidR="00B0005F" w:rsidRPr="008A2411" w:rsidRDefault="00000000">
            <w:pPr>
              <w:widowControl/>
              <w:jc w:val="center"/>
              <w:textAlignment w:val="center"/>
              <w:rPr>
                <w:rFonts w:ascii="Times New Roman"/>
                <w:b/>
                <w:bCs/>
                <w:color w:val="000000" w:themeColor="text1"/>
                <w:sz w:val="21"/>
                <w:szCs w:val="21"/>
              </w:rPr>
            </w:pPr>
            <w:r w:rsidRPr="008A2411">
              <w:rPr>
                <w:rFonts w:ascii="Times New Roman"/>
                <w:b/>
                <w:bCs/>
                <w:color w:val="000000" w:themeColor="text1"/>
                <w:sz w:val="21"/>
                <w:szCs w:val="21"/>
                <w:lang w:bidi="ar"/>
              </w:rPr>
              <w:t>合</w:t>
            </w:r>
            <w:r w:rsidRPr="008A2411">
              <w:rPr>
                <w:rFonts w:ascii="Times New Roman"/>
                <w:b/>
                <w:bCs/>
                <w:color w:val="000000" w:themeColor="text1"/>
                <w:sz w:val="21"/>
                <w:szCs w:val="21"/>
                <w:lang w:bidi="ar"/>
              </w:rPr>
              <w:t xml:space="preserve"> </w:t>
            </w:r>
            <w:r w:rsidRPr="008A2411">
              <w:rPr>
                <w:rFonts w:ascii="Times New Roman"/>
                <w:b/>
                <w:bCs/>
                <w:color w:val="000000" w:themeColor="text1"/>
                <w:sz w:val="21"/>
                <w:szCs w:val="21"/>
                <w:lang w:bidi="ar"/>
              </w:rPr>
              <w:t>计</w:t>
            </w:r>
          </w:p>
        </w:tc>
        <w:tc>
          <w:tcPr>
            <w:tcW w:w="1753" w:type="pct"/>
            <w:gridSpan w:val="2"/>
            <w:tcBorders>
              <w:top w:val="nil"/>
              <w:left w:val="single" w:sz="8" w:space="0" w:color="000000"/>
              <w:bottom w:val="single" w:sz="8" w:space="0" w:color="000000"/>
              <w:right w:val="single" w:sz="8" w:space="0" w:color="000000"/>
            </w:tcBorders>
            <w:shd w:val="clear" w:color="auto" w:fill="auto"/>
            <w:vAlign w:val="center"/>
          </w:tcPr>
          <w:p w14:paraId="698EC812" w14:textId="77777777" w:rsidR="00B0005F" w:rsidRPr="008A2411" w:rsidRDefault="00000000">
            <w:pPr>
              <w:widowControl/>
              <w:jc w:val="center"/>
              <w:textAlignment w:val="center"/>
              <w:rPr>
                <w:rFonts w:ascii="Times New Roman"/>
                <w:b/>
                <w:bCs/>
                <w:color w:val="000000" w:themeColor="text1"/>
                <w:sz w:val="21"/>
                <w:szCs w:val="21"/>
              </w:rPr>
            </w:pPr>
            <w:r w:rsidRPr="008A2411">
              <w:rPr>
                <w:rFonts w:ascii="Times New Roman"/>
                <w:b/>
                <w:bCs/>
                <w:color w:val="000000" w:themeColor="text1"/>
                <w:sz w:val="21"/>
                <w:szCs w:val="21"/>
                <w:lang w:bidi="ar"/>
              </w:rPr>
              <w:t>29142.575</w:t>
            </w:r>
          </w:p>
        </w:tc>
      </w:tr>
    </w:tbl>
    <w:p w14:paraId="453491E8" w14:textId="3EDF1B2A" w:rsidR="00B0005F" w:rsidRPr="008A2411" w:rsidRDefault="00000000">
      <w:pPr>
        <w:spacing w:line="520" w:lineRule="exact"/>
        <w:ind w:firstLine="480"/>
        <w:rPr>
          <w:rFonts w:ascii="Times New Roman"/>
          <w:color w:val="000000" w:themeColor="text1"/>
        </w:rPr>
      </w:pPr>
      <w:r w:rsidRPr="008A2411">
        <w:rPr>
          <w:rFonts w:ascii="Times New Roman"/>
          <w:color w:val="000000" w:themeColor="text1"/>
        </w:rPr>
        <w:t>原料气中总硫含量为</w:t>
      </w:r>
      <w:r w:rsidRPr="008A2411">
        <w:rPr>
          <w:rFonts w:ascii="Times New Roman"/>
          <w:color w:val="000000" w:themeColor="text1"/>
        </w:rPr>
        <w:t>7.28mg/m</w:t>
      </w:r>
      <w:r w:rsidRPr="008A2411">
        <w:rPr>
          <w:rFonts w:ascii="Times New Roman"/>
          <w:color w:val="000000" w:themeColor="text1"/>
          <w:vertAlign w:val="superscript"/>
        </w:rPr>
        <w:t>3</w:t>
      </w:r>
      <w:r w:rsidRPr="008A2411">
        <w:rPr>
          <w:rFonts w:ascii="Times New Roman"/>
          <w:color w:val="000000" w:themeColor="text1"/>
        </w:rPr>
        <w:t>（其中</w:t>
      </w:r>
      <w:r w:rsidRPr="008A2411">
        <w:rPr>
          <w:rFonts w:ascii="Times New Roman"/>
          <w:color w:val="000000" w:themeColor="text1"/>
        </w:rPr>
        <w:t>H</w:t>
      </w:r>
      <w:r w:rsidRPr="008A2411">
        <w:rPr>
          <w:rFonts w:ascii="Times New Roman"/>
          <w:color w:val="000000" w:themeColor="text1"/>
          <w:vertAlign w:val="subscript"/>
        </w:rPr>
        <w:t>2</w:t>
      </w:r>
      <w:r w:rsidRPr="008A2411">
        <w:rPr>
          <w:rFonts w:ascii="Times New Roman"/>
          <w:color w:val="000000" w:themeColor="text1"/>
        </w:rPr>
        <w:t>S</w:t>
      </w:r>
      <w:r w:rsidRPr="008A2411">
        <w:rPr>
          <w:rFonts w:ascii="Times New Roman"/>
          <w:color w:val="000000" w:themeColor="text1"/>
        </w:rPr>
        <w:t>含硫小于</w:t>
      </w:r>
      <w:r w:rsidRPr="008A2411">
        <w:rPr>
          <w:rFonts w:ascii="Times New Roman"/>
          <w:color w:val="000000" w:themeColor="text1"/>
        </w:rPr>
        <w:t>1mg/m</w:t>
      </w:r>
      <w:r w:rsidRPr="008A2411">
        <w:rPr>
          <w:rFonts w:ascii="Times New Roman"/>
          <w:color w:val="000000" w:themeColor="text1"/>
          <w:vertAlign w:val="superscript"/>
        </w:rPr>
        <w:t>3</w:t>
      </w:r>
      <w:r w:rsidRPr="008A2411">
        <w:rPr>
          <w:rFonts w:ascii="Times New Roman"/>
          <w:color w:val="000000" w:themeColor="text1"/>
        </w:rPr>
        <w:t>），</w:t>
      </w:r>
      <w:r w:rsidR="00E17A9A" w:rsidRPr="008A2411">
        <w:rPr>
          <w:rFonts w:ascii="Times New Roman" w:hint="eastAsia"/>
          <w:color w:val="000000" w:themeColor="text1"/>
        </w:rPr>
        <w:t>根据设计单位核实，本</w:t>
      </w:r>
      <w:proofErr w:type="gramStart"/>
      <w:r w:rsidR="00E17A9A" w:rsidRPr="008A2411">
        <w:rPr>
          <w:rFonts w:ascii="Times New Roman" w:hint="eastAsia"/>
          <w:color w:val="000000" w:themeColor="text1"/>
        </w:rPr>
        <w:t>项目胺液</w:t>
      </w:r>
      <w:r w:rsidRPr="008A2411">
        <w:rPr>
          <w:rFonts w:ascii="Times New Roman"/>
          <w:color w:val="000000" w:themeColor="text1"/>
        </w:rPr>
        <w:t>对</w:t>
      </w:r>
      <w:proofErr w:type="gramEnd"/>
      <w:r w:rsidRPr="008A2411">
        <w:rPr>
          <w:rFonts w:ascii="Times New Roman"/>
          <w:color w:val="000000" w:themeColor="text1"/>
        </w:rPr>
        <w:t>硫</w:t>
      </w:r>
      <w:r w:rsidR="00E17A9A" w:rsidRPr="008A2411">
        <w:rPr>
          <w:rFonts w:ascii="Times New Roman" w:hint="eastAsia"/>
          <w:color w:val="000000" w:themeColor="text1"/>
        </w:rPr>
        <w:t>化物</w:t>
      </w:r>
      <w:r w:rsidRPr="008A2411">
        <w:rPr>
          <w:rFonts w:ascii="Times New Roman"/>
          <w:color w:val="000000" w:themeColor="text1"/>
        </w:rPr>
        <w:t>的吸收效率</w:t>
      </w:r>
      <w:r w:rsidR="00E17A9A" w:rsidRPr="008A2411">
        <w:rPr>
          <w:rFonts w:ascii="Times New Roman" w:hint="eastAsia"/>
          <w:color w:val="000000" w:themeColor="text1"/>
        </w:rPr>
        <w:t>约为</w:t>
      </w:r>
      <w:r w:rsidRPr="008A2411">
        <w:rPr>
          <w:rFonts w:ascii="Times New Roman"/>
          <w:color w:val="000000" w:themeColor="text1"/>
        </w:rPr>
        <w:t>60%</w:t>
      </w:r>
      <w:r w:rsidRPr="008A2411">
        <w:rPr>
          <w:rFonts w:ascii="Times New Roman"/>
          <w:color w:val="000000" w:themeColor="text1"/>
        </w:rPr>
        <w:t>，脱硫塔去除效率</w:t>
      </w:r>
      <w:r w:rsidR="00E17A9A" w:rsidRPr="008A2411">
        <w:rPr>
          <w:rFonts w:ascii="Times New Roman" w:hint="eastAsia"/>
          <w:color w:val="000000" w:themeColor="text1"/>
        </w:rPr>
        <w:t>约为</w:t>
      </w:r>
      <w:r w:rsidRPr="008A2411">
        <w:rPr>
          <w:rFonts w:ascii="Times New Roman"/>
          <w:color w:val="000000" w:themeColor="text1"/>
        </w:rPr>
        <w:t>90%</w:t>
      </w:r>
      <w:r w:rsidRPr="008A2411">
        <w:rPr>
          <w:rFonts w:ascii="Times New Roman"/>
          <w:color w:val="000000" w:themeColor="text1"/>
        </w:rPr>
        <w:t>；</w:t>
      </w:r>
      <w:r w:rsidRPr="008A2411">
        <w:rPr>
          <w:rFonts w:ascii="Times New Roman"/>
          <w:color w:val="000000" w:themeColor="text1"/>
        </w:rPr>
        <w:t>CO</w:t>
      </w:r>
      <w:r w:rsidRPr="008A2411">
        <w:rPr>
          <w:rFonts w:ascii="Times New Roman"/>
          <w:color w:val="000000" w:themeColor="text1"/>
          <w:vertAlign w:val="subscript"/>
        </w:rPr>
        <w:t>2</w:t>
      </w:r>
      <w:r w:rsidR="00E17A9A" w:rsidRPr="008A2411">
        <w:rPr>
          <w:rFonts w:ascii="Times New Roman" w:hint="eastAsia"/>
          <w:color w:val="000000" w:themeColor="text1"/>
        </w:rPr>
        <w:t>在</w:t>
      </w:r>
      <w:r w:rsidRPr="008A2411">
        <w:rPr>
          <w:rFonts w:ascii="Times New Roman"/>
          <w:color w:val="000000" w:themeColor="text1"/>
        </w:rPr>
        <w:t>原料气中含量为</w:t>
      </w:r>
      <w:r w:rsidRPr="008A2411">
        <w:rPr>
          <w:rFonts w:ascii="Times New Roman"/>
          <w:color w:val="000000" w:themeColor="text1"/>
        </w:rPr>
        <w:t>1.26%</w:t>
      </w:r>
      <w:r w:rsidRPr="008A2411">
        <w:rPr>
          <w:rFonts w:ascii="Times New Roman"/>
          <w:color w:val="000000" w:themeColor="text1"/>
        </w:rPr>
        <w:t>，脱碳后，含量为</w:t>
      </w:r>
      <w:r w:rsidRPr="008A2411">
        <w:rPr>
          <w:rFonts w:ascii="Times New Roman"/>
          <w:color w:val="000000" w:themeColor="text1"/>
        </w:rPr>
        <w:t>50ppm</w:t>
      </w:r>
      <w:r w:rsidRPr="008A2411">
        <w:rPr>
          <w:rFonts w:ascii="Times New Roman"/>
          <w:color w:val="000000" w:themeColor="text1"/>
        </w:rPr>
        <w:t>，脱碳效率为</w:t>
      </w:r>
      <w:r w:rsidRPr="008A2411">
        <w:rPr>
          <w:rFonts w:ascii="Times New Roman"/>
          <w:color w:val="000000" w:themeColor="text1"/>
        </w:rPr>
        <w:t>99.85%</w:t>
      </w:r>
      <w:r w:rsidRPr="008A2411">
        <w:rPr>
          <w:rFonts w:ascii="Times New Roman"/>
          <w:color w:val="000000" w:themeColor="text1"/>
        </w:rPr>
        <w:t>；脱水效率为</w:t>
      </w:r>
      <w:r w:rsidRPr="008A2411">
        <w:rPr>
          <w:rFonts w:ascii="Times New Roman"/>
          <w:color w:val="000000" w:themeColor="text1"/>
        </w:rPr>
        <w:t>90%</w:t>
      </w:r>
      <w:r w:rsidRPr="008A2411">
        <w:rPr>
          <w:rFonts w:ascii="Times New Roman"/>
          <w:color w:val="000000" w:themeColor="text1"/>
        </w:rPr>
        <w:t>，原料气中汞含量约为</w:t>
      </w:r>
      <w:r w:rsidRPr="008A2411">
        <w:rPr>
          <w:rFonts w:ascii="Times New Roman"/>
          <w:color w:val="000000" w:themeColor="text1"/>
        </w:rPr>
        <w:t>0.1μg/m</w:t>
      </w:r>
      <w:r w:rsidRPr="008A2411">
        <w:rPr>
          <w:rFonts w:ascii="Times New Roman"/>
          <w:color w:val="000000" w:themeColor="text1"/>
          <w:vertAlign w:val="superscript"/>
        </w:rPr>
        <w:t>3</w:t>
      </w:r>
      <w:r w:rsidRPr="008A2411">
        <w:rPr>
          <w:rFonts w:ascii="Times New Roman"/>
          <w:color w:val="000000" w:themeColor="text1"/>
        </w:rPr>
        <w:t>，脱</w:t>
      </w:r>
      <w:proofErr w:type="gramStart"/>
      <w:r w:rsidRPr="008A2411">
        <w:rPr>
          <w:rFonts w:ascii="Times New Roman"/>
          <w:color w:val="000000" w:themeColor="text1"/>
        </w:rPr>
        <w:t>汞塔汞</w:t>
      </w:r>
      <w:proofErr w:type="gramEnd"/>
      <w:r w:rsidRPr="008A2411">
        <w:rPr>
          <w:rFonts w:ascii="Times New Roman"/>
          <w:color w:val="000000" w:themeColor="text1"/>
        </w:rPr>
        <w:t>净化率为</w:t>
      </w:r>
      <w:r w:rsidRPr="008A2411">
        <w:rPr>
          <w:rFonts w:ascii="Times New Roman"/>
          <w:color w:val="000000" w:themeColor="text1"/>
        </w:rPr>
        <w:t>90%</w:t>
      </w:r>
      <w:r w:rsidRPr="008A2411">
        <w:rPr>
          <w:rFonts w:ascii="Times New Roman"/>
          <w:color w:val="000000" w:themeColor="text1"/>
        </w:rPr>
        <w:t>。根据核算出项目物料平衡入下图</w:t>
      </w:r>
      <w:r w:rsidRPr="008A2411">
        <w:rPr>
          <w:rFonts w:ascii="Times New Roman"/>
          <w:color w:val="000000" w:themeColor="text1"/>
        </w:rPr>
        <w:t>2-3</w:t>
      </w:r>
      <w:r w:rsidRPr="008A2411">
        <w:rPr>
          <w:rFonts w:ascii="Times New Roman"/>
          <w:color w:val="000000" w:themeColor="text1"/>
        </w:rPr>
        <w:t>。</w:t>
      </w:r>
    </w:p>
    <w:p w14:paraId="053AA240" w14:textId="77777777" w:rsidR="00B0005F" w:rsidRPr="008A2411" w:rsidRDefault="00B0005F">
      <w:pPr>
        <w:pStyle w:val="TOC2"/>
        <w:rPr>
          <w:rFonts w:ascii="Times New Roman" w:hAnsi="Times New Roman" w:cs="Times New Roman"/>
          <w:color w:val="000000" w:themeColor="text1"/>
        </w:rPr>
      </w:pPr>
    </w:p>
    <w:p w14:paraId="356F2B78" w14:textId="3EB48495" w:rsidR="00B0005F" w:rsidRPr="008A2411" w:rsidRDefault="00B0005F">
      <w:pPr>
        <w:jc w:val="center"/>
        <w:rPr>
          <w:rFonts w:ascii="Times New Roman" w:eastAsia="黑体"/>
          <w:color w:val="000000" w:themeColor="text1"/>
          <w:szCs w:val="21"/>
        </w:rPr>
      </w:pPr>
    </w:p>
    <w:p w14:paraId="2E4F11C9" w14:textId="2A6A14B4" w:rsidR="00E17A9A" w:rsidRPr="008A2411" w:rsidRDefault="00E17A9A" w:rsidP="00E17A9A">
      <w:pPr>
        <w:pStyle w:val="a9"/>
        <w:rPr>
          <w:color w:val="000000" w:themeColor="text1"/>
        </w:rPr>
      </w:pPr>
    </w:p>
    <w:p w14:paraId="42A8F836" w14:textId="6746F9A5" w:rsidR="00E17A9A" w:rsidRPr="008A2411" w:rsidRDefault="00E17A9A" w:rsidP="00E17A9A">
      <w:pPr>
        <w:pStyle w:val="a9"/>
        <w:rPr>
          <w:color w:val="000000" w:themeColor="text1"/>
        </w:rPr>
      </w:pPr>
    </w:p>
    <w:p w14:paraId="28E41A77" w14:textId="51D813CE" w:rsidR="00E17A9A" w:rsidRPr="008A2411" w:rsidRDefault="00E17A9A" w:rsidP="00E17A9A">
      <w:pPr>
        <w:pStyle w:val="a9"/>
        <w:rPr>
          <w:color w:val="000000" w:themeColor="text1"/>
        </w:rPr>
      </w:pPr>
    </w:p>
    <w:p w14:paraId="697CB819" w14:textId="70AF975B" w:rsidR="00E17A9A" w:rsidRPr="008A2411" w:rsidRDefault="00E17A9A" w:rsidP="00E17A9A">
      <w:pPr>
        <w:pStyle w:val="a9"/>
        <w:rPr>
          <w:color w:val="000000" w:themeColor="text1"/>
        </w:rPr>
      </w:pPr>
    </w:p>
    <w:p w14:paraId="1B4E7D11" w14:textId="77777777" w:rsidR="00E17A9A" w:rsidRPr="008A2411" w:rsidRDefault="00E17A9A" w:rsidP="00E17A9A">
      <w:pPr>
        <w:pStyle w:val="a9"/>
        <w:rPr>
          <w:color w:val="000000" w:themeColor="text1"/>
        </w:rPr>
      </w:pPr>
    </w:p>
    <w:p w14:paraId="12E661BF" w14:textId="77777777" w:rsidR="00B0005F" w:rsidRPr="008A2411" w:rsidRDefault="00B0005F">
      <w:pPr>
        <w:pStyle w:val="TOC2"/>
        <w:rPr>
          <w:rFonts w:ascii="Times New Roman" w:eastAsia="黑体" w:hAnsi="Times New Roman" w:cs="Times New Roman"/>
          <w:color w:val="000000" w:themeColor="text1"/>
          <w:szCs w:val="21"/>
        </w:rPr>
      </w:pPr>
    </w:p>
    <w:p w14:paraId="2B409735" w14:textId="77777777" w:rsidR="00B0005F" w:rsidRPr="008A2411" w:rsidRDefault="00B0005F">
      <w:pPr>
        <w:rPr>
          <w:rFonts w:ascii="Times New Roman" w:eastAsia="黑体"/>
          <w:color w:val="000000" w:themeColor="text1"/>
          <w:szCs w:val="21"/>
        </w:rPr>
      </w:pPr>
    </w:p>
    <w:p w14:paraId="67F59648" w14:textId="77777777" w:rsidR="00B0005F" w:rsidRPr="008A2411" w:rsidRDefault="00B0005F">
      <w:pPr>
        <w:pStyle w:val="TOC2"/>
        <w:rPr>
          <w:rFonts w:ascii="Times New Roman" w:eastAsia="黑体" w:hAnsi="Times New Roman" w:cs="Times New Roman"/>
          <w:color w:val="000000" w:themeColor="text1"/>
          <w:szCs w:val="21"/>
        </w:rPr>
      </w:pPr>
    </w:p>
    <w:p w14:paraId="539333AD" w14:textId="77777777" w:rsidR="00B0005F" w:rsidRPr="008A2411" w:rsidRDefault="00000000">
      <w:pPr>
        <w:jc w:val="center"/>
        <w:rPr>
          <w:rFonts w:ascii="Times New Roman" w:eastAsia="黑体"/>
          <w:color w:val="000000" w:themeColor="text1"/>
          <w:szCs w:val="21"/>
        </w:rPr>
      </w:pPr>
      <w:r w:rsidRPr="008A2411">
        <w:rPr>
          <w:rFonts w:ascii="Times New Roman"/>
          <w:noProof/>
          <w:color w:val="000000" w:themeColor="text1"/>
          <w:sz w:val="21"/>
        </w:rPr>
        <mc:AlternateContent>
          <mc:Choice Requires="wpg">
            <w:drawing>
              <wp:anchor distT="0" distB="0" distL="114300" distR="114300" simplePos="0" relativeHeight="251673088" behindDoc="0" locked="0" layoutInCell="1" allowOverlap="1" wp14:anchorId="2DE5C519" wp14:editId="62C727E5">
                <wp:simplePos x="0" y="0"/>
                <wp:positionH relativeFrom="column">
                  <wp:posOffset>-690245</wp:posOffset>
                </wp:positionH>
                <wp:positionV relativeFrom="paragraph">
                  <wp:posOffset>-53975</wp:posOffset>
                </wp:positionV>
                <wp:extent cx="6269990" cy="6383020"/>
                <wp:effectExtent l="0" t="0" r="0" b="0"/>
                <wp:wrapNone/>
                <wp:docPr id="318" name="组合 318"/>
                <wp:cNvGraphicFramePr/>
                <a:graphic xmlns:a="http://schemas.openxmlformats.org/drawingml/2006/main">
                  <a:graphicData uri="http://schemas.microsoft.com/office/word/2010/wordprocessingGroup">
                    <wpg:wgp>
                      <wpg:cNvGrpSpPr/>
                      <wpg:grpSpPr>
                        <a:xfrm>
                          <a:off x="0" y="0"/>
                          <a:ext cx="6269990" cy="6383020"/>
                          <a:chOff x="5333" y="1094"/>
                          <a:chExt cx="9874" cy="10052"/>
                        </a:xfrm>
                      </wpg:grpSpPr>
                      <wps:wsp>
                        <wps:cNvPr id="297" name="文本框 1"/>
                        <wps:cNvSpPr txBox="1"/>
                        <wps:spPr>
                          <a:xfrm>
                            <a:off x="6343" y="1580"/>
                            <a:ext cx="1914" cy="383"/>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6E230D6E"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计量调压系统</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98" name="文本框 2"/>
                        <wps:cNvSpPr txBox="1"/>
                        <wps:spPr>
                          <a:xfrm>
                            <a:off x="6310" y="2393"/>
                            <a:ext cx="1914" cy="383"/>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356F8E79"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过滤分离器</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99" name="直接箭头连接符 3"/>
                        <wps:cNvCnPr/>
                        <wps:spPr>
                          <a:xfrm flipH="1">
                            <a:off x="7245" y="1212"/>
                            <a:ext cx="4" cy="363"/>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00" name="直接箭头连接符 4"/>
                        <wps:cNvCnPr/>
                        <wps:spPr>
                          <a:xfrm flipH="1">
                            <a:off x="7239" y="1987"/>
                            <a:ext cx="4" cy="363"/>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01" name="直接箭头连接符 5"/>
                        <wps:cNvCnPr/>
                        <wps:spPr>
                          <a:xfrm>
                            <a:off x="8309" y="2453"/>
                            <a:ext cx="771" cy="2"/>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02" name="文本框 6"/>
                        <wps:cNvSpPr txBox="1"/>
                        <wps:spPr>
                          <a:xfrm>
                            <a:off x="8943" y="2245"/>
                            <a:ext cx="937" cy="328"/>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A9BADC1"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废水W</w:t>
                              </w:r>
                              <w:r>
                                <w:rPr>
                                  <w:rFonts w:ascii="黑体" w:eastAsia="黑体" w:hAnsi="黑体" w:cs="黑体" w:hint="eastAsia"/>
                                  <w:sz w:val="15"/>
                                  <w:szCs w:val="15"/>
                                  <w:vertAlign w:val="subscript"/>
                                </w:rPr>
                                <w:t>1</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08" name="文本框 12"/>
                        <wps:cNvSpPr txBox="1"/>
                        <wps:spPr>
                          <a:xfrm>
                            <a:off x="6413" y="1094"/>
                            <a:ext cx="8794" cy="484"/>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809F3FF" w14:textId="77777777" w:rsidR="00B0005F" w:rsidRDefault="00000000">
                              <w:pPr>
                                <w:adjustRightInd w:val="0"/>
                                <w:snapToGrid w:val="0"/>
                                <w:jc w:val="center"/>
                                <w:rPr>
                                  <w:rFonts w:ascii="黑体" w:eastAsia="黑体" w:hAnsi="黑体" w:cs="黑体"/>
                                  <w:color w:val="000000" w:themeColor="text1"/>
                                  <w:sz w:val="18"/>
                                  <w:szCs w:val="18"/>
                                </w:rPr>
                              </w:pPr>
                              <w:r>
                                <w:rPr>
                                  <w:rFonts w:ascii="黑体" w:eastAsia="黑体" w:hAnsi="黑体" w:cs="黑体" w:hint="eastAsia"/>
                                  <w:sz w:val="18"/>
                                  <w:szCs w:val="18"/>
                                </w:rPr>
                                <w:t>原料气28999.</w:t>
                              </w:r>
                              <w:r>
                                <w:rPr>
                                  <w:rFonts w:ascii="黑体" w:eastAsia="黑体" w:hAnsi="黑体" w:cs="黑体" w:hint="eastAsia"/>
                                  <w:color w:val="000000" w:themeColor="text1"/>
                                  <w:sz w:val="18"/>
                                  <w:szCs w:val="18"/>
                                </w:rPr>
                                <w:t>6（28999.6kg/h，</w:t>
                              </w:r>
                              <w:r>
                                <w:rPr>
                                  <w:rFonts w:ascii="黑体" w:eastAsia="黑体" w:hAnsi="黑体" w:cs="黑体"/>
                                  <w:color w:val="000000" w:themeColor="text1"/>
                                  <w:sz w:val="18"/>
                                  <w:szCs w:val="18"/>
                                </w:rPr>
                                <w:t>CO</w:t>
                              </w:r>
                              <w:r>
                                <w:rPr>
                                  <w:rFonts w:ascii="黑体" w:eastAsia="黑体" w:hAnsi="黑体" w:cs="黑体"/>
                                  <w:color w:val="000000" w:themeColor="text1"/>
                                  <w:sz w:val="18"/>
                                  <w:szCs w:val="18"/>
                                  <w:vertAlign w:val="subscript"/>
                                </w:rPr>
                                <w:t>2</w:t>
                              </w:r>
                              <w:r>
                                <w:rPr>
                                  <w:rFonts w:ascii="黑体" w:eastAsia="黑体" w:hAnsi="黑体" w:cs="黑体"/>
                                  <w:color w:val="000000" w:themeColor="text1"/>
                                  <w:sz w:val="18"/>
                                  <w:szCs w:val="18"/>
                                </w:rPr>
                                <w:t>含量按</w:t>
                              </w:r>
                              <w:r>
                                <w:rPr>
                                  <w:rFonts w:ascii="黑体" w:eastAsia="黑体" w:hAnsi="黑体" w:cs="黑体" w:hint="eastAsia"/>
                                  <w:color w:val="000000" w:themeColor="text1"/>
                                  <w:sz w:val="18"/>
                                  <w:szCs w:val="18"/>
                                </w:rPr>
                                <w:t>1.26</w:t>
                              </w:r>
                              <w:r>
                                <w:rPr>
                                  <w:rFonts w:ascii="黑体" w:eastAsia="黑体" w:hAnsi="黑体" w:cs="黑体"/>
                                  <w:color w:val="000000" w:themeColor="text1"/>
                                  <w:sz w:val="18"/>
                                  <w:szCs w:val="18"/>
                                </w:rPr>
                                <w:t>%,</w:t>
                              </w:r>
                              <w:r>
                                <w:rPr>
                                  <w:rFonts w:ascii="黑体" w:eastAsia="黑体" w:hAnsi="黑体" w:cs="黑体" w:hint="eastAsia"/>
                                  <w:color w:val="000000" w:themeColor="text1"/>
                                  <w:sz w:val="18"/>
                                  <w:szCs w:val="18"/>
                                </w:rPr>
                                <w:t>总硫浓度7.28mg/m</w:t>
                              </w:r>
                              <w:r>
                                <w:rPr>
                                  <w:rFonts w:ascii="黑体" w:eastAsia="黑体" w:hAnsi="黑体" w:cs="黑体" w:hint="eastAsia"/>
                                  <w:color w:val="000000" w:themeColor="text1"/>
                                  <w:sz w:val="18"/>
                                  <w:szCs w:val="18"/>
                                  <w:vertAlign w:val="superscript"/>
                                </w:rPr>
                                <w:t>3</w:t>
                              </w:r>
                              <w:r>
                                <w:rPr>
                                  <w:rFonts w:ascii="黑体" w:eastAsia="黑体" w:hAnsi="黑体" w:cs="黑体" w:hint="eastAsia"/>
                                  <w:color w:val="000000" w:themeColor="text1"/>
                                  <w:sz w:val="18"/>
                                  <w:szCs w:val="18"/>
                                </w:rPr>
                                <w:t>（其中</w:t>
                              </w:r>
                              <w:r>
                                <w:rPr>
                                  <w:rFonts w:ascii="Times New Roman" w:hint="eastAsia"/>
                                  <w:color w:val="000000" w:themeColor="text1"/>
                                  <w:sz w:val="18"/>
                                  <w:szCs w:val="18"/>
                                </w:rPr>
                                <w:t>其中</w:t>
                              </w:r>
                              <w:r>
                                <w:rPr>
                                  <w:rFonts w:ascii="Times New Roman" w:hint="eastAsia"/>
                                  <w:color w:val="000000" w:themeColor="text1"/>
                                  <w:sz w:val="18"/>
                                  <w:szCs w:val="18"/>
                                </w:rPr>
                                <w:t>H</w:t>
                              </w:r>
                              <w:r>
                                <w:rPr>
                                  <w:rFonts w:ascii="Times New Roman" w:hint="eastAsia"/>
                                  <w:color w:val="000000" w:themeColor="text1"/>
                                  <w:sz w:val="18"/>
                                  <w:szCs w:val="18"/>
                                  <w:vertAlign w:val="subscript"/>
                                </w:rPr>
                                <w:t>2</w:t>
                              </w:r>
                              <w:r>
                                <w:rPr>
                                  <w:rFonts w:ascii="Times New Roman" w:hint="eastAsia"/>
                                  <w:color w:val="000000" w:themeColor="text1"/>
                                  <w:sz w:val="18"/>
                                  <w:szCs w:val="18"/>
                                </w:rPr>
                                <w:t>S</w:t>
                              </w:r>
                              <w:r>
                                <w:rPr>
                                  <w:rFonts w:ascii="Times New Roman" w:hint="eastAsia"/>
                                  <w:color w:val="000000" w:themeColor="text1"/>
                                  <w:sz w:val="18"/>
                                  <w:szCs w:val="18"/>
                                </w:rPr>
                                <w:t>含硫小于</w:t>
                              </w:r>
                              <w:r>
                                <w:rPr>
                                  <w:rFonts w:ascii="Times New Roman" w:hint="eastAsia"/>
                                  <w:color w:val="000000" w:themeColor="text1"/>
                                  <w:sz w:val="18"/>
                                  <w:szCs w:val="18"/>
                                </w:rPr>
                                <w:t>1mg/m</w:t>
                              </w:r>
                              <w:r>
                                <w:rPr>
                                  <w:rFonts w:ascii="Times New Roman" w:hint="eastAsia"/>
                                  <w:color w:val="000000" w:themeColor="text1"/>
                                  <w:sz w:val="18"/>
                                  <w:szCs w:val="18"/>
                                  <w:vertAlign w:val="superscript"/>
                                </w:rPr>
                                <w:t>3</w:t>
                              </w:r>
                              <w:r>
                                <w:rPr>
                                  <w:rFonts w:ascii="黑体" w:eastAsia="黑体" w:hAnsi="黑体" w:cs="黑体" w:hint="eastAsia"/>
                                  <w:color w:val="000000" w:themeColor="text1"/>
                                  <w:sz w:val="18"/>
                                  <w:szCs w:val="18"/>
                                </w:rPr>
                                <w:t>）</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09" name="直接箭头连接符 13"/>
                        <wps:cNvCnPr/>
                        <wps:spPr>
                          <a:xfrm flipH="1">
                            <a:off x="7175" y="2888"/>
                            <a:ext cx="7" cy="1454"/>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10" name="直接箭头连接符 15"/>
                        <wps:cNvCnPr>
                          <a:endCxn id="311" idx="1"/>
                        </wps:cNvCnPr>
                        <wps:spPr>
                          <a:xfrm>
                            <a:off x="8311" y="2673"/>
                            <a:ext cx="695" cy="3"/>
                          </a:xfrm>
                          <a:prstGeom prst="straightConnector1">
                            <a:avLst/>
                          </a:prstGeom>
                          <a:ln w="12700">
                            <a:solidFill>
                              <a:schemeClr val="tx1"/>
                            </a:solidFill>
                            <a:prstDash val="dash"/>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11" name="文本框 14"/>
                        <wps:cNvSpPr txBox="1"/>
                        <wps:spPr>
                          <a:xfrm>
                            <a:off x="9006" y="2506"/>
                            <a:ext cx="830" cy="34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373445A"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杂质S</w:t>
                              </w:r>
                              <w:r>
                                <w:rPr>
                                  <w:rFonts w:ascii="黑体" w:eastAsia="黑体" w:hAnsi="黑体" w:cs="黑体" w:hint="eastAsia"/>
                                  <w:sz w:val="15"/>
                                  <w:szCs w:val="15"/>
                                  <w:vertAlign w:val="subscript"/>
                                </w:rPr>
                                <w:t>1</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12" name="文本框 16"/>
                        <wps:cNvSpPr txBox="1"/>
                        <wps:spPr>
                          <a:xfrm>
                            <a:off x="6351" y="4403"/>
                            <a:ext cx="1588" cy="484"/>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7ADBABD3"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胺吸收单元</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13" name="直接箭头连接符 17"/>
                        <wps:cNvCnPr/>
                        <wps:spPr>
                          <a:xfrm>
                            <a:off x="8033" y="4679"/>
                            <a:ext cx="1278" cy="0"/>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14" name="文本框 19"/>
                        <wps:cNvSpPr txBox="1"/>
                        <wps:spPr>
                          <a:xfrm>
                            <a:off x="9395" y="4405"/>
                            <a:ext cx="1419" cy="488"/>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09FA5D99"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闪蒸罐</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17" name="直接连接符 23"/>
                        <wps:cNvCnPr/>
                        <wps:spPr>
                          <a:xfrm flipH="1">
                            <a:off x="7458" y="3418"/>
                            <a:ext cx="1365" cy="6"/>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319" name="文本框 25"/>
                        <wps:cNvSpPr txBox="1"/>
                        <wps:spPr>
                          <a:xfrm>
                            <a:off x="6622" y="5509"/>
                            <a:ext cx="1079" cy="376"/>
                          </a:xfrm>
                          <a:prstGeom prst="rect">
                            <a:avLst/>
                          </a:prstGeom>
                          <a:noFill/>
                          <a:ln w="6350">
                            <a:solidFill>
                              <a:schemeClr val="tx1"/>
                            </a:solidFill>
                          </a:ln>
                        </wps:spPr>
                        <wps:style>
                          <a:lnRef idx="0">
                            <a:schemeClr val="accent1"/>
                          </a:lnRef>
                          <a:fillRef idx="0">
                            <a:schemeClr val="accent1"/>
                          </a:fillRef>
                          <a:effectRef idx="0">
                            <a:schemeClr val="accent1"/>
                          </a:effectRef>
                          <a:fontRef idx="minor">
                            <a:schemeClr val="dk1"/>
                          </a:fontRef>
                        </wps:style>
                        <wps:txbx>
                          <w:txbxContent>
                            <w:p w14:paraId="570F8D29"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过滤器</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21" name="直接箭头连接符 27"/>
                        <wps:cNvCnPr>
                          <a:stCxn id="312" idx="2"/>
                        </wps:cNvCnPr>
                        <wps:spPr>
                          <a:xfrm flipH="1">
                            <a:off x="7151" y="4887"/>
                            <a:ext cx="7" cy="634"/>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24" name="文本框 30"/>
                        <wps:cNvSpPr txBox="1"/>
                        <wps:spPr>
                          <a:xfrm>
                            <a:off x="8162" y="4309"/>
                            <a:ext cx="1031" cy="406"/>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E4EB3EE"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富液</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25" name="文本框 31"/>
                        <wps:cNvSpPr txBox="1"/>
                        <wps:spPr>
                          <a:xfrm>
                            <a:off x="12106" y="4425"/>
                            <a:ext cx="1435" cy="512"/>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75521270"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胺液再生单元</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27" name="直接箭头连接符 33"/>
                        <wps:cNvCnPr/>
                        <wps:spPr>
                          <a:xfrm flipV="1">
                            <a:off x="10802" y="4654"/>
                            <a:ext cx="1280" cy="9"/>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29" name="文本框 35"/>
                        <wps:cNvSpPr txBox="1"/>
                        <wps:spPr>
                          <a:xfrm>
                            <a:off x="10659" y="4317"/>
                            <a:ext cx="747" cy="332"/>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5D232D4"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富液</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30" name="文本框 36"/>
                        <wps:cNvSpPr txBox="1"/>
                        <wps:spPr>
                          <a:xfrm>
                            <a:off x="11390" y="4028"/>
                            <a:ext cx="697" cy="329"/>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2A51C19"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贫液</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31" name="直接连接符 37"/>
                        <wps:cNvCnPr/>
                        <wps:spPr>
                          <a:xfrm>
                            <a:off x="11386" y="4486"/>
                            <a:ext cx="707" cy="6"/>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333" name="文本框 39"/>
                        <wps:cNvSpPr txBox="1"/>
                        <wps:spPr>
                          <a:xfrm>
                            <a:off x="8810" y="3273"/>
                            <a:ext cx="1544" cy="370"/>
                          </a:xfrm>
                          <a:prstGeom prst="rect">
                            <a:avLst/>
                          </a:prstGeom>
                          <a:noFill/>
                          <a:ln w="6350">
                            <a:solidFill>
                              <a:schemeClr val="tx1"/>
                            </a:solidFill>
                          </a:ln>
                        </wps:spPr>
                        <wps:style>
                          <a:lnRef idx="0">
                            <a:schemeClr val="accent1"/>
                          </a:lnRef>
                          <a:fillRef idx="0">
                            <a:schemeClr val="accent1"/>
                          </a:fillRef>
                          <a:effectRef idx="0">
                            <a:schemeClr val="accent1"/>
                          </a:effectRef>
                          <a:fontRef idx="minor">
                            <a:schemeClr val="dk1"/>
                          </a:fontRef>
                        </wps:style>
                        <wps:txbx>
                          <w:txbxContent>
                            <w:p w14:paraId="29A6B686"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贫液回流系统</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34" name="直接箭头连接符 40"/>
                        <wps:cNvCnPr/>
                        <wps:spPr>
                          <a:xfrm flipH="1">
                            <a:off x="10363" y="3406"/>
                            <a:ext cx="1033" cy="2"/>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38" name="直接箭头连接符 44"/>
                        <wps:cNvCnPr/>
                        <wps:spPr>
                          <a:xfrm flipV="1">
                            <a:off x="9845" y="2773"/>
                            <a:ext cx="4" cy="476"/>
                          </a:xfrm>
                          <a:prstGeom prst="straightConnector1">
                            <a:avLst/>
                          </a:prstGeom>
                          <a:ln w="12700">
                            <a:solidFill>
                              <a:schemeClr val="tx1"/>
                            </a:solidFill>
                            <a:prstDash val="dash"/>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39" name="文本框 45"/>
                        <wps:cNvSpPr txBox="1"/>
                        <wps:spPr>
                          <a:xfrm>
                            <a:off x="9754" y="2596"/>
                            <a:ext cx="830" cy="419"/>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5099730"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杂质S</w:t>
                              </w:r>
                              <w:r>
                                <w:rPr>
                                  <w:rFonts w:ascii="黑体" w:eastAsia="黑体" w:hAnsi="黑体" w:cs="黑体" w:hint="eastAsia"/>
                                  <w:sz w:val="15"/>
                                  <w:szCs w:val="15"/>
                                  <w:vertAlign w:val="subscript"/>
                                </w:rPr>
                                <w:t>2</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40" name="直接箭头连接符 46"/>
                        <wps:cNvCnPr/>
                        <wps:spPr>
                          <a:xfrm flipH="1">
                            <a:off x="7468" y="3409"/>
                            <a:ext cx="14" cy="1015"/>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45" name="文本框 51"/>
                        <wps:cNvSpPr txBox="1"/>
                        <wps:spPr>
                          <a:xfrm>
                            <a:off x="12366" y="3507"/>
                            <a:ext cx="1021" cy="381"/>
                          </a:xfrm>
                          <a:prstGeom prst="rect">
                            <a:avLst/>
                          </a:prstGeom>
                          <a:noFill/>
                          <a:ln w="6350">
                            <a:solidFill>
                              <a:schemeClr val="tx1"/>
                            </a:solidFill>
                          </a:ln>
                        </wps:spPr>
                        <wps:style>
                          <a:lnRef idx="0">
                            <a:schemeClr val="accent1"/>
                          </a:lnRef>
                          <a:fillRef idx="0">
                            <a:schemeClr val="accent1"/>
                          </a:fillRef>
                          <a:effectRef idx="0">
                            <a:schemeClr val="accent1"/>
                          </a:effectRef>
                          <a:fontRef idx="minor">
                            <a:schemeClr val="dk1"/>
                          </a:fontRef>
                        </wps:style>
                        <wps:txbx>
                          <w:txbxContent>
                            <w:p w14:paraId="20F1080D"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脱硫塔</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46" name="直接箭头连接符 52"/>
                        <wps:cNvCnPr/>
                        <wps:spPr>
                          <a:xfrm flipV="1">
                            <a:off x="12835" y="3996"/>
                            <a:ext cx="7" cy="431"/>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49" name="直接箭头连接符 53"/>
                        <wps:cNvCnPr/>
                        <wps:spPr>
                          <a:xfrm flipV="1">
                            <a:off x="12849" y="3088"/>
                            <a:ext cx="13" cy="408"/>
                          </a:xfrm>
                          <a:prstGeom prst="straightConnector1">
                            <a:avLst/>
                          </a:prstGeom>
                          <a:ln w="12700">
                            <a:solidFill>
                              <a:schemeClr val="tx1"/>
                            </a:solidFill>
                            <a:prstDash val="dashDot"/>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50" name="文本框 54"/>
                        <wps:cNvSpPr txBox="1"/>
                        <wps:spPr>
                          <a:xfrm>
                            <a:off x="12800" y="2830"/>
                            <a:ext cx="829" cy="32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0837A66"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废气G</w:t>
                              </w:r>
                              <w:r>
                                <w:rPr>
                                  <w:rFonts w:ascii="黑体" w:eastAsia="黑体" w:hAnsi="黑体" w:cs="黑体" w:hint="eastAsia"/>
                                  <w:sz w:val="15"/>
                                  <w:szCs w:val="15"/>
                                  <w:vertAlign w:val="subscript"/>
                                </w:rPr>
                                <w:t>2</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20" name="文本框 67"/>
                        <wps:cNvSpPr txBox="1"/>
                        <wps:spPr>
                          <a:xfrm>
                            <a:off x="8165" y="5470"/>
                            <a:ext cx="830" cy="393"/>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AA912FB"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杂质S</w:t>
                              </w:r>
                              <w:r>
                                <w:rPr>
                                  <w:rFonts w:ascii="黑体" w:eastAsia="黑体" w:hAnsi="黑体" w:cs="黑体" w:hint="eastAsia"/>
                                  <w:sz w:val="15"/>
                                  <w:szCs w:val="15"/>
                                  <w:vertAlign w:val="subscript"/>
                                </w:rPr>
                                <w:t>4</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22" name="直接箭头连接符 68"/>
                        <wps:cNvCnPr/>
                        <wps:spPr>
                          <a:xfrm>
                            <a:off x="7743" y="5655"/>
                            <a:ext cx="516" cy="0"/>
                          </a:xfrm>
                          <a:prstGeom prst="straightConnector1">
                            <a:avLst/>
                          </a:prstGeom>
                          <a:ln w="12700">
                            <a:solidFill>
                              <a:schemeClr val="tx1"/>
                            </a:solidFill>
                            <a:prstDash val="dash"/>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23" name="直接箭头连接符 69"/>
                        <wps:cNvCnPr/>
                        <wps:spPr>
                          <a:xfrm flipH="1">
                            <a:off x="7084" y="7798"/>
                            <a:ext cx="2" cy="635"/>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26" name="直接箭头连接符 79"/>
                        <wps:cNvCnPr>
                          <a:stCxn id="437" idx="0"/>
                        </wps:cNvCnPr>
                        <wps:spPr>
                          <a:xfrm flipV="1">
                            <a:off x="10072" y="4905"/>
                            <a:ext cx="5" cy="570"/>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28" name="文本框 83"/>
                        <wps:cNvSpPr txBox="1"/>
                        <wps:spPr>
                          <a:xfrm>
                            <a:off x="13043" y="8267"/>
                            <a:ext cx="903" cy="366"/>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87F655"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外输</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32" name="直接箭头连接符 89"/>
                        <wps:cNvCnPr/>
                        <wps:spPr>
                          <a:xfrm>
                            <a:off x="8001" y="6684"/>
                            <a:ext cx="1126" cy="8"/>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35" name="直接箭头连接符 85"/>
                        <wps:cNvCnPr/>
                        <wps:spPr>
                          <a:xfrm flipV="1">
                            <a:off x="13047" y="8590"/>
                            <a:ext cx="639" cy="3"/>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36" name="直接箭头连接符 96"/>
                        <wps:cNvCnPr/>
                        <wps:spPr>
                          <a:xfrm flipV="1">
                            <a:off x="10075" y="5915"/>
                            <a:ext cx="7" cy="573"/>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37" name="直接箭头连接符 98"/>
                        <wps:cNvCnPr/>
                        <wps:spPr>
                          <a:xfrm>
                            <a:off x="7146" y="5921"/>
                            <a:ext cx="0" cy="482"/>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41" name="文本框 99"/>
                        <wps:cNvSpPr txBox="1"/>
                        <wps:spPr>
                          <a:xfrm>
                            <a:off x="9210" y="6421"/>
                            <a:ext cx="1512" cy="457"/>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6AD02C46"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脱水再生单元</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42" name="文本框 100"/>
                        <wps:cNvSpPr txBox="1"/>
                        <wps:spPr>
                          <a:xfrm>
                            <a:off x="6398" y="6429"/>
                            <a:ext cx="1522" cy="459"/>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3C0080B4"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干燥脱水单元</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43" name="文本框 110"/>
                        <wps:cNvSpPr txBox="1"/>
                        <wps:spPr>
                          <a:xfrm>
                            <a:off x="9140" y="5940"/>
                            <a:ext cx="877" cy="353"/>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56F285C"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凝结水</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44" name="文本框 105"/>
                        <wps:cNvSpPr txBox="1"/>
                        <wps:spPr>
                          <a:xfrm>
                            <a:off x="11068" y="5572"/>
                            <a:ext cx="830" cy="38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F049638"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杂质S</w:t>
                              </w:r>
                              <w:r>
                                <w:rPr>
                                  <w:rFonts w:ascii="黑体" w:eastAsia="黑体" w:hAnsi="黑体" w:cs="黑体" w:hint="eastAsia"/>
                                  <w:sz w:val="15"/>
                                  <w:szCs w:val="15"/>
                                  <w:vertAlign w:val="subscript"/>
                                </w:rPr>
                                <w:t>3</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47" name="直接箭头连接符 114"/>
                        <wps:cNvCnPr/>
                        <wps:spPr>
                          <a:xfrm>
                            <a:off x="7125" y="6913"/>
                            <a:ext cx="11" cy="548"/>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48" name="直接箭头连接符 106"/>
                        <wps:cNvCnPr/>
                        <wps:spPr>
                          <a:xfrm>
                            <a:off x="10639" y="5766"/>
                            <a:ext cx="516" cy="0"/>
                          </a:xfrm>
                          <a:prstGeom prst="straightConnector1">
                            <a:avLst/>
                          </a:prstGeom>
                          <a:ln w="12700">
                            <a:solidFill>
                              <a:schemeClr val="tx1"/>
                            </a:solidFill>
                            <a:prstDash val="dash"/>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359" name="文本框 108"/>
                        <wps:cNvSpPr txBox="1"/>
                        <wps:spPr>
                          <a:xfrm>
                            <a:off x="9331" y="5083"/>
                            <a:ext cx="1055" cy="367"/>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0F42165"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滤液</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98" name="文本框 115"/>
                        <wps:cNvSpPr txBox="1"/>
                        <wps:spPr>
                          <a:xfrm>
                            <a:off x="6178" y="7431"/>
                            <a:ext cx="1914" cy="383"/>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6F3DF6BC"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脱汞单元</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99" name="文本框 116"/>
                        <wps:cNvSpPr txBox="1"/>
                        <wps:spPr>
                          <a:xfrm>
                            <a:off x="6143" y="8412"/>
                            <a:ext cx="1914" cy="383"/>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0B5D3496"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液化单元</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00" name="直接箭头连接符 118"/>
                        <wps:cNvCnPr/>
                        <wps:spPr>
                          <a:xfrm>
                            <a:off x="7096" y="8833"/>
                            <a:ext cx="8" cy="612"/>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401" name="文本框 119"/>
                        <wps:cNvSpPr txBox="1"/>
                        <wps:spPr>
                          <a:xfrm>
                            <a:off x="8918" y="8404"/>
                            <a:ext cx="1914" cy="383"/>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06FA224B"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重烃分离单元</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02" name="文本框 124"/>
                        <wps:cNvSpPr txBox="1"/>
                        <wps:spPr>
                          <a:xfrm>
                            <a:off x="11518" y="8412"/>
                            <a:ext cx="1453" cy="421"/>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15170884"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LPG储罐</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03" name="文本框 133"/>
                        <wps:cNvSpPr txBox="1"/>
                        <wps:spPr>
                          <a:xfrm>
                            <a:off x="7948" y="8224"/>
                            <a:ext cx="1137" cy="364"/>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E07E873"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低压气体</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04" name="直接箭头连接符 132"/>
                        <wps:cNvCnPr/>
                        <wps:spPr>
                          <a:xfrm flipV="1">
                            <a:off x="8087" y="8599"/>
                            <a:ext cx="781" cy="2"/>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407" name="直接箭头连接符 127"/>
                        <wps:cNvCnPr/>
                        <wps:spPr>
                          <a:xfrm>
                            <a:off x="10860" y="8587"/>
                            <a:ext cx="611" cy="7"/>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409" name="文本框 136"/>
                        <wps:cNvSpPr txBox="1"/>
                        <wps:spPr>
                          <a:xfrm>
                            <a:off x="6493" y="10516"/>
                            <a:ext cx="1170" cy="512"/>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6086732"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装车外售</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10" name="文本框 134"/>
                        <wps:cNvSpPr txBox="1"/>
                        <wps:spPr>
                          <a:xfrm>
                            <a:off x="6160" y="9470"/>
                            <a:ext cx="1914" cy="383"/>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0086A8C8"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LNG储罐</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11" name="直接箭头连接符 140"/>
                        <wps:cNvCnPr/>
                        <wps:spPr>
                          <a:xfrm>
                            <a:off x="10359" y="9691"/>
                            <a:ext cx="567" cy="11"/>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412" name="直接箭头连接符 135"/>
                        <wps:cNvCnPr/>
                        <wps:spPr>
                          <a:xfrm flipH="1">
                            <a:off x="7084" y="9872"/>
                            <a:ext cx="2" cy="635"/>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413" name="文本框 139"/>
                        <wps:cNvSpPr txBox="1"/>
                        <wps:spPr>
                          <a:xfrm>
                            <a:off x="10938" y="9485"/>
                            <a:ext cx="1562" cy="359"/>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4D36F4D0"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燃料气缓冲罐</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14" name="直接箭头连接符 137"/>
                        <wps:cNvCnPr/>
                        <wps:spPr>
                          <a:xfrm>
                            <a:off x="8114" y="9667"/>
                            <a:ext cx="567" cy="11"/>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415" name="文本框 142"/>
                        <wps:cNvSpPr txBox="1"/>
                        <wps:spPr>
                          <a:xfrm>
                            <a:off x="10245" y="9278"/>
                            <a:ext cx="849" cy="339"/>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2712551"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压缩机</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16" name="文本框 143"/>
                        <wps:cNvSpPr txBox="1"/>
                        <wps:spPr>
                          <a:xfrm>
                            <a:off x="10429" y="10242"/>
                            <a:ext cx="2897" cy="726"/>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8906109"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送到燃料气系统（用于导热油炉、火炬系统及办公等用气），剩余部分送往下游天然气门站</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17" name="文本框 138"/>
                        <wps:cNvSpPr txBox="1"/>
                        <wps:spPr>
                          <a:xfrm>
                            <a:off x="8723" y="9522"/>
                            <a:ext cx="1562" cy="401"/>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6EB36D6A"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BOG缓存罐</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18" name="直接箭头连接符 151"/>
                        <wps:cNvCnPr>
                          <a:endCxn id="419" idx="1"/>
                        </wps:cNvCnPr>
                        <wps:spPr>
                          <a:xfrm flipH="1" flipV="1">
                            <a:off x="10066" y="3856"/>
                            <a:ext cx="4" cy="537"/>
                          </a:xfrm>
                          <a:prstGeom prst="straightConnector1">
                            <a:avLst/>
                          </a:prstGeom>
                          <a:ln w="12700">
                            <a:solidFill>
                              <a:schemeClr val="tx1"/>
                            </a:solidFill>
                            <a:prstDash val="dashDot"/>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419" name="文本框 150"/>
                        <wps:cNvSpPr txBox="1"/>
                        <wps:spPr>
                          <a:xfrm>
                            <a:off x="10066" y="3692"/>
                            <a:ext cx="1040" cy="327"/>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03A09D"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闪蒸气G</w:t>
                              </w:r>
                              <w:r>
                                <w:rPr>
                                  <w:rFonts w:ascii="黑体" w:eastAsia="黑体" w:hAnsi="黑体" w:cs="黑体" w:hint="eastAsia"/>
                                  <w:sz w:val="15"/>
                                  <w:szCs w:val="15"/>
                                  <w:vertAlign w:val="subscript"/>
                                </w:rPr>
                                <w:t>1</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20" name="直接箭头连接符 141"/>
                        <wps:cNvCnPr/>
                        <wps:spPr>
                          <a:xfrm>
                            <a:off x="11663" y="9870"/>
                            <a:ext cx="0" cy="335"/>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421" name="直接箭头连接符 144"/>
                        <wps:cNvCnPr/>
                        <wps:spPr>
                          <a:xfrm>
                            <a:off x="8132" y="7649"/>
                            <a:ext cx="516" cy="0"/>
                          </a:xfrm>
                          <a:prstGeom prst="straightConnector1">
                            <a:avLst/>
                          </a:prstGeom>
                          <a:ln w="12700">
                            <a:solidFill>
                              <a:schemeClr val="tx1"/>
                            </a:solidFill>
                            <a:prstDash val="dash"/>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422" name="文本框 152"/>
                        <wps:cNvSpPr txBox="1"/>
                        <wps:spPr>
                          <a:xfrm>
                            <a:off x="7940" y="9370"/>
                            <a:ext cx="1142" cy="406"/>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4B8C442"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蒸发气加热</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23" name="文本框 145"/>
                        <wps:cNvSpPr txBox="1"/>
                        <wps:spPr>
                          <a:xfrm>
                            <a:off x="7977" y="7297"/>
                            <a:ext cx="1300" cy="327"/>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B434F7F"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废脱汞剂S</w:t>
                              </w:r>
                              <w:r>
                                <w:rPr>
                                  <w:rFonts w:ascii="黑体" w:eastAsia="黑体" w:hAnsi="黑体" w:cs="黑体" w:hint="eastAsia"/>
                                  <w:sz w:val="15"/>
                                  <w:szCs w:val="15"/>
                                  <w:vertAlign w:val="subscript"/>
                                </w:rPr>
                                <w:t>5</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24" name="直接箭头连接符 146"/>
                        <wps:cNvCnPr/>
                        <wps:spPr>
                          <a:xfrm>
                            <a:off x="13443" y="3763"/>
                            <a:ext cx="516" cy="0"/>
                          </a:xfrm>
                          <a:prstGeom prst="straightConnector1">
                            <a:avLst/>
                          </a:prstGeom>
                          <a:ln w="12700">
                            <a:solidFill>
                              <a:schemeClr val="tx1"/>
                            </a:solidFill>
                            <a:prstDash val="dash"/>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425" name="文本框 147"/>
                        <wps:cNvSpPr txBox="1"/>
                        <wps:spPr>
                          <a:xfrm>
                            <a:off x="13478" y="3418"/>
                            <a:ext cx="1200" cy="34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52C7DFB"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废活性炭S</w:t>
                              </w:r>
                              <w:r>
                                <w:rPr>
                                  <w:rFonts w:ascii="黑体" w:eastAsia="黑体" w:hAnsi="黑体" w:cs="黑体" w:hint="eastAsia"/>
                                  <w:sz w:val="15"/>
                                  <w:szCs w:val="15"/>
                                  <w:vertAlign w:val="subscript"/>
                                </w:rPr>
                                <w:t>3</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26" name="文本框 148"/>
                        <wps:cNvSpPr txBox="1"/>
                        <wps:spPr>
                          <a:xfrm>
                            <a:off x="7745" y="3157"/>
                            <a:ext cx="1323" cy="367"/>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F741539"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贫液</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28" name="文本框 12"/>
                        <wps:cNvSpPr txBox="1"/>
                        <wps:spPr>
                          <a:xfrm>
                            <a:off x="7073" y="1994"/>
                            <a:ext cx="1159" cy="342"/>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91E1B09"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28999.6</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36" name="直接连接符 37"/>
                        <wps:cNvCnPr/>
                        <wps:spPr>
                          <a:xfrm>
                            <a:off x="11388" y="3409"/>
                            <a:ext cx="6" cy="107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437" name="文本框 25"/>
                        <wps:cNvSpPr txBox="1"/>
                        <wps:spPr>
                          <a:xfrm>
                            <a:off x="9533" y="5475"/>
                            <a:ext cx="1077" cy="425"/>
                          </a:xfrm>
                          <a:prstGeom prst="rect">
                            <a:avLst/>
                          </a:prstGeom>
                          <a:noFill/>
                          <a:ln w="6350">
                            <a:solidFill>
                              <a:schemeClr val="tx1"/>
                            </a:solidFill>
                          </a:ln>
                        </wps:spPr>
                        <wps:style>
                          <a:lnRef idx="0">
                            <a:schemeClr val="accent1"/>
                          </a:lnRef>
                          <a:fillRef idx="0">
                            <a:schemeClr val="accent1"/>
                          </a:fillRef>
                          <a:effectRef idx="0">
                            <a:schemeClr val="accent1"/>
                          </a:effectRef>
                          <a:fontRef idx="minor">
                            <a:schemeClr val="dk1"/>
                          </a:fontRef>
                        </wps:style>
                        <wps:txbx>
                          <w:txbxContent>
                            <w:p w14:paraId="337C3022"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过滤器</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39" name="文本框 12"/>
                        <wps:cNvSpPr txBox="1"/>
                        <wps:spPr>
                          <a:xfrm>
                            <a:off x="8285" y="2129"/>
                            <a:ext cx="800" cy="34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ABD3096"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8.33</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40" name="文本框 12"/>
                        <wps:cNvSpPr txBox="1"/>
                        <wps:spPr>
                          <a:xfrm>
                            <a:off x="8205" y="2622"/>
                            <a:ext cx="889" cy="35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BA066BA"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0.014</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41" name="文本框 12"/>
                        <wps:cNvSpPr txBox="1"/>
                        <wps:spPr>
                          <a:xfrm>
                            <a:off x="9712" y="2875"/>
                            <a:ext cx="920" cy="35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C9D98F6"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0.028</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42" name="文本框 12"/>
                        <wps:cNvSpPr txBox="1"/>
                        <wps:spPr>
                          <a:xfrm>
                            <a:off x="10471" y="5368"/>
                            <a:ext cx="800" cy="34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FF1F4F9"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0.028</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43" name="文本框 12"/>
                        <wps:cNvSpPr txBox="1"/>
                        <wps:spPr>
                          <a:xfrm>
                            <a:off x="7551" y="5232"/>
                            <a:ext cx="1009" cy="37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A2E967D"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0.014</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44" name="文本框 12"/>
                        <wps:cNvSpPr txBox="1"/>
                        <wps:spPr>
                          <a:xfrm>
                            <a:off x="6006" y="10007"/>
                            <a:ext cx="1459" cy="407"/>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886273" w14:textId="77777777" w:rsidR="00B0005F" w:rsidRDefault="00000000">
                              <w:pPr>
                                <w:rPr>
                                  <w:rFonts w:ascii="黑体" w:eastAsia="黑体" w:hAnsi="黑体" w:cs="黑体"/>
                                  <w:sz w:val="18"/>
                                  <w:szCs w:val="18"/>
                                </w:rPr>
                              </w:pPr>
                              <w:r>
                                <w:rPr>
                                  <w:rFonts w:ascii="黑体" w:eastAsia="黑体" w:hAnsi="黑体" w:cs="黑体"/>
                                  <w:sz w:val="18"/>
                                  <w:szCs w:val="18"/>
                                </w:rPr>
                                <w:t>27744.011</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05" name="文本框 106"/>
                        <wps:cNvSpPr txBox="1"/>
                        <wps:spPr>
                          <a:xfrm>
                            <a:off x="12715" y="4068"/>
                            <a:ext cx="1799" cy="362"/>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09B8C0"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不凝气（H</w:t>
                              </w:r>
                              <w:r>
                                <w:rPr>
                                  <w:rFonts w:ascii="黑体" w:eastAsia="黑体" w:hAnsi="黑体" w:cs="黑体" w:hint="eastAsia"/>
                                  <w:sz w:val="15"/>
                                  <w:szCs w:val="15"/>
                                  <w:vertAlign w:val="subscript"/>
                                </w:rPr>
                                <w:t>2</w:t>
                              </w:r>
                              <w:r>
                                <w:rPr>
                                  <w:rFonts w:ascii="黑体" w:eastAsia="黑体" w:hAnsi="黑体" w:cs="黑体" w:hint="eastAsia"/>
                                  <w:sz w:val="15"/>
                                  <w:szCs w:val="15"/>
                                </w:rPr>
                                <w:t>S、CO</w:t>
                              </w:r>
                              <w:r>
                                <w:rPr>
                                  <w:rFonts w:ascii="黑体" w:eastAsia="黑体" w:hAnsi="黑体" w:cs="黑体" w:hint="eastAsia"/>
                                  <w:sz w:val="15"/>
                                  <w:szCs w:val="15"/>
                                  <w:vertAlign w:val="subscript"/>
                                </w:rPr>
                                <w:t>2</w:t>
                              </w:r>
                              <w:r>
                                <w:rPr>
                                  <w:rFonts w:ascii="黑体" w:eastAsia="黑体" w:hAnsi="黑体" w:cs="黑体" w:hint="eastAsia"/>
                                  <w:sz w:val="15"/>
                                  <w:szCs w:val="15"/>
                                </w:rPr>
                                <w:t>等）</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30" name="文本框 14"/>
                        <wps:cNvSpPr txBox="1"/>
                        <wps:spPr>
                          <a:xfrm>
                            <a:off x="11401" y="6279"/>
                            <a:ext cx="1338" cy="339"/>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03C6E8B"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含油废液S</w:t>
                              </w:r>
                              <w:r>
                                <w:rPr>
                                  <w:rFonts w:ascii="黑体" w:eastAsia="黑体" w:hAnsi="黑体" w:cs="黑体" w:hint="eastAsia"/>
                                  <w:sz w:val="15"/>
                                  <w:szCs w:val="15"/>
                                  <w:vertAlign w:val="subscript"/>
                                </w:rPr>
                                <w:t>5</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53" name="文本框 160"/>
                        <wps:cNvSpPr txBox="1"/>
                        <wps:spPr>
                          <a:xfrm>
                            <a:off x="11573" y="6540"/>
                            <a:ext cx="1105" cy="568"/>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F970A41"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冷凝隔油分离废水W</w:t>
                              </w:r>
                              <w:r>
                                <w:rPr>
                                  <w:rFonts w:ascii="黑体" w:eastAsia="黑体" w:hAnsi="黑体" w:cs="黑体" w:hint="eastAsia"/>
                                  <w:sz w:val="15"/>
                                  <w:szCs w:val="15"/>
                                  <w:vertAlign w:val="subscript"/>
                                </w:rPr>
                                <w:t>2</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54" name="直接箭头连接符 10"/>
                        <wps:cNvCnPr/>
                        <wps:spPr>
                          <a:xfrm>
                            <a:off x="10748" y="6734"/>
                            <a:ext cx="759" cy="7"/>
                          </a:xfrm>
                          <a:prstGeom prst="straightConnector1">
                            <a:avLst/>
                          </a:prstGeom>
                          <a:ln w="15875" cmpd="sng">
                            <a:solidFill>
                              <a:schemeClr val="tx1"/>
                            </a:solidFill>
                            <a:prstDash val="sysDash"/>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155" name="直接箭头连接符 15"/>
                        <wps:cNvCnPr/>
                        <wps:spPr>
                          <a:xfrm flipV="1">
                            <a:off x="10742" y="6531"/>
                            <a:ext cx="810" cy="5"/>
                          </a:xfrm>
                          <a:prstGeom prst="straightConnector1">
                            <a:avLst/>
                          </a:prstGeom>
                          <a:ln w="12700">
                            <a:solidFill>
                              <a:schemeClr val="tx1"/>
                            </a:solidFill>
                            <a:prstDash val="dash"/>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156" name="文本框 12"/>
                        <wps:cNvSpPr txBox="1"/>
                        <wps:spPr>
                          <a:xfrm>
                            <a:off x="6008" y="2834"/>
                            <a:ext cx="1323" cy="342"/>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81CF36"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28991.256</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57" name="文本框 12"/>
                        <wps:cNvSpPr txBox="1"/>
                        <wps:spPr>
                          <a:xfrm>
                            <a:off x="12865" y="3126"/>
                            <a:ext cx="1219" cy="392"/>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9DE6BF3" w14:textId="77777777" w:rsidR="00B0005F" w:rsidRDefault="00000000">
                              <w:pPr>
                                <w:adjustRightInd w:val="0"/>
                                <w:snapToGrid w:val="0"/>
                                <w:rPr>
                                  <w:rFonts w:ascii="黑体" w:eastAsia="黑体" w:hAnsi="黑体" w:cs="黑体"/>
                                  <w:color w:val="000000" w:themeColor="text1"/>
                                  <w:sz w:val="18"/>
                                  <w:szCs w:val="18"/>
                                </w:rPr>
                              </w:pPr>
                              <w:r>
                                <w:rPr>
                                  <w:rFonts w:ascii="黑体" w:eastAsia="黑体" w:hAnsi="黑体" w:cs="黑体"/>
                                  <w:color w:val="000000" w:themeColor="text1"/>
                                  <w:sz w:val="18"/>
                                  <w:szCs w:val="18"/>
                                </w:rPr>
                                <w:t>979.3</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58" name="文本框 12"/>
                        <wps:cNvSpPr txBox="1"/>
                        <wps:spPr>
                          <a:xfrm>
                            <a:off x="10158" y="3922"/>
                            <a:ext cx="805" cy="413"/>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5C1EF63" w14:textId="77777777" w:rsidR="00B0005F" w:rsidRDefault="00000000">
                              <w:pPr>
                                <w:adjustRightInd w:val="0"/>
                                <w:snapToGrid w:val="0"/>
                                <w:rPr>
                                  <w:rFonts w:ascii="黑体" w:eastAsia="黑体" w:hAnsi="黑体" w:cs="黑体"/>
                                  <w:color w:val="000000" w:themeColor="text1"/>
                                  <w:sz w:val="18"/>
                                  <w:szCs w:val="18"/>
                                </w:rPr>
                              </w:pPr>
                              <w:r>
                                <w:rPr>
                                  <w:rFonts w:ascii="黑体" w:eastAsia="黑体" w:hAnsi="黑体" w:cs="黑体" w:hint="eastAsia"/>
                                  <w:color w:val="000000" w:themeColor="text1"/>
                                  <w:sz w:val="18"/>
                                  <w:szCs w:val="18"/>
                                </w:rPr>
                                <w:t>25.6</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59" name="文本框 12"/>
                        <wps:cNvSpPr txBox="1"/>
                        <wps:spPr>
                          <a:xfrm>
                            <a:off x="10644" y="6777"/>
                            <a:ext cx="1393" cy="40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996E369" w14:textId="77777777" w:rsidR="00B0005F" w:rsidRDefault="00000000">
                              <w:pPr>
                                <w:adjustRightInd w:val="0"/>
                                <w:snapToGrid w:val="0"/>
                                <w:rPr>
                                  <w:rFonts w:ascii="黑体" w:eastAsia="黑体" w:hAnsi="黑体" w:cs="黑体"/>
                                  <w:color w:val="000000" w:themeColor="text1"/>
                                  <w:sz w:val="18"/>
                                  <w:szCs w:val="18"/>
                                </w:rPr>
                              </w:pPr>
                              <w:r>
                                <w:rPr>
                                  <w:rFonts w:ascii="黑体" w:eastAsia="黑体" w:hAnsi="黑体" w:cs="黑体" w:hint="eastAsia"/>
                                  <w:color w:val="000000" w:themeColor="text1"/>
                                  <w:sz w:val="18"/>
                                  <w:szCs w:val="18"/>
                                </w:rPr>
                                <w:t>36.0kg/h</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60" name="文本框 12"/>
                        <wps:cNvSpPr txBox="1"/>
                        <wps:spPr>
                          <a:xfrm>
                            <a:off x="10584" y="6102"/>
                            <a:ext cx="1393" cy="40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0A5158E" w14:textId="77777777" w:rsidR="00B0005F" w:rsidRDefault="00000000">
                              <w:pPr>
                                <w:adjustRightInd w:val="0"/>
                                <w:snapToGrid w:val="0"/>
                                <w:rPr>
                                  <w:rFonts w:ascii="黑体" w:eastAsia="黑体" w:hAnsi="黑体" w:cs="黑体"/>
                                  <w:color w:val="000000" w:themeColor="text1"/>
                                  <w:sz w:val="18"/>
                                  <w:szCs w:val="18"/>
                                </w:rPr>
                              </w:pPr>
                              <w:r>
                                <w:rPr>
                                  <w:rFonts w:ascii="黑体" w:eastAsia="黑体" w:hAnsi="黑体" w:cs="黑体" w:hint="eastAsia"/>
                                  <w:color w:val="000000" w:themeColor="text1"/>
                                  <w:sz w:val="18"/>
                                  <w:szCs w:val="18"/>
                                </w:rPr>
                                <w:t>0.4kg/h</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62" name="文本框 12"/>
                        <wps:cNvSpPr txBox="1"/>
                        <wps:spPr>
                          <a:xfrm>
                            <a:off x="7959" y="6267"/>
                            <a:ext cx="1393" cy="40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2D62E8" w14:textId="77777777" w:rsidR="00B0005F" w:rsidRDefault="00000000">
                              <w:pPr>
                                <w:adjustRightInd w:val="0"/>
                                <w:snapToGrid w:val="0"/>
                                <w:rPr>
                                  <w:rFonts w:ascii="黑体" w:eastAsia="黑体" w:hAnsi="黑体" w:cs="黑体"/>
                                  <w:color w:val="000000" w:themeColor="text1"/>
                                  <w:sz w:val="18"/>
                                  <w:szCs w:val="18"/>
                                </w:rPr>
                              </w:pPr>
                              <w:r>
                                <w:rPr>
                                  <w:rFonts w:ascii="黑体" w:eastAsia="黑体" w:hAnsi="黑体" w:cs="黑体" w:hint="eastAsia"/>
                                  <w:color w:val="000000" w:themeColor="text1"/>
                                  <w:sz w:val="18"/>
                                  <w:szCs w:val="18"/>
                                </w:rPr>
                                <w:t>36.428kg/h</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63" name="文本框 12"/>
                        <wps:cNvSpPr txBox="1"/>
                        <wps:spPr>
                          <a:xfrm>
                            <a:off x="8035" y="4641"/>
                            <a:ext cx="1219" cy="392"/>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847003E" w14:textId="77777777" w:rsidR="00B0005F" w:rsidRDefault="00000000">
                              <w:pPr>
                                <w:adjustRightInd w:val="0"/>
                                <w:snapToGrid w:val="0"/>
                                <w:rPr>
                                  <w:rFonts w:ascii="黑体" w:eastAsia="黑体" w:hAnsi="黑体" w:cs="黑体"/>
                                  <w:color w:val="000000" w:themeColor="text1"/>
                                  <w:sz w:val="18"/>
                                  <w:szCs w:val="18"/>
                                </w:rPr>
                              </w:pPr>
                              <w:r>
                                <w:rPr>
                                  <w:rFonts w:ascii="黑体" w:eastAsia="黑体" w:hAnsi="黑体" w:cs="黑体"/>
                                  <w:color w:val="000000" w:themeColor="text1"/>
                                  <w:sz w:val="18"/>
                                  <w:szCs w:val="18"/>
                                </w:rPr>
                                <w:t>1005.178</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64" name="文本框 12"/>
                        <wps:cNvSpPr txBox="1"/>
                        <wps:spPr>
                          <a:xfrm>
                            <a:off x="5950" y="4881"/>
                            <a:ext cx="1219" cy="392"/>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BFEDFF" w14:textId="77777777" w:rsidR="00B0005F" w:rsidRDefault="00000000">
                              <w:pPr>
                                <w:adjustRightInd w:val="0"/>
                                <w:snapToGrid w:val="0"/>
                                <w:rPr>
                                  <w:rFonts w:ascii="黑体" w:eastAsia="黑体" w:hAnsi="黑体" w:cs="黑体"/>
                                  <w:color w:val="000000" w:themeColor="text1"/>
                                  <w:sz w:val="18"/>
                                  <w:szCs w:val="18"/>
                                </w:rPr>
                              </w:pPr>
                              <w:r>
                                <w:rPr>
                                  <w:rFonts w:ascii="黑体" w:eastAsia="黑体" w:hAnsi="黑体" w:cs="黑体"/>
                                  <w:color w:val="000000" w:themeColor="text1"/>
                                  <w:sz w:val="18"/>
                                  <w:szCs w:val="18"/>
                                </w:rPr>
                                <w:t>27986.453</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65" name="文本框 12"/>
                        <wps:cNvSpPr txBox="1"/>
                        <wps:spPr>
                          <a:xfrm>
                            <a:off x="13300" y="3726"/>
                            <a:ext cx="830" cy="348"/>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19C7A29" w14:textId="77777777" w:rsidR="00B0005F" w:rsidRDefault="00000000">
                              <w:pPr>
                                <w:adjustRightInd w:val="0"/>
                                <w:snapToGrid w:val="0"/>
                                <w:rPr>
                                  <w:rFonts w:ascii="黑体" w:eastAsia="黑体" w:hAnsi="黑体" w:cs="黑体"/>
                                  <w:color w:val="000000" w:themeColor="text1"/>
                                  <w:sz w:val="18"/>
                                  <w:szCs w:val="18"/>
                                </w:rPr>
                              </w:pPr>
                              <w:r>
                                <w:rPr>
                                  <w:rFonts w:ascii="黑体" w:eastAsia="黑体" w:hAnsi="黑体" w:cs="黑体" w:hint="eastAsia"/>
                                  <w:color w:val="000000" w:themeColor="text1"/>
                                  <w:sz w:val="18"/>
                                  <w:szCs w:val="18"/>
                                </w:rPr>
                                <w:t>0.25</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66" name="文本框 12"/>
                        <wps:cNvSpPr txBox="1"/>
                        <wps:spPr>
                          <a:xfrm>
                            <a:off x="5845" y="5931"/>
                            <a:ext cx="1219" cy="392"/>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19CDBEE" w14:textId="77777777" w:rsidR="00B0005F" w:rsidRDefault="00000000">
                              <w:pPr>
                                <w:adjustRightInd w:val="0"/>
                                <w:snapToGrid w:val="0"/>
                                <w:rPr>
                                  <w:rFonts w:ascii="黑体" w:eastAsia="黑体" w:hAnsi="黑体" w:cs="黑体"/>
                                  <w:color w:val="000000" w:themeColor="text1"/>
                                  <w:sz w:val="18"/>
                                  <w:szCs w:val="18"/>
                                </w:rPr>
                              </w:pPr>
                              <w:r>
                                <w:rPr>
                                  <w:rFonts w:ascii="黑体" w:eastAsia="黑体" w:hAnsi="黑体" w:cs="黑体"/>
                                  <w:color w:val="000000" w:themeColor="text1"/>
                                  <w:sz w:val="18"/>
                                  <w:szCs w:val="18"/>
                                </w:rPr>
                                <w:t>27986.439</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67" name="文本框 12"/>
                        <wps:cNvSpPr txBox="1"/>
                        <wps:spPr>
                          <a:xfrm>
                            <a:off x="5860" y="6951"/>
                            <a:ext cx="1219" cy="392"/>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5119D8F" w14:textId="77777777" w:rsidR="00B0005F" w:rsidRDefault="00000000">
                              <w:pPr>
                                <w:widowControl/>
                                <w:rPr>
                                  <w:rFonts w:hAnsi="宋体" w:cs="宋体"/>
                                  <w:color w:val="000000"/>
                                  <w:sz w:val="22"/>
                                  <w:szCs w:val="22"/>
                                </w:rPr>
                              </w:pPr>
                              <w:r>
                                <w:rPr>
                                  <w:rFonts w:ascii="黑体" w:eastAsia="黑体" w:hAnsi="黑体" w:cs="黑体" w:hint="eastAsia"/>
                                  <w:color w:val="000000" w:themeColor="text1"/>
                                  <w:sz w:val="18"/>
                                  <w:szCs w:val="18"/>
                                </w:rPr>
                                <w:t>27950.011</w:t>
                              </w:r>
                            </w:p>
                            <w:p w14:paraId="4FD657AE" w14:textId="77777777" w:rsidR="00B0005F" w:rsidRDefault="00B0005F">
                              <w:pPr>
                                <w:adjustRightInd w:val="0"/>
                                <w:snapToGrid w:val="0"/>
                                <w:rPr>
                                  <w:rFonts w:ascii="黑体" w:eastAsia="黑体" w:hAnsi="黑体" w:cs="黑体"/>
                                  <w:color w:val="000000" w:themeColor="text1"/>
                                  <w:sz w:val="18"/>
                                  <w:szCs w:val="18"/>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68" name="文本框 12"/>
                        <wps:cNvSpPr txBox="1"/>
                        <wps:spPr>
                          <a:xfrm>
                            <a:off x="8125" y="7656"/>
                            <a:ext cx="1968" cy="392"/>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2657247" w14:textId="77777777" w:rsidR="00B0005F" w:rsidRDefault="00000000">
                              <w:pPr>
                                <w:adjustRightInd w:val="0"/>
                                <w:snapToGrid w:val="0"/>
                                <w:rPr>
                                  <w:rFonts w:ascii="黑体" w:eastAsia="黑体" w:hAnsi="黑体" w:cs="黑体"/>
                                  <w:color w:val="000000" w:themeColor="text1"/>
                                  <w:sz w:val="18"/>
                                  <w:szCs w:val="18"/>
                                </w:rPr>
                              </w:pPr>
                              <w:r>
                                <w:rPr>
                                  <w:rFonts w:ascii="黑体" w:eastAsia="黑体" w:hAnsi="黑体" w:cs="黑体" w:hint="eastAsia"/>
                                  <w:color w:val="000000" w:themeColor="text1"/>
                                  <w:sz w:val="18"/>
                                  <w:szCs w:val="18"/>
                                </w:rPr>
                                <w:t>汞含量3.75075E-06</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69" name="文本框 12"/>
                        <wps:cNvSpPr txBox="1"/>
                        <wps:spPr>
                          <a:xfrm>
                            <a:off x="5800" y="7911"/>
                            <a:ext cx="1219" cy="392"/>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9186A62" w14:textId="77777777" w:rsidR="00B0005F" w:rsidRDefault="00000000">
                              <w:pPr>
                                <w:widowControl/>
                                <w:rPr>
                                  <w:rFonts w:hAnsi="宋体" w:cs="宋体"/>
                                  <w:color w:val="000000"/>
                                  <w:sz w:val="22"/>
                                  <w:szCs w:val="22"/>
                                </w:rPr>
                              </w:pPr>
                              <w:r>
                                <w:rPr>
                                  <w:rFonts w:ascii="黑体" w:eastAsia="黑体" w:hAnsi="黑体" w:cs="黑体" w:hint="eastAsia"/>
                                  <w:color w:val="000000" w:themeColor="text1"/>
                                  <w:sz w:val="18"/>
                                  <w:szCs w:val="18"/>
                                </w:rPr>
                                <w:t>27950.011</w:t>
                              </w:r>
                            </w:p>
                            <w:p w14:paraId="48B62045" w14:textId="77777777" w:rsidR="00B0005F" w:rsidRDefault="00B0005F">
                              <w:pPr>
                                <w:adjustRightInd w:val="0"/>
                                <w:snapToGrid w:val="0"/>
                                <w:rPr>
                                  <w:rFonts w:ascii="黑体" w:eastAsia="黑体" w:hAnsi="黑体" w:cs="黑体"/>
                                  <w:color w:val="000000" w:themeColor="text1"/>
                                  <w:sz w:val="18"/>
                                  <w:szCs w:val="18"/>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70" name="文本框 12"/>
                        <wps:cNvSpPr txBox="1"/>
                        <wps:spPr>
                          <a:xfrm>
                            <a:off x="8125" y="8586"/>
                            <a:ext cx="860" cy="377"/>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9ADD52D" w14:textId="77777777" w:rsidR="00B0005F" w:rsidRDefault="00000000">
                              <w:pPr>
                                <w:adjustRightInd w:val="0"/>
                                <w:snapToGrid w:val="0"/>
                                <w:rPr>
                                  <w:rFonts w:ascii="黑体" w:eastAsia="黑体" w:hAnsi="黑体" w:cs="黑体"/>
                                  <w:color w:val="000000" w:themeColor="text1"/>
                                  <w:sz w:val="18"/>
                                  <w:szCs w:val="18"/>
                                </w:rPr>
                              </w:pPr>
                              <w:r>
                                <w:rPr>
                                  <w:rFonts w:ascii="黑体" w:eastAsia="黑体" w:hAnsi="黑体" w:cs="黑体" w:hint="eastAsia"/>
                                  <w:color w:val="000000" w:themeColor="text1"/>
                                  <w:sz w:val="18"/>
                                  <w:szCs w:val="18"/>
                                </w:rPr>
                                <w:t>13.0</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71" name="文本框 12"/>
                        <wps:cNvSpPr txBox="1"/>
                        <wps:spPr>
                          <a:xfrm>
                            <a:off x="10795" y="8556"/>
                            <a:ext cx="860" cy="377"/>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523A138" w14:textId="77777777" w:rsidR="00B0005F" w:rsidRDefault="00000000">
                              <w:pPr>
                                <w:adjustRightInd w:val="0"/>
                                <w:snapToGrid w:val="0"/>
                                <w:rPr>
                                  <w:rFonts w:ascii="黑体" w:eastAsia="黑体" w:hAnsi="黑体" w:cs="黑体"/>
                                  <w:color w:val="000000" w:themeColor="text1"/>
                                  <w:sz w:val="18"/>
                                  <w:szCs w:val="18"/>
                                </w:rPr>
                              </w:pPr>
                              <w:r>
                                <w:rPr>
                                  <w:rFonts w:ascii="黑体" w:eastAsia="黑体" w:hAnsi="黑体" w:cs="黑体" w:hint="eastAsia"/>
                                  <w:color w:val="000000" w:themeColor="text1"/>
                                  <w:sz w:val="18"/>
                                  <w:szCs w:val="18"/>
                                </w:rPr>
                                <w:t>13.0</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72" name="文本框 12"/>
                        <wps:cNvSpPr txBox="1"/>
                        <wps:spPr>
                          <a:xfrm>
                            <a:off x="13015" y="8586"/>
                            <a:ext cx="860" cy="377"/>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05E78E8" w14:textId="77777777" w:rsidR="00B0005F" w:rsidRDefault="00000000">
                              <w:pPr>
                                <w:adjustRightInd w:val="0"/>
                                <w:snapToGrid w:val="0"/>
                                <w:rPr>
                                  <w:rFonts w:ascii="黑体" w:eastAsia="黑体" w:hAnsi="黑体" w:cs="黑体"/>
                                  <w:color w:val="000000" w:themeColor="text1"/>
                                  <w:sz w:val="18"/>
                                  <w:szCs w:val="18"/>
                                </w:rPr>
                              </w:pPr>
                              <w:r>
                                <w:rPr>
                                  <w:rFonts w:ascii="黑体" w:eastAsia="黑体" w:hAnsi="黑体" w:cs="黑体" w:hint="eastAsia"/>
                                  <w:color w:val="000000" w:themeColor="text1"/>
                                  <w:sz w:val="18"/>
                                  <w:szCs w:val="18"/>
                                </w:rPr>
                                <w:t>13.0</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73" name="文本框 133"/>
                        <wps:cNvSpPr txBox="1"/>
                        <wps:spPr>
                          <a:xfrm>
                            <a:off x="10573" y="8239"/>
                            <a:ext cx="1137" cy="364"/>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B414ECB"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重烃</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74" name="文本框 12"/>
                        <wps:cNvSpPr txBox="1"/>
                        <wps:spPr>
                          <a:xfrm>
                            <a:off x="5770" y="8901"/>
                            <a:ext cx="1219" cy="392"/>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51A0D44" w14:textId="77777777" w:rsidR="00B0005F" w:rsidRDefault="00000000">
                              <w:pPr>
                                <w:adjustRightInd w:val="0"/>
                                <w:snapToGrid w:val="0"/>
                                <w:rPr>
                                  <w:rFonts w:ascii="黑体" w:eastAsia="黑体" w:hAnsi="黑体" w:cs="黑体"/>
                                  <w:color w:val="000000" w:themeColor="text1"/>
                                  <w:sz w:val="18"/>
                                  <w:szCs w:val="18"/>
                                </w:rPr>
                              </w:pPr>
                              <w:r>
                                <w:rPr>
                                  <w:rFonts w:ascii="黑体" w:eastAsia="黑体" w:hAnsi="黑体" w:cs="黑体"/>
                                  <w:color w:val="000000" w:themeColor="text1"/>
                                  <w:sz w:val="18"/>
                                  <w:szCs w:val="18"/>
                                </w:rPr>
                                <w:t>27937.011</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75" name="文本框 12"/>
                        <wps:cNvSpPr txBox="1"/>
                        <wps:spPr>
                          <a:xfrm>
                            <a:off x="8083" y="9612"/>
                            <a:ext cx="860" cy="377"/>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913271C" w14:textId="77777777" w:rsidR="00B0005F" w:rsidRDefault="00000000">
                              <w:pPr>
                                <w:adjustRightInd w:val="0"/>
                                <w:snapToGrid w:val="0"/>
                                <w:rPr>
                                  <w:rFonts w:ascii="黑体" w:eastAsia="黑体" w:hAnsi="黑体" w:cs="黑体"/>
                                  <w:color w:val="000000" w:themeColor="text1"/>
                                  <w:sz w:val="18"/>
                                  <w:szCs w:val="18"/>
                                </w:rPr>
                              </w:pPr>
                              <w:r>
                                <w:rPr>
                                  <w:rFonts w:ascii="黑体" w:eastAsia="黑体" w:hAnsi="黑体" w:cs="黑体" w:hint="eastAsia"/>
                                  <w:color w:val="000000" w:themeColor="text1"/>
                                  <w:sz w:val="18"/>
                                  <w:szCs w:val="18"/>
                                </w:rPr>
                                <w:t>193</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76" name="文本框 12"/>
                        <wps:cNvSpPr txBox="1"/>
                        <wps:spPr>
                          <a:xfrm>
                            <a:off x="10255" y="9651"/>
                            <a:ext cx="860" cy="377"/>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1622F8C" w14:textId="77777777" w:rsidR="00B0005F" w:rsidRDefault="00000000">
                              <w:pPr>
                                <w:adjustRightInd w:val="0"/>
                                <w:snapToGrid w:val="0"/>
                                <w:rPr>
                                  <w:rFonts w:ascii="黑体" w:eastAsia="黑体" w:hAnsi="黑体" w:cs="黑体"/>
                                  <w:color w:val="000000" w:themeColor="text1"/>
                                  <w:sz w:val="18"/>
                                  <w:szCs w:val="18"/>
                                </w:rPr>
                              </w:pPr>
                              <w:r>
                                <w:rPr>
                                  <w:rFonts w:ascii="黑体" w:eastAsia="黑体" w:hAnsi="黑体" w:cs="黑体" w:hint="eastAsia"/>
                                  <w:color w:val="000000" w:themeColor="text1"/>
                                  <w:sz w:val="18"/>
                                  <w:szCs w:val="18"/>
                                </w:rPr>
                                <w:t>286.0</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77" name="文本框 12"/>
                        <wps:cNvSpPr txBox="1"/>
                        <wps:spPr>
                          <a:xfrm>
                            <a:off x="11710" y="9831"/>
                            <a:ext cx="860" cy="377"/>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FE3DDDA" w14:textId="77777777" w:rsidR="00B0005F" w:rsidRDefault="00000000">
                              <w:pPr>
                                <w:adjustRightInd w:val="0"/>
                                <w:snapToGrid w:val="0"/>
                                <w:rPr>
                                  <w:rFonts w:ascii="黑体" w:eastAsia="黑体" w:hAnsi="黑体" w:cs="黑体"/>
                                  <w:color w:val="000000" w:themeColor="text1"/>
                                  <w:sz w:val="18"/>
                                  <w:szCs w:val="18"/>
                                </w:rPr>
                              </w:pPr>
                              <w:r>
                                <w:rPr>
                                  <w:rFonts w:ascii="黑体" w:eastAsia="黑体" w:hAnsi="黑体" w:cs="黑体" w:hint="eastAsia"/>
                                  <w:color w:val="000000" w:themeColor="text1"/>
                                  <w:sz w:val="18"/>
                                  <w:szCs w:val="18"/>
                                </w:rPr>
                                <w:t>286.0</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80" name="文本框 12"/>
                        <wps:cNvSpPr txBox="1"/>
                        <wps:spPr>
                          <a:xfrm>
                            <a:off x="5333" y="3479"/>
                            <a:ext cx="2012" cy="342"/>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8DCEB49"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辅料MDEA：0.375</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06" name="直接箭头连接符 13"/>
                        <wps:cNvCnPr/>
                        <wps:spPr>
                          <a:xfrm flipH="1">
                            <a:off x="6643" y="3808"/>
                            <a:ext cx="13" cy="535"/>
                          </a:xfrm>
                          <a:prstGeom prst="straightConnector1">
                            <a:avLst/>
                          </a:prstGeom>
                          <a:ln w="12700">
                            <a:solidFill>
                              <a:schemeClr val="tx1"/>
                            </a:solidFill>
                            <a:tailEnd type="triangle" w="med" len="med"/>
                          </a:ln>
                        </wps:spPr>
                        <wps:style>
                          <a:lnRef idx="1">
                            <a:schemeClr val="accent1"/>
                          </a:lnRef>
                          <a:fillRef idx="0">
                            <a:schemeClr val="accent1"/>
                          </a:fillRef>
                          <a:effectRef idx="0">
                            <a:schemeClr val="accent1"/>
                          </a:effectRef>
                          <a:fontRef idx="minor">
                            <a:schemeClr val="tx1"/>
                          </a:fontRef>
                        </wps:style>
                        <wps:bodyPr/>
                      </wps:wsp>
                      <wps:wsp>
                        <wps:cNvPr id="137" name="文本框 152"/>
                        <wps:cNvSpPr txBox="1"/>
                        <wps:spPr>
                          <a:xfrm>
                            <a:off x="7340" y="10222"/>
                            <a:ext cx="1142" cy="406"/>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7179ADD"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装车蒸发气</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38" name="文本框 12"/>
                        <wps:cNvSpPr txBox="1"/>
                        <wps:spPr>
                          <a:xfrm>
                            <a:off x="8271" y="10284"/>
                            <a:ext cx="860" cy="377"/>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E3A1636" w14:textId="77777777" w:rsidR="00B0005F" w:rsidRDefault="00000000">
                              <w:pPr>
                                <w:adjustRightInd w:val="0"/>
                                <w:snapToGrid w:val="0"/>
                                <w:rPr>
                                  <w:rFonts w:ascii="黑体" w:eastAsia="黑体" w:hAnsi="黑体" w:cs="黑体"/>
                                  <w:color w:val="000000" w:themeColor="text1"/>
                                  <w:sz w:val="18"/>
                                  <w:szCs w:val="18"/>
                                </w:rPr>
                              </w:pPr>
                              <w:r>
                                <w:rPr>
                                  <w:rFonts w:ascii="黑体" w:eastAsia="黑体" w:hAnsi="黑体" w:cs="黑体" w:hint="eastAsia"/>
                                  <w:color w:val="000000" w:themeColor="text1"/>
                                  <w:sz w:val="18"/>
                                  <w:szCs w:val="18"/>
                                </w:rPr>
                                <w:t>93.0</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39" name="文本框 12"/>
                        <wps:cNvSpPr txBox="1"/>
                        <wps:spPr>
                          <a:xfrm>
                            <a:off x="5958" y="10739"/>
                            <a:ext cx="1459" cy="407"/>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C8BEC1C" w14:textId="77777777" w:rsidR="00B0005F" w:rsidRDefault="00000000">
                              <w:pPr>
                                <w:rPr>
                                  <w:rFonts w:ascii="黑体" w:eastAsia="黑体" w:hAnsi="黑体" w:cs="黑体"/>
                                  <w:sz w:val="18"/>
                                  <w:szCs w:val="18"/>
                                </w:rPr>
                              </w:pPr>
                              <w:r>
                                <w:rPr>
                                  <w:rFonts w:ascii="黑体" w:eastAsia="黑体" w:hAnsi="黑体" w:cs="黑体"/>
                                  <w:sz w:val="18"/>
                                  <w:szCs w:val="18"/>
                                </w:rPr>
                                <w:t>27651.01</w:t>
                              </w: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w14:anchorId="2DE5C519" id="组合 318" o:spid="_x0000_s1212" style="position:absolute;left:0;text-align:left;margin-left:-54.35pt;margin-top:-4.25pt;width:493.7pt;height:502.6pt;z-index:251673088" coordorigin="5333,1094" coordsize="9874,100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">
                <v:shape id="文本框 1" o:spid="_x0000_s1213" type="#_x0000_t202" style="position:absolute;left:6343;top:1580;width:1914;height:3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" fillcolor="white [3201]" strokeweight=".5pt">
                  <v:textbox>
                    <w:txbxContent>
                      <w:p w14:paraId="6E230D6E"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计量调压系统</w:t>
                        </w:r>
                      </w:p>
                    </w:txbxContent>
                  </v:textbox>
                </v:shape>
                <v:shape id="_x0000_s1214" type="#_x0000_t202" style="position:absolute;left:6310;top:2393;width:1914;height:3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" fillcolor="white [3201]" strokeweight=".5pt">
                  <v:textbox>
                    <w:txbxContent>
                      <w:p w14:paraId="356F8E79"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过滤分离器</w:t>
                        </w:r>
                      </w:p>
                    </w:txbxContent>
                  </v:textbox>
                </v:shape>
                <v:shape id="直接箭头连接符 3" o:spid="_x0000_s1215" type="#_x0000_t32" style="position:absolute;left:7245;top:1212;width:4;height:363;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" strokecolor="black [3213]" strokeweight="1pt">
                  <v:stroke endarrow="block"/>
                </v:shape>
                <v:shape id="直接箭头连接符 4" o:spid="_x0000_s1216" type="#_x0000_t32" style="position:absolute;left:7239;top:1987;width:4;height:363;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" strokecolor="black [3213]" strokeweight="1pt">
                  <v:stroke endarrow="block"/>
                </v:shape>
                <v:shape id="直接箭头连接符 5" o:spid="_x0000_s1217" type="#_x0000_t32" style="position:absolute;left:8309;top:2453;width:771;height: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" strokecolor="black [3213]" strokeweight="1pt">
                  <v:stroke endarrow="block"/>
                </v:shape>
                <v:shape id="_x0000_s1218" type="#_x0000_t202" style="position:absolute;left:8943;top:2245;width:937;height:3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" filled="f" stroked="f" strokeweight=".5pt">
                  <v:textbox>
                    <w:txbxContent>
                      <w:p w14:paraId="2A9BADC1"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废水W</w:t>
                        </w:r>
                        <w:r>
                          <w:rPr>
                            <w:rFonts w:ascii="黑体" w:eastAsia="黑体" w:hAnsi="黑体" w:cs="黑体" w:hint="eastAsia"/>
                            <w:sz w:val="15"/>
                            <w:szCs w:val="15"/>
                            <w:vertAlign w:val="subscript"/>
                          </w:rPr>
                          <w:t>1</w:t>
                        </w:r>
                      </w:p>
                    </w:txbxContent>
                  </v:textbox>
                </v:shape>
                <v:shape id="文本框 12" o:spid="_x0000_s1219" type="#_x0000_t202" style="position:absolute;left:6413;top:1094;width:8794;height:4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" filled="f" stroked="f" strokeweight=".5pt">
                  <v:textbox>
                    <w:txbxContent>
                      <w:p w14:paraId="4809F3FF" w14:textId="77777777" w:rsidR="00B0005F" w:rsidRDefault="00000000">
                        <w:pPr>
                          <w:adjustRightInd w:val="0"/>
                          <w:snapToGrid w:val="0"/>
                          <w:jc w:val="center"/>
                          <w:rPr>
                            <w:rFonts w:ascii="黑体" w:eastAsia="黑体" w:hAnsi="黑体" w:cs="黑体"/>
                            <w:color w:val="000000" w:themeColor="text1"/>
                            <w:sz w:val="18"/>
                            <w:szCs w:val="18"/>
                          </w:rPr>
                        </w:pPr>
                        <w:r>
                          <w:rPr>
                            <w:rFonts w:ascii="黑体" w:eastAsia="黑体" w:hAnsi="黑体" w:cs="黑体" w:hint="eastAsia"/>
                            <w:sz w:val="18"/>
                            <w:szCs w:val="18"/>
                          </w:rPr>
                          <w:t>原料气28999.</w:t>
                        </w:r>
                        <w:r>
                          <w:rPr>
                            <w:rFonts w:ascii="黑体" w:eastAsia="黑体" w:hAnsi="黑体" w:cs="黑体" w:hint="eastAsia"/>
                            <w:color w:val="000000" w:themeColor="text1"/>
                            <w:sz w:val="18"/>
                            <w:szCs w:val="18"/>
                          </w:rPr>
                          <w:t>6（28999.6kg/h，</w:t>
                        </w:r>
                        <w:r>
                          <w:rPr>
                            <w:rFonts w:ascii="黑体" w:eastAsia="黑体" w:hAnsi="黑体" w:cs="黑体"/>
                            <w:color w:val="000000" w:themeColor="text1"/>
                            <w:sz w:val="18"/>
                            <w:szCs w:val="18"/>
                          </w:rPr>
                          <w:t>CO</w:t>
                        </w:r>
                        <w:r>
                          <w:rPr>
                            <w:rFonts w:ascii="黑体" w:eastAsia="黑体" w:hAnsi="黑体" w:cs="黑体"/>
                            <w:color w:val="000000" w:themeColor="text1"/>
                            <w:sz w:val="18"/>
                            <w:szCs w:val="18"/>
                            <w:vertAlign w:val="subscript"/>
                          </w:rPr>
                          <w:t>2</w:t>
                        </w:r>
                        <w:r>
                          <w:rPr>
                            <w:rFonts w:ascii="黑体" w:eastAsia="黑体" w:hAnsi="黑体" w:cs="黑体"/>
                            <w:color w:val="000000" w:themeColor="text1"/>
                            <w:sz w:val="18"/>
                            <w:szCs w:val="18"/>
                          </w:rPr>
                          <w:t>含量按</w:t>
                        </w:r>
                        <w:r>
                          <w:rPr>
                            <w:rFonts w:ascii="黑体" w:eastAsia="黑体" w:hAnsi="黑体" w:cs="黑体" w:hint="eastAsia"/>
                            <w:color w:val="000000" w:themeColor="text1"/>
                            <w:sz w:val="18"/>
                            <w:szCs w:val="18"/>
                          </w:rPr>
                          <w:t>1.26</w:t>
                        </w:r>
                        <w:r>
                          <w:rPr>
                            <w:rFonts w:ascii="黑体" w:eastAsia="黑体" w:hAnsi="黑体" w:cs="黑体"/>
                            <w:color w:val="000000" w:themeColor="text1"/>
                            <w:sz w:val="18"/>
                            <w:szCs w:val="18"/>
                          </w:rPr>
                          <w:t>%,</w:t>
                        </w:r>
                        <w:r>
                          <w:rPr>
                            <w:rFonts w:ascii="黑体" w:eastAsia="黑体" w:hAnsi="黑体" w:cs="黑体" w:hint="eastAsia"/>
                            <w:color w:val="000000" w:themeColor="text1"/>
                            <w:sz w:val="18"/>
                            <w:szCs w:val="18"/>
                          </w:rPr>
                          <w:t>总硫浓度7.28mg/m</w:t>
                        </w:r>
                        <w:r>
                          <w:rPr>
                            <w:rFonts w:ascii="黑体" w:eastAsia="黑体" w:hAnsi="黑体" w:cs="黑体" w:hint="eastAsia"/>
                            <w:color w:val="000000" w:themeColor="text1"/>
                            <w:sz w:val="18"/>
                            <w:szCs w:val="18"/>
                            <w:vertAlign w:val="superscript"/>
                          </w:rPr>
                          <w:t>3</w:t>
                        </w:r>
                        <w:r>
                          <w:rPr>
                            <w:rFonts w:ascii="黑体" w:eastAsia="黑体" w:hAnsi="黑体" w:cs="黑体" w:hint="eastAsia"/>
                            <w:color w:val="000000" w:themeColor="text1"/>
                            <w:sz w:val="18"/>
                            <w:szCs w:val="18"/>
                          </w:rPr>
                          <w:t>（其中</w:t>
                        </w:r>
                        <w:r>
                          <w:rPr>
                            <w:rFonts w:ascii="Times New Roman" w:hint="eastAsia"/>
                            <w:color w:val="000000" w:themeColor="text1"/>
                            <w:sz w:val="18"/>
                            <w:szCs w:val="18"/>
                          </w:rPr>
                          <w:t>其中</w:t>
                        </w:r>
                        <w:r>
                          <w:rPr>
                            <w:rFonts w:ascii="Times New Roman" w:hint="eastAsia"/>
                            <w:color w:val="000000" w:themeColor="text1"/>
                            <w:sz w:val="18"/>
                            <w:szCs w:val="18"/>
                          </w:rPr>
                          <w:t>H</w:t>
                        </w:r>
                        <w:r>
                          <w:rPr>
                            <w:rFonts w:ascii="Times New Roman" w:hint="eastAsia"/>
                            <w:color w:val="000000" w:themeColor="text1"/>
                            <w:sz w:val="18"/>
                            <w:szCs w:val="18"/>
                            <w:vertAlign w:val="subscript"/>
                          </w:rPr>
                          <w:t>2</w:t>
                        </w:r>
                        <w:r>
                          <w:rPr>
                            <w:rFonts w:ascii="Times New Roman" w:hint="eastAsia"/>
                            <w:color w:val="000000" w:themeColor="text1"/>
                            <w:sz w:val="18"/>
                            <w:szCs w:val="18"/>
                          </w:rPr>
                          <w:t>S</w:t>
                        </w:r>
                        <w:r>
                          <w:rPr>
                            <w:rFonts w:ascii="Times New Roman" w:hint="eastAsia"/>
                            <w:color w:val="000000" w:themeColor="text1"/>
                            <w:sz w:val="18"/>
                            <w:szCs w:val="18"/>
                          </w:rPr>
                          <w:t>含硫小于</w:t>
                        </w:r>
                        <w:r>
                          <w:rPr>
                            <w:rFonts w:ascii="Times New Roman" w:hint="eastAsia"/>
                            <w:color w:val="000000" w:themeColor="text1"/>
                            <w:sz w:val="18"/>
                            <w:szCs w:val="18"/>
                          </w:rPr>
                          <w:t>1mg/m</w:t>
                        </w:r>
                        <w:r>
                          <w:rPr>
                            <w:rFonts w:ascii="Times New Roman" w:hint="eastAsia"/>
                            <w:color w:val="000000" w:themeColor="text1"/>
                            <w:sz w:val="18"/>
                            <w:szCs w:val="18"/>
                            <w:vertAlign w:val="superscript"/>
                          </w:rPr>
                          <w:t>3</w:t>
                        </w:r>
                        <w:r>
                          <w:rPr>
                            <w:rFonts w:ascii="黑体" w:eastAsia="黑体" w:hAnsi="黑体" w:cs="黑体" w:hint="eastAsia"/>
                            <w:color w:val="000000" w:themeColor="text1"/>
                            <w:sz w:val="18"/>
                            <w:szCs w:val="18"/>
                          </w:rPr>
                          <w:t>）</w:t>
                        </w:r>
                      </w:p>
                    </w:txbxContent>
                  </v:textbox>
                </v:shape>
                <v:shape id="直接箭头连接符 13" o:spid="_x0000_s1220" type="#_x0000_t32" style="position:absolute;left:7175;top:2888;width:7;height:1454;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" strokecolor="black [3213]" strokeweight="1pt">
                  <v:stroke endarrow="block"/>
                </v:shape>
                <v:shape id="直接箭头连接符 15" o:spid="_x0000_s1221" type="#_x0000_t32" style="position:absolute;left:8311;top:2673;width:695;height: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" strokecolor="black [3213]" strokeweight="1pt">
                  <v:stroke dashstyle="dash" endarrow="block"/>
                </v:shape>
                <v:shape id="_x0000_s1222" type="#_x0000_t202" style="position:absolute;left:9006;top:2506;width:830;height:3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" filled="f" stroked="f" strokeweight=".5pt">
                  <v:textbox>
                    <w:txbxContent>
                      <w:p w14:paraId="3373445A"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杂质S</w:t>
                        </w:r>
                        <w:r>
                          <w:rPr>
                            <w:rFonts w:ascii="黑体" w:eastAsia="黑体" w:hAnsi="黑体" w:cs="黑体" w:hint="eastAsia"/>
                            <w:sz w:val="15"/>
                            <w:szCs w:val="15"/>
                            <w:vertAlign w:val="subscript"/>
                          </w:rPr>
                          <w:t>1</w:t>
                        </w:r>
                      </w:p>
                    </w:txbxContent>
                  </v:textbox>
                </v:shape>
                <v:shape id="文本框 16" o:spid="_x0000_s1223" type="#_x0000_t202" style="position:absolute;left:6351;top:4403;width:1588;height:4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" fillcolor="white [3201]" strokeweight=".5pt">
                  <v:textbox>
                    <w:txbxContent>
                      <w:p w14:paraId="7ADBABD3"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胺吸收单元</w:t>
                        </w:r>
                      </w:p>
                    </w:txbxContent>
                  </v:textbox>
                </v:shape>
                <v:shape id="直接箭头连接符 17" o:spid="_x0000_s1224" type="#_x0000_t32" style="position:absolute;left:8033;top:4679;width:1278;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" strokecolor="black [3213]" strokeweight="1pt">
                  <v:stroke endarrow="block"/>
                </v:shape>
                <v:shape id="文本框 19" o:spid="_x0000_s1225" type="#_x0000_t202" style="position:absolute;left:9395;top:4405;width:1419;height:4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" fillcolor="white [3201]" strokeweight=".5pt">
                  <v:textbox>
                    <w:txbxContent>
                      <w:p w14:paraId="09FA5D99"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闪蒸罐</w:t>
                        </w:r>
                      </w:p>
                    </w:txbxContent>
                  </v:textbox>
                </v:shape>
                <v:line id="直接连接符 23" o:spid="_x0000_s1226" style="position:absolute;flip:x;visibility:visible;mso-wrap-style:square" from="7458,3418" to="8823,34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" strokecolor="black [3213]" strokeweight="1pt"/>
                <v:shape id="文本框 25" o:spid="_x0000_s1227" type="#_x0000_t202" style="position:absolute;left:6622;top:5509;width:1079;height:3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" filled="f" strokecolor="black [3213]" strokeweight=".5pt">
                  <v:textbox>
                    <w:txbxContent>
                      <w:p w14:paraId="570F8D29"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过滤器</w:t>
                        </w:r>
                      </w:p>
                    </w:txbxContent>
                  </v:textbox>
                </v:shape>
                <v:shape id="直接箭头连接符 27" o:spid="_x0000_s1228" type="#_x0000_t32" style="position:absolute;left:7151;top:4887;width:7;height:634;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" strokecolor="black [3213]" strokeweight="1pt">
                  <v:stroke endarrow="block"/>
                </v:shape>
                <v:shape id="文本框 30" o:spid="_x0000_s1229" type="#_x0000_t202" style="position:absolute;left:8162;top:4309;width:1031;height:4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" filled="f" stroked="f" strokeweight=".5pt">
                  <v:textbox>
                    <w:txbxContent>
                      <w:p w14:paraId="7E4EB3EE"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富液</w:t>
                        </w:r>
                      </w:p>
                    </w:txbxContent>
                  </v:textbox>
                </v:shape>
                <v:shape id="文本框 31" o:spid="_x0000_s1230" type="#_x0000_t202" style="position:absolute;left:12106;top:4425;width:1435;height:5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" fillcolor="white [3201]" strokeweight=".5pt">
                  <v:textbox>
                    <w:txbxContent>
                      <w:p w14:paraId="75521270"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胺液再生单元</w:t>
                        </w:r>
                      </w:p>
                    </w:txbxContent>
                  </v:textbox>
                </v:shape>
                <v:shape id="直接箭头连接符 33" o:spid="_x0000_s1231" type="#_x0000_t32" style="position:absolute;left:10802;top:4654;width:1280;height:9;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" strokecolor="black [3213]" strokeweight="1pt">
                  <v:stroke endarrow="block"/>
                </v:shape>
                <v:shape id="文本框 35" o:spid="_x0000_s1232" type="#_x0000_t202" style="position:absolute;left:10659;top:4317;width:747;height:3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" filled="f" stroked="f" strokeweight=".5pt">
                  <v:textbox>
                    <w:txbxContent>
                      <w:p w14:paraId="45D232D4"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富液</w:t>
                        </w:r>
                      </w:p>
                    </w:txbxContent>
                  </v:textbox>
                </v:shape>
                <v:shape id="文本框 36" o:spid="_x0000_s1233" type="#_x0000_t202" style="position:absolute;left:11390;top:4028;width:697;height:3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" filled="f" stroked="f" strokeweight=".5pt">
                  <v:textbox>
                    <w:txbxContent>
                      <w:p w14:paraId="12A51C19"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贫液</w:t>
                        </w:r>
                      </w:p>
                    </w:txbxContent>
                  </v:textbox>
                </v:shape>
                <v:line id="直接连接符 37" o:spid="_x0000_s1234" style="position:absolute;visibility:visible;mso-wrap-style:square" from="11386,4486" to="12093,44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" strokecolor="black [3213]" strokeweight="1pt"/>
                <v:shape id="文本框 39" o:spid="_x0000_s1235" type="#_x0000_t202" style="position:absolute;left:8810;top:3273;width:1544;height:3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" filled="f" strokecolor="black [3213]" strokeweight=".5pt">
                  <v:textbox>
                    <w:txbxContent>
                      <w:p w14:paraId="29A6B686"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贫液回流系统</w:t>
                        </w:r>
                      </w:p>
                    </w:txbxContent>
                  </v:textbox>
                </v:shape>
                <v:shape id="直接箭头连接符 40" o:spid="_x0000_s1236" type="#_x0000_t32" style="position:absolute;left:10363;top:3406;width:1033;height:2;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" strokecolor="black [3213]" strokeweight="1pt">
                  <v:stroke endarrow="block"/>
                </v:shape>
                <v:shape id="直接箭头连接符 44" o:spid="_x0000_s1237" type="#_x0000_t32" style="position:absolute;left:9845;top:2773;width:4;height:476;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" strokecolor="black [3213]" strokeweight="1pt">
                  <v:stroke dashstyle="dash" endarrow="block"/>
                </v:shape>
                <v:shape id="文本框 45" o:spid="_x0000_s1238" type="#_x0000_t202" style="position:absolute;left:9754;top:2596;width:830;height:41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" filled="f" stroked="f" strokeweight=".5pt">
                  <v:textbox>
                    <w:txbxContent>
                      <w:p w14:paraId="55099730"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杂质S</w:t>
                        </w:r>
                        <w:r>
                          <w:rPr>
                            <w:rFonts w:ascii="黑体" w:eastAsia="黑体" w:hAnsi="黑体" w:cs="黑体" w:hint="eastAsia"/>
                            <w:sz w:val="15"/>
                            <w:szCs w:val="15"/>
                            <w:vertAlign w:val="subscript"/>
                          </w:rPr>
                          <w:t>2</w:t>
                        </w:r>
                      </w:p>
                    </w:txbxContent>
                  </v:textbox>
                </v:shape>
                <v:shape id="直接箭头连接符 46" o:spid="_x0000_s1239" type="#_x0000_t32" style="position:absolute;left:7468;top:3409;width:14;height:101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" strokecolor="black [3213]" strokeweight="1pt">
                  <v:stroke endarrow="block"/>
                </v:shape>
                <v:shape id="文本框 51" o:spid="_x0000_s1240" type="#_x0000_t202" style="position:absolute;left:12366;top:3507;width:1021;height:3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" filled="f" strokecolor="black [3213]" strokeweight=".5pt">
                  <v:textbox>
                    <w:txbxContent>
                      <w:p w14:paraId="20F1080D"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脱硫塔</w:t>
                        </w:r>
                      </w:p>
                    </w:txbxContent>
                  </v:textbox>
                </v:shape>
                <v:shape id="直接箭头连接符 52" o:spid="_x0000_s1241" type="#_x0000_t32" style="position:absolute;left:12835;top:3996;width:7;height:431;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" strokecolor="black [3213]" strokeweight="1pt">
                  <v:stroke endarrow="block"/>
                </v:shape>
                <v:shape id="直接箭头连接符 53" o:spid="_x0000_s1242" type="#_x0000_t32" style="position:absolute;left:12849;top:3088;width:13;height:408;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" strokecolor="black [3213]" strokeweight="1pt">
                  <v:stroke dashstyle="dashDot" endarrow="block"/>
                </v:shape>
                <v:shape id="_x0000_s1243" type="#_x0000_t202" style="position:absolute;left:12800;top:2830;width:829;height:3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" filled="f" stroked="f" strokeweight=".5pt">
                  <v:textbox>
                    <w:txbxContent>
                      <w:p w14:paraId="60837A66"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废气G</w:t>
                        </w:r>
                        <w:r>
                          <w:rPr>
                            <w:rFonts w:ascii="黑体" w:eastAsia="黑体" w:hAnsi="黑体" w:cs="黑体" w:hint="eastAsia"/>
                            <w:sz w:val="15"/>
                            <w:szCs w:val="15"/>
                            <w:vertAlign w:val="subscript"/>
                          </w:rPr>
                          <w:t>2</w:t>
                        </w:r>
                      </w:p>
                    </w:txbxContent>
                  </v:textbox>
                </v:shape>
                <v:shape id="文本框 67" o:spid="_x0000_s1244" type="#_x0000_t202" style="position:absolute;left:8165;top:5470;width:830;height:3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" filled="f" stroked="f" strokeweight=".5pt">
                  <v:textbox>
                    <w:txbxContent>
                      <w:p w14:paraId="5AA912FB"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杂质S</w:t>
                        </w:r>
                        <w:r>
                          <w:rPr>
                            <w:rFonts w:ascii="黑体" w:eastAsia="黑体" w:hAnsi="黑体" w:cs="黑体" w:hint="eastAsia"/>
                            <w:sz w:val="15"/>
                            <w:szCs w:val="15"/>
                            <w:vertAlign w:val="subscript"/>
                          </w:rPr>
                          <w:t>4</w:t>
                        </w:r>
                      </w:p>
                    </w:txbxContent>
                  </v:textbox>
                </v:shape>
                <v:shape id="直接箭头连接符 68" o:spid="_x0000_s1245" type="#_x0000_t32" style="position:absolute;left:7743;top:5655;width:516;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" strokecolor="black [3213]" strokeweight="1pt">
                  <v:stroke dashstyle="dash" endarrow="block"/>
                </v:shape>
                <v:shape id="直接箭头连接符 69" o:spid="_x0000_s1246" type="#_x0000_t32" style="position:absolute;left:7084;top:7798;width:2;height:63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" strokecolor="black [3213]" strokeweight="1pt">
                  <v:stroke endarrow="block"/>
                </v:shape>
                <v:shape id="直接箭头连接符 79" o:spid="_x0000_s1247" type="#_x0000_t32" style="position:absolute;left:10072;top:4905;width:5;height:570;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" strokecolor="black [3213]" strokeweight="1pt">
                  <v:stroke endarrow="block"/>
                </v:shape>
                <v:shape id="_x0000_s1248" type="#_x0000_t202" style="position:absolute;left:13043;top:8267;width:903;height:3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" filled="f" stroked="f" strokeweight=".5pt">
                  <v:textbox>
                    <w:txbxContent>
                      <w:p w14:paraId="3187F655"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外输</w:t>
                        </w:r>
                      </w:p>
                    </w:txbxContent>
                  </v:textbox>
                </v:shape>
                <v:shape id="直接箭头连接符 89" o:spid="_x0000_s1249" type="#_x0000_t32" style="position:absolute;left:8001;top:6684;width:1126;height:8;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" strokecolor="black [3213]" strokeweight="1pt">
                  <v:stroke endarrow="block"/>
                </v:shape>
                <v:shape id="直接箭头连接符 85" o:spid="_x0000_s1250" type="#_x0000_t32" style="position:absolute;left:13047;top:8590;width:639;height:3;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" strokecolor="black [3213]" strokeweight="1pt">
                  <v:stroke endarrow="block"/>
                </v:shape>
                <v:shape id="直接箭头连接符 96" o:spid="_x0000_s1251" type="#_x0000_t32" style="position:absolute;left:10075;top:5915;width:7;height:573;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" strokecolor="black [3213]" strokeweight="1pt">
                  <v:stroke endarrow="block"/>
                </v:shape>
                <v:shape id="直接箭头连接符 98" o:spid="_x0000_s1252" type="#_x0000_t32" style="position:absolute;left:7146;top:5921;width:0;height:48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" strokecolor="black [3213]" strokeweight="1pt">
                  <v:stroke endarrow="block"/>
                </v:shape>
                <v:shape id="文本框 99" o:spid="_x0000_s1253" type="#_x0000_t202" style="position:absolute;left:9210;top:6421;width:1512;height:4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" fillcolor="white [3201]" strokeweight=".5pt">
                  <v:textbox>
                    <w:txbxContent>
                      <w:p w14:paraId="6AD02C46"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脱水再生单元</w:t>
                        </w:r>
                      </w:p>
                    </w:txbxContent>
                  </v:textbox>
                </v:shape>
                <v:shape id="文本框 100" o:spid="_x0000_s1254" type="#_x0000_t202" style="position:absolute;left:6398;top:6429;width:1522;height:4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" fillcolor="white [3201]" strokeweight=".5pt">
                  <v:textbox>
                    <w:txbxContent>
                      <w:p w14:paraId="3C0080B4"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干燥脱水单元</w:t>
                        </w:r>
                      </w:p>
                    </w:txbxContent>
                  </v:textbox>
                </v:shape>
                <v:shape id="文本框 110" o:spid="_x0000_s1255" type="#_x0000_t202" style="position:absolute;left:9140;top:5940;width:877;height:3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" filled="f" stroked="f" strokeweight=".5pt">
                  <v:textbox>
                    <w:txbxContent>
                      <w:p w14:paraId="356F285C"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凝结水</w:t>
                        </w:r>
                      </w:p>
                    </w:txbxContent>
                  </v:textbox>
                </v:shape>
                <v:shape id="文本框 105" o:spid="_x0000_s1256" type="#_x0000_t202" style="position:absolute;left:11068;top:5572;width:830;height:3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" filled="f" stroked="f" strokeweight=".5pt">
                  <v:textbox>
                    <w:txbxContent>
                      <w:p w14:paraId="1F049638"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杂质S</w:t>
                        </w:r>
                        <w:r>
                          <w:rPr>
                            <w:rFonts w:ascii="黑体" w:eastAsia="黑体" w:hAnsi="黑体" w:cs="黑体" w:hint="eastAsia"/>
                            <w:sz w:val="15"/>
                            <w:szCs w:val="15"/>
                            <w:vertAlign w:val="subscript"/>
                          </w:rPr>
                          <w:t>3</w:t>
                        </w:r>
                      </w:p>
                    </w:txbxContent>
                  </v:textbox>
                </v:shape>
                <v:shape id="直接箭头连接符 114" o:spid="_x0000_s1257" type="#_x0000_t32" style="position:absolute;left:7125;top:6913;width:11;height:548;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" strokecolor="black [3213]" strokeweight="1pt">
                  <v:stroke endarrow="block"/>
                </v:shape>
                <v:shape id="直接箭头连接符 106" o:spid="_x0000_s1258" type="#_x0000_t32" style="position:absolute;left:10639;top:5766;width:516;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" strokecolor="black [3213]" strokeweight="1pt">
                  <v:stroke dashstyle="dash" endarrow="block"/>
                </v:shape>
                <v:shape id="文本框 108" o:spid="_x0000_s1259" type="#_x0000_t202" style="position:absolute;left:9331;top:5083;width:1055;height:3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" filled="f" stroked="f" strokeweight=".5pt">
                  <v:textbox>
                    <w:txbxContent>
                      <w:p w14:paraId="70F42165"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滤液</w:t>
                        </w:r>
                      </w:p>
                    </w:txbxContent>
                  </v:textbox>
                </v:shape>
                <v:shape id="文本框 115" o:spid="_x0000_s1260" type="#_x0000_t202" style="position:absolute;left:6178;top:7431;width:1914;height:3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" fillcolor="white [3201]" strokeweight=".5pt">
                  <v:textbox>
                    <w:txbxContent>
                      <w:p w14:paraId="6F3DF6BC"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脱汞单元</w:t>
                        </w:r>
                      </w:p>
                    </w:txbxContent>
                  </v:textbox>
                </v:shape>
                <v:shape id="文本框 116" o:spid="_x0000_s1261" type="#_x0000_t202" style="position:absolute;left:6143;top:8412;width:1914;height:3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" fillcolor="white [3201]" strokeweight=".5pt">
                  <v:textbox>
                    <w:txbxContent>
                      <w:p w14:paraId="0B5D3496"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液化单元</w:t>
                        </w:r>
                      </w:p>
                    </w:txbxContent>
                  </v:textbox>
                </v:shape>
                <v:shape id="直接箭头连接符 118" o:spid="_x0000_s1262" type="#_x0000_t32" style="position:absolute;left:7096;top:8833;width:8;height:61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" strokecolor="black [3213]" strokeweight="1pt">
                  <v:stroke endarrow="block"/>
                </v:shape>
                <v:shape id="文本框 119" o:spid="_x0000_s1263" type="#_x0000_t202" style="position:absolute;left:8918;top:8404;width:1914;height:3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" fillcolor="white [3201]" strokeweight=".5pt">
                  <v:textbox>
                    <w:txbxContent>
                      <w:p w14:paraId="06FA224B"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重烃分离单元</w:t>
                        </w:r>
                      </w:p>
                    </w:txbxContent>
                  </v:textbox>
                </v:shape>
                <v:shape id="文本框 124" o:spid="_x0000_s1264" type="#_x0000_t202" style="position:absolute;left:11518;top:8412;width:1453;height:4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" fillcolor="white [3201]" strokeweight=".5pt">
                  <v:textbox>
                    <w:txbxContent>
                      <w:p w14:paraId="15170884"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LPG储罐</w:t>
                        </w:r>
                      </w:p>
                    </w:txbxContent>
                  </v:textbox>
                </v:shape>
                <v:shape id="文本框 133" o:spid="_x0000_s1265" type="#_x0000_t202" style="position:absolute;left:7948;top:8224;width:1137;height:3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" filled="f" stroked="f" strokeweight=".5pt">
                  <v:textbox>
                    <w:txbxContent>
                      <w:p w14:paraId="3E07E873"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低压气体</w:t>
                        </w:r>
                      </w:p>
                    </w:txbxContent>
                  </v:textbox>
                </v:shape>
                <v:shape id="直接箭头连接符 132" o:spid="_x0000_s1266" type="#_x0000_t32" style="position:absolute;left:8087;top:8599;width:781;height:2;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" strokecolor="black [3213]" strokeweight="1pt">
                  <v:stroke endarrow="block"/>
                </v:shape>
                <v:shape id="直接箭头连接符 127" o:spid="_x0000_s1267" type="#_x0000_t32" style="position:absolute;left:10860;top:8587;width:611;height: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" strokecolor="black [3213]" strokeweight="1pt">
                  <v:stroke endarrow="block"/>
                </v:shape>
                <v:shape id="文本框 136" o:spid="_x0000_s1268" type="#_x0000_t202" style="position:absolute;left:6493;top:10516;width:1170;height:5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" filled="f" stroked="f" strokeweight=".5pt">
                  <v:textbox>
                    <w:txbxContent>
                      <w:p w14:paraId="76086732"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装车外售</w:t>
                        </w:r>
                      </w:p>
                    </w:txbxContent>
                  </v:textbox>
                </v:shape>
                <v:shape id="文本框 134" o:spid="_x0000_s1269" type="#_x0000_t202" style="position:absolute;left:6160;top:9470;width:1914;height:3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" fillcolor="white [3201]" strokeweight=".5pt">
                  <v:textbox>
                    <w:txbxContent>
                      <w:p w14:paraId="0086A8C8"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LNG储罐</w:t>
                        </w:r>
                      </w:p>
                    </w:txbxContent>
                  </v:textbox>
                </v:shape>
                <v:shape id="直接箭头连接符 140" o:spid="_x0000_s1270" type="#_x0000_t32" style="position:absolute;left:10359;top:9691;width:567;height:1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" strokecolor="black [3213]" strokeweight="1pt">
                  <v:stroke endarrow="block"/>
                </v:shape>
                <v:shape id="直接箭头连接符 135" o:spid="_x0000_s1271" type="#_x0000_t32" style="position:absolute;left:7084;top:9872;width:2;height:63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" strokecolor="black [3213]" strokeweight="1pt">
                  <v:stroke endarrow="block"/>
                </v:shape>
                <v:shape id="文本框 139" o:spid="_x0000_s1272" type="#_x0000_t202" style="position:absolute;left:10938;top:9485;width:1562;height:3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" fillcolor="white [3201]" strokeweight=".5pt">
                  <v:textbox>
                    <w:txbxContent>
                      <w:p w14:paraId="4D36F4D0"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燃料气缓冲罐</w:t>
                        </w:r>
                      </w:p>
                    </w:txbxContent>
                  </v:textbox>
                </v:shape>
                <v:shape id="直接箭头连接符 137" o:spid="_x0000_s1273" type="#_x0000_t32" style="position:absolute;left:8114;top:9667;width:567;height:1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" strokecolor="black [3213]" strokeweight="1pt">
                  <v:stroke endarrow="block"/>
                </v:shape>
                <v:shape id="文本框 142" o:spid="_x0000_s1274" type="#_x0000_t202" style="position:absolute;left:10245;top:9278;width:849;height:3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" filled="f" stroked="f" strokeweight=".5pt">
                  <v:textbox>
                    <w:txbxContent>
                      <w:p w14:paraId="42712551"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压缩机</w:t>
                        </w:r>
                      </w:p>
                    </w:txbxContent>
                  </v:textbox>
                </v:shape>
                <v:shape id="文本框 143" o:spid="_x0000_s1275" type="#_x0000_t202" style="position:absolute;left:10429;top:10242;width:2897;height:7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" filled="f" stroked="f" strokeweight=".5pt">
                  <v:textbox>
                    <w:txbxContent>
                      <w:p w14:paraId="28906109"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送到燃料气系统（用于导热油炉、火炬系统及办公等用气），剩余部分送往下游天然气门站</w:t>
                        </w:r>
                      </w:p>
                    </w:txbxContent>
                  </v:textbox>
                </v:shape>
                <v:shape id="文本框 138" o:spid="_x0000_s1276" type="#_x0000_t202" style="position:absolute;left:8723;top:9522;width:1562;height:4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" fillcolor="white [3201]" strokeweight=".5pt">
                  <v:textbox>
                    <w:txbxContent>
                      <w:p w14:paraId="6EB36D6A"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BOG缓存罐</w:t>
                        </w:r>
                      </w:p>
                    </w:txbxContent>
                  </v:textbox>
                </v:shape>
                <v:shape id="直接箭头连接符 151" o:spid="_x0000_s1277" type="#_x0000_t32" style="position:absolute;left:10066;top:3856;width:4;height:537;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" strokecolor="black [3213]" strokeweight="1pt">
                  <v:stroke dashstyle="dashDot" endarrow="block"/>
                </v:shape>
                <v:shape id="文本框 150" o:spid="_x0000_s1278" type="#_x0000_t202" style="position:absolute;left:10066;top:3692;width:1040;height:3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" filled="f" stroked="f" strokeweight=".5pt">
                  <v:textbox>
                    <w:txbxContent>
                      <w:p w14:paraId="6203A09D"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闪蒸气G</w:t>
                        </w:r>
                        <w:r>
                          <w:rPr>
                            <w:rFonts w:ascii="黑体" w:eastAsia="黑体" w:hAnsi="黑体" w:cs="黑体" w:hint="eastAsia"/>
                            <w:sz w:val="15"/>
                            <w:szCs w:val="15"/>
                            <w:vertAlign w:val="subscript"/>
                          </w:rPr>
                          <w:t>1</w:t>
                        </w:r>
                      </w:p>
                    </w:txbxContent>
                  </v:textbox>
                </v:shape>
                <v:shape id="直接箭头连接符 141" o:spid="_x0000_s1279" type="#_x0000_t32" style="position:absolute;left:11663;top:9870;width:0;height:33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" strokecolor="black [3213]" strokeweight="1pt">
                  <v:stroke endarrow="block"/>
                </v:shape>
                <v:shape id="直接箭头连接符 144" o:spid="_x0000_s1280" type="#_x0000_t32" style="position:absolute;left:8132;top:7649;width:516;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" strokecolor="black [3213]" strokeweight="1pt">
                  <v:stroke dashstyle="dash" endarrow="block"/>
                </v:shape>
                <v:shape id="文本框 152" o:spid="_x0000_s1281" type="#_x0000_t202" style="position:absolute;left:7940;top:9370;width:1142;height:4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" filled="f" stroked="f" strokeweight=".5pt">
                  <v:textbox>
                    <w:txbxContent>
                      <w:p w14:paraId="44B8C442"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蒸发气加热</w:t>
                        </w:r>
                      </w:p>
                    </w:txbxContent>
                  </v:textbox>
                </v:shape>
                <v:shape id="文本框 145" o:spid="_x0000_s1282" type="#_x0000_t202" style="position:absolute;left:7977;top:7297;width:1300;height:3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" filled="f" stroked="f" strokeweight=".5pt">
                  <v:textbox>
                    <w:txbxContent>
                      <w:p w14:paraId="6B434F7F"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废脱汞剂S</w:t>
                        </w:r>
                        <w:r>
                          <w:rPr>
                            <w:rFonts w:ascii="黑体" w:eastAsia="黑体" w:hAnsi="黑体" w:cs="黑体" w:hint="eastAsia"/>
                            <w:sz w:val="15"/>
                            <w:szCs w:val="15"/>
                            <w:vertAlign w:val="subscript"/>
                          </w:rPr>
                          <w:t>5</w:t>
                        </w:r>
                      </w:p>
                    </w:txbxContent>
                  </v:textbox>
                </v:shape>
                <v:shape id="直接箭头连接符 146" o:spid="_x0000_s1283" type="#_x0000_t32" style="position:absolute;left:13443;top:3763;width:516;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" strokecolor="black [3213]" strokeweight="1pt">
                  <v:stroke dashstyle="dash" endarrow="block"/>
                </v:shape>
                <v:shape id="文本框 147" o:spid="_x0000_s1284" type="#_x0000_t202" style="position:absolute;left:13478;top:3418;width:1200;height:3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" filled="f" stroked="f" strokeweight=".5pt">
                  <v:textbox>
                    <w:txbxContent>
                      <w:p w14:paraId="252C7DFB"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废活性炭S</w:t>
                        </w:r>
                        <w:r>
                          <w:rPr>
                            <w:rFonts w:ascii="黑体" w:eastAsia="黑体" w:hAnsi="黑体" w:cs="黑体" w:hint="eastAsia"/>
                            <w:sz w:val="15"/>
                            <w:szCs w:val="15"/>
                            <w:vertAlign w:val="subscript"/>
                          </w:rPr>
                          <w:t>3</w:t>
                        </w:r>
                      </w:p>
                    </w:txbxContent>
                  </v:textbox>
                </v:shape>
                <v:shape id="文本框 148" o:spid="_x0000_s1285" type="#_x0000_t202" style="position:absolute;left:7745;top:3157;width:1323;height:3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" filled="f" stroked="f" strokeweight=".5pt">
                  <v:textbox>
                    <w:txbxContent>
                      <w:p w14:paraId="4F741539"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贫液</w:t>
                        </w:r>
                      </w:p>
                    </w:txbxContent>
                  </v:textbox>
                </v:shape>
                <v:shape id="文本框 12" o:spid="_x0000_s1286" type="#_x0000_t202" style="position:absolute;left:7073;top:1994;width:1159;height:3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" filled="f" stroked="f" strokeweight=".5pt">
                  <v:textbox>
                    <w:txbxContent>
                      <w:p w14:paraId="591E1B09"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28999.6</w:t>
                        </w:r>
                      </w:p>
                    </w:txbxContent>
                  </v:textbox>
                </v:shape>
                <v:line id="直接连接符 37" o:spid="_x0000_s1287" style="position:absolute;visibility:visible;mso-wrap-style:square" from="11388,3409" to="11394,447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" strokecolor="black [3213]" strokeweight="1pt"/>
                <v:shape id="文本框 25" o:spid="_x0000_s1288" type="#_x0000_t202" style="position:absolute;left:9533;top:5475;width:1077;height:4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" filled="f" strokecolor="black [3213]" strokeweight=".5pt">
                  <v:textbox>
                    <w:txbxContent>
                      <w:p w14:paraId="337C3022"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过滤器</w:t>
                        </w:r>
                      </w:p>
                    </w:txbxContent>
                  </v:textbox>
                </v:shape>
                <v:shape id="文本框 12" o:spid="_x0000_s1289" type="#_x0000_t202" style="position:absolute;left:8285;top:2129;width:800;height:3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" filled="f" stroked="f" strokeweight=".5pt">
                  <v:textbox>
                    <w:txbxContent>
                      <w:p w14:paraId="2ABD3096"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8.33</w:t>
                        </w:r>
                      </w:p>
                    </w:txbxContent>
                  </v:textbox>
                </v:shape>
                <v:shape id="文本框 12" o:spid="_x0000_s1290" type="#_x0000_t202" style="position:absolute;left:8205;top:2622;width:889;height:3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" filled="f" stroked="f" strokeweight=".5pt">
                  <v:textbox>
                    <w:txbxContent>
                      <w:p w14:paraId="1BA066BA"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0.014</w:t>
                        </w:r>
                      </w:p>
                    </w:txbxContent>
                  </v:textbox>
                </v:shape>
                <v:shape id="文本框 12" o:spid="_x0000_s1291" type="#_x0000_t202" style="position:absolute;left:9712;top:2875;width:920;height:3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" filled="f" stroked="f" strokeweight=".5pt">
                  <v:textbox>
                    <w:txbxContent>
                      <w:p w14:paraId="6C9D98F6"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0.028</w:t>
                        </w:r>
                      </w:p>
                    </w:txbxContent>
                  </v:textbox>
                </v:shape>
                <v:shape id="文本框 12" o:spid="_x0000_s1292" type="#_x0000_t202" style="position:absolute;left:10471;top:5368;width:800;height:3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" filled="f" stroked="f" strokeweight=".5pt">
                  <v:textbox>
                    <w:txbxContent>
                      <w:p w14:paraId="7FF1F4F9"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0.028</w:t>
                        </w:r>
                      </w:p>
                    </w:txbxContent>
                  </v:textbox>
                </v:shape>
                <v:shape id="文本框 12" o:spid="_x0000_s1293" type="#_x0000_t202" style="position:absolute;left:7551;top:5232;width:1009;height:3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" filled="f" stroked="f" strokeweight=".5pt">
                  <v:textbox>
                    <w:txbxContent>
                      <w:p w14:paraId="2A2E967D"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0.014</w:t>
                        </w:r>
                      </w:p>
                    </w:txbxContent>
                  </v:textbox>
                </v:shape>
                <v:shape id="文本框 12" o:spid="_x0000_s1294" type="#_x0000_t202" style="position:absolute;left:6006;top:10007;width:1459;height:4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" filled="f" stroked="f" strokeweight=".5pt">
                  <v:textbox>
                    <w:txbxContent>
                      <w:p w14:paraId="52886273" w14:textId="77777777" w:rsidR="00B0005F" w:rsidRDefault="00000000">
                        <w:pPr>
                          <w:rPr>
                            <w:rFonts w:ascii="黑体" w:eastAsia="黑体" w:hAnsi="黑体" w:cs="黑体"/>
                            <w:sz w:val="18"/>
                            <w:szCs w:val="18"/>
                          </w:rPr>
                        </w:pPr>
                        <w:r>
                          <w:rPr>
                            <w:rFonts w:ascii="黑体" w:eastAsia="黑体" w:hAnsi="黑体" w:cs="黑体"/>
                            <w:sz w:val="18"/>
                            <w:szCs w:val="18"/>
                          </w:rPr>
                          <w:t>27744.011</w:t>
                        </w:r>
                      </w:p>
                    </w:txbxContent>
                  </v:textbox>
                </v:shape>
                <v:shape id="文本框 106" o:spid="_x0000_s1295" type="#_x0000_t202" style="position:absolute;left:12715;top:4068;width:1799;height:3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" filled="f" stroked="f" strokeweight=".5pt">
                  <v:textbox>
                    <w:txbxContent>
                      <w:p w14:paraId="7209B8C0"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不凝气（H</w:t>
                        </w:r>
                        <w:r>
                          <w:rPr>
                            <w:rFonts w:ascii="黑体" w:eastAsia="黑体" w:hAnsi="黑体" w:cs="黑体" w:hint="eastAsia"/>
                            <w:sz w:val="15"/>
                            <w:szCs w:val="15"/>
                            <w:vertAlign w:val="subscript"/>
                          </w:rPr>
                          <w:t>2</w:t>
                        </w:r>
                        <w:r>
                          <w:rPr>
                            <w:rFonts w:ascii="黑体" w:eastAsia="黑体" w:hAnsi="黑体" w:cs="黑体" w:hint="eastAsia"/>
                            <w:sz w:val="15"/>
                            <w:szCs w:val="15"/>
                          </w:rPr>
                          <w:t>S、CO</w:t>
                        </w:r>
                        <w:r>
                          <w:rPr>
                            <w:rFonts w:ascii="黑体" w:eastAsia="黑体" w:hAnsi="黑体" w:cs="黑体" w:hint="eastAsia"/>
                            <w:sz w:val="15"/>
                            <w:szCs w:val="15"/>
                            <w:vertAlign w:val="subscript"/>
                          </w:rPr>
                          <w:t>2</w:t>
                        </w:r>
                        <w:r>
                          <w:rPr>
                            <w:rFonts w:ascii="黑体" w:eastAsia="黑体" w:hAnsi="黑体" w:cs="黑体" w:hint="eastAsia"/>
                            <w:sz w:val="15"/>
                            <w:szCs w:val="15"/>
                          </w:rPr>
                          <w:t>等）</w:t>
                        </w:r>
                      </w:p>
                    </w:txbxContent>
                  </v:textbox>
                </v:shape>
                <v:shape id="_x0000_s1296" type="#_x0000_t202" style="position:absolute;left:11401;top:6279;width:1338;height:3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" filled="f" stroked="f" strokeweight=".5pt">
                  <v:textbox>
                    <w:txbxContent>
                      <w:p w14:paraId="503C6E8B"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含油废液S</w:t>
                        </w:r>
                        <w:r>
                          <w:rPr>
                            <w:rFonts w:ascii="黑体" w:eastAsia="黑体" w:hAnsi="黑体" w:cs="黑体" w:hint="eastAsia"/>
                            <w:sz w:val="15"/>
                            <w:szCs w:val="15"/>
                            <w:vertAlign w:val="subscript"/>
                          </w:rPr>
                          <w:t>5</w:t>
                        </w:r>
                      </w:p>
                    </w:txbxContent>
                  </v:textbox>
                </v:shape>
                <v:shape id="文本框 160" o:spid="_x0000_s1297" type="#_x0000_t202" style="position:absolute;left:11573;top:6540;width:1105;height:5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" filled="f" stroked="f" strokeweight=".5pt">
                  <v:textbox>
                    <w:txbxContent>
                      <w:p w14:paraId="5F970A41"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冷凝隔油分离废水W</w:t>
                        </w:r>
                        <w:r>
                          <w:rPr>
                            <w:rFonts w:ascii="黑体" w:eastAsia="黑体" w:hAnsi="黑体" w:cs="黑体" w:hint="eastAsia"/>
                            <w:sz w:val="15"/>
                            <w:szCs w:val="15"/>
                            <w:vertAlign w:val="subscript"/>
                          </w:rPr>
                          <w:t>2</w:t>
                        </w:r>
                      </w:p>
                    </w:txbxContent>
                  </v:textbox>
                </v:shape>
                <v:shape id="直接箭头连接符 10" o:spid="_x0000_s1298" type="#_x0000_t32" style="position:absolute;left:10748;top:6734;width:759;height: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" strokecolor="black [3213]" strokeweight="1.25pt">
                  <v:stroke dashstyle="3 1" endarrow="block"/>
                </v:shape>
                <v:shape id="直接箭头连接符 15" o:spid="_x0000_s1299" type="#_x0000_t32" style="position:absolute;left:10742;top:6531;width:810;height:5;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" strokecolor="black [3213]" strokeweight="1pt">
                  <v:stroke dashstyle="dash" endarrow="block"/>
                </v:shape>
                <v:shape id="文本框 12" o:spid="_x0000_s1300" type="#_x0000_t202" style="position:absolute;left:6008;top:2834;width:1323;height:3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" filled="f" stroked="f" strokeweight=".5pt">
                  <v:textbox>
                    <w:txbxContent>
                      <w:p w14:paraId="5281CF36"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28991.256</w:t>
                        </w:r>
                      </w:p>
                    </w:txbxContent>
                  </v:textbox>
                </v:shape>
                <v:shape id="文本框 12" o:spid="_x0000_s1301" type="#_x0000_t202" style="position:absolute;left:12865;top:3126;width:1219;height:3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" filled="f" stroked="f" strokeweight=".5pt">
                  <v:textbox>
                    <w:txbxContent>
                      <w:p w14:paraId="19DE6BF3" w14:textId="77777777" w:rsidR="00B0005F" w:rsidRDefault="00000000">
                        <w:pPr>
                          <w:adjustRightInd w:val="0"/>
                          <w:snapToGrid w:val="0"/>
                          <w:rPr>
                            <w:rFonts w:ascii="黑体" w:eastAsia="黑体" w:hAnsi="黑体" w:cs="黑体"/>
                            <w:color w:val="000000" w:themeColor="text1"/>
                            <w:sz w:val="18"/>
                            <w:szCs w:val="18"/>
                          </w:rPr>
                        </w:pPr>
                        <w:r>
                          <w:rPr>
                            <w:rFonts w:ascii="黑体" w:eastAsia="黑体" w:hAnsi="黑体" w:cs="黑体"/>
                            <w:color w:val="000000" w:themeColor="text1"/>
                            <w:sz w:val="18"/>
                            <w:szCs w:val="18"/>
                          </w:rPr>
                          <w:t>979.3</w:t>
                        </w:r>
                      </w:p>
                    </w:txbxContent>
                  </v:textbox>
                </v:shape>
                <v:shape id="文本框 12" o:spid="_x0000_s1302" type="#_x0000_t202" style="position:absolute;left:10158;top:3922;width:805;height:4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" filled="f" stroked="f" strokeweight=".5pt">
                  <v:textbox>
                    <w:txbxContent>
                      <w:p w14:paraId="65C1EF63" w14:textId="77777777" w:rsidR="00B0005F" w:rsidRDefault="00000000">
                        <w:pPr>
                          <w:adjustRightInd w:val="0"/>
                          <w:snapToGrid w:val="0"/>
                          <w:rPr>
                            <w:rFonts w:ascii="黑体" w:eastAsia="黑体" w:hAnsi="黑体" w:cs="黑体"/>
                            <w:color w:val="000000" w:themeColor="text1"/>
                            <w:sz w:val="18"/>
                            <w:szCs w:val="18"/>
                          </w:rPr>
                        </w:pPr>
                        <w:r>
                          <w:rPr>
                            <w:rFonts w:ascii="黑体" w:eastAsia="黑体" w:hAnsi="黑体" w:cs="黑体" w:hint="eastAsia"/>
                            <w:color w:val="000000" w:themeColor="text1"/>
                            <w:sz w:val="18"/>
                            <w:szCs w:val="18"/>
                          </w:rPr>
                          <w:t>25.6</w:t>
                        </w:r>
                      </w:p>
                    </w:txbxContent>
                  </v:textbox>
                </v:shape>
                <v:shape id="文本框 12" o:spid="_x0000_s1303" type="#_x0000_t202" style="position:absolute;left:10644;top:6777;width:1393;height:4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" filled="f" stroked="f" strokeweight=".5pt">
                  <v:textbox>
                    <w:txbxContent>
                      <w:p w14:paraId="7996E369" w14:textId="77777777" w:rsidR="00B0005F" w:rsidRDefault="00000000">
                        <w:pPr>
                          <w:adjustRightInd w:val="0"/>
                          <w:snapToGrid w:val="0"/>
                          <w:rPr>
                            <w:rFonts w:ascii="黑体" w:eastAsia="黑体" w:hAnsi="黑体" w:cs="黑体"/>
                            <w:color w:val="000000" w:themeColor="text1"/>
                            <w:sz w:val="18"/>
                            <w:szCs w:val="18"/>
                          </w:rPr>
                        </w:pPr>
                        <w:r>
                          <w:rPr>
                            <w:rFonts w:ascii="黑体" w:eastAsia="黑体" w:hAnsi="黑体" w:cs="黑体" w:hint="eastAsia"/>
                            <w:color w:val="000000" w:themeColor="text1"/>
                            <w:sz w:val="18"/>
                            <w:szCs w:val="18"/>
                          </w:rPr>
                          <w:t>36.0kg/h</w:t>
                        </w:r>
                      </w:p>
                    </w:txbxContent>
                  </v:textbox>
                </v:shape>
                <v:shape id="文本框 12" o:spid="_x0000_s1304" type="#_x0000_t202" style="position:absolute;left:10584;top:6102;width:1393;height:4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" filled="f" stroked="f" strokeweight=".5pt">
                  <v:textbox>
                    <w:txbxContent>
                      <w:p w14:paraId="60A5158E" w14:textId="77777777" w:rsidR="00B0005F" w:rsidRDefault="00000000">
                        <w:pPr>
                          <w:adjustRightInd w:val="0"/>
                          <w:snapToGrid w:val="0"/>
                          <w:rPr>
                            <w:rFonts w:ascii="黑体" w:eastAsia="黑体" w:hAnsi="黑体" w:cs="黑体"/>
                            <w:color w:val="000000" w:themeColor="text1"/>
                            <w:sz w:val="18"/>
                            <w:szCs w:val="18"/>
                          </w:rPr>
                        </w:pPr>
                        <w:r>
                          <w:rPr>
                            <w:rFonts w:ascii="黑体" w:eastAsia="黑体" w:hAnsi="黑体" w:cs="黑体" w:hint="eastAsia"/>
                            <w:color w:val="000000" w:themeColor="text1"/>
                            <w:sz w:val="18"/>
                            <w:szCs w:val="18"/>
                          </w:rPr>
                          <w:t>0.4kg/h</w:t>
                        </w:r>
                      </w:p>
                    </w:txbxContent>
                  </v:textbox>
                </v:shape>
                <v:shape id="文本框 12" o:spid="_x0000_s1305" type="#_x0000_t202" style="position:absolute;left:7959;top:6267;width:1393;height:4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" filled="f" stroked="f" strokeweight=".5pt">
                  <v:textbox>
                    <w:txbxContent>
                      <w:p w14:paraId="312D62E8" w14:textId="77777777" w:rsidR="00B0005F" w:rsidRDefault="00000000">
                        <w:pPr>
                          <w:adjustRightInd w:val="0"/>
                          <w:snapToGrid w:val="0"/>
                          <w:rPr>
                            <w:rFonts w:ascii="黑体" w:eastAsia="黑体" w:hAnsi="黑体" w:cs="黑体"/>
                            <w:color w:val="000000" w:themeColor="text1"/>
                            <w:sz w:val="18"/>
                            <w:szCs w:val="18"/>
                          </w:rPr>
                        </w:pPr>
                        <w:r>
                          <w:rPr>
                            <w:rFonts w:ascii="黑体" w:eastAsia="黑体" w:hAnsi="黑体" w:cs="黑体" w:hint="eastAsia"/>
                            <w:color w:val="000000" w:themeColor="text1"/>
                            <w:sz w:val="18"/>
                            <w:szCs w:val="18"/>
                          </w:rPr>
                          <w:t>36.428kg/h</w:t>
                        </w:r>
                      </w:p>
                    </w:txbxContent>
                  </v:textbox>
                </v:shape>
                <v:shape id="文本框 12" o:spid="_x0000_s1306" type="#_x0000_t202" style="position:absolute;left:8035;top:4641;width:1219;height:3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" filled="f" stroked="f" strokeweight=".5pt">
                  <v:textbox>
                    <w:txbxContent>
                      <w:p w14:paraId="3847003E" w14:textId="77777777" w:rsidR="00B0005F" w:rsidRDefault="00000000">
                        <w:pPr>
                          <w:adjustRightInd w:val="0"/>
                          <w:snapToGrid w:val="0"/>
                          <w:rPr>
                            <w:rFonts w:ascii="黑体" w:eastAsia="黑体" w:hAnsi="黑体" w:cs="黑体"/>
                            <w:color w:val="000000" w:themeColor="text1"/>
                            <w:sz w:val="18"/>
                            <w:szCs w:val="18"/>
                          </w:rPr>
                        </w:pPr>
                        <w:r>
                          <w:rPr>
                            <w:rFonts w:ascii="黑体" w:eastAsia="黑体" w:hAnsi="黑体" w:cs="黑体"/>
                            <w:color w:val="000000" w:themeColor="text1"/>
                            <w:sz w:val="18"/>
                            <w:szCs w:val="18"/>
                          </w:rPr>
                          <w:t>1005.178</w:t>
                        </w:r>
                      </w:p>
                    </w:txbxContent>
                  </v:textbox>
                </v:shape>
                <v:shape id="文本框 12" o:spid="_x0000_s1307" type="#_x0000_t202" style="position:absolute;left:5950;top:4881;width:1219;height:3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" filled="f" stroked="f" strokeweight=".5pt">
                  <v:textbox>
                    <w:txbxContent>
                      <w:p w14:paraId="53BFEDFF" w14:textId="77777777" w:rsidR="00B0005F" w:rsidRDefault="00000000">
                        <w:pPr>
                          <w:adjustRightInd w:val="0"/>
                          <w:snapToGrid w:val="0"/>
                          <w:rPr>
                            <w:rFonts w:ascii="黑体" w:eastAsia="黑体" w:hAnsi="黑体" w:cs="黑体"/>
                            <w:color w:val="000000" w:themeColor="text1"/>
                            <w:sz w:val="18"/>
                            <w:szCs w:val="18"/>
                          </w:rPr>
                        </w:pPr>
                        <w:r>
                          <w:rPr>
                            <w:rFonts w:ascii="黑体" w:eastAsia="黑体" w:hAnsi="黑体" w:cs="黑体"/>
                            <w:color w:val="000000" w:themeColor="text1"/>
                            <w:sz w:val="18"/>
                            <w:szCs w:val="18"/>
                          </w:rPr>
                          <w:t>27986.453</w:t>
                        </w:r>
                      </w:p>
                    </w:txbxContent>
                  </v:textbox>
                </v:shape>
                <v:shape id="文本框 12" o:spid="_x0000_s1308" type="#_x0000_t202" style="position:absolute;left:13300;top:3726;width:830;height:3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" filled="f" stroked="f" strokeweight=".5pt">
                  <v:textbox>
                    <w:txbxContent>
                      <w:p w14:paraId="219C7A29" w14:textId="77777777" w:rsidR="00B0005F" w:rsidRDefault="00000000">
                        <w:pPr>
                          <w:adjustRightInd w:val="0"/>
                          <w:snapToGrid w:val="0"/>
                          <w:rPr>
                            <w:rFonts w:ascii="黑体" w:eastAsia="黑体" w:hAnsi="黑体" w:cs="黑体"/>
                            <w:color w:val="000000" w:themeColor="text1"/>
                            <w:sz w:val="18"/>
                            <w:szCs w:val="18"/>
                          </w:rPr>
                        </w:pPr>
                        <w:r>
                          <w:rPr>
                            <w:rFonts w:ascii="黑体" w:eastAsia="黑体" w:hAnsi="黑体" w:cs="黑体" w:hint="eastAsia"/>
                            <w:color w:val="000000" w:themeColor="text1"/>
                            <w:sz w:val="18"/>
                            <w:szCs w:val="18"/>
                          </w:rPr>
                          <w:t>0.25</w:t>
                        </w:r>
                      </w:p>
                    </w:txbxContent>
                  </v:textbox>
                </v:shape>
                <v:shape id="文本框 12" o:spid="_x0000_s1309" type="#_x0000_t202" style="position:absolute;left:5845;top:5931;width:1219;height:3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" filled="f" stroked="f" strokeweight=".5pt">
                  <v:textbox>
                    <w:txbxContent>
                      <w:p w14:paraId="519CDBEE" w14:textId="77777777" w:rsidR="00B0005F" w:rsidRDefault="00000000">
                        <w:pPr>
                          <w:adjustRightInd w:val="0"/>
                          <w:snapToGrid w:val="0"/>
                          <w:rPr>
                            <w:rFonts w:ascii="黑体" w:eastAsia="黑体" w:hAnsi="黑体" w:cs="黑体"/>
                            <w:color w:val="000000" w:themeColor="text1"/>
                            <w:sz w:val="18"/>
                            <w:szCs w:val="18"/>
                          </w:rPr>
                        </w:pPr>
                        <w:r>
                          <w:rPr>
                            <w:rFonts w:ascii="黑体" w:eastAsia="黑体" w:hAnsi="黑体" w:cs="黑体"/>
                            <w:color w:val="000000" w:themeColor="text1"/>
                            <w:sz w:val="18"/>
                            <w:szCs w:val="18"/>
                          </w:rPr>
                          <w:t>27986.439</w:t>
                        </w:r>
                      </w:p>
                    </w:txbxContent>
                  </v:textbox>
                </v:shape>
                <v:shape id="文本框 12" o:spid="_x0000_s1310" type="#_x0000_t202" style="position:absolute;left:5860;top:6951;width:1219;height:3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" filled="f" stroked="f" strokeweight=".5pt">
                  <v:textbox>
                    <w:txbxContent>
                      <w:p w14:paraId="45119D8F" w14:textId="77777777" w:rsidR="00B0005F" w:rsidRDefault="00000000">
                        <w:pPr>
                          <w:widowControl/>
                          <w:rPr>
                            <w:rFonts w:hAnsi="宋体" w:cs="宋体"/>
                            <w:color w:val="000000"/>
                            <w:sz w:val="22"/>
                            <w:szCs w:val="22"/>
                          </w:rPr>
                        </w:pPr>
                        <w:r>
                          <w:rPr>
                            <w:rFonts w:ascii="黑体" w:eastAsia="黑体" w:hAnsi="黑体" w:cs="黑体" w:hint="eastAsia"/>
                            <w:color w:val="000000" w:themeColor="text1"/>
                            <w:sz w:val="18"/>
                            <w:szCs w:val="18"/>
                          </w:rPr>
                          <w:t>27950.011</w:t>
                        </w:r>
                      </w:p>
                      <w:p w14:paraId="4FD657AE" w14:textId="77777777" w:rsidR="00B0005F" w:rsidRDefault="00B0005F">
                        <w:pPr>
                          <w:adjustRightInd w:val="0"/>
                          <w:snapToGrid w:val="0"/>
                          <w:rPr>
                            <w:rFonts w:ascii="黑体" w:eastAsia="黑体" w:hAnsi="黑体" w:cs="黑体"/>
                            <w:color w:val="000000" w:themeColor="text1"/>
                            <w:sz w:val="18"/>
                            <w:szCs w:val="18"/>
                          </w:rPr>
                        </w:pPr>
                      </w:p>
                    </w:txbxContent>
                  </v:textbox>
                </v:shape>
                <v:shape id="文本框 12" o:spid="_x0000_s1311" type="#_x0000_t202" style="position:absolute;left:8125;top:7656;width:1968;height:3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" filled="f" stroked="f" strokeweight=".5pt">
                  <v:textbox>
                    <w:txbxContent>
                      <w:p w14:paraId="12657247" w14:textId="77777777" w:rsidR="00B0005F" w:rsidRDefault="00000000">
                        <w:pPr>
                          <w:adjustRightInd w:val="0"/>
                          <w:snapToGrid w:val="0"/>
                          <w:rPr>
                            <w:rFonts w:ascii="黑体" w:eastAsia="黑体" w:hAnsi="黑体" w:cs="黑体"/>
                            <w:color w:val="000000" w:themeColor="text1"/>
                            <w:sz w:val="18"/>
                            <w:szCs w:val="18"/>
                          </w:rPr>
                        </w:pPr>
                        <w:r>
                          <w:rPr>
                            <w:rFonts w:ascii="黑体" w:eastAsia="黑体" w:hAnsi="黑体" w:cs="黑体" w:hint="eastAsia"/>
                            <w:color w:val="000000" w:themeColor="text1"/>
                            <w:sz w:val="18"/>
                            <w:szCs w:val="18"/>
                          </w:rPr>
                          <w:t>汞含量3.75075E-06</w:t>
                        </w:r>
                      </w:p>
                    </w:txbxContent>
                  </v:textbox>
                </v:shape>
                <v:shape id="文本框 12" o:spid="_x0000_s1312" type="#_x0000_t202" style="position:absolute;left:5800;top:7911;width:1219;height:3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" filled="f" stroked="f" strokeweight=".5pt">
                  <v:textbox>
                    <w:txbxContent>
                      <w:p w14:paraId="49186A62" w14:textId="77777777" w:rsidR="00B0005F" w:rsidRDefault="00000000">
                        <w:pPr>
                          <w:widowControl/>
                          <w:rPr>
                            <w:rFonts w:hAnsi="宋体" w:cs="宋体"/>
                            <w:color w:val="000000"/>
                            <w:sz w:val="22"/>
                            <w:szCs w:val="22"/>
                          </w:rPr>
                        </w:pPr>
                        <w:r>
                          <w:rPr>
                            <w:rFonts w:ascii="黑体" w:eastAsia="黑体" w:hAnsi="黑体" w:cs="黑体" w:hint="eastAsia"/>
                            <w:color w:val="000000" w:themeColor="text1"/>
                            <w:sz w:val="18"/>
                            <w:szCs w:val="18"/>
                          </w:rPr>
                          <w:t>27950.011</w:t>
                        </w:r>
                      </w:p>
                      <w:p w14:paraId="48B62045" w14:textId="77777777" w:rsidR="00B0005F" w:rsidRDefault="00B0005F">
                        <w:pPr>
                          <w:adjustRightInd w:val="0"/>
                          <w:snapToGrid w:val="0"/>
                          <w:rPr>
                            <w:rFonts w:ascii="黑体" w:eastAsia="黑体" w:hAnsi="黑体" w:cs="黑体"/>
                            <w:color w:val="000000" w:themeColor="text1"/>
                            <w:sz w:val="18"/>
                            <w:szCs w:val="18"/>
                          </w:rPr>
                        </w:pPr>
                      </w:p>
                    </w:txbxContent>
                  </v:textbox>
                </v:shape>
                <v:shape id="文本框 12" o:spid="_x0000_s1313" type="#_x0000_t202" style="position:absolute;left:8125;top:8586;width:860;height:3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" filled="f" stroked="f" strokeweight=".5pt">
                  <v:textbox>
                    <w:txbxContent>
                      <w:p w14:paraId="49ADD52D" w14:textId="77777777" w:rsidR="00B0005F" w:rsidRDefault="00000000">
                        <w:pPr>
                          <w:adjustRightInd w:val="0"/>
                          <w:snapToGrid w:val="0"/>
                          <w:rPr>
                            <w:rFonts w:ascii="黑体" w:eastAsia="黑体" w:hAnsi="黑体" w:cs="黑体"/>
                            <w:color w:val="000000" w:themeColor="text1"/>
                            <w:sz w:val="18"/>
                            <w:szCs w:val="18"/>
                          </w:rPr>
                        </w:pPr>
                        <w:r>
                          <w:rPr>
                            <w:rFonts w:ascii="黑体" w:eastAsia="黑体" w:hAnsi="黑体" w:cs="黑体" w:hint="eastAsia"/>
                            <w:color w:val="000000" w:themeColor="text1"/>
                            <w:sz w:val="18"/>
                            <w:szCs w:val="18"/>
                          </w:rPr>
                          <w:t>13.0</w:t>
                        </w:r>
                      </w:p>
                    </w:txbxContent>
                  </v:textbox>
                </v:shape>
                <v:shape id="文本框 12" o:spid="_x0000_s1314" type="#_x0000_t202" style="position:absolute;left:10795;top:8556;width:860;height:3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" filled="f" stroked="f" strokeweight=".5pt">
                  <v:textbox>
                    <w:txbxContent>
                      <w:p w14:paraId="5523A138" w14:textId="77777777" w:rsidR="00B0005F" w:rsidRDefault="00000000">
                        <w:pPr>
                          <w:adjustRightInd w:val="0"/>
                          <w:snapToGrid w:val="0"/>
                          <w:rPr>
                            <w:rFonts w:ascii="黑体" w:eastAsia="黑体" w:hAnsi="黑体" w:cs="黑体"/>
                            <w:color w:val="000000" w:themeColor="text1"/>
                            <w:sz w:val="18"/>
                            <w:szCs w:val="18"/>
                          </w:rPr>
                        </w:pPr>
                        <w:r>
                          <w:rPr>
                            <w:rFonts w:ascii="黑体" w:eastAsia="黑体" w:hAnsi="黑体" w:cs="黑体" w:hint="eastAsia"/>
                            <w:color w:val="000000" w:themeColor="text1"/>
                            <w:sz w:val="18"/>
                            <w:szCs w:val="18"/>
                          </w:rPr>
                          <w:t>13.0</w:t>
                        </w:r>
                      </w:p>
                    </w:txbxContent>
                  </v:textbox>
                </v:shape>
                <v:shape id="文本框 12" o:spid="_x0000_s1315" type="#_x0000_t202" style="position:absolute;left:13015;top:8586;width:860;height:3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" filled="f" stroked="f" strokeweight=".5pt">
                  <v:textbox>
                    <w:txbxContent>
                      <w:p w14:paraId="605E78E8" w14:textId="77777777" w:rsidR="00B0005F" w:rsidRDefault="00000000">
                        <w:pPr>
                          <w:adjustRightInd w:val="0"/>
                          <w:snapToGrid w:val="0"/>
                          <w:rPr>
                            <w:rFonts w:ascii="黑体" w:eastAsia="黑体" w:hAnsi="黑体" w:cs="黑体"/>
                            <w:color w:val="000000" w:themeColor="text1"/>
                            <w:sz w:val="18"/>
                            <w:szCs w:val="18"/>
                          </w:rPr>
                        </w:pPr>
                        <w:r>
                          <w:rPr>
                            <w:rFonts w:ascii="黑体" w:eastAsia="黑体" w:hAnsi="黑体" w:cs="黑体" w:hint="eastAsia"/>
                            <w:color w:val="000000" w:themeColor="text1"/>
                            <w:sz w:val="18"/>
                            <w:szCs w:val="18"/>
                          </w:rPr>
                          <w:t>13.0</w:t>
                        </w:r>
                      </w:p>
                    </w:txbxContent>
                  </v:textbox>
                </v:shape>
                <v:shape id="文本框 133" o:spid="_x0000_s1316" type="#_x0000_t202" style="position:absolute;left:10573;top:8239;width:1137;height:3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" filled="f" stroked="f" strokeweight=".5pt">
                  <v:textbox>
                    <w:txbxContent>
                      <w:p w14:paraId="1B414ECB"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重烃</w:t>
                        </w:r>
                      </w:p>
                    </w:txbxContent>
                  </v:textbox>
                </v:shape>
                <v:shape id="文本框 12" o:spid="_x0000_s1317" type="#_x0000_t202" style="position:absolute;left:5770;top:8901;width:1219;height:3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" filled="f" stroked="f" strokeweight=".5pt">
                  <v:textbox>
                    <w:txbxContent>
                      <w:p w14:paraId="651A0D44" w14:textId="77777777" w:rsidR="00B0005F" w:rsidRDefault="00000000">
                        <w:pPr>
                          <w:adjustRightInd w:val="0"/>
                          <w:snapToGrid w:val="0"/>
                          <w:rPr>
                            <w:rFonts w:ascii="黑体" w:eastAsia="黑体" w:hAnsi="黑体" w:cs="黑体"/>
                            <w:color w:val="000000" w:themeColor="text1"/>
                            <w:sz w:val="18"/>
                            <w:szCs w:val="18"/>
                          </w:rPr>
                        </w:pPr>
                        <w:r>
                          <w:rPr>
                            <w:rFonts w:ascii="黑体" w:eastAsia="黑体" w:hAnsi="黑体" w:cs="黑体"/>
                            <w:color w:val="000000" w:themeColor="text1"/>
                            <w:sz w:val="18"/>
                            <w:szCs w:val="18"/>
                          </w:rPr>
                          <w:t>27937.011</w:t>
                        </w:r>
                      </w:p>
                    </w:txbxContent>
                  </v:textbox>
                </v:shape>
                <v:shape id="文本框 12" o:spid="_x0000_s1318" type="#_x0000_t202" style="position:absolute;left:8083;top:9612;width:860;height:3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" filled="f" stroked="f" strokeweight=".5pt">
                  <v:textbox>
                    <w:txbxContent>
                      <w:p w14:paraId="0913271C" w14:textId="77777777" w:rsidR="00B0005F" w:rsidRDefault="00000000">
                        <w:pPr>
                          <w:adjustRightInd w:val="0"/>
                          <w:snapToGrid w:val="0"/>
                          <w:rPr>
                            <w:rFonts w:ascii="黑体" w:eastAsia="黑体" w:hAnsi="黑体" w:cs="黑体"/>
                            <w:color w:val="000000" w:themeColor="text1"/>
                            <w:sz w:val="18"/>
                            <w:szCs w:val="18"/>
                          </w:rPr>
                        </w:pPr>
                        <w:r>
                          <w:rPr>
                            <w:rFonts w:ascii="黑体" w:eastAsia="黑体" w:hAnsi="黑体" w:cs="黑体" w:hint="eastAsia"/>
                            <w:color w:val="000000" w:themeColor="text1"/>
                            <w:sz w:val="18"/>
                            <w:szCs w:val="18"/>
                          </w:rPr>
                          <w:t>193</w:t>
                        </w:r>
                      </w:p>
                    </w:txbxContent>
                  </v:textbox>
                </v:shape>
                <v:shape id="文本框 12" o:spid="_x0000_s1319" type="#_x0000_t202" style="position:absolute;left:10255;top:9651;width:860;height:3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" filled="f" stroked="f" strokeweight=".5pt">
                  <v:textbox>
                    <w:txbxContent>
                      <w:p w14:paraId="71622F8C" w14:textId="77777777" w:rsidR="00B0005F" w:rsidRDefault="00000000">
                        <w:pPr>
                          <w:adjustRightInd w:val="0"/>
                          <w:snapToGrid w:val="0"/>
                          <w:rPr>
                            <w:rFonts w:ascii="黑体" w:eastAsia="黑体" w:hAnsi="黑体" w:cs="黑体"/>
                            <w:color w:val="000000" w:themeColor="text1"/>
                            <w:sz w:val="18"/>
                            <w:szCs w:val="18"/>
                          </w:rPr>
                        </w:pPr>
                        <w:r>
                          <w:rPr>
                            <w:rFonts w:ascii="黑体" w:eastAsia="黑体" w:hAnsi="黑体" w:cs="黑体" w:hint="eastAsia"/>
                            <w:color w:val="000000" w:themeColor="text1"/>
                            <w:sz w:val="18"/>
                            <w:szCs w:val="18"/>
                          </w:rPr>
                          <w:t>286.0</w:t>
                        </w:r>
                      </w:p>
                    </w:txbxContent>
                  </v:textbox>
                </v:shape>
                <v:shape id="文本框 12" o:spid="_x0000_s1320" type="#_x0000_t202" style="position:absolute;left:11710;top:9831;width:860;height:3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" filled="f" stroked="f" strokeweight=".5pt">
                  <v:textbox>
                    <w:txbxContent>
                      <w:p w14:paraId="5FE3DDDA" w14:textId="77777777" w:rsidR="00B0005F" w:rsidRDefault="00000000">
                        <w:pPr>
                          <w:adjustRightInd w:val="0"/>
                          <w:snapToGrid w:val="0"/>
                          <w:rPr>
                            <w:rFonts w:ascii="黑体" w:eastAsia="黑体" w:hAnsi="黑体" w:cs="黑体"/>
                            <w:color w:val="000000" w:themeColor="text1"/>
                            <w:sz w:val="18"/>
                            <w:szCs w:val="18"/>
                          </w:rPr>
                        </w:pPr>
                        <w:r>
                          <w:rPr>
                            <w:rFonts w:ascii="黑体" w:eastAsia="黑体" w:hAnsi="黑体" w:cs="黑体" w:hint="eastAsia"/>
                            <w:color w:val="000000" w:themeColor="text1"/>
                            <w:sz w:val="18"/>
                            <w:szCs w:val="18"/>
                          </w:rPr>
                          <w:t>286.0</w:t>
                        </w:r>
                      </w:p>
                    </w:txbxContent>
                  </v:textbox>
                </v:shape>
                <v:shape id="文本框 12" o:spid="_x0000_s1321" type="#_x0000_t202" style="position:absolute;left:5333;top:3479;width:2012;height:3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" filled="f" stroked="f" strokeweight=".5pt">
                  <v:textbox>
                    <w:txbxContent>
                      <w:p w14:paraId="68DCEB49" w14:textId="77777777" w:rsidR="00B0005F" w:rsidRDefault="00000000">
                        <w:pPr>
                          <w:adjustRightInd w:val="0"/>
                          <w:snapToGrid w:val="0"/>
                          <w:jc w:val="center"/>
                          <w:rPr>
                            <w:rFonts w:ascii="黑体" w:eastAsia="黑体" w:hAnsi="黑体" w:cs="黑体"/>
                            <w:sz w:val="18"/>
                            <w:szCs w:val="18"/>
                          </w:rPr>
                        </w:pPr>
                        <w:r>
                          <w:rPr>
                            <w:rFonts w:ascii="黑体" w:eastAsia="黑体" w:hAnsi="黑体" w:cs="黑体" w:hint="eastAsia"/>
                            <w:sz w:val="18"/>
                            <w:szCs w:val="18"/>
                          </w:rPr>
                          <w:t>辅料MDEA：0.375</w:t>
                        </w:r>
                      </w:p>
                    </w:txbxContent>
                  </v:textbox>
                </v:shape>
                <v:shape id="直接箭头连接符 13" o:spid="_x0000_s1322" type="#_x0000_t32" style="position:absolute;left:6643;top:3808;width:13;height:53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" strokecolor="black [3213]" strokeweight="1pt">
                  <v:stroke endarrow="block"/>
                </v:shape>
                <v:shape id="文本框 152" o:spid="_x0000_s1323" type="#_x0000_t202" style="position:absolute;left:7340;top:10222;width:1142;height:4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" filled="f" stroked="f" strokeweight=".5pt">
                  <v:textbox>
                    <w:txbxContent>
                      <w:p w14:paraId="47179ADD" w14:textId="77777777" w:rsidR="00B0005F" w:rsidRDefault="00000000">
                        <w:pPr>
                          <w:adjustRightInd w:val="0"/>
                          <w:snapToGrid w:val="0"/>
                          <w:jc w:val="center"/>
                          <w:rPr>
                            <w:rFonts w:ascii="黑体" w:eastAsia="黑体" w:hAnsi="黑体" w:cs="黑体"/>
                            <w:sz w:val="15"/>
                            <w:szCs w:val="15"/>
                          </w:rPr>
                        </w:pPr>
                        <w:r>
                          <w:rPr>
                            <w:rFonts w:ascii="黑体" w:eastAsia="黑体" w:hAnsi="黑体" w:cs="黑体" w:hint="eastAsia"/>
                            <w:sz w:val="15"/>
                            <w:szCs w:val="15"/>
                          </w:rPr>
                          <w:t>装车蒸发气</w:t>
                        </w:r>
                      </w:p>
                    </w:txbxContent>
                  </v:textbox>
                </v:shape>
                <v:shape id="文本框 12" o:spid="_x0000_s1324" type="#_x0000_t202" style="position:absolute;left:8271;top:10284;width:860;height:3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" filled="f" stroked="f" strokeweight=".5pt">
                  <v:textbox>
                    <w:txbxContent>
                      <w:p w14:paraId="4E3A1636" w14:textId="77777777" w:rsidR="00B0005F" w:rsidRDefault="00000000">
                        <w:pPr>
                          <w:adjustRightInd w:val="0"/>
                          <w:snapToGrid w:val="0"/>
                          <w:rPr>
                            <w:rFonts w:ascii="黑体" w:eastAsia="黑体" w:hAnsi="黑体" w:cs="黑体"/>
                            <w:color w:val="000000" w:themeColor="text1"/>
                            <w:sz w:val="18"/>
                            <w:szCs w:val="18"/>
                          </w:rPr>
                        </w:pPr>
                        <w:r>
                          <w:rPr>
                            <w:rFonts w:ascii="黑体" w:eastAsia="黑体" w:hAnsi="黑体" w:cs="黑体" w:hint="eastAsia"/>
                            <w:color w:val="000000" w:themeColor="text1"/>
                            <w:sz w:val="18"/>
                            <w:szCs w:val="18"/>
                          </w:rPr>
                          <w:t>93.0</w:t>
                        </w:r>
                      </w:p>
                    </w:txbxContent>
                  </v:textbox>
                </v:shape>
                <v:shape id="文本框 12" o:spid="_x0000_s1325" type="#_x0000_t202" style="position:absolute;left:5958;top:10739;width:1459;height:4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" filled="f" stroked="f" strokeweight=".5pt">
                  <v:textbox>
                    <w:txbxContent>
                      <w:p w14:paraId="3C8BEC1C" w14:textId="77777777" w:rsidR="00B0005F" w:rsidRDefault="00000000">
                        <w:pPr>
                          <w:rPr>
                            <w:rFonts w:ascii="黑体" w:eastAsia="黑体" w:hAnsi="黑体" w:cs="黑体"/>
                            <w:sz w:val="18"/>
                            <w:szCs w:val="18"/>
                          </w:rPr>
                        </w:pPr>
                        <w:r>
                          <w:rPr>
                            <w:rFonts w:ascii="黑体" w:eastAsia="黑体" w:hAnsi="黑体" w:cs="黑体"/>
                            <w:sz w:val="18"/>
                            <w:szCs w:val="18"/>
                          </w:rPr>
                          <w:t>27651.01</w:t>
                        </w:r>
                      </w:p>
                    </w:txbxContent>
                  </v:textbox>
                </v:shape>
              </v:group>
            </w:pict>
          </mc:Fallback>
        </mc:AlternateContent>
      </w:r>
    </w:p>
    <w:p w14:paraId="5EEDBBCC" w14:textId="77777777" w:rsidR="00B0005F" w:rsidRPr="008A2411" w:rsidRDefault="00B0005F">
      <w:pPr>
        <w:jc w:val="center"/>
        <w:rPr>
          <w:rFonts w:ascii="Times New Roman" w:eastAsia="黑体"/>
          <w:color w:val="000000" w:themeColor="text1"/>
          <w:szCs w:val="21"/>
        </w:rPr>
      </w:pPr>
    </w:p>
    <w:p w14:paraId="614A61D7" w14:textId="77777777" w:rsidR="00B0005F" w:rsidRPr="008A2411" w:rsidRDefault="00B0005F">
      <w:pPr>
        <w:jc w:val="center"/>
        <w:rPr>
          <w:rFonts w:ascii="Times New Roman" w:eastAsia="黑体"/>
          <w:color w:val="000000" w:themeColor="text1"/>
          <w:szCs w:val="21"/>
        </w:rPr>
      </w:pPr>
    </w:p>
    <w:p w14:paraId="7D98620C" w14:textId="77777777" w:rsidR="00B0005F" w:rsidRPr="008A2411" w:rsidRDefault="00B0005F">
      <w:pPr>
        <w:jc w:val="center"/>
        <w:rPr>
          <w:rFonts w:ascii="Times New Roman" w:eastAsia="黑体"/>
          <w:color w:val="000000" w:themeColor="text1"/>
          <w:szCs w:val="21"/>
        </w:rPr>
      </w:pPr>
    </w:p>
    <w:p w14:paraId="59F66A9B" w14:textId="77777777" w:rsidR="00B0005F" w:rsidRPr="008A2411" w:rsidRDefault="00B0005F">
      <w:pPr>
        <w:jc w:val="center"/>
        <w:rPr>
          <w:rFonts w:ascii="Times New Roman" w:eastAsia="黑体"/>
          <w:color w:val="000000" w:themeColor="text1"/>
          <w:szCs w:val="21"/>
        </w:rPr>
      </w:pPr>
    </w:p>
    <w:p w14:paraId="5D64AD13" w14:textId="77777777" w:rsidR="00B0005F" w:rsidRPr="008A2411" w:rsidRDefault="00B0005F">
      <w:pPr>
        <w:jc w:val="center"/>
        <w:rPr>
          <w:rFonts w:ascii="Times New Roman" w:eastAsia="黑体"/>
          <w:color w:val="000000" w:themeColor="text1"/>
          <w:szCs w:val="21"/>
        </w:rPr>
      </w:pPr>
    </w:p>
    <w:p w14:paraId="7A5099E6" w14:textId="77777777" w:rsidR="00B0005F" w:rsidRPr="008A2411" w:rsidRDefault="00B0005F">
      <w:pPr>
        <w:jc w:val="center"/>
        <w:rPr>
          <w:rFonts w:ascii="Times New Roman" w:eastAsia="黑体"/>
          <w:color w:val="000000" w:themeColor="text1"/>
          <w:szCs w:val="21"/>
        </w:rPr>
      </w:pPr>
    </w:p>
    <w:p w14:paraId="012D1142" w14:textId="77777777" w:rsidR="00B0005F" w:rsidRPr="008A2411" w:rsidRDefault="00B0005F">
      <w:pPr>
        <w:jc w:val="center"/>
        <w:rPr>
          <w:rFonts w:ascii="Times New Roman" w:eastAsia="黑体"/>
          <w:color w:val="000000" w:themeColor="text1"/>
          <w:szCs w:val="21"/>
        </w:rPr>
      </w:pPr>
    </w:p>
    <w:p w14:paraId="38FBB877" w14:textId="77777777" w:rsidR="00B0005F" w:rsidRPr="008A2411" w:rsidRDefault="00B0005F">
      <w:pPr>
        <w:jc w:val="center"/>
        <w:rPr>
          <w:rFonts w:ascii="Times New Roman" w:eastAsia="黑体"/>
          <w:color w:val="000000" w:themeColor="text1"/>
          <w:szCs w:val="21"/>
        </w:rPr>
      </w:pPr>
    </w:p>
    <w:p w14:paraId="2BE07C82" w14:textId="77777777" w:rsidR="00B0005F" w:rsidRPr="008A2411" w:rsidRDefault="00B0005F">
      <w:pPr>
        <w:jc w:val="center"/>
        <w:rPr>
          <w:rFonts w:ascii="Times New Roman" w:eastAsia="黑体"/>
          <w:color w:val="000000" w:themeColor="text1"/>
          <w:szCs w:val="21"/>
        </w:rPr>
      </w:pPr>
    </w:p>
    <w:p w14:paraId="5E154CE9" w14:textId="77777777" w:rsidR="00B0005F" w:rsidRPr="008A2411" w:rsidRDefault="00B0005F">
      <w:pPr>
        <w:jc w:val="center"/>
        <w:rPr>
          <w:rFonts w:ascii="Times New Roman" w:eastAsia="黑体"/>
          <w:color w:val="000000" w:themeColor="text1"/>
          <w:szCs w:val="21"/>
        </w:rPr>
      </w:pPr>
    </w:p>
    <w:p w14:paraId="72345DA2" w14:textId="77777777" w:rsidR="00B0005F" w:rsidRPr="008A2411" w:rsidRDefault="00B0005F">
      <w:pPr>
        <w:jc w:val="center"/>
        <w:rPr>
          <w:rFonts w:ascii="Times New Roman" w:eastAsia="黑体"/>
          <w:color w:val="000000" w:themeColor="text1"/>
          <w:szCs w:val="21"/>
        </w:rPr>
      </w:pPr>
    </w:p>
    <w:p w14:paraId="5DF90BA2" w14:textId="77777777" w:rsidR="00B0005F" w:rsidRPr="008A2411" w:rsidRDefault="00B0005F">
      <w:pPr>
        <w:jc w:val="center"/>
        <w:rPr>
          <w:rFonts w:ascii="Times New Roman" w:eastAsia="黑体"/>
          <w:color w:val="000000" w:themeColor="text1"/>
          <w:szCs w:val="21"/>
        </w:rPr>
      </w:pPr>
    </w:p>
    <w:p w14:paraId="36402264" w14:textId="77777777" w:rsidR="00B0005F" w:rsidRPr="008A2411" w:rsidRDefault="00B0005F">
      <w:pPr>
        <w:jc w:val="center"/>
        <w:rPr>
          <w:rFonts w:ascii="Times New Roman" w:eastAsia="黑体"/>
          <w:color w:val="000000" w:themeColor="text1"/>
          <w:szCs w:val="21"/>
        </w:rPr>
      </w:pPr>
    </w:p>
    <w:p w14:paraId="55741651" w14:textId="77777777" w:rsidR="00B0005F" w:rsidRPr="008A2411" w:rsidRDefault="00B0005F">
      <w:pPr>
        <w:jc w:val="center"/>
        <w:rPr>
          <w:rFonts w:ascii="Times New Roman" w:eastAsia="黑体"/>
          <w:color w:val="000000" w:themeColor="text1"/>
          <w:szCs w:val="21"/>
        </w:rPr>
      </w:pPr>
    </w:p>
    <w:p w14:paraId="6188FFE9" w14:textId="77777777" w:rsidR="00B0005F" w:rsidRPr="008A2411" w:rsidRDefault="00B0005F">
      <w:pPr>
        <w:jc w:val="center"/>
        <w:rPr>
          <w:rFonts w:ascii="Times New Roman" w:eastAsia="黑体"/>
          <w:color w:val="000000" w:themeColor="text1"/>
          <w:szCs w:val="21"/>
        </w:rPr>
      </w:pPr>
    </w:p>
    <w:p w14:paraId="5FCE695B" w14:textId="77777777" w:rsidR="00B0005F" w:rsidRPr="008A2411" w:rsidRDefault="00B0005F">
      <w:pPr>
        <w:jc w:val="center"/>
        <w:rPr>
          <w:rFonts w:ascii="Times New Roman" w:eastAsia="黑体"/>
          <w:color w:val="000000" w:themeColor="text1"/>
          <w:szCs w:val="21"/>
        </w:rPr>
      </w:pPr>
    </w:p>
    <w:p w14:paraId="0CACAE7D" w14:textId="77777777" w:rsidR="00B0005F" w:rsidRPr="008A2411" w:rsidRDefault="00B0005F">
      <w:pPr>
        <w:jc w:val="center"/>
        <w:rPr>
          <w:rFonts w:ascii="Times New Roman" w:eastAsia="黑体"/>
          <w:color w:val="000000" w:themeColor="text1"/>
          <w:szCs w:val="21"/>
        </w:rPr>
      </w:pPr>
    </w:p>
    <w:p w14:paraId="57AEB080" w14:textId="77777777" w:rsidR="00B0005F" w:rsidRPr="008A2411" w:rsidRDefault="00B0005F">
      <w:pPr>
        <w:jc w:val="center"/>
        <w:rPr>
          <w:rFonts w:ascii="Times New Roman" w:eastAsia="黑体"/>
          <w:color w:val="000000" w:themeColor="text1"/>
          <w:szCs w:val="21"/>
        </w:rPr>
      </w:pPr>
    </w:p>
    <w:p w14:paraId="63B5F617" w14:textId="77777777" w:rsidR="00B0005F" w:rsidRPr="008A2411" w:rsidRDefault="00B0005F">
      <w:pPr>
        <w:jc w:val="center"/>
        <w:rPr>
          <w:rFonts w:ascii="Times New Roman" w:eastAsia="黑体"/>
          <w:color w:val="000000" w:themeColor="text1"/>
          <w:szCs w:val="21"/>
        </w:rPr>
      </w:pPr>
    </w:p>
    <w:p w14:paraId="56AEB728" w14:textId="77777777" w:rsidR="00B0005F" w:rsidRPr="008A2411" w:rsidRDefault="00B0005F">
      <w:pPr>
        <w:jc w:val="center"/>
        <w:rPr>
          <w:rFonts w:ascii="Times New Roman" w:eastAsia="黑体"/>
          <w:color w:val="000000" w:themeColor="text1"/>
          <w:szCs w:val="21"/>
        </w:rPr>
      </w:pPr>
    </w:p>
    <w:p w14:paraId="07B55B77" w14:textId="77777777" w:rsidR="00B0005F" w:rsidRPr="008A2411" w:rsidRDefault="00B0005F">
      <w:pPr>
        <w:jc w:val="center"/>
        <w:rPr>
          <w:rFonts w:ascii="Times New Roman" w:eastAsia="黑体"/>
          <w:color w:val="000000" w:themeColor="text1"/>
          <w:szCs w:val="21"/>
        </w:rPr>
      </w:pPr>
    </w:p>
    <w:p w14:paraId="5382A737" w14:textId="77777777" w:rsidR="00B0005F" w:rsidRPr="008A2411" w:rsidRDefault="00B0005F">
      <w:pPr>
        <w:jc w:val="center"/>
        <w:rPr>
          <w:rFonts w:ascii="Times New Roman" w:eastAsia="黑体"/>
          <w:color w:val="000000" w:themeColor="text1"/>
          <w:szCs w:val="21"/>
        </w:rPr>
      </w:pPr>
    </w:p>
    <w:p w14:paraId="5655D1A7" w14:textId="77777777" w:rsidR="00B0005F" w:rsidRPr="008A2411" w:rsidRDefault="00B0005F">
      <w:pPr>
        <w:jc w:val="center"/>
        <w:rPr>
          <w:rFonts w:ascii="Times New Roman" w:eastAsia="黑体"/>
          <w:color w:val="000000" w:themeColor="text1"/>
          <w:szCs w:val="21"/>
        </w:rPr>
      </w:pPr>
    </w:p>
    <w:p w14:paraId="3558EA5B" w14:textId="77777777" w:rsidR="00B0005F" w:rsidRPr="008A2411" w:rsidRDefault="00B0005F">
      <w:pPr>
        <w:pStyle w:val="TOC2"/>
        <w:rPr>
          <w:rFonts w:ascii="Times New Roman" w:eastAsia="黑体" w:hAnsi="Times New Roman" w:cs="Times New Roman"/>
          <w:color w:val="000000" w:themeColor="text1"/>
          <w:szCs w:val="21"/>
        </w:rPr>
      </w:pPr>
    </w:p>
    <w:p w14:paraId="2F23741C" w14:textId="77777777" w:rsidR="00B0005F" w:rsidRPr="008A2411" w:rsidRDefault="00B0005F">
      <w:pPr>
        <w:rPr>
          <w:rFonts w:ascii="Times New Roman" w:eastAsia="黑体"/>
          <w:color w:val="000000" w:themeColor="text1"/>
          <w:szCs w:val="21"/>
        </w:rPr>
      </w:pPr>
    </w:p>
    <w:p w14:paraId="7E2A21D9" w14:textId="77777777" w:rsidR="00B0005F" w:rsidRPr="008A2411" w:rsidRDefault="00B0005F">
      <w:pPr>
        <w:pStyle w:val="TOC2"/>
        <w:rPr>
          <w:rFonts w:ascii="Times New Roman" w:eastAsia="黑体" w:hAnsi="Times New Roman" w:cs="Times New Roman"/>
          <w:color w:val="000000" w:themeColor="text1"/>
          <w:szCs w:val="21"/>
        </w:rPr>
      </w:pPr>
    </w:p>
    <w:p w14:paraId="31616D35" w14:textId="77777777" w:rsidR="00B0005F" w:rsidRPr="008A2411" w:rsidRDefault="00B0005F">
      <w:pPr>
        <w:rPr>
          <w:rFonts w:ascii="Times New Roman" w:eastAsia="黑体"/>
          <w:color w:val="000000" w:themeColor="text1"/>
          <w:szCs w:val="21"/>
        </w:rPr>
      </w:pPr>
    </w:p>
    <w:p w14:paraId="01A748F9" w14:textId="77777777" w:rsidR="00B0005F" w:rsidRPr="008A2411" w:rsidRDefault="00B0005F">
      <w:pPr>
        <w:pStyle w:val="TOC2"/>
        <w:rPr>
          <w:rFonts w:ascii="Times New Roman" w:eastAsia="黑体" w:hAnsi="Times New Roman" w:cs="Times New Roman"/>
          <w:color w:val="000000" w:themeColor="text1"/>
          <w:szCs w:val="21"/>
        </w:rPr>
      </w:pPr>
    </w:p>
    <w:p w14:paraId="09A72D36" w14:textId="77777777" w:rsidR="00B0005F" w:rsidRPr="008A2411" w:rsidRDefault="00B0005F">
      <w:pPr>
        <w:rPr>
          <w:rFonts w:ascii="Times New Roman" w:eastAsia="黑体"/>
          <w:color w:val="000000" w:themeColor="text1"/>
          <w:szCs w:val="21"/>
        </w:rPr>
      </w:pPr>
    </w:p>
    <w:p w14:paraId="6D7E1F4C" w14:textId="77777777" w:rsidR="00B0005F" w:rsidRPr="008A2411" w:rsidRDefault="00B0005F">
      <w:pPr>
        <w:pStyle w:val="TOC2"/>
        <w:rPr>
          <w:rFonts w:ascii="Times New Roman" w:eastAsia="黑体" w:hAnsi="Times New Roman" w:cs="Times New Roman"/>
          <w:color w:val="000000" w:themeColor="text1"/>
          <w:szCs w:val="21"/>
        </w:rPr>
      </w:pPr>
    </w:p>
    <w:p w14:paraId="1A83922C" w14:textId="77777777" w:rsidR="00B0005F" w:rsidRPr="008A2411" w:rsidRDefault="00B0005F">
      <w:pPr>
        <w:rPr>
          <w:rFonts w:ascii="Times New Roman" w:eastAsia="黑体"/>
          <w:color w:val="000000" w:themeColor="text1"/>
          <w:szCs w:val="21"/>
        </w:rPr>
      </w:pPr>
    </w:p>
    <w:p w14:paraId="448B5EE7" w14:textId="77777777" w:rsidR="00B0005F" w:rsidRPr="008A2411" w:rsidRDefault="00000000">
      <w:pPr>
        <w:pStyle w:val="TOC2"/>
        <w:rPr>
          <w:rFonts w:ascii="Times New Roman" w:eastAsia="黑体" w:hAnsi="Times New Roman" w:cs="Times New Roman"/>
          <w:color w:val="000000" w:themeColor="text1"/>
          <w:szCs w:val="21"/>
        </w:rPr>
      </w:pPr>
      <w:r w:rsidRPr="008A2411">
        <w:rPr>
          <w:noProof/>
          <w:color w:val="000000" w:themeColor="text1"/>
          <w:sz w:val="24"/>
        </w:rPr>
        <mc:AlternateContent>
          <mc:Choice Requires="wps">
            <w:drawing>
              <wp:anchor distT="0" distB="0" distL="114300" distR="114300" simplePos="0" relativeHeight="251756032" behindDoc="0" locked="0" layoutInCell="1" allowOverlap="1" wp14:anchorId="0D5277E7" wp14:editId="2FCE8820">
                <wp:simplePos x="0" y="0"/>
                <wp:positionH relativeFrom="column">
                  <wp:posOffset>1814830</wp:posOffset>
                </wp:positionH>
                <wp:positionV relativeFrom="paragraph">
                  <wp:posOffset>54610</wp:posOffset>
                </wp:positionV>
                <wp:extent cx="7620" cy="457200"/>
                <wp:effectExtent l="43180" t="0" r="55880" b="0"/>
                <wp:wrapNone/>
                <wp:docPr id="134" name="直接箭头连接符 134"/>
                <wp:cNvGraphicFramePr/>
                <a:graphic xmlns:a="http://schemas.openxmlformats.org/drawingml/2006/main">
                  <a:graphicData uri="http://schemas.microsoft.com/office/word/2010/wordprocessingShape">
                    <wps:wsp>
                      <wps:cNvCnPr/>
                      <wps:spPr>
                        <a:xfrm flipV="1">
                          <a:off x="2279650" y="6337935"/>
                          <a:ext cx="7620" cy="45720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79B7D0C6" id="直接箭头连接符 134" o:spid="_x0000_s1026" type="#_x0000_t32" style="position:absolute;left:0;text-align:left;margin-left:142.9pt;margin-top:4.3pt;width:.6pt;height:36pt;flip:y;z-index:2517560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" strokecolor="black [3213]">
                <v:stroke endarrow="open"/>
              </v:shape>
            </w:pict>
          </mc:Fallback>
        </mc:AlternateContent>
      </w:r>
    </w:p>
    <w:p w14:paraId="31C4913F" w14:textId="77777777" w:rsidR="00B0005F" w:rsidRPr="008A2411" w:rsidRDefault="00B0005F">
      <w:pPr>
        <w:rPr>
          <w:rFonts w:ascii="Times New Roman"/>
          <w:color w:val="000000" w:themeColor="text1"/>
        </w:rPr>
      </w:pPr>
    </w:p>
    <w:p w14:paraId="5D04E2BF" w14:textId="77777777" w:rsidR="00B0005F" w:rsidRPr="008A2411" w:rsidRDefault="00B0005F">
      <w:pPr>
        <w:jc w:val="center"/>
        <w:rPr>
          <w:rFonts w:ascii="Times New Roman" w:eastAsia="黑体"/>
          <w:color w:val="000000" w:themeColor="text1"/>
          <w:szCs w:val="21"/>
        </w:rPr>
      </w:pPr>
    </w:p>
    <w:p w14:paraId="1F7B9075" w14:textId="77777777" w:rsidR="00B0005F" w:rsidRPr="008A2411" w:rsidRDefault="00000000">
      <w:pPr>
        <w:jc w:val="center"/>
        <w:rPr>
          <w:rFonts w:ascii="Times New Roman" w:eastAsia="黑体"/>
          <w:color w:val="000000" w:themeColor="text1"/>
          <w:szCs w:val="21"/>
        </w:rPr>
      </w:pPr>
      <w:r w:rsidRPr="008A2411">
        <w:rPr>
          <w:noProof/>
          <w:color w:val="000000" w:themeColor="text1"/>
        </w:rPr>
        <mc:AlternateContent>
          <mc:Choice Requires="wps">
            <w:drawing>
              <wp:anchor distT="0" distB="0" distL="114300" distR="114300" simplePos="0" relativeHeight="251749888" behindDoc="0" locked="0" layoutInCell="1" allowOverlap="1" wp14:anchorId="2148F7BD" wp14:editId="0754C569">
                <wp:simplePos x="0" y="0"/>
                <wp:positionH relativeFrom="column">
                  <wp:posOffset>641350</wp:posOffset>
                </wp:positionH>
                <wp:positionV relativeFrom="paragraph">
                  <wp:posOffset>7620</wp:posOffset>
                </wp:positionV>
                <wp:extent cx="1165860" cy="7620"/>
                <wp:effectExtent l="0" t="0" r="0" b="0"/>
                <wp:wrapNone/>
                <wp:docPr id="133" name="直接连接符 133"/>
                <wp:cNvGraphicFramePr/>
                <a:graphic xmlns:a="http://schemas.openxmlformats.org/drawingml/2006/main">
                  <a:graphicData uri="http://schemas.microsoft.com/office/word/2010/wordprocessingShape">
                    <wps:wsp>
                      <wps:cNvCnPr/>
                      <wps:spPr>
                        <a:xfrm>
                          <a:off x="1784350" y="6909435"/>
                          <a:ext cx="1165860" cy="762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49B13E2" id="直接连接符 133" o:spid="_x0000_s1026" style="position:absolute;left:0;text-align:left;z-index:251749888;visibility:visible;mso-wrap-style:square;mso-wrap-distance-left:9pt;mso-wrap-distance-top:0;mso-wrap-distance-right:9pt;mso-wrap-distance-bottom:0;mso-position-horizontal:absolute;mso-position-horizontal-relative:text;mso-position-vertical:absolute;mso-position-vertical-relative:text" from="50.5pt,.6pt" to="142.3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" strokecolor="black [3213]"/>
            </w:pict>
          </mc:Fallback>
        </mc:AlternateContent>
      </w:r>
    </w:p>
    <w:p w14:paraId="62618E87" w14:textId="77777777" w:rsidR="00B0005F" w:rsidRPr="008A2411" w:rsidRDefault="00B0005F">
      <w:pPr>
        <w:jc w:val="center"/>
        <w:rPr>
          <w:rFonts w:ascii="Times New Roman" w:eastAsia="黑体"/>
          <w:color w:val="000000" w:themeColor="text1"/>
          <w:szCs w:val="21"/>
        </w:rPr>
      </w:pPr>
    </w:p>
    <w:p w14:paraId="53A5A975" w14:textId="77777777" w:rsidR="00B0005F" w:rsidRPr="008A2411" w:rsidRDefault="00000000">
      <w:pPr>
        <w:jc w:val="center"/>
        <w:rPr>
          <w:rFonts w:ascii="Times New Roman" w:eastAsia="黑体"/>
          <w:color w:val="000000" w:themeColor="text1"/>
          <w:szCs w:val="21"/>
        </w:rPr>
      </w:pPr>
      <w:r w:rsidRPr="008A2411">
        <w:rPr>
          <w:rFonts w:ascii="Times New Roman" w:eastAsia="黑体"/>
          <w:color w:val="000000" w:themeColor="text1"/>
          <w:szCs w:val="21"/>
        </w:rPr>
        <w:t>图</w:t>
      </w:r>
      <w:r w:rsidRPr="008A2411">
        <w:rPr>
          <w:rFonts w:ascii="Times New Roman" w:eastAsia="黑体"/>
          <w:color w:val="000000" w:themeColor="text1"/>
          <w:szCs w:val="21"/>
        </w:rPr>
        <w:t xml:space="preserve">2-3  </w:t>
      </w:r>
      <w:r w:rsidRPr="008A2411">
        <w:rPr>
          <w:rFonts w:ascii="Times New Roman" w:eastAsia="黑体"/>
          <w:color w:val="000000" w:themeColor="text1"/>
          <w:szCs w:val="21"/>
        </w:rPr>
        <w:t>生产装置物料平衡图</w:t>
      </w:r>
      <w:r w:rsidRPr="008A2411">
        <w:rPr>
          <w:rFonts w:ascii="Times New Roman" w:eastAsia="黑体"/>
          <w:color w:val="000000" w:themeColor="text1"/>
          <w:szCs w:val="21"/>
        </w:rPr>
        <w:t xml:space="preserve">     </w:t>
      </w:r>
      <w:r w:rsidRPr="008A2411">
        <w:rPr>
          <w:rFonts w:ascii="Times New Roman" w:eastAsia="黑体"/>
          <w:color w:val="000000" w:themeColor="text1"/>
          <w:szCs w:val="21"/>
        </w:rPr>
        <w:t>单位：</w:t>
      </w:r>
      <w:r w:rsidRPr="008A2411">
        <w:rPr>
          <w:rFonts w:ascii="Times New Roman" w:eastAsia="黑体"/>
          <w:color w:val="000000" w:themeColor="text1"/>
          <w:szCs w:val="21"/>
        </w:rPr>
        <w:t>kg/h</w:t>
      </w:r>
    </w:p>
    <w:p w14:paraId="0B74B666" w14:textId="77777777" w:rsidR="00B0005F" w:rsidRPr="008A2411" w:rsidRDefault="00B0005F">
      <w:pPr>
        <w:jc w:val="center"/>
        <w:rPr>
          <w:rFonts w:ascii="Times New Roman" w:eastAsia="黑体"/>
          <w:color w:val="000000" w:themeColor="text1"/>
          <w:szCs w:val="21"/>
        </w:rPr>
      </w:pPr>
    </w:p>
    <w:p w14:paraId="17862E2A" w14:textId="77777777" w:rsidR="00B0005F" w:rsidRPr="008A2411" w:rsidRDefault="00000000">
      <w:pPr>
        <w:pStyle w:val="WJ3"/>
        <w:spacing w:line="360" w:lineRule="auto"/>
        <w:outlineLvl w:val="9"/>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2</w:t>
      </w:r>
      <w:r w:rsidRPr="008A2411">
        <w:rPr>
          <w:rFonts w:ascii="Times New Roman" w:hAnsi="Times New Roman"/>
          <w:color w:val="000000" w:themeColor="text1"/>
        </w:rPr>
        <w:t>）硫平衡</w:t>
      </w:r>
    </w:p>
    <w:p w14:paraId="11A5C333" w14:textId="77777777" w:rsidR="00B0005F" w:rsidRPr="008A2411" w:rsidRDefault="00000000">
      <w:pPr>
        <w:adjustRightInd w:val="0"/>
        <w:snapToGrid w:val="0"/>
        <w:spacing w:line="360" w:lineRule="auto"/>
        <w:ind w:firstLine="480"/>
        <w:rPr>
          <w:rFonts w:ascii="Times New Roman"/>
          <w:color w:val="000000" w:themeColor="text1"/>
        </w:rPr>
      </w:pPr>
      <w:r w:rsidRPr="008A2411">
        <w:rPr>
          <w:rFonts w:ascii="Times New Roman"/>
          <w:color w:val="000000" w:themeColor="text1"/>
        </w:rPr>
        <w:t>根据项目原料天然气气质组分可见，原料气总硫分为</w:t>
      </w:r>
      <w:r w:rsidRPr="008A2411">
        <w:rPr>
          <w:rFonts w:ascii="Times New Roman"/>
          <w:color w:val="000000" w:themeColor="text1"/>
        </w:rPr>
        <w:t>7.28mg/m</w:t>
      </w:r>
      <w:r w:rsidRPr="008A2411">
        <w:rPr>
          <w:rFonts w:ascii="Times New Roman"/>
          <w:color w:val="000000" w:themeColor="text1"/>
          <w:vertAlign w:val="superscript"/>
        </w:rPr>
        <w:t>3</w:t>
      </w:r>
      <w:r w:rsidRPr="008A2411">
        <w:rPr>
          <w:rFonts w:ascii="Times New Roman"/>
          <w:color w:val="000000" w:themeColor="text1"/>
        </w:rPr>
        <w:t>，其中无机硫</w:t>
      </w:r>
      <w:r w:rsidRPr="008A2411">
        <w:rPr>
          <w:rFonts w:ascii="Times New Roman"/>
          <w:color w:val="000000" w:themeColor="text1"/>
        </w:rPr>
        <w:t>H</w:t>
      </w:r>
      <w:r w:rsidRPr="008A2411">
        <w:rPr>
          <w:rFonts w:ascii="Times New Roman"/>
          <w:color w:val="000000" w:themeColor="text1"/>
          <w:vertAlign w:val="subscript"/>
        </w:rPr>
        <w:t>2</w:t>
      </w:r>
      <w:r w:rsidRPr="008A2411">
        <w:rPr>
          <w:rFonts w:ascii="Times New Roman"/>
          <w:color w:val="000000" w:themeColor="text1"/>
        </w:rPr>
        <w:t>S</w:t>
      </w:r>
      <w:r w:rsidRPr="008A2411">
        <w:rPr>
          <w:rFonts w:ascii="Times New Roman"/>
          <w:color w:val="000000" w:themeColor="text1"/>
        </w:rPr>
        <w:t>，含量＜</w:t>
      </w:r>
      <w:r w:rsidRPr="008A2411">
        <w:rPr>
          <w:rFonts w:ascii="Times New Roman"/>
          <w:color w:val="000000" w:themeColor="text1"/>
        </w:rPr>
        <w:t>1mg/m</w:t>
      </w:r>
      <w:r w:rsidRPr="008A2411">
        <w:rPr>
          <w:rFonts w:ascii="Times New Roman"/>
          <w:color w:val="000000" w:themeColor="text1"/>
          <w:vertAlign w:val="superscript"/>
        </w:rPr>
        <w:t>3</w:t>
      </w:r>
      <w:r w:rsidRPr="008A2411">
        <w:rPr>
          <w:rFonts w:ascii="Times New Roman"/>
          <w:color w:val="000000" w:themeColor="text1"/>
        </w:rPr>
        <w:t>。</w:t>
      </w:r>
      <w:proofErr w:type="gramStart"/>
      <w:r w:rsidRPr="008A2411">
        <w:rPr>
          <w:rFonts w:ascii="Times New Roman"/>
          <w:color w:val="000000" w:themeColor="text1"/>
        </w:rPr>
        <w:t>硫平衡</w:t>
      </w:r>
      <w:proofErr w:type="gramEnd"/>
      <w:r w:rsidRPr="008A2411">
        <w:rPr>
          <w:rFonts w:ascii="Times New Roman"/>
          <w:color w:val="000000" w:themeColor="text1"/>
        </w:rPr>
        <w:t>分析见下表：</w:t>
      </w:r>
    </w:p>
    <w:p w14:paraId="1F3E2903" w14:textId="77777777" w:rsidR="00B0005F" w:rsidRPr="008A2411" w:rsidRDefault="00000000">
      <w:pPr>
        <w:ind w:firstLineChars="200" w:firstLine="420"/>
        <w:jc w:val="center"/>
        <w:rPr>
          <w:rFonts w:ascii="Times New Roman" w:eastAsia="黑体"/>
          <w:color w:val="000000" w:themeColor="text1"/>
          <w:sz w:val="21"/>
          <w:szCs w:val="21"/>
        </w:rPr>
      </w:pPr>
      <w:r w:rsidRPr="008A2411">
        <w:rPr>
          <w:rFonts w:ascii="Times New Roman" w:eastAsia="黑体"/>
          <w:color w:val="000000" w:themeColor="text1"/>
          <w:sz w:val="21"/>
          <w:szCs w:val="21"/>
        </w:rPr>
        <w:t>表</w:t>
      </w:r>
      <w:r w:rsidRPr="008A2411">
        <w:rPr>
          <w:rFonts w:ascii="Times New Roman" w:eastAsia="黑体"/>
          <w:color w:val="000000" w:themeColor="text1"/>
          <w:sz w:val="21"/>
          <w:szCs w:val="21"/>
        </w:rPr>
        <w:t xml:space="preserve">3.2-9  </w:t>
      </w:r>
      <w:proofErr w:type="gramStart"/>
      <w:r w:rsidRPr="008A2411">
        <w:rPr>
          <w:rFonts w:ascii="Times New Roman" w:eastAsia="黑体"/>
          <w:color w:val="000000" w:themeColor="text1"/>
          <w:sz w:val="21"/>
          <w:szCs w:val="21"/>
        </w:rPr>
        <w:t>硫平衡</w:t>
      </w:r>
      <w:proofErr w:type="gramEnd"/>
      <w:r w:rsidRPr="008A2411">
        <w:rPr>
          <w:rFonts w:ascii="Times New Roman" w:eastAsia="黑体"/>
          <w:color w:val="000000" w:themeColor="text1"/>
          <w:sz w:val="21"/>
          <w:szCs w:val="21"/>
        </w:rPr>
        <w:t>分析</w:t>
      </w:r>
    </w:p>
    <w:tbl>
      <w:tblPr>
        <w:tblW w:w="4999" w:type="pct"/>
        <w:jc w:val="center"/>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2912"/>
        <w:gridCol w:w="5608"/>
      </w:tblGrid>
      <w:tr w:rsidR="008A2411" w:rsidRPr="008A2411" w14:paraId="4916DE66" w14:textId="77777777">
        <w:trPr>
          <w:jc w:val="center"/>
        </w:trPr>
        <w:tc>
          <w:tcPr>
            <w:tcW w:w="1709" w:type="pct"/>
            <w:tcBorders>
              <w:left w:val="single" w:sz="4" w:space="0" w:color="auto"/>
            </w:tcBorders>
            <w:shd w:val="clear" w:color="auto" w:fill="auto"/>
          </w:tcPr>
          <w:p w14:paraId="2EB81562" w14:textId="77777777" w:rsidR="00B0005F" w:rsidRPr="008A2411" w:rsidRDefault="00000000">
            <w:pPr>
              <w:adjustRightInd w:val="0"/>
              <w:snapToGrid w:val="0"/>
              <w:jc w:val="center"/>
              <w:rPr>
                <w:rFonts w:ascii="Times New Roman"/>
                <w:b/>
                <w:color w:val="000000" w:themeColor="text1"/>
                <w:sz w:val="21"/>
                <w:szCs w:val="21"/>
              </w:rPr>
            </w:pPr>
            <w:r w:rsidRPr="008A2411">
              <w:rPr>
                <w:rFonts w:ascii="Times New Roman"/>
                <w:b/>
                <w:color w:val="000000" w:themeColor="text1"/>
                <w:sz w:val="21"/>
                <w:szCs w:val="21"/>
              </w:rPr>
              <w:t>带入</w:t>
            </w:r>
          </w:p>
        </w:tc>
        <w:tc>
          <w:tcPr>
            <w:tcW w:w="3290" w:type="pct"/>
            <w:tcBorders>
              <w:right w:val="single" w:sz="4" w:space="0" w:color="auto"/>
            </w:tcBorders>
            <w:shd w:val="clear" w:color="auto" w:fill="auto"/>
          </w:tcPr>
          <w:p w14:paraId="67191A67" w14:textId="77777777" w:rsidR="00B0005F" w:rsidRPr="008A2411" w:rsidRDefault="00000000">
            <w:pPr>
              <w:adjustRightInd w:val="0"/>
              <w:snapToGrid w:val="0"/>
              <w:jc w:val="center"/>
              <w:rPr>
                <w:rFonts w:ascii="Times New Roman"/>
                <w:b/>
                <w:color w:val="000000" w:themeColor="text1"/>
                <w:sz w:val="21"/>
                <w:szCs w:val="21"/>
              </w:rPr>
            </w:pPr>
            <w:r w:rsidRPr="008A2411">
              <w:rPr>
                <w:rFonts w:ascii="Times New Roman"/>
                <w:b/>
                <w:color w:val="000000" w:themeColor="text1"/>
                <w:sz w:val="21"/>
                <w:szCs w:val="21"/>
              </w:rPr>
              <w:t>带出</w:t>
            </w:r>
          </w:p>
        </w:tc>
      </w:tr>
      <w:tr w:rsidR="008A2411" w:rsidRPr="008A2411" w14:paraId="4F254DA4" w14:textId="77777777">
        <w:trPr>
          <w:trHeight w:val="640"/>
          <w:jc w:val="center"/>
        </w:trPr>
        <w:tc>
          <w:tcPr>
            <w:tcW w:w="1709" w:type="pct"/>
            <w:vMerge w:val="restart"/>
            <w:tcBorders>
              <w:left w:val="single" w:sz="4" w:space="0" w:color="auto"/>
            </w:tcBorders>
            <w:shd w:val="clear" w:color="auto" w:fill="auto"/>
            <w:vAlign w:val="center"/>
          </w:tcPr>
          <w:p w14:paraId="0D5EC7FF"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年处理</w:t>
            </w:r>
            <w:r w:rsidRPr="008A2411">
              <w:rPr>
                <w:rFonts w:ascii="Times New Roman"/>
                <w:color w:val="000000" w:themeColor="text1"/>
                <w:sz w:val="21"/>
                <w:szCs w:val="21"/>
              </w:rPr>
              <w:t>3.3315×10</w:t>
            </w:r>
            <w:r w:rsidRPr="008A2411">
              <w:rPr>
                <w:rFonts w:ascii="Times New Roman"/>
                <w:color w:val="000000" w:themeColor="text1"/>
                <w:sz w:val="21"/>
                <w:szCs w:val="21"/>
                <w:vertAlign w:val="superscript"/>
              </w:rPr>
              <w:t>8</w:t>
            </w:r>
            <w:r w:rsidRPr="008A2411">
              <w:rPr>
                <w:rFonts w:ascii="Times New Roman"/>
                <w:color w:val="000000" w:themeColor="text1"/>
                <w:sz w:val="21"/>
                <w:szCs w:val="21"/>
              </w:rPr>
              <w:t>Nm</w:t>
            </w:r>
            <w:r w:rsidRPr="008A2411">
              <w:rPr>
                <w:rFonts w:ascii="Times New Roman"/>
                <w:color w:val="000000" w:themeColor="text1"/>
                <w:sz w:val="21"/>
                <w:szCs w:val="21"/>
                <w:vertAlign w:val="superscript"/>
              </w:rPr>
              <w:t>3</w:t>
            </w:r>
            <w:r w:rsidRPr="008A2411">
              <w:rPr>
                <w:rFonts w:ascii="Times New Roman"/>
                <w:color w:val="000000" w:themeColor="text1"/>
                <w:sz w:val="21"/>
                <w:szCs w:val="21"/>
              </w:rPr>
              <w:t>天然气</w:t>
            </w:r>
          </w:p>
          <w:p w14:paraId="082B4C6B"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硫含量</w:t>
            </w:r>
            <w:r w:rsidRPr="008A2411">
              <w:rPr>
                <w:rFonts w:ascii="Times New Roman"/>
                <w:color w:val="000000" w:themeColor="text1"/>
                <w:sz w:val="21"/>
                <w:szCs w:val="21"/>
              </w:rPr>
              <w:t>2.4253 t/a</w:t>
            </w:r>
          </w:p>
        </w:tc>
        <w:tc>
          <w:tcPr>
            <w:tcW w:w="3290" w:type="pct"/>
            <w:tcBorders>
              <w:right w:val="single" w:sz="4" w:space="0" w:color="auto"/>
            </w:tcBorders>
            <w:shd w:val="clear" w:color="auto" w:fill="auto"/>
            <w:vAlign w:val="center"/>
          </w:tcPr>
          <w:p w14:paraId="001F62FE" w14:textId="77777777" w:rsidR="00B0005F" w:rsidRPr="008A2411" w:rsidRDefault="00000000">
            <w:pPr>
              <w:adjustRightInd w:val="0"/>
              <w:snapToGrid w:val="0"/>
              <w:rPr>
                <w:rFonts w:ascii="Times New Roman"/>
                <w:color w:val="000000" w:themeColor="text1"/>
                <w:sz w:val="21"/>
                <w:szCs w:val="21"/>
              </w:rPr>
            </w:pPr>
            <w:proofErr w:type="gramStart"/>
            <w:r w:rsidRPr="008A2411">
              <w:rPr>
                <w:rFonts w:ascii="Times New Roman"/>
                <w:color w:val="000000" w:themeColor="text1"/>
                <w:sz w:val="21"/>
                <w:szCs w:val="21"/>
              </w:rPr>
              <w:t>胺</w:t>
            </w:r>
            <w:proofErr w:type="gramEnd"/>
            <w:r w:rsidRPr="008A2411">
              <w:rPr>
                <w:rFonts w:ascii="Times New Roman"/>
                <w:color w:val="000000" w:themeColor="text1"/>
                <w:sz w:val="21"/>
                <w:szCs w:val="21"/>
              </w:rPr>
              <w:t>再生塔冷凝器</w:t>
            </w:r>
            <w:proofErr w:type="gramStart"/>
            <w:r w:rsidRPr="008A2411">
              <w:rPr>
                <w:rFonts w:ascii="Times New Roman"/>
                <w:color w:val="000000" w:themeColor="text1"/>
                <w:sz w:val="21"/>
                <w:szCs w:val="21"/>
              </w:rPr>
              <w:t>不</w:t>
            </w:r>
            <w:proofErr w:type="gramEnd"/>
            <w:r w:rsidRPr="008A2411">
              <w:rPr>
                <w:rFonts w:ascii="Times New Roman"/>
                <w:color w:val="000000" w:themeColor="text1"/>
                <w:sz w:val="21"/>
                <w:szCs w:val="21"/>
              </w:rPr>
              <w:t>凝气经脱硫后尾气经脱硫塔吸收后废气排放部分</w:t>
            </w:r>
            <w:r w:rsidRPr="008A2411">
              <w:rPr>
                <w:rFonts w:ascii="Times New Roman"/>
                <w:color w:val="000000" w:themeColor="text1"/>
                <w:sz w:val="21"/>
                <w:szCs w:val="21"/>
              </w:rPr>
              <w:t>0.08731t/a</w:t>
            </w:r>
          </w:p>
        </w:tc>
      </w:tr>
      <w:tr w:rsidR="008A2411" w:rsidRPr="008A2411" w14:paraId="15769BED" w14:textId="77777777">
        <w:trPr>
          <w:trHeight w:val="390"/>
          <w:jc w:val="center"/>
        </w:trPr>
        <w:tc>
          <w:tcPr>
            <w:tcW w:w="1709" w:type="pct"/>
            <w:vMerge/>
            <w:tcBorders>
              <w:left w:val="single" w:sz="4" w:space="0" w:color="auto"/>
            </w:tcBorders>
            <w:shd w:val="clear" w:color="auto" w:fill="auto"/>
            <w:vAlign w:val="center"/>
          </w:tcPr>
          <w:p w14:paraId="65205C3A" w14:textId="77777777" w:rsidR="00B0005F" w:rsidRPr="008A2411" w:rsidRDefault="00B0005F">
            <w:pPr>
              <w:adjustRightInd w:val="0"/>
              <w:snapToGrid w:val="0"/>
              <w:jc w:val="center"/>
              <w:rPr>
                <w:rFonts w:ascii="Times New Roman"/>
                <w:color w:val="000000" w:themeColor="text1"/>
                <w:sz w:val="21"/>
                <w:szCs w:val="21"/>
              </w:rPr>
            </w:pPr>
          </w:p>
        </w:tc>
        <w:tc>
          <w:tcPr>
            <w:tcW w:w="3290" w:type="pct"/>
            <w:tcBorders>
              <w:right w:val="single" w:sz="4" w:space="0" w:color="auto"/>
            </w:tcBorders>
            <w:shd w:val="clear" w:color="auto" w:fill="auto"/>
            <w:vAlign w:val="center"/>
          </w:tcPr>
          <w:p w14:paraId="257F0885" w14:textId="77777777" w:rsidR="00B0005F" w:rsidRPr="008A2411" w:rsidRDefault="00000000">
            <w:pPr>
              <w:adjustRightInd w:val="0"/>
              <w:snapToGrid w:val="0"/>
              <w:rPr>
                <w:rFonts w:ascii="Times New Roman"/>
                <w:color w:val="000000" w:themeColor="text1"/>
                <w:sz w:val="21"/>
                <w:szCs w:val="21"/>
              </w:rPr>
            </w:pPr>
            <w:r w:rsidRPr="008A2411">
              <w:rPr>
                <w:rFonts w:ascii="Times New Roman"/>
                <w:color w:val="000000" w:themeColor="text1"/>
                <w:sz w:val="21"/>
                <w:szCs w:val="21"/>
              </w:rPr>
              <w:t>脱硫塔内活性炭吸附剂</w:t>
            </w:r>
            <w:r w:rsidRPr="008A2411">
              <w:rPr>
                <w:rFonts w:ascii="Times New Roman"/>
                <w:color w:val="000000" w:themeColor="text1"/>
                <w:sz w:val="21"/>
                <w:szCs w:val="21"/>
              </w:rPr>
              <w:t>0.34925t/a</w:t>
            </w:r>
          </w:p>
        </w:tc>
      </w:tr>
      <w:tr w:rsidR="008A2411" w:rsidRPr="008A2411" w14:paraId="119955A4" w14:textId="77777777">
        <w:trPr>
          <w:trHeight w:val="390"/>
          <w:jc w:val="center"/>
        </w:trPr>
        <w:tc>
          <w:tcPr>
            <w:tcW w:w="1709" w:type="pct"/>
            <w:vMerge/>
            <w:tcBorders>
              <w:left w:val="single" w:sz="4" w:space="0" w:color="auto"/>
            </w:tcBorders>
            <w:shd w:val="clear" w:color="auto" w:fill="auto"/>
            <w:vAlign w:val="center"/>
          </w:tcPr>
          <w:p w14:paraId="0248A320" w14:textId="77777777" w:rsidR="00B0005F" w:rsidRPr="008A2411" w:rsidRDefault="00B0005F">
            <w:pPr>
              <w:adjustRightInd w:val="0"/>
              <w:snapToGrid w:val="0"/>
              <w:jc w:val="center"/>
              <w:rPr>
                <w:rFonts w:ascii="Times New Roman"/>
                <w:color w:val="000000" w:themeColor="text1"/>
                <w:sz w:val="21"/>
                <w:szCs w:val="21"/>
              </w:rPr>
            </w:pPr>
          </w:p>
        </w:tc>
        <w:tc>
          <w:tcPr>
            <w:tcW w:w="3290" w:type="pct"/>
            <w:tcBorders>
              <w:right w:val="single" w:sz="4" w:space="0" w:color="auto"/>
            </w:tcBorders>
            <w:shd w:val="clear" w:color="auto" w:fill="auto"/>
            <w:vAlign w:val="center"/>
          </w:tcPr>
          <w:p w14:paraId="37A6B5CD" w14:textId="77777777" w:rsidR="00B0005F" w:rsidRPr="008A2411" w:rsidRDefault="00000000">
            <w:pPr>
              <w:adjustRightInd w:val="0"/>
              <w:snapToGrid w:val="0"/>
              <w:rPr>
                <w:rFonts w:ascii="Times New Roman"/>
                <w:color w:val="000000" w:themeColor="text1"/>
                <w:sz w:val="21"/>
                <w:szCs w:val="21"/>
              </w:rPr>
            </w:pPr>
            <w:r w:rsidRPr="008A2411">
              <w:rPr>
                <w:rFonts w:ascii="Times New Roman"/>
                <w:color w:val="000000" w:themeColor="text1"/>
                <w:sz w:val="21"/>
                <w:szCs w:val="21"/>
              </w:rPr>
              <w:t>闪蒸罐中闪蒸气中带走</w:t>
            </w:r>
            <w:r w:rsidRPr="008A2411">
              <w:rPr>
                <w:rFonts w:ascii="Times New Roman"/>
                <w:color w:val="000000" w:themeColor="text1"/>
                <w:sz w:val="21"/>
                <w:szCs w:val="21"/>
              </w:rPr>
              <w:t>1.0186t/a</w:t>
            </w:r>
          </w:p>
        </w:tc>
      </w:tr>
      <w:tr w:rsidR="00B0005F" w:rsidRPr="008A2411" w14:paraId="06E10EE3" w14:textId="77777777">
        <w:trPr>
          <w:jc w:val="center"/>
        </w:trPr>
        <w:tc>
          <w:tcPr>
            <w:tcW w:w="1709" w:type="pct"/>
            <w:vMerge/>
            <w:tcBorders>
              <w:left w:val="single" w:sz="4" w:space="0" w:color="auto"/>
            </w:tcBorders>
            <w:shd w:val="clear" w:color="auto" w:fill="auto"/>
          </w:tcPr>
          <w:p w14:paraId="427728BA" w14:textId="77777777" w:rsidR="00B0005F" w:rsidRPr="008A2411" w:rsidRDefault="00B0005F">
            <w:pPr>
              <w:adjustRightInd w:val="0"/>
              <w:snapToGrid w:val="0"/>
              <w:jc w:val="center"/>
              <w:rPr>
                <w:rFonts w:ascii="Times New Roman"/>
                <w:color w:val="000000" w:themeColor="text1"/>
                <w:sz w:val="21"/>
                <w:szCs w:val="21"/>
              </w:rPr>
            </w:pPr>
          </w:p>
        </w:tc>
        <w:tc>
          <w:tcPr>
            <w:tcW w:w="3290" w:type="pct"/>
            <w:tcBorders>
              <w:right w:val="single" w:sz="4" w:space="0" w:color="auto"/>
            </w:tcBorders>
            <w:shd w:val="clear" w:color="auto" w:fill="auto"/>
            <w:vAlign w:val="center"/>
          </w:tcPr>
          <w:p w14:paraId="70625197" w14:textId="77777777" w:rsidR="00B0005F" w:rsidRPr="008A2411" w:rsidRDefault="00000000">
            <w:pPr>
              <w:adjustRightInd w:val="0"/>
              <w:snapToGrid w:val="0"/>
              <w:rPr>
                <w:rFonts w:ascii="Times New Roman"/>
                <w:color w:val="000000" w:themeColor="text1"/>
                <w:sz w:val="21"/>
                <w:szCs w:val="21"/>
              </w:rPr>
            </w:pPr>
            <w:r w:rsidRPr="008A2411">
              <w:rPr>
                <w:rFonts w:ascii="Times New Roman"/>
                <w:color w:val="000000" w:themeColor="text1"/>
                <w:sz w:val="21"/>
                <w:szCs w:val="21"/>
              </w:rPr>
              <w:t>液化</w:t>
            </w:r>
            <w:r w:rsidRPr="008A2411">
              <w:rPr>
                <w:rFonts w:ascii="Times New Roman"/>
                <w:color w:val="000000" w:themeColor="text1"/>
                <w:sz w:val="21"/>
                <w:szCs w:val="21"/>
              </w:rPr>
              <w:t>LNG</w:t>
            </w:r>
            <w:proofErr w:type="gramStart"/>
            <w:r w:rsidRPr="008A2411">
              <w:rPr>
                <w:rFonts w:ascii="Times New Roman"/>
                <w:color w:val="000000" w:themeColor="text1"/>
                <w:sz w:val="21"/>
                <w:szCs w:val="21"/>
              </w:rPr>
              <w:t>产品产品</w:t>
            </w:r>
            <w:proofErr w:type="gramEnd"/>
            <w:r w:rsidRPr="008A2411">
              <w:rPr>
                <w:rFonts w:ascii="Times New Roman"/>
                <w:color w:val="000000" w:themeColor="text1"/>
                <w:sz w:val="21"/>
                <w:szCs w:val="21"/>
              </w:rPr>
              <w:t>带走</w:t>
            </w:r>
            <w:r w:rsidRPr="008A2411">
              <w:rPr>
                <w:rFonts w:ascii="Times New Roman"/>
                <w:color w:val="000000" w:themeColor="text1"/>
                <w:sz w:val="21"/>
                <w:szCs w:val="21"/>
              </w:rPr>
              <w:t>0.9701 t/a</w:t>
            </w:r>
          </w:p>
        </w:tc>
      </w:tr>
    </w:tbl>
    <w:p w14:paraId="0304C5DA" w14:textId="77777777" w:rsidR="00B0005F" w:rsidRPr="008A2411" w:rsidRDefault="00B0005F">
      <w:pPr>
        <w:pStyle w:val="WJ3"/>
        <w:spacing w:line="360" w:lineRule="auto"/>
        <w:outlineLvl w:val="9"/>
        <w:rPr>
          <w:rFonts w:ascii="Times New Roman" w:hAnsi="Times New Roman"/>
          <w:color w:val="000000" w:themeColor="text1"/>
        </w:rPr>
      </w:pPr>
    </w:p>
    <w:p w14:paraId="6926F630" w14:textId="77777777" w:rsidR="00B0005F" w:rsidRPr="008A2411" w:rsidRDefault="00000000">
      <w:pPr>
        <w:pStyle w:val="WJ3"/>
        <w:spacing w:line="360" w:lineRule="auto"/>
        <w:outlineLvl w:val="9"/>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3</w:t>
      </w:r>
      <w:r w:rsidRPr="008A2411">
        <w:rPr>
          <w:rFonts w:ascii="Times New Roman" w:hAnsi="Times New Roman"/>
          <w:color w:val="000000" w:themeColor="text1"/>
        </w:rPr>
        <w:t>）碳平衡</w:t>
      </w:r>
    </w:p>
    <w:p w14:paraId="16BF7FE9" w14:textId="77777777" w:rsidR="00B0005F" w:rsidRPr="008A2411" w:rsidRDefault="00000000">
      <w:pPr>
        <w:adjustRightInd w:val="0"/>
        <w:snapToGrid w:val="0"/>
        <w:spacing w:line="360" w:lineRule="auto"/>
        <w:ind w:firstLine="480"/>
        <w:rPr>
          <w:rFonts w:ascii="Times New Roman"/>
          <w:color w:val="000000" w:themeColor="text1"/>
        </w:rPr>
      </w:pPr>
      <w:r w:rsidRPr="008A2411">
        <w:rPr>
          <w:rFonts w:ascii="Times New Roman"/>
          <w:color w:val="000000" w:themeColor="text1"/>
        </w:rPr>
        <w:t>根据项目原料天然气气质组分可见，</w:t>
      </w:r>
      <w:proofErr w:type="gramStart"/>
      <w:r w:rsidRPr="008A2411">
        <w:rPr>
          <w:rFonts w:ascii="Times New Roman"/>
          <w:color w:val="000000" w:themeColor="text1"/>
        </w:rPr>
        <w:t>原料气碳组分</w:t>
      </w:r>
      <w:proofErr w:type="gramEnd"/>
      <w:r w:rsidRPr="008A2411">
        <w:rPr>
          <w:rFonts w:ascii="Times New Roman"/>
          <w:color w:val="000000" w:themeColor="text1"/>
        </w:rPr>
        <w:t>主要以甲烷</w:t>
      </w:r>
      <w:r w:rsidRPr="008A2411">
        <w:rPr>
          <w:rFonts w:ascii="Times New Roman"/>
          <w:color w:val="000000" w:themeColor="text1"/>
        </w:rPr>
        <w:t>(C</w:t>
      </w:r>
      <w:r w:rsidRPr="008A2411">
        <w:rPr>
          <w:rFonts w:ascii="Times New Roman"/>
          <w:color w:val="000000" w:themeColor="text1"/>
          <w:vertAlign w:val="subscript"/>
        </w:rPr>
        <w:t>1</w:t>
      </w:r>
      <w:r w:rsidRPr="008A2411">
        <w:rPr>
          <w:rFonts w:ascii="Times New Roman"/>
          <w:color w:val="000000" w:themeColor="text1"/>
        </w:rPr>
        <w:t>)</w:t>
      </w:r>
      <w:r w:rsidRPr="008A2411">
        <w:rPr>
          <w:rFonts w:ascii="Times New Roman"/>
          <w:color w:val="000000" w:themeColor="text1"/>
        </w:rPr>
        <w:t>、乙烷</w:t>
      </w:r>
      <w:r w:rsidRPr="008A2411">
        <w:rPr>
          <w:rFonts w:ascii="Times New Roman"/>
          <w:color w:val="000000" w:themeColor="text1"/>
        </w:rPr>
        <w:t>(C</w:t>
      </w:r>
      <w:r w:rsidRPr="008A2411">
        <w:rPr>
          <w:rFonts w:ascii="Times New Roman"/>
          <w:color w:val="000000" w:themeColor="text1"/>
          <w:vertAlign w:val="subscript"/>
        </w:rPr>
        <w:t>2</w:t>
      </w:r>
      <w:r w:rsidRPr="008A2411">
        <w:rPr>
          <w:rFonts w:ascii="Times New Roman"/>
          <w:color w:val="000000" w:themeColor="text1"/>
        </w:rPr>
        <w:t>)</w:t>
      </w:r>
      <w:r w:rsidRPr="008A2411">
        <w:rPr>
          <w:rFonts w:ascii="Times New Roman"/>
          <w:color w:val="000000" w:themeColor="text1"/>
        </w:rPr>
        <w:t>和二氧化碳</w:t>
      </w:r>
      <w:r w:rsidRPr="008A2411">
        <w:rPr>
          <w:rFonts w:ascii="Times New Roman"/>
          <w:color w:val="000000" w:themeColor="text1"/>
        </w:rPr>
        <w:t>(CO</w:t>
      </w:r>
      <w:r w:rsidRPr="008A2411">
        <w:rPr>
          <w:rFonts w:ascii="Times New Roman"/>
          <w:color w:val="000000" w:themeColor="text1"/>
          <w:vertAlign w:val="subscript"/>
        </w:rPr>
        <w:t>2</w:t>
      </w:r>
      <w:r w:rsidRPr="008A2411">
        <w:rPr>
          <w:rFonts w:ascii="Times New Roman"/>
          <w:color w:val="000000" w:themeColor="text1"/>
        </w:rPr>
        <w:t>)</w:t>
      </w:r>
      <w:r w:rsidRPr="008A2411">
        <w:rPr>
          <w:rFonts w:ascii="Times New Roman"/>
          <w:color w:val="000000" w:themeColor="text1"/>
        </w:rPr>
        <w:t>形式带入，其中</w:t>
      </w:r>
      <w:r w:rsidRPr="008A2411">
        <w:rPr>
          <w:rFonts w:ascii="Times New Roman"/>
          <w:color w:val="000000" w:themeColor="text1"/>
        </w:rPr>
        <w:t>C</w:t>
      </w:r>
      <w:r w:rsidRPr="008A2411">
        <w:rPr>
          <w:rFonts w:ascii="Times New Roman"/>
          <w:color w:val="000000" w:themeColor="text1"/>
          <w:vertAlign w:val="subscript"/>
        </w:rPr>
        <w:t>1</w:t>
      </w:r>
      <w:r w:rsidRPr="008A2411">
        <w:rPr>
          <w:rFonts w:ascii="Times New Roman"/>
          <w:color w:val="000000" w:themeColor="text1"/>
        </w:rPr>
        <w:t>~C</w:t>
      </w:r>
      <w:r w:rsidRPr="008A2411">
        <w:rPr>
          <w:rFonts w:ascii="Times New Roman"/>
          <w:color w:val="000000" w:themeColor="text1"/>
          <w:vertAlign w:val="subscript"/>
        </w:rPr>
        <w:t>3</w:t>
      </w:r>
      <w:r w:rsidRPr="008A2411">
        <w:rPr>
          <w:rFonts w:ascii="Times New Roman"/>
          <w:color w:val="000000" w:themeColor="text1"/>
        </w:rPr>
        <w:t>进入液化</w:t>
      </w:r>
      <w:r w:rsidRPr="008A2411">
        <w:rPr>
          <w:rFonts w:ascii="Times New Roman"/>
          <w:color w:val="000000" w:themeColor="text1"/>
        </w:rPr>
        <w:t>LNG</w:t>
      </w:r>
      <w:r w:rsidRPr="008A2411">
        <w:rPr>
          <w:rFonts w:ascii="Times New Roman"/>
          <w:color w:val="000000" w:themeColor="text1"/>
        </w:rPr>
        <w:t>产品作为产品，</w:t>
      </w:r>
      <w:r w:rsidRPr="008A2411">
        <w:rPr>
          <w:rFonts w:ascii="Times New Roman"/>
          <w:color w:val="000000" w:themeColor="text1"/>
        </w:rPr>
        <w:t>CO</w:t>
      </w:r>
      <w:r w:rsidRPr="008A2411">
        <w:rPr>
          <w:rFonts w:ascii="Times New Roman"/>
          <w:color w:val="000000" w:themeColor="text1"/>
          <w:vertAlign w:val="subscript"/>
        </w:rPr>
        <w:t>2</w:t>
      </w:r>
      <w:r w:rsidRPr="008A2411">
        <w:rPr>
          <w:rFonts w:ascii="Times New Roman"/>
          <w:color w:val="000000" w:themeColor="text1"/>
        </w:rPr>
        <w:t>经脱碳工序脱除放空。碳平衡分析见下表：</w:t>
      </w:r>
    </w:p>
    <w:p w14:paraId="4B9ACA69" w14:textId="77777777" w:rsidR="00B0005F" w:rsidRPr="008A2411" w:rsidRDefault="00000000">
      <w:pPr>
        <w:ind w:firstLineChars="200" w:firstLine="420"/>
        <w:jc w:val="center"/>
        <w:rPr>
          <w:rFonts w:ascii="Times New Roman" w:eastAsia="黑体"/>
          <w:color w:val="000000" w:themeColor="text1"/>
          <w:sz w:val="21"/>
          <w:szCs w:val="21"/>
        </w:rPr>
      </w:pPr>
      <w:r w:rsidRPr="008A2411">
        <w:rPr>
          <w:rFonts w:ascii="Times New Roman" w:eastAsia="黑体"/>
          <w:color w:val="000000" w:themeColor="text1"/>
          <w:sz w:val="21"/>
          <w:szCs w:val="21"/>
        </w:rPr>
        <w:t>表</w:t>
      </w:r>
      <w:r w:rsidRPr="008A2411">
        <w:rPr>
          <w:rFonts w:ascii="Times New Roman" w:eastAsia="黑体"/>
          <w:color w:val="000000" w:themeColor="text1"/>
          <w:sz w:val="21"/>
          <w:szCs w:val="21"/>
        </w:rPr>
        <w:t xml:space="preserve">3.2-10  </w:t>
      </w:r>
      <w:r w:rsidRPr="008A2411">
        <w:rPr>
          <w:rFonts w:ascii="Times New Roman" w:eastAsia="黑体"/>
          <w:color w:val="000000" w:themeColor="text1"/>
          <w:sz w:val="21"/>
          <w:szCs w:val="21"/>
        </w:rPr>
        <w:t>碳平衡分析</w:t>
      </w:r>
    </w:p>
    <w:tbl>
      <w:tblPr>
        <w:tblW w:w="4999" w:type="pct"/>
        <w:jc w:val="center"/>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2912"/>
        <w:gridCol w:w="5608"/>
      </w:tblGrid>
      <w:tr w:rsidR="008A2411" w:rsidRPr="008A2411" w14:paraId="70971259" w14:textId="77777777">
        <w:trPr>
          <w:jc w:val="center"/>
        </w:trPr>
        <w:tc>
          <w:tcPr>
            <w:tcW w:w="1709" w:type="pct"/>
            <w:tcBorders>
              <w:left w:val="single" w:sz="4" w:space="0" w:color="auto"/>
            </w:tcBorders>
            <w:shd w:val="clear" w:color="auto" w:fill="auto"/>
          </w:tcPr>
          <w:p w14:paraId="0C5403E7" w14:textId="77777777" w:rsidR="00B0005F" w:rsidRPr="008A2411" w:rsidRDefault="00000000">
            <w:pPr>
              <w:spacing w:line="320" w:lineRule="exact"/>
              <w:jc w:val="center"/>
              <w:rPr>
                <w:rFonts w:ascii="Times New Roman"/>
                <w:b/>
                <w:color w:val="000000" w:themeColor="text1"/>
                <w:sz w:val="21"/>
                <w:szCs w:val="21"/>
              </w:rPr>
            </w:pPr>
            <w:r w:rsidRPr="008A2411">
              <w:rPr>
                <w:rFonts w:ascii="Times New Roman"/>
                <w:b/>
                <w:color w:val="000000" w:themeColor="text1"/>
                <w:sz w:val="21"/>
                <w:szCs w:val="21"/>
              </w:rPr>
              <w:t>带入</w:t>
            </w:r>
          </w:p>
        </w:tc>
        <w:tc>
          <w:tcPr>
            <w:tcW w:w="3290" w:type="pct"/>
            <w:tcBorders>
              <w:right w:val="single" w:sz="4" w:space="0" w:color="auto"/>
            </w:tcBorders>
            <w:shd w:val="clear" w:color="auto" w:fill="auto"/>
          </w:tcPr>
          <w:p w14:paraId="0E265BA9" w14:textId="77777777" w:rsidR="00B0005F" w:rsidRPr="008A2411" w:rsidRDefault="00000000">
            <w:pPr>
              <w:spacing w:line="320" w:lineRule="exact"/>
              <w:jc w:val="center"/>
              <w:rPr>
                <w:rFonts w:ascii="Times New Roman"/>
                <w:b/>
                <w:color w:val="000000" w:themeColor="text1"/>
                <w:sz w:val="21"/>
                <w:szCs w:val="21"/>
              </w:rPr>
            </w:pPr>
            <w:r w:rsidRPr="008A2411">
              <w:rPr>
                <w:rFonts w:ascii="Times New Roman"/>
                <w:b/>
                <w:color w:val="000000" w:themeColor="text1"/>
                <w:sz w:val="21"/>
                <w:szCs w:val="21"/>
              </w:rPr>
              <w:t>带出</w:t>
            </w:r>
          </w:p>
        </w:tc>
      </w:tr>
      <w:tr w:rsidR="008A2411" w:rsidRPr="008A2411" w14:paraId="1F9BA22D" w14:textId="77777777">
        <w:trPr>
          <w:jc w:val="center"/>
        </w:trPr>
        <w:tc>
          <w:tcPr>
            <w:tcW w:w="1709" w:type="pct"/>
            <w:vMerge w:val="restart"/>
            <w:tcBorders>
              <w:left w:val="single" w:sz="4" w:space="0" w:color="auto"/>
            </w:tcBorders>
            <w:shd w:val="clear" w:color="auto" w:fill="auto"/>
            <w:vAlign w:val="center"/>
          </w:tcPr>
          <w:p w14:paraId="6EA7C3C2" w14:textId="77777777" w:rsidR="00B0005F" w:rsidRPr="008A2411" w:rsidRDefault="00000000">
            <w:pPr>
              <w:spacing w:line="320" w:lineRule="exact"/>
              <w:jc w:val="center"/>
              <w:rPr>
                <w:rFonts w:ascii="Times New Roman"/>
                <w:color w:val="000000" w:themeColor="text1"/>
                <w:sz w:val="21"/>
                <w:szCs w:val="21"/>
              </w:rPr>
            </w:pPr>
            <w:r w:rsidRPr="008A2411">
              <w:rPr>
                <w:rFonts w:ascii="Times New Roman"/>
                <w:color w:val="000000" w:themeColor="text1"/>
                <w:sz w:val="21"/>
                <w:szCs w:val="21"/>
              </w:rPr>
              <w:t>年处理</w:t>
            </w:r>
            <w:r w:rsidRPr="008A2411">
              <w:rPr>
                <w:rFonts w:ascii="Times New Roman"/>
                <w:color w:val="000000" w:themeColor="text1"/>
                <w:sz w:val="21"/>
                <w:szCs w:val="21"/>
              </w:rPr>
              <w:t>3.3315×10</w:t>
            </w:r>
            <w:r w:rsidRPr="008A2411">
              <w:rPr>
                <w:rFonts w:ascii="Times New Roman"/>
                <w:color w:val="000000" w:themeColor="text1"/>
                <w:sz w:val="21"/>
                <w:szCs w:val="21"/>
                <w:vertAlign w:val="superscript"/>
              </w:rPr>
              <w:t>8</w:t>
            </w:r>
            <w:r w:rsidRPr="008A2411">
              <w:rPr>
                <w:rFonts w:ascii="Times New Roman"/>
                <w:color w:val="000000" w:themeColor="text1"/>
                <w:sz w:val="21"/>
                <w:szCs w:val="21"/>
              </w:rPr>
              <w:t>Nm</w:t>
            </w:r>
            <w:r w:rsidRPr="008A2411">
              <w:rPr>
                <w:rFonts w:ascii="Times New Roman"/>
                <w:color w:val="000000" w:themeColor="text1"/>
                <w:sz w:val="21"/>
                <w:szCs w:val="21"/>
                <w:vertAlign w:val="superscript"/>
              </w:rPr>
              <w:t>3</w:t>
            </w:r>
            <w:r w:rsidRPr="008A2411">
              <w:rPr>
                <w:rFonts w:ascii="Times New Roman"/>
                <w:color w:val="000000" w:themeColor="text1"/>
                <w:sz w:val="21"/>
                <w:szCs w:val="21"/>
              </w:rPr>
              <w:t>天然气</w:t>
            </w:r>
          </w:p>
          <w:p w14:paraId="350DEB2E" w14:textId="77777777" w:rsidR="00B0005F" w:rsidRPr="008A2411" w:rsidRDefault="00000000">
            <w:pPr>
              <w:spacing w:line="320" w:lineRule="exact"/>
              <w:jc w:val="center"/>
              <w:rPr>
                <w:rFonts w:ascii="Times New Roman"/>
                <w:color w:val="000000" w:themeColor="text1"/>
                <w:sz w:val="21"/>
                <w:szCs w:val="21"/>
              </w:rPr>
            </w:pPr>
            <w:r w:rsidRPr="008A2411">
              <w:rPr>
                <w:rFonts w:ascii="Times New Roman"/>
                <w:color w:val="000000" w:themeColor="text1"/>
                <w:sz w:val="21"/>
                <w:szCs w:val="21"/>
              </w:rPr>
              <w:t>碳含量</w:t>
            </w:r>
            <w:r w:rsidRPr="008A2411">
              <w:rPr>
                <w:rFonts w:ascii="Times New Roman"/>
                <w:color w:val="000000" w:themeColor="text1"/>
                <w:sz w:val="21"/>
                <w:szCs w:val="21"/>
              </w:rPr>
              <w:t>224211.17t/a</w:t>
            </w:r>
          </w:p>
        </w:tc>
        <w:tc>
          <w:tcPr>
            <w:tcW w:w="3290" w:type="pct"/>
            <w:tcBorders>
              <w:right w:val="single" w:sz="4" w:space="0" w:color="auto"/>
            </w:tcBorders>
            <w:shd w:val="clear" w:color="auto" w:fill="auto"/>
            <w:vAlign w:val="center"/>
          </w:tcPr>
          <w:p w14:paraId="7204075E" w14:textId="77777777" w:rsidR="00B0005F" w:rsidRPr="008A2411" w:rsidRDefault="00000000">
            <w:pPr>
              <w:spacing w:line="320" w:lineRule="exact"/>
              <w:rPr>
                <w:rFonts w:ascii="Times New Roman"/>
                <w:color w:val="000000" w:themeColor="text1"/>
                <w:sz w:val="21"/>
                <w:szCs w:val="21"/>
                <w:lang w:val="de-DE"/>
              </w:rPr>
            </w:pPr>
            <w:r w:rsidRPr="008A2411">
              <w:rPr>
                <w:rFonts w:ascii="Times New Roman"/>
                <w:color w:val="000000" w:themeColor="text1"/>
                <w:sz w:val="21"/>
                <w:szCs w:val="21"/>
              </w:rPr>
              <w:t>二氧化碳气体放空</w:t>
            </w:r>
            <w:r w:rsidRPr="008A2411">
              <w:rPr>
                <w:rFonts w:ascii="Times New Roman"/>
                <w:color w:val="000000" w:themeColor="text1"/>
                <w:sz w:val="21"/>
                <w:szCs w:val="21"/>
              </w:rPr>
              <w:t>744.6</w:t>
            </w:r>
            <w:r w:rsidRPr="008A2411">
              <w:rPr>
                <w:rFonts w:ascii="Times New Roman"/>
                <w:color w:val="000000" w:themeColor="text1"/>
                <w:sz w:val="21"/>
                <w:szCs w:val="21"/>
                <w:lang w:val="de-DE"/>
              </w:rPr>
              <w:t>t/a</w:t>
            </w:r>
            <w:r w:rsidRPr="008A2411">
              <w:rPr>
                <w:rFonts w:ascii="Times New Roman"/>
                <w:color w:val="000000" w:themeColor="text1"/>
                <w:sz w:val="21"/>
                <w:szCs w:val="21"/>
                <w:lang w:val="de-DE"/>
              </w:rPr>
              <w:t>，</w:t>
            </w:r>
            <w:r w:rsidRPr="008A2411">
              <w:rPr>
                <w:rFonts w:ascii="Times New Roman"/>
                <w:color w:val="000000" w:themeColor="text1"/>
                <w:sz w:val="21"/>
                <w:szCs w:val="21"/>
              </w:rPr>
              <w:t>其中含碳</w:t>
            </w:r>
            <w:r w:rsidRPr="008A2411">
              <w:rPr>
                <w:rFonts w:ascii="Times New Roman"/>
                <w:color w:val="000000" w:themeColor="text1"/>
                <w:sz w:val="21"/>
                <w:szCs w:val="21"/>
                <w:lang w:val="de-DE"/>
              </w:rPr>
              <w:t>：</w:t>
            </w:r>
            <w:r w:rsidRPr="008A2411">
              <w:rPr>
                <w:rFonts w:ascii="Times New Roman"/>
                <w:color w:val="000000" w:themeColor="text1"/>
                <w:sz w:val="21"/>
                <w:szCs w:val="21"/>
                <w:lang w:val="de-DE"/>
              </w:rPr>
              <w:t xml:space="preserve"> </w:t>
            </w:r>
            <w:r w:rsidRPr="008A2411">
              <w:rPr>
                <w:rFonts w:ascii="Times New Roman"/>
                <w:color w:val="000000" w:themeColor="text1"/>
                <w:sz w:val="21"/>
                <w:szCs w:val="21"/>
              </w:rPr>
              <w:t>203.04</w:t>
            </w:r>
            <w:r w:rsidRPr="008A2411">
              <w:rPr>
                <w:rFonts w:ascii="Times New Roman"/>
                <w:color w:val="000000" w:themeColor="text1"/>
                <w:sz w:val="21"/>
                <w:szCs w:val="21"/>
                <w:lang w:val="de-DE"/>
              </w:rPr>
              <w:t>t/a</w:t>
            </w:r>
          </w:p>
        </w:tc>
      </w:tr>
      <w:tr w:rsidR="00B0005F" w:rsidRPr="008A2411" w14:paraId="4047F85F" w14:textId="77777777">
        <w:trPr>
          <w:jc w:val="center"/>
        </w:trPr>
        <w:tc>
          <w:tcPr>
            <w:tcW w:w="1709" w:type="pct"/>
            <w:vMerge/>
            <w:tcBorders>
              <w:left w:val="single" w:sz="4" w:space="0" w:color="auto"/>
            </w:tcBorders>
            <w:shd w:val="clear" w:color="auto" w:fill="auto"/>
          </w:tcPr>
          <w:p w14:paraId="30A96A18" w14:textId="77777777" w:rsidR="00B0005F" w:rsidRPr="008A2411" w:rsidRDefault="00B0005F">
            <w:pPr>
              <w:spacing w:line="320" w:lineRule="exact"/>
              <w:jc w:val="center"/>
              <w:rPr>
                <w:rFonts w:ascii="Times New Roman"/>
                <w:color w:val="000000" w:themeColor="text1"/>
                <w:sz w:val="21"/>
                <w:szCs w:val="21"/>
                <w:lang w:val="de-DE"/>
              </w:rPr>
            </w:pPr>
          </w:p>
        </w:tc>
        <w:tc>
          <w:tcPr>
            <w:tcW w:w="3290" w:type="pct"/>
            <w:tcBorders>
              <w:right w:val="single" w:sz="4" w:space="0" w:color="auto"/>
            </w:tcBorders>
            <w:shd w:val="clear" w:color="auto" w:fill="auto"/>
            <w:vAlign w:val="center"/>
          </w:tcPr>
          <w:p w14:paraId="6E57FB13" w14:textId="77777777" w:rsidR="00B0005F" w:rsidRPr="008A2411" w:rsidRDefault="00000000">
            <w:pPr>
              <w:spacing w:line="320" w:lineRule="exact"/>
              <w:rPr>
                <w:rFonts w:ascii="Times New Roman"/>
                <w:color w:val="000000" w:themeColor="text1"/>
                <w:sz w:val="21"/>
                <w:szCs w:val="21"/>
              </w:rPr>
            </w:pPr>
            <w:r w:rsidRPr="008A2411">
              <w:rPr>
                <w:rFonts w:ascii="Times New Roman"/>
                <w:color w:val="000000" w:themeColor="text1"/>
                <w:sz w:val="21"/>
                <w:szCs w:val="21"/>
              </w:rPr>
              <w:t>液化</w:t>
            </w:r>
            <w:r w:rsidRPr="008A2411">
              <w:rPr>
                <w:rFonts w:ascii="Times New Roman"/>
                <w:color w:val="000000" w:themeColor="text1"/>
                <w:sz w:val="21"/>
                <w:szCs w:val="21"/>
              </w:rPr>
              <w:t>LNG</w:t>
            </w:r>
            <w:proofErr w:type="gramStart"/>
            <w:r w:rsidRPr="008A2411">
              <w:rPr>
                <w:rFonts w:ascii="Times New Roman"/>
                <w:color w:val="000000" w:themeColor="text1"/>
                <w:sz w:val="21"/>
                <w:szCs w:val="21"/>
              </w:rPr>
              <w:t>产品产品</w:t>
            </w:r>
            <w:proofErr w:type="gramEnd"/>
            <w:r w:rsidRPr="008A2411">
              <w:rPr>
                <w:rFonts w:ascii="Times New Roman"/>
                <w:color w:val="000000" w:themeColor="text1"/>
                <w:sz w:val="21"/>
                <w:szCs w:val="21"/>
              </w:rPr>
              <w:t>含</w:t>
            </w:r>
            <w:r w:rsidRPr="008A2411">
              <w:rPr>
                <w:rFonts w:ascii="Times New Roman"/>
                <w:color w:val="000000" w:themeColor="text1"/>
                <w:sz w:val="21"/>
                <w:szCs w:val="21"/>
              </w:rPr>
              <w:t>(C</w:t>
            </w:r>
            <w:r w:rsidRPr="008A2411">
              <w:rPr>
                <w:rFonts w:ascii="Times New Roman"/>
                <w:color w:val="000000" w:themeColor="text1"/>
                <w:sz w:val="21"/>
                <w:szCs w:val="21"/>
                <w:vertAlign w:val="subscript"/>
              </w:rPr>
              <w:t>1</w:t>
            </w:r>
            <w:r w:rsidRPr="008A2411">
              <w:rPr>
                <w:rFonts w:ascii="Times New Roman"/>
                <w:color w:val="000000" w:themeColor="text1"/>
                <w:sz w:val="21"/>
                <w:szCs w:val="21"/>
              </w:rPr>
              <w:t>~C</w:t>
            </w:r>
            <w:r w:rsidRPr="008A2411">
              <w:rPr>
                <w:rFonts w:ascii="Times New Roman"/>
                <w:color w:val="000000" w:themeColor="text1"/>
                <w:sz w:val="21"/>
                <w:szCs w:val="21"/>
                <w:vertAlign w:val="subscript"/>
              </w:rPr>
              <w:t>3</w:t>
            </w:r>
            <w:r w:rsidRPr="008A2411">
              <w:rPr>
                <w:rFonts w:ascii="Times New Roman"/>
                <w:color w:val="000000" w:themeColor="text1"/>
                <w:sz w:val="21"/>
                <w:szCs w:val="21"/>
              </w:rPr>
              <w:t>)</w:t>
            </w:r>
            <w:r w:rsidRPr="008A2411">
              <w:rPr>
                <w:rFonts w:ascii="Times New Roman"/>
                <w:color w:val="000000" w:themeColor="text1"/>
                <w:sz w:val="21"/>
                <w:szCs w:val="21"/>
              </w:rPr>
              <w:t>：</w:t>
            </w:r>
            <w:r w:rsidRPr="008A2411">
              <w:rPr>
                <w:rFonts w:ascii="Times New Roman"/>
                <w:color w:val="000000" w:themeColor="text1"/>
                <w:sz w:val="21"/>
                <w:szCs w:val="21"/>
              </w:rPr>
              <w:t xml:space="preserve"> 223466.67 t/a</w:t>
            </w:r>
          </w:p>
        </w:tc>
      </w:tr>
    </w:tbl>
    <w:p w14:paraId="241020B7" w14:textId="77777777" w:rsidR="00B0005F" w:rsidRPr="008A2411" w:rsidRDefault="00B0005F">
      <w:pPr>
        <w:pStyle w:val="WJ3"/>
        <w:spacing w:line="360" w:lineRule="auto"/>
        <w:outlineLvl w:val="9"/>
        <w:rPr>
          <w:rFonts w:ascii="Times New Roman" w:hAnsi="Times New Roman"/>
          <w:color w:val="000000" w:themeColor="text1"/>
        </w:rPr>
      </w:pPr>
    </w:p>
    <w:p w14:paraId="19C3DBE8" w14:textId="77777777" w:rsidR="00B0005F" w:rsidRPr="008A2411" w:rsidRDefault="00000000">
      <w:pPr>
        <w:pStyle w:val="WJ3"/>
        <w:spacing w:line="360" w:lineRule="auto"/>
        <w:outlineLvl w:val="9"/>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4</w:t>
      </w:r>
      <w:r w:rsidRPr="008A2411">
        <w:rPr>
          <w:rFonts w:ascii="Times New Roman" w:hAnsi="Times New Roman"/>
          <w:color w:val="000000" w:themeColor="text1"/>
        </w:rPr>
        <w:t>）水平衡</w:t>
      </w:r>
    </w:p>
    <w:p w14:paraId="09D81B71" w14:textId="77777777" w:rsidR="00B0005F" w:rsidRPr="008A2411" w:rsidRDefault="00000000">
      <w:pPr>
        <w:pStyle w:val="WJ3"/>
        <w:spacing w:line="360" w:lineRule="auto"/>
        <w:ind w:leftChars="200" w:left="480"/>
        <w:outlineLvl w:val="9"/>
        <w:rPr>
          <w:rFonts w:ascii="Times New Roman" w:eastAsia="宋体" w:hAnsi="Times New Roman"/>
          <w:b w:val="0"/>
          <w:color w:val="000000" w:themeColor="text1"/>
          <w:kern w:val="2"/>
        </w:rPr>
      </w:pPr>
      <w:r w:rsidRPr="008A2411">
        <w:rPr>
          <w:rFonts w:ascii="Times New Roman" w:eastAsia="宋体" w:hAnsi="Times New Roman"/>
          <w:b w:val="0"/>
          <w:noProof/>
          <w:color w:val="000000" w:themeColor="text1"/>
          <w:kern w:val="2"/>
        </w:rPr>
        <mc:AlternateContent>
          <mc:Choice Requires="wpg">
            <w:drawing>
              <wp:anchor distT="0" distB="0" distL="114300" distR="114300" simplePos="0" relativeHeight="251676160" behindDoc="0" locked="0" layoutInCell="1" allowOverlap="1" wp14:anchorId="5A260604" wp14:editId="7FC19C1E">
                <wp:simplePos x="0" y="0"/>
                <wp:positionH relativeFrom="column">
                  <wp:posOffset>-205740</wp:posOffset>
                </wp:positionH>
                <wp:positionV relativeFrom="paragraph">
                  <wp:posOffset>242570</wp:posOffset>
                </wp:positionV>
                <wp:extent cx="5750560" cy="4926330"/>
                <wp:effectExtent l="0" t="0" r="0" b="0"/>
                <wp:wrapNone/>
                <wp:docPr id="276" name="组合 276"/>
                <wp:cNvGraphicFramePr/>
                <a:graphic xmlns:a="http://schemas.openxmlformats.org/drawingml/2006/main">
                  <a:graphicData uri="http://schemas.microsoft.com/office/word/2010/wordprocessingGroup">
                    <wpg:wgp>
                      <wpg:cNvGrpSpPr/>
                      <wpg:grpSpPr>
                        <a:xfrm>
                          <a:off x="0" y="0"/>
                          <a:ext cx="5750560" cy="4926431"/>
                          <a:chOff x="4794" y="36082"/>
                          <a:chExt cx="9192" cy="7938"/>
                        </a:xfrm>
                      </wpg:grpSpPr>
                      <wps:wsp>
                        <wps:cNvPr id="408" name="直接连接符 209"/>
                        <wps:cNvCnPr/>
                        <wps:spPr>
                          <a:xfrm>
                            <a:off x="5001" y="36412"/>
                            <a:ext cx="16" cy="6421"/>
                          </a:xfrm>
                          <a:prstGeom prst="line">
                            <a:avLst/>
                          </a:prstGeom>
                          <a:ln w="9525" cap="flat" cmpd="sng">
                            <a:solidFill>
                              <a:srgbClr val="000000"/>
                            </a:solidFill>
                            <a:prstDash val="solid"/>
                            <a:headEnd type="none" w="med" len="med"/>
                            <a:tailEnd type="none" w="med" len="med"/>
                          </a:ln>
                        </wps:spPr>
                        <wps:bodyPr/>
                      </wps:wsp>
                      <wps:wsp>
                        <wps:cNvPr id="219" name="直接连接符 219"/>
                        <wps:cNvCnPr/>
                        <wps:spPr>
                          <a:xfrm>
                            <a:off x="5026" y="37232"/>
                            <a:ext cx="1661" cy="0"/>
                          </a:xfrm>
                          <a:prstGeom prst="line">
                            <a:avLst/>
                          </a:prstGeom>
                          <a:ln w="9525" cap="flat" cmpd="sng">
                            <a:solidFill>
                              <a:srgbClr val="000000"/>
                            </a:solidFill>
                            <a:prstDash val="solid"/>
                            <a:headEnd type="none" w="med" len="med"/>
                            <a:tailEnd type="triangle" w="med" len="med"/>
                          </a:ln>
                        </wps:spPr>
                        <wps:bodyPr/>
                      </wps:wsp>
                      <wps:wsp>
                        <wps:cNvPr id="427" name="文本框 216"/>
                        <wps:cNvSpPr txBox="1"/>
                        <wps:spPr>
                          <a:xfrm>
                            <a:off x="4794" y="36082"/>
                            <a:ext cx="2048" cy="286"/>
                          </a:xfrm>
                          <a:prstGeom prst="rect">
                            <a:avLst/>
                          </a:prstGeom>
                          <a:noFill/>
                          <a:ln>
                            <a:noFill/>
                          </a:ln>
                        </wps:spPr>
                        <wps:txbx>
                          <w:txbxContent>
                            <w:p w14:paraId="04D9655B" w14:textId="77777777" w:rsidR="00B0005F" w:rsidRDefault="00000000">
                              <w:pPr>
                                <w:spacing w:line="260" w:lineRule="exact"/>
                                <w:rPr>
                                  <w:rFonts w:ascii="Times New Roman" w:eastAsiaTheme="minorEastAsia"/>
                                  <w:color w:val="000000"/>
                                  <w:sz w:val="21"/>
                                  <w:szCs w:val="21"/>
                                </w:rPr>
                              </w:pPr>
                              <w:r>
                                <w:rPr>
                                  <w:rFonts w:ascii="Times New Roman"/>
                                  <w:color w:val="000000"/>
                                  <w:sz w:val="21"/>
                                  <w:szCs w:val="21"/>
                                </w:rPr>
                                <w:t>新鲜水</w:t>
                              </w:r>
                              <w:r>
                                <w:rPr>
                                  <w:rFonts w:ascii="Times New Roman"/>
                                  <w:color w:val="000000"/>
                                  <w:sz w:val="21"/>
                                  <w:szCs w:val="21"/>
                                </w:rPr>
                                <w:t>71.9025</w:t>
                              </w:r>
                            </w:p>
                          </w:txbxContent>
                        </wps:txbx>
                        <wps:bodyPr lIns="0" tIns="0" rIns="0" bIns="0" upright="1"/>
                      </wps:wsp>
                      <wps:wsp>
                        <wps:cNvPr id="213" name="文本框 213"/>
                        <wps:cNvSpPr txBox="1"/>
                        <wps:spPr>
                          <a:xfrm>
                            <a:off x="5084" y="36925"/>
                            <a:ext cx="1348" cy="337"/>
                          </a:xfrm>
                          <a:prstGeom prst="rect">
                            <a:avLst/>
                          </a:prstGeom>
                          <a:noFill/>
                          <a:ln>
                            <a:noFill/>
                          </a:ln>
                        </wps:spPr>
                        <wps:txbx>
                          <w:txbxContent>
                            <w:p w14:paraId="74927BD1" w14:textId="77777777" w:rsidR="00B0005F" w:rsidRDefault="00000000">
                              <w:pPr>
                                <w:spacing w:line="260" w:lineRule="exact"/>
                                <w:rPr>
                                  <w:rFonts w:ascii="Times New Roman" w:eastAsiaTheme="minorEastAsia"/>
                                  <w:color w:val="000000"/>
                                  <w:sz w:val="21"/>
                                  <w:szCs w:val="21"/>
                                </w:rPr>
                              </w:pPr>
                              <w:r>
                                <w:rPr>
                                  <w:rFonts w:ascii="Times New Roman"/>
                                  <w:color w:val="000000"/>
                                  <w:sz w:val="21"/>
                                  <w:szCs w:val="21"/>
                                </w:rPr>
                                <w:t>补充水</w:t>
                              </w:r>
                              <w:r>
                                <w:rPr>
                                  <w:rFonts w:ascii="Times New Roman"/>
                                  <w:color w:val="000000"/>
                                  <w:sz w:val="21"/>
                                  <w:szCs w:val="21"/>
                                </w:rPr>
                                <w:t>8.4</w:t>
                              </w:r>
                            </w:p>
                          </w:txbxContent>
                        </wps:txbx>
                        <wps:bodyPr lIns="0" tIns="0" rIns="0" bIns="0" upright="1"/>
                      </wps:wsp>
                      <wps:wsp>
                        <wps:cNvPr id="429" name="矩形 210"/>
                        <wps:cNvSpPr/>
                        <wps:spPr>
                          <a:xfrm>
                            <a:off x="6666" y="37039"/>
                            <a:ext cx="1734" cy="423"/>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776B449D" w14:textId="77777777" w:rsidR="00B0005F" w:rsidRDefault="00000000">
                              <w:pPr>
                                <w:spacing w:line="280" w:lineRule="exact"/>
                                <w:jc w:val="center"/>
                                <w:rPr>
                                  <w:rFonts w:ascii="Times New Roman"/>
                                  <w:sz w:val="21"/>
                                  <w:szCs w:val="21"/>
                                </w:rPr>
                              </w:pPr>
                              <w:r>
                                <w:rPr>
                                  <w:rFonts w:ascii="Times New Roman"/>
                                  <w:sz w:val="21"/>
                                  <w:szCs w:val="21"/>
                                </w:rPr>
                                <w:t>脱盐水站</w:t>
                              </w:r>
                            </w:p>
                          </w:txbxContent>
                        </wps:txbx>
                        <wps:bodyPr upright="1"/>
                      </wps:wsp>
                      <wps:wsp>
                        <wps:cNvPr id="218" name="直接连接符 218"/>
                        <wps:cNvCnPr/>
                        <wps:spPr>
                          <a:xfrm flipV="1">
                            <a:off x="8411" y="37243"/>
                            <a:ext cx="2030" cy="16"/>
                          </a:xfrm>
                          <a:prstGeom prst="line">
                            <a:avLst/>
                          </a:prstGeom>
                          <a:ln w="9525" cap="flat" cmpd="sng">
                            <a:solidFill>
                              <a:srgbClr val="000000"/>
                            </a:solidFill>
                            <a:prstDash val="dash"/>
                            <a:headEnd type="none" w="med" len="med"/>
                            <a:tailEnd type="triangle" w="med" len="med"/>
                          </a:ln>
                        </wps:spPr>
                        <wps:bodyPr/>
                      </wps:wsp>
                      <wps:wsp>
                        <wps:cNvPr id="430" name="直接连接符 204"/>
                        <wps:cNvCnPr/>
                        <wps:spPr>
                          <a:xfrm flipH="1">
                            <a:off x="7475" y="37461"/>
                            <a:ext cx="1" cy="1634"/>
                          </a:xfrm>
                          <a:prstGeom prst="line">
                            <a:avLst/>
                          </a:prstGeom>
                          <a:ln w="9525" cap="flat" cmpd="sng">
                            <a:solidFill>
                              <a:srgbClr val="000000"/>
                            </a:solidFill>
                            <a:prstDash val="solid"/>
                            <a:headEnd type="none" w="med" len="med"/>
                            <a:tailEnd type="none" w="med" len="med"/>
                          </a:ln>
                        </wps:spPr>
                        <wps:bodyPr/>
                      </wps:wsp>
                      <wps:wsp>
                        <wps:cNvPr id="431" name="直接连接符 240"/>
                        <wps:cNvCnPr/>
                        <wps:spPr>
                          <a:xfrm>
                            <a:off x="7460" y="39078"/>
                            <a:ext cx="1238" cy="0"/>
                          </a:xfrm>
                          <a:prstGeom prst="line">
                            <a:avLst/>
                          </a:prstGeom>
                          <a:ln w="9525" cap="flat" cmpd="sng">
                            <a:solidFill>
                              <a:srgbClr val="000000"/>
                            </a:solidFill>
                            <a:prstDash val="solid"/>
                            <a:headEnd type="none" w="med" len="med"/>
                            <a:tailEnd type="triangle" w="med" len="med"/>
                          </a:ln>
                        </wps:spPr>
                        <wps:bodyPr/>
                      </wps:wsp>
                      <wps:wsp>
                        <wps:cNvPr id="432" name="文本框 201"/>
                        <wps:cNvSpPr txBox="1"/>
                        <wps:spPr>
                          <a:xfrm>
                            <a:off x="8668" y="38713"/>
                            <a:ext cx="2192" cy="646"/>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61B151E5" w14:textId="77777777" w:rsidR="00B0005F" w:rsidRDefault="00000000">
                              <w:pPr>
                                <w:spacing w:beforeLines="30" w:before="72"/>
                                <w:jc w:val="center"/>
                                <w:rPr>
                                  <w:rFonts w:ascii="Times New Roman" w:eastAsiaTheme="minorEastAsia"/>
                                  <w:sz w:val="21"/>
                                  <w:szCs w:val="21"/>
                                </w:rPr>
                              </w:pPr>
                              <w:r>
                                <w:rPr>
                                  <w:rFonts w:ascii="Times New Roman"/>
                                  <w:sz w:val="21"/>
                                  <w:szCs w:val="21"/>
                                </w:rPr>
                                <w:t>工艺装置区</w:t>
                              </w:r>
                            </w:p>
                          </w:txbxContent>
                        </wps:txbx>
                        <wps:bodyPr upright="1"/>
                      </wps:wsp>
                      <wps:wsp>
                        <wps:cNvPr id="433" name="直接连接符 202"/>
                        <wps:cNvCnPr/>
                        <wps:spPr>
                          <a:xfrm>
                            <a:off x="7996" y="38093"/>
                            <a:ext cx="1440" cy="0"/>
                          </a:xfrm>
                          <a:prstGeom prst="line">
                            <a:avLst/>
                          </a:prstGeom>
                          <a:ln w="9525" cap="flat" cmpd="sng">
                            <a:solidFill>
                              <a:srgbClr val="000000"/>
                            </a:solidFill>
                            <a:prstDash val="solid"/>
                            <a:headEnd type="none" w="med" len="med"/>
                            <a:tailEnd type="none" w="med" len="med"/>
                          </a:ln>
                        </wps:spPr>
                        <wps:bodyPr/>
                      </wps:wsp>
                      <wps:wsp>
                        <wps:cNvPr id="434" name="直接连接符 215"/>
                        <wps:cNvCnPr/>
                        <wps:spPr>
                          <a:xfrm>
                            <a:off x="9436" y="38093"/>
                            <a:ext cx="0" cy="570"/>
                          </a:xfrm>
                          <a:prstGeom prst="line">
                            <a:avLst/>
                          </a:prstGeom>
                          <a:ln w="9525" cap="flat" cmpd="sng">
                            <a:solidFill>
                              <a:srgbClr val="000000"/>
                            </a:solidFill>
                            <a:prstDash val="solid"/>
                            <a:headEnd type="none" w="med" len="med"/>
                            <a:tailEnd type="triangle" w="med" len="med"/>
                          </a:ln>
                        </wps:spPr>
                        <wps:bodyPr/>
                      </wps:wsp>
                      <wps:wsp>
                        <wps:cNvPr id="435" name="文本框 217"/>
                        <wps:cNvSpPr txBox="1"/>
                        <wps:spPr>
                          <a:xfrm>
                            <a:off x="7838" y="37757"/>
                            <a:ext cx="1988" cy="353"/>
                          </a:xfrm>
                          <a:prstGeom prst="rect">
                            <a:avLst/>
                          </a:prstGeom>
                          <a:noFill/>
                          <a:ln>
                            <a:noFill/>
                          </a:ln>
                        </wps:spPr>
                        <wps:txbx>
                          <w:txbxContent>
                            <w:p w14:paraId="3D3F2B98" w14:textId="77777777" w:rsidR="00B0005F" w:rsidRDefault="00000000">
                              <w:pPr>
                                <w:spacing w:line="260" w:lineRule="exact"/>
                                <w:rPr>
                                  <w:rFonts w:ascii="Times New Roman" w:eastAsiaTheme="minorEastAsia"/>
                                  <w:color w:val="000000"/>
                                  <w:sz w:val="21"/>
                                  <w:szCs w:val="21"/>
                                </w:rPr>
                              </w:pPr>
                              <w:r>
                                <w:rPr>
                                  <w:rFonts w:ascii="Times New Roman"/>
                                  <w:color w:val="000000"/>
                                  <w:sz w:val="21"/>
                                  <w:szCs w:val="21"/>
                                </w:rPr>
                                <w:t>原料带入水</w:t>
                              </w:r>
                              <w:r>
                                <w:rPr>
                                  <w:rFonts w:ascii="Times New Roman"/>
                                  <w:color w:val="000000"/>
                                  <w:sz w:val="21"/>
                                  <w:szCs w:val="21"/>
                                </w:rPr>
                                <w:t>0.0083</w:t>
                              </w:r>
                            </w:p>
                          </w:txbxContent>
                        </wps:txbx>
                        <wps:bodyPr lIns="0" tIns="0" rIns="0" bIns="0" upright="1"/>
                      </wps:wsp>
                      <wps:wsp>
                        <wps:cNvPr id="438" name="文本框 221"/>
                        <wps:cNvSpPr txBox="1"/>
                        <wps:spPr>
                          <a:xfrm>
                            <a:off x="7542" y="38582"/>
                            <a:ext cx="1056" cy="353"/>
                          </a:xfrm>
                          <a:prstGeom prst="rect">
                            <a:avLst/>
                          </a:prstGeom>
                          <a:noFill/>
                          <a:ln>
                            <a:noFill/>
                          </a:ln>
                        </wps:spPr>
                        <wps:txbx>
                          <w:txbxContent>
                            <w:p w14:paraId="029888CA" w14:textId="77777777" w:rsidR="00B0005F" w:rsidRDefault="00000000">
                              <w:pPr>
                                <w:spacing w:line="260" w:lineRule="exact"/>
                                <w:jc w:val="center"/>
                                <w:rPr>
                                  <w:rFonts w:ascii="Times New Roman" w:eastAsiaTheme="minorEastAsia"/>
                                  <w:color w:val="000000"/>
                                  <w:sz w:val="21"/>
                                  <w:szCs w:val="21"/>
                                </w:rPr>
                              </w:pPr>
                              <w:r>
                                <w:rPr>
                                  <w:rFonts w:ascii="Times New Roman"/>
                                  <w:color w:val="000000"/>
                                  <w:sz w:val="21"/>
                                  <w:szCs w:val="21"/>
                                </w:rPr>
                                <w:t>5.0</w:t>
                              </w:r>
                            </w:p>
                          </w:txbxContent>
                        </wps:txbx>
                        <wps:bodyPr lIns="0" tIns="0" rIns="0" bIns="0" upright="1"/>
                      </wps:wsp>
                      <wps:wsp>
                        <wps:cNvPr id="445" name="文本框 207"/>
                        <wps:cNvSpPr txBox="1"/>
                        <wps:spPr>
                          <a:xfrm>
                            <a:off x="9935" y="37820"/>
                            <a:ext cx="1985" cy="694"/>
                          </a:xfrm>
                          <a:prstGeom prst="rect">
                            <a:avLst/>
                          </a:prstGeom>
                          <a:noFill/>
                          <a:ln>
                            <a:noFill/>
                          </a:ln>
                        </wps:spPr>
                        <wps:txbx>
                          <w:txbxContent>
                            <w:p w14:paraId="1604A145" w14:textId="77777777" w:rsidR="00B0005F" w:rsidRDefault="00000000">
                              <w:pPr>
                                <w:spacing w:line="260" w:lineRule="exact"/>
                                <w:rPr>
                                  <w:rFonts w:ascii="Times New Roman" w:eastAsiaTheme="minorEastAsia"/>
                                  <w:color w:val="000000"/>
                                  <w:sz w:val="21"/>
                                  <w:szCs w:val="21"/>
                                </w:rPr>
                              </w:pPr>
                              <w:r>
                                <w:rPr>
                                  <w:rFonts w:ascii="Times New Roman"/>
                                  <w:color w:val="000000"/>
                                  <w:sz w:val="21"/>
                                  <w:szCs w:val="21"/>
                                </w:rPr>
                                <w:t>闪蒸气、脱硫塔废气带出及损失</w:t>
                              </w:r>
                              <w:r>
                                <w:rPr>
                                  <w:rFonts w:ascii="Times New Roman"/>
                                  <w:color w:val="000000"/>
                                  <w:sz w:val="21"/>
                                  <w:szCs w:val="21"/>
                                </w:rPr>
                                <w:t>4.974</w:t>
                              </w:r>
                            </w:p>
                          </w:txbxContent>
                        </wps:txbx>
                        <wps:bodyPr lIns="0" tIns="0" rIns="0" bIns="0" upright="1"/>
                      </wps:wsp>
                      <wps:wsp>
                        <wps:cNvPr id="446" name="文本框 205"/>
                        <wps:cNvSpPr txBox="1"/>
                        <wps:spPr>
                          <a:xfrm>
                            <a:off x="8469" y="36846"/>
                            <a:ext cx="1968" cy="387"/>
                          </a:xfrm>
                          <a:prstGeom prst="rect">
                            <a:avLst/>
                          </a:prstGeom>
                          <a:noFill/>
                          <a:ln>
                            <a:noFill/>
                          </a:ln>
                        </wps:spPr>
                        <wps:txbx>
                          <w:txbxContent>
                            <w:p w14:paraId="0A7EA146" w14:textId="77777777" w:rsidR="00B0005F" w:rsidRDefault="00000000">
                              <w:pPr>
                                <w:spacing w:line="260" w:lineRule="exact"/>
                                <w:rPr>
                                  <w:rFonts w:ascii="Times New Roman" w:eastAsiaTheme="minorEastAsia"/>
                                  <w:color w:val="000000"/>
                                  <w:sz w:val="21"/>
                                  <w:szCs w:val="21"/>
                                </w:rPr>
                              </w:pPr>
                              <w:r>
                                <w:rPr>
                                  <w:rFonts w:ascii="Times New Roman"/>
                                  <w:color w:val="000000"/>
                                  <w:sz w:val="21"/>
                                  <w:szCs w:val="21"/>
                                </w:rPr>
                                <w:t>脱盐水站浓水</w:t>
                              </w:r>
                              <w:r>
                                <w:rPr>
                                  <w:rFonts w:ascii="Times New Roman"/>
                                  <w:sz w:val="21"/>
                                  <w:szCs w:val="21"/>
                                </w:rPr>
                                <w:t>3.4</w:t>
                              </w:r>
                            </w:p>
                          </w:txbxContent>
                        </wps:txbx>
                        <wps:bodyPr lIns="0" tIns="0" rIns="0" bIns="0" upright="1"/>
                      </wps:wsp>
                      <wps:wsp>
                        <wps:cNvPr id="245" name="任意多边形 245"/>
                        <wps:cNvSpPr/>
                        <wps:spPr>
                          <a:xfrm>
                            <a:off x="8296" y="40522"/>
                            <a:ext cx="360" cy="285"/>
                          </a:xfrm>
                          <a:custGeom>
                            <a:avLst/>
                            <a:gdLst/>
                            <a:ahLst/>
                            <a:cxnLst/>
                            <a:rect l="0" t="0" r="0" b="0"/>
                            <a:pathLst>
                              <a:path w="360" h="285">
                                <a:moveTo>
                                  <a:pt x="0" y="285"/>
                                </a:moveTo>
                                <a:cubicBezTo>
                                  <a:pt x="36" y="213"/>
                                  <a:pt x="73" y="142"/>
                                  <a:pt x="106" y="135"/>
                                </a:cubicBezTo>
                                <a:cubicBezTo>
                                  <a:pt x="139" y="128"/>
                                  <a:pt x="154" y="262"/>
                                  <a:pt x="196" y="240"/>
                                </a:cubicBezTo>
                                <a:cubicBezTo>
                                  <a:pt x="238" y="218"/>
                                  <a:pt x="333" y="40"/>
                                  <a:pt x="360" y="0"/>
                                </a:cubicBezTo>
                              </a:path>
                            </a:pathLst>
                          </a:custGeom>
                          <a:noFill/>
                          <a:ln w="9525" cap="flat" cmpd="sng">
                            <a:solidFill>
                              <a:srgbClr val="000000"/>
                            </a:solidFill>
                            <a:prstDash val="solid"/>
                            <a:headEnd type="none" w="med" len="med"/>
                            <a:tailEnd type="triangle" w="med" len="med"/>
                          </a:ln>
                        </wps:spPr>
                        <wps:bodyPr upright="1"/>
                      </wps:wsp>
                      <wps:wsp>
                        <wps:cNvPr id="447" name="文本框 225"/>
                        <wps:cNvSpPr txBox="1"/>
                        <wps:spPr>
                          <a:xfrm>
                            <a:off x="8684" y="40460"/>
                            <a:ext cx="520" cy="343"/>
                          </a:xfrm>
                          <a:prstGeom prst="rect">
                            <a:avLst/>
                          </a:prstGeom>
                          <a:noFill/>
                          <a:ln>
                            <a:noFill/>
                          </a:ln>
                        </wps:spPr>
                        <wps:txbx>
                          <w:txbxContent>
                            <w:p w14:paraId="3442E13B" w14:textId="77777777" w:rsidR="00B0005F" w:rsidRDefault="00000000">
                              <w:pPr>
                                <w:spacing w:line="260" w:lineRule="exact"/>
                                <w:rPr>
                                  <w:rFonts w:ascii="Times New Roman"/>
                                  <w:color w:val="000000"/>
                                  <w:sz w:val="21"/>
                                  <w:szCs w:val="21"/>
                                </w:rPr>
                              </w:pPr>
                              <w:r>
                                <w:rPr>
                                  <w:rFonts w:ascii="Times New Roman"/>
                                  <w:color w:val="000000"/>
                                  <w:sz w:val="21"/>
                                  <w:szCs w:val="21"/>
                                </w:rPr>
                                <w:t>50</w:t>
                              </w:r>
                            </w:p>
                          </w:txbxContent>
                        </wps:txbx>
                        <wps:bodyPr lIns="0" tIns="0" rIns="0" bIns="0" upright="1"/>
                      </wps:wsp>
                      <wps:wsp>
                        <wps:cNvPr id="448" name="直接连接符 194"/>
                        <wps:cNvCnPr/>
                        <wps:spPr>
                          <a:xfrm>
                            <a:off x="4998" y="42781"/>
                            <a:ext cx="2528" cy="0"/>
                          </a:xfrm>
                          <a:prstGeom prst="line">
                            <a:avLst/>
                          </a:prstGeom>
                          <a:ln w="9525" cap="flat" cmpd="sng">
                            <a:solidFill>
                              <a:srgbClr val="000000"/>
                            </a:solidFill>
                            <a:prstDash val="solid"/>
                            <a:headEnd type="none" w="med" len="med"/>
                            <a:tailEnd type="triangle" w="med" len="med"/>
                          </a:ln>
                        </wps:spPr>
                        <wps:bodyPr/>
                      </wps:wsp>
                      <wps:wsp>
                        <wps:cNvPr id="449" name="文本框 196"/>
                        <wps:cNvSpPr txBox="1"/>
                        <wps:spPr>
                          <a:xfrm>
                            <a:off x="7544" y="42352"/>
                            <a:ext cx="1758" cy="586"/>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5E1600CA" w14:textId="77777777" w:rsidR="00B0005F" w:rsidRDefault="00000000">
                              <w:pPr>
                                <w:rPr>
                                  <w:rFonts w:ascii="Times New Roman"/>
                                  <w:sz w:val="21"/>
                                  <w:szCs w:val="21"/>
                                </w:rPr>
                              </w:pPr>
                              <w:r>
                                <w:rPr>
                                  <w:rFonts w:ascii="Times New Roman"/>
                                  <w:sz w:val="21"/>
                                  <w:szCs w:val="21"/>
                                </w:rPr>
                                <w:t>生活、办公用水</w:t>
                              </w:r>
                            </w:p>
                          </w:txbxContent>
                        </wps:txbx>
                        <wps:bodyPr upright="1"/>
                      </wps:wsp>
                      <wps:wsp>
                        <wps:cNvPr id="450" name="文本框 191"/>
                        <wps:cNvSpPr txBox="1"/>
                        <wps:spPr>
                          <a:xfrm>
                            <a:off x="5918" y="42403"/>
                            <a:ext cx="1064" cy="337"/>
                          </a:xfrm>
                          <a:prstGeom prst="rect">
                            <a:avLst/>
                          </a:prstGeom>
                          <a:noFill/>
                          <a:ln>
                            <a:noFill/>
                          </a:ln>
                        </wps:spPr>
                        <wps:txbx>
                          <w:txbxContent>
                            <w:p w14:paraId="4FCE8753" w14:textId="77777777" w:rsidR="00B0005F" w:rsidRDefault="00000000">
                              <w:pPr>
                                <w:spacing w:line="260" w:lineRule="exact"/>
                                <w:rPr>
                                  <w:rFonts w:ascii="Times New Roman" w:eastAsiaTheme="minorEastAsia"/>
                                  <w:color w:val="000000"/>
                                  <w:sz w:val="21"/>
                                  <w:szCs w:val="21"/>
                                </w:rPr>
                              </w:pPr>
                              <w:r>
                                <w:rPr>
                                  <w:rFonts w:ascii="Times New Roman"/>
                                  <w:color w:val="000000"/>
                                  <w:sz w:val="21"/>
                                  <w:szCs w:val="21"/>
                                </w:rPr>
                                <w:t>0.5025</w:t>
                              </w:r>
                            </w:p>
                          </w:txbxContent>
                        </wps:txbx>
                        <wps:bodyPr lIns="0" tIns="0" rIns="0" bIns="0" upright="1"/>
                      </wps:wsp>
                      <wps:wsp>
                        <wps:cNvPr id="452" name="文本框 189"/>
                        <wps:cNvSpPr txBox="1"/>
                        <wps:spPr>
                          <a:xfrm>
                            <a:off x="9677" y="42247"/>
                            <a:ext cx="1737" cy="488"/>
                          </a:xfrm>
                          <a:prstGeom prst="rect">
                            <a:avLst/>
                          </a:prstGeom>
                          <a:noFill/>
                          <a:ln>
                            <a:noFill/>
                          </a:ln>
                        </wps:spPr>
                        <wps:txbx>
                          <w:txbxContent>
                            <w:p w14:paraId="10DD7395" w14:textId="77777777" w:rsidR="00B0005F" w:rsidRDefault="00000000">
                              <w:pPr>
                                <w:spacing w:line="260" w:lineRule="exact"/>
                                <w:jc w:val="center"/>
                                <w:rPr>
                                  <w:rFonts w:ascii="Times New Roman" w:eastAsiaTheme="minorEastAsia"/>
                                  <w:color w:val="000000"/>
                                  <w:sz w:val="21"/>
                                  <w:szCs w:val="21"/>
                                </w:rPr>
                              </w:pPr>
                              <w:r>
                                <w:rPr>
                                  <w:rFonts w:ascii="Times New Roman"/>
                                  <w:color w:val="000000"/>
                                  <w:sz w:val="21"/>
                                  <w:szCs w:val="21"/>
                                </w:rPr>
                                <w:t>生活污水</w:t>
                              </w:r>
                              <w:r>
                                <w:rPr>
                                  <w:rFonts w:ascii="Times New Roman"/>
                                  <w:color w:val="000000"/>
                                  <w:sz w:val="21"/>
                                  <w:szCs w:val="21"/>
                                </w:rPr>
                                <w:t xml:space="preserve"> 0.4271</w:t>
                              </w:r>
                            </w:p>
                          </w:txbxContent>
                        </wps:txbx>
                        <wps:bodyPr lIns="0" tIns="0" rIns="0" bIns="0" upright="1"/>
                      </wps:wsp>
                      <wps:wsp>
                        <wps:cNvPr id="453" name="文本框 198"/>
                        <wps:cNvSpPr txBox="1"/>
                        <wps:spPr>
                          <a:xfrm>
                            <a:off x="12161" y="42565"/>
                            <a:ext cx="1440" cy="418"/>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5B7DE0EF" w14:textId="77777777" w:rsidR="00B0005F" w:rsidRDefault="00000000">
                              <w:pPr>
                                <w:rPr>
                                  <w:rFonts w:ascii="Times New Roman"/>
                                  <w:sz w:val="21"/>
                                  <w:szCs w:val="21"/>
                                </w:rPr>
                              </w:pPr>
                              <w:r>
                                <w:rPr>
                                  <w:rFonts w:ascii="Times New Roman"/>
                                  <w:sz w:val="21"/>
                                  <w:szCs w:val="21"/>
                                </w:rPr>
                                <w:t>废水处理站</w:t>
                              </w:r>
                            </w:p>
                          </w:txbxContent>
                        </wps:txbx>
                        <wps:bodyPr upright="1"/>
                      </wps:wsp>
                      <wps:wsp>
                        <wps:cNvPr id="454" name="直接连接符 195"/>
                        <wps:cNvCnPr/>
                        <wps:spPr>
                          <a:xfrm>
                            <a:off x="12679" y="39301"/>
                            <a:ext cx="1" cy="3304"/>
                          </a:xfrm>
                          <a:prstGeom prst="line">
                            <a:avLst/>
                          </a:prstGeom>
                          <a:ln w="9525" cap="flat" cmpd="sng">
                            <a:solidFill>
                              <a:srgbClr val="000000"/>
                            </a:solidFill>
                            <a:prstDash val="solid"/>
                            <a:headEnd type="none" w="med" len="med"/>
                            <a:tailEnd type="triangle" w="med" len="med"/>
                          </a:ln>
                        </wps:spPr>
                        <wps:bodyPr/>
                      </wps:wsp>
                      <wps:wsp>
                        <wps:cNvPr id="462" name="文本框 193"/>
                        <wps:cNvSpPr txBox="1"/>
                        <wps:spPr>
                          <a:xfrm>
                            <a:off x="13004" y="43337"/>
                            <a:ext cx="982" cy="269"/>
                          </a:xfrm>
                          <a:prstGeom prst="rect">
                            <a:avLst/>
                          </a:prstGeom>
                          <a:noFill/>
                          <a:ln>
                            <a:noFill/>
                          </a:ln>
                        </wps:spPr>
                        <wps:txbx>
                          <w:txbxContent>
                            <w:p w14:paraId="6658B41C" w14:textId="77777777" w:rsidR="00B0005F" w:rsidRDefault="00000000">
                              <w:pPr>
                                <w:jc w:val="center"/>
                                <w:rPr>
                                  <w:rFonts w:ascii="Times New Roman" w:eastAsiaTheme="minorEastAsia"/>
                                  <w:sz w:val="21"/>
                                  <w:szCs w:val="21"/>
                                </w:rPr>
                              </w:pPr>
                              <w:r>
                                <w:rPr>
                                  <w:rFonts w:ascii="Times New Roman"/>
                                  <w:sz w:val="21"/>
                                  <w:szCs w:val="21"/>
                                </w:rPr>
                                <w:t>0.4717</w:t>
                              </w:r>
                            </w:p>
                          </w:txbxContent>
                        </wps:txbx>
                        <wps:bodyPr lIns="0" tIns="0" rIns="0" bIns="0" upright="1"/>
                      </wps:wsp>
                      <wps:wsp>
                        <wps:cNvPr id="467" name="文本框 192"/>
                        <wps:cNvSpPr txBox="1"/>
                        <wps:spPr>
                          <a:xfrm>
                            <a:off x="12791" y="39890"/>
                            <a:ext cx="1041" cy="1021"/>
                          </a:xfrm>
                          <a:prstGeom prst="rect">
                            <a:avLst/>
                          </a:prstGeom>
                          <a:noFill/>
                          <a:ln>
                            <a:noFill/>
                          </a:ln>
                        </wps:spPr>
                        <wps:txbx>
                          <w:txbxContent>
                            <w:p w14:paraId="65746602" w14:textId="77777777" w:rsidR="00B0005F" w:rsidRDefault="00000000">
                              <w:pPr>
                                <w:spacing w:line="260" w:lineRule="exact"/>
                                <w:jc w:val="center"/>
                                <w:rPr>
                                  <w:rFonts w:ascii="Times New Roman" w:eastAsiaTheme="minorEastAsia"/>
                                  <w:color w:val="000000"/>
                                  <w:sz w:val="21"/>
                                  <w:szCs w:val="21"/>
                                </w:rPr>
                              </w:pPr>
                              <w:r>
                                <w:rPr>
                                  <w:rFonts w:ascii="Times New Roman"/>
                                  <w:color w:val="000000"/>
                                  <w:sz w:val="21"/>
                                  <w:szCs w:val="21"/>
                                </w:rPr>
                                <w:t>冷凝液隔油分离水</w:t>
                              </w:r>
                              <w:r>
                                <w:rPr>
                                  <w:rFonts w:ascii="Times New Roman"/>
                                  <w:color w:val="000000"/>
                                  <w:sz w:val="21"/>
                                  <w:szCs w:val="21"/>
                                </w:rPr>
                                <w:t>0.036</w:t>
                              </w:r>
                            </w:p>
                          </w:txbxContent>
                        </wps:txbx>
                        <wps:bodyPr lIns="0" tIns="0" rIns="0" bIns="0" upright="1"/>
                      </wps:wsp>
                      <wps:wsp>
                        <wps:cNvPr id="468" name="任意多边形 188"/>
                        <wps:cNvSpPr/>
                        <wps:spPr>
                          <a:xfrm>
                            <a:off x="8030" y="42055"/>
                            <a:ext cx="360" cy="285"/>
                          </a:xfrm>
                          <a:custGeom>
                            <a:avLst/>
                            <a:gdLst/>
                            <a:ahLst/>
                            <a:cxnLst/>
                            <a:rect l="0" t="0" r="0" b="0"/>
                            <a:pathLst>
                              <a:path w="360" h="285">
                                <a:moveTo>
                                  <a:pt x="0" y="285"/>
                                </a:moveTo>
                                <a:cubicBezTo>
                                  <a:pt x="36" y="213"/>
                                  <a:pt x="73" y="142"/>
                                  <a:pt x="106" y="135"/>
                                </a:cubicBezTo>
                                <a:cubicBezTo>
                                  <a:pt x="139" y="128"/>
                                  <a:pt x="154" y="262"/>
                                  <a:pt x="196" y="240"/>
                                </a:cubicBezTo>
                                <a:cubicBezTo>
                                  <a:pt x="238" y="218"/>
                                  <a:pt x="333" y="40"/>
                                  <a:pt x="360" y="0"/>
                                </a:cubicBezTo>
                              </a:path>
                            </a:pathLst>
                          </a:custGeom>
                          <a:noFill/>
                          <a:ln w="9525" cap="flat" cmpd="sng">
                            <a:solidFill>
                              <a:srgbClr val="000000"/>
                            </a:solidFill>
                            <a:prstDash val="solid"/>
                            <a:headEnd type="none" w="med" len="med"/>
                            <a:tailEnd type="triangle" w="med" len="med"/>
                          </a:ln>
                        </wps:spPr>
                        <wps:bodyPr upright="1"/>
                      </wps:wsp>
                      <wps:wsp>
                        <wps:cNvPr id="183" name="文本框 183"/>
                        <wps:cNvSpPr txBox="1"/>
                        <wps:spPr>
                          <a:xfrm>
                            <a:off x="8473" y="41945"/>
                            <a:ext cx="893" cy="302"/>
                          </a:xfrm>
                          <a:prstGeom prst="rect">
                            <a:avLst/>
                          </a:prstGeom>
                          <a:noFill/>
                          <a:ln>
                            <a:noFill/>
                          </a:ln>
                        </wps:spPr>
                        <wps:txbx>
                          <w:txbxContent>
                            <w:p w14:paraId="6699A905" w14:textId="77777777" w:rsidR="00B0005F" w:rsidRDefault="00000000">
                              <w:pPr>
                                <w:spacing w:line="260" w:lineRule="exact"/>
                                <w:rPr>
                                  <w:rFonts w:ascii="Times New Roman" w:eastAsiaTheme="minorEastAsia"/>
                                  <w:color w:val="000000"/>
                                  <w:sz w:val="21"/>
                                  <w:szCs w:val="21"/>
                                </w:rPr>
                              </w:pPr>
                              <w:r>
                                <w:rPr>
                                  <w:rFonts w:ascii="Times New Roman"/>
                                  <w:color w:val="000000"/>
                                  <w:sz w:val="21"/>
                                  <w:szCs w:val="21"/>
                                </w:rPr>
                                <w:t>0.0754</w:t>
                              </w:r>
                            </w:p>
                          </w:txbxContent>
                        </wps:txbx>
                        <wps:bodyPr lIns="0" tIns="0" rIns="0" bIns="0" upright="1"/>
                      </wps:wsp>
                      <wps:wsp>
                        <wps:cNvPr id="471" name="矩形 239"/>
                        <wps:cNvSpPr/>
                        <wps:spPr>
                          <a:xfrm>
                            <a:off x="7581" y="39959"/>
                            <a:ext cx="1778" cy="438"/>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3AD45838" w14:textId="77777777" w:rsidR="00B0005F" w:rsidRDefault="00000000">
                              <w:pPr>
                                <w:spacing w:line="280" w:lineRule="exact"/>
                                <w:jc w:val="center"/>
                                <w:rPr>
                                  <w:rFonts w:ascii="Times New Roman"/>
                                  <w:sz w:val="21"/>
                                  <w:szCs w:val="21"/>
                                </w:rPr>
                              </w:pPr>
                              <w:r>
                                <w:rPr>
                                  <w:rFonts w:ascii="Times New Roman"/>
                                  <w:sz w:val="21"/>
                                  <w:szCs w:val="21"/>
                                </w:rPr>
                                <w:t>封闭式循环水站</w:t>
                              </w:r>
                              <w:r>
                                <w:rPr>
                                  <w:rFonts w:ascii="Times New Roman"/>
                                  <w:sz w:val="21"/>
                                  <w:szCs w:val="21"/>
                                </w:rPr>
                                <w:t>4400</w:t>
                              </w:r>
                            </w:p>
                          </w:txbxContent>
                        </wps:txbx>
                        <wps:bodyPr upright="1"/>
                      </wps:wsp>
                      <wps:wsp>
                        <wps:cNvPr id="472" name="直接连接符 235"/>
                        <wps:cNvCnPr/>
                        <wps:spPr>
                          <a:xfrm>
                            <a:off x="9535" y="40218"/>
                            <a:ext cx="1" cy="810"/>
                          </a:xfrm>
                          <a:prstGeom prst="line">
                            <a:avLst/>
                          </a:prstGeom>
                          <a:ln w="9525" cap="flat" cmpd="sng">
                            <a:solidFill>
                              <a:srgbClr val="000000"/>
                            </a:solidFill>
                            <a:prstDash val="dash"/>
                            <a:headEnd type="none" w="med" len="med"/>
                            <a:tailEnd type="none" w="med" len="med"/>
                          </a:ln>
                        </wps:spPr>
                        <wps:bodyPr/>
                      </wps:wsp>
                      <wps:wsp>
                        <wps:cNvPr id="473" name="直接连接符 254"/>
                        <wps:cNvCnPr/>
                        <wps:spPr>
                          <a:xfrm flipH="1">
                            <a:off x="9152" y="41054"/>
                            <a:ext cx="348" cy="1"/>
                          </a:xfrm>
                          <a:prstGeom prst="line">
                            <a:avLst/>
                          </a:prstGeom>
                          <a:ln w="9525" cap="flat" cmpd="sng">
                            <a:solidFill>
                              <a:srgbClr val="000000"/>
                            </a:solidFill>
                            <a:prstDash val="dash"/>
                            <a:headEnd type="none" w="med" len="med"/>
                            <a:tailEnd type="triangle" w="med" len="med"/>
                          </a:ln>
                        </wps:spPr>
                        <wps:bodyPr/>
                      </wps:wsp>
                      <wps:wsp>
                        <wps:cNvPr id="474" name="矩形 253"/>
                        <wps:cNvSpPr/>
                        <wps:spPr>
                          <a:xfrm>
                            <a:off x="7957" y="40856"/>
                            <a:ext cx="1194" cy="423"/>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2143C500" w14:textId="77777777" w:rsidR="00B0005F" w:rsidRDefault="00000000">
                              <w:pPr>
                                <w:spacing w:line="280" w:lineRule="exact"/>
                                <w:jc w:val="center"/>
                                <w:rPr>
                                  <w:rFonts w:ascii="Times New Roman"/>
                                  <w:sz w:val="21"/>
                                  <w:szCs w:val="21"/>
                                </w:rPr>
                              </w:pPr>
                              <w:r>
                                <w:rPr>
                                  <w:rFonts w:ascii="Times New Roman"/>
                                  <w:sz w:val="21"/>
                                  <w:szCs w:val="21"/>
                                </w:rPr>
                                <w:t>冷却塔</w:t>
                              </w:r>
                            </w:p>
                          </w:txbxContent>
                        </wps:txbx>
                        <wps:bodyPr upright="1"/>
                      </wps:wsp>
                      <wps:wsp>
                        <wps:cNvPr id="475" name="直接连接符 252"/>
                        <wps:cNvCnPr/>
                        <wps:spPr>
                          <a:xfrm flipH="1">
                            <a:off x="7172" y="41084"/>
                            <a:ext cx="750" cy="0"/>
                          </a:xfrm>
                          <a:prstGeom prst="line">
                            <a:avLst/>
                          </a:prstGeom>
                          <a:ln w="9525" cap="flat" cmpd="sng">
                            <a:solidFill>
                              <a:srgbClr val="000000"/>
                            </a:solidFill>
                            <a:prstDash val="dash"/>
                            <a:headEnd type="none" w="med" len="med"/>
                            <a:tailEnd type="none" w="med" len="med"/>
                          </a:ln>
                        </wps:spPr>
                        <wps:bodyPr/>
                      </wps:wsp>
                      <wps:wsp>
                        <wps:cNvPr id="476" name="直接连接符 232"/>
                        <wps:cNvCnPr/>
                        <wps:spPr>
                          <a:xfrm flipV="1">
                            <a:off x="7172" y="40253"/>
                            <a:ext cx="0" cy="795"/>
                          </a:xfrm>
                          <a:prstGeom prst="line">
                            <a:avLst/>
                          </a:prstGeom>
                          <a:ln w="9525" cap="flat" cmpd="sng">
                            <a:solidFill>
                              <a:srgbClr val="000000"/>
                            </a:solidFill>
                            <a:prstDash val="dash"/>
                            <a:headEnd type="none" w="med" len="med"/>
                            <a:tailEnd type="none" w="med" len="med"/>
                          </a:ln>
                        </wps:spPr>
                        <wps:bodyPr/>
                      </wps:wsp>
                      <wps:wsp>
                        <wps:cNvPr id="477" name="直接连接符 231"/>
                        <wps:cNvCnPr/>
                        <wps:spPr>
                          <a:xfrm>
                            <a:off x="7158" y="40253"/>
                            <a:ext cx="420" cy="0"/>
                          </a:xfrm>
                          <a:prstGeom prst="line">
                            <a:avLst/>
                          </a:prstGeom>
                          <a:ln w="9525" cap="flat" cmpd="sng">
                            <a:solidFill>
                              <a:srgbClr val="000000"/>
                            </a:solidFill>
                            <a:prstDash val="dash"/>
                            <a:headEnd type="none" w="med" len="med"/>
                            <a:tailEnd type="triangle" w="med" len="med"/>
                          </a:ln>
                        </wps:spPr>
                        <wps:bodyPr/>
                      </wps:wsp>
                      <wps:wsp>
                        <wps:cNvPr id="478" name="文本框 226"/>
                        <wps:cNvSpPr txBox="1"/>
                        <wps:spPr>
                          <a:xfrm>
                            <a:off x="9544" y="40622"/>
                            <a:ext cx="1064" cy="337"/>
                          </a:xfrm>
                          <a:prstGeom prst="rect">
                            <a:avLst/>
                          </a:prstGeom>
                          <a:noFill/>
                          <a:ln>
                            <a:noFill/>
                          </a:ln>
                        </wps:spPr>
                        <wps:txbx>
                          <w:txbxContent>
                            <w:p w14:paraId="4017D827" w14:textId="77777777" w:rsidR="00B0005F" w:rsidRDefault="00000000">
                              <w:pPr>
                                <w:spacing w:line="260" w:lineRule="exact"/>
                                <w:rPr>
                                  <w:rFonts w:ascii="Times New Roman" w:eastAsiaTheme="minorEastAsia"/>
                                  <w:color w:val="000000"/>
                                  <w:sz w:val="21"/>
                                  <w:szCs w:val="21"/>
                                </w:rPr>
                              </w:pPr>
                              <w:r>
                                <w:rPr>
                                  <w:rFonts w:ascii="Times New Roman"/>
                                  <w:color w:val="000000"/>
                                  <w:sz w:val="21"/>
                                  <w:szCs w:val="21"/>
                                </w:rPr>
                                <w:t>3633</w:t>
                              </w:r>
                            </w:p>
                          </w:txbxContent>
                        </wps:txbx>
                        <wps:bodyPr lIns="0" tIns="0" rIns="0" bIns="0" upright="1"/>
                      </wps:wsp>
                      <wps:wsp>
                        <wps:cNvPr id="479" name="文本框 244"/>
                        <wps:cNvSpPr txBox="1"/>
                        <wps:spPr>
                          <a:xfrm>
                            <a:off x="7158" y="40742"/>
                            <a:ext cx="1064" cy="337"/>
                          </a:xfrm>
                          <a:prstGeom prst="rect">
                            <a:avLst/>
                          </a:prstGeom>
                          <a:noFill/>
                          <a:ln>
                            <a:noFill/>
                          </a:ln>
                        </wps:spPr>
                        <wps:txbx>
                          <w:txbxContent>
                            <w:p w14:paraId="0FD768FA" w14:textId="77777777" w:rsidR="00B0005F" w:rsidRDefault="00000000">
                              <w:pPr>
                                <w:spacing w:line="260" w:lineRule="exact"/>
                                <w:rPr>
                                  <w:rFonts w:ascii="Times New Roman" w:eastAsiaTheme="minorEastAsia"/>
                                  <w:color w:val="000000"/>
                                  <w:sz w:val="21"/>
                                  <w:szCs w:val="21"/>
                                </w:rPr>
                              </w:pPr>
                              <w:r>
                                <w:rPr>
                                  <w:rFonts w:ascii="Times New Roman"/>
                                  <w:color w:val="000000"/>
                                  <w:sz w:val="21"/>
                                  <w:szCs w:val="21"/>
                                </w:rPr>
                                <w:t>3583</w:t>
                              </w:r>
                            </w:p>
                          </w:txbxContent>
                        </wps:txbx>
                        <wps:bodyPr lIns="0" tIns="0" rIns="0" bIns="0" upright="1"/>
                      </wps:wsp>
                      <wps:wsp>
                        <wps:cNvPr id="203" name="直接连接符 203"/>
                        <wps:cNvCnPr/>
                        <wps:spPr>
                          <a:xfrm flipH="1">
                            <a:off x="10481" y="39337"/>
                            <a:ext cx="16" cy="2455"/>
                          </a:xfrm>
                          <a:prstGeom prst="line">
                            <a:avLst/>
                          </a:prstGeom>
                          <a:ln w="9525" cap="flat" cmpd="sng">
                            <a:solidFill>
                              <a:srgbClr val="000000"/>
                            </a:solidFill>
                            <a:prstDash val="solid"/>
                            <a:headEnd type="none" w="med" len="med"/>
                            <a:tailEnd type="none" w="med" len="med"/>
                          </a:ln>
                        </wps:spPr>
                        <wps:bodyPr/>
                      </wps:wsp>
                      <wps:wsp>
                        <wps:cNvPr id="480" name="直接连接符 237"/>
                        <wps:cNvCnPr/>
                        <wps:spPr>
                          <a:xfrm flipH="1">
                            <a:off x="12914" y="43005"/>
                            <a:ext cx="18" cy="664"/>
                          </a:xfrm>
                          <a:prstGeom prst="line">
                            <a:avLst/>
                          </a:prstGeom>
                          <a:ln w="9525" cap="flat" cmpd="sng">
                            <a:solidFill>
                              <a:srgbClr val="000000"/>
                            </a:solidFill>
                            <a:prstDash val="solid"/>
                            <a:headEnd type="none" w="med" len="med"/>
                            <a:tailEnd type="triangle" w="med" len="med"/>
                          </a:ln>
                        </wps:spPr>
                        <wps:bodyPr/>
                      </wps:wsp>
                      <wps:wsp>
                        <wps:cNvPr id="227" name="直接连接符 227"/>
                        <wps:cNvCnPr/>
                        <wps:spPr>
                          <a:xfrm>
                            <a:off x="5012" y="40037"/>
                            <a:ext cx="2550" cy="0"/>
                          </a:xfrm>
                          <a:prstGeom prst="line">
                            <a:avLst/>
                          </a:prstGeom>
                          <a:ln w="9525" cap="flat" cmpd="sng">
                            <a:solidFill>
                              <a:srgbClr val="000000"/>
                            </a:solidFill>
                            <a:prstDash val="solid"/>
                            <a:headEnd type="none" w="med" len="med"/>
                            <a:tailEnd type="triangle" w="med" len="med"/>
                          </a:ln>
                        </wps:spPr>
                        <wps:bodyPr/>
                      </wps:wsp>
                      <wps:wsp>
                        <wps:cNvPr id="222" name="文本框 222"/>
                        <wps:cNvSpPr txBox="1"/>
                        <wps:spPr>
                          <a:xfrm>
                            <a:off x="5126" y="39713"/>
                            <a:ext cx="539" cy="308"/>
                          </a:xfrm>
                          <a:prstGeom prst="rect">
                            <a:avLst/>
                          </a:prstGeom>
                          <a:noFill/>
                          <a:ln>
                            <a:noFill/>
                          </a:ln>
                        </wps:spPr>
                        <wps:txbx>
                          <w:txbxContent>
                            <w:p w14:paraId="6B53F107" w14:textId="77777777" w:rsidR="00B0005F" w:rsidRDefault="00000000">
                              <w:pPr>
                                <w:spacing w:line="260" w:lineRule="exact"/>
                                <w:jc w:val="center"/>
                                <w:rPr>
                                  <w:rFonts w:ascii="Times New Roman"/>
                                  <w:color w:val="000000"/>
                                  <w:sz w:val="21"/>
                                  <w:szCs w:val="21"/>
                                </w:rPr>
                              </w:pPr>
                              <w:r>
                                <w:rPr>
                                  <w:rFonts w:ascii="Times New Roman"/>
                                  <w:color w:val="000000"/>
                                  <w:sz w:val="21"/>
                                  <w:szCs w:val="21"/>
                                </w:rPr>
                                <w:t>63</w:t>
                              </w:r>
                            </w:p>
                          </w:txbxContent>
                        </wps:txbx>
                        <wps:bodyPr lIns="0" tIns="0" rIns="0" bIns="0" upright="1"/>
                      </wps:wsp>
                      <wps:wsp>
                        <wps:cNvPr id="185" name="直接连接符 185"/>
                        <wps:cNvCnPr/>
                        <wps:spPr>
                          <a:xfrm>
                            <a:off x="9271" y="42716"/>
                            <a:ext cx="2880" cy="0"/>
                          </a:xfrm>
                          <a:prstGeom prst="line">
                            <a:avLst/>
                          </a:prstGeom>
                          <a:ln w="9525" cap="flat" cmpd="sng">
                            <a:solidFill>
                              <a:srgbClr val="000000"/>
                            </a:solidFill>
                            <a:prstDash val="solid"/>
                            <a:headEnd type="none" w="med" len="med"/>
                            <a:tailEnd type="triangle" w="med" len="med"/>
                          </a:ln>
                        </wps:spPr>
                        <wps:bodyPr/>
                      </wps:wsp>
                      <wps:wsp>
                        <wps:cNvPr id="481" name="任意多边形 233"/>
                        <wps:cNvSpPr/>
                        <wps:spPr>
                          <a:xfrm>
                            <a:off x="10074" y="38386"/>
                            <a:ext cx="360" cy="285"/>
                          </a:xfrm>
                          <a:custGeom>
                            <a:avLst/>
                            <a:gdLst/>
                            <a:ahLst/>
                            <a:cxnLst/>
                            <a:rect l="0" t="0" r="0" b="0"/>
                            <a:pathLst>
                              <a:path w="360" h="285">
                                <a:moveTo>
                                  <a:pt x="0" y="285"/>
                                </a:moveTo>
                                <a:cubicBezTo>
                                  <a:pt x="36" y="213"/>
                                  <a:pt x="73" y="142"/>
                                  <a:pt x="106" y="135"/>
                                </a:cubicBezTo>
                                <a:cubicBezTo>
                                  <a:pt x="139" y="128"/>
                                  <a:pt x="154" y="262"/>
                                  <a:pt x="196" y="240"/>
                                </a:cubicBezTo>
                                <a:cubicBezTo>
                                  <a:pt x="238" y="218"/>
                                  <a:pt x="333" y="40"/>
                                  <a:pt x="360" y="0"/>
                                </a:cubicBezTo>
                              </a:path>
                            </a:pathLst>
                          </a:custGeom>
                          <a:noFill/>
                          <a:ln w="9525" cap="flat" cmpd="sng">
                            <a:solidFill>
                              <a:srgbClr val="000000"/>
                            </a:solidFill>
                            <a:prstDash val="solid"/>
                            <a:headEnd type="none" w="med" len="med"/>
                            <a:tailEnd type="triangle" w="med" len="med"/>
                          </a:ln>
                        </wps:spPr>
                        <wps:bodyPr upright="1"/>
                      </wps:wsp>
                      <wps:wsp>
                        <wps:cNvPr id="482" name="矩形 257"/>
                        <wps:cNvSpPr/>
                        <wps:spPr>
                          <a:xfrm>
                            <a:off x="5735" y="39814"/>
                            <a:ext cx="1195" cy="423"/>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6DB03E11" w14:textId="77777777" w:rsidR="00B0005F" w:rsidRDefault="00000000">
                              <w:pPr>
                                <w:spacing w:line="280" w:lineRule="exact"/>
                                <w:jc w:val="center"/>
                                <w:rPr>
                                  <w:rFonts w:ascii="Times New Roman" w:eastAsiaTheme="minorEastAsia"/>
                                  <w:sz w:val="21"/>
                                  <w:szCs w:val="21"/>
                                </w:rPr>
                              </w:pPr>
                              <w:r>
                                <w:rPr>
                                  <w:rFonts w:ascii="Times New Roman"/>
                                  <w:sz w:val="21"/>
                                  <w:szCs w:val="21"/>
                                </w:rPr>
                                <w:t>软水装置</w:t>
                              </w:r>
                            </w:p>
                          </w:txbxContent>
                        </wps:txbx>
                        <wps:bodyPr upright="1"/>
                      </wps:wsp>
                      <wps:wsp>
                        <wps:cNvPr id="258" name="文本框 258"/>
                        <wps:cNvSpPr txBox="1"/>
                        <wps:spPr>
                          <a:xfrm>
                            <a:off x="6817" y="39665"/>
                            <a:ext cx="744" cy="325"/>
                          </a:xfrm>
                          <a:prstGeom prst="rect">
                            <a:avLst/>
                          </a:prstGeom>
                          <a:noFill/>
                          <a:ln>
                            <a:noFill/>
                          </a:ln>
                        </wps:spPr>
                        <wps:txbx>
                          <w:txbxContent>
                            <w:p w14:paraId="7E642FBF" w14:textId="77777777" w:rsidR="00B0005F" w:rsidRDefault="00000000">
                              <w:pPr>
                                <w:spacing w:line="260" w:lineRule="exact"/>
                                <w:jc w:val="center"/>
                                <w:rPr>
                                  <w:rFonts w:ascii="Times New Roman"/>
                                  <w:color w:val="000000"/>
                                  <w:sz w:val="21"/>
                                  <w:szCs w:val="21"/>
                                </w:rPr>
                              </w:pPr>
                              <w:r>
                                <w:rPr>
                                  <w:rFonts w:ascii="Times New Roman"/>
                                  <w:color w:val="000000"/>
                                  <w:sz w:val="21"/>
                                  <w:szCs w:val="21"/>
                                </w:rPr>
                                <w:t>50</w:t>
                              </w:r>
                            </w:p>
                          </w:txbxContent>
                        </wps:txbx>
                        <wps:bodyPr lIns="0" tIns="0" rIns="0" bIns="0" upright="1"/>
                      </wps:wsp>
                      <wps:wsp>
                        <wps:cNvPr id="259" name="直接连接符 259"/>
                        <wps:cNvCnPr/>
                        <wps:spPr>
                          <a:xfrm flipH="1" flipV="1">
                            <a:off x="9362" y="40199"/>
                            <a:ext cx="174" cy="8"/>
                          </a:xfrm>
                          <a:prstGeom prst="line">
                            <a:avLst/>
                          </a:prstGeom>
                          <a:ln w="9525" cap="flat" cmpd="sng">
                            <a:solidFill>
                              <a:srgbClr val="000000"/>
                            </a:solidFill>
                            <a:prstDash val="dash"/>
                            <a:headEnd type="none" w="med" len="med"/>
                            <a:tailEnd type="none" w="med" len="med"/>
                          </a:ln>
                        </wps:spPr>
                        <wps:bodyPr/>
                      </wps:wsp>
                      <wps:wsp>
                        <wps:cNvPr id="483" name="文本框 261"/>
                        <wps:cNvSpPr txBox="1"/>
                        <wps:spPr>
                          <a:xfrm>
                            <a:off x="11561" y="38684"/>
                            <a:ext cx="1794" cy="588"/>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452DDA7D" w14:textId="77777777" w:rsidR="00B0005F" w:rsidRDefault="00000000">
                              <w:pPr>
                                <w:jc w:val="center"/>
                                <w:rPr>
                                  <w:rFonts w:ascii="Times New Roman" w:eastAsiaTheme="minorEastAsia"/>
                                  <w:sz w:val="21"/>
                                  <w:szCs w:val="21"/>
                                </w:rPr>
                              </w:pPr>
                              <w:r>
                                <w:rPr>
                                  <w:rFonts w:ascii="Times New Roman"/>
                                  <w:sz w:val="21"/>
                                  <w:szCs w:val="21"/>
                                </w:rPr>
                                <w:t>脱水再生单元废水</w:t>
                              </w:r>
                            </w:p>
                          </w:txbxContent>
                        </wps:txbx>
                        <wps:bodyPr lIns="0" tIns="45720" rIns="0" bIns="45720" upright="1"/>
                      </wps:wsp>
                      <wps:wsp>
                        <wps:cNvPr id="262" name="文本框 262"/>
                        <wps:cNvSpPr txBox="1"/>
                        <wps:spPr>
                          <a:xfrm>
                            <a:off x="12697" y="43651"/>
                            <a:ext cx="1150" cy="369"/>
                          </a:xfrm>
                          <a:prstGeom prst="rect">
                            <a:avLst/>
                          </a:prstGeom>
                          <a:noFill/>
                          <a:ln>
                            <a:noFill/>
                          </a:ln>
                        </wps:spPr>
                        <wps:txbx>
                          <w:txbxContent>
                            <w:p w14:paraId="47E29FD2" w14:textId="77777777" w:rsidR="00B0005F" w:rsidRDefault="00000000">
                              <w:pPr>
                                <w:spacing w:line="260" w:lineRule="exact"/>
                                <w:rPr>
                                  <w:rFonts w:ascii="Times New Roman" w:eastAsiaTheme="minorEastAsia"/>
                                  <w:color w:val="000000"/>
                                  <w:sz w:val="21"/>
                                  <w:szCs w:val="21"/>
                                </w:rPr>
                              </w:pPr>
                              <w:r>
                                <w:rPr>
                                  <w:rFonts w:ascii="Times New Roman"/>
                                  <w:color w:val="000000"/>
                                  <w:sz w:val="21"/>
                                  <w:szCs w:val="21"/>
                                </w:rPr>
                                <w:t>园区管网</w:t>
                              </w:r>
                            </w:p>
                          </w:txbxContent>
                        </wps:txbx>
                        <wps:bodyPr lIns="0" tIns="0" rIns="0" bIns="0" upright="1"/>
                      </wps:wsp>
                      <wps:wsp>
                        <wps:cNvPr id="263" name="文本框 263"/>
                        <wps:cNvSpPr txBox="1"/>
                        <wps:spPr>
                          <a:xfrm>
                            <a:off x="10470" y="37076"/>
                            <a:ext cx="1150" cy="369"/>
                          </a:xfrm>
                          <a:prstGeom prst="rect">
                            <a:avLst/>
                          </a:prstGeom>
                          <a:noFill/>
                          <a:ln>
                            <a:noFill/>
                          </a:ln>
                        </wps:spPr>
                        <wps:txbx>
                          <w:txbxContent>
                            <w:p w14:paraId="4112260F" w14:textId="77777777" w:rsidR="00B0005F" w:rsidRDefault="00000000">
                              <w:pPr>
                                <w:spacing w:line="260" w:lineRule="exact"/>
                                <w:rPr>
                                  <w:rFonts w:ascii="Times New Roman" w:eastAsiaTheme="minorEastAsia"/>
                                  <w:color w:val="000000"/>
                                  <w:sz w:val="21"/>
                                  <w:szCs w:val="21"/>
                                </w:rPr>
                              </w:pPr>
                              <w:r>
                                <w:rPr>
                                  <w:rFonts w:ascii="Times New Roman"/>
                                  <w:color w:val="000000"/>
                                  <w:sz w:val="21"/>
                                  <w:szCs w:val="21"/>
                                </w:rPr>
                                <w:t>园区管网</w:t>
                              </w:r>
                            </w:p>
                          </w:txbxContent>
                        </wps:txbx>
                        <wps:bodyPr lIns="0" tIns="0" rIns="0" bIns="0" upright="1"/>
                      </wps:wsp>
                      <wps:wsp>
                        <wps:cNvPr id="264" name="直接连接符 264"/>
                        <wps:cNvCnPr/>
                        <wps:spPr>
                          <a:xfrm flipH="1">
                            <a:off x="6343" y="40286"/>
                            <a:ext cx="3" cy="882"/>
                          </a:xfrm>
                          <a:prstGeom prst="line">
                            <a:avLst/>
                          </a:prstGeom>
                          <a:ln w="9525" cap="flat" cmpd="sng">
                            <a:solidFill>
                              <a:srgbClr val="000000"/>
                            </a:solidFill>
                            <a:prstDash val="dash"/>
                            <a:headEnd type="none" w="med" len="med"/>
                            <a:tailEnd type="triangle" w="med" len="med"/>
                          </a:ln>
                        </wps:spPr>
                        <wps:bodyPr/>
                      </wps:wsp>
                      <wps:wsp>
                        <wps:cNvPr id="265" name="文本框 265"/>
                        <wps:cNvSpPr txBox="1"/>
                        <wps:spPr>
                          <a:xfrm>
                            <a:off x="5756" y="41208"/>
                            <a:ext cx="1150" cy="369"/>
                          </a:xfrm>
                          <a:prstGeom prst="rect">
                            <a:avLst/>
                          </a:prstGeom>
                          <a:noFill/>
                          <a:ln>
                            <a:noFill/>
                          </a:ln>
                        </wps:spPr>
                        <wps:txbx>
                          <w:txbxContent>
                            <w:p w14:paraId="459CDF61" w14:textId="77777777" w:rsidR="00B0005F" w:rsidRDefault="00000000">
                              <w:pPr>
                                <w:spacing w:line="260" w:lineRule="exact"/>
                                <w:rPr>
                                  <w:rFonts w:ascii="Times New Roman" w:eastAsiaTheme="minorEastAsia"/>
                                  <w:color w:val="000000"/>
                                  <w:sz w:val="21"/>
                                  <w:szCs w:val="21"/>
                                </w:rPr>
                              </w:pPr>
                              <w:r>
                                <w:rPr>
                                  <w:rFonts w:ascii="Times New Roman"/>
                                  <w:color w:val="000000"/>
                                  <w:sz w:val="21"/>
                                  <w:szCs w:val="21"/>
                                </w:rPr>
                                <w:t>园区管网</w:t>
                              </w:r>
                            </w:p>
                          </w:txbxContent>
                        </wps:txbx>
                        <wps:bodyPr lIns="0" tIns="0" rIns="0" bIns="0" upright="1"/>
                      </wps:wsp>
                      <wps:wsp>
                        <wps:cNvPr id="266" name="文本框 266"/>
                        <wps:cNvSpPr txBox="1"/>
                        <wps:spPr>
                          <a:xfrm>
                            <a:off x="5788" y="40591"/>
                            <a:ext cx="591" cy="309"/>
                          </a:xfrm>
                          <a:prstGeom prst="rect">
                            <a:avLst/>
                          </a:prstGeom>
                          <a:noFill/>
                          <a:ln>
                            <a:noFill/>
                          </a:ln>
                        </wps:spPr>
                        <wps:txbx>
                          <w:txbxContent>
                            <w:p w14:paraId="7967F56E" w14:textId="77777777" w:rsidR="00B0005F" w:rsidRDefault="00000000">
                              <w:pPr>
                                <w:spacing w:line="260" w:lineRule="exact"/>
                                <w:jc w:val="center"/>
                                <w:rPr>
                                  <w:rFonts w:ascii="Times New Roman"/>
                                  <w:color w:val="000000"/>
                                  <w:sz w:val="21"/>
                                  <w:szCs w:val="21"/>
                                </w:rPr>
                              </w:pPr>
                              <w:r>
                                <w:rPr>
                                  <w:rFonts w:ascii="Times New Roman"/>
                                  <w:color w:val="000000"/>
                                  <w:sz w:val="21"/>
                                  <w:szCs w:val="21"/>
                                </w:rPr>
                                <w:t>13</w:t>
                              </w:r>
                            </w:p>
                          </w:txbxContent>
                        </wps:txbx>
                        <wps:bodyPr lIns="0" tIns="0" rIns="0" bIns="0" upright="1"/>
                      </wps:wsp>
                      <wps:wsp>
                        <wps:cNvPr id="270" name="直接箭头连接符 270"/>
                        <wps:cNvCnPr/>
                        <wps:spPr>
                          <a:xfrm flipV="1">
                            <a:off x="10923" y="38983"/>
                            <a:ext cx="668" cy="17"/>
                          </a:xfrm>
                          <a:prstGeom prst="straightConnector1">
                            <a:avLst/>
                          </a:prstGeom>
                          <a:ln w="9525">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272" name="文本框 272"/>
                        <wps:cNvSpPr txBox="1"/>
                        <wps:spPr>
                          <a:xfrm>
                            <a:off x="10680" y="38599"/>
                            <a:ext cx="1056" cy="353"/>
                          </a:xfrm>
                          <a:prstGeom prst="rect">
                            <a:avLst/>
                          </a:prstGeom>
                          <a:noFill/>
                          <a:ln>
                            <a:noFill/>
                          </a:ln>
                        </wps:spPr>
                        <wps:txbx>
                          <w:txbxContent>
                            <w:p w14:paraId="323AD9F8" w14:textId="77777777" w:rsidR="00B0005F" w:rsidRDefault="00000000">
                              <w:pPr>
                                <w:spacing w:line="260" w:lineRule="exact"/>
                                <w:jc w:val="center"/>
                                <w:rPr>
                                  <w:rFonts w:ascii="Times New Roman" w:eastAsiaTheme="minorEastAsia"/>
                                  <w:color w:val="000000"/>
                                  <w:sz w:val="21"/>
                                  <w:szCs w:val="21"/>
                                </w:rPr>
                              </w:pPr>
                              <w:r>
                                <w:rPr>
                                  <w:rFonts w:ascii="Times New Roman"/>
                                  <w:color w:val="000000"/>
                                  <w:sz w:val="21"/>
                                  <w:szCs w:val="21"/>
                                </w:rPr>
                                <w:t>0.036</w:t>
                              </w:r>
                            </w:p>
                          </w:txbxContent>
                        </wps:txbx>
                        <wps:bodyPr lIns="0" tIns="0" rIns="0" bIns="0" upright="1"/>
                      </wps:wsp>
                      <wps:wsp>
                        <wps:cNvPr id="273" name="直接连接符 273"/>
                        <wps:cNvCnPr/>
                        <wps:spPr>
                          <a:xfrm flipH="1">
                            <a:off x="12353" y="41764"/>
                            <a:ext cx="9" cy="847"/>
                          </a:xfrm>
                          <a:prstGeom prst="line">
                            <a:avLst/>
                          </a:prstGeom>
                          <a:ln w="9525" cap="flat" cmpd="sng">
                            <a:solidFill>
                              <a:srgbClr val="000000"/>
                            </a:solidFill>
                            <a:prstDash val="solid"/>
                            <a:headEnd type="none" w="med" len="med"/>
                            <a:tailEnd type="triangle" w="med" len="med"/>
                          </a:ln>
                        </wps:spPr>
                        <wps:bodyPr/>
                      </wps:wsp>
                      <wps:wsp>
                        <wps:cNvPr id="274" name="直接连接符 274"/>
                        <wps:cNvCnPr>
                          <a:endCxn id="203" idx="1"/>
                        </wps:cNvCnPr>
                        <wps:spPr>
                          <a:xfrm flipH="1">
                            <a:off x="10481" y="41779"/>
                            <a:ext cx="1911" cy="13"/>
                          </a:xfrm>
                          <a:prstGeom prst="line">
                            <a:avLst/>
                          </a:prstGeom>
                          <a:ln w="9525" cap="flat" cmpd="sng">
                            <a:solidFill>
                              <a:srgbClr val="000000"/>
                            </a:solidFill>
                            <a:prstDash val="solid"/>
                            <a:headEnd type="none" w="med" len="med"/>
                            <a:tailEnd type="none" w="med" len="med"/>
                          </a:ln>
                        </wps:spPr>
                        <wps:bodyPr/>
                      </wps:wsp>
                      <wps:wsp>
                        <wps:cNvPr id="275" name="文本框 275"/>
                        <wps:cNvSpPr txBox="1"/>
                        <wps:spPr>
                          <a:xfrm>
                            <a:off x="10572" y="40072"/>
                            <a:ext cx="994" cy="931"/>
                          </a:xfrm>
                          <a:prstGeom prst="rect">
                            <a:avLst/>
                          </a:prstGeom>
                          <a:noFill/>
                          <a:ln>
                            <a:noFill/>
                          </a:ln>
                        </wps:spPr>
                        <wps:txbx>
                          <w:txbxContent>
                            <w:p w14:paraId="3C0DF8BF" w14:textId="77777777" w:rsidR="00B0005F" w:rsidRDefault="00000000">
                              <w:pPr>
                                <w:spacing w:line="260" w:lineRule="exact"/>
                                <w:jc w:val="center"/>
                                <w:rPr>
                                  <w:rFonts w:ascii="Times New Roman" w:eastAsiaTheme="minorEastAsia"/>
                                  <w:color w:val="000000"/>
                                  <w:sz w:val="21"/>
                                  <w:szCs w:val="21"/>
                                </w:rPr>
                              </w:pPr>
                              <w:r>
                                <w:rPr>
                                  <w:rFonts w:ascii="Times New Roman"/>
                                  <w:color w:val="000000"/>
                                  <w:sz w:val="21"/>
                                  <w:szCs w:val="21"/>
                                </w:rPr>
                                <w:t>进口过滤器分离水</w:t>
                              </w:r>
                              <w:r>
                                <w:rPr>
                                  <w:rFonts w:ascii="Times New Roman"/>
                                  <w:color w:val="000000"/>
                                  <w:sz w:val="21"/>
                                  <w:szCs w:val="21"/>
                                </w:rPr>
                                <w:t>0.0083</w:t>
                              </w:r>
                            </w:p>
                          </w:txbxContent>
                        </wps:txbx>
                        <wps:bodyPr lIns="0" tIns="0" rIns="0" bIns="0" upright="1"/>
                      </wps:wsp>
                    </wpg:wgp>
                  </a:graphicData>
                </a:graphic>
              </wp:anchor>
            </w:drawing>
          </mc:Choice>
          <mc:Fallback>
            <w:pict>
              <v:group w14:anchorId="5A260604" id="组合 276" o:spid="_x0000_s1326" style="position:absolute;left:0;text-align:left;margin-left:-16.2pt;margin-top:19.1pt;width:452.8pt;height:387.9pt;z-index:251676160" coordorigin="4794,36082" coordsize="9192,79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">
                <v:line id="直接连接符 209" o:spid="_x0000_s1327" style="position:absolute;visibility:visible;mso-wrap-style:square" from="5001,36412" to="5017,4283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"/>
                <v:line id="直接连接符 219" o:spid="_x0000_s1328" style="position:absolute;visibility:visible;mso-wrap-style:square" from="5026,37232" to="6687,372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">
                  <v:stroke endarrow="block"/>
                </v:line>
                <v:shape id="文本框 216" o:spid="_x0000_s1329" type="#_x0000_t202" style="position:absolute;left:4794;top:36082;width:2048;height: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" filled="f" stroked="f">
                  <v:textbox inset="0,0,0,0">
                    <w:txbxContent>
                      <w:p w14:paraId="04D9655B" w14:textId="77777777" w:rsidR="00B0005F" w:rsidRDefault="00000000">
                        <w:pPr>
                          <w:spacing w:line="260" w:lineRule="exact"/>
                          <w:rPr>
                            <w:rFonts w:ascii="Times New Roman" w:eastAsiaTheme="minorEastAsia"/>
                            <w:color w:val="000000"/>
                            <w:sz w:val="21"/>
                            <w:szCs w:val="21"/>
                          </w:rPr>
                        </w:pPr>
                        <w:r>
                          <w:rPr>
                            <w:rFonts w:ascii="Times New Roman"/>
                            <w:color w:val="000000"/>
                            <w:sz w:val="21"/>
                            <w:szCs w:val="21"/>
                          </w:rPr>
                          <w:t>新鲜水</w:t>
                        </w:r>
                        <w:r>
                          <w:rPr>
                            <w:rFonts w:ascii="Times New Roman"/>
                            <w:color w:val="000000"/>
                            <w:sz w:val="21"/>
                            <w:szCs w:val="21"/>
                          </w:rPr>
                          <w:t>71.9025</w:t>
                        </w:r>
                      </w:p>
                    </w:txbxContent>
                  </v:textbox>
                </v:shape>
                <v:shape id="文本框 213" o:spid="_x0000_s1330" type="#_x0000_t202" style="position:absolute;left:5084;top:36925;width:1348;height:3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" filled="f" stroked="f">
                  <v:textbox inset="0,0,0,0">
                    <w:txbxContent>
                      <w:p w14:paraId="74927BD1" w14:textId="77777777" w:rsidR="00B0005F" w:rsidRDefault="00000000">
                        <w:pPr>
                          <w:spacing w:line="260" w:lineRule="exact"/>
                          <w:rPr>
                            <w:rFonts w:ascii="Times New Roman" w:eastAsiaTheme="minorEastAsia"/>
                            <w:color w:val="000000"/>
                            <w:sz w:val="21"/>
                            <w:szCs w:val="21"/>
                          </w:rPr>
                        </w:pPr>
                        <w:r>
                          <w:rPr>
                            <w:rFonts w:ascii="Times New Roman"/>
                            <w:color w:val="000000"/>
                            <w:sz w:val="21"/>
                            <w:szCs w:val="21"/>
                          </w:rPr>
                          <w:t>补充水</w:t>
                        </w:r>
                        <w:r>
                          <w:rPr>
                            <w:rFonts w:ascii="Times New Roman"/>
                            <w:color w:val="000000"/>
                            <w:sz w:val="21"/>
                            <w:szCs w:val="21"/>
                          </w:rPr>
                          <w:t>8.4</w:t>
                        </w:r>
                      </w:p>
                    </w:txbxContent>
                  </v:textbox>
                </v:shape>
                <v:rect id="矩形 210" o:spid="_x0000_s1331" style="position:absolute;left:6666;top:37039;width:1734;height:4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">
                  <v:textbox>
                    <w:txbxContent>
                      <w:p w14:paraId="776B449D" w14:textId="77777777" w:rsidR="00B0005F" w:rsidRDefault="00000000">
                        <w:pPr>
                          <w:spacing w:line="280" w:lineRule="exact"/>
                          <w:jc w:val="center"/>
                          <w:rPr>
                            <w:rFonts w:ascii="Times New Roman"/>
                            <w:sz w:val="21"/>
                            <w:szCs w:val="21"/>
                          </w:rPr>
                        </w:pPr>
                        <w:r>
                          <w:rPr>
                            <w:rFonts w:ascii="Times New Roman"/>
                            <w:sz w:val="21"/>
                            <w:szCs w:val="21"/>
                          </w:rPr>
                          <w:t>脱盐水站</w:t>
                        </w:r>
                      </w:p>
                    </w:txbxContent>
                  </v:textbox>
                </v:rect>
                <v:line id="直接连接符 218" o:spid="_x0000_s1332" style="position:absolute;flip:y;visibility:visible;mso-wrap-style:square" from="8411,37243" to="10441,372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">
                  <v:stroke dashstyle="dash" endarrow="block"/>
                </v:line>
                <v:line id="直接连接符 204" o:spid="_x0000_s1333" style="position:absolute;flip:x;visibility:visible;mso-wrap-style:square" from="7475,37461" to="7476,390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"/>
                <v:line id="直接连接符 240" o:spid="_x0000_s1334" style="position:absolute;visibility:visible;mso-wrap-style:square" from="7460,39078" to="8698,390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">
                  <v:stroke endarrow="block"/>
                </v:line>
                <v:shape id="文本框 201" o:spid="_x0000_s1335" type="#_x0000_t202" style="position:absolute;left:8668;top:38713;width:2192;height:6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">
                  <v:textbox>
                    <w:txbxContent>
                      <w:p w14:paraId="61B151E5" w14:textId="77777777" w:rsidR="00B0005F" w:rsidRDefault="00000000">
                        <w:pPr>
                          <w:spacing w:beforeLines="30" w:before="72"/>
                          <w:jc w:val="center"/>
                          <w:rPr>
                            <w:rFonts w:ascii="Times New Roman" w:eastAsiaTheme="minorEastAsia"/>
                            <w:sz w:val="21"/>
                            <w:szCs w:val="21"/>
                          </w:rPr>
                        </w:pPr>
                        <w:r>
                          <w:rPr>
                            <w:rFonts w:ascii="Times New Roman"/>
                            <w:sz w:val="21"/>
                            <w:szCs w:val="21"/>
                          </w:rPr>
                          <w:t>工艺装置区</w:t>
                        </w:r>
                      </w:p>
                    </w:txbxContent>
                  </v:textbox>
                </v:shape>
                <v:line id="直接连接符 202" o:spid="_x0000_s1336" style="position:absolute;visibility:visible;mso-wrap-style:square" from="7996,38093" to="9436,3809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"/>
                <v:line id="直接连接符 215" o:spid="_x0000_s1337" style="position:absolute;visibility:visible;mso-wrap-style:square" from="9436,38093" to="9436,3866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">
                  <v:stroke endarrow="block"/>
                </v:line>
                <v:shape id="文本框 217" o:spid="_x0000_s1338" type="#_x0000_t202" style="position:absolute;left:7838;top:37757;width:1988;height:3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" filled="f" stroked="f">
                  <v:textbox inset="0,0,0,0">
                    <w:txbxContent>
                      <w:p w14:paraId="3D3F2B98" w14:textId="77777777" w:rsidR="00B0005F" w:rsidRDefault="00000000">
                        <w:pPr>
                          <w:spacing w:line="260" w:lineRule="exact"/>
                          <w:rPr>
                            <w:rFonts w:ascii="Times New Roman" w:eastAsiaTheme="minorEastAsia"/>
                            <w:color w:val="000000"/>
                            <w:sz w:val="21"/>
                            <w:szCs w:val="21"/>
                          </w:rPr>
                        </w:pPr>
                        <w:r>
                          <w:rPr>
                            <w:rFonts w:ascii="Times New Roman"/>
                            <w:color w:val="000000"/>
                            <w:sz w:val="21"/>
                            <w:szCs w:val="21"/>
                          </w:rPr>
                          <w:t>原料带入水</w:t>
                        </w:r>
                        <w:r>
                          <w:rPr>
                            <w:rFonts w:ascii="Times New Roman"/>
                            <w:color w:val="000000"/>
                            <w:sz w:val="21"/>
                            <w:szCs w:val="21"/>
                          </w:rPr>
                          <w:t>0.0083</w:t>
                        </w:r>
                      </w:p>
                    </w:txbxContent>
                  </v:textbox>
                </v:shape>
                <v:shape id="文本框 221" o:spid="_x0000_s1339" type="#_x0000_t202" style="position:absolute;left:7542;top:38582;width:1056;height:3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" filled="f" stroked="f">
                  <v:textbox inset="0,0,0,0">
                    <w:txbxContent>
                      <w:p w14:paraId="029888CA" w14:textId="77777777" w:rsidR="00B0005F" w:rsidRDefault="00000000">
                        <w:pPr>
                          <w:spacing w:line="260" w:lineRule="exact"/>
                          <w:jc w:val="center"/>
                          <w:rPr>
                            <w:rFonts w:ascii="Times New Roman" w:eastAsiaTheme="minorEastAsia"/>
                            <w:color w:val="000000"/>
                            <w:sz w:val="21"/>
                            <w:szCs w:val="21"/>
                          </w:rPr>
                        </w:pPr>
                        <w:r>
                          <w:rPr>
                            <w:rFonts w:ascii="Times New Roman"/>
                            <w:color w:val="000000"/>
                            <w:sz w:val="21"/>
                            <w:szCs w:val="21"/>
                          </w:rPr>
                          <w:t>5.0</w:t>
                        </w:r>
                      </w:p>
                    </w:txbxContent>
                  </v:textbox>
                </v:shape>
                <v:shape id="文本框 207" o:spid="_x0000_s1340" type="#_x0000_t202" style="position:absolute;left:9935;top:37820;width:1985;height:6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" filled="f" stroked="f">
                  <v:textbox inset="0,0,0,0">
                    <w:txbxContent>
                      <w:p w14:paraId="1604A145" w14:textId="77777777" w:rsidR="00B0005F" w:rsidRDefault="00000000">
                        <w:pPr>
                          <w:spacing w:line="260" w:lineRule="exact"/>
                          <w:rPr>
                            <w:rFonts w:ascii="Times New Roman" w:eastAsiaTheme="minorEastAsia"/>
                            <w:color w:val="000000"/>
                            <w:sz w:val="21"/>
                            <w:szCs w:val="21"/>
                          </w:rPr>
                        </w:pPr>
                        <w:r>
                          <w:rPr>
                            <w:rFonts w:ascii="Times New Roman"/>
                            <w:color w:val="000000"/>
                            <w:sz w:val="21"/>
                            <w:szCs w:val="21"/>
                          </w:rPr>
                          <w:t>闪蒸气、脱硫塔废气带出及损失</w:t>
                        </w:r>
                        <w:r>
                          <w:rPr>
                            <w:rFonts w:ascii="Times New Roman"/>
                            <w:color w:val="000000"/>
                            <w:sz w:val="21"/>
                            <w:szCs w:val="21"/>
                          </w:rPr>
                          <w:t>4.974</w:t>
                        </w:r>
                      </w:p>
                    </w:txbxContent>
                  </v:textbox>
                </v:shape>
                <v:shape id="文本框 205" o:spid="_x0000_s1341" type="#_x0000_t202" style="position:absolute;left:8469;top:36846;width:1968;height:3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" filled="f" stroked="f">
                  <v:textbox inset="0,0,0,0">
                    <w:txbxContent>
                      <w:p w14:paraId="0A7EA146" w14:textId="77777777" w:rsidR="00B0005F" w:rsidRDefault="00000000">
                        <w:pPr>
                          <w:spacing w:line="260" w:lineRule="exact"/>
                          <w:rPr>
                            <w:rFonts w:ascii="Times New Roman" w:eastAsiaTheme="minorEastAsia"/>
                            <w:color w:val="000000"/>
                            <w:sz w:val="21"/>
                            <w:szCs w:val="21"/>
                          </w:rPr>
                        </w:pPr>
                        <w:r>
                          <w:rPr>
                            <w:rFonts w:ascii="Times New Roman"/>
                            <w:color w:val="000000"/>
                            <w:sz w:val="21"/>
                            <w:szCs w:val="21"/>
                          </w:rPr>
                          <w:t>脱盐水站浓水</w:t>
                        </w:r>
                        <w:r>
                          <w:rPr>
                            <w:rFonts w:ascii="Times New Roman"/>
                            <w:sz w:val="21"/>
                            <w:szCs w:val="21"/>
                          </w:rPr>
                          <w:t>3.4</w:t>
                        </w:r>
                      </w:p>
                    </w:txbxContent>
                  </v:textbox>
                </v:shape>
                <v:shape id="任意多边形 245" o:spid="_x0000_s1342" style="position:absolute;left:8296;top:40522;width:360;height:285;visibility:visible;mso-wrap-style:square;v-text-anchor:top" coordsize="360,2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" path="m,285c36,213,73,142,106,135v33,-7,48,127,90,105c238,218,333,40,360,e" filled="f">
                  <v:stroke endarrow="block"/>
                  <v:path arrowok="t" textboxrect="0,0,360,285"/>
                </v:shape>
                <v:shape id="文本框 225" o:spid="_x0000_s1343" type="#_x0000_t202" style="position:absolute;left:8684;top:40460;width:520;height:3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" filled="f" stroked="f">
                  <v:textbox inset="0,0,0,0">
                    <w:txbxContent>
                      <w:p w14:paraId="3442E13B" w14:textId="77777777" w:rsidR="00B0005F" w:rsidRDefault="00000000">
                        <w:pPr>
                          <w:spacing w:line="260" w:lineRule="exact"/>
                          <w:rPr>
                            <w:rFonts w:ascii="Times New Roman"/>
                            <w:color w:val="000000"/>
                            <w:sz w:val="21"/>
                            <w:szCs w:val="21"/>
                          </w:rPr>
                        </w:pPr>
                        <w:r>
                          <w:rPr>
                            <w:rFonts w:ascii="Times New Roman"/>
                            <w:color w:val="000000"/>
                            <w:sz w:val="21"/>
                            <w:szCs w:val="21"/>
                          </w:rPr>
                          <w:t>50</w:t>
                        </w:r>
                      </w:p>
                    </w:txbxContent>
                  </v:textbox>
                </v:shape>
                <v:line id="直接连接符 194" o:spid="_x0000_s1344" style="position:absolute;visibility:visible;mso-wrap-style:square" from="4998,42781" to="7526,427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">
                  <v:stroke endarrow="block"/>
                </v:line>
                <v:shape id="文本框 196" o:spid="_x0000_s1345" type="#_x0000_t202" style="position:absolute;left:7544;top:42352;width:1758;height:5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">
                  <v:textbox>
                    <w:txbxContent>
                      <w:p w14:paraId="5E1600CA" w14:textId="77777777" w:rsidR="00B0005F" w:rsidRDefault="00000000">
                        <w:pPr>
                          <w:rPr>
                            <w:rFonts w:ascii="Times New Roman"/>
                            <w:sz w:val="21"/>
                            <w:szCs w:val="21"/>
                          </w:rPr>
                        </w:pPr>
                        <w:r>
                          <w:rPr>
                            <w:rFonts w:ascii="Times New Roman"/>
                            <w:sz w:val="21"/>
                            <w:szCs w:val="21"/>
                          </w:rPr>
                          <w:t>生活、办公用水</w:t>
                        </w:r>
                      </w:p>
                    </w:txbxContent>
                  </v:textbox>
                </v:shape>
                <v:shape id="文本框 191" o:spid="_x0000_s1346" type="#_x0000_t202" style="position:absolute;left:5918;top:42403;width:1064;height:3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" filled="f" stroked="f">
                  <v:textbox inset="0,0,0,0">
                    <w:txbxContent>
                      <w:p w14:paraId="4FCE8753" w14:textId="77777777" w:rsidR="00B0005F" w:rsidRDefault="00000000">
                        <w:pPr>
                          <w:spacing w:line="260" w:lineRule="exact"/>
                          <w:rPr>
                            <w:rFonts w:ascii="Times New Roman" w:eastAsiaTheme="minorEastAsia"/>
                            <w:color w:val="000000"/>
                            <w:sz w:val="21"/>
                            <w:szCs w:val="21"/>
                          </w:rPr>
                        </w:pPr>
                        <w:r>
                          <w:rPr>
                            <w:rFonts w:ascii="Times New Roman"/>
                            <w:color w:val="000000"/>
                            <w:sz w:val="21"/>
                            <w:szCs w:val="21"/>
                          </w:rPr>
                          <w:t>0.5025</w:t>
                        </w:r>
                      </w:p>
                    </w:txbxContent>
                  </v:textbox>
                </v:shape>
                <v:shape id="文本框 189" o:spid="_x0000_s1347" type="#_x0000_t202" style="position:absolute;left:9677;top:42247;width:1737;height:4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" filled="f" stroked="f">
                  <v:textbox inset="0,0,0,0">
                    <w:txbxContent>
                      <w:p w14:paraId="10DD7395" w14:textId="77777777" w:rsidR="00B0005F" w:rsidRDefault="00000000">
                        <w:pPr>
                          <w:spacing w:line="260" w:lineRule="exact"/>
                          <w:jc w:val="center"/>
                          <w:rPr>
                            <w:rFonts w:ascii="Times New Roman" w:eastAsiaTheme="minorEastAsia"/>
                            <w:color w:val="000000"/>
                            <w:sz w:val="21"/>
                            <w:szCs w:val="21"/>
                          </w:rPr>
                        </w:pPr>
                        <w:r>
                          <w:rPr>
                            <w:rFonts w:ascii="Times New Roman"/>
                            <w:color w:val="000000"/>
                            <w:sz w:val="21"/>
                            <w:szCs w:val="21"/>
                          </w:rPr>
                          <w:t>生活污水</w:t>
                        </w:r>
                        <w:r>
                          <w:rPr>
                            <w:rFonts w:ascii="Times New Roman"/>
                            <w:color w:val="000000"/>
                            <w:sz w:val="21"/>
                            <w:szCs w:val="21"/>
                          </w:rPr>
                          <w:t xml:space="preserve"> 0.4271</w:t>
                        </w:r>
                      </w:p>
                    </w:txbxContent>
                  </v:textbox>
                </v:shape>
                <v:shape id="文本框 198" o:spid="_x0000_s1348" type="#_x0000_t202" style="position:absolute;left:12161;top:42565;width:1440;height:4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">
                  <v:textbox>
                    <w:txbxContent>
                      <w:p w14:paraId="5B7DE0EF" w14:textId="77777777" w:rsidR="00B0005F" w:rsidRDefault="00000000">
                        <w:pPr>
                          <w:rPr>
                            <w:rFonts w:ascii="Times New Roman"/>
                            <w:sz w:val="21"/>
                            <w:szCs w:val="21"/>
                          </w:rPr>
                        </w:pPr>
                        <w:r>
                          <w:rPr>
                            <w:rFonts w:ascii="Times New Roman"/>
                            <w:sz w:val="21"/>
                            <w:szCs w:val="21"/>
                          </w:rPr>
                          <w:t>废水处理站</w:t>
                        </w:r>
                      </w:p>
                    </w:txbxContent>
                  </v:textbox>
                </v:shape>
                <v:line id="直接连接符 195" o:spid="_x0000_s1349" style="position:absolute;visibility:visible;mso-wrap-style:square" from="12679,39301" to="12680,4260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">
                  <v:stroke endarrow="block"/>
                </v:line>
                <v:shape id="文本框 193" o:spid="_x0000_s1350" type="#_x0000_t202" style="position:absolute;left:13004;top:43337;width:982;height:2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" filled="f" stroked="f">
                  <v:textbox inset="0,0,0,0">
                    <w:txbxContent>
                      <w:p w14:paraId="6658B41C" w14:textId="77777777" w:rsidR="00B0005F" w:rsidRDefault="00000000">
                        <w:pPr>
                          <w:jc w:val="center"/>
                          <w:rPr>
                            <w:rFonts w:ascii="Times New Roman" w:eastAsiaTheme="minorEastAsia"/>
                            <w:sz w:val="21"/>
                            <w:szCs w:val="21"/>
                          </w:rPr>
                        </w:pPr>
                        <w:r>
                          <w:rPr>
                            <w:rFonts w:ascii="Times New Roman"/>
                            <w:sz w:val="21"/>
                            <w:szCs w:val="21"/>
                          </w:rPr>
                          <w:t>0.4717</w:t>
                        </w:r>
                      </w:p>
                    </w:txbxContent>
                  </v:textbox>
                </v:shape>
                <v:shape id="文本框 192" o:spid="_x0000_s1351" type="#_x0000_t202" style="position:absolute;left:12791;top:39890;width:1041;height:10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" filled="f" stroked="f">
                  <v:textbox inset="0,0,0,0">
                    <w:txbxContent>
                      <w:p w14:paraId="65746602" w14:textId="77777777" w:rsidR="00B0005F" w:rsidRDefault="00000000">
                        <w:pPr>
                          <w:spacing w:line="260" w:lineRule="exact"/>
                          <w:jc w:val="center"/>
                          <w:rPr>
                            <w:rFonts w:ascii="Times New Roman" w:eastAsiaTheme="minorEastAsia"/>
                            <w:color w:val="000000"/>
                            <w:sz w:val="21"/>
                            <w:szCs w:val="21"/>
                          </w:rPr>
                        </w:pPr>
                        <w:r>
                          <w:rPr>
                            <w:rFonts w:ascii="Times New Roman"/>
                            <w:color w:val="000000"/>
                            <w:sz w:val="21"/>
                            <w:szCs w:val="21"/>
                          </w:rPr>
                          <w:t>冷凝液隔油分离水</w:t>
                        </w:r>
                        <w:r>
                          <w:rPr>
                            <w:rFonts w:ascii="Times New Roman"/>
                            <w:color w:val="000000"/>
                            <w:sz w:val="21"/>
                            <w:szCs w:val="21"/>
                          </w:rPr>
                          <w:t>0.036</w:t>
                        </w:r>
                      </w:p>
                    </w:txbxContent>
                  </v:textbox>
                </v:shape>
                <v:shape id="任意多边形 188" o:spid="_x0000_s1352" style="position:absolute;left:8030;top:42055;width:360;height:285;visibility:visible;mso-wrap-style:square;v-text-anchor:top" coordsize="360,2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" path="m,285c36,213,73,142,106,135v33,-7,48,127,90,105c238,218,333,40,360,e" filled="f">
                  <v:stroke endarrow="block"/>
                  <v:path arrowok="t" textboxrect="0,0,360,285"/>
                </v:shape>
                <v:shape id="文本框 183" o:spid="_x0000_s1353" type="#_x0000_t202" style="position:absolute;left:8473;top:41945;width:893;height:3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" filled="f" stroked="f">
                  <v:textbox inset="0,0,0,0">
                    <w:txbxContent>
                      <w:p w14:paraId="6699A905" w14:textId="77777777" w:rsidR="00B0005F" w:rsidRDefault="00000000">
                        <w:pPr>
                          <w:spacing w:line="260" w:lineRule="exact"/>
                          <w:rPr>
                            <w:rFonts w:ascii="Times New Roman" w:eastAsiaTheme="minorEastAsia"/>
                            <w:color w:val="000000"/>
                            <w:sz w:val="21"/>
                            <w:szCs w:val="21"/>
                          </w:rPr>
                        </w:pPr>
                        <w:r>
                          <w:rPr>
                            <w:rFonts w:ascii="Times New Roman"/>
                            <w:color w:val="000000"/>
                            <w:sz w:val="21"/>
                            <w:szCs w:val="21"/>
                          </w:rPr>
                          <w:t>0.0754</w:t>
                        </w:r>
                      </w:p>
                    </w:txbxContent>
                  </v:textbox>
                </v:shape>
                <v:rect id="矩形 239" o:spid="_x0000_s1354" style="position:absolute;left:7581;top:39959;width:1778;height:4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">
                  <v:textbox>
                    <w:txbxContent>
                      <w:p w14:paraId="3AD45838" w14:textId="77777777" w:rsidR="00B0005F" w:rsidRDefault="00000000">
                        <w:pPr>
                          <w:spacing w:line="280" w:lineRule="exact"/>
                          <w:jc w:val="center"/>
                          <w:rPr>
                            <w:rFonts w:ascii="Times New Roman"/>
                            <w:sz w:val="21"/>
                            <w:szCs w:val="21"/>
                          </w:rPr>
                        </w:pPr>
                        <w:r>
                          <w:rPr>
                            <w:rFonts w:ascii="Times New Roman"/>
                            <w:sz w:val="21"/>
                            <w:szCs w:val="21"/>
                          </w:rPr>
                          <w:t>封闭式循环水站</w:t>
                        </w:r>
                        <w:r>
                          <w:rPr>
                            <w:rFonts w:ascii="Times New Roman"/>
                            <w:sz w:val="21"/>
                            <w:szCs w:val="21"/>
                          </w:rPr>
                          <w:t>4400</w:t>
                        </w:r>
                      </w:p>
                    </w:txbxContent>
                  </v:textbox>
                </v:rect>
                <v:line id="直接连接符 235" o:spid="_x0000_s1355" style="position:absolute;visibility:visible;mso-wrap-style:square" from="9535,40218" to="9536,4102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">
                  <v:stroke dashstyle="dash"/>
                </v:line>
                <v:line id="直接连接符 254" o:spid="_x0000_s1356" style="position:absolute;flip:x;visibility:visible;mso-wrap-style:square" from="9152,41054" to="9500,4105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">
                  <v:stroke dashstyle="dash" endarrow="block"/>
                </v:line>
                <v:rect id="矩形 253" o:spid="_x0000_s1357" style="position:absolute;left:7957;top:40856;width:1194;height:4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">
                  <v:textbox>
                    <w:txbxContent>
                      <w:p w14:paraId="2143C500" w14:textId="77777777" w:rsidR="00B0005F" w:rsidRDefault="00000000">
                        <w:pPr>
                          <w:spacing w:line="280" w:lineRule="exact"/>
                          <w:jc w:val="center"/>
                          <w:rPr>
                            <w:rFonts w:ascii="Times New Roman"/>
                            <w:sz w:val="21"/>
                            <w:szCs w:val="21"/>
                          </w:rPr>
                        </w:pPr>
                        <w:r>
                          <w:rPr>
                            <w:rFonts w:ascii="Times New Roman"/>
                            <w:sz w:val="21"/>
                            <w:szCs w:val="21"/>
                          </w:rPr>
                          <w:t>冷却塔</w:t>
                        </w:r>
                      </w:p>
                    </w:txbxContent>
                  </v:textbox>
                </v:rect>
                <v:line id="直接连接符 252" o:spid="_x0000_s1358" style="position:absolute;flip:x;visibility:visible;mso-wrap-style:square" from="7172,41084" to="7922,4108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">
                  <v:stroke dashstyle="dash"/>
                </v:line>
                <v:line id="直接连接符 232" o:spid="_x0000_s1359" style="position:absolute;flip:y;visibility:visible;mso-wrap-style:square" from="7172,40253" to="7172,410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">
                  <v:stroke dashstyle="dash"/>
                </v:line>
                <v:line id="直接连接符 231" o:spid="_x0000_s1360" style="position:absolute;visibility:visible;mso-wrap-style:square" from="7158,40253" to="7578,4025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">
                  <v:stroke dashstyle="dash" endarrow="block"/>
                </v:line>
                <v:shape id="文本框 226" o:spid="_x0000_s1361" type="#_x0000_t202" style="position:absolute;left:9544;top:40622;width:1064;height:3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" filled="f" stroked="f">
                  <v:textbox inset="0,0,0,0">
                    <w:txbxContent>
                      <w:p w14:paraId="4017D827" w14:textId="77777777" w:rsidR="00B0005F" w:rsidRDefault="00000000">
                        <w:pPr>
                          <w:spacing w:line="260" w:lineRule="exact"/>
                          <w:rPr>
                            <w:rFonts w:ascii="Times New Roman" w:eastAsiaTheme="minorEastAsia"/>
                            <w:color w:val="000000"/>
                            <w:sz w:val="21"/>
                            <w:szCs w:val="21"/>
                          </w:rPr>
                        </w:pPr>
                        <w:r>
                          <w:rPr>
                            <w:rFonts w:ascii="Times New Roman"/>
                            <w:color w:val="000000"/>
                            <w:sz w:val="21"/>
                            <w:szCs w:val="21"/>
                          </w:rPr>
                          <w:t>3633</w:t>
                        </w:r>
                      </w:p>
                    </w:txbxContent>
                  </v:textbox>
                </v:shape>
                <v:shape id="文本框 244" o:spid="_x0000_s1362" type="#_x0000_t202" style="position:absolute;left:7158;top:40742;width:1064;height:3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" filled="f" stroked="f">
                  <v:textbox inset="0,0,0,0">
                    <w:txbxContent>
                      <w:p w14:paraId="0FD768FA" w14:textId="77777777" w:rsidR="00B0005F" w:rsidRDefault="00000000">
                        <w:pPr>
                          <w:spacing w:line="260" w:lineRule="exact"/>
                          <w:rPr>
                            <w:rFonts w:ascii="Times New Roman" w:eastAsiaTheme="minorEastAsia"/>
                            <w:color w:val="000000"/>
                            <w:sz w:val="21"/>
                            <w:szCs w:val="21"/>
                          </w:rPr>
                        </w:pPr>
                        <w:r>
                          <w:rPr>
                            <w:rFonts w:ascii="Times New Roman"/>
                            <w:color w:val="000000"/>
                            <w:sz w:val="21"/>
                            <w:szCs w:val="21"/>
                          </w:rPr>
                          <w:t>3583</w:t>
                        </w:r>
                      </w:p>
                    </w:txbxContent>
                  </v:textbox>
                </v:shape>
                <v:line id="直接连接符 203" o:spid="_x0000_s1363" style="position:absolute;flip:x;visibility:visible;mso-wrap-style:square" from="10481,39337" to="10497,417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"/>
                <v:line id="直接连接符 237" o:spid="_x0000_s1364" style="position:absolute;flip:x;visibility:visible;mso-wrap-style:square" from="12914,43005" to="12932,4366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">
                  <v:stroke endarrow="block"/>
                </v:line>
                <v:line id="直接连接符 227" o:spid="_x0000_s1365" style="position:absolute;visibility:visible;mso-wrap-style:square" from="5012,40037" to="7562,400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">
                  <v:stroke endarrow="block"/>
                </v:line>
                <v:shape id="文本框 222" o:spid="_x0000_s1366" type="#_x0000_t202" style="position:absolute;left:5126;top:39713;width:539;height:3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" filled="f" stroked="f">
                  <v:textbox inset="0,0,0,0">
                    <w:txbxContent>
                      <w:p w14:paraId="6B53F107" w14:textId="77777777" w:rsidR="00B0005F" w:rsidRDefault="00000000">
                        <w:pPr>
                          <w:spacing w:line="260" w:lineRule="exact"/>
                          <w:jc w:val="center"/>
                          <w:rPr>
                            <w:rFonts w:ascii="Times New Roman"/>
                            <w:color w:val="000000"/>
                            <w:sz w:val="21"/>
                            <w:szCs w:val="21"/>
                          </w:rPr>
                        </w:pPr>
                        <w:r>
                          <w:rPr>
                            <w:rFonts w:ascii="Times New Roman"/>
                            <w:color w:val="000000"/>
                            <w:sz w:val="21"/>
                            <w:szCs w:val="21"/>
                          </w:rPr>
                          <w:t>63</w:t>
                        </w:r>
                      </w:p>
                    </w:txbxContent>
                  </v:textbox>
                </v:shape>
                <v:line id="直接连接符 185" o:spid="_x0000_s1367" style="position:absolute;visibility:visible;mso-wrap-style:square" from="9271,42716" to="12151,4271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">
                  <v:stroke endarrow="block"/>
                </v:line>
                <v:shape id="任意多边形 233" o:spid="_x0000_s1368" style="position:absolute;left:10074;top:38386;width:360;height:285;visibility:visible;mso-wrap-style:square;v-text-anchor:top" coordsize="360,2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" path="m,285c36,213,73,142,106,135v33,-7,48,127,90,105c238,218,333,40,360,e" filled="f">
                  <v:stroke endarrow="block"/>
                  <v:path arrowok="t" textboxrect="0,0,360,285"/>
                </v:shape>
                <v:rect id="矩形 257" o:spid="_x0000_s1369" style="position:absolute;left:5735;top:39814;width:1195;height:4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">
                  <v:textbox>
                    <w:txbxContent>
                      <w:p w14:paraId="6DB03E11" w14:textId="77777777" w:rsidR="00B0005F" w:rsidRDefault="00000000">
                        <w:pPr>
                          <w:spacing w:line="280" w:lineRule="exact"/>
                          <w:jc w:val="center"/>
                          <w:rPr>
                            <w:rFonts w:ascii="Times New Roman" w:eastAsiaTheme="minorEastAsia"/>
                            <w:sz w:val="21"/>
                            <w:szCs w:val="21"/>
                          </w:rPr>
                        </w:pPr>
                        <w:r>
                          <w:rPr>
                            <w:rFonts w:ascii="Times New Roman"/>
                            <w:sz w:val="21"/>
                            <w:szCs w:val="21"/>
                          </w:rPr>
                          <w:t>软水装置</w:t>
                        </w:r>
                      </w:p>
                    </w:txbxContent>
                  </v:textbox>
                </v:rect>
                <v:shape id="文本框 258" o:spid="_x0000_s1370" type="#_x0000_t202" style="position:absolute;left:6817;top:39665;width:744;height:3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" filled="f" stroked="f">
                  <v:textbox inset="0,0,0,0">
                    <w:txbxContent>
                      <w:p w14:paraId="7E642FBF" w14:textId="77777777" w:rsidR="00B0005F" w:rsidRDefault="00000000">
                        <w:pPr>
                          <w:spacing w:line="260" w:lineRule="exact"/>
                          <w:jc w:val="center"/>
                          <w:rPr>
                            <w:rFonts w:ascii="Times New Roman"/>
                            <w:color w:val="000000"/>
                            <w:sz w:val="21"/>
                            <w:szCs w:val="21"/>
                          </w:rPr>
                        </w:pPr>
                        <w:r>
                          <w:rPr>
                            <w:rFonts w:ascii="Times New Roman"/>
                            <w:color w:val="000000"/>
                            <w:sz w:val="21"/>
                            <w:szCs w:val="21"/>
                          </w:rPr>
                          <w:t>50</w:t>
                        </w:r>
                      </w:p>
                    </w:txbxContent>
                  </v:textbox>
                </v:shape>
                <v:line id="直接连接符 259" o:spid="_x0000_s1371" style="position:absolute;flip:x y;visibility:visible;mso-wrap-style:square" from="9362,40199" to="9536,402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">
                  <v:stroke dashstyle="dash"/>
                </v:line>
                <v:shape id="文本框 261" o:spid="_x0000_s1372" type="#_x0000_t202" style="position:absolute;left:11561;top:38684;width:1794;height:5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">
                  <v:textbox inset="0,,0">
                    <w:txbxContent>
                      <w:p w14:paraId="452DDA7D" w14:textId="77777777" w:rsidR="00B0005F" w:rsidRDefault="00000000">
                        <w:pPr>
                          <w:jc w:val="center"/>
                          <w:rPr>
                            <w:rFonts w:ascii="Times New Roman" w:eastAsiaTheme="minorEastAsia"/>
                            <w:sz w:val="21"/>
                            <w:szCs w:val="21"/>
                          </w:rPr>
                        </w:pPr>
                        <w:r>
                          <w:rPr>
                            <w:rFonts w:ascii="Times New Roman"/>
                            <w:sz w:val="21"/>
                            <w:szCs w:val="21"/>
                          </w:rPr>
                          <w:t>脱水再生单元废水</w:t>
                        </w:r>
                      </w:p>
                    </w:txbxContent>
                  </v:textbox>
                </v:shape>
                <v:shape id="文本框 262" o:spid="_x0000_s1373" type="#_x0000_t202" style="position:absolute;left:12697;top:43651;width:1150;height:3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" filled="f" stroked="f">
                  <v:textbox inset="0,0,0,0">
                    <w:txbxContent>
                      <w:p w14:paraId="47E29FD2" w14:textId="77777777" w:rsidR="00B0005F" w:rsidRDefault="00000000">
                        <w:pPr>
                          <w:spacing w:line="260" w:lineRule="exact"/>
                          <w:rPr>
                            <w:rFonts w:ascii="Times New Roman" w:eastAsiaTheme="minorEastAsia"/>
                            <w:color w:val="000000"/>
                            <w:sz w:val="21"/>
                            <w:szCs w:val="21"/>
                          </w:rPr>
                        </w:pPr>
                        <w:r>
                          <w:rPr>
                            <w:rFonts w:ascii="Times New Roman"/>
                            <w:color w:val="000000"/>
                            <w:sz w:val="21"/>
                            <w:szCs w:val="21"/>
                          </w:rPr>
                          <w:t>园区管网</w:t>
                        </w:r>
                      </w:p>
                    </w:txbxContent>
                  </v:textbox>
                </v:shape>
                <v:shape id="文本框 263" o:spid="_x0000_s1374" type="#_x0000_t202" style="position:absolute;left:10470;top:37076;width:1150;height:3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" filled="f" stroked="f">
                  <v:textbox inset="0,0,0,0">
                    <w:txbxContent>
                      <w:p w14:paraId="4112260F" w14:textId="77777777" w:rsidR="00B0005F" w:rsidRDefault="00000000">
                        <w:pPr>
                          <w:spacing w:line="260" w:lineRule="exact"/>
                          <w:rPr>
                            <w:rFonts w:ascii="Times New Roman" w:eastAsiaTheme="minorEastAsia"/>
                            <w:color w:val="000000"/>
                            <w:sz w:val="21"/>
                            <w:szCs w:val="21"/>
                          </w:rPr>
                        </w:pPr>
                        <w:r>
                          <w:rPr>
                            <w:rFonts w:ascii="Times New Roman"/>
                            <w:color w:val="000000"/>
                            <w:sz w:val="21"/>
                            <w:szCs w:val="21"/>
                          </w:rPr>
                          <w:t>园区管网</w:t>
                        </w:r>
                      </w:p>
                    </w:txbxContent>
                  </v:textbox>
                </v:shape>
                <v:line id="直接连接符 264" o:spid="_x0000_s1375" style="position:absolute;flip:x;visibility:visible;mso-wrap-style:square" from="6343,40286" to="6346,411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">
                  <v:stroke dashstyle="dash" endarrow="block"/>
                </v:line>
                <v:shape id="文本框 265" o:spid="_x0000_s1376" type="#_x0000_t202" style="position:absolute;left:5756;top:41208;width:1150;height:3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" filled="f" stroked="f">
                  <v:textbox inset="0,0,0,0">
                    <w:txbxContent>
                      <w:p w14:paraId="459CDF61" w14:textId="77777777" w:rsidR="00B0005F" w:rsidRDefault="00000000">
                        <w:pPr>
                          <w:spacing w:line="260" w:lineRule="exact"/>
                          <w:rPr>
                            <w:rFonts w:ascii="Times New Roman" w:eastAsiaTheme="minorEastAsia"/>
                            <w:color w:val="000000"/>
                            <w:sz w:val="21"/>
                            <w:szCs w:val="21"/>
                          </w:rPr>
                        </w:pPr>
                        <w:r>
                          <w:rPr>
                            <w:rFonts w:ascii="Times New Roman"/>
                            <w:color w:val="000000"/>
                            <w:sz w:val="21"/>
                            <w:szCs w:val="21"/>
                          </w:rPr>
                          <w:t>园区管网</w:t>
                        </w:r>
                      </w:p>
                    </w:txbxContent>
                  </v:textbox>
                </v:shape>
                <v:shape id="文本框 266" o:spid="_x0000_s1377" type="#_x0000_t202" style="position:absolute;left:5788;top:40591;width:591;height:3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" filled="f" stroked="f">
                  <v:textbox inset="0,0,0,0">
                    <w:txbxContent>
                      <w:p w14:paraId="7967F56E" w14:textId="77777777" w:rsidR="00B0005F" w:rsidRDefault="00000000">
                        <w:pPr>
                          <w:spacing w:line="260" w:lineRule="exact"/>
                          <w:jc w:val="center"/>
                          <w:rPr>
                            <w:rFonts w:ascii="Times New Roman"/>
                            <w:color w:val="000000"/>
                            <w:sz w:val="21"/>
                            <w:szCs w:val="21"/>
                          </w:rPr>
                        </w:pPr>
                        <w:r>
                          <w:rPr>
                            <w:rFonts w:ascii="Times New Roman"/>
                            <w:color w:val="000000"/>
                            <w:sz w:val="21"/>
                            <w:szCs w:val="21"/>
                          </w:rPr>
                          <w:t>13</w:t>
                        </w:r>
                      </w:p>
                    </w:txbxContent>
                  </v:textbox>
                </v:shape>
                <v:shape id="直接箭头连接符 270" o:spid="_x0000_s1378" type="#_x0000_t32" style="position:absolute;left:10923;top:38983;width:668;height:17;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" strokecolor="black [3213]">
                  <v:stroke endarrow="open"/>
                </v:shape>
                <v:shape id="文本框 272" o:spid="_x0000_s1379" type="#_x0000_t202" style="position:absolute;left:10680;top:38599;width:1056;height:3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" filled="f" stroked="f">
                  <v:textbox inset="0,0,0,0">
                    <w:txbxContent>
                      <w:p w14:paraId="323AD9F8" w14:textId="77777777" w:rsidR="00B0005F" w:rsidRDefault="00000000">
                        <w:pPr>
                          <w:spacing w:line="260" w:lineRule="exact"/>
                          <w:jc w:val="center"/>
                          <w:rPr>
                            <w:rFonts w:ascii="Times New Roman" w:eastAsiaTheme="minorEastAsia"/>
                            <w:color w:val="000000"/>
                            <w:sz w:val="21"/>
                            <w:szCs w:val="21"/>
                          </w:rPr>
                        </w:pPr>
                        <w:r>
                          <w:rPr>
                            <w:rFonts w:ascii="Times New Roman"/>
                            <w:color w:val="000000"/>
                            <w:sz w:val="21"/>
                            <w:szCs w:val="21"/>
                          </w:rPr>
                          <w:t>0.036</w:t>
                        </w:r>
                      </w:p>
                    </w:txbxContent>
                  </v:textbox>
                </v:shape>
                <v:line id="直接连接符 273" o:spid="_x0000_s1380" style="position:absolute;flip:x;visibility:visible;mso-wrap-style:square" from="12353,41764" to="12362,426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">
                  <v:stroke endarrow="block"/>
                </v:line>
                <v:line id="直接连接符 274" o:spid="_x0000_s1381" style="position:absolute;flip:x;visibility:visible;mso-wrap-style:square" from="10481,41779" to="12392,417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"/>
                <v:shape id="文本框 275" o:spid="_x0000_s1382" type="#_x0000_t202" style="position:absolute;left:10572;top:40072;width:994;height:9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" filled="f" stroked="f">
                  <v:textbox inset="0,0,0,0">
                    <w:txbxContent>
                      <w:p w14:paraId="3C0DF8BF" w14:textId="77777777" w:rsidR="00B0005F" w:rsidRDefault="00000000">
                        <w:pPr>
                          <w:spacing w:line="260" w:lineRule="exact"/>
                          <w:jc w:val="center"/>
                          <w:rPr>
                            <w:rFonts w:ascii="Times New Roman" w:eastAsiaTheme="minorEastAsia"/>
                            <w:color w:val="000000"/>
                            <w:sz w:val="21"/>
                            <w:szCs w:val="21"/>
                          </w:rPr>
                        </w:pPr>
                        <w:r>
                          <w:rPr>
                            <w:rFonts w:ascii="Times New Roman"/>
                            <w:color w:val="000000"/>
                            <w:sz w:val="21"/>
                            <w:szCs w:val="21"/>
                          </w:rPr>
                          <w:t>进口过滤器分离水</w:t>
                        </w:r>
                        <w:r>
                          <w:rPr>
                            <w:rFonts w:ascii="Times New Roman"/>
                            <w:color w:val="000000"/>
                            <w:sz w:val="21"/>
                            <w:szCs w:val="21"/>
                          </w:rPr>
                          <w:t>0.0083</w:t>
                        </w:r>
                      </w:p>
                    </w:txbxContent>
                  </v:textbox>
                </v:shape>
              </v:group>
            </w:pict>
          </mc:Fallback>
        </mc:AlternateContent>
      </w:r>
      <w:r w:rsidRPr="008A2411">
        <w:rPr>
          <w:rFonts w:ascii="Times New Roman" w:eastAsia="宋体" w:hAnsi="Times New Roman"/>
          <w:b w:val="0"/>
          <w:color w:val="000000" w:themeColor="text1"/>
          <w:kern w:val="2"/>
        </w:rPr>
        <w:t>本项目水平衡如下图</w:t>
      </w:r>
      <w:r w:rsidRPr="008A2411">
        <w:rPr>
          <w:rFonts w:ascii="Times New Roman" w:eastAsia="宋体" w:hAnsi="Times New Roman"/>
          <w:b w:val="0"/>
          <w:color w:val="000000" w:themeColor="text1"/>
          <w:kern w:val="2"/>
        </w:rPr>
        <w:t>2-4.</w:t>
      </w:r>
    </w:p>
    <w:p w14:paraId="7F0C9CD6" w14:textId="77777777" w:rsidR="00B0005F" w:rsidRPr="008A2411" w:rsidRDefault="00B0005F">
      <w:pPr>
        <w:spacing w:line="480" w:lineRule="exact"/>
        <w:jc w:val="center"/>
        <w:rPr>
          <w:rFonts w:ascii="Times New Roman" w:eastAsia="黑体"/>
          <w:color w:val="000000" w:themeColor="text1"/>
          <w:szCs w:val="21"/>
        </w:rPr>
      </w:pPr>
    </w:p>
    <w:p w14:paraId="21E9BBB3" w14:textId="77777777" w:rsidR="00B0005F" w:rsidRPr="008A2411" w:rsidRDefault="00B0005F">
      <w:pPr>
        <w:pStyle w:val="TOC2"/>
        <w:rPr>
          <w:rFonts w:ascii="Times New Roman" w:eastAsia="黑体" w:hAnsi="Times New Roman" w:cs="Times New Roman"/>
          <w:color w:val="000000" w:themeColor="text1"/>
          <w:szCs w:val="21"/>
        </w:rPr>
      </w:pPr>
    </w:p>
    <w:p w14:paraId="1ED2828B" w14:textId="77777777" w:rsidR="00B0005F" w:rsidRPr="008A2411" w:rsidRDefault="00B0005F">
      <w:pPr>
        <w:rPr>
          <w:rFonts w:ascii="Times New Roman" w:eastAsia="黑体"/>
          <w:color w:val="000000" w:themeColor="text1"/>
          <w:szCs w:val="21"/>
        </w:rPr>
      </w:pPr>
    </w:p>
    <w:p w14:paraId="0CE6D109" w14:textId="77777777" w:rsidR="00B0005F" w:rsidRPr="008A2411" w:rsidRDefault="00B0005F">
      <w:pPr>
        <w:pStyle w:val="TOC2"/>
        <w:rPr>
          <w:rFonts w:ascii="Times New Roman" w:eastAsia="黑体" w:hAnsi="Times New Roman" w:cs="Times New Roman"/>
          <w:color w:val="000000" w:themeColor="text1"/>
          <w:szCs w:val="21"/>
        </w:rPr>
      </w:pPr>
    </w:p>
    <w:p w14:paraId="0DEE0523" w14:textId="77777777" w:rsidR="00B0005F" w:rsidRPr="008A2411" w:rsidRDefault="00B0005F">
      <w:pPr>
        <w:rPr>
          <w:rFonts w:ascii="Times New Roman" w:eastAsia="黑体"/>
          <w:color w:val="000000" w:themeColor="text1"/>
          <w:szCs w:val="21"/>
        </w:rPr>
      </w:pPr>
    </w:p>
    <w:p w14:paraId="7F47D266" w14:textId="77777777" w:rsidR="00B0005F" w:rsidRPr="008A2411" w:rsidRDefault="00B0005F">
      <w:pPr>
        <w:pStyle w:val="TOC2"/>
        <w:rPr>
          <w:rFonts w:ascii="Times New Roman" w:eastAsia="黑体" w:hAnsi="Times New Roman" w:cs="Times New Roman"/>
          <w:color w:val="000000" w:themeColor="text1"/>
          <w:szCs w:val="21"/>
        </w:rPr>
      </w:pPr>
    </w:p>
    <w:p w14:paraId="015F8639" w14:textId="77777777" w:rsidR="00B0005F" w:rsidRPr="008A2411" w:rsidRDefault="00B0005F">
      <w:pPr>
        <w:rPr>
          <w:rFonts w:ascii="Times New Roman" w:eastAsia="黑体"/>
          <w:color w:val="000000" w:themeColor="text1"/>
          <w:szCs w:val="21"/>
        </w:rPr>
      </w:pPr>
    </w:p>
    <w:p w14:paraId="48ACF33A" w14:textId="77777777" w:rsidR="00B0005F" w:rsidRPr="008A2411" w:rsidRDefault="00B0005F">
      <w:pPr>
        <w:pStyle w:val="TOC2"/>
        <w:rPr>
          <w:rFonts w:ascii="Times New Roman" w:eastAsia="黑体" w:hAnsi="Times New Roman" w:cs="Times New Roman"/>
          <w:color w:val="000000" w:themeColor="text1"/>
          <w:szCs w:val="21"/>
        </w:rPr>
      </w:pPr>
    </w:p>
    <w:p w14:paraId="2DFBCC98" w14:textId="77777777" w:rsidR="00B0005F" w:rsidRPr="008A2411" w:rsidRDefault="00B0005F">
      <w:pPr>
        <w:rPr>
          <w:rFonts w:ascii="Times New Roman" w:eastAsia="黑体"/>
          <w:color w:val="000000" w:themeColor="text1"/>
          <w:szCs w:val="21"/>
        </w:rPr>
      </w:pPr>
    </w:p>
    <w:p w14:paraId="2FE49DF7" w14:textId="77777777" w:rsidR="00B0005F" w:rsidRPr="008A2411" w:rsidRDefault="00B0005F">
      <w:pPr>
        <w:pStyle w:val="TOC2"/>
        <w:rPr>
          <w:rFonts w:ascii="Times New Roman" w:eastAsia="黑体" w:hAnsi="Times New Roman" w:cs="Times New Roman"/>
          <w:color w:val="000000" w:themeColor="text1"/>
          <w:szCs w:val="21"/>
        </w:rPr>
      </w:pPr>
    </w:p>
    <w:p w14:paraId="708CCFCA" w14:textId="77777777" w:rsidR="00B0005F" w:rsidRPr="008A2411" w:rsidRDefault="00B0005F">
      <w:pPr>
        <w:rPr>
          <w:rFonts w:ascii="Times New Roman" w:eastAsia="黑体"/>
          <w:color w:val="000000" w:themeColor="text1"/>
          <w:szCs w:val="21"/>
        </w:rPr>
      </w:pPr>
    </w:p>
    <w:p w14:paraId="650C6806" w14:textId="77777777" w:rsidR="00B0005F" w:rsidRPr="008A2411" w:rsidRDefault="00B0005F">
      <w:pPr>
        <w:pStyle w:val="TOC2"/>
        <w:rPr>
          <w:rFonts w:ascii="Times New Roman" w:eastAsia="黑体" w:hAnsi="Times New Roman" w:cs="Times New Roman"/>
          <w:color w:val="000000" w:themeColor="text1"/>
          <w:szCs w:val="21"/>
        </w:rPr>
      </w:pPr>
    </w:p>
    <w:p w14:paraId="27FFA0E6" w14:textId="77777777" w:rsidR="00B0005F" w:rsidRPr="008A2411" w:rsidRDefault="00B0005F">
      <w:pPr>
        <w:rPr>
          <w:rFonts w:ascii="Times New Roman" w:eastAsia="黑体"/>
          <w:color w:val="000000" w:themeColor="text1"/>
          <w:szCs w:val="21"/>
        </w:rPr>
      </w:pPr>
    </w:p>
    <w:p w14:paraId="14CC4E8E" w14:textId="77777777" w:rsidR="00B0005F" w:rsidRPr="008A2411" w:rsidRDefault="00B0005F">
      <w:pPr>
        <w:pStyle w:val="TOC2"/>
        <w:rPr>
          <w:rFonts w:ascii="Times New Roman" w:eastAsia="黑体" w:hAnsi="Times New Roman" w:cs="Times New Roman"/>
          <w:color w:val="000000" w:themeColor="text1"/>
          <w:szCs w:val="21"/>
        </w:rPr>
      </w:pPr>
    </w:p>
    <w:p w14:paraId="7CEE5D7F" w14:textId="77777777" w:rsidR="00B0005F" w:rsidRPr="008A2411" w:rsidRDefault="00B0005F">
      <w:pPr>
        <w:rPr>
          <w:rFonts w:ascii="Times New Roman" w:eastAsia="黑体"/>
          <w:color w:val="000000" w:themeColor="text1"/>
          <w:szCs w:val="21"/>
        </w:rPr>
      </w:pPr>
    </w:p>
    <w:p w14:paraId="5F85CF04" w14:textId="77777777" w:rsidR="00B0005F" w:rsidRPr="008A2411" w:rsidRDefault="00B0005F">
      <w:pPr>
        <w:pStyle w:val="TOC2"/>
        <w:rPr>
          <w:rFonts w:ascii="Times New Roman" w:eastAsia="黑体" w:hAnsi="Times New Roman" w:cs="Times New Roman"/>
          <w:color w:val="000000" w:themeColor="text1"/>
          <w:szCs w:val="21"/>
        </w:rPr>
      </w:pPr>
    </w:p>
    <w:p w14:paraId="2B63AC4A" w14:textId="77777777" w:rsidR="00B0005F" w:rsidRPr="008A2411" w:rsidRDefault="00B0005F">
      <w:pPr>
        <w:rPr>
          <w:rFonts w:ascii="Times New Roman" w:eastAsia="黑体"/>
          <w:color w:val="000000" w:themeColor="text1"/>
          <w:szCs w:val="21"/>
        </w:rPr>
      </w:pPr>
    </w:p>
    <w:p w14:paraId="29D55293" w14:textId="77777777" w:rsidR="00B0005F" w:rsidRPr="008A2411" w:rsidRDefault="00B0005F">
      <w:pPr>
        <w:pStyle w:val="TOC2"/>
        <w:rPr>
          <w:rFonts w:ascii="Times New Roman" w:eastAsia="黑体" w:hAnsi="Times New Roman" w:cs="Times New Roman"/>
          <w:color w:val="000000" w:themeColor="text1"/>
          <w:szCs w:val="21"/>
        </w:rPr>
      </w:pPr>
    </w:p>
    <w:p w14:paraId="77CD9403" w14:textId="77777777" w:rsidR="00B0005F" w:rsidRPr="008A2411" w:rsidRDefault="00B0005F">
      <w:pPr>
        <w:rPr>
          <w:rFonts w:ascii="Times New Roman" w:eastAsia="黑体"/>
          <w:color w:val="000000" w:themeColor="text1"/>
          <w:szCs w:val="21"/>
        </w:rPr>
      </w:pPr>
    </w:p>
    <w:p w14:paraId="24B4234A" w14:textId="77777777" w:rsidR="00B0005F" w:rsidRPr="008A2411" w:rsidRDefault="00B0005F">
      <w:pPr>
        <w:pStyle w:val="TOC2"/>
        <w:rPr>
          <w:rFonts w:ascii="Times New Roman" w:eastAsia="黑体" w:hAnsi="Times New Roman" w:cs="Times New Roman"/>
          <w:color w:val="000000" w:themeColor="text1"/>
          <w:szCs w:val="21"/>
        </w:rPr>
      </w:pPr>
    </w:p>
    <w:p w14:paraId="2DBA8C73" w14:textId="77777777" w:rsidR="00B0005F" w:rsidRPr="008A2411" w:rsidRDefault="00B0005F">
      <w:pPr>
        <w:rPr>
          <w:rFonts w:ascii="Times New Roman" w:eastAsia="黑体"/>
          <w:color w:val="000000" w:themeColor="text1"/>
          <w:szCs w:val="21"/>
        </w:rPr>
      </w:pPr>
    </w:p>
    <w:p w14:paraId="68AAE4F4" w14:textId="77777777" w:rsidR="00B0005F" w:rsidRPr="008A2411" w:rsidRDefault="00B0005F">
      <w:pPr>
        <w:pStyle w:val="TOC2"/>
        <w:rPr>
          <w:rFonts w:ascii="Times New Roman" w:eastAsia="黑体" w:hAnsi="Times New Roman" w:cs="Times New Roman"/>
          <w:color w:val="000000" w:themeColor="text1"/>
          <w:szCs w:val="21"/>
        </w:rPr>
      </w:pPr>
    </w:p>
    <w:p w14:paraId="7F1E41EC" w14:textId="77777777" w:rsidR="00B0005F" w:rsidRPr="008A2411" w:rsidRDefault="00B0005F">
      <w:pPr>
        <w:rPr>
          <w:rFonts w:ascii="Times New Roman" w:eastAsia="黑体"/>
          <w:color w:val="000000" w:themeColor="text1"/>
          <w:szCs w:val="21"/>
        </w:rPr>
      </w:pPr>
    </w:p>
    <w:p w14:paraId="46D40068" w14:textId="77777777" w:rsidR="00B0005F" w:rsidRPr="008A2411" w:rsidRDefault="00B0005F">
      <w:pPr>
        <w:pStyle w:val="TOC2"/>
        <w:rPr>
          <w:rFonts w:ascii="Times New Roman" w:eastAsia="黑体" w:hAnsi="Times New Roman" w:cs="Times New Roman"/>
          <w:color w:val="000000" w:themeColor="text1"/>
          <w:szCs w:val="21"/>
        </w:rPr>
      </w:pPr>
    </w:p>
    <w:p w14:paraId="4E20716B" w14:textId="77777777" w:rsidR="00B0005F" w:rsidRPr="008A2411" w:rsidRDefault="00B0005F">
      <w:pPr>
        <w:rPr>
          <w:rFonts w:ascii="Times New Roman"/>
          <w:color w:val="000000" w:themeColor="text1"/>
        </w:rPr>
      </w:pPr>
    </w:p>
    <w:p w14:paraId="4DABF554" w14:textId="77777777" w:rsidR="00B0005F" w:rsidRPr="008A2411" w:rsidRDefault="00B0005F">
      <w:pPr>
        <w:spacing w:line="480" w:lineRule="exact"/>
        <w:jc w:val="center"/>
        <w:rPr>
          <w:rFonts w:ascii="Times New Roman" w:eastAsia="黑体"/>
          <w:color w:val="000000" w:themeColor="text1"/>
          <w:szCs w:val="21"/>
        </w:rPr>
      </w:pPr>
    </w:p>
    <w:p w14:paraId="58EF8117" w14:textId="77777777" w:rsidR="00B0005F" w:rsidRPr="008A2411" w:rsidRDefault="00000000">
      <w:pPr>
        <w:jc w:val="center"/>
        <w:rPr>
          <w:rFonts w:ascii="Times New Roman" w:eastAsia="黑体"/>
          <w:color w:val="000000" w:themeColor="text1"/>
          <w:szCs w:val="21"/>
        </w:rPr>
      </w:pPr>
      <w:r w:rsidRPr="008A2411">
        <w:rPr>
          <w:rFonts w:ascii="Times New Roman" w:eastAsia="黑体"/>
          <w:color w:val="000000" w:themeColor="text1"/>
          <w:szCs w:val="21"/>
        </w:rPr>
        <w:t>图</w:t>
      </w:r>
      <w:r w:rsidRPr="008A2411">
        <w:rPr>
          <w:rFonts w:ascii="Times New Roman" w:eastAsia="黑体"/>
          <w:color w:val="000000" w:themeColor="text1"/>
          <w:szCs w:val="21"/>
        </w:rPr>
        <w:t xml:space="preserve">2-4  </w:t>
      </w:r>
      <w:r w:rsidRPr="008A2411">
        <w:rPr>
          <w:rFonts w:ascii="Times New Roman" w:eastAsia="黑体"/>
          <w:color w:val="000000" w:themeColor="text1"/>
          <w:szCs w:val="21"/>
        </w:rPr>
        <w:t>项目水量平衡图</w:t>
      </w:r>
      <w:r w:rsidRPr="008A2411">
        <w:rPr>
          <w:rFonts w:ascii="Times New Roman" w:eastAsia="黑体"/>
          <w:color w:val="000000" w:themeColor="text1"/>
          <w:szCs w:val="21"/>
        </w:rPr>
        <w:t xml:space="preserve">      </w:t>
      </w:r>
      <w:r w:rsidRPr="008A2411">
        <w:rPr>
          <w:rFonts w:ascii="Times New Roman" w:eastAsia="黑体"/>
          <w:color w:val="000000" w:themeColor="text1"/>
          <w:szCs w:val="21"/>
        </w:rPr>
        <w:t>单位：</w:t>
      </w:r>
      <w:r w:rsidRPr="008A2411">
        <w:rPr>
          <w:rFonts w:ascii="Times New Roman" w:eastAsia="黑体"/>
          <w:color w:val="000000" w:themeColor="text1"/>
          <w:szCs w:val="21"/>
        </w:rPr>
        <w:t>m</w:t>
      </w:r>
      <w:r w:rsidRPr="008A2411">
        <w:rPr>
          <w:rFonts w:ascii="Times New Roman" w:eastAsia="黑体"/>
          <w:color w:val="000000" w:themeColor="text1"/>
          <w:szCs w:val="21"/>
          <w:vertAlign w:val="superscript"/>
        </w:rPr>
        <w:t>3</w:t>
      </w:r>
      <w:r w:rsidRPr="008A2411">
        <w:rPr>
          <w:rFonts w:ascii="Times New Roman" w:eastAsia="黑体"/>
          <w:color w:val="000000" w:themeColor="text1"/>
          <w:szCs w:val="21"/>
        </w:rPr>
        <w:t>/h</w:t>
      </w:r>
    </w:p>
    <w:p w14:paraId="77382692" w14:textId="77777777" w:rsidR="00B0005F" w:rsidRPr="008A2411" w:rsidRDefault="00B0005F">
      <w:pPr>
        <w:pStyle w:val="TOC2"/>
        <w:rPr>
          <w:rFonts w:ascii="Times New Roman" w:hAnsi="Times New Roman" w:cs="Times New Roman"/>
          <w:color w:val="000000" w:themeColor="text1"/>
        </w:rPr>
      </w:pPr>
    </w:p>
    <w:p w14:paraId="402C995D" w14:textId="77777777" w:rsidR="00B0005F" w:rsidRPr="008A2411" w:rsidRDefault="00000000">
      <w:pPr>
        <w:pStyle w:val="WJ3"/>
        <w:spacing w:line="360" w:lineRule="auto"/>
        <w:outlineLvl w:val="9"/>
        <w:rPr>
          <w:rFonts w:ascii="Times New Roman" w:hAnsi="Times New Roman"/>
          <w:color w:val="000000" w:themeColor="text1"/>
        </w:rPr>
      </w:pPr>
      <w:r w:rsidRPr="008A2411">
        <w:rPr>
          <w:rFonts w:ascii="Times New Roman" w:hAnsi="Times New Roman"/>
          <w:color w:val="000000" w:themeColor="text1"/>
        </w:rPr>
        <w:t>7</w:t>
      </w:r>
      <w:r w:rsidRPr="008A2411">
        <w:rPr>
          <w:rFonts w:ascii="Times New Roman" w:hAnsi="Times New Roman"/>
          <w:color w:val="000000" w:themeColor="text1"/>
        </w:rPr>
        <w:t>、项目产排污分析</w:t>
      </w:r>
    </w:p>
    <w:p w14:paraId="0A045509" w14:textId="77777777" w:rsidR="00B0005F" w:rsidRPr="008A2411" w:rsidRDefault="00000000">
      <w:pPr>
        <w:pStyle w:val="WJ3"/>
        <w:spacing w:line="360" w:lineRule="auto"/>
        <w:outlineLvl w:val="9"/>
        <w:rPr>
          <w:rFonts w:ascii="Times New Roman" w:hAnsi="Times New Roman"/>
          <w:color w:val="000000" w:themeColor="text1"/>
        </w:rPr>
      </w:pPr>
      <w:r w:rsidRPr="008A2411">
        <w:rPr>
          <w:rFonts w:ascii="Times New Roman" w:hAnsi="Times New Roman"/>
          <w:color w:val="000000" w:themeColor="text1"/>
        </w:rPr>
        <w:lastRenderedPageBreak/>
        <w:t>（</w:t>
      </w:r>
      <w:r w:rsidRPr="008A2411">
        <w:rPr>
          <w:rFonts w:ascii="Times New Roman" w:hAnsi="Times New Roman"/>
          <w:color w:val="000000" w:themeColor="text1"/>
        </w:rPr>
        <w:t>1</w:t>
      </w:r>
      <w:r w:rsidRPr="008A2411">
        <w:rPr>
          <w:rFonts w:ascii="Times New Roman" w:hAnsi="Times New Roman"/>
          <w:color w:val="000000" w:themeColor="text1"/>
        </w:rPr>
        <w:t>）废水</w:t>
      </w:r>
    </w:p>
    <w:p w14:paraId="633F0259" w14:textId="77777777" w:rsidR="00B0005F" w:rsidRPr="008A2411" w:rsidRDefault="00000000">
      <w:pPr>
        <w:autoSpaceDE w:val="0"/>
        <w:autoSpaceDN w:val="0"/>
        <w:adjustRightInd w:val="0"/>
        <w:snapToGrid w:val="0"/>
        <w:spacing w:line="360" w:lineRule="auto"/>
        <w:ind w:firstLine="482"/>
        <w:rPr>
          <w:rFonts w:ascii="Times New Roman"/>
          <w:color w:val="000000" w:themeColor="text1"/>
          <w:szCs w:val="24"/>
        </w:rPr>
      </w:pPr>
      <w:r w:rsidRPr="008A2411">
        <w:rPr>
          <w:rFonts w:ascii="Times New Roman"/>
          <w:color w:val="000000" w:themeColor="text1"/>
          <w:szCs w:val="24"/>
        </w:rPr>
        <w:t>本项目</w:t>
      </w:r>
      <w:r w:rsidRPr="008A2411">
        <w:rPr>
          <w:rFonts w:ascii="Times New Roman"/>
          <w:color w:val="000000" w:themeColor="text1"/>
          <w:kern w:val="2"/>
          <w:szCs w:val="24"/>
          <w:lang w:bidi="en-US"/>
        </w:rPr>
        <w:t>实施雨污分流、清污分流，地坪不用水冲洗，无地坪冲洗废水产生。</w:t>
      </w:r>
      <w:r w:rsidRPr="008A2411">
        <w:rPr>
          <w:rFonts w:ascii="Times New Roman"/>
          <w:color w:val="000000" w:themeColor="text1"/>
          <w:szCs w:val="24"/>
        </w:rPr>
        <w:t>营运期污水主要包括生产废水和生活污水。其中生产废水主要有进口过滤分离器废水（</w:t>
      </w:r>
      <w:r w:rsidRPr="008A2411">
        <w:rPr>
          <w:rFonts w:ascii="Times New Roman"/>
          <w:color w:val="000000" w:themeColor="text1"/>
          <w:szCs w:val="24"/>
        </w:rPr>
        <w:t>W</w:t>
      </w:r>
      <w:r w:rsidRPr="008A2411">
        <w:rPr>
          <w:rFonts w:ascii="Times New Roman"/>
          <w:color w:val="000000" w:themeColor="text1"/>
          <w:szCs w:val="24"/>
          <w:vertAlign w:val="subscript"/>
        </w:rPr>
        <w:t>1</w:t>
      </w:r>
      <w:r w:rsidRPr="008A2411">
        <w:rPr>
          <w:rFonts w:ascii="Times New Roman"/>
          <w:color w:val="000000" w:themeColor="text1"/>
          <w:szCs w:val="24"/>
        </w:rPr>
        <w:t>）、冷却器产生的凝液（</w:t>
      </w:r>
      <w:r w:rsidRPr="008A2411">
        <w:rPr>
          <w:rFonts w:ascii="Times New Roman"/>
          <w:color w:val="000000" w:themeColor="text1"/>
          <w:szCs w:val="24"/>
        </w:rPr>
        <w:t>W</w:t>
      </w:r>
      <w:r w:rsidRPr="008A2411">
        <w:rPr>
          <w:rFonts w:ascii="Times New Roman"/>
          <w:color w:val="000000" w:themeColor="text1"/>
          <w:szCs w:val="24"/>
          <w:vertAlign w:val="subscript"/>
        </w:rPr>
        <w:t>2</w:t>
      </w:r>
      <w:r w:rsidRPr="008A2411">
        <w:rPr>
          <w:rFonts w:ascii="Times New Roman"/>
          <w:color w:val="000000" w:themeColor="text1"/>
          <w:szCs w:val="24"/>
        </w:rPr>
        <w:t>）、脱盐间排水（</w:t>
      </w:r>
      <w:r w:rsidRPr="008A2411">
        <w:rPr>
          <w:rFonts w:ascii="Times New Roman"/>
          <w:color w:val="000000" w:themeColor="text1"/>
          <w:szCs w:val="24"/>
        </w:rPr>
        <w:t>W</w:t>
      </w:r>
      <w:r w:rsidRPr="008A2411">
        <w:rPr>
          <w:rFonts w:ascii="Times New Roman"/>
          <w:color w:val="000000" w:themeColor="text1"/>
          <w:szCs w:val="24"/>
          <w:vertAlign w:val="subscript"/>
        </w:rPr>
        <w:t>3</w:t>
      </w:r>
      <w:r w:rsidRPr="008A2411">
        <w:rPr>
          <w:rFonts w:ascii="Times New Roman"/>
          <w:color w:val="000000" w:themeColor="text1"/>
          <w:szCs w:val="24"/>
        </w:rPr>
        <w:t>）及软化水装置排水（</w:t>
      </w:r>
      <w:r w:rsidRPr="008A2411">
        <w:rPr>
          <w:rFonts w:ascii="Times New Roman"/>
          <w:color w:val="000000" w:themeColor="text1"/>
          <w:szCs w:val="24"/>
        </w:rPr>
        <w:t>W</w:t>
      </w:r>
      <w:r w:rsidRPr="008A2411">
        <w:rPr>
          <w:rFonts w:ascii="Times New Roman"/>
          <w:color w:val="000000" w:themeColor="text1"/>
          <w:szCs w:val="24"/>
          <w:vertAlign w:val="subscript"/>
        </w:rPr>
        <w:t>4</w:t>
      </w:r>
      <w:r w:rsidRPr="008A2411">
        <w:rPr>
          <w:rFonts w:ascii="Times New Roman"/>
          <w:color w:val="000000" w:themeColor="text1"/>
          <w:szCs w:val="24"/>
        </w:rPr>
        <w:t>）等。生活污水（</w:t>
      </w:r>
      <w:r w:rsidRPr="008A2411">
        <w:rPr>
          <w:rFonts w:ascii="Times New Roman"/>
          <w:color w:val="000000" w:themeColor="text1"/>
          <w:szCs w:val="24"/>
        </w:rPr>
        <w:t>W</w:t>
      </w:r>
      <w:r w:rsidRPr="008A2411">
        <w:rPr>
          <w:rFonts w:ascii="Times New Roman"/>
          <w:color w:val="000000" w:themeColor="text1"/>
          <w:szCs w:val="24"/>
          <w:vertAlign w:val="subscript"/>
        </w:rPr>
        <w:t>5</w:t>
      </w:r>
      <w:r w:rsidRPr="008A2411">
        <w:rPr>
          <w:rFonts w:ascii="Times New Roman"/>
          <w:color w:val="000000" w:themeColor="text1"/>
          <w:szCs w:val="24"/>
        </w:rPr>
        <w:t>）主要是值守人员产生的生活污水。此外，还有初降雨水。</w:t>
      </w:r>
    </w:p>
    <w:p w14:paraId="034A067F" w14:textId="77777777" w:rsidR="00B0005F" w:rsidRPr="008A2411" w:rsidRDefault="00000000">
      <w:pPr>
        <w:pStyle w:val="WJ"/>
        <w:adjustRightInd w:val="0"/>
        <w:snapToGrid w:val="0"/>
        <w:spacing w:line="360" w:lineRule="auto"/>
        <w:ind w:firstLine="482"/>
        <w:rPr>
          <w:rFonts w:ascii="Times New Roman" w:hAnsi="Times New Roman"/>
          <w:color w:val="000000" w:themeColor="text1"/>
        </w:rPr>
      </w:pPr>
      <w:r w:rsidRPr="008A2411">
        <w:rPr>
          <w:rFonts w:ascii="Times New Roman" w:hAnsi="Times New Roman"/>
          <w:b/>
          <w:bCs/>
          <w:color w:val="000000" w:themeColor="text1"/>
        </w:rPr>
        <w:t>进口过滤分离器废水（</w:t>
      </w:r>
      <w:r w:rsidRPr="008A2411">
        <w:rPr>
          <w:rFonts w:ascii="Times New Roman" w:hAnsi="Times New Roman"/>
          <w:b/>
          <w:bCs/>
          <w:color w:val="000000" w:themeColor="text1"/>
        </w:rPr>
        <w:t>W</w:t>
      </w:r>
      <w:r w:rsidRPr="008A2411">
        <w:rPr>
          <w:rFonts w:ascii="Times New Roman" w:hAnsi="Times New Roman"/>
          <w:b/>
          <w:bCs/>
          <w:color w:val="000000" w:themeColor="text1"/>
          <w:vertAlign w:val="subscript"/>
        </w:rPr>
        <w:t>1</w:t>
      </w:r>
      <w:r w:rsidRPr="008A2411">
        <w:rPr>
          <w:rFonts w:ascii="Times New Roman" w:hAnsi="Times New Roman"/>
          <w:b/>
          <w:bCs/>
          <w:color w:val="000000" w:themeColor="text1"/>
        </w:rPr>
        <w:t>）：</w:t>
      </w:r>
      <w:r w:rsidRPr="008A2411">
        <w:rPr>
          <w:rFonts w:ascii="Times New Roman" w:hAnsi="Times New Roman"/>
          <w:color w:val="000000" w:themeColor="text1"/>
        </w:rPr>
        <w:t>原料天然气在进口过滤分离过程中将产生少量的过滤分离废水，结合一期的生产经验，该废水量约为</w:t>
      </w:r>
      <w:r w:rsidRPr="008A2411">
        <w:rPr>
          <w:rFonts w:ascii="Times New Roman" w:hAnsi="Times New Roman"/>
          <w:color w:val="000000" w:themeColor="text1"/>
        </w:rPr>
        <w:t>0.2m</w:t>
      </w:r>
      <w:r w:rsidRPr="008A2411">
        <w:rPr>
          <w:rFonts w:ascii="Times New Roman" w:hAnsi="Times New Roman"/>
          <w:color w:val="000000" w:themeColor="text1"/>
          <w:vertAlign w:val="superscript"/>
        </w:rPr>
        <w:t>3</w:t>
      </w:r>
      <w:r w:rsidRPr="008A2411">
        <w:rPr>
          <w:rFonts w:ascii="Times New Roman" w:hAnsi="Times New Roman"/>
          <w:color w:val="000000" w:themeColor="text1"/>
        </w:rPr>
        <w:t>/d</w:t>
      </w:r>
      <w:r w:rsidRPr="008A2411">
        <w:rPr>
          <w:rFonts w:ascii="Times New Roman" w:hAnsi="Times New Roman"/>
          <w:color w:val="000000" w:themeColor="text1"/>
        </w:rPr>
        <w:t>，主要污染物为</w:t>
      </w:r>
      <w:r w:rsidRPr="008A2411">
        <w:rPr>
          <w:rFonts w:ascii="Times New Roman" w:hAnsi="Times New Roman"/>
          <w:color w:val="000000" w:themeColor="text1"/>
        </w:rPr>
        <w:t>SS</w:t>
      </w:r>
      <w:r w:rsidRPr="008A2411">
        <w:rPr>
          <w:rFonts w:ascii="Times New Roman" w:hAnsi="Times New Roman"/>
          <w:color w:val="000000" w:themeColor="text1"/>
        </w:rPr>
        <w:t>、石油类、</w:t>
      </w:r>
      <w:r w:rsidRPr="008A2411">
        <w:rPr>
          <w:rFonts w:ascii="Times New Roman" w:hAnsi="Times New Roman"/>
          <w:color w:val="000000" w:themeColor="text1"/>
        </w:rPr>
        <w:t>COD</w:t>
      </w:r>
      <w:r w:rsidRPr="008A2411">
        <w:rPr>
          <w:rFonts w:ascii="Times New Roman" w:hAnsi="Times New Roman"/>
          <w:color w:val="000000" w:themeColor="text1"/>
        </w:rPr>
        <w:t>等，</w:t>
      </w:r>
      <w:proofErr w:type="gramStart"/>
      <w:r w:rsidRPr="008A2411">
        <w:rPr>
          <w:rFonts w:ascii="Times New Roman" w:hAnsi="Times New Roman"/>
          <w:color w:val="000000" w:themeColor="text1"/>
        </w:rPr>
        <w:t>由废水罐</w:t>
      </w:r>
      <w:proofErr w:type="gramEnd"/>
      <w:r w:rsidRPr="008A2411">
        <w:rPr>
          <w:rFonts w:ascii="Times New Roman" w:hAnsi="Times New Roman"/>
          <w:color w:val="000000" w:themeColor="text1"/>
        </w:rPr>
        <w:t>收集，</w:t>
      </w:r>
      <w:proofErr w:type="gramStart"/>
      <w:r w:rsidRPr="008A2411">
        <w:rPr>
          <w:rFonts w:ascii="Times New Roman" w:hAnsi="Times New Roman"/>
          <w:color w:val="000000" w:themeColor="text1"/>
        </w:rPr>
        <w:t>并排入污厂区</w:t>
      </w:r>
      <w:proofErr w:type="gramEnd"/>
      <w:r w:rsidRPr="008A2411">
        <w:rPr>
          <w:rFonts w:ascii="Times New Roman" w:hAnsi="Times New Roman"/>
          <w:color w:val="000000" w:themeColor="text1"/>
        </w:rPr>
        <w:t>污水处理站，通过</w:t>
      </w:r>
      <w:r w:rsidRPr="008A2411">
        <w:rPr>
          <w:rFonts w:ascii="Times New Roman" w:hAnsi="Times New Roman" w:hint="eastAsia"/>
          <w:color w:val="000000" w:themeColor="text1"/>
        </w:rPr>
        <w:t>“</w:t>
      </w:r>
      <w:r w:rsidRPr="008A2411">
        <w:rPr>
          <w:rFonts w:ascii="Times New Roman" w:hAnsi="Times New Roman"/>
          <w:color w:val="000000" w:themeColor="text1"/>
        </w:rPr>
        <w:t>生化处理</w:t>
      </w:r>
      <w:r w:rsidRPr="008A2411">
        <w:rPr>
          <w:rFonts w:ascii="Times New Roman" w:hAnsi="Times New Roman"/>
          <w:color w:val="000000" w:themeColor="text1"/>
        </w:rPr>
        <w:t>+TF</w:t>
      </w:r>
      <w:r w:rsidRPr="008A2411">
        <w:rPr>
          <w:rFonts w:ascii="Times New Roman" w:hAnsi="Times New Roman"/>
          <w:color w:val="000000" w:themeColor="text1"/>
        </w:rPr>
        <w:t>过滤</w:t>
      </w:r>
      <w:r w:rsidRPr="008A2411">
        <w:rPr>
          <w:rFonts w:ascii="Times New Roman" w:hAnsi="Times New Roman" w:hint="eastAsia"/>
          <w:color w:val="000000" w:themeColor="text1"/>
        </w:rPr>
        <w:t>”</w:t>
      </w:r>
      <w:r w:rsidRPr="008A2411">
        <w:rPr>
          <w:rFonts w:ascii="Times New Roman" w:hAnsi="Times New Roman"/>
          <w:color w:val="000000" w:themeColor="text1"/>
        </w:rPr>
        <w:t>工艺处理后，达到《污水综合排放标准》（</w:t>
      </w:r>
      <w:r w:rsidRPr="008A2411">
        <w:rPr>
          <w:rFonts w:ascii="Times New Roman" w:hAnsi="Times New Roman"/>
          <w:color w:val="000000" w:themeColor="text1"/>
        </w:rPr>
        <w:t>GB8978-1996</w:t>
      </w:r>
      <w:r w:rsidRPr="008A2411">
        <w:rPr>
          <w:rFonts w:ascii="Times New Roman" w:hAnsi="Times New Roman"/>
          <w:color w:val="000000" w:themeColor="text1"/>
        </w:rPr>
        <w:t>）三级标准后排入园区管网，最终由园区污水处理厂处理达标后排放。</w:t>
      </w:r>
    </w:p>
    <w:p w14:paraId="49E7FAC5" w14:textId="77777777" w:rsidR="00B0005F" w:rsidRPr="008A2411" w:rsidRDefault="00000000">
      <w:pPr>
        <w:adjustRightInd w:val="0"/>
        <w:snapToGrid w:val="0"/>
        <w:spacing w:line="360" w:lineRule="auto"/>
        <w:ind w:firstLineChars="200" w:firstLine="482"/>
        <w:rPr>
          <w:rFonts w:ascii="Times New Roman"/>
          <w:color w:val="000000" w:themeColor="text1"/>
          <w:szCs w:val="24"/>
        </w:rPr>
      </w:pPr>
      <w:r w:rsidRPr="008A2411">
        <w:rPr>
          <w:rFonts w:ascii="Times New Roman"/>
          <w:b/>
          <w:bCs/>
          <w:color w:val="000000" w:themeColor="text1"/>
          <w:kern w:val="2"/>
          <w:szCs w:val="24"/>
        </w:rPr>
        <w:t>冷却器产生的凝液（</w:t>
      </w:r>
      <w:r w:rsidRPr="008A2411">
        <w:rPr>
          <w:rFonts w:ascii="Times New Roman"/>
          <w:b/>
          <w:bCs/>
          <w:color w:val="000000" w:themeColor="text1"/>
          <w:kern w:val="2"/>
          <w:szCs w:val="24"/>
        </w:rPr>
        <w:t>W</w:t>
      </w:r>
      <w:r w:rsidRPr="008A2411">
        <w:rPr>
          <w:rFonts w:ascii="Times New Roman"/>
          <w:b/>
          <w:bCs/>
          <w:color w:val="000000" w:themeColor="text1"/>
          <w:kern w:val="2"/>
          <w:szCs w:val="24"/>
          <w:vertAlign w:val="subscript"/>
        </w:rPr>
        <w:t>2</w:t>
      </w:r>
      <w:r w:rsidRPr="008A2411">
        <w:rPr>
          <w:rFonts w:ascii="Times New Roman"/>
          <w:b/>
          <w:bCs/>
          <w:color w:val="000000" w:themeColor="text1"/>
          <w:kern w:val="2"/>
          <w:szCs w:val="24"/>
        </w:rPr>
        <w:t>）：</w:t>
      </w:r>
      <w:r w:rsidRPr="008A2411">
        <w:rPr>
          <w:rFonts w:ascii="Times New Roman"/>
          <w:color w:val="000000" w:themeColor="text1"/>
          <w:kern w:val="2"/>
          <w:szCs w:val="24"/>
        </w:rPr>
        <w:t>装置区冷凝液主要来自脱水再生器冷却器再生冷却工段，根据设计单位提供的资料，该工段冷凝液产生量约为</w:t>
      </w:r>
      <w:r w:rsidRPr="008A2411">
        <w:rPr>
          <w:rFonts w:ascii="Times New Roman"/>
          <w:color w:val="000000" w:themeColor="text1"/>
          <w:kern w:val="2"/>
          <w:szCs w:val="24"/>
        </w:rPr>
        <w:t>0.864m</w:t>
      </w:r>
      <w:r w:rsidRPr="008A2411">
        <w:rPr>
          <w:rFonts w:ascii="Times New Roman"/>
          <w:color w:val="000000" w:themeColor="text1"/>
          <w:kern w:val="2"/>
          <w:szCs w:val="24"/>
          <w:vertAlign w:val="superscript"/>
        </w:rPr>
        <w:t>3</w:t>
      </w:r>
      <w:r w:rsidRPr="008A2411">
        <w:rPr>
          <w:rFonts w:ascii="Times New Roman"/>
          <w:color w:val="000000" w:themeColor="text1"/>
          <w:kern w:val="2"/>
          <w:szCs w:val="24"/>
        </w:rPr>
        <w:t>/d</w:t>
      </w:r>
      <w:r w:rsidRPr="008A2411">
        <w:rPr>
          <w:rFonts w:ascii="Times New Roman"/>
          <w:color w:val="000000" w:themeColor="text1"/>
          <w:kern w:val="2"/>
          <w:szCs w:val="24"/>
        </w:rPr>
        <w:t>，主要污染物为</w:t>
      </w:r>
      <w:r w:rsidRPr="008A2411">
        <w:rPr>
          <w:rFonts w:ascii="Times New Roman"/>
          <w:color w:val="000000" w:themeColor="text1"/>
          <w:kern w:val="2"/>
          <w:szCs w:val="24"/>
        </w:rPr>
        <w:t>SS</w:t>
      </w:r>
      <w:r w:rsidRPr="008A2411">
        <w:rPr>
          <w:rFonts w:ascii="Times New Roman"/>
          <w:color w:val="000000" w:themeColor="text1"/>
          <w:kern w:val="2"/>
          <w:szCs w:val="24"/>
        </w:rPr>
        <w:t>、石油类、</w:t>
      </w:r>
      <w:r w:rsidRPr="008A2411">
        <w:rPr>
          <w:rFonts w:ascii="Times New Roman"/>
          <w:color w:val="000000" w:themeColor="text1"/>
          <w:kern w:val="2"/>
          <w:szCs w:val="24"/>
        </w:rPr>
        <w:t>COD</w:t>
      </w:r>
      <w:r w:rsidRPr="008A2411">
        <w:rPr>
          <w:rFonts w:ascii="Times New Roman"/>
          <w:color w:val="000000" w:themeColor="text1"/>
          <w:kern w:val="2"/>
          <w:szCs w:val="24"/>
        </w:rPr>
        <w:t>等，经过过滤器滤除杂质后，用于</w:t>
      </w:r>
      <w:proofErr w:type="gramStart"/>
      <w:r w:rsidRPr="008A2411">
        <w:rPr>
          <w:rFonts w:ascii="Times New Roman"/>
          <w:color w:val="000000" w:themeColor="text1"/>
          <w:kern w:val="2"/>
          <w:szCs w:val="24"/>
        </w:rPr>
        <w:t>胺</w:t>
      </w:r>
      <w:proofErr w:type="gramEnd"/>
      <w:r w:rsidRPr="008A2411">
        <w:rPr>
          <w:rFonts w:ascii="Times New Roman"/>
          <w:color w:val="000000" w:themeColor="text1"/>
          <w:kern w:val="2"/>
          <w:szCs w:val="24"/>
        </w:rPr>
        <w:t>系统的补充水回用，不外排。</w:t>
      </w:r>
    </w:p>
    <w:p w14:paraId="1683B21C" w14:textId="77777777" w:rsidR="00B0005F" w:rsidRPr="008A2411" w:rsidRDefault="00000000">
      <w:pPr>
        <w:pStyle w:val="WJ"/>
        <w:adjustRightInd w:val="0"/>
        <w:snapToGrid w:val="0"/>
        <w:spacing w:line="360" w:lineRule="auto"/>
        <w:ind w:firstLine="482"/>
        <w:rPr>
          <w:rFonts w:ascii="Times New Roman" w:hAnsi="Times New Roman"/>
          <w:color w:val="000000" w:themeColor="text1"/>
        </w:rPr>
      </w:pPr>
      <w:r w:rsidRPr="008A2411">
        <w:rPr>
          <w:rFonts w:ascii="Times New Roman" w:hAnsi="Times New Roman"/>
          <w:b/>
          <w:bCs/>
          <w:color w:val="000000" w:themeColor="text1"/>
        </w:rPr>
        <w:t>脱盐间排水（</w:t>
      </w:r>
      <w:r w:rsidRPr="008A2411">
        <w:rPr>
          <w:rFonts w:ascii="Times New Roman" w:hAnsi="Times New Roman"/>
          <w:b/>
          <w:bCs/>
          <w:color w:val="000000" w:themeColor="text1"/>
        </w:rPr>
        <w:t>W</w:t>
      </w:r>
      <w:r w:rsidRPr="008A2411">
        <w:rPr>
          <w:rFonts w:ascii="Times New Roman" w:hAnsi="Times New Roman"/>
          <w:b/>
          <w:bCs/>
          <w:color w:val="000000" w:themeColor="text1"/>
          <w:vertAlign w:val="subscript"/>
        </w:rPr>
        <w:t>3</w:t>
      </w:r>
      <w:r w:rsidRPr="008A2411">
        <w:rPr>
          <w:rFonts w:ascii="Times New Roman" w:hAnsi="Times New Roman"/>
          <w:b/>
          <w:bCs/>
          <w:color w:val="000000" w:themeColor="text1"/>
        </w:rPr>
        <w:t>）：</w:t>
      </w:r>
      <w:r w:rsidRPr="008A2411">
        <w:rPr>
          <w:rFonts w:ascii="Times New Roman" w:hAnsi="Times New Roman"/>
          <w:color w:val="000000" w:themeColor="text1"/>
        </w:rPr>
        <w:t>本项目生产工艺补充水使用由脱盐水装置提供的脱盐水，脱盐水系统进水量为</w:t>
      </w:r>
      <w:r w:rsidRPr="008A2411">
        <w:rPr>
          <w:rFonts w:ascii="Times New Roman" w:hAnsi="Times New Roman"/>
          <w:color w:val="000000" w:themeColor="text1"/>
        </w:rPr>
        <w:t>202m</w:t>
      </w:r>
      <w:r w:rsidRPr="008A2411">
        <w:rPr>
          <w:rFonts w:ascii="Times New Roman" w:hAnsi="Times New Roman"/>
          <w:color w:val="000000" w:themeColor="text1"/>
          <w:vertAlign w:val="superscript"/>
        </w:rPr>
        <w:t>3</w:t>
      </w:r>
      <w:r w:rsidRPr="008A2411">
        <w:rPr>
          <w:rFonts w:ascii="Times New Roman" w:hAnsi="Times New Roman"/>
          <w:color w:val="000000" w:themeColor="text1"/>
        </w:rPr>
        <w:t>/d</w:t>
      </w:r>
      <w:r w:rsidRPr="008A2411">
        <w:rPr>
          <w:rFonts w:ascii="Times New Roman" w:hAnsi="Times New Roman"/>
          <w:color w:val="000000" w:themeColor="text1"/>
        </w:rPr>
        <w:t>，产水率</w:t>
      </w:r>
      <w:r w:rsidRPr="008A2411">
        <w:rPr>
          <w:rFonts w:ascii="Times New Roman" w:hAnsi="Times New Roman"/>
          <w:color w:val="000000" w:themeColor="text1"/>
        </w:rPr>
        <w:t>≥60%</w:t>
      </w:r>
      <w:r w:rsidRPr="008A2411">
        <w:rPr>
          <w:rFonts w:ascii="Times New Roman" w:hAnsi="Times New Roman"/>
          <w:color w:val="000000" w:themeColor="text1"/>
        </w:rPr>
        <w:t>，浓水（废水）产量</w:t>
      </w:r>
      <w:r w:rsidRPr="008A2411">
        <w:rPr>
          <w:rFonts w:ascii="Times New Roman" w:hAnsi="Times New Roman"/>
          <w:color w:val="000000" w:themeColor="text1"/>
        </w:rPr>
        <w:t>≤80.8m</w:t>
      </w:r>
      <w:r w:rsidRPr="008A2411">
        <w:rPr>
          <w:rFonts w:ascii="Times New Roman" w:hAnsi="Times New Roman"/>
          <w:color w:val="000000" w:themeColor="text1"/>
          <w:vertAlign w:val="superscript"/>
        </w:rPr>
        <w:t>3</w:t>
      </w:r>
      <w:r w:rsidRPr="008A2411">
        <w:rPr>
          <w:rFonts w:ascii="Times New Roman" w:hAnsi="Times New Roman"/>
          <w:color w:val="000000" w:themeColor="text1"/>
        </w:rPr>
        <w:t>/d</w:t>
      </w:r>
      <w:r w:rsidRPr="008A2411">
        <w:rPr>
          <w:rFonts w:ascii="Times New Roman" w:hAnsi="Times New Roman"/>
          <w:color w:val="000000" w:themeColor="text1"/>
        </w:rPr>
        <w:t>，浓水主要成份为</w:t>
      </w:r>
      <w:r w:rsidRPr="008A2411">
        <w:rPr>
          <w:rFonts w:ascii="Times New Roman" w:hAnsi="Times New Roman"/>
          <w:color w:val="000000" w:themeColor="text1"/>
        </w:rPr>
        <w:t>Ca</w:t>
      </w:r>
      <w:r w:rsidRPr="008A2411">
        <w:rPr>
          <w:rFonts w:ascii="Times New Roman" w:hAnsi="Times New Roman"/>
          <w:color w:val="000000" w:themeColor="text1"/>
        </w:rPr>
        <w:t>（</w:t>
      </w:r>
      <w:r w:rsidRPr="008A2411">
        <w:rPr>
          <w:rFonts w:ascii="Times New Roman" w:hAnsi="Times New Roman"/>
          <w:color w:val="000000" w:themeColor="text1"/>
        </w:rPr>
        <w:t>HCO</w:t>
      </w:r>
      <w:r w:rsidRPr="008A2411">
        <w:rPr>
          <w:rFonts w:ascii="Times New Roman" w:hAnsi="Times New Roman"/>
          <w:color w:val="000000" w:themeColor="text1"/>
          <w:vertAlign w:val="subscript"/>
        </w:rPr>
        <w:t>3</w:t>
      </w:r>
      <w:r w:rsidRPr="008A2411">
        <w:rPr>
          <w:rFonts w:ascii="Times New Roman" w:hAnsi="Times New Roman"/>
          <w:color w:val="000000" w:themeColor="text1"/>
        </w:rPr>
        <w:t>）</w:t>
      </w:r>
      <w:r w:rsidRPr="008A2411">
        <w:rPr>
          <w:rFonts w:ascii="Times New Roman" w:hAnsi="Times New Roman"/>
          <w:color w:val="000000" w:themeColor="text1"/>
          <w:vertAlign w:val="subscript"/>
        </w:rPr>
        <w:t>2</w:t>
      </w:r>
      <w:r w:rsidRPr="008A2411">
        <w:rPr>
          <w:rFonts w:ascii="Times New Roman" w:hAnsi="Times New Roman"/>
          <w:color w:val="000000" w:themeColor="text1"/>
        </w:rPr>
        <w:t>、</w:t>
      </w:r>
      <w:r w:rsidRPr="008A2411">
        <w:rPr>
          <w:rFonts w:ascii="Times New Roman" w:hAnsi="Times New Roman"/>
          <w:color w:val="000000" w:themeColor="text1"/>
        </w:rPr>
        <w:t>Na</w:t>
      </w:r>
      <w:r w:rsidRPr="008A2411">
        <w:rPr>
          <w:rFonts w:ascii="Times New Roman" w:hAnsi="Times New Roman"/>
          <w:color w:val="000000" w:themeColor="text1"/>
          <w:vertAlign w:val="subscript"/>
        </w:rPr>
        <w:t>2</w:t>
      </w:r>
      <w:r w:rsidRPr="008A2411">
        <w:rPr>
          <w:rFonts w:ascii="Times New Roman" w:hAnsi="Times New Roman"/>
          <w:color w:val="000000" w:themeColor="text1"/>
        </w:rPr>
        <w:t>SO</w:t>
      </w:r>
      <w:r w:rsidRPr="008A2411">
        <w:rPr>
          <w:rFonts w:ascii="Times New Roman" w:hAnsi="Times New Roman"/>
          <w:color w:val="000000" w:themeColor="text1"/>
          <w:vertAlign w:val="subscript"/>
        </w:rPr>
        <w:t>4</w:t>
      </w:r>
      <w:r w:rsidRPr="008A2411">
        <w:rPr>
          <w:rFonts w:ascii="Times New Roman" w:hAnsi="Times New Roman"/>
          <w:color w:val="000000" w:themeColor="text1"/>
        </w:rPr>
        <w:t>等可溶性物质，总矿化度</w:t>
      </w:r>
      <w:r w:rsidRPr="008A2411">
        <w:rPr>
          <w:rFonts w:ascii="Times New Roman" w:hAnsi="Times New Roman"/>
          <w:color w:val="000000" w:themeColor="text1"/>
        </w:rPr>
        <w:t>600</w:t>
      </w:r>
      <w:r w:rsidRPr="008A2411">
        <w:rPr>
          <w:rFonts w:ascii="Times New Roman" w:hAnsi="Times New Roman"/>
          <w:color w:val="000000" w:themeColor="text1"/>
        </w:rPr>
        <w:t>～</w:t>
      </w:r>
      <w:r w:rsidRPr="008A2411">
        <w:rPr>
          <w:rFonts w:ascii="Times New Roman" w:hAnsi="Times New Roman"/>
          <w:color w:val="000000" w:themeColor="text1"/>
        </w:rPr>
        <w:t>900mg/l</w:t>
      </w:r>
      <w:r w:rsidRPr="008A2411">
        <w:rPr>
          <w:rFonts w:ascii="Times New Roman" w:hAnsi="Times New Roman"/>
          <w:color w:val="000000" w:themeColor="text1"/>
        </w:rPr>
        <w:t>，</w:t>
      </w:r>
      <w:r w:rsidRPr="008A2411">
        <w:rPr>
          <w:rFonts w:ascii="Times New Roman" w:hAnsi="Times New Roman"/>
          <w:color w:val="000000" w:themeColor="text1"/>
        </w:rPr>
        <w:t>pH</w:t>
      </w:r>
      <w:r w:rsidRPr="008A2411">
        <w:rPr>
          <w:rFonts w:ascii="Times New Roman" w:hAnsi="Times New Roman"/>
          <w:color w:val="000000" w:themeColor="text1"/>
        </w:rPr>
        <w:t>值</w:t>
      </w:r>
      <w:r w:rsidRPr="008A2411">
        <w:rPr>
          <w:rFonts w:ascii="Times New Roman" w:hAnsi="Times New Roman"/>
          <w:color w:val="000000" w:themeColor="text1"/>
        </w:rPr>
        <w:t>6.5</w:t>
      </w:r>
      <w:r w:rsidRPr="008A2411">
        <w:rPr>
          <w:rFonts w:ascii="Times New Roman" w:hAnsi="Times New Roman"/>
          <w:color w:val="000000" w:themeColor="text1"/>
        </w:rPr>
        <w:t>～</w:t>
      </w:r>
      <w:r w:rsidRPr="008A2411">
        <w:rPr>
          <w:rFonts w:ascii="Times New Roman" w:hAnsi="Times New Roman"/>
          <w:color w:val="000000" w:themeColor="text1"/>
        </w:rPr>
        <w:t>7.5</w:t>
      </w:r>
      <w:r w:rsidRPr="008A2411">
        <w:rPr>
          <w:rFonts w:ascii="Times New Roman" w:hAnsi="Times New Roman"/>
          <w:color w:val="000000" w:themeColor="text1"/>
        </w:rPr>
        <w:t>，水质较为清洁，能够满足</w:t>
      </w:r>
      <w:r w:rsidRPr="008A2411">
        <w:rPr>
          <w:rFonts w:ascii="Times New Roman" w:hAnsi="Times New Roman"/>
          <w:bCs/>
          <w:color w:val="000000" w:themeColor="text1"/>
          <w:spacing w:val="-2"/>
        </w:rPr>
        <w:t>到</w:t>
      </w:r>
      <w:r w:rsidRPr="008A2411">
        <w:rPr>
          <w:rFonts w:ascii="Times New Roman" w:hAnsi="Times New Roman"/>
          <w:color w:val="000000" w:themeColor="text1"/>
        </w:rPr>
        <w:t>《污水综合排放标准》（</w:t>
      </w:r>
      <w:r w:rsidRPr="008A2411">
        <w:rPr>
          <w:rFonts w:ascii="Times New Roman" w:hAnsi="Times New Roman"/>
          <w:color w:val="000000" w:themeColor="text1"/>
        </w:rPr>
        <w:t>GB8978-1996</w:t>
      </w:r>
      <w:r w:rsidRPr="008A2411">
        <w:rPr>
          <w:rFonts w:ascii="Times New Roman" w:hAnsi="Times New Roman"/>
          <w:color w:val="000000" w:themeColor="text1"/>
        </w:rPr>
        <w:t>）三级标准，可直接排入园区管网，最终由园区污水处理厂处理达标后排放。</w:t>
      </w:r>
    </w:p>
    <w:p w14:paraId="5554AA65" w14:textId="77777777" w:rsidR="00B0005F" w:rsidRPr="008A2411" w:rsidRDefault="00000000">
      <w:pPr>
        <w:pStyle w:val="a9"/>
        <w:adjustRightInd w:val="0"/>
        <w:snapToGrid w:val="0"/>
        <w:spacing w:after="0" w:line="360" w:lineRule="auto"/>
        <w:ind w:firstLineChars="200" w:firstLine="482"/>
        <w:rPr>
          <w:rFonts w:ascii="Times New Roman" w:eastAsiaTheme="minorEastAsia"/>
          <w:b/>
          <w:bCs/>
          <w:color w:val="000000" w:themeColor="text1"/>
          <w:sz w:val="24"/>
        </w:rPr>
      </w:pPr>
      <w:r w:rsidRPr="008A2411">
        <w:rPr>
          <w:rFonts w:ascii="Times New Roman"/>
          <w:b/>
          <w:bCs/>
          <w:color w:val="000000" w:themeColor="text1"/>
          <w:sz w:val="24"/>
        </w:rPr>
        <w:t>软化水装置排水（</w:t>
      </w:r>
      <w:r w:rsidRPr="008A2411">
        <w:rPr>
          <w:rFonts w:ascii="Times New Roman"/>
          <w:b/>
          <w:bCs/>
          <w:color w:val="000000" w:themeColor="text1"/>
          <w:sz w:val="24"/>
        </w:rPr>
        <w:t>W</w:t>
      </w:r>
      <w:r w:rsidRPr="008A2411">
        <w:rPr>
          <w:rFonts w:ascii="Times New Roman"/>
          <w:b/>
          <w:bCs/>
          <w:color w:val="000000" w:themeColor="text1"/>
          <w:sz w:val="24"/>
          <w:vertAlign w:val="subscript"/>
        </w:rPr>
        <w:t>4</w:t>
      </w:r>
      <w:r w:rsidRPr="008A2411">
        <w:rPr>
          <w:rFonts w:ascii="Times New Roman"/>
          <w:b/>
          <w:bCs/>
          <w:color w:val="000000" w:themeColor="text1"/>
          <w:sz w:val="24"/>
        </w:rPr>
        <w:t>）：</w:t>
      </w:r>
      <w:r w:rsidRPr="008A2411">
        <w:rPr>
          <w:rFonts w:ascii="Times New Roman"/>
          <w:color w:val="000000" w:themeColor="text1"/>
          <w:sz w:val="24"/>
        </w:rPr>
        <w:t>工程循环冷却循环系统为封闭式循环系统，采用软化装置植被的软水进行冷却循环。根据设计单位提供的资料，循环水系统所需要的补水量为</w:t>
      </w:r>
      <w:r w:rsidRPr="008A2411">
        <w:rPr>
          <w:rFonts w:ascii="Times New Roman"/>
          <w:color w:val="000000" w:themeColor="text1"/>
          <w:sz w:val="24"/>
        </w:rPr>
        <w:t>50m</w:t>
      </w:r>
      <w:r w:rsidRPr="008A2411">
        <w:rPr>
          <w:rFonts w:ascii="Times New Roman"/>
          <w:color w:val="000000" w:themeColor="text1"/>
          <w:sz w:val="24"/>
          <w:vertAlign w:val="superscript"/>
        </w:rPr>
        <w:t>3</w:t>
      </w:r>
      <w:r w:rsidRPr="008A2411">
        <w:rPr>
          <w:rFonts w:ascii="Times New Roman"/>
          <w:color w:val="000000" w:themeColor="text1"/>
          <w:sz w:val="24"/>
        </w:rPr>
        <w:t>/h</w:t>
      </w:r>
      <w:r w:rsidRPr="008A2411">
        <w:rPr>
          <w:rFonts w:ascii="Times New Roman"/>
          <w:color w:val="000000" w:themeColor="text1"/>
          <w:sz w:val="24"/>
        </w:rPr>
        <w:t>，软化水系统产水率为</w:t>
      </w:r>
      <w:r w:rsidRPr="008A2411">
        <w:rPr>
          <w:rFonts w:ascii="Times New Roman"/>
          <w:color w:val="000000" w:themeColor="text1"/>
          <w:sz w:val="24"/>
        </w:rPr>
        <w:t>79.4%</w:t>
      </w:r>
      <w:r w:rsidRPr="008A2411">
        <w:rPr>
          <w:rFonts w:ascii="Times New Roman"/>
          <w:color w:val="000000" w:themeColor="text1"/>
          <w:sz w:val="24"/>
        </w:rPr>
        <w:t>，则软化水产生排水为</w:t>
      </w:r>
      <w:r w:rsidRPr="008A2411">
        <w:rPr>
          <w:rFonts w:ascii="Times New Roman"/>
          <w:color w:val="000000" w:themeColor="text1"/>
          <w:sz w:val="24"/>
        </w:rPr>
        <w:t>50m</w:t>
      </w:r>
      <w:r w:rsidRPr="008A2411">
        <w:rPr>
          <w:rFonts w:ascii="Times New Roman"/>
          <w:color w:val="000000" w:themeColor="text1"/>
          <w:sz w:val="24"/>
          <w:vertAlign w:val="superscript"/>
        </w:rPr>
        <w:t>3</w:t>
      </w:r>
      <w:r w:rsidRPr="008A2411">
        <w:rPr>
          <w:rFonts w:ascii="Times New Roman"/>
          <w:color w:val="000000" w:themeColor="text1"/>
          <w:sz w:val="24"/>
        </w:rPr>
        <w:t>/h</w:t>
      </w:r>
      <w:r w:rsidRPr="008A2411">
        <w:rPr>
          <w:rFonts w:ascii="Times New Roman" w:eastAsiaTheme="minorEastAsia"/>
          <w:color w:val="000000" w:themeColor="text1"/>
          <w:sz w:val="24"/>
        </w:rPr>
        <w:t>，主要污染物为等</w:t>
      </w:r>
      <w:r w:rsidRPr="008A2411">
        <w:rPr>
          <w:rFonts w:ascii="Times New Roman"/>
          <w:color w:val="000000" w:themeColor="text1"/>
          <w:sz w:val="24"/>
        </w:rPr>
        <w:t>Ca</w:t>
      </w:r>
      <w:r w:rsidRPr="008A2411">
        <w:rPr>
          <w:rFonts w:ascii="Times New Roman"/>
          <w:color w:val="000000" w:themeColor="text1"/>
          <w:sz w:val="24"/>
          <w:vertAlign w:val="superscript"/>
        </w:rPr>
        <w:t>2+</w:t>
      </w:r>
      <w:r w:rsidRPr="008A2411">
        <w:rPr>
          <w:rFonts w:ascii="Times New Roman"/>
          <w:color w:val="000000" w:themeColor="text1"/>
          <w:sz w:val="24"/>
        </w:rPr>
        <w:t>、</w:t>
      </w:r>
      <w:r w:rsidRPr="008A2411">
        <w:rPr>
          <w:rFonts w:ascii="Times New Roman"/>
          <w:color w:val="000000" w:themeColor="text1"/>
          <w:sz w:val="24"/>
        </w:rPr>
        <w:t>Mg</w:t>
      </w:r>
      <w:r w:rsidRPr="008A2411">
        <w:rPr>
          <w:rFonts w:ascii="Times New Roman"/>
          <w:color w:val="000000" w:themeColor="text1"/>
          <w:sz w:val="24"/>
          <w:vertAlign w:val="superscript"/>
        </w:rPr>
        <w:t>2+</w:t>
      </w:r>
      <w:r w:rsidRPr="008A2411">
        <w:rPr>
          <w:rFonts w:ascii="Times New Roman"/>
          <w:color w:val="000000" w:themeColor="text1"/>
          <w:sz w:val="24"/>
        </w:rPr>
        <w:t>等可溶性物质，水质较为清洁，能够满足</w:t>
      </w:r>
      <w:r w:rsidRPr="008A2411">
        <w:rPr>
          <w:rFonts w:ascii="Times New Roman"/>
          <w:bCs/>
          <w:color w:val="000000" w:themeColor="text1"/>
          <w:spacing w:val="-2"/>
          <w:sz w:val="24"/>
        </w:rPr>
        <w:t>到</w:t>
      </w:r>
      <w:r w:rsidRPr="008A2411">
        <w:rPr>
          <w:rFonts w:ascii="Times New Roman"/>
          <w:color w:val="000000" w:themeColor="text1"/>
          <w:sz w:val="24"/>
        </w:rPr>
        <w:t>《污水综合排放标准》（</w:t>
      </w:r>
      <w:r w:rsidRPr="008A2411">
        <w:rPr>
          <w:rFonts w:ascii="Times New Roman"/>
          <w:color w:val="000000" w:themeColor="text1"/>
          <w:sz w:val="24"/>
        </w:rPr>
        <w:t>GB8978-1996</w:t>
      </w:r>
      <w:r w:rsidRPr="008A2411">
        <w:rPr>
          <w:rFonts w:ascii="Times New Roman"/>
          <w:color w:val="000000" w:themeColor="text1"/>
          <w:sz w:val="24"/>
        </w:rPr>
        <w:t>）三级标准，可直接排入园区管网，最终由园区污水处理厂处理达标后排放</w:t>
      </w:r>
      <w:r w:rsidRPr="008A2411">
        <w:rPr>
          <w:rFonts w:ascii="Times New Roman" w:eastAsiaTheme="minorEastAsia"/>
          <w:color w:val="000000" w:themeColor="text1"/>
          <w:sz w:val="24"/>
        </w:rPr>
        <w:t>。</w:t>
      </w:r>
    </w:p>
    <w:p w14:paraId="2C19D6CF" w14:textId="77777777" w:rsidR="00B0005F" w:rsidRPr="008A2411" w:rsidRDefault="00000000">
      <w:pPr>
        <w:autoSpaceDE w:val="0"/>
        <w:autoSpaceDN w:val="0"/>
        <w:adjustRightInd w:val="0"/>
        <w:snapToGrid w:val="0"/>
        <w:spacing w:line="360" w:lineRule="auto"/>
        <w:ind w:firstLine="482"/>
        <w:rPr>
          <w:rFonts w:ascii="Times New Roman"/>
          <w:color w:val="000000" w:themeColor="text1"/>
          <w:kern w:val="2"/>
          <w:szCs w:val="24"/>
          <w:lang w:bidi="en-US"/>
        </w:rPr>
      </w:pPr>
      <w:r w:rsidRPr="008A2411">
        <w:rPr>
          <w:rFonts w:ascii="Times New Roman"/>
          <w:b/>
          <w:bCs/>
          <w:color w:val="000000" w:themeColor="text1"/>
          <w:szCs w:val="24"/>
        </w:rPr>
        <w:t>生活污水（</w:t>
      </w:r>
      <w:r w:rsidRPr="008A2411">
        <w:rPr>
          <w:rFonts w:ascii="Times New Roman"/>
          <w:b/>
          <w:bCs/>
          <w:color w:val="000000" w:themeColor="text1"/>
          <w:szCs w:val="24"/>
        </w:rPr>
        <w:t>W</w:t>
      </w:r>
      <w:r w:rsidRPr="008A2411">
        <w:rPr>
          <w:rFonts w:ascii="Times New Roman"/>
          <w:b/>
          <w:bCs/>
          <w:color w:val="000000" w:themeColor="text1"/>
          <w:szCs w:val="24"/>
          <w:vertAlign w:val="subscript"/>
        </w:rPr>
        <w:t>5</w:t>
      </w:r>
      <w:r w:rsidRPr="008A2411">
        <w:rPr>
          <w:rFonts w:ascii="Times New Roman"/>
          <w:b/>
          <w:bCs/>
          <w:color w:val="000000" w:themeColor="text1"/>
          <w:szCs w:val="24"/>
        </w:rPr>
        <w:t>）</w:t>
      </w:r>
      <w:r w:rsidRPr="008A2411">
        <w:rPr>
          <w:rFonts w:ascii="Times New Roman"/>
          <w:b/>
          <w:bCs/>
          <w:color w:val="000000" w:themeColor="text1"/>
          <w:kern w:val="2"/>
          <w:szCs w:val="24"/>
          <w:lang w:bidi="en-US"/>
        </w:rPr>
        <w:t>：</w:t>
      </w:r>
      <w:r w:rsidRPr="008A2411">
        <w:rPr>
          <w:rFonts w:ascii="Times New Roman"/>
          <w:color w:val="000000" w:themeColor="text1"/>
          <w:kern w:val="2"/>
          <w:szCs w:val="24"/>
          <w:lang w:bidi="en-US"/>
        </w:rPr>
        <w:t>项目生活废水主要来自工办公生活废水。</w:t>
      </w:r>
      <w:r w:rsidRPr="008A2411">
        <w:rPr>
          <w:rFonts w:ascii="Times New Roman"/>
          <w:color w:val="000000" w:themeColor="text1"/>
          <w:szCs w:val="24"/>
        </w:rPr>
        <w:t>项目运营期的值守人员</w:t>
      </w:r>
      <w:r w:rsidRPr="008A2411">
        <w:rPr>
          <w:rFonts w:ascii="Times New Roman"/>
          <w:color w:val="000000" w:themeColor="text1"/>
          <w:szCs w:val="24"/>
        </w:rPr>
        <w:t>67</w:t>
      </w:r>
      <w:r w:rsidRPr="008A2411">
        <w:rPr>
          <w:rFonts w:ascii="Times New Roman"/>
          <w:color w:val="000000" w:themeColor="text1"/>
          <w:szCs w:val="24"/>
        </w:rPr>
        <w:t>人，参照《四川省用水定额》（</w:t>
      </w:r>
      <w:r w:rsidRPr="008A2411">
        <w:rPr>
          <w:rFonts w:ascii="Times New Roman"/>
          <w:color w:val="000000" w:themeColor="text1"/>
          <w:szCs w:val="24"/>
        </w:rPr>
        <w:t>2021</w:t>
      </w:r>
      <w:r w:rsidRPr="008A2411">
        <w:rPr>
          <w:rFonts w:ascii="Times New Roman"/>
          <w:color w:val="000000" w:themeColor="text1"/>
          <w:szCs w:val="24"/>
        </w:rPr>
        <w:t>版）中的中等城市居民用水标准</w:t>
      </w:r>
      <w:r w:rsidRPr="008A2411">
        <w:rPr>
          <w:rFonts w:ascii="Times New Roman"/>
          <w:color w:val="000000" w:themeColor="text1"/>
          <w:szCs w:val="24"/>
        </w:rPr>
        <w:t>180L/</w:t>
      </w:r>
      <w:r w:rsidRPr="008A2411">
        <w:rPr>
          <w:rFonts w:ascii="Times New Roman"/>
          <w:color w:val="000000" w:themeColor="text1"/>
          <w:szCs w:val="24"/>
        </w:rPr>
        <w:t>（人</w:t>
      </w:r>
      <w:r w:rsidRPr="008A2411">
        <w:rPr>
          <w:rFonts w:ascii="Times New Roman" w:eastAsia="微软雅黑"/>
          <w:color w:val="000000" w:themeColor="text1"/>
          <w:szCs w:val="24"/>
        </w:rPr>
        <w:t>·</w:t>
      </w:r>
      <w:r w:rsidRPr="008A2411">
        <w:rPr>
          <w:rFonts w:ascii="Times New Roman"/>
          <w:color w:val="000000" w:themeColor="text1"/>
          <w:szCs w:val="24"/>
        </w:rPr>
        <w:t>d</w:t>
      </w:r>
      <w:r w:rsidRPr="008A2411">
        <w:rPr>
          <w:rFonts w:ascii="Times New Roman"/>
          <w:color w:val="000000" w:themeColor="text1"/>
          <w:szCs w:val="24"/>
        </w:rPr>
        <w:t>），则本项目生活用水量为</w:t>
      </w:r>
      <w:r w:rsidRPr="008A2411">
        <w:rPr>
          <w:rFonts w:ascii="Times New Roman"/>
          <w:color w:val="000000" w:themeColor="text1"/>
          <w:szCs w:val="24"/>
        </w:rPr>
        <w:t>12.06m</w:t>
      </w:r>
      <w:r w:rsidRPr="008A2411">
        <w:rPr>
          <w:rFonts w:ascii="Times New Roman"/>
          <w:color w:val="000000" w:themeColor="text1"/>
          <w:szCs w:val="24"/>
          <w:vertAlign w:val="superscript"/>
        </w:rPr>
        <w:t>3</w:t>
      </w:r>
      <w:r w:rsidRPr="008A2411">
        <w:rPr>
          <w:rFonts w:ascii="Times New Roman"/>
          <w:color w:val="000000" w:themeColor="text1"/>
          <w:szCs w:val="24"/>
        </w:rPr>
        <w:t>/d</w:t>
      </w:r>
      <w:r w:rsidRPr="008A2411">
        <w:rPr>
          <w:rFonts w:ascii="Times New Roman"/>
          <w:color w:val="000000" w:themeColor="text1"/>
          <w:szCs w:val="24"/>
        </w:rPr>
        <w:t>，排污系数为</w:t>
      </w:r>
      <w:r w:rsidRPr="008A2411">
        <w:rPr>
          <w:rFonts w:ascii="Times New Roman"/>
          <w:color w:val="000000" w:themeColor="text1"/>
          <w:szCs w:val="24"/>
        </w:rPr>
        <w:t>0.85</w:t>
      </w:r>
      <w:r w:rsidRPr="008A2411">
        <w:rPr>
          <w:rFonts w:ascii="Times New Roman"/>
          <w:color w:val="000000" w:themeColor="text1"/>
          <w:szCs w:val="24"/>
        </w:rPr>
        <w:t>，则运营期生活污水产生量约为</w:t>
      </w:r>
      <w:r w:rsidRPr="008A2411">
        <w:rPr>
          <w:rFonts w:ascii="Times New Roman"/>
          <w:color w:val="000000" w:themeColor="text1"/>
          <w:szCs w:val="24"/>
        </w:rPr>
        <w:t>10.25m</w:t>
      </w:r>
      <w:r w:rsidRPr="008A2411">
        <w:rPr>
          <w:rFonts w:ascii="Times New Roman"/>
          <w:color w:val="000000" w:themeColor="text1"/>
          <w:szCs w:val="24"/>
          <w:vertAlign w:val="superscript"/>
        </w:rPr>
        <w:t>3</w:t>
      </w:r>
      <w:r w:rsidRPr="008A2411">
        <w:rPr>
          <w:rFonts w:ascii="Times New Roman"/>
          <w:color w:val="000000" w:themeColor="text1"/>
          <w:szCs w:val="24"/>
        </w:rPr>
        <w:t>/d</w:t>
      </w:r>
      <w:r w:rsidRPr="008A2411">
        <w:rPr>
          <w:rFonts w:ascii="Times New Roman"/>
          <w:color w:val="000000" w:themeColor="text1"/>
          <w:szCs w:val="24"/>
        </w:rPr>
        <w:t>。污染物浓度相对较低，主要为</w:t>
      </w:r>
      <w:r w:rsidRPr="008A2411">
        <w:rPr>
          <w:rFonts w:ascii="Times New Roman"/>
          <w:color w:val="000000" w:themeColor="text1"/>
          <w:szCs w:val="24"/>
        </w:rPr>
        <w:t>COD</w:t>
      </w:r>
      <w:r w:rsidRPr="008A2411">
        <w:rPr>
          <w:rFonts w:ascii="Times New Roman"/>
          <w:color w:val="000000" w:themeColor="text1"/>
          <w:szCs w:val="24"/>
        </w:rPr>
        <w:t>、</w:t>
      </w:r>
      <w:r w:rsidRPr="008A2411">
        <w:rPr>
          <w:rFonts w:ascii="Times New Roman"/>
          <w:color w:val="000000" w:themeColor="text1"/>
          <w:szCs w:val="24"/>
        </w:rPr>
        <w:t>BOD</w:t>
      </w:r>
      <w:r w:rsidRPr="008A2411">
        <w:rPr>
          <w:rFonts w:ascii="Times New Roman"/>
          <w:color w:val="000000" w:themeColor="text1"/>
          <w:szCs w:val="24"/>
        </w:rPr>
        <w:t>、</w:t>
      </w:r>
      <w:r w:rsidRPr="008A2411">
        <w:rPr>
          <w:rFonts w:ascii="Times New Roman"/>
          <w:color w:val="000000" w:themeColor="text1"/>
          <w:szCs w:val="24"/>
        </w:rPr>
        <w:t>N</w:t>
      </w:r>
      <w:r w:rsidRPr="008A2411">
        <w:rPr>
          <w:rFonts w:ascii="Times New Roman"/>
          <w:color w:val="000000" w:themeColor="text1"/>
          <w:szCs w:val="24"/>
        </w:rPr>
        <w:t>、</w:t>
      </w:r>
      <w:r w:rsidRPr="008A2411">
        <w:rPr>
          <w:rFonts w:ascii="Times New Roman"/>
          <w:color w:val="000000" w:themeColor="text1"/>
          <w:szCs w:val="24"/>
        </w:rPr>
        <w:lastRenderedPageBreak/>
        <w:t>P</w:t>
      </w:r>
      <w:r w:rsidRPr="008A2411">
        <w:rPr>
          <w:rFonts w:ascii="Times New Roman"/>
          <w:color w:val="000000" w:themeColor="text1"/>
          <w:szCs w:val="24"/>
        </w:rPr>
        <w:t>等。</w:t>
      </w:r>
      <w:r w:rsidRPr="008A2411">
        <w:rPr>
          <w:rFonts w:ascii="Times New Roman"/>
          <w:color w:val="000000" w:themeColor="text1"/>
          <w:kern w:val="2"/>
          <w:szCs w:val="24"/>
          <w:lang w:bidi="en-US"/>
        </w:rPr>
        <w:t>生活废水进入通过厂区内部污水管网进入污水处理站处理，处理达到</w:t>
      </w:r>
      <w:r w:rsidRPr="008A2411">
        <w:rPr>
          <w:rFonts w:ascii="Times New Roman"/>
          <w:color w:val="000000" w:themeColor="text1"/>
          <w:szCs w:val="24"/>
        </w:rPr>
        <w:t>《污水综合排放标准》（</w:t>
      </w:r>
      <w:r w:rsidRPr="008A2411">
        <w:rPr>
          <w:rFonts w:ascii="Times New Roman"/>
          <w:color w:val="000000" w:themeColor="text1"/>
          <w:szCs w:val="24"/>
        </w:rPr>
        <w:t>GB8978-1996</w:t>
      </w:r>
      <w:r w:rsidRPr="008A2411">
        <w:rPr>
          <w:rFonts w:ascii="Times New Roman"/>
          <w:color w:val="000000" w:themeColor="text1"/>
          <w:szCs w:val="24"/>
        </w:rPr>
        <w:t>）三级标准后排入园区管网，最终由园区污水处理厂处理达标后排放</w:t>
      </w:r>
      <w:r w:rsidRPr="008A2411">
        <w:rPr>
          <w:rFonts w:ascii="Times New Roman"/>
          <w:color w:val="000000" w:themeColor="text1"/>
          <w:kern w:val="2"/>
          <w:szCs w:val="24"/>
          <w:lang w:bidi="en-US"/>
        </w:rPr>
        <w:t>。</w:t>
      </w:r>
    </w:p>
    <w:p w14:paraId="76528F2C" w14:textId="77777777" w:rsidR="00B0005F" w:rsidRPr="008A2411" w:rsidRDefault="00000000">
      <w:pPr>
        <w:spacing w:line="360" w:lineRule="auto"/>
        <w:ind w:firstLineChars="200" w:firstLine="482"/>
        <w:rPr>
          <w:rFonts w:ascii="Times New Roman"/>
          <w:color w:val="000000" w:themeColor="text1"/>
          <w:szCs w:val="24"/>
        </w:rPr>
      </w:pPr>
      <w:r w:rsidRPr="008A2411">
        <w:rPr>
          <w:rFonts w:ascii="Times New Roman"/>
          <w:b/>
          <w:bCs/>
          <w:color w:val="000000" w:themeColor="text1"/>
          <w:szCs w:val="24"/>
        </w:rPr>
        <w:t>初期雨水：</w:t>
      </w:r>
      <w:r w:rsidRPr="008A2411">
        <w:rPr>
          <w:rFonts w:ascii="Times New Roman"/>
          <w:color w:val="000000" w:themeColor="text1"/>
        </w:rPr>
        <w:t>事故状态下，</w:t>
      </w:r>
      <w:r w:rsidRPr="008A2411">
        <w:rPr>
          <w:rFonts w:ascii="Times New Roman" w:hint="eastAsia"/>
          <w:color w:val="000000" w:themeColor="text1"/>
        </w:rPr>
        <w:t>事故废水包括装置区事故污水泄漏量（</w:t>
      </w:r>
      <w:r w:rsidRPr="008A2411">
        <w:rPr>
          <w:rFonts w:ascii="Times New Roman" w:hint="eastAsia"/>
          <w:color w:val="000000" w:themeColor="text1"/>
        </w:rPr>
        <w:t>V1</w:t>
      </w:r>
      <w:r w:rsidRPr="008A2411">
        <w:rPr>
          <w:rFonts w:ascii="Times New Roman" w:hint="eastAsia"/>
          <w:color w:val="000000" w:themeColor="text1"/>
        </w:rPr>
        <w:t>），事故状态下消防废水量（</w:t>
      </w:r>
      <w:r w:rsidRPr="008A2411">
        <w:rPr>
          <w:rFonts w:ascii="Times New Roman" w:hint="eastAsia"/>
          <w:color w:val="000000" w:themeColor="text1"/>
        </w:rPr>
        <w:t>V2</w:t>
      </w:r>
      <w:r w:rsidRPr="008A2411">
        <w:rPr>
          <w:rFonts w:ascii="Times New Roman" w:hint="eastAsia"/>
          <w:color w:val="000000" w:themeColor="text1"/>
        </w:rPr>
        <w:t>），其中</w:t>
      </w:r>
      <w:r w:rsidRPr="008A2411">
        <w:rPr>
          <w:rFonts w:ascii="Times New Roman"/>
          <w:color w:val="000000" w:themeColor="text1"/>
        </w:rPr>
        <w:t>装置区事故污水泄漏排放量按照</w:t>
      </w:r>
      <w:r w:rsidRPr="008A2411">
        <w:rPr>
          <w:rFonts w:ascii="Times New Roman"/>
          <w:color w:val="000000" w:themeColor="text1"/>
        </w:rPr>
        <w:t>1</w:t>
      </w:r>
      <w:r w:rsidRPr="008A2411">
        <w:rPr>
          <w:rFonts w:ascii="Times New Roman"/>
          <w:color w:val="000000" w:themeColor="text1"/>
        </w:rPr>
        <w:t>座吸收塔（约</w:t>
      </w:r>
      <w:r w:rsidRPr="008A2411">
        <w:rPr>
          <w:rFonts w:ascii="Times New Roman"/>
          <w:color w:val="000000" w:themeColor="text1"/>
        </w:rPr>
        <w:t>30m</w:t>
      </w:r>
      <w:r w:rsidRPr="008A2411">
        <w:rPr>
          <w:rFonts w:ascii="Times New Roman"/>
          <w:color w:val="000000" w:themeColor="text1"/>
          <w:vertAlign w:val="superscript"/>
        </w:rPr>
        <w:t>3</w:t>
      </w:r>
      <w:r w:rsidRPr="008A2411">
        <w:rPr>
          <w:rFonts w:ascii="Times New Roman"/>
          <w:color w:val="000000" w:themeColor="text1"/>
        </w:rPr>
        <w:t>液）和</w:t>
      </w:r>
      <w:r w:rsidRPr="008A2411">
        <w:rPr>
          <w:rFonts w:ascii="Times New Roman"/>
          <w:color w:val="000000" w:themeColor="text1"/>
        </w:rPr>
        <w:t>1</w:t>
      </w:r>
      <w:r w:rsidRPr="008A2411">
        <w:rPr>
          <w:rFonts w:ascii="Times New Roman"/>
          <w:color w:val="000000" w:themeColor="text1"/>
        </w:rPr>
        <w:t>座再生塔（约</w:t>
      </w:r>
      <w:r w:rsidRPr="008A2411">
        <w:rPr>
          <w:rFonts w:ascii="Times New Roman"/>
          <w:color w:val="000000" w:themeColor="text1"/>
        </w:rPr>
        <w:t>30m</w:t>
      </w:r>
      <w:r w:rsidRPr="008A2411">
        <w:rPr>
          <w:rFonts w:ascii="Times New Roman"/>
          <w:color w:val="000000" w:themeColor="text1"/>
          <w:vertAlign w:val="superscript"/>
        </w:rPr>
        <w:t>3</w:t>
      </w:r>
      <w:r w:rsidRPr="008A2411">
        <w:rPr>
          <w:rFonts w:ascii="Times New Roman"/>
          <w:color w:val="000000" w:themeColor="text1"/>
        </w:rPr>
        <w:t>液）同时泄漏考虑，共约</w:t>
      </w:r>
      <w:r w:rsidRPr="008A2411">
        <w:rPr>
          <w:rFonts w:ascii="Times New Roman" w:hint="eastAsia"/>
          <w:color w:val="000000" w:themeColor="text1"/>
        </w:rPr>
        <w:t>V1=</w:t>
      </w:r>
      <w:r w:rsidRPr="008A2411">
        <w:rPr>
          <w:rFonts w:ascii="Times New Roman"/>
          <w:color w:val="000000" w:themeColor="text1"/>
        </w:rPr>
        <w:t>60m</w:t>
      </w:r>
      <w:r w:rsidRPr="008A2411">
        <w:rPr>
          <w:rFonts w:ascii="Times New Roman"/>
          <w:color w:val="000000" w:themeColor="text1"/>
          <w:vertAlign w:val="superscript"/>
        </w:rPr>
        <w:t>3</w:t>
      </w:r>
      <w:r w:rsidRPr="008A2411">
        <w:rPr>
          <w:rFonts w:ascii="Times New Roman"/>
          <w:color w:val="000000" w:themeColor="text1"/>
        </w:rPr>
        <w:t>液</w:t>
      </w:r>
      <w:r w:rsidRPr="008A2411">
        <w:rPr>
          <w:rFonts w:ascii="Times New Roman" w:hint="eastAsia"/>
          <w:color w:val="000000" w:themeColor="text1"/>
        </w:rPr>
        <w:t>；其消防设计流量为</w:t>
      </w:r>
      <w:r w:rsidRPr="008A2411">
        <w:rPr>
          <w:rFonts w:ascii="Times New Roman" w:hint="eastAsia"/>
          <w:color w:val="000000" w:themeColor="text1"/>
        </w:rPr>
        <w:t>45L/s</w:t>
      </w:r>
      <w:r w:rsidRPr="008A2411">
        <w:rPr>
          <w:rFonts w:ascii="Times New Roman" w:hint="eastAsia"/>
          <w:color w:val="000000" w:themeColor="text1"/>
        </w:rPr>
        <w:t>，火灾延续时间</w:t>
      </w:r>
      <w:r w:rsidRPr="008A2411">
        <w:rPr>
          <w:rFonts w:ascii="Times New Roman" w:hint="eastAsia"/>
          <w:color w:val="000000" w:themeColor="text1"/>
        </w:rPr>
        <w:t>3</w:t>
      </w:r>
      <w:r w:rsidRPr="008A2411">
        <w:rPr>
          <w:rFonts w:ascii="Times New Roman" w:hint="eastAsia"/>
          <w:color w:val="000000" w:themeColor="text1"/>
        </w:rPr>
        <w:t>小时，</w:t>
      </w:r>
      <w:proofErr w:type="gramStart"/>
      <w:r w:rsidRPr="008A2411">
        <w:rPr>
          <w:rFonts w:ascii="Times New Roman" w:hint="eastAsia"/>
          <w:color w:val="000000" w:themeColor="text1"/>
        </w:rPr>
        <w:t>事故消防</w:t>
      </w:r>
      <w:proofErr w:type="gramEnd"/>
      <w:r w:rsidRPr="008A2411">
        <w:rPr>
          <w:rFonts w:ascii="Times New Roman" w:hint="eastAsia"/>
          <w:color w:val="000000" w:themeColor="text1"/>
        </w:rPr>
        <w:t>水量为</w:t>
      </w:r>
      <w:r w:rsidRPr="008A2411">
        <w:rPr>
          <w:rFonts w:ascii="Times New Roman" w:hint="eastAsia"/>
          <w:color w:val="000000" w:themeColor="text1"/>
        </w:rPr>
        <w:t>V2=486</w:t>
      </w:r>
      <w:r w:rsidRPr="008A2411">
        <w:rPr>
          <w:rFonts w:ascii="Times New Roman"/>
          <w:color w:val="000000" w:themeColor="text1"/>
        </w:rPr>
        <w:t>m</w:t>
      </w:r>
      <w:r w:rsidRPr="008A2411">
        <w:rPr>
          <w:rFonts w:ascii="Times New Roman"/>
          <w:color w:val="000000" w:themeColor="text1"/>
          <w:vertAlign w:val="superscript"/>
        </w:rPr>
        <w:t>3</w:t>
      </w:r>
      <w:r w:rsidRPr="008A2411">
        <w:rPr>
          <w:rFonts w:ascii="Times New Roman" w:hint="eastAsia"/>
          <w:color w:val="000000" w:themeColor="text1"/>
        </w:rPr>
        <w:t>。因此，事故废水量为</w:t>
      </w:r>
      <w:r w:rsidRPr="008A2411">
        <w:rPr>
          <w:rFonts w:ascii="Times New Roman" w:hint="eastAsia"/>
          <w:color w:val="000000" w:themeColor="text1"/>
        </w:rPr>
        <w:t>V=V1+V2=546m</w:t>
      </w:r>
      <w:r w:rsidRPr="008A2411">
        <w:rPr>
          <w:rFonts w:ascii="Times New Roman" w:hint="eastAsia"/>
          <w:color w:val="000000" w:themeColor="text1"/>
          <w:vertAlign w:val="superscript"/>
        </w:rPr>
        <w:t>3</w:t>
      </w:r>
      <w:r w:rsidRPr="008A2411">
        <w:rPr>
          <w:rFonts w:ascii="Times New Roman" w:hint="eastAsia"/>
          <w:color w:val="000000" w:themeColor="text1"/>
        </w:rPr>
        <w:t>。此外，</w:t>
      </w:r>
      <w:r w:rsidRPr="008A2411">
        <w:rPr>
          <w:rFonts w:ascii="Times New Roman"/>
          <w:color w:val="000000" w:themeColor="text1"/>
        </w:rPr>
        <w:t>根据《石油化工企业给水排水系统设计规范》</w:t>
      </w:r>
      <w:r w:rsidRPr="008A2411">
        <w:rPr>
          <w:rFonts w:ascii="Times New Roman"/>
          <w:color w:val="000000" w:themeColor="text1"/>
        </w:rPr>
        <w:t>SH3015</w:t>
      </w:r>
      <w:r w:rsidRPr="008A2411">
        <w:rPr>
          <w:rFonts w:ascii="Times New Roman"/>
          <w:color w:val="000000" w:themeColor="text1"/>
        </w:rPr>
        <w:t>中关于设计排水量的计算规定，工艺装置区的总面积为</w:t>
      </w:r>
      <w:r w:rsidRPr="008A2411">
        <w:rPr>
          <w:rFonts w:ascii="Times New Roman"/>
          <w:color w:val="000000" w:themeColor="text1"/>
          <w:szCs w:val="24"/>
        </w:rPr>
        <w:t>5940</w:t>
      </w:r>
      <w:r w:rsidRPr="008A2411">
        <w:rPr>
          <w:rFonts w:ascii="Times New Roman"/>
          <w:color w:val="000000" w:themeColor="text1"/>
        </w:rPr>
        <w:t>m</w:t>
      </w:r>
      <w:r w:rsidRPr="008A2411">
        <w:rPr>
          <w:rFonts w:ascii="Times New Roman"/>
          <w:color w:val="000000" w:themeColor="text1"/>
          <w:vertAlign w:val="superscript"/>
        </w:rPr>
        <w:t>2</w:t>
      </w:r>
      <w:r w:rsidRPr="008A2411">
        <w:rPr>
          <w:rFonts w:ascii="Times New Roman"/>
          <w:color w:val="000000" w:themeColor="text1"/>
        </w:rPr>
        <w:t>，考虑收集站内工艺装置区范围内</w:t>
      </w:r>
      <w:r w:rsidRPr="008A2411">
        <w:rPr>
          <w:rFonts w:ascii="Times New Roman"/>
          <w:color w:val="000000" w:themeColor="text1"/>
        </w:rPr>
        <w:t>30mm</w:t>
      </w:r>
      <w:r w:rsidRPr="008A2411">
        <w:rPr>
          <w:rFonts w:ascii="Times New Roman"/>
          <w:color w:val="000000" w:themeColor="text1"/>
        </w:rPr>
        <w:t>厚的降水量，作为一次污染雨水量，计算得收集雨水量</w:t>
      </w:r>
      <w:r w:rsidRPr="008A2411">
        <w:rPr>
          <w:rFonts w:ascii="Times New Roman"/>
          <w:color w:val="000000" w:themeColor="text1"/>
        </w:rPr>
        <w:t>178.2m</w:t>
      </w:r>
      <w:r w:rsidRPr="008A2411">
        <w:rPr>
          <w:rFonts w:ascii="Times New Roman"/>
          <w:color w:val="000000" w:themeColor="text1"/>
          <w:vertAlign w:val="superscript"/>
        </w:rPr>
        <w:t>3</w:t>
      </w:r>
      <w:r w:rsidRPr="008A2411">
        <w:rPr>
          <w:rFonts w:ascii="Times New Roman"/>
          <w:color w:val="000000" w:themeColor="text1"/>
        </w:rPr>
        <w:t>。</w:t>
      </w:r>
      <w:r w:rsidRPr="008A2411">
        <w:rPr>
          <w:rFonts w:ascii="Times New Roman" w:hint="eastAsia"/>
          <w:color w:val="000000" w:themeColor="text1"/>
        </w:rPr>
        <w:t>项目事故废水及初期雨水总量为</w:t>
      </w:r>
      <w:r w:rsidRPr="008A2411">
        <w:rPr>
          <w:rFonts w:ascii="Times New Roman" w:hint="eastAsia"/>
          <w:color w:val="000000" w:themeColor="text1"/>
        </w:rPr>
        <w:t>724.2</w:t>
      </w:r>
      <w:r w:rsidRPr="008A2411">
        <w:rPr>
          <w:rFonts w:ascii="Times New Roman"/>
          <w:color w:val="000000" w:themeColor="text1"/>
        </w:rPr>
        <w:t>m</w:t>
      </w:r>
      <w:r w:rsidRPr="008A2411">
        <w:rPr>
          <w:rFonts w:ascii="Times New Roman"/>
          <w:color w:val="000000" w:themeColor="text1"/>
          <w:vertAlign w:val="superscript"/>
        </w:rPr>
        <w:t>3</w:t>
      </w:r>
      <w:r w:rsidRPr="008A2411">
        <w:rPr>
          <w:rFonts w:ascii="Times New Roman" w:hint="eastAsia"/>
          <w:color w:val="000000" w:themeColor="text1"/>
        </w:rPr>
        <w:t>。</w:t>
      </w:r>
      <w:r w:rsidRPr="008A2411">
        <w:rPr>
          <w:rFonts w:ascii="Times New Roman"/>
          <w:color w:val="000000" w:themeColor="text1"/>
          <w:szCs w:val="24"/>
        </w:rPr>
        <w:t>项目设置事故应急池（兼初期雨水收集池），有效容积</w:t>
      </w:r>
      <w:r w:rsidRPr="008A2411">
        <w:rPr>
          <w:rFonts w:ascii="Times New Roman" w:hint="eastAsia"/>
          <w:color w:val="000000" w:themeColor="text1"/>
          <w:szCs w:val="24"/>
        </w:rPr>
        <w:t>8</w:t>
      </w:r>
      <w:r w:rsidRPr="008A2411">
        <w:rPr>
          <w:rFonts w:ascii="Times New Roman"/>
          <w:color w:val="000000" w:themeColor="text1"/>
          <w:szCs w:val="24"/>
        </w:rPr>
        <w:t>00m</w:t>
      </w:r>
      <w:r w:rsidRPr="008A2411">
        <w:rPr>
          <w:rFonts w:ascii="Times New Roman"/>
          <w:color w:val="000000" w:themeColor="text1"/>
          <w:szCs w:val="24"/>
          <w:vertAlign w:val="superscript"/>
        </w:rPr>
        <w:t>3</w:t>
      </w:r>
      <w:r w:rsidRPr="008A2411">
        <w:rPr>
          <w:rFonts w:ascii="Times New Roman"/>
          <w:color w:val="000000" w:themeColor="text1"/>
          <w:szCs w:val="24"/>
        </w:rPr>
        <w:t>，满足初期雨水及事故废水的收集要求。</w:t>
      </w:r>
    </w:p>
    <w:p w14:paraId="584B923B" w14:textId="77777777" w:rsidR="00B0005F" w:rsidRPr="008A2411" w:rsidRDefault="00000000">
      <w:pPr>
        <w:autoSpaceDE w:val="0"/>
        <w:autoSpaceDN w:val="0"/>
        <w:adjustRightInd w:val="0"/>
        <w:snapToGrid w:val="0"/>
        <w:spacing w:line="360" w:lineRule="auto"/>
        <w:ind w:firstLine="482"/>
        <w:rPr>
          <w:rFonts w:ascii="Times New Roman"/>
          <w:color w:val="000000" w:themeColor="text1"/>
          <w:kern w:val="2"/>
          <w:szCs w:val="24"/>
          <w:lang w:bidi="en-US"/>
        </w:rPr>
      </w:pPr>
      <w:r w:rsidRPr="008A2411">
        <w:rPr>
          <w:rFonts w:ascii="Times New Roman"/>
          <w:color w:val="000000" w:themeColor="text1"/>
          <w:kern w:val="2"/>
          <w:szCs w:val="24"/>
          <w:lang w:bidi="en-US"/>
        </w:rPr>
        <w:t>项目废水产生及治理情况见表</w:t>
      </w:r>
      <w:r w:rsidRPr="008A2411">
        <w:rPr>
          <w:rFonts w:ascii="Times New Roman"/>
          <w:color w:val="000000" w:themeColor="text1"/>
          <w:kern w:val="2"/>
          <w:szCs w:val="24"/>
          <w:lang w:bidi="en-US"/>
        </w:rPr>
        <w:t>3.2-11</w:t>
      </w:r>
      <w:r w:rsidRPr="008A2411">
        <w:rPr>
          <w:rFonts w:ascii="Times New Roman"/>
          <w:color w:val="000000" w:themeColor="text1"/>
          <w:kern w:val="2"/>
          <w:szCs w:val="24"/>
          <w:lang w:bidi="en-US"/>
        </w:rPr>
        <w:t>。</w:t>
      </w:r>
    </w:p>
    <w:p w14:paraId="6635B607" w14:textId="77777777" w:rsidR="00B0005F" w:rsidRPr="008A2411" w:rsidRDefault="00000000">
      <w:pPr>
        <w:ind w:firstLineChars="200" w:firstLine="420"/>
        <w:jc w:val="center"/>
        <w:rPr>
          <w:rFonts w:ascii="Times New Roman" w:eastAsia="黑体"/>
          <w:color w:val="000000" w:themeColor="text1"/>
          <w:sz w:val="21"/>
          <w:szCs w:val="21"/>
        </w:rPr>
      </w:pPr>
      <w:r w:rsidRPr="008A2411">
        <w:rPr>
          <w:rFonts w:ascii="Times New Roman" w:eastAsia="黑体"/>
          <w:color w:val="000000" w:themeColor="text1"/>
          <w:sz w:val="21"/>
          <w:szCs w:val="21"/>
        </w:rPr>
        <w:t>表</w:t>
      </w:r>
      <w:r w:rsidRPr="008A2411">
        <w:rPr>
          <w:rFonts w:ascii="Times New Roman" w:eastAsia="黑体"/>
          <w:color w:val="000000" w:themeColor="text1"/>
          <w:sz w:val="21"/>
          <w:szCs w:val="21"/>
        </w:rPr>
        <w:t xml:space="preserve">3.2-11  </w:t>
      </w:r>
      <w:r w:rsidRPr="008A2411">
        <w:rPr>
          <w:rFonts w:ascii="Times New Roman" w:eastAsia="黑体"/>
          <w:color w:val="000000" w:themeColor="text1"/>
          <w:sz w:val="21"/>
          <w:szCs w:val="21"/>
        </w:rPr>
        <w:t>项目废水产生及排放情况一览表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2"/>
        <w:gridCol w:w="827"/>
        <w:gridCol w:w="1510"/>
        <w:gridCol w:w="2332"/>
        <w:gridCol w:w="2309"/>
        <w:gridCol w:w="902"/>
      </w:tblGrid>
      <w:tr w:rsidR="008A2411" w:rsidRPr="008A2411" w14:paraId="23D9DB88" w14:textId="77777777">
        <w:tc>
          <w:tcPr>
            <w:tcW w:w="377" w:type="pct"/>
            <w:shd w:val="clear" w:color="auto" w:fill="auto"/>
            <w:vAlign w:val="center"/>
          </w:tcPr>
          <w:p w14:paraId="35950728" w14:textId="77777777" w:rsidR="00B0005F" w:rsidRPr="008A2411" w:rsidRDefault="00000000">
            <w:pPr>
              <w:spacing w:line="280" w:lineRule="exact"/>
              <w:jc w:val="center"/>
              <w:rPr>
                <w:rFonts w:ascii="Times New Roman"/>
                <w:b/>
                <w:color w:val="000000" w:themeColor="text1"/>
                <w:sz w:val="21"/>
                <w:szCs w:val="21"/>
              </w:rPr>
            </w:pPr>
            <w:r w:rsidRPr="008A2411">
              <w:rPr>
                <w:rFonts w:ascii="Times New Roman"/>
                <w:b/>
                <w:color w:val="000000" w:themeColor="text1"/>
                <w:sz w:val="21"/>
                <w:szCs w:val="21"/>
              </w:rPr>
              <w:t>装置名称</w:t>
            </w:r>
          </w:p>
        </w:tc>
        <w:tc>
          <w:tcPr>
            <w:tcW w:w="485" w:type="pct"/>
            <w:shd w:val="clear" w:color="auto" w:fill="auto"/>
            <w:vAlign w:val="center"/>
          </w:tcPr>
          <w:p w14:paraId="3140507D" w14:textId="77777777" w:rsidR="00B0005F" w:rsidRPr="008A2411" w:rsidRDefault="00000000">
            <w:pPr>
              <w:spacing w:line="280" w:lineRule="exact"/>
              <w:jc w:val="center"/>
              <w:rPr>
                <w:rFonts w:ascii="Times New Roman"/>
                <w:b/>
                <w:color w:val="000000" w:themeColor="text1"/>
                <w:sz w:val="21"/>
                <w:szCs w:val="21"/>
              </w:rPr>
            </w:pPr>
            <w:r w:rsidRPr="008A2411">
              <w:rPr>
                <w:rFonts w:ascii="Times New Roman"/>
                <w:b/>
                <w:color w:val="000000" w:themeColor="text1"/>
                <w:sz w:val="21"/>
                <w:szCs w:val="21"/>
              </w:rPr>
              <w:t>编号</w:t>
            </w:r>
          </w:p>
        </w:tc>
        <w:tc>
          <w:tcPr>
            <w:tcW w:w="886" w:type="pct"/>
            <w:shd w:val="clear" w:color="auto" w:fill="auto"/>
            <w:vAlign w:val="center"/>
          </w:tcPr>
          <w:p w14:paraId="0B5CA5C7" w14:textId="77777777" w:rsidR="00B0005F" w:rsidRPr="008A2411" w:rsidRDefault="00000000">
            <w:pPr>
              <w:spacing w:line="280" w:lineRule="exact"/>
              <w:jc w:val="center"/>
              <w:rPr>
                <w:rFonts w:ascii="Times New Roman"/>
                <w:b/>
                <w:color w:val="000000" w:themeColor="text1"/>
                <w:sz w:val="21"/>
                <w:szCs w:val="21"/>
              </w:rPr>
            </w:pPr>
            <w:r w:rsidRPr="008A2411">
              <w:rPr>
                <w:rFonts w:ascii="Times New Roman"/>
                <w:b/>
                <w:color w:val="000000" w:themeColor="text1"/>
                <w:sz w:val="21"/>
                <w:szCs w:val="21"/>
              </w:rPr>
              <w:t>废水名称</w:t>
            </w:r>
          </w:p>
        </w:tc>
        <w:tc>
          <w:tcPr>
            <w:tcW w:w="1368" w:type="pct"/>
            <w:shd w:val="clear" w:color="auto" w:fill="auto"/>
            <w:vAlign w:val="center"/>
          </w:tcPr>
          <w:p w14:paraId="7C507903" w14:textId="77777777" w:rsidR="00B0005F" w:rsidRPr="008A2411" w:rsidRDefault="00000000">
            <w:pPr>
              <w:spacing w:line="280" w:lineRule="exact"/>
              <w:jc w:val="center"/>
              <w:rPr>
                <w:rFonts w:ascii="Times New Roman"/>
                <w:b/>
                <w:color w:val="000000" w:themeColor="text1"/>
                <w:sz w:val="21"/>
                <w:szCs w:val="21"/>
              </w:rPr>
            </w:pPr>
            <w:r w:rsidRPr="008A2411">
              <w:rPr>
                <w:rFonts w:ascii="Times New Roman"/>
                <w:b/>
                <w:color w:val="000000" w:themeColor="text1"/>
                <w:sz w:val="21"/>
                <w:szCs w:val="21"/>
              </w:rPr>
              <w:t>产生情况</w:t>
            </w:r>
          </w:p>
        </w:tc>
        <w:tc>
          <w:tcPr>
            <w:tcW w:w="1355" w:type="pct"/>
            <w:shd w:val="clear" w:color="auto" w:fill="auto"/>
            <w:vAlign w:val="center"/>
          </w:tcPr>
          <w:p w14:paraId="363F715C" w14:textId="77777777" w:rsidR="00B0005F" w:rsidRPr="008A2411" w:rsidRDefault="00000000">
            <w:pPr>
              <w:spacing w:line="280" w:lineRule="exact"/>
              <w:jc w:val="center"/>
              <w:rPr>
                <w:rFonts w:ascii="Times New Roman"/>
                <w:b/>
                <w:color w:val="000000" w:themeColor="text1"/>
                <w:sz w:val="21"/>
                <w:szCs w:val="21"/>
              </w:rPr>
            </w:pPr>
            <w:r w:rsidRPr="008A2411">
              <w:rPr>
                <w:rFonts w:ascii="Times New Roman"/>
                <w:b/>
                <w:color w:val="000000" w:themeColor="text1"/>
                <w:sz w:val="21"/>
                <w:szCs w:val="21"/>
              </w:rPr>
              <w:t>治理措施</w:t>
            </w:r>
          </w:p>
        </w:tc>
        <w:tc>
          <w:tcPr>
            <w:tcW w:w="529" w:type="pct"/>
            <w:shd w:val="clear" w:color="auto" w:fill="auto"/>
            <w:vAlign w:val="center"/>
          </w:tcPr>
          <w:p w14:paraId="3AECA745" w14:textId="77777777" w:rsidR="00B0005F" w:rsidRPr="008A2411" w:rsidRDefault="00000000">
            <w:pPr>
              <w:spacing w:line="280" w:lineRule="exact"/>
              <w:jc w:val="center"/>
              <w:rPr>
                <w:rFonts w:ascii="Times New Roman"/>
                <w:b/>
                <w:color w:val="000000" w:themeColor="text1"/>
                <w:sz w:val="21"/>
                <w:szCs w:val="21"/>
              </w:rPr>
            </w:pPr>
            <w:r w:rsidRPr="008A2411">
              <w:rPr>
                <w:rFonts w:ascii="Times New Roman"/>
                <w:b/>
                <w:color w:val="000000" w:themeColor="text1"/>
                <w:sz w:val="21"/>
                <w:szCs w:val="21"/>
              </w:rPr>
              <w:t>排放情况</w:t>
            </w:r>
          </w:p>
        </w:tc>
      </w:tr>
      <w:tr w:rsidR="008A2411" w:rsidRPr="008A2411" w14:paraId="6A90413B" w14:textId="77777777">
        <w:trPr>
          <w:trHeight w:val="90"/>
        </w:trPr>
        <w:tc>
          <w:tcPr>
            <w:tcW w:w="377" w:type="pct"/>
            <w:vMerge w:val="restart"/>
            <w:shd w:val="clear" w:color="auto" w:fill="auto"/>
            <w:vAlign w:val="center"/>
          </w:tcPr>
          <w:p w14:paraId="77C7C599"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工艺装置</w:t>
            </w:r>
          </w:p>
        </w:tc>
        <w:tc>
          <w:tcPr>
            <w:tcW w:w="485" w:type="pct"/>
            <w:shd w:val="clear" w:color="auto" w:fill="auto"/>
            <w:vAlign w:val="center"/>
          </w:tcPr>
          <w:p w14:paraId="45F46C94"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W</w:t>
            </w:r>
            <w:r w:rsidRPr="008A2411">
              <w:rPr>
                <w:rFonts w:ascii="Times New Roman"/>
                <w:color w:val="000000" w:themeColor="text1"/>
                <w:sz w:val="21"/>
                <w:szCs w:val="21"/>
                <w:vertAlign w:val="subscript"/>
              </w:rPr>
              <w:t>1</w:t>
            </w:r>
          </w:p>
        </w:tc>
        <w:tc>
          <w:tcPr>
            <w:tcW w:w="886" w:type="pct"/>
            <w:shd w:val="clear" w:color="auto" w:fill="auto"/>
            <w:vAlign w:val="center"/>
          </w:tcPr>
          <w:p w14:paraId="4CF6361E"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进口分离器废水</w:t>
            </w:r>
          </w:p>
        </w:tc>
        <w:tc>
          <w:tcPr>
            <w:tcW w:w="1368" w:type="pct"/>
            <w:shd w:val="clear" w:color="auto" w:fill="auto"/>
            <w:vAlign w:val="center"/>
          </w:tcPr>
          <w:p w14:paraId="1C86FA43"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连续；</w:t>
            </w:r>
            <w:r w:rsidRPr="008A2411">
              <w:rPr>
                <w:rFonts w:ascii="Times New Roman"/>
                <w:color w:val="000000" w:themeColor="text1"/>
                <w:sz w:val="21"/>
                <w:szCs w:val="21"/>
              </w:rPr>
              <w:t>0.2m</w:t>
            </w:r>
            <w:r w:rsidRPr="008A2411">
              <w:rPr>
                <w:rFonts w:ascii="Times New Roman"/>
                <w:color w:val="000000" w:themeColor="text1"/>
                <w:sz w:val="21"/>
                <w:szCs w:val="21"/>
                <w:vertAlign w:val="superscript"/>
              </w:rPr>
              <w:t>3</w:t>
            </w:r>
            <w:r w:rsidRPr="008A2411">
              <w:rPr>
                <w:rFonts w:ascii="Times New Roman"/>
                <w:color w:val="000000" w:themeColor="text1"/>
                <w:sz w:val="21"/>
                <w:szCs w:val="21"/>
              </w:rPr>
              <w:t>/d</w:t>
            </w:r>
          </w:p>
          <w:p w14:paraId="013B9C42"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CODcr</w:t>
            </w:r>
            <w:r w:rsidRPr="008A2411">
              <w:rPr>
                <w:rFonts w:ascii="Times New Roman"/>
                <w:color w:val="000000" w:themeColor="text1"/>
                <w:sz w:val="21"/>
                <w:szCs w:val="21"/>
              </w:rPr>
              <w:t>：</w:t>
            </w:r>
            <w:r w:rsidRPr="008A2411">
              <w:rPr>
                <w:rFonts w:ascii="Times New Roman"/>
                <w:color w:val="000000" w:themeColor="text1"/>
                <w:sz w:val="21"/>
                <w:szCs w:val="21"/>
              </w:rPr>
              <w:t>350mg/L</w:t>
            </w:r>
          </w:p>
          <w:p w14:paraId="66E64121"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SS</w:t>
            </w:r>
            <w:r w:rsidRPr="008A2411">
              <w:rPr>
                <w:rFonts w:ascii="Times New Roman"/>
                <w:color w:val="000000" w:themeColor="text1"/>
                <w:sz w:val="21"/>
                <w:szCs w:val="21"/>
              </w:rPr>
              <w:t>：</w:t>
            </w:r>
            <w:r w:rsidRPr="008A2411">
              <w:rPr>
                <w:rFonts w:ascii="Times New Roman"/>
                <w:color w:val="000000" w:themeColor="text1"/>
                <w:sz w:val="21"/>
                <w:szCs w:val="21"/>
              </w:rPr>
              <w:t>100mg/L</w:t>
            </w:r>
          </w:p>
          <w:p w14:paraId="2A5D6ED3"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石油类：</w:t>
            </w:r>
            <w:r w:rsidRPr="008A2411">
              <w:rPr>
                <w:rFonts w:ascii="Times New Roman"/>
                <w:color w:val="000000" w:themeColor="text1"/>
                <w:sz w:val="21"/>
                <w:szCs w:val="21"/>
              </w:rPr>
              <w:t>10</w:t>
            </w:r>
            <w:r w:rsidRPr="008A2411">
              <w:rPr>
                <w:rFonts w:ascii="Times New Roman"/>
                <w:color w:val="000000" w:themeColor="text1"/>
                <w:sz w:val="21"/>
                <w:szCs w:val="21"/>
              </w:rPr>
              <w:t>～</w:t>
            </w:r>
            <w:r w:rsidRPr="008A2411">
              <w:rPr>
                <w:rFonts w:ascii="Times New Roman"/>
                <w:color w:val="000000" w:themeColor="text1"/>
                <w:sz w:val="21"/>
                <w:szCs w:val="21"/>
              </w:rPr>
              <w:t>100mg/L</w:t>
            </w:r>
          </w:p>
        </w:tc>
        <w:tc>
          <w:tcPr>
            <w:tcW w:w="1355" w:type="pct"/>
            <w:vMerge w:val="restart"/>
            <w:shd w:val="clear" w:color="auto" w:fill="auto"/>
            <w:vAlign w:val="center"/>
          </w:tcPr>
          <w:p w14:paraId="5D715FCE"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排入厂区污水处理站预处理达到《污水综合排放标准》</w:t>
            </w:r>
            <w:r w:rsidRPr="008A2411">
              <w:rPr>
                <w:rFonts w:ascii="Times New Roman"/>
                <w:color w:val="000000" w:themeColor="text1"/>
                <w:sz w:val="21"/>
                <w:szCs w:val="21"/>
              </w:rPr>
              <w:t>GB8978-1996</w:t>
            </w:r>
            <w:proofErr w:type="gramStart"/>
            <w:r w:rsidRPr="008A2411">
              <w:rPr>
                <w:rFonts w:ascii="Times New Roman"/>
                <w:color w:val="000000" w:themeColor="text1"/>
                <w:sz w:val="21"/>
                <w:szCs w:val="21"/>
              </w:rPr>
              <w:t>三</w:t>
            </w:r>
            <w:proofErr w:type="gramEnd"/>
            <w:r w:rsidRPr="008A2411">
              <w:rPr>
                <w:rFonts w:ascii="Times New Roman"/>
                <w:color w:val="000000" w:themeColor="text1"/>
                <w:sz w:val="21"/>
                <w:szCs w:val="21"/>
              </w:rPr>
              <w:t>级标准，排入园区污水处理厂</w:t>
            </w:r>
          </w:p>
        </w:tc>
        <w:tc>
          <w:tcPr>
            <w:tcW w:w="529" w:type="pct"/>
            <w:vMerge w:val="restart"/>
            <w:shd w:val="clear" w:color="auto" w:fill="auto"/>
            <w:vAlign w:val="center"/>
          </w:tcPr>
          <w:p w14:paraId="617542CB" w14:textId="77777777" w:rsidR="00B0005F" w:rsidRPr="008A2411" w:rsidRDefault="00000000">
            <w:pPr>
              <w:spacing w:line="280" w:lineRule="exact"/>
              <w:rPr>
                <w:rFonts w:ascii="Times New Roman"/>
                <w:color w:val="000000" w:themeColor="text1"/>
                <w:sz w:val="21"/>
                <w:szCs w:val="21"/>
              </w:rPr>
            </w:pPr>
            <w:r w:rsidRPr="008A2411">
              <w:rPr>
                <w:rFonts w:ascii="Times New Roman"/>
                <w:color w:val="000000" w:themeColor="text1"/>
                <w:sz w:val="21"/>
                <w:szCs w:val="21"/>
              </w:rPr>
              <w:t>排入园区管网</w:t>
            </w:r>
          </w:p>
        </w:tc>
      </w:tr>
      <w:tr w:rsidR="008A2411" w:rsidRPr="008A2411" w14:paraId="316D4D24" w14:textId="77777777">
        <w:trPr>
          <w:trHeight w:val="1020"/>
        </w:trPr>
        <w:tc>
          <w:tcPr>
            <w:tcW w:w="377" w:type="pct"/>
            <w:vMerge/>
            <w:shd w:val="clear" w:color="auto" w:fill="auto"/>
            <w:vAlign w:val="center"/>
          </w:tcPr>
          <w:p w14:paraId="3B236C52" w14:textId="77777777" w:rsidR="00B0005F" w:rsidRPr="008A2411" w:rsidRDefault="00B0005F">
            <w:pPr>
              <w:spacing w:line="280" w:lineRule="exact"/>
              <w:jc w:val="center"/>
              <w:rPr>
                <w:rFonts w:ascii="Times New Roman"/>
                <w:color w:val="000000" w:themeColor="text1"/>
                <w:sz w:val="21"/>
                <w:szCs w:val="21"/>
              </w:rPr>
            </w:pPr>
          </w:p>
        </w:tc>
        <w:tc>
          <w:tcPr>
            <w:tcW w:w="485" w:type="pct"/>
            <w:shd w:val="clear" w:color="auto" w:fill="auto"/>
            <w:vAlign w:val="center"/>
          </w:tcPr>
          <w:p w14:paraId="58FF513E"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W</w:t>
            </w:r>
            <w:r w:rsidRPr="008A2411">
              <w:rPr>
                <w:rFonts w:ascii="Times New Roman"/>
                <w:color w:val="000000" w:themeColor="text1"/>
                <w:sz w:val="21"/>
                <w:szCs w:val="21"/>
                <w:vertAlign w:val="subscript"/>
              </w:rPr>
              <w:t>2</w:t>
            </w:r>
          </w:p>
        </w:tc>
        <w:tc>
          <w:tcPr>
            <w:tcW w:w="886" w:type="pct"/>
            <w:shd w:val="clear" w:color="auto" w:fill="auto"/>
            <w:vAlign w:val="center"/>
          </w:tcPr>
          <w:p w14:paraId="55DC8DFD"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kern w:val="2"/>
                <w:sz w:val="21"/>
                <w:szCs w:val="21"/>
              </w:rPr>
              <w:t>脱水再生器冷却器凝液</w:t>
            </w:r>
          </w:p>
        </w:tc>
        <w:tc>
          <w:tcPr>
            <w:tcW w:w="1368" w:type="pct"/>
            <w:shd w:val="clear" w:color="auto" w:fill="auto"/>
            <w:vAlign w:val="center"/>
          </w:tcPr>
          <w:p w14:paraId="09401448"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连续；</w:t>
            </w:r>
            <w:r w:rsidRPr="008A2411">
              <w:rPr>
                <w:rFonts w:ascii="Times New Roman"/>
                <w:color w:val="000000" w:themeColor="text1"/>
                <w:sz w:val="21"/>
                <w:szCs w:val="21"/>
              </w:rPr>
              <w:t>1.2m</w:t>
            </w:r>
            <w:r w:rsidRPr="008A2411">
              <w:rPr>
                <w:rFonts w:ascii="Times New Roman"/>
                <w:color w:val="000000" w:themeColor="text1"/>
                <w:sz w:val="21"/>
                <w:szCs w:val="21"/>
                <w:vertAlign w:val="superscript"/>
              </w:rPr>
              <w:t>3</w:t>
            </w:r>
            <w:r w:rsidRPr="008A2411">
              <w:rPr>
                <w:rFonts w:ascii="Times New Roman"/>
                <w:color w:val="000000" w:themeColor="text1"/>
                <w:sz w:val="21"/>
                <w:szCs w:val="21"/>
              </w:rPr>
              <w:t>/d</w:t>
            </w:r>
          </w:p>
          <w:p w14:paraId="7A56BACF"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CODcr</w:t>
            </w:r>
            <w:r w:rsidRPr="008A2411">
              <w:rPr>
                <w:rFonts w:ascii="Times New Roman"/>
                <w:color w:val="000000" w:themeColor="text1"/>
                <w:sz w:val="21"/>
                <w:szCs w:val="21"/>
              </w:rPr>
              <w:t>：</w:t>
            </w:r>
            <w:r w:rsidRPr="008A2411">
              <w:rPr>
                <w:rFonts w:ascii="Times New Roman"/>
                <w:color w:val="000000" w:themeColor="text1"/>
                <w:sz w:val="21"/>
                <w:szCs w:val="21"/>
              </w:rPr>
              <w:t>350mg/L</w:t>
            </w:r>
          </w:p>
          <w:p w14:paraId="6C49A14A"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石油类：</w:t>
            </w:r>
            <w:r w:rsidRPr="008A2411">
              <w:rPr>
                <w:rFonts w:ascii="Times New Roman"/>
                <w:color w:val="000000" w:themeColor="text1"/>
                <w:sz w:val="21"/>
                <w:szCs w:val="21"/>
              </w:rPr>
              <w:t>10</w:t>
            </w:r>
            <w:r w:rsidRPr="008A2411">
              <w:rPr>
                <w:rFonts w:ascii="Times New Roman"/>
                <w:color w:val="000000" w:themeColor="text1"/>
                <w:sz w:val="21"/>
                <w:szCs w:val="21"/>
              </w:rPr>
              <w:t>～</w:t>
            </w:r>
            <w:r w:rsidRPr="008A2411">
              <w:rPr>
                <w:rFonts w:ascii="Times New Roman"/>
                <w:color w:val="000000" w:themeColor="text1"/>
                <w:sz w:val="21"/>
                <w:szCs w:val="21"/>
              </w:rPr>
              <w:t>100mg/L</w:t>
            </w:r>
          </w:p>
        </w:tc>
        <w:tc>
          <w:tcPr>
            <w:tcW w:w="1355" w:type="pct"/>
            <w:vMerge/>
            <w:shd w:val="clear" w:color="auto" w:fill="auto"/>
            <w:vAlign w:val="center"/>
          </w:tcPr>
          <w:p w14:paraId="5FBD8B18" w14:textId="77777777" w:rsidR="00B0005F" w:rsidRPr="008A2411" w:rsidRDefault="00B0005F">
            <w:pPr>
              <w:spacing w:line="280" w:lineRule="exact"/>
              <w:jc w:val="center"/>
              <w:rPr>
                <w:rFonts w:ascii="Times New Roman"/>
                <w:color w:val="000000" w:themeColor="text1"/>
                <w:sz w:val="21"/>
                <w:szCs w:val="21"/>
              </w:rPr>
            </w:pPr>
          </w:p>
        </w:tc>
        <w:tc>
          <w:tcPr>
            <w:tcW w:w="529" w:type="pct"/>
            <w:vMerge/>
            <w:shd w:val="clear" w:color="auto" w:fill="auto"/>
            <w:vAlign w:val="center"/>
          </w:tcPr>
          <w:p w14:paraId="058DF143" w14:textId="77777777" w:rsidR="00B0005F" w:rsidRPr="008A2411" w:rsidRDefault="00B0005F">
            <w:pPr>
              <w:spacing w:line="280" w:lineRule="exact"/>
              <w:rPr>
                <w:rFonts w:ascii="Times New Roman"/>
                <w:color w:val="000000" w:themeColor="text1"/>
                <w:sz w:val="21"/>
                <w:szCs w:val="21"/>
              </w:rPr>
            </w:pPr>
          </w:p>
        </w:tc>
      </w:tr>
      <w:tr w:rsidR="008A2411" w:rsidRPr="008A2411" w14:paraId="7FCFFD98" w14:textId="77777777">
        <w:trPr>
          <w:trHeight w:val="1020"/>
        </w:trPr>
        <w:tc>
          <w:tcPr>
            <w:tcW w:w="377" w:type="pct"/>
            <w:shd w:val="clear" w:color="auto" w:fill="auto"/>
            <w:vAlign w:val="center"/>
          </w:tcPr>
          <w:p w14:paraId="49352197"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脱盐水间</w:t>
            </w:r>
          </w:p>
        </w:tc>
        <w:tc>
          <w:tcPr>
            <w:tcW w:w="485" w:type="pct"/>
            <w:shd w:val="clear" w:color="auto" w:fill="auto"/>
            <w:vAlign w:val="center"/>
          </w:tcPr>
          <w:p w14:paraId="16566A96"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W</w:t>
            </w:r>
            <w:r w:rsidRPr="008A2411">
              <w:rPr>
                <w:rFonts w:ascii="Times New Roman"/>
                <w:color w:val="000000" w:themeColor="text1"/>
                <w:sz w:val="21"/>
                <w:szCs w:val="21"/>
                <w:vertAlign w:val="subscript"/>
              </w:rPr>
              <w:t>3</w:t>
            </w:r>
          </w:p>
        </w:tc>
        <w:tc>
          <w:tcPr>
            <w:tcW w:w="886" w:type="pct"/>
            <w:shd w:val="clear" w:color="auto" w:fill="auto"/>
            <w:vAlign w:val="center"/>
          </w:tcPr>
          <w:p w14:paraId="0C43AFF9" w14:textId="77777777" w:rsidR="00B0005F" w:rsidRPr="008A2411" w:rsidRDefault="00000000">
            <w:pPr>
              <w:spacing w:line="280" w:lineRule="exact"/>
              <w:jc w:val="center"/>
              <w:rPr>
                <w:rFonts w:ascii="Times New Roman"/>
                <w:color w:val="000000" w:themeColor="text1"/>
                <w:kern w:val="2"/>
                <w:sz w:val="21"/>
                <w:szCs w:val="21"/>
              </w:rPr>
            </w:pPr>
            <w:r w:rsidRPr="008A2411">
              <w:rPr>
                <w:rFonts w:ascii="Times New Roman"/>
                <w:color w:val="000000" w:themeColor="text1"/>
                <w:kern w:val="2"/>
                <w:sz w:val="21"/>
                <w:szCs w:val="21"/>
              </w:rPr>
              <w:t>脱盐水装置排水</w:t>
            </w:r>
          </w:p>
        </w:tc>
        <w:tc>
          <w:tcPr>
            <w:tcW w:w="1368" w:type="pct"/>
            <w:shd w:val="clear" w:color="auto" w:fill="auto"/>
            <w:vAlign w:val="center"/>
          </w:tcPr>
          <w:p w14:paraId="1BC28EC5"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连续；</w:t>
            </w:r>
            <w:r w:rsidRPr="008A2411">
              <w:rPr>
                <w:rFonts w:ascii="Times New Roman"/>
                <w:color w:val="000000" w:themeColor="text1"/>
                <w:sz w:val="21"/>
                <w:szCs w:val="21"/>
              </w:rPr>
              <w:t>80.8m</w:t>
            </w:r>
            <w:r w:rsidRPr="008A2411">
              <w:rPr>
                <w:rFonts w:ascii="Times New Roman"/>
                <w:color w:val="000000" w:themeColor="text1"/>
                <w:sz w:val="21"/>
                <w:szCs w:val="21"/>
                <w:vertAlign w:val="superscript"/>
              </w:rPr>
              <w:t>3</w:t>
            </w:r>
            <w:r w:rsidRPr="008A2411">
              <w:rPr>
                <w:rFonts w:ascii="Times New Roman"/>
                <w:color w:val="000000" w:themeColor="text1"/>
                <w:sz w:val="21"/>
                <w:szCs w:val="21"/>
              </w:rPr>
              <w:t>/d</w:t>
            </w:r>
          </w:p>
          <w:p w14:paraId="11EBCE99"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总矿化度</w:t>
            </w:r>
            <w:r w:rsidRPr="008A2411">
              <w:rPr>
                <w:rFonts w:ascii="Times New Roman"/>
                <w:color w:val="000000" w:themeColor="text1"/>
                <w:sz w:val="21"/>
                <w:szCs w:val="21"/>
              </w:rPr>
              <w:t>600</w:t>
            </w:r>
            <w:r w:rsidRPr="008A2411">
              <w:rPr>
                <w:rFonts w:ascii="Times New Roman"/>
                <w:color w:val="000000" w:themeColor="text1"/>
                <w:sz w:val="21"/>
                <w:szCs w:val="21"/>
              </w:rPr>
              <w:t>～</w:t>
            </w:r>
            <w:r w:rsidRPr="008A2411">
              <w:rPr>
                <w:rFonts w:ascii="Times New Roman"/>
                <w:color w:val="000000" w:themeColor="text1"/>
                <w:sz w:val="21"/>
                <w:szCs w:val="21"/>
              </w:rPr>
              <w:t>900mg/l</w:t>
            </w:r>
            <w:r w:rsidRPr="008A2411">
              <w:rPr>
                <w:rFonts w:ascii="Times New Roman"/>
                <w:color w:val="000000" w:themeColor="text1"/>
                <w:sz w:val="21"/>
                <w:szCs w:val="21"/>
              </w:rPr>
              <w:t>，</w:t>
            </w:r>
            <w:r w:rsidRPr="008A2411">
              <w:rPr>
                <w:rFonts w:ascii="Times New Roman"/>
                <w:color w:val="000000" w:themeColor="text1"/>
                <w:sz w:val="21"/>
                <w:szCs w:val="21"/>
              </w:rPr>
              <w:t>pH</w:t>
            </w:r>
            <w:r w:rsidRPr="008A2411">
              <w:rPr>
                <w:rFonts w:ascii="Times New Roman"/>
                <w:color w:val="000000" w:themeColor="text1"/>
                <w:sz w:val="21"/>
                <w:szCs w:val="21"/>
              </w:rPr>
              <w:t>值</w:t>
            </w:r>
            <w:r w:rsidRPr="008A2411">
              <w:rPr>
                <w:rFonts w:ascii="Times New Roman"/>
                <w:color w:val="000000" w:themeColor="text1"/>
                <w:sz w:val="21"/>
                <w:szCs w:val="21"/>
              </w:rPr>
              <w:t>6.5</w:t>
            </w:r>
            <w:r w:rsidRPr="008A2411">
              <w:rPr>
                <w:rFonts w:ascii="Times New Roman"/>
                <w:color w:val="000000" w:themeColor="text1"/>
                <w:sz w:val="21"/>
                <w:szCs w:val="21"/>
              </w:rPr>
              <w:t>～</w:t>
            </w:r>
            <w:r w:rsidRPr="008A2411">
              <w:rPr>
                <w:rFonts w:ascii="Times New Roman"/>
                <w:color w:val="000000" w:themeColor="text1"/>
                <w:sz w:val="21"/>
                <w:szCs w:val="21"/>
              </w:rPr>
              <w:t>7.5</w:t>
            </w:r>
          </w:p>
        </w:tc>
        <w:tc>
          <w:tcPr>
            <w:tcW w:w="1355" w:type="pct"/>
            <w:vMerge w:val="restart"/>
            <w:shd w:val="clear" w:color="auto" w:fill="auto"/>
            <w:vAlign w:val="center"/>
          </w:tcPr>
          <w:p w14:paraId="1E616B72"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水质满足《污水综合排放标准》</w:t>
            </w:r>
            <w:r w:rsidRPr="008A2411">
              <w:rPr>
                <w:rFonts w:ascii="Times New Roman"/>
                <w:color w:val="000000" w:themeColor="text1"/>
                <w:sz w:val="21"/>
                <w:szCs w:val="21"/>
              </w:rPr>
              <w:t>GB8978-1996</w:t>
            </w:r>
            <w:proofErr w:type="gramStart"/>
            <w:r w:rsidRPr="008A2411">
              <w:rPr>
                <w:rFonts w:ascii="Times New Roman"/>
                <w:color w:val="000000" w:themeColor="text1"/>
                <w:sz w:val="21"/>
                <w:szCs w:val="21"/>
              </w:rPr>
              <w:t>三</w:t>
            </w:r>
            <w:proofErr w:type="gramEnd"/>
            <w:r w:rsidRPr="008A2411">
              <w:rPr>
                <w:rFonts w:ascii="Times New Roman"/>
                <w:color w:val="000000" w:themeColor="text1"/>
                <w:sz w:val="21"/>
                <w:szCs w:val="21"/>
              </w:rPr>
              <w:t>级标准，直接排入管区管网</w:t>
            </w:r>
          </w:p>
        </w:tc>
        <w:tc>
          <w:tcPr>
            <w:tcW w:w="529" w:type="pct"/>
            <w:vMerge/>
            <w:shd w:val="clear" w:color="auto" w:fill="auto"/>
            <w:vAlign w:val="center"/>
          </w:tcPr>
          <w:p w14:paraId="1A63C02B" w14:textId="77777777" w:rsidR="00B0005F" w:rsidRPr="008A2411" w:rsidRDefault="00B0005F">
            <w:pPr>
              <w:spacing w:line="280" w:lineRule="exact"/>
              <w:rPr>
                <w:rFonts w:ascii="Times New Roman"/>
                <w:color w:val="000000" w:themeColor="text1"/>
                <w:sz w:val="21"/>
                <w:szCs w:val="21"/>
              </w:rPr>
            </w:pPr>
          </w:p>
        </w:tc>
      </w:tr>
      <w:tr w:rsidR="008A2411" w:rsidRPr="008A2411" w14:paraId="02D84924" w14:textId="77777777">
        <w:trPr>
          <w:trHeight w:val="1020"/>
        </w:trPr>
        <w:tc>
          <w:tcPr>
            <w:tcW w:w="377" w:type="pct"/>
            <w:shd w:val="clear" w:color="auto" w:fill="auto"/>
            <w:vAlign w:val="center"/>
          </w:tcPr>
          <w:p w14:paraId="6940B776"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软化水装置排水</w:t>
            </w:r>
          </w:p>
        </w:tc>
        <w:tc>
          <w:tcPr>
            <w:tcW w:w="485" w:type="pct"/>
            <w:shd w:val="clear" w:color="auto" w:fill="auto"/>
            <w:vAlign w:val="center"/>
          </w:tcPr>
          <w:p w14:paraId="72CB24D2"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W</w:t>
            </w:r>
            <w:r w:rsidRPr="008A2411">
              <w:rPr>
                <w:rFonts w:ascii="Times New Roman"/>
                <w:color w:val="000000" w:themeColor="text1"/>
                <w:sz w:val="21"/>
                <w:szCs w:val="21"/>
                <w:vertAlign w:val="subscript"/>
              </w:rPr>
              <w:t>4</w:t>
            </w:r>
          </w:p>
        </w:tc>
        <w:tc>
          <w:tcPr>
            <w:tcW w:w="886" w:type="pct"/>
            <w:shd w:val="clear" w:color="auto" w:fill="auto"/>
            <w:vAlign w:val="center"/>
          </w:tcPr>
          <w:p w14:paraId="76508F43" w14:textId="77777777" w:rsidR="00B0005F" w:rsidRPr="008A2411" w:rsidRDefault="00000000">
            <w:pPr>
              <w:spacing w:line="280" w:lineRule="exact"/>
              <w:jc w:val="center"/>
              <w:rPr>
                <w:rFonts w:ascii="Times New Roman"/>
                <w:color w:val="000000" w:themeColor="text1"/>
                <w:kern w:val="2"/>
                <w:sz w:val="21"/>
                <w:szCs w:val="21"/>
              </w:rPr>
            </w:pPr>
            <w:r w:rsidRPr="008A2411">
              <w:rPr>
                <w:rFonts w:ascii="Times New Roman"/>
                <w:color w:val="000000" w:themeColor="text1"/>
                <w:sz w:val="21"/>
                <w:szCs w:val="21"/>
              </w:rPr>
              <w:t>软化水装置</w:t>
            </w:r>
          </w:p>
        </w:tc>
        <w:tc>
          <w:tcPr>
            <w:tcW w:w="1368" w:type="pct"/>
            <w:shd w:val="clear" w:color="auto" w:fill="auto"/>
            <w:vAlign w:val="center"/>
          </w:tcPr>
          <w:p w14:paraId="0B94EAAA" w14:textId="77777777" w:rsidR="00B0005F" w:rsidRPr="008A2411" w:rsidRDefault="00000000">
            <w:pPr>
              <w:spacing w:line="280" w:lineRule="exact"/>
              <w:rPr>
                <w:rFonts w:ascii="Times New Roman"/>
                <w:color w:val="000000" w:themeColor="text1"/>
                <w:sz w:val="21"/>
                <w:szCs w:val="21"/>
              </w:rPr>
            </w:pPr>
            <w:r w:rsidRPr="008A2411">
              <w:rPr>
                <w:rFonts w:ascii="Times New Roman"/>
                <w:color w:val="000000" w:themeColor="text1"/>
                <w:sz w:val="21"/>
                <w:szCs w:val="21"/>
              </w:rPr>
              <w:t>连续；</w:t>
            </w:r>
            <w:r w:rsidRPr="008A2411">
              <w:rPr>
                <w:rFonts w:ascii="Times New Roman"/>
                <w:color w:val="000000" w:themeColor="text1"/>
                <w:sz w:val="21"/>
                <w:szCs w:val="21"/>
              </w:rPr>
              <w:t>312m</w:t>
            </w:r>
            <w:r w:rsidRPr="008A2411">
              <w:rPr>
                <w:rFonts w:ascii="Times New Roman"/>
                <w:color w:val="000000" w:themeColor="text1"/>
                <w:sz w:val="21"/>
                <w:szCs w:val="21"/>
                <w:vertAlign w:val="superscript"/>
              </w:rPr>
              <w:t>3</w:t>
            </w:r>
            <w:r w:rsidRPr="008A2411">
              <w:rPr>
                <w:rFonts w:ascii="Times New Roman"/>
                <w:color w:val="000000" w:themeColor="text1"/>
                <w:sz w:val="21"/>
                <w:szCs w:val="21"/>
              </w:rPr>
              <w:t>/d</w:t>
            </w:r>
          </w:p>
          <w:p w14:paraId="6AFB2FD5" w14:textId="77777777" w:rsidR="00B0005F" w:rsidRPr="008A2411" w:rsidRDefault="00000000">
            <w:pPr>
              <w:spacing w:line="280" w:lineRule="exact"/>
              <w:rPr>
                <w:rFonts w:ascii="Times New Roman"/>
                <w:color w:val="000000" w:themeColor="text1"/>
                <w:sz w:val="21"/>
                <w:szCs w:val="21"/>
              </w:rPr>
            </w:pPr>
            <w:r w:rsidRPr="008A2411">
              <w:rPr>
                <w:rFonts w:ascii="Times New Roman"/>
                <w:color w:val="000000" w:themeColor="text1"/>
                <w:kern w:val="2"/>
                <w:sz w:val="21"/>
                <w:szCs w:val="21"/>
              </w:rPr>
              <w:t>Cl</w:t>
            </w:r>
            <w:r w:rsidRPr="008A2411">
              <w:rPr>
                <w:rFonts w:ascii="Times New Roman"/>
                <w:color w:val="000000" w:themeColor="text1"/>
                <w:kern w:val="2"/>
                <w:sz w:val="21"/>
                <w:szCs w:val="21"/>
                <w:vertAlign w:val="superscript"/>
              </w:rPr>
              <w:t>-</w:t>
            </w:r>
            <w:r w:rsidRPr="008A2411">
              <w:rPr>
                <w:rFonts w:ascii="Times New Roman"/>
                <w:color w:val="000000" w:themeColor="text1"/>
                <w:kern w:val="2"/>
                <w:sz w:val="21"/>
                <w:szCs w:val="21"/>
              </w:rPr>
              <w:t>及</w:t>
            </w:r>
            <w:r w:rsidRPr="008A2411">
              <w:rPr>
                <w:rFonts w:ascii="Times New Roman"/>
                <w:color w:val="000000" w:themeColor="text1"/>
                <w:kern w:val="2"/>
                <w:sz w:val="21"/>
                <w:szCs w:val="21"/>
              </w:rPr>
              <w:t>Ca</w:t>
            </w:r>
            <w:r w:rsidRPr="008A2411">
              <w:rPr>
                <w:rFonts w:ascii="Times New Roman"/>
                <w:color w:val="000000" w:themeColor="text1"/>
                <w:kern w:val="2"/>
                <w:sz w:val="21"/>
                <w:szCs w:val="21"/>
                <w:vertAlign w:val="superscript"/>
              </w:rPr>
              <w:t>2+</w:t>
            </w:r>
            <w:r w:rsidRPr="008A2411">
              <w:rPr>
                <w:rFonts w:ascii="Times New Roman"/>
                <w:color w:val="000000" w:themeColor="text1"/>
                <w:kern w:val="2"/>
                <w:sz w:val="21"/>
                <w:szCs w:val="21"/>
              </w:rPr>
              <w:t>、</w:t>
            </w:r>
            <w:r w:rsidRPr="008A2411">
              <w:rPr>
                <w:rFonts w:ascii="Times New Roman"/>
                <w:color w:val="000000" w:themeColor="text1"/>
                <w:kern w:val="2"/>
                <w:sz w:val="21"/>
                <w:szCs w:val="21"/>
              </w:rPr>
              <w:t>Mg</w:t>
            </w:r>
            <w:r w:rsidRPr="008A2411">
              <w:rPr>
                <w:rFonts w:ascii="Times New Roman"/>
                <w:color w:val="000000" w:themeColor="text1"/>
                <w:kern w:val="2"/>
                <w:sz w:val="21"/>
                <w:szCs w:val="21"/>
                <w:vertAlign w:val="superscript"/>
              </w:rPr>
              <w:t>2+</w:t>
            </w:r>
            <w:r w:rsidRPr="008A2411">
              <w:rPr>
                <w:rFonts w:ascii="Times New Roman"/>
                <w:color w:val="000000" w:themeColor="text1"/>
                <w:kern w:val="2"/>
                <w:sz w:val="21"/>
                <w:szCs w:val="21"/>
              </w:rPr>
              <w:t>等可溶性物质</w:t>
            </w:r>
          </w:p>
        </w:tc>
        <w:tc>
          <w:tcPr>
            <w:tcW w:w="1355" w:type="pct"/>
            <w:vMerge/>
            <w:shd w:val="clear" w:color="auto" w:fill="auto"/>
            <w:vAlign w:val="center"/>
          </w:tcPr>
          <w:p w14:paraId="4166E16F" w14:textId="77777777" w:rsidR="00B0005F" w:rsidRPr="008A2411" w:rsidRDefault="00B0005F">
            <w:pPr>
              <w:spacing w:line="280" w:lineRule="exact"/>
              <w:jc w:val="center"/>
              <w:rPr>
                <w:rFonts w:ascii="Times New Roman"/>
                <w:color w:val="000000" w:themeColor="text1"/>
                <w:sz w:val="21"/>
                <w:szCs w:val="21"/>
              </w:rPr>
            </w:pPr>
          </w:p>
        </w:tc>
        <w:tc>
          <w:tcPr>
            <w:tcW w:w="529" w:type="pct"/>
            <w:vMerge/>
            <w:shd w:val="clear" w:color="auto" w:fill="auto"/>
            <w:vAlign w:val="center"/>
          </w:tcPr>
          <w:p w14:paraId="22E33E43" w14:textId="77777777" w:rsidR="00B0005F" w:rsidRPr="008A2411" w:rsidRDefault="00B0005F">
            <w:pPr>
              <w:spacing w:line="280" w:lineRule="exact"/>
              <w:rPr>
                <w:rFonts w:ascii="Times New Roman"/>
                <w:color w:val="000000" w:themeColor="text1"/>
                <w:sz w:val="21"/>
                <w:szCs w:val="21"/>
              </w:rPr>
            </w:pPr>
          </w:p>
        </w:tc>
      </w:tr>
      <w:tr w:rsidR="008A2411" w:rsidRPr="008A2411" w14:paraId="6CFC0C14" w14:textId="77777777">
        <w:tc>
          <w:tcPr>
            <w:tcW w:w="377" w:type="pct"/>
            <w:shd w:val="clear" w:color="auto" w:fill="auto"/>
            <w:vAlign w:val="center"/>
          </w:tcPr>
          <w:p w14:paraId="3E7A916A" w14:textId="77777777" w:rsidR="00B0005F" w:rsidRPr="008A2411" w:rsidRDefault="00000000">
            <w:pPr>
              <w:pStyle w:val="aff9"/>
              <w:spacing w:line="280" w:lineRule="exact"/>
              <w:ind w:leftChars="-50" w:left="-120" w:rightChars="-50" w:right="-120" w:firstLine="13"/>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办公生活</w:t>
            </w:r>
          </w:p>
        </w:tc>
        <w:tc>
          <w:tcPr>
            <w:tcW w:w="485" w:type="pct"/>
            <w:shd w:val="clear" w:color="auto" w:fill="auto"/>
            <w:vAlign w:val="center"/>
          </w:tcPr>
          <w:p w14:paraId="7F297735" w14:textId="77777777" w:rsidR="00B0005F" w:rsidRPr="008A2411" w:rsidRDefault="00000000">
            <w:pPr>
              <w:pStyle w:val="aff9"/>
              <w:spacing w:line="280" w:lineRule="exact"/>
              <w:ind w:leftChars="-50" w:left="-120" w:rightChars="-50" w:right="-120" w:firstLine="13"/>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W</w:t>
            </w:r>
            <w:r w:rsidRPr="008A2411">
              <w:rPr>
                <w:rFonts w:ascii="Times New Roman" w:eastAsia="宋体" w:hAnsi="Times New Roman" w:cs="Times New Roman"/>
                <w:color w:val="000000" w:themeColor="text1"/>
                <w:sz w:val="21"/>
                <w:szCs w:val="21"/>
                <w:vertAlign w:val="subscript"/>
              </w:rPr>
              <w:t>5</w:t>
            </w:r>
          </w:p>
        </w:tc>
        <w:tc>
          <w:tcPr>
            <w:tcW w:w="886" w:type="pct"/>
            <w:shd w:val="clear" w:color="auto" w:fill="auto"/>
            <w:vAlign w:val="center"/>
          </w:tcPr>
          <w:p w14:paraId="74CF2C14" w14:textId="77777777" w:rsidR="00B0005F" w:rsidRPr="008A2411" w:rsidRDefault="00000000">
            <w:pPr>
              <w:pStyle w:val="aff9"/>
              <w:spacing w:line="280" w:lineRule="exact"/>
              <w:ind w:leftChars="-50" w:left="-120" w:rightChars="-50" w:right="-120" w:firstLine="13"/>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生活污水</w:t>
            </w:r>
          </w:p>
        </w:tc>
        <w:tc>
          <w:tcPr>
            <w:tcW w:w="1368" w:type="pct"/>
            <w:shd w:val="clear" w:color="auto" w:fill="auto"/>
            <w:vAlign w:val="center"/>
          </w:tcPr>
          <w:p w14:paraId="4ADAF6F9" w14:textId="03FFD9D8" w:rsidR="00B0005F" w:rsidRPr="008A2411" w:rsidRDefault="00000000">
            <w:pPr>
              <w:spacing w:line="280" w:lineRule="exact"/>
              <w:rPr>
                <w:rFonts w:ascii="Times New Roman"/>
                <w:color w:val="000000" w:themeColor="text1"/>
                <w:sz w:val="21"/>
                <w:szCs w:val="21"/>
              </w:rPr>
            </w:pPr>
            <w:r w:rsidRPr="008A2411">
              <w:rPr>
                <w:rFonts w:ascii="Times New Roman"/>
                <w:color w:val="000000" w:themeColor="text1"/>
                <w:sz w:val="21"/>
                <w:szCs w:val="21"/>
              </w:rPr>
              <w:t>间断；</w:t>
            </w:r>
            <w:r w:rsidR="00AD4824" w:rsidRPr="008A2411">
              <w:rPr>
                <w:rFonts w:ascii="Times New Roman" w:hint="eastAsia"/>
                <w:color w:val="000000" w:themeColor="text1"/>
                <w:sz w:val="21"/>
                <w:szCs w:val="21"/>
              </w:rPr>
              <w:t>10.25</w:t>
            </w:r>
            <w:r w:rsidRPr="008A2411">
              <w:rPr>
                <w:rFonts w:ascii="Times New Roman"/>
                <w:color w:val="000000" w:themeColor="text1"/>
                <w:sz w:val="21"/>
                <w:szCs w:val="21"/>
              </w:rPr>
              <w:t>m</w:t>
            </w:r>
            <w:r w:rsidRPr="008A2411">
              <w:rPr>
                <w:rFonts w:ascii="Times New Roman"/>
                <w:color w:val="000000" w:themeColor="text1"/>
                <w:sz w:val="21"/>
                <w:szCs w:val="21"/>
                <w:vertAlign w:val="superscript"/>
              </w:rPr>
              <w:t>3</w:t>
            </w:r>
            <w:r w:rsidRPr="008A2411">
              <w:rPr>
                <w:rFonts w:ascii="Times New Roman"/>
                <w:color w:val="000000" w:themeColor="text1"/>
                <w:sz w:val="21"/>
                <w:szCs w:val="21"/>
              </w:rPr>
              <w:t>/d</w:t>
            </w:r>
          </w:p>
          <w:p w14:paraId="4D418419" w14:textId="77777777" w:rsidR="00B0005F" w:rsidRPr="008A2411" w:rsidRDefault="00000000">
            <w:pPr>
              <w:spacing w:line="280" w:lineRule="exact"/>
              <w:rPr>
                <w:rFonts w:ascii="Times New Roman"/>
                <w:color w:val="000000" w:themeColor="text1"/>
                <w:sz w:val="21"/>
                <w:szCs w:val="21"/>
              </w:rPr>
            </w:pPr>
            <w:r w:rsidRPr="008A2411">
              <w:rPr>
                <w:rFonts w:ascii="Times New Roman"/>
                <w:color w:val="000000" w:themeColor="text1"/>
                <w:sz w:val="21"/>
                <w:szCs w:val="21"/>
              </w:rPr>
              <w:t>CODCr</w:t>
            </w:r>
            <w:r w:rsidRPr="008A2411">
              <w:rPr>
                <w:rFonts w:ascii="Times New Roman"/>
                <w:color w:val="000000" w:themeColor="text1"/>
                <w:sz w:val="21"/>
                <w:szCs w:val="21"/>
              </w:rPr>
              <w:t>：</w:t>
            </w:r>
            <w:r w:rsidRPr="008A2411">
              <w:rPr>
                <w:rFonts w:ascii="Times New Roman"/>
                <w:color w:val="000000" w:themeColor="text1"/>
                <w:sz w:val="21"/>
                <w:szCs w:val="21"/>
              </w:rPr>
              <w:t>350mg/L</w:t>
            </w:r>
          </w:p>
          <w:p w14:paraId="6575A486" w14:textId="77777777" w:rsidR="00B0005F" w:rsidRPr="008A2411" w:rsidRDefault="00000000">
            <w:pPr>
              <w:spacing w:line="280" w:lineRule="exact"/>
              <w:rPr>
                <w:rFonts w:ascii="Times New Roman"/>
                <w:color w:val="000000" w:themeColor="text1"/>
                <w:sz w:val="21"/>
                <w:szCs w:val="21"/>
              </w:rPr>
            </w:pPr>
            <w:r w:rsidRPr="008A2411">
              <w:rPr>
                <w:rFonts w:ascii="Times New Roman"/>
                <w:color w:val="000000" w:themeColor="text1"/>
                <w:sz w:val="21"/>
                <w:szCs w:val="21"/>
              </w:rPr>
              <w:t>NH</w:t>
            </w:r>
            <w:r w:rsidRPr="008A2411">
              <w:rPr>
                <w:rFonts w:ascii="Times New Roman"/>
                <w:color w:val="000000" w:themeColor="text1"/>
                <w:sz w:val="21"/>
                <w:szCs w:val="21"/>
                <w:vertAlign w:val="subscript"/>
              </w:rPr>
              <w:t>3</w:t>
            </w:r>
            <w:r w:rsidRPr="008A2411">
              <w:rPr>
                <w:rFonts w:ascii="Times New Roman"/>
                <w:color w:val="000000" w:themeColor="text1"/>
                <w:sz w:val="21"/>
                <w:szCs w:val="21"/>
              </w:rPr>
              <w:t>-N</w:t>
            </w:r>
            <w:r w:rsidRPr="008A2411">
              <w:rPr>
                <w:rFonts w:ascii="Times New Roman"/>
                <w:color w:val="000000" w:themeColor="text1"/>
                <w:sz w:val="21"/>
                <w:szCs w:val="21"/>
              </w:rPr>
              <w:t>：</w:t>
            </w:r>
            <w:r w:rsidRPr="008A2411">
              <w:rPr>
                <w:rFonts w:ascii="Times New Roman" w:hint="eastAsia"/>
                <w:color w:val="000000" w:themeColor="text1"/>
                <w:sz w:val="21"/>
                <w:szCs w:val="21"/>
              </w:rPr>
              <w:t>4</w:t>
            </w:r>
            <w:r w:rsidRPr="008A2411">
              <w:rPr>
                <w:rFonts w:ascii="Times New Roman"/>
                <w:color w:val="000000" w:themeColor="text1"/>
                <w:sz w:val="21"/>
                <w:szCs w:val="21"/>
              </w:rPr>
              <w:t>5mg/L</w:t>
            </w:r>
          </w:p>
        </w:tc>
        <w:tc>
          <w:tcPr>
            <w:tcW w:w="1355" w:type="pct"/>
            <w:shd w:val="clear" w:color="auto" w:fill="auto"/>
            <w:vAlign w:val="center"/>
          </w:tcPr>
          <w:p w14:paraId="6D3582AB"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由厂区污水管网排入厂区污水处理站预处理达到《污水综合排放标准》</w:t>
            </w:r>
            <w:r w:rsidRPr="008A2411">
              <w:rPr>
                <w:rFonts w:ascii="Times New Roman"/>
                <w:color w:val="000000" w:themeColor="text1"/>
                <w:sz w:val="21"/>
                <w:szCs w:val="21"/>
              </w:rPr>
              <w:t>GB8978-1996</w:t>
            </w:r>
            <w:proofErr w:type="gramStart"/>
            <w:r w:rsidRPr="008A2411">
              <w:rPr>
                <w:rFonts w:ascii="Times New Roman"/>
                <w:color w:val="000000" w:themeColor="text1"/>
                <w:sz w:val="21"/>
                <w:szCs w:val="21"/>
              </w:rPr>
              <w:t>三</w:t>
            </w:r>
            <w:proofErr w:type="gramEnd"/>
            <w:r w:rsidRPr="008A2411">
              <w:rPr>
                <w:rFonts w:ascii="Times New Roman"/>
                <w:color w:val="000000" w:themeColor="text1"/>
                <w:sz w:val="21"/>
                <w:szCs w:val="21"/>
              </w:rPr>
              <w:t>级标准，排入园区污水处理厂</w:t>
            </w:r>
          </w:p>
        </w:tc>
        <w:tc>
          <w:tcPr>
            <w:tcW w:w="529" w:type="pct"/>
            <w:vMerge/>
            <w:shd w:val="clear" w:color="auto" w:fill="auto"/>
            <w:vAlign w:val="center"/>
          </w:tcPr>
          <w:p w14:paraId="38E2B9BB" w14:textId="77777777" w:rsidR="00B0005F" w:rsidRPr="008A2411" w:rsidRDefault="00B0005F">
            <w:pPr>
              <w:spacing w:line="280" w:lineRule="exact"/>
              <w:rPr>
                <w:rFonts w:ascii="Times New Roman"/>
                <w:color w:val="000000" w:themeColor="text1"/>
                <w:sz w:val="21"/>
                <w:szCs w:val="21"/>
              </w:rPr>
            </w:pPr>
          </w:p>
        </w:tc>
      </w:tr>
      <w:tr w:rsidR="00B0005F" w:rsidRPr="008A2411" w14:paraId="1657F307" w14:textId="77777777">
        <w:tc>
          <w:tcPr>
            <w:tcW w:w="377" w:type="pct"/>
            <w:shd w:val="clear" w:color="auto" w:fill="auto"/>
            <w:vAlign w:val="center"/>
          </w:tcPr>
          <w:p w14:paraId="1C68509B" w14:textId="77777777" w:rsidR="00B0005F" w:rsidRPr="008A2411" w:rsidRDefault="00000000">
            <w:pPr>
              <w:pStyle w:val="aff9"/>
              <w:spacing w:line="280" w:lineRule="exact"/>
              <w:ind w:leftChars="-50" w:left="-120" w:rightChars="-50" w:right="-120" w:firstLine="13"/>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初期雨</w:t>
            </w:r>
            <w:r w:rsidRPr="008A2411">
              <w:rPr>
                <w:rFonts w:ascii="Times New Roman" w:eastAsia="宋体" w:hAnsi="Times New Roman" w:cs="Times New Roman"/>
                <w:color w:val="000000" w:themeColor="text1"/>
                <w:sz w:val="21"/>
                <w:szCs w:val="21"/>
              </w:rPr>
              <w:lastRenderedPageBreak/>
              <w:t>水</w:t>
            </w:r>
          </w:p>
        </w:tc>
        <w:tc>
          <w:tcPr>
            <w:tcW w:w="485" w:type="pct"/>
            <w:shd w:val="clear" w:color="auto" w:fill="auto"/>
            <w:vAlign w:val="center"/>
          </w:tcPr>
          <w:p w14:paraId="68E90F2A" w14:textId="77777777" w:rsidR="00B0005F" w:rsidRPr="008A2411" w:rsidRDefault="00000000">
            <w:pPr>
              <w:pStyle w:val="aff9"/>
              <w:spacing w:line="280" w:lineRule="exact"/>
              <w:ind w:leftChars="-50" w:left="-120" w:rightChars="-50" w:right="-120" w:firstLine="13"/>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lastRenderedPageBreak/>
              <w:t>/</w:t>
            </w:r>
          </w:p>
        </w:tc>
        <w:tc>
          <w:tcPr>
            <w:tcW w:w="886" w:type="pct"/>
            <w:shd w:val="clear" w:color="auto" w:fill="auto"/>
            <w:vAlign w:val="center"/>
          </w:tcPr>
          <w:p w14:paraId="4FF7BBB0" w14:textId="77777777" w:rsidR="00B0005F" w:rsidRPr="008A2411" w:rsidRDefault="00000000">
            <w:pPr>
              <w:pStyle w:val="aff9"/>
              <w:spacing w:line="280" w:lineRule="exact"/>
              <w:ind w:leftChars="-50" w:left="-120" w:rightChars="-50" w:right="-120" w:firstLine="13"/>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初期雨水</w:t>
            </w:r>
          </w:p>
        </w:tc>
        <w:tc>
          <w:tcPr>
            <w:tcW w:w="1368" w:type="pct"/>
            <w:shd w:val="clear" w:color="auto" w:fill="auto"/>
            <w:vAlign w:val="center"/>
          </w:tcPr>
          <w:p w14:paraId="6DE82B52" w14:textId="77777777" w:rsidR="00B0005F" w:rsidRPr="008A2411" w:rsidRDefault="00000000">
            <w:pPr>
              <w:spacing w:line="280" w:lineRule="exact"/>
              <w:rPr>
                <w:rFonts w:ascii="Times New Roman"/>
                <w:color w:val="000000" w:themeColor="text1"/>
                <w:sz w:val="21"/>
                <w:szCs w:val="21"/>
              </w:rPr>
            </w:pPr>
            <w:r w:rsidRPr="008A2411">
              <w:rPr>
                <w:rFonts w:ascii="Times New Roman"/>
                <w:color w:val="000000" w:themeColor="text1"/>
                <w:sz w:val="21"/>
                <w:szCs w:val="21"/>
              </w:rPr>
              <w:t>间断；</w:t>
            </w:r>
            <w:r w:rsidRPr="008A2411">
              <w:rPr>
                <w:rFonts w:ascii="Times New Roman"/>
                <w:color w:val="000000" w:themeColor="text1"/>
                <w:sz w:val="21"/>
                <w:szCs w:val="21"/>
              </w:rPr>
              <w:t>178.2m</w:t>
            </w:r>
            <w:r w:rsidRPr="008A2411">
              <w:rPr>
                <w:rFonts w:ascii="Times New Roman"/>
                <w:color w:val="000000" w:themeColor="text1"/>
                <w:sz w:val="21"/>
                <w:szCs w:val="21"/>
                <w:vertAlign w:val="superscript"/>
              </w:rPr>
              <w:t>3</w:t>
            </w:r>
            <w:r w:rsidRPr="008A2411">
              <w:rPr>
                <w:rFonts w:ascii="Times New Roman"/>
                <w:color w:val="000000" w:themeColor="text1"/>
                <w:sz w:val="21"/>
                <w:szCs w:val="21"/>
              </w:rPr>
              <w:t>/</w:t>
            </w:r>
            <w:r w:rsidRPr="008A2411">
              <w:rPr>
                <w:rFonts w:ascii="Times New Roman"/>
                <w:color w:val="000000" w:themeColor="text1"/>
                <w:sz w:val="21"/>
                <w:szCs w:val="21"/>
              </w:rPr>
              <w:t>次</w:t>
            </w:r>
          </w:p>
          <w:p w14:paraId="7ED2E790"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lastRenderedPageBreak/>
              <w:t>CODcr</w:t>
            </w:r>
            <w:r w:rsidRPr="008A2411">
              <w:rPr>
                <w:rFonts w:ascii="Times New Roman"/>
                <w:color w:val="000000" w:themeColor="text1"/>
                <w:sz w:val="21"/>
                <w:szCs w:val="21"/>
              </w:rPr>
              <w:t>、</w:t>
            </w:r>
            <w:r w:rsidRPr="008A2411">
              <w:rPr>
                <w:rFonts w:ascii="Times New Roman"/>
                <w:color w:val="000000" w:themeColor="text1"/>
                <w:sz w:val="21"/>
                <w:szCs w:val="21"/>
              </w:rPr>
              <w:t>SS</w:t>
            </w:r>
            <w:r w:rsidRPr="008A2411">
              <w:rPr>
                <w:rFonts w:ascii="Times New Roman"/>
                <w:color w:val="000000" w:themeColor="text1"/>
                <w:sz w:val="21"/>
                <w:szCs w:val="21"/>
              </w:rPr>
              <w:t>、石油类等</w:t>
            </w:r>
          </w:p>
          <w:p w14:paraId="7C0A8C66" w14:textId="77777777" w:rsidR="00B0005F" w:rsidRPr="008A2411" w:rsidRDefault="00B0005F">
            <w:pPr>
              <w:spacing w:line="280" w:lineRule="exact"/>
              <w:rPr>
                <w:rFonts w:ascii="Times New Roman"/>
                <w:color w:val="000000" w:themeColor="text1"/>
                <w:sz w:val="21"/>
                <w:szCs w:val="21"/>
              </w:rPr>
            </w:pPr>
          </w:p>
        </w:tc>
        <w:tc>
          <w:tcPr>
            <w:tcW w:w="1355" w:type="pct"/>
            <w:shd w:val="clear" w:color="auto" w:fill="auto"/>
            <w:vAlign w:val="center"/>
          </w:tcPr>
          <w:p w14:paraId="3BB92675"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lastRenderedPageBreak/>
              <w:t>由事故应急池收集，</w:t>
            </w:r>
            <w:r w:rsidRPr="008A2411">
              <w:rPr>
                <w:rFonts w:ascii="Times New Roman" w:hint="eastAsia"/>
                <w:color w:val="000000" w:themeColor="text1"/>
                <w:sz w:val="21"/>
                <w:szCs w:val="21"/>
              </w:rPr>
              <w:t>经</w:t>
            </w:r>
            <w:r w:rsidRPr="008A2411">
              <w:rPr>
                <w:rFonts w:ascii="Times New Roman" w:hint="eastAsia"/>
                <w:color w:val="000000" w:themeColor="text1"/>
                <w:sz w:val="21"/>
                <w:szCs w:val="21"/>
              </w:rPr>
              <w:lastRenderedPageBreak/>
              <w:t>沉淀处理后，</w:t>
            </w:r>
            <w:r w:rsidRPr="008A2411">
              <w:rPr>
                <w:rFonts w:ascii="Times New Roman"/>
                <w:color w:val="000000" w:themeColor="text1"/>
                <w:sz w:val="21"/>
                <w:szCs w:val="21"/>
              </w:rPr>
              <w:t>排入厂区污水处理站预处理达到《污水综合排放标准》</w:t>
            </w:r>
            <w:r w:rsidRPr="008A2411">
              <w:rPr>
                <w:rFonts w:ascii="Times New Roman"/>
                <w:color w:val="000000" w:themeColor="text1"/>
                <w:sz w:val="21"/>
                <w:szCs w:val="21"/>
              </w:rPr>
              <w:t>GB8978-1996</w:t>
            </w:r>
            <w:proofErr w:type="gramStart"/>
            <w:r w:rsidRPr="008A2411">
              <w:rPr>
                <w:rFonts w:ascii="Times New Roman"/>
                <w:color w:val="000000" w:themeColor="text1"/>
                <w:sz w:val="21"/>
                <w:szCs w:val="21"/>
              </w:rPr>
              <w:t>三</w:t>
            </w:r>
            <w:proofErr w:type="gramEnd"/>
            <w:r w:rsidRPr="008A2411">
              <w:rPr>
                <w:rFonts w:ascii="Times New Roman"/>
                <w:color w:val="000000" w:themeColor="text1"/>
                <w:sz w:val="21"/>
                <w:szCs w:val="21"/>
              </w:rPr>
              <w:t>级标准，排入园区污水处理厂</w:t>
            </w:r>
          </w:p>
        </w:tc>
        <w:tc>
          <w:tcPr>
            <w:tcW w:w="529" w:type="pct"/>
            <w:vMerge/>
            <w:shd w:val="clear" w:color="auto" w:fill="auto"/>
            <w:vAlign w:val="center"/>
          </w:tcPr>
          <w:p w14:paraId="655C05D0" w14:textId="77777777" w:rsidR="00B0005F" w:rsidRPr="008A2411" w:rsidRDefault="00B0005F">
            <w:pPr>
              <w:spacing w:line="280" w:lineRule="exact"/>
              <w:rPr>
                <w:rFonts w:ascii="Times New Roman"/>
                <w:color w:val="000000" w:themeColor="text1"/>
                <w:sz w:val="21"/>
                <w:szCs w:val="21"/>
              </w:rPr>
            </w:pPr>
          </w:p>
        </w:tc>
      </w:tr>
    </w:tbl>
    <w:p w14:paraId="47130DB0" w14:textId="77777777" w:rsidR="00B0005F" w:rsidRPr="008A2411" w:rsidRDefault="00B0005F">
      <w:pPr>
        <w:pStyle w:val="a9"/>
        <w:rPr>
          <w:rFonts w:ascii="Times New Roman"/>
          <w:color w:val="000000" w:themeColor="text1"/>
        </w:rPr>
      </w:pPr>
    </w:p>
    <w:p w14:paraId="4100F0FA" w14:textId="77777777" w:rsidR="00B0005F" w:rsidRPr="008A2411" w:rsidRDefault="00000000">
      <w:pPr>
        <w:pStyle w:val="WJ3"/>
        <w:spacing w:line="360" w:lineRule="auto"/>
        <w:outlineLvl w:val="9"/>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2</w:t>
      </w:r>
      <w:r w:rsidRPr="008A2411">
        <w:rPr>
          <w:rFonts w:ascii="Times New Roman" w:hAnsi="Times New Roman"/>
          <w:color w:val="000000" w:themeColor="text1"/>
        </w:rPr>
        <w:t>）废气</w:t>
      </w:r>
    </w:p>
    <w:p w14:paraId="5C299111" w14:textId="77777777" w:rsidR="00B0005F" w:rsidRPr="008A2411" w:rsidRDefault="00000000">
      <w:pPr>
        <w:pStyle w:val="afffffffffffff7"/>
        <w:adjustRightInd w:val="0"/>
        <w:snapToGrid w:val="0"/>
        <w:ind w:firstLine="480"/>
        <w:rPr>
          <w:color w:val="000000" w:themeColor="text1"/>
          <w:sz w:val="24"/>
          <w:szCs w:val="24"/>
        </w:rPr>
      </w:pPr>
      <w:r w:rsidRPr="008A2411">
        <w:rPr>
          <w:color w:val="000000" w:themeColor="text1"/>
          <w:sz w:val="24"/>
          <w:szCs w:val="24"/>
        </w:rPr>
        <w:t>项目废气主要为生产装置工艺废气、火炬烟气以及无组织排放废气。</w:t>
      </w:r>
    </w:p>
    <w:p w14:paraId="41AF28BF" w14:textId="77777777" w:rsidR="00B0005F" w:rsidRPr="008A2411" w:rsidRDefault="00000000">
      <w:pPr>
        <w:pStyle w:val="afffffffffffff7"/>
        <w:adjustRightInd w:val="0"/>
        <w:snapToGrid w:val="0"/>
        <w:ind w:firstLine="480"/>
        <w:rPr>
          <w:color w:val="000000" w:themeColor="text1"/>
          <w:sz w:val="24"/>
          <w:szCs w:val="24"/>
        </w:rPr>
      </w:pPr>
      <w:r w:rsidRPr="008A2411">
        <w:rPr>
          <w:color w:val="000000" w:themeColor="text1"/>
          <w:sz w:val="24"/>
          <w:szCs w:val="24"/>
        </w:rPr>
        <w:t>1</w:t>
      </w:r>
      <w:r w:rsidRPr="008A2411">
        <w:rPr>
          <w:color w:val="000000" w:themeColor="text1"/>
          <w:sz w:val="24"/>
          <w:szCs w:val="24"/>
        </w:rPr>
        <w:t>）生产装置区工艺废气</w:t>
      </w:r>
    </w:p>
    <w:p w14:paraId="77BAEC9E" w14:textId="56634F3A" w:rsidR="00B0005F" w:rsidRPr="008A2411" w:rsidRDefault="00000000">
      <w:pPr>
        <w:pStyle w:val="afffffffffffff7"/>
        <w:adjustRightInd w:val="0"/>
        <w:snapToGrid w:val="0"/>
        <w:ind w:firstLine="480"/>
        <w:rPr>
          <w:color w:val="000000" w:themeColor="text1"/>
          <w:sz w:val="24"/>
          <w:szCs w:val="24"/>
        </w:rPr>
      </w:pPr>
      <w:r w:rsidRPr="008A2411">
        <w:rPr>
          <w:color w:val="000000" w:themeColor="text1"/>
          <w:sz w:val="24"/>
          <w:szCs w:val="24"/>
        </w:rPr>
        <w:t>项目生产装置的工艺废气主要为</w:t>
      </w:r>
      <w:r w:rsidRPr="008A2411">
        <w:rPr>
          <w:color w:val="000000" w:themeColor="text1"/>
          <w:spacing w:val="-2"/>
          <w:sz w:val="24"/>
        </w:rPr>
        <w:t>胺闪蒸罐闪蒸气（</w:t>
      </w:r>
      <w:r w:rsidRPr="008A2411">
        <w:rPr>
          <w:color w:val="000000" w:themeColor="text1"/>
          <w:spacing w:val="-2"/>
          <w:sz w:val="24"/>
        </w:rPr>
        <w:t>G</w:t>
      </w:r>
      <w:r w:rsidRPr="008A2411">
        <w:rPr>
          <w:color w:val="000000" w:themeColor="text1"/>
          <w:spacing w:val="-2"/>
          <w:sz w:val="24"/>
          <w:vertAlign w:val="subscript"/>
        </w:rPr>
        <w:t>1</w:t>
      </w:r>
      <w:r w:rsidRPr="008A2411">
        <w:rPr>
          <w:color w:val="000000" w:themeColor="text1"/>
          <w:spacing w:val="-2"/>
          <w:sz w:val="24"/>
        </w:rPr>
        <w:t>）、</w:t>
      </w:r>
      <w:r w:rsidRPr="008A2411">
        <w:rPr>
          <w:color w:val="000000" w:themeColor="text1"/>
          <w:spacing w:val="-2"/>
          <w:sz w:val="24"/>
          <w:szCs w:val="24"/>
        </w:rPr>
        <w:t>胺脱硫塔废气</w:t>
      </w:r>
      <w:r w:rsidRPr="008A2411">
        <w:rPr>
          <w:color w:val="000000" w:themeColor="text1"/>
          <w:sz w:val="24"/>
          <w:szCs w:val="24"/>
        </w:rPr>
        <w:t>（</w:t>
      </w:r>
      <w:r w:rsidRPr="008A2411">
        <w:rPr>
          <w:color w:val="000000" w:themeColor="text1"/>
          <w:sz w:val="24"/>
          <w:szCs w:val="24"/>
        </w:rPr>
        <w:t>G</w:t>
      </w:r>
      <w:r w:rsidRPr="008A2411">
        <w:rPr>
          <w:color w:val="000000" w:themeColor="text1"/>
          <w:sz w:val="24"/>
          <w:szCs w:val="24"/>
          <w:vertAlign w:val="subscript"/>
        </w:rPr>
        <w:t>2</w:t>
      </w:r>
      <w:r w:rsidRPr="008A2411">
        <w:rPr>
          <w:color w:val="000000" w:themeColor="text1"/>
          <w:sz w:val="24"/>
          <w:szCs w:val="24"/>
        </w:rPr>
        <w:t>），导热油锅炉烟气（</w:t>
      </w:r>
      <w:r w:rsidRPr="008A2411">
        <w:rPr>
          <w:color w:val="000000" w:themeColor="text1"/>
          <w:sz w:val="24"/>
          <w:szCs w:val="24"/>
        </w:rPr>
        <w:t>G</w:t>
      </w:r>
      <w:r w:rsidRPr="008A2411">
        <w:rPr>
          <w:color w:val="000000" w:themeColor="text1"/>
          <w:sz w:val="24"/>
          <w:szCs w:val="24"/>
          <w:vertAlign w:val="subscript"/>
        </w:rPr>
        <w:t>3</w:t>
      </w:r>
      <w:r w:rsidRPr="008A2411">
        <w:rPr>
          <w:color w:val="000000" w:themeColor="text1"/>
          <w:sz w:val="24"/>
          <w:szCs w:val="24"/>
        </w:rPr>
        <w:t>）</w:t>
      </w:r>
      <w:r w:rsidR="005B740A" w:rsidRPr="008A2411">
        <w:rPr>
          <w:rFonts w:hint="eastAsia"/>
          <w:color w:val="000000" w:themeColor="text1"/>
          <w:sz w:val="24"/>
          <w:szCs w:val="24"/>
        </w:rPr>
        <w:t>、</w:t>
      </w:r>
      <w:r w:rsidRPr="008A2411">
        <w:rPr>
          <w:color w:val="000000" w:themeColor="text1"/>
          <w:sz w:val="24"/>
          <w:szCs w:val="24"/>
        </w:rPr>
        <w:t>LNG</w:t>
      </w:r>
      <w:r w:rsidRPr="008A2411">
        <w:rPr>
          <w:color w:val="000000" w:themeColor="text1"/>
          <w:sz w:val="24"/>
          <w:szCs w:val="24"/>
        </w:rPr>
        <w:t>储罐蒸发气（</w:t>
      </w:r>
      <w:r w:rsidRPr="008A2411">
        <w:rPr>
          <w:color w:val="000000" w:themeColor="text1"/>
          <w:sz w:val="24"/>
          <w:szCs w:val="24"/>
        </w:rPr>
        <w:t>G</w:t>
      </w:r>
      <w:r w:rsidRPr="008A2411">
        <w:rPr>
          <w:color w:val="000000" w:themeColor="text1"/>
          <w:sz w:val="24"/>
          <w:szCs w:val="24"/>
          <w:vertAlign w:val="subscript"/>
        </w:rPr>
        <w:t>4</w:t>
      </w:r>
      <w:r w:rsidRPr="008A2411">
        <w:rPr>
          <w:color w:val="000000" w:themeColor="text1"/>
          <w:sz w:val="24"/>
          <w:szCs w:val="24"/>
        </w:rPr>
        <w:t>）</w:t>
      </w:r>
      <w:r w:rsidR="005B740A" w:rsidRPr="008A2411">
        <w:rPr>
          <w:rFonts w:hint="eastAsia"/>
          <w:color w:val="000000" w:themeColor="text1"/>
          <w:sz w:val="24"/>
          <w:szCs w:val="24"/>
        </w:rPr>
        <w:t>及装车蒸发气</w:t>
      </w:r>
      <w:r w:rsidR="005B740A" w:rsidRPr="008A2411">
        <w:rPr>
          <w:color w:val="000000" w:themeColor="text1"/>
          <w:sz w:val="24"/>
          <w:szCs w:val="24"/>
        </w:rPr>
        <w:t>（</w:t>
      </w:r>
      <w:r w:rsidR="005B740A" w:rsidRPr="008A2411">
        <w:rPr>
          <w:color w:val="000000" w:themeColor="text1"/>
          <w:sz w:val="24"/>
          <w:szCs w:val="24"/>
        </w:rPr>
        <w:t>G</w:t>
      </w:r>
      <w:r w:rsidR="005B740A" w:rsidRPr="008A2411">
        <w:rPr>
          <w:rFonts w:hint="eastAsia"/>
          <w:color w:val="000000" w:themeColor="text1"/>
          <w:sz w:val="24"/>
          <w:szCs w:val="24"/>
          <w:vertAlign w:val="subscript"/>
        </w:rPr>
        <w:t>5</w:t>
      </w:r>
      <w:r w:rsidR="005B740A" w:rsidRPr="008A2411">
        <w:rPr>
          <w:color w:val="000000" w:themeColor="text1"/>
          <w:sz w:val="24"/>
          <w:szCs w:val="24"/>
        </w:rPr>
        <w:t>）</w:t>
      </w:r>
      <w:r w:rsidRPr="008A2411">
        <w:rPr>
          <w:color w:val="000000" w:themeColor="text1"/>
          <w:sz w:val="24"/>
          <w:szCs w:val="24"/>
        </w:rPr>
        <w:t>。</w:t>
      </w:r>
    </w:p>
    <w:p w14:paraId="7E32958D" w14:textId="77777777" w:rsidR="00B0005F" w:rsidRPr="008A2411" w:rsidRDefault="00000000">
      <w:pPr>
        <w:adjustRightInd w:val="0"/>
        <w:snapToGrid w:val="0"/>
        <w:spacing w:line="360" w:lineRule="auto"/>
        <w:ind w:firstLine="472"/>
        <w:rPr>
          <w:rFonts w:ascii="Times New Roman"/>
          <w:b/>
          <w:bCs/>
          <w:color w:val="000000" w:themeColor="text1"/>
          <w:spacing w:val="-2"/>
          <w:szCs w:val="24"/>
        </w:rPr>
      </w:pPr>
      <w:proofErr w:type="gramStart"/>
      <w:r w:rsidRPr="008A2411">
        <w:rPr>
          <w:rFonts w:ascii="Times New Roman"/>
          <w:b/>
          <w:bCs/>
          <w:color w:val="000000" w:themeColor="text1"/>
          <w:spacing w:val="-2"/>
        </w:rPr>
        <w:t>胺</w:t>
      </w:r>
      <w:proofErr w:type="gramEnd"/>
      <w:r w:rsidRPr="008A2411">
        <w:rPr>
          <w:rFonts w:ascii="Times New Roman"/>
          <w:b/>
          <w:bCs/>
          <w:color w:val="000000" w:themeColor="text1"/>
          <w:spacing w:val="-2"/>
        </w:rPr>
        <w:t>闪蒸罐闪蒸气（</w:t>
      </w:r>
      <w:r w:rsidRPr="008A2411">
        <w:rPr>
          <w:rFonts w:ascii="Times New Roman"/>
          <w:b/>
          <w:bCs/>
          <w:color w:val="000000" w:themeColor="text1"/>
          <w:spacing w:val="-2"/>
        </w:rPr>
        <w:t>G</w:t>
      </w:r>
      <w:r w:rsidRPr="008A2411">
        <w:rPr>
          <w:rFonts w:ascii="Times New Roman"/>
          <w:b/>
          <w:bCs/>
          <w:color w:val="000000" w:themeColor="text1"/>
          <w:spacing w:val="-2"/>
          <w:vertAlign w:val="subscript"/>
        </w:rPr>
        <w:t>1</w:t>
      </w:r>
      <w:r w:rsidRPr="008A2411">
        <w:rPr>
          <w:rFonts w:ascii="Times New Roman"/>
          <w:b/>
          <w:bCs/>
          <w:color w:val="000000" w:themeColor="text1"/>
          <w:spacing w:val="-2"/>
        </w:rPr>
        <w:t>）：</w:t>
      </w:r>
      <w:r w:rsidRPr="008A2411">
        <w:rPr>
          <w:rFonts w:ascii="Times New Roman"/>
          <w:color w:val="000000" w:themeColor="text1"/>
        </w:rPr>
        <w:t>本</w:t>
      </w:r>
      <w:proofErr w:type="gramStart"/>
      <w:r w:rsidRPr="008A2411">
        <w:rPr>
          <w:rFonts w:ascii="Times New Roman"/>
          <w:color w:val="000000" w:themeColor="text1"/>
        </w:rPr>
        <w:t>项目胺液富液</w:t>
      </w:r>
      <w:proofErr w:type="gramEnd"/>
      <w:r w:rsidRPr="008A2411">
        <w:rPr>
          <w:rFonts w:ascii="Times New Roman"/>
          <w:color w:val="000000" w:themeColor="text1"/>
        </w:rPr>
        <w:t>闪蒸气中主要污染因子为</w:t>
      </w:r>
      <w:r w:rsidRPr="008A2411">
        <w:rPr>
          <w:rFonts w:ascii="Times New Roman"/>
          <w:color w:val="000000" w:themeColor="text1"/>
        </w:rPr>
        <w:t>CO</w:t>
      </w:r>
      <w:r w:rsidRPr="008A2411">
        <w:rPr>
          <w:rFonts w:ascii="Times New Roman"/>
          <w:color w:val="000000" w:themeColor="text1"/>
          <w:vertAlign w:val="subscript"/>
        </w:rPr>
        <w:t>2</w:t>
      </w:r>
      <w:r w:rsidRPr="008A2411">
        <w:rPr>
          <w:rFonts w:ascii="Times New Roman"/>
          <w:color w:val="000000" w:themeColor="text1"/>
        </w:rPr>
        <w:t>、甲烷、烃类及少量</w:t>
      </w:r>
      <w:r w:rsidRPr="008A2411">
        <w:rPr>
          <w:rFonts w:ascii="Times New Roman"/>
          <w:color w:val="000000" w:themeColor="text1"/>
        </w:rPr>
        <w:t>H</w:t>
      </w:r>
      <w:r w:rsidRPr="008A2411">
        <w:rPr>
          <w:rFonts w:ascii="Times New Roman"/>
          <w:color w:val="000000" w:themeColor="text1"/>
          <w:vertAlign w:val="subscript"/>
        </w:rPr>
        <w:t>2</w:t>
      </w:r>
      <w:r w:rsidRPr="008A2411">
        <w:rPr>
          <w:rFonts w:ascii="Times New Roman"/>
          <w:color w:val="000000" w:themeColor="text1"/>
        </w:rPr>
        <w:t>S</w:t>
      </w:r>
      <w:r w:rsidRPr="008A2411">
        <w:rPr>
          <w:rFonts w:ascii="Times New Roman"/>
          <w:color w:val="000000" w:themeColor="text1"/>
        </w:rPr>
        <w:t>等，闪蒸气去燃料气系统进行回收利用，不外排。</w:t>
      </w:r>
    </w:p>
    <w:p w14:paraId="213DB49E" w14:textId="364E87BF" w:rsidR="00B0005F" w:rsidRPr="008A2411" w:rsidRDefault="00000000">
      <w:pPr>
        <w:adjustRightInd w:val="0"/>
        <w:snapToGrid w:val="0"/>
        <w:spacing w:line="360" w:lineRule="auto"/>
        <w:ind w:firstLine="472"/>
        <w:rPr>
          <w:rFonts w:ascii="Times New Roman"/>
          <w:color w:val="000000" w:themeColor="text1"/>
          <w:spacing w:val="-2"/>
          <w:szCs w:val="24"/>
        </w:rPr>
      </w:pPr>
      <w:r w:rsidRPr="008A2411">
        <w:rPr>
          <w:rFonts w:ascii="Times New Roman"/>
          <w:b/>
          <w:bCs/>
          <w:color w:val="000000" w:themeColor="text1"/>
          <w:spacing w:val="-2"/>
          <w:szCs w:val="24"/>
        </w:rPr>
        <w:t>脱硫塔废</w:t>
      </w:r>
      <w:r w:rsidRPr="008A2411">
        <w:rPr>
          <w:rFonts w:ascii="Times New Roman"/>
          <w:b/>
          <w:bCs/>
          <w:color w:val="000000" w:themeColor="text1"/>
          <w:szCs w:val="24"/>
        </w:rPr>
        <w:t>气（</w:t>
      </w:r>
      <w:r w:rsidRPr="008A2411">
        <w:rPr>
          <w:rFonts w:ascii="Times New Roman"/>
          <w:b/>
          <w:bCs/>
          <w:color w:val="000000" w:themeColor="text1"/>
          <w:szCs w:val="24"/>
        </w:rPr>
        <w:t>G</w:t>
      </w:r>
      <w:r w:rsidRPr="008A2411">
        <w:rPr>
          <w:rFonts w:ascii="Times New Roman"/>
          <w:b/>
          <w:bCs/>
          <w:color w:val="000000" w:themeColor="text1"/>
          <w:szCs w:val="24"/>
          <w:vertAlign w:val="subscript"/>
        </w:rPr>
        <w:t>2</w:t>
      </w:r>
      <w:r w:rsidRPr="008A2411">
        <w:rPr>
          <w:rFonts w:ascii="Times New Roman"/>
          <w:b/>
          <w:bCs/>
          <w:color w:val="000000" w:themeColor="text1"/>
          <w:szCs w:val="24"/>
        </w:rPr>
        <w:t>）：</w:t>
      </w:r>
      <w:r w:rsidRPr="008A2411">
        <w:rPr>
          <w:rFonts w:ascii="Times New Roman"/>
          <w:color w:val="000000" w:themeColor="text1"/>
          <w:szCs w:val="24"/>
        </w:rPr>
        <w:t>脱硫塔废气</w:t>
      </w:r>
      <w:proofErr w:type="gramStart"/>
      <w:r w:rsidRPr="008A2411">
        <w:rPr>
          <w:rFonts w:ascii="Times New Roman"/>
          <w:color w:val="000000" w:themeColor="text1"/>
          <w:szCs w:val="24"/>
        </w:rPr>
        <w:t>源自胺液再生</w:t>
      </w:r>
      <w:proofErr w:type="gramEnd"/>
      <w:r w:rsidRPr="008A2411">
        <w:rPr>
          <w:rFonts w:ascii="Times New Roman"/>
          <w:color w:val="000000" w:themeColor="text1"/>
          <w:szCs w:val="24"/>
        </w:rPr>
        <w:t>塔再生过程中产生的</w:t>
      </w:r>
      <w:proofErr w:type="gramStart"/>
      <w:r w:rsidRPr="008A2411">
        <w:rPr>
          <w:rFonts w:ascii="Times New Roman"/>
          <w:color w:val="000000" w:themeColor="text1"/>
          <w:szCs w:val="24"/>
        </w:rPr>
        <w:t>不</w:t>
      </w:r>
      <w:proofErr w:type="gramEnd"/>
      <w:r w:rsidRPr="008A2411">
        <w:rPr>
          <w:rFonts w:ascii="Times New Roman"/>
          <w:color w:val="000000" w:themeColor="text1"/>
          <w:szCs w:val="24"/>
        </w:rPr>
        <w:t>凝气，</w:t>
      </w:r>
      <w:r w:rsidRPr="008A2411">
        <w:rPr>
          <w:rFonts w:ascii="Times New Roman"/>
          <w:color w:val="000000" w:themeColor="text1"/>
          <w:spacing w:val="-2"/>
          <w:szCs w:val="24"/>
        </w:rPr>
        <w:t>为含</w:t>
      </w:r>
      <w:r w:rsidRPr="008A2411">
        <w:rPr>
          <w:rFonts w:ascii="Times New Roman"/>
          <w:color w:val="000000" w:themeColor="text1"/>
          <w:spacing w:val="-2"/>
          <w:szCs w:val="24"/>
        </w:rPr>
        <w:t>CO</w:t>
      </w:r>
      <w:r w:rsidRPr="008A2411">
        <w:rPr>
          <w:rFonts w:ascii="Times New Roman"/>
          <w:color w:val="000000" w:themeColor="text1"/>
          <w:spacing w:val="-2"/>
          <w:szCs w:val="24"/>
          <w:vertAlign w:val="subscript"/>
        </w:rPr>
        <w:t>2</w:t>
      </w:r>
      <w:r w:rsidRPr="008A2411">
        <w:rPr>
          <w:rFonts w:ascii="Times New Roman"/>
          <w:color w:val="000000" w:themeColor="text1"/>
          <w:spacing w:val="-2"/>
          <w:szCs w:val="24"/>
        </w:rPr>
        <w:t>、</w:t>
      </w:r>
      <w:r w:rsidRPr="008A2411">
        <w:rPr>
          <w:rFonts w:ascii="Times New Roman"/>
          <w:color w:val="000000" w:themeColor="text1"/>
          <w:spacing w:val="-2"/>
          <w:szCs w:val="24"/>
        </w:rPr>
        <w:t>H</w:t>
      </w:r>
      <w:r w:rsidRPr="008A2411">
        <w:rPr>
          <w:rFonts w:ascii="Times New Roman"/>
          <w:color w:val="000000" w:themeColor="text1"/>
          <w:spacing w:val="-2"/>
          <w:szCs w:val="24"/>
          <w:vertAlign w:val="subscript"/>
        </w:rPr>
        <w:t>2</w:t>
      </w:r>
      <w:r w:rsidRPr="008A2411">
        <w:rPr>
          <w:rFonts w:ascii="Times New Roman"/>
          <w:color w:val="000000" w:themeColor="text1"/>
          <w:spacing w:val="-2"/>
          <w:szCs w:val="24"/>
        </w:rPr>
        <w:t>S</w:t>
      </w:r>
      <w:r w:rsidRPr="008A2411">
        <w:rPr>
          <w:rFonts w:ascii="Times New Roman"/>
          <w:color w:val="000000" w:themeColor="text1"/>
          <w:spacing w:val="-2"/>
          <w:szCs w:val="24"/>
        </w:rPr>
        <w:t>、有机硫等的酸性气体，由于本项目</w:t>
      </w:r>
      <w:proofErr w:type="gramStart"/>
      <w:r w:rsidRPr="008A2411">
        <w:rPr>
          <w:rFonts w:ascii="Times New Roman"/>
          <w:color w:val="000000" w:themeColor="text1"/>
          <w:spacing w:val="-2"/>
          <w:szCs w:val="24"/>
        </w:rPr>
        <w:t>原料气硫含量</w:t>
      </w:r>
      <w:proofErr w:type="gramEnd"/>
      <w:r w:rsidRPr="008A2411">
        <w:rPr>
          <w:rFonts w:ascii="Times New Roman"/>
          <w:color w:val="000000" w:themeColor="text1"/>
          <w:spacing w:val="-2"/>
          <w:szCs w:val="24"/>
        </w:rPr>
        <w:t>较低</w:t>
      </w:r>
      <w:r w:rsidRPr="008A2411">
        <w:rPr>
          <w:rFonts w:ascii="Times New Roman"/>
          <w:bCs/>
          <w:color w:val="000000" w:themeColor="text1"/>
          <w:spacing w:val="-2"/>
          <w:szCs w:val="24"/>
        </w:rPr>
        <w:t>，</w:t>
      </w:r>
      <w:proofErr w:type="gramStart"/>
      <w:r w:rsidRPr="008A2411">
        <w:rPr>
          <w:rFonts w:ascii="Times New Roman"/>
          <w:bCs/>
          <w:color w:val="000000" w:themeColor="text1"/>
          <w:spacing w:val="-2"/>
          <w:szCs w:val="24"/>
        </w:rPr>
        <w:t>总硫量为</w:t>
      </w:r>
      <w:proofErr w:type="gramEnd"/>
      <w:r w:rsidRPr="008A2411">
        <w:rPr>
          <w:rFonts w:ascii="Times New Roman"/>
          <w:bCs/>
          <w:color w:val="000000" w:themeColor="text1"/>
          <w:spacing w:val="-2"/>
          <w:szCs w:val="24"/>
        </w:rPr>
        <w:t>7.28mg/m</w:t>
      </w:r>
      <w:r w:rsidRPr="008A2411">
        <w:rPr>
          <w:rFonts w:ascii="Times New Roman"/>
          <w:bCs/>
          <w:color w:val="000000" w:themeColor="text1"/>
          <w:spacing w:val="-2"/>
          <w:szCs w:val="24"/>
          <w:vertAlign w:val="superscript"/>
        </w:rPr>
        <w:t>3</w:t>
      </w:r>
      <w:r w:rsidRPr="008A2411">
        <w:rPr>
          <w:rFonts w:ascii="Times New Roman"/>
          <w:color w:val="000000" w:themeColor="text1"/>
          <w:spacing w:val="-2"/>
          <w:szCs w:val="24"/>
        </w:rPr>
        <w:t>，后经脱硫塔去除</w:t>
      </w:r>
      <w:r w:rsidRPr="008A2411">
        <w:rPr>
          <w:rFonts w:ascii="Times New Roman"/>
          <w:color w:val="000000" w:themeColor="text1"/>
          <w:spacing w:val="-2"/>
          <w:szCs w:val="24"/>
        </w:rPr>
        <w:t>H</w:t>
      </w:r>
      <w:r w:rsidRPr="008A2411">
        <w:rPr>
          <w:rFonts w:ascii="Times New Roman"/>
          <w:color w:val="000000" w:themeColor="text1"/>
          <w:spacing w:val="-2"/>
          <w:szCs w:val="24"/>
          <w:vertAlign w:val="subscript"/>
        </w:rPr>
        <w:t>2</w:t>
      </w:r>
      <w:r w:rsidRPr="008A2411">
        <w:rPr>
          <w:rFonts w:ascii="Times New Roman"/>
          <w:color w:val="000000" w:themeColor="text1"/>
          <w:spacing w:val="-2"/>
          <w:szCs w:val="24"/>
        </w:rPr>
        <w:t>S</w:t>
      </w:r>
      <w:r w:rsidRPr="008A2411">
        <w:rPr>
          <w:rFonts w:ascii="Times New Roman"/>
          <w:color w:val="000000" w:themeColor="text1"/>
          <w:spacing w:val="-2"/>
          <w:szCs w:val="24"/>
        </w:rPr>
        <w:t>及有机硫组分后，由</w:t>
      </w:r>
      <w:r w:rsidRPr="008A2411">
        <w:rPr>
          <w:rFonts w:ascii="Times New Roman"/>
          <w:color w:val="000000" w:themeColor="text1"/>
          <w:spacing w:val="-2"/>
          <w:szCs w:val="24"/>
        </w:rPr>
        <w:t>15m</w:t>
      </w:r>
      <w:r w:rsidRPr="008A2411">
        <w:rPr>
          <w:rFonts w:ascii="Times New Roman"/>
          <w:color w:val="000000" w:themeColor="text1"/>
          <w:spacing w:val="-2"/>
          <w:szCs w:val="24"/>
        </w:rPr>
        <w:t>高排气筒排放。</w:t>
      </w:r>
      <w:r w:rsidRPr="008A2411">
        <w:rPr>
          <w:rFonts w:ascii="Times New Roman"/>
          <w:color w:val="000000" w:themeColor="text1"/>
          <w:szCs w:val="24"/>
        </w:rPr>
        <w:t>根据设计资料，在</w:t>
      </w:r>
      <w:proofErr w:type="gramStart"/>
      <w:r w:rsidRPr="008A2411">
        <w:rPr>
          <w:rFonts w:ascii="Times New Roman"/>
          <w:color w:val="000000" w:themeColor="text1"/>
          <w:szCs w:val="24"/>
        </w:rPr>
        <w:t>经过胺液吸收及胺液闪蒸</w:t>
      </w:r>
      <w:proofErr w:type="gramEnd"/>
      <w:r w:rsidRPr="008A2411">
        <w:rPr>
          <w:rFonts w:ascii="Times New Roman"/>
          <w:color w:val="000000" w:themeColor="text1"/>
          <w:szCs w:val="24"/>
        </w:rPr>
        <w:t>后，仅有最大约</w:t>
      </w:r>
      <w:r w:rsidRPr="008A2411">
        <w:rPr>
          <w:rFonts w:ascii="Times New Roman"/>
          <w:color w:val="000000" w:themeColor="text1"/>
          <w:szCs w:val="24"/>
        </w:rPr>
        <w:t>60%</w:t>
      </w:r>
      <w:r w:rsidRPr="008A2411">
        <w:rPr>
          <w:rFonts w:ascii="Times New Roman"/>
          <w:color w:val="000000" w:themeColor="text1"/>
          <w:szCs w:val="24"/>
        </w:rPr>
        <w:t>的</w:t>
      </w:r>
      <w:r w:rsidRPr="008A2411">
        <w:rPr>
          <w:rFonts w:ascii="Times New Roman"/>
          <w:color w:val="000000" w:themeColor="text1"/>
          <w:spacing w:val="-2"/>
          <w:szCs w:val="24"/>
        </w:rPr>
        <w:t>H</w:t>
      </w:r>
      <w:r w:rsidRPr="008A2411">
        <w:rPr>
          <w:rFonts w:ascii="Times New Roman"/>
          <w:color w:val="000000" w:themeColor="text1"/>
          <w:spacing w:val="-2"/>
          <w:szCs w:val="24"/>
          <w:vertAlign w:val="subscript"/>
        </w:rPr>
        <w:t>2</w:t>
      </w:r>
      <w:r w:rsidRPr="008A2411">
        <w:rPr>
          <w:rFonts w:ascii="Times New Roman"/>
          <w:color w:val="000000" w:themeColor="text1"/>
          <w:spacing w:val="-2"/>
          <w:szCs w:val="24"/>
        </w:rPr>
        <w:t>S</w:t>
      </w:r>
      <w:r w:rsidRPr="008A2411">
        <w:rPr>
          <w:rFonts w:ascii="Times New Roman"/>
          <w:color w:val="000000" w:themeColor="text1"/>
          <w:spacing w:val="-2"/>
          <w:szCs w:val="24"/>
        </w:rPr>
        <w:t>及有机硫组分进入</w:t>
      </w:r>
      <w:proofErr w:type="gramStart"/>
      <w:r w:rsidRPr="008A2411">
        <w:rPr>
          <w:rFonts w:ascii="Times New Roman"/>
          <w:color w:val="000000" w:themeColor="text1"/>
          <w:spacing w:val="-2"/>
          <w:szCs w:val="24"/>
        </w:rPr>
        <w:t>胺液再生塔不</w:t>
      </w:r>
      <w:proofErr w:type="gramEnd"/>
      <w:r w:rsidRPr="008A2411">
        <w:rPr>
          <w:rFonts w:ascii="Times New Roman"/>
          <w:color w:val="000000" w:themeColor="text1"/>
          <w:spacing w:val="-2"/>
          <w:szCs w:val="24"/>
        </w:rPr>
        <w:t>凝汽中，根据物料衡算，本项目原料气总硫含量为</w:t>
      </w:r>
      <w:r w:rsidRPr="008A2411">
        <w:rPr>
          <w:rFonts w:ascii="Times New Roman"/>
          <w:color w:val="000000" w:themeColor="text1"/>
          <w:spacing w:val="-2"/>
          <w:szCs w:val="24"/>
        </w:rPr>
        <w:t>7.28mg/m</w:t>
      </w:r>
      <w:r w:rsidRPr="008A2411">
        <w:rPr>
          <w:rFonts w:ascii="Times New Roman"/>
          <w:color w:val="000000" w:themeColor="text1"/>
          <w:spacing w:val="-2"/>
          <w:szCs w:val="24"/>
          <w:vertAlign w:val="superscript"/>
        </w:rPr>
        <w:t>3</w:t>
      </w:r>
      <w:r w:rsidRPr="008A2411">
        <w:rPr>
          <w:rFonts w:ascii="Times New Roman"/>
          <w:color w:val="000000" w:themeColor="text1"/>
          <w:spacing w:val="-2"/>
          <w:szCs w:val="24"/>
        </w:rPr>
        <w:t>（其中</w:t>
      </w:r>
      <w:r w:rsidRPr="008A2411">
        <w:rPr>
          <w:rFonts w:ascii="Times New Roman"/>
          <w:color w:val="000000" w:themeColor="text1"/>
          <w:spacing w:val="-2"/>
          <w:szCs w:val="24"/>
        </w:rPr>
        <w:t>H</w:t>
      </w:r>
      <w:r w:rsidRPr="008A2411">
        <w:rPr>
          <w:rFonts w:ascii="Times New Roman"/>
          <w:color w:val="000000" w:themeColor="text1"/>
          <w:spacing w:val="-2"/>
          <w:szCs w:val="24"/>
          <w:vertAlign w:val="subscript"/>
        </w:rPr>
        <w:t>2</w:t>
      </w:r>
      <w:r w:rsidRPr="008A2411">
        <w:rPr>
          <w:rFonts w:ascii="Times New Roman"/>
          <w:color w:val="000000" w:themeColor="text1"/>
          <w:spacing w:val="-2"/>
          <w:szCs w:val="24"/>
        </w:rPr>
        <w:t>S</w:t>
      </w:r>
      <w:r w:rsidRPr="008A2411">
        <w:rPr>
          <w:rFonts w:ascii="Times New Roman"/>
          <w:color w:val="000000" w:themeColor="text1"/>
          <w:spacing w:val="-2"/>
          <w:szCs w:val="24"/>
        </w:rPr>
        <w:t>最大含量＜</w:t>
      </w:r>
      <w:r w:rsidRPr="008A2411">
        <w:rPr>
          <w:rFonts w:ascii="Times New Roman"/>
          <w:color w:val="000000" w:themeColor="text1"/>
          <w:spacing w:val="-2"/>
          <w:szCs w:val="24"/>
        </w:rPr>
        <w:t>1mg/m</w:t>
      </w:r>
      <w:r w:rsidRPr="008A2411">
        <w:rPr>
          <w:rFonts w:ascii="Times New Roman"/>
          <w:color w:val="000000" w:themeColor="text1"/>
          <w:spacing w:val="-2"/>
          <w:szCs w:val="24"/>
          <w:vertAlign w:val="superscript"/>
        </w:rPr>
        <w:t>3</w:t>
      </w:r>
      <w:r w:rsidRPr="008A2411">
        <w:rPr>
          <w:rFonts w:ascii="Times New Roman"/>
          <w:color w:val="000000" w:themeColor="text1"/>
          <w:spacing w:val="-2"/>
          <w:szCs w:val="24"/>
        </w:rPr>
        <w:t>，本次评价保守以</w:t>
      </w:r>
      <w:r w:rsidRPr="008A2411">
        <w:rPr>
          <w:rFonts w:ascii="Times New Roman"/>
          <w:color w:val="000000" w:themeColor="text1"/>
          <w:spacing w:val="-2"/>
          <w:szCs w:val="24"/>
        </w:rPr>
        <w:t>H</w:t>
      </w:r>
      <w:r w:rsidRPr="008A2411">
        <w:rPr>
          <w:rFonts w:ascii="Times New Roman"/>
          <w:color w:val="000000" w:themeColor="text1"/>
          <w:spacing w:val="-2"/>
          <w:szCs w:val="24"/>
          <w:vertAlign w:val="subscript"/>
        </w:rPr>
        <w:t>2</w:t>
      </w:r>
      <w:r w:rsidRPr="008A2411">
        <w:rPr>
          <w:rFonts w:ascii="Times New Roman"/>
          <w:color w:val="000000" w:themeColor="text1"/>
          <w:spacing w:val="-2"/>
          <w:szCs w:val="24"/>
        </w:rPr>
        <w:t>S</w:t>
      </w:r>
      <w:r w:rsidRPr="008A2411">
        <w:rPr>
          <w:rFonts w:ascii="Times New Roman"/>
          <w:color w:val="000000" w:themeColor="text1"/>
          <w:spacing w:val="-2"/>
          <w:szCs w:val="24"/>
        </w:rPr>
        <w:t>最大含量</w:t>
      </w:r>
      <w:r w:rsidRPr="008A2411">
        <w:rPr>
          <w:rFonts w:ascii="Times New Roman"/>
          <w:color w:val="000000" w:themeColor="text1"/>
          <w:spacing w:val="-2"/>
          <w:szCs w:val="24"/>
        </w:rPr>
        <w:t>1mg/m</w:t>
      </w:r>
      <w:r w:rsidRPr="008A2411">
        <w:rPr>
          <w:rFonts w:ascii="Times New Roman"/>
          <w:color w:val="000000" w:themeColor="text1"/>
          <w:spacing w:val="-2"/>
          <w:szCs w:val="24"/>
          <w:vertAlign w:val="superscript"/>
        </w:rPr>
        <w:t>3</w:t>
      </w:r>
      <w:r w:rsidRPr="008A2411">
        <w:rPr>
          <w:rFonts w:ascii="Times New Roman"/>
          <w:color w:val="000000" w:themeColor="text1"/>
          <w:spacing w:val="-2"/>
          <w:szCs w:val="24"/>
        </w:rPr>
        <w:t>计算，占比约</w:t>
      </w:r>
      <w:r w:rsidRPr="008A2411">
        <w:rPr>
          <w:rFonts w:ascii="Times New Roman"/>
          <w:color w:val="000000" w:themeColor="text1"/>
          <w:spacing w:val="-2"/>
          <w:szCs w:val="24"/>
        </w:rPr>
        <w:t>13.7%</w:t>
      </w:r>
      <w:r w:rsidRPr="008A2411">
        <w:rPr>
          <w:rFonts w:ascii="Times New Roman"/>
          <w:color w:val="000000" w:themeColor="text1"/>
          <w:spacing w:val="-2"/>
          <w:szCs w:val="24"/>
        </w:rPr>
        <w:t>）。项目</w:t>
      </w:r>
      <w:proofErr w:type="gramStart"/>
      <w:r w:rsidRPr="008A2411">
        <w:rPr>
          <w:rFonts w:ascii="Times New Roman"/>
          <w:color w:val="000000" w:themeColor="text1"/>
          <w:spacing w:val="-2"/>
          <w:szCs w:val="24"/>
        </w:rPr>
        <w:t>原料气年使用量</w:t>
      </w:r>
      <w:proofErr w:type="gramEnd"/>
      <w:r w:rsidRPr="008A2411">
        <w:rPr>
          <w:rFonts w:ascii="Times New Roman"/>
          <w:color w:val="000000" w:themeColor="text1"/>
          <w:spacing w:val="-2"/>
          <w:szCs w:val="24"/>
        </w:rPr>
        <w:t>为</w:t>
      </w:r>
      <w:r w:rsidRPr="008A2411">
        <w:rPr>
          <w:rFonts w:ascii="Times New Roman"/>
          <w:color w:val="000000" w:themeColor="text1"/>
          <w:spacing w:val="-2"/>
          <w:szCs w:val="24"/>
        </w:rPr>
        <w:t>3.3315×10</w:t>
      </w:r>
      <w:r w:rsidRPr="008A2411">
        <w:rPr>
          <w:rFonts w:ascii="Times New Roman"/>
          <w:color w:val="000000" w:themeColor="text1"/>
          <w:spacing w:val="-2"/>
          <w:szCs w:val="24"/>
          <w:vertAlign w:val="superscript"/>
        </w:rPr>
        <w:t>8</w:t>
      </w:r>
      <w:r w:rsidRPr="008A2411">
        <w:rPr>
          <w:rFonts w:ascii="Times New Roman"/>
          <w:color w:val="000000" w:themeColor="text1"/>
          <w:spacing w:val="-2"/>
          <w:szCs w:val="24"/>
        </w:rPr>
        <w:t>m</w:t>
      </w:r>
      <w:r w:rsidRPr="008A2411">
        <w:rPr>
          <w:rFonts w:ascii="Times New Roman"/>
          <w:color w:val="000000" w:themeColor="text1"/>
          <w:spacing w:val="-2"/>
          <w:szCs w:val="24"/>
          <w:vertAlign w:val="superscript"/>
        </w:rPr>
        <w:t>3</w:t>
      </w:r>
      <w:r w:rsidRPr="008A2411">
        <w:rPr>
          <w:rFonts w:ascii="Times New Roman"/>
          <w:color w:val="000000" w:themeColor="text1"/>
          <w:spacing w:val="-2"/>
          <w:szCs w:val="24"/>
        </w:rPr>
        <w:t>/a</w:t>
      </w:r>
      <w:r w:rsidRPr="008A2411">
        <w:rPr>
          <w:rFonts w:ascii="Times New Roman"/>
          <w:color w:val="000000" w:themeColor="text1"/>
          <w:spacing w:val="-2"/>
          <w:szCs w:val="24"/>
        </w:rPr>
        <w:t>，根据物料衡算，原料气共带入总硫含量为</w:t>
      </w:r>
      <w:r w:rsidRPr="008A2411">
        <w:rPr>
          <w:rFonts w:ascii="Times New Roman"/>
          <w:color w:val="000000" w:themeColor="text1"/>
          <w:spacing w:val="-2"/>
          <w:szCs w:val="24"/>
        </w:rPr>
        <w:t>2.4253 t/a</w:t>
      </w:r>
      <w:r w:rsidRPr="008A2411">
        <w:rPr>
          <w:rFonts w:ascii="Times New Roman"/>
          <w:color w:val="000000" w:themeColor="text1"/>
          <w:spacing w:val="-2"/>
          <w:szCs w:val="24"/>
        </w:rPr>
        <w:t>（</w:t>
      </w:r>
      <w:r w:rsidRPr="008A2411">
        <w:rPr>
          <w:rFonts w:ascii="Times New Roman"/>
          <w:color w:val="000000" w:themeColor="text1"/>
          <w:spacing w:val="-2"/>
          <w:szCs w:val="24"/>
        </w:rPr>
        <w:t>0.306kg/h</w:t>
      </w:r>
      <w:r w:rsidRPr="008A2411">
        <w:rPr>
          <w:rFonts w:ascii="Times New Roman"/>
          <w:color w:val="000000" w:themeColor="text1"/>
          <w:spacing w:val="-2"/>
          <w:szCs w:val="24"/>
        </w:rPr>
        <w:t>），</w:t>
      </w:r>
      <w:r w:rsidRPr="008A2411">
        <w:rPr>
          <w:rFonts w:ascii="Times New Roman"/>
          <w:color w:val="000000" w:themeColor="text1"/>
          <w:spacing w:val="-2"/>
          <w:szCs w:val="24"/>
        </w:rPr>
        <w:t>60%</w:t>
      </w:r>
      <w:proofErr w:type="gramStart"/>
      <w:r w:rsidRPr="008A2411">
        <w:rPr>
          <w:rFonts w:ascii="Times New Roman"/>
          <w:color w:val="000000" w:themeColor="text1"/>
          <w:spacing w:val="-2"/>
          <w:szCs w:val="24"/>
        </w:rPr>
        <w:t>通过胺液吸收</w:t>
      </w:r>
      <w:proofErr w:type="gramEnd"/>
      <w:r w:rsidRPr="008A2411">
        <w:rPr>
          <w:rFonts w:ascii="Times New Roman"/>
          <w:color w:val="000000" w:themeColor="text1"/>
          <w:spacing w:val="-2"/>
          <w:szCs w:val="24"/>
        </w:rPr>
        <w:t>，进入闪蒸工段后约</w:t>
      </w:r>
      <w:r w:rsidRPr="008A2411">
        <w:rPr>
          <w:rFonts w:ascii="Times New Roman"/>
          <w:color w:val="000000" w:themeColor="text1"/>
          <w:spacing w:val="-2"/>
          <w:szCs w:val="24"/>
        </w:rPr>
        <w:t>70%</w:t>
      </w:r>
      <w:r w:rsidRPr="008A2411">
        <w:rPr>
          <w:rFonts w:ascii="Times New Roman"/>
          <w:color w:val="000000" w:themeColor="text1"/>
          <w:spacing w:val="-2"/>
          <w:szCs w:val="24"/>
        </w:rPr>
        <w:t>进入闪蒸气中带走，剩余部分于</w:t>
      </w:r>
      <w:proofErr w:type="gramStart"/>
      <w:r w:rsidRPr="008A2411">
        <w:rPr>
          <w:rFonts w:ascii="Times New Roman"/>
          <w:color w:val="000000" w:themeColor="text1"/>
          <w:szCs w:val="24"/>
        </w:rPr>
        <w:t>不</w:t>
      </w:r>
      <w:proofErr w:type="gramEnd"/>
      <w:r w:rsidRPr="008A2411">
        <w:rPr>
          <w:rFonts w:ascii="Times New Roman"/>
          <w:color w:val="000000" w:themeColor="text1"/>
          <w:szCs w:val="24"/>
        </w:rPr>
        <w:t>凝</w:t>
      </w:r>
      <w:r w:rsidRPr="008A2411">
        <w:rPr>
          <w:rFonts w:ascii="Times New Roman"/>
          <w:color w:val="000000" w:themeColor="text1"/>
          <w:spacing w:val="-2"/>
          <w:szCs w:val="24"/>
        </w:rPr>
        <w:t>气中，由脱硫塔中活性炭装置吸附后排放，活性炭吸附装置吸收效率为</w:t>
      </w:r>
      <w:r w:rsidRPr="008A2411">
        <w:rPr>
          <w:rFonts w:ascii="Times New Roman"/>
          <w:color w:val="000000" w:themeColor="text1"/>
          <w:spacing w:val="-2"/>
          <w:szCs w:val="24"/>
        </w:rPr>
        <w:t>80%</w:t>
      </w:r>
      <w:r w:rsidRPr="008A2411">
        <w:rPr>
          <w:rFonts w:ascii="Times New Roman"/>
          <w:color w:val="000000" w:themeColor="text1"/>
          <w:spacing w:val="-2"/>
          <w:szCs w:val="24"/>
        </w:rPr>
        <w:t>。则据此，核算出胺再生塔冷凝器</w:t>
      </w:r>
      <w:proofErr w:type="gramStart"/>
      <w:r w:rsidRPr="008A2411">
        <w:rPr>
          <w:rFonts w:ascii="Times New Roman"/>
          <w:color w:val="000000" w:themeColor="text1"/>
          <w:spacing w:val="-2"/>
          <w:szCs w:val="24"/>
        </w:rPr>
        <w:t>不</w:t>
      </w:r>
      <w:proofErr w:type="gramEnd"/>
      <w:r w:rsidRPr="008A2411">
        <w:rPr>
          <w:rFonts w:ascii="Times New Roman"/>
          <w:color w:val="000000" w:themeColor="text1"/>
          <w:spacing w:val="-2"/>
          <w:szCs w:val="24"/>
        </w:rPr>
        <w:t>凝气经脱硫后尾气经脱硫塔吸收后废气排放部分总硫排放量为</w:t>
      </w:r>
      <w:r w:rsidRPr="008A2411">
        <w:rPr>
          <w:rFonts w:ascii="Times New Roman"/>
          <w:color w:val="000000" w:themeColor="text1"/>
          <w:spacing w:val="-2"/>
          <w:szCs w:val="24"/>
        </w:rPr>
        <w:t>0.08731t/a</w:t>
      </w:r>
      <w:r w:rsidRPr="008A2411">
        <w:rPr>
          <w:rFonts w:ascii="Times New Roman"/>
          <w:color w:val="000000" w:themeColor="text1"/>
          <w:spacing w:val="-2"/>
          <w:szCs w:val="24"/>
        </w:rPr>
        <w:t>（</w:t>
      </w:r>
      <w:r w:rsidRPr="008A2411">
        <w:rPr>
          <w:rFonts w:ascii="Times New Roman"/>
          <w:color w:val="000000" w:themeColor="text1"/>
          <w:spacing w:val="-2"/>
          <w:szCs w:val="24"/>
        </w:rPr>
        <w:t>0.011kg/h</w:t>
      </w:r>
      <w:r w:rsidRPr="008A2411">
        <w:rPr>
          <w:rFonts w:ascii="Times New Roman"/>
          <w:color w:val="000000" w:themeColor="text1"/>
          <w:spacing w:val="-2"/>
          <w:szCs w:val="24"/>
        </w:rPr>
        <w:t>），其中</w:t>
      </w:r>
      <w:r w:rsidRPr="008A2411">
        <w:rPr>
          <w:rFonts w:ascii="Times New Roman"/>
          <w:color w:val="000000" w:themeColor="text1"/>
          <w:spacing w:val="-2"/>
          <w:szCs w:val="24"/>
        </w:rPr>
        <w:t>H</w:t>
      </w:r>
      <w:r w:rsidRPr="008A2411">
        <w:rPr>
          <w:rFonts w:ascii="Times New Roman"/>
          <w:color w:val="000000" w:themeColor="text1"/>
          <w:spacing w:val="-2"/>
          <w:szCs w:val="24"/>
          <w:vertAlign w:val="subscript"/>
        </w:rPr>
        <w:t>2</w:t>
      </w:r>
      <w:r w:rsidRPr="008A2411">
        <w:rPr>
          <w:rFonts w:ascii="Times New Roman"/>
          <w:color w:val="000000" w:themeColor="text1"/>
          <w:spacing w:val="-2"/>
          <w:szCs w:val="24"/>
        </w:rPr>
        <w:t>S</w:t>
      </w:r>
      <w:r w:rsidRPr="008A2411">
        <w:rPr>
          <w:rFonts w:ascii="Times New Roman"/>
          <w:color w:val="000000" w:themeColor="text1"/>
          <w:spacing w:val="-2"/>
          <w:szCs w:val="24"/>
        </w:rPr>
        <w:t>占比</w:t>
      </w:r>
      <w:r w:rsidRPr="008A2411">
        <w:rPr>
          <w:rFonts w:ascii="Times New Roman"/>
          <w:color w:val="000000" w:themeColor="text1"/>
          <w:spacing w:val="-2"/>
          <w:szCs w:val="24"/>
        </w:rPr>
        <w:t>13.7%</w:t>
      </w:r>
      <w:r w:rsidRPr="008A2411">
        <w:rPr>
          <w:rFonts w:ascii="Times New Roman"/>
          <w:color w:val="000000" w:themeColor="text1"/>
          <w:spacing w:val="-2"/>
          <w:szCs w:val="24"/>
        </w:rPr>
        <w:t>，排放量为</w:t>
      </w:r>
      <w:r w:rsidRPr="008A2411">
        <w:rPr>
          <w:rFonts w:ascii="Times New Roman"/>
          <w:color w:val="000000" w:themeColor="text1"/>
          <w:spacing w:val="-2"/>
          <w:szCs w:val="24"/>
        </w:rPr>
        <w:t>0.01197t/a</w:t>
      </w:r>
      <w:r w:rsidRPr="008A2411">
        <w:rPr>
          <w:rFonts w:ascii="Times New Roman"/>
          <w:color w:val="000000" w:themeColor="text1"/>
          <w:spacing w:val="-2"/>
          <w:szCs w:val="24"/>
        </w:rPr>
        <w:t>（</w:t>
      </w:r>
      <w:r w:rsidRPr="008A2411">
        <w:rPr>
          <w:rFonts w:ascii="Times New Roman"/>
          <w:color w:val="000000" w:themeColor="text1"/>
          <w:spacing w:val="-2"/>
          <w:szCs w:val="24"/>
        </w:rPr>
        <w:t>0.0015kg/h</w:t>
      </w:r>
      <w:r w:rsidRPr="008A2411">
        <w:rPr>
          <w:rFonts w:ascii="Times New Roman"/>
          <w:color w:val="000000" w:themeColor="text1"/>
          <w:spacing w:val="-2"/>
          <w:szCs w:val="24"/>
        </w:rPr>
        <w:t>），其余有机硫组分</w:t>
      </w:r>
      <w:proofErr w:type="gramStart"/>
      <w:r w:rsidRPr="008A2411">
        <w:rPr>
          <w:rFonts w:ascii="Times New Roman"/>
          <w:color w:val="000000" w:themeColor="text1"/>
          <w:spacing w:val="-2"/>
          <w:szCs w:val="24"/>
        </w:rPr>
        <w:t>中硫占比</w:t>
      </w:r>
      <w:proofErr w:type="gramEnd"/>
      <w:r w:rsidRPr="008A2411">
        <w:rPr>
          <w:rFonts w:ascii="Times New Roman"/>
          <w:color w:val="000000" w:themeColor="text1"/>
          <w:spacing w:val="-2"/>
          <w:szCs w:val="24"/>
        </w:rPr>
        <w:t>87.3%</w:t>
      </w:r>
      <w:r w:rsidRPr="008A2411">
        <w:rPr>
          <w:rFonts w:ascii="Times New Roman"/>
          <w:color w:val="000000" w:themeColor="text1"/>
          <w:spacing w:val="-2"/>
          <w:szCs w:val="24"/>
        </w:rPr>
        <w:t>，排放量为</w:t>
      </w:r>
      <w:r w:rsidRPr="008A2411">
        <w:rPr>
          <w:rFonts w:ascii="Times New Roman"/>
          <w:color w:val="000000" w:themeColor="text1"/>
          <w:spacing w:val="-2"/>
          <w:szCs w:val="24"/>
        </w:rPr>
        <w:t>0.07535t/a</w:t>
      </w:r>
      <w:r w:rsidRPr="008A2411">
        <w:rPr>
          <w:rFonts w:ascii="Times New Roman"/>
          <w:color w:val="000000" w:themeColor="text1"/>
          <w:spacing w:val="-2"/>
          <w:szCs w:val="24"/>
        </w:rPr>
        <w:t>（</w:t>
      </w:r>
      <w:r w:rsidRPr="008A2411">
        <w:rPr>
          <w:rFonts w:ascii="Times New Roman"/>
          <w:color w:val="000000" w:themeColor="text1"/>
          <w:spacing w:val="-2"/>
          <w:szCs w:val="24"/>
        </w:rPr>
        <w:t>0.0095kg/h</w:t>
      </w:r>
      <w:r w:rsidRPr="008A2411">
        <w:rPr>
          <w:rFonts w:ascii="Times New Roman"/>
          <w:color w:val="000000" w:themeColor="text1"/>
          <w:spacing w:val="-2"/>
          <w:szCs w:val="24"/>
        </w:rPr>
        <w:t>），根据气质组分监测报告，</w:t>
      </w:r>
      <w:r w:rsidR="00F243D6" w:rsidRPr="008A2411">
        <w:rPr>
          <w:rFonts w:ascii="Times New Roman"/>
          <w:color w:val="000000" w:themeColor="text1"/>
          <w:spacing w:val="-2"/>
          <w:szCs w:val="24"/>
        </w:rPr>
        <w:t>NMHC</w:t>
      </w:r>
      <w:r w:rsidRPr="008A2411">
        <w:rPr>
          <w:rFonts w:ascii="Times New Roman"/>
          <w:color w:val="000000" w:themeColor="text1"/>
          <w:spacing w:val="-2"/>
          <w:szCs w:val="24"/>
        </w:rPr>
        <w:t>产生量以最大有机硫二甲基二硫醚折算（分子量</w:t>
      </w:r>
      <w:r w:rsidRPr="008A2411">
        <w:rPr>
          <w:rFonts w:ascii="Times New Roman"/>
          <w:color w:val="000000" w:themeColor="text1"/>
          <w:spacing w:val="-2"/>
          <w:szCs w:val="24"/>
        </w:rPr>
        <w:t>94</w:t>
      </w:r>
      <w:r w:rsidRPr="008A2411">
        <w:rPr>
          <w:rFonts w:ascii="Times New Roman"/>
          <w:color w:val="000000" w:themeColor="text1"/>
          <w:spacing w:val="-2"/>
          <w:szCs w:val="24"/>
        </w:rPr>
        <w:t>），则废气中</w:t>
      </w:r>
      <w:r w:rsidR="00F243D6" w:rsidRPr="008A2411">
        <w:rPr>
          <w:rFonts w:ascii="Times New Roman"/>
          <w:color w:val="000000" w:themeColor="text1"/>
          <w:spacing w:val="-2"/>
          <w:szCs w:val="24"/>
        </w:rPr>
        <w:t>NMHC</w:t>
      </w:r>
      <w:r w:rsidRPr="008A2411">
        <w:rPr>
          <w:rFonts w:ascii="Times New Roman"/>
          <w:color w:val="000000" w:themeColor="text1"/>
          <w:spacing w:val="-2"/>
          <w:szCs w:val="24"/>
        </w:rPr>
        <w:t>为</w:t>
      </w:r>
      <w:r w:rsidRPr="008A2411">
        <w:rPr>
          <w:rFonts w:ascii="Times New Roman"/>
          <w:color w:val="000000" w:themeColor="text1"/>
          <w:spacing w:val="-2"/>
          <w:szCs w:val="24"/>
        </w:rPr>
        <w:t>0.2215t/a</w:t>
      </w:r>
      <w:r w:rsidRPr="008A2411">
        <w:rPr>
          <w:rFonts w:ascii="Times New Roman"/>
          <w:color w:val="000000" w:themeColor="text1"/>
          <w:spacing w:val="-2"/>
          <w:szCs w:val="24"/>
        </w:rPr>
        <w:t>（</w:t>
      </w:r>
      <w:r w:rsidRPr="008A2411">
        <w:rPr>
          <w:rFonts w:ascii="Times New Roman"/>
          <w:color w:val="000000" w:themeColor="text1"/>
          <w:spacing w:val="-2"/>
          <w:szCs w:val="24"/>
        </w:rPr>
        <w:t>0.0280kg/h</w:t>
      </w:r>
      <w:r w:rsidRPr="008A2411">
        <w:rPr>
          <w:rFonts w:ascii="Times New Roman"/>
          <w:color w:val="000000" w:themeColor="text1"/>
          <w:spacing w:val="-2"/>
          <w:szCs w:val="24"/>
        </w:rPr>
        <w:t>）。脱硫塔废气排放量为</w:t>
      </w:r>
      <w:r w:rsidRPr="008A2411">
        <w:rPr>
          <w:rFonts w:ascii="Times New Roman"/>
          <w:color w:val="000000" w:themeColor="text1"/>
          <w:spacing w:val="-2"/>
          <w:szCs w:val="24"/>
        </w:rPr>
        <w:t>6000m</w:t>
      </w:r>
      <w:r w:rsidRPr="008A2411">
        <w:rPr>
          <w:rFonts w:ascii="Times New Roman"/>
          <w:color w:val="000000" w:themeColor="text1"/>
          <w:spacing w:val="-2"/>
          <w:szCs w:val="24"/>
          <w:vertAlign w:val="superscript"/>
        </w:rPr>
        <w:t>3</w:t>
      </w:r>
      <w:r w:rsidRPr="008A2411">
        <w:rPr>
          <w:rFonts w:ascii="Times New Roman"/>
          <w:color w:val="000000" w:themeColor="text1"/>
          <w:spacing w:val="-2"/>
          <w:szCs w:val="24"/>
        </w:rPr>
        <w:t>/h</w:t>
      </w:r>
      <w:r w:rsidRPr="008A2411">
        <w:rPr>
          <w:rFonts w:ascii="Times New Roman"/>
          <w:color w:val="000000" w:themeColor="text1"/>
          <w:spacing w:val="-2"/>
          <w:szCs w:val="24"/>
        </w:rPr>
        <w:t>，则废气中</w:t>
      </w:r>
      <w:r w:rsidRPr="008A2411">
        <w:rPr>
          <w:rFonts w:ascii="Times New Roman"/>
          <w:color w:val="000000" w:themeColor="text1"/>
          <w:spacing w:val="-2"/>
          <w:szCs w:val="24"/>
        </w:rPr>
        <w:t>H</w:t>
      </w:r>
      <w:r w:rsidRPr="008A2411">
        <w:rPr>
          <w:rFonts w:ascii="Times New Roman"/>
          <w:color w:val="000000" w:themeColor="text1"/>
          <w:spacing w:val="-2"/>
          <w:szCs w:val="24"/>
          <w:vertAlign w:val="subscript"/>
        </w:rPr>
        <w:t>2</w:t>
      </w:r>
      <w:r w:rsidRPr="008A2411">
        <w:rPr>
          <w:rFonts w:ascii="Times New Roman"/>
          <w:color w:val="000000" w:themeColor="text1"/>
          <w:spacing w:val="-2"/>
          <w:szCs w:val="24"/>
        </w:rPr>
        <w:t>S</w:t>
      </w:r>
      <w:r w:rsidRPr="008A2411">
        <w:rPr>
          <w:rFonts w:ascii="Times New Roman"/>
          <w:color w:val="000000" w:themeColor="text1"/>
          <w:spacing w:val="-2"/>
          <w:szCs w:val="24"/>
        </w:rPr>
        <w:t>排放浓度为</w:t>
      </w:r>
      <w:r w:rsidRPr="008A2411">
        <w:rPr>
          <w:rFonts w:ascii="Times New Roman"/>
          <w:color w:val="000000" w:themeColor="text1"/>
          <w:spacing w:val="-2"/>
          <w:szCs w:val="24"/>
        </w:rPr>
        <w:t>0.25mg/m</w:t>
      </w:r>
      <w:r w:rsidRPr="008A2411">
        <w:rPr>
          <w:rFonts w:ascii="Times New Roman"/>
          <w:color w:val="000000" w:themeColor="text1"/>
          <w:spacing w:val="-2"/>
          <w:szCs w:val="24"/>
          <w:vertAlign w:val="superscript"/>
        </w:rPr>
        <w:t>3</w:t>
      </w:r>
      <w:r w:rsidRPr="008A2411">
        <w:rPr>
          <w:rFonts w:ascii="Times New Roman"/>
          <w:color w:val="000000" w:themeColor="text1"/>
          <w:spacing w:val="-2"/>
          <w:szCs w:val="24"/>
        </w:rPr>
        <w:t>，</w:t>
      </w:r>
      <w:r w:rsidR="00F243D6" w:rsidRPr="008A2411">
        <w:rPr>
          <w:rFonts w:ascii="Times New Roman"/>
          <w:color w:val="000000" w:themeColor="text1"/>
          <w:spacing w:val="-2"/>
          <w:szCs w:val="24"/>
        </w:rPr>
        <w:t>NMHC</w:t>
      </w:r>
      <w:r w:rsidRPr="008A2411">
        <w:rPr>
          <w:rFonts w:ascii="Times New Roman"/>
          <w:color w:val="000000" w:themeColor="text1"/>
          <w:spacing w:val="-2"/>
          <w:szCs w:val="24"/>
        </w:rPr>
        <w:t>排放浓度为</w:t>
      </w:r>
      <w:r w:rsidRPr="008A2411">
        <w:rPr>
          <w:rFonts w:ascii="Times New Roman"/>
          <w:color w:val="000000" w:themeColor="text1"/>
          <w:spacing w:val="-2"/>
          <w:szCs w:val="24"/>
        </w:rPr>
        <w:t>4.66mg/m</w:t>
      </w:r>
      <w:r w:rsidRPr="008A2411">
        <w:rPr>
          <w:rFonts w:ascii="Times New Roman"/>
          <w:color w:val="000000" w:themeColor="text1"/>
          <w:spacing w:val="-2"/>
          <w:szCs w:val="24"/>
          <w:vertAlign w:val="superscript"/>
        </w:rPr>
        <w:t>3</w:t>
      </w:r>
      <w:r w:rsidRPr="008A2411">
        <w:rPr>
          <w:rFonts w:ascii="Times New Roman"/>
          <w:color w:val="000000" w:themeColor="text1"/>
          <w:spacing w:val="-2"/>
          <w:szCs w:val="24"/>
        </w:rPr>
        <w:t>。</w:t>
      </w:r>
    </w:p>
    <w:p w14:paraId="5746E072" w14:textId="77777777" w:rsidR="00B0005F" w:rsidRPr="008A2411" w:rsidRDefault="00000000">
      <w:pPr>
        <w:pStyle w:val="WJ"/>
        <w:adjustRightInd w:val="0"/>
        <w:snapToGrid w:val="0"/>
        <w:spacing w:line="360" w:lineRule="auto"/>
        <w:ind w:firstLine="474"/>
        <w:rPr>
          <w:rFonts w:ascii="Times New Roman" w:hAnsi="Times New Roman"/>
          <w:color w:val="000000" w:themeColor="text1"/>
          <w:spacing w:val="-2"/>
        </w:rPr>
      </w:pPr>
      <w:r w:rsidRPr="008A2411">
        <w:rPr>
          <w:rFonts w:ascii="Times New Roman" w:hAnsi="Times New Roman"/>
          <w:b/>
          <w:bCs/>
          <w:color w:val="000000" w:themeColor="text1"/>
          <w:spacing w:val="-2"/>
          <w:kern w:val="0"/>
          <w:szCs w:val="20"/>
        </w:rPr>
        <w:t>导热油锅炉烟气（</w:t>
      </w:r>
      <w:r w:rsidRPr="008A2411">
        <w:rPr>
          <w:rFonts w:ascii="Times New Roman" w:hAnsi="Times New Roman"/>
          <w:b/>
          <w:bCs/>
          <w:color w:val="000000" w:themeColor="text1"/>
          <w:spacing w:val="-2"/>
          <w:kern w:val="0"/>
          <w:szCs w:val="20"/>
        </w:rPr>
        <w:t>G</w:t>
      </w:r>
      <w:r w:rsidRPr="008A2411">
        <w:rPr>
          <w:rFonts w:ascii="Times New Roman" w:hAnsi="Times New Roman"/>
          <w:b/>
          <w:bCs/>
          <w:color w:val="000000" w:themeColor="text1"/>
          <w:spacing w:val="-2"/>
          <w:kern w:val="0"/>
          <w:szCs w:val="20"/>
          <w:vertAlign w:val="subscript"/>
        </w:rPr>
        <w:t>3</w:t>
      </w:r>
      <w:r w:rsidRPr="008A2411">
        <w:rPr>
          <w:rFonts w:ascii="Times New Roman" w:hAnsi="Times New Roman"/>
          <w:b/>
          <w:bCs/>
          <w:color w:val="000000" w:themeColor="text1"/>
          <w:spacing w:val="-2"/>
          <w:kern w:val="0"/>
          <w:szCs w:val="20"/>
        </w:rPr>
        <w:t>）：</w:t>
      </w:r>
      <w:r w:rsidRPr="008A2411">
        <w:rPr>
          <w:rFonts w:ascii="Times New Roman" w:hAnsi="Times New Roman"/>
          <w:color w:val="000000" w:themeColor="text1"/>
          <w:spacing w:val="-2"/>
          <w:kern w:val="0"/>
          <w:szCs w:val="20"/>
        </w:rPr>
        <w:t>导热油</w:t>
      </w:r>
      <w:r w:rsidRPr="008A2411">
        <w:rPr>
          <w:rFonts w:ascii="Times New Roman" w:hAnsi="Times New Roman"/>
          <w:color w:val="000000" w:themeColor="text1"/>
        </w:rPr>
        <w:t>炉采用项目净化后天然气，所选的燃烧器为全自动高效燃烧器，并设有熄火自动切断气源装置，可确保天然气燃烧完全，其</w:t>
      </w:r>
      <w:r w:rsidRPr="008A2411">
        <w:rPr>
          <w:rFonts w:ascii="Times New Roman" w:hAnsi="Times New Roman"/>
          <w:color w:val="000000" w:themeColor="text1"/>
        </w:rPr>
        <w:lastRenderedPageBreak/>
        <w:t>燃烧产物主要为</w:t>
      </w:r>
      <w:r w:rsidRPr="008A2411">
        <w:rPr>
          <w:rFonts w:ascii="Times New Roman" w:hAnsi="Times New Roman"/>
          <w:color w:val="000000" w:themeColor="text1"/>
        </w:rPr>
        <w:t>NO</w:t>
      </w:r>
      <w:r w:rsidRPr="008A2411">
        <w:rPr>
          <w:rFonts w:ascii="Times New Roman" w:hAnsi="Times New Roman"/>
          <w:color w:val="000000" w:themeColor="text1"/>
          <w:vertAlign w:val="subscript"/>
        </w:rPr>
        <w:t>X</w:t>
      </w:r>
      <w:r w:rsidRPr="008A2411">
        <w:rPr>
          <w:rFonts w:ascii="Times New Roman" w:hAnsi="Times New Roman"/>
          <w:color w:val="000000" w:themeColor="text1"/>
        </w:rPr>
        <w:t>、</w:t>
      </w:r>
      <w:r w:rsidRPr="008A2411">
        <w:rPr>
          <w:rFonts w:ascii="Times New Roman" w:hAnsi="Times New Roman"/>
          <w:color w:val="000000" w:themeColor="text1"/>
        </w:rPr>
        <w:t>CO</w:t>
      </w:r>
      <w:r w:rsidRPr="008A2411">
        <w:rPr>
          <w:rFonts w:ascii="Times New Roman" w:hAnsi="Times New Roman"/>
          <w:color w:val="000000" w:themeColor="text1"/>
          <w:vertAlign w:val="subscript"/>
        </w:rPr>
        <w:t>2</w:t>
      </w:r>
      <w:r w:rsidRPr="008A2411">
        <w:rPr>
          <w:rFonts w:ascii="Times New Roman" w:hAnsi="Times New Roman"/>
          <w:color w:val="000000" w:themeColor="text1"/>
        </w:rPr>
        <w:t>、</w:t>
      </w:r>
      <w:r w:rsidRPr="008A2411">
        <w:rPr>
          <w:rFonts w:ascii="Times New Roman" w:hAnsi="Times New Roman"/>
          <w:color w:val="000000" w:themeColor="text1"/>
        </w:rPr>
        <w:t>H</w:t>
      </w:r>
      <w:r w:rsidRPr="008A2411">
        <w:rPr>
          <w:rFonts w:ascii="Times New Roman" w:hAnsi="Times New Roman"/>
          <w:color w:val="000000" w:themeColor="text1"/>
          <w:vertAlign w:val="subscript"/>
        </w:rPr>
        <w:t>2</w:t>
      </w:r>
      <w:r w:rsidRPr="008A2411">
        <w:rPr>
          <w:rFonts w:ascii="Times New Roman" w:hAnsi="Times New Roman"/>
          <w:color w:val="000000" w:themeColor="text1"/>
        </w:rPr>
        <w:t>O</w:t>
      </w:r>
      <w:r w:rsidRPr="008A2411">
        <w:rPr>
          <w:rFonts w:ascii="Times New Roman" w:hAnsi="Times New Roman"/>
          <w:color w:val="000000" w:themeColor="text1"/>
        </w:rPr>
        <w:t>和少量</w:t>
      </w:r>
      <w:r w:rsidRPr="008A2411">
        <w:rPr>
          <w:rFonts w:ascii="Times New Roman" w:hAnsi="Times New Roman"/>
          <w:color w:val="000000" w:themeColor="text1"/>
        </w:rPr>
        <w:t>SO</w:t>
      </w:r>
      <w:r w:rsidRPr="008A2411">
        <w:rPr>
          <w:rFonts w:ascii="Times New Roman" w:hAnsi="Times New Roman"/>
          <w:color w:val="000000" w:themeColor="text1"/>
          <w:vertAlign w:val="subscript"/>
        </w:rPr>
        <w:t>2</w:t>
      </w:r>
      <w:r w:rsidRPr="008A2411">
        <w:rPr>
          <w:rFonts w:ascii="Times New Roman" w:hAnsi="Times New Roman"/>
          <w:color w:val="000000" w:themeColor="text1"/>
        </w:rPr>
        <w:t>。导热油炉废气污染物产排核算均按照《排放源统计调查产排污核算方法和系数手册》（环境部公告</w:t>
      </w:r>
      <w:r w:rsidRPr="008A2411">
        <w:rPr>
          <w:rFonts w:ascii="Times New Roman" w:hAnsi="Times New Roman"/>
          <w:color w:val="000000" w:themeColor="text1"/>
        </w:rPr>
        <w:t xml:space="preserve">2021 </w:t>
      </w:r>
      <w:r w:rsidRPr="008A2411">
        <w:rPr>
          <w:rFonts w:ascii="Times New Roman" w:hAnsi="Times New Roman"/>
          <w:color w:val="000000" w:themeColor="text1"/>
        </w:rPr>
        <w:t>第</w:t>
      </w:r>
      <w:r w:rsidRPr="008A2411">
        <w:rPr>
          <w:rFonts w:ascii="Times New Roman" w:hAnsi="Times New Roman"/>
          <w:color w:val="000000" w:themeColor="text1"/>
        </w:rPr>
        <w:t>24</w:t>
      </w:r>
      <w:r w:rsidRPr="008A2411">
        <w:rPr>
          <w:rFonts w:ascii="Times New Roman" w:hAnsi="Times New Roman"/>
          <w:color w:val="000000" w:themeColor="text1"/>
        </w:rPr>
        <w:t>号）中</w:t>
      </w:r>
      <w:r w:rsidRPr="008A2411">
        <w:rPr>
          <w:rFonts w:ascii="Times New Roman" w:hAnsi="Times New Roman" w:hint="eastAsia"/>
          <w:color w:val="000000" w:themeColor="text1"/>
        </w:rPr>
        <w:t>“</w:t>
      </w:r>
      <w:r w:rsidRPr="008A2411">
        <w:rPr>
          <w:rFonts w:ascii="Times New Roman" w:hAnsi="Times New Roman"/>
          <w:color w:val="000000" w:themeColor="text1"/>
        </w:rPr>
        <w:t>锅炉产排污量核算系数手册</w:t>
      </w:r>
      <w:r w:rsidRPr="008A2411">
        <w:rPr>
          <w:rFonts w:ascii="Times New Roman" w:hAnsi="Times New Roman" w:hint="eastAsia"/>
          <w:color w:val="000000" w:themeColor="text1"/>
        </w:rPr>
        <w:t>”</w:t>
      </w:r>
      <w:r w:rsidRPr="008A2411">
        <w:rPr>
          <w:rFonts w:ascii="Times New Roman" w:hAnsi="Times New Roman"/>
          <w:color w:val="000000" w:themeColor="text1"/>
        </w:rPr>
        <w:t>中燃气工业锅炉废气产排污系数计算，热力生产型燃气锅炉的工业废气产生量为</w:t>
      </w:r>
      <w:r w:rsidRPr="008A2411">
        <w:rPr>
          <w:rFonts w:ascii="Times New Roman" w:hAnsi="Times New Roman"/>
          <w:color w:val="000000" w:themeColor="text1"/>
        </w:rPr>
        <w:t>10.7753</w:t>
      </w:r>
      <w:r w:rsidRPr="008A2411">
        <w:rPr>
          <w:rFonts w:ascii="Times New Roman" w:hAnsi="Times New Roman"/>
          <w:color w:val="000000" w:themeColor="text1"/>
        </w:rPr>
        <w:t>标立方米</w:t>
      </w:r>
      <w:r w:rsidRPr="008A2411">
        <w:rPr>
          <w:rFonts w:ascii="Times New Roman" w:hAnsi="Times New Roman"/>
          <w:color w:val="000000" w:themeColor="text1"/>
        </w:rPr>
        <w:t>/</w:t>
      </w:r>
      <w:r w:rsidRPr="008A2411">
        <w:rPr>
          <w:rFonts w:ascii="Times New Roman" w:hAnsi="Times New Roman"/>
          <w:color w:val="000000" w:themeColor="text1"/>
        </w:rPr>
        <w:t>立方米</w:t>
      </w:r>
      <w:r w:rsidRPr="008A2411">
        <w:rPr>
          <w:rFonts w:ascii="Times New Roman" w:hAnsi="Times New Roman"/>
          <w:color w:val="000000" w:themeColor="text1"/>
        </w:rPr>
        <w:t>-</w:t>
      </w:r>
      <w:r w:rsidRPr="008A2411">
        <w:rPr>
          <w:rFonts w:ascii="Times New Roman" w:hAnsi="Times New Roman"/>
          <w:color w:val="000000" w:themeColor="text1"/>
        </w:rPr>
        <w:t>原料，其中导热油炉</w:t>
      </w:r>
      <w:proofErr w:type="gramStart"/>
      <w:r w:rsidRPr="008A2411">
        <w:rPr>
          <w:rFonts w:ascii="Times New Roman" w:hAnsi="Times New Roman"/>
          <w:color w:val="000000" w:themeColor="text1"/>
        </w:rPr>
        <w:t>采用低氮燃烧</w:t>
      </w:r>
      <w:proofErr w:type="gramEnd"/>
      <w:r w:rsidRPr="008A2411">
        <w:rPr>
          <w:rFonts w:ascii="Times New Roman" w:hAnsi="Times New Roman"/>
          <w:color w:val="000000" w:themeColor="text1"/>
        </w:rPr>
        <w:t>，氮氧化物的产生系数为</w:t>
      </w:r>
      <w:r w:rsidRPr="008A2411">
        <w:rPr>
          <w:rFonts w:ascii="Times New Roman" w:hAnsi="Times New Roman"/>
          <w:color w:val="000000" w:themeColor="text1"/>
        </w:rPr>
        <w:t>6.97</w:t>
      </w:r>
      <w:r w:rsidRPr="008A2411">
        <w:rPr>
          <w:rFonts w:ascii="Times New Roman" w:hAnsi="Times New Roman"/>
          <w:color w:val="000000" w:themeColor="text1"/>
        </w:rPr>
        <w:t>千克</w:t>
      </w:r>
      <w:r w:rsidRPr="008A2411">
        <w:rPr>
          <w:rFonts w:ascii="Times New Roman" w:hAnsi="Times New Roman"/>
          <w:color w:val="000000" w:themeColor="text1"/>
        </w:rPr>
        <w:t>/</w:t>
      </w:r>
      <w:proofErr w:type="gramStart"/>
      <w:r w:rsidRPr="008A2411">
        <w:rPr>
          <w:rFonts w:ascii="Times New Roman" w:hAnsi="Times New Roman"/>
          <w:color w:val="000000" w:themeColor="text1"/>
        </w:rPr>
        <w:t>万立方米</w:t>
      </w:r>
      <w:proofErr w:type="gramEnd"/>
      <w:r w:rsidRPr="008A2411">
        <w:rPr>
          <w:rFonts w:ascii="Times New Roman" w:hAnsi="Times New Roman"/>
          <w:color w:val="000000" w:themeColor="text1"/>
        </w:rPr>
        <w:t>-</w:t>
      </w:r>
      <w:r w:rsidRPr="008A2411">
        <w:rPr>
          <w:rFonts w:ascii="Times New Roman" w:hAnsi="Times New Roman"/>
          <w:color w:val="000000" w:themeColor="text1"/>
        </w:rPr>
        <w:t>原料。</w:t>
      </w:r>
      <w:r w:rsidRPr="008A2411">
        <w:rPr>
          <w:rFonts w:ascii="Times New Roman" w:hAnsi="Times New Roman"/>
          <w:color w:val="000000" w:themeColor="text1"/>
        </w:rPr>
        <w:t>SO</w:t>
      </w:r>
      <w:r w:rsidRPr="008A2411">
        <w:rPr>
          <w:rFonts w:ascii="Times New Roman" w:hAnsi="Times New Roman"/>
          <w:color w:val="000000" w:themeColor="text1"/>
          <w:vertAlign w:val="subscript"/>
        </w:rPr>
        <w:t>2</w:t>
      </w:r>
      <w:r w:rsidRPr="008A2411">
        <w:rPr>
          <w:rFonts w:ascii="Times New Roman" w:hAnsi="Times New Roman"/>
          <w:color w:val="000000" w:themeColor="text1"/>
        </w:rPr>
        <w:t>的产生系数均为</w:t>
      </w:r>
      <w:r w:rsidRPr="008A2411">
        <w:rPr>
          <w:rFonts w:ascii="Times New Roman" w:hAnsi="Times New Roman"/>
          <w:color w:val="000000" w:themeColor="text1"/>
        </w:rPr>
        <w:t>0.02S</w:t>
      </w:r>
      <w:r w:rsidRPr="008A2411">
        <w:rPr>
          <w:rFonts w:ascii="Times New Roman" w:hAnsi="Times New Roman"/>
          <w:color w:val="000000" w:themeColor="text1"/>
        </w:rPr>
        <w:t>（</w:t>
      </w:r>
      <w:r w:rsidRPr="008A2411">
        <w:rPr>
          <w:rFonts w:ascii="Times New Roman" w:hAnsi="Times New Roman"/>
          <w:color w:val="000000" w:themeColor="text1"/>
        </w:rPr>
        <w:t>S=7.28</w:t>
      </w:r>
      <w:r w:rsidRPr="008A2411">
        <w:rPr>
          <w:rFonts w:ascii="Times New Roman" w:hAnsi="Times New Roman"/>
          <w:color w:val="000000" w:themeColor="text1"/>
        </w:rPr>
        <w:t>）千克</w:t>
      </w:r>
      <w:r w:rsidRPr="008A2411">
        <w:rPr>
          <w:rFonts w:ascii="Times New Roman" w:hAnsi="Times New Roman"/>
          <w:color w:val="000000" w:themeColor="text1"/>
        </w:rPr>
        <w:t>/</w:t>
      </w:r>
      <w:proofErr w:type="gramStart"/>
      <w:r w:rsidRPr="008A2411">
        <w:rPr>
          <w:rFonts w:ascii="Times New Roman" w:hAnsi="Times New Roman"/>
          <w:color w:val="000000" w:themeColor="text1"/>
        </w:rPr>
        <w:t>万立方米</w:t>
      </w:r>
      <w:proofErr w:type="gramEnd"/>
      <w:r w:rsidRPr="008A2411">
        <w:rPr>
          <w:rFonts w:ascii="Times New Roman" w:hAnsi="Times New Roman"/>
          <w:color w:val="000000" w:themeColor="text1"/>
        </w:rPr>
        <w:t>-</w:t>
      </w:r>
      <w:r w:rsidRPr="008A2411">
        <w:rPr>
          <w:rFonts w:ascii="Times New Roman" w:hAnsi="Times New Roman"/>
          <w:color w:val="000000" w:themeColor="text1"/>
        </w:rPr>
        <w:t>原料。本项目导热油炉燃气使用量为</w:t>
      </w:r>
      <w:r w:rsidRPr="008A2411">
        <w:rPr>
          <w:rFonts w:ascii="Times New Roman" w:hAnsi="Times New Roman"/>
          <w:color w:val="000000" w:themeColor="text1"/>
        </w:rPr>
        <w:t>700m</w:t>
      </w:r>
      <w:r w:rsidRPr="008A2411">
        <w:rPr>
          <w:rFonts w:ascii="Times New Roman" w:hAnsi="Times New Roman"/>
          <w:color w:val="000000" w:themeColor="text1"/>
          <w:vertAlign w:val="superscript"/>
        </w:rPr>
        <w:t>3</w:t>
      </w:r>
      <w:r w:rsidRPr="008A2411">
        <w:rPr>
          <w:rFonts w:ascii="Times New Roman" w:hAnsi="Times New Roman"/>
          <w:color w:val="000000" w:themeColor="text1"/>
        </w:rPr>
        <w:t>/h</w:t>
      </w:r>
      <w:r w:rsidRPr="008A2411">
        <w:rPr>
          <w:rFonts w:ascii="Times New Roman" w:hAnsi="Times New Roman"/>
          <w:color w:val="000000" w:themeColor="text1"/>
        </w:rPr>
        <w:t>，据此核算出废气排放量为</w:t>
      </w:r>
      <w:r w:rsidRPr="008A2411">
        <w:rPr>
          <w:rFonts w:ascii="Times New Roman" w:hAnsi="Times New Roman"/>
          <w:color w:val="000000" w:themeColor="text1"/>
        </w:rPr>
        <w:t>7542.71m</w:t>
      </w:r>
      <w:r w:rsidRPr="008A2411">
        <w:rPr>
          <w:rFonts w:ascii="Times New Roman" w:hAnsi="Times New Roman"/>
          <w:color w:val="000000" w:themeColor="text1"/>
          <w:vertAlign w:val="superscript"/>
        </w:rPr>
        <w:t>3</w:t>
      </w:r>
      <w:r w:rsidRPr="008A2411">
        <w:rPr>
          <w:rFonts w:ascii="Times New Roman" w:hAnsi="Times New Roman"/>
          <w:color w:val="000000" w:themeColor="text1"/>
        </w:rPr>
        <w:t>/h</w:t>
      </w:r>
      <w:r w:rsidRPr="008A2411">
        <w:rPr>
          <w:rFonts w:ascii="Times New Roman" w:hAnsi="Times New Roman"/>
          <w:color w:val="000000" w:themeColor="text1"/>
        </w:rPr>
        <w:t>，</w:t>
      </w:r>
      <w:r w:rsidRPr="008A2411">
        <w:rPr>
          <w:rFonts w:ascii="Times New Roman" w:hAnsi="Times New Roman"/>
          <w:color w:val="000000" w:themeColor="text1"/>
        </w:rPr>
        <w:t>SO</w:t>
      </w:r>
      <w:r w:rsidRPr="008A2411">
        <w:rPr>
          <w:rFonts w:ascii="Times New Roman" w:hAnsi="Times New Roman"/>
          <w:color w:val="000000" w:themeColor="text1"/>
          <w:vertAlign w:val="subscript"/>
        </w:rPr>
        <w:t>2</w:t>
      </w:r>
      <w:r w:rsidRPr="008A2411">
        <w:rPr>
          <w:rFonts w:ascii="Times New Roman" w:hAnsi="Times New Roman"/>
          <w:color w:val="000000" w:themeColor="text1"/>
        </w:rPr>
        <w:t>排放情况为</w:t>
      </w:r>
      <w:r w:rsidRPr="008A2411">
        <w:rPr>
          <w:rFonts w:ascii="Times New Roman" w:hAnsi="Times New Roman"/>
          <w:color w:val="000000" w:themeColor="text1"/>
        </w:rPr>
        <w:t>0.0102kg/h</w:t>
      </w:r>
      <w:r w:rsidRPr="008A2411">
        <w:rPr>
          <w:rFonts w:ascii="Times New Roman" w:hAnsi="Times New Roman"/>
          <w:color w:val="000000" w:themeColor="text1"/>
        </w:rPr>
        <w:t>，排放浓度为</w:t>
      </w:r>
      <w:r w:rsidRPr="008A2411">
        <w:rPr>
          <w:rFonts w:ascii="Times New Roman" w:hAnsi="Times New Roman"/>
          <w:color w:val="000000" w:themeColor="text1"/>
        </w:rPr>
        <w:t>1.35mg/m</w:t>
      </w:r>
      <w:r w:rsidRPr="008A2411">
        <w:rPr>
          <w:rFonts w:ascii="Times New Roman" w:hAnsi="Times New Roman"/>
          <w:color w:val="000000" w:themeColor="text1"/>
          <w:vertAlign w:val="superscript"/>
        </w:rPr>
        <w:t>3</w:t>
      </w:r>
      <w:r w:rsidRPr="008A2411">
        <w:rPr>
          <w:rFonts w:ascii="Times New Roman" w:hAnsi="Times New Roman"/>
          <w:color w:val="000000" w:themeColor="text1"/>
        </w:rPr>
        <w:t>，</w:t>
      </w:r>
      <w:r w:rsidRPr="008A2411">
        <w:rPr>
          <w:rFonts w:ascii="Times New Roman" w:hAnsi="Times New Roman"/>
          <w:color w:val="000000" w:themeColor="text1"/>
        </w:rPr>
        <w:t>NO</w:t>
      </w:r>
      <w:r w:rsidRPr="008A2411">
        <w:rPr>
          <w:rFonts w:ascii="Times New Roman" w:hAnsi="Times New Roman"/>
          <w:color w:val="000000" w:themeColor="text1"/>
          <w:vertAlign w:val="subscript"/>
        </w:rPr>
        <w:t>x</w:t>
      </w:r>
      <w:r w:rsidRPr="008A2411">
        <w:rPr>
          <w:rFonts w:ascii="Times New Roman" w:hAnsi="Times New Roman"/>
          <w:color w:val="000000" w:themeColor="text1"/>
        </w:rPr>
        <w:t>排放情况为</w:t>
      </w:r>
      <w:r w:rsidRPr="008A2411">
        <w:rPr>
          <w:rFonts w:ascii="Times New Roman" w:hAnsi="Times New Roman"/>
          <w:color w:val="000000" w:themeColor="text1"/>
        </w:rPr>
        <w:t>0.4879kg/h</w:t>
      </w:r>
      <w:r w:rsidRPr="008A2411">
        <w:rPr>
          <w:rFonts w:ascii="Times New Roman" w:hAnsi="Times New Roman"/>
          <w:color w:val="000000" w:themeColor="text1"/>
        </w:rPr>
        <w:t>，排放浓度为</w:t>
      </w:r>
      <w:r w:rsidRPr="008A2411">
        <w:rPr>
          <w:rFonts w:ascii="Times New Roman" w:hAnsi="Times New Roman"/>
          <w:color w:val="000000" w:themeColor="text1"/>
        </w:rPr>
        <w:t>64.68mg/m</w:t>
      </w:r>
      <w:r w:rsidRPr="008A2411">
        <w:rPr>
          <w:rFonts w:ascii="Times New Roman" w:hAnsi="Times New Roman"/>
          <w:color w:val="000000" w:themeColor="text1"/>
          <w:vertAlign w:val="superscript"/>
        </w:rPr>
        <w:t>3</w:t>
      </w:r>
      <w:r w:rsidRPr="008A2411">
        <w:rPr>
          <w:rFonts w:ascii="Times New Roman" w:hAnsi="Times New Roman"/>
          <w:color w:val="000000" w:themeColor="text1"/>
        </w:rPr>
        <w:t>。</w:t>
      </w:r>
      <w:r w:rsidRPr="008A2411">
        <w:rPr>
          <w:rFonts w:ascii="Times New Roman" w:hAnsi="Times New Roman"/>
          <w:color w:val="000000" w:themeColor="text1"/>
          <w:spacing w:val="-2"/>
        </w:rPr>
        <w:t>最终经高度</w:t>
      </w:r>
      <w:r w:rsidRPr="008A2411">
        <w:rPr>
          <w:rFonts w:ascii="Times New Roman" w:hAnsi="Times New Roman"/>
          <w:color w:val="000000" w:themeColor="text1"/>
          <w:spacing w:val="-2"/>
        </w:rPr>
        <w:t>15m</w:t>
      </w:r>
      <w:r w:rsidRPr="008A2411">
        <w:rPr>
          <w:rFonts w:ascii="Times New Roman" w:hAnsi="Times New Roman"/>
          <w:color w:val="000000" w:themeColor="text1"/>
          <w:spacing w:val="-2"/>
        </w:rPr>
        <w:t>排气筒排放。</w:t>
      </w:r>
    </w:p>
    <w:p w14:paraId="6416B883" w14:textId="77777777" w:rsidR="00B0005F" w:rsidRPr="008A2411" w:rsidRDefault="00000000">
      <w:pPr>
        <w:pStyle w:val="WJ"/>
        <w:adjustRightInd w:val="0"/>
        <w:snapToGrid w:val="0"/>
        <w:spacing w:line="360" w:lineRule="auto"/>
        <w:ind w:firstLine="474"/>
        <w:rPr>
          <w:rFonts w:ascii="Times New Roman" w:hAnsi="Times New Roman"/>
          <w:color w:val="000000" w:themeColor="text1"/>
          <w:spacing w:val="-2"/>
        </w:rPr>
      </w:pPr>
      <w:r w:rsidRPr="008A2411">
        <w:rPr>
          <w:rFonts w:ascii="Times New Roman" w:hAnsi="Times New Roman"/>
          <w:b/>
          <w:bCs/>
          <w:color w:val="000000" w:themeColor="text1"/>
          <w:spacing w:val="-2"/>
        </w:rPr>
        <w:t>BOG</w:t>
      </w:r>
      <w:r w:rsidRPr="008A2411">
        <w:rPr>
          <w:rFonts w:ascii="Times New Roman" w:hAnsi="Times New Roman"/>
          <w:b/>
          <w:bCs/>
          <w:color w:val="000000" w:themeColor="text1"/>
          <w:spacing w:val="-2"/>
        </w:rPr>
        <w:t>蒸发气（</w:t>
      </w:r>
      <w:r w:rsidRPr="008A2411">
        <w:rPr>
          <w:rFonts w:ascii="Times New Roman" w:hAnsi="Times New Roman"/>
          <w:b/>
          <w:bCs/>
          <w:color w:val="000000" w:themeColor="text1"/>
          <w:spacing w:val="-2"/>
        </w:rPr>
        <w:t>G</w:t>
      </w:r>
      <w:r w:rsidRPr="008A2411">
        <w:rPr>
          <w:rFonts w:ascii="Times New Roman" w:hAnsi="Times New Roman" w:hint="eastAsia"/>
          <w:b/>
          <w:bCs/>
          <w:color w:val="000000" w:themeColor="text1"/>
          <w:spacing w:val="-2"/>
          <w:vertAlign w:val="subscript"/>
        </w:rPr>
        <w:t>4</w:t>
      </w:r>
      <w:r w:rsidRPr="008A2411">
        <w:rPr>
          <w:rFonts w:ascii="Times New Roman" w:hAnsi="Times New Roman"/>
          <w:b/>
          <w:bCs/>
          <w:color w:val="000000" w:themeColor="text1"/>
          <w:spacing w:val="-2"/>
        </w:rPr>
        <w:t>）：</w:t>
      </w:r>
      <w:r w:rsidRPr="008A2411">
        <w:rPr>
          <w:rFonts w:ascii="Times New Roman" w:hAnsi="Times New Roman"/>
          <w:color w:val="000000" w:themeColor="text1"/>
          <w:spacing w:val="-2"/>
        </w:rPr>
        <w:t>BOG</w:t>
      </w:r>
      <w:r w:rsidRPr="008A2411">
        <w:rPr>
          <w:rFonts w:ascii="Times New Roman" w:hAnsi="Times New Roman"/>
          <w:color w:val="000000" w:themeColor="text1"/>
          <w:spacing w:val="-2"/>
        </w:rPr>
        <w:t>蒸发气主要成分为甲烷，可作为燃料气进入燃料气系统，作为导热油系统、火炬及办公生活燃料气，多余部分可进入低压原料天然气管网，不外排；</w:t>
      </w:r>
    </w:p>
    <w:p w14:paraId="56B15E98" w14:textId="77777777" w:rsidR="00B0005F" w:rsidRPr="008A2411" w:rsidRDefault="00000000">
      <w:pPr>
        <w:pStyle w:val="a9"/>
        <w:spacing w:line="360" w:lineRule="auto"/>
        <w:ind w:firstLineChars="200" w:firstLine="474"/>
        <w:rPr>
          <w:rFonts w:ascii="Times New Roman"/>
          <w:color w:val="000000" w:themeColor="text1"/>
          <w:spacing w:val="-2"/>
          <w:sz w:val="24"/>
        </w:rPr>
      </w:pPr>
      <w:r w:rsidRPr="008A2411">
        <w:rPr>
          <w:rFonts w:ascii="Times New Roman" w:hint="eastAsia"/>
          <w:b/>
          <w:bCs/>
          <w:color w:val="000000" w:themeColor="text1"/>
          <w:spacing w:val="-2"/>
          <w:sz w:val="24"/>
        </w:rPr>
        <w:t>装车蒸发气（</w:t>
      </w:r>
      <w:r w:rsidRPr="008A2411">
        <w:rPr>
          <w:rFonts w:ascii="Times New Roman" w:hint="eastAsia"/>
          <w:b/>
          <w:bCs/>
          <w:color w:val="000000" w:themeColor="text1"/>
          <w:spacing w:val="-2"/>
          <w:sz w:val="24"/>
        </w:rPr>
        <w:t>G</w:t>
      </w:r>
      <w:r w:rsidRPr="008A2411">
        <w:rPr>
          <w:rFonts w:ascii="Times New Roman" w:hint="eastAsia"/>
          <w:b/>
          <w:bCs/>
          <w:color w:val="000000" w:themeColor="text1"/>
          <w:spacing w:val="-2"/>
          <w:sz w:val="24"/>
          <w:vertAlign w:val="subscript"/>
        </w:rPr>
        <w:t>5</w:t>
      </w:r>
      <w:r w:rsidRPr="008A2411">
        <w:rPr>
          <w:rFonts w:ascii="Times New Roman" w:hint="eastAsia"/>
          <w:b/>
          <w:bCs/>
          <w:color w:val="000000" w:themeColor="text1"/>
          <w:spacing w:val="-2"/>
          <w:sz w:val="24"/>
        </w:rPr>
        <w:t>）：</w:t>
      </w:r>
      <w:r w:rsidRPr="008A2411">
        <w:rPr>
          <w:rFonts w:ascii="Times New Roman" w:hint="eastAsia"/>
          <w:color w:val="000000" w:themeColor="text1"/>
          <w:spacing w:val="-2"/>
          <w:sz w:val="24"/>
        </w:rPr>
        <w:t>来车与装车鹤管对接后，装车控制系统首先进行氮气吹扫。吹扫气</w:t>
      </w:r>
      <w:proofErr w:type="gramStart"/>
      <w:r w:rsidRPr="008A2411">
        <w:rPr>
          <w:rFonts w:ascii="Times New Roman" w:hint="eastAsia"/>
          <w:color w:val="000000" w:themeColor="text1"/>
          <w:spacing w:val="-2"/>
          <w:sz w:val="24"/>
        </w:rPr>
        <w:t>液相对接管线</w:t>
      </w:r>
      <w:proofErr w:type="gramEnd"/>
      <w:r w:rsidRPr="008A2411">
        <w:rPr>
          <w:rFonts w:ascii="Times New Roman" w:hint="eastAsia"/>
          <w:color w:val="000000" w:themeColor="text1"/>
          <w:spacing w:val="-2"/>
          <w:sz w:val="24"/>
        </w:rPr>
        <w:t>完成后，开启气相控制阀，设置装车流量，关闭液相循环阀，缓慢打开液相装车控制球阀，系统以一定的流量对对接管线以及槽车进行预冷。预冷槽车操作结束后流量调节阀调节流量至最大，以全流量装车。在槽车内充入</w:t>
      </w:r>
      <w:r w:rsidRPr="008A2411">
        <w:rPr>
          <w:rFonts w:ascii="Times New Roman"/>
          <w:color w:val="000000" w:themeColor="text1"/>
          <w:spacing w:val="-2"/>
          <w:sz w:val="24"/>
        </w:rPr>
        <w:t>LNG</w:t>
      </w:r>
      <w:r w:rsidRPr="008A2411">
        <w:rPr>
          <w:rFonts w:ascii="Times New Roman" w:hint="eastAsia"/>
          <w:color w:val="000000" w:themeColor="text1"/>
          <w:spacing w:val="-2"/>
          <w:sz w:val="24"/>
        </w:rPr>
        <w:t>液体时，气相的天然气通过气相管道返回冷箱。装车</w:t>
      </w:r>
      <w:proofErr w:type="gramStart"/>
      <w:r w:rsidRPr="008A2411">
        <w:rPr>
          <w:rFonts w:ascii="Times New Roman" w:hint="eastAsia"/>
          <w:color w:val="000000" w:themeColor="text1"/>
          <w:spacing w:val="-2"/>
          <w:sz w:val="24"/>
        </w:rPr>
        <w:t>臂采用整体橇</w:t>
      </w:r>
      <w:proofErr w:type="gramEnd"/>
      <w:r w:rsidRPr="008A2411">
        <w:rPr>
          <w:rFonts w:ascii="Times New Roman" w:hint="eastAsia"/>
          <w:color w:val="000000" w:themeColor="text1"/>
          <w:spacing w:val="-2"/>
          <w:sz w:val="24"/>
        </w:rPr>
        <w:t>装供货。装车臂的控制采用</w:t>
      </w:r>
      <w:r w:rsidRPr="008A2411">
        <w:rPr>
          <w:rFonts w:ascii="Times New Roman"/>
          <w:color w:val="000000" w:themeColor="text1"/>
          <w:spacing w:val="-2"/>
          <w:sz w:val="24"/>
        </w:rPr>
        <w:t>PLC</w:t>
      </w:r>
      <w:r w:rsidRPr="008A2411">
        <w:rPr>
          <w:rFonts w:ascii="Times New Roman" w:hint="eastAsia"/>
          <w:color w:val="000000" w:themeColor="text1"/>
          <w:spacing w:val="-2"/>
          <w:sz w:val="24"/>
        </w:rPr>
        <w:t>现场控制，其相关参数通过通信信号上传到</w:t>
      </w:r>
      <w:r w:rsidRPr="008A2411">
        <w:rPr>
          <w:rFonts w:ascii="Times New Roman"/>
          <w:color w:val="000000" w:themeColor="text1"/>
          <w:spacing w:val="-2"/>
          <w:sz w:val="24"/>
        </w:rPr>
        <w:t>DCS</w:t>
      </w:r>
      <w:r w:rsidRPr="008A2411">
        <w:rPr>
          <w:rFonts w:ascii="Times New Roman" w:hint="eastAsia"/>
          <w:color w:val="000000" w:themeColor="text1"/>
          <w:spacing w:val="-2"/>
          <w:sz w:val="24"/>
        </w:rPr>
        <w:t>系统上监控。装车蒸发气</w:t>
      </w:r>
      <w:r w:rsidRPr="008A2411">
        <w:rPr>
          <w:rFonts w:ascii="Times New Roman"/>
          <w:color w:val="000000" w:themeColor="text1"/>
          <w:spacing w:val="-2"/>
          <w:sz w:val="24"/>
        </w:rPr>
        <w:t>主要成分为甲烷，</w:t>
      </w:r>
      <w:r w:rsidRPr="008A2411">
        <w:rPr>
          <w:rFonts w:ascii="Times New Roman" w:hint="eastAsia"/>
          <w:color w:val="000000" w:themeColor="text1"/>
          <w:spacing w:val="-2"/>
          <w:sz w:val="24"/>
        </w:rPr>
        <w:t>与</w:t>
      </w:r>
      <w:r w:rsidRPr="008A2411">
        <w:rPr>
          <w:rFonts w:ascii="Times New Roman" w:hint="eastAsia"/>
          <w:color w:val="000000" w:themeColor="text1"/>
          <w:spacing w:val="-2"/>
          <w:sz w:val="24"/>
        </w:rPr>
        <w:t>BOG</w:t>
      </w:r>
      <w:proofErr w:type="gramStart"/>
      <w:r w:rsidRPr="008A2411">
        <w:rPr>
          <w:rFonts w:ascii="Times New Roman" w:hint="eastAsia"/>
          <w:color w:val="000000" w:themeColor="text1"/>
          <w:spacing w:val="-2"/>
          <w:sz w:val="24"/>
        </w:rPr>
        <w:t>蒸气一并经</w:t>
      </w:r>
      <w:proofErr w:type="gramEnd"/>
      <w:r w:rsidRPr="008A2411">
        <w:rPr>
          <w:rFonts w:ascii="Times New Roman" w:hint="eastAsia"/>
          <w:color w:val="000000" w:themeColor="text1"/>
          <w:spacing w:val="-2"/>
          <w:sz w:val="24"/>
        </w:rPr>
        <w:t>加热、增压后用作</w:t>
      </w:r>
      <w:r w:rsidRPr="008A2411">
        <w:rPr>
          <w:rFonts w:ascii="Times New Roman"/>
          <w:color w:val="000000" w:themeColor="text1"/>
          <w:spacing w:val="-2"/>
          <w:sz w:val="24"/>
        </w:rPr>
        <w:t>导热油系统、火炬及办公生活燃料气</w:t>
      </w:r>
      <w:r w:rsidRPr="008A2411">
        <w:rPr>
          <w:rFonts w:ascii="Times New Roman" w:hint="eastAsia"/>
          <w:color w:val="000000" w:themeColor="text1"/>
          <w:spacing w:val="-2"/>
          <w:sz w:val="24"/>
        </w:rPr>
        <w:t>。</w:t>
      </w:r>
    </w:p>
    <w:p w14:paraId="67E67B1C" w14:textId="77777777" w:rsidR="00B0005F" w:rsidRPr="008A2411" w:rsidRDefault="00000000">
      <w:pPr>
        <w:pStyle w:val="afffffffffffff7"/>
        <w:adjustRightInd w:val="0"/>
        <w:snapToGrid w:val="0"/>
        <w:ind w:firstLine="480"/>
        <w:rPr>
          <w:color w:val="000000" w:themeColor="text1"/>
          <w:sz w:val="24"/>
          <w:szCs w:val="24"/>
        </w:rPr>
      </w:pPr>
      <w:r w:rsidRPr="008A2411">
        <w:rPr>
          <w:color w:val="000000" w:themeColor="text1"/>
          <w:sz w:val="24"/>
          <w:szCs w:val="24"/>
        </w:rPr>
        <w:t>2</w:t>
      </w:r>
      <w:r w:rsidRPr="008A2411">
        <w:rPr>
          <w:color w:val="000000" w:themeColor="text1"/>
          <w:sz w:val="24"/>
          <w:szCs w:val="24"/>
        </w:rPr>
        <w:t>）火炬烟气</w:t>
      </w:r>
    </w:p>
    <w:p w14:paraId="100DC73A" w14:textId="77777777" w:rsidR="00B0005F" w:rsidRPr="008A2411" w:rsidRDefault="00000000">
      <w:pPr>
        <w:pStyle w:val="afffffffffffff7"/>
        <w:adjustRightInd w:val="0"/>
        <w:snapToGrid w:val="0"/>
        <w:ind w:firstLine="480"/>
        <w:rPr>
          <w:color w:val="000000" w:themeColor="text1"/>
          <w:sz w:val="24"/>
          <w:szCs w:val="24"/>
        </w:rPr>
      </w:pPr>
      <w:r w:rsidRPr="008A2411">
        <w:rPr>
          <w:color w:val="000000" w:themeColor="text1"/>
          <w:sz w:val="24"/>
          <w:szCs w:val="24"/>
        </w:rPr>
        <w:t>火炬系统管收集来的生产工艺尾气、设备泄压尾气、冷剂安全阀泄漏气体等，导入放空管进入火炬系统燃烧；在正常情况下只有常明灯燃烧（燃料由</w:t>
      </w:r>
      <w:r w:rsidRPr="008A2411">
        <w:rPr>
          <w:color w:val="000000" w:themeColor="text1"/>
          <w:spacing w:val="-2"/>
          <w:sz w:val="24"/>
          <w:szCs w:val="24"/>
        </w:rPr>
        <w:t>BOG</w:t>
      </w:r>
      <w:r w:rsidRPr="008A2411">
        <w:rPr>
          <w:color w:val="000000" w:themeColor="text1"/>
          <w:spacing w:val="-2"/>
          <w:sz w:val="24"/>
          <w:szCs w:val="24"/>
        </w:rPr>
        <w:t>蒸发气（</w:t>
      </w:r>
      <w:r w:rsidRPr="008A2411">
        <w:rPr>
          <w:color w:val="000000" w:themeColor="text1"/>
          <w:spacing w:val="-2"/>
          <w:sz w:val="24"/>
          <w:szCs w:val="24"/>
        </w:rPr>
        <w:t>G</w:t>
      </w:r>
      <w:r w:rsidRPr="008A2411">
        <w:rPr>
          <w:color w:val="000000" w:themeColor="text1"/>
          <w:spacing w:val="-2"/>
          <w:sz w:val="24"/>
          <w:szCs w:val="24"/>
          <w:vertAlign w:val="subscript"/>
        </w:rPr>
        <w:t>3</w:t>
      </w:r>
      <w:r w:rsidRPr="008A2411">
        <w:rPr>
          <w:color w:val="000000" w:themeColor="text1"/>
          <w:spacing w:val="-2"/>
          <w:sz w:val="24"/>
          <w:szCs w:val="24"/>
        </w:rPr>
        <w:t>）提供</w:t>
      </w:r>
      <w:r w:rsidRPr="008A2411">
        <w:rPr>
          <w:color w:val="000000" w:themeColor="text1"/>
          <w:sz w:val="24"/>
          <w:szCs w:val="24"/>
        </w:rPr>
        <w:t>），火炬高度</w:t>
      </w:r>
      <w:r w:rsidRPr="008A2411">
        <w:rPr>
          <w:color w:val="000000" w:themeColor="text1"/>
          <w:sz w:val="24"/>
          <w:szCs w:val="24"/>
        </w:rPr>
        <w:t>30m</w:t>
      </w:r>
      <w:r w:rsidRPr="008A2411">
        <w:rPr>
          <w:color w:val="000000" w:themeColor="text1"/>
          <w:sz w:val="24"/>
          <w:szCs w:val="24"/>
        </w:rPr>
        <w:t>，若系统发生故障，泄压尾气等燃烧后将产生</w:t>
      </w:r>
      <w:r w:rsidRPr="008A2411">
        <w:rPr>
          <w:color w:val="000000" w:themeColor="text1"/>
          <w:sz w:val="24"/>
          <w:szCs w:val="24"/>
        </w:rPr>
        <w:t>CO</w:t>
      </w:r>
      <w:r w:rsidRPr="008A2411">
        <w:rPr>
          <w:color w:val="000000" w:themeColor="text1"/>
          <w:sz w:val="24"/>
          <w:szCs w:val="24"/>
          <w:vertAlign w:val="subscript"/>
        </w:rPr>
        <w:t>2</w:t>
      </w:r>
      <w:r w:rsidRPr="008A2411">
        <w:rPr>
          <w:color w:val="000000" w:themeColor="text1"/>
          <w:sz w:val="24"/>
          <w:szCs w:val="24"/>
        </w:rPr>
        <w:t>、</w:t>
      </w:r>
      <w:r w:rsidRPr="008A2411">
        <w:rPr>
          <w:color w:val="000000" w:themeColor="text1"/>
          <w:sz w:val="24"/>
          <w:szCs w:val="24"/>
        </w:rPr>
        <w:t>NOx</w:t>
      </w:r>
      <w:r w:rsidRPr="008A2411">
        <w:rPr>
          <w:color w:val="000000" w:themeColor="text1"/>
          <w:sz w:val="24"/>
          <w:szCs w:val="24"/>
        </w:rPr>
        <w:t>水蒸汽和少量</w:t>
      </w:r>
      <w:r w:rsidRPr="008A2411">
        <w:rPr>
          <w:color w:val="000000" w:themeColor="text1"/>
          <w:sz w:val="24"/>
          <w:szCs w:val="24"/>
        </w:rPr>
        <w:t>CO</w:t>
      </w:r>
      <w:r w:rsidRPr="008A2411">
        <w:rPr>
          <w:color w:val="000000" w:themeColor="text1"/>
          <w:sz w:val="24"/>
          <w:szCs w:val="24"/>
        </w:rPr>
        <w:t>、</w:t>
      </w:r>
      <w:r w:rsidRPr="008A2411">
        <w:rPr>
          <w:color w:val="000000" w:themeColor="text1"/>
          <w:sz w:val="24"/>
          <w:szCs w:val="24"/>
        </w:rPr>
        <w:t>SO</w:t>
      </w:r>
      <w:r w:rsidRPr="008A2411">
        <w:rPr>
          <w:color w:val="000000" w:themeColor="text1"/>
          <w:sz w:val="24"/>
          <w:szCs w:val="24"/>
          <w:vertAlign w:val="subscript"/>
        </w:rPr>
        <w:t>2</w:t>
      </w:r>
      <w:r w:rsidRPr="008A2411">
        <w:rPr>
          <w:color w:val="000000" w:themeColor="text1"/>
          <w:sz w:val="24"/>
          <w:szCs w:val="24"/>
        </w:rPr>
        <w:t>和烟尘，火炬燃烧废气直接排放至大气。</w:t>
      </w:r>
    </w:p>
    <w:p w14:paraId="7BA0BEAE" w14:textId="77777777" w:rsidR="00B0005F" w:rsidRPr="008A2411" w:rsidRDefault="00000000">
      <w:pPr>
        <w:pStyle w:val="afffffffffffff7"/>
        <w:adjustRightInd w:val="0"/>
        <w:snapToGrid w:val="0"/>
        <w:ind w:firstLine="480"/>
        <w:rPr>
          <w:color w:val="000000" w:themeColor="text1"/>
          <w:sz w:val="24"/>
          <w:szCs w:val="24"/>
        </w:rPr>
      </w:pPr>
      <w:r w:rsidRPr="008A2411">
        <w:rPr>
          <w:color w:val="000000" w:themeColor="text1"/>
          <w:sz w:val="24"/>
          <w:szCs w:val="24"/>
        </w:rPr>
        <w:t>根据设计资料，火炬燃烧长明火炬燃气使用量为</w:t>
      </w:r>
      <w:r w:rsidRPr="008A2411">
        <w:rPr>
          <w:color w:val="000000" w:themeColor="text1"/>
          <w:sz w:val="24"/>
          <w:szCs w:val="24"/>
        </w:rPr>
        <w:t>40m</w:t>
      </w:r>
      <w:r w:rsidRPr="008A2411">
        <w:rPr>
          <w:color w:val="000000" w:themeColor="text1"/>
          <w:sz w:val="24"/>
          <w:szCs w:val="24"/>
          <w:vertAlign w:val="superscript"/>
        </w:rPr>
        <w:t>3</w:t>
      </w:r>
      <w:r w:rsidRPr="008A2411">
        <w:rPr>
          <w:color w:val="000000" w:themeColor="text1"/>
          <w:sz w:val="24"/>
          <w:szCs w:val="24"/>
        </w:rPr>
        <w:t>/h</w:t>
      </w:r>
      <w:r w:rsidRPr="008A2411">
        <w:rPr>
          <w:color w:val="000000" w:themeColor="text1"/>
          <w:sz w:val="24"/>
          <w:szCs w:val="24"/>
        </w:rPr>
        <w:t>。参照《排放源统计调查产排污核算方法和系数手册》（环境部公告</w:t>
      </w:r>
      <w:r w:rsidRPr="008A2411">
        <w:rPr>
          <w:color w:val="000000" w:themeColor="text1"/>
          <w:sz w:val="24"/>
          <w:szCs w:val="24"/>
        </w:rPr>
        <w:t xml:space="preserve">2021 </w:t>
      </w:r>
      <w:r w:rsidRPr="008A2411">
        <w:rPr>
          <w:color w:val="000000" w:themeColor="text1"/>
          <w:sz w:val="24"/>
          <w:szCs w:val="24"/>
        </w:rPr>
        <w:t>第</w:t>
      </w:r>
      <w:r w:rsidRPr="008A2411">
        <w:rPr>
          <w:color w:val="000000" w:themeColor="text1"/>
          <w:sz w:val="24"/>
          <w:szCs w:val="24"/>
        </w:rPr>
        <w:t>24</w:t>
      </w:r>
      <w:r w:rsidRPr="008A2411">
        <w:rPr>
          <w:color w:val="000000" w:themeColor="text1"/>
          <w:sz w:val="24"/>
          <w:szCs w:val="24"/>
        </w:rPr>
        <w:t>号）中</w:t>
      </w:r>
      <w:r w:rsidRPr="008A2411">
        <w:rPr>
          <w:rFonts w:hint="eastAsia"/>
          <w:color w:val="000000" w:themeColor="text1"/>
          <w:sz w:val="24"/>
          <w:szCs w:val="24"/>
        </w:rPr>
        <w:t>“</w:t>
      </w:r>
      <w:r w:rsidRPr="008A2411">
        <w:rPr>
          <w:color w:val="000000" w:themeColor="text1"/>
          <w:sz w:val="24"/>
          <w:szCs w:val="24"/>
        </w:rPr>
        <w:t>锅炉产排污量核算系数手册</w:t>
      </w:r>
      <w:r w:rsidRPr="008A2411">
        <w:rPr>
          <w:rFonts w:hint="eastAsia"/>
          <w:color w:val="000000" w:themeColor="text1"/>
          <w:sz w:val="24"/>
          <w:szCs w:val="24"/>
        </w:rPr>
        <w:t>”</w:t>
      </w:r>
      <w:r w:rsidRPr="008A2411">
        <w:rPr>
          <w:color w:val="000000" w:themeColor="text1"/>
          <w:sz w:val="24"/>
          <w:szCs w:val="24"/>
        </w:rPr>
        <w:t>中燃气工业锅炉废气产排污系数计算，则火炬燃烧系统废气产生量为</w:t>
      </w:r>
      <w:r w:rsidRPr="008A2411">
        <w:rPr>
          <w:color w:val="000000" w:themeColor="text1"/>
          <w:sz w:val="24"/>
          <w:szCs w:val="24"/>
        </w:rPr>
        <w:t>10.7753</w:t>
      </w:r>
      <w:r w:rsidRPr="008A2411">
        <w:rPr>
          <w:color w:val="000000" w:themeColor="text1"/>
          <w:sz w:val="24"/>
          <w:szCs w:val="24"/>
        </w:rPr>
        <w:t>标立方米</w:t>
      </w:r>
      <w:r w:rsidRPr="008A2411">
        <w:rPr>
          <w:color w:val="000000" w:themeColor="text1"/>
          <w:sz w:val="24"/>
          <w:szCs w:val="24"/>
        </w:rPr>
        <w:t>/</w:t>
      </w:r>
      <w:r w:rsidRPr="008A2411">
        <w:rPr>
          <w:color w:val="000000" w:themeColor="text1"/>
          <w:sz w:val="24"/>
          <w:szCs w:val="24"/>
        </w:rPr>
        <w:t>立方米</w:t>
      </w:r>
      <w:r w:rsidRPr="008A2411">
        <w:rPr>
          <w:color w:val="000000" w:themeColor="text1"/>
          <w:sz w:val="24"/>
          <w:szCs w:val="24"/>
        </w:rPr>
        <w:t>-</w:t>
      </w:r>
      <w:r w:rsidRPr="008A2411">
        <w:rPr>
          <w:color w:val="000000" w:themeColor="text1"/>
          <w:sz w:val="24"/>
          <w:szCs w:val="24"/>
        </w:rPr>
        <w:t>原料，氮氧化物的产生系数为</w:t>
      </w:r>
      <w:r w:rsidRPr="008A2411">
        <w:rPr>
          <w:color w:val="000000" w:themeColor="text1"/>
          <w:sz w:val="24"/>
          <w:szCs w:val="24"/>
        </w:rPr>
        <w:t>15.87</w:t>
      </w:r>
      <w:r w:rsidRPr="008A2411">
        <w:rPr>
          <w:color w:val="000000" w:themeColor="text1"/>
          <w:sz w:val="24"/>
          <w:szCs w:val="24"/>
        </w:rPr>
        <w:t>千克</w:t>
      </w:r>
      <w:r w:rsidRPr="008A2411">
        <w:rPr>
          <w:color w:val="000000" w:themeColor="text1"/>
          <w:sz w:val="24"/>
          <w:szCs w:val="24"/>
        </w:rPr>
        <w:t>/</w:t>
      </w:r>
      <w:proofErr w:type="gramStart"/>
      <w:r w:rsidRPr="008A2411">
        <w:rPr>
          <w:color w:val="000000" w:themeColor="text1"/>
          <w:sz w:val="24"/>
          <w:szCs w:val="24"/>
        </w:rPr>
        <w:lastRenderedPageBreak/>
        <w:t>万立方米</w:t>
      </w:r>
      <w:proofErr w:type="gramEnd"/>
      <w:r w:rsidRPr="008A2411">
        <w:rPr>
          <w:color w:val="000000" w:themeColor="text1"/>
          <w:sz w:val="24"/>
          <w:szCs w:val="24"/>
        </w:rPr>
        <w:t>-</w:t>
      </w:r>
      <w:r w:rsidRPr="008A2411">
        <w:rPr>
          <w:color w:val="000000" w:themeColor="text1"/>
          <w:sz w:val="24"/>
          <w:szCs w:val="24"/>
        </w:rPr>
        <w:t>原料，</w:t>
      </w:r>
      <w:r w:rsidRPr="008A2411">
        <w:rPr>
          <w:color w:val="000000" w:themeColor="text1"/>
          <w:sz w:val="24"/>
          <w:szCs w:val="24"/>
        </w:rPr>
        <w:t>SO</w:t>
      </w:r>
      <w:r w:rsidRPr="008A2411">
        <w:rPr>
          <w:color w:val="000000" w:themeColor="text1"/>
          <w:sz w:val="24"/>
          <w:szCs w:val="24"/>
          <w:vertAlign w:val="subscript"/>
        </w:rPr>
        <w:t>2</w:t>
      </w:r>
      <w:r w:rsidRPr="008A2411">
        <w:rPr>
          <w:color w:val="000000" w:themeColor="text1"/>
          <w:sz w:val="24"/>
          <w:szCs w:val="24"/>
        </w:rPr>
        <w:t>的产生系数均为</w:t>
      </w:r>
      <w:r w:rsidRPr="008A2411">
        <w:rPr>
          <w:color w:val="000000" w:themeColor="text1"/>
          <w:sz w:val="24"/>
          <w:szCs w:val="24"/>
        </w:rPr>
        <w:t>0.02S</w:t>
      </w:r>
      <w:r w:rsidRPr="008A2411">
        <w:rPr>
          <w:color w:val="000000" w:themeColor="text1"/>
          <w:sz w:val="24"/>
          <w:szCs w:val="24"/>
        </w:rPr>
        <w:t>（</w:t>
      </w:r>
      <w:r w:rsidRPr="008A2411">
        <w:rPr>
          <w:color w:val="000000" w:themeColor="text1"/>
          <w:sz w:val="24"/>
          <w:szCs w:val="24"/>
        </w:rPr>
        <w:t>S=7.28</w:t>
      </w:r>
      <w:r w:rsidRPr="008A2411">
        <w:rPr>
          <w:color w:val="000000" w:themeColor="text1"/>
          <w:sz w:val="24"/>
          <w:szCs w:val="24"/>
        </w:rPr>
        <w:t>）千克</w:t>
      </w:r>
      <w:r w:rsidRPr="008A2411">
        <w:rPr>
          <w:color w:val="000000" w:themeColor="text1"/>
          <w:sz w:val="24"/>
          <w:szCs w:val="24"/>
        </w:rPr>
        <w:t>/</w:t>
      </w:r>
      <w:proofErr w:type="gramStart"/>
      <w:r w:rsidRPr="008A2411">
        <w:rPr>
          <w:color w:val="000000" w:themeColor="text1"/>
          <w:sz w:val="24"/>
          <w:szCs w:val="24"/>
        </w:rPr>
        <w:t>万立方米</w:t>
      </w:r>
      <w:proofErr w:type="gramEnd"/>
      <w:r w:rsidRPr="008A2411">
        <w:rPr>
          <w:color w:val="000000" w:themeColor="text1"/>
          <w:sz w:val="24"/>
          <w:szCs w:val="24"/>
        </w:rPr>
        <w:t>-</w:t>
      </w:r>
      <w:r w:rsidRPr="008A2411">
        <w:rPr>
          <w:color w:val="000000" w:themeColor="text1"/>
          <w:sz w:val="24"/>
          <w:szCs w:val="24"/>
        </w:rPr>
        <w:t>原料，则火炬燃烧系统正常工况下废气排放量为</w:t>
      </w:r>
      <w:r w:rsidRPr="008A2411">
        <w:rPr>
          <w:color w:val="000000" w:themeColor="text1"/>
          <w:sz w:val="24"/>
          <w:szCs w:val="24"/>
        </w:rPr>
        <w:t>431.01m</w:t>
      </w:r>
      <w:r w:rsidRPr="008A2411">
        <w:rPr>
          <w:color w:val="000000" w:themeColor="text1"/>
          <w:sz w:val="24"/>
          <w:szCs w:val="24"/>
          <w:vertAlign w:val="superscript"/>
        </w:rPr>
        <w:t>3</w:t>
      </w:r>
      <w:r w:rsidRPr="008A2411">
        <w:rPr>
          <w:color w:val="000000" w:themeColor="text1"/>
          <w:sz w:val="24"/>
          <w:szCs w:val="24"/>
        </w:rPr>
        <w:t>/h</w:t>
      </w:r>
      <w:r w:rsidRPr="008A2411">
        <w:rPr>
          <w:color w:val="000000" w:themeColor="text1"/>
          <w:sz w:val="24"/>
          <w:szCs w:val="24"/>
        </w:rPr>
        <w:t>，</w:t>
      </w:r>
      <w:r w:rsidRPr="008A2411">
        <w:rPr>
          <w:color w:val="000000" w:themeColor="text1"/>
          <w:sz w:val="24"/>
          <w:szCs w:val="24"/>
        </w:rPr>
        <w:t>SO</w:t>
      </w:r>
      <w:r w:rsidRPr="008A2411">
        <w:rPr>
          <w:color w:val="000000" w:themeColor="text1"/>
          <w:sz w:val="24"/>
          <w:szCs w:val="24"/>
          <w:vertAlign w:val="subscript"/>
        </w:rPr>
        <w:t>2</w:t>
      </w:r>
      <w:r w:rsidRPr="008A2411">
        <w:rPr>
          <w:color w:val="000000" w:themeColor="text1"/>
          <w:sz w:val="24"/>
          <w:szCs w:val="24"/>
        </w:rPr>
        <w:t>排放情况为</w:t>
      </w:r>
      <w:r w:rsidRPr="008A2411">
        <w:rPr>
          <w:color w:val="000000" w:themeColor="text1"/>
          <w:sz w:val="24"/>
          <w:szCs w:val="24"/>
        </w:rPr>
        <w:t>0.0006kg/h</w:t>
      </w:r>
      <w:r w:rsidRPr="008A2411">
        <w:rPr>
          <w:color w:val="000000" w:themeColor="text1"/>
          <w:sz w:val="24"/>
          <w:szCs w:val="24"/>
        </w:rPr>
        <w:t>，排放浓度为</w:t>
      </w:r>
      <w:r w:rsidRPr="008A2411">
        <w:rPr>
          <w:color w:val="000000" w:themeColor="text1"/>
          <w:sz w:val="24"/>
          <w:szCs w:val="24"/>
        </w:rPr>
        <w:t>1.35mg/m</w:t>
      </w:r>
      <w:r w:rsidRPr="008A2411">
        <w:rPr>
          <w:color w:val="000000" w:themeColor="text1"/>
          <w:sz w:val="24"/>
          <w:szCs w:val="24"/>
          <w:vertAlign w:val="superscript"/>
        </w:rPr>
        <w:t>3</w:t>
      </w:r>
      <w:r w:rsidRPr="008A2411">
        <w:rPr>
          <w:color w:val="000000" w:themeColor="text1"/>
          <w:sz w:val="24"/>
          <w:szCs w:val="24"/>
        </w:rPr>
        <w:t>，</w:t>
      </w:r>
      <w:r w:rsidRPr="008A2411">
        <w:rPr>
          <w:color w:val="000000" w:themeColor="text1"/>
          <w:sz w:val="24"/>
          <w:szCs w:val="24"/>
        </w:rPr>
        <w:t>NO</w:t>
      </w:r>
      <w:r w:rsidRPr="008A2411">
        <w:rPr>
          <w:color w:val="000000" w:themeColor="text1"/>
          <w:sz w:val="24"/>
          <w:szCs w:val="24"/>
          <w:vertAlign w:val="subscript"/>
        </w:rPr>
        <w:t>x</w:t>
      </w:r>
      <w:r w:rsidRPr="008A2411">
        <w:rPr>
          <w:color w:val="000000" w:themeColor="text1"/>
          <w:sz w:val="24"/>
          <w:szCs w:val="24"/>
        </w:rPr>
        <w:t>排放情况为</w:t>
      </w:r>
      <w:r w:rsidRPr="008A2411">
        <w:rPr>
          <w:color w:val="000000" w:themeColor="text1"/>
          <w:sz w:val="24"/>
          <w:szCs w:val="24"/>
        </w:rPr>
        <w:t>0.0635kg/h</w:t>
      </w:r>
      <w:r w:rsidRPr="008A2411">
        <w:rPr>
          <w:color w:val="000000" w:themeColor="text1"/>
          <w:sz w:val="24"/>
          <w:szCs w:val="24"/>
        </w:rPr>
        <w:t>，排放浓度为</w:t>
      </w:r>
      <w:r w:rsidRPr="008A2411">
        <w:rPr>
          <w:color w:val="000000" w:themeColor="text1"/>
          <w:sz w:val="24"/>
          <w:szCs w:val="24"/>
        </w:rPr>
        <w:t>147.28mg/m</w:t>
      </w:r>
      <w:r w:rsidRPr="008A2411">
        <w:rPr>
          <w:color w:val="000000" w:themeColor="text1"/>
          <w:sz w:val="24"/>
          <w:szCs w:val="24"/>
          <w:vertAlign w:val="superscript"/>
        </w:rPr>
        <w:t>3</w:t>
      </w:r>
      <w:r w:rsidRPr="008A2411">
        <w:rPr>
          <w:color w:val="000000" w:themeColor="text1"/>
          <w:sz w:val="24"/>
          <w:szCs w:val="24"/>
        </w:rPr>
        <w:t>。</w:t>
      </w:r>
    </w:p>
    <w:p w14:paraId="419C4BB6" w14:textId="77777777" w:rsidR="00B0005F" w:rsidRPr="008A2411" w:rsidRDefault="00000000">
      <w:pPr>
        <w:adjustRightInd w:val="0"/>
        <w:snapToGrid w:val="0"/>
        <w:spacing w:line="360" w:lineRule="auto"/>
        <w:ind w:firstLine="480"/>
        <w:rPr>
          <w:rFonts w:ascii="Times New Roman"/>
          <w:color w:val="000000" w:themeColor="text1"/>
          <w:szCs w:val="24"/>
        </w:rPr>
      </w:pPr>
      <w:r w:rsidRPr="008A2411">
        <w:rPr>
          <w:rFonts w:ascii="Times New Roman"/>
          <w:color w:val="000000" w:themeColor="text1"/>
          <w:szCs w:val="24"/>
        </w:rPr>
        <w:t>3</w:t>
      </w:r>
      <w:r w:rsidRPr="008A2411">
        <w:rPr>
          <w:rFonts w:ascii="Times New Roman"/>
          <w:color w:val="000000" w:themeColor="text1"/>
          <w:szCs w:val="24"/>
        </w:rPr>
        <w:t>）无组织排放废气</w:t>
      </w:r>
    </w:p>
    <w:p w14:paraId="2411524C" w14:textId="77777777" w:rsidR="00B0005F" w:rsidRPr="008A2411" w:rsidRDefault="00000000">
      <w:pPr>
        <w:autoSpaceDE w:val="0"/>
        <w:autoSpaceDN w:val="0"/>
        <w:adjustRightInd w:val="0"/>
        <w:snapToGrid w:val="0"/>
        <w:spacing w:line="360" w:lineRule="auto"/>
        <w:ind w:firstLineChars="200" w:firstLine="480"/>
        <w:jc w:val="left"/>
        <w:rPr>
          <w:rFonts w:ascii="Times New Roman"/>
          <w:color w:val="000000" w:themeColor="text1"/>
          <w:kern w:val="2"/>
          <w:szCs w:val="24"/>
        </w:rPr>
      </w:pPr>
      <w:r w:rsidRPr="008A2411">
        <w:rPr>
          <w:rFonts w:ascii="Times New Roman"/>
          <w:color w:val="000000" w:themeColor="text1"/>
          <w:kern w:val="2"/>
          <w:szCs w:val="24"/>
        </w:rPr>
        <w:t>项目无组织排放的废气主要是生产和贮存过程中存在的跑、冒、滴、漏等无组织排放的废气污染物。</w:t>
      </w:r>
      <w:r w:rsidRPr="008A2411">
        <w:rPr>
          <w:rFonts w:ascii="Times New Roman"/>
          <w:color w:val="000000" w:themeColor="text1"/>
          <w:kern w:val="2"/>
          <w:szCs w:val="24"/>
        </w:rPr>
        <w:t>LNG</w:t>
      </w:r>
      <w:r w:rsidRPr="008A2411">
        <w:rPr>
          <w:rFonts w:ascii="Times New Roman"/>
          <w:color w:val="000000" w:themeColor="text1"/>
          <w:kern w:val="2"/>
          <w:szCs w:val="24"/>
        </w:rPr>
        <w:t>储罐无组织排放非甲烷总烃主要来源于大、小呼吸逸失量。储罐的</w:t>
      </w:r>
      <w:r w:rsidRPr="008A2411">
        <w:rPr>
          <w:rFonts w:ascii="Times New Roman" w:hint="eastAsia"/>
          <w:color w:val="000000" w:themeColor="text1"/>
          <w:kern w:val="2"/>
          <w:szCs w:val="24"/>
        </w:rPr>
        <w:t>“</w:t>
      </w:r>
      <w:r w:rsidRPr="008A2411">
        <w:rPr>
          <w:rFonts w:ascii="Times New Roman"/>
          <w:color w:val="000000" w:themeColor="text1"/>
          <w:kern w:val="2"/>
          <w:szCs w:val="24"/>
        </w:rPr>
        <w:t>小呼吸</w:t>
      </w:r>
      <w:r w:rsidRPr="008A2411">
        <w:rPr>
          <w:rFonts w:ascii="Times New Roman" w:hint="eastAsia"/>
          <w:color w:val="000000" w:themeColor="text1"/>
          <w:kern w:val="2"/>
          <w:szCs w:val="24"/>
        </w:rPr>
        <w:t>”</w:t>
      </w:r>
      <w:r w:rsidRPr="008A2411">
        <w:rPr>
          <w:rFonts w:ascii="Times New Roman"/>
          <w:color w:val="000000" w:themeColor="text1"/>
          <w:kern w:val="2"/>
          <w:szCs w:val="24"/>
        </w:rPr>
        <w:t>损耗是指：液体储罐未进行收发</w:t>
      </w:r>
      <w:r w:rsidRPr="008A2411">
        <w:rPr>
          <w:rFonts w:ascii="Times New Roman" w:hint="eastAsia"/>
          <w:color w:val="000000" w:themeColor="text1"/>
          <w:kern w:val="2"/>
          <w:szCs w:val="24"/>
        </w:rPr>
        <w:t>液体</w:t>
      </w:r>
      <w:r w:rsidRPr="008A2411">
        <w:rPr>
          <w:rFonts w:ascii="Times New Roman"/>
          <w:color w:val="000000" w:themeColor="text1"/>
          <w:kern w:val="2"/>
          <w:szCs w:val="24"/>
        </w:rPr>
        <w:t>时，</w:t>
      </w:r>
      <w:r w:rsidRPr="008A2411">
        <w:rPr>
          <w:rFonts w:ascii="Times New Roman" w:hint="eastAsia"/>
          <w:color w:val="000000" w:themeColor="text1"/>
          <w:kern w:val="2"/>
          <w:szCs w:val="24"/>
        </w:rPr>
        <w:t>液体</w:t>
      </w:r>
      <w:r w:rsidRPr="008A2411">
        <w:rPr>
          <w:rFonts w:ascii="Times New Roman"/>
          <w:color w:val="000000" w:themeColor="text1"/>
          <w:kern w:val="2"/>
          <w:szCs w:val="24"/>
        </w:rPr>
        <w:t>静止储存在罐中，</w:t>
      </w:r>
      <w:r w:rsidRPr="008A2411">
        <w:rPr>
          <w:rFonts w:ascii="Times New Roman" w:hint="eastAsia"/>
          <w:color w:val="000000" w:themeColor="text1"/>
          <w:kern w:val="2"/>
          <w:szCs w:val="24"/>
        </w:rPr>
        <w:t>液体</w:t>
      </w:r>
      <w:r w:rsidRPr="008A2411">
        <w:rPr>
          <w:rFonts w:ascii="Times New Roman"/>
          <w:color w:val="000000" w:themeColor="text1"/>
          <w:kern w:val="2"/>
          <w:szCs w:val="24"/>
        </w:rPr>
        <w:t>蒸汽充满储罐气体空间，由于罐内气体空间温度的昼夜变化而引起的蒸发损耗；储罐的</w:t>
      </w:r>
      <w:r w:rsidRPr="008A2411">
        <w:rPr>
          <w:rFonts w:ascii="Times New Roman" w:hint="eastAsia"/>
          <w:color w:val="000000" w:themeColor="text1"/>
          <w:kern w:val="2"/>
          <w:szCs w:val="24"/>
        </w:rPr>
        <w:t>“</w:t>
      </w:r>
      <w:r w:rsidRPr="008A2411">
        <w:rPr>
          <w:rFonts w:ascii="Times New Roman"/>
          <w:color w:val="000000" w:themeColor="text1"/>
          <w:kern w:val="2"/>
          <w:szCs w:val="24"/>
        </w:rPr>
        <w:t>大呼吸</w:t>
      </w:r>
      <w:r w:rsidRPr="008A2411">
        <w:rPr>
          <w:rFonts w:ascii="Times New Roman" w:hint="eastAsia"/>
          <w:color w:val="000000" w:themeColor="text1"/>
          <w:kern w:val="2"/>
          <w:szCs w:val="24"/>
        </w:rPr>
        <w:t>”</w:t>
      </w:r>
      <w:r w:rsidRPr="008A2411">
        <w:rPr>
          <w:rFonts w:ascii="Times New Roman"/>
          <w:color w:val="000000" w:themeColor="text1"/>
          <w:kern w:val="2"/>
          <w:szCs w:val="24"/>
        </w:rPr>
        <w:t>损耗：是指当液体储罐接收液体时，液面不断上升，罐内混合气体被压缩而使压力不断升高，当气体空间的压力大于压力阀的控制值时，压力阀打开，混合气体溢出罐外，从而产生蒸发损耗。本项目</w:t>
      </w:r>
      <w:r w:rsidRPr="008A2411">
        <w:rPr>
          <w:rFonts w:ascii="Times New Roman"/>
          <w:color w:val="000000" w:themeColor="text1"/>
          <w:kern w:val="2"/>
          <w:szCs w:val="24"/>
        </w:rPr>
        <w:t>LNG</w:t>
      </w:r>
      <w:r w:rsidRPr="008A2411">
        <w:rPr>
          <w:rFonts w:ascii="Times New Roman"/>
          <w:color w:val="000000" w:themeColor="text1"/>
          <w:kern w:val="2"/>
          <w:szCs w:val="24"/>
        </w:rPr>
        <w:t>储罐的蒸发气由两台蒸发气压缩机压缩，回收利用作</w:t>
      </w:r>
      <w:r w:rsidRPr="008A2411">
        <w:rPr>
          <w:rFonts w:ascii="Times New Roman" w:hint="eastAsia"/>
          <w:color w:val="000000" w:themeColor="text1"/>
          <w:kern w:val="2"/>
          <w:szCs w:val="24"/>
        </w:rPr>
        <w:t>燃料</w:t>
      </w:r>
      <w:r w:rsidRPr="008A2411">
        <w:rPr>
          <w:rFonts w:ascii="Times New Roman"/>
          <w:color w:val="000000" w:themeColor="text1"/>
          <w:kern w:val="2"/>
          <w:szCs w:val="24"/>
        </w:rPr>
        <w:t>气综合利用，正常情况下除少量漏损外，几乎没有烃类物质释放。</w:t>
      </w:r>
    </w:p>
    <w:p w14:paraId="478EE488" w14:textId="77777777" w:rsidR="00B0005F" w:rsidRPr="008A2411" w:rsidRDefault="00000000">
      <w:pPr>
        <w:pStyle w:val="L-"/>
        <w:adjustRightInd w:val="0"/>
        <w:spacing w:line="360" w:lineRule="auto"/>
        <w:ind w:firstLine="482"/>
        <w:rPr>
          <w:rFonts w:ascii="Times New Roman" w:cs="Times New Roman"/>
          <w:color w:val="000000" w:themeColor="text1"/>
        </w:rPr>
      </w:pPr>
      <w:r w:rsidRPr="008A2411">
        <w:rPr>
          <w:rFonts w:ascii="Times New Roman" w:cs="Times New Roman"/>
          <w:color w:val="000000" w:themeColor="text1"/>
          <w:kern w:val="2"/>
          <w:szCs w:val="24"/>
        </w:rPr>
        <w:t>因此，本项目产生的无组织排放可挥发性有机物主要来源于生产装置区、</w:t>
      </w:r>
      <w:r w:rsidRPr="008A2411">
        <w:rPr>
          <w:rFonts w:ascii="Times New Roman" w:cs="Times New Roman"/>
          <w:color w:val="000000" w:themeColor="text1"/>
          <w:kern w:val="2"/>
          <w:szCs w:val="24"/>
        </w:rPr>
        <w:t>LNG</w:t>
      </w:r>
      <w:r w:rsidRPr="008A2411">
        <w:rPr>
          <w:rFonts w:ascii="Times New Roman" w:cs="Times New Roman"/>
          <w:color w:val="000000" w:themeColor="text1"/>
          <w:kern w:val="2"/>
          <w:szCs w:val="24"/>
        </w:rPr>
        <w:t>储罐区蒸发气收集系统，及</w:t>
      </w:r>
      <w:r w:rsidRPr="008A2411">
        <w:rPr>
          <w:rFonts w:ascii="Times New Roman" w:cs="Times New Roman"/>
          <w:color w:val="000000" w:themeColor="text1"/>
        </w:rPr>
        <w:t>机泵、阀门、法兰、采样连接点等密封点处产生一定程度的泄漏</w:t>
      </w:r>
      <w:r w:rsidRPr="008A2411">
        <w:rPr>
          <w:rFonts w:ascii="Times New Roman" w:cs="Times New Roman"/>
          <w:color w:val="000000" w:themeColor="text1"/>
        </w:rPr>
        <w:t xml:space="preserve"> </w:t>
      </w:r>
      <w:r w:rsidRPr="008A2411">
        <w:rPr>
          <w:rFonts w:ascii="Times New Roman" w:cs="Times New Roman"/>
          <w:color w:val="000000" w:themeColor="text1"/>
        </w:rPr>
        <w:t>。</w:t>
      </w:r>
    </w:p>
    <w:p w14:paraId="4FE214B7" w14:textId="6971B43C" w:rsidR="00B0005F" w:rsidRPr="008A2411" w:rsidRDefault="00000000">
      <w:pPr>
        <w:pStyle w:val="L-"/>
        <w:adjustRightInd w:val="0"/>
        <w:spacing w:line="360" w:lineRule="auto"/>
        <w:ind w:firstLine="482"/>
        <w:rPr>
          <w:rFonts w:ascii="Times New Roman" w:cs="Times New Roman"/>
          <w:color w:val="000000" w:themeColor="text1"/>
          <w:lang w:val="zh-CN"/>
        </w:rPr>
      </w:pPr>
      <w:r w:rsidRPr="008A2411">
        <w:rPr>
          <w:rFonts w:ascii="Times New Roman" w:cs="Times New Roman"/>
          <w:color w:val="000000" w:themeColor="text1"/>
        </w:rPr>
        <w:t>参照</w:t>
      </w:r>
      <w:r w:rsidRPr="008A2411">
        <w:rPr>
          <w:rFonts w:ascii="Times New Roman" w:cs="Times New Roman"/>
          <w:color w:val="000000" w:themeColor="text1"/>
          <w:lang w:val="zh-CN"/>
        </w:rPr>
        <w:t>《石化行业建设项目挥发性有机物（</w:t>
      </w:r>
      <w:r w:rsidRPr="008A2411">
        <w:rPr>
          <w:rFonts w:ascii="Times New Roman" w:cs="Times New Roman"/>
          <w:color w:val="000000" w:themeColor="text1"/>
          <w:lang w:val="zh-CN"/>
        </w:rPr>
        <w:t>VOCs</w:t>
      </w:r>
      <w:r w:rsidRPr="008A2411">
        <w:rPr>
          <w:rFonts w:ascii="Times New Roman" w:cs="Times New Roman"/>
          <w:color w:val="000000" w:themeColor="text1"/>
          <w:lang w:val="zh-CN"/>
        </w:rPr>
        <w:t>）排放量估算方法技术指南》（试行）中的有关规定，</w:t>
      </w:r>
      <w:r w:rsidRPr="008A2411">
        <w:rPr>
          <w:rFonts w:ascii="Times New Roman" w:cs="Times New Roman"/>
          <w:color w:val="000000" w:themeColor="text1"/>
        </w:rPr>
        <w:t>采用平均排放系数法对</w:t>
      </w:r>
      <w:r w:rsidRPr="008A2411">
        <w:rPr>
          <w:rFonts w:ascii="Times New Roman" w:cs="Times New Roman"/>
          <w:color w:val="000000" w:themeColor="text1"/>
          <w:lang w:val="zh-CN"/>
        </w:rPr>
        <w:t>主体装置区的</w:t>
      </w:r>
      <w:r w:rsidRPr="008A2411">
        <w:rPr>
          <w:rFonts w:ascii="Times New Roman" w:cs="Times New Roman"/>
          <w:color w:val="000000" w:themeColor="text1"/>
          <w:lang w:val="zh-CN"/>
        </w:rPr>
        <w:t>H</w:t>
      </w:r>
      <w:r w:rsidRPr="008A2411">
        <w:rPr>
          <w:rFonts w:ascii="Times New Roman" w:cs="Times New Roman"/>
          <w:color w:val="000000" w:themeColor="text1"/>
          <w:vertAlign w:val="subscript"/>
          <w:lang w:val="zh-CN"/>
        </w:rPr>
        <w:t>2</w:t>
      </w:r>
      <w:r w:rsidRPr="008A2411">
        <w:rPr>
          <w:rFonts w:ascii="Times New Roman" w:cs="Times New Roman"/>
          <w:color w:val="000000" w:themeColor="text1"/>
          <w:lang w:val="zh-CN"/>
        </w:rPr>
        <w:t>S</w:t>
      </w:r>
      <w:r w:rsidRPr="008A2411">
        <w:rPr>
          <w:rFonts w:ascii="Times New Roman" w:cs="Times New Roman"/>
          <w:color w:val="000000" w:themeColor="text1"/>
          <w:lang w:val="zh-CN"/>
        </w:rPr>
        <w:t>和</w:t>
      </w:r>
      <w:r w:rsidR="00F243D6" w:rsidRPr="008A2411">
        <w:rPr>
          <w:rFonts w:ascii="Times New Roman" w:cs="Times New Roman"/>
          <w:color w:val="000000" w:themeColor="text1"/>
          <w:lang w:val="zh-CN"/>
        </w:rPr>
        <w:t>NMHC</w:t>
      </w:r>
      <w:r w:rsidRPr="008A2411">
        <w:rPr>
          <w:rFonts w:ascii="Times New Roman" w:cs="Times New Roman"/>
          <w:color w:val="000000" w:themeColor="text1"/>
          <w:lang w:val="zh-CN"/>
        </w:rPr>
        <w:t>进行计算，</w:t>
      </w:r>
      <w:r w:rsidRPr="008A2411">
        <w:rPr>
          <w:rFonts w:ascii="Times New Roman" w:cs="Times New Roman"/>
          <w:color w:val="000000" w:themeColor="text1"/>
        </w:rPr>
        <w:t>其计算过程如下</w:t>
      </w:r>
      <w:r w:rsidRPr="008A2411">
        <w:rPr>
          <w:rFonts w:ascii="Times New Roman" w:cs="Times New Roman"/>
          <w:color w:val="000000" w:themeColor="text1"/>
          <w:lang w:val="zh-CN"/>
        </w:rPr>
        <w:t>。</w:t>
      </w:r>
    </w:p>
    <w:p w14:paraId="2F418C1E" w14:textId="77777777" w:rsidR="00B0005F" w:rsidRPr="008A2411" w:rsidRDefault="00000000">
      <w:pPr>
        <w:pStyle w:val="L-"/>
        <w:adjustRightInd w:val="0"/>
        <w:spacing w:line="360" w:lineRule="auto"/>
        <w:ind w:firstLine="482"/>
        <w:rPr>
          <w:rFonts w:ascii="Times New Roman" w:cs="Times New Roman"/>
          <w:color w:val="000000" w:themeColor="text1"/>
        </w:rPr>
      </w:pPr>
      <w:r w:rsidRPr="008A2411">
        <w:rPr>
          <w:rFonts w:ascii="Times New Roman" w:cs="Times New Roman"/>
          <w:color w:val="000000" w:themeColor="text1"/>
        </w:rPr>
        <w:t>该方法的估算公式如下：</w:t>
      </w:r>
      <w:r w:rsidRPr="008A2411">
        <w:rPr>
          <w:rFonts w:ascii="Times New Roman" w:cs="Times New Roman"/>
          <w:color w:val="000000" w:themeColor="text1"/>
        </w:rPr>
        <w:t xml:space="preserve"> </w:t>
      </w:r>
    </w:p>
    <w:p w14:paraId="00A93A5C" w14:textId="77777777" w:rsidR="00B0005F" w:rsidRPr="008A2411" w:rsidRDefault="00000000">
      <w:pPr>
        <w:pStyle w:val="L-"/>
        <w:adjustRightInd w:val="0"/>
        <w:spacing w:line="360" w:lineRule="auto"/>
        <w:ind w:firstLine="482"/>
        <w:rPr>
          <w:rFonts w:ascii="Times New Roman" w:cs="Times New Roman"/>
          <w:color w:val="000000" w:themeColor="text1"/>
        </w:rPr>
      </w:pPr>
      <w:r w:rsidRPr="008A2411">
        <w:rPr>
          <w:rFonts w:ascii="Times New Roman" w:cs="Times New Roman"/>
          <w:color w:val="000000" w:themeColor="text1"/>
        </w:rPr>
        <w:t>E</w:t>
      </w:r>
      <w:r w:rsidRPr="008A2411">
        <w:rPr>
          <w:rFonts w:ascii="Times New Roman" w:cs="Times New Roman"/>
          <w:color w:val="000000" w:themeColor="text1"/>
          <w:vertAlign w:val="subscript"/>
        </w:rPr>
        <w:t>TOC</w:t>
      </w:r>
      <w:r w:rsidRPr="008A2411">
        <w:rPr>
          <w:rFonts w:ascii="Times New Roman" w:cs="Times New Roman"/>
          <w:color w:val="000000" w:themeColor="text1"/>
        </w:rPr>
        <w:t xml:space="preserve"> = F</w:t>
      </w:r>
      <w:r w:rsidRPr="008A2411">
        <w:rPr>
          <w:rFonts w:ascii="Times New Roman" w:cs="Times New Roman"/>
          <w:color w:val="000000" w:themeColor="text1"/>
          <w:vertAlign w:val="subscript"/>
        </w:rPr>
        <w:t>A</w:t>
      </w:r>
      <w:r w:rsidRPr="008A2411">
        <w:rPr>
          <w:rFonts w:ascii="Times New Roman" w:cs="Times New Roman"/>
          <w:color w:val="000000" w:themeColor="text1"/>
        </w:rPr>
        <w:t xml:space="preserve"> × WF</w:t>
      </w:r>
      <w:r w:rsidRPr="008A2411">
        <w:rPr>
          <w:rFonts w:ascii="Times New Roman" w:cs="Times New Roman"/>
          <w:color w:val="000000" w:themeColor="text1"/>
          <w:vertAlign w:val="subscript"/>
        </w:rPr>
        <w:t>TOC</w:t>
      </w:r>
      <w:r w:rsidRPr="008A2411">
        <w:rPr>
          <w:rFonts w:ascii="Times New Roman" w:cs="Times New Roman"/>
          <w:color w:val="000000" w:themeColor="text1"/>
        </w:rPr>
        <w:t xml:space="preserve"> × N</w:t>
      </w:r>
    </w:p>
    <w:p w14:paraId="77309EA1" w14:textId="77777777" w:rsidR="00B0005F" w:rsidRPr="008A2411" w:rsidRDefault="00000000">
      <w:pPr>
        <w:pStyle w:val="L-"/>
        <w:adjustRightInd w:val="0"/>
        <w:spacing w:line="360" w:lineRule="auto"/>
        <w:ind w:firstLine="482"/>
        <w:rPr>
          <w:rFonts w:ascii="Times New Roman" w:cs="Times New Roman"/>
          <w:color w:val="000000" w:themeColor="text1"/>
        </w:rPr>
      </w:pPr>
      <w:r w:rsidRPr="008A2411">
        <w:rPr>
          <w:rFonts w:ascii="Times New Roman" w:cs="Times New Roman"/>
          <w:color w:val="000000" w:themeColor="text1"/>
        </w:rPr>
        <w:t>式中：</w:t>
      </w:r>
      <w:r w:rsidRPr="008A2411">
        <w:rPr>
          <w:rFonts w:ascii="Times New Roman" w:cs="Times New Roman"/>
          <w:color w:val="000000" w:themeColor="text1"/>
        </w:rPr>
        <w:t>E</w:t>
      </w:r>
      <w:r w:rsidRPr="008A2411">
        <w:rPr>
          <w:rFonts w:ascii="Times New Roman" w:cs="Times New Roman"/>
          <w:color w:val="000000" w:themeColor="text1"/>
          <w:vertAlign w:val="subscript"/>
        </w:rPr>
        <w:t>TOC</w:t>
      </w:r>
      <w:r w:rsidRPr="008A2411">
        <w:rPr>
          <w:rFonts w:ascii="Times New Roman" w:cs="Times New Roman"/>
          <w:color w:val="000000" w:themeColor="text1"/>
        </w:rPr>
        <w:t>-</w:t>
      </w:r>
      <w:r w:rsidRPr="008A2411">
        <w:rPr>
          <w:rFonts w:ascii="Times New Roman" w:cs="Times New Roman"/>
          <w:color w:val="000000" w:themeColor="text1"/>
        </w:rPr>
        <w:t>特定设备类型的</w:t>
      </w:r>
      <w:r w:rsidRPr="008A2411">
        <w:rPr>
          <w:rFonts w:ascii="Times New Roman" w:cs="Times New Roman"/>
          <w:color w:val="000000" w:themeColor="text1"/>
        </w:rPr>
        <w:t>TOC</w:t>
      </w:r>
      <w:r w:rsidRPr="008A2411">
        <w:rPr>
          <w:rFonts w:ascii="Times New Roman" w:cs="Times New Roman"/>
          <w:color w:val="000000" w:themeColor="text1"/>
        </w:rPr>
        <w:t>排放速率，</w:t>
      </w:r>
      <w:proofErr w:type="gramStart"/>
      <w:r w:rsidRPr="008A2411">
        <w:rPr>
          <w:rFonts w:ascii="Times New Roman" w:cs="Times New Roman"/>
          <w:color w:val="000000" w:themeColor="text1"/>
        </w:rPr>
        <w:t>千克</w:t>
      </w:r>
      <w:r w:rsidRPr="008A2411">
        <w:rPr>
          <w:rFonts w:ascii="Times New Roman" w:cs="Times New Roman"/>
          <w:color w:val="000000" w:themeColor="text1"/>
        </w:rPr>
        <w:t>/</w:t>
      </w:r>
      <w:proofErr w:type="gramEnd"/>
      <w:r w:rsidRPr="008A2411">
        <w:rPr>
          <w:rFonts w:ascii="Times New Roman" w:cs="Times New Roman"/>
          <w:color w:val="000000" w:themeColor="text1"/>
        </w:rPr>
        <w:t>小时；</w:t>
      </w:r>
      <w:r w:rsidRPr="008A2411">
        <w:rPr>
          <w:rFonts w:ascii="Times New Roman" w:cs="Times New Roman"/>
          <w:color w:val="000000" w:themeColor="text1"/>
        </w:rPr>
        <w:t xml:space="preserve"> </w:t>
      </w:r>
    </w:p>
    <w:p w14:paraId="1F428412" w14:textId="77777777" w:rsidR="00B0005F" w:rsidRPr="008A2411" w:rsidRDefault="00000000">
      <w:pPr>
        <w:pStyle w:val="L-"/>
        <w:adjustRightInd w:val="0"/>
        <w:spacing w:line="360" w:lineRule="auto"/>
        <w:ind w:firstLine="482"/>
        <w:rPr>
          <w:rFonts w:ascii="Times New Roman" w:cs="Times New Roman"/>
          <w:color w:val="000000" w:themeColor="text1"/>
        </w:rPr>
      </w:pPr>
      <w:r w:rsidRPr="008A2411">
        <w:rPr>
          <w:rFonts w:ascii="Times New Roman" w:cs="Times New Roman"/>
          <w:color w:val="000000" w:themeColor="text1"/>
        </w:rPr>
        <w:t>F</w:t>
      </w:r>
      <w:r w:rsidRPr="008A2411">
        <w:rPr>
          <w:rFonts w:ascii="Times New Roman" w:cs="Times New Roman"/>
          <w:color w:val="000000" w:themeColor="text1"/>
          <w:vertAlign w:val="subscript"/>
        </w:rPr>
        <w:t>A</w:t>
      </w:r>
      <w:r w:rsidRPr="008A2411">
        <w:rPr>
          <w:rFonts w:ascii="Times New Roman" w:cs="Times New Roman"/>
          <w:color w:val="000000" w:themeColor="text1"/>
        </w:rPr>
        <w:t>-</w:t>
      </w:r>
      <w:r w:rsidRPr="008A2411">
        <w:rPr>
          <w:rFonts w:ascii="Times New Roman" w:cs="Times New Roman"/>
          <w:color w:val="000000" w:themeColor="text1"/>
        </w:rPr>
        <w:t>适用设备类型的平均排放系数，千克</w:t>
      </w:r>
      <w:r w:rsidRPr="008A2411">
        <w:rPr>
          <w:rFonts w:ascii="Times New Roman" w:cs="Times New Roman"/>
          <w:color w:val="000000" w:themeColor="text1"/>
        </w:rPr>
        <w:t>/</w:t>
      </w:r>
      <w:r w:rsidRPr="008A2411">
        <w:rPr>
          <w:rFonts w:ascii="Times New Roman" w:cs="Times New Roman"/>
          <w:color w:val="000000" w:themeColor="text1"/>
        </w:rPr>
        <w:t>（小时</w:t>
      </w:r>
      <w:r w:rsidRPr="008A2411">
        <w:rPr>
          <w:rFonts w:ascii="Times New Roman" w:cs="Times New Roman"/>
          <w:color w:val="000000" w:themeColor="text1"/>
        </w:rPr>
        <w:t>·</w:t>
      </w:r>
      <w:r w:rsidRPr="008A2411">
        <w:rPr>
          <w:rFonts w:ascii="Times New Roman" w:cs="Times New Roman"/>
          <w:color w:val="000000" w:themeColor="text1"/>
        </w:rPr>
        <w:t>源）；</w:t>
      </w:r>
      <w:r w:rsidRPr="008A2411">
        <w:rPr>
          <w:rFonts w:ascii="Times New Roman" w:cs="Times New Roman"/>
          <w:color w:val="000000" w:themeColor="text1"/>
        </w:rPr>
        <w:t xml:space="preserve"> </w:t>
      </w:r>
    </w:p>
    <w:p w14:paraId="55D17609" w14:textId="78DFE24C" w:rsidR="00B0005F" w:rsidRPr="008A2411" w:rsidRDefault="00000000">
      <w:pPr>
        <w:pStyle w:val="L-"/>
        <w:adjustRightInd w:val="0"/>
        <w:spacing w:line="360" w:lineRule="auto"/>
        <w:ind w:firstLine="482"/>
        <w:rPr>
          <w:rFonts w:ascii="Times New Roman" w:cs="Times New Roman"/>
          <w:color w:val="000000" w:themeColor="text1"/>
        </w:rPr>
      </w:pPr>
      <w:r w:rsidRPr="008A2411">
        <w:rPr>
          <w:rFonts w:ascii="Times New Roman" w:cs="Times New Roman"/>
          <w:color w:val="000000" w:themeColor="text1"/>
        </w:rPr>
        <w:t>WF</w:t>
      </w:r>
      <w:r w:rsidRPr="008A2411">
        <w:rPr>
          <w:rFonts w:ascii="Times New Roman" w:cs="Times New Roman"/>
          <w:color w:val="000000" w:themeColor="text1"/>
          <w:vertAlign w:val="subscript"/>
        </w:rPr>
        <w:t>TOC</w:t>
      </w:r>
      <w:r w:rsidRPr="008A2411">
        <w:rPr>
          <w:rFonts w:ascii="Times New Roman" w:cs="Times New Roman"/>
          <w:color w:val="000000" w:themeColor="text1"/>
        </w:rPr>
        <w:t>-</w:t>
      </w:r>
      <w:r w:rsidRPr="008A2411">
        <w:rPr>
          <w:rFonts w:ascii="Times New Roman" w:cs="Times New Roman"/>
          <w:color w:val="000000" w:themeColor="text1"/>
        </w:rPr>
        <w:t>物料中含</w:t>
      </w:r>
      <w:r w:rsidRPr="008A2411">
        <w:rPr>
          <w:rFonts w:ascii="Times New Roman" w:cs="Times New Roman"/>
          <w:color w:val="000000" w:themeColor="text1"/>
        </w:rPr>
        <w:t xml:space="preserve">TOC </w:t>
      </w:r>
      <w:r w:rsidRPr="008A2411">
        <w:rPr>
          <w:rFonts w:ascii="Times New Roman" w:cs="Times New Roman"/>
          <w:color w:val="000000" w:themeColor="text1"/>
        </w:rPr>
        <w:t>的平均质量分数（根据气质组分，</w:t>
      </w:r>
      <w:r w:rsidR="00F243D6" w:rsidRPr="008A2411">
        <w:rPr>
          <w:rFonts w:ascii="Times New Roman" w:cs="Times New Roman"/>
          <w:color w:val="000000" w:themeColor="text1"/>
        </w:rPr>
        <w:t>NMHC</w:t>
      </w:r>
      <w:r w:rsidRPr="008A2411">
        <w:rPr>
          <w:rFonts w:ascii="Times New Roman" w:cs="Times New Roman"/>
          <w:color w:val="000000" w:themeColor="text1"/>
        </w:rPr>
        <w:t>组分乙烷、丙烷、异丁烷等含量约占</w:t>
      </w:r>
      <w:r w:rsidRPr="008A2411">
        <w:rPr>
          <w:rFonts w:ascii="Times New Roman" w:cs="Times New Roman"/>
          <w:color w:val="000000" w:themeColor="text1"/>
        </w:rPr>
        <w:t>0.1287%</w:t>
      </w:r>
      <w:r w:rsidRPr="008A2411">
        <w:rPr>
          <w:rFonts w:ascii="Times New Roman" w:cs="Times New Roman"/>
          <w:color w:val="000000" w:themeColor="text1"/>
        </w:rPr>
        <w:t>计算）；</w:t>
      </w:r>
      <w:r w:rsidRPr="008A2411">
        <w:rPr>
          <w:rFonts w:ascii="Times New Roman" w:cs="Times New Roman"/>
          <w:color w:val="000000" w:themeColor="text1"/>
        </w:rPr>
        <w:t xml:space="preserve"> </w:t>
      </w:r>
    </w:p>
    <w:p w14:paraId="5FAA2CC1" w14:textId="77777777" w:rsidR="00B0005F" w:rsidRPr="008A2411" w:rsidRDefault="00000000">
      <w:pPr>
        <w:pStyle w:val="L-"/>
        <w:adjustRightInd w:val="0"/>
        <w:spacing w:line="360" w:lineRule="auto"/>
        <w:ind w:firstLine="482"/>
        <w:rPr>
          <w:rFonts w:ascii="Times New Roman" w:cs="Times New Roman"/>
          <w:color w:val="000000" w:themeColor="text1"/>
        </w:rPr>
      </w:pPr>
      <w:r w:rsidRPr="008A2411">
        <w:rPr>
          <w:rFonts w:ascii="Times New Roman" w:cs="Times New Roman"/>
          <w:color w:val="000000" w:themeColor="text1"/>
        </w:rPr>
        <w:t>计算参数选择：</w:t>
      </w:r>
    </w:p>
    <w:p w14:paraId="1E83E120" w14:textId="77777777" w:rsidR="00B0005F" w:rsidRPr="008A2411" w:rsidRDefault="00000000">
      <w:pPr>
        <w:pStyle w:val="L-"/>
        <w:adjustRightInd w:val="0"/>
        <w:spacing w:line="360" w:lineRule="auto"/>
        <w:ind w:firstLine="482"/>
        <w:rPr>
          <w:rFonts w:ascii="Times New Roman" w:cs="Times New Roman"/>
          <w:color w:val="000000" w:themeColor="text1"/>
          <w:lang w:val="zh-CN"/>
        </w:rPr>
      </w:pPr>
      <w:r w:rsidRPr="008A2411">
        <w:rPr>
          <w:rFonts w:ascii="Times New Roman" w:cs="Times New Roman"/>
          <w:color w:val="000000" w:themeColor="text1"/>
        </w:rPr>
        <w:t>1</w:t>
      </w:r>
      <w:r w:rsidRPr="008A2411">
        <w:rPr>
          <w:rFonts w:ascii="Times New Roman" w:cs="Times New Roman"/>
          <w:color w:val="000000" w:themeColor="text1"/>
        </w:rPr>
        <w:t>）</w:t>
      </w:r>
      <w:r w:rsidRPr="008A2411">
        <w:rPr>
          <w:rFonts w:ascii="Times New Roman" w:cs="Times New Roman"/>
          <w:color w:val="000000" w:themeColor="text1"/>
          <w:lang w:val="zh-CN"/>
        </w:rPr>
        <w:t>接触介质为气体时，装置区中无组织废气中</w:t>
      </w:r>
      <w:r w:rsidRPr="008A2411">
        <w:rPr>
          <w:rFonts w:ascii="Times New Roman" w:cs="Times New Roman"/>
          <w:color w:val="000000" w:themeColor="text1"/>
          <w:lang w:val="zh-CN"/>
        </w:rPr>
        <w:t>VOCs</w:t>
      </w:r>
      <w:r w:rsidRPr="008A2411">
        <w:rPr>
          <w:rFonts w:ascii="Times New Roman" w:cs="Times New Roman"/>
          <w:color w:val="000000" w:themeColor="text1"/>
          <w:lang w:val="zh-CN"/>
        </w:rPr>
        <w:t>含量主要考虑为除甲烷、</w:t>
      </w:r>
      <w:r w:rsidRPr="008A2411">
        <w:rPr>
          <w:rFonts w:ascii="Times New Roman" w:cs="Times New Roman"/>
          <w:color w:val="000000" w:themeColor="text1"/>
          <w:lang w:val="zh-CN"/>
        </w:rPr>
        <w:t>CO</w:t>
      </w:r>
      <w:r w:rsidRPr="008A2411">
        <w:rPr>
          <w:rFonts w:ascii="Times New Roman" w:cs="Times New Roman"/>
          <w:color w:val="000000" w:themeColor="text1"/>
          <w:vertAlign w:val="subscript"/>
          <w:lang w:val="zh-CN"/>
        </w:rPr>
        <w:t>2</w:t>
      </w:r>
      <w:r w:rsidRPr="008A2411">
        <w:rPr>
          <w:rFonts w:ascii="Times New Roman" w:cs="Times New Roman"/>
          <w:color w:val="000000" w:themeColor="text1"/>
          <w:lang w:val="zh-CN"/>
        </w:rPr>
        <w:t>等以外的气态有机物含量，根据气体组分核算，其占比为</w:t>
      </w:r>
      <w:r w:rsidRPr="008A2411">
        <w:rPr>
          <w:rFonts w:ascii="Times New Roman" w:cs="Times New Roman"/>
          <w:color w:val="000000" w:themeColor="text1"/>
          <w:lang w:val="zh-CN"/>
        </w:rPr>
        <w:t>0.</w:t>
      </w:r>
      <w:r w:rsidRPr="008A2411">
        <w:rPr>
          <w:rFonts w:ascii="Times New Roman" w:cs="Times New Roman"/>
          <w:color w:val="000000" w:themeColor="text1"/>
        </w:rPr>
        <w:t>1287</w:t>
      </w:r>
      <w:r w:rsidRPr="008A2411">
        <w:rPr>
          <w:rFonts w:ascii="Times New Roman" w:cs="Times New Roman"/>
          <w:color w:val="000000" w:themeColor="text1"/>
          <w:lang w:val="zh-CN"/>
        </w:rPr>
        <w:t>%</w:t>
      </w:r>
      <w:r w:rsidRPr="008A2411">
        <w:rPr>
          <w:rFonts w:ascii="Times New Roman" w:cs="Times New Roman"/>
          <w:color w:val="000000" w:themeColor="text1"/>
          <w:lang w:val="zh-CN"/>
        </w:rPr>
        <w:t>（</w:t>
      </w:r>
      <w:r w:rsidRPr="008A2411">
        <w:rPr>
          <w:rFonts w:ascii="Times New Roman" w:cs="Times New Roman"/>
          <w:color w:val="000000" w:themeColor="text1"/>
        </w:rPr>
        <w:t>主要以乙烷、丙烷、异丁烷等</w:t>
      </w:r>
      <w:r w:rsidRPr="008A2411">
        <w:rPr>
          <w:rFonts w:ascii="Times New Roman" w:cs="Times New Roman"/>
          <w:color w:val="000000" w:themeColor="text1"/>
          <w:lang w:val="zh-CN"/>
        </w:rPr>
        <w:t>组分核算）；</w:t>
      </w:r>
    </w:p>
    <w:p w14:paraId="44604983" w14:textId="015DEBFC" w:rsidR="00B0005F" w:rsidRPr="008A2411" w:rsidRDefault="00000000">
      <w:pPr>
        <w:pStyle w:val="L-"/>
        <w:adjustRightInd w:val="0"/>
        <w:spacing w:line="360" w:lineRule="auto"/>
        <w:ind w:firstLine="482"/>
        <w:rPr>
          <w:rFonts w:ascii="Times New Roman" w:cs="Times New Roman"/>
          <w:color w:val="000000" w:themeColor="text1"/>
          <w:lang w:val="zh-CN"/>
        </w:rPr>
      </w:pPr>
      <w:r w:rsidRPr="008A2411">
        <w:rPr>
          <w:rFonts w:ascii="Times New Roman" w:cs="Times New Roman"/>
          <w:color w:val="000000" w:themeColor="text1"/>
          <w:lang w:val="zh-CN"/>
        </w:rPr>
        <w:t>2</w:t>
      </w:r>
      <w:r w:rsidRPr="008A2411">
        <w:rPr>
          <w:rFonts w:ascii="Times New Roman" w:cs="Times New Roman"/>
          <w:color w:val="000000" w:themeColor="text1"/>
          <w:lang w:val="zh-CN"/>
        </w:rPr>
        <w:t>）接触介质为重质有机溶剂时，</w:t>
      </w:r>
      <w:r w:rsidRPr="008A2411">
        <w:rPr>
          <w:rFonts w:ascii="Times New Roman" w:cs="Times New Roman"/>
          <w:color w:val="000000" w:themeColor="text1"/>
        </w:rPr>
        <w:t>根据配比溶剂成分分析（水：有机溶剂为</w:t>
      </w:r>
      <w:r w:rsidRPr="008A2411">
        <w:rPr>
          <w:rFonts w:ascii="Times New Roman" w:cs="Times New Roman"/>
          <w:color w:val="000000" w:themeColor="text1"/>
        </w:rPr>
        <w:t xml:space="preserve"> 35</w:t>
      </w:r>
      <w:r w:rsidRPr="008A2411">
        <w:rPr>
          <w:rFonts w:ascii="Times New Roman" w:cs="Times New Roman"/>
          <w:color w:val="000000" w:themeColor="text1"/>
        </w:rPr>
        <w:t>：</w:t>
      </w:r>
      <w:r w:rsidRPr="008A2411">
        <w:rPr>
          <w:rFonts w:ascii="Times New Roman" w:cs="Times New Roman"/>
          <w:color w:val="000000" w:themeColor="text1"/>
        </w:rPr>
        <w:t xml:space="preserve"> </w:t>
      </w:r>
      <w:r w:rsidRPr="008A2411">
        <w:rPr>
          <w:rFonts w:ascii="Times New Roman" w:cs="Times New Roman"/>
          <w:color w:val="000000" w:themeColor="text1"/>
        </w:rPr>
        <w:lastRenderedPageBreak/>
        <w:t>65</w:t>
      </w:r>
      <w:r w:rsidRPr="008A2411">
        <w:rPr>
          <w:rFonts w:ascii="Times New Roman" w:cs="Times New Roman"/>
          <w:color w:val="000000" w:themeColor="text1"/>
        </w:rPr>
        <w:t>），其挥发性有机物含量</w:t>
      </w:r>
      <w:proofErr w:type="gramStart"/>
      <w:r w:rsidRPr="008A2411">
        <w:rPr>
          <w:rFonts w:ascii="Times New Roman" w:cs="Times New Roman"/>
          <w:color w:val="000000" w:themeColor="text1"/>
        </w:rPr>
        <w:t>最大占</w:t>
      </w:r>
      <w:proofErr w:type="gramEnd"/>
      <w:r w:rsidRPr="008A2411">
        <w:rPr>
          <w:rFonts w:ascii="Times New Roman" w:cs="Times New Roman"/>
          <w:color w:val="000000" w:themeColor="text1"/>
        </w:rPr>
        <w:t>比为</w:t>
      </w:r>
      <w:r w:rsidRPr="008A2411">
        <w:rPr>
          <w:rFonts w:ascii="Times New Roman" w:cs="Times New Roman"/>
          <w:color w:val="000000" w:themeColor="text1"/>
        </w:rPr>
        <w:t xml:space="preserve"> 65%</w:t>
      </w:r>
      <w:r w:rsidRPr="008A2411">
        <w:rPr>
          <w:rFonts w:ascii="Times New Roman" w:cs="Times New Roman"/>
          <w:color w:val="000000" w:themeColor="text1"/>
        </w:rPr>
        <w:t>，故无组织废气中</w:t>
      </w:r>
      <w:r w:rsidR="00F243D6" w:rsidRPr="008A2411">
        <w:rPr>
          <w:rFonts w:ascii="Times New Roman" w:cs="Times New Roman"/>
          <w:color w:val="000000" w:themeColor="text1"/>
        </w:rPr>
        <w:t>NMHC</w:t>
      </w:r>
      <w:r w:rsidRPr="008A2411">
        <w:rPr>
          <w:rFonts w:ascii="Times New Roman" w:cs="Times New Roman"/>
          <w:color w:val="000000" w:themeColor="text1"/>
        </w:rPr>
        <w:t>含量按最大</w:t>
      </w:r>
      <w:r w:rsidRPr="008A2411">
        <w:rPr>
          <w:rFonts w:ascii="Times New Roman" w:cs="Times New Roman"/>
          <w:color w:val="000000" w:themeColor="text1"/>
        </w:rPr>
        <w:t xml:space="preserve"> 65%</w:t>
      </w:r>
      <w:r w:rsidRPr="008A2411">
        <w:rPr>
          <w:rFonts w:ascii="Times New Roman" w:cs="Times New Roman"/>
          <w:color w:val="000000" w:themeColor="text1"/>
        </w:rPr>
        <w:t>核算</w:t>
      </w:r>
      <w:r w:rsidRPr="008A2411">
        <w:rPr>
          <w:rFonts w:ascii="Times New Roman" w:cs="Times New Roman"/>
          <w:color w:val="000000" w:themeColor="text1"/>
          <w:lang w:val="zh-CN"/>
        </w:rPr>
        <w:t>；</w:t>
      </w:r>
    </w:p>
    <w:p w14:paraId="3CF10BF8" w14:textId="77777777" w:rsidR="00B0005F" w:rsidRPr="008A2411" w:rsidRDefault="00000000">
      <w:pPr>
        <w:pStyle w:val="L-"/>
        <w:adjustRightInd w:val="0"/>
        <w:spacing w:line="360" w:lineRule="auto"/>
        <w:ind w:firstLine="482"/>
        <w:rPr>
          <w:rFonts w:ascii="Times New Roman" w:cs="Times New Roman"/>
          <w:color w:val="000000" w:themeColor="text1"/>
        </w:rPr>
      </w:pPr>
      <w:r w:rsidRPr="008A2411">
        <w:rPr>
          <w:rFonts w:ascii="Times New Roman" w:cs="Times New Roman"/>
          <w:color w:val="000000" w:themeColor="text1"/>
        </w:rPr>
        <w:t>3</w:t>
      </w:r>
      <w:r w:rsidRPr="008A2411">
        <w:rPr>
          <w:rFonts w:ascii="Times New Roman" w:cs="Times New Roman"/>
          <w:color w:val="000000" w:themeColor="text1"/>
        </w:rPr>
        <w:t>）密封点数量及接触介质参数：根据建设单位及设计单位提供的设计资料，项目设备密封点约</w:t>
      </w:r>
      <w:r w:rsidRPr="008A2411">
        <w:rPr>
          <w:rFonts w:ascii="Times New Roman" w:cs="Times New Roman"/>
          <w:color w:val="000000" w:themeColor="text1"/>
        </w:rPr>
        <w:t>1300</w:t>
      </w:r>
      <w:r w:rsidRPr="008A2411">
        <w:rPr>
          <w:rFonts w:ascii="Times New Roman" w:cs="Times New Roman"/>
          <w:color w:val="000000" w:themeColor="text1"/>
        </w:rPr>
        <w:t>个（其中涉及气体泄漏及有机溶剂的密封点</w:t>
      </w:r>
      <w:r w:rsidRPr="008A2411">
        <w:rPr>
          <w:rFonts w:ascii="Times New Roman" w:cs="Times New Roman"/>
          <w:color w:val="000000" w:themeColor="text1"/>
        </w:rPr>
        <w:t>265</w:t>
      </w:r>
      <w:r w:rsidRPr="008A2411">
        <w:rPr>
          <w:rFonts w:ascii="Times New Roman" w:cs="Times New Roman"/>
          <w:color w:val="000000" w:themeColor="text1"/>
        </w:rPr>
        <w:t>个）。</w:t>
      </w:r>
    </w:p>
    <w:p w14:paraId="0664F9B8" w14:textId="77777777" w:rsidR="00B0005F" w:rsidRPr="008A2411" w:rsidRDefault="00000000">
      <w:pPr>
        <w:pStyle w:val="L-"/>
        <w:adjustRightInd w:val="0"/>
        <w:spacing w:line="360" w:lineRule="auto"/>
        <w:ind w:firstLine="482"/>
        <w:rPr>
          <w:rFonts w:ascii="Times New Roman" w:cs="Times New Roman"/>
          <w:color w:val="000000" w:themeColor="text1"/>
        </w:rPr>
      </w:pPr>
      <w:r w:rsidRPr="008A2411">
        <w:rPr>
          <w:rFonts w:ascii="Times New Roman" w:cs="Times New Roman"/>
          <w:color w:val="000000" w:themeColor="text1"/>
        </w:rPr>
        <w:t>计算结果如下：</w:t>
      </w:r>
    </w:p>
    <w:p w14:paraId="6ACCCC67" w14:textId="77777777" w:rsidR="00B0005F" w:rsidRPr="008A2411" w:rsidRDefault="00000000">
      <w:pPr>
        <w:pStyle w:val="affff3"/>
        <w:adjustRightInd w:val="0"/>
        <w:snapToGrid w:val="0"/>
        <w:spacing w:before="0" w:after="0"/>
        <w:outlineLvl w:val="9"/>
        <w:rPr>
          <w:rFonts w:ascii="Times New Roman" w:eastAsia="黑体" w:hAnsi="Times New Roman" w:cs="Times New Roman"/>
          <w:b w:val="0"/>
          <w:bCs w:val="0"/>
          <w:color w:val="000000" w:themeColor="text1"/>
          <w:kern w:val="0"/>
          <w:sz w:val="24"/>
          <w:szCs w:val="24"/>
          <w:lang w:bidi="en-US"/>
        </w:rPr>
      </w:pPr>
      <w:bookmarkStart w:id="209" w:name="_Toc15224"/>
      <w:bookmarkStart w:id="210" w:name="_Toc10150"/>
      <w:bookmarkStart w:id="211" w:name="_Toc9793"/>
      <w:bookmarkStart w:id="212" w:name="_Toc30764"/>
      <w:bookmarkStart w:id="213" w:name="_Toc6606"/>
      <w:bookmarkStart w:id="214" w:name="_Toc19117"/>
      <w:r w:rsidRPr="008A2411">
        <w:rPr>
          <w:rFonts w:ascii="Times New Roman" w:eastAsia="黑体" w:hAnsi="Times New Roman" w:cs="Times New Roman"/>
          <w:b w:val="0"/>
          <w:bCs w:val="0"/>
          <w:color w:val="000000" w:themeColor="text1"/>
          <w:kern w:val="0"/>
          <w:sz w:val="24"/>
          <w:szCs w:val="24"/>
          <w:lang w:bidi="en-US"/>
        </w:rPr>
        <w:t>表</w:t>
      </w:r>
      <w:r w:rsidRPr="008A2411">
        <w:rPr>
          <w:rFonts w:ascii="Times New Roman" w:eastAsia="黑体" w:hAnsi="Times New Roman" w:cs="Times New Roman"/>
          <w:b w:val="0"/>
          <w:bCs w:val="0"/>
          <w:color w:val="000000" w:themeColor="text1"/>
          <w:kern w:val="0"/>
          <w:sz w:val="24"/>
          <w:szCs w:val="24"/>
          <w:lang w:bidi="en-US"/>
        </w:rPr>
        <w:t xml:space="preserve">3.2-11  </w:t>
      </w:r>
      <w:r w:rsidRPr="008A2411">
        <w:rPr>
          <w:rFonts w:ascii="Times New Roman" w:eastAsia="黑体" w:hAnsi="Times New Roman" w:cs="Times New Roman"/>
          <w:b w:val="0"/>
          <w:bCs w:val="0"/>
          <w:color w:val="000000" w:themeColor="text1"/>
          <w:kern w:val="0"/>
          <w:sz w:val="24"/>
          <w:szCs w:val="24"/>
          <w:lang w:bidi="en-US"/>
        </w:rPr>
        <w:t>无组织排放源强核算表</w:t>
      </w:r>
      <w:bookmarkEnd w:id="209"/>
      <w:bookmarkEnd w:id="210"/>
      <w:bookmarkEnd w:id="211"/>
      <w:bookmarkEnd w:id="212"/>
      <w:bookmarkEnd w:id="213"/>
      <w:bookmarkEnd w:id="214"/>
    </w:p>
    <w:tbl>
      <w:tblPr>
        <w:tblW w:w="4997" w:type="pct"/>
        <w:tblLook w:val="04A0" w:firstRow="1" w:lastRow="0" w:firstColumn="1" w:lastColumn="0" w:noHBand="0" w:noVBand="1"/>
      </w:tblPr>
      <w:tblGrid>
        <w:gridCol w:w="1197"/>
        <w:gridCol w:w="1197"/>
        <w:gridCol w:w="1197"/>
        <w:gridCol w:w="1700"/>
        <w:gridCol w:w="1700"/>
        <w:gridCol w:w="1526"/>
      </w:tblGrid>
      <w:tr w:rsidR="008A2411" w:rsidRPr="008A2411" w14:paraId="004C616B" w14:textId="77777777">
        <w:trPr>
          <w:trHeight w:val="879"/>
        </w:trPr>
        <w:tc>
          <w:tcPr>
            <w:tcW w:w="702" w:type="pct"/>
            <w:tcBorders>
              <w:top w:val="single" w:sz="4" w:space="0" w:color="auto"/>
              <w:left w:val="single" w:sz="4" w:space="0" w:color="auto"/>
              <w:bottom w:val="single" w:sz="4" w:space="0" w:color="auto"/>
              <w:right w:val="single" w:sz="4" w:space="0" w:color="auto"/>
            </w:tcBorders>
            <w:shd w:val="clear" w:color="auto" w:fill="auto"/>
            <w:vAlign w:val="center"/>
          </w:tcPr>
          <w:p w14:paraId="4DCA6CF9"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设备名称</w:t>
            </w:r>
          </w:p>
        </w:tc>
        <w:tc>
          <w:tcPr>
            <w:tcW w:w="702" w:type="pct"/>
            <w:tcBorders>
              <w:top w:val="single" w:sz="4" w:space="0" w:color="auto"/>
              <w:left w:val="single" w:sz="4" w:space="0" w:color="auto"/>
              <w:bottom w:val="single" w:sz="4" w:space="0" w:color="auto"/>
              <w:right w:val="single" w:sz="4" w:space="0" w:color="auto"/>
            </w:tcBorders>
            <w:shd w:val="clear" w:color="auto" w:fill="auto"/>
            <w:vAlign w:val="center"/>
          </w:tcPr>
          <w:p w14:paraId="69C3797A"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数量（件）</w:t>
            </w:r>
          </w:p>
        </w:tc>
        <w:tc>
          <w:tcPr>
            <w:tcW w:w="702" w:type="pct"/>
            <w:tcBorders>
              <w:top w:val="single" w:sz="4" w:space="0" w:color="auto"/>
              <w:left w:val="single" w:sz="4" w:space="0" w:color="auto"/>
              <w:bottom w:val="single" w:sz="4" w:space="0" w:color="auto"/>
              <w:right w:val="single" w:sz="4" w:space="0" w:color="auto"/>
            </w:tcBorders>
            <w:shd w:val="clear" w:color="auto" w:fill="auto"/>
            <w:vAlign w:val="center"/>
          </w:tcPr>
          <w:p w14:paraId="0B18222D"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接触介质</w:t>
            </w:r>
          </w:p>
        </w:tc>
        <w:tc>
          <w:tcPr>
            <w:tcW w:w="998" w:type="pct"/>
            <w:tcBorders>
              <w:top w:val="single" w:sz="4" w:space="0" w:color="auto"/>
              <w:left w:val="single" w:sz="4" w:space="0" w:color="auto"/>
              <w:bottom w:val="single" w:sz="4" w:space="0" w:color="auto"/>
              <w:right w:val="single" w:sz="4" w:space="0" w:color="auto"/>
            </w:tcBorders>
            <w:shd w:val="clear" w:color="auto" w:fill="auto"/>
            <w:vAlign w:val="center"/>
          </w:tcPr>
          <w:p w14:paraId="37E3DE8E"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总废气排放系数（千克</w:t>
            </w:r>
            <w:r w:rsidRPr="008A2411">
              <w:rPr>
                <w:rFonts w:ascii="Times New Roman"/>
                <w:color w:val="000000" w:themeColor="text1"/>
                <w:sz w:val="21"/>
                <w:szCs w:val="21"/>
                <w:lang w:bidi="ar"/>
              </w:rPr>
              <w:t>/</w:t>
            </w:r>
            <w:r w:rsidRPr="008A2411">
              <w:rPr>
                <w:rFonts w:ascii="Times New Roman"/>
                <w:color w:val="000000" w:themeColor="text1"/>
                <w:sz w:val="21"/>
                <w:szCs w:val="21"/>
                <w:lang w:bidi="ar"/>
              </w:rPr>
              <w:t>（小时</w:t>
            </w:r>
            <w:r w:rsidRPr="008A2411">
              <w:rPr>
                <w:rFonts w:ascii="Times New Roman"/>
                <w:color w:val="000000" w:themeColor="text1"/>
                <w:sz w:val="21"/>
                <w:szCs w:val="21"/>
                <w:lang w:bidi="ar"/>
              </w:rPr>
              <w:t>.</w:t>
            </w:r>
            <w:r w:rsidRPr="008A2411">
              <w:rPr>
                <w:rFonts w:ascii="Times New Roman"/>
                <w:color w:val="000000" w:themeColor="text1"/>
                <w:sz w:val="21"/>
                <w:szCs w:val="21"/>
                <w:lang w:bidi="ar"/>
              </w:rPr>
              <w:t>源）</w:t>
            </w:r>
          </w:p>
        </w:tc>
        <w:tc>
          <w:tcPr>
            <w:tcW w:w="998" w:type="pct"/>
            <w:tcBorders>
              <w:top w:val="single" w:sz="4" w:space="0" w:color="auto"/>
              <w:left w:val="single" w:sz="4" w:space="0" w:color="auto"/>
              <w:bottom w:val="single" w:sz="4" w:space="0" w:color="auto"/>
              <w:right w:val="single" w:sz="4" w:space="0" w:color="auto"/>
            </w:tcBorders>
            <w:shd w:val="clear" w:color="auto" w:fill="auto"/>
            <w:vAlign w:val="center"/>
          </w:tcPr>
          <w:p w14:paraId="3BDDCEFE" w14:textId="3EC5730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其中</w:t>
            </w:r>
            <w:r w:rsidR="00F243D6" w:rsidRPr="008A2411">
              <w:rPr>
                <w:rFonts w:ascii="Times New Roman"/>
                <w:color w:val="000000" w:themeColor="text1"/>
                <w:sz w:val="21"/>
                <w:szCs w:val="21"/>
                <w:lang w:bidi="ar"/>
              </w:rPr>
              <w:t>NMHC</w:t>
            </w:r>
            <w:r w:rsidRPr="008A2411">
              <w:rPr>
                <w:rFonts w:ascii="Times New Roman"/>
                <w:color w:val="000000" w:themeColor="text1"/>
                <w:sz w:val="21"/>
                <w:szCs w:val="21"/>
                <w:lang w:bidi="ar"/>
              </w:rPr>
              <w:t>含量（</w:t>
            </w:r>
            <w:r w:rsidRPr="008A2411">
              <w:rPr>
                <w:rFonts w:ascii="Times New Roman"/>
                <w:color w:val="000000" w:themeColor="text1"/>
                <w:sz w:val="21"/>
                <w:szCs w:val="21"/>
                <w:lang w:bidi="ar"/>
              </w:rPr>
              <w:t>kg/h)</w:t>
            </w:r>
          </w:p>
        </w:tc>
        <w:tc>
          <w:tcPr>
            <w:tcW w:w="896" w:type="pct"/>
            <w:tcBorders>
              <w:top w:val="single" w:sz="4" w:space="0" w:color="auto"/>
              <w:left w:val="single" w:sz="4" w:space="0" w:color="auto"/>
              <w:bottom w:val="single" w:sz="4" w:space="0" w:color="auto"/>
              <w:right w:val="single" w:sz="4" w:space="0" w:color="auto"/>
            </w:tcBorders>
            <w:shd w:val="clear" w:color="auto" w:fill="auto"/>
            <w:vAlign w:val="center"/>
          </w:tcPr>
          <w:p w14:paraId="475AC535" w14:textId="6C40F0F2"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其中</w:t>
            </w:r>
            <w:r w:rsidR="00F243D6" w:rsidRPr="008A2411">
              <w:rPr>
                <w:rFonts w:ascii="Times New Roman"/>
                <w:color w:val="000000" w:themeColor="text1"/>
                <w:sz w:val="21"/>
                <w:szCs w:val="21"/>
                <w:lang w:bidi="ar"/>
              </w:rPr>
              <w:t>NMHC</w:t>
            </w:r>
            <w:r w:rsidRPr="008A2411">
              <w:rPr>
                <w:rFonts w:ascii="Times New Roman"/>
                <w:color w:val="000000" w:themeColor="text1"/>
                <w:sz w:val="21"/>
                <w:szCs w:val="21"/>
                <w:lang w:bidi="ar"/>
              </w:rPr>
              <w:t>含量（</w:t>
            </w:r>
            <w:r w:rsidRPr="008A2411">
              <w:rPr>
                <w:rFonts w:ascii="Times New Roman"/>
                <w:color w:val="000000" w:themeColor="text1"/>
                <w:sz w:val="21"/>
                <w:szCs w:val="21"/>
                <w:lang w:bidi="ar"/>
              </w:rPr>
              <w:t>t/a)</w:t>
            </w:r>
          </w:p>
        </w:tc>
      </w:tr>
      <w:tr w:rsidR="008A2411" w:rsidRPr="008A2411" w14:paraId="3398ADB4" w14:textId="77777777">
        <w:trPr>
          <w:trHeight w:val="327"/>
        </w:trPr>
        <w:tc>
          <w:tcPr>
            <w:tcW w:w="702" w:type="pct"/>
            <w:tcBorders>
              <w:top w:val="single" w:sz="4" w:space="0" w:color="auto"/>
              <w:left w:val="single" w:sz="4" w:space="0" w:color="auto"/>
              <w:bottom w:val="single" w:sz="4" w:space="0" w:color="auto"/>
              <w:right w:val="single" w:sz="4" w:space="0" w:color="auto"/>
            </w:tcBorders>
            <w:shd w:val="clear" w:color="auto" w:fill="auto"/>
            <w:vAlign w:val="center"/>
          </w:tcPr>
          <w:p w14:paraId="0D41ED36"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阀门</w:t>
            </w:r>
          </w:p>
        </w:tc>
        <w:tc>
          <w:tcPr>
            <w:tcW w:w="702" w:type="pct"/>
            <w:tcBorders>
              <w:top w:val="single" w:sz="4" w:space="0" w:color="auto"/>
              <w:left w:val="single" w:sz="4" w:space="0" w:color="auto"/>
              <w:bottom w:val="single" w:sz="4" w:space="0" w:color="auto"/>
              <w:right w:val="single" w:sz="4" w:space="0" w:color="auto"/>
            </w:tcBorders>
            <w:shd w:val="clear" w:color="auto" w:fill="auto"/>
            <w:vAlign w:val="center"/>
          </w:tcPr>
          <w:p w14:paraId="3535F1F5"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18</w:t>
            </w:r>
          </w:p>
        </w:tc>
        <w:tc>
          <w:tcPr>
            <w:tcW w:w="702" w:type="pct"/>
            <w:tcBorders>
              <w:top w:val="single" w:sz="4" w:space="0" w:color="auto"/>
              <w:left w:val="single" w:sz="4" w:space="0" w:color="auto"/>
              <w:bottom w:val="single" w:sz="4" w:space="0" w:color="auto"/>
              <w:right w:val="single" w:sz="4" w:space="0" w:color="auto"/>
            </w:tcBorders>
            <w:shd w:val="clear" w:color="auto" w:fill="auto"/>
            <w:vAlign w:val="center"/>
          </w:tcPr>
          <w:p w14:paraId="719014D7"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气体</w:t>
            </w:r>
          </w:p>
        </w:tc>
        <w:tc>
          <w:tcPr>
            <w:tcW w:w="998" w:type="pct"/>
            <w:tcBorders>
              <w:top w:val="single" w:sz="4" w:space="0" w:color="auto"/>
              <w:left w:val="single" w:sz="4" w:space="0" w:color="auto"/>
              <w:bottom w:val="single" w:sz="4" w:space="0" w:color="auto"/>
              <w:right w:val="single" w:sz="4" w:space="0" w:color="auto"/>
            </w:tcBorders>
            <w:shd w:val="clear" w:color="auto" w:fill="auto"/>
            <w:vAlign w:val="center"/>
          </w:tcPr>
          <w:p w14:paraId="3F7C6CB0"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0.00597</w:t>
            </w:r>
          </w:p>
        </w:tc>
        <w:tc>
          <w:tcPr>
            <w:tcW w:w="998" w:type="pct"/>
            <w:tcBorders>
              <w:top w:val="single" w:sz="4" w:space="0" w:color="auto"/>
              <w:left w:val="single" w:sz="4" w:space="0" w:color="auto"/>
              <w:bottom w:val="single" w:sz="4" w:space="0" w:color="auto"/>
              <w:right w:val="single" w:sz="4" w:space="0" w:color="auto"/>
            </w:tcBorders>
            <w:shd w:val="clear" w:color="auto" w:fill="auto"/>
            <w:noWrap/>
            <w:vAlign w:val="center"/>
          </w:tcPr>
          <w:p w14:paraId="23625F73"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 xml:space="preserve">0.00014 </w:t>
            </w:r>
          </w:p>
        </w:tc>
        <w:tc>
          <w:tcPr>
            <w:tcW w:w="89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0FF48B82"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 xml:space="preserve">0.00111 </w:t>
            </w:r>
          </w:p>
        </w:tc>
      </w:tr>
      <w:tr w:rsidR="008A2411" w:rsidRPr="008A2411" w14:paraId="5595276B" w14:textId="77777777">
        <w:trPr>
          <w:trHeight w:val="327"/>
        </w:trPr>
        <w:tc>
          <w:tcPr>
            <w:tcW w:w="702" w:type="pct"/>
            <w:tcBorders>
              <w:top w:val="single" w:sz="4" w:space="0" w:color="auto"/>
              <w:left w:val="single" w:sz="4" w:space="0" w:color="auto"/>
              <w:bottom w:val="single" w:sz="4" w:space="0" w:color="auto"/>
              <w:right w:val="single" w:sz="4" w:space="0" w:color="auto"/>
            </w:tcBorders>
            <w:shd w:val="clear" w:color="auto" w:fill="auto"/>
            <w:vAlign w:val="center"/>
          </w:tcPr>
          <w:p w14:paraId="034CA411"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泵密封</w:t>
            </w:r>
          </w:p>
        </w:tc>
        <w:tc>
          <w:tcPr>
            <w:tcW w:w="702" w:type="pct"/>
            <w:tcBorders>
              <w:top w:val="single" w:sz="4" w:space="0" w:color="auto"/>
              <w:left w:val="single" w:sz="4" w:space="0" w:color="auto"/>
              <w:bottom w:val="single" w:sz="4" w:space="0" w:color="auto"/>
              <w:right w:val="single" w:sz="4" w:space="0" w:color="auto"/>
            </w:tcBorders>
            <w:shd w:val="clear" w:color="auto" w:fill="auto"/>
            <w:vAlign w:val="center"/>
          </w:tcPr>
          <w:p w14:paraId="2E3ED334"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8</w:t>
            </w:r>
          </w:p>
        </w:tc>
        <w:tc>
          <w:tcPr>
            <w:tcW w:w="702" w:type="pct"/>
            <w:tcBorders>
              <w:top w:val="single" w:sz="4" w:space="0" w:color="auto"/>
              <w:left w:val="single" w:sz="4" w:space="0" w:color="auto"/>
              <w:bottom w:val="single" w:sz="4" w:space="0" w:color="auto"/>
              <w:right w:val="single" w:sz="4" w:space="0" w:color="auto"/>
            </w:tcBorders>
            <w:shd w:val="clear" w:color="auto" w:fill="auto"/>
            <w:vAlign w:val="center"/>
          </w:tcPr>
          <w:p w14:paraId="3B39401E"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重质液体</w:t>
            </w:r>
          </w:p>
        </w:tc>
        <w:tc>
          <w:tcPr>
            <w:tcW w:w="998" w:type="pct"/>
            <w:tcBorders>
              <w:top w:val="single" w:sz="4" w:space="0" w:color="auto"/>
              <w:left w:val="single" w:sz="4" w:space="0" w:color="auto"/>
              <w:bottom w:val="single" w:sz="4" w:space="0" w:color="auto"/>
              <w:right w:val="single" w:sz="4" w:space="0" w:color="auto"/>
            </w:tcBorders>
            <w:shd w:val="clear" w:color="auto" w:fill="auto"/>
            <w:vAlign w:val="center"/>
          </w:tcPr>
          <w:p w14:paraId="1E5DA1A8"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0.00862</w:t>
            </w:r>
          </w:p>
        </w:tc>
        <w:tc>
          <w:tcPr>
            <w:tcW w:w="998" w:type="pct"/>
            <w:tcBorders>
              <w:top w:val="single" w:sz="4" w:space="0" w:color="auto"/>
              <w:left w:val="single" w:sz="4" w:space="0" w:color="auto"/>
              <w:bottom w:val="single" w:sz="4" w:space="0" w:color="auto"/>
              <w:right w:val="single" w:sz="4" w:space="0" w:color="auto"/>
            </w:tcBorders>
            <w:shd w:val="clear" w:color="auto" w:fill="auto"/>
            <w:noWrap/>
            <w:vAlign w:val="center"/>
          </w:tcPr>
          <w:p w14:paraId="090F6CF2"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 xml:space="preserve">0.04482 </w:t>
            </w:r>
          </w:p>
        </w:tc>
        <w:tc>
          <w:tcPr>
            <w:tcW w:w="89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2FD33B42"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 xml:space="preserve">0.35859 </w:t>
            </w:r>
          </w:p>
        </w:tc>
      </w:tr>
      <w:tr w:rsidR="008A2411" w:rsidRPr="008A2411" w14:paraId="2D18B717" w14:textId="77777777">
        <w:trPr>
          <w:trHeight w:val="312"/>
        </w:trPr>
        <w:tc>
          <w:tcPr>
            <w:tcW w:w="702" w:type="pct"/>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561628E8"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连接器（法兰）</w:t>
            </w:r>
          </w:p>
        </w:tc>
        <w:tc>
          <w:tcPr>
            <w:tcW w:w="702" w:type="pct"/>
            <w:tcBorders>
              <w:top w:val="single" w:sz="4" w:space="0" w:color="auto"/>
              <w:left w:val="single" w:sz="4" w:space="0" w:color="auto"/>
              <w:bottom w:val="single" w:sz="4" w:space="0" w:color="auto"/>
              <w:right w:val="single" w:sz="4" w:space="0" w:color="auto"/>
            </w:tcBorders>
            <w:shd w:val="clear" w:color="auto" w:fill="auto"/>
            <w:vAlign w:val="center"/>
          </w:tcPr>
          <w:p w14:paraId="2B2C41D8"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189</w:t>
            </w:r>
          </w:p>
        </w:tc>
        <w:tc>
          <w:tcPr>
            <w:tcW w:w="702" w:type="pct"/>
            <w:tcBorders>
              <w:top w:val="single" w:sz="4" w:space="0" w:color="auto"/>
              <w:left w:val="single" w:sz="4" w:space="0" w:color="auto"/>
              <w:bottom w:val="single" w:sz="4" w:space="0" w:color="auto"/>
              <w:right w:val="single" w:sz="4" w:space="0" w:color="auto"/>
            </w:tcBorders>
            <w:shd w:val="clear" w:color="auto" w:fill="auto"/>
            <w:vAlign w:val="center"/>
          </w:tcPr>
          <w:p w14:paraId="5BE6D515"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气体</w:t>
            </w:r>
          </w:p>
        </w:tc>
        <w:tc>
          <w:tcPr>
            <w:tcW w:w="998" w:type="pct"/>
            <w:tcBorders>
              <w:top w:val="single" w:sz="4" w:space="0" w:color="auto"/>
              <w:left w:val="single" w:sz="4" w:space="0" w:color="auto"/>
              <w:bottom w:val="single" w:sz="4" w:space="0" w:color="auto"/>
              <w:right w:val="single" w:sz="4" w:space="0" w:color="auto"/>
            </w:tcBorders>
            <w:shd w:val="clear" w:color="auto" w:fill="auto"/>
            <w:vAlign w:val="center"/>
          </w:tcPr>
          <w:p w14:paraId="418969C2"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0.00183</w:t>
            </w:r>
          </w:p>
        </w:tc>
        <w:tc>
          <w:tcPr>
            <w:tcW w:w="998" w:type="pct"/>
            <w:tcBorders>
              <w:top w:val="single" w:sz="4" w:space="0" w:color="auto"/>
              <w:left w:val="single" w:sz="4" w:space="0" w:color="auto"/>
              <w:bottom w:val="single" w:sz="4" w:space="0" w:color="auto"/>
              <w:right w:val="single" w:sz="4" w:space="0" w:color="auto"/>
            </w:tcBorders>
            <w:shd w:val="clear" w:color="auto" w:fill="auto"/>
            <w:noWrap/>
            <w:vAlign w:val="center"/>
          </w:tcPr>
          <w:p w14:paraId="4FAB1D3B"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 xml:space="preserve">0.00045 </w:t>
            </w:r>
          </w:p>
        </w:tc>
        <w:tc>
          <w:tcPr>
            <w:tcW w:w="89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728D2D88"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 xml:space="preserve">0.00356 </w:t>
            </w:r>
          </w:p>
        </w:tc>
      </w:tr>
      <w:tr w:rsidR="008A2411" w:rsidRPr="008A2411" w14:paraId="30AFC0C4" w14:textId="77777777">
        <w:trPr>
          <w:trHeight w:val="312"/>
        </w:trPr>
        <w:tc>
          <w:tcPr>
            <w:tcW w:w="702" w:type="pct"/>
            <w:vMerge/>
            <w:tcBorders>
              <w:top w:val="single" w:sz="4" w:space="0" w:color="auto"/>
              <w:left w:val="single" w:sz="4" w:space="0" w:color="auto"/>
              <w:bottom w:val="single" w:sz="4" w:space="0" w:color="auto"/>
              <w:right w:val="single" w:sz="4" w:space="0" w:color="auto"/>
            </w:tcBorders>
            <w:shd w:val="clear" w:color="auto" w:fill="auto"/>
            <w:vAlign w:val="center"/>
          </w:tcPr>
          <w:p w14:paraId="2834AA6C" w14:textId="77777777" w:rsidR="00B0005F" w:rsidRPr="008A2411" w:rsidRDefault="00B0005F">
            <w:pPr>
              <w:jc w:val="center"/>
              <w:rPr>
                <w:rFonts w:ascii="Times New Roman"/>
                <w:color w:val="000000" w:themeColor="text1"/>
                <w:sz w:val="21"/>
                <w:szCs w:val="21"/>
              </w:rPr>
            </w:pPr>
          </w:p>
        </w:tc>
        <w:tc>
          <w:tcPr>
            <w:tcW w:w="702" w:type="pct"/>
            <w:tcBorders>
              <w:top w:val="single" w:sz="4" w:space="0" w:color="auto"/>
              <w:left w:val="single" w:sz="4" w:space="0" w:color="auto"/>
              <w:bottom w:val="single" w:sz="4" w:space="0" w:color="auto"/>
              <w:right w:val="single" w:sz="4" w:space="0" w:color="auto"/>
            </w:tcBorders>
            <w:shd w:val="clear" w:color="auto" w:fill="auto"/>
            <w:vAlign w:val="center"/>
          </w:tcPr>
          <w:p w14:paraId="077ACC80"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44</w:t>
            </w:r>
          </w:p>
        </w:tc>
        <w:tc>
          <w:tcPr>
            <w:tcW w:w="702" w:type="pct"/>
            <w:tcBorders>
              <w:top w:val="single" w:sz="4" w:space="0" w:color="auto"/>
              <w:left w:val="single" w:sz="4" w:space="0" w:color="auto"/>
              <w:bottom w:val="single" w:sz="4" w:space="0" w:color="auto"/>
              <w:right w:val="single" w:sz="4" w:space="0" w:color="auto"/>
            </w:tcBorders>
            <w:shd w:val="clear" w:color="auto" w:fill="auto"/>
            <w:vAlign w:val="center"/>
          </w:tcPr>
          <w:p w14:paraId="0D04071F"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重质液体</w:t>
            </w:r>
          </w:p>
        </w:tc>
        <w:tc>
          <w:tcPr>
            <w:tcW w:w="998" w:type="pct"/>
            <w:tcBorders>
              <w:top w:val="single" w:sz="4" w:space="0" w:color="auto"/>
              <w:left w:val="single" w:sz="4" w:space="0" w:color="auto"/>
              <w:bottom w:val="single" w:sz="4" w:space="0" w:color="auto"/>
              <w:right w:val="single" w:sz="4" w:space="0" w:color="auto"/>
            </w:tcBorders>
            <w:shd w:val="clear" w:color="auto" w:fill="auto"/>
            <w:vAlign w:val="center"/>
          </w:tcPr>
          <w:p w14:paraId="6E91E1B6"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0.00183</w:t>
            </w:r>
          </w:p>
        </w:tc>
        <w:tc>
          <w:tcPr>
            <w:tcW w:w="998"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D8CFED2"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 xml:space="preserve">0.05234 </w:t>
            </w:r>
          </w:p>
        </w:tc>
        <w:tc>
          <w:tcPr>
            <w:tcW w:w="89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5518BA4B"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 xml:space="preserve">0.41870 </w:t>
            </w:r>
          </w:p>
        </w:tc>
      </w:tr>
      <w:tr w:rsidR="008A2411" w:rsidRPr="008A2411" w14:paraId="342993AC" w14:textId="77777777">
        <w:trPr>
          <w:trHeight w:val="327"/>
        </w:trPr>
        <w:tc>
          <w:tcPr>
            <w:tcW w:w="702" w:type="pct"/>
            <w:tcBorders>
              <w:top w:val="single" w:sz="4" w:space="0" w:color="auto"/>
              <w:left w:val="single" w:sz="4" w:space="0" w:color="auto"/>
              <w:bottom w:val="single" w:sz="4" w:space="0" w:color="auto"/>
              <w:right w:val="single" w:sz="4" w:space="0" w:color="auto"/>
            </w:tcBorders>
            <w:shd w:val="clear" w:color="auto" w:fill="auto"/>
            <w:vAlign w:val="center"/>
          </w:tcPr>
          <w:p w14:paraId="6182D9CC"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采样连接</w:t>
            </w:r>
          </w:p>
        </w:tc>
        <w:tc>
          <w:tcPr>
            <w:tcW w:w="702" w:type="pct"/>
            <w:tcBorders>
              <w:top w:val="single" w:sz="4" w:space="0" w:color="auto"/>
              <w:left w:val="single" w:sz="4" w:space="0" w:color="auto"/>
              <w:bottom w:val="single" w:sz="4" w:space="0" w:color="auto"/>
              <w:right w:val="single" w:sz="4" w:space="0" w:color="auto"/>
            </w:tcBorders>
            <w:shd w:val="clear" w:color="auto" w:fill="auto"/>
            <w:vAlign w:val="center"/>
          </w:tcPr>
          <w:p w14:paraId="73EA4298"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6</w:t>
            </w:r>
          </w:p>
        </w:tc>
        <w:tc>
          <w:tcPr>
            <w:tcW w:w="702" w:type="pct"/>
            <w:tcBorders>
              <w:top w:val="single" w:sz="4" w:space="0" w:color="auto"/>
              <w:left w:val="single" w:sz="4" w:space="0" w:color="auto"/>
              <w:bottom w:val="single" w:sz="4" w:space="0" w:color="auto"/>
              <w:right w:val="single" w:sz="4" w:space="0" w:color="auto"/>
            </w:tcBorders>
            <w:shd w:val="clear" w:color="auto" w:fill="auto"/>
            <w:vAlign w:val="center"/>
          </w:tcPr>
          <w:p w14:paraId="7D09B91A"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气体</w:t>
            </w:r>
          </w:p>
        </w:tc>
        <w:tc>
          <w:tcPr>
            <w:tcW w:w="998" w:type="pct"/>
            <w:tcBorders>
              <w:top w:val="single" w:sz="4" w:space="0" w:color="auto"/>
              <w:left w:val="single" w:sz="4" w:space="0" w:color="auto"/>
              <w:bottom w:val="single" w:sz="4" w:space="0" w:color="auto"/>
              <w:right w:val="single" w:sz="4" w:space="0" w:color="auto"/>
            </w:tcBorders>
            <w:shd w:val="clear" w:color="auto" w:fill="auto"/>
            <w:vAlign w:val="center"/>
          </w:tcPr>
          <w:p w14:paraId="790F0C42"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0.015</w:t>
            </w:r>
          </w:p>
        </w:tc>
        <w:tc>
          <w:tcPr>
            <w:tcW w:w="998" w:type="pct"/>
            <w:tcBorders>
              <w:top w:val="single" w:sz="4" w:space="0" w:color="auto"/>
              <w:left w:val="single" w:sz="4" w:space="0" w:color="auto"/>
              <w:bottom w:val="single" w:sz="4" w:space="0" w:color="auto"/>
              <w:right w:val="single" w:sz="4" w:space="0" w:color="auto"/>
            </w:tcBorders>
            <w:shd w:val="clear" w:color="auto" w:fill="auto"/>
            <w:noWrap/>
            <w:vAlign w:val="center"/>
          </w:tcPr>
          <w:p w14:paraId="51563CE2"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 xml:space="preserve">0.00012 </w:t>
            </w:r>
          </w:p>
        </w:tc>
        <w:tc>
          <w:tcPr>
            <w:tcW w:w="89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746A7C25"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 xml:space="preserve">0.00093 </w:t>
            </w:r>
          </w:p>
        </w:tc>
      </w:tr>
      <w:tr w:rsidR="00B0005F" w:rsidRPr="008A2411" w14:paraId="22903C54" w14:textId="77777777">
        <w:trPr>
          <w:trHeight w:val="327"/>
        </w:trPr>
        <w:tc>
          <w:tcPr>
            <w:tcW w:w="702" w:type="pct"/>
            <w:tcBorders>
              <w:top w:val="single" w:sz="4" w:space="0" w:color="auto"/>
              <w:left w:val="single" w:sz="4" w:space="0" w:color="auto"/>
              <w:bottom w:val="single" w:sz="4" w:space="0" w:color="auto"/>
              <w:right w:val="single" w:sz="4" w:space="0" w:color="auto"/>
            </w:tcBorders>
            <w:shd w:val="clear" w:color="auto" w:fill="auto"/>
            <w:noWrap/>
            <w:vAlign w:val="center"/>
          </w:tcPr>
          <w:p w14:paraId="3A130D9E"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合计</w:t>
            </w:r>
          </w:p>
        </w:tc>
        <w:tc>
          <w:tcPr>
            <w:tcW w:w="702" w:type="pct"/>
            <w:tcBorders>
              <w:top w:val="single" w:sz="4" w:space="0" w:color="auto"/>
              <w:left w:val="single" w:sz="4" w:space="0" w:color="auto"/>
              <w:bottom w:val="single" w:sz="4" w:space="0" w:color="auto"/>
              <w:right w:val="single" w:sz="4" w:space="0" w:color="auto"/>
            </w:tcBorders>
            <w:shd w:val="clear" w:color="auto" w:fill="auto"/>
            <w:noWrap/>
            <w:vAlign w:val="center"/>
          </w:tcPr>
          <w:p w14:paraId="07FE41F7"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265</w:t>
            </w:r>
          </w:p>
        </w:tc>
        <w:tc>
          <w:tcPr>
            <w:tcW w:w="702" w:type="pct"/>
            <w:tcBorders>
              <w:top w:val="single" w:sz="4" w:space="0" w:color="auto"/>
              <w:left w:val="single" w:sz="4" w:space="0" w:color="auto"/>
              <w:bottom w:val="single" w:sz="4" w:space="0" w:color="auto"/>
              <w:right w:val="single" w:sz="4" w:space="0" w:color="auto"/>
            </w:tcBorders>
            <w:shd w:val="clear" w:color="auto" w:fill="auto"/>
            <w:noWrap/>
            <w:vAlign w:val="center"/>
          </w:tcPr>
          <w:p w14:paraId="403552DC"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w:t>
            </w:r>
          </w:p>
        </w:tc>
        <w:tc>
          <w:tcPr>
            <w:tcW w:w="998" w:type="pct"/>
            <w:tcBorders>
              <w:top w:val="single" w:sz="4" w:space="0" w:color="auto"/>
              <w:left w:val="single" w:sz="4" w:space="0" w:color="auto"/>
              <w:bottom w:val="single" w:sz="4" w:space="0" w:color="auto"/>
              <w:right w:val="single" w:sz="4" w:space="0" w:color="auto"/>
            </w:tcBorders>
            <w:shd w:val="clear" w:color="auto" w:fill="auto"/>
            <w:noWrap/>
            <w:vAlign w:val="center"/>
          </w:tcPr>
          <w:p w14:paraId="58B88941"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w:t>
            </w:r>
          </w:p>
        </w:tc>
        <w:tc>
          <w:tcPr>
            <w:tcW w:w="998" w:type="pct"/>
            <w:tcBorders>
              <w:top w:val="single" w:sz="4" w:space="0" w:color="auto"/>
              <w:left w:val="single" w:sz="4" w:space="0" w:color="auto"/>
              <w:bottom w:val="single" w:sz="4" w:space="0" w:color="auto"/>
              <w:right w:val="single" w:sz="4" w:space="0" w:color="auto"/>
            </w:tcBorders>
            <w:shd w:val="clear" w:color="auto" w:fill="auto"/>
            <w:noWrap/>
            <w:vAlign w:val="center"/>
          </w:tcPr>
          <w:p w14:paraId="3A765975"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 xml:space="preserve">0.09786 </w:t>
            </w:r>
          </w:p>
        </w:tc>
        <w:tc>
          <w:tcPr>
            <w:tcW w:w="89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952A4FC"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 xml:space="preserve">0.78289 </w:t>
            </w:r>
          </w:p>
        </w:tc>
      </w:tr>
    </w:tbl>
    <w:p w14:paraId="126721C2" w14:textId="77777777" w:rsidR="00B0005F" w:rsidRPr="008A2411" w:rsidRDefault="00B0005F">
      <w:pPr>
        <w:adjustRightInd w:val="0"/>
        <w:snapToGrid w:val="0"/>
        <w:spacing w:line="360" w:lineRule="auto"/>
        <w:ind w:firstLine="480"/>
        <w:rPr>
          <w:rFonts w:ascii="Times New Roman"/>
          <w:color w:val="000000" w:themeColor="text1"/>
          <w:szCs w:val="24"/>
        </w:rPr>
      </w:pPr>
    </w:p>
    <w:p w14:paraId="1986CEA5" w14:textId="77777777" w:rsidR="00B0005F" w:rsidRPr="008A2411" w:rsidRDefault="00000000">
      <w:pPr>
        <w:adjustRightInd w:val="0"/>
        <w:snapToGrid w:val="0"/>
        <w:spacing w:line="360" w:lineRule="auto"/>
        <w:ind w:firstLine="480"/>
        <w:rPr>
          <w:rFonts w:ascii="Times New Roman"/>
          <w:color w:val="000000" w:themeColor="text1"/>
          <w:szCs w:val="24"/>
        </w:rPr>
      </w:pPr>
      <w:r w:rsidRPr="008A2411">
        <w:rPr>
          <w:rFonts w:ascii="Times New Roman"/>
          <w:color w:val="000000" w:themeColor="text1"/>
          <w:szCs w:val="24"/>
        </w:rPr>
        <w:t>项目废气产生及治理见表</w:t>
      </w:r>
      <w:r w:rsidRPr="008A2411">
        <w:rPr>
          <w:rFonts w:ascii="Times New Roman"/>
          <w:color w:val="000000" w:themeColor="text1"/>
          <w:szCs w:val="24"/>
        </w:rPr>
        <w:t>3.2-13</w:t>
      </w:r>
      <w:r w:rsidRPr="008A2411">
        <w:rPr>
          <w:rFonts w:ascii="Times New Roman"/>
          <w:color w:val="000000" w:themeColor="text1"/>
          <w:szCs w:val="24"/>
        </w:rPr>
        <w:t>。</w:t>
      </w:r>
    </w:p>
    <w:p w14:paraId="63B24823" w14:textId="77777777" w:rsidR="00B0005F" w:rsidRPr="008A2411" w:rsidRDefault="00000000">
      <w:pPr>
        <w:jc w:val="center"/>
        <w:rPr>
          <w:rFonts w:ascii="Times New Roman" w:eastAsia="黑体"/>
          <w:color w:val="000000" w:themeColor="text1"/>
          <w:szCs w:val="21"/>
        </w:rPr>
      </w:pPr>
      <w:r w:rsidRPr="008A2411">
        <w:rPr>
          <w:rFonts w:ascii="Times New Roman" w:eastAsia="黑体"/>
          <w:color w:val="000000" w:themeColor="text1"/>
          <w:szCs w:val="21"/>
        </w:rPr>
        <w:t>表</w:t>
      </w:r>
      <w:r w:rsidRPr="008A2411">
        <w:rPr>
          <w:rFonts w:ascii="Times New Roman" w:eastAsia="黑体"/>
          <w:color w:val="000000" w:themeColor="text1"/>
          <w:szCs w:val="21"/>
        </w:rPr>
        <w:t xml:space="preserve">3.2-13  </w:t>
      </w:r>
      <w:r w:rsidRPr="008A2411">
        <w:rPr>
          <w:rFonts w:ascii="Times New Roman" w:eastAsia="黑体"/>
          <w:color w:val="000000" w:themeColor="text1"/>
          <w:szCs w:val="21"/>
        </w:rPr>
        <w:t>项目废气产生及处理设施</w:t>
      </w:r>
    </w:p>
    <w:tbl>
      <w:tblPr>
        <w:tblW w:w="511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4"/>
        <w:gridCol w:w="578"/>
        <w:gridCol w:w="761"/>
        <w:gridCol w:w="739"/>
        <w:gridCol w:w="1739"/>
        <w:gridCol w:w="734"/>
        <w:gridCol w:w="734"/>
        <w:gridCol w:w="1566"/>
        <w:gridCol w:w="1245"/>
      </w:tblGrid>
      <w:tr w:rsidR="008A2411" w:rsidRPr="008A2411" w14:paraId="5221F5FB" w14:textId="77777777">
        <w:trPr>
          <w:trHeight w:val="341"/>
          <w:tblHeader/>
          <w:jc w:val="center"/>
        </w:trPr>
        <w:tc>
          <w:tcPr>
            <w:tcW w:w="357" w:type="pct"/>
            <w:vAlign w:val="center"/>
          </w:tcPr>
          <w:p w14:paraId="49864965" w14:textId="77777777" w:rsidR="00B0005F" w:rsidRPr="008A2411" w:rsidRDefault="00000000">
            <w:pPr>
              <w:pStyle w:val="WJ4"/>
              <w:rPr>
                <w:rFonts w:ascii="Times New Roman" w:hAnsi="Times New Roman"/>
                <w:color w:val="000000" w:themeColor="text1"/>
              </w:rPr>
            </w:pPr>
            <w:r w:rsidRPr="008A2411">
              <w:rPr>
                <w:rFonts w:ascii="Times New Roman" w:hAnsi="Times New Roman"/>
                <w:color w:val="000000" w:themeColor="text1"/>
              </w:rPr>
              <w:t>废气类型</w:t>
            </w:r>
          </w:p>
        </w:tc>
        <w:tc>
          <w:tcPr>
            <w:tcW w:w="331" w:type="pct"/>
            <w:tcBorders>
              <w:left w:val="single" w:sz="4" w:space="0" w:color="auto"/>
            </w:tcBorders>
            <w:vAlign w:val="center"/>
          </w:tcPr>
          <w:p w14:paraId="3FBA89FF" w14:textId="77777777" w:rsidR="00B0005F" w:rsidRPr="008A2411" w:rsidRDefault="00000000">
            <w:pPr>
              <w:pStyle w:val="WJ4"/>
              <w:rPr>
                <w:rFonts w:ascii="Times New Roman" w:hAnsi="Times New Roman"/>
                <w:color w:val="000000" w:themeColor="text1"/>
              </w:rPr>
            </w:pPr>
            <w:r w:rsidRPr="008A2411">
              <w:rPr>
                <w:rFonts w:ascii="Times New Roman" w:hAnsi="Times New Roman"/>
                <w:color w:val="000000" w:themeColor="text1"/>
              </w:rPr>
              <w:t>排气筒编号</w:t>
            </w:r>
          </w:p>
        </w:tc>
        <w:tc>
          <w:tcPr>
            <w:tcW w:w="436" w:type="pct"/>
            <w:vAlign w:val="center"/>
          </w:tcPr>
          <w:p w14:paraId="724CE176" w14:textId="77777777" w:rsidR="00B0005F" w:rsidRPr="008A2411" w:rsidRDefault="00000000">
            <w:pPr>
              <w:pStyle w:val="WJ4"/>
              <w:rPr>
                <w:rFonts w:ascii="Times New Roman" w:hAnsi="Times New Roman"/>
                <w:color w:val="000000" w:themeColor="text1"/>
              </w:rPr>
            </w:pPr>
            <w:r w:rsidRPr="008A2411">
              <w:rPr>
                <w:rFonts w:ascii="Times New Roman" w:hAnsi="Times New Roman"/>
                <w:color w:val="000000" w:themeColor="text1"/>
              </w:rPr>
              <w:t>排放源</w:t>
            </w:r>
          </w:p>
        </w:tc>
        <w:tc>
          <w:tcPr>
            <w:tcW w:w="423" w:type="pct"/>
            <w:vAlign w:val="center"/>
          </w:tcPr>
          <w:p w14:paraId="0A72664E" w14:textId="77777777" w:rsidR="00B0005F" w:rsidRPr="008A2411" w:rsidRDefault="00000000">
            <w:pPr>
              <w:pStyle w:val="WJ4"/>
              <w:rPr>
                <w:rFonts w:ascii="Times New Roman" w:hAnsi="Times New Roman"/>
                <w:color w:val="000000" w:themeColor="text1"/>
              </w:rPr>
            </w:pPr>
            <w:r w:rsidRPr="008A2411">
              <w:rPr>
                <w:rFonts w:ascii="Times New Roman" w:hAnsi="Times New Roman"/>
                <w:color w:val="000000" w:themeColor="text1"/>
              </w:rPr>
              <w:t>废气量</w:t>
            </w:r>
          </w:p>
          <w:p w14:paraId="61CB6A51" w14:textId="77777777" w:rsidR="00B0005F" w:rsidRPr="008A2411" w:rsidRDefault="00000000">
            <w:pPr>
              <w:pStyle w:val="WJ4"/>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m</w:t>
            </w:r>
            <w:r w:rsidRPr="008A2411">
              <w:rPr>
                <w:rFonts w:ascii="Times New Roman" w:hAnsi="Times New Roman"/>
                <w:color w:val="000000" w:themeColor="text1"/>
                <w:vertAlign w:val="superscript"/>
              </w:rPr>
              <w:t>3</w:t>
            </w:r>
            <w:r w:rsidRPr="008A2411">
              <w:rPr>
                <w:rFonts w:ascii="Times New Roman" w:hAnsi="Times New Roman"/>
                <w:color w:val="000000" w:themeColor="text1"/>
              </w:rPr>
              <w:t>/h</w:t>
            </w:r>
            <w:r w:rsidRPr="008A2411">
              <w:rPr>
                <w:rFonts w:ascii="Times New Roman" w:hAnsi="Times New Roman"/>
                <w:color w:val="000000" w:themeColor="text1"/>
              </w:rPr>
              <w:t>）</w:t>
            </w:r>
          </w:p>
        </w:tc>
        <w:tc>
          <w:tcPr>
            <w:tcW w:w="996" w:type="pct"/>
            <w:vAlign w:val="center"/>
          </w:tcPr>
          <w:p w14:paraId="53BA972B" w14:textId="77777777" w:rsidR="00B0005F" w:rsidRPr="008A2411" w:rsidRDefault="00000000">
            <w:pPr>
              <w:pStyle w:val="WJ4"/>
              <w:rPr>
                <w:rFonts w:ascii="Times New Roman" w:hAnsi="Times New Roman"/>
                <w:color w:val="000000" w:themeColor="text1"/>
              </w:rPr>
            </w:pPr>
            <w:r w:rsidRPr="008A2411">
              <w:rPr>
                <w:rFonts w:ascii="Times New Roman" w:hAnsi="Times New Roman"/>
                <w:color w:val="000000" w:themeColor="text1"/>
              </w:rPr>
              <w:t>主要污染物产生情况</w:t>
            </w:r>
          </w:p>
        </w:tc>
        <w:tc>
          <w:tcPr>
            <w:tcW w:w="421" w:type="pct"/>
            <w:vAlign w:val="center"/>
          </w:tcPr>
          <w:p w14:paraId="38461C1F" w14:textId="77777777" w:rsidR="00B0005F" w:rsidRPr="008A2411" w:rsidRDefault="00000000">
            <w:pPr>
              <w:pStyle w:val="WJ4"/>
              <w:rPr>
                <w:rFonts w:ascii="Times New Roman" w:hAnsi="Times New Roman"/>
                <w:color w:val="000000" w:themeColor="text1"/>
              </w:rPr>
            </w:pPr>
            <w:r w:rsidRPr="008A2411">
              <w:rPr>
                <w:rFonts w:ascii="Times New Roman" w:hAnsi="Times New Roman"/>
                <w:color w:val="000000" w:themeColor="text1"/>
              </w:rPr>
              <w:t>处理措施</w:t>
            </w:r>
          </w:p>
        </w:tc>
        <w:tc>
          <w:tcPr>
            <w:tcW w:w="421" w:type="pct"/>
            <w:vAlign w:val="center"/>
          </w:tcPr>
          <w:p w14:paraId="74B1A062" w14:textId="77777777" w:rsidR="00B0005F" w:rsidRPr="008A2411" w:rsidRDefault="00000000">
            <w:pPr>
              <w:pStyle w:val="WJ4"/>
              <w:rPr>
                <w:rFonts w:ascii="Times New Roman" w:hAnsi="Times New Roman"/>
                <w:color w:val="000000" w:themeColor="text1"/>
              </w:rPr>
            </w:pPr>
            <w:r w:rsidRPr="008A2411">
              <w:rPr>
                <w:rFonts w:ascii="Times New Roman" w:hAnsi="Times New Roman"/>
                <w:color w:val="000000" w:themeColor="text1"/>
              </w:rPr>
              <w:t>措施治理效率</w:t>
            </w:r>
          </w:p>
        </w:tc>
        <w:tc>
          <w:tcPr>
            <w:tcW w:w="897" w:type="pct"/>
            <w:vAlign w:val="center"/>
          </w:tcPr>
          <w:p w14:paraId="5D62C89C" w14:textId="77777777" w:rsidR="00B0005F" w:rsidRPr="008A2411" w:rsidRDefault="00000000">
            <w:pPr>
              <w:pStyle w:val="WJ4"/>
              <w:rPr>
                <w:rFonts w:ascii="Times New Roman" w:hAnsi="Times New Roman"/>
                <w:color w:val="000000" w:themeColor="text1"/>
              </w:rPr>
            </w:pPr>
            <w:r w:rsidRPr="008A2411">
              <w:rPr>
                <w:rFonts w:ascii="Times New Roman" w:hAnsi="Times New Roman"/>
                <w:color w:val="000000" w:themeColor="text1"/>
              </w:rPr>
              <w:t>治理后的排放量（</w:t>
            </w:r>
            <w:r w:rsidRPr="008A2411">
              <w:rPr>
                <w:rFonts w:ascii="Times New Roman" w:hAnsi="Times New Roman"/>
                <w:color w:val="000000" w:themeColor="text1"/>
              </w:rPr>
              <w:t>kg/h</w:t>
            </w:r>
            <w:r w:rsidRPr="008A2411">
              <w:rPr>
                <w:rFonts w:ascii="Times New Roman" w:hAnsi="Times New Roman"/>
                <w:color w:val="000000" w:themeColor="text1"/>
              </w:rPr>
              <w:t>）</w:t>
            </w:r>
          </w:p>
        </w:tc>
        <w:tc>
          <w:tcPr>
            <w:tcW w:w="713" w:type="pct"/>
            <w:vAlign w:val="center"/>
          </w:tcPr>
          <w:p w14:paraId="31B6F000" w14:textId="77777777" w:rsidR="00B0005F" w:rsidRPr="008A2411" w:rsidRDefault="00000000">
            <w:pPr>
              <w:pStyle w:val="WJ4"/>
              <w:rPr>
                <w:rFonts w:ascii="Times New Roman" w:hAnsi="Times New Roman"/>
                <w:color w:val="000000" w:themeColor="text1"/>
              </w:rPr>
            </w:pPr>
            <w:r w:rsidRPr="008A2411">
              <w:rPr>
                <w:rFonts w:ascii="Times New Roman" w:hAnsi="Times New Roman"/>
                <w:color w:val="000000" w:themeColor="text1"/>
              </w:rPr>
              <w:t>排放方式</w:t>
            </w:r>
          </w:p>
        </w:tc>
      </w:tr>
      <w:tr w:rsidR="008A2411" w:rsidRPr="008A2411" w14:paraId="50714664" w14:textId="77777777">
        <w:trPr>
          <w:trHeight w:val="330"/>
          <w:jc w:val="center"/>
        </w:trPr>
        <w:tc>
          <w:tcPr>
            <w:tcW w:w="357" w:type="pct"/>
            <w:vAlign w:val="center"/>
          </w:tcPr>
          <w:p w14:paraId="7BE6910C"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color w:val="000000" w:themeColor="text1"/>
              </w:rPr>
              <w:t>G1</w:t>
            </w:r>
          </w:p>
        </w:tc>
        <w:tc>
          <w:tcPr>
            <w:tcW w:w="331" w:type="pct"/>
            <w:tcBorders>
              <w:left w:val="single" w:sz="4" w:space="0" w:color="auto"/>
            </w:tcBorders>
            <w:vAlign w:val="center"/>
          </w:tcPr>
          <w:p w14:paraId="575764A8"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color w:val="000000" w:themeColor="text1"/>
              </w:rPr>
              <w:t>无</w:t>
            </w:r>
          </w:p>
        </w:tc>
        <w:tc>
          <w:tcPr>
            <w:tcW w:w="436" w:type="pct"/>
            <w:vAlign w:val="center"/>
          </w:tcPr>
          <w:p w14:paraId="4EBD5F11" w14:textId="77777777" w:rsidR="00B0005F" w:rsidRPr="008A2411" w:rsidRDefault="00000000">
            <w:pPr>
              <w:pStyle w:val="WJ5"/>
              <w:spacing w:line="320" w:lineRule="exact"/>
              <w:rPr>
                <w:rFonts w:ascii="Times New Roman" w:hAnsi="Times New Roman"/>
                <w:color w:val="000000" w:themeColor="text1"/>
              </w:rPr>
            </w:pPr>
            <w:proofErr w:type="gramStart"/>
            <w:r w:rsidRPr="008A2411">
              <w:rPr>
                <w:rFonts w:ascii="Times New Roman" w:hAnsi="Times New Roman"/>
                <w:color w:val="000000" w:themeColor="text1"/>
              </w:rPr>
              <w:t>胺液闪蒸</w:t>
            </w:r>
            <w:proofErr w:type="gramEnd"/>
            <w:r w:rsidRPr="008A2411">
              <w:rPr>
                <w:rFonts w:ascii="Times New Roman" w:hAnsi="Times New Roman"/>
                <w:color w:val="000000" w:themeColor="text1"/>
              </w:rPr>
              <w:t>罐</w:t>
            </w:r>
          </w:p>
        </w:tc>
        <w:tc>
          <w:tcPr>
            <w:tcW w:w="423" w:type="pct"/>
            <w:vAlign w:val="center"/>
          </w:tcPr>
          <w:p w14:paraId="51F4E771"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color w:val="000000" w:themeColor="text1"/>
              </w:rPr>
              <w:t>1500</w:t>
            </w:r>
          </w:p>
        </w:tc>
        <w:tc>
          <w:tcPr>
            <w:tcW w:w="996" w:type="pct"/>
            <w:vAlign w:val="center"/>
          </w:tcPr>
          <w:p w14:paraId="3B5FB2D7"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color w:val="000000" w:themeColor="text1"/>
              </w:rPr>
              <w:t>H</w:t>
            </w:r>
            <w:r w:rsidRPr="008A2411">
              <w:rPr>
                <w:rFonts w:ascii="Times New Roman" w:hAnsi="Times New Roman"/>
                <w:color w:val="000000" w:themeColor="text1"/>
                <w:vertAlign w:val="subscript"/>
              </w:rPr>
              <w:t>2</w:t>
            </w:r>
            <w:r w:rsidRPr="008A2411">
              <w:rPr>
                <w:rFonts w:ascii="Times New Roman" w:hAnsi="Times New Roman"/>
                <w:color w:val="000000" w:themeColor="text1"/>
              </w:rPr>
              <w:t>S</w:t>
            </w:r>
            <w:r w:rsidRPr="008A2411">
              <w:rPr>
                <w:rFonts w:ascii="Times New Roman" w:hAnsi="Times New Roman"/>
                <w:color w:val="000000" w:themeColor="text1"/>
              </w:rPr>
              <w:t>、</w:t>
            </w:r>
            <w:r w:rsidRPr="008A2411">
              <w:rPr>
                <w:rFonts w:ascii="Times New Roman" w:hAnsi="Times New Roman"/>
                <w:color w:val="000000" w:themeColor="text1"/>
              </w:rPr>
              <w:t>CO</w:t>
            </w:r>
            <w:r w:rsidRPr="008A2411">
              <w:rPr>
                <w:rFonts w:ascii="Times New Roman" w:hAnsi="Times New Roman"/>
                <w:color w:val="000000" w:themeColor="text1"/>
                <w:vertAlign w:val="subscript"/>
              </w:rPr>
              <w:t>2</w:t>
            </w:r>
            <w:r w:rsidRPr="008A2411">
              <w:rPr>
                <w:rFonts w:ascii="Times New Roman" w:hAnsi="Times New Roman"/>
                <w:color w:val="000000" w:themeColor="text1"/>
              </w:rPr>
              <w:t>、甲烷及其它烃类等</w:t>
            </w:r>
          </w:p>
        </w:tc>
        <w:tc>
          <w:tcPr>
            <w:tcW w:w="421" w:type="pct"/>
            <w:vAlign w:val="center"/>
          </w:tcPr>
          <w:p w14:paraId="615CC54F"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color w:val="000000" w:themeColor="text1"/>
              </w:rPr>
              <w:t>去燃料系统</w:t>
            </w:r>
          </w:p>
        </w:tc>
        <w:tc>
          <w:tcPr>
            <w:tcW w:w="421" w:type="pct"/>
            <w:vAlign w:val="center"/>
          </w:tcPr>
          <w:p w14:paraId="3F0A546C"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color w:val="000000" w:themeColor="text1"/>
              </w:rPr>
              <w:t>/</w:t>
            </w:r>
          </w:p>
        </w:tc>
        <w:tc>
          <w:tcPr>
            <w:tcW w:w="897" w:type="pct"/>
            <w:vAlign w:val="center"/>
          </w:tcPr>
          <w:p w14:paraId="0A557C38"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color w:val="000000" w:themeColor="text1"/>
              </w:rPr>
              <w:t>/</w:t>
            </w:r>
          </w:p>
        </w:tc>
        <w:tc>
          <w:tcPr>
            <w:tcW w:w="713" w:type="pct"/>
            <w:vAlign w:val="center"/>
          </w:tcPr>
          <w:p w14:paraId="0C8B20AD"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color w:val="000000" w:themeColor="text1"/>
              </w:rPr>
              <w:t>/</w:t>
            </w:r>
          </w:p>
        </w:tc>
      </w:tr>
      <w:tr w:rsidR="008A2411" w:rsidRPr="008A2411" w14:paraId="1EDB3FF1" w14:textId="77777777">
        <w:trPr>
          <w:trHeight w:val="330"/>
          <w:jc w:val="center"/>
        </w:trPr>
        <w:tc>
          <w:tcPr>
            <w:tcW w:w="357" w:type="pct"/>
            <w:vAlign w:val="center"/>
          </w:tcPr>
          <w:p w14:paraId="24A6575A"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color w:val="000000" w:themeColor="text1"/>
              </w:rPr>
              <w:t>G2</w:t>
            </w:r>
          </w:p>
        </w:tc>
        <w:tc>
          <w:tcPr>
            <w:tcW w:w="331" w:type="pct"/>
            <w:tcBorders>
              <w:left w:val="single" w:sz="4" w:space="0" w:color="auto"/>
            </w:tcBorders>
            <w:vAlign w:val="center"/>
          </w:tcPr>
          <w:p w14:paraId="1C71D630"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color w:val="000000" w:themeColor="text1"/>
              </w:rPr>
              <w:t>P1</w:t>
            </w:r>
          </w:p>
        </w:tc>
        <w:tc>
          <w:tcPr>
            <w:tcW w:w="436" w:type="pct"/>
            <w:vAlign w:val="center"/>
          </w:tcPr>
          <w:p w14:paraId="5632B5A5"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color w:val="000000" w:themeColor="text1"/>
              </w:rPr>
              <w:t>脱硫塔</w:t>
            </w:r>
          </w:p>
        </w:tc>
        <w:tc>
          <w:tcPr>
            <w:tcW w:w="423" w:type="pct"/>
            <w:vAlign w:val="center"/>
          </w:tcPr>
          <w:p w14:paraId="726F5C58"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color w:val="000000" w:themeColor="text1"/>
              </w:rPr>
              <w:t>6000</w:t>
            </w:r>
          </w:p>
        </w:tc>
        <w:tc>
          <w:tcPr>
            <w:tcW w:w="996" w:type="pct"/>
            <w:vAlign w:val="center"/>
          </w:tcPr>
          <w:p w14:paraId="3536A144"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color w:val="000000" w:themeColor="text1"/>
              </w:rPr>
              <w:t>H</w:t>
            </w:r>
            <w:r w:rsidRPr="008A2411">
              <w:rPr>
                <w:rFonts w:ascii="Times New Roman" w:hAnsi="Times New Roman"/>
                <w:color w:val="000000" w:themeColor="text1"/>
                <w:vertAlign w:val="subscript"/>
              </w:rPr>
              <w:t>2</w:t>
            </w:r>
            <w:r w:rsidRPr="008A2411">
              <w:rPr>
                <w:rFonts w:ascii="Times New Roman" w:hAnsi="Times New Roman"/>
                <w:color w:val="000000" w:themeColor="text1"/>
              </w:rPr>
              <w:t>S</w:t>
            </w:r>
            <w:r w:rsidRPr="008A2411">
              <w:rPr>
                <w:rFonts w:ascii="Times New Roman" w:hAnsi="Times New Roman"/>
                <w:color w:val="000000" w:themeColor="text1"/>
              </w:rPr>
              <w:t>：（</w:t>
            </w:r>
            <w:r w:rsidRPr="008A2411">
              <w:rPr>
                <w:rFonts w:ascii="Times New Roman" w:hAnsi="Times New Roman"/>
                <w:color w:val="000000" w:themeColor="text1"/>
              </w:rPr>
              <w:t>1.25mg/m</w:t>
            </w:r>
            <w:r w:rsidRPr="008A2411">
              <w:rPr>
                <w:rFonts w:ascii="Times New Roman" w:hAnsi="Times New Roman"/>
                <w:color w:val="000000" w:themeColor="text1"/>
                <w:vertAlign w:val="superscript"/>
              </w:rPr>
              <w:t>3</w:t>
            </w:r>
            <w:r w:rsidRPr="008A2411">
              <w:rPr>
                <w:rFonts w:ascii="Times New Roman" w:hAnsi="Times New Roman"/>
                <w:color w:val="000000" w:themeColor="text1"/>
              </w:rPr>
              <w:t>；</w:t>
            </w:r>
            <w:r w:rsidRPr="008A2411">
              <w:rPr>
                <w:rFonts w:ascii="Times New Roman" w:hAnsi="Times New Roman"/>
                <w:color w:val="000000" w:themeColor="text1"/>
              </w:rPr>
              <w:t>0.075kg/h</w:t>
            </w:r>
            <w:r w:rsidRPr="008A2411">
              <w:rPr>
                <w:rFonts w:ascii="Times New Roman" w:hAnsi="Times New Roman"/>
                <w:color w:val="000000" w:themeColor="text1"/>
              </w:rPr>
              <w:t>）；</w:t>
            </w:r>
          </w:p>
          <w:p w14:paraId="0BD58CF1" w14:textId="4064296A" w:rsidR="00B0005F" w:rsidRPr="008A2411" w:rsidRDefault="00F243D6">
            <w:pPr>
              <w:pStyle w:val="WJ5"/>
              <w:spacing w:line="320" w:lineRule="exact"/>
              <w:rPr>
                <w:rFonts w:ascii="Times New Roman" w:hAnsi="Times New Roman"/>
                <w:color w:val="000000" w:themeColor="text1"/>
              </w:rPr>
            </w:pPr>
            <w:r w:rsidRPr="008A2411">
              <w:rPr>
                <w:rFonts w:ascii="Times New Roman" w:hAnsi="Times New Roman"/>
                <w:color w:val="000000" w:themeColor="text1"/>
              </w:rPr>
              <w:t>NMHC</w:t>
            </w:r>
            <w:r w:rsidRPr="008A2411">
              <w:rPr>
                <w:rFonts w:ascii="Times New Roman" w:hAnsi="Times New Roman"/>
                <w:color w:val="000000" w:themeColor="text1"/>
              </w:rPr>
              <w:t>：（</w:t>
            </w:r>
            <w:r w:rsidRPr="008A2411">
              <w:rPr>
                <w:rFonts w:ascii="Times New Roman" w:hAnsi="Times New Roman"/>
                <w:color w:val="000000" w:themeColor="text1"/>
              </w:rPr>
              <w:t>23.3mg/m</w:t>
            </w:r>
            <w:r w:rsidRPr="008A2411">
              <w:rPr>
                <w:rFonts w:ascii="Times New Roman" w:hAnsi="Times New Roman"/>
                <w:color w:val="000000" w:themeColor="text1"/>
                <w:vertAlign w:val="superscript"/>
              </w:rPr>
              <w:t>3</w:t>
            </w:r>
            <w:r w:rsidRPr="008A2411">
              <w:rPr>
                <w:rFonts w:ascii="Times New Roman" w:hAnsi="Times New Roman"/>
                <w:color w:val="000000" w:themeColor="text1"/>
              </w:rPr>
              <w:t>；</w:t>
            </w:r>
            <w:r w:rsidRPr="008A2411">
              <w:rPr>
                <w:rFonts w:ascii="Times New Roman" w:hAnsi="Times New Roman"/>
                <w:color w:val="000000" w:themeColor="text1"/>
              </w:rPr>
              <w:t>0.1398kg/h</w:t>
            </w:r>
            <w:r w:rsidRPr="008A2411">
              <w:rPr>
                <w:rFonts w:ascii="Times New Roman" w:hAnsi="Times New Roman"/>
                <w:color w:val="000000" w:themeColor="text1"/>
              </w:rPr>
              <w:t>）</w:t>
            </w:r>
          </w:p>
        </w:tc>
        <w:tc>
          <w:tcPr>
            <w:tcW w:w="421" w:type="pct"/>
            <w:vAlign w:val="center"/>
          </w:tcPr>
          <w:p w14:paraId="1A8CA7DC"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color w:val="000000" w:themeColor="text1"/>
              </w:rPr>
              <w:t>活性炭吸附剂吸附</w:t>
            </w:r>
          </w:p>
        </w:tc>
        <w:tc>
          <w:tcPr>
            <w:tcW w:w="421" w:type="pct"/>
            <w:vAlign w:val="center"/>
          </w:tcPr>
          <w:p w14:paraId="21106024"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color w:val="000000" w:themeColor="text1"/>
              </w:rPr>
              <w:t>80%</w:t>
            </w:r>
          </w:p>
        </w:tc>
        <w:tc>
          <w:tcPr>
            <w:tcW w:w="897" w:type="pct"/>
            <w:vAlign w:val="center"/>
          </w:tcPr>
          <w:p w14:paraId="0C4507EB"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color w:val="000000" w:themeColor="text1"/>
              </w:rPr>
              <w:t>H</w:t>
            </w:r>
            <w:r w:rsidRPr="008A2411">
              <w:rPr>
                <w:rFonts w:ascii="Times New Roman" w:hAnsi="Times New Roman"/>
                <w:color w:val="000000" w:themeColor="text1"/>
                <w:vertAlign w:val="subscript"/>
              </w:rPr>
              <w:t>2</w:t>
            </w:r>
            <w:r w:rsidRPr="008A2411">
              <w:rPr>
                <w:rFonts w:ascii="Times New Roman" w:hAnsi="Times New Roman"/>
                <w:color w:val="000000" w:themeColor="text1"/>
              </w:rPr>
              <w:t>S</w:t>
            </w:r>
            <w:r w:rsidRPr="008A2411">
              <w:rPr>
                <w:rFonts w:ascii="Times New Roman" w:hAnsi="Times New Roman"/>
                <w:color w:val="000000" w:themeColor="text1"/>
              </w:rPr>
              <w:t>：（</w:t>
            </w:r>
            <w:r w:rsidRPr="008A2411">
              <w:rPr>
                <w:rFonts w:ascii="Times New Roman" w:hAnsi="Times New Roman"/>
                <w:color w:val="000000" w:themeColor="text1"/>
              </w:rPr>
              <w:t>0.25mg/m</w:t>
            </w:r>
            <w:r w:rsidRPr="008A2411">
              <w:rPr>
                <w:rFonts w:ascii="Times New Roman" w:hAnsi="Times New Roman"/>
                <w:color w:val="000000" w:themeColor="text1"/>
                <w:vertAlign w:val="superscript"/>
              </w:rPr>
              <w:t>3</w:t>
            </w:r>
            <w:r w:rsidRPr="008A2411">
              <w:rPr>
                <w:rFonts w:ascii="Times New Roman" w:hAnsi="Times New Roman"/>
                <w:color w:val="000000" w:themeColor="text1"/>
              </w:rPr>
              <w:t>；</w:t>
            </w:r>
            <w:r w:rsidRPr="008A2411">
              <w:rPr>
                <w:rFonts w:ascii="Times New Roman" w:hAnsi="Times New Roman"/>
                <w:color w:val="000000" w:themeColor="text1"/>
              </w:rPr>
              <w:t>0.0015kg/h</w:t>
            </w:r>
            <w:r w:rsidRPr="008A2411">
              <w:rPr>
                <w:rFonts w:ascii="Times New Roman" w:hAnsi="Times New Roman"/>
                <w:color w:val="000000" w:themeColor="text1"/>
              </w:rPr>
              <w:t>）；</w:t>
            </w:r>
          </w:p>
          <w:p w14:paraId="4F4D76BF" w14:textId="11B9987B" w:rsidR="00B0005F" w:rsidRPr="008A2411" w:rsidRDefault="00F243D6">
            <w:pPr>
              <w:pStyle w:val="WJ5"/>
              <w:spacing w:line="320" w:lineRule="exact"/>
              <w:rPr>
                <w:rFonts w:ascii="Times New Roman" w:hAnsi="Times New Roman"/>
                <w:color w:val="000000" w:themeColor="text1"/>
              </w:rPr>
            </w:pPr>
            <w:r w:rsidRPr="008A2411">
              <w:rPr>
                <w:rFonts w:ascii="Times New Roman" w:hAnsi="Times New Roman"/>
                <w:color w:val="000000" w:themeColor="text1"/>
              </w:rPr>
              <w:t>NMHC</w:t>
            </w:r>
            <w:r w:rsidRPr="008A2411">
              <w:rPr>
                <w:rFonts w:ascii="Times New Roman" w:hAnsi="Times New Roman"/>
                <w:color w:val="000000" w:themeColor="text1"/>
              </w:rPr>
              <w:t>：（</w:t>
            </w:r>
            <w:r w:rsidRPr="008A2411">
              <w:rPr>
                <w:rFonts w:ascii="Times New Roman" w:hAnsi="Times New Roman"/>
                <w:color w:val="000000" w:themeColor="text1"/>
              </w:rPr>
              <w:t>4.66mg/m</w:t>
            </w:r>
            <w:r w:rsidRPr="008A2411">
              <w:rPr>
                <w:rFonts w:ascii="Times New Roman" w:hAnsi="Times New Roman"/>
                <w:color w:val="000000" w:themeColor="text1"/>
                <w:vertAlign w:val="superscript"/>
              </w:rPr>
              <w:t>3</w:t>
            </w:r>
            <w:r w:rsidRPr="008A2411">
              <w:rPr>
                <w:rFonts w:ascii="Times New Roman" w:hAnsi="Times New Roman"/>
                <w:color w:val="000000" w:themeColor="text1"/>
              </w:rPr>
              <w:t>；</w:t>
            </w:r>
            <w:r w:rsidRPr="008A2411">
              <w:rPr>
                <w:rFonts w:ascii="Times New Roman" w:hAnsi="Times New Roman"/>
                <w:color w:val="000000" w:themeColor="text1"/>
              </w:rPr>
              <w:t>0.028kg/h</w:t>
            </w:r>
            <w:r w:rsidRPr="008A2411">
              <w:rPr>
                <w:rFonts w:ascii="Times New Roman" w:hAnsi="Times New Roman"/>
                <w:color w:val="000000" w:themeColor="text1"/>
              </w:rPr>
              <w:t>）</w:t>
            </w:r>
          </w:p>
        </w:tc>
        <w:tc>
          <w:tcPr>
            <w:tcW w:w="713" w:type="pct"/>
            <w:vAlign w:val="center"/>
          </w:tcPr>
          <w:p w14:paraId="69D155F3"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color w:val="000000" w:themeColor="text1"/>
              </w:rPr>
              <w:t>经</w:t>
            </w:r>
            <w:r w:rsidRPr="008A2411">
              <w:rPr>
                <w:rFonts w:ascii="Times New Roman" w:hAnsi="Times New Roman"/>
                <w:color w:val="000000" w:themeColor="text1"/>
              </w:rPr>
              <w:t>1</w:t>
            </w:r>
            <w:r w:rsidRPr="008A2411">
              <w:rPr>
                <w:rFonts w:ascii="Times New Roman" w:hAnsi="Times New Roman"/>
                <w:color w:val="000000" w:themeColor="text1"/>
              </w:rPr>
              <w:t>根直径</w:t>
            </w:r>
            <w:r w:rsidRPr="008A2411">
              <w:rPr>
                <w:rFonts w:ascii="Times New Roman" w:hAnsi="Times New Roman"/>
                <w:color w:val="000000" w:themeColor="text1"/>
              </w:rPr>
              <w:t>0.2m</w:t>
            </w:r>
            <w:r w:rsidRPr="008A2411">
              <w:rPr>
                <w:rFonts w:ascii="Times New Roman" w:hAnsi="Times New Roman"/>
                <w:color w:val="000000" w:themeColor="text1"/>
              </w:rPr>
              <w:t>，高度</w:t>
            </w:r>
            <w:r w:rsidRPr="008A2411">
              <w:rPr>
                <w:rFonts w:ascii="Times New Roman" w:hAnsi="Times New Roman"/>
                <w:color w:val="000000" w:themeColor="text1"/>
              </w:rPr>
              <w:t>15m</w:t>
            </w:r>
            <w:r w:rsidRPr="008A2411">
              <w:rPr>
                <w:rFonts w:ascii="Times New Roman" w:hAnsi="Times New Roman"/>
                <w:color w:val="000000" w:themeColor="text1"/>
              </w:rPr>
              <w:t>排气筒排放</w:t>
            </w:r>
          </w:p>
        </w:tc>
      </w:tr>
      <w:tr w:rsidR="008A2411" w:rsidRPr="008A2411" w14:paraId="2DEC99A4" w14:textId="77777777">
        <w:trPr>
          <w:trHeight w:val="330"/>
          <w:jc w:val="center"/>
        </w:trPr>
        <w:tc>
          <w:tcPr>
            <w:tcW w:w="357" w:type="pct"/>
            <w:vAlign w:val="center"/>
          </w:tcPr>
          <w:p w14:paraId="5C30D345"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color w:val="000000" w:themeColor="text1"/>
              </w:rPr>
              <w:t>G3</w:t>
            </w:r>
          </w:p>
        </w:tc>
        <w:tc>
          <w:tcPr>
            <w:tcW w:w="331" w:type="pct"/>
            <w:tcBorders>
              <w:left w:val="single" w:sz="4" w:space="0" w:color="auto"/>
            </w:tcBorders>
            <w:vAlign w:val="center"/>
          </w:tcPr>
          <w:p w14:paraId="5825EC49"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color w:val="000000" w:themeColor="text1"/>
              </w:rPr>
              <w:t>P2</w:t>
            </w:r>
          </w:p>
        </w:tc>
        <w:tc>
          <w:tcPr>
            <w:tcW w:w="436" w:type="pct"/>
            <w:vAlign w:val="center"/>
          </w:tcPr>
          <w:p w14:paraId="41E68DC7"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color w:val="000000" w:themeColor="text1"/>
              </w:rPr>
              <w:t>导热油炉</w:t>
            </w:r>
          </w:p>
        </w:tc>
        <w:tc>
          <w:tcPr>
            <w:tcW w:w="423" w:type="pct"/>
            <w:vAlign w:val="center"/>
          </w:tcPr>
          <w:p w14:paraId="44D9DC4A"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color w:val="000000" w:themeColor="text1"/>
              </w:rPr>
              <w:t>7542.71</w:t>
            </w:r>
          </w:p>
        </w:tc>
        <w:tc>
          <w:tcPr>
            <w:tcW w:w="996" w:type="pct"/>
            <w:vAlign w:val="center"/>
          </w:tcPr>
          <w:p w14:paraId="74E4EA48" w14:textId="77777777" w:rsidR="00B0005F" w:rsidRPr="008A2411" w:rsidRDefault="00000000">
            <w:pPr>
              <w:pStyle w:val="WJ5"/>
              <w:spacing w:line="320" w:lineRule="exact"/>
              <w:jc w:val="left"/>
              <w:rPr>
                <w:rFonts w:ascii="Times New Roman" w:hAnsi="Times New Roman"/>
                <w:color w:val="000000" w:themeColor="text1"/>
              </w:rPr>
            </w:pPr>
            <w:r w:rsidRPr="008A2411">
              <w:rPr>
                <w:rFonts w:ascii="Times New Roman" w:hAnsi="Times New Roman"/>
                <w:color w:val="000000" w:themeColor="text1"/>
              </w:rPr>
              <w:t>NO</w:t>
            </w:r>
            <w:r w:rsidRPr="008A2411">
              <w:rPr>
                <w:rFonts w:ascii="Times New Roman" w:hAnsi="Times New Roman"/>
                <w:color w:val="000000" w:themeColor="text1"/>
                <w:vertAlign w:val="subscript"/>
              </w:rPr>
              <w:t>x</w:t>
            </w:r>
            <w:r w:rsidRPr="008A2411">
              <w:rPr>
                <w:rFonts w:ascii="Times New Roman" w:hAnsi="Times New Roman"/>
                <w:color w:val="000000" w:themeColor="text1"/>
              </w:rPr>
              <w:t>：（</w:t>
            </w:r>
            <w:r w:rsidRPr="008A2411">
              <w:rPr>
                <w:rFonts w:ascii="Times New Roman" w:hAnsi="Times New Roman"/>
                <w:color w:val="000000" w:themeColor="text1"/>
              </w:rPr>
              <w:t>64.68mg/m</w:t>
            </w:r>
            <w:r w:rsidRPr="008A2411">
              <w:rPr>
                <w:rFonts w:ascii="Times New Roman" w:hAnsi="Times New Roman"/>
                <w:color w:val="000000" w:themeColor="text1"/>
                <w:vertAlign w:val="superscript"/>
              </w:rPr>
              <w:t>3</w:t>
            </w:r>
            <w:r w:rsidRPr="008A2411">
              <w:rPr>
                <w:rFonts w:ascii="Times New Roman" w:hAnsi="Times New Roman"/>
                <w:color w:val="000000" w:themeColor="text1"/>
              </w:rPr>
              <w:t>，</w:t>
            </w:r>
            <w:r w:rsidRPr="008A2411">
              <w:rPr>
                <w:rFonts w:ascii="Times New Roman" w:hAnsi="Times New Roman"/>
                <w:color w:val="000000" w:themeColor="text1"/>
              </w:rPr>
              <w:t>0.4879kg/h</w:t>
            </w:r>
            <w:r w:rsidRPr="008A2411">
              <w:rPr>
                <w:rFonts w:ascii="Times New Roman" w:hAnsi="Times New Roman"/>
                <w:color w:val="000000" w:themeColor="text1"/>
              </w:rPr>
              <w:t>）</w:t>
            </w:r>
          </w:p>
          <w:p w14:paraId="0CFCBF79" w14:textId="77777777" w:rsidR="00B0005F" w:rsidRPr="008A2411" w:rsidRDefault="00000000">
            <w:pPr>
              <w:pStyle w:val="WJ5"/>
              <w:spacing w:line="320" w:lineRule="exact"/>
              <w:jc w:val="both"/>
              <w:rPr>
                <w:rFonts w:ascii="Times New Roman" w:hAnsi="Times New Roman"/>
                <w:color w:val="000000" w:themeColor="text1"/>
              </w:rPr>
            </w:pPr>
            <w:r w:rsidRPr="008A2411">
              <w:rPr>
                <w:rFonts w:ascii="Times New Roman" w:hAnsi="Times New Roman"/>
                <w:color w:val="000000" w:themeColor="text1"/>
              </w:rPr>
              <w:t>SO</w:t>
            </w:r>
            <w:r w:rsidRPr="008A2411">
              <w:rPr>
                <w:rFonts w:ascii="Times New Roman" w:hAnsi="Times New Roman"/>
                <w:color w:val="000000" w:themeColor="text1"/>
                <w:vertAlign w:val="subscript"/>
              </w:rPr>
              <w:t>2</w:t>
            </w:r>
            <w:r w:rsidRPr="008A2411">
              <w:rPr>
                <w:rFonts w:ascii="Times New Roman" w:hAnsi="Times New Roman"/>
                <w:color w:val="000000" w:themeColor="text1"/>
              </w:rPr>
              <w:t>：（</w:t>
            </w:r>
            <w:r w:rsidRPr="008A2411">
              <w:rPr>
                <w:rFonts w:ascii="Times New Roman" w:hAnsi="Times New Roman"/>
                <w:color w:val="000000" w:themeColor="text1"/>
              </w:rPr>
              <w:t>1.35mg/m</w:t>
            </w:r>
            <w:r w:rsidRPr="008A2411">
              <w:rPr>
                <w:rFonts w:ascii="Times New Roman" w:hAnsi="Times New Roman"/>
                <w:color w:val="000000" w:themeColor="text1"/>
                <w:vertAlign w:val="superscript"/>
              </w:rPr>
              <w:t>3</w:t>
            </w:r>
            <w:r w:rsidRPr="008A2411">
              <w:rPr>
                <w:rFonts w:ascii="Times New Roman" w:hAnsi="Times New Roman"/>
                <w:color w:val="000000" w:themeColor="text1"/>
              </w:rPr>
              <w:t>；</w:t>
            </w:r>
            <w:r w:rsidRPr="008A2411">
              <w:rPr>
                <w:rFonts w:ascii="Times New Roman" w:hAnsi="Times New Roman"/>
                <w:color w:val="000000" w:themeColor="text1"/>
              </w:rPr>
              <w:t>0.0102kg/h</w:t>
            </w:r>
            <w:r w:rsidRPr="008A2411">
              <w:rPr>
                <w:rFonts w:ascii="Times New Roman" w:hAnsi="Times New Roman"/>
                <w:color w:val="000000" w:themeColor="text1"/>
              </w:rPr>
              <w:t>）</w:t>
            </w:r>
          </w:p>
        </w:tc>
        <w:tc>
          <w:tcPr>
            <w:tcW w:w="421" w:type="pct"/>
            <w:vAlign w:val="center"/>
          </w:tcPr>
          <w:p w14:paraId="574A4D69"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color w:val="000000" w:themeColor="text1"/>
              </w:rPr>
              <w:t>直接排放</w:t>
            </w:r>
          </w:p>
        </w:tc>
        <w:tc>
          <w:tcPr>
            <w:tcW w:w="421" w:type="pct"/>
            <w:vAlign w:val="center"/>
          </w:tcPr>
          <w:p w14:paraId="5888A7C9"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color w:val="000000" w:themeColor="text1"/>
              </w:rPr>
              <w:t>/</w:t>
            </w:r>
          </w:p>
        </w:tc>
        <w:tc>
          <w:tcPr>
            <w:tcW w:w="897" w:type="pct"/>
            <w:vAlign w:val="center"/>
          </w:tcPr>
          <w:p w14:paraId="0D99A06A" w14:textId="77777777" w:rsidR="00B0005F" w:rsidRPr="008A2411" w:rsidRDefault="00000000">
            <w:pPr>
              <w:pStyle w:val="WJ5"/>
              <w:spacing w:line="320" w:lineRule="exact"/>
              <w:jc w:val="left"/>
              <w:rPr>
                <w:rFonts w:ascii="Times New Roman" w:hAnsi="Times New Roman"/>
                <w:color w:val="000000" w:themeColor="text1"/>
              </w:rPr>
            </w:pPr>
            <w:r w:rsidRPr="008A2411">
              <w:rPr>
                <w:rFonts w:ascii="Times New Roman" w:hAnsi="Times New Roman"/>
                <w:color w:val="000000" w:themeColor="text1"/>
              </w:rPr>
              <w:t>NO</w:t>
            </w:r>
            <w:r w:rsidRPr="008A2411">
              <w:rPr>
                <w:rFonts w:ascii="Times New Roman" w:hAnsi="Times New Roman"/>
                <w:color w:val="000000" w:themeColor="text1"/>
                <w:vertAlign w:val="subscript"/>
              </w:rPr>
              <w:t>x</w:t>
            </w:r>
            <w:r w:rsidRPr="008A2411">
              <w:rPr>
                <w:rFonts w:ascii="Times New Roman" w:hAnsi="Times New Roman"/>
                <w:color w:val="000000" w:themeColor="text1"/>
              </w:rPr>
              <w:t>：（</w:t>
            </w:r>
            <w:r w:rsidRPr="008A2411">
              <w:rPr>
                <w:rFonts w:ascii="Times New Roman" w:hAnsi="Times New Roman"/>
                <w:color w:val="000000" w:themeColor="text1"/>
              </w:rPr>
              <w:t>64.68mg/m</w:t>
            </w:r>
            <w:r w:rsidRPr="008A2411">
              <w:rPr>
                <w:rFonts w:ascii="Times New Roman" w:hAnsi="Times New Roman"/>
                <w:color w:val="000000" w:themeColor="text1"/>
                <w:vertAlign w:val="superscript"/>
              </w:rPr>
              <w:t>3</w:t>
            </w:r>
            <w:r w:rsidRPr="008A2411">
              <w:rPr>
                <w:rFonts w:ascii="Times New Roman" w:hAnsi="Times New Roman"/>
                <w:color w:val="000000" w:themeColor="text1"/>
              </w:rPr>
              <w:t>，</w:t>
            </w:r>
            <w:r w:rsidRPr="008A2411">
              <w:rPr>
                <w:rFonts w:ascii="Times New Roman" w:hAnsi="Times New Roman"/>
                <w:color w:val="000000" w:themeColor="text1"/>
              </w:rPr>
              <w:t>0.4879kg/h</w:t>
            </w:r>
            <w:r w:rsidRPr="008A2411">
              <w:rPr>
                <w:rFonts w:ascii="Times New Roman" w:hAnsi="Times New Roman"/>
                <w:color w:val="000000" w:themeColor="text1"/>
              </w:rPr>
              <w:t>）</w:t>
            </w:r>
            <w:r w:rsidRPr="008A2411">
              <w:rPr>
                <w:rFonts w:ascii="Times New Roman" w:hAnsi="Times New Roman"/>
                <w:color w:val="000000" w:themeColor="text1"/>
              </w:rPr>
              <w:t>SO</w:t>
            </w:r>
            <w:r w:rsidRPr="008A2411">
              <w:rPr>
                <w:rFonts w:ascii="Times New Roman" w:hAnsi="Times New Roman"/>
                <w:color w:val="000000" w:themeColor="text1"/>
                <w:vertAlign w:val="subscript"/>
              </w:rPr>
              <w:t>2</w:t>
            </w:r>
            <w:r w:rsidRPr="008A2411">
              <w:rPr>
                <w:rFonts w:ascii="Times New Roman" w:hAnsi="Times New Roman"/>
                <w:color w:val="000000" w:themeColor="text1"/>
              </w:rPr>
              <w:t>：（</w:t>
            </w:r>
            <w:r w:rsidRPr="008A2411">
              <w:rPr>
                <w:rFonts w:ascii="Times New Roman" w:hAnsi="Times New Roman"/>
                <w:color w:val="000000" w:themeColor="text1"/>
              </w:rPr>
              <w:t>1.35mg/m</w:t>
            </w:r>
            <w:r w:rsidRPr="008A2411">
              <w:rPr>
                <w:rFonts w:ascii="Times New Roman" w:hAnsi="Times New Roman"/>
                <w:color w:val="000000" w:themeColor="text1"/>
                <w:vertAlign w:val="superscript"/>
              </w:rPr>
              <w:t>3</w:t>
            </w:r>
            <w:r w:rsidRPr="008A2411">
              <w:rPr>
                <w:rFonts w:ascii="Times New Roman" w:hAnsi="Times New Roman"/>
                <w:color w:val="000000" w:themeColor="text1"/>
              </w:rPr>
              <w:t>；</w:t>
            </w:r>
            <w:r w:rsidRPr="008A2411">
              <w:rPr>
                <w:rFonts w:ascii="Times New Roman" w:hAnsi="Times New Roman"/>
                <w:color w:val="000000" w:themeColor="text1"/>
              </w:rPr>
              <w:t>0.0102kg/h</w:t>
            </w:r>
            <w:r w:rsidRPr="008A2411">
              <w:rPr>
                <w:rFonts w:ascii="Times New Roman" w:hAnsi="Times New Roman"/>
                <w:color w:val="000000" w:themeColor="text1"/>
              </w:rPr>
              <w:t>）</w:t>
            </w:r>
          </w:p>
        </w:tc>
        <w:tc>
          <w:tcPr>
            <w:tcW w:w="713" w:type="pct"/>
            <w:vAlign w:val="center"/>
          </w:tcPr>
          <w:p w14:paraId="59ABC68B" w14:textId="77777777" w:rsidR="00B0005F" w:rsidRPr="008A2411" w:rsidRDefault="00000000">
            <w:pPr>
              <w:pStyle w:val="WJ5"/>
              <w:spacing w:line="320" w:lineRule="exact"/>
              <w:jc w:val="left"/>
              <w:rPr>
                <w:rFonts w:ascii="Times New Roman" w:hAnsi="Times New Roman"/>
                <w:color w:val="000000" w:themeColor="text1"/>
              </w:rPr>
            </w:pPr>
            <w:r w:rsidRPr="008A2411">
              <w:rPr>
                <w:rFonts w:ascii="Times New Roman" w:hAnsi="Times New Roman"/>
                <w:color w:val="000000" w:themeColor="text1"/>
              </w:rPr>
              <w:t>经</w:t>
            </w:r>
            <w:r w:rsidRPr="008A2411">
              <w:rPr>
                <w:rFonts w:ascii="Times New Roman" w:hAnsi="Times New Roman"/>
                <w:color w:val="000000" w:themeColor="text1"/>
              </w:rPr>
              <w:t>1</w:t>
            </w:r>
            <w:r w:rsidRPr="008A2411">
              <w:rPr>
                <w:rFonts w:ascii="Times New Roman" w:hAnsi="Times New Roman"/>
                <w:color w:val="000000" w:themeColor="text1"/>
              </w:rPr>
              <w:t>根直径</w:t>
            </w:r>
            <w:r w:rsidRPr="008A2411">
              <w:rPr>
                <w:rFonts w:ascii="Times New Roman" w:hAnsi="Times New Roman"/>
                <w:color w:val="000000" w:themeColor="text1"/>
              </w:rPr>
              <w:t>0.4m</w:t>
            </w:r>
            <w:r w:rsidRPr="008A2411">
              <w:rPr>
                <w:rFonts w:ascii="Times New Roman" w:hAnsi="Times New Roman"/>
                <w:color w:val="000000" w:themeColor="text1"/>
              </w:rPr>
              <w:t>，高度</w:t>
            </w:r>
            <w:r w:rsidRPr="008A2411">
              <w:rPr>
                <w:rFonts w:ascii="Times New Roman" w:hAnsi="Times New Roman"/>
                <w:color w:val="000000" w:themeColor="text1"/>
              </w:rPr>
              <w:t>15m</w:t>
            </w:r>
            <w:r w:rsidRPr="008A2411">
              <w:rPr>
                <w:rFonts w:ascii="Times New Roman" w:hAnsi="Times New Roman"/>
                <w:color w:val="000000" w:themeColor="text1"/>
              </w:rPr>
              <w:t>排气筒排放</w:t>
            </w:r>
          </w:p>
        </w:tc>
      </w:tr>
      <w:tr w:rsidR="008A2411" w:rsidRPr="008A2411" w14:paraId="07CECE2D" w14:textId="77777777">
        <w:trPr>
          <w:trHeight w:val="330"/>
          <w:jc w:val="center"/>
        </w:trPr>
        <w:tc>
          <w:tcPr>
            <w:tcW w:w="357" w:type="pct"/>
            <w:vAlign w:val="center"/>
          </w:tcPr>
          <w:p w14:paraId="68CEE591"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color w:val="000000" w:themeColor="text1"/>
              </w:rPr>
              <w:t>G4</w:t>
            </w:r>
          </w:p>
        </w:tc>
        <w:tc>
          <w:tcPr>
            <w:tcW w:w="331" w:type="pct"/>
            <w:tcBorders>
              <w:left w:val="single" w:sz="4" w:space="0" w:color="auto"/>
            </w:tcBorders>
            <w:vAlign w:val="center"/>
          </w:tcPr>
          <w:p w14:paraId="6449E655"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color w:val="000000" w:themeColor="text1"/>
              </w:rPr>
              <w:t>无</w:t>
            </w:r>
          </w:p>
        </w:tc>
        <w:tc>
          <w:tcPr>
            <w:tcW w:w="436" w:type="pct"/>
            <w:vAlign w:val="center"/>
          </w:tcPr>
          <w:p w14:paraId="021631FC"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color w:val="000000" w:themeColor="text1"/>
              </w:rPr>
              <w:t>BOG</w:t>
            </w:r>
            <w:r w:rsidRPr="008A2411">
              <w:rPr>
                <w:rFonts w:ascii="Times New Roman" w:hAnsi="Times New Roman"/>
                <w:color w:val="000000" w:themeColor="text1"/>
              </w:rPr>
              <w:lastRenderedPageBreak/>
              <w:t>系统</w:t>
            </w:r>
          </w:p>
        </w:tc>
        <w:tc>
          <w:tcPr>
            <w:tcW w:w="423" w:type="pct"/>
            <w:vAlign w:val="center"/>
          </w:tcPr>
          <w:p w14:paraId="288841A0"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color w:val="000000" w:themeColor="text1"/>
              </w:rPr>
              <w:lastRenderedPageBreak/>
              <w:t>480</w:t>
            </w:r>
          </w:p>
        </w:tc>
        <w:tc>
          <w:tcPr>
            <w:tcW w:w="996" w:type="pct"/>
            <w:vAlign w:val="center"/>
          </w:tcPr>
          <w:p w14:paraId="0E4A6FFF"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color w:val="000000" w:themeColor="text1"/>
              </w:rPr>
              <w:t>H</w:t>
            </w:r>
            <w:r w:rsidRPr="008A2411">
              <w:rPr>
                <w:rFonts w:ascii="Times New Roman" w:hAnsi="Times New Roman"/>
                <w:color w:val="000000" w:themeColor="text1"/>
                <w:vertAlign w:val="subscript"/>
              </w:rPr>
              <w:t>2</w:t>
            </w:r>
            <w:r w:rsidRPr="008A2411">
              <w:rPr>
                <w:rFonts w:ascii="Times New Roman" w:hAnsi="Times New Roman"/>
                <w:color w:val="000000" w:themeColor="text1"/>
              </w:rPr>
              <w:t>S</w:t>
            </w:r>
            <w:r w:rsidRPr="008A2411">
              <w:rPr>
                <w:rFonts w:ascii="Times New Roman" w:hAnsi="Times New Roman"/>
                <w:color w:val="000000" w:themeColor="text1"/>
              </w:rPr>
              <w:t>、</w:t>
            </w:r>
            <w:r w:rsidRPr="008A2411">
              <w:rPr>
                <w:rFonts w:ascii="Times New Roman" w:hAnsi="Times New Roman"/>
                <w:color w:val="000000" w:themeColor="text1"/>
              </w:rPr>
              <w:t>CO</w:t>
            </w:r>
            <w:r w:rsidRPr="008A2411">
              <w:rPr>
                <w:rFonts w:ascii="Times New Roman" w:hAnsi="Times New Roman"/>
                <w:color w:val="000000" w:themeColor="text1"/>
                <w:vertAlign w:val="subscript"/>
              </w:rPr>
              <w:t>2</w:t>
            </w:r>
            <w:r w:rsidRPr="008A2411">
              <w:rPr>
                <w:rFonts w:ascii="Times New Roman" w:hAnsi="Times New Roman"/>
                <w:color w:val="000000" w:themeColor="text1"/>
              </w:rPr>
              <w:t>、甲烷</w:t>
            </w:r>
            <w:r w:rsidRPr="008A2411">
              <w:rPr>
                <w:rFonts w:ascii="Times New Roman" w:hAnsi="Times New Roman"/>
                <w:color w:val="000000" w:themeColor="text1"/>
              </w:rPr>
              <w:lastRenderedPageBreak/>
              <w:t>及其它烃类等</w:t>
            </w:r>
          </w:p>
        </w:tc>
        <w:tc>
          <w:tcPr>
            <w:tcW w:w="421" w:type="pct"/>
            <w:vAlign w:val="center"/>
          </w:tcPr>
          <w:p w14:paraId="58B73E16"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color w:val="000000" w:themeColor="text1"/>
              </w:rPr>
              <w:lastRenderedPageBreak/>
              <w:t>去燃</w:t>
            </w:r>
            <w:r w:rsidRPr="008A2411">
              <w:rPr>
                <w:rFonts w:ascii="Times New Roman" w:hAnsi="Times New Roman"/>
                <w:color w:val="000000" w:themeColor="text1"/>
              </w:rPr>
              <w:lastRenderedPageBreak/>
              <w:t>料系统</w:t>
            </w:r>
          </w:p>
        </w:tc>
        <w:tc>
          <w:tcPr>
            <w:tcW w:w="421" w:type="pct"/>
            <w:vAlign w:val="center"/>
          </w:tcPr>
          <w:p w14:paraId="08D5B188"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color w:val="000000" w:themeColor="text1"/>
              </w:rPr>
              <w:lastRenderedPageBreak/>
              <w:t>/</w:t>
            </w:r>
          </w:p>
        </w:tc>
        <w:tc>
          <w:tcPr>
            <w:tcW w:w="897" w:type="pct"/>
            <w:vAlign w:val="center"/>
          </w:tcPr>
          <w:p w14:paraId="0908523A"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color w:val="000000" w:themeColor="text1"/>
              </w:rPr>
              <w:t>/</w:t>
            </w:r>
          </w:p>
        </w:tc>
        <w:tc>
          <w:tcPr>
            <w:tcW w:w="713" w:type="pct"/>
            <w:vAlign w:val="center"/>
          </w:tcPr>
          <w:p w14:paraId="1F4727CE"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color w:val="000000" w:themeColor="text1"/>
              </w:rPr>
              <w:t>/</w:t>
            </w:r>
          </w:p>
        </w:tc>
      </w:tr>
      <w:tr w:rsidR="008A2411" w:rsidRPr="008A2411" w14:paraId="2CF0D84D" w14:textId="77777777">
        <w:trPr>
          <w:trHeight w:val="330"/>
          <w:jc w:val="center"/>
        </w:trPr>
        <w:tc>
          <w:tcPr>
            <w:tcW w:w="357" w:type="pct"/>
            <w:vAlign w:val="center"/>
          </w:tcPr>
          <w:p w14:paraId="23C83AA3"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hint="eastAsia"/>
                <w:color w:val="000000" w:themeColor="text1"/>
              </w:rPr>
              <w:t>G5</w:t>
            </w:r>
          </w:p>
        </w:tc>
        <w:tc>
          <w:tcPr>
            <w:tcW w:w="331" w:type="pct"/>
            <w:tcBorders>
              <w:left w:val="single" w:sz="4" w:space="0" w:color="auto"/>
            </w:tcBorders>
            <w:vAlign w:val="center"/>
          </w:tcPr>
          <w:p w14:paraId="537E5216"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hint="eastAsia"/>
                <w:color w:val="000000" w:themeColor="text1"/>
              </w:rPr>
              <w:t>/</w:t>
            </w:r>
          </w:p>
        </w:tc>
        <w:tc>
          <w:tcPr>
            <w:tcW w:w="436" w:type="pct"/>
            <w:vAlign w:val="center"/>
          </w:tcPr>
          <w:p w14:paraId="301FEBC9" w14:textId="77777777" w:rsidR="00B0005F" w:rsidRPr="008A2411" w:rsidRDefault="00000000">
            <w:pPr>
              <w:pStyle w:val="WJ5"/>
              <w:spacing w:line="320" w:lineRule="exact"/>
              <w:jc w:val="both"/>
              <w:rPr>
                <w:rFonts w:ascii="Times New Roman" w:hAnsi="Times New Roman"/>
                <w:color w:val="000000" w:themeColor="text1"/>
              </w:rPr>
            </w:pPr>
            <w:r w:rsidRPr="008A2411">
              <w:rPr>
                <w:rFonts w:ascii="Times New Roman" w:hAnsi="Times New Roman" w:hint="eastAsia"/>
                <w:color w:val="000000" w:themeColor="text1"/>
              </w:rPr>
              <w:t>LNG</w:t>
            </w:r>
            <w:r w:rsidRPr="008A2411">
              <w:rPr>
                <w:rFonts w:ascii="Times New Roman" w:hAnsi="Times New Roman" w:hint="eastAsia"/>
                <w:color w:val="000000" w:themeColor="text1"/>
              </w:rPr>
              <w:t>装车区</w:t>
            </w:r>
          </w:p>
        </w:tc>
        <w:tc>
          <w:tcPr>
            <w:tcW w:w="423" w:type="pct"/>
            <w:vAlign w:val="center"/>
          </w:tcPr>
          <w:p w14:paraId="53A55709"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hint="eastAsia"/>
                <w:color w:val="000000" w:themeColor="text1"/>
              </w:rPr>
              <w:t>129</w:t>
            </w:r>
          </w:p>
        </w:tc>
        <w:tc>
          <w:tcPr>
            <w:tcW w:w="1738" w:type="dxa"/>
            <w:vAlign w:val="center"/>
          </w:tcPr>
          <w:p w14:paraId="0908C605"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color w:val="000000" w:themeColor="text1"/>
              </w:rPr>
              <w:t>H</w:t>
            </w:r>
            <w:r w:rsidRPr="008A2411">
              <w:rPr>
                <w:rFonts w:ascii="Times New Roman" w:hAnsi="Times New Roman"/>
                <w:color w:val="000000" w:themeColor="text1"/>
                <w:vertAlign w:val="subscript"/>
              </w:rPr>
              <w:t>2</w:t>
            </w:r>
            <w:r w:rsidRPr="008A2411">
              <w:rPr>
                <w:rFonts w:ascii="Times New Roman" w:hAnsi="Times New Roman"/>
                <w:color w:val="000000" w:themeColor="text1"/>
              </w:rPr>
              <w:t>S</w:t>
            </w:r>
            <w:r w:rsidRPr="008A2411">
              <w:rPr>
                <w:rFonts w:ascii="Times New Roman" w:hAnsi="Times New Roman"/>
                <w:color w:val="000000" w:themeColor="text1"/>
              </w:rPr>
              <w:t>、</w:t>
            </w:r>
            <w:r w:rsidRPr="008A2411">
              <w:rPr>
                <w:rFonts w:ascii="Times New Roman" w:hAnsi="Times New Roman"/>
                <w:color w:val="000000" w:themeColor="text1"/>
              </w:rPr>
              <w:t>CO</w:t>
            </w:r>
            <w:r w:rsidRPr="008A2411">
              <w:rPr>
                <w:rFonts w:ascii="Times New Roman" w:hAnsi="Times New Roman"/>
                <w:color w:val="000000" w:themeColor="text1"/>
                <w:vertAlign w:val="subscript"/>
              </w:rPr>
              <w:t>2</w:t>
            </w:r>
            <w:r w:rsidRPr="008A2411">
              <w:rPr>
                <w:rFonts w:ascii="Times New Roman" w:hAnsi="Times New Roman"/>
                <w:color w:val="000000" w:themeColor="text1"/>
              </w:rPr>
              <w:t>、甲烷及其它烃类等</w:t>
            </w:r>
          </w:p>
        </w:tc>
        <w:tc>
          <w:tcPr>
            <w:tcW w:w="735" w:type="dxa"/>
            <w:vAlign w:val="center"/>
          </w:tcPr>
          <w:p w14:paraId="3B1860AB"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color w:val="000000" w:themeColor="text1"/>
              </w:rPr>
              <w:t>去燃料系统</w:t>
            </w:r>
          </w:p>
        </w:tc>
        <w:tc>
          <w:tcPr>
            <w:tcW w:w="735" w:type="dxa"/>
            <w:vAlign w:val="center"/>
          </w:tcPr>
          <w:p w14:paraId="31414C40"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color w:val="000000" w:themeColor="text1"/>
              </w:rPr>
              <w:t>/</w:t>
            </w:r>
          </w:p>
        </w:tc>
        <w:tc>
          <w:tcPr>
            <w:tcW w:w="1566" w:type="dxa"/>
            <w:vAlign w:val="center"/>
          </w:tcPr>
          <w:p w14:paraId="3116FBB5"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color w:val="000000" w:themeColor="text1"/>
              </w:rPr>
              <w:t>/</w:t>
            </w:r>
          </w:p>
        </w:tc>
        <w:tc>
          <w:tcPr>
            <w:tcW w:w="1245" w:type="dxa"/>
            <w:vAlign w:val="center"/>
          </w:tcPr>
          <w:p w14:paraId="59C31B08"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color w:val="000000" w:themeColor="text1"/>
              </w:rPr>
              <w:t>/</w:t>
            </w:r>
          </w:p>
        </w:tc>
      </w:tr>
      <w:tr w:rsidR="00B0005F" w:rsidRPr="008A2411" w14:paraId="4D79C714" w14:textId="77777777">
        <w:trPr>
          <w:trHeight w:val="341"/>
          <w:jc w:val="center"/>
        </w:trPr>
        <w:tc>
          <w:tcPr>
            <w:tcW w:w="357" w:type="pct"/>
            <w:vAlign w:val="center"/>
          </w:tcPr>
          <w:p w14:paraId="2EA6C602"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color w:val="000000" w:themeColor="text1"/>
              </w:rPr>
              <w:t>G</w:t>
            </w:r>
            <w:r w:rsidRPr="008A2411">
              <w:rPr>
                <w:rFonts w:ascii="Times New Roman" w:hAnsi="Times New Roman" w:hint="eastAsia"/>
                <w:color w:val="000000" w:themeColor="text1"/>
              </w:rPr>
              <w:t>6</w:t>
            </w:r>
          </w:p>
        </w:tc>
        <w:tc>
          <w:tcPr>
            <w:tcW w:w="331" w:type="pct"/>
            <w:tcBorders>
              <w:left w:val="single" w:sz="4" w:space="0" w:color="auto"/>
            </w:tcBorders>
            <w:vAlign w:val="center"/>
          </w:tcPr>
          <w:p w14:paraId="4F0711DE"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color w:val="000000" w:themeColor="text1"/>
              </w:rPr>
              <w:t>P3</w:t>
            </w:r>
          </w:p>
        </w:tc>
        <w:tc>
          <w:tcPr>
            <w:tcW w:w="436" w:type="pct"/>
            <w:vAlign w:val="center"/>
          </w:tcPr>
          <w:p w14:paraId="5D455500"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color w:val="000000" w:themeColor="text1"/>
              </w:rPr>
              <w:t>放空火炬</w:t>
            </w:r>
          </w:p>
        </w:tc>
        <w:tc>
          <w:tcPr>
            <w:tcW w:w="423" w:type="pct"/>
            <w:vAlign w:val="center"/>
          </w:tcPr>
          <w:p w14:paraId="47DADBA8"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color w:val="000000" w:themeColor="text1"/>
              </w:rPr>
              <w:t>431</w:t>
            </w:r>
          </w:p>
        </w:tc>
        <w:tc>
          <w:tcPr>
            <w:tcW w:w="996" w:type="pct"/>
            <w:vAlign w:val="center"/>
          </w:tcPr>
          <w:p w14:paraId="3229A322" w14:textId="77777777" w:rsidR="00B0005F" w:rsidRPr="008A2411" w:rsidRDefault="00000000">
            <w:pPr>
              <w:pStyle w:val="WJ5"/>
              <w:spacing w:line="320" w:lineRule="exact"/>
              <w:jc w:val="both"/>
              <w:rPr>
                <w:rFonts w:ascii="Times New Roman" w:hAnsi="Times New Roman"/>
                <w:color w:val="000000" w:themeColor="text1"/>
              </w:rPr>
            </w:pPr>
            <w:r w:rsidRPr="008A2411">
              <w:rPr>
                <w:rFonts w:ascii="Times New Roman" w:hAnsi="Times New Roman"/>
                <w:color w:val="000000" w:themeColor="text1"/>
              </w:rPr>
              <w:t>NO</w:t>
            </w:r>
            <w:r w:rsidRPr="008A2411">
              <w:rPr>
                <w:rFonts w:ascii="Times New Roman" w:hAnsi="Times New Roman"/>
                <w:color w:val="000000" w:themeColor="text1"/>
                <w:vertAlign w:val="subscript"/>
              </w:rPr>
              <w:t>x</w:t>
            </w:r>
            <w:r w:rsidRPr="008A2411">
              <w:rPr>
                <w:rFonts w:ascii="Times New Roman" w:hAnsi="Times New Roman"/>
                <w:color w:val="000000" w:themeColor="text1"/>
              </w:rPr>
              <w:t>（</w:t>
            </w:r>
            <w:r w:rsidRPr="008A2411">
              <w:rPr>
                <w:rFonts w:ascii="Times New Roman" w:hAnsi="Times New Roman"/>
                <w:color w:val="000000" w:themeColor="text1"/>
              </w:rPr>
              <w:t>147.28mg/m</w:t>
            </w:r>
            <w:r w:rsidRPr="008A2411">
              <w:rPr>
                <w:rFonts w:ascii="Times New Roman" w:hAnsi="Times New Roman"/>
                <w:color w:val="000000" w:themeColor="text1"/>
                <w:vertAlign w:val="superscript"/>
              </w:rPr>
              <w:t>3</w:t>
            </w:r>
            <w:r w:rsidRPr="008A2411">
              <w:rPr>
                <w:rFonts w:ascii="Times New Roman" w:hAnsi="Times New Roman"/>
                <w:color w:val="000000" w:themeColor="text1"/>
              </w:rPr>
              <w:t>，</w:t>
            </w:r>
            <w:r w:rsidRPr="008A2411">
              <w:rPr>
                <w:rFonts w:ascii="Times New Roman" w:hAnsi="Times New Roman"/>
                <w:color w:val="000000" w:themeColor="text1"/>
              </w:rPr>
              <w:t>0.0635kg/h</w:t>
            </w:r>
            <w:r w:rsidRPr="008A2411">
              <w:rPr>
                <w:rFonts w:ascii="Times New Roman" w:hAnsi="Times New Roman"/>
                <w:color w:val="000000" w:themeColor="text1"/>
              </w:rPr>
              <w:t>）</w:t>
            </w:r>
          </w:p>
          <w:p w14:paraId="026426CC"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color w:val="000000" w:themeColor="text1"/>
              </w:rPr>
              <w:t>SO</w:t>
            </w:r>
            <w:r w:rsidRPr="008A2411">
              <w:rPr>
                <w:rFonts w:ascii="Times New Roman" w:hAnsi="Times New Roman"/>
                <w:color w:val="000000" w:themeColor="text1"/>
                <w:vertAlign w:val="subscript"/>
              </w:rPr>
              <w:t>2</w:t>
            </w:r>
            <w:r w:rsidRPr="008A2411">
              <w:rPr>
                <w:rFonts w:ascii="Times New Roman" w:hAnsi="Times New Roman"/>
                <w:color w:val="000000" w:themeColor="text1"/>
              </w:rPr>
              <w:t>：（</w:t>
            </w:r>
            <w:r w:rsidRPr="008A2411">
              <w:rPr>
                <w:rFonts w:ascii="Times New Roman" w:hAnsi="Times New Roman"/>
                <w:color w:val="000000" w:themeColor="text1"/>
              </w:rPr>
              <w:t>1.35mg/m</w:t>
            </w:r>
            <w:r w:rsidRPr="008A2411">
              <w:rPr>
                <w:rFonts w:ascii="Times New Roman" w:hAnsi="Times New Roman"/>
                <w:color w:val="000000" w:themeColor="text1"/>
                <w:vertAlign w:val="superscript"/>
              </w:rPr>
              <w:t>3</w:t>
            </w:r>
            <w:r w:rsidRPr="008A2411">
              <w:rPr>
                <w:rFonts w:ascii="Times New Roman" w:hAnsi="Times New Roman"/>
                <w:color w:val="000000" w:themeColor="text1"/>
              </w:rPr>
              <w:t>；</w:t>
            </w:r>
            <w:r w:rsidRPr="008A2411">
              <w:rPr>
                <w:rFonts w:ascii="Times New Roman" w:hAnsi="Times New Roman"/>
                <w:color w:val="000000" w:themeColor="text1"/>
              </w:rPr>
              <w:t>0.0006kg/h</w:t>
            </w:r>
            <w:r w:rsidRPr="008A2411">
              <w:rPr>
                <w:rFonts w:ascii="Times New Roman" w:hAnsi="Times New Roman"/>
                <w:color w:val="000000" w:themeColor="text1"/>
              </w:rPr>
              <w:t>）</w:t>
            </w:r>
          </w:p>
        </w:tc>
        <w:tc>
          <w:tcPr>
            <w:tcW w:w="421" w:type="pct"/>
            <w:vAlign w:val="center"/>
          </w:tcPr>
          <w:p w14:paraId="5731129C"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color w:val="000000" w:themeColor="text1"/>
              </w:rPr>
              <w:t>直接排放</w:t>
            </w:r>
          </w:p>
        </w:tc>
        <w:tc>
          <w:tcPr>
            <w:tcW w:w="421" w:type="pct"/>
            <w:vAlign w:val="center"/>
          </w:tcPr>
          <w:p w14:paraId="10A3D4DA"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color w:val="000000" w:themeColor="text1"/>
              </w:rPr>
              <w:t>/</w:t>
            </w:r>
          </w:p>
        </w:tc>
        <w:tc>
          <w:tcPr>
            <w:tcW w:w="897" w:type="pct"/>
            <w:vAlign w:val="center"/>
          </w:tcPr>
          <w:p w14:paraId="78296212" w14:textId="77777777" w:rsidR="00B0005F" w:rsidRPr="008A2411" w:rsidRDefault="00000000">
            <w:pPr>
              <w:pStyle w:val="WJ5"/>
              <w:spacing w:line="320" w:lineRule="exact"/>
              <w:jc w:val="both"/>
              <w:rPr>
                <w:rFonts w:ascii="Times New Roman" w:hAnsi="Times New Roman"/>
                <w:color w:val="000000" w:themeColor="text1"/>
              </w:rPr>
            </w:pPr>
            <w:r w:rsidRPr="008A2411">
              <w:rPr>
                <w:rFonts w:ascii="Times New Roman" w:hAnsi="Times New Roman"/>
                <w:color w:val="000000" w:themeColor="text1"/>
              </w:rPr>
              <w:t>NO</w:t>
            </w:r>
            <w:r w:rsidRPr="008A2411">
              <w:rPr>
                <w:rFonts w:ascii="Times New Roman" w:hAnsi="Times New Roman"/>
                <w:color w:val="000000" w:themeColor="text1"/>
                <w:vertAlign w:val="subscript"/>
              </w:rPr>
              <w:t>x</w:t>
            </w:r>
            <w:r w:rsidRPr="008A2411">
              <w:rPr>
                <w:rFonts w:ascii="Times New Roman" w:hAnsi="Times New Roman"/>
                <w:color w:val="000000" w:themeColor="text1"/>
              </w:rPr>
              <w:t>（</w:t>
            </w:r>
            <w:r w:rsidRPr="008A2411">
              <w:rPr>
                <w:rFonts w:ascii="Times New Roman" w:hAnsi="Times New Roman"/>
                <w:color w:val="000000" w:themeColor="text1"/>
              </w:rPr>
              <w:t>147.28mg/m</w:t>
            </w:r>
            <w:r w:rsidRPr="008A2411">
              <w:rPr>
                <w:rFonts w:ascii="Times New Roman" w:hAnsi="Times New Roman"/>
                <w:color w:val="000000" w:themeColor="text1"/>
                <w:vertAlign w:val="superscript"/>
              </w:rPr>
              <w:t>3</w:t>
            </w:r>
            <w:r w:rsidRPr="008A2411">
              <w:rPr>
                <w:rFonts w:ascii="Times New Roman" w:hAnsi="Times New Roman"/>
                <w:color w:val="000000" w:themeColor="text1"/>
              </w:rPr>
              <w:t>，</w:t>
            </w:r>
            <w:r w:rsidRPr="008A2411">
              <w:rPr>
                <w:rFonts w:ascii="Times New Roman" w:hAnsi="Times New Roman"/>
                <w:color w:val="000000" w:themeColor="text1"/>
              </w:rPr>
              <w:t>0.0635kg/h</w:t>
            </w:r>
            <w:r w:rsidRPr="008A2411">
              <w:rPr>
                <w:rFonts w:ascii="Times New Roman" w:hAnsi="Times New Roman"/>
                <w:color w:val="000000" w:themeColor="text1"/>
              </w:rPr>
              <w:t>）</w:t>
            </w:r>
          </w:p>
          <w:p w14:paraId="66A43330"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color w:val="000000" w:themeColor="text1"/>
              </w:rPr>
              <w:t>SO</w:t>
            </w:r>
            <w:r w:rsidRPr="008A2411">
              <w:rPr>
                <w:rFonts w:ascii="Times New Roman" w:hAnsi="Times New Roman"/>
                <w:color w:val="000000" w:themeColor="text1"/>
                <w:vertAlign w:val="subscript"/>
              </w:rPr>
              <w:t>2</w:t>
            </w:r>
            <w:r w:rsidRPr="008A2411">
              <w:rPr>
                <w:rFonts w:ascii="Times New Roman" w:hAnsi="Times New Roman"/>
                <w:color w:val="000000" w:themeColor="text1"/>
              </w:rPr>
              <w:t>：（</w:t>
            </w:r>
            <w:r w:rsidRPr="008A2411">
              <w:rPr>
                <w:rFonts w:ascii="Times New Roman" w:hAnsi="Times New Roman"/>
                <w:color w:val="000000" w:themeColor="text1"/>
              </w:rPr>
              <w:t>1.35mg/m</w:t>
            </w:r>
            <w:r w:rsidRPr="008A2411">
              <w:rPr>
                <w:rFonts w:ascii="Times New Roman" w:hAnsi="Times New Roman"/>
                <w:color w:val="000000" w:themeColor="text1"/>
                <w:vertAlign w:val="superscript"/>
              </w:rPr>
              <w:t>3</w:t>
            </w:r>
            <w:r w:rsidRPr="008A2411">
              <w:rPr>
                <w:rFonts w:ascii="Times New Roman" w:hAnsi="Times New Roman"/>
                <w:color w:val="000000" w:themeColor="text1"/>
              </w:rPr>
              <w:t>；</w:t>
            </w:r>
            <w:r w:rsidRPr="008A2411">
              <w:rPr>
                <w:rFonts w:ascii="Times New Roman" w:hAnsi="Times New Roman"/>
                <w:color w:val="000000" w:themeColor="text1"/>
              </w:rPr>
              <w:t>0.0006kg/h</w:t>
            </w:r>
            <w:r w:rsidRPr="008A2411">
              <w:rPr>
                <w:rFonts w:ascii="Times New Roman" w:hAnsi="Times New Roman"/>
                <w:color w:val="000000" w:themeColor="text1"/>
              </w:rPr>
              <w:t>）</w:t>
            </w:r>
          </w:p>
        </w:tc>
        <w:tc>
          <w:tcPr>
            <w:tcW w:w="713" w:type="pct"/>
            <w:vAlign w:val="center"/>
          </w:tcPr>
          <w:p w14:paraId="444CB2F2" w14:textId="77777777" w:rsidR="00B0005F" w:rsidRPr="008A2411" w:rsidRDefault="00000000">
            <w:pPr>
              <w:pStyle w:val="WJ5"/>
              <w:spacing w:line="320" w:lineRule="exact"/>
              <w:jc w:val="left"/>
              <w:rPr>
                <w:rFonts w:ascii="Times New Roman" w:hAnsi="Times New Roman"/>
                <w:color w:val="000000" w:themeColor="text1"/>
              </w:rPr>
            </w:pPr>
            <w:r w:rsidRPr="008A2411">
              <w:rPr>
                <w:rFonts w:ascii="Times New Roman" w:hAnsi="Times New Roman"/>
                <w:color w:val="000000" w:themeColor="text1"/>
              </w:rPr>
              <w:t>经</w:t>
            </w:r>
            <w:r w:rsidRPr="008A2411">
              <w:rPr>
                <w:rFonts w:ascii="Times New Roman" w:hAnsi="Times New Roman"/>
                <w:color w:val="000000" w:themeColor="text1"/>
              </w:rPr>
              <w:t>30m</w:t>
            </w:r>
            <w:r w:rsidRPr="008A2411">
              <w:rPr>
                <w:rFonts w:ascii="Times New Roman" w:hAnsi="Times New Roman"/>
                <w:color w:val="000000" w:themeColor="text1"/>
              </w:rPr>
              <w:t>高火炬烟囱直接排放。</w:t>
            </w:r>
          </w:p>
        </w:tc>
      </w:tr>
    </w:tbl>
    <w:p w14:paraId="53D729F3" w14:textId="77777777" w:rsidR="00B0005F" w:rsidRPr="008A2411" w:rsidRDefault="00B0005F">
      <w:pPr>
        <w:ind w:firstLine="482"/>
        <w:jc w:val="center"/>
        <w:rPr>
          <w:rFonts w:ascii="Times New Roman"/>
          <w:b/>
          <w:color w:val="000000" w:themeColor="text1"/>
        </w:rPr>
      </w:pPr>
    </w:p>
    <w:p w14:paraId="00712766" w14:textId="77777777" w:rsidR="00B0005F" w:rsidRPr="008A2411" w:rsidRDefault="00000000">
      <w:pPr>
        <w:pStyle w:val="afffffffffffff7"/>
        <w:adjustRightInd w:val="0"/>
        <w:snapToGrid w:val="0"/>
        <w:ind w:firstLine="480"/>
        <w:rPr>
          <w:color w:val="000000" w:themeColor="text1"/>
          <w:sz w:val="24"/>
          <w:szCs w:val="24"/>
        </w:rPr>
      </w:pPr>
      <w:r w:rsidRPr="008A2411">
        <w:rPr>
          <w:color w:val="000000" w:themeColor="text1"/>
          <w:sz w:val="24"/>
          <w:szCs w:val="24"/>
        </w:rPr>
        <w:t>4</w:t>
      </w:r>
      <w:r w:rsidRPr="008A2411">
        <w:rPr>
          <w:color w:val="000000" w:themeColor="text1"/>
          <w:sz w:val="24"/>
          <w:szCs w:val="24"/>
        </w:rPr>
        <w:t>）非正常工况</w:t>
      </w:r>
    </w:p>
    <w:p w14:paraId="1001188C"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液化生产装置开车调试、停车检修时，可能对原料气进行点火短时放空，将装置内未达到液化生产要求的天然气密闭排放至放空火炬燃烧后排入大气，开停工放空时为瞬时排放，排放方式为有组织排放。此外，由于停电、设备故障或操作失误等原因也可能导致紧急放空。</w:t>
      </w:r>
    </w:p>
    <w:p w14:paraId="151777F3"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当发生开停车、事故放空等非正常排放时，自动控制系统立即切断上游气源，尽可能减少排放气量，并将安全阀等排放气通过放空系统密闭引至放空火炬燃烧后排放，减轻对环境的污染。从最不利角度考虑，若因开停车、事故放空等对原料气进行放空，火炬放空量以</w:t>
      </w:r>
      <w:r w:rsidRPr="008A2411">
        <w:rPr>
          <w:rFonts w:ascii="Times New Roman" w:hAnsi="Times New Roman"/>
          <w:color w:val="000000" w:themeColor="text1"/>
        </w:rPr>
        <w:t>10min</w:t>
      </w:r>
      <w:r w:rsidRPr="008A2411">
        <w:rPr>
          <w:rFonts w:ascii="Times New Roman" w:hAnsi="Times New Roman"/>
          <w:color w:val="000000" w:themeColor="text1"/>
        </w:rPr>
        <w:t>原料气全部进行燃烧放空，放空时间为</w:t>
      </w:r>
      <w:r w:rsidRPr="008A2411">
        <w:rPr>
          <w:rFonts w:ascii="Times New Roman" w:hAnsi="Times New Roman"/>
          <w:color w:val="000000" w:themeColor="text1"/>
        </w:rPr>
        <w:t>10min</w:t>
      </w:r>
      <w:r w:rsidRPr="008A2411">
        <w:rPr>
          <w:rFonts w:ascii="Times New Roman" w:hAnsi="Times New Roman"/>
          <w:color w:val="000000" w:themeColor="text1"/>
        </w:rPr>
        <w:t>。由于本项目原料气为净化后的天然气（硫化氢含硫低于</w:t>
      </w:r>
      <w:r w:rsidRPr="008A2411">
        <w:rPr>
          <w:rFonts w:ascii="Times New Roman" w:hAnsi="Times New Roman"/>
          <w:color w:val="000000" w:themeColor="text1"/>
        </w:rPr>
        <w:t>5mg/m</w:t>
      </w:r>
      <w:r w:rsidRPr="008A2411">
        <w:rPr>
          <w:rFonts w:ascii="Times New Roman" w:hAnsi="Times New Roman"/>
          <w:color w:val="000000" w:themeColor="text1"/>
          <w:vertAlign w:val="superscript"/>
        </w:rPr>
        <w:t>3</w:t>
      </w:r>
      <w:r w:rsidRPr="008A2411">
        <w:rPr>
          <w:rFonts w:ascii="Times New Roman" w:hAnsi="Times New Roman"/>
          <w:color w:val="000000" w:themeColor="text1"/>
        </w:rPr>
        <w:t>，总硫小于</w:t>
      </w:r>
      <w:r w:rsidRPr="008A2411">
        <w:rPr>
          <w:rFonts w:ascii="Times New Roman" w:hAnsi="Times New Roman"/>
          <w:color w:val="000000" w:themeColor="text1"/>
        </w:rPr>
        <w:t>20mg/m</w:t>
      </w:r>
      <w:r w:rsidRPr="008A2411">
        <w:rPr>
          <w:rFonts w:ascii="Times New Roman" w:hAnsi="Times New Roman"/>
          <w:color w:val="000000" w:themeColor="text1"/>
          <w:vertAlign w:val="superscript"/>
        </w:rPr>
        <w:t>3</w:t>
      </w:r>
      <w:r w:rsidRPr="008A2411">
        <w:rPr>
          <w:rFonts w:ascii="Times New Roman" w:hAnsi="Times New Roman"/>
          <w:color w:val="000000" w:themeColor="text1"/>
        </w:rPr>
        <w:t>），因此，非正常工况下经火炬燃烧后的废气中污染因子主要为</w:t>
      </w:r>
      <w:r w:rsidRPr="008A2411">
        <w:rPr>
          <w:rFonts w:ascii="Times New Roman" w:hAnsi="Times New Roman"/>
          <w:color w:val="000000" w:themeColor="text1"/>
        </w:rPr>
        <w:t>CO</w:t>
      </w:r>
      <w:r w:rsidRPr="008A2411">
        <w:rPr>
          <w:rFonts w:ascii="Times New Roman" w:hAnsi="Times New Roman"/>
          <w:color w:val="000000" w:themeColor="text1"/>
          <w:vertAlign w:val="subscript"/>
        </w:rPr>
        <w:t>2</w:t>
      </w:r>
      <w:r w:rsidRPr="008A2411">
        <w:rPr>
          <w:rFonts w:ascii="Times New Roman" w:hAnsi="Times New Roman"/>
          <w:color w:val="000000" w:themeColor="text1"/>
        </w:rPr>
        <w:t>及少量</w:t>
      </w:r>
      <w:r w:rsidRPr="008A2411">
        <w:rPr>
          <w:rFonts w:ascii="Times New Roman" w:hAnsi="Times New Roman"/>
          <w:color w:val="000000" w:themeColor="text1"/>
        </w:rPr>
        <w:t>SO</w:t>
      </w:r>
      <w:r w:rsidRPr="008A2411">
        <w:rPr>
          <w:rFonts w:ascii="Times New Roman" w:hAnsi="Times New Roman"/>
          <w:color w:val="000000" w:themeColor="text1"/>
          <w:vertAlign w:val="subscript"/>
        </w:rPr>
        <w:t>2</w:t>
      </w:r>
      <w:r w:rsidRPr="008A2411">
        <w:rPr>
          <w:rFonts w:ascii="Times New Roman" w:hAnsi="Times New Roman"/>
          <w:color w:val="000000" w:themeColor="text1"/>
        </w:rPr>
        <w:t>、</w:t>
      </w:r>
      <w:r w:rsidRPr="008A2411">
        <w:rPr>
          <w:rFonts w:ascii="Times New Roman" w:hAnsi="Times New Roman"/>
          <w:color w:val="000000" w:themeColor="text1"/>
        </w:rPr>
        <w:t>NOx</w:t>
      </w:r>
      <w:r w:rsidRPr="008A2411">
        <w:rPr>
          <w:rFonts w:ascii="Times New Roman" w:hAnsi="Times New Roman"/>
          <w:color w:val="000000" w:themeColor="text1"/>
        </w:rPr>
        <w:t>等。由于放空时间较短，因此，因放空产生的环境影响持续时间也较短，其对周边环境影响也较低。</w:t>
      </w:r>
    </w:p>
    <w:p w14:paraId="40615006" w14:textId="77777777" w:rsidR="00B0005F" w:rsidRPr="008A2411" w:rsidRDefault="00000000">
      <w:pPr>
        <w:pStyle w:val="WJ3"/>
        <w:spacing w:line="360" w:lineRule="auto"/>
        <w:outlineLvl w:val="9"/>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3</w:t>
      </w:r>
      <w:r w:rsidRPr="008A2411">
        <w:rPr>
          <w:rFonts w:ascii="Times New Roman" w:hAnsi="Times New Roman"/>
          <w:color w:val="000000" w:themeColor="text1"/>
        </w:rPr>
        <w:t>）噪声</w:t>
      </w:r>
    </w:p>
    <w:p w14:paraId="7047D4D9" w14:textId="77777777" w:rsidR="00B0005F" w:rsidRPr="008A2411" w:rsidRDefault="00000000">
      <w:pPr>
        <w:pStyle w:val="afffffffffffff7"/>
        <w:adjustRightInd w:val="0"/>
        <w:snapToGrid w:val="0"/>
        <w:ind w:firstLine="480"/>
        <w:rPr>
          <w:color w:val="000000" w:themeColor="text1"/>
          <w:sz w:val="24"/>
          <w:szCs w:val="24"/>
        </w:rPr>
      </w:pPr>
      <w:r w:rsidRPr="008A2411">
        <w:rPr>
          <w:color w:val="000000" w:themeColor="text1"/>
          <w:sz w:val="24"/>
          <w:szCs w:val="24"/>
        </w:rPr>
        <w:t>项目噪声主要为设备噪声，</w:t>
      </w:r>
      <w:proofErr w:type="gramStart"/>
      <w:r w:rsidRPr="008A2411">
        <w:rPr>
          <w:color w:val="000000" w:themeColor="text1"/>
          <w:sz w:val="24"/>
          <w:szCs w:val="24"/>
        </w:rPr>
        <w:t>产噪设备</w:t>
      </w:r>
      <w:proofErr w:type="gramEnd"/>
      <w:r w:rsidRPr="008A2411">
        <w:rPr>
          <w:color w:val="000000" w:themeColor="text1"/>
          <w:sz w:val="24"/>
          <w:szCs w:val="24"/>
        </w:rPr>
        <w:t>主要为压缩机、风机、泵类及生产装置等。主要通过选用低噪声设备，隔音、减震，优化管道设计，合理平面布局，距离衰减，加强管理等措施降噪。</w:t>
      </w:r>
    </w:p>
    <w:p w14:paraId="0EBD891D" w14:textId="77777777" w:rsidR="00B0005F" w:rsidRPr="008A2411" w:rsidRDefault="00000000">
      <w:pPr>
        <w:pStyle w:val="afffffffffffff7"/>
        <w:adjustRightInd w:val="0"/>
        <w:snapToGrid w:val="0"/>
        <w:ind w:firstLine="480"/>
        <w:rPr>
          <w:color w:val="000000" w:themeColor="text1"/>
          <w:sz w:val="24"/>
          <w:szCs w:val="24"/>
        </w:rPr>
      </w:pPr>
      <w:r w:rsidRPr="008A2411">
        <w:rPr>
          <w:color w:val="000000" w:themeColor="text1"/>
          <w:sz w:val="24"/>
          <w:szCs w:val="24"/>
        </w:rPr>
        <w:t>项目噪声源及处理措施情况见表</w:t>
      </w:r>
      <w:r w:rsidRPr="008A2411">
        <w:rPr>
          <w:color w:val="000000" w:themeColor="text1"/>
          <w:sz w:val="24"/>
          <w:szCs w:val="24"/>
        </w:rPr>
        <w:t>3.2-4</w:t>
      </w:r>
      <w:r w:rsidRPr="008A2411">
        <w:rPr>
          <w:color w:val="000000" w:themeColor="text1"/>
          <w:sz w:val="24"/>
          <w:szCs w:val="24"/>
        </w:rPr>
        <w:t>。</w:t>
      </w:r>
    </w:p>
    <w:p w14:paraId="1841CFD1" w14:textId="77777777" w:rsidR="00B0005F" w:rsidRPr="008A2411" w:rsidRDefault="00B0005F">
      <w:pPr>
        <w:jc w:val="center"/>
        <w:rPr>
          <w:rFonts w:ascii="Times New Roman" w:eastAsia="黑体"/>
          <w:color w:val="000000" w:themeColor="text1"/>
          <w:szCs w:val="21"/>
        </w:rPr>
      </w:pPr>
    </w:p>
    <w:p w14:paraId="2FCE33D5" w14:textId="77777777" w:rsidR="00B0005F" w:rsidRPr="008A2411" w:rsidRDefault="00000000">
      <w:pPr>
        <w:jc w:val="center"/>
        <w:rPr>
          <w:rFonts w:ascii="Times New Roman" w:eastAsia="黑体"/>
          <w:color w:val="000000" w:themeColor="text1"/>
          <w:szCs w:val="21"/>
        </w:rPr>
      </w:pPr>
      <w:r w:rsidRPr="008A2411">
        <w:rPr>
          <w:rFonts w:ascii="Times New Roman" w:eastAsia="黑体"/>
          <w:color w:val="000000" w:themeColor="text1"/>
          <w:szCs w:val="21"/>
        </w:rPr>
        <w:t>表</w:t>
      </w:r>
      <w:r w:rsidRPr="008A2411">
        <w:rPr>
          <w:rFonts w:ascii="Times New Roman" w:eastAsia="黑体"/>
          <w:color w:val="000000" w:themeColor="text1"/>
          <w:szCs w:val="21"/>
        </w:rPr>
        <w:t xml:space="preserve">3.2-14  </w:t>
      </w:r>
      <w:r w:rsidRPr="008A2411">
        <w:rPr>
          <w:rFonts w:ascii="Times New Roman" w:eastAsia="黑体"/>
          <w:color w:val="000000" w:themeColor="text1"/>
          <w:szCs w:val="21"/>
        </w:rPr>
        <w:t>主要噪声源及处理措施</w:t>
      </w:r>
    </w:p>
    <w:tbl>
      <w:tblPr>
        <w:tblW w:w="499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3"/>
        <w:gridCol w:w="1325"/>
        <w:gridCol w:w="1080"/>
        <w:gridCol w:w="1099"/>
        <w:gridCol w:w="1741"/>
        <w:gridCol w:w="998"/>
        <w:gridCol w:w="1053"/>
      </w:tblGrid>
      <w:tr w:rsidR="008A2411" w:rsidRPr="008A2411" w14:paraId="63993147" w14:textId="77777777">
        <w:trPr>
          <w:trHeight w:val="432"/>
          <w:tblHeader/>
          <w:jc w:val="center"/>
        </w:trPr>
        <w:tc>
          <w:tcPr>
            <w:tcW w:w="1494" w:type="pct"/>
            <w:gridSpan w:val="2"/>
            <w:vAlign w:val="center"/>
          </w:tcPr>
          <w:p w14:paraId="14A740FB"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rPr>
              <w:t>生产设备</w:t>
            </w:r>
          </w:p>
        </w:tc>
        <w:tc>
          <w:tcPr>
            <w:tcW w:w="633" w:type="pct"/>
            <w:vMerge w:val="restart"/>
            <w:vAlign w:val="center"/>
          </w:tcPr>
          <w:p w14:paraId="6F74A569"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rPr>
              <w:t>数量</w:t>
            </w:r>
          </w:p>
          <w:p w14:paraId="68FAB13E"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rPr>
              <w:t>（台</w:t>
            </w:r>
            <w:r w:rsidRPr="008A2411">
              <w:rPr>
                <w:rFonts w:ascii="Times New Roman" w:hAnsi="Times New Roman"/>
                <w:color w:val="000000" w:themeColor="text1"/>
              </w:rPr>
              <w:t>/</w:t>
            </w:r>
            <w:r w:rsidRPr="008A2411">
              <w:rPr>
                <w:rFonts w:ascii="Times New Roman" w:hAnsi="Times New Roman"/>
                <w:color w:val="000000" w:themeColor="text1"/>
              </w:rPr>
              <w:t>套）</w:t>
            </w:r>
          </w:p>
        </w:tc>
        <w:tc>
          <w:tcPr>
            <w:tcW w:w="645" w:type="pct"/>
            <w:vMerge w:val="restart"/>
            <w:vAlign w:val="center"/>
          </w:tcPr>
          <w:p w14:paraId="746E7A5A" w14:textId="77777777" w:rsidR="00B0005F" w:rsidRPr="008A2411" w:rsidRDefault="00000000">
            <w:pPr>
              <w:pStyle w:val="WJ4"/>
              <w:rPr>
                <w:rFonts w:ascii="Times New Roman" w:eastAsiaTheme="minorEastAsia" w:hAnsi="Times New Roman"/>
                <w:color w:val="000000" w:themeColor="text1"/>
              </w:rPr>
            </w:pPr>
            <w:r w:rsidRPr="008A2411">
              <w:rPr>
                <w:rFonts w:ascii="Times New Roman" w:eastAsiaTheme="minorEastAsia" w:hAnsi="Times New Roman"/>
                <w:color w:val="000000" w:themeColor="text1"/>
              </w:rPr>
              <w:t>单台噪声源强</w:t>
            </w:r>
          </w:p>
          <w:p w14:paraId="4D58BEF0"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eastAsiaTheme="minorEastAsia" w:hAnsi="Times New Roman"/>
                <w:color w:val="000000" w:themeColor="text1"/>
              </w:rPr>
              <w:t>[dB</w:t>
            </w:r>
            <w:r w:rsidRPr="008A2411">
              <w:rPr>
                <w:rFonts w:ascii="Times New Roman" w:eastAsiaTheme="minorEastAsia" w:hAnsi="Times New Roman"/>
                <w:color w:val="000000" w:themeColor="text1"/>
              </w:rPr>
              <w:t>（</w:t>
            </w:r>
            <w:r w:rsidRPr="008A2411">
              <w:rPr>
                <w:rFonts w:ascii="Times New Roman" w:eastAsiaTheme="minorEastAsia" w:hAnsi="Times New Roman"/>
                <w:color w:val="000000" w:themeColor="text1"/>
              </w:rPr>
              <w:t>A</w:t>
            </w:r>
            <w:r w:rsidRPr="008A2411">
              <w:rPr>
                <w:rFonts w:ascii="Times New Roman" w:eastAsiaTheme="minorEastAsia" w:hAnsi="Times New Roman"/>
                <w:color w:val="000000" w:themeColor="text1"/>
              </w:rPr>
              <w:t>）</w:t>
            </w:r>
            <w:r w:rsidRPr="008A2411">
              <w:rPr>
                <w:rFonts w:ascii="Times New Roman" w:eastAsiaTheme="minorEastAsia" w:hAnsi="Times New Roman"/>
                <w:color w:val="000000" w:themeColor="text1"/>
              </w:rPr>
              <w:t>]</w:t>
            </w:r>
          </w:p>
        </w:tc>
        <w:tc>
          <w:tcPr>
            <w:tcW w:w="1021" w:type="pct"/>
            <w:vMerge w:val="restart"/>
            <w:vAlign w:val="center"/>
          </w:tcPr>
          <w:p w14:paraId="60A1DAEC"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eastAsiaTheme="minorEastAsia" w:hAnsi="Times New Roman" w:hint="eastAsia"/>
                <w:color w:val="000000" w:themeColor="text1"/>
              </w:rPr>
              <w:t>声源控制</w:t>
            </w:r>
            <w:r w:rsidRPr="008A2411">
              <w:rPr>
                <w:rFonts w:ascii="Times New Roman" w:eastAsiaTheme="minorEastAsia" w:hAnsi="Times New Roman"/>
                <w:color w:val="000000" w:themeColor="text1"/>
              </w:rPr>
              <w:t>措施</w:t>
            </w:r>
          </w:p>
        </w:tc>
        <w:tc>
          <w:tcPr>
            <w:tcW w:w="586" w:type="pct"/>
            <w:vMerge w:val="restart"/>
            <w:vAlign w:val="center"/>
          </w:tcPr>
          <w:p w14:paraId="3C58727E"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eastAsiaTheme="minorEastAsia" w:hAnsi="Times New Roman"/>
                <w:color w:val="000000" w:themeColor="text1"/>
              </w:rPr>
              <w:t>治理后噪声源强</w:t>
            </w:r>
            <w:r w:rsidRPr="008A2411">
              <w:rPr>
                <w:rFonts w:ascii="Times New Roman" w:eastAsiaTheme="minorEastAsia" w:hAnsi="Times New Roman"/>
                <w:color w:val="000000" w:themeColor="text1"/>
              </w:rPr>
              <w:t>[dB</w:t>
            </w:r>
            <w:r w:rsidRPr="008A2411">
              <w:rPr>
                <w:rFonts w:ascii="Times New Roman" w:eastAsiaTheme="minorEastAsia" w:hAnsi="Times New Roman"/>
                <w:color w:val="000000" w:themeColor="text1"/>
              </w:rPr>
              <w:t>（</w:t>
            </w:r>
            <w:r w:rsidRPr="008A2411">
              <w:rPr>
                <w:rFonts w:ascii="Times New Roman" w:eastAsiaTheme="minorEastAsia" w:hAnsi="Times New Roman"/>
                <w:color w:val="000000" w:themeColor="text1"/>
              </w:rPr>
              <w:t>A</w:t>
            </w:r>
            <w:r w:rsidRPr="008A2411">
              <w:rPr>
                <w:rFonts w:ascii="Times New Roman" w:eastAsiaTheme="minorEastAsia" w:hAnsi="Times New Roman"/>
                <w:color w:val="000000" w:themeColor="text1"/>
              </w:rPr>
              <w:t>）</w:t>
            </w:r>
            <w:r w:rsidRPr="008A2411">
              <w:rPr>
                <w:rFonts w:ascii="Times New Roman" w:eastAsiaTheme="minorEastAsia" w:hAnsi="Times New Roman"/>
                <w:color w:val="000000" w:themeColor="text1"/>
              </w:rPr>
              <w:t>]</w:t>
            </w:r>
          </w:p>
        </w:tc>
        <w:tc>
          <w:tcPr>
            <w:tcW w:w="618" w:type="pct"/>
            <w:vMerge w:val="restart"/>
            <w:vAlign w:val="center"/>
          </w:tcPr>
          <w:p w14:paraId="282D0EB0"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eastAsiaTheme="minorEastAsia" w:hAnsi="Times New Roman" w:hint="eastAsia"/>
                <w:color w:val="000000" w:themeColor="text1"/>
              </w:rPr>
              <w:t>运行时段及</w:t>
            </w:r>
            <w:r w:rsidRPr="008A2411">
              <w:rPr>
                <w:rFonts w:ascii="Times New Roman" w:eastAsiaTheme="minorEastAsia" w:hAnsi="Times New Roman"/>
                <w:color w:val="000000" w:themeColor="text1"/>
              </w:rPr>
              <w:t>排放规律</w:t>
            </w:r>
          </w:p>
        </w:tc>
      </w:tr>
      <w:tr w:rsidR="008A2411" w:rsidRPr="008A2411" w14:paraId="064380DD" w14:textId="77777777">
        <w:trPr>
          <w:trHeight w:val="432"/>
          <w:tblHeader/>
          <w:jc w:val="center"/>
        </w:trPr>
        <w:tc>
          <w:tcPr>
            <w:tcW w:w="717" w:type="pct"/>
            <w:vAlign w:val="center"/>
          </w:tcPr>
          <w:p w14:paraId="07046B9B"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rPr>
              <w:t>功能区</w:t>
            </w:r>
          </w:p>
        </w:tc>
        <w:tc>
          <w:tcPr>
            <w:tcW w:w="777" w:type="pct"/>
            <w:vAlign w:val="center"/>
          </w:tcPr>
          <w:p w14:paraId="4FA0C19F"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rPr>
              <w:t>设备名称</w:t>
            </w:r>
          </w:p>
        </w:tc>
        <w:tc>
          <w:tcPr>
            <w:tcW w:w="633" w:type="pct"/>
            <w:vMerge/>
            <w:vAlign w:val="center"/>
          </w:tcPr>
          <w:p w14:paraId="6530BFF5" w14:textId="77777777" w:rsidR="00B0005F" w:rsidRPr="008A2411" w:rsidRDefault="00B0005F">
            <w:pPr>
              <w:pStyle w:val="WJ4"/>
              <w:spacing w:line="240" w:lineRule="auto"/>
              <w:rPr>
                <w:rFonts w:ascii="Times New Roman" w:hAnsi="Times New Roman"/>
                <w:color w:val="000000" w:themeColor="text1"/>
              </w:rPr>
            </w:pPr>
          </w:p>
        </w:tc>
        <w:tc>
          <w:tcPr>
            <w:tcW w:w="645" w:type="pct"/>
            <w:vMerge/>
            <w:vAlign w:val="center"/>
          </w:tcPr>
          <w:p w14:paraId="1A4119FC" w14:textId="77777777" w:rsidR="00B0005F" w:rsidRPr="008A2411" w:rsidRDefault="00B0005F">
            <w:pPr>
              <w:pStyle w:val="WJ4"/>
              <w:spacing w:line="240" w:lineRule="auto"/>
              <w:rPr>
                <w:rFonts w:ascii="Times New Roman" w:hAnsi="Times New Roman"/>
                <w:color w:val="000000" w:themeColor="text1"/>
              </w:rPr>
            </w:pPr>
          </w:p>
        </w:tc>
        <w:tc>
          <w:tcPr>
            <w:tcW w:w="1021" w:type="pct"/>
            <w:vMerge/>
            <w:vAlign w:val="center"/>
          </w:tcPr>
          <w:p w14:paraId="4E8E9550" w14:textId="77777777" w:rsidR="00B0005F" w:rsidRPr="008A2411" w:rsidRDefault="00B0005F">
            <w:pPr>
              <w:pStyle w:val="WJ4"/>
              <w:spacing w:line="240" w:lineRule="auto"/>
              <w:rPr>
                <w:rFonts w:ascii="Times New Roman" w:hAnsi="Times New Roman"/>
                <w:color w:val="000000" w:themeColor="text1"/>
              </w:rPr>
            </w:pPr>
          </w:p>
        </w:tc>
        <w:tc>
          <w:tcPr>
            <w:tcW w:w="586" w:type="pct"/>
            <w:vMerge/>
            <w:vAlign w:val="center"/>
          </w:tcPr>
          <w:p w14:paraId="4F0303D1" w14:textId="77777777" w:rsidR="00B0005F" w:rsidRPr="008A2411" w:rsidRDefault="00B0005F">
            <w:pPr>
              <w:pStyle w:val="WJ4"/>
              <w:spacing w:line="240" w:lineRule="auto"/>
              <w:rPr>
                <w:rFonts w:ascii="Times New Roman" w:hAnsi="Times New Roman"/>
                <w:color w:val="000000" w:themeColor="text1"/>
              </w:rPr>
            </w:pPr>
          </w:p>
        </w:tc>
        <w:tc>
          <w:tcPr>
            <w:tcW w:w="618" w:type="pct"/>
            <w:vMerge/>
            <w:vAlign w:val="center"/>
          </w:tcPr>
          <w:p w14:paraId="41B63607" w14:textId="77777777" w:rsidR="00B0005F" w:rsidRPr="008A2411" w:rsidRDefault="00B0005F">
            <w:pPr>
              <w:pStyle w:val="WJ4"/>
              <w:spacing w:line="240" w:lineRule="auto"/>
              <w:rPr>
                <w:rFonts w:ascii="Times New Roman" w:hAnsi="Times New Roman"/>
                <w:color w:val="000000" w:themeColor="text1"/>
              </w:rPr>
            </w:pPr>
          </w:p>
        </w:tc>
      </w:tr>
      <w:tr w:rsidR="008A2411" w:rsidRPr="008A2411" w14:paraId="4137858F" w14:textId="77777777">
        <w:trPr>
          <w:tblHeader/>
          <w:jc w:val="center"/>
        </w:trPr>
        <w:tc>
          <w:tcPr>
            <w:tcW w:w="717" w:type="pct"/>
            <w:vMerge w:val="restart"/>
            <w:vAlign w:val="center"/>
          </w:tcPr>
          <w:p w14:paraId="66B35B5A"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rPr>
              <w:t>脱酸单元</w:t>
            </w:r>
          </w:p>
        </w:tc>
        <w:tc>
          <w:tcPr>
            <w:tcW w:w="777" w:type="pct"/>
            <w:vAlign w:val="center"/>
          </w:tcPr>
          <w:p w14:paraId="09C466F6"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贫液泵</w:t>
            </w:r>
          </w:p>
        </w:tc>
        <w:tc>
          <w:tcPr>
            <w:tcW w:w="633" w:type="pct"/>
            <w:vAlign w:val="center"/>
          </w:tcPr>
          <w:p w14:paraId="4EAEA7FC"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2</w:t>
            </w:r>
            <w:r w:rsidRPr="008A2411">
              <w:rPr>
                <w:rFonts w:ascii="Times New Roman" w:eastAsia="宋体" w:hAnsi="Times New Roman" w:cs="Times New Roman"/>
                <w:color w:val="000000" w:themeColor="text1"/>
                <w:kern w:val="2"/>
                <w:sz w:val="21"/>
                <w:szCs w:val="21"/>
              </w:rPr>
              <w:t>（</w:t>
            </w:r>
            <w:r w:rsidRPr="008A2411">
              <w:rPr>
                <w:rFonts w:ascii="Times New Roman" w:eastAsia="宋体" w:hAnsi="Times New Roman" w:cs="Times New Roman"/>
                <w:color w:val="000000" w:themeColor="text1"/>
                <w:kern w:val="2"/>
                <w:sz w:val="21"/>
                <w:szCs w:val="21"/>
              </w:rPr>
              <w:t>1</w:t>
            </w:r>
            <w:r w:rsidRPr="008A2411">
              <w:rPr>
                <w:rFonts w:ascii="Times New Roman" w:eastAsia="宋体" w:hAnsi="Times New Roman" w:cs="Times New Roman"/>
                <w:color w:val="000000" w:themeColor="text1"/>
                <w:kern w:val="2"/>
                <w:sz w:val="21"/>
                <w:szCs w:val="21"/>
              </w:rPr>
              <w:t>备）</w:t>
            </w:r>
          </w:p>
        </w:tc>
        <w:tc>
          <w:tcPr>
            <w:tcW w:w="645" w:type="pct"/>
            <w:vAlign w:val="center"/>
          </w:tcPr>
          <w:p w14:paraId="1D6F465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90</w:t>
            </w:r>
            <w:r w:rsidRPr="008A2411">
              <w:rPr>
                <w:rFonts w:ascii="Times New Roman" w:eastAsia="宋体" w:hAnsi="Times New Roman" w:cs="Times New Roman"/>
                <w:color w:val="000000" w:themeColor="text1"/>
                <w:kern w:val="2"/>
                <w:sz w:val="21"/>
                <w:szCs w:val="21"/>
              </w:rPr>
              <w:t>～</w:t>
            </w:r>
            <w:r w:rsidRPr="008A2411">
              <w:rPr>
                <w:rFonts w:ascii="Times New Roman" w:eastAsia="宋体" w:hAnsi="Times New Roman" w:cs="Times New Roman"/>
                <w:color w:val="000000" w:themeColor="text1"/>
                <w:kern w:val="2"/>
                <w:sz w:val="21"/>
                <w:szCs w:val="21"/>
              </w:rPr>
              <w:t>95</w:t>
            </w:r>
          </w:p>
        </w:tc>
        <w:tc>
          <w:tcPr>
            <w:tcW w:w="1021" w:type="pct"/>
            <w:vMerge w:val="restart"/>
            <w:vAlign w:val="center"/>
          </w:tcPr>
          <w:p w14:paraId="50EB3321"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选用低噪声设备，合理布局，减振安装等</w:t>
            </w:r>
          </w:p>
        </w:tc>
        <w:tc>
          <w:tcPr>
            <w:tcW w:w="586" w:type="pct"/>
            <w:vAlign w:val="center"/>
          </w:tcPr>
          <w:p w14:paraId="6A154E8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8</w:t>
            </w:r>
            <w:r w:rsidRPr="008A2411">
              <w:rPr>
                <w:rFonts w:ascii="Times New Roman" w:eastAsia="宋体" w:hAnsi="Times New Roman" w:cs="Times New Roman" w:hint="eastAsia"/>
                <w:color w:val="000000" w:themeColor="text1"/>
                <w:kern w:val="2"/>
                <w:sz w:val="21"/>
                <w:szCs w:val="21"/>
              </w:rPr>
              <w:t>5</w:t>
            </w:r>
          </w:p>
        </w:tc>
        <w:tc>
          <w:tcPr>
            <w:tcW w:w="618" w:type="pct"/>
            <w:vAlign w:val="center"/>
          </w:tcPr>
          <w:p w14:paraId="4E73880F"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eastAsiaTheme="minorEastAsia" w:hint="eastAsia"/>
                <w:color w:val="000000" w:themeColor="text1"/>
                <w:kern w:val="24"/>
                <w:sz w:val="21"/>
                <w:szCs w:val="21"/>
              </w:rPr>
              <w:t>24h</w:t>
            </w:r>
            <w:r w:rsidRPr="008A2411">
              <w:rPr>
                <w:rFonts w:ascii="Times New Roman" w:eastAsiaTheme="minorEastAsia"/>
                <w:color w:val="000000" w:themeColor="text1"/>
                <w:kern w:val="24"/>
                <w:sz w:val="21"/>
                <w:szCs w:val="21"/>
              </w:rPr>
              <w:t>连续</w:t>
            </w:r>
          </w:p>
        </w:tc>
      </w:tr>
      <w:tr w:rsidR="008A2411" w:rsidRPr="008A2411" w14:paraId="231385D0" w14:textId="77777777">
        <w:trPr>
          <w:tblHeader/>
          <w:jc w:val="center"/>
        </w:trPr>
        <w:tc>
          <w:tcPr>
            <w:tcW w:w="717" w:type="pct"/>
            <w:vMerge/>
            <w:vAlign w:val="center"/>
          </w:tcPr>
          <w:p w14:paraId="0A0B9E30" w14:textId="77777777" w:rsidR="00B0005F" w:rsidRPr="008A2411" w:rsidRDefault="00B0005F">
            <w:pPr>
              <w:pStyle w:val="WJ4"/>
              <w:spacing w:line="240" w:lineRule="auto"/>
              <w:rPr>
                <w:rFonts w:ascii="Times New Roman" w:hAnsi="Times New Roman"/>
                <w:color w:val="000000" w:themeColor="text1"/>
              </w:rPr>
            </w:pPr>
          </w:p>
        </w:tc>
        <w:tc>
          <w:tcPr>
            <w:tcW w:w="777" w:type="pct"/>
            <w:vAlign w:val="center"/>
          </w:tcPr>
          <w:p w14:paraId="7AC045BD"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液下泵</w:t>
            </w:r>
          </w:p>
        </w:tc>
        <w:tc>
          <w:tcPr>
            <w:tcW w:w="633" w:type="pct"/>
            <w:vAlign w:val="center"/>
          </w:tcPr>
          <w:p w14:paraId="3D406D9B"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1</w:t>
            </w:r>
          </w:p>
        </w:tc>
        <w:tc>
          <w:tcPr>
            <w:tcW w:w="645" w:type="pct"/>
            <w:vAlign w:val="center"/>
          </w:tcPr>
          <w:p w14:paraId="6BB99638"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90</w:t>
            </w:r>
            <w:r w:rsidRPr="008A2411">
              <w:rPr>
                <w:rFonts w:ascii="Times New Roman" w:eastAsia="宋体" w:hAnsi="Times New Roman" w:cs="Times New Roman"/>
                <w:color w:val="000000" w:themeColor="text1"/>
                <w:kern w:val="2"/>
                <w:sz w:val="21"/>
                <w:szCs w:val="21"/>
              </w:rPr>
              <w:t>～</w:t>
            </w:r>
            <w:r w:rsidRPr="008A2411">
              <w:rPr>
                <w:rFonts w:ascii="Times New Roman" w:eastAsia="宋体" w:hAnsi="Times New Roman" w:cs="Times New Roman"/>
                <w:color w:val="000000" w:themeColor="text1"/>
                <w:kern w:val="2"/>
                <w:sz w:val="21"/>
                <w:szCs w:val="21"/>
              </w:rPr>
              <w:t>95</w:t>
            </w:r>
          </w:p>
        </w:tc>
        <w:tc>
          <w:tcPr>
            <w:tcW w:w="1021" w:type="pct"/>
            <w:vMerge/>
            <w:vAlign w:val="center"/>
          </w:tcPr>
          <w:p w14:paraId="49C4C40D"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586" w:type="pct"/>
            <w:vAlign w:val="center"/>
          </w:tcPr>
          <w:p w14:paraId="1CA1FB2B"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8</w:t>
            </w:r>
            <w:r w:rsidRPr="008A2411">
              <w:rPr>
                <w:rFonts w:ascii="Times New Roman" w:eastAsia="宋体" w:hAnsi="Times New Roman" w:cs="Times New Roman" w:hint="eastAsia"/>
                <w:color w:val="000000" w:themeColor="text1"/>
                <w:kern w:val="2"/>
                <w:sz w:val="21"/>
                <w:szCs w:val="21"/>
              </w:rPr>
              <w:t>5</w:t>
            </w:r>
          </w:p>
        </w:tc>
        <w:tc>
          <w:tcPr>
            <w:tcW w:w="618" w:type="pct"/>
            <w:vAlign w:val="center"/>
          </w:tcPr>
          <w:p w14:paraId="0D2D6F4D"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eastAsiaTheme="minorEastAsia" w:hint="eastAsia"/>
                <w:color w:val="000000" w:themeColor="text1"/>
                <w:kern w:val="24"/>
                <w:sz w:val="21"/>
                <w:szCs w:val="21"/>
              </w:rPr>
              <w:t>24h</w:t>
            </w:r>
            <w:r w:rsidRPr="008A2411">
              <w:rPr>
                <w:rFonts w:ascii="Times New Roman" w:eastAsiaTheme="minorEastAsia"/>
                <w:color w:val="000000" w:themeColor="text1"/>
                <w:kern w:val="24"/>
                <w:sz w:val="21"/>
                <w:szCs w:val="21"/>
              </w:rPr>
              <w:t>连续</w:t>
            </w:r>
          </w:p>
        </w:tc>
      </w:tr>
      <w:tr w:rsidR="008A2411" w:rsidRPr="008A2411" w14:paraId="23F97DA9" w14:textId="77777777">
        <w:trPr>
          <w:trHeight w:val="90"/>
          <w:tblHeader/>
          <w:jc w:val="center"/>
        </w:trPr>
        <w:tc>
          <w:tcPr>
            <w:tcW w:w="717" w:type="pct"/>
            <w:vMerge/>
            <w:vAlign w:val="center"/>
          </w:tcPr>
          <w:p w14:paraId="3F012FD0" w14:textId="77777777" w:rsidR="00B0005F" w:rsidRPr="008A2411" w:rsidRDefault="00B0005F">
            <w:pPr>
              <w:pStyle w:val="WJ4"/>
              <w:spacing w:line="240" w:lineRule="auto"/>
              <w:rPr>
                <w:rFonts w:ascii="Times New Roman" w:hAnsi="Times New Roman"/>
                <w:color w:val="000000" w:themeColor="text1"/>
              </w:rPr>
            </w:pPr>
          </w:p>
        </w:tc>
        <w:tc>
          <w:tcPr>
            <w:tcW w:w="777" w:type="pct"/>
            <w:vAlign w:val="center"/>
          </w:tcPr>
          <w:p w14:paraId="2B9421B2"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回收泵</w:t>
            </w:r>
          </w:p>
        </w:tc>
        <w:tc>
          <w:tcPr>
            <w:tcW w:w="633" w:type="pct"/>
            <w:vAlign w:val="center"/>
          </w:tcPr>
          <w:p w14:paraId="6CDD690D"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2</w:t>
            </w:r>
            <w:r w:rsidRPr="008A2411">
              <w:rPr>
                <w:rFonts w:ascii="Times New Roman" w:eastAsia="宋体" w:hAnsi="Times New Roman" w:cs="Times New Roman"/>
                <w:color w:val="000000" w:themeColor="text1"/>
                <w:kern w:val="2"/>
                <w:sz w:val="21"/>
                <w:szCs w:val="21"/>
              </w:rPr>
              <w:t>（</w:t>
            </w:r>
            <w:r w:rsidRPr="008A2411">
              <w:rPr>
                <w:rFonts w:ascii="Times New Roman" w:eastAsia="宋体" w:hAnsi="Times New Roman" w:cs="Times New Roman"/>
                <w:color w:val="000000" w:themeColor="text1"/>
                <w:kern w:val="2"/>
                <w:sz w:val="21"/>
                <w:szCs w:val="21"/>
              </w:rPr>
              <w:t>1</w:t>
            </w:r>
            <w:r w:rsidRPr="008A2411">
              <w:rPr>
                <w:rFonts w:ascii="Times New Roman" w:eastAsia="宋体" w:hAnsi="Times New Roman" w:cs="Times New Roman"/>
                <w:color w:val="000000" w:themeColor="text1"/>
                <w:kern w:val="2"/>
                <w:sz w:val="21"/>
                <w:szCs w:val="21"/>
              </w:rPr>
              <w:t>备）</w:t>
            </w:r>
          </w:p>
        </w:tc>
        <w:tc>
          <w:tcPr>
            <w:tcW w:w="645" w:type="pct"/>
            <w:vAlign w:val="center"/>
          </w:tcPr>
          <w:p w14:paraId="05140B31"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90</w:t>
            </w:r>
            <w:r w:rsidRPr="008A2411">
              <w:rPr>
                <w:rFonts w:ascii="Times New Roman" w:eastAsia="宋体" w:hAnsi="Times New Roman" w:cs="Times New Roman"/>
                <w:color w:val="000000" w:themeColor="text1"/>
                <w:kern w:val="2"/>
                <w:sz w:val="21"/>
                <w:szCs w:val="21"/>
              </w:rPr>
              <w:t>～</w:t>
            </w:r>
            <w:r w:rsidRPr="008A2411">
              <w:rPr>
                <w:rFonts w:ascii="Times New Roman" w:eastAsia="宋体" w:hAnsi="Times New Roman" w:cs="Times New Roman"/>
                <w:color w:val="000000" w:themeColor="text1"/>
                <w:kern w:val="2"/>
                <w:sz w:val="21"/>
                <w:szCs w:val="21"/>
              </w:rPr>
              <w:t>95</w:t>
            </w:r>
          </w:p>
        </w:tc>
        <w:tc>
          <w:tcPr>
            <w:tcW w:w="1021" w:type="pct"/>
            <w:vMerge/>
            <w:vAlign w:val="center"/>
          </w:tcPr>
          <w:p w14:paraId="6CFE06D4"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586" w:type="pct"/>
            <w:vAlign w:val="center"/>
          </w:tcPr>
          <w:p w14:paraId="6858DD69"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8</w:t>
            </w:r>
            <w:r w:rsidRPr="008A2411">
              <w:rPr>
                <w:rFonts w:ascii="Times New Roman" w:eastAsia="宋体" w:hAnsi="Times New Roman" w:cs="Times New Roman" w:hint="eastAsia"/>
                <w:color w:val="000000" w:themeColor="text1"/>
                <w:kern w:val="2"/>
                <w:sz w:val="21"/>
                <w:szCs w:val="21"/>
              </w:rPr>
              <w:t>5</w:t>
            </w:r>
          </w:p>
        </w:tc>
        <w:tc>
          <w:tcPr>
            <w:tcW w:w="618" w:type="pct"/>
            <w:vAlign w:val="center"/>
          </w:tcPr>
          <w:p w14:paraId="343302A7"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eastAsiaTheme="minorEastAsia" w:hint="eastAsia"/>
                <w:color w:val="000000" w:themeColor="text1"/>
                <w:kern w:val="24"/>
                <w:sz w:val="21"/>
                <w:szCs w:val="21"/>
              </w:rPr>
              <w:t>24h</w:t>
            </w:r>
            <w:r w:rsidRPr="008A2411">
              <w:rPr>
                <w:rFonts w:ascii="Times New Roman" w:eastAsiaTheme="minorEastAsia"/>
                <w:color w:val="000000" w:themeColor="text1"/>
                <w:kern w:val="24"/>
                <w:sz w:val="21"/>
                <w:szCs w:val="21"/>
              </w:rPr>
              <w:t>连续</w:t>
            </w:r>
          </w:p>
        </w:tc>
      </w:tr>
      <w:tr w:rsidR="008A2411" w:rsidRPr="008A2411" w14:paraId="79DF0804" w14:textId="77777777">
        <w:trPr>
          <w:trHeight w:val="708"/>
          <w:tblHeader/>
          <w:jc w:val="center"/>
        </w:trPr>
        <w:tc>
          <w:tcPr>
            <w:tcW w:w="717" w:type="pct"/>
            <w:vAlign w:val="center"/>
          </w:tcPr>
          <w:p w14:paraId="355690B1"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kern w:val="2"/>
                <w:szCs w:val="24"/>
                <w:lang w:bidi="ar"/>
              </w:rPr>
              <w:t>LNG</w:t>
            </w:r>
            <w:r w:rsidRPr="008A2411">
              <w:rPr>
                <w:rFonts w:ascii="Times New Roman" w:hAnsi="Times New Roman"/>
                <w:color w:val="000000" w:themeColor="text1"/>
                <w:kern w:val="2"/>
                <w:szCs w:val="24"/>
                <w:lang w:bidi="ar"/>
              </w:rPr>
              <w:t>储存及充装系统</w:t>
            </w:r>
          </w:p>
        </w:tc>
        <w:tc>
          <w:tcPr>
            <w:tcW w:w="777" w:type="pct"/>
            <w:vAlign w:val="center"/>
          </w:tcPr>
          <w:p w14:paraId="54F9970A"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LNG</w:t>
            </w:r>
            <w:proofErr w:type="gramStart"/>
            <w:r w:rsidRPr="008A2411">
              <w:rPr>
                <w:rFonts w:ascii="Times New Roman" w:eastAsia="宋体" w:hAnsi="Times New Roman" w:cs="Times New Roman"/>
                <w:color w:val="000000" w:themeColor="text1"/>
                <w:kern w:val="2"/>
                <w:sz w:val="21"/>
                <w:szCs w:val="21"/>
              </w:rPr>
              <w:t>充车泵</w:t>
            </w:r>
            <w:proofErr w:type="gramEnd"/>
          </w:p>
        </w:tc>
        <w:tc>
          <w:tcPr>
            <w:tcW w:w="633" w:type="pct"/>
            <w:vAlign w:val="center"/>
          </w:tcPr>
          <w:p w14:paraId="06243214"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2</w:t>
            </w:r>
          </w:p>
        </w:tc>
        <w:tc>
          <w:tcPr>
            <w:tcW w:w="645" w:type="pct"/>
            <w:vAlign w:val="center"/>
          </w:tcPr>
          <w:p w14:paraId="35A1DBC5"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90</w:t>
            </w:r>
            <w:r w:rsidRPr="008A2411">
              <w:rPr>
                <w:rFonts w:ascii="Times New Roman" w:eastAsia="宋体" w:hAnsi="Times New Roman" w:cs="Times New Roman"/>
                <w:color w:val="000000" w:themeColor="text1"/>
                <w:kern w:val="2"/>
                <w:sz w:val="21"/>
                <w:szCs w:val="21"/>
              </w:rPr>
              <w:t>～</w:t>
            </w:r>
            <w:r w:rsidRPr="008A2411">
              <w:rPr>
                <w:rFonts w:ascii="Times New Roman" w:eastAsia="宋体" w:hAnsi="Times New Roman" w:cs="Times New Roman"/>
                <w:color w:val="000000" w:themeColor="text1"/>
                <w:kern w:val="2"/>
                <w:sz w:val="21"/>
                <w:szCs w:val="21"/>
              </w:rPr>
              <w:t>95</w:t>
            </w:r>
          </w:p>
        </w:tc>
        <w:tc>
          <w:tcPr>
            <w:tcW w:w="1021" w:type="pct"/>
            <w:vMerge/>
            <w:vAlign w:val="center"/>
          </w:tcPr>
          <w:p w14:paraId="1D78D861"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586" w:type="pct"/>
            <w:vAlign w:val="center"/>
          </w:tcPr>
          <w:p w14:paraId="4011C37A"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8</w:t>
            </w:r>
            <w:r w:rsidRPr="008A2411">
              <w:rPr>
                <w:rFonts w:ascii="Times New Roman" w:eastAsia="宋体" w:hAnsi="Times New Roman" w:cs="Times New Roman" w:hint="eastAsia"/>
                <w:color w:val="000000" w:themeColor="text1"/>
                <w:kern w:val="2"/>
                <w:sz w:val="21"/>
                <w:szCs w:val="21"/>
              </w:rPr>
              <w:t>5</w:t>
            </w:r>
          </w:p>
        </w:tc>
        <w:tc>
          <w:tcPr>
            <w:tcW w:w="618" w:type="pct"/>
            <w:vAlign w:val="center"/>
          </w:tcPr>
          <w:p w14:paraId="0484E8AE"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eastAsiaTheme="minorEastAsia" w:hint="eastAsia"/>
                <w:color w:val="000000" w:themeColor="text1"/>
                <w:kern w:val="24"/>
                <w:sz w:val="21"/>
                <w:szCs w:val="21"/>
              </w:rPr>
              <w:t>24h</w:t>
            </w:r>
            <w:r w:rsidRPr="008A2411">
              <w:rPr>
                <w:rFonts w:ascii="Times New Roman" w:eastAsiaTheme="minorEastAsia"/>
                <w:color w:val="000000" w:themeColor="text1"/>
                <w:kern w:val="24"/>
                <w:sz w:val="21"/>
                <w:szCs w:val="21"/>
              </w:rPr>
              <w:t>连续</w:t>
            </w:r>
          </w:p>
        </w:tc>
      </w:tr>
      <w:tr w:rsidR="008A2411" w:rsidRPr="008A2411" w14:paraId="7E1C5FFB" w14:textId="77777777">
        <w:trPr>
          <w:trHeight w:val="494"/>
          <w:tblHeader/>
          <w:jc w:val="center"/>
        </w:trPr>
        <w:tc>
          <w:tcPr>
            <w:tcW w:w="717" w:type="pct"/>
            <w:vAlign w:val="center"/>
          </w:tcPr>
          <w:p w14:paraId="7C43731E"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kern w:val="2"/>
                <w:szCs w:val="24"/>
                <w:lang w:bidi="ar"/>
              </w:rPr>
              <w:t>BOG</w:t>
            </w:r>
            <w:r w:rsidRPr="008A2411">
              <w:rPr>
                <w:rFonts w:ascii="Times New Roman" w:hAnsi="Times New Roman"/>
                <w:color w:val="000000" w:themeColor="text1"/>
                <w:kern w:val="2"/>
                <w:szCs w:val="24"/>
                <w:lang w:bidi="ar"/>
              </w:rPr>
              <w:t>回收系统</w:t>
            </w:r>
          </w:p>
        </w:tc>
        <w:tc>
          <w:tcPr>
            <w:tcW w:w="777" w:type="pct"/>
            <w:vAlign w:val="center"/>
          </w:tcPr>
          <w:p w14:paraId="42A434D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BOG</w:t>
            </w:r>
            <w:r w:rsidRPr="008A2411">
              <w:rPr>
                <w:rFonts w:ascii="Times New Roman" w:eastAsia="宋体" w:hAnsi="Times New Roman" w:cs="Times New Roman"/>
                <w:color w:val="000000" w:themeColor="text1"/>
                <w:kern w:val="2"/>
                <w:sz w:val="21"/>
                <w:szCs w:val="21"/>
              </w:rPr>
              <w:t>压缩机</w:t>
            </w:r>
          </w:p>
        </w:tc>
        <w:tc>
          <w:tcPr>
            <w:tcW w:w="633" w:type="pct"/>
            <w:vAlign w:val="center"/>
          </w:tcPr>
          <w:p w14:paraId="308D02F0"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2</w:t>
            </w:r>
          </w:p>
        </w:tc>
        <w:tc>
          <w:tcPr>
            <w:tcW w:w="645" w:type="pct"/>
            <w:vAlign w:val="center"/>
          </w:tcPr>
          <w:p w14:paraId="2CB6864F"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95~105</w:t>
            </w:r>
          </w:p>
        </w:tc>
        <w:tc>
          <w:tcPr>
            <w:tcW w:w="1021" w:type="pct"/>
            <w:vMerge/>
            <w:vAlign w:val="center"/>
          </w:tcPr>
          <w:p w14:paraId="714B455C"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586" w:type="pct"/>
            <w:vAlign w:val="center"/>
          </w:tcPr>
          <w:p w14:paraId="6FB0D141"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hint="eastAsia"/>
                <w:color w:val="000000" w:themeColor="text1"/>
                <w:kern w:val="2"/>
                <w:sz w:val="21"/>
                <w:szCs w:val="21"/>
              </w:rPr>
              <w:t>90</w:t>
            </w:r>
          </w:p>
        </w:tc>
        <w:tc>
          <w:tcPr>
            <w:tcW w:w="618" w:type="pct"/>
            <w:vAlign w:val="center"/>
          </w:tcPr>
          <w:p w14:paraId="6D58AE1C"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eastAsiaTheme="minorEastAsia" w:hint="eastAsia"/>
                <w:color w:val="000000" w:themeColor="text1"/>
                <w:kern w:val="24"/>
                <w:sz w:val="21"/>
                <w:szCs w:val="21"/>
              </w:rPr>
              <w:t>24h</w:t>
            </w:r>
            <w:r w:rsidRPr="008A2411">
              <w:rPr>
                <w:rFonts w:ascii="Times New Roman" w:eastAsiaTheme="minorEastAsia"/>
                <w:color w:val="000000" w:themeColor="text1"/>
                <w:kern w:val="24"/>
                <w:sz w:val="21"/>
                <w:szCs w:val="21"/>
              </w:rPr>
              <w:t>连续</w:t>
            </w:r>
          </w:p>
        </w:tc>
      </w:tr>
      <w:tr w:rsidR="008A2411" w:rsidRPr="008A2411" w14:paraId="7B4A48F3" w14:textId="77777777">
        <w:trPr>
          <w:trHeight w:val="123"/>
          <w:tblHeader/>
          <w:jc w:val="center"/>
        </w:trPr>
        <w:tc>
          <w:tcPr>
            <w:tcW w:w="717" w:type="pct"/>
            <w:vMerge w:val="restart"/>
            <w:vAlign w:val="center"/>
          </w:tcPr>
          <w:p w14:paraId="219B0B1C"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szCs w:val="24"/>
              </w:rPr>
              <w:t>LNG</w:t>
            </w:r>
            <w:r w:rsidRPr="008A2411">
              <w:rPr>
                <w:rFonts w:ascii="Times New Roman" w:hAnsi="Times New Roman"/>
                <w:color w:val="000000" w:themeColor="text1"/>
                <w:szCs w:val="24"/>
              </w:rPr>
              <w:t>加注系统</w:t>
            </w:r>
          </w:p>
        </w:tc>
        <w:tc>
          <w:tcPr>
            <w:tcW w:w="777" w:type="pct"/>
            <w:vAlign w:val="center"/>
          </w:tcPr>
          <w:p w14:paraId="5405EC70"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潜液泵</w:t>
            </w:r>
          </w:p>
        </w:tc>
        <w:tc>
          <w:tcPr>
            <w:tcW w:w="633" w:type="pct"/>
            <w:vAlign w:val="center"/>
          </w:tcPr>
          <w:p w14:paraId="024C7888"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1</w:t>
            </w:r>
          </w:p>
        </w:tc>
        <w:tc>
          <w:tcPr>
            <w:tcW w:w="645" w:type="pct"/>
            <w:vAlign w:val="center"/>
          </w:tcPr>
          <w:p w14:paraId="4AB8A5D7"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90</w:t>
            </w:r>
            <w:r w:rsidRPr="008A2411">
              <w:rPr>
                <w:rFonts w:ascii="Times New Roman" w:eastAsia="宋体" w:hAnsi="Times New Roman" w:cs="Times New Roman"/>
                <w:color w:val="000000" w:themeColor="text1"/>
                <w:kern w:val="2"/>
                <w:sz w:val="21"/>
                <w:szCs w:val="21"/>
              </w:rPr>
              <w:t>～</w:t>
            </w:r>
            <w:r w:rsidRPr="008A2411">
              <w:rPr>
                <w:rFonts w:ascii="Times New Roman" w:eastAsia="宋体" w:hAnsi="Times New Roman" w:cs="Times New Roman"/>
                <w:color w:val="000000" w:themeColor="text1"/>
                <w:kern w:val="2"/>
                <w:sz w:val="21"/>
                <w:szCs w:val="21"/>
              </w:rPr>
              <w:t>95</w:t>
            </w:r>
          </w:p>
        </w:tc>
        <w:tc>
          <w:tcPr>
            <w:tcW w:w="1021" w:type="pct"/>
            <w:vMerge/>
            <w:vAlign w:val="center"/>
          </w:tcPr>
          <w:p w14:paraId="28BEF7EF"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586" w:type="pct"/>
            <w:vAlign w:val="center"/>
          </w:tcPr>
          <w:p w14:paraId="413A599A"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8</w:t>
            </w:r>
            <w:r w:rsidRPr="008A2411">
              <w:rPr>
                <w:rFonts w:ascii="Times New Roman" w:eastAsia="宋体" w:hAnsi="Times New Roman" w:cs="Times New Roman" w:hint="eastAsia"/>
                <w:color w:val="000000" w:themeColor="text1"/>
                <w:kern w:val="2"/>
                <w:sz w:val="21"/>
                <w:szCs w:val="21"/>
              </w:rPr>
              <w:t>5</w:t>
            </w:r>
          </w:p>
        </w:tc>
        <w:tc>
          <w:tcPr>
            <w:tcW w:w="618" w:type="pct"/>
            <w:vAlign w:val="center"/>
          </w:tcPr>
          <w:p w14:paraId="768C3140"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eastAsiaTheme="minorEastAsia" w:hint="eastAsia"/>
                <w:color w:val="000000" w:themeColor="text1"/>
                <w:kern w:val="24"/>
                <w:sz w:val="21"/>
                <w:szCs w:val="21"/>
              </w:rPr>
              <w:t>24h</w:t>
            </w:r>
            <w:r w:rsidRPr="008A2411">
              <w:rPr>
                <w:rFonts w:ascii="Times New Roman" w:eastAsiaTheme="minorEastAsia"/>
                <w:color w:val="000000" w:themeColor="text1"/>
                <w:kern w:val="24"/>
                <w:sz w:val="21"/>
                <w:szCs w:val="21"/>
              </w:rPr>
              <w:t>连续</w:t>
            </w:r>
          </w:p>
        </w:tc>
      </w:tr>
      <w:tr w:rsidR="008A2411" w:rsidRPr="008A2411" w14:paraId="0B3764A4" w14:textId="77777777">
        <w:trPr>
          <w:trHeight w:val="362"/>
          <w:tblHeader/>
          <w:jc w:val="center"/>
        </w:trPr>
        <w:tc>
          <w:tcPr>
            <w:tcW w:w="717" w:type="pct"/>
            <w:vMerge/>
            <w:vAlign w:val="center"/>
          </w:tcPr>
          <w:p w14:paraId="6BDD9746" w14:textId="77777777" w:rsidR="00B0005F" w:rsidRPr="008A2411" w:rsidRDefault="00B0005F">
            <w:pPr>
              <w:pStyle w:val="WJ4"/>
              <w:spacing w:line="240" w:lineRule="auto"/>
              <w:rPr>
                <w:rFonts w:ascii="Times New Roman" w:hAnsi="Times New Roman"/>
                <w:color w:val="000000" w:themeColor="text1"/>
              </w:rPr>
            </w:pPr>
          </w:p>
        </w:tc>
        <w:tc>
          <w:tcPr>
            <w:tcW w:w="777" w:type="pct"/>
            <w:vAlign w:val="center"/>
          </w:tcPr>
          <w:p w14:paraId="2F014228"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储罐增压器</w:t>
            </w:r>
          </w:p>
        </w:tc>
        <w:tc>
          <w:tcPr>
            <w:tcW w:w="633" w:type="pct"/>
            <w:vAlign w:val="center"/>
          </w:tcPr>
          <w:p w14:paraId="5E53B765"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1</w:t>
            </w:r>
          </w:p>
        </w:tc>
        <w:tc>
          <w:tcPr>
            <w:tcW w:w="645" w:type="pct"/>
            <w:vAlign w:val="center"/>
          </w:tcPr>
          <w:p w14:paraId="4CAF86B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95~105</w:t>
            </w:r>
          </w:p>
        </w:tc>
        <w:tc>
          <w:tcPr>
            <w:tcW w:w="1021" w:type="pct"/>
            <w:vMerge/>
            <w:vAlign w:val="center"/>
          </w:tcPr>
          <w:p w14:paraId="04D0F3D4"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586" w:type="pct"/>
            <w:vAlign w:val="center"/>
          </w:tcPr>
          <w:p w14:paraId="5F26C675"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hint="eastAsia"/>
                <w:color w:val="000000" w:themeColor="text1"/>
                <w:kern w:val="2"/>
                <w:sz w:val="21"/>
                <w:szCs w:val="21"/>
              </w:rPr>
              <w:t>90</w:t>
            </w:r>
          </w:p>
        </w:tc>
        <w:tc>
          <w:tcPr>
            <w:tcW w:w="618" w:type="pct"/>
            <w:vAlign w:val="center"/>
          </w:tcPr>
          <w:p w14:paraId="6D986A6A"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eastAsiaTheme="minorEastAsia" w:hint="eastAsia"/>
                <w:color w:val="000000" w:themeColor="text1"/>
                <w:kern w:val="24"/>
                <w:sz w:val="21"/>
                <w:szCs w:val="21"/>
              </w:rPr>
              <w:t>24h</w:t>
            </w:r>
            <w:r w:rsidRPr="008A2411">
              <w:rPr>
                <w:rFonts w:ascii="Times New Roman" w:eastAsiaTheme="minorEastAsia"/>
                <w:color w:val="000000" w:themeColor="text1"/>
                <w:kern w:val="24"/>
                <w:sz w:val="21"/>
                <w:szCs w:val="21"/>
              </w:rPr>
              <w:t>连续</w:t>
            </w:r>
          </w:p>
        </w:tc>
      </w:tr>
      <w:tr w:rsidR="008A2411" w:rsidRPr="008A2411" w14:paraId="43E31EEF" w14:textId="77777777">
        <w:trPr>
          <w:tblHeader/>
          <w:jc w:val="center"/>
        </w:trPr>
        <w:tc>
          <w:tcPr>
            <w:tcW w:w="717" w:type="pct"/>
            <w:vAlign w:val="center"/>
          </w:tcPr>
          <w:p w14:paraId="671C8C11"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kern w:val="2"/>
                <w:szCs w:val="24"/>
                <w:lang w:bidi="ar"/>
              </w:rPr>
              <w:t>制氮系统</w:t>
            </w:r>
          </w:p>
        </w:tc>
        <w:tc>
          <w:tcPr>
            <w:tcW w:w="777" w:type="pct"/>
            <w:vAlign w:val="center"/>
          </w:tcPr>
          <w:p w14:paraId="4D36539F" w14:textId="77777777" w:rsidR="00B0005F" w:rsidRPr="008A2411" w:rsidRDefault="00000000">
            <w:pPr>
              <w:widowControl/>
              <w:adjustRightInd w:val="0"/>
              <w:snapToGrid w:val="0"/>
              <w:jc w:val="center"/>
              <w:rPr>
                <w:rFonts w:ascii="Times New Roman"/>
                <w:bCs/>
                <w:color w:val="000000" w:themeColor="text1"/>
                <w:kern w:val="2"/>
                <w:sz w:val="21"/>
                <w:szCs w:val="21"/>
                <w:lang w:bidi="ar"/>
              </w:rPr>
            </w:pPr>
            <w:r w:rsidRPr="008A2411">
              <w:rPr>
                <w:rFonts w:ascii="Times New Roman"/>
                <w:bCs/>
                <w:color w:val="000000" w:themeColor="text1"/>
                <w:kern w:val="2"/>
                <w:sz w:val="21"/>
                <w:szCs w:val="21"/>
                <w:lang w:bidi="ar"/>
              </w:rPr>
              <w:t>空压机</w:t>
            </w:r>
          </w:p>
        </w:tc>
        <w:tc>
          <w:tcPr>
            <w:tcW w:w="633" w:type="pct"/>
            <w:vAlign w:val="center"/>
          </w:tcPr>
          <w:p w14:paraId="3832E6BC" w14:textId="77777777" w:rsidR="00B0005F" w:rsidRPr="008A2411" w:rsidRDefault="00000000">
            <w:pPr>
              <w:widowControl/>
              <w:adjustRightInd w:val="0"/>
              <w:snapToGrid w:val="0"/>
              <w:jc w:val="center"/>
              <w:rPr>
                <w:rFonts w:ascii="Times New Roman"/>
                <w:bCs/>
                <w:color w:val="000000" w:themeColor="text1"/>
                <w:kern w:val="2"/>
                <w:sz w:val="21"/>
                <w:szCs w:val="21"/>
                <w:lang w:bidi="ar"/>
              </w:rPr>
            </w:pPr>
            <w:r w:rsidRPr="008A2411">
              <w:rPr>
                <w:rFonts w:ascii="Times New Roman"/>
                <w:bCs/>
                <w:color w:val="000000" w:themeColor="text1"/>
                <w:kern w:val="2"/>
                <w:sz w:val="21"/>
                <w:szCs w:val="21"/>
                <w:lang w:bidi="ar"/>
              </w:rPr>
              <w:t>1</w:t>
            </w:r>
          </w:p>
        </w:tc>
        <w:tc>
          <w:tcPr>
            <w:tcW w:w="645" w:type="pct"/>
            <w:vAlign w:val="center"/>
          </w:tcPr>
          <w:p w14:paraId="13CA8A53"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95~105</w:t>
            </w:r>
          </w:p>
        </w:tc>
        <w:tc>
          <w:tcPr>
            <w:tcW w:w="1021" w:type="pct"/>
            <w:vMerge w:val="restart"/>
            <w:vAlign w:val="center"/>
          </w:tcPr>
          <w:p w14:paraId="5C294554"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选用低噪声设备，合理布局，减振安装，进风口加装消音器等</w:t>
            </w:r>
          </w:p>
        </w:tc>
        <w:tc>
          <w:tcPr>
            <w:tcW w:w="586" w:type="pct"/>
            <w:vAlign w:val="center"/>
          </w:tcPr>
          <w:p w14:paraId="365583AE" w14:textId="77777777" w:rsidR="00B0005F" w:rsidRPr="008A2411" w:rsidRDefault="00000000">
            <w:pPr>
              <w:widowControl/>
              <w:adjustRightInd w:val="0"/>
              <w:snapToGrid w:val="0"/>
              <w:jc w:val="center"/>
              <w:rPr>
                <w:rFonts w:ascii="Times New Roman"/>
                <w:bCs/>
                <w:color w:val="000000" w:themeColor="text1"/>
                <w:kern w:val="2"/>
                <w:sz w:val="21"/>
                <w:szCs w:val="21"/>
                <w:lang w:bidi="ar"/>
              </w:rPr>
            </w:pPr>
            <w:r w:rsidRPr="008A2411">
              <w:rPr>
                <w:rFonts w:ascii="Times New Roman" w:hint="eastAsia"/>
                <w:bCs/>
                <w:color w:val="000000" w:themeColor="text1"/>
                <w:kern w:val="2"/>
                <w:sz w:val="21"/>
                <w:szCs w:val="21"/>
                <w:lang w:bidi="ar"/>
              </w:rPr>
              <w:t>90</w:t>
            </w:r>
          </w:p>
        </w:tc>
        <w:tc>
          <w:tcPr>
            <w:tcW w:w="618" w:type="pct"/>
            <w:vAlign w:val="center"/>
          </w:tcPr>
          <w:p w14:paraId="09A96DBA" w14:textId="77777777" w:rsidR="00B0005F" w:rsidRPr="008A2411" w:rsidRDefault="00000000">
            <w:pPr>
              <w:widowControl/>
              <w:adjustRightInd w:val="0"/>
              <w:snapToGrid w:val="0"/>
              <w:jc w:val="center"/>
              <w:rPr>
                <w:rFonts w:ascii="Times New Roman"/>
                <w:bCs/>
                <w:color w:val="000000" w:themeColor="text1"/>
                <w:kern w:val="2"/>
                <w:sz w:val="21"/>
                <w:szCs w:val="21"/>
                <w:lang w:bidi="ar"/>
              </w:rPr>
            </w:pPr>
            <w:r w:rsidRPr="008A2411">
              <w:rPr>
                <w:rFonts w:ascii="Times New Roman" w:eastAsiaTheme="minorEastAsia" w:hint="eastAsia"/>
                <w:color w:val="000000" w:themeColor="text1"/>
                <w:kern w:val="24"/>
                <w:sz w:val="21"/>
                <w:szCs w:val="21"/>
              </w:rPr>
              <w:t>24h</w:t>
            </w:r>
            <w:r w:rsidRPr="008A2411">
              <w:rPr>
                <w:rFonts w:ascii="Times New Roman" w:eastAsiaTheme="minorEastAsia"/>
                <w:color w:val="000000" w:themeColor="text1"/>
                <w:kern w:val="24"/>
                <w:sz w:val="21"/>
                <w:szCs w:val="21"/>
              </w:rPr>
              <w:t>连续</w:t>
            </w:r>
          </w:p>
        </w:tc>
      </w:tr>
      <w:tr w:rsidR="008A2411" w:rsidRPr="008A2411" w14:paraId="7A8B0729" w14:textId="77777777">
        <w:trPr>
          <w:tblHeader/>
          <w:jc w:val="center"/>
        </w:trPr>
        <w:tc>
          <w:tcPr>
            <w:tcW w:w="717" w:type="pct"/>
            <w:vAlign w:val="center"/>
          </w:tcPr>
          <w:p w14:paraId="7B2690A9"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kern w:val="2"/>
                <w:szCs w:val="24"/>
                <w:lang w:bidi="ar"/>
              </w:rPr>
              <w:t>仪表空气系统</w:t>
            </w:r>
          </w:p>
        </w:tc>
        <w:tc>
          <w:tcPr>
            <w:tcW w:w="777" w:type="pct"/>
            <w:vAlign w:val="center"/>
          </w:tcPr>
          <w:p w14:paraId="11889B6F"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螺杆式空压机</w:t>
            </w:r>
          </w:p>
        </w:tc>
        <w:tc>
          <w:tcPr>
            <w:tcW w:w="633" w:type="pct"/>
            <w:vAlign w:val="center"/>
          </w:tcPr>
          <w:p w14:paraId="40BFA480" w14:textId="77777777" w:rsidR="00B0005F" w:rsidRPr="008A2411" w:rsidRDefault="00000000">
            <w:pPr>
              <w:pStyle w:val="WJ5"/>
              <w:spacing w:line="240" w:lineRule="auto"/>
              <w:rPr>
                <w:rFonts w:ascii="Times New Roman" w:hAnsi="Times New Roman"/>
                <w:color w:val="000000" w:themeColor="text1"/>
                <w:lang w:bidi="ar"/>
              </w:rPr>
            </w:pPr>
            <w:r w:rsidRPr="008A2411">
              <w:rPr>
                <w:rFonts w:ascii="Times New Roman" w:hAnsi="Times New Roman"/>
                <w:color w:val="000000" w:themeColor="text1"/>
                <w:lang w:bidi="ar"/>
              </w:rPr>
              <w:t>3</w:t>
            </w:r>
          </w:p>
        </w:tc>
        <w:tc>
          <w:tcPr>
            <w:tcW w:w="645" w:type="pct"/>
            <w:vAlign w:val="center"/>
          </w:tcPr>
          <w:p w14:paraId="13169EAA"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95~105</w:t>
            </w:r>
          </w:p>
        </w:tc>
        <w:tc>
          <w:tcPr>
            <w:tcW w:w="1021" w:type="pct"/>
            <w:vMerge/>
            <w:vAlign w:val="center"/>
          </w:tcPr>
          <w:p w14:paraId="65D1A344"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586" w:type="pct"/>
            <w:vAlign w:val="center"/>
          </w:tcPr>
          <w:p w14:paraId="36715ACB"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hint="eastAsia"/>
                <w:bCs/>
                <w:color w:val="000000" w:themeColor="text1"/>
                <w:kern w:val="2"/>
                <w:sz w:val="21"/>
                <w:szCs w:val="21"/>
                <w:lang w:bidi="ar"/>
              </w:rPr>
              <w:t>90</w:t>
            </w:r>
          </w:p>
        </w:tc>
        <w:tc>
          <w:tcPr>
            <w:tcW w:w="618" w:type="pct"/>
            <w:vAlign w:val="center"/>
          </w:tcPr>
          <w:p w14:paraId="35B4F796"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eastAsiaTheme="minorEastAsia" w:hint="eastAsia"/>
                <w:color w:val="000000" w:themeColor="text1"/>
                <w:kern w:val="24"/>
                <w:sz w:val="21"/>
                <w:szCs w:val="21"/>
              </w:rPr>
              <w:t>24h</w:t>
            </w:r>
            <w:r w:rsidRPr="008A2411">
              <w:rPr>
                <w:rFonts w:ascii="Times New Roman" w:eastAsiaTheme="minorEastAsia"/>
                <w:color w:val="000000" w:themeColor="text1"/>
                <w:kern w:val="24"/>
                <w:sz w:val="21"/>
                <w:szCs w:val="21"/>
              </w:rPr>
              <w:t>连续</w:t>
            </w:r>
          </w:p>
        </w:tc>
      </w:tr>
      <w:tr w:rsidR="008A2411" w:rsidRPr="008A2411" w14:paraId="0F830913" w14:textId="77777777">
        <w:trPr>
          <w:tblHeader/>
          <w:jc w:val="center"/>
        </w:trPr>
        <w:tc>
          <w:tcPr>
            <w:tcW w:w="717" w:type="pct"/>
            <w:vAlign w:val="center"/>
          </w:tcPr>
          <w:p w14:paraId="429EAFA6"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kern w:val="2"/>
                <w:szCs w:val="24"/>
                <w:lang w:bidi="ar"/>
              </w:rPr>
              <w:t>闭式循环冷却水系统</w:t>
            </w:r>
          </w:p>
        </w:tc>
        <w:tc>
          <w:tcPr>
            <w:tcW w:w="777" w:type="pct"/>
            <w:vAlign w:val="center"/>
          </w:tcPr>
          <w:p w14:paraId="5CC5419A"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循环水泵</w:t>
            </w:r>
          </w:p>
        </w:tc>
        <w:tc>
          <w:tcPr>
            <w:tcW w:w="633" w:type="pct"/>
            <w:vAlign w:val="center"/>
          </w:tcPr>
          <w:p w14:paraId="1672AA08"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3</w:t>
            </w:r>
          </w:p>
        </w:tc>
        <w:tc>
          <w:tcPr>
            <w:tcW w:w="645" w:type="pct"/>
            <w:vAlign w:val="center"/>
          </w:tcPr>
          <w:p w14:paraId="47F1BCC3"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90</w:t>
            </w:r>
            <w:r w:rsidRPr="008A2411">
              <w:rPr>
                <w:rFonts w:ascii="Times New Roman" w:eastAsia="宋体" w:hAnsi="Times New Roman" w:cs="Times New Roman"/>
                <w:color w:val="000000" w:themeColor="text1"/>
                <w:kern w:val="2"/>
                <w:sz w:val="21"/>
                <w:szCs w:val="21"/>
              </w:rPr>
              <w:t>～</w:t>
            </w:r>
            <w:r w:rsidRPr="008A2411">
              <w:rPr>
                <w:rFonts w:ascii="Times New Roman" w:eastAsia="宋体" w:hAnsi="Times New Roman" w:cs="Times New Roman"/>
                <w:color w:val="000000" w:themeColor="text1"/>
                <w:kern w:val="2"/>
                <w:sz w:val="21"/>
                <w:szCs w:val="21"/>
              </w:rPr>
              <w:t>95</w:t>
            </w:r>
          </w:p>
        </w:tc>
        <w:tc>
          <w:tcPr>
            <w:tcW w:w="1021" w:type="pct"/>
            <w:vMerge w:val="restart"/>
            <w:vAlign w:val="center"/>
          </w:tcPr>
          <w:p w14:paraId="1FE36619"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Theme="minorEastAsia" w:hAnsi="Times New Roman" w:cs="Times New Roman"/>
                <w:color w:val="000000" w:themeColor="text1"/>
                <w:sz w:val="21"/>
                <w:szCs w:val="21"/>
              </w:rPr>
              <w:t>选用低噪声设备，合理布局，减振安装</w:t>
            </w:r>
            <w:r w:rsidRPr="008A2411">
              <w:rPr>
                <w:rFonts w:ascii="Times New Roman" w:eastAsia="宋体" w:hAnsi="Times New Roman" w:cs="Times New Roman"/>
                <w:bCs/>
                <w:color w:val="000000" w:themeColor="text1"/>
                <w:kern w:val="2"/>
                <w:sz w:val="21"/>
                <w:szCs w:val="21"/>
                <w:lang w:bidi="ar"/>
              </w:rPr>
              <w:t>等</w:t>
            </w:r>
          </w:p>
        </w:tc>
        <w:tc>
          <w:tcPr>
            <w:tcW w:w="586" w:type="pct"/>
            <w:vAlign w:val="center"/>
          </w:tcPr>
          <w:p w14:paraId="71D09E14"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8</w:t>
            </w:r>
            <w:r w:rsidRPr="008A2411">
              <w:rPr>
                <w:rFonts w:ascii="Times New Roman" w:eastAsia="宋体" w:hAnsi="Times New Roman" w:cs="Times New Roman" w:hint="eastAsia"/>
                <w:bCs/>
                <w:color w:val="000000" w:themeColor="text1"/>
                <w:kern w:val="2"/>
                <w:sz w:val="21"/>
                <w:szCs w:val="21"/>
                <w:lang w:bidi="ar"/>
              </w:rPr>
              <w:t>5</w:t>
            </w:r>
          </w:p>
        </w:tc>
        <w:tc>
          <w:tcPr>
            <w:tcW w:w="618" w:type="pct"/>
            <w:vAlign w:val="center"/>
          </w:tcPr>
          <w:p w14:paraId="6B4D4CAA"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eastAsiaTheme="minorEastAsia" w:hint="eastAsia"/>
                <w:color w:val="000000" w:themeColor="text1"/>
                <w:kern w:val="24"/>
                <w:sz w:val="21"/>
                <w:szCs w:val="21"/>
              </w:rPr>
              <w:t>24h</w:t>
            </w:r>
            <w:r w:rsidRPr="008A2411">
              <w:rPr>
                <w:rFonts w:ascii="Times New Roman" w:eastAsiaTheme="minorEastAsia"/>
                <w:color w:val="000000" w:themeColor="text1"/>
                <w:kern w:val="24"/>
                <w:sz w:val="21"/>
                <w:szCs w:val="21"/>
              </w:rPr>
              <w:t>连续</w:t>
            </w:r>
          </w:p>
        </w:tc>
      </w:tr>
      <w:tr w:rsidR="008A2411" w:rsidRPr="008A2411" w14:paraId="232E6BD5" w14:textId="77777777">
        <w:trPr>
          <w:tblHeader/>
          <w:jc w:val="center"/>
        </w:trPr>
        <w:tc>
          <w:tcPr>
            <w:tcW w:w="717" w:type="pct"/>
            <w:vMerge w:val="restart"/>
            <w:vAlign w:val="center"/>
          </w:tcPr>
          <w:p w14:paraId="30FFE65C"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rPr>
              <w:t>污水处理系统</w:t>
            </w:r>
          </w:p>
        </w:tc>
        <w:tc>
          <w:tcPr>
            <w:tcW w:w="777" w:type="pct"/>
            <w:vAlign w:val="center"/>
          </w:tcPr>
          <w:p w14:paraId="643523B2"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污物提水泵</w:t>
            </w:r>
          </w:p>
        </w:tc>
        <w:tc>
          <w:tcPr>
            <w:tcW w:w="633" w:type="pct"/>
            <w:vAlign w:val="center"/>
          </w:tcPr>
          <w:p w14:paraId="65A7606B"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2</w:t>
            </w:r>
          </w:p>
        </w:tc>
        <w:tc>
          <w:tcPr>
            <w:tcW w:w="645" w:type="pct"/>
            <w:vAlign w:val="center"/>
          </w:tcPr>
          <w:p w14:paraId="612AD344"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90</w:t>
            </w:r>
            <w:r w:rsidRPr="008A2411">
              <w:rPr>
                <w:rFonts w:ascii="Times New Roman" w:eastAsia="宋体" w:hAnsi="Times New Roman" w:cs="Times New Roman"/>
                <w:color w:val="000000" w:themeColor="text1"/>
                <w:kern w:val="2"/>
                <w:sz w:val="21"/>
                <w:szCs w:val="21"/>
              </w:rPr>
              <w:t>～</w:t>
            </w:r>
            <w:r w:rsidRPr="008A2411">
              <w:rPr>
                <w:rFonts w:ascii="Times New Roman" w:eastAsia="宋体" w:hAnsi="Times New Roman" w:cs="Times New Roman"/>
                <w:color w:val="000000" w:themeColor="text1"/>
                <w:kern w:val="2"/>
                <w:sz w:val="21"/>
                <w:szCs w:val="21"/>
              </w:rPr>
              <w:t>95</w:t>
            </w:r>
          </w:p>
        </w:tc>
        <w:tc>
          <w:tcPr>
            <w:tcW w:w="1021" w:type="pct"/>
            <w:vMerge/>
            <w:vAlign w:val="center"/>
          </w:tcPr>
          <w:p w14:paraId="42F7D535"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586" w:type="pct"/>
            <w:vAlign w:val="center"/>
          </w:tcPr>
          <w:p w14:paraId="38BB359C"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bCs/>
                <w:color w:val="000000" w:themeColor="text1"/>
                <w:kern w:val="2"/>
                <w:sz w:val="21"/>
                <w:szCs w:val="21"/>
                <w:lang w:bidi="ar"/>
              </w:rPr>
              <w:t>8</w:t>
            </w:r>
            <w:r w:rsidRPr="008A2411">
              <w:rPr>
                <w:rFonts w:ascii="Times New Roman" w:hint="eastAsia"/>
                <w:bCs/>
                <w:color w:val="000000" w:themeColor="text1"/>
                <w:kern w:val="2"/>
                <w:sz w:val="21"/>
                <w:szCs w:val="21"/>
                <w:lang w:bidi="ar"/>
              </w:rPr>
              <w:t>5</w:t>
            </w:r>
          </w:p>
        </w:tc>
        <w:tc>
          <w:tcPr>
            <w:tcW w:w="618" w:type="pct"/>
            <w:vAlign w:val="center"/>
          </w:tcPr>
          <w:p w14:paraId="010475F8"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eastAsiaTheme="minorEastAsia" w:hint="eastAsia"/>
                <w:color w:val="000000" w:themeColor="text1"/>
                <w:kern w:val="24"/>
                <w:sz w:val="21"/>
                <w:szCs w:val="21"/>
              </w:rPr>
              <w:t>24h</w:t>
            </w:r>
            <w:r w:rsidRPr="008A2411">
              <w:rPr>
                <w:rFonts w:ascii="Times New Roman" w:eastAsiaTheme="minorEastAsia"/>
                <w:color w:val="000000" w:themeColor="text1"/>
                <w:kern w:val="24"/>
                <w:sz w:val="21"/>
                <w:szCs w:val="21"/>
              </w:rPr>
              <w:t>连续</w:t>
            </w:r>
          </w:p>
        </w:tc>
      </w:tr>
      <w:tr w:rsidR="008A2411" w:rsidRPr="008A2411" w14:paraId="3F7232EE" w14:textId="77777777">
        <w:trPr>
          <w:trHeight w:val="615"/>
          <w:tblHeader/>
          <w:jc w:val="center"/>
        </w:trPr>
        <w:tc>
          <w:tcPr>
            <w:tcW w:w="717" w:type="pct"/>
            <w:vMerge/>
            <w:vAlign w:val="center"/>
          </w:tcPr>
          <w:p w14:paraId="46EBA1D2" w14:textId="77777777" w:rsidR="00B0005F" w:rsidRPr="008A2411" w:rsidRDefault="00B0005F">
            <w:pPr>
              <w:pStyle w:val="WJ4"/>
              <w:spacing w:line="240" w:lineRule="auto"/>
              <w:rPr>
                <w:rFonts w:ascii="Times New Roman" w:hAnsi="Times New Roman"/>
                <w:color w:val="000000" w:themeColor="text1"/>
              </w:rPr>
            </w:pPr>
          </w:p>
        </w:tc>
        <w:tc>
          <w:tcPr>
            <w:tcW w:w="777" w:type="pct"/>
            <w:vAlign w:val="center"/>
          </w:tcPr>
          <w:p w14:paraId="58ABD9A8"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搅拌器</w:t>
            </w:r>
          </w:p>
        </w:tc>
        <w:tc>
          <w:tcPr>
            <w:tcW w:w="633" w:type="pct"/>
            <w:vAlign w:val="center"/>
          </w:tcPr>
          <w:p w14:paraId="53C9D474"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4</w:t>
            </w:r>
          </w:p>
        </w:tc>
        <w:tc>
          <w:tcPr>
            <w:tcW w:w="645" w:type="pct"/>
            <w:vAlign w:val="center"/>
          </w:tcPr>
          <w:p w14:paraId="00E8387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85~90</w:t>
            </w:r>
          </w:p>
        </w:tc>
        <w:tc>
          <w:tcPr>
            <w:tcW w:w="1021" w:type="pct"/>
            <w:vMerge/>
            <w:vAlign w:val="center"/>
          </w:tcPr>
          <w:p w14:paraId="67CBDEC9"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586" w:type="pct"/>
            <w:vAlign w:val="center"/>
          </w:tcPr>
          <w:p w14:paraId="132EBAE3"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hint="eastAsia"/>
                <w:bCs/>
                <w:color w:val="000000" w:themeColor="text1"/>
                <w:kern w:val="2"/>
                <w:sz w:val="21"/>
                <w:szCs w:val="21"/>
                <w:lang w:bidi="ar"/>
              </w:rPr>
              <w:t>80</w:t>
            </w:r>
          </w:p>
        </w:tc>
        <w:tc>
          <w:tcPr>
            <w:tcW w:w="618" w:type="pct"/>
            <w:vAlign w:val="center"/>
          </w:tcPr>
          <w:p w14:paraId="02C44AB2"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eastAsiaTheme="minorEastAsia" w:hint="eastAsia"/>
                <w:color w:val="000000" w:themeColor="text1"/>
                <w:kern w:val="24"/>
                <w:sz w:val="21"/>
                <w:szCs w:val="21"/>
              </w:rPr>
              <w:t>24h</w:t>
            </w:r>
            <w:r w:rsidRPr="008A2411">
              <w:rPr>
                <w:rFonts w:ascii="Times New Roman" w:eastAsiaTheme="minorEastAsia"/>
                <w:color w:val="000000" w:themeColor="text1"/>
                <w:kern w:val="24"/>
                <w:sz w:val="21"/>
                <w:szCs w:val="21"/>
              </w:rPr>
              <w:t>连续</w:t>
            </w:r>
          </w:p>
        </w:tc>
      </w:tr>
      <w:tr w:rsidR="008A2411" w:rsidRPr="008A2411" w14:paraId="62BD43BA" w14:textId="77777777">
        <w:trPr>
          <w:tblHeader/>
          <w:jc w:val="center"/>
        </w:trPr>
        <w:tc>
          <w:tcPr>
            <w:tcW w:w="717" w:type="pct"/>
            <w:vMerge/>
            <w:vAlign w:val="center"/>
          </w:tcPr>
          <w:p w14:paraId="1B18AB02" w14:textId="77777777" w:rsidR="00B0005F" w:rsidRPr="008A2411" w:rsidRDefault="00B0005F">
            <w:pPr>
              <w:pStyle w:val="WJ4"/>
              <w:spacing w:line="240" w:lineRule="auto"/>
              <w:rPr>
                <w:rFonts w:ascii="Times New Roman" w:hAnsi="Times New Roman"/>
                <w:color w:val="000000" w:themeColor="text1"/>
              </w:rPr>
            </w:pPr>
          </w:p>
        </w:tc>
        <w:tc>
          <w:tcPr>
            <w:tcW w:w="777" w:type="pct"/>
            <w:vAlign w:val="center"/>
          </w:tcPr>
          <w:p w14:paraId="1C652E57"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回转式鼓风机</w:t>
            </w:r>
          </w:p>
        </w:tc>
        <w:tc>
          <w:tcPr>
            <w:tcW w:w="633" w:type="pct"/>
            <w:vAlign w:val="center"/>
          </w:tcPr>
          <w:p w14:paraId="70AF8570"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3</w:t>
            </w:r>
          </w:p>
        </w:tc>
        <w:tc>
          <w:tcPr>
            <w:tcW w:w="645" w:type="pct"/>
            <w:vAlign w:val="center"/>
          </w:tcPr>
          <w:p w14:paraId="189EFE9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90</w:t>
            </w:r>
            <w:r w:rsidRPr="008A2411">
              <w:rPr>
                <w:rFonts w:ascii="Times New Roman" w:eastAsia="宋体" w:hAnsi="Times New Roman" w:cs="Times New Roman"/>
                <w:color w:val="000000" w:themeColor="text1"/>
                <w:kern w:val="2"/>
                <w:sz w:val="21"/>
                <w:szCs w:val="21"/>
              </w:rPr>
              <w:t>～</w:t>
            </w:r>
            <w:r w:rsidRPr="008A2411">
              <w:rPr>
                <w:rFonts w:ascii="Times New Roman" w:eastAsia="宋体" w:hAnsi="Times New Roman" w:cs="Times New Roman"/>
                <w:color w:val="000000" w:themeColor="text1"/>
                <w:kern w:val="2"/>
                <w:sz w:val="21"/>
                <w:szCs w:val="21"/>
              </w:rPr>
              <w:t>95</w:t>
            </w:r>
          </w:p>
        </w:tc>
        <w:tc>
          <w:tcPr>
            <w:tcW w:w="1021" w:type="pct"/>
            <w:vMerge/>
            <w:vAlign w:val="center"/>
          </w:tcPr>
          <w:p w14:paraId="269AC0A7"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586" w:type="pct"/>
            <w:vAlign w:val="center"/>
          </w:tcPr>
          <w:p w14:paraId="19DD8490"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bCs/>
                <w:color w:val="000000" w:themeColor="text1"/>
                <w:kern w:val="2"/>
                <w:sz w:val="21"/>
                <w:szCs w:val="21"/>
                <w:lang w:bidi="ar"/>
              </w:rPr>
              <w:t>8</w:t>
            </w:r>
            <w:r w:rsidRPr="008A2411">
              <w:rPr>
                <w:rFonts w:ascii="Times New Roman" w:hint="eastAsia"/>
                <w:bCs/>
                <w:color w:val="000000" w:themeColor="text1"/>
                <w:kern w:val="2"/>
                <w:sz w:val="21"/>
                <w:szCs w:val="21"/>
                <w:lang w:bidi="ar"/>
              </w:rPr>
              <w:t>5</w:t>
            </w:r>
          </w:p>
        </w:tc>
        <w:tc>
          <w:tcPr>
            <w:tcW w:w="618" w:type="pct"/>
            <w:vAlign w:val="center"/>
          </w:tcPr>
          <w:p w14:paraId="62333D23"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eastAsiaTheme="minorEastAsia" w:hint="eastAsia"/>
                <w:color w:val="000000" w:themeColor="text1"/>
                <w:kern w:val="24"/>
                <w:sz w:val="21"/>
                <w:szCs w:val="21"/>
              </w:rPr>
              <w:t>24h</w:t>
            </w:r>
            <w:r w:rsidRPr="008A2411">
              <w:rPr>
                <w:rFonts w:ascii="Times New Roman" w:eastAsiaTheme="minorEastAsia"/>
                <w:color w:val="000000" w:themeColor="text1"/>
                <w:kern w:val="24"/>
                <w:sz w:val="21"/>
                <w:szCs w:val="21"/>
              </w:rPr>
              <w:t>连续</w:t>
            </w:r>
          </w:p>
        </w:tc>
      </w:tr>
      <w:tr w:rsidR="008A2411" w:rsidRPr="008A2411" w14:paraId="638B40C1" w14:textId="77777777">
        <w:trPr>
          <w:tblHeader/>
          <w:jc w:val="center"/>
        </w:trPr>
        <w:tc>
          <w:tcPr>
            <w:tcW w:w="717" w:type="pct"/>
            <w:vMerge/>
            <w:vAlign w:val="center"/>
          </w:tcPr>
          <w:p w14:paraId="11DC1283" w14:textId="77777777" w:rsidR="00B0005F" w:rsidRPr="008A2411" w:rsidRDefault="00B0005F">
            <w:pPr>
              <w:pStyle w:val="WJ4"/>
              <w:spacing w:line="240" w:lineRule="auto"/>
              <w:rPr>
                <w:rFonts w:ascii="Times New Roman" w:hAnsi="Times New Roman"/>
                <w:color w:val="000000" w:themeColor="text1"/>
              </w:rPr>
            </w:pPr>
          </w:p>
        </w:tc>
        <w:tc>
          <w:tcPr>
            <w:tcW w:w="777" w:type="pct"/>
            <w:vAlign w:val="center"/>
          </w:tcPr>
          <w:p w14:paraId="42BEDA32"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回流泵</w:t>
            </w:r>
          </w:p>
        </w:tc>
        <w:tc>
          <w:tcPr>
            <w:tcW w:w="633" w:type="pct"/>
            <w:vAlign w:val="center"/>
          </w:tcPr>
          <w:p w14:paraId="2EC58941"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2</w:t>
            </w:r>
          </w:p>
        </w:tc>
        <w:tc>
          <w:tcPr>
            <w:tcW w:w="645" w:type="pct"/>
            <w:vAlign w:val="center"/>
          </w:tcPr>
          <w:p w14:paraId="6B2F5B53"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90</w:t>
            </w:r>
            <w:r w:rsidRPr="008A2411">
              <w:rPr>
                <w:rFonts w:ascii="Times New Roman" w:eastAsia="宋体" w:hAnsi="Times New Roman" w:cs="Times New Roman"/>
                <w:color w:val="000000" w:themeColor="text1"/>
                <w:kern w:val="2"/>
                <w:sz w:val="21"/>
                <w:szCs w:val="21"/>
              </w:rPr>
              <w:t>～</w:t>
            </w:r>
            <w:r w:rsidRPr="008A2411">
              <w:rPr>
                <w:rFonts w:ascii="Times New Roman" w:eastAsia="宋体" w:hAnsi="Times New Roman" w:cs="Times New Roman"/>
                <w:color w:val="000000" w:themeColor="text1"/>
                <w:kern w:val="2"/>
                <w:sz w:val="21"/>
                <w:szCs w:val="21"/>
              </w:rPr>
              <w:t>95</w:t>
            </w:r>
          </w:p>
        </w:tc>
        <w:tc>
          <w:tcPr>
            <w:tcW w:w="1021" w:type="pct"/>
            <w:vMerge/>
            <w:vAlign w:val="center"/>
          </w:tcPr>
          <w:p w14:paraId="12CF81C1"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586" w:type="pct"/>
            <w:vAlign w:val="center"/>
          </w:tcPr>
          <w:p w14:paraId="3DB193AB"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bCs/>
                <w:color w:val="000000" w:themeColor="text1"/>
                <w:kern w:val="2"/>
                <w:sz w:val="21"/>
                <w:szCs w:val="21"/>
                <w:lang w:bidi="ar"/>
              </w:rPr>
              <w:t>8</w:t>
            </w:r>
            <w:r w:rsidRPr="008A2411">
              <w:rPr>
                <w:rFonts w:ascii="Times New Roman" w:hint="eastAsia"/>
                <w:bCs/>
                <w:color w:val="000000" w:themeColor="text1"/>
                <w:kern w:val="2"/>
                <w:sz w:val="21"/>
                <w:szCs w:val="21"/>
                <w:lang w:bidi="ar"/>
              </w:rPr>
              <w:t>5</w:t>
            </w:r>
          </w:p>
        </w:tc>
        <w:tc>
          <w:tcPr>
            <w:tcW w:w="618" w:type="pct"/>
            <w:vAlign w:val="center"/>
          </w:tcPr>
          <w:p w14:paraId="607AD6B1"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eastAsiaTheme="minorEastAsia" w:hint="eastAsia"/>
                <w:color w:val="000000" w:themeColor="text1"/>
                <w:kern w:val="24"/>
                <w:sz w:val="21"/>
                <w:szCs w:val="21"/>
              </w:rPr>
              <w:t>24h</w:t>
            </w:r>
            <w:r w:rsidRPr="008A2411">
              <w:rPr>
                <w:rFonts w:ascii="Times New Roman" w:eastAsiaTheme="minorEastAsia"/>
                <w:color w:val="000000" w:themeColor="text1"/>
                <w:kern w:val="24"/>
                <w:sz w:val="21"/>
                <w:szCs w:val="21"/>
              </w:rPr>
              <w:t>连续</w:t>
            </w:r>
          </w:p>
        </w:tc>
      </w:tr>
      <w:tr w:rsidR="008A2411" w:rsidRPr="008A2411" w14:paraId="0720B2FA" w14:textId="77777777">
        <w:trPr>
          <w:trHeight w:val="323"/>
          <w:tblHeader/>
          <w:jc w:val="center"/>
        </w:trPr>
        <w:tc>
          <w:tcPr>
            <w:tcW w:w="717" w:type="pct"/>
            <w:vMerge/>
            <w:vAlign w:val="center"/>
          </w:tcPr>
          <w:p w14:paraId="70402100" w14:textId="77777777" w:rsidR="00B0005F" w:rsidRPr="008A2411" w:rsidRDefault="00B0005F">
            <w:pPr>
              <w:pStyle w:val="WJ4"/>
              <w:spacing w:line="240" w:lineRule="auto"/>
              <w:rPr>
                <w:rFonts w:ascii="Times New Roman" w:hAnsi="Times New Roman"/>
                <w:color w:val="000000" w:themeColor="text1"/>
              </w:rPr>
            </w:pPr>
          </w:p>
        </w:tc>
        <w:tc>
          <w:tcPr>
            <w:tcW w:w="777" w:type="pct"/>
            <w:vAlign w:val="center"/>
          </w:tcPr>
          <w:p w14:paraId="673EE4A0"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刮泥机</w:t>
            </w:r>
          </w:p>
        </w:tc>
        <w:tc>
          <w:tcPr>
            <w:tcW w:w="633" w:type="pct"/>
            <w:vAlign w:val="center"/>
          </w:tcPr>
          <w:p w14:paraId="72D5B00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1</w:t>
            </w:r>
          </w:p>
        </w:tc>
        <w:tc>
          <w:tcPr>
            <w:tcW w:w="645" w:type="pct"/>
            <w:vAlign w:val="center"/>
          </w:tcPr>
          <w:p w14:paraId="0ACFF270"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85~90</w:t>
            </w:r>
          </w:p>
        </w:tc>
        <w:tc>
          <w:tcPr>
            <w:tcW w:w="1021" w:type="pct"/>
            <w:vMerge/>
            <w:vAlign w:val="center"/>
          </w:tcPr>
          <w:p w14:paraId="66947526"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586" w:type="pct"/>
            <w:vAlign w:val="center"/>
          </w:tcPr>
          <w:p w14:paraId="685F1110"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hint="eastAsia"/>
                <w:bCs/>
                <w:color w:val="000000" w:themeColor="text1"/>
                <w:kern w:val="2"/>
                <w:sz w:val="21"/>
                <w:szCs w:val="21"/>
                <w:lang w:bidi="ar"/>
              </w:rPr>
              <w:t>80</w:t>
            </w:r>
          </w:p>
        </w:tc>
        <w:tc>
          <w:tcPr>
            <w:tcW w:w="618" w:type="pct"/>
            <w:vAlign w:val="center"/>
          </w:tcPr>
          <w:p w14:paraId="221E7FFC"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eastAsiaTheme="minorEastAsia" w:hint="eastAsia"/>
                <w:color w:val="000000" w:themeColor="text1"/>
                <w:kern w:val="24"/>
                <w:sz w:val="21"/>
                <w:szCs w:val="21"/>
              </w:rPr>
              <w:t>24h</w:t>
            </w:r>
            <w:r w:rsidRPr="008A2411">
              <w:rPr>
                <w:rFonts w:ascii="Times New Roman" w:eastAsiaTheme="minorEastAsia"/>
                <w:color w:val="000000" w:themeColor="text1"/>
                <w:kern w:val="24"/>
                <w:sz w:val="21"/>
                <w:szCs w:val="21"/>
              </w:rPr>
              <w:t>连续</w:t>
            </w:r>
          </w:p>
        </w:tc>
      </w:tr>
      <w:tr w:rsidR="008A2411" w:rsidRPr="008A2411" w14:paraId="6FCD3CBE" w14:textId="77777777">
        <w:trPr>
          <w:tblHeader/>
          <w:jc w:val="center"/>
        </w:trPr>
        <w:tc>
          <w:tcPr>
            <w:tcW w:w="717" w:type="pct"/>
            <w:vMerge/>
            <w:vAlign w:val="center"/>
          </w:tcPr>
          <w:p w14:paraId="0C7EDECA" w14:textId="77777777" w:rsidR="00B0005F" w:rsidRPr="008A2411" w:rsidRDefault="00B0005F">
            <w:pPr>
              <w:pStyle w:val="WJ4"/>
              <w:spacing w:line="240" w:lineRule="auto"/>
              <w:rPr>
                <w:rFonts w:ascii="Times New Roman" w:hAnsi="Times New Roman"/>
                <w:color w:val="000000" w:themeColor="text1"/>
              </w:rPr>
            </w:pPr>
          </w:p>
        </w:tc>
        <w:tc>
          <w:tcPr>
            <w:tcW w:w="777" w:type="pct"/>
            <w:vAlign w:val="center"/>
          </w:tcPr>
          <w:p w14:paraId="7A35A72C"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污物泵</w:t>
            </w:r>
          </w:p>
        </w:tc>
        <w:tc>
          <w:tcPr>
            <w:tcW w:w="633" w:type="pct"/>
            <w:vAlign w:val="center"/>
          </w:tcPr>
          <w:p w14:paraId="775B413C"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2</w:t>
            </w:r>
          </w:p>
        </w:tc>
        <w:tc>
          <w:tcPr>
            <w:tcW w:w="645" w:type="pct"/>
            <w:vAlign w:val="center"/>
          </w:tcPr>
          <w:p w14:paraId="02E29D8D"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90</w:t>
            </w:r>
            <w:r w:rsidRPr="008A2411">
              <w:rPr>
                <w:rFonts w:ascii="Times New Roman" w:eastAsia="宋体" w:hAnsi="Times New Roman" w:cs="Times New Roman"/>
                <w:color w:val="000000" w:themeColor="text1"/>
                <w:kern w:val="2"/>
                <w:sz w:val="21"/>
                <w:szCs w:val="21"/>
              </w:rPr>
              <w:t>～</w:t>
            </w:r>
            <w:r w:rsidRPr="008A2411">
              <w:rPr>
                <w:rFonts w:ascii="Times New Roman" w:eastAsia="宋体" w:hAnsi="Times New Roman" w:cs="Times New Roman"/>
                <w:color w:val="000000" w:themeColor="text1"/>
                <w:kern w:val="2"/>
                <w:sz w:val="21"/>
                <w:szCs w:val="21"/>
              </w:rPr>
              <w:t>95</w:t>
            </w:r>
          </w:p>
        </w:tc>
        <w:tc>
          <w:tcPr>
            <w:tcW w:w="1021" w:type="pct"/>
            <w:vMerge/>
            <w:vAlign w:val="center"/>
          </w:tcPr>
          <w:p w14:paraId="4AC2DC59"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586" w:type="pct"/>
            <w:vAlign w:val="center"/>
          </w:tcPr>
          <w:p w14:paraId="308C3008"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bCs/>
                <w:color w:val="000000" w:themeColor="text1"/>
                <w:kern w:val="2"/>
                <w:sz w:val="21"/>
                <w:szCs w:val="21"/>
                <w:lang w:bidi="ar"/>
              </w:rPr>
              <w:t>8</w:t>
            </w:r>
            <w:r w:rsidRPr="008A2411">
              <w:rPr>
                <w:rFonts w:ascii="Times New Roman" w:hint="eastAsia"/>
                <w:bCs/>
                <w:color w:val="000000" w:themeColor="text1"/>
                <w:kern w:val="2"/>
                <w:sz w:val="21"/>
                <w:szCs w:val="21"/>
                <w:lang w:bidi="ar"/>
              </w:rPr>
              <w:t>5</w:t>
            </w:r>
          </w:p>
        </w:tc>
        <w:tc>
          <w:tcPr>
            <w:tcW w:w="618" w:type="pct"/>
            <w:vAlign w:val="center"/>
          </w:tcPr>
          <w:p w14:paraId="0D1B6A64"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eastAsiaTheme="minorEastAsia" w:hint="eastAsia"/>
                <w:color w:val="000000" w:themeColor="text1"/>
                <w:kern w:val="24"/>
                <w:sz w:val="21"/>
                <w:szCs w:val="21"/>
              </w:rPr>
              <w:t>24h</w:t>
            </w:r>
            <w:r w:rsidRPr="008A2411">
              <w:rPr>
                <w:rFonts w:ascii="Times New Roman" w:eastAsiaTheme="minorEastAsia"/>
                <w:color w:val="000000" w:themeColor="text1"/>
                <w:kern w:val="24"/>
                <w:sz w:val="21"/>
                <w:szCs w:val="21"/>
              </w:rPr>
              <w:t>连续</w:t>
            </w:r>
          </w:p>
        </w:tc>
      </w:tr>
      <w:tr w:rsidR="008A2411" w:rsidRPr="008A2411" w14:paraId="07B600F8" w14:textId="77777777">
        <w:trPr>
          <w:tblHeader/>
          <w:jc w:val="center"/>
        </w:trPr>
        <w:tc>
          <w:tcPr>
            <w:tcW w:w="717" w:type="pct"/>
            <w:vMerge/>
            <w:vAlign w:val="center"/>
          </w:tcPr>
          <w:p w14:paraId="2FA02AA1" w14:textId="77777777" w:rsidR="00B0005F" w:rsidRPr="008A2411" w:rsidRDefault="00B0005F">
            <w:pPr>
              <w:pStyle w:val="WJ4"/>
              <w:spacing w:line="240" w:lineRule="auto"/>
              <w:rPr>
                <w:rFonts w:ascii="Times New Roman" w:hAnsi="Times New Roman"/>
                <w:color w:val="000000" w:themeColor="text1"/>
              </w:rPr>
            </w:pPr>
          </w:p>
        </w:tc>
        <w:tc>
          <w:tcPr>
            <w:tcW w:w="777" w:type="pct"/>
            <w:vAlign w:val="center"/>
          </w:tcPr>
          <w:p w14:paraId="2E9021A7"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过滤泵</w:t>
            </w:r>
          </w:p>
        </w:tc>
        <w:tc>
          <w:tcPr>
            <w:tcW w:w="633" w:type="pct"/>
            <w:vAlign w:val="center"/>
          </w:tcPr>
          <w:p w14:paraId="6A67E23A"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2</w:t>
            </w:r>
          </w:p>
        </w:tc>
        <w:tc>
          <w:tcPr>
            <w:tcW w:w="645" w:type="pct"/>
            <w:vAlign w:val="center"/>
          </w:tcPr>
          <w:p w14:paraId="2E5EADC1"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90</w:t>
            </w:r>
            <w:r w:rsidRPr="008A2411">
              <w:rPr>
                <w:rFonts w:ascii="Times New Roman" w:eastAsia="宋体" w:hAnsi="Times New Roman" w:cs="Times New Roman"/>
                <w:color w:val="000000" w:themeColor="text1"/>
                <w:kern w:val="2"/>
                <w:sz w:val="21"/>
                <w:szCs w:val="21"/>
              </w:rPr>
              <w:t>～</w:t>
            </w:r>
            <w:r w:rsidRPr="008A2411">
              <w:rPr>
                <w:rFonts w:ascii="Times New Roman" w:eastAsia="宋体" w:hAnsi="Times New Roman" w:cs="Times New Roman"/>
                <w:color w:val="000000" w:themeColor="text1"/>
                <w:kern w:val="2"/>
                <w:sz w:val="21"/>
                <w:szCs w:val="21"/>
              </w:rPr>
              <w:t>95</w:t>
            </w:r>
          </w:p>
        </w:tc>
        <w:tc>
          <w:tcPr>
            <w:tcW w:w="1021" w:type="pct"/>
            <w:vMerge/>
            <w:vAlign w:val="center"/>
          </w:tcPr>
          <w:p w14:paraId="013C810F"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586" w:type="pct"/>
            <w:vAlign w:val="center"/>
          </w:tcPr>
          <w:p w14:paraId="092FDBEB"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bCs/>
                <w:color w:val="000000" w:themeColor="text1"/>
                <w:kern w:val="2"/>
                <w:sz w:val="21"/>
                <w:szCs w:val="21"/>
                <w:lang w:bidi="ar"/>
              </w:rPr>
              <w:t>8</w:t>
            </w:r>
            <w:r w:rsidRPr="008A2411">
              <w:rPr>
                <w:rFonts w:ascii="Times New Roman" w:hint="eastAsia"/>
                <w:bCs/>
                <w:color w:val="000000" w:themeColor="text1"/>
                <w:kern w:val="2"/>
                <w:sz w:val="21"/>
                <w:szCs w:val="21"/>
                <w:lang w:bidi="ar"/>
              </w:rPr>
              <w:t>5</w:t>
            </w:r>
          </w:p>
        </w:tc>
        <w:tc>
          <w:tcPr>
            <w:tcW w:w="618" w:type="pct"/>
            <w:vAlign w:val="center"/>
          </w:tcPr>
          <w:p w14:paraId="0C147415"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eastAsiaTheme="minorEastAsia" w:hint="eastAsia"/>
                <w:color w:val="000000" w:themeColor="text1"/>
                <w:kern w:val="24"/>
                <w:sz w:val="21"/>
                <w:szCs w:val="21"/>
              </w:rPr>
              <w:t>24h</w:t>
            </w:r>
            <w:r w:rsidRPr="008A2411">
              <w:rPr>
                <w:rFonts w:ascii="Times New Roman" w:eastAsiaTheme="minorEastAsia"/>
                <w:color w:val="000000" w:themeColor="text1"/>
                <w:kern w:val="24"/>
                <w:sz w:val="21"/>
                <w:szCs w:val="21"/>
              </w:rPr>
              <w:t>连续</w:t>
            </w:r>
          </w:p>
        </w:tc>
      </w:tr>
      <w:tr w:rsidR="008A2411" w:rsidRPr="008A2411" w14:paraId="7252F9C1" w14:textId="77777777">
        <w:trPr>
          <w:tblHeader/>
          <w:jc w:val="center"/>
        </w:trPr>
        <w:tc>
          <w:tcPr>
            <w:tcW w:w="717" w:type="pct"/>
            <w:vMerge/>
            <w:vAlign w:val="center"/>
          </w:tcPr>
          <w:p w14:paraId="6C4FCFD1" w14:textId="77777777" w:rsidR="00B0005F" w:rsidRPr="008A2411" w:rsidRDefault="00B0005F">
            <w:pPr>
              <w:pStyle w:val="WJ4"/>
              <w:spacing w:line="240" w:lineRule="auto"/>
              <w:rPr>
                <w:rFonts w:ascii="Times New Roman" w:hAnsi="Times New Roman"/>
                <w:color w:val="000000" w:themeColor="text1"/>
              </w:rPr>
            </w:pPr>
          </w:p>
        </w:tc>
        <w:tc>
          <w:tcPr>
            <w:tcW w:w="777" w:type="pct"/>
            <w:vAlign w:val="center"/>
          </w:tcPr>
          <w:p w14:paraId="4CE48371"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反冲洗泵</w:t>
            </w:r>
          </w:p>
        </w:tc>
        <w:tc>
          <w:tcPr>
            <w:tcW w:w="633" w:type="pct"/>
            <w:vAlign w:val="center"/>
          </w:tcPr>
          <w:p w14:paraId="759367A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1</w:t>
            </w:r>
          </w:p>
        </w:tc>
        <w:tc>
          <w:tcPr>
            <w:tcW w:w="645" w:type="pct"/>
            <w:vAlign w:val="center"/>
          </w:tcPr>
          <w:p w14:paraId="32FD720D"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90</w:t>
            </w:r>
            <w:r w:rsidRPr="008A2411">
              <w:rPr>
                <w:rFonts w:ascii="Times New Roman" w:eastAsia="宋体" w:hAnsi="Times New Roman" w:cs="Times New Roman"/>
                <w:color w:val="000000" w:themeColor="text1"/>
                <w:kern w:val="2"/>
                <w:sz w:val="21"/>
                <w:szCs w:val="21"/>
              </w:rPr>
              <w:t>～</w:t>
            </w:r>
            <w:r w:rsidRPr="008A2411">
              <w:rPr>
                <w:rFonts w:ascii="Times New Roman" w:eastAsia="宋体" w:hAnsi="Times New Roman" w:cs="Times New Roman"/>
                <w:color w:val="000000" w:themeColor="text1"/>
                <w:kern w:val="2"/>
                <w:sz w:val="21"/>
                <w:szCs w:val="21"/>
              </w:rPr>
              <w:t>95</w:t>
            </w:r>
          </w:p>
        </w:tc>
        <w:tc>
          <w:tcPr>
            <w:tcW w:w="1021" w:type="pct"/>
            <w:vMerge/>
            <w:vAlign w:val="center"/>
          </w:tcPr>
          <w:p w14:paraId="400D2FAB"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586" w:type="pct"/>
            <w:vAlign w:val="center"/>
          </w:tcPr>
          <w:p w14:paraId="54EA8FE2"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bCs/>
                <w:color w:val="000000" w:themeColor="text1"/>
                <w:kern w:val="2"/>
                <w:sz w:val="21"/>
                <w:szCs w:val="21"/>
                <w:lang w:bidi="ar"/>
              </w:rPr>
              <w:t>8</w:t>
            </w:r>
            <w:r w:rsidRPr="008A2411">
              <w:rPr>
                <w:rFonts w:ascii="Times New Roman" w:hint="eastAsia"/>
                <w:bCs/>
                <w:color w:val="000000" w:themeColor="text1"/>
                <w:kern w:val="2"/>
                <w:sz w:val="21"/>
                <w:szCs w:val="21"/>
                <w:lang w:bidi="ar"/>
              </w:rPr>
              <w:t>5</w:t>
            </w:r>
          </w:p>
        </w:tc>
        <w:tc>
          <w:tcPr>
            <w:tcW w:w="618" w:type="pct"/>
            <w:vAlign w:val="center"/>
          </w:tcPr>
          <w:p w14:paraId="459EA5FF"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eastAsiaTheme="minorEastAsia" w:hint="eastAsia"/>
                <w:color w:val="000000" w:themeColor="text1"/>
                <w:kern w:val="24"/>
                <w:sz w:val="21"/>
                <w:szCs w:val="21"/>
              </w:rPr>
              <w:t>24h</w:t>
            </w:r>
            <w:r w:rsidRPr="008A2411">
              <w:rPr>
                <w:rFonts w:ascii="Times New Roman" w:eastAsiaTheme="minorEastAsia"/>
                <w:color w:val="000000" w:themeColor="text1"/>
                <w:kern w:val="24"/>
                <w:sz w:val="21"/>
                <w:szCs w:val="21"/>
              </w:rPr>
              <w:t>连续</w:t>
            </w:r>
          </w:p>
        </w:tc>
      </w:tr>
      <w:tr w:rsidR="008A2411" w:rsidRPr="008A2411" w14:paraId="0032BB10" w14:textId="77777777">
        <w:trPr>
          <w:tblHeader/>
          <w:jc w:val="center"/>
        </w:trPr>
        <w:tc>
          <w:tcPr>
            <w:tcW w:w="717" w:type="pct"/>
            <w:vMerge/>
            <w:vAlign w:val="center"/>
          </w:tcPr>
          <w:p w14:paraId="7444644F" w14:textId="77777777" w:rsidR="00B0005F" w:rsidRPr="008A2411" w:rsidRDefault="00B0005F">
            <w:pPr>
              <w:pStyle w:val="WJ4"/>
              <w:spacing w:line="240" w:lineRule="auto"/>
              <w:rPr>
                <w:rFonts w:ascii="Times New Roman" w:hAnsi="Times New Roman"/>
                <w:color w:val="000000" w:themeColor="text1"/>
              </w:rPr>
            </w:pPr>
          </w:p>
        </w:tc>
        <w:tc>
          <w:tcPr>
            <w:tcW w:w="777" w:type="pct"/>
            <w:vAlign w:val="center"/>
          </w:tcPr>
          <w:p w14:paraId="7EC92CFF"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过滤泵</w:t>
            </w:r>
          </w:p>
        </w:tc>
        <w:tc>
          <w:tcPr>
            <w:tcW w:w="633" w:type="pct"/>
            <w:vAlign w:val="center"/>
          </w:tcPr>
          <w:p w14:paraId="06D02E0C"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2</w:t>
            </w:r>
          </w:p>
        </w:tc>
        <w:tc>
          <w:tcPr>
            <w:tcW w:w="645" w:type="pct"/>
            <w:vAlign w:val="center"/>
          </w:tcPr>
          <w:p w14:paraId="7B833C20"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90</w:t>
            </w:r>
            <w:r w:rsidRPr="008A2411">
              <w:rPr>
                <w:rFonts w:ascii="Times New Roman" w:eastAsia="宋体" w:hAnsi="Times New Roman" w:cs="Times New Roman"/>
                <w:color w:val="000000" w:themeColor="text1"/>
                <w:kern w:val="2"/>
                <w:sz w:val="21"/>
                <w:szCs w:val="21"/>
              </w:rPr>
              <w:t>～</w:t>
            </w:r>
            <w:r w:rsidRPr="008A2411">
              <w:rPr>
                <w:rFonts w:ascii="Times New Roman" w:eastAsia="宋体" w:hAnsi="Times New Roman" w:cs="Times New Roman"/>
                <w:color w:val="000000" w:themeColor="text1"/>
                <w:kern w:val="2"/>
                <w:sz w:val="21"/>
                <w:szCs w:val="21"/>
              </w:rPr>
              <w:t>95</w:t>
            </w:r>
          </w:p>
        </w:tc>
        <w:tc>
          <w:tcPr>
            <w:tcW w:w="1021" w:type="pct"/>
            <w:vMerge/>
            <w:vAlign w:val="center"/>
          </w:tcPr>
          <w:p w14:paraId="74A6998C"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586" w:type="pct"/>
            <w:vAlign w:val="center"/>
          </w:tcPr>
          <w:p w14:paraId="365D8EDD"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bCs/>
                <w:color w:val="000000" w:themeColor="text1"/>
                <w:kern w:val="2"/>
                <w:sz w:val="21"/>
                <w:szCs w:val="21"/>
                <w:lang w:bidi="ar"/>
              </w:rPr>
              <w:t>8</w:t>
            </w:r>
            <w:r w:rsidRPr="008A2411">
              <w:rPr>
                <w:rFonts w:ascii="Times New Roman" w:hint="eastAsia"/>
                <w:bCs/>
                <w:color w:val="000000" w:themeColor="text1"/>
                <w:kern w:val="2"/>
                <w:sz w:val="21"/>
                <w:szCs w:val="21"/>
                <w:lang w:bidi="ar"/>
              </w:rPr>
              <w:t>5</w:t>
            </w:r>
          </w:p>
        </w:tc>
        <w:tc>
          <w:tcPr>
            <w:tcW w:w="618" w:type="pct"/>
            <w:vAlign w:val="center"/>
          </w:tcPr>
          <w:p w14:paraId="3E3E89A1"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eastAsiaTheme="minorEastAsia" w:hint="eastAsia"/>
                <w:color w:val="000000" w:themeColor="text1"/>
                <w:kern w:val="24"/>
                <w:sz w:val="21"/>
                <w:szCs w:val="21"/>
              </w:rPr>
              <w:t>24h</w:t>
            </w:r>
            <w:r w:rsidRPr="008A2411">
              <w:rPr>
                <w:rFonts w:ascii="Times New Roman" w:eastAsiaTheme="minorEastAsia"/>
                <w:color w:val="000000" w:themeColor="text1"/>
                <w:kern w:val="24"/>
                <w:sz w:val="21"/>
                <w:szCs w:val="21"/>
              </w:rPr>
              <w:t>连续</w:t>
            </w:r>
          </w:p>
        </w:tc>
      </w:tr>
      <w:tr w:rsidR="008A2411" w:rsidRPr="008A2411" w14:paraId="6F9AFBCF" w14:textId="77777777">
        <w:trPr>
          <w:tblHeader/>
          <w:jc w:val="center"/>
        </w:trPr>
        <w:tc>
          <w:tcPr>
            <w:tcW w:w="717" w:type="pct"/>
            <w:vMerge/>
            <w:vAlign w:val="center"/>
          </w:tcPr>
          <w:p w14:paraId="353EF28F" w14:textId="77777777" w:rsidR="00B0005F" w:rsidRPr="008A2411" w:rsidRDefault="00B0005F">
            <w:pPr>
              <w:pStyle w:val="WJ4"/>
              <w:spacing w:line="240" w:lineRule="auto"/>
              <w:rPr>
                <w:rFonts w:ascii="Times New Roman" w:hAnsi="Times New Roman"/>
                <w:color w:val="000000" w:themeColor="text1"/>
              </w:rPr>
            </w:pPr>
          </w:p>
        </w:tc>
        <w:tc>
          <w:tcPr>
            <w:tcW w:w="777" w:type="pct"/>
            <w:vAlign w:val="center"/>
          </w:tcPr>
          <w:p w14:paraId="4AEC360F"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污泥脱水机</w:t>
            </w:r>
          </w:p>
        </w:tc>
        <w:tc>
          <w:tcPr>
            <w:tcW w:w="633" w:type="pct"/>
            <w:vAlign w:val="center"/>
          </w:tcPr>
          <w:p w14:paraId="62E2CB11"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1</w:t>
            </w:r>
          </w:p>
        </w:tc>
        <w:tc>
          <w:tcPr>
            <w:tcW w:w="645" w:type="pct"/>
            <w:vAlign w:val="center"/>
          </w:tcPr>
          <w:p w14:paraId="3195416A"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85~90</w:t>
            </w:r>
          </w:p>
        </w:tc>
        <w:tc>
          <w:tcPr>
            <w:tcW w:w="1021" w:type="pct"/>
            <w:vMerge/>
            <w:vAlign w:val="center"/>
          </w:tcPr>
          <w:p w14:paraId="45FB4B1C"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586" w:type="pct"/>
            <w:vAlign w:val="center"/>
          </w:tcPr>
          <w:p w14:paraId="547D5593"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hint="eastAsia"/>
                <w:bCs/>
                <w:color w:val="000000" w:themeColor="text1"/>
                <w:kern w:val="2"/>
                <w:sz w:val="21"/>
                <w:szCs w:val="21"/>
                <w:lang w:bidi="ar"/>
              </w:rPr>
              <w:t>80</w:t>
            </w:r>
          </w:p>
        </w:tc>
        <w:tc>
          <w:tcPr>
            <w:tcW w:w="618" w:type="pct"/>
            <w:vAlign w:val="center"/>
          </w:tcPr>
          <w:p w14:paraId="6748D186"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eastAsiaTheme="minorEastAsia" w:hint="eastAsia"/>
                <w:color w:val="000000" w:themeColor="text1"/>
                <w:kern w:val="24"/>
                <w:sz w:val="21"/>
                <w:szCs w:val="21"/>
              </w:rPr>
              <w:t>24h</w:t>
            </w:r>
            <w:r w:rsidRPr="008A2411">
              <w:rPr>
                <w:rFonts w:ascii="Times New Roman" w:eastAsiaTheme="minorEastAsia"/>
                <w:color w:val="000000" w:themeColor="text1"/>
                <w:kern w:val="24"/>
                <w:sz w:val="21"/>
                <w:szCs w:val="21"/>
              </w:rPr>
              <w:t>连续</w:t>
            </w:r>
          </w:p>
        </w:tc>
      </w:tr>
      <w:tr w:rsidR="008A2411" w:rsidRPr="008A2411" w14:paraId="335FAE17" w14:textId="77777777">
        <w:trPr>
          <w:tblHeader/>
          <w:jc w:val="center"/>
        </w:trPr>
        <w:tc>
          <w:tcPr>
            <w:tcW w:w="717" w:type="pct"/>
            <w:vMerge/>
            <w:vAlign w:val="center"/>
          </w:tcPr>
          <w:p w14:paraId="27BB3740" w14:textId="77777777" w:rsidR="00B0005F" w:rsidRPr="008A2411" w:rsidRDefault="00B0005F">
            <w:pPr>
              <w:pStyle w:val="WJ4"/>
              <w:spacing w:line="240" w:lineRule="auto"/>
              <w:rPr>
                <w:rFonts w:ascii="Times New Roman" w:hAnsi="Times New Roman"/>
                <w:color w:val="000000" w:themeColor="text1"/>
              </w:rPr>
            </w:pPr>
          </w:p>
        </w:tc>
        <w:tc>
          <w:tcPr>
            <w:tcW w:w="777" w:type="pct"/>
            <w:vAlign w:val="center"/>
          </w:tcPr>
          <w:p w14:paraId="54436040"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气动泵</w:t>
            </w:r>
          </w:p>
        </w:tc>
        <w:tc>
          <w:tcPr>
            <w:tcW w:w="633" w:type="pct"/>
            <w:vAlign w:val="center"/>
          </w:tcPr>
          <w:p w14:paraId="37D05476"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2</w:t>
            </w:r>
          </w:p>
        </w:tc>
        <w:tc>
          <w:tcPr>
            <w:tcW w:w="645" w:type="pct"/>
            <w:vAlign w:val="center"/>
          </w:tcPr>
          <w:p w14:paraId="4E450B35"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90</w:t>
            </w:r>
            <w:r w:rsidRPr="008A2411">
              <w:rPr>
                <w:rFonts w:ascii="Times New Roman" w:eastAsia="宋体" w:hAnsi="Times New Roman" w:cs="Times New Roman"/>
                <w:color w:val="000000" w:themeColor="text1"/>
                <w:kern w:val="2"/>
                <w:sz w:val="21"/>
                <w:szCs w:val="21"/>
              </w:rPr>
              <w:t>～</w:t>
            </w:r>
            <w:r w:rsidRPr="008A2411">
              <w:rPr>
                <w:rFonts w:ascii="Times New Roman" w:eastAsia="宋体" w:hAnsi="Times New Roman" w:cs="Times New Roman"/>
                <w:color w:val="000000" w:themeColor="text1"/>
                <w:kern w:val="2"/>
                <w:sz w:val="21"/>
                <w:szCs w:val="21"/>
              </w:rPr>
              <w:t>95</w:t>
            </w:r>
          </w:p>
        </w:tc>
        <w:tc>
          <w:tcPr>
            <w:tcW w:w="1021" w:type="pct"/>
            <w:vMerge/>
            <w:vAlign w:val="center"/>
          </w:tcPr>
          <w:p w14:paraId="49CBD003"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586" w:type="pct"/>
            <w:vAlign w:val="center"/>
          </w:tcPr>
          <w:p w14:paraId="2AF7E22D"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bCs/>
                <w:color w:val="000000" w:themeColor="text1"/>
                <w:kern w:val="2"/>
                <w:sz w:val="21"/>
                <w:szCs w:val="21"/>
                <w:lang w:bidi="ar"/>
              </w:rPr>
              <w:t>8</w:t>
            </w:r>
            <w:r w:rsidRPr="008A2411">
              <w:rPr>
                <w:rFonts w:ascii="Times New Roman" w:hint="eastAsia"/>
                <w:bCs/>
                <w:color w:val="000000" w:themeColor="text1"/>
                <w:kern w:val="2"/>
                <w:sz w:val="21"/>
                <w:szCs w:val="21"/>
                <w:lang w:bidi="ar"/>
              </w:rPr>
              <w:t>5</w:t>
            </w:r>
          </w:p>
        </w:tc>
        <w:tc>
          <w:tcPr>
            <w:tcW w:w="618" w:type="pct"/>
            <w:vAlign w:val="center"/>
          </w:tcPr>
          <w:p w14:paraId="02AC9F16"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eastAsiaTheme="minorEastAsia" w:hint="eastAsia"/>
                <w:color w:val="000000" w:themeColor="text1"/>
                <w:kern w:val="24"/>
                <w:sz w:val="21"/>
                <w:szCs w:val="21"/>
              </w:rPr>
              <w:t>24h</w:t>
            </w:r>
            <w:r w:rsidRPr="008A2411">
              <w:rPr>
                <w:rFonts w:ascii="Times New Roman" w:eastAsiaTheme="minorEastAsia"/>
                <w:color w:val="000000" w:themeColor="text1"/>
                <w:kern w:val="24"/>
                <w:sz w:val="21"/>
                <w:szCs w:val="21"/>
              </w:rPr>
              <w:t>连续</w:t>
            </w:r>
          </w:p>
        </w:tc>
      </w:tr>
      <w:tr w:rsidR="00B0005F" w:rsidRPr="008A2411" w14:paraId="643F984D" w14:textId="77777777">
        <w:trPr>
          <w:tblHeader/>
          <w:jc w:val="center"/>
        </w:trPr>
        <w:tc>
          <w:tcPr>
            <w:tcW w:w="717" w:type="pct"/>
            <w:vMerge/>
            <w:vAlign w:val="center"/>
          </w:tcPr>
          <w:p w14:paraId="78A66A71" w14:textId="77777777" w:rsidR="00B0005F" w:rsidRPr="008A2411" w:rsidRDefault="00B0005F">
            <w:pPr>
              <w:pStyle w:val="WJ4"/>
              <w:spacing w:line="240" w:lineRule="auto"/>
              <w:rPr>
                <w:rFonts w:ascii="Times New Roman" w:hAnsi="Times New Roman"/>
                <w:color w:val="000000" w:themeColor="text1"/>
              </w:rPr>
            </w:pPr>
          </w:p>
        </w:tc>
        <w:tc>
          <w:tcPr>
            <w:tcW w:w="777" w:type="pct"/>
            <w:vAlign w:val="center"/>
          </w:tcPr>
          <w:p w14:paraId="234E69D6"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空压机</w:t>
            </w:r>
          </w:p>
        </w:tc>
        <w:tc>
          <w:tcPr>
            <w:tcW w:w="633" w:type="pct"/>
            <w:vAlign w:val="center"/>
          </w:tcPr>
          <w:p w14:paraId="123F0917"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1</w:t>
            </w:r>
          </w:p>
        </w:tc>
        <w:tc>
          <w:tcPr>
            <w:tcW w:w="645" w:type="pct"/>
            <w:vAlign w:val="center"/>
          </w:tcPr>
          <w:p w14:paraId="174C82BC"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95~105</w:t>
            </w:r>
          </w:p>
        </w:tc>
        <w:tc>
          <w:tcPr>
            <w:tcW w:w="1021" w:type="pct"/>
            <w:vAlign w:val="center"/>
          </w:tcPr>
          <w:p w14:paraId="6D4035CB"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选用低噪声设备，合理布局，减振安装，进风口加装消音器等</w:t>
            </w:r>
          </w:p>
        </w:tc>
        <w:tc>
          <w:tcPr>
            <w:tcW w:w="586" w:type="pct"/>
            <w:vAlign w:val="center"/>
          </w:tcPr>
          <w:p w14:paraId="535CA23C"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hint="eastAsia"/>
                <w:bCs/>
                <w:color w:val="000000" w:themeColor="text1"/>
                <w:kern w:val="2"/>
                <w:sz w:val="21"/>
                <w:szCs w:val="21"/>
                <w:lang w:bidi="ar"/>
              </w:rPr>
              <w:t>90</w:t>
            </w:r>
          </w:p>
        </w:tc>
        <w:tc>
          <w:tcPr>
            <w:tcW w:w="618" w:type="pct"/>
            <w:vAlign w:val="center"/>
          </w:tcPr>
          <w:p w14:paraId="23C8AA72"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eastAsiaTheme="minorEastAsia" w:hint="eastAsia"/>
                <w:color w:val="000000" w:themeColor="text1"/>
                <w:kern w:val="24"/>
                <w:sz w:val="21"/>
                <w:szCs w:val="21"/>
              </w:rPr>
              <w:t>24h</w:t>
            </w:r>
            <w:r w:rsidRPr="008A2411">
              <w:rPr>
                <w:rFonts w:ascii="Times New Roman" w:eastAsiaTheme="minorEastAsia"/>
                <w:color w:val="000000" w:themeColor="text1"/>
                <w:kern w:val="24"/>
                <w:sz w:val="21"/>
                <w:szCs w:val="21"/>
              </w:rPr>
              <w:t>连续</w:t>
            </w:r>
          </w:p>
        </w:tc>
      </w:tr>
    </w:tbl>
    <w:p w14:paraId="76C2A759" w14:textId="77777777" w:rsidR="00B0005F" w:rsidRPr="008A2411" w:rsidRDefault="00B0005F">
      <w:pPr>
        <w:pStyle w:val="WJ3"/>
        <w:spacing w:line="360" w:lineRule="auto"/>
        <w:outlineLvl w:val="9"/>
        <w:rPr>
          <w:rFonts w:ascii="Times New Roman" w:hAnsi="Times New Roman"/>
          <w:color w:val="000000" w:themeColor="text1"/>
        </w:rPr>
      </w:pPr>
    </w:p>
    <w:p w14:paraId="249AF852" w14:textId="77777777" w:rsidR="00B0005F" w:rsidRPr="008A2411" w:rsidRDefault="00000000">
      <w:pPr>
        <w:pStyle w:val="WJ3"/>
        <w:spacing w:line="360" w:lineRule="auto"/>
        <w:outlineLvl w:val="9"/>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4</w:t>
      </w:r>
      <w:r w:rsidRPr="008A2411">
        <w:rPr>
          <w:rFonts w:ascii="Times New Roman" w:hAnsi="Times New Roman"/>
          <w:color w:val="000000" w:themeColor="text1"/>
        </w:rPr>
        <w:t>）固废</w:t>
      </w:r>
    </w:p>
    <w:p w14:paraId="68352659" w14:textId="77777777" w:rsidR="00B0005F" w:rsidRPr="008A2411" w:rsidRDefault="00000000">
      <w:pPr>
        <w:adjustRightInd w:val="0"/>
        <w:snapToGrid w:val="0"/>
        <w:spacing w:line="360" w:lineRule="auto"/>
        <w:ind w:firstLine="482"/>
        <w:rPr>
          <w:rFonts w:ascii="Times New Roman"/>
          <w:color w:val="000000" w:themeColor="text1"/>
          <w:szCs w:val="24"/>
        </w:rPr>
      </w:pPr>
      <w:r w:rsidRPr="008A2411">
        <w:rPr>
          <w:rFonts w:ascii="Times New Roman"/>
          <w:color w:val="000000" w:themeColor="text1"/>
          <w:szCs w:val="24"/>
        </w:rPr>
        <w:t>项目固</w:t>
      </w:r>
      <w:proofErr w:type="gramStart"/>
      <w:r w:rsidRPr="008A2411">
        <w:rPr>
          <w:rFonts w:ascii="Times New Roman"/>
          <w:color w:val="000000" w:themeColor="text1"/>
          <w:szCs w:val="24"/>
        </w:rPr>
        <w:t>废主要</w:t>
      </w:r>
      <w:proofErr w:type="gramEnd"/>
      <w:r w:rsidRPr="008A2411">
        <w:rPr>
          <w:rFonts w:ascii="Times New Roman"/>
          <w:color w:val="000000" w:themeColor="text1"/>
          <w:szCs w:val="24"/>
        </w:rPr>
        <w:t>包括一般固废和危险废物。</w:t>
      </w:r>
    </w:p>
    <w:p w14:paraId="5A0D05E3" w14:textId="77777777" w:rsidR="00B0005F" w:rsidRPr="008A2411" w:rsidRDefault="00000000">
      <w:pPr>
        <w:adjustRightInd w:val="0"/>
        <w:snapToGrid w:val="0"/>
        <w:spacing w:line="360" w:lineRule="auto"/>
        <w:ind w:firstLine="482"/>
        <w:rPr>
          <w:rFonts w:ascii="Times New Roman"/>
          <w:color w:val="000000" w:themeColor="text1"/>
          <w:szCs w:val="24"/>
        </w:rPr>
      </w:pPr>
      <w:r w:rsidRPr="008A2411">
        <w:rPr>
          <w:rFonts w:ascii="Times New Roman"/>
          <w:color w:val="000000" w:themeColor="text1"/>
          <w:szCs w:val="24"/>
        </w:rPr>
        <w:t>（</w:t>
      </w:r>
      <w:r w:rsidRPr="008A2411">
        <w:rPr>
          <w:rFonts w:ascii="Times New Roman"/>
          <w:color w:val="000000" w:themeColor="text1"/>
          <w:szCs w:val="24"/>
        </w:rPr>
        <w:t>1</w:t>
      </w:r>
      <w:r w:rsidRPr="008A2411">
        <w:rPr>
          <w:rFonts w:ascii="Times New Roman"/>
          <w:color w:val="000000" w:themeColor="text1"/>
          <w:szCs w:val="24"/>
        </w:rPr>
        <w:t>）一般固废</w:t>
      </w:r>
    </w:p>
    <w:p w14:paraId="40A7C256" w14:textId="77777777" w:rsidR="00B0005F" w:rsidRPr="008A2411" w:rsidRDefault="00000000">
      <w:pPr>
        <w:adjustRightInd w:val="0"/>
        <w:snapToGrid w:val="0"/>
        <w:spacing w:line="360" w:lineRule="auto"/>
        <w:ind w:firstLine="482"/>
        <w:rPr>
          <w:rFonts w:ascii="Times New Roman"/>
          <w:color w:val="000000" w:themeColor="text1"/>
          <w:szCs w:val="24"/>
        </w:rPr>
      </w:pPr>
      <w:r w:rsidRPr="008A2411">
        <w:rPr>
          <w:rFonts w:ascii="Times New Roman"/>
          <w:color w:val="000000" w:themeColor="text1"/>
          <w:szCs w:val="24"/>
        </w:rPr>
        <w:t>一般固</w:t>
      </w:r>
      <w:proofErr w:type="gramStart"/>
      <w:r w:rsidRPr="008A2411">
        <w:rPr>
          <w:rFonts w:ascii="Times New Roman"/>
          <w:color w:val="000000" w:themeColor="text1"/>
          <w:szCs w:val="24"/>
        </w:rPr>
        <w:t>废主要</w:t>
      </w:r>
      <w:proofErr w:type="gramEnd"/>
      <w:r w:rsidRPr="008A2411">
        <w:rPr>
          <w:rFonts w:ascii="Times New Roman"/>
          <w:color w:val="000000" w:themeColor="text1"/>
          <w:szCs w:val="24"/>
        </w:rPr>
        <w:t>包括污水处理站污泥</w:t>
      </w:r>
      <w:r w:rsidRPr="008A2411">
        <w:rPr>
          <w:rFonts w:ascii="Times New Roman" w:hint="eastAsia"/>
          <w:color w:val="000000" w:themeColor="text1"/>
          <w:szCs w:val="24"/>
        </w:rPr>
        <w:t>、废制氮装置过滤器、</w:t>
      </w:r>
      <w:r w:rsidRPr="008A2411">
        <w:rPr>
          <w:rFonts w:ascii="Times New Roman"/>
          <w:color w:val="000000" w:themeColor="text1"/>
          <w:szCs w:val="24"/>
        </w:rPr>
        <w:t>和员工办公生活垃</w:t>
      </w:r>
      <w:r w:rsidRPr="008A2411">
        <w:rPr>
          <w:rFonts w:ascii="Times New Roman"/>
          <w:color w:val="000000" w:themeColor="text1"/>
          <w:szCs w:val="24"/>
        </w:rPr>
        <w:lastRenderedPageBreak/>
        <w:t>圾。</w:t>
      </w:r>
    </w:p>
    <w:p w14:paraId="7ED73428" w14:textId="77777777" w:rsidR="00B0005F" w:rsidRPr="008A2411" w:rsidRDefault="00000000">
      <w:pPr>
        <w:adjustRightInd w:val="0"/>
        <w:snapToGrid w:val="0"/>
        <w:spacing w:line="360" w:lineRule="auto"/>
        <w:ind w:firstLine="482"/>
        <w:rPr>
          <w:rFonts w:ascii="Times New Roman"/>
          <w:color w:val="000000" w:themeColor="text1"/>
          <w:szCs w:val="24"/>
        </w:rPr>
      </w:pPr>
      <w:r w:rsidRPr="008A2411">
        <w:rPr>
          <w:rFonts w:ascii="Times New Roman"/>
          <w:bCs/>
          <w:color w:val="000000" w:themeColor="text1"/>
          <w:kern w:val="2"/>
          <w:szCs w:val="24"/>
        </w:rPr>
        <w:t>污水处理系统污泥主要来自生物沉</w:t>
      </w:r>
      <w:r w:rsidRPr="008A2411">
        <w:rPr>
          <w:rFonts w:ascii="Times New Roman"/>
          <w:color w:val="000000" w:themeColor="text1"/>
          <w:szCs w:val="24"/>
        </w:rPr>
        <w:t>淀池中的沉淀污泥，根据设计提供的资料，本项目污水系统污泥产生量为</w:t>
      </w:r>
      <w:r w:rsidRPr="008A2411">
        <w:rPr>
          <w:rFonts w:ascii="Times New Roman"/>
          <w:color w:val="000000" w:themeColor="text1"/>
          <w:szCs w:val="24"/>
        </w:rPr>
        <w:t>0.2t/d</w:t>
      </w:r>
      <w:r w:rsidRPr="008A2411">
        <w:rPr>
          <w:rFonts w:ascii="Times New Roman"/>
          <w:color w:val="000000" w:themeColor="text1"/>
          <w:szCs w:val="24"/>
        </w:rPr>
        <w:t>（约</w:t>
      </w:r>
      <w:r w:rsidRPr="008A2411">
        <w:rPr>
          <w:rFonts w:ascii="Times New Roman"/>
          <w:color w:val="000000" w:themeColor="text1"/>
          <w:szCs w:val="24"/>
        </w:rPr>
        <w:t>73t/a</w:t>
      </w:r>
      <w:r w:rsidRPr="008A2411">
        <w:rPr>
          <w:rFonts w:ascii="Times New Roman"/>
          <w:color w:val="000000" w:themeColor="text1"/>
          <w:szCs w:val="24"/>
        </w:rPr>
        <w:t>），主要成分为菌丝体、有机质等。污水处理站污泥</w:t>
      </w:r>
      <w:proofErr w:type="gramStart"/>
      <w:r w:rsidRPr="008A2411">
        <w:rPr>
          <w:rFonts w:ascii="Times New Roman"/>
          <w:color w:val="000000" w:themeColor="text1"/>
          <w:szCs w:val="24"/>
        </w:rPr>
        <w:t>送城市</w:t>
      </w:r>
      <w:proofErr w:type="gramEnd"/>
      <w:r w:rsidRPr="008A2411">
        <w:rPr>
          <w:rFonts w:ascii="Times New Roman"/>
          <w:color w:val="000000" w:themeColor="text1"/>
          <w:szCs w:val="24"/>
        </w:rPr>
        <w:t>生活垃圾填埋场处理。</w:t>
      </w:r>
      <w:r w:rsidRPr="008A2411">
        <w:rPr>
          <w:rFonts w:ascii="Times New Roman" w:hint="eastAsia"/>
          <w:color w:val="000000" w:themeColor="text1"/>
          <w:szCs w:val="24"/>
        </w:rPr>
        <w:t>废制氮装置过滤器在制氮装置过滤器定期更换过滤装置时产生，产生量约</w:t>
      </w:r>
      <w:r w:rsidRPr="008A2411">
        <w:rPr>
          <w:rFonts w:ascii="Times New Roman" w:hint="eastAsia"/>
          <w:color w:val="000000" w:themeColor="text1"/>
          <w:szCs w:val="24"/>
        </w:rPr>
        <w:t>0.1</w:t>
      </w:r>
      <w:r w:rsidRPr="008A2411">
        <w:rPr>
          <w:rFonts w:ascii="Times New Roman"/>
          <w:color w:val="000000" w:themeColor="text1"/>
          <w:szCs w:val="24"/>
        </w:rPr>
        <w:t>t</w:t>
      </w:r>
      <w:r w:rsidRPr="008A2411">
        <w:rPr>
          <w:rFonts w:ascii="Times New Roman" w:hint="eastAsia"/>
          <w:color w:val="000000" w:themeColor="text1"/>
          <w:szCs w:val="24"/>
        </w:rPr>
        <w:t>/a</w:t>
      </w:r>
      <w:r w:rsidRPr="008A2411">
        <w:rPr>
          <w:rFonts w:ascii="Times New Roman" w:hint="eastAsia"/>
          <w:color w:val="000000" w:themeColor="text1"/>
          <w:szCs w:val="24"/>
        </w:rPr>
        <w:t>，交由生产厂商回收。</w:t>
      </w:r>
    </w:p>
    <w:p w14:paraId="551B5EF9" w14:textId="0AEE27A4" w:rsidR="00B0005F" w:rsidRPr="008A2411" w:rsidRDefault="00000000">
      <w:pPr>
        <w:adjustRightInd w:val="0"/>
        <w:snapToGrid w:val="0"/>
        <w:spacing w:line="360" w:lineRule="auto"/>
        <w:ind w:firstLine="482"/>
        <w:rPr>
          <w:rFonts w:ascii="Times New Roman"/>
          <w:color w:val="000000" w:themeColor="text1"/>
          <w:szCs w:val="24"/>
        </w:rPr>
      </w:pPr>
      <w:r w:rsidRPr="008A2411">
        <w:rPr>
          <w:rFonts w:ascii="Times New Roman"/>
          <w:color w:val="000000" w:themeColor="text1"/>
          <w:szCs w:val="24"/>
        </w:rPr>
        <w:t>本项目劳动定员</w:t>
      </w:r>
      <w:r w:rsidRPr="008A2411">
        <w:rPr>
          <w:rFonts w:ascii="Times New Roman"/>
          <w:color w:val="000000" w:themeColor="text1"/>
          <w:szCs w:val="24"/>
        </w:rPr>
        <w:t>67</w:t>
      </w:r>
      <w:r w:rsidRPr="008A2411">
        <w:rPr>
          <w:rFonts w:ascii="Times New Roman"/>
          <w:color w:val="000000" w:themeColor="text1"/>
          <w:szCs w:val="24"/>
        </w:rPr>
        <w:t>人，单人生活垃圾产生量约为</w:t>
      </w:r>
      <w:r w:rsidRPr="008A2411">
        <w:rPr>
          <w:rFonts w:ascii="Times New Roman"/>
          <w:color w:val="000000" w:themeColor="text1"/>
          <w:szCs w:val="24"/>
        </w:rPr>
        <w:t>5kg/d</w:t>
      </w:r>
      <w:r w:rsidRPr="008A2411">
        <w:rPr>
          <w:rFonts w:ascii="Times New Roman"/>
          <w:color w:val="000000" w:themeColor="text1"/>
          <w:szCs w:val="24"/>
        </w:rPr>
        <w:t>，则生活垃圾产生量为</w:t>
      </w:r>
      <w:r w:rsidRPr="008A2411">
        <w:rPr>
          <w:rFonts w:ascii="Times New Roman"/>
          <w:color w:val="000000" w:themeColor="text1"/>
          <w:szCs w:val="24"/>
        </w:rPr>
        <w:t>0.335t/d</w:t>
      </w:r>
      <w:r w:rsidRPr="008A2411">
        <w:rPr>
          <w:rFonts w:ascii="Times New Roman"/>
          <w:color w:val="000000" w:themeColor="text1"/>
          <w:szCs w:val="24"/>
        </w:rPr>
        <w:t>（约</w:t>
      </w:r>
      <w:r w:rsidRPr="008A2411">
        <w:rPr>
          <w:rFonts w:ascii="Times New Roman"/>
          <w:color w:val="000000" w:themeColor="text1"/>
          <w:szCs w:val="24"/>
        </w:rPr>
        <w:t>1</w:t>
      </w:r>
      <w:r w:rsidR="001B5753" w:rsidRPr="008A2411">
        <w:rPr>
          <w:rFonts w:ascii="Times New Roman" w:hint="eastAsia"/>
          <w:color w:val="000000" w:themeColor="text1"/>
          <w:szCs w:val="24"/>
        </w:rPr>
        <w:t>1</w:t>
      </w:r>
      <w:r w:rsidRPr="008A2411">
        <w:rPr>
          <w:rFonts w:ascii="Times New Roman"/>
          <w:color w:val="000000" w:themeColor="text1"/>
          <w:szCs w:val="24"/>
        </w:rPr>
        <w:t>0</w:t>
      </w:r>
      <w:r w:rsidR="001B5753" w:rsidRPr="008A2411">
        <w:rPr>
          <w:rFonts w:ascii="Times New Roman" w:hint="eastAsia"/>
          <w:color w:val="000000" w:themeColor="text1"/>
          <w:szCs w:val="24"/>
        </w:rPr>
        <w:t>.5</w:t>
      </w:r>
      <w:r w:rsidRPr="008A2411">
        <w:rPr>
          <w:rFonts w:ascii="Times New Roman"/>
          <w:color w:val="000000" w:themeColor="text1"/>
          <w:szCs w:val="24"/>
        </w:rPr>
        <w:t>t/a</w:t>
      </w:r>
      <w:r w:rsidRPr="008A2411">
        <w:rPr>
          <w:rFonts w:ascii="Times New Roman"/>
          <w:color w:val="000000" w:themeColor="text1"/>
          <w:szCs w:val="24"/>
        </w:rPr>
        <w:t>），员工办公生活垃圾由当地环卫部门统一收集处理。</w:t>
      </w:r>
    </w:p>
    <w:p w14:paraId="0BF90AA5" w14:textId="77777777" w:rsidR="00B0005F" w:rsidRPr="008A2411" w:rsidRDefault="00000000">
      <w:pPr>
        <w:adjustRightInd w:val="0"/>
        <w:snapToGrid w:val="0"/>
        <w:spacing w:line="360" w:lineRule="auto"/>
        <w:ind w:firstLine="482"/>
        <w:rPr>
          <w:rFonts w:ascii="Times New Roman"/>
          <w:color w:val="000000" w:themeColor="text1"/>
          <w:szCs w:val="24"/>
        </w:rPr>
      </w:pPr>
      <w:r w:rsidRPr="008A2411">
        <w:rPr>
          <w:rFonts w:ascii="Times New Roman"/>
          <w:color w:val="000000" w:themeColor="text1"/>
          <w:szCs w:val="24"/>
        </w:rPr>
        <w:t>（</w:t>
      </w:r>
      <w:r w:rsidRPr="008A2411">
        <w:rPr>
          <w:rFonts w:ascii="Times New Roman"/>
          <w:color w:val="000000" w:themeColor="text1"/>
          <w:szCs w:val="24"/>
        </w:rPr>
        <w:t>2</w:t>
      </w:r>
      <w:r w:rsidRPr="008A2411">
        <w:rPr>
          <w:rFonts w:ascii="Times New Roman"/>
          <w:color w:val="000000" w:themeColor="text1"/>
          <w:szCs w:val="24"/>
        </w:rPr>
        <w:t>）危险废物</w:t>
      </w:r>
    </w:p>
    <w:p w14:paraId="6C1A1808" w14:textId="77777777" w:rsidR="00B0005F" w:rsidRPr="008A2411" w:rsidRDefault="00000000">
      <w:pPr>
        <w:adjustRightInd w:val="0"/>
        <w:snapToGrid w:val="0"/>
        <w:spacing w:line="360" w:lineRule="auto"/>
        <w:ind w:firstLine="482"/>
        <w:rPr>
          <w:rFonts w:ascii="Times New Roman"/>
          <w:color w:val="000000" w:themeColor="text1"/>
        </w:rPr>
      </w:pPr>
      <w:r w:rsidRPr="008A2411">
        <w:rPr>
          <w:rFonts w:ascii="Times New Roman"/>
          <w:color w:val="000000" w:themeColor="text1"/>
          <w:szCs w:val="24"/>
        </w:rPr>
        <w:t>项目危险废物主要包括：</w:t>
      </w:r>
      <w:r w:rsidRPr="008A2411">
        <w:rPr>
          <w:rFonts w:ascii="Times New Roman"/>
          <w:color w:val="000000" w:themeColor="text1"/>
        </w:rPr>
        <w:t>废分子筛、废机油、废活性炭（主要包括含硫、含烃类和含汞三部分）、</w:t>
      </w:r>
      <w:r w:rsidRPr="008A2411">
        <w:rPr>
          <w:rFonts w:ascii="Times New Roman" w:hint="eastAsia"/>
          <w:color w:val="000000" w:themeColor="text1"/>
        </w:rPr>
        <w:t>废</w:t>
      </w:r>
      <w:r w:rsidRPr="008A2411">
        <w:rPr>
          <w:rFonts w:ascii="Times New Roman"/>
          <w:color w:val="000000" w:themeColor="text1"/>
          <w:szCs w:val="24"/>
        </w:rPr>
        <w:t>过滤器、溶液过滤器、净化气过滤器、重烃过滤器等过滤杂质、</w:t>
      </w:r>
      <w:r w:rsidRPr="008A2411">
        <w:rPr>
          <w:rFonts w:ascii="Times New Roman"/>
          <w:color w:val="000000" w:themeColor="text1"/>
        </w:rPr>
        <w:t>化验间残液及脱水单元冷凝液分离装置含油废液</w:t>
      </w:r>
      <w:r w:rsidRPr="008A2411">
        <w:rPr>
          <w:rFonts w:ascii="Times New Roman" w:hint="eastAsia"/>
          <w:color w:val="000000" w:themeColor="text1"/>
        </w:rPr>
        <w:t>、废导热油</w:t>
      </w:r>
      <w:r w:rsidRPr="008A2411">
        <w:rPr>
          <w:rFonts w:ascii="Times New Roman"/>
          <w:color w:val="000000" w:themeColor="text1"/>
        </w:rPr>
        <w:t>等。</w:t>
      </w:r>
    </w:p>
    <w:p w14:paraId="15233864" w14:textId="77777777" w:rsidR="00B0005F" w:rsidRPr="008A2411" w:rsidRDefault="00000000">
      <w:pPr>
        <w:adjustRightInd w:val="0"/>
        <w:snapToGrid w:val="0"/>
        <w:spacing w:line="360" w:lineRule="auto"/>
        <w:ind w:firstLine="482"/>
        <w:rPr>
          <w:rFonts w:ascii="Times New Roman"/>
          <w:color w:val="000000" w:themeColor="text1"/>
          <w:szCs w:val="24"/>
        </w:rPr>
      </w:pPr>
      <w:r w:rsidRPr="008A2411">
        <w:rPr>
          <w:rFonts w:ascii="Times New Roman"/>
          <w:color w:val="000000" w:themeColor="text1"/>
          <w:szCs w:val="24"/>
        </w:rPr>
        <w:t>a</w:t>
      </w:r>
      <w:r w:rsidRPr="008A2411">
        <w:rPr>
          <w:rFonts w:ascii="Times New Roman"/>
          <w:color w:val="000000" w:themeColor="text1"/>
          <w:szCs w:val="24"/>
        </w:rPr>
        <w:t>、项目废分子筛主要来自干燥塔脱水单元，项目生产设备每</w:t>
      </w:r>
      <w:r w:rsidRPr="008A2411">
        <w:rPr>
          <w:rFonts w:ascii="Times New Roman"/>
          <w:color w:val="000000" w:themeColor="text1"/>
          <w:szCs w:val="24"/>
        </w:rPr>
        <w:t>3</w:t>
      </w:r>
      <w:r w:rsidRPr="008A2411">
        <w:rPr>
          <w:rFonts w:ascii="Times New Roman"/>
          <w:color w:val="000000" w:themeColor="text1"/>
          <w:szCs w:val="24"/>
        </w:rPr>
        <w:t>年更换</w:t>
      </w:r>
      <w:r w:rsidRPr="008A2411">
        <w:rPr>
          <w:rFonts w:ascii="Times New Roman"/>
          <w:color w:val="000000" w:themeColor="text1"/>
          <w:szCs w:val="24"/>
        </w:rPr>
        <w:t>1</w:t>
      </w:r>
      <w:r w:rsidRPr="008A2411">
        <w:rPr>
          <w:rFonts w:ascii="Times New Roman"/>
          <w:color w:val="000000" w:themeColor="text1"/>
          <w:szCs w:val="24"/>
        </w:rPr>
        <w:t>次，单次更换量为</w:t>
      </w:r>
      <w:r w:rsidRPr="008A2411">
        <w:rPr>
          <w:rFonts w:ascii="Times New Roman"/>
          <w:color w:val="000000" w:themeColor="text1"/>
          <w:szCs w:val="24"/>
        </w:rPr>
        <w:t>3t/</w:t>
      </w:r>
      <w:r w:rsidRPr="008A2411">
        <w:rPr>
          <w:rFonts w:ascii="Times New Roman"/>
          <w:color w:val="000000" w:themeColor="text1"/>
          <w:szCs w:val="24"/>
        </w:rPr>
        <w:t>次，更换后交</w:t>
      </w:r>
      <w:r w:rsidRPr="008A2411">
        <w:rPr>
          <w:rFonts w:ascii="Times New Roman"/>
          <w:color w:val="000000" w:themeColor="text1"/>
        </w:rPr>
        <w:t>有资质单位回收处理。</w:t>
      </w:r>
    </w:p>
    <w:p w14:paraId="033707E2" w14:textId="77777777" w:rsidR="00B0005F" w:rsidRPr="008A2411" w:rsidRDefault="00000000">
      <w:pPr>
        <w:adjustRightInd w:val="0"/>
        <w:snapToGrid w:val="0"/>
        <w:spacing w:line="360" w:lineRule="auto"/>
        <w:ind w:firstLine="482"/>
        <w:rPr>
          <w:rFonts w:ascii="Times New Roman"/>
          <w:color w:val="000000" w:themeColor="text1"/>
          <w:szCs w:val="24"/>
        </w:rPr>
      </w:pPr>
      <w:r w:rsidRPr="008A2411">
        <w:rPr>
          <w:rFonts w:ascii="Times New Roman"/>
          <w:color w:val="000000" w:themeColor="text1"/>
          <w:szCs w:val="24"/>
        </w:rPr>
        <w:t>b</w:t>
      </w:r>
      <w:r w:rsidRPr="008A2411">
        <w:rPr>
          <w:rFonts w:ascii="Times New Roman"/>
          <w:color w:val="000000" w:themeColor="text1"/>
          <w:szCs w:val="24"/>
        </w:rPr>
        <w:t>、项目废机油主要来自设备检修，项目单次检修废机油最大产生量为</w:t>
      </w:r>
      <w:r w:rsidRPr="008A2411">
        <w:rPr>
          <w:rFonts w:ascii="Times New Roman"/>
          <w:color w:val="000000" w:themeColor="text1"/>
          <w:szCs w:val="24"/>
        </w:rPr>
        <w:t>2t</w:t>
      </w:r>
      <w:r w:rsidRPr="008A2411">
        <w:rPr>
          <w:rFonts w:ascii="Times New Roman"/>
          <w:color w:val="000000" w:themeColor="text1"/>
          <w:szCs w:val="24"/>
        </w:rPr>
        <w:t>，收集后暂存在危险废物暂存间内，定期交</w:t>
      </w:r>
      <w:r w:rsidRPr="008A2411">
        <w:rPr>
          <w:rFonts w:ascii="Times New Roman"/>
          <w:color w:val="000000" w:themeColor="text1"/>
        </w:rPr>
        <w:t>有资质单位回收处理。</w:t>
      </w:r>
    </w:p>
    <w:p w14:paraId="71361B60" w14:textId="5D361E0B" w:rsidR="00B0005F" w:rsidRPr="008A2411" w:rsidRDefault="00000000">
      <w:pPr>
        <w:adjustRightInd w:val="0"/>
        <w:snapToGrid w:val="0"/>
        <w:spacing w:line="360" w:lineRule="auto"/>
        <w:ind w:firstLine="482"/>
        <w:rPr>
          <w:rFonts w:ascii="Times New Roman"/>
          <w:color w:val="000000" w:themeColor="text1"/>
          <w:szCs w:val="24"/>
        </w:rPr>
      </w:pPr>
      <w:r w:rsidRPr="008A2411">
        <w:rPr>
          <w:rFonts w:ascii="Times New Roman"/>
          <w:color w:val="000000" w:themeColor="text1"/>
        </w:rPr>
        <w:t>c</w:t>
      </w:r>
      <w:r w:rsidRPr="008A2411">
        <w:rPr>
          <w:rFonts w:ascii="Times New Roman"/>
          <w:color w:val="000000" w:themeColor="text1"/>
        </w:rPr>
        <w:t>、项目废活性炭主要来自脱硫单元、脱碳单元、脱汞单元和脱重烃单元，根据生产需要，每年更换</w:t>
      </w:r>
      <w:r w:rsidRPr="008A2411">
        <w:rPr>
          <w:rFonts w:ascii="Times New Roman"/>
          <w:color w:val="000000" w:themeColor="text1"/>
        </w:rPr>
        <w:t>1</w:t>
      </w:r>
      <w:r w:rsidRPr="008A2411">
        <w:rPr>
          <w:rFonts w:ascii="Times New Roman"/>
          <w:color w:val="000000" w:themeColor="text1"/>
        </w:rPr>
        <w:t>次</w:t>
      </w:r>
      <w:r w:rsidR="002A582A" w:rsidRPr="008A2411">
        <w:rPr>
          <w:rFonts w:ascii="Times New Roman" w:hint="eastAsia"/>
          <w:color w:val="000000" w:themeColor="text1"/>
        </w:rPr>
        <w:t>，共计</w:t>
      </w:r>
      <w:r w:rsidR="002A582A" w:rsidRPr="008A2411">
        <w:rPr>
          <w:rFonts w:ascii="Times New Roman" w:hint="eastAsia"/>
          <w:color w:val="000000" w:themeColor="text1"/>
        </w:rPr>
        <w:t>10</w:t>
      </w:r>
      <w:r w:rsidR="002A582A" w:rsidRPr="008A2411">
        <w:rPr>
          <w:rFonts w:ascii="Times New Roman"/>
          <w:color w:val="000000" w:themeColor="text1"/>
        </w:rPr>
        <w:t>t/a</w:t>
      </w:r>
      <w:r w:rsidR="002A582A" w:rsidRPr="008A2411">
        <w:rPr>
          <w:rFonts w:ascii="Times New Roman" w:hint="eastAsia"/>
          <w:color w:val="000000" w:themeColor="text1"/>
        </w:rPr>
        <w:t>，</w:t>
      </w:r>
      <w:r w:rsidRPr="008A2411">
        <w:rPr>
          <w:rFonts w:ascii="Times New Roman"/>
          <w:color w:val="000000" w:themeColor="text1"/>
        </w:rPr>
        <w:t>（其中脱硫单元更换量为</w:t>
      </w:r>
      <w:r w:rsidR="002A582A" w:rsidRPr="008A2411">
        <w:rPr>
          <w:rFonts w:ascii="Times New Roman" w:hint="eastAsia"/>
          <w:color w:val="000000" w:themeColor="text1"/>
        </w:rPr>
        <w:t>3</w:t>
      </w:r>
      <w:r w:rsidRPr="008A2411">
        <w:rPr>
          <w:rFonts w:ascii="Times New Roman"/>
          <w:color w:val="000000" w:themeColor="text1"/>
        </w:rPr>
        <w:t>t</w:t>
      </w:r>
      <w:r w:rsidRPr="008A2411">
        <w:rPr>
          <w:rFonts w:ascii="Times New Roman"/>
          <w:color w:val="000000" w:themeColor="text1"/>
        </w:rPr>
        <w:t>、脱碳单元更换量为</w:t>
      </w:r>
      <w:r w:rsidR="002A582A" w:rsidRPr="008A2411">
        <w:rPr>
          <w:rFonts w:ascii="Times New Roman" w:hint="eastAsia"/>
          <w:color w:val="000000" w:themeColor="text1"/>
        </w:rPr>
        <w:t>3</w:t>
      </w:r>
      <w:r w:rsidRPr="008A2411">
        <w:rPr>
          <w:rFonts w:ascii="Times New Roman"/>
          <w:color w:val="000000" w:themeColor="text1"/>
        </w:rPr>
        <w:t>t</w:t>
      </w:r>
      <w:r w:rsidRPr="008A2411">
        <w:rPr>
          <w:rFonts w:ascii="Times New Roman"/>
          <w:color w:val="000000" w:themeColor="text1"/>
        </w:rPr>
        <w:t>、脱汞单元更换量为</w:t>
      </w:r>
      <w:r w:rsidR="002A582A" w:rsidRPr="008A2411">
        <w:rPr>
          <w:rFonts w:ascii="Times New Roman" w:hint="eastAsia"/>
          <w:color w:val="000000" w:themeColor="text1"/>
        </w:rPr>
        <w:t>2</w:t>
      </w:r>
      <w:r w:rsidRPr="008A2411">
        <w:rPr>
          <w:rFonts w:ascii="Times New Roman"/>
          <w:color w:val="000000" w:themeColor="text1"/>
        </w:rPr>
        <w:t>t</w:t>
      </w:r>
      <w:r w:rsidRPr="008A2411">
        <w:rPr>
          <w:rFonts w:ascii="Times New Roman"/>
          <w:color w:val="000000" w:themeColor="text1"/>
        </w:rPr>
        <w:t>、脱重烃单元更换量为</w:t>
      </w:r>
      <w:r w:rsidR="002A582A" w:rsidRPr="008A2411">
        <w:rPr>
          <w:rFonts w:ascii="Times New Roman" w:hint="eastAsia"/>
          <w:color w:val="000000" w:themeColor="text1"/>
        </w:rPr>
        <w:t>2</w:t>
      </w:r>
      <w:r w:rsidRPr="008A2411">
        <w:rPr>
          <w:rFonts w:ascii="Times New Roman"/>
          <w:color w:val="000000" w:themeColor="text1"/>
        </w:rPr>
        <w:t>t</w:t>
      </w:r>
      <w:r w:rsidRPr="008A2411">
        <w:rPr>
          <w:rFonts w:ascii="Times New Roman"/>
          <w:color w:val="000000" w:themeColor="text1"/>
        </w:rPr>
        <w:t>），更换后的废活性炭</w:t>
      </w:r>
      <w:r w:rsidRPr="008A2411">
        <w:rPr>
          <w:rFonts w:ascii="Times New Roman"/>
          <w:color w:val="000000" w:themeColor="text1"/>
          <w:szCs w:val="24"/>
        </w:rPr>
        <w:t>暂存在危险废物暂存间内，定期交有资质单位回收处理。</w:t>
      </w:r>
    </w:p>
    <w:p w14:paraId="7E6FB9E7" w14:textId="77777777" w:rsidR="00B0005F" w:rsidRPr="008A2411" w:rsidRDefault="00000000">
      <w:pPr>
        <w:adjustRightInd w:val="0"/>
        <w:snapToGrid w:val="0"/>
        <w:spacing w:line="360" w:lineRule="auto"/>
        <w:ind w:firstLine="482"/>
        <w:rPr>
          <w:rFonts w:ascii="Times New Roman"/>
          <w:color w:val="000000" w:themeColor="text1"/>
          <w:szCs w:val="24"/>
        </w:rPr>
      </w:pPr>
      <w:r w:rsidRPr="008A2411">
        <w:rPr>
          <w:rFonts w:ascii="Times New Roman"/>
          <w:color w:val="000000" w:themeColor="text1"/>
          <w:szCs w:val="24"/>
        </w:rPr>
        <w:t>d</w:t>
      </w:r>
      <w:r w:rsidRPr="008A2411">
        <w:rPr>
          <w:rFonts w:ascii="Times New Roman"/>
          <w:color w:val="000000" w:themeColor="text1"/>
          <w:szCs w:val="24"/>
        </w:rPr>
        <w:t>、项目化验间在进行化验分析时，将产生一定化验间残液，根据化验批次数量，项目产生的化验间残液量约</w:t>
      </w:r>
      <w:r w:rsidRPr="008A2411">
        <w:rPr>
          <w:rFonts w:ascii="Times New Roman"/>
          <w:color w:val="000000" w:themeColor="text1"/>
          <w:szCs w:val="24"/>
        </w:rPr>
        <w:t>0.02t/a</w:t>
      </w:r>
      <w:r w:rsidRPr="008A2411">
        <w:rPr>
          <w:rFonts w:ascii="Times New Roman"/>
          <w:color w:val="000000" w:themeColor="text1"/>
          <w:szCs w:val="24"/>
        </w:rPr>
        <w:t>，（由废液收集桶收集），</w:t>
      </w:r>
      <w:proofErr w:type="gramStart"/>
      <w:r w:rsidRPr="008A2411">
        <w:rPr>
          <w:rFonts w:ascii="Times New Roman"/>
          <w:color w:val="000000" w:themeColor="text1"/>
          <w:szCs w:val="24"/>
        </w:rPr>
        <w:t>存于危废暂存</w:t>
      </w:r>
      <w:proofErr w:type="gramEnd"/>
      <w:r w:rsidRPr="008A2411">
        <w:rPr>
          <w:rFonts w:ascii="Times New Roman"/>
          <w:color w:val="000000" w:themeColor="text1"/>
          <w:szCs w:val="24"/>
        </w:rPr>
        <w:t>间，定期交有资质单位处置；</w:t>
      </w:r>
    </w:p>
    <w:p w14:paraId="1F3BBF6B" w14:textId="77777777" w:rsidR="00B0005F" w:rsidRPr="008A2411" w:rsidRDefault="00000000">
      <w:pPr>
        <w:adjustRightInd w:val="0"/>
        <w:snapToGrid w:val="0"/>
        <w:spacing w:line="360" w:lineRule="auto"/>
        <w:ind w:firstLine="482"/>
        <w:rPr>
          <w:rFonts w:ascii="Times New Roman"/>
          <w:color w:val="000000" w:themeColor="text1"/>
          <w:szCs w:val="24"/>
        </w:rPr>
      </w:pPr>
      <w:r w:rsidRPr="008A2411">
        <w:rPr>
          <w:rFonts w:ascii="Times New Roman"/>
          <w:color w:val="000000" w:themeColor="text1"/>
          <w:szCs w:val="24"/>
        </w:rPr>
        <w:t>e</w:t>
      </w:r>
      <w:r w:rsidRPr="008A2411">
        <w:rPr>
          <w:rFonts w:ascii="Times New Roman" w:hint="eastAsia"/>
          <w:color w:val="000000" w:themeColor="text1"/>
          <w:szCs w:val="24"/>
        </w:rPr>
        <w:t>、</w:t>
      </w:r>
      <w:r w:rsidRPr="008A2411">
        <w:rPr>
          <w:rFonts w:ascii="Times New Roman"/>
          <w:color w:val="000000" w:themeColor="text1"/>
          <w:szCs w:val="24"/>
        </w:rPr>
        <w:t>项目进口过滤器、溶液过滤器、净化气过滤器、重烃过滤器等将产生过滤杂质，共计产生量约</w:t>
      </w:r>
      <w:r w:rsidRPr="008A2411">
        <w:rPr>
          <w:rFonts w:ascii="Times New Roman"/>
          <w:color w:val="000000" w:themeColor="text1"/>
          <w:szCs w:val="24"/>
        </w:rPr>
        <w:t>0.</w:t>
      </w:r>
      <w:r w:rsidRPr="008A2411">
        <w:rPr>
          <w:rFonts w:ascii="Times New Roman" w:hint="eastAsia"/>
          <w:color w:val="000000" w:themeColor="text1"/>
          <w:szCs w:val="24"/>
        </w:rPr>
        <w:t>67</w:t>
      </w:r>
      <w:r w:rsidRPr="008A2411">
        <w:rPr>
          <w:rFonts w:ascii="Times New Roman"/>
          <w:color w:val="000000" w:themeColor="text1"/>
          <w:szCs w:val="24"/>
        </w:rPr>
        <w:t>t/a</w:t>
      </w:r>
      <w:r w:rsidRPr="008A2411">
        <w:rPr>
          <w:rFonts w:ascii="Times New Roman"/>
          <w:color w:val="000000" w:themeColor="text1"/>
          <w:szCs w:val="24"/>
        </w:rPr>
        <w:t>，该类废物主要含油类物质、硫化物或重烃成分，</w:t>
      </w:r>
      <w:proofErr w:type="gramStart"/>
      <w:r w:rsidRPr="008A2411">
        <w:rPr>
          <w:rFonts w:ascii="Times New Roman"/>
          <w:color w:val="000000" w:themeColor="text1"/>
          <w:szCs w:val="24"/>
        </w:rPr>
        <w:t>属危险</w:t>
      </w:r>
      <w:proofErr w:type="gramEnd"/>
      <w:r w:rsidRPr="008A2411">
        <w:rPr>
          <w:rFonts w:ascii="Times New Roman"/>
          <w:color w:val="000000" w:themeColor="text1"/>
          <w:szCs w:val="24"/>
        </w:rPr>
        <w:t>废物，</w:t>
      </w:r>
      <w:proofErr w:type="gramStart"/>
      <w:r w:rsidRPr="008A2411">
        <w:rPr>
          <w:rFonts w:ascii="Times New Roman"/>
          <w:color w:val="000000" w:themeColor="text1"/>
          <w:szCs w:val="24"/>
        </w:rPr>
        <w:t>存于危废暂存</w:t>
      </w:r>
      <w:proofErr w:type="gramEnd"/>
      <w:r w:rsidRPr="008A2411">
        <w:rPr>
          <w:rFonts w:ascii="Times New Roman"/>
          <w:color w:val="000000" w:themeColor="text1"/>
          <w:szCs w:val="24"/>
        </w:rPr>
        <w:t>间，定期交有资质单位处置；</w:t>
      </w:r>
    </w:p>
    <w:p w14:paraId="522B1FF2" w14:textId="60B04E61" w:rsidR="00B0005F" w:rsidRPr="008A2411" w:rsidRDefault="00000000">
      <w:pPr>
        <w:adjustRightInd w:val="0"/>
        <w:snapToGrid w:val="0"/>
        <w:spacing w:line="360" w:lineRule="auto"/>
        <w:ind w:firstLine="482"/>
        <w:rPr>
          <w:rFonts w:ascii="Times New Roman"/>
          <w:color w:val="000000" w:themeColor="text1"/>
          <w:szCs w:val="24"/>
        </w:rPr>
      </w:pPr>
      <w:r w:rsidRPr="008A2411">
        <w:rPr>
          <w:rFonts w:ascii="Times New Roman"/>
          <w:color w:val="000000" w:themeColor="text1"/>
          <w:szCs w:val="24"/>
        </w:rPr>
        <w:t>f</w:t>
      </w:r>
      <w:r w:rsidR="004B4CD9" w:rsidRPr="008A2411">
        <w:rPr>
          <w:rFonts w:ascii="Times New Roman" w:hint="eastAsia"/>
          <w:color w:val="000000" w:themeColor="text1"/>
          <w:szCs w:val="24"/>
        </w:rPr>
        <w:t>、</w:t>
      </w:r>
      <w:r w:rsidRPr="008A2411">
        <w:rPr>
          <w:rFonts w:ascii="Times New Roman"/>
          <w:color w:val="000000" w:themeColor="text1"/>
        </w:rPr>
        <w:t>脱水单元冷凝液在再生工段冷却过程中将产生含重烃组分（石油类）废水，该类废水在通过分离装置分离时将分离出上层重烃组分的含油废液，约</w:t>
      </w:r>
      <w:r w:rsidRPr="008A2411">
        <w:rPr>
          <w:rFonts w:ascii="Times New Roman"/>
          <w:color w:val="000000" w:themeColor="text1"/>
        </w:rPr>
        <w:t>3.2t/a</w:t>
      </w:r>
      <w:r w:rsidRPr="008A2411">
        <w:rPr>
          <w:rFonts w:ascii="Times New Roman"/>
          <w:color w:val="000000" w:themeColor="text1"/>
        </w:rPr>
        <w:t>，桶装收集，</w:t>
      </w:r>
      <w:proofErr w:type="gramStart"/>
      <w:r w:rsidRPr="008A2411">
        <w:rPr>
          <w:rFonts w:ascii="Times New Roman"/>
          <w:color w:val="000000" w:themeColor="text1"/>
          <w:szCs w:val="24"/>
        </w:rPr>
        <w:t>存于危废暂存</w:t>
      </w:r>
      <w:proofErr w:type="gramEnd"/>
      <w:r w:rsidRPr="008A2411">
        <w:rPr>
          <w:rFonts w:ascii="Times New Roman"/>
          <w:color w:val="000000" w:themeColor="text1"/>
          <w:szCs w:val="24"/>
        </w:rPr>
        <w:t>间，定期交有资质单位处置。</w:t>
      </w:r>
    </w:p>
    <w:p w14:paraId="426F2DE1" w14:textId="5089A569" w:rsidR="00B0005F" w:rsidRPr="008A2411" w:rsidRDefault="004B4CD9">
      <w:pPr>
        <w:adjustRightInd w:val="0"/>
        <w:snapToGrid w:val="0"/>
        <w:spacing w:line="360" w:lineRule="auto"/>
        <w:ind w:firstLine="482"/>
        <w:rPr>
          <w:rFonts w:ascii="Times New Roman"/>
          <w:color w:val="000000" w:themeColor="text1"/>
          <w:szCs w:val="24"/>
        </w:rPr>
      </w:pPr>
      <w:r w:rsidRPr="008A2411">
        <w:rPr>
          <w:rFonts w:ascii="Times New Roman" w:hint="eastAsia"/>
          <w:color w:val="000000" w:themeColor="text1"/>
          <w:szCs w:val="24"/>
        </w:rPr>
        <w:t>g</w:t>
      </w:r>
      <w:r w:rsidRPr="008A2411">
        <w:rPr>
          <w:rFonts w:ascii="Times New Roman" w:hint="eastAsia"/>
          <w:color w:val="000000" w:themeColor="text1"/>
          <w:szCs w:val="24"/>
        </w:rPr>
        <w:t>、项目导热油炉约</w:t>
      </w:r>
      <w:r w:rsidRPr="008A2411">
        <w:rPr>
          <w:rFonts w:ascii="Times New Roman" w:hint="eastAsia"/>
          <w:color w:val="000000" w:themeColor="text1"/>
          <w:szCs w:val="24"/>
        </w:rPr>
        <w:t>1</w:t>
      </w:r>
      <w:r w:rsidRPr="008A2411">
        <w:rPr>
          <w:rFonts w:ascii="Times New Roman" w:hint="eastAsia"/>
          <w:color w:val="000000" w:themeColor="text1"/>
          <w:szCs w:val="24"/>
        </w:rPr>
        <w:t>年更换一次导热油，更换量为</w:t>
      </w:r>
      <w:r w:rsidRPr="008A2411">
        <w:rPr>
          <w:rFonts w:ascii="Times New Roman" w:hint="eastAsia"/>
          <w:color w:val="000000" w:themeColor="text1"/>
          <w:szCs w:val="24"/>
        </w:rPr>
        <w:t>12.5t/</w:t>
      </w:r>
      <w:r w:rsidRPr="008A2411">
        <w:rPr>
          <w:rFonts w:ascii="Times New Roman" w:hint="eastAsia"/>
          <w:color w:val="000000" w:themeColor="text1"/>
          <w:szCs w:val="24"/>
        </w:rPr>
        <w:t>次，交由资质单位处置。</w:t>
      </w:r>
    </w:p>
    <w:p w14:paraId="44FD6DA7" w14:textId="77777777" w:rsidR="00B0005F" w:rsidRPr="008A2411" w:rsidRDefault="00000000">
      <w:pPr>
        <w:adjustRightInd w:val="0"/>
        <w:snapToGrid w:val="0"/>
        <w:spacing w:line="360" w:lineRule="auto"/>
        <w:ind w:firstLine="482"/>
        <w:rPr>
          <w:rFonts w:ascii="Times New Roman"/>
          <w:color w:val="000000" w:themeColor="text1"/>
        </w:rPr>
      </w:pPr>
      <w:r w:rsidRPr="008A2411">
        <w:rPr>
          <w:rFonts w:ascii="Times New Roman"/>
          <w:color w:val="000000" w:themeColor="text1"/>
        </w:rPr>
        <w:lastRenderedPageBreak/>
        <w:t>项目设置了危险废物暂存间，暂存间</w:t>
      </w:r>
      <w:proofErr w:type="gramStart"/>
      <w:r w:rsidRPr="008A2411">
        <w:rPr>
          <w:rFonts w:ascii="Times New Roman"/>
          <w:color w:val="000000" w:themeColor="text1"/>
        </w:rPr>
        <w:t>内危险</w:t>
      </w:r>
      <w:proofErr w:type="gramEnd"/>
      <w:r w:rsidRPr="008A2411">
        <w:rPr>
          <w:rFonts w:ascii="Times New Roman"/>
          <w:color w:val="000000" w:themeColor="text1"/>
        </w:rPr>
        <w:t>废物分类存放，并做好了</w:t>
      </w:r>
      <w:r w:rsidRPr="008A2411">
        <w:rPr>
          <w:rFonts w:ascii="Times New Roman" w:hint="eastAsia"/>
          <w:color w:val="000000" w:themeColor="text1"/>
        </w:rPr>
        <w:t>“</w:t>
      </w:r>
      <w:r w:rsidRPr="008A2411">
        <w:rPr>
          <w:rFonts w:ascii="Times New Roman"/>
          <w:color w:val="000000" w:themeColor="text1"/>
        </w:rPr>
        <w:t>防雨、防渗、防流失</w:t>
      </w:r>
      <w:r w:rsidRPr="008A2411">
        <w:rPr>
          <w:rFonts w:ascii="Times New Roman" w:hint="eastAsia"/>
          <w:color w:val="000000" w:themeColor="text1"/>
        </w:rPr>
        <w:t>”</w:t>
      </w:r>
      <w:r w:rsidRPr="008A2411">
        <w:rPr>
          <w:rFonts w:ascii="Times New Roman"/>
          <w:color w:val="000000" w:themeColor="text1"/>
        </w:rPr>
        <w:t>措施，并按规范设置了危险废物标识标牌。</w:t>
      </w:r>
    </w:p>
    <w:p w14:paraId="4964692C" w14:textId="77777777" w:rsidR="00B0005F" w:rsidRPr="008A2411" w:rsidRDefault="00000000">
      <w:pPr>
        <w:adjustRightInd w:val="0"/>
        <w:snapToGrid w:val="0"/>
        <w:spacing w:line="360" w:lineRule="auto"/>
        <w:ind w:firstLine="482"/>
        <w:rPr>
          <w:rFonts w:ascii="Times New Roman"/>
          <w:color w:val="000000" w:themeColor="text1"/>
          <w:szCs w:val="24"/>
        </w:rPr>
      </w:pPr>
      <w:r w:rsidRPr="008A2411">
        <w:rPr>
          <w:rFonts w:ascii="Times New Roman"/>
          <w:color w:val="000000" w:themeColor="text1"/>
          <w:szCs w:val="24"/>
        </w:rPr>
        <w:t>项目固</w:t>
      </w:r>
      <w:proofErr w:type="gramStart"/>
      <w:r w:rsidRPr="008A2411">
        <w:rPr>
          <w:rFonts w:ascii="Times New Roman"/>
          <w:color w:val="000000" w:themeColor="text1"/>
          <w:szCs w:val="24"/>
        </w:rPr>
        <w:t>废产生</w:t>
      </w:r>
      <w:proofErr w:type="gramEnd"/>
      <w:r w:rsidRPr="008A2411">
        <w:rPr>
          <w:rFonts w:ascii="Times New Roman"/>
          <w:color w:val="000000" w:themeColor="text1"/>
          <w:szCs w:val="24"/>
        </w:rPr>
        <w:t>及处置情况见表</w:t>
      </w:r>
      <w:r w:rsidRPr="008A2411">
        <w:rPr>
          <w:rFonts w:ascii="Times New Roman"/>
          <w:color w:val="000000" w:themeColor="text1"/>
          <w:szCs w:val="24"/>
        </w:rPr>
        <w:t>3.2-15</w:t>
      </w:r>
      <w:r w:rsidRPr="008A2411">
        <w:rPr>
          <w:rFonts w:ascii="Times New Roman"/>
          <w:color w:val="000000" w:themeColor="text1"/>
          <w:szCs w:val="24"/>
        </w:rPr>
        <w:t>。</w:t>
      </w:r>
    </w:p>
    <w:p w14:paraId="2C239E18" w14:textId="77777777" w:rsidR="00B0005F" w:rsidRPr="008A2411" w:rsidRDefault="00000000">
      <w:pPr>
        <w:jc w:val="center"/>
        <w:rPr>
          <w:rFonts w:ascii="Times New Roman" w:eastAsia="黑体"/>
          <w:color w:val="000000" w:themeColor="text1"/>
          <w:szCs w:val="21"/>
        </w:rPr>
      </w:pPr>
      <w:r w:rsidRPr="008A2411">
        <w:rPr>
          <w:rFonts w:ascii="Times New Roman" w:eastAsia="黑体"/>
          <w:color w:val="000000" w:themeColor="text1"/>
          <w:szCs w:val="21"/>
        </w:rPr>
        <w:t>表</w:t>
      </w:r>
      <w:r w:rsidRPr="008A2411">
        <w:rPr>
          <w:rFonts w:ascii="Times New Roman" w:eastAsia="黑体"/>
          <w:color w:val="000000" w:themeColor="text1"/>
          <w:szCs w:val="21"/>
        </w:rPr>
        <w:t xml:space="preserve">3.2-15  </w:t>
      </w:r>
      <w:r w:rsidRPr="008A2411">
        <w:rPr>
          <w:rFonts w:ascii="Times New Roman" w:eastAsia="黑体"/>
          <w:color w:val="000000" w:themeColor="text1"/>
          <w:szCs w:val="21"/>
        </w:rPr>
        <w:t>项目固体废物产生及处置</w:t>
      </w:r>
    </w:p>
    <w:tbl>
      <w:tblPr>
        <w:tblW w:w="7974" w:type="dxa"/>
        <w:jc w:val="center"/>
        <w:tblBorders>
          <w:top w:val="single" w:sz="4" w:space="0" w:color="auto"/>
          <w:left w:val="single" w:sz="4" w:space="0" w:color="auto"/>
          <w:bottom w:val="single" w:sz="4" w:space="0" w:color="auto"/>
          <w:right w:val="single" w:sz="4" w:space="0" w:color="auto"/>
          <w:insideH w:val="single" w:sz="2" w:space="0" w:color="auto"/>
          <w:insideV w:val="single" w:sz="2" w:space="0" w:color="auto"/>
        </w:tblBorders>
        <w:tblLayout w:type="fixed"/>
        <w:tblCellMar>
          <w:left w:w="28" w:type="dxa"/>
          <w:right w:w="28" w:type="dxa"/>
        </w:tblCellMar>
        <w:tblLook w:val="04A0" w:firstRow="1" w:lastRow="0" w:firstColumn="1" w:lastColumn="0" w:noHBand="0" w:noVBand="1"/>
      </w:tblPr>
      <w:tblGrid>
        <w:gridCol w:w="622"/>
        <w:gridCol w:w="1647"/>
        <w:gridCol w:w="992"/>
        <w:gridCol w:w="1129"/>
        <w:gridCol w:w="2025"/>
        <w:gridCol w:w="1559"/>
      </w:tblGrid>
      <w:tr w:rsidR="008A2411" w:rsidRPr="008A2411" w14:paraId="03A5B1C7" w14:textId="77777777">
        <w:trPr>
          <w:trHeight w:val="454"/>
          <w:tblHeader/>
          <w:jc w:val="center"/>
        </w:trPr>
        <w:tc>
          <w:tcPr>
            <w:tcW w:w="622" w:type="dxa"/>
            <w:vAlign w:val="center"/>
          </w:tcPr>
          <w:p w14:paraId="6D74C1C7" w14:textId="77777777" w:rsidR="00B0005F" w:rsidRPr="008A2411" w:rsidRDefault="00000000">
            <w:pPr>
              <w:jc w:val="center"/>
              <w:rPr>
                <w:rFonts w:ascii="Times New Roman"/>
                <w:b/>
                <w:color w:val="000000" w:themeColor="text1"/>
                <w:kern w:val="2"/>
                <w:sz w:val="21"/>
                <w:szCs w:val="21"/>
              </w:rPr>
            </w:pPr>
            <w:r w:rsidRPr="008A2411">
              <w:rPr>
                <w:rFonts w:ascii="Times New Roman"/>
                <w:b/>
                <w:color w:val="000000" w:themeColor="text1"/>
                <w:kern w:val="2"/>
                <w:sz w:val="21"/>
                <w:szCs w:val="21"/>
              </w:rPr>
              <w:t>序号</w:t>
            </w:r>
          </w:p>
        </w:tc>
        <w:tc>
          <w:tcPr>
            <w:tcW w:w="1647" w:type="dxa"/>
            <w:vAlign w:val="center"/>
          </w:tcPr>
          <w:p w14:paraId="333ADEF0" w14:textId="77777777" w:rsidR="00B0005F" w:rsidRPr="008A2411" w:rsidRDefault="00000000">
            <w:pPr>
              <w:jc w:val="center"/>
              <w:rPr>
                <w:rFonts w:ascii="Times New Roman"/>
                <w:b/>
                <w:color w:val="000000" w:themeColor="text1"/>
                <w:kern w:val="2"/>
                <w:sz w:val="21"/>
                <w:szCs w:val="21"/>
              </w:rPr>
            </w:pPr>
            <w:r w:rsidRPr="008A2411">
              <w:rPr>
                <w:rFonts w:ascii="Times New Roman"/>
                <w:b/>
                <w:color w:val="000000" w:themeColor="text1"/>
                <w:kern w:val="2"/>
                <w:sz w:val="21"/>
                <w:szCs w:val="21"/>
              </w:rPr>
              <w:t>产生源</w:t>
            </w:r>
          </w:p>
        </w:tc>
        <w:tc>
          <w:tcPr>
            <w:tcW w:w="992" w:type="dxa"/>
            <w:vAlign w:val="center"/>
          </w:tcPr>
          <w:p w14:paraId="74876989" w14:textId="77777777" w:rsidR="00B0005F" w:rsidRPr="008A2411" w:rsidRDefault="00000000">
            <w:pPr>
              <w:jc w:val="center"/>
              <w:rPr>
                <w:rFonts w:ascii="Times New Roman"/>
                <w:b/>
                <w:color w:val="000000" w:themeColor="text1"/>
                <w:kern w:val="2"/>
                <w:sz w:val="21"/>
                <w:szCs w:val="21"/>
              </w:rPr>
            </w:pPr>
            <w:r w:rsidRPr="008A2411">
              <w:rPr>
                <w:rFonts w:ascii="Times New Roman"/>
                <w:b/>
                <w:color w:val="000000" w:themeColor="text1"/>
                <w:kern w:val="2"/>
                <w:sz w:val="21"/>
                <w:szCs w:val="21"/>
              </w:rPr>
              <w:t>污染物</w:t>
            </w:r>
          </w:p>
        </w:tc>
        <w:tc>
          <w:tcPr>
            <w:tcW w:w="1129" w:type="dxa"/>
            <w:vAlign w:val="center"/>
          </w:tcPr>
          <w:p w14:paraId="09E8B07F" w14:textId="77777777" w:rsidR="00B0005F" w:rsidRPr="008A2411" w:rsidRDefault="00000000">
            <w:pPr>
              <w:jc w:val="center"/>
              <w:rPr>
                <w:rFonts w:ascii="Times New Roman"/>
                <w:b/>
                <w:color w:val="000000" w:themeColor="text1"/>
                <w:kern w:val="2"/>
                <w:sz w:val="21"/>
                <w:szCs w:val="21"/>
              </w:rPr>
            </w:pPr>
            <w:r w:rsidRPr="008A2411">
              <w:rPr>
                <w:rFonts w:ascii="Times New Roman"/>
                <w:b/>
                <w:color w:val="000000" w:themeColor="text1"/>
                <w:kern w:val="2"/>
                <w:sz w:val="21"/>
                <w:szCs w:val="21"/>
              </w:rPr>
              <w:t>年产生量</w:t>
            </w:r>
          </w:p>
        </w:tc>
        <w:tc>
          <w:tcPr>
            <w:tcW w:w="2025" w:type="dxa"/>
            <w:vAlign w:val="center"/>
          </w:tcPr>
          <w:p w14:paraId="3EC7B833" w14:textId="77777777" w:rsidR="00B0005F" w:rsidRPr="008A2411" w:rsidRDefault="00000000">
            <w:pPr>
              <w:jc w:val="center"/>
              <w:rPr>
                <w:rFonts w:ascii="Times New Roman"/>
                <w:b/>
                <w:color w:val="000000" w:themeColor="text1"/>
                <w:kern w:val="2"/>
                <w:sz w:val="21"/>
                <w:szCs w:val="21"/>
              </w:rPr>
            </w:pPr>
            <w:r w:rsidRPr="008A2411">
              <w:rPr>
                <w:rFonts w:ascii="Times New Roman"/>
                <w:b/>
                <w:color w:val="000000" w:themeColor="text1"/>
                <w:kern w:val="2"/>
                <w:sz w:val="21"/>
                <w:szCs w:val="21"/>
              </w:rPr>
              <w:t>固</w:t>
            </w:r>
            <w:proofErr w:type="gramStart"/>
            <w:r w:rsidRPr="008A2411">
              <w:rPr>
                <w:rFonts w:ascii="Times New Roman"/>
                <w:b/>
                <w:color w:val="000000" w:themeColor="text1"/>
                <w:kern w:val="2"/>
                <w:sz w:val="21"/>
                <w:szCs w:val="21"/>
              </w:rPr>
              <w:t>废性质</w:t>
            </w:r>
            <w:proofErr w:type="gramEnd"/>
          </w:p>
        </w:tc>
        <w:tc>
          <w:tcPr>
            <w:tcW w:w="1559" w:type="dxa"/>
            <w:vAlign w:val="center"/>
          </w:tcPr>
          <w:p w14:paraId="0EF261FC" w14:textId="77777777" w:rsidR="00B0005F" w:rsidRPr="008A2411" w:rsidRDefault="00000000">
            <w:pPr>
              <w:jc w:val="center"/>
              <w:rPr>
                <w:rFonts w:ascii="Times New Roman"/>
                <w:b/>
                <w:color w:val="000000" w:themeColor="text1"/>
                <w:kern w:val="2"/>
                <w:sz w:val="21"/>
                <w:szCs w:val="21"/>
              </w:rPr>
            </w:pPr>
            <w:r w:rsidRPr="008A2411">
              <w:rPr>
                <w:rFonts w:ascii="Times New Roman"/>
                <w:b/>
                <w:color w:val="000000" w:themeColor="text1"/>
                <w:kern w:val="2"/>
                <w:sz w:val="21"/>
                <w:szCs w:val="21"/>
              </w:rPr>
              <w:t>治理措施</w:t>
            </w:r>
          </w:p>
        </w:tc>
      </w:tr>
      <w:tr w:rsidR="008A2411" w:rsidRPr="008A2411" w14:paraId="763F8834" w14:textId="77777777">
        <w:trPr>
          <w:trHeight w:val="454"/>
          <w:jc w:val="center"/>
        </w:trPr>
        <w:tc>
          <w:tcPr>
            <w:tcW w:w="622" w:type="dxa"/>
            <w:vAlign w:val="center"/>
          </w:tcPr>
          <w:p w14:paraId="06A1DFBC" w14:textId="77777777" w:rsidR="00B0005F" w:rsidRPr="008A2411" w:rsidRDefault="00000000">
            <w:pPr>
              <w:jc w:val="center"/>
              <w:rPr>
                <w:rFonts w:ascii="Times New Roman"/>
                <w:color w:val="000000" w:themeColor="text1"/>
                <w:kern w:val="2"/>
                <w:sz w:val="21"/>
                <w:szCs w:val="21"/>
              </w:rPr>
            </w:pPr>
            <w:r w:rsidRPr="008A2411">
              <w:rPr>
                <w:rFonts w:ascii="Times New Roman"/>
                <w:color w:val="000000" w:themeColor="text1"/>
                <w:kern w:val="2"/>
                <w:sz w:val="21"/>
                <w:szCs w:val="21"/>
              </w:rPr>
              <w:t>1</w:t>
            </w:r>
          </w:p>
        </w:tc>
        <w:tc>
          <w:tcPr>
            <w:tcW w:w="1647" w:type="dxa"/>
            <w:vAlign w:val="center"/>
          </w:tcPr>
          <w:p w14:paraId="0B10EADE" w14:textId="77777777" w:rsidR="00B0005F" w:rsidRPr="008A2411" w:rsidRDefault="00000000">
            <w:pPr>
              <w:jc w:val="center"/>
              <w:rPr>
                <w:rFonts w:ascii="Times New Roman"/>
                <w:color w:val="000000" w:themeColor="text1"/>
                <w:kern w:val="2"/>
                <w:sz w:val="21"/>
                <w:szCs w:val="21"/>
              </w:rPr>
            </w:pPr>
            <w:r w:rsidRPr="008A2411">
              <w:rPr>
                <w:rFonts w:ascii="Times New Roman"/>
                <w:color w:val="000000" w:themeColor="text1"/>
                <w:kern w:val="2"/>
                <w:sz w:val="21"/>
                <w:szCs w:val="21"/>
                <w:lang w:val="zh-CN"/>
              </w:rPr>
              <w:t>污水处理站</w:t>
            </w:r>
          </w:p>
        </w:tc>
        <w:tc>
          <w:tcPr>
            <w:tcW w:w="992" w:type="dxa"/>
            <w:vAlign w:val="center"/>
          </w:tcPr>
          <w:p w14:paraId="230F09A3" w14:textId="77777777" w:rsidR="00B0005F" w:rsidRPr="008A2411" w:rsidRDefault="00000000">
            <w:pPr>
              <w:autoSpaceDE w:val="0"/>
              <w:autoSpaceDN w:val="0"/>
              <w:jc w:val="center"/>
              <w:rPr>
                <w:rFonts w:ascii="Times New Roman"/>
                <w:color w:val="000000" w:themeColor="text1"/>
                <w:kern w:val="2"/>
                <w:sz w:val="21"/>
                <w:szCs w:val="21"/>
                <w:lang w:val="zh-CN"/>
              </w:rPr>
            </w:pPr>
            <w:r w:rsidRPr="008A2411">
              <w:rPr>
                <w:rFonts w:ascii="Times New Roman"/>
                <w:color w:val="000000" w:themeColor="text1"/>
                <w:kern w:val="2"/>
                <w:sz w:val="21"/>
                <w:szCs w:val="21"/>
                <w:lang w:val="zh-CN"/>
              </w:rPr>
              <w:t>污泥</w:t>
            </w:r>
          </w:p>
        </w:tc>
        <w:tc>
          <w:tcPr>
            <w:tcW w:w="1129" w:type="dxa"/>
            <w:vAlign w:val="center"/>
          </w:tcPr>
          <w:p w14:paraId="12F17488" w14:textId="77777777" w:rsidR="00B0005F" w:rsidRPr="008A2411" w:rsidRDefault="00000000">
            <w:pPr>
              <w:jc w:val="center"/>
              <w:textAlignment w:val="baseline"/>
              <w:rPr>
                <w:rFonts w:ascii="Times New Roman"/>
                <w:color w:val="000000" w:themeColor="text1"/>
                <w:kern w:val="24"/>
                <w:sz w:val="21"/>
                <w:szCs w:val="21"/>
              </w:rPr>
            </w:pPr>
            <w:r w:rsidRPr="008A2411">
              <w:rPr>
                <w:rFonts w:ascii="Times New Roman"/>
                <w:color w:val="000000" w:themeColor="text1"/>
                <w:kern w:val="24"/>
                <w:sz w:val="21"/>
                <w:szCs w:val="21"/>
              </w:rPr>
              <w:t>73t/a</w:t>
            </w:r>
          </w:p>
        </w:tc>
        <w:tc>
          <w:tcPr>
            <w:tcW w:w="2025" w:type="dxa"/>
            <w:vMerge w:val="restart"/>
            <w:vAlign w:val="center"/>
          </w:tcPr>
          <w:p w14:paraId="54102F5D" w14:textId="77777777" w:rsidR="00B0005F" w:rsidRPr="008A2411" w:rsidRDefault="00000000">
            <w:pPr>
              <w:jc w:val="center"/>
              <w:rPr>
                <w:rFonts w:ascii="Times New Roman"/>
                <w:color w:val="000000" w:themeColor="text1"/>
                <w:kern w:val="2"/>
                <w:sz w:val="21"/>
                <w:szCs w:val="21"/>
              </w:rPr>
            </w:pPr>
            <w:r w:rsidRPr="008A2411">
              <w:rPr>
                <w:rFonts w:ascii="Times New Roman"/>
                <w:color w:val="000000" w:themeColor="text1"/>
                <w:kern w:val="2"/>
                <w:sz w:val="21"/>
                <w:szCs w:val="21"/>
              </w:rPr>
              <w:t>一般固废</w:t>
            </w:r>
          </w:p>
        </w:tc>
        <w:tc>
          <w:tcPr>
            <w:tcW w:w="1559" w:type="dxa"/>
            <w:vAlign w:val="center"/>
          </w:tcPr>
          <w:p w14:paraId="0BF5F834" w14:textId="77777777" w:rsidR="00B0005F" w:rsidRPr="008A2411" w:rsidRDefault="00000000">
            <w:pPr>
              <w:jc w:val="center"/>
              <w:rPr>
                <w:rFonts w:ascii="Times New Roman"/>
                <w:color w:val="000000" w:themeColor="text1"/>
                <w:kern w:val="2"/>
                <w:sz w:val="21"/>
                <w:szCs w:val="21"/>
              </w:rPr>
            </w:pPr>
            <w:proofErr w:type="gramStart"/>
            <w:r w:rsidRPr="008A2411">
              <w:rPr>
                <w:rFonts w:ascii="Times New Roman"/>
                <w:color w:val="000000" w:themeColor="text1"/>
                <w:kern w:val="2"/>
                <w:sz w:val="21"/>
                <w:szCs w:val="21"/>
              </w:rPr>
              <w:t>送城市</w:t>
            </w:r>
            <w:proofErr w:type="gramEnd"/>
            <w:r w:rsidRPr="008A2411">
              <w:rPr>
                <w:rFonts w:ascii="Times New Roman"/>
                <w:color w:val="000000" w:themeColor="text1"/>
                <w:kern w:val="2"/>
                <w:sz w:val="21"/>
                <w:szCs w:val="21"/>
              </w:rPr>
              <w:t>生活垃圾填埋场处理</w:t>
            </w:r>
          </w:p>
        </w:tc>
      </w:tr>
      <w:tr w:rsidR="008A2411" w:rsidRPr="008A2411" w14:paraId="4E02F4ED" w14:textId="77777777">
        <w:trPr>
          <w:trHeight w:val="454"/>
          <w:jc w:val="center"/>
        </w:trPr>
        <w:tc>
          <w:tcPr>
            <w:tcW w:w="622" w:type="dxa"/>
            <w:vAlign w:val="center"/>
          </w:tcPr>
          <w:p w14:paraId="7E591E42" w14:textId="77777777" w:rsidR="00B0005F" w:rsidRPr="008A2411" w:rsidRDefault="00000000">
            <w:pPr>
              <w:jc w:val="center"/>
              <w:rPr>
                <w:rFonts w:ascii="Times New Roman"/>
                <w:color w:val="000000" w:themeColor="text1"/>
                <w:kern w:val="2"/>
                <w:sz w:val="21"/>
                <w:szCs w:val="21"/>
              </w:rPr>
            </w:pPr>
            <w:r w:rsidRPr="008A2411">
              <w:rPr>
                <w:rFonts w:ascii="Times New Roman"/>
                <w:color w:val="000000" w:themeColor="text1"/>
                <w:kern w:val="2"/>
                <w:sz w:val="21"/>
                <w:szCs w:val="21"/>
              </w:rPr>
              <w:t>2</w:t>
            </w:r>
          </w:p>
        </w:tc>
        <w:tc>
          <w:tcPr>
            <w:tcW w:w="1647" w:type="dxa"/>
            <w:vAlign w:val="center"/>
          </w:tcPr>
          <w:p w14:paraId="3BEAD56B" w14:textId="77777777" w:rsidR="00B0005F" w:rsidRPr="008A2411" w:rsidRDefault="00000000">
            <w:pPr>
              <w:jc w:val="center"/>
              <w:rPr>
                <w:rFonts w:ascii="Times New Roman"/>
                <w:color w:val="000000" w:themeColor="text1"/>
                <w:kern w:val="2"/>
                <w:sz w:val="21"/>
                <w:szCs w:val="21"/>
              </w:rPr>
            </w:pPr>
            <w:r w:rsidRPr="008A2411">
              <w:rPr>
                <w:rFonts w:ascii="Times New Roman"/>
                <w:color w:val="000000" w:themeColor="text1"/>
                <w:kern w:val="2"/>
                <w:sz w:val="21"/>
                <w:szCs w:val="21"/>
              </w:rPr>
              <w:t>员工办公生活</w:t>
            </w:r>
          </w:p>
        </w:tc>
        <w:tc>
          <w:tcPr>
            <w:tcW w:w="992" w:type="dxa"/>
            <w:vAlign w:val="center"/>
          </w:tcPr>
          <w:p w14:paraId="3B0A450F" w14:textId="77777777" w:rsidR="00B0005F" w:rsidRPr="008A2411" w:rsidRDefault="00000000">
            <w:pPr>
              <w:autoSpaceDE w:val="0"/>
              <w:autoSpaceDN w:val="0"/>
              <w:jc w:val="center"/>
              <w:rPr>
                <w:rFonts w:ascii="Times New Roman"/>
                <w:color w:val="000000" w:themeColor="text1"/>
                <w:kern w:val="2"/>
                <w:sz w:val="21"/>
                <w:szCs w:val="21"/>
                <w:lang w:val="zh-CN"/>
              </w:rPr>
            </w:pPr>
            <w:r w:rsidRPr="008A2411">
              <w:rPr>
                <w:rFonts w:ascii="Times New Roman"/>
                <w:color w:val="000000" w:themeColor="text1"/>
                <w:kern w:val="2"/>
                <w:sz w:val="21"/>
                <w:szCs w:val="21"/>
                <w:lang w:val="zh-CN"/>
              </w:rPr>
              <w:t>生活垃圾</w:t>
            </w:r>
          </w:p>
        </w:tc>
        <w:tc>
          <w:tcPr>
            <w:tcW w:w="1129" w:type="dxa"/>
            <w:vAlign w:val="center"/>
          </w:tcPr>
          <w:p w14:paraId="14082C77" w14:textId="32F23216" w:rsidR="00B0005F" w:rsidRPr="008A2411" w:rsidRDefault="0012595C">
            <w:pPr>
              <w:jc w:val="center"/>
              <w:textAlignment w:val="baseline"/>
              <w:rPr>
                <w:rFonts w:ascii="Times New Roman"/>
                <w:color w:val="000000" w:themeColor="text1"/>
                <w:kern w:val="24"/>
                <w:sz w:val="21"/>
                <w:szCs w:val="21"/>
              </w:rPr>
            </w:pPr>
            <w:r>
              <w:rPr>
                <w:rFonts w:ascii="Times New Roman" w:hint="eastAsia"/>
                <w:color w:val="000000" w:themeColor="text1"/>
                <w:kern w:val="24"/>
                <w:sz w:val="21"/>
                <w:szCs w:val="21"/>
              </w:rPr>
              <w:t>110.5</w:t>
            </w:r>
            <w:r w:rsidRPr="008A2411">
              <w:rPr>
                <w:rFonts w:ascii="Times New Roman"/>
                <w:color w:val="000000" w:themeColor="text1"/>
                <w:kern w:val="24"/>
                <w:sz w:val="21"/>
                <w:szCs w:val="21"/>
              </w:rPr>
              <w:t>t/a</w:t>
            </w:r>
          </w:p>
        </w:tc>
        <w:tc>
          <w:tcPr>
            <w:tcW w:w="2025" w:type="dxa"/>
            <w:vMerge/>
            <w:vAlign w:val="center"/>
          </w:tcPr>
          <w:p w14:paraId="189E86CF" w14:textId="77777777" w:rsidR="00B0005F" w:rsidRPr="008A2411" w:rsidRDefault="00B0005F">
            <w:pPr>
              <w:jc w:val="center"/>
              <w:rPr>
                <w:rFonts w:ascii="Times New Roman"/>
                <w:color w:val="000000" w:themeColor="text1"/>
                <w:kern w:val="2"/>
                <w:sz w:val="21"/>
                <w:szCs w:val="21"/>
              </w:rPr>
            </w:pPr>
          </w:p>
        </w:tc>
        <w:tc>
          <w:tcPr>
            <w:tcW w:w="1559" w:type="dxa"/>
            <w:vAlign w:val="center"/>
          </w:tcPr>
          <w:p w14:paraId="14A661CF" w14:textId="77777777" w:rsidR="00B0005F" w:rsidRPr="008A2411" w:rsidRDefault="00000000">
            <w:pPr>
              <w:jc w:val="center"/>
              <w:rPr>
                <w:rFonts w:ascii="Times New Roman"/>
                <w:color w:val="000000" w:themeColor="text1"/>
                <w:kern w:val="2"/>
                <w:sz w:val="21"/>
                <w:szCs w:val="21"/>
              </w:rPr>
            </w:pPr>
            <w:r w:rsidRPr="008A2411">
              <w:rPr>
                <w:rFonts w:ascii="Times New Roman"/>
                <w:color w:val="000000" w:themeColor="text1"/>
                <w:kern w:val="2"/>
                <w:sz w:val="21"/>
                <w:szCs w:val="21"/>
              </w:rPr>
              <w:t>由当地环卫部门统一收集处理</w:t>
            </w:r>
          </w:p>
        </w:tc>
      </w:tr>
      <w:tr w:rsidR="008A2411" w:rsidRPr="008A2411" w14:paraId="46E1F65E" w14:textId="77777777">
        <w:trPr>
          <w:trHeight w:val="454"/>
          <w:jc w:val="center"/>
        </w:trPr>
        <w:tc>
          <w:tcPr>
            <w:tcW w:w="622" w:type="dxa"/>
            <w:vAlign w:val="center"/>
          </w:tcPr>
          <w:p w14:paraId="627B00D0" w14:textId="77777777" w:rsidR="00B0005F" w:rsidRPr="008A2411" w:rsidRDefault="00000000">
            <w:pPr>
              <w:jc w:val="center"/>
              <w:rPr>
                <w:rFonts w:ascii="Times New Roman"/>
                <w:color w:val="000000" w:themeColor="text1"/>
                <w:kern w:val="2"/>
                <w:sz w:val="21"/>
                <w:szCs w:val="21"/>
              </w:rPr>
            </w:pPr>
            <w:r w:rsidRPr="008A2411">
              <w:rPr>
                <w:rFonts w:ascii="Times New Roman" w:hint="eastAsia"/>
                <w:color w:val="000000" w:themeColor="text1"/>
                <w:kern w:val="2"/>
                <w:sz w:val="21"/>
                <w:szCs w:val="21"/>
              </w:rPr>
              <w:t>3</w:t>
            </w:r>
          </w:p>
        </w:tc>
        <w:tc>
          <w:tcPr>
            <w:tcW w:w="1647" w:type="dxa"/>
            <w:vAlign w:val="center"/>
          </w:tcPr>
          <w:p w14:paraId="23DB07CD" w14:textId="77777777" w:rsidR="00B0005F" w:rsidRPr="008A2411" w:rsidRDefault="00000000">
            <w:pPr>
              <w:jc w:val="center"/>
              <w:rPr>
                <w:rFonts w:ascii="Times New Roman"/>
                <w:color w:val="000000" w:themeColor="text1"/>
                <w:kern w:val="2"/>
                <w:sz w:val="21"/>
                <w:szCs w:val="21"/>
              </w:rPr>
            </w:pPr>
            <w:r w:rsidRPr="008A2411">
              <w:rPr>
                <w:rFonts w:ascii="Times New Roman" w:hint="eastAsia"/>
                <w:color w:val="000000" w:themeColor="text1"/>
                <w:kern w:val="2"/>
                <w:sz w:val="21"/>
                <w:szCs w:val="21"/>
              </w:rPr>
              <w:t>制氮装置</w:t>
            </w:r>
          </w:p>
        </w:tc>
        <w:tc>
          <w:tcPr>
            <w:tcW w:w="992" w:type="dxa"/>
            <w:vAlign w:val="center"/>
          </w:tcPr>
          <w:p w14:paraId="24C70DF4" w14:textId="77777777" w:rsidR="00B0005F" w:rsidRPr="008A2411" w:rsidRDefault="00000000">
            <w:pPr>
              <w:autoSpaceDE w:val="0"/>
              <w:autoSpaceDN w:val="0"/>
              <w:jc w:val="center"/>
              <w:rPr>
                <w:rFonts w:ascii="Times New Roman"/>
                <w:color w:val="000000" w:themeColor="text1"/>
                <w:kern w:val="2"/>
                <w:sz w:val="21"/>
                <w:szCs w:val="21"/>
                <w:lang w:val="zh-CN"/>
              </w:rPr>
            </w:pPr>
            <w:r w:rsidRPr="008A2411">
              <w:rPr>
                <w:rFonts w:ascii="Times New Roman" w:hint="eastAsia"/>
                <w:color w:val="000000" w:themeColor="text1"/>
                <w:kern w:val="2"/>
                <w:sz w:val="21"/>
                <w:szCs w:val="21"/>
                <w:lang w:val="zh-CN"/>
              </w:rPr>
              <w:t>废过滤器</w:t>
            </w:r>
          </w:p>
        </w:tc>
        <w:tc>
          <w:tcPr>
            <w:tcW w:w="1129" w:type="dxa"/>
            <w:vAlign w:val="center"/>
          </w:tcPr>
          <w:p w14:paraId="036F1240" w14:textId="77777777" w:rsidR="00B0005F" w:rsidRPr="008A2411" w:rsidRDefault="00000000">
            <w:pPr>
              <w:jc w:val="center"/>
              <w:textAlignment w:val="baseline"/>
              <w:rPr>
                <w:rFonts w:ascii="Times New Roman"/>
                <w:color w:val="000000" w:themeColor="text1"/>
                <w:kern w:val="24"/>
                <w:sz w:val="21"/>
                <w:szCs w:val="21"/>
              </w:rPr>
            </w:pPr>
            <w:r w:rsidRPr="008A2411">
              <w:rPr>
                <w:rFonts w:ascii="Times New Roman" w:hint="eastAsia"/>
                <w:color w:val="000000" w:themeColor="text1"/>
                <w:kern w:val="24"/>
                <w:sz w:val="21"/>
                <w:szCs w:val="21"/>
              </w:rPr>
              <w:t>0.1t</w:t>
            </w:r>
            <w:r w:rsidRPr="008A2411">
              <w:rPr>
                <w:rFonts w:ascii="Times New Roman"/>
                <w:color w:val="000000" w:themeColor="text1"/>
                <w:kern w:val="24"/>
                <w:sz w:val="21"/>
                <w:szCs w:val="21"/>
              </w:rPr>
              <w:t>/a</w:t>
            </w:r>
          </w:p>
        </w:tc>
        <w:tc>
          <w:tcPr>
            <w:tcW w:w="2025" w:type="dxa"/>
            <w:vMerge/>
            <w:vAlign w:val="center"/>
          </w:tcPr>
          <w:p w14:paraId="571BD519" w14:textId="77777777" w:rsidR="00B0005F" w:rsidRPr="008A2411" w:rsidRDefault="00B0005F">
            <w:pPr>
              <w:jc w:val="center"/>
              <w:rPr>
                <w:rFonts w:ascii="Times New Roman"/>
                <w:color w:val="000000" w:themeColor="text1"/>
                <w:kern w:val="2"/>
                <w:sz w:val="21"/>
                <w:szCs w:val="21"/>
              </w:rPr>
            </w:pPr>
          </w:p>
        </w:tc>
        <w:tc>
          <w:tcPr>
            <w:tcW w:w="1559" w:type="dxa"/>
            <w:vAlign w:val="center"/>
          </w:tcPr>
          <w:p w14:paraId="61CB1498" w14:textId="77777777" w:rsidR="00B0005F" w:rsidRPr="008A2411" w:rsidRDefault="00000000">
            <w:pPr>
              <w:jc w:val="center"/>
              <w:rPr>
                <w:rFonts w:ascii="Times New Roman"/>
                <w:color w:val="000000" w:themeColor="text1"/>
                <w:kern w:val="2"/>
                <w:sz w:val="21"/>
                <w:szCs w:val="21"/>
              </w:rPr>
            </w:pPr>
            <w:r w:rsidRPr="008A2411">
              <w:rPr>
                <w:rFonts w:ascii="Times New Roman" w:hint="eastAsia"/>
                <w:color w:val="000000" w:themeColor="text1"/>
                <w:kern w:val="2"/>
                <w:sz w:val="21"/>
                <w:szCs w:val="21"/>
              </w:rPr>
              <w:t>交由供货厂商回收</w:t>
            </w:r>
          </w:p>
        </w:tc>
      </w:tr>
      <w:tr w:rsidR="008A2411" w:rsidRPr="008A2411" w14:paraId="6D98814E" w14:textId="77777777">
        <w:trPr>
          <w:trHeight w:val="454"/>
          <w:jc w:val="center"/>
        </w:trPr>
        <w:tc>
          <w:tcPr>
            <w:tcW w:w="622" w:type="dxa"/>
            <w:vAlign w:val="center"/>
          </w:tcPr>
          <w:p w14:paraId="65B5443F" w14:textId="77777777" w:rsidR="00B0005F" w:rsidRPr="008A2411" w:rsidRDefault="00000000">
            <w:pPr>
              <w:jc w:val="center"/>
              <w:rPr>
                <w:rFonts w:ascii="Times New Roman"/>
                <w:color w:val="000000" w:themeColor="text1"/>
                <w:kern w:val="2"/>
                <w:sz w:val="21"/>
                <w:szCs w:val="21"/>
              </w:rPr>
            </w:pPr>
            <w:r w:rsidRPr="008A2411">
              <w:rPr>
                <w:rFonts w:ascii="Times New Roman"/>
                <w:color w:val="000000" w:themeColor="text1"/>
                <w:kern w:val="2"/>
                <w:sz w:val="21"/>
                <w:szCs w:val="21"/>
              </w:rPr>
              <w:t>3</w:t>
            </w:r>
          </w:p>
        </w:tc>
        <w:tc>
          <w:tcPr>
            <w:tcW w:w="1647" w:type="dxa"/>
            <w:vAlign w:val="center"/>
          </w:tcPr>
          <w:p w14:paraId="76080564" w14:textId="77777777" w:rsidR="00B0005F" w:rsidRPr="008A2411" w:rsidRDefault="00000000">
            <w:pPr>
              <w:jc w:val="center"/>
              <w:rPr>
                <w:rFonts w:ascii="Times New Roman"/>
                <w:color w:val="000000" w:themeColor="text1"/>
                <w:kern w:val="2"/>
                <w:sz w:val="21"/>
                <w:szCs w:val="21"/>
              </w:rPr>
            </w:pPr>
            <w:r w:rsidRPr="008A2411">
              <w:rPr>
                <w:rFonts w:ascii="Times New Roman"/>
                <w:color w:val="000000" w:themeColor="text1"/>
                <w:kern w:val="2"/>
                <w:sz w:val="21"/>
                <w:szCs w:val="21"/>
              </w:rPr>
              <w:t>生产装置区干燥塔脱水单元</w:t>
            </w:r>
          </w:p>
        </w:tc>
        <w:tc>
          <w:tcPr>
            <w:tcW w:w="992" w:type="dxa"/>
            <w:vAlign w:val="center"/>
          </w:tcPr>
          <w:p w14:paraId="2CC3CBBC" w14:textId="77777777" w:rsidR="00B0005F" w:rsidRPr="008A2411" w:rsidRDefault="00000000">
            <w:pPr>
              <w:autoSpaceDE w:val="0"/>
              <w:autoSpaceDN w:val="0"/>
              <w:jc w:val="center"/>
              <w:rPr>
                <w:rFonts w:ascii="Times New Roman"/>
                <w:color w:val="000000" w:themeColor="text1"/>
                <w:kern w:val="2"/>
                <w:sz w:val="21"/>
                <w:szCs w:val="21"/>
                <w:lang w:val="zh-CN"/>
              </w:rPr>
            </w:pPr>
            <w:r w:rsidRPr="008A2411">
              <w:rPr>
                <w:rFonts w:ascii="Times New Roman"/>
                <w:color w:val="000000" w:themeColor="text1"/>
                <w:kern w:val="2"/>
                <w:sz w:val="21"/>
                <w:szCs w:val="21"/>
                <w:lang w:val="zh-CN"/>
              </w:rPr>
              <w:t>废分子筛</w:t>
            </w:r>
          </w:p>
        </w:tc>
        <w:tc>
          <w:tcPr>
            <w:tcW w:w="1129" w:type="dxa"/>
            <w:tcBorders>
              <w:bottom w:val="single" w:sz="4" w:space="0" w:color="auto"/>
            </w:tcBorders>
            <w:vAlign w:val="center"/>
          </w:tcPr>
          <w:p w14:paraId="6E6BAF41" w14:textId="77777777" w:rsidR="00B0005F" w:rsidRPr="008A2411" w:rsidRDefault="00000000">
            <w:pPr>
              <w:jc w:val="center"/>
              <w:textAlignment w:val="baseline"/>
              <w:rPr>
                <w:rFonts w:ascii="Times New Roman"/>
                <w:color w:val="000000" w:themeColor="text1"/>
                <w:kern w:val="24"/>
                <w:sz w:val="21"/>
                <w:szCs w:val="21"/>
              </w:rPr>
            </w:pPr>
            <w:r w:rsidRPr="008A2411">
              <w:rPr>
                <w:rFonts w:ascii="Times New Roman"/>
                <w:color w:val="000000" w:themeColor="text1"/>
                <w:kern w:val="24"/>
                <w:sz w:val="21"/>
                <w:szCs w:val="21"/>
              </w:rPr>
              <w:t>3 t/a</w:t>
            </w:r>
          </w:p>
          <w:p w14:paraId="342F4727" w14:textId="77777777" w:rsidR="00B0005F" w:rsidRPr="008A2411" w:rsidRDefault="00000000">
            <w:pPr>
              <w:jc w:val="center"/>
              <w:textAlignment w:val="baseline"/>
              <w:rPr>
                <w:rFonts w:ascii="Times New Roman"/>
                <w:color w:val="000000" w:themeColor="text1"/>
                <w:kern w:val="24"/>
                <w:sz w:val="21"/>
                <w:szCs w:val="21"/>
              </w:rPr>
            </w:pPr>
            <w:r w:rsidRPr="008A2411">
              <w:rPr>
                <w:rFonts w:ascii="Times New Roman"/>
                <w:color w:val="000000" w:themeColor="text1"/>
                <w:kern w:val="24"/>
                <w:sz w:val="21"/>
                <w:szCs w:val="21"/>
              </w:rPr>
              <w:t>(3</w:t>
            </w:r>
            <w:r w:rsidRPr="008A2411">
              <w:rPr>
                <w:rFonts w:ascii="Times New Roman"/>
                <w:color w:val="000000" w:themeColor="text1"/>
                <w:kern w:val="24"/>
                <w:sz w:val="21"/>
                <w:szCs w:val="21"/>
              </w:rPr>
              <w:t>年一次</w:t>
            </w:r>
            <w:r w:rsidRPr="008A2411">
              <w:rPr>
                <w:rFonts w:ascii="Times New Roman"/>
                <w:color w:val="000000" w:themeColor="text1"/>
                <w:kern w:val="24"/>
                <w:sz w:val="21"/>
                <w:szCs w:val="21"/>
              </w:rPr>
              <w:t>)</w:t>
            </w:r>
          </w:p>
        </w:tc>
        <w:tc>
          <w:tcPr>
            <w:tcW w:w="2025" w:type="dxa"/>
            <w:tcBorders>
              <w:bottom w:val="single" w:sz="4" w:space="0" w:color="auto"/>
            </w:tcBorders>
            <w:vAlign w:val="center"/>
          </w:tcPr>
          <w:p w14:paraId="14C9646F" w14:textId="77777777" w:rsidR="00B0005F" w:rsidRPr="008A2411" w:rsidRDefault="00000000">
            <w:pPr>
              <w:jc w:val="center"/>
              <w:rPr>
                <w:rFonts w:ascii="Times New Roman"/>
                <w:color w:val="000000" w:themeColor="text1"/>
                <w:kern w:val="2"/>
                <w:sz w:val="21"/>
                <w:szCs w:val="21"/>
              </w:rPr>
            </w:pPr>
            <w:r w:rsidRPr="008A2411">
              <w:rPr>
                <w:rFonts w:ascii="Times New Roman"/>
                <w:color w:val="000000" w:themeColor="text1"/>
                <w:kern w:val="2"/>
                <w:sz w:val="21"/>
                <w:szCs w:val="21"/>
              </w:rPr>
              <w:t>危险废物（</w:t>
            </w:r>
            <w:r w:rsidRPr="008A2411">
              <w:rPr>
                <w:rFonts w:ascii="Times New Roman"/>
                <w:color w:val="000000" w:themeColor="text1"/>
                <w:kern w:val="2"/>
                <w:sz w:val="21"/>
                <w:szCs w:val="21"/>
              </w:rPr>
              <w:t>900-249-08</w:t>
            </w:r>
            <w:r w:rsidRPr="008A2411">
              <w:rPr>
                <w:rFonts w:ascii="Times New Roman"/>
                <w:color w:val="000000" w:themeColor="text1"/>
                <w:kern w:val="2"/>
                <w:sz w:val="21"/>
                <w:szCs w:val="21"/>
              </w:rPr>
              <w:t>，</w:t>
            </w:r>
            <w:r w:rsidRPr="008A2411">
              <w:rPr>
                <w:rFonts w:ascii="Times New Roman"/>
                <w:color w:val="000000" w:themeColor="text1"/>
                <w:kern w:val="2"/>
                <w:sz w:val="21"/>
                <w:szCs w:val="21"/>
              </w:rPr>
              <w:t>T</w:t>
            </w:r>
            <w:r w:rsidRPr="008A2411">
              <w:rPr>
                <w:rFonts w:ascii="Times New Roman"/>
                <w:color w:val="000000" w:themeColor="text1"/>
                <w:kern w:val="2"/>
                <w:sz w:val="21"/>
                <w:szCs w:val="21"/>
              </w:rPr>
              <w:t>）</w:t>
            </w:r>
          </w:p>
        </w:tc>
        <w:tc>
          <w:tcPr>
            <w:tcW w:w="1559" w:type="dxa"/>
            <w:tcBorders>
              <w:bottom w:val="single" w:sz="4" w:space="0" w:color="auto"/>
            </w:tcBorders>
            <w:vAlign w:val="center"/>
          </w:tcPr>
          <w:p w14:paraId="0D1EB1D2" w14:textId="77777777" w:rsidR="00B0005F" w:rsidRPr="008A2411" w:rsidRDefault="00000000">
            <w:pPr>
              <w:jc w:val="center"/>
              <w:rPr>
                <w:rFonts w:ascii="Times New Roman"/>
                <w:color w:val="000000" w:themeColor="text1"/>
                <w:kern w:val="2"/>
                <w:sz w:val="21"/>
                <w:szCs w:val="21"/>
              </w:rPr>
            </w:pPr>
            <w:proofErr w:type="gramStart"/>
            <w:r w:rsidRPr="008A2411">
              <w:rPr>
                <w:rFonts w:ascii="Times New Roman"/>
                <w:color w:val="000000" w:themeColor="text1"/>
                <w:kern w:val="2"/>
                <w:sz w:val="21"/>
                <w:szCs w:val="21"/>
              </w:rPr>
              <w:t>存于危废暂存</w:t>
            </w:r>
            <w:proofErr w:type="gramEnd"/>
            <w:r w:rsidRPr="008A2411">
              <w:rPr>
                <w:rFonts w:ascii="Times New Roman"/>
                <w:color w:val="000000" w:themeColor="text1"/>
                <w:kern w:val="2"/>
                <w:sz w:val="21"/>
                <w:szCs w:val="21"/>
              </w:rPr>
              <w:t>间，交有资质单位处置</w:t>
            </w:r>
          </w:p>
        </w:tc>
      </w:tr>
      <w:tr w:rsidR="008A2411" w:rsidRPr="008A2411" w14:paraId="1E4A3320" w14:textId="77777777">
        <w:trPr>
          <w:trHeight w:val="454"/>
          <w:jc w:val="center"/>
        </w:trPr>
        <w:tc>
          <w:tcPr>
            <w:tcW w:w="622" w:type="dxa"/>
            <w:vAlign w:val="center"/>
          </w:tcPr>
          <w:p w14:paraId="0EA57A23" w14:textId="77777777" w:rsidR="00B0005F" w:rsidRPr="008A2411" w:rsidRDefault="00000000">
            <w:pPr>
              <w:jc w:val="center"/>
              <w:rPr>
                <w:rFonts w:ascii="Times New Roman"/>
                <w:color w:val="000000" w:themeColor="text1"/>
                <w:kern w:val="2"/>
                <w:sz w:val="21"/>
                <w:szCs w:val="21"/>
              </w:rPr>
            </w:pPr>
            <w:r w:rsidRPr="008A2411">
              <w:rPr>
                <w:rFonts w:ascii="Times New Roman"/>
                <w:color w:val="000000" w:themeColor="text1"/>
                <w:kern w:val="2"/>
                <w:sz w:val="21"/>
                <w:szCs w:val="21"/>
              </w:rPr>
              <w:t>4</w:t>
            </w:r>
          </w:p>
        </w:tc>
        <w:tc>
          <w:tcPr>
            <w:tcW w:w="1647" w:type="dxa"/>
            <w:vAlign w:val="center"/>
          </w:tcPr>
          <w:p w14:paraId="7D4B3A4C" w14:textId="77777777" w:rsidR="00B0005F" w:rsidRPr="008A2411" w:rsidRDefault="00000000">
            <w:pPr>
              <w:jc w:val="center"/>
              <w:rPr>
                <w:rFonts w:ascii="Times New Roman"/>
                <w:color w:val="000000" w:themeColor="text1"/>
                <w:kern w:val="2"/>
                <w:sz w:val="21"/>
                <w:szCs w:val="21"/>
              </w:rPr>
            </w:pPr>
            <w:r w:rsidRPr="008A2411">
              <w:rPr>
                <w:rFonts w:ascii="Times New Roman"/>
                <w:color w:val="000000" w:themeColor="text1"/>
                <w:kern w:val="2"/>
                <w:sz w:val="21"/>
                <w:szCs w:val="21"/>
              </w:rPr>
              <w:t>生产装置区干燥塔脱水再生单元</w:t>
            </w:r>
          </w:p>
        </w:tc>
        <w:tc>
          <w:tcPr>
            <w:tcW w:w="992" w:type="dxa"/>
            <w:vAlign w:val="center"/>
          </w:tcPr>
          <w:p w14:paraId="4A086E8B" w14:textId="77777777" w:rsidR="00B0005F" w:rsidRPr="008A2411" w:rsidRDefault="00000000">
            <w:pPr>
              <w:autoSpaceDE w:val="0"/>
              <w:autoSpaceDN w:val="0"/>
              <w:jc w:val="center"/>
              <w:rPr>
                <w:rFonts w:ascii="Times New Roman"/>
                <w:color w:val="000000" w:themeColor="text1"/>
                <w:kern w:val="2"/>
                <w:sz w:val="21"/>
                <w:szCs w:val="21"/>
              </w:rPr>
            </w:pPr>
            <w:r w:rsidRPr="008A2411">
              <w:rPr>
                <w:rFonts w:ascii="Times New Roman"/>
                <w:color w:val="000000" w:themeColor="text1"/>
                <w:kern w:val="2"/>
                <w:sz w:val="21"/>
                <w:szCs w:val="21"/>
              </w:rPr>
              <w:t>含油废液</w:t>
            </w:r>
          </w:p>
        </w:tc>
        <w:tc>
          <w:tcPr>
            <w:tcW w:w="1129" w:type="dxa"/>
            <w:tcBorders>
              <w:bottom w:val="single" w:sz="4" w:space="0" w:color="auto"/>
            </w:tcBorders>
            <w:vAlign w:val="center"/>
          </w:tcPr>
          <w:p w14:paraId="4085AAEE" w14:textId="77777777" w:rsidR="00B0005F" w:rsidRPr="008A2411" w:rsidRDefault="00000000">
            <w:pPr>
              <w:jc w:val="center"/>
              <w:textAlignment w:val="baseline"/>
              <w:rPr>
                <w:rFonts w:ascii="Times New Roman"/>
                <w:color w:val="000000" w:themeColor="text1"/>
                <w:kern w:val="24"/>
                <w:sz w:val="21"/>
                <w:szCs w:val="21"/>
              </w:rPr>
            </w:pPr>
            <w:r w:rsidRPr="008A2411">
              <w:rPr>
                <w:rFonts w:ascii="Times New Roman"/>
                <w:color w:val="000000" w:themeColor="text1"/>
                <w:kern w:val="24"/>
                <w:sz w:val="21"/>
                <w:szCs w:val="21"/>
              </w:rPr>
              <w:t>3.2 t/a</w:t>
            </w:r>
          </w:p>
        </w:tc>
        <w:tc>
          <w:tcPr>
            <w:tcW w:w="2025" w:type="dxa"/>
            <w:tcBorders>
              <w:top w:val="single" w:sz="4" w:space="0" w:color="auto"/>
              <w:bottom w:val="single" w:sz="4" w:space="0" w:color="auto"/>
            </w:tcBorders>
            <w:vAlign w:val="center"/>
          </w:tcPr>
          <w:p w14:paraId="62FB3D88" w14:textId="77777777" w:rsidR="00B0005F" w:rsidRPr="008A2411" w:rsidRDefault="00000000">
            <w:pPr>
              <w:jc w:val="center"/>
              <w:rPr>
                <w:rFonts w:ascii="Times New Roman"/>
                <w:color w:val="000000" w:themeColor="text1"/>
                <w:kern w:val="2"/>
                <w:sz w:val="21"/>
                <w:szCs w:val="21"/>
              </w:rPr>
            </w:pPr>
            <w:r w:rsidRPr="008A2411">
              <w:rPr>
                <w:rFonts w:ascii="Times New Roman"/>
                <w:color w:val="000000" w:themeColor="text1"/>
                <w:kern w:val="2"/>
                <w:sz w:val="21"/>
                <w:szCs w:val="21"/>
              </w:rPr>
              <w:t>危险废物（</w:t>
            </w:r>
            <w:r w:rsidRPr="008A2411">
              <w:rPr>
                <w:rFonts w:ascii="Times New Roman"/>
                <w:color w:val="000000" w:themeColor="text1"/>
                <w:kern w:val="2"/>
                <w:sz w:val="21"/>
                <w:szCs w:val="21"/>
              </w:rPr>
              <w:t>900-249-08</w:t>
            </w:r>
            <w:r w:rsidRPr="008A2411">
              <w:rPr>
                <w:rFonts w:ascii="Times New Roman"/>
                <w:color w:val="000000" w:themeColor="text1"/>
                <w:kern w:val="2"/>
                <w:sz w:val="21"/>
                <w:szCs w:val="21"/>
              </w:rPr>
              <w:t>，</w:t>
            </w:r>
            <w:r w:rsidRPr="008A2411">
              <w:rPr>
                <w:rFonts w:ascii="Times New Roman"/>
                <w:color w:val="000000" w:themeColor="text1"/>
                <w:kern w:val="2"/>
                <w:sz w:val="21"/>
                <w:szCs w:val="21"/>
              </w:rPr>
              <w:t>T</w:t>
            </w:r>
            <w:r w:rsidRPr="008A2411">
              <w:rPr>
                <w:rFonts w:ascii="Times New Roman"/>
                <w:color w:val="000000" w:themeColor="text1"/>
                <w:kern w:val="2"/>
                <w:sz w:val="21"/>
                <w:szCs w:val="21"/>
              </w:rPr>
              <w:t>）</w:t>
            </w:r>
          </w:p>
        </w:tc>
        <w:tc>
          <w:tcPr>
            <w:tcW w:w="1559" w:type="dxa"/>
            <w:vMerge w:val="restart"/>
            <w:tcBorders>
              <w:top w:val="single" w:sz="4" w:space="0" w:color="auto"/>
            </w:tcBorders>
            <w:vAlign w:val="center"/>
          </w:tcPr>
          <w:p w14:paraId="5B7478C6" w14:textId="77777777" w:rsidR="00B0005F" w:rsidRPr="008A2411" w:rsidRDefault="00000000">
            <w:pPr>
              <w:jc w:val="center"/>
              <w:rPr>
                <w:rFonts w:ascii="Times New Roman"/>
                <w:color w:val="000000" w:themeColor="text1"/>
                <w:kern w:val="2"/>
                <w:sz w:val="21"/>
                <w:szCs w:val="21"/>
              </w:rPr>
            </w:pPr>
            <w:r w:rsidRPr="008A2411">
              <w:rPr>
                <w:rFonts w:ascii="Times New Roman"/>
                <w:color w:val="000000" w:themeColor="text1"/>
                <w:kern w:val="2"/>
                <w:sz w:val="21"/>
                <w:szCs w:val="21"/>
              </w:rPr>
              <w:t>由废液收集桶收集，</w:t>
            </w:r>
            <w:proofErr w:type="gramStart"/>
            <w:r w:rsidRPr="008A2411">
              <w:rPr>
                <w:rFonts w:ascii="Times New Roman"/>
                <w:color w:val="000000" w:themeColor="text1"/>
                <w:kern w:val="2"/>
                <w:sz w:val="21"/>
                <w:szCs w:val="21"/>
              </w:rPr>
              <w:t>存于危废暂存</w:t>
            </w:r>
            <w:proofErr w:type="gramEnd"/>
            <w:r w:rsidRPr="008A2411">
              <w:rPr>
                <w:rFonts w:ascii="Times New Roman"/>
                <w:color w:val="000000" w:themeColor="text1"/>
                <w:kern w:val="2"/>
                <w:sz w:val="21"/>
                <w:szCs w:val="21"/>
              </w:rPr>
              <w:t>间，定期交有资质单位处置</w:t>
            </w:r>
          </w:p>
        </w:tc>
      </w:tr>
      <w:tr w:rsidR="008A2411" w:rsidRPr="008A2411" w14:paraId="57AE89B3" w14:textId="77777777">
        <w:trPr>
          <w:trHeight w:val="454"/>
          <w:jc w:val="center"/>
        </w:trPr>
        <w:tc>
          <w:tcPr>
            <w:tcW w:w="622" w:type="dxa"/>
            <w:vAlign w:val="center"/>
          </w:tcPr>
          <w:p w14:paraId="1F981B62" w14:textId="77777777" w:rsidR="00B0005F" w:rsidRPr="008A2411" w:rsidRDefault="00000000">
            <w:pPr>
              <w:jc w:val="center"/>
              <w:rPr>
                <w:rFonts w:ascii="Times New Roman"/>
                <w:color w:val="000000" w:themeColor="text1"/>
                <w:kern w:val="2"/>
                <w:sz w:val="21"/>
                <w:szCs w:val="21"/>
              </w:rPr>
            </w:pPr>
            <w:r w:rsidRPr="008A2411">
              <w:rPr>
                <w:rFonts w:ascii="Times New Roman"/>
                <w:color w:val="000000" w:themeColor="text1"/>
                <w:kern w:val="2"/>
                <w:sz w:val="21"/>
                <w:szCs w:val="21"/>
              </w:rPr>
              <w:t>5</w:t>
            </w:r>
          </w:p>
        </w:tc>
        <w:tc>
          <w:tcPr>
            <w:tcW w:w="1647" w:type="dxa"/>
            <w:vAlign w:val="center"/>
          </w:tcPr>
          <w:p w14:paraId="295F4064" w14:textId="77777777" w:rsidR="00B0005F" w:rsidRPr="008A2411" w:rsidRDefault="00000000">
            <w:pPr>
              <w:jc w:val="center"/>
              <w:rPr>
                <w:rFonts w:ascii="Times New Roman"/>
                <w:color w:val="000000" w:themeColor="text1"/>
                <w:kern w:val="2"/>
                <w:sz w:val="21"/>
                <w:szCs w:val="21"/>
              </w:rPr>
            </w:pPr>
            <w:r w:rsidRPr="008A2411">
              <w:rPr>
                <w:rFonts w:ascii="Times New Roman"/>
                <w:color w:val="000000" w:themeColor="text1"/>
                <w:kern w:val="2"/>
                <w:sz w:val="21"/>
                <w:szCs w:val="21"/>
              </w:rPr>
              <w:t>设备检修</w:t>
            </w:r>
          </w:p>
        </w:tc>
        <w:tc>
          <w:tcPr>
            <w:tcW w:w="992" w:type="dxa"/>
            <w:vAlign w:val="center"/>
          </w:tcPr>
          <w:p w14:paraId="4636023C" w14:textId="77777777" w:rsidR="00B0005F" w:rsidRPr="008A2411" w:rsidRDefault="00000000">
            <w:pPr>
              <w:jc w:val="center"/>
              <w:rPr>
                <w:rFonts w:ascii="Times New Roman"/>
                <w:color w:val="000000" w:themeColor="text1"/>
                <w:kern w:val="2"/>
                <w:sz w:val="21"/>
                <w:szCs w:val="21"/>
                <w:lang w:val="zh-CN"/>
              </w:rPr>
            </w:pPr>
            <w:r w:rsidRPr="008A2411">
              <w:rPr>
                <w:rFonts w:ascii="Times New Roman"/>
                <w:color w:val="000000" w:themeColor="text1"/>
                <w:kern w:val="2"/>
                <w:sz w:val="21"/>
                <w:szCs w:val="21"/>
                <w:lang w:val="zh-CN"/>
              </w:rPr>
              <w:t>废油</w:t>
            </w:r>
          </w:p>
        </w:tc>
        <w:tc>
          <w:tcPr>
            <w:tcW w:w="1129" w:type="dxa"/>
            <w:tcBorders>
              <w:top w:val="single" w:sz="4" w:space="0" w:color="auto"/>
              <w:bottom w:val="single" w:sz="4" w:space="0" w:color="auto"/>
            </w:tcBorders>
            <w:vAlign w:val="center"/>
          </w:tcPr>
          <w:p w14:paraId="2100A3B2" w14:textId="77777777" w:rsidR="00B0005F" w:rsidRPr="008A2411" w:rsidRDefault="00000000">
            <w:pPr>
              <w:jc w:val="center"/>
              <w:rPr>
                <w:rFonts w:ascii="Times New Roman"/>
                <w:color w:val="000000" w:themeColor="text1"/>
                <w:kern w:val="2"/>
                <w:sz w:val="21"/>
                <w:szCs w:val="21"/>
              </w:rPr>
            </w:pPr>
            <w:r w:rsidRPr="008A2411">
              <w:rPr>
                <w:rFonts w:ascii="Times New Roman"/>
                <w:color w:val="000000" w:themeColor="text1"/>
                <w:kern w:val="2"/>
                <w:sz w:val="21"/>
                <w:szCs w:val="21"/>
              </w:rPr>
              <w:t>2.0 t/a</w:t>
            </w:r>
          </w:p>
        </w:tc>
        <w:tc>
          <w:tcPr>
            <w:tcW w:w="2025" w:type="dxa"/>
            <w:tcBorders>
              <w:top w:val="single" w:sz="4" w:space="0" w:color="auto"/>
              <w:bottom w:val="single" w:sz="4" w:space="0" w:color="auto"/>
            </w:tcBorders>
            <w:vAlign w:val="center"/>
          </w:tcPr>
          <w:p w14:paraId="3094ACB8" w14:textId="77777777" w:rsidR="00B0005F" w:rsidRPr="008A2411" w:rsidRDefault="00000000">
            <w:pPr>
              <w:jc w:val="center"/>
              <w:rPr>
                <w:rFonts w:ascii="Times New Roman"/>
                <w:color w:val="000000" w:themeColor="text1"/>
                <w:kern w:val="2"/>
                <w:sz w:val="21"/>
                <w:szCs w:val="21"/>
              </w:rPr>
            </w:pPr>
            <w:r w:rsidRPr="008A2411">
              <w:rPr>
                <w:rFonts w:ascii="Times New Roman"/>
                <w:color w:val="000000" w:themeColor="text1"/>
                <w:kern w:val="2"/>
                <w:sz w:val="21"/>
                <w:szCs w:val="21"/>
              </w:rPr>
              <w:t>危险废物</w:t>
            </w:r>
          </w:p>
          <w:p w14:paraId="52B2EC81" w14:textId="77777777" w:rsidR="00B0005F" w:rsidRPr="008A2411" w:rsidRDefault="00000000">
            <w:pPr>
              <w:jc w:val="center"/>
              <w:rPr>
                <w:rFonts w:ascii="Times New Roman"/>
                <w:color w:val="000000" w:themeColor="text1"/>
                <w:kern w:val="2"/>
                <w:sz w:val="21"/>
                <w:szCs w:val="21"/>
              </w:rPr>
            </w:pPr>
            <w:r w:rsidRPr="008A2411">
              <w:rPr>
                <w:rFonts w:ascii="Times New Roman"/>
                <w:color w:val="000000" w:themeColor="text1"/>
                <w:kern w:val="2"/>
                <w:sz w:val="21"/>
                <w:szCs w:val="21"/>
              </w:rPr>
              <w:t>（</w:t>
            </w:r>
            <w:r w:rsidRPr="008A2411">
              <w:rPr>
                <w:rFonts w:ascii="Times New Roman"/>
                <w:color w:val="000000" w:themeColor="text1"/>
                <w:kern w:val="2"/>
                <w:sz w:val="21"/>
                <w:szCs w:val="21"/>
              </w:rPr>
              <w:t>900-249-08</w:t>
            </w:r>
            <w:r w:rsidRPr="008A2411">
              <w:rPr>
                <w:rFonts w:ascii="Times New Roman"/>
                <w:color w:val="000000" w:themeColor="text1"/>
                <w:kern w:val="2"/>
                <w:sz w:val="21"/>
                <w:szCs w:val="21"/>
              </w:rPr>
              <w:t>，</w:t>
            </w:r>
            <w:r w:rsidRPr="008A2411">
              <w:rPr>
                <w:rFonts w:ascii="Times New Roman"/>
                <w:color w:val="000000" w:themeColor="text1"/>
                <w:kern w:val="2"/>
                <w:sz w:val="21"/>
                <w:szCs w:val="21"/>
              </w:rPr>
              <w:t>T</w:t>
            </w:r>
            <w:r w:rsidRPr="008A2411">
              <w:rPr>
                <w:rFonts w:ascii="Times New Roman"/>
                <w:color w:val="000000" w:themeColor="text1"/>
                <w:kern w:val="2"/>
                <w:sz w:val="21"/>
                <w:szCs w:val="21"/>
              </w:rPr>
              <w:t>）</w:t>
            </w:r>
          </w:p>
        </w:tc>
        <w:tc>
          <w:tcPr>
            <w:tcW w:w="1559" w:type="dxa"/>
            <w:vMerge/>
            <w:tcBorders>
              <w:bottom w:val="single" w:sz="4" w:space="0" w:color="auto"/>
            </w:tcBorders>
            <w:vAlign w:val="center"/>
          </w:tcPr>
          <w:p w14:paraId="3527ECA7" w14:textId="77777777" w:rsidR="00B0005F" w:rsidRPr="008A2411" w:rsidRDefault="00B0005F">
            <w:pPr>
              <w:jc w:val="center"/>
              <w:rPr>
                <w:rFonts w:ascii="Times New Roman"/>
                <w:color w:val="000000" w:themeColor="text1"/>
                <w:kern w:val="2"/>
                <w:sz w:val="21"/>
                <w:szCs w:val="21"/>
              </w:rPr>
            </w:pPr>
          </w:p>
        </w:tc>
      </w:tr>
      <w:tr w:rsidR="008A2411" w:rsidRPr="008A2411" w14:paraId="132EC508" w14:textId="77777777">
        <w:trPr>
          <w:trHeight w:val="454"/>
          <w:jc w:val="center"/>
        </w:trPr>
        <w:tc>
          <w:tcPr>
            <w:tcW w:w="622" w:type="dxa"/>
            <w:vAlign w:val="center"/>
          </w:tcPr>
          <w:p w14:paraId="5DE5795C" w14:textId="77777777" w:rsidR="00B0005F" w:rsidRPr="008A2411" w:rsidRDefault="00000000">
            <w:pPr>
              <w:jc w:val="center"/>
              <w:rPr>
                <w:rFonts w:ascii="Times New Roman"/>
                <w:color w:val="000000" w:themeColor="text1"/>
                <w:kern w:val="2"/>
                <w:sz w:val="21"/>
                <w:szCs w:val="21"/>
              </w:rPr>
            </w:pPr>
            <w:r w:rsidRPr="008A2411">
              <w:rPr>
                <w:rFonts w:ascii="Times New Roman"/>
                <w:color w:val="000000" w:themeColor="text1"/>
                <w:kern w:val="2"/>
                <w:sz w:val="21"/>
                <w:szCs w:val="21"/>
              </w:rPr>
              <w:t>6</w:t>
            </w:r>
          </w:p>
        </w:tc>
        <w:tc>
          <w:tcPr>
            <w:tcW w:w="1647" w:type="dxa"/>
            <w:vAlign w:val="center"/>
          </w:tcPr>
          <w:p w14:paraId="476D9663" w14:textId="77777777" w:rsidR="00B0005F" w:rsidRPr="008A2411" w:rsidRDefault="00000000">
            <w:pPr>
              <w:jc w:val="center"/>
              <w:rPr>
                <w:rFonts w:ascii="Times New Roman"/>
                <w:color w:val="000000" w:themeColor="text1"/>
                <w:kern w:val="2"/>
                <w:sz w:val="21"/>
                <w:szCs w:val="21"/>
              </w:rPr>
            </w:pPr>
            <w:r w:rsidRPr="008A2411">
              <w:rPr>
                <w:rFonts w:ascii="Times New Roman"/>
                <w:color w:val="000000" w:themeColor="text1"/>
                <w:kern w:val="2"/>
                <w:sz w:val="21"/>
                <w:szCs w:val="21"/>
              </w:rPr>
              <w:t>生产装置区脱硫单元、脱碳单元、脱汞单元和脱重烃单元</w:t>
            </w:r>
          </w:p>
        </w:tc>
        <w:tc>
          <w:tcPr>
            <w:tcW w:w="992" w:type="dxa"/>
            <w:vAlign w:val="center"/>
          </w:tcPr>
          <w:p w14:paraId="522F373E" w14:textId="77777777" w:rsidR="00B0005F" w:rsidRPr="008A2411" w:rsidRDefault="00000000">
            <w:pPr>
              <w:jc w:val="center"/>
              <w:rPr>
                <w:rFonts w:ascii="Times New Roman"/>
                <w:color w:val="000000" w:themeColor="text1"/>
                <w:kern w:val="2"/>
                <w:sz w:val="21"/>
                <w:szCs w:val="21"/>
                <w:lang w:val="zh-CN"/>
              </w:rPr>
            </w:pPr>
            <w:r w:rsidRPr="008A2411">
              <w:rPr>
                <w:rFonts w:ascii="Times New Roman"/>
                <w:color w:val="000000" w:themeColor="text1"/>
                <w:kern w:val="2"/>
                <w:sz w:val="21"/>
                <w:szCs w:val="21"/>
                <w:lang w:val="zh-CN"/>
              </w:rPr>
              <w:t>废活性炭</w:t>
            </w:r>
          </w:p>
        </w:tc>
        <w:tc>
          <w:tcPr>
            <w:tcW w:w="1129" w:type="dxa"/>
            <w:tcBorders>
              <w:top w:val="single" w:sz="4" w:space="0" w:color="auto"/>
              <w:bottom w:val="single" w:sz="4" w:space="0" w:color="auto"/>
            </w:tcBorders>
            <w:vAlign w:val="center"/>
          </w:tcPr>
          <w:p w14:paraId="78673936" w14:textId="1293A783" w:rsidR="00B0005F" w:rsidRPr="008A2411" w:rsidRDefault="002A582A">
            <w:pPr>
              <w:jc w:val="center"/>
              <w:rPr>
                <w:rFonts w:ascii="Times New Roman"/>
                <w:color w:val="000000" w:themeColor="text1"/>
                <w:kern w:val="2"/>
                <w:sz w:val="21"/>
                <w:szCs w:val="21"/>
              </w:rPr>
            </w:pPr>
            <w:r w:rsidRPr="008A2411">
              <w:rPr>
                <w:rFonts w:ascii="Times New Roman"/>
                <w:color w:val="000000" w:themeColor="text1"/>
                <w:kern w:val="2"/>
                <w:sz w:val="21"/>
                <w:szCs w:val="21"/>
              </w:rPr>
              <w:t>10t/a</w:t>
            </w:r>
          </w:p>
        </w:tc>
        <w:tc>
          <w:tcPr>
            <w:tcW w:w="2025" w:type="dxa"/>
            <w:tcBorders>
              <w:top w:val="single" w:sz="4" w:space="0" w:color="auto"/>
              <w:bottom w:val="single" w:sz="4" w:space="0" w:color="auto"/>
            </w:tcBorders>
            <w:vAlign w:val="center"/>
          </w:tcPr>
          <w:p w14:paraId="553B8A3F" w14:textId="77777777" w:rsidR="00B0005F" w:rsidRPr="008A2411" w:rsidRDefault="00000000">
            <w:pPr>
              <w:jc w:val="center"/>
              <w:rPr>
                <w:rFonts w:ascii="Times New Roman"/>
                <w:color w:val="000000" w:themeColor="text1"/>
                <w:kern w:val="2"/>
                <w:sz w:val="21"/>
                <w:szCs w:val="21"/>
              </w:rPr>
            </w:pPr>
            <w:r w:rsidRPr="008A2411">
              <w:rPr>
                <w:rFonts w:ascii="Times New Roman"/>
                <w:color w:val="000000" w:themeColor="text1"/>
                <w:kern w:val="2"/>
                <w:sz w:val="21"/>
                <w:szCs w:val="21"/>
              </w:rPr>
              <w:t>危险废物（</w:t>
            </w:r>
            <w:r w:rsidRPr="008A2411">
              <w:rPr>
                <w:rFonts w:ascii="Times New Roman"/>
                <w:color w:val="000000" w:themeColor="text1"/>
                <w:kern w:val="2"/>
                <w:sz w:val="21"/>
                <w:szCs w:val="21"/>
              </w:rPr>
              <w:t>900-022-29</w:t>
            </w:r>
            <w:r w:rsidRPr="008A2411">
              <w:rPr>
                <w:rFonts w:ascii="Times New Roman"/>
                <w:color w:val="000000" w:themeColor="text1"/>
                <w:kern w:val="2"/>
                <w:sz w:val="21"/>
                <w:szCs w:val="21"/>
              </w:rPr>
              <w:t>，</w:t>
            </w:r>
            <w:r w:rsidRPr="008A2411">
              <w:rPr>
                <w:rFonts w:ascii="Times New Roman"/>
                <w:color w:val="000000" w:themeColor="text1"/>
                <w:kern w:val="2"/>
                <w:sz w:val="21"/>
                <w:szCs w:val="21"/>
              </w:rPr>
              <w:t>T</w:t>
            </w:r>
            <w:r w:rsidRPr="008A2411">
              <w:rPr>
                <w:rFonts w:ascii="Times New Roman"/>
                <w:color w:val="000000" w:themeColor="text1"/>
                <w:kern w:val="2"/>
                <w:sz w:val="21"/>
                <w:szCs w:val="21"/>
              </w:rPr>
              <w:t>；</w:t>
            </w:r>
          </w:p>
          <w:p w14:paraId="6833763D" w14:textId="77777777" w:rsidR="00B0005F" w:rsidRPr="008A2411" w:rsidRDefault="00000000">
            <w:pPr>
              <w:jc w:val="center"/>
              <w:rPr>
                <w:rFonts w:ascii="Times New Roman"/>
                <w:color w:val="000000" w:themeColor="text1"/>
                <w:kern w:val="2"/>
                <w:sz w:val="21"/>
                <w:szCs w:val="21"/>
              </w:rPr>
            </w:pPr>
            <w:r w:rsidRPr="008A2411">
              <w:rPr>
                <w:rFonts w:ascii="Times New Roman"/>
                <w:color w:val="000000" w:themeColor="text1"/>
                <w:kern w:val="2"/>
                <w:sz w:val="21"/>
                <w:szCs w:val="21"/>
              </w:rPr>
              <w:t>900-039-49</w:t>
            </w:r>
            <w:r w:rsidRPr="008A2411">
              <w:rPr>
                <w:rFonts w:ascii="Times New Roman"/>
                <w:color w:val="000000" w:themeColor="text1"/>
                <w:kern w:val="2"/>
                <w:sz w:val="21"/>
                <w:szCs w:val="21"/>
              </w:rPr>
              <w:t>，</w:t>
            </w:r>
            <w:r w:rsidRPr="008A2411">
              <w:rPr>
                <w:rFonts w:ascii="Times New Roman"/>
                <w:color w:val="000000" w:themeColor="text1"/>
                <w:kern w:val="2"/>
                <w:sz w:val="21"/>
                <w:szCs w:val="21"/>
              </w:rPr>
              <w:t>T</w:t>
            </w:r>
            <w:r w:rsidRPr="008A2411">
              <w:rPr>
                <w:rFonts w:ascii="Times New Roman"/>
                <w:color w:val="000000" w:themeColor="text1"/>
                <w:kern w:val="2"/>
                <w:sz w:val="21"/>
                <w:szCs w:val="21"/>
              </w:rPr>
              <w:t>）</w:t>
            </w:r>
          </w:p>
        </w:tc>
        <w:tc>
          <w:tcPr>
            <w:tcW w:w="1559" w:type="dxa"/>
            <w:vMerge w:val="restart"/>
            <w:tcBorders>
              <w:top w:val="single" w:sz="4" w:space="0" w:color="auto"/>
            </w:tcBorders>
            <w:vAlign w:val="center"/>
          </w:tcPr>
          <w:p w14:paraId="194BFCD2" w14:textId="77777777" w:rsidR="00B0005F" w:rsidRPr="008A2411" w:rsidRDefault="00000000">
            <w:pPr>
              <w:jc w:val="center"/>
              <w:rPr>
                <w:rFonts w:ascii="Times New Roman"/>
                <w:color w:val="000000" w:themeColor="text1"/>
                <w:kern w:val="2"/>
                <w:sz w:val="21"/>
                <w:szCs w:val="21"/>
              </w:rPr>
            </w:pPr>
            <w:proofErr w:type="gramStart"/>
            <w:r w:rsidRPr="008A2411">
              <w:rPr>
                <w:rFonts w:ascii="Times New Roman"/>
                <w:color w:val="000000" w:themeColor="text1"/>
                <w:kern w:val="2"/>
                <w:sz w:val="21"/>
                <w:szCs w:val="21"/>
              </w:rPr>
              <w:t>存于危废暂存</w:t>
            </w:r>
            <w:proofErr w:type="gramEnd"/>
            <w:r w:rsidRPr="008A2411">
              <w:rPr>
                <w:rFonts w:ascii="Times New Roman"/>
                <w:color w:val="000000" w:themeColor="text1"/>
                <w:kern w:val="2"/>
                <w:sz w:val="21"/>
                <w:szCs w:val="21"/>
              </w:rPr>
              <w:t>间，交有资质单位处置</w:t>
            </w:r>
          </w:p>
        </w:tc>
      </w:tr>
      <w:tr w:rsidR="008A2411" w:rsidRPr="008A2411" w14:paraId="03514BE1" w14:textId="77777777">
        <w:trPr>
          <w:trHeight w:val="454"/>
          <w:jc w:val="center"/>
        </w:trPr>
        <w:tc>
          <w:tcPr>
            <w:tcW w:w="622" w:type="dxa"/>
            <w:vAlign w:val="center"/>
          </w:tcPr>
          <w:p w14:paraId="044974FD" w14:textId="77777777" w:rsidR="00B0005F" w:rsidRPr="008A2411" w:rsidRDefault="00000000">
            <w:pPr>
              <w:jc w:val="center"/>
              <w:rPr>
                <w:rFonts w:ascii="Times New Roman"/>
                <w:color w:val="000000" w:themeColor="text1"/>
                <w:kern w:val="2"/>
                <w:sz w:val="21"/>
                <w:szCs w:val="21"/>
              </w:rPr>
            </w:pPr>
            <w:r w:rsidRPr="008A2411">
              <w:rPr>
                <w:rFonts w:ascii="Times New Roman"/>
                <w:color w:val="000000" w:themeColor="text1"/>
                <w:kern w:val="2"/>
                <w:sz w:val="21"/>
                <w:szCs w:val="21"/>
              </w:rPr>
              <w:t>7</w:t>
            </w:r>
          </w:p>
        </w:tc>
        <w:tc>
          <w:tcPr>
            <w:tcW w:w="1647" w:type="dxa"/>
            <w:vAlign w:val="center"/>
          </w:tcPr>
          <w:p w14:paraId="1119C06A" w14:textId="77777777" w:rsidR="00B0005F" w:rsidRPr="008A2411" w:rsidRDefault="00000000">
            <w:pPr>
              <w:jc w:val="center"/>
              <w:rPr>
                <w:rFonts w:ascii="Times New Roman"/>
                <w:color w:val="000000" w:themeColor="text1"/>
                <w:kern w:val="2"/>
                <w:sz w:val="21"/>
                <w:szCs w:val="21"/>
              </w:rPr>
            </w:pPr>
            <w:r w:rsidRPr="008A2411">
              <w:rPr>
                <w:rFonts w:ascii="Times New Roman"/>
                <w:color w:val="000000" w:themeColor="text1"/>
                <w:kern w:val="2"/>
                <w:sz w:val="21"/>
                <w:szCs w:val="21"/>
              </w:rPr>
              <w:t>进口过滤器、溶液过滤器、净化气过滤器、重烃过滤器等过滤杂质</w:t>
            </w:r>
          </w:p>
        </w:tc>
        <w:tc>
          <w:tcPr>
            <w:tcW w:w="992" w:type="dxa"/>
            <w:vAlign w:val="center"/>
          </w:tcPr>
          <w:p w14:paraId="23F76652" w14:textId="77777777" w:rsidR="00B0005F" w:rsidRPr="008A2411" w:rsidRDefault="00000000">
            <w:pPr>
              <w:jc w:val="center"/>
              <w:rPr>
                <w:rFonts w:ascii="Times New Roman"/>
                <w:color w:val="000000" w:themeColor="text1"/>
                <w:kern w:val="2"/>
                <w:sz w:val="21"/>
                <w:szCs w:val="21"/>
              </w:rPr>
            </w:pPr>
            <w:r w:rsidRPr="008A2411">
              <w:rPr>
                <w:rFonts w:ascii="Times New Roman"/>
                <w:color w:val="000000" w:themeColor="text1"/>
                <w:kern w:val="2"/>
                <w:sz w:val="21"/>
                <w:szCs w:val="21"/>
              </w:rPr>
              <w:t>杂质</w:t>
            </w:r>
          </w:p>
        </w:tc>
        <w:tc>
          <w:tcPr>
            <w:tcW w:w="1129" w:type="dxa"/>
            <w:tcBorders>
              <w:top w:val="single" w:sz="4" w:space="0" w:color="auto"/>
              <w:bottom w:val="single" w:sz="4" w:space="0" w:color="auto"/>
            </w:tcBorders>
            <w:vAlign w:val="center"/>
          </w:tcPr>
          <w:p w14:paraId="651D1A06" w14:textId="77777777" w:rsidR="00B0005F" w:rsidRPr="008A2411" w:rsidRDefault="00000000">
            <w:pPr>
              <w:jc w:val="center"/>
              <w:rPr>
                <w:rFonts w:ascii="Times New Roman"/>
                <w:color w:val="000000" w:themeColor="text1"/>
                <w:kern w:val="2"/>
                <w:sz w:val="21"/>
                <w:szCs w:val="21"/>
              </w:rPr>
            </w:pPr>
            <w:r w:rsidRPr="008A2411">
              <w:rPr>
                <w:rFonts w:ascii="Times New Roman"/>
                <w:color w:val="000000" w:themeColor="text1"/>
                <w:kern w:val="2"/>
                <w:sz w:val="21"/>
                <w:szCs w:val="21"/>
              </w:rPr>
              <w:t>0.67t/a</w:t>
            </w:r>
          </w:p>
        </w:tc>
        <w:tc>
          <w:tcPr>
            <w:tcW w:w="2025" w:type="dxa"/>
            <w:tcBorders>
              <w:top w:val="single" w:sz="4" w:space="0" w:color="auto"/>
              <w:bottom w:val="single" w:sz="4" w:space="0" w:color="auto"/>
            </w:tcBorders>
            <w:vAlign w:val="center"/>
          </w:tcPr>
          <w:p w14:paraId="287C47E6" w14:textId="77777777" w:rsidR="00B0005F" w:rsidRPr="008A2411" w:rsidRDefault="00000000">
            <w:pPr>
              <w:jc w:val="center"/>
              <w:rPr>
                <w:rFonts w:ascii="Times New Roman"/>
                <w:color w:val="000000" w:themeColor="text1"/>
                <w:kern w:val="2"/>
                <w:sz w:val="21"/>
                <w:szCs w:val="21"/>
              </w:rPr>
            </w:pPr>
            <w:r w:rsidRPr="008A2411">
              <w:rPr>
                <w:rFonts w:ascii="Times New Roman"/>
                <w:color w:val="000000" w:themeColor="text1"/>
                <w:kern w:val="2"/>
                <w:sz w:val="21"/>
                <w:szCs w:val="21"/>
              </w:rPr>
              <w:t>危险废物（</w:t>
            </w:r>
            <w:r w:rsidRPr="008A2411">
              <w:rPr>
                <w:rFonts w:ascii="Times New Roman"/>
                <w:color w:val="000000" w:themeColor="text1"/>
                <w:kern w:val="2"/>
                <w:sz w:val="21"/>
                <w:szCs w:val="21"/>
              </w:rPr>
              <w:t>900-041-49</w:t>
            </w:r>
            <w:r w:rsidRPr="008A2411">
              <w:rPr>
                <w:rFonts w:ascii="Times New Roman"/>
                <w:color w:val="000000" w:themeColor="text1"/>
                <w:kern w:val="2"/>
                <w:sz w:val="21"/>
                <w:szCs w:val="21"/>
              </w:rPr>
              <w:t>，</w:t>
            </w:r>
            <w:r w:rsidRPr="008A2411">
              <w:rPr>
                <w:rFonts w:ascii="Times New Roman"/>
                <w:color w:val="000000" w:themeColor="text1"/>
                <w:kern w:val="2"/>
                <w:sz w:val="21"/>
                <w:szCs w:val="21"/>
              </w:rPr>
              <w:t>T/In</w:t>
            </w:r>
            <w:r w:rsidRPr="008A2411">
              <w:rPr>
                <w:rFonts w:ascii="Times New Roman"/>
                <w:color w:val="000000" w:themeColor="text1"/>
                <w:kern w:val="2"/>
                <w:sz w:val="21"/>
                <w:szCs w:val="21"/>
              </w:rPr>
              <w:t>）</w:t>
            </w:r>
          </w:p>
        </w:tc>
        <w:tc>
          <w:tcPr>
            <w:tcW w:w="1559" w:type="dxa"/>
            <w:vMerge/>
            <w:vAlign w:val="center"/>
          </w:tcPr>
          <w:p w14:paraId="42DF15BA" w14:textId="77777777" w:rsidR="00B0005F" w:rsidRPr="008A2411" w:rsidRDefault="00B0005F">
            <w:pPr>
              <w:jc w:val="center"/>
              <w:rPr>
                <w:rFonts w:ascii="Times New Roman"/>
                <w:color w:val="000000" w:themeColor="text1"/>
                <w:kern w:val="2"/>
                <w:sz w:val="21"/>
                <w:szCs w:val="21"/>
              </w:rPr>
            </w:pPr>
          </w:p>
        </w:tc>
      </w:tr>
      <w:tr w:rsidR="008A2411" w:rsidRPr="008A2411" w14:paraId="54508A6C" w14:textId="77777777">
        <w:trPr>
          <w:trHeight w:val="454"/>
          <w:jc w:val="center"/>
        </w:trPr>
        <w:tc>
          <w:tcPr>
            <w:tcW w:w="622" w:type="dxa"/>
            <w:vAlign w:val="center"/>
          </w:tcPr>
          <w:p w14:paraId="60D898E7" w14:textId="77777777" w:rsidR="00B0005F" w:rsidRPr="008A2411" w:rsidRDefault="00000000">
            <w:pPr>
              <w:jc w:val="center"/>
              <w:rPr>
                <w:rFonts w:ascii="Times New Roman"/>
                <w:color w:val="000000" w:themeColor="text1"/>
                <w:kern w:val="2"/>
                <w:sz w:val="21"/>
                <w:szCs w:val="21"/>
              </w:rPr>
            </w:pPr>
            <w:r w:rsidRPr="008A2411">
              <w:rPr>
                <w:rFonts w:ascii="Times New Roman"/>
                <w:color w:val="000000" w:themeColor="text1"/>
                <w:kern w:val="2"/>
                <w:sz w:val="21"/>
                <w:szCs w:val="21"/>
              </w:rPr>
              <w:t>8</w:t>
            </w:r>
          </w:p>
        </w:tc>
        <w:tc>
          <w:tcPr>
            <w:tcW w:w="1647" w:type="dxa"/>
            <w:vAlign w:val="center"/>
          </w:tcPr>
          <w:p w14:paraId="706ECF87"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化验室</w:t>
            </w:r>
          </w:p>
        </w:tc>
        <w:tc>
          <w:tcPr>
            <w:tcW w:w="992" w:type="dxa"/>
            <w:vAlign w:val="center"/>
          </w:tcPr>
          <w:p w14:paraId="661C5751"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化验室废液</w:t>
            </w:r>
          </w:p>
        </w:tc>
        <w:tc>
          <w:tcPr>
            <w:tcW w:w="1129" w:type="dxa"/>
            <w:tcBorders>
              <w:top w:val="single" w:sz="4" w:space="0" w:color="auto"/>
              <w:bottom w:val="single" w:sz="4" w:space="0" w:color="auto"/>
            </w:tcBorders>
            <w:vAlign w:val="center"/>
          </w:tcPr>
          <w:p w14:paraId="684EA034"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0.02t/a</w:t>
            </w:r>
          </w:p>
        </w:tc>
        <w:tc>
          <w:tcPr>
            <w:tcW w:w="2025" w:type="dxa"/>
            <w:tcBorders>
              <w:top w:val="single" w:sz="4" w:space="0" w:color="auto"/>
              <w:bottom w:val="single" w:sz="4" w:space="0" w:color="auto"/>
            </w:tcBorders>
            <w:vAlign w:val="center"/>
          </w:tcPr>
          <w:p w14:paraId="2B64ECAB"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危险废物（</w:t>
            </w:r>
            <w:r w:rsidRPr="008A2411">
              <w:rPr>
                <w:rFonts w:ascii="Times New Roman" w:hAnsi="Times New Roman"/>
                <w:color w:val="000000" w:themeColor="text1"/>
              </w:rPr>
              <w:t>900-047-49</w:t>
            </w:r>
            <w:r w:rsidRPr="008A2411">
              <w:rPr>
                <w:rFonts w:ascii="Times New Roman" w:hAnsi="Times New Roman"/>
                <w:color w:val="000000" w:themeColor="text1"/>
              </w:rPr>
              <w:t>，</w:t>
            </w:r>
            <w:r w:rsidRPr="008A2411">
              <w:rPr>
                <w:rFonts w:ascii="Times New Roman" w:hAnsi="Times New Roman"/>
                <w:color w:val="000000" w:themeColor="text1"/>
              </w:rPr>
              <w:t>T/C/I/R</w:t>
            </w:r>
            <w:r w:rsidRPr="008A2411">
              <w:rPr>
                <w:rFonts w:ascii="Times New Roman" w:hAnsi="Times New Roman"/>
                <w:color w:val="000000" w:themeColor="text1"/>
              </w:rPr>
              <w:t>）</w:t>
            </w:r>
          </w:p>
        </w:tc>
        <w:tc>
          <w:tcPr>
            <w:tcW w:w="1559" w:type="dxa"/>
            <w:vAlign w:val="center"/>
          </w:tcPr>
          <w:p w14:paraId="59D826AC" w14:textId="77777777" w:rsidR="00B0005F" w:rsidRPr="008A2411" w:rsidRDefault="00000000">
            <w:pPr>
              <w:jc w:val="center"/>
              <w:rPr>
                <w:rFonts w:ascii="Times New Roman"/>
                <w:color w:val="000000" w:themeColor="text1"/>
                <w:kern w:val="2"/>
                <w:sz w:val="21"/>
                <w:szCs w:val="21"/>
              </w:rPr>
            </w:pPr>
            <w:r w:rsidRPr="008A2411">
              <w:rPr>
                <w:rFonts w:ascii="Times New Roman"/>
                <w:color w:val="000000" w:themeColor="text1"/>
                <w:kern w:val="2"/>
                <w:sz w:val="21"/>
                <w:szCs w:val="21"/>
              </w:rPr>
              <w:t>由废液收集桶收集，</w:t>
            </w:r>
            <w:proofErr w:type="gramStart"/>
            <w:r w:rsidRPr="008A2411">
              <w:rPr>
                <w:rFonts w:ascii="Times New Roman"/>
                <w:color w:val="000000" w:themeColor="text1"/>
                <w:kern w:val="2"/>
                <w:sz w:val="21"/>
                <w:szCs w:val="21"/>
              </w:rPr>
              <w:t>存于危废暂存</w:t>
            </w:r>
            <w:proofErr w:type="gramEnd"/>
            <w:r w:rsidRPr="008A2411">
              <w:rPr>
                <w:rFonts w:ascii="Times New Roman"/>
                <w:color w:val="000000" w:themeColor="text1"/>
                <w:kern w:val="2"/>
                <w:sz w:val="21"/>
                <w:szCs w:val="21"/>
              </w:rPr>
              <w:t>间，定期交有资质单位处置</w:t>
            </w:r>
          </w:p>
        </w:tc>
      </w:tr>
      <w:tr w:rsidR="00B0005F" w:rsidRPr="008A2411" w14:paraId="25F0C73A" w14:textId="77777777">
        <w:trPr>
          <w:trHeight w:val="454"/>
          <w:jc w:val="center"/>
        </w:trPr>
        <w:tc>
          <w:tcPr>
            <w:tcW w:w="622" w:type="dxa"/>
            <w:vAlign w:val="center"/>
          </w:tcPr>
          <w:p w14:paraId="30DB2754" w14:textId="77777777" w:rsidR="00B0005F" w:rsidRPr="008A2411" w:rsidRDefault="00000000">
            <w:pPr>
              <w:jc w:val="center"/>
              <w:rPr>
                <w:rFonts w:ascii="Times New Roman"/>
                <w:color w:val="000000" w:themeColor="text1"/>
                <w:kern w:val="2"/>
                <w:sz w:val="21"/>
                <w:szCs w:val="21"/>
              </w:rPr>
            </w:pPr>
            <w:r w:rsidRPr="008A2411">
              <w:rPr>
                <w:rFonts w:ascii="Times New Roman" w:hint="eastAsia"/>
                <w:color w:val="000000" w:themeColor="text1"/>
                <w:kern w:val="2"/>
                <w:sz w:val="21"/>
                <w:szCs w:val="21"/>
              </w:rPr>
              <w:t>9</w:t>
            </w:r>
          </w:p>
        </w:tc>
        <w:tc>
          <w:tcPr>
            <w:tcW w:w="1647" w:type="dxa"/>
            <w:vAlign w:val="center"/>
          </w:tcPr>
          <w:p w14:paraId="6280900A" w14:textId="77777777" w:rsidR="00B0005F" w:rsidRPr="008A2411" w:rsidRDefault="00000000">
            <w:pPr>
              <w:pStyle w:val="WJ5"/>
              <w:rPr>
                <w:rFonts w:ascii="Times New Roman" w:hAnsi="Times New Roman"/>
                <w:color w:val="000000" w:themeColor="text1"/>
              </w:rPr>
            </w:pPr>
            <w:r w:rsidRPr="008A2411">
              <w:rPr>
                <w:rFonts w:ascii="Times New Roman" w:hAnsi="Times New Roman" w:hint="eastAsia"/>
                <w:color w:val="000000" w:themeColor="text1"/>
              </w:rPr>
              <w:t>导热油炉</w:t>
            </w:r>
          </w:p>
        </w:tc>
        <w:tc>
          <w:tcPr>
            <w:tcW w:w="992" w:type="dxa"/>
            <w:vAlign w:val="center"/>
          </w:tcPr>
          <w:p w14:paraId="7922B741" w14:textId="77777777" w:rsidR="00B0005F" w:rsidRPr="008A2411" w:rsidRDefault="00000000">
            <w:pPr>
              <w:pStyle w:val="WJ5"/>
              <w:rPr>
                <w:rFonts w:ascii="Times New Roman" w:hAnsi="Times New Roman"/>
                <w:color w:val="000000" w:themeColor="text1"/>
              </w:rPr>
            </w:pPr>
            <w:r w:rsidRPr="008A2411">
              <w:rPr>
                <w:rFonts w:ascii="Times New Roman" w:hAnsi="Times New Roman" w:hint="eastAsia"/>
                <w:color w:val="000000" w:themeColor="text1"/>
              </w:rPr>
              <w:t>废导热油</w:t>
            </w:r>
          </w:p>
        </w:tc>
        <w:tc>
          <w:tcPr>
            <w:tcW w:w="1129" w:type="dxa"/>
            <w:tcBorders>
              <w:top w:val="single" w:sz="4" w:space="0" w:color="auto"/>
            </w:tcBorders>
            <w:vAlign w:val="center"/>
          </w:tcPr>
          <w:p w14:paraId="43DD40D5" w14:textId="77777777" w:rsidR="00B0005F" w:rsidRPr="008A2411" w:rsidRDefault="00000000">
            <w:pPr>
              <w:pStyle w:val="WJ5"/>
              <w:rPr>
                <w:rFonts w:ascii="Times New Roman" w:hAnsi="Times New Roman"/>
                <w:color w:val="000000" w:themeColor="text1"/>
              </w:rPr>
            </w:pPr>
            <w:r w:rsidRPr="008A2411">
              <w:rPr>
                <w:rFonts w:ascii="Times New Roman" w:hAnsi="Times New Roman" w:hint="eastAsia"/>
                <w:color w:val="000000" w:themeColor="text1"/>
              </w:rPr>
              <w:t>12.5t/a</w:t>
            </w:r>
          </w:p>
        </w:tc>
        <w:tc>
          <w:tcPr>
            <w:tcW w:w="2025" w:type="dxa"/>
            <w:tcBorders>
              <w:top w:val="single" w:sz="4" w:space="0" w:color="auto"/>
            </w:tcBorders>
            <w:vAlign w:val="center"/>
          </w:tcPr>
          <w:p w14:paraId="1A0D0DEA" w14:textId="77777777" w:rsidR="00B0005F" w:rsidRPr="008A2411" w:rsidRDefault="00000000">
            <w:pPr>
              <w:jc w:val="center"/>
              <w:rPr>
                <w:rFonts w:ascii="Times New Roman"/>
                <w:color w:val="000000" w:themeColor="text1"/>
                <w:kern w:val="2"/>
                <w:sz w:val="21"/>
                <w:szCs w:val="21"/>
              </w:rPr>
            </w:pPr>
            <w:r w:rsidRPr="008A2411">
              <w:rPr>
                <w:rFonts w:ascii="Times New Roman"/>
                <w:color w:val="000000" w:themeColor="text1"/>
                <w:kern w:val="2"/>
                <w:sz w:val="21"/>
                <w:szCs w:val="21"/>
              </w:rPr>
              <w:t>危险废物</w:t>
            </w:r>
          </w:p>
          <w:p w14:paraId="01DB7805"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900-249-08</w:t>
            </w:r>
            <w:r w:rsidRPr="008A2411">
              <w:rPr>
                <w:rFonts w:ascii="Times New Roman" w:hAnsi="Times New Roman"/>
                <w:color w:val="000000" w:themeColor="text1"/>
              </w:rPr>
              <w:t>，</w:t>
            </w:r>
            <w:r w:rsidRPr="008A2411">
              <w:rPr>
                <w:rFonts w:ascii="Times New Roman" w:hAnsi="Times New Roman"/>
                <w:color w:val="000000" w:themeColor="text1"/>
              </w:rPr>
              <w:t>T</w:t>
            </w:r>
            <w:r w:rsidRPr="008A2411">
              <w:rPr>
                <w:rFonts w:ascii="Times New Roman" w:hAnsi="Times New Roman"/>
                <w:color w:val="000000" w:themeColor="text1"/>
              </w:rPr>
              <w:t>）</w:t>
            </w:r>
          </w:p>
        </w:tc>
        <w:tc>
          <w:tcPr>
            <w:tcW w:w="1559" w:type="dxa"/>
            <w:vAlign w:val="center"/>
          </w:tcPr>
          <w:p w14:paraId="5B97F928" w14:textId="28C16148" w:rsidR="00B0005F" w:rsidRPr="008A2411" w:rsidRDefault="004B4CD9">
            <w:pPr>
              <w:jc w:val="center"/>
              <w:rPr>
                <w:rFonts w:ascii="Times New Roman"/>
                <w:color w:val="000000" w:themeColor="text1"/>
                <w:kern w:val="2"/>
                <w:sz w:val="21"/>
                <w:szCs w:val="21"/>
              </w:rPr>
            </w:pPr>
            <w:r w:rsidRPr="008A2411">
              <w:rPr>
                <w:rFonts w:ascii="Times New Roman" w:hint="eastAsia"/>
                <w:color w:val="000000" w:themeColor="text1"/>
                <w:kern w:val="2"/>
                <w:sz w:val="21"/>
                <w:szCs w:val="21"/>
              </w:rPr>
              <w:t>交由资质单位处置</w:t>
            </w:r>
          </w:p>
        </w:tc>
      </w:tr>
    </w:tbl>
    <w:p w14:paraId="2117B372" w14:textId="77777777" w:rsidR="00B0005F" w:rsidRPr="008A2411" w:rsidRDefault="00B0005F">
      <w:pPr>
        <w:pStyle w:val="WJ3"/>
        <w:spacing w:line="360" w:lineRule="auto"/>
        <w:outlineLvl w:val="9"/>
        <w:rPr>
          <w:rFonts w:ascii="Times New Roman" w:hAnsi="Times New Roman"/>
          <w:color w:val="000000" w:themeColor="text1"/>
        </w:rPr>
      </w:pPr>
    </w:p>
    <w:p w14:paraId="254BD8CF" w14:textId="77777777" w:rsidR="00B0005F" w:rsidRPr="008A2411" w:rsidRDefault="00000000">
      <w:pPr>
        <w:pStyle w:val="WJ2"/>
        <w:spacing w:line="360" w:lineRule="auto"/>
        <w:outlineLvl w:val="2"/>
        <w:rPr>
          <w:rFonts w:ascii="Times New Roman" w:hAnsi="Times New Roman"/>
          <w:b/>
          <w:bCs w:val="0"/>
          <w:color w:val="000000" w:themeColor="text1"/>
          <w:sz w:val="24"/>
          <w:szCs w:val="24"/>
        </w:rPr>
      </w:pPr>
      <w:bookmarkStart w:id="215" w:name="_Toc1668"/>
      <w:bookmarkStart w:id="216" w:name="_Toc14609"/>
      <w:bookmarkStart w:id="217" w:name="_Toc5176"/>
      <w:bookmarkStart w:id="218" w:name="_Toc108365928"/>
      <w:bookmarkStart w:id="219" w:name="_Toc5463"/>
      <w:bookmarkStart w:id="220" w:name="_Toc16769"/>
      <w:bookmarkStart w:id="221" w:name="_Toc109170758"/>
      <w:bookmarkStart w:id="222" w:name="_Toc405904489"/>
      <w:bookmarkStart w:id="223" w:name="_Toc422906851"/>
      <w:bookmarkStart w:id="224" w:name="_Toc405905305"/>
      <w:bookmarkStart w:id="225" w:name="_Toc405904833"/>
      <w:bookmarkStart w:id="226" w:name="_Toc405214248"/>
      <w:bookmarkEnd w:id="204"/>
      <w:bookmarkEnd w:id="205"/>
      <w:bookmarkEnd w:id="206"/>
      <w:bookmarkEnd w:id="207"/>
      <w:bookmarkEnd w:id="208"/>
      <w:r w:rsidRPr="008A2411">
        <w:rPr>
          <w:rFonts w:ascii="Times New Roman" w:hAnsi="Times New Roman"/>
          <w:b/>
          <w:bCs w:val="0"/>
          <w:color w:val="000000" w:themeColor="text1"/>
          <w:sz w:val="24"/>
          <w:szCs w:val="24"/>
        </w:rPr>
        <w:t>3.1.6</w:t>
      </w:r>
      <w:r w:rsidRPr="008A2411">
        <w:rPr>
          <w:rFonts w:ascii="Times New Roman" w:hAnsi="Times New Roman"/>
          <w:b/>
          <w:bCs w:val="0"/>
          <w:color w:val="000000" w:themeColor="text1"/>
          <w:sz w:val="24"/>
          <w:szCs w:val="24"/>
        </w:rPr>
        <w:t>污染物产生及排放统计</w:t>
      </w:r>
      <w:bookmarkEnd w:id="215"/>
      <w:bookmarkEnd w:id="216"/>
      <w:bookmarkEnd w:id="217"/>
      <w:bookmarkEnd w:id="218"/>
      <w:bookmarkEnd w:id="219"/>
      <w:bookmarkEnd w:id="220"/>
      <w:bookmarkEnd w:id="221"/>
    </w:p>
    <w:p w14:paraId="69C9401C"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本项目运营期主要污染物产生及预计排放情况统计见表</w:t>
      </w:r>
      <w:r w:rsidRPr="008A2411">
        <w:rPr>
          <w:rFonts w:ascii="Times New Roman" w:hAnsi="Times New Roman"/>
          <w:color w:val="000000" w:themeColor="text1"/>
        </w:rPr>
        <w:t>3.2-16</w:t>
      </w:r>
      <w:r w:rsidRPr="008A2411">
        <w:rPr>
          <w:rFonts w:ascii="Times New Roman" w:hAnsi="Times New Roman"/>
          <w:color w:val="000000" w:themeColor="text1"/>
        </w:rPr>
        <w:t>。</w:t>
      </w:r>
    </w:p>
    <w:p w14:paraId="68AD53E0" w14:textId="77777777" w:rsidR="00B0005F" w:rsidRPr="008A2411" w:rsidRDefault="00000000">
      <w:pPr>
        <w:pStyle w:val="WJ0"/>
        <w:spacing w:line="240" w:lineRule="auto"/>
        <w:rPr>
          <w:rFonts w:ascii="Times New Roman" w:hAnsi="Times New Roman"/>
          <w:color w:val="000000" w:themeColor="text1"/>
        </w:rPr>
      </w:pPr>
      <w:r w:rsidRPr="008A2411">
        <w:rPr>
          <w:rFonts w:ascii="Times New Roman" w:hAnsi="Times New Roman"/>
          <w:color w:val="000000" w:themeColor="text1"/>
        </w:rPr>
        <w:t>表</w:t>
      </w:r>
      <w:r w:rsidRPr="008A2411">
        <w:rPr>
          <w:rFonts w:ascii="Times New Roman" w:hAnsi="Times New Roman"/>
          <w:color w:val="000000" w:themeColor="text1"/>
        </w:rPr>
        <w:t xml:space="preserve">3.2-16  </w:t>
      </w:r>
      <w:r w:rsidRPr="008A2411">
        <w:rPr>
          <w:rFonts w:ascii="Times New Roman" w:hAnsi="Times New Roman"/>
          <w:color w:val="000000" w:themeColor="text1"/>
        </w:rPr>
        <w:t>项目运营期</w:t>
      </w:r>
      <w:r w:rsidRPr="008A2411">
        <w:rPr>
          <w:rFonts w:ascii="Times New Roman" w:hAnsi="Times New Roman" w:hint="eastAsia"/>
          <w:color w:val="000000" w:themeColor="text1"/>
        </w:rPr>
        <w:t>“</w:t>
      </w:r>
      <w:r w:rsidRPr="008A2411">
        <w:rPr>
          <w:rFonts w:ascii="Times New Roman" w:hAnsi="Times New Roman"/>
          <w:color w:val="000000" w:themeColor="text1"/>
        </w:rPr>
        <w:t>三废</w:t>
      </w:r>
      <w:r w:rsidRPr="008A2411">
        <w:rPr>
          <w:rFonts w:ascii="Times New Roman" w:hAnsi="Times New Roman" w:hint="eastAsia"/>
          <w:color w:val="000000" w:themeColor="text1"/>
        </w:rPr>
        <w:t>”</w:t>
      </w:r>
      <w:r w:rsidRPr="008A2411">
        <w:rPr>
          <w:rFonts w:ascii="Times New Roman" w:hAnsi="Times New Roman"/>
          <w:color w:val="000000" w:themeColor="text1"/>
        </w:rPr>
        <w:t>排放情况统计表</w:t>
      </w:r>
    </w:p>
    <w:tbl>
      <w:tblPr>
        <w:tblW w:w="4998" w:type="pct"/>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firstRow="1" w:lastRow="0" w:firstColumn="1" w:lastColumn="0" w:noHBand="0" w:noVBand="1"/>
      </w:tblPr>
      <w:tblGrid>
        <w:gridCol w:w="959"/>
        <w:gridCol w:w="809"/>
        <w:gridCol w:w="1603"/>
        <w:gridCol w:w="1372"/>
        <w:gridCol w:w="3776"/>
      </w:tblGrid>
      <w:tr w:rsidR="008A2411" w:rsidRPr="008A2411" w14:paraId="7DDA1EA5" w14:textId="77777777">
        <w:trPr>
          <w:trHeight w:val="260"/>
          <w:jc w:val="center"/>
        </w:trPr>
        <w:tc>
          <w:tcPr>
            <w:tcW w:w="563" w:type="pct"/>
            <w:vAlign w:val="center"/>
          </w:tcPr>
          <w:p w14:paraId="7721E0BF" w14:textId="77777777" w:rsidR="00B0005F" w:rsidRPr="008A2411" w:rsidRDefault="00000000">
            <w:pPr>
              <w:pStyle w:val="WJ4"/>
              <w:rPr>
                <w:rFonts w:ascii="Times New Roman" w:hAnsi="Times New Roman"/>
                <w:color w:val="000000" w:themeColor="text1"/>
              </w:rPr>
            </w:pPr>
            <w:r w:rsidRPr="008A2411">
              <w:rPr>
                <w:rFonts w:ascii="Times New Roman" w:hAnsi="Times New Roman"/>
                <w:color w:val="000000" w:themeColor="text1"/>
              </w:rPr>
              <w:t>污染类型</w:t>
            </w:r>
          </w:p>
        </w:tc>
        <w:tc>
          <w:tcPr>
            <w:tcW w:w="1416" w:type="pct"/>
            <w:gridSpan w:val="2"/>
            <w:vAlign w:val="center"/>
          </w:tcPr>
          <w:p w14:paraId="69B7F4F2" w14:textId="77777777" w:rsidR="00B0005F" w:rsidRPr="008A2411" w:rsidRDefault="00000000">
            <w:pPr>
              <w:pStyle w:val="WJ4"/>
              <w:rPr>
                <w:rFonts w:ascii="Times New Roman" w:hAnsi="Times New Roman"/>
                <w:color w:val="000000" w:themeColor="text1"/>
              </w:rPr>
            </w:pPr>
            <w:r w:rsidRPr="008A2411">
              <w:rPr>
                <w:rFonts w:ascii="Times New Roman" w:hAnsi="Times New Roman"/>
                <w:color w:val="000000" w:themeColor="text1"/>
              </w:rPr>
              <w:t>排放源</w:t>
            </w:r>
          </w:p>
        </w:tc>
        <w:tc>
          <w:tcPr>
            <w:tcW w:w="805" w:type="pct"/>
            <w:vAlign w:val="center"/>
          </w:tcPr>
          <w:p w14:paraId="513CE7F7" w14:textId="77777777" w:rsidR="00B0005F" w:rsidRPr="008A2411" w:rsidRDefault="00000000">
            <w:pPr>
              <w:pStyle w:val="WJ4"/>
              <w:rPr>
                <w:rFonts w:ascii="Times New Roman" w:hAnsi="Times New Roman"/>
                <w:color w:val="000000" w:themeColor="text1"/>
              </w:rPr>
            </w:pPr>
            <w:r w:rsidRPr="008A2411">
              <w:rPr>
                <w:rFonts w:ascii="Times New Roman" w:hAnsi="Times New Roman"/>
                <w:color w:val="000000" w:themeColor="text1"/>
              </w:rPr>
              <w:t>主要污染物</w:t>
            </w:r>
          </w:p>
        </w:tc>
        <w:tc>
          <w:tcPr>
            <w:tcW w:w="2216" w:type="pct"/>
            <w:vAlign w:val="center"/>
          </w:tcPr>
          <w:p w14:paraId="289BD8D5" w14:textId="77777777" w:rsidR="00B0005F" w:rsidRPr="008A2411" w:rsidRDefault="00000000">
            <w:pPr>
              <w:pStyle w:val="WJ4"/>
              <w:rPr>
                <w:rFonts w:ascii="Times New Roman" w:hAnsi="Times New Roman"/>
                <w:color w:val="000000" w:themeColor="text1"/>
              </w:rPr>
            </w:pPr>
            <w:r w:rsidRPr="008A2411">
              <w:rPr>
                <w:rFonts w:ascii="Times New Roman" w:hAnsi="Times New Roman"/>
                <w:color w:val="000000" w:themeColor="text1"/>
              </w:rPr>
              <w:t>处置措施及排放情况</w:t>
            </w:r>
          </w:p>
        </w:tc>
      </w:tr>
      <w:tr w:rsidR="008A2411" w:rsidRPr="008A2411" w14:paraId="098C6831" w14:textId="77777777">
        <w:trPr>
          <w:trHeight w:val="235"/>
          <w:jc w:val="center"/>
        </w:trPr>
        <w:tc>
          <w:tcPr>
            <w:tcW w:w="563" w:type="pct"/>
            <w:vMerge w:val="restart"/>
            <w:vAlign w:val="center"/>
          </w:tcPr>
          <w:p w14:paraId="33D693C8" w14:textId="77777777" w:rsidR="00B0005F" w:rsidRPr="008A2411" w:rsidRDefault="00000000">
            <w:pPr>
              <w:adjustRightInd w:val="0"/>
              <w:snapToGrid w:val="0"/>
              <w:spacing w:line="320" w:lineRule="exact"/>
              <w:jc w:val="center"/>
              <w:rPr>
                <w:rFonts w:ascii="Times New Roman"/>
                <w:color w:val="000000" w:themeColor="text1"/>
                <w:sz w:val="21"/>
                <w:szCs w:val="21"/>
              </w:rPr>
            </w:pPr>
            <w:r w:rsidRPr="008A2411">
              <w:rPr>
                <w:rFonts w:ascii="Times New Roman"/>
                <w:color w:val="000000" w:themeColor="text1"/>
                <w:sz w:val="21"/>
                <w:szCs w:val="21"/>
              </w:rPr>
              <w:t>大气</w:t>
            </w:r>
          </w:p>
          <w:p w14:paraId="49F0329A" w14:textId="77777777" w:rsidR="00B0005F" w:rsidRPr="008A2411" w:rsidRDefault="00000000">
            <w:pPr>
              <w:adjustRightInd w:val="0"/>
              <w:snapToGrid w:val="0"/>
              <w:spacing w:line="320" w:lineRule="exact"/>
              <w:jc w:val="center"/>
              <w:rPr>
                <w:rFonts w:ascii="Times New Roman"/>
                <w:color w:val="000000" w:themeColor="text1"/>
                <w:sz w:val="21"/>
                <w:szCs w:val="21"/>
              </w:rPr>
            </w:pPr>
            <w:r w:rsidRPr="008A2411">
              <w:rPr>
                <w:rFonts w:ascii="Times New Roman"/>
                <w:color w:val="000000" w:themeColor="text1"/>
                <w:sz w:val="21"/>
                <w:szCs w:val="21"/>
              </w:rPr>
              <w:t>污染物</w:t>
            </w:r>
          </w:p>
        </w:tc>
        <w:tc>
          <w:tcPr>
            <w:tcW w:w="475" w:type="pct"/>
            <w:vMerge w:val="restart"/>
            <w:vAlign w:val="center"/>
          </w:tcPr>
          <w:p w14:paraId="1ED21AB5" w14:textId="77777777" w:rsidR="00B0005F" w:rsidRPr="008A2411" w:rsidRDefault="00000000">
            <w:pPr>
              <w:adjustRightInd w:val="0"/>
              <w:snapToGrid w:val="0"/>
              <w:spacing w:line="320" w:lineRule="exact"/>
              <w:jc w:val="center"/>
              <w:rPr>
                <w:rFonts w:ascii="Times New Roman"/>
                <w:color w:val="000000" w:themeColor="text1"/>
                <w:sz w:val="21"/>
                <w:szCs w:val="21"/>
              </w:rPr>
            </w:pPr>
            <w:r w:rsidRPr="008A2411">
              <w:rPr>
                <w:rFonts w:ascii="Times New Roman"/>
                <w:color w:val="000000" w:themeColor="text1"/>
                <w:sz w:val="21"/>
                <w:szCs w:val="21"/>
              </w:rPr>
              <w:t>施工期</w:t>
            </w:r>
          </w:p>
        </w:tc>
        <w:tc>
          <w:tcPr>
            <w:tcW w:w="941" w:type="pct"/>
            <w:vAlign w:val="center"/>
          </w:tcPr>
          <w:p w14:paraId="7D5766A5" w14:textId="77777777" w:rsidR="00B0005F" w:rsidRPr="008A2411" w:rsidRDefault="00000000">
            <w:pPr>
              <w:adjustRightInd w:val="0"/>
              <w:snapToGrid w:val="0"/>
              <w:spacing w:line="320" w:lineRule="exact"/>
              <w:jc w:val="center"/>
              <w:rPr>
                <w:rFonts w:ascii="Times New Roman"/>
                <w:color w:val="000000" w:themeColor="text1"/>
                <w:sz w:val="21"/>
                <w:szCs w:val="21"/>
              </w:rPr>
            </w:pPr>
            <w:r w:rsidRPr="008A2411">
              <w:rPr>
                <w:rFonts w:ascii="Times New Roman"/>
                <w:color w:val="000000" w:themeColor="text1"/>
                <w:sz w:val="21"/>
                <w:szCs w:val="21"/>
              </w:rPr>
              <w:t>施工扬尘</w:t>
            </w:r>
          </w:p>
        </w:tc>
        <w:tc>
          <w:tcPr>
            <w:tcW w:w="805" w:type="pct"/>
            <w:vAlign w:val="center"/>
          </w:tcPr>
          <w:p w14:paraId="1D09C06E" w14:textId="77777777" w:rsidR="00B0005F" w:rsidRPr="008A2411" w:rsidRDefault="00000000">
            <w:pPr>
              <w:adjustRightInd w:val="0"/>
              <w:snapToGrid w:val="0"/>
              <w:spacing w:line="320" w:lineRule="exact"/>
              <w:jc w:val="center"/>
              <w:rPr>
                <w:rFonts w:ascii="Times New Roman"/>
                <w:color w:val="000000" w:themeColor="text1"/>
                <w:sz w:val="21"/>
                <w:szCs w:val="21"/>
              </w:rPr>
            </w:pPr>
            <w:r w:rsidRPr="008A2411">
              <w:rPr>
                <w:rFonts w:ascii="Times New Roman"/>
                <w:color w:val="000000" w:themeColor="text1"/>
                <w:sz w:val="21"/>
                <w:szCs w:val="21"/>
              </w:rPr>
              <w:t>颗粒物</w:t>
            </w:r>
          </w:p>
        </w:tc>
        <w:tc>
          <w:tcPr>
            <w:tcW w:w="2216" w:type="pct"/>
            <w:vAlign w:val="center"/>
          </w:tcPr>
          <w:p w14:paraId="1A27F270" w14:textId="77777777" w:rsidR="00B0005F" w:rsidRPr="008A2411" w:rsidRDefault="00000000">
            <w:pPr>
              <w:adjustRightInd w:val="0"/>
              <w:snapToGrid w:val="0"/>
              <w:spacing w:line="320" w:lineRule="exact"/>
              <w:jc w:val="center"/>
              <w:rPr>
                <w:rFonts w:ascii="Times New Roman"/>
                <w:color w:val="000000" w:themeColor="text1"/>
                <w:sz w:val="21"/>
                <w:szCs w:val="21"/>
              </w:rPr>
            </w:pPr>
            <w:r w:rsidRPr="008A2411">
              <w:rPr>
                <w:rFonts w:ascii="Times New Roman"/>
                <w:color w:val="000000" w:themeColor="text1"/>
                <w:sz w:val="21"/>
                <w:szCs w:val="21"/>
              </w:rPr>
              <w:t>洒水防尘</w:t>
            </w:r>
          </w:p>
        </w:tc>
      </w:tr>
      <w:tr w:rsidR="008A2411" w:rsidRPr="008A2411" w14:paraId="348D6685" w14:textId="77777777">
        <w:trPr>
          <w:trHeight w:val="235"/>
          <w:jc w:val="center"/>
        </w:trPr>
        <w:tc>
          <w:tcPr>
            <w:tcW w:w="563" w:type="pct"/>
            <w:vMerge/>
            <w:vAlign w:val="center"/>
          </w:tcPr>
          <w:p w14:paraId="6A85C770" w14:textId="77777777" w:rsidR="00B0005F" w:rsidRPr="008A2411" w:rsidRDefault="00B0005F">
            <w:pPr>
              <w:adjustRightInd w:val="0"/>
              <w:snapToGrid w:val="0"/>
              <w:spacing w:line="320" w:lineRule="exact"/>
              <w:jc w:val="center"/>
              <w:rPr>
                <w:rFonts w:ascii="Times New Roman"/>
                <w:color w:val="000000" w:themeColor="text1"/>
                <w:sz w:val="21"/>
                <w:szCs w:val="21"/>
              </w:rPr>
            </w:pPr>
          </w:p>
        </w:tc>
        <w:tc>
          <w:tcPr>
            <w:tcW w:w="475" w:type="pct"/>
            <w:vMerge/>
            <w:vAlign w:val="center"/>
          </w:tcPr>
          <w:p w14:paraId="2940F0E6" w14:textId="77777777" w:rsidR="00B0005F" w:rsidRPr="008A2411" w:rsidRDefault="00B0005F">
            <w:pPr>
              <w:adjustRightInd w:val="0"/>
              <w:snapToGrid w:val="0"/>
              <w:spacing w:line="320" w:lineRule="exact"/>
              <w:jc w:val="center"/>
              <w:rPr>
                <w:rFonts w:ascii="Times New Roman"/>
                <w:color w:val="000000" w:themeColor="text1"/>
                <w:sz w:val="21"/>
                <w:szCs w:val="21"/>
              </w:rPr>
            </w:pPr>
          </w:p>
        </w:tc>
        <w:tc>
          <w:tcPr>
            <w:tcW w:w="941" w:type="pct"/>
            <w:vAlign w:val="center"/>
          </w:tcPr>
          <w:p w14:paraId="3B667FE5" w14:textId="77777777" w:rsidR="00B0005F" w:rsidRPr="008A2411" w:rsidRDefault="00000000">
            <w:pPr>
              <w:snapToGrid w:val="0"/>
              <w:spacing w:line="320" w:lineRule="exact"/>
              <w:jc w:val="center"/>
              <w:rPr>
                <w:rFonts w:ascii="Times New Roman"/>
                <w:color w:val="000000" w:themeColor="text1"/>
                <w:sz w:val="21"/>
                <w:szCs w:val="21"/>
              </w:rPr>
            </w:pPr>
            <w:r w:rsidRPr="008A2411">
              <w:rPr>
                <w:rFonts w:ascii="Times New Roman"/>
                <w:color w:val="000000" w:themeColor="text1"/>
                <w:sz w:val="21"/>
                <w:szCs w:val="21"/>
              </w:rPr>
              <w:t>施工机械尾气</w:t>
            </w:r>
          </w:p>
        </w:tc>
        <w:tc>
          <w:tcPr>
            <w:tcW w:w="805" w:type="pct"/>
            <w:vAlign w:val="center"/>
          </w:tcPr>
          <w:p w14:paraId="664553F3" w14:textId="77777777" w:rsidR="00B0005F" w:rsidRPr="008A2411" w:rsidRDefault="00000000">
            <w:pPr>
              <w:snapToGrid w:val="0"/>
              <w:spacing w:line="320" w:lineRule="exact"/>
              <w:jc w:val="center"/>
              <w:rPr>
                <w:rFonts w:ascii="Times New Roman"/>
                <w:color w:val="000000" w:themeColor="text1"/>
                <w:sz w:val="21"/>
                <w:szCs w:val="21"/>
              </w:rPr>
            </w:pPr>
            <w:r w:rsidRPr="008A2411">
              <w:rPr>
                <w:rFonts w:ascii="Times New Roman"/>
                <w:color w:val="000000" w:themeColor="text1"/>
                <w:sz w:val="21"/>
                <w:szCs w:val="21"/>
              </w:rPr>
              <w:t>NO</w:t>
            </w:r>
            <w:r w:rsidRPr="008A2411">
              <w:rPr>
                <w:rFonts w:ascii="Times New Roman"/>
                <w:color w:val="000000" w:themeColor="text1"/>
                <w:sz w:val="21"/>
                <w:szCs w:val="21"/>
                <w:vertAlign w:val="subscript"/>
              </w:rPr>
              <w:t>x</w:t>
            </w:r>
            <w:r w:rsidRPr="008A2411">
              <w:rPr>
                <w:rFonts w:ascii="Times New Roman"/>
                <w:color w:val="000000" w:themeColor="text1"/>
                <w:sz w:val="21"/>
                <w:szCs w:val="21"/>
              </w:rPr>
              <w:t>、</w:t>
            </w:r>
            <w:r w:rsidRPr="008A2411">
              <w:rPr>
                <w:rFonts w:ascii="Times New Roman"/>
                <w:color w:val="000000" w:themeColor="text1"/>
                <w:sz w:val="21"/>
                <w:szCs w:val="21"/>
              </w:rPr>
              <w:t>CO</w:t>
            </w:r>
          </w:p>
        </w:tc>
        <w:tc>
          <w:tcPr>
            <w:tcW w:w="2216" w:type="pct"/>
            <w:vAlign w:val="center"/>
          </w:tcPr>
          <w:p w14:paraId="0CB2705D" w14:textId="77777777" w:rsidR="00B0005F" w:rsidRPr="008A2411" w:rsidRDefault="00000000">
            <w:pPr>
              <w:snapToGrid w:val="0"/>
              <w:spacing w:line="320" w:lineRule="exact"/>
              <w:jc w:val="center"/>
              <w:rPr>
                <w:rFonts w:ascii="Times New Roman"/>
                <w:color w:val="000000" w:themeColor="text1"/>
                <w:sz w:val="21"/>
                <w:szCs w:val="21"/>
              </w:rPr>
            </w:pPr>
            <w:r w:rsidRPr="008A2411">
              <w:rPr>
                <w:rFonts w:ascii="Times New Roman"/>
                <w:color w:val="000000" w:themeColor="text1"/>
                <w:sz w:val="21"/>
                <w:szCs w:val="21"/>
              </w:rPr>
              <w:t>自由扩散</w:t>
            </w:r>
          </w:p>
        </w:tc>
      </w:tr>
      <w:tr w:rsidR="008A2411" w:rsidRPr="008A2411" w14:paraId="56EA817C" w14:textId="77777777">
        <w:trPr>
          <w:trHeight w:val="909"/>
          <w:jc w:val="center"/>
        </w:trPr>
        <w:tc>
          <w:tcPr>
            <w:tcW w:w="563" w:type="pct"/>
            <w:vMerge/>
            <w:vAlign w:val="center"/>
          </w:tcPr>
          <w:p w14:paraId="2FA2C1C7" w14:textId="77777777" w:rsidR="00B0005F" w:rsidRPr="008A2411" w:rsidRDefault="00B0005F">
            <w:pPr>
              <w:adjustRightInd w:val="0"/>
              <w:snapToGrid w:val="0"/>
              <w:spacing w:line="320" w:lineRule="exact"/>
              <w:jc w:val="center"/>
              <w:rPr>
                <w:rFonts w:ascii="Times New Roman"/>
                <w:color w:val="000000" w:themeColor="text1"/>
                <w:sz w:val="21"/>
                <w:szCs w:val="21"/>
              </w:rPr>
            </w:pPr>
          </w:p>
        </w:tc>
        <w:tc>
          <w:tcPr>
            <w:tcW w:w="475" w:type="pct"/>
            <w:vMerge w:val="restart"/>
            <w:vAlign w:val="center"/>
          </w:tcPr>
          <w:p w14:paraId="11F0B162" w14:textId="77777777" w:rsidR="00B0005F" w:rsidRPr="008A2411" w:rsidRDefault="00000000">
            <w:pPr>
              <w:adjustRightInd w:val="0"/>
              <w:snapToGrid w:val="0"/>
              <w:spacing w:line="320" w:lineRule="exact"/>
              <w:jc w:val="center"/>
              <w:rPr>
                <w:rFonts w:ascii="Times New Roman"/>
                <w:color w:val="000000" w:themeColor="text1"/>
                <w:sz w:val="21"/>
                <w:szCs w:val="21"/>
              </w:rPr>
            </w:pPr>
            <w:r w:rsidRPr="008A2411">
              <w:rPr>
                <w:rFonts w:ascii="Times New Roman"/>
                <w:color w:val="000000" w:themeColor="text1"/>
                <w:sz w:val="21"/>
                <w:szCs w:val="21"/>
              </w:rPr>
              <w:t>运营期</w:t>
            </w:r>
          </w:p>
        </w:tc>
        <w:tc>
          <w:tcPr>
            <w:tcW w:w="941" w:type="pct"/>
            <w:vAlign w:val="center"/>
          </w:tcPr>
          <w:p w14:paraId="59D1B805" w14:textId="77777777" w:rsidR="00B0005F" w:rsidRPr="008A2411" w:rsidRDefault="00000000">
            <w:pPr>
              <w:adjustRightInd w:val="0"/>
              <w:snapToGrid w:val="0"/>
              <w:spacing w:line="320" w:lineRule="exact"/>
              <w:jc w:val="center"/>
              <w:rPr>
                <w:rFonts w:ascii="Times New Roman"/>
                <w:color w:val="000000" w:themeColor="text1"/>
                <w:sz w:val="21"/>
                <w:szCs w:val="21"/>
              </w:rPr>
            </w:pPr>
            <w:r w:rsidRPr="008A2411">
              <w:rPr>
                <w:rFonts w:ascii="Times New Roman"/>
                <w:color w:val="000000" w:themeColor="text1"/>
                <w:sz w:val="21"/>
                <w:szCs w:val="21"/>
              </w:rPr>
              <w:t>闪蒸罐闪蒸气</w:t>
            </w:r>
          </w:p>
        </w:tc>
        <w:tc>
          <w:tcPr>
            <w:tcW w:w="805" w:type="pct"/>
            <w:vAlign w:val="center"/>
          </w:tcPr>
          <w:p w14:paraId="5D8D733A" w14:textId="77777777" w:rsidR="00B0005F" w:rsidRPr="008A2411" w:rsidRDefault="00000000">
            <w:pPr>
              <w:adjustRightInd w:val="0"/>
              <w:snapToGrid w:val="0"/>
              <w:spacing w:line="320" w:lineRule="exact"/>
              <w:jc w:val="center"/>
              <w:rPr>
                <w:rFonts w:ascii="Times New Roman"/>
                <w:color w:val="000000" w:themeColor="text1"/>
                <w:sz w:val="21"/>
                <w:szCs w:val="21"/>
              </w:rPr>
            </w:pPr>
            <w:r w:rsidRPr="008A2411">
              <w:rPr>
                <w:rFonts w:ascii="Times New Roman"/>
                <w:color w:val="000000" w:themeColor="text1"/>
                <w:sz w:val="21"/>
                <w:szCs w:val="21"/>
              </w:rPr>
              <w:t>H</w:t>
            </w:r>
            <w:r w:rsidRPr="008A2411">
              <w:rPr>
                <w:rFonts w:ascii="Times New Roman"/>
                <w:color w:val="000000" w:themeColor="text1"/>
                <w:sz w:val="21"/>
                <w:szCs w:val="21"/>
                <w:vertAlign w:val="subscript"/>
              </w:rPr>
              <w:t>2</w:t>
            </w:r>
            <w:r w:rsidRPr="008A2411">
              <w:rPr>
                <w:rFonts w:ascii="Times New Roman"/>
                <w:color w:val="000000" w:themeColor="text1"/>
                <w:sz w:val="21"/>
                <w:szCs w:val="21"/>
              </w:rPr>
              <w:t>S</w:t>
            </w:r>
            <w:r w:rsidRPr="008A2411">
              <w:rPr>
                <w:rFonts w:ascii="Times New Roman"/>
                <w:color w:val="000000" w:themeColor="text1"/>
                <w:sz w:val="21"/>
                <w:szCs w:val="21"/>
              </w:rPr>
              <w:t>、</w:t>
            </w:r>
            <w:r w:rsidRPr="008A2411">
              <w:rPr>
                <w:rFonts w:ascii="Times New Roman"/>
                <w:color w:val="000000" w:themeColor="text1"/>
                <w:sz w:val="21"/>
                <w:szCs w:val="21"/>
              </w:rPr>
              <w:t>CO</w:t>
            </w:r>
            <w:r w:rsidRPr="008A2411">
              <w:rPr>
                <w:rFonts w:ascii="Times New Roman"/>
                <w:color w:val="000000" w:themeColor="text1"/>
                <w:sz w:val="21"/>
                <w:szCs w:val="21"/>
                <w:vertAlign w:val="subscript"/>
              </w:rPr>
              <w:t>2</w:t>
            </w:r>
            <w:r w:rsidRPr="008A2411">
              <w:rPr>
                <w:rFonts w:ascii="Times New Roman"/>
                <w:color w:val="000000" w:themeColor="text1"/>
                <w:sz w:val="21"/>
                <w:szCs w:val="21"/>
              </w:rPr>
              <w:t>、甲烷及其它烃类等</w:t>
            </w:r>
          </w:p>
        </w:tc>
        <w:tc>
          <w:tcPr>
            <w:tcW w:w="2216" w:type="pct"/>
            <w:vAlign w:val="center"/>
          </w:tcPr>
          <w:p w14:paraId="168A68FD" w14:textId="77777777" w:rsidR="00B0005F" w:rsidRPr="008A2411" w:rsidRDefault="00000000">
            <w:pPr>
              <w:adjustRightInd w:val="0"/>
              <w:snapToGrid w:val="0"/>
              <w:spacing w:line="320" w:lineRule="exact"/>
              <w:jc w:val="center"/>
              <w:rPr>
                <w:rFonts w:ascii="Times New Roman"/>
                <w:color w:val="000000" w:themeColor="text1"/>
                <w:sz w:val="21"/>
                <w:szCs w:val="21"/>
              </w:rPr>
            </w:pPr>
            <w:r w:rsidRPr="008A2411">
              <w:rPr>
                <w:rFonts w:ascii="Times New Roman"/>
                <w:color w:val="000000" w:themeColor="text1"/>
                <w:sz w:val="21"/>
                <w:szCs w:val="21"/>
              </w:rPr>
              <w:t>进入燃料气系统</w:t>
            </w:r>
          </w:p>
        </w:tc>
      </w:tr>
      <w:tr w:rsidR="008A2411" w:rsidRPr="008A2411" w14:paraId="497FADF2" w14:textId="77777777">
        <w:trPr>
          <w:trHeight w:val="909"/>
          <w:jc w:val="center"/>
        </w:trPr>
        <w:tc>
          <w:tcPr>
            <w:tcW w:w="563" w:type="pct"/>
            <w:vMerge/>
            <w:vAlign w:val="center"/>
          </w:tcPr>
          <w:p w14:paraId="7D764823" w14:textId="77777777" w:rsidR="00B0005F" w:rsidRPr="008A2411" w:rsidRDefault="00B0005F">
            <w:pPr>
              <w:adjustRightInd w:val="0"/>
              <w:snapToGrid w:val="0"/>
              <w:spacing w:line="320" w:lineRule="exact"/>
              <w:jc w:val="center"/>
              <w:rPr>
                <w:rFonts w:ascii="Times New Roman"/>
                <w:color w:val="000000" w:themeColor="text1"/>
                <w:sz w:val="21"/>
                <w:szCs w:val="21"/>
              </w:rPr>
            </w:pPr>
          </w:p>
        </w:tc>
        <w:tc>
          <w:tcPr>
            <w:tcW w:w="475" w:type="pct"/>
            <w:vMerge/>
            <w:vAlign w:val="center"/>
          </w:tcPr>
          <w:p w14:paraId="3DBA5B9A" w14:textId="77777777" w:rsidR="00B0005F" w:rsidRPr="008A2411" w:rsidRDefault="00B0005F">
            <w:pPr>
              <w:adjustRightInd w:val="0"/>
              <w:snapToGrid w:val="0"/>
              <w:spacing w:line="320" w:lineRule="exact"/>
              <w:jc w:val="center"/>
              <w:rPr>
                <w:rFonts w:ascii="Times New Roman"/>
                <w:color w:val="000000" w:themeColor="text1"/>
                <w:sz w:val="21"/>
                <w:szCs w:val="21"/>
              </w:rPr>
            </w:pPr>
          </w:p>
        </w:tc>
        <w:tc>
          <w:tcPr>
            <w:tcW w:w="941" w:type="pct"/>
            <w:vAlign w:val="center"/>
          </w:tcPr>
          <w:p w14:paraId="31590A93" w14:textId="77777777" w:rsidR="00B0005F" w:rsidRPr="008A2411" w:rsidRDefault="00000000">
            <w:pPr>
              <w:adjustRightInd w:val="0"/>
              <w:snapToGrid w:val="0"/>
              <w:spacing w:line="320" w:lineRule="exact"/>
              <w:jc w:val="center"/>
              <w:rPr>
                <w:rFonts w:ascii="Times New Roman"/>
                <w:color w:val="000000" w:themeColor="text1"/>
                <w:sz w:val="21"/>
                <w:szCs w:val="21"/>
              </w:rPr>
            </w:pPr>
            <w:r w:rsidRPr="008A2411">
              <w:rPr>
                <w:rFonts w:ascii="Times New Roman"/>
                <w:color w:val="000000" w:themeColor="text1"/>
                <w:sz w:val="21"/>
                <w:szCs w:val="21"/>
              </w:rPr>
              <w:t>脱硫塔排气</w:t>
            </w:r>
          </w:p>
        </w:tc>
        <w:tc>
          <w:tcPr>
            <w:tcW w:w="805" w:type="pct"/>
            <w:vAlign w:val="center"/>
          </w:tcPr>
          <w:p w14:paraId="3FF764E5" w14:textId="2D9362D4" w:rsidR="00B0005F" w:rsidRPr="008A2411" w:rsidRDefault="00000000">
            <w:pPr>
              <w:adjustRightInd w:val="0"/>
              <w:snapToGrid w:val="0"/>
              <w:spacing w:line="320" w:lineRule="exact"/>
              <w:jc w:val="center"/>
              <w:rPr>
                <w:rFonts w:ascii="Times New Roman"/>
                <w:color w:val="000000" w:themeColor="text1"/>
                <w:sz w:val="21"/>
                <w:szCs w:val="21"/>
              </w:rPr>
            </w:pPr>
            <w:r w:rsidRPr="008A2411">
              <w:rPr>
                <w:rFonts w:ascii="Times New Roman"/>
                <w:color w:val="000000" w:themeColor="text1"/>
                <w:sz w:val="21"/>
                <w:szCs w:val="21"/>
              </w:rPr>
              <w:t>H</w:t>
            </w:r>
            <w:r w:rsidRPr="008A2411">
              <w:rPr>
                <w:rFonts w:ascii="Times New Roman"/>
                <w:color w:val="000000" w:themeColor="text1"/>
                <w:sz w:val="21"/>
                <w:szCs w:val="21"/>
                <w:vertAlign w:val="subscript"/>
              </w:rPr>
              <w:t>2</w:t>
            </w:r>
            <w:r w:rsidRPr="008A2411">
              <w:rPr>
                <w:rFonts w:ascii="Times New Roman"/>
                <w:color w:val="000000" w:themeColor="text1"/>
                <w:sz w:val="21"/>
                <w:szCs w:val="21"/>
              </w:rPr>
              <w:t>S</w:t>
            </w:r>
            <w:r w:rsidRPr="008A2411">
              <w:rPr>
                <w:rFonts w:ascii="Times New Roman"/>
                <w:color w:val="000000" w:themeColor="text1"/>
                <w:sz w:val="21"/>
                <w:szCs w:val="21"/>
              </w:rPr>
              <w:t>、</w:t>
            </w:r>
            <w:r w:rsidR="00F243D6" w:rsidRPr="008A2411">
              <w:rPr>
                <w:rFonts w:ascii="Times New Roman"/>
                <w:color w:val="000000" w:themeColor="text1"/>
                <w:sz w:val="21"/>
                <w:szCs w:val="21"/>
              </w:rPr>
              <w:t>NMHC</w:t>
            </w:r>
            <w:r w:rsidRPr="008A2411">
              <w:rPr>
                <w:rFonts w:ascii="Times New Roman"/>
                <w:color w:val="000000" w:themeColor="text1"/>
                <w:sz w:val="21"/>
                <w:szCs w:val="21"/>
              </w:rPr>
              <w:t>等</w:t>
            </w:r>
          </w:p>
        </w:tc>
        <w:tc>
          <w:tcPr>
            <w:tcW w:w="2216" w:type="pct"/>
            <w:vAlign w:val="center"/>
          </w:tcPr>
          <w:p w14:paraId="76EBD8D5" w14:textId="2A07E886"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color w:val="000000" w:themeColor="text1"/>
              </w:rPr>
              <w:t>经脱硫塔内部活性炭吸附装置吸附过滤后经</w:t>
            </w:r>
            <w:r w:rsidRPr="008A2411">
              <w:rPr>
                <w:rFonts w:ascii="Times New Roman" w:hAnsi="Times New Roman"/>
                <w:color w:val="000000" w:themeColor="text1"/>
              </w:rPr>
              <w:t>1</w:t>
            </w:r>
            <w:r w:rsidRPr="008A2411">
              <w:rPr>
                <w:rFonts w:ascii="Times New Roman" w:hAnsi="Times New Roman"/>
                <w:color w:val="000000" w:themeColor="text1"/>
              </w:rPr>
              <w:t>根直径</w:t>
            </w:r>
            <w:r w:rsidRPr="008A2411">
              <w:rPr>
                <w:rFonts w:ascii="Times New Roman" w:hAnsi="Times New Roman"/>
                <w:color w:val="000000" w:themeColor="text1"/>
              </w:rPr>
              <w:t>0.5m</w:t>
            </w:r>
            <w:r w:rsidRPr="008A2411">
              <w:rPr>
                <w:rFonts w:ascii="Times New Roman" w:hAnsi="Times New Roman"/>
                <w:color w:val="000000" w:themeColor="text1"/>
              </w:rPr>
              <w:t>，高度</w:t>
            </w:r>
            <w:r w:rsidRPr="008A2411">
              <w:rPr>
                <w:rFonts w:ascii="Times New Roman" w:hAnsi="Times New Roman"/>
                <w:color w:val="000000" w:themeColor="text1"/>
              </w:rPr>
              <w:t>15m</w:t>
            </w:r>
            <w:r w:rsidRPr="008A2411">
              <w:rPr>
                <w:rFonts w:ascii="Times New Roman" w:hAnsi="Times New Roman"/>
                <w:color w:val="000000" w:themeColor="text1"/>
              </w:rPr>
              <w:t>排气筒排放。</w:t>
            </w:r>
            <w:r w:rsidRPr="008A2411">
              <w:rPr>
                <w:rFonts w:ascii="Times New Roman" w:hAnsi="Times New Roman"/>
                <w:color w:val="000000" w:themeColor="text1"/>
              </w:rPr>
              <w:t>H</w:t>
            </w:r>
            <w:r w:rsidRPr="008A2411">
              <w:rPr>
                <w:rFonts w:ascii="Times New Roman" w:hAnsi="Times New Roman"/>
                <w:color w:val="000000" w:themeColor="text1"/>
                <w:vertAlign w:val="subscript"/>
              </w:rPr>
              <w:t>2</w:t>
            </w:r>
            <w:r w:rsidRPr="008A2411">
              <w:rPr>
                <w:rFonts w:ascii="Times New Roman" w:hAnsi="Times New Roman"/>
                <w:color w:val="000000" w:themeColor="text1"/>
              </w:rPr>
              <w:t>S</w:t>
            </w:r>
            <w:r w:rsidRPr="008A2411">
              <w:rPr>
                <w:rFonts w:ascii="Times New Roman" w:hAnsi="Times New Roman"/>
                <w:color w:val="000000" w:themeColor="text1"/>
              </w:rPr>
              <w:t>：</w:t>
            </w:r>
            <w:r w:rsidRPr="008A2411">
              <w:rPr>
                <w:rFonts w:ascii="Times New Roman" w:hAnsi="Times New Roman"/>
                <w:color w:val="000000" w:themeColor="text1"/>
              </w:rPr>
              <w:t>0.0015kg/h</w:t>
            </w:r>
            <w:r w:rsidRPr="008A2411">
              <w:rPr>
                <w:rFonts w:ascii="Times New Roman" w:hAnsi="Times New Roman"/>
                <w:color w:val="000000" w:themeColor="text1"/>
              </w:rPr>
              <w:t>；</w:t>
            </w:r>
            <w:r w:rsidR="00F243D6" w:rsidRPr="008A2411">
              <w:rPr>
                <w:rFonts w:ascii="Times New Roman" w:hAnsi="Times New Roman"/>
                <w:color w:val="000000" w:themeColor="text1"/>
              </w:rPr>
              <w:t>NMHC</w:t>
            </w:r>
            <w:r w:rsidRPr="008A2411">
              <w:rPr>
                <w:rFonts w:ascii="Times New Roman" w:hAnsi="Times New Roman"/>
                <w:color w:val="000000" w:themeColor="text1"/>
              </w:rPr>
              <w:t>：</w:t>
            </w:r>
            <w:r w:rsidRPr="008A2411">
              <w:rPr>
                <w:rFonts w:ascii="Times New Roman" w:hAnsi="Times New Roman"/>
                <w:color w:val="000000" w:themeColor="text1"/>
              </w:rPr>
              <w:t>0.028kg/h</w:t>
            </w:r>
          </w:p>
        </w:tc>
      </w:tr>
      <w:tr w:rsidR="008A2411" w:rsidRPr="008A2411" w14:paraId="4064E9EF" w14:textId="77777777">
        <w:trPr>
          <w:trHeight w:val="460"/>
          <w:jc w:val="center"/>
        </w:trPr>
        <w:tc>
          <w:tcPr>
            <w:tcW w:w="563" w:type="pct"/>
            <w:vMerge/>
            <w:vAlign w:val="center"/>
          </w:tcPr>
          <w:p w14:paraId="4241042A" w14:textId="77777777" w:rsidR="00B0005F" w:rsidRPr="008A2411" w:rsidRDefault="00B0005F">
            <w:pPr>
              <w:adjustRightInd w:val="0"/>
              <w:snapToGrid w:val="0"/>
              <w:spacing w:line="320" w:lineRule="exact"/>
              <w:jc w:val="center"/>
              <w:rPr>
                <w:rFonts w:ascii="Times New Roman"/>
                <w:color w:val="000000" w:themeColor="text1"/>
                <w:sz w:val="21"/>
                <w:szCs w:val="21"/>
              </w:rPr>
            </w:pPr>
          </w:p>
        </w:tc>
        <w:tc>
          <w:tcPr>
            <w:tcW w:w="475" w:type="pct"/>
            <w:vMerge/>
            <w:vAlign w:val="center"/>
          </w:tcPr>
          <w:p w14:paraId="5349A4A3" w14:textId="77777777" w:rsidR="00B0005F" w:rsidRPr="008A2411" w:rsidRDefault="00B0005F">
            <w:pPr>
              <w:adjustRightInd w:val="0"/>
              <w:snapToGrid w:val="0"/>
              <w:spacing w:line="320" w:lineRule="exact"/>
              <w:jc w:val="center"/>
              <w:rPr>
                <w:rFonts w:ascii="Times New Roman"/>
                <w:color w:val="000000" w:themeColor="text1"/>
                <w:sz w:val="21"/>
                <w:szCs w:val="21"/>
              </w:rPr>
            </w:pPr>
          </w:p>
        </w:tc>
        <w:tc>
          <w:tcPr>
            <w:tcW w:w="941" w:type="pct"/>
            <w:vAlign w:val="center"/>
          </w:tcPr>
          <w:p w14:paraId="4B3DD1D6" w14:textId="77777777" w:rsidR="00B0005F" w:rsidRPr="008A2411" w:rsidRDefault="00000000">
            <w:pPr>
              <w:adjustRightInd w:val="0"/>
              <w:snapToGrid w:val="0"/>
              <w:spacing w:line="320" w:lineRule="exact"/>
              <w:jc w:val="center"/>
              <w:rPr>
                <w:rFonts w:ascii="Times New Roman"/>
                <w:color w:val="000000" w:themeColor="text1"/>
                <w:sz w:val="21"/>
                <w:szCs w:val="21"/>
              </w:rPr>
            </w:pPr>
            <w:r w:rsidRPr="008A2411">
              <w:rPr>
                <w:rFonts w:ascii="Times New Roman"/>
                <w:color w:val="000000" w:themeColor="text1"/>
                <w:sz w:val="21"/>
                <w:szCs w:val="21"/>
              </w:rPr>
              <w:t>导热油炉废气</w:t>
            </w:r>
          </w:p>
        </w:tc>
        <w:tc>
          <w:tcPr>
            <w:tcW w:w="805" w:type="pct"/>
            <w:vAlign w:val="center"/>
          </w:tcPr>
          <w:p w14:paraId="1DA7E9AB" w14:textId="77777777" w:rsidR="00B0005F" w:rsidRPr="008A2411" w:rsidRDefault="00000000">
            <w:pPr>
              <w:adjustRightInd w:val="0"/>
              <w:snapToGrid w:val="0"/>
              <w:spacing w:line="320" w:lineRule="exact"/>
              <w:jc w:val="center"/>
              <w:rPr>
                <w:rFonts w:ascii="Times New Roman"/>
                <w:color w:val="000000" w:themeColor="text1"/>
                <w:sz w:val="21"/>
                <w:szCs w:val="21"/>
              </w:rPr>
            </w:pPr>
            <w:r w:rsidRPr="008A2411">
              <w:rPr>
                <w:rFonts w:ascii="Times New Roman"/>
                <w:color w:val="000000" w:themeColor="text1"/>
                <w:sz w:val="21"/>
                <w:szCs w:val="21"/>
              </w:rPr>
              <w:t>NO</w:t>
            </w:r>
            <w:r w:rsidRPr="008A2411">
              <w:rPr>
                <w:rFonts w:ascii="Times New Roman"/>
                <w:color w:val="000000" w:themeColor="text1"/>
                <w:sz w:val="21"/>
                <w:szCs w:val="21"/>
                <w:vertAlign w:val="subscript"/>
              </w:rPr>
              <w:t>x</w:t>
            </w:r>
            <w:r w:rsidRPr="008A2411">
              <w:rPr>
                <w:rFonts w:ascii="Times New Roman"/>
                <w:color w:val="000000" w:themeColor="text1"/>
                <w:sz w:val="21"/>
                <w:szCs w:val="21"/>
              </w:rPr>
              <w:t>、</w:t>
            </w:r>
            <w:r w:rsidRPr="008A2411">
              <w:rPr>
                <w:rFonts w:ascii="Times New Roman"/>
                <w:color w:val="000000" w:themeColor="text1"/>
                <w:sz w:val="21"/>
                <w:szCs w:val="21"/>
              </w:rPr>
              <w:t>SO</w:t>
            </w:r>
            <w:r w:rsidRPr="008A2411">
              <w:rPr>
                <w:rFonts w:ascii="Times New Roman"/>
                <w:color w:val="000000" w:themeColor="text1"/>
                <w:sz w:val="21"/>
                <w:szCs w:val="21"/>
                <w:vertAlign w:val="subscript"/>
              </w:rPr>
              <w:t>2</w:t>
            </w:r>
          </w:p>
        </w:tc>
        <w:tc>
          <w:tcPr>
            <w:tcW w:w="2216" w:type="pct"/>
            <w:vAlign w:val="center"/>
          </w:tcPr>
          <w:p w14:paraId="4DBC0050"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color w:val="000000" w:themeColor="text1"/>
              </w:rPr>
              <w:t>导热油炉废气排放情况为：</w:t>
            </w:r>
            <w:r w:rsidRPr="008A2411">
              <w:rPr>
                <w:rFonts w:ascii="Times New Roman" w:hAnsi="Times New Roman"/>
                <w:color w:val="000000" w:themeColor="text1"/>
              </w:rPr>
              <w:t>NO</w:t>
            </w:r>
            <w:r w:rsidRPr="008A2411">
              <w:rPr>
                <w:rFonts w:ascii="Times New Roman" w:hAnsi="Times New Roman"/>
                <w:color w:val="000000" w:themeColor="text1"/>
                <w:vertAlign w:val="subscript"/>
              </w:rPr>
              <w:t>x</w:t>
            </w:r>
            <w:r w:rsidRPr="008A2411">
              <w:rPr>
                <w:rFonts w:ascii="Times New Roman" w:hAnsi="Times New Roman"/>
                <w:color w:val="000000" w:themeColor="text1"/>
                <w:vertAlign w:val="subscript"/>
              </w:rPr>
              <w:t>：</w:t>
            </w:r>
            <w:r w:rsidRPr="008A2411">
              <w:rPr>
                <w:rFonts w:ascii="Times New Roman" w:hAnsi="Times New Roman"/>
                <w:color w:val="000000" w:themeColor="text1"/>
              </w:rPr>
              <w:t>0.4879kg/h</w:t>
            </w:r>
            <w:r w:rsidRPr="008A2411">
              <w:rPr>
                <w:rFonts w:ascii="Times New Roman" w:hAnsi="Times New Roman"/>
                <w:color w:val="000000" w:themeColor="text1"/>
              </w:rPr>
              <w:t>；</w:t>
            </w:r>
            <w:r w:rsidRPr="008A2411">
              <w:rPr>
                <w:rFonts w:ascii="Times New Roman" w:hAnsi="Times New Roman"/>
                <w:color w:val="000000" w:themeColor="text1"/>
              </w:rPr>
              <w:t>SO</w:t>
            </w:r>
            <w:r w:rsidRPr="008A2411">
              <w:rPr>
                <w:rFonts w:ascii="Times New Roman" w:hAnsi="Times New Roman"/>
                <w:color w:val="000000" w:themeColor="text1"/>
                <w:vertAlign w:val="subscript"/>
              </w:rPr>
              <w:t>2</w:t>
            </w:r>
            <w:r w:rsidRPr="008A2411">
              <w:rPr>
                <w:rFonts w:ascii="Times New Roman" w:hAnsi="Times New Roman"/>
                <w:color w:val="000000" w:themeColor="text1"/>
              </w:rPr>
              <w:t>：</w:t>
            </w:r>
            <w:r w:rsidRPr="008A2411">
              <w:rPr>
                <w:rFonts w:ascii="Times New Roman" w:hAnsi="Times New Roman"/>
                <w:color w:val="000000" w:themeColor="text1"/>
              </w:rPr>
              <w:t>0.0102kg/h</w:t>
            </w:r>
            <w:r w:rsidRPr="008A2411">
              <w:rPr>
                <w:rFonts w:ascii="Times New Roman" w:hAnsi="Times New Roman"/>
                <w:color w:val="000000" w:themeColor="text1"/>
              </w:rPr>
              <w:t>，经</w:t>
            </w:r>
            <w:r w:rsidRPr="008A2411">
              <w:rPr>
                <w:rFonts w:ascii="Times New Roman" w:hAnsi="Times New Roman"/>
                <w:color w:val="000000" w:themeColor="text1"/>
              </w:rPr>
              <w:t>1</w:t>
            </w:r>
            <w:r w:rsidRPr="008A2411">
              <w:rPr>
                <w:rFonts w:ascii="Times New Roman" w:hAnsi="Times New Roman"/>
                <w:color w:val="000000" w:themeColor="text1"/>
              </w:rPr>
              <w:t>根直径</w:t>
            </w:r>
            <w:r w:rsidRPr="008A2411">
              <w:rPr>
                <w:rFonts w:ascii="Times New Roman" w:hAnsi="Times New Roman"/>
                <w:color w:val="000000" w:themeColor="text1"/>
              </w:rPr>
              <w:t>0.6m</w:t>
            </w:r>
            <w:r w:rsidRPr="008A2411">
              <w:rPr>
                <w:rFonts w:ascii="Times New Roman" w:hAnsi="Times New Roman"/>
                <w:color w:val="000000" w:themeColor="text1"/>
              </w:rPr>
              <w:t>，高度</w:t>
            </w:r>
            <w:r w:rsidRPr="008A2411">
              <w:rPr>
                <w:rFonts w:ascii="Times New Roman" w:hAnsi="Times New Roman"/>
                <w:color w:val="000000" w:themeColor="text1"/>
              </w:rPr>
              <w:t>15m</w:t>
            </w:r>
            <w:r w:rsidRPr="008A2411">
              <w:rPr>
                <w:rFonts w:ascii="Times New Roman" w:hAnsi="Times New Roman"/>
                <w:color w:val="000000" w:themeColor="text1"/>
              </w:rPr>
              <w:t>排气筒排放</w:t>
            </w:r>
          </w:p>
        </w:tc>
      </w:tr>
      <w:tr w:rsidR="008A2411" w:rsidRPr="008A2411" w14:paraId="402DAC3D" w14:textId="77777777">
        <w:trPr>
          <w:trHeight w:val="460"/>
          <w:jc w:val="center"/>
        </w:trPr>
        <w:tc>
          <w:tcPr>
            <w:tcW w:w="563" w:type="pct"/>
            <w:vMerge/>
            <w:tcBorders>
              <w:bottom w:val="single" w:sz="4" w:space="0" w:color="auto"/>
            </w:tcBorders>
            <w:vAlign w:val="center"/>
          </w:tcPr>
          <w:p w14:paraId="7A6F4CBD" w14:textId="77777777" w:rsidR="00B0005F" w:rsidRPr="008A2411" w:rsidRDefault="00B0005F">
            <w:pPr>
              <w:adjustRightInd w:val="0"/>
              <w:snapToGrid w:val="0"/>
              <w:spacing w:line="320" w:lineRule="exact"/>
              <w:jc w:val="center"/>
              <w:rPr>
                <w:rFonts w:ascii="Times New Roman"/>
                <w:color w:val="000000" w:themeColor="text1"/>
                <w:sz w:val="21"/>
                <w:szCs w:val="21"/>
              </w:rPr>
            </w:pPr>
          </w:p>
        </w:tc>
        <w:tc>
          <w:tcPr>
            <w:tcW w:w="475" w:type="pct"/>
            <w:vMerge/>
            <w:tcBorders>
              <w:bottom w:val="single" w:sz="4" w:space="0" w:color="auto"/>
            </w:tcBorders>
            <w:vAlign w:val="center"/>
          </w:tcPr>
          <w:p w14:paraId="1ADFE37A" w14:textId="77777777" w:rsidR="00B0005F" w:rsidRPr="008A2411" w:rsidRDefault="00B0005F">
            <w:pPr>
              <w:widowControl/>
              <w:adjustRightInd w:val="0"/>
              <w:snapToGrid w:val="0"/>
              <w:spacing w:line="320" w:lineRule="exact"/>
              <w:jc w:val="center"/>
              <w:rPr>
                <w:rFonts w:ascii="Times New Roman"/>
                <w:color w:val="000000" w:themeColor="text1"/>
                <w:sz w:val="21"/>
                <w:szCs w:val="21"/>
              </w:rPr>
            </w:pPr>
          </w:p>
        </w:tc>
        <w:tc>
          <w:tcPr>
            <w:tcW w:w="941" w:type="pct"/>
            <w:tcBorders>
              <w:bottom w:val="single" w:sz="4" w:space="0" w:color="auto"/>
            </w:tcBorders>
            <w:vAlign w:val="center"/>
          </w:tcPr>
          <w:p w14:paraId="1A2679B1" w14:textId="77777777" w:rsidR="00B0005F" w:rsidRPr="008A2411" w:rsidRDefault="00000000">
            <w:pPr>
              <w:widowControl/>
              <w:adjustRightInd w:val="0"/>
              <w:snapToGrid w:val="0"/>
              <w:spacing w:line="320" w:lineRule="exact"/>
              <w:jc w:val="center"/>
              <w:rPr>
                <w:rFonts w:ascii="Times New Roman"/>
                <w:color w:val="000000" w:themeColor="text1"/>
                <w:sz w:val="21"/>
                <w:szCs w:val="21"/>
              </w:rPr>
            </w:pPr>
            <w:r w:rsidRPr="008A2411">
              <w:rPr>
                <w:rFonts w:ascii="Times New Roman"/>
                <w:color w:val="000000" w:themeColor="text1"/>
                <w:sz w:val="21"/>
                <w:szCs w:val="21"/>
              </w:rPr>
              <w:t>火炬燃烧废气</w:t>
            </w:r>
          </w:p>
        </w:tc>
        <w:tc>
          <w:tcPr>
            <w:tcW w:w="805" w:type="pct"/>
            <w:vAlign w:val="center"/>
          </w:tcPr>
          <w:p w14:paraId="511741E2" w14:textId="77777777" w:rsidR="00B0005F" w:rsidRPr="008A2411" w:rsidRDefault="00000000">
            <w:pPr>
              <w:adjustRightInd w:val="0"/>
              <w:snapToGrid w:val="0"/>
              <w:spacing w:line="320" w:lineRule="exact"/>
              <w:jc w:val="center"/>
              <w:rPr>
                <w:rFonts w:ascii="Times New Roman"/>
                <w:color w:val="000000" w:themeColor="text1"/>
                <w:sz w:val="21"/>
                <w:szCs w:val="21"/>
              </w:rPr>
            </w:pPr>
            <w:r w:rsidRPr="008A2411">
              <w:rPr>
                <w:rFonts w:ascii="Times New Roman"/>
                <w:color w:val="000000" w:themeColor="text1"/>
                <w:sz w:val="21"/>
                <w:szCs w:val="21"/>
              </w:rPr>
              <w:t>NO</w:t>
            </w:r>
            <w:r w:rsidRPr="008A2411">
              <w:rPr>
                <w:rFonts w:ascii="Times New Roman"/>
                <w:color w:val="000000" w:themeColor="text1"/>
                <w:sz w:val="21"/>
                <w:szCs w:val="21"/>
                <w:vertAlign w:val="subscript"/>
              </w:rPr>
              <w:t>x</w:t>
            </w:r>
            <w:r w:rsidRPr="008A2411">
              <w:rPr>
                <w:rFonts w:ascii="Times New Roman"/>
                <w:color w:val="000000" w:themeColor="text1"/>
                <w:sz w:val="21"/>
                <w:szCs w:val="21"/>
              </w:rPr>
              <w:t>、</w:t>
            </w:r>
            <w:r w:rsidRPr="008A2411">
              <w:rPr>
                <w:rFonts w:ascii="Times New Roman"/>
                <w:color w:val="000000" w:themeColor="text1"/>
                <w:sz w:val="21"/>
                <w:szCs w:val="21"/>
              </w:rPr>
              <w:t>SO</w:t>
            </w:r>
            <w:r w:rsidRPr="008A2411">
              <w:rPr>
                <w:rFonts w:ascii="Times New Roman"/>
                <w:color w:val="000000" w:themeColor="text1"/>
                <w:sz w:val="21"/>
                <w:szCs w:val="21"/>
                <w:vertAlign w:val="subscript"/>
              </w:rPr>
              <w:t>2</w:t>
            </w:r>
          </w:p>
        </w:tc>
        <w:tc>
          <w:tcPr>
            <w:tcW w:w="2216" w:type="pct"/>
            <w:vAlign w:val="center"/>
          </w:tcPr>
          <w:p w14:paraId="044758FE" w14:textId="77777777" w:rsidR="00B0005F" w:rsidRPr="008A2411" w:rsidRDefault="00000000">
            <w:pPr>
              <w:adjustRightInd w:val="0"/>
              <w:snapToGrid w:val="0"/>
              <w:spacing w:line="320" w:lineRule="exact"/>
              <w:jc w:val="left"/>
              <w:rPr>
                <w:rFonts w:ascii="Times New Roman"/>
                <w:bCs/>
                <w:color w:val="000000" w:themeColor="text1"/>
                <w:sz w:val="21"/>
                <w:szCs w:val="21"/>
              </w:rPr>
            </w:pPr>
            <w:r w:rsidRPr="008A2411">
              <w:rPr>
                <w:rFonts w:ascii="Times New Roman"/>
                <w:bCs/>
                <w:color w:val="000000" w:themeColor="text1"/>
                <w:sz w:val="21"/>
                <w:szCs w:val="21"/>
              </w:rPr>
              <w:t>废气排放量为：</w:t>
            </w:r>
            <w:r w:rsidRPr="008A2411">
              <w:rPr>
                <w:rFonts w:ascii="Times New Roman"/>
                <w:bCs/>
                <w:color w:val="000000" w:themeColor="text1"/>
                <w:sz w:val="21"/>
                <w:szCs w:val="21"/>
              </w:rPr>
              <w:t>NO</w:t>
            </w:r>
            <w:r w:rsidRPr="008A2411">
              <w:rPr>
                <w:rFonts w:ascii="Times New Roman"/>
                <w:bCs/>
                <w:color w:val="000000" w:themeColor="text1"/>
                <w:sz w:val="21"/>
                <w:szCs w:val="21"/>
                <w:vertAlign w:val="subscript"/>
              </w:rPr>
              <w:t>x</w:t>
            </w:r>
            <w:r w:rsidRPr="008A2411">
              <w:rPr>
                <w:rFonts w:ascii="Times New Roman"/>
                <w:bCs/>
                <w:color w:val="000000" w:themeColor="text1"/>
                <w:sz w:val="21"/>
                <w:szCs w:val="21"/>
              </w:rPr>
              <w:t>：</w:t>
            </w:r>
            <w:r w:rsidRPr="008A2411">
              <w:rPr>
                <w:rFonts w:ascii="Times New Roman"/>
                <w:bCs/>
                <w:color w:val="000000" w:themeColor="text1"/>
                <w:sz w:val="21"/>
                <w:szCs w:val="21"/>
              </w:rPr>
              <w:t>0.00635</w:t>
            </w:r>
            <w:r w:rsidRPr="008A2411">
              <w:rPr>
                <w:rFonts w:ascii="Times New Roman"/>
                <w:color w:val="000000" w:themeColor="text1"/>
                <w:sz w:val="21"/>
                <w:szCs w:val="21"/>
              </w:rPr>
              <w:t xml:space="preserve"> kg/h</w:t>
            </w:r>
            <w:r w:rsidRPr="008A2411">
              <w:rPr>
                <w:rFonts w:ascii="Times New Roman"/>
                <w:color w:val="000000" w:themeColor="text1"/>
                <w:sz w:val="21"/>
                <w:szCs w:val="21"/>
              </w:rPr>
              <w:t>、</w:t>
            </w:r>
            <w:r w:rsidRPr="008A2411">
              <w:rPr>
                <w:rFonts w:ascii="Times New Roman"/>
                <w:bCs/>
                <w:color w:val="000000" w:themeColor="text1"/>
                <w:sz w:val="21"/>
                <w:szCs w:val="21"/>
              </w:rPr>
              <w:t>SO</w:t>
            </w:r>
            <w:r w:rsidRPr="008A2411">
              <w:rPr>
                <w:rFonts w:ascii="Times New Roman"/>
                <w:bCs/>
                <w:color w:val="000000" w:themeColor="text1"/>
                <w:sz w:val="21"/>
                <w:szCs w:val="21"/>
                <w:vertAlign w:val="subscript"/>
              </w:rPr>
              <w:t>2</w:t>
            </w:r>
            <w:r w:rsidRPr="008A2411">
              <w:rPr>
                <w:rFonts w:ascii="Times New Roman"/>
                <w:bCs/>
                <w:color w:val="000000" w:themeColor="text1"/>
                <w:sz w:val="21"/>
                <w:szCs w:val="21"/>
              </w:rPr>
              <w:t>：</w:t>
            </w:r>
            <w:r w:rsidRPr="008A2411">
              <w:rPr>
                <w:rFonts w:ascii="Times New Roman"/>
                <w:bCs/>
                <w:color w:val="000000" w:themeColor="text1"/>
                <w:sz w:val="21"/>
                <w:szCs w:val="21"/>
              </w:rPr>
              <w:t>0.0006</w:t>
            </w:r>
            <w:r w:rsidRPr="008A2411">
              <w:rPr>
                <w:rFonts w:ascii="Times New Roman"/>
                <w:color w:val="000000" w:themeColor="text1"/>
                <w:sz w:val="21"/>
                <w:szCs w:val="21"/>
              </w:rPr>
              <w:t>kg/h</w:t>
            </w:r>
            <w:r w:rsidRPr="008A2411">
              <w:rPr>
                <w:rFonts w:ascii="Times New Roman"/>
                <w:color w:val="000000" w:themeColor="text1"/>
                <w:sz w:val="21"/>
                <w:szCs w:val="21"/>
              </w:rPr>
              <w:t>，经</w:t>
            </w:r>
            <w:r w:rsidRPr="008A2411">
              <w:rPr>
                <w:rFonts w:ascii="Times New Roman"/>
                <w:color w:val="000000" w:themeColor="text1"/>
                <w:sz w:val="21"/>
                <w:szCs w:val="21"/>
              </w:rPr>
              <w:t>30m</w:t>
            </w:r>
            <w:r w:rsidRPr="008A2411">
              <w:rPr>
                <w:rFonts w:ascii="Times New Roman"/>
                <w:color w:val="000000" w:themeColor="text1"/>
                <w:sz w:val="21"/>
                <w:szCs w:val="21"/>
              </w:rPr>
              <w:t>高火炬烟囱直接排放</w:t>
            </w:r>
          </w:p>
        </w:tc>
      </w:tr>
      <w:tr w:rsidR="008A2411" w:rsidRPr="008A2411" w14:paraId="1DCEFE06" w14:textId="77777777">
        <w:trPr>
          <w:trHeight w:val="334"/>
          <w:jc w:val="center"/>
        </w:trPr>
        <w:tc>
          <w:tcPr>
            <w:tcW w:w="563" w:type="pct"/>
            <w:vMerge w:val="restart"/>
            <w:vAlign w:val="center"/>
          </w:tcPr>
          <w:p w14:paraId="33358132" w14:textId="77777777" w:rsidR="00B0005F" w:rsidRPr="008A2411" w:rsidRDefault="00000000">
            <w:pPr>
              <w:adjustRightInd w:val="0"/>
              <w:snapToGrid w:val="0"/>
              <w:spacing w:line="320" w:lineRule="exact"/>
              <w:jc w:val="center"/>
              <w:rPr>
                <w:rFonts w:ascii="Times New Roman"/>
                <w:color w:val="000000" w:themeColor="text1"/>
                <w:sz w:val="21"/>
                <w:szCs w:val="21"/>
              </w:rPr>
            </w:pPr>
            <w:r w:rsidRPr="008A2411">
              <w:rPr>
                <w:rFonts w:ascii="Times New Roman"/>
                <w:color w:val="000000" w:themeColor="text1"/>
                <w:sz w:val="21"/>
                <w:szCs w:val="21"/>
              </w:rPr>
              <w:t>水污染物</w:t>
            </w:r>
          </w:p>
        </w:tc>
        <w:tc>
          <w:tcPr>
            <w:tcW w:w="475" w:type="pct"/>
            <w:vMerge w:val="restart"/>
            <w:vAlign w:val="center"/>
          </w:tcPr>
          <w:p w14:paraId="26AA1742" w14:textId="77777777" w:rsidR="00B0005F" w:rsidRPr="008A2411" w:rsidRDefault="00000000">
            <w:pPr>
              <w:widowControl/>
              <w:adjustRightInd w:val="0"/>
              <w:snapToGrid w:val="0"/>
              <w:spacing w:line="320" w:lineRule="exact"/>
              <w:jc w:val="center"/>
              <w:rPr>
                <w:rFonts w:ascii="Times New Roman"/>
                <w:color w:val="000000" w:themeColor="text1"/>
                <w:sz w:val="21"/>
                <w:szCs w:val="21"/>
              </w:rPr>
            </w:pPr>
            <w:r w:rsidRPr="008A2411">
              <w:rPr>
                <w:rFonts w:ascii="Times New Roman"/>
                <w:color w:val="000000" w:themeColor="text1"/>
                <w:sz w:val="21"/>
                <w:szCs w:val="21"/>
              </w:rPr>
              <w:t>施工期</w:t>
            </w:r>
          </w:p>
        </w:tc>
        <w:tc>
          <w:tcPr>
            <w:tcW w:w="941" w:type="pct"/>
            <w:vAlign w:val="center"/>
          </w:tcPr>
          <w:p w14:paraId="664B0C60" w14:textId="77777777" w:rsidR="00B0005F" w:rsidRPr="008A2411" w:rsidRDefault="00000000">
            <w:pPr>
              <w:adjustRightInd w:val="0"/>
              <w:snapToGrid w:val="0"/>
              <w:spacing w:line="320" w:lineRule="exact"/>
              <w:jc w:val="center"/>
              <w:rPr>
                <w:rFonts w:ascii="Times New Roman"/>
                <w:color w:val="000000" w:themeColor="text1"/>
                <w:sz w:val="21"/>
                <w:szCs w:val="21"/>
              </w:rPr>
            </w:pPr>
            <w:r w:rsidRPr="008A2411">
              <w:rPr>
                <w:rFonts w:ascii="Times New Roman"/>
                <w:color w:val="000000" w:themeColor="text1"/>
                <w:sz w:val="21"/>
                <w:szCs w:val="21"/>
              </w:rPr>
              <w:t>施工作业废水</w:t>
            </w:r>
          </w:p>
        </w:tc>
        <w:tc>
          <w:tcPr>
            <w:tcW w:w="805" w:type="pct"/>
            <w:vAlign w:val="center"/>
          </w:tcPr>
          <w:p w14:paraId="6826B110" w14:textId="77777777" w:rsidR="00B0005F" w:rsidRPr="008A2411" w:rsidRDefault="00000000">
            <w:pPr>
              <w:adjustRightInd w:val="0"/>
              <w:snapToGrid w:val="0"/>
              <w:spacing w:line="320" w:lineRule="exact"/>
              <w:jc w:val="center"/>
              <w:rPr>
                <w:rFonts w:ascii="Times New Roman"/>
                <w:color w:val="000000" w:themeColor="text1"/>
                <w:sz w:val="21"/>
                <w:szCs w:val="21"/>
              </w:rPr>
            </w:pPr>
            <w:r w:rsidRPr="008A2411">
              <w:rPr>
                <w:rFonts w:ascii="Times New Roman"/>
                <w:color w:val="000000" w:themeColor="text1"/>
                <w:sz w:val="21"/>
                <w:szCs w:val="21"/>
              </w:rPr>
              <w:t>SS</w:t>
            </w:r>
          </w:p>
        </w:tc>
        <w:tc>
          <w:tcPr>
            <w:tcW w:w="2216" w:type="pct"/>
            <w:vAlign w:val="center"/>
          </w:tcPr>
          <w:p w14:paraId="2F63AC1F" w14:textId="77777777" w:rsidR="00B0005F" w:rsidRPr="008A2411" w:rsidRDefault="00000000">
            <w:pPr>
              <w:adjustRightInd w:val="0"/>
              <w:snapToGrid w:val="0"/>
              <w:spacing w:line="320" w:lineRule="exact"/>
              <w:jc w:val="left"/>
              <w:rPr>
                <w:rFonts w:ascii="Times New Roman"/>
                <w:color w:val="000000" w:themeColor="text1"/>
                <w:sz w:val="21"/>
                <w:szCs w:val="21"/>
              </w:rPr>
            </w:pPr>
            <w:r w:rsidRPr="008A2411">
              <w:rPr>
                <w:rFonts w:ascii="Times New Roman"/>
                <w:color w:val="000000" w:themeColor="text1"/>
                <w:sz w:val="21"/>
                <w:szCs w:val="21"/>
              </w:rPr>
              <w:t>经隔油沉淀处理后，回用于场地</w:t>
            </w:r>
            <w:proofErr w:type="gramStart"/>
            <w:r w:rsidRPr="008A2411">
              <w:rPr>
                <w:rFonts w:ascii="Times New Roman"/>
                <w:color w:val="000000" w:themeColor="text1"/>
                <w:sz w:val="21"/>
                <w:szCs w:val="21"/>
              </w:rPr>
              <w:t>洒水抑尘</w:t>
            </w:r>
            <w:proofErr w:type="gramEnd"/>
          </w:p>
        </w:tc>
      </w:tr>
      <w:tr w:rsidR="008A2411" w:rsidRPr="008A2411" w14:paraId="2DB9F3CF" w14:textId="77777777">
        <w:trPr>
          <w:trHeight w:val="684"/>
          <w:jc w:val="center"/>
        </w:trPr>
        <w:tc>
          <w:tcPr>
            <w:tcW w:w="563" w:type="pct"/>
            <w:vMerge/>
            <w:vAlign w:val="center"/>
          </w:tcPr>
          <w:p w14:paraId="28F40113" w14:textId="77777777" w:rsidR="00B0005F" w:rsidRPr="008A2411" w:rsidRDefault="00B0005F">
            <w:pPr>
              <w:adjustRightInd w:val="0"/>
              <w:snapToGrid w:val="0"/>
              <w:spacing w:line="320" w:lineRule="exact"/>
              <w:ind w:firstLine="420"/>
              <w:jc w:val="center"/>
              <w:rPr>
                <w:rFonts w:ascii="Times New Roman"/>
                <w:color w:val="000000" w:themeColor="text1"/>
                <w:sz w:val="21"/>
                <w:szCs w:val="21"/>
              </w:rPr>
            </w:pPr>
          </w:p>
        </w:tc>
        <w:tc>
          <w:tcPr>
            <w:tcW w:w="475" w:type="pct"/>
            <w:vMerge/>
            <w:vAlign w:val="center"/>
          </w:tcPr>
          <w:p w14:paraId="33DA0806" w14:textId="77777777" w:rsidR="00B0005F" w:rsidRPr="008A2411" w:rsidRDefault="00B0005F">
            <w:pPr>
              <w:widowControl/>
              <w:adjustRightInd w:val="0"/>
              <w:snapToGrid w:val="0"/>
              <w:spacing w:line="320" w:lineRule="exact"/>
              <w:jc w:val="center"/>
              <w:rPr>
                <w:rFonts w:ascii="Times New Roman"/>
                <w:color w:val="000000" w:themeColor="text1"/>
                <w:sz w:val="21"/>
                <w:szCs w:val="21"/>
              </w:rPr>
            </w:pPr>
          </w:p>
        </w:tc>
        <w:tc>
          <w:tcPr>
            <w:tcW w:w="941" w:type="pct"/>
            <w:vAlign w:val="center"/>
          </w:tcPr>
          <w:p w14:paraId="4E72AB04" w14:textId="77777777" w:rsidR="00B0005F" w:rsidRPr="008A2411" w:rsidRDefault="00000000">
            <w:pPr>
              <w:adjustRightInd w:val="0"/>
              <w:snapToGrid w:val="0"/>
              <w:spacing w:line="320" w:lineRule="exact"/>
              <w:jc w:val="center"/>
              <w:rPr>
                <w:rFonts w:ascii="Times New Roman"/>
                <w:color w:val="000000" w:themeColor="text1"/>
                <w:sz w:val="21"/>
                <w:szCs w:val="21"/>
              </w:rPr>
            </w:pPr>
            <w:r w:rsidRPr="008A2411">
              <w:rPr>
                <w:rFonts w:ascii="Times New Roman"/>
                <w:color w:val="000000" w:themeColor="text1"/>
                <w:sz w:val="21"/>
                <w:szCs w:val="21"/>
              </w:rPr>
              <w:t>生活污水</w:t>
            </w:r>
          </w:p>
        </w:tc>
        <w:tc>
          <w:tcPr>
            <w:tcW w:w="805" w:type="pct"/>
            <w:vAlign w:val="center"/>
          </w:tcPr>
          <w:p w14:paraId="20179451" w14:textId="77777777" w:rsidR="00B0005F" w:rsidRPr="008A2411" w:rsidRDefault="00000000">
            <w:pPr>
              <w:adjustRightInd w:val="0"/>
              <w:snapToGrid w:val="0"/>
              <w:spacing w:line="320" w:lineRule="exact"/>
              <w:jc w:val="center"/>
              <w:rPr>
                <w:rFonts w:ascii="Times New Roman"/>
                <w:color w:val="000000" w:themeColor="text1"/>
                <w:sz w:val="21"/>
                <w:szCs w:val="21"/>
              </w:rPr>
            </w:pPr>
            <w:r w:rsidRPr="008A2411">
              <w:rPr>
                <w:rFonts w:ascii="Times New Roman"/>
                <w:color w:val="000000" w:themeColor="text1"/>
                <w:sz w:val="21"/>
                <w:szCs w:val="21"/>
              </w:rPr>
              <w:t>COD</w:t>
            </w:r>
            <w:r w:rsidRPr="008A2411">
              <w:rPr>
                <w:rFonts w:ascii="Times New Roman"/>
                <w:color w:val="000000" w:themeColor="text1"/>
                <w:sz w:val="21"/>
                <w:szCs w:val="21"/>
              </w:rPr>
              <w:t>、</w:t>
            </w:r>
            <w:r w:rsidRPr="008A2411">
              <w:rPr>
                <w:rFonts w:ascii="Times New Roman"/>
                <w:color w:val="000000" w:themeColor="text1"/>
                <w:sz w:val="21"/>
                <w:szCs w:val="21"/>
              </w:rPr>
              <w:t>BOD</w:t>
            </w:r>
            <w:r w:rsidRPr="008A2411">
              <w:rPr>
                <w:rFonts w:ascii="Times New Roman"/>
                <w:color w:val="000000" w:themeColor="text1"/>
                <w:sz w:val="21"/>
                <w:szCs w:val="21"/>
                <w:vertAlign w:val="subscript"/>
              </w:rPr>
              <w:t>5</w:t>
            </w:r>
            <w:r w:rsidRPr="008A2411">
              <w:rPr>
                <w:rFonts w:ascii="Times New Roman"/>
                <w:color w:val="000000" w:themeColor="text1"/>
                <w:sz w:val="21"/>
                <w:szCs w:val="21"/>
              </w:rPr>
              <w:t>、</w:t>
            </w:r>
            <w:r w:rsidRPr="008A2411">
              <w:rPr>
                <w:rFonts w:ascii="Times New Roman"/>
                <w:color w:val="000000" w:themeColor="text1"/>
                <w:sz w:val="21"/>
                <w:szCs w:val="21"/>
              </w:rPr>
              <w:t>NH</w:t>
            </w:r>
            <w:r w:rsidRPr="008A2411">
              <w:rPr>
                <w:rFonts w:ascii="Times New Roman"/>
                <w:color w:val="000000" w:themeColor="text1"/>
                <w:sz w:val="21"/>
                <w:szCs w:val="21"/>
                <w:vertAlign w:val="subscript"/>
              </w:rPr>
              <w:t>3</w:t>
            </w:r>
            <w:r w:rsidRPr="008A2411">
              <w:rPr>
                <w:rFonts w:ascii="Times New Roman"/>
                <w:color w:val="000000" w:themeColor="text1"/>
                <w:sz w:val="21"/>
                <w:szCs w:val="21"/>
              </w:rPr>
              <w:t>-N</w:t>
            </w:r>
          </w:p>
        </w:tc>
        <w:tc>
          <w:tcPr>
            <w:tcW w:w="2216" w:type="pct"/>
            <w:vAlign w:val="center"/>
          </w:tcPr>
          <w:p w14:paraId="43A1B56D" w14:textId="77777777" w:rsidR="00B0005F" w:rsidRPr="008A2411" w:rsidRDefault="00000000">
            <w:pPr>
              <w:adjustRightInd w:val="0"/>
              <w:snapToGrid w:val="0"/>
              <w:spacing w:line="320" w:lineRule="exact"/>
              <w:jc w:val="center"/>
              <w:rPr>
                <w:rFonts w:ascii="Times New Roman"/>
                <w:color w:val="000000" w:themeColor="text1"/>
                <w:sz w:val="21"/>
                <w:szCs w:val="21"/>
              </w:rPr>
            </w:pPr>
            <w:r w:rsidRPr="008A2411">
              <w:rPr>
                <w:rFonts w:ascii="Times New Roman"/>
                <w:color w:val="000000" w:themeColor="text1"/>
                <w:sz w:val="21"/>
                <w:szCs w:val="21"/>
              </w:rPr>
              <w:t>依托当地生活设施收集处理。</w:t>
            </w:r>
          </w:p>
        </w:tc>
      </w:tr>
      <w:tr w:rsidR="008A2411" w:rsidRPr="008A2411" w14:paraId="717593E4" w14:textId="77777777">
        <w:trPr>
          <w:trHeight w:val="625"/>
          <w:jc w:val="center"/>
        </w:trPr>
        <w:tc>
          <w:tcPr>
            <w:tcW w:w="563" w:type="pct"/>
            <w:vMerge/>
            <w:vAlign w:val="center"/>
          </w:tcPr>
          <w:p w14:paraId="51CB248A" w14:textId="77777777" w:rsidR="00B0005F" w:rsidRPr="008A2411" w:rsidRDefault="00B0005F">
            <w:pPr>
              <w:adjustRightInd w:val="0"/>
              <w:snapToGrid w:val="0"/>
              <w:spacing w:line="320" w:lineRule="exact"/>
              <w:jc w:val="center"/>
              <w:rPr>
                <w:rFonts w:ascii="Times New Roman"/>
                <w:color w:val="000000" w:themeColor="text1"/>
                <w:sz w:val="21"/>
                <w:szCs w:val="21"/>
              </w:rPr>
            </w:pPr>
          </w:p>
        </w:tc>
        <w:tc>
          <w:tcPr>
            <w:tcW w:w="475" w:type="pct"/>
            <w:vMerge w:val="restart"/>
            <w:vAlign w:val="center"/>
          </w:tcPr>
          <w:p w14:paraId="7945A1E3" w14:textId="77777777" w:rsidR="00B0005F" w:rsidRPr="008A2411" w:rsidRDefault="00000000">
            <w:pPr>
              <w:adjustRightInd w:val="0"/>
              <w:snapToGrid w:val="0"/>
              <w:spacing w:line="320" w:lineRule="exact"/>
              <w:jc w:val="center"/>
              <w:rPr>
                <w:rFonts w:ascii="Times New Roman"/>
                <w:color w:val="000000" w:themeColor="text1"/>
                <w:sz w:val="21"/>
                <w:szCs w:val="21"/>
              </w:rPr>
            </w:pPr>
            <w:r w:rsidRPr="008A2411">
              <w:rPr>
                <w:rFonts w:ascii="Times New Roman"/>
                <w:color w:val="000000" w:themeColor="text1"/>
                <w:sz w:val="21"/>
                <w:szCs w:val="21"/>
              </w:rPr>
              <w:t>运营期</w:t>
            </w:r>
          </w:p>
        </w:tc>
        <w:tc>
          <w:tcPr>
            <w:tcW w:w="941" w:type="pct"/>
            <w:vAlign w:val="center"/>
          </w:tcPr>
          <w:p w14:paraId="7F6086E9"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进口分离器废水</w:t>
            </w:r>
          </w:p>
        </w:tc>
        <w:tc>
          <w:tcPr>
            <w:tcW w:w="805" w:type="pct"/>
            <w:vAlign w:val="center"/>
          </w:tcPr>
          <w:p w14:paraId="352485D1" w14:textId="77777777" w:rsidR="00B0005F" w:rsidRPr="008A2411" w:rsidRDefault="00000000">
            <w:pPr>
              <w:adjustRightInd w:val="0"/>
              <w:snapToGrid w:val="0"/>
              <w:spacing w:line="320" w:lineRule="exact"/>
              <w:jc w:val="left"/>
              <w:rPr>
                <w:rFonts w:ascii="Times New Roman"/>
                <w:color w:val="000000" w:themeColor="text1"/>
                <w:sz w:val="21"/>
                <w:szCs w:val="21"/>
              </w:rPr>
            </w:pPr>
            <w:r w:rsidRPr="008A2411">
              <w:rPr>
                <w:rFonts w:ascii="Times New Roman"/>
                <w:color w:val="000000" w:themeColor="text1"/>
                <w:sz w:val="21"/>
                <w:szCs w:val="21"/>
              </w:rPr>
              <w:t>COD</w:t>
            </w:r>
            <w:r w:rsidRPr="008A2411">
              <w:rPr>
                <w:rFonts w:ascii="Times New Roman"/>
                <w:color w:val="000000" w:themeColor="text1"/>
                <w:sz w:val="21"/>
                <w:szCs w:val="21"/>
                <w:vertAlign w:val="subscript"/>
              </w:rPr>
              <w:t>Cr</w:t>
            </w:r>
            <w:r w:rsidRPr="008A2411">
              <w:rPr>
                <w:rFonts w:ascii="Times New Roman"/>
                <w:color w:val="000000" w:themeColor="text1"/>
                <w:sz w:val="21"/>
                <w:szCs w:val="21"/>
              </w:rPr>
              <w:t>、</w:t>
            </w:r>
            <w:r w:rsidRPr="008A2411">
              <w:rPr>
                <w:rFonts w:ascii="Times New Roman"/>
                <w:color w:val="000000" w:themeColor="text1"/>
                <w:sz w:val="21"/>
                <w:szCs w:val="21"/>
              </w:rPr>
              <w:t>SS</w:t>
            </w:r>
            <w:r w:rsidRPr="008A2411">
              <w:rPr>
                <w:rFonts w:ascii="Times New Roman"/>
                <w:color w:val="000000" w:themeColor="text1"/>
                <w:sz w:val="21"/>
                <w:szCs w:val="21"/>
              </w:rPr>
              <w:t>、石油类等</w:t>
            </w:r>
          </w:p>
        </w:tc>
        <w:tc>
          <w:tcPr>
            <w:tcW w:w="2216" w:type="pct"/>
            <w:vMerge w:val="restart"/>
            <w:vAlign w:val="center"/>
          </w:tcPr>
          <w:p w14:paraId="552E6F6D"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由厂区污水管网排入厂区污水处理站预处理达到《污水综合排放标准》</w:t>
            </w:r>
            <w:r w:rsidRPr="008A2411">
              <w:rPr>
                <w:rFonts w:ascii="Times New Roman"/>
                <w:color w:val="000000" w:themeColor="text1"/>
                <w:sz w:val="21"/>
                <w:szCs w:val="21"/>
              </w:rPr>
              <w:t>GB8978-1996</w:t>
            </w:r>
            <w:proofErr w:type="gramStart"/>
            <w:r w:rsidRPr="008A2411">
              <w:rPr>
                <w:rFonts w:ascii="Times New Roman"/>
                <w:color w:val="000000" w:themeColor="text1"/>
                <w:sz w:val="21"/>
                <w:szCs w:val="21"/>
              </w:rPr>
              <w:t>三</w:t>
            </w:r>
            <w:proofErr w:type="gramEnd"/>
            <w:r w:rsidRPr="008A2411">
              <w:rPr>
                <w:rFonts w:ascii="Times New Roman"/>
                <w:color w:val="000000" w:themeColor="text1"/>
                <w:sz w:val="21"/>
                <w:szCs w:val="21"/>
              </w:rPr>
              <w:t>级标准，排入园区污水处理厂</w:t>
            </w:r>
          </w:p>
        </w:tc>
      </w:tr>
      <w:tr w:rsidR="008A2411" w:rsidRPr="008A2411" w14:paraId="4AFB808A" w14:textId="77777777">
        <w:trPr>
          <w:trHeight w:val="656"/>
          <w:jc w:val="center"/>
        </w:trPr>
        <w:tc>
          <w:tcPr>
            <w:tcW w:w="563" w:type="pct"/>
            <w:vMerge/>
            <w:vAlign w:val="center"/>
          </w:tcPr>
          <w:p w14:paraId="46B7963A" w14:textId="77777777" w:rsidR="00B0005F" w:rsidRPr="008A2411" w:rsidRDefault="00B0005F">
            <w:pPr>
              <w:adjustRightInd w:val="0"/>
              <w:snapToGrid w:val="0"/>
              <w:spacing w:line="320" w:lineRule="exact"/>
              <w:jc w:val="center"/>
              <w:rPr>
                <w:rFonts w:ascii="Times New Roman"/>
                <w:color w:val="000000" w:themeColor="text1"/>
                <w:sz w:val="21"/>
                <w:szCs w:val="21"/>
              </w:rPr>
            </w:pPr>
          </w:p>
        </w:tc>
        <w:tc>
          <w:tcPr>
            <w:tcW w:w="475" w:type="pct"/>
            <w:vMerge/>
            <w:vAlign w:val="center"/>
          </w:tcPr>
          <w:p w14:paraId="0C0B076A" w14:textId="77777777" w:rsidR="00B0005F" w:rsidRPr="008A2411" w:rsidRDefault="00B0005F">
            <w:pPr>
              <w:widowControl/>
              <w:adjustRightInd w:val="0"/>
              <w:snapToGrid w:val="0"/>
              <w:spacing w:line="320" w:lineRule="exact"/>
              <w:jc w:val="center"/>
              <w:rPr>
                <w:rFonts w:ascii="Times New Roman"/>
                <w:color w:val="000000" w:themeColor="text1"/>
                <w:sz w:val="21"/>
                <w:szCs w:val="21"/>
              </w:rPr>
            </w:pPr>
          </w:p>
        </w:tc>
        <w:tc>
          <w:tcPr>
            <w:tcW w:w="941" w:type="pct"/>
            <w:vAlign w:val="center"/>
          </w:tcPr>
          <w:p w14:paraId="1E2826E8"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kern w:val="2"/>
                <w:sz w:val="21"/>
                <w:szCs w:val="21"/>
              </w:rPr>
              <w:t>脱水再生器冷却器凝液</w:t>
            </w:r>
          </w:p>
        </w:tc>
        <w:tc>
          <w:tcPr>
            <w:tcW w:w="805" w:type="pct"/>
            <w:tcBorders>
              <w:bottom w:val="single" w:sz="4" w:space="0" w:color="auto"/>
            </w:tcBorders>
            <w:vAlign w:val="center"/>
          </w:tcPr>
          <w:p w14:paraId="05694B02" w14:textId="77777777" w:rsidR="00B0005F" w:rsidRPr="008A2411" w:rsidRDefault="00000000">
            <w:pPr>
              <w:adjustRightInd w:val="0"/>
              <w:snapToGrid w:val="0"/>
              <w:spacing w:line="320" w:lineRule="exact"/>
              <w:jc w:val="left"/>
              <w:rPr>
                <w:rFonts w:ascii="Times New Roman"/>
                <w:color w:val="000000" w:themeColor="text1"/>
                <w:sz w:val="21"/>
                <w:szCs w:val="21"/>
              </w:rPr>
            </w:pPr>
            <w:r w:rsidRPr="008A2411">
              <w:rPr>
                <w:rFonts w:ascii="Times New Roman"/>
                <w:color w:val="000000" w:themeColor="text1"/>
                <w:sz w:val="21"/>
                <w:szCs w:val="21"/>
              </w:rPr>
              <w:t>石油类、</w:t>
            </w:r>
            <w:r w:rsidRPr="008A2411">
              <w:rPr>
                <w:rFonts w:ascii="Times New Roman"/>
                <w:color w:val="000000" w:themeColor="text1"/>
                <w:sz w:val="21"/>
                <w:szCs w:val="21"/>
              </w:rPr>
              <w:t>COD</w:t>
            </w:r>
            <w:r w:rsidRPr="008A2411">
              <w:rPr>
                <w:rFonts w:ascii="Times New Roman"/>
                <w:color w:val="000000" w:themeColor="text1"/>
                <w:sz w:val="21"/>
                <w:szCs w:val="21"/>
                <w:vertAlign w:val="subscript"/>
              </w:rPr>
              <w:t>Cr</w:t>
            </w:r>
            <w:r w:rsidRPr="008A2411">
              <w:rPr>
                <w:rFonts w:ascii="Times New Roman"/>
                <w:color w:val="000000" w:themeColor="text1"/>
                <w:sz w:val="21"/>
                <w:szCs w:val="21"/>
              </w:rPr>
              <w:t>等</w:t>
            </w:r>
          </w:p>
        </w:tc>
        <w:tc>
          <w:tcPr>
            <w:tcW w:w="2216" w:type="pct"/>
            <w:vMerge/>
            <w:tcBorders>
              <w:bottom w:val="single" w:sz="4" w:space="0" w:color="auto"/>
            </w:tcBorders>
            <w:vAlign w:val="center"/>
          </w:tcPr>
          <w:p w14:paraId="336F2C19" w14:textId="77777777" w:rsidR="00B0005F" w:rsidRPr="008A2411" w:rsidRDefault="00B0005F">
            <w:pPr>
              <w:adjustRightInd w:val="0"/>
              <w:snapToGrid w:val="0"/>
              <w:spacing w:line="320" w:lineRule="exact"/>
              <w:jc w:val="left"/>
              <w:rPr>
                <w:rFonts w:ascii="Times New Roman"/>
                <w:color w:val="000000" w:themeColor="text1"/>
                <w:sz w:val="21"/>
                <w:szCs w:val="21"/>
              </w:rPr>
            </w:pPr>
          </w:p>
        </w:tc>
      </w:tr>
      <w:tr w:rsidR="008A2411" w:rsidRPr="008A2411" w14:paraId="0FF42949" w14:textId="77777777">
        <w:trPr>
          <w:trHeight w:val="502"/>
          <w:jc w:val="center"/>
        </w:trPr>
        <w:tc>
          <w:tcPr>
            <w:tcW w:w="563" w:type="pct"/>
            <w:vMerge/>
            <w:vAlign w:val="center"/>
          </w:tcPr>
          <w:p w14:paraId="2D7F1696" w14:textId="77777777" w:rsidR="00B0005F" w:rsidRPr="008A2411" w:rsidRDefault="00B0005F">
            <w:pPr>
              <w:adjustRightInd w:val="0"/>
              <w:snapToGrid w:val="0"/>
              <w:spacing w:line="320" w:lineRule="exact"/>
              <w:jc w:val="center"/>
              <w:rPr>
                <w:rFonts w:ascii="Times New Roman"/>
                <w:color w:val="000000" w:themeColor="text1"/>
                <w:sz w:val="21"/>
                <w:szCs w:val="21"/>
              </w:rPr>
            </w:pPr>
          </w:p>
        </w:tc>
        <w:tc>
          <w:tcPr>
            <w:tcW w:w="475" w:type="pct"/>
            <w:vMerge/>
            <w:vAlign w:val="center"/>
          </w:tcPr>
          <w:p w14:paraId="7F9233E8" w14:textId="77777777" w:rsidR="00B0005F" w:rsidRPr="008A2411" w:rsidRDefault="00B0005F">
            <w:pPr>
              <w:widowControl/>
              <w:adjustRightInd w:val="0"/>
              <w:snapToGrid w:val="0"/>
              <w:spacing w:line="320" w:lineRule="exact"/>
              <w:jc w:val="center"/>
              <w:rPr>
                <w:rFonts w:ascii="Times New Roman"/>
                <w:color w:val="000000" w:themeColor="text1"/>
                <w:sz w:val="21"/>
                <w:szCs w:val="21"/>
              </w:rPr>
            </w:pPr>
          </w:p>
        </w:tc>
        <w:tc>
          <w:tcPr>
            <w:tcW w:w="941" w:type="pct"/>
            <w:vAlign w:val="center"/>
          </w:tcPr>
          <w:p w14:paraId="26DE4D0F"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kern w:val="2"/>
                <w:sz w:val="21"/>
                <w:szCs w:val="21"/>
              </w:rPr>
              <w:t>脱盐水装置排水</w:t>
            </w:r>
          </w:p>
        </w:tc>
        <w:tc>
          <w:tcPr>
            <w:tcW w:w="805" w:type="pct"/>
            <w:tcBorders>
              <w:top w:val="single" w:sz="4" w:space="0" w:color="auto"/>
            </w:tcBorders>
            <w:vAlign w:val="center"/>
          </w:tcPr>
          <w:p w14:paraId="393F0301" w14:textId="77777777" w:rsidR="00B0005F" w:rsidRPr="008A2411" w:rsidRDefault="00000000">
            <w:pPr>
              <w:adjustRightInd w:val="0"/>
              <w:snapToGrid w:val="0"/>
              <w:spacing w:line="320" w:lineRule="exact"/>
              <w:jc w:val="left"/>
              <w:rPr>
                <w:rFonts w:ascii="Times New Roman"/>
                <w:color w:val="000000" w:themeColor="text1"/>
                <w:sz w:val="21"/>
                <w:szCs w:val="21"/>
              </w:rPr>
            </w:pPr>
            <w:r w:rsidRPr="008A2411">
              <w:rPr>
                <w:rFonts w:ascii="Times New Roman"/>
                <w:color w:val="000000" w:themeColor="text1"/>
                <w:sz w:val="21"/>
                <w:szCs w:val="21"/>
              </w:rPr>
              <w:t>SS</w:t>
            </w:r>
            <w:r w:rsidRPr="008A2411">
              <w:rPr>
                <w:rFonts w:ascii="Times New Roman"/>
                <w:color w:val="000000" w:themeColor="text1"/>
                <w:sz w:val="21"/>
                <w:szCs w:val="21"/>
              </w:rPr>
              <w:t>、</w:t>
            </w:r>
            <w:r w:rsidRPr="008A2411">
              <w:rPr>
                <w:rFonts w:ascii="Times New Roman"/>
                <w:color w:val="000000" w:themeColor="text1"/>
                <w:sz w:val="21"/>
                <w:szCs w:val="21"/>
              </w:rPr>
              <w:t>Cl</w:t>
            </w:r>
            <w:r w:rsidRPr="008A2411">
              <w:rPr>
                <w:rFonts w:ascii="Times New Roman"/>
                <w:color w:val="000000" w:themeColor="text1"/>
                <w:sz w:val="21"/>
                <w:szCs w:val="21"/>
                <w:vertAlign w:val="superscript"/>
              </w:rPr>
              <w:t>-</w:t>
            </w:r>
            <w:r w:rsidRPr="008A2411">
              <w:rPr>
                <w:rFonts w:ascii="Times New Roman"/>
                <w:color w:val="000000" w:themeColor="text1"/>
                <w:sz w:val="21"/>
                <w:szCs w:val="21"/>
              </w:rPr>
              <w:t>等</w:t>
            </w:r>
          </w:p>
        </w:tc>
        <w:tc>
          <w:tcPr>
            <w:tcW w:w="2216" w:type="pct"/>
            <w:vMerge w:val="restart"/>
            <w:tcBorders>
              <w:top w:val="single" w:sz="4" w:space="0" w:color="auto"/>
            </w:tcBorders>
            <w:vAlign w:val="center"/>
          </w:tcPr>
          <w:p w14:paraId="41630CF0"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水质满足《污水综合排放标准》</w:t>
            </w:r>
            <w:r w:rsidRPr="008A2411">
              <w:rPr>
                <w:rFonts w:ascii="Times New Roman"/>
                <w:color w:val="000000" w:themeColor="text1"/>
                <w:sz w:val="21"/>
                <w:szCs w:val="21"/>
              </w:rPr>
              <w:t>GB8978-1996</w:t>
            </w:r>
            <w:proofErr w:type="gramStart"/>
            <w:r w:rsidRPr="008A2411">
              <w:rPr>
                <w:rFonts w:ascii="Times New Roman"/>
                <w:color w:val="000000" w:themeColor="text1"/>
                <w:sz w:val="21"/>
                <w:szCs w:val="21"/>
              </w:rPr>
              <w:t>三</w:t>
            </w:r>
            <w:proofErr w:type="gramEnd"/>
            <w:r w:rsidRPr="008A2411">
              <w:rPr>
                <w:rFonts w:ascii="Times New Roman"/>
                <w:color w:val="000000" w:themeColor="text1"/>
                <w:sz w:val="21"/>
                <w:szCs w:val="21"/>
              </w:rPr>
              <w:t>级标准，直接排入管区管网</w:t>
            </w:r>
          </w:p>
        </w:tc>
      </w:tr>
      <w:tr w:rsidR="008A2411" w:rsidRPr="008A2411" w14:paraId="0DD69636" w14:textId="77777777">
        <w:trPr>
          <w:trHeight w:val="684"/>
          <w:jc w:val="center"/>
        </w:trPr>
        <w:tc>
          <w:tcPr>
            <w:tcW w:w="563" w:type="pct"/>
            <w:vMerge/>
            <w:vAlign w:val="center"/>
          </w:tcPr>
          <w:p w14:paraId="24E07DAF" w14:textId="77777777" w:rsidR="00B0005F" w:rsidRPr="008A2411" w:rsidRDefault="00B0005F">
            <w:pPr>
              <w:adjustRightInd w:val="0"/>
              <w:snapToGrid w:val="0"/>
              <w:spacing w:line="320" w:lineRule="exact"/>
              <w:jc w:val="center"/>
              <w:rPr>
                <w:rFonts w:ascii="Times New Roman"/>
                <w:color w:val="000000" w:themeColor="text1"/>
                <w:sz w:val="21"/>
                <w:szCs w:val="21"/>
              </w:rPr>
            </w:pPr>
          </w:p>
        </w:tc>
        <w:tc>
          <w:tcPr>
            <w:tcW w:w="475" w:type="pct"/>
            <w:vMerge/>
            <w:vAlign w:val="center"/>
          </w:tcPr>
          <w:p w14:paraId="534263D6" w14:textId="77777777" w:rsidR="00B0005F" w:rsidRPr="008A2411" w:rsidRDefault="00B0005F">
            <w:pPr>
              <w:widowControl/>
              <w:adjustRightInd w:val="0"/>
              <w:snapToGrid w:val="0"/>
              <w:spacing w:line="320" w:lineRule="exact"/>
              <w:jc w:val="center"/>
              <w:rPr>
                <w:rFonts w:ascii="Times New Roman"/>
                <w:color w:val="000000" w:themeColor="text1"/>
                <w:sz w:val="21"/>
                <w:szCs w:val="21"/>
              </w:rPr>
            </w:pPr>
          </w:p>
        </w:tc>
        <w:tc>
          <w:tcPr>
            <w:tcW w:w="941" w:type="pct"/>
            <w:vAlign w:val="center"/>
          </w:tcPr>
          <w:p w14:paraId="34FCEA99" w14:textId="77777777" w:rsidR="00B0005F" w:rsidRPr="008A2411" w:rsidRDefault="00000000">
            <w:pPr>
              <w:spacing w:line="280" w:lineRule="exact"/>
              <w:jc w:val="center"/>
              <w:rPr>
                <w:rFonts w:ascii="Times New Roman"/>
                <w:color w:val="000000" w:themeColor="text1"/>
                <w:kern w:val="2"/>
                <w:sz w:val="21"/>
                <w:szCs w:val="21"/>
              </w:rPr>
            </w:pPr>
            <w:r w:rsidRPr="008A2411">
              <w:rPr>
                <w:rFonts w:ascii="Times New Roman"/>
                <w:color w:val="000000" w:themeColor="text1"/>
                <w:kern w:val="2"/>
                <w:sz w:val="21"/>
                <w:szCs w:val="21"/>
              </w:rPr>
              <w:t>软化水装置</w:t>
            </w:r>
          </w:p>
        </w:tc>
        <w:tc>
          <w:tcPr>
            <w:tcW w:w="805" w:type="pct"/>
            <w:tcBorders>
              <w:bottom w:val="single" w:sz="4" w:space="0" w:color="auto"/>
            </w:tcBorders>
            <w:vAlign w:val="center"/>
          </w:tcPr>
          <w:p w14:paraId="65C0D1F6" w14:textId="77777777" w:rsidR="00B0005F" w:rsidRPr="008A2411" w:rsidRDefault="00000000">
            <w:pPr>
              <w:adjustRightInd w:val="0"/>
              <w:snapToGrid w:val="0"/>
              <w:spacing w:line="320" w:lineRule="exact"/>
              <w:jc w:val="center"/>
              <w:rPr>
                <w:rFonts w:ascii="Times New Roman"/>
                <w:color w:val="000000" w:themeColor="text1"/>
                <w:sz w:val="21"/>
                <w:szCs w:val="21"/>
              </w:rPr>
            </w:pPr>
            <w:r w:rsidRPr="008A2411">
              <w:rPr>
                <w:rFonts w:ascii="Times New Roman"/>
                <w:color w:val="000000" w:themeColor="text1"/>
                <w:kern w:val="2"/>
                <w:sz w:val="21"/>
                <w:szCs w:val="21"/>
              </w:rPr>
              <w:t>Ca</w:t>
            </w:r>
            <w:r w:rsidRPr="008A2411">
              <w:rPr>
                <w:rFonts w:ascii="Times New Roman"/>
                <w:color w:val="000000" w:themeColor="text1"/>
                <w:kern w:val="2"/>
                <w:sz w:val="21"/>
                <w:szCs w:val="21"/>
                <w:vertAlign w:val="superscript"/>
              </w:rPr>
              <w:t>2+</w:t>
            </w:r>
            <w:r w:rsidRPr="008A2411">
              <w:rPr>
                <w:rFonts w:ascii="Times New Roman"/>
                <w:color w:val="000000" w:themeColor="text1"/>
                <w:kern w:val="2"/>
                <w:sz w:val="21"/>
                <w:szCs w:val="21"/>
              </w:rPr>
              <w:t>、</w:t>
            </w:r>
            <w:r w:rsidRPr="008A2411">
              <w:rPr>
                <w:rFonts w:ascii="Times New Roman"/>
                <w:color w:val="000000" w:themeColor="text1"/>
                <w:kern w:val="2"/>
                <w:sz w:val="21"/>
                <w:szCs w:val="21"/>
              </w:rPr>
              <w:t>Mg</w:t>
            </w:r>
            <w:r w:rsidRPr="008A2411">
              <w:rPr>
                <w:rFonts w:ascii="Times New Roman"/>
                <w:color w:val="000000" w:themeColor="text1"/>
                <w:kern w:val="2"/>
                <w:sz w:val="21"/>
                <w:szCs w:val="21"/>
                <w:vertAlign w:val="superscript"/>
              </w:rPr>
              <w:t>2+</w:t>
            </w:r>
            <w:r w:rsidRPr="008A2411">
              <w:rPr>
                <w:rFonts w:ascii="Times New Roman"/>
                <w:color w:val="000000" w:themeColor="text1"/>
                <w:kern w:val="2"/>
                <w:sz w:val="21"/>
                <w:szCs w:val="21"/>
              </w:rPr>
              <w:t>等可溶性物质</w:t>
            </w:r>
          </w:p>
        </w:tc>
        <w:tc>
          <w:tcPr>
            <w:tcW w:w="2216" w:type="pct"/>
            <w:vMerge/>
            <w:tcBorders>
              <w:bottom w:val="single" w:sz="4" w:space="0" w:color="auto"/>
            </w:tcBorders>
            <w:vAlign w:val="center"/>
          </w:tcPr>
          <w:p w14:paraId="3143B72A" w14:textId="77777777" w:rsidR="00B0005F" w:rsidRPr="008A2411" w:rsidRDefault="00B0005F">
            <w:pPr>
              <w:adjustRightInd w:val="0"/>
              <w:snapToGrid w:val="0"/>
              <w:spacing w:line="320" w:lineRule="exact"/>
              <w:jc w:val="center"/>
              <w:rPr>
                <w:rFonts w:ascii="Times New Roman"/>
                <w:color w:val="000000" w:themeColor="text1"/>
                <w:sz w:val="21"/>
                <w:szCs w:val="21"/>
              </w:rPr>
            </w:pPr>
          </w:p>
        </w:tc>
      </w:tr>
      <w:tr w:rsidR="008A2411" w:rsidRPr="008A2411" w14:paraId="0D733681" w14:textId="77777777">
        <w:trPr>
          <w:trHeight w:val="591"/>
          <w:jc w:val="center"/>
        </w:trPr>
        <w:tc>
          <w:tcPr>
            <w:tcW w:w="563" w:type="pct"/>
            <w:vMerge/>
            <w:vAlign w:val="center"/>
          </w:tcPr>
          <w:p w14:paraId="7C4D41D2" w14:textId="77777777" w:rsidR="00B0005F" w:rsidRPr="008A2411" w:rsidRDefault="00B0005F">
            <w:pPr>
              <w:adjustRightInd w:val="0"/>
              <w:snapToGrid w:val="0"/>
              <w:spacing w:line="320" w:lineRule="exact"/>
              <w:ind w:firstLine="420"/>
              <w:jc w:val="center"/>
              <w:rPr>
                <w:rFonts w:ascii="Times New Roman"/>
                <w:color w:val="000000" w:themeColor="text1"/>
                <w:sz w:val="21"/>
                <w:szCs w:val="21"/>
              </w:rPr>
            </w:pPr>
          </w:p>
        </w:tc>
        <w:tc>
          <w:tcPr>
            <w:tcW w:w="475" w:type="pct"/>
            <w:vMerge/>
            <w:vAlign w:val="center"/>
          </w:tcPr>
          <w:p w14:paraId="3AE31BF0" w14:textId="77777777" w:rsidR="00B0005F" w:rsidRPr="008A2411" w:rsidRDefault="00B0005F">
            <w:pPr>
              <w:widowControl/>
              <w:adjustRightInd w:val="0"/>
              <w:snapToGrid w:val="0"/>
              <w:spacing w:line="320" w:lineRule="exact"/>
              <w:jc w:val="center"/>
              <w:rPr>
                <w:rFonts w:ascii="Times New Roman"/>
                <w:color w:val="000000" w:themeColor="text1"/>
                <w:sz w:val="21"/>
                <w:szCs w:val="21"/>
              </w:rPr>
            </w:pPr>
          </w:p>
        </w:tc>
        <w:tc>
          <w:tcPr>
            <w:tcW w:w="941" w:type="pct"/>
            <w:vAlign w:val="center"/>
          </w:tcPr>
          <w:p w14:paraId="35B38966" w14:textId="77777777" w:rsidR="00B0005F" w:rsidRPr="008A2411" w:rsidRDefault="00000000">
            <w:pPr>
              <w:pStyle w:val="aff9"/>
              <w:spacing w:line="280" w:lineRule="exact"/>
              <w:ind w:leftChars="-50" w:left="-120" w:rightChars="-50" w:right="-120" w:firstLine="13"/>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生活污水</w:t>
            </w:r>
          </w:p>
        </w:tc>
        <w:tc>
          <w:tcPr>
            <w:tcW w:w="805" w:type="pct"/>
            <w:tcBorders>
              <w:top w:val="single" w:sz="4" w:space="0" w:color="auto"/>
            </w:tcBorders>
            <w:vAlign w:val="center"/>
          </w:tcPr>
          <w:p w14:paraId="43AAE545" w14:textId="77777777" w:rsidR="00B0005F" w:rsidRPr="008A2411" w:rsidRDefault="00000000">
            <w:pPr>
              <w:adjustRightInd w:val="0"/>
              <w:snapToGrid w:val="0"/>
              <w:spacing w:line="320" w:lineRule="exact"/>
              <w:jc w:val="center"/>
              <w:rPr>
                <w:rFonts w:ascii="Times New Roman"/>
                <w:color w:val="000000" w:themeColor="text1"/>
                <w:sz w:val="21"/>
                <w:szCs w:val="21"/>
              </w:rPr>
            </w:pPr>
            <w:r w:rsidRPr="008A2411">
              <w:rPr>
                <w:rFonts w:ascii="Times New Roman"/>
                <w:color w:val="000000" w:themeColor="text1"/>
                <w:sz w:val="21"/>
                <w:szCs w:val="21"/>
              </w:rPr>
              <w:t>COD</w:t>
            </w:r>
            <w:r w:rsidRPr="008A2411">
              <w:rPr>
                <w:rFonts w:ascii="Times New Roman"/>
                <w:color w:val="000000" w:themeColor="text1"/>
                <w:sz w:val="21"/>
                <w:szCs w:val="21"/>
              </w:rPr>
              <w:t>、</w:t>
            </w:r>
            <w:r w:rsidRPr="008A2411">
              <w:rPr>
                <w:rFonts w:ascii="Times New Roman"/>
                <w:color w:val="000000" w:themeColor="text1"/>
                <w:sz w:val="21"/>
                <w:szCs w:val="21"/>
              </w:rPr>
              <w:t>SS</w:t>
            </w:r>
            <w:r w:rsidRPr="008A2411">
              <w:rPr>
                <w:rFonts w:ascii="Times New Roman"/>
                <w:color w:val="000000" w:themeColor="text1"/>
                <w:sz w:val="21"/>
                <w:szCs w:val="21"/>
              </w:rPr>
              <w:t>、</w:t>
            </w:r>
            <w:r w:rsidRPr="008A2411">
              <w:rPr>
                <w:rFonts w:ascii="Times New Roman"/>
                <w:color w:val="000000" w:themeColor="text1"/>
                <w:sz w:val="21"/>
                <w:szCs w:val="21"/>
              </w:rPr>
              <w:t>N-NH</w:t>
            </w:r>
            <w:r w:rsidRPr="008A2411">
              <w:rPr>
                <w:rFonts w:ascii="Times New Roman"/>
                <w:color w:val="000000" w:themeColor="text1"/>
                <w:sz w:val="21"/>
                <w:szCs w:val="21"/>
                <w:vertAlign w:val="subscript"/>
              </w:rPr>
              <w:t>3</w:t>
            </w:r>
          </w:p>
        </w:tc>
        <w:tc>
          <w:tcPr>
            <w:tcW w:w="2216" w:type="pct"/>
            <w:tcBorders>
              <w:top w:val="single" w:sz="4" w:space="0" w:color="auto"/>
            </w:tcBorders>
            <w:vAlign w:val="center"/>
          </w:tcPr>
          <w:p w14:paraId="0E2A7265"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由厂区污水管网排入厂区污水处理站预处理达到《污水综合排放标准》</w:t>
            </w:r>
            <w:r w:rsidRPr="008A2411">
              <w:rPr>
                <w:rFonts w:ascii="Times New Roman"/>
                <w:color w:val="000000" w:themeColor="text1"/>
                <w:sz w:val="21"/>
                <w:szCs w:val="21"/>
              </w:rPr>
              <w:t>GB8978-1996</w:t>
            </w:r>
            <w:proofErr w:type="gramStart"/>
            <w:r w:rsidRPr="008A2411">
              <w:rPr>
                <w:rFonts w:ascii="Times New Roman"/>
                <w:color w:val="000000" w:themeColor="text1"/>
                <w:sz w:val="21"/>
                <w:szCs w:val="21"/>
              </w:rPr>
              <w:t>三</w:t>
            </w:r>
            <w:proofErr w:type="gramEnd"/>
            <w:r w:rsidRPr="008A2411">
              <w:rPr>
                <w:rFonts w:ascii="Times New Roman"/>
                <w:color w:val="000000" w:themeColor="text1"/>
                <w:sz w:val="21"/>
                <w:szCs w:val="21"/>
              </w:rPr>
              <w:t>级标准，排入园区污水处理厂</w:t>
            </w:r>
          </w:p>
        </w:tc>
      </w:tr>
      <w:tr w:rsidR="008A2411" w:rsidRPr="008A2411" w14:paraId="35196885" w14:textId="77777777">
        <w:trPr>
          <w:trHeight w:val="460"/>
          <w:jc w:val="center"/>
        </w:trPr>
        <w:tc>
          <w:tcPr>
            <w:tcW w:w="563" w:type="pct"/>
            <w:vMerge/>
            <w:vAlign w:val="center"/>
          </w:tcPr>
          <w:p w14:paraId="17FEB3FB" w14:textId="77777777" w:rsidR="00B0005F" w:rsidRPr="008A2411" w:rsidRDefault="00B0005F">
            <w:pPr>
              <w:adjustRightInd w:val="0"/>
              <w:snapToGrid w:val="0"/>
              <w:spacing w:line="320" w:lineRule="exact"/>
              <w:ind w:firstLine="420"/>
              <w:jc w:val="center"/>
              <w:rPr>
                <w:rFonts w:ascii="Times New Roman"/>
                <w:color w:val="000000" w:themeColor="text1"/>
                <w:sz w:val="21"/>
                <w:szCs w:val="21"/>
              </w:rPr>
            </w:pPr>
          </w:p>
        </w:tc>
        <w:tc>
          <w:tcPr>
            <w:tcW w:w="475" w:type="pct"/>
            <w:vMerge/>
            <w:vAlign w:val="center"/>
          </w:tcPr>
          <w:p w14:paraId="214B51BE" w14:textId="77777777" w:rsidR="00B0005F" w:rsidRPr="008A2411" w:rsidRDefault="00B0005F">
            <w:pPr>
              <w:widowControl/>
              <w:adjustRightInd w:val="0"/>
              <w:snapToGrid w:val="0"/>
              <w:spacing w:line="320" w:lineRule="exact"/>
              <w:jc w:val="center"/>
              <w:rPr>
                <w:rFonts w:ascii="Times New Roman"/>
                <w:color w:val="000000" w:themeColor="text1"/>
                <w:sz w:val="21"/>
                <w:szCs w:val="21"/>
              </w:rPr>
            </w:pPr>
          </w:p>
        </w:tc>
        <w:tc>
          <w:tcPr>
            <w:tcW w:w="941" w:type="pct"/>
            <w:vAlign w:val="center"/>
          </w:tcPr>
          <w:p w14:paraId="618BAA48" w14:textId="77777777" w:rsidR="00B0005F" w:rsidRPr="008A2411" w:rsidRDefault="00000000">
            <w:pPr>
              <w:adjustRightInd w:val="0"/>
              <w:snapToGrid w:val="0"/>
              <w:spacing w:line="320" w:lineRule="exact"/>
              <w:jc w:val="center"/>
              <w:rPr>
                <w:rFonts w:ascii="Times New Roman"/>
                <w:color w:val="000000" w:themeColor="text1"/>
                <w:sz w:val="21"/>
                <w:szCs w:val="21"/>
              </w:rPr>
            </w:pPr>
            <w:r w:rsidRPr="008A2411">
              <w:rPr>
                <w:rFonts w:ascii="Times New Roman"/>
                <w:color w:val="000000" w:themeColor="text1"/>
                <w:sz w:val="21"/>
                <w:szCs w:val="21"/>
              </w:rPr>
              <w:t>初期雨水</w:t>
            </w:r>
          </w:p>
        </w:tc>
        <w:tc>
          <w:tcPr>
            <w:tcW w:w="805" w:type="pct"/>
            <w:vAlign w:val="center"/>
          </w:tcPr>
          <w:p w14:paraId="46107834" w14:textId="77777777" w:rsidR="00B0005F" w:rsidRPr="008A2411" w:rsidRDefault="00000000">
            <w:pPr>
              <w:adjustRightInd w:val="0"/>
              <w:snapToGrid w:val="0"/>
              <w:spacing w:line="320" w:lineRule="exact"/>
              <w:jc w:val="center"/>
              <w:rPr>
                <w:rFonts w:ascii="Times New Roman"/>
                <w:color w:val="000000" w:themeColor="text1"/>
                <w:sz w:val="21"/>
                <w:szCs w:val="21"/>
              </w:rPr>
            </w:pPr>
            <w:r w:rsidRPr="008A2411">
              <w:rPr>
                <w:rFonts w:ascii="Times New Roman"/>
                <w:color w:val="000000" w:themeColor="text1"/>
                <w:sz w:val="21"/>
                <w:szCs w:val="21"/>
              </w:rPr>
              <w:t>SS</w:t>
            </w:r>
          </w:p>
        </w:tc>
        <w:tc>
          <w:tcPr>
            <w:tcW w:w="2216" w:type="pct"/>
            <w:vAlign w:val="center"/>
          </w:tcPr>
          <w:p w14:paraId="00E039E3" w14:textId="77777777" w:rsidR="00B0005F" w:rsidRPr="008A2411" w:rsidRDefault="00000000">
            <w:pPr>
              <w:adjustRightInd w:val="0"/>
              <w:snapToGrid w:val="0"/>
              <w:spacing w:line="320" w:lineRule="exact"/>
              <w:jc w:val="left"/>
              <w:rPr>
                <w:rFonts w:ascii="Times New Roman"/>
                <w:color w:val="000000" w:themeColor="text1"/>
                <w:sz w:val="21"/>
                <w:szCs w:val="21"/>
              </w:rPr>
            </w:pPr>
            <w:r w:rsidRPr="008A2411">
              <w:rPr>
                <w:rFonts w:ascii="Times New Roman"/>
                <w:color w:val="000000" w:themeColor="text1"/>
                <w:sz w:val="21"/>
                <w:szCs w:val="21"/>
              </w:rPr>
              <w:t>项目站场工艺装置区的初期雨水产生量约</w:t>
            </w:r>
            <w:r w:rsidRPr="008A2411">
              <w:rPr>
                <w:rFonts w:ascii="Times New Roman"/>
                <w:color w:val="000000" w:themeColor="text1"/>
                <w:sz w:val="21"/>
                <w:szCs w:val="21"/>
              </w:rPr>
              <w:t>178.2m</w:t>
            </w:r>
            <w:r w:rsidRPr="008A2411">
              <w:rPr>
                <w:rFonts w:ascii="Times New Roman"/>
                <w:color w:val="000000" w:themeColor="text1"/>
                <w:sz w:val="21"/>
                <w:szCs w:val="21"/>
                <w:vertAlign w:val="superscript"/>
              </w:rPr>
              <w:t>3</w:t>
            </w:r>
            <w:r w:rsidRPr="008A2411">
              <w:rPr>
                <w:rFonts w:ascii="Times New Roman"/>
                <w:color w:val="000000" w:themeColor="text1"/>
                <w:sz w:val="21"/>
                <w:szCs w:val="21"/>
              </w:rPr>
              <w:t>，该类废水通过工艺装置区围堰排入污水池</w:t>
            </w:r>
            <w:r w:rsidRPr="008A2411">
              <w:rPr>
                <w:rFonts w:ascii="Times New Roman" w:hint="eastAsia"/>
                <w:color w:val="000000" w:themeColor="text1"/>
                <w:sz w:val="21"/>
                <w:szCs w:val="21"/>
              </w:rPr>
              <w:t>，经沉淀后排入园区污水处理系统</w:t>
            </w:r>
            <w:r w:rsidRPr="008A2411">
              <w:rPr>
                <w:rFonts w:ascii="Times New Roman"/>
                <w:color w:val="000000" w:themeColor="text1"/>
                <w:sz w:val="21"/>
                <w:szCs w:val="21"/>
              </w:rPr>
              <w:t>。</w:t>
            </w:r>
          </w:p>
        </w:tc>
      </w:tr>
      <w:tr w:rsidR="008A2411" w:rsidRPr="008A2411" w14:paraId="7D81C7E5" w14:textId="77777777">
        <w:trPr>
          <w:trHeight w:val="1133"/>
          <w:jc w:val="center"/>
        </w:trPr>
        <w:tc>
          <w:tcPr>
            <w:tcW w:w="563" w:type="pct"/>
            <w:vMerge w:val="restart"/>
            <w:vAlign w:val="center"/>
          </w:tcPr>
          <w:p w14:paraId="2ACB92DB" w14:textId="77777777" w:rsidR="00B0005F" w:rsidRPr="008A2411" w:rsidRDefault="00000000">
            <w:pPr>
              <w:adjustRightInd w:val="0"/>
              <w:snapToGrid w:val="0"/>
              <w:spacing w:line="320" w:lineRule="exact"/>
              <w:jc w:val="center"/>
              <w:rPr>
                <w:rFonts w:ascii="Times New Roman"/>
                <w:color w:val="000000" w:themeColor="text1"/>
                <w:sz w:val="21"/>
                <w:szCs w:val="21"/>
              </w:rPr>
            </w:pPr>
            <w:r w:rsidRPr="008A2411">
              <w:rPr>
                <w:rFonts w:ascii="Times New Roman"/>
                <w:color w:val="000000" w:themeColor="text1"/>
                <w:sz w:val="21"/>
                <w:szCs w:val="21"/>
              </w:rPr>
              <w:t>固体</w:t>
            </w:r>
          </w:p>
          <w:p w14:paraId="5ECDA70C" w14:textId="77777777" w:rsidR="00B0005F" w:rsidRPr="008A2411" w:rsidRDefault="00000000">
            <w:pPr>
              <w:adjustRightInd w:val="0"/>
              <w:snapToGrid w:val="0"/>
              <w:spacing w:line="320" w:lineRule="exact"/>
              <w:jc w:val="center"/>
              <w:rPr>
                <w:rFonts w:ascii="Times New Roman"/>
                <w:color w:val="000000" w:themeColor="text1"/>
                <w:sz w:val="21"/>
                <w:szCs w:val="21"/>
              </w:rPr>
            </w:pPr>
            <w:r w:rsidRPr="008A2411">
              <w:rPr>
                <w:rFonts w:ascii="Times New Roman"/>
                <w:color w:val="000000" w:themeColor="text1"/>
                <w:sz w:val="21"/>
                <w:szCs w:val="21"/>
              </w:rPr>
              <w:t>废物</w:t>
            </w:r>
          </w:p>
        </w:tc>
        <w:tc>
          <w:tcPr>
            <w:tcW w:w="475" w:type="pct"/>
            <w:vMerge w:val="restart"/>
            <w:vAlign w:val="center"/>
          </w:tcPr>
          <w:p w14:paraId="128E647F" w14:textId="77777777" w:rsidR="00B0005F" w:rsidRPr="008A2411" w:rsidRDefault="00000000">
            <w:pPr>
              <w:pStyle w:val="24"/>
              <w:tabs>
                <w:tab w:val="left" w:pos="2321"/>
              </w:tabs>
              <w:spacing w:line="320" w:lineRule="exact"/>
              <w:ind w:leftChars="0" w:left="0"/>
              <w:jc w:val="center"/>
              <w:rPr>
                <w:rFonts w:ascii="Times New Roman"/>
                <w:color w:val="000000" w:themeColor="text1"/>
                <w:szCs w:val="21"/>
              </w:rPr>
            </w:pPr>
            <w:r w:rsidRPr="008A2411">
              <w:rPr>
                <w:rFonts w:ascii="Times New Roman"/>
                <w:color w:val="000000" w:themeColor="text1"/>
                <w:szCs w:val="21"/>
              </w:rPr>
              <w:t>施工期</w:t>
            </w:r>
          </w:p>
        </w:tc>
        <w:tc>
          <w:tcPr>
            <w:tcW w:w="941" w:type="pct"/>
            <w:vAlign w:val="center"/>
          </w:tcPr>
          <w:p w14:paraId="7BB211EF" w14:textId="77777777" w:rsidR="00B0005F" w:rsidRPr="008A2411" w:rsidRDefault="00000000">
            <w:pPr>
              <w:adjustRightInd w:val="0"/>
              <w:snapToGrid w:val="0"/>
              <w:spacing w:line="320" w:lineRule="exact"/>
              <w:jc w:val="center"/>
              <w:rPr>
                <w:rFonts w:ascii="Times New Roman"/>
                <w:color w:val="000000" w:themeColor="text1"/>
                <w:sz w:val="21"/>
                <w:szCs w:val="21"/>
              </w:rPr>
            </w:pPr>
            <w:r w:rsidRPr="008A2411">
              <w:rPr>
                <w:rFonts w:ascii="Times New Roman"/>
                <w:color w:val="000000" w:themeColor="text1"/>
                <w:sz w:val="21"/>
                <w:szCs w:val="21"/>
              </w:rPr>
              <w:t>站场施工</w:t>
            </w:r>
          </w:p>
        </w:tc>
        <w:tc>
          <w:tcPr>
            <w:tcW w:w="805" w:type="pct"/>
            <w:vAlign w:val="center"/>
          </w:tcPr>
          <w:p w14:paraId="7966E7B2" w14:textId="77777777" w:rsidR="00B0005F" w:rsidRPr="008A2411" w:rsidRDefault="00000000">
            <w:pPr>
              <w:adjustRightInd w:val="0"/>
              <w:snapToGrid w:val="0"/>
              <w:spacing w:line="320" w:lineRule="exact"/>
              <w:jc w:val="center"/>
              <w:rPr>
                <w:rFonts w:ascii="Times New Roman"/>
                <w:color w:val="000000" w:themeColor="text1"/>
                <w:sz w:val="21"/>
                <w:szCs w:val="21"/>
              </w:rPr>
            </w:pPr>
            <w:r w:rsidRPr="008A2411">
              <w:rPr>
                <w:rFonts w:ascii="Times New Roman"/>
                <w:color w:val="000000" w:themeColor="text1"/>
                <w:sz w:val="21"/>
                <w:szCs w:val="21"/>
              </w:rPr>
              <w:t>土石方、</w:t>
            </w:r>
            <w:proofErr w:type="gramStart"/>
            <w:r w:rsidRPr="008A2411">
              <w:rPr>
                <w:rFonts w:ascii="Times New Roman"/>
                <w:color w:val="000000" w:themeColor="text1"/>
                <w:sz w:val="21"/>
                <w:szCs w:val="21"/>
              </w:rPr>
              <w:t>废材料</w:t>
            </w:r>
            <w:proofErr w:type="gramEnd"/>
            <w:r w:rsidRPr="008A2411">
              <w:rPr>
                <w:rFonts w:ascii="Times New Roman"/>
                <w:color w:val="000000" w:themeColor="text1"/>
                <w:sz w:val="21"/>
                <w:szCs w:val="21"/>
              </w:rPr>
              <w:t>建筑垃圾等</w:t>
            </w:r>
          </w:p>
        </w:tc>
        <w:tc>
          <w:tcPr>
            <w:tcW w:w="2216" w:type="pct"/>
            <w:vAlign w:val="center"/>
          </w:tcPr>
          <w:p w14:paraId="7BD38AD3" w14:textId="77777777" w:rsidR="00B0005F" w:rsidRPr="008A2411" w:rsidRDefault="00000000">
            <w:pPr>
              <w:adjustRightInd w:val="0"/>
              <w:snapToGrid w:val="0"/>
              <w:spacing w:line="320" w:lineRule="exact"/>
              <w:jc w:val="left"/>
              <w:rPr>
                <w:rFonts w:ascii="Times New Roman"/>
                <w:color w:val="000000" w:themeColor="text1"/>
                <w:sz w:val="21"/>
                <w:szCs w:val="21"/>
              </w:rPr>
            </w:pPr>
            <w:r w:rsidRPr="008A2411">
              <w:rPr>
                <w:rFonts w:ascii="Times New Roman"/>
                <w:color w:val="000000" w:themeColor="text1"/>
                <w:sz w:val="21"/>
                <w:szCs w:val="21"/>
                <w:lang w:bidi="en-US"/>
              </w:rPr>
              <w:t>站场场地平整及基础施工产生的少量土石方用于站内平整；安装工程产生的</w:t>
            </w:r>
            <w:proofErr w:type="gramStart"/>
            <w:r w:rsidRPr="008A2411">
              <w:rPr>
                <w:rFonts w:ascii="Times New Roman"/>
                <w:color w:val="000000" w:themeColor="text1"/>
                <w:sz w:val="21"/>
                <w:szCs w:val="21"/>
                <w:lang w:bidi="en-US"/>
              </w:rPr>
              <w:t>废材料</w:t>
            </w:r>
            <w:proofErr w:type="gramEnd"/>
            <w:r w:rsidRPr="008A2411">
              <w:rPr>
                <w:rFonts w:ascii="Times New Roman"/>
                <w:color w:val="000000" w:themeColor="text1"/>
                <w:sz w:val="21"/>
                <w:szCs w:val="21"/>
                <w:lang w:bidi="en-US"/>
              </w:rPr>
              <w:t>由材料供货商进行统一回收；建筑垃圾定期就近送往建筑垃圾处理场处理。</w:t>
            </w:r>
          </w:p>
        </w:tc>
      </w:tr>
      <w:tr w:rsidR="008A2411" w:rsidRPr="008A2411" w14:paraId="13E9C6A2" w14:textId="77777777">
        <w:trPr>
          <w:trHeight w:val="460"/>
          <w:jc w:val="center"/>
        </w:trPr>
        <w:tc>
          <w:tcPr>
            <w:tcW w:w="563" w:type="pct"/>
            <w:vMerge/>
            <w:vAlign w:val="center"/>
          </w:tcPr>
          <w:p w14:paraId="76DE9725" w14:textId="77777777" w:rsidR="00B0005F" w:rsidRPr="008A2411" w:rsidRDefault="00B0005F">
            <w:pPr>
              <w:adjustRightInd w:val="0"/>
              <w:snapToGrid w:val="0"/>
              <w:spacing w:line="320" w:lineRule="exact"/>
              <w:ind w:firstLine="420"/>
              <w:jc w:val="center"/>
              <w:rPr>
                <w:rFonts w:ascii="Times New Roman"/>
                <w:color w:val="000000" w:themeColor="text1"/>
                <w:sz w:val="21"/>
                <w:szCs w:val="21"/>
              </w:rPr>
            </w:pPr>
          </w:p>
        </w:tc>
        <w:tc>
          <w:tcPr>
            <w:tcW w:w="475" w:type="pct"/>
            <w:vMerge/>
            <w:vAlign w:val="center"/>
          </w:tcPr>
          <w:p w14:paraId="5459697D" w14:textId="77777777" w:rsidR="00B0005F" w:rsidRPr="008A2411" w:rsidRDefault="00B0005F">
            <w:pPr>
              <w:pStyle w:val="24"/>
              <w:tabs>
                <w:tab w:val="left" w:pos="2321"/>
              </w:tabs>
              <w:spacing w:line="320" w:lineRule="exact"/>
              <w:ind w:left="480"/>
              <w:jc w:val="center"/>
              <w:rPr>
                <w:rFonts w:ascii="Times New Roman"/>
                <w:color w:val="000000" w:themeColor="text1"/>
                <w:szCs w:val="21"/>
              </w:rPr>
            </w:pPr>
          </w:p>
        </w:tc>
        <w:tc>
          <w:tcPr>
            <w:tcW w:w="941" w:type="pct"/>
            <w:vAlign w:val="center"/>
          </w:tcPr>
          <w:p w14:paraId="0530D4C7" w14:textId="77777777" w:rsidR="00B0005F" w:rsidRPr="008A2411" w:rsidRDefault="00000000">
            <w:pPr>
              <w:adjustRightInd w:val="0"/>
              <w:snapToGrid w:val="0"/>
              <w:spacing w:line="320" w:lineRule="exact"/>
              <w:jc w:val="center"/>
              <w:rPr>
                <w:rFonts w:ascii="Times New Roman"/>
                <w:color w:val="000000" w:themeColor="text1"/>
                <w:sz w:val="21"/>
                <w:szCs w:val="21"/>
              </w:rPr>
            </w:pPr>
            <w:r w:rsidRPr="008A2411">
              <w:rPr>
                <w:rFonts w:ascii="Times New Roman"/>
                <w:color w:val="000000" w:themeColor="text1"/>
                <w:sz w:val="21"/>
                <w:szCs w:val="21"/>
              </w:rPr>
              <w:t>施工人员</w:t>
            </w:r>
          </w:p>
        </w:tc>
        <w:tc>
          <w:tcPr>
            <w:tcW w:w="805" w:type="pct"/>
            <w:vAlign w:val="center"/>
          </w:tcPr>
          <w:p w14:paraId="3D5F8D24" w14:textId="77777777" w:rsidR="00B0005F" w:rsidRPr="008A2411" w:rsidRDefault="00000000">
            <w:pPr>
              <w:adjustRightInd w:val="0"/>
              <w:snapToGrid w:val="0"/>
              <w:spacing w:line="320" w:lineRule="exact"/>
              <w:jc w:val="center"/>
              <w:rPr>
                <w:rFonts w:ascii="Times New Roman"/>
                <w:color w:val="000000" w:themeColor="text1"/>
                <w:sz w:val="21"/>
                <w:szCs w:val="21"/>
              </w:rPr>
            </w:pPr>
            <w:r w:rsidRPr="008A2411">
              <w:rPr>
                <w:rFonts w:ascii="Times New Roman"/>
                <w:color w:val="000000" w:themeColor="text1"/>
                <w:sz w:val="21"/>
                <w:szCs w:val="21"/>
              </w:rPr>
              <w:t>生活垃圾</w:t>
            </w:r>
          </w:p>
        </w:tc>
        <w:tc>
          <w:tcPr>
            <w:tcW w:w="2216" w:type="pct"/>
            <w:vAlign w:val="center"/>
          </w:tcPr>
          <w:p w14:paraId="15B6766C" w14:textId="77777777" w:rsidR="00B0005F" w:rsidRPr="008A2411" w:rsidRDefault="00000000">
            <w:pPr>
              <w:adjustRightInd w:val="0"/>
              <w:snapToGrid w:val="0"/>
              <w:spacing w:line="320" w:lineRule="exact"/>
              <w:jc w:val="left"/>
              <w:rPr>
                <w:rFonts w:ascii="Times New Roman"/>
                <w:color w:val="000000" w:themeColor="text1"/>
                <w:sz w:val="21"/>
                <w:szCs w:val="21"/>
              </w:rPr>
            </w:pPr>
            <w:r w:rsidRPr="008A2411">
              <w:rPr>
                <w:rFonts w:ascii="Times New Roman"/>
                <w:color w:val="000000" w:themeColor="text1"/>
                <w:sz w:val="21"/>
                <w:szCs w:val="21"/>
              </w:rPr>
              <w:t>站场及线路施工人员产生的生活垃圾定期交由当地环卫部门处理。</w:t>
            </w:r>
          </w:p>
        </w:tc>
      </w:tr>
      <w:tr w:rsidR="008A2411" w:rsidRPr="008A2411" w14:paraId="2C30064C" w14:textId="77777777">
        <w:trPr>
          <w:trHeight w:val="530"/>
          <w:jc w:val="center"/>
        </w:trPr>
        <w:tc>
          <w:tcPr>
            <w:tcW w:w="563" w:type="pct"/>
            <w:vMerge/>
            <w:vAlign w:val="center"/>
          </w:tcPr>
          <w:p w14:paraId="0A75ED93" w14:textId="77777777" w:rsidR="00B0005F" w:rsidRPr="008A2411" w:rsidRDefault="00B0005F">
            <w:pPr>
              <w:adjustRightInd w:val="0"/>
              <w:snapToGrid w:val="0"/>
              <w:spacing w:line="320" w:lineRule="exact"/>
              <w:jc w:val="center"/>
              <w:rPr>
                <w:rFonts w:ascii="Times New Roman"/>
                <w:color w:val="000000" w:themeColor="text1"/>
                <w:sz w:val="21"/>
                <w:szCs w:val="21"/>
              </w:rPr>
            </w:pPr>
          </w:p>
        </w:tc>
        <w:tc>
          <w:tcPr>
            <w:tcW w:w="475" w:type="pct"/>
            <w:vMerge w:val="restart"/>
            <w:vAlign w:val="center"/>
          </w:tcPr>
          <w:p w14:paraId="6927E722" w14:textId="77777777" w:rsidR="00B0005F" w:rsidRPr="008A2411" w:rsidRDefault="00000000">
            <w:pPr>
              <w:widowControl/>
              <w:adjustRightInd w:val="0"/>
              <w:snapToGrid w:val="0"/>
              <w:spacing w:line="320" w:lineRule="exact"/>
              <w:jc w:val="center"/>
              <w:rPr>
                <w:rFonts w:ascii="Times New Roman"/>
                <w:color w:val="000000" w:themeColor="text1"/>
                <w:sz w:val="21"/>
                <w:szCs w:val="21"/>
              </w:rPr>
            </w:pPr>
            <w:r w:rsidRPr="008A2411">
              <w:rPr>
                <w:rFonts w:ascii="Times New Roman"/>
                <w:color w:val="000000" w:themeColor="text1"/>
                <w:sz w:val="21"/>
                <w:szCs w:val="21"/>
              </w:rPr>
              <w:t>运营期</w:t>
            </w:r>
          </w:p>
        </w:tc>
        <w:tc>
          <w:tcPr>
            <w:tcW w:w="941" w:type="pct"/>
            <w:vAlign w:val="center"/>
          </w:tcPr>
          <w:p w14:paraId="3ADAEF2D" w14:textId="77777777" w:rsidR="00B0005F" w:rsidRPr="008A2411" w:rsidRDefault="00000000">
            <w:pPr>
              <w:jc w:val="center"/>
              <w:rPr>
                <w:rFonts w:ascii="Times New Roman"/>
                <w:color w:val="000000" w:themeColor="text1"/>
                <w:sz w:val="21"/>
                <w:szCs w:val="21"/>
                <w:lang w:bidi="en-US"/>
              </w:rPr>
            </w:pPr>
            <w:r w:rsidRPr="008A2411">
              <w:rPr>
                <w:rFonts w:ascii="Times New Roman"/>
                <w:color w:val="000000" w:themeColor="text1"/>
                <w:kern w:val="2"/>
                <w:sz w:val="21"/>
                <w:szCs w:val="21"/>
                <w:lang w:val="zh-CN"/>
              </w:rPr>
              <w:t>污水处理站</w:t>
            </w:r>
          </w:p>
        </w:tc>
        <w:tc>
          <w:tcPr>
            <w:tcW w:w="805" w:type="pct"/>
            <w:vAlign w:val="center"/>
          </w:tcPr>
          <w:p w14:paraId="7C16536E" w14:textId="77777777" w:rsidR="00B0005F" w:rsidRPr="008A2411" w:rsidRDefault="00000000">
            <w:pPr>
              <w:autoSpaceDE w:val="0"/>
              <w:autoSpaceDN w:val="0"/>
              <w:jc w:val="center"/>
              <w:rPr>
                <w:rFonts w:ascii="Times New Roman"/>
                <w:color w:val="000000" w:themeColor="text1"/>
                <w:sz w:val="21"/>
                <w:szCs w:val="21"/>
                <w:lang w:bidi="en-US"/>
              </w:rPr>
            </w:pPr>
            <w:r w:rsidRPr="008A2411">
              <w:rPr>
                <w:rFonts w:ascii="Times New Roman"/>
                <w:color w:val="000000" w:themeColor="text1"/>
                <w:kern w:val="2"/>
                <w:sz w:val="21"/>
                <w:szCs w:val="21"/>
                <w:lang w:val="zh-CN"/>
              </w:rPr>
              <w:t>污泥</w:t>
            </w:r>
          </w:p>
        </w:tc>
        <w:tc>
          <w:tcPr>
            <w:tcW w:w="2216" w:type="pct"/>
            <w:vAlign w:val="center"/>
          </w:tcPr>
          <w:p w14:paraId="7F8BAB1A" w14:textId="77777777" w:rsidR="00B0005F" w:rsidRPr="008A2411" w:rsidRDefault="00000000">
            <w:pPr>
              <w:adjustRightInd w:val="0"/>
              <w:snapToGrid w:val="0"/>
              <w:spacing w:line="320" w:lineRule="exact"/>
              <w:jc w:val="center"/>
              <w:rPr>
                <w:rFonts w:ascii="Times New Roman"/>
                <w:color w:val="000000" w:themeColor="text1"/>
                <w:sz w:val="21"/>
                <w:szCs w:val="21"/>
                <w:lang w:bidi="en-US"/>
              </w:rPr>
            </w:pPr>
            <w:r w:rsidRPr="008A2411">
              <w:rPr>
                <w:rFonts w:ascii="Times New Roman"/>
                <w:color w:val="000000" w:themeColor="text1"/>
                <w:sz w:val="21"/>
                <w:szCs w:val="21"/>
                <w:lang w:bidi="en-US"/>
              </w:rPr>
              <w:t>污泥产生量为</w:t>
            </w:r>
            <w:r w:rsidRPr="008A2411">
              <w:rPr>
                <w:rFonts w:ascii="Times New Roman"/>
                <w:color w:val="000000" w:themeColor="text1"/>
                <w:sz w:val="21"/>
                <w:szCs w:val="21"/>
                <w:lang w:bidi="en-US"/>
              </w:rPr>
              <w:t>0.2t/d</w:t>
            </w:r>
            <w:r w:rsidRPr="008A2411">
              <w:rPr>
                <w:rFonts w:ascii="Times New Roman"/>
                <w:color w:val="000000" w:themeColor="text1"/>
                <w:sz w:val="21"/>
                <w:szCs w:val="21"/>
                <w:lang w:bidi="en-US"/>
              </w:rPr>
              <w:t>，</w:t>
            </w:r>
            <w:proofErr w:type="gramStart"/>
            <w:r w:rsidRPr="008A2411">
              <w:rPr>
                <w:rFonts w:ascii="Times New Roman"/>
                <w:color w:val="000000" w:themeColor="text1"/>
                <w:kern w:val="2"/>
                <w:sz w:val="21"/>
                <w:szCs w:val="21"/>
              </w:rPr>
              <w:t>送城市</w:t>
            </w:r>
            <w:proofErr w:type="gramEnd"/>
            <w:r w:rsidRPr="008A2411">
              <w:rPr>
                <w:rFonts w:ascii="Times New Roman"/>
                <w:color w:val="000000" w:themeColor="text1"/>
                <w:kern w:val="2"/>
                <w:sz w:val="21"/>
                <w:szCs w:val="21"/>
              </w:rPr>
              <w:t>生活垃圾填埋场处理</w:t>
            </w:r>
          </w:p>
        </w:tc>
      </w:tr>
      <w:tr w:rsidR="008A2411" w:rsidRPr="008A2411" w14:paraId="22BD657D" w14:textId="77777777">
        <w:trPr>
          <w:trHeight w:val="530"/>
          <w:jc w:val="center"/>
        </w:trPr>
        <w:tc>
          <w:tcPr>
            <w:tcW w:w="563" w:type="pct"/>
            <w:vMerge/>
            <w:vAlign w:val="center"/>
          </w:tcPr>
          <w:p w14:paraId="496E6335" w14:textId="77777777" w:rsidR="00B0005F" w:rsidRPr="008A2411" w:rsidRDefault="00B0005F">
            <w:pPr>
              <w:adjustRightInd w:val="0"/>
              <w:snapToGrid w:val="0"/>
              <w:spacing w:line="320" w:lineRule="exact"/>
              <w:jc w:val="center"/>
              <w:rPr>
                <w:rFonts w:ascii="Times New Roman"/>
                <w:color w:val="000000" w:themeColor="text1"/>
                <w:sz w:val="21"/>
                <w:szCs w:val="21"/>
              </w:rPr>
            </w:pPr>
          </w:p>
        </w:tc>
        <w:tc>
          <w:tcPr>
            <w:tcW w:w="475" w:type="pct"/>
            <w:vMerge/>
            <w:vAlign w:val="center"/>
          </w:tcPr>
          <w:p w14:paraId="2AE0BAAD" w14:textId="77777777" w:rsidR="00B0005F" w:rsidRPr="008A2411" w:rsidRDefault="00B0005F">
            <w:pPr>
              <w:widowControl/>
              <w:adjustRightInd w:val="0"/>
              <w:snapToGrid w:val="0"/>
              <w:spacing w:line="320" w:lineRule="exact"/>
              <w:jc w:val="center"/>
              <w:rPr>
                <w:rFonts w:ascii="Times New Roman"/>
                <w:color w:val="000000" w:themeColor="text1"/>
                <w:sz w:val="21"/>
                <w:szCs w:val="21"/>
              </w:rPr>
            </w:pPr>
          </w:p>
        </w:tc>
        <w:tc>
          <w:tcPr>
            <w:tcW w:w="941" w:type="pct"/>
            <w:vAlign w:val="center"/>
          </w:tcPr>
          <w:p w14:paraId="0A665133" w14:textId="77777777" w:rsidR="00B0005F" w:rsidRPr="008A2411" w:rsidRDefault="00000000">
            <w:pPr>
              <w:jc w:val="center"/>
              <w:rPr>
                <w:rFonts w:ascii="Times New Roman"/>
                <w:color w:val="000000" w:themeColor="text1"/>
              </w:rPr>
            </w:pPr>
            <w:r w:rsidRPr="008A2411">
              <w:rPr>
                <w:rFonts w:ascii="Times New Roman"/>
                <w:color w:val="000000" w:themeColor="text1"/>
                <w:kern w:val="2"/>
                <w:sz w:val="21"/>
                <w:szCs w:val="21"/>
              </w:rPr>
              <w:t>员工办公生活</w:t>
            </w:r>
          </w:p>
        </w:tc>
        <w:tc>
          <w:tcPr>
            <w:tcW w:w="805" w:type="pct"/>
            <w:vAlign w:val="center"/>
          </w:tcPr>
          <w:p w14:paraId="1245B68C" w14:textId="77777777" w:rsidR="00B0005F" w:rsidRPr="008A2411" w:rsidRDefault="00000000">
            <w:pPr>
              <w:autoSpaceDE w:val="0"/>
              <w:autoSpaceDN w:val="0"/>
              <w:jc w:val="center"/>
              <w:rPr>
                <w:rFonts w:ascii="Times New Roman"/>
                <w:color w:val="000000" w:themeColor="text1"/>
              </w:rPr>
            </w:pPr>
            <w:r w:rsidRPr="008A2411">
              <w:rPr>
                <w:rFonts w:ascii="Times New Roman"/>
                <w:color w:val="000000" w:themeColor="text1"/>
                <w:kern w:val="2"/>
                <w:sz w:val="21"/>
                <w:szCs w:val="21"/>
                <w:lang w:val="zh-CN"/>
              </w:rPr>
              <w:t>生活垃圾</w:t>
            </w:r>
          </w:p>
        </w:tc>
        <w:tc>
          <w:tcPr>
            <w:tcW w:w="2216" w:type="pct"/>
            <w:vAlign w:val="center"/>
          </w:tcPr>
          <w:p w14:paraId="1778C1FF" w14:textId="2A54461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产生量为</w:t>
            </w:r>
            <w:r w:rsidRPr="008A2411">
              <w:rPr>
                <w:rFonts w:ascii="Times New Roman" w:hAnsi="Times New Roman"/>
                <w:color w:val="000000" w:themeColor="text1"/>
              </w:rPr>
              <w:t>1</w:t>
            </w:r>
            <w:r w:rsidR="001B5753" w:rsidRPr="008A2411">
              <w:rPr>
                <w:rFonts w:ascii="Times New Roman" w:hAnsi="Times New Roman" w:hint="eastAsia"/>
                <w:color w:val="000000" w:themeColor="text1"/>
              </w:rPr>
              <w:t>10.5</w:t>
            </w:r>
            <w:r w:rsidRPr="008A2411">
              <w:rPr>
                <w:rFonts w:ascii="Times New Roman" w:hAnsi="Times New Roman"/>
                <w:color w:val="000000" w:themeColor="text1"/>
              </w:rPr>
              <w:t>t/a</w:t>
            </w:r>
            <w:r w:rsidRPr="008A2411">
              <w:rPr>
                <w:rFonts w:ascii="Times New Roman" w:hAnsi="Times New Roman"/>
                <w:color w:val="000000" w:themeColor="text1"/>
              </w:rPr>
              <w:t>，由当地环卫部门统一收集处理</w:t>
            </w:r>
          </w:p>
        </w:tc>
      </w:tr>
      <w:tr w:rsidR="008A2411" w:rsidRPr="008A2411" w14:paraId="6F40D65A" w14:textId="77777777">
        <w:trPr>
          <w:trHeight w:val="530"/>
          <w:jc w:val="center"/>
        </w:trPr>
        <w:tc>
          <w:tcPr>
            <w:tcW w:w="563" w:type="pct"/>
            <w:vMerge/>
            <w:vAlign w:val="center"/>
          </w:tcPr>
          <w:p w14:paraId="56EB2D4C" w14:textId="77777777" w:rsidR="00B0005F" w:rsidRPr="008A2411" w:rsidRDefault="00B0005F">
            <w:pPr>
              <w:adjustRightInd w:val="0"/>
              <w:snapToGrid w:val="0"/>
              <w:spacing w:line="320" w:lineRule="exact"/>
              <w:jc w:val="center"/>
              <w:rPr>
                <w:rFonts w:ascii="Times New Roman"/>
                <w:color w:val="000000" w:themeColor="text1"/>
                <w:sz w:val="21"/>
                <w:szCs w:val="21"/>
              </w:rPr>
            </w:pPr>
          </w:p>
        </w:tc>
        <w:tc>
          <w:tcPr>
            <w:tcW w:w="475" w:type="pct"/>
            <w:vMerge/>
            <w:vAlign w:val="center"/>
          </w:tcPr>
          <w:p w14:paraId="1735A1FD" w14:textId="77777777" w:rsidR="00B0005F" w:rsidRPr="008A2411" w:rsidRDefault="00B0005F">
            <w:pPr>
              <w:widowControl/>
              <w:adjustRightInd w:val="0"/>
              <w:snapToGrid w:val="0"/>
              <w:spacing w:line="320" w:lineRule="exact"/>
              <w:jc w:val="center"/>
              <w:rPr>
                <w:rFonts w:ascii="Times New Roman"/>
                <w:color w:val="000000" w:themeColor="text1"/>
                <w:sz w:val="21"/>
                <w:szCs w:val="21"/>
              </w:rPr>
            </w:pPr>
          </w:p>
        </w:tc>
        <w:tc>
          <w:tcPr>
            <w:tcW w:w="941" w:type="pct"/>
            <w:vAlign w:val="center"/>
          </w:tcPr>
          <w:p w14:paraId="7F943788" w14:textId="77777777" w:rsidR="00B0005F" w:rsidRPr="008A2411" w:rsidRDefault="00000000">
            <w:pPr>
              <w:jc w:val="center"/>
              <w:rPr>
                <w:rFonts w:ascii="Times New Roman"/>
                <w:color w:val="000000" w:themeColor="text1"/>
                <w:kern w:val="2"/>
                <w:sz w:val="21"/>
                <w:szCs w:val="21"/>
              </w:rPr>
            </w:pPr>
            <w:r w:rsidRPr="008A2411">
              <w:rPr>
                <w:rFonts w:ascii="Times New Roman" w:hint="eastAsia"/>
                <w:color w:val="000000" w:themeColor="text1"/>
                <w:kern w:val="2"/>
                <w:sz w:val="21"/>
                <w:szCs w:val="21"/>
              </w:rPr>
              <w:t>制氮装置</w:t>
            </w:r>
          </w:p>
        </w:tc>
        <w:tc>
          <w:tcPr>
            <w:tcW w:w="805" w:type="pct"/>
            <w:vAlign w:val="center"/>
          </w:tcPr>
          <w:p w14:paraId="74234753" w14:textId="77777777" w:rsidR="00B0005F" w:rsidRPr="008A2411" w:rsidRDefault="00000000">
            <w:pPr>
              <w:autoSpaceDE w:val="0"/>
              <w:autoSpaceDN w:val="0"/>
              <w:jc w:val="center"/>
              <w:rPr>
                <w:rFonts w:ascii="Times New Roman"/>
                <w:color w:val="000000" w:themeColor="text1"/>
                <w:kern w:val="2"/>
                <w:sz w:val="21"/>
                <w:szCs w:val="21"/>
                <w:lang w:val="zh-CN"/>
              </w:rPr>
            </w:pPr>
            <w:r w:rsidRPr="008A2411">
              <w:rPr>
                <w:rFonts w:ascii="Times New Roman" w:hint="eastAsia"/>
                <w:color w:val="000000" w:themeColor="text1"/>
                <w:kern w:val="2"/>
                <w:sz w:val="21"/>
                <w:szCs w:val="21"/>
                <w:lang w:val="zh-CN"/>
              </w:rPr>
              <w:t>废过滤器</w:t>
            </w:r>
          </w:p>
        </w:tc>
        <w:tc>
          <w:tcPr>
            <w:tcW w:w="2216" w:type="pct"/>
            <w:vAlign w:val="center"/>
          </w:tcPr>
          <w:p w14:paraId="08744327" w14:textId="77777777" w:rsidR="00B0005F" w:rsidRPr="008A2411" w:rsidRDefault="00000000">
            <w:pPr>
              <w:pStyle w:val="WJ5"/>
              <w:rPr>
                <w:rFonts w:ascii="Times New Roman" w:hAnsi="Times New Roman"/>
                <w:color w:val="000000" w:themeColor="text1"/>
              </w:rPr>
            </w:pPr>
            <w:r w:rsidRPr="008A2411">
              <w:rPr>
                <w:rFonts w:ascii="Times New Roman" w:hAnsi="Times New Roman" w:hint="eastAsia"/>
                <w:color w:val="000000" w:themeColor="text1"/>
              </w:rPr>
              <w:t>产生量约</w:t>
            </w:r>
            <w:r w:rsidRPr="008A2411">
              <w:rPr>
                <w:rFonts w:ascii="Times New Roman" w:hAnsi="Times New Roman" w:hint="eastAsia"/>
                <w:color w:val="000000" w:themeColor="text1"/>
              </w:rPr>
              <w:t>0.1</w:t>
            </w:r>
            <w:r w:rsidRPr="008A2411">
              <w:rPr>
                <w:rFonts w:ascii="Times New Roman" w:hAnsi="Times New Roman"/>
                <w:color w:val="000000" w:themeColor="text1"/>
              </w:rPr>
              <w:t>t/a</w:t>
            </w:r>
            <w:r w:rsidRPr="008A2411">
              <w:rPr>
                <w:rFonts w:ascii="Times New Roman" w:hAnsi="Times New Roman" w:hint="eastAsia"/>
                <w:color w:val="000000" w:themeColor="text1"/>
              </w:rPr>
              <w:t>，交由供货厂商回收</w:t>
            </w:r>
          </w:p>
        </w:tc>
      </w:tr>
      <w:tr w:rsidR="008A2411" w:rsidRPr="008A2411" w14:paraId="30FECFC4" w14:textId="77777777">
        <w:trPr>
          <w:trHeight w:val="235"/>
          <w:jc w:val="center"/>
        </w:trPr>
        <w:tc>
          <w:tcPr>
            <w:tcW w:w="563" w:type="pct"/>
            <w:vMerge/>
            <w:vAlign w:val="center"/>
          </w:tcPr>
          <w:p w14:paraId="256C3AD3" w14:textId="77777777" w:rsidR="00B0005F" w:rsidRPr="008A2411" w:rsidRDefault="00B0005F">
            <w:pPr>
              <w:adjustRightInd w:val="0"/>
              <w:snapToGrid w:val="0"/>
              <w:spacing w:line="320" w:lineRule="exact"/>
              <w:jc w:val="center"/>
              <w:rPr>
                <w:rFonts w:ascii="Times New Roman"/>
                <w:color w:val="000000" w:themeColor="text1"/>
                <w:sz w:val="21"/>
                <w:szCs w:val="21"/>
              </w:rPr>
            </w:pPr>
          </w:p>
        </w:tc>
        <w:tc>
          <w:tcPr>
            <w:tcW w:w="475" w:type="pct"/>
            <w:vMerge/>
            <w:vAlign w:val="center"/>
          </w:tcPr>
          <w:p w14:paraId="44197B81" w14:textId="77777777" w:rsidR="00B0005F" w:rsidRPr="008A2411" w:rsidRDefault="00B0005F">
            <w:pPr>
              <w:widowControl/>
              <w:adjustRightInd w:val="0"/>
              <w:snapToGrid w:val="0"/>
              <w:spacing w:line="320" w:lineRule="exact"/>
              <w:jc w:val="center"/>
              <w:rPr>
                <w:rFonts w:ascii="Times New Roman"/>
                <w:color w:val="000000" w:themeColor="text1"/>
                <w:sz w:val="21"/>
                <w:szCs w:val="21"/>
              </w:rPr>
            </w:pPr>
          </w:p>
        </w:tc>
        <w:tc>
          <w:tcPr>
            <w:tcW w:w="941" w:type="pct"/>
            <w:vAlign w:val="center"/>
          </w:tcPr>
          <w:p w14:paraId="20A3EF5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kern w:val="2"/>
                <w:sz w:val="21"/>
                <w:szCs w:val="21"/>
              </w:rPr>
              <w:t>生产装置区干燥塔脱水单元</w:t>
            </w:r>
          </w:p>
        </w:tc>
        <w:tc>
          <w:tcPr>
            <w:tcW w:w="805" w:type="pct"/>
            <w:vAlign w:val="center"/>
          </w:tcPr>
          <w:p w14:paraId="4C2095AC"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kern w:val="2"/>
                <w:sz w:val="21"/>
                <w:szCs w:val="21"/>
                <w:lang w:val="zh-CN"/>
              </w:rPr>
              <w:t>废分子筛</w:t>
            </w:r>
          </w:p>
        </w:tc>
        <w:tc>
          <w:tcPr>
            <w:tcW w:w="2216" w:type="pct"/>
            <w:vAlign w:val="center"/>
          </w:tcPr>
          <w:p w14:paraId="191AB783" w14:textId="77777777" w:rsidR="00B0005F" w:rsidRPr="008A2411" w:rsidRDefault="00000000">
            <w:pPr>
              <w:adjustRightInd w:val="0"/>
              <w:snapToGrid w:val="0"/>
              <w:spacing w:line="320" w:lineRule="exact"/>
              <w:rPr>
                <w:rFonts w:ascii="Times New Roman"/>
                <w:color w:val="000000" w:themeColor="text1"/>
                <w:sz w:val="21"/>
                <w:szCs w:val="21"/>
              </w:rPr>
            </w:pPr>
            <w:r w:rsidRPr="008A2411">
              <w:rPr>
                <w:rFonts w:ascii="Times New Roman"/>
                <w:color w:val="000000" w:themeColor="text1"/>
                <w:sz w:val="21"/>
                <w:szCs w:val="21"/>
              </w:rPr>
              <w:t>产生量约</w:t>
            </w:r>
            <w:r w:rsidRPr="008A2411">
              <w:rPr>
                <w:rFonts w:ascii="Times New Roman"/>
                <w:color w:val="000000" w:themeColor="text1"/>
                <w:sz w:val="21"/>
                <w:szCs w:val="21"/>
              </w:rPr>
              <w:t>3t/a</w:t>
            </w:r>
            <w:r w:rsidRPr="008A2411">
              <w:rPr>
                <w:rFonts w:ascii="Times New Roman"/>
                <w:color w:val="000000" w:themeColor="text1"/>
                <w:sz w:val="21"/>
                <w:szCs w:val="21"/>
              </w:rPr>
              <w:t>，</w:t>
            </w:r>
            <w:proofErr w:type="gramStart"/>
            <w:r w:rsidRPr="008A2411">
              <w:rPr>
                <w:rFonts w:ascii="Times New Roman"/>
                <w:color w:val="000000" w:themeColor="text1"/>
                <w:kern w:val="2"/>
                <w:sz w:val="21"/>
                <w:szCs w:val="21"/>
              </w:rPr>
              <w:t>存于危废暂存</w:t>
            </w:r>
            <w:proofErr w:type="gramEnd"/>
            <w:r w:rsidRPr="008A2411">
              <w:rPr>
                <w:rFonts w:ascii="Times New Roman"/>
                <w:color w:val="000000" w:themeColor="text1"/>
                <w:kern w:val="2"/>
                <w:sz w:val="21"/>
                <w:szCs w:val="21"/>
              </w:rPr>
              <w:t>间，交有资质单位处置</w:t>
            </w:r>
            <w:r w:rsidRPr="008A2411">
              <w:rPr>
                <w:rFonts w:ascii="Times New Roman"/>
                <w:color w:val="000000" w:themeColor="text1"/>
                <w:sz w:val="21"/>
                <w:szCs w:val="21"/>
              </w:rPr>
              <w:t>。</w:t>
            </w:r>
          </w:p>
        </w:tc>
      </w:tr>
      <w:tr w:rsidR="008A2411" w:rsidRPr="008A2411" w14:paraId="3645294A" w14:textId="77777777">
        <w:trPr>
          <w:trHeight w:val="235"/>
          <w:jc w:val="center"/>
        </w:trPr>
        <w:tc>
          <w:tcPr>
            <w:tcW w:w="563" w:type="pct"/>
            <w:vMerge/>
            <w:vAlign w:val="center"/>
          </w:tcPr>
          <w:p w14:paraId="3A756E5E" w14:textId="77777777" w:rsidR="00B0005F" w:rsidRPr="008A2411" w:rsidRDefault="00B0005F">
            <w:pPr>
              <w:adjustRightInd w:val="0"/>
              <w:snapToGrid w:val="0"/>
              <w:spacing w:line="320" w:lineRule="exact"/>
              <w:jc w:val="center"/>
              <w:rPr>
                <w:rFonts w:ascii="Times New Roman"/>
                <w:color w:val="000000" w:themeColor="text1"/>
                <w:sz w:val="21"/>
                <w:szCs w:val="21"/>
              </w:rPr>
            </w:pPr>
          </w:p>
        </w:tc>
        <w:tc>
          <w:tcPr>
            <w:tcW w:w="475" w:type="pct"/>
            <w:vMerge/>
            <w:vAlign w:val="center"/>
          </w:tcPr>
          <w:p w14:paraId="4617CFA9" w14:textId="77777777" w:rsidR="00B0005F" w:rsidRPr="008A2411" w:rsidRDefault="00B0005F">
            <w:pPr>
              <w:widowControl/>
              <w:adjustRightInd w:val="0"/>
              <w:snapToGrid w:val="0"/>
              <w:spacing w:line="320" w:lineRule="exact"/>
              <w:jc w:val="center"/>
              <w:rPr>
                <w:rFonts w:ascii="Times New Roman"/>
                <w:color w:val="000000" w:themeColor="text1"/>
                <w:sz w:val="21"/>
                <w:szCs w:val="21"/>
              </w:rPr>
            </w:pPr>
          </w:p>
        </w:tc>
        <w:tc>
          <w:tcPr>
            <w:tcW w:w="941" w:type="pct"/>
            <w:vAlign w:val="center"/>
          </w:tcPr>
          <w:p w14:paraId="1A865320" w14:textId="77777777" w:rsidR="00B0005F" w:rsidRPr="008A2411" w:rsidRDefault="00000000">
            <w:pPr>
              <w:jc w:val="center"/>
              <w:rPr>
                <w:rFonts w:ascii="Times New Roman"/>
                <w:color w:val="000000" w:themeColor="text1"/>
                <w:kern w:val="2"/>
                <w:sz w:val="21"/>
                <w:szCs w:val="21"/>
              </w:rPr>
            </w:pPr>
            <w:r w:rsidRPr="008A2411">
              <w:rPr>
                <w:rFonts w:ascii="Times New Roman"/>
                <w:color w:val="000000" w:themeColor="text1"/>
                <w:kern w:val="2"/>
                <w:sz w:val="21"/>
                <w:szCs w:val="21"/>
              </w:rPr>
              <w:t>生产装置区干燥塔脱水再生单元</w:t>
            </w:r>
          </w:p>
        </w:tc>
        <w:tc>
          <w:tcPr>
            <w:tcW w:w="805" w:type="pct"/>
            <w:vAlign w:val="center"/>
          </w:tcPr>
          <w:p w14:paraId="2E2FA61A" w14:textId="77777777" w:rsidR="00B0005F" w:rsidRPr="008A2411" w:rsidRDefault="00000000">
            <w:pPr>
              <w:autoSpaceDE w:val="0"/>
              <w:autoSpaceDN w:val="0"/>
              <w:jc w:val="center"/>
              <w:rPr>
                <w:rFonts w:ascii="Times New Roman"/>
                <w:color w:val="000000" w:themeColor="text1"/>
                <w:kern w:val="2"/>
                <w:sz w:val="21"/>
                <w:szCs w:val="21"/>
                <w:lang w:val="zh-CN"/>
              </w:rPr>
            </w:pPr>
            <w:r w:rsidRPr="008A2411">
              <w:rPr>
                <w:rFonts w:ascii="Times New Roman"/>
                <w:color w:val="000000" w:themeColor="text1"/>
                <w:kern w:val="2"/>
                <w:sz w:val="21"/>
                <w:szCs w:val="21"/>
              </w:rPr>
              <w:t>含油废液</w:t>
            </w:r>
          </w:p>
        </w:tc>
        <w:tc>
          <w:tcPr>
            <w:tcW w:w="2216" w:type="pct"/>
            <w:vAlign w:val="center"/>
          </w:tcPr>
          <w:p w14:paraId="7504051D" w14:textId="77777777" w:rsidR="00B0005F" w:rsidRPr="008A2411" w:rsidRDefault="00000000">
            <w:pPr>
              <w:adjustRightInd w:val="0"/>
              <w:snapToGrid w:val="0"/>
              <w:spacing w:line="320" w:lineRule="exact"/>
              <w:rPr>
                <w:rFonts w:ascii="Times New Roman"/>
                <w:color w:val="000000" w:themeColor="text1"/>
                <w:sz w:val="21"/>
                <w:szCs w:val="21"/>
              </w:rPr>
            </w:pPr>
            <w:r w:rsidRPr="008A2411">
              <w:rPr>
                <w:rFonts w:ascii="Times New Roman"/>
                <w:color w:val="000000" w:themeColor="text1"/>
                <w:sz w:val="21"/>
                <w:szCs w:val="21"/>
              </w:rPr>
              <w:t>产生量约</w:t>
            </w:r>
            <w:r w:rsidRPr="008A2411">
              <w:rPr>
                <w:rFonts w:ascii="Times New Roman"/>
                <w:color w:val="000000" w:themeColor="text1"/>
                <w:sz w:val="21"/>
                <w:szCs w:val="21"/>
              </w:rPr>
              <w:t>3.2t/a</w:t>
            </w:r>
            <w:r w:rsidRPr="008A2411">
              <w:rPr>
                <w:rFonts w:ascii="Times New Roman"/>
                <w:color w:val="000000" w:themeColor="text1"/>
                <w:sz w:val="21"/>
                <w:szCs w:val="21"/>
              </w:rPr>
              <w:t>，</w:t>
            </w:r>
            <w:r w:rsidRPr="008A2411">
              <w:rPr>
                <w:rFonts w:ascii="Times New Roman"/>
                <w:color w:val="000000" w:themeColor="text1"/>
                <w:kern w:val="2"/>
                <w:sz w:val="21"/>
                <w:szCs w:val="21"/>
              </w:rPr>
              <w:t>由废液收集桶收集，</w:t>
            </w:r>
            <w:proofErr w:type="gramStart"/>
            <w:r w:rsidRPr="008A2411">
              <w:rPr>
                <w:rFonts w:ascii="Times New Roman"/>
                <w:color w:val="000000" w:themeColor="text1"/>
                <w:kern w:val="2"/>
                <w:sz w:val="21"/>
                <w:szCs w:val="21"/>
              </w:rPr>
              <w:t>存于危废暂存</w:t>
            </w:r>
            <w:proofErr w:type="gramEnd"/>
            <w:r w:rsidRPr="008A2411">
              <w:rPr>
                <w:rFonts w:ascii="Times New Roman"/>
                <w:color w:val="000000" w:themeColor="text1"/>
                <w:kern w:val="2"/>
                <w:sz w:val="21"/>
                <w:szCs w:val="21"/>
              </w:rPr>
              <w:t>间，定期交有资质单位处置</w:t>
            </w:r>
          </w:p>
        </w:tc>
      </w:tr>
      <w:tr w:rsidR="008A2411" w:rsidRPr="008A2411" w14:paraId="5B986DC2" w14:textId="77777777">
        <w:trPr>
          <w:trHeight w:val="460"/>
          <w:jc w:val="center"/>
        </w:trPr>
        <w:tc>
          <w:tcPr>
            <w:tcW w:w="563" w:type="pct"/>
            <w:vMerge/>
            <w:vAlign w:val="center"/>
          </w:tcPr>
          <w:p w14:paraId="164DCA30" w14:textId="77777777" w:rsidR="00B0005F" w:rsidRPr="008A2411" w:rsidRDefault="00B0005F">
            <w:pPr>
              <w:adjustRightInd w:val="0"/>
              <w:snapToGrid w:val="0"/>
              <w:spacing w:line="320" w:lineRule="exact"/>
              <w:jc w:val="center"/>
              <w:rPr>
                <w:rFonts w:ascii="Times New Roman"/>
                <w:color w:val="000000" w:themeColor="text1"/>
                <w:sz w:val="21"/>
                <w:szCs w:val="21"/>
              </w:rPr>
            </w:pPr>
          </w:p>
        </w:tc>
        <w:tc>
          <w:tcPr>
            <w:tcW w:w="475" w:type="pct"/>
            <w:vMerge/>
            <w:vAlign w:val="center"/>
          </w:tcPr>
          <w:p w14:paraId="41523FCC" w14:textId="77777777" w:rsidR="00B0005F" w:rsidRPr="008A2411" w:rsidRDefault="00B0005F">
            <w:pPr>
              <w:widowControl/>
              <w:adjustRightInd w:val="0"/>
              <w:snapToGrid w:val="0"/>
              <w:spacing w:line="320" w:lineRule="exact"/>
              <w:jc w:val="center"/>
              <w:rPr>
                <w:rFonts w:ascii="Times New Roman"/>
                <w:color w:val="000000" w:themeColor="text1"/>
                <w:sz w:val="21"/>
                <w:szCs w:val="21"/>
              </w:rPr>
            </w:pPr>
          </w:p>
        </w:tc>
        <w:tc>
          <w:tcPr>
            <w:tcW w:w="941" w:type="pct"/>
            <w:vAlign w:val="center"/>
          </w:tcPr>
          <w:p w14:paraId="0B663CF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kern w:val="2"/>
                <w:sz w:val="21"/>
                <w:szCs w:val="21"/>
              </w:rPr>
              <w:t>设备检修</w:t>
            </w:r>
          </w:p>
        </w:tc>
        <w:tc>
          <w:tcPr>
            <w:tcW w:w="805" w:type="pct"/>
            <w:vAlign w:val="center"/>
          </w:tcPr>
          <w:p w14:paraId="6C3DB0FC"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kern w:val="2"/>
                <w:sz w:val="21"/>
                <w:szCs w:val="21"/>
                <w:lang w:val="zh-CN"/>
              </w:rPr>
              <w:t>废油</w:t>
            </w:r>
          </w:p>
        </w:tc>
        <w:tc>
          <w:tcPr>
            <w:tcW w:w="2216" w:type="pct"/>
            <w:vAlign w:val="center"/>
          </w:tcPr>
          <w:p w14:paraId="15BBAAE9" w14:textId="77777777" w:rsidR="00B0005F" w:rsidRPr="008A2411" w:rsidRDefault="00000000">
            <w:pPr>
              <w:adjustRightInd w:val="0"/>
              <w:snapToGrid w:val="0"/>
              <w:spacing w:line="320" w:lineRule="exact"/>
              <w:rPr>
                <w:rFonts w:ascii="Times New Roman"/>
                <w:color w:val="000000" w:themeColor="text1"/>
                <w:sz w:val="21"/>
                <w:szCs w:val="21"/>
              </w:rPr>
            </w:pPr>
            <w:r w:rsidRPr="008A2411">
              <w:rPr>
                <w:rFonts w:ascii="Times New Roman"/>
                <w:color w:val="000000" w:themeColor="text1"/>
                <w:sz w:val="21"/>
                <w:szCs w:val="21"/>
              </w:rPr>
              <w:t>产生量约</w:t>
            </w:r>
            <w:r w:rsidRPr="008A2411">
              <w:rPr>
                <w:rFonts w:ascii="Times New Roman"/>
                <w:color w:val="000000" w:themeColor="text1"/>
                <w:sz w:val="21"/>
                <w:szCs w:val="21"/>
              </w:rPr>
              <w:t>2t/d</w:t>
            </w:r>
            <w:r w:rsidRPr="008A2411">
              <w:rPr>
                <w:rFonts w:ascii="Times New Roman"/>
                <w:color w:val="000000" w:themeColor="text1"/>
                <w:sz w:val="21"/>
                <w:szCs w:val="21"/>
              </w:rPr>
              <w:t>，</w:t>
            </w:r>
            <w:proofErr w:type="gramStart"/>
            <w:r w:rsidRPr="008A2411">
              <w:rPr>
                <w:rFonts w:ascii="Times New Roman"/>
                <w:color w:val="000000" w:themeColor="text1"/>
                <w:kern w:val="2"/>
                <w:sz w:val="21"/>
                <w:szCs w:val="21"/>
              </w:rPr>
              <w:t>存于危废暂存</w:t>
            </w:r>
            <w:proofErr w:type="gramEnd"/>
            <w:r w:rsidRPr="008A2411">
              <w:rPr>
                <w:rFonts w:ascii="Times New Roman"/>
                <w:color w:val="000000" w:themeColor="text1"/>
                <w:kern w:val="2"/>
                <w:sz w:val="21"/>
                <w:szCs w:val="21"/>
              </w:rPr>
              <w:t>间，交有资质单位处置</w:t>
            </w:r>
            <w:r w:rsidRPr="008A2411">
              <w:rPr>
                <w:rFonts w:ascii="Times New Roman"/>
                <w:color w:val="000000" w:themeColor="text1"/>
                <w:sz w:val="21"/>
                <w:szCs w:val="21"/>
              </w:rPr>
              <w:t>。</w:t>
            </w:r>
          </w:p>
        </w:tc>
      </w:tr>
      <w:tr w:rsidR="008A2411" w:rsidRPr="008A2411" w14:paraId="3D609DB5" w14:textId="77777777">
        <w:trPr>
          <w:trHeight w:val="242"/>
          <w:jc w:val="center"/>
        </w:trPr>
        <w:tc>
          <w:tcPr>
            <w:tcW w:w="563" w:type="pct"/>
            <w:vMerge/>
            <w:vAlign w:val="center"/>
          </w:tcPr>
          <w:p w14:paraId="01B77F66" w14:textId="77777777" w:rsidR="00B0005F" w:rsidRPr="008A2411" w:rsidRDefault="00B0005F">
            <w:pPr>
              <w:adjustRightInd w:val="0"/>
              <w:snapToGrid w:val="0"/>
              <w:spacing w:line="320" w:lineRule="exact"/>
              <w:jc w:val="center"/>
              <w:rPr>
                <w:rFonts w:ascii="Times New Roman"/>
                <w:color w:val="000000" w:themeColor="text1"/>
                <w:sz w:val="21"/>
                <w:szCs w:val="21"/>
              </w:rPr>
            </w:pPr>
          </w:p>
        </w:tc>
        <w:tc>
          <w:tcPr>
            <w:tcW w:w="475" w:type="pct"/>
            <w:vMerge/>
            <w:vAlign w:val="center"/>
          </w:tcPr>
          <w:p w14:paraId="779F3050" w14:textId="77777777" w:rsidR="00B0005F" w:rsidRPr="008A2411" w:rsidRDefault="00B0005F">
            <w:pPr>
              <w:widowControl/>
              <w:adjustRightInd w:val="0"/>
              <w:snapToGrid w:val="0"/>
              <w:spacing w:line="320" w:lineRule="exact"/>
              <w:jc w:val="center"/>
              <w:rPr>
                <w:rFonts w:ascii="Times New Roman"/>
                <w:color w:val="000000" w:themeColor="text1"/>
                <w:sz w:val="21"/>
                <w:szCs w:val="21"/>
              </w:rPr>
            </w:pPr>
          </w:p>
        </w:tc>
        <w:tc>
          <w:tcPr>
            <w:tcW w:w="941" w:type="pct"/>
            <w:vAlign w:val="center"/>
          </w:tcPr>
          <w:p w14:paraId="310D591D"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kern w:val="2"/>
                <w:sz w:val="21"/>
                <w:szCs w:val="21"/>
              </w:rPr>
              <w:t>生产装置区脱硫单元、脱碳单元、脱汞单元和脱重烃单元</w:t>
            </w:r>
          </w:p>
        </w:tc>
        <w:tc>
          <w:tcPr>
            <w:tcW w:w="805" w:type="pct"/>
            <w:vAlign w:val="center"/>
          </w:tcPr>
          <w:p w14:paraId="6820753D" w14:textId="77777777" w:rsidR="00B0005F" w:rsidRPr="008A2411" w:rsidRDefault="00000000">
            <w:pPr>
              <w:autoSpaceDE w:val="0"/>
              <w:autoSpaceDN w:val="0"/>
              <w:jc w:val="center"/>
              <w:rPr>
                <w:rFonts w:ascii="Times New Roman"/>
                <w:color w:val="000000" w:themeColor="text1"/>
                <w:sz w:val="21"/>
                <w:szCs w:val="21"/>
              </w:rPr>
            </w:pPr>
            <w:r w:rsidRPr="008A2411">
              <w:rPr>
                <w:rFonts w:ascii="Times New Roman"/>
                <w:color w:val="000000" w:themeColor="text1"/>
                <w:kern w:val="2"/>
                <w:sz w:val="21"/>
                <w:szCs w:val="21"/>
                <w:lang w:val="zh-CN"/>
              </w:rPr>
              <w:t>废活性炭</w:t>
            </w:r>
          </w:p>
        </w:tc>
        <w:tc>
          <w:tcPr>
            <w:tcW w:w="2216" w:type="pct"/>
            <w:vAlign w:val="center"/>
          </w:tcPr>
          <w:p w14:paraId="403E9ED8" w14:textId="761801A7" w:rsidR="00B0005F" w:rsidRPr="008A2411" w:rsidRDefault="00000000">
            <w:pPr>
              <w:adjustRightInd w:val="0"/>
              <w:snapToGrid w:val="0"/>
              <w:spacing w:line="320" w:lineRule="exact"/>
              <w:rPr>
                <w:rFonts w:ascii="Times New Roman"/>
                <w:color w:val="000000" w:themeColor="text1"/>
                <w:sz w:val="21"/>
                <w:szCs w:val="21"/>
              </w:rPr>
            </w:pPr>
            <w:r w:rsidRPr="008A2411">
              <w:rPr>
                <w:rFonts w:ascii="Times New Roman"/>
                <w:color w:val="000000" w:themeColor="text1"/>
                <w:sz w:val="21"/>
                <w:szCs w:val="21"/>
              </w:rPr>
              <w:t>产生量约</w:t>
            </w:r>
            <w:r w:rsidR="002A582A" w:rsidRPr="008A2411">
              <w:rPr>
                <w:rFonts w:ascii="Times New Roman" w:hint="eastAsia"/>
                <w:color w:val="000000" w:themeColor="text1"/>
                <w:sz w:val="21"/>
                <w:szCs w:val="21"/>
              </w:rPr>
              <w:t>1</w:t>
            </w:r>
            <w:r w:rsidRPr="008A2411">
              <w:rPr>
                <w:rFonts w:ascii="Times New Roman"/>
                <w:color w:val="000000" w:themeColor="text1"/>
                <w:sz w:val="21"/>
                <w:szCs w:val="21"/>
              </w:rPr>
              <w:t>0t/a</w:t>
            </w:r>
            <w:r w:rsidRPr="008A2411">
              <w:rPr>
                <w:rFonts w:ascii="Times New Roman"/>
                <w:color w:val="000000" w:themeColor="text1"/>
                <w:sz w:val="21"/>
                <w:szCs w:val="21"/>
              </w:rPr>
              <w:t>，</w:t>
            </w:r>
            <w:proofErr w:type="gramStart"/>
            <w:r w:rsidRPr="008A2411">
              <w:rPr>
                <w:rFonts w:ascii="Times New Roman"/>
                <w:color w:val="000000" w:themeColor="text1"/>
                <w:kern w:val="2"/>
                <w:sz w:val="21"/>
                <w:szCs w:val="21"/>
              </w:rPr>
              <w:t>存于危废暂存</w:t>
            </w:r>
            <w:proofErr w:type="gramEnd"/>
            <w:r w:rsidRPr="008A2411">
              <w:rPr>
                <w:rFonts w:ascii="Times New Roman"/>
                <w:color w:val="000000" w:themeColor="text1"/>
                <w:kern w:val="2"/>
                <w:sz w:val="21"/>
                <w:szCs w:val="21"/>
              </w:rPr>
              <w:t>间，交有资质单位处置</w:t>
            </w:r>
            <w:r w:rsidRPr="008A2411">
              <w:rPr>
                <w:rFonts w:ascii="Times New Roman"/>
                <w:color w:val="000000" w:themeColor="text1"/>
                <w:sz w:val="21"/>
                <w:szCs w:val="21"/>
              </w:rPr>
              <w:t>。</w:t>
            </w:r>
          </w:p>
        </w:tc>
      </w:tr>
      <w:tr w:rsidR="008A2411" w:rsidRPr="008A2411" w14:paraId="0547ACBB" w14:textId="77777777">
        <w:trPr>
          <w:trHeight w:val="242"/>
          <w:jc w:val="center"/>
        </w:trPr>
        <w:tc>
          <w:tcPr>
            <w:tcW w:w="563" w:type="pct"/>
            <w:vMerge/>
            <w:vAlign w:val="center"/>
          </w:tcPr>
          <w:p w14:paraId="3E8F0F68" w14:textId="77777777" w:rsidR="00B0005F" w:rsidRPr="008A2411" w:rsidRDefault="00B0005F">
            <w:pPr>
              <w:adjustRightInd w:val="0"/>
              <w:snapToGrid w:val="0"/>
              <w:spacing w:line="320" w:lineRule="exact"/>
              <w:jc w:val="center"/>
              <w:rPr>
                <w:rFonts w:ascii="Times New Roman"/>
                <w:color w:val="000000" w:themeColor="text1"/>
                <w:sz w:val="21"/>
                <w:szCs w:val="21"/>
              </w:rPr>
            </w:pPr>
            <w:bookmarkStart w:id="227" w:name="_Toc59404701"/>
            <w:bookmarkStart w:id="228" w:name="_Hlk68591992"/>
          </w:p>
        </w:tc>
        <w:tc>
          <w:tcPr>
            <w:tcW w:w="475" w:type="pct"/>
            <w:vMerge/>
            <w:vAlign w:val="center"/>
          </w:tcPr>
          <w:p w14:paraId="114EDCC7" w14:textId="77777777" w:rsidR="00B0005F" w:rsidRPr="008A2411" w:rsidRDefault="00B0005F">
            <w:pPr>
              <w:widowControl/>
              <w:adjustRightInd w:val="0"/>
              <w:snapToGrid w:val="0"/>
              <w:spacing w:line="320" w:lineRule="exact"/>
              <w:jc w:val="center"/>
              <w:rPr>
                <w:rFonts w:ascii="Times New Roman"/>
                <w:color w:val="000000" w:themeColor="text1"/>
                <w:sz w:val="21"/>
                <w:szCs w:val="21"/>
              </w:rPr>
            </w:pPr>
          </w:p>
        </w:tc>
        <w:tc>
          <w:tcPr>
            <w:tcW w:w="941" w:type="pct"/>
            <w:vAlign w:val="center"/>
          </w:tcPr>
          <w:p w14:paraId="1978898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kern w:val="2"/>
                <w:sz w:val="21"/>
                <w:szCs w:val="21"/>
              </w:rPr>
              <w:t>进口过滤器、溶液过滤器、净化气过滤器、重烃过滤器等过滤杂质</w:t>
            </w:r>
          </w:p>
        </w:tc>
        <w:tc>
          <w:tcPr>
            <w:tcW w:w="805" w:type="pct"/>
            <w:vAlign w:val="center"/>
          </w:tcPr>
          <w:p w14:paraId="40409B3E"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kern w:val="2"/>
                <w:sz w:val="21"/>
                <w:szCs w:val="21"/>
              </w:rPr>
              <w:t>杂质</w:t>
            </w:r>
          </w:p>
        </w:tc>
        <w:tc>
          <w:tcPr>
            <w:tcW w:w="2216" w:type="pct"/>
            <w:vAlign w:val="center"/>
          </w:tcPr>
          <w:p w14:paraId="099070E5" w14:textId="77777777" w:rsidR="00B0005F" w:rsidRPr="008A2411" w:rsidRDefault="00000000">
            <w:pPr>
              <w:adjustRightInd w:val="0"/>
              <w:snapToGrid w:val="0"/>
              <w:spacing w:line="320" w:lineRule="exact"/>
              <w:rPr>
                <w:rFonts w:ascii="Times New Roman"/>
                <w:color w:val="000000" w:themeColor="text1"/>
                <w:sz w:val="21"/>
                <w:szCs w:val="21"/>
              </w:rPr>
            </w:pPr>
            <w:r w:rsidRPr="008A2411">
              <w:rPr>
                <w:rFonts w:ascii="Times New Roman"/>
                <w:color w:val="000000" w:themeColor="text1"/>
                <w:sz w:val="21"/>
                <w:szCs w:val="21"/>
              </w:rPr>
              <w:t>产生量约</w:t>
            </w:r>
            <w:r w:rsidRPr="008A2411">
              <w:rPr>
                <w:rFonts w:ascii="Times New Roman"/>
                <w:color w:val="000000" w:themeColor="text1"/>
                <w:sz w:val="21"/>
                <w:szCs w:val="21"/>
              </w:rPr>
              <w:t>0.</w:t>
            </w:r>
            <w:r w:rsidRPr="008A2411">
              <w:rPr>
                <w:rFonts w:ascii="Times New Roman" w:hint="eastAsia"/>
                <w:color w:val="000000" w:themeColor="text1"/>
                <w:sz w:val="21"/>
                <w:szCs w:val="21"/>
              </w:rPr>
              <w:t>67</w:t>
            </w:r>
            <w:r w:rsidRPr="008A2411">
              <w:rPr>
                <w:rFonts w:ascii="Times New Roman"/>
                <w:color w:val="000000" w:themeColor="text1"/>
                <w:sz w:val="21"/>
                <w:szCs w:val="21"/>
              </w:rPr>
              <w:t>t/a</w:t>
            </w:r>
            <w:r w:rsidRPr="008A2411">
              <w:rPr>
                <w:rFonts w:ascii="Times New Roman"/>
                <w:color w:val="000000" w:themeColor="text1"/>
                <w:sz w:val="21"/>
                <w:szCs w:val="21"/>
              </w:rPr>
              <w:t>，</w:t>
            </w:r>
            <w:proofErr w:type="gramStart"/>
            <w:r w:rsidRPr="008A2411">
              <w:rPr>
                <w:rFonts w:ascii="Times New Roman"/>
                <w:color w:val="000000" w:themeColor="text1"/>
                <w:kern w:val="2"/>
                <w:sz w:val="21"/>
                <w:szCs w:val="21"/>
              </w:rPr>
              <w:t>存于危废暂存</w:t>
            </w:r>
            <w:proofErr w:type="gramEnd"/>
            <w:r w:rsidRPr="008A2411">
              <w:rPr>
                <w:rFonts w:ascii="Times New Roman"/>
                <w:color w:val="000000" w:themeColor="text1"/>
                <w:kern w:val="2"/>
                <w:sz w:val="21"/>
                <w:szCs w:val="21"/>
              </w:rPr>
              <w:t>间，交有资质单位处置</w:t>
            </w:r>
            <w:r w:rsidRPr="008A2411">
              <w:rPr>
                <w:rFonts w:ascii="Times New Roman"/>
                <w:color w:val="000000" w:themeColor="text1"/>
                <w:sz w:val="21"/>
                <w:szCs w:val="21"/>
              </w:rPr>
              <w:t>。</w:t>
            </w:r>
          </w:p>
        </w:tc>
      </w:tr>
      <w:tr w:rsidR="008A2411" w:rsidRPr="008A2411" w14:paraId="1CDE0C93" w14:textId="77777777">
        <w:trPr>
          <w:trHeight w:val="242"/>
          <w:jc w:val="center"/>
        </w:trPr>
        <w:tc>
          <w:tcPr>
            <w:tcW w:w="563" w:type="pct"/>
            <w:vMerge/>
            <w:vAlign w:val="center"/>
          </w:tcPr>
          <w:p w14:paraId="29BA2381" w14:textId="77777777" w:rsidR="00B0005F" w:rsidRPr="008A2411" w:rsidRDefault="00B0005F">
            <w:pPr>
              <w:adjustRightInd w:val="0"/>
              <w:snapToGrid w:val="0"/>
              <w:spacing w:line="320" w:lineRule="exact"/>
              <w:jc w:val="center"/>
              <w:rPr>
                <w:rFonts w:ascii="Times New Roman"/>
                <w:color w:val="000000" w:themeColor="text1"/>
                <w:sz w:val="21"/>
                <w:szCs w:val="21"/>
              </w:rPr>
            </w:pPr>
          </w:p>
        </w:tc>
        <w:tc>
          <w:tcPr>
            <w:tcW w:w="475" w:type="pct"/>
            <w:vMerge/>
            <w:vAlign w:val="center"/>
          </w:tcPr>
          <w:p w14:paraId="64F0CDB9" w14:textId="77777777" w:rsidR="00B0005F" w:rsidRPr="008A2411" w:rsidRDefault="00B0005F">
            <w:pPr>
              <w:widowControl/>
              <w:adjustRightInd w:val="0"/>
              <w:snapToGrid w:val="0"/>
              <w:spacing w:line="320" w:lineRule="exact"/>
              <w:jc w:val="center"/>
              <w:rPr>
                <w:rFonts w:ascii="Times New Roman"/>
                <w:color w:val="000000" w:themeColor="text1"/>
                <w:sz w:val="21"/>
                <w:szCs w:val="21"/>
              </w:rPr>
            </w:pPr>
          </w:p>
        </w:tc>
        <w:tc>
          <w:tcPr>
            <w:tcW w:w="941" w:type="pct"/>
            <w:vAlign w:val="center"/>
          </w:tcPr>
          <w:p w14:paraId="05112573"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化验室</w:t>
            </w:r>
          </w:p>
        </w:tc>
        <w:tc>
          <w:tcPr>
            <w:tcW w:w="805" w:type="pct"/>
            <w:vAlign w:val="center"/>
          </w:tcPr>
          <w:p w14:paraId="7DD66E30"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化验室废液</w:t>
            </w:r>
          </w:p>
        </w:tc>
        <w:tc>
          <w:tcPr>
            <w:tcW w:w="2216" w:type="pct"/>
            <w:vAlign w:val="center"/>
          </w:tcPr>
          <w:p w14:paraId="264E173B" w14:textId="77777777" w:rsidR="00B0005F" w:rsidRPr="008A2411" w:rsidRDefault="00000000">
            <w:pPr>
              <w:adjustRightInd w:val="0"/>
              <w:snapToGrid w:val="0"/>
              <w:spacing w:line="320" w:lineRule="exact"/>
              <w:rPr>
                <w:rFonts w:ascii="Times New Roman"/>
                <w:color w:val="000000" w:themeColor="text1"/>
                <w:kern w:val="2"/>
                <w:sz w:val="21"/>
                <w:szCs w:val="21"/>
              </w:rPr>
            </w:pPr>
            <w:r w:rsidRPr="008A2411">
              <w:rPr>
                <w:rFonts w:ascii="Times New Roman"/>
                <w:color w:val="000000" w:themeColor="text1"/>
                <w:sz w:val="21"/>
                <w:szCs w:val="21"/>
              </w:rPr>
              <w:t>产生量约</w:t>
            </w:r>
            <w:r w:rsidRPr="008A2411">
              <w:rPr>
                <w:rFonts w:ascii="Times New Roman"/>
                <w:color w:val="000000" w:themeColor="text1"/>
                <w:sz w:val="21"/>
                <w:szCs w:val="21"/>
              </w:rPr>
              <w:t>0.2t/a</w:t>
            </w:r>
            <w:r w:rsidRPr="008A2411">
              <w:rPr>
                <w:rFonts w:ascii="Times New Roman"/>
                <w:color w:val="000000" w:themeColor="text1"/>
                <w:sz w:val="21"/>
                <w:szCs w:val="21"/>
              </w:rPr>
              <w:t>，</w:t>
            </w:r>
            <w:r w:rsidRPr="008A2411">
              <w:rPr>
                <w:rFonts w:ascii="Times New Roman"/>
                <w:color w:val="000000" w:themeColor="text1"/>
                <w:kern w:val="2"/>
                <w:sz w:val="21"/>
                <w:szCs w:val="21"/>
              </w:rPr>
              <w:t>由废液收集桶收集，</w:t>
            </w:r>
            <w:proofErr w:type="gramStart"/>
            <w:r w:rsidRPr="008A2411">
              <w:rPr>
                <w:rFonts w:ascii="Times New Roman"/>
                <w:color w:val="000000" w:themeColor="text1"/>
                <w:kern w:val="2"/>
                <w:sz w:val="21"/>
                <w:szCs w:val="21"/>
              </w:rPr>
              <w:t>存于危废暂存</w:t>
            </w:r>
            <w:proofErr w:type="gramEnd"/>
            <w:r w:rsidRPr="008A2411">
              <w:rPr>
                <w:rFonts w:ascii="Times New Roman"/>
                <w:color w:val="000000" w:themeColor="text1"/>
                <w:kern w:val="2"/>
                <w:sz w:val="21"/>
                <w:szCs w:val="21"/>
              </w:rPr>
              <w:t>间，定期交有资质单位处置</w:t>
            </w:r>
          </w:p>
        </w:tc>
      </w:tr>
      <w:tr w:rsidR="00B0005F" w:rsidRPr="008A2411" w14:paraId="7C2C1BB2" w14:textId="77777777">
        <w:trPr>
          <w:trHeight w:val="242"/>
          <w:jc w:val="center"/>
        </w:trPr>
        <w:tc>
          <w:tcPr>
            <w:tcW w:w="563" w:type="pct"/>
            <w:vMerge/>
            <w:vAlign w:val="center"/>
          </w:tcPr>
          <w:p w14:paraId="0D952A96" w14:textId="77777777" w:rsidR="00B0005F" w:rsidRPr="008A2411" w:rsidRDefault="00B0005F">
            <w:pPr>
              <w:adjustRightInd w:val="0"/>
              <w:snapToGrid w:val="0"/>
              <w:spacing w:line="320" w:lineRule="exact"/>
              <w:jc w:val="center"/>
              <w:rPr>
                <w:rFonts w:ascii="Times New Roman"/>
                <w:color w:val="000000" w:themeColor="text1"/>
                <w:sz w:val="21"/>
                <w:szCs w:val="21"/>
              </w:rPr>
            </w:pPr>
          </w:p>
        </w:tc>
        <w:tc>
          <w:tcPr>
            <w:tcW w:w="475" w:type="pct"/>
            <w:vMerge/>
            <w:vAlign w:val="center"/>
          </w:tcPr>
          <w:p w14:paraId="2E8F8566" w14:textId="77777777" w:rsidR="00B0005F" w:rsidRPr="008A2411" w:rsidRDefault="00B0005F">
            <w:pPr>
              <w:widowControl/>
              <w:adjustRightInd w:val="0"/>
              <w:snapToGrid w:val="0"/>
              <w:spacing w:line="320" w:lineRule="exact"/>
              <w:jc w:val="center"/>
              <w:rPr>
                <w:rFonts w:ascii="Times New Roman"/>
                <w:color w:val="000000" w:themeColor="text1"/>
                <w:sz w:val="21"/>
                <w:szCs w:val="21"/>
              </w:rPr>
            </w:pPr>
          </w:p>
        </w:tc>
        <w:tc>
          <w:tcPr>
            <w:tcW w:w="941" w:type="pct"/>
            <w:vAlign w:val="center"/>
          </w:tcPr>
          <w:p w14:paraId="52FD69C7" w14:textId="77777777" w:rsidR="00B0005F" w:rsidRPr="008A2411" w:rsidRDefault="00000000">
            <w:pPr>
              <w:pStyle w:val="WJ5"/>
              <w:rPr>
                <w:rFonts w:ascii="Times New Roman" w:hAnsi="Times New Roman"/>
                <w:color w:val="000000" w:themeColor="text1"/>
              </w:rPr>
            </w:pPr>
            <w:r w:rsidRPr="008A2411">
              <w:rPr>
                <w:rFonts w:ascii="Times New Roman" w:hAnsi="Times New Roman" w:hint="eastAsia"/>
                <w:color w:val="000000" w:themeColor="text1"/>
              </w:rPr>
              <w:t>导热油炉</w:t>
            </w:r>
          </w:p>
        </w:tc>
        <w:tc>
          <w:tcPr>
            <w:tcW w:w="805" w:type="pct"/>
            <w:vAlign w:val="center"/>
          </w:tcPr>
          <w:p w14:paraId="5ECFDB52" w14:textId="77777777" w:rsidR="00B0005F" w:rsidRPr="008A2411" w:rsidRDefault="00000000">
            <w:pPr>
              <w:pStyle w:val="WJ5"/>
              <w:rPr>
                <w:rFonts w:ascii="Times New Roman" w:hAnsi="Times New Roman"/>
                <w:color w:val="000000" w:themeColor="text1"/>
              </w:rPr>
            </w:pPr>
            <w:r w:rsidRPr="008A2411">
              <w:rPr>
                <w:rFonts w:ascii="Times New Roman" w:hAnsi="Times New Roman" w:hint="eastAsia"/>
                <w:color w:val="000000" w:themeColor="text1"/>
              </w:rPr>
              <w:t>废导热油</w:t>
            </w:r>
          </w:p>
        </w:tc>
        <w:tc>
          <w:tcPr>
            <w:tcW w:w="2216" w:type="pct"/>
            <w:vAlign w:val="center"/>
          </w:tcPr>
          <w:p w14:paraId="671DC56F" w14:textId="44674476" w:rsidR="00B0005F" w:rsidRPr="008A2411" w:rsidRDefault="00237F5D">
            <w:pPr>
              <w:pStyle w:val="WJ5"/>
              <w:rPr>
                <w:rFonts w:ascii="Times New Roman" w:hAnsi="Times New Roman"/>
                <w:color w:val="000000" w:themeColor="text1"/>
              </w:rPr>
            </w:pPr>
            <w:r w:rsidRPr="008A2411">
              <w:rPr>
                <w:rFonts w:ascii="Times New Roman"/>
                <w:color w:val="000000" w:themeColor="text1"/>
              </w:rPr>
              <w:t>产生量约</w:t>
            </w:r>
            <w:r>
              <w:rPr>
                <w:rFonts w:ascii="Times New Roman"/>
                <w:color w:val="000000" w:themeColor="text1"/>
              </w:rPr>
              <w:t>12.5</w:t>
            </w:r>
            <w:r w:rsidRPr="008A2411">
              <w:rPr>
                <w:rFonts w:ascii="Times New Roman"/>
                <w:color w:val="000000" w:themeColor="text1"/>
              </w:rPr>
              <w:t>t/a</w:t>
            </w:r>
            <w:r w:rsidRPr="008A2411">
              <w:rPr>
                <w:rFonts w:ascii="Times New Roman"/>
                <w:color w:val="000000" w:themeColor="text1"/>
              </w:rPr>
              <w:t>，</w:t>
            </w:r>
            <w:proofErr w:type="gramStart"/>
            <w:r w:rsidRPr="008A2411">
              <w:rPr>
                <w:rFonts w:ascii="Times New Roman"/>
                <w:color w:val="000000" w:themeColor="text1"/>
              </w:rPr>
              <w:t>存于危废暂存</w:t>
            </w:r>
            <w:proofErr w:type="gramEnd"/>
            <w:r w:rsidRPr="008A2411">
              <w:rPr>
                <w:rFonts w:ascii="Times New Roman"/>
                <w:color w:val="000000" w:themeColor="text1"/>
              </w:rPr>
              <w:t>间，</w:t>
            </w:r>
            <w:r w:rsidR="004B4CD9" w:rsidRPr="008A2411">
              <w:rPr>
                <w:rFonts w:ascii="Times New Roman" w:hAnsi="Times New Roman" w:hint="eastAsia"/>
                <w:color w:val="000000" w:themeColor="text1"/>
              </w:rPr>
              <w:t>交由资质单位处置</w:t>
            </w:r>
          </w:p>
        </w:tc>
      </w:tr>
    </w:tbl>
    <w:p w14:paraId="432F7CD7" w14:textId="77777777" w:rsidR="00B0005F" w:rsidRPr="008A2411" w:rsidRDefault="00B0005F">
      <w:pPr>
        <w:rPr>
          <w:rFonts w:ascii="Times New Roman"/>
          <w:color w:val="000000" w:themeColor="text1"/>
        </w:rPr>
      </w:pPr>
    </w:p>
    <w:p w14:paraId="0FD523A4" w14:textId="77777777" w:rsidR="00B0005F" w:rsidRPr="008A2411" w:rsidRDefault="00000000">
      <w:pPr>
        <w:pStyle w:val="WJ2"/>
        <w:snapToGrid/>
        <w:spacing w:line="360" w:lineRule="auto"/>
        <w:rPr>
          <w:rFonts w:ascii="Times New Roman" w:hAnsi="Times New Roman"/>
          <w:color w:val="000000" w:themeColor="text1"/>
        </w:rPr>
      </w:pPr>
      <w:bookmarkStart w:id="229" w:name="_Toc108365929"/>
      <w:bookmarkStart w:id="230" w:name="_Toc109170759"/>
      <w:r w:rsidRPr="008A2411">
        <w:rPr>
          <w:rFonts w:ascii="Times New Roman" w:hAnsi="Times New Roman"/>
          <w:color w:val="000000" w:themeColor="text1"/>
        </w:rPr>
        <w:t>3.</w:t>
      </w:r>
      <w:r w:rsidRPr="008A2411">
        <w:rPr>
          <w:rFonts w:ascii="Times New Roman" w:hAnsi="Times New Roman" w:hint="eastAsia"/>
          <w:color w:val="000000" w:themeColor="text1"/>
        </w:rPr>
        <w:t>3</w:t>
      </w:r>
      <w:r w:rsidRPr="008A2411">
        <w:rPr>
          <w:rFonts w:ascii="Times New Roman" w:hAnsi="Times New Roman" w:hint="eastAsia"/>
          <w:color w:val="000000" w:themeColor="text1"/>
        </w:rPr>
        <w:t>与项目有关的既有工程情况介绍</w:t>
      </w:r>
      <w:bookmarkEnd w:id="229"/>
      <w:bookmarkEnd w:id="230"/>
    </w:p>
    <w:p w14:paraId="7EC514C1" w14:textId="5AA9129F" w:rsidR="00B0005F" w:rsidRPr="008A2411" w:rsidRDefault="00000000">
      <w:pPr>
        <w:adjustRightInd w:val="0"/>
        <w:snapToGrid w:val="0"/>
        <w:spacing w:line="360" w:lineRule="auto"/>
        <w:ind w:firstLineChars="200" w:firstLine="480"/>
        <w:rPr>
          <w:rFonts w:ascii="Times New Roman"/>
          <w:color w:val="000000" w:themeColor="text1"/>
        </w:rPr>
      </w:pPr>
      <w:r w:rsidRPr="008A2411">
        <w:rPr>
          <w:rFonts w:ascii="Times New Roman" w:hint="eastAsia"/>
          <w:color w:val="000000" w:themeColor="text1"/>
        </w:rPr>
        <w:t>与本项目有关的既有工程为</w:t>
      </w:r>
      <w:r w:rsidRPr="008A2411">
        <w:rPr>
          <w:rFonts w:ascii="Times New Roman"/>
          <w:color w:val="000000" w:themeColor="text1"/>
        </w:rPr>
        <w:t>宣汉宏</w:t>
      </w:r>
      <w:proofErr w:type="gramStart"/>
      <w:r w:rsidRPr="008A2411">
        <w:rPr>
          <w:rFonts w:ascii="Times New Roman"/>
          <w:color w:val="000000" w:themeColor="text1"/>
        </w:rPr>
        <w:t>浩</w:t>
      </w:r>
      <w:proofErr w:type="gramEnd"/>
      <w:r w:rsidRPr="008A2411">
        <w:rPr>
          <w:rFonts w:ascii="Times New Roman"/>
          <w:color w:val="000000" w:themeColor="text1"/>
        </w:rPr>
        <w:t>能源科技发展有限公司天然气综合利用项目</w:t>
      </w:r>
      <w:r w:rsidRPr="008A2411">
        <w:rPr>
          <w:rFonts w:ascii="Times New Roman" w:hint="eastAsia"/>
          <w:color w:val="000000" w:themeColor="text1"/>
        </w:rPr>
        <w:t>，该项目位于本项目西侧约</w:t>
      </w:r>
      <w:r w:rsidRPr="008A2411">
        <w:rPr>
          <w:rFonts w:ascii="Times New Roman" w:hint="eastAsia"/>
          <w:color w:val="000000" w:themeColor="text1"/>
        </w:rPr>
        <w:t>1.8km</w:t>
      </w:r>
      <w:r w:rsidRPr="008A2411">
        <w:rPr>
          <w:rFonts w:ascii="Times New Roman" w:hint="eastAsia"/>
          <w:color w:val="000000" w:themeColor="text1"/>
        </w:rPr>
        <w:t>，</w:t>
      </w:r>
      <w:r w:rsidRPr="008A2411">
        <w:rPr>
          <w:rFonts w:ascii="Times New Roman"/>
          <w:color w:val="000000" w:themeColor="text1"/>
        </w:rPr>
        <w:t>该项目于</w:t>
      </w:r>
      <w:r w:rsidRPr="008A2411">
        <w:rPr>
          <w:rFonts w:ascii="Times New Roman"/>
          <w:color w:val="000000" w:themeColor="text1"/>
        </w:rPr>
        <w:t>2012</w:t>
      </w:r>
      <w:r w:rsidRPr="008A2411">
        <w:rPr>
          <w:rFonts w:ascii="Times New Roman"/>
          <w:color w:val="000000" w:themeColor="text1"/>
        </w:rPr>
        <w:t>年</w:t>
      </w:r>
      <w:r w:rsidRPr="008A2411">
        <w:rPr>
          <w:rFonts w:ascii="Times New Roman"/>
          <w:color w:val="000000" w:themeColor="text1"/>
        </w:rPr>
        <w:t>4</w:t>
      </w:r>
      <w:r w:rsidRPr="008A2411">
        <w:rPr>
          <w:rFonts w:ascii="Times New Roman"/>
          <w:color w:val="000000" w:themeColor="text1"/>
        </w:rPr>
        <w:t>月</w:t>
      </w:r>
      <w:r w:rsidRPr="008A2411">
        <w:rPr>
          <w:rFonts w:ascii="Times New Roman"/>
          <w:color w:val="000000" w:themeColor="text1"/>
        </w:rPr>
        <w:t>17</w:t>
      </w:r>
      <w:r w:rsidRPr="008A2411">
        <w:rPr>
          <w:rFonts w:ascii="Times New Roman"/>
          <w:color w:val="000000" w:themeColor="text1"/>
        </w:rPr>
        <w:t>日在四川省发展和改革委员会备案，备案号：川投资备</w:t>
      </w:r>
      <w:r w:rsidRPr="008A2411">
        <w:rPr>
          <w:rFonts w:ascii="Times New Roman"/>
          <w:color w:val="000000" w:themeColor="text1"/>
        </w:rPr>
        <w:t>[51000012041701]0025</w:t>
      </w:r>
      <w:r w:rsidRPr="008A2411">
        <w:rPr>
          <w:rFonts w:ascii="Times New Roman"/>
          <w:color w:val="000000" w:themeColor="text1"/>
        </w:rPr>
        <w:t>号；</w:t>
      </w:r>
      <w:r w:rsidRPr="008A2411">
        <w:rPr>
          <w:rFonts w:ascii="Times New Roman"/>
          <w:color w:val="000000" w:themeColor="text1"/>
        </w:rPr>
        <w:t>2013</w:t>
      </w:r>
      <w:r w:rsidRPr="008A2411">
        <w:rPr>
          <w:rFonts w:ascii="Times New Roman"/>
          <w:color w:val="000000" w:themeColor="text1"/>
        </w:rPr>
        <w:t>年</w:t>
      </w:r>
      <w:r w:rsidRPr="008A2411">
        <w:rPr>
          <w:rFonts w:ascii="Times New Roman"/>
          <w:color w:val="000000" w:themeColor="text1"/>
        </w:rPr>
        <w:t>4</w:t>
      </w:r>
      <w:r w:rsidRPr="008A2411">
        <w:rPr>
          <w:rFonts w:ascii="Times New Roman"/>
          <w:color w:val="000000" w:themeColor="text1"/>
        </w:rPr>
        <w:t>月</w:t>
      </w:r>
      <w:r w:rsidRPr="008A2411">
        <w:rPr>
          <w:rFonts w:ascii="Times New Roman"/>
          <w:color w:val="000000" w:themeColor="text1"/>
        </w:rPr>
        <w:t>11</w:t>
      </w:r>
      <w:r w:rsidRPr="008A2411">
        <w:rPr>
          <w:rFonts w:ascii="Times New Roman"/>
          <w:color w:val="000000" w:themeColor="text1"/>
        </w:rPr>
        <w:t>日，四川省发展和改革委员会以</w:t>
      </w:r>
      <w:proofErr w:type="gramStart"/>
      <w:r w:rsidRPr="008A2411">
        <w:rPr>
          <w:rFonts w:ascii="Times New Roman"/>
          <w:color w:val="000000" w:themeColor="text1"/>
        </w:rPr>
        <w:t>川发改产业函</w:t>
      </w:r>
      <w:proofErr w:type="gramEnd"/>
      <w:r w:rsidRPr="008A2411">
        <w:rPr>
          <w:rFonts w:ascii="Times New Roman"/>
          <w:color w:val="000000" w:themeColor="text1"/>
        </w:rPr>
        <w:t>〔</w:t>
      </w:r>
      <w:r w:rsidRPr="008A2411">
        <w:rPr>
          <w:rFonts w:ascii="Times New Roman"/>
          <w:color w:val="000000" w:themeColor="text1"/>
        </w:rPr>
        <w:t>2013</w:t>
      </w:r>
      <w:r w:rsidRPr="008A2411">
        <w:rPr>
          <w:rFonts w:ascii="Times New Roman"/>
          <w:color w:val="000000" w:themeColor="text1"/>
        </w:rPr>
        <w:t>〕</w:t>
      </w:r>
      <w:r w:rsidRPr="008A2411">
        <w:rPr>
          <w:rFonts w:ascii="Times New Roman"/>
          <w:color w:val="000000" w:themeColor="text1"/>
        </w:rPr>
        <w:t>468</w:t>
      </w:r>
      <w:r w:rsidRPr="008A2411">
        <w:rPr>
          <w:rFonts w:ascii="Times New Roman"/>
          <w:color w:val="000000" w:themeColor="text1"/>
        </w:rPr>
        <w:t>号同意项目备案文件延长至</w:t>
      </w:r>
      <w:r w:rsidRPr="008A2411">
        <w:rPr>
          <w:rFonts w:ascii="Times New Roman"/>
          <w:color w:val="000000" w:themeColor="text1"/>
        </w:rPr>
        <w:t>2014</w:t>
      </w:r>
      <w:r w:rsidRPr="008A2411">
        <w:rPr>
          <w:rFonts w:ascii="Times New Roman"/>
          <w:color w:val="000000" w:themeColor="text1"/>
        </w:rPr>
        <w:t>年</w:t>
      </w:r>
      <w:r w:rsidRPr="008A2411">
        <w:rPr>
          <w:rFonts w:ascii="Times New Roman"/>
          <w:color w:val="000000" w:themeColor="text1"/>
        </w:rPr>
        <w:t>4</w:t>
      </w:r>
      <w:r w:rsidRPr="008A2411">
        <w:rPr>
          <w:rFonts w:ascii="Times New Roman"/>
          <w:color w:val="000000" w:themeColor="text1"/>
        </w:rPr>
        <w:t>月；</w:t>
      </w:r>
      <w:r w:rsidRPr="008A2411">
        <w:rPr>
          <w:rFonts w:ascii="Times New Roman"/>
          <w:color w:val="000000" w:themeColor="text1"/>
        </w:rPr>
        <w:t>2014</w:t>
      </w:r>
      <w:r w:rsidRPr="008A2411">
        <w:rPr>
          <w:rFonts w:ascii="Times New Roman"/>
          <w:color w:val="000000" w:themeColor="text1"/>
        </w:rPr>
        <w:t>年</w:t>
      </w:r>
      <w:r w:rsidRPr="008A2411">
        <w:rPr>
          <w:rFonts w:ascii="Times New Roman"/>
          <w:color w:val="000000" w:themeColor="text1"/>
        </w:rPr>
        <w:t>3</w:t>
      </w:r>
      <w:r w:rsidRPr="008A2411">
        <w:rPr>
          <w:rFonts w:ascii="Times New Roman"/>
          <w:color w:val="000000" w:themeColor="text1"/>
        </w:rPr>
        <w:t>月，四川省环境保护科学研究院编制完成了</w:t>
      </w:r>
      <w:proofErr w:type="gramStart"/>
      <w:r w:rsidRPr="008A2411">
        <w:rPr>
          <w:rFonts w:ascii="Times New Roman"/>
          <w:color w:val="000000" w:themeColor="text1"/>
        </w:rPr>
        <w:t>项目环</w:t>
      </w:r>
      <w:proofErr w:type="gramEnd"/>
      <w:r w:rsidRPr="008A2411">
        <w:rPr>
          <w:rFonts w:ascii="Times New Roman"/>
          <w:color w:val="000000" w:themeColor="text1"/>
        </w:rPr>
        <w:t>评，《宣汉宏浩能源科技发展有限公司天然气综合利用项目环境影响报告书》；</w:t>
      </w:r>
      <w:r w:rsidRPr="008A2411">
        <w:rPr>
          <w:rFonts w:ascii="Times New Roman"/>
          <w:color w:val="000000" w:themeColor="text1"/>
        </w:rPr>
        <w:t>2014</w:t>
      </w:r>
      <w:r w:rsidRPr="008A2411">
        <w:rPr>
          <w:rFonts w:ascii="Times New Roman"/>
          <w:color w:val="000000" w:themeColor="text1"/>
        </w:rPr>
        <w:t>年</w:t>
      </w:r>
      <w:r w:rsidRPr="008A2411">
        <w:rPr>
          <w:rFonts w:ascii="Times New Roman"/>
          <w:color w:val="000000" w:themeColor="text1"/>
        </w:rPr>
        <w:t>7</w:t>
      </w:r>
      <w:r w:rsidRPr="008A2411">
        <w:rPr>
          <w:rFonts w:ascii="Times New Roman"/>
          <w:color w:val="000000" w:themeColor="text1"/>
        </w:rPr>
        <w:t>月</w:t>
      </w:r>
      <w:r w:rsidRPr="008A2411">
        <w:rPr>
          <w:rFonts w:ascii="Times New Roman"/>
          <w:color w:val="000000" w:themeColor="text1"/>
        </w:rPr>
        <w:t>2</w:t>
      </w:r>
      <w:r w:rsidRPr="008A2411">
        <w:rPr>
          <w:rFonts w:ascii="Times New Roman"/>
          <w:color w:val="000000" w:themeColor="text1"/>
        </w:rPr>
        <w:t>日，四川省环境保护厅</w:t>
      </w:r>
      <w:proofErr w:type="gramStart"/>
      <w:r w:rsidR="0059423D" w:rsidRPr="008A2411">
        <w:rPr>
          <w:rFonts w:ascii="Times New Roman" w:hint="eastAsia"/>
          <w:color w:val="000000" w:themeColor="text1"/>
        </w:rPr>
        <w:t>以</w:t>
      </w:r>
      <w:r w:rsidRPr="008A2411">
        <w:rPr>
          <w:rFonts w:ascii="Times New Roman"/>
          <w:color w:val="000000" w:themeColor="text1"/>
        </w:rPr>
        <w:t>川环审批</w:t>
      </w:r>
      <w:proofErr w:type="gramEnd"/>
      <w:r w:rsidRPr="008A2411">
        <w:rPr>
          <w:rFonts w:ascii="Times New Roman"/>
          <w:color w:val="000000" w:themeColor="text1"/>
        </w:rPr>
        <w:t>[2014]359</w:t>
      </w:r>
      <w:r w:rsidRPr="008A2411">
        <w:rPr>
          <w:rFonts w:ascii="Times New Roman"/>
          <w:color w:val="000000" w:themeColor="text1"/>
        </w:rPr>
        <w:t>号</w:t>
      </w:r>
      <w:proofErr w:type="gramStart"/>
      <w:r w:rsidRPr="008A2411">
        <w:rPr>
          <w:rFonts w:ascii="Times New Roman"/>
          <w:color w:val="000000" w:themeColor="text1"/>
        </w:rPr>
        <w:t>作出</w:t>
      </w:r>
      <w:proofErr w:type="gramEnd"/>
      <w:r w:rsidRPr="008A2411">
        <w:rPr>
          <w:rFonts w:ascii="Times New Roman"/>
          <w:color w:val="000000" w:themeColor="text1"/>
        </w:rPr>
        <w:t>审查批复，《关于宣汉宏浩能源科技发展有限公司天然气综合利用项目环境影响报告书的批复》。该项目于</w:t>
      </w:r>
      <w:r w:rsidRPr="008A2411">
        <w:rPr>
          <w:rFonts w:ascii="Times New Roman"/>
          <w:color w:val="000000" w:themeColor="text1"/>
        </w:rPr>
        <w:t>2015</w:t>
      </w:r>
      <w:r w:rsidRPr="008A2411">
        <w:rPr>
          <w:rFonts w:ascii="Times New Roman"/>
          <w:color w:val="000000" w:themeColor="text1"/>
        </w:rPr>
        <w:t>年</w:t>
      </w:r>
      <w:r w:rsidRPr="008A2411">
        <w:rPr>
          <w:rFonts w:ascii="Times New Roman"/>
          <w:color w:val="000000" w:themeColor="text1"/>
        </w:rPr>
        <w:t>11</w:t>
      </w:r>
      <w:r w:rsidRPr="008A2411">
        <w:rPr>
          <w:rFonts w:ascii="Times New Roman"/>
          <w:color w:val="000000" w:themeColor="text1"/>
        </w:rPr>
        <w:t>月开工建设，</w:t>
      </w:r>
      <w:r w:rsidRPr="008A2411">
        <w:rPr>
          <w:rFonts w:ascii="Times New Roman"/>
          <w:color w:val="000000" w:themeColor="text1"/>
        </w:rPr>
        <w:t>2017</w:t>
      </w:r>
      <w:r w:rsidRPr="008A2411">
        <w:rPr>
          <w:rFonts w:ascii="Times New Roman"/>
          <w:color w:val="000000" w:themeColor="text1"/>
        </w:rPr>
        <w:t>年</w:t>
      </w:r>
      <w:r w:rsidRPr="008A2411">
        <w:rPr>
          <w:rFonts w:ascii="Times New Roman"/>
          <w:color w:val="000000" w:themeColor="text1"/>
        </w:rPr>
        <w:t>12</w:t>
      </w:r>
      <w:r w:rsidRPr="008A2411">
        <w:rPr>
          <w:rFonts w:ascii="Times New Roman"/>
          <w:color w:val="000000" w:themeColor="text1"/>
        </w:rPr>
        <w:t>月竣工，并建成了一套日处理量</w:t>
      </w:r>
      <w:r w:rsidRPr="008A2411">
        <w:rPr>
          <w:rFonts w:ascii="Times New Roman"/>
          <w:color w:val="000000" w:themeColor="text1"/>
        </w:rPr>
        <w:t>30×10</w:t>
      </w:r>
      <w:r w:rsidRPr="008A2411">
        <w:rPr>
          <w:rFonts w:ascii="Times New Roman"/>
          <w:color w:val="000000" w:themeColor="text1"/>
          <w:vertAlign w:val="superscript"/>
        </w:rPr>
        <w:t>4</w:t>
      </w:r>
      <w:r w:rsidRPr="008A2411">
        <w:rPr>
          <w:rFonts w:ascii="Times New Roman"/>
          <w:color w:val="000000" w:themeColor="text1"/>
        </w:rPr>
        <w:t>Nm</w:t>
      </w:r>
      <w:r w:rsidRPr="008A2411">
        <w:rPr>
          <w:rFonts w:ascii="Times New Roman"/>
          <w:color w:val="000000" w:themeColor="text1"/>
          <w:vertAlign w:val="superscript"/>
        </w:rPr>
        <w:t>3</w:t>
      </w:r>
      <w:r w:rsidRPr="008A2411">
        <w:rPr>
          <w:rFonts w:ascii="Times New Roman"/>
          <w:color w:val="000000" w:themeColor="text1"/>
        </w:rPr>
        <w:t>天然气的生产装置。于</w:t>
      </w:r>
      <w:r w:rsidRPr="008A2411">
        <w:rPr>
          <w:rFonts w:ascii="Times New Roman"/>
          <w:color w:val="000000" w:themeColor="text1"/>
        </w:rPr>
        <w:t>2018</w:t>
      </w:r>
      <w:r w:rsidRPr="008A2411">
        <w:rPr>
          <w:rFonts w:ascii="Times New Roman"/>
          <w:color w:val="000000" w:themeColor="text1"/>
        </w:rPr>
        <w:t>年</w:t>
      </w:r>
      <w:r w:rsidRPr="008A2411">
        <w:rPr>
          <w:rFonts w:ascii="Times New Roman"/>
          <w:color w:val="000000" w:themeColor="text1"/>
        </w:rPr>
        <w:t>7</w:t>
      </w:r>
      <w:r w:rsidRPr="008A2411">
        <w:rPr>
          <w:rFonts w:ascii="Times New Roman"/>
          <w:color w:val="000000" w:themeColor="text1"/>
        </w:rPr>
        <w:t>月完成了项目竣工环境保护验收工作。</w:t>
      </w:r>
    </w:p>
    <w:p w14:paraId="25D9B0D0" w14:textId="77777777" w:rsidR="00B0005F" w:rsidRPr="008A2411" w:rsidRDefault="00000000">
      <w:pPr>
        <w:adjustRightInd w:val="0"/>
        <w:snapToGrid w:val="0"/>
        <w:spacing w:line="360" w:lineRule="auto"/>
        <w:ind w:firstLineChars="200" w:firstLine="480"/>
        <w:rPr>
          <w:rFonts w:ascii="Times New Roman"/>
          <w:color w:val="000000" w:themeColor="text1"/>
        </w:rPr>
      </w:pPr>
      <w:r w:rsidRPr="008A2411">
        <w:rPr>
          <w:rFonts w:ascii="Times New Roman" w:hint="eastAsia"/>
          <w:color w:val="000000" w:themeColor="text1"/>
        </w:rPr>
        <w:t>项目执行了环保审批手续，目前</w:t>
      </w:r>
      <w:r w:rsidRPr="008A2411">
        <w:rPr>
          <w:rFonts w:ascii="Times New Roman"/>
          <w:color w:val="000000" w:themeColor="text1"/>
        </w:rPr>
        <w:t>主体工程以及配套环保设施运行正常</w:t>
      </w:r>
      <w:r w:rsidRPr="008A2411">
        <w:rPr>
          <w:rFonts w:ascii="Times New Roman" w:hint="eastAsia"/>
          <w:color w:val="000000" w:themeColor="text1"/>
        </w:rPr>
        <w:t>，符合“三同时”的相关要求。实际总投资</w:t>
      </w:r>
      <w:r w:rsidRPr="008A2411">
        <w:rPr>
          <w:rFonts w:ascii="Times New Roman" w:hint="eastAsia"/>
          <w:color w:val="000000" w:themeColor="text1"/>
        </w:rPr>
        <w:t>102651.17</w:t>
      </w:r>
      <w:r w:rsidRPr="008A2411">
        <w:rPr>
          <w:rFonts w:ascii="Times New Roman" w:hint="eastAsia"/>
          <w:color w:val="000000" w:themeColor="text1"/>
        </w:rPr>
        <w:t>万元，其中环保投资</w:t>
      </w:r>
      <w:r w:rsidRPr="008A2411">
        <w:rPr>
          <w:rFonts w:ascii="Times New Roman" w:hint="eastAsia"/>
          <w:color w:val="000000" w:themeColor="text1"/>
        </w:rPr>
        <w:t>479</w:t>
      </w:r>
      <w:r w:rsidRPr="008A2411">
        <w:rPr>
          <w:rFonts w:ascii="Times New Roman" w:hint="eastAsia"/>
          <w:color w:val="000000" w:themeColor="text1"/>
        </w:rPr>
        <w:t>万元，</w:t>
      </w:r>
      <w:r w:rsidRPr="008A2411">
        <w:rPr>
          <w:rFonts w:ascii="Times New Roman" w:hint="eastAsia"/>
          <w:color w:val="000000" w:themeColor="text1"/>
        </w:rPr>
        <w:lastRenderedPageBreak/>
        <w:t>占总投资</w:t>
      </w:r>
      <w:r w:rsidRPr="008A2411">
        <w:rPr>
          <w:rFonts w:ascii="Times New Roman" w:hint="eastAsia"/>
          <w:color w:val="000000" w:themeColor="text1"/>
        </w:rPr>
        <w:t>0.47%</w:t>
      </w:r>
      <w:r w:rsidRPr="008A2411">
        <w:rPr>
          <w:rFonts w:ascii="Times New Roman" w:hint="eastAsia"/>
          <w:color w:val="000000" w:themeColor="text1"/>
        </w:rPr>
        <w:t>。</w:t>
      </w:r>
      <w:r w:rsidRPr="008A2411">
        <w:rPr>
          <w:rFonts w:ascii="Times New Roman"/>
          <w:color w:val="000000" w:themeColor="text1"/>
        </w:rPr>
        <w:t>见表</w:t>
      </w:r>
      <w:r w:rsidRPr="008A2411">
        <w:rPr>
          <w:rFonts w:ascii="Times New Roman" w:hint="eastAsia"/>
          <w:color w:val="000000" w:themeColor="text1"/>
        </w:rPr>
        <w:t>3.2-16</w:t>
      </w:r>
      <w:r w:rsidRPr="008A2411">
        <w:rPr>
          <w:rFonts w:ascii="Times New Roman"/>
          <w:color w:val="000000" w:themeColor="text1"/>
        </w:rPr>
        <w:t>。</w:t>
      </w:r>
    </w:p>
    <w:p w14:paraId="2B60EF2F" w14:textId="77777777" w:rsidR="00B0005F" w:rsidRPr="008A2411" w:rsidRDefault="00000000">
      <w:pPr>
        <w:jc w:val="center"/>
        <w:rPr>
          <w:rFonts w:ascii="Times New Roman" w:eastAsia="黑体"/>
          <w:color w:val="000000" w:themeColor="text1"/>
          <w:szCs w:val="24"/>
        </w:rPr>
      </w:pPr>
      <w:r w:rsidRPr="008A2411">
        <w:rPr>
          <w:rFonts w:ascii="Times New Roman" w:eastAsia="黑体"/>
          <w:color w:val="000000" w:themeColor="text1"/>
          <w:szCs w:val="24"/>
        </w:rPr>
        <w:t>表</w:t>
      </w:r>
      <w:r w:rsidRPr="008A2411">
        <w:rPr>
          <w:rFonts w:ascii="Times New Roman" w:eastAsia="黑体" w:hint="eastAsia"/>
          <w:color w:val="000000" w:themeColor="text1"/>
          <w:szCs w:val="24"/>
        </w:rPr>
        <w:t>3.2-17</w:t>
      </w:r>
      <w:r w:rsidRPr="008A2411">
        <w:rPr>
          <w:rFonts w:ascii="Times New Roman" w:eastAsia="黑体"/>
          <w:color w:val="000000" w:themeColor="text1"/>
          <w:szCs w:val="24"/>
        </w:rPr>
        <w:t xml:space="preserve">  </w:t>
      </w:r>
      <w:r w:rsidRPr="008A2411">
        <w:rPr>
          <w:rFonts w:ascii="Times New Roman" w:eastAsia="黑体" w:hint="eastAsia"/>
          <w:color w:val="000000" w:themeColor="text1"/>
          <w:szCs w:val="24"/>
        </w:rPr>
        <w:t xml:space="preserve"> </w:t>
      </w:r>
      <w:r w:rsidRPr="008A2411">
        <w:rPr>
          <w:rFonts w:ascii="Times New Roman" w:eastAsia="黑体" w:hint="eastAsia"/>
          <w:color w:val="000000" w:themeColor="text1"/>
          <w:szCs w:val="24"/>
        </w:rPr>
        <w:t>既有</w:t>
      </w:r>
      <w:r w:rsidRPr="008A2411">
        <w:rPr>
          <w:rFonts w:ascii="Times New Roman" w:eastAsia="黑体"/>
          <w:color w:val="000000" w:themeColor="text1"/>
          <w:szCs w:val="24"/>
        </w:rPr>
        <w:t>天然气综合利用项目</w:t>
      </w:r>
      <w:r w:rsidRPr="008A2411">
        <w:rPr>
          <w:rFonts w:ascii="Times New Roman" w:eastAsia="黑体" w:hint="eastAsia"/>
          <w:color w:val="000000" w:themeColor="text1"/>
          <w:szCs w:val="24"/>
        </w:rPr>
        <w:t>（一期）</w:t>
      </w:r>
      <w:r w:rsidRPr="008A2411">
        <w:rPr>
          <w:rFonts w:ascii="Times New Roman" w:eastAsia="黑体"/>
          <w:color w:val="000000" w:themeColor="text1"/>
          <w:szCs w:val="24"/>
        </w:rPr>
        <w:t>环保设施（措施）</w:t>
      </w:r>
      <w:r w:rsidRPr="008A2411">
        <w:rPr>
          <w:rFonts w:ascii="Times New Roman" w:eastAsia="黑体" w:hint="eastAsia"/>
          <w:color w:val="000000" w:themeColor="text1"/>
          <w:szCs w:val="24"/>
        </w:rPr>
        <w:t>与本工程拟建环保措施</w:t>
      </w:r>
      <w:r w:rsidRPr="008A2411">
        <w:rPr>
          <w:rFonts w:ascii="Times New Roman" w:eastAsia="黑体"/>
          <w:color w:val="000000" w:themeColor="text1"/>
          <w:szCs w:val="24"/>
        </w:rPr>
        <w:t>对照表</w:t>
      </w:r>
    </w:p>
    <w:tbl>
      <w:tblPr>
        <w:tblW w:w="900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2"/>
        <w:gridCol w:w="778"/>
        <w:gridCol w:w="1329"/>
        <w:gridCol w:w="2293"/>
        <w:gridCol w:w="2800"/>
        <w:gridCol w:w="1101"/>
      </w:tblGrid>
      <w:tr w:rsidR="008A2411" w:rsidRPr="008A2411" w14:paraId="310CE71C" w14:textId="77777777">
        <w:trPr>
          <w:trHeight w:val="454"/>
          <w:tblHeader/>
          <w:jc w:val="center"/>
        </w:trPr>
        <w:tc>
          <w:tcPr>
            <w:tcW w:w="702" w:type="dxa"/>
            <w:shd w:val="clear" w:color="auto" w:fill="auto"/>
            <w:vAlign w:val="center"/>
          </w:tcPr>
          <w:p w14:paraId="40C4ACD3" w14:textId="77777777" w:rsidR="00B0005F" w:rsidRPr="008A2411" w:rsidRDefault="00000000">
            <w:pPr>
              <w:adjustRightInd w:val="0"/>
              <w:snapToGrid w:val="0"/>
              <w:ind w:leftChars="-30" w:left="-72" w:rightChars="-30" w:right="-72"/>
              <w:jc w:val="center"/>
              <w:rPr>
                <w:rFonts w:ascii="Times New Roman"/>
                <w:b/>
                <w:color w:val="000000" w:themeColor="text1"/>
                <w:sz w:val="21"/>
                <w:szCs w:val="21"/>
              </w:rPr>
            </w:pPr>
            <w:r w:rsidRPr="008A2411">
              <w:rPr>
                <w:rFonts w:ascii="Times New Roman"/>
                <w:b/>
                <w:color w:val="000000" w:themeColor="text1"/>
                <w:sz w:val="21"/>
                <w:szCs w:val="21"/>
              </w:rPr>
              <w:t>时段</w:t>
            </w:r>
          </w:p>
        </w:tc>
        <w:tc>
          <w:tcPr>
            <w:tcW w:w="778" w:type="dxa"/>
            <w:shd w:val="clear" w:color="auto" w:fill="auto"/>
            <w:vAlign w:val="center"/>
          </w:tcPr>
          <w:p w14:paraId="5426F0D2" w14:textId="77777777" w:rsidR="00B0005F" w:rsidRPr="008A2411" w:rsidRDefault="00000000">
            <w:pPr>
              <w:adjustRightInd w:val="0"/>
              <w:snapToGrid w:val="0"/>
              <w:ind w:leftChars="-30" w:left="-72" w:rightChars="-30" w:right="-72"/>
              <w:jc w:val="center"/>
              <w:rPr>
                <w:rFonts w:ascii="Times New Roman"/>
                <w:b/>
                <w:color w:val="000000" w:themeColor="text1"/>
                <w:sz w:val="21"/>
                <w:szCs w:val="21"/>
              </w:rPr>
            </w:pPr>
            <w:r w:rsidRPr="008A2411">
              <w:rPr>
                <w:rFonts w:ascii="Times New Roman"/>
                <w:b/>
                <w:color w:val="000000" w:themeColor="text1"/>
                <w:sz w:val="21"/>
                <w:szCs w:val="21"/>
              </w:rPr>
              <w:t>类别</w:t>
            </w:r>
          </w:p>
        </w:tc>
        <w:tc>
          <w:tcPr>
            <w:tcW w:w="1329" w:type="dxa"/>
            <w:shd w:val="clear" w:color="auto" w:fill="auto"/>
            <w:vAlign w:val="center"/>
          </w:tcPr>
          <w:p w14:paraId="74F17DC8" w14:textId="77777777" w:rsidR="00B0005F" w:rsidRPr="008A2411" w:rsidRDefault="00000000">
            <w:pPr>
              <w:adjustRightInd w:val="0"/>
              <w:snapToGrid w:val="0"/>
              <w:ind w:leftChars="-30" w:left="-72" w:rightChars="-30" w:right="-72"/>
              <w:jc w:val="center"/>
              <w:rPr>
                <w:rFonts w:ascii="Times New Roman"/>
                <w:b/>
                <w:color w:val="000000" w:themeColor="text1"/>
                <w:sz w:val="21"/>
                <w:szCs w:val="21"/>
              </w:rPr>
            </w:pPr>
            <w:proofErr w:type="gramStart"/>
            <w:r w:rsidRPr="008A2411">
              <w:rPr>
                <w:rFonts w:ascii="Times New Roman"/>
                <w:b/>
                <w:color w:val="000000" w:themeColor="text1"/>
                <w:sz w:val="21"/>
                <w:szCs w:val="21"/>
              </w:rPr>
              <w:t>项目环评建设</w:t>
            </w:r>
            <w:proofErr w:type="gramEnd"/>
            <w:r w:rsidRPr="008A2411">
              <w:rPr>
                <w:rFonts w:ascii="Times New Roman"/>
                <w:b/>
                <w:color w:val="000000" w:themeColor="text1"/>
                <w:sz w:val="21"/>
                <w:szCs w:val="21"/>
              </w:rPr>
              <w:t>内容</w:t>
            </w:r>
          </w:p>
        </w:tc>
        <w:tc>
          <w:tcPr>
            <w:tcW w:w="2293" w:type="dxa"/>
            <w:shd w:val="clear" w:color="auto" w:fill="auto"/>
            <w:vAlign w:val="center"/>
          </w:tcPr>
          <w:p w14:paraId="6F734529" w14:textId="77777777" w:rsidR="00B0005F" w:rsidRPr="008A2411" w:rsidRDefault="00000000">
            <w:pPr>
              <w:adjustRightInd w:val="0"/>
              <w:snapToGrid w:val="0"/>
              <w:ind w:leftChars="-30" w:left="-72" w:rightChars="-30" w:right="-72"/>
              <w:jc w:val="center"/>
              <w:rPr>
                <w:rFonts w:ascii="Times New Roman"/>
                <w:b/>
                <w:color w:val="000000" w:themeColor="text1"/>
                <w:sz w:val="21"/>
                <w:szCs w:val="21"/>
              </w:rPr>
            </w:pPr>
            <w:r w:rsidRPr="008A2411">
              <w:rPr>
                <w:rFonts w:ascii="Times New Roman"/>
                <w:b/>
                <w:color w:val="000000" w:themeColor="text1"/>
                <w:sz w:val="21"/>
                <w:szCs w:val="21"/>
              </w:rPr>
              <w:t>污染物产生及环保措施建设情况</w:t>
            </w:r>
          </w:p>
        </w:tc>
        <w:tc>
          <w:tcPr>
            <w:tcW w:w="2800" w:type="dxa"/>
            <w:vAlign w:val="center"/>
          </w:tcPr>
          <w:p w14:paraId="34311820" w14:textId="77777777" w:rsidR="00B0005F" w:rsidRPr="008A2411" w:rsidRDefault="00000000">
            <w:pPr>
              <w:adjustRightInd w:val="0"/>
              <w:snapToGrid w:val="0"/>
              <w:ind w:leftChars="-30" w:left="-72" w:rightChars="-30" w:right="-72"/>
              <w:jc w:val="center"/>
              <w:rPr>
                <w:rFonts w:ascii="Times New Roman"/>
                <w:b/>
                <w:color w:val="000000" w:themeColor="text1"/>
                <w:sz w:val="21"/>
                <w:szCs w:val="21"/>
              </w:rPr>
            </w:pPr>
            <w:r w:rsidRPr="008A2411">
              <w:rPr>
                <w:rFonts w:ascii="Times New Roman"/>
                <w:b/>
                <w:color w:val="000000" w:themeColor="text1"/>
                <w:sz w:val="21"/>
                <w:szCs w:val="21"/>
              </w:rPr>
              <w:t>本工程采取的环保措施情况</w:t>
            </w:r>
          </w:p>
        </w:tc>
        <w:tc>
          <w:tcPr>
            <w:tcW w:w="1101" w:type="dxa"/>
            <w:shd w:val="clear" w:color="auto" w:fill="auto"/>
            <w:vAlign w:val="center"/>
          </w:tcPr>
          <w:p w14:paraId="5A77628F" w14:textId="77777777" w:rsidR="00B0005F" w:rsidRPr="008A2411" w:rsidRDefault="00000000">
            <w:pPr>
              <w:adjustRightInd w:val="0"/>
              <w:snapToGrid w:val="0"/>
              <w:ind w:leftChars="-30" w:left="-72" w:rightChars="-30" w:right="-72"/>
              <w:jc w:val="center"/>
              <w:rPr>
                <w:rFonts w:ascii="Times New Roman"/>
                <w:b/>
                <w:color w:val="000000" w:themeColor="text1"/>
                <w:sz w:val="21"/>
                <w:szCs w:val="21"/>
              </w:rPr>
            </w:pPr>
            <w:r w:rsidRPr="008A2411">
              <w:rPr>
                <w:rFonts w:ascii="Times New Roman"/>
                <w:b/>
                <w:color w:val="000000" w:themeColor="text1"/>
                <w:sz w:val="21"/>
                <w:szCs w:val="21"/>
              </w:rPr>
              <w:t>对比分析</w:t>
            </w:r>
          </w:p>
        </w:tc>
      </w:tr>
      <w:tr w:rsidR="008A2411" w:rsidRPr="008A2411" w14:paraId="5CA4F01C" w14:textId="77777777">
        <w:trPr>
          <w:trHeight w:val="843"/>
          <w:jc w:val="center"/>
        </w:trPr>
        <w:tc>
          <w:tcPr>
            <w:tcW w:w="702" w:type="dxa"/>
            <w:vMerge w:val="restart"/>
            <w:shd w:val="clear" w:color="auto" w:fill="auto"/>
            <w:vAlign w:val="center"/>
          </w:tcPr>
          <w:p w14:paraId="570AEADF"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营运期</w:t>
            </w:r>
          </w:p>
          <w:p w14:paraId="58E154B6"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废气</w:t>
            </w:r>
          </w:p>
        </w:tc>
        <w:tc>
          <w:tcPr>
            <w:tcW w:w="778" w:type="dxa"/>
            <w:vMerge w:val="restart"/>
            <w:shd w:val="clear" w:color="auto" w:fill="auto"/>
            <w:vAlign w:val="center"/>
          </w:tcPr>
          <w:p w14:paraId="577BB2F1"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生产装置废气</w:t>
            </w:r>
          </w:p>
        </w:tc>
        <w:tc>
          <w:tcPr>
            <w:tcW w:w="1329" w:type="dxa"/>
            <w:shd w:val="clear" w:color="auto" w:fill="auto"/>
            <w:vAlign w:val="center"/>
          </w:tcPr>
          <w:p w14:paraId="3F8CA5D0" w14:textId="77777777" w:rsidR="00B0005F" w:rsidRPr="008A2411" w:rsidRDefault="00000000">
            <w:pPr>
              <w:adjustRightInd w:val="0"/>
              <w:snapToGrid w:val="0"/>
              <w:ind w:leftChars="-30" w:left="-72" w:rightChars="-30" w:right="-72"/>
              <w:rPr>
                <w:rFonts w:ascii="Times New Roman"/>
                <w:color w:val="000000" w:themeColor="text1"/>
                <w:sz w:val="21"/>
                <w:szCs w:val="21"/>
              </w:rPr>
            </w:pPr>
            <w:r w:rsidRPr="008A2411">
              <w:rPr>
                <w:rFonts w:ascii="Times New Roman"/>
                <w:color w:val="000000" w:themeColor="text1"/>
                <w:sz w:val="21"/>
                <w:szCs w:val="21"/>
              </w:rPr>
              <w:t>脱碳单元汽提塔</w:t>
            </w:r>
            <w:proofErr w:type="gramStart"/>
            <w:r w:rsidRPr="008A2411">
              <w:rPr>
                <w:rFonts w:ascii="Times New Roman"/>
                <w:color w:val="000000" w:themeColor="text1"/>
                <w:sz w:val="21"/>
                <w:szCs w:val="21"/>
              </w:rPr>
              <w:t>不</w:t>
            </w:r>
            <w:proofErr w:type="gramEnd"/>
            <w:r w:rsidRPr="008A2411">
              <w:rPr>
                <w:rFonts w:ascii="Times New Roman"/>
                <w:color w:val="000000" w:themeColor="text1"/>
                <w:sz w:val="21"/>
                <w:szCs w:val="21"/>
              </w:rPr>
              <w:t>凝气（</w:t>
            </w:r>
            <w:r w:rsidRPr="008A2411">
              <w:rPr>
                <w:rFonts w:ascii="Times New Roman"/>
                <w:color w:val="000000" w:themeColor="text1"/>
                <w:sz w:val="21"/>
                <w:szCs w:val="21"/>
              </w:rPr>
              <w:t>G</w:t>
            </w:r>
            <w:r w:rsidRPr="008A2411">
              <w:rPr>
                <w:rFonts w:ascii="Times New Roman"/>
                <w:color w:val="000000" w:themeColor="text1"/>
                <w:sz w:val="21"/>
                <w:szCs w:val="21"/>
                <w:vertAlign w:val="subscript"/>
              </w:rPr>
              <w:t>1</w:t>
            </w:r>
            <w:r w:rsidRPr="008A2411">
              <w:rPr>
                <w:rFonts w:ascii="Times New Roman"/>
                <w:color w:val="000000" w:themeColor="text1"/>
                <w:sz w:val="21"/>
                <w:szCs w:val="21"/>
              </w:rPr>
              <w:t>）</w:t>
            </w:r>
          </w:p>
        </w:tc>
        <w:tc>
          <w:tcPr>
            <w:tcW w:w="2293" w:type="dxa"/>
            <w:shd w:val="clear" w:color="auto" w:fill="auto"/>
            <w:vAlign w:val="center"/>
          </w:tcPr>
          <w:p w14:paraId="11C1E35F" w14:textId="77777777" w:rsidR="00B0005F" w:rsidRPr="008A2411" w:rsidRDefault="00000000">
            <w:pPr>
              <w:adjustRightInd w:val="0"/>
              <w:snapToGrid w:val="0"/>
              <w:ind w:leftChars="-30" w:left="-72" w:rightChars="-30" w:right="-72"/>
              <w:rPr>
                <w:rFonts w:ascii="Times New Roman"/>
                <w:color w:val="000000" w:themeColor="text1"/>
                <w:sz w:val="21"/>
                <w:szCs w:val="21"/>
              </w:rPr>
            </w:pPr>
            <w:proofErr w:type="gramStart"/>
            <w:r w:rsidRPr="008A2411">
              <w:rPr>
                <w:rFonts w:ascii="Times New Roman"/>
                <w:color w:val="000000" w:themeColor="text1"/>
                <w:sz w:val="21"/>
                <w:szCs w:val="21"/>
              </w:rPr>
              <w:t>不</w:t>
            </w:r>
            <w:proofErr w:type="gramEnd"/>
            <w:r w:rsidRPr="008A2411">
              <w:rPr>
                <w:rFonts w:ascii="Times New Roman"/>
                <w:color w:val="000000" w:themeColor="text1"/>
                <w:sz w:val="21"/>
                <w:szCs w:val="21"/>
              </w:rPr>
              <w:t>凝气（</w:t>
            </w:r>
            <w:r w:rsidRPr="008A2411">
              <w:rPr>
                <w:rFonts w:ascii="Times New Roman"/>
                <w:color w:val="000000" w:themeColor="text1"/>
                <w:sz w:val="21"/>
                <w:szCs w:val="21"/>
              </w:rPr>
              <w:t>G</w:t>
            </w:r>
            <w:r w:rsidRPr="008A2411">
              <w:rPr>
                <w:rFonts w:ascii="Times New Roman"/>
                <w:color w:val="000000" w:themeColor="text1"/>
                <w:sz w:val="21"/>
                <w:szCs w:val="21"/>
                <w:vertAlign w:val="subscript"/>
              </w:rPr>
              <w:t>1</w:t>
            </w:r>
            <w:r w:rsidRPr="008A2411">
              <w:rPr>
                <w:rFonts w:ascii="Times New Roman"/>
                <w:color w:val="000000" w:themeColor="text1"/>
                <w:sz w:val="21"/>
                <w:szCs w:val="21"/>
              </w:rPr>
              <w:t>）通过</w:t>
            </w:r>
            <w:r w:rsidRPr="008A2411">
              <w:rPr>
                <w:rFonts w:ascii="Times New Roman"/>
                <w:color w:val="000000" w:themeColor="text1"/>
                <w:sz w:val="21"/>
                <w:szCs w:val="21"/>
              </w:rPr>
              <w:t>16m</w:t>
            </w:r>
            <w:r w:rsidRPr="008A2411">
              <w:rPr>
                <w:rFonts w:ascii="Times New Roman"/>
                <w:color w:val="000000" w:themeColor="text1"/>
                <w:sz w:val="21"/>
                <w:szCs w:val="21"/>
              </w:rPr>
              <w:t>高放空管放空</w:t>
            </w:r>
          </w:p>
        </w:tc>
        <w:tc>
          <w:tcPr>
            <w:tcW w:w="2800" w:type="dxa"/>
            <w:vAlign w:val="center"/>
          </w:tcPr>
          <w:p w14:paraId="563C7FF0" w14:textId="77777777" w:rsidR="00B0005F" w:rsidRPr="008A2411" w:rsidRDefault="00000000">
            <w:pPr>
              <w:adjustRightInd w:val="0"/>
              <w:snapToGrid w:val="0"/>
              <w:ind w:leftChars="-30" w:left="-72" w:rightChars="-30" w:right="-72"/>
              <w:rPr>
                <w:rFonts w:ascii="Times New Roman"/>
                <w:color w:val="000000" w:themeColor="text1"/>
                <w:sz w:val="21"/>
                <w:szCs w:val="21"/>
              </w:rPr>
            </w:pPr>
            <w:r w:rsidRPr="008A2411">
              <w:rPr>
                <w:rFonts w:ascii="Times New Roman"/>
                <w:color w:val="000000" w:themeColor="text1"/>
                <w:sz w:val="21"/>
                <w:szCs w:val="21"/>
              </w:rPr>
              <w:t>经脱硫塔去除</w:t>
            </w:r>
            <w:r w:rsidRPr="008A2411">
              <w:rPr>
                <w:rFonts w:ascii="Times New Roman"/>
                <w:color w:val="000000" w:themeColor="text1"/>
                <w:sz w:val="21"/>
                <w:szCs w:val="21"/>
              </w:rPr>
              <w:t>H</w:t>
            </w:r>
            <w:r w:rsidRPr="008A2411">
              <w:rPr>
                <w:rFonts w:ascii="Times New Roman"/>
                <w:color w:val="000000" w:themeColor="text1"/>
                <w:sz w:val="21"/>
                <w:szCs w:val="21"/>
                <w:vertAlign w:val="subscript"/>
              </w:rPr>
              <w:t>2</w:t>
            </w:r>
            <w:r w:rsidRPr="008A2411">
              <w:rPr>
                <w:rFonts w:ascii="Times New Roman"/>
                <w:color w:val="000000" w:themeColor="text1"/>
                <w:sz w:val="21"/>
                <w:szCs w:val="21"/>
              </w:rPr>
              <w:t>S</w:t>
            </w:r>
            <w:r w:rsidRPr="008A2411">
              <w:rPr>
                <w:rFonts w:ascii="Times New Roman"/>
                <w:color w:val="000000" w:themeColor="text1"/>
                <w:sz w:val="21"/>
                <w:szCs w:val="21"/>
              </w:rPr>
              <w:t>及有机硫组分后，由</w:t>
            </w:r>
            <w:r w:rsidRPr="008A2411">
              <w:rPr>
                <w:rFonts w:ascii="Times New Roman"/>
                <w:color w:val="000000" w:themeColor="text1"/>
                <w:sz w:val="21"/>
                <w:szCs w:val="21"/>
              </w:rPr>
              <w:t>15m</w:t>
            </w:r>
            <w:r w:rsidRPr="008A2411">
              <w:rPr>
                <w:rFonts w:ascii="Times New Roman"/>
                <w:color w:val="000000" w:themeColor="text1"/>
                <w:sz w:val="21"/>
                <w:szCs w:val="21"/>
              </w:rPr>
              <w:t>高排气筒排放</w:t>
            </w:r>
          </w:p>
        </w:tc>
        <w:tc>
          <w:tcPr>
            <w:tcW w:w="1101" w:type="dxa"/>
            <w:shd w:val="clear" w:color="auto" w:fill="auto"/>
            <w:vAlign w:val="center"/>
          </w:tcPr>
          <w:p w14:paraId="6A04FE84" w14:textId="77777777" w:rsidR="00B0005F" w:rsidRPr="008A2411" w:rsidRDefault="00000000">
            <w:pPr>
              <w:adjustRightInd w:val="0"/>
              <w:snapToGrid w:val="0"/>
              <w:ind w:leftChars="-30" w:left="-72" w:rightChars="-30" w:right="-72"/>
              <w:rPr>
                <w:rFonts w:ascii="Times New Roman"/>
                <w:color w:val="000000" w:themeColor="text1"/>
                <w:sz w:val="21"/>
                <w:szCs w:val="21"/>
              </w:rPr>
            </w:pPr>
            <w:r w:rsidRPr="008A2411">
              <w:rPr>
                <w:rFonts w:ascii="Times New Roman" w:hint="eastAsia"/>
                <w:color w:val="000000" w:themeColor="text1"/>
                <w:sz w:val="21"/>
                <w:szCs w:val="21"/>
              </w:rPr>
              <w:t>优化提高，减少了酸性气体排放量</w:t>
            </w:r>
          </w:p>
        </w:tc>
      </w:tr>
      <w:tr w:rsidR="008A2411" w:rsidRPr="008A2411" w14:paraId="27D7A44E" w14:textId="77777777">
        <w:trPr>
          <w:trHeight w:val="454"/>
          <w:jc w:val="center"/>
        </w:trPr>
        <w:tc>
          <w:tcPr>
            <w:tcW w:w="702" w:type="dxa"/>
            <w:vMerge/>
            <w:shd w:val="clear" w:color="auto" w:fill="auto"/>
            <w:vAlign w:val="center"/>
          </w:tcPr>
          <w:p w14:paraId="3E9C3A10" w14:textId="77777777" w:rsidR="00B0005F" w:rsidRPr="008A2411" w:rsidRDefault="00B0005F">
            <w:pPr>
              <w:adjustRightInd w:val="0"/>
              <w:snapToGrid w:val="0"/>
              <w:ind w:leftChars="-30" w:left="-72" w:rightChars="-30" w:right="-72"/>
              <w:jc w:val="center"/>
              <w:rPr>
                <w:rFonts w:ascii="Times New Roman"/>
                <w:color w:val="000000" w:themeColor="text1"/>
                <w:sz w:val="21"/>
                <w:szCs w:val="21"/>
              </w:rPr>
            </w:pPr>
          </w:p>
        </w:tc>
        <w:tc>
          <w:tcPr>
            <w:tcW w:w="778" w:type="dxa"/>
            <w:vMerge/>
            <w:shd w:val="clear" w:color="auto" w:fill="auto"/>
            <w:vAlign w:val="center"/>
          </w:tcPr>
          <w:p w14:paraId="0A6C5421" w14:textId="77777777" w:rsidR="00B0005F" w:rsidRPr="008A2411" w:rsidRDefault="00B0005F">
            <w:pPr>
              <w:adjustRightInd w:val="0"/>
              <w:snapToGrid w:val="0"/>
              <w:ind w:leftChars="-30" w:left="-72" w:rightChars="-30" w:right="-72"/>
              <w:jc w:val="center"/>
              <w:rPr>
                <w:rFonts w:ascii="Times New Roman"/>
                <w:color w:val="000000" w:themeColor="text1"/>
                <w:sz w:val="21"/>
                <w:szCs w:val="21"/>
              </w:rPr>
            </w:pPr>
          </w:p>
        </w:tc>
        <w:tc>
          <w:tcPr>
            <w:tcW w:w="1329" w:type="dxa"/>
            <w:shd w:val="clear" w:color="auto" w:fill="auto"/>
            <w:vAlign w:val="center"/>
          </w:tcPr>
          <w:p w14:paraId="78E42112" w14:textId="77777777" w:rsidR="00B0005F" w:rsidRPr="008A2411" w:rsidRDefault="00000000">
            <w:pPr>
              <w:adjustRightInd w:val="0"/>
              <w:snapToGrid w:val="0"/>
              <w:ind w:leftChars="-30" w:left="-72" w:rightChars="-30" w:right="-72"/>
              <w:rPr>
                <w:rFonts w:ascii="Times New Roman"/>
                <w:color w:val="000000" w:themeColor="text1"/>
                <w:sz w:val="21"/>
                <w:szCs w:val="21"/>
              </w:rPr>
            </w:pPr>
            <w:r w:rsidRPr="008A2411">
              <w:rPr>
                <w:rFonts w:ascii="Times New Roman"/>
                <w:color w:val="000000" w:themeColor="text1"/>
                <w:sz w:val="21"/>
                <w:szCs w:val="21"/>
              </w:rPr>
              <w:t>BOG</w:t>
            </w:r>
            <w:r w:rsidRPr="008A2411">
              <w:rPr>
                <w:rFonts w:ascii="Times New Roman"/>
                <w:color w:val="000000" w:themeColor="text1"/>
                <w:sz w:val="21"/>
                <w:szCs w:val="21"/>
              </w:rPr>
              <w:t>蒸发气（</w:t>
            </w:r>
            <w:r w:rsidRPr="008A2411">
              <w:rPr>
                <w:rFonts w:ascii="Times New Roman"/>
                <w:color w:val="000000" w:themeColor="text1"/>
                <w:sz w:val="21"/>
                <w:szCs w:val="21"/>
              </w:rPr>
              <w:t>G</w:t>
            </w:r>
            <w:r w:rsidRPr="008A2411">
              <w:rPr>
                <w:rFonts w:ascii="Times New Roman"/>
                <w:color w:val="000000" w:themeColor="text1"/>
                <w:sz w:val="21"/>
                <w:szCs w:val="21"/>
                <w:vertAlign w:val="subscript"/>
              </w:rPr>
              <w:t>3</w:t>
            </w:r>
            <w:r w:rsidRPr="008A2411">
              <w:rPr>
                <w:rFonts w:ascii="Times New Roman"/>
                <w:color w:val="000000" w:themeColor="text1"/>
                <w:sz w:val="21"/>
                <w:szCs w:val="21"/>
              </w:rPr>
              <w:t>）</w:t>
            </w:r>
          </w:p>
        </w:tc>
        <w:tc>
          <w:tcPr>
            <w:tcW w:w="2293" w:type="dxa"/>
            <w:shd w:val="clear" w:color="auto" w:fill="auto"/>
            <w:vAlign w:val="center"/>
          </w:tcPr>
          <w:p w14:paraId="62D59A63" w14:textId="77777777" w:rsidR="00B0005F" w:rsidRPr="008A2411" w:rsidRDefault="00000000">
            <w:pPr>
              <w:adjustRightInd w:val="0"/>
              <w:snapToGrid w:val="0"/>
              <w:ind w:leftChars="-30" w:left="-72" w:rightChars="-30" w:right="-72"/>
              <w:rPr>
                <w:rFonts w:ascii="Times New Roman"/>
                <w:color w:val="000000" w:themeColor="text1"/>
                <w:sz w:val="21"/>
                <w:szCs w:val="21"/>
              </w:rPr>
            </w:pPr>
            <w:r w:rsidRPr="008A2411">
              <w:rPr>
                <w:rFonts w:ascii="Times New Roman"/>
                <w:bCs/>
                <w:color w:val="000000" w:themeColor="text1"/>
                <w:sz w:val="21"/>
                <w:szCs w:val="21"/>
              </w:rPr>
              <w:t>BOG</w:t>
            </w:r>
            <w:r w:rsidRPr="008A2411">
              <w:rPr>
                <w:rFonts w:ascii="Times New Roman"/>
                <w:bCs/>
                <w:color w:val="000000" w:themeColor="text1"/>
                <w:sz w:val="21"/>
                <w:szCs w:val="21"/>
              </w:rPr>
              <w:t>一部分进入燃料气系统作为导热油系统、火炬及办公生活燃料气，多余部分进入低压原料天然气管网</w:t>
            </w:r>
          </w:p>
        </w:tc>
        <w:tc>
          <w:tcPr>
            <w:tcW w:w="2800" w:type="dxa"/>
            <w:vAlign w:val="center"/>
          </w:tcPr>
          <w:p w14:paraId="3790A2B4"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hint="eastAsia"/>
                <w:color w:val="000000" w:themeColor="text1"/>
                <w:sz w:val="21"/>
                <w:szCs w:val="21"/>
              </w:rPr>
              <w:t>相同</w:t>
            </w:r>
          </w:p>
        </w:tc>
        <w:tc>
          <w:tcPr>
            <w:tcW w:w="1101" w:type="dxa"/>
            <w:shd w:val="clear" w:color="auto" w:fill="auto"/>
            <w:vAlign w:val="center"/>
          </w:tcPr>
          <w:p w14:paraId="42BEABF5"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hint="eastAsia"/>
                <w:color w:val="000000" w:themeColor="text1"/>
                <w:sz w:val="21"/>
                <w:szCs w:val="21"/>
              </w:rPr>
              <w:t>相同</w:t>
            </w:r>
          </w:p>
        </w:tc>
      </w:tr>
      <w:tr w:rsidR="008A2411" w:rsidRPr="008A2411" w14:paraId="110FDC73" w14:textId="77777777">
        <w:trPr>
          <w:trHeight w:val="454"/>
          <w:jc w:val="center"/>
        </w:trPr>
        <w:tc>
          <w:tcPr>
            <w:tcW w:w="702" w:type="dxa"/>
            <w:vMerge/>
            <w:shd w:val="clear" w:color="auto" w:fill="auto"/>
            <w:vAlign w:val="center"/>
          </w:tcPr>
          <w:p w14:paraId="16C7170F" w14:textId="77777777" w:rsidR="00B0005F" w:rsidRPr="008A2411" w:rsidRDefault="00B0005F">
            <w:pPr>
              <w:adjustRightInd w:val="0"/>
              <w:snapToGrid w:val="0"/>
              <w:ind w:leftChars="-30" w:left="-72" w:rightChars="-30" w:right="-72"/>
              <w:jc w:val="center"/>
              <w:rPr>
                <w:rFonts w:ascii="Times New Roman"/>
                <w:color w:val="000000" w:themeColor="text1"/>
                <w:sz w:val="21"/>
                <w:szCs w:val="21"/>
              </w:rPr>
            </w:pPr>
          </w:p>
        </w:tc>
        <w:tc>
          <w:tcPr>
            <w:tcW w:w="778" w:type="dxa"/>
            <w:shd w:val="clear" w:color="auto" w:fill="auto"/>
            <w:vAlign w:val="center"/>
          </w:tcPr>
          <w:p w14:paraId="6ECC624E"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加热炉</w:t>
            </w:r>
          </w:p>
        </w:tc>
        <w:tc>
          <w:tcPr>
            <w:tcW w:w="1329" w:type="dxa"/>
            <w:shd w:val="clear" w:color="auto" w:fill="auto"/>
            <w:vAlign w:val="center"/>
          </w:tcPr>
          <w:p w14:paraId="31E42B98" w14:textId="77777777" w:rsidR="00B0005F" w:rsidRPr="008A2411" w:rsidRDefault="00000000">
            <w:pPr>
              <w:adjustRightInd w:val="0"/>
              <w:snapToGrid w:val="0"/>
              <w:ind w:leftChars="-30" w:left="-72" w:rightChars="-30" w:right="-72"/>
              <w:rPr>
                <w:rFonts w:ascii="Times New Roman"/>
                <w:color w:val="000000" w:themeColor="text1"/>
                <w:sz w:val="21"/>
                <w:szCs w:val="21"/>
              </w:rPr>
            </w:pPr>
            <w:r w:rsidRPr="008A2411">
              <w:rPr>
                <w:rFonts w:ascii="Times New Roman"/>
                <w:color w:val="000000" w:themeColor="text1"/>
                <w:sz w:val="21"/>
                <w:szCs w:val="21"/>
              </w:rPr>
              <w:t>加热炉烟气（</w:t>
            </w:r>
            <w:r w:rsidRPr="008A2411">
              <w:rPr>
                <w:rFonts w:ascii="Times New Roman"/>
                <w:color w:val="000000" w:themeColor="text1"/>
                <w:sz w:val="21"/>
                <w:szCs w:val="21"/>
              </w:rPr>
              <w:t>G</w:t>
            </w:r>
            <w:r w:rsidRPr="008A2411">
              <w:rPr>
                <w:rFonts w:ascii="Times New Roman"/>
                <w:color w:val="000000" w:themeColor="text1"/>
                <w:sz w:val="21"/>
                <w:szCs w:val="21"/>
                <w:vertAlign w:val="subscript"/>
              </w:rPr>
              <w:t>2</w:t>
            </w:r>
            <w:r w:rsidRPr="008A2411">
              <w:rPr>
                <w:rFonts w:ascii="Times New Roman"/>
                <w:color w:val="000000" w:themeColor="text1"/>
                <w:sz w:val="21"/>
                <w:szCs w:val="21"/>
              </w:rPr>
              <w:t>）</w:t>
            </w:r>
          </w:p>
        </w:tc>
        <w:tc>
          <w:tcPr>
            <w:tcW w:w="2293" w:type="dxa"/>
            <w:shd w:val="clear" w:color="auto" w:fill="auto"/>
            <w:vAlign w:val="center"/>
          </w:tcPr>
          <w:p w14:paraId="1969375E" w14:textId="77777777" w:rsidR="00B0005F" w:rsidRPr="008A2411" w:rsidRDefault="00000000">
            <w:pPr>
              <w:adjustRightInd w:val="0"/>
              <w:snapToGrid w:val="0"/>
              <w:ind w:leftChars="-30" w:left="-72" w:rightChars="-30" w:right="-72"/>
              <w:rPr>
                <w:rFonts w:ascii="Times New Roman"/>
                <w:color w:val="000000" w:themeColor="text1"/>
                <w:sz w:val="21"/>
                <w:szCs w:val="21"/>
              </w:rPr>
            </w:pPr>
            <w:r w:rsidRPr="008A2411">
              <w:rPr>
                <w:rFonts w:ascii="Times New Roman"/>
                <w:color w:val="000000" w:themeColor="text1"/>
                <w:sz w:val="21"/>
                <w:szCs w:val="21"/>
              </w:rPr>
              <w:t>导热油锅炉通过</w:t>
            </w:r>
            <w:r w:rsidRPr="008A2411">
              <w:rPr>
                <w:rFonts w:ascii="Times New Roman"/>
                <w:color w:val="000000" w:themeColor="text1"/>
                <w:sz w:val="21"/>
                <w:szCs w:val="21"/>
              </w:rPr>
              <w:t>10.5m</w:t>
            </w:r>
            <w:r w:rsidRPr="008A2411">
              <w:rPr>
                <w:rFonts w:ascii="Times New Roman"/>
                <w:color w:val="000000" w:themeColor="text1"/>
                <w:sz w:val="21"/>
                <w:szCs w:val="21"/>
              </w:rPr>
              <w:t>的排气筒排放</w:t>
            </w:r>
          </w:p>
        </w:tc>
        <w:tc>
          <w:tcPr>
            <w:tcW w:w="2800" w:type="dxa"/>
            <w:vAlign w:val="center"/>
          </w:tcPr>
          <w:p w14:paraId="747DE01F" w14:textId="77777777" w:rsidR="00B0005F" w:rsidRPr="008A2411" w:rsidRDefault="00000000">
            <w:pPr>
              <w:adjustRightInd w:val="0"/>
              <w:snapToGrid w:val="0"/>
              <w:ind w:leftChars="-30" w:left="-72" w:rightChars="-30" w:right="-72"/>
              <w:rPr>
                <w:rFonts w:ascii="Times New Roman"/>
                <w:color w:val="000000" w:themeColor="text1"/>
                <w:sz w:val="21"/>
                <w:szCs w:val="21"/>
              </w:rPr>
            </w:pPr>
            <w:r w:rsidRPr="008A2411">
              <w:rPr>
                <w:rFonts w:ascii="Times New Roman"/>
                <w:color w:val="000000" w:themeColor="text1"/>
                <w:sz w:val="21"/>
                <w:szCs w:val="21"/>
              </w:rPr>
              <w:t>导热油锅炉通过</w:t>
            </w:r>
            <w:r w:rsidRPr="008A2411">
              <w:rPr>
                <w:rFonts w:ascii="Times New Roman"/>
                <w:color w:val="000000" w:themeColor="text1"/>
                <w:sz w:val="21"/>
                <w:szCs w:val="21"/>
              </w:rPr>
              <w:t>1</w:t>
            </w:r>
            <w:r w:rsidRPr="008A2411">
              <w:rPr>
                <w:rFonts w:ascii="Times New Roman" w:hint="eastAsia"/>
                <w:color w:val="000000" w:themeColor="text1"/>
                <w:sz w:val="21"/>
                <w:szCs w:val="21"/>
              </w:rPr>
              <w:t>5</w:t>
            </w:r>
            <w:r w:rsidRPr="008A2411">
              <w:rPr>
                <w:rFonts w:ascii="Times New Roman"/>
                <w:color w:val="000000" w:themeColor="text1"/>
                <w:sz w:val="21"/>
                <w:szCs w:val="21"/>
              </w:rPr>
              <w:t>m</w:t>
            </w:r>
            <w:r w:rsidRPr="008A2411">
              <w:rPr>
                <w:rFonts w:ascii="Times New Roman"/>
                <w:color w:val="000000" w:themeColor="text1"/>
                <w:sz w:val="21"/>
                <w:szCs w:val="21"/>
              </w:rPr>
              <w:t>的排气筒排放</w:t>
            </w:r>
          </w:p>
        </w:tc>
        <w:tc>
          <w:tcPr>
            <w:tcW w:w="1101" w:type="dxa"/>
            <w:shd w:val="clear" w:color="auto" w:fill="auto"/>
            <w:vAlign w:val="center"/>
          </w:tcPr>
          <w:p w14:paraId="1C0BF056"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hint="eastAsia"/>
                <w:color w:val="000000" w:themeColor="text1"/>
                <w:sz w:val="21"/>
                <w:szCs w:val="21"/>
              </w:rPr>
              <w:t>优化提高</w:t>
            </w:r>
          </w:p>
        </w:tc>
      </w:tr>
      <w:tr w:rsidR="008A2411" w:rsidRPr="008A2411" w14:paraId="6FD64FA9" w14:textId="77777777">
        <w:trPr>
          <w:trHeight w:val="454"/>
          <w:jc w:val="center"/>
        </w:trPr>
        <w:tc>
          <w:tcPr>
            <w:tcW w:w="702" w:type="dxa"/>
            <w:vMerge/>
            <w:shd w:val="clear" w:color="auto" w:fill="auto"/>
            <w:vAlign w:val="center"/>
          </w:tcPr>
          <w:p w14:paraId="2888ED03" w14:textId="77777777" w:rsidR="00B0005F" w:rsidRPr="008A2411" w:rsidRDefault="00B0005F">
            <w:pPr>
              <w:adjustRightInd w:val="0"/>
              <w:snapToGrid w:val="0"/>
              <w:ind w:leftChars="-30" w:left="-72" w:rightChars="-30" w:right="-72"/>
              <w:jc w:val="center"/>
              <w:rPr>
                <w:rFonts w:ascii="Times New Roman"/>
                <w:color w:val="000000" w:themeColor="text1"/>
                <w:sz w:val="21"/>
                <w:szCs w:val="21"/>
              </w:rPr>
            </w:pPr>
          </w:p>
        </w:tc>
        <w:tc>
          <w:tcPr>
            <w:tcW w:w="778" w:type="dxa"/>
            <w:shd w:val="clear" w:color="auto" w:fill="auto"/>
            <w:vAlign w:val="center"/>
          </w:tcPr>
          <w:p w14:paraId="27F95FA3"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火炬</w:t>
            </w:r>
          </w:p>
          <w:p w14:paraId="24D6B800"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系统</w:t>
            </w:r>
          </w:p>
        </w:tc>
        <w:tc>
          <w:tcPr>
            <w:tcW w:w="1329" w:type="dxa"/>
            <w:shd w:val="clear" w:color="auto" w:fill="auto"/>
            <w:vAlign w:val="center"/>
          </w:tcPr>
          <w:p w14:paraId="5C5D8BED" w14:textId="77777777" w:rsidR="00B0005F" w:rsidRPr="008A2411" w:rsidRDefault="00000000">
            <w:pPr>
              <w:adjustRightInd w:val="0"/>
              <w:snapToGrid w:val="0"/>
              <w:ind w:leftChars="-30" w:left="-72" w:rightChars="-30" w:right="-72"/>
              <w:rPr>
                <w:rFonts w:ascii="Times New Roman"/>
                <w:color w:val="000000" w:themeColor="text1"/>
                <w:sz w:val="21"/>
                <w:szCs w:val="21"/>
              </w:rPr>
            </w:pPr>
            <w:r w:rsidRPr="008A2411">
              <w:rPr>
                <w:rFonts w:ascii="Times New Roman"/>
                <w:color w:val="000000" w:themeColor="text1"/>
                <w:sz w:val="21"/>
                <w:szCs w:val="21"/>
              </w:rPr>
              <w:t>火炬系统烟气</w:t>
            </w:r>
          </w:p>
        </w:tc>
        <w:tc>
          <w:tcPr>
            <w:tcW w:w="2293" w:type="dxa"/>
            <w:shd w:val="clear" w:color="auto" w:fill="auto"/>
            <w:vAlign w:val="center"/>
          </w:tcPr>
          <w:p w14:paraId="0BCDD838" w14:textId="77777777" w:rsidR="00B0005F" w:rsidRPr="008A2411" w:rsidRDefault="00000000">
            <w:pPr>
              <w:adjustRightInd w:val="0"/>
              <w:snapToGrid w:val="0"/>
              <w:ind w:leftChars="-30" w:left="-72" w:rightChars="-30" w:right="-72"/>
              <w:rPr>
                <w:rFonts w:ascii="Times New Roman"/>
                <w:color w:val="000000" w:themeColor="text1"/>
                <w:sz w:val="21"/>
                <w:szCs w:val="21"/>
              </w:rPr>
            </w:pPr>
            <w:r w:rsidRPr="008A2411">
              <w:rPr>
                <w:rFonts w:ascii="Times New Roman"/>
                <w:color w:val="000000" w:themeColor="text1"/>
                <w:sz w:val="21"/>
                <w:szCs w:val="21"/>
              </w:rPr>
              <w:t>火炬系统烟气经高度</w:t>
            </w:r>
            <w:r w:rsidRPr="008A2411">
              <w:rPr>
                <w:rFonts w:ascii="Times New Roman"/>
                <w:color w:val="000000" w:themeColor="text1"/>
                <w:sz w:val="21"/>
                <w:szCs w:val="21"/>
              </w:rPr>
              <w:t>30m</w:t>
            </w:r>
            <w:r w:rsidRPr="008A2411">
              <w:rPr>
                <w:rFonts w:ascii="Times New Roman"/>
                <w:color w:val="000000" w:themeColor="text1"/>
                <w:sz w:val="21"/>
                <w:szCs w:val="21"/>
              </w:rPr>
              <w:t>的火炬排放</w:t>
            </w:r>
          </w:p>
        </w:tc>
        <w:tc>
          <w:tcPr>
            <w:tcW w:w="2800" w:type="dxa"/>
            <w:vAlign w:val="center"/>
          </w:tcPr>
          <w:p w14:paraId="72EC9D01"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hint="eastAsia"/>
                <w:color w:val="000000" w:themeColor="text1"/>
                <w:sz w:val="21"/>
                <w:szCs w:val="21"/>
              </w:rPr>
              <w:t>相同</w:t>
            </w:r>
          </w:p>
        </w:tc>
        <w:tc>
          <w:tcPr>
            <w:tcW w:w="1101" w:type="dxa"/>
            <w:shd w:val="clear" w:color="auto" w:fill="auto"/>
            <w:vAlign w:val="center"/>
          </w:tcPr>
          <w:p w14:paraId="7A502632"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hint="eastAsia"/>
                <w:color w:val="000000" w:themeColor="text1"/>
                <w:sz w:val="21"/>
                <w:szCs w:val="21"/>
              </w:rPr>
              <w:t>相同</w:t>
            </w:r>
          </w:p>
        </w:tc>
      </w:tr>
      <w:tr w:rsidR="008A2411" w:rsidRPr="008A2411" w14:paraId="28E1D5F0" w14:textId="77777777">
        <w:trPr>
          <w:trHeight w:val="454"/>
          <w:jc w:val="center"/>
        </w:trPr>
        <w:tc>
          <w:tcPr>
            <w:tcW w:w="702" w:type="dxa"/>
            <w:vMerge/>
            <w:shd w:val="clear" w:color="auto" w:fill="auto"/>
            <w:vAlign w:val="center"/>
          </w:tcPr>
          <w:p w14:paraId="0BBAFE35" w14:textId="77777777" w:rsidR="00B0005F" w:rsidRPr="008A2411" w:rsidRDefault="00B0005F">
            <w:pPr>
              <w:adjustRightInd w:val="0"/>
              <w:snapToGrid w:val="0"/>
              <w:ind w:leftChars="-30" w:left="-72" w:rightChars="-30" w:right="-72"/>
              <w:jc w:val="center"/>
              <w:rPr>
                <w:rFonts w:ascii="Times New Roman"/>
                <w:color w:val="000000" w:themeColor="text1"/>
                <w:sz w:val="21"/>
                <w:szCs w:val="21"/>
              </w:rPr>
            </w:pPr>
          </w:p>
        </w:tc>
        <w:tc>
          <w:tcPr>
            <w:tcW w:w="778" w:type="dxa"/>
            <w:shd w:val="clear" w:color="auto" w:fill="auto"/>
            <w:vAlign w:val="center"/>
          </w:tcPr>
          <w:p w14:paraId="1FB6FBD1"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无组织</w:t>
            </w:r>
          </w:p>
          <w:p w14:paraId="49E73C1E"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废气</w:t>
            </w:r>
          </w:p>
        </w:tc>
        <w:tc>
          <w:tcPr>
            <w:tcW w:w="1329" w:type="dxa"/>
            <w:shd w:val="clear" w:color="auto" w:fill="auto"/>
            <w:vAlign w:val="center"/>
          </w:tcPr>
          <w:p w14:paraId="46FA37C5"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装置区、贮罐区无组织排放的</w:t>
            </w:r>
          </w:p>
          <w:p w14:paraId="083A577D"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有机废气等</w:t>
            </w:r>
          </w:p>
        </w:tc>
        <w:tc>
          <w:tcPr>
            <w:tcW w:w="2293" w:type="dxa"/>
            <w:shd w:val="clear" w:color="auto" w:fill="auto"/>
            <w:vAlign w:val="center"/>
          </w:tcPr>
          <w:p w14:paraId="413AFE7F" w14:textId="77777777" w:rsidR="00B0005F" w:rsidRPr="008A2411" w:rsidRDefault="00000000">
            <w:pPr>
              <w:adjustRightInd w:val="0"/>
              <w:snapToGrid w:val="0"/>
              <w:ind w:leftChars="-30" w:left="-72" w:rightChars="-30" w:right="-72"/>
              <w:rPr>
                <w:rFonts w:ascii="Times New Roman"/>
                <w:color w:val="000000" w:themeColor="text1"/>
                <w:sz w:val="21"/>
                <w:szCs w:val="21"/>
              </w:rPr>
            </w:pPr>
            <w:r w:rsidRPr="008A2411">
              <w:rPr>
                <w:rFonts w:ascii="Times New Roman"/>
                <w:color w:val="000000" w:themeColor="text1"/>
                <w:sz w:val="21"/>
                <w:szCs w:val="21"/>
              </w:rPr>
              <w:t>项目以生产装置、</w:t>
            </w:r>
            <w:r w:rsidRPr="008A2411">
              <w:rPr>
                <w:rFonts w:ascii="Times New Roman"/>
                <w:color w:val="000000" w:themeColor="text1"/>
                <w:sz w:val="21"/>
                <w:szCs w:val="21"/>
              </w:rPr>
              <w:t>LNG</w:t>
            </w:r>
            <w:r w:rsidRPr="008A2411">
              <w:rPr>
                <w:rFonts w:ascii="Times New Roman"/>
                <w:color w:val="000000" w:themeColor="text1"/>
                <w:sz w:val="21"/>
                <w:szCs w:val="21"/>
              </w:rPr>
              <w:t>储罐区及装车站为界设置</w:t>
            </w:r>
            <w:r w:rsidRPr="008A2411">
              <w:rPr>
                <w:rFonts w:ascii="Times New Roman"/>
                <w:color w:val="000000" w:themeColor="text1"/>
                <w:sz w:val="21"/>
                <w:szCs w:val="21"/>
              </w:rPr>
              <w:t>50m</w:t>
            </w:r>
            <w:r w:rsidRPr="008A2411">
              <w:rPr>
                <w:rFonts w:ascii="Times New Roman"/>
                <w:color w:val="000000" w:themeColor="text1"/>
                <w:sz w:val="21"/>
                <w:szCs w:val="21"/>
              </w:rPr>
              <w:t>卫生防护距离。</w:t>
            </w:r>
          </w:p>
        </w:tc>
        <w:tc>
          <w:tcPr>
            <w:tcW w:w="2800" w:type="dxa"/>
            <w:vAlign w:val="center"/>
          </w:tcPr>
          <w:p w14:paraId="0F422ECC" w14:textId="2F11B1C0" w:rsidR="00B0005F" w:rsidRPr="008A2411" w:rsidRDefault="0059423D">
            <w:pPr>
              <w:adjustRightInd w:val="0"/>
              <w:snapToGrid w:val="0"/>
              <w:ind w:leftChars="-30" w:left="-72" w:rightChars="-30" w:right="-72"/>
              <w:jc w:val="center"/>
              <w:rPr>
                <w:rFonts w:ascii="Times New Roman"/>
                <w:color w:val="000000" w:themeColor="text1"/>
                <w:sz w:val="21"/>
                <w:szCs w:val="21"/>
              </w:rPr>
            </w:pPr>
            <w:r w:rsidRPr="008A2411">
              <w:rPr>
                <w:rFonts w:ascii="Times New Roman" w:hint="eastAsia"/>
                <w:color w:val="000000" w:themeColor="text1"/>
                <w:sz w:val="21"/>
                <w:szCs w:val="21"/>
              </w:rPr>
              <w:t>本项目不设置卫生防护距离</w:t>
            </w:r>
          </w:p>
        </w:tc>
        <w:tc>
          <w:tcPr>
            <w:tcW w:w="1101" w:type="dxa"/>
            <w:shd w:val="clear" w:color="auto" w:fill="auto"/>
            <w:vAlign w:val="center"/>
          </w:tcPr>
          <w:p w14:paraId="10D72637" w14:textId="2093E23D" w:rsidR="00B0005F" w:rsidRPr="008A2411" w:rsidRDefault="0059423D">
            <w:pPr>
              <w:adjustRightInd w:val="0"/>
              <w:snapToGrid w:val="0"/>
              <w:ind w:leftChars="-30" w:left="-72" w:rightChars="-30" w:right="-72"/>
              <w:jc w:val="center"/>
              <w:rPr>
                <w:rFonts w:ascii="Times New Roman"/>
                <w:color w:val="000000" w:themeColor="text1"/>
                <w:sz w:val="21"/>
                <w:szCs w:val="21"/>
              </w:rPr>
            </w:pPr>
            <w:r w:rsidRPr="008A2411">
              <w:rPr>
                <w:rFonts w:ascii="Times New Roman" w:hint="eastAsia"/>
                <w:color w:val="000000" w:themeColor="text1"/>
                <w:sz w:val="21"/>
                <w:szCs w:val="21"/>
              </w:rPr>
              <w:t>不同</w:t>
            </w:r>
          </w:p>
        </w:tc>
      </w:tr>
      <w:tr w:rsidR="008A2411" w:rsidRPr="008A2411" w14:paraId="771AB319" w14:textId="77777777">
        <w:trPr>
          <w:trHeight w:val="454"/>
          <w:jc w:val="center"/>
        </w:trPr>
        <w:tc>
          <w:tcPr>
            <w:tcW w:w="702" w:type="dxa"/>
            <w:vMerge w:val="restart"/>
            <w:shd w:val="clear" w:color="auto" w:fill="auto"/>
            <w:vAlign w:val="center"/>
          </w:tcPr>
          <w:p w14:paraId="7AD91660"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营运期废水</w:t>
            </w:r>
          </w:p>
        </w:tc>
        <w:tc>
          <w:tcPr>
            <w:tcW w:w="2107" w:type="dxa"/>
            <w:gridSpan w:val="2"/>
            <w:shd w:val="clear" w:color="auto" w:fill="auto"/>
            <w:vAlign w:val="center"/>
          </w:tcPr>
          <w:p w14:paraId="753C57EF" w14:textId="77777777" w:rsidR="00B0005F" w:rsidRPr="008A2411" w:rsidRDefault="00000000">
            <w:pPr>
              <w:adjustRightInd w:val="0"/>
              <w:snapToGrid w:val="0"/>
              <w:ind w:rightChars="-30" w:right="-72"/>
              <w:rPr>
                <w:rFonts w:ascii="Times New Roman"/>
                <w:color w:val="000000" w:themeColor="text1"/>
                <w:sz w:val="21"/>
                <w:szCs w:val="21"/>
              </w:rPr>
            </w:pPr>
            <w:r w:rsidRPr="008A2411">
              <w:rPr>
                <w:rFonts w:ascii="Times New Roman"/>
                <w:color w:val="000000" w:themeColor="text1"/>
                <w:sz w:val="21"/>
                <w:szCs w:val="21"/>
              </w:rPr>
              <w:t>清污分流、雨污分流</w:t>
            </w:r>
          </w:p>
        </w:tc>
        <w:tc>
          <w:tcPr>
            <w:tcW w:w="2293" w:type="dxa"/>
            <w:shd w:val="clear" w:color="auto" w:fill="auto"/>
            <w:vAlign w:val="center"/>
          </w:tcPr>
          <w:p w14:paraId="27065DCB" w14:textId="77777777" w:rsidR="00B0005F" w:rsidRPr="008A2411" w:rsidRDefault="00000000">
            <w:pPr>
              <w:adjustRightInd w:val="0"/>
              <w:snapToGrid w:val="0"/>
              <w:ind w:rightChars="-30" w:right="-72"/>
              <w:rPr>
                <w:rFonts w:ascii="Times New Roman"/>
                <w:color w:val="000000" w:themeColor="text1"/>
                <w:sz w:val="21"/>
                <w:szCs w:val="21"/>
              </w:rPr>
            </w:pPr>
            <w:r w:rsidRPr="008A2411">
              <w:rPr>
                <w:rFonts w:ascii="Times New Roman"/>
                <w:color w:val="000000" w:themeColor="text1"/>
                <w:sz w:val="21"/>
                <w:szCs w:val="21"/>
              </w:rPr>
              <w:t>项目实施清污分流、雨污分流</w:t>
            </w:r>
          </w:p>
        </w:tc>
        <w:tc>
          <w:tcPr>
            <w:tcW w:w="2800" w:type="dxa"/>
            <w:vAlign w:val="center"/>
          </w:tcPr>
          <w:p w14:paraId="3A48F2DD"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hint="eastAsia"/>
                <w:color w:val="000000" w:themeColor="text1"/>
                <w:sz w:val="21"/>
                <w:szCs w:val="21"/>
              </w:rPr>
              <w:t>相同</w:t>
            </w:r>
          </w:p>
        </w:tc>
        <w:tc>
          <w:tcPr>
            <w:tcW w:w="1101" w:type="dxa"/>
            <w:shd w:val="clear" w:color="auto" w:fill="auto"/>
            <w:vAlign w:val="center"/>
          </w:tcPr>
          <w:p w14:paraId="1B99D204"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hint="eastAsia"/>
                <w:color w:val="000000" w:themeColor="text1"/>
                <w:sz w:val="21"/>
                <w:szCs w:val="21"/>
              </w:rPr>
              <w:t>相同</w:t>
            </w:r>
          </w:p>
        </w:tc>
      </w:tr>
      <w:tr w:rsidR="008A2411" w:rsidRPr="008A2411" w14:paraId="4E758465" w14:textId="77777777">
        <w:trPr>
          <w:trHeight w:val="454"/>
          <w:jc w:val="center"/>
        </w:trPr>
        <w:tc>
          <w:tcPr>
            <w:tcW w:w="702" w:type="dxa"/>
            <w:vMerge/>
            <w:shd w:val="clear" w:color="auto" w:fill="auto"/>
            <w:vAlign w:val="center"/>
          </w:tcPr>
          <w:p w14:paraId="5655C981" w14:textId="77777777" w:rsidR="00B0005F" w:rsidRPr="008A2411" w:rsidRDefault="00B0005F">
            <w:pPr>
              <w:adjustRightInd w:val="0"/>
              <w:snapToGrid w:val="0"/>
              <w:ind w:leftChars="-30" w:left="-72" w:rightChars="-30" w:right="-72"/>
              <w:jc w:val="center"/>
              <w:rPr>
                <w:rFonts w:ascii="Times New Roman"/>
                <w:color w:val="000000" w:themeColor="text1"/>
                <w:sz w:val="21"/>
                <w:szCs w:val="21"/>
              </w:rPr>
            </w:pPr>
          </w:p>
        </w:tc>
        <w:tc>
          <w:tcPr>
            <w:tcW w:w="778" w:type="dxa"/>
            <w:vMerge w:val="restart"/>
            <w:shd w:val="clear" w:color="auto" w:fill="auto"/>
            <w:vAlign w:val="center"/>
          </w:tcPr>
          <w:p w14:paraId="34204AC8"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生产装置废水</w:t>
            </w:r>
          </w:p>
        </w:tc>
        <w:tc>
          <w:tcPr>
            <w:tcW w:w="1329" w:type="dxa"/>
            <w:shd w:val="clear" w:color="auto" w:fill="auto"/>
            <w:vAlign w:val="center"/>
          </w:tcPr>
          <w:p w14:paraId="55E1AA3B" w14:textId="77777777" w:rsidR="00B0005F" w:rsidRPr="008A2411" w:rsidRDefault="00000000">
            <w:pPr>
              <w:adjustRightInd w:val="0"/>
              <w:snapToGrid w:val="0"/>
              <w:ind w:leftChars="-30" w:left="-72" w:rightChars="-30" w:right="-72"/>
              <w:rPr>
                <w:rFonts w:ascii="Times New Roman"/>
                <w:color w:val="000000" w:themeColor="text1"/>
                <w:sz w:val="21"/>
                <w:szCs w:val="21"/>
              </w:rPr>
            </w:pPr>
            <w:r w:rsidRPr="008A2411">
              <w:rPr>
                <w:rFonts w:ascii="Times New Roman"/>
                <w:color w:val="000000" w:themeColor="text1"/>
                <w:sz w:val="21"/>
                <w:szCs w:val="21"/>
              </w:rPr>
              <w:t>进口分离器凝液（</w:t>
            </w:r>
            <w:r w:rsidRPr="008A2411">
              <w:rPr>
                <w:rFonts w:ascii="Times New Roman"/>
                <w:color w:val="000000" w:themeColor="text1"/>
                <w:sz w:val="21"/>
                <w:szCs w:val="21"/>
              </w:rPr>
              <w:t>W</w:t>
            </w:r>
            <w:r w:rsidRPr="008A2411">
              <w:rPr>
                <w:rFonts w:ascii="Times New Roman"/>
                <w:color w:val="000000" w:themeColor="text1"/>
                <w:sz w:val="21"/>
                <w:szCs w:val="21"/>
                <w:vertAlign w:val="subscript"/>
              </w:rPr>
              <w:t>1</w:t>
            </w:r>
            <w:r w:rsidRPr="008A2411">
              <w:rPr>
                <w:rFonts w:ascii="Times New Roman"/>
                <w:color w:val="000000" w:themeColor="text1"/>
                <w:sz w:val="21"/>
                <w:szCs w:val="21"/>
              </w:rPr>
              <w:t>）</w:t>
            </w:r>
          </w:p>
        </w:tc>
        <w:tc>
          <w:tcPr>
            <w:tcW w:w="2293" w:type="dxa"/>
            <w:vMerge w:val="restart"/>
            <w:shd w:val="clear" w:color="auto" w:fill="auto"/>
            <w:vAlign w:val="center"/>
          </w:tcPr>
          <w:p w14:paraId="4D4C6F87" w14:textId="77777777" w:rsidR="00B0005F" w:rsidRPr="008A2411" w:rsidRDefault="00000000">
            <w:pPr>
              <w:adjustRightInd w:val="0"/>
              <w:snapToGrid w:val="0"/>
              <w:ind w:leftChars="-30" w:left="-72" w:rightChars="-30" w:right="-72"/>
              <w:rPr>
                <w:rFonts w:ascii="Times New Roman"/>
                <w:color w:val="000000" w:themeColor="text1"/>
                <w:sz w:val="21"/>
                <w:szCs w:val="21"/>
              </w:rPr>
            </w:pPr>
            <w:r w:rsidRPr="008A2411">
              <w:rPr>
                <w:rFonts w:ascii="Times New Roman"/>
                <w:color w:val="000000" w:themeColor="text1"/>
                <w:sz w:val="21"/>
                <w:szCs w:val="21"/>
              </w:rPr>
              <w:t>项目生产废水、生活废水进入污水处理站处理。污水处理站工艺为：二级生化</w:t>
            </w:r>
            <w:r w:rsidRPr="008A2411">
              <w:rPr>
                <w:rFonts w:ascii="Times New Roman"/>
                <w:color w:val="000000" w:themeColor="text1"/>
                <w:sz w:val="21"/>
                <w:szCs w:val="21"/>
              </w:rPr>
              <w:t>+</w:t>
            </w:r>
            <w:r w:rsidRPr="008A2411">
              <w:rPr>
                <w:rFonts w:ascii="Times New Roman"/>
                <w:color w:val="000000" w:themeColor="text1"/>
                <w:sz w:val="21"/>
                <w:szCs w:val="21"/>
              </w:rPr>
              <w:t>消毒，污水处理站处理能力为</w:t>
            </w:r>
            <w:r w:rsidRPr="008A2411">
              <w:rPr>
                <w:rFonts w:ascii="Times New Roman"/>
                <w:color w:val="000000" w:themeColor="text1"/>
                <w:sz w:val="21"/>
                <w:szCs w:val="21"/>
              </w:rPr>
              <w:t>120 m</w:t>
            </w:r>
            <w:r w:rsidRPr="008A2411">
              <w:rPr>
                <w:rFonts w:ascii="Times New Roman"/>
                <w:color w:val="000000" w:themeColor="text1"/>
                <w:sz w:val="21"/>
                <w:szCs w:val="21"/>
                <w:vertAlign w:val="superscript"/>
              </w:rPr>
              <w:t>3</w:t>
            </w:r>
            <w:r w:rsidRPr="008A2411">
              <w:rPr>
                <w:rFonts w:ascii="Times New Roman"/>
                <w:color w:val="000000" w:themeColor="text1"/>
                <w:sz w:val="21"/>
                <w:szCs w:val="21"/>
              </w:rPr>
              <w:t>/d</w:t>
            </w:r>
            <w:r w:rsidRPr="008A2411">
              <w:rPr>
                <w:rFonts w:ascii="Times New Roman"/>
                <w:color w:val="000000" w:themeColor="text1"/>
                <w:sz w:val="21"/>
                <w:szCs w:val="21"/>
              </w:rPr>
              <w:t>。目前项目污水产生及处理量约</w:t>
            </w:r>
            <w:r w:rsidRPr="008A2411">
              <w:rPr>
                <w:rFonts w:ascii="Times New Roman"/>
                <w:color w:val="000000" w:themeColor="text1"/>
                <w:sz w:val="21"/>
                <w:szCs w:val="21"/>
              </w:rPr>
              <w:t>6.74m</w:t>
            </w:r>
            <w:r w:rsidRPr="008A2411">
              <w:rPr>
                <w:rFonts w:ascii="Times New Roman"/>
                <w:color w:val="000000" w:themeColor="text1"/>
                <w:sz w:val="21"/>
                <w:szCs w:val="21"/>
                <w:vertAlign w:val="superscript"/>
              </w:rPr>
              <w:t>3</w:t>
            </w:r>
            <w:r w:rsidRPr="008A2411">
              <w:rPr>
                <w:rFonts w:ascii="Times New Roman"/>
                <w:color w:val="000000" w:themeColor="text1"/>
                <w:sz w:val="21"/>
                <w:szCs w:val="21"/>
              </w:rPr>
              <w:t>/d</w:t>
            </w:r>
            <w:r w:rsidRPr="008A2411">
              <w:rPr>
                <w:rFonts w:ascii="Times New Roman"/>
                <w:color w:val="000000" w:themeColor="text1"/>
                <w:sz w:val="21"/>
                <w:szCs w:val="21"/>
              </w:rPr>
              <w:t>，污水处理站处理后的水全部用于厂区绿化使用</w:t>
            </w:r>
          </w:p>
        </w:tc>
        <w:tc>
          <w:tcPr>
            <w:tcW w:w="2800" w:type="dxa"/>
            <w:vMerge w:val="restart"/>
            <w:vAlign w:val="center"/>
          </w:tcPr>
          <w:p w14:paraId="085F5C92" w14:textId="1839E60F" w:rsidR="00B0005F" w:rsidRPr="008A2411" w:rsidRDefault="0059423D">
            <w:pPr>
              <w:adjustRightInd w:val="0"/>
              <w:snapToGrid w:val="0"/>
              <w:ind w:leftChars="-30" w:left="-72" w:rightChars="-30" w:right="-72"/>
              <w:rPr>
                <w:rFonts w:ascii="Times New Roman"/>
                <w:color w:val="000000" w:themeColor="text1"/>
                <w:sz w:val="21"/>
                <w:szCs w:val="21"/>
              </w:rPr>
            </w:pPr>
            <w:r w:rsidRPr="008A2411">
              <w:rPr>
                <w:rFonts w:ascii="Times New Roman" w:hint="eastAsia"/>
                <w:color w:val="000000" w:themeColor="text1"/>
                <w:sz w:val="21"/>
                <w:szCs w:val="21"/>
              </w:rPr>
              <w:t>本项目进口过滤器分离水、</w:t>
            </w:r>
            <w:r w:rsidRPr="008A2411">
              <w:rPr>
                <w:rFonts w:ascii="Times New Roman"/>
                <w:color w:val="000000" w:themeColor="text1"/>
                <w:kern w:val="2"/>
                <w:sz w:val="21"/>
                <w:szCs w:val="21"/>
              </w:rPr>
              <w:t>脱水再生器冷却器凝液</w:t>
            </w:r>
            <w:r w:rsidRPr="008A2411">
              <w:rPr>
                <w:rFonts w:ascii="Times New Roman" w:hint="eastAsia"/>
                <w:color w:val="000000" w:themeColor="text1"/>
                <w:kern w:val="2"/>
                <w:sz w:val="21"/>
                <w:szCs w:val="21"/>
              </w:rPr>
              <w:t>、生活污水</w:t>
            </w:r>
            <w:r w:rsidRPr="008A2411">
              <w:rPr>
                <w:rFonts w:ascii="Times New Roman"/>
                <w:color w:val="000000" w:themeColor="text1"/>
                <w:sz w:val="21"/>
                <w:szCs w:val="21"/>
              </w:rPr>
              <w:t>由厂区污水管网排入厂区污水处理站</w:t>
            </w:r>
            <w:r w:rsidRPr="008A2411">
              <w:rPr>
                <w:rFonts w:ascii="Times New Roman" w:hint="eastAsia"/>
                <w:color w:val="000000" w:themeColor="text1"/>
                <w:sz w:val="21"/>
                <w:szCs w:val="21"/>
              </w:rPr>
              <w:t>（污水处理工艺为“</w:t>
            </w:r>
            <w:r w:rsidRPr="008A2411">
              <w:rPr>
                <w:rFonts w:ascii="Times New Roman"/>
                <w:color w:val="000000" w:themeColor="text1"/>
                <w:sz w:val="21"/>
                <w:szCs w:val="21"/>
              </w:rPr>
              <w:t>二级生化</w:t>
            </w:r>
            <w:r w:rsidRPr="008A2411">
              <w:rPr>
                <w:rFonts w:ascii="Times New Roman"/>
                <w:color w:val="000000" w:themeColor="text1"/>
                <w:sz w:val="21"/>
                <w:szCs w:val="21"/>
              </w:rPr>
              <w:t>+TF</w:t>
            </w:r>
            <w:r w:rsidRPr="008A2411">
              <w:rPr>
                <w:rFonts w:ascii="Times New Roman"/>
                <w:color w:val="000000" w:themeColor="text1"/>
                <w:sz w:val="21"/>
                <w:szCs w:val="21"/>
              </w:rPr>
              <w:t>超滤</w:t>
            </w:r>
            <w:r w:rsidRPr="008A2411">
              <w:rPr>
                <w:rFonts w:ascii="Times New Roman" w:hint="eastAsia"/>
                <w:color w:val="000000" w:themeColor="text1"/>
                <w:sz w:val="21"/>
                <w:szCs w:val="21"/>
              </w:rPr>
              <w:t>”）</w:t>
            </w:r>
            <w:r w:rsidRPr="008A2411">
              <w:rPr>
                <w:rFonts w:ascii="Times New Roman"/>
                <w:color w:val="000000" w:themeColor="text1"/>
                <w:sz w:val="21"/>
                <w:szCs w:val="21"/>
              </w:rPr>
              <w:t>预处理达到《污水综合排放标准》</w:t>
            </w:r>
            <w:r w:rsidRPr="008A2411">
              <w:rPr>
                <w:rFonts w:ascii="Times New Roman"/>
                <w:color w:val="000000" w:themeColor="text1"/>
                <w:sz w:val="21"/>
                <w:szCs w:val="21"/>
              </w:rPr>
              <w:t>GB8978-1996</w:t>
            </w:r>
            <w:proofErr w:type="gramStart"/>
            <w:r w:rsidRPr="008A2411">
              <w:rPr>
                <w:rFonts w:ascii="Times New Roman"/>
                <w:color w:val="000000" w:themeColor="text1"/>
                <w:sz w:val="21"/>
                <w:szCs w:val="21"/>
              </w:rPr>
              <w:t>三</w:t>
            </w:r>
            <w:proofErr w:type="gramEnd"/>
            <w:r w:rsidRPr="008A2411">
              <w:rPr>
                <w:rFonts w:ascii="Times New Roman"/>
                <w:color w:val="000000" w:themeColor="text1"/>
                <w:sz w:val="21"/>
                <w:szCs w:val="21"/>
              </w:rPr>
              <w:t>级标准，排入园区污水处理厂</w:t>
            </w:r>
            <w:r w:rsidR="00673CC8" w:rsidRPr="008A2411">
              <w:rPr>
                <w:rFonts w:ascii="Times New Roman" w:hint="eastAsia"/>
                <w:color w:val="000000" w:themeColor="text1"/>
                <w:sz w:val="21"/>
                <w:szCs w:val="21"/>
              </w:rPr>
              <w:t>；脱盐水装置排水、软化水装置排水等水质较清洁废水直接排入园区管网。</w:t>
            </w:r>
          </w:p>
        </w:tc>
        <w:tc>
          <w:tcPr>
            <w:tcW w:w="1101" w:type="dxa"/>
            <w:vMerge w:val="restart"/>
            <w:shd w:val="clear" w:color="auto" w:fill="auto"/>
            <w:vAlign w:val="center"/>
          </w:tcPr>
          <w:p w14:paraId="388481D4"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hint="eastAsia"/>
                <w:color w:val="000000" w:themeColor="text1"/>
                <w:sz w:val="21"/>
                <w:szCs w:val="21"/>
              </w:rPr>
              <w:t>基本相同（本项目废水量较大，全部综合利用可行性低）</w:t>
            </w:r>
          </w:p>
        </w:tc>
      </w:tr>
      <w:tr w:rsidR="008A2411" w:rsidRPr="008A2411" w14:paraId="6D25F6E6" w14:textId="77777777">
        <w:trPr>
          <w:trHeight w:val="454"/>
          <w:jc w:val="center"/>
        </w:trPr>
        <w:tc>
          <w:tcPr>
            <w:tcW w:w="702" w:type="dxa"/>
            <w:vMerge/>
            <w:shd w:val="clear" w:color="auto" w:fill="auto"/>
            <w:vAlign w:val="center"/>
          </w:tcPr>
          <w:p w14:paraId="0D65037E" w14:textId="77777777" w:rsidR="00B0005F" w:rsidRPr="008A2411" w:rsidRDefault="00B0005F">
            <w:pPr>
              <w:adjustRightInd w:val="0"/>
              <w:snapToGrid w:val="0"/>
              <w:ind w:leftChars="-30" w:left="-72" w:rightChars="-30" w:right="-72"/>
              <w:jc w:val="center"/>
              <w:rPr>
                <w:rFonts w:ascii="Times New Roman"/>
                <w:color w:val="000000" w:themeColor="text1"/>
                <w:sz w:val="21"/>
                <w:szCs w:val="21"/>
              </w:rPr>
            </w:pPr>
          </w:p>
        </w:tc>
        <w:tc>
          <w:tcPr>
            <w:tcW w:w="778" w:type="dxa"/>
            <w:vMerge/>
            <w:shd w:val="clear" w:color="auto" w:fill="auto"/>
            <w:vAlign w:val="center"/>
          </w:tcPr>
          <w:p w14:paraId="7743A25B" w14:textId="77777777" w:rsidR="00B0005F" w:rsidRPr="008A2411" w:rsidRDefault="00B0005F">
            <w:pPr>
              <w:adjustRightInd w:val="0"/>
              <w:snapToGrid w:val="0"/>
              <w:ind w:leftChars="-30" w:left="-72" w:rightChars="-30" w:right="-72"/>
              <w:jc w:val="center"/>
              <w:rPr>
                <w:rFonts w:ascii="Times New Roman"/>
                <w:color w:val="000000" w:themeColor="text1"/>
                <w:sz w:val="21"/>
                <w:szCs w:val="21"/>
              </w:rPr>
            </w:pPr>
          </w:p>
        </w:tc>
        <w:tc>
          <w:tcPr>
            <w:tcW w:w="1329" w:type="dxa"/>
            <w:shd w:val="clear" w:color="auto" w:fill="auto"/>
            <w:vAlign w:val="center"/>
          </w:tcPr>
          <w:p w14:paraId="78B875FD" w14:textId="77777777" w:rsidR="00B0005F" w:rsidRPr="008A2411" w:rsidRDefault="00000000">
            <w:pPr>
              <w:adjustRightInd w:val="0"/>
              <w:snapToGrid w:val="0"/>
              <w:ind w:leftChars="-30" w:left="-72" w:rightChars="-30" w:right="-72"/>
              <w:rPr>
                <w:rFonts w:ascii="Times New Roman"/>
                <w:color w:val="000000" w:themeColor="text1"/>
                <w:sz w:val="21"/>
                <w:szCs w:val="21"/>
              </w:rPr>
            </w:pPr>
            <w:r w:rsidRPr="008A2411">
              <w:rPr>
                <w:rFonts w:ascii="Times New Roman"/>
                <w:color w:val="000000" w:themeColor="text1"/>
                <w:sz w:val="21"/>
                <w:szCs w:val="21"/>
              </w:rPr>
              <w:t>再生分离器凝液（</w:t>
            </w:r>
            <w:r w:rsidRPr="008A2411">
              <w:rPr>
                <w:rFonts w:ascii="Times New Roman"/>
                <w:color w:val="000000" w:themeColor="text1"/>
                <w:sz w:val="21"/>
                <w:szCs w:val="21"/>
              </w:rPr>
              <w:t>W</w:t>
            </w:r>
            <w:r w:rsidRPr="008A2411">
              <w:rPr>
                <w:rFonts w:ascii="Times New Roman"/>
                <w:color w:val="000000" w:themeColor="text1"/>
                <w:sz w:val="21"/>
                <w:szCs w:val="21"/>
                <w:vertAlign w:val="subscript"/>
              </w:rPr>
              <w:t>2</w:t>
            </w:r>
            <w:r w:rsidRPr="008A2411">
              <w:rPr>
                <w:rFonts w:ascii="Times New Roman"/>
                <w:color w:val="000000" w:themeColor="text1"/>
                <w:sz w:val="21"/>
                <w:szCs w:val="21"/>
              </w:rPr>
              <w:t>）</w:t>
            </w:r>
          </w:p>
        </w:tc>
        <w:tc>
          <w:tcPr>
            <w:tcW w:w="2293" w:type="dxa"/>
            <w:vMerge/>
            <w:shd w:val="clear" w:color="auto" w:fill="auto"/>
            <w:vAlign w:val="center"/>
          </w:tcPr>
          <w:p w14:paraId="579371B4" w14:textId="77777777" w:rsidR="00B0005F" w:rsidRPr="008A2411" w:rsidRDefault="00B0005F">
            <w:pPr>
              <w:adjustRightInd w:val="0"/>
              <w:snapToGrid w:val="0"/>
              <w:ind w:leftChars="-30" w:left="-72" w:rightChars="-30" w:right="-72"/>
              <w:rPr>
                <w:rFonts w:ascii="Times New Roman"/>
                <w:color w:val="000000" w:themeColor="text1"/>
                <w:sz w:val="21"/>
                <w:szCs w:val="21"/>
              </w:rPr>
            </w:pPr>
          </w:p>
        </w:tc>
        <w:tc>
          <w:tcPr>
            <w:tcW w:w="2800" w:type="dxa"/>
            <w:vMerge/>
            <w:vAlign w:val="center"/>
          </w:tcPr>
          <w:p w14:paraId="4E7DFDE7" w14:textId="77777777" w:rsidR="00B0005F" w:rsidRPr="008A2411" w:rsidRDefault="00B0005F">
            <w:pPr>
              <w:adjustRightInd w:val="0"/>
              <w:snapToGrid w:val="0"/>
              <w:ind w:leftChars="-30" w:left="-72" w:rightChars="-30" w:right="-72"/>
              <w:rPr>
                <w:rFonts w:ascii="Times New Roman"/>
                <w:color w:val="000000" w:themeColor="text1"/>
                <w:sz w:val="21"/>
                <w:szCs w:val="21"/>
              </w:rPr>
            </w:pPr>
          </w:p>
        </w:tc>
        <w:tc>
          <w:tcPr>
            <w:tcW w:w="1101" w:type="dxa"/>
            <w:vMerge/>
            <w:shd w:val="clear" w:color="auto" w:fill="auto"/>
            <w:vAlign w:val="center"/>
          </w:tcPr>
          <w:p w14:paraId="528255E4" w14:textId="77777777" w:rsidR="00B0005F" w:rsidRPr="008A2411" w:rsidRDefault="00B0005F">
            <w:pPr>
              <w:adjustRightInd w:val="0"/>
              <w:snapToGrid w:val="0"/>
              <w:ind w:leftChars="-30" w:left="-72" w:rightChars="-30" w:right="-72"/>
              <w:jc w:val="center"/>
              <w:rPr>
                <w:rFonts w:ascii="Times New Roman"/>
                <w:color w:val="000000" w:themeColor="text1"/>
                <w:sz w:val="21"/>
                <w:szCs w:val="21"/>
              </w:rPr>
            </w:pPr>
          </w:p>
        </w:tc>
      </w:tr>
      <w:tr w:rsidR="008A2411" w:rsidRPr="008A2411" w14:paraId="01046AC5" w14:textId="77777777">
        <w:trPr>
          <w:trHeight w:val="454"/>
          <w:jc w:val="center"/>
        </w:trPr>
        <w:tc>
          <w:tcPr>
            <w:tcW w:w="702" w:type="dxa"/>
            <w:vMerge/>
            <w:shd w:val="clear" w:color="auto" w:fill="auto"/>
            <w:vAlign w:val="center"/>
          </w:tcPr>
          <w:p w14:paraId="647DC50C" w14:textId="77777777" w:rsidR="00B0005F" w:rsidRPr="008A2411" w:rsidRDefault="00B0005F">
            <w:pPr>
              <w:adjustRightInd w:val="0"/>
              <w:snapToGrid w:val="0"/>
              <w:ind w:leftChars="-30" w:left="-72" w:rightChars="-30" w:right="-72"/>
              <w:jc w:val="center"/>
              <w:rPr>
                <w:rFonts w:ascii="Times New Roman"/>
                <w:color w:val="000000" w:themeColor="text1"/>
                <w:sz w:val="21"/>
                <w:szCs w:val="21"/>
              </w:rPr>
            </w:pPr>
          </w:p>
        </w:tc>
        <w:tc>
          <w:tcPr>
            <w:tcW w:w="778" w:type="dxa"/>
            <w:vMerge w:val="restart"/>
            <w:shd w:val="clear" w:color="auto" w:fill="auto"/>
            <w:vAlign w:val="center"/>
          </w:tcPr>
          <w:p w14:paraId="47FD41FD"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其它</w:t>
            </w:r>
          </w:p>
          <w:p w14:paraId="59D95E93"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废水</w:t>
            </w:r>
          </w:p>
        </w:tc>
        <w:tc>
          <w:tcPr>
            <w:tcW w:w="1329" w:type="dxa"/>
            <w:shd w:val="clear" w:color="auto" w:fill="auto"/>
            <w:vAlign w:val="center"/>
          </w:tcPr>
          <w:p w14:paraId="030E1B2D"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设备、地面冲洗废水（</w:t>
            </w:r>
            <w:r w:rsidRPr="008A2411">
              <w:rPr>
                <w:rFonts w:ascii="Times New Roman"/>
                <w:color w:val="000000" w:themeColor="text1"/>
                <w:sz w:val="21"/>
                <w:szCs w:val="21"/>
              </w:rPr>
              <w:t>W3</w:t>
            </w:r>
            <w:r w:rsidRPr="008A2411">
              <w:rPr>
                <w:rFonts w:ascii="Times New Roman"/>
                <w:color w:val="000000" w:themeColor="text1"/>
                <w:sz w:val="21"/>
                <w:szCs w:val="21"/>
              </w:rPr>
              <w:t>）</w:t>
            </w:r>
          </w:p>
        </w:tc>
        <w:tc>
          <w:tcPr>
            <w:tcW w:w="2293" w:type="dxa"/>
            <w:vMerge/>
            <w:shd w:val="clear" w:color="auto" w:fill="auto"/>
            <w:vAlign w:val="center"/>
          </w:tcPr>
          <w:p w14:paraId="4F3544CB" w14:textId="77777777" w:rsidR="00B0005F" w:rsidRPr="008A2411" w:rsidRDefault="00B0005F">
            <w:pPr>
              <w:adjustRightInd w:val="0"/>
              <w:snapToGrid w:val="0"/>
              <w:ind w:leftChars="-30" w:left="-72" w:rightChars="-30" w:right="-72"/>
              <w:rPr>
                <w:rFonts w:ascii="Times New Roman"/>
                <w:color w:val="000000" w:themeColor="text1"/>
                <w:sz w:val="21"/>
                <w:szCs w:val="21"/>
              </w:rPr>
            </w:pPr>
          </w:p>
        </w:tc>
        <w:tc>
          <w:tcPr>
            <w:tcW w:w="2800" w:type="dxa"/>
            <w:vMerge/>
            <w:vAlign w:val="center"/>
          </w:tcPr>
          <w:p w14:paraId="499D0979" w14:textId="77777777" w:rsidR="00B0005F" w:rsidRPr="008A2411" w:rsidRDefault="00B0005F">
            <w:pPr>
              <w:adjustRightInd w:val="0"/>
              <w:snapToGrid w:val="0"/>
              <w:ind w:leftChars="-30" w:left="-72" w:rightChars="-30" w:right="-72"/>
              <w:rPr>
                <w:rFonts w:ascii="Times New Roman"/>
                <w:color w:val="000000" w:themeColor="text1"/>
                <w:sz w:val="21"/>
                <w:szCs w:val="21"/>
              </w:rPr>
            </w:pPr>
          </w:p>
        </w:tc>
        <w:tc>
          <w:tcPr>
            <w:tcW w:w="1101" w:type="dxa"/>
            <w:vMerge/>
            <w:shd w:val="clear" w:color="auto" w:fill="auto"/>
            <w:vAlign w:val="center"/>
          </w:tcPr>
          <w:p w14:paraId="28813CC0" w14:textId="77777777" w:rsidR="00B0005F" w:rsidRPr="008A2411" w:rsidRDefault="00B0005F">
            <w:pPr>
              <w:adjustRightInd w:val="0"/>
              <w:snapToGrid w:val="0"/>
              <w:ind w:leftChars="-30" w:left="-72" w:rightChars="-30" w:right="-72"/>
              <w:jc w:val="center"/>
              <w:rPr>
                <w:rFonts w:ascii="Times New Roman"/>
                <w:color w:val="000000" w:themeColor="text1"/>
                <w:sz w:val="21"/>
                <w:szCs w:val="21"/>
              </w:rPr>
            </w:pPr>
          </w:p>
        </w:tc>
      </w:tr>
      <w:tr w:rsidR="008A2411" w:rsidRPr="008A2411" w14:paraId="486B76E1" w14:textId="77777777">
        <w:trPr>
          <w:trHeight w:val="454"/>
          <w:jc w:val="center"/>
        </w:trPr>
        <w:tc>
          <w:tcPr>
            <w:tcW w:w="702" w:type="dxa"/>
            <w:vMerge/>
            <w:shd w:val="clear" w:color="auto" w:fill="auto"/>
            <w:vAlign w:val="center"/>
          </w:tcPr>
          <w:p w14:paraId="2180B2F4" w14:textId="77777777" w:rsidR="00B0005F" w:rsidRPr="008A2411" w:rsidRDefault="00B0005F">
            <w:pPr>
              <w:adjustRightInd w:val="0"/>
              <w:snapToGrid w:val="0"/>
              <w:ind w:leftChars="-30" w:left="-72" w:rightChars="-30" w:right="-72"/>
              <w:jc w:val="center"/>
              <w:rPr>
                <w:rFonts w:ascii="Times New Roman"/>
                <w:color w:val="000000" w:themeColor="text1"/>
                <w:sz w:val="21"/>
                <w:szCs w:val="21"/>
              </w:rPr>
            </w:pPr>
          </w:p>
        </w:tc>
        <w:tc>
          <w:tcPr>
            <w:tcW w:w="778" w:type="dxa"/>
            <w:vMerge/>
            <w:shd w:val="clear" w:color="auto" w:fill="auto"/>
            <w:vAlign w:val="center"/>
          </w:tcPr>
          <w:p w14:paraId="615DF4A2" w14:textId="77777777" w:rsidR="00B0005F" w:rsidRPr="008A2411" w:rsidRDefault="00B0005F">
            <w:pPr>
              <w:adjustRightInd w:val="0"/>
              <w:snapToGrid w:val="0"/>
              <w:ind w:leftChars="-30" w:left="-72" w:rightChars="-30" w:right="-72"/>
              <w:jc w:val="center"/>
              <w:rPr>
                <w:rFonts w:ascii="Times New Roman"/>
                <w:color w:val="000000" w:themeColor="text1"/>
                <w:sz w:val="21"/>
                <w:szCs w:val="21"/>
              </w:rPr>
            </w:pPr>
          </w:p>
        </w:tc>
        <w:tc>
          <w:tcPr>
            <w:tcW w:w="1329" w:type="dxa"/>
            <w:shd w:val="clear" w:color="auto" w:fill="auto"/>
            <w:vAlign w:val="center"/>
          </w:tcPr>
          <w:p w14:paraId="6C7EE6D1" w14:textId="77777777" w:rsidR="00B0005F" w:rsidRPr="008A2411" w:rsidRDefault="00000000">
            <w:pPr>
              <w:pStyle w:val="aff9"/>
              <w:adjustRightInd w:val="0"/>
              <w:snapToGrid w:val="0"/>
              <w:spacing w:before="0" w:beforeAutospacing="0" w:after="0" w:afterAutospacing="0"/>
              <w:ind w:leftChars="-30" w:left="-72" w:rightChars="-30" w:right="-72"/>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生活废水（</w:t>
            </w:r>
            <w:r w:rsidRPr="008A2411">
              <w:rPr>
                <w:rFonts w:ascii="Times New Roman" w:eastAsia="宋体" w:hAnsi="Times New Roman" w:cs="Times New Roman"/>
                <w:color w:val="000000" w:themeColor="text1"/>
                <w:sz w:val="21"/>
                <w:szCs w:val="21"/>
              </w:rPr>
              <w:t>W4</w:t>
            </w:r>
            <w:r w:rsidRPr="008A2411">
              <w:rPr>
                <w:rFonts w:ascii="Times New Roman" w:eastAsia="宋体" w:hAnsi="Times New Roman" w:cs="Times New Roman"/>
                <w:color w:val="000000" w:themeColor="text1"/>
                <w:sz w:val="21"/>
                <w:szCs w:val="21"/>
              </w:rPr>
              <w:t>）</w:t>
            </w:r>
          </w:p>
        </w:tc>
        <w:tc>
          <w:tcPr>
            <w:tcW w:w="2293" w:type="dxa"/>
            <w:vMerge/>
            <w:shd w:val="clear" w:color="auto" w:fill="auto"/>
            <w:vAlign w:val="center"/>
          </w:tcPr>
          <w:p w14:paraId="5B69E11A" w14:textId="77777777" w:rsidR="00B0005F" w:rsidRPr="008A2411" w:rsidRDefault="00B0005F">
            <w:pPr>
              <w:adjustRightInd w:val="0"/>
              <w:snapToGrid w:val="0"/>
              <w:ind w:leftChars="-30" w:left="-72" w:rightChars="-30" w:right="-72"/>
              <w:rPr>
                <w:rFonts w:ascii="Times New Roman"/>
                <w:color w:val="000000" w:themeColor="text1"/>
                <w:sz w:val="21"/>
                <w:szCs w:val="21"/>
              </w:rPr>
            </w:pPr>
          </w:p>
        </w:tc>
        <w:tc>
          <w:tcPr>
            <w:tcW w:w="2800" w:type="dxa"/>
            <w:vMerge/>
            <w:vAlign w:val="center"/>
          </w:tcPr>
          <w:p w14:paraId="07ED81FC" w14:textId="77777777" w:rsidR="00B0005F" w:rsidRPr="008A2411" w:rsidRDefault="00B0005F">
            <w:pPr>
              <w:adjustRightInd w:val="0"/>
              <w:snapToGrid w:val="0"/>
              <w:ind w:leftChars="-30" w:left="-72" w:rightChars="-30" w:right="-72"/>
              <w:rPr>
                <w:rFonts w:ascii="Times New Roman"/>
                <w:color w:val="000000" w:themeColor="text1"/>
                <w:sz w:val="21"/>
                <w:szCs w:val="21"/>
              </w:rPr>
            </w:pPr>
          </w:p>
        </w:tc>
        <w:tc>
          <w:tcPr>
            <w:tcW w:w="1101" w:type="dxa"/>
            <w:vMerge/>
            <w:shd w:val="clear" w:color="auto" w:fill="auto"/>
            <w:vAlign w:val="center"/>
          </w:tcPr>
          <w:p w14:paraId="3DA0445D" w14:textId="77777777" w:rsidR="00B0005F" w:rsidRPr="008A2411" w:rsidRDefault="00B0005F">
            <w:pPr>
              <w:adjustRightInd w:val="0"/>
              <w:snapToGrid w:val="0"/>
              <w:ind w:leftChars="-30" w:left="-72" w:rightChars="-30" w:right="-72"/>
              <w:jc w:val="center"/>
              <w:rPr>
                <w:rFonts w:ascii="Times New Roman"/>
                <w:color w:val="000000" w:themeColor="text1"/>
                <w:sz w:val="21"/>
                <w:szCs w:val="21"/>
              </w:rPr>
            </w:pPr>
          </w:p>
        </w:tc>
      </w:tr>
      <w:tr w:rsidR="008A2411" w:rsidRPr="008A2411" w14:paraId="03031075" w14:textId="77777777">
        <w:trPr>
          <w:trHeight w:val="454"/>
          <w:jc w:val="center"/>
        </w:trPr>
        <w:tc>
          <w:tcPr>
            <w:tcW w:w="702" w:type="dxa"/>
            <w:vMerge w:val="restart"/>
            <w:shd w:val="clear" w:color="auto" w:fill="auto"/>
            <w:vAlign w:val="center"/>
          </w:tcPr>
          <w:p w14:paraId="5DBC806F"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营运期地下水</w:t>
            </w:r>
          </w:p>
        </w:tc>
        <w:tc>
          <w:tcPr>
            <w:tcW w:w="778" w:type="dxa"/>
            <w:shd w:val="clear" w:color="auto" w:fill="auto"/>
            <w:vAlign w:val="center"/>
          </w:tcPr>
          <w:p w14:paraId="23981557" w14:textId="77777777" w:rsidR="00B0005F" w:rsidRPr="008A2411" w:rsidRDefault="00000000">
            <w:pPr>
              <w:pStyle w:val="aff9"/>
              <w:adjustRightInd w:val="0"/>
              <w:snapToGrid w:val="0"/>
              <w:spacing w:before="0" w:beforeAutospacing="0" w:after="0" w:afterAutospacing="0"/>
              <w:ind w:leftChars="-30" w:left="-72" w:rightChars="-30" w:right="-72"/>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防渗</w:t>
            </w:r>
          </w:p>
          <w:p w14:paraId="1C777D7B" w14:textId="77777777" w:rsidR="00B0005F" w:rsidRPr="008A2411" w:rsidRDefault="00000000">
            <w:pPr>
              <w:pStyle w:val="aff9"/>
              <w:adjustRightInd w:val="0"/>
              <w:snapToGrid w:val="0"/>
              <w:spacing w:before="0" w:beforeAutospacing="0" w:after="0" w:afterAutospacing="0"/>
              <w:ind w:leftChars="-30" w:left="-72" w:rightChars="-30" w:right="-72"/>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措施</w:t>
            </w:r>
          </w:p>
        </w:tc>
        <w:tc>
          <w:tcPr>
            <w:tcW w:w="3622" w:type="dxa"/>
            <w:gridSpan w:val="2"/>
            <w:shd w:val="clear" w:color="auto" w:fill="auto"/>
            <w:vAlign w:val="center"/>
          </w:tcPr>
          <w:p w14:paraId="2F15871D" w14:textId="77777777" w:rsidR="00B0005F" w:rsidRPr="008A2411" w:rsidRDefault="00000000">
            <w:pPr>
              <w:adjustRightInd w:val="0"/>
              <w:snapToGrid w:val="0"/>
              <w:ind w:leftChars="-30" w:left="-72" w:rightChars="-30" w:right="-72"/>
              <w:rPr>
                <w:rFonts w:ascii="Times New Roman"/>
                <w:color w:val="000000" w:themeColor="text1"/>
                <w:sz w:val="21"/>
                <w:szCs w:val="21"/>
              </w:rPr>
            </w:pPr>
            <w:r w:rsidRPr="008A2411">
              <w:rPr>
                <w:rFonts w:ascii="Times New Roman"/>
                <w:color w:val="000000" w:themeColor="text1"/>
                <w:sz w:val="21"/>
                <w:szCs w:val="21"/>
              </w:rPr>
              <w:t>项目进行了分区防渗，重点防渗区采取水泥基渗透结晶抗渗混凝土（厚度不小于</w:t>
            </w:r>
            <w:r w:rsidRPr="008A2411">
              <w:rPr>
                <w:rFonts w:ascii="Times New Roman"/>
                <w:color w:val="000000" w:themeColor="text1"/>
                <w:sz w:val="21"/>
                <w:szCs w:val="21"/>
              </w:rPr>
              <w:t>150mm</w:t>
            </w:r>
            <w:r w:rsidRPr="008A2411">
              <w:rPr>
                <w:rFonts w:ascii="Times New Roman"/>
                <w:color w:val="000000" w:themeColor="text1"/>
                <w:sz w:val="21"/>
                <w:szCs w:val="21"/>
              </w:rPr>
              <w:t>）</w:t>
            </w:r>
            <w:r w:rsidRPr="008A2411">
              <w:rPr>
                <w:rFonts w:ascii="Times New Roman"/>
                <w:color w:val="000000" w:themeColor="text1"/>
                <w:sz w:val="21"/>
                <w:szCs w:val="21"/>
              </w:rPr>
              <w:t>+</w:t>
            </w:r>
            <w:r w:rsidRPr="008A2411">
              <w:rPr>
                <w:rFonts w:ascii="Times New Roman"/>
                <w:color w:val="000000" w:themeColor="text1"/>
                <w:sz w:val="21"/>
                <w:szCs w:val="21"/>
              </w:rPr>
              <w:t>水泥基渗透结晶型防渗涂层（厚度不小于</w:t>
            </w:r>
            <w:r w:rsidRPr="008A2411">
              <w:rPr>
                <w:rFonts w:ascii="Times New Roman"/>
                <w:color w:val="000000" w:themeColor="text1"/>
                <w:sz w:val="21"/>
                <w:szCs w:val="21"/>
              </w:rPr>
              <w:t>0.8mm</w:t>
            </w:r>
            <w:r w:rsidRPr="008A2411">
              <w:rPr>
                <w:rFonts w:ascii="Times New Roman"/>
                <w:color w:val="000000" w:themeColor="text1"/>
                <w:sz w:val="21"/>
                <w:szCs w:val="21"/>
              </w:rPr>
              <w:t>）结构形式防渗，一般防渗区采取抗渗混凝土（厚度不小于</w:t>
            </w:r>
            <w:r w:rsidRPr="008A2411">
              <w:rPr>
                <w:rFonts w:ascii="Times New Roman"/>
                <w:color w:val="000000" w:themeColor="text1"/>
                <w:sz w:val="21"/>
                <w:szCs w:val="21"/>
              </w:rPr>
              <w:t>100mm</w:t>
            </w:r>
            <w:r w:rsidRPr="008A2411">
              <w:rPr>
                <w:rFonts w:ascii="Times New Roman"/>
                <w:color w:val="000000" w:themeColor="text1"/>
                <w:sz w:val="21"/>
                <w:szCs w:val="21"/>
              </w:rPr>
              <w:t>）防渗结构形式防渗</w:t>
            </w:r>
          </w:p>
        </w:tc>
        <w:tc>
          <w:tcPr>
            <w:tcW w:w="2800" w:type="dxa"/>
            <w:vAlign w:val="center"/>
          </w:tcPr>
          <w:p w14:paraId="67ED3C8C"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hint="eastAsia"/>
                <w:color w:val="000000" w:themeColor="text1"/>
                <w:sz w:val="21"/>
                <w:szCs w:val="21"/>
              </w:rPr>
              <w:t>相同</w:t>
            </w:r>
          </w:p>
        </w:tc>
        <w:tc>
          <w:tcPr>
            <w:tcW w:w="1101" w:type="dxa"/>
            <w:shd w:val="clear" w:color="auto" w:fill="auto"/>
            <w:vAlign w:val="center"/>
          </w:tcPr>
          <w:p w14:paraId="1338BEF9"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hint="eastAsia"/>
                <w:color w:val="000000" w:themeColor="text1"/>
                <w:sz w:val="21"/>
                <w:szCs w:val="21"/>
              </w:rPr>
              <w:t>相同</w:t>
            </w:r>
          </w:p>
        </w:tc>
      </w:tr>
      <w:tr w:rsidR="008A2411" w:rsidRPr="008A2411" w14:paraId="6FE2AF28" w14:textId="77777777">
        <w:trPr>
          <w:trHeight w:val="454"/>
          <w:jc w:val="center"/>
        </w:trPr>
        <w:tc>
          <w:tcPr>
            <w:tcW w:w="702" w:type="dxa"/>
            <w:vMerge/>
            <w:shd w:val="clear" w:color="auto" w:fill="auto"/>
            <w:vAlign w:val="center"/>
          </w:tcPr>
          <w:p w14:paraId="279AFC3F" w14:textId="77777777" w:rsidR="00B0005F" w:rsidRPr="008A2411" w:rsidRDefault="00B0005F">
            <w:pPr>
              <w:adjustRightInd w:val="0"/>
              <w:snapToGrid w:val="0"/>
              <w:ind w:leftChars="-30" w:left="-72" w:rightChars="-30" w:right="-72"/>
              <w:jc w:val="center"/>
              <w:rPr>
                <w:rFonts w:ascii="Times New Roman"/>
                <w:color w:val="000000" w:themeColor="text1"/>
                <w:sz w:val="21"/>
                <w:szCs w:val="21"/>
              </w:rPr>
            </w:pPr>
          </w:p>
        </w:tc>
        <w:tc>
          <w:tcPr>
            <w:tcW w:w="778" w:type="dxa"/>
            <w:shd w:val="clear" w:color="auto" w:fill="auto"/>
            <w:vAlign w:val="center"/>
          </w:tcPr>
          <w:p w14:paraId="7FCBC903" w14:textId="77777777" w:rsidR="00B0005F" w:rsidRPr="008A2411" w:rsidRDefault="00000000">
            <w:pPr>
              <w:pStyle w:val="aff9"/>
              <w:adjustRightInd w:val="0"/>
              <w:snapToGrid w:val="0"/>
              <w:spacing w:before="0" w:beforeAutospacing="0" w:after="0" w:afterAutospacing="0"/>
              <w:ind w:leftChars="-30" w:left="-72" w:rightChars="-30" w:right="-72"/>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污染</w:t>
            </w:r>
          </w:p>
          <w:p w14:paraId="47EB7DE9" w14:textId="77777777" w:rsidR="00B0005F" w:rsidRPr="008A2411" w:rsidRDefault="00000000">
            <w:pPr>
              <w:pStyle w:val="aff9"/>
              <w:adjustRightInd w:val="0"/>
              <w:snapToGrid w:val="0"/>
              <w:spacing w:before="0" w:beforeAutospacing="0" w:after="0" w:afterAutospacing="0"/>
              <w:ind w:leftChars="-30" w:left="-72" w:rightChars="-30" w:right="-72"/>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监控</w:t>
            </w:r>
          </w:p>
        </w:tc>
        <w:tc>
          <w:tcPr>
            <w:tcW w:w="3622" w:type="dxa"/>
            <w:gridSpan w:val="2"/>
            <w:shd w:val="clear" w:color="auto" w:fill="auto"/>
            <w:vAlign w:val="center"/>
          </w:tcPr>
          <w:p w14:paraId="304A3D5F" w14:textId="77777777" w:rsidR="00B0005F" w:rsidRPr="008A2411" w:rsidRDefault="00000000">
            <w:pPr>
              <w:adjustRightInd w:val="0"/>
              <w:snapToGrid w:val="0"/>
              <w:ind w:leftChars="-30" w:left="-72" w:rightChars="-30" w:right="-72"/>
              <w:rPr>
                <w:rFonts w:ascii="Times New Roman"/>
                <w:color w:val="000000" w:themeColor="text1"/>
                <w:sz w:val="21"/>
                <w:szCs w:val="21"/>
              </w:rPr>
            </w:pPr>
            <w:r w:rsidRPr="008A2411">
              <w:rPr>
                <w:rFonts w:ascii="Times New Roman"/>
                <w:color w:val="000000" w:themeColor="text1"/>
                <w:sz w:val="21"/>
                <w:szCs w:val="21"/>
              </w:rPr>
              <w:t>项目在厂区地下水流向上游和下游各设有</w:t>
            </w:r>
            <w:r w:rsidRPr="008A2411">
              <w:rPr>
                <w:rFonts w:ascii="Times New Roman"/>
                <w:color w:val="000000" w:themeColor="text1"/>
                <w:sz w:val="21"/>
                <w:szCs w:val="21"/>
              </w:rPr>
              <w:t>1</w:t>
            </w:r>
            <w:r w:rsidRPr="008A2411">
              <w:rPr>
                <w:rFonts w:ascii="Times New Roman"/>
                <w:color w:val="000000" w:themeColor="text1"/>
                <w:sz w:val="21"/>
                <w:szCs w:val="21"/>
              </w:rPr>
              <w:t>眼地下水监控井</w:t>
            </w:r>
          </w:p>
        </w:tc>
        <w:tc>
          <w:tcPr>
            <w:tcW w:w="2800" w:type="dxa"/>
            <w:vAlign w:val="center"/>
          </w:tcPr>
          <w:p w14:paraId="2B21244E" w14:textId="4040D049" w:rsidR="00B0005F" w:rsidRPr="008A2411" w:rsidRDefault="00673CC8">
            <w:pPr>
              <w:adjustRightInd w:val="0"/>
              <w:snapToGrid w:val="0"/>
              <w:ind w:leftChars="-30" w:left="-72" w:rightChars="-30" w:right="-72"/>
              <w:rPr>
                <w:rFonts w:ascii="Times New Roman"/>
                <w:color w:val="000000" w:themeColor="text1"/>
                <w:sz w:val="21"/>
                <w:szCs w:val="21"/>
              </w:rPr>
            </w:pPr>
            <w:r w:rsidRPr="008A2411">
              <w:rPr>
                <w:rFonts w:ascii="Times New Roman" w:hint="eastAsia"/>
                <w:color w:val="000000" w:themeColor="text1"/>
                <w:sz w:val="21"/>
                <w:szCs w:val="21"/>
              </w:rPr>
              <w:t>本项目设置</w:t>
            </w:r>
            <w:r w:rsidRPr="008A2411">
              <w:rPr>
                <w:rFonts w:ascii="Times New Roman" w:hint="eastAsia"/>
                <w:color w:val="000000" w:themeColor="text1"/>
                <w:sz w:val="21"/>
                <w:szCs w:val="21"/>
              </w:rPr>
              <w:t>4</w:t>
            </w:r>
            <w:r w:rsidRPr="008A2411">
              <w:rPr>
                <w:rFonts w:ascii="Times New Roman" w:hint="eastAsia"/>
                <w:color w:val="000000" w:themeColor="text1"/>
                <w:sz w:val="21"/>
                <w:szCs w:val="21"/>
              </w:rPr>
              <w:t>个地下水监控井，分别位于</w:t>
            </w:r>
            <w:r w:rsidRPr="008A2411">
              <w:rPr>
                <w:rFonts w:ascii="Times New Roman"/>
                <w:color w:val="000000" w:themeColor="text1"/>
                <w:sz w:val="21"/>
                <w:szCs w:val="21"/>
              </w:rPr>
              <w:t>厂区北侧边界处；污水处理站南侧；厂区南侧边界；工艺装置区东侧</w:t>
            </w:r>
          </w:p>
        </w:tc>
        <w:tc>
          <w:tcPr>
            <w:tcW w:w="1101" w:type="dxa"/>
            <w:shd w:val="clear" w:color="auto" w:fill="auto"/>
            <w:vAlign w:val="center"/>
          </w:tcPr>
          <w:p w14:paraId="438F6A02" w14:textId="77777777" w:rsidR="00B0005F" w:rsidRPr="008A2411" w:rsidRDefault="00000000">
            <w:pPr>
              <w:adjustRightInd w:val="0"/>
              <w:snapToGrid w:val="0"/>
              <w:ind w:rightChars="-30" w:right="-72"/>
              <w:rPr>
                <w:rFonts w:ascii="Times New Roman"/>
                <w:color w:val="000000" w:themeColor="text1"/>
                <w:sz w:val="21"/>
                <w:szCs w:val="21"/>
              </w:rPr>
            </w:pPr>
            <w:r w:rsidRPr="008A2411">
              <w:rPr>
                <w:rFonts w:ascii="Times New Roman" w:hint="eastAsia"/>
                <w:color w:val="000000" w:themeColor="text1"/>
                <w:sz w:val="21"/>
                <w:szCs w:val="21"/>
              </w:rPr>
              <w:t>优化提高</w:t>
            </w:r>
          </w:p>
        </w:tc>
      </w:tr>
      <w:tr w:rsidR="008A2411" w:rsidRPr="008A2411" w14:paraId="0C9EEE57" w14:textId="77777777">
        <w:trPr>
          <w:trHeight w:val="454"/>
          <w:jc w:val="center"/>
        </w:trPr>
        <w:tc>
          <w:tcPr>
            <w:tcW w:w="702" w:type="dxa"/>
            <w:vMerge w:val="restart"/>
            <w:shd w:val="clear" w:color="auto" w:fill="auto"/>
            <w:vAlign w:val="center"/>
          </w:tcPr>
          <w:p w14:paraId="666688F7"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营运</w:t>
            </w:r>
            <w:proofErr w:type="gramStart"/>
            <w:r w:rsidRPr="008A2411">
              <w:rPr>
                <w:rFonts w:ascii="Times New Roman"/>
                <w:color w:val="000000" w:themeColor="text1"/>
                <w:sz w:val="21"/>
                <w:szCs w:val="21"/>
              </w:rPr>
              <w:t>期固废</w:t>
            </w:r>
            <w:proofErr w:type="gramEnd"/>
          </w:p>
        </w:tc>
        <w:tc>
          <w:tcPr>
            <w:tcW w:w="778" w:type="dxa"/>
            <w:shd w:val="clear" w:color="auto" w:fill="auto"/>
            <w:vAlign w:val="center"/>
          </w:tcPr>
          <w:p w14:paraId="06A15A41" w14:textId="77777777" w:rsidR="00B0005F" w:rsidRPr="008A2411" w:rsidRDefault="00000000">
            <w:pPr>
              <w:adjustRightInd w:val="0"/>
              <w:snapToGrid w:val="0"/>
              <w:ind w:leftChars="-30" w:left="-72" w:rightChars="-30" w:right="-72"/>
              <w:jc w:val="center"/>
              <w:rPr>
                <w:rFonts w:ascii="Times New Roman"/>
                <w:color w:val="000000" w:themeColor="text1"/>
                <w:spacing w:val="-8"/>
                <w:sz w:val="21"/>
                <w:szCs w:val="21"/>
              </w:rPr>
            </w:pPr>
            <w:r w:rsidRPr="008A2411">
              <w:rPr>
                <w:rFonts w:ascii="Times New Roman"/>
                <w:color w:val="000000" w:themeColor="text1"/>
                <w:spacing w:val="-8"/>
                <w:sz w:val="21"/>
                <w:szCs w:val="21"/>
              </w:rPr>
              <w:t>生产装置固废</w:t>
            </w:r>
          </w:p>
        </w:tc>
        <w:tc>
          <w:tcPr>
            <w:tcW w:w="1329" w:type="dxa"/>
            <w:shd w:val="clear" w:color="auto" w:fill="auto"/>
            <w:vAlign w:val="center"/>
          </w:tcPr>
          <w:p w14:paraId="77102004" w14:textId="77777777" w:rsidR="00B0005F" w:rsidRPr="008A2411" w:rsidRDefault="00000000">
            <w:pPr>
              <w:adjustRightInd w:val="0"/>
              <w:snapToGrid w:val="0"/>
              <w:ind w:leftChars="-30" w:left="-72" w:rightChars="-30" w:right="-72"/>
              <w:rPr>
                <w:rFonts w:ascii="Times New Roman"/>
                <w:color w:val="000000" w:themeColor="text1"/>
                <w:sz w:val="21"/>
                <w:szCs w:val="21"/>
              </w:rPr>
            </w:pPr>
            <w:r w:rsidRPr="008A2411">
              <w:rPr>
                <w:rFonts w:ascii="Times New Roman"/>
                <w:color w:val="000000" w:themeColor="text1"/>
                <w:sz w:val="21"/>
                <w:szCs w:val="21"/>
              </w:rPr>
              <w:t>废活性炭、脱汞剂、废油</w:t>
            </w:r>
          </w:p>
        </w:tc>
        <w:tc>
          <w:tcPr>
            <w:tcW w:w="2293" w:type="dxa"/>
            <w:vMerge w:val="restart"/>
            <w:shd w:val="clear" w:color="auto" w:fill="auto"/>
            <w:vAlign w:val="center"/>
          </w:tcPr>
          <w:p w14:paraId="40A92054" w14:textId="77777777" w:rsidR="00B0005F" w:rsidRPr="008A2411" w:rsidRDefault="00000000">
            <w:pPr>
              <w:adjustRightInd w:val="0"/>
              <w:snapToGrid w:val="0"/>
              <w:ind w:leftChars="-30" w:left="-72" w:rightChars="-30" w:right="-72"/>
              <w:rPr>
                <w:rFonts w:ascii="Times New Roman"/>
                <w:color w:val="000000" w:themeColor="text1"/>
                <w:spacing w:val="-4"/>
                <w:sz w:val="21"/>
                <w:szCs w:val="21"/>
              </w:rPr>
            </w:pPr>
            <w:r w:rsidRPr="008A2411">
              <w:rPr>
                <w:rFonts w:ascii="Times New Roman"/>
                <w:color w:val="000000" w:themeColor="text1"/>
                <w:sz w:val="21"/>
                <w:szCs w:val="21"/>
              </w:rPr>
              <w:t>交有资质单位回收处置</w:t>
            </w:r>
          </w:p>
        </w:tc>
        <w:tc>
          <w:tcPr>
            <w:tcW w:w="2800" w:type="dxa"/>
            <w:vMerge w:val="restart"/>
            <w:vAlign w:val="center"/>
          </w:tcPr>
          <w:p w14:paraId="334A1F7E"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hint="eastAsia"/>
                <w:color w:val="000000" w:themeColor="text1"/>
                <w:sz w:val="21"/>
                <w:szCs w:val="21"/>
              </w:rPr>
              <w:t>相同</w:t>
            </w:r>
          </w:p>
        </w:tc>
        <w:tc>
          <w:tcPr>
            <w:tcW w:w="1101" w:type="dxa"/>
            <w:vMerge w:val="restart"/>
            <w:shd w:val="clear" w:color="auto" w:fill="auto"/>
            <w:vAlign w:val="center"/>
          </w:tcPr>
          <w:p w14:paraId="4783213D"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hint="eastAsia"/>
                <w:color w:val="000000" w:themeColor="text1"/>
                <w:sz w:val="21"/>
                <w:szCs w:val="21"/>
              </w:rPr>
              <w:t>相同</w:t>
            </w:r>
          </w:p>
        </w:tc>
      </w:tr>
      <w:tr w:rsidR="008A2411" w:rsidRPr="008A2411" w14:paraId="36138BFF" w14:textId="77777777">
        <w:trPr>
          <w:trHeight w:val="454"/>
          <w:jc w:val="center"/>
        </w:trPr>
        <w:tc>
          <w:tcPr>
            <w:tcW w:w="702" w:type="dxa"/>
            <w:vMerge/>
            <w:shd w:val="clear" w:color="auto" w:fill="auto"/>
            <w:vAlign w:val="center"/>
          </w:tcPr>
          <w:p w14:paraId="482A3687" w14:textId="77777777" w:rsidR="00B0005F" w:rsidRPr="008A2411" w:rsidRDefault="00B0005F">
            <w:pPr>
              <w:adjustRightInd w:val="0"/>
              <w:snapToGrid w:val="0"/>
              <w:ind w:leftChars="-30" w:left="-72" w:rightChars="-30" w:right="-72"/>
              <w:jc w:val="center"/>
              <w:rPr>
                <w:rFonts w:ascii="Times New Roman"/>
                <w:color w:val="000000" w:themeColor="text1"/>
                <w:sz w:val="21"/>
                <w:szCs w:val="21"/>
              </w:rPr>
            </w:pPr>
          </w:p>
        </w:tc>
        <w:tc>
          <w:tcPr>
            <w:tcW w:w="778" w:type="dxa"/>
            <w:vMerge w:val="restart"/>
            <w:shd w:val="clear" w:color="auto" w:fill="auto"/>
            <w:vAlign w:val="center"/>
          </w:tcPr>
          <w:p w14:paraId="167AB85B"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其它</w:t>
            </w:r>
          </w:p>
          <w:p w14:paraId="7CFF3054"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lastRenderedPageBreak/>
              <w:t>固废</w:t>
            </w:r>
          </w:p>
        </w:tc>
        <w:tc>
          <w:tcPr>
            <w:tcW w:w="1329" w:type="dxa"/>
            <w:shd w:val="clear" w:color="auto" w:fill="auto"/>
            <w:vAlign w:val="center"/>
          </w:tcPr>
          <w:p w14:paraId="64EE0C56" w14:textId="77777777" w:rsidR="00B0005F" w:rsidRPr="008A2411" w:rsidRDefault="00000000">
            <w:pPr>
              <w:adjustRightInd w:val="0"/>
              <w:snapToGrid w:val="0"/>
              <w:ind w:leftChars="-30" w:left="-72" w:rightChars="-30" w:right="-72"/>
              <w:rPr>
                <w:rFonts w:ascii="Times New Roman"/>
                <w:color w:val="000000" w:themeColor="text1"/>
                <w:sz w:val="21"/>
                <w:szCs w:val="21"/>
              </w:rPr>
            </w:pPr>
            <w:r w:rsidRPr="008A2411">
              <w:rPr>
                <w:rFonts w:ascii="Times New Roman"/>
                <w:color w:val="000000" w:themeColor="text1"/>
                <w:sz w:val="21"/>
                <w:szCs w:val="21"/>
              </w:rPr>
              <w:lastRenderedPageBreak/>
              <w:t>废分子筛</w:t>
            </w:r>
          </w:p>
        </w:tc>
        <w:tc>
          <w:tcPr>
            <w:tcW w:w="2293" w:type="dxa"/>
            <w:vMerge/>
            <w:shd w:val="clear" w:color="auto" w:fill="auto"/>
            <w:vAlign w:val="center"/>
          </w:tcPr>
          <w:p w14:paraId="1B5C28F8" w14:textId="77777777" w:rsidR="00B0005F" w:rsidRPr="008A2411" w:rsidRDefault="00B0005F">
            <w:pPr>
              <w:adjustRightInd w:val="0"/>
              <w:snapToGrid w:val="0"/>
              <w:ind w:leftChars="-30" w:left="-72" w:rightChars="-30" w:right="-72"/>
              <w:rPr>
                <w:rFonts w:ascii="Times New Roman"/>
                <w:color w:val="000000" w:themeColor="text1"/>
                <w:spacing w:val="-4"/>
                <w:sz w:val="21"/>
                <w:szCs w:val="21"/>
              </w:rPr>
            </w:pPr>
          </w:p>
        </w:tc>
        <w:tc>
          <w:tcPr>
            <w:tcW w:w="2800" w:type="dxa"/>
            <w:vMerge/>
            <w:vAlign w:val="center"/>
          </w:tcPr>
          <w:p w14:paraId="399C70E2" w14:textId="77777777" w:rsidR="00B0005F" w:rsidRPr="008A2411" w:rsidRDefault="00B0005F">
            <w:pPr>
              <w:adjustRightInd w:val="0"/>
              <w:snapToGrid w:val="0"/>
              <w:ind w:leftChars="-30" w:left="-72" w:rightChars="-30" w:right="-72"/>
              <w:rPr>
                <w:rFonts w:ascii="Times New Roman"/>
                <w:color w:val="000000" w:themeColor="text1"/>
                <w:sz w:val="21"/>
                <w:szCs w:val="21"/>
              </w:rPr>
            </w:pPr>
          </w:p>
        </w:tc>
        <w:tc>
          <w:tcPr>
            <w:tcW w:w="1101" w:type="dxa"/>
            <w:vMerge/>
            <w:shd w:val="clear" w:color="auto" w:fill="auto"/>
            <w:vAlign w:val="center"/>
          </w:tcPr>
          <w:p w14:paraId="41A3702F" w14:textId="77777777" w:rsidR="00B0005F" w:rsidRPr="008A2411" w:rsidRDefault="00B0005F">
            <w:pPr>
              <w:adjustRightInd w:val="0"/>
              <w:snapToGrid w:val="0"/>
              <w:ind w:leftChars="-30" w:left="-72" w:rightChars="-30" w:right="-72" w:firstLine="420"/>
              <w:jc w:val="center"/>
              <w:rPr>
                <w:rFonts w:ascii="Times New Roman"/>
                <w:color w:val="000000" w:themeColor="text1"/>
                <w:sz w:val="21"/>
                <w:szCs w:val="21"/>
              </w:rPr>
            </w:pPr>
          </w:p>
        </w:tc>
      </w:tr>
      <w:tr w:rsidR="008A2411" w:rsidRPr="008A2411" w14:paraId="5F3638C0" w14:textId="77777777">
        <w:trPr>
          <w:trHeight w:val="454"/>
          <w:jc w:val="center"/>
        </w:trPr>
        <w:tc>
          <w:tcPr>
            <w:tcW w:w="702" w:type="dxa"/>
            <w:vMerge/>
            <w:shd w:val="clear" w:color="auto" w:fill="auto"/>
            <w:vAlign w:val="center"/>
          </w:tcPr>
          <w:p w14:paraId="26EE9612" w14:textId="77777777" w:rsidR="00B0005F" w:rsidRPr="008A2411" w:rsidRDefault="00B0005F">
            <w:pPr>
              <w:adjustRightInd w:val="0"/>
              <w:snapToGrid w:val="0"/>
              <w:ind w:leftChars="-30" w:left="-72" w:rightChars="-30" w:right="-72"/>
              <w:jc w:val="center"/>
              <w:rPr>
                <w:rFonts w:ascii="Times New Roman"/>
                <w:color w:val="000000" w:themeColor="text1"/>
                <w:sz w:val="21"/>
                <w:szCs w:val="21"/>
              </w:rPr>
            </w:pPr>
          </w:p>
        </w:tc>
        <w:tc>
          <w:tcPr>
            <w:tcW w:w="778" w:type="dxa"/>
            <w:vMerge/>
            <w:shd w:val="clear" w:color="auto" w:fill="auto"/>
            <w:vAlign w:val="center"/>
          </w:tcPr>
          <w:p w14:paraId="2A00019D" w14:textId="77777777" w:rsidR="00B0005F" w:rsidRPr="008A2411" w:rsidRDefault="00B0005F">
            <w:pPr>
              <w:adjustRightInd w:val="0"/>
              <w:snapToGrid w:val="0"/>
              <w:ind w:leftChars="-30" w:left="-72" w:rightChars="-30" w:right="-72"/>
              <w:jc w:val="center"/>
              <w:rPr>
                <w:rFonts w:ascii="Times New Roman"/>
                <w:color w:val="000000" w:themeColor="text1"/>
                <w:sz w:val="21"/>
                <w:szCs w:val="21"/>
              </w:rPr>
            </w:pPr>
          </w:p>
        </w:tc>
        <w:tc>
          <w:tcPr>
            <w:tcW w:w="1329" w:type="dxa"/>
            <w:shd w:val="clear" w:color="auto" w:fill="auto"/>
            <w:vAlign w:val="center"/>
          </w:tcPr>
          <w:p w14:paraId="5D4AAC0A" w14:textId="77777777" w:rsidR="00B0005F" w:rsidRPr="008A2411" w:rsidRDefault="00000000">
            <w:pPr>
              <w:adjustRightInd w:val="0"/>
              <w:snapToGrid w:val="0"/>
              <w:ind w:leftChars="-30" w:left="-72" w:rightChars="-30" w:right="-72"/>
              <w:rPr>
                <w:rFonts w:ascii="Times New Roman"/>
                <w:color w:val="000000" w:themeColor="text1"/>
                <w:sz w:val="21"/>
                <w:szCs w:val="21"/>
              </w:rPr>
            </w:pPr>
            <w:r w:rsidRPr="008A2411">
              <w:rPr>
                <w:rFonts w:ascii="Times New Roman"/>
                <w:color w:val="000000" w:themeColor="text1"/>
                <w:sz w:val="21"/>
                <w:szCs w:val="21"/>
              </w:rPr>
              <w:t>生活垃圾</w:t>
            </w:r>
          </w:p>
        </w:tc>
        <w:tc>
          <w:tcPr>
            <w:tcW w:w="2293" w:type="dxa"/>
            <w:shd w:val="clear" w:color="auto" w:fill="auto"/>
            <w:vAlign w:val="center"/>
          </w:tcPr>
          <w:p w14:paraId="14B6EAD4" w14:textId="77777777" w:rsidR="00B0005F" w:rsidRPr="008A2411" w:rsidRDefault="00000000">
            <w:pPr>
              <w:adjustRightInd w:val="0"/>
              <w:snapToGrid w:val="0"/>
              <w:ind w:leftChars="-30" w:left="-72" w:rightChars="-30" w:right="-72"/>
              <w:rPr>
                <w:rFonts w:ascii="Times New Roman"/>
                <w:color w:val="000000" w:themeColor="text1"/>
                <w:sz w:val="21"/>
                <w:szCs w:val="21"/>
              </w:rPr>
            </w:pPr>
            <w:r w:rsidRPr="008A2411">
              <w:rPr>
                <w:rFonts w:ascii="Times New Roman"/>
                <w:color w:val="000000" w:themeColor="text1"/>
                <w:sz w:val="21"/>
                <w:szCs w:val="21"/>
              </w:rPr>
              <w:t>由市政环卫部门统一收集</w:t>
            </w:r>
          </w:p>
        </w:tc>
        <w:tc>
          <w:tcPr>
            <w:tcW w:w="2800" w:type="dxa"/>
            <w:vMerge/>
            <w:vAlign w:val="center"/>
          </w:tcPr>
          <w:p w14:paraId="485B8FC5" w14:textId="77777777" w:rsidR="00B0005F" w:rsidRPr="008A2411" w:rsidRDefault="00B0005F">
            <w:pPr>
              <w:adjustRightInd w:val="0"/>
              <w:snapToGrid w:val="0"/>
              <w:ind w:leftChars="-30" w:left="-72" w:rightChars="-30" w:right="-72"/>
              <w:rPr>
                <w:rFonts w:ascii="Times New Roman"/>
                <w:color w:val="000000" w:themeColor="text1"/>
                <w:kern w:val="2"/>
                <w:sz w:val="21"/>
                <w:szCs w:val="21"/>
              </w:rPr>
            </w:pPr>
          </w:p>
        </w:tc>
        <w:tc>
          <w:tcPr>
            <w:tcW w:w="1101" w:type="dxa"/>
            <w:vMerge/>
            <w:shd w:val="clear" w:color="auto" w:fill="auto"/>
            <w:vAlign w:val="center"/>
          </w:tcPr>
          <w:p w14:paraId="7BA760B7" w14:textId="77777777" w:rsidR="00B0005F" w:rsidRPr="008A2411" w:rsidRDefault="00B0005F">
            <w:pPr>
              <w:adjustRightInd w:val="0"/>
              <w:snapToGrid w:val="0"/>
              <w:ind w:leftChars="-30" w:left="-72" w:rightChars="-30" w:right="-72" w:firstLine="420"/>
              <w:jc w:val="center"/>
              <w:rPr>
                <w:rFonts w:ascii="Times New Roman"/>
                <w:color w:val="000000" w:themeColor="text1"/>
                <w:sz w:val="21"/>
                <w:szCs w:val="21"/>
              </w:rPr>
            </w:pPr>
          </w:p>
        </w:tc>
      </w:tr>
      <w:tr w:rsidR="008A2411" w:rsidRPr="008A2411" w14:paraId="46598B5F" w14:textId="77777777">
        <w:trPr>
          <w:trHeight w:val="454"/>
          <w:jc w:val="center"/>
        </w:trPr>
        <w:tc>
          <w:tcPr>
            <w:tcW w:w="702" w:type="dxa"/>
            <w:vMerge/>
            <w:shd w:val="clear" w:color="auto" w:fill="auto"/>
            <w:vAlign w:val="center"/>
          </w:tcPr>
          <w:p w14:paraId="3E2C09B9" w14:textId="77777777" w:rsidR="00B0005F" w:rsidRPr="008A2411" w:rsidRDefault="00B0005F">
            <w:pPr>
              <w:adjustRightInd w:val="0"/>
              <w:snapToGrid w:val="0"/>
              <w:ind w:leftChars="-30" w:left="-72" w:rightChars="-30" w:right="-72"/>
              <w:jc w:val="center"/>
              <w:rPr>
                <w:rFonts w:ascii="Times New Roman"/>
                <w:color w:val="000000" w:themeColor="text1"/>
                <w:sz w:val="21"/>
                <w:szCs w:val="21"/>
              </w:rPr>
            </w:pPr>
          </w:p>
        </w:tc>
        <w:tc>
          <w:tcPr>
            <w:tcW w:w="778" w:type="dxa"/>
            <w:vMerge/>
            <w:shd w:val="clear" w:color="auto" w:fill="auto"/>
            <w:vAlign w:val="center"/>
          </w:tcPr>
          <w:p w14:paraId="3A7DCE3B" w14:textId="77777777" w:rsidR="00B0005F" w:rsidRPr="008A2411" w:rsidRDefault="00B0005F">
            <w:pPr>
              <w:adjustRightInd w:val="0"/>
              <w:snapToGrid w:val="0"/>
              <w:ind w:leftChars="-30" w:left="-72" w:rightChars="-30" w:right="-72"/>
              <w:jc w:val="center"/>
              <w:rPr>
                <w:rFonts w:ascii="Times New Roman"/>
                <w:color w:val="000000" w:themeColor="text1"/>
                <w:sz w:val="21"/>
                <w:szCs w:val="21"/>
              </w:rPr>
            </w:pPr>
          </w:p>
        </w:tc>
        <w:tc>
          <w:tcPr>
            <w:tcW w:w="1329" w:type="dxa"/>
            <w:shd w:val="clear" w:color="auto" w:fill="auto"/>
            <w:vAlign w:val="center"/>
          </w:tcPr>
          <w:p w14:paraId="075D86FA" w14:textId="77777777" w:rsidR="00B0005F" w:rsidRPr="008A2411" w:rsidRDefault="00000000">
            <w:pPr>
              <w:adjustRightInd w:val="0"/>
              <w:snapToGrid w:val="0"/>
              <w:ind w:leftChars="-30" w:left="-72" w:rightChars="-30" w:right="-72"/>
              <w:rPr>
                <w:rFonts w:ascii="Times New Roman"/>
                <w:color w:val="000000" w:themeColor="text1"/>
                <w:sz w:val="21"/>
                <w:szCs w:val="21"/>
              </w:rPr>
            </w:pPr>
            <w:r w:rsidRPr="008A2411">
              <w:rPr>
                <w:rFonts w:ascii="Times New Roman"/>
                <w:color w:val="000000" w:themeColor="text1"/>
                <w:sz w:val="21"/>
                <w:szCs w:val="21"/>
              </w:rPr>
              <w:t>污泥</w:t>
            </w:r>
          </w:p>
        </w:tc>
        <w:tc>
          <w:tcPr>
            <w:tcW w:w="2293" w:type="dxa"/>
            <w:shd w:val="clear" w:color="auto" w:fill="auto"/>
            <w:vAlign w:val="center"/>
          </w:tcPr>
          <w:p w14:paraId="2A0FDA9F" w14:textId="77777777" w:rsidR="00B0005F" w:rsidRPr="008A2411" w:rsidRDefault="00000000">
            <w:pPr>
              <w:adjustRightInd w:val="0"/>
              <w:snapToGrid w:val="0"/>
              <w:ind w:leftChars="-30" w:left="-72" w:rightChars="-30" w:right="-72"/>
              <w:rPr>
                <w:rFonts w:ascii="Times New Roman"/>
                <w:color w:val="000000" w:themeColor="text1"/>
                <w:spacing w:val="-4"/>
                <w:sz w:val="21"/>
                <w:szCs w:val="21"/>
              </w:rPr>
            </w:pPr>
            <w:proofErr w:type="gramStart"/>
            <w:r w:rsidRPr="008A2411">
              <w:rPr>
                <w:rFonts w:ascii="Times New Roman"/>
                <w:color w:val="000000" w:themeColor="text1"/>
                <w:sz w:val="21"/>
                <w:szCs w:val="21"/>
              </w:rPr>
              <w:t>送城市</w:t>
            </w:r>
            <w:proofErr w:type="gramEnd"/>
            <w:r w:rsidRPr="008A2411">
              <w:rPr>
                <w:rFonts w:ascii="Times New Roman"/>
                <w:color w:val="000000" w:themeColor="text1"/>
                <w:sz w:val="21"/>
                <w:szCs w:val="21"/>
              </w:rPr>
              <w:t>生活垃圾填埋场处理</w:t>
            </w:r>
          </w:p>
        </w:tc>
        <w:tc>
          <w:tcPr>
            <w:tcW w:w="2800" w:type="dxa"/>
            <w:vMerge/>
            <w:vAlign w:val="center"/>
          </w:tcPr>
          <w:p w14:paraId="3D42C946" w14:textId="77777777" w:rsidR="00B0005F" w:rsidRPr="008A2411" w:rsidRDefault="00B0005F">
            <w:pPr>
              <w:adjustRightInd w:val="0"/>
              <w:snapToGrid w:val="0"/>
              <w:ind w:leftChars="-30" w:left="-72" w:rightChars="-30" w:right="-72"/>
              <w:rPr>
                <w:rFonts w:ascii="Times New Roman"/>
                <w:color w:val="000000" w:themeColor="text1"/>
                <w:kern w:val="2"/>
                <w:sz w:val="21"/>
                <w:szCs w:val="21"/>
              </w:rPr>
            </w:pPr>
          </w:p>
        </w:tc>
        <w:tc>
          <w:tcPr>
            <w:tcW w:w="1101" w:type="dxa"/>
            <w:vMerge/>
            <w:shd w:val="clear" w:color="auto" w:fill="auto"/>
            <w:vAlign w:val="center"/>
          </w:tcPr>
          <w:p w14:paraId="46304F28" w14:textId="77777777" w:rsidR="00B0005F" w:rsidRPr="008A2411" w:rsidRDefault="00B0005F">
            <w:pPr>
              <w:adjustRightInd w:val="0"/>
              <w:snapToGrid w:val="0"/>
              <w:ind w:leftChars="-30" w:left="-72" w:rightChars="-30" w:right="-72" w:firstLine="420"/>
              <w:jc w:val="center"/>
              <w:rPr>
                <w:rFonts w:ascii="Times New Roman"/>
                <w:color w:val="000000" w:themeColor="text1"/>
                <w:sz w:val="21"/>
                <w:szCs w:val="21"/>
              </w:rPr>
            </w:pPr>
          </w:p>
        </w:tc>
      </w:tr>
      <w:tr w:rsidR="008A2411" w:rsidRPr="008A2411" w14:paraId="2E6BC492" w14:textId="77777777">
        <w:trPr>
          <w:trHeight w:val="454"/>
          <w:jc w:val="center"/>
        </w:trPr>
        <w:tc>
          <w:tcPr>
            <w:tcW w:w="702" w:type="dxa"/>
            <w:vMerge/>
            <w:shd w:val="clear" w:color="auto" w:fill="auto"/>
            <w:vAlign w:val="center"/>
          </w:tcPr>
          <w:p w14:paraId="74448D2E" w14:textId="77777777" w:rsidR="00B0005F" w:rsidRPr="008A2411" w:rsidRDefault="00B0005F">
            <w:pPr>
              <w:adjustRightInd w:val="0"/>
              <w:snapToGrid w:val="0"/>
              <w:ind w:leftChars="-30" w:left="-72" w:rightChars="-30" w:right="-72"/>
              <w:jc w:val="center"/>
              <w:rPr>
                <w:rFonts w:ascii="Times New Roman"/>
                <w:color w:val="000000" w:themeColor="text1"/>
                <w:sz w:val="21"/>
                <w:szCs w:val="21"/>
              </w:rPr>
            </w:pPr>
          </w:p>
        </w:tc>
        <w:tc>
          <w:tcPr>
            <w:tcW w:w="778" w:type="dxa"/>
            <w:shd w:val="clear" w:color="auto" w:fill="auto"/>
            <w:vAlign w:val="center"/>
          </w:tcPr>
          <w:p w14:paraId="04E91D78"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其它</w:t>
            </w:r>
          </w:p>
          <w:p w14:paraId="7E1C2C87"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要求</w:t>
            </w:r>
          </w:p>
        </w:tc>
        <w:tc>
          <w:tcPr>
            <w:tcW w:w="3622" w:type="dxa"/>
            <w:gridSpan w:val="2"/>
            <w:shd w:val="clear" w:color="auto" w:fill="auto"/>
            <w:vAlign w:val="center"/>
          </w:tcPr>
          <w:p w14:paraId="19E53021" w14:textId="77777777" w:rsidR="00B0005F" w:rsidRPr="008A2411" w:rsidRDefault="00000000">
            <w:pPr>
              <w:adjustRightInd w:val="0"/>
              <w:snapToGrid w:val="0"/>
              <w:ind w:leftChars="-30" w:left="-72" w:rightChars="-30" w:right="-72"/>
              <w:rPr>
                <w:rFonts w:ascii="Times New Roman"/>
                <w:color w:val="000000" w:themeColor="text1"/>
                <w:spacing w:val="-4"/>
                <w:sz w:val="21"/>
                <w:szCs w:val="21"/>
              </w:rPr>
            </w:pPr>
            <w:r w:rsidRPr="008A2411">
              <w:rPr>
                <w:rFonts w:ascii="Times New Roman"/>
                <w:color w:val="000000" w:themeColor="text1"/>
                <w:sz w:val="21"/>
                <w:szCs w:val="21"/>
              </w:rPr>
              <w:t>项目</w:t>
            </w:r>
            <w:proofErr w:type="gramStart"/>
            <w:r w:rsidRPr="008A2411">
              <w:rPr>
                <w:rFonts w:ascii="Times New Roman"/>
                <w:color w:val="000000" w:themeColor="text1"/>
                <w:sz w:val="21"/>
                <w:szCs w:val="21"/>
              </w:rPr>
              <w:t>建有危废暂存</w:t>
            </w:r>
            <w:proofErr w:type="gramEnd"/>
            <w:r w:rsidRPr="008A2411">
              <w:rPr>
                <w:rFonts w:ascii="Times New Roman"/>
                <w:color w:val="000000" w:themeColor="text1"/>
                <w:sz w:val="21"/>
                <w:szCs w:val="21"/>
              </w:rPr>
              <w:t>间，并做好了</w:t>
            </w:r>
            <w:r w:rsidRPr="008A2411">
              <w:rPr>
                <w:rFonts w:ascii="Times New Roman"/>
                <w:bCs/>
                <w:color w:val="000000" w:themeColor="text1"/>
                <w:spacing w:val="-2"/>
                <w:sz w:val="21"/>
                <w:szCs w:val="21"/>
              </w:rPr>
              <w:t>防渗、防腐、防雨和防流失措施，项目固废分类堆放。张贴了标识标牌。</w:t>
            </w:r>
          </w:p>
        </w:tc>
        <w:tc>
          <w:tcPr>
            <w:tcW w:w="2800" w:type="dxa"/>
            <w:vMerge/>
            <w:vAlign w:val="center"/>
          </w:tcPr>
          <w:p w14:paraId="087429D9" w14:textId="77777777" w:rsidR="00B0005F" w:rsidRPr="008A2411" w:rsidRDefault="00B0005F">
            <w:pPr>
              <w:adjustRightInd w:val="0"/>
              <w:snapToGrid w:val="0"/>
              <w:ind w:leftChars="-30" w:left="-72" w:rightChars="-30" w:right="-72"/>
              <w:rPr>
                <w:rFonts w:ascii="Times New Roman"/>
                <w:color w:val="000000" w:themeColor="text1"/>
                <w:sz w:val="21"/>
                <w:szCs w:val="21"/>
              </w:rPr>
            </w:pPr>
          </w:p>
        </w:tc>
        <w:tc>
          <w:tcPr>
            <w:tcW w:w="1101" w:type="dxa"/>
            <w:vMerge/>
            <w:shd w:val="clear" w:color="auto" w:fill="auto"/>
            <w:vAlign w:val="center"/>
          </w:tcPr>
          <w:p w14:paraId="6B7624B9" w14:textId="77777777" w:rsidR="00B0005F" w:rsidRPr="008A2411" w:rsidRDefault="00B0005F">
            <w:pPr>
              <w:adjustRightInd w:val="0"/>
              <w:snapToGrid w:val="0"/>
              <w:ind w:leftChars="-30" w:left="-72" w:rightChars="-30" w:right="-72"/>
              <w:jc w:val="center"/>
              <w:rPr>
                <w:rFonts w:ascii="Times New Roman"/>
                <w:color w:val="000000" w:themeColor="text1"/>
                <w:sz w:val="21"/>
                <w:szCs w:val="21"/>
              </w:rPr>
            </w:pPr>
          </w:p>
        </w:tc>
      </w:tr>
      <w:tr w:rsidR="008A2411" w:rsidRPr="008A2411" w14:paraId="5486793F" w14:textId="77777777">
        <w:trPr>
          <w:trHeight w:val="454"/>
          <w:jc w:val="center"/>
        </w:trPr>
        <w:tc>
          <w:tcPr>
            <w:tcW w:w="702" w:type="dxa"/>
            <w:vMerge w:val="restart"/>
            <w:shd w:val="clear" w:color="auto" w:fill="auto"/>
            <w:vAlign w:val="center"/>
          </w:tcPr>
          <w:p w14:paraId="7760D626"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营运</w:t>
            </w:r>
            <w:proofErr w:type="gramStart"/>
            <w:r w:rsidRPr="008A2411">
              <w:rPr>
                <w:rFonts w:ascii="Times New Roman"/>
                <w:color w:val="000000" w:themeColor="text1"/>
                <w:sz w:val="21"/>
                <w:szCs w:val="21"/>
              </w:rPr>
              <w:t>期其它</w:t>
            </w:r>
            <w:proofErr w:type="gramEnd"/>
          </w:p>
        </w:tc>
        <w:tc>
          <w:tcPr>
            <w:tcW w:w="778" w:type="dxa"/>
            <w:shd w:val="clear" w:color="auto" w:fill="auto"/>
            <w:vAlign w:val="center"/>
          </w:tcPr>
          <w:p w14:paraId="59046A16"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噪声</w:t>
            </w:r>
          </w:p>
        </w:tc>
        <w:tc>
          <w:tcPr>
            <w:tcW w:w="1329" w:type="dxa"/>
            <w:shd w:val="clear" w:color="auto" w:fill="auto"/>
            <w:vAlign w:val="center"/>
          </w:tcPr>
          <w:p w14:paraId="1966B89E"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各类机泵、风机、压缩机等</w:t>
            </w:r>
          </w:p>
        </w:tc>
        <w:tc>
          <w:tcPr>
            <w:tcW w:w="2293" w:type="dxa"/>
            <w:shd w:val="clear" w:color="auto" w:fill="auto"/>
            <w:vAlign w:val="center"/>
          </w:tcPr>
          <w:p w14:paraId="14C54B16" w14:textId="77777777" w:rsidR="00B0005F" w:rsidRPr="008A2411" w:rsidRDefault="00000000">
            <w:pPr>
              <w:adjustRightInd w:val="0"/>
              <w:snapToGrid w:val="0"/>
              <w:ind w:leftChars="-30" w:left="-72" w:rightChars="-30" w:right="-72"/>
              <w:rPr>
                <w:rFonts w:ascii="Times New Roman"/>
                <w:color w:val="000000" w:themeColor="text1"/>
                <w:sz w:val="21"/>
                <w:szCs w:val="21"/>
              </w:rPr>
            </w:pPr>
            <w:r w:rsidRPr="008A2411">
              <w:rPr>
                <w:rFonts w:ascii="Times New Roman"/>
                <w:color w:val="000000" w:themeColor="text1"/>
                <w:sz w:val="21"/>
                <w:szCs w:val="21"/>
              </w:rPr>
              <w:t>通过</w:t>
            </w:r>
            <w:r w:rsidRPr="008A2411">
              <w:rPr>
                <w:rFonts w:ascii="Times New Roman"/>
                <w:bCs/>
                <w:color w:val="000000" w:themeColor="text1"/>
                <w:sz w:val="21"/>
                <w:szCs w:val="21"/>
              </w:rPr>
              <w:t>选用低噪声设备，隔音、减震，优化管道设计，合理平面布局，距离衰减，加强管理等措施降噪</w:t>
            </w:r>
          </w:p>
        </w:tc>
        <w:tc>
          <w:tcPr>
            <w:tcW w:w="2800" w:type="dxa"/>
            <w:vAlign w:val="center"/>
          </w:tcPr>
          <w:p w14:paraId="6FDE3B9E"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hint="eastAsia"/>
                <w:color w:val="000000" w:themeColor="text1"/>
                <w:sz w:val="21"/>
                <w:szCs w:val="21"/>
              </w:rPr>
              <w:t>相同</w:t>
            </w:r>
          </w:p>
        </w:tc>
        <w:tc>
          <w:tcPr>
            <w:tcW w:w="1101" w:type="dxa"/>
            <w:shd w:val="clear" w:color="auto" w:fill="auto"/>
            <w:vAlign w:val="center"/>
          </w:tcPr>
          <w:p w14:paraId="3BA2182E"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hint="eastAsia"/>
                <w:color w:val="000000" w:themeColor="text1"/>
                <w:sz w:val="21"/>
                <w:szCs w:val="21"/>
              </w:rPr>
              <w:t>相同</w:t>
            </w:r>
          </w:p>
        </w:tc>
      </w:tr>
      <w:tr w:rsidR="008A2411" w:rsidRPr="008A2411" w14:paraId="31477B05" w14:textId="77777777">
        <w:trPr>
          <w:trHeight w:val="454"/>
          <w:jc w:val="center"/>
        </w:trPr>
        <w:tc>
          <w:tcPr>
            <w:tcW w:w="702" w:type="dxa"/>
            <w:vMerge/>
            <w:shd w:val="clear" w:color="auto" w:fill="auto"/>
            <w:vAlign w:val="center"/>
          </w:tcPr>
          <w:p w14:paraId="45E64C3D" w14:textId="77777777" w:rsidR="00B0005F" w:rsidRPr="008A2411" w:rsidRDefault="00B0005F">
            <w:pPr>
              <w:adjustRightInd w:val="0"/>
              <w:snapToGrid w:val="0"/>
              <w:ind w:leftChars="-30" w:left="-72" w:rightChars="-30" w:right="-72"/>
              <w:jc w:val="center"/>
              <w:rPr>
                <w:rFonts w:ascii="Times New Roman"/>
                <w:color w:val="000000" w:themeColor="text1"/>
                <w:sz w:val="21"/>
                <w:szCs w:val="21"/>
              </w:rPr>
            </w:pPr>
          </w:p>
        </w:tc>
        <w:tc>
          <w:tcPr>
            <w:tcW w:w="778" w:type="dxa"/>
            <w:vMerge w:val="restart"/>
            <w:shd w:val="clear" w:color="auto" w:fill="auto"/>
            <w:vAlign w:val="center"/>
          </w:tcPr>
          <w:p w14:paraId="2F079EA5"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风险</w:t>
            </w:r>
          </w:p>
          <w:p w14:paraId="525DFBA7"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防范</w:t>
            </w:r>
          </w:p>
        </w:tc>
        <w:tc>
          <w:tcPr>
            <w:tcW w:w="3622" w:type="dxa"/>
            <w:gridSpan w:val="2"/>
            <w:shd w:val="clear" w:color="auto" w:fill="auto"/>
            <w:vAlign w:val="center"/>
          </w:tcPr>
          <w:p w14:paraId="7A8C1C17" w14:textId="77777777" w:rsidR="00B0005F" w:rsidRPr="008A2411" w:rsidRDefault="00000000">
            <w:pPr>
              <w:adjustRightInd w:val="0"/>
              <w:snapToGrid w:val="0"/>
              <w:ind w:leftChars="-30" w:left="-72" w:rightChars="-30" w:right="-72"/>
              <w:rPr>
                <w:rFonts w:ascii="Times New Roman"/>
                <w:color w:val="000000" w:themeColor="text1"/>
                <w:sz w:val="21"/>
                <w:szCs w:val="21"/>
              </w:rPr>
            </w:pPr>
            <w:r w:rsidRPr="008A2411">
              <w:rPr>
                <w:rFonts w:ascii="Times New Roman"/>
                <w:color w:val="000000" w:themeColor="text1"/>
                <w:sz w:val="21"/>
                <w:szCs w:val="21"/>
              </w:rPr>
              <w:t>设置有毒、可燃气体报警系统，火警报警系统</w:t>
            </w:r>
          </w:p>
        </w:tc>
        <w:tc>
          <w:tcPr>
            <w:tcW w:w="2800" w:type="dxa"/>
            <w:vAlign w:val="center"/>
          </w:tcPr>
          <w:p w14:paraId="6C1EAA2B"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hint="eastAsia"/>
                <w:color w:val="000000" w:themeColor="text1"/>
                <w:sz w:val="21"/>
                <w:szCs w:val="21"/>
              </w:rPr>
              <w:t>相同</w:t>
            </w:r>
          </w:p>
        </w:tc>
        <w:tc>
          <w:tcPr>
            <w:tcW w:w="1101" w:type="dxa"/>
            <w:shd w:val="clear" w:color="auto" w:fill="auto"/>
            <w:vAlign w:val="center"/>
          </w:tcPr>
          <w:p w14:paraId="6F7331B9"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hint="eastAsia"/>
                <w:color w:val="000000" w:themeColor="text1"/>
                <w:sz w:val="21"/>
                <w:szCs w:val="21"/>
              </w:rPr>
              <w:t>相同</w:t>
            </w:r>
          </w:p>
        </w:tc>
      </w:tr>
      <w:tr w:rsidR="008A2411" w:rsidRPr="008A2411" w14:paraId="4DA5A3EE" w14:textId="77777777">
        <w:trPr>
          <w:trHeight w:val="454"/>
          <w:jc w:val="center"/>
        </w:trPr>
        <w:tc>
          <w:tcPr>
            <w:tcW w:w="702" w:type="dxa"/>
            <w:vMerge/>
            <w:shd w:val="clear" w:color="auto" w:fill="auto"/>
            <w:vAlign w:val="center"/>
          </w:tcPr>
          <w:p w14:paraId="1E474F8D" w14:textId="77777777" w:rsidR="00B0005F" w:rsidRPr="008A2411" w:rsidRDefault="00B0005F">
            <w:pPr>
              <w:adjustRightInd w:val="0"/>
              <w:snapToGrid w:val="0"/>
              <w:ind w:leftChars="-30" w:left="-72" w:rightChars="-30" w:right="-72"/>
              <w:jc w:val="center"/>
              <w:rPr>
                <w:rFonts w:ascii="Times New Roman"/>
                <w:color w:val="000000" w:themeColor="text1"/>
                <w:sz w:val="21"/>
                <w:szCs w:val="21"/>
              </w:rPr>
            </w:pPr>
          </w:p>
        </w:tc>
        <w:tc>
          <w:tcPr>
            <w:tcW w:w="778" w:type="dxa"/>
            <w:vMerge/>
            <w:shd w:val="clear" w:color="auto" w:fill="auto"/>
            <w:vAlign w:val="center"/>
          </w:tcPr>
          <w:p w14:paraId="30C39ACE" w14:textId="77777777" w:rsidR="00B0005F" w:rsidRPr="008A2411" w:rsidRDefault="00B0005F">
            <w:pPr>
              <w:adjustRightInd w:val="0"/>
              <w:snapToGrid w:val="0"/>
              <w:ind w:leftChars="-30" w:left="-72" w:rightChars="-30" w:right="-72"/>
              <w:jc w:val="center"/>
              <w:rPr>
                <w:rFonts w:ascii="Times New Roman"/>
                <w:color w:val="000000" w:themeColor="text1"/>
                <w:sz w:val="21"/>
                <w:szCs w:val="21"/>
              </w:rPr>
            </w:pPr>
          </w:p>
        </w:tc>
        <w:tc>
          <w:tcPr>
            <w:tcW w:w="3622" w:type="dxa"/>
            <w:gridSpan w:val="2"/>
            <w:shd w:val="clear" w:color="auto" w:fill="auto"/>
            <w:vAlign w:val="center"/>
          </w:tcPr>
          <w:p w14:paraId="5B16AEB8" w14:textId="77777777" w:rsidR="00B0005F" w:rsidRPr="008A2411" w:rsidRDefault="00000000">
            <w:pPr>
              <w:adjustRightInd w:val="0"/>
              <w:snapToGrid w:val="0"/>
              <w:ind w:leftChars="-30" w:left="-72" w:rightChars="-30" w:right="-72"/>
              <w:rPr>
                <w:rFonts w:ascii="Times New Roman"/>
                <w:color w:val="000000" w:themeColor="text1"/>
                <w:sz w:val="21"/>
                <w:szCs w:val="21"/>
              </w:rPr>
            </w:pPr>
            <w:r w:rsidRPr="008A2411">
              <w:rPr>
                <w:rFonts w:ascii="Times New Roman"/>
                <w:color w:val="000000" w:themeColor="text1"/>
                <w:sz w:val="21"/>
                <w:szCs w:val="21"/>
              </w:rPr>
              <w:t>厂区设置变电所；安装消防管道设施，配备干粉灭火器、二氧化碳灭火器、正压式防毒面具等。</w:t>
            </w:r>
          </w:p>
        </w:tc>
        <w:tc>
          <w:tcPr>
            <w:tcW w:w="2800" w:type="dxa"/>
            <w:vAlign w:val="center"/>
          </w:tcPr>
          <w:p w14:paraId="1039B98A"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hint="eastAsia"/>
                <w:color w:val="000000" w:themeColor="text1"/>
                <w:sz w:val="21"/>
                <w:szCs w:val="21"/>
              </w:rPr>
              <w:t>相同</w:t>
            </w:r>
          </w:p>
        </w:tc>
        <w:tc>
          <w:tcPr>
            <w:tcW w:w="1101" w:type="dxa"/>
            <w:shd w:val="clear" w:color="auto" w:fill="auto"/>
            <w:vAlign w:val="center"/>
          </w:tcPr>
          <w:p w14:paraId="118F9DCE"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hint="eastAsia"/>
                <w:color w:val="000000" w:themeColor="text1"/>
                <w:sz w:val="21"/>
                <w:szCs w:val="21"/>
              </w:rPr>
              <w:t>相同</w:t>
            </w:r>
          </w:p>
        </w:tc>
      </w:tr>
      <w:tr w:rsidR="008A2411" w:rsidRPr="008A2411" w14:paraId="0A184491" w14:textId="77777777">
        <w:trPr>
          <w:trHeight w:val="454"/>
          <w:jc w:val="center"/>
        </w:trPr>
        <w:tc>
          <w:tcPr>
            <w:tcW w:w="702" w:type="dxa"/>
            <w:vMerge/>
            <w:shd w:val="clear" w:color="auto" w:fill="auto"/>
            <w:vAlign w:val="center"/>
          </w:tcPr>
          <w:p w14:paraId="668EAEDC" w14:textId="77777777" w:rsidR="00B0005F" w:rsidRPr="008A2411" w:rsidRDefault="00B0005F">
            <w:pPr>
              <w:adjustRightInd w:val="0"/>
              <w:snapToGrid w:val="0"/>
              <w:ind w:leftChars="-30" w:left="-72" w:rightChars="-30" w:right="-72"/>
              <w:jc w:val="center"/>
              <w:rPr>
                <w:rFonts w:ascii="Times New Roman"/>
                <w:color w:val="000000" w:themeColor="text1"/>
                <w:sz w:val="21"/>
                <w:szCs w:val="21"/>
              </w:rPr>
            </w:pPr>
          </w:p>
        </w:tc>
        <w:tc>
          <w:tcPr>
            <w:tcW w:w="778" w:type="dxa"/>
            <w:vMerge/>
            <w:shd w:val="clear" w:color="auto" w:fill="auto"/>
            <w:vAlign w:val="center"/>
          </w:tcPr>
          <w:p w14:paraId="0AD7201E" w14:textId="77777777" w:rsidR="00B0005F" w:rsidRPr="008A2411" w:rsidRDefault="00B0005F">
            <w:pPr>
              <w:adjustRightInd w:val="0"/>
              <w:snapToGrid w:val="0"/>
              <w:ind w:leftChars="-30" w:left="-72" w:rightChars="-30" w:right="-72"/>
              <w:jc w:val="center"/>
              <w:rPr>
                <w:rFonts w:ascii="Times New Roman"/>
                <w:color w:val="000000" w:themeColor="text1"/>
                <w:sz w:val="21"/>
                <w:szCs w:val="21"/>
              </w:rPr>
            </w:pPr>
          </w:p>
        </w:tc>
        <w:tc>
          <w:tcPr>
            <w:tcW w:w="3622" w:type="dxa"/>
            <w:gridSpan w:val="2"/>
            <w:shd w:val="clear" w:color="auto" w:fill="auto"/>
            <w:vAlign w:val="center"/>
          </w:tcPr>
          <w:p w14:paraId="79F7CB7A" w14:textId="77777777" w:rsidR="00B0005F" w:rsidRPr="008A2411" w:rsidRDefault="00000000">
            <w:pPr>
              <w:adjustRightInd w:val="0"/>
              <w:snapToGrid w:val="0"/>
              <w:ind w:leftChars="-30" w:left="-72" w:rightChars="-30" w:right="-72"/>
              <w:rPr>
                <w:rFonts w:ascii="Times New Roman"/>
                <w:color w:val="000000" w:themeColor="text1"/>
                <w:sz w:val="21"/>
                <w:szCs w:val="21"/>
              </w:rPr>
            </w:pPr>
            <w:r w:rsidRPr="008A2411">
              <w:rPr>
                <w:rFonts w:ascii="Times New Roman"/>
                <w:color w:val="000000" w:themeColor="text1"/>
                <w:sz w:val="21"/>
                <w:szCs w:val="21"/>
              </w:rPr>
              <w:t>采用无泄漏的密封泵（屏蔽电泵或磁力泵）</w:t>
            </w:r>
          </w:p>
        </w:tc>
        <w:tc>
          <w:tcPr>
            <w:tcW w:w="2800" w:type="dxa"/>
            <w:vAlign w:val="center"/>
          </w:tcPr>
          <w:p w14:paraId="32460A72"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hint="eastAsia"/>
                <w:color w:val="000000" w:themeColor="text1"/>
                <w:sz w:val="21"/>
                <w:szCs w:val="21"/>
              </w:rPr>
              <w:t>相同</w:t>
            </w:r>
          </w:p>
        </w:tc>
        <w:tc>
          <w:tcPr>
            <w:tcW w:w="1101" w:type="dxa"/>
            <w:shd w:val="clear" w:color="auto" w:fill="auto"/>
            <w:vAlign w:val="center"/>
          </w:tcPr>
          <w:p w14:paraId="440B8C75"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hint="eastAsia"/>
                <w:color w:val="000000" w:themeColor="text1"/>
                <w:sz w:val="21"/>
                <w:szCs w:val="21"/>
              </w:rPr>
              <w:t>相同</w:t>
            </w:r>
          </w:p>
        </w:tc>
      </w:tr>
      <w:tr w:rsidR="008A2411" w:rsidRPr="008A2411" w14:paraId="64E124E0" w14:textId="77777777">
        <w:trPr>
          <w:trHeight w:val="2625"/>
          <w:jc w:val="center"/>
        </w:trPr>
        <w:tc>
          <w:tcPr>
            <w:tcW w:w="702" w:type="dxa"/>
            <w:vMerge/>
            <w:shd w:val="clear" w:color="auto" w:fill="auto"/>
            <w:vAlign w:val="center"/>
          </w:tcPr>
          <w:p w14:paraId="600B1CE8" w14:textId="77777777" w:rsidR="00B0005F" w:rsidRPr="008A2411" w:rsidRDefault="00B0005F">
            <w:pPr>
              <w:adjustRightInd w:val="0"/>
              <w:snapToGrid w:val="0"/>
              <w:ind w:leftChars="-30" w:left="-72" w:rightChars="-30" w:right="-72"/>
              <w:jc w:val="center"/>
              <w:rPr>
                <w:rFonts w:ascii="Times New Roman"/>
                <w:color w:val="000000" w:themeColor="text1"/>
                <w:sz w:val="21"/>
                <w:szCs w:val="21"/>
              </w:rPr>
            </w:pPr>
          </w:p>
        </w:tc>
        <w:tc>
          <w:tcPr>
            <w:tcW w:w="778" w:type="dxa"/>
            <w:vMerge/>
            <w:shd w:val="clear" w:color="auto" w:fill="auto"/>
            <w:vAlign w:val="center"/>
          </w:tcPr>
          <w:p w14:paraId="2560CCE5" w14:textId="77777777" w:rsidR="00B0005F" w:rsidRPr="008A2411" w:rsidRDefault="00B0005F">
            <w:pPr>
              <w:adjustRightInd w:val="0"/>
              <w:snapToGrid w:val="0"/>
              <w:ind w:leftChars="-30" w:left="-72" w:rightChars="-30" w:right="-72"/>
              <w:jc w:val="center"/>
              <w:rPr>
                <w:rFonts w:ascii="Times New Roman"/>
                <w:color w:val="000000" w:themeColor="text1"/>
                <w:sz w:val="21"/>
                <w:szCs w:val="21"/>
              </w:rPr>
            </w:pPr>
          </w:p>
        </w:tc>
        <w:tc>
          <w:tcPr>
            <w:tcW w:w="3622" w:type="dxa"/>
            <w:gridSpan w:val="2"/>
            <w:shd w:val="clear" w:color="auto" w:fill="auto"/>
            <w:vAlign w:val="center"/>
          </w:tcPr>
          <w:p w14:paraId="0DA13427" w14:textId="77777777" w:rsidR="00B0005F" w:rsidRPr="008A2411" w:rsidRDefault="00000000">
            <w:pPr>
              <w:adjustRightInd w:val="0"/>
              <w:snapToGrid w:val="0"/>
              <w:ind w:leftChars="-30" w:left="-72" w:rightChars="-30" w:right="-72"/>
              <w:rPr>
                <w:rFonts w:ascii="Times New Roman"/>
                <w:color w:val="000000" w:themeColor="text1"/>
                <w:sz w:val="21"/>
                <w:szCs w:val="21"/>
              </w:rPr>
            </w:pPr>
            <w:r w:rsidRPr="008A2411">
              <w:rPr>
                <w:rFonts w:ascii="Times New Roman"/>
                <w:color w:val="000000" w:themeColor="text1"/>
                <w:sz w:val="21"/>
                <w:szCs w:val="21"/>
              </w:rPr>
              <w:t>1</w:t>
            </w:r>
            <w:r w:rsidRPr="008A2411">
              <w:rPr>
                <w:rFonts w:ascii="Times New Roman" w:hint="eastAsia"/>
                <w:color w:val="000000" w:themeColor="text1"/>
                <w:sz w:val="21"/>
                <w:szCs w:val="21"/>
              </w:rPr>
              <w:t>）</w:t>
            </w:r>
            <w:r w:rsidRPr="008A2411">
              <w:rPr>
                <w:rFonts w:ascii="Times New Roman"/>
                <w:color w:val="000000" w:themeColor="text1"/>
                <w:sz w:val="21"/>
                <w:szCs w:val="21"/>
              </w:rPr>
              <w:t>项目建设事故应急水池一座</w:t>
            </w:r>
            <w:r w:rsidRPr="008A2411">
              <w:rPr>
                <w:rFonts w:ascii="Times New Roman"/>
                <w:color w:val="000000" w:themeColor="text1"/>
                <w:sz w:val="21"/>
                <w:szCs w:val="21"/>
              </w:rPr>
              <w:t>1080m</w:t>
            </w:r>
            <w:r w:rsidRPr="008A2411">
              <w:rPr>
                <w:rFonts w:ascii="Times New Roman"/>
                <w:color w:val="000000" w:themeColor="text1"/>
                <w:sz w:val="21"/>
                <w:szCs w:val="21"/>
                <w:vertAlign w:val="superscript"/>
              </w:rPr>
              <w:t>3</w:t>
            </w:r>
            <w:r w:rsidRPr="008A2411">
              <w:rPr>
                <w:rFonts w:ascii="Times New Roman" w:hint="eastAsia"/>
                <w:color w:val="000000" w:themeColor="text1"/>
                <w:sz w:val="21"/>
                <w:szCs w:val="21"/>
              </w:rPr>
              <w:t>。</w:t>
            </w:r>
            <w:r w:rsidRPr="008A2411">
              <w:rPr>
                <w:rFonts w:ascii="Times New Roman"/>
                <w:color w:val="000000" w:themeColor="text1"/>
                <w:sz w:val="21"/>
                <w:szCs w:val="21"/>
              </w:rPr>
              <w:t>。</w:t>
            </w:r>
          </w:p>
          <w:p w14:paraId="7C5A702A" w14:textId="77777777" w:rsidR="00B0005F" w:rsidRPr="008A2411" w:rsidRDefault="00000000">
            <w:pPr>
              <w:adjustRightInd w:val="0"/>
              <w:snapToGrid w:val="0"/>
              <w:ind w:leftChars="-30" w:left="-72" w:rightChars="-30" w:right="-72"/>
              <w:rPr>
                <w:rFonts w:ascii="Times New Roman"/>
                <w:color w:val="000000" w:themeColor="text1"/>
                <w:spacing w:val="-2"/>
                <w:sz w:val="21"/>
                <w:szCs w:val="21"/>
              </w:rPr>
            </w:pPr>
            <w:r w:rsidRPr="008A2411">
              <w:rPr>
                <w:rFonts w:ascii="Times New Roman"/>
                <w:color w:val="000000" w:themeColor="text1"/>
                <w:spacing w:val="-2"/>
                <w:sz w:val="21"/>
                <w:szCs w:val="21"/>
              </w:rPr>
              <w:t>2</w:t>
            </w:r>
            <w:r w:rsidRPr="008A2411">
              <w:rPr>
                <w:rFonts w:ascii="Times New Roman"/>
                <w:color w:val="000000" w:themeColor="text1"/>
                <w:spacing w:val="-2"/>
                <w:sz w:val="21"/>
                <w:szCs w:val="21"/>
              </w:rPr>
              <w:t>）</w:t>
            </w:r>
            <w:r w:rsidRPr="008A2411">
              <w:rPr>
                <w:rFonts w:ascii="Times New Roman"/>
                <w:color w:val="000000" w:themeColor="text1"/>
                <w:sz w:val="21"/>
                <w:szCs w:val="21"/>
              </w:rPr>
              <w:t>厂内雨、污管网出口设置闸门（闸门定期保养），有通往事故池的管路。一旦发生事故，立即打开</w:t>
            </w:r>
            <w:proofErr w:type="gramStart"/>
            <w:r w:rsidRPr="008A2411">
              <w:rPr>
                <w:rFonts w:ascii="Times New Roman"/>
                <w:color w:val="000000" w:themeColor="text1"/>
                <w:sz w:val="21"/>
                <w:szCs w:val="21"/>
              </w:rPr>
              <w:t>通向本池的</w:t>
            </w:r>
            <w:proofErr w:type="gramEnd"/>
            <w:r w:rsidRPr="008A2411">
              <w:rPr>
                <w:rFonts w:ascii="Times New Roman"/>
                <w:color w:val="000000" w:themeColor="text1"/>
                <w:sz w:val="21"/>
                <w:szCs w:val="21"/>
              </w:rPr>
              <w:t>所有连接口，将事故废水引入应急事故池；发生事故时立即关闭出厂雨、污管道，以杜绝事故废水外流。</w:t>
            </w:r>
          </w:p>
        </w:tc>
        <w:tc>
          <w:tcPr>
            <w:tcW w:w="2800" w:type="dxa"/>
            <w:vAlign w:val="center"/>
          </w:tcPr>
          <w:p w14:paraId="348DFDB6" w14:textId="77777777" w:rsidR="00B0005F" w:rsidRPr="008A2411" w:rsidRDefault="00000000">
            <w:pPr>
              <w:adjustRightInd w:val="0"/>
              <w:snapToGrid w:val="0"/>
              <w:ind w:leftChars="-30" w:left="-72" w:rightChars="-30" w:right="-72"/>
              <w:rPr>
                <w:rFonts w:ascii="Times New Roman"/>
                <w:color w:val="000000" w:themeColor="text1"/>
                <w:sz w:val="21"/>
                <w:szCs w:val="21"/>
              </w:rPr>
            </w:pPr>
            <w:r w:rsidRPr="008A2411">
              <w:rPr>
                <w:rFonts w:ascii="Times New Roman" w:hint="eastAsia"/>
                <w:color w:val="000000" w:themeColor="text1"/>
                <w:sz w:val="21"/>
                <w:szCs w:val="21"/>
              </w:rPr>
              <w:t>1</w:t>
            </w:r>
            <w:r w:rsidRPr="008A2411">
              <w:rPr>
                <w:rFonts w:ascii="Times New Roman" w:hint="eastAsia"/>
                <w:color w:val="000000" w:themeColor="text1"/>
                <w:sz w:val="21"/>
                <w:szCs w:val="21"/>
              </w:rPr>
              <w:t>）本</w:t>
            </w:r>
            <w:r w:rsidRPr="008A2411">
              <w:rPr>
                <w:rFonts w:ascii="Times New Roman"/>
                <w:color w:val="000000" w:themeColor="text1"/>
                <w:sz w:val="21"/>
                <w:szCs w:val="21"/>
              </w:rPr>
              <w:t>项目建设事故应急水池一座</w:t>
            </w:r>
            <w:r w:rsidRPr="008A2411">
              <w:rPr>
                <w:rFonts w:ascii="Times New Roman" w:hint="eastAsia"/>
                <w:color w:val="000000" w:themeColor="text1"/>
                <w:sz w:val="21"/>
                <w:szCs w:val="21"/>
              </w:rPr>
              <w:t>80</w:t>
            </w:r>
            <w:r w:rsidRPr="008A2411">
              <w:rPr>
                <w:rFonts w:ascii="Times New Roman"/>
                <w:color w:val="000000" w:themeColor="text1"/>
                <w:sz w:val="21"/>
                <w:szCs w:val="21"/>
              </w:rPr>
              <w:t>0m</w:t>
            </w:r>
            <w:r w:rsidRPr="008A2411">
              <w:rPr>
                <w:rFonts w:ascii="Times New Roman"/>
                <w:color w:val="000000" w:themeColor="text1"/>
                <w:sz w:val="21"/>
                <w:szCs w:val="21"/>
                <w:vertAlign w:val="superscript"/>
              </w:rPr>
              <w:t>3</w:t>
            </w:r>
            <w:r w:rsidRPr="008A2411">
              <w:rPr>
                <w:rFonts w:ascii="Times New Roman" w:hint="eastAsia"/>
                <w:color w:val="000000" w:themeColor="text1"/>
                <w:sz w:val="21"/>
                <w:szCs w:val="21"/>
              </w:rPr>
              <w:t>；</w:t>
            </w:r>
          </w:p>
          <w:p w14:paraId="464AEBBC" w14:textId="77777777" w:rsidR="00B0005F" w:rsidRPr="008A2411" w:rsidRDefault="00000000">
            <w:pPr>
              <w:adjustRightInd w:val="0"/>
              <w:snapToGrid w:val="0"/>
              <w:ind w:leftChars="-30" w:left="-72" w:rightChars="-30" w:right="-72"/>
              <w:rPr>
                <w:rFonts w:ascii="Times New Roman"/>
                <w:color w:val="000000" w:themeColor="text1"/>
                <w:sz w:val="21"/>
                <w:szCs w:val="21"/>
              </w:rPr>
            </w:pPr>
            <w:r w:rsidRPr="008A2411">
              <w:rPr>
                <w:rFonts w:ascii="Times New Roman" w:hint="eastAsia"/>
                <w:color w:val="000000" w:themeColor="text1"/>
                <w:sz w:val="21"/>
                <w:szCs w:val="21"/>
              </w:rPr>
              <w:t>2</w:t>
            </w:r>
            <w:r w:rsidRPr="008A2411">
              <w:rPr>
                <w:rFonts w:ascii="Times New Roman" w:hint="eastAsia"/>
                <w:color w:val="000000" w:themeColor="text1"/>
                <w:sz w:val="21"/>
                <w:szCs w:val="21"/>
              </w:rPr>
              <w:t>）</w:t>
            </w:r>
            <w:r w:rsidRPr="008A2411">
              <w:rPr>
                <w:rFonts w:ascii="Times New Roman"/>
                <w:color w:val="000000" w:themeColor="text1"/>
                <w:sz w:val="21"/>
                <w:szCs w:val="21"/>
              </w:rPr>
              <w:t>厂内雨、污管网出口设置闸门（闸门定期保养），有通往事故池的管路。一旦发生事故，立即打开</w:t>
            </w:r>
            <w:proofErr w:type="gramStart"/>
            <w:r w:rsidRPr="008A2411">
              <w:rPr>
                <w:rFonts w:ascii="Times New Roman"/>
                <w:color w:val="000000" w:themeColor="text1"/>
                <w:sz w:val="21"/>
                <w:szCs w:val="21"/>
              </w:rPr>
              <w:t>通向本池的</w:t>
            </w:r>
            <w:proofErr w:type="gramEnd"/>
            <w:r w:rsidRPr="008A2411">
              <w:rPr>
                <w:rFonts w:ascii="Times New Roman"/>
                <w:color w:val="000000" w:themeColor="text1"/>
                <w:sz w:val="21"/>
                <w:szCs w:val="21"/>
              </w:rPr>
              <w:t>所有连接口，将事故废水引入应急事故池；发生事故时立即关闭出厂雨、污管道，以杜绝事故废水外流</w:t>
            </w:r>
          </w:p>
        </w:tc>
        <w:tc>
          <w:tcPr>
            <w:tcW w:w="1101" w:type="dxa"/>
            <w:vMerge w:val="restart"/>
            <w:shd w:val="clear" w:color="auto" w:fill="auto"/>
            <w:vAlign w:val="center"/>
          </w:tcPr>
          <w:p w14:paraId="4342631D"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hint="eastAsia"/>
                <w:color w:val="000000" w:themeColor="text1"/>
                <w:sz w:val="21"/>
                <w:szCs w:val="21"/>
              </w:rPr>
              <w:t>基本相同</w:t>
            </w:r>
          </w:p>
        </w:tc>
      </w:tr>
      <w:tr w:rsidR="008A2411" w:rsidRPr="008A2411" w14:paraId="1D71095B" w14:textId="77777777">
        <w:trPr>
          <w:trHeight w:val="454"/>
          <w:jc w:val="center"/>
        </w:trPr>
        <w:tc>
          <w:tcPr>
            <w:tcW w:w="702" w:type="dxa"/>
            <w:vMerge/>
            <w:shd w:val="clear" w:color="auto" w:fill="auto"/>
            <w:vAlign w:val="center"/>
          </w:tcPr>
          <w:p w14:paraId="2C50A14F" w14:textId="77777777" w:rsidR="00B0005F" w:rsidRPr="008A2411" w:rsidRDefault="00B0005F">
            <w:pPr>
              <w:adjustRightInd w:val="0"/>
              <w:snapToGrid w:val="0"/>
              <w:ind w:leftChars="-30" w:left="-72" w:rightChars="-30" w:right="-72"/>
              <w:jc w:val="center"/>
              <w:rPr>
                <w:rFonts w:ascii="Times New Roman"/>
                <w:color w:val="000000" w:themeColor="text1"/>
                <w:sz w:val="21"/>
                <w:szCs w:val="21"/>
              </w:rPr>
            </w:pPr>
          </w:p>
        </w:tc>
        <w:tc>
          <w:tcPr>
            <w:tcW w:w="778" w:type="dxa"/>
            <w:vMerge/>
            <w:shd w:val="clear" w:color="auto" w:fill="auto"/>
            <w:vAlign w:val="center"/>
          </w:tcPr>
          <w:p w14:paraId="2C4917D0" w14:textId="77777777" w:rsidR="00B0005F" w:rsidRPr="008A2411" w:rsidRDefault="00B0005F">
            <w:pPr>
              <w:adjustRightInd w:val="0"/>
              <w:snapToGrid w:val="0"/>
              <w:ind w:leftChars="-30" w:left="-72" w:rightChars="-30" w:right="-72"/>
              <w:jc w:val="center"/>
              <w:rPr>
                <w:rFonts w:ascii="Times New Roman"/>
                <w:color w:val="000000" w:themeColor="text1"/>
                <w:sz w:val="21"/>
                <w:szCs w:val="21"/>
              </w:rPr>
            </w:pPr>
          </w:p>
        </w:tc>
        <w:tc>
          <w:tcPr>
            <w:tcW w:w="3622" w:type="dxa"/>
            <w:gridSpan w:val="2"/>
            <w:shd w:val="clear" w:color="auto" w:fill="auto"/>
            <w:vAlign w:val="center"/>
          </w:tcPr>
          <w:p w14:paraId="0B233E50" w14:textId="77777777" w:rsidR="00B0005F" w:rsidRPr="008A2411" w:rsidRDefault="00000000">
            <w:pPr>
              <w:adjustRightInd w:val="0"/>
              <w:snapToGrid w:val="0"/>
              <w:ind w:leftChars="-30" w:left="-72" w:rightChars="-30" w:right="-72"/>
              <w:rPr>
                <w:rFonts w:ascii="Times New Roman"/>
                <w:color w:val="000000" w:themeColor="text1"/>
                <w:sz w:val="21"/>
                <w:szCs w:val="21"/>
              </w:rPr>
            </w:pPr>
            <w:r w:rsidRPr="008A2411">
              <w:rPr>
                <w:rFonts w:ascii="Times New Roman"/>
                <w:color w:val="000000" w:themeColor="text1"/>
                <w:sz w:val="21"/>
                <w:szCs w:val="21"/>
              </w:rPr>
              <w:t>项目日常生产过程中加强管理，制定了《宣汉宏浩能源科技发展有限公司突发环境事件应急预案》，并于</w:t>
            </w:r>
            <w:r w:rsidRPr="008A2411">
              <w:rPr>
                <w:rFonts w:ascii="Times New Roman"/>
                <w:color w:val="000000" w:themeColor="text1"/>
                <w:sz w:val="21"/>
                <w:szCs w:val="21"/>
              </w:rPr>
              <w:t>2018</w:t>
            </w:r>
            <w:r w:rsidRPr="008A2411">
              <w:rPr>
                <w:rFonts w:ascii="Times New Roman"/>
                <w:color w:val="000000" w:themeColor="text1"/>
                <w:sz w:val="21"/>
                <w:szCs w:val="21"/>
              </w:rPr>
              <w:t>年</w:t>
            </w:r>
            <w:r w:rsidRPr="008A2411">
              <w:rPr>
                <w:rFonts w:ascii="Times New Roman"/>
                <w:color w:val="000000" w:themeColor="text1"/>
                <w:sz w:val="21"/>
                <w:szCs w:val="21"/>
              </w:rPr>
              <w:t>10</w:t>
            </w:r>
            <w:r w:rsidRPr="008A2411">
              <w:rPr>
                <w:rFonts w:ascii="Times New Roman"/>
                <w:color w:val="000000" w:themeColor="text1"/>
                <w:sz w:val="21"/>
                <w:szCs w:val="21"/>
              </w:rPr>
              <w:t>月</w:t>
            </w:r>
            <w:r w:rsidRPr="008A2411">
              <w:rPr>
                <w:rFonts w:ascii="Times New Roman"/>
                <w:color w:val="000000" w:themeColor="text1"/>
                <w:sz w:val="21"/>
                <w:szCs w:val="21"/>
              </w:rPr>
              <w:t>9</w:t>
            </w:r>
            <w:r w:rsidRPr="008A2411">
              <w:rPr>
                <w:rFonts w:ascii="Times New Roman"/>
                <w:color w:val="000000" w:themeColor="text1"/>
                <w:sz w:val="21"/>
                <w:szCs w:val="21"/>
              </w:rPr>
              <w:t>日在宣汉县环境保护局备案（备案号：</w:t>
            </w:r>
            <w:r w:rsidRPr="008A2411">
              <w:rPr>
                <w:rFonts w:ascii="Times New Roman"/>
                <w:color w:val="000000" w:themeColor="text1"/>
                <w:sz w:val="21"/>
                <w:szCs w:val="21"/>
              </w:rPr>
              <w:t>511722-2018-19-L</w:t>
            </w:r>
            <w:r w:rsidRPr="008A2411">
              <w:rPr>
                <w:rFonts w:ascii="Times New Roman"/>
                <w:color w:val="000000" w:themeColor="text1"/>
                <w:sz w:val="21"/>
                <w:szCs w:val="21"/>
              </w:rPr>
              <w:t>）。</w:t>
            </w:r>
          </w:p>
        </w:tc>
        <w:tc>
          <w:tcPr>
            <w:tcW w:w="2800" w:type="dxa"/>
            <w:vAlign w:val="center"/>
          </w:tcPr>
          <w:p w14:paraId="621A3BEE" w14:textId="466F6FD3"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hint="eastAsia"/>
                <w:color w:val="000000" w:themeColor="text1"/>
                <w:sz w:val="21"/>
                <w:szCs w:val="21"/>
              </w:rPr>
              <w:t>本项目后期将编制环境风险应急</w:t>
            </w:r>
            <w:r w:rsidR="00673CC8" w:rsidRPr="008A2411">
              <w:rPr>
                <w:rFonts w:ascii="Times New Roman" w:hint="eastAsia"/>
                <w:color w:val="000000" w:themeColor="text1"/>
                <w:sz w:val="21"/>
                <w:szCs w:val="21"/>
              </w:rPr>
              <w:t>预案</w:t>
            </w:r>
          </w:p>
        </w:tc>
        <w:tc>
          <w:tcPr>
            <w:tcW w:w="1101" w:type="dxa"/>
            <w:vMerge/>
            <w:shd w:val="clear" w:color="auto" w:fill="auto"/>
            <w:vAlign w:val="center"/>
          </w:tcPr>
          <w:p w14:paraId="237A147F" w14:textId="77777777" w:rsidR="00B0005F" w:rsidRPr="008A2411" w:rsidRDefault="00B0005F">
            <w:pPr>
              <w:adjustRightInd w:val="0"/>
              <w:snapToGrid w:val="0"/>
              <w:ind w:leftChars="-30" w:left="-72" w:rightChars="-30" w:right="-72"/>
              <w:jc w:val="center"/>
              <w:rPr>
                <w:rFonts w:ascii="Times New Roman"/>
                <w:color w:val="000000" w:themeColor="text1"/>
                <w:sz w:val="21"/>
                <w:szCs w:val="21"/>
                <w:lang w:val="en-AU"/>
              </w:rPr>
            </w:pPr>
          </w:p>
        </w:tc>
      </w:tr>
      <w:tr w:rsidR="008A2411" w:rsidRPr="008A2411" w14:paraId="098C8FC1" w14:textId="77777777">
        <w:trPr>
          <w:trHeight w:val="454"/>
          <w:jc w:val="center"/>
        </w:trPr>
        <w:tc>
          <w:tcPr>
            <w:tcW w:w="702" w:type="dxa"/>
            <w:shd w:val="clear" w:color="auto" w:fill="auto"/>
            <w:vAlign w:val="center"/>
          </w:tcPr>
          <w:p w14:paraId="1480AAE6"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施</w:t>
            </w:r>
          </w:p>
          <w:p w14:paraId="2728EDEE"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工</w:t>
            </w:r>
          </w:p>
          <w:p w14:paraId="683C9C06"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color w:val="000000" w:themeColor="text1"/>
                <w:sz w:val="21"/>
                <w:szCs w:val="21"/>
              </w:rPr>
              <w:t>期</w:t>
            </w:r>
          </w:p>
        </w:tc>
        <w:tc>
          <w:tcPr>
            <w:tcW w:w="778" w:type="dxa"/>
            <w:shd w:val="clear" w:color="auto" w:fill="auto"/>
            <w:vAlign w:val="center"/>
          </w:tcPr>
          <w:p w14:paraId="783A86D7" w14:textId="77777777" w:rsidR="00B0005F" w:rsidRPr="008A2411" w:rsidRDefault="00000000">
            <w:pPr>
              <w:adjustRightInd w:val="0"/>
              <w:snapToGrid w:val="0"/>
              <w:ind w:leftChars="-30" w:left="-72" w:rightChars="-30" w:right="-72"/>
              <w:rPr>
                <w:rFonts w:ascii="Times New Roman"/>
                <w:color w:val="000000" w:themeColor="text1"/>
                <w:sz w:val="21"/>
                <w:szCs w:val="21"/>
              </w:rPr>
            </w:pPr>
            <w:r w:rsidRPr="008A2411">
              <w:rPr>
                <w:rFonts w:ascii="Times New Roman"/>
                <w:color w:val="000000" w:themeColor="text1"/>
                <w:sz w:val="21"/>
                <w:szCs w:val="21"/>
              </w:rPr>
              <w:t>施工废水、扬尘、噪声防治措施</w:t>
            </w:r>
          </w:p>
        </w:tc>
        <w:tc>
          <w:tcPr>
            <w:tcW w:w="3622" w:type="dxa"/>
            <w:gridSpan w:val="2"/>
            <w:shd w:val="clear" w:color="auto" w:fill="auto"/>
          </w:tcPr>
          <w:p w14:paraId="7853DF30" w14:textId="77777777" w:rsidR="00B0005F" w:rsidRPr="008A2411" w:rsidRDefault="00000000">
            <w:pPr>
              <w:adjustRightInd w:val="0"/>
              <w:snapToGrid w:val="0"/>
              <w:ind w:leftChars="-30" w:left="-72" w:rightChars="-30" w:right="-72"/>
              <w:rPr>
                <w:rFonts w:ascii="Times New Roman"/>
                <w:color w:val="000000" w:themeColor="text1"/>
                <w:sz w:val="21"/>
                <w:szCs w:val="21"/>
              </w:rPr>
            </w:pPr>
            <w:r w:rsidRPr="008A2411">
              <w:rPr>
                <w:rFonts w:ascii="Times New Roman"/>
                <w:color w:val="000000" w:themeColor="text1"/>
                <w:sz w:val="21"/>
                <w:szCs w:val="21"/>
              </w:rPr>
              <w:t>洒水降尘，及时清扫路面尘土；禁止夜间施工，加工作业点不设在厂南侧；废水沉淀处理后</w:t>
            </w:r>
            <w:proofErr w:type="gramStart"/>
            <w:r w:rsidRPr="008A2411">
              <w:rPr>
                <w:rFonts w:ascii="Times New Roman"/>
                <w:color w:val="000000" w:themeColor="text1"/>
                <w:sz w:val="21"/>
                <w:szCs w:val="21"/>
              </w:rPr>
              <w:t>尽量回</w:t>
            </w:r>
            <w:proofErr w:type="gramEnd"/>
            <w:r w:rsidRPr="008A2411">
              <w:rPr>
                <w:rFonts w:ascii="Times New Roman"/>
                <w:color w:val="000000" w:themeColor="text1"/>
                <w:sz w:val="21"/>
                <w:szCs w:val="21"/>
              </w:rPr>
              <w:t>用；及时绿化，保护植被。施工（包括厂外管道）完成后必须及时覆土，恢复植被。</w:t>
            </w:r>
          </w:p>
        </w:tc>
        <w:tc>
          <w:tcPr>
            <w:tcW w:w="2800" w:type="dxa"/>
            <w:vAlign w:val="center"/>
          </w:tcPr>
          <w:p w14:paraId="44A622A8"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hint="eastAsia"/>
                <w:color w:val="000000" w:themeColor="text1"/>
                <w:sz w:val="21"/>
                <w:szCs w:val="21"/>
              </w:rPr>
              <w:t>相同</w:t>
            </w:r>
          </w:p>
        </w:tc>
        <w:tc>
          <w:tcPr>
            <w:tcW w:w="1101" w:type="dxa"/>
            <w:shd w:val="clear" w:color="auto" w:fill="auto"/>
            <w:vAlign w:val="center"/>
          </w:tcPr>
          <w:p w14:paraId="348C685D" w14:textId="77777777" w:rsidR="00B0005F" w:rsidRPr="008A2411" w:rsidRDefault="00000000">
            <w:pPr>
              <w:adjustRightInd w:val="0"/>
              <w:snapToGrid w:val="0"/>
              <w:ind w:leftChars="-30" w:left="-72" w:rightChars="-30" w:right="-72"/>
              <w:jc w:val="center"/>
              <w:rPr>
                <w:rFonts w:ascii="Times New Roman"/>
                <w:color w:val="000000" w:themeColor="text1"/>
                <w:sz w:val="21"/>
                <w:szCs w:val="21"/>
              </w:rPr>
            </w:pPr>
            <w:r w:rsidRPr="008A2411">
              <w:rPr>
                <w:rFonts w:ascii="Times New Roman" w:hint="eastAsia"/>
                <w:color w:val="000000" w:themeColor="text1"/>
                <w:sz w:val="21"/>
                <w:szCs w:val="21"/>
              </w:rPr>
              <w:t>相同</w:t>
            </w:r>
          </w:p>
        </w:tc>
      </w:tr>
    </w:tbl>
    <w:p w14:paraId="70739C07" w14:textId="77777777" w:rsidR="00B0005F" w:rsidRPr="008A2411" w:rsidRDefault="00000000">
      <w:pPr>
        <w:adjustRightInd w:val="0"/>
        <w:snapToGrid w:val="0"/>
        <w:spacing w:line="360" w:lineRule="auto"/>
        <w:ind w:firstLineChars="200" w:firstLine="480"/>
        <w:rPr>
          <w:rFonts w:ascii="Times New Roman"/>
          <w:color w:val="000000" w:themeColor="text1"/>
        </w:rPr>
      </w:pPr>
      <w:r w:rsidRPr="008A2411">
        <w:rPr>
          <w:rFonts w:ascii="Times New Roman" w:hint="eastAsia"/>
          <w:color w:val="000000" w:themeColor="text1"/>
        </w:rPr>
        <w:t>由上表可见，同一期工程相比，本项目拟采取的环保措施大致相当，部分措施在一期基础上有所优化提高，更有利于项目的环境保护工作。且根据调查了解，一期工程自建成投运以来，生产运行稳定，未发生环境污染事件和环保投诉，由此可见，本工程拟采取的环保措施可靠，能够满足拟建项目的污染物处置要求。</w:t>
      </w:r>
      <w:r w:rsidRPr="008A2411">
        <w:rPr>
          <w:rFonts w:ascii="Times New Roman"/>
          <w:color w:val="000000" w:themeColor="text1"/>
        </w:rPr>
        <w:br w:type="page"/>
      </w:r>
    </w:p>
    <w:p w14:paraId="1E35AC3C" w14:textId="77777777" w:rsidR="00B0005F" w:rsidRPr="008A2411" w:rsidRDefault="00000000">
      <w:pPr>
        <w:pStyle w:val="11"/>
        <w:numPr>
          <w:ilvl w:val="0"/>
          <w:numId w:val="0"/>
        </w:numPr>
        <w:snapToGrid w:val="0"/>
        <w:spacing w:before="0" w:afterLines="0" w:after="0" w:line="360" w:lineRule="auto"/>
        <w:jc w:val="center"/>
        <w:rPr>
          <w:rFonts w:ascii="Times New Roman" w:eastAsia="宋体"/>
          <w:color w:val="000000" w:themeColor="text1"/>
        </w:rPr>
      </w:pPr>
      <w:bookmarkStart w:id="231" w:name="_Toc109170760"/>
      <w:r w:rsidRPr="008A2411">
        <w:rPr>
          <w:rFonts w:ascii="Times New Roman" w:eastAsia="宋体"/>
          <w:color w:val="000000" w:themeColor="text1"/>
        </w:rPr>
        <w:lastRenderedPageBreak/>
        <w:t>第四章</w:t>
      </w:r>
      <w:r w:rsidRPr="008A2411">
        <w:rPr>
          <w:rFonts w:ascii="Times New Roman" w:eastAsia="宋体"/>
          <w:color w:val="000000" w:themeColor="text1"/>
        </w:rPr>
        <w:t xml:space="preserve">  </w:t>
      </w:r>
      <w:r w:rsidRPr="008A2411">
        <w:rPr>
          <w:rFonts w:ascii="Times New Roman" w:eastAsia="宋体"/>
          <w:color w:val="000000" w:themeColor="text1"/>
        </w:rPr>
        <w:t>环境现状调查与评价</w:t>
      </w:r>
      <w:bookmarkEnd w:id="227"/>
      <w:bookmarkEnd w:id="231"/>
    </w:p>
    <w:p w14:paraId="0C1D3EA9" w14:textId="77777777" w:rsidR="00B0005F" w:rsidRPr="008A2411" w:rsidRDefault="00000000">
      <w:pPr>
        <w:pStyle w:val="affffffffff3"/>
        <w:snapToGrid w:val="0"/>
        <w:spacing w:before="0" w:after="0" w:line="360" w:lineRule="auto"/>
        <w:rPr>
          <w:rFonts w:ascii="Times New Roman" w:eastAsia="黑体" w:cs="Times New Roman"/>
          <w:color w:val="000000" w:themeColor="text1"/>
          <w:sz w:val="28"/>
          <w:szCs w:val="28"/>
          <w:lang w:bidi="en-US"/>
        </w:rPr>
      </w:pPr>
      <w:bookmarkStart w:id="232" w:name="_Toc446770410"/>
      <w:bookmarkStart w:id="233" w:name="_Toc455997655"/>
      <w:bookmarkStart w:id="234" w:name="_Toc461524932"/>
      <w:bookmarkStart w:id="235" w:name="_Toc59404702"/>
      <w:bookmarkStart w:id="236" w:name="_Toc109170761"/>
      <w:bookmarkEnd w:id="228"/>
      <w:r w:rsidRPr="008A2411">
        <w:rPr>
          <w:rFonts w:ascii="Times New Roman" w:eastAsia="黑体" w:cs="Times New Roman"/>
          <w:color w:val="000000" w:themeColor="text1"/>
          <w:sz w:val="28"/>
          <w:szCs w:val="28"/>
          <w:lang w:bidi="en-US"/>
        </w:rPr>
        <w:t>4.1</w:t>
      </w:r>
      <w:r w:rsidRPr="008A2411">
        <w:rPr>
          <w:rFonts w:ascii="Times New Roman" w:eastAsia="黑体" w:cs="Times New Roman"/>
          <w:color w:val="000000" w:themeColor="text1"/>
          <w:sz w:val="28"/>
          <w:szCs w:val="28"/>
          <w:lang w:bidi="en-US"/>
        </w:rPr>
        <w:t>自然环境概况</w:t>
      </w:r>
      <w:bookmarkEnd w:id="232"/>
      <w:bookmarkEnd w:id="233"/>
      <w:bookmarkEnd w:id="234"/>
      <w:bookmarkEnd w:id="235"/>
      <w:bookmarkEnd w:id="236"/>
    </w:p>
    <w:p w14:paraId="58F98A19" w14:textId="77777777" w:rsidR="00B0005F" w:rsidRPr="008A2411" w:rsidRDefault="00000000">
      <w:pPr>
        <w:pStyle w:val="afffffffffffffffffff8"/>
        <w:snapToGrid w:val="0"/>
        <w:spacing w:before="0" w:after="0" w:line="360" w:lineRule="auto"/>
        <w:rPr>
          <w:rFonts w:ascii="Times New Roman" w:cs="Times New Roman"/>
          <w:color w:val="000000" w:themeColor="text1"/>
        </w:rPr>
      </w:pPr>
      <w:bookmarkStart w:id="237" w:name="_Toc455997656"/>
      <w:r w:rsidRPr="008A2411">
        <w:rPr>
          <w:rFonts w:ascii="Times New Roman" w:cs="Times New Roman"/>
          <w:color w:val="000000" w:themeColor="text1"/>
        </w:rPr>
        <w:t>4.1.1</w:t>
      </w:r>
      <w:r w:rsidRPr="008A2411">
        <w:rPr>
          <w:rFonts w:ascii="Times New Roman" w:cs="Times New Roman"/>
          <w:color w:val="000000" w:themeColor="text1"/>
        </w:rPr>
        <w:t>地理位置</w:t>
      </w:r>
      <w:bookmarkEnd w:id="237"/>
    </w:p>
    <w:p w14:paraId="7833BD77" w14:textId="77777777" w:rsidR="00B0005F" w:rsidRPr="008A2411" w:rsidRDefault="00000000">
      <w:pPr>
        <w:tabs>
          <w:tab w:val="left" w:pos="560"/>
        </w:tabs>
        <w:adjustRightInd w:val="0"/>
        <w:snapToGrid w:val="0"/>
        <w:spacing w:line="360" w:lineRule="auto"/>
        <w:ind w:firstLineChars="200" w:firstLine="480"/>
        <w:rPr>
          <w:rFonts w:ascii="Times New Roman"/>
          <w:color w:val="000000" w:themeColor="text1"/>
        </w:rPr>
      </w:pPr>
      <w:r w:rsidRPr="008A2411">
        <w:rPr>
          <w:rFonts w:ascii="Times New Roman"/>
          <w:color w:val="000000" w:themeColor="text1"/>
        </w:rPr>
        <w:t>宣汉县隶属于</w:t>
      </w:r>
      <w:proofErr w:type="gramStart"/>
      <w:r w:rsidRPr="008A2411">
        <w:rPr>
          <w:rFonts w:ascii="Times New Roman"/>
          <w:color w:val="000000" w:themeColor="text1"/>
        </w:rPr>
        <w:t>四川省达州市</w:t>
      </w:r>
      <w:proofErr w:type="gramEnd"/>
      <w:r w:rsidRPr="008A2411">
        <w:rPr>
          <w:rFonts w:ascii="Times New Roman"/>
          <w:color w:val="000000" w:themeColor="text1"/>
        </w:rPr>
        <w:t>，位于四川盆地东北大巴山南麓，嘉陵江支流渠江分支之洲河上游，介于东经</w:t>
      </w:r>
      <w:r w:rsidRPr="008A2411">
        <w:rPr>
          <w:rFonts w:ascii="Times New Roman"/>
          <w:color w:val="000000" w:themeColor="text1"/>
        </w:rPr>
        <w:t>107°22′29″~108°32′47″</w:t>
      </w:r>
      <w:r w:rsidRPr="008A2411">
        <w:rPr>
          <w:rFonts w:ascii="Times New Roman"/>
          <w:color w:val="000000" w:themeColor="text1"/>
        </w:rPr>
        <w:t>，北纬</w:t>
      </w:r>
      <w:r w:rsidRPr="008A2411">
        <w:rPr>
          <w:rFonts w:ascii="Times New Roman"/>
          <w:color w:val="000000" w:themeColor="text1"/>
        </w:rPr>
        <w:t>30°06′08″~31°49′57″</w:t>
      </w:r>
      <w:r w:rsidRPr="008A2411">
        <w:rPr>
          <w:rFonts w:ascii="Times New Roman"/>
          <w:color w:val="000000" w:themeColor="text1"/>
        </w:rPr>
        <w:t>之间，东北与重庆市城口县接壤，东与重庆市开州区相邻，南连开江县，西接达川区、通川区和平昌县，北与万源交界，地处川渝鄂</w:t>
      </w:r>
      <w:proofErr w:type="gramStart"/>
      <w:r w:rsidRPr="008A2411">
        <w:rPr>
          <w:rFonts w:ascii="Times New Roman"/>
          <w:color w:val="000000" w:themeColor="text1"/>
        </w:rPr>
        <w:t>陕结合</w:t>
      </w:r>
      <w:proofErr w:type="gramEnd"/>
      <w:r w:rsidRPr="008A2411">
        <w:rPr>
          <w:rFonts w:ascii="Times New Roman"/>
          <w:color w:val="000000" w:themeColor="text1"/>
        </w:rPr>
        <w:t>部，</w:t>
      </w:r>
      <w:proofErr w:type="gramStart"/>
      <w:r w:rsidRPr="008A2411">
        <w:rPr>
          <w:rFonts w:ascii="Times New Roman"/>
          <w:color w:val="000000" w:themeColor="text1"/>
        </w:rPr>
        <w:t>是达州卫星</w:t>
      </w:r>
      <w:proofErr w:type="gramEnd"/>
      <w:r w:rsidRPr="008A2411">
        <w:rPr>
          <w:rFonts w:ascii="Times New Roman"/>
          <w:color w:val="000000" w:themeColor="text1"/>
        </w:rPr>
        <w:t>城市，县城</w:t>
      </w:r>
      <w:proofErr w:type="gramStart"/>
      <w:r w:rsidRPr="008A2411">
        <w:rPr>
          <w:rFonts w:ascii="Times New Roman"/>
          <w:color w:val="000000" w:themeColor="text1"/>
        </w:rPr>
        <w:t>距达州市区</w:t>
      </w:r>
      <w:proofErr w:type="gramEnd"/>
      <w:r w:rsidRPr="008A2411">
        <w:rPr>
          <w:rFonts w:ascii="Times New Roman"/>
          <w:color w:val="000000" w:themeColor="text1"/>
        </w:rPr>
        <w:t>32</w:t>
      </w:r>
      <w:r w:rsidRPr="008A2411">
        <w:rPr>
          <w:rFonts w:ascii="Times New Roman"/>
          <w:color w:val="000000" w:themeColor="text1"/>
        </w:rPr>
        <w:t>公里，襄渝铁路和</w:t>
      </w:r>
      <w:proofErr w:type="gramStart"/>
      <w:r w:rsidRPr="008A2411">
        <w:rPr>
          <w:rFonts w:ascii="Times New Roman"/>
          <w:color w:val="000000" w:themeColor="text1"/>
        </w:rPr>
        <w:t>渝陕</w:t>
      </w:r>
      <w:proofErr w:type="gramEnd"/>
      <w:r w:rsidRPr="008A2411">
        <w:rPr>
          <w:rFonts w:ascii="Times New Roman"/>
          <w:color w:val="000000" w:themeColor="text1"/>
        </w:rPr>
        <w:t>高速公路、达万高速公路穿境而过。</w:t>
      </w:r>
    </w:p>
    <w:p w14:paraId="73F87D02" w14:textId="77777777" w:rsidR="00B0005F" w:rsidRPr="008A2411" w:rsidRDefault="00000000">
      <w:pPr>
        <w:adjustRightInd w:val="0"/>
        <w:snapToGrid w:val="0"/>
        <w:spacing w:line="360" w:lineRule="auto"/>
        <w:ind w:firstLineChars="200" w:firstLine="480"/>
        <w:rPr>
          <w:rFonts w:ascii="Times New Roman"/>
          <w:bCs/>
          <w:color w:val="000000" w:themeColor="text1"/>
        </w:rPr>
      </w:pPr>
      <w:r w:rsidRPr="008A2411">
        <w:rPr>
          <w:rFonts w:ascii="Times New Roman"/>
          <w:bCs/>
          <w:color w:val="000000" w:themeColor="text1"/>
        </w:rPr>
        <w:t>天然气综合利用项目（</w:t>
      </w:r>
      <w:r w:rsidRPr="008A2411">
        <w:rPr>
          <w:rFonts w:ascii="Times New Roman"/>
          <w:bCs/>
          <w:color w:val="000000" w:themeColor="text1"/>
        </w:rPr>
        <w:t>LNG</w:t>
      </w:r>
      <w:r w:rsidRPr="008A2411">
        <w:rPr>
          <w:rFonts w:ascii="Times New Roman"/>
          <w:bCs/>
          <w:color w:val="000000" w:themeColor="text1"/>
        </w:rPr>
        <w:t>）二期位于四川省宣汉县普光化工园区内，地理位置见附图</w:t>
      </w:r>
      <w:r w:rsidRPr="008A2411">
        <w:rPr>
          <w:rFonts w:ascii="Times New Roman"/>
          <w:bCs/>
          <w:color w:val="000000" w:themeColor="text1"/>
        </w:rPr>
        <w:t>1</w:t>
      </w:r>
      <w:r w:rsidRPr="008A2411">
        <w:rPr>
          <w:rFonts w:ascii="Times New Roman"/>
          <w:bCs/>
          <w:color w:val="000000" w:themeColor="text1"/>
        </w:rPr>
        <w:t>。</w:t>
      </w:r>
    </w:p>
    <w:p w14:paraId="1EE09C75" w14:textId="77777777" w:rsidR="00B0005F" w:rsidRPr="008A2411" w:rsidRDefault="00000000">
      <w:pPr>
        <w:pStyle w:val="afffffffffffffffffff8"/>
        <w:snapToGrid w:val="0"/>
        <w:spacing w:before="0" w:after="0" w:line="360" w:lineRule="auto"/>
        <w:rPr>
          <w:rFonts w:ascii="Times New Roman" w:cs="Times New Roman"/>
          <w:color w:val="000000" w:themeColor="text1"/>
        </w:rPr>
      </w:pPr>
      <w:bookmarkStart w:id="238" w:name="_Toc455997657"/>
      <w:r w:rsidRPr="008A2411">
        <w:rPr>
          <w:rFonts w:ascii="Times New Roman" w:cs="Times New Roman"/>
          <w:color w:val="000000" w:themeColor="text1"/>
        </w:rPr>
        <w:t>4.1.2</w:t>
      </w:r>
      <w:r w:rsidRPr="008A2411">
        <w:rPr>
          <w:rFonts w:ascii="Times New Roman" w:cs="Times New Roman"/>
          <w:color w:val="000000" w:themeColor="text1"/>
        </w:rPr>
        <w:t>地形、地貌</w:t>
      </w:r>
      <w:bookmarkEnd w:id="238"/>
      <w:r w:rsidRPr="008A2411">
        <w:rPr>
          <w:rFonts w:ascii="Times New Roman" w:cs="Times New Roman"/>
          <w:color w:val="000000" w:themeColor="text1"/>
        </w:rPr>
        <w:t>、地质</w:t>
      </w:r>
    </w:p>
    <w:p w14:paraId="29DEE92E" w14:textId="77777777" w:rsidR="00B0005F" w:rsidRPr="008A2411" w:rsidRDefault="00000000">
      <w:pPr>
        <w:tabs>
          <w:tab w:val="left" w:pos="560"/>
        </w:tabs>
        <w:adjustRightInd w:val="0"/>
        <w:snapToGrid w:val="0"/>
        <w:spacing w:line="360" w:lineRule="auto"/>
        <w:ind w:firstLineChars="200" w:firstLine="480"/>
        <w:rPr>
          <w:rFonts w:ascii="Times New Roman"/>
          <w:color w:val="000000" w:themeColor="text1"/>
        </w:rPr>
      </w:pPr>
      <w:r w:rsidRPr="008A2411">
        <w:rPr>
          <w:rFonts w:ascii="Times New Roman"/>
          <w:color w:val="000000" w:themeColor="text1"/>
        </w:rPr>
        <w:t>宣汉县地处四川盆地东北大巴山南麓，属大巴山中、低山以及中低山和丘陵的一部分，山峦起伏，沟谷纵横，属侵蚀沟洼地形。主要有低山、低中山、山原、丘陵、台地、平坝等类型，而以低山和低中山为主，其中山地占</w:t>
      </w:r>
      <w:r w:rsidRPr="008A2411">
        <w:rPr>
          <w:rFonts w:ascii="Times New Roman"/>
          <w:color w:val="000000" w:themeColor="text1"/>
        </w:rPr>
        <w:t>56%</w:t>
      </w:r>
      <w:r w:rsidRPr="008A2411">
        <w:rPr>
          <w:rFonts w:ascii="Times New Roman"/>
          <w:color w:val="000000" w:themeColor="text1"/>
        </w:rPr>
        <w:t>，丘陵占</w:t>
      </w:r>
      <w:r w:rsidRPr="008A2411">
        <w:rPr>
          <w:rFonts w:ascii="Times New Roman"/>
          <w:color w:val="000000" w:themeColor="text1"/>
        </w:rPr>
        <w:t>44%</w:t>
      </w:r>
      <w:r w:rsidRPr="008A2411">
        <w:rPr>
          <w:rFonts w:ascii="Times New Roman"/>
          <w:color w:val="000000" w:themeColor="text1"/>
        </w:rPr>
        <w:t>。地势的明显特征是东北高、西南低，最低海拔</w:t>
      </w:r>
      <w:r w:rsidRPr="008A2411">
        <w:rPr>
          <w:rFonts w:ascii="Times New Roman"/>
          <w:color w:val="000000" w:themeColor="text1"/>
        </w:rPr>
        <w:t>277m</w:t>
      </w:r>
      <w:r w:rsidRPr="008A2411">
        <w:rPr>
          <w:rFonts w:ascii="Times New Roman"/>
          <w:color w:val="000000" w:themeColor="text1"/>
        </w:rPr>
        <w:t>，最高海拔</w:t>
      </w:r>
      <w:r w:rsidRPr="008A2411">
        <w:rPr>
          <w:rFonts w:ascii="Times New Roman"/>
          <w:color w:val="000000" w:themeColor="text1"/>
        </w:rPr>
        <w:t>2349m</w:t>
      </w:r>
      <w:r w:rsidRPr="008A2411">
        <w:rPr>
          <w:rFonts w:ascii="Times New Roman"/>
          <w:color w:val="000000" w:themeColor="text1"/>
        </w:rPr>
        <w:t>，平均海拔</w:t>
      </w:r>
      <w:r w:rsidRPr="008A2411">
        <w:rPr>
          <w:rFonts w:ascii="Times New Roman"/>
          <w:color w:val="000000" w:themeColor="text1"/>
        </w:rPr>
        <w:t>780m</w:t>
      </w:r>
      <w:r w:rsidRPr="008A2411">
        <w:rPr>
          <w:rFonts w:ascii="Times New Roman"/>
          <w:color w:val="000000" w:themeColor="text1"/>
        </w:rPr>
        <w:t>。在低山区内，山坡坡度一般在</w:t>
      </w:r>
      <w:r w:rsidRPr="008A2411">
        <w:rPr>
          <w:rFonts w:ascii="Times New Roman"/>
          <w:color w:val="000000" w:themeColor="text1"/>
        </w:rPr>
        <w:t>20°~50°</w:t>
      </w:r>
      <w:r w:rsidRPr="008A2411">
        <w:rPr>
          <w:rFonts w:ascii="Times New Roman"/>
          <w:color w:val="000000" w:themeColor="text1"/>
        </w:rPr>
        <w:t>间，而小于</w:t>
      </w:r>
      <w:r w:rsidRPr="008A2411">
        <w:rPr>
          <w:rFonts w:ascii="Times New Roman"/>
          <w:color w:val="000000" w:themeColor="text1"/>
        </w:rPr>
        <w:t>20°</w:t>
      </w:r>
      <w:r w:rsidRPr="008A2411">
        <w:rPr>
          <w:rFonts w:ascii="Times New Roman"/>
          <w:color w:val="000000" w:themeColor="text1"/>
        </w:rPr>
        <w:t>坡度多出现在河谷、溪沟的沟底和谷坡下部地带。</w:t>
      </w:r>
    </w:p>
    <w:p w14:paraId="67A457C9" w14:textId="77777777" w:rsidR="00B0005F" w:rsidRPr="008A2411" w:rsidRDefault="00000000">
      <w:pPr>
        <w:adjustRightInd w:val="0"/>
        <w:snapToGrid w:val="0"/>
        <w:spacing w:line="360" w:lineRule="auto"/>
        <w:ind w:firstLineChars="200" w:firstLine="480"/>
        <w:rPr>
          <w:rFonts w:ascii="Times New Roman"/>
          <w:bCs/>
          <w:color w:val="000000" w:themeColor="text1"/>
        </w:rPr>
      </w:pPr>
      <w:r w:rsidRPr="008A2411">
        <w:rPr>
          <w:rFonts w:ascii="Times New Roman"/>
          <w:color w:val="000000" w:themeColor="text1"/>
        </w:rPr>
        <w:t>普光经开区位于川东平行岭谷地貌的开阔谷地中，以丘陵为主，整体地势北高南低。地形地貌类型多样，山、丘、谷、坝俱全，尤以丘陵比例较大，由于被流水侵蚀，显得支离破碎；一般属中切割，中、</w:t>
      </w:r>
      <w:proofErr w:type="gramStart"/>
      <w:r w:rsidRPr="008A2411">
        <w:rPr>
          <w:rFonts w:ascii="Times New Roman"/>
          <w:color w:val="000000" w:themeColor="text1"/>
        </w:rPr>
        <w:t>南部属浅切割</w:t>
      </w:r>
      <w:proofErr w:type="gramEnd"/>
      <w:r w:rsidRPr="008A2411">
        <w:rPr>
          <w:rFonts w:ascii="Times New Roman"/>
          <w:color w:val="000000" w:themeColor="text1"/>
        </w:rPr>
        <w:t>，但冲沟发育，一般沟浅而宽。根据区内的地形高程和切割深度将区内地貌划分为低山、丘陵地貌两个一级地貌单元，在丘陵地貌中又分斜坡、冲沟和河流阶地地貌</w:t>
      </w:r>
      <w:r w:rsidRPr="008A2411">
        <w:rPr>
          <w:rFonts w:ascii="Times New Roman"/>
          <w:bCs/>
          <w:color w:val="000000" w:themeColor="text1"/>
          <w:lang w:val="en-GB"/>
        </w:rPr>
        <w:t>。</w:t>
      </w:r>
    </w:p>
    <w:p w14:paraId="26C89E33" w14:textId="77777777" w:rsidR="00B0005F" w:rsidRPr="008A2411" w:rsidRDefault="00000000">
      <w:pPr>
        <w:pStyle w:val="afffffffffffffffffff8"/>
        <w:snapToGrid w:val="0"/>
        <w:spacing w:before="0" w:after="0" w:line="360" w:lineRule="auto"/>
        <w:rPr>
          <w:rFonts w:ascii="Times New Roman" w:cs="Times New Roman"/>
          <w:color w:val="000000" w:themeColor="text1"/>
        </w:rPr>
      </w:pPr>
      <w:r w:rsidRPr="008A2411">
        <w:rPr>
          <w:rFonts w:ascii="Times New Roman" w:cs="Times New Roman"/>
          <w:color w:val="000000" w:themeColor="text1"/>
        </w:rPr>
        <w:t>4.1.3</w:t>
      </w:r>
      <w:bookmarkStart w:id="239" w:name="_Toc455997658"/>
      <w:r w:rsidRPr="008A2411">
        <w:rPr>
          <w:rFonts w:ascii="Times New Roman" w:cs="Times New Roman"/>
          <w:color w:val="000000" w:themeColor="text1"/>
        </w:rPr>
        <w:t>气候</w:t>
      </w:r>
      <w:bookmarkEnd w:id="239"/>
      <w:r w:rsidRPr="008A2411">
        <w:rPr>
          <w:rFonts w:ascii="Times New Roman" w:cs="Times New Roman"/>
          <w:color w:val="000000" w:themeColor="text1"/>
        </w:rPr>
        <w:t>、气象</w:t>
      </w:r>
    </w:p>
    <w:p w14:paraId="7969DEBE" w14:textId="77777777" w:rsidR="00B0005F" w:rsidRPr="008A2411" w:rsidRDefault="00000000">
      <w:pPr>
        <w:tabs>
          <w:tab w:val="left" w:pos="560"/>
        </w:tabs>
        <w:adjustRightInd w:val="0"/>
        <w:snapToGrid w:val="0"/>
        <w:spacing w:line="360" w:lineRule="auto"/>
        <w:ind w:firstLineChars="200" w:firstLine="480"/>
        <w:rPr>
          <w:rFonts w:ascii="Times New Roman"/>
          <w:color w:val="000000" w:themeColor="text1"/>
        </w:rPr>
      </w:pPr>
      <w:r w:rsidRPr="008A2411">
        <w:rPr>
          <w:rFonts w:ascii="Times New Roman"/>
          <w:color w:val="000000" w:themeColor="text1"/>
        </w:rPr>
        <w:t>宣汉县处于盆地丘陵向</w:t>
      </w:r>
      <w:proofErr w:type="gramStart"/>
      <w:r w:rsidRPr="008A2411">
        <w:rPr>
          <w:rFonts w:ascii="Times New Roman"/>
          <w:color w:val="000000" w:themeColor="text1"/>
        </w:rPr>
        <w:t>盆缘山区</w:t>
      </w:r>
      <w:proofErr w:type="gramEnd"/>
      <w:r w:rsidRPr="008A2411">
        <w:rPr>
          <w:rFonts w:ascii="Times New Roman"/>
          <w:color w:val="000000" w:themeColor="text1"/>
        </w:rPr>
        <w:t>过渡地区，年降水量比较充沛。由于北部大巴山为其屏障，西北寒冷空气不易侵入，固境内南部地区具有气候温和，春暖雨早，夏热少雨伏旱，秋多</w:t>
      </w:r>
      <w:proofErr w:type="gramStart"/>
      <w:r w:rsidRPr="008A2411">
        <w:rPr>
          <w:rFonts w:ascii="Times New Roman"/>
          <w:color w:val="000000" w:themeColor="text1"/>
        </w:rPr>
        <w:t>绵</w:t>
      </w:r>
      <w:proofErr w:type="gramEnd"/>
      <w:r w:rsidRPr="008A2411">
        <w:rPr>
          <w:rFonts w:ascii="Times New Roman"/>
          <w:color w:val="000000" w:themeColor="text1"/>
        </w:rPr>
        <w:t>雨，冬干少雨，无霜期长，日照较多，湿度大，雨量充沛，春、夏、秋、冬四季分明的特点。而北部山区，地势较高，气温随地势高度的上升而下降，据多点实测，每上升</w:t>
      </w:r>
      <w:r w:rsidRPr="008A2411">
        <w:rPr>
          <w:rFonts w:ascii="Times New Roman"/>
          <w:color w:val="000000" w:themeColor="text1"/>
        </w:rPr>
        <w:t>100m</w:t>
      </w:r>
      <w:r w:rsidRPr="008A2411">
        <w:rPr>
          <w:rFonts w:ascii="Times New Roman"/>
          <w:color w:val="000000" w:themeColor="text1"/>
        </w:rPr>
        <w:t>，年平均气温降低</w:t>
      </w:r>
      <w:r w:rsidRPr="008A2411">
        <w:rPr>
          <w:rFonts w:ascii="Times New Roman"/>
          <w:color w:val="000000" w:themeColor="text1"/>
        </w:rPr>
        <w:t>0.561℃</w:t>
      </w:r>
      <w:r w:rsidRPr="008A2411">
        <w:rPr>
          <w:rFonts w:ascii="Times New Roman"/>
          <w:color w:val="000000" w:themeColor="text1"/>
        </w:rPr>
        <w:t>，降雨随地势升高而增大，据测每上升</w:t>
      </w:r>
      <w:r w:rsidRPr="008A2411">
        <w:rPr>
          <w:rFonts w:ascii="Times New Roman"/>
          <w:color w:val="000000" w:themeColor="text1"/>
        </w:rPr>
        <w:t>100m</w:t>
      </w:r>
      <w:r w:rsidRPr="008A2411">
        <w:rPr>
          <w:rFonts w:ascii="Times New Roman"/>
          <w:color w:val="000000" w:themeColor="text1"/>
        </w:rPr>
        <w:t>，增多雨量约</w:t>
      </w:r>
      <w:r w:rsidRPr="008A2411">
        <w:rPr>
          <w:rFonts w:ascii="Times New Roman"/>
          <w:color w:val="000000" w:themeColor="text1"/>
        </w:rPr>
        <w:t>36mm</w:t>
      </w:r>
      <w:r w:rsidRPr="008A2411">
        <w:rPr>
          <w:rFonts w:ascii="Times New Roman"/>
          <w:color w:val="000000" w:themeColor="text1"/>
        </w:rPr>
        <w:t>。北部山地区具有春迟、</w:t>
      </w:r>
      <w:r w:rsidRPr="008A2411">
        <w:rPr>
          <w:rFonts w:ascii="Times New Roman"/>
          <w:color w:val="000000" w:themeColor="text1"/>
        </w:rPr>
        <w:lastRenderedPageBreak/>
        <w:t>秋早、冬长、夏秋短的特点。不利于农业生产的灾害天气，主要是夏伏旱，其次洪涝、冰雹等。</w:t>
      </w:r>
    </w:p>
    <w:p w14:paraId="6D932584" w14:textId="77777777" w:rsidR="00B0005F" w:rsidRPr="008A2411" w:rsidRDefault="00000000">
      <w:pPr>
        <w:adjustRightInd w:val="0"/>
        <w:snapToGrid w:val="0"/>
        <w:spacing w:line="360" w:lineRule="auto"/>
        <w:ind w:firstLineChars="200" w:firstLine="480"/>
        <w:rPr>
          <w:rFonts w:ascii="Times New Roman"/>
          <w:bCs/>
          <w:color w:val="000000" w:themeColor="text1"/>
        </w:rPr>
      </w:pPr>
      <w:r w:rsidRPr="008A2411">
        <w:rPr>
          <w:rFonts w:ascii="Times New Roman"/>
          <w:color w:val="000000" w:themeColor="text1"/>
        </w:rPr>
        <w:t>宣汉县主要为亚热带湿润季风气候，但由于立体地貌构成了立体气候特征，具有北亚热带和南温带气候特征。根据宣汉县气象统计资料，全年平均气温在</w:t>
      </w:r>
      <w:r w:rsidRPr="008A2411">
        <w:rPr>
          <w:rFonts w:ascii="Times New Roman"/>
          <w:color w:val="000000" w:themeColor="text1"/>
        </w:rPr>
        <w:t>8.0-17.3℃</w:t>
      </w:r>
      <w:r w:rsidRPr="008A2411">
        <w:rPr>
          <w:rFonts w:ascii="Times New Roman"/>
          <w:color w:val="000000" w:themeColor="text1"/>
        </w:rPr>
        <w:t>。月平均气温</w:t>
      </w:r>
      <w:r w:rsidRPr="008A2411">
        <w:rPr>
          <w:rFonts w:ascii="Times New Roman"/>
          <w:color w:val="000000" w:themeColor="text1"/>
        </w:rPr>
        <w:t>7</w:t>
      </w:r>
      <w:r w:rsidRPr="008A2411">
        <w:rPr>
          <w:rFonts w:ascii="Times New Roman"/>
          <w:color w:val="000000" w:themeColor="text1"/>
        </w:rPr>
        <w:t>月最高，达</w:t>
      </w:r>
      <w:r w:rsidRPr="008A2411">
        <w:rPr>
          <w:rFonts w:ascii="Times New Roman"/>
          <w:color w:val="000000" w:themeColor="text1"/>
        </w:rPr>
        <w:t>27.6℃</w:t>
      </w:r>
      <w:r w:rsidRPr="008A2411">
        <w:rPr>
          <w:rFonts w:ascii="Times New Roman"/>
          <w:color w:val="000000" w:themeColor="text1"/>
        </w:rPr>
        <w:t>，</w:t>
      </w:r>
      <w:r w:rsidRPr="008A2411">
        <w:rPr>
          <w:rFonts w:ascii="Times New Roman"/>
          <w:color w:val="000000" w:themeColor="text1"/>
        </w:rPr>
        <w:t>1</w:t>
      </w:r>
      <w:r w:rsidRPr="008A2411">
        <w:rPr>
          <w:rFonts w:ascii="Times New Roman"/>
          <w:color w:val="000000" w:themeColor="text1"/>
        </w:rPr>
        <w:t>月最低，达</w:t>
      </w:r>
      <w:r w:rsidRPr="008A2411">
        <w:rPr>
          <w:rFonts w:ascii="Times New Roman"/>
          <w:color w:val="000000" w:themeColor="text1"/>
        </w:rPr>
        <w:t xml:space="preserve"> 5.6℃</w:t>
      </w:r>
      <w:r w:rsidRPr="008A2411">
        <w:rPr>
          <w:rFonts w:ascii="Times New Roman"/>
          <w:color w:val="000000" w:themeColor="text1"/>
        </w:rPr>
        <w:t>，极端最高气温</w:t>
      </w:r>
      <w:r w:rsidRPr="008A2411">
        <w:rPr>
          <w:rFonts w:ascii="Times New Roman"/>
          <w:color w:val="000000" w:themeColor="text1"/>
        </w:rPr>
        <w:t>41.3℃</w:t>
      </w:r>
      <w:r w:rsidRPr="008A2411">
        <w:rPr>
          <w:rFonts w:ascii="Times New Roman"/>
          <w:color w:val="000000" w:themeColor="text1"/>
        </w:rPr>
        <w:t>（</w:t>
      </w:r>
      <w:r w:rsidRPr="008A2411">
        <w:rPr>
          <w:rFonts w:ascii="Times New Roman"/>
          <w:color w:val="000000" w:themeColor="text1"/>
        </w:rPr>
        <w:t>1959</w:t>
      </w:r>
      <w:r w:rsidRPr="008A2411">
        <w:rPr>
          <w:rFonts w:ascii="Times New Roman"/>
          <w:color w:val="000000" w:themeColor="text1"/>
        </w:rPr>
        <w:t>年</w:t>
      </w:r>
      <w:r w:rsidRPr="008A2411">
        <w:rPr>
          <w:rFonts w:ascii="Times New Roman"/>
          <w:color w:val="000000" w:themeColor="text1"/>
        </w:rPr>
        <w:t>8</w:t>
      </w:r>
      <w:r w:rsidRPr="008A2411">
        <w:rPr>
          <w:rFonts w:ascii="Times New Roman"/>
          <w:color w:val="000000" w:themeColor="text1"/>
        </w:rPr>
        <w:t>月</w:t>
      </w:r>
      <w:r w:rsidRPr="008A2411">
        <w:rPr>
          <w:rFonts w:ascii="Times New Roman"/>
          <w:color w:val="000000" w:themeColor="text1"/>
        </w:rPr>
        <w:t>24</w:t>
      </w:r>
      <w:r w:rsidRPr="008A2411">
        <w:rPr>
          <w:rFonts w:ascii="Times New Roman"/>
          <w:color w:val="000000" w:themeColor="text1"/>
        </w:rPr>
        <w:t>日），极端最低气温</w:t>
      </w:r>
      <w:r w:rsidRPr="008A2411">
        <w:rPr>
          <w:rFonts w:ascii="Times New Roman"/>
          <w:color w:val="000000" w:themeColor="text1"/>
        </w:rPr>
        <w:t>-4.3℃</w:t>
      </w:r>
      <w:r w:rsidRPr="008A2411">
        <w:rPr>
          <w:rFonts w:ascii="Times New Roman"/>
          <w:color w:val="000000" w:themeColor="text1"/>
        </w:rPr>
        <w:t>（</w:t>
      </w:r>
      <w:r w:rsidRPr="008A2411">
        <w:rPr>
          <w:rFonts w:ascii="Times New Roman"/>
          <w:color w:val="000000" w:themeColor="text1"/>
        </w:rPr>
        <w:t>1975</w:t>
      </w:r>
      <w:r w:rsidRPr="008A2411">
        <w:rPr>
          <w:rFonts w:ascii="Times New Roman"/>
          <w:color w:val="000000" w:themeColor="text1"/>
        </w:rPr>
        <w:t>年</w:t>
      </w:r>
      <w:r w:rsidRPr="008A2411">
        <w:rPr>
          <w:rFonts w:ascii="Times New Roman"/>
          <w:color w:val="000000" w:themeColor="text1"/>
        </w:rPr>
        <w:t>2</w:t>
      </w:r>
      <w:r w:rsidRPr="008A2411">
        <w:rPr>
          <w:rFonts w:ascii="Times New Roman"/>
          <w:color w:val="000000" w:themeColor="text1"/>
        </w:rPr>
        <w:t>月</w:t>
      </w:r>
      <w:r w:rsidRPr="008A2411">
        <w:rPr>
          <w:rFonts w:ascii="Times New Roman"/>
          <w:color w:val="000000" w:themeColor="text1"/>
        </w:rPr>
        <w:t>15</w:t>
      </w:r>
      <w:r w:rsidRPr="008A2411">
        <w:rPr>
          <w:rFonts w:ascii="Times New Roman"/>
          <w:color w:val="000000" w:themeColor="text1"/>
        </w:rPr>
        <w:t>日），多年平均最高气温</w:t>
      </w:r>
      <w:r w:rsidRPr="008A2411">
        <w:rPr>
          <w:rFonts w:ascii="Times New Roman"/>
          <w:color w:val="000000" w:themeColor="text1"/>
        </w:rPr>
        <w:t>38℃</w:t>
      </w:r>
      <w:r w:rsidRPr="008A2411">
        <w:rPr>
          <w:rFonts w:ascii="Times New Roman"/>
          <w:color w:val="000000" w:themeColor="text1"/>
        </w:rPr>
        <w:t>，多年平均最低气温－</w:t>
      </w:r>
      <w:r w:rsidRPr="008A2411">
        <w:rPr>
          <w:rFonts w:ascii="Times New Roman"/>
          <w:color w:val="000000" w:themeColor="text1"/>
        </w:rPr>
        <w:t>2.5℃</w:t>
      </w:r>
      <w:r w:rsidRPr="008A2411">
        <w:rPr>
          <w:rFonts w:ascii="Times New Roman"/>
          <w:color w:val="000000" w:themeColor="text1"/>
        </w:rPr>
        <w:t>；区内多年平均降雨量</w:t>
      </w:r>
      <w:r w:rsidRPr="008A2411">
        <w:rPr>
          <w:rFonts w:ascii="Times New Roman"/>
          <w:color w:val="000000" w:themeColor="text1"/>
        </w:rPr>
        <w:t>1213.5mm</w:t>
      </w:r>
      <w:r w:rsidRPr="008A2411">
        <w:rPr>
          <w:rFonts w:ascii="Times New Roman"/>
          <w:color w:val="000000" w:themeColor="text1"/>
        </w:rPr>
        <w:t>，最高降雨量为</w:t>
      </w:r>
      <w:r w:rsidRPr="008A2411">
        <w:rPr>
          <w:rFonts w:ascii="Times New Roman"/>
          <w:color w:val="000000" w:themeColor="text1"/>
        </w:rPr>
        <w:t>1698mm</w:t>
      </w:r>
      <w:r w:rsidRPr="008A2411">
        <w:rPr>
          <w:rFonts w:ascii="Times New Roman"/>
          <w:color w:val="000000" w:themeColor="text1"/>
        </w:rPr>
        <w:t>（</w:t>
      </w:r>
      <w:r w:rsidRPr="008A2411">
        <w:rPr>
          <w:rFonts w:ascii="Times New Roman"/>
          <w:color w:val="000000" w:themeColor="text1"/>
        </w:rPr>
        <w:t>1958</w:t>
      </w:r>
      <w:r w:rsidRPr="008A2411">
        <w:rPr>
          <w:rFonts w:ascii="Times New Roman"/>
          <w:color w:val="000000" w:themeColor="text1"/>
        </w:rPr>
        <w:t>年），最低降雨量为</w:t>
      </w:r>
      <w:r w:rsidRPr="008A2411">
        <w:rPr>
          <w:rFonts w:ascii="Times New Roman"/>
          <w:color w:val="000000" w:themeColor="text1"/>
        </w:rPr>
        <w:t>865.9mm</w:t>
      </w:r>
      <w:r w:rsidRPr="008A2411">
        <w:rPr>
          <w:rFonts w:ascii="Times New Roman"/>
          <w:color w:val="000000" w:themeColor="text1"/>
        </w:rPr>
        <w:t>（</w:t>
      </w:r>
      <w:r w:rsidRPr="008A2411">
        <w:rPr>
          <w:rFonts w:ascii="Times New Roman"/>
          <w:color w:val="000000" w:themeColor="text1"/>
        </w:rPr>
        <w:t>1966</w:t>
      </w:r>
      <w:r w:rsidRPr="008A2411">
        <w:rPr>
          <w:rFonts w:ascii="Times New Roman"/>
          <w:color w:val="000000" w:themeColor="text1"/>
        </w:rPr>
        <w:t>年），降雨主要集中分布于</w:t>
      </w:r>
      <w:r w:rsidRPr="008A2411">
        <w:rPr>
          <w:rFonts w:ascii="Times New Roman"/>
          <w:color w:val="000000" w:themeColor="text1"/>
        </w:rPr>
        <w:t>5-10</w:t>
      </w:r>
      <w:r w:rsidRPr="008A2411">
        <w:rPr>
          <w:rFonts w:ascii="Times New Roman"/>
          <w:color w:val="000000" w:themeColor="text1"/>
        </w:rPr>
        <w:t>月，占年降雨量</w:t>
      </w:r>
      <w:r w:rsidRPr="008A2411">
        <w:rPr>
          <w:rFonts w:ascii="Times New Roman"/>
          <w:color w:val="000000" w:themeColor="text1"/>
        </w:rPr>
        <w:t>70%</w:t>
      </w:r>
      <w:r w:rsidRPr="008A2411">
        <w:rPr>
          <w:rFonts w:ascii="Times New Roman"/>
          <w:color w:val="000000" w:themeColor="text1"/>
        </w:rPr>
        <w:t>左右；十年一遇</w:t>
      </w:r>
      <w:r w:rsidRPr="008A2411">
        <w:rPr>
          <w:rFonts w:ascii="Times New Roman"/>
          <w:color w:val="000000" w:themeColor="text1"/>
        </w:rPr>
        <w:t>24h</w:t>
      </w:r>
      <w:r w:rsidRPr="008A2411">
        <w:rPr>
          <w:rFonts w:ascii="Times New Roman"/>
          <w:color w:val="000000" w:themeColor="text1"/>
        </w:rPr>
        <w:t>最大降雨量</w:t>
      </w:r>
      <w:r w:rsidRPr="008A2411">
        <w:rPr>
          <w:rFonts w:ascii="Times New Roman"/>
          <w:color w:val="000000" w:themeColor="text1"/>
        </w:rPr>
        <w:t>240mm</w:t>
      </w:r>
      <w:r w:rsidRPr="008A2411">
        <w:rPr>
          <w:rFonts w:ascii="Times New Roman"/>
          <w:color w:val="000000" w:themeColor="text1"/>
        </w:rPr>
        <w:t>，十年一遇最大</w:t>
      </w:r>
      <w:r w:rsidRPr="008A2411">
        <w:rPr>
          <w:rFonts w:ascii="Times New Roman"/>
          <w:color w:val="000000" w:themeColor="text1"/>
        </w:rPr>
        <w:t>3h</w:t>
      </w:r>
      <w:r w:rsidRPr="008A2411">
        <w:rPr>
          <w:rFonts w:ascii="Times New Roman"/>
          <w:color w:val="000000" w:themeColor="text1"/>
        </w:rPr>
        <w:t>降雨量</w:t>
      </w:r>
      <w:r w:rsidRPr="008A2411">
        <w:rPr>
          <w:rFonts w:ascii="Times New Roman"/>
          <w:color w:val="000000" w:themeColor="text1"/>
        </w:rPr>
        <w:t>115.6mm</w:t>
      </w:r>
      <w:r w:rsidRPr="008A2411">
        <w:rPr>
          <w:rFonts w:ascii="Times New Roman"/>
          <w:color w:val="000000" w:themeColor="text1"/>
        </w:rPr>
        <w:t>，二十年一遇</w:t>
      </w:r>
      <w:r w:rsidRPr="008A2411">
        <w:rPr>
          <w:rFonts w:ascii="Times New Roman"/>
          <w:color w:val="000000" w:themeColor="text1"/>
        </w:rPr>
        <w:t>24h</w:t>
      </w:r>
      <w:r w:rsidRPr="008A2411">
        <w:rPr>
          <w:rFonts w:ascii="Times New Roman"/>
          <w:color w:val="000000" w:themeColor="text1"/>
        </w:rPr>
        <w:t>最大降雨量</w:t>
      </w:r>
      <w:r w:rsidRPr="008A2411">
        <w:rPr>
          <w:rFonts w:ascii="Times New Roman"/>
          <w:color w:val="000000" w:themeColor="text1"/>
        </w:rPr>
        <w:t>300mm</w:t>
      </w:r>
      <w:r w:rsidRPr="008A2411">
        <w:rPr>
          <w:rFonts w:ascii="Times New Roman"/>
          <w:color w:val="000000" w:themeColor="text1"/>
        </w:rPr>
        <w:t>，最大三日降雨量</w:t>
      </w:r>
      <w:r w:rsidRPr="008A2411">
        <w:rPr>
          <w:rFonts w:ascii="Times New Roman"/>
          <w:color w:val="000000" w:themeColor="text1"/>
        </w:rPr>
        <w:t>335.9mm</w:t>
      </w:r>
      <w:r w:rsidRPr="008A2411">
        <w:rPr>
          <w:rFonts w:ascii="Times New Roman"/>
          <w:color w:val="000000" w:themeColor="text1"/>
        </w:rPr>
        <w:t>，最大</w:t>
      </w:r>
      <w:r w:rsidRPr="008A2411">
        <w:rPr>
          <w:rFonts w:ascii="Times New Roman"/>
          <w:color w:val="000000" w:themeColor="text1"/>
        </w:rPr>
        <w:t>1h</w:t>
      </w:r>
      <w:r w:rsidRPr="008A2411">
        <w:rPr>
          <w:rFonts w:ascii="Times New Roman"/>
          <w:color w:val="000000" w:themeColor="text1"/>
        </w:rPr>
        <w:t>降雨量为</w:t>
      </w:r>
      <w:r w:rsidRPr="008A2411">
        <w:rPr>
          <w:rFonts w:ascii="Times New Roman"/>
          <w:color w:val="000000" w:themeColor="text1"/>
        </w:rPr>
        <w:t>54.4mm</w:t>
      </w:r>
      <w:r w:rsidRPr="008A2411">
        <w:rPr>
          <w:rFonts w:ascii="Times New Roman"/>
          <w:color w:val="000000" w:themeColor="text1"/>
        </w:rPr>
        <w:t>，全年平均雨日</w:t>
      </w:r>
      <w:r w:rsidRPr="008A2411">
        <w:rPr>
          <w:rFonts w:ascii="Times New Roman"/>
          <w:color w:val="000000" w:themeColor="text1"/>
        </w:rPr>
        <w:t>143</w:t>
      </w:r>
      <w:r w:rsidRPr="008A2411">
        <w:rPr>
          <w:rFonts w:ascii="Times New Roman"/>
          <w:color w:val="000000" w:themeColor="text1"/>
        </w:rPr>
        <w:t>天。年平均相对湿度</w:t>
      </w:r>
      <w:r w:rsidRPr="008A2411">
        <w:rPr>
          <w:rFonts w:ascii="Times New Roman"/>
          <w:color w:val="000000" w:themeColor="text1"/>
        </w:rPr>
        <w:t>1-3</w:t>
      </w:r>
      <w:r w:rsidRPr="008A2411">
        <w:rPr>
          <w:rFonts w:ascii="Times New Roman"/>
          <w:color w:val="000000" w:themeColor="text1"/>
        </w:rPr>
        <w:t>月份为</w:t>
      </w:r>
      <w:r w:rsidRPr="008A2411">
        <w:rPr>
          <w:rFonts w:ascii="Times New Roman"/>
          <w:color w:val="000000" w:themeColor="text1"/>
        </w:rPr>
        <w:t>77-72</w:t>
      </w:r>
      <w:r w:rsidRPr="008A2411">
        <w:rPr>
          <w:rFonts w:ascii="Times New Roman"/>
          <w:color w:val="000000" w:themeColor="text1"/>
        </w:rPr>
        <w:t>％，</w:t>
      </w:r>
      <w:r w:rsidRPr="008A2411">
        <w:rPr>
          <w:rFonts w:ascii="Times New Roman"/>
          <w:color w:val="000000" w:themeColor="text1"/>
        </w:rPr>
        <w:t>6-9</w:t>
      </w:r>
      <w:r w:rsidRPr="008A2411">
        <w:rPr>
          <w:rFonts w:ascii="Times New Roman"/>
          <w:color w:val="000000" w:themeColor="text1"/>
        </w:rPr>
        <w:t>月份为</w:t>
      </w:r>
      <w:r w:rsidRPr="008A2411">
        <w:rPr>
          <w:rFonts w:ascii="Times New Roman"/>
          <w:color w:val="000000" w:themeColor="text1"/>
        </w:rPr>
        <w:t>79-84</w:t>
      </w:r>
      <w:r w:rsidRPr="008A2411">
        <w:rPr>
          <w:rFonts w:ascii="Times New Roman"/>
          <w:color w:val="000000" w:themeColor="text1"/>
        </w:rPr>
        <w:t>％。年蒸发量为</w:t>
      </w:r>
      <w:r w:rsidRPr="008A2411">
        <w:rPr>
          <w:rFonts w:ascii="Times New Roman"/>
          <w:color w:val="000000" w:themeColor="text1"/>
        </w:rPr>
        <w:t>1215.9mm</w:t>
      </w:r>
      <w:r w:rsidRPr="008A2411">
        <w:rPr>
          <w:rFonts w:ascii="Times New Roman"/>
          <w:color w:val="000000" w:themeColor="text1"/>
        </w:rPr>
        <w:t>，无霜期达</w:t>
      </w:r>
      <w:r w:rsidRPr="008A2411">
        <w:rPr>
          <w:rFonts w:ascii="Times New Roman"/>
          <w:color w:val="000000" w:themeColor="text1"/>
        </w:rPr>
        <w:t>210</w:t>
      </w:r>
      <w:r w:rsidRPr="008A2411">
        <w:rPr>
          <w:rFonts w:ascii="Times New Roman"/>
          <w:color w:val="000000" w:themeColor="text1"/>
        </w:rPr>
        <w:t>天。夏季主导风向及频率：</w:t>
      </w:r>
      <w:r w:rsidRPr="008A2411">
        <w:rPr>
          <w:rFonts w:ascii="Times New Roman"/>
          <w:color w:val="000000" w:themeColor="text1"/>
        </w:rPr>
        <w:t>NE</w:t>
      </w:r>
      <w:r w:rsidRPr="008A2411">
        <w:rPr>
          <w:rFonts w:ascii="Times New Roman"/>
          <w:color w:val="000000" w:themeColor="text1"/>
        </w:rPr>
        <w:t>，</w:t>
      </w:r>
      <w:r w:rsidRPr="008A2411">
        <w:rPr>
          <w:rFonts w:ascii="Times New Roman"/>
          <w:color w:val="000000" w:themeColor="text1"/>
        </w:rPr>
        <w:t>26</w:t>
      </w:r>
      <w:r w:rsidRPr="008A2411">
        <w:rPr>
          <w:rFonts w:ascii="Times New Roman"/>
          <w:color w:val="000000" w:themeColor="text1"/>
        </w:rPr>
        <w:t>％；冬季主导风向及频率：</w:t>
      </w:r>
      <w:r w:rsidRPr="008A2411">
        <w:rPr>
          <w:rFonts w:ascii="Times New Roman"/>
          <w:color w:val="000000" w:themeColor="text1"/>
        </w:rPr>
        <w:t>NNE</w:t>
      </w:r>
      <w:r w:rsidRPr="008A2411">
        <w:rPr>
          <w:rFonts w:ascii="Times New Roman"/>
          <w:color w:val="000000" w:themeColor="text1"/>
        </w:rPr>
        <w:t>，</w:t>
      </w:r>
      <w:r w:rsidRPr="008A2411">
        <w:rPr>
          <w:rFonts w:ascii="Times New Roman"/>
          <w:color w:val="000000" w:themeColor="text1"/>
        </w:rPr>
        <w:t>18</w:t>
      </w:r>
      <w:r w:rsidRPr="008A2411">
        <w:rPr>
          <w:rFonts w:ascii="Times New Roman"/>
          <w:color w:val="000000" w:themeColor="text1"/>
        </w:rPr>
        <w:t>％；全年各月份均有发生</w:t>
      </w:r>
      <w:r w:rsidRPr="008A2411">
        <w:rPr>
          <w:rFonts w:ascii="Times New Roman"/>
          <w:color w:val="000000" w:themeColor="text1"/>
        </w:rPr>
        <w:t>8</w:t>
      </w:r>
      <w:r w:rsidRPr="008A2411">
        <w:rPr>
          <w:rFonts w:ascii="Times New Roman"/>
          <w:color w:val="000000" w:themeColor="text1"/>
        </w:rPr>
        <w:t>级以上雷雨大风或寒潮大风天气</w:t>
      </w:r>
      <w:r w:rsidRPr="008A2411">
        <w:rPr>
          <w:rFonts w:ascii="Times New Roman"/>
          <w:bCs/>
          <w:color w:val="000000" w:themeColor="text1"/>
        </w:rPr>
        <w:t>。</w:t>
      </w:r>
    </w:p>
    <w:p w14:paraId="41133AF4" w14:textId="77777777" w:rsidR="00B0005F" w:rsidRPr="008A2411" w:rsidRDefault="00000000">
      <w:pPr>
        <w:pStyle w:val="af8"/>
        <w:spacing w:line="500" w:lineRule="exact"/>
        <w:jc w:val="center"/>
        <w:rPr>
          <w:rFonts w:ascii="Times New Roman" w:hAnsi="Times New Roman" w:cs="Times New Roman"/>
          <w:color w:val="000000" w:themeColor="text1"/>
          <w:sz w:val="24"/>
          <w:szCs w:val="24"/>
        </w:rPr>
      </w:pPr>
      <w:bookmarkStart w:id="240" w:name="_Ref144268944"/>
      <w:r w:rsidRPr="008A2411">
        <w:rPr>
          <w:rFonts w:ascii="Times New Roman" w:hAnsi="Times New Roman" w:cs="Times New Roman"/>
          <w:color w:val="000000" w:themeColor="text1"/>
          <w:sz w:val="24"/>
          <w:szCs w:val="24"/>
        </w:rPr>
        <w:t>表</w:t>
      </w:r>
      <w:r w:rsidRPr="008A2411">
        <w:rPr>
          <w:rFonts w:ascii="Times New Roman" w:hAnsi="Times New Roman" w:cs="Times New Roman"/>
          <w:color w:val="000000" w:themeColor="text1"/>
          <w:sz w:val="24"/>
          <w:szCs w:val="24"/>
        </w:rPr>
        <w:t>4.1-</w:t>
      </w:r>
      <w:bookmarkEnd w:id="240"/>
      <w:r w:rsidRPr="008A2411">
        <w:rPr>
          <w:rFonts w:ascii="Times New Roman" w:hAnsi="Times New Roman" w:cs="Times New Roman"/>
          <w:color w:val="000000" w:themeColor="text1"/>
          <w:sz w:val="24"/>
          <w:szCs w:val="24"/>
        </w:rPr>
        <w:t xml:space="preserve">1  </w:t>
      </w:r>
      <w:r w:rsidRPr="008A2411">
        <w:rPr>
          <w:rFonts w:ascii="Times New Roman" w:hAnsi="Times New Roman" w:cs="Times New Roman"/>
          <w:color w:val="000000" w:themeColor="text1"/>
          <w:sz w:val="24"/>
          <w:szCs w:val="24"/>
        </w:rPr>
        <w:t>宣汉县主要气象参数表</w:t>
      </w:r>
    </w:p>
    <w:tbl>
      <w:tblPr>
        <w:tblW w:w="8225" w:type="dxa"/>
        <w:jc w:val="center"/>
        <w:tblBorders>
          <w:top w:val="single" w:sz="4" w:space="0" w:color="auto"/>
          <w:left w:val="single" w:sz="4" w:space="0" w:color="auto"/>
          <w:bottom w:val="single" w:sz="4" w:space="0" w:color="auto"/>
          <w:right w:val="single" w:sz="4" w:space="0" w:color="auto"/>
          <w:insideH w:val="single" w:sz="6" w:space="0" w:color="000000"/>
          <w:insideV w:val="single" w:sz="6" w:space="0" w:color="000000"/>
        </w:tblBorders>
        <w:tblLayout w:type="fixed"/>
        <w:tblLook w:val="04A0" w:firstRow="1" w:lastRow="0" w:firstColumn="1" w:lastColumn="0" w:noHBand="0" w:noVBand="1"/>
      </w:tblPr>
      <w:tblGrid>
        <w:gridCol w:w="789"/>
        <w:gridCol w:w="1861"/>
        <w:gridCol w:w="306"/>
        <w:gridCol w:w="2169"/>
        <w:gridCol w:w="1242"/>
        <w:gridCol w:w="1858"/>
      </w:tblGrid>
      <w:tr w:rsidR="008A2411" w:rsidRPr="008A2411" w14:paraId="0B885C2A" w14:textId="77777777">
        <w:trPr>
          <w:trHeight w:val="314"/>
          <w:jc w:val="center"/>
        </w:trPr>
        <w:tc>
          <w:tcPr>
            <w:tcW w:w="789" w:type="dxa"/>
            <w:vAlign w:val="center"/>
          </w:tcPr>
          <w:p w14:paraId="19C9822D"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序号</w:t>
            </w:r>
          </w:p>
        </w:tc>
        <w:tc>
          <w:tcPr>
            <w:tcW w:w="4336" w:type="dxa"/>
            <w:gridSpan w:val="3"/>
            <w:vAlign w:val="center"/>
          </w:tcPr>
          <w:p w14:paraId="6293C286"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气象要素</w:t>
            </w:r>
          </w:p>
        </w:tc>
        <w:tc>
          <w:tcPr>
            <w:tcW w:w="1242" w:type="dxa"/>
            <w:vAlign w:val="center"/>
          </w:tcPr>
          <w:p w14:paraId="599A8823"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单位</w:t>
            </w:r>
          </w:p>
        </w:tc>
        <w:tc>
          <w:tcPr>
            <w:tcW w:w="1858" w:type="dxa"/>
            <w:vAlign w:val="center"/>
          </w:tcPr>
          <w:p w14:paraId="1865916A"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数值</w:t>
            </w:r>
          </w:p>
        </w:tc>
      </w:tr>
      <w:tr w:rsidR="008A2411" w:rsidRPr="008A2411" w14:paraId="2AB686C1" w14:textId="77777777">
        <w:trPr>
          <w:trHeight w:val="328"/>
          <w:jc w:val="center"/>
        </w:trPr>
        <w:tc>
          <w:tcPr>
            <w:tcW w:w="789" w:type="dxa"/>
            <w:vMerge w:val="restart"/>
            <w:vAlign w:val="center"/>
          </w:tcPr>
          <w:p w14:paraId="094463C5"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1</w:t>
            </w:r>
          </w:p>
        </w:tc>
        <w:tc>
          <w:tcPr>
            <w:tcW w:w="1861" w:type="dxa"/>
            <w:vMerge w:val="restart"/>
            <w:vAlign w:val="center"/>
          </w:tcPr>
          <w:p w14:paraId="1FB42C00"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气温</w:t>
            </w:r>
          </w:p>
        </w:tc>
        <w:tc>
          <w:tcPr>
            <w:tcW w:w="2475" w:type="dxa"/>
            <w:gridSpan w:val="2"/>
            <w:vAlign w:val="center"/>
          </w:tcPr>
          <w:p w14:paraId="5E08AEA6"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多年平均气温</w:t>
            </w:r>
          </w:p>
        </w:tc>
        <w:tc>
          <w:tcPr>
            <w:tcW w:w="1242" w:type="dxa"/>
            <w:vAlign w:val="center"/>
          </w:tcPr>
          <w:p w14:paraId="0E210E6B"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w:t>
            </w:r>
          </w:p>
        </w:tc>
        <w:tc>
          <w:tcPr>
            <w:tcW w:w="1858" w:type="dxa"/>
            <w:vAlign w:val="center"/>
          </w:tcPr>
          <w:p w14:paraId="2532D8DE"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8.0</w:t>
            </w:r>
            <w:r w:rsidRPr="008A2411">
              <w:rPr>
                <w:rFonts w:ascii="Times New Roman" w:eastAsia="宋体" w:hAnsi="Times New Roman" w:cs="Times New Roman"/>
                <w:color w:val="000000" w:themeColor="text1"/>
                <w:sz w:val="21"/>
                <w:szCs w:val="21"/>
              </w:rPr>
              <w:t>～</w:t>
            </w:r>
            <w:r w:rsidRPr="008A2411">
              <w:rPr>
                <w:rFonts w:ascii="Times New Roman" w:eastAsia="宋体" w:hAnsi="Times New Roman" w:cs="Times New Roman"/>
                <w:color w:val="000000" w:themeColor="text1"/>
                <w:sz w:val="21"/>
                <w:szCs w:val="21"/>
              </w:rPr>
              <w:t>17.3</w:t>
            </w:r>
          </w:p>
        </w:tc>
      </w:tr>
      <w:tr w:rsidR="008A2411" w:rsidRPr="008A2411" w14:paraId="626594CD" w14:textId="77777777">
        <w:trPr>
          <w:trHeight w:val="143"/>
          <w:jc w:val="center"/>
        </w:trPr>
        <w:tc>
          <w:tcPr>
            <w:tcW w:w="789" w:type="dxa"/>
            <w:vMerge/>
            <w:vAlign w:val="center"/>
          </w:tcPr>
          <w:p w14:paraId="375C663E" w14:textId="77777777" w:rsidR="00B0005F" w:rsidRPr="008A2411" w:rsidRDefault="00B0005F">
            <w:pPr>
              <w:pStyle w:val="aff9"/>
              <w:spacing w:line="320" w:lineRule="exact"/>
              <w:jc w:val="center"/>
              <w:rPr>
                <w:rFonts w:ascii="Times New Roman" w:eastAsia="宋体" w:hAnsi="Times New Roman" w:cs="Times New Roman"/>
                <w:color w:val="000000" w:themeColor="text1"/>
                <w:sz w:val="21"/>
                <w:szCs w:val="21"/>
              </w:rPr>
            </w:pPr>
          </w:p>
        </w:tc>
        <w:tc>
          <w:tcPr>
            <w:tcW w:w="1861" w:type="dxa"/>
            <w:vMerge/>
            <w:vAlign w:val="center"/>
          </w:tcPr>
          <w:p w14:paraId="6ECB20FA" w14:textId="77777777" w:rsidR="00B0005F" w:rsidRPr="008A2411" w:rsidRDefault="00B0005F">
            <w:pPr>
              <w:pStyle w:val="aff9"/>
              <w:spacing w:line="320" w:lineRule="exact"/>
              <w:jc w:val="center"/>
              <w:rPr>
                <w:rFonts w:ascii="Times New Roman" w:eastAsia="宋体" w:hAnsi="Times New Roman" w:cs="Times New Roman"/>
                <w:color w:val="000000" w:themeColor="text1"/>
                <w:sz w:val="21"/>
                <w:szCs w:val="21"/>
              </w:rPr>
            </w:pPr>
          </w:p>
        </w:tc>
        <w:tc>
          <w:tcPr>
            <w:tcW w:w="2475" w:type="dxa"/>
            <w:gridSpan w:val="2"/>
            <w:vAlign w:val="center"/>
          </w:tcPr>
          <w:p w14:paraId="01BD0977"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极端最高</w:t>
            </w:r>
          </w:p>
        </w:tc>
        <w:tc>
          <w:tcPr>
            <w:tcW w:w="1242" w:type="dxa"/>
            <w:vAlign w:val="center"/>
          </w:tcPr>
          <w:p w14:paraId="4C20CA69"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w:t>
            </w:r>
          </w:p>
        </w:tc>
        <w:tc>
          <w:tcPr>
            <w:tcW w:w="1858" w:type="dxa"/>
            <w:vAlign w:val="center"/>
          </w:tcPr>
          <w:p w14:paraId="2101F01F"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41.3</w:t>
            </w:r>
          </w:p>
        </w:tc>
      </w:tr>
      <w:tr w:rsidR="008A2411" w:rsidRPr="008A2411" w14:paraId="5BAD6BF9" w14:textId="77777777">
        <w:trPr>
          <w:trHeight w:val="143"/>
          <w:jc w:val="center"/>
        </w:trPr>
        <w:tc>
          <w:tcPr>
            <w:tcW w:w="789" w:type="dxa"/>
            <w:vMerge/>
            <w:vAlign w:val="center"/>
          </w:tcPr>
          <w:p w14:paraId="6E0A5782" w14:textId="77777777" w:rsidR="00B0005F" w:rsidRPr="008A2411" w:rsidRDefault="00B0005F">
            <w:pPr>
              <w:pStyle w:val="aff9"/>
              <w:spacing w:line="320" w:lineRule="exact"/>
              <w:jc w:val="center"/>
              <w:rPr>
                <w:rFonts w:ascii="Times New Roman" w:eastAsia="宋体" w:hAnsi="Times New Roman" w:cs="Times New Roman"/>
                <w:color w:val="000000" w:themeColor="text1"/>
                <w:sz w:val="21"/>
                <w:szCs w:val="21"/>
              </w:rPr>
            </w:pPr>
          </w:p>
        </w:tc>
        <w:tc>
          <w:tcPr>
            <w:tcW w:w="1861" w:type="dxa"/>
            <w:vMerge/>
            <w:vAlign w:val="center"/>
          </w:tcPr>
          <w:p w14:paraId="1DCC0AAB" w14:textId="77777777" w:rsidR="00B0005F" w:rsidRPr="008A2411" w:rsidRDefault="00B0005F">
            <w:pPr>
              <w:pStyle w:val="aff9"/>
              <w:spacing w:line="320" w:lineRule="exact"/>
              <w:jc w:val="center"/>
              <w:rPr>
                <w:rFonts w:ascii="Times New Roman" w:eastAsia="宋体" w:hAnsi="Times New Roman" w:cs="Times New Roman"/>
                <w:color w:val="000000" w:themeColor="text1"/>
                <w:sz w:val="21"/>
                <w:szCs w:val="21"/>
              </w:rPr>
            </w:pPr>
          </w:p>
        </w:tc>
        <w:tc>
          <w:tcPr>
            <w:tcW w:w="2475" w:type="dxa"/>
            <w:gridSpan w:val="2"/>
            <w:vAlign w:val="center"/>
          </w:tcPr>
          <w:p w14:paraId="37C20016"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极端最低</w:t>
            </w:r>
          </w:p>
        </w:tc>
        <w:tc>
          <w:tcPr>
            <w:tcW w:w="1242" w:type="dxa"/>
            <w:vAlign w:val="center"/>
          </w:tcPr>
          <w:p w14:paraId="288A2E26"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w:t>
            </w:r>
          </w:p>
        </w:tc>
        <w:tc>
          <w:tcPr>
            <w:tcW w:w="1858" w:type="dxa"/>
            <w:vAlign w:val="center"/>
          </w:tcPr>
          <w:p w14:paraId="58193FB2"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-4.3</w:t>
            </w:r>
          </w:p>
        </w:tc>
      </w:tr>
      <w:tr w:rsidR="008A2411" w:rsidRPr="008A2411" w14:paraId="7F2CEAF0" w14:textId="77777777">
        <w:trPr>
          <w:trHeight w:val="143"/>
          <w:jc w:val="center"/>
        </w:trPr>
        <w:tc>
          <w:tcPr>
            <w:tcW w:w="789" w:type="dxa"/>
            <w:vMerge/>
            <w:vAlign w:val="center"/>
          </w:tcPr>
          <w:p w14:paraId="27142745" w14:textId="77777777" w:rsidR="00B0005F" w:rsidRPr="008A2411" w:rsidRDefault="00B0005F">
            <w:pPr>
              <w:pStyle w:val="aff9"/>
              <w:spacing w:line="320" w:lineRule="exact"/>
              <w:jc w:val="center"/>
              <w:rPr>
                <w:rFonts w:ascii="Times New Roman" w:eastAsia="宋体" w:hAnsi="Times New Roman" w:cs="Times New Roman"/>
                <w:color w:val="000000" w:themeColor="text1"/>
                <w:sz w:val="21"/>
                <w:szCs w:val="21"/>
              </w:rPr>
            </w:pPr>
          </w:p>
        </w:tc>
        <w:tc>
          <w:tcPr>
            <w:tcW w:w="1861" w:type="dxa"/>
            <w:vMerge/>
            <w:vAlign w:val="center"/>
          </w:tcPr>
          <w:p w14:paraId="4B33468D" w14:textId="77777777" w:rsidR="00B0005F" w:rsidRPr="008A2411" w:rsidRDefault="00B0005F">
            <w:pPr>
              <w:pStyle w:val="aff9"/>
              <w:spacing w:line="320" w:lineRule="exact"/>
              <w:jc w:val="center"/>
              <w:rPr>
                <w:rFonts w:ascii="Times New Roman" w:eastAsia="宋体" w:hAnsi="Times New Roman" w:cs="Times New Roman"/>
                <w:color w:val="000000" w:themeColor="text1"/>
                <w:sz w:val="21"/>
                <w:szCs w:val="21"/>
              </w:rPr>
            </w:pPr>
          </w:p>
        </w:tc>
        <w:tc>
          <w:tcPr>
            <w:tcW w:w="2475" w:type="dxa"/>
            <w:gridSpan w:val="2"/>
            <w:vAlign w:val="center"/>
          </w:tcPr>
          <w:p w14:paraId="092669D1"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年均最高气温</w:t>
            </w:r>
          </w:p>
        </w:tc>
        <w:tc>
          <w:tcPr>
            <w:tcW w:w="1242" w:type="dxa"/>
            <w:vAlign w:val="center"/>
          </w:tcPr>
          <w:p w14:paraId="21B61B31"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w:t>
            </w:r>
          </w:p>
        </w:tc>
        <w:tc>
          <w:tcPr>
            <w:tcW w:w="1858" w:type="dxa"/>
            <w:vAlign w:val="center"/>
          </w:tcPr>
          <w:p w14:paraId="623DFD57"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38</w:t>
            </w:r>
          </w:p>
        </w:tc>
      </w:tr>
      <w:tr w:rsidR="008A2411" w:rsidRPr="008A2411" w14:paraId="447445D0" w14:textId="77777777">
        <w:trPr>
          <w:trHeight w:val="143"/>
          <w:jc w:val="center"/>
        </w:trPr>
        <w:tc>
          <w:tcPr>
            <w:tcW w:w="789" w:type="dxa"/>
            <w:vMerge/>
            <w:vAlign w:val="center"/>
          </w:tcPr>
          <w:p w14:paraId="793DEE72" w14:textId="77777777" w:rsidR="00B0005F" w:rsidRPr="008A2411" w:rsidRDefault="00B0005F">
            <w:pPr>
              <w:pStyle w:val="aff9"/>
              <w:spacing w:line="320" w:lineRule="exact"/>
              <w:jc w:val="center"/>
              <w:rPr>
                <w:rFonts w:ascii="Times New Roman" w:eastAsia="宋体" w:hAnsi="Times New Roman" w:cs="Times New Roman"/>
                <w:color w:val="000000" w:themeColor="text1"/>
                <w:sz w:val="21"/>
                <w:szCs w:val="21"/>
              </w:rPr>
            </w:pPr>
          </w:p>
        </w:tc>
        <w:tc>
          <w:tcPr>
            <w:tcW w:w="1861" w:type="dxa"/>
            <w:vMerge/>
            <w:vAlign w:val="center"/>
          </w:tcPr>
          <w:p w14:paraId="57F195F5" w14:textId="77777777" w:rsidR="00B0005F" w:rsidRPr="008A2411" w:rsidRDefault="00B0005F">
            <w:pPr>
              <w:pStyle w:val="aff9"/>
              <w:spacing w:line="320" w:lineRule="exact"/>
              <w:jc w:val="center"/>
              <w:rPr>
                <w:rFonts w:ascii="Times New Roman" w:eastAsia="宋体" w:hAnsi="Times New Roman" w:cs="Times New Roman"/>
                <w:color w:val="000000" w:themeColor="text1"/>
                <w:sz w:val="21"/>
                <w:szCs w:val="21"/>
              </w:rPr>
            </w:pPr>
          </w:p>
        </w:tc>
        <w:tc>
          <w:tcPr>
            <w:tcW w:w="2475" w:type="dxa"/>
            <w:gridSpan w:val="2"/>
            <w:vAlign w:val="center"/>
          </w:tcPr>
          <w:p w14:paraId="6A12AC4C"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年均最低气温</w:t>
            </w:r>
          </w:p>
        </w:tc>
        <w:tc>
          <w:tcPr>
            <w:tcW w:w="1242" w:type="dxa"/>
            <w:vAlign w:val="center"/>
          </w:tcPr>
          <w:p w14:paraId="6968C6B5"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w:t>
            </w:r>
          </w:p>
        </w:tc>
        <w:tc>
          <w:tcPr>
            <w:tcW w:w="1858" w:type="dxa"/>
            <w:vAlign w:val="center"/>
          </w:tcPr>
          <w:p w14:paraId="739C0B8E"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-2.5</w:t>
            </w:r>
          </w:p>
        </w:tc>
      </w:tr>
      <w:tr w:rsidR="008A2411" w:rsidRPr="008A2411" w14:paraId="6462D5C6" w14:textId="77777777">
        <w:trPr>
          <w:trHeight w:val="143"/>
          <w:jc w:val="center"/>
        </w:trPr>
        <w:tc>
          <w:tcPr>
            <w:tcW w:w="789" w:type="dxa"/>
            <w:vMerge/>
            <w:vAlign w:val="center"/>
          </w:tcPr>
          <w:p w14:paraId="3BA726E3" w14:textId="77777777" w:rsidR="00B0005F" w:rsidRPr="008A2411" w:rsidRDefault="00B0005F">
            <w:pPr>
              <w:pStyle w:val="aff9"/>
              <w:spacing w:line="320" w:lineRule="exact"/>
              <w:jc w:val="center"/>
              <w:rPr>
                <w:rFonts w:ascii="Times New Roman" w:eastAsia="宋体" w:hAnsi="Times New Roman" w:cs="Times New Roman"/>
                <w:color w:val="000000" w:themeColor="text1"/>
                <w:sz w:val="21"/>
                <w:szCs w:val="21"/>
              </w:rPr>
            </w:pPr>
          </w:p>
        </w:tc>
        <w:tc>
          <w:tcPr>
            <w:tcW w:w="1861" w:type="dxa"/>
            <w:vMerge/>
            <w:vAlign w:val="center"/>
          </w:tcPr>
          <w:p w14:paraId="168BA2A4" w14:textId="77777777" w:rsidR="00B0005F" w:rsidRPr="008A2411" w:rsidRDefault="00B0005F">
            <w:pPr>
              <w:pStyle w:val="aff9"/>
              <w:spacing w:line="320" w:lineRule="exact"/>
              <w:jc w:val="center"/>
              <w:rPr>
                <w:rFonts w:ascii="Times New Roman" w:eastAsia="宋体" w:hAnsi="Times New Roman" w:cs="Times New Roman"/>
                <w:color w:val="000000" w:themeColor="text1"/>
                <w:sz w:val="21"/>
                <w:szCs w:val="21"/>
              </w:rPr>
            </w:pPr>
          </w:p>
        </w:tc>
        <w:tc>
          <w:tcPr>
            <w:tcW w:w="2475" w:type="dxa"/>
            <w:gridSpan w:val="2"/>
            <w:vAlign w:val="center"/>
          </w:tcPr>
          <w:p w14:paraId="05EB2EB2"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年均</w:t>
            </w:r>
            <w:r w:rsidRPr="008A2411">
              <w:rPr>
                <w:rFonts w:ascii="Times New Roman" w:eastAsia="宋体" w:hAnsi="Times New Roman" w:cs="Times New Roman"/>
                <w:color w:val="000000" w:themeColor="text1"/>
                <w:sz w:val="21"/>
                <w:szCs w:val="21"/>
              </w:rPr>
              <w:t>≥10℃</w:t>
            </w:r>
            <w:r w:rsidRPr="008A2411">
              <w:rPr>
                <w:rFonts w:ascii="Times New Roman" w:eastAsia="宋体" w:hAnsi="Times New Roman" w:cs="Times New Roman"/>
                <w:color w:val="000000" w:themeColor="text1"/>
                <w:sz w:val="21"/>
                <w:szCs w:val="21"/>
              </w:rPr>
              <w:t>的积温</w:t>
            </w:r>
          </w:p>
        </w:tc>
        <w:tc>
          <w:tcPr>
            <w:tcW w:w="1242" w:type="dxa"/>
            <w:vAlign w:val="center"/>
          </w:tcPr>
          <w:p w14:paraId="2A6B1039"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w:t>
            </w:r>
          </w:p>
        </w:tc>
        <w:tc>
          <w:tcPr>
            <w:tcW w:w="1858" w:type="dxa"/>
            <w:vAlign w:val="center"/>
          </w:tcPr>
          <w:p w14:paraId="685A1EF7"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5800</w:t>
            </w:r>
          </w:p>
        </w:tc>
      </w:tr>
      <w:tr w:rsidR="008A2411" w:rsidRPr="008A2411" w14:paraId="035D9F56" w14:textId="77777777">
        <w:trPr>
          <w:trHeight w:val="314"/>
          <w:jc w:val="center"/>
        </w:trPr>
        <w:tc>
          <w:tcPr>
            <w:tcW w:w="789" w:type="dxa"/>
            <w:vMerge w:val="restart"/>
            <w:vAlign w:val="center"/>
          </w:tcPr>
          <w:p w14:paraId="3EB00A49"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2</w:t>
            </w:r>
          </w:p>
        </w:tc>
        <w:tc>
          <w:tcPr>
            <w:tcW w:w="1861" w:type="dxa"/>
            <w:vMerge w:val="restart"/>
            <w:vAlign w:val="center"/>
          </w:tcPr>
          <w:p w14:paraId="028767F1"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降水</w:t>
            </w:r>
          </w:p>
        </w:tc>
        <w:tc>
          <w:tcPr>
            <w:tcW w:w="2475" w:type="dxa"/>
            <w:gridSpan w:val="2"/>
            <w:vAlign w:val="center"/>
          </w:tcPr>
          <w:p w14:paraId="1FAB3EBA"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年平均降水量</w:t>
            </w:r>
          </w:p>
        </w:tc>
        <w:tc>
          <w:tcPr>
            <w:tcW w:w="1242" w:type="dxa"/>
            <w:vAlign w:val="center"/>
          </w:tcPr>
          <w:p w14:paraId="07922591"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mm</w:t>
            </w:r>
          </w:p>
        </w:tc>
        <w:tc>
          <w:tcPr>
            <w:tcW w:w="1858" w:type="dxa"/>
            <w:vAlign w:val="center"/>
          </w:tcPr>
          <w:p w14:paraId="0CB7D471"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1213.5</w:t>
            </w:r>
          </w:p>
        </w:tc>
      </w:tr>
      <w:tr w:rsidR="008A2411" w:rsidRPr="008A2411" w14:paraId="07A0EC9B" w14:textId="77777777">
        <w:trPr>
          <w:trHeight w:val="143"/>
          <w:jc w:val="center"/>
        </w:trPr>
        <w:tc>
          <w:tcPr>
            <w:tcW w:w="789" w:type="dxa"/>
            <w:vMerge/>
            <w:vAlign w:val="center"/>
          </w:tcPr>
          <w:p w14:paraId="39B66721" w14:textId="77777777" w:rsidR="00B0005F" w:rsidRPr="008A2411" w:rsidRDefault="00B0005F">
            <w:pPr>
              <w:pStyle w:val="aff9"/>
              <w:spacing w:line="320" w:lineRule="exact"/>
              <w:jc w:val="center"/>
              <w:rPr>
                <w:rFonts w:ascii="Times New Roman" w:eastAsia="宋体" w:hAnsi="Times New Roman" w:cs="Times New Roman"/>
                <w:color w:val="000000" w:themeColor="text1"/>
                <w:sz w:val="21"/>
                <w:szCs w:val="21"/>
              </w:rPr>
            </w:pPr>
          </w:p>
        </w:tc>
        <w:tc>
          <w:tcPr>
            <w:tcW w:w="1861" w:type="dxa"/>
            <w:vMerge/>
            <w:vAlign w:val="center"/>
          </w:tcPr>
          <w:p w14:paraId="259F425E" w14:textId="77777777" w:rsidR="00B0005F" w:rsidRPr="008A2411" w:rsidRDefault="00B0005F">
            <w:pPr>
              <w:pStyle w:val="aff9"/>
              <w:spacing w:line="320" w:lineRule="exact"/>
              <w:jc w:val="center"/>
              <w:rPr>
                <w:rFonts w:ascii="Times New Roman" w:eastAsia="宋体" w:hAnsi="Times New Roman" w:cs="Times New Roman"/>
                <w:color w:val="000000" w:themeColor="text1"/>
                <w:sz w:val="21"/>
                <w:szCs w:val="21"/>
              </w:rPr>
            </w:pPr>
          </w:p>
        </w:tc>
        <w:tc>
          <w:tcPr>
            <w:tcW w:w="2475" w:type="dxa"/>
            <w:gridSpan w:val="2"/>
            <w:vAlign w:val="center"/>
          </w:tcPr>
          <w:p w14:paraId="69C1E0C5"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年最大降水量</w:t>
            </w:r>
          </w:p>
        </w:tc>
        <w:tc>
          <w:tcPr>
            <w:tcW w:w="1242" w:type="dxa"/>
            <w:vAlign w:val="center"/>
          </w:tcPr>
          <w:p w14:paraId="4DD8D07D"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mm</w:t>
            </w:r>
          </w:p>
        </w:tc>
        <w:tc>
          <w:tcPr>
            <w:tcW w:w="1858" w:type="dxa"/>
            <w:vAlign w:val="center"/>
          </w:tcPr>
          <w:p w14:paraId="11C32CF8"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1698</w:t>
            </w:r>
          </w:p>
        </w:tc>
      </w:tr>
      <w:tr w:rsidR="008A2411" w:rsidRPr="008A2411" w14:paraId="1ABF8EBD" w14:textId="77777777">
        <w:trPr>
          <w:trHeight w:val="143"/>
          <w:jc w:val="center"/>
        </w:trPr>
        <w:tc>
          <w:tcPr>
            <w:tcW w:w="789" w:type="dxa"/>
            <w:vMerge/>
            <w:vAlign w:val="center"/>
          </w:tcPr>
          <w:p w14:paraId="43A1A6DD" w14:textId="77777777" w:rsidR="00B0005F" w:rsidRPr="008A2411" w:rsidRDefault="00B0005F">
            <w:pPr>
              <w:pStyle w:val="aff9"/>
              <w:spacing w:line="320" w:lineRule="exact"/>
              <w:jc w:val="center"/>
              <w:rPr>
                <w:rFonts w:ascii="Times New Roman" w:eastAsia="宋体" w:hAnsi="Times New Roman" w:cs="Times New Roman"/>
                <w:color w:val="000000" w:themeColor="text1"/>
                <w:sz w:val="21"/>
                <w:szCs w:val="21"/>
              </w:rPr>
            </w:pPr>
          </w:p>
        </w:tc>
        <w:tc>
          <w:tcPr>
            <w:tcW w:w="1861" w:type="dxa"/>
            <w:vMerge/>
            <w:vAlign w:val="center"/>
          </w:tcPr>
          <w:p w14:paraId="2B8B3ABD" w14:textId="77777777" w:rsidR="00B0005F" w:rsidRPr="008A2411" w:rsidRDefault="00B0005F">
            <w:pPr>
              <w:pStyle w:val="aff9"/>
              <w:spacing w:line="320" w:lineRule="exact"/>
              <w:jc w:val="center"/>
              <w:rPr>
                <w:rFonts w:ascii="Times New Roman" w:eastAsia="宋体" w:hAnsi="Times New Roman" w:cs="Times New Roman"/>
                <w:color w:val="000000" w:themeColor="text1"/>
                <w:sz w:val="21"/>
                <w:szCs w:val="21"/>
              </w:rPr>
            </w:pPr>
          </w:p>
        </w:tc>
        <w:tc>
          <w:tcPr>
            <w:tcW w:w="2475" w:type="dxa"/>
            <w:gridSpan w:val="2"/>
            <w:vAlign w:val="center"/>
          </w:tcPr>
          <w:p w14:paraId="17591EF5"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年最小降水量</w:t>
            </w:r>
          </w:p>
        </w:tc>
        <w:tc>
          <w:tcPr>
            <w:tcW w:w="1242" w:type="dxa"/>
            <w:vAlign w:val="center"/>
          </w:tcPr>
          <w:p w14:paraId="51055C9E"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mm</w:t>
            </w:r>
          </w:p>
        </w:tc>
        <w:tc>
          <w:tcPr>
            <w:tcW w:w="1858" w:type="dxa"/>
            <w:vAlign w:val="center"/>
          </w:tcPr>
          <w:p w14:paraId="55BEFB67"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865.9</w:t>
            </w:r>
          </w:p>
        </w:tc>
      </w:tr>
      <w:tr w:rsidR="008A2411" w:rsidRPr="008A2411" w14:paraId="28D69508" w14:textId="77777777">
        <w:trPr>
          <w:trHeight w:val="143"/>
          <w:jc w:val="center"/>
        </w:trPr>
        <w:tc>
          <w:tcPr>
            <w:tcW w:w="789" w:type="dxa"/>
            <w:vMerge/>
            <w:vAlign w:val="center"/>
          </w:tcPr>
          <w:p w14:paraId="41D3A6DA" w14:textId="77777777" w:rsidR="00B0005F" w:rsidRPr="008A2411" w:rsidRDefault="00B0005F">
            <w:pPr>
              <w:pStyle w:val="aff9"/>
              <w:spacing w:line="320" w:lineRule="exact"/>
              <w:jc w:val="center"/>
              <w:rPr>
                <w:rFonts w:ascii="Times New Roman" w:eastAsia="宋体" w:hAnsi="Times New Roman" w:cs="Times New Roman"/>
                <w:color w:val="000000" w:themeColor="text1"/>
                <w:sz w:val="21"/>
                <w:szCs w:val="21"/>
              </w:rPr>
            </w:pPr>
          </w:p>
        </w:tc>
        <w:tc>
          <w:tcPr>
            <w:tcW w:w="1861" w:type="dxa"/>
            <w:vMerge/>
            <w:vAlign w:val="center"/>
          </w:tcPr>
          <w:p w14:paraId="6FB4C9E4" w14:textId="77777777" w:rsidR="00B0005F" w:rsidRPr="008A2411" w:rsidRDefault="00B0005F">
            <w:pPr>
              <w:pStyle w:val="aff9"/>
              <w:spacing w:line="320" w:lineRule="exact"/>
              <w:jc w:val="center"/>
              <w:rPr>
                <w:rFonts w:ascii="Times New Roman" w:eastAsia="宋体" w:hAnsi="Times New Roman" w:cs="Times New Roman"/>
                <w:color w:val="000000" w:themeColor="text1"/>
                <w:sz w:val="21"/>
                <w:szCs w:val="21"/>
              </w:rPr>
            </w:pPr>
          </w:p>
        </w:tc>
        <w:tc>
          <w:tcPr>
            <w:tcW w:w="2475" w:type="dxa"/>
            <w:gridSpan w:val="2"/>
            <w:vAlign w:val="center"/>
          </w:tcPr>
          <w:p w14:paraId="05B221B9"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最大</w:t>
            </w:r>
            <w:r w:rsidRPr="008A2411">
              <w:rPr>
                <w:rFonts w:ascii="Times New Roman" w:eastAsia="宋体" w:hAnsi="Times New Roman" w:cs="Times New Roman"/>
                <w:color w:val="000000" w:themeColor="text1"/>
                <w:sz w:val="21"/>
                <w:szCs w:val="21"/>
              </w:rPr>
              <w:t>1</w:t>
            </w:r>
            <w:r w:rsidRPr="008A2411">
              <w:rPr>
                <w:rFonts w:ascii="Times New Roman" w:eastAsia="宋体" w:hAnsi="Times New Roman" w:cs="Times New Roman"/>
                <w:color w:val="000000" w:themeColor="text1"/>
                <w:sz w:val="21"/>
                <w:szCs w:val="21"/>
              </w:rPr>
              <w:t>小时降水量</w:t>
            </w:r>
          </w:p>
        </w:tc>
        <w:tc>
          <w:tcPr>
            <w:tcW w:w="1242" w:type="dxa"/>
            <w:vAlign w:val="center"/>
          </w:tcPr>
          <w:p w14:paraId="1DC46D48"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mm</w:t>
            </w:r>
          </w:p>
        </w:tc>
        <w:tc>
          <w:tcPr>
            <w:tcW w:w="1858" w:type="dxa"/>
            <w:vAlign w:val="center"/>
          </w:tcPr>
          <w:p w14:paraId="13A12A0B"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54.4</w:t>
            </w:r>
          </w:p>
        </w:tc>
      </w:tr>
      <w:tr w:rsidR="008A2411" w:rsidRPr="008A2411" w14:paraId="5FFF0547" w14:textId="77777777">
        <w:trPr>
          <w:trHeight w:val="328"/>
          <w:jc w:val="center"/>
        </w:trPr>
        <w:tc>
          <w:tcPr>
            <w:tcW w:w="789" w:type="dxa"/>
            <w:vMerge w:val="restart"/>
            <w:vAlign w:val="center"/>
          </w:tcPr>
          <w:p w14:paraId="4B200DC0"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3</w:t>
            </w:r>
          </w:p>
        </w:tc>
        <w:tc>
          <w:tcPr>
            <w:tcW w:w="1861" w:type="dxa"/>
            <w:vMerge w:val="restart"/>
            <w:vAlign w:val="center"/>
          </w:tcPr>
          <w:p w14:paraId="27BC6148"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相对湿度</w:t>
            </w:r>
          </w:p>
        </w:tc>
        <w:tc>
          <w:tcPr>
            <w:tcW w:w="2475" w:type="dxa"/>
            <w:gridSpan w:val="2"/>
            <w:vAlign w:val="center"/>
          </w:tcPr>
          <w:p w14:paraId="00ECDB88"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1</w:t>
            </w:r>
            <w:r w:rsidRPr="008A2411">
              <w:rPr>
                <w:rFonts w:ascii="Times New Roman" w:eastAsia="宋体" w:hAnsi="Times New Roman" w:cs="Times New Roman"/>
                <w:color w:val="000000" w:themeColor="text1"/>
                <w:sz w:val="21"/>
                <w:szCs w:val="21"/>
              </w:rPr>
              <w:t>～</w:t>
            </w:r>
            <w:r w:rsidRPr="008A2411">
              <w:rPr>
                <w:rFonts w:ascii="Times New Roman" w:eastAsia="宋体" w:hAnsi="Times New Roman" w:cs="Times New Roman"/>
                <w:color w:val="000000" w:themeColor="text1"/>
                <w:sz w:val="21"/>
                <w:szCs w:val="21"/>
              </w:rPr>
              <w:t>3</w:t>
            </w:r>
            <w:r w:rsidRPr="008A2411">
              <w:rPr>
                <w:rFonts w:ascii="Times New Roman" w:eastAsia="宋体" w:hAnsi="Times New Roman" w:cs="Times New Roman"/>
                <w:color w:val="000000" w:themeColor="text1"/>
                <w:sz w:val="21"/>
                <w:szCs w:val="21"/>
              </w:rPr>
              <w:t>月</w:t>
            </w:r>
          </w:p>
        </w:tc>
        <w:tc>
          <w:tcPr>
            <w:tcW w:w="1242" w:type="dxa"/>
            <w:vAlign w:val="center"/>
          </w:tcPr>
          <w:p w14:paraId="19AE91C1"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w:t>
            </w:r>
          </w:p>
        </w:tc>
        <w:tc>
          <w:tcPr>
            <w:tcW w:w="1858" w:type="dxa"/>
            <w:vAlign w:val="center"/>
          </w:tcPr>
          <w:p w14:paraId="591A4612"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72</w:t>
            </w:r>
            <w:r w:rsidRPr="008A2411">
              <w:rPr>
                <w:rFonts w:ascii="Times New Roman" w:eastAsia="宋体" w:hAnsi="Times New Roman" w:cs="Times New Roman"/>
                <w:color w:val="000000" w:themeColor="text1"/>
                <w:sz w:val="21"/>
                <w:szCs w:val="21"/>
              </w:rPr>
              <w:t>～</w:t>
            </w:r>
            <w:r w:rsidRPr="008A2411">
              <w:rPr>
                <w:rFonts w:ascii="Times New Roman" w:eastAsia="宋体" w:hAnsi="Times New Roman" w:cs="Times New Roman"/>
                <w:color w:val="000000" w:themeColor="text1"/>
                <w:sz w:val="21"/>
                <w:szCs w:val="21"/>
              </w:rPr>
              <w:t>77</w:t>
            </w:r>
          </w:p>
        </w:tc>
      </w:tr>
      <w:tr w:rsidR="008A2411" w:rsidRPr="008A2411" w14:paraId="300BA3A5" w14:textId="77777777">
        <w:trPr>
          <w:trHeight w:val="143"/>
          <w:jc w:val="center"/>
        </w:trPr>
        <w:tc>
          <w:tcPr>
            <w:tcW w:w="789" w:type="dxa"/>
            <w:vMerge/>
            <w:vAlign w:val="center"/>
          </w:tcPr>
          <w:p w14:paraId="557A6A21" w14:textId="77777777" w:rsidR="00B0005F" w:rsidRPr="008A2411" w:rsidRDefault="00B0005F">
            <w:pPr>
              <w:pStyle w:val="aff9"/>
              <w:spacing w:line="320" w:lineRule="exact"/>
              <w:jc w:val="center"/>
              <w:rPr>
                <w:rFonts w:ascii="Times New Roman" w:eastAsia="宋体" w:hAnsi="Times New Roman" w:cs="Times New Roman"/>
                <w:color w:val="000000" w:themeColor="text1"/>
                <w:sz w:val="21"/>
                <w:szCs w:val="21"/>
              </w:rPr>
            </w:pPr>
          </w:p>
        </w:tc>
        <w:tc>
          <w:tcPr>
            <w:tcW w:w="1861" w:type="dxa"/>
            <w:vMerge/>
            <w:vAlign w:val="center"/>
          </w:tcPr>
          <w:p w14:paraId="54465F0F" w14:textId="77777777" w:rsidR="00B0005F" w:rsidRPr="008A2411" w:rsidRDefault="00B0005F">
            <w:pPr>
              <w:pStyle w:val="aff9"/>
              <w:spacing w:line="320" w:lineRule="exact"/>
              <w:jc w:val="center"/>
              <w:rPr>
                <w:rFonts w:ascii="Times New Roman" w:eastAsia="宋体" w:hAnsi="Times New Roman" w:cs="Times New Roman"/>
                <w:color w:val="000000" w:themeColor="text1"/>
                <w:sz w:val="21"/>
                <w:szCs w:val="21"/>
              </w:rPr>
            </w:pPr>
          </w:p>
        </w:tc>
        <w:tc>
          <w:tcPr>
            <w:tcW w:w="2475" w:type="dxa"/>
            <w:gridSpan w:val="2"/>
            <w:vAlign w:val="center"/>
          </w:tcPr>
          <w:p w14:paraId="2AB9B1F2"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6</w:t>
            </w:r>
            <w:r w:rsidRPr="008A2411">
              <w:rPr>
                <w:rFonts w:ascii="Times New Roman" w:eastAsia="宋体" w:hAnsi="Times New Roman" w:cs="Times New Roman"/>
                <w:color w:val="000000" w:themeColor="text1"/>
                <w:sz w:val="21"/>
                <w:szCs w:val="21"/>
              </w:rPr>
              <w:t>～</w:t>
            </w:r>
            <w:r w:rsidRPr="008A2411">
              <w:rPr>
                <w:rFonts w:ascii="Times New Roman" w:eastAsia="宋体" w:hAnsi="Times New Roman" w:cs="Times New Roman"/>
                <w:color w:val="000000" w:themeColor="text1"/>
                <w:sz w:val="21"/>
                <w:szCs w:val="21"/>
              </w:rPr>
              <w:t>9</w:t>
            </w:r>
            <w:r w:rsidRPr="008A2411">
              <w:rPr>
                <w:rFonts w:ascii="Times New Roman" w:eastAsia="宋体" w:hAnsi="Times New Roman" w:cs="Times New Roman"/>
                <w:color w:val="000000" w:themeColor="text1"/>
                <w:sz w:val="21"/>
                <w:szCs w:val="21"/>
              </w:rPr>
              <w:t>月</w:t>
            </w:r>
          </w:p>
        </w:tc>
        <w:tc>
          <w:tcPr>
            <w:tcW w:w="1242" w:type="dxa"/>
            <w:vAlign w:val="center"/>
          </w:tcPr>
          <w:p w14:paraId="30EC4F2E"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w:t>
            </w:r>
          </w:p>
        </w:tc>
        <w:tc>
          <w:tcPr>
            <w:tcW w:w="1858" w:type="dxa"/>
            <w:vAlign w:val="center"/>
          </w:tcPr>
          <w:p w14:paraId="74A66F60"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79</w:t>
            </w:r>
            <w:r w:rsidRPr="008A2411">
              <w:rPr>
                <w:rFonts w:ascii="Times New Roman" w:eastAsia="宋体" w:hAnsi="Times New Roman" w:cs="Times New Roman"/>
                <w:color w:val="000000" w:themeColor="text1"/>
                <w:sz w:val="21"/>
                <w:szCs w:val="21"/>
              </w:rPr>
              <w:t>～</w:t>
            </w:r>
            <w:r w:rsidRPr="008A2411">
              <w:rPr>
                <w:rFonts w:ascii="Times New Roman" w:eastAsia="宋体" w:hAnsi="Times New Roman" w:cs="Times New Roman"/>
                <w:color w:val="000000" w:themeColor="text1"/>
                <w:sz w:val="21"/>
                <w:szCs w:val="21"/>
              </w:rPr>
              <w:t>84</w:t>
            </w:r>
          </w:p>
        </w:tc>
      </w:tr>
      <w:tr w:rsidR="008A2411" w:rsidRPr="008A2411" w14:paraId="3BE1A1C7" w14:textId="77777777">
        <w:trPr>
          <w:trHeight w:val="328"/>
          <w:jc w:val="center"/>
        </w:trPr>
        <w:tc>
          <w:tcPr>
            <w:tcW w:w="789" w:type="dxa"/>
            <w:vAlign w:val="center"/>
          </w:tcPr>
          <w:p w14:paraId="4991CED4"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4</w:t>
            </w:r>
          </w:p>
        </w:tc>
        <w:tc>
          <w:tcPr>
            <w:tcW w:w="4336" w:type="dxa"/>
            <w:gridSpan w:val="3"/>
            <w:vAlign w:val="center"/>
          </w:tcPr>
          <w:p w14:paraId="79B86557"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年平均蒸发量</w:t>
            </w:r>
          </w:p>
        </w:tc>
        <w:tc>
          <w:tcPr>
            <w:tcW w:w="1242" w:type="dxa"/>
            <w:vAlign w:val="center"/>
          </w:tcPr>
          <w:p w14:paraId="3214C201"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mm</w:t>
            </w:r>
          </w:p>
        </w:tc>
        <w:tc>
          <w:tcPr>
            <w:tcW w:w="1858" w:type="dxa"/>
            <w:vAlign w:val="center"/>
          </w:tcPr>
          <w:p w14:paraId="61635C87"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1215.9</w:t>
            </w:r>
          </w:p>
        </w:tc>
      </w:tr>
      <w:tr w:rsidR="008A2411" w:rsidRPr="008A2411" w14:paraId="0ABEFA2A" w14:textId="77777777">
        <w:trPr>
          <w:trHeight w:val="328"/>
          <w:jc w:val="center"/>
        </w:trPr>
        <w:tc>
          <w:tcPr>
            <w:tcW w:w="789" w:type="dxa"/>
            <w:vAlign w:val="center"/>
          </w:tcPr>
          <w:p w14:paraId="5A081700"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5</w:t>
            </w:r>
          </w:p>
        </w:tc>
        <w:tc>
          <w:tcPr>
            <w:tcW w:w="4336" w:type="dxa"/>
            <w:gridSpan w:val="3"/>
            <w:vAlign w:val="center"/>
          </w:tcPr>
          <w:p w14:paraId="03672E53"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年无霜天数</w:t>
            </w:r>
          </w:p>
        </w:tc>
        <w:tc>
          <w:tcPr>
            <w:tcW w:w="1242" w:type="dxa"/>
            <w:vAlign w:val="center"/>
          </w:tcPr>
          <w:p w14:paraId="2868D908"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d</w:t>
            </w:r>
          </w:p>
        </w:tc>
        <w:tc>
          <w:tcPr>
            <w:tcW w:w="1858" w:type="dxa"/>
            <w:vAlign w:val="center"/>
          </w:tcPr>
          <w:p w14:paraId="595AC832"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210</w:t>
            </w:r>
          </w:p>
        </w:tc>
      </w:tr>
      <w:tr w:rsidR="008A2411" w:rsidRPr="008A2411" w14:paraId="34AD4C4C" w14:textId="77777777">
        <w:trPr>
          <w:trHeight w:val="314"/>
          <w:jc w:val="center"/>
        </w:trPr>
        <w:tc>
          <w:tcPr>
            <w:tcW w:w="789" w:type="dxa"/>
            <w:vMerge w:val="restart"/>
            <w:vAlign w:val="center"/>
          </w:tcPr>
          <w:p w14:paraId="5B8FC21F"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6</w:t>
            </w:r>
          </w:p>
        </w:tc>
        <w:tc>
          <w:tcPr>
            <w:tcW w:w="2167" w:type="dxa"/>
            <w:gridSpan w:val="2"/>
            <w:vMerge w:val="restart"/>
            <w:vAlign w:val="center"/>
          </w:tcPr>
          <w:p w14:paraId="35170730"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主导风向</w:t>
            </w:r>
          </w:p>
        </w:tc>
        <w:tc>
          <w:tcPr>
            <w:tcW w:w="2169" w:type="dxa"/>
            <w:vAlign w:val="center"/>
          </w:tcPr>
          <w:p w14:paraId="4F7B93CE"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夏季</w:t>
            </w:r>
          </w:p>
        </w:tc>
        <w:tc>
          <w:tcPr>
            <w:tcW w:w="1242" w:type="dxa"/>
            <w:vAlign w:val="center"/>
          </w:tcPr>
          <w:p w14:paraId="52E217BB" w14:textId="77777777" w:rsidR="00B0005F" w:rsidRPr="008A2411" w:rsidRDefault="00B0005F">
            <w:pPr>
              <w:pStyle w:val="aff9"/>
              <w:spacing w:line="320" w:lineRule="exact"/>
              <w:jc w:val="center"/>
              <w:rPr>
                <w:rFonts w:ascii="Times New Roman" w:eastAsia="宋体" w:hAnsi="Times New Roman" w:cs="Times New Roman"/>
                <w:color w:val="000000" w:themeColor="text1"/>
                <w:sz w:val="21"/>
                <w:szCs w:val="21"/>
              </w:rPr>
            </w:pPr>
          </w:p>
        </w:tc>
        <w:tc>
          <w:tcPr>
            <w:tcW w:w="1858" w:type="dxa"/>
            <w:vAlign w:val="center"/>
          </w:tcPr>
          <w:p w14:paraId="46B54F3A"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NE</w:t>
            </w:r>
          </w:p>
        </w:tc>
      </w:tr>
      <w:tr w:rsidR="008A2411" w:rsidRPr="008A2411" w14:paraId="3BF4D1DC" w14:textId="77777777">
        <w:trPr>
          <w:trHeight w:val="143"/>
          <w:jc w:val="center"/>
        </w:trPr>
        <w:tc>
          <w:tcPr>
            <w:tcW w:w="789" w:type="dxa"/>
            <w:vMerge/>
            <w:vAlign w:val="center"/>
          </w:tcPr>
          <w:p w14:paraId="7754CC7C" w14:textId="77777777" w:rsidR="00B0005F" w:rsidRPr="008A2411" w:rsidRDefault="00B0005F">
            <w:pPr>
              <w:pStyle w:val="aff9"/>
              <w:spacing w:line="320" w:lineRule="exact"/>
              <w:jc w:val="center"/>
              <w:rPr>
                <w:rFonts w:ascii="Times New Roman" w:eastAsia="宋体" w:hAnsi="Times New Roman" w:cs="Times New Roman"/>
                <w:color w:val="000000" w:themeColor="text1"/>
                <w:sz w:val="21"/>
                <w:szCs w:val="21"/>
              </w:rPr>
            </w:pPr>
          </w:p>
        </w:tc>
        <w:tc>
          <w:tcPr>
            <w:tcW w:w="2167" w:type="dxa"/>
            <w:gridSpan w:val="2"/>
            <w:vMerge/>
            <w:vAlign w:val="center"/>
          </w:tcPr>
          <w:p w14:paraId="0B3598D3" w14:textId="77777777" w:rsidR="00B0005F" w:rsidRPr="008A2411" w:rsidRDefault="00B0005F">
            <w:pPr>
              <w:pStyle w:val="aff9"/>
              <w:spacing w:line="320" w:lineRule="exact"/>
              <w:jc w:val="center"/>
              <w:rPr>
                <w:rFonts w:ascii="Times New Roman" w:eastAsia="宋体" w:hAnsi="Times New Roman" w:cs="Times New Roman"/>
                <w:color w:val="000000" w:themeColor="text1"/>
                <w:sz w:val="21"/>
                <w:szCs w:val="21"/>
              </w:rPr>
            </w:pPr>
          </w:p>
        </w:tc>
        <w:tc>
          <w:tcPr>
            <w:tcW w:w="2169" w:type="dxa"/>
            <w:vAlign w:val="center"/>
          </w:tcPr>
          <w:p w14:paraId="2234A029"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冬季</w:t>
            </w:r>
          </w:p>
        </w:tc>
        <w:tc>
          <w:tcPr>
            <w:tcW w:w="1242" w:type="dxa"/>
            <w:vAlign w:val="center"/>
          </w:tcPr>
          <w:p w14:paraId="57F0FFA3" w14:textId="77777777" w:rsidR="00B0005F" w:rsidRPr="008A2411" w:rsidRDefault="00B0005F">
            <w:pPr>
              <w:pStyle w:val="aff9"/>
              <w:spacing w:line="320" w:lineRule="exact"/>
              <w:jc w:val="center"/>
              <w:rPr>
                <w:rFonts w:ascii="Times New Roman" w:eastAsia="宋体" w:hAnsi="Times New Roman" w:cs="Times New Roman"/>
                <w:color w:val="000000" w:themeColor="text1"/>
                <w:sz w:val="21"/>
                <w:szCs w:val="21"/>
              </w:rPr>
            </w:pPr>
          </w:p>
        </w:tc>
        <w:tc>
          <w:tcPr>
            <w:tcW w:w="1858" w:type="dxa"/>
            <w:vAlign w:val="center"/>
          </w:tcPr>
          <w:p w14:paraId="538BF9A3"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NNE</w:t>
            </w:r>
          </w:p>
        </w:tc>
      </w:tr>
      <w:tr w:rsidR="008A2411" w:rsidRPr="008A2411" w14:paraId="236132A3" w14:textId="77777777">
        <w:trPr>
          <w:trHeight w:val="314"/>
          <w:jc w:val="center"/>
        </w:trPr>
        <w:tc>
          <w:tcPr>
            <w:tcW w:w="789" w:type="dxa"/>
            <w:vMerge w:val="restart"/>
            <w:vAlign w:val="center"/>
          </w:tcPr>
          <w:p w14:paraId="3A23B120"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7</w:t>
            </w:r>
          </w:p>
        </w:tc>
        <w:tc>
          <w:tcPr>
            <w:tcW w:w="2167" w:type="dxa"/>
            <w:gridSpan w:val="2"/>
            <w:vMerge w:val="restart"/>
            <w:vAlign w:val="center"/>
          </w:tcPr>
          <w:p w14:paraId="064EE80E"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主导风频率</w:t>
            </w:r>
          </w:p>
        </w:tc>
        <w:tc>
          <w:tcPr>
            <w:tcW w:w="2169" w:type="dxa"/>
            <w:vAlign w:val="center"/>
          </w:tcPr>
          <w:p w14:paraId="1C2902E2"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夏季</w:t>
            </w:r>
          </w:p>
        </w:tc>
        <w:tc>
          <w:tcPr>
            <w:tcW w:w="1242" w:type="dxa"/>
            <w:vAlign w:val="center"/>
          </w:tcPr>
          <w:p w14:paraId="6C604881"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w:t>
            </w:r>
          </w:p>
        </w:tc>
        <w:tc>
          <w:tcPr>
            <w:tcW w:w="1858" w:type="dxa"/>
            <w:vAlign w:val="center"/>
          </w:tcPr>
          <w:p w14:paraId="44CA63BD"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26</w:t>
            </w:r>
          </w:p>
        </w:tc>
      </w:tr>
      <w:tr w:rsidR="00B0005F" w:rsidRPr="008A2411" w14:paraId="1D071EF3" w14:textId="77777777">
        <w:trPr>
          <w:trHeight w:val="143"/>
          <w:jc w:val="center"/>
        </w:trPr>
        <w:tc>
          <w:tcPr>
            <w:tcW w:w="789" w:type="dxa"/>
            <w:vMerge/>
            <w:vAlign w:val="center"/>
          </w:tcPr>
          <w:p w14:paraId="62E05D0C" w14:textId="77777777" w:rsidR="00B0005F" w:rsidRPr="008A2411" w:rsidRDefault="00B0005F">
            <w:pPr>
              <w:pStyle w:val="aff9"/>
              <w:spacing w:line="320" w:lineRule="exact"/>
              <w:jc w:val="center"/>
              <w:rPr>
                <w:rFonts w:ascii="Times New Roman" w:eastAsia="宋体" w:hAnsi="Times New Roman" w:cs="Times New Roman"/>
                <w:color w:val="000000" w:themeColor="text1"/>
                <w:sz w:val="21"/>
                <w:szCs w:val="21"/>
              </w:rPr>
            </w:pPr>
          </w:p>
        </w:tc>
        <w:tc>
          <w:tcPr>
            <w:tcW w:w="2167" w:type="dxa"/>
            <w:gridSpan w:val="2"/>
            <w:vMerge/>
            <w:vAlign w:val="center"/>
          </w:tcPr>
          <w:p w14:paraId="545E7A49" w14:textId="77777777" w:rsidR="00B0005F" w:rsidRPr="008A2411" w:rsidRDefault="00B0005F">
            <w:pPr>
              <w:pStyle w:val="aff9"/>
              <w:spacing w:line="320" w:lineRule="exact"/>
              <w:jc w:val="center"/>
              <w:rPr>
                <w:rFonts w:ascii="Times New Roman" w:eastAsia="宋体" w:hAnsi="Times New Roman" w:cs="Times New Roman"/>
                <w:color w:val="000000" w:themeColor="text1"/>
                <w:sz w:val="21"/>
                <w:szCs w:val="21"/>
              </w:rPr>
            </w:pPr>
          </w:p>
        </w:tc>
        <w:tc>
          <w:tcPr>
            <w:tcW w:w="2169" w:type="dxa"/>
            <w:vAlign w:val="center"/>
          </w:tcPr>
          <w:p w14:paraId="4786360F"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冬季</w:t>
            </w:r>
          </w:p>
        </w:tc>
        <w:tc>
          <w:tcPr>
            <w:tcW w:w="1242" w:type="dxa"/>
            <w:vAlign w:val="center"/>
          </w:tcPr>
          <w:p w14:paraId="02D4BABD"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w:t>
            </w:r>
          </w:p>
        </w:tc>
        <w:tc>
          <w:tcPr>
            <w:tcW w:w="1858" w:type="dxa"/>
            <w:vAlign w:val="center"/>
          </w:tcPr>
          <w:p w14:paraId="360C9D9B"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18</w:t>
            </w:r>
          </w:p>
        </w:tc>
      </w:tr>
    </w:tbl>
    <w:p w14:paraId="353B2060" w14:textId="77777777" w:rsidR="00B0005F" w:rsidRPr="008A2411" w:rsidRDefault="00B0005F">
      <w:pPr>
        <w:pStyle w:val="a9"/>
        <w:rPr>
          <w:rFonts w:ascii="Times New Roman"/>
          <w:color w:val="000000" w:themeColor="text1"/>
        </w:rPr>
      </w:pPr>
    </w:p>
    <w:p w14:paraId="3855E362" w14:textId="77777777" w:rsidR="00B0005F" w:rsidRPr="008A2411" w:rsidRDefault="00000000">
      <w:pPr>
        <w:pStyle w:val="afffffffffffffffffff8"/>
        <w:snapToGrid w:val="0"/>
        <w:spacing w:before="0" w:after="0" w:line="360" w:lineRule="auto"/>
        <w:rPr>
          <w:rFonts w:ascii="Times New Roman" w:cs="Times New Roman"/>
          <w:color w:val="000000" w:themeColor="text1"/>
        </w:rPr>
      </w:pPr>
      <w:bookmarkStart w:id="241" w:name="_Toc455997659"/>
      <w:r w:rsidRPr="008A2411">
        <w:rPr>
          <w:rFonts w:ascii="Times New Roman" w:cs="Times New Roman"/>
          <w:color w:val="000000" w:themeColor="text1"/>
        </w:rPr>
        <w:lastRenderedPageBreak/>
        <w:t>4.1.</w:t>
      </w:r>
      <w:bookmarkEnd w:id="241"/>
      <w:r w:rsidRPr="008A2411">
        <w:rPr>
          <w:rFonts w:ascii="Times New Roman" w:cs="Times New Roman"/>
          <w:color w:val="000000" w:themeColor="text1"/>
        </w:rPr>
        <w:t>4</w:t>
      </w:r>
      <w:r w:rsidRPr="008A2411">
        <w:rPr>
          <w:rFonts w:ascii="Times New Roman" w:cs="Times New Roman"/>
          <w:color w:val="000000" w:themeColor="text1"/>
        </w:rPr>
        <w:t>水系及河流分布</w:t>
      </w:r>
    </w:p>
    <w:p w14:paraId="5200FEA4" w14:textId="77777777" w:rsidR="00B0005F" w:rsidRPr="008A2411" w:rsidRDefault="00000000">
      <w:pPr>
        <w:adjustRightInd w:val="0"/>
        <w:snapToGrid w:val="0"/>
        <w:spacing w:line="360" w:lineRule="auto"/>
        <w:ind w:firstLineChars="200" w:firstLine="482"/>
        <w:rPr>
          <w:rFonts w:ascii="Times New Roman"/>
          <w:b/>
          <w:color w:val="000000" w:themeColor="text1"/>
        </w:rPr>
      </w:pPr>
      <w:r w:rsidRPr="008A2411">
        <w:rPr>
          <w:rFonts w:ascii="Times New Roman"/>
          <w:b/>
          <w:color w:val="000000" w:themeColor="text1"/>
        </w:rPr>
        <w:t>1</w:t>
      </w:r>
      <w:r w:rsidRPr="008A2411">
        <w:rPr>
          <w:rFonts w:ascii="Times New Roman"/>
          <w:b/>
          <w:color w:val="000000" w:themeColor="text1"/>
        </w:rPr>
        <w:t>、地表水</w:t>
      </w:r>
    </w:p>
    <w:p w14:paraId="0B35C3D4" w14:textId="77777777" w:rsidR="00B0005F" w:rsidRPr="008A2411" w:rsidRDefault="00000000">
      <w:pPr>
        <w:tabs>
          <w:tab w:val="left" w:pos="560"/>
        </w:tabs>
        <w:adjustRightInd w:val="0"/>
        <w:snapToGrid w:val="0"/>
        <w:spacing w:line="360" w:lineRule="auto"/>
        <w:ind w:firstLineChars="196" w:firstLine="472"/>
        <w:rPr>
          <w:rFonts w:ascii="Times New Roman"/>
          <w:color w:val="000000" w:themeColor="text1"/>
        </w:rPr>
      </w:pPr>
      <w:r w:rsidRPr="008A2411">
        <w:rPr>
          <w:rFonts w:ascii="Times New Roman"/>
          <w:b/>
          <w:bCs/>
          <w:color w:val="000000" w:themeColor="text1"/>
        </w:rPr>
        <w:t>州河</w:t>
      </w:r>
      <w:r w:rsidRPr="008A2411">
        <w:rPr>
          <w:rFonts w:ascii="Times New Roman"/>
          <w:color w:val="000000" w:themeColor="text1"/>
        </w:rPr>
        <w:t>：</w:t>
      </w:r>
      <w:proofErr w:type="gramStart"/>
      <w:r w:rsidRPr="008A2411">
        <w:rPr>
          <w:rFonts w:ascii="Times New Roman"/>
          <w:color w:val="000000" w:themeColor="text1"/>
        </w:rPr>
        <w:t>属渠江</w:t>
      </w:r>
      <w:proofErr w:type="gramEnd"/>
      <w:r w:rsidRPr="008A2411">
        <w:rPr>
          <w:rFonts w:ascii="Times New Roman"/>
          <w:color w:val="000000" w:themeColor="text1"/>
        </w:rPr>
        <w:t>的一级支流，发源于大巴山南麓，经宣汉县、通川区、达县至渠县三汇镇入渠江，全长</w:t>
      </w:r>
      <w:r w:rsidRPr="008A2411">
        <w:rPr>
          <w:rFonts w:ascii="Times New Roman"/>
          <w:color w:val="000000" w:themeColor="text1"/>
        </w:rPr>
        <w:t>304km</w:t>
      </w:r>
      <w:r w:rsidRPr="008A2411">
        <w:rPr>
          <w:rFonts w:ascii="Times New Roman"/>
          <w:color w:val="000000" w:themeColor="text1"/>
        </w:rPr>
        <w:t>，其中干流长</w:t>
      </w:r>
      <w:r w:rsidRPr="008A2411">
        <w:rPr>
          <w:rFonts w:ascii="Times New Roman"/>
          <w:color w:val="000000" w:themeColor="text1"/>
        </w:rPr>
        <w:t>110km</w:t>
      </w:r>
      <w:r w:rsidRPr="008A2411">
        <w:rPr>
          <w:rFonts w:ascii="Times New Roman"/>
          <w:color w:val="000000" w:themeColor="text1"/>
        </w:rPr>
        <w:t>，河道平均坡降</w:t>
      </w:r>
      <w:r w:rsidRPr="008A2411">
        <w:rPr>
          <w:rFonts w:ascii="Times New Roman"/>
          <w:color w:val="000000" w:themeColor="text1"/>
        </w:rPr>
        <w:t>1.41‰</w:t>
      </w:r>
      <w:r w:rsidRPr="008A2411">
        <w:rPr>
          <w:rFonts w:ascii="Times New Roman"/>
          <w:color w:val="000000" w:themeColor="text1"/>
        </w:rPr>
        <w:t>，属山溪性河流。州</w:t>
      </w:r>
      <w:proofErr w:type="gramStart"/>
      <w:r w:rsidRPr="008A2411">
        <w:rPr>
          <w:rFonts w:ascii="Times New Roman"/>
          <w:color w:val="000000" w:themeColor="text1"/>
        </w:rPr>
        <w:t>河水系呈树枝状</w:t>
      </w:r>
      <w:proofErr w:type="gramEnd"/>
      <w:r w:rsidRPr="008A2411">
        <w:rPr>
          <w:rFonts w:ascii="Times New Roman"/>
          <w:color w:val="000000" w:themeColor="text1"/>
        </w:rPr>
        <w:t>发育。州河由发源于万源市的后河、中河和发源于重庆城口县的前河在宣汉县城汇合而成。自达州市以上，汇水面积</w:t>
      </w:r>
      <w:r w:rsidRPr="008A2411">
        <w:rPr>
          <w:rFonts w:ascii="Times New Roman"/>
          <w:color w:val="000000" w:themeColor="text1"/>
        </w:rPr>
        <w:t>8849km</w:t>
      </w:r>
      <w:r w:rsidRPr="008A2411">
        <w:rPr>
          <w:rFonts w:ascii="Times New Roman"/>
          <w:color w:val="000000" w:themeColor="text1"/>
          <w:vertAlign w:val="superscript"/>
        </w:rPr>
        <w:t>2</w:t>
      </w:r>
      <w:r w:rsidRPr="008A2411">
        <w:rPr>
          <w:rFonts w:ascii="Times New Roman"/>
          <w:color w:val="000000" w:themeColor="text1"/>
        </w:rPr>
        <w:t>，年径流量总量</w:t>
      </w:r>
      <w:r w:rsidRPr="008A2411">
        <w:rPr>
          <w:rFonts w:ascii="Times New Roman"/>
          <w:color w:val="000000" w:themeColor="text1"/>
        </w:rPr>
        <w:t>77.01×10</w:t>
      </w:r>
      <w:r w:rsidRPr="008A2411">
        <w:rPr>
          <w:rFonts w:ascii="Times New Roman"/>
          <w:color w:val="000000" w:themeColor="text1"/>
          <w:vertAlign w:val="superscript"/>
        </w:rPr>
        <w:t>8</w:t>
      </w:r>
      <w:r w:rsidRPr="008A2411">
        <w:rPr>
          <w:rFonts w:ascii="Times New Roman"/>
          <w:color w:val="000000" w:themeColor="text1"/>
        </w:rPr>
        <w:t>m</w:t>
      </w:r>
      <w:r w:rsidRPr="008A2411">
        <w:rPr>
          <w:rFonts w:ascii="Times New Roman"/>
          <w:color w:val="000000" w:themeColor="text1"/>
          <w:vertAlign w:val="superscript"/>
        </w:rPr>
        <w:t>3</w:t>
      </w:r>
      <w:r w:rsidRPr="008A2411">
        <w:rPr>
          <w:rFonts w:ascii="Times New Roman"/>
          <w:color w:val="000000" w:themeColor="text1"/>
        </w:rPr>
        <w:t>，平均流量</w:t>
      </w:r>
      <w:r w:rsidRPr="008A2411">
        <w:rPr>
          <w:rFonts w:ascii="Times New Roman"/>
          <w:color w:val="000000" w:themeColor="text1"/>
        </w:rPr>
        <w:t>201.4m</w:t>
      </w:r>
      <w:r w:rsidRPr="008A2411">
        <w:rPr>
          <w:rFonts w:ascii="Times New Roman"/>
          <w:color w:val="000000" w:themeColor="text1"/>
          <w:vertAlign w:val="superscript"/>
        </w:rPr>
        <w:t>3</w:t>
      </w:r>
      <w:r w:rsidRPr="008A2411">
        <w:rPr>
          <w:rFonts w:ascii="Times New Roman"/>
          <w:color w:val="000000" w:themeColor="text1"/>
        </w:rPr>
        <w:t>/s</w:t>
      </w:r>
      <w:r w:rsidRPr="008A2411">
        <w:rPr>
          <w:rFonts w:ascii="Times New Roman"/>
          <w:color w:val="000000" w:themeColor="text1"/>
        </w:rPr>
        <w:t>，最大洪水流量</w:t>
      </w:r>
      <w:r w:rsidRPr="008A2411">
        <w:rPr>
          <w:rFonts w:ascii="Times New Roman"/>
          <w:color w:val="000000" w:themeColor="text1"/>
        </w:rPr>
        <w:t>13700m</w:t>
      </w:r>
      <w:r w:rsidRPr="008A2411">
        <w:rPr>
          <w:rFonts w:ascii="Times New Roman"/>
          <w:color w:val="000000" w:themeColor="text1"/>
          <w:vertAlign w:val="superscript"/>
        </w:rPr>
        <w:t>3</w:t>
      </w:r>
      <w:r w:rsidRPr="008A2411">
        <w:rPr>
          <w:rFonts w:ascii="Times New Roman"/>
          <w:color w:val="000000" w:themeColor="text1"/>
        </w:rPr>
        <w:t>/s</w:t>
      </w:r>
      <w:r w:rsidRPr="008A2411">
        <w:rPr>
          <w:rFonts w:ascii="Times New Roman"/>
          <w:color w:val="000000" w:themeColor="text1"/>
        </w:rPr>
        <w:t>。据四川省达州水文水资源勘测局提供的水文站资料估算，最枯月平均流量</w:t>
      </w:r>
      <w:r w:rsidRPr="008A2411">
        <w:rPr>
          <w:rFonts w:ascii="Times New Roman"/>
          <w:color w:val="000000" w:themeColor="text1"/>
        </w:rPr>
        <w:t>7.81m</w:t>
      </w:r>
      <w:r w:rsidRPr="008A2411">
        <w:rPr>
          <w:rFonts w:ascii="Times New Roman"/>
          <w:color w:val="000000" w:themeColor="text1"/>
          <w:vertAlign w:val="superscript"/>
        </w:rPr>
        <w:t>3</w:t>
      </w:r>
      <w:r w:rsidRPr="008A2411">
        <w:rPr>
          <w:rFonts w:ascii="Times New Roman"/>
          <w:color w:val="000000" w:themeColor="text1"/>
        </w:rPr>
        <w:t>/s</w:t>
      </w:r>
      <w:r w:rsidRPr="008A2411">
        <w:rPr>
          <w:rFonts w:ascii="Times New Roman"/>
          <w:color w:val="000000" w:themeColor="text1"/>
        </w:rPr>
        <w:t>。</w:t>
      </w:r>
    </w:p>
    <w:p w14:paraId="28A66539" w14:textId="77777777" w:rsidR="00B0005F" w:rsidRPr="008A2411" w:rsidRDefault="00000000">
      <w:pPr>
        <w:tabs>
          <w:tab w:val="left" w:pos="560"/>
        </w:tabs>
        <w:adjustRightInd w:val="0"/>
        <w:snapToGrid w:val="0"/>
        <w:spacing w:line="360" w:lineRule="auto"/>
        <w:ind w:firstLineChars="196" w:firstLine="472"/>
        <w:rPr>
          <w:rFonts w:ascii="Times New Roman"/>
          <w:color w:val="000000" w:themeColor="text1"/>
        </w:rPr>
      </w:pPr>
      <w:r w:rsidRPr="008A2411">
        <w:rPr>
          <w:rFonts w:ascii="Times New Roman"/>
          <w:b/>
          <w:bCs/>
          <w:color w:val="000000" w:themeColor="text1"/>
        </w:rPr>
        <w:t>前河</w:t>
      </w:r>
      <w:r w:rsidRPr="008A2411">
        <w:rPr>
          <w:rFonts w:ascii="Times New Roman"/>
          <w:color w:val="000000" w:themeColor="text1"/>
        </w:rPr>
        <w:t>：出于城口县东</w:t>
      </w:r>
      <w:proofErr w:type="gramStart"/>
      <w:r w:rsidRPr="008A2411">
        <w:rPr>
          <w:rFonts w:ascii="Times New Roman"/>
          <w:color w:val="000000" w:themeColor="text1"/>
        </w:rPr>
        <w:t>燕麦乡</w:t>
      </w:r>
      <w:proofErr w:type="gramEnd"/>
      <w:r w:rsidRPr="008A2411">
        <w:rPr>
          <w:rFonts w:ascii="Times New Roman"/>
          <w:color w:val="000000" w:themeColor="text1"/>
        </w:rPr>
        <w:t>光头山，水由二穴涌出，经明中、桃元、</w:t>
      </w:r>
      <w:proofErr w:type="gramStart"/>
      <w:r w:rsidRPr="008A2411">
        <w:rPr>
          <w:rFonts w:ascii="Times New Roman"/>
          <w:color w:val="000000" w:themeColor="text1"/>
        </w:rPr>
        <w:t>蓼</w:t>
      </w:r>
      <w:proofErr w:type="gramEnd"/>
      <w:r w:rsidRPr="008A2411">
        <w:rPr>
          <w:rFonts w:ascii="Times New Roman"/>
          <w:color w:val="000000" w:themeColor="text1"/>
        </w:rPr>
        <w:t>于乡接纳</w:t>
      </w:r>
      <w:proofErr w:type="gramStart"/>
      <w:r w:rsidRPr="008A2411">
        <w:rPr>
          <w:rFonts w:ascii="Times New Roman"/>
          <w:color w:val="000000" w:themeColor="text1"/>
        </w:rPr>
        <w:t>燕子河</w:t>
      </w:r>
      <w:proofErr w:type="gramEnd"/>
      <w:r w:rsidRPr="008A2411">
        <w:rPr>
          <w:rFonts w:ascii="Times New Roman"/>
          <w:color w:val="000000" w:themeColor="text1"/>
        </w:rPr>
        <w:t>后，在</w:t>
      </w:r>
      <w:proofErr w:type="gramStart"/>
      <w:r w:rsidRPr="008A2411">
        <w:rPr>
          <w:rFonts w:ascii="Times New Roman"/>
          <w:color w:val="000000" w:themeColor="text1"/>
        </w:rPr>
        <w:t>周凌乡</w:t>
      </w:r>
      <w:proofErr w:type="gramEnd"/>
      <w:r w:rsidRPr="008A2411">
        <w:rPr>
          <w:rFonts w:ascii="Times New Roman"/>
          <w:color w:val="000000" w:themeColor="text1"/>
        </w:rPr>
        <w:t>出城口县，从东北进入宣汉县的大塘口入境，横贯县境东南部，流经鸡唱、龙泉（河口）、渡口、</w:t>
      </w:r>
      <w:proofErr w:type="gramStart"/>
      <w:r w:rsidRPr="008A2411">
        <w:rPr>
          <w:rFonts w:ascii="Times New Roman"/>
          <w:color w:val="000000" w:themeColor="text1"/>
        </w:rPr>
        <w:t>樊哙</w:t>
      </w:r>
      <w:proofErr w:type="gramEnd"/>
      <w:r w:rsidRPr="008A2411">
        <w:rPr>
          <w:rFonts w:ascii="Times New Roman"/>
          <w:color w:val="000000" w:themeColor="text1"/>
        </w:rPr>
        <w:t>、土黄、华景、五宝、</w:t>
      </w:r>
      <w:proofErr w:type="gramStart"/>
      <w:r w:rsidRPr="008A2411">
        <w:rPr>
          <w:rFonts w:ascii="Times New Roman"/>
          <w:color w:val="000000" w:themeColor="text1"/>
        </w:rPr>
        <w:t>赤</w:t>
      </w:r>
      <w:proofErr w:type="gramEnd"/>
      <w:r w:rsidRPr="008A2411">
        <w:rPr>
          <w:rFonts w:ascii="Times New Roman"/>
          <w:color w:val="000000" w:themeColor="text1"/>
        </w:rPr>
        <w:t>溪、昆池、南坝、下八、黄石、三河等</w:t>
      </w:r>
      <w:r w:rsidRPr="008A2411">
        <w:rPr>
          <w:rFonts w:ascii="Times New Roman"/>
          <w:color w:val="000000" w:themeColor="text1"/>
        </w:rPr>
        <w:t>13</w:t>
      </w:r>
      <w:r w:rsidRPr="008A2411">
        <w:rPr>
          <w:rFonts w:ascii="Times New Roman"/>
          <w:color w:val="000000" w:themeColor="text1"/>
        </w:rPr>
        <w:t>个乡镇，在宣汉城东江口与后河合为一川，汇入州河，此段河流名为前河。前河古称关东水，又名</w:t>
      </w:r>
      <w:proofErr w:type="gramStart"/>
      <w:r w:rsidRPr="008A2411">
        <w:rPr>
          <w:rFonts w:ascii="Times New Roman"/>
          <w:color w:val="000000" w:themeColor="text1"/>
        </w:rPr>
        <w:t>溉</w:t>
      </w:r>
      <w:proofErr w:type="gramEnd"/>
      <w:r w:rsidRPr="008A2411">
        <w:rPr>
          <w:rFonts w:ascii="Times New Roman"/>
          <w:color w:val="000000" w:themeColor="text1"/>
        </w:rPr>
        <w:t>江。全河流域面积</w:t>
      </w:r>
      <w:r w:rsidRPr="008A2411">
        <w:rPr>
          <w:rFonts w:ascii="Times New Roman"/>
          <w:color w:val="000000" w:themeColor="text1"/>
        </w:rPr>
        <w:t>2754km</w:t>
      </w:r>
      <w:r w:rsidRPr="008A2411">
        <w:rPr>
          <w:rFonts w:ascii="Times New Roman"/>
          <w:color w:val="000000" w:themeColor="text1"/>
          <w:vertAlign w:val="superscript"/>
        </w:rPr>
        <w:t>2</w:t>
      </w:r>
      <w:r w:rsidRPr="008A2411">
        <w:rPr>
          <w:rFonts w:ascii="Times New Roman"/>
          <w:color w:val="000000" w:themeColor="text1"/>
        </w:rPr>
        <w:t>，干流长</w:t>
      </w:r>
      <w:r w:rsidRPr="008A2411">
        <w:rPr>
          <w:rFonts w:ascii="Times New Roman"/>
          <w:color w:val="000000" w:themeColor="text1"/>
        </w:rPr>
        <w:t>145km</w:t>
      </w:r>
      <w:r w:rsidRPr="008A2411">
        <w:rPr>
          <w:rFonts w:ascii="Times New Roman"/>
          <w:color w:val="000000" w:themeColor="text1"/>
        </w:rPr>
        <w:t>。天然落差</w:t>
      </w:r>
      <w:r w:rsidRPr="008A2411">
        <w:rPr>
          <w:rFonts w:ascii="Times New Roman"/>
          <w:color w:val="000000" w:themeColor="text1"/>
        </w:rPr>
        <w:t>327m</w:t>
      </w:r>
      <w:r w:rsidRPr="008A2411">
        <w:rPr>
          <w:rFonts w:ascii="Times New Roman"/>
          <w:color w:val="000000" w:themeColor="text1"/>
        </w:rPr>
        <w:t>，河床平均比降</w:t>
      </w:r>
      <w:r w:rsidRPr="008A2411">
        <w:rPr>
          <w:rFonts w:ascii="Times New Roman"/>
          <w:color w:val="000000" w:themeColor="text1"/>
        </w:rPr>
        <w:t>2.3‰</w:t>
      </w:r>
      <w:r w:rsidRPr="008A2411">
        <w:rPr>
          <w:rFonts w:ascii="Times New Roman"/>
          <w:color w:val="000000" w:themeColor="text1"/>
        </w:rPr>
        <w:t>。前河水系发育，支流较多。宣汉县境内流域面积</w:t>
      </w:r>
      <w:r w:rsidRPr="008A2411">
        <w:rPr>
          <w:rFonts w:ascii="Times New Roman"/>
          <w:color w:val="000000" w:themeColor="text1"/>
        </w:rPr>
        <w:t>100km</w:t>
      </w:r>
      <w:r w:rsidRPr="008A2411">
        <w:rPr>
          <w:rFonts w:ascii="Times New Roman"/>
          <w:color w:val="000000" w:themeColor="text1"/>
          <w:vertAlign w:val="superscript"/>
        </w:rPr>
        <w:t>2</w:t>
      </w:r>
      <w:r w:rsidRPr="008A2411">
        <w:rPr>
          <w:rFonts w:ascii="Times New Roman"/>
          <w:color w:val="000000" w:themeColor="text1"/>
        </w:rPr>
        <w:t>以上的支流有</w:t>
      </w:r>
      <w:r w:rsidRPr="008A2411">
        <w:rPr>
          <w:rFonts w:ascii="Times New Roman"/>
          <w:color w:val="000000" w:themeColor="text1"/>
        </w:rPr>
        <w:t>3</w:t>
      </w:r>
      <w:r w:rsidRPr="008A2411">
        <w:rPr>
          <w:rFonts w:ascii="Times New Roman"/>
          <w:color w:val="000000" w:themeColor="text1"/>
        </w:rPr>
        <w:t>条，</w:t>
      </w:r>
      <w:r w:rsidRPr="008A2411">
        <w:rPr>
          <w:rFonts w:ascii="Times New Roman"/>
          <w:color w:val="000000" w:themeColor="text1"/>
        </w:rPr>
        <w:t>50km</w:t>
      </w:r>
      <w:r w:rsidRPr="008A2411">
        <w:rPr>
          <w:rFonts w:ascii="Times New Roman"/>
          <w:color w:val="000000" w:themeColor="text1"/>
          <w:vertAlign w:val="superscript"/>
        </w:rPr>
        <w:t>2</w:t>
      </w:r>
      <w:r w:rsidRPr="008A2411">
        <w:rPr>
          <w:rFonts w:ascii="Times New Roman"/>
          <w:color w:val="000000" w:themeColor="text1"/>
        </w:rPr>
        <w:t>以上的有</w:t>
      </w:r>
      <w:r w:rsidRPr="008A2411">
        <w:rPr>
          <w:rFonts w:ascii="Times New Roman"/>
          <w:color w:val="000000" w:themeColor="text1"/>
        </w:rPr>
        <w:t>9</w:t>
      </w:r>
      <w:r w:rsidRPr="008A2411">
        <w:rPr>
          <w:rFonts w:ascii="Times New Roman"/>
          <w:color w:val="000000" w:themeColor="text1"/>
        </w:rPr>
        <w:t>条。据四川省达州水文水资源勘测局提供资料，前河的最枯月平均流量</w:t>
      </w:r>
      <w:r w:rsidRPr="008A2411">
        <w:rPr>
          <w:rFonts w:ascii="Times New Roman"/>
          <w:color w:val="000000" w:themeColor="text1"/>
        </w:rPr>
        <w:t>4.52m</w:t>
      </w:r>
      <w:r w:rsidRPr="008A2411">
        <w:rPr>
          <w:rFonts w:ascii="Times New Roman"/>
          <w:color w:val="000000" w:themeColor="text1"/>
          <w:vertAlign w:val="superscript"/>
        </w:rPr>
        <w:t>3</w:t>
      </w:r>
      <w:r w:rsidRPr="008A2411">
        <w:rPr>
          <w:rFonts w:ascii="Times New Roman"/>
          <w:color w:val="000000" w:themeColor="text1"/>
        </w:rPr>
        <w:t>/s</w:t>
      </w:r>
      <w:r w:rsidRPr="008A2411">
        <w:rPr>
          <w:rFonts w:ascii="Times New Roman"/>
          <w:color w:val="000000" w:themeColor="text1"/>
        </w:rPr>
        <w:t>。</w:t>
      </w:r>
    </w:p>
    <w:p w14:paraId="128600F2" w14:textId="77777777" w:rsidR="00B0005F" w:rsidRPr="008A2411" w:rsidRDefault="00000000">
      <w:pPr>
        <w:tabs>
          <w:tab w:val="left" w:pos="560"/>
        </w:tabs>
        <w:adjustRightInd w:val="0"/>
        <w:snapToGrid w:val="0"/>
        <w:spacing w:line="360" w:lineRule="auto"/>
        <w:ind w:firstLineChars="196" w:firstLine="472"/>
        <w:rPr>
          <w:rFonts w:ascii="Times New Roman"/>
          <w:color w:val="000000" w:themeColor="text1"/>
        </w:rPr>
      </w:pPr>
      <w:r w:rsidRPr="008A2411">
        <w:rPr>
          <w:rFonts w:ascii="Times New Roman"/>
          <w:b/>
          <w:bCs/>
          <w:color w:val="000000" w:themeColor="text1"/>
        </w:rPr>
        <w:t>中河</w:t>
      </w:r>
      <w:r w:rsidRPr="008A2411">
        <w:rPr>
          <w:rFonts w:ascii="Times New Roman"/>
          <w:color w:val="000000" w:themeColor="text1"/>
        </w:rPr>
        <w:t>：发源于大巴山南坡之万源市白藏山，于石</w:t>
      </w:r>
      <w:proofErr w:type="gramStart"/>
      <w:r w:rsidRPr="008A2411">
        <w:rPr>
          <w:rFonts w:ascii="Times New Roman"/>
          <w:color w:val="000000" w:themeColor="text1"/>
        </w:rPr>
        <w:t>铁乡入</w:t>
      </w:r>
      <w:proofErr w:type="gramEnd"/>
      <w:r w:rsidRPr="008A2411">
        <w:rPr>
          <w:rFonts w:ascii="Times New Roman"/>
          <w:color w:val="000000" w:themeColor="text1"/>
        </w:rPr>
        <w:t>宣汉县境，斜贯县境北部，在普光镇汇入后河，后河于宣汉县城东汇入州河，并在渠县三汇镇汇入渠江，南流至合川后注入嘉陵江。中河与后河均属山溪性河流，河面宽</w:t>
      </w:r>
      <w:r w:rsidRPr="008A2411">
        <w:rPr>
          <w:rFonts w:ascii="Times New Roman"/>
          <w:color w:val="000000" w:themeColor="text1"/>
        </w:rPr>
        <w:t>40-100m</w:t>
      </w:r>
      <w:r w:rsidRPr="008A2411">
        <w:rPr>
          <w:rFonts w:ascii="Times New Roman"/>
          <w:color w:val="000000" w:themeColor="text1"/>
        </w:rPr>
        <w:t>，水深</w:t>
      </w:r>
      <w:r w:rsidRPr="008A2411">
        <w:rPr>
          <w:rFonts w:ascii="Times New Roman"/>
          <w:color w:val="000000" w:themeColor="text1"/>
        </w:rPr>
        <w:t>15-30m</w:t>
      </w:r>
      <w:r w:rsidRPr="008A2411">
        <w:rPr>
          <w:rFonts w:ascii="Times New Roman"/>
          <w:color w:val="000000" w:themeColor="text1"/>
        </w:rPr>
        <w:t>，河谷狭窄，河道弯曲，落差大。河道</w:t>
      </w:r>
      <w:proofErr w:type="gramStart"/>
      <w:r w:rsidRPr="008A2411">
        <w:rPr>
          <w:rFonts w:ascii="Times New Roman"/>
          <w:color w:val="000000" w:themeColor="text1"/>
        </w:rPr>
        <w:t>开阔段</w:t>
      </w:r>
      <w:proofErr w:type="gramEnd"/>
      <w:r w:rsidRPr="008A2411">
        <w:rPr>
          <w:rFonts w:ascii="Times New Roman"/>
          <w:color w:val="000000" w:themeColor="text1"/>
        </w:rPr>
        <w:t>与峡谷段相间出现，滩</w:t>
      </w:r>
      <w:proofErr w:type="gramStart"/>
      <w:r w:rsidRPr="008A2411">
        <w:rPr>
          <w:rFonts w:ascii="Times New Roman"/>
          <w:color w:val="000000" w:themeColor="text1"/>
        </w:rPr>
        <w:t>沱</w:t>
      </w:r>
      <w:proofErr w:type="gramEnd"/>
      <w:r w:rsidRPr="008A2411">
        <w:rPr>
          <w:rFonts w:ascii="Times New Roman"/>
          <w:color w:val="000000" w:themeColor="text1"/>
        </w:rPr>
        <w:t>交错，水量丰富。流域面积</w:t>
      </w:r>
      <w:r w:rsidRPr="008A2411">
        <w:rPr>
          <w:rFonts w:ascii="Times New Roman"/>
          <w:color w:val="000000" w:themeColor="text1"/>
        </w:rPr>
        <w:t>1402km</w:t>
      </w:r>
      <w:r w:rsidRPr="008A2411">
        <w:rPr>
          <w:rFonts w:ascii="Times New Roman"/>
          <w:color w:val="000000" w:themeColor="text1"/>
          <w:vertAlign w:val="superscript"/>
        </w:rPr>
        <w:t>2</w:t>
      </w:r>
      <w:r w:rsidRPr="008A2411">
        <w:rPr>
          <w:rFonts w:ascii="Times New Roman"/>
          <w:color w:val="000000" w:themeColor="text1"/>
        </w:rPr>
        <w:t>，其中宣汉县内面积</w:t>
      </w:r>
      <w:r w:rsidRPr="008A2411">
        <w:rPr>
          <w:rFonts w:ascii="Times New Roman"/>
          <w:color w:val="000000" w:themeColor="text1"/>
        </w:rPr>
        <w:t>596.4km</w:t>
      </w:r>
      <w:r w:rsidRPr="008A2411">
        <w:rPr>
          <w:rFonts w:ascii="Times New Roman"/>
          <w:color w:val="000000" w:themeColor="text1"/>
          <w:vertAlign w:val="superscript"/>
        </w:rPr>
        <w:t>2</w:t>
      </w:r>
      <w:r w:rsidRPr="008A2411">
        <w:rPr>
          <w:rFonts w:ascii="Times New Roman"/>
          <w:color w:val="000000" w:themeColor="text1"/>
        </w:rPr>
        <w:t>，干流长</w:t>
      </w:r>
      <w:r w:rsidRPr="008A2411">
        <w:rPr>
          <w:rFonts w:ascii="Times New Roman"/>
          <w:color w:val="000000" w:themeColor="text1"/>
        </w:rPr>
        <w:t>51.8km</w:t>
      </w:r>
      <w:r w:rsidRPr="008A2411">
        <w:rPr>
          <w:rFonts w:ascii="Times New Roman"/>
          <w:color w:val="000000" w:themeColor="text1"/>
        </w:rPr>
        <w:t>，平均坡降</w:t>
      </w:r>
      <w:r w:rsidRPr="008A2411">
        <w:rPr>
          <w:rFonts w:ascii="Times New Roman"/>
          <w:color w:val="000000" w:themeColor="text1"/>
        </w:rPr>
        <w:t>2‰</w:t>
      </w:r>
      <w:r w:rsidRPr="008A2411">
        <w:rPr>
          <w:rFonts w:ascii="Times New Roman"/>
          <w:color w:val="000000" w:themeColor="text1"/>
        </w:rPr>
        <w:t>，河网密度</w:t>
      </w:r>
      <w:r w:rsidRPr="008A2411">
        <w:rPr>
          <w:rFonts w:ascii="Times New Roman"/>
          <w:color w:val="000000" w:themeColor="text1"/>
        </w:rPr>
        <w:t>0.23km/km</w:t>
      </w:r>
      <w:r w:rsidRPr="008A2411">
        <w:rPr>
          <w:rFonts w:ascii="Times New Roman"/>
          <w:color w:val="000000" w:themeColor="text1"/>
          <w:vertAlign w:val="superscript"/>
        </w:rPr>
        <w:t>2</w:t>
      </w:r>
      <w:r w:rsidRPr="008A2411">
        <w:rPr>
          <w:rFonts w:ascii="Times New Roman"/>
          <w:color w:val="000000" w:themeColor="text1"/>
        </w:rPr>
        <w:t>。据四川省达州水文水资源勘测局提供的水文站资料估算，最枯月平均流量</w:t>
      </w:r>
      <w:r w:rsidRPr="008A2411">
        <w:rPr>
          <w:rFonts w:ascii="Times New Roman"/>
          <w:color w:val="000000" w:themeColor="text1"/>
        </w:rPr>
        <w:t>1.26m</w:t>
      </w:r>
      <w:r w:rsidRPr="008A2411">
        <w:rPr>
          <w:rFonts w:ascii="Times New Roman"/>
          <w:color w:val="000000" w:themeColor="text1"/>
          <w:vertAlign w:val="superscript"/>
        </w:rPr>
        <w:t>3</w:t>
      </w:r>
      <w:r w:rsidRPr="008A2411">
        <w:rPr>
          <w:rFonts w:ascii="Times New Roman"/>
          <w:color w:val="000000" w:themeColor="text1"/>
        </w:rPr>
        <w:t>/s</w:t>
      </w:r>
      <w:r w:rsidRPr="008A2411">
        <w:rPr>
          <w:rFonts w:ascii="Times New Roman"/>
          <w:color w:val="000000" w:themeColor="text1"/>
        </w:rPr>
        <w:t>。</w:t>
      </w:r>
    </w:p>
    <w:p w14:paraId="39DEF119" w14:textId="77777777" w:rsidR="00B0005F" w:rsidRPr="008A2411" w:rsidRDefault="00000000">
      <w:pPr>
        <w:tabs>
          <w:tab w:val="left" w:pos="560"/>
        </w:tabs>
        <w:adjustRightInd w:val="0"/>
        <w:snapToGrid w:val="0"/>
        <w:spacing w:line="360" w:lineRule="auto"/>
        <w:ind w:firstLineChars="196" w:firstLine="472"/>
        <w:rPr>
          <w:rFonts w:ascii="Times New Roman"/>
          <w:color w:val="000000" w:themeColor="text1"/>
        </w:rPr>
      </w:pPr>
      <w:r w:rsidRPr="008A2411">
        <w:rPr>
          <w:rFonts w:ascii="Times New Roman"/>
          <w:b/>
          <w:bCs/>
          <w:color w:val="000000" w:themeColor="text1"/>
        </w:rPr>
        <w:t>后河</w:t>
      </w:r>
      <w:r w:rsidRPr="008A2411">
        <w:rPr>
          <w:rFonts w:ascii="Times New Roman"/>
          <w:color w:val="000000" w:themeColor="text1"/>
        </w:rPr>
        <w:t>：发源于万源市城北大横山，在毛坝镇入宣汉县境，纵贯西北部，于普光镇与中河汇合，至县城东江口与前河汇流归州河。流域面积</w:t>
      </w:r>
      <w:r w:rsidRPr="008A2411">
        <w:rPr>
          <w:rFonts w:ascii="Times New Roman"/>
          <w:color w:val="000000" w:themeColor="text1"/>
        </w:rPr>
        <w:t>3670.7km</w:t>
      </w:r>
      <w:r w:rsidRPr="008A2411">
        <w:rPr>
          <w:rFonts w:ascii="Times New Roman"/>
          <w:color w:val="000000" w:themeColor="text1"/>
          <w:vertAlign w:val="superscript"/>
        </w:rPr>
        <w:t>2</w:t>
      </w:r>
      <w:r w:rsidRPr="008A2411">
        <w:rPr>
          <w:rFonts w:ascii="Times New Roman"/>
          <w:color w:val="000000" w:themeColor="text1"/>
        </w:rPr>
        <w:t>，其中宣汉县内面积</w:t>
      </w:r>
      <w:r w:rsidRPr="008A2411">
        <w:rPr>
          <w:rFonts w:ascii="Times New Roman"/>
          <w:color w:val="000000" w:themeColor="text1"/>
        </w:rPr>
        <w:t>1462.3km</w:t>
      </w:r>
      <w:r w:rsidRPr="008A2411">
        <w:rPr>
          <w:rFonts w:ascii="Times New Roman"/>
          <w:color w:val="000000" w:themeColor="text1"/>
          <w:vertAlign w:val="superscript"/>
        </w:rPr>
        <w:t>2</w:t>
      </w:r>
      <w:r w:rsidRPr="008A2411">
        <w:rPr>
          <w:rFonts w:ascii="Times New Roman"/>
          <w:color w:val="000000" w:themeColor="text1"/>
        </w:rPr>
        <w:t>（包括中河面积），干流长</w:t>
      </w:r>
      <w:r w:rsidRPr="008A2411">
        <w:rPr>
          <w:rFonts w:ascii="Times New Roman"/>
          <w:color w:val="000000" w:themeColor="text1"/>
        </w:rPr>
        <w:t>56km</w:t>
      </w:r>
      <w:r w:rsidRPr="008A2411">
        <w:rPr>
          <w:rFonts w:ascii="Times New Roman"/>
          <w:color w:val="000000" w:themeColor="text1"/>
        </w:rPr>
        <w:t>，平均坡降</w:t>
      </w:r>
      <w:r w:rsidRPr="008A2411">
        <w:rPr>
          <w:rFonts w:ascii="Times New Roman"/>
          <w:color w:val="000000" w:themeColor="text1"/>
        </w:rPr>
        <w:t>1.1‰</w:t>
      </w:r>
      <w:r w:rsidRPr="008A2411">
        <w:rPr>
          <w:rFonts w:ascii="Times New Roman"/>
          <w:color w:val="000000" w:themeColor="text1"/>
        </w:rPr>
        <w:t>，河网密度</w:t>
      </w:r>
      <w:r w:rsidRPr="008A2411">
        <w:rPr>
          <w:rFonts w:ascii="Times New Roman"/>
          <w:color w:val="000000" w:themeColor="text1"/>
        </w:rPr>
        <w:t>0.25km/km</w:t>
      </w:r>
      <w:r w:rsidRPr="008A2411">
        <w:rPr>
          <w:rFonts w:ascii="Times New Roman"/>
          <w:color w:val="000000" w:themeColor="text1"/>
          <w:vertAlign w:val="superscript"/>
        </w:rPr>
        <w:t>2</w:t>
      </w:r>
      <w:r w:rsidRPr="008A2411">
        <w:rPr>
          <w:rFonts w:ascii="Times New Roman"/>
          <w:color w:val="000000" w:themeColor="text1"/>
        </w:rPr>
        <w:t>。据四川省达州水文水资源勘测局提供的水文站资料，后河毛坝入境断面的最枯月平均流量</w:t>
      </w:r>
      <w:r w:rsidRPr="008A2411">
        <w:rPr>
          <w:rFonts w:ascii="Times New Roman"/>
          <w:color w:val="000000" w:themeColor="text1"/>
        </w:rPr>
        <w:t>1.98m</w:t>
      </w:r>
      <w:r w:rsidRPr="008A2411">
        <w:rPr>
          <w:rFonts w:ascii="Times New Roman"/>
          <w:color w:val="000000" w:themeColor="text1"/>
          <w:vertAlign w:val="superscript"/>
        </w:rPr>
        <w:t>3</w:t>
      </w:r>
      <w:r w:rsidRPr="008A2411">
        <w:rPr>
          <w:rFonts w:ascii="Times New Roman"/>
          <w:color w:val="000000" w:themeColor="text1"/>
        </w:rPr>
        <w:t>/s</w:t>
      </w:r>
      <w:r w:rsidRPr="008A2411">
        <w:rPr>
          <w:rFonts w:ascii="Times New Roman"/>
          <w:color w:val="000000" w:themeColor="text1"/>
        </w:rPr>
        <w:t>；在普光镇以下、中河汇入后河之后的后河最枯月平均流量的估算结果为</w:t>
      </w:r>
      <w:r w:rsidRPr="008A2411">
        <w:rPr>
          <w:rFonts w:ascii="Times New Roman"/>
          <w:color w:val="000000" w:themeColor="text1"/>
        </w:rPr>
        <w:t>3.29m</w:t>
      </w:r>
      <w:r w:rsidRPr="008A2411">
        <w:rPr>
          <w:rFonts w:ascii="Times New Roman"/>
          <w:color w:val="000000" w:themeColor="text1"/>
          <w:vertAlign w:val="superscript"/>
        </w:rPr>
        <w:t>3</w:t>
      </w:r>
      <w:r w:rsidRPr="008A2411">
        <w:rPr>
          <w:rFonts w:ascii="Times New Roman"/>
          <w:color w:val="000000" w:themeColor="text1"/>
        </w:rPr>
        <w:t>/s</w:t>
      </w:r>
      <w:r w:rsidRPr="008A2411">
        <w:rPr>
          <w:rFonts w:ascii="Times New Roman"/>
          <w:color w:val="000000" w:themeColor="text1"/>
        </w:rPr>
        <w:t>。</w:t>
      </w:r>
    </w:p>
    <w:p w14:paraId="38D413DD" w14:textId="77777777" w:rsidR="00B0005F" w:rsidRPr="008A2411" w:rsidRDefault="00000000">
      <w:pPr>
        <w:adjustRightInd w:val="0"/>
        <w:snapToGrid w:val="0"/>
        <w:spacing w:line="360" w:lineRule="auto"/>
        <w:ind w:firstLineChars="200" w:firstLine="482"/>
        <w:rPr>
          <w:rFonts w:ascii="Times New Roman"/>
          <w:bCs/>
          <w:color w:val="000000" w:themeColor="text1"/>
        </w:rPr>
      </w:pPr>
      <w:r w:rsidRPr="008A2411">
        <w:rPr>
          <w:rFonts w:ascii="Times New Roman"/>
          <w:b/>
          <w:bCs/>
          <w:color w:val="000000" w:themeColor="text1"/>
        </w:rPr>
        <w:lastRenderedPageBreak/>
        <w:t>后巴河：</w:t>
      </w:r>
      <w:r w:rsidRPr="008A2411">
        <w:rPr>
          <w:rFonts w:ascii="Times New Roman"/>
          <w:color w:val="000000" w:themeColor="text1"/>
        </w:rPr>
        <w:t>发源于宣汉县双河镇境内，由西南向东北流经双河镇、土主镇，经过</w:t>
      </w:r>
      <w:r w:rsidRPr="008A2411">
        <w:rPr>
          <w:rFonts w:ascii="Times New Roman"/>
          <w:color w:val="000000" w:themeColor="text1"/>
        </w:rPr>
        <w:t>20km</w:t>
      </w:r>
      <w:r w:rsidRPr="008A2411">
        <w:rPr>
          <w:rFonts w:ascii="Times New Roman"/>
          <w:color w:val="000000" w:themeColor="text1"/>
        </w:rPr>
        <w:t>在普光镇汇入后河。后巴河宽约</w:t>
      </w:r>
      <w:r w:rsidRPr="008A2411">
        <w:rPr>
          <w:rFonts w:ascii="Times New Roman"/>
          <w:color w:val="000000" w:themeColor="text1"/>
        </w:rPr>
        <w:t>10m</w:t>
      </w:r>
      <w:r w:rsidRPr="008A2411">
        <w:rPr>
          <w:rFonts w:ascii="Times New Roman"/>
          <w:color w:val="000000" w:themeColor="text1"/>
        </w:rPr>
        <w:t>，最低水位</w:t>
      </w:r>
      <w:r w:rsidRPr="008A2411">
        <w:rPr>
          <w:rFonts w:ascii="Times New Roman"/>
          <w:color w:val="000000" w:themeColor="text1"/>
        </w:rPr>
        <w:t>0.08m</w:t>
      </w:r>
      <w:r w:rsidRPr="008A2411">
        <w:rPr>
          <w:rFonts w:ascii="Times New Roman"/>
          <w:color w:val="000000" w:themeColor="text1"/>
        </w:rPr>
        <w:t>，按约</w:t>
      </w:r>
      <w:r w:rsidRPr="008A2411">
        <w:rPr>
          <w:rFonts w:ascii="Times New Roman"/>
          <w:color w:val="000000" w:themeColor="text1"/>
        </w:rPr>
        <w:t>30km</w:t>
      </w:r>
      <w:r w:rsidRPr="008A2411">
        <w:rPr>
          <w:rFonts w:ascii="Times New Roman"/>
          <w:color w:val="000000" w:themeColor="text1"/>
          <w:vertAlign w:val="superscript"/>
        </w:rPr>
        <w:t>2</w:t>
      </w:r>
      <w:proofErr w:type="gramStart"/>
      <w:r w:rsidRPr="008A2411">
        <w:rPr>
          <w:rFonts w:ascii="Times New Roman"/>
          <w:color w:val="000000" w:themeColor="text1"/>
        </w:rPr>
        <w:t>汇雨面积</w:t>
      </w:r>
      <w:proofErr w:type="gramEnd"/>
      <w:r w:rsidRPr="008A2411">
        <w:rPr>
          <w:rFonts w:ascii="Times New Roman"/>
          <w:color w:val="000000" w:themeColor="text1"/>
        </w:rPr>
        <w:t>估算，最枯月平均流量仅有</w:t>
      </w:r>
      <w:r w:rsidRPr="008A2411">
        <w:rPr>
          <w:rFonts w:ascii="Times New Roman"/>
          <w:color w:val="000000" w:themeColor="text1"/>
        </w:rPr>
        <w:t>0.027 m</w:t>
      </w:r>
      <w:r w:rsidRPr="008A2411">
        <w:rPr>
          <w:rFonts w:ascii="Times New Roman"/>
          <w:color w:val="000000" w:themeColor="text1"/>
          <w:vertAlign w:val="superscript"/>
        </w:rPr>
        <w:t>3</w:t>
      </w:r>
      <w:r w:rsidRPr="008A2411">
        <w:rPr>
          <w:rFonts w:ascii="Times New Roman"/>
          <w:color w:val="000000" w:themeColor="text1"/>
        </w:rPr>
        <w:t>/s</w:t>
      </w:r>
      <w:r w:rsidRPr="008A2411">
        <w:rPr>
          <w:rFonts w:ascii="Times New Roman"/>
          <w:bCs/>
          <w:color w:val="000000" w:themeColor="text1"/>
        </w:rPr>
        <w:t>。</w:t>
      </w:r>
    </w:p>
    <w:p w14:paraId="3B0ADF93" w14:textId="77777777" w:rsidR="00B0005F" w:rsidRPr="008A2411" w:rsidRDefault="00000000">
      <w:pPr>
        <w:adjustRightInd w:val="0"/>
        <w:snapToGrid w:val="0"/>
        <w:spacing w:line="360" w:lineRule="auto"/>
        <w:ind w:firstLineChars="200" w:firstLine="482"/>
        <w:rPr>
          <w:rFonts w:ascii="Times New Roman"/>
          <w:b/>
          <w:color w:val="000000" w:themeColor="text1"/>
        </w:rPr>
      </w:pPr>
      <w:r w:rsidRPr="008A2411">
        <w:rPr>
          <w:rFonts w:ascii="Times New Roman"/>
          <w:b/>
          <w:color w:val="000000" w:themeColor="text1"/>
        </w:rPr>
        <w:t>2</w:t>
      </w:r>
      <w:r w:rsidRPr="008A2411">
        <w:rPr>
          <w:rFonts w:ascii="Times New Roman"/>
          <w:b/>
          <w:color w:val="000000" w:themeColor="text1"/>
        </w:rPr>
        <w:t>、地下水</w:t>
      </w:r>
    </w:p>
    <w:p w14:paraId="2B2FDF86" w14:textId="77777777" w:rsidR="00B0005F" w:rsidRPr="008A2411" w:rsidRDefault="00000000">
      <w:pPr>
        <w:tabs>
          <w:tab w:val="left" w:pos="560"/>
        </w:tabs>
        <w:adjustRightInd w:val="0"/>
        <w:snapToGrid w:val="0"/>
        <w:spacing w:line="360" w:lineRule="auto"/>
        <w:ind w:firstLineChars="200" w:firstLine="480"/>
        <w:rPr>
          <w:rFonts w:ascii="Times New Roman"/>
          <w:color w:val="000000" w:themeColor="text1"/>
        </w:rPr>
      </w:pPr>
      <w:r w:rsidRPr="008A2411">
        <w:rPr>
          <w:rFonts w:ascii="Times New Roman"/>
          <w:color w:val="000000" w:themeColor="text1"/>
        </w:rPr>
        <w:t>根据《四川省水文地质区划》，普光经开区属于四川盆地及盆周山地湿润气候水文地质区－四川盆地方山</w:t>
      </w:r>
      <w:proofErr w:type="gramStart"/>
      <w:r w:rsidRPr="008A2411">
        <w:rPr>
          <w:rFonts w:ascii="Times New Roman"/>
          <w:color w:val="000000" w:themeColor="text1"/>
        </w:rPr>
        <w:t>丘陵副</w:t>
      </w:r>
      <w:proofErr w:type="gramEnd"/>
      <w:r w:rsidRPr="008A2411">
        <w:rPr>
          <w:rFonts w:ascii="Times New Roman"/>
          <w:color w:val="000000" w:themeColor="text1"/>
        </w:rPr>
        <w:t>区－盆中丘陵红</w:t>
      </w:r>
      <w:proofErr w:type="gramStart"/>
      <w:r w:rsidRPr="008A2411">
        <w:rPr>
          <w:rFonts w:ascii="Times New Roman"/>
          <w:color w:val="000000" w:themeColor="text1"/>
        </w:rPr>
        <w:t>层裂屑水亚区</w:t>
      </w:r>
      <w:proofErr w:type="gramEnd"/>
      <w:r w:rsidRPr="008A2411">
        <w:rPr>
          <w:rFonts w:ascii="Times New Roman"/>
          <w:color w:val="000000" w:themeColor="text1"/>
        </w:rPr>
        <w:t>。</w:t>
      </w:r>
    </w:p>
    <w:p w14:paraId="669ED857" w14:textId="77777777" w:rsidR="00B0005F" w:rsidRPr="008A2411" w:rsidRDefault="00000000">
      <w:pPr>
        <w:tabs>
          <w:tab w:val="left" w:pos="560"/>
        </w:tabs>
        <w:adjustRightInd w:val="0"/>
        <w:snapToGrid w:val="0"/>
        <w:spacing w:line="360" w:lineRule="auto"/>
        <w:ind w:firstLineChars="200" w:firstLine="480"/>
        <w:rPr>
          <w:rFonts w:ascii="Times New Roman"/>
          <w:color w:val="000000" w:themeColor="text1"/>
        </w:rPr>
      </w:pPr>
      <w:r w:rsidRPr="008A2411">
        <w:rPr>
          <w:rFonts w:ascii="Times New Roman"/>
          <w:color w:val="000000" w:themeColor="text1"/>
        </w:rPr>
        <w:t>区内红层为典型的陆相沉积，总厚度达</w:t>
      </w:r>
      <w:r w:rsidRPr="008A2411">
        <w:rPr>
          <w:rFonts w:ascii="Times New Roman"/>
          <w:color w:val="000000" w:themeColor="text1"/>
        </w:rPr>
        <w:t>5000-6000m</w:t>
      </w:r>
      <w:r w:rsidRPr="008A2411">
        <w:rPr>
          <w:rFonts w:ascii="Times New Roman"/>
          <w:color w:val="000000" w:themeColor="text1"/>
        </w:rPr>
        <w:t>。自北向南，由新到老，呈条带状依次展布。红层岩性单一，以紫红、棕红色砂岩、泥岩为主，偶见砾岩、页岩及灰岩。岩性、岩相纵横</w:t>
      </w:r>
      <w:proofErr w:type="gramStart"/>
      <w:r w:rsidRPr="008A2411">
        <w:rPr>
          <w:rFonts w:ascii="Times New Roman"/>
          <w:color w:val="000000" w:themeColor="text1"/>
        </w:rPr>
        <w:t>向变化</w:t>
      </w:r>
      <w:proofErr w:type="gramEnd"/>
      <w:r w:rsidRPr="008A2411">
        <w:rPr>
          <w:rFonts w:ascii="Times New Roman"/>
          <w:color w:val="000000" w:themeColor="text1"/>
        </w:rPr>
        <w:t>均较大。砂岩多为钙质胶结。泥岩常含砂质，普遍含钙质，且含脉状、薄层状及斑块状石膏。中、上</w:t>
      </w:r>
      <w:proofErr w:type="gramStart"/>
      <w:r w:rsidRPr="008A2411">
        <w:rPr>
          <w:rFonts w:ascii="Times New Roman"/>
          <w:color w:val="000000" w:themeColor="text1"/>
        </w:rPr>
        <w:t>侏</w:t>
      </w:r>
      <w:proofErr w:type="gramEnd"/>
      <w:r w:rsidRPr="008A2411">
        <w:rPr>
          <w:rFonts w:ascii="Times New Roman"/>
          <w:color w:val="000000" w:themeColor="text1"/>
        </w:rPr>
        <w:t>罗统砂、泥岩层为本区主要含水层，</w:t>
      </w:r>
      <w:proofErr w:type="gramStart"/>
      <w:r w:rsidRPr="008A2411">
        <w:rPr>
          <w:rFonts w:ascii="Times New Roman"/>
          <w:color w:val="000000" w:themeColor="text1"/>
        </w:rPr>
        <w:t>其岩性</w:t>
      </w:r>
      <w:proofErr w:type="gramEnd"/>
      <w:r w:rsidRPr="008A2411">
        <w:rPr>
          <w:rFonts w:ascii="Times New Roman"/>
          <w:color w:val="000000" w:themeColor="text1"/>
        </w:rPr>
        <w:t>组合、岩石成分的差异和岩相的区域变化无疑是</w:t>
      </w:r>
      <w:proofErr w:type="gramStart"/>
      <w:r w:rsidRPr="008A2411">
        <w:rPr>
          <w:rFonts w:ascii="Times New Roman"/>
          <w:color w:val="000000" w:themeColor="text1"/>
        </w:rPr>
        <w:t>决定区域赋水特征</w:t>
      </w:r>
      <w:proofErr w:type="gramEnd"/>
      <w:r w:rsidRPr="008A2411">
        <w:rPr>
          <w:rFonts w:ascii="Times New Roman"/>
          <w:color w:val="000000" w:themeColor="text1"/>
        </w:rPr>
        <w:t>、富水性及其变化的主要因素。</w:t>
      </w:r>
    </w:p>
    <w:p w14:paraId="76DE7870" w14:textId="77777777" w:rsidR="00B0005F" w:rsidRPr="008A2411" w:rsidRDefault="00000000">
      <w:pPr>
        <w:tabs>
          <w:tab w:val="left" w:pos="560"/>
        </w:tabs>
        <w:adjustRightInd w:val="0"/>
        <w:snapToGrid w:val="0"/>
        <w:spacing w:line="360" w:lineRule="auto"/>
        <w:ind w:firstLineChars="200" w:firstLine="480"/>
        <w:rPr>
          <w:rFonts w:ascii="Times New Roman"/>
          <w:color w:val="000000" w:themeColor="text1"/>
        </w:rPr>
      </w:pPr>
      <w:r w:rsidRPr="008A2411">
        <w:rPr>
          <w:rFonts w:ascii="Times New Roman"/>
          <w:color w:val="000000" w:themeColor="text1"/>
        </w:rPr>
        <w:t>地质构造既是控制红层承压水及构造裂隙水形成和富水性变化的决定性条件；构造裂隙和构造破裂面又是区域内风化裂隙发育的重要基础。红层区地下水性质属裂隙性，地下水裂隙展布的空间，就是地下水储集、运移的空间，裂隙富集层段就是地下水富集层。基岩裂隙水广泛分布全区，地表出露普遍，井、泉众多，一般埋深较浅（</w:t>
      </w:r>
      <w:r w:rsidRPr="008A2411">
        <w:rPr>
          <w:rFonts w:ascii="Times New Roman"/>
          <w:color w:val="000000" w:themeColor="text1"/>
        </w:rPr>
        <w:t>10-200m</w:t>
      </w:r>
      <w:r w:rsidRPr="008A2411">
        <w:rPr>
          <w:rFonts w:ascii="Times New Roman"/>
          <w:color w:val="000000" w:themeColor="text1"/>
        </w:rPr>
        <w:t>），几乎都产出在风化带影响范围之内。平面上呈东西向展布，与所处构造部位有关，出露总厚度为</w:t>
      </w:r>
      <w:r w:rsidRPr="008A2411">
        <w:rPr>
          <w:rFonts w:ascii="Times New Roman"/>
          <w:color w:val="000000" w:themeColor="text1"/>
        </w:rPr>
        <w:t>680m</w:t>
      </w:r>
      <w:r w:rsidRPr="008A2411">
        <w:rPr>
          <w:rFonts w:ascii="Times New Roman"/>
          <w:color w:val="000000" w:themeColor="text1"/>
        </w:rPr>
        <w:t>，主要为一套砂、</w:t>
      </w:r>
      <w:proofErr w:type="gramStart"/>
      <w:r w:rsidRPr="008A2411">
        <w:rPr>
          <w:rFonts w:ascii="Times New Roman"/>
          <w:color w:val="000000" w:themeColor="text1"/>
        </w:rPr>
        <w:t>泥岩互层的</w:t>
      </w:r>
      <w:proofErr w:type="gramEnd"/>
      <w:r w:rsidRPr="008A2411">
        <w:rPr>
          <w:rFonts w:ascii="Times New Roman"/>
          <w:color w:val="000000" w:themeColor="text1"/>
        </w:rPr>
        <w:t>河、湖沉积，岩相变化较大，分布面积接近</w:t>
      </w:r>
      <w:r w:rsidRPr="008A2411">
        <w:rPr>
          <w:rFonts w:ascii="Times New Roman"/>
          <w:color w:val="000000" w:themeColor="text1"/>
        </w:rPr>
        <w:t>2400km</w:t>
      </w:r>
      <w:r w:rsidRPr="008A2411">
        <w:rPr>
          <w:rFonts w:ascii="Times New Roman"/>
          <w:color w:val="000000" w:themeColor="text1"/>
          <w:vertAlign w:val="superscript"/>
        </w:rPr>
        <w:t>2</w:t>
      </w:r>
      <w:r w:rsidRPr="008A2411">
        <w:rPr>
          <w:rFonts w:ascii="Times New Roman"/>
          <w:color w:val="000000" w:themeColor="text1"/>
        </w:rPr>
        <w:t>。含水层的埋藏特点以及补给、径流、排泄条件，决定区内地下水的水质、水量。地下水主要赋存特征如下：</w:t>
      </w:r>
    </w:p>
    <w:p w14:paraId="4FBF6409" w14:textId="77777777" w:rsidR="00B0005F" w:rsidRPr="008A2411" w:rsidRDefault="00000000">
      <w:pPr>
        <w:tabs>
          <w:tab w:val="left" w:pos="560"/>
        </w:tabs>
        <w:adjustRightInd w:val="0"/>
        <w:snapToGrid w:val="0"/>
        <w:spacing w:line="360" w:lineRule="auto"/>
        <w:ind w:firstLineChars="200" w:firstLine="480"/>
        <w:rPr>
          <w:rFonts w:ascii="Times New Roman"/>
          <w:color w:val="000000" w:themeColor="text1"/>
        </w:rPr>
      </w:pPr>
      <w:r w:rsidRPr="008A2411">
        <w:rPr>
          <w:rFonts w:ascii="Times New Roman"/>
          <w:color w:val="000000" w:themeColor="text1"/>
        </w:rPr>
        <w:t>①</w:t>
      </w:r>
      <w:r w:rsidRPr="008A2411">
        <w:rPr>
          <w:rFonts w:ascii="Times New Roman"/>
          <w:color w:val="000000" w:themeColor="text1"/>
        </w:rPr>
        <w:t>风化带网状裂隙水分布十分广泛。</w:t>
      </w:r>
    </w:p>
    <w:p w14:paraId="7C6D9724" w14:textId="77777777" w:rsidR="00B0005F" w:rsidRPr="008A2411" w:rsidRDefault="00000000">
      <w:pPr>
        <w:tabs>
          <w:tab w:val="left" w:pos="560"/>
        </w:tabs>
        <w:adjustRightInd w:val="0"/>
        <w:snapToGrid w:val="0"/>
        <w:spacing w:line="360" w:lineRule="auto"/>
        <w:ind w:firstLineChars="200" w:firstLine="480"/>
        <w:rPr>
          <w:rFonts w:ascii="Times New Roman"/>
          <w:color w:val="000000" w:themeColor="text1"/>
        </w:rPr>
      </w:pPr>
      <w:r w:rsidRPr="008A2411">
        <w:rPr>
          <w:rFonts w:ascii="Times New Roman"/>
          <w:color w:val="000000" w:themeColor="text1"/>
        </w:rPr>
        <w:t>根据地下水储水性质及埋藏条件，本区基岩裂隙水皆埋藏于浅部砂、泥岩之风化带中，以砂岩裂隙和泥岩网状微细裂隙储集为主，孔隙储集次之，局部地区兼有溶蚀孔隙裂隙储水。多属潜水类型，部分微具承压。其分布相当广泛，无论是田边地角、丘陵谷旁，凡有汇水条件的地方均可见及，但主要还是位于河谷与丘间汇水面积较大之洼地，并形成相对富集带。</w:t>
      </w:r>
    </w:p>
    <w:p w14:paraId="134C332C" w14:textId="77777777" w:rsidR="00B0005F" w:rsidRPr="008A2411" w:rsidRDefault="00000000">
      <w:pPr>
        <w:tabs>
          <w:tab w:val="left" w:pos="560"/>
        </w:tabs>
        <w:adjustRightInd w:val="0"/>
        <w:snapToGrid w:val="0"/>
        <w:spacing w:line="360" w:lineRule="auto"/>
        <w:ind w:firstLineChars="200" w:firstLine="480"/>
        <w:rPr>
          <w:rFonts w:ascii="Times New Roman"/>
          <w:color w:val="000000" w:themeColor="text1"/>
        </w:rPr>
      </w:pPr>
      <w:r w:rsidRPr="008A2411">
        <w:rPr>
          <w:rFonts w:ascii="Times New Roman"/>
          <w:color w:val="000000" w:themeColor="text1"/>
        </w:rPr>
        <w:t>②</w:t>
      </w:r>
      <w:r w:rsidRPr="008A2411">
        <w:rPr>
          <w:rFonts w:ascii="Times New Roman"/>
          <w:color w:val="000000" w:themeColor="text1"/>
        </w:rPr>
        <w:t>各地段富水性一般较差，水量极不均匀。</w:t>
      </w:r>
    </w:p>
    <w:p w14:paraId="6D53D275" w14:textId="77777777" w:rsidR="00B0005F" w:rsidRPr="008A2411" w:rsidRDefault="00000000">
      <w:pPr>
        <w:tabs>
          <w:tab w:val="left" w:pos="560"/>
        </w:tabs>
        <w:adjustRightInd w:val="0"/>
        <w:snapToGrid w:val="0"/>
        <w:spacing w:line="360" w:lineRule="auto"/>
        <w:ind w:firstLineChars="200" w:firstLine="480"/>
        <w:rPr>
          <w:rFonts w:ascii="Times New Roman"/>
          <w:color w:val="000000" w:themeColor="text1"/>
        </w:rPr>
      </w:pPr>
      <w:r w:rsidRPr="008A2411">
        <w:rPr>
          <w:rFonts w:ascii="Times New Roman"/>
          <w:color w:val="000000" w:themeColor="text1"/>
        </w:rPr>
        <w:t>据</w:t>
      </w:r>
      <w:r w:rsidRPr="008A2411">
        <w:rPr>
          <w:rFonts w:ascii="Times New Roman"/>
          <w:color w:val="000000" w:themeColor="text1"/>
        </w:rPr>
        <w:t>1:20</w:t>
      </w:r>
      <w:r w:rsidRPr="008A2411">
        <w:rPr>
          <w:rFonts w:ascii="Times New Roman"/>
          <w:color w:val="000000" w:themeColor="text1"/>
        </w:rPr>
        <w:t>万区域水文地质普查报告统计，在广大红层丘陵区，</w:t>
      </w:r>
      <w:r w:rsidRPr="008A2411">
        <w:rPr>
          <w:rFonts w:ascii="Times New Roman"/>
          <w:color w:val="000000" w:themeColor="text1"/>
        </w:rPr>
        <w:t>60%</w:t>
      </w:r>
      <w:r w:rsidRPr="008A2411">
        <w:rPr>
          <w:rFonts w:ascii="Times New Roman"/>
          <w:color w:val="000000" w:themeColor="text1"/>
        </w:rPr>
        <w:t>以上的泉水流量在</w:t>
      </w:r>
      <w:r w:rsidRPr="008A2411">
        <w:rPr>
          <w:rFonts w:ascii="Times New Roman"/>
          <w:color w:val="000000" w:themeColor="text1"/>
        </w:rPr>
        <w:t>0.05L/s</w:t>
      </w:r>
      <w:r w:rsidRPr="008A2411">
        <w:rPr>
          <w:rFonts w:ascii="Times New Roman"/>
          <w:color w:val="000000" w:themeColor="text1"/>
        </w:rPr>
        <w:t>以下，超过</w:t>
      </w:r>
      <w:r w:rsidRPr="008A2411">
        <w:rPr>
          <w:rFonts w:ascii="Times New Roman"/>
          <w:color w:val="000000" w:themeColor="text1"/>
        </w:rPr>
        <w:t>0.1L/s</w:t>
      </w:r>
      <w:r w:rsidRPr="008A2411">
        <w:rPr>
          <w:rFonts w:ascii="Times New Roman"/>
          <w:color w:val="000000" w:themeColor="text1"/>
        </w:rPr>
        <w:t>的大泉仅占</w:t>
      </w:r>
      <w:r w:rsidRPr="008A2411">
        <w:rPr>
          <w:rFonts w:ascii="Times New Roman"/>
          <w:color w:val="000000" w:themeColor="text1"/>
        </w:rPr>
        <w:t>16%</w:t>
      </w:r>
      <w:r w:rsidRPr="008A2411">
        <w:rPr>
          <w:rFonts w:ascii="Times New Roman"/>
          <w:color w:val="000000" w:themeColor="text1"/>
        </w:rPr>
        <w:t>，其中最大的只达</w:t>
      </w:r>
      <w:r w:rsidRPr="008A2411">
        <w:rPr>
          <w:rFonts w:ascii="Times New Roman"/>
          <w:color w:val="000000" w:themeColor="text1"/>
        </w:rPr>
        <w:t>0.15L/s</w:t>
      </w:r>
      <w:r w:rsidRPr="008A2411">
        <w:rPr>
          <w:rFonts w:ascii="Times New Roman"/>
          <w:color w:val="000000" w:themeColor="text1"/>
        </w:rPr>
        <w:lastRenderedPageBreak/>
        <w:t>左右。</w:t>
      </w:r>
      <w:r w:rsidRPr="008A2411">
        <w:rPr>
          <w:rFonts w:ascii="Times New Roman"/>
          <w:color w:val="000000" w:themeColor="text1"/>
        </w:rPr>
        <w:t>80%</w:t>
      </w:r>
      <w:r w:rsidRPr="008A2411">
        <w:rPr>
          <w:rFonts w:ascii="Times New Roman"/>
          <w:color w:val="000000" w:themeColor="text1"/>
        </w:rPr>
        <w:t>以上的地区单孔涌水量在</w:t>
      </w:r>
      <w:r w:rsidRPr="008A2411">
        <w:rPr>
          <w:rFonts w:ascii="Times New Roman"/>
          <w:color w:val="000000" w:themeColor="text1"/>
        </w:rPr>
        <w:t>100t/d</w:t>
      </w:r>
      <w:r w:rsidRPr="008A2411">
        <w:rPr>
          <w:rFonts w:ascii="Times New Roman"/>
          <w:color w:val="000000" w:themeColor="text1"/>
        </w:rPr>
        <w:t>以下，其中单孔涌水量小于</w:t>
      </w:r>
      <w:r w:rsidRPr="008A2411">
        <w:rPr>
          <w:rFonts w:ascii="Times New Roman"/>
          <w:color w:val="000000" w:themeColor="text1"/>
        </w:rPr>
        <w:t>30t/d</w:t>
      </w:r>
      <w:r w:rsidRPr="008A2411">
        <w:rPr>
          <w:rFonts w:ascii="Times New Roman"/>
          <w:color w:val="000000" w:themeColor="text1"/>
        </w:rPr>
        <w:t>的地区占</w:t>
      </w:r>
      <w:r w:rsidRPr="008A2411">
        <w:rPr>
          <w:rFonts w:ascii="Times New Roman"/>
          <w:color w:val="000000" w:themeColor="text1"/>
        </w:rPr>
        <w:t>30%</w:t>
      </w:r>
      <w:r w:rsidRPr="008A2411">
        <w:rPr>
          <w:rFonts w:ascii="Times New Roman"/>
          <w:color w:val="000000" w:themeColor="text1"/>
        </w:rPr>
        <w:t>左右。这种不均匀性在区域上的表现通常是贫中有富，即在广大贫水地区存在着一些相对富水地段。而这些富水地段的泉水流量一般为</w:t>
      </w:r>
      <w:r w:rsidRPr="008A2411">
        <w:rPr>
          <w:rFonts w:ascii="Times New Roman"/>
          <w:color w:val="000000" w:themeColor="text1"/>
        </w:rPr>
        <w:t>0.105</w:t>
      </w:r>
      <w:r w:rsidRPr="008A2411">
        <w:rPr>
          <w:rFonts w:ascii="Times New Roman"/>
          <w:color w:val="000000" w:themeColor="text1"/>
        </w:rPr>
        <w:t>～</w:t>
      </w:r>
      <w:r w:rsidRPr="008A2411">
        <w:rPr>
          <w:rFonts w:ascii="Times New Roman"/>
          <w:color w:val="000000" w:themeColor="text1"/>
        </w:rPr>
        <w:t>0.15L/s</w:t>
      </w:r>
      <w:r w:rsidRPr="008A2411">
        <w:rPr>
          <w:rFonts w:ascii="Times New Roman"/>
          <w:color w:val="000000" w:themeColor="text1"/>
        </w:rPr>
        <w:t>，钻孔涌水量</w:t>
      </w:r>
      <w:r w:rsidRPr="008A2411">
        <w:rPr>
          <w:rFonts w:ascii="Times New Roman"/>
          <w:color w:val="000000" w:themeColor="text1"/>
        </w:rPr>
        <w:t>100</w:t>
      </w:r>
      <w:r w:rsidRPr="008A2411">
        <w:rPr>
          <w:rFonts w:ascii="Times New Roman"/>
          <w:color w:val="000000" w:themeColor="text1"/>
        </w:rPr>
        <w:t>～</w:t>
      </w:r>
      <w:r w:rsidRPr="008A2411">
        <w:rPr>
          <w:rFonts w:ascii="Times New Roman"/>
          <w:color w:val="000000" w:themeColor="text1"/>
        </w:rPr>
        <w:t>1000t/d</w:t>
      </w:r>
      <w:r w:rsidRPr="008A2411">
        <w:rPr>
          <w:rFonts w:ascii="Times New Roman"/>
          <w:color w:val="000000" w:themeColor="text1"/>
        </w:rPr>
        <w:t>，其面积一般只占基岩裂隙水地区的</w:t>
      </w:r>
      <w:r w:rsidRPr="008A2411">
        <w:rPr>
          <w:rFonts w:ascii="Times New Roman"/>
          <w:color w:val="000000" w:themeColor="text1"/>
        </w:rPr>
        <w:t>10%</w:t>
      </w:r>
      <w:r w:rsidRPr="008A2411">
        <w:rPr>
          <w:rFonts w:ascii="Times New Roman"/>
          <w:color w:val="000000" w:themeColor="text1"/>
        </w:rPr>
        <w:t>～</w:t>
      </w:r>
      <w:r w:rsidRPr="008A2411">
        <w:rPr>
          <w:rFonts w:ascii="Times New Roman"/>
          <w:color w:val="000000" w:themeColor="text1"/>
        </w:rPr>
        <w:t>15%</w:t>
      </w:r>
      <w:r w:rsidRPr="008A2411">
        <w:rPr>
          <w:rFonts w:ascii="Times New Roman"/>
          <w:color w:val="000000" w:themeColor="text1"/>
        </w:rPr>
        <w:t>。另外，这种不均匀性还表现在同一局部地区或同一含水层富水性的悬殊上，这大概正是基岩风化裂隙水的特点。由此可见，富水地段并非井</w:t>
      </w:r>
      <w:proofErr w:type="gramStart"/>
      <w:r w:rsidRPr="008A2411">
        <w:rPr>
          <w:rFonts w:ascii="Times New Roman"/>
          <w:color w:val="000000" w:themeColor="text1"/>
        </w:rPr>
        <w:t>井</w:t>
      </w:r>
      <w:proofErr w:type="gramEnd"/>
      <w:r w:rsidRPr="008A2411">
        <w:rPr>
          <w:rFonts w:ascii="Times New Roman"/>
          <w:color w:val="000000" w:themeColor="text1"/>
        </w:rPr>
        <w:t>富水，贫水地段并非井</w:t>
      </w:r>
      <w:proofErr w:type="gramStart"/>
      <w:r w:rsidRPr="008A2411">
        <w:rPr>
          <w:rFonts w:ascii="Times New Roman"/>
          <w:color w:val="000000" w:themeColor="text1"/>
        </w:rPr>
        <w:t>井</w:t>
      </w:r>
      <w:proofErr w:type="gramEnd"/>
      <w:r w:rsidRPr="008A2411">
        <w:rPr>
          <w:rFonts w:ascii="Times New Roman"/>
          <w:color w:val="000000" w:themeColor="text1"/>
        </w:rPr>
        <w:t>贫水，水量多少实际上与具体井位的选择有很大关系；即使在同一含水层中，由于岩性、裂隙发育程度的变化，其含水性在不同的井、孔中也可能相差十分悬殊。</w:t>
      </w:r>
    </w:p>
    <w:p w14:paraId="43BDCA8A" w14:textId="77777777" w:rsidR="00B0005F" w:rsidRPr="008A2411" w:rsidRDefault="00000000">
      <w:pPr>
        <w:tabs>
          <w:tab w:val="left" w:pos="560"/>
        </w:tabs>
        <w:adjustRightInd w:val="0"/>
        <w:snapToGrid w:val="0"/>
        <w:spacing w:line="360" w:lineRule="auto"/>
        <w:ind w:firstLineChars="200" w:firstLine="480"/>
        <w:rPr>
          <w:rFonts w:ascii="Times New Roman"/>
          <w:color w:val="000000" w:themeColor="text1"/>
        </w:rPr>
      </w:pPr>
      <w:r w:rsidRPr="008A2411">
        <w:rPr>
          <w:rFonts w:ascii="Times New Roman"/>
          <w:color w:val="000000" w:themeColor="text1"/>
        </w:rPr>
        <w:t>③</w:t>
      </w:r>
      <w:r w:rsidRPr="008A2411">
        <w:rPr>
          <w:rFonts w:ascii="Times New Roman"/>
          <w:color w:val="000000" w:themeColor="text1"/>
        </w:rPr>
        <w:t>地下水位高，埋深浅，淡水带厚度通常较薄。</w:t>
      </w:r>
    </w:p>
    <w:p w14:paraId="630FE9AC" w14:textId="77777777" w:rsidR="00B0005F" w:rsidRPr="008A2411" w:rsidRDefault="00000000">
      <w:pPr>
        <w:tabs>
          <w:tab w:val="left" w:pos="560"/>
        </w:tabs>
        <w:adjustRightInd w:val="0"/>
        <w:snapToGrid w:val="0"/>
        <w:spacing w:line="360" w:lineRule="auto"/>
        <w:ind w:firstLineChars="200" w:firstLine="480"/>
        <w:rPr>
          <w:rFonts w:ascii="Times New Roman"/>
          <w:color w:val="000000" w:themeColor="text1"/>
        </w:rPr>
      </w:pPr>
      <w:r w:rsidRPr="008A2411">
        <w:rPr>
          <w:rFonts w:ascii="Times New Roman"/>
          <w:color w:val="000000" w:themeColor="text1"/>
        </w:rPr>
        <w:t>本区基岩裂隙水一般为潜水，其埋深</w:t>
      </w:r>
      <w:r w:rsidRPr="008A2411">
        <w:rPr>
          <w:rFonts w:ascii="Times New Roman"/>
          <w:color w:val="000000" w:themeColor="text1"/>
        </w:rPr>
        <w:t>80%</w:t>
      </w:r>
      <w:r w:rsidRPr="008A2411">
        <w:rPr>
          <w:rFonts w:ascii="Times New Roman"/>
          <w:color w:val="000000" w:themeColor="text1"/>
        </w:rPr>
        <w:t>以上的在</w:t>
      </w:r>
      <w:r w:rsidRPr="008A2411">
        <w:rPr>
          <w:rFonts w:ascii="Times New Roman"/>
          <w:color w:val="000000" w:themeColor="text1"/>
        </w:rPr>
        <w:t>0-5m</w:t>
      </w:r>
      <w:r w:rsidRPr="008A2411">
        <w:rPr>
          <w:rFonts w:ascii="Times New Roman"/>
          <w:color w:val="000000" w:themeColor="text1"/>
        </w:rPr>
        <w:t>之间，尤以</w:t>
      </w:r>
      <w:r w:rsidRPr="008A2411">
        <w:rPr>
          <w:rFonts w:ascii="Times New Roman"/>
          <w:color w:val="000000" w:themeColor="text1"/>
        </w:rPr>
        <w:t>0-3m</w:t>
      </w:r>
      <w:r w:rsidRPr="008A2411">
        <w:rPr>
          <w:rFonts w:ascii="Times New Roman"/>
          <w:color w:val="000000" w:themeColor="text1"/>
        </w:rPr>
        <w:t>为多。但在上沙</w:t>
      </w:r>
      <w:proofErr w:type="gramStart"/>
      <w:r w:rsidRPr="008A2411">
        <w:rPr>
          <w:rFonts w:ascii="Times New Roman"/>
          <w:color w:val="000000" w:themeColor="text1"/>
        </w:rPr>
        <w:t>溪庙组分布</w:t>
      </w:r>
      <w:proofErr w:type="gramEnd"/>
      <w:r w:rsidRPr="008A2411">
        <w:rPr>
          <w:rFonts w:ascii="Times New Roman"/>
          <w:color w:val="000000" w:themeColor="text1"/>
        </w:rPr>
        <w:t>的丘陵区，也有水位较深者。另外，在裂隙潜水广泛分布的背景下，亦有时可见局部承压水出现。究其原因主要是与覆盖层性质有关，即在以泥岩为含水层的宽谷丘陵区，不仅覆盖层以第四系黏性土为主，而且基岩顶部强风化层在地下水作用下也多强烈泥化，而具有隔水性。这种由二者所共同组成沟谷中的隔水层，势必会使浅层地下水具有一定的承压性质。另一种原因则可能与局部构造因素有关，即它们或许正处于背斜倾角由陡变缓的倾末端或转折端。</w:t>
      </w:r>
    </w:p>
    <w:p w14:paraId="748447A5" w14:textId="77777777" w:rsidR="00B0005F" w:rsidRPr="008A2411" w:rsidRDefault="00000000">
      <w:pPr>
        <w:tabs>
          <w:tab w:val="left" w:pos="560"/>
        </w:tabs>
        <w:adjustRightInd w:val="0"/>
        <w:snapToGrid w:val="0"/>
        <w:spacing w:line="360" w:lineRule="auto"/>
        <w:ind w:firstLineChars="200" w:firstLine="480"/>
        <w:rPr>
          <w:rFonts w:ascii="Times New Roman"/>
          <w:color w:val="000000" w:themeColor="text1"/>
        </w:rPr>
      </w:pPr>
      <w:r w:rsidRPr="008A2411">
        <w:rPr>
          <w:rFonts w:ascii="Times New Roman"/>
          <w:color w:val="000000" w:themeColor="text1"/>
        </w:rPr>
        <w:t>④</w:t>
      </w:r>
      <w:r w:rsidRPr="008A2411">
        <w:rPr>
          <w:rFonts w:ascii="Times New Roman"/>
          <w:color w:val="000000" w:themeColor="text1"/>
        </w:rPr>
        <w:t>地下水补给、径流、排泄条件良好，动态不稳定。</w:t>
      </w:r>
    </w:p>
    <w:p w14:paraId="11BD6ED1" w14:textId="77777777" w:rsidR="00B0005F" w:rsidRPr="008A2411" w:rsidRDefault="00000000">
      <w:pPr>
        <w:tabs>
          <w:tab w:val="left" w:pos="560"/>
        </w:tabs>
        <w:adjustRightInd w:val="0"/>
        <w:snapToGrid w:val="0"/>
        <w:spacing w:line="360" w:lineRule="auto"/>
        <w:ind w:firstLineChars="200" w:firstLine="480"/>
        <w:rPr>
          <w:rFonts w:ascii="Times New Roman"/>
          <w:color w:val="000000" w:themeColor="text1"/>
        </w:rPr>
      </w:pPr>
      <w:r w:rsidRPr="008A2411">
        <w:rPr>
          <w:rFonts w:ascii="Times New Roman"/>
          <w:color w:val="000000" w:themeColor="text1"/>
        </w:rPr>
        <w:t>红层浅层地下水是可供饮用和灌溉的优良淡矿化水，这已被</w:t>
      </w:r>
      <w:proofErr w:type="gramStart"/>
      <w:r w:rsidRPr="008A2411">
        <w:rPr>
          <w:rFonts w:ascii="Times New Roman"/>
          <w:color w:val="000000" w:themeColor="text1"/>
        </w:rPr>
        <w:t>大量井</w:t>
      </w:r>
      <w:proofErr w:type="gramEnd"/>
      <w:r w:rsidRPr="008A2411">
        <w:rPr>
          <w:rFonts w:ascii="Times New Roman"/>
          <w:color w:val="000000" w:themeColor="text1"/>
        </w:rPr>
        <w:t>泉和数百个钻孔水质分析资料证实。但由于红层盆地特点，其淡水带深度一般不大，红层风化裂隙带发育深度一般在</w:t>
      </w:r>
      <w:r w:rsidRPr="008A2411">
        <w:rPr>
          <w:rFonts w:ascii="Times New Roman"/>
          <w:color w:val="000000" w:themeColor="text1"/>
        </w:rPr>
        <w:t>20-30m</w:t>
      </w:r>
      <w:r w:rsidRPr="008A2411">
        <w:rPr>
          <w:rFonts w:ascii="Times New Roman"/>
          <w:color w:val="000000" w:themeColor="text1"/>
        </w:rPr>
        <w:t>，地下水位埋深在沟谷地带一般为</w:t>
      </w:r>
      <w:r w:rsidRPr="008A2411">
        <w:rPr>
          <w:rFonts w:ascii="Times New Roman"/>
          <w:color w:val="000000" w:themeColor="text1"/>
        </w:rPr>
        <w:t>3-5 m</w:t>
      </w:r>
      <w:r w:rsidRPr="008A2411">
        <w:rPr>
          <w:rFonts w:ascii="Times New Roman"/>
          <w:color w:val="000000" w:themeColor="text1"/>
        </w:rPr>
        <w:t>，丘坡下部一般</w:t>
      </w:r>
      <w:r w:rsidRPr="008A2411">
        <w:rPr>
          <w:rFonts w:ascii="Times New Roman"/>
          <w:color w:val="000000" w:themeColor="text1"/>
        </w:rPr>
        <w:t>6-9 m</w:t>
      </w:r>
      <w:r w:rsidRPr="008A2411">
        <w:rPr>
          <w:rFonts w:ascii="Times New Roman"/>
          <w:color w:val="000000" w:themeColor="text1"/>
        </w:rPr>
        <w:t>，井深</w:t>
      </w:r>
      <w:r w:rsidRPr="008A2411">
        <w:rPr>
          <w:rFonts w:ascii="Times New Roman"/>
          <w:color w:val="000000" w:themeColor="text1"/>
        </w:rPr>
        <w:t>20m</w:t>
      </w:r>
      <w:r w:rsidRPr="008A2411">
        <w:rPr>
          <w:rFonts w:ascii="Times New Roman"/>
          <w:color w:val="000000" w:themeColor="text1"/>
        </w:rPr>
        <w:t>左右一般可揭露主要潜水含水层。因向下部多迅速转为微咸水、咸水，以至盐卤水所接替。淡水带深度，即咸、淡水界面埋藏深度，因受地下水径流条件控制，表现出周边深，盆内浅的规律。盆地腹心，以沙溪庙组（</w:t>
      </w:r>
      <w:r w:rsidRPr="008A2411">
        <w:rPr>
          <w:rFonts w:ascii="Times New Roman"/>
          <w:color w:val="000000" w:themeColor="text1"/>
        </w:rPr>
        <w:t>J2s</w:t>
      </w:r>
      <w:r w:rsidRPr="008A2411">
        <w:rPr>
          <w:rFonts w:ascii="Times New Roman"/>
          <w:color w:val="000000" w:themeColor="text1"/>
        </w:rPr>
        <w:t>）、遂宁组（</w:t>
      </w:r>
      <w:r w:rsidRPr="008A2411">
        <w:rPr>
          <w:rFonts w:ascii="Times New Roman"/>
          <w:color w:val="000000" w:themeColor="text1"/>
        </w:rPr>
        <w:t>J2sn</w:t>
      </w:r>
      <w:r w:rsidRPr="008A2411">
        <w:rPr>
          <w:rFonts w:ascii="Times New Roman"/>
          <w:color w:val="000000" w:themeColor="text1"/>
        </w:rPr>
        <w:t>）为主，组成的浅丘区，地下水交替条件差，咸淡水界面埋深一般</w:t>
      </w:r>
      <w:r w:rsidRPr="008A2411">
        <w:rPr>
          <w:rFonts w:ascii="Times New Roman"/>
          <w:color w:val="000000" w:themeColor="text1"/>
        </w:rPr>
        <w:t>50m</w:t>
      </w:r>
      <w:r w:rsidRPr="008A2411">
        <w:rPr>
          <w:rFonts w:ascii="Times New Roman"/>
          <w:color w:val="000000" w:themeColor="text1"/>
        </w:rPr>
        <w:t>左右，甚或小于</w:t>
      </w:r>
      <w:r w:rsidRPr="008A2411">
        <w:rPr>
          <w:rFonts w:ascii="Times New Roman"/>
          <w:color w:val="000000" w:themeColor="text1"/>
        </w:rPr>
        <w:t>50m</w:t>
      </w:r>
      <w:r w:rsidRPr="008A2411">
        <w:rPr>
          <w:rFonts w:ascii="Times New Roman"/>
          <w:color w:val="000000" w:themeColor="text1"/>
        </w:rPr>
        <w:t>。向外围低山丘陵区，随着径流条件变化，渐增至</w:t>
      </w:r>
      <w:r w:rsidRPr="008A2411">
        <w:rPr>
          <w:rFonts w:ascii="Times New Roman"/>
          <w:color w:val="000000" w:themeColor="text1"/>
        </w:rPr>
        <w:t>50-100m</w:t>
      </w:r>
      <w:r w:rsidRPr="008A2411">
        <w:rPr>
          <w:rFonts w:ascii="Times New Roman"/>
          <w:color w:val="000000" w:themeColor="text1"/>
        </w:rPr>
        <w:t>，</w:t>
      </w:r>
      <w:r w:rsidRPr="008A2411">
        <w:rPr>
          <w:rFonts w:ascii="Times New Roman"/>
          <w:color w:val="000000" w:themeColor="text1"/>
        </w:rPr>
        <w:t>100-200m</w:t>
      </w:r>
      <w:r w:rsidRPr="008A2411">
        <w:rPr>
          <w:rFonts w:ascii="Times New Roman"/>
          <w:color w:val="000000" w:themeColor="text1"/>
        </w:rPr>
        <w:t>。</w:t>
      </w:r>
      <w:proofErr w:type="gramStart"/>
      <w:r w:rsidRPr="008A2411">
        <w:rPr>
          <w:rFonts w:ascii="Times New Roman"/>
          <w:color w:val="000000" w:themeColor="text1"/>
        </w:rPr>
        <w:t>接近盆缘地区</w:t>
      </w:r>
      <w:proofErr w:type="gramEnd"/>
      <w:r w:rsidRPr="008A2411">
        <w:rPr>
          <w:rFonts w:ascii="Times New Roman"/>
          <w:color w:val="000000" w:themeColor="text1"/>
        </w:rPr>
        <w:t>，深度大于</w:t>
      </w:r>
      <w:r w:rsidRPr="008A2411">
        <w:rPr>
          <w:rFonts w:ascii="Times New Roman"/>
          <w:color w:val="000000" w:themeColor="text1"/>
        </w:rPr>
        <w:t>200m</w:t>
      </w:r>
      <w:r w:rsidRPr="008A2411">
        <w:rPr>
          <w:rFonts w:ascii="Times New Roman"/>
          <w:color w:val="000000" w:themeColor="text1"/>
        </w:rPr>
        <w:t>。</w:t>
      </w:r>
    </w:p>
    <w:p w14:paraId="2B5114BB" w14:textId="77777777" w:rsidR="00B0005F" w:rsidRPr="008A2411" w:rsidRDefault="00000000">
      <w:pPr>
        <w:tabs>
          <w:tab w:val="left" w:pos="560"/>
        </w:tabs>
        <w:adjustRightInd w:val="0"/>
        <w:snapToGrid w:val="0"/>
        <w:spacing w:line="360" w:lineRule="auto"/>
        <w:rPr>
          <w:rFonts w:ascii="Times New Roman"/>
          <w:color w:val="000000" w:themeColor="text1"/>
        </w:rPr>
      </w:pPr>
      <w:r w:rsidRPr="008A2411">
        <w:rPr>
          <w:rFonts w:ascii="Times New Roman"/>
          <w:color w:val="000000" w:themeColor="text1"/>
        </w:rPr>
        <w:tab/>
      </w:r>
      <w:r w:rsidRPr="008A2411">
        <w:rPr>
          <w:rFonts w:ascii="Times New Roman"/>
          <w:color w:val="000000" w:themeColor="text1"/>
        </w:rPr>
        <w:t>普光经开区所在区域地下水水文地质图见图</w:t>
      </w:r>
      <w:r w:rsidRPr="008A2411">
        <w:rPr>
          <w:rFonts w:ascii="Times New Roman"/>
          <w:color w:val="000000" w:themeColor="text1"/>
        </w:rPr>
        <w:t>4.1-1</w:t>
      </w:r>
      <w:r w:rsidRPr="008A2411">
        <w:rPr>
          <w:rFonts w:ascii="Times New Roman"/>
          <w:color w:val="000000" w:themeColor="text1"/>
        </w:rPr>
        <w:t>。</w:t>
      </w:r>
    </w:p>
    <w:p w14:paraId="60950460" w14:textId="77777777" w:rsidR="00B0005F" w:rsidRPr="008A2411" w:rsidRDefault="00B0005F">
      <w:pPr>
        <w:pStyle w:val="a9"/>
        <w:rPr>
          <w:rFonts w:ascii="Times New Roman"/>
          <w:color w:val="000000" w:themeColor="text1"/>
        </w:rPr>
      </w:pPr>
    </w:p>
    <w:p w14:paraId="4FD5CACA" w14:textId="77777777" w:rsidR="00B0005F" w:rsidRPr="008A2411" w:rsidRDefault="00000000">
      <w:pPr>
        <w:tabs>
          <w:tab w:val="left" w:pos="560"/>
        </w:tabs>
        <w:spacing w:line="360" w:lineRule="auto"/>
        <w:rPr>
          <w:rFonts w:ascii="Times New Roman" w:eastAsia="黑体"/>
          <w:color w:val="000000" w:themeColor="text1"/>
        </w:rPr>
      </w:pPr>
      <w:r w:rsidRPr="008A2411">
        <w:rPr>
          <w:rFonts w:ascii="Times New Roman"/>
          <w:noProof/>
          <w:color w:val="000000" w:themeColor="text1"/>
        </w:rPr>
        <w:lastRenderedPageBreak/>
        <w:drawing>
          <wp:anchor distT="0" distB="0" distL="114300" distR="114300" simplePos="0" relativeHeight="251602432" behindDoc="0" locked="0" layoutInCell="1" allowOverlap="1" wp14:anchorId="418F34D7" wp14:editId="2DEB0562">
            <wp:simplePos x="0" y="0"/>
            <wp:positionH relativeFrom="column">
              <wp:posOffset>-323850</wp:posOffset>
            </wp:positionH>
            <wp:positionV relativeFrom="paragraph">
              <wp:posOffset>152400</wp:posOffset>
            </wp:positionV>
            <wp:extent cx="6035040" cy="3617595"/>
            <wp:effectExtent l="0" t="0" r="0" b="9525"/>
            <wp:wrapNone/>
            <wp:docPr id="215"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5" name="图片 9"/>
                    <pic:cNvPicPr>
                      <a:picLocks noChangeAspect="1"/>
                    </pic:cNvPicPr>
                  </pic:nvPicPr>
                  <pic:blipFill>
                    <a:blip r:embed="rId29"/>
                    <a:stretch>
                      <a:fillRect/>
                    </a:stretch>
                  </pic:blipFill>
                  <pic:spPr>
                    <a:xfrm>
                      <a:off x="0" y="0"/>
                      <a:ext cx="6035040" cy="3617595"/>
                    </a:xfrm>
                    <a:prstGeom prst="rect">
                      <a:avLst/>
                    </a:prstGeom>
                    <a:noFill/>
                    <a:ln>
                      <a:noFill/>
                    </a:ln>
                  </pic:spPr>
                </pic:pic>
              </a:graphicData>
            </a:graphic>
          </wp:anchor>
        </w:drawing>
      </w:r>
    </w:p>
    <w:p w14:paraId="57D18125" w14:textId="77777777" w:rsidR="00B0005F" w:rsidRPr="008A2411" w:rsidRDefault="00B0005F">
      <w:pPr>
        <w:tabs>
          <w:tab w:val="left" w:pos="560"/>
        </w:tabs>
        <w:spacing w:line="360" w:lineRule="auto"/>
        <w:rPr>
          <w:rFonts w:ascii="Times New Roman" w:eastAsia="黑体"/>
          <w:color w:val="000000" w:themeColor="text1"/>
        </w:rPr>
      </w:pPr>
    </w:p>
    <w:p w14:paraId="1B545983" w14:textId="77777777" w:rsidR="00B0005F" w:rsidRPr="008A2411" w:rsidRDefault="00B0005F">
      <w:pPr>
        <w:tabs>
          <w:tab w:val="left" w:pos="560"/>
        </w:tabs>
        <w:spacing w:line="360" w:lineRule="auto"/>
        <w:rPr>
          <w:rFonts w:ascii="Times New Roman" w:eastAsia="黑体"/>
          <w:color w:val="000000" w:themeColor="text1"/>
        </w:rPr>
      </w:pPr>
    </w:p>
    <w:p w14:paraId="0DFAADBE" w14:textId="77777777" w:rsidR="00B0005F" w:rsidRPr="008A2411" w:rsidRDefault="00B0005F">
      <w:pPr>
        <w:tabs>
          <w:tab w:val="left" w:pos="560"/>
        </w:tabs>
        <w:spacing w:line="360" w:lineRule="auto"/>
        <w:rPr>
          <w:rFonts w:ascii="Times New Roman" w:eastAsia="黑体"/>
          <w:color w:val="000000" w:themeColor="text1"/>
        </w:rPr>
      </w:pPr>
    </w:p>
    <w:p w14:paraId="64E7F982" w14:textId="77777777" w:rsidR="00B0005F" w:rsidRPr="008A2411" w:rsidRDefault="00B0005F">
      <w:pPr>
        <w:tabs>
          <w:tab w:val="left" w:pos="560"/>
        </w:tabs>
        <w:spacing w:line="360" w:lineRule="auto"/>
        <w:rPr>
          <w:rFonts w:ascii="Times New Roman" w:eastAsia="黑体"/>
          <w:color w:val="000000" w:themeColor="text1"/>
        </w:rPr>
      </w:pPr>
    </w:p>
    <w:p w14:paraId="325BE5DD" w14:textId="77777777" w:rsidR="00B0005F" w:rsidRPr="008A2411" w:rsidRDefault="00B0005F">
      <w:pPr>
        <w:tabs>
          <w:tab w:val="left" w:pos="560"/>
        </w:tabs>
        <w:spacing w:line="360" w:lineRule="auto"/>
        <w:rPr>
          <w:rFonts w:ascii="Times New Roman" w:eastAsia="黑体"/>
          <w:color w:val="000000" w:themeColor="text1"/>
        </w:rPr>
      </w:pPr>
    </w:p>
    <w:p w14:paraId="0A8E2FDF" w14:textId="77777777" w:rsidR="00B0005F" w:rsidRPr="008A2411" w:rsidRDefault="00B0005F">
      <w:pPr>
        <w:tabs>
          <w:tab w:val="left" w:pos="560"/>
        </w:tabs>
        <w:spacing w:line="360" w:lineRule="auto"/>
        <w:rPr>
          <w:rFonts w:ascii="Times New Roman" w:eastAsia="黑体"/>
          <w:color w:val="000000" w:themeColor="text1"/>
        </w:rPr>
      </w:pPr>
    </w:p>
    <w:p w14:paraId="0BCF36A9" w14:textId="77777777" w:rsidR="00B0005F" w:rsidRPr="008A2411" w:rsidRDefault="00B0005F">
      <w:pPr>
        <w:tabs>
          <w:tab w:val="left" w:pos="560"/>
        </w:tabs>
        <w:spacing w:line="360" w:lineRule="auto"/>
        <w:rPr>
          <w:rFonts w:ascii="Times New Roman" w:eastAsia="黑体"/>
          <w:color w:val="000000" w:themeColor="text1"/>
        </w:rPr>
      </w:pPr>
    </w:p>
    <w:p w14:paraId="2770B129" w14:textId="77777777" w:rsidR="00B0005F" w:rsidRPr="008A2411" w:rsidRDefault="00B0005F">
      <w:pPr>
        <w:tabs>
          <w:tab w:val="left" w:pos="560"/>
        </w:tabs>
        <w:spacing w:line="360" w:lineRule="auto"/>
        <w:rPr>
          <w:rFonts w:ascii="Times New Roman" w:eastAsia="黑体"/>
          <w:color w:val="000000" w:themeColor="text1"/>
        </w:rPr>
      </w:pPr>
    </w:p>
    <w:p w14:paraId="29493B7A" w14:textId="77777777" w:rsidR="00B0005F" w:rsidRPr="008A2411" w:rsidRDefault="00B0005F">
      <w:pPr>
        <w:tabs>
          <w:tab w:val="left" w:pos="560"/>
        </w:tabs>
        <w:spacing w:line="360" w:lineRule="auto"/>
        <w:rPr>
          <w:rFonts w:ascii="Times New Roman" w:eastAsia="黑体"/>
          <w:color w:val="000000" w:themeColor="text1"/>
        </w:rPr>
      </w:pPr>
    </w:p>
    <w:p w14:paraId="797B7907" w14:textId="77777777" w:rsidR="00B0005F" w:rsidRPr="008A2411" w:rsidRDefault="00B0005F">
      <w:pPr>
        <w:tabs>
          <w:tab w:val="left" w:pos="560"/>
        </w:tabs>
        <w:spacing w:line="360" w:lineRule="auto"/>
        <w:rPr>
          <w:rFonts w:ascii="Times New Roman" w:eastAsia="黑体"/>
          <w:color w:val="000000" w:themeColor="text1"/>
        </w:rPr>
      </w:pPr>
    </w:p>
    <w:p w14:paraId="10DF0D36" w14:textId="77777777" w:rsidR="00B0005F" w:rsidRPr="008A2411" w:rsidRDefault="00B0005F">
      <w:pPr>
        <w:tabs>
          <w:tab w:val="left" w:pos="560"/>
        </w:tabs>
        <w:spacing w:line="360" w:lineRule="auto"/>
        <w:rPr>
          <w:rFonts w:ascii="Times New Roman" w:eastAsia="黑体"/>
          <w:color w:val="000000" w:themeColor="text1"/>
        </w:rPr>
      </w:pPr>
    </w:p>
    <w:p w14:paraId="580A9A45" w14:textId="77777777" w:rsidR="00B0005F" w:rsidRPr="008A2411" w:rsidRDefault="00B0005F">
      <w:pPr>
        <w:pStyle w:val="a9"/>
        <w:rPr>
          <w:rFonts w:ascii="Times New Roman" w:eastAsia="黑体"/>
          <w:color w:val="000000" w:themeColor="text1"/>
          <w:sz w:val="24"/>
        </w:rPr>
      </w:pPr>
    </w:p>
    <w:p w14:paraId="29CD381D" w14:textId="77777777" w:rsidR="00B0005F" w:rsidRPr="008A2411" w:rsidRDefault="00B0005F">
      <w:pPr>
        <w:pStyle w:val="a9"/>
        <w:rPr>
          <w:rFonts w:ascii="Times New Roman" w:eastAsia="黑体"/>
          <w:color w:val="000000" w:themeColor="text1"/>
          <w:sz w:val="24"/>
        </w:rPr>
      </w:pPr>
    </w:p>
    <w:p w14:paraId="40EE6B5B" w14:textId="77777777" w:rsidR="00B0005F" w:rsidRPr="008A2411" w:rsidRDefault="00B0005F">
      <w:pPr>
        <w:tabs>
          <w:tab w:val="left" w:pos="560"/>
        </w:tabs>
        <w:spacing w:line="360" w:lineRule="auto"/>
        <w:jc w:val="center"/>
        <w:rPr>
          <w:rFonts w:ascii="Times New Roman" w:eastAsia="黑体"/>
          <w:color w:val="000000" w:themeColor="text1"/>
        </w:rPr>
      </w:pPr>
    </w:p>
    <w:p w14:paraId="15994C17" w14:textId="77777777" w:rsidR="00B0005F" w:rsidRPr="008A2411" w:rsidRDefault="00000000">
      <w:pPr>
        <w:adjustRightInd w:val="0"/>
        <w:spacing w:line="360" w:lineRule="auto"/>
        <w:ind w:firstLineChars="200" w:firstLine="480"/>
        <w:jc w:val="center"/>
        <w:rPr>
          <w:rFonts w:ascii="Times New Roman"/>
          <w:bCs/>
          <w:color w:val="000000" w:themeColor="text1"/>
        </w:rPr>
      </w:pPr>
      <w:r w:rsidRPr="008A2411">
        <w:rPr>
          <w:rFonts w:ascii="Times New Roman" w:eastAsia="黑体"/>
          <w:color w:val="000000" w:themeColor="text1"/>
        </w:rPr>
        <w:t>图</w:t>
      </w:r>
      <w:r w:rsidRPr="008A2411">
        <w:rPr>
          <w:rFonts w:ascii="Times New Roman" w:eastAsia="黑体"/>
          <w:color w:val="000000" w:themeColor="text1"/>
        </w:rPr>
        <w:t xml:space="preserve">4.1-1  </w:t>
      </w:r>
      <w:r w:rsidRPr="008A2411">
        <w:rPr>
          <w:rFonts w:ascii="Times New Roman" w:eastAsia="黑体"/>
          <w:color w:val="000000" w:themeColor="text1"/>
        </w:rPr>
        <w:t>区域水文地质平面图</w:t>
      </w:r>
    </w:p>
    <w:p w14:paraId="3508D384" w14:textId="77777777" w:rsidR="00B0005F" w:rsidRPr="008A2411" w:rsidRDefault="00000000">
      <w:pPr>
        <w:pStyle w:val="afffffffffffffffffff8"/>
        <w:snapToGrid w:val="0"/>
        <w:spacing w:before="0" w:after="0" w:line="360" w:lineRule="auto"/>
        <w:rPr>
          <w:rFonts w:ascii="Times New Roman" w:cs="Times New Roman"/>
          <w:color w:val="000000" w:themeColor="text1"/>
        </w:rPr>
      </w:pPr>
      <w:bookmarkStart w:id="242" w:name="_Toc455997660"/>
      <w:r w:rsidRPr="008A2411">
        <w:rPr>
          <w:rFonts w:ascii="Times New Roman" w:cs="Times New Roman"/>
          <w:color w:val="000000" w:themeColor="text1"/>
        </w:rPr>
        <w:t>4.1.</w:t>
      </w:r>
      <w:bookmarkEnd w:id="242"/>
      <w:r w:rsidRPr="008A2411">
        <w:rPr>
          <w:rFonts w:ascii="Times New Roman" w:cs="Times New Roman"/>
          <w:color w:val="000000" w:themeColor="text1"/>
        </w:rPr>
        <w:t>5</w:t>
      </w:r>
      <w:r w:rsidRPr="008A2411">
        <w:rPr>
          <w:rFonts w:ascii="Times New Roman" w:cs="Times New Roman"/>
          <w:color w:val="000000" w:themeColor="text1"/>
        </w:rPr>
        <w:t>自然资源</w:t>
      </w:r>
    </w:p>
    <w:p w14:paraId="2EA73B88" w14:textId="77777777" w:rsidR="00B0005F" w:rsidRPr="008A2411" w:rsidRDefault="00000000">
      <w:pPr>
        <w:tabs>
          <w:tab w:val="left" w:pos="560"/>
        </w:tabs>
        <w:adjustRightInd w:val="0"/>
        <w:snapToGrid w:val="0"/>
        <w:spacing w:line="360" w:lineRule="auto"/>
        <w:ind w:firstLineChars="196" w:firstLine="472"/>
        <w:rPr>
          <w:rFonts w:ascii="Times New Roman"/>
          <w:color w:val="000000" w:themeColor="text1"/>
        </w:rPr>
      </w:pPr>
      <w:r w:rsidRPr="008A2411">
        <w:rPr>
          <w:rFonts w:ascii="Times New Roman"/>
          <w:b/>
          <w:bCs/>
          <w:color w:val="000000" w:themeColor="text1"/>
        </w:rPr>
        <w:t>（</w:t>
      </w:r>
      <w:r w:rsidRPr="008A2411">
        <w:rPr>
          <w:rFonts w:ascii="Times New Roman"/>
          <w:b/>
          <w:bCs/>
          <w:color w:val="000000" w:themeColor="text1"/>
        </w:rPr>
        <w:t>1</w:t>
      </w:r>
      <w:r w:rsidRPr="008A2411">
        <w:rPr>
          <w:rFonts w:ascii="Times New Roman"/>
          <w:b/>
          <w:bCs/>
          <w:color w:val="000000" w:themeColor="text1"/>
        </w:rPr>
        <w:t>）天然气</w:t>
      </w:r>
    </w:p>
    <w:p w14:paraId="60A39C4F" w14:textId="77777777" w:rsidR="00B0005F" w:rsidRPr="008A2411" w:rsidRDefault="00000000">
      <w:pPr>
        <w:tabs>
          <w:tab w:val="left" w:pos="560"/>
        </w:tabs>
        <w:adjustRightInd w:val="0"/>
        <w:snapToGrid w:val="0"/>
        <w:spacing w:line="360" w:lineRule="auto"/>
        <w:ind w:firstLineChars="200" w:firstLine="480"/>
        <w:rPr>
          <w:rFonts w:ascii="Times New Roman"/>
          <w:color w:val="000000" w:themeColor="text1"/>
        </w:rPr>
      </w:pPr>
      <w:r w:rsidRPr="008A2411">
        <w:rPr>
          <w:rFonts w:ascii="Times New Roman"/>
          <w:color w:val="000000" w:themeColor="text1"/>
        </w:rPr>
        <w:t>宣汉县境内天然气储量巨大。在宣汉</w:t>
      </w:r>
      <w:r w:rsidRPr="008A2411">
        <w:rPr>
          <w:rFonts w:ascii="Times New Roman"/>
          <w:color w:val="000000" w:themeColor="text1"/>
        </w:rPr>
        <w:t>4271</w:t>
      </w:r>
      <w:r w:rsidRPr="008A2411">
        <w:rPr>
          <w:rFonts w:ascii="Times New Roman"/>
          <w:color w:val="000000" w:themeColor="text1"/>
        </w:rPr>
        <w:t>平方公里的县域面积上，</w:t>
      </w:r>
      <w:r w:rsidRPr="008A2411">
        <w:rPr>
          <w:rFonts w:ascii="Times New Roman"/>
          <w:color w:val="000000" w:themeColor="text1"/>
        </w:rPr>
        <w:t>75%</w:t>
      </w:r>
      <w:r w:rsidRPr="008A2411">
        <w:rPr>
          <w:rFonts w:ascii="Times New Roman"/>
          <w:color w:val="000000" w:themeColor="text1"/>
        </w:rPr>
        <w:t>以上的地表下均有丰沛的天然气涌动，宣汉是川东北通（江）南（部）巴（中）含气构造带的核心。宣汉县境内已探明的各类含气结构</w:t>
      </w:r>
      <w:r w:rsidRPr="008A2411">
        <w:rPr>
          <w:rFonts w:ascii="Times New Roman"/>
          <w:color w:val="000000" w:themeColor="text1"/>
        </w:rPr>
        <w:t>46</w:t>
      </w:r>
      <w:r w:rsidRPr="008A2411">
        <w:rPr>
          <w:rFonts w:ascii="Times New Roman"/>
          <w:color w:val="000000" w:themeColor="text1"/>
        </w:rPr>
        <w:t>个，连片储层</w:t>
      </w:r>
      <w:r w:rsidRPr="008A2411">
        <w:rPr>
          <w:rFonts w:ascii="Times New Roman"/>
          <w:color w:val="000000" w:themeColor="text1"/>
        </w:rPr>
        <w:t>3750</w:t>
      </w:r>
      <w:r w:rsidRPr="008A2411">
        <w:rPr>
          <w:rFonts w:ascii="Times New Roman"/>
          <w:color w:val="000000" w:themeColor="text1"/>
        </w:rPr>
        <w:t>平方公里，预测气资源量</w:t>
      </w:r>
      <w:r w:rsidRPr="008A2411">
        <w:rPr>
          <w:rFonts w:ascii="Times New Roman"/>
          <w:color w:val="000000" w:themeColor="text1"/>
        </w:rPr>
        <w:t>1.5</w:t>
      </w:r>
      <w:proofErr w:type="gramStart"/>
      <w:r w:rsidRPr="008A2411">
        <w:rPr>
          <w:rFonts w:ascii="Times New Roman"/>
          <w:color w:val="000000" w:themeColor="text1"/>
        </w:rPr>
        <w:t>万亿</w:t>
      </w:r>
      <w:proofErr w:type="gramEnd"/>
      <w:r w:rsidRPr="008A2411">
        <w:rPr>
          <w:rFonts w:ascii="Times New Roman"/>
          <w:color w:val="000000" w:themeColor="text1"/>
        </w:rPr>
        <w:t>立方米，可采天然气量不低于</w:t>
      </w:r>
      <w:r w:rsidRPr="008A2411">
        <w:rPr>
          <w:rFonts w:ascii="Times New Roman"/>
          <w:color w:val="000000" w:themeColor="text1"/>
        </w:rPr>
        <w:t>1</w:t>
      </w:r>
      <w:proofErr w:type="gramStart"/>
      <w:r w:rsidRPr="008A2411">
        <w:rPr>
          <w:rFonts w:ascii="Times New Roman"/>
          <w:color w:val="000000" w:themeColor="text1"/>
        </w:rPr>
        <w:t>万亿</w:t>
      </w:r>
      <w:proofErr w:type="gramEnd"/>
      <w:r w:rsidRPr="008A2411">
        <w:rPr>
          <w:rFonts w:ascii="Times New Roman"/>
          <w:color w:val="000000" w:themeColor="text1"/>
        </w:rPr>
        <w:t>立方米，居全国内陆第二位，预计可开采</w:t>
      </w:r>
      <w:r w:rsidRPr="008A2411">
        <w:rPr>
          <w:rFonts w:ascii="Times New Roman"/>
          <w:color w:val="000000" w:themeColor="text1"/>
        </w:rPr>
        <w:t>100</w:t>
      </w:r>
      <w:r w:rsidRPr="008A2411">
        <w:rPr>
          <w:rFonts w:ascii="Times New Roman"/>
          <w:color w:val="000000" w:themeColor="text1"/>
        </w:rPr>
        <w:t>年。</w:t>
      </w:r>
    </w:p>
    <w:p w14:paraId="7FB05C9C" w14:textId="77777777" w:rsidR="00B0005F" w:rsidRPr="008A2411" w:rsidRDefault="00000000">
      <w:pPr>
        <w:tabs>
          <w:tab w:val="left" w:pos="560"/>
        </w:tabs>
        <w:adjustRightInd w:val="0"/>
        <w:snapToGrid w:val="0"/>
        <w:spacing w:line="360" w:lineRule="auto"/>
        <w:ind w:firstLineChars="200" w:firstLine="480"/>
        <w:rPr>
          <w:rFonts w:ascii="Times New Roman"/>
          <w:color w:val="000000" w:themeColor="text1"/>
        </w:rPr>
      </w:pPr>
      <w:r w:rsidRPr="008A2411">
        <w:rPr>
          <w:rFonts w:ascii="Times New Roman"/>
          <w:color w:val="000000" w:themeColor="text1"/>
        </w:rPr>
        <w:t>宣汉境内目前有普光气田、罗家寨气田和</w:t>
      </w:r>
      <w:proofErr w:type="gramStart"/>
      <w:r w:rsidRPr="008A2411">
        <w:rPr>
          <w:rFonts w:ascii="Times New Roman"/>
          <w:color w:val="000000" w:themeColor="text1"/>
        </w:rPr>
        <w:t>渡口河气田</w:t>
      </w:r>
      <w:proofErr w:type="gramEnd"/>
      <w:r w:rsidRPr="008A2411">
        <w:rPr>
          <w:rFonts w:ascii="Times New Roman"/>
          <w:color w:val="000000" w:themeColor="text1"/>
        </w:rPr>
        <w:t>3</w:t>
      </w:r>
      <w:r w:rsidRPr="008A2411">
        <w:rPr>
          <w:rFonts w:ascii="Times New Roman"/>
          <w:color w:val="000000" w:themeColor="text1"/>
        </w:rPr>
        <w:t>个大型气田。其中普光气田是我国迄今为止规模最大、丰度最高的特大型海相整装气田，已探明储量为</w:t>
      </w:r>
      <w:r w:rsidRPr="008A2411">
        <w:rPr>
          <w:rFonts w:ascii="Times New Roman"/>
          <w:color w:val="000000" w:themeColor="text1"/>
        </w:rPr>
        <w:t>3560.72</w:t>
      </w:r>
      <w:r w:rsidRPr="008A2411">
        <w:rPr>
          <w:rFonts w:ascii="Times New Roman"/>
          <w:color w:val="000000" w:themeColor="text1"/>
        </w:rPr>
        <w:t>亿立方米，预计探明储量为</w:t>
      </w:r>
      <w:r w:rsidRPr="008A2411">
        <w:rPr>
          <w:rFonts w:ascii="Times New Roman"/>
          <w:color w:val="000000" w:themeColor="text1"/>
        </w:rPr>
        <w:t>5000</w:t>
      </w:r>
      <w:r w:rsidRPr="008A2411">
        <w:rPr>
          <w:rFonts w:ascii="Times New Roman"/>
          <w:color w:val="000000" w:themeColor="text1"/>
        </w:rPr>
        <w:t>亿至</w:t>
      </w:r>
      <w:r w:rsidRPr="008A2411">
        <w:rPr>
          <w:rFonts w:ascii="Times New Roman"/>
          <w:color w:val="000000" w:themeColor="text1"/>
        </w:rPr>
        <w:t>5500</w:t>
      </w:r>
      <w:r w:rsidRPr="008A2411">
        <w:rPr>
          <w:rFonts w:ascii="Times New Roman"/>
          <w:color w:val="000000" w:themeColor="text1"/>
        </w:rPr>
        <w:t>亿立方米，年产能可达</w:t>
      </w:r>
      <w:r w:rsidRPr="008A2411">
        <w:rPr>
          <w:rFonts w:ascii="Times New Roman"/>
          <w:color w:val="000000" w:themeColor="text1"/>
        </w:rPr>
        <w:t>150</w:t>
      </w:r>
      <w:r w:rsidRPr="008A2411">
        <w:rPr>
          <w:rFonts w:ascii="Times New Roman"/>
          <w:color w:val="000000" w:themeColor="text1"/>
        </w:rPr>
        <w:t>亿立方米净化气，是继新疆塔里木气田之后我国最具开发潜力的特大天然气气田。</w:t>
      </w:r>
    </w:p>
    <w:p w14:paraId="2BDDCBAD" w14:textId="77777777" w:rsidR="00B0005F" w:rsidRPr="008A2411" w:rsidRDefault="00000000">
      <w:pPr>
        <w:tabs>
          <w:tab w:val="left" w:pos="560"/>
        </w:tabs>
        <w:adjustRightInd w:val="0"/>
        <w:snapToGrid w:val="0"/>
        <w:spacing w:line="360" w:lineRule="auto"/>
        <w:ind w:firstLineChars="196" w:firstLine="472"/>
        <w:rPr>
          <w:rFonts w:ascii="Times New Roman"/>
          <w:color w:val="000000" w:themeColor="text1"/>
        </w:rPr>
      </w:pPr>
      <w:r w:rsidRPr="008A2411">
        <w:rPr>
          <w:rFonts w:ascii="Times New Roman"/>
          <w:b/>
          <w:bCs/>
          <w:color w:val="000000" w:themeColor="text1"/>
        </w:rPr>
        <w:t>（</w:t>
      </w:r>
      <w:r w:rsidRPr="008A2411">
        <w:rPr>
          <w:rFonts w:ascii="Times New Roman"/>
          <w:b/>
          <w:bCs/>
          <w:color w:val="000000" w:themeColor="text1"/>
        </w:rPr>
        <w:t>2</w:t>
      </w:r>
      <w:r w:rsidRPr="008A2411">
        <w:rPr>
          <w:rFonts w:ascii="Times New Roman"/>
          <w:b/>
          <w:bCs/>
          <w:color w:val="000000" w:themeColor="text1"/>
        </w:rPr>
        <w:t>）硫磺</w:t>
      </w:r>
    </w:p>
    <w:p w14:paraId="76DB8130" w14:textId="77777777" w:rsidR="00B0005F" w:rsidRPr="008A2411" w:rsidRDefault="00000000">
      <w:pPr>
        <w:tabs>
          <w:tab w:val="left" w:pos="560"/>
        </w:tabs>
        <w:adjustRightInd w:val="0"/>
        <w:snapToGrid w:val="0"/>
        <w:spacing w:line="360" w:lineRule="auto"/>
        <w:ind w:firstLineChars="200" w:firstLine="480"/>
        <w:rPr>
          <w:rFonts w:ascii="Times New Roman"/>
          <w:color w:val="000000" w:themeColor="text1"/>
        </w:rPr>
      </w:pPr>
      <w:r w:rsidRPr="008A2411">
        <w:rPr>
          <w:rFonts w:ascii="Times New Roman"/>
          <w:color w:val="000000" w:themeColor="text1"/>
        </w:rPr>
        <w:t>宣汉天然气属高硫气，硫化氢含量约</w:t>
      </w:r>
      <w:r w:rsidRPr="008A2411">
        <w:rPr>
          <w:rFonts w:ascii="Times New Roman"/>
          <w:color w:val="000000" w:themeColor="text1"/>
        </w:rPr>
        <w:t>10%</w:t>
      </w:r>
      <w:r w:rsidRPr="008A2411">
        <w:rPr>
          <w:rFonts w:ascii="Times New Roman"/>
          <w:color w:val="000000" w:themeColor="text1"/>
        </w:rPr>
        <w:t>。高含硫气净化后副产硫磺。宣汉三大气田开采净化后可年产硫磺</w:t>
      </w:r>
      <w:r w:rsidRPr="008A2411">
        <w:rPr>
          <w:rFonts w:ascii="Times New Roman"/>
          <w:color w:val="000000" w:themeColor="text1"/>
        </w:rPr>
        <w:t>300</w:t>
      </w:r>
      <w:r w:rsidRPr="008A2411">
        <w:rPr>
          <w:rFonts w:ascii="Times New Roman"/>
          <w:color w:val="000000" w:themeColor="text1"/>
        </w:rPr>
        <w:t>万吨。硫磺是发展硫化工的主要原料。</w:t>
      </w:r>
    </w:p>
    <w:p w14:paraId="5DF80A5E" w14:textId="77777777" w:rsidR="00B0005F" w:rsidRPr="008A2411" w:rsidRDefault="00000000">
      <w:pPr>
        <w:tabs>
          <w:tab w:val="left" w:pos="560"/>
        </w:tabs>
        <w:adjustRightInd w:val="0"/>
        <w:snapToGrid w:val="0"/>
        <w:spacing w:line="360" w:lineRule="auto"/>
        <w:ind w:firstLineChars="196" w:firstLine="472"/>
        <w:rPr>
          <w:rFonts w:ascii="Times New Roman"/>
          <w:color w:val="000000" w:themeColor="text1"/>
        </w:rPr>
      </w:pPr>
      <w:r w:rsidRPr="008A2411">
        <w:rPr>
          <w:rFonts w:ascii="Times New Roman"/>
          <w:b/>
          <w:bCs/>
          <w:color w:val="000000" w:themeColor="text1"/>
        </w:rPr>
        <w:lastRenderedPageBreak/>
        <w:t>（</w:t>
      </w:r>
      <w:r w:rsidRPr="008A2411">
        <w:rPr>
          <w:rFonts w:ascii="Times New Roman"/>
          <w:b/>
          <w:bCs/>
          <w:color w:val="000000" w:themeColor="text1"/>
        </w:rPr>
        <w:t>3</w:t>
      </w:r>
      <w:r w:rsidRPr="008A2411">
        <w:rPr>
          <w:rFonts w:ascii="Times New Roman"/>
          <w:b/>
          <w:bCs/>
          <w:color w:val="000000" w:themeColor="text1"/>
        </w:rPr>
        <w:t>）</w:t>
      </w:r>
      <w:proofErr w:type="gramStart"/>
      <w:r w:rsidRPr="008A2411">
        <w:rPr>
          <w:rFonts w:ascii="Times New Roman"/>
          <w:b/>
          <w:bCs/>
          <w:color w:val="000000" w:themeColor="text1"/>
        </w:rPr>
        <w:t>富锂钾卤水</w:t>
      </w:r>
      <w:proofErr w:type="gramEnd"/>
      <w:r w:rsidRPr="008A2411">
        <w:rPr>
          <w:rFonts w:ascii="Times New Roman"/>
          <w:b/>
          <w:bCs/>
          <w:color w:val="000000" w:themeColor="text1"/>
        </w:rPr>
        <w:t>资源</w:t>
      </w:r>
    </w:p>
    <w:p w14:paraId="0FB2A2C6" w14:textId="77777777" w:rsidR="00B0005F" w:rsidRPr="008A2411" w:rsidRDefault="00000000">
      <w:pPr>
        <w:tabs>
          <w:tab w:val="left" w:pos="560"/>
        </w:tabs>
        <w:adjustRightInd w:val="0"/>
        <w:snapToGrid w:val="0"/>
        <w:spacing w:line="360" w:lineRule="auto"/>
        <w:ind w:firstLineChars="200" w:firstLine="480"/>
        <w:rPr>
          <w:rFonts w:ascii="Times New Roman"/>
          <w:color w:val="000000" w:themeColor="text1"/>
        </w:rPr>
      </w:pPr>
      <w:r w:rsidRPr="008A2411">
        <w:rPr>
          <w:rFonts w:ascii="Times New Roman"/>
          <w:color w:val="000000" w:themeColor="text1"/>
        </w:rPr>
        <w:t>近年来发现宣汉县境内</w:t>
      </w:r>
      <w:proofErr w:type="gramStart"/>
      <w:r w:rsidRPr="008A2411">
        <w:rPr>
          <w:rFonts w:ascii="Times New Roman"/>
          <w:color w:val="000000" w:themeColor="text1"/>
        </w:rPr>
        <w:t>富锂钾卤水</w:t>
      </w:r>
      <w:proofErr w:type="gramEnd"/>
      <w:r w:rsidRPr="008A2411">
        <w:rPr>
          <w:rFonts w:ascii="Times New Roman"/>
          <w:color w:val="000000" w:themeColor="text1"/>
        </w:rPr>
        <w:t>资源储量丰富，锂品位高，</w:t>
      </w:r>
      <w:proofErr w:type="gramStart"/>
      <w:r w:rsidRPr="008A2411">
        <w:rPr>
          <w:rFonts w:ascii="Times New Roman"/>
          <w:color w:val="000000" w:themeColor="text1"/>
        </w:rPr>
        <w:t>镁锂比低</w:t>
      </w:r>
      <w:proofErr w:type="gramEnd"/>
      <w:r w:rsidRPr="008A2411">
        <w:rPr>
          <w:rFonts w:ascii="Times New Roman"/>
          <w:color w:val="000000" w:themeColor="text1"/>
        </w:rPr>
        <w:t>，品质优良，便于工业化开发利用。根据中国地质科学院矿产资源研究所郑绵平院士团队关于川东北普</w:t>
      </w:r>
      <w:proofErr w:type="gramStart"/>
      <w:r w:rsidRPr="008A2411">
        <w:rPr>
          <w:rFonts w:ascii="Times New Roman"/>
          <w:color w:val="000000" w:themeColor="text1"/>
        </w:rPr>
        <w:t>光地区卤水锂钾资源</w:t>
      </w:r>
      <w:proofErr w:type="gramEnd"/>
      <w:r w:rsidRPr="008A2411">
        <w:rPr>
          <w:rFonts w:ascii="Times New Roman"/>
          <w:color w:val="000000" w:themeColor="text1"/>
        </w:rPr>
        <w:t>情况的初步评估结果，宣汉县核心区</w:t>
      </w:r>
      <w:r w:rsidRPr="008A2411">
        <w:rPr>
          <w:rFonts w:ascii="Times New Roman" w:eastAsia="TimesNewRomanPSMT"/>
          <w:color w:val="000000" w:themeColor="text1"/>
        </w:rPr>
        <w:t>340km</w:t>
      </w:r>
      <w:r w:rsidRPr="008A2411">
        <w:rPr>
          <w:rFonts w:ascii="Times New Roman" w:eastAsia="TimesNewRomanPSMT"/>
          <w:color w:val="000000" w:themeColor="text1"/>
          <w:vertAlign w:val="superscript"/>
        </w:rPr>
        <w:t>2</w:t>
      </w:r>
      <w:r w:rsidRPr="008A2411">
        <w:rPr>
          <w:rFonts w:ascii="Times New Roman"/>
          <w:color w:val="000000" w:themeColor="text1"/>
        </w:rPr>
        <w:t>范围</w:t>
      </w:r>
      <w:proofErr w:type="gramStart"/>
      <w:r w:rsidRPr="008A2411">
        <w:rPr>
          <w:rFonts w:ascii="Times New Roman"/>
          <w:color w:val="000000" w:themeColor="text1"/>
        </w:rPr>
        <w:t>内富锂钾</w:t>
      </w:r>
      <w:proofErr w:type="gramEnd"/>
      <w:r w:rsidRPr="008A2411">
        <w:rPr>
          <w:rFonts w:ascii="Times New Roman"/>
          <w:color w:val="000000" w:themeColor="text1"/>
        </w:rPr>
        <w:t>卤水</w:t>
      </w:r>
      <w:r w:rsidRPr="008A2411">
        <w:rPr>
          <w:rFonts w:ascii="Times New Roman" w:eastAsia="TimesNewRomanPSMT"/>
          <w:color w:val="000000" w:themeColor="text1"/>
        </w:rPr>
        <w:t>8.227</w:t>
      </w:r>
      <w:r w:rsidRPr="008A2411">
        <w:rPr>
          <w:rFonts w:ascii="Times New Roman"/>
          <w:color w:val="000000" w:themeColor="text1"/>
        </w:rPr>
        <w:t>亿</w:t>
      </w:r>
      <w:r w:rsidRPr="008A2411">
        <w:rPr>
          <w:rFonts w:ascii="Times New Roman" w:eastAsia="TimesNewRomanPSMT"/>
          <w:color w:val="000000" w:themeColor="text1"/>
        </w:rPr>
        <w:t>m</w:t>
      </w:r>
      <w:r w:rsidRPr="008A2411">
        <w:rPr>
          <w:rFonts w:ascii="Times New Roman" w:eastAsia="TimesNewRomanPSMT"/>
          <w:color w:val="000000" w:themeColor="text1"/>
          <w:vertAlign w:val="superscript"/>
        </w:rPr>
        <w:t>3</w:t>
      </w:r>
      <w:r w:rsidRPr="008A2411">
        <w:rPr>
          <w:rFonts w:ascii="Times New Roman"/>
          <w:color w:val="000000" w:themeColor="text1"/>
        </w:rPr>
        <w:t>，</w:t>
      </w:r>
      <w:proofErr w:type="gramStart"/>
      <w:r w:rsidRPr="008A2411">
        <w:rPr>
          <w:rFonts w:ascii="Times New Roman"/>
          <w:color w:val="000000" w:themeColor="text1"/>
        </w:rPr>
        <w:t>扩展区</w:t>
      </w:r>
      <w:proofErr w:type="gramEnd"/>
      <w:r w:rsidRPr="008A2411">
        <w:rPr>
          <w:rFonts w:ascii="Times New Roman" w:eastAsia="TimesNewRomanPSMT"/>
          <w:color w:val="000000" w:themeColor="text1"/>
        </w:rPr>
        <w:t>1116km</w:t>
      </w:r>
      <w:r w:rsidRPr="008A2411">
        <w:rPr>
          <w:rFonts w:ascii="Times New Roman" w:eastAsia="TimesNewRomanPSMT"/>
          <w:color w:val="000000" w:themeColor="text1"/>
          <w:vertAlign w:val="superscript"/>
        </w:rPr>
        <w:t>2</w:t>
      </w:r>
      <w:r w:rsidRPr="008A2411">
        <w:rPr>
          <w:rFonts w:ascii="Times New Roman"/>
          <w:color w:val="000000" w:themeColor="text1"/>
        </w:rPr>
        <w:t>范围</w:t>
      </w:r>
      <w:proofErr w:type="gramStart"/>
      <w:r w:rsidRPr="008A2411">
        <w:rPr>
          <w:rFonts w:ascii="Times New Roman"/>
          <w:color w:val="000000" w:themeColor="text1"/>
        </w:rPr>
        <w:t>内富锂钾</w:t>
      </w:r>
      <w:proofErr w:type="gramEnd"/>
      <w:r w:rsidRPr="008A2411">
        <w:rPr>
          <w:rFonts w:ascii="Times New Roman"/>
          <w:color w:val="000000" w:themeColor="text1"/>
        </w:rPr>
        <w:t>卤水</w:t>
      </w:r>
      <w:r w:rsidRPr="008A2411">
        <w:rPr>
          <w:rFonts w:ascii="Times New Roman" w:eastAsia="TimesNewRomanPSMT"/>
          <w:color w:val="000000" w:themeColor="text1"/>
        </w:rPr>
        <w:t xml:space="preserve">20.924 </w:t>
      </w:r>
      <w:r w:rsidRPr="008A2411">
        <w:rPr>
          <w:rFonts w:ascii="Times New Roman"/>
          <w:color w:val="000000" w:themeColor="text1"/>
        </w:rPr>
        <w:t>亿</w:t>
      </w:r>
      <w:r w:rsidRPr="008A2411">
        <w:rPr>
          <w:rFonts w:ascii="Times New Roman" w:eastAsia="TimesNewRomanPSMT"/>
          <w:color w:val="000000" w:themeColor="text1"/>
        </w:rPr>
        <w:t>m</w:t>
      </w:r>
      <w:r w:rsidRPr="008A2411">
        <w:rPr>
          <w:rFonts w:ascii="Times New Roman" w:eastAsia="TimesNewRomanPSMT"/>
          <w:color w:val="000000" w:themeColor="text1"/>
          <w:vertAlign w:val="superscript"/>
        </w:rPr>
        <w:t>3</w:t>
      </w:r>
      <w:r w:rsidRPr="008A2411">
        <w:rPr>
          <w:rFonts w:ascii="Times New Roman"/>
          <w:color w:val="000000" w:themeColor="text1"/>
        </w:rPr>
        <w:t>，其中各矿种预测资源量：氯化锂</w:t>
      </w:r>
      <w:r w:rsidRPr="008A2411">
        <w:rPr>
          <w:rFonts w:ascii="Times New Roman" w:eastAsia="TimesNewRomanPSMT"/>
          <w:color w:val="000000" w:themeColor="text1"/>
        </w:rPr>
        <w:t xml:space="preserve">240 </w:t>
      </w:r>
      <w:r w:rsidRPr="008A2411">
        <w:rPr>
          <w:rFonts w:ascii="Times New Roman"/>
          <w:color w:val="000000" w:themeColor="text1"/>
        </w:rPr>
        <w:t>万吨、氯化钾</w:t>
      </w:r>
      <w:r w:rsidRPr="008A2411">
        <w:rPr>
          <w:rFonts w:ascii="Times New Roman" w:eastAsia="TimesNewRomanPSMT"/>
          <w:color w:val="000000" w:themeColor="text1"/>
        </w:rPr>
        <w:t>5500</w:t>
      </w:r>
      <w:r w:rsidRPr="008A2411">
        <w:rPr>
          <w:rFonts w:ascii="Times New Roman"/>
          <w:color w:val="000000" w:themeColor="text1"/>
        </w:rPr>
        <w:t>万吨、硼（以</w:t>
      </w:r>
      <w:r w:rsidRPr="008A2411">
        <w:rPr>
          <w:rFonts w:ascii="Times New Roman" w:eastAsia="TimesNewRomanPSMT"/>
          <w:color w:val="000000" w:themeColor="text1"/>
        </w:rPr>
        <w:t>B</w:t>
      </w:r>
      <w:r w:rsidRPr="008A2411">
        <w:rPr>
          <w:rFonts w:ascii="Times New Roman" w:eastAsia="TimesNewRomanPSMT"/>
          <w:color w:val="000000" w:themeColor="text1"/>
          <w:vertAlign w:val="subscript"/>
        </w:rPr>
        <w:t>2</w:t>
      </w:r>
      <w:r w:rsidRPr="008A2411">
        <w:rPr>
          <w:rFonts w:ascii="Times New Roman" w:eastAsia="TimesNewRomanPSMT"/>
          <w:color w:val="000000" w:themeColor="text1"/>
        </w:rPr>
        <w:t>O</w:t>
      </w:r>
      <w:r w:rsidRPr="008A2411">
        <w:rPr>
          <w:rFonts w:ascii="Times New Roman" w:eastAsia="TimesNewRomanPSMT"/>
          <w:color w:val="000000" w:themeColor="text1"/>
          <w:vertAlign w:val="subscript"/>
        </w:rPr>
        <w:t>3</w:t>
      </w:r>
      <w:r w:rsidRPr="008A2411">
        <w:rPr>
          <w:rFonts w:ascii="Times New Roman"/>
          <w:color w:val="000000" w:themeColor="text1"/>
        </w:rPr>
        <w:t>计）</w:t>
      </w:r>
      <w:r w:rsidRPr="008A2411">
        <w:rPr>
          <w:rFonts w:ascii="Times New Roman" w:eastAsia="TimesNewRomanPSMT"/>
          <w:color w:val="000000" w:themeColor="text1"/>
        </w:rPr>
        <w:t>460</w:t>
      </w:r>
      <w:r w:rsidRPr="008A2411">
        <w:rPr>
          <w:rFonts w:ascii="Times New Roman"/>
          <w:color w:val="000000" w:themeColor="text1"/>
        </w:rPr>
        <w:t>万吨、溴</w:t>
      </w:r>
      <w:r w:rsidRPr="008A2411">
        <w:rPr>
          <w:rFonts w:ascii="Times New Roman" w:eastAsia="TimesNewRomanPSMT"/>
          <w:color w:val="000000" w:themeColor="text1"/>
        </w:rPr>
        <w:t>280</w:t>
      </w:r>
      <w:r w:rsidRPr="008A2411">
        <w:rPr>
          <w:rFonts w:ascii="Times New Roman"/>
          <w:color w:val="000000" w:themeColor="text1"/>
        </w:rPr>
        <w:t>万吨等，预估潜在经济价值达</w:t>
      </w:r>
      <w:r w:rsidRPr="008A2411">
        <w:rPr>
          <w:rFonts w:ascii="Times New Roman" w:eastAsia="TimesNewRomanPSMT"/>
          <w:color w:val="000000" w:themeColor="text1"/>
        </w:rPr>
        <w:t>2000</w:t>
      </w:r>
      <w:r w:rsidRPr="008A2411">
        <w:rPr>
          <w:rFonts w:ascii="Times New Roman"/>
          <w:color w:val="000000" w:themeColor="text1"/>
        </w:rPr>
        <w:t>亿元，远景价值在万亿元以上。</w:t>
      </w:r>
    </w:p>
    <w:p w14:paraId="531B4B9D" w14:textId="77777777" w:rsidR="00B0005F" w:rsidRPr="008A2411" w:rsidRDefault="00000000">
      <w:pPr>
        <w:tabs>
          <w:tab w:val="left" w:pos="560"/>
        </w:tabs>
        <w:adjustRightInd w:val="0"/>
        <w:snapToGrid w:val="0"/>
        <w:spacing w:line="360" w:lineRule="auto"/>
        <w:ind w:firstLineChars="196" w:firstLine="472"/>
        <w:rPr>
          <w:rFonts w:ascii="Times New Roman"/>
          <w:color w:val="000000" w:themeColor="text1"/>
        </w:rPr>
      </w:pPr>
      <w:r w:rsidRPr="008A2411">
        <w:rPr>
          <w:rFonts w:ascii="Times New Roman"/>
          <w:b/>
          <w:bCs/>
          <w:color w:val="000000" w:themeColor="text1"/>
        </w:rPr>
        <w:t>（</w:t>
      </w:r>
      <w:r w:rsidRPr="008A2411">
        <w:rPr>
          <w:rFonts w:ascii="Times New Roman"/>
          <w:b/>
          <w:bCs/>
          <w:color w:val="000000" w:themeColor="text1"/>
        </w:rPr>
        <w:t>4</w:t>
      </w:r>
      <w:r w:rsidRPr="008A2411">
        <w:rPr>
          <w:rFonts w:ascii="Times New Roman"/>
          <w:b/>
          <w:bCs/>
          <w:color w:val="000000" w:themeColor="text1"/>
        </w:rPr>
        <w:t>）煤炭资源</w:t>
      </w:r>
    </w:p>
    <w:p w14:paraId="59309D07" w14:textId="77777777" w:rsidR="00B0005F" w:rsidRPr="008A2411" w:rsidRDefault="00000000">
      <w:pPr>
        <w:tabs>
          <w:tab w:val="left" w:pos="560"/>
        </w:tabs>
        <w:adjustRightInd w:val="0"/>
        <w:snapToGrid w:val="0"/>
        <w:spacing w:line="360" w:lineRule="auto"/>
        <w:ind w:firstLine="570"/>
        <w:rPr>
          <w:rFonts w:ascii="Times New Roman"/>
          <w:color w:val="000000" w:themeColor="text1"/>
        </w:rPr>
      </w:pPr>
      <w:r w:rsidRPr="008A2411">
        <w:rPr>
          <w:rFonts w:ascii="Times New Roman"/>
          <w:color w:val="000000" w:themeColor="text1"/>
        </w:rPr>
        <w:t>宣汉煤炭资源相当丰富，已探明煤炭储量</w:t>
      </w:r>
      <w:r w:rsidRPr="008A2411">
        <w:rPr>
          <w:rFonts w:ascii="Times New Roman"/>
          <w:color w:val="000000" w:themeColor="text1"/>
        </w:rPr>
        <w:t>1.61</w:t>
      </w:r>
      <w:r w:rsidRPr="008A2411">
        <w:rPr>
          <w:rFonts w:ascii="Times New Roman"/>
          <w:color w:val="000000" w:themeColor="text1"/>
        </w:rPr>
        <w:t>亿吨，保有资源量</w:t>
      </w:r>
      <w:r w:rsidRPr="008A2411">
        <w:rPr>
          <w:rFonts w:ascii="Times New Roman"/>
          <w:color w:val="000000" w:themeColor="text1"/>
        </w:rPr>
        <w:t>1.36</w:t>
      </w:r>
      <w:r w:rsidRPr="008A2411">
        <w:rPr>
          <w:rFonts w:ascii="Times New Roman"/>
          <w:color w:val="000000" w:themeColor="text1"/>
        </w:rPr>
        <w:t>亿吨，宣汉</w:t>
      </w:r>
      <w:proofErr w:type="gramStart"/>
      <w:r w:rsidRPr="008A2411">
        <w:rPr>
          <w:rFonts w:ascii="Times New Roman"/>
          <w:color w:val="000000" w:themeColor="text1"/>
        </w:rPr>
        <w:t>煤碳</w:t>
      </w:r>
      <w:proofErr w:type="gramEnd"/>
      <w:r w:rsidRPr="008A2411">
        <w:rPr>
          <w:rFonts w:ascii="Times New Roman"/>
          <w:color w:val="000000" w:themeColor="text1"/>
        </w:rPr>
        <w:t>煤质较好，煤种主要为贫煤、瘦煤和焦煤三种，其中尤以焦煤的储量最为丰富，占到总储量的</w:t>
      </w:r>
      <w:r w:rsidRPr="008A2411">
        <w:rPr>
          <w:rFonts w:ascii="Times New Roman"/>
          <w:color w:val="000000" w:themeColor="text1"/>
        </w:rPr>
        <w:t>7</w:t>
      </w:r>
      <w:r w:rsidRPr="008A2411">
        <w:rPr>
          <w:rFonts w:ascii="Times New Roman"/>
          <w:color w:val="000000" w:themeColor="text1"/>
        </w:rPr>
        <w:t>成以上，发热量</w:t>
      </w:r>
      <w:r w:rsidRPr="008A2411">
        <w:rPr>
          <w:rFonts w:ascii="Times New Roman"/>
          <w:color w:val="000000" w:themeColor="text1"/>
        </w:rPr>
        <w:t>6000</w:t>
      </w:r>
      <w:r w:rsidRPr="008A2411">
        <w:rPr>
          <w:rFonts w:ascii="Times New Roman"/>
          <w:color w:val="000000" w:themeColor="text1"/>
        </w:rPr>
        <w:t>大卡以上。</w:t>
      </w:r>
    </w:p>
    <w:p w14:paraId="3904EAF6" w14:textId="77777777" w:rsidR="00B0005F" w:rsidRPr="008A2411" w:rsidRDefault="00000000">
      <w:pPr>
        <w:tabs>
          <w:tab w:val="left" w:pos="560"/>
        </w:tabs>
        <w:adjustRightInd w:val="0"/>
        <w:snapToGrid w:val="0"/>
        <w:spacing w:line="360" w:lineRule="auto"/>
        <w:ind w:firstLineChars="196" w:firstLine="472"/>
        <w:rPr>
          <w:rFonts w:ascii="Times New Roman"/>
          <w:b/>
          <w:bCs/>
          <w:color w:val="000000" w:themeColor="text1"/>
        </w:rPr>
      </w:pPr>
      <w:r w:rsidRPr="008A2411">
        <w:rPr>
          <w:rFonts w:ascii="Times New Roman"/>
          <w:b/>
          <w:bCs/>
          <w:color w:val="000000" w:themeColor="text1"/>
        </w:rPr>
        <w:t>（</w:t>
      </w:r>
      <w:r w:rsidRPr="008A2411">
        <w:rPr>
          <w:rFonts w:ascii="Times New Roman"/>
          <w:b/>
          <w:bCs/>
          <w:color w:val="000000" w:themeColor="text1"/>
        </w:rPr>
        <w:t>5</w:t>
      </w:r>
      <w:r w:rsidRPr="008A2411">
        <w:rPr>
          <w:rFonts w:ascii="Times New Roman"/>
          <w:b/>
          <w:bCs/>
          <w:color w:val="000000" w:themeColor="text1"/>
        </w:rPr>
        <w:t>）文化旅游资源</w:t>
      </w:r>
    </w:p>
    <w:p w14:paraId="0CB6BBE8" w14:textId="77777777" w:rsidR="00B0005F" w:rsidRPr="008A2411" w:rsidRDefault="00000000">
      <w:pPr>
        <w:tabs>
          <w:tab w:val="left" w:pos="560"/>
        </w:tabs>
        <w:adjustRightInd w:val="0"/>
        <w:snapToGrid w:val="0"/>
        <w:spacing w:line="360" w:lineRule="auto"/>
        <w:ind w:firstLine="570"/>
        <w:rPr>
          <w:rFonts w:ascii="Times New Roman"/>
          <w:color w:val="000000" w:themeColor="text1"/>
        </w:rPr>
      </w:pPr>
      <w:r w:rsidRPr="008A2411">
        <w:rPr>
          <w:rFonts w:ascii="Times New Roman"/>
          <w:color w:val="000000" w:themeColor="text1"/>
        </w:rPr>
        <w:t>罗家坝遗址，位于</w:t>
      </w:r>
      <w:hyperlink r:id="rId30" w:tgtFrame="https://baike.baidu.com/item/%E7%BD%97%E5%AE%B6%E5%9D%9D%E9%81%97%E5%9D%80/_blank" w:history="1">
        <w:r w:rsidRPr="008A2411">
          <w:rPr>
            <w:rFonts w:ascii="Times New Roman"/>
            <w:color w:val="000000" w:themeColor="text1"/>
          </w:rPr>
          <w:t>四川省</w:t>
        </w:r>
      </w:hyperlink>
      <w:hyperlink r:id="rId31" w:tgtFrame="https://baike.baidu.com/item/%E7%BD%97%E5%AE%B6%E5%9D%9D%E9%81%97%E5%9D%80/_blank" w:history="1">
        <w:r w:rsidRPr="008A2411">
          <w:rPr>
            <w:rFonts w:ascii="Times New Roman"/>
            <w:color w:val="000000" w:themeColor="text1"/>
          </w:rPr>
          <w:t>达州市</w:t>
        </w:r>
      </w:hyperlink>
      <w:r w:rsidRPr="008A2411">
        <w:rPr>
          <w:rFonts w:ascii="Times New Roman"/>
          <w:color w:val="000000" w:themeColor="text1"/>
        </w:rPr>
        <w:t>宣汉县普光镇进化村，地处秦、楚、巴、蜀文化交界处，距今有</w:t>
      </w:r>
      <w:r w:rsidRPr="008A2411">
        <w:rPr>
          <w:rFonts w:ascii="Times New Roman"/>
          <w:color w:val="000000" w:themeColor="text1"/>
        </w:rPr>
        <w:t>5300</w:t>
      </w:r>
      <w:r w:rsidRPr="008A2411">
        <w:rPr>
          <w:rFonts w:ascii="Times New Roman"/>
          <w:color w:val="000000" w:themeColor="text1"/>
        </w:rPr>
        <w:t>年历史，</w:t>
      </w:r>
      <w:r w:rsidRPr="008A2411">
        <w:rPr>
          <w:rFonts w:ascii="Times New Roman"/>
          <w:color w:val="000000" w:themeColor="text1"/>
        </w:rPr>
        <w:t>1999</w:t>
      </w:r>
      <w:r w:rsidRPr="008A2411">
        <w:rPr>
          <w:rFonts w:ascii="Times New Roman"/>
          <w:color w:val="000000" w:themeColor="text1"/>
        </w:rPr>
        <w:t>年首次发掘了涵盖东汉、西汉、周、商、夏、新石器时代晚期的文化堆积非常深厚的巴人文化遗址。该遗址位于本项目东侧约</w:t>
      </w:r>
      <w:r w:rsidRPr="008A2411">
        <w:rPr>
          <w:rFonts w:ascii="Times New Roman"/>
          <w:color w:val="000000" w:themeColor="text1"/>
        </w:rPr>
        <w:t>5.9km</w:t>
      </w:r>
      <w:r w:rsidRPr="008A2411">
        <w:rPr>
          <w:rFonts w:ascii="Times New Roman"/>
          <w:color w:val="000000" w:themeColor="text1"/>
        </w:rPr>
        <w:t>处。</w:t>
      </w:r>
    </w:p>
    <w:p w14:paraId="59537345" w14:textId="77777777" w:rsidR="00B0005F" w:rsidRPr="008A2411" w:rsidRDefault="00000000">
      <w:pPr>
        <w:pStyle w:val="affffffffff3"/>
        <w:snapToGrid w:val="0"/>
        <w:spacing w:before="0" w:after="0" w:line="360" w:lineRule="auto"/>
        <w:rPr>
          <w:rFonts w:ascii="Times New Roman" w:eastAsia="黑体" w:cs="Times New Roman"/>
          <w:color w:val="000000" w:themeColor="text1"/>
          <w:sz w:val="28"/>
          <w:szCs w:val="28"/>
          <w:lang w:bidi="en-US"/>
        </w:rPr>
      </w:pPr>
      <w:bookmarkStart w:id="243" w:name="_Toc95250312"/>
      <w:bookmarkStart w:id="244" w:name="_Toc109170762"/>
      <w:r w:rsidRPr="008A2411">
        <w:rPr>
          <w:rFonts w:ascii="Times New Roman" w:eastAsia="黑体" w:cs="Times New Roman"/>
          <w:color w:val="000000" w:themeColor="text1"/>
          <w:sz w:val="28"/>
          <w:szCs w:val="28"/>
          <w:lang w:bidi="en-US"/>
        </w:rPr>
        <w:t xml:space="preserve">4.2 </w:t>
      </w:r>
      <w:r w:rsidRPr="008A2411">
        <w:rPr>
          <w:rFonts w:ascii="Times New Roman" w:eastAsia="黑体" w:cs="Times New Roman"/>
          <w:color w:val="000000" w:themeColor="text1"/>
          <w:sz w:val="28"/>
          <w:szCs w:val="28"/>
          <w:lang w:bidi="en-US"/>
        </w:rPr>
        <w:t>生态环境调查与评价</w:t>
      </w:r>
      <w:bookmarkEnd w:id="243"/>
      <w:bookmarkEnd w:id="244"/>
    </w:p>
    <w:p w14:paraId="7179FC8C" w14:textId="77777777" w:rsidR="00B0005F" w:rsidRPr="008A2411" w:rsidRDefault="00000000">
      <w:pPr>
        <w:pStyle w:val="afffffffffffffffffffff0"/>
        <w:ind w:firstLine="480"/>
        <w:rPr>
          <w:color w:val="000000" w:themeColor="text1"/>
        </w:rPr>
      </w:pPr>
      <w:r w:rsidRPr="008A2411">
        <w:rPr>
          <w:color w:val="000000" w:themeColor="text1"/>
        </w:rPr>
        <w:t>生态现状调查是生态现状评价、影响预测的基础和依据，本次工程生态现状调查的主要内容包括：生态功能区划、主要生态问题、土地利用现状、基本农田现状、植被分布现状、土壤侵蚀现状、</w:t>
      </w:r>
      <w:proofErr w:type="gramStart"/>
      <w:r w:rsidRPr="008A2411">
        <w:rPr>
          <w:color w:val="000000" w:themeColor="text1"/>
        </w:rPr>
        <w:t>评价区</w:t>
      </w:r>
      <w:proofErr w:type="gramEnd"/>
      <w:r w:rsidRPr="008A2411">
        <w:rPr>
          <w:color w:val="000000" w:themeColor="text1"/>
        </w:rPr>
        <w:t>野生动植物和沿线生态敏感区分布等生态背景和生态问题。区域的主要生态问题为水土流失问题。调查查明了水土流失的成因、空间分布和发生特点。</w:t>
      </w:r>
    </w:p>
    <w:p w14:paraId="6FDA88EF" w14:textId="03047403" w:rsidR="00B0005F" w:rsidRPr="008A2411" w:rsidRDefault="00000000">
      <w:pPr>
        <w:pStyle w:val="afffffffffffffffffffff0"/>
        <w:ind w:firstLine="480"/>
        <w:rPr>
          <w:color w:val="000000" w:themeColor="text1"/>
        </w:rPr>
      </w:pPr>
      <w:r w:rsidRPr="008A2411">
        <w:rPr>
          <w:color w:val="000000" w:themeColor="text1"/>
        </w:rPr>
        <w:t>本次环评生态现状不进行样方调查、遥感，充分借鉴已有资料进行生态现状调查与评价。</w:t>
      </w:r>
    </w:p>
    <w:p w14:paraId="2DC41F41" w14:textId="77777777" w:rsidR="00B0005F" w:rsidRPr="008A2411" w:rsidRDefault="00000000">
      <w:pPr>
        <w:pStyle w:val="afffffffffffffffffffff0"/>
        <w:adjustRightInd w:val="0"/>
        <w:snapToGrid w:val="0"/>
        <w:ind w:firstLine="480"/>
        <w:rPr>
          <w:color w:val="000000" w:themeColor="text1"/>
        </w:rPr>
      </w:pPr>
      <w:r w:rsidRPr="008A2411">
        <w:rPr>
          <w:color w:val="000000" w:themeColor="text1"/>
        </w:rPr>
        <w:t>在区域生态基本特征现状调查的基础上，对</w:t>
      </w:r>
      <w:proofErr w:type="gramStart"/>
      <w:r w:rsidRPr="008A2411">
        <w:rPr>
          <w:color w:val="000000" w:themeColor="text1"/>
        </w:rPr>
        <w:t>评价区</w:t>
      </w:r>
      <w:proofErr w:type="gramEnd"/>
      <w:r w:rsidRPr="008A2411">
        <w:rPr>
          <w:color w:val="000000" w:themeColor="text1"/>
        </w:rPr>
        <w:t>的生态现状进行了定量和定性的分析评价。评价内容主要包括生态系统完整性、土地利用现状、植被分布现状、土壤侵蚀现状等内容。评价采用了文字和图件相结合的表现形式，图件遵照《环境影响评价技术导则</w:t>
      </w:r>
      <w:r w:rsidRPr="008A2411">
        <w:rPr>
          <w:color w:val="000000" w:themeColor="text1"/>
        </w:rPr>
        <w:t xml:space="preserve"> </w:t>
      </w:r>
      <w:r w:rsidRPr="008A2411">
        <w:rPr>
          <w:color w:val="000000" w:themeColor="text1"/>
        </w:rPr>
        <w:t>生态影响》（</w:t>
      </w:r>
      <w:r w:rsidRPr="008A2411">
        <w:rPr>
          <w:rFonts w:hint="eastAsia"/>
          <w:color w:val="000000" w:themeColor="text1"/>
        </w:rPr>
        <w:t>HJ19-2022</w:t>
      </w:r>
      <w:r w:rsidRPr="008A2411">
        <w:rPr>
          <w:color w:val="000000" w:themeColor="text1"/>
        </w:rPr>
        <w:t>）中附录</w:t>
      </w:r>
      <w:r w:rsidRPr="008A2411">
        <w:rPr>
          <w:color w:val="000000" w:themeColor="text1"/>
        </w:rPr>
        <w:t>B</w:t>
      </w:r>
      <w:r w:rsidRPr="008A2411">
        <w:rPr>
          <w:color w:val="000000" w:themeColor="text1"/>
        </w:rPr>
        <w:t>的规定制作。</w:t>
      </w:r>
    </w:p>
    <w:p w14:paraId="57EFBFC7" w14:textId="77777777" w:rsidR="00B0005F" w:rsidRPr="008A2411" w:rsidRDefault="00000000">
      <w:pPr>
        <w:pStyle w:val="31"/>
        <w:adjustRightInd w:val="0"/>
        <w:snapToGrid w:val="0"/>
        <w:spacing w:before="0" w:after="0" w:line="360" w:lineRule="auto"/>
        <w:rPr>
          <w:rFonts w:ascii="Times New Roman" w:eastAsia="黑体"/>
          <w:b w:val="0"/>
          <w:color w:val="000000" w:themeColor="text1"/>
          <w:kern w:val="0"/>
          <w:sz w:val="24"/>
          <w:szCs w:val="24"/>
          <w:lang w:bidi="en-US"/>
        </w:rPr>
      </w:pPr>
      <w:bookmarkStart w:id="245" w:name="_Toc12288582"/>
      <w:r w:rsidRPr="008A2411">
        <w:rPr>
          <w:rFonts w:ascii="Times New Roman" w:eastAsia="黑体"/>
          <w:b w:val="0"/>
          <w:color w:val="000000" w:themeColor="text1"/>
          <w:kern w:val="0"/>
          <w:sz w:val="24"/>
          <w:szCs w:val="24"/>
          <w:lang w:bidi="en-US"/>
        </w:rPr>
        <w:lastRenderedPageBreak/>
        <w:t xml:space="preserve">4.2.1 </w:t>
      </w:r>
      <w:r w:rsidRPr="008A2411">
        <w:rPr>
          <w:rFonts w:ascii="Times New Roman" w:eastAsia="黑体"/>
          <w:b w:val="0"/>
          <w:color w:val="000000" w:themeColor="text1"/>
          <w:kern w:val="0"/>
          <w:sz w:val="24"/>
          <w:szCs w:val="24"/>
          <w:lang w:bidi="en-US"/>
        </w:rPr>
        <w:t>生态系统类型及主要生态环境问题</w:t>
      </w:r>
    </w:p>
    <w:p w14:paraId="239D13DB" w14:textId="77777777" w:rsidR="00B0005F" w:rsidRPr="008A2411" w:rsidRDefault="00000000">
      <w:pPr>
        <w:pStyle w:val="afffffffffffffffffffff0"/>
        <w:adjustRightInd w:val="0"/>
        <w:snapToGrid w:val="0"/>
        <w:ind w:firstLine="482"/>
        <w:rPr>
          <w:rStyle w:val="affffa"/>
          <w:color w:val="000000" w:themeColor="text1"/>
          <w:szCs w:val="22"/>
        </w:rPr>
      </w:pPr>
      <w:r w:rsidRPr="008A2411">
        <w:rPr>
          <w:rStyle w:val="affffa"/>
          <w:color w:val="000000" w:themeColor="text1"/>
          <w:szCs w:val="22"/>
        </w:rPr>
        <w:t>1</w:t>
      </w:r>
      <w:r w:rsidRPr="008A2411">
        <w:rPr>
          <w:rStyle w:val="affffa"/>
          <w:color w:val="000000" w:themeColor="text1"/>
          <w:szCs w:val="22"/>
        </w:rPr>
        <w:t>、生态系统类型</w:t>
      </w:r>
    </w:p>
    <w:p w14:paraId="5C0F74E0" w14:textId="77777777" w:rsidR="00B0005F" w:rsidRPr="008A2411" w:rsidRDefault="00000000">
      <w:pPr>
        <w:pStyle w:val="afffffffffffffffffffff0"/>
        <w:adjustRightInd w:val="0"/>
        <w:snapToGrid w:val="0"/>
        <w:ind w:firstLine="480"/>
        <w:rPr>
          <w:color w:val="000000" w:themeColor="text1"/>
        </w:rPr>
      </w:pPr>
      <w:r w:rsidRPr="008A2411">
        <w:rPr>
          <w:color w:val="000000" w:themeColor="text1"/>
        </w:rPr>
        <w:t>本项目位于宣汉县，根据《四川省生态功能区划》（</w:t>
      </w:r>
      <w:r w:rsidRPr="008A2411">
        <w:rPr>
          <w:color w:val="000000" w:themeColor="text1"/>
        </w:rPr>
        <w:t>2010</w:t>
      </w:r>
      <w:r w:rsidRPr="008A2411">
        <w:rPr>
          <w:color w:val="000000" w:themeColor="text1"/>
        </w:rPr>
        <w:t>版），项目所在地的生态功能</w:t>
      </w:r>
      <w:proofErr w:type="gramStart"/>
      <w:r w:rsidRPr="008A2411">
        <w:rPr>
          <w:color w:val="000000" w:themeColor="text1"/>
        </w:rPr>
        <w:t>区划见</w:t>
      </w:r>
      <w:proofErr w:type="gramEnd"/>
      <w:r w:rsidRPr="008A2411">
        <w:rPr>
          <w:color w:val="000000" w:themeColor="text1"/>
        </w:rPr>
        <w:t>下表。</w:t>
      </w:r>
    </w:p>
    <w:p w14:paraId="580397AE" w14:textId="77777777" w:rsidR="00B0005F" w:rsidRPr="008A2411" w:rsidRDefault="00000000">
      <w:pPr>
        <w:pStyle w:val="TOC1"/>
        <w:jc w:val="center"/>
        <w:rPr>
          <w:rFonts w:ascii="Times New Roman" w:eastAsia="黑体" w:hAnsi="Times New Roman" w:cs="Times New Roman"/>
          <w:b w:val="0"/>
          <w:bCs w:val="0"/>
          <w:caps w:val="0"/>
          <w:color w:val="000000" w:themeColor="text1"/>
          <w:sz w:val="24"/>
          <w:szCs w:val="24"/>
        </w:rPr>
      </w:pPr>
      <w:r w:rsidRPr="008A2411">
        <w:rPr>
          <w:rFonts w:ascii="Times New Roman" w:eastAsia="黑体" w:hAnsi="Times New Roman" w:cs="Times New Roman"/>
          <w:b w:val="0"/>
          <w:bCs w:val="0"/>
          <w:caps w:val="0"/>
          <w:color w:val="000000" w:themeColor="text1"/>
          <w:sz w:val="24"/>
          <w:szCs w:val="24"/>
        </w:rPr>
        <w:t>表</w:t>
      </w:r>
      <w:r w:rsidRPr="008A2411">
        <w:rPr>
          <w:rFonts w:ascii="Times New Roman" w:eastAsia="黑体" w:hAnsi="Times New Roman" w:cs="Times New Roman"/>
          <w:b w:val="0"/>
          <w:bCs w:val="0"/>
          <w:caps w:val="0"/>
          <w:color w:val="000000" w:themeColor="text1"/>
          <w:sz w:val="24"/>
          <w:szCs w:val="24"/>
        </w:rPr>
        <w:t xml:space="preserve">4.2-1  </w:t>
      </w:r>
      <w:r w:rsidRPr="008A2411">
        <w:rPr>
          <w:rFonts w:ascii="Times New Roman" w:eastAsia="黑体" w:hAnsi="Times New Roman" w:cs="Times New Roman"/>
          <w:b w:val="0"/>
          <w:bCs w:val="0"/>
          <w:caps w:val="0"/>
          <w:color w:val="000000" w:themeColor="text1"/>
          <w:sz w:val="24"/>
          <w:szCs w:val="24"/>
        </w:rPr>
        <w:t>项目所在地生态功能区</w:t>
      </w:r>
    </w:p>
    <w:tbl>
      <w:tblPr>
        <w:tblW w:w="5269" w:type="pct"/>
        <w:jc w:val="center"/>
        <w:tblBorders>
          <w:top w:val="single" w:sz="12" w:space="0" w:color="000000"/>
          <w:bottom w:val="single" w:sz="12" w:space="0" w:color="000000"/>
          <w:insideH w:val="single" w:sz="4" w:space="0" w:color="000000"/>
          <w:insideV w:val="single" w:sz="4" w:space="0" w:color="000000"/>
        </w:tblBorders>
        <w:tblCellMar>
          <w:left w:w="0" w:type="dxa"/>
          <w:right w:w="0" w:type="dxa"/>
        </w:tblCellMar>
        <w:tblLook w:val="04A0" w:firstRow="1" w:lastRow="0" w:firstColumn="1" w:lastColumn="0" w:noHBand="0" w:noVBand="1"/>
      </w:tblPr>
      <w:tblGrid>
        <w:gridCol w:w="852"/>
        <w:gridCol w:w="1081"/>
        <w:gridCol w:w="1144"/>
        <w:gridCol w:w="1323"/>
        <w:gridCol w:w="1136"/>
        <w:gridCol w:w="3227"/>
      </w:tblGrid>
      <w:tr w:rsidR="008A2411" w:rsidRPr="008A2411" w14:paraId="37D845B1" w14:textId="77777777">
        <w:trPr>
          <w:trHeight w:val="21"/>
          <w:jc w:val="center"/>
        </w:trPr>
        <w:tc>
          <w:tcPr>
            <w:tcW w:w="486" w:type="pct"/>
            <w:tcBorders>
              <w:top w:val="single" w:sz="4" w:space="0" w:color="auto"/>
              <w:left w:val="single" w:sz="4" w:space="0" w:color="auto"/>
            </w:tcBorders>
            <w:vAlign w:val="center"/>
          </w:tcPr>
          <w:p w14:paraId="1CDED40A"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生态区</w:t>
            </w:r>
          </w:p>
        </w:tc>
        <w:tc>
          <w:tcPr>
            <w:tcW w:w="617" w:type="pct"/>
            <w:tcBorders>
              <w:top w:val="single" w:sz="4" w:space="0" w:color="auto"/>
            </w:tcBorders>
            <w:vAlign w:val="center"/>
          </w:tcPr>
          <w:p w14:paraId="2B7957B4"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生态亚区</w:t>
            </w:r>
          </w:p>
        </w:tc>
        <w:tc>
          <w:tcPr>
            <w:tcW w:w="653" w:type="pct"/>
            <w:tcBorders>
              <w:top w:val="single" w:sz="4" w:space="0" w:color="auto"/>
            </w:tcBorders>
            <w:vAlign w:val="center"/>
          </w:tcPr>
          <w:p w14:paraId="69266696"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生态功能区</w:t>
            </w:r>
          </w:p>
        </w:tc>
        <w:tc>
          <w:tcPr>
            <w:tcW w:w="755" w:type="pct"/>
            <w:tcBorders>
              <w:top w:val="single" w:sz="4" w:space="0" w:color="auto"/>
            </w:tcBorders>
            <w:vAlign w:val="center"/>
          </w:tcPr>
          <w:p w14:paraId="013A6C4D"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主要环境问题</w:t>
            </w:r>
          </w:p>
        </w:tc>
        <w:tc>
          <w:tcPr>
            <w:tcW w:w="648" w:type="pct"/>
            <w:tcBorders>
              <w:top w:val="single" w:sz="4" w:space="0" w:color="auto"/>
            </w:tcBorders>
            <w:vAlign w:val="center"/>
          </w:tcPr>
          <w:p w14:paraId="3959775A"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服务功能</w:t>
            </w:r>
          </w:p>
        </w:tc>
        <w:tc>
          <w:tcPr>
            <w:tcW w:w="1841" w:type="pct"/>
            <w:tcBorders>
              <w:top w:val="single" w:sz="4" w:space="0" w:color="auto"/>
              <w:right w:val="single" w:sz="4" w:space="0" w:color="auto"/>
            </w:tcBorders>
            <w:vAlign w:val="center"/>
          </w:tcPr>
          <w:p w14:paraId="38448613"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保护与发展</w:t>
            </w:r>
          </w:p>
        </w:tc>
      </w:tr>
      <w:tr w:rsidR="008A2411" w:rsidRPr="008A2411" w14:paraId="04FCB989" w14:textId="77777777">
        <w:trPr>
          <w:trHeight w:val="21"/>
          <w:jc w:val="center"/>
        </w:trPr>
        <w:tc>
          <w:tcPr>
            <w:tcW w:w="486" w:type="pct"/>
            <w:tcBorders>
              <w:left w:val="single" w:sz="4" w:space="0" w:color="auto"/>
              <w:bottom w:val="single" w:sz="4" w:space="0" w:color="auto"/>
            </w:tcBorders>
            <w:vAlign w:val="center"/>
          </w:tcPr>
          <w:p w14:paraId="7EF67961"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I</w:t>
            </w:r>
            <w:r w:rsidRPr="008A2411">
              <w:rPr>
                <w:rFonts w:ascii="Times New Roman" w:eastAsia="宋体" w:hAnsi="Times New Roman" w:cs="Times New Roman"/>
                <w:color w:val="000000" w:themeColor="text1"/>
                <w:sz w:val="21"/>
                <w:szCs w:val="21"/>
              </w:rPr>
              <w:t>四川盆地亚热带湿润气候生态区</w:t>
            </w:r>
          </w:p>
        </w:tc>
        <w:tc>
          <w:tcPr>
            <w:tcW w:w="617" w:type="pct"/>
            <w:tcBorders>
              <w:bottom w:val="single" w:sz="4" w:space="0" w:color="auto"/>
            </w:tcBorders>
            <w:vAlign w:val="center"/>
          </w:tcPr>
          <w:p w14:paraId="509B7586"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I-</w:t>
            </w:r>
            <w:proofErr w:type="gramStart"/>
            <w:r w:rsidRPr="008A2411">
              <w:rPr>
                <w:rFonts w:ascii="Times New Roman" w:eastAsia="宋体" w:hAnsi="Times New Roman" w:cs="Times New Roman"/>
                <w:color w:val="000000" w:themeColor="text1"/>
                <w:sz w:val="21"/>
                <w:szCs w:val="21"/>
              </w:rPr>
              <w:t>3</w:t>
            </w:r>
            <w:r w:rsidRPr="008A2411">
              <w:rPr>
                <w:rFonts w:ascii="Times New Roman" w:eastAsia="宋体" w:hAnsi="Times New Roman" w:cs="Times New Roman"/>
                <w:color w:val="000000" w:themeColor="text1"/>
                <w:sz w:val="21"/>
                <w:szCs w:val="21"/>
              </w:rPr>
              <w:t>盆北秦巴</w:t>
            </w:r>
            <w:proofErr w:type="gramEnd"/>
            <w:r w:rsidRPr="008A2411">
              <w:rPr>
                <w:rFonts w:ascii="Times New Roman" w:eastAsia="宋体" w:hAnsi="Times New Roman" w:cs="Times New Roman"/>
                <w:color w:val="000000" w:themeColor="text1"/>
                <w:sz w:val="21"/>
                <w:szCs w:val="21"/>
              </w:rPr>
              <w:t>山地常绿阔叶林</w:t>
            </w:r>
            <w:r w:rsidRPr="008A2411">
              <w:rPr>
                <w:rFonts w:ascii="Times New Roman" w:eastAsia="宋体" w:hAnsi="Times New Roman" w:cs="Times New Roman"/>
                <w:color w:val="000000" w:themeColor="text1"/>
                <w:sz w:val="21"/>
                <w:szCs w:val="21"/>
              </w:rPr>
              <w:t>-</w:t>
            </w:r>
            <w:r w:rsidRPr="008A2411">
              <w:rPr>
                <w:rFonts w:ascii="Times New Roman" w:eastAsia="宋体" w:hAnsi="Times New Roman" w:cs="Times New Roman"/>
                <w:color w:val="000000" w:themeColor="text1"/>
                <w:sz w:val="21"/>
                <w:szCs w:val="21"/>
              </w:rPr>
              <w:t>针阔混交林生态亚区</w:t>
            </w:r>
          </w:p>
        </w:tc>
        <w:tc>
          <w:tcPr>
            <w:tcW w:w="653" w:type="pct"/>
            <w:tcBorders>
              <w:bottom w:val="single" w:sz="4" w:space="0" w:color="auto"/>
            </w:tcBorders>
            <w:vAlign w:val="center"/>
          </w:tcPr>
          <w:p w14:paraId="76F8761C"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I-3-2</w:t>
            </w:r>
            <w:r w:rsidRPr="008A2411">
              <w:rPr>
                <w:rFonts w:ascii="Times New Roman" w:eastAsia="宋体" w:hAnsi="Times New Roman" w:cs="Times New Roman"/>
                <w:color w:val="000000" w:themeColor="text1"/>
                <w:sz w:val="21"/>
                <w:szCs w:val="21"/>
              </w:rPr>
              <w:t>大巴山水源涵养与土壤保持生态功能区</w:t>
            </w:r>
          </w:p>
        </w:tc>
        <w:tc>
          <w:tcPr>
            <w:tcW w:w="755" w:type="pct"/>
            <w:tcBorders>
              <w:bottom w:val="single" w:sz="4" w:space="0" w:color="auto"/>
            </w:tcBorders>
            <w:vAlign w:val="center"/>
          </w:tcPr>
          <w:p w14:paraId="34D8079C"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多洪灾，滑坡崩塌强烈发育，水土流失严重</w:t>
            </w:r>
          </w:p>
        </w:tc>
        <w:tc>
          <w:tcPr>
            <w:tcW w:w="648" w:type="pct"/>
            <w:tcBorders>
              <w:bottom w:val="single" w:sz="4" w:space="0" w:color="auto"/>
            </w:tcBorders>
            <w:vAlign w:val="center"/>
          </w:tcPr>
          <w:p w14:paraId="5EA8B3D4"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水源涵养功能，土壤保持功能</w:t>
            </w:r>
          </w:p>
        </w:tc>
        <w:tc>
          <w:tcPr>
            <w:tcW w:w="1841" w:type="pct"/>
            <w:tcBorders>
              <w:bottom w:val="single" w:sz="4" w:space="0" w:color="auto"/>
              <w:right w:val="single" w:sz="4" w:space="0" w:color="auto"/>
            </w:tcBorders>
            <w:vAlign w:val="center"/>
          </w:tcPr>
          <w:p w14:paraId="0907A2C9" w14:textId="77777777" w:rsidR="00B0005F" w:rsidRPr="008A2411" w:rsidRDefault="00000000">
            <w:pPr>
              <w:pStyle w:val="aff9"/>
              <w:spacing w:line="320" w:lineRule="exact"/>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保护森林植被和生物多样性，巩固长江上游防护林建设、天然林保护和退耕还林成果。合理开发和利用自然资源，发展特色农业，绿色和有机农产品。拓展生态农业产业链，培育新的经济增长点。规范和严格管理矿产、水电、生物资源的开发，防止对生态环境和生态系统的不利影响</w:t>
            </w:r>
          </w:p>
        </w:tc>
      </w:tr>
    </w:tbl>
    <w:p w14:paraId="6E667F4E" w14:textId="77777777" w:rsidR="00B0005F" w:rsidRPr="008A2411" w:rsidRDefault="00000000">
      <w:pPr>
        <w:pStyle w:val="afffffffffffffffffffff0"/>
        <w:ind w:firstLine="480"/>
        <w:rPr>
          <w:color w:val="000000" w:themeColor="text1"/>
        </w:rPr>
      </w:pPr>
      <w:r w:rsidRPr="008A2411">
        <w:rPr>
          <w:color w:val="000000" w:themeColor="text1"/>
        </w:rPr>
        <w:t>本项目位于四川盆地亚热带湿润气候生态区，属于大巴山水源涵养与土壤保持生态功能区（</w:t>
      </w:r>
      <w:r w:rsidRPr="008A2411">
        <w:rPr>
          <w:color w:val="000000" w:themeColor="text1"/>
        </w:rPr>
        <w:t>I-3-2</w:t>
      </w:r>
      <w:r w:rsidRPr="008A2411">
        <w:rPr>
          <w:color w:val="000000" w:themeColor="text1"/>
        </w:rPr>
        <w:t>），该生态功能区的主导功能是水源涵养功能，土壤保持功能。面临的主要环境问题是多洪灾，滑坡崩塌强烈发育，水土流失严重。</w:t>
      </w:r>
    </w:p>
    <w:p w14:paraId="6D2EB890" w14:textId="77777777" w:rsidR="00B0005F" w:rsidRPr="008A2411" w:rsidRDefault="00000000">
      <w:pPr>
        <w:pStyle w:val="31"/>
        <w:adjustRightInd w:val="0"/>
        <w:snapToGrid w:val="0"/>
        <w:spacing w:before="0" w:after="0" w:line="360" w:lineRule="auto"/>
        <w:rPr>
          <w:rFonts w:ascii="Times New Roman" w:eastAsia="黑体"/>
          <w:b w:val="0"/>
          <w:color w:val="000000" w:themeColor="text1"/>
          <w:kern w:val="0"/>
          <w:sz w:val="24"/>
          <w:szCs w:val="24"/>
          <w:lang w:bidi="en-US"/>
        </w:rPr>
      </w:pPr>
      <w:r w:rsidRPr="008A2411">
        <w:rPr>
          <w:rFonts w:ascii="Times New Roman" w:eastAsia="黑体"/>
          <w:b w:val="0"/>
          <w:color w:val="000000" w:themeColor="text1"/>
          <w:kern w:val="0"/>
          <w:sz w:val="24"/>
          <w:szCs w:val="24"/>
          <w:lang w:bidi="en-US"/>
        </w:rPr>
        <w:t xml:space="preserve">4.2.2 </w:t>
      </w:r>
      <w:proofErr w:type="gramStart"/>
      <w:r w:rsidRPr="008A2411">
        <w:rPr>
          <w:rFonts w:ascii="Times New Roman" w:eastAsia="黑体"/>
          <w:b w:val="0"/>
          <w:color w:val="000000" w:themeColor="text1"/>
          <w:kern w:val="0"/>
          <w:sz w:val="24"/>
          <w:szCs w:val="24"/>
          <w:lang w:bidi="en-US"/>
        </w:rPr>
        <w:t>评价区</w:t>
      </w:r>
      <w:proofErr w:type="gramEnd"/>
      <w:r w:rsidRPr="008A2411">
        <w:rPr>
          <w:rFonts w:ascii="Times New Roman" w:eastAsia="黑体"/>
          <w:b w:val="0"/>
          <w:color w:val="000000" w:themeColor="text1"/>
          <w:kern w:val="0"/>
          <w:sz w:val="24"/>
          <w:szCs w:val="24"/>
          <w:lang w:bidi="en-US"/>
        </w:rPr>
        <w:t>土地利用现状调查与评价</w:t>
      </w:r>
    </w:p>
    <w:p w14:paraId="346B5570" w14:textId="77777777" w:rsidR="00B0005F" w:rsidRPr="008A2411" w:rsidRDefault="00000000">
      <w:pPr>
        <w:pStyle w:val="afffffffffffffffffffff0"/>
        <w:ind w:firstLine="480"/>
        <w:rPr>
          <w:color w:val="000000" w:themeColor="text1"/>
        </w:rPr>
      </w:pPr>
      <w:r w:rsidRPr="008A2411">
        <w:rPr>
          <w:color w:val="000000" w:themeColor="text1"/>
        </w:rPr>
        <w:t>本次土地利用现状调查，土地利用类型分类参照《土地利用现状分类》（</w:t>
      </w:r>
      <w:r w:rsidRPr="008A2411">
        <w:rPr>
          <w:color w:val="000000" w:themeColor="text1"/>
        </w:rPr>
        <w:t>GB/T 21010-2017</w:t>
      </w:r>
      <w:r w:rsidRPr="008A2411">
        <w:rPr>
          <w:color w:val="000000" w:themeColor="text1"/>
        </w:rPr>
        <w:t>）执行。</w:t>
      </w:r>
      <w:proofErr w:type="gramStart"/>
      <w:r w:rsidRPr="008A2411">
        <w:rPr>
          <w:color w:val="000000" w:themeColor="text1"/>
        </w:rPr>
        <w:t>评价区</w:t>
      </w:r>
      <w:proofErr w:type="gramEnd"/>
      <w:r w:rsidRPr="008A2411">
        <w:rPr>
          <w:color w:val="000000" w:themeColor="text1"/>
        </w:rPr>
        <w:t>一级地类包括耕地、林地、住宅用地、交通运输用地、水域及水利设施用地、其它用地，合计</w:t>
      </w:r>
      <w:r w:rsidRPr="008A2411">
        <w:rPr>
          <w:color w:val="000000" w:themeColor="text1"/>
        </w:rPr>
        <w:t>6</w:t>
      </w:r>
      <w:r w:rsidRPr="008A2411">
        <w:rPr>
          <w:color w:val="000000" w:themeColor="text1"/>
        </w:rPr>
        <w:t>个一级地类。二级地类包括旱地、水田、乔木林地、灌木林地等共计</w:t>
      </w:r>
      <w:r w:rsidRPr="008A2411">
        <w:rPr>
          <w:color w:val="000000" w:themeColor="text1"/>
        </w:rPr>
        <w:t>10</w:t>
      </w:r>
      <w:r w:rsidRPr="008A2411">
        <w:rPr>
          <w:color w:val="000000" w:themeColor="text1"/>
        </w:rPr>
        <w:t>个二级地类。</w:t>
      </w:r>
    </w:p>
    <w:p w14:paraId="14B97D89" w14:textId="77777777" w:rsidR="00B0005F" w:rsidRPr="008A2411" w:rsidRDefault="00000000">
      <w:pPr>
        <w:pStyle w:val="afffffffffffffffffffff0"/>
        <w:ind w:firstLine="480"/>
        <w:rPr>
          <w:color w:val="000000" w:themeColor="text1"/>
        </w:rPr>
      </w:pPr>
      <w:r w:rsidRPr="008A2411">
        <w:rPr>
          <w:color w:val="000000" w:themeColor="text1"/>
        </w:rPr>
        <w:t>本次调查主要为项目所在厂界周边</w:t>
      </w:r>
      <w:r w:rsidRPr="008A2411">
        <w:rPr>
          <w:color w:val="000000" w:themeColor="text1"/>
        </w:rPr>
        <w:t>500m</w:t>
      </w:r>
      <w:r w:rsidRPr="008A2411">
        <w:rPr>
          <w:color w:val="000000" w:themeColor="text1"/>
        </w:rPr>
        <w:t>范围内的土地，区内大部分为工业用地、林地、一般农田和其它用地，林地主要为乔木及灌木林地。</w:t>
      </w:r>
    </w:p>
    <w:p w14:paraId="2B11AE10" w14:textId="77777777" w:rsidR="00B0005F" w:rsidRPr="008A2411" w:rsidRDefault="00000000">
      <w:pPr>
        <w:pStyle w:val="31"/>
        <w:adjustRightInd w:val="0"/>
        <w:snapToGrid w:val="0"/>
        <w:spacing w:before="0" w:after="0" w:line="360" w:lineRule="auto"/>
        <w:rPr>
          <w:rFonts w:ascii="Times New Roman" w:eastAsia="黑体"/>
          <w:b w:val="0"/>
          <w:color w:val="000000" w:themeColor="text1"/>
          <w:kern w:val="0"/>
          <w:sz w:val="24"/>
          <w:szCs w:val="24"/>
          <w:lang w:bidi="en-US"/>
        </w:rPr>
      </w:pPr>
      <w:r w:rsidRPr="008A2411">
        <w:rPr>
          <w:rFonts w:ascii="Times New Roman" w:eastAsia="黑体"/>
          <w:b w:val="0"/>
          <w:color w:val="000000" w:themeColor="text1"/>
          <w:kern w:val="0"/>
          <w:sz w:val="24"/>
          <w:szCs w:val="24"/>
          <w:lang w:bidi="en-US"/>
        </w:rPr>
        <w:t xml:space="preserve">4.2.3 </w:t>
      </w:r>
      <w:r w:rsidRPr="008A2411">
        <w:rPr>
          <w:rFonts w:ascii="Times New Roman" w:eastAsia="黑体"/>
          <w:b w:val="0"/>
          <w:color w:val="000000" w:themeColor="text1"/>
          <w:kern w:val="0"/>
          <w:sz w:val="24"/>
          <w:szCs w:val="24"/>
          <w:lang w:bidi="en-US"/>
        </w:rPr>
        <w:t>植被现状</w:t>
      </w:r>
      <w:bookmarkEnd w:id="245"/>
      <w:r w:rsidRPr="008A2411">
        <w:rPr>
          <w:rFonts w:ascii="Times New Roman" w:eastAsia="黑体"/>
          <w:b w:val="0"/>
          <w:color w:val="000000" w:themeColor="text1"/>
          <w:kern w:val="0"/>
          <w:sz w:val="24"/>
          <w:szCs w:val="24"/>
          <w:lang w:bidi="en-US"/>
        </w:rPr>
        <w:t>调查及评价</w:t>
      </w:r>
    </w:p>
    <w:p w14:paraId="604F659D" w14:textId="5CE35069" w:rsidR="00B0005F" w:rsidRPr="008A2411" w:rsidRDefault="00000000">
      <w:pPr>
        <w:pStyle w:val="afffffffffffffffffffff0"/>
        <w:ind w:firstLine="480"/>
        <w:rPr>
          <w:color w:val="000000" w:themeColor="text1"/>
        </w:rPr>
      </w:pPr>
      <w:r w:rsidRPr="008A2411">
        <w:rPr>
          <w:color w:val="000000" w:themeColor="text1"/>
        </w:rPr>
        <w:t>本次环评生态现状不进行样方调查、遥感，充分借鉴已有资料对区域植被进行调查与评价。</w:t>
      </w:r>
    </w:p>
    <w:p w14:paraId="60FA3504" w14:textId="77777777" w:rsidR="00B0005F" w:rsidRPr="008A2411" w:rsidRDefault="00000000">
      <w:pPr>
        <w:pStyle w:val="afffffffffffffffffffff0"/>
        <w:ind w:firstLine="482"/>
        <w:rPr>
          <w:b/>
          <w:bCs/>
          <w:color w:val="000000" w:themeColor="text1"/>
        </w:rPr>
      </w:pPr>
      <w:r w:rsidRPr="008A2411">
        <w:rPr>
          <w:b/>
          <w:bCs/>
          <w:color w:val="000000" w:themeColor="text1"/>
        </w:rPr>
        <w:t>1</w:t>
      </w:r>
      <w:r w:rsidRPr="008A2411">
        <w:rPr>
          <w:b/>
          <w:bCs/>
          <w:color w:val="000000" w:themeColor="text1"/>
        </w:rPr>
        <w:t>、区域植被概况</w:t>
      </w:r>
    </w:p>
    <w:p w14:paraId="79D0B364" w14:textId="77777777" w:rsidR="00B0005F" w:rsidRPr="008A2411" w:rsidRDefault="00000000">
      <w:pPr>
        <w:pStyle w:val="afffffffffffffffffffff0"/>
        <w:adjustRightInd w:val="0"/>
        <w:snapToGrid w:val="0"/>
        <w:ind w:firstLine="480"/>
        <w:rPr>
          <w:color w:val="000000" w:themeColor="text1"/>
        </w:rPr>
      </w:pPr>
      <w:r w:rsidRPr="008A2411">
        <w:rPr>
          <w:color w:val="000000" w:themeColor="text1"/>
        </w:rPr>
        <w:t>宣汉县气候温和，雨量充沛，地貌类型多样，森林覆盖率高，土壤种类较多等优越的自然条件，很适宜多种动植物繁衍。当地主要植被类型有亚热带常绿针叶林、低山落叶栎林、亚热带竹林及亚热带落叶阔叶与常绿针叶混交林。宣汉县境内植被多样，野生植物</w:t>
      </w:r>
      <w:r w:rsidRPr="008A2411">
        <w:rPr>
          <w:color w:val="000000" w:themeColor="text1"/>
        </w:rPr>
        <w:t>3000</w:t>
      </w:r>
      <w:r w:rsidRPr="008A2411">
        <w:rPr>
          <w:color w:val="000000" w:themeColor="text1"/>
        </w:rPr>
        <w:t>余种，桫椤、崖柏、银杏、黄连、天麻等国家重</w:t>
      </w:r>
      <w:r w:rsidRPr="008A2411">
        <w:rPr>
          <w:color w:val="000000" w:themeColor="text1"/>
        </w:rPr>
        <w:lastRenderedPageBreak/>
        <w:t>点保护植物达</w:t>
      </w:r>
      <w:r w:rsidRPr="008A2411">
        <w:rPr>
          <w:color w:val="000000" w:themeColor="text1"/>
        </w:rPr>
        <w:t>10</w:t>
      </w:r>
      <w:r w:rsidRPr="008A2411">
        <w:rPr>
          <w:color w:val="000000" w:themeColor="text1"/>
        </w:rPr>
        <w:t>余种。</w:t>
      </w:r>
    </w:p>
    <w:p w14:paraId="567EF478" w14:textId="77777777" w:rsidR="00B0005F" w:rsidRPr="008A2411" w:rsidRDefault="00000000">
      <w:pPr>
        <w:pStyle w:val="afffffffffffffffffffff0"/>
        <w:adjustRightInd w:val="0"/>
        <w:snapToGrid w:val="0"/>
        <w:ind w:firstLine="482"/>
        <w:rPr>
          <w:b/>
          <w:bCs/>
          <w:color w:val="000000" w:themeColor="text1"/>
        </w:rPr>
      </w:pPr>
      <w:r w:rsidRPr="008A2411">
        <w:rPr>
          <w:b/>
          <w:bCs/>
          <w:color w:val="000000" w:themeColor="text1"/>
        </w:rPr>
        <w:t>2</w:t>
      </w:r>
      <w:r w:rsidRPr="008A2411">
        <w:rPr>
          <w:b/>
          <w:bCs/>
          <w:color w:val="000000" w:themeColor="text1"/>
        </w:rPr>
        <w:t>、工程周边植被现状</w:t>
      </w:r>
    </w:p>
    <w:p w14:paraId="5F758439" w14:textId="77777777" w:rsidR="00B0005F" w:rsidRPr="008A2411" w:rsidRDefault="00000000">
      <w:pPr>
        <w:pStyle w:val="afffffffffffffffffffff0"/>
        <w:adjustRightInd w:val="0"/>
        <w:snapToGrid w:val="0"/>
        <w:ind w:firstLine="480"/>
        <w:rPr>
          <w:color w:val="000000" w:themeColor="text1"/>
        </w:rPr>
      </w:pPr>
      <w:r w:rsidRPr="008A2411">
        <w:rPr>
          <w:color w:val="000000" w:themeColor="text1"/>
        </w:rPr>
        <w:t>项目所在地位于中低山等较陡地段，地表一般为植被覆盖，包括乔木、灌木，主要有马尾松、杉树、柏树、桑树等林地等，其它地段灌木杂草丛生。</w:t>
      </w:r>
    </w:p>
    <w:p w14:paraId="3A5E5660" w14:textId="77777777" w:rsidR="00B0005F" w:rsidRPr="008A2411" w:rsidRDefault="00000000">
      <w:pPr>
        <w:pStyle w:val="afffffffffffffffffffff0"/>
        <w:adjustRightInd w:val="0"/>
        <w:snapToGrid w:val="0"/>
        <w:ind w:firstLine="482"/>
        <w:rPr>
          <w:b/>
          <w:bCs/>
          <w:color w:val="000000" w:themeColor="text1"/>
        </w:rPr>
      </w:pPr>
      <w:r w:rsidRPr="008A2411">
        <w:rPr>
          <w:b/>
          <w:bCs/>
          <w:color w:val="000000" w:themeColor="text1"/>
        </w:rPr>
        <w:t>3</w:t>
      </w:r>
      <w:r w:rsidRPr="008A2411">
        <w:rPr>
          <w:b/>
          <w:bCs/>
          <w:color w:val="000000" w:themeColor="text1"/>
        </w:rPr>
        <w:t>、珍稀保护植物及古树名木</w:t>
      </w:r>
    </w:p>
    <w:p w14:paraId="50246848" w14:textId="77777777" w:rsidR="00B0005F" w:rsidRPr="008A2411" w:rsidRDefault="00000000">
      <w:pPr>
        <w:pStyle w:val="afffffffffffffffffffff0"/>
        <w:adjustRightInd w:val="0"/>
        <w:snapToGrid w:val="0"/>
        <w:ind w:firstLine="480"/>
        <w:rPr>
          <w:color w:val="000000" w:themeColor="text1"/>
        </w:rPr>
      </w:pPr>
      <w:r w:rsidRPr="008A2411">
        <w:rPr>
          <w:color w:val="000000" w:themeColor="text1"/>
        </w:rPr>
        <w:t>按照《国家重点保护野生植物名录》（</w:t>
      </w:r>
      <w:r w:rsidRPr="008A2411">
        <w:rPr>
          <w:color w:val="000000" w:themeColor="text1"/>
        </w:rPr>
        <w:t>2021</w:t>
      </w:r>
      <w:r w:rsidRPr="008A2411">
        <w:rPr>
          <w:color w:val="000000" w:themeColor="text1"/>
        </w:rPr>
        <w:t>年版）中所列物种，《四川省人民政府关于公布四川省重点保护野生植物名录的通知》（川府函〔</w:t>
      </w:r>
      <w:r w:rsidRPr="008A2411">
        <w:rPr>
          <w:color w:val="000000" w:themeColor="text1"/>
        </w:rPr>
        <w:t>2016</w:t>
      </w:r>
      <w:r w:rsidRPr="008A2411">
        <w:rPr>
          <w:color w:val="000000" w:themeColor="text1"/>
        </w:rPr>
        <w:t>〕</w:t>
      </w:r>
      <w:r w:rsidRPr="008A2411">
        <w:rPr>
          <w:color w:val="000000" w:themeColor="text1"/>
        </w:rPr>
        <w:t>27</w:t>
      </w:r>
      <w:r w:rsidRPr="008A2411">
        <w:rPr>
          <w:color w:val="000000" w:themeColor="text1"/>
        </w:rPr>
        <w:t>号），本项目评价区内未发现国家重点保护野生植物和四川省重点保护野生植物。通过与名录对照可知，本工程评价区内不涉及国家级、省级珍稀保护野生植物和古树名木。</w:t>
      </w:r>
    </w:p>
    <w:p w14:paraId="1FC16FF8" w14:textId="77777777" w:rsidR="00B0005F" w:rsidRPr="008A2411" w:rsidRDefault="00000000">
      <w:pPr>
        <w:pStyle w:val="31"/>
        <w:adjustRightInd w:val="0"/>
        <w:snapToGrid w:val="0"/>
        <w:spacing w:before="0" w:after="0" w:line="360" w:lineRule="auto"/>
        <w:rPr>
          <w:rFonts w:ascii="Times New Roman" w:eastAsia="黑体"/>
          <w:b w:val="0"/>
          <w:color w:val="000000" w:themeColor="text1"/>
          <w:kern w:val="0"/>
          <w:sz w:val="24"/>
          <w:szCs w:val="24"/>
          <w:lang w:bidi="en-US"/>
        </w:rPr>
      </w:pPr>
      <w:bookmarkStart w:id="246" w:name="_Toc12288585"/>
      <w:r w:rsidRPr="008A2411">
        <w:rPr>
          <w:rFonts w:ascii="Times New Roman" w:eastAsia="黑体"/>
          <w:b w:val="0"/>
          <w:color w:val="000000" w:themeColor="text1"/>
          <w:kern w:val="0"/>
          <w:sz w:val="24"/>
          <w:szCs w:val="24"/>
          <w:lang w:bidi="en-US"/>
        </w:rPr>
        <w:t xml:space="preserve">4.2.4 </w:t>
      </w:r>
      <w:r w:rsidRPr="008A2411">
        <w:rPr>
          <w:rFonts w:ascii="Times New Roman" w:eastAsia="黑体"/>
          <w:b w:val="0"/>
          <w:color w:val="000000" w:themeColor="text1"/>
          <w:kern w:val="0"/>
          <w:sz w:val="24"/>
          <w:szCs w:val="24"/>
          <w:lang w:bidi="en-US"/>
        </w:rPr>
        <w:t>动物现状</w:t>
      </w:r>
      <w:bookmarkEnd w:id="246"/>
      <w:r w:rsidRPr="008A2411">
        <w:rPr>
          <w:rFonts w:ascii="Times New Roman" w:eastAsia="黑体"/>
          <w:b w:val="0"/>
          <w:color w:val="000000" w:themeColor="text1"/>
          <w:kern w:val="0"/>
          <w:sz w:val="24"/>
          <w:szCs w:val="24"/>
          <w:lang w:bidi="en-US"/>
        </w:rPr>
        <w:t>调查及评价</w:t>
      </w:r>
    </w:p>
    <w:p w14:paraId="5AF14074" w14:textId="77777777" w:rsidR="00B0005F" w:rsidRPr="008A2411" w:rsidRDefault="00000000">
      <w:pPr>
        <w:pStyle w:val="afffffffffffffffffffff0"/>
        <w:adjustRightInd w:val="0"/>
        <w:snapToGrid w:val="0"/>
        <w:ind w:firstLine="480"/>
        <w:rPr>
          <w:color w:val="000000" w:themeColor="text1"/>
        </w:rPr>
      </w:pPr>
      <w:r w:rsidRPr="008A2411">
        <w:rPr>
          <w:color w:val="000000" w:themeColor="text1"/>
        </w:rPr>
        <w:t>根据本项目评价范围内生态环境现状调查结果得知，管道沿线地表植被多为乔木林，人为活动较频繁，常见野生动物主要是适合栖息于农田、旱地、居民点周边的种类，如农田常见的啮齿类、两栖类、爬行类和画眉、麻雀等鸟类。</w:t>
      </w:r>
      <w:r w:rsidRPr="008A2411">
        <w:rPr>
          <w:b/>
          <w:bCs/>
          <w:color w:val="000000" w:themeColor="text1"/>
        </w:rPr>
        <w:t>现场调查，</w:t>
      </w:r>
      <w:proofErr w:type="gramStart"/>
      <w:r w:rsidRPr="008A2411">
        <w:rPr>
          <w:b/>
          <w:bCs/>
          <w:color w:val="000000" w:themeColor="text1"/>
        </w:rPr>
        <w:t>评价区</w:t>
      </w:r>
      <w:proofErr w:type="gramEnd"/>
      <w:r w:rsidRPr="008A2411">
        <w:rPr>
          <w:b/>
          <w:bCs/>
          <w:color w:val="000000" w:themeColor="text1"/>
        </w:rPr>
        <w:t>范围内未发现国家重点保护野生动物和四川省重点保护野生动物。</w:t>
      </w:r>
    </w:p>
    <w:p w14:paraId="7442874A" w14:textId="77777777" w:rsidR="00B0005F" w:rsidRPr="008A2411" w:rsidRDefault="00000000">
      <w:pPr>
        <w:pStyle w:val="afffffffffffffffffffff0"/>
        <w:adjustRightInd w:val="0"/>
        <w:snapToGrid w:val="0"/>
        <w:ind w:firstLineChars="0" w:firstLine="0"/>
        <w:jc w:val="left"/>
        <w:rPr>
          <w:rFonts w:eastAsia="黑体"/>
          <w:bCs/>
          <w:color w:val="000000" w:themeColor="text1"/>
          <w:szCs w:val="24"/>
          <w:lang w:bidi="en-US"/>
        </w:rPr>
      </w:pPr>
      <w:r w:rsidRPr="008A2411">
        <w:rPr>
          <w:rFonts w:eastAsia="黑体"/>
          <w:bCs/>
          <w:color w:val="000000" w:themeColor="text1"/>
          <w:szCs w:val="24"/>
          <w:lang w:bidi="en-US"/>
        </w:rPr>
        <w:t xml:space="preserve">4.2.5 </w:t>
      </w:r>
      <w:r w:rsidRPr="008A2411">
        <w:rPr>
          <w:rFonts w:eastAsia="黑体"/>
          <w:bCs/>
          <w:color w:val="000000" w:themeColor="text1"/>
          <w:szCs w:val="24"/>
          <w:lang w:bidi="en-US"/>
        </w:rPr>
        <w:t>土壤侵蚀现状调查与评价</w:t>
      </w:r>
    </w:p>
    <w:p w14:paraId="374D2A54" w14:textId="77777777" w:rsidR="00B0005F" w:rsidRPr="008A2411" w:rsidRDefault="00000000">
      <w:pPr>
        <w:pStyle w:val="afffffffffffffffffffff0"/>
        <w:adjustRightInd w:val="0"/>
        <w:snapToGrid w:val="0"/>
        <w:ind w:firstLine="480"/>
        <w:rPr>
          <w:color w:val="000000" w:themeColor="text1"/>
        </w:rPr>
      </w:pPr>
      <w:r w:rsidRPr="008A2411">
        <w:rPr>
          <w:color w:val="000000" w:themeColor="text1"/>
        </w:rPr>
        <w:t>本项目所在区域属于水土流失重点治理区，整体水力侵蚀强度较强，需要加强土壤侵蚀治理保护。</w:t>
      </w:r>
    </w:p>
    <w:p w14:paraId="265DA984" w14:textId="77777777" w:rsidR="00B0005F" w:rsidRPr="008A2411" w:rsidRDefault="00000000">
      <w:pPr>
        <w:pStyle w:val="31"/>
        <w:adjustRightInd w:val="0"/>
        <w:snapToGrid w:val="0"/>
        <w:spacing w:before="0" w:after="0" w:line="360" w:lineRule="auto"/>
        <w:rPr>
          <w:rFonts w:ascii="Times New Roman" w:eastAsia="黑体"/>
          <w:b w:val="0"/>
          <w:color w:val="000000" w:themeColor="text1"/>
          <w:kern w:val="0"/>
          <w:sz w:val="24"/>
          <w:szCs w:val="24"/>
          <w:lang w:bidi="en-US"/>
        </w:rPr>
      </w:pPr>
      <w:bookmarkStart w:id="247" w:name="_Toc12288590"/>
      <w:r w:rsidRPr="008A2411">
        <w:rPr>
          <w:rFonts w:ascii="Times New Roman" w:eastAsia="黑体"/>
          <w:b w:val="0"/>
          <w:color w:val="000000" w:themeColor="text1"/>
          <w:kern w:val="0"/>
          <w:sz w:val="24"/>
          <w:szCs w:val="24"/>
          <w:lang w:bidi="en-US"/>
        </w:rPr>
        <w:t xml:space="preserve">4.2.6 </w:t>
      </w:r>
      <w:bookmarkEnd w:id="247"/>
      <w:r w:rsidRPr="008A2411">
        <w:rPr>
          <w:rFonts w:ascii="Times New Roman" w:eastAsia="黑体"/>
          <w:b w:val="0"/>
          <w:color w:val="000000" w:themeColor="text1"/>
          <w:kern w:val="0"/>
          <w:sz w:val="24"/>
          <w:szCs w:val="24"/>
          <w:lang w:bidi="en-US"/>
        </w:rPr>
        <w:t>生态环境现状调查评价结论</w:t>
      </w:r>
    </w:p>
    <w:p w14:paraId="723CEDFD" w14:textId="77777777" w:rsidR="00B0005F" w:rsidRPr="008A2411" w:rsidRDefault="00000000">
      <w:pPr>
        <w:adjustRightInd w:val="0"/>
        <w:snapToGrid w:val="0"/>
        <w:spacing w:line="360" w:lineRule="auto"/>
        <w:ind w:firstLineChars="200" w:firstLine="480"/>
        <w:rPr>
          <w:rFonts w:ascii="Times New Roman"/>
          <w:color w:val="000000" w:themeColor="text1"/>
        </w:rPr>
      </w:pPr>
      <w:proofErr w:type="gramStart"/>
      <w:r w:rsidRPr="008A2411">
        <w:rPr>
          <w:rFonts w:ascii="Times New Roman"/>
          <w:color w:val="000000" w:themeColor="text1"/>
        </w:rPr>
        <w:t>评价区</w:t>
      </w:r>
      <w:proofErr w:type="gramEnd"/>
      <w:r w:rsidRPr="008A2411">
        <w:rPr>
          <w:rFonts w:ascii="Times New Roman"/>
          <w:color w:val="000000" w:themeColor="text1"/>
        </w:rPr>
        <w:t>生态系统类型主要包括森林生态系统。</w:t>
      </w:r>
      <w:bookmarkStart w:id="248" w:name="_Hlk100177041"/>
      <w:r w:rsidRPr="008A2411">
        <w:rPr>
          <w:rFonts w:ascii="Times New Roman"/>
          <w:color w:val="000000" w:themeColor="text1"/>
        </w:rPr>
        <w:t>生态系统整体开发强度较大，区域内森林多为人工林，少量为次生林。同时，评价区域的生态系统完整性受人类干预影响较大，局部区域干扰较小。</w:t>
      </w:r>
      <w:bookmarkEnd w:id="248"/>
      <w:r w:rsidRPr="008A2411">
        <w:rPr>
          <w:rFonts w:ascii="Times New Roman"/>
          <w:color w:val="000000" w:themeColor="text1"/>
        </w:rPr>
        <w:t>项目区域地貌类型为四川盆地丘陵、中低山区。评价区内未发现国家重点保护野生植物、四川省重点保护野生植物、国家重点保护野生动物、四川省重点保护野生动物分布。</w:t>
      </w:r>
    </w:p>
    <w:p w14:paraId="2682F63A" w14:textId="77777777" w:rsidR="00B0005F" w:rsidRPr="008A2411" w:rsidRDefault="00000000">
      <w:pPr>
        <w:tabs>
          <w:tab w:val="left" w:pos="560"/>
        </w:tabs>
        <w:adjustRightInd w:val="0"/>
        <w:snapToGrid w:val="0"/>
        <w:spacing w:line="360" w:lineRule="auto"/>
        <w:outlineLvl w:val="2"/>
        <w:rPr>
          <w:rFonts w:ascii="Times New Roman" w:eastAsia="黑体"/>
          <w:bCs/>
          <w:color w:val="000000" w:themeColor="text1"/>
          <w:szCs w:val="24"/>
          <w:lang w:bidi="en-US"/>
        </w:rPr>
      </w:pPr>
      <w:r w:rsidRPr="008A2411">
        <w:rPr>
          <w:rFonts w:ascii="Times New Roman" w:eastAsia="黑体"/>
          <w:bCs/>
          <w:color w:val="000000" w:themeColor="text1"/>
          <w:szCs w:val="24"/>
          <w:lang w:bidi="en-US"/>
        </w:rPr>
        <w:t>4.2.7</w:t>
      </w:r>
      <w:r w:rsidRPr="008A2411">
        <w:rPr>
          <w:rFonts w:ascii="Times New Roman" w:eastAsia="黑体"/>
          <w:bCs/>
          <w:color w:val="000000" w:themeColor="text1"/>
          <w:szCs w:val="24"/>
          <w:lang w:bidi="en-US"/>
        </w:rPr>
        <w:t>后河特有鱼类国家级水产种质资源保护区概况</w:t>
      </w:r>
    </w:p>
    <w:p w14:paraId="092CD788" w14:textId="77777777" w:rsidR="00B0005F" w:rsidRPr="008A2411" w:rsidRDefault="00000000">
      <w:pPr>
        <w:adjustRightInd w:val="0"/>
        <w:snapToGrid w:val="0"/>
        <w:spacing w:line="360" w:lineRule="auto"/>
        <w:ind w:firstLineChars="196" w:firstLine="472"/>
        <w:rPr>
          <w:rFonts w:ascii="Times New Roman"/>
          <w:b/>
          <w:color w:val="000000" w:themeColor="text1"/>
        </w:rPr>
      </w:pPr>
      <w:r w:rsidRPr="008A2411">
        <w:rPr>
          <w:rFonts w:ascii="Times New Roman"/>
          <w:b/>
          <w:color w:val="000000" w:themeColor="text1"/>
        </w:rPr>
        <w:t>1</w:t>
      </w:r>
      <w:r w:rsidRPr="008A2411">
        <w:rPr>
          <w:rFonts w:ascii="Times New Roman"/>
          <w:b/>
          <w:color w:val="000000" w:themeColor="text1"/>
        </w:rPr>
        <w:t>）自然保护区概况</w:t>
      </w:r>
    </w:p>
    <w:p w14:paraId="18552253" w14:textId="77777777" w:rsidR="00B0005F" w:rsidRPr="008A2411" w:rsidRDefault="00000000">
      <w:pPr>
        <w:adjustRightInd w:val="0"/>
        <w:snapToGrid w:val="0"/>
        <w:spacing w:line="360" w:lineRule="auto"/>
        <w:ind w:firstLineChars="196" w:firstLine="470"/>
        <w:rPr>
          <w:rFonts w:ascii="Times New Roman"/>
          <w:color w:val="000000" w:themeColor="text1"/>
        </w:rPr>
      </w:pPr>
      <w:r w:rsidRPr="008A2411">
        <w:rPr>
          <w:rFonts w:ascii="Times New Roman"/>
          <w:color w:val="000000" w:themeColor="text1"/>
        </w:rPr>
        <w:t>后河特有鱼类国家级水产种质资源保护区位于四川省达州市宣汉县，</w:t>
      </w:r>
      <w:r w:rsidRPr="008A2411">
        <w:rPr>
          <w:rFonts w:ascii="Times New Roman"/>
          <w:color w:val="000000" w:themeColor="text1"/>
        </w:rPr>
        <w:t>2010</w:t>
      </w:r>
      <w:r w:rsidRPr="008A2411">
        <w:rPr>
          <w:rFonts w:ascii="Times New Roman"/>
          <w:color w:val="000000" w:themeColor="text1"/>
        </w:rPr>
        <w:t>年</w:t>
      </w:r>
      <w:r w:rsidRPr="008A2411">
        <w:rPr>
          <w:rFonts w:ascii="Times New Roman"/>
          <w:color w:val="000000" w:themeColor="text1"/>
        </w:rPr>
        <w:t>11</w:t>
      </w:r>
      <w:r w:rsidRPr="008A2411">
        <w:rPr>
          <w:rFonts w:ascii="Times New Roman"/>
          <w:color w:val="000000" w:themeColor="text1"/>
        </w:rPr>
        <w:t>月由农业部公告第</w:t>
      </w:r>
      <w:r w:rsidRPr="008A2411">
        <w:rPr>
          <w:rFonts w:ascii="Times New Roman"/>
          <w:color w:val="000000" w:themeColor="text1"/>
        </w:rPr>
        <w:t>1491</w:t>
      </w:r>
      <w:r w:rsidRPr="008A2411">
        <w:rPr>
          <w:rFonts w:ascii="Times New Roman"/>
          <w:color w:val="000000" w:themeColor="text1"/>
        </w:rPr>
        <w:t>号公布为国家级水产种质资源保护区。</w:t>
      </w:r>
    </w:p>
    <w:p w14:paraId="15127A2F" w14:textId="77777777" w:rsidR="00B0005F" w:rsidRPr="008A2411" w:rsidRDefault="00000000">
      <w:pPr>
        <w:adjustRightInd w:val="0"/>
        <w:snapToGrid w:val="0"/>
        <w:spacing w:line="360" w:lineRule="auto"/>
        <w:ind w:firstLineChars="196" w:firstLine="472"/>
        <w:rPr>
          <w:rFonts w:ascii="Times New Roman"/>
          <w:b/>
          <w:color w:val="000000" w:themeColor="text1"/>
        </w:rPr>
      </w:pPr>
      <w:r w:rsidRPr="008A2411">
        <w:rPr>
          <w:rFonts w:ascii="Times New Roman"/>
          <w:b/>
          <w:color w:val="000000" w:themeColor="text1"/>
        </w:rPr>
        <w:t>2</w:t>
      </w:r>
      <w:r w:rsidRPr="008A2411">
        <w:rPr>
          <w:rFonts w:ascii="Times New Roman"/>
          <w:b/>
          <w:color w:val="000000" w:themeColor="text1"/>
        </w:rPr>
        <w:t>）保护区范围</w:t>
      </w:r>
    </w:p>
    <w:p w14:paraId="00E6211D" w14:textId="77777777" w:rsidR="00B0005F" w:rsidRPr="008A2411" w:rsidRDefault="00000000">
      <w:pPr>
        <w:adjustRightInd w:val="0"/>
        <w:snapToGrid w:val="0"/>
        <w:spacing w:line="360" w:lineRule="auto"/>
        <w:ind w:firstLineChars="196" w:firstLine="470"/>
        <w:rPr>
          <w:rFonts w:ascii="Times New Roman"/>
          <w:b/>
          <w:color w:val="000000" w:themeColor="text1"/>
        </w:rPr>
      </w:pPr>
      <w:r w:rsidRPr="008A2411">
        <w:rPr>
          <w:rFonts w:ascii="Times New Roman"/>
          <w:color w:val="000000" w:themeColor="text1"/>
        </w:rPr>
        <w:t>北起万源县与宣汉县河道交界处</w:t>
      </w:r>
      <w:proofErr w:type="gramStart"/>
      <w:r w:rsidRPr="008A2411">
        <w:rPr>
          <w:rFonts w:ascii="Times New Roman"/>
          <w:color w:val="000000" w:themeColor="text1"/>
        </w:rPr>
        <w:t>高落关灯笼扁至</w:t>
      </w:r>
      <w:proofErr w:type="gramEnd"/>
      <w:r w:rsidRPr="008A2411">
        <w:rPr>
          <w:rFonts w:ascii="Times New Roman"/>
          <w:color w:val="000000" w:themeColor="text1"/>
        </w:rPr>
        <w:t>宣汉县普光镇后河与中河</w:t>
      </w:r>
      <w:r w:rsidRPr="008A2411">
        <w:rPr>
          <w:rFonts w:ascii="Times New Roman"/>
          <w:color w:val="000000" w:themeColor="text1"/>
        </w:rPr>
        <w:lastRenderedPageBreak/>
        <w:t>交汇处鸭嘴。保护区河流流经毛坝镇、胡家镇、普光镇，总长度</w:t>
      </w:r>
      <w:r w:rsidRPr="008A2411">
        <w:rPr>
          <w:rFonts w:ascii="Times New Roman"/>
          <w:color w:val="000000" w:themeColor="text1"/>
        </w:rPr>
        <w:t>56km</w:t>
      </w:r>
      <w:r w:rsidRPr="008A2411">
        <w:rPr>
          <w:rFonts w:ascii="Times New Roman"/>
          <w:color w:val="000000" w:themeColor="text1"/>
        </w:rPr>
        <w:t>。</w:t>
      </w:r>
    </w:p>
    <w:p w14:paraId="17910651" w14:textId="77777777" w:rsidR="00B0005F" w:rsidRPr="008A2411" w:rsidRDefault="00000000">
      <w:pPr>
        <w:adjustRightInd w:val="0"/>
        <w:snapToGrid w:val="0"/>
        <w:spacing w:line="360" w:lineRule="auto"/>
        <w:ind w:firstLineChars="196" w:firstLine="472"/>
        <w:rPr>
          <w:rFonts w:ascii="Times New Roman"/>
          <w:b/>
          <w:color w:val="000000" w:themeColor="text1"/>
        </w:rPr>
      </w:pPr>
      <w:r w:rsidRPr="008A2411">
        <w:rPr>
          <w:rFonts w:ascii="Times New Roman"/>
          <w:b/>
          <w:color w:val="000000" w:themeColor="text1"/>
        </w:rPr>
        <w:t>3</w:t>
      </w:r>
      <w:r w:rsidRPr="008A2411">
        <w:rPr>
          <w:rFonts w:ascii="Times New Roman"/>
          <w:b/>
          <w:color w:val="000000" w:themeColor="text1"/>
        </w:rPr>
        <w:t>）自然保护区的功能区划</w:t>
      </w:r>
    </w:p>
    <w:p w14:paraId="31AC0E6B" w14:textId="77777777" w:rsidR="00B0005F" w:rsidRPr="008A2411" w:rsidRDefault="00000000">
      <w:pPr>
        <w:adjustRightInd w:val="0"/>
        <w:snapToGrid w:val="0"/>
        <w:spacing w:line="360" w:lineRule="auto"/>
        <w:ind w:firstLineChars="196" w:firstLine="470"/>
        <w:rPr>
          <w:rFonts w:ascii="Times New Roman"/>
          <w:color w:val="000000" w:themeColor="text1"/>
        </w:rPr>
      </w:pPr>
      <w:r w:rsidRPr="008A2411">
        <w:rPr>
          <w:rFonts w:ascii="Times New Roman"/>
          <w:color w:val="000000" w:themeColor="text1"/>
        </w:rPr>
        <w:t>保护区分为核心区和实验区，核心区北起毛坝镇大水</w:t>
      </w:r>
      <w:proofErr w:type="gramStart"/>
      <w:r w:rsidRPr="008A2411">
        <w:rPr>
          <w:rFonts w:ascii="Times New Roman"/>
          <w:color w:val="000000" w:themeColor="text1"/>
        </w:rPr>
        <w:t>凼</w:t>
      </w:r>
      <w:proofErr w:type="gramEnd"/>
      <w:r w:rsidRPr="008A2411">
        <w:rPr>
          <w:rFonts w:ascii="Times New Roman"/>
          <w:color w:val="000000" w:themeColor="text1"/>
        </w:rPr>
        <w:t>，南止胡家镇跳河，长度</w:t>
      </w:r>
      <w:r w:rsidRPr="008A2411">
        <w:rPr>
          <w:rFonts w:ascii="Times New Roman"/>
          <w:color w:val="000000" w:themeColor="text1"/>
        </w:rPr>
        <w:t>25km</w:t>
      </w:r>
      <w:r w:rsidRPr="008A2411">
        <w:rPr>
          <w:rFonts w:ascii="Times New Roman"/>
          <w:color w:val="000000" w:themeColor="text1"/>
        </w:rPr>
        <w:t>，面积</w:t>
      </w:r>
      <w:r w:rsidRPr="008A2411">
        <w:rPr>
          <w:rFonts w:ascii="Times New Roman"/>
          <w:color w:val="000000" w:themeColor="text1"/>
        </w:rPr>
        <w:t>320</w:t>
      </w:r>
      <w:r w:rsidRPr="008A2411">
        <w:rPr>
          <w:rFonts w:ascii="Times New Roman"/>
          <w:color w:val="000000" w:themeColor="text1"/>
        </w:rPr>
        <w:t>公顷，占保护区总面积的</w:t>
      </w:r>
      <w:r w:rsidRPr="008A2411">
        <w:rPr>
          <w:rFonts w:ascii="Times New Roman"/>
          <w:color w:val="000000" w:themeColor="text1"/>
        </w:rPr>
        <w:t>38.1%</w:t>
      </w:r>
      <w:r w:rsidRPr="008A2411">
        <w:rPr>
          <w:rFonts w:ascii="Times New Roman"/>
          <w:color w:val="000000" w:themeColor="text1"/>
        </w:rPr>
        <w:t>，核心区为保护鱼类的主要产卵场；实验区分为两段，即万源县与宣汉县河道交界处</w:t>
      </w:r>
      <w:proofErr w:type="gramStart"/>
      <w:r w:rsidRPr="008A2411">
        <w:rPr>
          <w:rFonts w:ascii="Times New Roman"/>
          <w:color w:val="000000" w:themeColor="text1"/>
        </w:rPr>
        <w:t>高落关灯笼扁至毛</w:t>
      </w:r>
      <w:proofErr w:type="gramEnd"/>
      <w:r w:rsidRPr="008A2411">
        <w:rPr>
          <w:rFonts w:ascii="Times New Roman"/>
          <w:color w:val="000000" w:themeColor="text1"/>
        </w:rPr>
        <w:t>坝镇大水</w:t>
      </w:r>
      <w:proofErr w:type="gramStart"/>
      <w:r w:rsidRPr="008A2411">
        <w:rPr>
          <w:rFonts w:ascii="Times New Roman"/>
          <w:color w:val="000000" w:themeColor="text1"/>
        </w:rPr>
        <w:t>凼</w:t>
      </w:r>
      <w:proofErr w:type="gramEnd"/>
      <w:r w:rsidRPr="008A2411">
        <w:rPr>
          <w:rFonts w:ascii="Times New Roman"/>
          <w:color w:val="000000" w:themeColor="text1"/>
        </w:rPr>
        <w:t>，长度为</w:t>
      </w:r>
      <w:r w:rsidRPr="008A2411">
        <w:rPr>
          <w:rFonts w:ascii="Times New Roman"/>
          <w:color w:val="000000" w:themeColor="text1"/>
        </w:rPr>
        <w:t>7km</w:t>
      </w:r>
      <w:r w:rsidRPr="008A2411">
        <w:rPr>
          <w:rFonts w:ascii="Times New Roman"/>
          <w:color w:val="000000" w:themeColor="text1"/>
        </w:rPr>
        <w:t>，面积</w:t>
      </w:r>
      <w:r w:rsidRPr="008A2411">
        <w:rPr>
          <w:rFonts w:ascii="Times New Roman"/>
          <w:color w:val="000000" w:themeColor="text1"/>
        </w:rPr>
        <w:t>104</w:t>
      </w:r>
      <w:r w:rsidRPr="008A2411">
        <w:rPr>
          <w:rFonts w:ascii="Times New Roman"/>
          <w:color w:val="000000" w:themeColor="text1"/>
        </w:rPr>
        <w:t>公顷。胡家镇跳河至普光镇鸭嘴，长度</w:t>
      </w:r>
      <w:r w:rsidRPr="008A2411">
        <w:rPr>
          <w:rFonts w:ascii="Times New Roman"/>
          <w:color w:val="000000" w:themeColor="text1"/>
        </w:rPr>
        <w:t>24km</w:t>
      </w:r>
      <w:r w:rsidRPr="008A2411">
        <w:rPr>
          <w:rFonts w:ascii="Times New Roman"/>
          <w:color w:val="000000" w:themeColor="text1"/>
        </w:rPr>
        <w:t>，面积</w:t>
      </w:r>
      <w:r w:rsidRPr="008A2411">
        <w:rPr>
          <w:rFonts w:ascii="Times New Roman"/>
          <w:color w:val="000000" w:themeColor="text1"/>
        </w:rPr>
        <w:t>416</w:t>
      </w:r>
      <w:r w:rsidRPr="008A2411">
        <w:rPr>
          <w:rFonts w:ascii="Times New Roman"/>
          <w:color w:val="000000" w:themeColor="text1"/>
        </w:rPr>
        <w:t>公顷。实验区总长度</w:t>
      </w:r>
      <w:r w:rsidRPr="008A2411">
        <w:rPr>
          <w:rFonts w:ascii="Times New Roman"/>
          <w:color w:val="000000" w:themeColor="text1"/>
        </w:rPr>
        <w:t>31km</w:t>
      </w:r>
      <w:r w:rsidRPr="008A2411">
        <w:rPr>
          <w:rFonts w:ascii="Times New Roman"/>
          <w:color w:val="000000" w:themeColor="text1"/>
        </w:rPr>
        <w:t>，总面积</w:t>
      </w:r>
      <w:r w:rsidRPr="008A2411">
        <w:rPr>
          <w:rFonts w:ascii="Times New Roman"/>
          <w:color w:val="000000" w:themeColor="text1"/>
        </w:rPr>
        <w:t>520</w:t>
      </w:r>
      <w:r w:rsidRPr="008A2411">
        <w:rPr>
          <w:rFonts w:ascii="Times New Roman"/>
          <w:color w:val="000000" w:themeColor="text1"/>
        </w:rPr>
        <w:t>公顷，占保护区总面积的</w:t>
      </w:r>
      <w:r w:rsidRPr="008A2411">
        <w:rPr>
          <w:rFonts w:ascii="Times New Roman"/>
          <w:color w:val="000000" w:themeColor="text1"/>
        </w:rPr>
        <w:t>61.9%</w:t>
      </w:r>
      <w:r w:rsidRPr="008A2411">
        <w:rPr>
          <w:rFonts w:ascii="Times New Roman"/>
          <w:color w:val="000000" w:themeColor="text1"/>
        </w:rPr>
        <w:t>，实验区主要为保护区鱼类的索饵场和越冬场。</w:t>
      </w:r>
    </w:p>
    <w:p w14:paraId="30B1FEAB" w14:textId="77777777" w:rsidR="00B0005F" w:rsidRPr="008A2411" w:rsidRDefault="00000000">
      <w:pPr>
        <w:adjustRightInd w:val="0"/>
        <w:snapToGrid w:val="0"/>
        <w:spacing w:line="360" w:lineRule="auto"/>
        <w:ind w:firstLineChars="196" w:firstLine="472"/>
        <w:rPr>
          <w:rFonts w:ascii="Times New Roman"/>
          <w:b/>
          <w:color w:val="000000" w:themeColor="text1"/>
        </w:rPr>
      </w:pPr>
      <w:r w:rsidRPr="008A2411">
        <w:rPr>
          <w:rFonts w:ascii="Times New Roman"/>
          <w:b/>
          <w:color w:val="000000" w:themeColor="text1"/>
        </w:rPr>
        <w:t>4</w:t>
      </w:r>
      <w:r w:rsidRPr="008A2411">
        <w:rPr>
          <w:rFonts w:ascii="Times New Roman"/>
          <w:b/>
          <w:color w:val="000000" w:themeColor="text1"/>
        </w:rPr>
        <w:t>）主要保护对象</w:t>
      </w:r>
    </w:p>
    <w:p w14:paraId="3783B582" w14:textId="77777777" w:rsidR="00B0005F" w:rsidRPr="008A2411" w:rsidRDefault="00000000">
      <w:pPr>
        <w:adjustRightInd w:val="0"/>
        <w:snapToGrid w:val="0"/>
        <w:spacing w:line="360" w:lineRule="auto"/>
        <w:ind w:firstLineChars="196" w:firstLine="470"/>
        <w:rPr>
          <w:rFonts w:ascii="Times New Roman"/>
          <w:color w:val="000000" w:themeColor="text1"/>
        </w:rPr>
      </w:pPr>
      <w:r w:rsidRPr="008A2411">
        <w:rPr>
          <w:rFonts w:ascii="Times New Roman"/>
          <w:color w:val="000000" w:themeColor="text1"/>
        </w:rPr>
        <w:t>后河特有鱼类国家级水产种质资源保护区主要保护对象为</w:t>
      </w:r>
      <w:proofErr w:type="gramStart"/>
      <w:r w:rsidRPr="008A2411">
        <w:rPr>
          <w:rFonts w:ascii="Times New Roman"/>
          <w:color w:val="000000" w:themeColor="text1"/>
        </w:rPr>
        <w:t>岩原鲤</w:t>
      </w:r>
      <w:proofErr w:type="gramEnd"/>
      <w:r w:rsidRPr="008A2411">
        <w:rPr>
          <w:rFonts w:ascii="Times New Roman"/>
          <w:color w:val="000000" w:themeColor="text1"/>
        </w:rPr>
        <w:t>、南方大口</w:t>
      </w:r>
      <w:proofErr w:type="gramStart"/>
      <w:r w:rsidRPr="008A2411">
        <w:rPr>
          <w:rFonts w:ascii="Times New Roman"/>
          <w:color w:val="000000" w:themeColor="text1"/>
        </w:rPr>
        <w:t>鲶</w:t>
      </w:r>
      <w:proofErr w:type="gramEnd"/>
      <w:r w:rsidRPr="008A2411">
        <w:rPr>
          <w:rFonts w:ascii="Times New Roman"/>
          <w:color w:val="000000" w:themeColor="text1"/>
        </w:rPr>
        <w:t>、黄</w:t>
      </w:r>
      <w:proofErr w:type="gramStart"/>
      <w:r w:rsidRPr="008A2411">
        <w:rPr>
          <w:rFonts w:ascii="Times New Roman"/>
          <w:color w:val="000000" w:themeColor="text1"/>
        </w:rPr>
        <w:t>颡</w:t>
      </w:r>
      <w:proofErr w:type="gramEnd"/>
      <w:r w:rsidRPr="008A2411">
        <w:rPr>
          <w:rFonts w:ascii="Times New Roman"/>
          <w:color w:val="000000" w:themeColor="text1"/>
        </w:rPr>
        <w:t>鱼、华</w:t>
      </w:r>
      <w:proofErr w:type="gramStart"/>
      <w:r w:rsidRPr="008A2411">
        <w:rPr>
          <w:rFonts w:ascii="Times New Roman"/>
          <w:color w:val="000000" w:themeColor="text1"/>
        </w:rPr>
        <w:t>鲮</w:t>
      </w:r>
      <w:proofErr w:type="gramEnd"/>
      <w:r w:rsidRPr="008A2411">
        <w:rPr>
          <w:rFonts w:ascii="Times New Roman"/>
          <w:color w:val="000000" w:themeColor="text1"/>
        </w:rPr>
        <w:t>、中华鳖、中华倒刺鲃、白缘鰑等名贵野生水生动物。</w:t>
      </w:r>
    </w:p>
    <w:p w14:paraId="52D71414" w14:textId="77777777" w:rsidR="00B0005F" w:rsidRPr="008A2411" w:rsidRDefault="00000000">
      <w:pPr>
        <w:adjustRightInd w:val="0"/>
        <w:snapToGrid w:val="0"/>
        <w:spacing w:line="360" w:lineRule="auto"/>
        <w:ind w:firstLineChars="200" w:firstLine="482"/>
        <w:rPr>
          <w:rFonts w:ascii="Times New Roman" w:eastAsiaTheme="minorEastAsia"/>
          <w:b/>
          <w:color w:val="000000" w:themeColor="text1"/>
        </w:rPr>
      </w:pPr>
      <w:proofErr w:type="gramStart"/>
      <w:r w:rsidRPr="008A2411">
        <w:rPr>
          <w:rFonts w:ascii="Times New Roman" w:eastAsiaTheme="minorEastAsia"/>
          <w:b/>
          <w:color w:val="000000" w:themeColor="text1"/>
        </w:rPr>
        <w:t>岩原鲤</w:t>
      </w:r>
      <w:proofErr w:type="gramEnd"/>
      <w:r w:rsidRPr="008A2411">
        <w:rPr>
          <w:rFonts w:ascii="Times New Roman" w:eastAsiaTheme="minorEastAsia"/>
          <w:b/>
          <w:color w:val="000000" w:themeColor="text1"/>
        </w:rPr>
        <w:t>，</w:t>
      </w:r>
      <w:r w:rsidRPr="008A2411">
        <w:rPr>
          <w:rFonts w:ascii="Times New Roman" w:eastAsiaTheme="minorEastAsia"/>
          <w:color w:val="000000" w:themeColor="text1"/>
          <w:lang w:val="zh-CN"/>
        </w:rPr>
        <w:t>俗名岩鲤、黑鲤鱼、墨鲤、岩鲤鲃，栖息于水流较缓的底层，冬季多在岩洞或深</w:t>
      </w:r>
      <w:proofErr w:type="gramStart"/>
      <w:r w:rsidRPr="008A2411">
        <w:rPr>
          <w:rFonts w:ascii="Times New Roman" w:eastAsiaTheme="minorEastAsia"/>
          <w:color w:val="000000" w:themeColor="text1"/>
          <w:lang w:val="zh-CN"/>
        </w:rPr>
        <w:t>沱</w:t>
      </w:r>
      <w:proofErr w:type="gramEnd"/>
      <w:r w:rsidRPr="008A2411">
        <w:rPr>
          <w:rFonts w:ascii="Times New Roman" w:eastAsiaTheme="minorEastAsia"/>
          <w:color w:val="000000" w:themeColor="text1"/>
          <w:lang w:val="zh-CN"/>
        </w:rPr>
        <w:t>中越冬，常见个体</w:t>
      </w:r>
      <w:r w:rsidRPr="008A2411">
        <w:rPr>
          <w:rFonts w:ascii="Times New Roman" w:eastAsiaTheme="minorEastAsia"/>
          <w:color w:val="000000" w:themeColor="text1"/>
          <w:lang w:val="zh-CN"/>
        </w:rPr>
        <w:t>0.2-1.0kg</w:t>
      </w:r>
      <w:r w:rsidRPr="008A2411">
        <w:rPr>
          <w:rFonts w:ascii="Times New Roman" w:eastAsiaTheme="minorEastAsia"/>
          <w:color w:val="000000" w:themeColor="text1"/>
          <w:lang w:val="zh-CN"/>
        </w:rPr>
        <w:t>，食性杂，主要摄取底栖动物为食，其次是植物碎屑和浮游植物，生殖季节</w:t>
      </w:r>
      <w:r w:rsidRPr="008A2411">
        <w:rPr>
          <w:rFonts w:ascii="Times New Roman" w:eastAsiaTheme="minorEastAsia"/>
          <w:color w:val="000000" w:themeColor="text1"/>
          <w:lang w:val="zh-CN"/>
        </w:rPr>
        <w:t>2-4</w:t>
      </w:r>
      <w:r w:rsidRPr="008A2411">
        <w:rPr>
          <w:rFonts w:ascii="Times New Roman" w:eastAsiaTheme="minorEastAsia"/>
          <w:color w:val="000000" w:themeColor="text1"/>
          <w:lang w:val="zh-CN"/>
        </w:rPr>
        <w:t>月，分批产卵，</w:t>
      </w:r>
      <w:proofErr w:type="gramStart"/>
      <w:r w:rsidRPr="008A2411">
        <w:rPr>
          <w:rFonts w:ascii="Times New Roman" w:eastAsiaTheme="minorEastAsia"/>
          <w:color w:val="000000" w:themeColor="text1"/>
          <w:lang w:val="zh-CN"/>
        </w:rPr>
        <w:t>卵具粘性</w:t>
      </w:r>
      <w:proofErr w:type="gramEnd"/>
      <w:r w:rsidRPr="008A2411">
        <w:rPr>
          <w:rFonts w:ascii="Times New Roman" w:eastAsiaTheme="minorEastAsia"/>
          <w:color w:val="000000" w:themeColor="text1"/>
          <w:lang w:val="zh-CN"/>
        </w:rPr>
        <w:t>，常附着在石砾上孵化，该鱼肉质细嫩，味鲜美。是四川省重要保护水生动物之一。</w:t>
      </w:r>
      <w:r w:rsidRPr="008A2411">
        <w:rPr>
          <w:rFonts w:ascii="Times New Roman" w:eastAsiaTheme="minorEastAsia"/>
          <w:b/>
          <w:color w:val="000000" w:themeColor="text1"/>
        </w:rPr>
        <w:t>在后河东门大潭常见。</w:t>
      </w:r>
    </w:p>
    <w:p w14:paraId="202A2F51" w14:textId="77777777" w:rsidR="00B0005F" w:rsidRPr="008A2411" w:rsidRDefault="00000000">
      <w:pPr>
        <w:adjustRightInd w:val="0"/>
        <w:snapToGrid w:val="0"/>
        <w:spacing w:line="360" w:lineRule="auto"/>
        <w:ind w:firstLineChars="200" w:firstLine="482"/>
        <w:rPr>
          <w:rFonts w:ascii="Times New Roman" w:eastAsiaTheme="minorEastAsia"/>
          <w:color w:val="000000" w:themeColor="text1"/>
        </w:rPr>
      </w:pPr>
      <w:r w:rsidRPr="008A2411">
        <w:rPr>
          <w:rFonts w:ascii="Times New Roman" w:eastAsiaTheme="minorEastAsia"/>
          <w:b/>
          <w:color w:val="000000" w:themeColor="text1"/>
        </w:rPr>
        <w:t>南方大口</w:t>
      </w:r>
      <w:proofErr w:type="gramStart"/>
      <w:r w:rsidRPr="008A2411">
        <w:rPr>
          <w:rFonts w:ascii="Times New Roman" w:eastAsiaTheme="minorEastAsia"/>
          <w:b/>
          <w:color w:val="000000" w:themeColor="text1"/>
        </w:rPr>
        <w:t>鲶</w:t>
      </w:r>
      <w:proofErr w:type="gramEnd"/>
      <w:r w:rsidRPr="008A2411">
        <w:rPr>
          <w:rFonts w:ascii="Times New Roman" w:eastAsiaTheme="minorEastAsia"/>
          <w:b/>
          <w:color w:val="000000" w:themeColor="text1"/>
        </w:rPr>
        <w:t>，</w:t>
      </w:r>
      <w:r w:rsidRPr="008A2411">
        <w:rPr>
          <w:rFonts w:ascii="Times New Roman" w:eastAsiaTheme="minorEastAsia"/>
          <w:color w:val="000000" w:themeColor="text1"/>
        </w:rPr>
        <w:t>俗称大河</w:t>
      </w:r>
      <w:proofErr w:type="gramStart"/>
      <w:r w:rsidRPr="008A2411">
        <w:rPr>
          <w:rFonts w:ascii="Times New Roman" w:eastAsiaTheme="minorEastAsia"/>
          <w:color w:val="000000" w:themeColor="text1"/>
        </w:rPr>
        <w:t>鲶</w:t>
      </w:r>
      <w:proofErr w:type="gramEnd"/>
      <w:r w:rsidRPr="008A2411">
        <w:rPr>
          <w:rFonts w:ascii="Times New Roman" w:eastAsiaTheme="minorEastAsia"/>
          <w:color w:val="000000" w:themeColor="text1"/>
        </w:rPr>
        <w:t>、</w:t>
      </w:r>
      <w:proofErr w:type="gramStart"/>
      <w:r w:rsidRPr="008A2411">
        <w:rPr>
          <w:rFonts w:ascii="Times New Roman" w:eastAsiaTheme="minorEastAsia"/>
          <w:color w:val="000000" w:themeColor="text1"/>
        </w:rPr>
        <w:t>鲶</w:t>
      </w:r>
      <w:proofErr w:type="gramEnd"/>
      <w:r w:rsidRPr="008A2411">
        <w:rPr>
          <w:rFonts w:ascii="Times New Roman" w:eastAsiaTheme="minorEastAsia"/>
          <w:color w:val="000000" w:themeColor="text1"/>
        </w:rPr>
        <w:t>巴郎、</w:t>
      </w:r>
      <w:proofErr w:type="gramStart"/>
      <w:r w:rsidRPr="008A2411">
        <w:rPr>
          <w:rFonts w:ascii="Times New Roman" w:eastAsiaTheme="minorEastAsia"/>
          <w:color w:val="000000" w:themeColor="text1"/>
        </w:rPr>
        <w:t>叉口鲶</w:t>
      </w:r>
      <w:proofErr w:type="gramEnd"/>
      <w:r w:rsidRPr="008A2411">
        <w:rPr>
          <w:rFonts w:ascii="Times New Roman" w:eastAsiaTheme="minorEastAsia"/>
          <w:color w:val="000000" w:themeColor="text1"/>
        </w:rPr>
        <w:t>、大</w:t>
      </w:r>
      <w:proofErr w:type="gramStart"/>
      <w:r w:rsidRPr="008A2411">
        <w:rPr>
          <w:rFonts w:ascii="Times New Roman" w:eastAsiaTheme="minorEastAsia"/>
          <w:color w:val="000000" w:themeColor="text1"/>
        </w:rPr>
        <w:t>鲶鲐</w:t>
      </w:r>
      <w:proofErr w:type="gramEnd"/>
      <w:r w:rsidRPr="008A2411">
        <w:rPr>
          <w:rFonts w:ascii="Times New Roman" w:eastAsiaTheme="minorEastAsia"/>
          <w:color w:val="000000" w:themeColor="text1"/>
        </w:rPr>
        <w:t>等，属底层鱼，白天多成群地潜伏于水底弱光隐蔽处，夜晚分散到水层中活动觅食，其性温顺，不善跳跃，也不会钻泥。肉食性鱼类。</w:t>
      </w:r>
      <w:r w:rsidRPr="008A2411">
        <w:rPr>
          <w:rFonts w:ascii="Times New Roman" w:eastAsiaTheme="minorEastAsia"/>
          <w:b/>
          <w:color w:val="000000" w:themeColor="text1"/>
        </w:rPr>
        <w:t>在后河大</w:t>
      </w:r>
      <w:proofErr w:type="gramStart"/>
      <w:r w:rsidRPr="008A2411">
        <w:rPr>
          <w:rFonts w:ascii="Times New Roman" w:eastAsiaTheme="minorEastAsia"/>
          <w:b/>
          <w:color w:val="000000" w:themeColor="text1"/>
        </w:rPr>
        <w:t>凼</w:t>
      </w:r>
      <w:proofErr w:type="gramEnd"/>
      <w:r w:rsidRPr="008A2411">
        <w:rPr>
          <w:rFonts w:ascii="Times New Roman" w:eastAsiaTheme="minorEastAsia"/>
          <w:b/>
          <w:color w:val="000000" w:themeColor="text1"/>
        </w:rPr>
        <w:t>、东门、葫芦井、樊家潭等资源量较多。</w:t>
      </w:r>
    </w:p>
    <w:p w14:paraId="0D65E70F" w14:textId="77777777" w:rsidR="00B0005F" w:rsidRPr="008A2411" w:rsidRDefault="00000000">
      <w:pPr>
        <w:adjustRightInd w:val="0"/>
        <w:snapToGrid w:val="0"/>
        <w:spacing w:line="360" w:lineRule="auto"/>
        <w:ind w:firstLineChars="200" w:firstLine="482"/>
        <w:rPr>
          <w:rFonts w:ascii="Times New Roman" w:eastAsiaTheme="minorEastAsia"/>
          <w:color w:val="000000" w:themeColor="text1"/>
          <w:lang w:val="zh-CN"/>
        </w:rPr>
      </w:pPr>
      <w:r w:rsidRPr="008A2411">
        <w:rPr>
          <w:rFonts w:ascii="Times New Roman" w:eastAsiaTheme="minorEastAsia"/>
          <w:b/>
          <w:color w:val="000000" w:themeColor="text1"/>
        </w:rPr>
        <w:t>黄</w:t>
      </w:r>
      <w:proofErr w:type="gramStart"/>
      <w:r w:rsidRPr="008A2411">
        <w:rPr>
          <w:rFonts w:ascii="Times New Roman" w:eastAsiaTheme="minorEastAsia"/>
          <w:b/>
          <w:color w:val="000000" w:themeColor="text1"/>
        </w:rPr>
        <w:t>颡</w:t>
      </w:r>
      <w:proofErr w:type="gramEnd"/>
      <w:r w:rsidRPr="008A2411">
        <w:rPr>
          <w:rFonts w:ascii="Times New Roman" w:eastAsiaTheme="minorEastAsia"/>
          <w:b/>
          <w:color w:val="000000" w:themeColor="text1"/>
        </w:rPr>
        <w:t>鱼，</w:t>
      </w:r>
      <w:r w:rsidRPr="008A2411">
        <w:rPr>
          <w:rFonts w:ascii="Times New Roman" w:eastAsiaTheme="minorEastAsia"/>
          <w:color w:val="000000" w:themeColor="text1"/>
          <w:lang w:val="zh-CN"/>
        </w:rPr>
        <w:t>俗名黄腊丁、</w:t>
      </w:r>
      <w:proofErr w:type="gramStart"/>
      <w:r w:rsidRPr="008A2411">
        <w:rPr>
          <w:rFonts w:ascii="Times New Roman" w:eastAsiaTheme="minorEastAsia"/>
          <w:color w:val="000000" w:themeColor="text1"/>
          <w:lang w:val="zh-CN"/>
        </w:rPr>
        <w:t>黄拐头</w:t>
      </w:r>
      <w:proofErr w:type="gramEnd"/>
      <w:r w:rsidRPr="008A2411">
        <w:rPr>
          <w:rFonts w:ascii="Times New Roman" w:eastAsiaTheme="minorEastAsia"/>
          <w:color w:val="000000" w:themeColor="text1"/>
          <w:lang w:val="zh-CN"/>
        </w:rPr>
        <w:t>，喜流水，</w:t>
      </w:r>
      <w:proofErr w:type="gramStart"/>
      <w:r w:rsidRPr="008A2411">
        <w:rPr>
          <w:rFonts w:ascii="Times New Roman" w:eastAsiaTheme="minorEastAsia"/>
          <w:color w:val="000000" w:themeColor="text1"/>
          <w:lang w:val="zh-CN"/>
        </w:rPr>
        <w:t>营底栖</w:t>
      </w:r>
      <w:proofErr w:type="gramEnd"/>
      <w:r w:rsidRPr="008A2411">
        <w:rPr>
          <w:rFonts w:ascii="Times New Roman" w:eastAsiaTheme="minorEastAsia"/>
          <w:color w:val="000000" w:themeColor="text1"/>
          <w:lang w:val="zh-CN"/>
        </w:rPr>
        <w:t>生活，主要食物有摇蚊科、蜻蜓目、蜉蝣目、</w:t>
      </w:r>
      <w:proofErr w:type="gramStart"/>
      <w:r w:rsidRPr="008A2411">
        <w:rPr>
          <w:rFonts w:ascii="Times New Roman" w:eastAsiaTheme="minorEastAsia"/>
          <w:color w:val="000000" w:themeColor="text1"/>
          <w:lang w:val="zh-CN"/>
        </w:rPr>
        <w:t>肖翅目</w:t>
      </w:r>
      <w:proofErr w:type="gramEnd"/>
      <w:r w:rsidRPr="008A2411">
        <w:rPr>
          <w:rFonts w:ascii="Times New Roman" w:eastAsiaTheme="minorEastAsia"/>
          <w:color w:val="000000" w:themeColor="text1"/>
          <w:lang w:val="zh-CN"/>
        </w:rPr>
        <w:t>幼虫及小虾、软体动物，常见</w:t>
      </w:r>
      <w:proofErr w:type="gramStart"/>
      <w:r w:rsidRPr="008A2411">
        <w:rPr>
          <w:rFonts w:ascii="Times New Roman" w:eastAsiaTheme="minorEastAsia"/>
          <w:color w:val="000000" w:themeColor="text1"/>
          <w:lang w:val="zh-CN"/>
        </w:rPr>
        <w:t>个</w:t>
      </w:r>
      <w:proofErr w:type="gramEnd"/>
      <w:r w:rsidRPr="008A2411">
        <w:rPr>
          <w:rFonts w:ascii="Times New Roman" w:eastAsiaTheme="minorEastAsia"/>
          <w:color w:val="000000" w:themeColor="text1"/>
          <w:lang w:val="zh-CN"/>
        </w:rPr>
        <w:t>体重约</w:t>
      </w:r>
      <w:r w:rsidRPr="008A2411">
        <w:rPr>
          <w:rFonts w:ascii="Times New Roman" w:eastAsiaTheme="minorEastAsia"/>
          <w:color w:val="000000" w:themeColor="text1"/>
          <w:lang w:val="zh-CN"/>
        </w:rPr>
        <w:t>100g</w:t>
      </w:r>
      <w:r w:rsidRPr="008A2411">
        <w:rPr>
          <w:rFonts w:ascii="Times New Roman" w:eastAsiaTheme="minorEastAsia"/>
          <w:color w:val="000000" w:themeColor="text1"/>
          <w:lang w:val="zh-CN"/>
        </w:rPr>
        <w:t>，性成熟早，</w:t>
      </w:r>
      <w:r w:rsidRPr="008A2411">
        <w:rPr>
          <w:rFonts w:ascii="Times New Roman" w:eastAsiaTheme="minorEastAsia"/>
          <w:color w:val="000000" w:themeColor="text1"/>
          <w:lang w:val="zh-CN"/>
        </w:rPr>
        <w:t>4-6</w:t>
      </w:r>
      <w:r w:rsidRPr="008A2411">
        <w:rPr>
          <w:rFonts w:ascii="Times New Roman" w:eastAsiaTheme="minorEastAsia"/>
          <w:color w:val="000000" w:themeColor="text1"/>
          <w:lang w:val="zh-CN"/>
        </w:rPr>
        <w:t>月产卵，</w:t>
      </w:r>
      <w:proofErr w:type="gramStart"/>
      <w:r w:rsidRPr="008A2411">
        <w:rPr>
          <w:rFonts w:ascii="Times New Roman" w:eastAsiaTheme="minorEastAsia"/>
          <w:color w:val="000000" w:themeColor="text1"/>
          <w:lang w:val="zh-CN"/>
        </w:rPr>
        <w:t>卵具粘性</w:t>
      </w:r>
      <w:proofErr w:type="gramEnd"/>
      <w:r w:rsidRPr="008A2411">
        <w:rPr>
          <w:rFonts w:ascii="Times New Roman" w:eastAsiaTheme="minorEastAsia"/>
          <w:color w:val="000000" w:themeColor="text1"/>
          <w:lang w:val="zh-CN"/>
        </w:rPr>
        <w:t>，产卵群体有营巢习性，常在流水浅滩或岸边草丛中产卵。</w:t>
      </w:r>
      <w:r w:rsidRPr="008A2411">
        <w:rPr>
          <w:rFonts w:ascii="Times New Roman" w:eastAsiaTheme="minorEastAsia"/>
          <w:b/>
          <w:color w:val="000000" w:themeColor="text1"/>
        </w:rPr>
        <w:t>在</w:t>
      </w:r>
      <w:r w:rsidRPr="008A2411">
        <w:rPr>
          <w:rFonts w:ascii="Times New Roman" w:eastAsiaTheme="minorEastAsia"/>
          <w:b/>
          <w:color w:val="000000" w:themeColor="text1"/>
          <w:lang w:val="zh-CN"/>
        </w:rPr>
        <w:t>后河河流都有分布。</w:t>
      </w:r>
    </w:p>
    <w:p w14:paraId="195DD982" w14:textId="77777777" w:rsidR="00B0005F" w:rsidRPr="008A2411" w:rsidRDefault="00000000">
      <w:pPr>
        <w:adjustRightInd w:val="0"/>
        <w:snapToGrid w:val="0"/>
        <w:spacing w:line="360" w:lineRule="auto"/>
        <w:ind w:firstLineChars="200" w:firstLine="482"/>
        <w:rPr>
          <w:rFonts w:ascii="Times New Roman" w:eastAsiaTheme="minorEastAsia"/>
          <w:color w:val="000000" w:themeColor="text1"/>
          <w:spacing w:val="8"/>
        </w:rPr>
      </w:pPr>
      <w:r w:rsidRPr="008A2411">
        <w:rPr>
          <w:rFonts w:ascii="Times New Roman" w:eastAsiaTheme="minorEastAsia"/>
          <w:b/>
          <w:color w:val="000000" w:themeColor="text1"/>
        </w:rPr>
        <w:t>华</w:t>
      </w:r>
      <w:proofErr w:type="gramStart"/>
      <w:r w:rsidRPr="008A2411">
        <w:rPr>
          <w:rFonts w:ascii="Times New Roman" w:eastAsiaTheme="minorEastAsia"/>
          <w:b/>
          <w:color w:val="000000" w:themeColor="text1"/>
        </w:rPr>
        <w:t>鲮</w:t>
      </w:r>
      <w:proofErr w:type="gramEnd"/>
      <w:r w:rsidRPr="008A2411">
        <w:rPr>
          <w:rFonts w:ascii="Times New Roman" w:eastAsiaTheme="minorEastAsia"/>
          <w:b/>
          <w:color w:val="000000" w:themeColor="text1"/>
        </w:rPr>
        <w:t>，</w:t>
      </w:r>
      <w:r w:rsidRPr="008A2411">
        <w:rPr>
          <w:rFonts w:ascii="Times New Roman" w:eastAsiaTheme="minorEastAsia"/>
          <w:color w:val="000000" w:themeColor="text1"/>
          <w:spacing w:val="8"/>
        </w:rPr>
        <w:t>俗称青龙棒、桃花棒、野鲮鱼、青衣子，栖息于水流较急的河流及山涧溪流中，为底栖性鱼类，喜集群生活。常出没于岩石间隙中，在石砾底的基质上觅食，利用下颌锐利的角质边缘刮取着生藻类，也食高等植物的枝叶、碎屑等。</w:t>
      </w:r>
      <w:r w:rsidRPr="008A2411">
        <w:rPr>
          <w:rFonts w:ascii="Times New Roman" w:eastAsiaTheme="minorEastAsia"/>
          <w:b/>
          <w:color w:val="000000" w:themeColor="text1"/>
        </w:rPr>
        <w:t>主要分布在后河东门到跳河河段</w:t>
      </w:r>
      <w:r w:rsidRPr="008A2411">
        <w:rPr>
          <w:rFonts w:ascii="Times New Roman" w:eastAsiaTheme="minorEastAsia"/>
          <w:b/>
          <w:color w:val="000000" w:themeColor="text1"/>
          <w:spacing w:val="8"/>
        </w:rPr>
        <w:t>。</w:t>
      </w:r>
    </w:p>
    <w:p w14:paraId="406E0666" w14:textId="77777777" w:rsidR="00B0005F" w:rsidRPr="008A2411" w:rsidRDefault="00000000">
      <w:pPr>
        <w:adjustRightInd w:val="0"/>
        <w:snapToGrid w:val="0"/>
        <w:spacing w:line="360" w:lineRule="auto"/>
        <w:ind w:firstLineChars="200" w:firstLine="482"/>
        <w:rPr>
          <w:rFonts w:ascii="Times New Roman" w:eastAsiaTheme="minorEastAsia"/>
          <w:color w:val="000000" w:themeColor="text1"/>
        </w:rPr>
      </w:pPr>
      <w:r w:rsidRPr="008A2411">
        <w:rPr>
          <w:rFonts w:ascii="Times New Roman" w:eastAsiaTheme="minorEastAsia"/>
          <w:b/>
          <w:color w:val="000000" w:themeColor="text1"/>
        </w:rPr>
        <w:t>中华鳖，</w:t>
      </w:r>
      <w:r w:rsidRPr="008A2411">
        <w:rPr>
          <w:rFonts w:ascii="Times New Roman" w:eastAsiaTheme="minorEastAsia"/>
          <w:color w:val="000000" w:themeColor="text1"/>
          <w:spacing w:val="8"/>
        </w:rPr>
        <w:t>俗名</w:t>
      </w:r>
      <w:hyperlink r:id="rId32" w:tgtFrame="_blank" w:history="1">
        <w:r w:rsidRPr="008A2411">
          <w:rPr>
            <w:rFonts w:ascii="Times New Roman" w:eastAsiaTheme="minorEastAsia"/>
            <w:color w:val="000000" w:themeColor="text1"/>
            <w:spacing w:val="8"/>
          </w:rPr>
          <w:t>鳖</w:t>
        </w:r>
      </w:hyperlink>
      <w:r w:rsidRPr="008A2411">
        <w:rPr>
          <w:rFonts w:ascii="Times New Roman" w:eastAsiaTheme="minorEastAsia"/>
          <w:color w:val="000000" w:themeColor="text1"/>
          <w:spacing w:val="8"/>
        </w:rPr>
        <w:t>、</w:t>
      </w:r>
      <w:hyperlink r:id="rId33" w:tgtFrame="_blank" w:history="1">
        <w:r w:rsidRPr="008A2411">
          <w:rPr>
            <w:rFonts w:ascii="Times New Roman" w:eastAsiaTheme="minorEastAsia"/>
            <w:color w:val="000000" w:themeColor="text1"/>
            <w:spacing w:val="8"/>
          </w:rPr>
          <w:t>甲鱼</w:t>
        </w:r>
      </w:hyperlink>
      <w:r w:rsidRPr="008A2411">
        <w:rPr>
          <w:rFonts w:ascii="Times New Roman" w:eastAsiaTheme="minorEastAsia"/>
          <w:color w:val="000000" w:themeColor="text1"/>
          <w:spacing w:val="8"/>
        </w:rPr>
        <w:t>、</w:t>
      </w:r>
      <w:hyperlink r:id="rId34" w:tgtFrame="_blank" w:history="1">
        <w:r w:rsidRPr="008A2411">
          <w:rPr>
            <w:rFonts w:ascii="Times New Roman" w:eastAsiaTheme="minorEastAsia"/>
            <w:color w:val="000000" w:themeColor="text1"/>
            <w:spacing w:val="8"/>
          </w:rPr>
          <w:t>元鱼</w:t>
        </w:r>
      </w:hyperlink>
      <w:r w:rsidRPr="008A2411">
        <w:rPr>
          <w:rFonts w:ascii="Times New Roman" w:eastAsiaTheme="minorEastAsia"/>
          <w:color w:val="000000" w:themeColor="text1"/>
          <w:spacing w:val="8"/>
        </w:rPr>
        <w:t>、</w:t>
      </w:r>
      <w:hyperlink r:id="rId35" w:tgtFrame="_blank" w:history="1">
        <w:r w:rsidRPr="008A2411">
          <w:rPr>
            <w:rFonts w:ascii="Times New Roman" w:eastAsiaTheme="minorEastAsia"/>
            <w:color w:val="000000" w:themeColor="text1"/>
            <w:spacing w:val="8"/>
          </w:rPr>
          <w:t>王八</w:t>
        </w:r>
      </w:hyperlink>
      <w:r w:rsidRPr="008A2411">
        <w:rPr>
          <w:rFonts w:ascii="Times New Roman" w:eastAsiaTheme="minorEastAsia"/>
          <w:color w:val="000000" w:themeColor="text1"/>
          <w:spacing w:val="8"/>
        </w:rPr>
        <w:t>、</w:t>
      </w:r>
      <w:hyperlink r:id="rId36" w:tgtFrame="_blank" w:history="1">
        <w:r w:rsidRPr="008A2411">
          <w:rPr>
            <w:rFonts w:ascii="Times New Roman" w:eastAsiaTheme="minorEastAsia"/>
            <w:color w:val="000000" w:themeColor="text1"/>
            <w:spacing w:val="8"/>
          </w:rPr>
          <w:t>团鱼</w:t>
        </w:r>
      </w:hyperlink>
      <w:r w:rsidRPr="008A2411">
        <w:rPr>
          <w:rFonts w:ascii="Times New Roman" w:eastAsiaTheme="minorEastAsia"/>
          <w:color w:val="000000" w:themeColor="text1"/>
          <w:spacing w:val="8"/>
        </w:rPr>
        <w:t>、脚鱼、</w:t>
      </w:r>
      <w:hyperlink r:id="rId37" w:tgtFrame="_blank" w:history="1">
        <w:r w:rsidRPr="008A2411">
          <w:rPr>
            <w:rFonts w:ascii="Times New Roman" w:eastAsiaTheme="minorEastAsia"/>
            <w:color w:val="000000" w:themeColor="text1"/>
            <w:spacing w:val="8"/>
          </w:rPr>
          <w:t>水鱼</w:t>
        </w:r>
      </w:hyperlink>
      <w:r w:rsidRPr="008A2411">
        <w:rPr>
          <w:rFonts w:ascii="Times New Roman" w:eastAsiaTheme="minorEastAsia"/>
          <w:color w:val="000000" w:themeColor="text1"/>
          <w:spacing w:val="8"/>
        </w:rPr>
        <w:t>，属爬行冷血动物，生活于江河、湖沼、池塘、水库等水流平缓、鱼虾繁生的淡水水域，</w:t>
      </w:r>
      <w:r w:rsidRPr="008A2411">
        <w:rPr>
          <w:rFonts w:ascii="Times New Roman" w:eastAsiaTheme="minorEastAsia"/>
          <w:color w:val="000000" w:themeColor="text1"/>
          <w:spacing w:val="8"/>
        </w:rPr>
        <w:lastRenderedPageBreak/>
        <w:t>也常出没于大山溪中。在安静、清洁、阳光充足的水岸边活动较频繁，有时上岸但不能离水源太远。能在陆地上爬行、攀登，也能在水中自由游泳。喜晒太阳或乘凉风。</w:t>
      </w:r>
      <w:r w:rsidRPr="008A2411">
        <w:rPr>
          <w:rFonts w:ascii="Times New Roman" w:eastAsiaTheme="minorEastAsia"/>
          <w:b/>
          <w:color w:val="000000" w:themeColor="text1"/>
        </w:rPr>
        <w:t>在后河干流均有分布，主要在东奔滩。</w:t>
      </w:r>
    </w:p>
    <w:p w14:paraId="57F85D68" w14:textId="77777777" w:rsidR="00B0005F" w:rsidRPr="008A2411" w:rsidRDefault="00000000">
      <w:pPr>
        <w:adjustRightInd w:val="0"/>
        <w:snapToGrid w:val="0"/>
        <w:spacing w:line="360" w:lineRule="auto"/>
        <w:ind w:firstLineChars="200" w:firstLine="482"/>
        <w:rPr>
          <w:rFonts w:ascii="Times New Roman" w:eastAsiaTheme="minorEastAsia"/>
          <w:color w:val="000000" w:themeColor="text1"/>
          <w:spacing w:val="8"/>
        </w:rPr>
      </w:pPr>
      <w:r w:rsidRPr="008A2411">
        <w:rPr>
          <w:rFonts w:ascii="Times New Roman" w:eastAsiaTheme="minorEastAsia"/>
          <w:b/>
          <w:color w:val="000000" w:themeColor="text1"/>
        </w:rPr>
        <w:t>中华倒刺鲃，</w:t>
      </w:r>
      <w:r w:rsidRPr="008A2411">
        <w:rPr>
          <w:rFonts w:ascii="Times New Roman" w:eastAsiaTheme="minorEastAsia"/>
          <w:color w:val="000000" w:themeColor="text1"/>
          <w:spacing w:val="8"/>
        </w:rPr>
        <w:t>俗</w:t>
      </w:r>
      <w:r w:rsidRPr="008A2411">
        <w:rPr>
          <w:rFonts w:ascii="Times New Roman" w:eastAsiaTheme="minorEastAsia"/>
          <w:color w:val="000000" w:themeColor="text1"/>
        </w:rPr>
        <w:t>名青波、乌鳞、青板，喜欢生活在流水环境中，为杂食性鱼类，主要以高等植物碎片、藻类、水生昆虫幼虫为食。</w:t>
      </w:r>
      <w:r w:rsidRPr="008A2411">
        <w:rPr>
          <w:rFonts w:ascii="Times New Roman" w:eastAsiaTheme="minorEastAsia"/>
          <w:b/>
          <w:color w:val="000000" w:themeColor="text1"/>
        </w:rPr>
        <w:t>后河干</w:t>
      </w:r>
      <w:r w:rsidRPr="008A2411">
        <w:rPr>
          <w:rFonts w:ascii="Times New Roman" w:eastAsiaTheme="minorEastAsia"/>
          <w:b/>
          <w:color w:val="000000" w:themeColor="text1"/>
          <w:spacing w:val="8"/>
        </w:rPr>
        <w:t>流均有分布。</w:t>
      </w:r>
    </w:p>
    <w:p w14:paraId="6E243D43" w14:textId="77777777" w:rsidR="00B0005F" w:rsidRPr="008A2411" w:rsidRDefault="00000000">
      <w:pPr>
        <w:adjustRightInd w:val="0"/>
        <w:snapToGrid w:val="0"/>
        <w:spacing w:line="360" w:lineRule="auto"/>
        <w:ind w:firstLineChars="200" w:firstLine="482"/>
        <w:rPr>
          <w:rFonts w:ascii="Times New Roman" w:eastAsia="仿宋_GB2312"/>
          <w:color w:val="000000" w:themeColor="text1"/>
          <w:sz w:val="32"/>
          <w:szCs w:val="32"/>
        </w:rPr>
      </w:pPr>
      <w:r w:rsidRPr="008A2411">
        <w:rPr>
          <w:rFonts w:ascii="Times New Roman" w:eastAsiaTheme="minorEastAsia"/>
          <w:b/>
          <w:color w:val="000000" w:themeColor="text1"/>
        </w:rPr>
        <w:t>白缘鰑，</w:t>
      </w:r>
      <w:r w:rsidRPr="008A2411">
        <w:rPr>
          <w:rFonts w:ascii="Times New Roman" w:eastAsiaTheme="minorEastAsia"/>
          <w:color w:val="000000" w:themeColor="text1"/>
        </w:rPr>
        <w:t>小型无鳞无肌</w:t>
      </w:r>
      <w:proofErr w:type="gramStart"/>
      <w:r w:rsidRPr="008A2411">
        <w:rPr>
          <w:rFonts w:ascii="Times New Roman" w:eastAsiaTheme="minorEastAsia"/>
          <w:color w:val="000000" w:themeColor="text1"/>
        </w:rPr>
        <w:t>间刺底栖</w:t>
      </w:r>
      <w:proofErr w:type="gramEnd"/>
      <w:r w:rsidRPr="008A2411">
        <w:rPr>
          <w:rFonts w:ascii="Times New Roman" w:eastAsiaTheme="minorEastAsia"/>
          <w:color w:val="000000" w:themeColor="text1"/>
        </w:rPr>
        <w:t>鱼类，主要栖息在浅水滩中，因其鳍边缘呈白色而得名白缘</w:t>
      </w:r>
      <w:r w:rsidRPr="008A2411">
        <w:rPr>
          <w:rFonts w:ascii="Times New Roman" w:eastAsiaTheme="minorEastAsia"/>
          <w:color w:val="000000" w:themeColor="text1"/>
          <w:w w:val="66"/>
        </w:rPr>
        <w:t>鱼央</w:t>
      </w:r>
      <w:r w:rsidRPr="008A2411">
        <w:rPr>
          <w:rFonts w:ascii="Times New Roman" w:eastAsiaTheme="minorEastAsia"/>
          <w:color w:val="000000" w:themeColor="text1"/>
        </w:rPr>
        <w:t>，其尾是黑色而</w:t>
      </w:r>
      <w:proofErr w:type="gramStart"/>
      <w:r w:rsidRPr="008A2411">
        <w:rPr>
          <w:rFonts w:ascii="Times New Roman" w:eastAsiaTheme="minorEastAsia"/>
          <w:color w:val="000000" w:themeColor="text1"/>
        </w:rPr>
        <w:t>得名黑</w:t>
      </w:r>
      <w:proofErr w:type="gramEnd"/>
      <w:r w:rsidRPr="008A2411">
        <w:rPr>
          <w:rFonts w:ascii="Times New Roman" w:eastAsiaTheme="minorEastAsia"/>
          <w:color w:val="000000" w:themeColor="text1"/>
        </w:rPr>
        <w:t>尾</w:t>
      </w:r>
      <w:r w:rsidRPr="008A2411">
        <w:rPr>
          <w:rFonts w:ascii="Times New Roman" w:eastAsiaTheme="minorEastAsia"/>
          <w:color w:val="000000" w:themeColor="text1"/>
          <w:w w:val="66"/>
        </w:rPr>
        <w:t>鱼央</w:t>
      </w:r>
      <w:r w:rsidRPr="008A2411">
        <w:rPr>
          <w:rFonts w:ascii="Times New Roman" w:eastAsiaTheme="minorEastAsia"/>
          <w:color w:val="000000" w:themeColor="text1"/>
        </w:rPr>
        <w:t>。是宣汉县的主要经济鱼类。</w:t>
      </w:r>
    </w:p>
    <w:p w14:paraId="7F4F3569" w14:textId="77777777" w:rsidR="00B0005F" w:rsidRPr="008A2411" w:rsidRDefault="00000000">
      <w:pPr>
        <w:adjustRightInd w:val="0"/>
        <w:snapToGrid w:val="0"/>
        <w:spacing w:line="360" w:lineRule="auto"/>
        <w:ind w:firstLineChars="200" w:firstLine="514"/>
        <w:rPr>
          <w:rFonts w:ascii="Times New Roman" w:eastAsiaTheme="minorEastAsia"/>
          <w:b/>
          <w:color w:val="000000" w:themeColor="text1"/>
          <w:spacing w:val="8"/>
        </w:rPr>
      </w:pPr>
      <w:r w:rsidRPr="008A2411">
        <w:rPr>
          <w:rFonts w:ascii="Times New Roman" w:eastAsiaTheme="minorEastAsia"/>
          <w:b/>
          <w:color w:val="000000" w:themeColor="text1"/>
          <w:spacing w:val="8"/>
        </w:rPr>
        <w:t>5</w:t>
      </w:r>
      <w:r w:rsidRPr="008A2411">
        <w:rPr>
          <w:rFonts w:ascii="Times New Roman" w:eastAsiaTheme="minorEastAsia"/>
          <w:b/>
          <w:color w:val="000000" w:themeColor="text1"/>
          <w:spacing w:val="8"/>
        </w:rPr>
        <w:t>）鱼类</w:t>
      </w:r>
      <w:r w:rsidRPr="008A2411">
        <w:rPr>
          <w:rFonts w:ascii="Times New Roman" w:eastAsiaTheme="minorEastAsia" w:hint="eastAsia"/>
          <w:b/>
          <w:color w:val="000000" w:themeColor="text1"/>
          <w:spacing w:val="8"/>
        </w:rPr>
        <w:t>“</w:t>
      </w:r>
      <w:r w:rsidRPr="008A2411">
        <w:rPr>
          <w:rFonts w:ascii="Times New Roman" w:eastAsiaTheme="minorEastAsia"/>
          <w:b/>
          <w:color w:val="000000" w:themeColor="text1"/>
          <w:spacing w:val="8"/>
        </w:rPr>
        <w:t>三场</w:t>
      </w:r>
      <w:r w:rsidRPr="008A2411">
        <w:rPr>
          <w:rFonts w:ascii="Times New Roman" w:eastAsiaTheme="minorEastAsia" w:hint="eastAsia"/>
          <w:b/>
          <w:color w:val="000000" w:themeColor="text1"/>
          <w:spacing w:val="8"/>
        </w:rPr>
        <w:t>”</w:t>
      </w:r>
      <w:r w:rsidRPr="008A2411">
        <w:rPr>
          <w:rFonts w:ascii="Times New Roman" w:eastAsiaTheme="minorEastAsia"/>
          <w:b/>
          <w:color w:val="000000" w:themeColor="text1"/>
          <w:spacing w:val="8"/>
        </w:rPr>
        <w:t>分布</w:t>
      </w:r>
    </w:p>
    <w:p w14:paraId="1CC109F0" w14:textId="77777777" w:rsidR="00B0005F" w:rsidRPr="008A2411" w:rsidRDefault="00000000">
      <w:pPr>
        <w:autoSpaceDE w:val="0"/>
        <w:autoSpaceDN w:val="0"/>
        <w:adjustRightInd w:val="0"/>
        <w:snapToGrid w:val="0"/>
        <w:spacing w:line="360" w:lineRule="auto"/>
        <w:ind w:firstLineChars="200" w:firstLine="480"/>
        <w:rPr>
          <w:rFonts w:ascii="Times New Roman" w:eastAsiaTheme="minorEastAsia"/>
          <w:color w:val="000000" w:themeColor="text1"/>
          <w:lang w:val="zh-CN"/>
        </w:rPr>
      </w:pPr>
      <w:r w:rsidRPr="008A2411">
        <w:rPr>
          <w:rFonts w:ascii="Times New Roman"/>
          <w:color w:val="000000" w:themeColor="text1"/>
        </w:rPr>
        <w:t>后河特有鱼类国家级水产种质资源保护区</w:t>
      </w:r>
      <w:r w:rsidRPr="008A2411">
        <w:rPr>
          <w:rFonts w:ascii="Times New Roman" w:eastAsiaTheme="minorEastAsia"/>
          <w:color w:val="000000" w:themeColor="text1"/>
        </w:rPr>
        <w:t>两岸以高山为主，植被良好，</w:t>
      </w:r>
      <w:r w:rsidRPr="008A2411">
        <w:rPr>
          <w:rFonts w:ascii="Times New Roman" w:eastAsiaTheme="minorEastAsia"/>
          <w:color w:val="000000" w:themeColor="text1"/>
          <w:lang w:val="zh-CN"/>
        </w:rPr>
        <w:t>水土流失现象不严重，</w:t>
      </w:r>
      <w:proofErr w:type="gramStart"/>
      <w:r w:rsidRPr="008A2411">
        <w:rPr>
          <w:rFonts w:ascii="Times New Roman" w:eastAsiaTheme="minorEastAsia"/>
          <w:color w:val="000000" w:themeColor="text1"/>
          <w:lang w:val="zh-CN"/>
        </w:rPr>
        <w:t>山青水秀</w:t>
      </w:r>
      <w:proofErr w:type="gramEnd"/>
      <w:r w:rsidRPr="008A2411">
        <w:rPr>
          <w:rFonts w:ascii="Times New Roman" w:eastAsiaTheme="minorEastAsia"/>
          <w:color w:val="000000" w:themeColor="text1"/>
          <w:lang w:val="zh-CN"/>
        </w:rPr>
        <w:t>，只有在山洪暴发时河水才是浑浊的。保护区内人口稀少，人为影响也不大，没有工业，无工业污染，河水清澈，水质良好，是鱼类生活的好场所。</w:t>
      </w:r>
    </w:p>
    <w:p w14:paraId="34A6FB5A" w14:textId="77777777" w:rsidR="00B0005F" w:rsidRPr="008A2411" w:rsidRDefault="00000000">
      <w:pPr>
        <w:autoSpaceDE w:val="0"/>
        <w:autoSpaceDN w:val="0"/>
        <w:adjustRightInd w:val="0"/>
        <w:snapToGrid w:val="0"/>
        <w:spacing w:line="360" w:lineRule="auto"/>
        <w:ind w:firstLineChars="200" w:firstLine="482"/>
        <w:rPr>
          <w:rFonts w:ascii="Times New Roman" w:eastAsiaTheme="minorEastAsia"/>
          <w:b/>
          <w:color w:val="000000" w:themeColor="text1"/>
          <w:lang w:val="zh-CN"/>
        </w:rPr>
      </w:pPr>
      <w:r w:rsidRPr="008A2411">
        <w:rPr>
          <w:rFonts w:ascii="Times New Roman" w:eastAsiaTheme="minorEastAsia"/>
          <w:b/>
          <w:color w:val="000000" w:themeColor="text1"/>
          <w:lang w:val="zh-CN"/>
        </w:rPr>
        <w:t>主要产场：保护区主要大的产场有大水荡、胡浪、东奔、</w:t>
      </w:r>
      <w:proofErr w:type="gramStart"/>
      <w:r w:rsidRPr="008A2411">
        <w:rPr>
          <w:rFonts w:ascii="Times New Roman" w:eastAsiaTheme="minorEastAsia"/>
          <w:b/>
          <w:color w:val="000000" w:themeColor="text1"/>
          <w:lang w:val="zh-CN"/>
        </w:rPr>
        <w:t>铜古峡</w:t>
      </w:r>
      <w:proofErr w:type="gramEnd"/>
      <w:r w:rsidRPr="008A2411">
        <w:rPr>
          <w:rFonts w:ascii="Times New Roman" w:eastAsiaTheme="minorEastAsia"/>
          <w:b/>
          <w:color w:val="000000" w:themeColor="text1"/>
          <w:lang w:val="zh-CN"/>
        </w:rPr>
        <w:t>、跳河、樊家潭。</w:t>
      </w:r>
    </w:p>
    <w:p w14:paraId="05058A42" w14:textId="77777777" w:rsidR="00B0005F" w:rsidRPr="008A2411" w:rsidRDefault="00000000">
      <w:pPr>
        <w:autoSpaceDE w:val="0"/>
        <w:autoSpaceDN w:val="0"/>
        <w:adjustRightInd w:val="0"/>
        <w:snapToGrid w:val="0"/>
        <w:spacing w:line="360" w:lineRule="auto"/>
        <w:ind w:firstLineChars="200" w:firstLine="482"/>
        <w:rPr>
          <w:rFonts w:ascii="Times New Roman" w:eastAsiaTheme="minorEastAsia"/>
          <w:b/>
          <w:color w:val="000000" w:themeColor="text1"/>
          <w:lang w:val="zh-CN"/>
        </w:rPr>
      </w:pPr>
      <w:r w:rsidRPr="008A2411">
        <w:rPr>
          <w:rFonts w:ascii="Times New Roman" w:eastAsiaTheme="minorEastAsia"/>
          <w:b/>
          <w:color w:val="000000" w:themeColor="text1"/>
          <w:lang w:val="zh-CN"/>
        </w:rPr>
        <w:t>主要越冬场：保护区主要的越冬场有公孙潭、大水荡、东奔、</w:t>
      </w:r>
      <w:proofErr w:type="gramStart"/>
      <w:r w:rsidRPr="008A2411">
        <w:rPr>
          <w:rFonts w:ascii="Times New Roman" w:eastAsiaTheme="minorEastAsia"/>
          <w:b/>
          <w:color w:val="000000" w:themeColor="text1"/>
          <w:lang w:val="zh-CN"/>
        </w:rPr>
        <w:t>铜古峡</w:t>
      </w:r>
      <w:proofErr w:type="gramEnd"/>
      <w:r w:rsidRPr="008A2411">
        <w:rPr>
          <w:rFonts w:ascii="Times New Roman" w:eastAsiaTheme="minorEastAsia"/>
          <w:b/>
          <w:color w:val="000000" w:themeColor="text1"/>
          <w:lang w:val="zh-CN"/>
        </w:rPr>
        <w:t>、跳河大潭、樊家潭、</w:t>
      </w:r>
      <w:proofErr w:type="gramStart"/>
      <w:r w:rsidRPr="008A2411">
        <w:rPr>
          <w:rFonts w:ascii="Times New Roman" w:eastAsiaTheme="minorEastAsia"/>
          <w:b/>
          <w:color w:val="000000" w:themeColor="text1"/>
          <w:lang w:val="zh-CN"/>
        </w:rPr>
        <w:t>铜坎洞</w:t>
      </w:r>
      <w:proofErr w:type="gramEnd"/>
      <w:r w:rsidRPr="008A2411">
        <w:rPr>
          <w:rFonts w:ascii="Times New Roman" w:eastAsiaTheme="minorEastAsia"/>
          <w:b/>
          <w:color w:val="000000" w:themeColor="text1"/>
          <w:lang w:val="zh-CN"/>
        </w:rPr>
        <w:t>。</w:t>
      </w:r>
    </w:p>
    <w:p w14:paraId="4095C24B" w14:textId="77777777" w:rsidR="00B0005F" w:rsidRPr="008A2411" w:rsidRDefault="00000000">
      <w:pPr>
        <w:autoSpaceDE w:val="0"/>
        <w:autoSpaceDN w:val="0"/>
        <w:adjustRightInd w:val="0"/>
        <w:snapToGrid w:val="0"/>
        <w:spacing w:line="360" w:lineRule="auto"/>
        <w:ind w:firstLineChars="200" w:firstLine="482"/>
        <w:rPr>
          <w:rFonts w:ascii="Times New Roman" w:eastAsiaTheme="minorEastAsia"/>
          <w:b/>
          <w:color w:val="000000" w:themeColor="text1"/>
          <w:lang w:val="zh-CN"/>
        </w:rPr>
      </w:pPr>
      <w:r w:rsidRPr="008A2411">
        <w:rPr>
          <w:rFonts w:ascii="Times New Roman" w:eastAsiaTheme="minorEastAsia"/>
          <w:b/>
          <w:color w:val="000000" w:themeColor="text1"/>
          <w:lang w:val="zh-CN"/>
        </w:rPr>
        <w:t>索饵场：越冬场和产场之间的河流及支流是鱼类的索饵场和洄游通道。</w:t>
      </w:r>
    </w:p>
    <w:p w14:paraId="4C4B998D" w14:textId="77777777" w:rsidR="00B0005F" w:rsidRPr="008A2411" w:rsidRDefault="00000000">
      <w:pPr>
        <w:adjustRightInd w:val="0"/>
        <w:snapToGrid w:val="0"/>
        <w:spacing w:line="360" w:lineRule="auto"/>
        <w:rPr>
          <w:rFonts w:ascii="Times New Roman"/>
          <w:b/>
          <w:bCs/>
          <w:color w:val="000000" w:themeColor="text1"/>
        </w:rPr>
      </w:pPr>
      <w:r w:rsidRPr="008A2411">
        <w:rPr>
          <w:rFonts w:ascii="Times New Roman"/>
          <w:b/>
          <w:color w:val="000000" w:themeColor="text1"/>
        </w:rPr>
        <w:t xml:space="preserve">    5</w:t>
      </w:r>
      <w:r w:rsidRPr="008A2411">
        <w:rPr>
          <w:rFonts w:ascii="Times New Roman"/>
          <w:b/>
          <w:color w:val="000000" w:themeColor="text1"/>
        </w:rPr>
        <w:t>）本项目与保护区的位置关系</w:t>
      </w:r>
    </w:p>
    <w:p w14:paraId="0B4E9C0E" w14:textId="77777777" w:rsidR="00B0005F" w:rsidRPr="008A2411" w:rsidRDefault="00000000">
      <w:pPr>
        <w:tabs>
          <w:tab w:val="left" w:pos="560"/>
        </w:tabs>
        <w:adjustRightInd w:val="0"/>
        <w:snapToGrid w:val="0"/>
        <w:spacing w:line="360" w:lineRule="auto"/>
        <w:ind w:firstLineChars="200" w:firstLine="482"/>
        <w:rPr>
          <w:rFonts w:ascii="Times New Roman"/>
          <w:b/>
          <w:bCs/>
          <w:color w:val="000000" w:themeColor="text1"/>
        </w:rPr>
      </w:pPr>
      <w:r w:rsidRPr="008A2411">
        <w:rPr>
          <w:rFonts w:ascii="Times New Roman"/>
          <w:b/>
          <w:bCs/>
          <w:color w:val="000000" w:themeColor="text1"/>
        </w:rPr>
        <w:t>后河特有鱼类国家级水产种质资源保护区整体位于宣汉县县域北面、地表水后河上游，保护区起于万源县与宣汉县河道交界处，止于后河与中河汇合处</w:t>
      </w:r>
      <w:r w:rsidRPr="008A2411">
        <w:rPr>
          <w:rFonts w:ascii="Times New Roman"/>
          <w:b/>
          <w:bCs/>
          <w:i/>
          <w:color w:val="000000" w:themeColor="text1"/>
          <w:szCs w:val="24"/>
        </w:rPr>
        <w:t>（普光镇）</w:t>
      </w:r>
      <w:r w:rsidRPr="008A2411">
        <w:rPr>
          <w:rFonts w:ascii="Times New Roman"/>
          <w:b/>
          <w:bCs/>
          <w:color w:val="000000" w:themeColor="text1"/>
        </w:rPr>
        <w:t>，本项目位于普</w:t>
      </w:r>
      <w:proofErr w:type="gramStart"/>
      <w:r w:rsidRPr="008A2411">
        <w:rPr>
          <w:rFonts w:ascii="Times New Roman"/>
          <w:b/>
          <w:bCs/>
          <w:color w:val="000000" w:themeColor="text1"/>
        </w:rPr>
        <w:t>光功能</w:t>
      </w:r>
      <w:proofErr w:type="gramEnd"/>
      <w:r w:rsidRPr="008A2411">
        <w:rPr>
          <w:rFonts w:ascii="Times New Roman"/>
          <w:b/>
          <w:bCs/>
          <w:color w:val="000000" w:themeColor="text1"/>
        </w:rPr>
        <w:t>区西侧，与后河特有鱼类国家级水产种质资源保护区</w:t>
      </w:r>
      <w:r w:rsidRPr="008A2411">
        <w:rPr>
          <w:rFonts w:ascii="Times New Roman" w:hint="eastAsia"/>
          <w:b/>
          <w:bCs/>
          <w:color w:val="000000" w:themeColor="text1"/>
        </w:rPr>
        <w:t>直线距离</w:t>
      </w:r>
      <w:r w:rsidRPr="008A2411">
        <w:rPr>
          <w:rFonts w:ascii="Times New Roman"/>
          <w:b/>
          <w:bCs/>
          <w:color w:val="000000" w:themeColor="text1"/>
        </w:rPr>
        <w:t>为</w:t>
      </w:r>
      <w:r w:rsidRPr="008A2411">
        <w:rPr>
          <w:rFonts w:ascii="Times New Roman"/>
          <w:b/>
          <w:bCs/>
          <w:color w:val="000000" w:themeColor="text1"/>
        </w:rPr>
        <w:t>5.6km</w:t>
      </w:r>
      <w:r w:rsidRPr="008A2411">
        <w:rPr>
          <w:rFonts w:ascii="Times New Roman"/>
          <w:b/>
          <w:bCs/>
          <w:color w:val="000000" w:themeColor="text1"/>
        </w:rPr>
        <w:t>。</w:t>
      </w:r>
    </w:p>
    <w:p w14:paraId="61C572CA" w14:textId="77777777" w:rsidR="00B0005F" w:rsidRPr="008A2411" w:rsidRDefault="00000000">
      <w:pPr>
        <w:tabs>
          <w:tab w:val="left" w:pos="560"/>
        </w:tabs>
        <w:adjustRightInd w:val="0"/>
        <w:snapToGrid w:val="0"/>
        <w:spacing w:line="360" w:lineRule="auto"/>
        <w:ind w:firstLineChars="200" w:firstLine="482"/>
        <w:rPr>
          <w:rFonts w:ascii="Times New Roman" w:eastAsiaTheme="minorEastAsia"/>
          <w:b/>
          <w:color w:val="000000" w:themeColor="text1"/>
        </w:rPr>
      </w:pPr>
      <w:r w:rsidRPr="008A2411">
        <w:rPr>
          <w:rFonts w:ascii="Times New Roman"/>
          <w:b/>
          <w:bCs/>
          <w:color w:val="000000" w:themeColor="text1"/>
        </w:rPr>
        <w:t>此外，普</w:t>
      </w:r>
      <w:proofErr w:type="gramStart"/>
      <w:r w:rsidRPr="008A2411">
        <w:rPr>
          <w:rFonts w:ascii="Times New Roman"/>
          <w:b/>
          <w:bCs/>
          <w:color w:val="000000" w:themeColor="text1"/>
        </w:rPr>
        <w:t>光功能</w:t>
      </w:r>
      <w:proofErr w:type="gramEnd"/>
      <w:r w:rsidRPr="008A2411">
        <w:rPr>
          <w:rFonts w:ascii="Times New Roman"/>
          <w:b/>
          <w:bCs/>
          <w:color w:val="000000" w:themeColor="text1"/>
        </w:rPr>
        <w:t>区规划范围不涉及保护区，在合理设置普</w:t>
      </w:r>
      <w:proofErr w:type="gramStart"/>
      <w:r w:rsidRPr="008A2411">
        <w:rPr>
          <w:rFonts w:ascii="Times New Roman"/>
          <w:b/>
          <w:bCs/>
          <w:color w:val="000000" w:themeColor="text1"/>
        </w:rPr>
        <w:t>光功能</w:t>
      </w:r>
      <w:proofErr w:type="gramEnd"/>
      <w:r w:rsidRPr="008A2411">
        <w:rPr>
          <w:rFonts w:ascii="Times New Roman"/>
          <w:b/>
          <w:bCs/>
          <w:color w:val="000000" w:themeColor="text1"/>
        </w:rPr>
        <w:t>区污水处理厂排污口的前提下，普光经开区的发展不会对后河特有鱼类国家级水产种质资源保护区造成影响。</w:t>
      </w:r>
      <w:r w:rsidRPr="008A2411">
        <w:rPr>
          <w:rFonts w:ascii="Times New Roman" w:eastAsiaTheme="minorEastAsia"/>
          <w:b/>
          <w:color w:val="000000" w:themeColor="text1"/>
          <w:spacing w:val="8"/>
        </w:rPr>
        <w:t>普</w:t>
      </w:r>
      <w:proofErr w:type="gramStart"/>
      <w:r w:rsidRPr="008A2411">
        <w:rPr>
          <w:rFonts w:ascii="Times New Roman" w:eastAsiaTheme="minorEastAsia"/>
          <w:b/>
          <w:color w:val="000000" w:themeColor="text1"/>
          <w:spacing w:val="8"/>
        </w:rPr>
        <w:t>光功能</w:t>
      </w:r>
      <w:proofErr w:type="gramEnd"/>
      <w:r w:rsidRPr="008A2411">
        <w:rPr>
          <w:rFonts w:ascii="Times New Roman" w:eastAsiaTheme="minorEastAsia"/>
          <w:b/>
          <w:color w:val="000000" w:themeColor="text1"/>
          <w:spacing w:val="8"/>
        </w:rPr>
        <w:t>区对项目有选择性地引入，禁止引入涉及含铅</w:t>
      </w:r>
      <w:r w:rsidRPr="008A2411">
        <w:rPr>
          <w:rFonts w:ascii="Times New Roman" w:eastAsiaTheme="minorEastAsia"/>
          <w:b/>
          <w:i/>
          <w:color w:val="000000" w:themeColor="text1"/>
          <w:spacing w:val="8"/>
          <w:szCs w:val="24"/>
        </w:rPr>
        <w:t>（</w:t>
      </w:r>
      <w:r w:rsidRPr="008A2411">
        <w:rPr>
          <w:rFonts w:ascii="Times New Roman" w:eastAsiaTheme="minorEastAsia"/>
          <w:b/>
          <w:i/>
          <w:color w:val="000000" w:themeColor="text1"/>
          <w:spacing w:val="8"/>
          <w:szCs w:val="24"/>
        </w:rPr>
        <w:t>pb</w:t>
      </w:r>
      <w:r w:rsidRPr="008A2411">
        <w:rPr>
          <w:rFonts w:ascii="Times New Roman" w:eastAsiaTheme="minorEastAsia"/>
          <w:b/>
          <w:i/>
          <w:color w:val="000000" w:themeColor="text1"/>
          <w:spacing w:val="8"/>
          <w:szCs w:val="24"/>
        </w:rPr>
        <w:t>）</w:t>
      </w:r>
      <w:r w:rsidRPr="008A2411">
        <w:rPr>
          <w:rFonts w:ascii="Times New Roman" w:eastAsiaTheme="minorEastAsia"/>
          <w:b/>
          <w:color w:val="000000" w:themeColor="text1"/>
          <w:spacing w:val="8"/>
        </w:rPr>
        <w:t>、汞</w:t>
      </w:r>
      <w:r w:rsidRPr="008A2411">
        <w:rPr>
          <w:rFonts w:ascii="Times New Roman" w:eastAsiaTheme="minorEastAsia"/>
          <w:b/>
          <w:i/>
          <w:color w:val="000000" w:themeColor="text1"/>
          <w:spacing w:val="8"/>
          <w:szCs w:val="24"/>
        </w:rPr>
        <w:t>（</w:t>
      </w:r>
      <w:r w:rsidRPr="008A2411">
        <w:rPr>
          <w:rFonts w:ascii="Times New Roman" w:eastAsiaTheme="minorEastAsia"/>
          <w:b/>
          <w:i/>
          <w:color w:val="000000" w:themeColor="text1"/>
          <w:spacing w:val="8"/>
          <w:szCs w:val="24"/>
        </w:rPr>
        <w:t>Hg</w:t>
      </w:r>
      <w:r w:rsidRPr="008A2411">
        <w:rPr>
          <w:rFonts w:ascii="Times New Roman" w:eastAsiaTheme="minorEastAsia"/>
          <w:b/>
          <w:i/>
          <w:color w:val="000000" w:themeColor="text1"/>
          <w:spacing w:val="8"/>
          <w:szCs w:val="24"/>
        </w:rPr>
        <w:t>）</w:t>
      </w:r>
      <w:r w:rsidRPr="008A2411">
        <w:rPr>
          <w:rFonts w:ascii="Times New Roman" w:eastAsiaTheme="minorEastAsia"/>
          <w:b/>
          <w:color w:val="000000" w:themeColor="text1"/>
          <w:spacing w:val="8"/>
        </w:rPr>
        <w:t>、镉</w:t>
      </w:r>
      <w:r w:rsidRPr="008A2411">
        <w:rPr>
          <w:rFonts w:ascii="Times New Roman" w:eastAsiaTheme="minorEastAsia"/>
          <w:b/>
          <w:i/>
          <w:color w:val="000000" w:themeColor="text1"/>
          <w:spacing w:val="8"/>
          <w:szCs w:val="24"/>
        </w:rPr>
        <w:t>（</w:t>
      </w:r>
      <w:r w:rsidRPr="008A2411">
        <w:rPr>
          <w:rFonts w:ascii="Times New Roman" w:eastAsiaTheme="minorEastAsia"/>
          <w:b/>
          <w:i/>
          <w:color w:val="000000" w:themeColor="text1"/>
          <w:spacing w:val="8"/>
          <w:szCs w:val="24"/>
        </w:rPr>
        <w:t>Cd</w:t>
      </w:r>
      <w:r w:rsidRPr="008A2411">
        <w:rPr>
          <w:rFonts w:ascii="Times New Roman" w:eastAsiaTheme="minorEastAsia"/>
          <w:b/>
          <w:i/>
          <w:color w:val="000000" w:themeColor="text1"/>
          <w:spacing w:val="8"/>
          <w:szCs w:val="24"/>
        </w:rPr>
        <w:t>）</w:t>
      </w:r>
      <w:r w:rsidRPr="008A2411">
        <w:rPr>
          <w:rFonts w:ascii="Times New Roman" w:eastAsiaTheme="minorEastAsia"/>
          <w:b/>
          <w:color w:val="000000" w:themeColor="text1"/>
          <w:spacing w:val="8"/>
        </w:rPr>
        <w:t>、铬</w:t>
      </w:r>
      <w:r w:rsidRPr="008A2411">
        <w:rPr>
          <w:rFonts w:ascii="Times New Roman" w:eastAsiaTheme="minorEastAsia"/>
          <w:b/>
          <w:i/>
          <w:color w:val="000000" w:themeColor="text1"/>
          <w:spacing w:val="8"/>
          <w:szCs w:val="24"/>
        </w:rPr>
        <w:t>（</w:t>
      </w:r>
      <w:r w:rsidRPr="008A2411">
        <w:rPr>
          <w:rFonts w:ascii="Times New Roman" w:eastAsiaTheme="minorEastAsia"/>
          <w:b/>
          <w:i/>
          <w:color w:val="000000" w:themeColor="text1"/>
          <w:spacing w:val="8"/>
          <w:szCs w:val="24"/>
        </w:rPr>
        <w:t>Cr</w:t>
      </w:r>
      <w:r w:rsidRPr="008A2411">
        <w:rPr>
          <w:rFonts w:ascii="Times New Roman" w:eastAsiaTheme="minorEastAsia"/>
          <w:b/>
          <w:i/>
          <w:color w:val="000000" w:themeColor="text1"/>
          <w:spacing w:val="8"/>
          <w:szCs w:val="24"/>
        </w:rPr>
        <w:t>）</w:t>
      </w:r>
      <w:r w:rsidRPr="008A2411">
        <w:rPr>
          <w:rFonts w:ascii="Times New Roman" w:eastAsiaTheme="minorEastAsia"/>
          <w:b/>
          <w:color w:val="000000" w:themeColor="text1"/>
          <w:spacing w:val="8"/>
        </w:rPr>
        <w:t>、砷</w:t>
      </w:r>
      <w:r w:rsidRPr="008A2411">
        <w:rPr>
          <w:rFonts w:ascii="Times New Roman" w:eastAsiaTheme="minorEastAsia"/>
          <w:b/>
          <w:i/>
          <w:color w:val="000000" w:themeColor="text1"/>
          <w:spacing w:val="8"/>
          <w:szCs w:val="24"/>
        </w:rPr>
        <w:t>（</w:t>
      </w:r>
      <w:r w:rsidRPr="008A2411">
        <w:rPr>
          <w:rFonts w:ascii="Times New Roman" w:eastAsiaTheme="minorEastAsia"/>
          <w:b/>
          <w:i/>
          <w:color w:val="000000" w:themeColor="text1"/>
          <w:spacing w:val="8"/>
          <w:szCs w:val="24"/>
        </w:rPr>
        <w:t>As</w:t>
      </w:r>
      <w:r w:rsidRPr="008A2411">
        <w:rPr>
          <w:rFonts w:ascii="Times New Roman" w:eastAsiaTheme="minorEastAsia"/>
          <w:b/>
          <w:i/>
          <w:color w:val="000000" w:themeColor="text1"/>
          <w:spacing w:val="8"/>
          <w:szCs w:val="24"/>
        </w:rPr>
        <w:t>）</w:t>
      </w:r>
      <w:r w:rsidRPr="008A2411">
        <w:rPr>
          <w:rFonts w:ascii="Times New Roman" w:eastAsiaTheme="minorEastAsia"/>
          <w:b/>
          <w:color w:val="000000" w:themeColor="text1"/>
          <w:spacing w:val="8"/>
        </w:rPr>
        <w:t>五类重金属废水排放的项目，天然气化工禁止发展合成氨、硝酸铵、氢氰酸等高污染、高风险项目，硫化工禁止高污染、高风险类的有机硫化工项目，园区做到污水达标排放，杜绝事故废水排放的情况下，对</w:t>
      </w:r>
      <w:r w:rsidRPr="008A2411">
        <w:rPr>
          <w:rFonts w:ascii="Times New Roman" w:eastAsiaTheme="minorEastAsia"/>
          <w:b/>
          <w:color w:val="000000" w:themeColor="text1"/>
        </w:rPr>
        <w:t>在后河干</w:t>
      </w:r>
      <w:r w:rsidRPr="008A2411">
        <w:rPr>
          <w:rFonts w:ascii="Times New Roman" w:eastAsiaTheme="minorEastAsia"/>
          <w:b/>
          <w:color w:val="000000" w:themeColor="text1"/>
          <w:spacing w:val="8"/>
        </w:rPr>
        <w:t>流均有分布</w:t>
      </w:r>
      <w:r w:rsidRPr="008A2411">
        <w:rPr>
          <w:rFonts w:ascii="Times New Roman" w:eastAsiaTheme="minorEastAsia"/>
          <w:b/>
          <w:color w:val="000000" w:themeColor="text1"/>
        </w:rPr>
        <w:t>黄</w:t>
      </w:r>
      <w:proofErr w:type="gramStart"/>
      <w:r w:rsidRPr="008A2411">
        <w:rPr>
          <w:rFonts w:ascii="Times New Roman" w:eastAsiaTheme="minorEastAsia"/>
          <w:b/>
          <w:color w:val="000000" w:themeColor="text1"/>
        </w:rPr>
        <w:t>颡</w:t>
      </w:r>
      <w:proofErr w:type="gramEnd"/>
      <w:r w:rsidRPr="008A2411">
        <w:rPr>
          <w:rFonts w:ascii="Times New Roman" w:eastAsiaTheme="minorEastAsia"/>
          <w:b/>
          <w:color w:val="000000" w:themeColor="text1"/>
        </w:rPr>
        <w:t>鱼、中华鳖、中华倒刺鲃等鱼类影响较小。</w:t>
      </w:r>
    </w:p>
    <w:p w14:paraId="6ED1A7F1" w14:textId="77777777" w:rsidR="00B0005F" w:rsidRPr="008A2411" w:rsidRDefault="00000000">
      <w:pPr>
        <w:pStyle w:val="a9"/>
        <w:adjustRightInd w:val="0"/>
        <w:snapToGrid w:val="0"/>
        <w:spacing w:after="0" w:line="360" w:lineRule="auto"/>
        <w:outlineLvl w:val="1"/>
        <w:rPr>
          <w:rFonts w:ascii="Times New Roman" w:eastAsia="黑体"/>
          <w:b/>
          <w:bCs/>
          <w:color w:val="000000" w:themeColor="text1"/>
          <w:kern w:val="0"/>
          <w:sz w:val="28"/>
          <w:szCs w:val="28"/>
          <w:lang w:bidi="en-US"/>
        </w:rPr>
      </w:pPr>
      <w:bookmarkStart w:id="249" w:name="_Toc109170763"/>
      <w:r w:rsidRPr="008A2411">
        <w:rPr>
          <w:rFonts w:ascii="Times New Roman" w:eastAsia="黑体"/>
          <w:b/>
          <w:bCs/>
          <w:color w:val="000000" w:themeColor="text1"/>
          <w:kern w:val="0"/>
          <w:sz w:val="28"/>
          <w:szCs w:val="28"/>
          <w:lang w:bidi="en-US"/>
        </w:rPr>
        <w:lastRenderedPageBreak/>
        <w:t>4.3</w:t>
      </w:r>
      <w:r w:rsidRPr="008A2411">
        <w:rPr>
          <w:rFonts w:ascii="Times New Roman" w:eastAsia="黑体"/>
          <w:b/>
          <w:bCs/>
          <w:color w:val="000000" w:themeColor="text1"/>
          <w:kern w:val="0"/>
          <w:sz w:val="28"/>
          <w:szCs w:val="28"/>
          <w:lang w:bidi="en-US"/>
        </w:rPr>
        <w:t>环境支流现状与评价</w:t>
      </w:r>
      <w:bookmarkEnd w:id="249"/>
    </w:p>
    <w:p w14:paraId="7C24AC5A" w14:textId="77777777" w:rsidR="00B0005F" w:rsidRPr="008A2411" w:rsidRDefault="00000000">
      <w:pPr>
        <w:pStyle w:val="2"/>
        <w:keepNext w:val="0"/>
        <w:keepLines w:val="0"/>
        <w:adjustRightInd w:val="0"/>
        <w:snapToGrid w:val="0"/>
        <w:spacing w:before="0" w:after="0" w:line="360" w:lineRule="auto"/>
        <w:rPr>
          <w:rFonts w:ascii="Times New Roman"/>
          <w:b w:val="0"/>
          <w:color w:val="000000" w:themeColor="text1"/>
          <w:kern w:val="0"/>
          <w:sz w:val="24"/>
          <w:szCs w:val="24"/>
          <w:lang w:bidi="en-US"/>
        </w:rPr>
      </w:pPr>
      <w:bookmarkStart w:id="250" w:name="_Toc95250313"/>
      <w:bookmarkStart w:id="251" w:name="_Toc15513"/>
      <w:bookmarkStart w:id="252" w:name="_Toc28932"/>
      <w:bookmarkStart w:id="253" w:name="_Toc108365934"/>
      <w:bookmarkStart w:id="254" w:name="_Toc109170764"/>
      <w:bookmarkEnd w:id="222"/>
      <w:bookmarkEnd w:id="223"/>
      <w:bookmarkEnd w:id="224"/>
      <w:bookmarkEnd w:id="225"/>
      <w:bookmarkEnd w:id="226"/>
      <w:r w:rsidRPr="008A2411">
        <w:rPr>
          <w:rFonts w:ascii="Times New Roman"/>
          <w:b w:val="0"/>
          <w:color w:val="000000" w:themeColor="text1"/>
          <w:kern w:val="0"/>
          <w:sz w:val="24"/>
          <w:szCs w:val="24"/>
          <w:lang w:bidi="en-US"/>
        </w:rPr>
        <w:t xml:space="preserve">4.3.1 </w:t>
      </w:r>
      <w:r w:rsidRPr="008A2411">
        <w:rPr>
          <w:rFonts w:ascii="Times New Roman"/>
          <w:b w:val="0"/>
          <w:color w:val="000000" w:themeColor="text1"/>
          <w:kern w:val="0"/>
          <w:sz w:val="24"/>
          <w:szCs w:val="24"/>
          <w:lang w:bidi="en-US"/>
        </w:rPr>
        <w:t>环境空气质量现状与评价</w:t>
      </w:r>
      <w:bookmarkEnd w:id="250"/>
      <w:bookmarkEnd w:id="251"/>
      <w:bookmarkEnd w:id="252"/>
      <w:bookmarkEnd w:id="253"/>
      <w:bookmarkEnd w:id="254"/>
    </w:p>
    <w:p w14:paraId="25F4F6CD" w14:textId="77777777" w:rsidR="00B0005F" w:rsidRPr="008A2411" w:rsidRDefault="00000000">
      <w:pPr>
        <w:pStyle w:val="a9"/>
        <w:adjustRightInd w:val="0"/>
        <w:snapToGrid w:val="0"/>
        <w:spacing w:after="0" w:line="360" w:lineRule="auto"/>
        <w:ind w:firstLine="482"/>
        <w:rPr>
          <w:rFonts w:ascii="Times New Roman"/>
          <w:b/>
          <w:bCs/>
          <w:color w:val="000000" w:themeColor="text1"/>
        </w:rPr>
      </w:pPr>
      <w:r w:rsidRPr="008A2411">
        <w:rPr>
          <w:rFonts w:ascii="Times New Roman"/>
          <w:b/>
          <w:bCs/>
          <w:color w:val="000000" w:themeColor="text1"/>
        </w:rPr>
        <w:t>1</w:t>
      </w:r>
      <w:r w:rsidRPr="008A2411">
        <w:rPr>
          <w:rFonts w:ascii="Times New Roman"/>
          <w:b/>
          <w:bCs/>
          <w:color w:val="000000" w:themeColor="text1"/>
        </w:rPr>
        <w:t>、基本污染物环境质量现状评价</w:t>
      </w:r>
    </w:p>
    <w:p w14:paraId="41ACE4EC" w14:textId="77777777" w:rsidR="00B0005F" w:rsidRPr="008A2411" w:rsidRDefault="00000000">
      <w:pPr>
        <w:pStyle w:val="afffffffffffffffffffff0"/>
        <w:ind w:firstLine="480"/>
        <w:rPr>
          <w:color w:val="000000" w:themeColor="text1"/>
        </w:rPr>
      </w:pPr>
      <w:r w:rsidRPr="008A2411">
        <w:rPr>
          <w:color w:val="000000" w:themeColor="text1"/>
        </w:rPr>
        <w:t>本项目位于达州市宣汉县，项目所在区环境空气功能分区为二类区。根据《环境影响评价技术导则</w:t>
      </w:r>
      <w:r w:rsidRPr="008A2411">
        <w:rPr>
          <w:color w:val="000000" w:themeColor="text1"/>
        </w:rPr>
        <w:t xml:space="preserve"> </w:t>
      </w:r>
      <w:r w:rsidRPr="008A2411">
        <w:rPr>
          <w:color w:val="000000" w:themeColor="text1"/>
        </w:rPr>
        <w:t>总纲》（</w:t>
      </w:r>
      <w:r w:rsidRPr="008A2411">
        <w:rPr>
          <w:color w:val="000000" w:themeColor="text1"/>
        </w:rPr>
        <w:t>HJ2.1-2016</w:t>
      </w:r>
      <w:r w:rsidRPr="008A2411">
        <w:rPr>
          <w:color w:val="000000" w:themeColor="text1"/>
        </w:rPr>
        <w:t>）与《环境影响评价技术导则</w:t>
      </w:r>
      <w:r w:rsidRPr="008A2411">
        <w:rPr>
          <w:color w:val="000000" w:themeColor="text1"/>
        </w:rPr>
        <w:t xml:space="preserve"> </w:t>
      </w:r>
      <w:r w:rsidRPr="008A2411">
        <w:rPr>
          <w:color w:val="000000" w:themeColor="text1"/>
        </w:rPr>
        <w:t>大气环境》（</w:t>
      </w:r>
      <w:r w:rsidRPr="008A2411">
        <w:rPr>
          <w:color w:val="000000" w:themeColor="text1"/>
        </w:rPr>
        <w:t>HJ2.2-2018</w:t>
      </w:r>
      <w:r w:rsidRPr="008A2411">
        <w:rPr>
          <w:color w:val="000000" w:themeColor="text1"/>
        </w:rPr>
        <w:t>）的要求，评价采用达州市环境保护局发布（</w:t>
      </w:r>
      <w:r w:rsidRPr="008A2411">
        <w:rPr>
          <w:color w:val="000000" w:themeColor="text1"/>
        </w:rPr>
        <w:t>http://sthjj.dazhou.gov.cn/news-list-hjzl.html</w:t>
      </w:r>
      <w:r w:rsidRPr="008A2411">
        <w:rPr>
          <w:color w:val="000000" w:themeColor="text1"/>
        </w:rPr>
        <w:t>）的《</w:t>
      </w:r>
      <w:r w:rsidRPr="008A2411">
        <w:rPr>
          <w:color w:val="000000" w:themeColor="text1"/>
        </w:rPr>
        <w:t>2020</w:t>
      </w:r>
      <w:r w:rsidRPr="008A2411">
        <w:rPr>
          <w:color w:val="000000" w:themeColor="text1"/>
        </w:rPr>
        <w:t>年达州市环境状况公报》中的数据进行评价：</w:t>
      </w:r>
    </w:p>
    <w:p w14:paraId="20D71265" w14:textId="77777777" w:rsidR="00B0005F" w:rsidRPr="008A2411" w:rsidRDefault="00000000">
      <w:pPr>
        <w:pStyle w:val="afffffffffffffffffffff0"/>
        <w:ind w:firstLine="480"/>
        <w:rPr>
          <w:color w:val="000000" w:themeColor="text1"/>
          <w:shd w:val="clear" w:color="auto" w:fill="FFFFFF"/>
        </w:rPr>
      </w:pPr>
      <w:r w:rsidRPr="008A2411">
        <w:rPr>
          <w:color w:val="000000" w:themeColor="text1"/>
          <w:shd w:val="clear" w:color="auto" w:fill="FFFFFF"/>
        </w:rPr>
        <w:t>2020</w:t>
      </w:r>
      <w:r w:rsidRPr="008A2411">
        <w:rPr>
          <w:color w:val="000000" w:themeColor="text1"/>
          <w:shd w:val="clear" w:color="auto" w:fill="FFFFFF"/>
        </w:rPr>
        <w:t>年全市空气质量日均值达标率为</w:t>
      </w:r>
      <w:r w:rsidRPr="008A2411">
        <w:rPr>
          <w:color w:val="000000" w:themeColor="text1"/>
          <w:shd w:val="clear" w:color="auto" w:fill="FFFFFF"/>
        </w:rPr>
        <w:t>93.3%</w:t>
      </w:r>
      <w:r w:rsidRPr="008A2411">
        <w:rPr>
          <w:color w:val="000000" w:themeColor="text1"/>
          <w:shd w:val="clear" w:color="auto" w:fill="FFFFFF"/>
        </w:rPr>
        <w:t>，较上年提高</w:t>
      </w:r>
      <w:r w:rsidRPr="008A2411">
        <w:rPr>
          <w:color w:val="000000" w:themeColor="text1"/>
          <w:shd w:val="clear" w:color="auto" w:fill="FFFFFF"/>
        </w:rPr>
        <w:t>2.0</w:t>
      </w:r>
      <w:r w:rsidRPr="008A2411">
        <w:rPr>
          <w:color w:val="000000" w:themeColor="text1"/>
          <w:shd w:val="clear" w:color="auto" w:fill="FFFFFF"/>
        </w:rPr>
        <w:t>个百分点。市城区及各县（市）空气质量达标率为</w:t>
      </w:r>
      <w:r w:rsidRPr="008A2411">
        <w:rPr>
          <w:color w:val="000000" w:themeColor="text1"/>
          <w:shd w:val="clear" w:color="auto" w:fill="FFFFFF"/>
        </w:rPr>
        <w:t>89.3%~97.5%</w:t>
      </w:r>
      <w:r w:rsidRPr="008A2411">
        <w:rPr>
          <w:color w:val="000000" w:themeColor="text1"/>
          <w:shd w:val="clear" w:color="auto" w:fill="FFFFFF"/>
        </w:rPr>
        <w:t>，其中，宣汉县</w:t>
      </w:r>
      <w:r w:rsidRPr="008A2411">
        <w:rPr>
          <w:color w:val="000000" w:themeColor="text1"/>
          <w:shd w:val="clear" w:color="auto" w:fill="FFFFFF"/>
        </w:rPr>
        <w:t>94.3%</w:t>
      </w:r>
      <w:r w:rsidRPr="008A2411">
        <w:rPr>
          <w:color w:val="000000" w:themeColor="text1"/>
          <w:shd w:val="clear" w:color="auto" w:fill="FFFFFF"/>
        </w:rPr>
        <w:t>，万源市</w:t>
      </w:r>
      <w:r w:rsidRPr="008A2411">
        <w:rPr>
          <w:color w:val="000000" w:themeColor="text1"/>
          <w:shd w:val="clear" w:color="auto" w:fill="FFFFFF"/>
        </w:rPr>
        <w:t>97.5%</w:t>
      </w:r>
      <w:r w:rsidRPr="008A2411">
        <w:rPr>
          <w:color w:val="000000" w:themeColor="text1"/>
          <w:shd w:val="clear" w:color="auto" w:fill="FFFFFF"/>
        </w:rPr>
        <w:t>，开江县</w:t>
      </w:r>
      <w:r w:rsidRPr="008A2411">
        <w:rPr>
          <w:color w:val="000000" w:themeColor="text1"/>
          <w:shd w:val="clear" w:color="auto" w:fill="FFFFFF"/>
        </w:rPr>
        <w:t>95.1%</w:t>
      </w:r>
      <w:r w:rsidRPr="008A2411">
        <w:rPr>
          <w:color w:val="000000" w:themeColor="text1"/>
          <w:shd w:val="clear" w:color="auto" w:fill="FFFFFF"/>
        </w:rPr>
        <w:t>，渠县</w:t>
      </w:r>
      <w:r w:rsidRPr="008A2411">
        <w:rPr>
          <w:color w:val="000000" w:themeColor="text1"/>
          <w:shd w:val="clear" w:color="auto" w:fill="FFFFFF"/>
        </w:rPr>
        <w:t>93.4%</w:t>
      </w:r>
      <w:r w:rsidRPr="008A2411">
        <w:rPr>
          <w:color w:val="000000" w:themeColor="text1"/>
          <w:shd w:val="clear" w:color="auto" w:fill="FFFFFF"/>
        </w:rPr>
        <w:t>，大竹县</w:t>
      </w:r>
      <w:r w:rsidRPr="008A2411">
        <w:rPr>
          <w:color w:val="000000" w:themeColor="text1"/>
          <w:shd w:val="clear" w:color="auto" w:fill="FFFFFF"/>
        </w:rPr>
        <w:t>90.2%</w:t>
      </w:r>
      <w:r w:rsidRPr="008A2411">
        <w:rPr>
          <w:color w:val="000000" w:themeColor="text1"/>
          <w:shd w:val="clear" w:color="auto" w:fill="FFFFFF"/>
        </w:rPr>
        <w:t>，市城区</w:t>
      </w:r>
      <w:r w:rsidRPr="008A2411">
        <w:rPr>
          <w:color w:val="000000" w:themeColor="text1"/>
          <w:shd w:val="clear" w:color="auto" w:fill="FFFFFF"/>
        </w:rPr>
        <w:t>89.3%</w:t>
      </w:r>
      <w:r w:rsidRPr="008A2411">
        <w:rPr>
          <w:color w:val="000000" w:themeColor="text1"/>
          <w:shd w:val="clear" w:color="auto" w:fill="FFFFFF"/>
        </w:rPr>
        <w:t>。全市环境空气中主要污染物</w:t>
      </w:r>
      <w:r w:rsidRPr="008A2411">
        <w:rPr>
          <w:color w:val="000000" w:themeColor="text1"/>
          <w:shd w:val="clear" w:color="auto" w:fill="FFFFFF"/>
        </w:rPr>
        <w:t>PM</w:t>
      </w:r>
      <w:r w:rsidRPr="008A2411">
        <w:rPr>
          <w:color w:val="000000" w:themeColor="text1"/>
          <w:shd w:val="clear" w:color="auto" w:fill="FFFFFF"/>
          <w:vertAlign w:val="subscript"/>
        </w:rPr>
        <w:t>10</w:t>
      </w:r>
      <w:r w:rsidRPr="008A2411">
        <w:rPr>
          <w:color w:val="000000" w:themeColor="text1"/>
          <w:shd w:val="clear" w:color="auto" w:fill="FFFFFF"/>
        </w:rPr>
        <w:t>、</w:t>
      </w:r>
      <w:r w:rsidRPr="008A2411">
        <w:rPr>
          <w:color w:val="000000" w:themeColor="text1"/>
          <w:shd w:val="clear" w:color="auto" w:fill="FFFFFF"/>
        </w:rPr>
        <w:t>PM</w:t>
      </w:r>
      <w:r w:rsidRPr="008A2411">
        <w:rPr>
          <w:color w:val="000000" w:themeColor="text1"/>
          <w:shd w:val="clear" w:color="auto" w:fill="FFFFFF"/>
          <w:vertAlign w:val="subscript"/>
        </w:rPr>
        <w:t>2.5</w:t>
      </w:r>
      <w:r w:rsidRPr="008A2411">
        <w:rPr>
          <w:color w:val="000000" w:themeColor="text1"/>
          <w:shd w:val="clear" w:color="auto" w:fill="FFFFFF"/>
        </w:rPr>
        <w:t>和</w:t>
      </w:r>
      <w:r w:rsidRPr="008A2411">
        <w:rPr>
          <w:color w:val="000000" w:themeColor="text1"/>
          <w:shd w:val="clear" w:color="auto" w:fill="FFFFFF"/>
        </w:rPr>
        <w:t>O</w:t>
      </w:r>
      <w:r w:rsidRPr="008A2411">
        <w:rPr>
          <w:color w:val="000000" w:themeColor="text1"/>
          <w:shd w:val="clear" w:color="auto" w:fill="FFFFFF"/>
          <w:vertAlign w:val="subscript"/>
        </w:rPr>
        <w:t>3</w:t>
      </w:r>
      <w:r w:rsidRPr="008A2411">
        <w:rPr>
          <w:color w:val="000000" w:themeColor="text1"/>
          <w:shd w:val="clear" w:color="auto" w:fill="FFFFFF"/>
        </w:rPr>
        <w:t>。市城区</w:t>
      </w:r>
      <w:r w:rsidRPr="008A2411">
        <w:rPr>
          <w:color w:val="000000" w:themeColor="text1"/>
          <w:shd w:val="clear" w:color="auto" w:fill="FFFFFF"/>
        </w:rPr>
        <w:t>SO</w:t>
      </w:r>
      <w:r w:rsidRPr="008A2411">
        <w:rPr>
          <w:color w:val="000000" w:themeColor="text1"/>
          <w:shd w:val="clear" w:color="auto" w:fill="FFFFFF"/>
          <w:vertAlign w:val="subscript"/>
        </w:rPr>
        <w:t>2</w:t>
      </w:r>
      <w:r w:rsidRPr="008A2411">
        <w:rPr>
          <w:color w:val="000000" w:themeColor="text1"/>
          <w:shd w:val="clear" w:color="auto" w:fill="FFFFFF"/>
        </w:rPr>
        <w:t>、</w:t>
      </w:r>
      <w:r w:rsidRPr="008A2411">
        <w:rPr>
          <w:color w:val="000000" w:themeColor="text1"/>
          <w:shd w:val="clear" w:color="auto" w:fill="FFFFFF"/>
        </w:rPr>
        <w:t>NO</w:t>
      </w:r>
      <w:r w:rsidRPr="008A2411">
        <w:rPr>
          <w:color w:val="000000" w:themeColor="text1"/>
          <w:shd w:val="clear" w:color="auto" w:fill="FFFFFF"/>
          <w:vertAlign w:val="subscript"/>
        </w:rPr>
        <w:t>2</w:t>
      </w:r>
      <w:r w:rsidRPr="008A2411">
        <w:rPr>
          <w:color w:val="000000" w:themeColor="text1"/>
          <w:shd w:val="clear" w:color="auto" w:fill="FFFFFF"/>
        </w:rPr>
        <w:t>、</w:t>
      </w:r>
      <w:r w:rsidRPr="008A2411">
        <w:rPr>
          <w:color w:val="000000" w:themeColor="text1"/>
          <w:shd w:val="clear" w:color="auto" w:fill="FFFFFF"/>
        </w:rPr>
        <w:t>PM</w:t>
      </w:r>
      <w:r w:rsidRPr="008A2411">
        <w:rPr>
          <w:color w:val="000000" w:themeColor="text1"/>
          <w:shd w:val="clear" w:color="auto" w:fill="FFFFFF"/>
          <w:vertAlign w:val="subscript"/>
        </w:rPr>
        <w:t>10</w:t>
      </w:r>
      <w:r w:rsidRPr="008A2411">
        <w:rPr>
          <w:color w:val="000000" w:themeColor="text1"/>
          <w:shd w:val="clear" w:color="auto" w:fill="FFFFFF"/>
        </w:rPr>
        <w:t>、</w:t>
      </w:r>
      <w:r w:rsidRPr="008A2411">
        <w:rPr>
          <w:color w:val="000000" w:themeColor="text1"/>
          <w:shd w:val="clear" w:color="auto" w:fill="FFFFFF"/>
        </w:rPr>
        <w:t>CO</w:t>
      </w:r>
      <w:r w:rsidRPr="008A2411">
        <w:rPr>
          <w:color w:val="000000" w:themeColor="text1"/>
          <w:shd w:val="clear" w:color="auto" w:fill="FFFFFF"/>
        </w:rPr>
        <w:t>和</w:t>
      </w:r>
      <w:r w:rsidRPr="008A2411">
        <w:rPr>
          <w:color w:val="000000" w:themeColor="text1"/>
          <w:shd w:val="clear" w:color="auto" w:fill="FFFFFF"/>
        </w:rPr>
        <w:t>O</w:t>
      </w:r>
      <w:r w:rsidRPr="008A2411">
        <w:rPr>
          <w:color w:val="000000" w:themeColor="text1"/>
          <w:shd w:val="clear" w:color="auto" w:fill="FFFFFF"/>
          <w:vertAlign w:val="subscript"/>
        </w:rPr>
        <w:t>3</w:t>
      </w:r>
      <w:r w:rsidRPr="008A2411">
        <w:rPr>
          <w:color w:val="000000" w:themeColor="text1"/>
          <w:shd w:val="clear" w:color="auto" w:fill="FFFFFF"/>
        </w:rPr>
        <w:t>年评价结果达标，</w:t>
      </w:r>
      <w:r w:rsidRPr="008A2411">
        <w:rPr>
          <w:color w:val="000000" w:themeColor="text1"/>
          <w:shd w:val="clear" w:color="auto" w:fill="FFFFFF"/>
        </w:rPr>
        <w:t>PM</w:t>
      </w:r>
      <w:r w:rsidRPr="008A2411">
        <w:rPr>
          <w:color w:val="000000" w:themeColor="text1"/>
          <w:shd w:val="clear" w:color="auto" w:fill="FFFFFF"/>
          <w:vertAlign w:val="subscript"/>
        </w:rPr>
        <w:t>2.5</w:t>
      </w:r>
      <w:r w:rsidRPr="008A2411">
        <w:rPr>
          <w:color w:val="000000" w:themeColor="text1"/>
          <w:shd w:val="clear" w:color="auto" w:fill="FFFFFF"/>
        </w:rPr>
        <w:t>年评价结果超标，超标倍数为</w:t>
      </w:r>
      <w:r w:rsidRPr="008A2411">
        <w:rPr>
          <w:color w:val="000000" w:themeColor="text1"/>
          <w:shd w:val="clear" w:color="auto" w:fill="FFFFFF"/>
        </w:rPr>
        <w:t>0.11</w:t>
      </w:r>
      <w:r w:rsidRPr="008A2411">
        <w:rPr>
          <w:color w:val="000000" w:themeColor="text1"/>
          <w:shd w:val="clear" w:color="auto" w:fill="FFFFFF"/>
        </w:rPr>
        <w:t>倍；各县（市）</w:t>
      </w:r>
      <w:r w:rsidRPr="008A2411">
        <w:rPr>
          <w:color w:val="000000" w:themeColor="text1"/>
          <w:shd w:val="clear" w:color="auto" w:fill="FFFFFF"/>
        </w:rPr>
        <w:t>SO</w:t>
      </w:r>
      <w:r w:rsidRPr="008A2411">
        <w:rPr>
          <w:color w:val="000000" w:themeColor="text1"/>
          <w:shd w:val="clear" w:color="auto" w:fill="FFFFFF"/>
          <w:vertAlign w:val="subscript"/>
        </w:rPr>
        <w:t>2</w:t>
      </w:r>
      <w:r w:rsidRPr="008A2411">
        <w:rPr>
          <w:color w:val="000000" w:themeColor="text1"/>
          <w:shd w:val="clear" w:color="auto" w:fill="FFFFFF"/>
        </w:rPr>
        <w:t>、</w:t>
      </w:r>
      <w:r w:rsidRPr="008A2411">
        <w:rPr>
          <w:color w:val="000000" w:themeColor="text1"/>
          <w:shd w:val="clear" w:color="auto" w:fill="FFFFFF"/>
        </w:rPr>
        <w:t>NO</w:t>
      </w:r>
      <w:r w:rsidRPr="008A2411">
        <w:rPr>
          <w:color w:val="000000" w:themeColor="text1"/>
          <w:shd w:val="clear" w:color="auto" w:fill="FFFFFF"/>
          <w:vertAlign w:val="subscript"/>
        </w:rPr>
        <w:t>2</w:t>
      </w:r>
      <w:r w:rsidRPr="008A2411">
        <w:rPr>
          <w:color w:val="000000" w:themeColor="text1"/>
          <w:shd w:val="clear" w:color="auto" w:fill="FFFFFF"/>
        </w:rPr>
        <w:t>、</w:t>
      </w:r>
      <w:r w:rsidRPr="008A2411">
        <w:rPr>
          <w:color w:val="000000" w:themeColor="text1"/>
          <w:shd w:val="clear" w:color="auto" w:fill="FFFFFF"/>
        </w:rPr>
        <w:t>PM</w:t>
      </w:r>
      <w:r w:rsidRPr="008A2411">
        <w:rPr>
          <w:color w:val="000000" w:themeColor="text1"/>
          <w:shd w:val="clear" w:color="auto" w:fill="FFFFFF"/>
          <w:vertAlign w:val="subscript"/>
        </w:rPr>
        <w:t>10</w:t>
      </w:r>
      <w:r w:rsidRPr="008A2411">
        <w:rPr>
          <w:color w:val="000000" w:themeColor="text1"/>
          <w:shd w:val="clear" w:color="auto" w:fill="FFFFFF"/>
        </w:rPr>
        <w:t>、</w:t>
      </w:r>
      <w:r w:rsidRPr="008A2411">
        <w:rPr>
          <w:color w:val="000000" w:themeColor="text1"/>
          <w:shd w:val="clear" w:color="auto" w:fill="FFFFFF"/>
        </w:rPr>
        <w:t>CO</w:t>
      </w:r>
      <w:r w:rsidRPr="008A2411">
        <w:rPr>
          <w:color w:val="000000" w:themeColor="text1"/>
          <w:shd w:val="clear" w:color="auto" w:fill="FFFFFF"/>
        </w:rPr>
        <w:t>、</w:t>
      </w:r>
      <w:r w:rsidRPr="008A2411">
        <w:rPr>
          <w:color w:val="000000" w:themeColor="text1"/>
          <w:shd w:val="clear" w:color="auto" w:fill="FFFFFF"/>
        </w:rPr>
        <w:t>O</w:t>
      </w:r>
      <w:r w:rsidRPr="008A2411">
        <w:rPr>
          <w:color w:val="000000" w:themeColor="text1"/>
          <w:shd w:val="clear" w:color="auto" w:fill="FFFFFF"/>
          <w:vertAlign w:val="subscript"/>
        </w:rPr>
        <w:t>3</w:t>
      </w:r>
      <w:r w:rsidRPr="008A2411">
        <w:rPr>
          <w:color w:val="000000" w:themeColor="text1"/>
          <w:shd w:val="clear" w:color="auto" w:fill="FFFFFF"/>
        </w:rPr>
        <w:t>和</w:t>
      </w:r>
      <w:r w:rsidRPr="008A2411">
        <w:rPr>
          <w:color w:val="000000" w:themeColor="text1"/>
          <w:shd w:val="clear" w:color="auto" w:fill="FFFFFF"/>
        </w:rPr>
        <w:t>PM</w:t>
      </w:r>
      <w:r w:rsidRPr="008A2411">
        <w:rPr>
          <w:color w:val="000000" w:themeColor="text1"/>
          <w:shd w:val="clear" w:color="auto" w:fill="FFFFFF"/>
          <w:vertAlign w:val="subscript"/>
        </w:rPr>
        <w:t>2.5</w:t>
      </w:r>
      <w:r w:rsidRPr="008A2411">
        <w:rPr>
          <w:color w:val="000000" w:themeColor="text1"/>
          <w:shd w:val="clear" w:color="auto" w:fill="FFFFFF"/>
        </w:rPr>
        <w:t>年评价结果均达标。</w:t>
      </w:r>
    </w:p>
    <w:p w14:paraId="75E96C4D" w14:textId="77777777" w:rsidR="00B0005F" w:rsidRPr="008A2411" w:rsidRDefault="00000000">
      <w:pPr>
        <w:pStyle w:val="afffffffffffffffffffff0"/>
        <w:ind w:firstLine="480"/>
        <w:rPr>
          <w:color w:val="000000" w:themeColor="text1"/>
        </w:rPr>
      </w:pPr>
      <w:r w:rsidRPr="008A2411">
        <w:rPr>
          <w:color w:val="000000" w:themeColor="text1"/>
        </w:rPr>
        <w:t>综上可知，项目所在区</w:t>
      </w:r>
      <w:r w:rsidRPr="008A2411">
        <w:rPr>
          <w:color w:val="000000" w:themeColor="text1"/>
          <w:szCs w:val="24"/>
        </w:rPr>
        <w:t>SO</w:t>
      </w:r>
      <w:r w:rsidRPr="008A2411">
        <w:rPr>
          <w:color w:val="000000" w:themeColor="text1"/>
          <w:szCs w:val="24"/>
          <w:vertAlign w:val="subscript"/>
        </w:rPr>
        <w:t>2</w:t>
      </w:r>
      <w:r w:rsidRPr="008A2411">
        <w:rPr>
          <w:color w:val="000000" w:themeColor="text1"/>
          <w:szCs w:val="24"/>
        </w:rPr>
        <w:t>、</w:t>
      </w:r>
      <w:r w:rsidRPr="008A2411">
        <w:rPr>
          <w:color w:val="000000" w:themeColor="text1"/>
          <w:szCs w:val="24"/>
        </w:rPr>
        <w:t>NO</w:t>
      </w:r>
      <w:r w:rsidRPr="008A2411">
        <w:rPr>
          <w:color w:val="000000" w:themeColor="text1"/>
          <w:szCs w:val="24"/>
          <w:vertAlign w:val="subscript"/>
        </w:rPr>
        <w:t>2</w:t>
      </w:r>
      <w:r w:rsidRPr="008A2411">
        <w:rPr>
          <w:color w:val="000000" w:themeColor="text1"/>
          <w:szCs w:val="24"/>
        </w:rPr>
        <w:t>、</w:t>
      </w:r>
      <w:r w:rsidRPr="008A2411">
        <w:rPr>
          <w:color w:val="000000" w:themeColor="text1"/>
          <w:szCs w:val="24"/>
        </w:rPr>
        <w:t>PM</w:t>
      </w:r>
      <w:r w:rsidRPr="008A2411">
        <w:rPr>
          <w:color w:val="000000" w:themeColor="text1"/>
          <w:szCs w:val="24"/>
          <w:vertAlign w:val="subscript"/>
        </w:rPr>
        <w:t>10</w:t>
      </w:r>
      <w:r w:rsidRPr="008A2411">
        <w:rPr>
          <w:color w:val="000000" w:themeColor="text1"/>
          <w:szCs w:val="24"/>
        </w:rPr>
        <w:t>、</w:t>
      </w:r>
      <w:r w:rsidRPr="008A2411">
        <w:rPr>
          <w:color w:val="000000" w:themeColor="text1"/>
          <w:szCs w:val="24"/>
        </w:rPr>
        <w:t>CO</w:t>
      </w:r>
      <w:r w:rsidRPr="008A2411">
        <w:rPr>
          <w:color w:val="000000" w:themeColor="text1"/>
          <w:szCs w:val="24"/>
        </w:rPr>
        <w:t>、</w:t>
      </w:r>
      <w:r w:rsidRPr="008A2411">
        <w:rPr>
          <w:color w:val="000000" w:themeColor="text1"/>
          <w:szCs w:val="24"/>
        </w:rPr>
        <w:t>O</w:t>
      </w:r>
      <w:r w:rsidRPr="008A2411">
        <w:rPr>
          <w:color w:val="000000" w:themeColor="text1"/>
          <w:szCs w:val="24"/>
          <w:vertAlign w:val="subscript"/>
        </w:rPr>
        <w:t>3</w:t>
      </w:r>
      <w:r w:rsidRPr="008A2411">
        <w:rPr>
          <w:color w:val="000000" w:themeColor="text1"/>
        </w:rPr>
        <w:t>、</w:t>
      </w:r>
      <w:r w:rsidRPr="008A2411">
        <w:rPr>
          <w:color w:val="000000" w:themeColor="text1"/>
          <w:szCs w:val="24"/>
        </w:rPr>
        <w:t>PM</w:t>
      </w:r>
      <w:r w:rsidRPr="008A2411">
        <w:rPr>
          <w:color w:val="000000" w:themeColor="text1"/>
          <w:szCs w:val="24"/>
          <w:vertAlign w:val="subscript"/>
        </w:rPr>
        <w:t>2.5</w:t>
      </w:r>
      <w:r w:rsidRPr="008A2411">
        <w:rPr>
          <w:color w:val="000000" w:themeColor="text1"/>
        </w:rPr>
        <w:t>均达标，因此项目所在区判定为达标区。</w:t>
      </w:r>
    </w:p>
    <w:p w14:paraId="16ECCE58" w14:textId="77777777" w:rsidR="00B0005F" w:rsidRPr="008A2411" w:rsidRDefault="00000000">
      <w:pPr>
        <w:pStyle w:val="afffffffffffffffffffff0"/>
        <w:ind w:firstLine="482"/>
        <w:rPr>
          <w:b/>
          <w:bCs/>
          <w:color w:val="000000" w:themeColor="text1"/>
        </w:rPr>
      </w:pPr>
      <w:r w:rsidRPr="008A2411">
        <w:rPr>
          <w:b/>
          <w:bCs/>
          <w:color w:val="000000" w:themeColor="text1"/>
        </w:rPr>
        <w:t>2</w:t>
      </w:r>
      <w:r w:rsidRPr="008A2411">
        <w:rPr>
          <w:b/>
          <w:bCs/>
          <w:color w:val="000000" w:themeColor="text1"/>
        </w:rPr>
        <w:t>、特征污染物</w:t>
      </w:r>
    </w:p>
    <w:p w14:paraId="15B4CFED" w14:textId="77777777" w:rsidR="00B0005F" w:rsidRPr="008A2411" w:rsidRDefault="00000000">
      <w:pPr>
        <w:pStyle w:val="afffffffffffffffffffff0"/>
        <w:ind w:firstLine="480"/>
        <w:rPr>
          <w:color w:val="000000" w:themeColor="text1"/>
        </w:rPr>
      </w:pPr>
      <w:r w:rsidRPr="008A2411">
        <w:rPr>
          <w:color w:val="000000" w:themeColor="text1"/>
        </w:rPr>
        <w:t>（</w:t>
      </w:r>
      <w:r w:rsidRPr="008A2411">
        <w:rPr>
          <w:color w:val="000000" w:themeColor="text1"/>
        </w:rPr>
        <w:t>1</w:t>
      </w:r>
      <w:r w:rsidRPr="008A2411">
        <w:rPr>
          <w:color w:val="000000" w:themeColor="text1"/>
        </w:rPr>
        <w:t>）监测点布设</w:t>
      </w:r>
    </w:p>
    <w:p w14:paraId="5499754A" w14:textId="77777777" w:rsidR="00B0005F" w:rsidRPr="008A2411" w:rsidRDefault="00000000">
      <w:pPr>
        <w:pStyle w:val="afffffffffffffffffffff0"/>
        <w:ind w:firstLine="480"/>
        <w:rPr>
          <w:color w:val="000000" w:themeColor="text1"/>
        </w:rPr>
      </w:pPr>
      <w:r w:rsidRPr="008A2411">
        <w:rPr>
          <w:color w:val="000000" w:themeColor="text1"/>
        </w:rPr>
        <w:t>根据项目工程特点的具体情况，本次评价特征因子硫化氢、非甲烷总烃引用《地下浅层卤水及锂钾综合开发（一期）中试试验建设项目》中的监测数据（</w:t>
      </w:r>
      <w:proofErr w:type="gramStart"/>
      <w:r w:rsidRPr="008A2411">
        <w:rPr>
          <w:color w:val="000000" w:themeColor="text1"/>
        </w:rPr>
        <w:t>达州恒</w:t>
      </w:r>
      <w:proofErr w:type="gramEnd"/>
      <w:r w:rsidRPr="008A2411">
        <w:rPr>
          <w:color w:val="000000" w:themeColor="text1"/>
        </w:rPr>
        <w:t>福环境监测服务有限公司，恒</w:t>
      </w:r>
      <w:proofErr w:type="gramStart"/>
      <w:r w:rsidRPr="008A2411">
        <w:rPr>
          <w:color w:val="000000" w:themeColor="text1"/>
        </w:rPr>
        <w:t>福环检</w:t>
      </w:r>
      <w:proofErr w:type="gramEnd"/>
      <w:r w:rsidRPr="008A2411">
        <w:rPr>
          <w:color w:val="000000" w:themeColor="text1"/>
        </w:rPr>
        <w:t>[2021]</w:t>
      </w:r>
      <w:r w:rsidRPr="008A2411">
        <w:rPr>
          <w:color w:val="000000" w:themeColor="text1"/>
        </w:rPr>
        <w:t>第</w:t>
      </w:r>
      <w:r w:rsidRPr="008A2411">
        <w:rPr>
          <w:color w:val="000000" w:themeColor="text1"/>
        </w:rPr>
        <w:t>30412</w:t>
      </w:r>
      <w:r w:rsidRPr="008A2411">
        <w:rPr>
          <w:color w:val="000000" w:themeColor="text1"/>
        </w:rPr>
        <w:t>号；项目编号：</w:t>
      </w:r>
      <w:r w:rsidRPr="008A2411">
        <w:rPr>
          <w:color w:val="000000" w:themeColor="text1"/>
        </w:rPr>
        <w:t>DZHFHJJCFWYXGS678-0001</w:t>
      </w:r>
      <w:r w:rsidRPr="008A2411">
        <w:rPr>
          <w:color w:val="000000" w:themeColor="text1"/>
        </w:rPr>
        <w:t>）。该监测点</w:t>
      </w:r>
      <w:proofErr w:type="gramStart"/>
      <w:r w:rsidRPr="008A2411">
        <w:rPr>
          <w:color w:val="000000" w:themeColor="text1"/>
        </w:rPr>
        <w:t>位位于</w:t>
      </w:r>
      <w:proofErr w:type="gramEnd"/>
      <w:r w:rsidRPr="008A2411">
        <w:rPr>
          <w:color w:val="000000" w:themeColor="text1"/>
        </w:rPr>
        <w:t>该项目厂区内，位于本项目西南侧约</w:t>
      </w:r>
      <w:r w:rsidRPr="008A2411">
        <w:rPr>
          <w:color w:val="000000" w:themeColor="text1"/>
        </w:rPr>
        <w:t>1.8km</w:t>
      </w:r>
      <w:r w:rsidRPr="008A2411">
        <w:rPr>
          <w:color w:val="000000" w:themeColor="text1"/>
        </w:rPr>
        <w:t>。该点监测时间为</w:t>
      </w:r>
      <w:r w:rsidRPr="008A2411">
        <w:rPr>
          <w:color w:val="000000" w:themeColor="text1"/>
        </w:rPr>
        <w:t>2021</w:t>
      </w:r>
      <w:r w:rsidRPr="008A2411">
        <w:rPr>
          <w:color w:val="000000" w:themeColor="text1"/>
        </w:rPr>
        <w:t>年</w:t>
      </w:r>
      <w:r w:rsidRPr="008A2411">
        <w:rPr>
          <w:color w:val="000000" w:themeColor="text1"/>
        </w:rPr>
        <w:t>3</w:t>
      </w:r>
      <w:r w:rsidRPr="008A2411">
        <w:rPr>
          <w:color w:val="000000" w:themeColor="text1"/>
        </w:rPr>
        <w:t>月</w:t>
      </w:r>
      <w:r w:rsidRPr="008A2411">
        <w:rPr>
          <w:color w:val="000000" w:themeColor="text1"/>
        </w:rPr>
        <w:t>24~3.30</w:t>
      </w:r>
      <w:r w:rsidRPr="008A2411">
        <w:rPr>
          <w:color w:val="000000" w:themeColor="text1"/>
        </w:rPr>
        <w:t>日，自采样监测以来，所在区域空气质量变化不大。</w:t>
      </w:r>
    </w:p>
    <w:p w14:paraId="1E356895" w14:textId="77777777" w:rsidR="00B0005F" w:rsidRPr="008A2411" w:rsidRDefault="00000000">
      <w:pPr>
        <w:pStyle w:val="afffffffffffffffffffff0"/>
        <w:ind w:firstLine="480"/>
        <w:rPr>
          <w:color w:val="000000" w:themeColor="text1"/>
        </w:rPr>
      </w:pPr>
      <w:r w:rsidRPr="008A2411">
        <w:rPr>
          <w:color w:val="000000" w:themeColor="text1"/>
        </w:rPr>
        <w:t>共布设</w:t>
      </w:r>
      <w:r w:rsidRPr="008A2411">
        <w:rPr>
          <w:color w:val="000000" w:themeColor="text1"/>
        </w:rPr>
        <w:t>2</w:t>
      </w:r>
      <w:r w:rsidRPr="008A2411">
        <w:rPr>
          <w:color w:val="000000" w:themeColor="text1"/>
        </w:rPr>
        <w:t>个大气环境监测点。</w:t>
      </w:r>
    </w:p>
    <w:p w14:paraId="01F9E7A9" w14:textId="77777777" w:rsidR="00B0005F" w:rsidRPr="008A2411" w:rsidRDefault="00000000">
      <w:pPr>
        <w:pStyle w:val="afffffffffffffffffffff0"/>
        <w:ind w:firstLine="480"/>
        <w:rPr>
          <w:color w:val="000000" w:themeColor="text1"/>
        </w:rPr>
      </w:pPr>
      <w:r w:rsidRPr="008A2411">
        <w:rPr>
          <w:color w:val="000000" w:themeColor="text1"/>
        </w:rPr>
        <w:t>（</w:t>
      </w:r>
      <w:r w:rsidRPr="008A2411">
        <w:rPr>
          <w:color w:val="000000" w:themeColor="text1"/>
        </w:rPr>
        <w:t>2</w:t>
      </w:r>
      <w:r w:rsidRPr="008A2411">
        <w:rPr>
          <w:color w:val="000000" w:themeColor="text1"/>
        </w:rPr>
        <w:t>）监测项目：硫化氢、非甲烷总烃。</w:t>
      </w:r>
    </w:p>
    <w:p w14:paraId="6B38F577" w14:textId="77777777" w:rsidR="00B0005F" w:rsidRPr="008A2411" w:rsidRDefault="00000000">
      <w:pPr>
        <w:pStyle w:val="afffffffffffffffffffff0"/>
        <w:ind w:firstLine="480"/>
        <w:rPr>
          <w:color w:val="000000" w:themeColor="text1"/>
        </w:rPr>
      </w:pPr>
      <w:r w:rsidRPr="008A2411">
        <w:rPr>
          <w:color w:val="000000" w:themeColor="text1"/>
        </w:rPr>
        <w:t>（</w:t>
      </w:r>
      <w:r w:rsidRPr="008A2411">
        <w:rPr>
          <w:color w:val="000000" w:themeColor="text1"/>
        </w:rPr>
        <w:t>3</w:t>
      </w:r>
      <w:r w:rsidRPr="008A2411">
        <w:rPr>
          <w:color w:val="000000" w:themeColor="text1"/>
        </w:rPr>
        <w:t>）监测频次：连续采样</w:t>
      </w:r>
      <w:r w:rsidRPr="008A2411">
        <w:rPr>
          <w:color w:val="000000" w:themeColor="text1"/>
        </w:rPr>
        <w:t>7</w:t>
      </w:r>
      <w:r w:rsidRPr="008A2411">
        <w:rPr>
          <w:color w:val="000000" w:themeColor="text1"/>
        </w:rPr>
        <w:t>天。</w:t>
      </w:r>
    </w:p>
    <w:p w14:paraId="032DC37B" w14:textId="77777777" w:rsidR="00B0005F" w:rsidRPr="008A2411" w:rsidRDefault="00000000">
      <w:pPr>
        <w:pStyle w:val="afffffffffffffffffffff0"/>
        <w:ind w:firstLine="480"/>
        <w:rPr>
          <w:color w:val="000000" w:themeColor="text1"/>
        </w:rPr>
      </w:pPr>
      <w:r w:rsidRPr="008A2411">
        <w:rPr>
          <w:color w:val="000000" w:themeColor="text1"/>
        </w:rPr>
        <w:t>（</w:t>
      </w:r>
      <w:r w:rsidRPr="008A2411">
        <w:rPr>
          <w:color w:val="000000" w:themeColor="text1"/>
        </w:rPr>
        <w:t>4</w:t>
      </w:r>
      <w:r w:rsidRPr="008A2411">
        <w:rPr>
          <w:color w:val="000000" w:themeColor="text1"/>
        </w:rPr>
        <w:t>）采样及分析方法</w:t>
      </w:r>
    </w:p>
    <w:p w14:paraId="0DB109CC" w14:textId="77777777" w:rsidR="00B0005F" w:rsidRPr="008A2411" w:rsidRDefault="00000000">
      <w:pPr>
        <w:pStyle w:val="afffffffffffffffffffff0"/>
        <w:ind w:firstLine="480"/>
        <w:rPr>
          <w:color w:val="000000" w:themeColor="text1"/>
        </w:rPr>
      </w:pPr>
      <w:r w:rsidRPr="008A2411">
        <w:rPr>
          <w:color w:val="000000" w:themeColor="text1"/>
        </w:rPr>
        <w:t>采样及分析方法按国家有关规定进行。</w:t>
      </w:r>
    </w:p>
    <w:p w14:paraId="5BD18EDB" w14:textId="77777777" w:rsidR="00B0005F" w:rsidRPr="008A2411" w:rsidRDefault="00000000">
      <w:pPr>
        <w:pStyle w:val="afffffffffffffffffffff0"/>
        <w:ind w:firstLine="480"/>
        <w:rPr>
          <w:color w:val="000000" w:themeColor="text1"/>
        </w:rPr>
      </w:pPr>
      <w:r w:rsidRPr="008A2411">
        <w:rPr>
          <w:color w:val="000000" w:themeColor="text1"/>
        </w:rPr>
        <w:t>（</w:t>
      </w:r>
      <w:r w:rsidRPr="008A2411">
        <w:rPr>
          <w:color w:val="000000" w:themeColor="text1"/>
        </w:rPr>
        <w:t>5</w:t>
      </w:r>
      <w:r w:rsidRPr="008A2411">
        <w:rPr>
          <w:color w:val="000000" w:themeColor="text1"/>
        </w:rPr>
        <w:t>）评价标准</w:t>
      </w:r>
    </w:p>
    <w:p w14:paraId="11625DCC" w14:textId="77777777" w:rsidR="00B0005F" w:rsidRPr="008A2411" w:rsidRDefault="00000000">
      <w:pPr>
        <w:pStyle w:val="afffffffffffffffffffff0"/>
        <w:ind w:firstLine="480"/>
        <w:rPr>
          <w:color w:val="000000" w:themeColor="text1"/>
        </w:rPr>
      </w:pPr>
      <w:r w:rsidRPr="008A2411">
        <w:rPr>
          <w:color w:val="000000" w:themeColor="text1"/>
        </w:rPr>
        <w:lastRenderedPageBreak/>
        <w:t>本次非甲烷总烃环境质量现状评价，执行标准采用《大气污染物综合排放标准详解》浓度限值</w:t>
      </w:r>
      <w:r w:rsidRPr="008A2411">
        <w:rPr>
          <w:color w:val="000000" w:themeColor="text1"/>
        </w:rPr>
        <w:t>2.0mg/m</w:t>
      </w:r>
      <w:r w:rsidRPr="008A2411">
        <w:rPr>
          <w:color w:val="000000" w:themeColor="text1"/>
          <w:vertAlign w:val="superscript"/>
        </w:rPr>
        <w:t>3</w:t>
      </w:r>
      <w:r w:rsidRPr="008A2411">
        <w:rPr>
          <w:color w:val="000000" w:themeColor="text1"/>
        </w:rPr>
        <w:t>；硫化氢环境质量现状评价，执行标准采用《环境影响评价技术导则大气环境》（</w:t>
      </w:r>
      <w:r w:rsidRPr="008A2411">
        <w:rPr>
          <w:color w:val="000000" w:themeColor="text1"/>
        </w:rPr>
        <w:t>HJ2.2-2018</w:t>
      </w:r>
      <w:r w:rsidRPr="008A2411">
        <w:rPr>
          <w:color w:val="000000" w:themeColor="text1"/>
        </w:rPr>
        <w:t>）中附录</w:t>
      </w:r>
      <w:r w:rsidRPr="008A2411">
        <w:rPr>
          <w:color w:val="000000" w:themeColor="text1"/>
        </w:rPr>
        <w:t>D</w:t>
      </w:r>
      <w:r w:rsidRPr="008A2411">
        <w:rPr>
          <w:color w:val="000000" w:themeColor="text1"/>
        </w:rPr>
        <w:t>浓度限值</w:t>
      </w:r>
      <w:r w:rsidRPr="008A2411">
        <w:rPr>
          <w:color w:val="000000" w:themeColor="text1"/>
        </w:rPr>
        <w:t>10μg/m</w:t>
      </w:r>
      <w:r w:rsidRPr="008A2411">
        <w:rPr>
          <w:color w:val="000000" w:themeColor="text1"/>
          <w:vertAlign w:val="superscript"/>
        </w:rPr>
        <w:t>3</w:t>
      </w:r>
      <w:r w:rsidRPr="008A2411">
        <w:rPr>
          <w:color w:val="000000" w:themeColor="text1"/>
        </w:rPr>
        <w:t>。</w:t>
      </w:r>
    </w:p>
    <w:p w14:paraId="05B526B7" w14:textId="77777777" w:rsidR="00B0005F" w:rsidRPr="008A2411" w:rsidRDefault="00000000">
      <w:pPr>
        <w:pStyle w:val="afffffffffffffffffffff0"/>
        <w:ind w:firstLine="480"/>
        <w:rPr>
          <w:color w:val="000000" w:themeColor="text1"/>
        </w:rPr>
      </w:pPr>
      <w:r w:rsidRPr="008A2411">
        <w:rPr>
          <w:color w:val="000000" w:themeColor="text1"/>
        </w:rPr>
        <w:t>（</w:t>
      </w:r>
      <w:r w:rsidRPr="008A2411">
        <w:rPr>
          <w:color w:val="000000" w:themeColor="text1"/>
        </w:rPr>
        <w:t>6</w:t>
      </w:r>
      <w:r w:rsidRPr="008A2411">
        <w:rPr>
          <w:color w:val="000000" w:themeColor="text1"/>
        </w:rPr>
        <w:t>）评价方法</w:t>
      </w:r>
    </w:p>
    <w:p w14:paraId="119AF886" w14:textId="77777777" w:rsidR="00B0005F" w:rsidRPr="008A2411" w:rsidRDefault="00000000">
      <w:pPr>
        <w:pStyle w:val="afffffffffffffffffffff0"/>
        <w:ind w:firstLine="480"/>
        <w:rPr>
          <w:color w:val="000000" w:themeColor="text1"/>
        </w:rPr>
      </w:pPr>
      <w:r w:rsidRPr="008A2411">
        <w:rPr>
          <w:color w:val="000000" w:themeColor="text1"/>
        </w:rPr>
        <w:t>根据《环境影响评价技术导则大气环境》（</w:t>
      </w:r>
      <w:r w:rsidRPr="008A2411">
        <w:rPr>
          <w:color w:val="000000" w:themeColor="text1"/>
        </w:rPr>
        <w:t>HJ2.2-2018</w:t>
      </w:r>
      <w:r w:rsidRPr="008A2411">
        <w:rPr>
          <w:color w:val="000000" w:themeColor="text1"/>
        </w:rPr>
        <w:t>），采用最大监测浓度占标率对评价区域大气环境质量现状进行评价，评价模式如下：</w:t>
      </w:r>
    </w:p>
    <w:p w14:paraId="013CEF72" w14:textId="77777777" w:rsidR="00B0005F" w:rsidRPr="008A2411" w:rsidRDefault="00000000">
      <w:pPr>
        <w:pStyle w:val="afffffffffffffffffffff0"/>
        <w:ind w:firstLine="480"/>
        <w:rPr>
          <w:color w:val="000000" w:themeColor="text1"/>
        </w:rPr>
      </w:pPr>
      <m:oMathPara>
        <m:oMath>
          <m:sSub>
            <m:sSubPr>
              <m:ctrlPr>
                <w:rPr>
                  <w:rFonts w:ascii="Cambria Math" w:hAnsi="Cambria Math"/>
                  <w:color w:val="000000" w:themeColor="text1"/>
                  <w:kern w:val="2"/>
                </w:rPr>
              </m:ctrlPr>
            </m:sSubPr>
            <m:e>
              <m:r>
                <m:rPr>
                  <m:sty m:val="p"/>
                </m:rPr>
                <w:rPr>
                  <w:rFonts w:ascii="Cambria Math" w:hAnsi="Cambria Math"/>
                  <w:color w:val="000000" w:themeColor="text1"/>
                </w:rPr>
                <m:t>P</m:t>
              </m:r>
            </m:e>
            <m:sub>
              <m:r>
                <m:rPr>
                  <m:sty m:val="p"/>
                </m:rPr>
                <w:rPr>
                  <w:rFonts w:ascii="Cambria Math" w:hAnsi="Cambria Math"/>
                  <w:color w:val="000000" w:themeColor="text1"/>
                </w:rPr>
                <m:t>i</m:t>
              </m:r>
            </m:sub>
          </m:sSub>
          <m:r>
            <m:rPr>
              <m:sty m:val="p"/>
            </m:rPr>
            <w:rPr>
              <w:rFonts w:ascii="Cambria Math" w:hAnsi="Cambria Math"/>
              <w:color w:val="000000" w:themeColor="text1"/>
            </w:rPr>
            <m:t>=</m:t>
          </m:r>
          <m:f>
            <m:fPr>
              <m:ctrlPr>
                <w:rPr>
                  <w:rFonts w:ascii="Cambria Math" w:hAnsi="Cambria Math"/>
                  <w:color w:val="000000" w:themeColor="text1"/>
                  <w:kern w:val="2"/>
                </w:rPr>
              </m:ctrlPr>
            </m:fPr>
            <m:num>
              <m:sSub>
                <m:sSubPr>
                  <m:ctrlPr>
                    <w:rPr>
                      <w:rFonts w:ascii="Cambria Math" w:hAnsi="Cambria Math"/>
                      <w:color w:val="000000" w:themeColor="text1"/>
                      <w:kern w:val="2"/>
                    </w:rPr>
                  </m:ctrlPr>
                </m:sSubPr>
                <m:e>
                  <m:r>
                    <m:rPr>
                      <m:sty m:val="p"/>
                    </m:rPr>
                    <w:rPr>
                      <w:rFonts w:ascii="Cambria Math" w:hAnsi="Cambria Math"/>
                      <w:color w:val="000000" w:themeColor="text1"/>
                    </w:rPr>
                    <m:t>C</m:t>
                  </m:r>
                </m:e>
                <m:sub>
                  <m:r>
                    <m:rPr>
                      <m:sty m:val="p"/>
                    </m:rPr>
                    <w:rPr>
                      <w:rFonts w:ascii="Cambria Math" w:hAnsi="Cambria Math"/>
                      <w:color w:val="000000" w:themeColor="text1"/>
                    </w:rPr>
                    <m:t>i</m:t>
                  </m:r>
                </m:sub>
              </m:sSub>
            </m:num>
            <m:den>
              <m:sSub>
                <m:sSubPr>
                  <m:ctrlPr>
                    <w:rPr>
                      <w:rFonts w:ascii="Cambria Math" w:hAnsi="Cambria Math"/>
                      <w:color w:val="000000" w:themeColor="text1"/>
                      <w:kern w:val="2"/>
                    </w:rPr>
                  </m:ctrlPr>
                </m:sSubPr>
                <m:e>
                  <m:r>
                    <m:rPr>
                      <m:sty m:val="p"/>
                    </m:rPr>
                    <w:rPr>
                      <w:rFonts w:ascii="Cambria Math" w:hAnsi="Cambria Math"/>
                      <w:color w:val="000000" w:themeColor="text1"/>
                    </w:rPr>
                    <m:t>C</m:t>
                  </m:r>
                </m:e>
                <m:sub>
                  <m:r>
                    <m:rPr>
                      <m:sty m:val="p"/>
                    </m:rPr>
                    <w:rPr>
                      <w:rFonts w:ascii="Cambria Math" w:hAnsi="Cambria Math"/>
                      <w:color w:val="000000" w:themeColor="text1"/>
                    </w:rPr>
                    <m:t>oi</m:t>
                  </m:r>
                </m:sub>
              </m:sSub>
              <m:ctrlPr>
                <w:rPr>
                  <w:rFonts w:ascii="Cambria Math" w:hAnsi="Cambria Math"/>
                  <w:i/>
                  <w:color w:val="000000" w:themeColor="text1"/>
                  <w:kern w:val="2"/>
                </w:rPr>
              </m:ctrlPr>
            </m:den>
          </m:f>
          <m:r>
            <m:rPr>
              <m:sty m:val="p"/>
            </m:rPr>
            <w:rPr>
              <w:rFonts w:ascii="Cambria Math" w:hAnsi="Cambria Math"/>
              <w:color w:val="000000" w:themeColor="text1"/>
            </w:rPr>
            <m:t>×100%</m:t>
          </m:r>
        </m:oMath>
      </m:oMathPara>
    </w:p>
    <w:p w14:paraId="04E4312D" w14:textId="77777777" w:rsidR="00B0005F" w:rsidRPr="008A2411" w:rsidRDefault="00000000">
      <w:pPr>
        <w:pStyle w:val="afffffffffffffffffffff0"/>
        <w:ind w:firstLine="480"/>
        <w:rPr>
          <w:color w:val="000000" w:themeColor="text1"/>
        </w:rPr>
      </w:pPr>
      <w:r w:rsidRPr="008A2411">
        <w:rPr>
          <w:color w:val="000000" w:themeColor="text1"/>
        </w:rPr>
        <w:t>P</w:t>
      </w:r>
      <w:r w:rsidRPr="008A2411">
        <w:rPr>
          <w:color w:val="000000" w:themeColor="text1"/>
          <w:sz w:val="16"/>
          <w:szCs w:val="16"/>
        </w:rPr>
        <w:t>i</w:t>
      </w:r>
      <w:r w:rsidRPr="008A2411">
        <w:rPr>
          <w:color w:val="000000" w:themeColor="text1"/>
        </w:rPr>
        <w:t>——</w:t>
      </w:r>
      <w:r w:rsidRPr="008A2411">
        <w:rPr>
          <w:color w:val="000000" w:themeColor="text1"/>
        </w:rPr>
        <w:t>为第</w:t>
      </w:r>
      <w:r w:rsidRPr="008A2411">
        <w:rPr>
          <w:color w:val="000000" w:themeColor="text1"/>
        </w:rPr>
        <w:t>i</w:t>
      </w:r>
      <w:proofErr w:type="gramStart"/>
      <w:r w:rsidRPr="008A2411">
        <w:rPr>
          <w:color w:val="000000" w:themeColor="text1"/>
        </w:rPr>
        <w:t>个</w:t>
      </w:r>
      <w:proofErr w:type="gramEnd"/>
      <w:r w:rsidRPr="008A2411">
        <w:rPr>
          <w:color w:val="000000" w:themeColor="text1"/>
        </w:rPr>
        <w:t>污染物的最大监测浓度占标率，</w:t>
      </w:r>
      <w:r w:rsidRPr="008A2411">
        <w:rPr>
          <w:color w:val="000000" w:themeColor="text1"/>
        </w:rPr>
        <w:t>%</w:t>
      </w:r>
      <w:r w:rsidRPr="008A2411">
        <w:rPr>
          <w:color w:val="000000" w:themeColor="text1"/>
        </w:rPr>
        <w:t>；</w:t>
      </w:r>
    </w:p>
    <w:p w14:paraId="413F3BC0" w14:textId="77777777" w:rsidR="00B0005F" w:rsidRPr="008A2411" w:rsidRDefault="00000000">
      <w:pPr>
        <w:pStyle w:val="afffffffffffffffffffff0"/>
        <w:ind w:firstLine="480"/>
        <w:rPr>
          <w:color w:val="000000" w:themeColor="text1"/>
        </w:rPr>
      </w:pPr>
      <w:r w:rsidRPr="008A2411">
        <w:rPr>
          <w:color w:val="000000" w:themeColor="text1"/>
        </w:rPr>
        <w:t>C</w:t>
      </w:r>
      <w:r w:rsidRPr="008A2411">
        <w:rPr>
          <w:color w:val="000000" w:themeColor="text1"/>
          <w:sz w:val="16"/>
          <w:szCs w:val="16"/>
        </w:rPr>
        <w:t>i</w:t>
      </w:r>
      <w:r w:rsidRPr="008A2411">
        <w:rPr>
          <w:color w:val="000000" w:themeColor="text1"/>
        </w:rPr>
        <w:t>——</w:t>
      </w:r>
      <w:r w:rsidRPr="008A2411">
        <w:rPr>
          <w:color w:val="000000" w:themeColor="text1"/>
        </w:rPr>
        <w:t>为第</w:t>
      </w:r>
      <w:r w:rsidRPr="008A2411">
        <w:rPr>
          <w:color w:val="000000" w:themeColor="text1"/>
        </w:rPr>
        <w:t>i</w:t>
      </w:r>
      <w:proofErr w:type="gramStart"/>
      <w:r w:rsidRPr="008A2411">
        <w:rPr>
          <w:color w:val="000000" w:themeColor="text1"/>
        </w:rPr>
        <w:t>个</w:t>
      </w:r>
      <w:proofErr w:type="gramEnd"/>
      <w:r w:rsidRPr="008A2411">
        <w:rPr>
          <w:color w:val="000000" w:themeColor="text1"/>
        </w:rPr>
        <w:t>污染因子的最大实测浓度（</w:t>
      </w:r>
      <w:r w:rsidRPr="008A2411">
        <w:rPr>
          <w:color w:val="000000" w:themeColor="text1"/>
        </w:rPr>
        <w:t>mg/m</w:t>
      </w:r>
      <w:r w:rsidRPr="008A2411">
        <w:rPr>
          <w:color w:val="000000" w:themeColor="text1"/>
          <w:vertAlign w:val="superscript"/>
        </w:rPr>
        <w:t>3</w:t>
      </w:r>
      <w:r w:rsidRPr="008A2411">
        <w:rPr>
          <w:color w:val="000000" w:themeColor="text1"/>
        </w:rPr>
        <w:t>）；</w:t>
      </w:r>
    </w:p>
    <w:p w14:paraId="31E41BA1" w14:textId="77777777" w:rsidR="00B0005F" w:rsidRPr="008A2411" w:rsidRDefault="00000000">
      <w:pPr>
        <w:pStyle w:val="afffffffffffffffffffff0"/>
        <w:ind w:firstLine="480"/>
        <w:rPr>
          <w:color w:val="000000" w:themeColor="text1"/>
        </w:rPr>
      </w:pPr>
      <w:r w:rsidRPr="008A2411">
        <w:rPr>
          <w:color w:val="000000" w:themeColor="text1"/>
        </w:rPr>
        <w:t>C</w:t>
      </w:r>
      <w:r w:rsidRPr="008A2411">
        <w:rPr>
          <w:color w:val="000000" w:themeColor="text1"/>
          <w:sz w:val="16"/>
          <w:szCs w:val="16"/>
        </w:rPr>
        <w:t>oi</w:t>
      </w:r>
      <w:r w:rsidRPr="008A2411">
        <w:rPr>
          <w:color w:val="000000" w:themeColor="text1"/>
        </w:rPr>
        <w:t>——</w:t>
      </w:r>
      <w:r w:rsidRPr="008A2411">
        <w:rPr>
          <w:color w:val="000000" w:themeColor="text1"/>
        </w:rPr>
        <w:t>为第</w:t>
      </w:r>
      <w:r w:rsidRPr="008A2411">
        <w:rPr>
          <w:color w:val="000000" w:themeColor="text1"/>
        </w:rPr>
        <w:t>i</w:t>
      </w:r>
      <w:proofErr w:type="gramStart"/>
      <w:r w:rsidRPr="008A2411">
        <w:rPr>
          <w:color w:val="000000" w:themeColor="text1"/>
        </w:rPr>
        <w:t>个</w:t>
      </w:r>
      <w:proofErr w:type="gramEnd"/>
      <w:r w:rsidRPr="008A2411">
        <w:rPr>
          <w:color w:val="000000" w:themeColor="text1"/>
        </w:rPr>
        <w:t>污染物相对应的评价标准（</w:t>
      </w:r>
      <w:r w:rsidRPr="008A2411">
        <w:rPr>
          <w:color w:val="000000" w:themeColor="text1"/>
        </w:rPr>
        <w:t>mg/m</w:t>
      </w:r>
      <w:r w:rsidRPr="008A2411">
        <w:rPr>
          <w:color w:val="000000" w:themeColor="text1"/>
          <w:vertAlign w:val="superscript"/>
        </w:rPr>
        <w:t>3</w:t>
      </w:r>
      <w:r w:rsidRPr="008A2411">
        <w:rPr>
          <w:color w:val="000000" w:themeColor="text1"/>
        </w:rPr>
        <w:t>）。</w:t>
      </w:r>
    </w:p>
    <w:p w14:paraId="1704B207" w14:textId="77777777" w:rsidR="00B0005F" w:rsidRPr="008A2411" w:rsidRDefault="00000000">
      <w:pPr>
        <w:pStyle w:val="afffffffffffffffffffff0"/>
        <w:ind w:firstLine="480"/>
        <w:rPr>
          <w:color w:val="000000" w:themeColor="text1"/>
        </w:rPr>
      </w:pPr>
      <w:r w:rsidRPr="008A2411">
        <w:rPr>
          <w:color w:val="000000" w:themeColor="text1"/>
        </w:rPr>
        <w:t>根据</w:t>
      </w:r>
      <w:r w:rsidRPr="008A2411">
        <w:rPr>
          <w:color w:val="000000" w:themeColor="text1"/>
        </w:rPr>
        <w:t>HJ2.2-2018</w:t>
      </w:r>
      <w:r w:rsidRPr="008A2411">
        <w:rPr>
          <w:color w:val="000000" w:themeColor="text1"/>
        </w:rPr>
        <w:t>，现状监测结果以列表的方式给出各监测点大气污染物的不同取值时间的变化范围，并给出各取值时间最大浓度值占相应标准浓度限值的百分比和超标率，并评价达标情况。</w:t>
      </w:r>
    </w:p>
    <w:p w14:paraId="2A2E7569" w14:textId="77777777" w:rsidR="00B0005F" w:rsidRPr="008A2411" w:rsidRDefault="00000000">
      <w:pPr>
        <w:pStyle w:val="afffffffffffffffffffff0"/>
        <w:ind w:firstLine="480"/>
        <w:rPr>
          <w:color w:val="000000" w:themeColor="text1"/>
        </w:rPr>
      </w:pPr>
      <w:bookmarkStart w:id="255" w:name="_Toc19816016"/>
      <w:bookmarkStart w:id="256" w:name="_Toc12288568"/>
      <w:r w:rsidRPr="008A2411">
        <w:rPr>
          <w:color w:val="000000" w:themeColor="text1"/>
        </w:rPr>
        <w:t>（</w:t>
      </w:r>
      <w:r w:rsidRPr="008A2411">
        <w:rPr>
          <w:color w:val="000000" w:themeColor="text1"/>
        </w:rPr>
        <w:t>7</w:t>
      </w:r>
      <w:r w:rsidRPr="008A2411">
        <w:rPr>
          <w:color w:val="000000" w:themeColor="text1"/>
        </w:rPr>
        <w:t>）监测结果及评价结论</w:t>
      </w:r>
    </w:p>
    <w:p w14:paraId="535AFFD4" w14:textId="77777777" w:rsidR="00B0005F" w:rsidRPr="008A2411" w:rsidRDefault="00000000">
      <w:pPr>
        <w:widowControl/>
        <w:jc w:val="center"/>
        <w:rPr>
          <w:rFonts w:ascii="Times New Roman" w:eastAsia="黑体"/>
          <w:color w:val="000000" w:themeColor="text1"/>
          <w:szCs w:val="24"/>
        </w:rPr>
      </w:pPr>
      <w:r w:rsidRPr="008A2411">
        <w:rPr>
          <w:rFonts w:ascii="Times New Roman" w:eastAsia="黑体"/>
          <w:color w:val="000000" w:themeColor="text1"/>
          <w:szCs w:val="24"/>
        </w:rPr>
        <w:t>表</w:t>
      </w:r>
      <w:r w:rsidRPr="008A2411">
        <w:rPr>
          <w:rFonts w:ascii="Times New Roman" w:eastAsia="黑体"/>
          <w:color w:val="000000" w:themeColor="text1"/>
          <w:szCs w:val="24"/>
        </w:rPr>
        <w:t xml:space="preserve">4.3-1  </w:t>
      </w:r>
      <w:r w:rsidRPr="008A2411">
        <w:rPr>
          <w:rFonts w:ascii="Times New Roman" w:eastAsia="黑体"/>
          <w:color w:val="000000" w:themeColor="text1"/>
          <w:szCs w:val="24"/>
        </w:rPr>
        <w:t>环境空气质量现状监测结果</w:t>
      </w:r>
      <w:r w:rsidRPr="008A2411">
        <w:rPr>
          <w:rFonts w:ascii="Times New Roman" w:eastAsia="黑体"/>
          <w:color w:val="000000" w:themeColor="text1"/>
          <w:szCs w:val="24"/>
        </w:rPr>
        <w:t xml:space="preserve">    </w:t>
      </w:r>
      <w:r w:rsidRPr="008A2411">
        <w:rPr>
          <w:rFonts w:ascii="Times New Roman" w:eastAsia="黑体"/>
          <w:color w:val="000000" w:themeColor="text1"/>
          <w:szCs w:val="24"/>
        </w:rPr>
        <w:t>单位：</w:t>
      </w:r>
      <w:r w:rsidRPr="008A2411">
        <w:rPr>
          <w:rFonts w:ascii="Times New Roman" w:eastAsia="黑体"/>
          <w:color w:val="000000" w:themeColor="text1"/>
          <w:szCs w:val="24"/>
        </w:rPr>
        <w:t>μg/m</w:t>
      </w:r>
      <w:r w:rsidRPr="008A2411">
        <w:rPr>
          <w:rFonts w:ascii="Times New Roman" w:eastAsia="黑体"/>
          <w:color w:val="000000" w:themeColor="text1"/>
          <w:szCs w:val="24"/>
          <w:vertAlign w:val="superscript"/>
        </w:rPr>
        <w:t>3</w:t>
      </w:r>
    </w:p>
    <w:tbl>
      <w:tblPr>
        <w:tblW w:w="499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9"/>
        <w:gridCol w:w="1003"/>
        <w:gridCol w:w="1332"/>
        <w:gridCol w:w="986"/>
        <w:gridCol w:w="1000"/>
        <w:gridCol w:w="1589"/>
        <w:gridCol w:w="1628"/>
      </w:tblGrid>
      <w:tr w:rsidR="008A2411" w:rsidRPr="008A2411" w14:paraId="55D450BF" w14:textId="77777777">
        <w:trPr>
          <w:trHeight w:val="285"/>
          <w:tblHeader/>
          <w:jc w:val="center"/>
        </w:trPr>
        <w:tc>
          <w:tcPr>
            <w:tcW w:w="574" w:type="pct"/>
            <w:vAlign w:val="center"/>
          </w:tcPr>
          <w:p w14:paraId="65155B2E" w14:textId="77777777" w:rsidR="00B0005F" w:rsidRPr="008A2411" w:rsidRDefault="00000000">
            <w:pPr>
              <w:spacing w:line="260" w:lineRule="exact"/>
              <w:jc w:val="center"/>
              <w:rPr>
                <w:rFonts w:ascii="Times New Roman"/>
                <w:color w:val="000000" w:themeColor="text1"/>
                <w:sz w:val="21"/>
                <w:szCs w:val="21"/>
              </w:rPr>
            </w:pPr>
            <w:r w:rsidRPr="008A2411">
              <w:rPr>
                <w:rFonts w:ascii="Times New Roman"/>
                <w:color w:val="000000" w:themeColor="text1"/>
                <w:sz w:val="21"/>
                <w:szCs w:val="21"/>
              </w:rPr>
              <w:t>点位</w:t>
            </w:r>
          </w:p>
        </w:tc>
        <w:tc>
          <w:tcPr>
            <w:tcW w:w="588" w:type="pct"/>
            <w:vAlign w:val="center"/>
          </w:tcPr>
          <w:p w14:paraId="7F57D484" w14:textId="77777777" w:rsidR="00B0005F" w:rsidRPr="008A2411" w:rsidRDefault="00000000">
            <w:pPr>
              <w:spacing w:line="260" w:lineRule="exact"/>
              <w:jc w:val="center"/>
              <w:rPr>
                <w:rFonts w:ascii="Times New Roman"/>
                <w:color w:val="000000" w:themeColor="text1"/>
                <w:sz w:val="21"/>
                <w:szCs w:val="21"/>
              </w:rPr>
            </w:pPr>
            <w:r w:rsidRPr="008A2411">
              <w:rPr>
                <w:rFonts w:ascii="Times New Roman"/>
                <w:color w:val="000000" w:themeColor="text1"/>
                <w:sz w:val="21"/>
                <w:szCs w:val="21"/>
              </w:rPr>
              <w:t>项目</w:t>
            </w:r>
          </w:p>
        </w:tc>
        <w:tc>
          <w:tcPr>
            <w:tcW w:w="782" w:type="pct"/>
            <w:vAlign w:val="center"/>
          </w:tcPr>
          <w:p w14:paraId="6780BFDD" w14:textId="77777777" w:rsidR="00B0005F" w:rsidRPr="008A2411" w:rsidRDefault="00000000">
            <w:pPr>
              <w:spacing w:line="260" w:lineRule="exact"/>
              <w:jc w:val="center"/>
              <w:rPr>
                <w:rFonts w:ascii="Times New Roman"/>
                <w:color w:val="000000" w:themeColor="text1"/>
                <w:sz w:val="21"/>
                <w:szCs w:val="21"/>
              </w:rPr>
            </w:pPr>
            <w:r w:rsidRPr="008A2411">
              <w:rPr>
                <w:rFonts w:ascii="Times New Roman"/>
                <w:color w:val="000000" w:themeColor="text1"/>
                <w:sz w:val="21"/>
                <w:szCs w:val="21"/>
              </w:rPr>
              <w:t>浓度范围</w:t>
            </w:r>
          </w:p>
        </w:tc>
        <w:tc>
          <w:tcPr>
            <w:tcW w:w="579" w:type="pct"/>
            <w:vAlign w:val="center"/>
          </w:tcPr>
          <w:p w14:paraId="514D817D" w14:textId="77777777" w:rsidR="00B0005F" w:rsidRPr="008A2411" w:rsidRDefault="00000000">
            <w:pPr>
              <w:spacing w:line="260" w:lineRule="exact"/>
              <w:jc w:val="center"/>
              <w:rPr>
                <w:rFonts w:ascii="Times New Roman"/>
                <w:color w:val="000000" w:themeColor="text1"/>
                <w:sz w:val="21"/>
                <w:szCs w:val="21"/>
              </w:rPr>
            </w:pPr>
            <w:r w:rsidRPr="008A2411">
              <w:rPr>
                <w:rFonts w:ascii="Times New Roman"/>
                <w:color w:val="000000" w:themeColor="text1"/>
                <w:sz w:val="21"/>
                <w:szCs w:val="21"/>
              </w:rPr>
              <w:t>最大</w:t>
            </w:r>
            <w:r w:rsidRPr="008A2411">
              <w:rPr>
                <w:rFonts w:ascii="Times New Roman"/>
                <w:color w:val="000000" w:themeColor="text1"/>
                <w:sz w:val="21"/>
                <w:szCs w:val="21"/>
              </w:rPr>
              <w:t>Pi</w:t>
            </w:r>
          </w:p>
        </w:tc>
        <w:tc>
          <w:tcPr>
            <w:tcW w:w="587" w:type="pct"/>
            <w:vAlign w:val="center"/>
          </w:tcPr>
          <w:p w14:paraId="256D6A15" w14:textId="77777777" w:rsidR="00B0005F" w:rsidRPr="008A2411" w:rsidRDefault="00000000">
            <w:pPr>
              <w:spacing w:line="260" w:lineRule="exact"/>
              <w:jc w:val="center"/>
              <w:rPr>
                <w:rFonts w:ascii="Times New Roman"/>
                <w:color w:val="000000" w:themeColor="text1"/>
                <w:sz w:val="21"/>
                <w:szCs w:val="21"/>
              </w:rPr>
            </w:pPr>
            <w:r w:rsidRPr="008A2411">
              <w:rPr>
                <w:rFonts w:ascii="Times New Roman"/>
                <w:color w:val="000000" w:themeColor="text1"/>
                <w:sz w:val="21"/>
                <w:szCs w:val="21"/>
              </w:rPr>
              <w:t>超标率</w:t>
            </w:r>
          </w:p>
        </w:tc>
        <w:tc>
          <w:tcPr>
            <w:tcW w:w="932" w:type="pct"/>
            <w:vAlign w:val="center"/>
          </w:tcPr>
          <w:p w14:paraId="718B8104" w14:textId="77777777" w:rsidR="00B0005F" w:rsidRPr="008A2411" w:rsidRDefault="00000000">
            <w:pPr>
              <w:spacing w:line="260" w:lineRule="exact"/>
              <w:jc w:val="center"/>
              <w:rPr>
                <w:rFonts w:ascii="Times New Roman"/>
                <w:color w:val="000000" w:themeColor="text1"/>
                <w:sz w:val="21"/>
                <w:szCs w:val="21"/>
              </w:rPr>
            </w:pPr>
            <w:r w:rsidRPr="008A2411">
              <w:rPr>
                <w:rFonts w:ascii="Times New Roman"/>
                <w:color w:val="000000" w:themeColor="text1"/>
                <w:sz w:val="21"/>
                <w:szCs w:val="21"/>
              </w:rPr>
              <w:t>评价标准</w:t>
            </w:r>
          </w:p>
        </w:tc>
        <w:tc>
          <w:tcPr>
            <w:tcW w:w="955" w:type="pct"/>
            <w:vAlign w:val="center"/>
          </w:tcPr>
          <w:p w14:paraId="0FE16B0B" w14:textId="77777777" w:rsidR="00B0005F" w:rsidRPr="008A2411" w:rsidRDefault="00000000">
            <w:pPr>
              <w:spacing w:line="260" w:lineRule="exact"/>
              <w:jc w:val="center"/>
              <w:rPr>
                <w:rFonts w:ascii="Times New Roman"/>
                <w:color w:val="000000" w:themeColor="text1"/>
                <w:sz w:val="21"/>
                <w:szCs w:val="21"/>
              </w:rPr>
            </w:pPr>
            <w:r w:rsidRPr="008A2411">
              <w:rPr>
                <w:rFonts w:ascii="Times New Roman"/>
                <w:color w:val="000000" w:themeColor="text1"/>
                <w:sz w:val="21"/>
                <w:szCs w:val="21"/>
              </w:rPr>
              <w:t>达标情况</w:t>
            </w:r>
          </w:p>
        </w:tc>
      </w:tr>
      <w:tr w:rsidR="008A2411" w:rsidRPr="008A2411" w14:paraId="16CC3705" w14:textId="77777777">
        <w:trPr>
          <w:trHeight w:val="525"/>
          <w:jc w:val="center"/>
        </w:trPr>
        <w:tc>
          <w:tcPr>
            <w:tcW w:w="574" w:type="pct"/>
            <w:vMerge w:val="restart"/>
            <w:vAlign w:val="center"/>
          </w:tcPr>
          <w:p w14:paraId="4D2AA1BA" w14:textId="77777777" w:rsidR="00B0005F" w:rsidRPr="008A2411" w:rsidRDefault="00000000">
            <w:pPr>
              <w:spacing w:line="260" w:lineRule="exact"/>
              <w:jc w:val="center"/>
              <w:rPr>
                <w:rFonts w:ascii="Times New Roman"/>
                <w:color w:val="000000" w:themeColor="text1"/>
                <w:sz w:val="21"/>
                <w:szCs w:val="21"/>
              </w:rPr>
            </w:pPr>
            <w:r w:rsidRPr="008A2411">
              <w:rPr>
                <w:rFonts w:ascii="Times New Roman"/>
                <w:color w:val="000000" w:themeColor="text1"/>
                <w:sz w:val="21"/>
                <w:szCs w:val="21"/>
              </w:rPr>
              <w:t>1#</w:t>
            </w:r>
            <w:r w:rsidRPr="008A2411">
              <w:rPr>
                <w:rFonts w:ascii="Times New Roman"/>
                <w:color w:val="000000" w:themeColor="text1"/>
                <w:sz w:val="21"/>
                <w:szCs w:val="21"/>
              </w:rPr>
              <w:t>项目厂区内</w:t>
            </w:r>
          </w:p>
        </w:tc>
        <w:tc>
          <w:tcPr>
            <w:tcW w:w="588" w:type="pct"/>
            <w:vAlign w:val="center"/>
          </w:tcPr>
          <w:p w14:paraId="778B3D73"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H</w:t>
            </w:r>
            <w:r w:rsidRPr="008A2411">
              <w:rPr>
                <w:rFonts w:ascii="Times New Roman"/>
                <w:color w:val="000000" w:themeColor="text1"/>
                <w:sz w:val="21"/>
                <w:szCs w:val="21"/>
                <w:vertAlign w:val="subscript"/>
              </w:rPr>
              <w:t>2</w:t>
            </w:r>
            <w:r w:rsidRPr="008A2411">
              <w:rPr>
                <w:rFonts w:ascii="Times New Roman"/>
                <w:color w:val="000000" w:themeColor="text1"/>
                <w:sz w:val="21"/>
                <w:szCs w:val="21"/>
              </w:rPr>
              <w:t>S</w:t>
            </w:r>
          </w:p>
        </w:tc>
        <w:tc>
          <w:tcPr>
            <w:tcW w:w="782" w:type="pct"/>
            <w:vAlign w:val="center"/>
          </w:tcPr>
          <w:p w14:paraId="33C15FA9" w14:textId="77777777" w:rsidR="00B0005F" w:rsidRPr="008A2411" w:rsidRDefault="00000000">
            <w:pPr>
              <w:spacing w:line="260" w:lineRule="exact"/>
              <w:jc w:val="center"/>
              <w:rPr>
                <w:rFonts w:ascii="Times New Roman"/>
                <w:color w:val="000000" w:themeColor="text1"/>
                <w:sz w:val="21"/>
                <w:szCs w:val="21"/>
              </w:rPr>
            </w:pPr>
            <w:r w:rsidRPr="008A2411">
              <w:rPr>
                <w:rFonts w:ascii="Times New Roman"/>
                <w:color w:val="000000" w:themeColor="text1"/>
                <w:sz w:val="21"/>
                <w:szCs w:val="21"/>
              </w:rPr>
              <w:t>未检出</w:t>
            </w:r>
          </w:p>
        </w:tc>
        <w:tc>
          <w:tcPr>
            <w:tcW w:w="579" w:type="pct"/>
            <w:vAlign w:val="center"/>
          </w:tcPr>
          <w:p w14:paraId="1C7FAC0A" w14:textId="77777777" w:rsidR="00B0005F" w:rsidRPr="008A2411" w:rsidRDefault="00000000">
            <w:pPr>
              <w:spacing w:line="260" w:lineRule="exact"/>
              <w:jc w:val="center"/>
              <w:rPr>
                <w:rFonts w:ascii="Times New Roman"/>
                <w:color w:val="000000" w:themeColor="text1"/>
                <w:sz w:val="21"/>
                <w:szCs w:val="21"/>
              </w:rPr>
            </w:pPr>
            <w:r w:rsidRPr="008A2411">
              <w:rPr>
                <w:rFonts w:ascii="Times New Roman"/>
                <w:color w:val="000000" w:themeColor="text1"/>
                <w:sz w:val="21"/>
                <w:szCs w:val="21"/>
              </w:rPr>
              <w:t>0.1</w:t>
            </w:r>
          </w:p>
        </w:tc>
        <w:tc>
          <w:tcPr>
            <w:tcW w:w="587" w:type="pct"/>
            <w:vAlign w:val="center"/>
          </w:tcPr>
          <w:p w14:paraId="68F7C6B5" w14:textId="77777777" w:rsidR="00B0005F" w:rsidRPr="008A2411" w:rsidRDefault="00000000">
            <w:pPr>
              <w:spacing w:line="260" w:lineRule="exact"/>
              <w:jc w:val="center"/>
              <w:rPr>
                <w:rFonts w:ascii="Times New Roman"/>
                <w:color w:val="000000" w:themeColor="text1"/>
                <w:sz w:val="21"/>
                <w:szCs w:val="21"/>
              </w:rPr>
            </w:pPr>
            <w:r w:rsidRPr="008A2411">
              <w:rPr>
                <w:rFonts w:ascii="Times New Roman"/>
                <w:color w:val="000000" w:themeColor="text1"/>
                <w:sz w:val="21"/>
                <w:szCs w:val="21"/>
              </w:rPr>
              <w:t>0</w:t>
            </w:r>
          </w:p>
        </w:tc>
        <w:tc>
          <w:tcPr>
            <w:tcW w:w="932" w:type="pct"/>
            <w:vAlign w:val="center"/>
          </w:tcPr>
          <w:p w14:paraId="048F0E1C" w14:textId="77777777" w:rsidR="00B0005F" w:rsidRPr="008A2411" w:rsidRDefault="00000000">
            <w:pPr>
              <w:spacing w:line="260" w:lineRule="exact"/>
              <w:jc w:val="center"/>
              <w:rPr>
                <w:rFonts w:ascii="Times New Roman"/>
                <w:color w:val="000000" w:themeColor="text1"/>
                <w:sz w:val="21"/>
                <w:szCs w:val="21"/>
              </w:rPr>
            </w:pPr>
            <w:r w:rsidRPr="008A2411">
              <w:rPr>
                <w:rFonts w:ascii="Times New Roman"/>
                <w:color w:val="000000" w:themeColor="text1"/>
                <w:sz w:val="21"/>
                <w:szCs w:val="21"/>
              </w:rPr>
              <w:t>100</w:t>
            </w:r>
          </w:p>
        </w:tc>
        <w:tc>
          <w:tcPr>
            <w:tcW w:w="955" w:type="pct"/>
            <w:vAlign w:val="center"/>
          </w:tcPr>
          <w:p w14:paraId="7F1D016A" w14:textId="77777777" w:rsidR="00B0005F" w:rsidRPr="008A2411" w:rsidRDefault="00000000">
            <w:pPr>
              <w:spacing w:line="260" w:lineRule="exact"/>
              <w:jc w:val="center"/>
              <w:rPr>
                <w:rFonts w:ascii="Times New Roman"/>
                <w:color w:val="000000" w:themeColor="text1"/>
                <w:sz w:val="21"/>
                <w:szCs w:val="21"/>
              </w:rPr>
            </w:pPr>
            <w:r w:rsidRPr="008A2411">
              <w:rPr>
                <w:rFonts w:ascii="Times New Roman"/>
                <w:color w:val="000000" w:themeColor="text1"/>
                <w:sz w:val="21"/>
                <w:szCs w:val="21"/>
              </w:rPr>
              <w:t>/</w:t>
            </w:r>
          </w:p>
        </w:tc>
      </w:tr>
      <w:tr w:rsidR="008A2411" w:rsidRPr="008A2411" w14:paraId="0B7DF257" w14:textId="77777777">
        <w:trPr>
          <w:trHeight w:val="294"/>
          <w:jc w:val="center"/>
        </w:trPr>
        <w:tc>
          <w:tcPr>
            <w:tcW w:w="574" w:type="pct"/>
            <w:vMerge/>
            <w:vAlign w:val="center"/>
          </w:tcPr>
          <w:p w14:paraId="336789DE" w14:textId="77777777" w:rsidR="00B0005F" w:rsidRPr="008A2411" w:rsidRDefault="00B0005F">
            <w:pPr>
              <w:spacing w:line="260" w:lineRule="exact"/>
              <w:jc w:val="center"/>
              <w:rPr>
                <w:rFonts w:ascii="Times New Roman"/>
                <w:color w:val="000000" w:themeColor="text1"/>
                <w:sz w:val="21"/>
                <w:szCs w:val="21"/>
              </w:rPr>
            </w:pPr>
          </w:p>
        </w:tc>
        <w:tc>
          <w:tcPr>
            <w:tcW w:w="588" w:type="pct"/>
            <w:vAlign w:val="center"/>
          </w:tcPr>
          <w:p w14:paraId="2620D554"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NMHC</w:t>
            </w:r>
          </w:p>
        </w:tc>
        <w:tc>
          <w:tcPr>
            <w:tcW w:w="782" w:type="pct"/>
            <w:vAlign w:val="center"/>
          </w:tcPr>
          <w:p w14:paraId="54A4BC8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0.62~1.57</w:t>
            </w:r>
          </w:p>
        </w:tc>
        <w:tc>
          <w:tcPr>
            <w:tcW w:w="579" w:type="pct"/>
            <w:vAlign w:val="center"/>
          </w:tcPr>
          <w:p w14:paraId="4EE145AF" w14:textId="77777777" w:rsidR="00B0005F" w:rsidRPr="008A2411" w:rsidRDefault="00000000">
            <w:pPr>
              <w:spacing w:line="260" w:lineRule="exact"/>
              <w:jc w:val="center"/>
              <w:rPr>
                <w:rFonts w:ascii="Times New Roman"/>
                <w:color w:val="000000" w:themeColor="text1"/>
                <w:sz w:val="21"/>
                <w:szCs w:val="21"/>
              </w:rPr>
            </w:pPr>
            <w:r w:rsidRPr="008A2411">
              <w:rPr>
                <w:rFonts w:ascii="Times New Roman"/>
                <w:color w:val="000000" w:themeColor="text1"/>
                <w:sz w:val="21"/>
                <w:szCs w:val="21"/>
              </w:rPr>
              <w:t>0.079</w:t>
            </w:r>
          </w:p>
        </w:tc>
        <w:tc>
          <w:tcPr>
            <w:tcW w:w="587" w:type="pct"/>
            <w:vAlign w:val="center"/>
          </w:tcPr>
          <w:p w14:paraId="333B1EB8" w14:textId="77777777" w:rsidR="00B0005F" w:rsidRPr="008A2411" w:rsidRDefault="00000000">
            <w:pPr>
              <w:spacing w:line="260" w:lineRule="exact"/>
              <w:jc w:val="center"/>
              <w:rPr>
                <w:rFonts w:ascii="Times New Roman"/>
                <w:color w:val="000000" w:themeColor="text1"/>
                <w:sz w:val="21"/>
                <w:szCs w:val="21"/>
              </w:rPr>
            </w:pPr>
            <w:r w:rsidRPr="008A2411">
              <w:rPr>
                <w:rFonts w:ascii="Times New Roman"/>
                <w:color w:val="000000" w:themeColor="text1"/>
                <w:sz w:val="21"/>
                <w:szCs w:val="21"/>
              </w:rPr>
              <w:t>/</w:t>
            </w:r>
          </w:p>
        </w:tc>
        <w:tc>
          <w:tcPr>
            <w:tcW w:w="932" w:type="pct"/>
            <w:vAlign w:val="center"/>
          </w:tcPr>
          <w:p w14:paraId="7E165201" w14:textId="77777777" w:rsidR="00B0005F" w:rsidRPr="008A2411" w:rsidRDefault="00000000">
            <w:pPr>
              <w:spacing w:line="260" w:lineRule="exact"/>
              <w:jc w:val="center"/>
              <w:rPr>
                <w:rFonts w:ascii="Times New Roman"/>
                <w:color w:val="000000" w:themeColor="text1"/>
                <w:sz w:val="21"/>
                <w:szCs w:val="21"/>
              </w:rPr>
            </w:pPr>
            <w:r w:rsidRPr="008A2411">
              <w:rPr>
                <w:rFonts w:ascii="Times New Roman"/>
                <w:color w:val="000000" w:themeColor="text1"/>
                <w:sz w:val="21"/>
                <w:szCs w:val="21"/>
              </w:rPr>
              <w:t>2000</w:t>
            </w:r>
          </w:p>
        </w:tc>
        <w:tc>
          <w:tcPr>
            <w:tcW w:w="955" w:type="pct"/>
            <w:vAlign w:val="center"/>
          </w:tcPr>
          <w:p w14:paraId="3954F669" w14:textId="77777777" w:rsidR="00B0005F" w:rsidRPr="008A2411" w:rsidRDefault="00000000">
            <w:pPr>
              <w:spacing w:line="260" w:lineRule="exact"/>
              <w:jc w:val="center"/>
              <w:rPr>
                <w:rFonts w:ascii="Times New Roman"/>
                <w:color w:val="000000" w:themeColor="text1"/>
                <w:sz w:val="21"/>
                <w:szCs w:val="21"/>
              </w:rPr>
            </w:pPr>
            <w:r w:rsidRPr="008A2411">
              <w:rPr>
                <w:rFonts w:ascii="Times New Roman"/>
                <w:color w:val="000000" w:themeColor="text1"/>
                <w:sz w:val="21"/>
                <w:szCs w:val="21"/>
              </w:rPr>
              <w:t>达标</w:t>
            </w:r>
          </w:p>
        </w:tc>
      </w:tr>
      <w:tr w:rsidR="008A2411" w:rsidRPr="008A2411" w14:paraId="75245943" w14:textId="77777777">
        <w:trPr>
          <w:trHeight w:val="294"/>
          <w:jc w:val="center"/>
        </w:trPr>
        <w:tc>
          <w:tcPr>
            <w:tcW w:w="574" w:type="pct"/>
            <w:vMerge w:val="restart"/>
            <w:vAlign w:val="center"/>
          </w:tcPr>
          <w:p w14:paraId="79C69F10" w14:textId="77777777" w:rsidR="00B0005F" w:rsidRPr="008A2411" w:rsidRDefault="00000000">
            <w:pPr>
              <w:spacing w:line="260" w:lineRule="exact"/>
              <w:jc w:val="center"/>
              <w:rPr>
                <w:rFonts w:ascii="Times New Roman"/>
                <w:color w:val="000000" w:themeColor="text1"/>
                <w:sz w:val="21"/>
                <w:szCs w:val="21"/>
              </w:rPr>
            </w:pPr>
            <w:r w:rsidRPr="008A2411">
              <w:rPr>
                <w:rFonts w:ascii="Times New Roman"/>
                <w:color w:val="000000" w:themeColor="text1"/>
                <w:sz w:val="21"/>
                <w:szCs w:val="21"/>
              </w:rPr>
              <w:t>2#3</w:t>
            </w:r>
            <w:r w:rsidRPr="008A2411">
              <w:rPr>
                <w:rFonts w:ascii="Times New Roman"/>
                <w:color w:val="000000" w:themeColor="text1"/>
                <w:sz w:val="21"/>
                <w:szCs w:val="21"/>
              </w:rPr>
              <w:t>井预处理区</w:t>
            </w:r>
          </w:p>
        </w:tc>
        <w:tc>
          <w:tcPr>
            <w:tcW w:w="588" w:type="pct"/>
            <w:vAlign w:val="center"/>
          </w:tcPr>
          <w:p w14:paraId="53D11023"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H</w:t>
            </w:r>
            <w:r w:rsidRPr="008A2411">
              <w:rPr>
                <w:rFonts w:ascii="Times New Roman"/>
                <w:color w:val="000000" w:themeColor="text1"/>
                <w:sz w:val="21"/>
                <w:szCs w:val="21"/>
                <w:vertAlign w:val="subscript"/>
              </w:rPr>
              <w:t>2</w:t>
            </w:r>
            <w:r w:rsidRPr="008A2411">
              <w:rPr>
                <w:rFonts w:ascii="Times New Roman"/>
                <w:color w:val="000000" w:themeColor="text1"/>
                <w:sz w:val="21"/>
                <w:szCs w:val="21"/>
              </w:rPr>
              <w:t>S</w:t>
            </w:r>
          </w:p>
        </w:tc>
        <w:tc>
          <w:tcPr>
            <w:tcW w:w="1333" w:type="dxa"/>
            <w:vAlign w:val="center"/>
          </w:tcPr>
          <w:p w14:paraId="1664FB24" w14:textId="77777777" w:rsidR="00B0005F" w:rsidRPr="008A2411" w:rsidRDefault="00000000">
            <w:pPr>
              <w:spacing w:line="260" w:lineRule="exact"/>
              <w:jc w:val="center"/>
              <w:rPr>
                <w:rFonts w:ascii="Times New Roman"/>
                <w:color w:val="000000" w:themeColor="text1"/>
                <w:sz w:val="21"/>
                <w:szCs w:val="21"/>
              </w:rPr>
            </w:pPr>
            <w:r w:rsidRPr="008A2411">
              <w:rPr>
                <w:rFonts w:ascii="Times New Roman"/>
                <w:color w:val="000000" w:themeColor="text1"/>
                <w:sz w:val="21"/>
                <w:szCs w:val="21"/>
              </w:rPr>
              <w:t>未检出</w:t>
            </w:r>
          </w:p>
        </w:tc>
        <w:tc>
          <w:tcPr>
            <w:tcW w:w="987" w:type="dxa"/>
            <w:vAlign w:val="center"/>
          </w:tcPr>
          <w:p w14:paraId="3B034130" w14:textId="77777777" w:rsidR="00B0005F" w:rsidRPr="008A2411" w:rsidRDefault="00000000">
            <w:pPr>
              <w:spacing w:line="260" w:lineRule="exact"/>
              <w:jc w:val="center"/>
              <w:rPr>
                <w:rFonts w:ascii="Times New Roman"/>
                <w:color w:val="000000" w:themeColor="text1"/>
                <w:sz w:val="21"/>
                <w:szCs w:val="21"/>
              </w:rPr>
            </w:pPr>
            <w:r w:rsidRPr="008A2411">
              <w:rPr>
                <w:rFonts w:ascii="Times New Roman"/>
                <w:color w:val="000000" w:themeColor="text1"/>
                <w:sz w:val="21"/>
                <w:szCs w:val="21"/>
              </w:rPr>
              <w:t>0.1</w:t>
            </w:r>
          </w:p>
        </w:tc>
        <w:tc>
          <w:tcPr>
            <w:tcW w:w="1000" w:type="dxa"/>
            <w:vAlign w:val="center"/>
          </w:tcPr>
          <w:p w14:paraId="06E88F41" w14:textId="77777777" w:rsidR="00B0005F" w:rsidRPr="008A2411" w:rsidRDefault="00000000">
            <w:pPr>
              <w:spacing w:line="260" w:lineRule="exact"/>
              <w:jc w:val="center"/>
              <w:rPr>
                <w:rFonts w:ascii="Times New Roman"/>
                <w:color w:val="000000" w:themeColor="text1"/>
                <w:sz w:val="21"/>
                <w:szCs w:val="21"/>
              </w:rPr>
            </w:pPr>
            <w:r w:rsidRPr="008A2411">
              <w:rPr>
                <w:rFonts w:ascii="Times New Roman"/>
                <w:color w:val="000000" w:themeColor="text1"/>
                <w:sz w:val="21"/>
                <w:szCs w:val="21"/>
              </w:rPr>
              <w:t>0</w:t>
            </w:r>
          </w:p>
        </w:tc>
        <w:tc>
          <w:tcPr>
            <w:tcW w:w="1589" w:type="dxa"/>
            <w:vAlign w:val="center"/>
          </w:tcPr>
          <w:p w14:paraId="22CC68A9" w14:textId="77777777" w:rsidR="00B0005F" w:rsidRPr="008A2411" w:rsidRDefault="00000000">
            <w:pPr>
              <w:spacing w:line="260" w:lineRule="exact"/>
              <w:jc w:val="center"/>
              <w:rPr>
                <w:rFonts w:ascii="Times New Roman"/>
                <w:color w:val="000000" w:themeColor="text1"/>
                <w:sz w:val="21"/>
                <w:szCs w:val="21"/>
              </w:rPr>
            </w:pPr>
            <w:r w:rsidRPr="008A2411">
              <w:rPr>
                <w:rFonts w:ascii="Times New Roman"/>
                <w:color w:val="000000" w:themeColor="text1"/>
                <w:sz w:val="21"/>
                <w:szCs w:val="21"/>
              </w:rPr>
              <w:t>100</w:t>
            </w:r>
          </w:p>
        </w:tc>
        <w:tc>
          <w:tcPr>
            <w:tcW w:w="1628" w:type="dxa"/>
            <w:vAlign w:val="center"/>
          </w:tcPr>
          <w:p w14:paraId="16D7F024" w14:textId="77777777" w:rsidR="00B0005F" w:rsidRPr="008A2411" w:rsidRDefault="00000000">
            <w:pPr>
              <w:spacing w:line="260" w:lineRule="exact"/>
              <w:jc w:val="center"/>
              <w:rPr>
                <w:rFonts w:ascii="Times New Roman"/>
                <w:color w:val="000000" w:themeColor="text1"/>
                <w:sz w:val="21"/>
                <w:szCs w:val="21"/>
              </w:rPr>
            </w:pPr>
            <w:r w:rsidRPr="008A2411">
              <w:rPr>
                <w:rFonts w:ascii="Times New Roman"/>
                <w:color w:val="000000" w:themeColor="text1"/>
                <w:sz w:val="21"/>
                <w:szCs w:val="21"/>
              </w:rPr>
              <w:t>/</w:t>
            </w:r>
          </w:p>
        </w:tc>
      </w:tr>
      <w:tr w:rsidR="008A2411" w:rsidRPr="008A2411" w14:paraId="567322CC" w14:textId="77777777">
        <w:trPr>
          <w:trHeight w:val="294"/>
          <w:jc w:val="center"/>
        </w:trPr>
        <w:tc>
          <w:tcPr>
            <w:tcW w:w="574" w:type="pct"/>
            <w:vMerge/>
            <w:vAlign w:val="center"/>
          </w:tcPr>
          <w:p w14:paraId="0E81446C" w14:textId="77777777" w:rsidR="00B0005F" w:rsidRPr="008A2411" w:rsidRDefault="00B0005F">
            <w:pPr>
              <w:spacing w:line="260" w:lineRule="exact"/>
              <w:jc w:val="center"/>
              <w:rPr>
                <w:rFonts w:ascii="Times New Roman"/>
                <w:color w:val="000000" w:themeColor="text1"/>
                <w:sz w:val="21"/>
                <w:szCs w:val="21"/>
              </w:rPr>
            </w:pPr>
          </w:p>
        </w:tc>
        <w:tc>
          <w:tcPr>
            <w:tcW w:w="588" w:type="pct"/>
            <w:vAlign w:val="center"/>
          </w:tcPr>
          <w:p w14:paraId="102A981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NMHC</w:t>
            </w:r>
          </w:p>
        </w:tc>
        <w:tc>
          <w:tcPr>
            <w:tcW w:w="1333" w:type="dxa"/>
            <w:vAlign w:val="center"/>
          </w:tcPr>
          <w:p w14:paraId="4D18537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0.72~2.04</w:t>
            </w:r>
          </w:p>
        </w:tc>
        <w:tc>
          <w:tcPr>
            <w:tcW w:w="987" w:type="dxa"/>
            <w:vAlign w:val="center"/>
          </w:tcPr>
          <w:p w14:paraId="3946B1CE" w14:textId="77777777" w:rsidR="00B0005F" w:rsidRPr="008A2411" w:rsidRDefault="00000000">
            <w:pPr>
              <w:spacing w:line="260" w:lineRule="exact"/>
              <w:jc w:val="center"/>
              <w:rPr>
                <w:rFonts w:ascii="Times New Roman"/>
                <w:color w:val="000000" w:themeColor="text1"/>
                <w:sz w:val="21"/>
                <w:szCs w:val="21"/>
              </w:rPr>
            </w:pPr>
            <w:r w:rsidRPr="008A2411">
              <w:rPr>
                <w:rFonts w:ascii="Times New Roman"/>
                <w:color w:val="000000" w:themeColor="text1"/>
                <w:sz w:val="21"/>
                <w:szCs w:val="21"/>
              </w:rPr>
              <w:t>0.102</w:t>
            </w:r>
          </w:p>
        </w:tc>
        <w:tc>
          <w:tcPr>
            <w:tcW w:w="1000" w:type="dxa"/>
            <w:vAlign w:val="center"/>
          </w:tcPr>
          <w:p w14:paraId="682000CD" w14:textId="77777777" w:rsidR="00B0005F" w:rsidRPr="008A2411" w:rsidRDefault="00000000">
            <w:pPr>
              <w:spacing w:line="260" w:lineRule="exact"/>
              <w:jc w:val="center"/>
              <w:rPr>
                <w:rFonts w:ascii="Times New Roman"/>
                <w:color w:val="000000" w:themeColor="text1"/>
                <w:sz w:val="21"/>
                <w:szCs w:val="21"/>
              </w:rPr>
            </w:pPr>
            <w:r w:rsidRPr="008A2411">
              <w:rPr>
                <w:rFonts w:ascii="Times New Roman"/>
                <w:color w:val="000000" w:themeColor="text1"/>
                <w:sz w:val="21"/>
                <w:szCs w:val="21"/>
              </w:rPr>
              <w:t>/</w:t>
            </w:r>
          </w:p>
        </w:tc>
        <w:tc>
          <w:tcPr>
            <w:tcW w:w="1589" w:type="dxa"/>
            <w:vAlign w:val="center"/>
          </w:tcPr>
          <w:p w14:paraId="2ECBB7ED" w14:textId="77777777" w:rsidR="00B0005F" w:rsidRPr="008A2411" w:rsidRDefault="00000000">
            <w:pPr>
              <w:spacing w:line="260" w:lineRule="exact"/>
              <w:jc w:val="center"/>
              <w:rPr>
                <w:rFonts w:ascii="Times New Roman"/>
                <w:color w:val="000000" w:themeColor="text1"/>
                <w:sz w:val="21"/>
                <w:szCs w:val="21"/>
              </w:rPr>
            </w:pPr>
            <w:r w:rsidRPr="008A2411">
              <w:rPr>
                <w:rFonts w:ascii="Times New Roman"/>
                <w:color w:val="000000" w:themeColor="text1"/>
                <w:sz w:val="21"/>
                <w:szCs w:val="21"/>
              </w:rPr>
              <w:t>2000</w:t>
            </w:r>
          </w:p>
        </w:tc>
        <w:tc>
          <w:tcPr>
            <w:tcW w:w="1628" w:type="dxa"/>
            <w:vAlign w:val="center"/>
          </w:tcPr>
          <w:p w14:paraId="585BD7D0" w14:textId="77777777" w:rsidR="00B0005F" w:rsidRPr="008A2411" w:rsidRDefault="00000000">
            <w:pPr>
              <w:spacing w:line="260" w:lineRule="exact"/>
              <w:jc w:val="center"/>
              <w:rPr>
                <w:rFonts w:ascii="Times New Roman"/>
                <w:color w:val="000000" w:themeColor="text1"/>
                <w:sz w:val="21"/>
                <w:szCs w:val="21"/>
              </w:rPr>
            </w:pPr>
            <w:r w:rsidRPr="008A2411">
              <w:rPr>
                <w:rFonts w:ascii="Times New Roman"/>
                <w:color w:val="000000" w:themeColor="text1"/>
                <w:sz w:val="21"/>
                <w:szCs w:val="21"/>
              </w:rPr>
              <w:t>达标</w:t>
            </w:r>
          </w:p>
        </w:tc>
      </w:tr>
    </w:tbl>
    <w:p w14:paraId="1A0ADCF4" w14:textId="77777777" w:rsidR="00B0005F" w:rsidRPr="008A2411" w:rsidRDefault="00000000">
      <w:pPr>
        <w:pStyle w:val="afffffffffffffffffffff0"/>
        <w:adjustRightInd w:val="0"/>
        <w:snapToGrid w:val="0"/>
        <w:spacing w:line="240" w:lineRule="auto"/>
        <w:ind w:firstLine="420"/>
        <w:rPr>
          <w:color w:val="000000" w:themeColor="text1"/>
          <w:sz w:val="21"/>
          <w:szCs w:val="21"/>
        </w:rPr>
      </w:pPr>
      <w:r w:rsidRPr="008A2411">
        <w:rPr>
          <w:color w:val="000000" w:themeColor="text1"/>
          <w:sz w:val="21"/>
          <w:szCs w:val="21"/>
        </w:rPr>
        <w:t>注：检测数据来源于</w:t>
      </w:r>
      <w:proofErr w:type="gramStart"/>
      <w:r w:rsidRPr="008A2411">
        <w:rPr>
          <w:color w:val="000000" w:themeColor="text1"/>
          <w:sz w:val="21"/>
          <w:szCs w:val="21"/>
        </w:rPr>
        <w:t>达州恒</w:t>
      </w:r>
      <w:proofErr w:type="gramEnd"/>
      <w:r w:rsidRPr="008A2411">
        <w:rPr>
          <w:color w:val="000000" w:themeColor="text1"/>
          <w:sz w:val="21"/>
          <w:szCs w:val="21"/>
        </w:rPr>
        <w:t>福环境监测服务有限公司，恒</w:t>
      </w:r>
      <w:proofErr w:type="gramStart"/>
      <w:r w:rsidRPr="008A2411">
        <w:rPr>
          <w:color w:val="000000" w:themeColor="text1"/>
          <w:sz w:val="21"/>
          <w:szCs w:val="21"/>
        </w:rPr>
        <w:t>福环检</w:t>
      </w:r>
      <w:proofErr w:type="gramEnd"/>
      <w:r w:rsidRPr="008A2411">
        <w:rPr>
          <w:color w:val="000000" w:themeColor="text1"/>
          <w:sz w:val="21"/>
          <w:szCs w:val="21"/>
        </w:rPr>
        <w:t>[2021]</w:t>
      </w:r>
      <w:r w:rsidRPr="008A2411">
        <w:rPr>
          <w:color w:val="000000" w:themeColor="text1"/>
          <w:sz w:val="21"/>
          <w:szCs w:val="21"/>
        </w:rPr>
        <w:t>第</w:t>
      </w:r>
      <w:r w:rsidRPr="008A2411">
        <w:rPr>
          <w:color w:val="000000" w:themeColor="text1"/>
          <w:sz w:val="21"/>
          <w:szCs w:val="21"/>
        </w:rPr>
        <w:t>30412</w:t>
      </w:r>
      <w:r w:rsidRPr="008A2411">
        <w:rPr>
          <w:color w:val="000000" w:themeColor="text1"/>
          <w:sz w:val="21"/>
          <w:szCs w:val="21"/>
        </w:rPr>
        <w:t>号，项目编号：</w:t>
      </w:r>
      <w:r w:rsidRPr="008A2411">
        <w:rPr>
          <w:color w:val="000000" w:themeColor="text1"/>
          <w:sz w:val="21"/>
          <w:szCs w:val="21"/>
        </w:rPr>
        <w:t>DZHFHJJCFWYXGS678-0001</w:t>
      </w:r>
    </w:p>
    <w:p w14:paraId="2DCB453F" w14:textId="77777777" w:rsidR="00B0005F" w:rsidRPr="008A2411" w:rsidRDefault="00B0005F">
      <w:pPr>
        <w:pStyle w:val="afffffffffffffffffffff0"/>
        <w:adjustRightInd w:val="0"/>
        <w:snapToGrid w:val="0"/>
        <w:ind w:firstLine="480"/>
        <w:rPr>
          <w:color w:val="000000" w:themeColor="text1"/>
          <w:lang w:val="zh-TW"/>
        </w:rPr>
      </w:pPr>
    </w:p>
    <w:p w14:paraId="6A2C5C19" w14:textId="77777777" w:rsidR="00B0005F" w:rsidRPr="008A2411" w:rsidRDefault="00000000">
      <w:pPr>
        <w:pStyle w:val="afffffffffffffffffffff0"/>
        <w:adjustRightInd w:val="0"/>
        <w:snapToGrid w:val="0"/>
        <w:ind w:firstLine="480"/>
        <w:rPr>
          <w:color w:val="000000" w:themeColor="text1"/>
          <w:lang w:val="zh-TW"/>
        </w:rPr>
      </w:pPr>
      <w:r w:rsidRPr="008A2411">
        <w:rPr>
          <w:color w:val="000000" w:themeColor="text1"/>
          <w:lang w:val="zh-TW"/>
        </w:rPr>
        <w:t>评价结论：本项目拟建地环境空气</w:t>
      </w:r>
      <w:proofErr w:type="gramStart"/>
      <w:r w:rsidRPr="008A2411">
        <w:rPr>
          <w:color w:val="000000" w:themeColor="text1"/>
          <w:lang w:val="zh-TW"/>
        </w:rPr>
        <w:t>中特征</w:t>
      </w:r>
      <w:proofErr w:type="gramEnd"/>
      <w:r w:rsidRPr="008A2411">
        <w:rPr>
          <w:color w:val="000000" w:themeColor="text1"/>
          <w:lang w:val="zh-TW"/>
        </w:rPr>
        <w:t>污染物</w:t>
      </w:r>
      <w:bookmarkStart w:id="257" w:name="_Hlk100174264"/>
      <w:bookmarkStart w:id="258" w:name="_Hlk100174299"/>
      <w:r w:rsidRPr="008A2411">
        <w:rPr>
          <w:color w:val="000000" w:themeColor="text1"/>
          <w:lang w:val="zh-TW"/>
        </w:rPr>
        <w:t>非甲烷总烃</w:t>
      </w:r>
      <w:bookmarkEnd w:id="257"/>
      <w:r w:rsidRPr="008A2411">
        <w:rPr>
          <w:color w:val="000000" w:themeColor="text1"/>
          <w:lang w:val="zh-TW"/>
        </w:rPr>
        <w:t>现状监测值均低于《大气污染物综合排放标准详解》浓度限值；硫化氢现状监测值均低于《环境影响评价技术导则大气环境》（</w:t>
      </w:r>
      <w:r w:rsidRPr="008A2411">
        <w:rPr>
          <w:color w:val="000000" w:themeColor="text1"/>
          <w:lang w:val="zh-TW"/>
        </w:rPr>
        <w:t>HJ2.2-2018</w:t>
      </w:r>
      <w:r w:rsidRPr="008A2411">
        <w:rPr>
          <w:color w:val="000000" w:themeColor="text1"/>
          <w:lang w:val="zh-TW"/>
        </w:rPr>
        <w:t>）中附录</w:t>
      </w:r>
      <w:r w:rsidRPr="008A2411">
        <w:rPr>
          <w:color w:val="000000" w:themeColor="text1"/>
          <w:lang w:val="zh-TW"/>
        </w:rPr>
        <w:t>D</w:t>
      </w:r>
      <w:r w:rsidRPr="008A2411">
        <w:rPr>
          <w:color w:val="000000" w:themeColor="text1"/>
          <w:lang w:val="zh-TW"/>
        </w:rPr>
        <w:t>标准限值。</w:t>
      </w:r>
      <w:bookmarkEnd w:id="258"/>
    </w:p>
    <w:p w14:paraId="42D61F98" w14:textId="77777777" w:rsidR="00B0005F" w:rsidRPr="008A2411" w:rsidRDefault="00000000">
      <w:pPr>
        <w:pStyle w:val="2"/>
        <w:keepNext w:val="0"/>
        <w:keepLines w:val="0"/>
        <w:adjustRightInd w:val="0"/>
        <w:snapToGrid w:val="0"/>
        <w:spacing w:before="0" w:after="0" w:line="360" w:lineRule="auto"/>
        <w:rPr>
          <w:rFonts w:ascii="Times New Roman"/>
          <w:color w:val="000000" w:themeColor="text1"/>
        </w:rPr>
      </w:pPr>
      <w:bookmarkStart w:id="259" w:name="_Toc108365935"/>
      <w:bookmarkStart w:id="260" w:name="_Toc8092"/>
      <w:bookmarkStart w:id="261" w:name="_Toc95250314"/>
      <w:bookmarkStart w:id="262" w:name="_Toc7709"/>
      <w:bookmarkStart w:id="263" w:name="_Toc109170765"/>
      <w:r w:rsidRPr="008A2411">
        <w:rPr>
          <w:rFonts w:ascii="Times New Roman"/>
          <w:b w:val="0"/>
          <w:color w:val="000000" w:themeColor="text1"/>
          <w:kern w:val="0"/>
          <w:sz w:val="24"/>
          <w:szCs w:val="24"/>
          <w:lang w:bidi="en-US"/>
        </w:rPr>
        <w:t>4.3.2</w:t>
      </w:r>
      <w:r w:rsidRPr="008A2411">
        <w:rPr>
          <w:rFonts w:ascii="Times New Roman"/>
          <w:color w:val="000000" w:themeColor="text1"/>
        </w:rPr>
        <w:t xml:space="preserve"> </w:t>
      </w:r>
      <w:bookmarkStart w:id="264" w:name="_Hlk100174319"/>
      <w:r w:rsidRPr="008A2411">
        <w:rPr>
          <w:rFonts w:ascii="Times New Roman"/>
          <w:color w:val="000000" w:themeColor="text1"/>
        </w:rPr>
        <w:t>地下水</w:t>
      </w:r>
      <w:bookmarkEnd w:id="264"/>
      <w:r w:rsidRPr="008A2411">
        <w:rPr>
          <w:rFonts w:ascii="Times New Roman"/>
          <w:color w:val="000000" w:themeColor="text1"/>
        </w:rPr>
        <w:t>环境质量现状与评价</w:t>
      </w:r>
      <w:bookmarkEnd w:id="255"/>
      <w:bookmarkEnd w:id="256"/>
      <w:bookmarkEnd w:id="259"/>
      <w:bookmarkEnd w:id="260"/>
      <w:bookmarkEnd w:id="261"/>
      <w:bookmarkEnd w:id="262"/>
      <w:bookmarkEnd w:id="263"/>
    </w:p>
    <w:p w14:paraId="2B86F55E" w14:textId="77777777" w:rsidR="00B0005F" w:rsidRPr="008A2411" w:rsidRDefault="00000000">
      <w:pPr>
        <w:pStyle w:val="a9"/>
        <w:adjustRightInd w:val="0"/>
        <w:snapToGrid w:val="0"/>
        <w:spacing w:after="0" w:line="360" w:lineRule="auto"/>
        <w:ind w:firstLine="480"/>
        <w:rPr>
          <w:rFonts w:ascii="Times New Roman"/>
          <w:color w:val="000000" w:themeColor="text1"/>
          <w:kern w:val="0"/>
          <w:sz w:val="24"/>
          <w:szCs w:val="20"/>
          <w:lang w:val="zh-TW"/>
        </w:rPr>
      </w:pPr>
      <w:r w:rsidRPr="008A2411">
        <w:rPr>
          <w:rFonts w:ascii="Times New Roman"/>
          <w:color w:val="000000" w:themeColor="text1"/>
          <w:kern w:val="0"/>
          <w:sz w:val="24"/>
          <w:szCs w:val="20"/>
          <w:lang w:val="zh-TW"/>
        </w:rPr>
        <w:t>根据项目工程特点和站场的具体情况，为了解评价区内地下水环境质量现状，委托四川中蓉达环境保护技术有限公司对本项目附近地下水环境质量现状进行了检测。</w:t>
      </w:r>
    </w:p>
    <w:p w14:paraId="737FE73E" w14:textId="77777777" w:rsidR="00B0005F" w:rsidRPr="008A2411" w:rsidRDefault="00000000">
      <w:pPr>
        <w:pStyle w:val="a9"/>
        <w:adjustRightInd w:val="0"/>
        <w:snapToGrid w:val="0"/>
        <w:spacing w:after="0" w:line="360" w:lineRule="auto"/>
        <w:ind w:firstLine="482"/>
        <w:rPr>
          <w:rFonts w:ascii="Times New Roman"/>
          <w:b/>
          <w:color w:val="000000" w:themeColor="text1"/>
        </w:rPr>
      </w:pPr>
      <w:bookmarkStart w:id="265" w:name="_Toc12288569"/>
      <w:r w:rsidRPr="008A2411">
        <w:rPr>
          <w:rFonts w:ascii="Times New Roman"/>
          <w:b/>
          <w:color w:val="000000" w:themeColor="text1"/>
        </w:rPr>
        <w:t>1</w:t>
      </w:r>
      <w:r w:rsidRPr="008A2411">
        <w:rPr>
          <w:rFonts w:ascii="Times New Roman"/>
          <w:b/>
          <w:color w:val="000000" w:themeColor="text1"/>
        </w:rPr>
        <w:t>、监测断面布设</w:t>
      </w:r>
      <w:bookmarkEnd w:id="265"/>
    </w:p>
    <w:p w14:paraId="0CD73C66" w14:textId="77777777" w:rsidR="00B0005F" w:rsidRPr="008A2411" w:rsidRDefault="00000000">
      <w:pPr>
        <w:pStyle w:val="a9"/>
        <w:adjustRightInd w:val="0"/>
        <w:snapToGrid w:val="0"/>
        <w:spacing w:after="0" w:line="360" w:lineRule="auto"/>
        <w:ind w:firstLine="480"/>
        <w:rPr>
          <w:rFonts w:ascii="Times New Roman"/>
          <w:color w:val="000000" w:themeColor="text1"/>
          <w:kern w:val="0"/>
          <w:sz w:val="24"/>
          <w:szCs w:val="20"/>
        </w:rPr>
      </w:pPr>
      <w:r w:rsidRPr="008A2411">
        <w:rPr>
          <w:rFonts w:ascii="Times New Roman"/>
          <w:color w:val="000000" w:themeColor="text1"/>
          <w:kern w:val="0"/>
          <w:sz w:val="24"/>
          <w:szCs w:val="20"/>
          <w:lang w:val="zh-TW"/>
        </w:rPr>
        <w:lastRenderedPageBreak/>
        <w:t>根据工程情况，本次评价对本项目的地下水进行地下水现状评价，</w:t>
      </w:r>
      <w:r w:rsidRPr="008A2411">
        <w:rPr>
          <w:rFonts w:ascii="Times New Roman"/>
          <w:color w:val="000000" w:themeColor="text1"/>
          <w:kern w:val="0"/>
          <w:sz w:val="24"/>
          <w:szCs w:val="20"/>
        </w:rPr>
        <w:t>项目监测点位情况见下表</w:t>
      </w:r>
      <w:r w:rsidRPr="008A2411">
        <w:rPr>
          <w:rFonts w:ascii="Times New Roman"/>
          <w:color w:val="000000" w:themeColor="text1"/>
          <w:kern w:val="0"/>
          <w:sz w:val="24"/>
          <w:szCs w:val="20"/>
        </w:rPr>
        <w:t>4.3-2</w:t>
      </w:r>
      <w:r w:rsidRPr="008A2411">
        <w:rPr>
          <w:rFonts w:ascii="Times New Roman"/>
          <w:color w:val="000000" w:themeColor="text1"/>
          <w:kern w:val="0"/>
          <w:sz w:val="24"/>
          <w:szCs w:val="20"/>
        </w:rPr>
        <w:t>。</w:t>
      </w:r>
    </w:p>
    <w:p w14:paraId="3834C6BC" w14:textId="77777777" w:rsidR="00B0005F" w:rsidRPr="008A2411" w:rsidRDefault="00000000">
      <w:pPr>
        <w:pStyle w:val="a9"/>
        <w:adjustRightInd w:val="0"/>
        <w:snapToGrid w:val="0"/>
        <w:spacing w:after="0" w:line="360" w:lineRule="auto"/>
        <w:ind w:firstLine="480"/>
        <w:jc w:val="center"/>
        <w:rPr>
          <w:rFonts w:ascii="Times New Roman"/>
          <w:color w:val="000000" w:themeColor="text1"/>
        </w:rPr>
      </w:pPr>
      <w:r w:rsidRPr="008A2411">
        <w:rPr>
          <w:rFonts w:ascii="Times New Roman" w:eastAsia="黑体"/>
          <w:color w:val="000000" w:themeColor="text1"/>
          <w:sz w:val="24"/>
        </w:rPr>
        <w:t>表</w:t>
      </w:r>
      <w:r w:rsidRPr="008A2411">
        <w:rPr>
          <w:rFonts w:ascii="Times New Roman" w:eastAsia="黑体"/>
          <w:color w:val="000000" w:themeColor="text1"/>
          <w:sz w:val="24"/>
        </w:rPr>
        <w:t xml:space="preserve">4.3-2  </w:t>
      </w:r>
      <w:r w:rsidRPr="008A2411">
        <w:rPr>
          <w:rFonts w:ascii="Times New Roman" w:eastAsia="黑体"/>
          <w:color w:val="000000" w:themeColor="text1"/>
          <w:sz w:val="24"/>
        </w:rPr>
        <w:t>项目地下水监测点</w:t>
      </w:r>
      <w:proofErr w:type="gramStart"/>
      <w:r w:rsidRPr="008A2411">
        <w:rPr>
          <w:rFonts w:ascii="Times New Roman" w:eastAsia="黑体"/>
          <w:color w:val="000000" w:themeColor="text1"/>
          <w:sz w:val="24"/>
        </w:rPr>
        <w:t>位设置</w:t>
      </w:r>
      <w:proofErr w:type="gramEnd"/>
      <w:r w:rsidRPr="008A2411">
        <w:rPr>
          <w:rFonts w:ascii="Times New Roman" w:eastAsia="黑体"/>
          <w:color w:val="000000" w:themeColor="text1"/>
          <w:sz w:val="24"/>
        </w:rPr>
        <w:t>一览表</w:t>
      </w:r>
    </w:p>
    <w:tbl>
      <w:tblPr>
        <w:tblW w:w="4997" w:type="pct"/>
        <w:tblBorders>
          <w:top w:val="single" w:sz="4" w:space="0" w:color="auto"/>
          <w:left w:val="single" w:sz="4" w:space="0" w:color="auto"/>
          <w:bottom w:val="single" w:sz="4" w:space="0" w:color="auto"/>
          <w:right w:val="single" w:sz="4" w:space="0" w:color="auto"/>
          <w:insideH w:val="single" w:sz="8" w:space="0" w:color="000000"/>
          <w:insideV w:val="single" w:sz="6" w:space="0" w:color="000000"/>
        </w:tblBorders>
        <w:tblCellMar>
          <w:left w:w="28" w:type="dxa"/>
          <w:right w:w="28" w:type="dxa"/>
        </w:tblCellMar>
        <w:tblLook w:val="04A0" w:firstRow="1" w:lastRow="0" w:firstColumn="1" w:lastColumn="0" w:noHBand="0" w:noVBand="1"/>
      </w:tblPr>
      <w:tblGrid>
        <w:gridCol w:w="541"/>
        <w:gridCol w:w="1956"/>
        <w:gridCol w:w="1085"/>
        <w:gridCol w:w="1085"/>
        <w:gridCol w:w="1845"/>
        <w:gridCol w:w="1845"/>
      </w:tblGrid>
      <w:tr w:rsidR="008A2411" w:rsidRPr="008A2411" w14:paraId="42AE6268" w14:textId="77777777">
        <w:trPr>
          <w:trHeight w:val="510"/>
          <w:tblHeader/>
        </w:trPr>
        <w:tc>
          <w:tcPr>
            <w:tcW w:w="324" w:type="pct"/>
            <w:tcBorders>
              <w:bottom w:val="single" w:sz="4" w:space="0" w:color="auto"/>
              <w:right w:val="single" w:sz="4" w:space="0" w:color="auto"/>
            </w:tcBorders>
            <w:vAlign w:val="center"/>
          </w:tcPr>
          <w:p w14:paraId="5BB8DE2E" w14:textId="77777777" w:rsidR="00B0005F" w:rsidRPr="008A2411" w:rsidRDefault="00000000">
            <w:pPr>
              <w:pStyle w:val="rpt"/>
              <w:snapToGrid w:val="0"/>
              <w:spacing w:before="120" w:after="120"/>
              <w:rPr>
                <w:rFonts w:ascii="Times New Roman"/>
                <w:color w:val="000000" w:themeColor="text1"/>
                <w:sz w:val="21"/>
                <w:szCs w:val="21"/>
              </w:rPr>
            </w:pPr>
            <w:r w:rsidRPr="008A2411">
              <w:rPr>
                <w:rFonts w:ascii="Times New Roman"/>
                <w:color w:val="000000" w:themeColor="text1"/>
                <w:sz w:val="21"/>
                <w:szCs w:val="21"/>
              </w:rPr>
              <w:t>编号</w:t>
            </w:r>
          </w:p>
        </w:tc>
        <w:tc>
          <w:tcPr>
            <w:tcW w:w="1169" w:type="pct"/>
            <w:tcBorders>
              <w:left w:val="single" w:sz="4" w:space="0" w:color="auto"/>
              <w:bottom w:val="single" w:sz="4" w:space="0" w:color="auto"/>
              <w:right w:val="single" w:sz="4" w:space="0" w:color="auto"/>
            </w:tcBorders>
            <w:vAlign w:val="center"/>
          </w:tcPr>
          <w:p w14:paraId="5E307A47" w14:textId="77777777" w:rsidR="00B0005F" w:rsidRPr="008A2411" w:rsidRDefault="00000000">
            <w:pPr>
              <w:pStyle w:val="rpt"/>
              <w:snapToGrid w:val="0"/>
              <w:spacing w:before="120" w:after="120"/>
              <w:rPr>
                <w:rFonts w:ascii="Times New Roman"/>
                <w:color w:val="000000" w:themeColor="text1"/>
                <w:sz w:val="21"/>
                <w:szCs w:val="21"/>
              </w:rPr>
            </w:pPr>
            <w:r w:rsidRPr="008A2411">
              <w:rPr>
                <w:rFonts w:ascii="Times New Roman"/>
                <w:color w:val="000000" w:themeColor="text1"/>
                <w:sz w:val="21"/>
                <w:szCs w:val="21"/>
              </w:rPr>
              <w:t>点位</w:t>
            </w:r>
          </w:p>
        </w:tc>
        <w:tc>
          <w:tcPr>
            <w:tcW w:w="649" w:type="pct"/>
            <w:tcBorders>
              <w:left w:val="single" w:sz="4" w:space="0" w:color="auto"/>
              <w:bottom w:val="single" w:sz="4" w:space="0" w:color="auto"/>
              <w:right w:val="single" w:sz="4" w:space="0" w:color="auto"/>
            </w:tcBorders>
            <w:vAlign w:val="center"/>
          </w:tcPr>
          <w:p w14:paraId="04CFE165" w14:textId="77777777" w:rsidR="00B0005F" w:rsidRPr="008A2411" w:rsidRDefault="00000000">
            <w:pPr>
              <w:pStyle w:val="rpt"/>
              <w:snapToGrid w:val="0"/>
              <w:spacing w:before="120" w:after="120"/>
              <w:ind w:left="315" w:hanging="315"/>
              <w:rPr>
                <w:rFonts w:ascii="Times New Roman"/>
                <w:color w:val="000000" w:themeColor="text1"/>
                <w:sz w:val="21"/>
                <w:szCs w:val="21"/>
              </w:rPr>
            </w:pPr>
            <w:r w:rsidRPr="008A2411">
              <w:rPr>
                <w:rFonts w:ascii="Times New Roman"/>
                <w:color w:val="000000" w:themeColor="text1"/>
                <w:sz w:val="21"/>
                <w:szCs w:val="21"/>
              </w:rPr>
              <w:t>经度</w:t>
            </w:r>
          </w:p>
        </w:tc>
        <w:tc>
          <w:tcPr>
            <w:tcW w:w="649" w:type="pct"/>
            <w:tcBorders>
              <w:left w:val="single" w:sz="4" w:space="0" w:color="auto"/>
              <w:bottom w:val="single" w:sz="4" w:space="0" w:color="auto"/>
              <w:right w:val="single" w:sz="4" w:space="0" w:color="auto"/>
            </w:tcBorders>
            <w:vAlign w:val="center"/>
          </w:tcPr>
          <w:p w14:paraId="36068CE0" w14:textId="77777777" w:rsidR="00B0005F" w:rsidRPr="008A2411" w:rsidRDefault="00000000">
            <w:pPr>
              <w:pStyle w:val="rpt"/>
              <w:snapToGrid w:val="0"/>
              <w:spacing w:before="120" w:after="120"/>
              <w:ind w:left="315" w:hanging="315"/>
              <w:rPr>
                <w:rFonts w:ascii="Times New Roman"/>
                <w:color w:val="000000" w:themeColor="text1"/>
                <w:sz w:val="21"/>
                <w:szCs w:val="21"/>
              </w:rPr>
            </w:pPr>
            <w:r w:rsidRPr="008A2411">
              <w:rPr>
                <w:rFonts w:ascii="Times New Roman"/>
                <w:color w:val="000000" w:themeColor="text1"/>
                <w:sz w:val="21"/>
                <w:szCs w:val="21"/>
              </w:rPr>
              <w:t>纬度</w:t>
            </w:r>
          </w:p>
        </w:tc>
        <w:tc>
          <w:tcPr>
            <w:tcW w:w="1103" w:type="pct"/>
            <w:tcBorders>
              <w:left w:val="single" w:sz="4" w:space="0" w:color="auto"/>
              <w:bottom w:val="single" w:sz="4" w:space="0" w:color="auto"/>
              <w:right w:val="single" w:sz="4" w:space="0" w:color="auto"/>
            </w:tcBorders>
            <w:vAlign w:val="center"/>
          </w:tcPr>
          <w:p w14:paraId="3457352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检测频次</w:t>
            </w:r>
          </w:p>
        </w:tc>
        <w:tc>
          <w:tcPr>
            <w:tcW w:w="1103" w:type="pct"/>
            <w:tcBorders>
              <w:left w:val="single" w:sz="4" w:space="0" w:color="auto"/>
              <w:bottom w:val="single" w:sz="4" w:space="0" w:color="auto"/>
            </w:tcBorders>
            <w:vAlign w:val="center"/>
          </w:tcPr>
          <w:p w14:paraId="109F19D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备注</w:t>
            </w:r>
          </w:p>
        </w:tc>
      </w:tr>
      <w:tr w:rsidR="008A2411" w:rsidRPr="008A2411" w14:paraId="04B643F6" w14:textId="77777777">
        <w:trPr>
          <w:cantSplit/>
          <w:trHeight w:hRule="exact" w:val="567"/>
        </w:trPr>
        <w:tc>
          <w:tcPr>
            <w:tcW w:w="324" w:type="pct"/>
            <w:tcBorders>
              <w:top w:val="single" w:sz="4" w:space="0" w:color="auto"/>
              <w:bottom w:val="single" w:sz="4" w:space="0" w:color="auto"/>
              <w:right w:val="single" w:sz="4" w:space="0" w:color="auto"/>
            </w:tcBorders>
            <w:vAlign w:val="center"/>
          </w:tcPr>
          <w:p w14:paraId="370216C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w:t>
            </w:r>
          </w:p>
        </w:tc>
        <w:tc>
          <w:tcPr>
            <w:tcW w:w="1169" w:type="pct"/>
            <w:tcBorders>
              <w:top w:val="single" w:sz="4" w:space="0" w:color="auto"/>
              <w:left w:val="single" w:sz="4" w:space="0" w:color="auto"/>
              <w:bottom w:val="single" w:sz="4" w:space="0" w:color="auto"/>
              <w:right w:val="single" w:sz="4" w:space="0" w:color="auto"/>
            </w:tcBorders>
            <w:vAlign w:val="center"/>
          </w:tcPr>
          <w:p w14:paraId="6631D3A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项目拟建地西北侧</w:t>
            </w:r>
            <w:r w:rsidRPr="008A2411">
              <w:rPr>
                <w:rFonts w:ascii="Times New Roman"/>
                <w:color w:val="000000" w:themeColor="text1"/>
                <w:sz w:val="21"/>
                <w:szCs w:val="21"/>
              </w:rPr>
              <w:t>1.13km</w:t>
            </w:r>
            <w:r w:rsidRPr="008A2411">
              <w:rPr>
                <w:rFonts w:ascii="Times New Roman"/>
                <w:color w:val="000000" w:themeColor="text1"/>
                <w:sz w:val="21"/>
                <w:szCs w:val="21"/>
              </w:rPr>
              <w:t>处居民水井（黄家湾）</w:t>
            </w:r>
          </w:p>
        </w:tc>
        <w:tc>
          <w:tcPr>
            <w:tcW w:w="649" w:type="pct"/>
            <w:tcBorders>
              <w:top w:val="single" w:sz="4" w:space="0" w:color="auto"/>
              <w:left w:val="single" w:sz="4" w:space="0" w:color="auto"/>
              <w:bottom w:val="single" w:sz="4" w:space="0" w:color="auto"/>
              <w:right w:val="single" w:sz="4" w:space="0" w:color="auto"/>
            </w:tcBorders>
            <w:vAlign w:val="center"/>
          </w:tcPr>
          <w:p w14:paraId="20924A79" w14:textId="77777777" w:rsidR="00B0005F" w:rsidRPr="008A2411" w:rsidRDefault="00000000">
            <w:pPr>
              <w:pStyle w:val="rpt"/>
              <w:snapToGrid w:val="0"/>
              <w:spacing w:before="120" w:after="120"/>
              <w:rPr>
                <w:rFonts w:ascii="Times New Roman"/>
                <w:color w:val="000000" w:themeColor="text1"/>
                <w:sz w:val="21"/>
                <w:szCs w:val="21"/>
              </w:rPr>
            </w:pPr>
            <w:r w:rsidRPr="008A2411">
              <w:rPr>
                <w:rFonts w:ascii="Times New Roman"/>
                <w:color w:val="000000" w:themeColor="text1"/>
                <w:sz w:val="21"/>
                <w:szCs w:val="21"/>
              </w:rPr>
              <w:t>107.6901</w:t>
            </w:r>
          </w:p>
        </w:tc>
        <w:tc>
          <w:tcPr>
            <w:tcW w:w="649" w:type="pct"/>
            <w:tcBorders>
              <w:top w:val="single" w:sz="4" w:space="0" w:color="auto"/>
              <w:left w:val="single" w:sz="4" w:space="0" w:color="auto"/>
              <w:bottom w:val="single" w:sz="4" w:space="0" w:color="auto"/>
              <w:right w:val="single" w:sz="4" w:space="0" w:color="auto"/>
            </w:tcBorders>
            <w:vAlign w:val="center"/>
          </w:tcPr>
          <w:p w14:paraId="273FC765" w14:textId="77777777" w:rsidR="00B0005F" w:rsidRPr="008A2411" w:rsidRDefault="00000000">
            <w:pPr>
              <w:pStyle w:val="rpt"/>
              <w:snapToGrid w:val="0"/>
              <w:spacing w:before="120" w:after="120"/>
              <w:rPr>
                <w:rFonts w:ascii="Times New Roman"/>
                <w:color w:val="000000" w:themeColor="text1"/>
                <w:sz w:val="21"/>
                <w:szCs w:val="21"/>
              </w:rPr>
            </w:pPr>
            <w:r w:rsidRPr="008A2411">
              <w:rPr>
                <w:rFonts w:ascii="Times New Roman"/>
                <w:color w:val="000000" w:themeColor="text1"/>
                <w:sz w:val="21"/>
                <w:szCs w:val="21"/>
              </w:rPr>
              <w:t>31.5229</w:t>
            </w:r>
          </w:p>
        </w:tc>
        <w:tc>
          <w:tcPr>
            <w:tcW w:w="1103" w:type="pct"/>
            <w:vMerge w:val="restart"/>
            <w:tcBorders>
              <w:top w:val="single" w:sz="4" w:space="0" w:color="auto"/>
              <w:left w:val="single" w:sz="4" w:space="0" w:color="auto"/>
              <w:bottom w:val="single" w:sz="4" w:space="0" w:color="auto"/>
              <w:right w:val="single" w:sz="4" w:space="0" w:color="auto"/>
            </w:tcBorders>
            <w:vAlign w:val="center"/>
          </w:tcPr>
          <w:p w14:paraId="54D1337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检测</w:t>
            </w:r>
            <w:r w:rsidRPr="008A2411">
              <w:rPr>
                <w:rFonts w:ascii="Times New Roman"/>
                <w:color w:val="000000" w:themeColor="text1"/>
                <w:sz w:val="21"/>
                <w:szCs w:val="21"/>
              </w:rPr>
              <w:t>1</w:t>
            </w:r>
            <w:r w:rsidRPr="008A2411">
              <w:rPr>
                <w:rFonts w:ascii="Times New Roman"/>
                <w:color w:val="000000" w:themeColor="text1"/>
                <w:sz w:val="21"/>
                <w:szCs w:val="21"/>
              </w:rPr>
              <w:t>天，每点每天采样</w:t>
            </w:r>
            <w:r w:rsidRPr="008A2411">
              <w:rPr>
                <w:rFonts w:ascii="Times New Roman"/>
                <w:color w:val="000000" w:themeColor="text1"/>
                <w:sz w:val="21"/>
                <w:szCs w:val="21"/>
              </w:rPr>
              <w:t>1</w:t>
            </w:r>
            <w:r w:rsidRPr="008A2411">
              <w:rPr>
                <w:rFonts w:ascii="Times New Roman"/>
                <w:color w:val="000000" w:themeColor="text1"/>
                <w:sz w:val="21"/>
                <w:szCs w:val="21"/>
              </w:rPr>
              <w:t>次</w:t>
            </w:r>
          </w:p>
        </w:tc>
        <w:tc>
          <w:tcPr>
            <w:tcW w:w="1103" w:type="pct"/>
            <w:tcBorders>
              <w:top w:val="single" w:sz="4" w:space="0" w:color="auto"/>
              <w:left w:val="single" w:sz="4" w:space="0" w:color="auto"/>
              <w:bottom w:val="single" w:sz="4" w:space="0" w:color="auto"/>
            </w:tcBorders>
            <w:vAlign w:val="center"/>
          </w:tcPr>
          <w:p w14:paraId="78AFA0B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水质</w:t>
            </w:r>
            <w:r w:rsidRPr="008A2411">
              <w:rPr>
                <w:rFonts w:ascii="Times New Roman"/>
                <w:color w:val="000000" w:themeColor="text1"/>
                <w:sz w:val="21"/>
                <w:szCs w:val="21"/>
              </w:rPr>
              <w:t>+</w:t>
            </w:r>
            <w:r w:rsidRPr="008A2411">
              <w:rPr>
                <w:rFonts w:ascii="Times New Roman"/>
                <w:color w:val="000000" w:themeColor="text1"/>
                <w:sz w:val="21"/>
                <w:szCs w:val="21"/>
              </w:rPr>
              <w:t>水位监测</w:t>
            </w:r>
          </w:p>
        </w:tc>
      </w:tr>
      <w:tr w:rsidR="008A2411" w:rsidRPr="008A2411" w14:paraId="4C99B2D3" w14:textId="77777777">
        <w:trPr>
          <w:cantSplit/>
          <w:trHeight w:hRule="exact" w:val="567"/>
        </w:trPr>
        <w:tc>
          <w:tcPr>
            <w:tcW w:w="324" w:type="pct"/>
            <w:tcBorders>
              <w:top w:val="single" w:sz="4" w:space="0" w:color="auto"/>
              <w:bottom w:val="single" w:sz="4" w:space="0" w:color="auto"/>
              <w:right w:val="single" w:sz="4" w:space="0" w:color="auto"/>
            </w:tcBorders>
            <w:vAlign w:val="center"/>
          </w:tcPr>
          <w:p w14:paraId="5F59EAFD"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w:t>
            </w:r>
          </w:p>
        </w:tc>
        <w:tc>
          <w:tcPr>
            <w:tcW w:w="1169" w:type="pct"/>
            <w:tcBorders>
              <w:top w:val="single" w:sz="4" w:space="0" w:color="auto"/>
              <w:left w:val="single" w:sz="4" w:space="0" w:color="auto"/>
              <w:bottom w:val="single" w:sz="4" w:space="0" w:color="auto"/>
              <w:right w:val="single" w:sz="4" w:space="0" w:color="auto"/>
            </w:tcBorders>
            <w:vAlign w:val="center"/>
          </w:tcPr>
          <w:p w14:paraId="1798D5B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项目拟建地东北侧</w:t>
            </w:r>
            <w:r w:rsidRPr="008A2411">
              <w:rPr>
                <w:rFonts w:ascii="Times New Roman"/>
                <w:color w:val="000000" w:themeColor="text1"/>
                <w:sz w:val="21"/>
                <w:szCs w:val="21"/>
              </w:rPr>
              <w:t>0.94km</w:t>
            </w:r>
            <w:r w:rsidRPr="008A2411">
              <w:rPr>
                <w:rFonts w:ascii="Times New Roman"/>
                <w:color w:val="000000" w:themeColor="text1"/>
                <w:sz w:val="21"/>
                <w:szCs w:val="21"/>
              </w:rPr>
              <w:t>处居民水井（陶家沟）</w:t>
            </w:r>
          </w:p>
        </w:tc>
        <w:tc>
          <w:tcPr>
            <w:tcW w:w="649" w:type="pct"/>
            <w:tcBorders>
              <w:top w:val="single" w:sz="4" w:space="0" w:color="auto"/>
              <w:left w:val="single" w:sz="4" w:space="0" w:color="auto"/>
              <w:bottom w:val="single" w:sz="4" w:space="0" w:color="auto"/>
              <w:right w:val="single" w:sz="4" w:space="0" w:color="auto"/>
            </w:tcBorders>
            <w:vAlign w:val="center"/>
          </w:tcPr>
          <w:p w14:paraId="5D4B6CE0" w14:textId="77777777" w:rsidR="00B0005F" w:rsidRPr="008A2411" w:rsidRDefault="00000000">
            <w:pPr>
              <w:pStyle w:val="rpt"/>
              <w:snapToGrid w:val="0"/>
              <w:spacing w:before="120" w:after="120"/>
              <w:rPr>
                <w:rFonts w:ascii="Times New Roman"/>
                <w:color w:val="000000" w:themeColor="text1"/>
                <w:sz w:val="21"/>
                <w:szCs w:val="21"/>
              </w:rPr>
            </w:pPr>
            <w:r w:rsidRPr="008A2411">
              <w:rPr>
                <w:rFonts w:ascii="Times New Roman"/>
                <w:color w:val="000000" w:themeColor="text1"/>
                <w:sz w:val="21"/>
                <w:szCs w:val="21"/>
              </w:rPr>
              <w:t>107.6977</w:t>
            </w:r>
          </w:p>
        </w:tc>
        <w:tc>
          <w:tcPr>
            <w:tcW w:w="649" w:type="pct"/>
            <w:tcBorders>
              <w:top w:val="single" w:sz="4" w:space="0" w:color="auto"/>
              <w:left w:val="single" w:sz="4" w:space="0" w:color="auto"/>
              <w:bottom w:val="single" w:sz="4" w:space="0" w:color="auto"/>
              <w:right w:val="single" w:sz="4" w:space="0" w:color="auto"/>
            </w:tcBorders>
            <w:vAlign w:val="center"/>
          </w:tcPr>
          <w:p w14:paraId="319CAB56" w14:textId="77777777" w:rsidR="00B0005F" w:rsidRPr="008A2411" w:rsidRDefault="00000000">
            <w:pPr>
              <w:pStyle w:val="rpt"/>
              <w:snapToGrid w:val="0"/>
              <w:spacing w:before="120" w:after="120"/>
              <w:rPr>
                <w:rFonts w:ascii="Times New Roman"/>
                <w:color w:val="000000" w:themeColor="text1"/>
                <w:sz w:val="21"/>
                <w:szCs w:val="21"/>
              </w:rPr>
            </w:pPr>
            <w:r w:rsidRPr="008A2411">
              <w:rPr>
                <w:rFonts w:ascii="Times New Roman"/>
                <w:color w:val="000000" w:themeColor="text1"/>
                <w:sz w:val="21"/>
                <w:szCs w:val="21"/>
              </w:rPr>
              <w:t>31.5263</w:t>
            </w:r>
          </w:p>
        </w:tc>
        <w:tc>
          <w:tcPr>
            <w:tcW w:w="1103" w:type="pct"/>
            <w:vMerge/>
            <w:tcBorders>
              <w:top w:val="single" w:sz="4" w:space="0" w:color="auto"/>
              <w:left w:val="single" w:sz="4" w:space="0" w:color="auto"/>
              <w:bottom w:val="single" w:sz="4" w:space="0" w:color="auto"/>
              <w:right w:val="single" w:sz="4" w:space="0" w:color="auto"/>
            </w:tcBorders>
            <w:vAlign w:val="center"/>
          </w:tcPr>
          <w:p w14:paraId="6265D38A" w14:textId="77777777" w:rsidR="00B0005F" w:rsidRPr="008A2411" w:rsidRDefault="00B0005F">
            <w:pPr>
              <w:pStyle w:val="rpt"/>
              <w:snapToGrid w:val="0"/>
              <w:spacing w:before="120" w:after="120"/>
              <w:rPr>
                <w:rFonts w:ascii="Times New Roman"/>
                <w:color w:val="000000" w:themeColor="text1"/>
                <w:sz w:val="21"/>
                <w:szCs w:val="21"/>
              </w:rPr>
            </w:pPr>
          </w:p>
        </w:tc>
        <w:tc>
          <w:tcPr>
            <w:tcW w:w="1103" w:type="pct"/>
            <w:tcBorders>
              <w:top w:val="single" w:sz="4" w:space="0" w:color="auto"/>
              <w:left w:val="single" w:sz="4" w:space="0" w:color="auto"/>
              <w:bottom w:val="single" w:sz="4" w:space="0" w:color="auto"/>
            </w:tcBorders>
            <w:vAlign w:val="center"/>
          </w:tcPr>
          <w:p w14:paraId="7771320A" w14:textId="77777777" w:rsidR="00B0005F" w:rsidRPr="008A2411" w:rsidRDefault="00000000">
            <w:pPr>
              <w:snapToGrid w:val="0"/>
              <w:spacing w:before="120" w:after="120"/>
              <w:jc w:val="center"/>
              <w:rPr>
                <w:rFonts w:ascii="Times New Roman"/>
                <w:color w:val="000000" w:themeColor="text1"/>
                <w:sz w:val="21"/>
                <w:szCs w:val="21"/>
              </w:rPr>
            </w:pPr>
            <w:r w:rsidRPr="008A2411">
              <w:rPr>
                <w:rFonts w:ascii="Times New Roman"/>
                <w:color w:val="000000" w:themeColor="text1"/>
                <w:sz w:val="21"/>
                <w:szCs w:val="21"/>
              </w:rPr>
              <w:t>水质</w:t>
            </w:r>
            <w:r w:rsidRPr="008A2411">
              <w:rPr>
                <w:rFonts w:ascii="Times New Roman"/>
                <w:color w:val="000000" w:themeColor="text1"/>
                <w:sz w:val="21"/>
                <w:szCs w:val="21"/>
              </w:rPr>
              <w:t>+</w:t>
            </w:r>
            <w:r w:rsidRPr="008A2411">
              <w:rPr>
                <w:rFonts w:ascii="Times New Roman"/>
                <w:color w:val="000000" w:themeColor="text1"/>
                <w:sz w:val="21"/>
                <w:szCs w:val="21"/>
              </w:rPr>
              <w:t>水位监测</w:t>
            </w:r>
          </w:p>
        </w:tc>
      </w:tr>
      <w:tr w:rsidR="008A2411" w:rsidRPr="008A2411" w14:paraId="27D2F153" w14:textId="77777777">
        <w:trPr>
          <w:cantSplit/>
          <w:trHeight w:hRule="exact" w:val="567"/>
        </w:trPr>
        <w:tc>
          <w:tcPr>
            <w:tcW w:w="324" w:type="pct"/>
            <w:tcBorders>
              <w:top w:val="single" w:sz="4" w:space="0" w:color="auto"/>
              <w:bottom w:val="single" w:sz="4" w:space="0" w:color="auto"/>
              <w:right w:val="single" w:sz="4" w:space="0" w:color="auto"/>
            </w:tcBorders>
            <w:vAlign w:val="center"/>
          </w:tcPr>
          <w:p w14:paraId="3F6E38F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3#</w:t>
            </w:r>
          </w:p>
        </w:tc>
        <w:tc>
          <w:tcPr>
            <w:tcW w:w="1169" w:type="pct"/>
            <w:tcBorders>
              <w:top w:val="single" w:sz="4" w:space="0" w:color="auto"/>
              <w:left w:val="single" w:sz="4" w:space="0" w:color="auto"/>
              <w:bottom w:val="single" w:sz="4" w:space="0" w:color="auto"/>
              <w:right w:val="single" w:sz="4" w:space="0" w:color="auto"/>
            </w:tcBorders>
            <w:vAlign w:val="center"/>
          </w:tcPr>
          <w:p w14:paraId="028C66A7"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项目拟建地东侧</w:t>
            </w:r>
            <w:r w:rsidRPr="008A2411">
              <w:rPr>
                <w:rFonts w:ascii="Times New Roman"/>
                <w:color w:val="000000" w:themeColor="text1"/>
                <w:sz w:val="21"/>
                <w:szCs w:val="21"/>
              </w:rPr>
              <w:t>0.6km</w:t>
            </w:r>
            <w:r w:rsidRPr="008A2411">
              <w:rPr>
                <w:rFonts w:ascii="Times New Roman"/>
                <w:color w:val="000000" w:themeColor="text1"/>
                <w:sz w:val="21"/>
                <w:szCs w:val="21"/>
              </w:rPr>
              <w:t>处居民水井（陶家沟）</w:t>
            </w:r>
          </w:p>
        </w:tc>
        <w:tc>
          <w:tcPr>
            <w:tcW w:w="649" w:type="pct"/>
            <w:tcBorders>
              <w:top w:val="single" w:sz="4" w:space="0" w:color="auto"/>
              <w:left w:val="single" w:sz="4" w:space="0" w:color="auto"/>
              <w:bottom w:val="single" w:sz="4" w:space="0" w:color="auto"/>
              <w:right w:val="single" w:sz="4" w:space="0" w:color="auto"/>
            </w:tcBorders>
            <w:vAlign w:val="center"/>
          </w:tcPr>
          <w:p w14:paraId="5F4ABF00" w14:textId="77777777" w:rsidR="00B0005F" w:rsidRPr="008A2411" w:rsidRDefault="00000000">
            <w:pPr>
              <w:pStyle w:val="rpt"/>
              <w:snapToGrid w:val="0"/>
              <w:spacing w:before="120" w:after="120"/>
              <w:rPr>
                <w:rFonts w:ascii="Times New Roman"/>
                <w:color w:val="000000" w:themeColor="text1"/>
                <w:sz w:val="21"/>
                <w:szCs w:val="21"/>
              </w:rPr>
            </w:pPr>
            <w:r w:rsidRPr="008A2411">
              <w:rPr>
                <w:rFonts w:ascii="Times New Roman"/>
                <w:color w:val="000000" w:themeColor="text1"/>
                <w:sz w:val="21"/>
                <w:szCs w:val="21"/>
              </w:rPr>
              <w:t>107.6757</w:t>
            </w:r>
          </w:p>
        </w:tc>
        <w:tc>
          <w:tcPr>
            <w:tcW w:w="649" w:type="pct"/>
            <w:tcBorders>
              <w:top w:val="single" w:sz="4" w:space="0" w:color="auto"/>
              <w:left w:val="single" w:sz="4" w:space="0" w:color="auto"/>
              <w:bottom w:val="single" w:sz="4" w:space="0" w:color="auto"/>
              <w:right w:val="single" w:sz="4" w:space="0" w:color="auto"/>
            </w:tcBorders>
            <w:vAlign w:val="center"/>
          </w:tcPr>
          <w:p w14:paraId="518E54E5" w14:textId="77777777" w:rsidR="00B0005F" w:rsidRPr="008A2411" w:rsidRDefault="00000000">
            <w:pPr>
              <w:pStyle w:val="rpt"/>
              <w:snapToGrid w:val="0"/>
              <w:spacing w:before="120" w:after="120"/>
              <w:rPr>
                <w:rFonts w:ascii="Times New Roman"/>
                <w:color w:val="000000" w:themeColor="text1"/>
                <w:sz w:val="21"/>
                <w:szCs w:val="21"/>
              </w:rPr>
            </w:pPr>
            <w:r w:rsidRPr="008A2411">
              <w:rPr>
                <w:rFonts w:ascii="Times New Roman"/>
                <w:color w:val="000000" w:themeColor="text1"/>
                <w:sz w:val="21"/>
                <w:szCs w:val="21"/>
              </w:rPr>
              <w:t>31.8265</w:t>
            </w:r>
          </w:p>
        </w:tc>
        <w:tc>
          <w:tcPr>
            <w:tcW w:w="1103" w:type="pct"/>
            <w:vMerge/>
            <w:tcBorders>
              <w:top w:val="single" w:sz="4" w:space="0" w:color="auto"/>
              <w:left w:val="single" w:sz="4" w:space="0" w:color="auto"/>
              <w:bottom w:val="single" w:sz="4" w:space="0" w:color="auto"/>
              <w:right w:val="single" w:sz="4" w:space="0" w:color="auto"/>
            </w:tcBorders>
            <w:vAlign w:val="center"/>
          </w:tcPr>
          <w:p w14:paraId="5C5BA344" w14:textId="77777777" w:rsidR="00B0005F" w:rsidRPr="008A2411" w:rsidRDefault="00B0005F">
            <w:pPr>
              <w:pStyle w:val="rpt"/>
              <w:snapToGrid w:val="0"/>
              <w:spacing w:before="120" w:after="120"/>
              <w:ind w:left="315"/>
              <w:rPr>
                <w:rFonts w:ascii="Times New Roman"/>
                <w:color w:val="000000" w:themeColor="text1"/>
                <w:sz w:val="21"/>
                <w:szCs w:val="21"/>
              </w:rPr>
            </w:pPr>
          </w:p>
        </w:tc>
        <w:tc>
          <w:tcPr>
            <w:tcW w:w="1103" w:type="pct"/>
            <w:tcBorders>
              <w:top w:val="single" w:sz="4" w:space="0" w:color="auto"/>
              <w:left w:val="single" w:sz="4" w:space="0" w:color="auto"/>
              <w:bottom w:val="single" w:sz="4" w:space="0" w:color="auto"/>
            </w:tcBorders>
            <w:vAlign w:val="center"/>
          </w:tcPr>
          <w:p w14:paraId="42934BE2" w14:textId="77777777" w:rsidR="00B0005F" w:rsidRPr="008A2411" w:rsidRDefault="00000000">
            <w:pPr>
              <w:snapToGrid w:val="0"/>
              <w:spacing w:before="120" w:after="120"/>
              <w:jc w:val="center"/>
              <w:rPr>
                <w:rFonts w:ascii="Times New Roman"/>
                <w:color w:val="000000" w:themeColor="text1"/>
                <w:sz w:val="21"/>
                <w:szCs w:val="21"/>
              </w:rPr>
            </w:pPr>
            <w:r w:rsidRPr="008A2411">
              <w:rPr>
                <w:rFonts w:ascii="Times New Roman"/>
                <w:color w:val="000000" w:themeColor="text1"/>
                <w:sz w:val="21"/>
                <w:szCs w:val="21"/>
              </w:rPr>
              <w:t>水质</w:t>
            </w:r>
            <w:r w:rsidRPr="008A2411">
              <w:rPr>
                <w:rFonts w:ascii="Times New Roman"/>
                <w:color w:val="000000" w:themeColor="text1"/>
                <w:sz w:val="21"/>
                <w:szCs w:val="21"/>
              </w:rPr>
              <w:t>+</w:t>
            </w:r>
            <w:r w:rsidRPr="008A2411">
              <w:rPr>
                <w:rFonts w:ascii="Times New Roman"/>
                <w:color w:val="000000" w:themeColor="text1"/>
                <w:sz w:val="21"/>
                <w:szCs w:val="21"/>
              </w:rPr>
              <w:t>水位监测</w:t>
            </w:r>
          </w:p>
        </w:tc>
      </w:tr>
      <w:tr w:rsidR="008A2411" w:rsidRPr="008A2411" w14:paraId="4FA78C26" w14:textId="77777777">
        <w:trPr>
          <w:cantSplit/>
          <w:trHeight w:hRule="exact" w:val="567"/>
        </w:trPr>
        <w:tc>
          <w:tcPr>
            <w:tcW w:w="324" w:type="pct"/>
            <w:tcBorders>
              <w:top w:val="single" w:sz="4" w:space="0" w:color="auto"/>
              <w:bottom w:val="single" w:sz="4" w:space="0" w:color="auto"/>
              <w:right w:val="single" w:sz="4" w:space="0" w:color="auto"/>
            </w:tcBorders>
            <w:vAlign w:val="center"/>
          </w:tcPr>
          <w:p w14:paraId="6280B6E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4#</w:t>
            </w:r>
          </w:p>
        </w:tc>
        <w:tc>
          <w:tcPr>
            <w:tcW w:w="1169" w:type="pct"/>
            <w:tcBorders>
              <w:top w:val="single" w:sz="4" w:space="0" w:color="auto"/>
              <w:left w:val="single" w:sz="4" w:space="0" w:color="auto"/>
              <w:bottom w:val="single" w:sz="4" w:space="0" w:color="auto"/>
              <w:right w:val="single" w:sz="4" w:space="0" w:color="auto"/>
            </w:tcBorders>
            <w:vAlign w:val="center"/>
          </w:tcPr>
          <w:p w14:paraId="7EF6574B"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项目拟建地南侧</w:t>
            </w:r>
            <w:r w:rsidRPr="008A2411">
              <w:rPr>
                <w:rFonts w:ascii="Times New Roman"/>
                <w:color w:val="000000" w:themeColor="text1"/>
                <w:sz w:val="21"/>
                <w:szCs w:val="21"/>
              </w:rPr>
              <w:t>0.48km</w:t>
            </w:r>
            <w:r w:rsidRPr="008A2411">
              <w:rPr>
                <w:rFonts w:ascii="Times New Roman"/>
                <w:color w:val="000000" w:themeColor="text1"/>
                <w:sz w:val="21"/>
                <w:szCs w:val="21"/>
              </w:rPr>
              <w:t>处居民水井（洞子口）</w:t>
            </w:r>
          </w:p>
        </w:tc>
        <w:tc>
          <w:tcPr>
            <w:tcW w:w="649" w:type="pct"/>
            <w:tcBorders>
              <w:top w:val="single" w:sz="4" w:space="0" w:color="auto"/>
              <w:left w:val="single" w:sz="4" w:space="0" w:color="auto"/>
              <w:bottom w:val="single" w:sz="4" w:space="0" w:color="auto"/>
              <w:right w:val="single" w:sz="4" w:space="0" w:color="auto"/>
            </w:tcBorders>
            <w:vAlign w:val="center"/>
          </w:tcPr>
          <w:p w14:paraId="4B7FD71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107.6941</w:t>
            </w:r>
          </w:p>
        </w:tc>
        <w:tc>
          <w:tcPr>
            <w:tcW w:w="649" w:type="pct"/>
            <w:tcBorders>
              <w:top w:val="single" w:sz="4" w:space="0" w:color="auto"/>
              <w:left w:val="single" w:sz="4" w:space="0" w:color="auto"/>
              <w:bottom w:val="single" w:sz="4" w:space="0" w:color="auto"/>
              <w:right w:val="single" w:sz="4" w:space="0" w:color="auto"/>
            </w:tcBorders>
            <w:vAlign w:val="center"/>
          </w:tcPr>
          <w:p w14:paraId="026BC7DB"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31.5134</w:t>
            </w:r>
          </w:p>
        </w:tc>
        <w:tc>
          <w:tcPr>
            <w:tcW w:w="1103" w:type="pct"/>
            <w:vMerge/>
            <w:tcBorders>
              <w:top w:val="single" w:sz="4" w:space="0" w:color="auto"/>
              <w:left w:val="single" w:sz="4" w:space="0" w:color="auto"/>
              <w:bottom w:val="single" w:sz="4" w:space="0" w:color="auto"/>
              <w:right w:val="single" w:sz="4" w:space="0" w:color="auto"/>
            </w:tcBorders>
            <w:vAlign w:val="center"/>
          </w:tcPr>
          <w:p w14:paraId="7BDED401" w14:textId="77777777" w:rsidR="00B0005F" w:rsidRPr="008A2411" w:rsidRDefault="00B0005F">
            <w:pPr>
              <w:pStyle w:val="rpt"/>
              <w:snapToGrid w:val="0"/>
              <w:spacing w:before="120" w:after="120"/>
              <w:ind w:left="315"/>
              <w:rPr>
                <w:rFonts w:ascii="Times New Roman"/>
                <w:color w:val="000000" w:themeColor="text1"/>
                <w:sz w:val="21"/>
                <w:szCs w:val="21"/>
              </w:rPr>
            </w:pPr>
          </w:p>
        </w:tc>
        <w:tc>
          <w:tcPr>
            <w:tcW w:w="1103" w:type="pct"/>
            <w:tcBorders>
              <w:top w:val="single" w:sz="4" w:space="0" w:color="auto"/>
              <w:left w:val="single" w:sz="4" w:space="0" w:color="auto"/>
              <w:bottom w:val="single" w:sz="4" w:space="0" w:color="auto"/>
            </w:tcBorders>
            <w:vAlign w:val="center"/>
          </w:tcPr>
          <w:p w14:paraId="2E781417" w14:textId="77777777" w:rsidR="00B0005F" w:rsidRPr="008A2411" w:rsidRDefault="00000000">
            <w:pPr>
              <w:snapToGrid w:val="0"/>
              <w:spacing w:before="120" w:after="120"/>
              <w:jc w:val="center"/>
              <w:rPr>
                <w:rFonts w:ascii="Times New Roman"/>
                <w:color w:val="000000" w:themeColor="text1"/>
                <w:sz w:val="21"/>
                <w:szCs w:val="21"/>
              </w:rPr>
            </w:pPr>
            <w:r w:rsidRPr="008A2411">
              <w:rPr>
                <w:rFonts w:ascii="Times New Roman"/>
                <w:color w:val="000000" w:themeColor="text1"/>
                <w:sz w:val="21"/>
                <w:szCs w:val="21"/>
              </w:rPr>
              <w:t>水质</w:t>
            </w:r>
            <w:r w:rsidRPr="008A2411">
              <w:rPr>
                <w:rFonts w:ascii="Times New Roman"/>
                <w:color w:val="000000" w:themeColor="text1"/>
                <w:sz w:val="21"/>
                <w:szCs w:val="21"/>
              </w:rPr>
              <w:t>+</w:t>
            </w:r>
            <w:r w:rsidRPr="008A2411">
              <w:rPr>
                <w:rFonts w:ascii="Times New Roman"/>
                <w:color w:val="000000" w:themeColor="text1"/>
                <w:sz w:val="21"/>
                <w:szCs w:val="21"/>
              </w:rPr>
              <w:t>水位监测</w:t>
            </w:r>
          </w:p>
        </w:tc>
      </w:tr>
      <w:tr w:rsidR="008A2411" w:rsidRPr="008A2411" w14:paraId="5DDFF5A9" w14:textId="77777777">
        <w:trPr>
          <w:cantSplit/>
          <w:trHeight w:hRule="exact" w:val="567"/>
        </w:trPr>
        <w:tc>
          <w:tcPr>
            <w:tcW w:w="324" w:type="pct"/>
            <w:tcBorders>
              <w:top w:val="single" w:sz="4" w:space="0" w:color="auto"/>
              <w:bottom w:val="single" w:sz="4" w:space="0" w:color="auto"/>
              <w:right w:val="single" w:sz="4" w:space="0" w:color="auto"/>
            </w:tcBorders>
            <w:vAlign w:val="center"/>
          </w:tcPr>
          <w:p w14:paraId="69B866D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5#</w:t>
            </w:r>
          </w:p>
        </w:tc>
        <w:tc>
          <w:tcPr>
            <w:tcW w:w="1169" w:type="pct"/>
            <w:tcBorders>
              <w:top w:val="single" w:sz="4" w:space="0" w:color="auto"/>
              <w:left w:val="single" w:sz="4" w:space="0" w:color="auto"/>
              <w:bottom w:val="single" w:sz="4" w:space="0" w:color="auto"/>
              <w:right w:val="single" w:sz="4" w:space="0" w:color="auto"/>
            </w:tcBorders>
            <w:vAlign w:val="center"/>
          </w:tcPr>
          <w:p w14:paraId="624D580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项目拟建地西南侧</w:t>
            </w:r>
            <w:r w:rsidRPr="008A2411">
              <w:rPr>
                <w:rFonts w:ascii="Times New Roman"/>
                <w:color w:val="000000" w:themeColor="text1"/>
                <w:sz w:val="21"/>
                <w:szCs w:val="21"/>
              </w:rPr>
              <w:t>1.47km</w:t>
            </w:r>
            <w:r w:rsidRPr="008A2411">
              <w:rPr>
                <w:rFonts w:ascii="Times New Roman"/>
                <w:color w:val="000000" w:themeColor="text1"/>
                <w:sz w:val="21"/>
                <w:szCs w:val="21"/>
              </w:rPr>
              <w:t>处居民水井（柿子树沟）</w:t>
            </w:r>
          </w:p>
        </w:tc>
        <w:tc>
          <w:tcPr>
            <w:tcW w:w="649" w:type="pct"/>
            <w:tcBorders>
              <w:top w:val="single" w:sz="4" w:space="0" w:color="auto"/>
              <w:left w:val="single" w:sz="4" w:space="0" w:color="auto"/>
              <w:bottom w:val="single" w:sz="4" w:space="0" w:color="auto"/>
              <w:right w:val="single" w:sz="4" w:space="0" w:color="auto"/>
            </w:tcBorders>
            <w:vAlign w:val="center"/>
          </w:tcPr>
          <w:p w14:paraId="4C3731A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107.6962</w:t>
            </w:r>
          </w:p>
        </w:tc>
        <w:tc>
          <w:tcPr>
            <w:tcW w:w="649" w:type="pct"/>
            <w:tcBorders>
              <w:top w:val="single" w:sz="4" w:space="0" w:color="auto"/>
              <w:left w:val="single" w:sz="4" w:space="0" w:color="auto"/>
              <w:bottom w:val="single" w:sz="4" w:space="0" w:color="auto"/>
              <w:right w:val="single" w:sz="4" w:space="0" w:color="auto"/>
            </w:tcBorders>
            <w:vAlign w:val="center"/>
          </w:tcPr>
          <w:p w14:paraId="7C77B797"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31.4984</w:t>
            </w:r>
          </w:p>
        </w:tc>
        <w:tc>
          <w:tcPr>
            <w:tcW w:w="1103" w:type="pct"/>
            <w:vMerge/>
            <w:tcBorders>
              <w:top w:val="single" w:sz="4" w:space="0" w:color="auto"/>
              <w:left w:val="single" w:sz="4" w:space="0" w:color="auto"/>
              <w:bottom w:val="single" w:sz="4" w:space="0" w:color="auto"/>
              <w:right w:val="single" w:sz="4" w:space="0" w:color="auto"/>
            </w:tcBorders>
            <w:vAlign w:val="center"/>
          </w:tcPr>
          <w:p w14:paraId="17CB0E59" w14:textId="77777777" w:rsidR="00B0005F" w:rsidRPr="008A2411" w:rsidRDefault="00B0005F">
            <w:pPr>
              <w:pStyle w:val="rpt"/>
              <w:snapToGrid w:val="0"/>
              <w:spacing w:before="120" w:after="120"/>
              <w:ind w:left="315"/>
              <w:rPr>
                <w:rFonts w:ascii="Times New Roman"/>
                <w:color w:val="000000" w:themeColor="text1"/>
                <w:sz w:val="21"/>
                <w:szCs w:val="21"/>
              </w:rPr>
            </w:pPr>
          </w:p>
        </w:tc>
        <w:tc>
          <w:tcPr>
            <w:tcW w:w="1103" w:type="pct"/>
            <w:tcBorders>
              <w:top w:val="single" w:sz="4" w:space="0" w:color="auto"/>
              <w:left w:val="single" w:sz="4" w:space="0" w:color="auto"/>
              <w:bottom w:val="single" w:sz="4" w:space="0" w:color="auto"/>
            </w:tcBorders>
            <w:vAlign w:val="center"/>
          </w:tcPr>
          <w:p w14:paraId="63F234C9" w14:textId="77777777" w:rsidR="00B0005F" w:rsidRPr="008A2411" w:rsidRDefault="00000000">
            <w:pPr>
              <w:snapToGrid w:val="0"/>
              <w:spacing w:before="120" w:after="120"/>
              <w:jc w:val="center"/>
              <w:rPr>
                <w:rFonts w:ascii="Times New Roman"/>
                <w:color w:val="000000" w:themeColor="text1"/>
                <w:sz w:val="21"/>
                <w:szCs w:val="21"/>
              </w:rPr>
            </w:pPr>
            <w:r w:rsidRPr="008A2411">
              <w:rPr>
                <w:rFonts w:ascii="Times New Roman"/>
                <w:color w:val="000000" w:themeColor="text1"/>
                <w:sz w:val="21"/>
                <w:szCs w:val="21"/>
              </w:rPr>
              <w:t>水质</w:t>
            </w:r>
            <w:r w:rsidRPr="008A2411">
              <w:rPr>
                <w:rFonts w:ascii="Times New Roman"/>
                <w:color w:val="000000" w:themeColor="text1"/>
                <w:sz w:val="21"/>
                <w:szCs w:val="21"/>
              </w:rPr>
              <w:t>+</w:t>
            </w:r>
            <w:r w:rsidRPr="008A2411">
              <w:rPr>
                <w:rFonts w:ascii="Times New Roman"/>
                <w:color w:val="000000" w:themeColor="text1"/>
                <w:sz w:val="21"/>
                <w:szCs w:val="21"/>
              </w:rPr>
              <w:t>水位监测</w:t>
            </w:r>
          </w:p>
        </w:tc>
      </w:tr>
      <w:tr w:rsidR="008A2411" w:rsidRPr="008A2411" w14:paraId="5D061534" w14:textId="77777777">
        <w:trPr>
          <w:cantSplit/>
          <w:trHeight w:hRule="exact" w:val="567"/>
        </w:trPr>
        <w:tc>
          <w:tcPr>
            <w:tcW w:w="324" w:type="pct"/>
            <w:tcBorders>
              <w:top w:val="single" w:sz="4" w:space="0" w:color="auto"/>
              <w:bottom w:val="single" w:sz="4" w:space="0" w:color="auto"/>
              <w:right w:val="single" w:sz="4" w:space="0" w:color="auto"/>
            </w:tcBorders>
            <w:vAlign w:val="center"/>
          </w:tcPr>
          <w:p w14:paraId="73E02AC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6#</w:t>
            </w:r>
          </w:p>
        </w:tc>
        <w:tc>
          <w:tcPr>
            <w:tcW w:w="1169" w:type="pct"/>
            <w:tcBorders>
              <w:top w:val="single" w:sz="4" w:space="0" w:color="auto"/>
              <w:left w:val="single" w:sz="4" w:space="0" w:color="auto"/>
              <w:bottom w:val="single" w:sz="4" w:space="0" w:color="auto"/>
              <w:right w:val="single" w:sz="4" w:space="0" w:color="auto"/>
            </w:tcBorders>
            <w:vAlign w:val="center"/>
          </w:tcPr>
          <w:p w14:paraId="79D64B6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门楼沟旁居民水井</w:t>
            </w:r>
          </w:p>
        </w:tc>
        <w:tc>
          <w:tcPr>
            <w:tcW w:w="649" w:type="pct"/>
            <w:tcBorders>
              <w:top w:val="single" w:sz="4" w:space="0" w:color="auto"/>
              <w:left w:val="single" w:sz="4" w:space="0" w:color="auto"/>
              <w:bottom w:val="single" w:sz="4" w:space="0" w:color="auto"/>
              <w:right w:val="single" w:sz="4" w:space="0" w:color="auto"/>
            </w:tcBorders>
            <w:vAlign w:val="center"/>
          </w:tcPr>
          <w:p w14:paraId="2D181F04"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107.6881</w:t>
            </w:r>
          </w:p>
        </w:tc>
        <w:tc>
          <w:tcPr>
            <w:tcW w:w="649" w:type="pct"/>
            <w:tcBorders>
              <w:top w:val="single" w:sz="4" w:space="0" w:color="auto"/>
              <w:left w:val="single" w:sz="4" w:space="0" w:color="auto"/>
              <w:bottom w:val="single" w:sz="4" w:space="0" w:color="auto"/>
              <w:right w:val="single" w:sz="4" w:space="0" w:color="auto"/>
            </w:tcBorders>
            <w:vAlign w:val="center"/>
          </w:tcPr>
          <w:p w14:paraId="116A998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31.5225</w:t>
            </w:r>
          </w:p>
        </w:tc>
        <w:tc>
          <w:tcPr>
            <w:tcW w:w="1103" w:type="pct"/>
            <w:vMerge/>
            <w:tcBorders>
              <w:top w:val="single" w:sz="4" w:space="0" w:color="auto"/>
              <w:left w:val="single" w:sz="4" w:space="0" w:color="auto"/>
              <w:bottom w:val="single" w:sz="4" w:space="0" w:color="auto"/>
              <w:right w:val="single" w:sz="4" w:space="0" w:color="auto"/>
            </w:tcBorders>
            <w:vAlign w:val="center"/>
          </w:tcPr>
          <w:p w14:paraId="41905E94" w14:textId="77777777" w:rsidR="00B0005F" w:rsidRPr="008A2411" w:rsidRDefault="00B0005F">
            <w:pPr>
              <w:pStyle w:val="rpt"/>
              <w:snapToGrid w:val="0"/>
              <w:spacing w:before="120" w:after="120"/>
              <w:ind w:left="315"/>
              <w:rPr>
                <w:rFonts w:ascii="Times New Roman"/>
                <w:color w:val="000000" w:themeColor="text1"/>
                <w:sz w:val="21"/>
                <w:szCs w:val="21"/>
              </w:rPr>
            </w:pPr>
          </w:p>
        </w:tc>
        <w:tc>
          <w:tcPr>
            <w:tcW w:w="1103" w:type="pct"/>
            <w:tcBorders>
              <w:top w:val="single" w:sz="4" w:space="0" w:color="auto"/>
              <w:left w:val="single" w:sz="4" w:space="0" w:color="auto"/>
              <w:bottom w:val="single" w:sz="4" w:space="0" w:color="auto"/>
            </w:tcBorders>
            <w:vAlign w:val="center"/>
          </w:tcPr>
          <w:p w14:paraId="5A8936BF" w14:textId="77777777" w:rsidR="00B0005F" w:rsidRPr="008A2411" w:rsidRDefault="00000000">
            <w:pPr>
              <w:snapToGrid w:val="0"/>
              <w:spacing w:before="120" w:after="120"/>
              <w:ind w:left="315"/>
              <w:rPr>
                <w:rFonts w:ascii="Times New Roman"/>
                <w:color w:val="000000" w:themeColor="text1"/>
                <w:sz w:val="21"/>
                <w:szCs w:val="21"/>
              </w:rPr>
            </w:pPr>
            <w:r w:rsidRPr="008A2411">
              <w:rPr>
                <w:rFonts w:ascii="Times New Roman"/>
                <w:color w:val="000000" w:themeColor="text1"/>
                <w:sz w:val="21"/>
                <w:szCs w:val="21"/>
              </w:rPr>
              <w:t>水位监测</w:t>
            </w:r>
          </w:p>
        </w:tc>
      </w:tr>
      <w:tr w:rsidR="008A2411" w:rsidRPr="008A2411" w14:paraId="58F3BE3D" w14:textId="77777777">
        <w:trPr>
          <w:cantSplit/>
          <w:trHeight w:hRule="exact" w:val="567"/>
        </w:trPr>
        <w:tc>
          <w:tcPr>
            <w:tcW w:w="324" w:type="pct"/>
            <w:tcBorders>
              <w:top w:val="single" w:sz="4" w:space="0" w:color="auto"/>
              <w:bottom w:val="single" w:sz="4" w:space="0" w:color="auto"/>
              <w:right w:val="single" w:sz="4" w:space="0" w:color="auto"/>
            </w:tcBorders>
            <w:vAlign w:val="center"/>
          </w:tcPr>
          <w:p w14:paraId="4D68413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7#</w:t>
            </w:r>
          </w:p>
        </w:tc>
        <w:tc>
          <w:tcPr>
            <w:tcW w:w="1169" w:type="pct"/>
            <w:tcBorders>
              <w:top w:val="single" w:sz="4" w:space="0" w:color="auto"/>
              <w:left w:val="single" w:sz="4" w:space="0" w:color="auto"/>
              <w:bottom w:val="single" w:sz="4" w:space="0" w:color="auto"/>
              <w:right w:val="single" w:sz="4" w:space="0" w:color="auto"/>
            </w:tcBorders>
            <w:vAlign w:val="center"/>
          </w:tcPr>
          <w:p w14:paraId="339B705E"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文家</w:t>
            </w:r>
            <w:proofErr w:type="gramStart"/>
            <w:r w:rsidRPr="008A2411">
              <w:rPr>
                <w:rFonts w:ascii="Times New Roman"/>
                <w:color w:val="000000" w:themeColor="text1"/>
                <w:sz w:val="21"/>
                <w:szCs w:val="21"/>
              </w:rPr>
              <w:t>湾居民</w:t>
            </w:r>
            <w:proofErr w:type="gramEnd"/>
            <w:r w:rsidRPr="008A2411">
              <w:rPr>
                <w:rFonts w:ascii="Times New Roman"/>
                <w:color w:val="000000" w:themeColor="text1"/>
                <w:sz w:val="21"/>
                <w:szCs w:val="21"/>
              </w:rPr>
              <w:t>水井</w:t>
            </w:r>
          </w:p>
        </w:tc>
        <w:tc>
          <w:tcPr>
            <w:tcW w:w="649" w:type="pct"/>
            <w:tcBorders>
              <w:top w:val="single" w:sz="4" w:space="0" w:color="auto"/>
              <w:left w:val="single" w:sz="4" w:space="0" w:color="auto"/>
              <w:bottom w:val="single" w:sz="4" w:space="0" w:color="auto"/>
              <w:right w:val="single" w:sz="4" w:space="0" w:color="auto"/>
            </w:tcBorders>
            <w:vAlign w:val="center"/>
          </w:tcPr>
          <w:p w14:paraId="6D328A4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107.6937</w:t>
            </w:r>
          </w:p>
        </w:tc>
        <w:tc>
          <w:tcPr>
            <w:tcW w:w="649" w:type="pct"/>
            <w:tcBorders>
              <w:top w:val="single" w:sz="4" w:space="0" w:color="auto"/>
              <w:left w:val="single" w:sz="4" w:space="0" w:color="auto"/>
              <w:bottom w:val="single" w:sz="4" w:space="0" w:color="auto"/>
              <w:right w:val="single" w:sz="4" w:space="0" w:color="auto"/>
            </w:tcBorders>
            <w:vAlign w:val="center"/>
          </w:tcPr>
          <w:p w14:paraId="46EEE41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31.5276</w:t>
            </w:r>
          </w:p>
        </w:tc>
        <w:tc>
          <w:tcPr>
            <w:tcW w:w="1103" w:type="pct"/>
            <w:vMerge/>
            <w:tcBorders>
              <w:top w:val="single" w:sz="4" w:space="0" w:color="auto"/>
              <w:left w:val="single" w:sz="4" w:space="0" w:color="auto"/>
              <w:bottom w:val="single" w:sz="4" w:space="0" w:color="auto"/>
              <w:right w:val="single" w:sz="4" w:space="0" w:color="auto"/>
            </w:tcBorders>
            <w:vAlign w:val="center"/>
          </w:tcPr>
          <w:p w14:paraId="55B0FF3A" w14:textId="77777777" w:rsidR="00B0005F" w:rsidRPr="008A2411" w:rsidRDefault="00B0005F">
            <w:pPr>
              <w:pStyle w:val="rpt"/>
              <w:snapToGrid w:val="0"/>
              <w:spacing w:before="120" w:after="120"/>
              <w:ind w:left="315"/>
              <w:rPr>
                <w:rFonts w:ascii="Times New Roman"/>
                <w:color w:val="000000" w:themeColor="text1"/>
                <w:sz w:val="21"/>
                <w:szCs w:val="21"/>
              </w:rPr>
            </w:pPr>
          </w:p>
        </w:tc>
        <w:tc>
          <w:tcPr>
            <w:tcW w:w="1103" w:type="pct"/>
            <w:tcBorders>
              <w:top w:val="single" w:sz="4" w:space="0" w:color="auto"/>
              <w:left w:val="single" w:sz="4" w:space="0" w:color="auto"/>
              <w:bottom w:val="single" w:sz="4" w:space="0" w:color="auto"/>
            </w:tcBorders>
            <w:vAlign w:val="center"/>
          </w:tcPr>
          <w:p w14:paraId="023C28BE" w14:textId="77777777" w:rsidR="00B0005F" w:rsidRPr="008A2411" w:rsidRDefault="00000000">
            <w:pPr>
              <w:snapToGrid w:val="0"/>
              <w:spacing w:before="120" w:after="120"/>
              <w:ind w:left="315"/>
              <w:rPr>
                <w:rFonts w:ascii="Times New Roman"/>
                <w:color w:val="000000" w:themeColor="text1"/>
                <w:sz w:val="21"/>
                <w:szCs w:val="21"/>
              </w:rPr>
            </w:pPr>
            <w:r w:rsidRPr="008A2411">
              <w:rPr>
                <w:rFonts w:ascii="Times New Roman"/>
                <w:color w:val="000000" w:themeColor="text1"/>
                <w:sz w:val="21"/>
                <w:szCs w:val="21"/>
              </w:rPr>
              <w:t>水位监测</w:t>
            </w:r>
          </w:p>
        </w:tc>
      </w:tr>
      <w:tr w:rsidR="008A2411" w:rsidRPr="008A2411" w14:paraId="0B398831" w14:textId="77777777">
        <w:trPr>
          <w:cantSplit/>
          <w:trHeight w:hRule="exact" w:val="567"/>
        </w:trPr>
        <w:tc>
          <w:tcPr>
            <w:tcW w:w="324" w:type="pct"/>
            <w:tcBorders>
              <w:top w:val="single" w:sz="4" w:space="0" w:color="auto"/>
              <w:bottom w:val="single" w:sz="4" w:space="0" w:color="auto"/>
              <w:right w:val="single" w:sz="4" w:space="0" w:color="auto"/>
            </w:tcBorders>
            <w:vAlign w:val="center"/>
          </w:tcPr>
          <w:p w14:paraId="19D6135D"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8#</w:t>
            </w:r>
          </w:p>
        </w:tc>
        <w:tc>
          <w:tcPr>
            <w:tcW w:w="1169" w:type="pct"/>
            <w:tcBorders>
              <w:top w:val="single" w:sz="4" w:space="0" w:color="auto"/>
              <w:left w:val="single" w:sz="4" w:space="0" w:color="auto"/>
              <w:bottom w:val="single" w:sz="4" w:space="0" w:color="auto"/>
              <w:right w:val="single" w:sz="4" w:space="0" w:color="auto"/>
            </w:tcBorders>
            <w:vAlign w:val="center"/>
          </w:tcPr>
          <w:p w14:paraId="44B1A22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滴水</w:t>
            </w:r>
            <w:proofErr w:type="gramStart"/>
            <w:r w:rsidRPr="008A2411">
              <w:rPr>
                <w:rFonts w:ascii="Times New Roman"/>
                <w:color w:val="000000" w:themeColor="text1"/>
                <w:sz w:val="21"/>
                <w:szCs w:val="21"/>
              </w:rPr>
              <w:t>岩居民</w:t>
            </w:r>
            <w:proofErr w:type="gramEnd"/>
            <w:r w:rsidRPr="008A2411">
              <w:rPr>
                <w:rFonts w:ascii="Times New Roman"/>
                <w:color w:val="000000" w:themeColor="text1"/>
                <w:sz w:val="21"/>
                <w:szCs w:val="21"/>
              </w:rPr>
              <w:t>水井</w:t>
            </w:r>
          </w:p>
        </w:tc>
        <w:tc>
          <w:tcPr>
            <w:tcW w:w="649" w:type="pct"/>
            <w:tcBorders>
              <w:top w:val="single" w:sz="4" w:space="0" w:color="auto"/>
              <w:left w:val="single" w:sz="4" w:space="0" w:color="auto"/>
              <w:bottom w:val="single" w:sz="4" w:space="0" w:color="auto"/>
              <w:right w:val="single" w:sz="4" w:space="0" w:color="auto"/>
            </w:tcBorders>
            <w:vAlign w:val="center"/>
          </w:tcPr>
          <w:p w14:paraId="6DA6F4C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107.7011</w:t>
            </w:r>
          </w:p>
        </w:tc>
        <w:tc>
          <w:tcPr>
            <w:tcW w:w="649" w:type="pct"/>
            <w:tcBorders>
              <w:top w:val="single" w:sz="4" w:space="0" w:color="auto"/>
              <w:left w:val="single" w:sz="4" w:space="0" w:color="auto"/>
              <w:bottom w:val="single" w:sz="4" w:space="0" w:color="auto"/>
              <w:right w:val="single" w:sz="4" w:space="0" w:color="auto"/>
            </w:tcBorders>
            <w:vAlign w:val="center"/>
          </w:tcPr>
          <w:p w14:paraId="3908859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31.5199</w:t>
            </w:r>
          </w:p>
        </w:tc>
        <w:tc>
          <w:tcPr>
            <w:tcW w:w="1103" w:type="pct"/>
            <w:vMerge/>
            <w:tcBorders>
              <w:top w:val="single" w:sz="4" w:space="0" w:color="auto"/>
              <w:left w:val="single" w:sz="4" w:space="0" w:color="auto"/>
              <w:bottom w:val="single" w:sz="4" w:space="0" w:color="auto"/>
              <w:right w:val="single" w:sz="4" w:space="0" w:color="auto"/>
            </w:tcBorders>
            <w:vAlign w:val="center"/>
          </w:tcPr>
          <w:p w14:paraId="16FA3798" w14:textId="77777777" w:rsidR="00B0005F" w:rsidRPr="008A2411" w:rsidRDefault="00B0005F">
            <w:pPr>
              <w:pStyle w:val="rpt"/>
              <w:snapToGrid w:val="0"/>
              <w:spacing w:before="120" w:after="120"/>
              <w:ind w:left="315"/>
              <w:rPr>
                <w:rFonts w:ascii="Times New Roman"/>
                <w:color w:val="000000" w:themeColor="text1"/>
                <w:sz w:val="21"/>
                <w:szCs w:val="21"/>
              </w:rPr>
            </w:pPr>
          </w:p>
        </w:tc>
        <w:tc>
          <w:tcPr>
            <w:tcW w:w="1103" w:type="pct"/>
            <w:tcBorders>
              <w:top w:val="single" w:sz="4" w:space="0" w:color="auto"/>
              <w:left w:val="single" w:sz="4" w:space="0" w:color="auto"/>
              <w:bottom w:val="single" w:sz="4" w:space="0" w:color="auto"/>
            </w:tcBorders>
            <w:vAlign w:val="center"/>
          </w:tcPr>
          <w:p w14:paraId="1833831C" w14:textId="77777777" w:rsidR="00B0005F" w:rsidRPr="008A2411" w:rsidRDefault="00000000">
            <w:pPr>
              <w:snapToGrid w:val="0"/>
              <w:spacing w:before="120" w:after="120"/>
              <w:ind w:left="315"/>
              <w:rPr>
                <w:rFonts w:ascii="Times New Roman"/>
                <w:color w:val="000000" w:themeColor="text1"/>
                <w:sz w:val="21"/>
                <w:szCs w:val="21"/>
              </w:rPr>
            </w:pPr>
            <w:r w:rsidRPr="008A2411">
              <w:rPr>
                <w:rFonts w:ascii="Times New Roman"/>
                <w:color w:val="000000" w:themeColor="text1"/>
                <w:sz w:val="21"/>
                <w:szCs w:val="21"/>
              </w:rPr>
              <w:t>水位监测</w:t>
            </w:r>
          </w:p>
        </w:tc>
      </w:tr>
      <w:tr w:rsidR="008A2411" w:rsidRPr="008A2411" w14:paraId="01D31113" w14:textId="77777777">
        <w:trPr>
          <w:cantSplit/>
          <w:trHeight w:hRule="exact" w:val="567"/>
        </w:trPr>
        <w:tc>
          <w:tcPr>
            <w:tcW w:w="324" w:type="pct"/>
            <w:tcBorders>
              <w:top w:val="single" w:sz="4" w:space="0" w:color="auto"/>
              <w:bottom w:val="single" w:sz="4" w:space="0" w:color="auto"/>
              <w:right w:val="single" w:sz="4" w:space="0" w:color="auto"/>
            </w:tcBorders>
            <w:vAlign w:val="center"/>
          </w:tcPr>
          <w:p w14:paraId="392A6A1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9#</w:t>
            </w:r>
          </w:p>
        </w:tc>
        <w:tc>
          <w:tcPr>
            <w:tcW w:w="1169" w:type="pct"/>
            <w:tcBorders>
              <w:top w:val="single" w:sz="4" w:space="0" w:color="auto"/>
              <w:left w:val="single" w:sz="4" w:space="0" w:color="auto"/>
              <w:bottom w:val="single" w:sz="4" w:space="0" w:color="auto"/>
              <w:right w:val="single" w:sz="4" w:space="0" w:color="auto"/>
            </w:tcBorders>
            <w:vAlign w:val="center"/>
          </w:tcPr>
          <w:p w14:paraId="2B33AC6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洞子口居民水井</w:t>
            </w:r>
          </w:p>
        </w:tc>
        <w:tc>
          <w:tcPr>
            <w:tcW w:w="649" w:type="pct"/>
            <w:tcBorders>
              <w:top w:val="single" w:sz="4" w:space="0" w:color="auto"/>
              <w:left w:val="single" w:sz="4" w:space="0" w:color="auto"/>
              <w:bottom w:val="single" w:sz="4" w:space="0" w:color="auto"/>
              <w:right w:val="single" w:sz="4" w:space="0" w:color="auto"/>
            </w:tcBorders>
            <w:vAlign w:val="center"/>
          </w:tcPr>
          <w:p w14:paraId="78689A1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107.6987</w:t>
            </w:r>
          </w:p>
        </w:tc>
        <w:tc>
          <w:tcPr>
            <w:tcW w:w="649" w:type="pct"/>
            <w:tcBorders>
              <w:top w:val="single" w:sz="4" w:space="0" w:color="auto"/>
              <w:left w:val="single" w:sz="4" w:space="0" w:color="auto"/>
              <w:bottom w:val="single" w:sz="4" w:space="0" w:color="auto"/>
              <w:right w:val="single" w:sz="4" w:space="0" w:color="auto"/>
            </w:tcBorders>
            <w:vAlign w:val="center"/>
          </w:tcPr>
          <w:p w14:paraId="5FEB6B0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31.5127</w:t>
            </w:r>
          </w:p>
        </w:tc>
        <w:tc>
          <w:tcPr>
            <w:tcW w:w="1103" w:type="pct"/>
            <w:vMerge/>
            <w:tcBorders>
              <w:top w:val="single" w:sz="4" w:space="0" w:color="auto"/>
              <w:left w:val="single" w:sz="4" w:space="0" w:color="auto"/>
              <w:bottom w:val="single" w:sz="4" w:space="0" w:color="auto"/>
              <w:right w:val="single" w:sz="4" w:space="0" w:color="auto"/>
            </w:tcBorders>
            <w:vAlign w:val="center"/>
          </w:tcPr>
          <w:p w14:paraId="65768259" w14:textId="77777777" w:rsidR="00B0005F" w:rsidRPr="008A2411" w:rsidRDefault="00B0005F">
            <w:pPr>
              <w:pStyle w:val="rpt"/>
              <w:snapToGrid w:val="0"/>
              <w:spacing w:before="120" w:after="120"/>
              <w:ind w:left="315"/>
              <w:rPr>
                <w:rFonts w:ascii="Times New Roman"/>
                <w:color w:val="000000" w:themeColor="text1"/>
                <w:sz w:val="21"/>
                <w:szCs w:val="21"/>
              </w:rPr>
            </w:pPr>
          </w:p>
        </w:tc>
        <w:tc>
          <w:tcPr>
            <w:tcW w:w="1103" w:type="pct"/>
            <w:tcBorders>
              <w:top w:val="single" w:sz="4" w:space="0" w:color="auto"/>
              <w:left w:val="single" w:sz="4" w:space="0" w:color="auto"/>
              <w:bottom w:val="single" w:sz="4" w:space="0" w:color="auto"/>
            </w:tcBorders>
            <w:vAlign w:val="center"/>
          </w:tcPr>
          <w:p w14:paraId="0E738C1E" w14:textId="77777777" w:rsidR="00B0005F" w:rsidRPr="008A2411" w:rsidRDefault="00000000">
            <w:pPr>
              <w:snapToGrid w:val="0"/>
              <w:spacing w:before="120" w:after="120"/>
              <w:ind w:left="315"/>
              <w:rPr>
                <w:rFonts w:ascii="Times New Roman"/>
                <w:color w:val="000000" w:themeColor="text1"/>
                <w:sz w:val="21"/>
                <w:szCs w:val="21"/>
              </w:rPr>
            </w:pPr>
            <w:r w:rsidRPr="008A2411">
              <w:rPr>
                <w:rFonts w:ascii="Times New Roman"/>
                <w:color w:val="000000" w:themeColor="text1"/>
                <w:sz w:val="21"/>
                <w:szCs w:val="21"/>
              </w:rPr>
              <w:t>水位监测</w:t>
            </w:r>
          </w:p>
        </w:tc>
      </w:tr>
      <w:tr w:rsidR="008A2411" w:rsidRPr="008A2411" w14:paraId="32C972AB" w14:textId="77777777">
        <w:trPr>
          <w:cantSplit/>
          <w:trHeight w:hRule="exact" w:val="567"/>
        </w:trPr>
        <w:tc>
          <w:tcPr>
            <w:tcW w:w="324" w:type="pct"/>
            <w:tcBorders>
              <w:top w:val="single" w:sz="4" w:space="0" w:color="auto"/>
              <w:right w:val="single" w:sz="4" w:space="0" w:color="auto"/>
            </w:tcBorders>
            <w:vAlign w:val="center"/>
          </w:tcPr>
          <w:p w14:paraId="1942C5E5"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10#</w:t>
            </w:r>
          </w:p>
        </w:tc>
        <w:tc>
          <w:tcPr>
            <w:tcW w:w="1169" w:type="pct"/>
            <w:tcBorders>
              <w:top w:val="single" w:sz="4" w:space="0" w:color="auto"/>
              <w:left w:val="single" w:sz="4" w:space="0" w:color="auto"/>
              <w:right w:val="single" w:sz="4" w:space="0" w:color="auto"/>
            </w:tcBorders>
            <w:vAlign w:val="center"/>
          </w:tcPr>
          <w:p w14:paraId="31AE9A5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侯家山居民水井</w:t>
            </w:r>
          </w:p>
        </w:tc>
        <w:tc>
          <w:tcPr>
            <w:tcW w:w="649" w:type="pct"/>
            <w:tcBorders>
              <w:top w:val="single" w:sz="4" w:space="0" w:color="auto"/>
              <w:left w:val="single" w:sz="4" w:space="0" w:color="auto"/>
              <w:right w:val="single" w:sz="4" w:space="0" w:color="auto"/>
            </w:tcBorders>
            <w:vAlign w:val="center"/>
          </w:tcPr>
          <w:p w14:paraId="1262E1C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107.6642</w:t>
            </w:r>
          </w:p>
        </w:tc>
        <w:tc>
          <w:tcPr>
            <w:tcW w:w="649" w:type="pct"/>
            <w:tcBorders>
              <w:top w:val="single" w:sz="4" w:space="0" w:color="auto"/>
              <w:left w:val="single" w:sz="4" w:space="0" w:color="auto"/>
              <w:right w:val="single" w:sz="4" w:space="0" w:color="auto"/>
            </w:tcBorders>
            <w:vAlign w:val="center"/>
          </w:tcPr>
          <w:p w14:paraId="767C6CA7"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31.5070</w:t>
            </w:r>
          </w:p>
        </w:tc>
        <w:tc>
          <w:tcPr>
            <w:tcW w:w="1103" w:type="pct"/>
            <w:vMerge/>
            <w:tcBorders>
              <w:top w:val="single" w:sz="4" w:space="0" w:color="auto"/>
              <w:left w:val="single" w:sz="4" w:space="0" w:color="auto"/>
              <w:right w:val="single" w:sz="4" w:space="0" w:color="auto"/>
            </w:tcBorders>
            <w:vAlign w:val="center"/>
          </w:tcPr>
          <w:p w14:paraId="1E6128F3" w14:textId="77777777" w:rsidR="00B0005F" w:rsidRPr="008A2411" w:rsidRDefault="00B0005F">
            <w:pPr>
              <w:pStyle w:val="rpt"/>
              <w:snapToGrid w:val="0"/>
              <w:spacing w:before="120" w:after="120"/>
              <w:ind w:left="315"/>
              <w:rPr>
                <w:rFonts w:ascii="Times New Roman"/>
                <w:color w:val="000000" w:themeColor="text1"/>
                <w:sz w:val="21"/>
                <w:szCs w:val="21"/>
              </w:rPr>
            </w:pPr>
          </w:p>
        </w:tc>
        <w:tc>
          <w:tcPr>
            <w:tcW w:w="1103" w:type="pct"/>
            <w:tcBorders>
              <w:top w:val="single" w:sz="4" w:space="0" w:color="auto"/>
              <w:left w:val="single" w:sz="4" w:space="0" w:color="auto"/>
            </w:tcBorders>
            <w:vAlign w:val="center"/>
          </w:tcPr>
          <w:p w14:paraId="106CA382" w14:textId="77777777" w:rsidR="00B0005F" w:rsidRPr="008A2411" w:rsidRDefault="00000000">
            <w:pPr>
              <w:snapToGrid w:val="0"/>
              <w:spacing w:before="120" w:after="120"/>
              <w:ind w:left="315"/>
              <w:rPr>
                <w:rFonts w:ascii="Times New Roman"/>
                <w:color w:val="000000" w:themeColor="text1"/>
                <w:sz w:val="21"/>
                <w:szCs w:val="21"/>
              </w:rPr>
            </w:pPr>
            <w:r w:rsidRPr="008A2411">
              <w:rPr>
                <w:rFonts w:ascii="Times New Roman"/>
                <w:color w:val="000000" w:themeColor="text1"/>
                <w:sz w:val="21"/>
                <w:szCs w:val="21"/>
              </w:rPr>
              <w:t>水位监测</w:t>
            </w:r>
          </w:p>
        </w:tc>
      </w:tr>
    </w:tbl>
    <w:p w14:paraId="7540C5B0" w14:textId="77777777" w:rsidR="00B0005F" w:rsidRPr="008A2411" w:rsidRDefault="00000000">
      <w:pPr>
        <w:pStyle w:val="a9"/>
        <w:ind w:firstLine="482"/>
        <w:rPr>
          <w:rFonts w:ascii="Times New Roman"/>
          <w:b/>
          <w:bCs/>
          <w:color w:val="000000" w:themeColor="text1"/>
        </w:rPr>
      </w:pPr>
      <w:r w:rsidRPr="008A2411">
        <w:rPr>
          <w:rFonts w:ascii="Times New Roman"/>
          <w:b/>
          <w:bCs/>
          <w:color w:val="000000" w:themeColor="text1"/>
        </w:rPr>
        <w:t>2</w:t>
      </w:r>
      <w:r w:rsidRPr="008A2411">
        <w:rPr>
          <w:rFonts w:ascii="Times New Roman"/>
          <w:b/>
          <w:bCs/>
          <w:color w:val="000000" w:themeColor="text1"/>
        </w:rPr>
        <w:t>、监测项目</w:t>
      </w:r>
    </w:p>
    <w:p w14:paraId="50ECDA49" w14:textId="77777777" w:rsidR="00B0005F" w:rsidRPr="008A2411" w:rsidRDefault="00000000">
      <w:pPr>
        <w:pStyle w:val="afffffffffffffffffffff0"/>
        <w:ind w:firstLine="480"/>
        <w:rPr>
          <w:color w:val="000000" w:themeColor="text1"/>
        </w:rPr>
      </w:pPr>
      <w:r w:rsidRPr="008A2411">
        <w:rPr>
          <w:color w:val="000000" w:themeColor="text1"/>
        </w:rPr>
        <w:t>八大离子：</w:t>
      </w:r>
      <w:r w:rsidRPr="008A2411">
        <w:rPr>
          <w:color w:val="000000" w:themeColor="text1"/>
        </w:rPr>
        <w:t>Na</w:t>
      </w:r>
      <w:r w:rsidRPr="008A2411">
        <w:rPr>
          <w:color w:val="000000" w:themeColor="text1"/>
          <w:vertAlign w:val="superscript"/>
        </w:rPr>
        <w:t>+</w:t>
      </w:r>
      <w:r w:rsidRPr="008A2411">
        <w:rPr>
          <w:color w:val="000000" w:themeColor="text1"/>
        </w:rPr>
        <w:t>、</w:t>
      </w:r>
      <w:r w:rsidRPr="008A2411">
        <w:rPr>
          <w:color w:val="000000" w:themeColor="text1"/>
        </w:rPr>
        <w:t>K</w:t>
      </w:r>
      <w:r w:rsidRPr="008A2411">
        <w:rPr>
          <w:color w:val="000000" w:themeColor="text1"/>
          <w:vertAlign w:val="superscript"/>
        </w:rPr>
        <w:t>+</w:t>
      </w:r>
      <w:r w:rsidRPr="008A2411">
        <w:rPr>
          <w:color w:val="000000" w:themeColor="text1"/>
        </w:rPr>
        <w:t>、</w:t>
      </w:r>
      <w:r w:rsidRPr="008A2411">
        <w:rPr>
          <w:color w:val="000000" w:themeColor="text1"/>
        </w:rPr>
        <w:t>Ca</w:t>
      </w:r>
      <w:r w:rsidRPr="008A2411">
        <w:rPr>
          <w:color w:val="000000" w:themeColor="text1"/>
          <w:vertAlign w:val="superscript"/>
        </w:rPr>
        <w:t>2+</w:t>
      </w:r>
      <w:r w:rsidRPr="008A2411">
        <w:rPr>
          <w:color w:val="000000" w:themeColor="text1"/>
        </w:rPr>
        <w:t>、</w:t>
      </w:r>
      <w:r w:rsidRPr="008A2411">
        <w:rPr>
          <w:color w:val="000000" w:themeColor="text1"/>
        </w:rPr>
        <w:t>Mg</w:t>
      </w:r>
      <w:r w:rsidRPr="008A2411">
        <w:rPr>
          <w:color w:val="000000" w:themeColor="text1"/>
          <w:vertAlign w:val="superscript"/>
        </w:rPr>
        <w:t>2+</w:t>
      </w:r>
      <w:r w:rsidRPr="008A2411">
        <w:rPr>
          <w:color w:val="000000" w:themeColor="text1"/>
        </w:rPr>
        <w:t>、</w:t>
      </w:r>
      <w:r w:rsidRPr="008A2411">
        <w:rPr>
          <w:color w:val="000000" w:themeColor="text1"/>
        </w:rPr>
        <w:t>CO</w:t>
      </w:r>
      <w:r w:rsidRPr="008A2411">
        <w:rPr>
          <w:color w:val="000000" w:themeColor="text1"/>
          <w:vertAlign w:val="subscript"/>
        </w:rPr>
        <w:t>3</w:t>
      </w:r>
      <w:r w:rsidRPr="008A2411">
        <w:rPr>
          <w:color w:val="000000" w:themeColor="text1"/>
          <w:vertAlign w:val="superscript"/>
        </w:rPr>
        <w:t>2-</w:t>
      </w:r>
      <w:r w:rsidRPr="008A2411">
        <w:rPr>
          <w:color w:val="000000" w:themeColor="text1"/>
        </w:rPr>
        <w:t>、</w:t>
      </w:r>
      <w:r w:rsidRPr="008A2411">
        <w:rPr>
          <w:color w:val="000000" w:themeColor="text1"/>
        </w:rPr>
        <w:t>HCO</w:t>
      </w:r>
      <w:r w:rsidRPr="008A2411">
        <w:rPr>
          <w:color w:val="000000" w:themeColor="text1"/>
          <w:vertAlign w:val="subscript"/>
        </w:rPr>
        <w:t>3</w:t>
      </w:r>
      <w:r w:rsidRPr="008A2411">
        <w:rPr>
          <w:color w:val="000000" w:themeColor="text1"/>
          <w:vertAlign w:val="superscript"/>
        </w:rPr>
        <w:t>-</w:t>
      </w:r>
      <w:r w:rsidRPr="008A2411">
        <w:rPr>
          <w:color w:val="000000" w:themeColor="text1"/>
        </w:rPr>
        <w:t>、</w:t>
      </w:r>
      <w:r w:rsidRPr="008A2411">
        <w:rPr>
          <w:color w:val="000000" w:themeColor="text1"/>
        </w:rPr>
        <w:t>Cl</w:t>
      </w:r>
      <w:r w:rsidRPr="008A2411">
        <w:rPr>
          <w:color w:val="000000" w:themeColor="text1"/>
          <w:vertAlign w:val="superscript"/>
        </w:rPr>
        <w:t>-</w:t>
      </w:r>
      <w:r w:rsidRPr="008A2411">
        <w:rPr>
          <w:color w:val="000000" w:themeColor="text1"/>
        </w:rPr>
        <w:t>、</w:t>
      </w:r>
      <w:r w:rsidRPr="008A2411">
        <w:rPr>
          <w:color w:val="000000" w:themeColor="text1"/>
        </w:rPr>
        <w:t>SO</w:t>
      </w:r>
      <w:r w:rsidRPr="008A2411">
        <w:rPr>
          <w:color w:val="000000" w:themeColor="text1"/>
          <w:vertAlign w:val="subscript"/>
        </w:rPr>
        <w:t>4</w:t>
      </w:r>
      <w:r w:rsidRPr="008A2411">
        <w:rPr>
          <w:color w:val="000000" w:themeColor="text1"/>
          <w:vertAlign w:val="superscript"/>
        </w:rPr>
        <w:t>2+</w:t>
      </w:r>
    </w:p>
    <w:p w14:paraId="297F0B59" w14:textId="77777777" w:rsidR="00B0005F" w:rsidRPr="008A2411" w:rsidRDefault="00000000">
      <w:pPr>
        <w:pStyle w:val="afffffffffffffffffffff0"/>
        <w:ind w:firstLine="480"/>
        <w:rPr>
          <w:color w:val="000000" w:themeColor="text1"/>
          <w:sz w:val="32"/>
          <w:szCs w:val="40"/>
        </w:rPr>
      </w:pPr>
      <w:r w:rsidRPr="008A2411">
        <w:rPr>
          <w:color w:val="000000" w:themeColor="text1"/>
        </w:rPr>
        <w:t>其他：</w:t>
      </w:r>
      <w:r w:rsidRPr="008A2411">
        <w:rPr>
          <w:color w:val="000000" w:themeColor="text1"/>
          <w:szCs w:val="24"/>
        </w:rPr>
        <w:t>pH</w:t>
      </w:r>
      <w:r w:rsidRPr="008A2411">
        <w:rPr>
          <w:color w:val="000000" w:themeColor="text1"/>
          <w:szCs w:val="24"/>
        </w:rPr>
        <w:t>、氨氮、硝酸盐、亚硝酸盐、挥发</w:t>
      </w:r>
      <w:proofErr w:type="gramStart"/>
      <w:r w:rsidRPr="008A2411">
        <w:rPr>
          <w:color w:val="000000" w:themeColor="text1"/>
          <w:szCs w:val="24"/>
        </w:rPr>
        <w:t>酚</w:t>
      </w:r>
      <w:proofErr w:type="gramEnd"/>
      <w:r w:rsidRPr="008A2411">
        <w:rPr>
          <w:color w:val="000000" w:themeColor="text1"/>
          <w:szCs w:val="24"/>
        </w:rPr>
        <w:t>、氰化物、总砷、总汞、六价铬、钙和镁总量、锌、铅、镉、铁、锰、氟化物、硫化物、溶解性总固体、总大肠菌群、细菌总数、高锰酸盐指数、石油类、悬浮物</w:t>
      </w:r>
      <w:r w:rsidRPr="008A2411">
        <w:rPr>
          <w:color w:val="000000" w:themeColor="text1"/>
        </w:rPr>
        <w:t>。</w:t>
      </w:r>
    </w:p>
    <w:p w14:paraId="09E30D3B" w14:textId="77777777" w:rsidR="00B0005F" w:rsidRPr="008A2411" w:rsidRDefault="00000000">
      <w:pPr>
        <w:pStyle w:val="afffffffffffffffffffff0"/>
        <w:ind w:firstLine="482"/>
        <w:rPr>
          <w:b/>
          <w:bCs/>
          <w:color w:val="000000" w:themeColor="text1"/>
        </w:rPr>
      </w:pPr>
      <w:r w:rsidRPr="008A2411">
        <w:rPr>
          <w:b/>
          <w:bCs/>
          <w:color w:val="000000" w:themeColor="text1"/>
        </w:rPr>
        <w:t>3</w:t>
      </w:r>
      <w:r w:rsidRPr="008A2411">
        <w:rPr>
          <w:b/>
          <w:bCs/>
          <w:color w:val="000000" w:themeColor="text1"/>
        </w:rPr>
        <w:t>、监测频次</w:t>
      </w:r>
    </w:p>
    <w:p w14:paraId="667F573D" w14:textId="77777777" w:rsidR="00B0005F" w:rsidRPr="008A2411" w:rsidRDefault="00000000">
      <w:pPr>
        <w:pStyle w:val="afffffffffffffffffffff0"/>
        <w:ind w:firstLine="480"/>
        <w:rPr>
          <w:color w:val="000000" w:themeColor="text1"/>
        </w:rPr>
      </w:pPr>
      <w:r w:rsidRPr="008A2411">
        <w:rPr>
          <w:color w:val="000000" w:themeColor="text1"/>
        </w:rPr>
        <w:t>监测</w:t>
      </w:r>
      <w:r w:rsidRPr="008A2411">
        <w:rPr>
          <w:color w:val="000000" w:themeColor="text1"/>
        </w:rPr>
        <w:t>1</w:t>
      </w:r>
      <w:r w:rsidRPr="008A2411">
        <w:rPr>
          <w:color w:val="000000" w:themeColor="text1"/>
        </w:rPr>
        <w:t>天，每天采样</w:t>
      </w:r>
      <w:r w:rsidRPr="008A2411">
        <w:rPr>
          <w:color w:val="000000" w:themeColor="text1"/>
        </w:rPr>
        <w:t>1</w:t>
      </w:r>
      <w:r w:rsidRPr="008A2411">
        <w:rPr>
          <w:color w:val="000000" w:themeColor="text1"/>
        </w:rPr>
        <w:t>次。</w:t>
      </w:r>
    </w:p>
    <w:p w14:paraId="3E42B1F3" w14:textId="77777777" w:rsidR="00B0005F" w:rsidRPr="008A2411" w:rsidRDefault="00000000">
      <w:pPr>
        <w:pStyle w:val="afffffffffffffffffffff0"/>
        <w:ind w:firstLine="482"/>
        <w:rPr>
          <w:b/>
          <w:bCs/>
          <w:color w:val="000000" w:themeColor="text1"/>
        </w:rPr>
      </w:pPr>
      <w:bookmarkStart w:id="266" w:name="_Toc12288570"/>
      <w:r w:rsidRPr="008A2411">
        <w:rPr>
          <w:b/>
          <w:bCs/>
          <w:color w:val="000000" w:themeColor="text1"/>
        </w:rPr>
        <w:t>4</w:t>
      </w:r>
      <w:r w:rsidRPr="008A2411">
        <w:rPr>
          <w:b/>
          <w:bCs/>
          <w:color w:val="000000" w:themeColor="text1"/>
        </w:rPr>
        <w:t>、采样及分析方法</w:t>
      </w:r>
      <w:bookmarkEnd w:id="266"/>
    </w:p>
    <w:p w14:paraId="1FB19B9C" w14:textId="77777777" w:rsidR="00B0005F" w:rsidRPr="008A2411" w:rsidRDefault="00000000">
      <w:pPr>
        <w:pStyle w:val="afffffffffffffffffffff0"/>
        <w:ind w:firstLine="480"/>
        <w:rPr>
          <w:color w:val="000000" w:themeColor="text1"/>
        </w:rPr>
      </w:pPr>
      <w:r w:rsidRPr="008A2411">
        <w:rPr>
          <w:color w:val="000000" w:themeColor="text1"/>
        </w:rPr>
        <w:t>采样及分析方法按国家有关规定进行。</w:t>
      </w:r>
    </w:p>
    <w:p w14:paraId="7BAB6B76" w14:textId="77777777" w:rsidR="00B0005F" w:rsidRPr="008A2411" w:rsidRDefault="00000000">
      <w:pPr>
        <w:pStyle w:val="afffffffffffffffffffff0"/>
        <w:ind w:firstLine="482"/>
        <w:rPr>
          <w:b/>
          <w:bCs/>
          <w:color w:val="000000" w:themeColor="text1"/>
        </w:rPr>
      </w:pPr>
      <w:bookmarkStart w:id="267" w:name="_Toc12288571"/>
      <w:r w:rsidRPr="008A2411">
        <w:rPr>
          <w:b/>
          <w:bCs/>
          <w:color w:val="000000" w:themeColor="text1"/>
        </w:rPr>
        <w:t>5</w:t>
      </w:r>
      <w:r w:rsidRPr="008A2411">
        <w:rPr>
          <w:b/>
          <w:bCs/>
          <w:color w:val="000000" w:themeColor="text1"/>
        </w:rPr>
        <w:t>、评价标准</w:t>
      </w:r>
      <w:bookmarkEnd w:id="267"/>
    </w:p>
    <w:p w14:paraId="7A468C1E" w14:textId="77777777" w:rsidR="00B0005F" w:rsidRPr="008A2411" w:rsidRDefault="00000000">
      <w:pPr>
        <w:pStyle w:val="afffffffffffffffffffff0"/>
        <w:adjustRightInd w:val="0"/>
        <w:snapToGrid w:val="0"/>
        <w:ind w:firstLine="480"/>
        <w:rPr>
          <w:color w:val="000000" w:themeColor="text1"/>
        </w:rPr>
      </w:pPr>
      <w:r w:rsidRPr="008A2411">
        <w:rPr>
          <w:color w:val="000000" w:themeColor="text1"/>
        </w:rPr>
        <w:t>地下水环境质量执行《地下水质量标准》（</w:t>
      </w:r>
      <w:r w:rsidRPr="008A2411">
        <w:rPr>
          <w:color w:val="000000" w:themeColor="text1"/>
        </w:rPr>
        <w:t>GB/T14848-2017</w:t>
      </w:r>
      <w:r w:rsidRPr="008A2411">
        <w:rPr>
          <w:color w:val="000000" w:themeColor="text1"/>
        </w:rPr>
        <w:t>）中</w:t>
      </w:r>
      <w:r w:rsidRPr="008A2411">
        <w:rPr>
          <w:rFonts w:eastAsia="MS Mincho"/>
          <w:color w:val="000000" w:themeColor="text1"/>
        </w:rPr>
        <w:t>Ⅲ</w:t>
      </w:r>
      <w:r w:rsidRPr="008A2411">
        <w:rPr>
          <w:color w:val="000000" w:themeColor="text1"/>
        </w:rPr>
        <w:t>类标准，其中石油类执行《地表水环境质量标准》（</w:t>
      </w:r>
      <w:r w:rsidRPr="008A2411">
        <w:rPr>
          <w:color w:val="000000" w:themeColor="text1"/>
        </w:rPr>
        <w:t>GB3838-2002</w:t>
      </w:r>
      <w:r w:rsidRPr="008A2411">
        <w:rPr>
          <w:color w:val="000000" w:themeColor="text1"/>
        </w:rPr>
        <w:t>）</w:t>
      </w:r>
      <w:r w:rsidRPr="008A2411">
        <w:rPr>
          <w:rFonts w:eastAsia="MS Mincho"/>
          <w:color w:val="000000" w:themeColor="text1"/>
        </w:rPr>
        <w:t>Ⅲ</w:t>
      </w:r>
      <w:r w:rsidRPr="008A2411">
        <w:rPr>
          <w:color w:val="000000" w:themeColor="text1"/>
        </w:rPr>
        <w:t>类标准要求。</w:t>
      </w:r>
      <w:bookmarkStart w:id="268" w:name="_Toc12288572"/>
    </w:p>
    <w:p w14:paraId="7F7A5DA5" w14:textId="77777777" w:rsidR="00B0005F" w:rsidRPr="008A2411" w:rsidRDefault="00000000">
      <w:pPr>
        <w:pStyle w:val="afffffffffffffffffffff0"/>
        <w:adjustRightInd w:val="0"/>
        <w:snapToGrid w:val="0"/>
        <w:ind w:firstLine="482"/>
        <w:rPr>
          <w:b/>
          <w:bCs/>
          <w:color w:val="000000" w:themeColor="text1"/>
        </w:rPr>
      </w:pPr>
      <w:r w:rsidRPr="008A2411">
        <w:rPr>
          <w:b/>
          <w:bCs/>
          <w:color w:val="000000" w:themeColor="text1"/>
        </w:rPr>
        <w:t>6</w:t>
      </w:r>
      <w:r w:rsidRPr="008A2411">
        <w:rPr>
          <w:b/>
          <w:bCs/>
          <w:color w:val="000000" w:themeColor="text1"/>
        </w:rPr>
        <w:t>、评价方法</w:t>
      </w:r>
      <w:bookmarkEnd w:id="268"/>
    </w:p>
    <w:p w14:paraId="146781CC" w14:textId="77777777" w:rsidR="00B0005F" w:rsidRPr="008A2411" w:rsidRDefault="00000000">
      <w:pPr>
        <w:pStyle w:val="a9"/>
        <w:adjustRightInd w:val="0"/>
        <w:snapToGrid w:val="0"/>
        <w:spacing w:after="0" w:line="360" w:lineRule="auto"/>
        <w:ind w:firstLine="480"/>
        <w:rPr>
          <w:rFonts w:ascii="Times New Roman"/>
          <w:color w:val="000000" w:themeColor="text1"/>
          <w:sz w:val="24"/>
        </w:rPr>
      </w:pPr>
      <w:r w:rsidRPr="008A2411">
        <w:rPr>
          <w:rFonts w:ascii="Times New Roman"/>
          <w:color w:val="000000" w:themeColor="text1"/>
          <w:sz w:val="24"/>
        </w:rPr>
        <w:t>根据《环境影响评价技术导则</w:t>
      </w:r>
      <w:r w:rsidRPr="008A2411">
        <w:rPr>
          <w:rFonts w:ascii="Times New Roman"/>
          <w:color w:val="000000" w:themeColor="text1"/>
          <w:sz w:val="24"/>
        </w:rPr>
        <w:t xml:space="preserve"> </w:t>
      </w:r>
      <w:r w:rsidRPr="008A2411">
        <w:rPr>
          <w:rFonts w:ascii="Times New Roman"/>
          <w:color w:val="000000" w:themeColor="text1"/>
          <w:sz w:val="24"/>
        </w:rPr>
        <w:t>地下水环境》（</w:t>
      </w:r>
      <w:r w:rsidRPr="008A2411">
        <w:rPr>
          <w:rFonts w:ascii="Times New Roman"/>
          <w:color w:val="000000" w:themeColor="text1"/>
          <w:sz w:val="24"/>
        </w:rPr>
        <w:t>HJ610-2016</w:t>
      </w:r>
      <w:r w:rsidRPr="008A2411">
        <w:rPr>
          <w:rFonts w:ascii="Times New Roman"/>
          <w:color w:val="000000" w:themeColor="text1"/>
          <w:sz w:val="24"/>
        </w:rPr>
        <w:t>），地下水环境</w:t>
      </w:r>
      <w:r w:rsidRPr="008A2411">
        <w:rPr>
          <w:rFonts w:ascii="Times New Roman"/>
          <w:color w:val="000000" w:themeColor="text1"/>
          <w:sz w:val="24"/>
        </w:rPr>
        <w:lastRenderedPageBreak/>
        <w:t>质量现状评价方法采用标准指数法，除</w:t>
      </w:r>
      <w:r w:rsidRPr="008A2411">
        <w:rPr>
          <w:rFonts w:ascii="Times New Roman"/>
          <w:color w:val="000000" w:themeColor="text1"/>
          <w:sz w:val="24"/>
        </w:rPr>
        <w:t>pH</w:t>
      </w:r>
      <w:r w:rsidRPr="008A2411">
        <w:rPr>
          <w:rFonts w:ascii="Times New Roman"/>
          <w:color w:val="000000" w:themeColor="text1"/>
          <w:sz w:val="24"/>
        </w:rPr>
        <w:t>值外，其它水质参数的单项标准指数</w:t>
      </w:r>
      <w:r w:rsidRPr="008A2411">
        <w:rPr>
          <w:rFonts w:ascii="Times New Roman"/>
          <w:color w:val="000000" w:themeColor="text1"/>
          <w:sz w:val="24"/>
        </w:rPr>
        <w:t>Si</w:t>
      </w:r>
      <w:r w:rsidRPr="008A2411">
        <w:rPr>
          <w:rFonts w:ascii="Times New Roman"/>
          <w:color w:val="000000" w:themeColor="text1"/>
          <w:sz w:val="24"/>
        </w:rPr>
        <w:t>为：</w:t>
      </w:r>
    </w:p>
    <w:p w14:paraId="61EB3684" w14:textId="77777777" w:rsidR="00B0005F" w:rsidRPr="008A2411" w:rsidRDefault="00000000">
      <w:pPr>
        <w:pStyle w:val="a9"/>
        <w:adjustRightInd w:val="0"/>
        <w:snapToGrid w:val="0"/>
        <w:spacing w:after="0" w:line="360" w:lineRule="auto"/>
        <w:jc w:val="center"/>
        <w:rPr>
          <w:rFonts w:ascii="Times New Roman"/>
          <w:color w:val="000000" w:themeColor="text1"/>
          <w:sz w:val="24"/>
        </w:rPr>
      </w:pPr>
      <w:r w:rsidRPr="008A2411">
        <w:rPr>
          <w:rFonts w:ascii="Times New Roman"/>
          <w:color w:val="000000" w:themeColor="text1"/>
          <w:sz w:val="24"/>
        </w:rPr>
        <w:t>Si=Ci/C0i</w:t>
      </w:r>
    </w:p>
    <w:p w14:paraId="179743C4" w14:textId="77777777" w:rsidR="00B0005F" w:rsidRPr="008A2411" w:rsidRDefault="00000000">
      <w:pPr>
        <w:pStyle w:val="a9"/>
        <w:adjustRightInd w:val="0"/>
        <w:snapToGrid w:val="0"/>
        <w:spacing w:after="0" w:line="360" w:lineRule="auto"/>
        <w:ind w:firstLine="480"/>
        <w:rPr>
          <w:rFonts w:ascii="Times New Roman"/>
          <w:color w:val="000000" w:themeColor="text1"/>
          <w:sz w:val="24"/>
        </w:rPr>
      </w:pPr>
      <w:r w:rsidRPr="008A2411">
        <w:rPr>
          <w:rFonts w:ascii="Times New Roman"/>
          <w:color w:val="000000" w:themeColor="text1"/>
          <w:sz w:val="24"/>
        </w:rPr>
        <w:t>式中：</w:t>
      </w:r>
      <w:r w:rsidRPr="008A2411">
        <w:rPr>
          <w:rFonts w:ascii="Times New Roman"/>
          <w:color w:val="000000" w:themeColor="text1"/>
          <w:sz w:val="24"/>
        </w:rPr>
        <w:t>Ci——</w:t>
      </w:r>
      <w:r w:rsidRPr="008A2411">
        <w:rPr>
          <w:rFonts w:ascii="Times New Roman"/>
          <w:color w:val="000000" w:themeColor="text1"/>
          <w:sz w:val="24"/>
        </w:rPr>
        <w:t>第</w:t>
      </w:r>
      <w:r w:rsidRPr="008A2411">
        <w:rPr>
          <w:rFonts w:ascii="Times New Roman"/>
          <w:color w:val="000000" w:themeColor="text1"/>
          <w:sz w:val="24"/>
        </w:rPr>
        <w:t>i</w:t>
      </w:r>
      <w:r w:rsidRPr="008A2411">
        <w:rPr>
          <w:rFonts w:ascii="Times New Roman"/>
          <w:color w:val="000000" w:themeColor="text1"/>
          <w:sz w:val="24"/>
        </w:rPr>
        <w:t>种污染物实测浓度值，</w:t>
      </w:r>
      <w:r w:rsidRPr="008A2411">
        <w:rPr>
          <w:rFonts w:ascii="Times New Roman"/>
          <w:color w:val="000000" w:themeColor="text1"/>
          <w:sz w:val="24"/>
        </w:rPr>
        <w:t>mg/L</w:t>
      </w:r>
      <w:r w:rsidRPr="008A2411">
        <w:rPr>
          <w:rFonts w:ascii="Times New Roman"/>
          <w:color w:val="000000" w:themeColor="text1"/>
          <w:sz w:val="24"/>
        </w:rPr>
        <w:t>；</w:t>
      </w:r>
    </w:p>
    <w:p w14:paraId="210F7991" w14:textId="77777777" w:rsidR="00B0005F" w:rsidRPr="008A2411" w:rsidRDefault="00000000">
      <w:pPr>
        <w:pStyle w:val="a9"/>
        <w:adjustRightInd w:val="0"/>
        <w:snapToGrid w:val="0"/>
        <w:spacing w:after="0" w:line="360" w:lineRule="auto"/>
        <w:ind w:firstLineChars="500" w:firstLine="1200"/>
        <w:rPr>
          <w:rFonts w:ascii="Times New Roman"/>
          <w:color w:val="000000" w:themeColor="text1"/>
          <w:sz w:val="24"/>
        </w:rPr>
      </w:pPr>
      <w:r w:rsidRPr="008A2411">
        <w:rPr>
          <w:rFonts w:ascii="Times New Roman"/>
          <w:color w:val="000000" w:themeColor="text1"/>
          <w:sz w:val="24"/>
        </w:rPr>
        <w:t>C0i——</w:t>
      </w:r>
      <w:r w:rsidRPr="008A2411">
        <w:rPr>
          <w:rFonts w:ascii="Times New Roman"/>
          <w:color w:val="000000" w:themeColor="text1"/>
          <w:sz w:val="24"/>
        </w:rPr>
        <w:t>第</w:t>
      </w:r>
      <w:r w:rsidRPr="008A2411">
        <w:rPr>
          <w:rFonts w:ascii="Times New Roman"/>
          <w:color w:val="000000" w:themeColor="text1"/>
          <w:sz w:val="24"/>
        </w:rPr>
        <w:t>i</w:t>
      </w:r>
      <w:r w:rsidRPr="008A2411">
        <w:rPr>
          <w:rFonts w:ascii="Times New Roman"/>
          <w:color w:val="000000" w:themeColor="text1"/>
          <w:sz w:val="24"/>
        </w:rPr>
        <w:t>种污染物在</w:t>
      </w:r>
      <w:r w:rsidRPr="008A2411">
        <w:rPr>
          <w:rFonts w:ascii="Times New Roman"/>
          <w:color w:val="000000" w:themeColor="text1"/>
          <w:sz w:val="24"/>
        </w:rPr>
        <w:t>GB/T14848-2017</w:t>
      </w:r>
      <w:r w:rsidRPr="008A2411">
        <w:rPr>
          <w:rFonts w:ascii="Times New Roman"/>
          <w:color w:val="000000" w:themeColor="text1"/>
          <w:sz w:val="24"/>
        </w:rPr>
        <w:t>中</w:t>
      </w:r>
      <w:r w:rsidRPr="008A2411">
        <w:rPr>
          <w:rFonts w:ascii="Times New Roman"/>
          <w:color w:val="000000" w:themeColor="text1"/>
          <w:sz w:val="24"/>
        </w:rPr>
        <w:t>III</w:t>
      </w:r>
      <w:r w:rsidRPr="008A2411">
        <w:rPr>
          <w:rFonts w:ascii="Times New Roman"/>
          <w:color w:val="000000" w:themeColor="text1"/>
          <w:sz w:val="24"/>
        </w:rPr>
        <w:t>类分类指标值，</w:t>
      </w:r>
      <w:r w:rsidRPr="008A2411">
        <w:rPr>
          <w:rFonts w:ascii="Times New Roman"/>
          <w:color w:val="000000" w:themeColor="text1"/>
          <w:sz w:val="24"/>
        </w:rPr>
        <w:t>mg/L</w:t>
      </w:r>
      <w:r w:rsidRPr="008A2411">
        <w:rPr>
          <w:rFonts w:ascii="Times New Roman"/>
          <w:color w:val="000000" w:themeColor="text1"/>
          <w:sz w:val="24"/>
        </w:rPr>
        <w:t>；</w:t>
      </w:r>
    </w:p>
    <w:p w14:paraId="69B76E77" w14:textId="77777777" w:rsidR="00B0005F" w:rsidRPr="008A2411" w:rsidRDefault="00000000">
      <w:pPr>
        <w:pStyle w:val="a9"/>
        <w:adjustRightInd w:val="0"/>
        <w:snapToGrid w:val="0"/>
        <w:spacing w:after="0" w:line="360" w:lineRule="auto"/>
        <w:ind w:firstLineChars="500" w:firstLine="1200"/>
        <w:rPr>
          <w:rFonts w:ascii="Times New Roman"/>
          <w:color w:val="000000" w:themeColor="text1"/>
          <w:sz w:val="24"/>
        </w:rPr>
      </w:pPr>
      <w:r w:rsidRPr="008A2411">
        <w:rPr>
          <w:rFonts w:ascii="Times New Roman"/>
          <w:color w:val="000000" w:themeColor="text1"/>
          <w:sz w:val="24"/>
        </w:rPr>
        <w:t>pH</w:t>
      </w:r>
      <w:r w:rsidRPr="008A2411">
        <w:rPr>
          <w:rFonts w:ascii="Times New Roman"/>
          <w:color w:val="000000" w:themeColor="text1"/>
          <w:sz w:val="24"/>
        </w:rPr>
        <w:t>的标准指数</w:t>
      </w:r>
      <w:r w:rsidRPr="008A2411">
        <w:rPr>
          <w:rFonts w:ascii="Times New Roman"/>
          <w:color w:val="000000" w:themeColor="text1"/>
          <w:sz w:val="24"/>
        </w:rPr>
        <w:t>SpH</w:t>
      </w:r>
      <w:r w:rsidRPr="008A2411">
        <w:rPr>
          <w:rFonts w:ascii="Times New Roman"/>
          <w:color w:val="000000" w:themeColor="text1"/>
          <w:sz w:val="24"/>
        </w:rPr>
        <w:t>为：</w:t>
      </w:r>
    </w:p>
    <w:p w14:paraId="3D15AD50" w14:textId="77777777" w:rsidR="00B0005F" w:rsidRPr="008A2411" w:rsidRDefault="00000000">
      <w:pPr>
        <w:pStyle w:val="a9"/>
        <w:adjustRightInd w:val="0"/>
        <w:snapToGrid w:val="0"/>
        <w:spacing w:after="0" w:line="360" w:lineRule="auto"/>
        <w:ind w:firstLine="480"/>
        <w:rPr>
          <w:rFonts w:ascii="Times New Roman"/>
          <w:color w:val="000000" w:themeColor="text1"/>
          <w:sz w:val="24"/>
        </w:rPr>
      </w:pPr>
      <w:r w:rsidRPr="008A2411">
        <w:rPr>
          <w:rFonts w:ascii="Times New Roman"/>
          <w:color w:val="000000" w:themeColor="text1"/>
          <w:sz w:val="24"/>
        </w:rPr>
        <w:t>当</w:t>
      </w:r>
      <w:r w:rsidRPr="008A2411">
        <w:rPr>
          <w:rFonts w:ascii="Times New Roman"/>
          <w:color w:val="000000" w:themeColor="text1"/>
          <w:sz w:val="24"/>
        </w:rPr>
        <w:t>pH≤7.0</w:t>
      </w:r>
    </w:p>
    <w:p w14:paraId="03A6A6FD" w14:textId="77777777" w:rsidR="00B0005F" w:rsidRPr="008A2411" w:rsidRDefault="00000000">
      <w:pPr>
        <w:pStyle w:val="a9"/>
        <w:adjustRightInd w:val="0"/>
        <w:snapToGrid w:val="0"/>
        <w:spacing w:after="0" w:line="360" w:lineRule="auto"/>
        <w:ind w:firstLineChars="83" w:firstLine="199"/>
        <w:jc w:val="center"/>
        <w:rPr>
          <w:rFonts w:ascii="Times New Roman"/>
          <w:color w:val="000000" w:themeColor="text1"/>
          <w:sz w:val="24"/>
        </w:rPr>
      </w:pPr>
      <w:r w:rsidRPr="008A2411">
        <w:rPr>
          <w:rFonts w:ascii="Times New Roman"/>
          <w:color w:val="000000" w:themeColor="text1"/>
          <w:sz w:val="24"/>
        </w:rPr>
        <w:t>SpH=</w:t>
      </w:r>
      <w:r w:rsidRPr="008A2411">
        <w:rPr>
          <w:rFonts w:ascii="Times New Roman"/>
          <w:color w:val="000000" w:themeColor="text1"/>
          <w:sz w:val="24"/>
        </w:rPr>
        <w:t>（</w:t>
      </w:r>
      <w:r w:rsidRPr="008A2411">
        <w:rPr>
          <w:rFonts w:ascii="Times New Roman"/>
          <w:color w:val="000000" w:themeColor="text1"/>
          <w:sz w:val="24"/>
        </w:rPr>
        <w:t>7.0-pH</w:t>
      </w:r>
      <w:r w:rsidRPr="008A2411">
        <w:rPr>
          <w:rFonts w:ascii="Times New Roman"/>
          <w:color w:val="000000" w:themeColor="text1"/>
          <w:sz w:val="24"/>
        </w:rPr>
        <w:t>）</w:t>
      </w:r>
      <w:r w:rsidRPr="008A2411">
        <w:rPr>
          <w:rFonts w:ascii="Times New Roman"/>
          <w:color w:val="000000" w:themeColor="text1"/>
          <w:sz w:val="24"/>
        </w:rPr>
        <w:t>/</w:t>
      </w:r>
      <w:r w:rsidRPr="008A2411">
        <w:rPr>
          <w:rFonts w:ascii="Times New Roman"/>
          <w:color w:val="000000" w:themeColor="text1"/>
          <w:sz w:val="24"/>
        </w:rPr>
        <w:t>（</w:t>
      </w:r>
      <w:r w:rsidRPr="008A2411">
        <w:rPr>
          <w:rFonts w:ascii="Times New Roman"/>
          <w:color w:val="000000" w:themeColor="text1"/>
          <w:sz w:val="24"/>
        </w:rPr>
        <w:t>7.0-pHsd</w:t>
      </w:r>
      <w:r w:rsidRPr="008A2411">
        <w:rPr>
          <w:rFonts w:ascii="Times New Roman"/>
          <w:color w:val="000000" w:themeColor="text1"/>
          <w:sz w:val="24"/>
        </w:rPr>
        <w:t>）</w:t>
      </w:r>
    </w:p>
    <w:p w14:paraId="2B60F1FB" w14:textId="77777777" w:rsidR="00B0005F" w:rsidRPr="008A2411" w:rsidRDefault="00000000">
      <w:pPr>
        <w:pStyle w:val="a9"/>
        <w:adjustRightInd w:val="0"/>
        <w:snapToGrid w:val="0"/>
        <w:spacing w:after="0" w:line="360" w:lineRule="auto"/>
        <w:ind w:firstLine="480"/>
        <w:rPr>
          <w:rFonts w:ascii="Times New Roman"/>
          <w:color w:val="000000" w:themeColor="text1"/>
          <w:sz w:val="24"/>
        </w:rPr>
      </w:pPr>
      <w:r w:rsidRPr="008A2411">
        <w:rPr>
          <w:rFonts w:ascii="Times New Roman"/>
          <w:color w:val="000000" w:themeColor="text1"/>
          <w:sz w:val="24"/>
        </w:rPr>
        <w:t>当</w:t>
      </w:r>
      <w:r w:rsidRPr="008A2411">
        <w:rPr>
          <w:rFonts w:ascii="Times New Roman"/>
          <w:color w:val="000000" w:themeColor="text1"/>
          <w:sz w:val="24"/>
        </w:rPr>
        <w:t>pH≥7.0</w:t>
      </w:r>
    </w:p>
    <w:p w14:paraId="412FFB42" w14:textId="77777777" w:rsidR="00B0005F" w:rsidRPr="008A2411" w:rsidRDefault="00000000">
      <w:pPr>
        <w:pStyle w:val="a9"/>
        <w:adjustRightInd w:val="0"/>
        <w:snapToGrid w:val="0"/>
        <w:spacing w:after="0" w:line="360" w:lineRule="auto"/>
        <w:ind w:firstLineChars="83" w:firstLine="199"/>
        <w:jc w:val="center"/>
        <w:rPr>
          <w:rFonts w:ascii="Times New Roman"/>
          <w:color w:val="000000" w:themeColor="text1"/>
          <w:sz w:val="24"/>
        </w:rPr>
      </w:pPr>
      <w:r w:rsidRPr="008A2411">
        <w:rPr>
          <w:rFonts w:ascii="Times New Roman"/>
          <w:color w:val="000000" w:themeColor="text1"/>
          <w:sz w:val="24"/>
        </w:rPr>
        <w:t>SpH=</w:t>
      </w:r>
      <w:r w:rsidRPr="008A2411">
        <w:rPr>
          <w:rFonts w:ascii="Times New Roman"/>
          <w:color w:val="000000" w:themeColor="text1"/>
          <w:sz w:val="24"/>
        </w:rPr>
        <w:t>（</w:t>
      </w:r>
      <w:r w:rsidRPr="008A2411">
        <w:rPr>
          <w:rFonts w:ascii="Times New Roman"/>
          <w:color w:val="000000" w:themeColor="text1"/>
          <w:sz w:val="24"/>
        </w:rPr>
        <w:t>pH-7.0</w:t>
      </w:r>
      <w:r w:rsidRPr="008A2411">
        <w:rPr>
          <w:rFonts w:ascii="Times New Roman"/>
          <w:color w:val="000000" w:themeColor="text1"/>
          <w:sz w:val="24"/>
        </w:rPr>
        <w:t>）</w:t>
      </w:r>
      <w:r w:rsidRPr="008A2411">
        <w:rPr>
          <w:rFonts w:ascii="Times New Roman"/>
          <w:color w:val="000000" w:themeColor="text1"/>
          <w:sz w:val="24"/>
        </w:rPr>
        <w:t>/</w:t>
      </w:r>
      <w:r w:rsidRPr="008A2411">
        <w:rPr>
          <w:rFonts w:ascii="Times New Roman"/>
          <w:color w:val="000000" w:themeColor="text1"/>
          <w:sz w:val="24"/>
        </w:rPr>
        <w:t>（</w:t>
      </w:r>
      <w:r w:rsidRPr="008A2411">
        <w:rPr>
          <w:rFonts w:ascii="Times New Roman"/>
          <w:color w:val="000000" w:themeColor="text1"/>
          <w:sz w:val="24"/>
        </w:rPr>
        <w:t>pHsw-7.0</w:t>
      </w:r>
      <w:r w:rsidRPr="008A2411">
        <w:rPr>
          <w:rFonts w:ascii="Times New Roman"/>
          <w:color w:val="000000" w:themeColor="text1"/>
          <w:sz w:val="24"/>
        </w:rPr>
        <w:t>）</w:t>
      </w:r>
    </w:p>
    <w:p w14:paraId="68C6DAFB" w14:textId="77777777" w:rsidR="00B0005F" w:rsidRPr="008A2411" w:rsidRDefault="00000000">
      <w:pPr>
        <w:pStyle w:val="a9"/>
        <w:adjustRightInd w:val="0"/>
        <w:snapToGrid w:val="0"/>
        <w:spacing w:after="0" w:line="360" w:lineRule="auto"/>
        <w:ind w:firstLine="480"/>
        <w:rPr>
          <w:rFonts w:ascii="Times New Roman"/>
          <w:color w:val="000000" w:themeColor="text1"/>
          <w:sz w:val="24"/>
        </w:rPr>
      </w:pPr>
      <w:r w:rsidRPr="008A2411">
        <w:rPr>
          <w:rFonts w:ascii="Times New Roman"/>
          <w:color w:val="000000" w:themeColor="text1"/>
          <w:sz w:val="24"/>
        </w:rPr>
        <w:t>式中：</w:t>
      </w:r>
      <w:r w:rsidRPr="008A2411">
        <w:rPr>
          <w:rFonts w:ascii="Times New Roman"/>
          <w:color w:val="000000" w:themeColor="text1"/>
          <w:sz w:val="24"/>
        </w:rPr>
        <w:t>pH——</w:t>
      </w:r>
      <w:r w:rsidRPr="008A2411">
        <w:rPr>
          <w:rFonts w:ascii="Times New Roman"/>
          <w:color w:val="000000" w:themeColor="text1"/>
          <w:sz w:val="24"/>
        </w:rPr>
        <w:t>实测的</w:t>
      </w:r>
      <w:r w:rsidRPr="008A2411">
        <w:rPr>
          <w:rFonts w:ascii="Times New Roman"/>
          <w:color w:val="000000" w:themeColor="text1"/>
          <w:sz w:val="24"/>
        </w:rPr>
        <w:t>pH</w:t>
      </w:r>
      <w:r w:rsidRPr="008A2411">
        <w:rPr>
          <w:rFonts w:ascii="Times New Roman"/>
          <w:color w:val="000000" w:themeColor="text1"/>
          <w:sz w:val="24"/>
        </w:rPr>
        <w:t>值；</w:t>
      </w:r>
    </w:p>
    <w:p w14:paraId="2FCBBE61" w14:textId="77777777" w:rsidR="00B0005F" w:rsidRPr="008A2411" w:rsidRDefault="00000000">
      <w:pPr>
        <w:pStyle w:val="a9"/>
        <w:adjustRightInd w:val="0"/>
        <w:snapToGrid w:val="0"/>
        <w:spacing w:after="0" w:line="360" w:lineRule="auto"/>
        <w:ind w:firstLineChars="500" w:firstLine="1200"/>
        <w:rPr>
          <w:rFonts w:ascii="Times New Roman"/>
          <w:color w:val="000000" w:themeColor="text1"/>
          <w:sz w:val="24"/>
        </w:rPr>
      </w:pPr>
      <w:r w:rsidRPr="008A2411">
        <w:rPr>
          <w:rFonts w:ascii="Times New Roman"/>
          <w:color w:val="000000" w:themeColor="text1"/>
          <w:sz w:val="24"/>
        </w:rPr>
        <w:t>pHsd——</w:t>
      </w:r>
      <w:r w:rsidRPr="008A2411">
        <w:rPr>
          <w:rFonts w:ascii="Times New Roman"/>
          <w:color w:val="000000" w:themeColor="text1"/>
          <w:sz w:val="24"/>
        </w:rPr>
        <w:t>地表水质量标准中规定的</w:t>
      </w:r>
      <w:r w:rsidRPr="008A2411">
        <w:rPr>
          <w:rFonts w:ascii="Times New Roman"/>
          <w:color w:val="000000" w:themeColor="text1"/>
          <w:sz w:val="24"/>
        </w:rPr>
        <w:t>pH</w:t>
      </w:r>
      <w:r w:rsidRPr="008A2411">
        <w:rPr>
          <w:rFonts w:ascii="Times New Roman"/>
          <w:color w:val="000000" w:themeColor="text1"/>
          <w:sz w:val="24"/>
        </w:rPr>
        <w:t>值下限；</w:t>
      </w:r>
    </w:p>
    <w:p w14:paraId="365357FF" w14:textId="77777777" w:rsidR="00B0005F" w:rsidRPr="008A2411" w:rsidRDefault="00000000">
      <w:pPr>
        <w:pStyle w:val="a9"/>
        <w:adjustRightInd w:val="0"/>
        <w:snapToGrid w:val="0"/>
        <w:spacing w:after="0" w:line="360" w:lineRule="auto"/>
        <w:ind w:firstLineChars="500" w:firstLine="1200"/>
        <w:rPr>
          <w:rFonts w:ascii="Times New Roman"/>
          <w:color w:val="000000" w:themeColor="text1"/>
          <w:sz w:val="24"/>
        </w:rPr>
      </w:pPr>
      <w:r w:rsidRPr="008A2411">
        <w:rPr>
          <w:rFonts w:ascii="Times New Roman"/>
          <w:color w:val="000000" w:themeColor="text1"/>
          <w:sz w:val="24"/>
        </w:rPr>
        <w:t>pHsw——</w:t>
      </w:r>
      <w:r w:rsidRPr="008A2411">
        <w:rPr>
          <w:rFonts w:ascii="Times New Roman"/>
          <w:color w:val="000000" w:themeColor="text1"/>
          <w:sz w:val="24"/>
        </w:rPr>
        <w:t>地表水质量标准中规定的</w:t>
      </w:r>
      <w:r w:rsidRPr="008A2411">
        <w:rPr>
          <w:rFonts w:ascii="Times New Roman"/>
          <w:color w:val="000000" w:themeColor="text1"/>
          <w:sz w:val="24"/>
        </w:rPr>
        <w:t>pH</w:t>
      </w:r>
      <w:r w:rsidRPr="008A2411">
        <w:rPr>
          <w:rFonts w:ascii="Times New Roman"/>
          <w:color w:val="000000" w:themeColor="text1"/>
          <w:sz w:val="24"/>
        </w:rPr>
        <w:t>值上限。</w:t>
      </w:r>
    </w:p>
    <w:p w14:paraId="3663936D" w14:textId="77777777" w:rsidR="00B0005F" w:rsidRPr="008A2411" w:rsidRDefault="00000000">
      <w:pPr>
        <w:pStyle w:val="a9"/>
        <w:adjustRightInd w:val="0"/>
        <w:snapToGrid w:val="0"/>
        <w:spacing w:after="0" w:line="360" w:lineRule="auto"/>
        <w:ind w:firstLine="482"/>
        <w:rPr>
          <w:rFonts w:ascii="Times New Roman"/>
          <w:b/>
          <w:color w:val="000000" w:themeColor="text1"/>
        </w:rPr>
      </w:pPr>
      <w:bookmarkStart w:id="269" w:name="_Toc12288573"/>
      <w:r w:rsidRPr="008A2411">
        <w:rPr>
          <w:rFonts w:ascii="Times New Roman"/>
          <w:b/>
          <w:color w:val="000000" w:themeColor="text1"/>
        </w:rPr>
        <w:t>7</w:t>
      </w:r>
      <w:r w:rsidRPr="008A2411">
        <w:rPr>
          <w:rFonts w:ascii="Times New Roman"/>
          <w:b/>
          <w:color w:val="000000" w:themeColor="text1"/>
        </w:rPr>
        <w:t>、监测结果及评价结论</w:t>
      </w:r>
      <w:bookmarkEnd w:id="269"/>
    </w:p>
    <w:p w14:paraId="251B8282" w14:textId="77777777" w:rsidR="00B0005F" w:rsidRPr="008A2411" w:rsidRDefault="00000000">
      <w:pPr>
        <w:pStyle w:val="a9"/>
        <w:adjustRightInd w:val="0"/>
        <w:snapToGrid w:val="0"/>
        <w:spacing w:after="0" w:line="360" w:lineRule="auto"/>
        <w:ind w:firstLine="480"/>
        <w:rPr>
          <w:rFonts w:ascii="Times New Roman"/>
          <w:color w:val="000000" w:themeColor="text1"/>
          <w:sz w:val="24"/>
        </w:rPr>
      </w:pPr>
      <w:r w:rsidRPr="008A2411">
        <w:rPr>
          <w:rFonts w:ascii="Times New Roman"/>
          <w:color w:val="000000" w:themeColor="text1"/>
          <w:sz w:val="24"/>
        </w:rPr>
        <w:t>地下水质量现状监测结果见表</w:t>
      </w:r>
      <w:r w:rsidRPr="008A2411">
        <w:rPr>
          <w:rFonts w:ascii="Times New Roman"/>
          <w:color w:val="000000" w:themeColor="text1"/>
          <w:sz w:val="24"/>
        </w:rPr>
        <w:t>4.3-3</w:t>
      </w:r>
      <w:r w:rsidRPr="008A2411">
        <w:rPr>
          <w:rFonts w:ascii="Times New Roman"/>
          <w:color w:val="000000" w:themeColor="text1"/>
          <w:sz w:val="24"/>
        </w:rPr>
        <w:t>与评价结果见表</w:t>
      </w:r>
      <w:r w:rsidRPr="008A2411">
        <w:rPr>
          <w:rFonts w:ascii="Times New Roman"/>
          <w:color w:val="000000" w:themeColor="text1"/>
          <w:sz w:val="24"/>
        </w:rPr>
        <w:t>4.3-4</w:t>
      </w:r>
      <w:r w:rsidRPr="008A2411">
        <w:rPr>
          <w:rFonts w:ascii="Times New Roman"/>
          <w:color w:val="000000" w:themeColor="text1"/>
          <w:sz w:val="24"/>
        </w:rPr>
        <w:t>。</w:t>
      </w:r>
    </w:p>
    <w:p w14:paraId="2B6A7AC3" w14:textId="77777777" w:rsidR="00B0005F" w:rsidRPr="008A2411" w:rsidRDefault="00000000">
      <w:pPr>
        <w:pStyle w:val="TOC1"/>
        <w:adjustRightInd w:val="0"/>
        <w:snapToGrid w:val="0"/>
        <w:spacing w:before="0" w:after="0"/>
        <w:jc w:val="center"/>
        <w:rPr>
          <w:rFonts w:ascii="Times New Roman" w:eastAsia="黑体" w:hAnsi="Times New Roman" w:cs="Times New Roman"/>
          <w:b w:val="0"/>
          <w:bCs w:val="0"/>
          <w:caps w:val="0"/>
          <w:color w:val="000000" w:themeColor="text1"/>
          <w:sz w:val="24"/>
          <w:szCs w:val="24"/>
        </w:rPr>
      </w:pPr>
      <w:r w:rsidRPr="008A2411">
        <w:rPr>
          <w:rFonts w:ascii="Times New Roman" w:eastAsia="黑体" w:hAnsi="Times New Roman" w:cs="Times New Roman"/>
          <w:b w:val="0"/>
          <w:bCs w:val="0"/>
          <w:caps w:val="0"/>
          <w:color w:val="000000" w:themeColor="text1"/>
          <w:sz w:val="24"/>
          <w:szCs w:val="24"/>
        </w:rPr>
        <w:t>表</w:t>
      </w:r>
      <w:r w:rsidRPr="008A2411">
        <w:rPr>
          <w:rFonts w:ascii="Times New Roman" w:eastAsia="黑体" w:hAnsi="Times New Roman" w:cs="Times New Roman"/>
          <w:b w:val="0"/>
          <w:bCs w:val="0"/>
          <w:caps w:val="0"/>
          <w:color w:val="000000" w:themeColor="text1"/>
          <w:sz w:val="24"/>
          <w:szCs w:val="24"/>
        </w:rPr>
        <w:t xml:space="preserve">4.3-3  </w:t>
      </w:r>
      <w:r w:rsidRPr="008A2411">
        <w:rPr>
          <w:rFonts w:ascii="Times New Roman" w:eastAsia="黑体" w:hAnsi="Times New Roman" w:cs="Times New Roman"/>
          <w:b w:val="0"/>
          <w:bCs w:val="0"/>
          <w:caps w:val="0"/>
          <w:color w:val="000000" w:themeColor="text1"/>
          <w:sz w:val="24"/>
          <w:szCs w:val="24"/>
        </w:rPr>
        <w:t>地下水环境质量现状监测结果</w:t>
      </w:r>
    </w:p>
    <w:tbl>
      <w:tblPr>
        <w:tblW w:w="499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94"/>
        <w:gridCol w:w="1337"/>
        <w:gridCol w:w="885"/>
        <w:gridCol w:w="885"/>
        <w:gridCol w:w="886"/>
        <w:gridCol w:w="886"/>
        <w:gridCol w:w="893"/>
        <w:gridCol w:w="1653"/>
      </w:tblGrid>
      <w:tr w:rsidR="008A2411" w:rsidRPr="008A2411" w14:paraId="3A62EFF8" w14:textId="77777777">
        <w:trPr>
          <w:trHeight w:val="303"/>
        </w:trPr>
        <w:tc>
          <w:tcPr>
            <w:tcW w:w="667" w:type="pct"/>
            <w:vMerge w:val="restart"/>
            <w:shd w:val="clear" w:color="auto" w:fill="auto"/>
            <w:vAlign w:val="center"/>
          </w:tcPr>
          <w:p w14:paraId="2EF453E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项目</w:t>
            </w:r>
          </w:p>
        </w:tc>
        <w:tc>
          <w:tcPr>
            <w:tcW w:w="615" w:type="pct"/>
            <w:vMerge w:val="restart"/>
            <w:shd w:val="clear" w:color="auto" w:fill="auto"/>
            <w:vAlign w:val="center"/>
          </w:tcPr>
          <w:p w14:paraId="6E4355D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单位</w:t>
            </w:r>
          </w:p>
        </w:tc>
        <w:tc>
          <w:tcPr>
            <w:tcW w:w="2724" w:type="pct"/>
            <w:gridSpan w:val="5"/>
            <w:shd w:val="clear" w:color="auto" w:fill="auto"/>
            <w:vAlign w:val="center"/>
          </w:tcPr>
          <w:p w14:paraId="284167F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检测结果</w:t>
            </w:r>
          </w:p>
        </w:tc>
        <w:tc>
          <w:tcPr>
            <w:tcW w:w="992" w:type="pct"/>
            <w:vMerge w:val="restart"/>
            <w:shd w:val="clear" w:color="auto" w:fill="auto"/>
            <w:vAlign w:val="center"/>
          </w:tcPr>
          <w:p w14:paraId="703EF5A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GB14848-2017 Ⅲ</w:t>
            </w:r>
            <w:r w:rsidRPr="008A2411">
              <w:rPr>
                <w:rFonts w:ascii="Times New Roman"/>
                <w:color w:val="000000" w:themeColor="text1"/>
              </w:rPr>
              <w:t>类标准</w:t>
            </w:r>
          </w:p>
        </w:tc>
      </w:tr>
      <w:tr w:rsidR="008A2411" w:rsidRPr="008A2411" w14:paraId="6544B219" w14:textId="77777777">
        <w:trPr>
          <w:trHeight w:val="303"/>
        </w:trPr>
        <w:tc>
          <w:tcPr>
            <w:tcW w:w="667" w:type="pct"/>
            <w:vMerge/>
            <w:shd w:val="clear" w:color="auto" w:fill="auto"/>
            <w:vAlign w:val="center"/>
          </w:tcPr>
          <w:p w14:paraId="009CD0F1" w14:textId="77777777" w:rsidR="00B0005F" w:rsidRPr="008A2411" w:rsidRDefault="00B0005F">
            <w:pPr>
              <w:pStyle w:val="affffffffffff2"/>
              <w:rPr>
                <w:rFonts w:ascii="Times New Roman"/>
                <w:color w:val="000000" w:themeColor="text1"/>
              </w:rPr>
            </w:pPr>
          </w:p>
        </w:tc>
        <w:tc>
          <w:tcPr>
            <w:tcW w:w="615" w:type="pct"/>
            <w:vMerge/>
            <w:shd w:val="clear" w:color="auto" w:fill="auto"/>
            <w:vAlign w:val="center"/>
          </w:tcPr>
          <w:p w14:paraId="1B086AD8" w14:textId="77777777" w:rsidR="00B0005F" w:rsidRPr="008A2411" w:rsidRDefault="00B0005F">
            <w:pPr>
              <w:pStyle w:val="affffffffffff2"/>
              <w:rPr>
                <w:rFonts w:ascii="Times New Roman"/>
                <w:color w:val="000000" w:themeColor="text1"/>
              </w:rPr>
            </w:pPr>
          </w:p>
        </w:tc>
        <w:tc>
          <w:tcPr>
            <w:tcW w:w="544" w:type="pct"/>
            <w:shd w:val="clear" w:color="auto" w:fill="auto"/>
            <w:vAlign w:val="center"/>
          </w:tcPr>
          <w:p w14:paraId="2CF7AA4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w:t>
            </w:r>
          </w:p>
        </w:tc>
        <w:tc>
          <w:tcPr>
            <w:tcW w:w="544" w:type="pct"/>
            <w:shd w:val="clear" w:color="auto" w:fill="auto"/>
            <w:vAlign w:val="center"/>
          </w:tcPr>
          <w:p w14:paraId="344C218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2#</w:t>
            </w:r>
          </w:p>
        </w:tc>
        <w:tc>
          <w:tcPr>
            <w:tcW w:w="544" w:type="pct"/>
            <w:shd w:val="clear" w:color="auto" w:fill="auto"/>
            <w:vAlign w:val="center"/>
          </w:tcPr>
          <w:p w14:paraId="67AFDF7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3#</w:t>
            </w:r>
          </w:p>
        </w:tc>
        <w:tc>
          <w:tcPr>
            <w:tcW w:w="544" w:type="pct"/>
            <w:shd w:val="clear" w:color="auto" w:fill="auto"/>
            <w:vAlign w:val="center"/>
          </w:tcPr>
          <w:p w14:paraId="611C09F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4#</w:t>
            </w:r>
          </w:p>
        </w:tc>
        <w:tc>
          <w:tcPr>
            <w:tcW w:w="546" w:type="pct"/>
            <w:shd w:val="clear" w:color="auto" w:fill="auto"/>
            <w:vAlign w:val="center"/>
          </w:tcPr>
          <w:p w14:paraId="0BB7405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5#</w:t>
            </w:r>
          </w:p>
        </w:tc>
        <w:tc>
          <w:tcPr>
            <w:tcW w:w="992" w:type="pct"/>
            <w:vMerge/>
            <w:shd w:val="clear" w:color="auto" w:fill="auto"/>
            <w:vAlign w:val="center"/>
          </w:tcPr>
          <w:p w14:paraId="102B395F" w14:textId="77777777" w:rsidR="00B0005F" w:rsidRPr="008A2411" w:rsidRDefault="00B0005F">
            <w:pPr>
              <w:pStyle w:val="affffffffffff2"/>
              <w:rPr>
                <w:rFonts w:ascii="Times New Roman"/>
                <w:color w:val="000000" w:themeColor="text1"/>
              </w:rPr>
            </w:pPr>
          </w:p>
        </w:tc>
      </w:tr>
      <w:tr w:rsidR="008A2411" w:rsidRPr="008A2411" w14:paraId="57DF2650" w14:textId="77777777">
        <w:trPr>
          <w:trHeight w:val="318"/>
        </w:trPr>
        <w:tc>
          <w:tcPr>
            <w:tcW w:w="667" w:type="pct"/>
            <w:shd w:val="clear" w:color="auto" w:fill="auto"/>
            <w:vAlign w:val="center"/>
          </w:tcPr>
          <w:p w14:paraId="177158F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pH</w:t>
            </w:r>
            <w:r w:rsidRPr="008A2411">
              <w:rPr>
                <w:rFonts w:ascii="Times New Roman"/>
                <w:color w:val="000000" w:themeColor="text1"/>
              </w:rPr>
              <w:t>值</w:t>
            </w:r>
          </w:p>
        </w:tc>
        <w:tc>
          <w:tcPr>
            <w:tcW w:w="615" w:type="pct"/>
            <w:shd w:val="clear" w:color="auto" w:fill="auto"/>
            <w:vAlign w:val="center"/>
          </w:tcPr>
          <w:p w14:paraId="726E436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无量纲</w:t>
            </w:r>
          </w:p>
        </w:tc>
        <w:tc>
          <w:tcPr>
            <w:tcW w:w="544" w:type="pct"/>
            <w:shd w:val="clear" w:color="auto" w:fill="auto"/>
            <w:vAlign w:val="center"/>
          </w:tcPr>
          <w:p w14:paraId="0B1BF00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7.6</w:t>
            </w:r>
          </w:p>
        </w:tc>
        <w:tc>
          <w:tcPr>
            <w:tcW w:w="544" w:type="pct"/>
            <w:shd w:val="clear" w:color="auto" w:fill="auto"/>
            <w:vAlign w:val="center"/>
          </w:tcPr>
          <w:p w14:paraId="49D405E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7.3</w:t>
            </w:r>
          </w:p>
        </w:tc>
        <w:tc>
          <w:tcPr>
            <w:tcW w:w="544" w:type="pct"/>
            <w:shd w:val="clear" w:color="auto" w:fill="auto"/>
            <w:vAlign w:val="center"/>
          </w:tcPr>
          <w:p w14:paraId="65F31BB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7.6</w:t>
            </w:r>
          </w:p>
        </w:tc>
        <w:tc>
          <w:tcPr>
            <w:tcW w:w="544" w:type="pct"/>
            <w:shd w:val="clear" w:color="auto" w:fill="auto"/>
            <w:vAlign w:val="center"/>
          </w:tcPr>
          <w:p w14:paraId="3A7B79E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7.3</w:t>
            </w:r>
          </w:p>
        </w:tc>
        <w:tc>
          <w:tcPr>
            <w:tcW w:w="546" w:type="pct"/>
            <w:shd w:val="clear" w:color="auto" w:fill="auto"/>
            <w:vAlign w:val="center"/>
          </w:tcPr>
          <w:p w14:paraId="2DFF4EE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7.7</w:t>
            </w:r>
          </w:p>
        </w:tc>
        <w:tc>
          <w:tcPr>
            <w:tcW w:w="992" w:type="pct"/>
            <w:shd w:val="clear" w:color="auto" w:fill="auto"/>
            <w:noWrap/>
            <w:vAlign w:val="center"/>
          </w:tcPr>
          <w:p w14:paraId="3682ED8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6.5</w:t>
            </w:r>
            <w:r w:rsidRPr="008A2411">
              <w:rPr>
                <w:rFonts w:ascii="Times New Roman"/>
                <w:color w:val="000000" w:themeColor="text1"/>
              </w:rPr>
              <w:t>～</w:t>
            </w:r>
            <w:r w:rsidRPr="008A2411">
              <w:rPr>
                <w:rFonts w:ascii="Times New Roman"/>
                <w:color w:val="000000" w:themeColor="text1"/>
              </w:rPr>
              <w:t>8.5</w:t>
            </w:r>
          </w:p>
        </w:tc>
      </w:tr>
      <w:tr w:rsidR="008A2411" w:rsidRPr="008A2411" w14:paraId="27D71FF5" w14:textId="77777777">
        <w:trPr>
          <w:trHeight w:val="330"/>
        </w:trPr>
        <w:tc>
          <w:tcPr>
            <w:tcW w:w="667" w:type="pct"/>
            <w:shd w:val="clear" w:color="auto" w:fill="auto"/>
            <w:vAlign w:val="center"/>
          </w:tcPr>
          <w:p w14:paraId="26CDB5D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Na</w:t>
            </w:r>
            <w:r w:rsidRPr="008A2411">
              <w:rPr>
                <w:rFonts w:ascii="Times New Roman"/>
                <w:color w:val="000000" w:themeColor="text1"/>
                <w:vertAlign w:val="superscript"/>
              </w:rPr>
              <w:t>+</w:t>
            </w:r>
          </w:p>
        </w:tc>
        <w:tc>
          <w:tcPr>
            <w:tcW w:w="615" w:type="pct"/>
            <w:shd w:val="clear" w:color="auto" w:fill="auto"/>
            <w:vAlign w:val="center"/>
          </w:tcPr>
          <w:p w14:paraId="3CC5A65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mg/L</w:t>
            </w:r>
          </w:p>
        </w:tc>
        <w:tc>
          <w:tcPr>
            <w:tcW w:w="544" w:type="pct"/>
            <w:shd w:val="clear" w:color="auto" w:fill="auto"/>
            <w:vAlign w:val="center"/>
          </w:tcPr>
          <w:p w14:paraId="058C0C8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21.6</w:t>
            </w:r>
          </w:p>
        </w:tc>
        <w:tc>
          <w:tcPr>
            <w:tcW w:w="544" w:type="pct"/>
            <w:shd w:val="clear" w:color="auto" w:fill="auto"/>
            <w:vAlign w:val="center"/>
          </w:tcPr>
          <w:p w14:paraId="68C9B9E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18.2</w:t>
            </w:r>
          </w:p>
        </w:tc>
        <w:tc>
          <w:tcPr>
            <w:tcW w:w="544" w:type="pct"/>
            <w:shd w:val="clear" w:color="auto" w:fill="auto"/>
            <w:vAlign w:val="center"/>
          </w:tcPr>
          <w:p w14:paraId="1DEF01A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10.6</w:t>
            </w:r>
          </w:p>
        </w:tc>
        <w:tc>
          <w:tcPr>
            <w:tcW w:w="544" w:type="pct"/>
            <w:shd w:val="clear" w:color="auto" w:fill="auto"/>
            <w:vAlign w:val="center"/>
          </w:tcPr>
          <w:p w14:paraId="752053B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16.7</w:t>
            </w:r>
          </w:p>
        </w:tc>
        <w:tc>
          <w:tcPr>
            <w:tcW w:w="546" w:type="pct"/>
            <w:shd w:val="clear" w:color="auto" w:fill="auto"/>
            <w:vAlign w:val="center"/>
          </w:tcPr>
          <w:p w14:paraId="743875B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22.3</w:t>
            </w:r>
          </w:p>
        </w:tc>
        <w:tc>
          <w:tcPr>
            <w:tcW w:w="992" w:type="pct"/>
            <w:shd w:val="clear" w:color="auto" w:fill="auto"/>
            <w:noWrap/>
            <w:vAlign w:val="center"/>
          </w:tcPr>
          <w:p w14:paraId="3508A60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≤200</w:t>
            </w:r>
          </w:p>
        </w:tc>
      </w:tr>
      <w:tr w:rsidR="008A2411" w:rsidRPr="008A2411" w14:paraId="628F8B7E" w14:textId="77777777">
        <w:trPr>
          <w:trHeight w:val="330"/>
        </w:trPr>
        <w:tc>
          <w:tcPr>
            <w:tcW w:w="667" w:type="pct"/>
            <w:shd w:val="clear" w:color="auto" w:fill="auto"/>
            <w:vAlign w:val="center"/>
          </w:tcPr>
          <w:p w14:paraId="02F1CEA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氨氮</w:t>
            </w:r>
          </w:p>
        </w:tc>
        <w:tc>
          <w:tcPr>
            <w:tcW w:w="615" w:type="pct"/>
            <w:shd w:val="clear" w:color="auto" w:fill="auto"/>
            <w:vAlign w:val="center"/>
          </w:tcPr>
          <w:p w14:paraId="1192801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mg/L</w:t>
            </w:r>
          </w:p>
        </w:tc>
        <w:tc>
          <w:tcPr>
            <w:tcW w:w="544" w:type="pct"/>
            <w:shd w:val="clear" w:color="auto" w:fill="auto"/>
            <w:vAlign w:val="center"/>
          </w:tcPr>
          <w:p w14:paraId="3C47CF0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0.025L</w:t>
            </w:r>
          </w:p>
        </w:tc>
        <w:tc>
          <w:tcPr>
            <w:tcW w:w="544" w:type="pct"/>
            <w:shd w:val="clear" w:color="auto" w:fill="auto"/>
            <w:vAlign w:val="center"/>
          </w:tcPr>
          <w:p w14:paraId="29DD97D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0.025L</w:t>
            </w:r>
          </w:p>
        </w:tc>
        <w:tc>
          <w:tcPr>
            <w:tcW w:w="544" w:type="pct"/>
            <w:shd w:val="clear" w:color="auto" w:fill="auto"/>
            <w:vAlign w:val="center"/>
          </w:tcPr>
          <w:p w14:paraId="351695E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0.184</w:t>
            </w:r>
          </w:p>
        </w:tc>
        <w:tc>
          <w:tcPr>
            <w:tcW w:w="544" w:type="pct"/>
            <w:shd w:val="clear" w:color="auto" w:fill="auto"/>
            <w:vAlign w:val="center"/>
          </w:tcPr>
          <w:p w14:paraId="3E80A7D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0.032</w:t>
            </w:r>
          </w:p>
        </w:tc>
        <w:tc>
          <w:tcPr>
            <w:tcW w:w="546" w:type="pct"/>
            <w:shd w:val="clear" w:color="auto" w:fill="auto"/>
            <w:vAlign w:val="center"/>
          </w:tcPr>
          <w:p w14:paraId="68B49BE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0.043</w:t>
            </w:r>
          </w:p>
        </w:tc>
        <w:tc>
          <w:tcPr>
            <w:tcW w:w="992" w:type="pct"/>
            <w:shd w:val="clear" w:color="auto" w:fill="auto"/>
            <w:noWrap/>
            <w:vAlign w:val="center"/>
          </w:tcPr>
          <w:p w14:paraId="73CEE0B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≤0.5</w:t>
            </w:r>
          </w:p>
        </w:tc>
      </w:tr>
      <w:tr w:rsidR="008A2411" w:rsidRPr="008A2411" w14:paraId="31090E30" w14:textId="77777777">
        <w:trPr>
          <w:trHeight w:val="318"/>
        </w:trPr>
        <w:tc>
          <w:tcPr>
            <w:tcW w:w="667" w:type="pct"/>
            <w:shd w:val="clear" w:color="auto" w:fill="auto"/>
            <w:vAlign w:val="center"/>
          </w:tcPr>
          <w:p w14:paraId="37E757D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挥发</w:t>
            </w:r>
            <w:proofErr w:type="gramStart"/>
            <w:r w:rsidRPr="008A2411">
              <w:rPr>
                <w:rFonts w:ascii="Times New Roman"/>
                <w:color w:val="000000" w:themeColor="text1"/>
              </w:rPr>
              <w:t>酚</w:t>
            </w:r>
            <w:proofErr w:type="gramEnd"/>
          </w:p>
        </w:tc>
        <w:tc>
          <w:tcPr>
            <w:tcW w:w="615" w:type="pct"/>
            <w:shd w:val="clear" w:color="auto" w:fill="auto"/>
            <w:vAlign w:val="center"/>
          </w:tcPr>
          <w:p w14:paraId="4121784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mg/L</w:t>
            </w:r>
          </w:p>
        </w:tc>
        <w:tc>
          <w:tcPr>
            <w:tcW w:w="544" w:type="pct"/>
            <w:shd w:val="clear" w:color="auto" w:fill="auto"/>
            <w:vAlign w:val="center"/>
          </w:tcPr>
          <w:p w14:paraId="3C0FCC8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0.0005</w:t>
            </w:r>
          </w:p>
        </w:tc>
        <w:tc>
          <w:tcPr>
            <w:tcW w:w="544" w:type="pct"/>
            <w:shd w:val="clear" w:color="auto" w:fill="auto"/>
            <w:vAlign w:val="center"/>
          </w:tcPr>
          <w:p w14:paraId="452537B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0.0007</w:t>
            </w:r>
          </w:p>
        </w:tc>
        <w:tc>
          <w:tcPr>
            <w:tcW w:w="544" w:type="pct"/>
            <w:shd w:val="clear" w:color="auto" w:fill="auto"/>
            <w:vAlign w:val="center"/>
          </w:tcPr>
          <w:p w14:paraId="3FD86DC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0.0005</w:t>
            </w:r>
          </w:p>
        </w:tc>
        <w:tc>
          <w:tcPr>
            <w:tcW w:w="544" w:type="pct"/>
            <w:shd w:val="clear" w:color="auto" w:fill="auto"/>
            <w:vAlign w:val="center"/>
          </w:tcPr>
          <w:p w14:paraId="6CF871D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0.0008</w:t>
            </w:r>
          </w:p>
        </w:tc>
        <w:tc>
          <w:tcPr>
            <w:tcW w:w="546" w:type="pct"/>
            <w:shd w:val="clear" w:color="auto" w:fill="auto"/>
            <w:vAlign w:val="center"/>
          </w:tcPr>
          <w:p w14:paraId="12350DD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0.0006</w:t>
            </w:r>
          </w:p>
        </w:tc>
        <w:tc>
          <w:tcPr>
            <w:tcW w:w="992" w:type="pct"/>
            <w:shd w:val="clear" w:color="auto" w:fill="auto"/>
            <w:vAlign w:val="center"/>
          </w:tcPr>
          <w:p w14:paraId="185FDF5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≤0.002</w:t>
            </w:r>
          </w:p>
        </w:tc>
      </w:tr>
      <w:tr w:rsidR="008A2411" w:rsidRPr="008A2411" w14:paraId="4C0D22C9" w14:textId="77777777">
        <w:trPr>
          <w:trHeight w:val="330"/>
        </w:trPr>
        <w:tc>
          <w:tcPr>
            <w:tcW w:w="667" w:type="pct"/>
            <w:shd w:val="clear" w:color="auto" w:fill="auto"/>
            <w:vAlign w:val="center"/>
          </w:tcPr>
          <w:p w14:paraId="437216A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氰化物</w:t>
            </w:r>
          </w:p>
        </w:tc>
        <w:tc>
          <w:tcPr>
            <w:tcW w:w="615" w:type="pct"/>
            <w:shd w:val="clear" w:color="auto" w:fill="auto"/>
            <w:vAlign w:val="center"/>
          </w:tcPr>
          <w:p w14:paraId="0ADB44D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mg/L</w:t>
            </w:r>
          </w:p>
        </w:tc>
        <w:tc>
          <w:tcPr>
            <w:tcW w:w="544" w:type="pct"/>
            <w:shd w:val="clear" w:color="auto" w:fill="auto"/>
            <w:vAlign w:val="center"/>
          </w:tcPr>
          <w:p w14:paraId="18EC5C2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0.001L</w:t>
            </w:r>
          </w:p>
        </w:tc>
        <w:tc>
          <w:tcPr>
            <w:tcW w:w="544" w:type="pct"/>
            <w:shd w:val="clear" w:color="auto" w:fill="auto"/>
            <w:vAlign w:val="center"/>
          </w:tcPr>
          <w:p w14:paraId="3E97DD3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0.001L</w:t>
            </w:r>
          </w:p>
        </w:tc>
        <w:tc>
          <w:tcPr>
            <w:tcW w:w="544" w:type="pct"/>
            <w:shd w:val="clear" w:color="auto" w:fill="auto"/>
            <w:vAlign w:val="center"/>
          </w:tcPr>
          <w:p w14:paraId="630D944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0.001L</w:t>
            </w:r>
          </w:p>
        </w:tc>
        <w:tc>
          <w:tcPr>
            <w:tcW w:w="544" w:type="pct"/>
            <w:shd w:val="clear" w:color="auto" w:fill="auto"/>
            <w:vAlign w:val="center"/>
          </w:tcPr>
          <w:p w14:paraId="1AFDCB0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0.001L</w:t>
            </w:r>
          </w:p>
        </w:tc>
        <w:tc>
          <w:tcPr>
            <w:tcW w:w="546" w:type="pct"/>
            <w:shd w:val="clear" w:color="auto" w:fill="auto"/>
            <w:vAlign w:val="center"/>
          </w:tcPr>
          <w:p w14:paraId="1562624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0.001L</w:t>
            </w:r>
          </w:p>
        </w:tc>
        <w:tc>
          <w:tcPr>
            <w:tcW w:w="992" w:type="pct"/>
            <w:shd w:val="clear" w:color="auto" w:fill="auto"/>
            <w:noWrap/>
            <w:vAlign w:val="center"/>
          </w:tcPr>
          <w:p w14:paraId="7A5FE62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≤0.05</w:t>
            </w:r>
          </w:p>
        </w:tc>
      </w:tr>
      <w:tr w:rsidR="008A2411" w:rsidRPr="008A2411" w14:paraId="66F5B8B9" w14:textId="77777777">
        <w:trPr>
          <w:trHeight w:val="330"/>
        </w:trPr>
        <w:tc>
          <w:tcPr>
            <w:tcW w:w="667" w:type="pct"/>
            <w:shd w:val="clear" w:color="auto" w:fill="auto"/>
            <w:vAlign w:val="center"/>
          </w:tcPr>
          <w:p w14:paraId="2EFC50E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六价铬</w:t>
            </w:r>
          </w:p>
        </w:tc>
        <w:tc>
          <w:tcPr>
            <w:tcW w:w="615" w:type="pct"/>
            <w:shd w:val="clear" w:color="auto" w:fill="auto"/>
            <w:vAlign w:val="center"/>
          </w:tcPr>
          <w:p w14:paraId="20B8D6F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mg/L</w:t>
            </w:r>
          </w:p>
        </w:tc>
        <w:tc>
          <w:tcPr>
            <w:tcW w:w="544" w:type="pct"/>
            <w:shd w:val="clear" w:color="auto" w:fill="auto"/>
            <w:vAlign w:val="center"/>
          </w:tcPr>
          <w:p w14:paraId="6E1B467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0.004L</w:t>
            </w:r>
          </w:p>
        </w:tc>
        <w:tc>
          <w:tcPr>
            <w:tcW w:w="544" w:type="pct"/>
            <w:shd w:val="clear" w:color="auto" w:fill="auto"/>
            <w:vAlign w:val="center"/>
          </w:tcPr>
          <w:p w14:paraId="276A94A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0.004L</w:t>
            </w:r>
          </w:p>
        </w:tc>
        <w:tc>
          <w:tcPr>
            <w:tcW w:w="544" w:type="pct"/>
            <w:shd w:val="clear" w:color="auto" w:fill="auto"/>
            <w:vAlign w:val="center"/>
          </w:tcPr>
          <w:p w14:paraId="3ED498D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0.004L</w:t>
            </w:r>
          </w:p>
        </w:tc>
        <w:tc>
          <w:tcPr>
            <w:tcW w:w="544" w:type="pct"/>
            <w:shd w:val="clear" w:color="auto" w:fill="auto"/>
            <w:vAlign w:val="center"/>
          </w:tcPr>
          <w:p w14:paraId="7CF92ED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0.004L</w:t>
            </w:r>
          </w:p>
        </w:tc>
        <w:tc>
          <w:tcPr>
            <w:tcW w:w="546" w:type="pct"/>
            <w:shd w:val="clear" w:color="auto" w:fill="auto"/>
            <w:vAlign w:val="center"/>
          </w:tcPr>
          <w:p w14:paraId="7E872F7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0.004L</w:t>
            </w:r>
          </w:p>
        </w:tc>
        <w:tc>
          <w:tcPr>
            <w:tcW w:w="992" w:type="pct"/>
            <w:shd w:val="clear" w:color="auto" w:fill="auto"/>
            <w:noWrap/>
            <w:vAlign w:val="center"/>
          </w:tcPr>
          <w:p w14:paraId="2335EDE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≤0.05</w:t>
            </w:r>
          </w:p>
        </w:tc>
      </w:tr>
      <w:tr w:rsidR="008A2411" w:rsidRPr="008A2411" w14:paraId="168B57C1" w14:textId="77777777">
        <w:trPr>
          <w:trHeight w:val="318"/>
        </w:trPr>
        <w:tc>
          <w:tcPr>
            <w:tcW w:w="667" w:type="pct"/>
            <w:shd w:val="clear" w:color="auto" w:fill="auto"/>
            <w:vAlign w:val="center"/>
          </w:tcPr>
          <w:p w14:paraId="7BBC754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细菌总数</w:t>
            </w:r>
          </w:p>
        </w:tc>
        <w:tc>
          <w:tcPr>
            <w:tcW w:w="615" w:type="pct"/>
            <w:shd w:val="clear" w:color="auto" w:fill="auto"/>
            <w:vAlign w:val="center"/>
          </w:tcPr>
          <w:p w14:paraId="07ED4B5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CFU/mL</w:t>
            </w:r>
          </w:p>
        </w:tc>
        <w:tc>
          <w:tcPr>
            <w:tcW w:w="544" w:type="pct"/>
            <w:shd w:val="clear" w:color="auto" w:fill="auto"/>
            <w:vAlign w:val="center"/>
          </w:tcPr>
          <w:p w14:paraId="356F206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19</w:t>
            </w:r>
          </w:p>
        </w:tc>
        <w:tc>
          <w:tcPr>
            <w:tcW w:w="544" w:type="pct"/>
            <w:shd w:val="clear" w:color="auto" w:fill="auto"/>
            <w:vAlign w:val="center"/>
          </w:tcPr>
          <w:p w14:paraId="033A7E7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17</w:t>
            </w:r>
          </w:p>
        </w:tc>
        <w:tc>
          <w:tcPr>
            <w:tcW w:w="544" w:type="pct"/>
            <w:shd w:val="clear" w:color="auto" w:fill="auto"/>
            <w:vAlign w:val="center"/>
          </w:tcPr>
          <w:p w14:paraId="761332E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26</w:t>
            </w:r>
          </w:p>
        </w:tc>
        <w:tc>
          <w:tcPr>
            <w:tcW w:w="544" w:type="pct"/>
            <w:shd w:val="clear" w:color="auto" w:fill="auto"/>
            <w:vAlign w:val="center"/>
          </w:tcPr>
          <w:p w14:paraId="5995FD8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7</w:t>
            </w:r>
          </w:p>
        </w:tc>
        <w:tc>
          <w:tcPr>
            <w:tcW w:w="546" w:type="pct"/>
            <w:shd w:val="clear" w:color="auto" w:fill="auto"/>
            <w:vAlign w:val="center"/>
          </w:tcPr>
          <w:p w14:paraId="6A2B000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11</w:t>
            </w:r>
          </w:p>
        </w:tc>
        <w:tc>
          <w:tcPr>
            <w:tcW w:w="992" w:type="pct"/>
            <w:shd w:val="clear" w:color="auto" w:fill="auto"/>
            <w:noWrap/>
            <w:vAlign w:val="center"/>
          </w:tcPr>
          <w:p w14:paraId="0EACCEE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≤100</w:t>
            </w:r>
          </w:p>
        </w:tc>
      </w:tr>
      <w:tr w:rsidR="008A2411" w:rsidRPr="008A2411" w14:paraId="65B9BC43" w14:textId="77777777">
        <w:trPr>
          <w:trHeight w:val="606"/>
        </w:trPr>
        <w:tc>
          <w:tcPr>
            <w:tcW w:w="667" w:type="pct"/>
            <w:shd w:val="clear" w:color="auto" w:fill="auto"/>
            <w:vAlign w:val="center"/>
          </w:tcPr>
          <w:p w14:paraId="7AB2520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总大肠菌群</w:t>
            </w:r>
          </w:p>
        </w:tc>
        <w:tc>
          <w:tcPr>
            <w:tcW w:w="615" w:type="pct"/>
            <w:shd w:val="clear" w:color="auto" w:fill="auto"/>
            <w:vAlign w:val="center"/>
          </w:tcPr>
          <w:p w14:paraId="26023C0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MPN/100mL</w:t>
            </w:r>
          </w:p>
        </w:tc>
        <w:tc>
          <w:tcPr>
            <w:tcW w:w="544" w:type="pct"/>
            <w:shd w:val="clear" w:color="auto" w:fill="auto"/>
            <w:vAlign w:val="center"/>
          </w:tcPr>
          <w:p w14:paraId="3EC6804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23</w:t>
            </w:r>
          </w:p>
        </w:tc>
        <w:tc>
          <w:tcPr>
            <w:tcW w:w="544" w:type="pct"/>
            <w:shd w:val="clear" w:color="auto" w:fill="auto"/>
            <w:vAlign w:val="center"/>
          </w:tcPr>
          <w:p w14:paraId="603447E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23</w:t>
            </w:r>
          </w:p>
        </w:tc>
        <w:tc>
          <w:tcPr>
            <w:tcW w:w="544" w:type="pct"/>
            <w:shd w:val="clear" w:color="auto" w:fill="auto"/>
            <w:vAlign w:val="center"/>
          </w:tcPr>
          <w:p w14:paraId="50B6A15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5</w:t>
            </w:r>
          </w:p>
        </w:tc>
        <w:tc>
          <w:tcPr>
            <w:tcW w:w="544" w:type="pct"/>
            <w:shd w:val="clear" w:color="auto" w:fill="auto"/>
            <w:vAlign w:val="center"/>
          </w:tcPr>
          <w:p w14:paraId="095934B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5</w:t>
            </w:r>
          </w:p>
        </w:tc>
        <w:tc>
          <w:tcPr>
            <w:tcW w:w="546" w:type="pct"/>
            <w:shd w:val="clear" w:color="auto" w:fill="auto"/>
            <w:vAlign w:val="center"/>
          </w:tcPr>
          <w:p w14:paraId="3E4838B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8</w:t>
            </w:r>
          </w:p>
        </w:tc>
        <w:tc>
          <w:tcPr>
            <w:tcW w:w="992" w:type="pct"/>
            <w:shd w:val="clear" w:color="auto" w:fill="auto"/>
            <w:noWrap/>
            <w:vAlign w:val="center"/>
          </w:tcPr>
          <w:p w14:paraId="73B444A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≤3</w:t>
            </w:r>
          </w:p>
        </w:tc>
      </w:tr>
      <w:tr w:rsidR="008A2411" w:rsidRPr="008A2411" w14:paraId="2FF5C9EB" w14:textId="77777777">
        <w:trPr>
          <w:trHeight w:val="606"/>
        </w:trPr>
        <w:tc>
          <w:tcPr>
            <w:tcW w:w="667" w:type="pct"/>
            <w:shd w:val="clear" w:color="auto" w:fill="auto"/>
            <w:vAlign w:val="center"/>
          </w:tcPr>
          <w:p w14:paraId="2178463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溶解性总固体</w:t>
            </w:r>
          </w:p>
        </w:tc>
        <w:tc>
          <w:tcPr>
            <w:tcW w:w="615" w:type="pct"/>
            <w:shd w:val="clear" w:color="auto" w:fill="auto"/>
            <w:vAlign w:val="center"/>
          </w:tcPr>
          <w:p w14:paraId="1E2A405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mg/L</w:t>
            </w:r>
          </w:p>
        </w:tc>
        <w:tc>
          <w:tcPr>
            <w:tcW w:w="544" w:type="pct"/>
            <w:shd w:val="clear" w:color="auto" w:fill="auto"/>
            <w:vAlign w:val="center"/>
          </w:tcPr>
          <w:p w14:paraId="55F3F2D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584</w:t>
            </w:r>
          </w:p>
        </w:tc>
        <w:tc>
          <w:tcPr>
            <w:tcW w:w="544" w:type="pct"/>
            <w:shd w:val="clear" w:color="auto" w:fill="auto"/>
            <w:vAlign w:val="center"/>
          </w:tcPr>
          <w:p w14:paraId="0AB8381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635</w:t>
            </w:r>
          </w:p>
        </w:tc>
        <w:tc>
          <w:tcPr>
            <w:tcW w:w="544" w:type="pct"/>
            <w:shd w:val="clear" w:color="auto" w:fill="auto"/>
            <w:vAlign w:val="center"/>
          </w:tcPr>
          <w:p w14:paraId="584D7CB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492</w:t>
            </w:r>
          </w:p>
        </w:tc>
        <w:tc>
          <w:tcPr>
            <w:tcW w:w="544" w:type="pct"/>
            <w:shd w:val="clear" w:color="auto" w:fill="auto"/>
            <w:vAlign w:val="center"/>
          </w:tcPr>
          <w:p w14:paraId="2FB72E1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538</w:t>
            </w:r>
          </w:p>
        </w:tc>
        <w:tc>
          <w:tcPr>
            <w:tcW w:w="546" w:type="pct"/>
            <w:shd w:val="clear" w:color="auto" w:fill="auto"/>
            <w:vAlign w:val="center"/>
          </w:tcPr>
          <w:p w14:paraId="216FCA2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461</w:t>
            </w:r>
          </w:p>
        </w:tc>
        <w:tc>
          <w:tcPr>
            <w:tcW w:w="992" w:type="pct"/>
            <w:shd w:val="clear" w:color="auto" w:fill="auto"/>
            <w:noWrap/>
            <w:vAlign w:val="center"/>
          </w:tcPr>
          <w:p w14:paraId="58AAEA9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≤1000</w:t>
            </w:r>
          </w:p>
        </w:tc>
      </w:tr>
      <w:tr w:rsidR="008A2411" w:rsidRPr="008A2411" w14:paraId="6F403151" w14:textId="77777777">
        <w:trPr>
          <w:trHeight w:val="330"/>
        </w:trPr>
        <w:tc>
          <w:tcPr>
            <w:tcW w:w="667" w:type="pct"/>
            <w:shd w:val="clear" w:color="auto" w:fill="auto"/>
            <w:vAlign w:val="center"/>
          </w:tcPr>
          <w:p w14:paraId="034FFEE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汞</w:t>
            </w:r>
          </w:p>
        </w:tc>
        <w:tc>
          <w:tcPr>
            <w:tcW w:w="615" w:type="pct"/>
            <w:shd w:val="clear" w:color="auto" w:fill="auto"/>
            <w:vAlign w:val="center"/>
          </w:tcPr>
          <w:p w14:paraId="2EF2EF83" w14:textId="77777777" w:rsidR="00B0005F" w:rsidRPr="008A2411" w:rsidRDefault="00000000">
            <w:pPr>
              <w:pStyle w:val="affffffffffff2"/>
              <w:rPr>
                <w:rFonts w:ascii="Times New Roman"/>
                <w:color w:val="000000" w:themeColor="text1"/>
              </w:rPr>
            </w:pPr>
            <w:r w:rsidRPr="008A2411">
              <w:rPr>
                <w:rFonts w:ascii="Times New Roman"/>
                <w:color w:val="000000" w:themeColor="text1"/>
                <w:kern w:val="0"/>
                <w:szCs w:val="21"/>
              </w:rPr>
              <w:t>µg/L</w:t>
            </w:r>
          </w:p>
        </w:tc>
        <w:tc>
          <w:tcPr>
            <w:tcW w:w="544" w:type="pct"/>
            <w:shd w:val="clear" w:color="auto" w:fill="auto"/>
            <w:vAlign w:val="center"/>
          </w:tcPr>
          <w:p w14:paraId="38DB374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0.04L</w:t>
            </w:r>
          </w:p>
        </w:tc>
        <w:tc>
          <w:tcPr>
            <w:tcW w:w="544" w:type="pct"/>
            <w:shd w:val="clear" w:color="auto" w:fill="auto"/>
            <w:vAlign w:val="center"/>
          </w:tcPr>
          <w:p w14:paraId="4CE4829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0.04L</w:t>
            </w:r>
          </w:p>
        </w:tc>
        <w:tc>
          <w:tcPr>
            <w:tcW w:w="544" w:type="pct"/>
            <w:shd w:val="clear" w:color="auto" w:fill="auto"/>
            <w:vAlign w:val="center"/>
          </w:tcPr>
          <w:p w14:paraId="7572FF5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0.04L</w:t>
            </w:r>
          </w:p>
        </w:tc>
        <w:tc>
          <w:tcPr>
            <w:tcW w:w="544" w:type="pct"/>
            <w:shd w:val="clear" w:color="auto" w:fill="auto"/>
            <w:vAlign w:val="center"/>
          </w:tcPr>
          <w:p w14:paraId="57B9E18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0.04L</w:t>
            </w:r>
          </w:p>
        </w:tc>
        <w:tc>
          <w:tcPr>
            <w:tcW w:w="546" w:type="pct"/>
            <w:shd w:val="clear" w:color="auto" w:fill="auto"/>
            <w:vAlign w:val="center"/>
          </w:tcPr>
          <w:p w14:paraId="110DD1E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0.04L</w:t>
            </w:r>
          </w:p>
        </w:tc>
        <w:tc>
          <w:tcPr>
            <w:tcW w:w="992" w:type="pct"/>
            <w:shd w:val="clear" w:color="auto" w:fill="auto"/>
            <w:noWrap/>
            <w:vAlign w:val="center"/>
          </w:tcPr>
          <w:p w14:paraId="5A399CC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≤0.001</w:t>
            </w:r>
          </w:p>
        </w:tc>
      </w:tr>
      <w:tr w:rsidR="008A2411" w:rsidRPr="008A2411" w14:paraId="2BE06BD5" w14:textId="77777777">
        <w:trPr>
          <w:trHeight w:val="330"/>
        </w:trPr>
        <w:tc>
          <w:tcPr>
            <w:tcW w:w="667" w:type="pct"/>
            <w:shd w:val="clear" w:color="auto" w:fill="auto"/>
            <w:vAlign w:val="center"/>
          </w:tcPr>
          <w:p w14:paraId="0CB0E50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砷</w:t>
            </w:r>
          </w:p>
        </w:tc>
        <w:tc>
          <w:tcPr>
            <w:tcW w:w="615" w:type="pct"/>
            <w:shd w:val="clear" w:color="auto" w:fill="auto"/>
            <w:vAlign w:val="center"/>
          </w:tcPr>
          <w:p w14:paraId="794E9634" w14:textId="77777777" w:rsidR="00B0005F" w:rsidRPr="008A2411" w:rsidRDefault="00000000">
            <w:pPr>
              <w:pStyle w:val="affffffffffff2"/>
              <w:rPr>
                <w:rFonts w:ascii="Times New Roman"/>
                <w:color w:val="000000" w:themeColor="text1"/>
              </w:rPr>
            </w:pPr>
            <w:r w:rsidRPr="008A2411">
              <w:rPr>
                <w:rFonts w:ascii="Times New Roman"/>
                <w:color w:val="000000" w:themeColor="text1"/>
                <w:kern w:val="0"/>
                <w:szCs w:val="21"/>
              </w:rPr>
              <w:t>µg/L</w:t>
            </w:r>
          </w:p>
        </w:tc>
        <w:tc>
          <w:tcPr>
            <w:tcW w:w="544" w:type="pct"/>
            <w:shd w:val="clear" w:color="auto" w:fill="auto"/>
            <w:vAlign w:val="center"/>
          </w:tcPr>
          <w:p w14:paraId="56E53B3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0.3L</w:t>
            </w:r>
          </w:p>
        </w:tc>
        <w:tc>
          <w:tcPr>
            <w:tcW w:w="544" w:type="pct"/>
            <w:shd w:val="clear" w:color="auto" w:fill="auto"/>
            <w:vAlign w:val="center"/>
          </w:tcPr>
          <w:p w14:paraId="331E277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0.3L</w:t>
            </w:r>
          </w:p>
        </w:tc>
        <w:tc>
          <w:tcPr>
            <w:tcW w:w="544" w:type="pct"/>
            <w:shd w:val="clear" w:color="auto" w:fill="auto"/>
            <w:vAlign w:val="center"/>
          </w:tcPr>
          <w:p w14:paraId="26DCE2B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0.3L</w:t>
            </w:r>
          </w:p>
        </w:tc>
        <w:tc>
          <w:tcPr>
            <w:tcW w:w="544" w:type="pct"/>
            <w:shd w:val="clear" w:color="auto" w:fill="auto"/>
            <w:vAlign w:val="center"/>
          </w:tcPr>
          <w:p w14:paraId="02F1475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0.3L</w:t>
            </w:r>
          </w:p>
        </w:tc>
        <w:tc>
          <w:tcPr>
            <w:tcW w:w="546" w:type="pct"/>
            <w:shd w:val="clear" w:color="auto" w:fill="auto"/>
            <w:vAlign w:val="center"/>
          </w:tcPr>
          <w:p w14:paraId="7D4AA06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0.3L</w:t>
            </w:r>
          </w:p>
        </w:tc>
        <w:tc>
          <w:tcPr>
            <w:tcW w:w="992" w:type="pct"/>
            <w:shd w:val="clear" w:color="auto" w:fill="auto"/>
            <w:noWrap/>
            <w:vAlign w:val="center"/>
          </w:tcPr>
          <w:p w14:paraId="32F9954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≤0.01</w:t>
            </w:r>
          </w:p>
        </w:tc>
      </w:tr>
      <w:tr w:rsidR="008A2411" w:rsidRPr="008A2411" w14:paraId="5D582F30" w14:textId="77777777">
        <w:trPr>
          <w:trHeight w:val="330"/>
        </w:trPr>
        <w:tc>
          <w:tcPr>
            <w:tcW w:w="667" w:type="pct"/>
            <w:shd w:val="clear" w:color="auto" w:fill="auto"/>
            <w:vAlign w:val="center"/>
          </w:tcPr>
          <w:p w14:paraId="5B95963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镉</w:t>
            </w:r>
          </w:p>
        </w:tc>
        <w:tc>
          <w:tcPr>
            <w:tcW w:w="615" w:type="pct"/>
            <w:shd w:val="clear" w:color="auto" w:fill="auto"/>
            <w:vAlign w:val="center"/>
          </w:tcPr>
          <w:p w14:paraId="14B0423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mg/L</w:t>
            </w:r>
          </w:p>
        </w:tc>
        <w:tc>
          <w:tcPr>
            <w:tcW w:w="544" w:type="pct"/>
            <w:shd w:val="clear" w:color="auto" w:fill="auto"/>
            <w:vAlign w:val="center"/>
          </w:tcPr>
          <w:p w14:paraId="48E87B4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0.001L</w:t>
            </w:r>
          </w:p>
        </w:tc>
        <w:tc>
          <w:tcPr>
            <w:tcW w:w="544" w:type="pct"/>
            <w:shd w:val="clear" w:color="auto" w:fill="auto"/>
            <w:vAlign w:val="center"/>
          </w:tcPr>
          <w:p w14:paraId="19CE9AC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0.001L</w:t>
            </w:r>
          </w:p>
        </w:tc>
        <w:tc>
          <w:tcPr>
            <w:tcW w:w="544" w:type="pct"/>
            <w:shd w:val="clear" w:color="auto" w:fill="auto"/>
            <w:vAlign w:val="center"/>
          </w:tcPr>
          <w:p w14:paraId="2614966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0.001L</w:t>
            </w:r>
          </w:p>
        </w:tc>
        <w:tc>
          <w:tcPr>
            <w:tcW w:w="544" w:type="pct"/>
            <w:shd w:val="clear" w:color="auto" w:fill="auto"/>
            <w:vAlign w:val="center"/>
          </w:tcPr>
          <w:p w14:paraId="7EDB3D5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0.001L</w:t>
            </w:r>
          </w:p>
        </w:tc>
        <w:tc>
          <w:tcPr>
            <w:tcW w:w="546" w:type="pct"/>
            <w:shd w:val="clear" w:color="auto" w:fill="auto"/>
            <w:vAlign w:val="center"/>
          </w:tcPr>
          <w:p w14:paraId="3BCD34D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0.001L</w:t>
            </w:r>
          </w:p>
        </w:tc>
        <w:tc>
          <w:tcPr>
            <w:tcW w:w="992" w:type="pct"/>
            <w:shd w:val="clear" w:color="auto" w:fill="auto"/>
            <w:noWrap/>
            <w:vAlign w:val="center"/>
          </w:tcPr>
          <w:p w14:paraId="4A709D8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≤0.005</w:t>
            </w:r>
          </w:p>
        </w:tc>
      </w:tr>
      <w:tr w:rsidR="008A2411" w:rsidRPr="008A2411" w14:paraId="736E9DD8" w14:textId="77777777">
        <w:trPr>
          <w:trHeight w:val="330"/>
        </w:trPr>
        <w:tc>
          <w:tcPr>
            <w:tcW w:w="667" w:type="pct"/>
            <w:shd w:val="clear" w:color="auto" w:fill="auto"/>
            <w:vAlign w:val="center"/>
          </w:tcPr>
          <w:p w14:paraId="1B173AE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铅</w:t>
            </w:r>
          </w:p>
        </w:tc>
        <w:tc>
          <w:tcPr>
            <w:tcW w:w="615" w:type="pct"/>
            <w:shd w:val="clear" w:color="auto" w:fill="auto"/>
            <w:vAlign w:val="center"/>
          </w:tcPr>
          <w:p w14:paraId="653B6A0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mg/L</w:t>
            </w:r>
          </w:p>
        </w:tc>
        <w:tc>
          <w:tcPr>
            <w:tcW w:w="544" w:type="pct"/>
            <w:shd w:val="clear" w:color="auto" w:fill="auto"/>
            <w:vAlign w:val="center"/>
          </w:tcPr>
          <w:p w14:paraId="3360BFD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0.01L</w:t>
            </w:r>
          </w:p>
        </w:tc>
        <w:tc>
          <w:tcPr>
            <w:tcW w:w="544" w:type="pct"/>
            <w:shd w:val="clear" w:color="auto" w:fill="auto"/>
            <w:vAlign w:val="center"/>
          </w:tcPr>
          <w:p w14:paraId="21ACF87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0.01L</w:t>
            </w:r>
          </w:p>
        </w:tc>
        <w:tc>
          <w:tcPr>
            <w:tcW w:w="544" w:type="pct"/>
            <w:shd w:val="clear" w:color="auto" w:fill="auto"/>
            <w:vAlign w:val="center"/>
          </w:tcPr>
          <w:p w14:paraId="03C3F69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0.01L</w:t>
            </w:r>
          </w:p>
        </w:tc>
        <w:tc>
          <w:tcPr>
            <w:tcW w:w="544" w:type="pct"/>
            <w:shd w:val="clear" w:color="auto" w:fill="auto"/>
            <w:vAlign w:val="center"/>
          </w:tcPr>
          <w:p w14:paraId="0FD8F70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0.01L</w:t>
            </w:r>
          </w:p>
        </w:tc>
        <w:tc>
          <w:tcPr>
            <w:tcW w:w="546" w:type="pct"/>
            <w:shd w:val="clear" w:color="auto" w:fill="auto"/>
            <w:vAlign w:val="center"/>
          </w:tcPr>
          <w:p w14:paraId="1188682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0.01L</w:t>
            </w:r>
          </w:p>
        </w:tc>
        <w:tc>
          <w:tcPr>
            <w:tcW w:w="992" w:type="pct"/>
            <w:shd w:val="clear" w:color="auto" w:fill="auto"/>
            <w:noWrap/>
            <w:vAlign w:val="center"/>
          </w:tcPr>
          <w:p w14:paraId="39119AD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≤0.01</w:t>
            </w:r>
          </w:p>
        </w:tc>
      </w:tr>
      <w:tr w:rsidR="008A2411" w:rsidRPr="008A2411" w14:paraId="02460496" w14:textId="77777777">
        <w:trPr>
          <w:trHeight w:val="330"/>
        </w:trPr>
        <w:tc>
          <w:tcPr>
            <w:tcW w:w="667" w:type="pct"/>
            <w:shd w:val="clear" w:color="auto" w:fill="auto"/>
            <w:vAlign w:val="center"/>
          </w:tcPr>
          <w:p w14:paraId="75AA62F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锌</w:t>
            </w:r>
          </w:p>
        </w:tc>
        <w:tc>
          <w:tcPr>
            <w:tcW w:w="615" w:type="pct"/>
            <w:shd w:val="clear" w:color="auto" w:fill="auto"/>
            <w:vAlign w:val="center"/>
          </w:tcPr>
          <w:p w14:paraId="24A2EB4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mg/L</w:t>
            </w:r>
          </w:p>
        </w:tc>
        <w:tc>
          <w:tcPr>
            <w:tcW w:w="544" w:type="pct"/>
            <w:shd w:val="clear" w:color="auto" w:fill="auto"/>
            <w:vAlign w:val="center"/>
          </w:tcPr>
          <w:p w14:paraId="1929DFE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0.05L</w:t>
            </w:r>
          </w:p>
        </w:tc>
        <w:tc>
          <w:tcPr>
            <w:tcW w:w="544" w:type="pct"/>
            <w:shd w:val="clear" w:color="auto" w:fill="auto"/>
            <w:vAlign w:val="center"/>
          </w:tcPr>
          <w:p w14:paraId="767EC50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0.05L</w:t>
            </w:r>
          </w:p>
        </w:tc>
        <w:tc>
          <w:tcPr>
            <w:tcW w:w="544" w:type="pct"/>
            <w:shd w:val="clear" w:color="auto" w:fill="auto"/>
            <w:vAlign w:val="center"/>
          </w:tcPr>
          <w:p w14:paraId="785A8FC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0.05L</w:t>
            </w:r>
          </w:p>
        </w:tc>
        <w:tc>
          <w:tcPr>
            <w:tcW w:w="544" w:type="pct"/>
            <w:shd w:val="clear" w:color="auto" w:fill="auto"/>
            <w:vAlign w:val="center"/>
          </w:tcPr>
          <w:p w14:paraId="454A186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0.05L</w:t>
            </w:r>
          </w:p>
        </w:tc>
        <w:tc>
          <w:tcPr>
            <w:tcW w:w="546" w:type="pct"/>
            <w:shd w:val="clear" w:color="auto" w:fill="auto"/>
            <w:vAlign w:val="center"/>
          </w:tcPr>
          <w:p w14:paraId="469755A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0.05L</w:t>
            </w:r>
          </w:p>
        </w:tc>
        <w:tc>
          <w:tcPr>
            <w:tcW w:w="992" w:type="pct"/>
            <w:shd w:val="clear" w:color="auto" w:fill="auto"/>
            <w:noWrap/>
            <w:vAlign w:val="center"/>
          </w:tcPr>
          <w:p w14:paraId="36BCC10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≤1.0</w:t>
            </w:r>
          </w:p>
        </w:tc>
      </w:tr>
      <w:tr w:rsidR="008A2411" w:rsidRPr="008A2411" w14:paraId="34A5628E" w14:textId="77777777">
        <w:trPr>
          <w:trHeight w:val="330"/>
        </w:trPr>
        <w:tc>
          <w:tcPr>
            <w:tcW w:w="667" w:type="pct"/>
            <w:shd w:val="clear" w:color="auto" w:fill="auto"/>
            <w:vAlign w:val="center"/>
          </w:tcPr>
          <w:p w14:paraId="532A963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锰</w:t>
            </w:r>
          </w:p>
        </w:tc>
        <w:tc>
          <w:tcPr>
            <w:tcW w:w="615" w:type="pct"/>
            <w:shd w:val="clear" w:color="auto" w:fill="auto"/>
            <w:vAlign w:val="center"/>
          </w:tcPr>
          <w:p w14:paraId="23D12D1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mg/L</w:t>
            </w:r>
          </w:p>
        </w:tc>
        <w:tc>
          <w:tcPr>
            <w:tcW w:w="544" w:type="pct"/>
            <w:shd w:val="clear" w:color="auto" w:fill="auto"/>
            <w:vAlign w:val="center"/>
          </w:tcPr>
          <w:p w14:paraId="2ABAF6C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0.01L</w:t>
            </w:r>
          </w:p>
        </w:tc>
        <w:tc>
          <w:tcPr>
            <w:tcW w:w="544" w:type="pct"/>
            <w:shd w:val="clear" w:color="auto" w:fill="auto"/>
            <w:vAlign w:val="center"/>
          </w:tcPr>
          <w:p w14:paraId="61996DE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0.01L</w:t>
            </w:r>
          </w:p>
        </w:tc>
        <w:tc>
          <w:tcPr>
            <w:tcW w:w="544" w:type="pct"/>
            <w:shd w:val="clear" w:color="auto" w:fill="auto"/>
            <w:vAlign w:val="center"/>
          </w:tcPr>
          <w:p w14:paraId="561A39A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0.01L</w:t>
            </w:r>
          </w:p>
        </w:tc>
        <w:tc>
          <w:tcPr>
            <w:tcW w:w="544" w:type="pct"/>
            <w:shd w:val="clear" w:color="auto" w:fill="auto"/>
            <w:vAlign w:val="center"/>
          </w:tcPr>
          <w:p w14:paraId="47232D8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0.01L</w:t>
            </w:r>
          </w:p>
        </w:tc>
        <w:tc>
          <w:tcPr>
            <w:tcW w:w="546" w:type="pct"/>
            <w:shd w:val="clear" w:color="auto" w:fill="auto"/>
            <w:vAlign w:val="center"/>
          </w:tcPr>
          <w:p w14:paraId="2B96C77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0.01L</w:t>
            </w:r>
          </w:p>
        </w:tc>
        <w:tc>
          <w:tcPr>
            <w:tcW w:w="992" w:type="pct"/>
            <w:shd w:val="clear" w:color="auto" w:fill="auto"/>
            <w:noWrap/>
            <w:vAlign w:val="center"/>
          </w:tcPr>
          <w:p w14:paraId="52702E1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≤0.1</w:t>
            </w:r>
          </w:p>
        </w:tc>
      </w:tr>
      <w:tr w:rsidR="008A2411" w:rsidRPr="008A2411" w14:paraId="646A19D6" w14:textId="77777777">
        <w:trPr>
          <w:trHeight w:val="330"/>
        </w:trPr>
        <w:tc>
          <w:tcPr>
            <w:tcW w:w="667" w:type="pct"/>
            <w:shd w:val="clear" w:color="auto" w:fill="auto"/>
            <w:vAlign w:val="center"/>
          </w:tcPr>
          <w:p w14:paraId="47C2A38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铁</w:t>
            </w:r>
          </w:p>
        </w:tc>
        <w:tc>
          <w:tcPr>
            <w:tcW w:w="615" w:type="pct"/>
            <w:shd w:val="clear" w:color="auto" w:fill="auto"/>
            <w:vAlign w:val="center"/>
          </w:tcPr>
          <w:p w14:paraId="11081F8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mg/L</w:t>
            </w:r>
          </w:p>
        </w:tc>
        <w:tc>
          <w:tcPr>
            <w:tcW w:w="544" w:type="pct"/>
            <w:shd w:val="clear" w:color="auto" w:fill="auto"/>
            <w:vAlign w:val="center"/>
          </w:tcPr>
          <w:p w14:paraId="7FAE3B5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0.03L</w:t>
            </w:r>
          </w:p>
        </w:tc>
        <w:tc>
          <w:tcPr>
            <w:tcW w:w="544" w:type="pct"/>
            <w:shd w:val="clear" w:color="auto" w:fill="auto"/>
            <w:vAlign w:val="center"/>
          </w:tcPr>
          <w:p w14:paraId="5A271C0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0.03L</w:t>
            </w:r>
          </w:p>
        </w:tc>
        <w:tc>
          <w:tcPr>
            <w:tcW w:w="544" w:type="pct"/>
            <w:shd w:val="clear" w:color="auto" w:fill="auto"/>
            <w:vAlign w:val="center"/>
          </w:tcPr>
          <w:p w14:paraId="296BCF0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0.03L</w:t>
            </w:r>
          </w:p>
        </w:tc>
        <w:tc>
          <w:tcPr>
            <w:tcW w:w="544" w:type="pct"/>
            <w:shd w:val="clear" w:color="auto" w:fill="auto"/>
            <w:vAlign w:val="center"/>
          </w:tcPr>
          <w:p w14:paraId="27F305A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0.03L</w:t>
            </w:r>
          </w:p>
        </w:tc>
        <w:tc>
          <w:tcPr>
            <w:tcW w:w="546" w:type="pct"/>
            <w:shd w:val="clear" w:color="auto" w:fill="auto"/>
            <w:vAlign w:val="center"/>
          </w:tcPr>
          <w:p w14:paraId="312BDE8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0.03L</w:t>
            </w:r>
          </w:p>
        </w:tc>
        <w:tc>
          <w:tcPr>
            <w:tcW w:w="992" w:type="pct"/>
            <w:shd w:val="clear" w:color="auto" w:fill="auto"/>
            <w:noWrap/>
            <w:vAlign w:val="center"/>
          </w:tcPr>
          <w:p w14:paraId="7B04061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≤0.3</w:t>
            </w:r>
          </w:p>
        </w:tc>
      </w:tr>
      <w:tr w:rsidR="008A2411" w:rsidRPr="008A2411" w14:paraId="34EDAC7E" w14:textId="77777777">
        <w:trPr>
          <w:trHeight w:val="318"/>
        </w:trPr>
        <w:tc>
          <w:tcPr>
            <w:tcW w:w="667" w:type="pct"/>
            <w:shd w:val="clear" w:color="auto" w:fill="auto"/>
            <w:vAlign w:val="center"/>
          </w:tcPr>
          <w:p w14:paraId="556E083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lastRenderedPageBreak/>
              <w:t>总硬度</w:t>
            </w:r>
          </w:p>
        </w:tc>
        <w:tc>
          <w:tcPr>
            <w:tcW w:w="615" w:type="pct"/>
            <w:shd w:val="clear" w:color="auto" w:fill="auto"/>
            <w:vAlign w:val="center"/>
          </w:tcPr>
          <w:p w14:paraId="793E589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mg/L</w:t>
            </w:r>
          </w:p>
        </w:tc>
        <w:tc>
          <w:tcPr>
            <w:tcW w:w="544" w:type="pct"/>
            <w:shd w:val="clear" w:color="auto" w:fill="auto"/>
            <w:vAlign w:val="center"/>
          </w:tcPr>
          <w:p w14:paraId="67DA33B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266</w:t>
            </w:r>
          </w:p>
        </w:tc>
        <w:tc>
          <w:tcPr>
            <w:tcW w:w="544" w:type="pct"/>
            <w:shd w:val="clear" w:color="auto" w:fill="auto"/>
            <w:vAlign w:val="center"/>
          </w:tcPr>
          <w:p w14:paraId="38FE9B4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313</w:t>
            </w:r>
          </w:p>
        </w:tc>
        <w:tc>
          <w:tcPr>
            <w:tcW w:w="544" w:type="pct"/>
            <w:shd w:val="clear" w:color="auto" w:fill="auto"/>
            <w:vAlign w:val="center"/>
          </w:tcPr>
          <w:p w14:paraId="1A976AD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202</w:t>
            </w:r>
          </w:p>
        </w:tc>
        <w:tc>
          <w:tcPr>
            <w:tcW w:w="544" w:type="pct"/>
            <w:shd w:val="clear" w:color="auto" w:fill="auto"/>
            <w:vAlign w:val="center"/>
          </w:tcPr>
          <w:p w14:paraId="3DEAFD4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284</w:t>
            </w:r>
          </w:p>
        </w:tc>
        <w:tc>
          <w:tcPr>
            <w:tcW w:w="546" w:type="pct"/>
            <w:shd w:val="clear" w:color="auto" w:fill="auto"/>
            <w:vAlign w:val="center"/>
          </w:tcPr>
          <w:p w14:paraId="7B0406C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156</w:t>
            </w:r>
          </w:p>
        </w:tc>
        <w:tc>
          <w:tcPr>
            <w:tcW w:w="992" w:type="pct"/>
            <w:shd w:val="clear" w:color="auto" w:fill="auto"/>
            <w:vAlign w:val="center"/>
          </w:tcPr>
          <w:p w14:paraId="6483F22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≤450</w:t>
            </w:r>
          </w:p>
        </w:tc>
      </w:tr>
      <w:tr w:rsidR="008A2411" w:rsidRPr="008A2411" w14:paraId="133E6A3F" w14:textId="77777777">
        <w:trPr>
          <w:trHeight w:val="318"/>
        </w:trPr>
        <w:tc>
          <w:tcPr>
            <w:tcW w:w="667" w:type="pct"/>
            <w:shd w:val="clear" w:color="auto" w:fill="auto"/>
            <w:vAlign w:val="center"/>
          </w:tcPr>
          <w:p w14:paraId="1CFF2DF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氟化物</w:t>
            </w:r>
          </w:p>
        </w:tc>
        <w:tc>
          <w:tcPr>
            <w:tcW w:w="615" w:type="pct"/>
            <w:shd w:val="clear" w:color="auto" w:fill="auto"/>
            <w:vAlign w:val="center"/>
          </w:tcPr>
          <w:p w14:paraId="0492846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mg/L</w:t>
            </w:r>
          </w:p>
        </w:tc>
        <w:tc>
          <w:tcPr>
            <w:tcW w:w="544" w:type="pct"/>
            <w:shd w:val="clear" w:color="auto" w:fill="auto"/>
            <w:vAlign w:val="center"/>
          </w:tcPr>
          <w:p w14:paraId="03EDC44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0.235</w:t>
            </w:r>
          </w:p>
        </w:tc>
        <w:tc>
          <w:tcPr>
            <w:tcW w:w="544" w:type="pct"/>
            <w:shd w:val="clear" w:color="auto" w:fill="auto"/>
            <w:vAlign w:val="center"/>
          </w:tcPr>
          <w:p w14:paraId="538E8F8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0.198</w:t>
            </w:r>
          </w:p>
        </w:tc>
        <w:tc>
          <w:tcPr>
            <w:tcW w:w="544" w:type="pct"/>
            <w:shd w:val="clear" w:color="auto" w:fill="auto"/>
            <w:vAlign w:val="center"/>
          </w:tcPr>
          <w:p w14:paraId="1F245A4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0.188</w:t>
            </w:r>
          </w:p>
        </w:tc>
        <w:tc>
          <w:tcPr>
            <w:tcW w:w="544" w:type="pct"/>
            <w:shd w:val="clear" w:color="auto" w:fill="auto"/>
            <w:vAlign w:val="center"/>
          </w:tcPr>
          <w:p w14:paraId="50A8066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0.254</w:t>
            </w:r>
          </w:p>
        </w:tc>
        <w:tc>
          <w:tcPr>
            <w:tcW w:w="546" w:type="pct"/>
            <w:shd w:val="clear" w:color="auto" w:fill="auto"/>
            <w:vAlign w:val="center"/>
          </w:tcPr>
          <w:p w14:paraId="590B32A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0.228</w:t>
            </w:r>
          </w:p>
        </w:tc>
        <w:tc>
          <w:tcPr>
            <w:tcW w:w="992" w:type="pct"/>
            <w:shd w:val="clear" w:color="auto" w:fill="auto"/>
            <w:vAlign w:val="center"/>
          </w:tcPr>
          <w:p w14:paraId="1DA30D3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≤1.0</w:t>
            </w:r>
          </w:p>
        </w:tc>
      </w:tr>
      <w:tr w:rsidR="008A2411" w:rsidRPr="008A2411" w14:paraId="68C6CAA8" w14:textId="77777777">
        <w:trPr>
          <w:trHeight w:val="303"/>
        </w:trPr>
        <w:tc>
          <w:tcPr>
            <w:tcW w:w="667" w:type="pct"/>
            <w:shd w:val="clear" w:color="auto" w:fill="auto"/>
            <w:vAlign w:val="center"/>
          </w:tcPr>
          <w:p w14:paraId="5C7EAB0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氯化物</w:t>
            </w:r>
          </w:p>
        </w:tc>
        <w:tc>
          <w:tcPr>
            <w:tcW w:w="615" w:type="pct"/>
            <w:shd w:val="clear" w:color="auto" w:fill="auto"/>
            <w:vAlign w:val="center"/>
          </w:tcPr>
          <w:p w14:paraId="0273477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mg/L</w:t>
            </w:r>
          </w:p>
        </w:tc>
        <w:tc>
          <w:tcPr>
            <w:tcW w:w="544" w:type="pct"/>
            <w:shd w:val="clear" w:color="auto" w:fill="auto"/>
            <w:vAlign w:val="center"/>
          </w:tcPr>
          <w:p w14:paraId="1B887A1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10.7</w:t>
            </w:r>
          </w:p>
        </w:tc>
        <w:tc>
          <w:tcPr>
            <w:tcW w:w="544" w:type="pct"/>
            <w:shd w:val="clear" w:color="auto" w:fill="auto"/>
            <w:vAlign w:val="center"/>
          </w:tcPr>
          <w:p w14:paraId="5DC18FF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16.6</w:t>
            </w:r>
          </w:p>
        </w:tc>
        <w:tc>
          <w:tcPr>
            <w:tcW w:w="544" w:type="pct"/>
            <w:shd w:val="clear" w:color="auto" w:fill="auto"/>
            <w:vAlign w:val="center"/>
          </w:tcPr>
          <w:p w14:paraId="65BDCB8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3.12</w:t>
            </w:r>
          </w:p>
        </w:tc>
        <w:tc>
          <w:tcPr>
            <w:tcW w:w="544" w:type="pct"/>
            <w:shd w:val="clear" w:color="auto" w:fill="auto"/>
            <w:vAlign w:val="center"/>
          </w:tcPr>
          <w:p w14:paraId="3D34F19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8.69</w:t>
            </w:r>
          </w:p>
        </w:tc>
        <w:tc>
          <w:tcPr>
            <w:tcW w:w="546" w:type="pct"/>
            <w:shd w:val="clear" w:color="auto" w:fill="auto"/>
            <w:vAlign w:val="center"/>
          </w:tcPr>
          <w:p w14:paraId="33255D5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11.8</w:t>
            </w:r>
          </w:p>
        </w:tc>
        <w:tc>
          <w:tcPr>
            <w:tcW w:w="992" w:type="pct"/>
            <w:shd w:val="clear" w:color="auto" w:fill="auto"/>
            <w:vAlign w:val="center"/>
          </w:tcPr>
          <w:p w14:paraId="3B7A958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≤250</w:t>
            </w:r>
          </w:p>
        </w:tc>
      </w:tr>
      <w:tr w:rsidR="008A2411" w:rsidRPr="008A2411" w14:paraId="1680ABA6" w14:textId="77777777">
        <w:trPr>
          <w:trHeight w:val="318"/>
        </w:trPr>
        <w:tc>
          <w:tcPr>
            <w:tcW w:w="667" w:type="pct"/>
            <w:shd w:val="clear" w:color="auto" w:fill="auto"/>
            <w:vAlign w:val="center"/>
          </w:tcPr>
          <w:p w14:paraId="2D5989D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硫酸盐</w:t>
            </w:r>
          </w:p>
        </w:tc>
        <w:tc>
          <w:tcPr>
            <w:tcW w:w="615" w:type="pct"/>
            <w:shd w:val="clear" w:color="auto" w:fill="auto"/>
            <w:vAlign w:val="center"/>
          </w:tcPr>
          <w:p w14:paraId="5F09CBC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mg/L</w:t>
            </w:r>
          </w:p>
        </w:tc>
        <w:tc>
          <w:tcPr>
            <w:tcW w:w="544" w:type="pct"/>
            <w:shd w:val="clear" w:color="auto" w:fill="auto"/>
            <w:vAlign w:val="center"/>
          </w:tcPr>
          <w:p w14:paraId="15DB86D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20.3</w:t>
            </w:r>
          </w:p>
        </w:tc>
        <w:tc>
          <w:tcPr>
            <w:tcW w:w="544" w:type="pct"/>
            <w:shd w:val="clear" w:color="auto" w:fill="auto"/>
            <w:vAlign w:val="center"/>
          </w:tcPr>
          <w:p w14:paraId="21D1592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30.2</w:t>
            </w:r>
          </w:p>
        </w:tc>
        <w:tc>
          <w:tcPr>
            <w:tcW w:w="544" w:type="pct"/>
            <w:shd w:val="clear" w:color="auto" w:fill="auto"/>
            <w:vAlign w:val="center"/>
          </w:tcPr>
          <w:p w14:paraId="7756D01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26.4</w:t>
            </w:r>
          </w:p>
        </w:tc>
        <w:tc>
          <w:tcPr>
            <w:tcW w:w="544" w:type="pct"/>
            <w:shd w:val="clear" w:color="auto" w:fill="auto"/>
            <w:vAlign w:val="center"/>
          </w:tcPr>
          <w:p w14:paraId="587ACE4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28.9</w:t>
            </w:r>
          </w:p>
        </w:tc>
        <w:tc>
          <w:tcPr>
            <w:tcW w:w="546" w:type="pct"/>
            <w:shd w:val="clear" w:color="auto" w:fill="auto"/>
            <w:vAlign w:val="center"/>
          </w:tcPr>
          <w:p w14:paraId="7A48BA2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21.9</w:t>
            </w:r>
          </w:p>
        </w:tc>
        <w:tc>
          <w:tcPr>
            <w:tcW w:w="992" w:type="pct"/>
            <w:shd w:val="clear" w:color="auto" w:fill="auto"/>
            <w:vAlign w:val="center"/>
          </w:tcPr>
          <w:p w14:paraId="53198E9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≤250</w:t>
            </w:r>
          </w:p>
        </w:tc>
      </w:tr>
      <w:tr w:rsidR="008A2411" w:rsidRPr="008A2411" w14:paraId="3F45F2D0" w14:textId="77777777">
        <w:trPr>
          <w:trHeight w:val="318"/>
        </w:trPr>
        <w:tc>
          <w:tcPr>
            <w:tcW w:w="667" w:type="pct"/>
            <w:shd w:val="clear" w:color="auto" w:fill="auto"/>
            <w:vAlign w:val="center"/>
          </w:tcPr>
          <w:p w14:paraId="6145C2E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硝酸盐氮</w:t>
            </w:r>
          </w:p>
        </w:tc>
        <w:tc>
          <w:tcPr>
            <w:tcW w:w="615" w:type="pct"/>
            <w:shd w:val="clear" w:color="auto" w:fill="auto"/>
            <w:vAlign w:val="center"/>
          </w:tcPr>
          <w:p w14:paraId="4C52788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mg/L</w:t>
            </w:r>
          </w:p>
        </w:tc>
        <w:tc>
          <w:tcPr>
            <w:tcW w:w="544" w:type="pct"/>
            <w:shd w:val="clear" w:color="auto" w:fill="auto"/>
            <w:vAlign w:val="center"/>
          </w:tcPr>
          <w:p w14:paraId="12E6826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18.6</w:t>
            </w:r>
          </w:p>
        </w:tc>
        <w:tc>
          <w:tcPr>
            <w:tcW w:w="544" w:type="pct"/>
            <w:shd w:val="clear" w:color="auto" w:fill="auto"/>
            <w:vAlign w:val="center"/>
          </w:tcPr>
          <w:p w14:paraId="3025551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9.6</w:t>
            </w:r>
          </w:p>
        </w:tc>
        <w:tc>
          <w:tcPr>
            <w:tcW w:w="544" w:type="pct"/>
            <w:shd w:val="clear" w:color="auto" w:fill="auto"/>
            <w:vAlign w:val="center"/>
          </w:tcPr>
          <w:p w14:paraId="233E9C5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1.12</w:t>
            </w:r>
          </w:p>
        </w:tc>
        <w:tc>
          <w:tcPr>
            <w:tcW w:w="544" w:type="pct"/>
            <w:shd w:val="clear" w:color="auto" w:fill="auto"/>
            <w:vAlign w:val="center"/>
          </w:tcPr>
          <w:p w14:paraId="33FF890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10.2</w:t>
            </w:r>
          </w:p>
        </w:tc>
        <w:tc>
          <w:tcPr>
            <w:tcW w:w="546" w:type="pct"/>
            <w:shd w:val="clear" w:color="auto" w:fill="auto"/>
            <w:vAlign w:val="center"/>
          </w:tcPr>
          <w:p w14:paraId="6D395EF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9.1</w:t>
            </w:r>
          </w:p>
        </w:tc>
        <w:tc>
          <w:tcPr>
            <w:tcW w:w="992" w:type="pct"/>
            <w:shd w:val="clear" w:color="auto" w:fill="auto"/>
            <w:vAlign w:val="center"/>
          </w:tcPr>
          <w:p w14:paraId="4CFDCA4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≤20</w:t>
            </w:r>
          </w:p>
        </w:tc>
      </w:tr>
      <w:tr w:rsidR="008A2411" w:rsidRPr="008A2411" w14:paraId="51AE00A8" w14:textId="77777777">
        <w:trPr>
          <w:trHeight w:val="318"/>
        </w:trPr>
        <w:tc>
          <w:tcPr>
            <w:tcW w:w="667" w:type="pct"/>
            <w:shd w:val="clear" w:color="auto" w:fill="auto"/>
            <w:vAlign w:val="center"/>
          </w:tcPr>
          <w:p w14:paraId="7980FA6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亚硝酸盐</w:t>
            </w:r>
          </w:p>
        </w:tc>
        <w:tc>
          <w:tcPr>
            <w:tcW w:w="615" w:type="pct"/>
            <w:shd w:val="clear" w:color="auto" w:fill="auto"/>
            <w:vAlign w:val="center"/>
          </w:tcPr>
          <w:p w14:paraId="6413A11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mg/L</w:t>
            </w:r>
          </w:p>
        </w:tc>
        <w:tc>
          <w:tcPr>
            <w:tcW w:w="544" w:type="pct"/>
            <w:shd w:val="clear" w:color="auto" w:fill="auto"/>
            <w:vAlign w:val="center"/>
          </w:tcPr>
          <w:p w14:paraId="60175DB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0.016L</w:t>
            </w:r>
          </w:p>
        </w:tc>
        <w:tc>
          <w:tcPr>
            <w:tcW w:w="544" w:type="pct"/>
            <w:shd w:val="clear" w:color="auto" w:fill="auto"/>
            <w:vAlign w:val="center"/>
          </w:tcPr>
          <w:p w14:paraId="7B744E4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0.016L</w:t>
            </w:r>
          </w:p>
        </w:tc>
        <w:tc>
          <w:tcPr>
            <w:tcW w:w="544" w:type="pct"/>
            <w:shd w:val="clear" w:color="auto" w:fill="auto"/>
            <w:vAlign w:val="center"/>
          </w:tcPr>
          <w:p w14:paraId="37EC47E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0.016L</w:t>
            </w:r>
          </w:p>
        </w:tc>
        <w:tc>
          <w:tcPr>
            <w:tcW w:w="544" w:type="pct"/>
            <w:shd w:val="clear" w:color="auto" w:fill="auto"/>
            <w:vAlign w:val="center"/>
          </w:tcPr>
          <w:p w14:paraId="7E8FF6E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0.016L</w:t>
            </w:r>
          </w:p>
        </w:tc>
        <w:tc>
          <w:tcPr>
            <w:tcW w:w="546" w:type="pct"/>
            <w:shd w:val="clear" w:color="auto" w:fill="auto"/>
            <w:vAlign w:val="center"/>
          </w:tcPr>
          <w:p w14:paraId="73FF273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0.016L</w:t>
            </w:r>
          </w:p>
        </w:tc>
        <w:tc>
          <w:tcPr>
            <w:tcW w:w="992" w:type="pct"/>
            <w:shd w:val="clear" w:color="auto" w:fill="auto"/>
            <w:noWrap/>
            <w:vAlign w:val="center"/>
          </w:tcPr>
          <w:p w14:paraId="1E91928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≤1.0</w:t>
            </w:r>
          </w:p>
        </w:tc>
      </w:tr>
      <w:tr w:rsidR="008A2411" w:rsidRPr="008A2411" w14:paraId="465D70F6" w14:textId="77777777">
        <w:trPr>
          <w:trHeight w:val="318"/>
        </w:trPr>
        <w:tc>
          <w:tcPr>
            <w:tcW w:w="667" w:type="pct"/>
            <w:shd w:val="clear" w:color="auto" w:fill="auto"/>
            <w:vAlign w:val="center"/>
          </w:tcPr>
          <w:p w14:paraId="1B5C03CD" w14:textId="79F41277" w:rsidR="00B0005F" w:rsidRPr="008A2411" w:rsidRDefault="00475F44">
            <w:pPr>
              <w:pStyle w:val="affffffffffff2"/>
              <w:rPr>
                <w:rFonts w:ascii="Times New Roman"/>
                <w:color w:val="000000" w:themeColor="text1"/>
              </w:rPr>
            </w:pPr>
            <w:r w:rsidRPr="008A2411">
              <w:rPr>
                <w:rFonts w:ascii="Times New Roman" w:hint="eastAsia"/>
                <w:color w:val="000000" w:themeColor="text1"/>
              </w:rPr>
              <w:t>高猛酸盐指数</w:t>
            </w:r>
          </w:p>
        </w:tc>
        <w:tc>
          <w:tcPr>
            <w:tcW w:w="615" w:type="pct"/>
            <w:shd w:val="clear" w:color="auto" w:fill="auto"/>
            <w:vAlign w:val="center"/>
          </w:tcPr>
          <w:p w14:paraId="340A8FF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mg/L</w:t>
            </w:r>
          </w:p>
        </w:tc>
        <w:tc>
          <w:tcPr>
            <w:tcW w:w="544" w:type="pct"/>
            <w:shd w:val="clear" w:color="auto" w:fill="auto"/>
            <w:vAlign w:val="center"/>
          </w:tcPr>
          <w:p w14:paraId="14429F7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w:t>
            </w:r>
          </w:p>
        </w:tc>
        <w:tc>
          <w:tcPr>
            <w:tcW w:w="544" w:type="pct"/>
            <w:shd w:val="clear" w:color="auto" w:fill="auto"/>
            <w:vAlign w:val="center"/>
          </w:tcPr>
          <w:p w14:paraId="5AEBBDA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w:t>
            </w:r>
          </w:p>
        </w:tc>
        <w:tc>
          <w:tcPr>
            <w:tcW w:w="544" w:type="pct"/>
            <w:shd w:val="clear" w:color="auto" w:fill="auto"/>
            <w:vAlign w:val="center"/>
          </w:tcPr>
          <w:p w14:paraId="20D725A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2.9</w:t>
            </w:r>
          </w:p>
        </w:tc>
        <w:tc>
          <w:tcPr>
            <w:tcW w:w="544" w:type="pct"/>
            <w:shd w:val="clear" w:color="auto" w:fill="auto"/>
            <w:vAlign w:val="center"/>
          </w:tcPr>
          <w:p w14:paraId="78CB5E4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0.8</w:t>
            </w:r>
          </w:p>
        </w:tc>
        <w:tc>
          <w:tcPr>
            <w:tcW w:w="546" w:type="pct"/>
            <w:shd w:val="clear" w:color="auto" w:fill="auto"/>
            <w:vAlign w:val="center"/>
          </w:tcPr>
          <w:p w14:paraId="2CED1DB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0.6</w:t>
            </w:r>
          </w:p>
        </w:tc>
        <w:tc>
          <w:tcPr>
            <w:tcW w:w="992" w:type="pct"/>
            <w:shd w:val="clear" w:color="auto" w:fill="auto"/>
            <w:noWrap/>
            <w:vAlign w:val="center"/>
          </w:tcPr>
          <w:p w14:paraId="1F98DCD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≤3.0</w:t>
            </w:r>
          </w:p>
        </w:tc>
      </w:tr>
      <w:tr w:rsidR="008A2411" w:rsidRPr="008A2411" w14:paraId="04231199" w14:textId="77777777">
        <w:trPr>
          <w:trHeight w:val="330"/>
        </w:trPr>
        <w:tc>
          <w:tcPr>
            <w:tcW w:w="667" w:type="pct"/>
            <w:shd w:val="clear" w:color="auto" w:fill="auto"/>
            <w:vAlign w:val="center"/>
          </w:tcPr>
          <w:p w14:paraId="09C3581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硫化物</w:t>
            </w:r>
          </w:p>
        </w:tc>
        <w:tc>
          <w:tcPr>
            <w:tcW w:w="615" w:type="pct"/>
            <w:shd w:val="clear" w:color="auto" w:fill="auto"/>
            <w:vAlign w:val="center"/>
          </w:tcPr>
          <w:p w14:paraId="2616880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mg/L</w:t>
            </w:r>
          </w:p>
        </w:tc>
        <w:tc>
          <w:tcPr>
            <w:tcW w:w="544" w:type="pct"/>
            <w:shd w:val="clear" w:color="auto" w:fill="auto"/>
            <w:vAlign w:val="center"/>
          </w:tcPr>
          <w:p w14:paraId="496E289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0.003L</w:t>
            </w:r>
          </w:p>
        </w:tc>
        <w:tc>
          <w:tcPr>
            <w:tcW w:w="544" w:type="pct"/>
            <w:shd w:val="clear" w:color="auto" w:fill="auto"/>
            <w:vAlign w:val="center"/>
          </w:tcPr>
          <w:p w14:paraId="22175EA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0.003L</w:t>
            </w:r>
          </w:p>
        </w:tc>
        <w:tc>
          <w:tcPr>
            <w:tcW w:w="544" w:type="pct"/>
            <w:shd w:val="clear" w:color="auto" w:fill="auto"/>
            <w:vAlign w:val="center"/>
          </w:tcPr>
          <w:p w14:paraId="7597F36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0.003L</w:t>
            </w:r>
          </w:p>
        </w:tc>
        <w:tc>
          <w:tcPr>
            <w:tcW w:w="544" w:type="pct"/>
            <w:shd w:val="clear" w:color="auto" w:fill="auto"/>
            <w:vAlign w:val="center"/>
          </w:tcPr>
          <w:p w14:paraId="6162A1F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0.003L</w:t>
            </w:r>
          </w:p>
        </w:tc>
        <w:tc>
          <w:tcPr>
            <w:tcW w:w="546" w:type="pct"/>
            <w:shd w:val="clear" w:color="auto" w:fill="auto"/>
            <w:vAlign w:val="center"/>
          </w:tcPr>
          <w:p w14:paraId="1FEC8D3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0.003L</w:t>
            </w:r>
          </w:p>
        </w:tc>
        <w:tc>
          <w:tcPr>
            <w:tcW w:w="992" w:type="pct"/>
            <w:shd w:val="clear" w:color="auto" w:fill="auto"/>
            <w:noWrap/>
            <w:vAlign w:val="center"/>
          </w:tcPr>
          <w:p w14:paraId="50F28D4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≤0.02</w:t>
            </w:r>
          </w:p>
        </w:tc>
      </w:tr>
      <w:tr w:rsidR="008A2411" w:rsidRPr="008A2411" w14:paraId="40511AAB" w14:textId="77777777">
        <w:trPr>
          <w:trHeight w:val="330"/>
        </w:trPr>
        <w:tc>
          <w:tcPr>
            <w:tcW w:w="667" w:type="pct"/>
            <w:shd w:val="clear" w:color="auto" w:fill="auto"/>
            <w:vAlign w:val="center"/>
          </w:tcPr>
          <w:p w14:paraId="5066D98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石油类</w:t>
            </w:r>
            <w:r w:rsidRPr="008A2411">
              <w:rPr>
                <w:rFonts w:ascii="Times New Roman"/>
                <w:color w:val="000000" w:themeColor="text1"/>
              </w:rPr>
              <w:t>*</w:t>
            </w:r>
          </w:p>
        </w:tc>
        <w:tc>
          <w:tcPr>
            <w:tcW w:w="615" w:type="pct"/>
            <w:shd w:val="clear" w:color="auto" w:fill="auto"/>
            <w:vAlign w:val="center"/>
          </w:tcPr>
          <w:p w14:paraId="14B3B35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mg/L</w:t>
            </w:r>
          </w:p>
        </w:tc>
        <w:tc>
          <w:tcPr>
            <w:tcW w:w="544" w:type="pct"/>
            <w:shd w:val="clear" w:color="auto" w:fill="auto"/>
            <w:vAlign w:val="center"/>
          </w:tcPr>
          <w:p w14:paraId="4CF3B2E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0.01L</w:t>
            </w:r>
          </w:p>
        </w:tc>
        <w:tc>
          <w:tcPr>
            <w:tcW w:w="544" w:type="pct"/>
            <w:shd w:val="clear" w:color="auto" w:fill="auto"/>
            <w:vAlign w:val="center"/>
          </w:tcPr>
          <w:p w14:paraId="3C23E8E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0.01L</w:t>
            </w:r>
          </w:p>
        </w:tc>
        <w:tc>
          <w:tcPr>
            <w:tcW w:w="544" w:type="pct"/>
            <w:shd w:val="clear" w:color="auto" w:fill="auto"/>
            <w:vAlign w:val="center"/>
          </w:tcPr>
          <w:p w14:paraId="48AB496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0.01L</w:t>
            </w:r>
          </w:p>
        </w:tc>
        <w:tc>
          <w:tcPr>
            <w:tcW w:w="544" w:type="pct"/>
            <w:shd w:val="clear" w:color="auto" w:fill="auto"/>
            <w:vAlign w:val="center"/>
          </w:tcPr>
          <w:p w14:paraId="6E2BB99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0.01L</w:t>
            </w:r>
          </w:p>
        </w:tc>
        <w:tc>
          <w:tcPr>
            <w:tcW w:w="546" w:type="pct"/>
            <w:shd w:val="clear" w:color="auto" w:fill="auto"/>
            <w:vAlign w:val="center"/>
          </w:tcPr>
          <w:p w14:paraId="1E7B2F5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0.01L</w:t>
            </w:r>
          </w:p>
        </w:tc>
        <w:tc>
          <w:tcPr>
            <w:tcW w:w="992" w:type="pct"/>
            <w:shd w:val="clear" w:color="auto" w:fill="auto"/>
            <w:vAlign w:val="center"/>
          </w:tcPr>
          <w:p w14:paraId="76D40F0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≤0.05*</w:t>
            </w:r>
          </w:p>
        </w:tc>
      </w:tr>
      <w:tr w:rsidR="00B0005F" w:rsidRPr="008A2411" w14:paraId="7D692494" w14:textId="77777777">
        <w:trPr>
          <w:trHeight w:val="312"/>
        </w:trPr>
        <w:tc>
          <w:tcPr>
            <w:tcW w:w="5000" w:type="pct"/>
            <w:gridSpan w:val="8"/>
            <w:shd w:val="clear" w:color="auto" w:fill="auto"/>
            <w:vAlign w:val="center"/>
          </w:tcPr>
          <w:p w14:paraId="0278E2AC" w14:textId="77777777" w:rsidR="00B0005F" w:rsidRPr="008A2411" w:rsidRDefault="00000000">
            <w:pPr>
              <w:pStyle w:val="affffffffffff2"/>
              <w:jc w:val="left"/>
              <w:rPr>
                <w:rFonts w:ascii="Times New Roman"/>
                <w:color w:val="000000" w:themeColor="text1"/>
                <w:sz w:val="20"/>
                <w:szCs w:val="18"/>
              </w:rPr>
            </w:pPr>
            <w:r w:rsidRPr="008A2411">
              <w:rPr>
                <w:rFonts w:ascii="Times New Roman"/>
                <w:color w:val="000000" w:themeColor="text1"/>
                <w:sz w:val="20"/>
                <w:szCs w:val="18"/>
              </w:rPr>
              <w:t>注：</w:t>
            </w:r>
            <w:r w:rsidRPr="008A2411">
              <w:rPr>
                <w:rFonts w:ascii="Times New Roman" w:hint="eastAsia"/>
                <w:color w:val="000000" w:themeColor="text1"/>
                <w:sz w:val="20"/>
                <w:szCs w:val="18"/>
              </w:rPr>
              <w:t>“</w:t>
            </w:r>
            <w:r w:rsidRPr="008A2411">
              <w:rPr>
                <w:rFonts w:ascii="Times New Roman"/>
                <w:color w:val="000000" w:themeColor="text1"/>
                <w:sz w:val="20"/>
                <w:szCs w:val="18"/>
              </w:rPr>
              <w:t>*</w:t>
            </w:r>
            <w:r w:rsidRPr="008A2411">
              <w:rPr>
                <w:rFonts w:ascii="Times New Roman" w:hint="eastAsia"/>
                <w:color w:val="000000" w:themeColor="text1"/>
                <w:sz w:val="20"/>
                <w:szCs w:val="18"/>
              </w:rPr>
              <w:t>”</w:t>
            </w:r>
            <w:r w:rsidRPr="008A2411">
              <w:rPr>
                <w:rFonts w:ascii="Times New Roman"/>
                <w:color w:val="000000" w:themeColor="text1"/>
                <w:sz w:val="20"/>
                <w:szCs w:val="18"/>
              </w:rPr>
              <w:t>表示参照《地表水环境质量标准》（</w:t>
            </w:r>
            <w:r w:rsidRPr="008A2411">
              <w:rPr>
                <w:rFonts w:ascii="Times New Roman"/>
                <w:color w:val="000000" w:themeColor="text1"/>
                <w:sz w:val="20"/>
                <w:szCs w:val="18"/>
              </w:rPr>
              <w:t>GB3838-2002</w:t>
            </w:r>
            <w:r w:rsidRPr="008A2411">
              <w:rPr>
                <w:rFonts w:ascii="Times New Roman"/>
                <w:color w:val="000000" w:themeColor="text1"/>
                <w:sz w:val="20"/>
                <w:szCs w:val="18"/>
              </w:rPr>
              <w:t>）</w:t>
            </w:r>
            <w:r w:rsidRPr="008A2411">
              <w:rPr>
                <w:rFonts w:ascii="Times New Roman"/>
                <w:color w:val="000000" w:themeColor="text1"/>
                <w:sz w:val="20"/>
                <w:szCs w:val="18"/>
              </w:rPr>
              <w:t>Ⅲ</w:t>
            </w:r>
            <w:r w:rsidRPr="008A2411">
              <w:rPr>
                <w:rFonts w:ascii="Times New Roman"/>
                <w:color w:val="000000" w:themeColor="text1"/>
                <w:sz w:val="20"/>
                <w:szCs w:val="18"/>
              </w:rPr>
              <w:t>类标准。</w:t>
            </w:r>
          </w:p>
          <w:p w14:paraId="729C9E13" w14:textId="77777777" w:rsidR="00B0005F" w:rsidRPr="008A2411" w:rsidRDefault="00000000">
            <w:pPr>
              <w:pStyle w:val="affffffffffff2"/>
              <w:jc w:val="left"/>
              <w:rPr>
                <w:rFonts w:ascii="Times New Roman"/>
                <w:color w:val="000000" w:themeColor="text1"/>
              </w:rPr>
            </w:pPr>
            <w:r w:rsidRPr="008A2411">
              <w:rPr>
                <w:rFonts w:ascii="Times New Roman"/>
                <w:color w:val="000000" w:themeColor="text1"/>
                <w:sz w:val="20"/>
                <w:szCs w:val="18"/>
              </w:rPr>
              <w:t>定结果低于分析方法检出限时，检测结果以检出限右上角加</w:t>
            </w:r>
            <w:r w:rsidRPr="008A2411">
              <w:rPr>
                <w:rFonts w:ascii="Times New Roman" w:hint="eastAsia"/>
                <w:color w:val="000000" w:themeColor="text1"/>
                <w:sz w:val="20"/>
                <w:szCs w:val="18"/>
              </w:rPr>
              <w:t>“</w:t>
            </w:r>
            <w:r w:rsidRPr="008A2411">
              <w:rPr>
                <w:rFonts w:ascii="Times New Roman"/>
                <w:color w:val="000000" w:themeColor="text1"/>
                <w:sz w:val="20"/>
                <w:szCs w:val="18"/>
              </w:rPr>
              <w:t>L</w:t>
            </w:r>
            <w:r w:rsidRPr="008A2411">
              <w:rPr>
                <w:rFonts w:ascii="Times New Roman" w:hint="eastAsia"/>
                <w:color w:val="000000" w:themeColor="text1"/>
                <w:sz w:val="20"/>
                <w:szCs w:val="18"/>
              </w:rPr>
              <w:t>”</w:t>
            </w:r>
            <w:r w:rsidRPr="008A2411">
              <w:rPr>
                <w:rFonts w:ascii="Times New Roman"/>
                <w:color w:val="000000" w:themeColor="text1"/>
                <w:sz w:val="20"/>
                <w:szCs w:val="18"/>
              </w:rPr>
              <w:t>表示。</w:t>
            </w:r>
          </w:p>
        </w:tc>
      </w:tr>
    </w:tbl>
    <w:p w14:paraId="45AD4544" w14:textId="77777777" w:rsidR="00B0005F" w:rsidRPr="008A2411" w:rsidRDefault="00B0005F">
      <w:pPr>
        <w:spacing w:line="360" w:lineRule="auto"/>
        <w:jc w:val="center"/>
        <w:rPr>
          <w:rFonts w:ascii="Times New Roman" w:eastAsia="黑体"/>
          <w:color w:val="000000" w:themeColor="text1"/>
          <w:szCs w:val="21"/>
        </w:rPr>
      </w:pPr>
    </w:p>
    <w:p w14:paraId="23471327" w14:textId="77777777" w:rsidR="00B0005F" w:rsidRPr="008A2411" w:rsidRDefault="00000000">
      <w:pPr>
        <w:spacing w:line="360" w:lineRule="auto"/>
        <w:jc w:val="center"/>
        <w:rPr>
          <w:rFonts w:ascii="Times New Roman" w:eastAsia="黑体"/>
          <w:color w:val="000000" w:themeColor="text1"/>
          <w:szCs w:val="21"/>
        </w:rPr>
      </w:pPr>
      <w:r w:rsidRPr="008A2411">
        <w:rPr>
          <w:rFonts w:ascii="Times New Roman" w:eastAsia="黑体"/>
          <w:color w:val="000000" w:themeColor="text1"/>
          <w:szCs w:val="21"/>
        </w:rPr>
        <w:t>表</w:t>
      </w:r>
      <w:r w:rsidRPr="008A2411">
        <w:rPr>
          <w:rFonts w:ascii="Times New Roman" w:eastAsia="黑体"/>
          <w:color w:val="000000" w:themeColor="text1"/>
          <w:szCs w:val="21"/>
        </w:rPr>
        <w:t xml:space="preserve">4.3-4  </w:t>
      </w:r>
      <w:r w:rsidRPr="008A2411">
        <w:rPr>
          <w:rFonts w:ascii="Times New Roman" w:eastAsia="黑体"/>
          <w:color w:val="000000" w:themeColor="text1"/>
          <w:szCs w:val="21"/>
        </w:rPr>
        <w:t>地下水环境质量现状评价结果</w:t>
      </w:r>
    </w:p>
    <w:tbl>
      <w:tblPr>
        <w:tblW w:w="499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65"/>
        <w:gridCol w:w="1247"/>
        <w:gridCol w:w="1352"/>
        <w:gridCol w:w="1344"/>
        <w:gridCol w:w="1351"/>
        <w:gridCol w:w="1361"/>
      </w:tblGrid>
      <w:tr w:rsidR="008A2411" w:rsidRPr="008A2411" w14:paraId="5A4346AE" w14:textId="77777777">
        <w:trPr>
          <w:trHeight w:val="19"/>
          <w:tblHeader/>
          <w:jc w:val="center"/>
        </w:trPr>
        <w:tc>
          <w:tcPr>
            <w:tcW w:w="1094" w:type="pct"/>
            <w:vMerge w:val="restart"/>
            <w:noWrap/>
            <w:vAlign w:val="center"/>
          </w:tcPr>
          <w:p w14:paraId="78B683A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监测因子</w:t>
            </w:r>
          </w:p>
        </w:tc>
        <w:tc>
          <w:tcPr>
            <w:tcW w:w="3905" w:type="pct"/>
            <w:gridSpan w:val="5"/>
            <w:noWrap/>
            <w:vAlign w:val="center"/>
          </w:tcPr>
          <w:p w14:paraId="0CE5784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监测结果（</w:t>
            </w:r>
            <w:r w:rsidRPr="008A2411">
              <w:rPr>
                <w:rFonts w:ascii="Times New Roman"/>
                <w:color w:val="000000" w:themeColor="text1"/>
              </w:rPr>
              <w:t>mg/L</w:t>
            </w:r>
            <w:r w:rsidRPr="008A2411">
              <w:rPr>
                <w:rFonts w:ascii="Times New Roman"/>
                <w:color w:val="000000" w:themeColor="text1"/>
              </w:rPr>
              <w:t>）</w:t>
            </w:r>
            <w:r w:rsidRPr="008A2411">
              <w:rPr>
                <w:rFonts w:ascii="Times New Roman"/>
                <w:color w:val="000000" w:themeColor="text1"/>
              </w:rPr>
              <w:t xml:space="preserve"> </w:t>
            </w:r>
          </w:p>
        </w:tc>
      </w:tr>
      <w:tr w:rsidR="008A2411" w:rsidRPr="008A2411" w14:paraId="30134416" w14:textId="77777777">
        <w:trPr>
          <w:trHeight w:val="19"/>
          <w:tblHeader/>
          <w:jc w:val="center"/>
        </w:trPr>
        <w:tc>
          <w:tcPr>
            <w:tcW w:w="1094" w:type="pct"/>
            <w:vMerge/>
            <w:vAlign w:val="center"/>
          </w:tcPr>
          <w:p w14:paraId="61FB5EB8" w14:textId="77777777" w:rsidR="00B0005F" w:rsidRPr="008A2411" w:rsidRDefault="00B0005F">
            <w:pPr>
              <w:widowControl/>
              <w:jc w:val="left"/>
              <w:rPr>
                <w:rFonts w:ascii="Times New Roman"/>
                <w:color w:val="000000" w:themeColor="text1"/>
                <w:sz w:val="21"/>
              </w:rPr>
            </w:pPr>
          </w:p>
        </w:tc>
        <w:tc>
          <w:tcPr>
            <w:tcW w:w="731" w:type="pct"/>
            <w:vAlign w:val="center"/>
          </w:tcPr>
          <w:p w14:paraId="036DAD1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w:t>
            </w:r>
          </w:p>
        </w:tc>
        <w:tc>
          <w:tcPr>
            <w:tcW w:w="793" w:type="pct"/>
            <w:vAlign w:val="center"/>
          </w:tcPr>
          <w:p w14:paraId="2194E7B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2#</w:t>
            </w:r>
          </w:p>
        </w:tc>
        <w:tc>
          <w:tcPr>
            <w:tcW w:w="789" w:type="pct"/>
            <w:vAlign w:val="center"/>
          </w:tcPr>
          <w:p w14:paraId="688A84C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3#</w:t>
            </w:r>
          </w:p>
        </w:tc>
        <w:tc>
          <w:tcPr>
            <w:tcW w:w="793" w:type="pct"/>
            <w:vAlign w:val="center"/>
          </w:tcPr>
          <w:p w14:paraId="2515186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4#</w:t>
            </w:r>
          </w:p>
        </w:tc>
        <w:tc>
          <w:tcPr>
            <w:tcW w:w="797" w:type="pct"/>
            <w:vAlign w:val="center"/>
          </w:tcPr>
          <w:p w14:paraId="35559A7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5#</w:t>
            </w:r>
          </w:p>
        </w:tc>
      </w:tr>
      <w:tr w:rsidR="008A2411" w:rsidRPr="008A2411" w14:paraId="66468C2E" w14:textId="77777777">
        <w:trPr>
          <w:trHeight w:val="19"/>
          <w:jc w:val="center"/>
        </w:trPr>
        <w:tc>
          <w:tcPr>
            <w:tcW w:w="1094" w:type="pct"/>
            <w:vAlign w:val="center"/>
          </w:tcPr>
          <w:p w14:paraId="6E27C1B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pH</w:t>
            </w:r>
            <w:r w:rsidRPr="008A2411">
              <w:rPr>
                <w:rFonts w:ascii="Times New Roman"/>
                <w:color w:val="000000" w:themeColor="text1"/>
              </w:rPr>
              <w:t>值</w:t>
            </w:r>
          </w:p>
        </w:tc>
        <w:tc>
          <w:tcPr>
            <w:tcW w:w="731" w:type="pct"/>
            <w:vAlign w:val="center"/>
          </w:tcPr>
          <w:p w14:paraId="063EFBB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0.47 </w:t>
            </w:r>
          </w:p>
        </w:tc>
        <w:tc>
          <w:tcPr>
            <w:tcW w:w="793" w:type="pct"/>
            <w:vAlign w:val="center"/>
          </w:tcPr>
          <w:p w14:paraId="394AA55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0.20 </w:t>
            </w:r>
          </w:p>
        </w:tc>
        <w:tc>
          <w:tcPr>
            <w:tcW w:w="789" w:type="pct"/>
            <w:vAlign w:val="center"/>
          </w:tcPr>
          <w:p w14:paraId="7FB5037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0.40 </w:t>
            </w:r>
          </w:p>
        </w:tc>
        <w:tc>
          <w:tcPr>
            <w:tcW w:w="793" w:type="pct"/>
            <w:vAlign w:val="center"/>
          </w:tcPr>
          <w:p w14:paraId="5E52F3C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0.20 </w:t>
            </w:r>
          </w:p>
        </w:tc>
        <w:tc>
          <w:tcPr>
            <w:tcW w:w="797" w:type="pct"/>
            <w:vAlign w:val="center"/>
          </w:tcPr>
          <w:p w14:paraId="2F5EE36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0.47 </w:t>
            </w:r>
          </w:p>
        </w:tc>
      </w:tr>
      <w:tr w:rsidR="008A2411" w:rsidRPr="008A2411" w14:paraId="7E86BB21" w14:textId="77777777">
        <w:trPr>
          <w:trHeight w:val="19"/>
          <w:jc w:val="center"/>
        </w:trPr>
        <w:tc>
          <w:tcPr>
            <w:tcW w:w="1094" w:type="pct"/>
            <w:vAlign w:val="center"/>
          </w:tcPr>
          <w:p w14:paraId="3B7CAF8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Na+</w:t>
            </w:r>
          </w:p>
        </w:tc>
        <w:tc>
          <w:tcPr>
            <w:tcW w:w="731" w:type="pct"/>
            <w:vAlign w:val="center"/>
          </w:tcPr>
          <w:p w14:paraId="3966C0A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0.11 </w:t>
            </w:r>
          </w:p>
        </w:tc>
        <w:tc>
          <w:tcPr>
            <w:tcW w:w="793" w:type="pct"/>
            <w:vAlign w:val="center"/>
          </w:tcPr>
          <w:p w14:paraId="35FACFF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0.09 </w:t>
            </w:r>
          </w:p>
        </w:tc>
        <w:tc>
          <w:tcPr>
            <w:tcW w:w="789" w:type="pct"/>
            <w:vAlign w:val="center"/>
          </w:tcPr>
          <w:p w14:paraId="7209212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0.05 </w:t>
            </w:r>
          </w:p>
        </w:tc>
        <w:tc>
          <w:tcPr>
            <w:tcW w:w="793" w:type="pct"/>
            <w:vAlign w:val="center"/>
          </w:tcPr>
          <w:p w14:paraId="6348C62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0.08 </w:t>
            </w:r>
          </w:p>
        </w:tc>
        <w:tc>
          <w:tcPr>
            <w:tcW w:w="797" w:type="pct"/>
            <w:vAlign w:val="center"/>
          </w:tcPr>
          <w:p w14:paraId="79E5C36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0.11 </w:t>
            </w:r>
          </w:p>
        </w:tc>
      </w:tr>
      <w:tr w:rsidR="008A2411" w:rsidRPr="008A2411" w14:paraId="269ECC7F" w14:textId="77777777">
        <w:trPr>
          <w:trHeight w:val="19"/>
          <w:jc w:val="center"/>
        </w:trPr>
        <w:tc>
          <w:tcPr>
            <w:tcW w:w="1094" w:type="pct"/>
            <w:vAlign w:val="center"/>
          </w:tcPr>
          <w:p w14:paraId="11C5EA7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氨氮</w:t>
            </w:r>
          </w:p>
        </w:tc>
        <w:tc>
          <w:tcPr>
            <w:tcW w:w="731" w:type="pct"/>
            <w:vAlign w:val="center"/>
          </w:tcPr>
          <w:p w14:paraId="70C1568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0.05</w:t>
            </w:r>
          </w:p>
        </w:tc>
        <w:tc>
          <w:tcPr>
            <w:tcW w:w="793" w:type="pct"/>
            <w:vAlign w:val="center"/>
          </w:tcPr>
          <w:p w14:paraId="4420B3A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0.05</w:t>
            </w:r>
          </w:p>
        </w:tc>
        <w:tc>
          <w:tcPr>
            <w:tcW w:w="789" w:type="pct"/>
            <w:vAlign w:val="center"/>
          </w:tcPr>
          <w:p w14:paraId="35992CB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0.37 </w:t>
            </w:r>
          </w:p>
        </w:tc>
        <w:tc>
          <w:tcPr>
            <w:tcW w:w="793" w:type="pct"/>
            <w:vAlign w:val="center"/>
          </w:tcPr>
          <w:p w14:paraId="5056406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0.06 </w:t>
            </w:r>
          </w:p>
        </w:tc>
        <w:tc>
          <w:tcPr>
            <w:tcW w:w="797" w:type="pct"/>
            <w:vAlign w:val="center"/>
          </w:tcPr>
          <w:p w14:paraId="17F17EE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0.09 </w:t>
            </w:r>
          </w:p>
        </w:tc>
      </w:tr>
      <w:tr w:rsidR="008A2411" w:rsidRPr="008A2411" w14:paraId="5FEC3708" w14:textId="77777777">
        <w:trPr>
          <w:trHeight w:val="242"/>
          <w:jc w:val="center"/>
        </w:trPr>
        <w:tc>
          <w:tcPr>
            <w:tcW w:w="1094" w:type="pct"/>
            <w:vAlign w:val="center"/>
          </w:tcPr>
          <w:p w14:paraId="3517F6C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挥发</w:t>
            </w:r>
            <w:proofErr w:type="gramStart"/>
            <w:r w:rsidRPr="008A2411">
              <w:rPr>
                <w:rFonts w:ascii="Times New Roman"/>
                <w:color w:val="000000" w:themeColor="text1"/>
              </w:rPr>
              <w:t>酚</w:t>
            </w:r>
            <w:proofErr w:type="gramEnd"/>
          </w:p>
        </w:tc>
        <w:tc>
          <w:tcPr>
            <w:tcW w:w="731" w:type="pct"/>
            <w:vAlign w:val="center"/>
          </w:tcPr>
          <w:p w14:paraId="73633DE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0.25 </w:t>
            </w:r>
          </w:p>
        </w:tc>
        <w:tc>
          <w:tcPr>
            <w:tcW w:w="793" w:type="pct"/>
            <w:vAlign w:val="center"/>
          </w:tcPr>
          <w:p w14:paraId="414AD2A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0.35 </w:t>
            </w:r>
          </w:p>
        </w:tc>
        <w:tc>
          <w:tcPr>
            <w:tcW w:w="789" w:type="pct"/>
            <w:vAlign w:val="center"/>
          </w:tcPr>
          <w:p w14:paraId="6E806E1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0.25 </w:t>
            </w:r>
          </w:p>
        </w:tc>
        <w:tc>
          <w:tcPr>
            <w:tcW w:w="793" w:type="pct"/>
            <w:vAlign w:val="center"/>
          </w:tcPr>
          <w:p w14:paraId="500C5A3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0.40 </w:t>
            </w:r>
          </w:p>
        </w:tc>
        <w:tc>
          <w:tcPr>
            <w:tcW w:w="797" w:type="pct"/>
            <w:vAlign w:val="center"/>
          </w:tcPr>
          <w:p w14:paraId="04EF005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0.30 </w:t>
            </w:r>
          </w:p>
        </w:tc>
      </w:tr>
      <w:tr w:rsidR="008A2411" w:rsidRPr="008A2411" w14:paraId="7E368FA0" w14:textId="77777777">
        <w:trPr>
          <w:trHeight w:val="19"/>
          <w:jc w:val="center"/>
        </w:trPr>
        <w:tc>
          <w:tcPr>
            <w:tcW w:w="1094" w:type="pct"/>
            <w:vAlign w:val="center"/>
          </w:tcPr>
          <w:p w14:paraId="040827A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氰化物</w:t>
            </w:r>
          </w:p>
        </w:tc>
        <w:tc>
          <w:tcPr>
            <w:tcW w:w="731" w:type="pct"/>
            <w:vAlign w:val="center"/>
          </w:tcPr>
          <w:p w14:paraId="47E684F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0.02 </w:t>
            </w:r>
          </w:p>
        </w:tc>
        <w:tc>
          <w:tcPr>
            <w:tcW w:w="793" w:type="pct"/>
            <w:vAlign w:val="center"/>
          </w:tcPr>
          <w:p w14:paraId="7187DA4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0.02 </w:t>
            </w:r>
          </w:p>
        </w:tc>
        <w:tc>
          <w:tcPr>
            <w:tcW w:w="789" w:type="pct"/>
            <w:vAlign w:val="center"/>
          </w:tcPr>
          <w:p w14:paraId="03CD10B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0.02 </w:t>
            </w:r>
          </w:p>
        </w:tc>
        <w:tc>
          <w:tcPr>
            <w:tcW w:w="793" w:type="pct"/>
            <w:vAlign w:val="center"/>
          </w:tcPr>
          <w:p w14:paraId="6D06DDF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0.02 </w:t>
            </w:r>
          </w:p>
        </w:tc>
        <w:tc>
          <w:tcPr>
            <w:tcW w:w="797" w:type="pct"/>
            <w:vAlign w:val="center"/>
          </w:tcPr>
          <w:p w14:paraId="3B7E7AB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0.02 </w:t>
            </w:r>
          </w:p>
        </w:tc>
      </w:tr>
      <w:tr w:rsidR="008A2411" w:rsidRPr="008A2411" w14:paraId="661E24DD" w14:textId="77777777">
        <w:trPr>
          <w:trHeight w:val="19"/>
          <w:jc w:val="center"/>
        </w:trPr>
        <w:tc>
          <w:tcPr>
            <w:tcW w:w="1094" w:type="pct"/>
            <w:vAlign w:val="center"/>
          </w:tcPr>
          <w:p w14:paraId="0E30E27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六价铬</w:t>
            </w:r>
          </w:p>
        </w:tc>
        <w:tc>
          <w:tcPr>
            <w:tcW w:w="731" w:type="pct"/>
            <w:vAlign w:val="center"/>
          </w:tcPr>
          <w:p w14:paraId="046CB41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0.08 </w:t>
            </w:r>
          </w:p>
        </w:tc>
        <w:tc>
          <w:tcPr>
            <w:tcW w:w="793" w:type="pct"/>
            <w:vAlign w:val="center"/>
          </w:tcPr>
          <w:p w14:paraId="5945AD6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0.08 </w:t>
            </w:r>
          </w:p>
        </w:tc>
        <w:tc>
          <w:tcPr>
            <w:tcW w:w="789" w:type="pct"/>
            <w:vAlign w:val="center"/>
          </w:tcPr>
          <w:p w14:paraId="611AE49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0.08 </w:t>
            </w:r>
          </w:p>
        </w:tc>
        <w:tc>
          <w:tcPr>
            <w:tcW w:w="793" w:type="pct"/>
            <w:vAlign w:val="center"/>
          </w:tcPr>
          <w:p w14:paraId="5FC1802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0.08 </w:t>
            </w:r>
          </w:p>
        </w:tc>
        <w:tc>
          <w:tcPr>
            <w:tcW w:w="797" w:type="pct"/>
            <w:vAlign w:val="center"/>
          </w:tcPr>
          <w:p w14:paraId="1D5F251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0.08 </w:t>
            </w:r>
          </w:p>
        </w:tc>
      </w:tr>
      <w:tr w:rsidR="008A2411" w:rsidRPr="008A2411" w14:paraId="16E8B39F" w14:textId="77777777">
        <w:trPr>
          <w:trHeight w:val="19"/>
          <w:jc w:val="center"/>
        </w:trPr>
        <w:tc>
          <w:tcPr>
            <w:tcW w:w="1094" w:type="pct"/>
            <w:vAlign w:val="center"/>
          </w:tcPr>
          <w:p w14:paraId="2D791FC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细菌总数</w:t>
            </w:r>
          </w:p>
        </w:tc>
        <w:tc>
          <w:tcPr>
            <w:tcW w:w="731" w:type="pct"/>
            <w:vAlign w:val="center"/>
          </w:tcPr>
          <w:p w14:paraId="1AC4176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0.19 </w:t>
            </w:r>
          </w:p>
        </w:tc>
        <w:tc>
          <w:tcPr>
            <w:tcW w:w="793" w:type="pct"/>
            <w:vAlign w:val="center"/>
          </w:tcPr>
          <w:p w14:paraId="6FC3115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0.17 </w:t>
            </w:r>
          </w:p>
        </w:tc>
        <w:tc>
          <w:tcPr>
            <w:tcW w:w="789" w:type="pct"/>
            <w:vAlign w:val="center"/>
          </w:tcPr>
          <w:p w14:paraId="297D8D5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0.26 </w:t>
            </w:r>
          </w:p>
        </w:tc>
        <w:tc>
          <w:tcPr>
            <w:tcW w:w="793" w:type="pct"/>
            <w:vAlign w:val="center"/>
          </w:tcPr>
          <w:p w14:paraId="50A47FA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0.07 </w:t>
            </w:r>
          </w:p>
        </w:tc>
        <w:tc>
          <w:tcPr>
            <w:tcW w:w="797" w:type="pct"/>
            <w:vAlign w:val="center"/>
          </w:tcPr>
          <w:p w14:paraId="51C1E7D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0.11 </w:t>
            </w:r>
          </w:p>
        </w:tc>
      </w:tr>
      <w:tr w:rsidR="008A2411" w:rsidRPr="008A2411" w14:paraId="6AF04526" w14:textId="77777777">
        <w:trPr>
          <w:trHeight w:val="19"/>
          <w:jc w:val="center"/>
        </w:trPr>
        <w:tc>
          <w:tcPr>
            <w:tcW w:w="1094" w:type="pct"/>
            <w:vAlign w:val="center"/>
          </w:tcPr>
          <w:p w14:paraId="783FA649" w14:textId="77777777" w:rsidR="00B0005F" w:rsidRPr="008A2411" w:rsidRDefault="00000000">
            <w:pPr>
              <w:pStyle w:val="affffffffffff2"/>
              <w:rPr>
                <w:rFonts w:ascii="Times New Roman"/>
                <w:color w:val="000000" w:themeColor="text1"/>
                <w:shd w:val="clear" w:color="FFFFFF" w:fill="D9D9D9"/>
              </w:rPr>
            </w:pPr>
            <w:r w:rsidRPr="008A2411">
              <w:rPr>
                <w:rFonts w:ascii="Times New Roman"/>
                <w:color w:val="000000" w:themeColor="text1"/>
                <w:shd w:val="clear" w:color="FFFFFF" w:fill="D9D9D9"/>
              </w:rPr>
              <w:t>总大肠菌群</w:t>
            </w:r>
          </w:p>
        </w:tc>
        <w:tc>
          <w:tcPr>
            <w:tcW w:w="731" w:type="pct"/>
            <w:vAlign w:val="center"/>
          </w:tcPr>
          <w:p w14:paraId="3CDB4252" w14:textId="77777777" w:rsidR="00B0005F" w:rsidRPr="008A2411" w:rsidRDefault="00000000">
            <w:pPr>
              <w:pStyle w:val="affffffffffff2"/>
              <w:rPr>
                <w:rFonts w:ascii="Times New Roman"/>
                <w:color w:val="000000" w:themeColor="text1"/>
                <w:shd w:val="clear" w:color="FFFFFF" w:fill="D9D9D9"/>
              </w:rPr>
            </w:pPr>
            <w:r w:rsidRPr="008A2411">
              <w:rPr>
                <w:rFonts w:ascii="Times New Roman"/>
                <w:color w:val="000000" w:themeColor="text1"/>
                <w:shd w:val="clear" w:color="FFFFFF" w:fill="D9D9D9"/>
              </w:rPr>
              <w:t xml:space="preserve">7.67 </w:t>
            </w:r>
          </w:p>
        </w:tc>
        <w:tc>
          <w:tcPr>
            <w:tcW w:w="793" w:type="pct"/>
            <w:vAlign w:val="center"/>
          </w:tcPr>
          <w:p w14:paraId="428C0ABF" w14:textId="77777777" w:rsidR="00B0005F" w:rsidRPr="008A2411" w:rsidRDefault="00000000">
            <w:pPr>
              <w:pStyle w:val="affffffffffff2"/>
              <w:rPr>
                <w:rFonts w:ascii="Times New Roman"/>
                <w:color w:val="000000" w:themeColor="text1"/>
                <w:shd w:val="clear" w:color="FFFFFF" w:fill="D9D9D9"/>
              </w:rPr>
            </w:pPr>
            <w:r w:rsidRPr="008A2411">
              <w:rPr>
                <w:rFonts w:ascii="Times New Roman"/>
                <w:color w:val="000000" w:themeColor="text1"/>
                <w:shd w:val="clear" w:color="FFFFFF" w:fill="D9D9D9"/>
              </w:rPr>
              <w:t xml:space="preserve">7.67 </w:t>
            </w:r>
          </w:p>
        </w:tc>
        <w:tc>
          <w:tcPr>
            <w:tcW w:w="789" w:type="pct"/>
            <w:vAlign w:val="center"/>
          </w:tcPr>
          <w:p w14:paraId="11851BC1" w14:textId="77777777" w:rsidR="00B0005F" w:rsidRPr="008A2411" w:rsidRDefault="00000000">
            <w:pPr>
              <w:pStyle w:val="affffffffffff2"/>
              <w:rPr>
                <w:rFonts w:ascii="Times New Roman"/>
                <w:color w:val="000000" w:themeColor="text1"/>
                <w:shd w:val="clear" w:color="FFFFFF" w:fill="D9D9D9"/>
              </w:rPr>
            </w:pPr>
            <w:r w:rsidRPr="008A2411">
              <w:rPr>
                <w:rFonts w:ascii="Times New Roman"/>
                <w:color w:val="000000" w:themeColor="text1"/>
                <w:shd w:val="clear" w:color="FFFFFF" w:fill="D9D9D9"/>
              </w:rPr>
              <w:t xml:space="preserve">1.67 </w:t>
            </w:r>
          </w:p>
        </w:tc>
        <w:tc>
          <w:tcPr>
            <w:tcW w:w="793" w:type="pct"/>
            <w:vAlign w:val="center"/>
          </w:tcPr>
          <w:p w14:paraId="3A8670D6" w14:textId="77777777" w:rsidR="00B0005F" w:rsidRPr="008A2411" w:rsidRDefault="00000000">
            <w:pPr>
              <w:pStyle w:val="affffffffffff2"/>
              <w:rPr>
                <w:rFonts w:ascii="Times New Roman"/>
                <w:color w:val="000000" w:themeColor="text1"/>
                <w:shd w:val="clear" w:color="FFFFFF" w:fill="D9D9D9"/>
              </w:rPr>
            </w:pPr>
            <w:r w:rsidRPr="008A2411">
              <w:rPr>
                <w:rFonts w:ascii="Times New Roman"/>
                <w:color w:val="000000" w:themeColor="text1"/>
                <w:shd w:val="clear" w:color="FFFFFF" w:fill="D9D9D9"/>
              </w:rPr>
              <w:t xml:space="preserve">1.67 </w:t>
            </w:r>
          </w:p>
        </w:tc>
        <w:tc>
          <w:tcPr>
            <w:tcW w:w="797" w:type="pct"/>
            <w:vAlign w:val="center"/>
          </w:tcPr>
          <w:p w14:paraId="52A3A4A6" w14:textId="77777777" w:rsidR="00B0005F" w:rsidRPr="008A2411" w:rsidRDefault="00000000">
            <w:pPr>
              <w:pStyle w:val="affffffffffff2"/>
              <w:rPr>
                <w:rFonts w:ascii="Times New Roman"/>
                <w:color w:val="000000" w:themeColor="text1"/>
                <w:shd w:val="clear" w:color="FFFFFF" w:fill="D9D9D9"/>
              </w:rPr>
            </w:pPr>
            <w:r w:rsidRPr="008A2411">
              <w:rPr>
                <w:rFonts w:ascii="Times New Roman"/>
                <w:color w:val="000000" w:themeColor="text1"/>
                <w:shd w:val="clear" w:color="FFFFFF" w:fill="D9D9D9"/>
              </w:rPr>
              <w:t xml:space="preserve">2.67 </w:t>
            </w:r>
          </w:p>
        </w:tc>
      </w:tr>
      <w:tr w:rsidR="008A2411" w:rsidRPr="008A2411" w14:paraId="28B7788F" w14:textId="77777777">
        <w:trPr>
          <w:trHeight w:val="19"/>
          <w:jc w:val="center"/>
        </w:trPr>
        <w:tc>
          <w:tcPr>
            <w:tcW w:w="1094" w:type="pct"/>
            <w:vAlign w:val="center"/>
          </w:tcPr>
          <w:p w14:paraId="1E99C2A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溶解性总固体</w:t>
            </w:r>
          </w:p>
        </w:tc>
        <w:tc>
          <w:tcPr>
            <w:tcW w:w="731" w:type="pct"/>
            <w:vAlign w:val="center"/>
          </w:tcPr>
          <w:p w14:paraId="0BCC963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0.58 </w:t>
            </w:r>
          </w:p>
        </w:tc>
        <w:tc>
          <w:tcPr>
            <w:tcW w:w="793" w:type="pct"/>
            <w:vAlign w:val="center"/>
          </w:tcPr>
          <w:p w14:paraId="42AAD1B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0.64 </w:t>
            </w:r>
          </w:p>
        </w:tc>
        <w:tc>
          <w:tcPr>
            <w:tcW w:w="789" w:type="pct"/>
            <w:vAlign w:val="center"/>
          </w:tcPr>
          <w:p w14:paraId="2E3CDD6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0.49 </w:t>
            </w:r>
          </w:p>
        </w:tc>
        <w:tc>
          <w:tcPr>
            <w:tcW w:w="793" w:type="pct"/>
            <w:vAlign w:val="center"/>
          </w:tcPr>
          <w:p w14:paraId="7006BCE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0.54 </w:t>
            </w:r>
          </w:p>
        </w:tc>
        <w:tc>
          <w:tcPr>
            <w:tcW w:w="797" w:type="pct"/>
            <w:vAlign w:val="center"/>
          </w:tcPr>
          <w:p w14:paraId="4D89561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0.46 </w:t>
            </w:r>
          </w:p>
        </w:tc>
      </w:tr>
      <w:tr w:rsidR="008A2411" w:rsidRPr="008A2411" w14:paraId="7541FD80" w14:textId="77777777">
        <w:trPr>
          <w:trHeight w:val="19"/>
          <w:jc w:val="center"/>
        </w:trPr>
        <w:tc>
          <w:tcPr>
            <w:tcW w:w="1094" w:type="pct"/>
            <w:vAlign w:val="center"/>
          </w:tcPr>
          <w:p w14:paraId="2198CA2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汞</w:t>
            </w:r>
          </w:p>
        </w:tc>
        <w:tc>
          <w:tcPr>
            <w:tcW w:w="731" w:type="pct"/>
            <w:vAlign w:val="center"/>
          </w:tcPr>
          <w:p w14:paraId="7D8F5F6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0.04 </w:t>
            </w:r>
          </w:p>
        </w:tc>
        <w:tc>
          <w:tcPr>
            <w:tcW w:w="793" w:type="pct"/>
            <w:vAlign w:val="center"/>
          </w:tcPr>
          <w:p w14:paraId="004CDA1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0.04 </w:t>
            </w:r>
          </w:p>
        </w:tc>
        <w:tc>
          <w:tcPr>
            <w:tcW w:w="789" w:type="pct"/>
            <w:vAlign w:val="center"/>
          </w:tcPr>
          <w:p w14:paraId="1F56DFF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0.04 </w:t>
            </w:r>
          </w:p>
        </w:tc>
        <w:tc>
          <w:tcPr>
            <w:tcW w:w="793" w:type="pct"/>
            <w:vAlign w:val="center"/>
          </w:tcPr>
          <w:p w14:paraId="62DA26F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0.04 </w:t>
            </w:r>
          </w:p>
        </w:tc>
        <w:tc>
          <w:tcPr>
            <w:tcW w:w="797" w:type="pct"/>
            <w:vAlign w:val="center"/>
          </w:tcPr>
          <w:p w14:paraId="6616016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0.04 </w:t>
            </w:r>
          </w:p>
        </w:tc>
      </w:tr>
      <w:tr w:rsidR="008A2411" w:rsidRPr="008A2411" w14:paraId="1D14B556" w14:textId="77777777">
        <w:trPr>
          <w:trHeight w:val="19"/>
          <w:jc w:val="center"/>
        </w:trPr>
        <w:tc>
          <w:tcPr>
            <w:tcW w:w="1094" w:type="pct"/>
            <w:vAlign w:val="center"/>
          </w:tcPr>
          <w:p w14:paraId="7FA7133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砷</w:t>
            </w:r>
          </w:p>
        </w:tc>
        <w:tc>
          <w:tcPr>
            <w:tcW w:w="731" w:type="pct"/>
            <w:vAlign w:val="center"/>
          </w:tcPr>
          <w:p w14:paraId="4798ADE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0.03 </w:t>
            </w:r>
          </w:p>
        </w:tc>
        <w:tc>
          <w:tcPr>
            <w:tcW w:w="793" w:type="pct"/>
            <w:vAlign w:val="center"/>
          </w:tcPr>
          <w:p w14:paraId="47541BB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0.03 </w:t>
            </w:r>
          </w:p>
        </w:tc>
        <w:tc>
          <w:tcPr>
            <w:tcW w:w="789" w:type="pct"/>
            <w:vAlign w:val="center"/>
          </w:tcPr>
          <w:p w14:paraId="00B7CFB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0.03 </w:t>
            </w:r>
          </w:p>
        </w:tc>
        <w:tc>
          <w:tcPr>
            <w:tcW w:w="793" w:type="pct"/>
            <w:vAlign w:val="center"/>
          </w:tcPr>
          <w:p w14:paraId="26A8549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0.03 </w:t>
            </w:r>
          </w:p>
        </w:tc>
        <w:tc>
          <w:tcPr>
            <w:tcW w:w="797" w:type="pct"/>
            <w:vAlign w:val="center"/>
          </w:tcPr>
          <w:p w14:paraId="22C28FD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0.03 </w:t>
            </w:r>
          </w:p>
        </w:tc>
      </w:tr>
      <w:tr w:rsidR="008A2411" w:rsidRPr="008A2411" w14:paraId="2EF17C25" w14:textId="77777777">
        <w:trPr>
          <w:trHeight w:val="19"/>
          <w:jc w:val="center"/>
        </w:trPr>
        <w:tc>
          <w:tcPr>
            <w:tcW w:w="1094" w:type="pct"/>
            <w:vAlign w:val="center"/>
          </w:tcPr>
          <w:p w14:paraId="3E7D62F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镉</w:t>
            </w:r>
          </w:p>
        </w:tc>
        <w:tc>
          <w:tcPr>
            <w:tcW w:w="731" w:type="pct"/>
            <w:vAlign w:val="center"/>
          </w:tcPr>
          <w:p w14:paraId="6B4B9C0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0.20 </w:t>
            </w:r>
          </w:p>
        </w:tc>
        <w:tc>
          <w:tcPr>
            <w:tcW w:w="793" w:type="pct"/>
            <w:vAlign w:val="center"/>
          </w:tcPr>
          <w:p w14:paraId="4EAE84E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0.20 </w:t>
            </w:r>
          </w:p>
        </w:tc>
        <w:tc>
          <w:tcPr>
            <w:tcW w:w="789" w:type="pct"/>
            <w:vAlign w:val="center"/>
          </w:tcPr>
          <w:p w14:paraId="182E48A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0.20 </w:t>
            </w:r>
          </w:p>
        </w:tc>
        <w:tc>
          <w:tcPr>
            <w:tcW w:w="793" w:type="pct"/>
            <w:vAlign w:val="center"/>
          </w:tcPr>
          <w:p w14:paraId="42A5C5E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0.20 </w:t>
            </w:r>
          </w:p>
        </w:tc>
        <w:tc>
          <w:tcPr>
            <w:tcW w:w="797" w:type="pct"/>
            <w:vAlign w:val="center"/>
          </w:tcPr>
          <w:p w14:paraId="6CA5C7D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0.20 </w:t>
            </w:r>
          </w:p>
        </w:tc>
      </w:tr>
      <w:tr w:rsidR="008A2411" w:rsidRPr="008A2411" w14:paraId="71A6889C" w14:textId="77777777">
        <w:trPr>
          <w:trHeight w:val="19"/>
          <w:jc w:val="center"/>
        </w:trPr>
        <w:tc>
          <w:tcPr>
            <w:tcW w:w="1094" w:type="pct"/>
            <w:vAlign w:val="center"/>
          </w:tcPr>
          <w:p w14:paraId="013471E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铅</w:t>
            </w:r>
          </w:p>
        </w:tc>
        <w:tc>
          <w:tcPr>
            <w:tcW w:w="731" w:type="pct"/>
            <w:vAlign w:val="center"/>
          </w:tcPr>
          <w:p w14:paraId="5401A7C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1.00 </w:t>
            </w:r>
          </w:p>
        </w:tc>
        <w:tc>
          <w:tcPr>
            <w:tcW w:w="793" w:type="pct"/>
            <w:vAlign w:val="center"/>
          </w:tcPr>
          <w:p w14:paraId="5E8EF58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1.00 </w:t>
            </w:r>
          </w:p>
        </w:tc>
        <w:tc>
          <w:tcPr>
            <w:tcW w:w="789" w:type="pct"/>
            <w:vAlign w:val="center"/>
          </w:tcPr>
          <w:p w14:paraId="2D6E3F1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1.00 </w:t>
            </w:r>
          </w:p>
        </w:tc>
        <w:tc>
          <w:tcPr>
            <w:tcW w:w="793" w:type="pct"/>
            <w:vAlign w:val="center"/>
          </w:tcPr>
          <w:p w14:paraId="797749A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1.00 </w:t>
            </w:r>
          </w:p>
        </w:tc>
        <w:tc>
          <w:tcPr>
            <w:tcW w:w="797" w:type="pct"/>
            <w:vAlign w:val="center"/>
          </w:tcPr>
          <w:p w14:paraId="7051152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1.00 </w:t>
            </w:r>
          </w:p>
        </w:tc>
      </w:tr>
      <w:tr w:rsidR="008A2411" w:rsidRPr="008A2411" w14:paraId="573A140A" w14:textId="77777777">
        <w:trPr>
          <w:trHeight w:val="19"/>
          <w:jc w:val="center"/>
        </w:trPr>
        <w:tc>
          <w:tcPr>
            <w:tcW w:w="1094" w:type="pct"/>
            <w:vAlign w:val="center"/>
          </w:tcPr>
          <w:p w14:paraId="1CD3AF1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锌</w:t>
            </w:r>
          </w:p>
        </w:tc>
        <w:tc>
          <w:tcPr>
            <w:tcW w:w="731" w:type="pct"/>
            <w:vAlign w:val="center"/>
          </w:tcPr>
          <w:p w14:paraId="7FF1379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0.05 </w:t>
            </w:r>
          </w:p>
        </w:tc>
        <w:tc>
          <w:tcPr>
            <w:tcW w:w="793" w:type="pct"/>
            <w:vAlign w:val="center"/>
          </w:tcPr>
          <w:p w14:paraId="63EF3A3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0.05 </w:t>
            </w:r>
          </w:p>
        </w:tc>
        <w:tc>
          <w:tcPr>
            <w:tcW w:w="789" w:type="pct"/>
            <w:vAlign w:val="center"/>
          </w:tcPr>
          <w:p w14:paraId="6B99CC4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0.05 </w:t>
            </w:r>
          </w:p>
        </w:tc>
        <w:tc>
          <w:tcPr>
            <w:tcW w:w="793" w:type="pct"/>
            <w:vAlign w:val="center"/>
          </w:tcPr>
          <w:p w14:paraId="063E169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0.05 </w:t>
            </w:r>
          </w:p>
        </w:tc>
        <w:tc>
          <w:tcPr>
            <w:tcW w:w="797" w:type="pct"/>
            <w:vAlign w:val="center"/>
          </w:tcPr>
          <w:p w14:paraId="16F52FD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0.05 </w:t>
            </w:r>
          </w:p>
        </w:tc>
      </w:tr>
      <w:tr w:rsidR="008A2411" w:rsidRPr="008A2411" w14:paraId="7F6B58E0" w14:textId="77777777">
        <w:trPr>
          <w:trHeight w:val="19"/>
          <w:jc w:val="center"/>
        </w:trPr>
        <w:tc>
          <w:tcPr>
            <w:tcW w:w="1094" w:type="pct"/>
            <w:vAlign w:val="center"/>
          </w:tcPr>
          <w:p w14:paraId="6A1FACE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锰</w:t>
            </w:r>
          </w:p>
        </w:tc>
        <w:tc>
          <w:tcPr>
            <w:tcW w:w="731" w:type="pct"/>
            <w:vAlign w:val="center"/>
          </w:tcPr>
          <w:p w14:paraId="5C3921F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0.10 </w:t>
            </w:r>
          </w:p>
        </w:tc>
        <w:tc>
          <w:tcPr>
            <w:tcW w:w="793" w:type="pct"/>
            <w:vAlign w:val="center"/>
          </w:tcPr>
          <w:p w14:paraId="16D9BB5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0.10 </w:t>
            </w:r>
          </w:p>
        </w:tc>
        <w:tc>
          <w:tcPr>
            <w:tcW w:w="789" w:type="pct"/>
            <w:vAlign w:val="center"/>
          </w:tcPr>
          <w:p w14:paraId="39F560B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0.10 </w:t>
            </w:r>
          </w:p>
        </w:tc>
        <w:tc>
          <w:tcPr>
            <w:tcW w:w="793" w:type="pct"/>
            <w:vAlign w:val="center"/>
          </w:tcPr>
          <w:p w14:paraId="158CDB8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0.10 </w:t>
            </w:r>
          </w:p>
        </w:tc>
        <w:tc>
          <w:tcPr>
            <w:tcW w:w="797" w:type="pct"/>
            <w:vAlign w:val="center"/>
          </w:tcPr>
          <w:p w14:paraId="57CD70C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0.10 </w:t>
            </w:r>
          </w:p>
        </w:tc>
      </w:tr>
      <w:tr w:rsidR="008A2411" w:rsidRPr="008A2411" w14:paraId="4077FFF6" w14:textId="77777777">
        <w:trPr>
          <w:trHeight w:val="19"/>
          <w:jc w:val="center"/>
        </w:trPr>
        <w:tc>
          <w:tcPr>
            <w:tcW w:w="1094" w:type="pct"/>
            <w:vAlign w:val="center"/>
          </w:tcPr>
          <w:p w14:paraId="543D957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铁</w:t>
            </w:r>
          </w:p>
        </w:tc>
        <w:tc>
          <w:tcPr>
            <w:tcW w:w="731" w:type="pct"/>
            <w:vAlign w:val="center"/>
          </w:tcPr>
          <w:p w14:paraId="599CD00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0.10 </w:t>
            </w:r>
          </w:p>
        </w:tc>
        <w:tc>
          <w:tcPr>
            <w:tcW w:w="793" w:type="pct"/>
            <w:vAlign w:val="center"/>
          </w:tcPr>
          <w:p w14:paraId="6FE55A6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0.10 </w:t>
            </w:r>
          </w:p>
        </w:tc>
        <w:tc>
          <w:tcPr>
            <w:tcW w:w="789" w:type="pct"/>
            <w:vAlign w:val="center"/>
          </w:tcPr>
          <w:p w14:paraId="4CCB2F8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0.10 </w:t>
            </w:r>
          </w:p>
        </w:tc>
        <w:tc>
          <w:tcPr>
            <w:tcW w:w="793" w:type="pct"/>
            <w:vAlign w:val="center"/>
          </w:tcPr>
          <w:p w14:paraId="29EA90A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0.10 </w:t>
            </w:r>
          </w:p>
        </w:tc>
        <w:tc>
          <w:tcPr>
            <w:tcW w:w="797" w:type="pct"/>
            <w:vAlign w:val="center"/>
          </w:tcPr>
          <w:p w14:paraId="26BD1FC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0.10 </w:t>
            </w:r>
          </w:p>
        </w:tc>
      </w:tr>
      <w:tr w:rsidR="008A2411" w:rsidRPr="008A2411" w14:paraId="0D38E665" w14:textId="77777777">
        <w:trPr>
          <w:trHeight w:val="19"/>
          <w:jc w:val="center"/>
        </w:trPr>
        <w:tc>
          <w:tcPr>
            <w:tcW w:w="1094" w:type="pct"/>
            <w:vAlign w:val="center"/>
          </w:tcPr>
          <w:p w14:paraId="56A359D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总硬度</w:t>
            </w:r>
          </w:p>
        </w:tc>
        <w:tc>
          <w:tcPr>
            <w:tcW w:w="731" w:type="pct"/>
            <w:vAlign w:val="center"/>
          </w:tcPr>
          <w:p w14:paraId="53BA159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0.59 </w:t>
            </w:r>
          </w:p>
        </w:tc>
        <w:tc>
          <w:tcPr>
            <w:tcW w:w="793" w:type="pct"/>
            <w:vAlign w:val="center"/>
          </w:tcPr>
          <w:p w14:paraId="24DA700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0.70 </w:t>
            </w:r>
          </w:p>
        </w:tc>
        <w:tc>
          <w:tcPr>
            <w:tcW w:w="789" w:type="pct"/>
            <w:vAlign w:val="center"/>
          </w:tcPr>
          <w:p w14:paraId="6B08D59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0.45 </w:t>
            </w:r>
          </w:p>
        </w:tc>
        <w:tc>
          <w:tcPr>
            <w:tcW w:w="793" w:type="pct"/>
            <w:vAlign w:val="center"/>
          </w:tcPr>
          <w:p w14:paraId="4CF8121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0.63 </w:t>
            </w:r>
          </w:p>
        </w:tc>
        <w:tc>
          <w:tcPr>
            <w:tcW w:w="797" w:type="pct"/>
            <w:vAlign w:val="center"/>
          </w:tcPr>
          <w:p w14:paraId="63DC15B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0.35 </w:t>
            </w:r>
          </w:p>
        </w:tc>
      </w:tr>
      <w:tr w:rsidR="008A2411" w:rsidRPr="008A2411" w14:paraId="301B3BD0" w14:textId="77777777">
        <w:trPr>
          <w:trHeight w:val="19"/>
          <w:jc w:val="center"/>
        </w:trPr>
        <w:tc>
          <w:tcPr>
            <w:tcW w:w="1094" w:type="pct"/>
            <w:vAlign w:val="center"/>
          </w:tcPr>
          <w:p w14:paraId="5AEB61E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氟化物</w:t>
            </w:r>
          </w:p>
        </w:tc>
        <w:tc>
          <w:tcPr>
            <w:tcW w:w="731" w:type="pct"/>
            <w:vAlign w:val="center"/>
          </w:tcPr>
          <w:p w14:paraId="13185B2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0.24 </w:t>
            </w:r>
          </w:p>
        </w:tc>
        <w:tc>
          <w:tcPr>
            <w:tcW w:w="793" w:type="pct"/>
            <w:vAlign w:val="center"/>
          </w:tcPr>
          <w:p w14:paraId="286E88E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0.20 </w:t>
            </w:r>
          </w:p>
        </w:tc>
        <w:tc>
          <w:tcPr>
            <w:tcW w:w="789" w:type="pct"/>
            <w:vAlign w:val="center"/>
          </w:tcPr>
          <w:p w14:paraId="3387625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0.19 </w:t>
            </w:r>
          </w:p>
        </w:tc>
        <w:tc>
          <w:tcPr>
            <w:tcW w:w="793" w:type="pct"/>
            <w:vAlign w:val="center"/>
          </w:tcPr>
          <w:p w14:paraId="6BD525B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0.25 </w:t>
            </w:r>
          </w:p>
        </w:tc>
        <w:tc>
          <w:tcPr>
            <w:tcW w:w="797" w:type="pct"/>
            <w:vAlign w:val="center"/>
          </w:tcPr>
          <w:p w14:paraId="6B156D9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0.23 </w:t>
            </w:r>
          </w:p>
        </w:tc>
      </w:tr>
      <w:tr w:rsidR="008A2411" w:rsidRPr="008A2411" w14:paraId="7039F943" w14:textId="77777777">
        <w:trPr>
          <w:trHeight w:val="19"/>
          <w:jc w:val="center"/>
        </w:trPr>
        <w:tc>
          <w:tcPr>
            <w:tcW w:w="1094" w:type="pct"/>
            <w:vAlign w:val="center"/>
          </w:tcPr>
          <w:p w14:paraId="1FD2665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氯化物</w:t>
            </w:r>
          </w:p>
        </w:tc>
        <w:tc>
          <w:tcPr>
            <w:tcW w:w="731" w:type="pct"/>
            <w:vAlign w:val="center"/>
          </w:tcPr>
          <w:p w14:paraId="65ABFD6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0.04 </w:t>
            </w:r>
          </w:p>
        </w:tc>
        <w:tc>
          <w:tcPr>
            <w:tcW w:w="793" w:type="pct"/>
            <w:vAlign w:val="center"/>
          </w:tcPr>
          <w:p w14:paraId="1225394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0.07 </w:t>
            </w:r>
          </w:p>
        </w:tc>
        <w:tc>
          <w:tcPr>
            <w:tcW w:w="789" w:type="pct"/>
            <w:vAlign w:val="center"/>
          </w:tcPr>
          <w:p w14:paraId="3914137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0.01 </w:t>
            </w:r>
          </w:p>
        </w:tc>
        <w:tc>
          <w:tcPr>
            <w:tcW w:w="793" w:type="pct"/>
            <w:vAlign w:val="center"/>
          </w:tcPr>
          <w:p w14:paraId="523C9E6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0.03 </w:t>
            </w:r>
          </w:p>
        </w:tc>
        <w:tc>
          <w:tcPr>
            <w:tcW w:w="797" w:type="pct"/>
            <w:vAlign w:val="center"/>
          </w:tcPr>
          <w:p w14:paraId="7A9639F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0.05 </w:t>
            </w:r>
          </w:p>
        </w:tc>
      </w:tr>
      <w:tr w:rsidR="008A2411" w:rsidRPr="008A2411" w14:paraId="333F8B71" w14:textId="77777777">
        <w:trPr>
          <w:trHeight w:val="19"/>
          <w:jc w:val="center"/>
        </w:trPr>
        <w:tc>
          <w:tcPr>
            <w:tcW w:w="1094" w:type="pct"/>
            <w:vAlign w:val="center"/>
          </w:tcPr>
          <w:p w14:paraId="7B1C856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硫酸盐</w:t>
            </w:r>
          </w:p>
        </w:tc>
        <w:tc>
          <w:tcPr>
            <w:tcW w:w="731" w:type="pct"/>
            <w:vAlign w:val="center"/>
          </w:tcPr>
          <w:p w14:paraId="1035FF2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0.08 </w:t>
            </w:r>
          </w:p>
        </w:tc>
        <w:tc>
          <w:tcPr>
            <w:tcW w:w="793" w:type="pct"/>
            <w:vAlign w:val="center"/>
          </w:tcPr>
          <w:p w14:paraId="028A736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0.12 </w:t>
            </w:r>
          </w:p>
        </w:tc>
        <w:tc>
          <w:tcPr>
            <w:tcW w:w="789" w:type="pct"/>
            <w:vAlign w:val="center"/>
          </w:tcPr>
          <w:p w14:paraId="147B0AE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0.11 </w:t>
            </w:r>
          </w:p>
        </w:tc>
        <w:tc>
          <w:tcPr>
            <w:tcW w:w="793" w:type="pct"/>
            <w:vAlign w:val="center"/>
          </w:tcPr>
          <w:p w14:paraId="4F5DB50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0.12 </w:t>
            </w:r>
          </w:p>
        </w:tc>
        <w:tc>
          <w:tcPr>
            <w:tcW w:w="797" w:type="pct"/>
            <w:vAlign w:val="center"/>
          </w:tcPr>
          <w:p w14:paraId="58F7BDF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0.09 </w:t>
            </w:r>
          </w:p>
        </w:tc>
      </w:tr>
      <w:tr w:rsidR="008A2411" w:rsidRPr="008A2411" w14:paraId="62A838D9" w14:textId="77777777">
        <w:trPr>
          <w:trHeight w:val="19"/>
          <w:jc w:val="center"/>
        </w:trPr>
        <w:tc>
          <w:tcPr>
            <w:tcW w:w="1094" w:type="pct"/>
            <w:vAlign w:val="center"/>
          </w:tcPr>
          <w:p w14:paraId="27D5384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硝酸盐氮</w:t>
            </w:r>
          </w:p>
        </w:tc>
        <w:tc>
          <w:tcPr>
            <w:tcW w:w="731" w:type="pct"/>
            <w:vAlign w:val="center"/>
          </w:tcPr>
          <w:p w14:paraId="39DDE26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0.93 </w:t>
            </w:r>
          </w:p>
        </w:tc>
        <w:tc>
          <w:tcPr>
            <w:tcW w:w="793" w:type="pct"/>
            <w:vAlign w:val="center"/>
          </w:tcPr>
          <w:p w14:paraId="104349A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0.48 </w:t>
            </w:r>
          </w:p>
        </w:tc>
        <w:tc>
          <w:tcPr>
            <w:tcW w:w="789" w:type="pct"/>
            <w:vAlign w:val="center"/>
          </w:tcPr>
          <w:p w14:paraId="006C98E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0.06 </w:t>
            </w:r>
          </w:p>
        </w:tc>
        <w:tc>
          <w:tcPr>
            <w:tcW w:w="793" w:type="pct"/>
            <w:vAlign w:val="center"/>
          </w:tcPr>
          <w:p w14:paraId="6131BF1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0.51 </w:t>
            </w:r>
          </w:p>
        </w:tc>
        <w:tc>
          <w:tcPr>
            <w:tcW w:w="797" w:type="pct"/>
            <w:vAlign w:val="center"/>
          </w:tcPr>
          <w:p w14:paraId="4C7C968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0.46 </w:t>
            </w:r>
          </w:p>
        </w:tc>
      </w:tr>
      <w:tr w:rsidR="008A2411" w:rsidRPr="008A2411" w14:paraId="3FA7087D" w14:textId="77777777">
        <w:trPr>
          <w:trHeight w:val="19"/>
          <w:jc w:val="center"/>
        </w:trPr>
        <w:tc>
          <w:tcPr>
            <w:tcW w:w="1094" w:type="pct"/>
            <w:vAlign w:val="center"/>
          </w:tcPr>
          <w:p w14:paraId="6A99BB5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亚硝酸盐</w:t>
            </w:r>
          </w:p>
        </w:tc>
        <w:tc>
          <w:tcPr>
            <w:tcW w:w="731" w:type="pct"/>
            <w:vAlign w:val="center"/>
          </w:tcPr>
          <w:p w14:paraId="26B3EE2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0.02 </w:t>
            </w:r>
          </w:p>
        </w:tc>
        <w:tc>
          <w:tcPr>
            <w:tcW w:w="793" w:type="pct"/>
            <w:vAlign w:val="center"/>
          </w:tcPr>
          <w:p w14:paraId="5FC39B24" w14:textId="77777777" w:rsidR="00B0005F" w:rsidRPr="008A2411" w:rsidRDefault="00000000">
            <w:pPr>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0.02</w:t>
            </w:r>
          </w:p>
        </w:tc>
        <w:tc>
          <w:tcPr>
            <w:tcW w:w="789" w:type="pct"/>
            <w:vAlign w:val="center"/>
          </w:tcPr>
          <w:p w14:paraId="6E239987" w14:textId="77777777" w:rsidR="00B0005F" w:rsidRPr="008A2411" w:rsidRDefault="00000000">
            <w:pPr>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0.02</w:t>
            </w:r>
          </w:p>
        </w:tc>
        <w:tc>
          <w:tcPr>
            <w:tcW w:w="793" w:type="pct"/>
            <w:vAlign w:val="center"/>
          </w:tcPr>
          <w:p w14:paraId="66C5CDFF" w14:textId="77777777" w:rsidR="00B0005F" w:rsidRPr="008A2411" w:rsidRDefault="00000000">
            <w:pPr>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0.02</w:t>
            </w:r>
          </w:p>
        </w:tc>
        <w:tc>
          <w:tcPr>
            <w:tcW w:w="797" w:type="pct"/>
            <w:vAlign w:val="center"/>
          </w:tcPr>
          <w:p w14:paraId="4D7C9683" w14:textId="77777777" w:rsidR="00B0005F" w:rsidRPr="008A2411" w:rsidRDefault="00000000">
            <w:pPr>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0.02</w:t>
            </w:r>
          </w:p>
        </w:tc>
      </w:tr>
      <w:tr w:rsidR="008A2411" w:rsidRPr="008A2411" w14:paraId="5DEA5AF9" w14:textId="77777777">
        <w:trPr>
          <w:trHeight w:val="19"/>
          <w:jc w:val="center"/>
        </w:trPr>
        <w:tc>
          <w:tcPr>
            <w:tcW w:w="1094" w:type="pct"/>
            <w:vAlign w:val="center"/>
          </w:tcPr>
          <w:p w14:paraId="05FD88A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耗氧量</w:t>
            </w:r>
          </w:p>
        </w:tc>
        <w:tc>
          <w:tcPr>
            <w:tcW w:w="731" w:type="pct"/>
            <w:vAlign w:val="center"/>
          </w:tcPr>
          <w:p w14:paraId="6A6FBE4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0.47 </w:t>
            </w:r>
          </w:p>
        </w:tc>
        <w:tc>
          <w:tcPr>
            <w:tcW w:w="793" w:type="pct"/>
            <w:vAlign w:val="center"/>
          </w:tcPr>
          <w:p w14:paraId="5BE3038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0.47 </w:t>
            </w:r>
          </w:p>
        </w:tc>
        <w:tc>
          <w:tcPr>
            <w:tcW w:w="789" w:type="pct"/>
            <w:vAlign w:val="center"/>
          </w:tcPr>
          <w:p w14:paraId="2F0A4CA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0.97 </w:t>
            </w:r>
          </w:p>
        </w:tc>
        <w:tc>
          <w:tcPr>
            <w:tcW w:w="793" w:type="pct"/>
            <w:vAlign w:val="center"/>
          </w:tcPr>
          <w:p w14:paraId="392C300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0.27 </w:t>
            </w:r>
          </w:p>
        </w:tc>
        <w:tc>
          <w:tcPr>
            <w:tcW w:w="797" w:type="pct"/>
            <w:vAlign w:val="center"/>
          </w:tcPr>
          <w:p w14:paraId="6F3BA30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0.20 </w:t>
            </w:r>
          </w:p>
        </w:tc>
      </w:tr>
      <w:tr w:rsidR="008A2411" w:rsidRPr="008A2411" w14:paraId="242401A4" w14:textId="77777777">
        <w:trPr>
          <w:trHeight w:val="282"/>
          <w:jc w:val="center"/>
        </w:trPr>
        <w:tc>
          <w:tcPr>
            <w:tcW w:w="1094" w:type="pct"/>
            <w:vAlign w:val="center"/>
          </w:tcPr>
          <w:p w14:paraId="02B0E00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硫化物</w:t>
            </w:r>
          </w:p>
        </w:tc>
        <w:tc>
          <w:tcPr>
            <w:tcW w:w="731" w:type="pct"/>
            <w:vAlign w:val="center"/>
          </w:tcPr>
          <w:p w14:paraId="568FDAD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0.15 </w:t>
            </w:r>
          </w:p>
        </w:tc>
        <w:tc>
          <w:tcPr>
            <w:tcW w:w="793" w:type="pct"/>
            <w:vAlign w:val="center"/>
          </w:tcPr>
          <w:p w14:paraId="67CA4F1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0.15 </w:t>
            </w:r>
          </w:p>
        </w:tc>
        <w:tc>
          <w:tcPr>
            <w:tcW w:w="789" w:type="pct"/>
            <w:vAlign w:val="center"/>
          </w:tcPr>
          <w:p w14:paraId="5748AA3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0.15 </w:t>
            </w:r>
          </w:p>
        </w:tc>
        <w:tc>
          <w:tcPr>
            <w:tcW w:w="793" w:type="pct"/>
            <w:vAlign w:val="center"/>
          </w:tcPr>
          <w:p w14:paraId="19B7457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0.15 </w:t>
            </w:r>
          </w:p>
        </w:tc>
        <w:tc>
          <w:tcPr>
            <w:tcW w:w="797" w:type="pct"/>
            <w:vAlign w:val="center"/>
          </w:tcPr>
          <w:p w14:paraId="26F1C51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0.15 </w:t>
            </w:r>
          </w:p>
        </w:tc>
      </w:tr>
      <w:tr w:rsidR="00B0005F" w:rsidRPr="008A2411" w14:paraId="120C2762" w14:textId="77777777">
        <w:trPr>
          <w:trHeight w:val="19"/>
          <w:jc w:val="center"/>
        </w:trPr>
        <w:tc>
          <w:tcPr>
            <w:tcW w:w="1094" w:type="pct"/>
            <w:vAlign w:val="center"/>
          </w:tcPr>
          <w:p w14:paraId="145FC01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石油类</w:t>
            </w:r>
            <w:r w:rsidRPr="008A2411">
              <w:rPr>
                <w:rFonts w:ascii="Times New Roman"/>
                <w:color w:val="000000" w:themeColor="text1"/>
              </w:rPr>
              <w:t>*</w:t>
            </w:r>
          </w:p>
        </w:tc>
        <w:tc>
          <w:tcPr>
            <w:tcW w:w="731" w:type="pct"/>
            <w:vAlign w:val="center"/>
          </w:tcPr>
          <w:p w14:paraId="38588E6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0.20 </w:t>
            </w:r>
          </w:p>
        </w:tc>
        <w:tc>
          <w:tcPr>
            <w:tcW w:w="793" w:type="pct"/>
            <w:vAlign w:val="center"/>
          </w:tcPr>
          <w:p w14:paraId="385B64F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0.20 </w:t>
            </w:r>
          </w:p>
        </w:tc>
        <w:tc>
          <w:tcPr>
            <w:tcW w:w="789" w:type="pct"/>
            <w:vAlign w:val="center"/>
          </w:tcPr>
          <w:p w14:paraId="253D8BB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0.20 </w:t>
            </w:r>
          </w:p>
        </w:tc>
        <w:tc>
          <w:tcPr>
            <w:tcW w:w="793" w:type="pct"/>
            <w:vAlign w:val="center"/>
          </w:tcPr>
          <w:p w14:paraId="4525842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0.20 </w:t>
            </w:r>
          </w:p>
        </w:tc>
        <w:tc>
          <w:tcPr>
            <w:tcW w:w="797" w:type="pct"/>
            <w:vAlign w:val="center"/>
          </w:tcPr>
          <w:p w14:paraId="4B4ADCF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 xml:space="preserve">0.20 </w:t>
            </w:r>
          </w:p>
        </w:tc>
      </w:tr>
    </w:tbl>
    <w:p w14:paraId="774F95CB" w14:textId="77777777" w:rsidR="00B0005F" w:rsidRPr="008A2411" w:rsidRDefault="00B0005F">
      <w:pPr>
        <w:pStyle w:val="TOC2"/>
        <w:rPr>
          <w:rFonts w:ascii="Times New Roman" w:hAnsi="Times New Roman" w:cs="Times New Roman"/>
          <w:color w:val="000000" w:themeColor="text1"/>
        </w:rPr>
      </w:pPr>
    </w:p>
    <w:p w14:paraId="4332799E" w14:textId="77777777" w:rsidR="00B0005F" w:rsidRPr="008A2411" w:rsidRDefault="00000000">
      <w:pPr>
        <w:adjustRightInd w:val="0"/>
        <w:snapToGrid w:val="0"/>
        <w:spacing w:line="360" w:lineRule="auto"/>
        <w:ind w:firstLineChars="200" w:firstLine="480"/>
        <w:rPr>
          <w:rFonts w:ascii="Times New Roman"/>
          <w:color w:val="000000" w:themeColor="text1"/>
        </w:rPr>
      </w:pPr>
      <w:r w:rsidRPr="008A2411">
        <w:rPr>
          <w:rFonts w:ascii="Times New Roman"/>
          <w:color w:val="000000" w:themeColor="text1"/>
        </w:rPr>
        <w:t>此外，本次评价还选取</w:t>
      </w:r>
      <w:r w:rsidRPr="008A2411">
        <w:rPr>
          <w:rFonts w:ascii="Times New Roman"/>
          <w:color w:val="000000" w:themeColor="text1"/>
        </w:rPr>
        <w:t>10</w:t>
      </w:r>
      <w:r w:rsidRPr="008A2411">
        <w:rPr>
          <w:rFonts w:ascii="Times New Roman"/>
          <w:color w:val="000000" w:themeColor="text1"/>
        </w:rPr>
        <w:t>口水井进行水位监测，其监测结果见表</w:t>
      </w:r>
      <w:r w:rsidRPr="008A2411">
        <w:rPr>
          <w:rFonts w:ascii="Times New Roman"/>
          <w:color w:val="000000" w:themeColor="text1"/>
        </w:rPr>
        <w:t>4.3-5</w:t>
      </w:r>
      <w:r w:rsidRPr="008A2411">
        <w:rPr>
          <w:rFonts w:ascii="Times New Roman"/>
          <w:color w:val="000000" w:themeColor="text1"/>
        </w:rPr>
        <w:t>。</w:t>
      </w:r>
    </w:p>
    <w:p w14:paraId="02707965" w14:textId="77777777" w:rsidR="00B0005F" w:rsidRPr="008A2411" w:rsidRDefault="00000000">
      <w:pPr>
        <w:pStyle w:val="TOC1"/>
        <w:jc w:val="center"/>
        <w:rPr>
          <w:rFonts w:ascii="Times New Roman" w:eastAsia="黑体" w:hAnsi="Times New Roman" w:cs="Times New Roman"/>
          <w:b w:val="0"/>
          <w:bCs w:val="0"/>
          <w:caps w:val="0"/>
          <w:color w:val="000000" w:themeColor="text1"/>
          <w:sz w:val="24"/>
          <w:szCs w:val="21"/>
        </w:rPr>
      </w:pPr>
      <w:r w:rsidRPr="008A2411">
        <w:rPr>
          <w:rFonts w:ascii="Times New Roman" w:eastAsia="黑体" w:hAnsi="Times New Roman" w:cs="Times New Roman"/>
          <w:b w:val="0"/>
          <w:bCs w:val="0"/>
          <w:caps w:val="0"/>
          <w:color w:val="000000" w:themeColor="text1"/>
          <w:sz w:val="24"/>
          <w:szCs w:val="21"/>
        </w:rPr>
        <w:t>表</w:t>
      </w:r>
      <w:r w:rsidRPr="008A2411">
        <w:rPr>
          <w:rFonts w:ascii="Times New Roman" w:eastAsia="黑体" w:hAnsi="Times New Roman" w:cs="Times New Roman"/>
          <w:b w:val="0"/>
          <w:bCs w:val="0"/>
          <w:caps w:val="0"/>
          <w:color w:val="000000" w:themeColor="text1"/>
          <w:sz w:val="24"/>
          <w:szCs w:val="21"/>
        </w:rPr>
        <w:t xml:space="preserve">4.3-5  </w:t>
      </w:r>
      <w:r w:rsidRPr="008A2411">
        <w:rPr>
          <w:rFonts w:ascii="Times New Roman" w:eastAsia="黑体" w:hAnsi="Times New Roman" w:cs="Times New Roman"/>
          <w:b w:val="0"/>
          <w:bCs w:val="0"/>
          <w:caps w:val="0"/>
          <w:color w:val="000000" w:themeColor="text1"/>
          <w:sz w:val="24"/>
          <w:szCs w:val="21"/>
        </w:rPr>
        <w:t>地下水水位调查结果</w:t>
      </w:r>
    </w:p>
    <w:tbl>
      <w:tblPr>
        <w:tblW w:w="4998" w:type="pct"/>
        <w:tblBorders>
          <w:top w:val="single" w:sz="12" w:space="0" w:color="000000"/>
          <w:bottom w:val="single" w:sz="12" w:space="0" w:color="000000"/>
          <w:insideH w:val="single" w:sz="8" w:space="0" w:color="000000"/>
          <w:insideV w:val="single" w:sz="6" w:space="0" w:color="000000"/>
        </w:tblBorders>
        <w:tblCellMar>
          <w:left w:w="28" w:type="dxa"/>
          <w:right w:w="28" w:type="dxa"/>
        </w:tblCellMar>
        <w:tblLook w:val="04A0" w:firstRow="1" w:lastRow="0" w:firstColumn="1" w:lastColumn="0" w:noHBand="0" w:noVBand="1"/>
      </w:tblPr>
      <w:tblGrid>
        <w:gridCol w:w="693"/>
        <w:gridCol w:w="1953"/>
        <w:gridCol w:w="1324"/>
        <w:gridCol w:w="1324"/>
        <w:gridCol w:w="1021"/>
        <w:gridCol w:w="1021"/>
        <w:gridCol w:w="1023"/>
      </w:tblGrid>
      <w:tr w:rsidR="008A2411" w:rsidRPr="008A2411" w14:paraId="28A97EC0" w14:textId="77777777">
        <w:trPr>
          <w:trHeight w:val="510"/>
          <w:tblHeader/>
        </w:trPr>
        <w:tc>
          <w:tcPr>
            <w:tcW w:w="415" w:type="pct"/>
            <w:tcBorders>
              <w:top w:val="single" w:sz="4" w:space="0" w:color="auto"/>
              <w:left w:val="single" w:sz="4" w:space="0" w:color="auto"/>
              <w:bottom w:val="single" w:sz="4" w:space="0" w:color="auto"/>
              <w:right w:val="single" w:sz="4" w:space="0" w:color="auto"/>
            </w:tcBorders>
            <w:vAlign w:val="center"/>
          </w:tcPr>
          <w:p w14:paraId="2FEDC6BF"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lastRenderedPageBreak/>
              <w:t>编号</w:t>
            </w:r>
          </w:p>
        </w:tc>
        <w:tc>
          <w:tcPr>
            <w:tcW w:w="1167" w:type="pct"/>
            <w:tcBorders>
              <w:top w:val="single" w:sz="4" w:space="0" w:color="auto"/>
              <w:left w:val="single" w:sz="4" w:space="0" w:color="auto"/>
              <w:bottom w:val="single" w:sz="4" w:space="0" w:color="auto"/>
              <w:right w:val="single" w:sz="4" w:space="0" w:color="auto"/>
            </w:tcBorders>
            <w:vAlign w:val="center"/>
          </w:tcPr>
          <w:p w14:paraId="4FEE69ED"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点位</w:t>
            </w:r>
          </w:p>
        </w:tc>
        <w:tc>
          <w:tcPr>
            <w:tcW w:w="791" w:type="pct"/>
            <w:tcBorders>
              <w:top w:val="single" w:sz="4" w:space="0" w:color="auto"/>
              <w:left w:val="single" w:sz="4" w:space="0" w:color="auto"/>
              <w:bottom w:val="single" w:sz="4" w:space="0" w:color="auto"/>
              <w:right w:val="single" w:sz="4" w:space="0" w:color="auto"/>
            </w:tcBorders>
            <w:vAlign w:val="center"/>
          </w:tcPr>
          <w:p w14:paraId="08628018"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经度</w:t>
            </w:r>
          </w:p>
        </w:tc>
        <w:tc>
          <w:tcPr>
            <w:tcW w:w="791" w:type="pct"/>
            <w:tcBorders>
              <w:top w:val="single" w:sz="4" w:space="0" w:color="auto"/>
              <w:left w:val="single" w:sz="4" w:space="0" w:color="auto"/>
              <w:bottom w:val="single" w:sz="4" w:space="0" w:color="auto"/>
              <w:right w:val="single" w:sz="4" w:space="0" w:color="auto"/>
            </w:tcBorders>
            <w:vAlign w:val="center"/>
          </w:tcPr>
          <w:p w14:paraId="45D8C7C6"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纬度</w:t>
            </w:r>
          </w:p>
        </w:tc>
        <w:tc>
          <w:tcPr>
            <w:tcW w:w="610" w:type="pct"/>
            <w:tcBorders>
              <w:top w:val="single" w:sz="4" w:space="0" w:color="auto"/>
              <w:left w:val="single" w:sz="4" w:space="0" w:color="auto"/>
              <w:bottom w:val="single" w:sz="4" w:space="0" w:color="auto"/>
              <w:right w:val="single" w:sz="4" w:space="0" w:color="auto"/>
            </w:tcBorders>
            <w:vAlign w:val="center"/>
          </w:tcPr>
          <w:p w14:paraId="2874D378"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井口高程</w:t>
            </w:r>
          </w:p>
        </w:tc>
        <w:tc>
          <w:tcPr>
            <w:tcW w:w="610" w:type="pct"/>
            <w:tcBorders>
              <w:top w:val="single" w:sz="4" w:space="0" w:color="auto"/>
              <w:left w:val="single" w:sz="4" w:space="0" w:color="auto"/>
              <w:bottom w:val="single" w:sz="4" w:space="0" w:color="auto"/>
              <w:right w:val="single" w:sz="4" w:space="0" w:color="auto"/>
            </w:tcBorders>
            <w:vAlign w:val="center"/>
          </w:tcPr>
          <w:p w14:paraId="24E16296"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水位</w:t>
            </w:r>
          </w:p>
        </w:tc>
        <w:tc>
          <w:tcPr>
            <w:tcW w:w="611" w:type="pct"/>
            <w:tcBorders>
              <w:top w:val="single" w:sz="4" w:space="0" w:color="auto"/>
              <w:left w:val="single" w:sz="4" w:space="0" w:color="auto"/>
              <w:bottom w:val="single" w:sz="4" w:space="0" w:color="auto"/>
              <w:right w:val="single" w:sz="4" w:space="0" w:color="auto"/>
            </w:tcBorders>
            <w:vAlign w:val="center"/>
          </w:tcPr>
          <w:p w14:paraId="758FCC9C"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井深</w:t>
            </w:r>
          </w:p>
        </w:tc>
      </w:tr>
      <w:tr w:rsidR="008A2411" w:rsidRPr="008A2411" w14:paraId="6CF1BE3E" w14:textId="77777777">
        <w:trPr>
          <w:cantSplit/>
          <w:trHeight w:val="680"/>
        </w:trPr>
        <w:tc>
          <w:tcPr>
            <w:tcW w:w="415" w:type="pct"/>
            <w:tcBorders>
              <w:top w:val="single" w:sz="4" w:space="0" w:color="auto"/>
              <w:left w:val="single" w:sz="4" w:space="0" w:color="auto"/>
              <w:bottom w:val="single" w:sz="4" w:space="0" w:color="auto"/>
              <w:right w:val="single" w:sz="4" w:space="0" w:color="auto"/>
            </w:tcBorders>
            <w:vAlign w:val="center"/>
          </w:tcPr>
          <w:p w14:paraId="09704BD1"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1#</w:t>
            </w:r>
          </w:p>
        </w:tc>
        <w:tc>
          <w:tcPr>
            <w:tcW w:w="1167" w:type="pct"/>
            <w:tcBorders>
              <w:top w:val="single" w:sz="4" w:space="0" w:color="auto"/>
              <w:left w:val="single" w:sz="4" w:space="0" w:color="auto"/>
              <w:bottom w:val="single" w:sz="4" w:space="0" w:color="auto"/>
              <w:right w:val="single" w:sz="4" w:space="0" w:color="auto"/>
            </w:tcBorders>
            <w:vAlign w:val="center"/>
          </w:tcPr>
          <w:p w14:paraId="34195004"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项目拟建地西北侧</w:t>
            </w:r>
            <w:r w:rsidRPr="008A2411">
              <w:rPr>
                <w:rFonts w:ascii="Times New Roman"/>
                <w:color w:val="000000" w:themeColor="text1"/>
              </w:rPr>
              <w:t>1.13km</w:t>
            </w:r>
            <w:r w:rsidRPr="008A2411">
              <w:rPr>
                <w:rFonts w:ascii="Times New Roman"/>
                <w:color w:val="000000" w:themeColor="text1"/>
              </w:rPr>
              <w:t>处居民水井（黄家湾）</w:t>
            </w:r>
          </w:p>
        </w:tc>
        <w:tc>
          <w:tcPr>
            <w:tcW w:w="791" w:type="pct"/>
            <w:tcBorders>
              <w:top w:val="single" w:sz="4" w:space="0" w:color="auto"/>
              <w:left w:val="single" w:sz="4" w:space="0" w:color="auto"/>
              <w:bottom w:val="single" w:sz="4" w:space="0" w:color="auto"/>
              <w:right w:val="single" w:sz="4" w:space="0" w:color="auto"/>
            </w:tcBorders>
            <w:vAlign w:val="center"/>
          </w:tcPr>
          <w:p w14:paraId="4A1F810B"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107.6901</w:t>
            </w:r>
          </w:p>
        </w:tc>
        <w:tc>
          <w:tcPr>
            <w:tcW w:w="791" w:type="pct"/>
            <w:tcBorders>
              <w:top w:val="single" w:sz="4" w:space="0" w:color="auto"/>
              <w:left w:val="single" w:sz="4" w:space="0" w:color="auto"/>
              <w:bottom w:val="single" w:sz="4" w:space="0" w:color="auto"/>
              <w:right w:val="single" w:sz="4" w:space="0" w:color="auto"/>
            </w:tcBorders>
            <w:vAlign w:val="center"/>
          </w:tcPr>
          <w:p w14:paraId="35A669CC"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31.5229</w:t>
            </w:r>
          </w:p>
        </w:tc>
        <w:tc>
          <w:tcPr>
            <w:tcW w:w="1021" w:type="dxa"/>
            <w:tcBorders>
              <w:top w:val="single" w:sz="4" w:space="0" w:color="auto"/>
              <w:left w:val="single" w:sz="4" w:space="0" w:color="auto"/>
              <w:bottom w:val="single" w:sz="4" w:space="0" w:color="auto"/>
              <w:right w:val="single" w:sz="4" w:space="0" w:color="auto"/>
            </w:tcBorders>
            <w:vAlign w:val="center"/>
          </w:tcPr>
          <w:p w14:paraId="4C35990A"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423.2</w:t>
            </w:r>
          </w:p>
        </w:tc>
        <w:tc>
          <w:tcPr>
            <w:tcW w:w="1021" w:type="dxa"/>
            <w:tcBorders>
              <w:top w:val="single" w:sz="4" w:space="0" w:color="auto"/>
              <w:left w:val="single" w:sz="4" w:space="0" w:color="auto"/>
              <w:bottom w:val="single" w:sz="4" w:space="0" w:color="auto"/>
              <w:right w:val="single" w:sz="4" w:space="0" w:color="auto"/>
            </w:tcBorders>
            <w:vAlign w:val="center"/>
          </w:tcPr>
          <w:p w14:paraId="3F3CFDFB"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11.3</w:t>
            </w:r>
          </w:p>
        </w:tc>
        <w:tc>
          <w:tcPr>
            <w:tcW w:w="611" w:type="pct"/>
            <w:tcBorders>
              <w:top w:val="single" w:sz="4" w:space="0" w:color="auto"/>
              <w:left w:val="single" w:sz="4" w:space="0" w:color="auto"/>
              <w:bottom w:val="single" w:sz="4" w:space="0" w:color="auto"/>
              <w:right w:val="single" w:sz="4" w:space="0" w:color="auto"/>
            </w:tcBorders>
            <w:vAlign w:val="center"/>
          </w:tcPr>
          <w:p w14:paraId="21E86EDC"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15</w:t>
            </w:r>
          </w:p>
        </w:tc>
      </w:tr>
      <w:tr w:rsidR="008A2411" w:rsidRPr="008A2411" w14:paraId="25E0AA54" w14:textId="77777777">
        <w:trPr>
          <w:cantSplit/>
          <w:trHeight w:val="680"/>
        </w:trPr>
        <w:tc>
          <w:tcPr>
            <w:tcW w:w="415" w:type="pct"/>
            <w:tcBorders>
              <w:top w:val="single" w:sz="4" w:space="0" w:color="auto"/>
              <w:left w:val="single" w:sz="4" w:space="0" w:color="auto"/>
              <w:bottom w:val="single" w:sz="4" w:space="0" w:color="auto"/>
              <w:right w:val="single" w:sz="4" w:space="0" w:color="auto"/>
            </w:tcBorders>
            <w:vAlign w:val="center"/>
          </w:tcPr>
          <w:p w14:paraId="111C45F0"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2#</w:t>
            </w:r>
          </w:p>
        </w:tc>
        <w:tc>
          <w:tcPr>
            <w:tcW w:w="1167" w:type="pct"/>
            <w:tcBorders>
              <w:top w:val="single" w:sz="4" w:space="0" w:color="auto"/>
              <w:left w:val="single" w:sz="4" w:space="0" w:color="auto"/>
              <w:bottom w:val="single" w:sz="4" w:space="0" w:color="auto"/>
              <w:right w:val="single" w:sz="4" w:space="0" w:color="auto"/>
            </w:tcBorders>
            <w:vAlign w:val="center"/>
          </w:tcPr>
          <w:p w14:paraId="04B3D3F2"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项目拟建地东北侧</w:t>
            </w:r>
            <w:r w:rsidRPr="008A2411">
              <w:rPr>
                <w:rFonts w:ascii="Times New Roman"/>
                <w:color w:val="000000" w:themeColor="text1"/>
              </w:rPr>
              <w:t>0.94km</w:t>
            </w:r>
            <w:r w:rsidRPr="008A2411">
              <w:rPr>
                <w:rFonts w:ascii="Times New Roman"/>
                <w:color w:val="000000" w:themeColor="text1"/>
              </w:rPr>
              <w:t>处居民水井（陶家沟）</w:t>
            </w:r>
          </w:p>
        </w:tc>
        <w:tc>
          <w:tcPr>
            <w:tcW w:w="791" w:type="pct"/>
            <w:tcBorders>
              <w:top w:val="single" w:sz="4" w:space="0" w:color="auto"/>
              <w:left w:val="single" w:sz="4" w:space="0" w:color="auto"/>
              <w:bottom w:val="single" w:sz="4" w:space="0" w:color="auto"/>
              <w:right w:val="single" w:sz="4" w:space="0" w:color="auto"/>
            </w:tcBorders>
            <w:vAlign w:val="center"/>
          </w:tcPr>
          <w:p w14:paraId="01D69088"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107.6977</w:t>
            </w:r>
          </w:p>
        </w:tc>
        <w:tc>
          <w:tcPr>
            <w:tcW w:w="791" w:type="pct"/>
            <w:tcBorders>
              <w:top w:val="single" w:sz="4" w:space="0" w:color="auto"/>
              <w:left w:val="single" w:sz="4" w:space="0" w:color="auto"/>
              <w:bottom w:val="single" w:sz="4" w:space="0" w:color="auto"/>
              <w:right w:val="single" w:sz="4" w:space="0" w:color="auto"/>
            </w:tcBorders>
            <w:vAlign w:val="center"/>
          </w:tcPr>
          <w:p w14:paraId="1F736BED"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31.5263</w:t>
            </w:r>
          </w:p>
        </w:tc>
        <w:tc>
          <w:tcPr>
            <w:tcW w:w="1021" w:type="dxa"/>
            <w:tcBorders>
              <w:top w:val="single" w:sz="4" w:space="0" w:color="auto"/>
              <w:left w:val="single" w:sz="4" w:space="0" w:color="auto"/>
              <w:bottom w:val="single" w:sz="4" w:space="0" w:color="auto"/>
              <w:right w:val="single" w:sz="4" w:space="0" w:color="auto"/>
            </w:tcBorders>
            <w:vAlign w:val="center"/>
          </w:tcPr>
          <w:p w14:paraId="2A00379F"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398.6</w:t>
            </w:r>
          </w:p>
        </w:tc>
        <w:tc>
          <w:tcPr>
            <w:tcW w:w="1021" w:type="dxa"/>
            <w:tcBorders>
              <w:top w:val="single" w:sz="4" w:space="0" w:color="auto"/>
              <w:left w:val="single" w:sz="4" w:space="0" w:color="auto"/>
              <w:bottom w:val="single" w:sz="4" w:space="0" w:color="auto"/>
              <w:right w:val="single" w:sz="4" w:space="0" w:color="auto"/>
            </w:tcBorders>
            <w:vAlign w:val="center"/>
          </w:tcPr>
          <w:p w14:paraId="6562950B"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7.4</w:t>
            </w:r>
          </w:p>
        </w:tc>
        <w:tc>
          <w:tcPr>
            <w:tcW w:w="611" w:type="pct"/>
            <w:tcBorders>
              <w:top w:val="single" w:sz="4" w:space="0" w:color="auto"/>
              <w:left w:val="single" w:sz="4" w:space="0" w:color="auto"/>
              <w:bottom w:val="single" w:sz="4" w:space="0" w:color="auto"/>
              <w:right w:val="single" w:sz="4" w:space="0" w:color="auto"/>
            </w:tcBorders>
            <w:vAlign w:val="center"/>
          </w:tcPr>
          <w:p w14:paraId="11FCAF60"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20</w:t>
            </w:r>
          </w:p>
        </w:tc>
      </w:tr>
      <w:tr w:rsidR="008A2411" w:rsidRPr="008A2411" w14:paraId="523AE166" w14:textId="77777777">
        <w:trPr>
          <w:cantSplit/>
          <w:trHeight w:val="680"/>
        </w:trPr>
        <w:tc>
          <w:tcPr>
            <w:tcW w:w="415" w:type="pct"/>
            <w:tcBorders>
              <w:top w:val="single" w:sz="4" w:space="0" w:color="auto"/>
              <w:left w:val="single" w:sz="4" w:space="0" w:color="auto"/>
              <w:bottom w:val="single" w:sz="4" w:space="0" w:color="auto"/>
              <w:right w:val="single" w:sz="4" w:space="0" w:color="auto"/>
            </w:tcBorders>
            <w:vAlign w:val="center"/>
          </w:tcPr>
          <w:p w14:paraId="36F311B0"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3#</w:t>
            </w:r>
          </w:p>
        </w:tc>
        <w:tc>
          <w:tcPr>
            <w:tcW w:w="1167" w:type="pct"/>
            <w:tcBorders>
              <w:top w:val="single" w:sz="4" w:space="0" w:color="auto"/>
              <w:left w:val="single" w:sz="4" w:space="0" w:color="auto"/>
              <w:bottom w:val="single" w:sz="4" w:space="0" w:color="auto"/>
              <w:right w:val="single" w:sz="4" w:space="0" w:color="auto"/>
            </w:tcBorders>
            <w:vAlign w:val="center"/>
          </w:tcPr>
          <w:p w14:paraId="25FA571E"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项目拟建地东侧</w:t>
            </w:r>
            <w:r w:rsidRPr="008A2411">
              <w:rPr>
                <w:rFonts w:ascii="Times New Roman"/>
                <w:color w:val="000000" w:themeColor="text1"/>
              </w:rPr>
              <w:t>0.6km</w:t>
            </w:r>
            <w:r w:rsidRPr="008A2411">
              <w:rPr>
                <w:rFonts w:ascii="Times New Roman"/>
                <w:color w:val="000000" w:themeColor="text1"/>
              </w:rPr>
              <w:t>处居民水井（陶家沟）</w:t>
            </w:r>
          </w:p>
        </w:tc>
        <w:tc>
          <w:tcPr>
            <w:tcW w:w="791" w:type="pct"/>
            <w:tcBorders>
              <w:top w:val="single" w:sz="4" w:space="0" w:color="auto"/>
              <w:left w:val="single" w:sz="4" w:space="0" w:color="auto"/>
              <w:bottom w:val="single" w:sz="4" w:space="0" w:color="auto"/>
              <w:right w:val="single" w:sz="4" w:space="0" w:color="auto"/>
            </w:tcBorders>
            <w:vAlign w:val="center"/>
          </w:tcPr>
          <w:p w14:paraId="0FECECFF"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107.6757</w:t>
            </w:r>
          </w:p>
        </w:tc>
        <w:tc>
          <w:tcPr>
            <w:tcW w:w="791" w:type="pct"/>
            <w:tcBorders>
              <w:top w:val="single" w:sz="4" w:space="0" w:color="auto"/>
              <w:left w:val="single" w:sz="4" w:space="0" w:color="auto"/>
              <w:bottom w:val="single" w:sz="4" w:space="0" w:color="auto"/>
              <w:right w:val="single" w:sz="4" w:space="0" w:color="auto"/>
            </w:tcBorders>
            <w:vAlign w:val="center"/>
          </w:tcPr>
          <w:p w14:paraId="0F4CB6FA"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31.8265</w:t>
            </w:r>
          </w:p>
        </w:tc>
        <w:tc>
          <w:tcPr>
            <w:tcW w:w="1021" w:type="dxa"/>
            <w:tcBorders>
              <w:top w:val="single" w:sz="4" w:space="0" w:color="auto"/>
              <w:left w:val="single" w:sz="4" w:space="0" w:color="auto"/>
              <w:bottom w:val="single" w:sz="4" w:space="0" w:color="auto"/>
              <w:right w:val="single" w:sz="4" w:space="0" w:color="auto"/>
            </w:tcBorders>
            <w:vAlign w:val="center"/>
          </w:tcPr>
          <w:p w14:paraId="0D143B1D"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377.9</w:t>
            </w:r>
          </w:p>
        </w:tc>
        <w:tc>
          <w:tcPr>
            <w:tcW w:w="1021" w:type="dxa"/>
            <w:tcBorders>
              <w:top w:val="single" w:sz="4" w:space="0" w:color="auto"/>
              <w:left w:val="single" w:sz="4" w:space="0" w:color="auto"/>
              <w:bottom w:val="single" w:sz="4" w:space="0" w:color="auto"/>
              <w:right w:val="single" w:sz="4" w:space="0" w:color="auto"/>
            </w:tcBorders>
            <w:vAlign w:val="center"/>
          </w:tcPr>
          <w:p w14:paraId="5C2C740B"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0.5</w:t>
            </w:r>
          </w:p>
        </w:tc>
        <w:tc>
          <w:tcPr>
            <w:tcW w:w="611" w:type="pct"/>
            <w:tcBorders>
              <w:top w:val="single" w:sz="4" w:space="0" w:color="auto"/>
              <w:left w:val="single" w:sz="4" w:space="0" w:color="auto"/>
              <w:bottom w:val="single" w:sz="4" w:space="0" w:color="auto"/>
              <w:right w:val="single" w:sz="4" w:space="0" w:color="auto"/>
            </w:tcBorders>
            <w:vAlign w:val="center"/>
          </w:tcPr>
          <w:p w14:paraId="306C9FCA"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8</w:t>
            </w:r>
          </w:p>
        </w:tc>
      </w:tr>
      <w:tr w:rsidR="008A2411" w:rsidRPr="008A2411" w14:paraId="54C6427F" w14:textId="77777777">
        <w:trPr>
          <w:cantSplit/>
          <w:trHeight w:val="680"/>
        </w:trPr>
        <w:tc>
          <w:tcPr>
            <w:tcW w:w="415" w:type="pct"/>
            <w:tcBorders>
              <w:top w:val="single" w:sz="4" w:space="0" w:color="auto"/>
              <w:left w:val="single" w:sz="4" w:space="0" w:color="auto"/>
              <w:bottom w:val="single" w:sz="4" w:space="0" w:color="auto"/>
              <w:right w:val="single" w:sz="4" w:space="0" w:color="auto"/>
            </w:tcBorders>
            <w:vAlign w:val="center"/>
          </w:tcPr>
          <w:p w14:paraId="37E5D7CD"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4#</w:t>
            </w:r>
          </w:p>
        </w:tc>
        <w:tc>
          <w:tcPr>
            <w:tcW w:w="1167" w:type="pct"/>
            <w:tcBorders>
              <w:top w:val="single" w:sz="4" w:space="0" w:color="auto"/>
              <w:left w:val="single" w:sz="4" w:space="0" w:color="auto"/>
              <w:bottom w:val="single" w:sz="4" w:space="0" w:color="auto"/>
              <w:right w:val="single" w:sz="4" w:space="0" w:color="auto"/>
            </w:tcBorders>
            <w:vAlign w:val="center"/>
          </w:tcPr>
          <w:p w14:paraId="0794B3D6"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项目拟建地南侧</w:t>
            </w:r>
            <w:r w:rsidRPr="008A2411">
              <w:rPr>
                <w:rFonts w:ascii="Times New Roman"/>
                <w:color w:val="000000" w:themeColor="text1"/>
              </w:rPr>
              <w:t>0.48km</w:t>
            </w:r>
            <w:r w:rsidRPr="008A2411">
              <w:rPr>
                <w:rFonts w:ascii="Times New Roman"/>
                <w:color w:val="000000" w:themeColor="text1"/>
              </w:rPr>
              <w:t>处居民水井（洞子口）</w:t>
            </w:r>
          </w:p>
        </w:tc>
        <w:tc>
          <w:tcPr>
            <w:tcW w:w="791" w:type="pct"/>
            <w:tcBorders>
              <w:top w:val="single" w:sz="4" w:space="0" w:color="auto"/>
              <w:left w:val="single" w:sz="4" w:space="0" w:color="auto"/>
              <w:bottom w:val="single" w:sz="4" w:space="0" w:color="auto"/>
              <w:right w:val="single" w:sz="4" w:space="0" w:color="auto"/>
            </w:tcBorders>
            <w:vAlign w:val="center"/>
          </w:tcPr>
          <w:p w14:paraId="6EC3BC7B"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107.6941</w:t>
            </w:r>
          </w:p>
        </w:tc>
        <w:tc>
          <w:tcPr>
            <w:tcW w:w="791" w:type="pct"/>
            <w:tcBorders>
              <w:top w:val="single" w:sz="4" w:space="0" w:color="auto"/>
              <w:left w:val="single" w:sz="4" w:space="0" w:color="auto"/>
              <w:bottom w:val="single" w:sz="4" w:space="0" w:color="auto"/>
              <w:right w:val="single" w:sz="4" w:space="0" w:color="auto"/>
            </w:tcBorders>
            <w:vAlign w:val="center"/>
          </w:tcPr>
          <w:p w14:paraId="6622AD2C"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31.5134</w:t>
            </w:r>
          </w:p>
        </w:tc>
        <w:tc>
          <w:tcPr>
            <w:tcW w:w="1021" w:type="dxa"/>
            <w:tcBorders>
              <w:top w:val="single" w:sz="4" w:space="0" w:color="auto"/>
              <w:left w:val="single" w:sz="4" w:space="0" w:color="auto"/>
              <w:bottom w:val="single" w:sz="4" w:space="0" w:color="auto"/>
              <w:right w:val="single" w:sz="4" w:space="0" w:color="auto"/>
            </w:tcBorders>
            <w:vAlign w:val="center"/>
          </w:tcPr>
          <w:p w14:paraId="5B5A5FCD"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384.7</w:t>
            </w:r>
          </w:p>
        </w:tc>
        <w:tc>
          <w:tcPr>
            <w:tcW w:w="1021" w:type="dxa"/>
            <w:tcBorders>
              <w:top w:val="single" w:sz="4" w:space="0" w:color="auto"/>
              <w:left w:val="single" w:sz="4" w:space="0" w:color="auto"/>
              <w:bottom w:val="single" w:sz="4" w:space="0" w:color="auto"/>
              <w:right w:val="single" w:sz="4" w:space="0" w:color="auto"/>
            </w:tcBorders>
            <w:vAlign w:val="center"/>
          </w:tcPr>
          <w:p w14:paraId="351A2E1D"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8.2</w:t>
            </w:r>
          </w:p>
        </w:tc>
        <w:tc>
          <w:tcPr>
            <w:tcW w:w="611" w:type="pct"/>
            <w:tcBorders>
              <w:top w:val="single" w:sz="4" w:space="0" w:color="auto"/>
              <w:left w:val="single" w:sz="4" w:space="0" w:color="auto"/>
              <w:bottom w:val="single" w:sz="4" w:space="0" w:color="auto"/>
              <w:right w:val="single" w:sz="4" w:space="0" w:color="auto"/>
            </w:tcBorders>
            <w:vAlign w:val="center"/>
          </w:tcPr>
          <w:p w14:paraId="4867E4ED"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40</w:t>
            </w:r>
          </w:p>
        </w:tc>
      </w:tr>
      <w:tr w:rsidR="008A2411" w:rsidRPr="008A2411" w14:paraId="70E785FA" w14:textId="77777777">
        <w:trPr>
          <w:cantSplit/>
          <w:trHeight w:val="680"/>
        </w:trPr>
        <w:tc>
          <w:tcPr>
            <w:tcW w:w="415" w:type="pct"/>
            <w:tcBorders>
              <w:top w:val="single" w:sz="4" w:space="0" w:color="auto"/>
              <w:left w:val="single" w:sz="4" w:space="0" w:color="auto"/>
              <w:bottom w:val="single" w:sz="4" w:space="0" w:color="auto"/>
              <w:right w:val="single" w:sz="4" w:space="0" w:color="auto"/>
            </w:tcBorders>
            <w:vAlign w:val="center"/>
          </w:tcPr>
          <w:p w14:paraId="54F1D947"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5#</w:t>
            </w:r>
          </w:p>
        </w:tc>
        <w:tc>
          <w:tcPr>
            <w:tcW w:w="1167" w:type="pct"/>
            <w:tcBorders>
              <w:top w:val="single" w:sz="4" w:space="0" w:color="auto"/>
              <w:left w:val="single" w:sz="4" w:space="0" w:color="auto"/>
              <w:bottom w:val="single" w:sz="4" w:space="0" w:color="auto"/>
              <w:right w:val="single" w:sz="4" w:space="0" w:color="auto"/>
            </w:tcBorders>
            <w:vAlign w:val="center"/>
          </w:tcPr>
          <w:p w14:paraId="5D295C25"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项目拟建地西南侧</w:t>
            </w:r>
            <w:r w:rsidRPr="008A2411">
              <w:rPr>
                <w:rFonts w:ascii="Times New Roman"/>
                <w:color w:val="000000" w:themeColor="text1"/>
              </w:rPr>
              <w:t>1.47km</w:t>
            </w:r>
            <w:r w:rsidRPr="008A2411">
              <w:rPr>
                <w:rFonts w:ascii="Times New Roman"/>
                <w:color w:val="000000" w:themeColor="text1"/>
              </w:rPr>
              <w:t>处居民水井（柿子树沟）</w:t>
            </w:r>
          </w:p>
        </w:tc>
        <w:tc>
          <w:tcPr>
            <w:tcW w:w="791" w:type="pct"/>
            <w:tcBorders>
              <w:top w:val="single" w:sz="4" w:space="0" w:color="auto"/>
              <w:left w:val="single" w:sz="4" w:space="0" w:color="auto"/>
              <w:bottom w:val="single" w:sz="4" w:space="0" w:color="auto"/>
              <w:right w:val="single" w:sz="4" w:space="0" w:color="auto"/>
            </w:tcBorders>
            <w:vAlign w:val="center"/>
          </w:tcPr>
          <w:p w14:paraId="16C0F21A"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107.6962</w:t>
            </w:r>
          </w:p>
        </w:tc>
        <w:tc>
          <w:tcPr>
            <w:tcW w:w="791" w:type="pct"/>
            <w:tcBorders>
              <w:top w:val="single" w:sz="4" w:space="0" w:color="auto"/>
              <w:left w:val="single" w:sz="4" w:space="0" w:color="auto"/>
              <w:bottom w:val="single" w:sz="4" w:space="0" w:color="auto"/>
              <w:right w:val="single" w:sz="4" w:space="0" w:color="auto"/>
            </w:tcBorders>
            <w:vAlign w:val="center"/>
          </w:tcPr>
          <w:p w14:paraId="03149030"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31.4984</w:t>
            </w:r>
          </w:p>
        </w:tc>
        <w:tc>
          <w:tcPr>
            <w:tcW w:w="1021" w:type="dxa"/>
            <w:tcBorders>
              <w:top w:val="single" w:sz="4" w:space="0" w:color="auto"/>
              <w:left w:val="single" w:sz="4" w:space="0" w:color="auto"/>
              <w:bottom w:val="single" w:sz="4" w:space="0" w:color="auto"/>
              <w:right w:val="single" w:sz="4" w:space="0" w:color="auto"/>
            </w:tcBorders>
            <w:vAlign w:val="center"/>
          </w:tcPr>
          <w:p w14:paraId="46EC3284"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384.6</w:t>
            </w:r>
          </w:p>
        </w:tc>
        <w:tc>
          <w:tcPr>
            <w:tcW w:w="1021" w:type="dxa"/>
            <w:tcBorders>
              <w:top w:val="single" w:sz="4" w:space="0" w:color="auto"/>
              <w:left w:val="single" w:sz="4" w:space="0" w:color="auto"/>
              <w:bottom w:val="single" w:sz="4" w:space="0" w:color="auto"/>
              <w:right w:val="single" w:sz="4" w:space="0" w:color="auto"/>
            </w:tcBorders>
            <w:vAlign w:val="center"/>
          </w:tcPr>
          <w:p w14:paraId="6E5ACAD1"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1.8</w:t>
            </w:r>
          </w:p>
        </w:tc>
        <w:tc>
          <w:tcPr>
            <w:tcW w:w="611" w:type="pct"/>
            <w:tcBorders>
              <w:top w:val="single" w:sz="4" w:space="0" w:color="auto"/>
              <w:left w:val="single" w:sz="4" w:space="0" w:color="auto"/>
              <w:bottom w:val="single" w:sz="4" w:space="0" w:color="auto"/>
              <w:right w:val="single" w:sz="4" w:space="0" w:color="auto"/>
            </w:tcBorders>
            <w:vAlign w:val="center"/>
          </w:tcPr>
          <w:p w14:paraId="2C23B51B"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5</w:t>
            </w:r>
          </w:p>
        </w:tc>
      </w:tr>
      <w:tr w:rsidR="008A2411" w:rsidRPr="008A2411" w14:paraId="2E650630" w14:textId="77777777">
        <w:trPr>
          <w:cantSplit/>
          <w:trHeight w:val="680"/>
        </w:trPr>
        <w:tc>
          <w:tcPr>
            <w:tcW w:w="415" w:type="pct"/>
            <w:tcBorders>
              <w:top w:val="single" w:sz="4" w:space="0" w:color="auto"/>
              <w:left w:val="single" w:sz="4" w:space="0" w:color="auto"/>
              <w:bottom w:val="single" w:sz="4" w:space="0" w:color="auto"/>
              <w:right w:val="single" w:sz="4" w:space="0" w:color="auto"/>
            </w:tcBorders>
            <w:vAlign w:val="center"/>
          </w:tcPr>
          <w:p w14:paraId="7D0BB85C"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6#</w:t>
            </w:r>
          </w:p>
        </w:tc>
        <w:tc>
          <w:tcPr>
            <w:tcW w:w="1167" w:type="pct"/>
            <w:tcBorders>
              <w:top w:val="single" w:sz="4" w:space="0" w:color="auto"/>
              <w:left w:val="single" w:sz="4" w:space="0" w:color="auto"/>
              <w:bottom w:val="single" w:sz="4" w:space="0" w:color="auto"/>
              <w:right w:val="single" w:sz="4" w:space="0" w:color="auto"/>
            </w:tcBorders>
            <w:vAlign w:val="center"/>
          </w:tcPr>
          <w:p w14:paraId="45AC9B08"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门楼沟旁居民水井</w:t>
            </w:r>
          </w:p>
        </w:tc>
        <w:tc>
          <w:tcPr>
            <w:tcW w:w="791" w:type="pct"/>
            <w:tcBorders>
              <w:top w:val="single" w:sz="4" w:space="0" w:color="auto"/>
              <w:left w:val="single" w:sz="4" w:space="0" w:color="auto"/>
              <w:bottom w:val="single" w:sz="4" w:space="0" w:color="auto"/>
              <w:right w:val="single" w:sz="4" w:space="0" w:color="auto"/>
            </w:tcBorders>
            <w:vAlign w:val="center"/>
          </w:tcPr>
          <w:p w14:paraId="09C45442"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107.6881</w:t>
            </w:r>
          </w:p>
        </w:tc>
        <w:tc>
          <w:tcPr>
            <w:tcW w:w="791" w:type="pct"/>
            <w:tcBorders>
              <w:top w:val="single" w:sz="4" w:space="0" w:color="auto"/>
              <w:left w:val="single" w:sz="4" w:space="0" w:color="auto"/>
              <w:bottom w:val="single" w:sz="4" w:space="0" w:color="auto"/>
              <w:right w:val="single" w:sz="4" w:space="0" w:color="auto"/>
            </w:tcBorders>
            <w:vAlign w:val="center"/>
          </w:tcPr>
          <w:p w14:paraId="4BE10CFE"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31.5225</w:t>
            </w:r>
          </w:p>
        </w:tc>
        <w:tc>
          <w:tcPr>
            <w:tcW w:w="1021" w:type="dxa"/>
            <w:tcBorders>
              <w:top w:val="single" w:sz="4" w:space="0" w:color="auto"/>
              <w:left w:val="single" w:sz="4" w:space="0" w:color="auto"/>
              <w:bottom w:val="single" w:sz="4" w:space="0" w:color="auto"/>
              <w:right w:val="single" w:sz="4" w:space="0" w:color="auto"/>
            </w:tcBorders>
            <w:vAlign w:val="center"/>
          </w:tcPr>
          <w:p w14:paraId="13BC3BC6"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394.9</w:t>
            </w:r>
          </w:p>
        </w:tc>
        <w:tc>
          <w:tcPr>
            <w:tcW w:w="1021" w:type="dxa"/>
            <w:tcBorders>
              <w:top w:val="single" w:sz="4" w:space="0" w:color="auto"/>
              <w:left w:val="single" w:sz="4" w:space="0" w:color="auto"/>
              <w:bottom w:val="single" w:sz="4" w:space="0" w:color="auto"/>
              <w:right w:val="single" w:sz="4" w:space="0" w:color="auto"/>
            </w:tcBorders>
            <w:vAlign w:val="center"/>
          </w:tcPr>
          <w:p w14:paraId="374DEA0E"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8.7</w:t>
            </w:r>
          </w:p>
        </w:tc>
        <w:tc>
          <w:tcPr>
            <w:tcW w:w="611" w:type="pct"/>
            <w:tcBorders>
              <w:top w:val="single" w:sz="4" w:space="0" w:color="auto"/>
              <w:left w:val="single" w:sz="4" w:space="0" w:color="auto"/>
              <w:bottom w:val="single" w:sz="4" w:space="0" w:color="auto"/>
              <w:right w:val="single" w:sz="4" w:space="0" w:color="auto"/>
            </w:tcBorders>
            <w:vAlign w:val="center"/>
          </w:tcPr>
          <w:p w14:paraId="4318EDBB"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40</w:t>
            </w:r>
          </w:p>
        </w:tc>
      </w:tr>
      <w:tr w:rsidR="008A2411" w:rsidRPr="008A2411" w14:paraId="4D3CF6C2" w14:textId="77777777">
        <w:trPr>
          <w:cantSplit/>
          <w:trHeight w:val="680"/>
        </w:trPr>
        <w:tc>
          <w:tcPr>
            <w:tcW w:w="415" w:type="pct"/>
            <w:tcBorders>
              <w:top w:val="single" w:sz="4" w:space="0" w:color="auto"/>
              <w:left w:val="single" w:sz="4" w:space="0" w:color="auto"/>
              <w:bottom w:val="single" w:sz="4" w:space="0" w:color="auto"/>
              <w:right w:val="single" w:sz="4" w:space="0" w:color="auto"/>
            </w:tcBorders>
            <w:vAlign w:val="center"/>
          </w:tcPr>
          <w:p w14:paraId="74AB1E73"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7#</w:t>
            </w:r>
          </w:p>
        </w:tc>
        <w:tc>
          <w:tcPr>
            <w:tcW w:w="1167" w:type="pct"/>
            <w:tcBorders>
              <w:top w:val="single" w:sz="4" w:space="0" w:color="auto"/>
              <w:left w:val="single" w:sz="4" w:space="0" w:color="auto"/>
              <w:bottom w:val="single" w:sz="4" w:space="0" w:color="auto"/>
              <w:right w:val="single" w:sz="4" w:space="0" w:color="auto"/>
            </w:tcBorders>
            <w:vAlign w:val="center"/>
          </w:tcPr>
          <w:p w14:paraId="63BC18C3"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文家</w:t>
            </w:r>
            <w:proofErr w:type="gramStart"/>
            <w:r w:rsidRPr="008A2411">
              <w:rPr>
                <w:rFonts w:ascii="Times New Roman"/>
                <w:color w:val="000000" w:themeColor="text1"/>
              </w:rPr>
              <w:t>湾居民</w:t>
            </w:r>
            <w:proofErr w:type="gramEnd"/>
            <w:r w:rsidRPr="008A2411">
              <w:rPr>
                <w:rFonts w:ascii="Times New Roman"/>
                <w:color w:val="000000" w:themeColor="text1"/>
              </w:rPr>
              <w:t>水井</w:t>
            </w:r>
          </w:p>
        </w:tc>
        <w:tc>
          <w:tcPr>
            <w:tcW w:w="791" w:type="pct"/>
            <w:tcBorders>
              <w:top w:val="single" w:sz="4" w:space="0" w:color="auto"/>
              <w:left w:val="single" w:sz="4" w:space="0" w:color="auto"/>
              <w:bottom w:val="single" w:sz="4" w:space="0" w:color="auto"/>
              <w:right w:val="single" w:sz="4" w:space="0" w:color="auto"/>
            </w:tcBorders>
            <w:vAlign w:val="center"/>
          </w:tcPr>
          <w:p w14:paraId="420EDBC3"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107.6937</w:t>
            </w:r>
          </w:p>
        </w:tc>
        <w:tc>
          <w:tcPr>
            <w:tcW w:w="791" w:type="pct"/>
            <w:tcBorders>
              <w:top w:val="single" w:sz="4" w:space="0" w:color="auto"/>
              <w:left w:val="single" w:sz="4" w:space="0" w:color="auto"/>
              <w:bottom w:val="single" w:sz="4" w:space="0" w:color="auto"/>
              <w:right w:val="single" w:sz="4" w:space="0" w:color="auto"/>
            </w:tcBorders>
            <w:vAlign w:val="center"/>
          </w:tcPr>
          <w:p w14:paraId="4F11A965"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31.5276</w:t>
            </w:r>
          </w:p>
        </w:tc>
        <w:tc>
          <w:tcPr>
            <w:tcW w:w="1021" w:type="dxa"/>
            <w:tcBorders>
              <w:top w:val="single" w:sz="4" w:space="0" w:color="auto"/>
              <w:left w:val="single" w:sz="4" w:space="0" w:color="auto"/>
              <w:bottom w:val="single" w:sz="4" w:space="0" w:color="auto"/>
              <w:right w:val="single" w:sz="4" w:space="0" w:color="auto"/>
            </w:tcBorders>
            <w:vAlign w:val="center"/>
          </w:tcPr>
          <w:p w14:paraId="739C748F"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393.2</w:t>
            </w:r>
          </w:p>
        </w:tc>
        <w:tc>
          <w:tcPr>
            <w:tcW w:w="1021" w:type="dxa"/>
            <w:tcBorders>
              <w:top w:val="single" w:sz="4" w:space="0" w:color="auto"/>
              <w:left w:val="single" w:sz="4" w:space="0" w:color="auto"/>
              <w:bottom w:val="single" w:sz="4" w:space="0" w:color="auto"/>
              <w:right w:val="single" w:sz="4" w:space="0" w:color="auto"/>
            </w:tcBorders>
            <w:vAlign w:val="center"/>
          </w:tcPr>
          <w:p w14:paraId="54308F3A"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10.4</w:t>
            </w:r>
          </w:p>
        </w:tc>
        <w:tc>
          <w:tcPr>
            <w:tcW w:w="611" w:type="pct"/>
            <w:tcBorders>
              <w:top w:val="single" w:sz="4" w:space="0" w:color="auto"/>
              <w:left w:val="single" w:sz="4" w:space="0" w:color="auto"/>
              <w:bottom w:val="single" w:sz="4" w:space="0" w:color="auto"/>
              <w:right w:val="single" w:sz="4" w:space="0" w:color="auto"/>
            </w:tcBorders>
            <w:vAlign w:val="center"/>
          </w:tcPr>
          <w:p w14:paraId="65F398E2"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20</w:t>
            </w:r>
          </w:p>
        </w:tc>
      </w:tr>
      <w:tr w:rsidR="008A2411" w:rsidRPr="008A2411" w14:paraId="2E9FB298" w14:textId="77777777">
        <w:trPr>
          <w:cantSplit/>
          <w:trHeight w:val="680"/>
        </w:trPr>
        <w:tc>
          <w:tcPr>
            <w:tcW w:w="415" w:type="pct"/>
            <w:tcBorders>
              <w:top w:val="single" w:sz="4" w:space="0" w:color="auto"/>
              <w:left w:val="single" w:sz="4" w:space="0" w:color="auto"/>
              <w:bottom w:val="single" w:sz="4" w:space="0" w:color="auto"/>
              <w:right w:val="single" w:sz="4" w:space="0" w:color="auto"/>
            </w:tcBorders>
            <w:vAlign w:val="center"/>
          </w:tcPr>
          <w:p w14:paraId="36D35674"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8#</w:t>
            </w:r>
          </w:p>
        </w:tc>
        <w:tc>
          <w:tcPr>
            <w:tcW w:w="1167" w:type="pct"/>
            <w:tcBorders>
              <w:top w:val="single" w:sz="4" w:space="0" w:color="auto"/>
              <w:left w:val="single" w:sz="4" w:space="0" w:color="auto"/>
              <w:bottom w:val="single" w:sz="4" w:space="0" w:color="auto"/>
              <w:right w:val="single" w:sz="4" w:space="0" w:color="auto"/>
            </w:tcBorders>
            <w:vAlign w:val="center"/>
          </w:tcPr>
          <w:p w14:paraId="64A88225"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滴水</w:t>
            </w:r>
            <w:proofErr w:type="gramStart"/>
            <w:r w:rsidRPr="008A2411">
              <w:rPr>
                <w:rFonts w:ascii="Times New Roman"/>
                <w:color w:val="000000" w:themeColor="text1"/>
              </w:rPr>
              <w:t>岩居民</w:t>
            </w:r>
            <w:proofErr w:type="gramEnd"/>
            <w:r w:rsidRPr="008A2411">
              <w:rPr>
                <w:rFonts w:ascii="Times New Roman"/>
                <w:color w:val="000000" w:themeColor="text1"/>
              </w:rPr>
              <w:t>水井</w:t>
            </w:r>
          </w:p>
        </w:tc>
        <w:tc>
          <w:tcPr>
            <w:tcW w:w="791" w:type="pct"/>
            <w:tcBorders>
              <w:top w:val="single" w:sz="4" w:space="0" w:color="auto"/>
              <w:left w:val="single" w:sz="4" w:space="0" w:color="auto"/>
              <w:bottom w:val="single" w:sz="4" w:space="0" w:color="auto"/>
              <w:right w:val="single" w:sz="4" w:space="0" w:color="auto"/>
            </w:tcBorders>
            <w:vAlign w:val="center"/>
          </w:tcPr>
          <w:p w14:paraId="2F95B5C3"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107.7011</w:t>
            </w:r>
          </w:p>
        </w:tc>
        <w:tc>
          <w:tcPr>
            <w:tcW w:w="791" w:type="pct"/>
            <w:tcBorders>
              <w:top w:val="single" w:sz="4" w:space="0" w:color="auto"/>
              <w:left w:val="single" w:sz="4" w:space="0" w:color="auto"/>
              <w:bottom w:val="single" w:sz="4" w:space="0" w:color="auto"/>
              <w:right w:val="single" w:sz="4" w:space="0" w:color="auto"/>
            </w:tcBorders>
            <w:vAlign w:val="center"/>
          </w:tcPr>
          <w:p w14:paraId="1D6AB808"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31.5199</w:t>
            </w:r>
          </w:p>
        </w:tc>
        <w:tc>
          <w:tcPr>
            <w:tcW w:w="1021" w:type="dxa"/>
            <w:tcBorders>
              <w:top w:val="single" w:sz="4" w:space="0" w:color="auto"/>
              <w:left w:val="single" w:sz="4" w:space="0" w:color="auto"/>
              <w:bottom w:val="single" w:sz="4" w:space="0" w:color="auto"/>
              <w:right w:val="single" w:sz="4" w:space="0" w:color="auto"/>
            </w:tcBorders>
            <w:vAlign w:val="center"/>
          </w:tcPr>
          <w:p w14:paraId="2222DB9B"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374.8</w:t>
            </w:r>
          </w:p>
        </w:tc>
        <w:tc>
          <w:tcPr>
            <w:tcW w:w="1021" w:type="dxa"/>
            <w:tcBorders>
              <w:top w:val="single" w:sz="4" w:space="0" w:color="auto"/>
              <w:left w:val="single" w:sz="4" w:space="0" w:color="auto"/>
              <w:bottom w:val="single" w:sz="4" w:space="0" w:color="auto"/>
              <w:right w:val="single" w:sz="4" w:space="0" w:color="auto"/>
            </w:tcBorders>
            <w:vAlign w:val="center"/>
          </w:tcPr>
          <w:p w14:paraId="2E4F94D6"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1.1</w:t>
            </w:r>
          </w:p>
        </w:tc>
        <w:tc>
          <w:tcPr>
            <w:tcW w:w="611" w:type="pct"/>
            <w:tcBorders>
              <w:top w:val="single" w:sz="4" w:space="0" w:color="auto"/>
              <w:left w:val="single" w:sz="4" w:space="0" w:color="auto"/>
              <w:bottom w:val="single" w:sz="4" w:space="0" w:color="auto"/>
              <w:right w:val="single" w:sz="4" w:space="0" w:color="auto"/>
            </w:tcBorders>
            <w:vAlign w:val="center"/>
          </w:tcPr>
          <w:p w14:paraId="3E0DB32E"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6</w:t>
            </w:r>
          </w:p>
        </w:tc>
      </w:tr>
      <w:tr w:rsidR="008A2411" w:rsidRPr="008A2411" w14:paraId="3C6ADF40" w14:textId="77777777">
        <w:trPr>
          <w:cantSplit/>
          <w:trHeight w:val="680"/>
        </w:trPr>
        <w:tc>
          <w:tcPr>
            <w:tcW w:w="415" w:type="pct"/>
            <w:tcBorders>
              <w:top w:val="single" w:sz="4" w:space="0" w:color="auto"/>
              <w:left w:val="single" w:sz="4" w:space="0" w:color="auto"/>
              <w:bottom w:val="single" w:sz="4" w:space="0" w:color="auto"/>
              <w:right w:val="single" w:sz="4" w:space="0" w:color="auto"/>
            </w:tcBorders>
            <w:vAlign w:val="center"/>
          </w:tcPr>
          <w:p w14:paraId="3F93449D"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9#</w:t>
            </w:r>
          </w:p>
        </w:tc>
        <w:tc>
          <w:tcPr>
            <w:tcW w:w="1167" w:type="pct"/>
            <w:tcBorders>
              <w:top w:val="single" w:sz="4" w:space="0" w:color="auto"/>
              <w:left w:val="single" w:sz="4" w:space="0" w:color="auto"/>
              <w:bottom w:val="single" w:sz="4" w:space="0" w:color="auto"/>
              <w:right w:val="single" w:sz="4" w:space="0" w:color="auto"/>
            </w:tcBorders>
            <w:vAlign w:val="center"/>
          </w:tcPr>
          <w:p w14:paraId="0FBC1B3F"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洞子口居民水井</w:t>
            </w:r>
          </w:p>
        </w:tc>
        <w:tc>
          <w:tcPr>
            <w:tcW w:w="791" w:type="pct"/>
            <w:tcBorders>
              <w:top w:val="single" w:sz="4" w:space="0" w:color="auto"/>
              <w:left w:val="single" w:sz="4" w:space="0" w:color="auto"/>
              <w:bottom w:val="single" w:sz="4" w:space="0" w:color="auto"/>
              <w:right w:val="single" w:sz="4" w:space="0" w:color="auto"/>
            </w:tcBorders>
            <w:vAlign w:val="center"/>
          </w:tcPr>
          <w:p w14:paraId="3E6DFC0E"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107.6987</w:t>
            </w:r>
          </w:p>
        </w:tc>
        <w:tc>
          <w:tcPr>
            <w:tcW w:w="791" w:type="pct"/>
            <w:tcBorders>
              <w:top w:val="single" w:sz="4" w:space="0" w:color="auto"/>
              <w:left w:val="single" w:sz="4" w:space="0" w:color="auto"/>
              <w:bottom w:val="single" w:sz="4" w:space="0" w:color="auto"/>
              <w:right w:val="single" w:sz="4" w:space="0" w:color="auto"/>
            </w:tcBorders>
            <w:vAlign w:val="center"/>
          </w:tcPr>
          <w:p w14:paraId="1C6B7975"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31.5127</w:t>
            </w:r>
          </w:p>
        </w:tc>
        <w:tc>
          <w:tcPr>
            <w:tcW w:w="1021" w:type="dxa"/>
            <w:tcBorders>
              <w:top w:val="single" w:sz="4" w:space="0" w:color="auto"/>
              <w:left w:val="single" w:sz="4" w:space="0" w:color="auto"/>
              <w:bottom w:val="single" w:sz="4" w:space="0" w:color="auto"/>
              <w:right w:val="single" w:sz="4" w:space="0" w:color="auto"/>
            </w:tcBorders>
            <w:vAlign w:val="center"/>
          </w:tcPr>
          <w:p w14:paraId="621F4535"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385.2</w:t>
            </w:r>
          </w:p>
        </w:tc>
        <w:tc>
          <w:tcPr>
            <w:tcW w:w="1021" w:type="dxa"/>
            <w:tcBorders>
              <w:top w:val="single" w:sz="4" w:space="0" w:color="auto"/>
              <w:left w:val="single" w:sz="4" w:space="0" w:color="auto"/>
              <w:bottom w:val="single" w:sz="4" w:space="0" w:color="auto"/>
              <w:right w:val="single" w:sz="4" w:space="0" w:color="auto"/>
            </w:tcBorders>
            <w:vAlign w:val="center"/>
          </w:tcPr>
          <w:p w14:paraId="64AEFBEF"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5.5</w:t>
            </w:r>
          </w:p>
        </w:tc>
        <w:tc>
          <w:tcPr>
            <w:tcW w:w="611" w:type="pct"/>
            <w:tcBorders>
              <w:top w:val="single" w:sz="4" w:space="0" w:color="auto"/>
              <w:left w:val="single" w:sz="4" w:space="0" w:color="auto"/>
              <w:bottom w:val="single" w:sz="4" w:space="0" w:color="auto"/>
              <w:right w:val="single" w:sz="4" w:space="0" w:color="auto"/>
            </w:tcBorders>
            <w:vAlign w:val="center"/>
          </w:tcPr>
          <w:p w14:paraId="2803FF6E"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30</w:t>
            </w:r>
          </w:p>
        </w:tc>
      </w:tr>
      <w:tr w:rsidR="00B0005F" w:rsidRPr="008A2411" w14:paraId="1465F3AA" w14:textId="77777777">
        <w:trPr>
          <w:cantSplit/>
          <w:trHeight w:val="680"/>
        </w:trPr>
        <w:tc>
          <w:tcPr>
            <w:tcW w:w="415" w:type="pct"/>
            <w:tcBorders>
              <w:top w:val="single" w:sz="4" w:space="0" w:color="auto"/>
              <w:left w:val="single" w:sz="4" w:space="0" w:color="auto"/>
              <w:bottom w:val="single" w:sz="4" w:space="0" w:color="auto"/>
              <w:right w:val="single" w:sz="4" w:space="0" w:color="auto"/>
            </w:tcBorders>
            <w:vAlign w:val="center"/>
          </w:tcPr>
          <w:p w14:paraId="6B036E3E"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10#</w:t>
            </w:r>
          </w:p>
        </w:tc>
        <w:tc>
          <w:tcPr>
            <w:tcW w:w="1167" w:type="pct"/>
            <w:tcBorders>
              <w:top w:val="single" w:sz="4" w:space="0" w:color="auto"/>
              <w:left w:val="single" w:sz="4" w:space="0" w:color="auto"/>
              <w:bottom w:val="single" w:sz="4" w:space="0" w:color="auto"/>
              <w:right w:val="single" w:sz="4" w:space="0" w:color="auto"/>
            </w:tcBorders>
            <w:vAlign w:val="center"/>
          </w:tcPr>
          <w:p w14:paraId="7DA9321C"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侯家山居民水井</w:t>
            </w:r>
          </w:p>
        </w:tc>
        <w:tc>
          <w:tcPr>
            <w:tcW w:w="791" w:type="pct"/>
            <w:tcBorders>
              <w:top w:val="single" w:sz="4" w:space="0" w:color="auto"/>
              <w:left w:val="single" w:sz="4" w:space="0" w:color="auto"/>
              <w:bottom w:val="single" w:sz="4" w:space="0" w:color="auto"/>
              <w:right w:val="single" w:sz="4" w:space="0" w:color="auto"/>
            </w:tcBorders>
            <w:vAlign w:val="center"/>
          </w:tcPr>
          <w:p w14:paraId="5EF46A76"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107.6642</w:t>
            </w:r>
          </w:p>
        </w:tc>
        <w:tc>
          <w:tcPr>
            <w:tcW w:w="791" w:type="pct"/>
            <w:tcBorders>
              <w:top w:val="single" w:sz="4" w:space="0" w:color="auto"/>
              <w:left w:val="single" w:sz="4" w:space="0" w:color="auto"/>
              <w:bottom w:val="single" w:sz="4" w:space="0" w:color="auto"/>
              <w:right w:val="single" w:sz="4" w:space="0" w:color="auto"/>
            </w:tcBorders>
            <w:vAlign w:val="center"/>
          </w:tcPr>
          <w:p w14:paraId="61A5084F"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31.5070</w:t>
            </w:r>
          </w:p>
        </w:tc>
        <w:tc>
          <w:tcPr>
            <w:tcW w:w="1021" w:type="dxa"/>
            <w:tcBorders>
              <w:top w:val="single" w:sz="4" w:space="0" w:color="auto"/>
              <w:left w:val="single" w:sz="4" w:space="0" w:color="auto"/>
              <w:bottom w:val="single" w:sz="4" w:space="0" w:color="auto"/>
              <w:right w:val="single" w:sz="4" w:space="0" w:color="auto"/>
            </w:tcBorders>
            <w:vAlign w:val="center"/>
          </w:tcPr>
          <w:p w14:paraId="133C9791"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408.5</w:t>
            </w:r>
          </w:p>
        </w:tc>
        <w:tc>
          <w:tcPr>
            <w:tcW w:w="1021" w:type="dxa"/>
            <w:tcBorders>
              <w:top w:val="single" w:sz="4" w:space="0" w:color="auto"/>
              <w:left w:val="single" w:sz="4" w:space="0" w:color="auto"/>
              <w:bottom w:val="single" w:sz="4" w:space="0" w:color="auto"/>
              <w:right w:val="single" w:sz="4" w:space="0" w:color="auto"/>
            </w:tcBorders>
            <w:vAlign w:val="center"/>
          </w:tcPr>
          <w:p w14:paraId="168F597D"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3.7</w:t>
            </w:r>
          </w:p>
        </w:tc>
        <w:tc>
          <w:tcPr>
            <w:tcW w:w="611" w:type="pct"/>
            <w:tcBorders>
              <w:top w:val="single" w:sz="4" w:space="0" w:color="auto"/>
              <w:left w:val="single" w:sz="4" w:space="0" w:color="auto"/>
              <w:bottom w:val="single" w:sz="4" w:space="0" w:color="auto"/>
              <w:right w:val="single" w:sz="4" w:space="0" w:color="auto"/>
            </w:tcBorders>
            <w:vAlign w:val="center"/>
          </w:tcPr>
          <w:p w14:paraId="1468D2A6" w14:textId="77777777" w:rsidR="00B0005F" w:rsidRPr="008A2411" w:rsidRDefault="00000000">
            <w:pPr>
              <w:pStyle w:val="affffffffffff2"/>
              <w:snapToGrid w:val="0"/>
              <w:rPr>
                <w:rFonts w:ascii="Times New Roman"/>
                <w:color w:val="000000" w:themeColor="text1"/>
              </w:rPr>
            </w:pPr>
            <w:r w:rsidRPr="008A2411">
              <w:rPr>
                <w:rFonts w:ascii="Times New Roman"/>
                <w:color w:val="000000" w:themeColor="text1"/>
              </w:rPr>
              <w:t>6</w:t>
            </w:r>
          </w:p>
        </w:tc>
      </w:tr>
    </w:tbl>
    <w:p w14:paraId="26416D91" w14:textId="77777777" w:rsidR="00B0005F" w:rsidRPr="008A2411" w:rsidRDefault="00B0005F">
      <w:pPr>
        <w:rPr>
          <w:rFonts w:ascii="Times New Roman"/>
          <w:color w:val="000000" w:themeColor="text1"/>
        </w:rPr>
      </w:pPr>
    </w:p>
    <w:p w14:paraId="37151EFB" w14:textId="77777777" w:rsidR="00B0005F" w:rsidRPr="008A2411" w:rsidRDefault="00000000">
      <w:pPr>
        <w:pStyle w:val="afffffffffffffffffffff0"/>
        <w:adjustRightInd w:val="0"/>
        <w:snapToGrid w:val="0"/>
        <w:ind w:firstLine="480"/>
        <w:rPr>
          <w:color w:val="000000" w:themeColor="text1"/>
        </w:rPr>
      </w:pPr>
      <w:r w:rsidRPr="008A2411">
        <w:rPr>
          <w:color w:val="000000" w:themeColor="text1"/>
        </w:rPr>
        <w:t>根据地下水监测统计结果可知，</w:t>
      </w:r>
      <w:bookmarkStart w:id="270" w:name="_Hlk100174350"/>
      <w:r w:rsidRPr="008A2411">
        <w:rPr>
          <w:color w:val="000000" w:themeColor="text1"/>
        </w:rPr>
        <w:t>本项目各地下水监测点除总大肠杆菌超标外，各地下水监测点各监测因子标准指数均小于</w:t>
      </w:r>
      <w:r w:rsidRPr="008A2411">
        <w:rPr>
          <w:color w:val="000000" w:themeColor="text1"/>
        </w:rPr>
        <w:t>1</w:t>
      </w:r>
      <w:r w:rsidRPr="008A2411">
        <w:rPr>
          <w:color w:val="000000" w:themeColor="text1"/>
        </w:rPr>
        <w:t>，满足《地下水质量标准》（</w:t>
      </w:r>
      <w:r w:rsidRPr="008A2411">
        <w:rPr>
          <w:color w:val="000000" w:themeColor="text1"/>
        </w:rPr>
        <w:t>GB/T14848-2017</w:t>
      </w:r>
      <w:r w:rsidRPr="008A2411">
        <w:rPr>
          <w:color w:val="000000" w:themeColor="text1"/>
        </w:rPr>
        <w:t>）</w:t>
      </w:r>
      <w:r w:rsidRPr="008A2411">
        <w:rPr>
          <w:color w:val="000000" w:themeColor="text1"/>
        </w:rPr>
        <w:t>Ⅲ</w:t>
      </w:r>
      <w:r w:rsidRPr="008A2411">
        <w:rPr>
          <w:color w:val="000000" w:themeColor="text1"/>
        </w:rPr>
        <w:t>类标准要求，石油</w:t>
      </w:r>
      <w:proofErr w:type="gramStart"/>
      <w:r w:rsidRPr="008A2411">
        <w:rPr>
          <w:color w:val="000000" w:themeColor="text1"/>
        </w:rPr>
        <w:t>类满足</w:t>
      </w:r>
      <w:proofErr w:type="gramEnd"/>
      <w:r w:rsidRPr="008A2411">
        <w:rPr>
          <w:color w:val="000000" w:themeColor="text1"/>
        </w:rPr>
        <w:t>《地表水环境质量标准》（</w:t>
      </w:r>
      <w:r w:rsidRPr="008A2411">
        <w:rPr>
          <w:color w:val="000000" w:themeColor="text1"/>
        </w:rPr>
        <w:t>GB3838-2002</w:t>
      </w:r>
      <w:r w:rsidRPr="008A2411">
        <w:rPr>
          <w:color w:val="000000" w:themeColor="text1"/>
        </w:rPr>
        <w:t>）</w:t>
      </w:r>
      <w:r w:rsidRPr="008A2411">
        <w:rPr>
          <w:color w:val="000000" w:themeColor="text1"/>
        </w:rPr>
        <w:t>Ⅲ</w:t>
      </w:r>
      <w:r w:rsidRPr="008A2411">
        <w:rPr>
          <w:color w:val="000000" w:themeColor="text1"/>
        </w:rPr>
        <w:t>类标准要求。</w:t>
      </w:r>
      <w:bookmarkEnd w:id="270"/>
      <w:r w:rsidRPr="008A2411">
        <w:rPr>
          <w:color w:val="000000" w:themeColor="text1"/>
        </w:rPr>
        <w:t>总大肠杆菌超标原因主要因为区域居民水井可能受农业面源污染影响，本项目不会有总大肠杆菌类污水排入地下水环境，不会加剧该污染。</w:t>
      </w:r>
    </w:p>
    <w:p w14:paraId="40524BB7" w14:textId="77777777" w:rsidR="00B0005F" w:rsidRPr="008A2411" w:rsidRDefault="00000000">
      <w:pPr>
        <w:pStyle w:val="2"/>
        <w:keepNext w:val="0"/>
        <w:keepLines w:val="0"/>
        <w:adjustRightInd w:val="0"/>
        <w:snapToGrid w:val="0"/>
        <w:spacing w:before="0" w:after="0" w:line="360" w:lineRule="auto"/>
        <w:rPr>
          <w:rFonts w:ascii="Times New Roman"/>
          <w:color w:val="000000" w:themeColor="text1"/>
          <w:kern w:val="0"/>
          <w:sz w:val="28"/>
          <w:szCs w:val="28"/>
          <w:lang w:bidi="en-US"/>
        </w:rPr>
      </w:pPr>
      <w:bookmarkStart w:id="271" w:name="_Toc12288574"/>
      <w:bookmarkStart w:id="272" w:name="_Toc95250315"/>
      <w:bookmarkStart w:id="273" w:name="_Toc19816017"/>
      <w:bookmarkStart w:id="274" w:name="_Toc109170766"/>
      <w:r w:rsidRPr="008A2411">
        <w:rPr>
          <w:rFonts w:ascii="Times New Roman"/>
          <w:color w:val="000000" w:themeColor="text1"/>
          <w:kern w:val="0"/>
          <w:sz w:val="28"/>
          <w:szCs w:val="28"/>
          <w:lang w:bidi="en-US"/>
        </w:rPr>
        <w:t>4.4</w:t>
      </w:r>
      <w:r w:rsidRPr="008A2411">
        <w:rPr>
          <w:rFonts w:ascii="Times New Roman"/>
          <w:color w:val="000000" w:themeColor="text1"/>
          <w:kern w:val="0"/>
          <w:sz w:val="28"/>
          <w:szCs w:val="28"/>
          <w:lang w:bidi="en-US"/>
        </w:rPr>
        <w:t>声环境质量现状与评价</w:t>
      </w:r>
      <w:bookmarkEnd w:id="271"/>
      <w:bookmarkEnd w:id="272"/>
      <w:bookmarkEnd w:id="273"/>
      <w:bookmarkEnd w:id="274"/>
    </w:p>
    <w:p w14:paraId="302F7EBA" w14:textId="77777777" w:rsidR="00B0005F" w:rsidRPr="008A2411" w:rsidRDefault="00000000">
      <w:pPr>
        <w:pStyle w:val="afffffffffffffffffffff0"/>
        <w:adjustRightInd w:val="0"/>
        <w:snapToGrid w:val="0"/>
        <w:ind w:firstLine="482"/>
        <w:rPr>
          <w:b/>
          <w:bCs/>
          <w:color w:val="000000" w:themeColor="text1"/>
        </w:rPr>
      </w:pPr>
      <w:bookmarkStart w:id="275" w:name="_Toc12288575"/>
      <w:r w:rsidRPr="008A2411">
        <w:rPr>
          <w:b/>
          <w:bCs/>
          <w:color w:val="000000" w:themeColor="text1"/>
        </w:rPr>
        <w:t>1</w:t>
      </w:r>
      <w:r w:rsidRPr="008A2411">
        <w:rPr>
          <w:b/>
          <w:bCs/>
          <w:color w:val="000000" w:themeColor="text1"/>
        </w:rPr>
        <w:t>、监测布点</w:t>
      </w:r>
      <w:bookmarkEnd w:id="275"/>
    </w:p>
    <w:p w14:paraId="291D77D8" w14:textId="77777777" w:rsidR="00B0005F" w:rsidRPr="008A2411" w:rsidRDefault="00000000">
      <w:pPr>
        <w:pStyle w:val="a9"/>
        <w:adjustRightInd w:val="0"/>
        <w:snapToGrid w:val="0"/>
        <w:spacing w:after="0" w:line="360" w:lineRule="auto"/>
        <w:ind w:firstLine="480"/>
        <w:rPr>
          <w:rFonts w:ascii="Times New Roman"/>
          <w:color w:val="000000" w:themeColor="text1"/>
          <w:sz w:val="24"/>
        </w:rPr>
      </w:pPr>
      <w:r w:rsidRPr="008A2411">
        <w:rPr>
          <w:rFonts w:ascii="Times New Roman"/>
          <w:color w:val="000000" w:themeColor="text1"/>
          <w:sz w:val="24"/>
        </w:rPr>
        <w:t>根据项目工程特点和场站的具体情况，本次评价对项目场界进行声环境质量现状监测，共计噪声监测点位</w:t>
      </w:r>
      <w:r w:rsidRPr="008A2411">
        <w:rPr>
          <w:rFonts w:ascii="Times New Roman"/>
          <w:color w:val="000000" w:themeColor="text1"/>
          <w:sz w:val="24"/>
        </w:rPr>
        <w:t>4</w:t>
      </w:r>
      <w:r w:rsidRPr="008A2411">
        <w:rPr>
          <w:rFonts w:ascii="Times New Roman"/>
          <w:color w:val="000000" w:themeColor="text1"/>
          <w:sz w:val="24"/>
        </w:rPr>
        <w:t>个。</w:t>
      </w:r>
    </w:p>
    <w:p w14:paraId="6A8B5DE0" w14:textId="77777777" w:rsidR="00B0005F" w:rsidRPr="008A2411" w:rsidRDefault="00000000">
      <w:pPr>
        <w:pStyle w:val="TOC1"/>
        <w:jc w:val="center"/>
        <w:rPr>
          <w:rFonts w:ascii="Times New Roman" w:eastAsia="黑体" w:hAnsi="Times New Roman" w:cs="Times New Roman"/>
          <w:b w:val="0"/>
          <w:bCs w:val="0"/>
          <w:caps w:val="0"/>
          <w:color w:val="000000" w:themeColor="text1"/>
          <w:sz w:val="24"/>
          <w:szCs w:val="21"/>
        </w:rPr>
      </w:pPr>
      <w:r w:rsidRPr="008A2411">
        <w:rPr>
          <w:rFonts w:ascii="Times New Roman" w:eastAsia="黑体" w:hAnsi="Times New Roman" w:cs="Times New Roman"/>
          <w:b w:val="0"/>
          <w:bCs w:val="0"/>
          <w:caps w:val="0"/>
          <w:color w:val="000000" w:themeColor="text1"/>
          <w:sz w:val="24"/>
          <w:szCs w:val="21"/>
        </w:rPr>
        <w:t>表</w:t>
      </w:r>
      <w:r w:rsidRPr="008A2411">
        <w:rPr>
          <w:rFonts w:ascii="Times New Roman" w:eastAsia="黑体" w:hAnsi="Times New Roman" w:cs="Times New Roman"/>
          <w:b w:val="0"/>
          <w:bCs w:val="0"/>
          <w:caps w:val="0"/>
          <w:color w:val="000000" w:themeColor="text1"/>
          <w:sz w:val="24"/>
          <w:szCs w:val="21"/>
        </w:rPr>
        <w:t xml:space="preserve">4.4-1  </w:t>
      </w:r>
      <w:r w:rsidRPr="008A2411">
        <w:rPr>
          <w:rFonts w:ascii="Times New Roman" w:eastAsia="黑体" w:hAnsi="Times New Roman" w:cs="Times New Roman"/>
          <w:b w:val="0"/>
          <w:bCs w:val="0"/>
          <w:caps w:val="0"/>
          <w:color w:val="000000" w:themeColor="text1"/>
          <w:sz w:val="24"/>
          <w:szCs w:val="21"/>
        </w:rPr>
        <w:t>项目噪声监测点位表</w:t>
      </w:r>
    </w:p>
    <w:tbl>
      <w:tblPr>
        <w:tblW w:w="499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7"/>
        <w:gridCol w:w="1895"/>
        <w:gridCol w:w="1255"/>
        <w:gridCol w:w="1116"/>
        <w:gridCol w:w="3426"/>
      </w:tblGrid>
      <w:tr w:rsidR="008A2411" w:rsidRPr="008A2411" w14:paraId="3F4FDEBB" w14:textId="77777777">
        <w:trPr>
          <w:trHeight w:val="340"/>
        </w:trPr>
        <w:tc>
          <w:tcPr>
            <w:tcW w:w="485" w:type="pct"/>
            <w:vAlign w:val="center"/>
          </w:tcPr>
          <w:p w14:paraId="7F9D545B"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lastRenderedPageBreak/>
              <w:t>编号</w:t>
            </w:r>
          </w:p>
        </w:tc>
        <w:tc>
          <w:tcPr>
            <w:tcW w:w="1112" w:type="pct"/>
            <w:vAlign w:val="center"/>
          </w:tcPr>
          <w:p w14:paraId="51BA1C2C"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监测点名称</w:t>
            </w:r>
          </w:p>
        </w:tc>
        <w:tc>
          <w:tcPr>
            <w:tcW w:w="736" w:type="pct"/>
            <w:vAlign w:val="center"/>
          </w:tcPr>
          <w:p w14:paraId="6BD79A39" w14:textId="77777777" w:rsidR="00B0005F" w:rsidRPr="008A2411" w:rsidRDefault="00000000">
            <w:pPr>
              <w:spacing w:line="360" w:lineRule="exact"/>
              <w:jc w:val="center"/>
              <w:rPr>
                <w:rFonts w:ascii="Times New Roman"/>
                <w:color w:val="000000" w:themeColor="text1"/>
                <w:kern w:val="2"/>
                <w:sz w:val="21"/>
              </w:rPr>
            </w:pPr>
            <w:r w:rsidRPr="008A2411">
              <w:rPr>
                <w:rFonts w:ascii="Times New Roman"/>
                <w:color w:val="000000" w:themeColor="text1"/>
                <w:kern w:val="2"/>
                <w:sz w:val="21"/>
              </w:rPr>
              <w:t>监测项目</w:t>
            </w:r>
          </w:p>
        </w:tc>
        <w:tc>
          <w:tcPr>
            <w:tcW w:w="655" w:type="pct"/>
            <w:vAlign w:val="center"/>
          </w:tcPr>
          <w:p w14:paraId="49447F88" w14:textId="77777777" w:rsidR="00B0005F" w:rsidRPr="008A2411" w:rsidRDefault="00000000">
            <w:pPr>
              <w:spacing w:line="360" w:lineRule="exact"/>
              <w:jc w:val="center"/>
              <w:rPr>
                <w:rFonts w:ascii="Times New Roman"/>
                <w:color w:val="000000" w:themeColor="text1"/>
                <w:kern w:val="2"/>
                <w:sz w:val="21"/>
              </w:rPr>
            </w:pPr>
            <w:r w:rsidRPr="008A2411">
              <w:rPr>
                <w:rFonts w:ascii="Times New Roman"/>
                <w:color w:val="000000" w:themeColor="text1"/>
                <w:kern w:val="2"/>
                <w:sz w:val="21"/>
              </w:rPr>
              <w:t>监测频率</w:t>
            </w:r>
          </w:p>
        </w:tc>
        <w:tc>
          <w:tcPr>
            <w:tcW w:w="2010" w:type="pct"/>
            <w:vAlign w:val="center"/>
          </w:tcPr>
          <w:p w14:paraId="63DD63F0" w14:textId="77777777" w:rsidR="00B0005F" w:rsidRPr="008A2411" w:rsidRDefault="00000000">
            <w:pPr>
              <w:spacing w:line="360" w:lineRule="exact"/>
              <w:jc w:val="center"/>
              <w:rPr>
                <w:rFonts w:ascii="Times New Roman"/>
                <w:color w:val="000000" w:themeColor="text1"/>
                <w:kern w:val="2"/>
                <w:sz w:val="21"/>
              </w:rPr>
            </w:pPr>
            <w:r w:rsidRPr="008A2411">
              <w:rPr>
                <w:rFonts w:ascii="Times New Roman"/>
                <w:color w:val="000000" w:themeColor="text1"/>
                <w:kern w:val="2"/>
                <w:sz w:val="21"/>
              </w:rPr>
              <w:t>执行标准</w:t>
            </w:r>
          </w:p>
        </w:tc>
      </w:tr>
      <w:tr w:rsidR="008A2411" w:rsidRPr="008A2411" w14:paraId="5A55BD71" w14:textId="77777777">
        <w:trPr>
          <w:trHeight w:val="68"/>
        </w:trPr>
        <w:tc>
          <w:tcPr>
            <w:tcW w:w="485" w:type="pct"/>
            <w:vAlign w:val="center"/>
          </w:tcPr>
          <w:p w14:paraId="76207F07"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N1</w:t>
            </w:r>
          </w:p>
        </w:tc>
        <w:tc>
          <w:tcPr>
            <w:tcW w:w="1112" w:type="pct"/>
            <w:vAlign w:val="center"/>
          </w:tcPr>
          <w:p w14:paraId="57B61A3D"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项目拟建地东侧</w:t>
            </w:r>
          </w:p>
        </w:tc>
        <w:tc>
          <w:tcPr>
            <w:tcW w:w="736" w:type="pct"/>
            <w:vMerge w:val="restart"/>
            <w:vAlign w:val="center"/>
          </w:tcPr>
          <w:p w14:paraId="0019892E" w14:textId="77777777" w:rsidR="00B0005F" w:rsidRPr="008A2411" w:rsidRDefault="00000000">
            <w:pPr>
              <w:spacing w:line="360" w:lineRule="exact"/>
              <w:jc w:val="center"/>
              <w:rPr>
                <w:rFonts w:ascii="Times New Roman"/>
                <w:color w:val="000000" w:themeColor="text1"/>
                <w:kern w:val="2"/>
                <w:sz w:val="21"/>
              </w:rPr>
            </w:pPr>
            <w:r w:rsidRPr="008A2411">
              <w:rPr>
                <w:rFonts w:ascii="Times New Roman"/>
                <w:color w:val="000000" w:themeColor="text1"/>
                <w:kern w:val="2"/>
                <w:sz w:val="21"/>
              </w:rPr>
              <w:t>等效连续</w:t>
            </w:r>
            <w:r w:rsidRPr="008A2411">
              <w:rPr>
                <w:rFonts w:ascii="Times New Roman"/>
                <w:color w:val="000000" w:themeColor="text1"/>
                <w:kern w:val="2"/>
                <w:sz w:val="21"/>
              </w:rPr>
              <w:t>A</w:t>
            </w:r>
            <w:r w:rsidRPr="008A2411">
              <w:rPr>
                <w:rFonts w:ascii="Times New Roman"/>
                <w:color w:val="000000" w:themeColor="text1"/>
                <w:kern w:val="2"/>
                <w:sz w:val="21"/>
              </w:rPr>
              <w:t>声级（</w:t>
            </w:r>
            <w:r w:rsidRPr="008A2411">
              <w:rPr>
                <w:rFonts w:ascii="Times New Roman"/>
                <w:color w:val="000000" w:themeColor="text1"/>
                <w:kern w:val="2"/>
                <w:sz w:val="21"/>
              </w:rPr>
              <w:t>Leq(A)</w:t>
            </w:r>
            <w:r w:rsidRPr="008A2411">
              <w:rPr>
                <w:rFonts w:ascii="Times New Roman"/>
                <w:color w:val="000000" w:themeColor="text1"/>
                <w:kern w:val="2"/>
                <w:sz w:val="21"/>
              </w:rPr>
              <w:t>）</w:t>
            </w:r>
          </w:p>
        </w:tc>
        <w:tc>
          <w:tcPr>
            <w:tcW w:w="655" w:type="pct"/>
            <w:vMerge w:val="restart"/>
            <w:vAlign w:val="center"/>
          </w:tcPr>
          <w:p w14:paraId="6EB05637" w14:textId="77777777" w:rsidR="00B0005F" w:rsidRPr="008A2411" w:rsidRDefault="00000000">
            <w:pPr>
              <w:spacing w:line="360" w:lineRule="exact"/>
              <w:jc w:val="center"/>
              <w:rPr>
                <w:rFonts w:ascii="Times New Roman"/>
                <w:color w:val="000000" w:themeColor="text1"/>
                <w:kern w:val="2"/>
                <w:sz w:val="21"/>
              </w:rPr>
            </w:pPr>
            <w:r w:rsidRPr="008A2411">
              <w:rPr>
                <w:rFonts w:ascii="Times New Roman"/>
                <w:color w:val="000000" w:themeColor="text1"/>
                <w:kern w:val="2"/>
                <w:sz w:val="21"/>
              </w:rPr>
              <w:t>连续监测</w:t>
            </w:r>
            <w:r w:rsidRPr="008A2411">
              <w:rPr>
                <w:rFonts w:ascii="Times New Roman"/>
                <w:color w:val="000000" w:themeColor="text1"/>
                <w:kern w:val="2"/>
                <w:sz w:val="21"/>
              </w:rPr>
              <w:t>2</w:t>
            </w:r>
            <w:r w:rsidRPr="008A2411">
              <w:rPr>
                <w:rFonts w:ascii="Times New Roman"/>
                <w:color w:val="000000" w:themeColor="text1"/>
                <w:kern w:val="2"/>
                <w:sz w:val="21"/>
              </w:rPr>
              <w:t>天，每天昼夜各</w:t>
            </w:r>
            <w:r w:rsidRPr="008A2411">
              <w:rPr>
                <w:rFonts w:ascii="Times New Roman"/>
                <w:color w:val="000000" w:themeColor="text1"/>
                <w:kern w:val="2"/>
                <w:sz w:val="21"/>
              </w:rPr>
              <w:t>1</w:t>
            </w:r>
            <w:r w:rsidRPr="008A2411">
              <w:rPr>
                <w:rFonts w:ascii="Times New Roman"/>
                <w:color w:val="000000" w:themeColor="text1"/>
                <w:kern w:val="2"/>
                <w:sz w:val="21"/>
              </w:rPr>
              <w:t>次</w:t>
            </w:r>
          </w:p>
        </w:tc>
        <w:tc>
          <w:tcPr>
            <w:tcW w:w="2010" w:type="pct"/>
            <w:vMerge w:val="restart"/>
            <w:vAlign w:val="center"/>
          </w:tcPr>
          <w:p w14:paraId="7DE87822"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《声环境质量标准》（</w:t>
            </w:r>
            <w:r w:rsidRPr="008A2411">
              <w:rPr>
                <w:rFonts w:ascii="Times New Roman"/>
                <w:color w:val="000000" w:themeColor="text1"/>
                <w:kern w:val="2"/>
                <w:sz w:val="21"/>
              </w:rPr>
              <w:t>GB3096-2008</w:t>
            </w:r>
            <w:r w:rsidRPr="008A2411">
              <w:rPr>
                <w:rFonts w:ascii="Times New Roman"/>
                <w:color w:val="000000" w:themeColor="text1"/>
                <w:kern w:val="2"/>
                <w:sz w:val="21"/>
              </w:rPr>
              <w:t>）中</w:t>
            </w:r>
            <w:r w:rsidRPr="008A2411">
              <w:rPr>
                <w:rFonts w:ascii="Times New Roman"/>
                <w:color w:val="000000" w:themeColor="text1"/>
                <w:kern w:val="2"/>
                <w:sz w:val="21"/>
              </w:rPr>
              <w:t>3</w:t>
            </w:r>
            <w:r w:rsidRPr="008A2411">
              <w:rPr>
                <w:rFonts w:ascii="Times New Roman"/>
                <w:color w:val="000000" w:themeColor="text1"/>
                <w:kern w:val="2"/>
                <w:sz w:val="21"/>
              </w:rPr>
              <w:t>类标准</w:t>
            </w:r>
          </w:p>
        </w:tc>
      </w:tr>
      <w:tr w:rsidR="008A2411" w:rsidRPr="008A2411" w14:paraId="79C203A8" w14:textId="77777777">
        <w:trPr>
          <w:trHeight w:val="340"/>
        </w:trPr>
        <w:tc>
          <w:tcPr>
            <w:tcW w:w="485" w:type="pct"/>
            <w:vAlign w:val="center"/>
          </w:tcPr>
          <w:p w14:paraId="26517317"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N2</w:t>
            </w:r>
          </w:p>
        </w:tc>
        <w:tc>
          <w:tcPr>
            <w:tcW w:w="1112" w:type="pct"/>
            <w:vAlign w:val="center"/>
          </w:tcPr>
          <w:p w14:paraId="1DB9076F"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项目拟建地南侧</w:t>
            </w:r>
          </w:p>
        </w:tc>
        <w:tc>
          <w:tcPr>
            <w:tcW w:w="736" w:type="pct"/>
            <w:vMerge/>
            <w:vAlign w:val="center"/>
          </w:tcPr>
          <w:p w14:paraId="5E5EEB23" w14:textId="77777777" w:rsidR="00B0005F" w:rsidRPr="008A2411" w:rsidRDefault="00B0005F">
            <w:pPr>
              <w:widowControl/>
              <w:jc w:val="left"/>
              <w:rPr>
                <w:rFonts w:ascii="Times New Roman"/>
                <w:color w:val="000000" w:themeColor="text1"/>
              </w:rPr>
            </w:pPr>
          </w:p>
        </w:tc>
        <w:tc>
          <w:tcPr>
            <w:tcW w:w="655" w:type="pct"/>
            <w:vMerge/>
            <w:vAlign w:val="center"/>
          </w:tcPr>
          <w:p w14:paraId="7A6F984B" w14:textId="77777777" w:rsidR="00B0005F" w:rsidRPr="008A2411" w:rsidRDefault="00B0005F">
            <w:pPr>
              <w:widowControl/>
              <w:jc w:val="left"/>
              <w:rPr>
                <w:rFonts w:ascii="Times New Roman"/>
                <w:color w:val="000000" w:themeColor="text1"/>
              </w:rPr>
            </w:pPr>
          </w:p>
        </w:tc>
        <w:tc>
          <w:tcPr>
            <w:tcW w:w="2010" w:type="pct"/>
            <w:vMerge/>
            <w:vAlign w:val="center"/>
          </w:tcPr>
          <w:p w14:paraId="26327BBF" w14:textId="77777777" w:rsidR="00B0005F" w:rsidRPr="008A2411" w:rsidRDefault="00B0005F">
            <w:pPr>
              <w:jc w:val="center"/>
              <w:rPr>
                <w:rFonts w:ascii="Times New Roman"/>
                <w:color w:val="000000" w:themeColor="text1"/>
              </w:rPr>
            </w:pPr>
          </w:p>
        </w:tc>
      </w:tr>
      <w:tr w:rsidR="008A2411" w:rsidRPr="008A2411" w14:paraId="5C505937" w14:textId="77777777">
        <w:trPr>
          <w:trHeight w:val="340"/>
        </w:trPr>
        <w:tc>
          <w:tcPr>
            <w:tcW w:w="485" w:type="pct"/>
            <w:vAlign w:val="center"/>
          </w:tcPr>
          <w:p w14:paraId="231349DB"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N3</w:t>
            </w:r>
          </w:p>
        </w:tc>
        <w:tc>
          <w:tcPr>
            <w:tcW w:w="1112" w:type="pct"/>
            <w:vAlign w:val="center"/>
          </w:tcPr>
          <w:p w14:paraId="360519EC"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项目拟建地西侧</w:t>
            </w:r>
          </w:p>
        </w:tc>
        <w:tc>
          <w:tcPr>
            <w:tcW w:w="736" w:type="pct"/>
            <w:vMerge/>
            <w:vAlign w:val="center"/>
          </w:tcPr>
          <w:p w14:paraId="7CC03185" w14:textId="77777777" w:rsidR="00B0005F" w:rsidRPr="008A2411" w:rsidRDefault="00B0005F">
            <w:pPr>
              <w:widowControl/>
              <w:jc w:val="left"/>
              <w:rPr>
                <w:rFonts w:ascii="Times New Roman"/>
                <w:color w:val="000000" w:themeColor="text1"/>
              </w:rPr>
            </w:pPr>
          </w:p>
        </w:tc>
        <w:tc>
          <w:tcPr>
            <w:tcW w:w="655" w:type="pct"/>
            <w:vMerge/>
            <w:vAlign w:val="center"/>
          </w:tcPr>
          <w:p w14:paraId="7438C3C2" w14:textId="77777777" w:rsidR="00B0005F" w:rsidRPr="008A2411" w:rsidRDefault="00B0005F">
            <w:pPr>
              <w:widowControl/>
              <w:jc w:val="left"/>
              <w:rPr>
                <w:rFonts w:ascii="Times New Roman"/>
                <w:color w:val="000000" w:themeColor="text1"/>
              </w:rPr>
            </w:pPr>
          </w:p>
        </w:tc>
        <w:tc>
          <w:tcPr>
            <w:tcW w:w="2010" w:type="pct"/>
            <w:vMerge/>
            <w:vAlign w:val="center"/>
          </w:tcPr>
          <w:p w14:paraId="40BAE0D6" w14:textId="77777777" w:rsidR="00B0005F" w:rsidRPr="008A2411" w:rsidRDefault="00B0005F">
            <w:pPr>
              <w:jc w:val="center"/>
              <w:rPr>
                <w:rFonts w:ascii="Times New Roman"/>
                <w:color w:val="000000" w:themeColor="text1"/>
              </w:rPr>
            </w:pPr>
          </w:p>
        </w:tc>
      </w:tr>
      <w:tr w:rsidR="008A2411" w:rsidRPr="008A2411" w14:paraId="6E3FF5C7" w14:textId="77777777">
        <w:trPr>
          <w:trHeight w:val="90"/>
        </w:trPr>
        <w:tc>
          <w:tcPr>
            <w:tcW w:w="485" w:type="pct"/>
            <w:vAlign w:val="center"/>
          </w:tcPr>
          <w:p w14:paraId="117B8D44"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N4</w:t>
            </w:r>
          </w:p>
        </w:tc>
        <w:tc>
          <w:tcPr>
            <w:tcW w:w="1112" w:type="pct"/>
            <w:vAlign w:val="center"/>
          </w:tcPr>
          <w:p w14:paraId="4BE72DF6"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项目拟建地北侧</w:t>
            </w:r>
          </w:p>
        </w:tc>
        <w:tc>
          <w:tcPr>
            <w:tcW w:w="736" w:type="pct"/>
            <w:vMerge/>
            <w:vAlign w:val="center"/>
          </w:tcPr>
          <w:p w14:paraId="7EDB2269" w14:textId="77777777" w:rsidR="00B0005F" w:rsidRPr="008A2411" w:rsidRDefault="00B0005F">
            <w:pPr>
              <w:widowControl/>
              <w:jc w:val="left"/>
              <w:rPr>
                <w:rFonts w:ascii="Times New Roman"/>
                <w:color w:val="000000" w:themeColor="text1"/>
              </w:rPr>
            </w:pPr>
          </w:p>
        </w:tc>
        <w:tc>
          <w:tcPr>
            <w:tcW w:w="655" w:type="pct"/>
            <w:vMerge/>
            <w:vAlign w:val="center"/>
          </w:tcPr>
          <w:p w14:paraId="37C41380" w14:textId="77777777" w:rsidR="00B0005F" w:rsidRPr="008A2411" w:rsidRDefault="00B0005F">
            <w:pPr>
              <w:widowControl/>
              <w:jc w:val="left"/>
              <w:rPr>
                <w:rFonts w:ascii="Times New Roman"/>
                <w:color w:val="000000" w:themeColor="text1"/>
              </w:rPr>
            </w:pPr>
          </w:p>
        </w:tc>
        <w:tc>
          <w:tcPr>
            <w:tcW w:w="2010" w:type="pct"/>
            <w:vMerge/>
            <w:vAlign w:val="center"/>
          </w:tcPr>
          <w:p w14:paraId="782CEAFD" w14:textId="77777777" w:rsidR="00B0005F" w:rsidRPr="008A2411" w:rsidRDefault="00B0005F">
            <w:pPr>
              <w:jc w:val="center"/>
              <w:rPr>
                <w:rFonts w:ascii="Times New Roman"/>
                <w:color w:val="000000" w:themeColor="text1"/>
              </w:rPr>
            </w:pPr>
          </w:p>
        </w:tc>
      </w:tr>
    </w:tbl>
    <w:p w14:paraId="26C4B587" w14:textId="77777777" w:rsidR="00B0005F" w:rsidRPr="008A2411" w:rsidRDefault="00000000">
      <w:pPr>
        <w:pStyle w:val="afffffffffffffffffffff0"/>
        <w:ind w:firstLine="480"/>
        <w:rPr>
          <w:b/>
          <w:color w:val="000000" w:themeColor="text1"/>
        </w:rPr>
      </w:pPr>
      <w:r w:rsidRPr="008A2411">
        <w:rPr>
          <w:color w:val="000000" w:themeColor="text1"/>
        </w:rPr>
        <w:t>2</w:t>
      </w:r>
      <w:r w:rsidRPr="008A2411">
        <w:rPr>
          <w:b/>
          <w:color w:val="000000" w:themeColor="text1"/>
        </w:rPr>
        <w:t>、监测项目</w:t>
      </w:r>
    </w:p>
    <w:p w14:paraId="6374B49D" w14:textId="77777777" w:rsidR="00B0005F" w:rsidRPr="008A2411" w:rsidRDefault="00000000">
      <w:pPr>
        <w:pStyle w:val="afffffffffffffffffffff0"/>
        <w:ind w:firstLine="480"/>
        <w:rPr>
          <w:color w:val="000000" w:themeColor="text1"/>
        </w:rPr>
      </w:pPr>
      <w:r w:rsidRPr="008A2411">
        <w:rPr>
          <w:color w:val="000000" w:themeColor="text1"/>
        </w:rPr>
        <w:t>昼夜等效连续</w:t>
      </w:r>
      <w:r w:rsidRPr="008A2411">
        <w:rPr>
          <w:color w:val="000000" w:themeColor="text1"/>
        </w:rPr>
        <w:t>A</w:t>
      </w:r>
      <w:r w:rsidRPr="008A2411">
        <w:rPr>
          <w:color w:val="000000" w:themeColor="text1"/>
        </w:rPr>
        <w:t>声级。</w:t>
      </w:r>
    </w:p>
    <w:p w14:paraId="0F41CA33" w14:textId="77777777" w:rsidR="00B0005F" w:rsidRPr="008A2411" w:rsidRDefault="00000000">
      <w:pPr>
        <w:pStyle w:val="afffffffffffffffffffff0"/>
        <w:ind w:firstLine="482"/>
        <w:rPr>
          <w:b/>
          <w:color w:val="000000" w:themeColor="text1"/>
        </w:rPr>
      </w:pPr>
      <w:r w:rsidRPr="008A2411">
        <w:rPr>
          <w:b/>
          <w:color w:val="000000" w:themeColor="text1"/>
        </w:rPr>
        <w:t>3</w:t>
      </w:r>
      <w:r w:rsidRPr="008A2411">
        <w:rPr>
          <w:b/>
          <w:color w:val="000000" w:themeColor="text1"/>
        </w:rPr>
        <w:t>、监测频次</w:t>
      </w:r>
    </w:p>
    <w:p w14:paraId="69F6ADDD" w14:textId="77777777" w:rsidR="00B0005F" w:rsidRPr="008A2411" w:rsidRDefault="00000000">
      <w:pPr>
        <w:pStyle w:val="afffffffffffffffffffff0"/>
        <w:ind w:firstLine="480"/>
        <w:rPr>
          <w:color w:val="000000" w:themeColor="text1"/>
        </w:rPr>
      </w:pPr>
      <w:r w:rsidRPr="008A2411">
        <w:rPr>
          <w:color w:val="000000" w:themeColor="text1"/>
        </w:rPr>
        <w:t>每个监测点位连续监测</w:t>
      </w:r>
      <w:r w:rsidRPr="008A2411">
        <w:rPr>
          <w:color w:val="000000" w:themeColor="text1"/>
        </w:rPr>
        <w:t>2</w:t>
      </w:r>
      <w:r w:rsidRPr="008A2411">
        <w:rPr>
          <w:color w:val="000000" w:themeColor="text1"/>
        </w:rPr>
        <w:t>天，监测时间为昼夜各一次。</w:t>
      </w:r>
    </w:p>
    <w:p w14:paraId="3778DEFD" w14:textId="77777777" w:rsidR="00B0005F" w:rsidRPr="008A2411" w:rsidRDefault="00000000">
      <w:pPr>
        <w:pStyle w:val="afffffffffffffffffffff0"/>
        <w:ind w:firstLine="482"/>
        <w:rPr>
          <w:b/>
          <w:color w:val="000000" w:themeColor="text1"/>
        </w:rPr>
      </w:pPr>
      <w:r w:rsidRPr="008A2411">
        <w:rPr>
          <w:b/>
          <w:color w:val="000000" w:themeColor="text1"/>
        </w:rPr>
        <w:t>4</w:t>
      </w:r>
      <w:r w:rsidRPr="008A2411">
        <w:rPr>
          <w:b/>
          <w:color w:val="000000" w:themeColor="text1"/>
        </w:rPr>
        <w:t>、采样及分析方法</w:t>
      </w:r>
    </w:p>
    <w:p w14:paraId="330F525F" w14:textId="77777777" w:rsidR="00B0005F" w:rsidRPr="008A2411" w:rsidRDefault="00000000">
      <w:pPr>
        <w:pStyle w:val="afffffffffffffffffffff0"/>
        <w:ind w:firstLine="480"/>
        <w:rPr>
          <w:color w:val="000000" w:themeColor="text1"/>
        </w:rPr>
      </w:pPr>
      <w:r w:rsidRPr="008A2411">
        <w:rPr>
          <w:color w:val="000000" w:themeColor="text1"/>
        </w:rPr>
        <w:t>采样及分析方法按国家有关规定进行。</w:t>
      </w:r>
    </w:p>
    <w:p w14:paraId="6DD7E4C5" w14:textId="77777777" w:rsidR="00B0005F" w:rsidRPr="008A2411" w:rsidRDefault="00000000">
      <w:pPr>
        <w:pStyle w:val="afffffffffffffffffffff0"/>
        <w:ind w:firstLine="482"/>
        <w:rPr>
          <w:b/>
          <w:color w:val="000000" w:themeColor="text1"/>
        </w:rPr>
      </w:pPr>
      <w:bookmarkStart w:id="276" w:name="_Toc12288576"/>
      <w:r w:rsidRPr="008A2411">
        <w:rPr>
          <w:b/>
          <w:color w:val="000000" w:themeColor="text1"/>
        </w:rPr>
        <w:t>5</w:t>
      </w:r>
      <w:r w:rsidRPr="008A2411">
        <w:rPr>
          <w:b/>
          <w:color w:val="000000" w:themeColor="text1"/>
        </w:rPr>
        <w:t>、评价标准</w:t>
      </w:r>
      <w:bookmarkEnd w:id="276"/>
    </w:p>
    <w:p w14:paraId="0E7046BE" w14:textId="77777777" w:rsidR="00B0005F" w:rsidRPr="008A2411" w:rsidRDefault="00000000">
      <w:pPr>
        <w:pStyle w:val="afffffffffffffffffffff0"/>
        <w:ind w:firstLine="480"/>
        <w:rPr>
          <w:color w:val="000000" w:themeColor="text1"/>
        </w:rPr>
      </w:pPr>
      <w:r w:rsidRPr="008A2411">
        <w:rPr>
          <w:color w:val="000000" w:themeColor="text1"/>
        </w:rPr>
        <w:t>管线经过区域和</w:t>
      </w:r>
      <w:proofErr w:type="gramStart"/>
      <w:r w:rsidRPr="008A2411">
        <w:rPr>
          <w:color w:val="000000" w:themeColor="text1"/>
        </w:rPr>
        <w:t>场站声</w:t>
      </w:r>
      <w:proofErr w:type="gramEnd"/>
      <w:r w:rsidRPr="008A2411">
        <w:rPr>
          <w:color w:val="000000" w:themeColor="text1"/>
        </w:rPr>
        <w:t>环境执行《声环境质量标准》（</w:t>
      </w:r>
      <w:r w:rsidRPr="008A2411">
        <w:rPr>
          <w:color w:val="000000" w:themeColor="text1"/>
        </w:rPr>
        <w:t>GB3096-2008</w:t>
      </w:r>
      <w:r w:rsidRPr="008A2411">
        <w:rPr>
          <w:color w:val="000000" w:themeColor="text1"/>
        </w:rPr>
        <w:t>）中的</w:t>
      </w:r>
      <w:r w:rsidRPr="008A2411">
        <w:rPr>
          <w:color w:val="000000" w:themeColor="text1"/>
        </w:rPr>
        <w:t>3</w:t>
      </w:r>
      <w:r w:rsidRPr="008A2411">
        <w:rPr>
          <w:color w:val="000000" w:themeColor="text1"/>
        </w:rPr>
        <w:t>类标准，即昼间</w:t>
      </w:r>
      <w:r w:rsidRPr="008A2411">
        <w:rPr>
          <w:color w:val="000000" w:themeColor="text1"/>
        </w:rPr>
        <w:t>65dB(A)</w:t>
      </w:r>
      <w:r w:rsidRPr="008A2411">
        <w:rPr>
          <w:color w:val="000000" w:themeColor="text1"/>
        </w:rPr>
        <w:t>，夜间</w:t>
      </w:r>
      <w:r w:rsidRPr="008A2411">
        <w:rPr>
          <w:color w:val="000000" w:themeColor="text1"/>
        </w:rPr>
        <w:t>55dB(A)</w:t>
      </w:r>
      <w:r w:rsidRPr="008A2411">
        <w:rPr>
          <w:color w:val="000000" w:themeColor="text1"/>
        </w:rPr>
        <w:t>。</w:t>
      </w:r>
      <w:bookmarkStart w:id="277" w:name="_Toc12288577"/>
    </w:p>
    <w:p w14:paraId="04568D2A" w14:textId="77777777" w:rsidR="00B0005F" w:rsidRPr="008A2411" w:rsidRDefault="00000000">
      <w:pPr>
        <w:pStyle w:val="afffffffffffffffffffff0"/>
        <w:ind w:firstLine="482"/>
        <w:rPr>
          <w:b/>
          <w:bCs/>
          <w:color w:val="000000" w:themeColor="text1"/>
        </w:rPr>
      </w:pPr>
      <w:r w:rsidRPr="008A2411">
        <w:rPr>
          <w:b/>
          <w:bCs/>
          <w:color w:val="000000" w:themeColor="text1"/>
        </w:rPr>
        <w:t>6</w:t>
      </w:r>
      <w:r w:rsidRPr="008A2411">
        <w:rPr>
          <w:b/>
          <w:bCs/>
          <w:color w:val="000000" w:themeColor="text1"/>
        </w:rPr>
        <w:t>、监测结果</w:t>
      </w:r>
      <w:bookmarkEnd w:id="277"/>
    </w:p>
    <w:p w14:paraId="07724932" w14:textId="77777777" w:rsidR="00B0005F" w:rsidRPr="008A2411" w:rsidRDefault="00000000">
      <w:pPr>
        <w:pStyle w:val="afffffffffffffffffffff0"/>
        <w:ind w:firstLine="480"/>
        <w:rPr>
          <w:color w:val="000000" w:themeColor="text1"/>
        </w:rPr>
      </w:pPr>
      <w:r w:rsidRPr="008A2411">
        <w:rPr>
          <w:color w:val="000000" w:themeColor="text1"/>
        </w:rPr>
        <w:t>项目所在地声环境质量现状值监测结果见表</w:t>
      </w:r>
      <w:r w:rsidRPr="008A2411">
        <w:rPr>
          <w:color w:val="000000" w:themeColor="text1"/>
        </w:rPr>
        <w:t>4.4-2</w:t>
      </w:r>
      <w:r w:rsidRPr="008A2411">
        <w:rPr>
          <w:color w:val="000000" w:themeColor="text1"/>
        </w:rPr>
        <w:t>。</w:t>
      </w:r>
    </w:p>
    <w:p w14:paraId="466EBAD6" w14:textId="77777777" w:rsidR="00B0005F" w:rsidRPr="008A2411" w:rsidRDefault="00000000">
      <w:pPr>
        <w:pStyle w:val="TOC1"/>
        <w:jc w:val="center"/>
        <w:rPr>
          <w:rFonts w:ascii="Times New Roman" w:eastAsia="黑体" w:hAnsi="Times New Roman" w:cs="Times New Roman"/>
          <w:b w:val="0"/>
          <w:bCs w:val="0"/>
          <w:caps w:val="0"/>
          <w:color w:val="000000" w:themeColor="text1"/>
          <w:sz w:val="24"/>
          <w:szCs w:val="21"/>
        </w:rPr>
      </w:pPr>
      <w:r w:rsidRPr="008A2411">
        <w:rPr>
          <w:rFonts w:ascii="Times New Roman" w:eastAsia="黑体" w:hAnsi="Times New Roman" w:cs="Times New Roman"/>
          <w:b w:val="0"/>
          <w:bCs w:val="0"/>
          <w:caps w:val="0"/>
          <w:color w:val="000000" w:themeColor="text1"/>
          <w:sz w:val="24"/>
          <w:szCs w:val="21"/>
        </w:rPr>
        <w:t>表</w:t>
      </w:r>
      <w:r w:rsidRPr="008A2411">
        <w:rPr>
          <w:rFonts w:ascii="Times New Roman" w:eastAsia="黑体" w:hAnsi="Times New Roman" w:cs="Times New Roman"/>
          <w:b w:val="0"/>
          <w:bCs w:val="0"/>
          <w:caps w:val="0"/>
          <w:color w:val="000000" w:themeColor="text1"/>
          <w:sz w:val="24"/>
          <w:szCs w:val="21"/>
        </w:rPr>
        <w:t xml:space="preserve">4.4-2  </w:t>
      </w:r>
      <w:r w:rsidRPr="008A2411">
        <w:rPr>
          <w:rFonts w:ascii="Times New Roman" w:eastAsia="黑体" w:hAnsi="Times New Roman" w:cs="Times New Roman"/>
          <w:b w:val="0"/>
          <w:bCs w:val="0"/>
          <w:caps w:val="0"/>
          <w:color w:val="000000" w:themeColor="text1"/>
          <w:sz w:val="24"/>
          <w:szCs w:val="21"/>
        </w:rPr>
        <w:t>声环境质量现状监测及评价结果</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022"/>
        <w:gridCol w:w="2948"/>
        <w:gridCol w:w="1093"/>
        <w:gridCol w:w="1098"/>
        <w:gridCol w:w="1099"/>
        <w:gridCol w:w="1056"/>
      </w:tblGrid>
      <w:tr w:rsidR="008A2411" w:rsidRPr="008A2411" w14:paraId="0ED50F8A" w14:textId="77777777">
        <w:trPr>
          <w:trHeight w:val="56"/>
          <w:tblHeader/>
          <w:jc w:val="center"/>
        </w:trPr>
        <w:tc>
          <w:tcPr>
            <w:tcW w:w="615" w:type="pct"/>
            <w:vAlign w:val="center"/>
          </w:tcPr>
          <w:p w14:paraId="775C3183"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点位编号</w:t>
            </w:r>
          </w:p>
        </w:tc>
        <w:tc>
          <w:tcPr>
            <w:tcW w:w="1772" w:type="pct"/>
            <w:vAlign w:val="center"/>
          </w:tcPr>
          <w:p w14:paraId="26E47829"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点位名称</w:t>
            </w:r>
          </w:p>
        </w:tc>
        <w:tc>
          <w:tcPr>
            <w:tcW w:w="656" w:type="pct"/>
            <w:vAlign w:val="center"/>
          </w:tcPr>
          <w:p w14:paraId="25E28341"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监测时间</w:t>
            </w:r>
          </w:p>
        </w:tc>
        <w:tc>
          <w:tcPr>
            <w:tcW w:w="659" w:type="pct"/>
            <w:vAlign w:val="center"/>
          </w:tcPr>
          <w:p w14:paraId="7DD21D97"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昼间</w:t>
            </w:r>
          </w:p>
          <w:p w14:paraId="00C626EA"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dB(A)</w:t>
            </w:r>
          </w:p>
        </w:tc>
        <w:tc>
          <w:tcPr>
            <w:tcW w:w="660" w:type="pct"/>
            <w:vAlign w:val="center"/>
          </w:tcPr>
          <w:p w14:paraId="4CCF98A1"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夜间</w:t>
            </w:r>
          </w:p>
          <w:p w14:paraId="531F261D"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dB(A)</w:t>
            </w:r>
          </w:p>
        </w:tc>
        <w:tc>
          <w:tcPr>
            <w:tcW w:w="634" w:type="pct"/>
            <w:vAlign w:val="center"/>
          </w:tcPr>
          <w:p w14:paraId="6D0612BB"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达标</w:t>
            </w:r>
          </w:p>
          <w:p w14:paraId="1D0974DD"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情况</w:t>
            </w:r>
          </w:p>
        </w:tc>
      </w:tr>
      <w:tr w:rsidR="008A2411" w:rsidRPr="008A2411" w14:paraId="42CFE0F3" w14:textId="77777777">
        <w:trPr>
          <w:trHeight w:val="18"/>
          <w:jc w:val="center"/>
        </w:trPr>
        <w:tc>
          <w:tcPr>
            <w:tcW w:w="615" w:type="pct"/>
            <w:vMerge w:val="restart"/>
            <w:vAlign w:val="center"/>
          </w:tcPr>
          <w:p w14:paraId="1EC1DF07"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N1</w:t>
            </w:r>
          </w:p>
        </w:tc>
        <w:tc>
          <w:tcPr>
            <w:tcW w:w="1772" w:type="pct"/>
            <w:vMerge w:val="restart"/>
            <w:vAlign w:val="center"/>
          </w:tcPr>
          <w:p w14:paraId="0E95C45F"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项目拟建地北侧厂界外</w:t>
            </w:r>
            <w:r w:rsidRPr="008A2411">
              <w:rPr>
                <w:rFonts w:ascii="Times New Roman"/>
                <w:color w:val="000000" w:themeColor="text1"/>
                <w:kern w:val="2"/>
                <w:sz w:val="21"/>
              </w:rPr>
              <w:t>1m</w:t>
            </w:r>
            <w:r w:rsidRPr="008A2411">
              <w:rPr>
                <w:rFonts w:ascii="Times New Roman"/>
                <w:color w:val="000000" w:themeColor="text1"/>
                <w:kern w:val="2"/>
                <w:sz w:val="21"/>
              </w:rPr>
              <w:t>处</w:t>
            </w:r>
          </w:p>
        </w:tc>
        <w:tc>
          <w:tcPr>
            <w:tcW w:w="1091" w:type="dxa"/>
            <w:vAlign w:val="center"/>
          </w:tcPr>
          <w:p w14:paraId="229B262A"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2022-04-06</w:t>
            </w:r>
          </w:p>
        </w:tc>
        <w:tc>
          <w:tcPr>
            <w:tcW w:w="659" w:type="pct"/>
            <w:vAlign w:val="center"/>
          </w:tcPr>
          <w:p w14:paraId="3513CED5"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48</w:t>
            </w:r>
          </w:p>
        </w:tc>
        <w:tc>
          <w:tcPr>
            <w:tcW w:w="660" w:type="pct"/>
            <w:vAlign w:val="center"/>
          </w:tcPr>
          <w:p w14:paraId="53F29659"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38</w:t>
            </w:r>
          </w:p>
        </w:tc>
        <w:tc>
          <w:tcPr>
            <w:tcW w:w="634" w:type="pct"/>
            <w:vMerge w:val="restart"/>
            <w:vAlign w:val="center"/>
          </w:tcPr>
          <w:p w14:paraId="1C7EAD6D"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达标</w:t>
            </w:r>
          </w:p>
        </w:tc>
      </w:tr>
      <w:tr w:rsidR="008A2411" w:rsidRPr="008A2411" w14:paraId="2A567F9F" w14:textId="77777777">
        <w:trPr>
          <w:trHeight w:val="18"/>
          <w:jc w:val="center"/>
        </w:trPr>
        <w:tc>
          <w:tcPr>
            <w:tcW w:w="615" w:type="pct"/>
            <w:vMerge/>
            <w:vAlign w:val="center"/>
          </w:tcPr>
          <w:p w14:paraId="3BF5A684" w14:textId="77777777" w:rsidR="00B0005F" w:rsidRPr="008A2411" w:rsidRDefault="00B0005F">
            <w:pPr>
              <w:jc w:val="center"/>
              <w:rPr>
                <w:rFonts w:ascii="Times New Roman"/>
                <w:color w:val="000000" w:themeColor="text1"/>
                <w:kern w:val="2"/>
                <w:sz w:val="21"/>
              </w:rPr>
            </w:pPr>
          </w:p>
        </w:tc>
        <w:tc>
          <w:tcPr>
            <w:tcW w:w="1772" w:type="pct"/>
            <w:vMerge/>
            <w:vAlign w:val="center"/>
          </w:tcPr>
          <w:p w14:paraId="5A01E06E" w14:textId="77777777" w:rsidR="00B0005F" w:rsidRPr="008A2411" w:rsidRDefault="00B0005F">
            <w:pPr>
              <w:jc w:val="center"/>
              <w:rPr>
                <w:rFonts w:ascii="Times New Roman"/>
                <w:color w:val="000000" w:themeColor="text1"/>
                <w:kern w:val="2"/>
                <w:sz w:val="21"/>
              </w:rPr>
            </w:pPr>
          </w:p>
        </w:tc>
        <w:tc>
          <w:tcPr>
            <w:tcW w:w="1091" w:type="dxa"/>
            <w:vAlign w:val="center"/>
          </w:tcPr>
          <w:p w14:paraId="150BCAEF"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2022-04-07</w:t>
            </w:r>
          </w:p>
        </w:tc>
        <w:tc>
          <w:tcPr>
            <w:tcW w:w="659" w:type="pct"/>
            <w:vAlign w:val="center"/>
          </w:tcPr>
          <w:p w14:paraId="0074E6AE"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45</w:t>
            </w:r>
          </w:p>
        </w:tc>
        <w:tc>
          <w:tcPr>
            <w:tcW w:w="660" w:type="pct"/>
            <w:vAlign w:val="center"/>
          </w:tcPr>
          <w:p w14:paraId="1FC24900"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36</w:t>
            </w:r>
          </w:p>
        </w:tc>
        <w:tc>
          <w:tcPr>
            <w:tcW w:w="634" w:type="pct"/>
            <w:vMerge/>
            <w:vAlign w:val="center"/>
          </w:tcPr>
          <w:p w14:paraId="7B7749C8" w14:textId="77777777" w:rsidR="00B0005F" w:rsidRPr="008A2411" w:rsidRDefault="00B0005F">
            <w:pPr>
              <w:jc w:val="center"/>
              <w:rPr>
                <w:rFonts w:ascii="Times New Roman"/>
                <w:color w:val="000000" w:themeColor="text1"/>
                <w:kern w:val="2"/>
                <w:sz w:val="21"/>
              </w:rPr>
            </w:pPr>
          </w:p>
        </w:tc>
      </w:tr>
      <w:tr w:rsidR="008A2411" w:rsidRPr="008A2411" w14:paraId="66FBB828" w14:textId="77777777">
        <w:trPr>
          <w:trHeight w:val="18"/>
          <w:jc w:val="center"/>
        </w:trPr>
        <w:tc>
          <w:tcPr>
            <w:tcW w:w="615" w:type="pct"/>
            <w:vMerge w:val="restart"/>
            <w:vAlign w:val="center"/>
          </w:tcPr>
          <w:p w14:paraId="536ABFAB"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N2</w:t>
            </w:r>
          </w:p>
        </w:tc>
        <w:tc>
          <w:tcPr>
            <w:tcW w:w="1772" w:type="pct"/>
            <w:vMerge w:val="restart"/>
            <w:vAlign w:val="center"/>
          </w:tcPr>
          <w:p w14:paraId="4147D2D8"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项目拟建地西侧厂界外</w:t>
            </w:r>
            <w:r w:rsidRPr="008A2411">
              <w:rPr>
                <w:rFonts w:ascii="Times New Roman"/>
                <w:color w:val="000000" w:themeColor="text1"/>
                <w:kern w:val="2"/>
                <w:sz w:val="21"/>
              </w:rPr>
              <w:t>1m</w:t>
            </w:r>
            <w:r w:rsidRPr="008A2411">
              <w:rPr>
                <w:rFonts w:ascii="Times New Roman"/>
                <w:color w:val="000000" w:themeColor="text1"/>
                <w:kern w:val="2"/>
                <w:sz w:val="21"/>
              </w:rPr>
              <w:t>处</w:t>
            </w:r>
          </w:p>
        </w:tc>
        <w:tc>
          <w:tcPr>
            <w:tcW w:w="1091" w:type="dxa"/>
            <w:vAlign w:val="center"/>
          </w:tcPr>
          <w:p w14:paraId="7B708C7F"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2022-04-06</w:t>
            </w:r>
          </w:p>
        </w:tc>
        <w:tc>
          <w:tcPr>
            <w:tcW w:w="659" w:type="pct"/>
            <w:vAlign w:val="center"/>
          </w:tcPr>
          <w:p w14:paraId="27CAD0C9"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50</w:t>
            </w:r>
          </w:p>
        </w:tc>
        <w:tc>
          <w:tcPr>
            <w:tcW w:w="660" w:type="pct"/>
            <w:vAlign w:val="center"/>
          </w:tcPr>
          <w:p w14:paraId="2AB8712F"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46</w:t>
            </w:r>
          </w:p>
        </w:tc>
        <w:tc>
          <w:tcPr>
            <w:tcW w:w="634" w:type="pct"/>
            <w:vMerge w:val="restart"/>
            <w:vAlign w:val="center"/>
          </w:tcPr>
          <w:p w14:paraId="00DADA77"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达标</w:t>
            </w:r>
          </w:p>
        </w:tc>
      </w:tr>
      <w:tr w:rsidR="008A2411" w:rsidRPr="008A2411" w14:paraId="7C4A3255" w14:textId="77777777">
        <w:trPr>
          <w:trHeight w:val="18"/>
          <w:jc w:val="center"/>
        </w:trPr>
        <w:tc>
          <w:tcPr>
            <w:tcW w:w="615" w:type="pct"/>
            <w:vMerge/>
            <w:vAlign w:val="center"/>
          </w:tcPr>
          <w:p w14:paraId="61D4C7D2" w14:textId="77777777" w:rsidR="00B0005F" w:rsidRPr="008A2411" w:rsidRDefault="00B0005F">
            <w:pPr>
              <w:jc w:val="center"/>
              <w:rPr>
                <w:rFonts w:ascii="Times New Roman"/>
                <w:color w:val="000000" w:themeColor="text1"/>
                <w:kern w:val="2"/>
                <w:sz w:val="21"/>
              </w:rPr>
            </w:pPr>
          </w:p>
        </w:tc>
        <w:tc>
          <w:tcPr>
            <w:tcW w:w="1772" w:type="pct"/>
            <w:vMerge/>
            <w:vAlign w:val="center"/>
          </w:tcPr>
          <w:p w14:paraId="3B02C12B" w14:textId="77777777" w:rsidR="00B0005F" w:rsidRPr="008A2411" w:rsidRDefault="00B0005F">
            <w:pPr>
              <w:jc w:val="center"/>
              <w:rPr>
                <w:rFonts w:ascii="Times New Roman"/>
                <w:color w:val="000000" w:themeColor="text1"/>
                <w:kern w:val="2"/>
                <w:sz w:val="21"/>
              </w:rPr>
            </w:pPr>
          </w:p>
        </w:tc>
        <w:tc>
          <w:tcPr>
            <w:tcW w:w="1091" w:type="dxa"/>
            <w:vAlign w:val="center"/>
          </w:tcPr>
          <w:p w14:paraId="73B96E74"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2022-04-07</w:t>
            </w:r>
          </w:p>
        </w:tc>
        <w:tc>
          <w:tcPr>
            <w:tcW w:w="659" w:type="pct"/>
            <w:vAlign w:val="center"/>
          </w:tcPr>
          <w:p w14:paraId="2BCF3E32"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46</w:t>
            </w:r>
          </w:p>
        </w:tc>
        <w:tc>
          <w:tcPr>
            <w:tcW w:w="660" w:type="pct"/>
            <w:vAlign w:val="center"/>
          </w:tcPr>
          <w:p w14:paraId="4891C6ED"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37</w:t>
            </w:r>
          </w:p>
        </w:tc>
        <w:tc>
          <w:tcPr>
            <w:tcW w:w="634" w:type="pct"/>
            <w:vMerge/>
            <w:vAlign w:val="center"/>
          </w:tcPr>
          <w:p w14:paraId="1B8945DF" w14:textId="77777777" w:rsidR="00B0005F" w:rsidRPr="008A2411" w:rsidRDefault="00B0005F">
            <w:pPr>
              <w:jc w:val="center"/>
              <w:rPr>
                <w:rFonts w:ascii="Times New Roman"/>
                <w:color w:val="000000" w:themeColor="text1"/>
                <w:kern w:val="2"/>
                <w:sz w:val="21"/>
              </w:rPr>
            </w:pPr>
          </w:p>
        </w:tc>
      </w:tr>
      <w:tr w:rsidR="008A2411" w:rsidRPr="008A2411" w14:paraId="5F19F124" w14:textId="77777777">
        <w:trPr>
          <w:trHeight w:val="18"/>
          <w:jc w:val="center"/>
        </w:trPr>
        <w:tc>
          <w:tcPr>
            <w:tcW w:w="615" w:type="pct"/>
            <w:vMerge w:val="restart"/>
            <w:vAlign w:val="center"/>
          </w:tcPr>
          <w:p w14:paraId="4579DB2B"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N3</w:t>
            </w:r>
          </w:p>
        </w:tc>
        <w:tc>
          <w:tcPr>
            <w:tcW w:w="1772" w:type="pct"/>
            <w:vMerge w:val="restart"/>
            <w:vAlign w:val="center"/>
          </w:tcPr>
          <w:p w14:paraId="6ED9D6DC"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项目拟建地南侧厂界外</w:t>
            </w:r>
            <w:r w:rsidRPr="008A2411">
              <w:rPr>
                <w:rFonts w:ascii="Times New Roman"/>
                <w:color w:val="000000" w:themeColor="text1"/>
                <w:kern w:val="2"/>
                <w:sz w:val="21"/>
              </w:rPr>
              <w:t>1m</w:t>
            </w:r>
            <w:r w:rsidRPr="008A2411">
              <w:rPr>
                <w:rFonts w:ascii="Times New Roman"/>
                <w:color w:val="000000" w:themeColor="text1"/>
                <w:kern w:val="2"/>
                <w:sz w:val="21"/>
              </w:rPr>
              <w:t>处</w:t>
            </w:r>
          </w:p>
        </w:tc>
        <w:tc>
          <w:tcPr>
            <w:tcW w:w="1091" w:type="dxa"/>
            <w:vAlign w:val="center"/>
          </w:tcPr>
          <w:p w14:paraId="3614B8BF"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2022-04-06</w:t>
            </w:r>
          </w:p>
        </w:tc>
        <w:tc>
          <w:tcPr>
            <w:tcW w:w="659" w:type="pct"/>
            <w:vAlign w:val="center"/>
          </w:tcPr>
          <w:p w14:paraId="540056EB"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51</w:t>
            </w:r>
          </w:p>
        </w:tc>
        <w:tc>
          <w:tcPr>
            <w:tcW w:w="660" w:type="pct"/>
            <w:vAlign w:val="center"/>
          </w:tcPr>
          <w:p w14:paraId="2C1365EA"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31</w:t>
            </w:r>
          </w:p>
        </w:tc>
        <w:tc>
          <w:tcPr>
            <w:tcW w:w="634" w:type="pct"/>
            <w:vMerge w:val="restart"/>
            <w:vAlign w:val="center"/>
          </w:tcPr>
          <w:p w14:paraId="7F39951A"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达标</w:t>
            </w:r>
          </w:p>
        </w:tc>
      </w:tr>
      <w:tr w:rsidR="008A2411" w:rsidRPr="008A2411" w14:paraId="6A29051D" w14:textId="77777777">
        <w:trPr>
          <w:trHeight w:val="18"/>
          <w:jc w:val="center"/>
        </w:trPr>
        <w:tc>
          <w:tcPr>
            <w:tcW w:w="615" w:type="pct"/>
            <w:vMerge/>
            <w:vAlign w:val="center"/>
          </w:tcPr>
          <w:p w14:paraId="0144E519" w14:textId="77777777" w:rsidR="00B0005F" w:rsidRPr="008A2411" w:rsidRDefault="00B0005F">
            <w:pPr>
              <w:jc w:val="center"/>
              <w:rPr>
                <w:rFonts w:ascii="Times New Roman"/>
                <w:color w:val="000000" w:themeColor="text1"/>
                <w:kern w:val="2"/>
                <w:sz w:val="21"/>
              </w:rPr>
            </w:pPr>
          </w:p>
        </w:tc>
        <w:tc>
          <w:tcPr>
            <w:tcW w:w="1772" w:type="pct"/>
            <w:vMerge/>
            <w:vAlign w:val="center"/>
          </w:tcPr>
          <w:p w14:paraId="4B159C97" w14:textId="77777777" w:rsidR="00B0005F" w:rsidRPr="008A2411" w:rsidRDefault="00B0005F">
            <w:pPr>
              <w:jc w:val="center"/>
              <w:rPr>
                <w:rFonts w:ascii="Times New Roman"/>
                <w:color w:val="000000" w:themeColor="text1"/>
                <w:kern w:val="2"/>
                <w:sz w:val="21"/>
              </w:rPr>
            </w:pPr>
          </w:p>
        </w:tc>
        <w:tc>
          <w:tcPr>
            <w:tcW w:w="1091" w:type="dxa"/>
            <w:vAlign w:val="center"/>
          </w:tcPr>
          <w:p w14:paraId="172522A7"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2022-04-07</w:t>
            </w:r>
          </w:p>
        </w:tc>
        <w:tc>
          <w:tcPr>
            <w:tcW w:w="659" w:type="pct"/>
            <w:vAlign w:val="center"/>
          </w:tcPr>
          <w:p w14:paraId="06AF1ECA"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47</w:t>
            </w:r>
          </w:p>
        </w:tc>
        <w:tc>
          <w:tcPr>
            <w:tcW w:w="660" w:type="pct"/>
            <w:vAlign w:val="center"/>
          </w:tcPr>
          <w:p w14:paraId="073CCEC1"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38</w:t>
            </w:r>
          </w:p>
        </w:tc>
        <w:tc>
          <w:tcPr>
            <w:tcW w:w="634" w:type="pct"/>
            <w:vMerge/>
            <w:vAlign w:val="center"/>
          </w:tcPr>
          <w:p w14:paraId="42D46B66" w14:textId="77777777" w:rsidR="00B0005F" w:rsidRPr="008A2411" w:rsidRDefault="00B0005F">
            <w:pPr>
              <w:jc w:val="center"/>
              <w:rPr>
                <w:rFonts w:ascii="Times New Roman"/>
                <w:color w:val="000000" w:themeColor="text1"/>
                <w:kern w:val="2"/>
                <w:sz w:val="21"/>
              </w:rPr>
            </w:pPr>
          </w:p>
        </w:tc>
      </w:tr>
      <w:tr w:rsidR="008A2411" w:rsidRPr="008A2411" w14:paraId="72050BE2" w14:textId="77777777">
        <w:trPr>
          <w:trHeight w:val="18"/>
          <w:jc w:val="center"/>
        </w:trPr>
        <w:tc>
          <w:tcPr>
            <w:tcW w:w="615" w:type="pct"/>
            <w:vMerge w:val="restart"/>
            <w:vAlign w:val="center"/>
          </w:tcPr>
          <w:p w14:paraId="42B61A4D"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N4</w:t>
            </w:r>
          </w:p>
        </w:tc>
        <w:tc>
          <w:tcPr>
            <w:tcW w:w="1772" w:type="pct"/>
            <w:vMerge w:val="restart"/>
            <w:vAlign w:val="center"/>
          </w:tcPr>
          <w:p w14:paraId="5F1BE3F9"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项目拟建地东侧厂界外</w:t>
            </w:r>
            <w:r w:rsidRPr="008A2411">
              <w:rPr>
                <w:rFonts w:ascii="Times New Roman"/>
                <w:color w:val="000000" w:themeColor="text1"/>
                <w:kern w:val="2"/>
                <w:sz w:val="21"/>
              </w:rPr>
              <w:t>1m</w:t>
            </w:r>
            <w:r w:rsidRPr="008A2411">
              <w:rPr>
                <w:rFonts w:ascii="Times New Roman"/>
                <w:color w:val="000000" w:themeColor="text1"/>
                <w:kern w:val="2"/>
                <w:sz w:val="21"/>
              </w:rPr>
              <w:t>处</w:t>
            </w:r>
          </w:p>
        </w:tc>
        <w:tc>
          <w:tcPr>
            <w:tcW w:w="1091" w:type="dxa"/>
            <w:vAlign w:val="center"/>
          </w:tcPr>
          <w:p w14:paraId="4C05A5CB"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2022-04-06</w:t>
            </w:r>
          </w:p>
        </w:tc>
        <w:tc>
          <w:tcPr>
            <w:tcW w:w="659" w:type="pct"/>
            <w:vAlign w:val="center"/>
          </w:tcPr>
          <w:p w14:paraId="0FB62A86"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52</w:t>
            </w:r>
          </w:p>
        </w:tc>
        <w:tc>
          <w:tcPr>
            <w:tcW w:w="660" w:type="pct"/>
            <w:vAlign w:val="center"/>
          </w:tcPr>
          <w:p w14:paraId="5A8A1EFC"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46</w:t>
            </w:r>
          </w:p>
        </w:tc>
        <w:tc>
          <w:tcPr>
            <w:tcW w:w="634" w:type="pct"/>
            <w:vMerge w:val="restart"/>
            <w:vAlign w:val="center"/>
          </w:tcPr>
          <w:p w14:paraId="7FD38E3F"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达标</w:t>
            </w:r>
          </w:p>
        </w:tc>
      </w:tr>
      <w:tr w:rsidR="008A2411" w:rsidRPr="008A2411" w14:paraId="03701970" w14:textId="77777777">
        <w:trPr>
          <w:trHeight w:val="18"/>
          <w:jc w:val="center"/>
        </w:trPr>
        <w:tc>
          <w:tcPr>
            <w:tcW w:w="615" w:type="pct"/>
            <w:vMerge/>
            <w:vAlign w:val="center"/>
          </w:tcPr>
          <w:p w14:paraId="46A5C6D3" w14:textId="77777777" w:rsidR="00B0005F" w:rsidRPr="008A2411" w:rsidRDefault="00B0005F">
            <w:pPr>
              <w:jc w:val="center"/>
              <w:rPr>
                <w:rFonts w:ascii="Times New Roman"/>
                <w:color w:val="000000" w:themeColor="text1"/>
                <w:kern w:val="2"/>
                <w:sz w:val="21"/>
              </w:rPr>
            </w:pPr>
          </w:p>
        </w:tc>
        <w:tc>
          <w:tcPr>
            <w:tcW w:w="1772" w:type="pct"/>
            <w:vMerge/>
            <w:vAlign w:val="center"/>
          </w:tcPr>
          <w:p w14:paraId="60C971E1" w14:textId="77777777" w:rsidR="00B0005F" w:rsidRPr="008A2411" w:rsidRDefault="00B0005F">
            <w:pPr>
              <w:jc w:val="center"/>
              <w:rPr>
                <w:rFonts w:ascii="Times New Roman"/>
                <w:color w:val="000000" w:themeColor="text1"/>
                <w:kern w:val="2"/>
                <w:sz w:val="21"/>
              </w:rPr>
            </w:pPr>
          </w:p>
        </w:tc>
        <w:tc>
          <w:tcPr>
            <w:tcW w:w="1091" w:type="dxa"/>
            <w:vAlign w:val="center"/>
          </w:tcPr>
          <w:p w14:paraId="2B22ADCA"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2022-04-07</w:t>
            </w:r>
          </w:p>
        </w:tc>
        <w:tc>
          <w:tcPr>
            <w:tcW w:w="659" w:type="pct"/>
            <w:vAlign w:val="center"/>
          </w:tcPr>
          <w:p w14:paraId="6C71EB2F"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49</w:t>
            </w:r>
          </w:p>
        </w:tc>
        <w:tc>
          <w:tcPr>
            <w:tcW w:w="660" w:type="pct"/>
            <w:vAlign w:val="center"/>
          </w:tcPr>
          <w:p w14:paraId="69584AE1" w14:textId="77777777" w:rsidR="00B0005F" w:rsidRPr="008A2411" w:rsidRDefault="00000000">
            <w:pPr>
              <w:jc w:val="center"/>
              <w:rPr>
                <w:rFonts w:ascii="Times New Roman"/>
                <w:color w:val="000000" w:themeColor="text1"/>
                <w:kern w:val="2"/>
                <w:sz w:val="21"/>
              </w:rPr>
            </w:pPr>
            <w:r w:rsidRPr="008A2411">
              <w:rPr>
                <w:rFonts w:ascii="Times New Roman"/>
                <w:color w:val="000000" w:themeColor="text1"/>
                <w:kern w:val="2"/>
                <w:sz w:val="21"/>
              </w:rPr>
              <w:t>42</w:t>
            </w:r>
          </w:p>
        </w:tc>
        <w:tc>
          <w:tcPr>
            <w:tcW w:w="634" w:type="pct"/>
            <w:vMerge/>
            <w:vAlign w:val="center"/>
          </w:tcPr>
          <w:p w14:paraId="7B3D8DA6" w14:textId="77777777" w:rsidR="00B0005F" w:rsidRPr="008A2411" w:rsidRDefault="00B0005F">
            <w:pPr>
              <w:pStyle w:val="afffffffffffffffffffff1"/>
              <w:rPr>
                <w:rFonts w:ascii="Times New Roman" w:hAnsi="Times New Roman"/>
                <w:color w:val="000000" w:themeColor="text1"/>
              </w:rPr>
            </w:pPr>
          </w:p>
        </w:tc>
      </w:tr>
    </w:tbl>
    <w:p w14:paraId="7E8C822D" w14:textId="77777777" w:rsidR="00B0005F" w:rsidRPr="008A2411" w:rsidRDefault="00000000">
      <w:pPr>
        <w:pStyle w:val="afffffffffffffffffffff0"/>
        <w:ind w:firstLine="480"/>
        <w:rPr>
          <w:color w:val="000000" w:themeColor="text1"/>
        </w:rPr>
      </w:pPr>
      <w:r w:rsidRPr="008A2411">
        <w:rPr>
          <w:color w:val="000000" w:themeColor="text1"/>
        </w:rPr>
        <w:t>从监测结果可知，本</w:t>
      </w:r>
      <w:bookmarkStart w:id="278" w:name="_Hlk100174224"/>
      <w:r w:rsidRPr="008A2411">
        <w:rPr>
          <w:color w:val="000000" w:themeColor="text1"/>
        </w:rPr>
        <w:t>项目所在地声环境质量良好，监测点位处的昼间和夜间声环境质量现状值均满足《声环境质量标准》（</w:t>
      </w:r>
      <w:r w:rsidRPr="008A2411">
        <w:rPr>
          <w:color w:val="000000" w:themeColor="text1"/>
        </w:rPr>
        <w:t>GB3096-2008</w:t>
      </w:r>
      <w:r w:rsidRPr="008A2411">
        <w:rPr>
          <w:color w:val="000000" w:themeColor="text1"/>
        </w:rPr>
        <w:t>）中</w:t>
      </w:r>
      <w:r w:rsidRPr="008A2411">
        <w:rPr>
          <w:color w:val="000000" w:themeColor="text1"/>
        </w:rPr>
        <w:t>3</w:t>
      </w:r>
      <w:r w:rsidRPr="008A2411">
        <w:rPr>
          <w:color w:val="000000" w:themeColor="text1"/>
        </w:rPr>
        <w:t>类环境噪声限值要求。</w:t>
      </w:r>
      <w:bookmarkEnd w:id="278"/>
    </w:p>
    <w:p w14:paraId="72B1CEDD" w14:textId="77777777" w:rsidR="00B0005F" w:rsidRPr="008A2411" w:rsidRDefault="00000000">
      <w:pPr>
        <w:pStyle w:val="2"/>
        <w:keepNext w:val="0"/>
        <w:keepLines w:val="0"/>
        <w:adjustRightInd w:val="0"/>
        <w:snapToGrid w:val="0"/>
        <w:spacing w:before="0" w:after="0" w:line="360" w:lineRule="auto"/>
        <w:rPr>
          <w:rFonts w:ascii="Times New Roman"/>
          <w:color w:val="000000" w:themeColor="text1"/>
          <w:kern w:val="0"/>
          <w:sz w:val="28"/>
          <w:szCs w:val="28"/>
          <w:lang w:bidi="en-US"/>
        </w:rPr>
      </w:pPr>
      <w:bookmarkStart w:id="279" w:name="_Toc95250316"/>
      <w:bookmarkStart w:id="280" w:name="_Toc109170767"/>
      <w:r w:rsidRPr="008A2411">
        <w:rPr>
          <w:rFonts w:ascii="Times New Roman"/>
          <w:color w:val="000000" w:themeColor="text1"/>
          <w:kern w:val="0"/>
          <w:sz w:val="28"/>
          <w:szCs w:val="28"/>
          <w:lang w:bidi="en-US"/>
        </w:rPr>
        <w:t xml:space="preserve">4.5 </w:t>
      </w:r>
      <w:r w:rsidRPr="008A2411">
        <w:rPr>
          <w:rFonts w:ascii="Times New Roman"/>
          <w:color w:val="000000" w:themeColor="text1"/>
          <w:kern w:val="0"/>
          <w:sz w:val="28"/>
          <w:szCs w:val="28"/>
          <w:lang w:bidi="en-US"/>
        </w:rPr>
        <w:t>土壤环境质量现状与评价</w:t>
      </w:r>
      <w:bookmarkEnd w:id="279"/>
      <w:bookmarkEnd w:id="280"/>
    </w:p>
    <w:p w14:paraId="2A59F8AF" w14:textId="77777777" w:rsidR="00B0005F" w:rsidRPr="008A2411" w:rsidRDefault="00000000">
      <w:pPr>
        <w:pStyle w:val="afffffffffffffffffffff0"/>
        <w:ind w:firstLine="482"/>
        <w:rPr>
          <w:b/>
          <w:bCs/>
          <w:color w:val="000000" w:themeColor="text1"/>
        </w:rPr>
      </w:pPr>
      <w:r w:rsidRPr="008A2411">
        <w:rPr>
          <w:b/>
          <w:bCs/>
          <w:color w:val="000000" w:themeColor="text1"/>
        </w:rPr>
        <w:t>1</w:t>
      </w:r>
      <w:r w:rsidRPr="008A2411">
        <w:rPr>
          <w:b/>
          <w:bCs/>
          <w:color w:val="000000" w:themeColor="text1"/>
        </w:rPr>
        <w:t>、土壤类型</w:t>
      </w:r>
    </w:p>
    <w:p w14:paraId="58A629EA" w14:textId="77777777" w:rsidR="00B0005F" w:rsidRPr="008A2411" w:rsidRDefault="00000000">
      <w:pPr>
        <w:pStyle w:val="afffffffffffffffffffff0"/>
        <w:ind w:firstLine="480"/>
        <w:rPr>
          <w:color w:val="000000" w:themeColor="text1"/>
        </w:rPr>
      </w:pPr>
      <w:r w:rsidRPr="008A2411">
        <w:rPr>
          <w:color w:val="000000" w:themeColor="text1"/>
          <w:szCs w:val="24"/>
        </w:rPr>
        <w:t>根据查询国家土壤信息平台（</w:t>
      </w:r>
      <w:r w:rsidRPr="008A2411">
        <w:rPr>
          <w:color w:val="000000" w:themeColor="text1"/>
          <w:szCs w:val="24"/>
        </w:rPr>
        <w:t>http://www.soilinfo.cn/MAP/index.aspx#</w:t>
      </w:r>
      <w:r w:rsidRPr="008A2411">
        <w:rPr>
          <w:color w:val="000000" w:themeColor="text1"/>
          <w:szCs w:val="24"/>
        </w:rPr>
        <w:t>）中《中国</w:t>
      </w:r>
      <w:r w:rsidRPr="008A2411">
        <w:rPr>
          <w:color w:val="000000" w:themeColor="text1"/>
          <w:szCs w:val="24"/>
        </w:rPr>
        <w:t>1:400</w:t>
      </w:r>
      <w:r w:rsidRPr="008A2411">
        <w:rPr>
          <w:color w:val="000000" w:themeColor="text1"/>
          <w:szCs w:val="24"/>
        </w:rPr>
        <w:t>万土壤类型图》及现场调查情况</w:t>
      </w:r>
      <w:r w:rsidRPr="008A2411">
        <w:rPr>
          <w:color w:val="000000" w:themeColor="text1"/>
        </w:rPr>
        <w:t>，本项目所在地土壤类型为棕壤、黄棕壤。</w:t>
      </w:r>
    </w:p>
    <w:p w14:paraId="79A2D5C3" w14:textId="77777777" w:rsidR="00B0005F" w:rsidRPr="008A2411" w:rsidRDefault="00000000">
      <w:pPr>
        <w:pStyle w:val="afffffffffffffffffffff0"/>
        <w:ind w:firstLineChars="0" w:firstLine="0"/>
        <w:rPr>
          <w:color w:val="000000" w:themeColor="text1"/>
        </w:rPr>
      </w:pPr>
      <w:r w:rsidRPr="008A2411">
        <w:rPr>
          <w:noProof/>
          <w:color w:val="000000" w:themeColor="text1"/>
        </w:rPr>
        <w:lastRenderedPageBreak/>
        <w:drawing>
          <wp:inline distT="0" distB="0" distL="114300" distR="114300" wp14:anchorId="2C3A3BF2" wp14:editId="511A875C">
            <wp:extent cx="5264150" cy="2533650"/>
            <wp:effectExtent l="0" t="0" r="8890" b="11430"/>
            <wp:docPr id="52" name="图片 52" descr="165301059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52" descr="1653010591(1)"/>
                    <pic:cNvPicPr>
                      <a:picLocks noChangeAspect="1"/>
                    </pic:cNvPicPr>
                  </pic:nvPicPr>
                  <pic:blipFill>
                    <a:blip r:embed="rId38"/>
                    <a:stretch>
                      <a:fillRect/>
                    </a:stretch>
                  </pic:blipFill>
                  <pic:spPr>
                    <a:xfrm>
                      <a:off x="0" y="0"/>
                      <a:ext cx="5264150" cy="2533650"/>
                    </a:xfrm>
                    <a:prstGeom prst="rect">
                      <a:avLst/>
                    </a:prstGeom>
                  </pic:spPr>
                </pic:pic>
              </a:graphicData>
            </a:graphic>
          </wp:inline>
        </w:drawing>
      </w:r>
    </w:p>
    <w:p w14:paraId="76EF9F49" w14:textId="77777777" w:rsidR="00B0005F" w:rsidRPr="008A2411" w:rsidRDefault="00000000">
      <w:pPr>
        <w:pStyle w:val="afffffffffffffffffffff0"/>
        <w:ind w:firstLineChars="0" w:firstLine="0"/>
        <w:jc w:val="center"/>
        <w:rPr>
          <w:color w:val="000000" w:themeColor="text1"/>
        </w:rPr>
      </w:pPr>
      <w:r w:rsidRPr="008A2411">
        <w:rPr>
          <w:rFonts w:eastAsia="黑体"/>
          <w:color w:val="000000" w:themeColor="text1"/>
          <w:szCs w:val="21"/>
        </w:rPr>
        <w:t xml:space="preserve">4.5-1  </w:t>
      </w:r>
      <w:r w:rsidRPr="008A2411">
        <w:rPr>
          <w:rFonts w:eastAsia="黑体"/>
          <w:color w:val="000000" w:themeColor="text1"/>
          <w:szCs w:val="21"/>
        </w:rPr>
        <w:t>项目所在区域土壤类型图</w:t>
      </w:r>
    </w:p>
    <w:p w14:paraId="61BEA0B0" w14:textId="77777777" w:rsidR="00B0005F" w:rsidRPr="008A2411" w:rsidRDefault="00000000">
      <w:pPr>
        <w:pStyle w:val="afffffffffffffffffffff0"/>
        <w:ind w:firstLine="482"/>
        <w:rPr>
          <w:b/>
          <w:bCs/>
          <w:color w:val="000000" w:themeColor="text1"/>
        </w:rPr>
      </w:pPr>
      <w:r w:rsidRPr="008A2411">
        <w:rPr>
          <w:b/>
          <w:bCs/>
          <w:color w:val="000000" w:themeColor="text1"/>
        </w:rPr>
        <w:t>2</w:t>
      </w:r>
      <w:r w:rsidRPr="008A2411">
        <w:rPr>
          <w:b/>
          <w:bCs/>
          <w:color w:val="000000" w:themeColor="text1"/>
        </w:rPr>
        <w:t>、土壤环境质量现状监测</w:t>
      </w:r>
    </w:p>
    <w:p w14:paraId="692772CD" w14:textId="77777777" w:rsidR="00B0005F" w:rsidRPr="008A2411" w:rsidRDefault="00000000">
      <w:pPr>
        <w:pStyle w:val="afffffffffffffffffffff0"/>
        <w:ind w:firstLine="480"/>
        <w:rPr>
          <w:color w:val="000000" w:themeColor="text1"/>
        </w:rPr>
      </w:pPr>
      <w:r w:rsidRPr="008A2411">
        <w:rPr>
          <w:color w:val="000000" w:themeColor="text1"/>
        </w:rPr>
        <w:t>为了解项目所在地土壤环境质量现状，达州恒福环境监测服务有限公司于</w:t>
      </w:r>
      <w:r w:rsidRPr="008A2411">
        <w:rPr>
          <w:color w:val="000000" w:themeColor="text1"/>
        </w:rPr>
        <w:t>2022</w:t>
      </w:r>
      <w:r w:rsidRPr="008A2411">
        <w:rPr>
          <w:color w:val="000000" w:themeColor="text1"/>
        </w:rPr>
        <w:t>年</w:t>
      </w:r>
      <w:r w:rsidRPr="008A2411">
        <w:rPr>
          <w:color w:val="000000" w:themeColor="text1"/>
        </w:rPr>
        <w:t>4</w:t>
      </w:r>
      <w:r w:rsidRPr="008A2411">
        <w:rPr>
          <w:color w:val="000000" w:themeColor="text1"/>
        </w:rPr>
        <w:t>月</w:t>
      </w:r>
      <w:r w:rsidRPr="008A2411">
        <w:rPr>
          <w:color w:val="000000" w:themeColor="text1"/>
        </w:rPr>
        <w:t>6</w:t>
      </w:r>
      <w:r w:rsidRPr="008A2411">
        <w:rPr>
          <w:color w:val="000000" w:themeColor="text1"/>
        </w:rPr>
        <w:t>日对项目所在地土壤环境质量进行了现状监测。</w:t>
      </w:r>
    </w:p>
    <w:p w14:paraId="296C0DC6" w14:textId="77777777" w:rsidR="00B0005F" w:rsidRPr="008A2411" w:rsidRDefault="00000000">
      <w:pPr>
        <w:pStyle w:val="TOC1"/>
        <w:jc w:val="center"/>
        <w:rPr>
          <w:rFonts w:ascii="Times New Roman" w:eastAsia="黑体" w:hAnsi="Times New Roman" w:cs="Times New Roman"/>
          <w:b w:val="0"/>
          <w:bCs w:val="0"/>
          <w:caps w:val="0"/>
          <w:color w:val="000000" w:themeColor="text1"/>
          <w:sz w:val="24"/>
          <w:szCs w:val="21"/>
        </w:rPr>
      </w:pPr>
      <w:r w:rsidRPr="008A2411">
        <w:rPr>
          <w:rFonts w:ascii="Times New Roman" w:eastAsia="黑体" w:hAnsi="Times New Roman" w:cs="Times New Roman"/>
          <w:b w:val="0"/>
          <w:bCs w:val="0"/>
          <w:caps w:val="0"/>
          <w:color w:val="000000" w:themeColor="text1"/>
          <w:sz w:val="24"/>
          <w:szCs w:val="21"/>
        </w:rPr>
        <w:t>表</w:t>
      </w:r>
      <w:r w:rsidRPr="008A2411">
        <w:rPr>
          <w:rFonts w:ascii="Times New Roman" w:eastAsia="黑体" w:hAnsi="Times New Roman" w:cs="Times New Roman"/>
          <w:b w:val="0"/>
          <w:bCs w:val="0"/>
          <w:caps w:val="0"/>
          <w:color w:val="000000" w:themeColor="text1"/>
          <w:sz w:val="24"/>
          <w:szCs w:val="21"/>
        </w:rPr>
        <w:t xml:space="preserve">4.5-2  </w:t>
      </w:r>
      <w:r w:rsidRPr="008A2411">
        <w:rPr>
          <w:rFonts w:ascii="Times New Roman" w:eastAsia="黑体" w:hAnsi="Times New Roman" w:cs="Times New Roman"/>
          <w:b w:val="0"/>
          <w:bCs w:val="0"/>
          <w:caps w:val="0"/>
          <w:color w:val="000000" w:themeColor="text1"/>
          <w:sz w:val="24"/>
          <w:szCs w:val="21"/>
        </w:rPr>
        <w:t>项目土壤监测布点一览表</w:t>
      </w:r>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706"/>
        <w:gridCol w:w="1214"/>
        <w:gridCol w:w="901"/>
        <w:gridCol w:w="941"/>
        <w:gridCol w:w="1660"/>
        <w:gridCol w:w="2935"/>
      </w:tblGrid>
      <w:tr w:rsidR="008A2411" w:rsidRPr="008A2411" w14:paraId="5BECF30D" w14:textId="77777777">
        <w:trPr>
          <w:trHeight w:val="510"/>
          <w:tblHeader/>
        </w:trPr>
        <w:tc>
          <w:tcPr>
            <w:tcW w:w="422" w:type="pct"/>
            <w:vAlign w:val="center"/>
          </w:tcPr>
          <w:p w14:paraId="31591C9A" w14:textId="77777777" w:rsidR="00B0005F" w:rsidRPr="008A2411" w:rsidRDefault="00000000">
            <w:pPr>
              <w:pStyle w:val="rpt"/>
              <w:snapToGrid w:val="0"/>
              <w:spacing w:before="120" w:after="120"/>
              <w:rPr>
                <w:rFonts w:ascii="Times New Roman"/>
                <w:color w:val="000000" w:themeColor="text1"/>
                <w:sz w:val="21"/>
                <w:szCs w:val="21"/>
              </w:rPr>
            </w:pPr>
            <w:r w:rsidRPr="008A2411">
              <w:rPr>
                <w:rFonts w:ascii="Times New Roman"/>
                <w:color w:val="000000" w:themeColor="text1"/>
                <w:sz w:val="21"/>
                <w:szCs w:val="21"/>
              </w:rPr>
              <w:t>编号</w:t>
            </w:r>
          </w:p>
        </w:tc>
        <w:tc>
          <w:tcPr>
            <w:tcW w:w="726" w:type="pct"/>
            <w:vAlign w:val="center"/>
          </w:tcPr>
          <w:p w14:paraId="42AB1836" w14:textId="77777777" w:rsidR="00B0005F" w:rsidRPr="008A2411" w:rsidRDefault="00000000">
            <w:pPr>
              <w:pStyle w:val="rpt"/>
              <w:snapToGrid w:val="0"/>
              <w:spacing w:before="120" w:after="120"/>
              <w:rPr>
                <w:rFonts w:ascii="Times New Roman"/>
                <w:color w:val="000000" w:themeColor="text1"/>
                <w:sz w:val="21"/>
                <w:szCs w:val="21"/>
              </w:rPr>
            </w:pPr>
            <w:r w:rsidRPr="008A2411">
              <w:rPr>
                <w:rFonts w:ascii="Times New Roman"/>
                <w:color w:val="000000" w:themeColor="text1"/>
                <w:sz w:val="21"/>
                <w:szCs w:val="21"/>
              </w:rPr>
              <w:t>点位</w:t>
            </w:r>
          </w:p>
        </w:tc>
        <w:tc>
          <w:tcPr>
            <w:tcW w:w="539" w:type="pct"/>
            <w:vAlign w:val="center"/>
          </w:tcPr>
          <w:p w14:paraId="38CCA868" w14:textId="77777777" w:rsidR="00B0005F" w:rsidRPr="008A2411" w:rsidRDefault="00000000">
            <w:pPr>
              <w:pStyle w:val="rpt"/>
              <w:snapToGrid w:val="0"/>
              <w:spacing w:before="120" w:after="120"/>
              <w:ind w:left="315" w:hanging="315"/>
              <w:rPr>
                <w:rFonts w:ascii="Times New Roman"/>
                <w:color w:val="000000" w:themeColor="text1"/>
                <w:sz w:val="21"/>
                <w:szCs w:val="21"/>
              </w:rPr>
            </w:pPr>
            <w:r w:rsidRPr="008A2411">
              <w:rPr>
                <w:rFonts w:ascii="Times New Roman"/>
                <w:color w:val="000000" w:themeColor="text1"/>
                <w:sz w:val="21"/>
                <w:szCs w:val="21"/>
              </w:rPr>
              <w:t>经度</w:t>
            </w:r>
          </w:p>
        </w:tc>
        <w:tc>
          <w:tcPr>
            <w:tcW w:w="563" w:type="pct"/>
            <w:vAlign w:val="center"/>
          </w:tcPr>
          <w:p w14:paraId="1E6580FD"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纬度</w:t>
            </w:r>
          </w:p>
        </w:tc>
        <w:tc>
          <w:tcPr>
            <w:tcW w:w="993" w:type="pct"/>
            <w:vAlign w:val="center"/>
          </w:tcPr>
          <w:p w14:paraId="37123045" w14:textId="77777777" w:rsidR="00B0005F" w:rsidRPr="008A2411" w:rsidRDefault="00000000">
            <w:pPr>
              <w:pStyle w:val="rpt"/>
              <w:snapToGrid w:val="0"/>
              <w:spacing w:before="120" w:after="120"/>
              <w:ind w:left="315" w:hanging="315"/>
              <w:rPr>
                <w:rFonts w:ascii="Times New Roman"/>
                <w:color w:val="000000" w:themeColor="text1"/>
                <w:sz w:val="21"/>
                <w:szCs w:val="21"/>
              </w:rPr>
            </w:pPr>
            <w:r w:rsidRPr="008A2411">
              <w:rPr>
                <w:rFonts w:ascii="Times New Roman"/>
                <w:color w:val="000000" w:themeColor="text1"/>
                <w:sz w:val="21"/>
                <w:szCs w:val="21"/>
              </w:rPr>
              <w:t>检测频次</w:t>
            </w:r>
          </w:p>
        </w:tc>
        <w:tc>
          <w:tcPr>
            <w:tcW w:w="1756" w:type="pct"/>
            <w:vAlign w:val="center"/>
          </w:tcPr>
          <w:p w14:paraId="4FD2900C" w14:textId="77777777" w:rsidR="00B0005F" w:rsidRPr="008A2411" w:rsidRDefault="00000000">
            <w:pPr>
              <w:pStyle w:val="rpt"/>
              <w:snapToGrid w:val="0"/>
              <w:spacing w:before="120" w:after="120"/>
              <w:ind w:left="315" w:hanging="315"/>
              <w:rPr>
                <w:rFonts w:ascii="Times New Roman"/>
                <w:color w:val="000000" w:themeColor="text1"/>
                <w:sz w:val="21"/>
                <w:szCs w:val="21"/>
              </w:rPr>
            </w:pPr>
            <w:r w:rsidRPr="008A2411">
              <w:rPr>
                <w:rFonts w:ascii="Times New Roman"/>
                <w:color w:val="000000" w:themeColor="text1"/>
                <w:sz w:val="21"/>
                <w:szCs w:val="21"/>
              </w:rPr>
              <w:t>监测指标</w:t>
            </w:r>
          </w:p>
        </w:tc>
      </w:tr>
      <w:tr w:rsidR="008A2411" w:rsidRPr="008A2411" w14:paraId="7349EEFD" w14:textId="77777777">
        <w:trPr>
          <w:cantSplit/>
          <w:trHeight w:val="624"/>
        </w:trPr>
        <w:tc>
          <w:tcPr>
            <w:tcW w:w="422" w:type="pct"/>
            <w:vAlign w:val="center"/>
          </w:tcPr>
          <w:p w14:paraId="2C3519A2"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T1</w:t>
            </w:r>
          </w:p>
        </w:tc>
        <w:tc>
          <w:tcPr>
            <w:tcW w:w="726" w:type="pct"/>
            <w:vAlign w:val="center"/>
          </w:tcPr>
          <w:p w14:paraId="0C25228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工艺装置区</w:t>
            </w:r>
          </w:p>
        </w:tc>
        <w:tc>
          <w:tcPr>
            <w:tcW w:w="539" w:type="pct"/>
            <w:vAlign w:val="center"/>
          </w:tcPr>
          <w:p w14:paraId="07A9BA15"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107.6914</w:t>
            </w:r>
          </w:p>
        </w:tc>
        <w:tc>
          <w:tcPr>
            <w:tcW w:w="563" w:type="pct"/>
            <w:vAlign w:val="center"/>
          </w:tcPr>
          <w:p w14:paraId="15547DD7"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31.5180</w:t>
            </w:r>
          </w:p>
        </w:tc>
        <w:tc>
          <w:tcPr>
            <w:tcW w:w="993" w:type="pct"/>
            <w:vMerge w:val="restart"/>
            <w:vAlign w:val="center"/>
          </w:tcPr>
          <w:p w14:paraId="656C5C2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取柱状样：</w:t>
            </w:r>
            <w:r w:rsidRPr="008A2411">
              <w:rPr>
                <w:rFonts w:ascii="Times New Roman"/>
                <w:color w:val="000000" w:themeColor="text1"/>
                <w:sz w:val="21"/>
                <w:szCs w:val="21"/>
              </w:rPr>
              <w:t>0~0.5m</w:t>
            </w:r>
            <w:r w:rsidRPr="008A2411">
              <w:rPr>
                <w:rFonts w:ascii="Times New Roman"/>
                <w:color w:val="000000" w:themeColor="text1"/>
                <w:sz w:val="21"/>
                <w:szCs w:val="21"/>
              </w:rPr>
              <w:t>、</w:t>
            </w:r>
            <w:r w:rsidRPr="008A2411">
              <w:rPr>
                <w:rFonts w:ascii="Times New Roman"/>
                <w:color w:val="000000" w:themeColor="text1"/>
                <w:sz w:val="21"/>
                <w:szCs w:val="21"/>
              </w:rPr>
              <w:t>0.5~1.5m</w:t>
            </w:r>
            <w:r w:rsidRPr="008A2411">
              <w:rPr>
                <w:rFonts w:ascii="Times New Roman"/>
                <w:color w:val="000000" w:themeColor="text1"/>
                <w:sz w:val="21"/>
                <w:szCs w:val="21"/>
              </w:rPr>
              <w:t>，</w:t>
            </w:r>
            <w:r w:rsidRPr="008A2411">
              <w:rPr>
                <w:rFonts w:ascii="Times New Roman"/>
                <w:color w:val="000000" w:themeColor="text1"/>
                <w:sz w:val="21"/>
                <w:szCs w:val="21"/>
              </w:rPr>
              <w:t>1.5m~3.0m</w:t>
            </w:r>
            <w:r w:rsidRPr="008A2411">
              <w:rPr>
                <w:rFonts w:ascii="Times New Roman"/>
                <w:color w:val="000000" w:themeColor="text1"/>
                <w:sz w:val="21"/>
                <w:szCs w:val="21"/>
              </w:rPr>
              <w:t>各</w:t>
            </w:r>
            <w:r w:rsidRPr="008A2411">
              <w:rPr>
                <w:rFonts w:ascii="Times New Roman"/>
                <w:color w:val="000000" w:themeColor="text1"/>
                <w:sz w:val="21"/>
                <w:szCs w:val="21"/>
              </w:rPr>
              <w:t>1</w:t>
            </w:r>
            <w:r w:rsidRPr="008A2411">
              <w:rPr>
                <w:rFonts w:ascii="Times New Roman"/>
                <w:color w:val="000000" w:themeColor="text1"/>
                <w:sz w:val="21"/>
                <w:szCs w:val="21"/>
              </w:rPr>
              <w:t>个，每点每天检测</w:t>
            </w:r>
            <w:r w:rsidRPr="008A2411">
              <w:rPr>
                <w:rFonts w:ascii="Times New Roman"/>
                <w:color w:val="000000" w:themeColor="text1"/>
                <w:sz w:val="21"/>
                <w:szCs w:val="21"/>
              </w:rPr>
              <w:t>1</w:t>
            </w:r>
            <w:r w:rsidRPr="008A2411">
              <w:rPr>
                <w:rFonts w:ascii="Times New Roman"/>
                <w:color w:val="000000" w:themeColor="text1"/>
                <w:sz w:val="21"/>
                <w:szCs w:val="21"/>
              </w:rPr>
              <w:t>次</w:t>
            </w:r>
          </w:p>
        </w:tc>
        <w:tc>
          <w:tcPr>
            <w:tcW w:w="1756" w:type="pct"/>
            <w:vAlign w:val="center"/>
          </w:tcPr>
          <w:p w14:paraId="0917FCBE" w14:textId="77777777" w:rsidR="00B0005F" w:rsidRPr="008A2411" w:rsidRDefault="00000000">
            <w:pPr>
              <w:rPr>
                <w:rFonts w:ascii="Times New Roman"/>
                <w:b/>
                <w:color w:val="000000" w:themeColor="text1"/>
                <w:sz w:val="21"/>
                <w:szCs w:val="21"/>
              </w:rPr>
            </w:pPr>
            <w:r w:rsidRPr="008A2411">
              <w:rPr>
                <w:rFonts w:ascii="Times New Roman"/>
                <w:b/>
                <w:color w:val="000000" w:themeColor="text1"/>
                <w:sz w:val="21"/>
                <w:szCs w:val="21"/>
              </w:rPr>
              <w:t>理化性质：</w:t>
            </w:r>
            <w:r w:rsidRPr="008A2411">
              <w:rPr>
                <w:rFonts w:ascii="Times New Roman"/>
                <w:color w:val="000000" w:themeColor="text1"/>
                <w:sz w:val="21"/>
                <w:szCs w:val="21"/>
              </w:rPr>
              <w:t>pH</w:t>
            </w:r>
          </w:p>
          <w:p w14:paraId="7847BDD1" w14:textId="77777777" w:rsidR="00B0005F" w:rsidRPr="008A2411" w:rsidRDefault="00000000">
            <w:pPr>
              <w:pStyle w:val="aff"/>
              <w:rPr>
                <w:rFonts w:ascii="Times New Roman"/>
                <w:color w:val="000000" w:themeColor="text1"/>
                <w:sz w:val="21"/>
                <w:szCs w:val="21"/>
              </w:rPr>
            </w:pPr>
            <w:r w:rsidRPr="008A2411">
              <w:rPr>
                <w:rFonts w:ascii="Times New Roman"/>
                <w:b/>
                <w:color w:val="000000" w:themeColor="text1"/>
                <w:sz w:val="21"/>
                <w:szCs w:val="21"/>
              </w:rPr>
              <w:t>特征因子：</w:t>
            </w:r>
            <w:r w:rsidRPr="008A2411">
              <w:rPr>
                <w:rFonts w:ascii="Times New Roman"/>
                <w:color w:val="000000" w:themeColor="text1"/>
                <w:sz w:val="21"/>
                <w:szCs w:val="21"/>
              </w:rPr>
              <w:t>石油烃（</w:t>
            </w:r>
            <w:r w:rsidRPr="008A2411">
              <w:rPr>
                <w:rFonts w:ascii="Times New Roman"/>
                <w:color w:val="000000" w:themeColor="text1"/>
                <w:sz w:val="21"/>
                <w:szCs w:val="21"/>
              </w:rPr>
              <w:t>C10-C40</w:t>
            </w:r>
            <w:r w:rsidRPr="008A2411">
              <w:rPr>
                <w:rFonts w:ascii="Times New Roman"/>
                <w:color w:val="000000" w:themeColor="text1"/>
                <w:sz w:val="21"/>
                <w:szCs w:val="21"/>
              </w:rPr>
              <w:t>）、</w:t>
            </w:r>
            <w:r w:rsidRPr="008A2411">
              <w:rPr>
                <w:rFonts w:ascii="Times New Roman"/>
                <w:color w:val="000000" w:themeColor="text1"/>
                <w:sz w:val="21"/>
                <w:szCs w:val="21"/>
              </w:rPr>
              <w:t>Hg</w:t>
            </w:r>
            <w:r w:rsidRPr="008A2411">
              <w:rPr>
                <w:rFonts w:ascii="Times New Roman"/>
                <w:color w:val="000000" w:themeColor="text1"/>
                <w:sz w:val="21"/>
                <w:szCs w:val="21"/>
              </w:rPr>
              <w:t>、氯化物、硫化物（</w:t>
            </w:r>
            <w:r w:rsidRPr="008A2411">
              <w:rPr>
                <w:rFonts w:ascii="Times New Roman"/>
                <w:color w:val="000000" w:themeColor="text1"/>
                <w:sz w:val="21"/>
                <w:szCs w:val="21"/>
              </w:rPr>
              <w:t>0~0.5m</w:t>
            </w:r>
            <w:r w:rsidRPr="008A2411">
              <w:rPr>
                <w:rFonts w:ascii="Times New Roman"/>
                <w:color w:val="000000" w:themeColor="text1"/>
                <w:sz w:val="21"/>
                <w:szCs w:val="21"/>
              </w:rPr>
              <w:t>、</w:t>
            </w:r>
            <w:r w:rsidRPr="008A2411">
              <w:rPr>
                <w:rFonts w:ascii="Times New Roman"/>
                <w:color w:val="000000" w:themeColor="text1"/>
                <w:sz w:val="21"/>
                <w:szCs w:val="21"/>
              </w:rPr>
              <w:t>0.5~1.5m</w:t>
            </w:r>
            <w:r w:rsidRPr="008A2411">
              <w:rPr>
                <w:rFonts w:ascii="Times New Roman"/>
                <w:color w:val="000000" w:themeColor="text1"/>
                <w:sz w:val="21"/>
                <w:szCs w:val="21"/>
              </w:rPr>
              <w:t>、</w:t>
            </w:r>
            <w:r w:rsidRPr="008A2411">
              <w:rPr>
                <w:rFonts w:ascii="Times New Roman"/>
                <w:color w:val="000000" w:themeColor="text1"/>
                <w:sz w:val="21"/>
                <w:szCs w:val="21"/>
              </w:rPr>
              <w:t>1.5~3m</w:t>
            </w:r>
            <w:r w:rsidRPr="008A2411">
              <w:rPr>
                <w:rFonts w:ascii="Times New Roman"/>
                <w:color w:val="000000" w:themeColor="text1"/>
                <w:sz w:val="21"/>
                <w:szCs w:val="21"/>
              </w:rPr>
              <w:t>分别取样）</w:t>
            </w:r>
          </w:p>
        </w:tc>
      </w:tr>
      <w:tr w:rsidR="008A2411" w:rsidRPr="008A2411" w14:paraId="4CAFD0EA" w14:textId="77777777">
        <w:trPr>
          <w:cantSplit/>
          <w:trHeight w:val="624"/>
        </w:trPr>
        <w:tc>
          <w:tcPr>
            <w:tcW w:w="422" w:type="pct"/>
            <w:vAlign w:val="center"/>
          </w:tcPr>
          <w:p w14:paraId="766247A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T2</w:t>
            </w:r>
          </w:p>
        </w:tc>
        <w:tc>
          <w:tcPr>
            <w:tcW w:w="726" w:type="pct"/>
            <w:vAlign w:val="center"/>
          </w:tcPr>
          <w:p w14:paraId="3364F47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LNG</w:t>
            </w:r>
            <w:r w:rsidRPr="008A2411">
              <w:rPr>
                <w:rFonts w:ascii="Times New Roman"/>
                <w:color w:val="000000" w:themeColor="text1"/>
                <w:sz w:val="21"/>
                <w:szCs w:val="21"/>
              </w:rPr>
              <w:t>储罐区</w:t>
            </w:r>
          </w:p>
        </w:tc>
        <w:tc>
          <w:tcPr>
            <w:tcW w:w="539" w:type="pct"/>
            <w:vAlign w:val="center"/>
          </w:tcPr>
          <w:p w14:paraId="4302743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107.6937</w:t>
            </w:r>
          </w:p>
        </w:tc>
        <w:tc>
          <w:tcPr>
            <w:tcW w:w="563" w:type="pct"/>
            <w:vAlign w:val="center"/>
          </w:tcPr>
          <w:p w14:paraId="5031EBD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31.5180</w:t>
            </w:r>
          </w:p>
        </w:tc>
        <w:tc>
          <w:tcPr>
            <w:tcW w:w="993" w:type="pct"/>
            <w:vMerge/>
            <w:vAlign w:val="center"/>
          </w:tcPr>
          <w:p w14:paraId="2630E92D" w14:textId="77777777" w:rsidR="00B0005F" w:rsidRPr="008A2411" w:rsidRDefault="00B0005F">
            <w:pPr>
              <w:jc w:val="center"/>
              <w:rPr>
                <w:rFonts w:ascii="Times New Roman"/>
                <w:color w:val="000000" w:themeColor="text1"/>
                <w:sz w:val="21"/>
                <w:szCs w:val="21"/>
              </w:rPr>
            </w:pPr>
          </w:p>
        </w:tc>
        <w:tc>
          <w:tcPr>
            <w:tcW w:w="1756" w:type="pct"/>
            <w:vAlign w:val="center"/>
          </w:tcPr>
          <w:p w14:paraId="3D6E2FED" w14:textId="77777777" w:rsidR="00B0005F" w:rsidRPr="008A2411" w:rsidRDefault="00000000">
            <w:pPr>
              <w:rPr>
                <w:rFonts w:ascii="Times New Roman"/>
                <w:b/>
                <w:color w:val="000000" w:themeColor="text1"/>
                <w:sz w:val="21"/>
                <w:szCs w:val="21"/>
              </w:rPr>
            </w:pPr>
            <w:r w:rsidRPr="008A2411">
              <w:rPr>
                <w:rFonts w:ascii="Times New Roman"/>
                <w:b/>
                <w:color w:val="000000" w:themeColor="text1"/>
                <w:sz w:val="21"/>
                <w:szCs w:val="21"/>
              </w:rPr>
              <w:t>理化性质：</w:t>
            </w:r>
            <w:r w:rsidRPr="008A2411">
              <w:rPr>
                <w:rFonts w:ascii="Times New Roman"/>
                <w:color w:val="000000" w:themeColor="text1"/>
                <w:sz w:val="21"/>
                <w:szCs w:val="21"/>
              </w:rPr>
              <w:t>pH</w:t>
            </w:r>
          </w:p>
          <w:p w14:paraId="47316300" w14:textId="77777777" w:rsidR="00B0005F" w:rsidRPr="008A2411" w:rsidRDefault="00000000">
            <w:pPr>
              <w:rPr>
                <w:rFonts w:ascii="Times New Roman"/>
                <w:color w:val="000000" w:themeColor="text1"/>
                <w:sz w:val="21"/>
                <w:szCs w:val="21"/>
              </w:rPr>
            </w:pPr>
            <w:r w:rsidRPr="008A2411">
              <w:rPr>
                <w:rFonts w:ascii="Times New Roman"/>
                <w:b/>
                <w:color w:val="000000" w:themeColor="text1"/>
                <w:sz w:val="21"/>
                <w:szCs w:val="21"/>
              </w:rPr>
              <w:t>特征因子：</w:t>
            </w:r>
            <w:r w:rsidRPr="008A2411">
              <w:rPr>
                <w:rFonts w:ascii="Times New Roman"/>
                <w:color w:val="000000" w:themeColor="text1"/>
                <w:sz w:val="21"/>
                <w:szCs w:val="21"/>
              </w:rPr>
              <w:t>石油烃（</w:t>
            </w:r>
            <w:r w:rsidRPr="008A2411">
              <w:rPr>
                <w:rFonts w:ascii="Times New Roman"/>
                <w:color w:val="000000" w:themeColor="text1"/>
                <w:sz w:val="21"/>
                <w:szCs w:val="21"/>
              </w:rPr>
              <w:t>C10-C40</w:t>
            </w:r>
            <w:r w:rsidRPr="008A2411">
              <w:rPr>
                <w:rFonts w:ascii="Times New Roman"/>
                <w:color w:val="000000" w:themeColor="text1"/>
                <w:sz w:val="21"/>
                <w:szCs w:val="21"/>
              </w:rPr>
              <w:t>）、</w:t>
            </w:r>
            <w:r w:rsidRPr="008A2411">
              <w:rPr>
                <w:rFonts w:ascii="Times New Roman"/>
                <w:color w:val="000000" w:themeColor="text1"/>
                <w:sz w:val="21"/>
                <w:szCs w:val="21"/>
              </w:rPr>
              <w:t>Hg</w:t>
            </w:r>
            <w:r w:rsidRPr="008A2411">
              <w:rPr>
                <w:rFonts w:ascii="Times New Roman"/>
                <w:color w:val="000000" w:themeColor="text1"/>
                <w:sz w:val="21"/>
                <w:szCs w:val="21"/>
              </w:rPr>
              <w:t>、氯化物、硫化物（</w:t>
            </w:r>
            <w:r w:rsidRPr="008A2411">
              <w:rPr>
                <w:rFonts w:ascii="Times New Roman"/>
                <w:color w:val="000000" w:themeColor="text1"/>
                <w:sz w:val="21"/>
                <w:szCs w:val="21"/>
              </w:rPr>
              <w:t>0~0.5m</w:t>
            </w:r>
            <w:r w:rsidRPr="008A2411">
              <w:rPr>
                <w:rFonts w:ascii="Times New Roman"/>
                <w:color w:val="000000" w:themeColor="text1"/>
                <w:sz w:val="21"/>
                <w:szCs w:val="21"/>
              </w:rPr>
              <w:t>、</w:t>
            </w:r>
            <w:r w:rsidRPr="008A2411">
              <w:rPr>
                <w:rFonts w:ascii="Times New Roman"/>
                <w:color w:val="000000" w:themeColor="text1"/>
                <w:sz w:val="21"/>
                <w:szCs w:val="21"/>
              </w:rPr>
              <w:t>0.5~1.5m</w:t>
            </w:r>
            <w:r w:rsidRPr="008A2411">
              <w:rPr>
                <w:rFonts w:ascii="Times New Roman"/>
                <w:color w:val="000000" w:themeColor="text1"/>
                <w:sz w:val="21"/>
                <w:szCs w:val="21"/>
              </w:rPr>
              <w:t>、</w:t>
            </w:r>
            <w:r w:rsidRPr="008A2411">
              <w:rPr>
                <w:rFonts w:ascii="Times New Roman"/>
                <w:color w:val="000000" w:themeColor="text1"/>
                <w:sz w:val="21"/>
                <w:szCs w:val="21"/>
              </w:rPr>
              <w:t>1.5~3m</w:t>
            </w:r>
            <w:r w:rsidRPr="008A2411">
              <w:rPr>
                <w:rFonts w:ascii="Times New Roman"/>
                <w:color w:val="000000" w:themeColor="text1"/>
                <w:sz w:val="21"/>
                <w:szCs w:val="21"/>
              </w:rPr>
              <w:t>分别取样）</w:t>
            </w:r>
          </w:p>
        </w:tc>
      </w:tr>
      <w:tr w:rsidR="008A2411" w:rsidRPr="008A2411" w14:paraId="3CEE6970" w14:textId="77777777">
        <w:trPr>
          <w:cantSplit/>
          <w:trHeight w:val="624"/>
        </w:trPr>
        <w:tc>
          <w:tcPr>
            <w:tcW w:w="422" w:type="pct"/>
            <w:vAlign w:val="center"/>
          </w:tcPr>
          <w:p w14:paraId="0FEE79A7"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T3</w:t>
            </w:r>
          </w:p>
        </w:tc>
        <w:tc>
          <w:tcPr>
            <w:tcW w:w="726" w:type="pct"/>
            <w:vAlign w:val="center"/>
          </w:tcPr>
          <w:p w14:paraId="4ABDAA9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装卸区</w:t>
            </w:r>
          </w:p>
        </w:tc>
        <w:tc>
          <w:tcPr>
            <w:tcW w:w="539" w:type="pct"/>
            <w:vAlign w:val="center"/>
          </w:tcPr>
          <w:p w14:paraId="6945980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107.6932</w:t>
            </w:r>
          </w:p>
        </w:tc>
        <w:tc>
          <w:tcPr>
            <w:tcW w:w="563" w:type="pct"/>
            <w:vAlign w:val="center"/>
          </w:tcPr>
          <w:p w14:paraId="2DE5269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31.5171</w:t>
            </w:r>
          </w:p>
        </w:tc>
        <w:tc>
          <w:tcPr>
            <w:tcW w:w="993" w:type="pct"/>
            <w:vMerge/>
            <w:vAlign w:val="center"/>
          </w:tcPr>
          <w:p w14:paraId="4B0672F4" w14:textId="77777777" w:rsidR="00B0005F" w:rsidRPr="008A2411" w:rsidRDefault="00B0005F">
            <w:pPr>
              <w:jc w:val="center"/>
              <w:rPr>
                <w:rFonts w:ascii="Times New Roman"/>
                <w:color w:val="000000" w:themeColor="text1"/>
                <w:sz w:val="21"/>
                <w:szCs w:val="21"/>
              </w:rPr>
            </w:pPr>
          </w:p>
        </w:tc>
        <w:tc>
          <w:tcPr>
            <w:tcW w:w="1756" w:type="pct"/>
            <w:vAlign w:val="center"/>
          </w:tcPr>
          <w:p w14:paraId="5174DD65" w14:textId="77777777" w:rsidR="00B0005F" w:rsidRPr="008A2411" w:rsidRDefault="00000000">
            <w:pPr>
              <w:rPr>
                <w:rFonts w:ascii="Times New Roman"/>
                <w:b/>
                <w:color w:val="000000" w:themeColor="text1"/>
                <w:sz w:val="21"/>
                <w:szCs w:val="21"/>
              </w:rPr>
            </w:pPr>
            <w:r w:rsidRPr="008A2411">
              <w:rPr>
                <w:rFonts w:ascii="Times New Roman"/>
                <w:b/>
                <w:color w:val="000000" w:themeColor="text1"/>
                <w:sz w:val="21"/>
                <w:szCs w:val="21"/>
              </w:rPr>
              <w:t>理化性质：</w:t>
            </w:r>
            <w:r w:rsidRPr="008A2411">
              <w:rPr>
                <w:rFonts w:ascii="Times New Roman"/>
                <w:color w:val="000000" w:themeColor="text1"/>
                <w:sz w:val="21"/>
                <w:szCs w:val="21"/>
              </w:rPr>
              <w:t>pH</w:t>
            </w:r>
          </w:p>
          <w:p w14:paraId="0B5E54F8" w14:textId="77777777" w:rsidR="00B0005F" w:rsidRPr="008A2411" w:rsidRDefault="00000000">
            <w:pPr>
              <w:rPr>
                <w:rFonts w:ascii="Times New Roman"/>
                <w:color w:val="000000" w:themeColor="text1"/>
                <w:sz w:val="21"/>
                <w:szCs w:val="21"/>
              </w:rPr>
            </w:pPr>
            <w:r w:rsidRPr="008A2411">
              <w:rPr>
                <w:rFonts w:ascii="Times New Roman"/>
                <w:b/>
                <w:color w:val="000000" w:themeColor="text1"/>
                <w:sz w:val="21"/>
                <w:szCs w:val="21"/>
              </w:rPr>
              <w:t>特征因子：</w:t>
            </w:r>
            <w:r w:rsidRPr="008A2411">
              <w:rPr>
                <w:rFonts w:ascii="Times New Roman"/>
                <w:color w:val="000000" w:themeColor="text1"/>
                <w:sz w:val="21"/>
                <w:szCs w:val="21"/>
              </w:rPr>
              <w:t>石油烃（</w:t>
            </w:r>
            <w:r w:rsidRPr="008A2411">
              <w:rPr>
                <w:rFonts w:ascii="Times New Roman"/>
                <w:color w:val="000000" w:themeColor="text1"/>
                <w:sz w:val="21"/>
                <w:szCs w:val="21"/>
              </w:rPr>
              <w:t>C10-C40</w:t>
            </w:r>
            <w:r w:rsidRPr="008A2411">
              <w:rPr>
                <w:rFonts w:ascii="Times New Roman"/>
                <w:color w:val="000000" w:themeColor="text1"/>
                <w:sz w:val="21"/>
                <w:szCs w:val="21"/>
              </w:rPr>
              <w:t>）、</w:t>
            </w:r>
            <w:r w:rsidRPr="008A2411">
              <w:rPr>
                <w:rFonts w:ascii="Times New Roman"/>
                <w:color w:val="000000" w:themeColor="text1"/>
                <w:sz w:val="21"/>
                <w:szCs w:val="21"/>
              </w:rPr>
              <w:t>Hg</w:t>
            </w:r>
            <w:r w:rsidRPr="008A2411">
              <w:rPr>
                <w:rFonts w:ascii="Times New Roman"/>
                <w:color w:val="000000" w:themeColor="text1"/>
                <w:sz w:val="21"/>
                <w:szCs w:val="21"/>
              </w:rPr>
              <w:t>、氯化物、硫化物（</w:t>
            </w:r>
            <w:r w:rsidRPr="008A2411">
              <w:rPr>
                <w:rFonts w:ascii="Times New Roman"/>
                <w:color w:val="000000" w:themeColor="text1"/>
                <w:sz w:val="21"/>
                <w:szCs w:val="21"/>
              </w:rPr>
              <w:t>0~0.5m</w:t>
            </w:r>
            <w:r w:rsidRPr="008A2411">
              <w:rPr>
                <w:rFonts w:ascii="Times New Roman"/>
                <w:color w:val="000000" w:themeColor="text1"/>
                <w:sz w:val="21"/>
                <w:szCs w:val="21"/>
              </w:rPr>
              <w:t>、</w:t>
            </w:r>
            <w:r w:rsidRPr="008A2411">
              <w:rPr>
                <w:rFonts w:ascii="Times New Roman"/>
                <w:color w:val="000000" w:themeColor="text1"/>
                <w:sz w:val="21"/>
                <w:szCs w:val="21"/>
              </w:rPr>
              <w:t>0.5~1.5m</w:t>
            </w:r>
            <w:r w:rsidRPr="008A2411">
              <w:rPr>
                <w:rFonts w:ascii="Times New Roman"/>
                <w:color w:val="000000" w:themeColor="text1"/>
                <w:sz w:val="21"/>
                <w:szCs w:val="21"/>
              </w:rPr>
              <w:t>、</w:t>
            </w:r>
            <w:r w:rsidRPr="008A2411">
              <w:rPr>
                <w:rFonts w:ascii="Times New Roman"/>
                <w:color w:val="000000" w:themeColor="text1"/>
                <w:sz w:val="21"/>
                <w:szCs w:val="21"/>
              </w:rPr>
              <w:t>1.5~3m</w:t>
            </w:r>
            <w:r w:rsidRPr="008A2411">
              <w:rPr>
                <w:rFonts w:ascii="Times New Roman"/>
                <w:color w:val="000000" w:themeColor="text1"/>
                <w:sz w:val="21"/>
                <w:szCs w:val="21"/>
              </w:rPr>
              <w:t>分别取样）</w:t>
            </w:r>
          </w:p>
        </w:tc>
      </w:tr>
      <w:tr w:rsidR="008A2411" w:rsidRPr="008A2411" w14:paraId="6AEC5AA9" w14:textId="77777777">
        <w:trPr>
          <w:cantSplit/>
          <w:trHeight w:val="624"/>
        </w:trPr>
        <w:tc>
          <w:tcPr>
            <w:tcW w:w="422" w:type="pct"/>
            <w:vAlign w:val="center"/>
          </w:tcPr>
          <w:p w14:paraId="214FC222"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T4</w:t>
            </w:r>
          </w:p>
        </w:tc>
        <w:tc>
          <w:tcPr>
            <w:tcW w:w="726" w:type="pct"/>
            <w:vAlign w:val="center"/>
          </w:tcPr>
          <w:p w14:paraId="0BD7610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辅助装置区</w:t>
            </w:r>
          </w:p>
        </w:tc>
        <w:tc>
          <w:tcPr>
            <w:tcW w:w="539" w:type="pct"/>
            <w:vAlign w:val="center"/>
          </w:tcPr>
          <w:p w14:paraId="60B218BE"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107.6902</w:t>
            </w:r>
          </w:p>
        </w:tc>
        <w:tc>
          <w:tcPr>
            <w:tcW w:w="563" w:type="pct"/>
            <w:vAlign w:val="center"/>
          </w:tcPr>
          <w:p w14:paraId="2B6C0AA4"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31.5147</w:t>
            </w:r>
          </w:p>
        </w:tc>
        <w:tc>
          <w:tcPr>
            <w:tcW w:w="993" w:type="pct"/>
            <w:vMerge w:val="restart"/>
            <w:vAlign w:val="center"/>
          </w:tcPr>
          <w:p w14:paraId="6AE0F25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取表层样（</w:t>
            </w:r>
            <w:r w:rsidRPr="008A2411">
              <w:rPr>
                <w:rFonts w:ascii="Times New Roman"/>
                <w:color w:val="000000" w:themeColor="text1"/>
                <w:sz w:val="21"/>
                <w:szCs w:val="21"/>
              </w:rPr>
              <w:t>20cm</w:t>
            </w:r>
            <w:r w:rsidRPr="008A2411">
              <w:rPr>
                <w:rFonts w:ascii="Times New Roman"/>
                <w:color w:val="000000" w:themeColor="text1"/>
                <w:sz w:val="21"/>
                <w:szCs w:val="21"/>
              </w:rPr>
              <w:t>），每点每天检测</w:t>
            </w:r>
            <w:r w:rsidRPr="008A2411">
              <w:rPr>
                <w:rFonts w:ascii="Times New Roman"/>
                <w:color w:val="000000" w:themeColor="text1"/>
                <w:sz w:val="21"/>
                <w:szCs w:val="21"/>
              </w:rPr>
              <w:t>1</w:t>
            </w:r>
            <w:r w:rsidRPr="008A2411">
              <w:rPr>
                <w:rFonts w:ascii="Times New Roman"/>
                <w:color w:val="000000" w:themeColor="text1"/>
                <w:sz w:val="21"/>
                <w:szCs w:val="21"/>
              </w:rPr>
              <w:t>次</w:t>
            </w:r>
          </w:p>
        </w:tc>
        <w:tc>
          <w:tcPr>
            <w:tcW w:w="1756" w:type="pct"/>
            <w:vAlign w:val="center"/>
          </w:tcPr>
          <w:p w14:paraId="52BDFFB8" w14:textId="77777777" w:rsidR="00B0005F" w:rsidRPr="008A2411" w:rsidRDefault="00000000">
            <w:pPr>
              <w:rPr>
                <w:rFonts w:ascii="Times New Roman"/>
                <w:b/>
                <w:color w:val="000000" w:themeColor="text1"/>
                <w:sz w:val="21"/>
                <w:szCs w:val="21"/>
              </w:rPr>
            </w:pPr>
            <w:r w:rsidRPr="008A2411">
              <w:rPr>
                <w:rFonts w:ascii="Times New Roman"/>
                <w:b/>
                <w:color w:val="000000" w:themeColor="text1"/>
                <w:sz w:val="21"/>
                <w:szCs w:val="21"/>
              </w:rPr>
              <w:t>基本因子：</w:t>
            </w:r>
            <w:r w:rsidRPr="008A2411">
              <w:rPr>
                <w:rFonts w:ascii="Times New Roman"/>
                <w:color w:val="000000" w:themeColor="text1"/>
                <w:sz w:val="21"/>
                <w:szCs w:val="21"/>
              </w:rPr>
              <w:t>《土壤环境质量</w:t>
            </w:r>
            <w:r w:rsidRPr="008A2411">
              <w:rPr>
                <w:rFonts w:ascii="Times New Roman"/>
                <w:color w:val="000000" w:themeColor="text1"/>
                <w:sz w:val="21"/>
                <w:szCs w:val="21"/>
              </w:rPr>
              <w:t xml:space="preserve"> </w:t>
            </w:r>
            <w:r w:rsidRPr="008A2411">
              <w:rPr>
                <w:rFonts w:ascii="Times New Roman"/>
                <w:color w:val="000000" w:themeColor="text1"/>
                <w:sz w:val="21"/>
                <w:szCs w:val="21"/>
              </w:rPr>
              <w:t>建设用地土壤污染风险管控标准（试行）</w:t>
            </w:r>
            <w:r w:rsidRPr="008A2411">
              <w:rPr>
                <w:rFonts w:ascii="Times New Roman"/>
                <w:color w:val="000000" w:themeColor="text1"/>
                <w:sz w:val="21"/>
                <w:szCs w:val="21"/>
              </w:rPr>
              <w:t>(GB36600—2018)</w:t>
            </w:r>
            <w:r w:rsidRPr="008A2411">
              <w:rPr>
                <w:rFonts w:ascii="Times New Roman"/>
                <w:color w:val="000000" w:themeColor="text1"/>
                <w:sz w:val="21"/>
                <w:szCs w:val="21"/>
              </w:rPr>
              <w:t>》中表</w:t>
            </w:r>
            <w:r w:rsidRPr="008A2411">
              <w:rPr>
                <w:rFonts w:ascii="Times New Roman"/>
                <w:color w:val="000000" w:themeColor="text1"/>
                <w:sz w:val="21"/>
                <w:szCs w:val="21"/>
              </w:rPr>
              <w:t>1</w:t>
            </w:r>
            <w:r w:rsidRPr="008A2411">
              <w:rPr>
                <w:rFonts w:ascii="Times New Roman"/>
                <w:color w:val="000000" w:themeColor="text1"/>
                <w:sz w:val="21"/>
                <w:szCs w:val="21"/>
              </w:rPr>
              <w:t>基本项目，共</w:t>
            </w:r>
            <w:r w:rsidRPr="008A2411">
              <w:rPr>
                <w:rFonts w:ascii="Times New Roman"/>
                <w:color w:val="000000" w:themeColor="text1"/>
                <w:sz w:val="21"/>
                <w:szCs w:val="21"/>
              </w:rPr>
              <w:t>45</w:t>
            </w:r>
            <w:r w:rsidRPr="008A2411">
              <w:rPr>
                <w:rFonts w:ascii="Times New Roman"/>
                <w:color w:val="000000" w:themeColor="text1"/>
                <w:sz w:val="21"/>
                <w:szCs w:val="21"/>
              </w:rPr>
              <w:t>个</w:t>
            </w:r>
          </w:p>
          <w:p w14:paraId="5E082975" w14:textId="77777777" w:rsidR="00B0005F" w:rsidRPr="008A2411" w:rsidRDefault="00000000">
            <w:pPr>
              <w:rPr>
                <w:rFonts w:ascii="Times New Roman"/>
                <w:color w:val="000000" w:themeColor="text1"/>
                <w:sz w:val="21"/>
                <w:szCs w:val="21"/>
              </w:rPr>
            </w:pPr>
            <w:r w:rsidRPr="008A2411">
              <w:rPr>
                <w:rFonts w:ascii="Times New Roman"/>
                <w:b/>
                <w:color w:val="000000" w:themeColor="text1"/>
                <w:sz w:val="21"/>
                <w:szCs w:val="21"/>
              </w:rPr>
              <w:t>特征因子：</w:t>
            </w:r>
            <w:r w:rsidRPr="008A2411">
              <w:rPr>
                <w:rFonts w:ascii="Times New Roman"/>
                <w:color w:val="000000" w:themeColor="text1"/>
                <w:sz w:val="21"/>
                <w:szCs w:val="21"/>
              </w:rPr>
              <w:t>石油烃（</w:t>
            </w:r>
            <w:r w:rsidRPr="008A2411">
              <w:rPr>
                <w:rFonts w:ascii="Times New Roman"/>
                <w:color w:val="000000" w:themeColor="text1"/>
                <w:sz w:val="21"/>
                <w:szCs w:val="21"/>
              </w:rPr>
              <w:t>C10-C40</w:t>
            </w:r>
            <w:r w:rsidRPr="008A2411">
              <w:rPr>
                <w:rFonts w:ascii="Times New Roman"/>
                <w:color w:val="000000" w:themeColor="text1"/>
                <w:sz w:val="21"/>
                <w:szCs w:val="21"/>
              </w:rPr>
              <w:t>）、</w:t>
            </w:r>
            <w:r w:rsidRPr="008A2411">
              <w:rPr>
                <w:rFonts w:ascii="Times New Roman"/>
                <w:color w:val="000000" w:themeColor="text1"/>
                <w:sz w:val="21"/>
                <w:szCs w:val="21"/>
              </w:rPr>
              <w:t>Hg</w:t>
            </w:r>
            <w:r w:rsidRPr="008A2411">
              <w:rPr>
                <w:rFonts w:ascii="Times New Roman"/>
                <w:color w:val="000000" w:themeColor="text1"/>
                <w:sz w:val="21"/>
                <w:szCs w:val="21"/>
              </w:rPr>
              <w:t>、氯化物、硫化物</w:t>
            </w:r>
          </w:p>
          <w:p w14:paraId="7A2B51C1" w14:textId="77777777" w:rsidR="00B0005F" w:rsidRPr="008A2411" w:rsidRDefault="00000000">
            <w:pPr>
              <w:rPr>
                <w:rFonts w:ascii="Times New Roman"/>
                <w:color w:val="000000" w:themeColor="text1"/>
                <w:sz w:val="21"/>
                <w:szCs w:val="21"/>
              </w:rPr>
            </w:pPr>
            <w:r w:rsidRPr="008A2411">
              <w:rPr>
                <w:rFonts w:ascii="Times New Roman"/>
                <w:b/>
                <w:color w:val="000000" w:themeColor="text1"/>
                <w:sz w:val="21"/>
                <w:szCs w:val="21"/>
              </w:rPr>
              <w:t>理化性质：</w:t>
            </w:r>
            <w:r w:rsidRPr="008A2411">
              <w:rPr>
                <w:rFonts w:ascii="Times New Roman"/>
                <w:b/>
                <w:bCs/>
                <w:color w:val="000000" w:themeColor="text1"/>
                <w:sz w:val="21"/>
                <w:szCs w:val="21"/>
              </w:rPr>
              <w:t>pH</w:t>
            </w:r>
            <w:r w:rsidRPr="008A2411">
              <w:rPr>
                <w:rFonts w:ascii="Times New Roman"/>
                <w:b/>
                <w:bCs/>
                <w:color w:val="000000" w:themeColor="text1"/>
                <w:sz w:val="21"/>
                <w:szCs w:val="21"/>
              </w:rPr>
              <w:t>、阳离子交换量、土壤容重等</w:t>
            </w:r>
          </w:p>
        </w:tc>
      </w:tr>
      <w:tr w:rsidR="008A2411" w:rsidRPr="008A2411" w14:paraId="7DA9FC80" w14:textId="77777777">
        <w:trPr>
          <w:cantSplit/>
          <w:trHeight w:val="624"/>
        </w:trPr>
        <w:tc>
          <w:tcPr>
            <w:tcW w:w="422" w:type="pct"/>
            <w:vAlign w:val="center"/>
          </w:tcPr>
          <w:p w14:paraId="085F07D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lastRenderedPageBreak/>
              <w:t>T5</w:t>
            </w:r>
          </w:p>
        </w:tc>
        <w:tc>
          <w:tcPr>
            <w:tcW w:w="726" w:type="pct"/>
            <w:vAlign w:val="center"/>
          </w:tcPr>
          <w:p w14:paraId="40BCCC7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厂界北侧</w:t>
            </w:r>
            <w:r w:rsidRPr="008A2411">
              <w:rPr>
                <w:rFonts w:ascii="Times New Roman"/>
                <w:color w:val="000000" w:themeColor="text1"/>
                <w:sz w:val="21"/>
                <w:szCs w:val="21"/>
              </w:rPr>
              <w:t>60m</w:t>
            </w:r>
            <w:r w:rsidRPr="008A2411">
              <w:rPr>
                <w:rFonts w:ascii="Times New Roman"/>
                <w:color w:val="000000" w:themeColor="text1"/>
                <w:sz w:val="21"/>
                <w:szCs w:val="21"/>
              </w:rPr>
              <w:t>农田</w:t>
            </w:r>
          </w:p>
        </w:tc>
        <w:tc>
          <w:tcPr>
            <w:tcW w:w="539" w:type="pct"/>
            <w:vAlign w:val="center"/>
          </w:tcPr>
          <w:p w14:paraId="25FC2F9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107.6916</w:t>
            </w:r>
          </w:p>
        </w:tc>
        <w:tc>
          <w:tcPr>
            <w:tcW w:w="563" w:type="pct"/>
            <w:vAlign w:val="center"/>
          </w:tcPr>
          <w:p w14:paraId="56BAAF9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31.5190</w:t>
            </w:r>
          </w:p>
        </w:tc>
        <w:tc>
          <w:tcPr>
            <w:tcW w:w="993" w:type="pct"/>
            <w:vMerge/>
            <w:vAlign w:val="center"/>
          </w:tcPr>
          <w:p w14:paraId="52EDFCE1" w14:textId="77777777" w:rsidR="00B0005F" w:rsidRPr="008A2411" w:rsidRDefault="00B0005F">
            <w:pPr>
              <w:jc w:val="center"/>
              <w:rPr>
                <w:rFonts w:ascii="Times New Roman"/>
                <w:color w:val="000000" w:themeColor="text1"/>
                <w:sz w:val="21"/>
                <w:szCs w:val="21"/>
              </w:rPr>
            </w:pPr>
          </w:p>
        </w:tc>
        <w:tc>
          <w:tcPr>
            <w:tcW w:w="1756" w:type="pct"/>
            <w:vAlign w:val="center"/>
          </w:tcPr>
          <w:p w14:paraId="0F0B2E37" w14:textId="77777777" w:rsidR="00B0005F" w:rsidRPr="008A2411" w:rsidRDefault="00000000">
            <w:pPr>
              <w:rPr>
                <w:rFonts w:ascii="Times New Roman"/>
                <w:b/>
                <w:color w:val="000000" w:themeColor="text1"/>
                <w:sz w:val="21"/>
                <w:szCs w:val="21"/>
              </w:rPr>
            </w:pPr>
            <w:r w:rsidRPr="008A2411">
              <w:rPr>
                <w:rFonts w:ascii="Times New Roman"/>
                <w:b/>
                <w:color w:val="000000" w:themeColor="text1"/>
                <w:sz w:val="21"/>
                <w:szCs w:val="21"/>
              </w:rPr>
              <w:t>理化性质：</w:t>
            </w:r>
            <w:r w:rsidRPr="008A2411">
              <w:rPr>
                <w:rFonts w:ascii="Times New Roman"/>
                <w:color w:val="000000" w:themeColor="text1"/>
                <w:sz w:val="21"/>
                <w:szCs w:val="21"/>
              </w:rPr>
              <w:t>pH</w:t>
            </w:r>
          </w:p>
          <w:p w14:paraId="3AF8ABBA" w14:textId="77777777" w:rsidR="00B0005F" w:rsidRPr="008A2411" w:rsidRDefault="00000000">
            <w:pPr>
              <w:rPr>
                <w:rFonts w:ascii="Times New Roman"/>
                <w:b/>
                <w:color w:val="000000" w:themeColor="text1"/>
                <w:sz w:val="21"/>
                <w:szCs w:val="21"/>
              </w:rPr>
            </w:pPr>
            <w:r w:rsidRPr="008A2411">
              <w:rPr>
                <w:rFonts w:ascii="Times New Roman"/>
                <w:b/>
                <w:color w:val="000000" w:themeColor="text1"/>
                <w:sz w:val="21"/>
                <w:szCs w:val="21"/>
              </w:rPr>
              <w:t>基本因子：</w:t>
            </w:r>
            <w:r w:rsidRPr="008A2411">
              <w:rPr>
                <w:rFonts w:ascii="Times New Roman"/>
                <w:color w:val="000000" w:themeColor="text1"/>
                <w:sz w:val="21"/>
                <w:szCs w:val="21"/>
              </w:rPr>
              <w:t>《土壤环境质量</w:t>
            </w:r>
            <w:r w:rsidRPr="008A2411">
              <w:rPr>
                <w:rFonts w:ascii="Times New Roman"/>
                <w:color w:val="000000" w:themeColor="text1"/>
                <w:sz w:val="21"/>
                <w:szCs w:val="21"/>
              </w:rPr>
              <w:t xml:space="preserve"> </w:t>
            </w:r>
            <w:r w:rsidRPr="008A2411">
              <w:rPr>
                <w:rFonts w:ascii="Times New Roman"/>
                <w:color w:val="000000" w:themeColor="text1"/>
                <w:sz w:val="21"/>
                <w:szCs w:val="21"/>
              </w:rPr>
              <w:t>农用地土壤污染风险管控标准（试行）</w:t>
            </w:r>
            <w:r w:rsidRPr="008A2411">
              <w:rPr>
                <w:rFonts w:ascii="Times New Roman"/>
                <w:color w:val="000000" w:themeColor="text1"/>
                <w:sz w:val="21"/>
                <w:szCs w:val="21"/>
              </w:rPr>
              <w:t>(GB15618—2018)</w:t>
            </w:r>
            <w:r w:rsidRPr="008A2411">
              <w:rPr>
                <w:rFonts w:ascii="Times New Roman"/>
                <w:color w:val="000000" w:themeColor="text1"/>
                <w:sz w:val="21"/>
                <w:szCs w:val="21"/>
              </w:rPr>
              <w:t>》中表</w:t>
            </w:r>
            <w:r w:rsidRPr="008A2411">
              <w:rPr>
                <w:rFonts w:ascii="Times New Roman"/>
                <w:color w:val="000000" w:themeColor="text1"/>
                <w:sz w:val="21"/>
                <w:szCs w:val="21"/>
              </w:rPr>
              <w:t>1</w:t>
            </w:r>
            <w:r w:rsidRPr="008A2411">
              <w:rPr>
                <w:rFonts w:ascii="Times New Roman"/>
                <w:color w:val="000000" w:themeColor="text1"/>
                <w:sz w:val="21"/>
                <w:szCs w:val="21"/>
              </w:rPr>
              <w:t>基本项目，共</w:t>
            </w:r>
            <w:r w:rsidRPr="008A2411">
              <w:rPr>
                <w:rFonts w:ascii="Times New Roman"/>
                <w:color w:val="000000" w:themeColor="text1"/>
                <w:sz w:val="21"/>
                <w:szCs w:val="21"/>
              </w:rPr>
              <w:t>8</w:t>
            </w:r>
            <w:r w:rsidRPr="008A2411">
              <w:rPr>
                <w:rFonts w:ascii="Times New Roman"/>
                <w:color w:val="000000" w:themeColor="text1"/>
                <w:sz w:val="21"/>
                <w:szCs w:val="21"/>
              </w:rPr>
              <w:t>个</w:t>
            </w:r>
          </w:p>
          <w:p w14:paraId="70E0DDCD" w14:textId="77777777" w:rsidR="00B0005F" w:rsidRPr="008A2411" w:rsidRDefault="00000000">
            <w:pPr>
              <w:rPr>
                <w:rFonts w:ascii="Times New Roman"/>
                <w:color w:val="000000" w:themeColor="text1"/>
                <w:sz w:val="21"/>
                <w:szCs w:val="21"/>
              </w:rPr>
            </w:pPr>
            <w:r w:rsidRPr="008A2411">
              <w:rPr>
                <w:rFonts w:ascii="Times New Roman"/>
                <w:b/>
                <w:color w:val="000000" w:themeColor="text1"/>
                <w:sz w:val="21"/>
                <w:szCs w:val="21"/>
              </w:rPr>
              <w:t>特征因子：</w:t>
            </w:r>
            <w:r w:rsidRPr="008A2411">
              <w:rPr>
                <w:rFonts w:ascii="Times New Roman"/>
                <w:color w:val="000000" w:themeColor="text1"/>
                <w:sz w:val="21"/>
                <w:szCs w:val="21"/>
              </w:rPr>
              <w:t>石油烃（</w:t>
            </w:r>
            <w:r w:rsidRPr="008A2411">
              <w:rPr>
                <w:rFonts w:ascii="Times New Roman"/>
                <w:color w:val="000000" w:themeColor="text1"/>
                <w:sz w:val="21"/>
                <w:szCs w:val="21"/>
              </w:rPr>
              <w:t>C10-C40</w:t>
            </w:r>
            <w:r w:rsidRPr="008A2411">
              <w:rPr>
                <w:rFonts w:ascii="Times New Roman"/>
                <w:color w:val="000000" w:themeColor="text1"/>
                <w:sz w:val="21"/>
                <w:szCs w:val="21"/>
              </w:rPr>
              <w:t>）、</w:t>
            </w:r>
            <w:r w:rsidRPr="008A2411">
              <w:rPr>
                <w:rFonts w:ascii="Times New Roman"/>
                <w:color w:val="000000" w:themeColor="text1"/>
                <w:sz w:val="21"/>
                <w:szCs w:val="21"/>
              </w:rPr>
              <w:t>Hg</w:t>
            </w:r>
            <w:r w:rsidRPr="008A2411">
              <w:rPr>
                <w:rFonts w:ascii="Times New Roman"/>
                <w:color w:val="000000" w:themeColor="text1"/>
                <w:sz w:val="21"/>
                <w:szCs w:val="21"/>
              </w:rPr>
              <w:t>、氯化物、硫化物</w:t>
            </w:r>
          </w:p>
        </w:tc>
      </w:tr>
      <w:tr w:rsidR="008A2411" w:rsidRPr="008A2411" w14:paraId="3EB60E74" w14:textId="77777777">
        <w:trPr>
          <w:cantSplit/>
          <w:trHeight w:val="624"/>
        </w:trPr>
        <w:tc>
          <w:tcPr>
            <w:tcW w:w="422" w:type="pct"/>
            <w:vAlign w:val="center"/>
          </w:tcPr>
          <w:p w14:paraId="7D48C497"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T6</w:t>
            </w:r>
          </w:p>
        </w:tc>
        <w:tc>
          <w:tcPr>
            <w:tcW w:w="726" w:type="pct"/>
            <w:vAlign w:val="center"/>
          </w:tcPr>
          <w:p w14:paraId="6BAACC1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厂界东侧</w:t>
            </w:r>
            <w:r w:rsidRPr="008A2411">
              <w:rPr>
                <w:rFonts w:ascii="Times New Roman"/>
                <w:color w:val="000000" w:themeColor="text1"/>
                <w:sz w:val="21"/>
                <w:szCs w:val="21"/>
              </w:rPr>
              <w:t>70m</w:t>
            </w:r>
            <w:r w:rsidRPr="008A2411">
              <w:rPr>
                <w:rFonts w:ascii="Times New Roman"/>
                <w:color w:val="000000" w:themeColor="text1"/>
                <w:sz w:val="21"/>
                <w:szCs w:val="21"/>
              </w:rPr>
              <w:t>农田</w:t>
            </w:r>
          </w:p>
        </w:tc>
        <w:tc>
          <w:tcPr>
            <w:tcW w:w="539" w:type="pct"/>
            <w:vAlign w:val="center"/>
          </w:tcPr>
          <w:p w14:paraId="126381B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107.6959</w:t>
            </w:r>
          </w:p>
        </w:tc>
        <w:tc>
          <w:tcPr>
            <w:tcW w:w="563" w:type="pct"/>
            <w:vAlign w:val="center"/>
          </w:tcPr>
          <w:p w14:paraId="0E7425B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31.5173</w:t>
            </w:r>
          </w:p>
        </w:tc>
        <w:tc>
          <w:tcPr>
            <w:tcW w:w="993" w:type="pct"/>
            <w:vMerge/>
            <w:vAlign w:val="center"/>
          </w:tcPr>
          <w:p w14:paraId="18D7CE53" w14:textId="77777777" w:rsidR="00B0005F" w:rsidRPr="008A2411" w:rsidRDefault="00B0005F">
            <w:pPr>
              <w:jc w:val="center"/>
              <w:rPr>
                <w:rFonts w:ascii="Times New Roman"/>
                <w:color w:val="000000" w:themeColor="text1"/>
                <w:sz w:val="21"/>
                <w:szCs w:val="21"/>
              </w:rPr>
            </w:pPr>
          </w:p>
        </w:tc>
        <w:tc>
          <w:tcPr>
            <w:tcW w:w="1756" w:type="pct"/>
            <w:vAlign w:val="center"/>
          </w:tcPr>
          <w:p w14:paraId="2A130EC2" w14:textId="77777777" w:rsidR="00B0005F" w:rsidRPr="008A2411" w:rsidRDefault="00000000">
            <w:pPr>
              <w:rPr>
                <w:rFonts w:ascii="Times New Roman"/>
                <w:b/>
                <w:color w:val="000000" w:themeColor="text1"/>
                <w:sz w:val="21"/>
                <w:szCs w:val="21"/>
              </w:rPr>
            </w:pPr>
            <w:r w:rsidRPr="008A2411">
              <w:rPr>
                <w:rFonts w:ascii="Times New Roman"/>
                <w:b/>
                <w:color w:val="000000" w:themeColor="text1"/>
                <w:sz w:val="21"/>
                <w:szCs w:val="21"/>
              </w:rPr>
              <w:t>理化性质：</w:t>
            </w:r>
            <w:r w:rsidRPr="008A2411">
              <w:rPr>
                <w:rFonts w:ascii="Times New Roman"/>
                <w:color w:val="000000" w:themeColor="text1"/>
                <w:sz w:val="21"/>
                <w:szCs w:val="21"/>
              </w:rPr>
              <w:t>pH</w:t>
            </w:r>
          </w:p>
          <w:p w14:paraId="382A02B1" w14:textId="77777777" w:rsidR="00B0005F" w:rsidRPr="008A2411" w:rsidRDefault="00000000">
            <w:pPr>
              <w:rPr>
                <w:rFonts w:ascii="Times New Roman"/>
                <w:color w:val="000000" w:themeColor="text1"/>
                <w:sz w:val="21"/>
                <w:szCs w:val="21"/>
              </w:rPr>
            </w:pPr>
            <w:r w:rsidRPr="008A2411">
              <w:rPr>
                <w:rFonts w:ascii="Times New Roman"/>
                <w:b/>
                <w:color w:val="000000" w:themeColor="text1"/>
                <w:sz w:val="21"/>
                <w:szCs w:val="21"/>
              </w:rPr>
              <w:t>特征因子：</w:t>
            </w:r>
            <w:r w:rsidRPr="008A2411">
              <w:rPr>
                <w:rFonts w:ascii="Times New Roman"/>
                <w:color w:val="000000" w:themeColor="text1"/>
                <w:sz w:val="21"/>
                <w:szCs w:val="21"/>
              </w:rPr>
              <w:t>石油烃、</w:t>
            </w:r>
            <w:r w:rsidRPr="008A2411">
              <w:rPr>
                <w:rFonts w:ascii="Times New Roman"/>
                <w:color w:val="000000" w:themeColor="text1"/>
                <w:sz w:val="21"/>
                <w:szCs w:val="21"/>
              </w:rPr>
              <w:t>Hg</w:t>
            </w:r>
            <w:r w:rsidRPr="008A2411">
              <w:rPr>
                <w:rFonts w:ascii="Times New Roman"/>
                <w:color w:val="000000" w:themeColor="text1"/>
                <w:sz w:val="21"/>
                <w:szCs w:val="21"/>
              </w:rPr>
              <w:t>、氯化物、硫化物</w:t>
            </w:r>
          </w:p>
        </w:tc>
      </w:tr>
    </w:tbl>
    <w:p w14:paraId="69553CEC" w14:textId="77777777" w:rsidR="00B0005F" w:rsidRPr="008A2411" w:rsidRDefault="00000000">
      <w:pPr>
        <w:pStyle w:val="afffffffffffffffffffff0"/>
        <w:ind w:firstLine="482"/>
        <w:rPr>
          <w:b/>
          <w:bCs/>
          <w:color w:val="000000" w:themeColor="text1"/>
        </w:rPr>
      </w:pPr>
      <w:r w:rsidRPr="008A2411">
        <w:rPr>
          <w:b/>
          <w:bCs/>
          <w:color w:val="000000" w:themeColor="text1"/>
        </w:rPr>
        <w:t>（</w:t>
      </w:r>
      <w:r w:rsidRPr="008A2411">
        <w:rPr>
          <w:b/>
          <w:bCs/>
          <w:color w:val="000000" w:themeColor="text1"/>
        </w:rPr>
        <w:t>2</w:t>
      </w:r>
      <w:r w:rsidRPr="008A2411">
        <w:rPr>
          <w:b/>
          <w:bCs/>
          <w:color w:val="000000" w:themeColor="text1"/>
        </w:rPr>
        <w:t>）评价标准与方法</w:t>
      </w:r>
    </w:p>
    <w:p w14:paraId="060F2033" w14:textId="77777777" w:rsidR="00B0005F" w:rsidRPr="008A2411" w:rsidRDefault="00000000">
      <w:pPr>
        <w:pStyle w:val="afffffffffffffffffffff0"/>
        <w:ind w:firstLine="480"/>
        <w:rPr>
          <w:color w:val="000000" w:themeColor="text1"/>
        </w:rPr>
      </w:pPr>
      <w:r w:rsidRPr="008A2411">
        <w:rPr>
          <w:color w:val="000000" w:themeColor="text1"/>
        </w:rPr>
        <w:t>项目各土壤监测点执行标准情况见下表</w:t>
      </w:r>
      <w:r w:rsidRPr="008A2411">
        <w:rPr>
          <w:color w:val="000000" w:themeColor="text1"/>
        </w:rPr>
        <w:t>4.5-3</w:t>
      </w:r>
      <w:r w:rsidRPr="008A2411">
        <w:rPr>
          <w:color w:val="000000" w:themeColor="text1"/>
        </w:rPr>
        <w:t>。</w:t>
      </w:r>
    </w:p>
    <w:p w14:paraId="0D52FEAD" w14:textId="77777777" w:rsidR="00B0005F" w:rsidRPr="008A2411" w:rsidRDefault="00000000">
      <w:pPr>
        <w:pStyle w:val="afffffffffffffffffffff0"/>
        <w:ind w:firstLineChars="0" w:firstLine="0"/>
        <w:jc w:val="center"/>
        <w:rPr>
          <w:color w:val="000000" w:themeColor="text1"/>
        </w:rPr>
      </w:pPr>
      <w:r w:rsidRPr="008A2411">
        <w:rPr>
          <w:rFonts w:eastAsia="黑体"/>
          <w:color w:val="000000" w:themeColor="text1"/>
          <w:szCs w:val="21"/>
        </w:rPr>
        <w:t>表</w:t>
      </w:r>
      <w:r w:rsidRPr="008A2411">
        <w:rPr>
          <w:rFonts w:eastAsia="黑体"/>
          <w:color w:val="000000" w:themeColor="text1"/>
          <w:szCs w:val="21"/>
        </w:rPr>
        <w:t xml:space="preserve">4.5-3  </w:t>
      </w:r>
      <w:r w:rsidRPr="008A2411">
        <w:rPr>
          <w:rFonts w:eastAsia="黑体"/>
          <w:color w:val="000000" w:themeColor="text1"/>
          <w:szCs w:val="21"/>
        </w:rPr>
        <w:t>项目各点位土壤环境质量执行标准情况表</w:t>
      </w:r>
    </w:p>
    <w:tbl>
      <w:tblPr>
        <w:tblStyle w:val="affff9"/>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84"/>
        <w:gridCol w:w="6838"/>
      </w:tblGrid>
      <w:tr w:rsidR="008A2411" w:rsidRPr="008A2411" w14:paraId="04E7BDAB" w14:textId="77777777">
        <w:trPr>
          <w:trHeight w:val="326"/>
          <w:tblHeader/>
          <w:jc w:val="center"/>
        </w:trPr>
        <w:tc>
          <w:tcPr>
            <w:tcW w:w="988" w:type="pct"/>
            <w:vAlign w:val="center"/>
          </w:tcPr>
          <w:p w14:paraId="4400E486" w14:textId="77777777" w:rsidR="00B0005F" w:rsidRPr="008A2411" w:rsidRDefault="00000000">
            <w:pPr>
              <w:jc w:val="center"/>
              <w:rPr>
                <w:rFonts w:ascii="Times New Roman"/>
                <w:b/>
                <w:bCs/>
                <w:color w:val="000000" w:themeColor="text1"/>
                <w:sz w:val="21"/>
                <w:szCs w:val="21"/>
              </w:rPr>
            </w:pPr>
            <w:r w:rsidRPr="008A2411">
              <w:rPr>
                <w:rFonts w:ascii="Times New Roman"/>
                <w:b/>
                <w:bCs/>
                <w:color w:val="000000" w:themeColor="text1"/>
                <w:sz w:val="21"/>
                <w:szCs w:val="21"/>
              </w:rPr>
              <w:t>编号</w:t>
            </w:r>
          </w:p>
        </w:tc>
        <w:tc>
          <w:tcPr>
            <w:tcW w:w="4012" w:type="pct"/>
            <w:vAlign w:val="center"/>
          </w:tcPr>
          <w:p w14:paraId="714BD2ED" w14:textId="77777777" w:rsidR="00B0005F" w:rsidRPr="008A2411" w:rsidRDefault="00000000">
            <w:pPr>
              <w:jc w:val="center"/>
              <w:rPr>
                <w:rFonts w:ascii="Times New Roman"/>
                <w:b/>
                <w:bCs/>
                <w:color w:val="000000" w:themeColor="text1"/>
                <w:sz w:val="21"/>
                <w:szCs w:val="21"/>
              </w:rPr>
            </w:pPr>
            <w:r w:rsidRPr="008A2411">
              <w:rPr>
                <w:rFonts w:ascii="Times New Roman"/>
                <w:b/>
                <w:bCs/>
                <w:color w:val="000000" w:themeColor="text1"/>
                <w:sz w:val="21"/>
                <w:szCs w:val="21"/>
              </w:rPr>
              <w:t>执行标准</w:t>
            </w:r>
          </w:p>
        </w:tc>
      </w:tr>
      <w:tr w:rsidR="008A2411" w:rsidRPr="008A2411" w14:paraId="3F7047FB" w14:textId="77777777">
        <w:trPr>
          <w:trHeight w:val="150"/>
          <w:jc w:val="center"/>
        </w:trPr>
        <w:tc>
          <w:tcPr>
            <w:tcW w:w="988" w:type="pct"/>
            <w:vAlign w:val="center"/>
          </w:tcPr>
          <w:p w14:paraId="49640E6E"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w:t>
            </w:r>
          </w:p>
        </w:tc>
        <w:tc>
          <w:tcPr>
            <w:tcW w:w="4012" w:type="pct"/>
            <w:vMerge w:val="restart"/>
            <w:vAlign w:val="center"/>
          </w:tcPr>
          <w:p w14:paraId="1E8A6C7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《土壤环境质量</w:t>
            </w:r>
            <w:r w:rsidRPr="008A2411">
              <w:rPr>
                <w:rFonts w:ascii="Times New Roman"/>
                <w:color w:val="000000" w:themeColor="text1"/>
                <w:sz w:val="21"/>
                <w:szCs w:val="21"/>
              </w:rPr>
              <w:t xml:space="preserve"> </w:t>
            </w:r>
            <w:r w:rsidRPr="008A2411">
              <w:rPr>
                <w:rFonts w:ascii="Times New Roman"/>
                <w:color w:val="000000" w:themeColor="text1"/>
                <w:sz w:val="21"/>
                <w:szCs w:val="21"/>
              </w:rPr>
              <w:t>建设用地土壤污染风险管控标准（试行）》（</w:t>
            </w:r>
            <w:r w:rsidRPr="008A2411">
              <w:rPr>
                <w:rFonts w:ascii="Times New Roman"/>
                <w:color w:val="000000" w:themeColor="text1"/>
                <w:sz w:val="21"/>
                <w:szCs w:val="21"/>
              </w:rPr>
              <w:t>GB36600-2018</w:t>
            </w:r>
            <w:r w:rsidRPr="008A2411">
              <w:rPr>
                <w:rFonts w:ascii="Times New Roman"/>
                <w:color w:val="000000" w:themeColor="text1"/>
                <w:sz w:val="21"/>
                <w:szCs w:val="21"/>
              </w:rPr>
              <w:t>）表</w:t>
            </w:r>
            <w:r w:rsidRPr="008A2411">
              <w:rPr>
                <w:rFonts w:ascii="Times New Roman"/>
                <w:color w:val="000000" w:themeColor="text1"/>
                <w:sz w:val="21"/>
                <w:szCs w:val="21"/>
              </w:rPr>
              <w:t>1</w:t>
            </w:r>
            <w:r w:rsidRPr="008A2411">
              <w:rPr>
                <w:rFonts w:ascii="Times New Roman"/>
                <w:color w:val="000000" w:themeColor="text1"/>
                <w:sz w:val="21"/>
                <w:szCs w:val="21"/>
              </w:rPr>
              <w:t>、表</w:t>
            </w:r>
            <w:r w:rsidRPr="008A2411">
              <w:rPr>
                <w:rFonts w:ascii="Times New Roman"/>
                <w:color w:val="000000" w:themeColor="text1"/>
                <w:sz w:val="21"/>
                <w:szCs w:val="21"/>
              </w:rPr>
              <w:t>2</w:t>
            </w:r>
            <w:r w:rsidRPr="008A2411">
              <w:rPr>
                <w:rFonts w:ascii="Times New Roman"/>
                <w:color w:val="000000" w:themeColor="text1"/>
                <w:sz w:val="21"/>
                <w:szCs w:val="21"/>
              </w:rPr>
              <w:t>中建设用地土壤污染风险第二类用地筛选值</w:t>
            </w:r>
          </w:p>
        </w:tc>
      </w:tr>
      <w:tr w:rsidR="008A2411" w:rsidRPr="008A2411" w14:paraId="147D5E63" w14:textId="77777777">
        <w:trPr>
          <w:trHeight w:val="184"/>
          <w:jc w:val="center"/>
        </w:trPr>
        <w:tc>
          <w:tcPr>
            <w:tcW w:w="988" w:type="pct"/>
            <w:vAlign w:val="center"/>
          </w:tcPr>
          <w:p w14:paraId="518642D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w:t>
            </w:r>
          </w:p>
        </w:tc>
        <w:tc>
          <w:tcPr>
            <w:tcW w:w="4012" w:type="pct"/>
            <w:vMerge/>
            <w:vAlign w:val="center"/>
          </w:tcPr>
          <w:p w14:paraId="26BF506E" w14:textId="77777777" w:rsidR="00B0005F" w:rsidRPr="008A2411" w:rsidRDefault="00B0005F">
            <w:pPr>
              <w:jc w:val="center"/>
              <w:rPr>
                <w:rFonts w:ascii="Times New Roman"/>
                <w:bCs/>
                <w:color w:val="000000" w:themeColor="text1"/>
                <w:sz w:val="21"/>
                <w:szCs w:val="21"/>
              </w:rPr>
            </w:pPr>
          </w:p>
        </w:tc>
      </w:tr>
      <w:tr w:rsidR="008A2411" w:rsidRPr="008A2411" w14:paraId="719C5C87" w14:textId="77777777">
        <w:trPr>
          <w:trHeight w:val="326"/>
          <w:jc w:val="center"/>
        </w:trPr>
        <w:tc>
          <w:tcPr>
            <w:tcW w:w="988" w:type="pct"/>
            <w:vAlign w:val="center"/>
          </w:tcPr>
          <w:p w14:paraId="289AA7F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3#</w:t>
            </w:r>
          </w:p>
        </w:tc>
        <w:tc>
          <w:tcPr>
            <w:tcW w:w="4012" w:type="pct"/>
            <w:vMerge/>
            <w:vAlign w:val="center"/>
          </w:tcPr>
          <w:p w14:paraId="5029E0A8" w14:textId="77777777" w:rsidR="00B0005F" w:rsidRPr="008A2411" w:rsidRDefault="00B0005F">
            <w:pPr>
              <w:jc w:val="center"/>
              <w:rPr>
                <w:rFonts w:ascii="Times New Roman"/>
                <w:bCs/>
                <w:color w:val="000000" w:themeColor="text1"/>
                <w:sz w:val="21"/>
                <w:szCs w:val="21"/>
              </w:rPr>
            </w:pPr>
          </w:p>
        </w:tc>
      </w:tr>
      <w:tr w:rsidR="008A2411" w:rsidRPr="008A2411" w14:paraId="354339FA" w14:textId="77777777">
        <w:trPr>
          <w:trHeight w:val="326"/>
          <w:jc w:val="center"/>
        </w:trPr>
        <w:tc>
          <w:tcPr>
            <w:tcW w:w="988" w:type="pct"/>
            <w:vAlign w:val="center"/>
          </w:tcPr>
          <w:p w14:paraId="16969C8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4#</w:t>
            </w:r>
          </w:p>
        </w:tc>
        <w:tc>
          <w:tcPr>
            <w:tcW w:w="4012" w:type="pct"/>
            <w:vMerge/>
            <w:vAlign w:val="center"/>
          </w:tcPr>
          <w:p w14:paraId="2AFFE00E" w14:textId="77777777" w:rsidR="00B0005F" w:rsidRPr="008A2411" w:rsidRDefault="00B0005F">
            <w:pPr>
              <w:jc w:val="center"/>
              <w:rPr>
                <w:rFonts w:ascii="Times New Roman"/>
                <w:bCs/>
                <w:color w:val="000000" w:themeColor="text1"/>
                <w:sz w:val="21"/>
                <w:szCs w:val="21"/>
              </w:rPr>
            </w:pPr>
          </w:p>
        </w:tc>
      </w:tr>
      <w:tr w:rsidR="008A2411" w:rsidRPr="008A2411" w14:paraId="2459AEB6" w14:textId="77777777">
        <w:trPr>
          <w:trHeight w:val="326"/>
          <w:jc w:val="center"/>
        </w:trPr>
        <w:tc>
          <w:tcPr>
            <w:tcW w:w="988" w:type="pct"/>
            <w:vAlign w:val="center"/>
          </w:tcPr>
          <w:p w14:paraId="6F13EAD5"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5#</w:t>
            </w:r>
          </w:p>
        </w:tc>
        <w:tc>
          <w:tcPr>
            <w:tcW w:w="4012" w:type="pct"/>
            <w:vMerge w:val="restart"/>
            <w:vAlign w:val="center"/>
          </w:tcPr>
          <w:p w14:paraId="6A24E45D"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《土壤环境质量</w:t>
            </w:r>
            <w:r w:rsidRPr="008A2411">
              <w:rPr>
                <w:rFonts w:ascii="Times New Roman"/>
                <w:bCs/>
                <w:color w:val="000000" w:themeColor="text1"/>
                <w:sz w:val="21"/>
                <w:szCs w:val="21"/>
              </w:rPr>
              <w:t xml:space="preserve"> </w:t>
            </w:r>
            <w:r w:rsidRPr="008A2411">
              <w:rPr>
                <w:rFonts w:ascii="Times New Roman"/>
                <w:bCs/>
                <w:color w:val="000000" w:themeColor="text1"/>
                <w:sz w:val="21"/>
                <w:szCs w:val="21"/>
              </w:rPr>
              <w:t>农用地土壤污染风险管控标准（试行）》（</w:t>
            </w:r>
            <w:r w:rsidRPr="008A2411">
              <w:rPr>
                <w:rFonts w:ascii="Times New Roman"/>
                <w:bCs/>
                <w:color w:val="000000" w:themeColor="text1"/>
                <w:sz w:val="21"/>
                <w:szCs w:val="21"/>
              </w:rPr>
              <w:t>GB15618-2018</w:t>
            </w:r>
            <w:r w:rsidRPr="008A2411">
              <w:rPr>
                <w:rFonts w:ascii="Times New Roman"/>
                <w:bCs/>
                <w:color w:val="000000" w:themeColor="text1"/>
                <w:sz w:val="21"/>
                <w:szCs w:val="21"/>
              </w:rPr>
              <w:t>）表</w:t>
            </w:r>
            <w:r w:rsidRPr="008A2411">
              <w:rPr>
                <w:rFonts w:ascii="Times New Roman"/>
                <w:bCs/>
                <w:color w:val="000000" w:themeColor="text1"/>
                <w:sz w:val="21"/>
                <w:szCs w:val="21"/>
              </w:rPr>
              <w:t>1</w:t>
            </w:r>
            <w:r w:rsidRPr="008A2411">
              <w:rPr>
                <w:rFonts w:ascii="Times New Roman"/>
                <w:bCs/>
                <w:color w:val="000000" w:themeColor="text1"/>
                <w:sz w:val="21"/>
                <w:szCs w:val="21"/>
              </w:rPr>
              <w:t>中风险筛选值，</w:t>
            </w:r>
            <w:bookmarkStart w:id="281" w:name="_Hlk68616008"/>
            <w:r w:rsidRPr="008A2411">
              <w:rPr>
                <w:rFonts w:ascii="Times New Roman"/>
                <w:bCs/>
                <w:color w:val="000000" w:themeColor="text1"/>
                <w:sz w:val="21"/>
                <w:szCs w:val="21"/>
              </w:rPr>
              <w:t>石油烃（</w:t>
            </w:r>
            <w:r w:rsidRPr="008A2411">
              <w:rPr>
                <w:rFonts w:ascii="Times New Roman"/>
                <w:bCs/>
                <w:color w:val="000000" w:themeColor="text1"/>
                <w:sz w:val="21"/>
                <w:szCs w:val="21"/>
              </w:rPr>
              <w:t>C</w:t>
            </w:r>
            <w:r w:rsidRPr="008A2411">
              <w:rPr>
                <w:rFonts w:ascii="Times New Roman"/>
                <w:bCs/>
                <w:color w:val="000000" w:themeColor="text1"/>
                <w:sz w:val="21"/>
                <w:szCs w:val="21"/>
                <w:vertAlign w:val="subscript"/>
              </w:rPr>
              <w:t>10</w:t>
            </w:r>
            <w:r w:rsidRPr="008A2411">
              <w:rPr>
                <w:rFonts w:ascii="Times New Roman"/>
                <w:bCs/>
                <w:color w:val="000000" w:themeColor="text1"/>
                <w:sz w:val="21"/>
                <w:szCs w:val="21"/>
              </w:rPr>
              <w:t>~C</w:t>
            </w:r>
            <w:r w:rsidRPr="008A2411">
              <w:rPr>
                <w:rFonts w:ascii="Times New Roman"/>
                <w:bCs/>
                <w:color w:val="000000" w:themeColor="text1"/>
                <w:sz w:val="21"/>
                <w:szCs w:val="21"/>
                <w:vertAlign w:val="subscript"/>
              </w:rPr>
              <w:t>40</w:t>
            </w:r>
            <w:r w:rsidRPr="008A2411">
              <w:rPr>
                <w:rFonts w:ascii="Times New Roman"/>
                <w:bCs/>
                <w:color w:val="000000" w:themeColor="text1"/>
                <w:sz w:val="21"/>
                <w:szCs w:val="21"/>
              </w:rPr>
              <w:t>）参照执行</w:t>
            </w:r>
            <w:r w:rsidRPr="008A2411">
              <w:rPr>
                <w:rFonts w:ascii="Times New Roman"/>
                <w:color w:val="000000" w:themeColor="text1"/>
                <w:sz w:val="21"/>
                <w:szCs w:val="21"/>
              </w:rPr>
              <w:t>《土壤环境质量</w:t>
            </w:r>
            <w:r w:rsidRPr="008A2411">
              <w:rPr>
                <w:rFonts w:ascii="Times New Roman"/>
                <w:color w:val="000000" w:themeColor="text1"/>
                <w:sz w:val="21"/>
                <w:szCs w:val="21"/>
              </w:rPr>
              <w:t xml:space="preserve"> </w:t>
            </w:r>
            <w:r w:rsidRPr="008A2411">
              <w:rPr>
                <w:rFonts w:ascii="Times New Roman"/>
                <w:color w:val="000000" w:themeColor="text1"/>
                <w:sz w:val="21"/>
                <w:szCs w:val="21"/>
              </w:rPr>
              <w:t>建设用地土壤污染风险管控标准（试行）》（</w:t>
            </w:r>
            <w:r w:rsidRPr="008A2411">
              <w:rPr>
                <w:rFonts w:ascii="Times New Roman"/>
                <w:color w:val="000000" w:themeColor="text1"/>
                <w:sz w:val="21"/>
                <w:szCs w:val="21"/>
              </w:rPr>
              <w:t>GB36600-2018</w:t>
            </w:r>
            <w:r w:rsidRPr="008A2411">
              <w:rPr>
                <w:rFonts w:ascii="Times New Roman"/>
                <w:color w:val="000000" w:themeColor="text1"/>
                <w:sz w:val="21"/>
                <w:szCs w:val="21"/>
              </w:rPr>
              <w:t>）表</w:t>
            </w:r>
            <w:r w:rsidRPr="008A2411">
              <w:rPr>
                <w:rFonts w:ascii="Times New Roman"/>
                <w:color w:val="000000" w:themeColor="text1"/>
                <w:sz w:val="21"/>
                <w:szCs w:val="21"/>
              </w:rPr>
              <w:t>1</w:t>
            </w:r>
            <w:r w:rsidRPr="008A2411">
              <w:rPr>
                <w:rFonts w:ascii="Times New Roman"/>
                <w:color w:val="000000" w:themeColor="text1"/>
                <w:sz w:val="21"/>
                <w:szCs w:val="21"/>
              </w:rPr>
              <w:t>中建设用地土壤污染</w:t>
            </w:r>
            <w:proofErr w:type="gramStart"/>
            <w:r w:rsidRPr="008A2411">
              <w:rPr>
                <w:rFonts w:ascii="Times New Roman"/>
                <w:color w:val="000000" w:themeColor="text1"/>
                <w:sz w:val="21"/>
                <w:szCs w:val="21"/>
              </w:rPr>
              <w:t>风险第</w:t>
            </w:r>
            <w:proofErr w:type="gramEnd"/>
            <w:r w:rsidRPr="008A2411">
              <w:rPr>
                <w:rFonts w:ascii="Times New Roman"/>
                <w:color w:val="000000" w:themeColor="text1"/>
                <w:sz w:val="21"/>
                <w:szCs w:val="21"/>
              </w:rPr>
              <w:t>一类用地筛选值</w:t>
            </w:r>
            <w:bookmarkEnd w:id="281"/>
          </w:p>
        </w:tc>
      </w:tr>
      <w:tr w:rsidR="00B0005F" w:rsidRPr="008A2411" w14:paraId="69E9BDF4" w14:textId="77777777">
        <w:trPr>
          <w:trHeight w:val="326"/>
          <w:jc w:val="center"/>
        </w:trPr>
        <w:tc>
          <w:tcPr>
            <w:tcW w:w="988" w:type="pct"/>
            <w:vAlign w:val="center"/>
          </w:tcPr>
          <w:p w14:paraId="1F90375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6#</w:t>
            </w:r>
          </w:p>
        </w:tc>
        <w:tc>
          <w:tcPr>
            <w:tcW w:w="4012" w:type="pct"/>
            <w:vMerge/>
            <w:vAlign w:val="center"/>
          </w:tcPr>
          <w:p w14:paraId="7AA6BE91" w14:textId="77777777" w:rsidR="00B0005F" w:rsidRPr="008A2411" w:rsidRDefault="00B0005F">
            <w:pPr>
              <w:jc w:val="center"/>
              <w:rPr>
                <w:rFonts w:ascii="Times New Roman"/>
                <w:bCs/>
                <w:color w:val="000000" w:themeColor="text1"/>
                <w:sz w:val="21"/>
                <w:szCs w:val="21"/>
              </w:rPr>
            </w:pPr>
          </w:p>
        </w:tc>
      </w:tr>
    </w:tbl>
    <w:p w14:paraId="47292E74" w14:textId="77777777" w:rsidR="00B0005F" w:rsidRPr="008A2411" w:rsidRDefault="00B0005F">
      <w:pPr>
        <w:pStyle w:val="afffffffffffffffffffff0"/>
        <w:ind w:firstLine="480"/>
        <w:rPr>
          <w:color w:val="000000" w:themeColor="text1"/>
        </w:rPr>
      </w:pPr>
    </w:p>
    <w:p w14:paraId="11E7F8CD" w14:textId="77777777" w:rsidR="00B0005F" w:rsidRPr="008A2411" w:rsidRDefault="00000000">
      <w:pPr>
        <w:pStyle w:val="afffffffffffffffffffff0"/>
        <w:ind w:firstLine="482"/>
        <w:rPr>
          <w:b/>
          <w:bCs/>
          <w:color w:val="000000" w:themeColor="text1"/>
        </w:rPr>
      </w:pPr>
      <w:r w:rsidRPr="008A2411">
        <w:rPr>
          <w:b/>
          <w:bCs/>
          <w:color w:val="000000" w:themeColor="text1"/>
        </w:rPr>
        <w:t>（</w:t>
      </w:r>
      <w:r w:rsidRPr="008A2411">
        <w:rPr>
          <w:b/>
          <w:bCs/>
          <w:color w:val="000000" w:themeColor="text1"/>
        </w:rPr>
        <w:t>3</w:t>
      </w:r>
      <w:r w:rsidRPr="008A2411">
        <w:rPr>
          <w:b/>
          <w:bCs/>
          <w:color w:val="000000" w:themeColor="text1"/>
        </w:rPr>
        <w:t>）评价结果</w:t>
      </w:r>
    </w:p>
    <w:p w14:paraId="0B409017" w14:textId="77777777" w:rsidR="00B0005F" w:rsidRPr="008A2411" w:rsidRDefault="00000000">
      <w:pPr>
        <w:pStyle w:val="afffffffffffffffffffff0"/>
        <w:ind w:firstLine="480"/>
        <w:rPr>
          <w:color w:val="000000" w:themeColor="text1"/>
        </w:rPr>
      </w:pPr>
      <w:r w:rsidRPr="008A2411">
        <w:rPr>
          <w:color w:val="000000" w:themeColor="text1"/>
        </w:rPr>
        <w:t>本项目各点土壤环境质量现状监测结果统计及评价见表</w:t>
      </w:r>
      <w:r w:rsidRPr="008A2411">
        <w:rPr>
          <w:color w:val="000000" w:themeColor="text1"/>
        </w:rPr>
        <w:t>4.5-4~4.5~6</w:t>
      </w:r>
      <w:r w:rsidRPr="008A2411">
        <w:rPr>
          <w:color w:val="000000" w:themeColor="text1"/>
        </w:rPr>
        <w:t>。</w:t>
      </w:r>
    </w:p>
    <w:p w14:paraId="46E47E00" w14:textId="77777777" w:rsidR="00B0005F" w:rsidRPr="008A2411" w:rsidRDefault="00000000">
      <w:pPr>
        <w:pStyle w:val="TOC1"/>
        <w:jc w:val="center"/>
        <w:rPr>
          <w:rFonts w:ascii="Times New Roman" w:eastAsia="黑体" w:hAnsi="Times New Roman" w:cs="Times New Roman"/>
          <w:b w:val="0"/>
          <w:bCs w:val="0"/>
          <w:caps w:val="0"/>
          <w:color w:val="000000" w:themeColor="text1"/>
          <w:sz w:val="24"/>
          <w:szCs w:val="21"/>
        </w:rPr>
      </w:pPr>
      <w:r w:rsidRPr="008A2411">
        <w:rPr>
          <w:rFonts w:ascii="Times New Roman" w:eastAsia="黑体" w:hAnsi="Times New Roman" w:cs="Times New Roman"/>
          <w:b w:val="0"/>
          <w:bCs w:val="0"/>
          <w:caps w:val="0"/>
          <w:color w:val="000000" w:themeColor="text1"/>
          <w:sz w:val="24"/>
          <w:szCs w:val="21"/>
        </w:rPr>
        <w:t>表</w:t>
      </w:r>
      <w:r w:rsidRPr="008A2411">
        <w:rPr>
          <w:rFonts w:ascii="Times New Roman" w:eastAsia="黑体" w:hAnsi="Times New Roman" w:cs="Times New Roman"/>
          <w:b w:val="0"/>
          <w:bCs w:val="0"/>
          <w:caps w:val="0"/>
          <w:color w:val="000000" w:themeColor="text1"/>
          <w:sz w:val="24"/>
          <w:szCs w:val="21"/>
        </w:rPr>
        <w:t xml:space="preserve">4.5-4  </w:t>
      </w:r>
      <w:r w:rsidRPr="008A2411">
        <w:rPr>
          <w:rFonts w:ascii="Times New Roman" w:eastAsia="黑体" w:hAnsi="Times New Roman" w:cs="Times New Roman"/>
          <w:b w:val="0"/>
          <w:bCs w:val="0"/>
          <w:caps w:val="0"/>
          <w:color w:val="000000" w:themeColor="text1"/>
          <w:sz w:val="24"/>
          <w:szCs w:val="21"/>
        </w:rPr>
        <w:t>特征因子现状监测统计表</w:t>
      </w:r>
      <w:r w:rsidRPr="008A2411">
        <w:rPr>
          <w:rFonts w:ascii="Times New Roman" w:eastAsia="黑体" w:hAnsi="Times New Roman" w:cs="Times New Roman"/>
          <w:b w:val="0"/>
          <w:bCs w:val="0"/>
          <w:caps w:val="0"/>
          <w:color w:val="000000" w:themeColor="text1"/>
          <w:sz w:val="24"/>
          <w:szCs w:val="21"/>
        </w:rPr>
        <w:t xml:space="preserve">  </w:t>
      </w:r>
      <w:r w:rsidRPr="008A2411">
        <w:rPr>
          <w:rFonts w:ascii="Times New Roman" w:eastAsia="黑体" w:hAnsi="Times New Roman" w:cs="Times New Roman"/>
          <w:b w:val="0"/>
          <w:bCs w:val="0"/>
          <w:caps w:val="0"/>
          <w:color w:val="000000" w:themeColor="text1"/>
          <w:sz w:val="24"/>
          <w:szCs w:val="21"/>
        </w:rPr>
        <w:t>单位：</w:t>
      </w:r>
      <w:r w:rsidRPr="008A2411">
        <w:rPr>
          <w:rFonts w:ascii="Times New Roman" w:eastAsia="黑体" w:hAnsi="Times New Roman" w:cs="Times New Roman"/>
          <w:b w:val="0"/>
          <w:bCs w:val="0"/>
          <w:caps w:val="0"/>
          <w:color w:val="000000" w:themeColor="text1"/>
          <w:sz w:val="24"/>
          <w:szCs w:val="21"/>
        </w:rPr>
        <w:t>mg/kg</w:t>
      </w:r>
    </w:p>
    <w:tbl>
      <w:tblPr>
        <w:tblW w:w="499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1"/>
        <w:gridCol w:w="1379"/>
        <w:gridCol w:w="1040"/>
        <w:gridCol w:w="1040"/>
        <w:gridCol w:w="1061"/>
        <w:gridCol w:w="1101"/>
        <w:gridCol w:w="1079"/>
        <w:gridCol w:w="1118"/>
      </w:tblGrid>
      <w:tr w:rsidR="008A2411" w:rsidRPr="008A2411" w14:paraId="68BF6F58" w14:textId="77777777">
        <w:trPr>
          <w:trHeight w:val="23"/>
          <w:jc w:val="center"/>
        </w:trPr>
        <w:tc>
          <w:tcPr>
            <w:tcW w:w="411" w:type="pct"/>
            <w:vMerge w:val="restart"/>
            <w:vAlign w:val="center"/>
          </w:tcPr>
          <w:p w14:paraId="46C28FF4"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采样时间</w:t>
            </w:r>
          </w:p>
        </w:tc>
        <w:tc>
          <w:tcPr>
            <w:tcW w:w="809" w:type="pct"/>
            <w:vMerge w:val="restart"/>
            <w:vAlign w:val="center"/>
          </w:tcPr>
          <w:p w14:paraId="31196832"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项目</w:t>
            </w:r>
          </w:p>
        </w:tc>
        <w:tc>
          <w:tcPr>
            <w:tcW w:w="610" w:type="pct"/>
            <w:vMerge w:val="restart"/>
            <w:vAlign w:val="center"/>
          </w:tcPr>
          <w:p w14:paraId="36BF16DD"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单位</w:t>
            </w:r>
          </w:p>
        </w:tc>
        <w:tc>
          <w:tcPr>
            <w:tcW w:w="1878" w:type="pct"/>
            <w:gridSpan w:val="3"/>
            <w:vAlign w:val="center"/>
          </w:tcPr>
          <w:p w14:paraId="5BDCE7D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检测结果</w:t>
            </w:r>
          </w:p>
        </w:tc>
        <w:tc>
          <w:tcPr>
            <w:tcW w:w="633" w:type="pct"/>
            <w:vMerge w:val="restart"/>
            <w:vAlign w:val="center"/>
          </w:tcPr>
          <w:p w14:paraId="44B5F40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评价</w:t>
            </w:r>
          </w:p>
          <w:p w14:paraId="135E6AE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标准</w:t>
            </w:r>
          </w:p>
        </w:tc>
        <w:tc>
          <w:tcPr>
            <w:tcW w:w="656" w:type="pct"/>
            <w:vMerge w:val="restart"/>
            <w:vAlign w:val="center"/>
          </w:tcPr>
          <w:p w14:paraId="2837338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最大单项指数（</w:t>
            </w:r>
            <w:r w:rsidRPr="008A2411">
              <w:rPr>
                <w:rFonts w:ascii="Times New Roman"/>
                <w:color w:val="000000" w:themeColor="text1"/>
                <w:sz w:val="21"/>
                <w:szCs w:val="21"/>
              </w:rPr>
              <w:t>Pimax</w:t>
            </w:r>
            <w:r w:rsidRPr="008A2411">
              <w:rPr>
                <w:rFonts w:ascii="Times New Roman"/>
                <w:color w:val="000000" w:themeColor="text1"/>
                <w:sz w:val="21"/>
                <w:szCs w:val="21"/>
              </w:rPr>
              <w:t>）</w:t>
            </w:r>
          </w:p>
        </w:tc>
      </w:tr>
      <w:tr w:rsidR="008A2411" w:rsidRPr="008A2411" w14:paraId="4A21EB28" w14:textId="77777777">
        <w:trPr>
          <w:trHeight w:val="23"/>
          <w:jc w:val="center"/>
        </w:trPr>
        <w:tc>
          <w:tcPr>
            <w:tcW w:w="411" w:type="pct"/>
            <w:vMerge/>
            <w:vAlign w:val="center"/>
          </w:tcPr>
          <w:p w14:paraId="131F6581" w14:textId="77777777" w:rsidR="00B0005F" w:rsidRPr="008A2411" w:rsidRDefault="00B0005F">
            <w:pPr>
              <w:jc w:val="center"/>
              <w:rPr>
                <w:rFonts w:ascii="Times New Roman"/>
                <w:color w:val="000000" w:themeColor="text1"/>
                <w:sz w:val="21"/>
                <w:szCs w:val="21"/>
              </w:rPr>
            </w:pPr>
          </w:p>
        </w:tc>
        <w:tc>
          <w:tcPr>
            <w:tcW w:w="809" w:type="pct"/>
            <w:vMerge/>
            <w:vAlign w:val="center"/>
          </w:tcPr>
          <w:p w14:paraId="3685B3DF" w14:textId="77777777" w:rsidR="00B0005F" w:rsidRPr="008A2411" w:rsidRDefault="00B0005F">
            <w:pPr>
              <w:jc w:val="center"/>
              <w:rPr>
                <w:rFonts w:ascii="Times New Roman"/>
                <w:color w:val="000000" w:themeColor="text1"/>
                <w:sz w:val="21"/>
                <w:szCs w:val="21"/>
              </w:rPr>
            </w:pPr>
          </w:p>
        </w:tc>
        <w:tc>
          <w:tcPr>
            <w:tcW w:w="610" w:type="pct"/>
            <w:vMerge/>
            <w:vAlign w:val="center"/>
          </w:tcPr>
          <w:p w14:paraId="425239B8" w14:textId="77777777" w:rsidR="00B0005F" w:rsidRPr="008A2411" w:rsidRDefault="00B0005F">
            <w:pPr>
              <w:jc w:val="center"/>
              <w:rPr>
                <w:rFonts w:ascii="Times New Roman"/>
                <w:color w:val="000000" w:themeColor="text1"/>
                <w:sz w:val="21"/>
                <w:szCs w:val="21"/>
              </w:rPr>
            </w:pPr>
          </w:p>
        </w:tc>
        <w:tc>
          <w:tcPr>
            <w:tcW w:w="610" w:type="pct"/>
            <w:vAlign w:val="center"/>
          </w:tcPr>
          <w:p w14:paraId="677D1B2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w:t>
            </w:r>
            <w:r w:rsidRPr="008A2411">
              <w:rPr>
                <w:rFonts w:ascii="Times New Roman"/>
                <w:color w:val="000000" w:themeColor="text1"/>
                <w:sz w:val="21"/>
                <w:szCs w:val="21"/>
              </w:rPr>
              <w:t>（表）</w:t>
            </w:r>
          </w:p>
        </w:tc>
        <w:tc>
          <w:tcPr>
            <w:tcW w:w="622" w:type="pct"/>
            <w:vAlign w:val="center"/>
          </w:tcPr>
          <w:p w14:paraId="4587F37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w:t>
            </w:r>
            <w:r w:rsidRPr="008A2411">
              <w:rPr>
                <w:rFonts w:ascii="Times New Roman"/>
                <w:color w:val="000000" w:themeColor="text1"/>
                <w:sz w:val="21"/>
                <w:szCs w:val="21"/>
              </w:rPr>
              <w:t>（中）</w:t>
            </w:r>
          </w:p>
        </w:tc>
        <w:tc>
          <w:tcPr>
            <w:tcW w:w="645" w:type="pct"/>
            <w:vAlign w:val="center"/>
          </w:tcPr>
          <w:p w14:paraId="0B9535CB"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w:t>
            </w:r>
            <w:r w:rsidRPr="008A2411">
              <w:rPr>
                <w:rFonts w:ascii="Times New Roman"/>
                <w:color w:val="000000" w:themeColor="text1"/>
                <w:sz w:val="21"/>
                <w:szCs w:val="21"/>
              </w:rPr>
              <w:t>（深）</w:t>
            </w:r>
          </w:p>
        </w:tc>
        <w:tc>
          <w:tcPr>
            <w:tcW w:w="633" w:type="pct"/>
            <w:vMerge/>
            <w:vAlign w:val="center"/>
          </w:tcPr>
          <w:p w14:paraId="763D5A60" w14:textId="77777777" w:rsidR="00B0005F" w:rsidRPr="008A2411" w:rsidRDefault="00B0005F">
            <w:pPr>
              <w:jc w:val="center"/>
              <w:rPr>
                <w:rFonts w:ascii="Times New Roman"/>
                <w:color w:val="000000" w:themeColor="text1"/>
                <w:sz w:val="21"/>
                <w:szCs w:val="21"/>
              </w:rPr>
            </w:pPr>
          </w:p>
        </w:tc>
        <w:tc>
          <w:tcPr>
            <w:tcW w:w="656" w:type="pct"/>
            <w:vMerge/>
            <w:vAlign w:val="center"/>
          </w:tcPr>
          <w:p w14:paraId="2AC10678" w14:textId="77777777" w:rsidR="00B0005F" w:rsidRPr="008A2411" w:rsidRDefault="00B0005F">
            <w:pPr>
              <w:jc w:val="center"/>
              <w:rPr>
                <w:rFonts w:ascii="Times New Roman"/>
                <w:color w:val="000000" w:themeColor="text1"/>
                <w:sz w:val="21"/>
                <w:szCs w:val="21"/>
              </w:rPr>
            </w:pPr>
          </w:p>
        </w:tc>
      </w:tr>
      <w:tr w:rsidR="008A2411" w:rsidRPr="008A2411" w14:paraId="2732D741" w14:textId="77777777">
        <w:trPr>
          <w:trHeight w:val="23"/>
          <w:jc w:val="center"/>
        </w:trPr>
        <w:tc>
          <w:tcPr>
            <w:tcW w:w="411" w:type="pct"/>
            <w:vMerge w:val="restart"/>
            <w:vAlign w:val="center"/>
          </w:tcPr>
          <w:p w14:paraId="124734E7"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4</w:t>
            </w:r>
            <w:r w:rsidRPr="008A2411">
              <w:rPr>
                <w:rFonts w:ascii="Times New Roman"/>
                <w:color w:val="000000" w:themeColor="text1"/>
                <w:sz w:val="21"/>
                <w:szCs w:val="21"/>
              </w:rPr>
              <w:t>月</w:t>
            </w:r>
            <w:r w:rsidRPr="008A2411">
              <w:rPr>
                <w:rFonts w:ascii="Times New Roman"/>
                <w:color w:val="000000" w:themeColor="text1"/>
                <w:sz w:val="21"/>
                <w:szCs w:val="21"/>
              </w:rPr>
              <w:t>6</w:t>
            </w:r>
            <w:r w:rsidRPr="008A2411">
              <w:rPr>
                <w:rFonts w:ascii="Times New Roman"/>
                <w:color w:val="000000" w:themeColor="text1"/>
                <w:sz w:val="21"/>
                <w:szCs w:val="21"/>
              </w:rPr>
              <w:t>日</w:t>
            </w:r>
          </w:p>
        </w:tc>
        <w:tc>
          <w:tcPr>
            <w:tcW w:w="809" w:type="pct"/>
            <w:vAlign w:val="center"/>
          </w:tcPr>
          <w:p w14:paraId="50C52D73"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pH</w:t>
            </w:r>
            <w:r w:rsidRPr="008A2411">
              <w:rPr>
                <w:rFonts w:ascii="Times New Roman"/>
                <w:color w:val="000000" w:themeColor="text1"/>
                <w:sz w:val="21"/>
                <w:szCs w:val="21"/>
              </w:rPr>
              <w:t>（无量纲）</w:t>
            </w:r>
          </w:p>
        </w:tc>
        <w:tc>
          <w:tcPr>
            <w:tcW w:w="610" w:type="pct"/>
            <w:vAlign w:val="center"/>
          </w:tcPr>
          <w:p w14:paraId="376D8313"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mg/kg</w:t>
            </w:r>
          </w:p>
        </w:tc>
        <w:tc>
          <w:tcPr>
            <w:tcW w:w="610" w:type="pct"/>
            <w:vAlign w:val="center"/>
          </w:tcPr>
          <w:p w14:paraId="7F4A31C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6.97</w:t>
            </w:r>
          </w:p>
        </w:tc>
        <w:tc>
          <w:tcPr>
            <w:tcW w:w="622" w:type="pct"/>
            <w:vAlign w:val="center"/>
          </w:tcPr>
          <w:p w14:paraId="5C63F914"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7.36</w:t>
            </w:r>
          </w:p>
        </w:tc>
        <w:tc>
          <w:tcPr>
            <w:tcW w:w="645" w:type="pct"/>
            <w:vAlign w:val="center"/>
          </w:tcPr>
          <w:p w14:paraId="02575C32"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7.25</w:t>
            </w:r>
          </w:p>
        </w:tc>
        <w:tc>
          <w:tcPr>
            <w:tcW w:w="633" w:type="pct"/>
            <w:vAlign w:val="center"/>
          </w:tcPr>
          <w:p w14:paraId="6C789B2A"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rPr>
              <w:t>/</w:t>
            </w:r>
          </w:p>
        </w:tc>
        <w:tc>
          <w:tcPr>
            <w:tcW w:w="656" w:type="pct"/>
            <w:vAlign w:val="center"/>
          </w:tcPr>
          <w:p w14:paraId="69E59285"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w:t>
            </w:r>
          </w:p>
        </w:tc>
      </w:tr>
      <w:tr w:rsidR="008A2411" w:rsidRPr="008A2411" w14:paraId="0C3E0A33" w14:textId="77777777">
        <w:trPr>
          <w:trHeight w:val="23"/>
          <w:jc w:val="center"/>
        </w:trPr>
        <w:tc>
          <w:tcPr>
            <w:tcW w:w="411" w:type="pct"/>
            <w:vMerge/>
            <w:vAlign w:val="center"/>
          </w:tcPr>
          <w:p w14:paraId="64789168" w14:textId="77777777" w:rsidR="00B0005F" w:rsidRPr="008A2411" w:rsidRDefault="00B0005F">
            <w:pPr>
              <w:adjustRightInd w:val="0"/>
              <w:snapToGrid w:val="0"/>
              <w:jc w:val="center"/>
              <w:rPr>
                <w:rFonts w:ascii="Times New Roman"/>
                <w:color w:val="000000" w:themeColor="text1"/>
                <w:sz w:val="21"/>
                <w:szCs w:val="21"/>
              </w:rPr>
            </w:pPr>
          </w:p>
        </w:tc>
        <w:tc>
          <w:tcPr>
            <w:tcW w:w="809" w:type="pct"/>
            <w:vAlign w:val="center"/>
          </w:tcPr>
          <w:p w14:paraId="006F36D9"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石油烃（</w:t>
            </w:r>
            <w:r w:rsidRPr="008A2411">
              <w:rPr>
                <w:rFonts w:ascii="Times New Roman"/>
                <w:color w:val="000000" w:themeColor="text1"/>
                <w:sz w:val="21"/>
                <w:szCs w:val="21"/>
              </w:rPr>
              <w:t>C10-C40</w:t>
            </w:r>
            <w:r w:rsidRPr="008A2411">
              <w:rPr>
                <w:rFonts w:ascii="Times New Roman"/>
                <w:color w:val="000000" w:themeColor="text1"/>
                <w:sz w:val="21"/>
                <w:szCs w:val="21"/>
              </w:rPr>
              <w:t>）</w:t>
            </w:r>
          </w:p>
        </w:tc>
        <w:tc>
          <w:tcPr>
            <w:tcW w:w="610" w:type="pct"/>
            <w:vAlign w:val="center"/>
          </w:tcPr>
          <w:p w14:paraId="4597E42B"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mg/kg</w:t>
            </w:r>
          </w:p>
        </w:tc>
        <w:tc>
          <w:tcPr>
            <w:tcW w:w="610" w:type="pct"/>
            <w:vAlign w:val="center"/>
          </w:tcPr>
          <w:p w14:paraId="6F192E72"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27</w:t>
            </w:r>
          </w:p>
        </w:tc>
        <w:tc>
          <w:tcPr>
            <w:tcW w:w="622" w:type="pct"/>
            <w:vAlign w:val="center"/>
          </w:tcPr>
          <w:p w14:paraId="3417B524"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1.87×10</w:t>
            </w:r>
            <w:r w:rsidRPr="008A2411">
              <w:rPr>
                <w:rFonts w:ascii="Times New Roman"/>
                <w:color w:val="000000" w:themeColor="text1"/>
                <w:sz w:val="21"/>
                <w:szCs w:val="21"/>
                <w:vertAlign w:val="superscript"/>
              </w:rPr>
              <w:t>2</w:t>
            </w:r>
          </w:p>
        </w:tc>
        <w:tc>
          <w:tcPr>
            <w:tcW w:w="645" w:type="pct"/>
            <w:vAlign w:val="center"/>
          </w:tcPr>
          <w:p w14:paraId="0C8CE4F2"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36</w:t>
            </w:r>
          </w:p>
        </w:tc>
        <w:tc>
          <w:tcPr>
            <w:tcW w:w="633" w:type="pct"/>
            <w:vAlign w:val="center"/>
          </w:tcPr>
          <w:p w14:paraId="1437DA9A"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rPr>
              <w:t>4500</w:t>
            </w:r>
          </w:p>
        </w:tc>
        <w:tc>
          <w:tcPr>
            <w:tcW w:w="656" w:type="pct"/>
            <w:vAlign w:val="center"/>
          </w:tcPr>
          <w:p w14:paraId="3DCA12BF"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 xml:space="preserve">0.04 </w:t>
            </w:r>
          </w:p>
        </w:tc>
      </w:tr>
      <w:tr w:rsidR="008A2411" w:rsidRPr="008A2411" w14:paraId="6BBA5A4D" w14:textId="77777777">
        <w:trPr>
          <w:trHeight w:val="23"/>
          <w:jc w:val="center"/>
        </w:trPr>
        <w:tc>
          <w:tcPr>
            <w:tcW w:w="411" w:type="pct"/>
            <w:vMerge/>
            <w:vAlign w:val="center"/>
          </w:tcPr>
          <w:p w14:paraId="4319EDB7" w14:textId="77777777" w:rsidR="00B0005F" w:rsidRPr="008A2411" w:rsidRDefault="00B0005F">
            <w:pPr>
              <w:adjustRightInd w:val="0"/>
              <w:snapToGrid w:val="0"/>
              <w:jc w:val="center"/>
              <w:rPr>
                <w:rFonts w:ascii="Times New Roman"/>
                <w:color w:val="000000" w:themeColor="text1"/>
                <w:sz w:val="21"/>
                <w:szCs w:val="21"/>
              </w:rPr>
            </w:pPr>
          </w:p>
        </w:tc>
        <w:tc>
          <w:tcPr>
            <w:tcW w:w="809" w:type="pct"/>
            <w:vAlign w:val="center"/>
          </w:tcPr>
          <w:p w14:paraId="54C15F3E"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汞</w:t>
            </w:r>
          </w:p>
        </w:tc>
        <w:tc>
          <w:tcPr>
            <w:tcW w:w="610" w:type="pct"/>
            <w:vAlign w:val="center"/>
          </w:tcPr>
          <w:p w14:paraId="196FBE98"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mg/kg</w:t>
            </w:r>
          </w:p>
        </w:tc>
        <w:tc>
          <w:tcPr>
            <w:tcW w:w="610" w:type="pct"/>
            <w:vAlign w:val="center"/>
          </w:tcPr>
          <w:p w14:paraId="6EEF845D"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0.0328</w:t>
            </w:r>
          </w:p>
        </w:tc>
        <w:tc>
          <w:tcPr>
            <w:tcW w:w="622" w:type="pct"/>
            <w:vAlign w:val="center"/>
          </w:tcPr>
          <w:p w14:paraId="75B5D7F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0.0287</w:t>
            </w:r>
          </w:p>
        </w:tc>
        <w:tc>
          <w:tcPr>
            <w:tcW w:w="645" w:type="pct"/>
            <w:vAlign w:val="center"/>
          </w:tcPr>
          <w:p w14:paraId="5C2C475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0.0234</w:t>
            </w:r>
          </w:p>
        </w:tc>
        <w:tc>
          <w:tcPr>
            <w:tcW w:w="633" w:type="pct"/>
            <w:vAlign w:val="center"/>
          </w:tcPr>
          <w:p w14:paraId="29BA08F6"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38</w:t>
            </w:r>
          </w:p>
        </w:tc>
        <w:tc>
          <w:tcPr>
            <w:tcW w:w="656" w:type="pct"/>
            <w:vAlign w:val="center"/>
          </w:tcPr>
          <w:p w14:paraId="60F680DC"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 xml:space="preserve">0.0009 </w:t>
            </w:r>
          </w:p>
        </w:tc>
      </w:tr>
      <w:tr w:rsidR="008A2411" w:rsidRPr="008A2411" w14:paraId="1A623E05" w14:textId="77777777">
        <w:trPr>
          <w:trHeight w:val="23"/>
          <w:jc w:val="center"/>
        </w:trPr>
        <w:tc>
          <w:tcPr>
            <w:tcW w:w="411" w:type="pct"/>
            <w:vMerge/>
            <w:vAlign w:val="center"/>
          </w:tcPr>
          <w:p w14:paraId="672728C4" w14:textId="77777777" w:rsidR="00B0005F" w:rsidRPr="008A2411" w:rsidRDefault="00B0005F">
            <w:pPr>
              <w:adjustRightInd w:val="0"/>
              <w:snapToGrid w:val="0"/>
              <w:jc w:val="center"/>
              <w:rPr>
                <w:rFonts w:ascii="Times New Roman"/>
                <w:color w:val="000000" w:themeColor="text1"/>
                <w:sz w:val="21"/>
                <w:szCs w:val="21"/>
              </w:rPr>
            </w:pPr>
          </w:p>
        </w:tc>
        <w:tc>
          <w:tcPr>
            <w:tcW w:w="809" w:type="pct"/>
            <w:vAlign w:val="center"/>
          </w:tcPr>
          <w:p w14:paraId="6453DD83"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氯化物</w:t>
            </w:r>
          </w:p>
        </w:tc>
        <w:tc>
          <w:tcPr>
            <w:tcW w:w="610" w:type="pct"/>
            <w:vAlign w:val="center"/>
          </w:tcPr>
          <w:p w14:paraId="0065E387"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mg/kg</w:t>
            </w:r>
          </w:p>
        </w:tc>
        <w:tc>
          <w:tcPr>
            <w:tcW w:w="610" w:type="pct"/>
            <w:vAlign w:val="center"/>
          </w:tcPr>
          <w:p w14:paraId="5FD66BF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28.75</w:t>
            </w:r>
          </w:p>
        </w:tc>
        <w:tc>
          <w:tcPr>
            <w:tcW w:w="622" w:type="pct"/>
            <w:vAlign w:val="center"/>
          </w:tcPr>
          <w:p w14:paraId="3FF8A5DE"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6.16</w:t>
            </w:r>
          </w:p>
        </w:tc>
        <w:tc>
          <w:tcPr>
            <w:tcW w:w="645" w:type="pct"/>
            <w:vAlign w:val="center"/>
          </w:tcPr>
          <w:p w14:paraId="4100144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3.42</w:t>
            </w:r>
          </w:p>
        </w:tc>
        <w:tc>
          <w:tcPr>
            <w:tcW w:w="633" w:type="pct"/>
            <w:vAlign w:val="center"/>
          </w:tcPr>
          <w:p w14:paraId="3B16F7CE"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w:t>
            </w:r>
          </w:p>
        </w:tc>
        <w:tc>
          <w:tcPr>
            <w:tcW w:w="656" w:type="pct"/>
            <w:vAlign w:val="center"/>
          </w:tcPr>
          <w:p w14:paraId="7B2D7804"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w:t>
            </w:r>
          </w:p>
        </w:tc>
      </w:tr>
      <w:tr w:rsidR="008A2411" w:rsidRPr="008A2411" w14:paraId="1179184D" w14:textId="77777777">
        <w:trPr>
          <w:trHeight w:val="23"/>
          <w:jc w:val="center"/>
        </w:trPr>
        <w:tc>
          <w:tcPr>
            <w:tcW w:w="411" w:type="pct"/>
            <w:vMerge/>
            <w:vAlign w:val="center"/>
          </w:tcPr>
          <w:p w14:paraId="45F2165D" w14:textId="77777777" w:rsidR="00B0005F" w:rsidRPr="008A2411" w:rsidRDefault="00B0005F">
            <w:pPr>
              <w:adjustRightInd w:val="0"/>
              <w:snapToGrid w:val="0"/>
              <w:jc w:val="center"/>
              <w:rPr>
                <w:rFonts w:ascii="Times New Roman"/>
                <w:color w:val="000000" w:themeColor="text1"/>
                <w:sz w:val="21"/>
                <w:szCs w:val="21"/>
              </w:rPr>
            </w:pPr>
          </w:p>
        </w:tc>
        <w:tc>
          <w:tcPr>
            <w:tcW w:w="809" w:type="pct"/>
            <w:vAlign w:val="center"/>
          </w:tcPr>
          <w:p w14:paraId="7350D1BD"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硫化物</w:t>
            </w:r>
          </w:p>
        </w:tc>
        <w:tc>
          <w:tcPr>
            <w:tcW w:w="610" w:type="pct"/>
            <w:vAlign w:val="center"/>
          </w:tcPr>
          <w:p w14:paraId="7E8B2556"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mg/kg</w:t>
            </w:r>
          </w:p>
        </w:tc>
        <w:tc>
          <w:tcPr>
            <w:tcW w:w="610" w:type="pct"/>
            <w:vAlign w:val="center"/>
          </w:tcPr>
          <w:p w14:paraId="3B2440D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ND</w:t>
            </w:r>
          </w:p>
        </w:tc>
        <w:tc>
          <w:tcPr>
            <w:tcW w:w="622" w:type="pct"/>
            <w:vAlign w:val="center"/>
          </w:tcPr>
          <w:p w14:paraId="78D74D0B"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ND</w:t>
            </w:r>
          </w:p>
        </w:tc>
        <w:tc>
          <w:tcPr>
            <w:tcW w:w="645" w:type="pct"/>
            <w:vAlign w:val="center"/>
          </w:tcPr>
          <w:p w14:paraId="76B384E5"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ND</w:t>
            </w:r>
          </w:p>
        </w:tc>
        <w:tc>
          <w:tcPr>
            <w:tcW w:w="633" w:type="pct"/>
            <w:vAlign w:val="center"/>
          </w:tcPr>
          <w:p w14:paraId="5FFE4697"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w:t>
            </w:r>
          </w:p>
        </w:tc>
        <w:tc>
          <w:tcPr>
            <w:tcW w:w="656" w:type="pct"/>
            <w:vAlign w:val="center"/>
          </w:tcPr>
          <w:p w14:paraId="38E7035F"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w:t>
            </w:r>
          </w:p>
        </w:tc>
      </w:tr>
      <w:tr w:rsidR="008A2411" w:rsidRPr="008A2411" w14:paraId="15D5FCD7" w14:textId="77777777">
        <w:trPr>
          <w:trHeight w:val="23"/>
          <w:jc w:val="center"/>
        </w:trPr>
        <w:tc>
          <w:tcPr>
            <w:tcW w:w="411" w:type="pct"/>
            <w:vMerge w:val="restart"/>
            <w:vAlign w:val="center"/>
          </w:tcPr>
          <w:p w14:paraId="6DA5EBB5"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采样时间</w:t>
            </w:r>
          </w:p>
        </w:tc>
        <w:tc>
          <w:tcPr>
            <w:tcW w:w="809" w:type="pct"/>
            <w:vMerge w:val="restart"/>
            <w:vAlign w:val="center"/>
          </w:tcPr>
          <w:p w14:paraId="11505F44"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项目</w:t>
            </w:r>
          </w:p>
        </w:tc>
        <w:tc>
          <w:tcPr>
            <w:tcW w:w="610" w:type="pct"/>
            <w:vMerge w:val="restart"/>
            <w:vAlign w:val="center"/>
          </w:tcPr>
          <w:p w14:paraId="5363656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单位</w:t>
            </w:r>
          </w:p>
        </w:tc>
        <w:tc>
          <w:tcPr>
            <w:tcW w:w="1878" w:type="pct"/>
            <w:gridSpan w:val="3"/>
            <w:vAlign w:val="center"/>
          </w:tcPr>
          <w:p w14:paraId="2735247D"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检测结果</w:t>
            </w:r>
          </w:p>
        </w:tc>
        <w:tc>
          <w:tcPr>
            <w:tcW w:w="633" w:type="pct"/>
            <w:vMerge w:val="restart"/>
            <w:vAlign w:val="center"/>
          </w:tcPr>
          <w:p w14:paraId="3CC5989E"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评价</w:t>
            </w:r>
          </w:p>
          <w:p w14:paraId="037CAAA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标准</w:t>
            </w:r>
          </w:p>
        </w:tc>
        <w:tc>
          <w:tcPr>
            <w:tcW w:w="656" w:type="pct"/>
            <w:vMerge w:val="restart"/>
            <w:vAlign w:val="center"/>
          </w:tcPr>
          <w:p w14:paraId="60AADC65"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最大单项指数（</w:t>
            </w:r>
            <w:r w:rsidRPr="008A2411">
              <w:rPr>
                <w:rFonts w:ascii="Times New Roman"/>
                <w:color w:val="000000" w:themeColor="text1"/>
                <w:sz w:val="21"/>
                <w:szCs w:val="21"/>
              </w:rPr>
              <w:t>Pimax</w:t>
            </w:r>
            <w:r w:rsidRPr="008A2411">
              <w:rPr>
                <w:rFonts w:ascii="Times New Roman"/>
                <w:color w:val="000000" w:themeColor="text1"/>
                <w:sz w:val="21"/>
                <w:szCs w:val="21"/>
              </w:rPr>
              <w:t>）</w:t>
            </w:r>
          </w:p>
        </w:tc>
      </w:tr>
      <w:tr w:rsidR="008A2411" w:rsidRPr="008A2411" w14:paraId="7B2713EA" w14:textId="77777777">
        <w:trPr>
          <w:trHeight w:val="23"/>
          <w:jc w:val="center"/>
        </w:trPr>
        <w:tc>
          <w:tcPr>
            <w:tcW w:w="411" w:type="pct"/>
            <w:vMerge/>
            <w:vAlign w:val="center"/>
          </w:tcPr>
          <w:p w14:paraId="4D517808" w14:textId="77777777" w:rsidR="00B0005F" w:rsidRPr="008A2411" w:rsidRDefault="00B0005F">
            <w:pPr>
              <w:jc w:val="center"/>
              <w:rPr>
                <w:rFonts w:ascii="Times New Roman"/>
                <w:color w:val="000000" w:themeColor="text1"/>
                <w:sz w:val="21"/>
                <w:szCs w:val="21"/>
              </w:rPr>
            </w:pPr>
          </w:p>
        </w:tc>
        <w:tc>
          <w:tcPr>
            <w:tcW w:w="809" w:type="pct"/>
            <w:vMerge/>
            <w:vAlign w:val="center"/>
          </w:tcPr>
          <w:p w14:paraId="4976A006" w14:textId="77777777" w:rsidR="00B0005F" w:rsidRPr="008A2411" w:rsidRDefault="00B0005F">
            <w:pPr>
              <w:jc w:val="center"/>
              <w:rPr>
                <w:rFonts w:ascii="Times New Roman"/>
                <w:color w:val="000000" w:themeColor="text1"/>
                <w:sz w:val="21"/>
                <w:szCs w:val="21"/>
              </w:rPr>
            </w:pPr>
          </w:p>
        </w:tc>
        <w:tc>
          <w:tcPr>
            <w:tcW w:w="610" w:type="pct"/>
            <w:vMerge/>
            <w:vAlign w:val="center"/>
          </w:tcPr>
          <w:p w14:paraId="66E5ED34" w14:textId="77777777" w:rsidR="00B0005F" w:rsidRPr="008A2411" w:rsidRDefault="00B0005F">
            <w:pPr>
              <w:jc w:val="center"/>
              <w:rPr>
                <w:rFonts w:ascii="Times New Roman"/>
                <w:color w:val="000000" w:themeColor="text1"/>
                <w:sz w:val="21"/>
                <w:szCs w:val="21"/>
              </w:rPr>
            </w:pPr>
          </w:p>
        </w:tc>
        <w:tc>
          <w:tcPr>
            <w:tcW w:w="610" w:type="pct"/>
            <w:vAlign w:val="center"/>
          </w:tcPr>
          <w:p w14:paraId="1DC9DABB"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w:t>
            </w:r>
            <w:r w:rsidRPr="008A2411">
              <w:rPr>
                <w:rFonts w:ascii="Times New Roman"/>
                <w:color w:val="000000" w:themeColor="text1"/>
                <w:sz w:val="21"/>
                <w:szCs w:val="21"/>
              </w:rPr>
              <w:t>（表）</w:t>
            </w:r>
          </w:p>
        </w:tc>
        <w:tc>
          <w:tcPr>
            <w:tcW w:w="622" w:type="pct"/>
            <w:vAlign w:val="center"/>
          </w:tcPr>
          <w:p w14:paraId="63D8EE8E"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w:t>
            </w:r>
            <w:r w:rsidRPr="008A2411">
              <w:rPr>
                <w:rFonts w:ascii="Times New Roman"/>
                <w:color w:val="000000" w:themeColor="text1"/>
                <w:sz w:val="21"/>
                <w:szCs w:val="21"/>
              </w:rPr>
              <w:t>（中）</w:t>
            </w:r>
          </w:p>
        </w:tc>
        <w:tc>
          <w:tcPr>
            <w:tcW w:w="645" w:type="pct"/>
            <w:vAlign w:val="center"/>
          </w:tcPr>
          <w:p w14:paraId="1444A76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w:t>
            </w:r>
            <w:r w:rsidRPr="008A2411">
              <w:rPr>
                <w:rFonts w:ascii="Times New Roman"/>
                <w:color w:val="000000" w:themeColor="text1"/>
                <w:sz w:val="21"/>
                <w:szCs w:val="21"/>
              </w:rPr>
              <w:t>（深）</w:t>
            </w:r>
          </w:p>
        </w:tc>
        <w:tc>
          <w:tcPr>
            <w:tcW w:w="633" w:type="pct"/>
            <w:vMerge/>
            <w:vAlign w:val="center"/>
          </w:tcPr>
          <w:p w14:paraId="28D646BA" w14:textId="77777777" w:rsidR="00B0005F" w:rsidRPr="008A2411" w:rsidRDefault="00B0005F">
            <w:pPr>
              <w:widowControl/>
              <w:jc w:val="center"/>
              <w:textAlignment w:val="center"/>
              <w:rPr>
                <w:rFonts w:ascii="Times New Roman"/>
                <w:color w:val="000000" w:themeColor="text1"/>
                <w:sz w:val="21"/>
                <w:szCs w:val="21"/>
              </w:rPr>
            </w:pPr>
          </w:p>
        </w:tc>
        <w:tc>
          <w:tcPr>
            <w:tcW w:w="656" w:type="pct"/>
            <w:vMerge/>
            <w:vAlign w:val="center"/>
          </w:tcPr>
          <w:p w14:paraId="3F64052B" w14:textId="77777777" w:rsidR="00B0005F" w:rsidRPr="008A2411" w:rsidRDefault="00B0005F">
            <w:pPr>
              <w:adjustRightInd w:val="0"/>
              <w:snapToGrid w:val="0"/>
              <w:jc w:val="center"/>
              <w:rPr>
                <w:rFonts w:ascii="Times New Roman"/>
                <w:color w:val="000000" w:themeColor="text1"/>
                <w:sz w:val="21"/>
                <w:szCs w:val="21"/>
              </w:rPr>
            </w:pPr>
          </w:p>
        </w:tc>
      </w:tr>
      <w:tr w:rsidR="008A2411" w:rsidRPr="008A2411" w14:paraId="68D3FBD6" w14:textId="77777777">
        <w:trPr>
          <w:trHeight w:val="23"/>
          <w:jc w:val="center"/>
        </w:trPr>
        <w:tc>
          <w:tcPr>
            <w:tcW w:w="411" w:type="pct"/>
            <w:vMerge w:val="restart"/>
            <w:vAlign w:val="center"/>
          </w:tcPr>
          <w:p w14:paraId="2533FB49"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4</w:t>
            </w:r>
            <w:r w:rsidRPr="008A2411">
              <w:rPr>
                <w:rFonts w:ascii="Times New Roman"/>
                <w:color w:val="000000" w:themeColor="text1"/>
                <w:sz w:val="21"/>
                <w:szCs w:val="21"/>
              </w:rPr>
              <w:t>月</w:t>
            </w:r>
            <w:r w:rsidRPr="008A2411">
              <w:rPr>
                <w:rFonts w:ascii="Times New Roman"/>
                <w:color w:val="000000" w:themeColor="text1"/>
                <w:sz w:val="21"/>
                <w:szCs w:val="21"/>
              </w:rPr>
              <w:t>6</w:t>
            </w:r>
            <w:r w:rsidRPr="008A2411">
              <w:rPr>
                <w:rFonts w:ascii="Times New Roman"/>
                <w:color w:val="000000" w:themeColor="text1"/>
                <w:sz w:val="21"/>
                <w:szCs w:val="21"/>
              </w:rPr>
              <w:t>日</w:t>
            </w:r>
          </w:p>
        </w:tc>
        <w:tc>
          <w:tcPr>
            <w:tcW w:w="809" w:type="pct"/>
            <w:vAlign w:val="center"/>
          </w:tcPr>
          <w:p w14:paraId="563BDBFC"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pH</w:t>
            </w:r>
            <w:r w:rsidRPr="008A2411">
              <w:rPr>
                <w:rFonts w:ascii="Times New Roman"/>
                <w:color w:val="000000" w:themeColor="text1"/>
                <w:sz w:val="21"/>
                <w:szCs w:val="21"/>
              </w:rPr>
              <w:t>（无量纲）</w:t>
            </w:r>
          </w:p>
        </w:tc>
        <w:tc>
          <w:tcPr>
            <w:tcW w:w="610" w:type="pct"/>
            <w:vAlign w:val="center"/>
          </w:tcPr>
          <w:p w14:paraId="517342CA"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mg/kg</w:t>
            </w:r>
          </w:p>
        </w:tc>
        <w:tc>
          <w:tcPr>
            <w:tcW w:w="610" w:type="pct"/>
            <w:vAlign w:val="center"/>
          </w:tcPr>
          <w:p w14:paraId="4DD61CF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6.45</w:t>
            </w:r>
          </w:p>
        </w:tc>
        <w:tc>
          <w:tcPr>
            <w:tcW w:w="622" w:type="pct"/>
            <w:vAlign w:val="center"/>
          </w:tcPr>
          <w:p w14:paraId="2A222AE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5.98</w:t>
            </w:r>
          </w:p>
        </w:tc>
        <w:tc>
          <w:tcPr>
            <w:tcW w:w="645" w:type="pct"/>
            <w:vAlign w:val="center"/>
          </w:tcPr>
          <w:p w14:paraId="7BD51E2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5.86</w:t>
            </w:r>
          </w:p>
        </w:tc>
        <w:tc>
          <w:tcPr>
            <w:tcW w:w="633" w:type="pct"/>
            <w:vAlign w:val="center"/>
          </w:tcPr>
          <w:p w14:paraId="39F2EBDA"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rPr>
              <w:t>/</w:t>
            </w:r>
          </w:p>
        </w:tc>
        <w:tc>
          <w:tcPr>
            <w:tcW w:w="656" w:type="pct"/>
            <w:vAlign w:val="center"/>
          </w:tcPr>
          <w:p w14:paraId="374EE5D5"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w:t>
            </w:r>
          </w:p>
        </w:tc>
      </w:tr>
      <w:tr w:rsidR="008A2411" w:rsidRPr="008A2411" w14:paraId="641FE3FF" w14:textId="77777777">
        <w:trPr>
          <w:trHeight w:val="23"/>
          <w:jc w:val="center"/>
        </w:trPr>
        <w:tc>
          <w:tcPr>
            <w:tcW w:w="411" w:type="pct"/>
            <w:vMerge/>
            <w:vAlign w:val="center"/>
          </w:tcPr>
          <w:p w14:paraId="27712A51" w14:textId="77777777" w:rsidR="00B0005F" w:rsidRPr="008A2411" w:rsidRDefault="00B0005F">
            <w:pPr>
              <w:adjustRightInd w:val="0"/>
              <w:snapToGrid w:val="0"/>
              <w:jc w:val="center"/>
              <w:rPr>
                <w:rFonts w:ascii="Times New Roman"/>
                <w:color w:val="000000" w:themeColor="text1"/>
                <w:sz w:val="21"/>
                <w:szCs w:val="21"/>
              </w:rPr>
            </w:pPr>
          </w:p>
        </w:tc>
        <w:tc>
          <w:tcPr>
            <w:tcW w:w="809" w:type="pct"/>
            <w:vAlign w:val="center"/>
          </w:tcPr>
          <w:p w14:paraId="3B713CA5"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石油烃（</w:t>
            </w:r>
            <w:r w:rsidRPr="008A2411">
              <w:rPr>
                <w:rFonts w:ascii="Times New Roman"/>
                <w:color w:val="000000" w:themeColor="text1"/>
                <w:sz w:val="21"/>
                <w:szCs w:val="21"/>
              </w:rPr>
              <w:t>C10-C40</w:t>
            </w:r>
            <w:r w:rsidRPr="008A2411">
              <w:rPr>
                <w:rFonts w:ascii="Times New Roman"/>
                <w:color w:val="000000" w:themeColor="text1"/>
                <w:sz w:val="21"/>
                <w:szCs w:val="21"/>
              </w:rPr>
              <w:t>）</w:t>
            </w:r>
          </w:p>
        </w:tc>
        <w:tc>
          <w:tcPr>
            <w:tcW w:w="610" w:type="pct"/>
            <w:vAlign w:val="center"/>
          </w:tcPr>
          <w:p w14:paraId="023049E8"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mg/kg</w:t>
            </w:r>
          </w:p>
        </w:tc>
        <w:tc>
          <w:tcPr>
            <w:tcW w:w="610" w:type="pct"/>
            <w:vAlign w:val="center"/>
          </w:tcPr>
          <w:p w14:paraId="118FF31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31</w:t>
            </w:r>
          </w:p>
        </w:tc>
        <w:tc>
          <w:tcPr>
            <w:tcW w:w="622" w:type="pct"/>
            <w:vAlign w:val="center"/>
          </w:tcPr>
          <w:p w14:paraId="5A6DA0D5"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31</w:t>
            </w:r>
          </w:p>
        </w:tc>
        <w:tc>
          <w:tcPr>
            <w:tcW w:w="645" w:type="pct"/>
            <w:vAlign w:val="center"/>
          </w:tcPr>
          <w:p w14:paraId="3ABFF64D"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21</w:t>
            </w:r>
          </w:p>
        </w:tc>
        <w:tc>
          <w:tcPr>
            <w:tcW w:w="633" w:type="pct"/>
            <w:vAlign w:val="center"/>
          </w:tcPr>
          <w:p w14:paraId="7158C987"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rPr>
              <w:t>4500</w:t>
            </w:r>
          </w:p>
        </w:tc>
        <w:tc>
          <w:tcPr>
            <w:tcW w:w="656" w:type="pct"/>
            <w:vAlign w:val="center"/>
          </w:tcPr>
          <w:p w14:paraId="76382CE9"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 xml:space="preserve">0.01 </w:t>
            </w:r>
          </w:p>
        </w:tc>
      </w:tr>
      <w:tr w:rsidR="008A2411" w:rsidRPr="008A2411" w14:paraId="27927084" w14:textId="77777777">
        <w:trPr>
          <w:trHeight w:val="23"/>
          <w:jc w:val="center"/>
        </w:trPr>
        <w:tc>
          <w:tcPr>
            <w:tcW w:w="411" w:type="pct"/>
            <w:vMerge/>
            <w:vAlign w:val="center"/>
          </w:tcPr>
          <w:p w14:paraId="367AA97E" w14:textId="77777777" w:rsidR="00B0005F" w:rsidRPr="008A2411" w:rsidRDefault="00B0005F">
            <w:pPr>
              <w:adjustRightInd w:val="0"/>
              <w:snapToGrid w:val="0"/>
              <w:jc w:val="center"/>
              <w:rPr>
                <w:rFonts w:ascii="Times New Roman"/>
                <w:color w:val="000000" w:themeColor="text1"/>
                <w:sz w:val="21"/>
                <w:szCs w:val="21"/>
              </w:rPr>
            </w:pPr>
          </w:p>
        </w:tc>
        <w:tc>
          <w:tcPr>
            <w:tcW w:w="809" w:type="pct"/>
            <w:vAlign w:val="center"/>
          </w:tcPr>
          <w:p w14:paraId="1AC52A48"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汞</w:t>
            </w:r>
          </w:p>
        </w:tc>
        <w:tc>
          <w:tcPr>
            <w:tcW w:w="610" w:type="pct"/>
            <w:vAlign w:val="center"/>
          </w:tcPr>
          <w:p w14:paraId="18F3C807"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mg/kg</w:t>
            </w:r>
          </w:p>
        </w:tc>
        <w:tc>
          <w:tcPr>
            <w:tcW w:w="610" w:type="pct"/>
            <w:vAlign w:val="center"/>
          </w:tcPr>
          <w:p w14:paraId="5B4D6D0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0.0191</w:t>
            </w:r>
          </w:p>
        </w:tc>
        <w:tc>
          <w:tcPr>
            <w:tcW w:w="622" w:type="pct"/>
            <w:vAlign w:val="center"/>
          </w:tcPr>
          <w:p w14:paraId="445CF0D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0.0302</w:t>
            </w:r>
          </w:p>
        </w:tc>
        <w:tc>
          <w:tcPr>
            <w:tcW w:w="645" w:type="pct"/>
            <w:vAlign w:val="center"/>
          </w:tcPr>
          <w:p w14:paraId="3C8FA07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0.0257</w:t>
            </w:r>
          </w:p>
        </w:tc>
        <w:tc>
          <w:tcPr>
            <w:tcW w:w="633" w:type="pct"/>
            <w:vAlign w:val="center"/>
          </w:tcPr>
          <w:p w14:paraId="6D0C2948"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38</w:t>
            </w:r>
          </w:p>
        </w:tc>
        <w:tc>
          <w:tcPr>
            <w:tcW w:w="656" w:type="pct"/>
            <w:vAlign w:val="center"/>
          </w:tcPr>
          <w:p w14:paraId="06989B82"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 xml:space="preserve">0.0008 </w:t>
            </w:r>
          </w:p>
        </w:tc>
      </w:tr>
      <w:tr w:rsidR="008A2411" w:rsidRPr="008A2411" w14:paraId="042E6BCA" w14:textId="77777777">
        <w:trPr>
          <w:trHeight w:val="23"/>
          <w:jc w:val="center"/>
        </w:trPr>
        <w:tc>
          <w:tcPr>
            <w:tcW w:w="411" w:type="pct"/>
            <w:vMerge/>
            <w:vAlign w:val="center"/>
          </w:tcPr>
          <w:p w14:paraId="37F34AD3" w14:textId="77777777" w:rsidR="00B0005F" w:rsidRPr="008A2411" w:rsidRDefault="00B0005F">
            <w:pPr>
              <w:adjustRightInd w:val="0"/>
              <w:snapToGrid w:val="0"/>
              <w:jc w:val="center"/>
              <w:rPr>
                <w:rFonts w:ascii="Times New Roman"/>
                <w:color w:val="000000" w:themeColor="text1"/>
                <w:sz w:val="21"/>
                <w:szCs w:val="21"/>
              </w:rPr>
            </w:pPr>
          </w:p>
        </w:tc>
        <w:tc>
          <w:tcPr>
            <w:tcW w:w="809" w:type="pct"/>
            <w:vAlign w:val="center"/>
          </w:tcPr>
          <w:p w14:paraId="0B8A5673"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氯化物</w:t>
            </w:r>
          </w:p>
        </w:tc>
        <w:tc>
          <w:tcPr>
            <w:tcW w:w="610" w:type="pct"/>
            <w:vAlign w:val="center"/>
          </w:tcPr>
          <w:p w14:paraId="55232C6E"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mg/kg</w:t>
            </w:r>
          </w:p>
        </w:tc>
        <w:tc>
          <w:tcPr>
            <w:tcW w:w="610" w:type="pct"/>
            <w:vAlign w:val="center"/>
          </w:tcPr>
          <w:p w14:paraId="416C49B5"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2.74</w:t>
            </w:r>
          </w:p>
        </w:tc>
        <w:tc>
          <w:tcPr>
            <w:tcW w:w="622" w:type="pct"/>
            <w:vAlign w:val="center"/>
          </w:tcPr>
          <w:p w14:paraId="7254851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2.74</w:t>
            </w:r>
          </w:p>
        </w:tc>
        <w:tc>
          <w:tcPr>
            <w:tcW w:w="645" w:type="pct"/>
            <w:vAlign w:val="center"/>
          </w:tcPr>
          <w:p w14:paraId="2F8373A4"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2.74</w:t>
            </w:r>
          </w:p>
        </w:tc>
        <w:tc>
          <w:tcPr>
            <w:tcW w:w="633" w:type="pct"/>
            <w:vAlign w:val="center"/>
          </w:tcPr>
          <w:p w14:paraId="60F826C7"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w:t>
            </w:r>
          </w:p>
        </w:tc>
        <w:tc>
          <w:tcPr>
            <w:tcW w:w="656" w:type="pct"/>
            <w:vAlign w:val="center"/>
          </w:tcPr>
          <w:p w14:paraId="2AF49615"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w:t>
            </w:r>
          </w:p>
        </w:tc>
      </w:tr>
      <w:tr w:rsidR="008A2411" w:rsidRPr="008A2411" w14:paraId="7AD85812" w14:textId="77777777">
        <w:trPr>
          <w:trHeight w:val="23"/>
          <w:jc w:val="center"/>
        </w:trPr>
        <w:tc>
          <w:tcPr>
            <w:tcW w:w="411" w:type="pct"/>
            <w:vMerge/>
            <w:vAlign w:val="center"/>
          </w:tcPr>
          <w:p w14:paraId="03E9D4CA" w14:textId="77777777" w:rsidR="00B0005F" w:rsidRPr="008A2411" w:rsidRDefault="00B0005F">
            <w:pPr>
              <w:adjustRightInd w:val="0"/>
              <w:snapToGrid w:val="0"/>
              <w:jc w:val="center"/>
              <w:rPr>
                <w:rFonts w:ascii="Times New Roman"/>
                <w:color w:val="000000" w:themeColor="text1"/>
                <w:sz w:val="21"/>
                <w:szCs w:val="21"/>
              </w:rPr>
            </w:pPr>
          </w:p>
        </w:tc>
        <w:tc>
          <w:tcPr>
            <w:tcW w:w="809" w:type="pct"/>
            <w:vAlign w:val="center"/>
          </w:tcPr>
          <w:p w14:paraId="3C9509E6"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硫化物</w:t>
            </w:r>
          </w:p>
        </w:tc>
        <w:tc>
          <w:tcPr>
            <w:tcW w:w="610" w:type="pct"/>
            <w:vAlign w:val="center"/>
          </w:tcPr>
          <w:p w14:paraId="3CA97F17"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mg/kg</w:t>
            </w:r>
          </w:p>
        </w:tc>
        <w:tc>
          <w:tcPr>
            <w:tcW w:w="610" w:type="pct"/>
            <w:vAlign w:val="center"/>
          </w:tcPr>
          <w:p w14:paraId="4D7D7A95"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ND</w:t>
            </w:r>
          </w:p>
        </w:tc>
        <w:tc>
          <w:tcPr>
            <w:tcW w:w="622" w:type="pct"/>
            <w:vAlign w:val="center"/>
          </w:tcPr>
          <w:p w14:paraId="61D48F2D"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ND</w:t>
            </w:r>
          </w:p>
        </w:tc>
        <w:tc>
          <w:tcPr>
            <w:tcW w:w="645" w:type="pct"/>
            <w:vAlign w:val="center"/>
          </w:tcPr>
          <w:p w14:paraId="3285A48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ND</w:t>
            </w:r>
          </w:p>
        </w:tc>
        <w:tc>
          <w:tcPr>
            <w:tcW w:w="633" w:type="pct"/>
            <w:vAlign w:val="center"/>
          </w:tcPr>
          <w:p w14:paraId="4C051666"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rPr>
              <w:t>/</w:t>
            </w:r>
          </w:p>
        </w:tc>
        <w:tc>
          <w:tcPr>
            <w:tcW w:w="656" w:type="pct"/>
            <w:vAlign w:val="center"/>
          </w:tcPr>
          <w:p w14:paraId="7A39149A"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w:t>
            </w:r>
          </w:p>
        </w:tc>
      </w:tr>
      <w:tr w:rsidR="008A2411" w:rsidRPr="008A2411" w14:paraId="72877886" w14:textId="77777777">
        <w:trPr>
          <w:trHeight w:val="23"/>
          <w:jc w:val="center"/>
        </w:trPr>
        <w:tc>
          <w:tcPr>
            <w:tcW w:w="411" w:type="pct"/>
            <w:vMerge w:val="restart"/>
            <w:vAlign w:val="center"/>
          </w:tcPr>
          <w:p w14:paraId="58B79BC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采样时间</w:t>
            </w:r>
          </w:p>
        </w:tc>
        <w:tc>
          <w:tcPr>
            <w:tcW w:w="809" w:type="pct"/>
            <w:vMerge w:val="restart"/>
            <w:vAlign w:val="center"/>
          </w:tcPr>
          <w:p w14:paraId="16DF26A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项目</w:t>
            </w:r>
          </w:p>
        </w:tc>
        <w:tc>
          <w:tcPr>
            <w:tcW w:w="610" w:type="pct"/>
            <w:vMerge w:val="restart"/>
            <w:vAlign w:val="center"/>
          </w:tcPr>
          <w:p w14:paraId="09DA07C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单位</w:t>
            </w:r>
          </w:p>
        </w:tc>
        <w:tc>
          <w:tcPr>
            <w:tcW w:w="1878" w:type="pct"/>
            <w:gridSpan w:val="3"/>
            <w:vAlign w:val="center"/>
          </w:tcPr>
          <w:p w14:paraId="0C69C2A7"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检测结果</w:t>
            </w:r>
          </w:p>
        </w:tc>
        <w:tc>
          <w:tcPr>
            <w:tcW w:w="633" w:type="pct"/>
            <w:vMerge w:val="restart"/>
            <w:vAlign w:val="center"/>
          </w:tcPr>
          <w:p w14:paraId="505D343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评价</w:t>
            </w:r>
          </w:p>
          <w:p w14:paraId="22A920F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标准</w:t>
            </w:r>
          </w:p>
        </w:tc>
        <w:tc>
          <w:tcPr>
            <w:tcW w:w="656" w:type="pct"/>
            <w:vMerge w:val="restart"/>
            <w:vAlign w:val="center"/>
          </w:tcPr>
          <w:p w14:paraId="4D6338D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最大单项指数（</w:t>
            </w:r>
            <w:r w:rsidRPr="008A2411">
              <w:rPr>
                <w:rFonts w:ascii="Times New Roman"/>
                <w:color w:val="000000" w:themeColor="text1"/>
                <w:sz w:val="21"/>
                <w:szCs w:val="21"/>
              </w:rPr>
              <w:t>Pimax</w:t>
            </w:r>
            <w:r w:rsidRPr="008A2411">
              <w:rPr>
                <w:rFonts w:ascii="Times New Roman"/>
                <w:color w:val="000000" w:themeColor="text1"/>
                <w:sz w:val="21"/>
                <w:szCs w:val="21"/>
              </w:rPr>
              <w:t>）</w:t>
            </w:r>
          </w:p>
        </w:tc>
      </w:tr>
      <w:tr w:rsidR="008A2411" w:rsidRPr="008A2411" w14:paraId="2E2DFBCF" w14:textId="77777777">
        <w:trPr>
          <w:trHeight w:val="23"/>
          <w:jc w:val="center"/>
        </w:trPr>
        <w:tc>
          <w:tcPr>
            <w:tcW w:w="411" w:type="pct"/>
            <w:vMerge/>
            <w:vAlign w:val="center"/>
          </w:tcPr>
          <w:p w14:paraId="52279B46" w14:textId="77777777" w:rsidR="00B0005F" w:rsidRPr="008A2411" w:rsidRDefault="00B0005F">
            <w:pPr>
              <w:jc w:val="center"/>
              <w:rPr>
                <w:rFonts w:ascii="Times New Roman"/>
                <w:color w:val="000000" w:themeColor="text1"/>
                <w:sz w:val="21"/>
                <w:szCs w:val="21"/>
              </w:rPr>
            </w:pPr>
          </w:p>
        </w:tc>
        <w:tc>
          <w:tcPr>
            <w:tcW w:w="809" w:type="pct"/>
            <w:vMerge/>
            <w:vAlign w:val="center"/>
          </w:tcPr>
          <w:p w14:paraId="547CAA2A" w14:textId="77777777" w:rsidR="00B0005F" w:rsidRPr="008A2411" w:rsidRDefault="00B0005F">
            <w:pPr>
              <w:jc w:val="center"/>
              <w:rPr>
                <w:rFonts w:ascii="Times New Roman"/>
                <w:color w:val="000000" w:themeColor="text1"/>
                <w:sz w:val="21"/>
                <w:szCs w:val="21"/>
              </w:rPr>
            </w:pPr>
          </w:p>
        </w:tc>
        <w:tc>
          <w:tcPr>
            <w:tcW w:w="610" w:type="pct"/>
            <w:vMerge/>
            <w:vAlign w:val="center"/>
          </w:tcPr>
          <w:p w14:paraId="4D98F003" w14:textId="77777777" w:rsidR="00B0005F" w:rsidRPr="008A2411" w:rsidRDefault="00B0005F">
            <w:pPr>
              <w:jc w:val="center"/>
              <w:rPr>
                <w:rFonts w:ascii="Times New Roman"/>
                <w:color w:val="000000" w:themeColor="text1"/>
                <w:sz w:val="21"/>
                <w:szCs w:val="21"/>
              </w:rPr>
            </w:pPr>
          </w:p>
        </w:tc>
        <w:tc>
          <w:tcPr>
            <w:tcW w:w="610" w:type="pct"/>
            <w:vAlign w:val="center"/>
          </w:tcPr>
          <w:p w14:paraId="7F3C8C5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3#</w:t>
            </w:r>
            <w:r w:rsidRPr="008A2411">
              <w:rPr>
                <w:rFonts w:ascii="Times New Roman"/>
                <w:color w:val="000000" w:themeColor="text1"/>
                <w:sz w:val="21"/>
                <w:szCs w:val="21"/>
              </w:rPr>
              <w:t>（表）</w:t>
            </w:r>
          </w:p>
        </w:tc>
        <w:tc>
          <w:tcPr>
            <w:tcW w:w="622" w:type="pct"/>
            <w:vAlign w:val="center"/>
          </w:tcPr>
          <w:p w14:paraId="50E1AD7E"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3#</w:t>
            </w:r>
            <w:r w:rsidRPr="008A2411">
              <w:rPr>
                <w:rFonts w:ascii="Times New Roman"/>
                <w:color w:val="000000" w:themeColor="text1"/>
                <w:sz w:val="21"/>
                <w:szCs w:val="21"/>
              </w:rPr>
              <w:t>（中）</w:t>
            </w:r>
          </w:p>
        </w:tc>
        <w:tc>
          <w:tcPr>
            <w:tcW w:w="645" w:type="pct"/>
            <w:vAlign w:val="center"/>
          </w:tcPr>
          <w:p w14:paraId="7CC98F37"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3#</w:t>
            </w:r>
            <w:r w:rsidRPr="008A2411">
              <w:rPr>
                <w:rFonts w:ascii="Times New Roman"/>
                <w:color w:val="000000" w:themeColor="text1"/>
                <w:sz w:val="21"/>
                <w:szCs w:val="21"/>
              </w:rPr>
              <w:t>（深）</w:t>
            </w:r>
          </w:p>
        </w:tc>
        <w:tc>
          <w:tcPr>
            <w:tcW w:w="633" w:type="pct"/>
            <w:vMerge/>
            <w:vAlign w:val="center"/>
          </w:tcPr>
          <w:p w14:paraId="5B882604" w14:textId="77777777" w:rsidR="00B0005F" w:rsidRPr="008A2411" w:rsidRDefault="00B0005F">
            <w:pPr>
              <w:jc w:val="center"/>
              <w:rPr>
                <w:rFonts w:ascii="Times New Roman"/>
                <w:color w:val="000000" w:themeColor="text1"/>
                <w:sz w:val="21"/>
                <w:szCs w:val="21"/>
              </w:rPr>
            </w:pPr>
          </w:p>
        </w:tc>
        <w:tc>
          <w:tcPr>
            <w:tcW w:w="656" w:type="pct"/>
            <w:vMerge/>
            <w:vAlign w:val="center"/>
          </w:tcPr>
          <w:p w14:paraId="11275D2B" w14:textId="77777777" w:rsidR="00B0005F" w:rsidRPr="008A2411" w:rsidRDefault="00B0005F">
            <w:pPr>
              <w:adjustRightInd w:val="0"/>
              <w:snapToGrid w:val="0"/>
              <w:jc w:val="center"/>
              <w:rPr>
                <w:rFonts w:ascii="Times New Roman"/>
                <w:color w:val="000000" w:themeColor="text1"/>
                <w:sz w:val="21"/>
                <w:szCs w:val="21"/>
              </w:rPr>
            </w:pPr>
          </w:p>
        </w:tc>
      </w:tr>
      <w:tr w:rsidR="008A2411" w:rsidRPr="008A2411" w14:paraId="4942DCCA" w14:textId="77777777">
        <w:trPr>
          <w:trHeight w:val="23"/>
          <w:jc w:val="center"/>
        </w:trPr>
        <w:tc>
          <w:tcPr>
            <w:tcW w:w="411" w:type="pct"/>
            <w:vMerge w:val="restart"/>
            <w:vAlign w:val="center"/>
          </w:tcPr>
          <w:p w14:paraId="35220F17"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4</w:t>
            </w:r>
            <w:r w:rsidRPr="008A2411">
              <w:rPr>
                <w:rFonts w:ascii="Times New Roman"/>
                <w:color w:val="000000" w:themeColor="text1"/>
                <w:sz w:val="21"/>
                <w:szCs w:val="21"/>
              </w:rPr>
              <w:t>月</w:t>
            </w:r>
            <w:r w:rsidRPr="008A2411">
              <w:rPr>
                <w:rFonts w:ascii="Times New Roman"/>
                <w:color w:val="000000" w:themeColor="text1"/>
                <w:sz w:val="21"/>
                <w:szCs w:val="21"/>
              </w:rPr>
              <w:t>6</w:t>
            </w:r>
            <w:r w:rsidRPr="008A2411">
              <w:rPr>
                <w:rFonts w:ascii="Times New Roman"/>
                <w:color w:val="000000" w:themeColor="text1"/>
                <w:sz w:val="21"/>
                <w:szCs w:val="21"/>
              </w:rPr>
              <w:t>日</w:t>
            </w:r>
          </w:p>
        </w:tc>
        <w:tc>
          <w:tcPr>
            <w:tcW w:w="809" w:type="pct"/>
            <w:vAlign w:val="center"/>
          </w:tcPr>
          <w:p w14:paraId="76A9A57E"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pH</w:t>
            </w:r>
            <w:r w:rsidRPr="008A2411">
              <w:rPr>
                <w:rFonts w:ascii="Times New Roman"/>
                <w:color w:val="000000" w:themeColor="text1"/>
                <w:sz w:val="21"/>
                <w:szCs w:val="21"/>
              </w:rPr>
              <w:t>（无量纲）</w:t>
            </w:r>
          </w:p>
        </w:tc>
        <w:tc>
          <w:tcPr>
            <w:tcW w:w="610" w:type="pct"/>
            <w:vAlign w:val="center"/>
          </w:tcPr>
          <w:p w14:paraId="653EBF31"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mg/kg</w:t>
            </w:r>
          </w:p>
        </w:tc>
        <w:tc>
          <w:tcPr>
            <w:tcW w:w="610" w:type="pct"/>
            <w:vAlign w:val="center"/>
          </w:tcPr>
          <w:p w14:paraId="3339B4B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4.83</w:t>
            </w:r>
          </w:p>
        </w:tc>
        <w:tc>
          <w:tcPr>
            <w:tcW w:w="622" w:type="pct"/>
            <w:vAlign w:val="center"/>
          </w:tcPr>
          <w:p w14:paraId="47D671E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4.80</w:t>
            </w:r>
          </w:p>
        </w:tc>
        <w:tc>
          <w:tcPr>
            <w:tcW w:w="645" w:type="pct"/>
            <w:vAlign w:val="center"/>
          </w:tcPr>
          <w:p w14:paraId="08DC5ED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4.61</w:t>
            </w:r>
          </w:p>
        </w:tc>
        <w:tc>
          <w:tcPr>
            <w:tcW w:w="633" w:type="pct"/>
            <w:vAlign w:val="center"/>
          </w:tcPr>
          <w:p w14:paraId="092F5997"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rPr>
              <w:t>/</w:t>
            </w:r>
          </w:p>
        </w:tc>
        <w:tc>
          <w:tcPr>
            <w:tcW w:w="656" w:type="pct"/>
            <w:vAlign w:val="center"/>
          </w:tcPr>
          <w:p w14:paraId="788CB684"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w:t>
            </w:r>
          </w:p>
        </w:tc>
      </w:tr>
      <w:tr w:rsidR="008A2411" w:rsidRPr="008A2411" w14:paraId="448F6A60" w14:textId="77777777">
        <w:trPr>
          <w:trHeight w:val="23"/>
          <w:jc w:val="center"/>
        </w:trPr>
        <w:tc>
          <w:tcPr>
            <w:tcW w:w="411" w:type="pct"/>
            <w:vMerge/>
            <w:vAlign w:val="center"/>
          </w:tcPr>
          <w:p w14:paraId="251D0E85" w14:textId="77777777" w:rsidR="00B0005F" w:rsidRPr="008A2411" w:rsidRDefault="00B0005F">
            <w:pPr>
              <w:adjustRightInd w:val="0"/>
              <w:snapToGrid w:val="0"/>
              <w:jc w:val="center"/>
              <w:rPr>
                <w:rFonts w:ascii="Times New Roman"/>
                <w:color w:val="000000" w:themeColor="text1"/>
                <w:sz w:val="21"/>
                <w:szCs w:val="21"/>
              </w:rPr>
            </w:pPr>
          </w:p>
        </w:tc>
        <w:tc>
          <w:tcPr>
            <w:tcW w:w="809" w:type="pct"/>
            <w:vAlign w:val="center"/>
          </w:tcPr>
          <w:p w14:paraId="66C2D5B0"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石油烃（</w:t>
            </w:r>
            <w:r w:rsidRPr="008A2411">
              <w:rPr>
                <w:rFonts w:ascii="Times New Roman"/>
                <w:color w:val="000000" w:themeColor="text1"/>
                <w:sz w:val="21"/>
                <w:szCs w:val="21"/>
              </w:rPr>
              <w:t>C10-C40</w:t>
            </w:r>
            <w:r w:rsidRPr="008A2411">
              <w:rPr>
                <w:rFonts w:ascii="Times New Roman"/>
                <w:color w:val="000000" w:themeColor="text1"/>
                <w:sz w:val="21"/>
                <w:szCs w:val="21"/>
              </w:rPr>
              <w:t>）</w:t>
            </w:r>
          </w:p>
        </w:tc>
        <w:tc>
          <w:tcPr>
            <w:tcW w:w="610" w:type="pct"/>
            <w:vAlign w:val="center"/>
          </w:tcPr>
          <w:p w14:paraId="5B8CA4D1"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mg/kg</w:t>
            </w:r>
          </w:p>
        </w:tc>
        <w:tc>
          <w:tcPr>
            <w:tcW w:w="610" w:type="pct"/>
            <w:vAlign w:val="center"/>
          </w:tcPr>
          <w:p w14:paraId="3D9BC4A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51</w:t>
            </w:r>
          </w:p>
        </w:tc>
        <w:tc>
          <w:tcPr>
            <w:tcW w:w="622" w:type="pct"/>
            <w:vAlign w:val="center"/>
          </w:tcPr>
          <w:p w14:paraId="1BD36B7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27</w:t>
            </w:r>
          </w:p>
        </w:tc>
        <w:tc>
          <w:tcPr>
            <w:tcW w:w="645" w:type="pct"/>
            <w:vAlign w:val="center"/>
          </w:tcPr>
          <w:p w14:paraId="18CEB4A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41</w:t>
            </w:r>
          </w:p>
        </w:tc>
        <w:tc>
          <w:tcPr>
            <w:tcW w:w="633" w:type="pct"/>
            <w:vAlign w:val="center"/>
          </w:tcPr>
          <w:p w14:paraId="4CF5779C"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rPr>
              <w:t>4500</w:t>
            </w:r>
          </w:p>
        </w:tc>
        <w:tc>
          <w:tcPr>
            <w:tcW w:w="656" w:type="pct"/>
            <w:vAlign w:val="center"/>
          </w:tcPr>
          <w:p w14:paraId="7FFA68B2"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 xml:space="preserve">0.01 </w:t>
            </w:r>
          </w:p>
        </w:tc>
      </w:tr>
      <w:tr w:rsidR="008A2411" w:rsidRPr="008A2411" w14:paraId="484E1C19" w14:textId="77777777">
        <w:trPr>
          <w:trHeight w:val="23"/>
          <w:jc w:val="center"/>
        </w:trPr>
        <w:tc>
          <w:tcPr>
            <w:tcW w:w="411" w:type="pct"/>
            <w:vMerge/>
            <w:vAlign w:val="center"/>
          </w:tcPr>
          <w:p w14:paraId="4CF0CC80" w14:textId="77777777" w:rsidR="00B0005F" w:rsidRPr="008A2411" w:rsidRDefault="00B0005F">
            <w:pPr>
              <w:adjustRightInd w:val="0"/>
              <w:snapToGrid w:val="0"/>
              <w:jc w:val="center"/>
              <w:rPr>
                <w:rFonts w:ascii="Times New Roman"/>
                <w:color w:val="000000" w:themeColor="text1"/>
                <w:sz w:val="21"/>
                <w:szCs w:val="21"/>
              </w:rPr>
            </w:pPr>
          </w:p>
        </w:tc>
        <w:tc>
          <w:tcPr>
            <w:tcW w:w="809" w:type="pct"/>
            <w:vAlign w:val="center"/>
          </w:tcPr>
          <w:p w14:paraId="4CE22C5B"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汞</w:t>
            </w:r>
          </w:p>
        </w:tc>
        <w:tc>
          <w:tcPr>
            <w:tcW w:w="610" w:type="pct"/>
            <w:vAlign w:val="center"/>
          </w:tcPr>
          <w:p w14:paraId="1BCC8171"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mg/kg</w:t>
            </w:r>
          </w:p>
        </w:tc>
        <w:tc>
          <w:tcPr>
            <w:tcW w:w="610" w:type="pct"/>
            <w:vAlign w:val="center"/>
          </w:tcPr>
          <w:p w14:paraId="0F8E927D"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0.0475</w:t>
            </w:r>
          </w:p>
        </w:tc>
        <w:tc>
          <w:tcPr>
            <w:tcW w:w="622" w:type="pct"/>
            <w:vAlign w:val="center"/>
          </w:tcPr>
          <w:p w14:paraId="6B966EFE"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0.0469</w:t>
            </w:r>
          </w:p>
        </w:tc>
        <w:tc>
          <w:tcPr>
            <w:tcW w:w="645" w:type="pct"/>
            <w:vAlign w:val="center"/>
          </w:tcPr>
          <w:p w14:paraId="052CFF3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0.0505</w:t>
            </w:r>
          </w:p>
        </w:tc>
        <w:tc>
          <w:tcPr>
            <w:tcW w:w="633" w:type="pct"/>
            <w:vAlign w:val="center"/>
          </w:tcPr>
          <w:p w14:paraId="2A4774B0"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38</w:t>
            </w:r>
          </w:p>
        </w:tc>
        <w:tc>
          <w:tcPr>
            <w:tcW w:w="656" w:type="pct"/>
            <w:vAlign w:val="center"/>
          </w:tcPr>
          <w:p w14:paraId="12545503"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 xml:space="preserve">0.0013 </w:t>
            </w:r>
          </w:p>
        </w:tc>
      </w:tr>
      <w:tr w:rsidR="008A2411" w:rsidRPr="008A2411" w14:paraId="679972FC" w14:textId="77777777">
        <w:trPr>
          <w:trHeight w:val="23"/>
          <w:jc w:val="center"/>
        </w:trPr>
        <w:tc>
          <w:tcPr>
            <w:tcW w:w="411" w:type="pct"/>
            <w:vMerge/>
            <w:vAlign w:val="center"/>
          </w:tcPr>
          <w:p w14:paraId="7798B3E9" w14:textId="77777777" w:rsidR="00B0005F" w:rsidRPr="008A2411" w:rsidRDefault="00B0005F">
            <w:pPr>
              <w:adjustRightInd w:val="0"/>
              <w:snapToGrid w:val="0"/>
              <w:jc w:val="center"/>
              <w:rPr>
                <w:rFonts w:ascii="Times New Roman"/>
                <w:color w:val="000000" w:themeColor="text1"/>
                <w:sz w:val="21"/>
                <w:szCs w:val="21"/>
              </w:rPr>
            </w:pPr>
          </w:p>
        </w:tc>
        <w:tc>
          <w:tcPr>
            <w:tcW w:w="809" w:type="pct"/>
            <w:vAlign w:val="center"/>
          </w:tcPr>
          <w:p w14:paraId="383AE0C4"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氯化物</w:t>
            </w:r>
          </w:p>
        </w:tc>
        <w:tc>
          <w:tcPr>
            <w:tcW w:w="610" w:type="pct"/>
            <w:vAlign w:val="center"/>
          </w:tcPr>
          <w:p w14:paraId="45CD8111"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mg/kg</w:t>
            </w:r>
          </w:p>
        </w:tc>
        <w:tc>
          <w:tcPr>
            <w:tcW w:w="610" w:type="pct"/>
            <w:vAlign w:val="center"/>
          </w:tcPr>
          <w:p w14:paraId="77DD360D"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4.79</w:t>
            </w:r>
          </w:p>
        </w:tc>
        <w:tc>
          <w:tcPr>
            <w:tcW w:w="622" w:type="pct"/>
            <w:vAlign w:val="center"/>
          </w:tcPr>
          <w:p w14:paraId="7C6F787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4.79</w:t>
            </w:r>
          </w:p>
        </w:tc>
        <w:tc>
          <w:tcPr>
            <w:tcW w:w="645" w:type="pct"/>
            <w:vAlign w:val="center"/>
          </w:tcPr>
          <w:p w14:paraId="5B6E900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2.74</w:t>
            </w:r>
          </w:p>
        </w:tc>
        <w:tc>
          <w:tcPr>
            <w:tcW w:w="633" w:type="pct"/>
            <w:vAlign w:val="center"/>
          </w:tcPr>
          <w:p w14:paraId="3B97578C"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w:t>
            </w:r>
          </w:p>
        </w:tc>
        <w:tc>
          <w:tcPr>
            <w:tcW w:w="656" w:type="pct"/>
            <w:vAlign w:val="center"/>
          </w:tcPr>
          <w:p w14:paraId="38065FE4"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w:t>
            </w:r>
          </w:p>
        </w:tc>
      </w:tr>
      <w:tr w:rsidR="008A2411" w:rsidRPr="008A2411" w14:paraId="6B43A7F5" w14:textId="77777777">
        <w:trPr>
          <w:trHeight w:val="23"/>
          <w:jc w:val="center"/>
        </w:trPr>
        <w:tc>
          <w:tcPr>
            <w:tcW w:w="411" w:type="pct"/>
            <w:vMerge/>
            <w:vAlign w:val="center"/>
          </w:tcPr>
          <w:p w14:paraId="04DD207E" w14:textId="77777777" w:rsidR="00B0005F" w:rsidRPr="008A2411" w:rsidRDefault="00B0005F">
            <w:pPr>
              <w:adjustRightInd w:val="0"/>
              <w:snapToGrid w:val="0"/>
              <w:jc w:val="center"/>
              <w:rPr>
                <w:rFonts w:ascii="Times New Roman"/>
                <w:color w:val="000000" w:themeColor="text1"/>
                <w:sz w:val="21"/>
                <w:szCs w:val="21"/>
              </w:rPr>
            </w:pPr>
          </w:p>
        </w:tc>
        <w:tc>
          <w:tcPr>
            <w:tcW w:w="809" w:type="pct"/>
            <w:vAlign w:val="center"/>
          </w:tcPr>
          <w:p w14:paraId="32342750"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硫化物</w:t>
            </w:r>
          </w:p>
        </w:tc>
        <w:tc>
          <w:tcPr>
            <w:tcW w:w="610" w:type="pct"/>
            <w:vAlign w:val="center"/>
          </w:tcPr>
          <w:p w14:paraId="15D501FB"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mg/kg</w:t>
            </w:r>
          </w:p>
        </w:tc>
        <w:tc>
          <w:tcPr>
            <w:tcW w:w="610" w:type="pct"/>
            <w:vAlign w:val="center"/>
          </w:tcPr>
          <w:p w14:paraId="27B9AC7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ND</w:t>
            </w:r>
          </w:p>
        </w:tc>
        <w:tc>
          <w:tcPr>
            <w:tcW w:w="622" w:type="pct"/>
            <w:vAlign w:val="center"/>
          </w:tcPr>
          <w:p w14:paraId="191A002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ND</w:t>
            </w:r>
          </w:p>
        </w:tc>
        <w:tc>
          <w:tcPr>
            <w:tcW w:w="645" w:type="pct"/>
            <w:vAlign w:val="center"/>
          </w:tcPr>
          <w:p w14:paraId="15840D5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ND</w:t>
            </w:r>
          </w:p>
        </w:tc>
        <w:tc>
          <w:tcPr>
            <w:tcW w:w="633" w:type="pct"/>
            <w:vAlign w:val="center"/>
          </w:tcPr>
          <w:p w14:paraId="05FFA4A9"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w:t>
            </w:r>
          </w:p>
        </w:tc>
        <w:tc>
          <w:tcPr>
            <w:tcW w:w="656" w:type="pct"/>
            <w:vAlign w:val="center"/>
          </w:tcPr>
          <w:p w14:paraId="3B5C9EC4"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w:t>
            </w:r>
          </w:p>
        </w:tc>
      </w:tr>
      <w:tr w:rsidR="008A2411" w:rsidRPr="008A2411" w14:paraId="5FD9A470" w14:textId="77777777">
        <w:trPr>
          <w:trHeight w:val="23"/>
          <w:jc w:val="center"/>
        </w:trPr>
        <w:tc>
          <w:tcPr>
            <w:tcW w:w="411" w:type="pct"/>
            <w:vMerge w:val="restart"/>
            <w:vAlign w:val="center"/>
          </w:tcPr>
          <w:p w14:paraId="1D8F4B4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采样时间</w:t>
            </w:r>
          </w:p>
        </w:tc>
        <w:tc>
          <w:tcPr>
            <w:tcW w:w="809" w:type="pct"/>
            <w:vMerge w:val="restart"/>
            <w:vAlign w:val="center"/>
          </w:tcPr>
          <w:p w14:paraId="1D47C494"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项目</w:t>
            </w:r>
          </w:p>
        </w:tc>
        <w:tc>
          <w:tcPr>
            <w:tcW w:w="610" w:type="pct"/>
            <w:vMerge w:val="restart"/>
            <w:vAlign w:val="center"/>
          </w:tcPr>
          <w:p w14:paraId="654D16D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单位</w:t>
            </w:r>
          </w:p>
        </w:tc>
        <w:tc>
          <w:tcPr>
            <w:tcW w:w="1878" w:type="pct"/>
            <w:gridSpan w:val="3"/>
            <w:vAlign w:val="center"/>
          </w:tcPr>
          <w:p w14:paraId="59711A7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检测结果</w:t>
            </w:r>
          </w:p>
        </w:tc>
        <w:tc>
          <w:tcPr>
            <w:tcW w:w="633" w:type="pct"/>
            <w:vMerge w:val="restart"/>
            <w:vAlign w:val="center"/>
          </w:tcPr>
          <w:p w14:paraId="6311B04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评价</w:t>
            </w:r>
          </w:p>
          <w:p w14:paraId="38A3AA12"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标准</w:t>
            </w:r>
          </w:p>
        </w:tc>
        <w:tc>
          <w:tcPr>
            <w:tcW w:w="656" w:type="pct"/>
            <w:vMerge w:val="restart"/>
            <w:vAlign w:val="center"/>
          </w:tcPr>
          <w:p w14:paraId="79C0431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最大单项指数（</w:t>
            </w:r>
            <w:r w:rsidRPr="008A2411">
              <w:rPr>
                <w:rFonts w:ascii="Times New Roman"/>
                <w:color w:val="000000" w:themeColor="text1"/>
                <w:sz w:val="21"/>
                <w:szCs w:val="21"/>
              </w:rPr>
              <w:t>Pimax</w:t>
            </w:r>
            <w:r w:rsidRPr="008A2411">
              <w:rPr>
                <w:rFonts w:ascii="Times New Roman"/>
                <w:color w:val="000000" w:themeColor="text1"/>
                <w:sz w:val="21"/>
                <w:szCs w:val="21"/>
              </w:rPr>
              <w:t>）</w:t>
            </w:r>
          </w:p>
        </w:tc>
      </w:tr>
      <w:tr w:rsidR="008A2411" w:rsidRPr="008A2411" w14:paraId="3094E97E" w14:textId="77777777">
        <w:trPr>
          <w:trHeight w:val="23"/>
          <w:jc w:val="center"/>
        </w:trPr>
        <w:tc>
          <w:tcPr>
            <w:tcW w:w="411" w:type="pct"/>
            <w:vMerge/>
            <w:vAlign w:val="center"/>
          </w:tcPr>
          <w:p w14:paraId="3B863E9F" w14:textId="77777777" w:rsidR="00B0005F" w:rsidRPr="008A2411" w:rsidRDefault="00B0005F">
            <w:pPr>
              <w:jc w:val="center"/>
              <w:rPr>
                <w:rFonts w:ascii="Times New Roman"/>
                <w:color w:val="000000" w:themeColor="text1"/>
                <w:sz w:val="21"/>
                <w:szCs w:val="21"/>
              </w:rPr>
            </w:pPr>
          </w:p>
        </w:tc>
        <w:tc>
          <w:tcPr>
            <w:tcW w:w="809" w:type="pct"/>
            <w:vMerge/>
            <w:vAlign w:val="center"/>
          </w:tcPr>
          <w:p w14:paraId="281D1CC0" w14:textId="77777777" w:rsidR="00B0005F" w:rsidRPr="008A2411" w:rsidRDefault="00B0005F">
            <w:pPr>
              <w:jc w:val="center"/>
              <w:rPr>
                <w:rFonts w:ascii="Times New Roman"/>
                <w:color w:val="000000" w:themeColor="text1"/>
                <w:sz w:val="21"/>
                <w:szCs w:val="21"/>
              </w:rPr>
            </w:pPr>
          </w:p>
        </w:tc>
        <w:tc>
          <w:tcPr>
            <w:tcW w:w="610" w:type="pct"/>
            <w:vMerge/>
            <w:vAlign w:val="center"/>
          </w:tcPr>
          <w:p w14:paraId="7FE4B40F" w14:textId="77777777" w:rsidR="00B0005F" w:rsidRPr="008A2411" w:rsidRDefault="00B0005F">
            <w:pPr>
              <w:jc w:val="center"/>
              <w:rPr>
                <w:rFonts w:ascii="Times New Roman"/>
                <w:color w:val="000000" w:themeColor="text1"/>
                <w:sz w:val="21"/>
                <w:szCs w:val="21"/>
              </w:rPr>
            </w:pPr>
          </w:p>
        </w:tc>
        <w:tc>
          <w:tcPr>
            <w:tcW w:w="610" w:type="pct"/>
            <w:vAlign w:val="center"/>
          </w:tcPr>
          <w:p w14:paraId="03DC9A24"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4#</w:t>
            </w:r>
            <w:r w:rsidRPr="008A2411">
              <w:rPr>
                <w:rFonts w:ascii="Times New Roman"/>
                <w:color w:val="000000" w:themeColor="text1"/>
                <w:sz w:val="21"/>
                <w:szCs w:val="21"/>
              </w:rPr>
              <w:t>（表）</w:t>
            </w:r>
          </w:p>
        </w:tc>
        <w:tc>
          <w:tcPr>
            <w:tcW w:w="622" w:type="pct"/>
            <w:vAlign w:val="center"/>
          </w:tcPr>
          <w:p w14:paraId="4111FFC4"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5#</w:t>
            </w:r>
            <w:r w:rsidRPr="008A2411">
              <w:rPr>
                <w:rFonts w:ascii="Times New Roman"/>
                <w:color w:val="000000" w:themeColor="text1"/>
                <w:sz w:val="21"/>
                <w:szCs w:val="21"/>
              </w:rPr>
              <w:t>（中）</w:t>
            </w:r>
          </w:p>
        </w:tc>
        <w:tc>
          <w:tcPr>
            <w:tcW w:w="645" w:type="pct"/>
            <w:vAlign w:val="center"/>
          </w:tcPr>
          <w:p w14:paraId="6A8DCDE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6#</w:t>
            </w:r>
            <w:r w:rsidRPr="008A2411">
              <w:rPr>
                <w:rFonts w:ascii="Times New Roman"/>
                <w:color w:val="000000" w:themeColor="text1"/>
                <w:sz w:val="21"/>
                <w:szCs w:val="21"/>
              </w:rPr>
              <w:t>（深）</w:t>
            </w:r>
          </w:p>
        </w:tc>
        <w:tc>
          <w:tcPr>
            <w:tcW w:w="633" w:type="pct"/>
            <w:vMerge/>
            <w:vAlign w:val="center"/>
          </w:tcPr>
          <w:p w14:paraId="5D201C1C" w14:textId="77777777" w:rsidR="00B0005F" w:rsidRPr="008A2411" w:rsidRDefault="00B0005F">
            <w:pPr>
              <w:jc w:val="center"/>
              <w:rPr>
                <w:rFonts w:ascii="Times New Roman"/>
                <w:color w:val="000000" w:themeColor="text1"/>
                <w:sz w:val="21"/>
                <w:szCs w:val="21"/>
              </w:rPr>
            </w:pPr>
          </w:p>
        </w:tc>
        <w:tc>
          <w:tcPr>
            <w:tcW w:w="656" w:type="pct"/>
            <w:vMerge/>
            <w:vAlign w:val="center"/>
          </w:tcPr>
          <w:p w14:paraId="33E3432D" w14:textId="77777777" w:rsidR="00B0005F" w:rsidRPr="008A2411" w:rsidRDefault="00B0005F">
            <w:pPr>
              <w:adjustRightInd w:val="0"/>
              <w:snapToGrid w:val="0"/>
              <w:jc w:val="center"/>
              <w:rPr>
                <w:rFonts w:ascii="Times New Roman"/>
                <w:color w:val="000000" w:themeColor="text1"/>
                <w:sz w:val="21"/>
                <w:szCs w:val="21"/>
              </w:rPr>
            </w:pPr>
          </w:p>
        </w:tc>
      </w:tr>
      <w:tr w:rsidR="008A2411" w:rsidRPr="008A2411" w14:paraId="78F154DF" w14:textId="77777777">
        <w:trPr>
          <w:trHeight w:val="23"/>
          <w:jc w:val="center"/>
        </w:trPr>
        <w:tc>
          <w:tcPr>
            <w:tcW w:w="411" w:type="pct"/>
            <w:vMerge w:val="restart"/>
            <w:vAlign w:val="center"/>
          </w:tcPr>
          <w:p w14:paraId="5BCE5FF0"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4</w:t>
            </w:r>
            <w:r w:rsidRPr="008A2411">
              <w:rPr>
                <w:rFonts w:ascii="Times New Roman"/>
                <w:color w:val="000000" w:themeColor="text1"/>
                <w:sz w:val="21"/>
                <w:szCs w:val="21"/>
              </w:rPr>
              <w:t>月</w:t>
            </w:r>
            <w:r w:rsidRPr="008A2411">
              <w:rPr>
                <w:rFonts w:ascii="Times New Roman"/>
                <w:color w:val="000000" w:themeColor="text1"/>
                <w:sz w:val="21"/>
                <w:szCs w:val="21"/>
              </w:rPr>
              <w:t>6</w:t>
            </w:r>
            <w:r w:rsidRPr="008A2411">
              <w:rPr>
                <w:rFonts w:ascii="Times New Roman"/>
                <w:color w:val="000000" w:themeColor="text1"/>
                <w:sz w:val="21"/>
                <w:szCs w:val="21"/>
              </w:rPr>
              <w:t>日</w:t>
            </w:r>
          </w:p>
        </w:tc>
        <w:tc>
          <w:tcPr>
            <w:tcW w:w="809" w:type="pct"/>
            <w:vAlign w:val="center"/>
          </w:tcPr>
          <w:p w14:paraId="174359E0"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pH</w:t>
            </w:r>
            <w:r w:rsidRPr="008A2411">
              <w:rPr>
                <w:rFonts w:ascii="Times New Roman"/>
                <w:color w:val="000000" w:themeColor="text1"/>
                <w:sz w:val="21"/>
                <w:szCs w:val="21"/>
              </w:rPr>
              <w:t>（无量纲）</w:t>
            </w:r>
          </w:p>
        </w:tc>
        <w:tc>
          <w:tcPr>
            <w:tcW w:w="610" w:type="pct"/>
            <w:vAlign w:val="center"/>
          </w:tcPr>
          <w:p w14:paraId="0DDB9821"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mg/kg</w:t>
            </w:r>
          </w:p>
        </w:tc>
        <w:tc>
          <w:tcPr>
            <w:tcW w:w="610" w:type="pct"/>
            <w:vAlign w:val="center"/>
          </w:tcPr>
          <w:p w14:paraId="3C67F4D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7.15</w:t>
            </w:r>
          </w:p>
        </w:tc>
        <w:tc>
          <w:tcPr>
            <w:tcW w:w="622" w:type="pct"/>
            <w:vAlign w:val="center"/>
          </w:tcPr>
          <w:p w14:paraId="7B28C78D"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4.32</w:t>
            </w:r>
          </w:p>
        </w:tc>
        <w:tc>
          <w:tcPr>
            <w:tcW w:w="645" w:type="pct"/>
            <w:vAlign w:val="center"/>
          </w:tcPr>
          <w:p w14:paraId="667C5831"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rPr>
              <w:t>6.74</w:t>
            </w:r>
          </w:p>
        </w:tc>
        <w:tc>
          <w:tcPr>
            <w:tcW w:w="633" w:type="pct"/>
            <w:vAlign w:val="center"/>
          </w:tcPr>
          <w:p w14:paraId="4B504643"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rPr>
              <w:t>/</w:t>
            </w:r>
          </w:p>
        </w:tc>
        <w:tc>
          <w:tcPr>
            <w:tcW w:w="656" w:type="pct"/>
            <w:vAlign w:val="center"/>
          </w:tcPr>
          <w:p w14:paraId="61A458D9"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w:t>
            </w:r>
          </w:p>
        </w:tc>
      </w:tr>
      <w:tr w:rsidR="008A2411" w:rsidRPr="008A2411" w14:paraId="02C4377A" w14:textId="77777777">
        <w:trPr>
          <w:trHeight w:val="23"/>
          <w:jc w:val="center"/>
        </w:trPr>
        <w:tc>
          <w:tcPr>
            <w:tcW w:w="411" w:type="pct"/>
            <w:vMerge/>
            <w:vAlign w:val="center"/>
          </w:tcPr>
          <w:p w14:paraId="5D51D942" w14:textId="77777777" w:rsidR="00B0005F" w:rsidRPr="008A2411" w:rsidRDefault="00B0005F">
            <w:pPr>
              <w:adjustRightInd w:val="0"/>
              <w:snapToGrid w:val="0"/>
              <w:jc w:val="center"/>
              <w:rPr>
                <w:rFonts w:ascii="Times New Roman"/>
                <w:color w:val="000000" w:themeColor="text1"/>
                <w:sz w:val="21"/>
                <w:szCs w:val="21"/>
              </w:rPr>
            </w:pPr>
          </w:p>
        </w:tc>
        <w:tc>
          <w:tcPr>
            <w:tcW w:w="809" w:type="pct"/>
            <w:vAlign w:val="center"/>
          </w:tcPr>
          <w:p w14:paraId="2808A8B2"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石油烃（</w:t>
            </w:r>
            <w:r w:rsidRPr="008A2411">
              <w:rPr>
                <w:rFonts w:ascii="Times New Roman"/>
                <w:color w:val="000000" w:themeColor="text1"/>
                <w:sz w:val="21"/>
                <w:szCs w:val="21"/>
              </w:rPr>
              <w:t>C10-C40</w:t>
            </w:r>
            <w:r w:rsidRPr="008A2411">
              <w:rPr>
                <w:rFonts w:ascii="Times New Roman"/>
                <w:color w:val="000000" w:themeColor="text1"/>
                <w:sz w:val="21"/>
                <w:szCs w:val="21"/>
              </w:rPr>
              <w:t>）</w:t>
            </w:r>
          </w:p>
        </w:tc>
        <w:tc>
          <w:tcPr>
            <w:tcW w:w="610" w:type="pct"/>
            <w:vAlign w:val="center"/>
          </w:tcPr>
          <w:p w14:paraId="6F3C87D5"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mg/kg</w:t>
            </w:r>
          </w:p>
        </w:tc>
        <w:tc>
          <w:tcPr>
            <w:tcW w:w="610" w:type="pct"/>
            <w:vAlign w:val="center"/>
          </w:tcPr>
          <w:p w14:paraId="0033E80D"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37</w:t>
            </w:r>
          </w:p>
        </w:tc>
        <w:tc>
          <w:tcPr>
            <w:tcW w:w="622" w:type="pct"/>
            <w:vAlign w:val="center"/>
          </w:tcPr>
          <w:p w14:paraId="6259DCF7"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37</w:t>
            </w:r>
          </w:p>
        </w:tc>
        <w:tc>
          <w:tcPr>
            <w:tcW w:w="645" w:type="pct"/>
            <w:vAlign w:val="center"/>
          </w:tcPr>
          <w:p w14:paraId="2C7EC9F2"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rPr>
              <w:t>23</w:t>
            </w:r>
          </w:p>
        </w:tc>
        <w:tc>
          <w:tcPr>
            <w:tcW w:w="633" w:type="pct"/>
            <w:vAlign w:val="center"/>
          </w:tcPr>
          <w:p w14:paraId="17162574"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rPr>
              <w:t>4500</w:t>
            </w:r>
          </w:p>
        </w:tc>
        <w:tc>
          <w:tcPr>
            <w:tcW w:w="656" w:type="pct"/>
            <w:vAlign w:val="center"/>
          </w:tcPr>
          <w:p w14:paraId="47A79321"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 xml:space="preserve">0.01 </w:t>
            </w:r>
          </w:p>
        </w:tc>
      </w:tr>
      <w:tr w:rsidR="008A2411" w:rsidRPr="008A2411" w14:paraId="5155DAF5" w14:textId="77777777">
        <w:trPr>
          <w:trHeight w:val="23"/>
          <w:jc w:val="center"/>
        </w:trPr>
        <w:tc>
          <w:tcPr>
            <w:tcW w:w="411" w:type="pct"/>
            <w:vMerge/>
            <w:vAlign w:val="center"/>
          </w:tcPr>
          <w:p w14:paraId="3C90F8AB" w14:textId="77777777" w:rsidR="00B0005F" w:rsidRPr="008A2411" w:rsidRDefault="00B0005F">
            <w:pPr>
              <w:adjustRightInd w:val="0"/>
              <w:snapToGrid w:val="0"/>
              <w:jc w:val="center"/>
              <w:rPr>
                <w:rFonts w:ascii="Times New Roman"/>
                <w:color w:val="000000" w:themeColor="text1"/>
                <w:sz w:val="21"/>
                <w:szCs w:val="21"/>
              </w:rPr>
            </w:pPr>
          </w:p>
        </w:tc>
        <w:tc>
          <w:tcPr>
            <w:tcW w:w="809" w:type="pct"/>
            <w:vAlign w:val="center"/>
          </w:tcPr>
          <w:p w14:paraId="20A09E8D"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汞</w:t>
            </w:r>
          </w:p>
        </w:tc>
        <w:tc>
          <w:tcPr>
            <w:tcW w:w="610" w:type="pct"/>
            <w:vAlign w:val="center"/>
          </w:tcPr>
          <w:p w14:paraId="4CEF5D51"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mg/kg</w:t>
            </w:r>
          </w:p>
        </w:tc>
        <w:tc>
          <w:tcPr>
            <w:tcW w:w="610" w:type="pct"/>
            <w:vAlign w:val="center"/>
          </w:tcPr>
          <w:p w14:paraId="15DBBAF4"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0.0314</w:t>
            </w:r>
          </w:p>
        </w:tc>
        <w:tc>
          <w:tcPr>
            <w:tcW w:w="622" w:type="pct"/>
            <w:vAlign w:val="center"/>
          </w:tcPr>
          <w:p w14:paraId="299FE3E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0.0271</w:t>
            </w:r>
          </w:p>
        </w:tc>
        <w:tc>
          <w:tcPr>
            <w:tcW w:w="645" w:type="pct"/>
            <w:vAlign w:val="center"/>
          </w:tcPr>
          <w:p w14:paraId="75F6F6C5"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rPr>
              <w:t>0.0586</w:t>
            </w:r>
          </w:p>
        </w:tc>
        <w:tc>
          <w:tcPr>
            <w:tcW w:w="633" w:type="pct"/>
            <w:vAlign w:val="center"/>
          </w:tcPr>
          <w:p w14:paraId="1E65EC50"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38</w:t>
            </w:r>
          </w:p>
        </w:tc>
        <w:tc>
          <w:tcPr>
            <w:tcW w:w="656" w:type="pct"/>
            <w:vAlign w:val="center"/>
          </w:tcPr>
          <w:p w14:paraId="47277F92"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 xml:space="preserve">0.0015 </w:t>
            </w:r>
          </w:p>
        </w:tc>
      </w:tr>
      <w:tr w:rsidR="008A2411" w:rsidRPr="008A2411" w14:paraId="74B81CFF" w14:textId="77777777">
        <w:trPr>
          <w:trHeight w:val="23"/>
          <w:jc w:val="center"/>
        </w:trPr>
        <w:tc>
          <w:tcPr>
            <w:tcW w:w="411" w:type="pct"/>
            <w:vMerge/>
            <w:vAlign w:val="center"/>
          </w:tcPr>
          <w:p w14:paraId="65BDB774" w14:textId="77777777" w:rsidR="00B0005F" w:rsidRPr="008A2411" w:rsidRDefault="00B0005F">
            <w:pPr>
              <w:adjustRightInd w:val="0"/>
              <w:snapToGrid w:val="0"/>
              <w:jc w:val="center"/>
              <w:rPr>
                <w:rFonts w:ascii="Times New Roman"/>
                <w:color w:val="000000" w:themeColor="text1"/>
                <w:sz w:val="21"/>
                <w:szCs w:val="21"/>
              </w:rPr>
            </w:pPr>
          </w:p>
        </w:tc>
        <w:tc>
          <w:tcPr>
            <w:tcW w:w="809" w:type="pct"/>
            <w:vAlign w:val="center"/>
          </w:tcPr>
          <w:p w14:paraId="3A33BDCC"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氯化物</w:t>
            </w:r>
          </w:p>
        </w:tc>
        <w:tc>
          <w:tcPr>
            <w:tcW w:w="610" w:type="pct"/>
            <w:vAlign w:val="center"/>
          </w:tcPr>
          <w:p w14:paraId="6E052116"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mg/kg</w:t>
            </w:r>
          </w:p>
        </w:tc>
        <w:tc>
          <w:tcPr>
            <w:tcW w:w="610" w:type="pct"/>
            <w:vAlign w:val="center"/>
          </w:tcPr>
          <w:p w14:paraId="55D32AF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3.76</w:t>
            </w:r>
          </w:p>
        </w:tc>
        <w:tc>
          <w:tcPr>
            <w:tcW w:w="622" w:type="pct"/>
            <w:vAlign w:val="center"/>
          </w:tcPr>
          <w:p w14:paraId="212568F5"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3.42</w:t>
            </w:r>
          </w:p>
        </w:tc>
        <w:tc>
          <w:tcPr>
            <w:tcW w:w="645" w:type="pct"/>
            <w:vAlign w:val="center"/>
          </w:tcPr>
          <w:p w14:paraId="33383D32"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15.06</w:t>
            </w:r>
          </w:p>
        </w:tc>
        <w:tc>
          <w:tcPr>
            <w:tcW w:w="633" w:type="pct"/>
            <w:vAlign w:val="center"/>
          </w:tcPr>
          <w:p w14:paraId="0F9077DD"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w:t>
            </w:r>
          </w:p>
        </w:tc>
        <w:tc>
          <w:tcPr>
            <w:tcW w:w="656" w:type="pct"/>
            <w:vAlign w:val="center"/>
          </w:tcPr>
          <w:p w14:paraId="345324D0"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w:t>
            </w:r>
          </w:p>
        </w:tc>
      </w:tr>
      <w:tr w:rsidR="008A2411" w:rsidRPr="008A2411" w14:paraId="5E1A94A2" w14:textId="77777777">
        <w:trPr>
          <w:trHeight w:val="23"/>
          <w:jc w:val="center"/>
        </w:trPr>
        <w:tc>
          <w:tcPr>
            <w:tcW w:w="411" w:type="pct"/>
            <w:vMerge/>
            <w:vAlign w:val="center"/>
          </w:tcPr>
          <w:p w14:paraId="563D4FE2" w14:textId="77777777" w:rsidR="00B0005F" w:rsidRPr="008A2411" w:rsidRDefault="00B0005F">
            <w:pPr>
              <w:adjustRightInd w:val="0"/>
              <w:snapToGrid w:val="0"/>
              <w:jc w:val="center"/>
              <w:rPr>
                <w:rFonts w:ascii="Times New Roman"/>
                <w:color w:val="000000" w:themeColor="text1"/>
                <w:sz w:val="21"/>
                <w:szCs w:val="21"/>
              </w:rPr>
            </w:pPr>
          </w:p>
        </w:tc>
        <w:tc>
          <w:tcPr>
            <w:tcW w:w="809" w:type="pct"/>
            <w:vAlign w:val="center"/>
          </w:tcPr>
          <w:p w14:paraId="092E64A6"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硫化物</w:t>
            </w:r>
          </w:p>
        </w:tc>
        <w:tc>
          <w:tcPr>
            <w:tcW w:w="610" w:type="pct"/>
            <w:vAlign w:val="center"/>
          </w:tcPr>
          <w:p w14:paraId="53D7FC16"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mg/kg</w:t>
            </w:r>
          </w:p>
        </w:tc>
        <w:tc>
          <w:tcPr>
            <w:tcW w:w="610" w:type="pct"/>
            <w:vAlign w:val="center"/>
          </w:tcPr>
          <w:p w14:paraId="1FEEB24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ND</w:t>
            </w:r>
          </w:p>
        </w:tc>
        <w:tc>
          <w:tcPr>
            <w:tcW w:w="622" w:type="pct"/>
            <w:vAlign w:val="center"/>
          </w:tcPr>
          <w:p w14:paraId="233A4947"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ND</w:t>
            </w:r>
          </w:p>
        </w:tc>
        <w:tc>
          <w:tcPr>
            <w:tcW w:w="645" w:type="pct"/>
            <w:vAlign w:val="center"/>
          </w:tcPr>
          <w:p w14:paraId="0E19E97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ND</w:t>
            </w:r>
          </w:p>
        </w:tc>
        <w:tc>
          <w:tcPr>
            <w:tcW w:w="633" w:type="pct"/>
            <w:vAlign w:val="center"/>
          </w:tcPr>
          <w:p w14:paraId="131DFDFB"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w:t>
            </w:r>
          </w:p>
        </w:tc>
        <w:tc>
          <w:tcPr>
            <w:tcW w:w="656" w:type="pct"/>
            <w:vAlign w:val="center"/>
          </w:tcPr>
          <w:p w14:paraId="00A53CCF"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w:t>
            </w:r>
          </w:p>
        </w:tc>
      </w:tr>
    </w:tbl>
    <w:p w14:paraId="3CC4F6FA" w14:textId="77777777" w:rsidR="00B0005F" w:rsidRPr="008A2411" w:rsidRDefault="00000000">
      <w:pPr>
        <w:pStyle w:val="TOC1"/>
        <w:jc w:val="center"/>
        <w:rPr>
          <w:rFonts w:ascii="Times New Roman" w:eastAsia="黑体" w:hAnsi="Times New Roman" w:cs="Times New Roman"/>
          <w:b w:val="0"/>
          <w:bCs w:val="0"/>
          <w:caps w:val="0"/>
          <w:color w:val="000000" w:themeColor="text1"/>
          <w:sz w:val="24"/>
          <w:szCs w:val="21"/>
        </w:rPr>
      </w:pPr>
      <w:r w:rsidRPr="008A2411">
        <w:rPr>
          <w:rFonts w:ascii="Times New Roman" w:eastAsia="黑体" w:hAnsi="Times New Roman" w:cs="Times New Roman"/>
          <w:b w:val="0"/>
          <w:bCs w:val="0"/>
          <w:caps w:val="0"/>
          <w:color w:val="000000" w:themeColor="text1"/>
          <w:sz w:val="24"/>
          <w:szCs w:val="21"/>
        </w:rPr>
        <w:t>表</w:t>
      </w:r>
      <w:r w:rsidRPr="008A2411">
        <w:rPr>
          <w:rFonts w:ascii="Times New Roman" w:eastAsia="黑体" w:hAnsi="Times New Roman" w:cs="Times New Roman"/>
          <w:b w:val="0"/>
          <w:bCs w:val="0"/>
          <w:caps w:val="0"/>
          <w:color w:val="000000" w:themeColor="text1"/>
          <w:sz w:val="24"/>
          <w:szCs w:val="21"/>
        </w:rPr>
        <w:t xml:space="preserve">4.5-5  </w:t>
      </w:r>
      <w:r w:rsidRPr="008A2411">
        <w:rPr>
          <w:rFonts w:ascii="Times New Roman" w:eastAsia="黑体" w:hAnsi="Times New Roman" w:cs="Times New Roman"/>
          <w:b w:val="0"/>
          <w:bCs w:val="0"/>
          <w:caps w:val="0"/>
          <w:color w:val="000000" w:themeColor="text1"/>
          <w:sz w:val="24"/>
          <w:szCs w:val="21"/>
        </w:rPr>
        <w:t>基本因子土壤环境质量现状监测统计表</w:t>
      </w:r>
      <w:r w:rsidRPr="008A2411">
        <w:rPr>
          <w:rFonts w:ascii="Times New Roman" w:eastAsia="黑体" w:hAnsi="Times New Roman" w:cs="Times New Roman"/>
          <w:b w:val="0"/>
          <w:bCs w:val="0"/>
          <w:caps w:val="0"/>
          <w:color w:val="000000" w:themeColor="text1"/>
          <w:sz w:val="24"/>
          <w:szCs w:val="21"/>
        </w:rPr>
        <w:t xml:space="preserve">  </w:t>
      </w:r>
      <w:r w:rsidRPr="008A2411">
        <w:rPr>
          <w:rFonts w:ascii="Times New Roman" w:eastAsia="黑体" w:hAnsi="Times New Roman" w:cs="Times New Roman"/>
          <w:b w:val="0"/>
          <w:bCs w:val="0"/>
          <w:caps w:val="0"/>
          <w:color w:val="000000" w:themeColor="text1"/>
          <w:sz w:val="24"/>
          <w:szCs w:val="21"/>
        </w:rPr>
        <w:t>单位：</w:t>
      </w:r>
      <w:r w:rsidRPr="008A2411">
        <w:rPr>
          <w:rFonts w:ascii="Times New Roman" w:eastAsia="黑体" w:hAnsi="Times New Roman" w:cs="Times New Roman"/>
          <w:b w:val="0"/>
          <w:bCs w:val="0"/>
          <w:caps w:val="0"/>
          <w:color w:val="000000" w:themeColor="text1"/>
          <w:sz w:val="24"/>
          <w:szCs w:val="21"/>
        </w:rPr>
        <w:t>mg/kg</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70"/>
        <w:gridCol w:w="1988"/>
        <w:gridCol w:w="780"/>
        <w:gridCol w:w="1171"/>
        <w:gridCol w:w="907"/>
        <w:gridCol w:w="1168"/>
        <w:gridCol w:w="781"/>
        <w:gridCol w:w="857"/>
      </w:tblGrid>
      <w:tr w:rsidR="008A2411" w:rsidRPr="008A2411" w14:paraId="3693D2A1" w14:textId="77777777">
        <w:trPr>
          <w:trHeight w:val="182"/>
          <w:jc w:val="center"/>
        </w:trPr>
        <w:tc>
          <w:tcPr>
            <w:tcW w:w="510" w:type="pct"/>
            <w:vMerge w:val="restart"/>
            <w:tcBorders>
              <w:top w:val="single" w:sz="4" w:space="0" w:color="auto"/>
              <w:left w:val="single" w:sz="4" w:space="0" w:color="auto"/>
            </w:tcBorders>
            <w:vAlign w:val="center"/>
          </w:tcPr>
          <w:p w14:paraId="6B4397E1" w14:textId="77777777" w:rsidR="00B0005F" w:rsidRPr="008A2411" w:rsidRDefault="00000000">
            <w:pPr>
              <w:jc w:val="center"/>
              <w:rPr>
                <w:rFonts w:ascii="Times New Roman"/>
                <w:b/>
                <w:bCs/>
                <w:color w:val="000000" w:themeColor="text1"/>
                <w:sz w:val="21"/>
                <w:szCs w:val="21"/>
              </w:rPr>
            </w:pPr>
            <w:r w:rsidRPr="008A2411">
              <w:rPr>
                <w:rFonts w:ascii="Times New Roman"/>
                <w:b/>
                <w:bCs/>
                <w:color w:val="000000" w:themeColor="text1"/>
                <w:sz w:val="21"/>
                <w:szCs w:val="21"/>
              </w:rPr>
              <w:t>监测点位</w:t>
            </w:r>
          </w:p>
        </w:tc>
        <w:tc>
          <w:tcPr>
            <w:tcW w:w="1165" w:type="pct"/>
            <w:vMerge w:val="restart"/>
            <w:tcBorders>
              <w:top w:val="single" w:sz="4" w:space="0" w:color="auto"/>
              <w:left w:val="single" w:sz="4" w:space="0" w:color="auto"/>
            </w:tcBorders>
            <w:shd w:val="clear" w:color="auto" w:fill="auto"/>
            <w:vAlign w:val="center"/>
          </w:tcPr>
          <w:p w14:paraId="1B268262" w14:textId="77777777" w:rsidR="00B0005F" w:rsidRPr="008A2411" w:rsidRDefault="00000000">
            <w:pPr>
              <w:jc w:val="center"/>
              <w:rPr>
                <w:rFonts w:ascii="Times New Roman"/>
                <w:b/>
                <w:bCs/>
                <w:color w:val="000000" w:themeColor="text1"/>
                <w:sz w:val="21"/>
                <w:szCs w:val="21"/>
              </w:rPr>
            </w:pPr>
            <w:r w:rsidRPr="008A2411">
              <w:rPr>
                <w:rFonts w:ascii="Times New Roman"/>
                <w:b/>
                <w:bCs/>
                <w:color w:val="000000" w:themeColor="text1"/>
                <w:sz w:val="21"/>
                <w:szCs w:val="21"/>
              </w:rPr>
              <w:t>评价因子</w:t>
            </w:r>
          </w:p>
        </w:tc>
        <w:tc>
          <w:tcPr>
            <w:tcW w:w="457" w:type="pct"/>
            <w:vMerge w:val="restart"/>
            <w:tcBorders>
              <w:top w:val="single" w:sz="4" w:space="0" w:color="auto"/>
            </w:tcBorders>
            <w:vAlign w:val="center"/>
          </w:tcPr>
          <w:p w14:paraId="2F64B5F4" w14:textId="77777777" w:rsidR="00B0005F" w:rsidRPr="008A2411" w:rsidRDefault="00000000">
            <w:pPr>
              <w:jc w:val="center"/>
              <w:rPr>
                <w:rFonts w:ascii="Times New Roman"/>
                <w:b/>
                <w:bCs/>
                <w:color w:val="000000" w:themeColor="text1"/>
                <w:sz w:val="21"/>
                <w:szCs w:val="21"/>
              </w:rPr>
            </w:pPr>
            <w:r w:rsidRPr="008A2411">
              <w:rPr>
                <w:rFonts w:ascii="Times New Roman"/>
                <w:b/>
                <w:bCs/>
                <w:color w:val="000000" w:themeColor="text1"/>
                <w:sz w:val="21"/>
                <w:szCs w:val="21"/>
              </w:rPr>
              <w:t>单位</w:t>
            </w:r>
          </w:p>
        </w:tc>
        <w:tc>
          <w:tcPr>
            <w:tcW w:w="687" w:type="pct"/>
            <w:vMerge w:val="restart"/>
            <w:tcBorders>
              <w:top w:val="single" w:sz="4" w:space="0" w:color="auto"/>
              <w:right w:val="single" w:sz="4" w:space="0" w:color="auto"/>
            </w:tcBorders>
            <w:vAlign w:val="center"/>
          </w:tcPr>
          <w:p w14:paraId="45A52F00" w14:textId="77777777" w:rsidR="00B0005F" w:rsidRPr="008A2411" w:rsidRDefault="00000000">
            <w:pPr>
              <w:jc w:val="center"/>
              <w:rPr>
                <w:rFonts w:ascii="Times New Roman"/>
                <w:b/>
                <w:bCs/>
                <w:color w:val="000000" w:themeColor="text1"/>
                <w:sz w:val="21"/>
                <w:szCs w:val="21"/>
              </w:rPr>
            </w:pPr>
            <w:r w:rsidRPr="008A2411">
              <w:rPr>
                <w:rFonts w:ascii="Times New Roman"/>
                <w:b/>
                <w:bCs/>
                <w:color w:val="000000" w:themeColor="text1"/>
                <w:sz w:val="21"/>
                <w:szCs w:val="21"/>
              </w:rPr>
              <w:t>监测结果</w:t>
            </w:r>
          </w:p>
        </w:tc>
        <w:tc>
          <w:tcPr>
            <w:tcW w:w="532" w:type="pct"/>
            <w:vMerge w:val="restart"/>
            <w:tcBorders>
              <w:top w:val="single" w:sz="4" w:space="0" w:color="auto"/>
              <w:right w:val="single" w:sz="4" w:space="0" w:color="auto"/>
            </w:tcBorders>
            <w:vAlign w:val="center"/>
          </w:tcPr>
          <w:p w14:paraId="6D08F946" w14:textId="77777777" w:rsidR="00B0005F" w:rsidRPr="008A2411" w:rsidRDefault="00000000">
            <w:pPr>
              <w:jc w:val="center"/>
              <w:rPr>
                <w:rFonts w:ascii="Times New Roman"/>
                <w:b/>
                <w:color w:val="000000" w:themeColor="text1"/>
                <w:sz w:val="21"/>
                <w:szCs w:val="21"/>
              </w:rPr>
            </w:pPr>
            <w:r w:rsidRPr="008A2411">
              <w:rPr>
                <w:rFonts w:ascii="Times New Roman"/>
                <w:b/>
                <w:color w:val="000000" w:themeColor="text1"/>
                <w:sz w:val="21"/>
                <w:szCs w:val="21"/>
              </w:rPr>
              <w:t>评价</w:t>
            </w:r>
          </w:p>
          <w:p w14:paraId="0C4FF050" w14:textId="77777777" w:rsidR="00B0005F" w:rsidRPr="008A2411" w:rsidRDefault="00000000">
            <w:pPr>
              <w:jc w:val="center"/>
              <w:rPr>
                <w:rFonts w:ascii="Times New Roman"/>
                <w:b/>
                <w:bCs/>
                <w:color w:val="000000" w:themeColor="text1"/>
                <w:sz w:val="21"/>
                <w:szCs w:val="21"/>
              </w:rPr>
            </w:pPr>
            <w:r w:rsidRPr="008A2411">
              <w:rPr>
                <w:rFonts w:ascii="Times New Roman"/>
                <w:b/>
                <w:color w:val="000000" w:themeColor="text1"/>
                <w:sz w:val="21"/>
                <w:szCs w:val="21"/>
              </w:rPr>
              <w:t>标准</w:t>
            </w:r>
          </w:p>
        </w:tc>
        <w:tc>
          <w:tcPr>
            <w:tcW w:w="685" w:type="pct"/>
            <w:vMerge w:val="restart"/>
            <w:tcBorders>
              <w:top w:val="single" w:sz="4" w:space="0" w:color="auto"/>
              <w:right w:val="single" w:sz="4" w:space="0" w:color="auto"/>
            </w:tcBorders>
            <w:vAlign w:val="center"/>
          </w:tcPr>
          <w:p w14:paraId="71C2E688" w14:textId="77777777" w:rsidR="00B0005F" w:rsidRPr="008A2411" w:rsidRDefault="00000000">
            <w:pPr>
              <w:jc w:val="center"/>
              <w:rPr>
                <w:rFonts w:ascii="Times New Roman"/>
                <w:b/>
                <w:color w:val="000000" w:themeColor="text1"/>
                <w:sz w:val="21"/>
                <w:szCs w:val="21"/>
              </w:rPr>
            </w:pPr>
            <w:r w:rsidRPr="008A2411">
              <w:rPr>
                <w:rFonts w:ascii="Times New Roman"/>
                <w:b/>
                <w:color w:val="000000" w:themeColor="text1"/>
                <w:sz w:val="21"/>
                <w:szCs w:val="21"/>
              </w:rPr>
              <w:t>单项指数（</w:t>
            </w:r>
            <w:r w:rsidRPr="008A2411">
              <w:rPr>
                <w:rFonts w:ascii="Times New Roman"/>
                <w:b/>
                <w:color w:val="000000" w:themeColor="text1"/>
                <w:sz w:val="21"/>
                <w:szCs w:val="21"/>
              </w:rPr>
              <w:t>P</w:t>
            </w:r>
            <w:r w:rsidRPr="008A2411">
              <w:rPr>
                <w:rFonts w:ascii="Times New Roman"/>
                <w:b/>
                <w:color w:val="000000" w:themeColor="text1"/>
                <w:sz w:val="21"/>
                <w:szCs w:val="21"/>
                <w:vertAlign w:val="subscript"/>
              </w:rPr>
              <w:t>imax</w:t>
            </w:r>
            <w:r w:rsidRPr="008A2411">
              <w:rPr>
                <w:rFonts w:ascii="Times New Roman"/>
                <w:b/>
                <w:color w:val="000000" w:themeColor="text1"/>
                <w:sz w:val="21"/>
                <w:szCs w:val="21"/>
              </w:rPr>
              <w:t>）</w:t>
            </w:r>
          </w:p>
        </w:tc>
        <w:tc>
          <w:tcPr>
            <w:tcW w:w="961" w:type="pct"/>
            <w:gridSpan w:val="2"/>
            <w:tcBorders>
              <w:top w:val="single" w:sz="4" w:space="0" w:color="auto"/>
              <w:right w:val="single" w:sz="4" w:space="0" w:color="auto"/>
            </w:tcBorders>
            <w:vAlign w:val="center"/>
          </w:tcPr>
          <w:p w14:paraId="5D12D575" w14:textId="77777777" w:rsidR="00B0005F" w:rsidRPr="008A2411" w:rsidRDefault="00000000">
            <w:pPr>
              <w:jc w:val="center"/>
              <w:rPr>
                <w:rFonts w:ascii="Times New Roman"/>
                <w:b/>
                <w:color w:val="000000" w:themeColor="text1"/>
                <w:sz w:val="21"/>
                <w:szCs w:val="21"/>
              </w:rPr>
            </w:pPr>
            <w:r w:rsidRPr="008A2411">
              <w:rPr>
                <w:rFonts w:ascii="Times New Roman"/>
                <w:b/>
                <w:color w:val="000000" w:themeColor="text1"/>
                <w:sz w:val="21"/>
                <w:szCs w:val="21"/>
              </w:rPr>
              <w:t>评价结果</w:t>
            </w:r>
          </w:p>
        </w:tc>
      </w:tr>
      <w:tr w:rsidR="008A2411" w:rsidRPr="008A2411" w14:paraId="222FE7A2" w14:textId="77777777">
        <w:trPr>
          <w:trHeight w:val="182"/>
          <w:jc w:val="center"/>
        </w:trPr>
        <w:tc>
          <w:tcPr>
            <w:tcW w:w="510" w:type="pct"/>
            <w:vMerge/>
            <w:tcBorders>
              <w:left w:val="single" w:sz="4" w:space="0" w:color="auto"/>
            </w:tcBorders>
            <w:vAlign w:val="center"/>
          </w:tcPr>
          <w:p w14:paraId="60043E42" w14:textId="77777777" w:rsidR="00B0005F" w:rsidRPr="008A2411" w:rsidRDefault="00B0005F">
            <w:pPr>
              <w:jc w:val="center"/>
              <w:rPr>
                <w:rFonts w:ascii="Times New Roman"/>
                <w:b/>
                <w:bCs/>
                <w:color w:val="000000" w:themeColor="text1"/>
                <w:sz w:val="21"/>
                <w:szCs w:val="21"/>
              </w:rPr>
            </w:pPr>
          </w:p>
        </w:tc>
        <w:tc>
          <w:tcPr>
            <w:tcW w:w="1165" w:type="pct"/>
            <w:vMerge/>
            <w:tcBorders>
              <w:left w:val="single" w:sz="4" w:space="0" w:color="auto"/>
            </w:tcBorders>
            <w:shd w:val="clear" w:color="auto" w:fill="auto"/>
            <w:vAlign w:val="center"/>
          </w:tcPr>
          <w:p w14:paraId="1DD546AA" w14:textId="77777777" w:rsidR="00B0005F" w:rsidRPr="008A2411" w:rsidRDefault="00B0005F">
            <w:pPr>
              <w:jc w:val="center"/>
              <w:rPr>
                <w:rFonts w:ascii="Times New Roman"/>
                <w:b/>
                <w:bCs/>
                <w:color w:val="000000" w:themeColor="text1"/>
                <w:sz w:val="21"/>
                <w:szCs w:val="21"/>
              </w:rPr>
            </w:pPr>
          </w:p>
        </w:tc>
        <w:tc>
          <w:tcPr>
            <w:tcW w:w="457" w:type="pct"/>
            <w:vMerge/>
            <w:vAlign w:val="center"/>
          </w:tcPr>
          <w:p w14:paraId="1A04B5B0" w14:textId="77777777" w:rsidR="00B0005F" w:rsidRPr="008A2411" w:rsidRDefault="00B0005F">
            <w:pPr>
              <w:jc w:val="center"/>
              <w:rPr>
                <w:rFonts w:ascii="Times New Roman"/>
                <w:b/>
                <w:bCs/>
                <w:color w:val="000000" w:themeColor="text1"/>
                <w:sz w:val="21"/>
                <w:szCs w:val="21"/>
              </w:rPr>
            </w:pPr>
          </w:p>
        </w:tc>
        <w:tc>
          <w:tcPr>
            <w:tcW w:w="687" w:type="pct"/>
            <w:vMerge/>
            <w:tcBorders>
              <w:right w:val="single" w:sz="4" w:space="0" w:color="auto"/>
            </w:tcBorders>
            <w:vAlign w:val="center"/>
          </w:tcPr>
          <w:p w14:paraId="41BAD0D1" w14:textId="77777777" w:rsidR="00B0005F" w:rsidRPr="008A2411" w:rsidRDefault="00B0005F">
            <w:pPr>
              <w:jc w:val="center"/>
              <w:rPr>
                <w:rFonts w:ascii="Times New Roman"/>
                <w:b/>
                <w:bCs/>
                <w:color w:val="000000" w:themeColor="text1"/>
                <w:sz w:val="21"/>
                <w:szCs w:val="21"/>
              </w:rPr>
            </w:pPr>
          </w:p>
        </w:tc>
        <w:tc>
          <w:tcPr>
            <w:tcW w:w="532" w:type="pct"/>
            <w:vMerge/>
            <w:tcBorders>
              <w:right w:val="single" w:sz="4" w:space="0" w:color="auto"/>
            </w:tcBorders>
            <w:vAlign w:val="center"/>
          </w:tcPr>
          <w:p w14:paraId="36E9BE63" w14:textId="77777777" w:rsidR="00B0005F" w:rsidRPr="008A2411" w:rsidRDefault="00B0005F">
            <w:pPr>
              <w:jc w:val="center"/>
              <w:rPr>
                <w:rFonts w:ascii="Times New Roman"/>
                <w:b/>
                <w:color w:val="000000" w:themeColor="text1"/>
                <w:sz w:val="21"/>
                <w:szCs w:val="21"/>
              </w:rPr>
            </w:pPr>
          </w:p>
        </w:tc>
        <w:tc>
          <w:tcPr>
            <w:tcW w:w="685" w:type="pct"/>
            <w:vMerge/>
            <w:tcBorders>
              <w:right w:val="single" w:sz="4" w:space="0" w:color="auto"/>
            </w:tcBorders>
            <w:vAlign w:val="center"/>
          </w:tcPr>
          <w:p w14:paraId="4039BB59" w14:textId="77777777" w:rsidR="00B0005F" w:rsidRPr="008A2411" w:rsidRDefault="00B0005F">
            <w:pPr>
              <w:jc w:val="center"/>
              <w:rPr>
                <w:rFonts w:ascii="Times New Roman"/>
                <w:b/>
                <w:color w:val="000000" w:themeColor="text1"/>
                <w:sz w:val="21"/>
                <w:szCs w:val="21"/>
              </w:rPr>
            </w:pPr>
          </w:p>
        </w:tc>
        <w:tc>
          <w:tcPr>
            <w:tcW w:w="458" w:type="pct"/>
            <w:tcBorders>
              <w:top w:val="single" w:sz="4" w:space="0" w:color="auto"/>
              <w:right w:val="single" w:sz="4" w:space="0" w:color="auto"/>
            </w:tcBorders>
            <w:vAlign w:val="center"/>
          </w:tcPr>
          <w:p w14:paraId="01D527F1" w14:textId="77777777" w:rsidR="00B0005F" w:rsidRPr="008A2411" w:rsidRDefault="00000000">
            <w:pPr>
              <w:jc w:val="center"/>
              <w:rPr>
                <w:rFonts w:ascii="Times New Roman"/>
                <w:b/>
                <w:color w:val="000000" w:themeColor="text1"/>
                <w:sz w:val="21"/>
                <w:szCs w:val="21"/>
              </w:rPr>
            </w:pPr>
            <w:r w:rsidRPr="008A2411">
              <w:rPr>
                <w:rFonts w:ascii="Times New Roman"/>
                <w:b/>
                <w:color w:val="000000" w:themeColor="text1"/>
                <w:sz w:val="21"/>
                <w:szCs w:val="21"/>
              </w:rPr>
              <w:t>超标率（</w:t>
            </w:r>
            <w:r w:rsidRPr="008A2411">
              <w:rPr>
                <w:rFonts w:ascii="Times New Roman"/>
                <w:b/>
                <w:color w:val="000000" w:themeColor="text1"/>
                <w:sz w:val="21"/>
                <w:szCs w:val="21"/>
              </w:rPr>
              <w:t>%</w:t>
            </w:r>
            <w:r w:rsidRPr="008A2411">
              <w:rPr>
                <w:rFonts w:ascii="Times New Roman"/>
                <w:b/>
                <w:color w:val="000000" w:themeColor="text1"/>
                <w:sz w:val="21"/>
                <w:szCs w:val="21"/>
              </w:rPr>
              <w:t>）</w:t>
            </w:r>
          </w:p>
        </w:tc>
        <w:tc>
          <w:tcPr>
            <w:tcW w:w="502" w:type="pct"/>
            <w:tcBorders>
              <w:top w:val="single" w:sz="4" w:space="0" w:color="auto"/>
              <w:right w:val="single" w:sz="4" w:space="0" w:color="auto"/>
            </w:tcBorders>
            <w:vAlign w:val="center"/>
          </w:tcPr>
          <w:p w14:paraId="6969FD86" w14:textId="77777777" w:rsidR="00B0005F" w:rsidRPr="008A2411" w:rsidRDefault="00000000">
            <w:pPr>
              <w:jc w:val="center"/>
              <w:rPr>
                <w:rFonts w:ascii="Times New Roman"/>
                <w:b/>
                <w:color w:val="000000" w:themeColor="text1"/>
                <w:sz w:val="21"/>
                <w:szCs w:val="21"/>
              </w:rPr>
            </w:pPr>
            <w:r w:rsidRPr="008A2411">
              <w:rPr>
                <w:rFonts w:ascii="Times New Roman"/>
                <w:b/>
                <w:color w:val="000000" w:themeColor="text1"/>
                <w:sz w:val="21"/>
                <w:szCs w:val="21"/>
              </w:rPr>
              <w:t>最大超标倍数</w:t>
            </w:r>
          </w:p>
        </w:tc>
      </w:tr>
      <w:tr w:rsidR="008A2411" w:rsidRPr="008A2411" w14:paraId="1FE8D6C4" w14:textId="77777777">
        <w:trPr>
          <w:trHeight w:val="176"/>
          <w:jc w:val="center"/>
        </w:trPr>
        <w:tc>
          <w:tcPr>
            <w:tcW w:w="510" w:type="pct"/>
            <w:vMerge w:val="restart"/>
            <w:tcBorders>
              <w:left w:val="single" w:sz="4" w:space="0" w:color="auto"/>
            </w:tcBorders>
            <w:vAlign w:val="center"/>
          </w:tcPr>
          <w:p w14:paraId="22D5F630"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4#</w:t>
            </w:r>
          </w:p>
        </w:tc>
        <w:tc>
          <w:tcPr>
            <w:tcW w:w="1165" w:type="pct"/>
            <w:tcBorders>
              <w:left w:val="single" w:sz="4" w:space="0" w:color="auto"/>
            </w:tcBorders>
            <w:shd w:val="clear" w:color="auto" w:fill="auto"/>
            <w:vAlign w:val="center"/>
          </w:tcPr>
          <w:p w14:paraId="05525C18"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z w:val="21"/>
                <w:szCs w:val="21"/>
              </w:rPr>
              <w:t>砷</w:t>
            </w:r>
          </w:p>
        </w:tc>
        <w:tc>
          <w:tcPr>
            <w:tcW w:w="457" w:type="pct"/>
            <w:vAlign w:val="center"/>
          </w:tcPr>
          <w:p w14:paraId="43A3B13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mg/kg</w:t>
            </w:r>
          </w:p>
        </w:tc>
        <w:tc>
          <w:tcPr>
            <w:tcW w:w="687" w:type="pct"/>
            <w:shd w:val="clear" w:color="auto" w:fill="auto"/>
            <w:vAlign w:val="center"/>
          </w:tcPr>
          <w:p w14:paraId="79D2D3D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4.47</w:t>
            </w:r>
          </w:p>
        </w:tc>
        <w:tc>
          <w:tcPr>
            <w:tcW w:w="532" w:type="pct"/>
            <w:tcBorders>
              <w:right w:val="single" w:sz="4" w:space="0" w:color="auto"/>
            </w:tcBorders>
            <w:shd w:val="clear" w:color="auto" w:fill="auto"/>
            <w:vAlign w:val="center"/>
          </w:tcPr>
          <w:p w14:paraId="28169E4D" w14:textId="77777777" w:rsidR="00B0005F" w:rsidRPr="008A2411" w:rsidRDefault="00000000">
            <w:pPr>
              <w:jc w:val="center"/>
              <w:rPr>
                <w:rFonts w:ascii="Times New Roman"/>
                <w:color w:val="000000" w:themeColor="text1"/>
                <w:sz w:val="21"/>
                <w:szCs w:val="21"/>
                <w:lang w:bidi="ar"/>
              </w:rPr>
            </w:pPr>
            <w:r w:rsidRPr="008A2411">
              <w:rPr>
                <w:rFonts w:ascii="Times New Roman"/>
                <w:color w:val="000000" w:themeColor="text1"/>
                <w:sz w:val="21"/>
                <w:szCs w:val="21"/>
                <w:lang w:bidi="ar"/>
              </w:rPr>
              <w:t>60</w:t>
            </w:r>
          </w:p>
        </w:tc>
        <w:tc>
          <w:tcPr>
            <w:tcW w:w="685" w:type="pct"/>
            <w:tcBorders>
              <w:right w:val="single" w:sz="4" w:space="0" w:color="auto"/>
            </w:tcBorders>
            <w:vAlign w:val="center"/>
          </w:tcPr>
          <w:p w14:paraId="06C3C1B9" w14:textId="77777777" w:rsidR="00B0005F" w:rsidRPr="008A2411" w:rsidRDefault="00000000">
            <w:pPr>
              <w:jc w:val="center"/>
              <w:rPr>
                <w:rFonts w:ascii="Times New Roman"/>
                <w:color w:val="000000" w:themeColor="text1"/>
                <w:sz w:val="21"/>
                <w:szCs w:val="21"/>
                <w:lang w:bidi="ar"/>
              </w:rPr>
            </w:pPr>
            <w:r w:rsidRPr="008A2411">
              <w:rPr>
                <w:rFonts w:ascii="Times New Roman"/>
                <w:color w:val="000000" w:themeColor="text1"/>
                <w:sz w:val="21"/>
                <w:szCs w:val="21"/>
                <w:lang w:bidi="ar"/>
              </w:rPr>
              <w:t xml:space="preserve">0.0745 </w:t>
            </w:r>
          </w:p>
        </w:tc>
        <w:tc>
          <w:tcPr>
            <w:tcW w:w="458" w:type="pct"/>
            <w:tcBorders>
              <w:right w:val="single" w:sz="4" w:space="0" w:color="auto"/>
            </w:tcBorders>
            <w:vAlign w:val="center"/>
          </w:tcPr>
          <w:p w14:paraId="1EEB9034" w14:textId="77777777" w:rsidR="00B0005F" w:rsidRPr="008A2411" w:rsidRDefault="00000000">
            <w:pPr>
              <w:jc w:val="center"/>
              <w:rPr>
                <w:rFonts w:ascii="Times New Roman"/>
                <w:color w:val="000000" w:themeColor="text1"/>
                <w:sz w:val="21"/>
                <w:szCs w:val="21"/>
                <w:lang w:bidi="ar"/>
              </w:rPr>
            </w:pPr>
            <w:r w:rsidRPr="008A2411">
              <w:rPr>
                <w:rFonts w:ascii="Times New Roman"/>
                <w:color w:val="000000" w:themeColor="text1"/>
                <w:sz w:val="21"/>
                <w:szCs w:val="21"/>
                <w:lang w:bidi="ar"/>
              </w:rPr>
              <w:t>0</w:t>
            </w:r>
          </w:p>
        </w:tc>
        <w:tc>
          <w:tcPr>
            <w:tcW w:w="502" w:type="pct"/>
            <w:tcBorders>
              <w:right w:val="single" w:sz="4" w:space="0" w:color="auto"/>
            </w:tcBorders>
            <w:vAlign w:val="center"/>
          </w:tcPr>
          <w:p w14:paraId="4E07E4FF" w14:textId="77777777" w:rsidR="00B0005F" w:rsidRPr="008A2411" w:rsidRDefault="00000000">
            <w:pPr>
              <w:jc w:val="center"/>
              <w:rPr>
                <w:rFonts w:ascii="Times New Roman"/>
                <w:color w:val="000000" w:themeColor="text1"/>
                <w:sz w:val="21"/>
                <w:szCs w:val="21"/>
                <w:lang w:bidi="ar"/>
              </w:rPr>
            </w:pPr>
            <w:r w:rsidRPr="008A2411">
              <w:rPr>
                <w:rFonts w:ascii="Times New Roman"/>
                <w:color w:val="000000" w:themeColor="text1"/>
                <w:sz w:val="21"/>
                <w:szCs w:val="21"/>
                <w:lang w:bidi="ar"/>
              </w:rPr>
              <w:t>0</w:t>
            </w:r>
          </w:p>
        </w:tc>
      </w:tr>
      <w:tr w:rsidR="008A2411" w:rsidRPr="008A2411" w14:paraId="1BACDCFA" w14:textId="77777777">
        <w:trPr>
          <w:trHeight w:val="90"/>
          <w:jc w:val="center"/>
        </w:trPr>
        <w:tc>
          <w:tcPr>
            <w:tcW w:w="510" w:type="pct"/>
            <w:vMerge/>
            <w:tcBorders>
              <w:left w:val="single" w:sz="4" w:space="0" w:color="auto"/>
            </w:tcBorders>
            <w:vAlign w:val="center"/>
          </w:tcPr>
          <w:p w14:paraId="4283E5A9"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tcBorders>
            <w:shd w:val="clear" w:color="auto" w:fill="auto"/>
            <w:vAlign w:val="center"/>
          </w:tcPr>
          <w:p w14:paraId="590E50AC"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z w:val="21"/>
                <w:szCs w:val="21"/>
              </w:rPr>
              <w:t>镉</w:t>
            </w:r>
          </w:p>
        </w:tc>
        <w:tc>
          <w:tcPr>
            <w:tcW w:w="457" w:type="pct"/>
            <w:vAlign w:val="center"/>
          </w:tcPr>
          <w:p w14:paraId="1539ACE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mg/kg</w:t>
            </w:r>
          </w:p>
        </w:tc>
        <w:tc>
          <w:tcPr>
            <w:tcW w:w="687" w:type="pct"/>
            <w:shd w:val="clear" w:color="auto" w:fill="auto"/>
            <w:vAlign w:val="center"/>
          </w:tcPr>
          <w:p w14:paraId="60A9F7C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0.32</w:t>
            </w:r>
          </w:p>
        </w:tc>
        <w:tc>
          <w:tcPr>
            <w:tcW w:w="532" w:type="pct"/>
            <w:tcBorders>
              <w:right w:val="single" w:sz="4" w:space="0" w:color="auto"/>
            </w:tcBorders>
            <w:shd w:val="clear" w:color="auto" w:fill="auto"/>
            <w:vAlign w:val="center"/>
          </w:tcPr>
          <w:p w14:paraId="73933E12" w14:textId="77777777" w:rsidR="00B0005F" w:rsidRPr="008A2411" w:rsidRDefault="00000000">
            <w:pPr>
              <w:jc w:val="center"/>
              <w:rPr>
                <w:rFonts w:ascii="Times New Roman"/>
                <w:color w:val="000000" w:themeColor="text1"/>
                <w:sz w:val="21"/>
                <w:szCs w:val="21"/>
                <w:lang w:bidi="ar"/>
              </w:rPr>
            </w:pPr>
            <w:r w:rsidRPr="008A2411">
              <w:rPr>
                <w:rFonts w:ascii="Times New Roman"/>
                <w:color w:val="000000" w:themeColor="text1"/>
                <w:sz w:val="21"/>
                <w:szCs w:val="21"/>
                <w:lang w:bidi="ar"/>
              </w:rPr>
              <w:t>65</w:t>
            </w:r>
          </w:p>
        </w:tc>
        <w:tc>
          <w:tcPr>
            <w:tcW w:w="685" w:type="pct"/>
            <w:tcBorders>
              <w:right w:val="single" w:sz="4" w:space="0" w:color="auto"/>
            </w:tcBorders>
            <w:vAlign w:val="center"/>
          </w:tcPr>
          <w:p w14:paraId="72C11BE4" w14:textId="77777777" w:rsidR="00B0005F" w:rsidRPr="008A2411" w:rsidRDefault="00000000">
            <w:pPr>
              <w:jc w:val="center"/>
              <w:rPr>
                <w:rFonts w:ascii="Times New Roman"/>
                <w:color w:val="000000" w:themeColor="text1"/>
                <w:sz w:val="21"/>
                <w:szCs w:val="21"/>
                <w:lang w:bidi="ar"/>
              </w:rPr>
            </w:pPr>
            <w:r w:rsidRPr="008A2411">
              <w:rPr>
                <w:rFonts w:ascii="Times New Roman"/>
                <w:color w:val="000000" w:themeColor="text1"/>
                <w:sz w:val="21"/>
                <w:szCs w:val="21"/>
                <w:lang w:bidi="ar"/>
              </w:rPr>
              <w:t xml:space="preserve">0.0049 </w:t>
            </w:r>
          </w:p>
        </w:tc>
        <w:tc>
          <w:tcPr>
            <w:tcW w:w="458" w:type="pct"/>
            <w:tcBorders>
              <w:right w:val="single" w:sz="4" w:space="0" w:color="auto"/>
            </w:tcBorders>
            <w:vAlign w:val="center"/>
          </w:tcPr>
          <w:p w14:paraId="7557F4A2" w14:textId="77777777" w:rsidR="00B0005F" w:rsidRPr="008A2411" w:rsidRDefault="00000000">
            <w:pPr>
              <w:jc w:val="center"/>
              <w:rPr>
                <w:rFonts w:ascii="Times New Roman"/>
                <w:color w:val="000000" w:themeColor="text1"/>
                <w:sz w:val="21"/>
                <w:szCs w:val="21"/>
                <w:lang w:bidi="ar"/>
              </w:rPr>
            </w:pPr>
            <w:r w:rsidRPr="008A2411">
              <w:rPr>
                <w:rFonts w:ascii="Times New Roman"/>
                <w:color w:val="000000" w:themeColor="text1"/>
                <w:sz w:val="21"/>
                <w:szCs w:val="21"/>
                <w:lang w:bidi="ar"/>
              </w:rPr>
              <w:t>0</w:t>
            </w:r>
          </w:p>
        </w:tc>
        <w:tc>
          <w:tcPr>
            <w:tcW w:w="502" w:type="pct"/>
            <w:tcBorders>
              <w:right w:val="single" w:sz="4" w:space="0" w:color="auto"/>
            </w:tcBorders>
            <w:vAlign w:val="center"/>
          </w:tcPr>
          <w:p w14:paraId="4A50DFF7" w14:textId="77777777" w:rsidR="00B0005F" w:rsidRPr="008A2411" w:rsidRDefault="00000000">
            <w:pPr>
              <w:jc w:val="center"/>
              <w:rPr>
                <w:rFonts w:ascii="Times New Roman"/>
                <w:color w:val="000000" w:themeColor="text1"/>
                <w:sz w:val="21"/>
                <w:szCs w:val="21"/>
                <w:lang w:bidi="ar"/>
              </w:rPr>
            </w:pPr>
            <w:r w:rsidRPr="008A2411">
              <w:rPr>
                <w:rFonts w:ascii="Times New Roman"/>
                <w:color w:val="000000" w:themeColor="text1"/>
                <w:sz w:val="21"/>
                <w:szCs w:val="21"/>
                <w:lang w:bidi="ar"/>
              </w:rPr>
              <w:t>0</w:t>
            </w:r>
          </w:p>
        </w:tc>
      </w:tr>
      <w:tr w:rsidR="008A2411" w:rsidRPr="008A2411" w14:paraId="336E5525" w14:textId="77777777">
        <w:trPr>
          <w:trHeight w:val="176"/>
          <w:jc w:val="center"/>
        </w:trPr>
        <w:tc>
          <w:tcPr>
            <w:tcW w:w="510" w:type="pct"/>
            <w:vMerge/>
            <w:tcBorders>
              <w:left w:val="single" w:sz="4" w:space="0" w:color="auto"/>
            </w:tcBorders>
            <w:vAlign w:val="center"/>
          </w:tcPr>
          <w:p w14:paraId="51A618EB"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tcBorders>
            <w:shd w:val="clear" w:color="auto" w:fill="auto"/>
            <w:vAlign w:val="center"/>
          </w:tcPr>
          <w:p w14:paraId="6C16CEC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六价铬</w:t>
            </w:r>
          </w:p>
        </w:tc>
        <w:tc>
          <w:tcPr>
            <w:tcW w:w="457" w:type="pct"/>
            <w:vAlign w:val="center"/>
          </w:tcPr>
          <w:p w14:paraId="4206A4B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mg/kg</w:t>
            </w:r>
          </w:p>
        </w:tc>
        <w:tc>
          <w:tcPr>
            <w:tcW w:w="687" w:type="pct"/>
            <w:shd w:val="clear" w:color="auto" w:fill="auto"/>
            <w:vAlign w:val="center"/>
          </w:tcPr>
          <w:p w14:paraId="13EA022F" w14:textId="77777777" w:rsidR="00B0005F" w:rsidRPr="008A2411" w:rsidRDefault="00000000">
            <w:pPr>
              <w:jc w:val="center"/>
              <w:rPr>
                <w:rFonts w:ascii="Times New Roman"/>
                <w:color w:val="000000" w:themeColor="text1"/>
                <w:sz w:val="21"/>
                <w:szCs w:val="21"/>
                <w:lang w:bidi="ar"/>
              </w:rPr>
            </w:pPr>
            <w:r w:rsidRPr="008A2411">
              <w:rPr>
                <w:rFonts w:ascii="Times New Roman"/>
                <w:color w:val="000000" w:themeColor="text1"/>
                <w:sz w:val="21"/>
                <w:szCs w:val="21"/>
                <w:lang w:bidi="ar"/>
              </w:rPr>
              <w:t>ND</w:t>
            </w:r>
          </w:p>
        </w:tc>
        <w:tc>
          <w:tcPr>
            <w:tcW w:w="532" w:type="pct"/>
            <w:tcBorders>
              <w:right w:val="single" w:sz="4" w:space="0" w:color="auto"/>
            </w:tcBorders>
            <w:shd w:val="clear" w:color="auto" w:fill="auto"/>
            <w:vAlign w:val="center"/>
          </w:tcPr>
          <w:p w14:paraId="136288AA" w14:textId="77777777" w:rsidR="00B0005F" w:rsidRPr="008A2411" w:rsidRDefault="00000000">
            <w:pPr>
              <w:jc w:val="center"/>
              <w:rPr>
                <w:rFonts w:ascii="Times New Roman"/>
                <w:color w:val="000000" w:themeColor="text1"/>
                <w:sz w:val="21"/>
                <w:szCs w:val="21"/>
                <w:lang w:bidi="ar"/>
              </w:rPr>
            </w:pPr>
            <w:r w:rsidRPr="008A2411">
              <w:rPr>
                <w:rFonts w:ascii="Times New Roman"/>
                <w:color w:val="000000" w:themeColor="text1"/>
                <w:sz w:val="21"/>
                <w:szCs w:val="21"/>
                <w:lang w:bidi="ar"/>
              </w:rPr>
              <w:t>5.7</w:t>
            </w:r>
          </w:p>
        </w:tc>
        <w:tc>
          <w:tcPr>
            <w:tcW w:w="685" w:type="pct"/>
            <w:tcBorders>
              <w:right w:val="single" w:sz="4" w:space="0" w:color="auto"/>
            </w:tcBorders>
            <w:vAlign w:val="center"/>
          </w:tcPr>
          <w:p w14:paraId="46218F17" w14:textId="77777777" w:rsidR="00B0005F" w:rsidRPr="008A2411" w:rsidRDefault="00000000">
            <w:pPr>
              <w:jc w:val="center"/>
              <w:rPr>
                <w:rFonts w:ascii="Times New Roman"/>
                <w:color w:val="000000" w:themeColor="text1"/>
                <w:sz w:val="21"/>
                <w:szCs w:val="21"/>
                <w:lang w:bidi="ar"/>
              </w:rPr>
            </w:pPr>
            <w:r w:rsidRPr="008A2411">
              <w:rPr>
                <w:rFonts w:ascii="Times New Roman"/>
                <w:color w:val="000000" w:themeColor="text1"/>
                <w:sz w:val="21"/>
                <w:szCs w:val="21"/>
                <w:lang w:bidi="ar"/>
              </w:rPr>
              <w:t>/</w:t>
            </w:r>
          </w:p>
        </w:tc>
        <w:tc>
          <w:tcPr>
            <w:tcW w:w="458" w:type="pct"/>
            <w:tcBorders>
              <w:right w:val="single" w:sz="4" w:space="0" w:color="auto"/>
            </w:tcBorders>
            <w:vAlign w:val="center"/>
          </w:tcPr>
          <w:p w14:paraId="107B3B14" w14:textId="77777777" w:rsidR="00B0005F" w:rsidRPr="008A2411" w:rsidRDefault="00000000">
            <w:pPr>
              <w:jc w:val="center"/>
              <w:rPr>
                <w:rFonts w:ascii="Times New Roman"/>
                <w:color w:val="000000" w:themeColor="text1"/>
                <w:sz w:val="21"/>
                <w:szCs w:val="21"/>
                <w:lang w:bidi="ar"/>
              </w:rPr>
            </w:pPr>
            <w:r w:rsidRPr="008A2411">
              <w:rPr>
                <w:rFonts w:ascii="Times New Roman"/>
                <w:color w:val="000000" w:themeColor="text1"/>
                <w:sz w:val="21"/>
                <w:szCs w:val="21"/>
                <w:lang w:bidi="ar"/>
              </w:rPr>
              <w:t>0</w:t>
            </w:r>
          </w:p>
        </w:tc>
        <w:tc>
          <w:tcPr>
            <w:tcW w:w="502" w:type="pct"/>
            <w:tcBorders>
              <w:right w:val="single" w:sz="4" w:space="0" w:color="auto"/>
            </w:tcBorders>
            <w:vAlign w:val="center"/>
          </w:tcPr>
          <w:p w14:paraId="629619F2" w14:textId="77777777" w:rsidR="00B0005F" w:rsidRPr="008A2411" w:rsidRDefault="00000000">
            <w:pPr>
              <w:jc w:val="center"/>
              <w:rPr>
                <w:rFonts w:ascii="Times New Roman"/>
                <w:color w:val="000000" w:themeColor="text1"/>
                <w:sz w:val="21"/>
                <w:szCs w:val="21"/>
                <w:lang w:bidi="ar"/>
              </w:rPr>
            </w:pPr>
            <w:r w:rsidRPr="008A2411">
              <w:rPr>
                <w:rFonts w:ascii="Times New Roman"/>
                <w:color w:val="000000" w:themeColor="text1"/>
                <w:sz w:val="21"/>
                <w:szCs w:val="21"/>
                <w:lang w:bidi="ar"/>
              </w:rPr>
              <w:t>0</w:t>
            </w:r>
          </w:p>
        </w:tc>
      </w:tr>
      <w:tr w:rsidR="008A2411" w:rsidRPr="008A2411" w14:paraId="0498A1A7" w14:textId="77777777">
        <w:trPr>
          <w:trHeight w:val="176"/>
          <w:jc w:val="center"/>
        </w:trPr>
        <w:tc>
          <w:tcPr>
            <w:tcW w:w="510" w:type="pct"/>
            <w:vMerge/>
            <w:tcBorders>
              <w:left w:val="single" w:sz="4" w:space="0" w:color="auto"/>
            </w:tcBorders>
            <w:vAlign w:val="center"/>
          </w:tcPr>
          <w:p w14:paraId="2AC54C6D"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tcBorders>
            <w:shd w:val="clear" w:color="auto" w:fill="auto"/>
            <w:vAlign w:val="center"/>
          </w:tcPr>
          <w:p w14:paraId="6E11BF39"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z w:val="21"/>
                <w:szCs w:val="21"/>
              </w:rPr>
              <w:t>铜</w:t>
            </w:r>
          </w:p>
        </w:tc>
        <w:tc>
          <w:tcPr>
            <w:tcW w:w="457" w:type="pct"/>
            <w:vAlign w:val="center"/>
          </w:tcPr>
          <w:p w14:paraId="39E1CE7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mg/kg</w:t>
            </w:r>
          </w:p>
        </w:tc>
        <w:tc>
          <w:tcPr>
            <w:tcW w:w="687" w:type="pct"/>
            <w:shd w:val="clear" w:color="auto" w:fill="auto"/>
            <w:vAlign w:val="center"/>
          </w:tcPr>
          <w:p w14:paraId="26B98BB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37.8</w:t>
            </w:r>
          </w:p>
        </w:tc>
        <w:tc>
          <w:tcPr>
            <w:tcW w:w="532" w:type="pct"/>
            <w:tcBorders>
              <w:right w:val="single" w:sz="4" w:space="0" w:color="auto"/>
            </w:tcBorders>
            <w:shd w:val="clear" w:color="auto" w:fill="auto"/>
            <w:vAlign w:val="center"/>
          </w:tcPr>
          <w:p w14:paraId="3731839C" w14:textId="77777777" w:rsidR="00B0005F" w:rsidRPr="008A2411" w:rsidRDefault="00000000">
            <w:pPr>
              <w:jc w:val="center"/>
              <w:rPr>
                <w:rFonts w:ascii="Times New Roman"/>
                <w:color w:val="000000" w:themeColor="text1"/>
                <w:sz w:val="21"/>
                <w:szCs w:val="21"/>
                <w:lang w:bidi="ar"/>
              </w:rPr>
            </w:pPr>
            <w:r w:rsidRPr="008A2411">
              <w:rPr>
                <w:rFonts w:ascii="Times New Roman"/>
                <w:color w:val="000000" w:themeColor="text1"/>
                <w:sz w:val="21"/>
                <w:szCs w:val="21"/>
                <w:lang w:bidi="ar"/>
              </w:rPr>
              <w:t>18000</w:t>
            </w:r>
          </w:p>
        </w:tc>
        <w:tc>
          <w:tcPr>
            <w:tcW w:w="685" w:type="pct"/>
            <w:tcBorders>
              <w:right w:val="single" w:sz="4" w:space="0" w:color="auto"/>
            </w:tcBorders>
            <w:vAlign w:val="center"/>
          </w:tcPr>
          <w:p w14:paraId="0192BDE2" w14:textId="77777777" w:rsidR="00B0005F" w:rsidRPr="008A2411" w:rsidRDefault="00000000">
            <w:pPr>
              <w:jc w:val="center"/>
              <w:rPr>
                <w:rFonts w:ascii="Times New Roman"/>
                <w:color w:val="000000" w:themeColor="text1"/>
                <w:sz w:val="21"/>
                <w:szCs w:val="21"/>
                <w:lang w:bidi="ar"/>
              </w:rPr>
            </w:pPr>
            <w:r w:rsidRPr="008A2411">
              <w:rPr>
                <w:rFonts w:ascii="Times New Roman"/>
                <w:color w:val="000000" w:themeColor="text1"/>
                <w:sz w:val="21"/>
                <w:szCs w:val="21"/>
                <w:lang w:bidi="ar"/>
              </w:rPr>
              <w:t xml:space="preserve">0.0021 </w:t>
            </w:r>
          </w:p>
        </w:tc>
        <w:tc>
          <w:tcPr>
            <w:tcW w:w="458" w:type="pct"/>
            <w:tcBorders>
              <w:right w:val="single" w:sz="4" w:space="0" w:color="auto"/>
            </w:tcBorders>
            <w:vAlign w:val="center"/>
          </w:tcPr>
          <w:p w14:paraId="758B4224" w14:textId="77777777" w:rsidR="00B0005F" w:rsidRPr="008A2411" w:rsidRDefault="00000000">
            <w:pPr>
              <w:jc w:val="center"/>
              <w:rPr>
                <w:rFonts w:ascii="Times New Roman"/>
                <w:color w:val="000000" w:themeColor="text1"/>
                <w:sz w:val="21"/>
                <w:szCs w:val="21"/>
                <w:lang w:bidi="ar"/>
              </w:rPr>
            </w:pPr>
            <w:r w:rsidRPr="008A2411">
              <w:rPr>
                <w:rFonts w:ascii="Times New Roman"/>
                <w:color w:val="000000" w:themeColor="text1"/>
                <w:sz w:val="21"/>
                <w:szCs w:val="21"/>
                <w:lang w:bidi="ar"/>
              </w:rPr>
              <w:t>0</w:t>
            </w:r>
          </w:p>
        </w:tc>
        <w:tc>
          <w:tcPr>
            <w:tcW w:w="502" w:type="pct"/>
            <w:tcBorders>
              <w:right w:val="single" w:sz="4" w:space="0" w:color="auto"/>
            </w:tcBorders>
            <w:vAlign w:val="center"/>
          </w:tcPr>
          <w:p w14:paraId="7A756460" w14:textId="77777777" w:rsidR="00B0005F" w:rsidRPr="008A2411" w:rsidRDefault="00000000">
            <w:pPr>
              <w:jc w:val="center"/>
              <w:rPr>
                <w:rFonts w:ascii="Times New Roman"/>
                <w:color w:val="000000" w:themeColor="text1"/>
                <w:sz w:val="21"/>
                <w:szCs w:val="21"/>
                <w:lang w:bidi="ar"/>
              </w:rPr>
            </w:pPr>
            <w:r w:rsidRPr="008A2411">
              <w:rPr>
                <w:rFonts w:ascii="Times New Roman"/>
                <w:color w:val="000000" w:themeColor="text1"/>
                <w:sz w:val="21"/>
                <w:szCs w:val="21"/>
                <w:lang w:bidi="ar"/>
              </w:rPr>
              <w:t>0</w:t>
            </w:r>
          </w:p>
        </w:tc>
      </w:tr>
      <w:tr w:rsidR="008A2411" w:rsidRPr="008A2411" w14:paraId="79BD9BF0" w14:textId="77777777">
        <w:trPr>
          <w:trHeight w:val="176"/>
          <w:jc w:val="center"/>
        </w:trPr>
        <w:tc>
          <w:tcPr>
            <w:tcW w:w="510" w:type="pct"/>
            <w:vMerge/>
            <w:tcBorders>
              <w:left w:val="single" w:sz="4" w:space="0" w:color="auto"/>
            </w:tcBorders>
            <w:vAlign w:val="center"/>
          </w:tcPr>
          <w:p w14:paraId="6E7E30FF"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tcBorders>
            <w:shd w:val="clear" w:color="auto" w:fill="auto"/>
            <w:vAlign w:val="center"/>
          </w:tcPr>
          <w:p w14:paraId="7A2AA2B7"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z w:val="21"/>
                <w:szCs w:val="21"/>
              </w:rPr>
              <w:t>铅</w:t>
            </w:r>
          </w:p>
        </w:tc>
        <w:tc>
          <w:tcPr>
            <w:tcW w:w="457" w:type="pct"/>
            <w:vAlign w:val="center"/>
          </w:tcPr>
          <w:p w14:paraId="50B13EE4"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mg/kg</w:t>
            </w:r>
          </w:p>
        </w:tc>
        <w:tc>
          <w:tcPr>
            <w:tcW w:w="687" w:type="pct"/>
            <w:shd w:val="clear" w:color="auto" w:fill="auto"/>
            <w:vAlign w:val="center"/>
          </w:tcPr>
          <w:p w14:paraId="3AC686C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30.6</w:t>
            </w:r>
          </w:p>
        </w:tc>
        <w:tc>
          <w:tcPr>
            <w:tcW w:w="532" w:type="pct"/>
            <w:tcBorders>
              <w:right w:val="single" w:sz="4" w:space="0" w:color="auto"/>
            </w:tcBorders>
            <w:shd w:val="clear" w:color="auto" w:fill="auto"/>
            <w:vAlign w:val="center"/>
          </w:tcPr>
          <w:p w14:paraId="6D2D1A84" w14:textId="77777777" w:rsidR="00B0005F" w:rsidRPr="008A2411" w:rsidRDefault="00000000">
            <w:pPr>
              <w:jc w:val="center"/>
              <w:rPr>
                <w:rFonts w:ascii="Times New Roman"/>
                <w:color w:val="000000" w:themeColor="text1"/>
                <w:sz w:val="21"/>
                <w:szCs w:val="21"/>
                <w:lang w:bidi="ar"/>
              </w:rPr>
            </w:pPr>
            <w:r w:rsidRPr="008A2411">
              <w:rPr>
                <w:rFonts w:ascii="Times New Roman"/>
                <w:color w:val="000000" w:themeColor="text1"/>
                <w:sz w:val="21"/>
                <w:szCs w:val="21"/>
                <w:lang w:bidi="ar"/>
              </w:rPr>
              <w:t>800</w:t>
            </w:r>
          </w:p>
        </w:tc>
        <w:tc>
          <w:tcPr>
            <w:tcW w:w="685" w:type="pct"/>
            <w:tcBorders>
              <w:right w:val="single" w:sz="4" w:space="0" w:color="auto"/>
            </w:tcBorders>
            <w:vAlign w:val="center"/>
          </w:tcPr>
          <w:p w14:paraId="765F29D1" w14:textId="77777777" w:rsidR="00B0005F" w:rsidRPr="008A2411" w:rsidRDefault="00000000">
            <w:pPr>
              <w:jc w:val="center"/>
              <w:rPr>
                <w:rFonts w:ascii="Times New Roman"/>
                <w:color w:val="000000" w:themeColor="text1"/>
                <w:sz w:val="21"/>
                <w:szCs w:val="21"/>
                <w:lang w:bidi="ar"/>
              </w:rPr>
            </w:pPr>
            <w:r w:rsidRPr="008A2411">
              <w:rPr>
                <w:rFonts w:ascii="Times New Roman"/>
                <w:color w:val="000000" w:themeColor="text1"/>
                <w:sz w:val="21"/>
                <w:szCs w:val="21"/>
                <w:lang w:bidi="ar"/>
              </w:rPr>
              <w:t xml:space="preserve">0.0383 </w:t>
            </w:r>
          </w:p>
        </w:tc>
        <w:tc>
          <w:tcPr>
            <w:tcW w:w="458" w:type="pct"/>
            <w:tcBorders>
              <w:right w:val="single" w:sz="4" w:space="0" w:color="auto"/>
            </w:tcBorders>
            <w:vAlign w:val="center"/>
          </w:tcPr>
          <w:p w14:paraId="3BD43E79" w14:textId="77777777" w:rsidR="00B0005F" w:rsidRPr="008A2411" w:rsidRDefault="00000000">
            <w:pPr>
              <w:jc w:val="center"/>
              <w:rPr>
                <w:rFonts w:ascii="Times New Roman"/>
                <w:color w:val="000000" w:themeColor="text1"/>
                <w:sz w:val="21"/>
                <w:szCs w:val="21"/>
                <w:lang w:bidi="ar"/>
              </w:rPr>
            </w:pPr>
            <w:r w:rsidRPr="008A2411">
              <w:rPr>
                <w:rFonts w:ascii="Times New Roman"/>
                <w:color w:val="000000" w:themeColor="text1"/>
                <w:sz w:val="21"/>
                <w:szCs w:val="21"/>
                <w:lang w:bidi="ar"/>
              </w:rPr>
              <w:t>0</w:t>
            </w:r>
          </w:p>
        </w:tc>
        <w:tc>
          <w:tcPr>
            <w:tcW w:w="502" w:type="pct"/>
            <w:tcBorders>
              <w:right w:val="single" w:sz="4" w:space="0" w:color="auto"/>
            </w:tcBorders>
            <w:vAlign w:val="center"/>
          </w:tcPr>
          <w:p w14:paraId="586D720F" w14:textId="77777777" w:rsidR="00B0005F" w:rsidRPr="008A2411" w:rsidRDefault="00000000">
            <w:pPr>
              <w:jc w:val="center"/>
              <w:rPr>
                <w:rFonts w:ascii="Times New Roman"/>
                <w:color w:val="000000" w:themeColor="text1"/>
                <w:sz w:val="21"/>
                <w:szCs w:val="21"/>
                <w:lang w:bidi="ar"/>
              </w:rPr>
            </w:pPr>
            <w:r w:rsidRPr="008A2411">
              <w:rPr>
                <w:rFonts w:ascii="Times New Roman"/>
                <w:color w:val="000000" w:themeColor="text1"/>
                <w:sz w:val="21"/>
                <w:szCs w:val="21"/>
                <w:lang w:bidi="ar"/>
              </w:rPr>
              <w:t>0</w:t>
            </w:r>
          </w:p>
        </w:tc>
      </w:tr>
      <w:tr w:rsidR="008A2411" w:rsidRPr="008A2411" w14:paraId="5F4DD833" w14:textId="77777777">
        <w:trPr>
          <w:trHeight w:val="176"/>
          <w:jc w:val="center"/>
        </w:trPr>
        <w:tc>
          <w:tcPr>
            <w:tcW w:w="510" w:type="pct"/>
            <w:vMerge/>
            <w:tcBorders>
              <w:left w:val="single" w:sz="4" w:space="0" w:color="auto"/>
            </w:tcBorders>
            <w:vAlign w:val="center"/>
          </w:tcPr>
          <w:p w14:paraId="7A143501"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tcBorders>
            <w:shd w:val="clear" w:color="auto" w:fill="auto"/>
            <w:vAlign w:val="center"/>
          </w:tcPr>
          <w:p w14:paraId="74425A13"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z w:val="21"/>
                <w:szCs w:val="21"/>
              </w:rPr>
              <w:t>汞</w:t>
            </w:r>
          </w:p>
        </w:tc>
        <w:tc>
          <w:tcPr>
            <w:tcW w:w="457" w:type="pct"/>
            <w:vAlign w:val="center"/>
          </w:tcPr>
          <w:p w14:paraId="30868EB4"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mg/kg</w:t>
            </w:r>
          </w:p>
        </w:tc>
        <w:tc>
          <w:tcPr>
            <w:tcW w:w="687" w:type="pct"/>
            <w:shd w:val="clear" w:color="auto" w:fill="auto"/>
            <w:vAlign w:val="center"/>
          </w:tcPr>
          <w:p w14:paraId="351D565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0.0314</w:t>
            </w:r>
          </w:p>
        </w:tc>
        <w:tc>
          <w:tcPr>
            <w:tcW w:w="532" w:type="pct"/>
            <w:tcBorders>
              <w:right w:val="single" w:sz="4" w:space="0" w:color="auto"/>
            </w:tcBorders>
            <w:shd w:val="clear" w:color="auto" w:fill="auto"/>
            <w:vAlign w:val="center"/>
          </w:tcPr>
          <w:p w14:paraId="41866EB2" w14:textId="77777777" w:rsidR="00B0005F" w:rsidRPr="008A2411" w:rsidRDefault="00000000">
            <w:pPr>
              <w:jc w:val="center"/>
              <w:rPr>
                <w:rFonts w:ascii="Times New Roman"/>
                <w:color w:val="000000" w:themeColor="text1"/>
                <w:sz w:val="21"/>
                <w:szCs w:val="21"/>
                <w:lang w:bidi="ar"/>
              </w:rPr>
            </w:pPr>
            <w:r w:rsidRPr="008A2411">
              <w:rPr>
                <w:rFonts w:ascii="Times New Roman"/>
                <w:color w:val="000000" w:themeColor="text1"/>
                <w:sz w:val="21"/>
                <w:szCs w:val="21"/>
                <w:lang w:bidi="ar"/>
              </w:rPr>
              <w:t>38</w:t>
            </w:r>
          </w:p>
        </w:tc>
        <w:tc>
          <w:tcPr>
            <w:tcW w:w="685" w:type="pct"/>
            <w:tcBorders>
              <w:right w:val="single" w:sz="4" w:space="0" w:color="auto"/>
            </w:tcBorders>
            <w:vAlign w:val="center"/>
          </w:tcPr>
          <w:p w14:paraId="5D517EC0" w14:textId="77777777" w:rsidR="00B0005F" w:rsidRPr="008A2411" w:rsidRDefault="00000000">
            <w:pPr>
              <w:jc w:val="center"/>
              <w:rPr>
                <w:rFonts w:ascii="Times New Roman"/>
                <w:color w:val="000000" w:themeColor="text1"/>
                <w:sz w:val="21"/>
                <w:szCs w:val="21"/>
                <w:lang w:bidi="ar"/>
              </w:rPr>
            </w:pPr>
            <w:r w:rsidRPr="008A2411">
              <w:rPr>
                <w:rFonts w:ascii="Times New Roman"/>
                <w:color w:val="000000" w:themeColor="text1"/>
                <w:sz w:val="21"/>
                <w:szCs w:val="21"/>
                <w:lang w:bidi="ar"/>
              </w:rPr>
              <w:t xml:space="preserve">0.0008 </w:t>
            </w:r>
          </w:p>
        </w:tc>
        <w:tc>
          <w:tcPr>
            <w:tcW w:w="458" w:type="pct"/>
            <w:tcBorders>
              <w:right w:val="single" w:sz="4" w:space="0" w:color="auto"/>
            </w:tcBorders>
            <w:vAlign w:val="center"/>
          </w:tcPr>
          <w:p w14:paraId="1A786EA8" w14:textId="77777777" w:rsidR="00B0005F" w:rsidRPr="008A2411" w:rsidRDefault="00000000">
            <w:pPr>
              <w:jc w:val="center"/>
              <w:rPr>
                <w:rFonts w:ascii="Times New Roman"/>
                <w:color w:val="000000" w:themeColor="text1"/>
                <w:sz w:val="21"/>
                <w:szCs w:val="21"/>
                <w:lang w:bidi="ar"/>
              </w:rPr>
            </w:pPr>
            <w:r w:rsidRPr="008A2411">
              <w:rPr>
                <w:rFonts w:ascii="Times New Roman"/>
                <w:color w:val="000000" w:themeColor="text1"/>
                <w:sz w:val="21"/>
                <w:szCs w:val="21"/>
                <w:lang w:bidi="ar"/>
              </w:rPr>
              <w:t>0</w:t>
            </w:r>
          </w:p>
        </w:tc>
        <w:tc>
          <w:tcPr>
            <w:tcW w:w="502" w:type="pct"/>
            <w:tcBorders>
              <w:right w:val="single" w:sz="4" w:space="0" w:color="auto"/>
            </w:tcBorders>
            <w:vAlign w:val="center"/>
          </w:tcPr>
          <w:p w14:paraId="1939F3E2" w14:textId="77777777" w:rsidR="00B0005F" w:rsidRPr="008A2411" w:rsidRDefault="00000000">
            <w:pPr>
              <w:jc w:val="center"/>
              <w:rPr>
                <w:rFonts w:ascii="Times New Roman"/>
                <w:color w:val="000000" w:themeColor="text1"/>
                <w:sz w:val="21"/>
                <w:szCs w:val="21"/>
                <w:lang w:bidi="ar"/>
              </w:rPr>
            </w:pPr>
            <w:r w:rsidRPr="008A2411">
              <w:rPr>
                <w:rFonts w:ascii="Times New Roman"/>
                <w:color w:val="000000" w:themeColor="text1"/>
                <w:sz w:val="21"/>
                <w:szCs w:val="21"/>
                <w:lang w:bidi="ar"/>
              </w:rPr>
              <w:t>0</w:t>
            </w:r>
          </w:p>
        </w:tc>
      </w:tr>
      <w:tr w:rsidR="008A2411" w:rsidRPr="008A2411" w14:paraId="36303979" w14:textId="77777777">
        <w:trPr>
          <w:trHeight w:val="176"/>
          <w:jc w:val="center"/>
        </w:trPr>
        <w:tc>
          <w:tcPr>
            <w:tcW w:w="510" w:type="pct"/>
            <w:vMerge/>
            <w:tcBorders>
              <w:left w:val="single" w:sz="4" w:space="0" w:color="auto"/>
            </w:tcBorders>
            <w:vAlign w:val="center"/>
          </w:tcPr>
          <w:p w14:paraId="486C1815"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tcBorders>
            <w:shd w:val="clear" w:color="auto" w:fill="auto"/>
            <w:vAlign w:val="center"/>
          </w:tcPr>
          <w:p w14:paraId="75E4CB9F"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z w:val="21"/>
                <w:szCs w:val="21"/>
              </w:rPr>
              <w:t>镍</w:t>
            </w:r>
          </w:p>
        </w:tc>
        <w:tc>
          <w:tcPr>
            <w:tcW w:w="457" w:type="pct"/>
            <w:vAlign w:val="center"/>
          </w:tcPr>
          <w:p w14:paraId="6564857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mg/kg</w:t>
            </w:r>
          </w:p>
        </w:tc>
        <w:tc>
          <w:tcPr>
            <w:tcW w:w="687" w:type="pct"/>
            <w:shd w:val="clear" w:color="auto" w:fill="auto"/>
            <w:vAlign w:val="center"/>
          </w:tcPr>
          <w:p w14:paraId="5C6176C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41.7</w:t>
            </w:r>
          </w:p>
        </w:tc>
        <w:tc>
          <w:tcPr>
            <w:tcW w:w="532" w:type="pct"/>
            <w:tcBorders>
              <w:right w:val="single" w:sz="4" w:space="0" w:color="auto"/>
            </w:tcBorders>
            <w:shd w:val="clear" w:color="auto" w:fill="auto"/>
            <w:vAlign w:val="center"/>
          </w:tcPr>
          <w:p w14:paraId="2215B75C" w14:textId="77777777" w:rsidR="00B0005F" w:rsidRPr="008A2411" w:rsidRDefault="00000000">
            <w:pPr>
              <w:jc w:val="center"/>
              <w:rPr>
                <w:rFonts w:ascii="Times New Roman"/>
                <w:color w:val="000000" w:themeColor="text1"/>
                <w:sz w:val="21"/>
                <w:szCs w:val="21"/>
                <w:lang w:bidi="ar"/>
              </w:rPr>
            </w:pPr>
            <w:r w:rsidRPr="008A2411">
              <w:rPr>
                <w:rFonts w:ascii="Times New Roman"/>
                <w:color w:val="000000" w:themeColor="text1"/>
                <w:sz w:val="21"/>
                <w:szCs w:val="21"/>
                <w:lang w:bidi="ar"/>
              </w:rPr>
              <w:t>900</w:t>
            </w:r>
          </w:p>
        </w:tc>
        <w:tc>
          <w:tcPr>
            <w:tcW w:w="685" w:type="pct"/>
            <w:tcBorders>
              <w:right w:val="single" w:sz="4" w:space="0" w:color="auto"/>
            </w:tcBorders>
            <w:vAlign w:val="center"/>
          </w:tcPr>
          <w:p w14:paraId="362817D1" w14:textId="77777777" w:rsidR="00B0005F" w:rsidRPr="008A2411" w:rsidRDefault="00000000">
            <w:pPr>
              <w:jc w:val="center"/>
              <w:rPr>
                <w:rFonts w:ascii="Times New Roman"/>
                <w:color w:val="000000" w:themeColor="text1"/>
                <w:sz w:val="21"/>
                <w:szCs w:val="21"/>
                <w:lang w:bidi="ar"/>
              </w:rPr>
            </w:pPr>
            <w:r w:rsidRPr="008A2411">
              <w:rPr>
                <w:rFonts w:ascii="Times New Roman"/>
                <w:color w:val="000000" w:themeColor="text1"/>
                <w:sz w:val="21"/>
                <w:szCs w:val="21"/>
                <w:lang w:bidi="ar"/>
              </w:rPr>
              <w:t xml:space="preserve">0.0463 </w:t>
            </w:r>
          </w:p>
        </w:tc>
        <w:tc>
          <w:tcPr>
            <w:tcW w:w="458" w:type="pct"/>
            <w:tcBorders>
              <w:right w:val="single" w:sz="4" w:space="0" w:color="auto"/>
            </w:tcBorders>
            <w:vAlign w:val="center"/>
          </w:tcPr>
          <w:p w14:paraId="3B268D22" w14:textId="77777777" w:rsidR="00B0005F" w:rsidRPr="008A2411" w:rsidRDefault="00000000">
            <w:pPr>
              <w:jc w:val="center"/>
              <w:rPr>
                <w:rFonts w:ascii="Times New Roman"/>
                <w:color w:val="000000" w:themeColor="text1"/>
                <w:sz w:val="21"/>
                <w:szCs w:val="21"/>
                <w:lang w:bidi="ar"/>
              </w:rPr>
            </w:pPr>
            <w:r w:rsidRPr="008A2411">
              <w:rPr>
                <w:rFonts w:ascii="Times New Roman"/>
                <w:color w:val="000000" w:themeColor="text1"/>
                <w:sz w:val="21"/>
                <w:szCs w:val="21"/>
                <w:lang w:bidi="ar"/>
              </w:rPr>
              <w:t>0</w:t>
            </w:r>
          </w:p>
        </w:tc>
        <w:tc>
          <w:tcPr>
            <w:tcW w:w="502" w:type="pct"/>
            <w:tcBorders>
              <w:right w:val="single" w:sz="4" w:space="0" w:color="auto"/>
            </w:tcBorders>
            <w:vAlign w:val="center"/>
          </w:tcPr>
          <w:p w14:paraId="510133E2" w14:textId="77777777" w:rsidR="00B0005F" w:rsidRPr="008A2411" w:rsidRDefault="00000000">
            <w:pPr>
              <w:jc w:val="center"/>
              <w:rPr>
                <w:rFonts w:ascii="Times New Roman"/>
                <w:color w:val="000000" w:themeColor="text1"/>
                <w:sz w:val="21"/>
                <w:szCs w:val="21"/>
                <w:lang w:bidi="ar"/>
              </w:rPr>
            </w:pPr>
            <w:r w:rsidRPr="008A2411">
              <w:rPr>
                <w:rFonts w:ascii="Times New Roman"/>
                <w:color w:val="000000" w:themeColor="text1"/>
                <w:sz w:val="21"/>
                <w:szCs w:val="21"/>
                <w:lang w:bidi="ar"/>
              </w:rPr>
              <w:t>0</w:t>
            </w:r>
          </w:p>
        </w:tc>
      </w:tr>
      <w:tr w:rsidR="008A2411" w:rsidRPr="008A2411" w14:paraId="2179D9A6" w14:textId="77777777">
        <w:trPr>
          <w:trHeight w:val="176"/>
          <w:jc w:val="center"/>
        </w:trPr>
        <w:tc>
          <w:tcPr>
            <w:tcW w:w="510" w:type="pct"/>
            <w:vMerge/>
            <w:tcBorders>
              <w:left w:val="single" w:sz="4" w:space="0" w:color="auto"/>
            </w:tcBorders>
            <w:vAlign w:val="center"/>
          </w:tcPr>
          <w:p w14:paraId="73199EA9"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tcBorders>
            <w:shd w:val="clear" w:color="auto" w:fill="auto"/>
            <w:vAlign w:val="center"/>
          </w:tcPr>
          <w:p w14:paraId="38E8B314"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氯甲烷</w:t>
            </w:r>
          </w:p>
        </w:tc>
        <w:tc>
          <w:tcPr>
            <w:tcW w:w="457" w:type="pct"/>
            <w:vAlign w:val="center"/>
          </w:tcPr>
          <w:p w14:paraId="522ADF8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μg/kg</w:t>
            </w:r>
          </w:p>
        </w:tc>
        <w:tc>
          <w:tcPr>
            <w:tcW w:w="687" w:type="pct"/>
            <w:shd w:val="clear" w:color="auto" w:fill="auto"/>
            <w:vAlign w:val="center"/>
          </w:tcPr>
          <w:p w14:paraId="51CD3E84"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未检出</w:t>
            </w:r>
          </w:p>
        </w:tc>
        <w:tc>
          <w:tcPr>
            <w:tcW w:w="532" w:type="pct"/>
            <w:tcBorders>
              <w:right w:val="single" w:sz="4" w:space="0" w:color="auto"/>
            </w:tcBorders>
            <w:shd w:val="clear" w:color="auto" w:fill="auto"/>
            <w:vAlign w:val="center"/>
          </w:tcPr>
          <w:p w14:paraId="49E421F3"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37000</w:t>
            </w:r>
          </w:p>
        </w:tc>
        <w:tc>
          <w:tcPr>
            <w:tcW w:w="685" w:type="pct"/>
            <w:tcBorders>
              <w:right w:val="single" w:sz="4" w:space="0" w:color="auto"/>
            </w:tcBorders>
            <w:vAlign w:val="center"/>
          </w:tcPr>
          <w:p w14:paraId="4FF73281"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458" w:type="pct"/>
            <w:tcBorders>
              <w:right w:val="single" w:sz="4" w:space="0" w:color="auto"/>
            </w:tcBorders>
            <w:vAlign w:val="center"/>
          </w:tcPr>
          <w:p w14:paraId="595966CA"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502" w:type="pct"/>
            <w:tcBorders>
              <w:right w:val="single" w:sz="4" w:space="0" w:color="auto"/>
            </w:tcBorders>
            <w:vAlign w:val="center"/>
          </w:tcPr>
          <w:p w14:paraId="55C92AC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r>
      <w:tr w:rsidR="008A2411" w:rsidRPr="008A2411" w14:paraId="0D4D7904" w14:textId="77777777">
        <w:trPr>
          <w:trHeight w:val="176"/>
          <w:jc w:val="center"/>
        </w:trPr>
        <w:tc>
          <w:tcPr>
            <w:tcW w:w="510" w:type="pct"/>
            <w:vMerge/>
            <w:tcBorders>
              <w:left w:val="single" w:sz="4" w:space="0" w:color="auto"/>
            </w:tcBorders>
            <w:vAlign w:val="center"/>
          </w:tcPr>
          <w:p w14:paraId="5A9F7D3C"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tcBorders>
            <w:shd w:val="clear" w:color="auto" w:fill="auto"/>
            <w:vAlign w:val="center"/>
          </w:tcPr>
          <w:p w14:paraId="33944F06"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氯乙烯</w:t>
            </w:r>
          </w:p>
        </w:tc>
        <w:tc>
          <w:tcPr>
            <w:tcW w:w="457" w:type="pct"/>
            <w:vAlign w:val="center"/>
          </w:tcPr>
          <w:p w14:paraId="5BA8660E"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μg/kg</w:t>
            </w:r>
          </w:p>
        </w:tc>
        <w:tc>
          <w:tcPr>
            <w:tcW w:w="687" w:type="pct"/>
            <w:shd w:val="clear" w:color="auto" w:fill="auto"/>
            <w:vAlign w:val="center"/>
          </w:tcPr>
          <w:p w14:paraId="66600ED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未检出</w:t>
            </w:r>
          </w:p>
        </w:tc>
        <w:tc>
          <w:tcPr>
            <w:tcW w:w="532" w:type="pct"/>
            <w:tcBorders>
              <w:right w:val="single" w:sz="4" w:space="0" w:color="auto"/>
            </w:tcBorders>
            <w:shd w:val="clear" w:color="auto" w:fill="auto"/>
            <w:vAlign w:val="center"/>
          </w:tcPr>
          <w:p w14:paraId="0E26FDB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430</w:t>
            </w:r>
          </w:p>
        </w:tc>
        <w:tc>
          <w:tcPr>
            <w:tcW w:w="685" w:type="pct"/>
            <w:tcBorders>
              <w:right w:val="single" w:sz="4" w:space="0" w:color="auto"/>
            </w:tcBorders>
            <w:vAlign w:val="center"/>
          </w:tcPr>
          <w:p w14:paraId="08E02F9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458" w:type="pct"/>
            <w:tcBorders>
              <w:right w:val="single" w:sz="4" w:space="0" w:color="auto"/>
            </w:tcBorders>
            <w:vAlign w:val="center"/>
          </w:tcPr>
          <w:p w14:paraId="1B8FADF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502" w:type="pct"/>
            <w:tcBorders>
              <w:right w:val="single" w:sz="4" w:space="0" w:color="auto"/>
            </w:tcBorders>
            <w:vAlign w:val="center"/>
          </w:tcPr>
          <w:p w14:paraId="7210E5D1"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r>
      <w:tr w:rsidR="008A2411" w:rsidRPr="008A2411" w14:paraId="14417FCB" w14:textId="77777777">
        <w:trPr>
          <w:trHeight w:val="176"/>
          <w:jc w:val="center"/>
        </w:trPr>
        <w:tc>
          <w:tcPr>
            <w:tcW w:w="510" w:type="pct"/>
            <w:vMerge/>
            <w:tcBorders>
              <w:left w:val="single" w:sz="4" w:space="0" w:color="auto"/>
            </w:tcBorders>
            <w:vAlign w:val="center"/>
          </w:tcPr>
          <w:p w14:paraId="70284C1E"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tcBorders>
            <w:shd w:val="clear" w:color="auto" w:fill="auto"/>
            <w:vAlign w:val="center"/>
          </w:tcPr>
          <w:p w14:paraId="54FD078B"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1,1-</w:t>
            </w:r>
            <w:r w:rsidRPr="008A2411">
              <w:rPr>
                <w:rFonts w:ascii="Times New Roman"/>
                <w:color w:val="000000" w:themeColor="text1"/>
                <w:spacing w:val="-17"/>
                <w:sz w:val="21"/>
                <w:szCs w:val="21"/>
              </w:rPr>
              <w:t>二氯乙烯</w:t>
            </w:r>
          </w:p>
        </w:tc>
        <w:tc>
          <w:tcPr>
            <w:tcW w:w="457" w:type="pct"/>
            <w:vAlign w:val="center"/>
          </w:tcPr>
          <w:p w14:paraId="0A17480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μg/kg</w:t>
            </w:r>
          </w:p>
        </w:tc>
        <w:tc>
          <w:tcPr>
            <w:tcW w:w="687" w:type="pct"/>
            <w:shd w:val="clear" w:color="auto" w:fill="auto"/>
            <w:vAlign w:val="center"/>
          </w:tcPr>
          <w:p w14:paraId="3A32D09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未检出</w:t>
            </w:r>
          </w:p>
        </w:tc>
        <w:tc>
          <w:tcPr>
            <w:tcW w:w="532" w:type="pct"/>
            <w:tcBorders>
              <w:right w:val="single" w:sz="4" w:space="0" w:color="auto"/>
            </w:tcBorders>
            <w:shd w:val="clear" w:color="auto" w:fill="auto"/>
            <w:vAlign w:val="center"/>
          </w:tcPr>
          <w:p w14:paraId="4A7821F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66000</w:t>
            </w:r>
          </w:p>
        </w:tc>
        <w:tc>
          <w:tcPr>
            <w:tcW w:w="685" w:type="pct"/>
            <w:tcBorders>
              <w:right w:val="single" w:sz="4" w:space="0" w:color="auto"/>
            </w:tcBorders>
            <w:vAlign w:val="center"/>
          </w:tcPr>
          <w:p w14:paraId="7DBBF20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458" w:type="pct"/>
            <w:tcBorders>
              <w:right w:val="single" w:sz="4" w:space="0" w:color="auto"/>
            </w:tcBorders>
            <w:vAlign w:val="center"/>
          </w:tcPr>
          <w:p w14:paraId="2E409C3C"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502" w:type="pct"/>
            <w:tcBorders>
              <w:right w:val="single" w:sz="4" w:space="0" w:color="auto"/>
            </w:tcBorders>
            <w:vAlign w:val="center"/>
          </w:tcPr>
          <w:p w14:paraId="7FB66B5B"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r>
      <w:tr w:rsidR="008A2411" w:rsidRPr="008A2411" w14:paraId="1B84FB15" w14:textId="77777777">
        <w:trPr>
          <w:trHeight w:val="176"/>
          <w:jc w:val="center"/>
        </w:trPr>
        <w:tc>
          <w:tcPr>
            <w:tcW w:w="510" w:type="pct"/>
            <w:vMerge/>
            <w:tcBorders>
              <w:left w:val="single" w:sz="4" w:space="0" w:color="auto"/>
            </w:tcBorders>
            <w:vAlign w:val="center"/>
          </w:tcPr>
          <w:p w14:paraId="2FD03A6E"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tcBorders>
            <w:shd w:val="clear" w:color="auto" w:fill="auto"/>
            <w:vAlign w:val="center"/>
          </w:tcPr>
          <w:p w14:paraId="625E63D4"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二氯甲烷</w:t>
            </w:r>
          </w:p>
        </w:tc>
        <w:tc>
          <w:tcPr>
            <w:tcW w:w="457" w:type="pct"/>
            <w:vAlign w:val="center"/>
          </w:tcPr>
          <w:p w14:paraId="5A289BF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μg/kg</w:t>
            </w:r>
          </w:p>
        </w:tc>
        <w:tc>
          <w:tcPr>
            <w:tcW w:w="687" w:type="pct"/>
            <w:shd w:val="clear" w:color="auto" w:fill="auto"/>
            <w:vAlign w:val="center"/>
          </w:tcPr>
          <w:p w14:paraId="62F579A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未检出</w:t>
            </w:r>
          </w:p>
        </w:tc>
        <w:tc>
          <w:tcPr>
            <w:tcW w:w="532" w:type="pct"/>
            <w:tcBorders>
              <w:right w:val="single" w:sz="4" w:space="0" w:color="auto"/>
            </w:tcBorders>
            <w:shd w:val="clear" w:color="auto" w:fill="auto"/>
            <w:vAlign w:val="center"/>
          </w:tcPr>
          <w:p w14:paraId="7E47CFDB"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616000</w:t>
            </w:r>
          </w:p>
        </w:tc>
        <w:tc>
          <w:tcPr>
            <w:tcW w:w="685" w:type="pct"/>
            <w:tcBorders>
              <w:right w:val="single" w:sz="4" w:space="0" w:color="auto"/>
            </w:tcBorders>
            <w:vAlign w:val="center"/>
          </w:tcPr>
          <w:p w14:paraId="23FDF18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458" w:type="pct"/>
            <w:tcBorders>
              <w:right w:val="single" w:sz="4" w:space="0" w:color="auto"/>
            </w:tcBorders>
            <w:vAlign w:val="center"/>
          </w:tcPr>
          <w:p w14:paraId="6026BFE6"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502" w:type="pct"/>
            <w:tcBorders>
              <w:right w:val="single" w:sz="4" w:space="0" w:color="auto"/>
            </w:tcBorders>
            <w:vAlign w:val="center"/>
          </w:tcPr>
          <w:p w14:paraId="499CB2D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r>
      <w:tr w:rsidR="008A2411" w:rsidRPr="008A2411" w14:paraId="6B8A915F" w14:textId="77777777">
        <w:trPr>
          <w:trHeight w:val="176"/>
          <w:jc w:val="center"/>
        </w:trPr>
        <w:tc>
          <w:tcPr>
            <w:tcW w:w="510" w:type="pct"/>
            <w:vMerge/>
            <w:tcBorders>
              <w:left w:val="single" w:sz="4" w:space="0" w:color="auto"/>
            </w:tcBorders>
            <w:vAlign w:val="center"/>
          </w:tcPr>
          <w:p w14:paraId="57A11178"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tcBorders>
            <w:shd w:val="clear" w:color="auto" w:fill="auto"/>
            <w:vAlign w:val="center"/>
          </w:tcPr>
          <w:p w14:paraId="59281550"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反</w:t>
            </w:r>
            <w:r w:rsidRPr="008A2411">
              <w:rPr>
                <w:rFonts w:ascii="Times New Roman"/>
                <w:color w:val="000000" w:themeColor="text1"/>
                <w:spacing w:val="-17"/>
                <w:sz w:val="21"/>
                <w:szCs w:val="21"/>
              </w:rPr>
              <w:t>-1,2-</w:t>
            </w:r>
            <w:r w:rsidRPr="008A2411">
              <w:rPr>
                <w:rFonts w:ascii="Times New Roman"/>
                <w:color w:val="000000" w:themeColor="text1"/>
                <w:spacing w:val="-17"/>
                <w:sz w:val="21"/>
                <w:szCs w:val="21"/>
              </w:rPr>
              <w:t>二氯乙烯</w:t>
            </w:r>
          </w:p>
        </w:tc>
        <w:tc>
          <w:tcPr>
            <w:tcW w:w="457" w:type="pct"/>
            <w:vAlign w:val="center"/>
          </w:tcPr>
          <w:p w14:paraId="71C68D67"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μg/kg</w:t>
            </w:r>
          </w:p>
        </w:tc>
        <w:tc>
          <w:tcPr>
            <w:tcW w:w="687" w:type="pct"/>
            <w:shd w:val="clear" w:color="auto" w:fill="auto"/>
            <w:vAlign w:val="center"/>
          </w:tcPr>
          <w:p w14:paraId="692BA57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未检出</w:t>
            </w:r>
          </w:p>
        </w:tc>
        <w:tc>
          <w:tcPr>
            <w:tcW w:w="532" w:type="pct"/>
            <w:tcBorders>
              <w:right w:val="single" w:sz="4" w:space="0" w:color="auto"/>
            </w:tcBorders>
            <w:shd w:val="clear" w:color="auto" w:fill="auto"/>
            <w:vAlign w:val="center"/>
          </w:tcPr>
          <w:p w14:paraId="4A77F2F1"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54000</w:t>
            </w:r>
          </w:p>
        </w:tc>
        <w:tc>
          <w:tcPr>
            <w:tcW w:w="685" w:type="pct"/>
            <w:tcBorders>
              <w:right w:val="single" w:sz="4" w:space="0" w:color="auto"/>
            </w:tcBorders>
            <w:vAlign w:val="center"/>
          </w:tcPr>
          <w:p w14:paraId="76AFD52C"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458" w:type="pct"/>
            <w:tcBorders>
              <w:right w:val="single" w:sz="4" w:space="0" w:color="auto"/>
            </w:tcBorders>
            <w:vAlign w:val="center"/>
          </w:tcPr>
          <w:p w14:paraId="52920014"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502" w:type="pct"/>
            <w:tcBorders>
              <w:right w:val="single" w:sz="4" w:space="0" w:color="auto"/>
            </w:tcBorders>
            <w:vAlign w:val="center"/>
          </w:tcPr>
          <w:p w14:paraId="4619EC49"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r>
      <w:tr w:rsidR="008A2411" w:rsidRPr="008A2411" w14:paraId="4EA1B0B4" w14:textId="77777777">
        <w:trPr>
          <w:trHeight w:val="176"/>
          <w:jc w:val="center"/>
        </w:trPr>
        <w:tc>
          <w:tcPr>
            <w:tcW w:w="510" w:type="pct"/>
            <w:vMerge/>
            <w:tcBorders>
              <w:left w:val="single" w:sz="4" w:space="0" w:color="auto"/>
            </w:tcBorders>
            <w:vAlign w:val="center"/>
          </w:tcPr>
          <w:p w14:paraId="3DF7D615"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tcBorders>
            <w:shd w:val="clear" w:color="auto" w:fill="auto"/>
            <w:vAlign w:val="center"/>
          </w:tcPr>
          <w:p w14:paraId="67DCC51C"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1.1-</w:t>
            </w:r>
            <w:r w:rsidRPr="008A2411">
              <w:rPr>
                <w:rFonts w:ascii="Times New Roman"/>
                <w:color w:val="000000" w:themeColor="text1"/>
                <w:spacing w:val="-17"/>
                <w:sz w:val="21"/>
                <w:szCs w:val="21"/>
              </w:rPr>
              <w:t>二氯乙烷</w:t>
            </w:r>
          </w:p>
        </w:tc>
        <w:tc>
          <w:tcPr>
            <w:tcW w:w="457" w:type="pct"/>
            <w:vAlign w:val="center"/>
          </w:tcPr>
          <w:p w14:paraId="1B82A914"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μg/kg</w:t>
            </w:r>
          </w:p>
        </w:tc>
        <w:tc>
          <w:tcPr>
            <w:tcW w:w="687" w:type="pct"/>
            <w:shd w:val="clear" w:color="auto" w:fill="auto"/>
            <w:vAlign w:val="center"/>
          </w:tcPr>
          <w:p w14:paraId="7E9D18F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未检出</w:t>
            </w:r>
          </w:p>
        </w:tc>
        <w:tc>
          <w:tcPr>
            <w:tcW w:w="532" w:type="pct"/>
            <w:tcBorders>
              <w:right w:val="single" w:sz="4" w:space="0" w:color="auto"/>
            </w:tcBorders>
            <w:shd w:val="clear" w:color="auto" w:fill="auto"/>
            <w:vAlign w:val="center"/>
          </w:tcPr>
          <w:p w14:paraId="6BD2A3A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9000</w:t>
            </w:r>
          </w:p>
        </w:tc>
        <w:tc>
          <w:tcPr>
            <w:tcW w:w="685" w:type="pct"/>
            <w:tcBorders>
              <w:right w:val="single" w:sz="4" w:space="0" w:color="auto"/>
            </w:tcBorders>
            <w:vAlign w:val="center"/>
          </w:tcPr>
          <w:p w14:paraId="0ADC157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458" w:type="pct"/>
            <w:tcBorders>
              <w:right w:val="single" w:sz="4" w:space="0" w:color="auto"/>
            </w:tcBorders>
            <w:vAlign w:val="center"/>
          </w:tcPr>
          <w:p w14:paraId="382FE55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502" w:type="pct"/>
            <w:tcBorders>
              <w:right w:val="single" w:sz="4" w:space="0" w:color="auto"/>
            </w:tcBorders>
            <w:vAlign w:val="center"/>
          </w:tcPr>
          <w:p w14:paraId="207F4C6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r>
      <w:tr w:rsidR="008A2411" w:rsidRPr="008A2411" w14:paraId="77724829" w14:textId="77777777">
        <w:trPr>
          <w:trHeight w:val="176"/>
          <w:jc w:val="center"/>
        </w:trPr>
        <w:tc>
          <w:tcPr>
            <w:tcW w:w="510" w:type="pct"/>
            <w:vMerge/>
            <w:tcBorders>
              <w:left w:val="single" w:sz="4" w:space="0" w:color="auto"/>
            </w:tcBorders>
            <w:vAlign w:val="center"/>
          </w:tcPr>
          <w:p w14:paraId="2C04BB37"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tcBorders>
            <w:shd w:val="clear" w:color="auto" w:fill="auto"/>
            <w:vAlign w:val="center"/>
          </w:tcPr>
          <w:p w14:paraId="4C8EEDF1"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顺－</w:t>
            </w:r>
            <w:r w:rsidRPr="008A2411">
              <w:rPr>
                <w:rFonts w:ascii="Times New Roman"/>
                <w:color w:val="000000" w:themeColor="text1"/>
                <w:spacing w:val="-17"/>
                <w:sz w:val="21"/>
                <w:szCs w:val="21"/>
              </w:rPr>
              <w:t>1,2-</w:t>
            </w:r>
            <w:r w:rsidRPr="008A2411">
              <w:rPr>
                <w:rFonts w:ascii="Times New Roman"/>
                <w:color w:val="000000" w:themeColor="text1"/>
                <w:spacing w:val="-17"/>
                <w:sz w:val="21"/>
                <w:szCs w:val="21"/>
              </w:rPr>
              <w:t>二氯乙烯</w:t>
            </w:r>
          </w:p>
        </w:tc>
        <w:tc>
          <w:tcPr>
            <w:tcW w:w="457" w:type="pct"/>
            <w:vAlign w:val="center"/>
          </w:tcPr>
          <w:p w14:paraId="224B22E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μg/kg</w:t>
            </w:r>
          </w:p>
        </w:tc>
        <w:tc>
          <w:tcPr>
            <w:tcW w:w="687" w:type="pct"/>
            <w:shd w:val="clear" w:color="auto" w:fill="auto"/>
            <w:vAlign w:val="center"/>
          </w:tcPr>
          <w:p w14:paraId="37869E0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未检出</w:t>
            </w:r>
          </w:p>
        </w:tc>
        <w:tc>
          <w:tcPr>
            <w:tcW w:w="532" w:type="pct"/>
            <w:tcBorders>
              <w:right w:val="single" w:sz="4" w:space="0" w:color="auto"/>
            </w:tcBorders>
            <w:shd w:val="clear" w:color="auto" w:fill="auto"/>
            <w:vAlign w:val="center"/>
          </w:tcPr>
          <w:p w14:paraId="426A6A6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596000</w:t>
            </w:r>
          </w:p>
        </w:tc>
        <w:tc>
          <w:tcPr>
            <w:tcW w:w="685" w:type="pct"/>
            <w:tcBorders>
              <w:right w:val="single" w:sz="4" w:space="0" w:color="auto"/>
            </w:tcBorders>
            <w:vAlign w:val="center"/>
          </w:tcPr>
          <w:p w14:paraId="07800FA4"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458" w:type="pct"/>
            <w:tcBorders>
              <w:right w:val="single" w:sz="4" w:space="0" w:color="auto"/>
            </w:tcBorders>
            <w:vAlign w:val="center"/>
          </w:tcPr>
          <w:p w14:paraId="56E4B87B"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502" w:type="pct"/>
            <w:tcBorders>
              <w:right w:val="single" w:sz="4" w:space="0" w:color="auto"/>
            </w:tcBorders>
            <w:vAlign w:val="center"/>
          </w:tcPr>
          <w:p w14:paraId="1F861F7A"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r>
      <w:tr w:rsidR="008A2411" w:rsidRPr="008A2411" w14:paraId="566E42BC" w14:textId="77777777">
        <w:trPr>
          <w:trHeight w:val="176"/>
          <w:jc w:val="center"/>
        </w:trPr>
        <w:tc>
          <w:tcPr>
            <w:tcW w:w="510" w:type="pct"/>
            <w:vMerge/>
            <w:tcBorders>
              <w:left w:val="single" w:sz="4" w:space="0" w:color="auto"/>
            </w:tcBorders>
            <w:vAlign w:val="center"/>
          </w:tcPr>
          <w:p w14:paraId="7647399D"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tcBorders>
            <w:shd w:val="clear" w:color="auto" w:fill="auto"/>
            <w:vAlign w:val="center"/>
          </w:tcPr>
          <w:p w14:paraId="257A2B75"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氯仿</w:t>
            </w:r>
          </w:p>
        </w:tc>
        <w:tc>
          <w:tcPr>
            <w:tcW w:w="457" w:type="pct"/>
            <w:vAlign w:val="center"/>
          </w:tcPr>
          <w:p w14:paraId="5AE1DEE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μg/kg</w:t>
            </w:r>
          </w:p>
        </w:tc>
        <w:tc>
          <w:tcPr>
            <w:tcW w:w="687" w:type="pct"/>
            <w:shd w:val="clear" w:color="auto" w:fill="auto"/>
            <w:vAlign w:val="center"/>
          </w:tcPr>
          <w:p w14:paraId="26301A22"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未检出</w:t>
            </w:r>
          </w:p>
        </w:tc>
        <w:tc>
          <w:tcPr>
            <w:tcW w:w="532" w:type="pct"/>
            <w:tcBorders>
              <w:right w:val="single" w:sz="4" w:space="0" w:color="auto"/>
            </w:tcBorders>
            <w:shd w:val="clear" w:color="auto" w:fill="auto"/>
            <w:vAlign w:val="center"/>
          </w:tcPr>
          <w:p w14:paraId="1E674D44"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900</w:t>
            </w:r>
          </w:p>
        </w:tc>
        <w:tc>
          <w:tcPr>
            <w:tcW w:w="685" w:type="pct"/>
            <w:tcBorders>
              <w:right w:val="single" w:sz="4" w:space="0" w:color="auto"/>
            </w:tcBorders>
            <w:vAlign w:val="center"/>
          </w:tcPr>
          <w:p w14:paraId="7C0BE50B"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458" w:type="pct"/>
            <w:tcBorders>
              <w:right w:val="single" w:sz="4" w:space="0" w:color="auto"/>
            </w:tcBorders>
            <w:vAlign w:val="center"/>
          </w:tcPr>
          <w:p w14:paraId="6F5ED1CD"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502" w:type="pct"/>
            <w:tcBorders>
              <w:right w:val="single" w:sz="4" w:space="0" w:color="auto"/>
            </w:tcBorders>
            <w:vAlign w:val="center"/>
          </w:tcPr>
          <w:p w14:paraId="23A39A96"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r>
      <w:tr w:rsidR="008A2411" w:rsidRPr="008A2411" w14:paraId="496DFB9C" w14:textId="77777777">
        <w:trPr>
          <w:trHeight w:val="176"/>
          <w:jc w:val="center"/>
        </w:trPr>
        <w:tc>
          <w:tcPr>
            <w:tcW w:w="510" w:type="pct"/>
            <w:vMerge/>
            <w:tcBorders>
              <w:left w:val="single" w:sz="4" w:space="0" w:color="auto"/>
            </w:tcBorders>
            <w:vAlign w:val="center"/>
          </w:tcPr>
          <w:p w14:paraId="5F0302C2"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tcBorders>
            <w:shd w:val="clear" w:color="auto" w:fill="auto"/>
            <w:vAlign w:val="center"/>
          </w:tcPr>
          <w:p w14:paraId="118DABDD"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1,1,1-</w:t>
            </w:r>
            <w:r w:rsidRPr="008A2411">
              <w:rPr>
                <w:rFonts w:ascii="Times New Roman"/>
                <w:color w:val="000000" w:themeColor="text1"/>
                <w:spacing w:val="-17"/>
                <w:sz w:val="21"/>
                <w:szCs w:val="21"/>
              </w:rPr>
              <w:t>三氯乙烷</w:t>
            </w:r>
          </w:p>
        </w:tc>
        <w:tc>
          <w:tcPr>
            <w:tcW w:w="457" w:type="pct"/>
            <w:vAlign w:val="center"/>
          </w:tcPr>
          <w:p w14:paraId="0306F98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μg/kg</w:t>
            </w:r>
          </w:p>
        </w:tc>
        <w:tc>
          <w:tcPr>
            <w:tcW w:w="687" w:type="pct"/>
            <w:shd w:val="clear" w:color="auto" w:fill="auto"/>
            <w:vAlign w:val="center"/>
          </w:tcPr>
          <w:p w14:paraId="3D9F8B62"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未检出</w:t>
            </w:r>
          </w:p>
        </w:tc>
        <w:tc>
          <w:tcPr>
            <w:tcW w:w="532" w:type="pct"/>
            <w:tcBorders>
              <w:right w:val="single" w:sz="4" w:space="0" w:color="auto"/>
            </w:tcBorders>
            <w:shd w:val="clear" w:color="auto" w:fill="auto"/>
            <w:vAlign w:val="center"/>
          </w:tcPr>
          <w:p w14:paraId="2CB2F231"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840000</w:t>
            </w:r>
          </w:p>
        </w:tc>
        <w:tc>
          <w:tcPr>
            <w:tcW w:w="685" w:type="pct"/>
            <w:tcBorders>
              <w:right w:val="single" w:sz="4" w:space="0" w:color="auto"/>
            </w:tcBorders>
            <w:vAlign w:val="center"/>
          </w:tcPr>
          <w:p w14:paraId="6802062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458" w:type="pct"/>
            <w:tcBorders>
              <w:right w:val="single" w:sz="4" w:space="0" w:color="auto"/>
            </w:tcBorders>
            <w:vAlign w:val="center"/>
          </w:tcPr>
          <w:p w14:paraId="30B2395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502" w:type="pct"/>
            <w:tcBorders>
              <w:right w:val="single" w:sz="4" w:space="0" w:color="auto"/>
            </w:tcBorders>
            <w:vAlign w:val="center"/>
          </w:tcPr>
          <w:p w14:paraId="404F9E0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r>
      <w:tr w:rsidR="008A2411" w:rsidRPr="008A2411" w14:paraId="01DFEE42" w14:textId="77777777">
        <w:trPr>
          <w:trHeight w:val="176"/>
          <w:jc w:val="center"/>
        </w:trPr>
        <w:tc>
          <w:tcPr>
            <w:tcW w:w="510" w:type="pct"/>
            <w:vMerge/>
            <w:tcBorders>
              <w:left w:val="single" w:sz="4" w:space="0" w:color="auto"/>
            </w:tcBorders>
            <w:vAlign w:val="center"/>
          </w:tcPr>
          <w:p w14:paraId="1B5A68B0"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tcBorders>
            <w:shd w:val="clear" w:color="auto" w:fill="auto"/>
            <w:vAlign w:val="center"/>
          </w:tcPr>
          <w:p w14:paraId="766EF9AE"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四氯化碳</w:t>
            </w:r>
          </w:p>
        </w:tc>
        <w:tc>
          <w:tcPr>
            <w:tcW w:w="457" w:type="pct"/>
            <w:vAlign w:val="center"/>
          </w:tcPr>
          <w:p w14:paraId="1A6D8EE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μg/kg</w:t>
            </w:r>
          </w:p>
        </w:tc>
        <w:tc>
          <w:tcPr>
            <w:tcW w:w="687" w:type="pct"/>
            <w:shd w:val="clear" w:color="auto" w:fill="auto"/>
            <w:vAlign w:val="center"/>
          </w:tcPr>
          <w:p w14:paraId="7811311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未检出</w:t>
            </w:r>
          </w:p>
        </w:tc>
        <w:tc>
          <w:tcPr>
            <w:tcW w:w="532" w:type="pct"/>
            <w:tcBorders>
              <w:right w:val="single" w:sz="4" w:space="0" w:color="auto"/>
            </w:tcBorders>
            <w:shd w:val="clear" w:color="auto" w:fill="auto"/>
            <w:vAlign w:val="center"/>
          </w:tcPr>
          <w:p w14:paraId="4694A654"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2800</w:t>
            </w:r>
          </w:p>
        </w:tc>
        <w:tc>
          <w:tcPr>
            <w:tcW w:w="685" w:type="pct"/>
            <w:tcBorders>
              <w:right w:val="single" w:sz="4" w:space="0" w:color="auto"/>
            </w:tcBorders>
            <w:vAlign w:val="center"/>
          </w:tcPr>
          <w:p w14:paraId="4FBDCB3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458" w:type="pct"/>
            <w:tcBorders>
              <w:right w:val="single" w:sz="4" w:space="0" w:color="auto"/>
            </w:tcBorders>
            <w:vAlign w:val="center"/>
          </w:tcPr>
          <w:p w14:paraId="3F2AE47D"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502" w:type="pct"/>
            <w:tcBorders>
              <w:right w:val="single" w:sz="4" w:space="0" w:color="auto"/>
            </w:tcBorders>
            <w:vAlign w:val="center"/>
          </w:tcPr>
          <w:p w14:paraId="6B8C5684"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r>
      <w:tr w:rsidR="008A2411" w:rsidRPr="008A2411" w14:paraId="157FE886" w14:textId="77777777">
        <w:trPr>
          <w:trHeight w:val="176"/>
          <w:jc w:val="center"/>
        </w:trPr>
        <w:tc>
          <w:tcPr>
            <w:tcW w:w="510" w:type="pct"/>
            <w:vMerge/>
            <w:tcBorders>
              <w:left w:val="single" w:sz="4" w:space="0" w:color="auto"/>
            </w:tcBorders>
            <w:vAlign w:val="center"/>
          </w:tcPr>
          <w:p w14:paraId="06C40776"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tcBorders>
            <w:shd w:val="clear" w:color="auto" w:fill="auto"/>
            <w:vAlign w:val="center"/>
          </w:tcPr>
          <w:p w14:paraId="295EF72A"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苯</w:t>
            </w:r>
          </w:p>
        </w:tc>
        <w:tc>
          <w:tcPr>
            <w:tcW w:w="457" w:type="pct"/>
            <w:vAlign w:val="center"/>
          </w:tcPr>
          <w:p w14:paraId="3B3CC0B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μg/kg</w:t>
            </w:r>
          </w:p>
        </w:tc>
        <w:tc>
          <w:tcPr>
            <w:tcW w:w="687" w:type="pct"/>
            <w:shd w:val="clear" w:color="auto" w:fill="auto"/>
            <w:vAlign w:val="center"/>
          </w:tcPr>
          <w:p w14:paraId="24B92AF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未检出</w:t>
            </w:r>
          </w:p>
        </w:tc>
        <w:tc>
          <w:tcPr>
            <w:tcW w:w="532" w:type="pct"/>
            <w:tcBorders>
              <w:right w:val="single" w:sz="4" w:space="0" w:color="auto"/>
            </w:tcBorders>
            <w:shd w:val="clear" w:color="auto" w:fill="auto"/>
            <w:vAlign w:val="center"/>
          </w:tcPr>
          <w:p w14:paraId="6EB23406"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4000</w:t>
            </w:r>
          </w:p>
        </w:tc>
        <w:tc>
          <w:tcPr>
            <w:tcW w:w="685" w:type="pct"/>
            <w:tcBorders>
              <w:right w:val="single" w:sz="4" w:space="0" w:color="auto"/>
            </w:tcBorders>
            <w:vAlign w:val="center"/>
          </w:tcPr>
          <w:p w14:paraId="4582B26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458" w:type="pct"/>
            <w:tcBorders>
              <w:right w:val="single" w:sz="4" w:space="0" w:color="auto"/>
            </w:tcBorders>
            <w:vAlign w:val="center"/>
          </w:tcPr>
          <w:p w14:paraId="42030CBC"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502" w:type="pct"/>
            <w:tcBorders>
              <w:right w:val="single" w:sz="4" w:space="0" w:color="auto"/>
            </w:tcBorders>
            <w:vAlign w:val="center"/>
          </w:tcPr>
          <w:p w14:paraId="0A0C50A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r>
      <w:tr w:rsidR="008A2411" w:rsidRPr="008A2411" w14:paraId="58EAC1C3" w14:textId="77777777">
        <w:trPr>
          <w:trHeight w:val="176"/>
          <w:jc w:val="center"/>
        </w:trPr>
        <w:tc>
          <w:tcPr>
            <w:tcW w:w="510" w:type="pct"/>
            <w:vMerge/>
            <w:tcBorders>
              <w:left w:val="single" w:sz="4" w:space="0" w:color="auto"/>
            </w:tcBorders>
            <w:vAlign w:val="center"/>
          </w:tcPr>
          <w:p w14:paraId="670810D4"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tcBorders>
            <w:shd w:val="clear" w:color="auto" w:fill="auto"/>
            <w:vAlign w:val="center"/>
          </w:tcPr>
          <w:p w14:paraId="3B7A7F0A"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1,2-</w:t>
            </w:r>
            <w:r w:rsidRPr="008A2411">
              <w:rPr>
                <w:rFonts w:ascii="Times New Roman"/>
                <w:color w:val="000000" w:themeColor="text1"/>
                <w:spacing w:val="-17"/>
                <w:sz w:val="21"/>
                <w:szCs w:val="21"/>
              </w:rPr>
              <w:t>二氯乙烷</w:t>
            </w:r>
          </w:p>
        </w:tc>
        <w:tc>
          <w:tcPr>
            <w:tcW w:w="457" w:type="pct"/>
            <w:vAlign w:val="center"/>
          </w:tcPr>
          <w:p w14:paraId="65687D4B"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μg/kg</w:t>
            </w:r>
          </w:p>
        </w:tc>
        <w:tc>
          <w:tcPr>
            <w:tcW w:w="687" w:type="pct"/>
            <w:shd w:val="clear" w:color="auto" w:fill="auto"/>
            <w:vAlign w:val="center"/>
          </w:tcPr>
          <w:p w14:paraId="749B9E34"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未检出</w:t>
            </w:r>
          </w:p>
        </w:tc>
        <w:tc>
          <w:tcPr>
            <w:tcW w:w="532" w:type="pct"/>
            <w:tcBorders>
              <w:right w:val="single" w:sz="4" w:space="0" w:color="auto"/>
            </w:tcBorders>
            <w:shd w:val="clear" w:color="auto" w:fill="auto"/>
            <w:vAlign w:val="center"/>
          </w:tcPr>
          <w:p w14:paraId="111129A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5000</w:t>
            </w:r>
          </w:p>
        </w:tc>
        <w:tc>
          <w:tcPr>
            <w:tcW w:w="685" w:type="pct"/>
            <w:tcBorders>
              <w:right w:val="single" w:sz="4" w:space="0" w:color="auto"/>
            </w:tcBorders>
            <w:vAlign w:val="center"/>
          </w:tcPr>
          <w:p w14:paraId="5A78A431"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458" w:type="pct"/>
            <w:tcBorders>
              <w:right w:val="single" w:sz="4" w:space="0" w:color="auto"/>
            </w:tcBorders>
            <w:vAlign w:val="center"/>
          </w:tcPr>
          <w:p w14:paraId="613FDD8A"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502" w:type="pct"/>
            <w:tcBorders>
              <w:right w:val="single" w:sz="4" w:space="0" w:color="auto"/>
            </w:tcBorders>
            <w:vAlign w:val="center"/>
          </w:tcPr>
          <w:p w14:paraId="6A22ECF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r>
      <w:tr w:rsidR="008A2411" w:rsidRPr="008A2411" w14:paraId="49236443" w14:textId="77777777">
        <w:trPr>
          <w:trHeight w:val="176"/>
          <w:jc w:val="center"/>
        </w:trPr>
        <w:tc>
          <w:tcPr>
            <w:tcW w:w="510" w:type="pct"/>
            <w:vMerge/>
            <w:tcBorders>
              <w:left w:val="single" w:sz="4" w:space="0" w:color="auto"/>
            </w:tcBorders>
            <w:vAlign w:val="center"/>
          </w:tcPr>
          <w:p w14:paraId="4118287C"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tcBorders>
            <w:shd w:val="clear" w:color="auto" w:fill="auto"/>
            <w:vAlign w:val="center"/>
          </w:tcPr>
          <w:p w14:paraId="56D6044C"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三氯乙烯</w:t>
            </w:r>
          </w:p>
        </w:tc>
        <w:tc>
          <w:tcPr>
            <w:tcW w:w="457" w:type="pct"/>
            <w:vAlign w:val="center"/>
          </w:tcPr>
          <w:p w14:paraId="6B6FBCF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μg/kg</w:t>
            </w:r>
          </w:p>
        </w:tc>
        <w:tc>
          <w:tcPr>
            <w:tcW w:w="687" w:type="pct"/>
            <w:shd w:val="clear" w:color="auto" w:fill="auto"/>
            <w:vAlign w:val="center"/>
          </w:tcPr>
          <w:p w14:paraId="38B2068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未检出</w:t>
            </w:r>
          </w:p>
        </w:tc>
        <w:tc>
          <w:tcPr>
            <w:tcW w:w="532" w:type="pct"/>
            <w:tcBorders>
              <w:right w:val="single" w:sz="4" w:space="0" w:color="auto"/>
            </w:tcBorders>
            <w:shd w:val="clear" w:color="auto" w:fill="auto"/>
            <w:vAlign w:val="center"/>
          </w:tcPr>
          <w:p w14:paraId="20B17A5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2800</w:t>
            </w:r>
          </w:p>
        </w:tc>
        <w:tc>
          <w:tcPr>
            <w:tcW w:w="685" w:type="pct"/>
            <w:tcBorders>
              <w:right w:val="single" w:sz="4" w:space="0" w:color="auto"/>
            </w:tcBorders>
            <w:vAlign w:val="center"/>
          </w:tcPr>
          <w:p w14:paraId="53AECA1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458" w:type="pct"/>
            <w:tcBorders>
              <w:right w:val="single" w:sz="4" w:space="0" w:color="auto"/>
            </w:tcBorders>
            <w:vAlign w:val="center"/>
          </w:tcPr>
          <w:p w14:paraId="738B016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502" w:type="pct"/>
            <w:tcBorders>
              <w:right w:val="single" w:sz="4" w:space="0" w:color="auto"/>
            </w:tcBorders>
            <w:vAlign w:val="center"/>
          </w:tcPr>
          <w:p w14:paraId="36C1F01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r>
      <w:tr w:rsidR="008A2411" w:rsidRPr="008A2411" w14:paraId="4A999F64" w14:textId="77777777">
        <w:trPr>
          <w:trHeight w:val="176"/>
          <w:jc w:val="center"/>
        </w:trPr>
        <w:tc>
          <w:tcPr>
            <w:tcW w:w="510" w:type="pct"/>
            <w:vMerge/>
            <w:tcBorders>
              <w:left w:val="single" w:sz="4" w:space="0" w:color="auto"/>
            </w:tcBorders>
            <w:vAlign w:val="center"/>
          </w:tcPr>
          <w:p w14:paraId="6DCA3EFF"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tcBorders>
            <w:shd w:val="clear" w:color="auto" w:fill="auto"/>
            <w:vAlign w:val="center"/>
          </w:tcPr>
          <w:p w14:paraId="02DFA29E"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1,2-</w:t>
            </w:r>
            <w:r w:rsidRPr="008A2411">
              <w:rPr>
                <w:rFonts w:ascii="Times New Roman"/>
                <w:color w:val="000000" w:themeColor="text1"/>
                <w:spacing w:val="-17"/>
                <w:sz w:val="21"/>
                <w:szCs w:val="21"/>
              </w:rPr>
              <w:t>二氯丙烷</w:t>
            </w:r>
          </w:p>
        </w:tc>
        <w:tc>
          <w:tcPr>
            <w:tcW w:w="457" w:type="pct"/>
            <w:vAlign w:val="center"/>
          </w:tcPr>
          <w:p w14:paraId="586E431D"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μg/kg</w:t>
            </w:r>
          </w:p>
        </w:tc>
        <w:tc>
          <w:tcPr>
            <w:tcW w:w="687" w:type="pct"/>
            <w:shd w:val="clear" w:color="auto" w:fill="auto"/>
            <w:vAlign w:val="center"/>
          </w:tcPr>
          <w:p w14:paraId="1911A6D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未检出</w:t>
            </w:r>
          </w:p>
        </w:tc>
        <w:tc>
          <w:tcPr>
            <w:tcW w:w="532" w:type="pct"/>
            <w:tcBorders>
              <w:right w:val="single" w:sz="4" w:space="0" w:color="auto"/>
            </w:tcBorders>
            <w:shd w:val="clear" w:color="auto" w:fill="auto"/>
            <w:vAlign w:val="center"/>
          </w:tcPr>
          <w:p w14:paraId="5539BDB9"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5000</w:t>
            </w:r>
          </w:p>
        </w:tc>
        <w:tc>
          <w:tcPr>
            <w:tcW w:w="685" w:type="pct"/>
            <w:tcBorders>
              <w:right w:val="single" w:sz="4" w:space="0" w:color="auto"/>
            </w:tcBorders>
            <w:vAlign w:val="center"/>
          </w:tcPr>
          <w:p w14:paraId="23305094"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458" w:type="pct"/>
            <w:tcBorders>
              <w:right w:val="single" w:sz="4" w:space="0" w:color="auto"/>
            </w:tcBorders>
            <w:vAlign w:val="center"/>
          </w:tcPr>
          <w:p w14:paraId="0F900699"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502" w:type="pct"/>
            <w:tcBorders>
              <w:right w:val="single" w:sz="4" w:space="0" w:color="auto"/>
            </w:tcBorders>
            <w:vAlign w:val="center"/>
          </w:tcPr>
          <w:p w14:paraId="2359E457"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r>
      <w:tr w:rsidR="008A2411" w:rsidRPr="008A2411" w14:paraId="15856F03" w14:textId="77777777">
        <w:trPr>
          <w:trHeight w:val="176"/>
          <w:jc w:val="center"/>
        </w:trPr>
        <w:tc>
          <w:tcPr>
            <w:tcW w:w="510" w:type="pct"/>
            <w:vMerge/>
            <w:tcBorders>
              <w:left w:val="single" w:sz="4" w:space="0" w:color="auto"/>
            </w:tcBorders>
            <w:vAlign w:val="center"/>
          </w:tcPr>
          <w:p w14:paraId="0284AB9B"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tcBorders>
            <w:shd w:val="clear" w:color="auto" w:fill="auto"/>
            <w:vAlign w:val="center"/>
          </w:tcPr>
          <w:p w14:paraId="36B7F87B"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甲苯</w:t>
            </w:r>
          </w:p>
        </w:tc>
        <w:tc>
          <w:tcPr>
            <w:tcW w:w="457" w:type="pct"/>
            <w:vAlign w:val="center"/>
          </w:tcPr>
          <w:p w14:paraId="4AC44FBE"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μg/kg</w:t>
            </w:r>
          </w:p>
        </w:tc>
        <w:tc>
          <w:tcPr>
            <w:tcW w:w="687" w:type="pct"/>
            <w:shd w:val="clear" w:color="auto" w:fill="auto"/>
            <w:vAlign w:val="center"/>
          </w:tcPr>
          <w:p w14:paraId="6833FA52"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未检出</w:t>
            </w:r>
          </w:p>
        </w:tc>
        <w:tc>
          <w:tcPr>
            <w:tcW w:w="532" w:type="pct"/>
            <w:tcBorders>
              <w:right w:val="single" w:sz="4" w:space="0" w:color="auto"/>
            </w:tcBorders>
            <w:shd w:val="clear" w:color="auto" w:fill="auto"/>
            <w:vAlign w:val="center"/>
          </w:tcPr>
          <w:p w14:paraId="2D1714E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1200000</w:t>
            </w:r>
          </w:p>
        </w:tc>
        <w:tc>
          <w:tcPr>
            <w:tcW w:w="685" w:type="pct"/>
            <w:tcBorders>
              <w:right w:val="single" w:sz="4" w:space="0" w:color="auto"/>
            </w:tcBorders>
            <w:vAlign w:val="center"/>
          </w:tcPr>
          <w:p w14:paraId="69889D3B"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458" w:type="pct"/>
            <w:tcBorders>
              <w:right w:val="single" w:sz="4" w:space="0" w:color="auto"/>
            </w:tcBorders>
            <w:vAlign w:val="center"/>
          </w:tcPr>
          <w:p w14:paraId="3904C1B1"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502" w:type="pct"/>
            <w:tcBorders>
              <w:right w:val="single" w:sz="4" w:space="0" w:color="auto"/>
            </w:tcBorders>
            <w:vAlign w:val="center"/>
          </w:tcPr>
          <w:p w14:paraId="0687744D"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r>
      <w:tr w:rsidR="008A2411" w:rsidRPr="008A2411" w14:paraId="165572B8" w14:textId="77777777">
        <w:trPr>
          <w:trHeight w:val="176"/>
          <w:jc w:val="center"/>
        </w:trPr>
        <w:tc>
          <w:tcPr>
            <w:tcW w:w="510" w:type="pct"/>
            <w:vMerge/>
            <w:tcBorders>
              <w:left w:val="single" w:sz="4" w:space="0" w:color="auto"/>
            </w:tcBorders>
            <w:vAlign w:val="center"/>
          </w:tcPr>
          <w:p w14:paraId="3B00930B"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tcBorders>
            <w:shd w:val="clear" w:color="auto" w:fill="auto"/>
            <w:vAlign w:val="center"/>
          </w:tcPr>
          <w:p w14:paraId="2015D561"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1,1,2-</w:t>
            </w:r>
            <w:r w:rsidRPr="008A2411">
              <w:rPr>
                <w:rFonts w:ascii="Times New Roman"/>
                <w:color w:val="000000" w:themeColor="text1"/>
                <w:spacing w:val="-17"/>
                <w:sz w:val="21"/>
                <w:szCs w:val="21"/>
              </w:rPr>
              <w:t>三氯乙烷</w:t>
            </w:r>
          </w:p>
        </w:tc>
        <w:tc>
          <w:tcPr>
            <w:tcW w:w="457" w:type="pct"/>
            <w:vAlign w:val="center"/>
          </w:tcPr>
          <w:p w14:paraId="00A7AF8D"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μg/kg</w:t>
            </w:r>
          </w:p>
        </w:tc>
        <w:tc>
          <w:tcPr>
            <w:tcW w:w="687" w:type="pct"/>
            <w:shd w:val="clear" w:color="auto" w:fill="auto"/>
            <w:vAlign w:val="center"/>
          </w:tcPr>
          <w:p w14:paraId="3C06686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未检出</w:t>
            </w:r>
          </w:p>
        </w:tc>
        <w:tc>
          <w:tcPr>
            <w:tcW w:w="532" w:type="pct"/>
            <w:tcBorders>
              <w:right w:val="single" w:sz="4" w:space="0" w:color="auto"/>
            </w:tcBorders>
            <w:shd w:val="clear" w:color="auto" w:fill="auto"/>
            <w:vAlign w:val="center"/>
          </w:tcPr>
          <w:p w14:paraId="5CDEEE89"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2800</w:t>
            </w:r>
          </w:p>
        </w:tc>
        <w:tc>
          <w:tcPr>
            <w:tcW w:w="685" w:type="pct"/>
            <w:tcBorders>
              <w:right w:val="single" w:sz="4" w:space="0" w:color="auto"/>
            </w:tcBorders>
            <w:vAlign w:val="center"/>
          </w:tcPr>
          <w:p w14:paraId="6F71E3E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458" w:type="pct"/>
            <w:tcBorders>
              <w:right w:val="single" w:sz="4" w:space="0" w:color="auto"/>
            </w:tcBorders>
            <w:vAlign w:val="center"/>
          </w:tcPr>
          <w:p w14:paraId="7F40B821"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502" w:type="pct"/>
            <w:tcBorders>
              <w:right w:val="single" w:sz="4" w:space="0" w:color="auto"/>
            </w:tcBorders>
            <w:vAlign w:val="center"/>
          </w:tcPr>
          <w:p w14:paraId="70E4D893"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r>
      <w:tr w:rsidR="008A2411" w:rsidRPr="008A2411" w14:paraId="0D3A2F64" w14:textId="77777777">
        <w:trPr>
          <w:trHeight w:val="176"/>
          <w:jc w:val="center"/>
        </w:trPr>
        <w:tc>
          <w:tcPr>
            <w:tcW w:w="510" w:type="pct"/>
            <w:vMerge/>
            <w:tcBorders>
              <w:left w:val="single" w:sz="4" w:space="0" w:color="auto"/>
            </w:tcBorders>
            <w:vAlign w:val="center"/>
          </w:tcPr>
          <w:p w14:paraId="671EC54C"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tcBorders>
            <w:shd w:val="clear" w:color="auto" w:fill="auto"/>
            <w:vAlign w:val="center"/>
          </w:tcPr>
          <w:p w14:paraId="2283E740"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四氯乙烯</w:t>
            </w:r>
          </w:p>
        </w:tc>
        <w:tc>
          <w:tcPr>
            <w:tcW w:w="457" w:type="pct"/>
            <w:vAlign w:val="center"/>
          </w:tcPr>
          <w:p w14:paraId="394B58A5"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μg/kg</w:t>
            </w:r>
          </w:p>
        </w:tc>
        <w:tc>
          <w:tcPr>
            <w:tcW w:w="687" w:type="pct"/>
            <w:shd w:val="clear" w:color="auto" w:fill="auto"/>
            <w:vAlign w:val="center"/>
          </w:tcPr>
          <w:p w14:paraId="1A9475FB"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未检出</w:t>
            </w:r>
          </w:p>
        </w:tc>
        <w:tc>
          <w:tcPr>
            <w:tcW w:w="532" w:type="pct"/>
            <w:tcBorders>
              <w:right w:val="single" w:sz="4" w:space="0" w:color="auto"/>
            </w:tcBorders>
            <w:shd w:val="clear" w:color="auto" w:fill="auto"/>
            <w:vAlign w:val="center"/>
          </w:tcPr>
          <w:p w14:paraId="4C7ECEF6"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53000</w:t>
            </w:r>
          </w:p>
        </w:tc>
        <w:tc>
          <w:tcPr>
            <w:tcW w:w="685" w:type="pct"/>
            <w:tcBorders>
              <w:right w:val="single" w:sz="4" w:space="0" w:color="auto"/>
            </w:tcBorders>
            <w:vAlign w:val="center"/>
          </w:tcPr>
          <w:p w14:paraId="37D696B9"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458" w:type="pct"/>
            <w:tcBorders>
              <w:right w:val="single" w:sz="4" w:space="0" w:color="auto"/>
            </w:tcBorders>
            <w:vAlign w:val="center"/>
          </w:tcPr>
          <w:p w14:paraId="3E610B8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502" w:type="pct"/>
            <w:tcBorders>
              <w:right w:val="single" w:sz="4" w:space="0" w:color="auto"/>
            </w:tcBorders>
            <w:vAlign w:val="center"/>
          </w:tcPr>
          <w:p w14:paraId="2C03149A"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r>
      <w:tr w:rsidR="008A2411" w:rsidRPr="008A2411" w14:paraId="779A0D02" w14:textId="77777777">
        <w:trPr>
          <w:trHeight w:val="176"/>
          <w:jc w:val="center"/>
        </w:trPr>
        <w:tc>
          <w:tcPr>
            <w:tcW w:w="510" w:type="pct"/>
            <w:vMerge/>
            <w:tcBorders>
              <w:left w:val="single" w:sz="4" w:space="0" w:color="auto"/>
            </w:tcBorders>
            <w:vAlign w:val="center"/>
          </w:tcPr>
          <w:p w14:paraId="0C38C1D5"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tcBorders>
            <w:shd w:val="clear" w:color="auto" w:fill="auto"/>
            <w:vAlign w:val="center"/>
          </w:tcPr>
          <w:p w14:paraId="7870CC30"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氯苯</w:t>
            </w:r>
          </w:p>
        </w:tc>
        <w:tc>
          <w:tcPr>
            <w:tcW w:w="457" w:type="pct"/>
            <w:vAlign w:val="center"/>
          </w:tcPr>
          <w:p w14:paraId="1A56360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μg/kg</w:t>
            </w:r>
          </w:p>
        </w:tc>
        <w:tc>
          <w:tcPr>
            <w:tcW w:w="687" w:type="pct"/>
            <w:shd w:val="clear" w:color="auto" w:fill="auto"/>
            <w:vAlign w:val="center"/>
          </w:tcPr>
          <w:p w14:paraId="7863E6F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未检出</w:t>
            </w:r>
          </w:p>
        </w:tc>
        <w:tc>
          <w:tcPr>
            <w:tcW w:w="532" w:type="pct"/>
            <w:tcBorders>
              <w:right w:val="single" w:sz="4" w:space="0" w:color="auto"/>
            </w:tcBorders>
            <w:shd w:val="clear" w:color="auto" w:fill="auto"/>
            <w:vAlign w:val="center"/>
          </w:tcPr>
          <w:p w14:paraId="2BA14B1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270000</w:t>
            </w:r>
          </w:p>
        </w:tc>
        <w:tc>
          <w:tcPr>
            <w:tcW w:w="685" w:type="pct"/>
            <w:tcBorders>
              <w:right w:val="single" w:sz="4" w:space="0" w:color="auto"/>
            </w:tcBorders>
            <w:vAlign w:val="center"/>
          </w:tcPr>
          <w:p w14:paraId="65CA3014"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458" w:type="pct"/>
            <w:tcBorders>
              <w:right w:val="single" w:sz="4" w:space="0" w:color="auto"/>
            </w:tcBorders>
            <w:vAlign w:val="center"/>
          </w:tcPr>
          <w:p w14:paraId="18A36C19"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502" w:type="pct"/>
            <w:tcBorders>
              <w:right w:val="single" w:sz="4" w:space="0" w:color="auto"/>
            </w:tcBorders>
            <w:vAlign w:val="center"/>
          </w:tcPr>
          <w:p w14:paraId="5076C616"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r>
      <w:tr w:rsidR="008A2411" w:rsidRPr="008A2411" w14:paraId="417CB1CB" w14:textId="77777777">
        <w:trPr>
          <w:trHeight w:val="176"/>
          <w:jc w:val="center"/>
        </w:trPr>
        <w:tc>
          <w:tcPr>
            <w:tcW w:w="510" w:type="pct"/>
            <w:vMerge/>
            <w:tcBorders>
              <w:left w:val="single" w:sz="4" w:space="0" w:color="auto"/>
            </w:tcBorders>
            <w:vAlign w:val="center"/>
          </w:tcPr>
          <w:p w14:paraId="6BF20FD1"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tcBorders>
            <w:shd w:val="clear" w:color="auto" w:fill="auto"/>
            <w:vAlign w:val="center"/>
          </w:tcPr>
          <w:p w14:paraId="4055BC23"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1,1,1,2-</w:t>
            </w:r>
            <w:r w:rsidRPr="008A2411">
              <w:rPr>
                <w:rFonts w:ascii="Times New Roman"/>
                <w:color w:val="000000" w:themeColor="text1"/>
                <w:spacing w:val="-17"/>
                <w:sz w:val="21"/>
                <w:szCs w:val="21"/>
              </w:rPr>
              <w:t>四氯乙烷</w:t>
            </w:r>
          </w:p>
        </w:tc>
        <w:tc>
          <w:tcPr>
            <w:tcW w:w="457" w:type="pct"/>
            <w:vAlign w:val="center"/>
          </w:tcPr>
          <w:p w14:paraId="341F644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μg/kg</w:t>
            </w:r>
          </w:p>
        </w:tc>
        <w:tc>
          <w:tcPr>
            <w:tcW w:w="687" w:type="pct"/>
            <w:shd w:val="clear" w:color="auto" w:fill="auto"/>
            <w:vAlign w:val="center"/>
          </w:tcPr>
          <w:p w14:paraId="3355EDC7"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未检出</w:t>
            </w:r>
          </w:p>
        </w:tc>
        <w:tc>
          <w:tcPr>
            <w:tcW w:w="532" w:type="pct"/>
            <w:tcBorders>
              <w:right w:val="single" w:sz="4" w:space="0" w:color="auto"/>
            </w:tcBorders>
            <w:shd w:val="clear" w:color="auto" w:fill="auto"/>
            <w:vAlign w:val="center"/>
          </w:tcPr>
          <w:p w14:paraId="028FAEC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10000</w:t>
            </w:r>
          </w:p>
        </w:tc>
        <w:tc>
          <w:tcPr>
            <w:tcW w:w="685" w:type="pct"/>
            <w:tcBorders>
              <w:right w:val="single" w:sz="4" w:space="0" w:color="auto"/>
            </w:tcBorders>
            <w:vAlign w:val="center"/>
          </w:tcPr>
          <w:p w14:paraId="5D31E19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458" w:type="pct"/>
            <w:tcBorders>
              <w:right w:val="single" w:sz="4" w:space="0" w:color="auto"/>
            </w:tcBorders>
            <w:vAlign w:val="center"/>
          </w:tcPr>
          <w:p w14:paraId="5DA72B27"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502" w:type="pct"/>
            <w:tcBorders>
              <w:right w:val="single" w:sz="4" w:space="0" w:color="auto"/>
            </w:tcBorders>
            <w:vAlign w:val="center"/>
          </w:tcPr>
          <w:p w14:paraId="712F5FD7"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r>
      <w:tr w:rsidR="008A2411" w:rsidRPr="008A2411" w14:paraId="4C0E033B" w14:textId="77777777">
        <w:trPr>
          <w:trHeight w:val="176"/>
          <w:jc w:val="center"/>
        </w:trPr>
        <w:tc>
          <w:tcPr>
            <w:tcW w:w="510" w:type="pct"/>
            <w:vMerge/>
            <w:tcBorders>
              <w:left w:val="single" w:sz="4" w:space="0" w:color="auto"/>
            </w:tcBorders>
            <w:vAlign w:val="center"/>
          </w:tcPr>
          <w:p w14:paraId="67BD87CB"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tcBorders>
            <w:shd w:val="clear" w:color="auto" w:fill="auto"/>
            <w:vAlign w:val="center"/>
          </w:tcPr>
          <w:p w14:paraId="6D0F68C9"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乙苯</w:t>
            </w:r>
          </w:p>
        </w:tc>
        <w:tc>
          <w:tcPr>
            <w:tcW w:w="457" w:type="pct"/>
            <w:vAlign w:val="center"/>
          </w:tcPr>
          <w:p w14:paraId="0333D265"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μg/kg</w:t>
            </w:r>
          </w:p>
        </w:tc>
        <w:tc>
          <w:tcPr>
            <w:tcW w:w="687" w:type="pct"/>
            <w:shd w:val="clear" w:color="auto" w:fill="auto"/>
            <w:vAlign w:val="center"/>
          </w:tcPr>
          <w:p w14:paraId="761B2B67"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未检出</w:t>
            </w:r>
          </w:p>
        </w:tc>
        <w:tc>
          <w:tcPr>
            <w:tcW w:w="532" w:type="pct"/>
            <w:tcBorders>
              <w:right w:val="single" w:sz="4" w:space="0" w:color="auto"/>
            </w:tcBorders>
            <w:shd w:val="clear" w:color="auto" w:fill="auto"/>
            <w:vAlign w:val="center"/>
          </w:tcPr>
          <w:p w14:paraId="0B5D0FE6"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28000</w:t>
            </w:r>
          </w:p>
        </w:tc>
        <w:tc>
          <w:tcPr>
            <w:tcW w:w="685" w:type="pct"/>
            <w:tcBorders>
              <w:right w:val="single" w:sz="4" w:space="0" w:color="auto"/>
            </w:tcBorders>
            <w:vAlign w:val="center"/>
          </w:tcPr>
          <w:p w14:paraId="0C37B051"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458" w:type="pct"/>
            <w:tcBorders>
              <w:right w:val="single" w:sz="4" w:space="0" w:color="auto"/>
            </w:tcBorders>
            <w:vAlign w:val="center"/>
          </w:tcPr>
          <w:p w14:paraId="4F73CB06"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502" w:type="pct"/>
            <w:tcBorders>
              <w:right w:val="single" w:sz="4" w:space="0" w:color="auto"/>
            </w:tcBorders>
            <w:vAlign w:val="center"/>
          </w:tcPr>
          <w:p w14:paraId="2840767B"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r>
      <w:tr w:rsidR="008A2411" w:rsidRPr="008A2411" w14:paraId="6929C317" w14:textId="77777777">
        <w:trPr>
          <w:trHeight w:val="176"/>
          <w:jc w:val="center"/>
        </w:trPr>
        <w:tc>
          <w:tcPr>
            <w:tcW w:w="510" w:type="pct"/>
            <w:vMerge/>
            <w:tcBorders>
              <w:left w:val="single" w:sz="4" w:space="0" w:color="auto"/>
            </w:tcBorders>
            <w:vAlign w:val="center"/>
          </w:tcPr>
          <w:p w14:paraId="509ED143"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tcBorders>
            <w:shd w:val="clear" w:color="auto" w:fill="auto"/>
            <w:vAlign w:val="center"/>
          </w:tcPr>
          <w:p w14:paraId="77CEE794"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间二甲苯</w:t>
            </w:r>
            <w:r w:rsidRPr="008A2411">
              <w:rPr>
                <w:rFonts w:ascii="Times New Roman"/>
                <w:color w:val="000000" w:themeColor="text1"/>
                <w:spacing w:val="-17"/>
                <w:sz w:val="21"/>
                <w:szCs w:val="21"/>
              </w:rPr>
              <w:t>+</w:t>
            </w:r>
            <w:r w:rsidRPr="008A2411">
              <w:rPr>
                <w:rFonts w:ascii="Times New Roman"/>
                <w:color w:val="000000" w:themeColor="text1"/>
                <w:spacing w:val="-17"/>
                <w:sz w:val="21"/>
                <w:szCs w:val="21"/>
              </w:rPr>
              <w:t>对二甲苯</w:t>
            </w:r>
          </w:p>
        </w:tc>
        <w:tc>
          <w:tcPr>
            <w:tcW w:w="457" w:type="pct"/>
            <w:vAlign w:val="center"/>
          </w:tcPr>
          <w:p w14:paraId="57971CB7"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μg/kg</w:t>
            </w:r>
          </w:p>
        </w:tc>
        <w:tc>
          <w:tcPr>
            <w:tcW w:w="687" w:type="pct"/>
            <w:shd w:val="clear" w:color="auto" w:fill="auto"/>
            <w:vAlign w:val="center"/>
          </w:tcPr>
          <w:p w14:paraId="5B356D5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未检出</w:t>
            </w:r>
          </w:p>
        </w:tc>
        <w:tc>
          <w:tcPr>
            <w:tcW w:w="532" w:type="pct"/>
            <w:tcBorders>
              <w:right w:val="single" w:sz="4" w:space="0" w:color="auto"/>
            </w:tcBorders>
            <w:shd w:val="clear" w:color="auto" w:fill="auto"/>
            <w:vAlign w:val="center"/>
          </w:tcPr>
          <w:p w14:paraId="2BB1CDF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570000</w:t>
            </w:r>
          </w:p>
        </w:tc>
        <w:tc>
          <w:tcPr>
            <w:tcW w:w="685" w:type="pct"/>
            <w:tcBorders>
              <w:right w:val="single" w:sz="4" w:space="0" w:color="auto"/>
            </w:tcBorders>
            <w:vAlign w:val="center"/>
          </w:tcPr>
          <w:p w14:paraId="5F388C79"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458" w:type="pct"/>
            <w:tcBorders>
              <w:right w:val="single" w:sz="4" w:space="0" w:color="auto"/>
            </w:tcBorders>
            <w:vAlign w:val="center"/>
          </w:tcPr>
          <w:p w14:paraId="1771D9D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502" w:type="pct"/>
            <w:tcBorders>
              <w:right w:val="single" w:sz="4" w:space="0" w:color="auto"/>
            </w:tcBorders>
            <w:vAlign w:val="center"/>
          </w:tcPr>
          <w:p w14:paraId="05BE1B4B"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r>
      <w:tr w:rsidR="008A2411" w:rsidRPr="008A2411" w14:paraId="2A4EF7AF" w14:textId="77777777">
        <w:trPr>
          <w:trHeight w:val="176"/>
          <w:jc w:val="center"/>
        </w:trPr>
        <w:tc>
          <w:tcPr>
            <w:tcW w:w="510" w:type="pct"/>
            <w:vMerge/>
            <w:tcBorders>
              <w:left w:val="single" w:sz="4" w:space="0" w:color="auto"/>
            </w:tcBorders>
            <w:vAlign w:val="center"/>
          </w:tcPr>
          <w:p w14:paraId="022E4810"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tcBorders>
            <w:shd w:val="clear" w:color="auto" w:fill="auto"/>
            <w:vAlign w:val="center"/>
          </w:tcPr>
          <w:p w14:paraId="448F4735"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邻－二甲苯</w:t>
            </w:r>
          </w:p>
        </w:tc>
        <w:tc>
          <w:tcPr>
            <w:tcW w:w="457" w:type="pct"/>
            <w:vAlign w:val="center"/>
          </w:tcPr>
          <w:p w14:paraId="47AB9B57"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μg/kg</w:t>
            </w:r>
          </w:p>
        </w:tc>
        <w:tc>
          <w:tcPr>
            <w:tcW w:w="687" w:type="pct"/>
            <w:shd w:val="clear" w:color="auto" w:fill="auto"/>
            <w:vAlign w:val="center"/>
          </w:tcPr>
          <w:p w14:paraId="1D73365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未检出</w:t>
            </w:r>
          </w:p>
        </w:tc>
        <w:tc>
          <w:tcPr>
            <w:tcW w:w="532" w:type="pct"/>
            <w:tcBorders>
              <w:right w:val="single" w:sz="4" w:space="0" w:color="auto"/>
            </w:tcBorders>
            <w:shd w:val="clear" w:color="auto" w:fill="auto"/>
            <w:vAlign w:val="center"/>
          </w:tcPr>
          <w:p w14:paraId="67F88A5C"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640000</w:t>
            </w:r>
          </w:p>
        </w:tc>
        <w:tc>
          <w:tcPr>
            <w:tcW w:w="685" w:type="pct"/>
            <w:tcBorders>
              <w:right w:val="single" w:sz="4" w:space="0" w:color="auto"/>
            </w:tcBorders>
            <w:vAlign w:val="center"/>
          </w:tcPr>
          <w:p w14:paraId="44E0D4B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458" w:type="pct"/>
            <w:tcBorders>
              <w:right w:val="single" w:sz="4" w:space="0" w:color="auto"/>
            </w:tcBorders>
            <w:vAlign w:val="center"/>
          </w:tcPr>
          <w:p w14:paraId="004C926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502" w:type="pct"/>
            <w:tcBorders>
              <w:right w:val="single" w:sz="4" w:space="0" w:color="auto"/>
            </w:tcBorders>
            <w:vAlign w:val="center"/>
          </w:tcPr>
          <w:p w14:paraId="14981AF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r>
      <w:tr w:rsidR="008A2411" w:rsidRPr="008A2411" w14:paraId="2D160046" w14:textId="77777777">
        <w:trPr>
          <w:trHeight w:val="176"/>
          <w:jc w:val="center"/>
        </w:trPr>
        <w:tc>
          <w:tcPr>
            <w:tcW w:w="510" w:type="pct"/>
            <w:vMerge/>
            <w:tcBorders>
              <w:left w:val="single" w:sz="4" w:space="0" w:color="auto"/>
            </w:tcBorders>
            <w:vAlign w:val="center"/>
          </w:tcPr>
          <w:p w14:paraId="3280ABC7"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tcBorders>
            <w:shd w:val="clear" w:color="auto" w:fill="auto"/>
            <w:vAlign w:val="center"/>
          </w:tcPr>
          <w:p w14:paraId="0D4ACDFC"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苯乙烯</w:t>
            </w:r>
          </w:p>
        </w:tc>
        <w:tc>
          <w:tcPr>
            <w:tcW w:w="457" w:type="pct"/>
            <w:vAlign w:val="center"/>
          </w:tcPr>
          <w:p w14:paraId="09CCE41D"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μg/kg</w:t>
            </w:r>
          </w:p>
        </w:tc>
        <w:tc>
          <w:tcPr>
            <w:tcW w:w="687" w:type="pct"/>
            <w:shd w:val="clear" w:color="auto" w:fill="auto"/>
            <w:vAlign w:val="center"/>
          </w:tcPr>
          <w:p w14:paraId="1457DC6B"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未检出</w:t>
            </w:r>
          </w:p>
        </w:tc>
        <w:tc>
          <w:tcPr>
            <w:tcW w:w="532" w:type="pct"/>
            <w:tcBorders>
              <w:right w:val="single" w:sz="4" w:space="0" w:color="auto"/>
            </w:tcBorders>
            <w:shd w:val="clear" w:color="auto" w:fill="auto"/>
            <w:vAlign w:val="center"/>
          </w:tcPr>
          <w:p w14:paraId="09AFAAF9"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1290000</w:t>
            </w:r>
          </w:p>
        </w:tc>
        <w:tc>
          <w:tcPr>
            <w:tcW w:w="685" w:type="pct"/>
            <w:tcBorders>
              <w:right w:val="single" w:sz="4" w:space="0" w:color="auto"/>
            </w:tcBorders>
            <w:vAlign w:val="center"/>
          </w:tcPr>
          <w:p w14:paraId="333ECB7B"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458" w:type="pct"/>
            <w:tcBorders>
              <w:right w:val="single" w:sz="4" w:space="0" w:color="auto"/>
            </w:tcBorders>
            <w:vAlign w:val="center"/>
          </w:tcPr>
          <w:p w14:paraId="0B10E9E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502" w:type="pct"/>
            <w:tcBorders>
              <w:right w:val="single" w:sz="4" w:space="0" w:color="auto"/>
            </w:tcBorders>
            <w:vAlign w:val="center"/>
          </w:tcPr>
          <w:p w14:paraId="22EB047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r>
      <w:tr w:rsidR="008A2411" w:rsidRPr="008A2411" w14:paraId="21545A67" w14:textId="77777777">
        <w:trPr>
          <w:trHeight w:val="176"/>
          <w:jc w:val="center"/>
        </w:trPr>
        <w:tc>
          <w:tcPr>
            <w:tcW w:w="510" w:type="pct"/>
            <w:vMerge/>
            <w:tcBorders>
              <w:left w:val="single" w:sz="4" w:space="0" w:color="auto"/>
            </w:tcBorders>
            <w:vAlign w:val="center"/>
          </w:tcPr>
          <w:p w14:paraId="40155120"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tcBorders>
            <w:shd w:val="clear" w:color="auto" w:fill="auto"/>
            <w:vAlign w:val="center"/>
          </w:tcPr>
          <w:p w14:paraId="0CD60E59"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1,1,2,2-</w:t>
            </w:r>
            <w:r w:rsidRPr="008A2411">
              <w:rPr>
                <w:rFonts w:ascii="Times New Roman"/>
                <w:color w:val="000000" w:themeColor="text1"/>
                <w:spacing w:val="-17"/>
                <w:sz w:val="21"/>
                <w:szCs w:val="21"/>
              </w:rPr>
              <w:t>四氯乙烷</w:t>
            </w:r>
          </w:p>
        </w:tc>
        <w:tc>
          <w:tcPr>
            <w:tcW w:w="457" w:type="pct"/>
            <w:vAlign w:val="center"/>
          </w:tcPr>
          <w:p w14:paraId="0AF11805"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μg/kg</w:t>
            </w:r>
          </w:p>
        </w:tc>
        <w:tc>
          <w:tcPr>
            <w:tcW w:w="687" w:type="pct"/>
            <w:shd w:val="clear" w:color="auto" w:fill="auto"/>
            <w:vAlign w:val="center"/>
          </w:tcPr>
          <w:p w14:paraId="5E332752"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未检出</w:t>
            </w:r>
          </w:p>
        </w:tc>
        <w:tc>
          <w:tcPr>
            <w:tcW w:w="532" w:type="pct"/>
            <w:tcBorders>
              <w:right w:val="single" w:sz="4" w:space="0" w:color="auto"/>
            </w:tcBorders>
            <w:shd w:val="clear" w:color="auto" w:fill="auto"/>
            <w:vAlign w:val="center"/>
          </w:tcPr>
          <w:p w14:paraId="6B7854C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6800</w:t>
            </w:r>
          </w:p>
        </w:tc>
        <w:tc>
          <w:tcPr>
            <w:tcW w:w="685" w:type="pct"/>
            <w:tcBorders>
              <w:right w:val="single" w:sz="4" w:space="0" w:color="auto"/>
            </w:tcBorders>
            <w:vAlign w:val="center"/>
          </w:tcPr>
          <w:p w14:paraId="0258FD8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458" w:type="pct"/>
            <w:tcBorders>
              <w:right w:val="single" w:sz="4" w:space="0" w:color="auto"/>
            </w:tcBorders>
            <w:vAlign w:val="center"/>
          </w:tcPr>
          <w:p w14:paraId="2B04115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502" w:type="pct"/>
            <w:tcBorders>
              <w:right w:val="single" w:sz="4" w:space="0" w:color="auto"/>
            </w:tcBorders>
            <w:vAlign w:val="center"/>
          </w:tcPr>
          <w:p w14:paraId="56193D5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r>
      <w:tr w:rsidR="008A2411" w:rsidRPr="008A2411" w14:paraId="51300B3E" w14:textId="77777777">
        <w:trPr>
          <w:trHeight w:val="176"/>
          <w:jc w:val="center"/>
        </w:trPr>
        <w:tc>
          <w:tcPr>
            <w:tcW w:w="510" w:type="pct"/>
            <w:vMerge/>
            <w:tcBorders>
              <w:left w:val="single" w:sz="4" w:space="0" w:color="auto"/>
            </w:tcBorders>
            <w:vAlign w:val="center"/>
          </w:tcPr>
          <w:p w14:paraId="3C1CE2AE"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tcBorders>
            <w:shd w:val="clear" w:color="auto" w:fill="auto"/>
            <w:vAlign w:val="center"/>
          </w:tcPr>
          <w:p w14:paraId="3B310F11"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1,2,3-</w:t>
            </w:r>
            <w:r w:rsidRPr="008A2411">
              <w:rPr>
                <w:rFonts w:ascii="Times New Roman"/>
                <w:color w:val="000000" w:themeColor="text1"/>
                <w:spacing w:val="-17"/>
                <w:sz w:val="21"/>
                <w:szCs w:val="21"/>
              </w:rPr>
              <w:t>三氯丙烷</w:t>
            </w:r>
          </w:p>
        </w:tc>
        <w:tc>
          <w:tcPr>
            <w:tcW w:w="457" w:type="pct"/>
            <w:vAlign w:val="center"/>
          </w:tcPr>
          <w:p w14:paraId="641BE18E"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μg/kg</w:t>
            </w:r>
          </w:p>
        </w:tc>
        <w:tc>
          <w:tcPr>
            <w:tcW w:w="687" w:type="pct"/>
            <w:shd w:val="clear" w:color="auto" w:fill="auto"/>
            <w:vAlign w:val="center"/>
          </w:tcPr>
          <w:p w14:paraId="1CA8F162"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未检出</w:t>
            </w:r>
          </w:p>
        </w:tc>
        <w:tc>
          <w:tcPr>
            <w:tcW w:w="532" w:type="pct"/>
            <w:tcBorders>
              <w:right w:val="single" w:sz="4" w:space="0" w:color="auto"/>
            </w:tcBorders>
            <w:shd w:val="clear" w:color="auto" w:fill="auto"/>
            <w:vAlign w:val="center"/>
          </w:tcPr>
          <w:p w14:paraId="18410C8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500</w:t>
            </w:r>
          </w:p>
        </w:tc>
        <w:tc>
          <w:tcPr>
            <w:tcW w:w="685" w:type="pct"/>
            <w:tcBorders>
              <w:right w:val="single" w:sz="4" w:space="0" w:color="auto"/>
            </w:tcBorders>
            <w:vAlign w:val="center"/>
          </w:tcPr>
          <w:p w14:paraId="128B4FCC"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458" w:type="pct"/>
            <w:tcBorders>
              <w:right w:val="single" w:sz="4" w:space="0" w:color="auto"/>
            </w:tcBorders>
            <w:vAlign w:val="center"/>
          </w:tcPr>
          <w:p w14:paraId="0580FF0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502" w:type="pct"/>
            <w:tcBorders>
              <w:right w:val="single" w:sz="4" w:space="0" w:color="auto"/>
            </w:tcBorders>
            <w:vAlign w:val="center"/>
          </w:tcPr>
          <w:p w14:paraId="40C4990B"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r>
      <w:tr w:rsidR="008A2411" w:rsidRPr="008A2411" w14:paraId="1CC35452" w14:textId="77777777">
        <w:trPr>
          <w:trHeight w:val="176"/>
          <w:jc w:val="center"/>
        </w:trPr>
        <w:tc>
          <w:tcPr>
            <w:tcW w:w="510" w:type="pct"/>
            <w:vMerge/>
            <w:tcBorders>
              <w:left w:val="single" w:sz="4" w:space="0" w:color="auto"/>
            </w:tcBorders>
            <w:vAlign w:val="center"/>
          </w:tcPr>
          <w:p w14:paraId="3B2C37F8"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tcBorders>
            <w:shd w:val="clear" w:color="auto" w:fill="auto"/>
            <w:vAlign w:val="center"/>
          </w:tcPr>
          <w:p w14:paraId="2A6BF4E5"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1,4-</w:t>
            </w:r>
            <w:r w:rsidRPr="008A2411">
              <w:rPr>
                <w:rFonts w:ascii="Times New Roman"/>
                <w:color w:val="000000" w:themeColor="text1"/>
                <w:spacing w:val="-17"/>
                <w:sz w:val="21"/>
                <w:szCs w:val="21"/>
              </w:rPr>
              <w:t>二氯苯</w:t>
            </w:r>
          </w:p>
        </w:tc>
        <w:tc>
          <w:tcPr>
            <w:tcW w:w="457" w:type="pct"/>
            <w:vAlign w:val="center"/>
          </w:tcPr>
          <w:p w14:paraId="0A9EB9D4"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μg/kg</w:t>
            </w:r>
          </w:p>
        </w:tc>
        <w:tc>
          <w:tcPr>
            <w:tcW w:w="687" w:type="pct"/>
            <w:shd w:val="clear" w:color="auto" w:fill="auto"/>
            <w:vAlign w:val="center"/>
          </w:tcPr>
          <w:p w14:paraId="064BBC2E"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未检出</w:t>
            </w:r>
          </w:p>
        </w:tc>
        <w:tc>
          <w:tcPr>
            <w:tcW w:w="532" w:type="pct"/>
            <w:tcBorders>
              <w:right w:val="single" w:sz="4" w:space="0" w:color="auto"/>
            </w:tcBorders>
            <w:shd w:val="clear" w:color="auto" w:fill="auto"/>
            <w:vAlign w:val="center"/>
          </w:tcPr>
          <w:p w14:paraId="227EF319"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20000</w:t>
            </w:r>
          </w:p>
        </w:tc>
        <w:tc>
          <w:tcPr>
            <w:tcW w:w="685" w:type="pct"/>
            <w:tcBorders>
              <w:right w:val="single" w:sz="4" w:space="0" w:color="auto"/>
            </w:tcBorders>
            <w:vAlign w:val="center"/>
          </w:tcPr>
          <w:p w14:paraId="7B40DD5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458" w:type="pct"/>
            <w:tcBorders>
              <w:right w:val="single" w:sz="4" w:space="0" w:color="auto"/>
            </w:tcBorders>
            <w:vAlign w:val="center"/>
          </w:tcPr>
          <w:p w14:paraId="027976C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502" w:type="pct"/>
            <w:tcBorders>
              <w:right w:val="single" w:sz="4" w:space="0" w:color="auto"/>
            </w:tcBorders>
            <w:vAlign w:val="center"/>
          </w:tcPr>
          <w:p w14:paraId="08CF88E4"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r>
      <w:tr w:rsidR="008A2411" w:rsidRPr="008A2411" w14:paraId="4D4EBACB" w14:textId="77777777">
        <w:trPr>
          <w:trHeight w:val="176"/>
          <w:jc w:val="center"/>
        </w:trPr>
        <w:tc>
          <w:tcPr>
            <w:tcW w:w="510" w:type="pct"/>
            <w:vMerge/>
            <w:tcBorders>
              <w:left w:val="single" w:sz="4" w:space="0" w:color="auto"/>
            </w:tcBorders>
            <w:vAlign w:val="center"/>
          </w:tcPr>
          <w:p w14:paraId="0C868ED2"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tcBorders>
            <w:shd w:val="clear" w:color="auto" w:fill="auto"/>
            <w:vAlign w:val="center"/>
          </w:tcPr>
          <w:p w14:paraId="2121CBFF"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1.2-</w:t>
            </w:r>
            <w:r w:rsidRPr="008A2411">
              <w:rPr>
                <w:rFonts w:ascii="Times New Roman"/>
                <w:color w:val="000000" w:themeColor="text1"/>
                <w:spacing w:val="-17"/>
                <w:sz w:val="21"/>
                <w:szCs w:val="21"/>
              </w:rPr>
              <w:t>二氯苯</w:t>
            </w:r>
          </w:p>
        </w:tc>
        <w:tc>
          <w:tcPr>
            <w:tcW w:w="457" w:type="pct"/>
            <w:vAlign w:val="center"/>
          </w:tcPr>
          <w:p w14:paraId="289BAC3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μg/kg</w:t>
            </w:r>
          </w:p>
        </w:tc>
        <w:tc>
          <w:tcPr>
            <w:tcW w:w="687" w:type="pct"/>
            <w:shd w:val="clear" w:color="auto" w:fill="auto"/>
            <w:vAlign w:val="center"/>
          </w:tcPr>
          <w:p w14:paraId="772AD9D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未检出</w:t>
            </w:r>
          </w:p>
        </w:tc>
        <w:tc>
          <w:tcPr>
            <w:tcW w:w="532" w:type="pct"/>
            <w:tcBorders>
              <w:right w:val="single" w:sz="4" w:space="0" w:color="auto"/>
            </w:tcBorders>
            <w:shd w:val="clear" w:color="auto" w:fill="auto"/>
            <w:vAlign w:val="center"/>
          </w:tcPr>
          <w:p w14:paraId="41F3E81B"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560000</w:t>
            </w:r>
          </w:p>
        </w:tc>
        <w:tc>
          <w:tcPr>
            <w:tcW w:w="685" w:type="pct"/>
            <w:tcBorders>
              <w:right w:val="single" w:sz="4" w:space="0" w:color="auto"/>
            </w:tcBorders>
            <w:vAlign w:val="center"/>
          </w:tcPr>
          <w:p w14:paraId="451C31B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458" w:type="pct"/>
            <w:tcBorders>
              <w:right w:val="single" w:sz="4" w:space="0" w:color="auto"/>
            </w:tcBorders>
            <w:vAlign w:val="center"/>
          </w:tcPr>
          <w:p w14:paraId="65AB43F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502" w:type="pct"/>
            <w:tcBorders>
              <w:right w:val="single" w:sz="4" w:space="0" w:color="auto"/>
            </w:tcBorders>
            <w:vAlign w:val="center"/>
          </w:tcPr>
          <w:p w14:paraId="765C484D"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r>
      <w:tr w:rsidR="008A2411" w:rsidRPr="008A2411" w14:paraId="0AE1F5E7" w14:textId="77777777">
        <w:trPr>
          <w:trHeight w:val="176"/>
          <w:jc w:val="center"/>
        </w:trPr>
        <w:tc>
          <w:tcPr>
            <w:tcW w:w="510" w:type="pct"/>
            <w:vMerge/>
            <w:tcBorders>
              <w:left w:val="single" w:sz="4" w:space="0" w:color="auto"/>
            </w:tcBorders>
            <w:vAlign w:val="center"/>
          </w:tcPr>
          <w:p w14:paraId="6060CB4C"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tcBorders>
            <w:shd w:val="clear" w:color="auto" w:fill="auto"/>
            <w:vAlign w:val="center"/>
          </w:tcPr>
          <w:p w14:paraId="7C63FC5F"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苯胺</w:t>
            </w:r>
          </w:p>
        </w:tc>
        <w:tc>
          <w:tcPr>
            <w:tcW w:w="457" w:type="pct"/>
            <w:vAlign w:val="center"/>
          </w:tcPr>
          <w:p w14:paraId="22D5B995"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mg/kg</w:t>
            </w:r>
          </w:p>
        </w:tc>
        <w:tc>
          <w:tcPr>
            <w:tcW w:w="687" w:type="pct"/>
            <w:shd w:val="clear" w:color="auto" w:fill="auto"/>
            <w:vAlign w:val="center"/>
          </w:tcPr>
          <w:p w14:paraId="7C3D405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未检出</w:t>
            </w:r>
          </w:p>
        </w:tc>
        <w:tc>
          <w:tcPr>
            <w:tcW w:w="532" w:type="pct"/>
            <w:tcBorders>
              <w:right w:val="single" w:sz="4" w:space="0" w:color="auto"/>
            </w:tcBorders>
            <w:shd w:val="clear" w:color="auto" w:fill="auto"/>
            <w:vAlign w:val="center"/>
          </w:tcPr>
          <w:p w14:paraId="54DA9183"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260</w:t>
            </w:r>
          </w:p>
        </w:tc>
        <w:tc>
          <w:tcPr>
            <w:tcW w:w="685" w:type="pct"/>
            <w:tcBorders>
              <w:right w:val="single" w:sz="4" w:space="0" w:color="auto"/>
            </w:tcBorders>
            <w:vAlign w:val="center"/>
          </w:tcPr>
          <w:p w14:paraId="600D401B"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458" w:type="pct"/>
            <w:tcBorders>
              <w:right w:val="single" w:sz="4" w:space="0" w:color="auto"/>
            </w:tcBorders>
            <w:vAlign w:val="center"/>
          </w:tcPr>
          <w:p w14:paraId="77612CC3"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502" w:type="pct"/>
            <w:tcBorders>
              <w:right w:val="single" w:sz="4" w:space="0" w:color="auto"/>
            </w:tcBorders>
            <w:vAlign w:val="center"/>
          </w:tcPr>
          <w:p w14:paraId="65FF36B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r>
      <w:tr w:rsidR="008A2411" w:rsidRPr="008A2411" w14:paraId="4F76EFF5" w14:textId="77777777">
        <w:trPr>
          <w:trHeight w:val="176"/>
          <w:jc w:val="center"/>
        </w:trPr>
        <w:tc>
          <w:tcPr>
            <w:tcW w:w="510" w:type="pct"/>
            <w:vMerge/>
            <w:tcBorders>
              <w:left w:val="single" w:sz="4" w:space="0" w:color="auto"/>
            </w:tcBorders>
            <w:vAlign w:val="center"/>
          </w:tcPr>
          <w:p w14:paraId="19A34AFA"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tcBorders>
            <w:shd w:val="clear" w:color="auto" w:fill="auto"/>
            <w:vAlign w:val="center"/>
          </w:tcPr>
          <w:p w14:paraId="28802B2B"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2-</w:t>
            </w:r>
            <w:r w:rsidRPr="008A2411">
              <w:rPr>
                <w:rFonts w:ascii="Times New Roman"/>
                <w:color w:val="000000" w:themeColor="text1"/>
                <w:spacing w:val="-17"/>
                <w:sz w:val="21"/>
                <w:szCs w:val="21"/>
              </w:rPr>
              <w:t>氯酚</w:t>
            </w:r>
          </w:p>
        </w:tc>
        <w:tc>
          <w:tcPr>
            <w:tcW w:w="457" w:type="pct"/>
            <w:vAlign w:val="center"/>
          </w:tcPr>
          <w:p w14:paraId="5804DBF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mg/kg</w:t>
            </w:r>
          </w:p>
        </w:tc>
        <w:tc>
          <w:tcPr>
            <w:tcW w:w="687" w:type="pct"/>
            <w:shd w:val="clear" w:color="auto" w:fill="auto"/>
            <w:vAlign w:val="center"/>
          </w:tcPr>
          <w:p w14:paraId="4D78BB8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未检出</w:t>
            </w:r>
          </w:p>
        </w:tc>
        <w:tc>
          <w:tcPr>
            <w:tcW w:w="532" w:type="pct"/>
            <w:tcBorders>
              <w:right w:val="single" w:sz="4" w:space="0" w:color="auto"/>
            </w:tcBorders>
            <w:shd w:val="clear" w:color="auto" w:fill="auto"/>
            <w:vAlign w:val="center"/>
          </w:tcPr>
          <w:p w14:paraId="2BBDECA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2256</w:t>
            </w:r>
          </w:p>
        </w:tc>
        <w:tc>
          <w:tcPr>
            <w:tcW w:w="685" w:type="pct"/>
            <w:tcBorders>
              <w:right w:val="single" w:sz="4" w:space="0" w:color="auto"/>
            </w:tcBorders>
            <w:vAlign w:val="center"/>
          </w:tcPr>
          <w:p w14:paraId="302B88C6"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458" w:type="pct"/>
            <w:tcBorders>
              <w:right w:val="single" w:sz="4" w:space="0" w:color="auto"/>
            </w:tcBorders>
            <w:vAlign w:val="center"/>
          </w:tcPr>
          <w:p w14:paraId="112AD4D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502" w:type="pct"/>
            <w:tcBorders>
              <w:right w:val="single" w:sz="4" w:space="0" w:color="auto"/>
            </w:tcBorders>
            <w:vAlign w:val="center"/>
          </w:tcPr>
          <w:p w14:paraId="33333B4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r>
      <w:tr w:rsidR="008A2411" w:rsidRPr="008A2411" w14:paraId="003C792D" w14:textId="77777777">
        <w:trPr>
          <w:trHeight w:val="176"/>
          <w:jc w:val="center"/>
        </w:trPr>
        <w:tc>
          <w:tcPr>
            <w:tcW w:w="510" w:type="pct"/>
            <w:vMerge/>
            <w:tcBorders>
              <w:left w:val="single" w:sz="4" w:space="0" w:color="auto"/>
            </w:tcBorders>
            <w:vAlign w:val="center"/>
          </w:tcPr>
          <w:p w14:paraId="20E074EE"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tcBorders>
            <w:shd w:val="clear" w:color="auto" w:fill="auto"/>
            <w:vAlign w:val="center"/>
          </w:tcPr>
          <w:p w14:paraId="5DF289A7"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硝基苯</w:t>
            </w:r>
          </w:p>
        </w:tc>
        <w:tc>
          <w:tcPr>
            <w:tcW w:w="457" w:type="pct"/>
            <w:vAlign w:val="center"/>
          </w:tcPr>
          <w:p w14:paraId="3C97B88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mg/kg</w:t>
            </w:r>
          </w:p>
        </w:tc>
        <w:tc>
          <w:tcPr>
            <w:tcW w:w="687" w:type="pct"/>
            <w:shd w:val="clear" w:color="auto" w:fill="auto"/>
            <w:vAlign w:val="center"/>
          </w:tcPr>
          <w:p w14:paraId="238F5D0D"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未检出</w:t>
            </w:r>
          </w:p>
        </w:tc>
        <w:tc>
          <w:tcPr>
            <w:tcW w:w="532" w:type="pct"/>
            <w:tcBorders>
              <w:right w:val="single" w:sz="4" w:space="0" w:color="auto"/>
            </w:tcBorders>
            <w:shd w:val="clear" w:color="auto" w:fill="auto"/>
            <w:vAlign w:val="center"/>
          </w:tcPr>
          <w:p w14:paraId="4DF18A2C"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76</w:t>
            </w:r>
          </w:p>
        </w:tc>
        <w:tc>
          <w:tcPr>
            <w:tcW w:w="685" w:type="pct"/>
            <w:tcBorders>
              <w:right w:val="single" w:sz="4" w:space="0" w:color="auto"/>
            </w:tcBorders>
            <w:vAlign w:val="center"/>
          </w:tcPr>
          <w:p w14:paraId="464E9AA4"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458" w:type="pct"/>
            <w:tcBorders>
              <w:right w:val="single" w:sz="4" w:space="0" w:color="auto"/>
            </w:tcBorders>
            <w:vAlign w:val="center"/>
          </w:tcPr>
          <w:p w14:paraId="508F6B8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502" w:type="pct"/>
            <w:tcBorders>
              <w:right w:val="single" w:sz="4" w:space="0" w:color="auto"/>
            </w:tcBorders>
            <w:vAlign w:val="center"/>
          </w:tcPr>
          <w:p w14:paraId="291E089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r>
      <w:tr w:rsidR="008A2411" w:rsidRPr="008A2411" w14:paraId="607DF1DE" w14:textId="77777777">
        <w:trPr>
          <w:trHeight w:val="176"/>
          <w:jc w:val="center"/>
        </w:trPr>
        <w:tc>
          <w:tcPr>
            <w:tcW w:w="510" w:type="pct"/>
            <w:vMerge/>
            <w:tcBorders>
              <w:left w:val="single" w:sz="4" w:space="0" w:color="auto"/>
            </w:tcBorders>
            <w:vAlign w:val="center"/>
          </w:tcPr>
          <w:p w14:paraId="2B01718A"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tcBorders>
            <w:shd w:val="clear" w:color="auto" w:fill="auto"/>
            <w:vAlign w:val="center"/>
          </w:tcPr>
          <w:p w14:paraId="716D8BD4" w14:textId="77777777" w:rsidR="00B0005F" w:rsidRPr="008A2411" w:rsidRDefault="00000000">
            <w:pPr>
              <w:jc w:val="center"/>
              <w:rPr>
                <w:rFonts w:ascii="Times New Roman"/>
                <w:color w:val="000000" w:themeColor="text1"/>
                <w:spacing w:val="-17"/>
                <w:sz w:val="21"/>
                <w:szCs w:val="21"/>
              </w:rPr>
            </w:pPr>
            <w:proofErr w:type="gramStart"/>
            <w:r w:rsidRPr="008A2411">
              <w:rPr>
                <w:rFonts w:ascii="Times New Roman"/>
                <w:color w:val="000000" w:themeColor="text1"/>
                <w:spacing w:val="-17"/>
                <w:sz w:val="21"/>
                <w:szCs w:val="21"/>
              </w:rPr>
              <w:t>萘</w:t>
            </w:r>
            <w:proofErr w:type="gramEnd"/>
          </w:p>
        </w:tc>
        <w:tc>
          <w:tcPr>
            <w:tcW w:w="457" w:type="pct"/>
            <w:vAlign w:val="center"/>
          </w:tcPr>
          <w:p w14:paraId="129A444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mg/kg</w:t>
            </w:r>
          </w:p>
        </w:tc>
        <w:tc>
          <w:tcPr>
            <w:tcW w:w="687" w:type="pct"/>
            <w:shd w:val="clear" w:color="auto" w:fill="auto"/>
            <w:vAlign w:val="center"/>
          </w:tcPr>
          <w:p w14:paraId="433AC9E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未检出</w:t>
            </w:r>
          </w:p>
        </w:tc>
        <w:tc>
          <w:tcPr>
            <w:tcW w:w="532" w:type="pct"/>
            <w:tcBorders>
              <w:right w:val="single" w:sz="4" w:space="0" w:color="auto"/>
            </w:tcBorders>
            <w:shd w:val="clear" w:color="auto" w:fill="auto"/>
            <w:vAlign w:val="center"/>
          </w:tcPr>
          <w:p w14:paraId="415FDEBC"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70</w:t>
            </w:r>
          </w:p>
        </w:tc>
        <w:tc>
          <w:tcPr>
            <w:tcW w:w="685" w:type="pct"/>
            <w:tcBorders>
              <w:right w:val="single" w:sz="4" w:space="0" w:color="auto"/>
            </w:tcBorders>
            <w:vAlign w:val="center"/>
          </w:tcPr>
          <w:p w14:paraId="15F0A0E6"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458" w:type="pct"/>
            <w:tcBorders>
              <w:right w:val="single" w:sz="4" w:space="0" w:color="auto"/>
            </w:tcBorders>
            <w:vAlign w:val="center"/>
          </w:tcPr>
          <w:p w14:paraId="4B595FC9"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502" w:type="pct"/>
            <w:tcBorders>
              <w:right w:val="single" w:sz="4" w:space="0" w:color="auto"/>
            </w:tcBorders>
            <w:vAlign w:val="center"/>
          </w:tcPr>
          <w:p w14:paraId="3EBC7FC1"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r>
      <w:tr w:rsidR="008A2411" w:rsidRPr="008A2411" w14:paraId="46920064" w14:textId="77777777">
        <w:trPr>
          <w:trHeight w:val="176"/>
          <w:jc w:val="center"/>
        </w:trPr>
        <w:tc>
          <w:tcPr>
            <w:tcW w:w="510" w:type="pct"/>
            <w:vMerge/>
            <w:tcBorders>
              <w:left w:val="single" w:sz="4" w:space="0" w:color="auto"/>
            </w:tcBorders>
            <w:vAlign w:val="center"/>
          </w:tcPr>
          <w:p w14:paraId="5AB4BAEC"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tcBorders>
            <w:shd w:val="clear" w:color="auto" w:fill="auto"/>
            <w:vAlign w:val="center"/>
          </w:tcPr>
          <w:p w14:paraId="6273D170"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苯并（</w:t>
            </w:r>
            <w:r w:rsidRPr="008A2411">
              <w:rPr>
                <w:rFonts w:ascii="Times New Roman"/>
                <w:color w:val="000000" w:themeColor="text1"/>
                <w:spacing w:val="-17"/>
                <w:sz w:val="21"/>
                <w:szCs w:val="21"/>
              </w:rPr>
              <w:t>a</w:t>
            </w:r>
            <w:r w:rsidRPr="008A2411">
              <w:rPr>
                <w:rFonts w:ascii="Times New Roman"/>
                <w:color w:val="000000" w:themeColor="text1"/>
                <w:spacing w:val="-17"/>
                <w:sz w:val="21"/>
                <w:szCs w:val="21"/>
              </w:rPr>
              <w:t>）</w:t>
            </w:r>
            <w:proofErr w:type="gramStart"/>
            <w:r w:rsidRPr="008A2411">
              <w:rPr>
                <w:rFonts w:ascii="Times New Roman"/>
                <w:color w:val="000000" w:themeColor="text1"/>
                <w:spacing w:val="-17"/>
                <w:sz w:val="21"/>
                <w:szCs w:val="21"/>
              </w:rPr>
              <w:t>蒽</w:t>
            </w:r>
            <w:proofErr w:type="gramEnd"/>
          </w:p>
        </w:tc>
        <w:tc>
          <w:tcPr>
            <w:tcW w:w="457" w:type="pct"/>
            <w:vAlign w:val="center"/>
          </w:tcPr>
          <w:p w14:paraId="1036B08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mg/kg</w:t>
            </w:r>
          </w:p>
        </w:tc>
        <w:tc>
          <w:tcPr>
            <w:tcW w:w="687" w:type="pct"/>
            <w:shd w:val="clear" w:color="auto" w:fill="auto"/>
            <w:vAlign w:val="center"/>
          </w:tcPr>
          <w:p w14:paraId="1D1DC6D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未检出</w:t>
            </w:r>
          </w:p>
        </w:tc>
        <w:tc>
          <w:tcPr>
            <w:tcW w:w="532" w:type="pct"/>
            <w:tcBorders>
              <w:right w:val="single" w:sz="4" w:space="0" w:color="auto"/>
            </w:tcBorders>
            <w:shd w:val="clear" w:color="auto" w:fill="auto"/>
            <w:vAlign w:val="center"/>
          </w:tcPr>
          <w:p w14:paraId="1A60E8C4"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15</w:t>
            </w:r>
          </w:p>
        </w:tc>
        <w:tc>
          <w:tcPr>
            <w:tcW w:w="685" w:type="pct"/>
            <w:tcBorders>
              <w:right w:val="single" w:sz="4" w:space="0" w:color="auto"/>
            </w:tcBorders>
            <w:vAlign w:val="center"/>
          </w:tcPr>
          <w:p w14:paraId="12CE5A7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458" w:type="pct"/>
            <w:tcBorders>
              <w:right w:val="single" w:sz="4" w:space="0" w:color="auto"/>
            </w:tcBorders>
            <w:vAlign w:val="center"/>
          </w:tcPr>
          <w:p w14:paraId="1170F746"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502" w:type="pct"/>
            <w:tcBorders>
              <w:right w:val="single" w:sz="4" w:space="0" w:color="auto"/>
            </w:tcBorders>
            <w:vAlign w:val="center"/>
          </w:tcPr>
          <w:p w14:paraId="35CAF7D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r>
      <w:tr w:rsidR="008A2411" w:rsidRPr="008A2411" w14:paraId="54106456" w14:textId="77777777">
        <w:trPr>
          <w:trHeight w:val="176"/>
          <w:jc w:val="center"/>
        </w:trPr>
        <w:tc>
          <w:tcPr>
            <w:tcW w:w="510" w:type="pct"/>
            <w:vMerge/>
            <w:tcBorders>
              <w:left w:val="single" w:sz="4" w:space="0" w:color="auto"/>
            </w:tcBorders>
            <w:vAlign w:val="center"/>
          </w:tcPr>
          <w:p w14:paraId="6A25D2A5"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tcBorders>
            <w:shd w:val="clear" w:color="auto" w:fill="auto"/>
            <w:vAlign w:val="center"/>
          </w:tcPr>
          <w:p w14:paraId="480EE75F"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䓛</w:t>
            </w:r>
          </w:p>
        </w:tc>
        <w:tc>
          <w:tcPr>
            <w:tcW w:w="457" w:type="pct"/>
            <w:vAlign w:val="center"/>
          </w:tcPr>
          <w:p w14:paraId="7ECF02C5"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mg/kg</w:t>
            </w:r>
          </w:p>
        </w:tc>
        <w:tc>
          <w:tcPr>
            <w:tcW w:w="687" w:type="pct"/>
            <w:shd w:val="clear" w:color="auto" w:fill="auto"/>
            <w:vAlign w:val="center"/>
          </w:tcPr>
          <w:p w14:paraId="66AA48E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未检出</w:t>
            </w:r>
          </w:p>
        </w:tc>
        <w:tc>
          <w:tcPr>
            <w:tcW w:w="532" w:type="pct"/>
            <w:tcBorders>
              <w:right w:val="single" w:sz="4" w:space="0" w:color="auto"/>
            </w:tcBorders>
            <w:shd w:val="clear" w:color="auto" w:fill="auto"/>
            <w:vAlign w:val="center"/>
          </w:tcPr>
          <w:p w14:paraId="2DBBEA89"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1293</w:t>
            </w:r>
          </w:p>
        </w:tc>
        <w:tc>
          <w:tcPr>
            <w:tcW w:w="685" w:type="pct"/>
            <w:tcBorders>
              <w:right w:val="single" w:sz="4" w:space="0" w:color="auto"/>
            </w:tcBorders>
            <w:vAlign w:val="center"/>
          </w:tcPr>
          <w:p w14:paraId="1D21661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458" w:type="pct"/>
            <w:tcBorders>
              <w:right w:val="single" w:sz="4" w:space="0" w:color="auto"/>
            </w:tcBorders>
            <w:vAlign w:val="center"/>
          </w:tcPr>
          <w:p w14:paraId="25560514"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502" w:type="pct"/>
            <w:tcBorders>
              <w:right w:val="single" w:sz="4" w:space="0" w:color="auto"/>
            </w:tcBorders>
            <w:vAlign w:val="center"/>
          </w:tcPr>
          <w:p w14:paraId="700D94B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r>
      <w:tr w:rsidR="008A2411" w:rsidRPr="008A2411" w14:paraId="11B57131" w14:textId="77777777">
        <w:trPr>
          <w:trHeight w:val="176"/>
          <w:jc w:val="center"/>
        </w:trPr>
        <w:tc>
          <w:tcPr>
            <w:tcW w:w="510" w:type="pct"/>
            <w:vMerge/>
            <w:tcBorders>
              <w:left w:val="single" w:sz="4" w:space="0" w:color="auto"/>
            </w:tcBorders>
            <w:vAlign w:val="center"/>
          </w:tcPr>
          <w:p w14:paraId="13E62850"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tcBorders>
            <w:shd w:val="clear" w:color="auto" w:fill="auto"/>
            <w:vAlign w:val="center"/>
          </w:tcPr>
          <w:p w14:paraId="7FA53C35"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苯并（</w:t>
            </w:r>
            <w:r w:rsidRPr="008A2411">
              <w:rPr>
                <w:rFonts w:ascii="Times New Roman"/>
                <w:color w:val="000000" w:themeColor="text1"/>
                <w:spacing w:val="-17"/>
                <w:sz w:val="21"/>
                <w:szCs w:val="21"/>
              </w:rPr>
              <w:t>b</w:t>
            </w:r>
            <w:r w:rsidRPr="008A2411">
              <w:rPr>
                <w:rFonts w:ascii="Times New Roman"/>
                <w:color w:val="000000" w:themeColor="text1"/>
                <w:spacing w:val="-17"/>
                <w:sz w:val="21"/>
                <w:szCs w:val="21"/>
              </w:rPr>
              <w:t>）</w:t>
            </w:r>
            <w:proofErr w:type="gramStart"/>
            <w:r w:rsidRPr="008A2411">
              <w:rPr>
                <w:rFonts w:ascii="Times New Roman"/>
                <w:color w:val="000000" w:themeColor="text1"/>
                <w:spacing w:val="-17"/>
                <w:sz w:val="21"/>
                <w:szCs w:val="21"/>
              </w:rPr>
              <w:t>荧蒽</w:t>
            </w:r>
            <w:proofErr w:type="gramEnd"/>
          </w:p>
        </w:tc>
        <w:tc>
          <w:tcPr>
            <w:tcW w:w="457" w:type="pct"/>
            <w:vAlign w:val="center"/>
          </w:tcPr>
          <w:p w14:paraId="0103B17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mg/kg</w:t>
            </w:r>
          </w:p>
        </w:tc>
        <w:tc>
          <w:tcPr>
            <w:tcW w:w="687" w:type="pct"/>
            <w:shd w:val="clear" w:color="auto" w:fill="auto"/>
            <w:vAlign w:val="center"/>
          </w:tcPr>
          <w:p w14:paraId="05BC17F2"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未检出</w:t>
            </w:r>
          </w:p>
        </w:tc>
        <w:tc>
          <w:tcPr>
            <w:tcW w:w="532" w:type="pct"/>
            <w:tcBorders>
              <w:right w:val="single" w:sz="4" w:space="0" w:color="auto"/>
            </w:tcBorders>
            <w:shd w:val="clear" w:color="auto" w:fill="auto"/>
            <w:vAlign w:val="center"/>
          </w:tcPr>
          <w:p w14:paraId="1BEF601B"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15</w:t>
            </w:r>
          </w:p>
        </w:tc>
        <w:tc>
          <w:tcPr>
            <w:tcW w:w="685" w:type="pct"/>
            <w:tcBorders>
              <w:right w:val="single" w:sz="4" w:space="0" w:color="auto"/>
            </w:tcBorders>
            <w:vAlign w:val="center"/>
          </w:tcPr>
          <w:p w14:paraId="4946ABD4"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458" w:type="pct"/>
            <w:tcBorders>
              <w:right w:val="single" w:sz="4" w:space="0" w:color="auto"/>
            </w:tcBorders>
            <w:vAlign w:val="center"/>
          </w:tcPr>
          <w:p w14:paraId="373AD186"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502" w:type="pct"/>
            <w:tcBorders>
              <w:right w:val="single" w:sz="4" w:space="0" w:color="auto"/>
            </w:tcBorders>
            <w:vAlign w:val="center"/>
          </w:tcPr>
          <w:p w14:paraId="6684DA3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r>
      <w:tr w:rsidR="008A2411" w:rsidRPr="008A2411" w14:paraId="715F23F6" w14:textId="77777777">
        <w:trPr>
          <w:trHeight w:val="176"/>
          <w:jc w:val="center"/>
        </w:trPr>
        <w:tc>
          <w:tcPr>
            <w:tcW w:w="510" w:type="pct"/>
            <w:vMerge/>
            <w:tcBorders>
              <w:left w:val="single" w:sz="4" w:space="0" w:color="auto"/>
            </w:tcBorders>
            <w:vAlign w:val="center"/>
          </w:tcPr>
          <w:p w14:paraId="78C41128"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bottom w:val="single" w:sz="4" w:space="0" w:color="auto"/>
            </w:tcBorders>
            <w:shd w:val="clear" w:color="auto" w:fill="auto"/>
            <w:vAlign w:val="center"/>
          </w:tcPr>
          <w:p w14:paraId="14D319C1"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苯并（</w:t>
            </w:r>
            <w:r w:rsidRPr="008A2411">
              <w:rPr>
                <w:rFonts w:ascii="Times New Roman"/>
                <w:color w:val="000000" w:themeColor="text1"/>
                <w:spacing w:val="-17"/>
                <w:sz w:val="21"/>
                <w:szCs w:val="21"/>
              </w:rPr>
              <w:t>k</w:t>
            </w:r>
            <w:r w:rsidRPr="008A2411">
              <w:rPr>
                <w:rFonts w:ascii="Times New Roman"/>
                <w:color w:val="000000" w:themeColor="text1"/>
                <w:spacing w:val="-17"/>
                <w:sz w:val="21"/>
                <w:szCs w:val="21"/>
              </w:rPr>
              <w:t>）</w:t>
            </w:r>
            <w:proofErr w:type="gramStart"/>
            <w:r w:rsidRPr="008A2411">
              <w:rPr>
                <w:rFonts w:ascii="Times New Roman"/>
                <w:color w:val="000000" w:themeColor="text1"/>
                <w:spacing w:val="-17"/>
                <w:sz w:val="21"/>
                <w:szCs w:val="21"/>
              </w:rPr>
              <w:t>荧蒽</w:t>
            </w:r>
            <w:proofErr w:type="gramEnd"/>
          </w:p>
        </w:tc>
        <w:tc>
          <w:tcPr>
            <w:tcW w:w="457" w:type="pct"/>
            <w:tcBorders>
              <w:bottom w:val="single" w:sz="4" w:space="0" w:color="auto"/>
            </w:tcBorders>
            <w:vAlign w:val="center"/>
          </w:tcPr>
          <w:p w14:paraId="018FBC1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mg/kg</w:t>
            </w:r>
          </w:p>
        </w:tc>
        <w:tc>
          <w:tcPr>
            <w:tcW w:w="687" w:type="pct"/>
            <w:tcBorders>
              <w:bottom w:val="single" w:sz="4" w:space="0" w:color="auto"/>
            </w:tcBorders>
            <w:shd w:val="clear" w:color="auto" w:fill="auto"/>
            <w:vAlign w:val="center"/>
          </w:tcPr>
          <w:p w14:paraId="022F499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未检出</w:t>
            </w:r>
          </w:p>
        </w:tc>
        <w:tc>
          <w:tcPr>
            <w:tcW w:w="532" w:type="pct"/>
            <w:tcBorders>
              <w:bottom w:val="single" w:sz="4" w:space="0" w:color="auto"/>
              <w:right w:val="single" w:sz="4" w:space="0" w:color="auto"/>
            </w:tcBorders>
            <w:shd w:val="clear" w:color="auto" w:fill="auto"/>
            <w:vAlign w:val="center"/>
          </w:tcPr>
          <w:p w14:paraId="6B272F7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151</w:t>
            </w:r>
          </w:p>
        </w:tc>
        <w:tc>
          <w:tcPr>
            <w:tcW w:w="685" w:type="pct"/>
            <w:tcBorders>
              <w:bottom w:val="single" w:sz="4" w:space="0" w:color="auto"/>
              <w:right w:val="single" w:sz="4" w:space="0" w:color="auto"/>
            </w:tcBorders>
            <w:vAlign w:val="center"/>
          </w:tcPr>
          <w:p w14:paraId="59561A53"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458" w:type="pct"/>
            <w:tcBorders>
              <w:bottom w:val="single" w:sz="4" w:space="0" w:color="auto"/>
              <w:right w:val="single" w:sz="4" w:space="0" w:color="auto"/>
            </w:tcBorders>
            <w:vAlign w:val="center"/>
          </w:tcPr>
          <w:p w14:paraId="573CC52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502" w:type="pct"/>
            <w:tcBorders>
              <w:bottom w:val="single" w:sz="4" w:space="0" w:color="auto"/>
              <w:right w:val="single" w:sz="4" w:space="0" w:color="auto"/>
            </w:tcBorders>
            <w:vAlign w:val="center"/>
          </w:tcPr>
          <w:p w14:paraId="5163812B"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r>
      <w:tr w:rsidR="008A2411" w:rsidRPr="008A2411" w14:paraId="6C099884" w14:textId="77777777">
        <w:trPr>
          <w:trHeight w:val="176"/>
          <w:jc w:val="center"/>
        </w:trPr>
        <w:tc>
          <w:tcPr>
            <w:tcW w:w="510" w:type="pct"/>
            <w:vMerge/>
            <w:tcBorders>
              <w:left w:val="single" w:sz="4" w:space="0" w:color="auto"/>
            </w:tcBorders>
            <w:vAlign w:val="center"/>
          </w:tcPr>
          <w:p w14:paraId="69F3904C"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bottom w:val="single" w:sz="4" w:space="0" w:color="auto"/>
            </w:tcBorders>
            <w:shd w:val="clear" w:color="auto" w:fill="auto"/>
            <w:vAlign w:val="center"/>
          </w:tcPr>
          <w:p w14:paraId="3FF39E3C"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苯并（</w:t>
            </w:r>
            <w:r w:rsidRPr="008A2411">
              <w:rPr>
                <w:rFonts w:ascii="Times New Roman"/>
                <w:color w:val="000000" w:themeColor="text1"/>
                <w:spacing w:val="-17"/>
                <w:sz w:val="21"/>
                <w:szCs w:val="21"/>
              </w:rPr>
              <w:t>a</w:t>
            </w:r>
            <w:r w:rsidRPr="008A2411">
              <w:rPr>
                <w:rFonts w:ascii="Times New Roman"/>
                <w:color w:val="000000" w:themeColor="text1"/>
                <w:spacing w:val="-17"/>
                <w:sz w:val="21"/>
                <w:szCs w:val="21"/>
              </w:rPr>
              <w:t>）</w:t>
            </w:r>
            <w:proofErr w:type="gramStart"/>
            <w:r w:rsidRPr="008A2411">
              <w:rPr>
                <w:rFonts w:ascii="Times New Roman"/>
                <w:color w:val="000000" w:themeColor="text1"/>
                <w:spacing w:val="-17"/>
                <w:sz w:val="21"/>
                <w:szCs w:val="21"/>
              </w:rPr>
              <w:t>芘</w:t>
            </w:r>
            <w:proofErr w:type="gramEnd"/>
          </w:p>
        </w:tc>
        <w:tc>
          <w:tcPr>
            <w:tcW w:w="457" w:type="pct"/>
            <w:tcBorders>
              <w:bottom w:val="single" w:sz="4" w:space="0" w:color="auto"/>
            </w:tcBorders>
            <w:vAlign w:val="center"/>
          </w:tcPr>
          <w:p w14:paraId="000A297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mg/kg</w:t>
            </w:r>
          </w:p>
        </w:tc>
        <w:tc>
          <w:tcPr>
            <w:tcW w:w="687" w:type="pct"/>
            <w:tcBorders>
              <w:bottom w:val="single" w:sz="4" w:space="0" w:color="auto"/>
            </w:tcBorders>
            <w:shd w:val="clear" w:color="auto" w:fill="auto"/>
            <w:vAlign w:val="center"/>
          </w:tcPr>
          <w:p w14:paraId="20E62AAD"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未检出</w:t>
            </w:r>
          </w:p>
        </w:tc>
        <w:tc>
          <w:tcPr>
            <w:tcW w:w="532" w:type="pct"/>
            <w:tcBorders>
              <w:bottom w:val="single" w:sz="4" w:space="0" w:color="auto"/>
              <w:right w:val="single" w:sz="4" w:space="0" w:color="auto"/>
            </w:tcBorders>
            <w:shd w:val="clear" w:color="auto" w:fill="auto"/>
            <w:vAlign w:val="center"/>
          </w:tcPr>
          <w:p w14:paraId="3900044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1.5</w:t>
            </w:r>
          </w:p>
        </w:tc>
        <w:tc>
          <w:tcPr>
            <w:tcW w:w="685" w:type="pct"/>
            <w:tcBorders>
              <w:bottom w:val="single" w:sz="4" w:space="0" w:color="auto"/>
              <w:right w:val="single" w:sz="4" w:space="0" w:color="auto"/>
            </w:tcBorders>
            <w:vAlign w:val="center"/>
          </w:tcPr>
          <w:p w14:paraId="50B08EE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458" w:type="pct"/>
            <w:tcBorders>
              <w:bottom w:val="single" w:sz="4" w:space="0" w:color="auto"/>
              <w:right w:val="single" w:sz="4" w:space="0" w:color="auto"/>
            </w:tcBorders>
            <w:vAlign w:val="center"/>
          </w:tcPr>
          <w:p w14:paraId="20660FFA"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502" w:type="pct"/>
            <w:tcBorders>
              <w:bottom w:val="single" w:sz="4" w:space="0" w:color="auto"/>
              <w:right w:val="single" w:sz="4" w:space="0" w:color="auto"/>
            </w:tcBorders>
            <w:vAlign w:val="center"/>
          </w:tcPr>
          <w:p w14:paraId="067FB32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r>
      <w:tr w:rsidR="008A2411" w:rsidRPr="008A2411" w14:paraId="640B25B9" w14:textId="77777777">
        <w:trPr>
          <w:trHeight w:val="176"/>
          <w:jc w:val="center"/>
        </w:trPr>
        <w:tc>
          <w:tcPr>
            <w:tcW w:w="510" w:type="pct"/>
            <w:vMerge/>
            <w:tcBorders>
              <w:left w:val="single" w:sz="4" w:space="0" w:color="auto"/>
            </w:tcBorders>
            <w:vAlign w:val="center"/>
          </w:tcPr>
          <w:p w14:paraId="472CF19F"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bottom w:val="single" w:sz="4" w:space="0" w:color="auto"/>
            </w:tcBorders>
            <w:shd w:val="clear" w:color="auto" w:fill="auto"/>
            <w:vAlign w:val="center"/>
          </w:tcPr>
          <w:p w14:paraId="223E295F" w14:textId="77777777" w:rsidR="00B0005F" w:rsidRPr="008A2411" w:rsidRDefault="00000000">
            <w:pPr>
              <w:jc w:val="center"/>
              <w:rPr>
                <w:rFonts w:ascii="Times New Roman"/>
                <w:color w:val="000000" w:themeColor="text1"/>
                <w:spacing w:val="-17"/>
                <w:sz w:val="21"/>
                <w:szCs w:val="21"/>
              </w:rPr>
            </w:pPr>
            <w:proofErr w:type="gramStart"/>
            <w:r w:rsidRPr="008A2411">
              <w:rPr>
                <w:rFonts w:ascii="Times New Roman"/>
                <w:color w:val="000000" w:themeColor="text1"/>
                <w:spacing w:val="-17"/>
                <w:sz w:val="21"/>
                <w:szCs w:val="21"/>
              </w:rPr>
              <w:t>茚</w:t>
            </w:r>
            <w:proofErr w:type="gramEnd"/>
            <w:r w:rsidRPr="008A2411">
              <w:rPr>
                <w:rFonts w:ascii="Times New Roman"/>
                <w:color w:val="000000" w:themeColor="text1"/>
                <w:spacing w:val="-17"/>
                <w:sz w:val="21"/>
                <w:szCs w:val="21"/>
              </w:rPr>
              <w:t>并（</w:t>
            </w:r>
            <w:r w:rsidRPr="008A2411">
              <w:rPr>
                <w:rFonts w:ascii="Times New Roman"/>
                <w:color w:val="000000" w:themeColor="text1"/>
                <w:spacing w:val="-17"/>
                <w:sz w:val="21"/>
                <w:szCs w:val="21"/>
              </w:rPr>
              <w:t>1,2,3-cd</w:t>
            </w:r>
            <w:r w:rsidRPr="008A2411">
              <w:rPr>
                <w:rFonts w:ascii="Times New Roman"/>
                <w:color w:val="000000" w:themeColor="text1"/>
                <w:spacing w:val="-17"/>
                <w:sz w:val="21"/>
                <w:szCs w:val="21"/>
              </w:rPr>
              <w:t>）</w:t>
            </w:r>
            <w:proofErr w:type="gramStart"/>
            <w:r w:rsidRPr="008A2411">
              <w:rPr>
                <w:rFonts w:ascii="Times New Roman"/>
                <w:color w:val="000000" w:themeColor="text1"/>
                <w:spacing w:val="-17"/>
                <w:sz w:val="21"/>
                <w:szCs w:val="21"/>
              </w:rPr>
              <w:t>芘</w:t>
            </w:r>
            <w:proofErr w:type="gramEnd"/>
          </w:p>
        </w:tc>
        <w:tc>
          <w:tcPr>
            <w:tcW w:w="457" w:type="pct"/>
            <w:tcBorders>
              <w:bottom w:val="single" w:sz="4" w:space="0" w:color="auto"/>
            </w:tcBorders>
            <w:vAlign w:val="center"/>
          </w:tcPr>
          <w:p w14:paraId="45C5D55D"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mg/kg</w:t>
            </w:r>
          </w:p>
        </w:tc>
        <w:tc>
          <w:tcPr>
            <w:tcW w:w="687" w:type="pct"/>
            <w:tcBorders>
              <w:bottom w:val="single" w:sz="4" w:space="0" w:color="auto"/>
            </w:tcBorders>
            <w:shd w:val="clear" w:color="auto" w:fill="auto"/>
            <w:vAlign w:val="center"/>
          </w:tcPr>
          <w:p w14:paraId="51971EE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未检出</w:t>
            </w:r>
          </w:p>
        </w:tc>
        <w:tc>
          <w:tcPr>
            <w:tcW w:w="532" w:type="pct"/>
            <w:tcBorders>
              <w:bottom w:val="single" w:sz="4" w:space="0" w:color="auto"/>
              <w:right w:val="single" w:sz="4" w:space="0" w:color="auto"/>
            </w:tcBorders>
            <w:shd w:val="clear" w:color="auto" w:fill="auto"/>
            <w:vAlign w:val="center"/>
          </w:tcPr>
          <w:p w14:paraId="2D8AA1F9"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15</w:t>
            </w:r>
          </w:p>
        </w:tc>
        <w:tc>
          <w:tcPr>
            <w:tcW w:w="685" w:type="pct"/>
            <w:tcBorders>
              <w:bottom w:val="single" w:sz="4" w:space="0" w:color="auto"/>
              <w:right w:val="single" w:sz="4" w:space="0" w:color="auto"/>
            </w:tcBorders>
            <w:vAlign w:val="center"/>
          </w:tcPr>
          <w:p w14:paraId="3A749D8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458" w:type="pct"/>
            <w:tcBorders>
              <w:bottom w:val="single" w:sz="4" w:space="0" w:color="auto"/>
              <w:right w:val="single" w:sz="4" w:space="0" w:color="auto"/>
            </w:tcBorders>
            <w:vAlign w:val="center"/>
          </w:tcPr>
          <w:p w14:paraId="26CD311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502" w:type="pct"/>
            <w:tcBorders>
              <w:bottom w:val="single" w:sz="4" w:space="0" w:color="auto"/>
              <w:right w:val="single" w:sz="4" w:space="0" w:color="auto"/>
            </w:tcBorders>
            <w:vAlign w:val="center"/>
          </w:tcPr>
          <w:p w14:paraId="28E13DC3"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r>
      <w:tr w:rsidR="008A2411" w:rsidRPr="008A2411" w14:paraId="3972C158" w14:textId="77777777">
        <w:trPr>
          <w:trHeight w:val="176"/>
          <w:jc w:val="center"/>
        </w:trPr>
        <w:tc>
          <w:tcPr>
            <w:tcW w:w="510" w:type="pct"/>
            <w:vMerge/>
            <w:tcBorders>
              <w:left w:val="single" w:sz="4" w:space="0" w:color="auto"/>
            </w:tcBorders>
            <w:vAlign w:val="center"/>
          </w:tcPr>
          <w:p w14:paraId="1AB319C7"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tcBorders>
            <w:shd w:val="clear" w:color="auto" w:fill="auto"/>
            <w:vAlign w:val="center"/>
          </w:tcPr>
          <w:p w14:paraId="63F0AC86"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二苯并（</w:t>
            </w:r>
            <w:r w:rsidRPr="008A2411">
              <w:rPr>
                <w:rFonts w:ascii="Times New Roman"/>
                <w:color w:val="000000" w:themeColor="text1"/>
                <w:spacing w:val="-17"/>
                <w:sz w:val="21"/>
                <w:szCs w:val="21"/>
              </w:rPr>
              <w:t>a,h</w:t>
            </w:r>
            <w:r w:rsidRPr="008A2411">
              <w:rPr>
                <w:rFonts w:ascii="Times New Roman"/>
                <w:color w:val="000000" w:themeColor="text1"/>
                <w:spacing w:val="-17"/>
                <w:sz w:val="21"/>
                <w:szCs w:val="21"/>
              </w:rPr>
              <w:t>）</w:t>
            </w:r>
            <w:proofErr w:type="gramStart"/>
            <w:r w:rsidRPr="008A2411">
              <w:rPr>
                <w:rFonts w:ascii="Times New Roman"/>
                <w:color w:val="000000" w:themeColor="text1"/>
                <w:spacing w:val="-17"/>
                <w:sz w:val="21"/>
                <w:szCs w:val="21"/>
              </w:rPr>
              <w:t>蒽</w:t>
            </w:r>
            <w:proofErr w:type="gramEnd"/>
          </w:p>
        </w:tc>
        <w:tc>
          <w:tcPr>
            <w:tcW w:w="457" w:type="pct"/>
            <w:vAlign w:val="center"/>
          </w:tcPr>
          <w:p w14:paraId="23178A97"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mg/kg</w:t>
            </w:r>
          </w:p>
        </w:tc>
        <w:tc>
          <w:tcPr>
            <w:tcW w:w="687" w:type="pct"/>
            <w:shd w:val="clear" w:color="auto" w:fill="auto"/>
            <w:vAlign w:val="center"/>
          </w:tcPr>
          <w:p w14:paraId="592C8AA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未检出</w:t>
            </w:r>
          </w:p>
        </w:tc>
        <w:tc>
          <w:tcPr>
            <w:tcW w:w="532" w:type="pct"/>
            <w:tcBorders>
              <w:right w:val="single" w:sz="4" w:space="0" w:color="auto"/>
            </w:tcBorders>
            <w:shd w:val="clear" w:color="auto" w:fill="auto"/>
            <w:vAlign w:val="center"/>
          </w:tcPr>
          <w:p w14:paraId="1CCF698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1.5</w:t>
            </w:r>
          </w:p>
        </w:tc>
        <w:tc>
          <w:tcPr>
            <w:tcW w:w="685" w:type="pct"/>
            <w:tcBorders>
              <w:right w:val="single" w:sz="4" w:space="0" w:color="auto"/>
            </w:tcBorders>
            <w:vAlign w:val="center"/>
          </w:tcPr>
          <w:p w14:paraId="5C0F4EFB"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458" w:type="pct"/>
            <w:tcBorders>
              <w:right w:val="single" w:sz="4" w:space="0" w:color="auto"/>
            </w:tcBorders>
            <w:vAlign w:val="center"/>
          </w:tcPr>
          <w:p w14:paraId="5255DA36"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502" w:type="pct"/>
            <w:tcBorders>
              <w:right w:val="single" w:sz="4" w:space="0" w:color="auto"/>
            </w:tcBorders>
            <w:vAlign w:val="center"/>
          </w:tcPr>
          <w:p w14:paraId="42A11A17"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r>
      <w:tr w:rsidR="008A2411" w:rsidRPr="008A2411" w14:paraId="046AAB57" w14:textId="77777777">
        <w:trPr>
          <w:trHeight w:val="176"/>
          <w:jc w:val="center"/>
        </w:trPr>
        <w:tc>
          <w:tcPr>
            <w:tcW w:w="510" w:type="pct"/>
            <w:vMerge/>
            <w:tcBorders>
              <w:left w:val="single" w:sz="4" w:space="0" w:color="auto"/>
            </w:tcBorders>
            <w:vAlign w:val="center"/>
          </w:tcPr>
          <w:p w14:paraId="02701069"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tcBorders>
            <w:shd w:val="clear" w:color="auto" w:fill="auto"/>
            <w:vAlign w:val="center"/>
          </w:tcPr>
          <w:p w14:paraId="20322B8B" w14:textId="77777777" w:rsidR="00B0005F" w:rsidRPr="008A2411" w:rsidRDefault="00000000">
            <w:pPr>
              <w:jc w:val="center"/>
              <w:rPr>
                <w:rFonts w:ascii="Times New Roman"/>
                <w:color w:val="000000" w:themeColor="text1"/>
                <w:spacing w:val="-17"/>
                <w:sz w:val="21"/>
                <w:szCs w:val="21"/>
              </w:rPr>
            </w:pPr>
            <w:r w:rsidRPr="008A2411">
              <w:rPr>
                <w:rFonts w:ascii="Times New Roman"/>
                <w:bCs/>
                <w:color w:val="000000" w:themeColor="text1"/>
                <w:sz w:val="21"/>
                <w:szCs w:val="21"/>
              </w:rPr>
              <w:t>石油烃（</w:t>
            </w:r>
            <w:r w:rsidRPr="008A2411">
              <w:rPr>
                <w:rFonts w:ascii="Times New Roman"/>
                <w:bCs/>
                <w:color w:val="000000" w:themeColor="text1"/>
                <w:sz w:val="21"/>
                <w:szCs w:val="21"/>
              </w:rPr>
              <w:t>C</w:t>
            </w:r>
            <w:r w:rsidRPr="008A2411">
              <w:rPr>
                <w:rFonts w:ascii="Times New Roman"/>
                <w:bCs/>
                <w:color w:val="000000" w:themeColor="text1"/>
                <w:sz w:val="21"/>
                <w:szCs w:val="21"/>
                <w:vertAlign w:val="subscript"/>
              </w:rPr>
              <w:t>10</w:t>
            </w:r>
            <w:r w:rsidRPr="008A2411">
              <w:rPr>
                <w:rFonts w:ascii="Times New Roman"/>
                <w:bCs/>
                <w:color w:val="000000" w:themeColor="text1"/>
                <w:sz w:val="21"/>
                <w:szCs w:val="21"/>
              </w:rPr>
              <w:t>~C</w:t>
            </w:r>
            <w:r w:rsidRPr="008A2411">
              <w:rPr>
                <w:rFonts w:ascii="Times New Roman"/>
                <w:bCs/>
                <w:color w:val="000000" w:themeColor="text1"/>
                <w:sz w:val="21"/>
                <w:szCs w:val="21"/>
                <w:vertAlign w:val="subscript"/>
              </w:rPr>
              <w:t>40</w:t>
            </w:r>
            <w:r w:rsidRPr="008A2411">
              <w:rPr>
                <w:rFonts w:ascii="Times New Roman"/>
                <w:bCs/>
                <w:color w:val="000000" w:themeColor="text1"/>
                <w:sz w:val="21"/>
                <w:szCs w:val="21"/>
              </w:rPr>
              <w:t>）</w:t>
            </w:r>
          </w:p>
        </w:tc>
        <w:tc>
          <w:tcPr>
            <w:tcW w:w="457" w:type="pct"/>
            <w:vAlign w:val="center"/>
          </w:tcPr>
          <w:p w14:paraId="3FBD2B1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mg/kg</w:t>
            </w:r>
          </w:p>
        </w:tc>
        <w:tc>
          <w:tcPr>
            <w:tcW w:w="687" w:type="pct"/>
            <w:shd w:val="clear" w:color="auto" w:fill="auto"/>
            <w:vAlign w:val="center"/>
          </w:tcPr>
          <w:p w14:paraId="572B2005"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未检出</w:t>
            </w:r>
          </w:p>
        </w:tc>
        <w:tc>
          <w:tcPr>
            <w:tcW w:w="532" w:type="pct"/>
            <w:tcBorders>
              <w:right w:val="single" w:sz="4" w:space="0" w:color="auto"/>
            </w:tcBorders>
            <w:shd w:val="clear" w:color="auto" w:fill="auto"/>
            <w:vAlign w:val="center"/>
          </w:tcPr>
          <w:p w14:paraId="2C7833AA"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4500</w:t>
            </w:r>
          </w:p>
        </w:tc>
        <w:tc>
          <w:tcPr>
            <w:tcW w:w="685" w:type="pct"/>
            <w:tcBorders>
              <w:right w:val="single" w:sz="4" w:space="0" w:color="auto"/>
            </w:tcBorders>
            <w:vAlign w:val="center"/>
          </w:tcPr>
          <w:p w14:paraId="1A62BE0D"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458" w:type="pct"/>
            <w:tcBorders>
              <w:right w:val="single" w:sz="4" w:space="0" w:color="auto"/>
            </w:tcBorders>
            <w:vAlign w:val="center"/>
          </w:tcPr>
          <w:p w14:paraId="5921C287"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c>
          <w:tcPr>
            <w:tcW w:w="502" w:type="pct"/>
            <w:tcBorders>
              <w:right w:val="single" w:sz="4" w:space="0" w:color="auto"/>
            </w:tcBorders>
            <w:vAlign w:val="center"/>
          </w:tcPr>
          <w:p w14:paraId="7F308BA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r>
      <w:tr w:rsidR="008A2411" w:rsidRPr="008A2411" w14:paraId="061B5E12" w14:textId="77777777">
        <w:trPr>
          <w:trHeight w:val="176"/>
          <w:jc w:val="center"/>
        </w:trPr>
        <w:tc>
          <w:tcPr>
            <w:tcW w:w="510" w:type="pct"/>
            <w:vMerge w:val="restart"/>
            <w:tcBorders>
              <w:left w:val="single" w:sz="4" w:space="0" w:color="auto"/>
            </w:tcBorders>
            <w:vAlign w:val="center"/>
          </w:tcPr>
          <w:p w14:paraId="0B3BCD19"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5#</w:t>
            </w:r>
          </w:p>
        </w:tc>
        <w:tc>
          <w:tcPr>
            <w:tcW w:w="1165" w:type="pct"/>
            <w:tcBorders>
              <w:left w:val="single" w:sz="4" w:space="0" w:color="auto"/>
            </w:tcBorders>
            <w:shd w:val="clear" w:color="auto" w:fill="auto"/>
            <w:vAlign w:val="center"/>
          </w:tcPr>
          <w:p w14:paraId="1037FD2B"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pH</w:t>
            </w:r>
          </w:p>
        </w:tc>
        <w:tc>
          <w:tcPr>
            <w:tcW w:w="457" w:type="pct"/>
            <w:vAlign w:val="center"/>
          </w:tcPr>
          <w:p w14:paraId="4EF8203B"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无量纲</w:t>
            </w:r>
          </w:p>
        </w:tc>
        <w:tc>
          <w:tcPr>
            <w:tcW w:w="687" w:type="pct"/>
            <w:shd w:val="clear" w:color="auto" w:fill="auto"/>
            <w:vAlign w:val="center"/>
          </w:tcPr>
          <w:p w14:paraId="1FF94776"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4.32</w:t>
            </w:r>
          </w:p>
        </w:tc>
        <w:tc>
          <w:tcPr>
            <w:tcW w:w="532" w:type="pct"/>
            <w:tcBorders>
              <w:right w:val="single" w:sz="4" w:space="0" w:color="auto"/>
            </w:tcBorders>
            <w:shd w:val="clear" w:color="auto" w:fill="auto"/>
            <w:vAlign w:val="center"/>
          </w:tcPr>
          <w:p w14:paraId="39372D0B"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w:t>
            </w:r>
          </w:p>
        </w:tc>
        <w:tc>
          <w:tcPr>
            <w:tcW w:w="685" w:type="pct"/>
            <w:tcBorders>
              <w:right w:val="single" w:sz="4" w:space="0" w:color="auto"/>
            </w:tcBorders>
            <w:vAlign w:val="center"/>
          </w:tcPr>
          <w:p w14:paraId="14C7DB29"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w:t>
            </w:r>
          </w:p>
        </w:tc>
        <w:tc>
          <w:tcPr>
            <w:tcW w:w="458" w:type="pct"/>
            <w:tcBorders>
              <w:right w:val="single" w:sz="4" w:space="0" w:color="auto"/>
            </w:tcBorders>
            <w:vAlign w:val="center"/>
          </w:tcPr>
          <w:p w14:paraId="522F7767"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w:t>
            </w:r>
          </w:p>
        </w:tc>
        <w:tc>
          <w:tcPr>
            <w:tcW w:w="502" w:type="pct"/>
            <w:tcBorders>
              <w:right w:val="single" w:sz="4" w:space="0" w:color="auto"/>
            </w:tcBorders>
            <w:vAlign w:val="center"/>
          </w:tcPr>
          <w:p w14:paraId="02049D83"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w:t>
            </w:r>
          </w:p>
        </w:tc>
      </w:tr>
      <w:tr w:rsidR="008A2411" w:rsidRPr="008A2411" w14:paraId="6612FCB2" w14:textId="77777777">
        <w:trPr>
          <w:trHeight w:val="176"/>
          <w:jc w:val="center"/>
        </w:trPr>
        <w:tc>
          <w:tcPr>
            <w:tcW w:w="510" w:type="pct"/>
            <w:vMerge/>
            <w:tcBorders>
              <w:left w:val="single" w:sz="4" w:space="0" w:color="auto"/>
            </w:tcBorders>
            <w:vAlign w:val="center"/>
          </w:tcPr>
          <w:p w14:paraId="62F483D9"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tcBorders>
            <w:shd w:val="clear" w:color="auto" w:fill="auto"/>
            <w:vAlign w:val="center"/>
          </w:tcPr>
          <w:p w14:paraId="59730C37"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砷</w:t>
            </w:r>
          </w:p>
        </w:tc>
        <w:tc>
          <w:tcPr>
            <w:tcW w:w="457" w:type="pct"/>
            <w:vAlign w:val="center"/>
          </w:tcPr>
          <w:p w14:paraId="2DA87638"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mg/kg</w:t>
            </w:r>
          </w:p>
        </w:tc>
        <w:tc>
          <w:tcPr>
            <w:tcW w:w="687" w:type="pct"/>
            <w:shd w:val="clear" w:color="auto" w:fill="auto"/>
            <w:vAlign w:val="center"/>
          </w:tcPr>
          <w:p w14:paraId="32CC0CD3"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2.43</w:t>
            </w:r>
          </w:p>
        </w:tc>
        <w:tc>
          <w:tcPr>
            <w:tcW w:w="532" w:type="pct"/>
            <w:tcBorders>
              <w:right w:val="single" w:sz="4" w:space="0" w:color="auto"/>
            </w:tcBorders>
            <w:shd w:val="clear" w:color="auto" w:fill="auto"/>
            <w:vAlign w:val="center"/>
          </w:tcPr>
          <w:p w14:paraId="5914C342"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40</w:t>
            </w:r>
          </w:p>
        </w:tc>
        <w:tc>
          <w:tcPr>
            <w:tcW w:w="1169" w:type="dxa"/>
            <w:tcBorders>
              <w:right w:val="single" w:sz="4" w:space="0" w:color="auto"/>
            </w:tcBorders>
            <w:vAlign w:val="center"/>
          </w:tcPr>
          <w:p w14:paraId="0C939532"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 xml:space="preserve">0.061 </w:t>
            </w:r>
          </w:p>
        </w:tc>
        <w:tc>
          <w:tcPr>
            <w:tcW w:w="781" w:type="dxa"/>
            <w:tcBorders>
              <w:right w:val="single" w:sz="4" w:space="0" w:color="auto"/>
            </w:tcBorders>
            <w:vAlign w:val="center"/>
          </w:tcPr>
          <w:p w14:paraId="14CF46F4"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0</w:t>
            </w:r>
          </w:p>
        </w:tc>
        <w:tc>
          <w:tcPr>
            <w:tcW w:w="857" w:type="dxa"/>
            <w:tcBorders>
              <w:right w:val="single" w:sz="4" w:space="0" w:color="auto"/>
            </w:tcBorders>
            <w:vAlign w:val="center"/>
          </w:tcPr>
          <w:p w14:paraId="6EE1C36C"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0</w:t>
            </w:r>
          </w:p>
        </w:tc>
      </w:tr>
      <w:tr w:rsidR="008A2411" w:rsidRPr="008A2411" w14:paraId="3465775A" w14:textId="77777777">
        <w:trPr>
          <w:trHeight w:val="176"/>
          <w:jc w:val="center"/>
        </w:trPr>
        <w:tc>
          <w:tcPr>
            <w:tcW w:w="510" w:type="pct"/>
            <w:vMerge/>
            <w:tcBorders>
              <w:left w:val="single" w:sz="4" w:space="0" w:color="auto"/>
            </w:tcBorders>
            <w:vAlign w:val="center"/>
          </w:tcPr>
          <w:p w14:paraId="01751940"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tcBorders>
            <w:shd w:val="clear" w:color="auto" w:fill="auto"/>
            <w:vAlign w:val="center"/>
          </w:tcPr>
          <w:p w14:paraId="045664E6"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镉</w:t>
            </w:r>
          </w:p>
        </w:tc>
        <w:tc>
          <w:tcPr>
            <w:tcW w:w="457" w:type="pct"/>
            <w:vAlign w:val="center"/>
          </w:tcPr>
          <w:p w14:paraId="01698B53"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mg/kg</w:t>
            </w:r>
          </w:p>
        </w:tc>
        <w:tc>
          <w:tcPr>
            <w:tcW w:w="687" w:type="pct"/>
            <w:shd w:val="clear" w:color="auto" w:fill="auto"/>
            <w:vAlign w:val="center"/>
          </w:tcPr>
          <w:p w14:paraId="49129DDD"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0.28</w:t>
            </w:r>
          </w:p>
        </w:tc>
        <w:tc>
          <w:tcPr>
            <w:tcW w:w="532" w:type="pct"/>
            <w:tcBorders>
              <w:right w:val="single" w:sz="4" w:space="0" w:color="auto"/>
            </w:tcBorders>
            <w:shd w:val="clear" w:color="auto" w:fill="auto"/>
            <w:vAlign w:val="center"/>
          </w:tcPr>
          <w:p w14:paraId="6A3F1661"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0.3</w:t>
            </w:r>
          </w:p>
        </w:tc>
        <w:tc>
          <w:tcPr>
            <w:tcW w:w="1169" w:type="dxa"/>
            <w:tcBorders>
              <w:right w:val="single" w:sz="4" w:space="0" w:color="auto"/>
            </w:tcBorders>
            <w:vAlign w:val="center"/>
          </w:tcPr>
          <w:p w14:paraId="114A7B15"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 xml:space="preserve">0.933 </w:t>
            </w:r>
          </w:p>
        </w:tc>
        <w:tc>
          <w:tcPr>
            <w:tcW w:w="781" w:type="dxa"/>
            <w:tcBorders>
              <w:right w:val="single" w:sz="4" w:space="0" w:color="auto"/>
            </w:tcBorders>
            <w:vAlign w:val="center"/>
          </w:tcPr>
          <w:p w14:paraId="7160810F"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0</w:t>
            </w:r>
          </w:p>
        </w:tc>
        <w:tc>
          <w:tcPr>
            <w:tcW w:w="857" w:type="dxa"/>
            <w:tcBorders>
              <w:right w:val="single" w:sz="4" w:space="0" w:color="auto"/>
            </w:tcBorders>
            <w:vAlign w:val="center"/>
          </w:tcPr>
          <w:p w14:paraId="1E4411A4"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0</w:t>
            </w:r>
          </w:p>
        </w:tc>
      </w:tr>
      <w:tr w:rsidR="008A2411" w:rsidRPr="008A2411" w14:paraId="56124BCC" w14:textId="77777777">
        <w:trPr>
          <w:trHeight w:val="176"/>
          <w:jc w:val="center"/>
        </w:trPr>
        <w:tc>
          <w:tcPr>
            <w:tcW w:w="510" w:type="pct"/>
            <w:vMerge/>
            <w:tcBorders>
              <w:left w:val="single" w:sz="4" w:space="0" w:color="auto"/>
            </w:tcBorders>
            <w:vAlign w:val="center"/>
          </w:tcPr>
          <w:p w14:paraId="33A08912"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tcBorders>
            <w:shd w:val="clear" w:color="auto" w:fill="auto"/>
            <w:vAlign w:val="center"/>
          </w:tcPr>
          <w:p w14:paraId="30B7350E"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铜</w:t>
            </w:r>
          </w:p>
        </w:tc>
        <w:tc>
          <w:tcPr>
            <w:tcW w:w="457" w:type="pct"/>
            <w:vAlign w:val="center"/>
          </w:tcPr>
          <w:p w14:paraId="7F7B38CB"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mg/kg</w:t>
            </w:r>
          </w:p>
        </w:tc>
        <w:tc>
          <w:tcPr>
            <w:tcW w:w="687" w:type="pct"/>
            <w:shd w:val="clear" w:color="auto" w:fill="auto"/>
            <w:vAlign w:val="center"/>
          </w:tcPr>
          <w:p w14:paraId="353EB45D"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26.4</w:t>
            </w:r>
          </w:p>
        </w:tc>
        <w:tc>
          <w:tcPr>
            <w:tcW w:w="532" w:type="pct"/>
            <w:tcBorders>
              <w:right w:val="single" w:sz="4" w:space="0" w:color="auto"/>
            </w:tcBorders>
            <w:shd w:val="clear" w:color="auto" w:fill="auto"/>
            <w:vAlign w:val="center"/>
          </w:tcPr>
          <w:p w14:paraId="419A2DED"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50</w:t>
            </w:r>
          </w:p>
        </w:tc>
        <w:tc>
          <w:tcPr>
            <w:tcW w:w="1169" w:type="dxa"/>
            <w:tcBorders>
              <w:right w:val="single" w:sz="4" w:space="0" w:color="auto"/>
            </w:tcBorders>
            <w:vAlign w:val="center"/>
          </w:tcPr>
          <w:p w14:paraId="52E0A447"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 xml:space="preserve">0.528 </w:t>
            </w:r>
          </w:p>
        </w:tc>
        <w:tc>
          <w:tcPr>
            <w:tcW w:w="781" w:type="dxa"/>
            <w:tcBorders>
              <w:right w:val="single" w:sz="4" w:space="0" w:color="auto"/>
            </w:tcBorders>
            <w:vAlign w:val="center"/>
          </w:tcPr>
          <w:p w14:paraId="0F0B2711"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0</w:t>
            </w:r>
          </w:p>
        </w:tc>
        <w:tc>
          <w:tcPr>
            <w:tcW w:w="857" w:type="dxa"/>
            <w:tcBorders>
              <w:right w:val="single" w:sz="4" w:space="0" w:color="auto"/>
            </w:tcBorders>
            <w:vAlign w:val="center"/>
          </w:tcPr>
          <w:p w14:paraId="39E66089"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0</w:t>
            </w:r>
          </w:p>
        </w:tc>
      </w:tr>
      <w:tr w:rsidR="008A2411" w:rsidRPr="008A2411" w14:paraId="621675DF" w14:textId="77777777">
        <w:trPr>
          <w:trHeight w:val="176"/>
          <w:jc w:val="center"/>
        </w:trPr>
        <w:tc>
          <w:tcPr>
            <w:tcW w:w="510" w:type="pct"/>
            <w:vMerge/>
            <w:tcBorders>
              <w:left w:val="single" w:sz="4" w:space="0" w:color="auto"/>
            </w:tcBorders>
            <w:vAlign w:val="center"/>
          </w:tcPr>
          <w:p w14:paraId="16F2BDC2"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tcBorders>
            <w:shd w:val="clear" w:color="auto" w:fill="auto"/>
            <w:vAlign w:val="center"/>
          </w:tcPr>
          <w:p w14:paraId="79667D7C"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铅</w:t>
            </w:r>
          </w:p>
        </w:tc>
        <w:tc>
          <w:tcPr>
            <w:tcW w:w="457" w:type="pct"/>
            <w:vAlign w:val="center"/>
          </w:tcPr>
          <w:p w14:paraId="6BE8FF39"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mg/kg</w:t>
            </w:r>
          </w:p>
        </w:tc>
        <w:tc>
          <w:tcPr>
            <w:tcW w:w="687" w:type="pct"/>
            <w:shd w:val="clear" w:color="auto" w:fill="auto"/>
            <w:vAlign w:val="center"/>
          </w:tcPr>
          <w:p w14:paraId="64940D3D"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29.1</w:t>
            </w:r>
          </w:p>
        </w:tc>
        <w:tc>
          <w:tcPr>
            <w:tcW w:w="532" w:type="pct"/>
            <w:tcBorders>
              <w:right w:val="single" w:sz="4" w:space="0" w:color="auto"/>
            </w:tcBorders>
            <w:shd w:val="clear" w:color="auto" w:fill="auto"/>
            <w:vAlign w:val="center"/>
          </w:tcPr>
          <w:p w14:paraId="1ECCCDC8"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70</w:t>
            </w:r>
          </w:p>
        </w:tc>
        <w:tc>
          <w:tcPr>
            <w:tcW w:w="1169" w:type="dxa"/>
            <w:tcBorders>
              <w:right w:val="single" w:sz="4" w:space="0" w:color="auto"/>
            </w:tcBorders>
            <w:vAlign w:val="center"/>
          </w:tcPr>
          <w:p w14:paraId="31FF255C"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 xml:space="preserve">0.416 </w:t>
            </w:r>
          </w:p>
        </w:tc>
        <w:tc>
          <w:tcPr>
            <w:tcW w:w="781" w:type="dxa"/>
            <w:tcBorders>
              <w:right w:val="single" w:sz="4" w:space="0" w:color="auto"/>
            </w:tcBorders>
            <w:vAlign w:val="center"/>
          </w:tcPr>
          <w:p w14:paraId="2448FAA3"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0</w:t>
            </w:r>
          </w:p>
        </w:tc>
        <w:tc>
          <w:tcPr>
            <w:tcW w:w="857" w:type="dxa"/>
            <w:tcBorders>
              <w:right w:val="single" w:sz="4" w:space="0" w:color="auto"/>
            </w:tcBorders>
            <w:vAlign w:val="center"/>
          </w:tcPr>
          <w:p w14:paraId="1EC40C3E"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0</w:t>
            </w:r>
          </w:p>
        </w:tc>
      </w:tr>
      <w:tr w:rsidR="008A2411" w:rsidRPr="008A2411" w14:paraId="4023D16B" w14:textId="77777777">
        <w:trPr>
          <w:trHeight w:val="176"/>
          <w:jc w:val="center"/>
        </w:trPr>
        <w:tc>
          <w:tcPr>
            <w:tcW w:w="510" w:type="pct"/>
            <w:vMerge/>
            <w:tcBorders>
              <w:left w:val="single" w:sz="4" w:space="0" w:color="auto"/>
            </w:tcBorders>
            <w:vAlign w:val="center"/>
          </w:tcPr>
          <w:p w14:paraId="12B4D391"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tcBorders>
            <w:shd w:val="clear" w:color="auto" w:fill="auto"/>
            <w:vAlign w:val="center"/>
          </w:tcPr>
          <w:p w14:paraId="3E251633"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汞</w:t>
            </w:r>
          </w:p>
        </w:tc>
        <w:tc>
          <w:tcPr>
            <w:tcW w:w="457" w:type="pct"/>
            <w:vAlign w:val="center"/>
          </w:tcPr>
          <w:p w14:paraId="2FD18908"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mg/kg</w:t>
            </w:r>
          </w:p>
        </w:tc>
        <w:tc>
          <w:tcPr>
            <w:tcW w:w="687" w:type="pct"/>
            <w:shd w:val="clear" w:color="auto" w:fill="auto"/>
            <w:vAlign w:val="center"/>
          </w:tcPr>
          <w:p w14:paraId="1482BDF8"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0.0271</w:t>
            </w:r>
          </w:p>
        </w:tc>
        <w:tc>
          <w:tcPr>
            <w:tcW w:w="532" w:type="pct"/>
            <w:tcBorders>
              <w:right w:val="single" w:sz="4" w:space="0" w:color="auto"/>
            </w:tcBorders>
            <w:shd w:val="clear" w:color="auto" w:fill="auto"/>
            <w:vAlign w:val="center"/>
          </w:tcPr>
          <w:p w14:paraId="76BE8033"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1.3</w:t>
            </w:r>
          </w:p>
        </w:tc>
        <w:tc>
          <w:tcPr>
            <w:tcW w:w="1169" w:type="dxa"/>
            <w:tcBorders>
              <w:right w:val="single" w:sz="4" w:space="0" w:color="auto"/>
            </w:tcBorders>
            <w:vAlign w:val="center"/>
          </w:tcPr>
          <w:p w14:paraId="05490BB5"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 xml:space="preserve">0.021 </w:t>
            </w:r>
          </w:p>
        </w:tc>
        <w:tc>
          <w:tcPr>
            <w:tcW w:w="781" w:type="dxa"/>
            <w:tcBorders>
              <w:right w:val="single" w:sz="4" w:space="0" w:color="auto"/>
            </w:tcBorders>
            <w:vAlign w:val="center"/>
          </w:tcPr>
          <w:p w14:paraId="5E52D6E0"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0</w:t>
            </w:r>
          </w:p>
        </w:tc>
        <w:tc>
          <w:tcPr>
            <w:tcW w:w="857" w:type="dxa"/>
            <w:tcBorders>
              <w:right w:val="single" w:sz="4" w:space="0" w:color="auto"/>
            </w:tcBorders>
            <w:vAlign w:val="center"/>
          </w:tcPr>
          <w:p w14:paraId="2B0A2B17"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0</w:t>
            </w:r>
          </w:p>
        </w:tc>
      </w:tr>
      <w:tr w:rsidR="008A2411" w:rsidRPr="008A2411" w14:paraId="469918A0" w14:textId="77777777">
        <w:trPr>
          <w:trHeight w:val="176"/>
          <w:jc w:val="center"/>
        </w:trPr>
        <w:tc>
          <w:tcPr>
            <w:tcW w:w="510" w:type="pct"/>
            <w:vMerge/>
            <w:tcBorders>
              <w:left w:val="single" w:sz="4" w:space="0" w:color="auto"/>
            </w:tcBorders>
            <w:vAlign w:val="center"/>
          </w:tcPr>
          <w:p w14:paraId="3925DB53"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tcBorders>
            <w:shd w:val="clear" w:color="auto" w:fill="auto"/>
            <w:vAlign w:val="center"/>
          </w:tcPr>
          <w:p w14:paraId="7C5BD6BD"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镍</w:t>
            </w:r>
          </w:p>
        </w:tc>
        <w:tc>
          <w:tcPr>
            <w:tcW w:w="457" w:type="pct"/>
            <w:vAlign w:val="center"/>
          </w:tcPr>
          <w:p w14:paraId="6A4A1DD3"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mg/kg</w:t>
            </w:r>
          </w:p>
        </w:tc>
        <w:tc>
          <w:tcPr>
            <w:tcW w:w="687" w:type="pct"/>
            <w:shd w:val="clear" w:color="auto" w:fill="auto"/>
            <w:vAlign w:val="center"/>
          </w:tcPr>
          <w:p w14:paraId="38670996"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32.4</w:t>
            </w:r>
          </w:p>
        </w:tc>
        <w:tc>
          <w:tcPr>
            <w:tcW w:w="532" w:type="pct"/>
            <w:tcBorders>
              <w:right w:val="single" w:sz="4" w:space="0" w:color="auto"/>
            </w:tcBorders>
            <w:shd w:val="clear" w:color="auto" w:fill="auto"/>
            <w:vAlign w:val="center"/>
          </w:tcPr>
          <w:p w14:paraId="63E7827A"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60</w:t>
            </w:r>
          </w:p>
        </w:tc>
        <w:tc>
          <w:tcPr>
            <w:tcW w:w="1169" w:type="dxa"/>
            <w:tcBorders>
              <w:right w:val="single" w:sz="4" w:space="0" w:color="auto"/>
            </w:tcBorders>
            <w:vAlign w:val="center"/>
          </w:tcPr>
          <w:p w14:paraId="43856AFF"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 xml:space="preserve">0.540 </w:t>
            </w:r>
          </w:p>
        </w:tc>
        <w:tc>
          <w:tcPr>
            <w:tcW w:w="781" w:type="dxa"/>
            <w:tcBorders>
              <w:right w:val="single" w:sz="4" w:space="0" w:color="auto"/>
            </w:tcBorders>
            <w:vAlign w:val="center"/>
          </w:tcPr>
          <w:p w14:paraId="706688F5"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0</w:t>
            </w:r>
          </w:p>
        </w:tc>
        <w:tc>
          <w:tcPr>
            <w:tcW w:w="857" w:type="dxa"/>
            <w:tcBorders>
              <w:right w:val="single" w:sz="4" w:space="0" w:color="auto"/>
            </w:tcBorders>
            <w:vAlign w:val="center"/>
          </w:tcPr>
          <w:p w14:paraId="28A1146B"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0</w:t>
            </w:r>
          </w:p>
        </w:tc>
      </w:tr>
      <w:tr w:rsidR="008A2411" w:rsidRPr="008A2411" w14:paraId="506BB61A" w14:textId="77777777">
        <w:trPr>
          <w:trHeight w:val="176"/>
          <w:jc w:val="center"/>
        </w:trPr>
        <w:tc>
          <w:tcPr>
            <w:tcW w:w="510" w:type="pct"/>
            <w:vMerge/>
            <w:tcBorders>
              <w:left w:val="single" w:sz="4" w:space="0" w:color="auto"/>
            </w:tcBorders>
            <w:vAlign w:val="center"/>
          </w:tcPr>
          <w:p w14:paraId="7A527E19"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tcBorders>
            <w:shd w:val="clear" w:color="auto" w:fill="auto"/>
            <w:vAlign w:val="center"/>
          </w:tcPr>
          <w:p w14:paraId="49BC8C54"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铬</w:t>
            </w:r>
          </w:p>
        </w:tc>
        <w:tc>
          <w:tcPr>
            <w:tcW w:w="457" w:type="pct"/>
            <w:vAlign w:val="center"/>
          </w:tcPr>
          <w:p w14:paraId="6160471C"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mg/kg</w:t>
            </w:r>
          </w:p>
        </w:tc>
        <w:tc>
          <w:tcPr>
            <w:tcW w:w="687" w:type="pct"/>
            <w:shd w:val="clear" w:color="auto" w:fill="auto"/>
            <w:vAlign w:val="center"/>
          </w:tcPr>
          <w:p w14:paraId="4594D9C9"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60.0</w:t>
            </w:r>
          </w:p>
        </w:tc>
        <w:tc>
          <w:tcPr>
            <w:tcW w:w="532" w:type="pct"/>
            <w:tcBorders>
              <w:right w:val="single" w:sz="4" w:space="0" w:color="auto"/>
            </w:tcBorders>
            <w:shd w:val="clear" w:color="auto" w:fill="auto"/>
            <w:vAlign w:val="center"/>
          </w:tcPr>
          <w:p w14:paraId="7A73BAF9"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150</w:t>
            </w:r>
          </w:p>
        </w:tc>
        <w:tc>
          <w:tcPr>
            <w:tcW w:w="1169" w:type="dxa"/>
            <w:tcBorders>
              <w:right w:val="single" w:sz="4" w:space="0" w:color="auto"/>
            </w:tcBorders>
            <w:vAlign w:val="center"/>
          </w:tcPr>
          <w:p w14:paraId="44D8E32F"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 xml:space="preserve">0.400 </w:t>
            </w:r>
          </w:p>
        </w:tc>
        <w:tc>
          <w:tcPr>
            <w:tcW w:w="781" w:type="dxa"/>
            <w:tcBorders>
              <w:right w:val="single" w:sz="4" w:space="0" w:color="auto"/>
            </w:tcBorders>
            <w:vAlign w:val="center"/>
          </w:tcPr>
          <w:p w14:paraId="4F905E4F"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0</w:t>
            </w:r>
          </w:p>
        </w:tc>
        <w:tc>
          <w:tcPr>
            <w:tcW w:w="857" w:type="dxa"/>
            <w:tcBorders>
              <w:right w:val="single" w:sz="4" w:space="0" w:color="auto"/>
            </w:tcBorders>
            <w:vAlign w:val="center"/>
          </w:tcPr>
          <w:p w14:paraId="707EED8A"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0</w:t>
            </w:r>
          </w:p>
        </w:tc>
      </w:tr>
      <w:tr w:rsidR="008A2411" w:rsidRPr="008A2411" w14:paraId="092EEA20" w14:textId="77777777">
        <w:trPr>
          <w:trHeight w:val="176"/>
          <w:jc w:val="center"/>
        </w:trPr>
        <w:tc>
          <w:tcPr>
            <w:tcW w:w="510" w:type="pct"/>
            <w:vMerge/>
            <w:tcBorders>
              <w:left w:val="single" w:sz="4" w:space="0" w:color="auto"/>
              <w:bottom w:val="single" w:sz="4" w:space="0" w:color="auto"/>
            </w:tcBorders>
            <w:vAlign w:val="center"/>
          </w:tcPr>
          <w:p w14:paraId="4F35DDBC" w14:textId="77777777" w:rsidR="00B0005F" w:rsidRPr="008A2411" w:rsidRDefault="00B0005F">
            <w:pPr>
              <w:jc w:val="center"/>
              <w:rPr>
                <w:rFonts w:ascii="Times New Roman"/>
                <w:color w:val="000000" w:themeColor="text1"/>
                <w:spacing w:val="-17"/>
                <w:sz w:val="21"/>
                <w:szCs w:val="21"/>
              </w:rPr>
            </w:pPr>
          </w:p>
        </w:tc>
        <w:tc>
          <w:tcPr>
            <w:tcW w:w="1165" w:type="pct"/>
            <w:tcBorders>
              <w:left w:val="single" w:sz="4" w:space="0" w:color="auto"/>
              <w:bottom w:val="single" w:sz="4" w:space="0" w:color="auto"/>
            </w:tcBorders>
            <w:shd w:val="clear" w:color="auto" w:fill="auto"/>
            <w:vAlign w:val="center"/>
          </w:tcPr>
          <w:p w14:paraId="60884A6A"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锌</w:t>
            </w:r>
          </w:p>
        </w:tc>
        <w:tc>
          <w:tcPr>
            <w:tcW w:w="457" w:type="pct"/>
            <w:tcBorders>
              <w:bottom w:val="single" w:sz="4" w:space="0" w:color="auto"/>
            </w:tcBorders>
            <w:vAlign w:val="center"/>
          </w:tcPr>
          <w:p w14:paraId="679BAB88"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mg/kg</w:t>
            </w:r>
          </w:p>
        </w:tc>
        <w:tc>
          <w:tcPr>
            <w:tcW w:w="687" w:type="pct"/>
            <w:tcBorders>
              <w:bottom w:val="single" w:sz="4" w:space="0" w:color="auto"/>
            </w:tcBorders>
            <w:shd w:val="clear" w:color="auto" w:fill="auto"/>
            <w:vAlign w:val="center"/>
          </w:tcPr>
          <w:p w14:paraId="5A10773E"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93.8</w:t>
            </w:r>
          </w:p>
        </w:tc>
        <w:tc>
          <w:tcPr>
            <w:tcW w:w="532" w:type="pct"/>
            <w:tcBorders>
              <w:bottom w:val="single" w:sz="4" w:space="0" w:color="auto"/>
              <w:right w:val="single" w:sz="4" w:space="0" w:color="auto"/>
            </w:tcBorders>
            <w:shd w:val="clear" w:color="auto" w:fill="auto"/>
            <w:vAlign w:val="center"/>
          </w:tcPr>
          <w:p w14:paraId="44BB6282"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70</w:t>
            </w:r>
          </w:p>
        </w:tc>
        <w:tc>
          <w:tcPr>
            <w:tcW w:w="1169" w:type="dxa"/>
            <w:tcBorders>
              <w:bottom w:val="single" w:sz="4" w:space="0" w:color="auto"/>
              <w:right w:val="single" w:sz="4" w:space="0" w:color="auto"/>
            </w:tcBorders>
            <w:vAlign w:val="center"/>
          </w:tcPr>
          <w:p w14:paraId="63BEFF06"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 xml:space="preserve">1.340 </w:t>
            </w:r>
          </w:p>
        </w:tc>
        <w:tc>
          <w:tcPr>
            <w:tcW w:w="781" w:type="dxa"/>
            <w:tcBorders>
              <w:bottom w:val="single" w:sz="4" w:space="0" w:color="auto"/>
              <w:right w:val="single" w:sz="4" w:space="0" w:color="auto"/>
            </w:tcBorders>
            <w:vAlign w:val="center"/>
          </w:tcPr>
          <w:p w14:paraId="314A754D"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0</w:t>
            </w:r>
          </w:p>
        </w:tc>
        <w:tc>
          <w:tcPr>
            <w:tcW w:w="857" w:type="dxa"/>
            <w:tcBorders>
              <w:bottom w:val="single" w:sz="4" w:space="0" w:color="auto"/>
              <w:right w:val="single" w:sz="4" w:space="0" w:color="auto"/>
            </w:tcBorders>
            <w:vAlign w:val="center"/>
          </w:tcPr>
          <w:p w14:paraId="1082E8F0" w14:textId="77777777" w:rsidR="00B0005F" w:rsidRPr="008A2411" w:rsidRDefault="00000000">
            <w:pPr>
              <w:jc w:val="center"/>
              <w:rPr>
                <w:rFonts w:ascii="Times New Roman"/>
                <w:color w:val="000000" w:themeColor="text1"/>
                <w:spacing w:val="-17"/>
                <w:sz w:val="21"/>
                <w:szCs w:val="21"/>
              </w:rPr>
            </w:pPr>
            <w:r w:rsidRPr="008A2411">
              <w:rPr>
                <w:rFonts w:ascii="Times New Roman"/>
                <w:color w:val="000000" w:themeColor="text1"/>
                <w:spacing w:val="-17"/>
                <w:sz w:val="21"/>
                <w:szCs w:val="21"/>
              </w:rPr>
              <w:t>0</w:t>
            </w:r>
          </w:p>
        </w:tc>
      </w:tr>
    </w:tbl>
    <w:p w14:paraId="67D8842C" w14:textId="77777777" w:rsidR="00B0005F" w:rsidRPr="008A2411" w:rsidRDefault="00000000">
      <w:pPr>
        <w:pStyle w:val="TOC1"/>
        <w:jc w:val="center"/>
        <w:rPr>
          <w:rFonts w:ascii="Times New Roman" w:eastAsia="黑体" w:hAnsi="Times New Roman" w:cs="Times New Roman"/>
          <w:b w:val="0"/>
          <w:bCs w:val="0"/>
          <w:caps w:val="0"/>
          <w:color w:val="000000" w:themeColor="text1"/>
          <w:sz w:val="24"/>
          <w:szCs w:val="21"/>
        </w:rPr>
      </w:pPr>
      <w:r w:rsidRPr="008A2411">
        <w:rPr>
          <w:rFonts w:ascii="Times New Roman" w:eastAsia="黑体" w:hAnsi="Times New Roman" w:cs="Times New Roman"/>
          <w:b w:val="0"/>
          <w:bCs w:val="0"/>
          <w:caps w:val="0"/>
          <w:color w:val="000000" w:themeColor="text1"/>
          <w:sz w:val="24"/>
          <w:szCs w:val="21"/>
        </w:rPr>
        <w:t>表</w:t>
      </w:r>
      <w:r w:rsidRPr="008A2411">
        <w:rPr>
          <w:rFonts w:ascii="Times New Roman" w:eastAsia="黑体" w:hAnsi="Times New Roman" w:cs="Times New Roman"/>
          <w:b w:val="0"/>
          <w:bCs w:val="0"/>
          <w:caps w:val="0"/>
          <w:color w:val="000000" w:themeColor="text1"/>
          <w:sz w:val="24"/>
          <w:szCs w:val="21"/>
        </w:rPr>
        <w:t xml:space="preserve">4.5-6  </w:t>
      </w:r>
      <w:r w:rsidRPr="008A2411">
        <w:rPr>
          <w:rFonts w:ascii="Times New Roman" w:eastAsia="黑体" w:hAnsi="Times New Roman" w:cs="Times New Roman"/>
          <w:b w:val="0"/>
          <w:bCs w:val="0"/>
          <w:caps w:val="0"/>
          <w:color w:val="000000" w:themeColor="text1"/>
          <w:sz w:val="24"/>
          <w:szCs w:val="21"/>
        </w:rPr>
        <w:t>土壤理化特性调查表</w:t>
      </w:r>
    </w:p>
    <w:tbl>
      <w:tblPr>
        <w:tblW w:w="496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1798"/>
        <w:gridCol w:w="2768"/>
        <w:gridCol w:w="3732"/>
      </w:tblGrid>
      <w:tr w:rsidR="008A2411" w:rsidRPr="008A2411" w14:paraId="29EAE993" w14:textId="77777777">
        <w:trPr>
          <w:trHeight w:val="365"/>
          <w:tblHeader/>
        </w:trPr>
        <w:tc>
          <w:tcPr>
            <w:tcW w:w="2750" w:type="pct"/>
            <w:gridSpan w:val="2"/>
            <w:vAlign w:val="center"/>
          </w:tcPr>
          <w:p w14:paraId="78536ED0" w14:textId="77777777" w:rsidR="00B0005F" w:rsidRPr="008A2411" w:rsidRDefault="00000000">
            <w:pPr>
              <w:adjustRightInd w:val="0"/>
              <w:snapToGrid w:val="0"/>
              <w:jc w:val="center"/>
              <w:rPr>
                <w:rFonts w:ascii="Times New Roman"/>
                <w:color w:val="000000" w:themeColor="text1"/>
                <w:sz w:val="21"/>
                <w:szCs w:val="21"/>
              </w:rPr>
            </w:pPr>
            <w:bookmarkStart w:id="282" w:name="_Hlk100174379"/>
            <w:r w:rsidRPr="008A2411">
              <w:rPr>
                <w:rFonts w:ascii="Times New Roman"/>
                <w:color w:val="000000" w:themeColor="text1"/>
                <w:sz w:val="21"/>
                <w:szCs w:val="21"/>
              </w:rPr>
              <w:t>点位</w:t>
            </w:r>
          </w:p>
        </w:tc>
        <w:tc>
          <w:tcPr>
            <w:tcW w:w="2249" w:type="pct"/>
            <w:vAlign w:val="center"/>
          </w:tcPr>
          <w:p w14:paraId="33CF11CE"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辅助装置区（</w:t>
            </w:r>
            <w:r w:rsidRPr="008A2411">
              <w:rPr>
                <w:rFonts w:ascii="Times New Roman"/>
                <w:color w:val="000000" w:themeColor="text1"/>
                <w:sz w:val="21"/>
                <w:szCs w:val="21"/>
              </w:rPr>
              <w:t>T4</w:t>
            </w:r>
            <w:r w:rsidRPr="008A2411">
              <w:rPr>
                <w:rFonts w:ascii="Times New Roman"/>
                <w:color w:val="000000" w:themeColor="text1"/>
                <w:sz w:val="21"/>
                <w:szCs w:val="21"/>
              </w:rPr>
              <w:t>）</w:t>
            </w:r>
          </w:p>
        </w:tc>
      </w:tr>
      <w:tr w:rsidR="008A2411" w:rsidRPr="008A2411" w14:paraId="404A2A86" w14:textId="77777777">
        <w:trPr>
          <w:trHeight w:val="365"/>
          <w:tblHeader/>
        </w:trPr>
        <w:tc>
          <w:tcPr>
            <w:tcW w:w="2750" w:type="pct"/>
            <w:gridSpan w:val="2"/>
            <w:vAlign w:val="center"/>
          </w:tcPr>
          <w:p w14:paraId="340F68CC"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经度</w:t>
            </w:r>
          </w:p>
        </w:tc>
        <w:tc>
          <w:tcPr>
            <w:tcW w:w="2249" w:type="pct"/>
            <w:vAlign w:val="center"/>
          </w:tcPr>
          <w:p w14:paraId="4E341D05"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107.6902</w:t>
            </w:r>
          </w:p>
        </w:tc>
      </w:tr>
      <w:tr w:rsidR="008A2411" w:rsidRPr="008A2411" w14:paraId="4D780E52" w14:textId="77777777">
        <w:trPr>
          <w:trHeight w:val="365"/>
          <w:tblHeader/>
        </w:trPr>
        <w:tc>
          <w:tcPr>
            <w:tcW w:w="2750" w:type="pct"/>
            <w:gridSpan w:val="2"/>
            <w:vAlign w:val="center"/>
          </w:tcPr>
          <w:p w14:paraId="784E2B1F"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纬度</w:t>
            </w:r>
          </w:p>
        </w:tc>
        <w:tc>
          <w:tcPr>
            <w:tcW w:w="2249" w:type="pct"/>
            <w:vAlign w:val="center"/>
          </w:tcPr>
          <w:p w14:paraId="69D9394C"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31.5174</w:t>
            </w:r>
          </w:p>
        </w:tc>
      </w:tr>
      <w:tr w:rsidR="008A2411" w:rsidRPr="008A2411" w14:paraId="136678DB" w14:textId="77777777">
        <w:trPr>
          <w:cantSplit/>
          <w:trHeight w:val="424"/>
        </w:trPr>
        <w:tc>
          <w:tcPr>
            <w:tcW w:w="1083" w:type="pct"/>
            <w:vMerge w:val="restart"/>
            <w:vAlign w:val="center"/>
          </w:tcPr>
          <w:p w14:paraId="11CA4758"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项目</w:t>
            </w:r>
          </w:p>
        </w:tc>
        <w:tc>
          <w:tcPr>
            <w:tcW w:w="1667" w:type="pct"/>
            <w:vAlign w:val="center"/>
          </w:tcPr>
          <w:p w14:paraId="181FAF7F"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采样深度（</w:t>
            </w:r>
            <w:r w:rsidRPr="008A2411">
              <w:rPr>
                <w:rFonts w:ascii="Times New Roman"/>
                <w:color w:val="000000" w:themeColor="text1"/>
                <w:sz w:val="21"/>
                <w:szCs w:val="21"/>
              </w:rPr>
              <w:t>cm</w:t>
            </w:r>
            <w:r w:rsidRPr="008A2411">
              <w:rPr>
                <w:rFonts w:ascii="Times New Roman"/>
                <w:color w:val="000000" w:themeColor="text1"/>
                <w:sz w:val="21"/>
                <w:szCs w:val="21"/>
              </w:rPr>
              <w:t>）</w:t>
            </w:r>
          </w:p>
        </w:tc>
        <w:tc>
          <w:tcPr>
            <w:tcW w:w="2249" w:type="pct"/>
            <w:vAlign w:val="center"/>
          </w:tcPr>
          <w:p w14:paraId="129C5B47"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20</w:t>
            </w:r>
          </w:p>
        </w:tc>
      </w:tr>
      <w:tr w:rsidR="008A2411" w:rsidRPr="008A2411" w14:paraId="7904338A" w14:textId="77777777">
        <w:trPr>
          <w:cantSplit/>
          <w:trHeight w:val="424"/>
        </w:trPr>
        <w:tc>
          <w:tcPr>
            <w:tcW w:w="1083" w:type="pct"/>
            <w:vMerge/>
            <w:vAlign w:val="center"/>
          </w:tcPr>
          <w:p w14:paraId="5D3716AA" w14:textId="77777777" w:rsidR="00B0005F" w:rsidRPr="008A2411" w:rsidRDefault="00B0005F">
            <w:pPr>
              <w:adjustRightInd w:val="0"/>
              <w:snapToGrid w:val="0"/>
              <w:jc w:val="center"/>
              <w:rPr>
                <w:rFonts w:ascii="Times New Roman"/>
                <w:color w:val="000000" w:themeColor="text1"/>
                <w:sz w:val="21"/>
                <w:szCs w:val="21"/>
              </w:rPr>
            </w:pPr>
          </w:p>
        </w:tc>
        <w:tc>
          <w:tcPr>
            <w:tcW w:w="1667" w:type="pct"/>
            <w:vAlign w:val="center"/>
          </w:tcPr>
          <w:p w14:paraId="256D5EF0"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颜色</w:t>
            </w:r>
          </w:p>
        </w:tc>
        <w:tc>
          <w:tcPr>
            <w:tcW w:w="2249" w:type="pct"/>
            <w:vAlign w:val="center"/>
          </w:tcPr>
          <w:p w14:paraId="6FDFD53B"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栗色</w:t>
            </w:r>
          </w:p>
        </w:tc>
      </w:tr>
      <w:tr w:rsidR="008A2411" w:rsidRPr="008A2411" w14:paraId="7C49A5C5" w14:textId="77777777">
        <w:trPr>
          <w:cantSplit/>
          <w:trHeight w:val="424"/>
        </w:trPr>
        <w:tc>
          <w:tcPr>
            <w:tcW w:w="1083" w:type="pct"/>
            <w:vMerge/>
            <w:vAlign w:val="center"/>
          </w:tcPr>
          <w:p w14:paraId="313A1FC2" w14:textId="77777777" w:rsidR="00B0005F" w:rsidRPr="008A2411" w:rsidRDefault="00B0005F">
            <w:pPr>
              <w:adjustRightInd w:val="0"/>
              <w:snapToGrid w:val="0"/>
              <w:jc w:val="center"/>
              <w:rPr>
                <w:rFonts w:ascii="Times New Roman"/>
                <w:color w:val="000000" w:themeColor="text1"/>
                <w:sz w:val="21"/>
                <w:szCs w:val="21"/>
              </w:rPr>
            </w:pPr>
          </w:p>
        </w:tc>
        <w:tc>
          <w:tcPr>
            <w:tcW w:w="1667" w:type="pct"/>
            <w:vAlign w:val="center"/>
          </w:tcPr>
          <w:p w14:paraId="1DE11B3D"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质地</w:t>
            </w:r>
          </w:p>
        </w:tc>
        <w:tc>
          <w:tcPr>
            <w:tcW w:w="2249" w:type="pct"/>
            <w:vAlign w:val="center"/>
          </w:tcPr>
          <w:p w14:paraId="5FDEAAC1"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轻壤土</w:t>
            </w:r>
          </w:p>
        </w:tc>
      </w:tr>
      <w:tr w:rsidR="008A2411" w:rsidRPr="008A2411" w14:paraId="549E4DC3" w14:textId="77777777">
        <w:trPr>
          <w:cantSplit/>
          <w:trHeight w:val="424"/>
        </w:trPr>
        <w:tc>
          <w:tcPr>
            <w:tcW w:w="1083" w:type="pct"/>
            <w:vMerge/>
            <w:vAlign w:val="center"/>
          </w:tcPr>
          <w:p w14:paraId="306979D8" w14:textId="77777777" w:rsidR="00B0005F" w:rsidRPr="008A2411" w:rsidRDefault="00B0005F">
            <w:pPr>
              <w:adjustRightInd w:val="0"/>
              <w:snapToGrid w:val="0"/>
              <w:jc w:val="center"/>
              <w:rPr>
                <w:rFonts w:ascii="Times New Roman"/>
                <w:color w:val="000000" w:themeColor="text1"/>
                <w:sz w:val="21"/>
                <w:szCs w:val="21"/>
              </w:rPr>
            </w:pPr>
          </w:p>
        </w:tc>
        <w:tc>
          <w:tcPr>
            <w:tcW w:w="1667" w:type="pct"/>
            <w:vAlign w:val="center"/>
          </w:tcPr>
          <w:p w14:paraId="59740FEF"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pH</w:t>
            </w:r>
            <w:r w:rsidRPr="008A2411">
              <w:rPr>
                <w:rFonts w:ascii="Times New Roman"/>
                <w:color w:val="000000" w:themeColor="text1"/>
                <w:sz w:val="21"/>
                <w:szCs w:val="21"/>
              </w:rPr>
              <w:t>（无量纲）</w:t>
            </w:r>
          </w:p>
        </w:tc>
        <w:tc>
          <w:tcPr>
            <w:tcW w:w="2249" w:type="pct"/>
            <w:vAlign w:val="center"/>
          </w:tcPr>
          <w:p w14:paraId="54943411"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7.15</w:t>
            </w:r>
          </w:p>
        </w:tc>
      </w:tr>
      <w:tr w:rsidR="008A2411" w:rsidRPr="008A2411" w14:paraId="53406890" w14:textId="77777777">
        <w:trPr>
          <w:cantSplit/>
          <w:trHeight w:val="424"/>
        </w:trPr>
        <w:tc>
          <w:tcPr>
            <w:tcW w:w="1083" w:type="pct"/>
            <w:vMerge/>
            <w:vAlign w:val="center"/>
          </w:tcPr>
          <w:p w14:paraId="581A06A8" w14:textId="77777777" w:rsidR="00B0005F" w:rsidRPr="008A2411" w:rsidRDefault="00B0005F">
            <w:pPr>
              <w:adjustRightInd w:val="0"/>
              <w:snapToGrid w:val="0"/>
              <w:jc w:val="center"/>
              <w:rPr>
                <w:rFonts w:ascii="Times New Roman"/>
                <w:color w:val="000000" w:themeColor="text1"/>
                <w:sz w:val="21"/>
                <w:szCs w:val="21"/>
              </w:rPr>
            </w:pPr>
          </w:p>
        </w:tc>
        <w:tc>
          <w:tcPr>
            <w:tcW w:w="1667" w:type="pct"/>
            <w:vAlign w:val="center"/>
          </w:tcPr>
          <w:p w14:paraId="797E4C8B"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饱和导水率（</w:t>
            </w:r>
            <w:r w:rsidRPr="008A2411">
              <w:rPr>
                <w:rFonts w:ascii="Times New Roman"/>
                <w:color w:val="000000" w:themeColor="text1"/>
                <w:sz w:val="21"/>
                <w:szCs w:val="21"/>
              </w:rPr>
              <w:t>mm/min</w:t>
            </w:r>
            <w:r w:rsidRPr="008A2411">
              <w:rPr>
                <w:rFonts w:ascii="Times New Roman"/>
                <w:color w:val="000000" w:themeColor="text1"/>
                <w:sz w:val="21"/>
                <w:szCs w:val="21"/>
              </w:rPr>
              <w:t>）</w:t>
            </w:r>
          </w:p>
        </w:tc>
        <w:tc>
          <w:tcPr>
            <w:tcW w:w="2249" w:type="pct"/>
            <w:vAlign w:val="center"/>
          </w:tcPr>
          <w:p w14:paraId="7D4B77D0"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0.82</w:t>
            </w:r>
          </w:p>
        </w:tc>
      </w:tr>
      <w:tr w:rsidR="008A2411" w:rsidRPr="008A2411" w14:paraId="3E2191C6" w14:textId="77777777">
        <w:trPr>
          <w:cantSplit/>
          <w:trHeight w:val="424"/>
        </w:trPr>
        <w:tc>
          <w:tcPr>
            <w:tcW w:w="1083" w:type="pct"/>
            <w:vMerge/>
            <w:vAlign w:val="center"/>
          </w:tcPr>
          <w:p w14:paraId="68F83BD8" w14:textId="77777777" w:rsidR="00B0005F" w:rsidRPr="008A2411" w:rsidRDefault="00B0005F">
            <w:pPr>
              <w:adjustRightInd w:val="0"/>
              <w:snapToGrid w:val="0"/>
              <w:jc w:val="center"/>
              <w:rPr>
                <w:rFonts w:ascii="Times New Roman"/>
                <w:color w:val="000000" w:themeColor="text1"/>
                <w:sz w:val="21"/>
                <w:szCs w:val="21"/>
              </w:rPr>
            </w:pPr>
          </w:p>
        </w:tc>
        <w:tc>
          <w:tcPr>
            <w:tcW w:w="1667" w:type="pct"/>
            <w:vAlign w:val="center"/>
          </w:tcPr>
          <w:p w14:paraId="161CBE04"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孔隙度</w:t>
            </w:r>
            <w:r w:rsidRPr="008A2411">
              <w:rPr>
                <w:rFonts w:ascii="Times New Roman"/>
                <w:color w:val="000000" w:themeColor="text1"/>
                <w:sz w:val="21"/>
                <w:szCs w:val="21"/>
              </w:rPr>
              <w:t>(%)</w:t>
            </w:r>
          </w:p>
        </w:tc>
        <w:tc>
          <w:tcPr>
            <w:tcW w:w="2249" w:type="pct"/>
            <w:vAlign w:val="center"/>
          </w:tcPr>
          <w:p w14:paraId="67B24C2F"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41.77</w:t>
            </w:r>
          </w:p>
        </w:tc>
      </w:tr>
      <w:tr w:rsidR="008A2411" w:rsidRPr="008A2411" w14:paraId="2A29FDC3" w14:textId="77777777">
        <w:trPr>
          <w:cantSplit/>
          <w:trHeight w:val="424"/>
        </w:trPr>
        <w:tc>
          <w:tcPr>
            <w:tcW w:w="1083" w:type="pct"/>
            <w:vMerge/>
            <w:vAlign w:val="center"/>
          </w:tcPr>
          <w:p w14:paraId="28E22595" w14:textId="77777777" w:rsidR="00B0005F" w:rsidRPr="008A2411" w:rsidRDefault="00B0005F">
            <w:pPr>
              <w:adjustRightInd w:val="0"/>
              <w:snapToGrid w:val="0"/>
              <w:jc w:val="center"/>
              <w:rPr>
                <w:rFonts w:ascii="Times New Roman"/>
                <w:color w:val="000000" w:themeColor="text1"/>
                <w:sz w:val="21"/>
                <w:szCs w:val="21"/>
              </w:rPr>
            </w:pPr>
          </w:p>
        </w:tc>
        <w:tc>
          <w:tcPr>
            <w:tcW w:w="1667" w:type="pct"/>
            <w:vAlign w:val="center"/>
          </w:tcPr>
          <w:p w14:paraId="06C89801"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容重</w:t>
            </w:r>
            <w:r w:rsidRPr="008A2411">
              <w:rPr>
                <w:rFonts w:ascii="Times New Roman"/>
                <w:color w:val="000000" w:themeColor="text1"/>
                <w:sz w:val="21"/>
                <w:szCs w:val="21"/>
              </w:rPr>
              <w:t>(g/cm</w:t>
            </w:r>
            <w:r w:rsidRPr="008A2411">
              <w:rPr>
                <w:rFonts w:ascii="Times New Roman"/>
                <w:color w:val="000000" w:themeColor="text1"/>
                <w:sz w:val="21"/>
                <w:szCs w:val="21"/>
                <w:vertAlign w:val="superscript"/>
              </w:rPr>
              <w:t>3</w:t>
            </w:r>
            <w:r w:rsidRPr="008A2411">
              <w:rPr>
                <w:rFonts w:ascii="Times New Roman"/>
                <w:color w:val="000000" w:themeColor="text1"/>
                <w:sz w:val="21"/>
                <w:szCs w:val="21"/>
              </w:rPr>
              <w:t>)</w:t>
            </w:r>
          </w:p>
        </w:tc>
        <w:tc>
          <w:tcPr>
            <w:tcW w:w="2249" w:type="pct"/>
            <w:vAlign w:val="center"/>
          </w:tcPr>
          <w:p w14:paraId="587C0DCB"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1.34</w:t>
            </w:r>
          </w:p>
        </w:tc>
      </w:tr>
      <w:tr w:rsidR="008A2411" w:rsidRPr="008A2411" w14:paraId="56E24019" w14:textId="77777777">
        <w:trPr>
          <w:cantSplit/>
          <w:trHeight w:val="424"/>
        </w:trPr>
        <w:tc>
          <w:tcPr>
            <w:tcW w:w="1083" w:type="pct"/>
            <w:vMerge/>
            <w:vAlign w:val="center"/>
          </w:tcPr>
          <w:p w14:paraId="27F8F397" w14:textId="77777777" w:rsidR="00B0005F" w:rsidRPr="008A2411" w:rsidRDefault="00B0005F">
            <w:pPr>
              <w:adjustRightInd w:val="0"/>
              <w:snapToGrid w:val="0"/>
              <w:jc w:val="center"/>
              <w:rPr>
                <w:rFonts w:ascii="Times New Roman"/>
                <w:color w:val="000000" w:themeColor="text1"/>
                <w:sz w:val="21"/>
                <w:szCs w:val="21"/>
              </w:rPr>
            </w:pPr>
          </w:p>
        </w:tc>
        <w:tc>
          <w:tcPr>
            <w:tcW w:w="1667" w:type="pct"/>
            <w:vAlign w:val="center"/>
          </w:tcPr>
          <w:p w14:paraId="14A5A1DA"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阳离子交换量</w:t>
            </w:r>
            <w:r w:rsidRPr="008A2411">
              <w:rPr>
                <w:rFonts w:ascii="Times New Roman"/>
                <w:color w:val="000000" w:themeColor="text1"/>
                <w:sz w:val="21"/>
                <w:szCs w:val="21"/>
              </w:rPr>
              <w:t>(cmol+/kg)</w:t>
            </w:r>
          </w:p>
        </w:tc>
        <w:tc>
          <w:tcPr>
            <w:tcW w:w="2249" w:type="pct"/>
            <w:vAlign w:val="center"/>
          </w:tcPr>
          <w:p w14:paraId="313EF24D"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20.2</w:t>
            </w:r>
          </w:p>
        </w:tc>
      </w:tr>
      <w:tr w:rsidR="008A2411" w:rsidRPr="008A2411" w14:paraId="016A9110" w14:textId="77777777">
        <w:trPr>
          <w:cantSplit/>
          <w:trHeight w:val="431"/>
        </w:trPr>
        <w:tc>
          <w:tcPr>
            <w:tcW w:w="1083" w:type="pct"/>
            <w:vMerge/>
            <w:vAlign w:val="center"/>
          </w:tcPr>
          <w:p w14:paraId="40C1EDE7" w14:textId="77777777" w:rsidR="00B0005F" w:rsidRPr="008A2411" w:rsidRDefault="00B0005F">
            <w:pPr>
              <w:adjustRightInd w:val="0"/>
              <w:snapToGrid w:val="0"/>
              <w:jc w:val="center"/>
              <w:rPr>
                <w:rFonts w:ascii="Times New Roman"/>
                <w:color w:val="000000" w:themeColor="text1"/>
                <w:sz w:val="21"/>
                <w:szCs w:val="21"/>
              </w:rPr>
            </w:pPr>
          </w:p>
        </w:tc>
        <w:tc>
          <w:tcPr>
            <w:tcW w:w="1667" w:type="pct"/>
            <w:vAlign w:val="center"/>
          </w:tcPr>
          <w:p w14:paraId="6AD08331"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氧化还原电位（</w:t>
            </w:r>
            <w:r w:rsidRPr="008A2411">
              <w:rPr>
                <w:rFonts w:ascii="Times New Roman"/>
                <w:color w:val="000000" w:themeColor="text1"/>
                <w:sz w:val="21"/>
                <w:szCs w:val="21"/>
              </w:rPr>
              <w:t>mv</w:t>
            </w:r>
            <w:r w:rsidRPr="008A2411">
              <w:rPr>
                <w:rFonts w:ascii="Times New Roman"/>
                <w:color w:val="000000" w:themeColor="text1"/>
                <w:sz w:val="21"/>
                <w:szCs w:val="21"/>
              </w:rPr>
              <w:t>）</w:t>
            </w:r>
          </w:p>
        </w:tc>
        <w:tc>
          <w:tcPr>
            <w:tcW w:w="2249" w:type="pct"/>
            <w:vAlign w:val="center"/>
          </w:tcPr>
          <w:p w14:paraId="5C45EB8E"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510</w:t>
            </w:r>
          </w:p>
        </w:tc>
      </w:tr>
    </w:tbl>
    <w:p w14:paraId="704BCA8E" w14:textId="77777777" w:rsidR="00B0005F" w:rsidRPr="008A2411" w:rsidRDefault="00000000">
      <w:pPr>
        <w:adjustRightInd w:val="0"/>
        <w:snapToGrid w:val="0"/>
        <w:spacing w:line="360" w:lineRule="auto"/>
        <w:ind w:firstLineChars="200" w:firstLine="480"/>
        <w:rPr>
          <w:rFonts w:ascii="Times New Roman"/>
          <w:color w:val="000000" w:themeColor="text1"/>
          <w:lang w:val="zh-CN"/>
        </w:rPr>
      </w:pPr>
      <w:bookmarkStart w:id="283" w:name="_Hlk100174367"/>
      <w:bookmarkEnd w:id="282"/>
      <w:r w:rsidRPr="008A2411">
        <w:rPr>
          <w:rFonts w:ascii="Times New Roman"/>
          <w:color w:val="000000" w:themeColor="text1"/>
          <w:lang w:val="zh-CN"/>
        </w:rPr>
        <w:t>由上表可知，本项目占地范围内土壤环境中各监测指标均满足《土壤环境质量</w:t>
      </w:r>
      <w:r w:rsidRPr="008A2411">
        <w:rPr>
          <w:rFonts w:ascii="Times New Roman"/>
          <w:color w:val="000000" w:themeColor="text1"/>
          <w:lang w:val="zh-CN"/>
        </w:rPr>
        <w:t xml:space="preserve"> </w:t>
      </w:r>
      <w:r w:rsidRPr="008A2411">
        <w:rPr>
          <w:rFonts w:ascii="Times New Roman"/>
          <w:color w:val="000000" w:themeColor="text1"/>
          <w:lang w:val="zh-CN"/>
        </w:rPr>
        <w:t>建设用地土壤污染风险管控标准（试行）》（</w:t>
      </w:r>
      <w:r w:rsidRPr="008A2411">
        <w:rPr>
          <w:rFonts w:ascii="Times New Roman"/>
          <w:color w:val="000000" w:themeColor="text1"/>
          <w:lang w:val="zh-CN"/>
        </w:rPr>
        <w:t>GB36600-2018</w:t>
      </w:r>
      <w:r w:rsidRPr="008A2411">
        <w:rPr>
          <w:rFonts w:ascii="Times New Roman"/>
          <w:color w:val="000000" w:themeColor="text1"/>
          <w:lang w:val="zh-CN"/>
        </w:rPr>
        <w:t>）表</w:t>
      </w:r>
      <w:r w:rsidRPr="008A2411">
        <w:rPr>
          <w:rFonts w:ascii="Times New Roman"/>
          <w:color w:val="000000" w:themeColor="text1"/>
          <w:lang w:val="zh-CN"/>
        </w:rPr>
        <w:t>1</w:t>
      </w:r>
      <w:r w:rsidRPr="008A2411">
        <w:rPr>
          <w:rFonts w:ascii="Times New Roman"/>
          <w:color w:val="000000" w:themeColor="text1"/>
          <w:lang w:val="zh-CN"/>
        </w:rPr>
        <w:t>、表</w:t>
      </w:r>
      <w:r w:rsidRPr="008A2411">
        <w:rPr>
          <w:rFonts w:ascii="Times New Roman"/>
          <w:color w:val="000000" w:themeColor="text1"/>
          <w:lang w:val="zh-CN"/>
        </w:rPr>
        <w:t>2</w:t>
      </w:r>
      <w:r w:rsidRPr="008A2411">
        <w:rPr>
          <w:rFonts w:ascii="Times New Roman"/>
          <w:color w:val="000000" w:themeColor="text1"/>
          <w:lang w:val="zh-CN"/>
        </w:rPr>
        <w:t>中建设用地土壤污染风险第二类用地筛选值；区域占地范围外土壤环境中各监测指标均满足《土壤环境质量</w:t>
      </w:r>
      <w:r w:rsidRPr="008A2411">
        <w:rPr>
          <w:rFonts w:ascii="Times New Roman"/>
          <w:color w:val="000000" w:themeColor="text1"/>
          <w:lang w:val="zh-CN"/>
        </w:rPr>
        <w:t xml:space="preserve"> </w:t>
      </w:r>
      <w:r w:rsidRPr="008A2411">
        <w:rPr>
          <w:rFonts w:ascii="Times New Roman"/>
          <w:color w:val="000000" w:themeColor="text1"/>
          <w:lang w:val="zh-CN"/>
        </w:rPr>
        <w:t>农用地土壤污染风险管控标准（试行）》（</w:t>
      </w:r>
      <w:r w:rsidRPr="008A2411">
        <w:rPr>
          <w:rFonts w:ascii="Times New Roman"/>
          <w:color w:val="000000" w:themeColor="text1"/>
          <w:lang w:val="zh-CN"/>
        </w:rPr>
        <w:t>GB15618-2018</w:t>
      </w:r>
      <w:r w:rsidRPr="008A2411">
        <w:rPr>
          <w:rFonts w:ascii="Times New Roman"/>
          <w:color w:val="000000" w:themeColor="text1"/>
          <w:lang w:val="zh-CN"/>
        </w:rPr>
        <w:t>）表</w:t>
      </w:r>
      <w:r w:rsidRPr="008A2411">
        <w:rPr>
          <w:rFonts w:ascii="Times New Roman"/>
          <w:color w:val="000000" w:themeColor="text1"/>
          <w:lang w:val="zh-CN"/>
        </w:rPr>
        <w:t>1</w:t>
      </w:r>
      <w:r w:rsidRPr="008A2411">
        <w:rPr>
          <w:rFonts w:ascii="Times New Roman"/>
          <w:color w:val="000000" w:themeColor="text1"/>
          <w:lang w:val="zh-CN"/>
        </w:rPr>
        <w:t>中风险筛选值，</w:t>
      </w:r>
      <w:r w:rsidRPr="008A2411">
        <w:rPr>
          <w:rFonts w:ascii="Times New Roman"/>
          <w:bCs/>
          <w:color w:val="000000" w:themeColor="text1"/>
        </w:rPr>
        <w:t>石油烃（</w:t>
      </w:r>
      <w:r w:rsidRPr="008A2411">
        <w:rPr>
          <w:rFonts w:ascii="Times New Roman"/>
          <w:bCs/>
          <w:color w:val="000000" w:themeColor="text1"/>
        </w:rPr>
        <w:t>C</w:t>
      </w:r>
      <w:r w:rsidRPr="008A2411">
        <w:rPr>
          <w:rFonts w:ascii="Times New Roman"/>
          <w:bCs/>
          <w:color w:val="000000" w:themeColor="text1"/>
          <w:vertAlign w:val="subscript"/>
        </w:rPr>
        <w:t>10</w:t>
      </w:r>
      <w:r w:rsidRPr="008A2411">
        <w:rPr>
          <w:rFonts w:ascii="Times New Roman"/>
          <w:bCs/>
          <w:color w:val="000000" w:themeColor="text1"/>
        </w:rPr>
        <w:t>~C</w:t>
      </w:r>
      <w:r w:rsidRPr="008A2411">
        <w:rPr>
          <w:rFonts w:ascii="Times New Roman"/>
          <w:bCs/>
          <w:color w:val="000000" w:themeColor="text1"/>
          <w:vertAlign w:val="subscript"/>
        </w:rPr>
        <w:t>40</w:t>
      </w:r>
      <w:r w:rsidRPr="008A2411">
        <w:rPr>
          <w:rFonts w:ascii="Times New Roman"/>
          <w:bCs/>
          <w:color w:val="000000" w:themeColor="text1"/>
        </w:rPr>
        <w:t>）满足</w:t>
      </w:r>
      <w:r w:rsidRPr="008A2411">
        <w:rPr>
          <w:rFonts w:ascii="Times New Roman"/>
          <w:color w:val="000000" w:themeColor="text1"/>
        </w:rPr>
        <w:t>《土壤环境质量</w:t>
      </w:r>
      <w:r w:rsidRPr="008A2411">
        <w:rPr>
          <w:rFonts w:ascii="Times New Roman"/>
          <w:color w:val="000000" w:themeColor="text1"/>
        </w:rPr>
        <w:t xml:space="preserve"> </w:t>
      </w:r>
      <w:r w:rsidRPr="008A2411">
        <w:rPr>
          <w:rFonts w:ascii="Times New Roman"/>
          <w:color w:val="000000" w:themeColor="text1"/>
        </w:rPr>
        <w:t>建设用地土壤污染风险管控标准（试行）》（</w:t>
      </w:r>
      <w:r w:rsidRPr="008A2411">
        <w:rPr>
          <w:rFonts w:ascii="Times New Roman"/>
          <w:color w:val="000000" w:themeColor="text1"/>
        </w:rPr>
        <w:t>GB36600-2018</w:t>
      </w:r>
      <w:r w:rsidRPr="008A2411">
        <w:rPr>
          <w:rFonts w:ascii="Times New Roman"/>
          <w:color w:val="000000" w:themeColor="text1"/>
        </w:rPr>
        <w:t>）表</w:t>
      </w:r>
      <w:r w:rsidRPr="008A2411">
        <w:rPr>
          <w:rFonts w:ascii="Times New Roman"/>
          <w:color w:val="000000" w:themeColor="text1"/>
        </w:rPr>
        <w:t>1</w:t>
      </w:r>
      <w:r w:rsidRPr="008A2411">
        <w:rPr>
          <w:rFonts w:ascii="Times New Roman"/>
          <w:color w:val="000000" w:themeColor="text1"/>
        </w:rPr>
        <w:t>中建设用地土壤污染</w:t>
      </w:r>
      <w:proofErr w:type="gramStart"/>
      <w:r w:rsidRPr="008A2411">
        <w:rPr>
          <w:rFonts w:ascii="Times New Roman"/>
          <w:color w:val="000000" w:themeColor="text1"/>
        </w:rPr>
        <w:t>风险第</w:t>
      </w:r>
      <w:proofErr w:type="gramEnd"/>
      <w:r w:rsidRPr="008A2411">
        <w:rPr>
          <w:rFonts w:ascii="Times New Roman"/>
          <w:color w:val="000000" w:themeColor="text1"/>
        </w:rPr>
        <w:t>一类用地筛选值</w:t>
      </w:r>
      <w:r w:rsidRPr="008A2411">
        <w:rPr>
          <w:rFonts w:ascii="Times New Roman"/>
          <w:color w:val="000000" w:themeColor="text1"/>
          <w:lang w:val="zh-CN"/>
        </w:rPr>
        <w:t>。区域土壤环境质量良好。</w:t>
      </w:r>
    </w:p>
    <w:bookmarkEnd w:id="283"/>
    <w:p w14:paraId="26A6AF30" w14:textId="77777777" w:rsidR="00B0005F" w:rsidRPr="008A2411" w:rsidRDefault="00B0005F">
      <w:pPr>
        <w:widowControl/>
        <w:adjustRightInd w:val="0"/>
        <w:snapToGrid w:val="0"/>
        <w:spacing w:line="360" w:lineRule="auto"/>
        <w:ind w:firstLineChars="200" w:firstLine="480"/>
        <w:jc w:val="left"/>
        <w:rPr>
          <w:rFonts w:ascii="Times New Roman"/>
          <w:snapToGrid w:val="0"/>
          <w:color w:val="000000" w:themeColor="text1"/>
          <w:szCs w:val="24"/>
        </w:rPr>
      </w:pPr>
    </w:p>
    <w:p w14:paraId="639B7E5B" w14:textId="77777777" w:rsidR="00B0005F" w:rsidRPr="008A2411" w:rsidRDefault="00B0005F">
      <w:pPr>
        <w:pStyle w:val="TOC2"/>
        <w:rPr>
          <w:rFonts w:ascii="Times New Roman" w:hAnsi="Times New Roman" w:cs="Times New Roman"/>
          <w:snapToGrid w:val="0"/>
          <w:color w:val="000000" w:themeColor="text1"/>
          <w:szCs w:val="24"/>
        </w:rPr>
      </w:pPr>
    </w:p>
    <w:p w14:paraId="5F4B528E" w14:textId="77777777" w:rsidR="00B0005F" w:rsidRPr="008A2411" w:rsidRDefault="00000000">
      <w:pPr>
        <w:rPr>
          <w:rFonts w:ascii="Times New Roman"/>
          <w:snapToGrid w:val="0"/>
          <w:color w:val="000000" w:themeColor="text1"/>
          <w:szCs w:val="24"/>
        </w:rPr>
      </w:pPr>
      <w:r w:rsidRPr="008A2411">
        <w:rPr>
          <w:rFonts w:ascii="Times New Roman"/>
          <w:snapToGrid w:val="0"/>
          <w:color w:val="000000" w:themeColor="text1"/>
          <w:szCs w:val="24"/>
        </w:rPr>
        <w:br w:type="page"/>
      </w:r>
    </w:p>
    <w:p w14:paraId="67AB0832" w14:textId="77777777" w:rsidR="00B0005F" w:rsidRPr="008A2411" w:rsidRDefault="00000000">
      <w:pPr>
        <w:pStyle w:val="11"/>
        <w:numPr>
          <w:ilvl w:val="0"/>
          <w:numId w:val="0"/>
        </w:numPr>
        <w:snapToGrid w:val="0"/>
        <w:spacing w:before="0" w:afterLines="0" w:after="0" w:line="360" w:lineRule="auto"/>
        <w:jc w:val="center"/>
        <w:rPr>
          <w:rFonts w:ascii="Times New Roman" w:eastAsia="宋体"/>
          <w:color w:val="000000" w:themeColor="text1"/>
        </w:rPr>
      </w:pPr>
      <w:bookmarkStart w:id="284" w:name="_Toc469780863"/>
      <w:bookmarkStart w:id="285" w:name="_Toc19108247"/>
      <w:bookmarkStart w:id="286" w:name="_Toc109170768"/>
      <w:bookmarkStart w:id="287" w:name="_Toc319852932"/>
      <w:bookmarkStart w:id="288" w:name="_Toc405905322"/>
      <w:bookmarkStart w:id="289" w:name="_Toc422906870"/>
      <w:bookmarkStart w:id="290" w:name="_Toc405904850"/>
      <w:bookmarkStart w:id="291" w:name="_Toc405214256"/>
      <w:bookmarkStart w:id="292" w:name="_Toc405904506"/>
      <w:bookmarkStart w:id="293" w:name="_Toc451355402"/>
      <w:bookmarkStart w:id="294" w:name="_Toc113700839"/>
      <w:bookmarkStart w:id="295" w:name="_Toc117874751"/>
      <w:bookmarkStart w:id="296" w:name="_Toc93425743"/>
      <w:bookmarkStart w:id="297" w:name="_Toc79661198"/>
      <w:bookmarkStart w:id="298" w:name="_Toc127891774"/>
      <w:bookmarkStart w:id="299" w:name="_Toc130316032"/>
      <w:bookmarkStart w:id="300" w:name="_Toc251939801"/>
      <w:bookmarkStart w:id="301" w:name="_Toc128178336"/>
      <w:bookmarkStart w:id="302" w:name="_Toc282443970"/>
      <w:bookmarkStart w:id="303" w:name="_Toc91609848"/>
      <w:bookmarkEnd w:id="284"/>
      <w:r w:rsidRPr="008A2411">
        <w:rPr>
          <w:rFonts w:ascii="Times New Roman" w:eastAsia="宋体"/>
          <w:color w:val="000000" w:themeColor="text1"/>
        </w:rPr>
        <w:lastRenderedPageBreak/>
        <w:t>第五章</w:t>
      </w:r>
      <w:r w:rsidRPr="008A2411">
        <w:rPr>
          <w:rFonts w:ascii="Times New Roman" w:eastAsia="宋体"/>
          <w:color w:val="000000" w:themeColor="text1"/>
        </w:rPr>
        <w:t xml:space="preserve">  </w:t>
      </w:r>
      <w:r w:rsidRPr="008A2411">
        <w:rPr>
          <w:rFonts w:ascii="Times New Roman" w:eastAsia="宋体"/>
          <w:color w:val="000000" w:themeColor="text1"/>
        </w:rPr>
        <w:t>环境影响分析</w:t>
      </w:r>
      <w:bookmarkEnd w:id="285"/>
      <w:bookmarkEnd w:id="286"/>
    </w:p>
    <w:p w14:paraId="2766549C" w14:textId="77777777" w:rsidR="00B0005F" w:rsidRPr="008A2411" w:rsidRDefault="00000000">
      <w:pPr>
        <w:pStyle w:val="WJ2"/>
        <w:rPr>
          <w:rFonts w:ascii="Times New Roman" w:hAnsi="Times New Roman"/>
          <w:color w:val="000000" w:themeColor="text1"/>
        </w:rPr>
      </w:pPr>
      <w:bookmarkStart w:id="304" w:name="_Toc109170769"/>
      <w:r w:rsidRPr="008A2411">
        <w:rPr>
          <w:rFonts w:ascii="Times New Roman" w:hAnsi="Times New Roman"/>
          <w:color w:val="000000" w:themeColor="text1"/>
        </w:rPr>
        <w:t>5.1</w:t>
      </w:r>
      <w:r w:rsidRPr="008A2411">
        <w:rPr>
          <w:rFonts w:ascii="Times New Roman" w:hAnsi="Times New Roman"/>
          <w:color w:val="000000" w:themeColor="text1"/>
        </w:rPr>
        <w:t>施工期环境影响分析</w:t>
      </w:r>
      <w:bookmarkStart w:id="305" w:name="_Toc405214257"/>
      <w:bookmarkStart w:id="306" w:name="_Toc405904851"/>
      <w:bookmarkStart w:id="307" w:name="_Toc405905323"/>
      <w:bookmarkStart w:id="308" w:name="_Toc319852933"/>
      <w:bookmarkStart w:id="309" w:name="_Toc405904507"/>
      <w:bookmarkEnd w:id="287"/>
      <w:bookmarkEnd w:id="288"/>
      <w:bookmarkEnd w:id="289"/>
      <w:bookmarkEnd w:id="290"/>
      <w:bookmarkEnd w:id="291"/>
      <w:bookmarkEnd w:id="292"/>
      <w:bookmarkEnd w:id="293"/>
      <w:bookmarkEnd w:id="304"/>
    </w:p>
    <w:p w14:paraId="1BC8B479" w14:textId="77777777" w:rsidR="00B0005F" w:rsidRPr="008A2411" w:rsidRDefault="00000000">
      <w:pPr>
        <w:pStyle w:val="WJ3"/>
        <w:rPr>
          <w:rFonts w:ascii="Times New Roman" w:hAnsi="Times New Roman"/>
          <w:color w:val="000000" w:themeColor="text1"/>
        </w:rPr>
      </w:pPr>
      <w:bookmarkStart w:id="310" w:name="_Toc451355403"/>
      <w:bookmarkStart w:id="311" w:name="_Toc422906871"/>
      <w:r w:rsidRPr="008A2411">
        <w:rPr>
          <w:rFonts w:ascii="Times New Roman" w:hAnsi="Times New Roman"/>
          <w:color w:val="000000" w:themeColor="text1"/>
        </w:rPr>
        <w:t>5.1.1</w:t>
      </w:r>
      <w:r w:rsidRPr="008A2411">
        <w:rPr>
          <w:rFonts w:ascii="Times New Roman" w:hAnsi="Times New Roman"/>
          <w:color w:val="000000" w:themeColor="text1"/>
        </w:rPr>
        <w:t>施工期大气环境影响分析</w:t>
      </w:r>
      <w:bookmarkEnd w:id="305"/>
      <w:bookmarkEnd w:id="306"/>
      <w:bookmarkEnd w:id="307"/>
      <w:bookmarkEnd w:id="308"/>
      <w:bookmarkEnd w:id="309"/>
      <w:bookmarkEnd w:id="310"/>
      <w:bookmarkEnd w:id="311"/>
    </w:p>
    <w:p w14:paraId="7DC04A97"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本项目施工阶段场地废气污染源主要是施工工地扬尘，其次是施工机械设备燃油（汽油或柴油）烟气及各型施工运载车辆的尾气。</w:t>
      </w:r>
    </w:p>
    <w:p w14:paraId="54FA6B61" w14:textId="110C2CCD"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项目建设期的主要污染因子是扬尘，其排放源较多，主要为：建筑材料（砂石、水泥）的无遮盖、超量运输泄漏、粗放式卸料、用料造成的扬尘；工地材料、渣堆、土堆的露天堆放，随风造成的扬尘污染；裸露道路上行驶的运输车辆产生的扬尘；开挖会产生大量的粉尘。施工扬尘在空气中的飘扬距离与空气动力特性有关，特别是与风速和大气稳定度关系密切。在大气稳定度处于稳定状态时，其传播距离较近，风速较小时，其传播距离也较近。如遇干旱无雨季节，加上大风，施工扬尘则更为严重。</w:t>
      </w:r>
    </w:p>
    <w:p w14:paraId="25F65111"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据有关调查显示，施工工地的扬尘主要是由运输车辆的行驶产生，约占扬尘总量的</w:t>
      </w:r>
      <w:r w:rsidRPr="008A2411">
        <w:rPr>
          <w:rFonts w:ascii="Times New Roman" w:hAnsi="Times New Roman"/>
          <w:color w:val="000000" w:themeColor="text1"/>
        </w:rPr>
        <w:t>60%</w:t>
      </w:r>
      <w:r w:rsidRPr="008A2411">
        <w:rPr>
          <w:rFonts w:ascii="Times New Roman" w:hAnsi="Times New Roman"/>
          <w:color w:val="000000" w:themeColor="text1"/>
        </w:rPr>
        <w:t>，并与道路路面车辆行驶速度有关，一般情况下，施工场地、施工道路在自然风作用下产生的扬尘所影响的范围在</w:t>
      </w:r>
      <w:r w:rsidRPr="008A2411">
        <w:rPr>
          <w:rFonts w:ascii="Times New Roman" w:hAnsi="Times New Roman"/>
          <w:color w:val="000000" w:themeColor="text1"/>
        </w:rPr>
        <w:t>100m</w:t>
      </w:r>
      <w:r w:rsidRPr="008A2411">
        <w:rPr>
          <w:rFonts w:ascii="Times New Roman" w:hAnsi="Times New Roman"/>
          <w:color w:val="000000" w:themeColor="text1"/>
        </w:rPr>
        <w:t>以内。如果在施工期间对车辆行驶的路面实施洒水抑尘，每天洒水</w:t>
      </w:r>
      <w:r w:rsidRPr="008A2411">
        <w:rPr>
          <w:rFonts w:ascii="Times New Roman" w:hAnsi="Times New Roman"/>
          <w:color w:val="000000" w:themeColor="text1"/>
        </w:rPr>
        <w:t>4-5</w:t>
      </w:r>
      <w:r w:rsidRPr="008A2411">
        <w:rPr>
          <w:rFonts w:ascii="Times New Roman" w:hAnsi="Times New Roman"/>
          <w:color w:val="000000" w:themeColor="text1"/>
        </w:rPr>
        <w:t>次，可使扬尘减少</w:t>
      </w:r>
      <w:r w:rsidRPr="008A2411">
        <w:rPr>
          <w:rFonts w:ascii="Times New Roman" w:hAnsi="Times New Roman"/>
          <w:color w:val="000000" w:themeColor="text1"/>
        </w:rPr>
        <w:t>70%</w:t>
      </w:r>
      <w:r w:rsidRPr="008A2411">
        <w:rPr>
          <w:rFonts w:ascii="Times New Roman" w:hAnsi="Times New Roman"/>
          <w:color w:val="000000" w:themeColor="text1"/>
        </w:rPr>
        <w:t>左右，有效地控制施工扬尘，将</w:t>
      </w:r>
      <w:r w:rsidRPr="008A2411">
        <w:rPr>
          <w:rFonts w:ascii="Times New Roman" w:hAnsi="Times New Roman"/>
          <w:color w:val="000000" w:themeColor="text1"/>
        </w:rPr>
        <w:t>TSP</w:t>
      </w:r>
      <w:r w:rsidRPr="008A2411">
        <w:rPr>
          <w:rFonts w:ascii="Times New Roman" w:hAnsi="Times New Roman"/>
          <w:color w:val="000000" w:themeColor="text1"/>
        </w:rPr>
        <w:t>污染距离缩小到</w:t>
      </w:r>
      <w:r w:rsidRPr="008A2411">
        <w:rPr>
          <w:rFonts w:ascii="Times New Roman" w:hAnsi="Times New Roman"/>
          <w:color w:val="000000" w:themeColor="text1"/>
        </w:rPr>
        <w:t>20-50m</w:t>
      </w:r>
      <w:r w:rsidRPr="008A2411">
        <w:rPr>
          <w:rFonts w:ascii="Times New Roman" w:hAnsi="Times New Roman"/>
          <w:color w:val="000000" w:themeColor="text1"/>
        </w:rPr>
        <w:t>范围内。此外，由于扬尘量与道路和车辆的行驶速度有关，速度愈快，其扬尘量势必愈大，所以在施工场地，对施工车辆必须实施限速行驶，一方面是减少扬尘发生量，另一方面也是出于施工安全的考虑。</w:t>
      </w:r>
    </w:p>
    <w:p w14:paraId="7590B112"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在站场建筑施工中由于使用柴油机等设备，将有少量的燃烧烟气产生，主要污染物的</w:t>
      </w:r>
      <w:r w:rsidRPr="008A2411">
        <w:rPr>
          <w:rFonts w:ascii="Times New Roman" w:hAnsi="Times New Roman"/>
          <w:color w:val="000000" w:themeColor="text1"/>
        </w:rPr>
        <w:t>SO</w:t>
      </w:r>
      <w:r w:rsidRPr="008A2411">
        <w:rPr>
          <w:rFonts w:ascii="Times New Roman" w:hAnsi="Times New Roman"/>
          <w:color w:val="000000" w:themeColor="text1"/>
          <w:vertAlign w:val="subscript"/>
        </w:rPr>
        <w:t>2</w:t>
      </w:r>
      <w:r w:rsidRPr="008A2411">
        <w:rPr>
          <w:rFonts w:ascii="Times New Roman" w:hAnsi="Times New Roman"/>
          <w:color w:val="000000" w:themeColor="text1"/>
        </w:rPr>
        <w:t>、</w:t>
      </w:r>
      <w:r w:rsidRPr="008A2411">
        <w:rPr>
          <w:rFonts w:ascii="Times New Roman" w:hAnsi="Times New Roman"/>
          <w:color w:val="000000" w:themeColor="text1"/>
        </w:rPr>
        <w:t>NO</w:t>
      </w:r>
      <w:r w:rsidRPr="008A2411">
        <w:rPr>
          <w:rFonts w:ascii="Times New Roman" w:hAnsi="Times New Roman"/>
          <w:color w:val="000000" w:themeColor="text1"/>
          <w:vertAlign w:val="subscript"/>
        </w:rPr>
        <w:t>2</w:t>
      </w:r>
      <w:r w:rsidRPr="008A2411">
        <w:rPr>
          <w:rFonts w:ascii="Times New Roman" w:hAnsi="Times New Roman"/>
          <w:color w:val="000000" w:themeColor="text1"/>
        </w:rPr>
        <w:t>、</w:t>
      </w:r>
      <w:r w:rsidRPr="008A2411">
        <w:rPr>
          <w:rFonts w:ascii="Times New Roman" w:hAnsi="Times New Roman"/>
          <w:color w:val="000000" w:themeColor="text1"/>
        </w:rPr>
        <w:t>C</w:t>
      </w:r>
      <w:r w:rsidRPr="008A2411">
        <w:rPr>
          <w:rFonts w:ascii="Times New Roman" w:hAnsi="Times New Roman"/>
          <w:color w:val="000000" w:themeColor="text1"/>
          <w:vertAlign w:val="subscript"/>
        </w:rPr>
        <w:t>m</w:t>
      </w:r>
      <w:r w:rsidRPr="008A2411">
        <w:rPr>
          <w:rFonts w:ascii="Times New Roman" w:hAnsi="Times New Roman"/>
          <w:color w:val="000000" w:themeColor="text1"/>
        </w:rPr>
        <w:t>H</w:t>
      </w:r>
      <w:r w:rsidRPr="008A2411">
        <w:rPr>
          <w:rFonts w:ascii="Times New Roman" w:hAnsi="Times New Roman"/>
          <w:color w:val="000000" w:themeColor="text1"/>
          <w:vertAlign w:val="subscript"/>
        </w:rPr>
        <w:t>n</w:t>
      </w:r>
      <w:r w:rsidRPr="008A2411">
        <w:rPr>
          <w:rFonts w:ascii="Times New Roman" w:hAnsi="Times New Roman"/>
          <w:color w:val="000000" w:themeColor="text1"/>
        </w:rPr>
        <w:t>等。由于废气量较小，且施工场地较空旷，有利于废气的扩散，同时废气污染源具有间歇性和流动性，因此对局部地区的环境影响较轻。</w:t>
      </w:r>
    </w:p>
    <w:p w14:paraId="4AE5ECB6"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为防止和减少施工期间废气和扬尘的污染，施工单位应加强统一、严格、规范管理制度和措施，纳入本单位环保管理程序。按照国家有关建筑施工的有关规定，建议采取如下措施：</w:t>
      </w:r>
    </w:p>
    <w:p w14:paraId="71B6CE9E"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 xml:space="preserve">① </w:t>
      </w:r>
      <w:r w:rsidRPr="008A2411">
        <w:rPr>
          <w:rFonts w:ascii="Times New Roman" w:hAnsi="Times New Roman"/>
          <w:color w:val="000000" w:themeColor="text1"/>
        </w:rPr>
        <w:t>项目在地基施工过程中会产生一定的扬尘，在施工过程中应注意文明施</w:t>
      </w:r>
      <w:r w:rsidRPr="008A2411">
        <w:rPr>
          <w:rFonts w:ascii="Times New Roman" w:hAnsi="Times New Roman"/>
          <w:color w:val="000000" w:themeColor="text1"/>
        </w:rPr>
        <w:lastRenderedPageBreak/>
        <w:t>工，做到洒水作业，减少扬尘堆周围环境的污染。</w:t>
      </w:r>
    </w:p>
    <w:p w14:paraId="0D216EB3"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 xml:space="preserve">② </w:t>
      </w:r>
      <w:r w:rsidRPr="008A2411">
        <w:rPr>
          <w:rFonts w:ascii="Times New Roman" w:hAnsi="Times New Roman"/>
          <w:color w:val="000000" w:themeColor="text1"/>
        </w:rPr>
        <w:t>项目建设过程中需要使用建筑材料，这些建材在装卸、堆放、拌和过程中会产生大量粉尘外逸，施工单位必须加强施工区的规划管理，将建筑材料（主要是黄砂、石子）的堆场定点定位，并采取</w:t>
      </w:r>
      <w:proofErr w:type="gramStart"/>
      <w:r w:rsidRPr="008A2411">
        <w:rPr>
          <w:rFonts w:ascii="Times New Roman" w:hAnsi="Times New Roman"/>
          <w:color w:val="000000" w:themeColor="text1"/>
        </w:rPr>
        <w:t>防尘抑尘措施</w:t>
      </w:r>
      <w:proofErr w:type="gramEnd"/>
      <w:r w:rsidRPr="008A2411">
        <w:rPr>
          <w:rFonts w:ascii="Times New Roman" w:hAnsi="Times New Roman"/>
          <w:color w:val="000000" w:themeColor="text1"/>
        </w:rPr>
        <w:t>，如在大风天气，对散料堆场采用水喷淋防尘，并用蓬布遮盖建筑材料。</w:t>
      </w:r>
    </w:p>
    <w:p w14:paraId="56A080B3"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 xml:space="preserve">③ </w:t>
      </w:r>
      <w:r w:rsidRPr="008A2411">
        <w:rPr>
          <w:rFonts w:ascii="Times New Roman" w:hAnsi="Times New Roman"/>
          <w:color w:val="000000" w:themeColor="text1"/>
        </w:rPr>
        <w:t>施工期间泥尘量大，进出施工现场车辆将使地面起尘，因此运输车辆进出的主干道应定期洒水清扫，保持车辆出入口路面清洁、湿润，以减少汽车轮胎与路面接触而引起的地面扬尘污染，并尽量减缓行驶车速。</w:t>
      </w:r>
    </w:p>
    <w:p w14:paraId="66762B4A"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 xml:space="preserve">④ </w:t>
      </w:r>
      <w:r w:rsidRPr="008A2411">
        <w:rPr>
          <w:rFonts w:ascii="Times New Roman" w:hAnsi="Times New Roman"/>
          <w:color w:val="000000" w:themeColor="text1"/>
        </w:rPr>
        <w:t>运输沙、石、水泥、剩余弃土、垃圾的车辆装载高度应低于车箱上沿，不得超高超载。实行封闭运输，以免车辆颠簸撒漏。坚持文明装卸，运输车辆装卸完货后应清洗车厢。施工车辆及运输车辆在驶出施工区之前，需作清泥除尘处理，不得将泥土尘土带出工地。</w:t>
      </w:r>
    </w:p>
    <w:p w14:paraId="5E67B509"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 xml:space="preserve">⑤ </w:t>
      </w:r>
      <w:r w:rsidRPr="008A2411">
        <w:rPr>
          <w:rFonts w:ascii="Times New Roman" w:hAnsi="Times New Roman"/>
          <w:color w:val="000000" w:themeColor="text1"/>
        </w:rPr>
        <w:t>加强对机械、车辆的维修保养，禁止以柴油为燃料的施工机械超负荷工作，减少烟度和颗粒物排放。</w:t>
      </w:r>
    </w:p>
    <w:p w14:paraId="4B98FD79"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项目施工场地相对集中，工程区平均风速较小，通常大气扩散条件较好</w:t>
      </w:r>
      <w:r w:rsidRPr="008A2411">
        <w:rPr>
          <w:rFonts w:ascii="Times New Roman" w:hAnsi="Times New Roman" w:hint="eastAsia"/>
          <w:color w:val="000000" w:themeColor="text1"/>
        </w:rPr>
        <w:t>，</w:t>
      </w:r>
      <w:r w:rsidRPr="008A2411">
        <w:rPr>
          <w:rFonts w:ascii="Times New Roman" w:hAnsi="Times New Roman"/>
          <w:color w:val="000000" w:themeColor="text1"/>
        </w:rPr>
        <w:t>因此，项目施工期外排的大气污染物对周围环境敏感点影响较小。</w:t>
      </w:r>
    </w:p>
    <w:p w14:paraId="4740F7AE" w14:textId="77777777" w:rsidR="00B0005F" w:rsidRPr="008A2411" w:rsidRDefault="00000000">
      <w:pPr>
        <w:pStyle w:val="WJ3"/>
        <w:rPr>
          <w:rFonts w:ascii="Times New Roman" w:hAnsi="Times New Roman"/>
          <w:color w:val="000000" w:themeColor="text1"/>
        </w:rPr>
      </w:pPr>
      <w:bookmarkStart w:id="312" w:name="_Toc405214258"/>
      <w:bookmarkStart w:id="313" w:name="_Toc405904852"/>
      <w:bookmarkStart w:id="314" w:name="_Toc405904508"/>
      <w:bookmarkStart w:id="315" w:name="_Toc319852934"/>
      <w:bookmarkStart w:id="316" w:name="_Toc405905324"/>
      <w:bookmarkStart w:id="317" w:name="_Toc422906872"/>
      <w:r w:rsidRPr="008A2411">
        <w:rPr>
          <w:rFonts w:ascii="Times New Roman" w:hAnsi="Times New Roman"/>
          <w:color w:val="000000" w:themeColor="text1"/>
        </w:rPr>
        <w:t xml:space="preserve">5.1.2 </w:t>
      </w:r>
      <w:r w:rsidRPr="008A2411">
        <w:rPr>
          <w:rFonts w:ascii="Times New Roman" w:hAnsi="Times New Roman"/>
          <w:color w:val="000000" w:themeColor="text1"/>
        </w:rPr>
        <w:t>地表水环境影响分析</w:t>
      </w:r>
      <w:bookmarkEnd w:id="312"/>
      <w:bookmarkEnd w:id="313"/>
      <w:bookmarkEnd w:id="314"/>
      <w:bookmarkEnd w:id="315"/>
      <w:bookmarkEnd w:id="316"/>
      <w:bookmarkEnd w:id="317"/>
    </w:p>
    <w:p w14:paraId="226A9731"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施工期废水主要为少量施工废水和施工人员生活污水。</w:t>
      </w:r>
    </w:p>
    <w:p w14:paraId="6E37097E"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拟建工程施工期间产生的生产废水主要来源于砂石骨料加工废水和出场车辆清洗废水。生产废水中主要污染物为</w:t>
      </w:r>
      <w:r w:rsidRPr="008A2411">
        <w:rPr>
          <w:rFonts w:ascii="Times New Roman" w:hAnsi="Times New Roman"/>
          <w:color w:val="000000" w:themeColor="text1"/>
        </w:rPr>
        <w:t>SS</w:t>
      </w:r>
      <w:r w:rsidRPr="008A2411">
        <w:rPr>
          <w:rFonts w:ascii="Times New Roman" w:hAnsi="Times New Roman"/>
          <w:color w:val="000000" w:themeColor="text1"/>
        </w:rPr>
        <w:t>，其浓度最高可达</w:t>
      </w:r>
      <w:r w:rsidRPr="008A2411">
        <w:rPr>
          <w:rFonts w:ascii="Times New Roman" w:hAnsi="Times New Roman"/>
          <w:color w:val="000000" w:themeColor="text1"/>
        </w:rPr>
        <w:t>3000mg/L</w:t>
      </w:r>
      <w:r w:rsidRPr="008A2411">
        <w:rPr>
          <w:rFonts w:ascii="Times New Roman" w:hAnsi="Times New Roman"/>
          <w:color w:val="000000" w:themeColor="text1"/>
        </w:rPr>
        <w:t>。</w:t>
      </w:r>
      <w:proofErr w:type="gramStart"/>
      <w:r w:rsidRPr="008A2411">
        <w:rPr>
          <w:rFonts w:ascii="Times New Roman" w:hAnsi="Times New Roman"/>
          <w:color w:val="000000" w:themeColor="text1"/>
        </w:rPr>
        <w:t>本环评要求</w:t>
      </w:r>
      <w:proofErr w:type="gramEnd"/>
      <w:r w:rsidRPr="008A2411">
        <w:rPr>
          <w:rFonts w:ascii="Times New Roman" w:hAnsi="Times New Roman"/>
          <w:color w:val="000000" w:themeColor="text1"/>
        </w:rPr>
        <w:t>施工方修建简易沉淀池，施工废水经沉淀处理后循环使用，禁止外排。</w:t>
      </w:r>
    </w:p>
    <w:p w14:paraId="507406AE" w14:textId="77777777" w:rsidR="00B0005F" w:rsidRPr="008A2411" w:rsidRDefault="00000000">
      <w:pPr>
        <w:pStyle w:val="WJ"/>
        <w:rPr>
          <w:rFonts w:ascii="Times New Roman" w:hAnsi="Times New Roman"/>
          <w:color w:val="000000" w:themeColor="text1"/>
          <w:lang w:bidi="en-US"/>
        </w:rPr>
      </w:pPr>
      <w:bookmarkStart w:id="318" w:name="_Toc319852935"/>
      <w:r w:rsidRPr="008A2411">
        <w:rPr>
          <w:rFonts w:ascii="Times New Roman" w:hAnsi="Times New Roman"/>
          <w:color w:val="000000" w:themeColor="text1"/>
          <w:lang w:bidi="en-US"/>
        </w:rPr>
        <w:t>施工人员每天产生的生活污水约</w:t>
      </w:r>
      <w:r w:rsidRPr="008A2411">
        <w:rPr>
          <w:rFonts w:ascii="Times New Roman" w:hAnsi="Times New Roman"/>
          <w:color w:val="000000" w:themeColor="text1"/>
          <w:lang w:bidi="en-US"/>
        </w:rPr>
        <w:t>6.8m</w:t>
      </w:r>
      <w:r w:rsidRPr="008A2411">
        <w:rPr>
          <w:rFonts w:ascii="Times New Roman" w:hAnsi="Times New Roman"/>
          <w:color w:val="000000" w:themeColor="text1"/>
          <w:vertAlign w:val="superscript"/>
          <w:lang w:bidi="en-US"/>
        </w:rPr>
        <w:t>3</w:t>
      </w:r>
      <w:r w:rsidRPr="008A2411">
        <w:rPr>
          <w:rFonts w:ascii="Times New Roman" w:hAnsi="Times New Roman"/>
          <w:color w:val="000000" w:themeColor="text1"/>
          <w:lang w:bidi="en-US"/>
        </w:rPr>
        <w:t>，经附近农户已建的卫生厕所收集后用作农肥。</w:t>
      </w:r>
    </w:p>
    <w:p w14:paraId="0E312E3C" w14:textId="77777777" w:rsidR="00B0005F" w:rsidRPr="008A2411" w:rsidRDefault="00000000">
      <w:pPr>
        <w:pStyle w:val="WJ"/>
        <w:rPr>
          <w:rFonts w:ascii="Times New Roman" w:hAnsi="Times New Roman"/>
          <w:color w:val="000000" w:themeColor="text1"/>
          <w:lang w:bidi="en-US"/>
        </w:rPr>
      </w:pPr>
      <w:r w:rsidRPr="008A2411">
        <w:rPr>
          <w:rFonts w:ascii="Times New Roman" w:hAnsi="Times New Roman"/>
          <w:color w:val="000000" w:themeColor="text1"/>
          <w:lang w:bidi="en-US"/>
        </w:rPr>
        <w:t>因此，项目建设施工不会对地表水环境造成明显影响。</w:t>
      </w:r>
    </w:p>
    <w:p w14:paraId="0FC7724A" w14:textId="77777777" w:rsidR="00B0005F" w:rsidRPr="008A2411" w:rsidRDefault="00000000">
      <w:pPr>
        <w:pStyle w:val="WJ3"/>
        <w:rPr>
          <w:rFonts w:ascii="Times New Roman" w:hAnsi="Times New Roman"/>
          <w:color w:val="000000" w:themeColor="text1"/>
        </w:rPr>
      </w:pPr>
      <w:bookmarkStart w:id="319" w:name="_Toc405904853"/>
      <w:bookmarkStart w:id="320" w:name="_Toc405904509"/>
      <w:bookmarkStart w:id="321" w:name="_Toc405905325"/>
      <w:bookmarkStart w:id="322" w:name="_Toc422906873"/>
      <w:bookmarkStart w:id="323" w:name="_Toc405214259"/>
      <w:r w:rsidRPr="008A2411">
        <w:rPr>
          <w:rFonts w:ascii="Times New Roman" w:hAnsi="Times New Roman"/>
          <w:color w:val="000000" w:themeColor="text1"/>
        </w:rPr>
        <w:t xml:space="preserve">5.1.3 </w:t>
      </w:r>
      <w:r w:rsidRPr="008A2411">
        <w:rPr>
          <w:rFonts w:ascii="Times New Roman" w:hAnsi="Times New Roman"/>
          <w:color w:val="000000" w:themeColor="text1"/>
        </w:rPr>
        <w:t>地下水环境影响评价</w:t>
      </w:r>
      <w:bookmarkEnd w:id="318"/>
      <w:bookmarkEnd w:id="319"/>
      <w:bookmarkEnd w:id="320"/>
      <w:bookmarkEnd w:id="321"/>
      <w:bookmarkEnd w:id="322"/>
      <w:bookmarkEnd w:id="323"/>
    </w:p>
    <w:p w14:paraId="71784717" w14:textId="77777777" w:rsidR="00B0005F" w:rsidRPr="008A2411" w:rsidRDefault="00000000">
      <w:pPr>
        <w:pStyle w:val="WJ"/>
        <w:rPr>
          <w:rFonts w:ascii="Times New Roman" w:hAnsi="Times New Roman"/>
          <w:color w:val="000000" w:themeColor="text1"/>
          <w:shd w:val="pct10" w:color="auto" w:fill="FFFFFF"/>
        </w:rPr>
      </w:pPr>
      <w:r w:rsidRPr="008A2411">
        <w:rPr>
          <w:rFonts w:ascii="Times New Roman" w:hAnsi="Times New Roman"/>
          <w:color w:val="000000" w:themeColor="text1"/>
        </w:rPr>
        <w:t>站场建设施工期可能对地下水环境造成污染的环节主要有建筑施工废水，施工人员生活污水的地表无序排放，通过地表下渗，对局部的地下水水质产生影响。由于施工废水总量较小，且仅局限在施工场地内，很难直接入渗影响到孔隙潜水的埋藏深度，如果施工机械无故障漏油事故，这些废水也基本对地下水水质不会</w:t>
      </w:r>
      <w:r w:rsidRPr="008A2411">
        <w:rPr>
          <w:rFonts w:ascii="Times New Roman" w:hAnsi="Times New Roman"/>
          <w:color w:val="000000" w:themeColor="text1"/>
        </w:rPr>
        <w:lastRenderedPageBreak/>
        <w:t>产生较大影响。</w:t>
      </w:r>
    </w:p>
    <w:p w14:paraId="2E4C1EC3" w14:textId="77777777" w:rsidR="00B0005F" w:rsidRPr="008A2411" w:rsidRDefault="00000000">
      <w:pPr>
        <w:pStyle w:val="WJ3"/>
        <w:rPr>
          <w:rFonts w:ascii="Times New Roman" w:hAnsi="Times New Roman"/>
          <w:color w:val="000000" w:themeColor="text1"/>
        </w:rPr>
      </w:pPr>
      <w:bookmarkStart w:id="324" w:name="_Toc405904854"/>
      <w:bookmarkStart w:id="325" w:name="_Toc405214260"/>
      <w:bookmarkStart w:id="326" w:name="_Toc319852936"/>
      <w:bookmarkStart w:id="327" w:name="_Toc422906874"/>
      <w:bookmarkStart w:id="328" w:name="_Toc405905326"/>
      <w:bookmarkStart w:id="329" w:name="_Toc405904510"/>
      <w:r w:rsidRPr="008A2411">
        <w:rPr>
          <w:rFonts w:ascii="Times New Roman" w:hAnsi="Times New Roman"/>
          <w:color w:val="000000" w:themeColor="text1"/>
        </w:rPr>
        <w:t xml:space="preserve">5.1.4 </w:t>
      </w:r>
      <w:r w:rsidRPr="008A2411">
        <w:rPr>
          <w:rFonts w:ascii="Times New Roman" w:hAnsi="Times New Roman"/>
          <w:color w:val="000000" w:themeColor="text1"/>
        </w:rPr>
        <w:t>声环境影响分析</w:t>
      </w:r>
      <w:bookmarkEnd w:id="324"/>
      <w:bookmarkEnd w:id="325"/>
      <w:bookmarkEnd w:id="326"/>
      <w:bookmarkEnd w:id="327"/>
      <w:bookmarkEnd w:id="328"/>
      <w:bookmarkEnd w:id="329"/>
    </w:p>
    <w:p w14:paraId="3944FDC6"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建设项目施工过程中将动用大量的施工机械，如：挖土机、起重机、推土机、重型运输卡车等，这些大型施工机械的使用，往往伴随着高噪声的发生，且为露天作业。因此，施工噪声对</w:t>
      </w:r>
      <w:proofErr w:type="gramStart"/>
      <w:r w:rsidRPr="008A2411">
        <w:rPr>
          <w:rFonts w:ascii="Times New Roman" w:hAnsi="Times New Roman"/>
          <w:color w:val="000000" w:themeColor="text1"/>
        </w:rPr>
        <w:t>周围声</w:t>
      </w:r>
      <w:proofErr w:type="gramEnd"/>
      <w:r w:rsidRPr="008A2411">
        <w:rPr>
          <w:rFonts w:ascii="Times New Roman" w:hAnsi="Times New Roman"/>
          <w:color w:val="000000" w:themeColor="text1"/>
        </w:rPr>
        <w:t>环境质量的影响不容忽视。</w:t>
      </w:r>
    </w:p>
    <w:p w14:paraId="26C87417" w14:textId="77777777" w:rsidR="00B0005F" w:rsidRPr="008A2411" w:rsidRDefault="00000000">
      <w:pPr>
        <w:pStyle w:val="WJ"/>
        <w:rPr>
          <w:rFonts w:ascii="Times New Roman" w:eastAsia="黑体" w:hAnsi="Times New Roman"/>
          <w:bCs/>
          <w:color w:val="000000" w:themeColor="text1"/>
          <w:lang w:bidi="en-US"/>
        </w:rPr>
      </w:pPr>
      <w:r w:rsidRPr="008A2411">
        <w:rPr>
          <w:rFonts w:ascii="Times New Roman" w:eastAsia="黑体" w:hAnsi="Times New Roman"/>
          <w:bCs/>
          <w:color w:val="000000" w:themeColor="text1"/>
          <w:lang w:bidi="en-US"/>
        </w:rPr>
        <w:t>5.1.4.1</w:t>
      </w:r>
      <w:r w:rsidRPr="008A2411">
        <w:rPr>
          <w:rFonts w:ascii="Times New Roman" w:eastAsia="黑体" w:hAnsi="Times New Roman"/>
          <w:bCs/>
          <w:color w:val="000000" w:themeColor="text1"/>
          <w:lang w:bidi="en-US"/>
        </w:rPr>
        <w:t>预测模式</w:t>
      </w:r>
    </w:p>
    <w:p w14:paraId="731A640E"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 xml:space="preserve">① </w:t>
      </w:r>
      <w:r w:rsidRPr="008A2411">
        <w:rPr>
          <w:rFonts w:ascii="Times New Roman" w:hAnsi="Times New Roman"/>
          <w:color w:val="000000" w:themeColor="text1"/>
        </w:rPr>
        <w:t>声源叠加模式</w:t>
      </w:r>
    </w:p>
    <w:p w14:paraId="567D54C9"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考虑声源叠加，采用叠加模式：</w:t>
      </w:r>
    </w:p>
    <w:p w14:paraId="212A8BD9" w14:textId="77777777" w:rsidR="00B0005F" w:rsidRPr="008A2411" w:rsidRDefault="00000000">
      <w:pPr>
        <w:adjustRightInd w:val="0"/>
        <w:snapToGrid w:val="0"/>
        <w:spacing w:line="360" w:lineRule="auto"/>
        <w:jc w:val="center"/>
        <w:rPr>
          <w:rFonts w:ascii="Times New Roman"/>
          <w:color w:val="000000" w:themeColor="text1"/>
          <w:kern w:val="2"/>
          <w:szCs w:val="24"/>
        </w:rPr>
      </w:pPr>
      <w:r w:rsidRPr="008A2411">
        <w:rPr>
          <w:rFonts w:ascii="Times New Roman"/>
          <w:color w:val="000000" w:themeColor="text1"/>
          <w:kern w:val="2"/>
          <w:szCs w:val="24"/>
        </w:rPr>
        <w:object w:dxaOrig="1883" w:dyaOrig="676" w14:anchorId="236BE3FB">
          <v:shape id="_x0000_i1027" type="#_x0000_t75" style="width:92.45pt;height:36pt" o:ole="">
            <v:imagedata r:id="rId39" o:title=""/>
          </v:shape>
          <o:OLEObject Type="Embed" ProgID="Equation.3" ShapeID="_x0000_i1027" DrawAspect="Content" ObjectID="_1719945147" r:id="rId40"/>
        </w:object>
      </w:r>
    </w:p>
    <w:p w14:paraId="483A68D3"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式中：</w:t>
      </w:r>
      <w:r w:rsidRPr="008A2411">
        <w:rPr>
          <w:rFonts w:ascii="Times New Roman" w:hAnsi="Times New Roman"/>
          <w:color w:val="000000" w:themeColor="text1"/>
        </w:rPr>
        <w:t>L——</w:t>
      </w:r>
      <w:r w:rsidRPr="008A2411">
        <w:rPr>
          <w:rFonts w:ascii="Times New Roman" w:hAnsi="Times New Roman"/>
          <w:color w:val="000000" w:themeColor="text1"/>
        </w:rPr>
        <w:t>叠加后总声压级</w:t>
      </w:r>
      <w:r w:rsidRPr="008A2411">
        <w:rPr>
          <w:rFonts w:ascii="Times New Roman" w:hAnsi="Times New Roman"/>
          <w:color w:val="000000" w:themeColor="text1"/>
        </w:rPr>
        <w:t>[dB</w:t>
      </w:r>
      <w:r w:rsidRPr="008A2411">
        <w:rPr>
          <w:rFonts w:ascii="Times New Roman" w:hAnsi="Times New Roman"/>
          <w:color w:val="000000" w:themeColor="text1"/>
        </w:rPr>
        <w:t>（</w:t>
      </w:r>
      <w:r w:rsidRPr="008A2411">
        <w:rPr>
          <w:rFonts w:ascii="Times New Roman" w:hAnsi="Times New Roman"/>
          <w:color w:val="000000" w:themeColor="text1"/>
        </w:rPr>
        <w:t>A</w:t>
      </w:r>
      <w:r w:rsidRPr="008A2411">
        <w:rPr>
          <w:rFonts w:ascii="Times New Roman" w:hAnsi="Times New Roman"/>
          <w:color w:val="000000" w:themeColor="text1"/>
        </w:rPr>
        <w:t>）</w:t>
      </w:r>
      <w:r w:rsidRPr="008A2411">
        <w:rPr>
          <w:rFonts w:ascii="Times New Roman" w:hAnsi="Times New Roman"/>
          <w:color w:val="000000" w:themeColor="text1"/>
        </w:rPr>
        <w:t>]</w:t>
      </w:r>
      <w:r w:rsidRPr="008A2411">
        <w:rPr>
          <w:rFonts w:ascii="Times New Roman" w:hAnsi="Times New Roman"/>
          <w:color w:val="000000" w:themeColor="text1"/>
        </w:rPr>
        <w:t>；</w:t>
      </w:r>
    </w:p>
    <w:p w14:paraId="03D43F99" w14:textId="77777777" w:rsidR="00B0005F" w:rsidRPr="008A2411" w:rsidRDefault="00000000">
      <w:pPr>
        <w:pStyle w:val="WJ"/>
        <w:ind w:firstLineChars="500" w:firstLine="1200"/>
        <w:rPr>
          <w:rFonts w:ascii="Times New Roman" w:hAnsi="Times New Roman"/>
          <w:color w:val="000000" w:themeColor="text1"/>
        </w:rPr>
      </w:pPr>
      <w:r w:rsidRPr="008A2411">
        <w:rPr>
          <w:rFonts w:ascii="Times New Roman" w:hAnsi="Times New Roman"/>
          <w:color w:val="000000" w:themeColor="text1"/>
        </w:rPr>
        <w:t>Li——</w:t>
      </w:r>
      <w:r w:rsidRPr="008A2411">
        <w:rPr>
          <w:rFonts w:ascii="Times New Roman" w:hAnsi="Times New Roman"/>
          <w:color w:val="000000" w:themeColor="text1"/>
        </w:rPr>
        <w:t>各声源的噪声值</w:t>
      </w:r>
      <w:r w:rsidRPr="008A2411">
        <w:rPr>
          <w:rFonts w:ascii="Times New Roman" w:hAnsi="Times New Roman"/>
          <w:color w:val="000000" w:themeColor="text1"/>
        </w:rPr>
        <w:t>[dB</w:t>
      </w:r>
      <w:r w:rsidRPr="008A2411">
        <w:rPr>
          <w:rFonts w:ascii="Times New Roman" w:hAnsi="Times New Roman"/>
          <w:color w:val="000000" w:themeColor="text1"/>
        </w:rPr>
        <w:t>（</w:t>
      </w:r>
      <w:r w:rsidRPr="008A2411">
        <w:rPr>
          <w:rFonts w:ascii="Times New Roman" w:hAnsi="Times New Roman"/>
          <w:color w:val="000000" w:themeColor="text1"/>
        </w:rPr>
        <w:t>A</w:t>
      </w:r>
      <w:r w:rsidRPr="008A2411">
        <w:rPr>
          <w:rFonts w:ascii="Times New Roman" w:hAnsi="Times New Roman"/>
          <w:color w:val="000000" w:themeColor="text1"/>
        </w:rPr>
        <w:t>）</w:t>
      </w:r>
      <w:r w:rsidRPr="008A2411">
        <w:rPr>
          <w:rFonts w:ascii="Times New Roman" w:hAnsi="Times New Roman"/>
          <w:color w:val="000000" w:themeColor="text1"/>
        </w:rPr>
        <w:t>]</w:t>
      </w:r>
      <w:r w:rsidRPr="008A2411">
        <w:rPr>
          <w:rFonts w:ascii="Times New Roman" w:hAnsi="Times New Roman"/>
          <w:color w:val="000000" w:themeColor="text1"/>
        </w:rPr>
        <w:t>；</w:t>
      </w:r>
    </w:p>
    <w:p w14:paraId="00987500"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 xml:space="preserve">② </w:t>
      </w:r>
      <w:r w:rsidRPr="008A2411">
        <w:rPr>
          <w:rFonts w:ascii="Times New Roman" w:hAnsi="Times New Roman"/>
          <w:color w:val="000000" w:themeColor="text1"/>
        </w:rPr>
        <w:t>噪声衰减模式</w:t>
      </w:r>
    </w:p>
    <w:p w14:paraId="73CD3F1D" w14:textId="77777777" w:rsidR="00B0005F" w:rsidRPr="008A2411" w:rsidRDefault="00000000">
      <w:pPr>
        <w:pStyle w:val="WJ"/>
        <w:rPr>
          <w:rFonts w:ascii="Times New Roman" w:hAnsi="Times New Roman"/>
          <w:color w:val="000000" w:themeColor="text1"/>
        </w:rPr>
      </w:pPr>
      <w:bookmarkStart w:id="330" w:name="_Toc154550740"/>
      <w:r w:rsidRPr="008A2411">
        <w:rPr>
          <w:rFonts w:ascii="Times New Roman" w:hAnsi="Times New Roman"/>
          <w:color w:val="000000" w:themeColor="text1"/>
        </w:rPr>
        <w:t>考虑噪声随距离衰减，采用叠加模式：</w:t>
      </w:r>
      <w:bookmarkEnd w:id="330"/>
    </w:p>
    <w:p w14:paraId="23FB2BA2" w14:textId="77777777" w:rsidR="00B0005F" w:rsidRPr="008A2411" w:rsidRDefault="00000000">
      <w:pPr>
        <w:adjustRightInd w:val="0"/>
        <w:snapToGrid w:val="0"/>
        <w:spacing w:line="360" w:lineRule="auto"/>
        <w:jc w:val="center"/>
        <w:rPr>
          <w:rFonts w:ascii="Times New Roman"/>
          <w:color w:val="000000" w:themeColor="text1"/>
          <w:kern w:val="2"/>
          <w:szCs w:val="24"/>
        </w:rPr>
      </w:pPr>
      <w:r w:rsidRPr="008A2411">
        <w:rPr>
          <w:rFonts w:ascii="Times New Roman"/>
          <w:color w:val="000000" w:themeColor="text1"/>
          <w:kern w:val="2"/>
          <w:position w:val="-30"/>
          <w:szCs w:val="24"/>
        </w:rPr>
        <w:object w:dxaOrig="2304" w:dyaOrig="676" w14:anchorId="73266D11">
          <v:shape id="_x0000_i1028" type="#_x0000_t75" style="width:113pt;height:36pt" o:ole="">
            <v:imagedata r:id="rId41" o:title=""/>
          </v:shape>
          <o:OLEObject Type="Embed" ProgID="Equation.3" ShapeID="_x0000_i1028" DrawAspect="Content" ObjectID="_1719945148" r:id="rId42"/>
        </w:object>
      </w:r>
    </w:p>
    <w:p w14:paraId="55599829"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式中：</w:t>
      </w:r>
      <w:r w:rsidRPr="008A2411">
        <w:rPr>
          <w:rFonts w:ascii="Times New Roman" w:hAnsi="Times New Roman"/>
          <w:color w:val="000000" w:themeColor="text1"/>
        </w:rPr>
        <w:t>L</w:t>
      </w:r>
      <w:r w:rsidRPr="008A2411">
        <w:rPr>
          <w:rFonts w:ascii="Times New Roman" w:hAnsi="Times New Roman"/>
          <w:color w:val="000000" w:themeColor="text1"/>
          <w:vertAlign w:val="subscript"/>
        </w:rPr>
        <w:t>A</w:t>
      </w:r>
      <w:r w:rsidRPr="008A2411">
        <w:rPr>
          <w:rFonts w:ascii="Times New Roman" w:hAnsi="Times New Roman"/>
          <w:color w:val="000000" w:themeColor="text1"/>
          <w:vertAlign w:val="subscript"/>
        </w:rPr>
        <w:t>（</w:t>
      </w:r>
      <w:r w:rsidRPr="008A2411">
        <w:rPr>
          <w:rFonts w:ascii="Times New Roman" w:hAnsi="Times New Roman"/>
          <w:color w:val="000000" w:themeColor="text1"/>
          <w:vertAlign w:val="subscript"/>
        </w:rPr>
        <w:t>r</w:t>
      </w:r>
      <w:r w:rsidRPr="008A2411">
        <w:rPr>
          <w:rFonts w:ascii="Times New Roman" w:hAnsi="Times New Roman"/>
          <w:color w:val="000000" w:themeColor="text1"/>
          <w:vertAlign w:val="subscript"/>
        </w:rPr>
        <w:t>）</w:t>
      </w:r>
      <w:r w:rsidRPr="008A2411">
        <w:rPr>
          <w:rFonts w:ascii="Times New Roman" w:hAnsi="Times New Roman"/>
          <w:color w:val="000000" w:themeColor="text1"/>
        </w:rPr>
        <w:t>——</w:t>
      </w:r>
      <w:r w:rsidRPr="008A2411">
        <w:rPr>
          <w:rFonts w:ascii="Times New Roman" w:hAnsi="Times New Roman"/>
          <w:color w:val="000000" w:themeColor="text1"/>
        </w:rPr>
        <w:t>距声源</w:t>
      </w:r>
      <w:r w:rsidRPr="008A2411">
        <w:rPr>
          <w:rFonts w:ascii="Times New Roman" w:hAnsi="Times New Roman"/>
          <w:color w:val="000000" w:themeColor="text1"/>
        </w:rPr>
        <w:t>r</w:t>
      </w:r>
      <w:r w:rsidRPr="008A2411">
        <w:rPr>
          <w:rFonts w:ascii="Times New Roman" w:hAnsi="Times New Roman"/>
          <w:color w:val="000000" w:themeColor="text1"/>
        </w:rPr>
        <w:t>处</w:t>
      </w:r>
      <w:proofErr w:type="gramStart"/>
      <w:r w:rsidRPr="008A2411">
        <w:rPr>
          <w:rFonts w:ascii="Times New Roman" w:hAnsi="Times New Roman"/>
          <w:color w:val="000000" w:themeColor="text1"/>
        </w:rPr>
        <w:t>声源值</w:t>
      </w:r>
      <w:proofErr w:type="gramEnd"/>
      <w:r w:rsidRPr="008A2411">
        <w:rPr>
          <w:rFonts w:ascii="Times New Roman" w:hAnsi="Times New Roman"/>
          <w:color w:val="000000" w:themeColor="text1"/>
        </w:rPr>
        <w:t>[dB</w:t>
      </w:r>
      <w:r w:rsidRPr="008A2411">
        <w:rPr>
          <w:rFonts w:ascii="Times New Roman" w:hAnsi="Times New Roman"/>
          <w:color w:val="000000" w:themeColor="text1"/>
        </w:rPr>
        <w:t>（</w:t>
      </w:r>
      <w:r w:rsidRPr="008A2411">
        <w:rPr>
          <w:rFonts w:ascii="Times New Roman" w:hAnsi="Times New Roman"/>
          <w:color w:val="000000" w:themeColor="text1"/>
        </w:rPr>
        <w:t>A</w:t>
      </w:r>
      <w:r w:rsidRPr="008A2411">
        <w:rPr>
          <w:rFonts w:ascii="Times New Roman" w:hAnsi="Times New Roman"/>
          <w:color w:val="000000" w:themeColor="text1"/>
        </w:rPr>
        <w:t>）</w:t>
      </w:r>
      <w:r w:rsidRPr="008A2411">
        <w:rPr>
          <w:rFonts w:ascii="Times New Roman" w:hAnsi="Times New Roman"/>
          <w:color w:val="000000" w:themeColor="text1"/>
        </w:rPr>
        <w:t>]</w:t>
      </w:r>
      <w:r w:rsidRPr="008A2411">
        <w:rPr>
          <w:rFonts w:ascii="Times New Roman" w:hAnsi="Times New Roman"/>
          <w:color w:val="000000" w:themeColor="text1"/>
        </w:rPr>
        <w:t>；</w:t>
      </w:r>
    </w:p>
    <w:p w14:paraId="692F360F" w14:textId="77777777" w:rsidR="00B0005F" w:rsidRPr="008A2411" w:rsidRDefault="00000000">
      <w:pPr>
        <w:pStyle w:val="WJ"/>
        <w:ind w:firstLineChars="500" w:firstLine="1200"/>
        <w:rPr>
          <w:rFonts w:ascii="Times New Roman" w:hAnsi="Times New Roman"/>
          <w:color w:val="000000" w:themeColor="text1"/>
        </w:rPr>
      </w:pPr>
      <w:r w:rsidRPr="008A2411">
        <w:rPr>
          <w:rFonts w:ascii="Times New Roman" w:hAnsi="Times New Roman"/>
          <w:color w:val="000000" w:themeColor="text1"/>
        </w:rPr>
        <w:t>L</w:t>
      </w:r>
      <w:r w:rsidRPr="008A2411">
        <w:rPr>
          <w:rFonts w:ascii="Times New Roman" w:hAnsi="Times New Roman"/>
          <w:color w:val="000000" w:themeColor="text1"/>
          <w:vertAlign w:val="subscript"/>
        </w:rPr>
        <w:t>A</w:t>
      </w:r>
      <w:r w:rsidRPr="008A2411">
        <w:rPr>
          <w:rFonts w:ascii="Times New Roman" w:hAnsi="Times New Roman"/>
          <w:color w:val="000000" w:themeColor="text1"/>
          <w:vertAlign w:val="subscript"/>
        </w:rPr>
        <w:t>（</w:t>
      </w:r>
      <w:r w:rsidRPr="008A2411">
        <w:rPr>
          <w:rFonts w:ascii="Times New Roman" w:hAnsi="Times New Roman"/>
          <w:color w:val="000000" w:themeColor="text1"/>
          <w:vertAlign w:val="subscript"/>
        </w:rPr>
        <w:t>r0</w:t>
      </w:r>
      <w:r w:rsidRPr="008A2411">
        <w:rPr>
          <w:rFonts w:ascii="Times New Roman" w:hAnsi="Times New Roman"/>
          <w:color w:val="000000" w:themeColor="text1"/>
          <w:vertAlign w:val="subscript"/>
        </w:rPr>
        <w:t>）</w:t>
      </w:r>
      <w:r w:rsidRPr="008A2411">
        <w:rPr>
          <w:rFonts w:ascii="Times New Roman" w:hAnsi="Times New Roman"/>
          <w:color w:val="000000" w:themeColor="text1"/>
        </w:rPr>
        <w:t>——</w:t>
      </w:r>
      <w:r w:rsidRPr="008A2411">
        <w:rPr>
          <w:rFonts w:ascii="Times New Roman" w:hAnsi="Times New Roman"/>
          <w:color w:val="000000" w:themeColor="text1"/>
        </w:rPr>
        <w:t>距声源</w:t>
      </w:r>
      <w:r w:rsidRPr="008A2411">
        <w:rPr>
          <w:rFonts w:ascii="Times New Roman" w:hAnsi="Times New Roman"/>
          <w:color w:val="000000" w:themeColor="text1"/>
        </w:rPr>
        <w:t>r</w:t>
      </w:r>
      <w:r w:rsidRPr="008A2411">
        <w:rPr>
          <w:rFonts w:ascii="Times New Roman" w:hAnsi="Times New Roman"/>
          <w:color w:val="000000" w:themeColor="text1"/>
          <w:vertAlign w:val="subscript"/>
        </w:rPr>
        <w:t>0</w:t>
      </w:r>
      <w:r w:rsidRPr="008A2411">
        <w:rPr>
          <w:rFonts w:ascii="Times New Roman" w:hAnsi="Times New Roman"/>
          <w:color w:val="000000" w:themeColor="text1"/>
        </w:rPr>
        <w:t>处</w:t>
      </w:r>
      <w:proofErr w:type="gramStart"/>
      <w:r w:rsidRPr="008A2411">
        <w:rPr>
          <w:rFonts w:ascii="Times New Roman" w:hAnsi="Times New Roman"/>
          <w:color w:val="000000" w:themeColor="text1"/>
        </w:rPr>
        <w:t>声源值</w:t>
      </w:r>
      <w:proofErr w:type="gramEnd"/>
      <w:r w:rsidRPr="008A2411">
        <w:rPr>
          <w:rFonts w:ascii="Times New Roman" w:hAnsi="Times New Roman"/>
          <w:color w:val="000000" w:themeColor="text1"/>
        </w:rPr>
        <w:t>[dB</w:t>
      </w:r>
      <w:r w:rsidRPr="008A2411">
        <w:rPr>
          <w:rFonts w:ascii="Times New Roman" w:hAnsi="Times New Roman"/>
          <w:color w:val="000000" w:themeColor="text1"/>
        </w:rPr>
        <w:t>（</w:t>
      </w:r>
      <w:r w:rsidRPr="008A2411">
        <w:rPr>
          <w:rFonts w:ascii="Times New Roman" w:hAnsi="Times New Roman"/>
          <w:color w:val="000000" w:themeColor="text1"/>
        </w:rPr>
        <w:t>A</w:t>
      </w:r>
      <w:r w:rsidRPr="008A2411">
        <w:rPr>
          <w:rFonts w:ascii="Times New Roman" w:hAnsi="Times New Roman"/>
          <w:color w:val="000000" w:themeColor="text1"/>
        </w:rPr>
        <w:t>）</w:t>
      </w:r>
      <w:r w:rsidRPr="008A2411">
        <w:rPr>
          <w:rFonts w:ascii="Times New Roman" w:hAnsi="Times New Roman"/>
          <w:color w:val="000000" w:themeColor="text1"/>
        </w:rPr>
        <w:t>]</w:t>
      </w:r>
      <w:r w:rsidRPr="008A2411">
        <w:rPr>
          <w:rFonts w:ascii="Times New Roman" w:hAnsi="Times New Roman"/>
          <w:color w:val="000000" w:themeColor="text1"/>
        </w:rPr>
        <w:t>；</w:t>
      </w:r>
    </w:p>
    <w:p w14:paraId="5339BD22" w14:textId="77777777" w:rsidR="00B0005F" w:rsidRPr="008A2411" w:rsidRDefault="00000000">
      <w:pPr>
        <w:pStyle w:val="WJ"/>
        <w:ind w:firstLineChars="500" w:firstLine="1200"/>
        <w:rPr>
          <w:rFonts w:ascii="Times New Roman" w:hAnsi="Times New Roman"/>
          <w:color w:val="000000" w:themeColor="text1"/>
        </w:rPr>
      </w:pPr>
      <w:r w:rsidRPr="008A2411">
        <w:rPr>
          <w:rFonts w:ascii="Times New Roman" w:hAnsi="Times New Roman"/>
          <w:color w:val="000000" w:themeColor="text1"/>
        </w:rPr>
        <w:t>r</w:t>
      </w:r>
      <w:r w:rsidRPr="008A2411">
        <w:rPr>
          <w:rFonts w:ascii="Times New Roman" w:hAnsi="Times New Roman"/>
          <w:color w:val="000000" w:themeColor="text1"/>
        </w:rPr>
        <w:t>、</w:t>
      </w:r>
      <w:r w:rsidRPr="008A2411">
        <w:rPr>
          <w:rFonts w:ascii="Times New Roman" w:hAnsi="Times New Roman"/>
          <w:color w:val="000000" w:themeColor="text1"/>
        </w:rPr>
        <w:t>r</w:t>
      </w:r>
      <w:r w:rsidRPr="008A2411">
        <w:rPr>
          <w:rFonts w:ascii="Times New Roman" w:hAnsi="Times New Roman"/>
          <w:color w:val="000000" w:themeColor="text1"/>
          <w:vertAlign w:val="subscript"/>
        </w:rPr>
        <w:t>0</w:t>
      </w:r>
      <w:r w:rsidRPr="008A2411">
        <w:rPr>
          <w:rFonts w:ascii="Times New Roman" w:hAnsi="Times New Roman"/>
          <w:color w:val="000000" w:themeColor="text1"/>
        </w:rPr>
        <w:t>——</w:t>
      </w:r>
      <w:r w:rsidRPr="008A2411">
        <w:rPr>
          <w:rFonts w:ascii="Times New Roman" w:hAnsi="Times New Roman"/>
          <w:color w:val="000000" w:themeColor="text1"/>
        </w:rPr>
        <w:t>与声源的距离（</w:t>
      </w:r>
      <w:r w:rsidRPr="008A2411">
        <w:rPr>
          <w:rFonts w:ascii="Times New Roman" w:hAnsi="Times New Roman"/>
          <w:color w:val="000000" w:themeColor="text1"/>
        </w:rPr>
        <w:t>m</w:t>
      </w:r>
      <w:r w:rsidRPr="008A2411">
        <w:rPr>
          <w:rFonts w:ascii="Times New Roman" w:hAnsi="Times New Roman"/>
          <w:color w:val="000000" w:themeColor="text1"/>
        </w:rPr>
        <w:t>）。</w:t>
      </w:r>
    </w:p>
    <w:p w14:paraId="69199977" w14:textId="77777777" w:rsidR="00B0005F" w:rsidRPr="008A2411" w:rsidRDefault="00000000">
      <w:pPr>
        <w:pStyle w:val="WJ"/>
        <w:rPr>
          <w:rFonts w:ascii="Times New Roman" w:eastAsia="黑体" w:hAnsi="Times New Roman"/>
          <w:bCs/>
          <w:color w:val="000000" w:themeColor="text1"/>
          <w:lang w:bidi="en-US"/>
        </w:rPr>
      </w:pPr>
      <w:r w:rsidRPr="008A2411">
        <w:rPr>
          <w:rFonts w:ascii="Times New Roman" w:eastAsia="黑体" w:hAnsi="Times New Roman"/>
          <w:bCs/>
          <w:color w:val="000000" w:themeColor="text1"/>
          <w:lang w:bidi="en-US"/>
        </w:rPr>
        <w:t>5.1.4.2</w:t>
      </w:r>
      <w:r w:rsidRPr="008A2411">
        <w:rPr>
          <w:rFonts w:ascii="Times New Roman" w:eastAsia="黑体" w:hAnsi="Times New Roman"/>
          <w:bCs/>
          <w:color w:val="000000" w:themeColor="text1"/>
          <w:lang w:bidi="en-US"/>
        </w:rPr>
        <w:t>影响预测结果</w:t>
      </w:r>
    </w:p>
    <w:p w14:paraId="16215B73"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根据前述模式，对各设备声源在不同距离的噪声贡献值进行计算，</w:t>
      </w:r>
      <w:bookmarkStart w:id="331" w:name="OLE_LINK58"/>
      <w:r w:rsidRPr="008A2411">
        <w:rPr>
          <w:rFonts w:ascii="Times New Roman" w:hAnsi="Times New Roman"/>
          <w:color w:val="000000" w:themeColor="text1"/>
        </w:rPr>
        <w:t>结果见表</w:t>
      </w:r>
      <w:r w:rsidRPr="008A2411">
        <w:rPr>
          <w:rFonts w:ascii="Times New Roman" w:hAnsi="Times New Roman"/>
          <w:color w:val="000000" w:themeColor="text1"/>
        </w:rPr>
        <w:t>5.1-1</w:t>
      </w:r>
      <w:r w:rsidRPr="008A2411">
        <w:rPr>
          <w:rFonts w:ascii="Times New Roman" w:hAnsi="Times New Roman"/>
          <w:color w:val="000000" w:themeColor="text1"/>
        </w:rPr>
        <w:t>。</w:t>
      </w:r>
    </w:p>
    <w:p w14:paraId="18BE0FDD" w14:textId="77777777" w:rsidR="00B0005F" w:rsidRPr="008A2411" w:rsidRDefault="00000000">
      <w:pPr>
        <w:pStyle w:val="WJ0"/>
        <w:rPr>
          <w:rFonts w:ascii="Times New Roman" w:hAnsi="Times New Roman"/>
          <w:color w:val="000000" w:themeColor="text1"/>
        </w:rPr>
      </w:pPr>
      <w:r w:rsidRPr="008A2411">
        <w:rPr>
          <w:rFonts w:ascii="Times New Roman" w:hAnsi="Times New Roman"/>
          <w:color w:val="000000" w:themeColor="text1"/>
        </w:rPr>
        <w:t>表</w:t>
      </w:r>
      <w:r w:rsidRPr="008A2411">
        <w:rPr>
          <w:rFonts w:ascii="Times New Roman" w:hAnsi="Times New Roman"/>
          <w:color w:val="000000" w:themeColor="text1"/>
        </w:rPr>
        <w:t xml:space="preserve">5.1-1 </w:t>
      </w:r>
      <w:r w:rsidRPr="008A2411">
        <w:rPr>
          <w:rFonts w:ascii="Times New Roman" w:hAnsi="Times New Roman"/>
          <w:color w:val="000000" w:themeColor="text1"/>
        </w:rPr>
        <w:t>施工机械噪声影响程度及范围</w:t>
      </w:r>
    </w:p>
    <w:tbl>
      <w:tblPr>
        <w:tblW w:w="0" w:type="auto"/>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57" w:type="dxa"/>
          <w:right w:w="57" w:type="dxa"/>
        </w:tblCellMar>
        <w:tblLook w:val="04A0" w:firstRow="1" w:lastRow="0" w:firstColumn="1" w:lastColumn="0" w:noHBand="0" w:noVBand="1"/>
      </w:tblPr>
      <w:tblGrid>
        <w:gridCol w:w="1535"/>
        <w:gridCol w:w="1211"/>
        <w:gridCol w:w="1281"/>
        <w:gridCol w:w="1465"/>
        <w:gridCol w:w="1464"/>
        <w:gridCol w:w="1464"/>
      </w:tblGrid>
      <w:tr w:rsidR="008A2411" w:rsidRPr="008A2411" w14:paraId="63269A85" w14:textId="77777777">
        <w:trPr>
          <w:cantSplit/>
          <w:tblHeader/>
        </w:trPr>
        <w:tc>
          <w:tcPr>
            <w:tcW w:w="1535" w:type="dxa"/>
            <w:vMerge w:val="restart"/>
            <w:vAlign w:val="center"/>
          </w:tcPr>
          <w:p w14:paraId="4E7356E5" w14:textId="77777777" w:rsidR="00B0005F" w:rsidRPr="008A2411" w:rsidRDefault="00000000">
            <w:pPr>
              <w:pStyle w:val="WJ4"/>
              <w:rPr>
                <w:rFonts w:ascii="Times New Roman" w:hAnsi="Times New Roman"/>
                <w:color w:val="000000" w:themeColor="text1"/>
              </w:rPr>
            </w:pPr>
            <w:r w:rsidRPr="008A2411">
              <w:rPr>
                <w:rFonts w:ascii="Times New Roman" w:hAnsi="Times New Roman"/>
                <w:color w:val="000000" w:themeColor="text1"/>
              </w:rPr>
              <w:t>设备名称</w:t>
            </w:r>
          </w:p>
        </w:tc>
        <w:tc>
          <w:tcPr>
            <w:tcW w:w="6885" w:type="dxa"/>
            <w:gridSpan w:val="5"/>
            <w:vAlign w:val="center"/>
          </w:tcPr>
          <w:p w14:paraId="39D95F37" w14:textId="77777777" w:rsidR="00B0005F" w:rsidRPr="008A2411" w:rsidRDefault="00000000">
            <w:pPr>
              <w:pStyle w:val="WJ4"/>
              <w:rPr>
                <w:rFonts w:ascii="Times New Roman" w:hAnsi="Times New Roman"/>
                <w:color w:val="000000" w:themeColor="text1"/>
              </w:rPr>
            </w:pPr>
            <w:r w:rsidRPr="008A2411">
              <w:rPr>
                <w:rFonts w:ascii="Times New Roman" w:hAnsi="Times New Roman"/>
                <w:color w:val="000000" w:themeColor="text1"/>
              </w:rPr>
              <w:t>等效连续</w:t>
            </w:r>
            <w:r w:rsidRPr="008A2411">
              <w:rPr>
                <w:rFonts w:ascii="Times New Roman" w:hAnsi="Times New Roman"/>
                <w:color w:val="000000" w:themeColor="text1"/>
              </w:rPr>
              <w:t>A</w:t>
            </w:r>
            <w:r w:rsidRPr="008A2411">
              <w:rPr>
                <w:rFonts w:ascii="Times New Roman" w:hAnsi="Times New Roman"/>
                <w:color w:val="000000" w:themeColor="text1"/>
              </w:rPr>
              <w:t>声级</w:t>
            </w:r>
            <w:r w:rsidRPr="008A2411">
              <w:rPr>
                <w:rFonts w:ascii="Times New Roman" w:hAnsi="Times New Roman"/>
                <w:color w:val="000000" w:themeColor="text1"/>
              </w:rPr>
              <w:t>[dB</w:t>
            </w:r>
            <w:r w:rsidRPr="008A2411">
              <w:rPr>
                <w:rFonts w:ascii="Times New Roman" w:hAnsi="Times New Roman"/>
                <w:color w:val="000000" w:themeColor="text1"/>
              </w:rPr>
              <w:t>（</w:t>
            </w:r>
            <w:r w:rsidRPr="008A2411">
              <w:rPr>
                <w:rFonts w:ascii="Times New Roman" w:hAnsi="Times New Roman"/>
                <w:color w:val="000000" w:themeColor="text1"/>
              </w:rPr>
              <w:t>A</w:t>
            </w:r>
            <w:r w:rsidRPr="008A2411">
              <w:rPr>
                <w:rFonts w:ascii="Times New Roman" w:hAnsi="Times New Roman"/>
                <w:color w:val="000000" w:themeColor="text1"/>
              </w:rPr>
              <w:t>）</w:t>
            </w:r>
            <w:r w:rsidRPr="008A2411">
              <w:rPr>
                <w:rFonts w:ascii="Times New Roman" w:hAnsi="Times New Roman"/>
                <w:color w:val="000000" w:themeColor="text1"/>
              </w:rPr>
              <w:t>]</w:t>
            </w:r>
            <w:r w:rsidRPr="008A2411">
              <w:rPr>
                <w:rFonts w:ascii="Times New Roman" w:hAnsi="Times New Roman"/>
                <w:color w:val="000000" w:themeColor="text1"/>
              </w:rPr>
              <w:t>，距声源距离</w:t>
            </w:r>
          </w:p>
        </w:tc>
      </w:tr>
      <w:tr w:rsidR="008A2411" w:rsidRPr="008A2411" w14:paraId="44A8BAC2" w14:textId="77777777">
        <w:trPr>
          <w:cantSplit/>
          <w:tblHeader/>
        </w:trPr>
        <w:tc>
          <w:tcPr>
            <w:tcW w:w="1535" w:type="dxa"/>
            <w:vMerge/>
            <w:vAlign w:val="center"/>
          </w:tcPr>
          <w:p w14:paraId="5B02BC7A" w14:textId="77777777" w:rsidR="00B0005F" w:rsidRPr="008A2411" w:rsidRDefault="00B0005F">
            <w:pPr>
              <w:pStyle w:val="WJ4"/>
              <w:rPr>
                <w:rFonts w:ascii="Times New Roman" w:hAnsi="Times New Roman"/>
                <w:color w:val="000000" w:themeColor="text1"/>
              </w:rPr>
            </w:pPr>
          </w:p>
        </w:tc>
        <w:tc>
          <w:tcPr>
            <w:tcW w:w="1211" w:type="dxa"/>
            <w:vAlign w:val="center"/>
          </w:tcPr>
          <w:p w14:paraId="13057E32" w14:textId="77777777" w:rsidR="00B0005F" w:rsidRPr="008A2411" w:rsidRDefault="00000000">
            <w:pPr>
              <w:pStyle w:val="WJ4"/>
              <w:rPr>
                <w:rFonts w:ascii="Times New Roman" w:hAnsi="Times New Roman"/>
                <w:color w:val="000000" w:themeColor="text1"/>
              </w:rPr>
            </w:pPr>
            <w:r w:rsidRPr="008A2411">
              <w:rPr>
                <w:rFonts w:ascii="Times New Roman" w:hAnsi="Times New Roman"/>
                <w:color w:val="000000" w:themeColor="text1"/>
              </w:rPr>
              <w:t>1m</w:t>
            </w:r>
            <w:r w:rsidRPr="008A2411">
              <w:rPr>
                <w:rFonts w:ascii="Times New Roman" w:hAnsi="Times New Roman"/>
                <w:color w:val="000000" w:themeColor="text1"/>
              </w:rPr>
              <w:t>处</w:t>
            </w:r>
          </w:p>
        </w:tc>
        <w:tc>
          <w:tcPr>
            <w:tcW w:w="1281" w:type="dxa"/>
            <w:vAlign w:val="center"/>
          </w:tcPr>
          <w:p w14:paraId="54C710E4" w14:textId="77777777" w:rsidR="00B0005F" w:rsidRPr="008A2411" w:rsidRDefault="00000000">
            <w:pPr>
              <w:pStyle w:val="WJ4"/>
              <w:rPr>
                <w:rFonts w:ascii="Times New Roman" w:hAnsi="Times New Roman"/>
                <w:color w:val="000000" w:themeColor="text1"/>
              </w:rPr>
            </w:pPr>
            <w:r w:rsidRPr="008A2411">
              <w:rPr>
                <w:rFonts w:ascii="Times New Roman" w:hAnsi="Times New Roman"/>
                <w:color w:val="000000" w:themeColor="text1"/>
              </w:rPr>
              <w:t>50m</w:t>
            </w:r>
            <w:r w:rsidRPr="008A2411">
              <w:rPr>
                <w:rFonts w:ascii="Times New Roman" w:hAnsi="Times New Roman"/>
                <w:color w:val="000000" w:themeColor="text1"/>
              </w:rPr>
              <w:t>处</w:t>
            </w:r>
          </w:p>
        </w:tc>
        <w:tc>
          <w:tcPr>
            <w:tcW w:w="1465" w:type="dxa"/>
            <w:vAlign w:val="center"/>
          </w:tcPr>
          <w:p w14:paraId="73DFD4AA" w14:textId="77777777" w:rsidR="00B0005F" w:rsidRPr="008A2411" w:rsidRDefault="00000000">
            <w:pPr>
              <w:pStyle w:val="WJ4"/>
              <w:rPr>
                <w:rFonts w:ascii="Times New Roman" w:hAnsi="Times New Roman"/>
                <w:color w:val="000000" w:themeColor="text1"/>
              </w:rPr>
            </w:pPr>
            <w:r w:rsidRPr="008A2411">
              <w:rPr>
                <w:rFonts w:ascii="Times New Roman" w:hAnsi="Times New Roman"/>
                <w:color w:val="000000" w:themeColor="text1"/>
              </w:rPr>
              <w:t>100m</w:t>
            </w:r>
            <w:r w:rsidRPr="008A2411">
              <w:rPr>
                <w:rFonts w:ascii="Times New Roman" w:hAnsi="Times New Roman"/>
                <w:color w:val="000000" w:themeColor="text1"/>
              </w:rPr>
              <w:t>处</w:t>
            </w:r>
          </w:p>
        </w:tc>
        <w:tc>
          <w:tcPr>
            <w:tcW w:w="1464" w:type="dxa"/>
            <w:vAlign w:val="center"/>
          </w:tcPr>
          <w:p w14:paraId="6CEE75CA" w14:textId="77777777" w:rsidR="00B0005F" w:rsidRPr="008A2411" w:rsidRDefault="00000000">
            <w:pPr>
              <w:pStyle w:val="WJ4"/>
              <w:rPr>
                <w:rFonts w:ascii="Times New Roman" w:hAnsi="Times New Roman"/>
                <w:color w:val="000000" w:themeColor="text1"/>
              </w:rPr>
            </w:pPr>
            <w:r w:rsidRPr="008A2411">
              <w:rPr>
                <w:rFonts w:ascii="Times New Roman" w:hAnsi="Times New Roman"/>
                <w:color w:val="000000" w:themeColor="text1"/>
              </w:rPr>
              <w:t>150m</w:t>
            </w:r>
            <w:r w:rsidRPr="008A2411">
              <w:rPr>
                <w:rFonts w:ascii="Times New Roman" w:hAnsi="Times New Roman"/>
                <w:color w:val="000000" w:themeColor="text1"/>
              </w:rPr>
              <w:t>处</w:t>
            </w:r>
          </w:p>
        </w:tc>
        <w:tc>
          <w:tcPr>
            <w:tcW w:w="1464" w:type="dxa"/>
            <w:vAlign w:val="center"/>
          </w:tcPr>
          <w:p w14:paraId="1329C64A" w14:textId="77777777" w:rsidR="00B0005F" w:rsidRPr="008A2411" w:rsidRDefault="00000000">
            <w:pPr>
              <w:pStyle w:val="WJ4"/>
              <w:rPr>
                <w:rFonts w:ascii="Times New Roman" w:hAnsi="Times New Roman"/>
                <w:color w:val="000000" w:themeColor="text1"/>
              </w:rPr>
            </w:pPr>
            <w:r w:rsidRPr="008A2411">
              <w:rPr>
                <w:rFonts w:ascii="Times New Roman" w:hAnsi="Times New Roman"/>
                <w:color w:val="000000" w:themeColor="text1"/>
              </w:rPr>
              <w:t>200m</w:t>
            </w:r>
            <w:r w:rsidRPr="008A2411">
              <w:rPr>
                <w:rFonts w:ascii="Times New Roman" w:hAnsi="Times New Roman"/>
                <w:color w:val="000000" w:themeColor="text1"/>
              </w:rPr>
              <w:t>处</w:t>
            </w:r>
          </w:p>
        </w:tc>
      </w:tr>
      <w:tr w:rsidR="008A2411" w:rsidRPr="008A2411" w14:paraId="58A14E7E" w14:textId="77777777">
        <w:trPr>
          <w:cantSplit/>
        </w:trPr>
        <w:tc>
          <w:tcPr>
            <w:tcW w:w="1535" w:type="dxa"/>
            <w:vAlign w:val="center"/>
          </w:tcPr>
          <w:p w14:paraId="18116EF5"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机泵</w:t>
            </w:r>
          </w:p>
        </w:tc>
        <w:tc>
          <w:tcPr>
            <w:tcW w:w="1211" w:type="dxa"/>
            <w:vAlign w:val="center"/>
          </w:tcPr>
          <w:p w14:paraId="6FDA759B"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80</w:t>
            </w:r>
          </w:p>
        </w:tc>
        <w:tc>
          <w:tcPr>
            <w:tcW w:w="1281" w:type="dxa"/>
            <w:vAlign w:val="center"/>
          </w:tcPr>
          <w:p w14:paraId="2ADEBBE3"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35.04</w:t>
            </w:r>
          </w:p>
        </w:tc>
        <w:tc>
          <w:tcPr>
            <w:tcW w:w="1465" w:type="dxa"/>
            <w:vAlign w:val="center"/>
          </w:tcPr>
          <w:p w14:paraId="3DDAC19E"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29.02</w:t>
            </w:r>
          </w:p>
        </w:tc>
        <w:tc>
          <w:tcPr>
            <w:tcW w:w="1464" w:type="dxa"/>
            <w:vAlign w:val="center"/>
          </w:tcPr>
          <w:p w14:paraId="0C428F30"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25.50</w:t>
            </w:r>
          </w:p>
        </w:tc>
        <w:tc>
          <w:tcPr>
            <w:tcW w:w="1464" w:type="dxa"/>
            <w:vAlign w:val="center"/>
          </w:tcPr>
          <w:p w14:paraId="707BCE2C"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23.0</w:t>
            </w:r>
          </w:p>
        </w:tc>
      </w:tr>
      <w:tr w:rsidR="008A2411" w:rsidRPr="008A2411" w14:paraId="31484D06" w14:textId="77777777">
        <w:trPr>
          <w:cantSplit/>
        </w:trPr>
        <w:tc>
          <w:tcPr>
            <w:tcW w:w="1535" w:type="dxa"/>
            <w:vAlign w:val="center"/>
          </w:tcPr>
          <w:p w14:paraId="3F4D0FD1"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推土机、挖掘机</w:t>
            </w:r>
          </w:p>
        </w:tc>
        <w:tc>
          <w:tcPr>
            <w:tcW w:w="1211" w:type="dxa"/>
            <w:vAlign w:val="center"/>
          </w:tcPr>
          <w:p w14:paraId="0A6488D0"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96</w:t>
            </w:r>
          </w:p>
        </w:tc>
        <w:tc>
          <w:tcPr>
            <w:tcW w:w="1281" w:type="dxa"/>
            <w:vAlign w:val="center"/>
          </w:tcPr>
          <w:p w14:paraId="4DE15CC4"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50.32</w:t>
            </w:r>
          </w:p>
        </w:tc>
        <w:tc>
          <w:tcPr>
            <w:tcW w:w="1465" w:type="dxa"/>
            <w:vAlign w:val="center"/>
          </w:tcPr>
          <w:p w14:paraId="59B0B6CD"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48.02</w:t>
            </w:r>
          </w:p>
        </w:tc>
        <w:tc>
          <w:tcPr>
            <w:tcW w:w="1464" w:type="dxa"/>
            <w:vAlign w:val="center"/>
          </w:tcPr>
          <w:p w14:paraId="6B61AA04"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44.51</w:t>
            </w:r>
          </w:p>
        </w:tc>
        <w:tc>
          <w:tcPr>
            <w:tcW w:w="1464" w:type="dxa"/>
            <w:vAlign w:val="center"/>
          </w:tcPr>
          <w:p w14:paraId="1CC4499A"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40.07</w:t>
            </w:r>
          </w:p>
        </w:tc>
      </w:tr>
      <w:tr w:rsidR="008A2411" w:rsidRPr="008A2411" w14:paraId="7D37978A" w14:textId="77777777">
        <w:trPr>
          <w:cantSplit/>
        </w:trPr>
        <w:tc>
          <w:tcPr>
            <w:tcW w:w="1535" w:type="dxa"/>
            <w:vAlign w:val="center"/>
          </w:tcPr>
          <w:p w14:paraId="3DBF9BDF" w14:textId="77777777" w:rsidR="00B0005F" w:rsidRPr="008A2411" w:rsidRDefault="00000000">
            <w:pPr>
              <w:pStyle w:val="WJ5"/>
              <w:rPr>
                <w:rFonts w:ascii="Times New Roman" w:hAnsi="Times New Roman"/>
                <w:color w:val="000000" w:themeColor="text1"/>
              </w:rPr>
            </w:pPr>
            <w:proofErr w:type="gramStart"/>
            <w:r w:rsidRPr="008A2411">
              <w:rPr>
                <w:rFonts w:ascii="Times New Roman" w:hAnsi="Times New Roman"/>
                <w:color w:val="000000" w:themeColor="text1"/>
              </w:rPr>
              <w:t>翻斗机</w:t>
            </w:r>
            <w:proofErr w:type="gramEnd"/>
          </w:p>
        </w:tc>
        <w:tc>
          <w:tcPr>
            <w:tcW w:w="1211" w:type="dxa"/>
            <w:vAlign w:val="center"/>
          </w:tcPr>
          <w:p w14:paraId="7ACB98CB"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89</w:t>
            </w:r>
          </w:p>
        </w:tc>
        <w:tc>
          <w:tcPr>
            <w:tcW w:w="1281" w:type="dxa"/>
            <w:vAlign w:val="center"/>
          </w:tcPr>
          <w:p w14:paraId="6FB19B54"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47.02</w:t>
            </w:r>
          </w:p>
        </w:tc>
        <w:tc>
          <w:tcPr>
            <w:tcW w:w="1465" w:type="dxa"/>
            <w:vAlign w:val="center"/>
          </w:tcPr>
          <w:p w14:paraId="0BA0E1D3"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41.02</w:t>
            </w:r>
          </w:p>
        </w:tc>
        <w:tc>
          <w:tcPr>
            <w:tcW w:w="1464" w:type="dxa"/>
            <w:vAlign w:val="center"/>
          </w:tcPr>
          <w:p w14:paraId="36041C51"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37.51</w:t>
            </w:r>
          </w:p>
        </w:tc>
        <w:tc>
          <w:tcPr>
            <w:tcW w:w="1464" w:type="dxa"/>
            <w:vAlign w:val="center"/>
          </w:tcPr>
          <w:p w14:paraId="56BF1FE6"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35.01</w:t>
            </w:r>
          </w:p>
        </w:tc>
      </w:tr>
      <w:tr w:rsidR="008A2411" w:rsidRPr="008A2411" w14:paraId="7CF583F0" w14:textId="77777777">
        <w:trPr>
          <w:cantSplit/>
        </w:trPr>
        <w:tc>
          <w:tcPr>
            <w:tcW w:w="1535" w:type="dxa"/>
            <w:vAlign w:val="center"/>
          </w:tcPr>
          <w:p w14:paraId="58BD72EE"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混凝土搅拌机</w:t>
            </w:r>
          </w:p>
        </w:tc>
        <w:tc>
          <w:tcPr>
            <w:tcW w:w="1211" w:type="dxa"/>
            <w:vAlign w:val="center"/>
          </w:tcPr>
          <w:p w14:paraId="76EF0094"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95</w:t>
            </w:r>
          </w:p>
        </w:tc>
        <w:tc>
          <w:tcPr>
            <w:tcW w:w="1281" w:type="dxa"/>
            <w:vAlign w:val="center"/>
          </w:tcPr>
          <w:p w14:paraId="49F63217"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53.02</w:t>
            </w:r>
          </w:p>
        </w:tc>
        <w:tc>
          <w:tcPr>
            <w:tcW w:w="1465" w:type="dxa"/>
            <w:vAlign w:val="center"/>
          </w:tcPr>
          <w:p w14:paraId="04EC6DCE"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47.02</w:t>
            </w:r>
          </w:p>
        </w:tc>
        <w:tc>
          <w:tcPr>
            <w:tcW w:w="1464" w:type="dxa"/>
            <w:vAlign w:val="center"/>
          </w:tcPr>
          <w:p w14:paraId="7D3D3C51"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43.51</w:t>
            </w:r>
          </w:p>
        </w:tc>
        <w:tc>
          <w:tcPr>
            <w:tcW w:w="1464" w:type="dxa"/>
            <w:vAlign w:val="center"/>
          </w:tcPr>
          <w:p w14:paraId="313FF061"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41.01</w:t>
            </w:r>
          </w:p>
        </w:tc>
      </w:tr>
      <w:tr w:rsidR="008A2411" w:rsidRPr="008A2411" w14:paraId="6CBACEF2" w14:textId="77777777">
        <w:trPr>
          <w:cantSplit/>
        </w:trPr>
        <w:tc>
          <w:tcPr>
            <w:tcW w:w="1535" w:type="dxa"/>
            <w:vAlign w:val="center"/>
          </w:tcPr>
          <w:p w14:paraId="71D3920F"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振动碾</w:t>
            </w:r>
          </w:p>
        </w:tc>
        <w:tc>
          <w:tcPr>
            <w:tcW w:w="1211" w:type="dxa"/>
            <w:vAlign w:val="center"/>
          </w:tcPr>
          <w:p w14:paraId="5C973DA9"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100</w:t>
            </w:r>
          </w:p>
        </w:tc>
        <w:tc>
          <w:tcPr>
            <w:tcW w:w="1281" w:type="dxa"/>
            <w:vAlign w:val="center"/>
          </w:tcPr>
          <w:p w14:paraId="3125721C"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58.02</w:t>
            </w:r>
          </w:p>
        </w:tc>
        <w:tc>
          <w:tcPr>
            <w:tcW w:w="1465" w:type="dxa"/>
            <w:vAlign w:val="center"/>
          </w:tcPr>
          <w:p w14:paraId="04975D5D"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52.02</w:t>
            </w:r>
          </w:p>
        </w:tc>
        <w:tc>
          <w:tcPr>
            <w:tcW w:w="1464" w:type="dxa"/>
            <w:vAlign w:val="center"/>
          </w:tcPr>
          <w:p w14:paraId="3DE56D4F"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48.51</w:t>
            </w:r>
          </w:p>
        </w:tc>
        <w:tc>
          <w:tcPr>
            <w:tcW w:w="1464" w:type="dxa"/>
            <w:vAlign w:val="center"/>
          </w:tcPr>
          <w:p w14:paraId="259F5634"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46.01</w:t>
            </w:r>
          </w:p>
        </w:tc>
      </w:tr>
      <w:tr w:rsidR="008A2411" w:rsidRPr="008A2411" w14:paraId="6A5EADDB" w14:textId="77777777">
        <w:trPr>
          <w:cantSplit/>
        </w:trPr>
        <w:tc>
          <w:tcPr>
            <w:tcW w:w="1535" w:type="dxa"/>
            <w:vAlign w:val="center"/>
          </w:tcPr>
          <w:p w14:paraId="55A213BF"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运输平台</w:t>
            </w:r>
          </w:p>
        </w:tc>
        <w:tc>
          <w:tcPr>
            <w:tcW w:w="1211" w:type="dxa"/>
            <w:vAlign w:val="center"/>
          </w:tcPr>
          <w:p w14:paraId="45DC6DB6"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78</w:t>
            </w:r>
          </w:p>
        </w:tc>
        <w:tc>
          <w:tcPr>
            <w:tcW w:w="1281" w:type="dxa"/>
            <w:vAlign w:val="center"/>
          </w:tcPr>
          <w:p w14:paraId="3469CB77"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36.02</w:t>
            </w:r>
          </w:p>
        </w:tc>
        <w:tc>
          <w:tcPr>
            <w:tcW w:w="1465" w:type="dxa"/>
            <w:vAlign w:val="center"/>
          </w:tcPr>
          <w:p w14:paraId="59AF60BB"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30.02</w:t>
            </w:r>
          </w:p>
        </w:tc>
        <w:tc>
          <w:tcPr>
            <w:tcW w:w="1464" w:type="dxa"/>
            <w:vAlign w:val="center"/>
          </w:tcPr>
          <w:p w14:paraId="381ED13B"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26.51</w:t>
            </w:r>
          </w:p>
        </w:tc>
        <w:tc>
          <w:tcPr>
            <w:tcW w:w="1464" w:type="dxa"/>
            <w:vAlign w:val="center"/>
          </w:tcPr>
          <w:p w14:paraId="114DA279"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24.01</w:t>
            </w:r>
          </w:p>
        </w:tc>
      </w:tr>
      <w:tr w:rsidR="008A2411" w:rsidRPr="008A2411" w14:paraId="220EA321" w14:textId="77777777">
        <w:trPr>
          <w:cantSplit/>
        </w:trPr>
        <w:tc>
          <w:tcPr>
            <w:tcW w:w="1535" w:type="dxa"/>
            <w:vAlign w:val="center"/>
          </w:tcPr>
          <w:p w14:paraId="4D40A9B6"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lastRenderedPageBreak/>
              <w:t>移动式空压机</w:t>
            </w:r>
          </w:p>
        </w:tc>
        <w:tc>
          <w:tcPr>
            <w:tcW w:w="1211" w:type="dxa"/>
            <w:vAlign w:val="center"/>
          </w:tcPr>
          <w:p w14:paraId="44BB8E53"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92</w:t>
            </w:r>
          </w:p>
        </w:tc>
        <w:tc>
          <w:tcPr>
            <w:tcW w:w="1281" w:type="dxa"/>
            <w:vAlign w:val="center"/>
          </w:tcPr>
          <w:p w14:paraId="6A4FCC82"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50.02</w:t>
            </w:r>
          </w:p>
        </w:tc>
        <w:tc>
          <w:tcPr>
            <w:tcW w:w="1465" w:type="dxa"/>
            <w:vAlign w:val="center"/>
          </w:tcPr>
          <w:p w14:paraId="12658693"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44.02</w:t>
            </w:r>
          </w:p>
        </w:tc>
        <w:tc>
          <w:tcPr>
            <w:tcW w:w="1464" w:type="dxa"/>
            <w:vAlign w:val="center"/>
          </w:tcPr>
          <w:p w14:paraId="5BE865BB"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40.51</w:t>
            </w:r>
          </w:p>
        </w:tc>
        <w:tc>
          <w:tcPr>
            <w:tcW w:w="1464" w:type="dxa"/>
            <w:vAlign w:val="center"/>
          </w:tcPr>
          <w:p w14:paraId="7D9396D7"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38.01</w:t>
            </w:r>
          </w:p>
        </w:tc>
      </w:tr>
      <w:tr w:rsidR="008A2411" w:rsidRPr="008A2411" w14:paraId="694F56B9" w14:textId="77777777">
        <w:trPr>
          <w:cantSplit/>
        </w:trPr>
        <w:tc>
          <w:tcPr>
            <w:tcW w:w="1535" w:type="dxa"/>
            <w:vAlign w:val="center"/>
          </w:tcPr>
          <w:p w14:paraId="2694E78E"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平地机</w:t>
            </w:r>
          </w:p>
        </w:tc>
        <w:tc>
          <w:tcPr>
            <w:tcW w:w="1211" w:type="dxa"/>
            <w:vAlign w:val="center"/>
          </w:tcPr>
          <w:p w14:paraId="3983FFC3"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86</w:t>
            </w:r>
          </w:p>
        </w:tc>
        <w:tc>
          <w:tcPr>
            <w:tcW w:w="1281" w:type="dxa"/>
            <w:vAlign w:val="center"/>
          </w:tcPr>
          <w:p w14:paraId="17F7B921"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44.02</w:t>
            </w:r>
          </w:p>
        </w:tc>
        <w:tc>
          <w:tcPr>
            <w:tcW w:w="1465" w:type="dxa"/>
            <w:vAlign w:val="center"/>
          </w:tcPr>
          <w:p w14:paraId="1585DFF0"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38.02</w:t>
            </w:r>
          </w:p>
        </w:tc>
        <w:tc>
          <w:tcPr>
            <w:tcW w:w="1464" w:type="dxa"/>
            <w:vAlign w:val="center"/>
          </w:tcPr>
          <w:p w14:paraId="4BECAF76"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34.51</w:t>
            </w:r>
          </w:p>
        </w:tc>
        <w:tc>
          <w:tcPr>
            <w:tcW w:w="1464" w:type="dxa"/>
            <w:vAlign w:val="center"/>
          </w:tcPr>
          <w:p w14:paraId="52142153"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32.01</w:t>
            </w:r>
          </w:p>
        </w:tc>
      </w:tr>
      <w:tr w:rsidR="008A2411" w:rsidRPr="008A2411" w14:paraId="29144664" w14:textId="77777777">
        <w:trPr>
          <w:cantSplit/>
        </w:trPr>
        <w:tc>
          <w:tcPr>
            <w:tcW w:w="1535" w:type="dxa"/>
            <w:vAlign w:val="center"/>
          </w:tcPr>
          <w:p w14:paraId="23BEF4CA"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吊车</w:t>
            </w:r>
          </w:p>
        </w:tc>
        <w:tc>
          <w:tcPr>
            <w:tcW w:w="1211" w:type="dxa"/>
            <w:vAlign w:val="center"/>
          </w:tcPr>
          <w:p w14:paraId="6FC1AD57"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73</w:t>
            </w:r>
          </w:p>
        </w:tc>
        <w:tc>
          <w:tcPr>
            <w:tcW w:w="1281" w:type="dxa"/>
            <w:vAlign w:val="center"/>
          </w:tcPr>
          <w:p w14:paraId="7423D924"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31.02</w:t>
            </w:r>
          </w:p>
        </w:tc>
        <w:tc>
          <w:tcPr>
            <w:tcW w:w="1465" w:type="dxa"/>
            <w:vAlign w:val="center"/>
          </w:tcPr>
          <w:p w14:paraId="1E4E21B5"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25.02</w:t>
            </w:r>
          </w:p>
        </w:tc>
        <w:tc>
          <w:tcPr>
            <w:tcW w:w="1464" w:type="dxa"/>
            <w:vAlign w:val="center"/>
          </w:tcPr>
          <w:p w14:paraId="366FD853"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21.51</w:t>
            </w:r>
          </w:p>
        </w:tc>
        <w:tc>
          <w:tcPr>
            <w:tcW w:w="1464" w:type="dxa"/>
            <w:vAlign w:val="center"/>
          </w:tcPr>
          <w:p w14:paraId="7BCAAB23"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19.01</w:t>
            </w:r>
          </w:p>
        </w:tc>
      </w:tr>
      <w:tr w:rsidR="008A2411" w:rsidRPr="008A2411" w14:paraId="03F4ECDC" w14:textId="77777777">
        <w:trPr>
          <w:cantSplit/>
        </w:trPr>
        <w:tc>
          <w:tcPr>
            <w:tcW w:w="1535" w:type="dxa"/>
            <w:vAlign w:val="center"/>
          </w:tcPr>
          <w:p w14:paraId="09DD3ABB"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重型载重汽车</w:t>
            </w:r>
          </w:p>
        </w:tc>
        <w:tc>
          <w:tcPr>
            <w:tcW w:w="1211" w:type="dxa"/>
            <w:vAlign w:val="center"/>
          </w:tcPr>
          <w:p w14:paraId="0722C797"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89</w:t>
            </w:r>
          </w:p>
        </w:tc>
        <w:tc>
          <w:tcPr>
            <w:tcW w:w="1281" w:type="dxa"/>
            <w:vAlign w:val="center"/>
          </w:tcPr>
          <w:p w14:paraId="5C4FB369"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47.02</w:t>
            </w:r>
          </w:p>
        </w:tc>
        <w:tc>
          <w:tcPr>
            <w:tcW w:w="1465" w:type="dxa"/>
            <w:vAlign w:val="center"/>
          </w:tcPr>
          <w:p w14:paraId="78A2AEE3"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41.02</w:t>
            </w:r>
          </w:p>
        </w:tc>
        <w:tc>
          <w:tcPr>
            <w:tcW w:w="1464" w:type="dxa"/>
            <w:vAlign w:val="center"/>
          </w:tcPr>
          <w:p w14:paraId="141C4250"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37.51</w:t>
            </w:r>
          </w:p>
        </w:tc>
        <w:tc>
          <w:tcPr>
            <w:tcW w:w="1464" w:type="dxa"/>
            <w:vAlign w:val="center"/>
          </w:tcPr>
          <w:p w14:paraId="1B28B6AE"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35.01</w:t>
            </w:r>
          </w:p>
        </w:tc>
      </w:tr>
    </w:tbl>
    <w:bookmarkEnd w:id="331"/>
    <w:p w14:paraId="662F5783" w14:textId="77777777" w:rsidR="00B0005F" w:rsidRPr="008A2411" w:rsidRDefault="00000000">
      <w:pPr>
        <w:pStyle w:val="WJ"/>
        <w:rPr>
          <w:rFonts w:ascii="Times New Roman" w:hAnsi="Times New Roman"/>
          <w:b/>
          <w:bCs/>
          <w:color w:val="000000" w:themeColor="text1"/>
        </w:rPr>
      </w:pPr>
      <w:r w:rsidRPr="008A2411">
        <w:rPr>
          <w:rFonts w:ascii="Times New Roman" w:hAnsi="Times New Roman"/>
          <w:color w:val="000000" w:themeColor="text1"/>
        </w:rPr>
        <w:t>将上表与《建筑施工场界环境噪声排放标准》（</w:t>
      </w:r>
      <w:r w:rsidRPr="008A2411">
        <w:rPr>
          <w:rFonts w:ascii="Times New Roman" w:hAnsi="Times New Roman"/>
          <w:color w:val="000000" w:themeColor="text1"/>
        </w:rPr>
        <w:t>GB12523</w:t>
      </w:r>
      <w:r w:rsidRPr="008A2411">
        <w:rPr>
          <w:rFonts w:ascii="Times New Roman" w:hAnsi="Times New Roman"/>
          <w:color w:val="000000" w:themeColor="text1"/>
        </w:rPr>
        <w:t>－</w:t>
      </w:r>
      <w:r w:rsidRPr="008A2411">
        <w:rPr>
          <w:rFonts w:ascii="Times New Roman" w:hAnsi="Times New Roman"/>
          <w:color w:val="000000" w:themeColor="text1"/>
        </w:rPr>
        <w:t>2011</w:t>
      </w:r>
      <w:r w:rsidRPr="008A2411">
        <w:rPr>
          <w:rFonts w:ascii="Times New Roman" w:hAnsi="Times New Roman"/>
          <w:color w:val="000000" w:themeColor="text1"/>
        </w:rPr>
        <w:t>）中规定的不同施工阶段作业噪声限值对比可见：在</w:t>
      </w:r>
      <w:r w:rsidRPr="008A2411">
        <w:rPr>
          <w:rFonts w:ascii="Times New Roman" w:hAnsi="Times New Roman"/>
          <w:color w:val="000000" w:themeColor="text1"/>
        </w:rPr>
        <w:t>100m</w:t>
      </w:r>
      <w:r w:rsidRPr="008A2411">
        <w:rPr>
          <w:rFonts w:ascii="Times New Roman" w:hAnsi="Times New Roman"/>
          <w:color w:val="000000" w:themeColor="text1"/>
        </w:rPr>
        <w:t>处，施工除昼间运输车辆、压缩机外，其它施工机械昼间、夜间平均</w:t>
      </w:r>
      <w:r w:rsidRPr="008A2411">
        <w:rPr>
          <w:rFonts w:ascii="Times New Roman" w:hAnsi="Times New Roman"/>
          <w:color w:val="000000" w:themeColor="text1"/>
        </w:rPr>
        <w:t>A</w:t>
      </w:r>
      <w:r w:rsidRPr="008A2411">
        <w:rPr>
          <w:rFonts w:ascii="Times New Roman" w:hAnsi="Times New Roman"/>
          <w:color w:val="000000" w:themeColor="text1"/>
        </w:rPr>
        <w:t>声级均不能达到要求；</w:t>
      </w:r>
      <w:r w:rsidRPr="008A2411">
        <w:rPr>
          <w:rFonts w:ascii="Times New Roman" w:hAnsi="Times New Roman"/>
          <w:color w:val="000000" w:themeColor="text1"/>
        </w:rPr>
        <w:t>150m</w:t>
      </w:r>
      <w:r w:rsidRPr="008A2411">
        <w:rPr>
          <w:rFonts w:ascii="Times New Roman" w:hAnsi="Times New Roman"/>
          <w:color w:val="000000" w:themeColor="text1"/>
        </w:rPr>
        <w:t>、</w:t>
      </w:r>
      <w:r w:rsidRPr="008A2411">
        <w:rPr>
          <w:rFonts w:ascii="Times New Roman" w:hAnsi="Times New Roman"/>
          <w:color w:val="000000" w:themeColor="text1"/>
        </w:rPr>
        <w:t>200m</w:t>
      </w:r>
      <w:r w:rsidRPr="008A2411">
        <w:rPr>
          <w:rFonts w:ascii="Times New Roman" w:hAnsi="Times New Roman"/>
          <w:color w:val="000000" w:themeColor="text1"/>
        </w:rPr>
        <w:t>处昼间、夜间平均</w:t>
      </w:r>
      <w:r w:rsidRPr="008A2411">
        <w:rPr>
          <w:rFonts w:ascii="Times New Roman" w:hAnsi="Times New Roman"/>
          <w:color w:val="000000" w:themeColor="text1"/>
        </w:rPr>
        <w:t>A</w:t>
      </w:r>
      <w:r w:rsidRPr="008A2411">
        <w:rPr>
          <w:rFonts w:ascii="Times New Roman" w:hAnsi="Times New Roman"/>
          <w:color w:val="000000" w:themeColor="text1"/>
        </w:rPr>
        <w:t>声级除</w:t>
      </w:r>
      <w:proofErr w:type="gramStart"/>
      <w:r w:rsidRPr="008A2411">
        <w:rPr>
          <w:rFonts w:ascii="Times New Roman" w:hAnsi="Times New Roman"/>
          <w:color w:val="000000" w:themeColor="text1"/>
        </w:rPr>
        <w:t>砼</w:t>
      </w:r>
      <w:proofErr w:type="gramEnd"/>
      <w:r w:rsidRPr="008A2411">
        <w:rPr>
          <w:rFonts w:ascii="Times New Roman" w:hAnsi="Times New Roman"/>
          <w:color w:val="000000" w:themeColor="text1"/>
        </w:rPr>
        <w:t>搅拌机外其它施工机械基本上能达到标准要求。</w:t>
      </w:r>
    </w:p>
    <w:p w14:paraId="413D2125" w14:textId="77777777" w:rsidR="00B0005F" w:rsidRPr="008A2411" w:rsidRDefault="00000000">
      <w:pPr>
        <w:pStyle w:val="WJ"/>
        <w:rPr>
          <w:rFonts w:ascii="Times New Roman" w:eastAsia="黑体" w:hAnsi="Times New Roman"/>
          <w:bCs/>
          <w:color w:val="000000" w:themeColor="text1"/>
          <w:lang w:bidi="en-US"/>
        </w:rPr>
      </w:pPr>
      <w:r w:rsidRPr="008A2411">
        <w:rPr>
          <w:rFonts w:ascii="Times New Roman" w:eastAsia="黑体" w:hAnsi="Times New Roman"/>
          <w:bCs/>
          <w:color w:val="000000" w:themeColor="text1"/>
          <w:lang w:bidi="en-US"/>
        </w:rPr>
        <w:t>5.1.4.3</w:t>
      </w:r>
      <w:r w:rsidRPr="008A2411">
        <w:rPr>
          <w:rFonts w:ascii="Times New Roman" w:eastAsia="黑体" w:hAnsi="Times New Roman"/>
          <w:bCs/>
          <w:color w:val="000000" w:themeColor="text1"/>
          <w:lang w:bidi="en-US"/>
        </w:rPr>
        <w:t>对声学环境的影响分析</w:t>
      </w:r>
    </w:p>
    <w:p w14:paraId="612D5923" w14:textId="77777777" w:rsidR="00B0005F" w:rsidRPr="008A2411" w:rsidRDefault="00000000">
      <w:pPr>
        <w:pStyle w:val="WJ"/>
        <w:rPr>
          <w:rFonts w:ascii="Times New Roman" w:hAnsi="Times New Roman"/>
          <w:bCs/>
          <w:color w:val="000000" w:themeColor="text1"/>
        </w:rPr>
      </w:pPr>
      <w:r w:rsidRPr="008A2411">
        <w:rPr>
          <w:rFonts w:ascii="Times New Roman" w:hAnsi="Times New Roman"/>
          <w:bCs/>
          <w:color w:val="000000" w:themeColor="text1"/>
        </w:rPr>
        <w:t>建设单位在施工期间应要求施工单位采取如下防治措施：</w:t>
      </w:r>
    </w:p>
    <w:p w14:paraId="23C1859C"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⑴</w:t>
      </w:r>
      <w:r w:rsidRPr="008A2411">
        <w:rPr>
          <w:rFonts w:ascii="Times New Roman" w:hAnsi="Times New Roman"/>
          <w:color w:val="000000" w:themeColor="text1"/>
        </w:rPr>
        <w:t>建筑施工中振动碾、搅拌机、空压机等施工无法避免噪声和振动，因此应合理安排高噪声施工作业的时间，夜间严禁打桩等高噪声施工作业。推土机、装载机、搅拌作业等也要控制作业时间，在白天施工。严格按照</w:t>
      </w:r>
      <w:r w:rsidRPr="008A2411">
        <w:rPr>
          <w:rFonts w:ascii="Times New Roman" w:hAnsi="Times New Roman"/>
          <w:color w:val="000000" w:themeColor="text1"/>
        </w:rPr>
        <w:t>GB12532-90</w:t>
      </w:r>
      <w:r w:rsidRPr="008A2411">
        <w:rPr>
          <w:rFonts w:ascii="Times New Roman" w:hAnsi="Times New Roman"/>
          <w:color w:val="000000" w:themeColor="text1"/>
        </w:rPr>
        <w:t>《建筑施工场界噪声限值》施工，施工期间应制</w:t>
      </w:r>
      <w:proofErr w:type="gramStart"/>
      <w:r w:rsidRPr="008A2411">
        <w:rPr>
          <w:rFonts w:ascii="Times New Roman" w:hAnsi="Times New Roman"/>
          <w:color w:val="000000" w:themeColor="text1"/>
        </w:rPr>
        <w:t>订科学</w:t>
      </w:r>
      <w:proofErr w:type="gramEnd"/>
      <w:r w:rsidRPr="008A2411">
        <w:rPr>
          <w:rFonts w:ascii="Times New Roman" w:hAnsi="Times New Roman"/>
          <w:color w:val="000000" w:themeColor="text1"/>
        </w:rPr>
        <w:t>的施工计划。</w:t>
      </w:r>
      <w:proofErr w:type="gramStart"/>
      <w:r w:rsidRPr="008A2411">
        <w:rPr>
          <w:rFonts w:ascii="Times New Roman" w:hAnsi="Times New Roman"/>
          <w:color w:val="000000" w:themeColor="text1"/>
        </w:rPr>
        <w:t>砼</w:t>
      </w:r>
      <w:proofErr w:type="gramEnd"/>
      <w:r w:rsidRPr="008A2411">
        <w:rPr>
          <w:rFonts w:ascii="Times New Roman" w:hAnsi="Times New Roman"/>
          <w:color w:val="000000" w:themeColor="text1"/>
        </w:rPr>
        <w:t>的浇灌尽可能避免夜间施工，如技术上确需白天和夜间连续施工，应报请相关部门批准；</w:t>
      </w:r>
    </w:p>
    <w:p w14:paraId="522F68BE"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⑵</w:t>
      </w:r>
      <w:r w:rsidRPr="008A2411">
        <w:rPr>
          <w:rFonts w:ascii="Times New Roman" w:hAnsi="Times New Roman"/>
          <w:color w:val="000000" w:themeColor="text1"/>
        </w:rPr>
        <w:t>施工总平面布置时，将高噪声设备布置在远离敏感点的位置，通过距离衰减，以减轻施工机械产生的噪声对周围环境敏感点的影响。</w:t>
      </w:r>
    </w:p>
    <w:p w14:paraId="7FD22E44"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⑶</w:t>
      </w:r>
      <w:r w:rsidRPr="008A2411">
        <w:rPr>
          <w:rFonts w:ascii="Times New Roman" w:hAnsi="Times New Roman"/>
          <w:color w:val="000000" w:themeColor="text1"/>
        </w:rPr>
        <w:t>尽量选用低噪声的施工机械、设备，工地周围设立围护屏障，并在高噪声设备</w:t>
      </w:r>
      <w:proofErr w:type="gramStart"/>
      <w:r w:rsidRPr="008A2411">
        <w:rPr>
          <w:rFonts w:ascii="Times New Roman" w:hAnsi="Times New Roman"/>
          <w:color w:val="000000" w:themeColor="text1"/>
        </w:rPr>
        <w:t>附近设可移动</w:t>
      </w:r>
      <w:proofErr w:type="gramEnd"/>
      <w:r w:rsidRPr="008A2411">
        <w:rPr>
          <w:rFonts w:ascii="Times New Roman" w:hAnsi="Times New Roman"/>
          <w:color w:val="000000" w:themeColor="text1"/>
        </w:rPr>
        <w:t>的简易隔声屏，尽可能减少设备噪声对环境的影响。</w:t>
      </w:r>
    </w:p>
    <w:p w14:paraId="3D45E076"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⑷</w:t>
      </w:r>
      <w:r w:rsidRPr="008A2411">
        <w:rPr>
          <w:rFonts w:ascii="Times New Roman" w:hAnsi="Times New Roman"/>
          <w:color w:val="000000" w:themeColor="text1"/>
        </w:rPr>
        <w:t>钢管、模板等构件装卸、搬运应该轻拿轻放，严禁抛掷；木工棚使用前应完全封闭，屏蔽电锯噪声。钢筋加工尽量安排在白天进行，减少夜间对外界声环境的影响。</w:t>
      </w:r>
    </w:p>
    <w:p w14:paraId="3CC0EF27"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⑸</w:t>
      </w:r>
      <w:r w:rsidRPr="008A2411">
        <w:rPr>
          <w:rFonts w:ascii="Times New Roman" w:hAnsi="Times New Roman"/>
          <w:color w:val="000000" w:themeColor="text1"/>
        </w:rPr>
        <w:t>加强现场运输车辆出入的管理，车辆进入现场禁止呜笛。</w:t>
      </w:r>
    </w:p>
    <w:p w14:paraId="50A36E4E"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通过采取上述措施，项目施工期间产生的噪声不会对周围环境敏感点造成明显影响。</w:t>
      </w:r>
    </w:p>
    <w:p w14:paraId="28CB7696" w14:textId="77777777" w:rsidR="00B0005F" w:rsidRPr="008A2411" w:rsidRDefault="00000000">
      <w:pPr>
        <w:pStyle w:val="WJ3"/>
        <w:rPr>
          <w:rFonts w:ascii="Times New Roman" w:hAnsi="Times New Roman"/>
          <w:color w:val="000000" w:themeColor="text1"/>
        </w:rPr>
      </w:pPr>
      <w:bookmarkStart w:id="332" w:name="_Toc405904511"/>
      <w:bookmarkStart w:id="333" w:name="_Toc405904855"/>
      <w:bookmarkStart w:id="334" w:name="_Toc405214261"/>
      <w:bookmarkStart w:id="335" w:name="_Toc319852937"/>
      <w:bookmarkStart w:id="336" w:name="_Toc405905327"/>
      <w:bookmarkStart w:id="337" w:name="_Toc422906875"/>
      <w:r w:rsidRPr="008A2411">
        <w:rPr>
          <w:rFonts w:ascii="Times New Roman" w:hAnsi="Times New Roman"/>
          <w:color w:val="000000" w:themeColor="text1"/>
        </w:rPr>
        <w:t xml:space="preserve">5.1.5 </w:t>
      </w:r>
      <w:r w:rsidRPr="008A2411">
        <w:rPr>
          <w:rFonts w:ascii="Times New Roman" w:hAnsi="Times New Roman"/>
          <w:color w:val="000000" w:themeColor="text1"/>
        </w:rPr>
        <w:t>固体废物环境影响分析</w:t>
      </w:r>
      <w:bookmarkEnd w:id="332"/>
      <w:bookmarkEnd w:id="333"/>
      <w:bookmarkEnd w:id="334"/>
      <w:bookmarkEnd w:id="335"/>
      <w:bookmarkEnd w:id="336"/>
      <w:bookmarkEnd w:id="337"/>
    </w:p>
    <w:p w14:paraId="20912093"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由于项目装置区地势较为平整，且装置区占地较小。故施工期的固体废物主要为站场工程产生的少量弃方、施工废料及生活垃圾等。项目产生的建筑垃圾和</w:t>
      </w:r>
      <w:r w:rsidRPr="008A2411">
        <w:rPr>
          <w:rFonts w:ascii="Times New Roman" w:hAnsi="Times New Roman"/>
          <w:color w:val="000000" w:themeColor="text1"/>
        </w:rPr>
        <w:lastRenderedPageBreak/>
        <w:t>施工废料等应集中收集，以待后续综合利用</w:t>
      </w:r>
      <w:r w:rsidRPr="008A2411">
        <w:rPr>
          <w:rFonts w:ascii="Times New Roman" w:hAnsi="Times New Roman" w:hint="eastAsia"/>
          <w:color w:val="000000" w:themeColor="text1"/>
        </w:rPr>
        <w:t>，不能综合利用部分，交由当地环卫部门处置</w:t>
      </w:r>
      <w:r w:rsidRPr="008A2411">
        <w:rPr>
          <w:rFonts w:ascii="Times New Roman" w:hAnsi="Times New Roman"/>
          <w:color w:val="000000" w:themeColor="text1"/>
        </w:rPr>
        <w:t>；生活垃圾应及时送垃圾场处置，以免影响环境卫生。</w:t>
      </w:r>
    </w:p>
    <w:p w14:paraId="7A9B7733"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采取上述措施后，项目固体废物不会对周围环境产生污染影响。</w:t>
      </w:r>
    </w:p>
    <w:p w14:paraId="3938CA87" w14:textId="77777777" w:rsidR="00B0005F" w:rsidRPr="008A2411" w:rsidRDefault="00000000">
      <w:pPr>
        <w:pStyle w:val="WJ3"/>
        <w:rPr>
          <w:rFonts w:ascii="Times New Roman" w:hAnsi="Times New Roman"/>
          <w:color w:val="000000" w:themeColor="text1"/>
        </w:rPr>
      </w:pPr>
      <w:bookmarkStart w:id="338" w:name="_Toc422906876"/>
      <w:bookmarkStart w:id="339" w:name="_Toc312795327"/>
      <w:bookmarkStart w:id="340" w:name="_Toc319852938"/>
      <w:bookmarkStart w:id="341" w:name="_Toc405904512"/>
      <w:bookmarkStart w:id="342" w:name="_Toc405214262"/>
      <w:bookmarkStart w:id="343" w:name="_Toc405905328"/>
      <w:bookmarkStart w:id="344" w:name="_Toc405904856"/>
      <w:r w:rsidRPr="008A2411">
        <w:rPr>
          <w:rFonts w:ascii="Times New Roman" w:hAnsi="Times New Roman"/>
          <w:color w:val="000000" w:themeColor="text1"/>
        </w:rPr>
        <w:t xml:space="preserve">5.1.6 </w:t>
      </w:r>
      <w:r w:rsidRPr="008A2411">
        <w:rPr>
          <w:rFonts w:ascii="Times New Roman" w:hAnsi="Times New Roman"/>
          <w:color w:val="000000" w:themeColor="text1"/>
        </w:rPr>
        <w:t>生态环境影响分析</w:t>
      </w:r>
      <w:bookmarkEnd w:id="338"/>
      <w:bookmarkEnd w:id="339"/>
      <w:bookmarkEnd w:id="340"/>
      <w:bookmarkEnd w:id="341"/>
      <w:bookmarkEnd w:id="342"/>
      <w:bookmarkEnd w:id="343"/>
      <w:bookmarkEnd w:id="344"/>
    </w:p>
    <w:p w14:paraId="52BE5F34"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1</w:t>
      </w:r>
      <w:r w:rsidRPr="008A2411">
        <w:rPr>
          <w:rFonts w:ascii="Times New Roman" w:hAnsi="Times New Roman"/>
          <w:color w:val="000000" w:themeColor="text1"/>
        </w:rPr>
        <w:t>）对生态环境的影响</w:t>
      </w:r>
    </w:p>
    <w:p w14:paraId="6C5736A3"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项目施工期对生态环境的影响主要表现为项目占地使土地功能发生改变，即林地变为工业用地。项目站场工程施工期约</w:t>
      </w:r>
      <w:r w:rsidRPr="008A2411">
        <w:rPr>
          <w:rFonts w:ascii="Times New Roman" w:hAnsi="Times New Roman"/>
          <w:color w:val="000000" w:themeColor="text1"/>
        </w:rPr>
        <w:t>12</w:t>
      </w:r>
      <w:r w:rsidRPr="008A2411">
        <w:rPr>
          <w:rFonts w:ascii="Times New Roman" w:hAnsi="Times New Roman"/>
          <w:color w:val="000000" w:themeColor="text1"/>
        </w:rPr>
        <w:t>个月，工程的建设会对当地林木拥有者造成一定的经济损失，通过采取直接给受损方一定经济补偿后，对林木拥有者的影响较小。</w:t>
      </w:r>
    </w:p>
    <w:p w14:paraId="68D808DE"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2</w:t>
      </w:r>
      <w:r w:rsidRPr="008A2411">
        <w:rPr>
          <w:rFonts w:ascii="Times New Roman" w:hAnsi="Times New Roman"/>
          <w:color w:val="000000" w:themeColor="text1"/>
        </w:rPr>
        <w:t>）水土流失影响分析</w:t>
      </w:r>
    </w:p>
    <w:p w14:paraId="42D91E04"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本项目施工期间，影响环境的因素主要是站场建设，在此期间会对所征用土地上的植被进行清除。植被的清除使地表裸露，可能引起水土流失。同时，因开挖的土石方临时就近堆放，防护措施不当也会引起水土流失。项目通过严格按要求进行施工、对弃土设置弃土场堆放等措施，有效控制了水土流失量。施工结束后，通过对施工迹地地表植被的恢复，水土流失将得到有效控制。</w:t>
      </w:r>
    </w:p>
    <w:p w14:paraId="1E61527A"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总之，项目在采取有效的水土流失控制措施后，水土流失量较小。在施工</w:t>
      </w:r>
      <w:proofErr w:type="gramStart"/>
      <w:r w:rsidRPr="008A2411">
        <w:rPr>
          <w:rFonts w:ascii="Times New Roman" w:hAnsi="Times New Roman"/>
          <w:color w:val="000000" w:themeColor="text1"/>
        </w:rPr>
        <w:t>迹地工恢复</w:t>
      </w:r>
      <w:proofErr w:type="gramEnd"/>
      <w:r w:rsidRPr="008A2411">
        <w:rPr>
          <w:rFonts w:ascii="Times New Roman" w:hAnsi="Times New Roman"/>
          <w:color w:val="000000" w:themeColor="text1"/>
        </w:rPr>
        <w:t>工作结束后，其生态影响将得到消除。项目的施工建设对区域生态环境影响较小。</w:t>
      </w:r>
    </w:p>
    <w:p w14:paraId="16A5CFB0" w14:textId="77777777" w:rsidR="00B0005F" w:rsidRPr="008A2411" w:rsidRDefault="00000000">
      <w:pPr>
        <w:pStyle w:val="WJ2"/>
        <w:spacing w:line="360" w:lineRule="auto"/>
        <w:rPr>
          <w:rFonts w:ascii="Times New Roman" w:hAnsi="Times New Roman"/>
          <w:color w:val="000000" w:themeColor="text1"/>
        </w:rPr>
      </w:pPr>
      <w:bookmarkStart w:id="345" w:name="_Toc405904858"/>
      <w:bookmarkStart w:id="346" w:name="_Toc405904514"/>
      <w:bookmarkStart w:id="347" w:name="_Toc405214263"/>
      <w:bookmarkStart w:id="348" w:name="_Toc405905330"/>
      <w:bookmarkStart w:id="349" w:name="_Toc451355404"/>
      <w:bookmarkStart w:id="350" w:name="_Toc422906878"/>
      <w:bookmarkStart w:id="351" w:name="_Toc109170770"/>
      <w:bookmarkStart w:id="352" w:name="_Toc312795307"/>
      <w:bookmarkStart w:id="353" w:name="_Toc304275940"/>
      <w:bookmarkStart w:id="354" w:name="_Toc304276188"/>
      <w:bookmarkStart w:id="355" w:name="_Toc319852939"/>
      <w:bookmarkStart w:id="356" w:name="_Toc304229760"/>
      <w:r w:rsidRPr="008A2411">
        <w:rPr>
          <w:rFonts w:ascii="Times New Roman" w:hAnsi="Times New Roman"/>
          <w:color w:val="000000" w:themeColor="text1"/>
        </w:rPr>
        <w:t>5.2</w:t>
      </w:r>
      <w:r w:rsidRPr="008A2411">
        <w:rPr>
          <w:rFonts w:ascii="Times New Roman" w:hAnsi="Times New Roman"/>
          <w:color w:val="000000" w:themeColor="text1"/>
        </w:rPr>
        <w:t>运营期环境影响分析</w:t>
      </w:r>
      <w:bookmarkEnd w:id="345"/>
      <w:bookmarkEnd w:id="346"/>
      <w:bookmarkEnd w:id="347"/>
      <w:bookmarkEnd w:id="348"/>
      <w:bookmarkEnd w:id="349"/>
      <w:bookmarkEnd w:id="350"/>
      <w:bookmarkEnd w:id="351"/>
    </w:p>
    <w:p w14:paraId="721D63B5" w14:textId="77777777" w:rsidR="00B0005F" w:rsidRPr="008A2411" w:rsidRDefault="00000000">
      <w:pPr>
        <w:pStyle w:val="WJ3"/>
        <w:spacing w:line="360" w:lineRule="auto"/>
        <w:rPr>
          <w:rFonts w:ascii="Times New Roman" w:hAnsi="Times New Roman"/>
          <w:color w:val="000000" w:themeColor="text1"/>
          <w:sz w:val="28"/>
          <w:szCs w:val="28"/>
        </w:rPr>
      </w:pPr>
      <w:bookmarkStart w:id="357" w:name="_Toc405214264"/>
      <w:bookmarkStart w:id="358" w:name="_Toc405904515"/>
      <w:bookmarkStart w:id="359" w:name="_Toc405905331"/>
      <w:bookmarkStart w:id="360" w:name="_Toc405904859"/>
      <w:bookmarkStart w:id="361" w:name="_Toc422906879"/>
      <w:bookmarkStart w:id="362" w:name="_Toc319852940"/>
      <w:bookmarkStart w:id="363" w:name="_Toc304229762"/>
      <w:bookmarkStart w:id="364" w:name="_Toc312795308"/>
      <w:bookmarkStart w:id="365" w:name="_Toc304276190"/>
      <w:bookmarkStart w:id="366" w:name="_Toc263751240"/>
      <w:bookmarkStart w:id="367" w:name="_Toc304275942"/>
      <w:bookmarkStart w:id="368" w:name="_Toc235188054"/>
      <w:bookmarkStart w:id="369" w:name="_Toc58982850"/>
      <w:bookmarkStart w:id="370" w:name="_Toc124153512"/>
      <w:bookmarkStart w:id="371" w:name="_Toc275776065"/>
      <w:bookmarkEnd w:id="352"/>
      <w:bookmarkEnd w:id="353"/>
      <w:bookmarkEnd w:id="354"/>
      <w:bookmarkEnd w:id="355"/>
      <w:bookmarkEnd w:id="356"/>
      <w:r w:rsidRPr="008A2411">
        <w:rPr>
          <w:rFonts w:ascii="Times New Roman" w:hAnsi="Times New Roman"/>
          <w:color w:val="000000" w:themeColor="text1"/>
          <w:sz w:val="28"/>
          <w:szCs w:val="28"/>
        </w:rPr>
        <w:t xml:space="preserve">5.2.1 </w:t>
      </w:r>
      <w:r w:rsidRPr="008A2411">
        <w:rPr>
          <w:rFonts w:ascii="Times New Roman" w:hAnsi="Times New Roman"/>
          <w:color w:val="000000" w:themeColor="text1"/>
          <w:sz w:val="28"/>
          <w:szCs w:val="28"/>
        </w:rPr>
        <w:t>大气环境影响预测及评价</w:t>
      </w:r>
      <w:bookmarkEnd w:id="357"/>
      <w:bookmarkEnd w:id="358"/>
      <w:bookmarkEnd w:id="359"/>
      <w:bookmarkEnd w:id="360"/>
      <w:bookmarkEnd w:id="361"/>
    </w:p>
    <w:bookmarkEnd w:id="362"/>
    <w:bookmarkEnd w:id="363"/>
    <w:bookmarkEnd w:id="364"/>
    <w:bookmarkEnd w:id="365"/>
    <w:bookmarkEnd w:id="366"/>
    <w:bookmarkEnd w:id="367"/>
    <w:bookmarkEnd w:id="368"/>
    <w:bookmarkEnd w:id="369"/>
    <w:bookmarkEnd w:id="370"/>
    <w:bookmarkEnd w:id="371"/>
    <w:p w14:paraId="6C870F9C" w14:textId="77777777" w:rsidR="00B0005F" w:rsidRPr="008A2411" w:rsidRDefault="00000000">
      <w:pPr>
        <w:adjustRightInd w:val="0"/>
        <w:snapToGrid w:val="0"/>
        <w:spacing w:line="360" w:lineRule="auto"/>
        <w:ind w:firstLineChars="200"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1</w:t>
      </w:r>
      <w:r w:rsidRPr="008A2411">
        <w:rPr>
          <w:rFonts w:ascii="Times New Roman"/>
          <w:color w:val="000000" w:themeColor="text1"/>
        </w:rPr>
        <w:t>）源强参数分析</w:t>
      </w:r>
    </w:p>
    <w:p w14:paraId="146ED36D" w14:textId="77777777" w:rsidR="00B0005F" w:rsidRPr="008A2411" w:rsidRDefault="00000000">
      <w:pPr>
        <w:adjustRightInd w:val="0"/>
        <w:snapToGrid w:val="0"/>
        <w:spacing w:line="360" w:lineRule="auto"/>
        <w:ind w:firstLineChars="200" w:firstLine="480"/>
        <w:rPr>
          <w:rFonts w:ascii="Times New Roman"/>
          <w:color w:val="000000" w:themeColor="text1"/>
        </w:rPr>
      </w:pPr>
      <w:r w:rsidRPr="008A2411">
        <w:rPr>
          <w:rFonts w:ascii="Times New Roman"/>
          <w:color w:val="000000" w:themeColor="text1"/>
        </w:rPr>
        <w:t>1</w:t>
      </w:r>
      <w:r w:rsidRPr="008A2411">
        <w:rPr>
          <w:rFonts w:ascii="Times New Roman"/>
          <w:color w:val="000000" w:themeColor="text1"/>
        </w:rPr>
        <w:t>）有组织废气</w:t>
      </w:r>
    </w:p>
    <w:p w14:paraId="7AB1CAE5" w14:textId="64C8045D" w:rsidR="00B0005F" w:rsidRPr="008A2411" w:rsidRDefault="00000000">
      <w:pPr>
        <w:adjustRightInd w:val="0"/>
        <w:snapToGrid w:val="0"/>
        <w:spacing w:line="360" w:lineRule="auto"/>
        <w:ind w:firstLineChars="200" w:firstLine="480"/>
        <w:rPr>
          <w:rFonts w:ascii="Times New Roman"/>
          <w:color w:val="000000" w:themeColor="text1"/>
        </w:rPr>
      </w:pPr>
      <w:r w:rsidRPr="008A2411">
        <w:rPr>
          <w:rFonts w:ascii="Times New Roman"/>
          <w:color w:val="000000" w:themeColor="text1"/>
        </w:rPr>
        <w:t>有组织排放的废气主要为导热油炉燃烧废气、放空火炬燃烧废气及脱硫塔排气，主要污染物为</w:t>
      </w:r>
      <w:r w:rsidRPr="008A2411">
        <w:rPr>
          <w:rFonts w:ascii="Times New Roman"/>
          <w:color w:val="000000" w:themeColor="text1"/>
        </w:rPr>
        <w:t>SO</w:t>
      </w:r>
      <w:r w:rsidRPr="008A2411">
        <w:rPr>
          <w:rFonts w:ascii="Times New Roman"/>
          <w:color w:val="000000" w:themeColor="text1"/>
          <w:vertAlign w:val="subscript"/>
        </w:rPr>
        <w:t>2</w:t>
      </w:r>
      <w:r w:rsidRPr="008A2411">
        <w:rPr>
          <w:rFonts w:ascii="Times New Roman"/>
          <w:color w:val="000000" w:themeColor="text1"/>
        </w:rPr>
        <w:t>、</w:t>
      </w:r>
      <w:r w:rsidRPr="008A2411">
        <w:rPr>
          <w:rFonts w:ascii="Times New Roman"/>
          <w:color w:val="000000" w:themeColor="text1"/>
        </w:rPr>
        <w:t>NOx</w:t>
      </w:r>
      <w:r w:rsidRPr="008A2411">
        <w:rPr>
          <w:rFonts w:ascii="Times New Roman"/>
          <w:color w:val="000000" w:themeColor="text1"/>
        </w:rPr>
        <w:t>、烟尘、</w:t>
      </w:r>
      <w:r w:rsidRPr="008A2411">
        <w:rPr>
          <w:rFonts w:ascii="Times New Roman"/>
          <w:color w:val="000000" w:themeColor="text1"/>
        </w:rPr>
        <w:t>H</w:t>
      </w:r>
      <w:r w:rsidRPr="008A2411">
        <w:rPr>
          <w:rFonts w:ascii="Times New Roman"/>
          <w:color w:val="000000" w:themeColor="text1"/>
          <w:vertAlign w:val="subscript"/>
        </w:rPr>
        <w:t>2</w:t>
      </w:r>
      <w:r w:rsidRPr="008A2411">
        <w:rPr>
          <w:rFonts w:ascii="Times New Roman"/>
          <w:color w:val="000000" w:themeColor="text1"/>
        </w:rPr>
        <w:t>S</w:t>
      </w:r>
      <w:r w:rsidRPr="008A2411">
        <w:rPr>
          <w:rFonts w:ascii="Times New Roman"/>
          <w:color w:val="000000" w:themeColor="text1"/>
        </w:rPr>
        <w:t>、</w:t>
      </w:r>
      <w:r w:rsidR="00F243D6" w:rsidRPr="008A2411">
        <w:rPr>
          <w:rFonts w:ascii="Times New Roman"/>
          <w:color w:val="000000" w:themeColor="text1"/>
        </w:rPr>
        <w:t>NMHC</w:t>
      </w:r>
      <w:r w:rsidRPr="008A2411">
        <w:rPr>
          <w:rFonts w:ascii="Times New Roman"/>
          <w:color w:val="000000" w:themeColor="text1"/>
          <w:lang w:val="zh-CN"/>
        </w:rPr>
        <w:t>。</w:t>
      </w:r>
    </w:p>
    <w:p w14:paraId="11C1AC47" w14:textId="77777777" w:rsidR="00B0005F" w:rsidRPr="008A2411" w:rsidRDefault="00000000">
      <w:pPr>
        <w:adjustRightInd w:val="0"/>
        <w:snapToGrid w:val="0"/>
        <w:spacing w:line="360" w:lineRule="auto"/>
        <w:ind w:firstLineChars="200" w:firstLine="480"/>
        <w:rPr>
          <w:rFonts w:ascii="Times New Roman"/>
          <w:color w:val="000000" w:themeColor="text1"/>
        </w:rPr>
      </w:pPr>
      <w:r w:rsidRPr="008A2411">
        <w:rPr>
          <w:rFonts w:ascii="Times New Roman"/>
          <w:color w:val="000000" w:themeColor="text1"/>
        </w:rPr>
        <w:t>2</w:t>
      </w:r>
      <w:r w:rsidRPr="008A2411">
        <w:rPr>
          <w:rFonts w:ascii="Times New Roman"/>
          <w:color w:val="000000" w:themeColor="text1"/>
        </w:rPr>
        <w:t>）无组织废气</w:t>
      </w:r>
    </w:p>
    <w:p w14:paraId="4DFAE7A6" w14:textId="77777777" w:rsidR="00B0005F" w:rsidRPr="008A2411" w:rsidRDefault="00000000">
      <w:pPr>
        <w:adjustRightInd w:val="0"/>
        <w:snapToGrid w:val="0"/>
        <w:spacing w:line="360" w:lineRule="auto"/>
        <w:ind w:firstLineChars="200" w:firstLine="480"/>
        <w:rPr>
          <w:rFonts w:ascii="Times New Roman"/>
          <w:color w:val="000000" w:themeColor="text1"/>
        </w:rPr>
      </w:pPr>
      <w:r w:rsidRPr="008A2411">
        <w:rPr>
          <w:rFonts w:ascii="Times New Roman"/>
          <w:color w:val="000000" w:themeColor="text1"/>
        </w:rPr>
        <w:t>无组织排放源强指正</w:t>
      </w:r>
      <w:proofErr w:type="gramStart"/>
      <w:r w:rsidRPr="008A2411">
        <w:rPr>
          <w:rFonts w:ascii="Times New Roman"/>
          <w:color w:val="000000" w:themeColor="text1"/>
        </w:rPr>
        <w:t>常生产</w:t>
      </w:r>
      <w:proofErr w:type="gramEnd"/>
      <w:r w:rsidRPr="008A2411">
        <w:rPr>
          <w:rFonts w:ascii="Times New Roman"/>
          <w:color w:val="000000" w:themeColor="text1"/>
        </w:rPr>
        <w:t>情况下，由于装置运行一定时间后机泵、阀门、法兰的密闭性可能出现一定程度的跑、冒、滴、漏的泄漏排放。</w:t>
      </w:r>
    </w:p>
    <w:p w14:paraId="2D95AC90" w14:textId="77777777" w:rsidR="00B0005F" w:rsidRPr="008A2411" w:rsidRDefault="00000000">
      <w:pPr>
        <w:adjustRightInd w:val="0"/>
        <w:snapToGrid w:val="0"/>
        <w:spacing w:line="360" w:lineRule="auto"/>
        <w:ind w:firstLineChars="200" w:firstLine="480"/>
        <w:rPr>
          <w:rFonts w:ascii="Times New Roman"/>
          <w:color w:val="000000" w:themeColor="text1"/>
        </w:rPr>
      </w:pPr>
      <w:r w:rsidRPr="008A2411">
        <w:rPr>
          <w:rFonts w:ascii="Times New Roman"/>
          <w:color w:val="000000" w:themeColor="text1"/>
        </w:rPr>
        <w:t>3</w:t>
      </w:r>
      <w:r w:rsidRPr="008A2411">
        <w:rPr>
          <w:rFonts w:ascii="Times New Roman"/>
          <w:color w:val="000000" w:themeColor="text1"/>
        </w:rPr>
        <w:t>）非正常工况废气</w:t>
      </w:r>
    </w:p>
    <w:p w14:paraId="6209E14F" w14:textId="77777777" w:rsidR="00B0005F" w:rsidRPr="008A2411" w:rsidRDefault="00000000">
      <w:pPr>
        <w:adjustRightInd w:val="0"/>
        <w:snapToGrid w:val="0"/>
        <w:spacing w:line="360" w:lineRule="auto"/>
        <w:ind w:firstLineChars="200" w:firstLine="480"/>
        <w:rPr>
          <w:rFonts w:ascii="Times New Roman"/>
          <w:color w:val="000000" w:themeColor="text1"/>
        </w:rPr>
      </w:pPr>
      <w:r w:rsidRPr="008A2411">
        <w:rPr>
          <w:rFonts w:ascii="Times New Roman"/>
          <w:color w:val="000000" w:themeColor="text1"/>
        </w:rPr>
        <w:t>工业企业特别是化工企业，在开停车（特别是非正常开停车）时是污染物排</w:t>
      </w:r>
      <w:r w:rsidRPr="008A2411">
        <w:rPr>
          <w:rFonts w:ascii="Times New Roman"/>
          <w:color w:val="000000" w:themeColor="text1"/>
        </w:rPr>
        <w:lastRenderedPageBreak/>
        <w:t>放强度最大的时候，通常其污染物排放浓度比正常排放时的浓度高出几个数量级。本项目采用连续式生产，</w:t>
      </w:r>
      <w:proofErr w:type="gramStart"/>
      <w:r w:rsidRPr="008A2411">
        <w:rPr>
          <w:rFonts w:ascii="Times New Roman"/>
          <w:color w:val="000000" w:themeColor="text1"/>
        </w:rPr>
        <w:t>较序批式</w:t>
      </w:r>
      <w:proofErr w:type="gramEnd"/>
      <w:r w:rsidRPr="008A2411">
        <w:rPr>
          <w:rFonts w:ascii="Times New Roman"/>
          <w:color w:val="000000" w:themeColor="text1"/>
        </w:rPr>
        <w:t>生产开停车几率小。但在开车时，先开启后端的环保及安全保障设施，再由后端向前端依次开启生产设备；停车时，先关停生产设备，最后关停环保及安全保障设施。必须在系统内的原料天然气处理完毕，管</w:t>
      </w:r>
      <w:proofErr w:type="gramStart"/>
      <w:r w:rsidRPr="008A2411">
        <w:rPr>
          <w:rFonts w:ascii="Times New Roman"/>
          <w:color w:val="000000" w:themeColor="text1"/>
        </w:rPr>
        <w:t>输进入</w:t>
      </w:r>
      <w:proofErr w:type="gramEnd"/>
      <w:r w:rsidRPr="008A2411">
        <w:rPr>
          <w:rFonts w:ascii="Times New Roman"/>
          <w:color w:val="000000" w:themeColor="text1"/>
        </w:rPr>
        <w:t>可靠的纳斯气储罐，尾气进入火炬安全放空后，再开启系统进行检修。此外，本项目生产系统如出现事故，产生的超压尾气、装置管道残存气体均送至火炬系统，进行安全放空，减少对环境的污染。</w:t>
      </w:r>
    </w:p>
    <w:p w14:paraId="30157B1A" w14:textId="77777777" w:rsidR="00B0005F" w:rsidRPr="008A2411" w:rsidRDefault="00000000">
      <w:pPr>
        <w:adjustRightInd w:val="0"/>
        <w:snapToGrid w:val="0"/>
        <w:spacing w:line="360" w:lineRule="auto"/>
        <w:ind w:firstLineChars="200" w:firstLine="480"/>
        <w:rPr>
          <w:rFonts w:ascii="Times New Roman"/>
          <w:color w:val="000000" w:themeColor="text1"/>
        </w:rPr>
      </w:pPr>
      <w:r w:rsidRPr="008A2411">
        <w:rPr>
          <w:rFonts w:ascii="Times New Roman"/>
          <w:color w:val="000000" w:themeColor="text1"/>
        </w:rPr>
        <w:t>根据工程分析，燃烧废气的主要污染物排放情况见下表</w:t>
      </w:r>
      <w:r w:rsidRPr="008A2411">
        <w:rPr>
          <w:rFonts w:ascii="Times New Roman"/>
          <w:color w:val="000000" w:themeColor="text1"/>
        </w:rPr>
        <w:t>5.2-1</w:t>
      </w:r>
      <w:r w:rsidRPr="008A2411">
        <w:rPr>
          <w:rFonts w:ascii="Times New Roman"/>
          <w:color w:val="000000" w:themeColor="text1"/>
        </w:rPr>
        <w:t>。</w:t>
      </w:r>
    </w:p>
    <w:p w14:paraId="4499919F" w14:textId="77777777" w:rsidR="00B0005F" w:rsidRPr="008A2411" w:rsidRDefault="00B0005F">
      <w:pPr>
        <w:pStyle w:val="WJ0"/>
        <w:rPr>
          <w:rFonts w:ascii="Times New Roman" w:hAnsi="Times New Roman"/>
          <w:color w:val="000000" w:themeColor="text1"/>
        </w:rPr>
        <w:sectPr w:rsidR="00B0005F" w:rsidRPr="008A2411">
          <w:headerReference w:type="default" r:id="rId43"/>
          <w:footerReference w:type="default" r:id="rId44"/>
          <w:pgSz w:w="11906" w:h="16838"/>
          <w:pgMar w:top="1440" w:right="1800" w:bottom="1440" w:left="1800" w:header="851" w:footer="851" w:gutter="0"/>
          <w:pgNumType w:chapStyle="1"/>
          <w:cols w:space="720"/>
          <w:docGrid w:linePitch="312"/>
        </w:sectPr>
      </w:pPr>
    </w:p>
    <w:p w14:paraId="5274531B" w14:textId="77777777" w:rsidR="00B0005F" w:rsidRPr="008A2411" w:rsidRDefault="00000000">
      <w:pPr>
        <w:pStyle w:val="WJ0"/>
        <w:rPr>
          <w:rFonts w:ascii="Times New Roman" w:hAnsi="Times New Roman"/>
          <w:color w:val="000000" w:themeColor="text1"/>
        </w:rPr>
      </w:pPr>
      <w:r w:rsidRPr="008A2411">
        <w:rPr>
          <w:rFonts w:ascii="Times New Roman" w:hAnsi="Times New Roman"/>
          <w:color w:val="000000" w:themeColor="text1"/>
        </w:rPr>
        <w:lastRenderedPageBreak/>
        <w:t>表</w:t>
      </w:r>
      <w:r w:rsidRPr="008A2411">
        <w:rPr>
          <w:rFonts w:ascii="Times New Roman" w:hAnsi="Times New Roman"/>
          <w:color w:val="000000" w:themeColor="text1"/>
        </w:rPr>
        <w:t xml:space="preserve"> 5.2-1 </w:t>
      </w:r>
      <w:r w:rsidRPr="008A2411">
        <w:rPr>
          <w:rFonts w:ascii="Times New Roman" w:hAnsi="Times New Roman"/>
          <w:color w:val="000000" w:themeColor="text1"/>
        </w:rPr>
        <w:t>废气有组织污染源点源清单</w:t>
      </w:r>
    </w:p>
    <w:tbl>
      <w:tblPr>
        <w:tblW w:w="4996" w:type="pct"/>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88"/>
        <w:gridCol w:w="672"/>
        <w:gridCol w:w="1293"/>
        <w:gridCol w:w="1395"/>
        <w:gridCol w:w="1239"/>
        <w:gridCol w:w="1069"/>
        <w:gridCol w:w="1021"/>
        <w:gridCol w:w="1139"/>
        <w:gridCol w:w="1113"/>
        <w:gridCol w:w="1102"/>
        <w:gridCol w:w="1187"/>
        <w:gridCol w:w="1020"/>
        <w:gridCol w:w="1025"/>
      </w:tblGrid>
      <w:tr w:rsidR="008A2411" w:rsidRPr="008A2411" w14:paraId="6EF3B2C7" w14:textId="77777777">
        <w:trPr>
          <w:trHeight w:val="473"/>
        </w:trPr>
        <w:tc>
          <w:tcPr>
            <w:tcW w:w="313" w:type="pct"/>
            <w:vMerge w:val="restart"/>
            <w:tcBorders>
              <w:right w:val="single" w:sz="4" w:space="0" w:color="auto"/>
            </w:tcBorders>
            <w:vAlign w:val="center"/>
          </w:tcPr>
          <w:p w14:paraId="53A5248D" w14:textId="77777777" w:rsidR="00B0005F" w:rsidRPr="008A2411" w:rsidRDefault="00000000">
            <w:pPr>
              <w:adjustRightInd w:val="0"/>
              <w:jc w:val="center"/>
              <w:rPr>
                <w:rFonts w:ascii="Times New Roman"/>
                <w:color w:val="000000" w:themeColor="text1"/>
                <w:sz w:val="21"/>
                <w:szCs w:val="21"/>
              </w:rPr>
            </w:pPr>
            <w:r w:rsidRPr="008A2411">
              <w:rPr>
                <w:rFonts w:ascii="Times New Roman"/>
                <w:color w:val="000000" w:themeColor="text1"/>
                <w:sz w:val="21"/>
                <w:szCs w:val="21"/>
              </w:rPr>
              <w:t>污染源名称</w:t>
            </w:r>
          </w:p>
        </w:tc>
        <w:tc>
          <w:tcPr>
            <w:tcW w:w="237" w:type="pct"/>
            <w:vMerge w:val="restart"/>
            <w:tcBorders>
              <w:left w:val="single" w:sz="4" w:space="0" w:color="auto"/>
              <w:right w:val="single" w:sz="4" w:space="0" w:color="auto"/>
            </w:tcBorders>
            <w:vAlign w:val="center"/>
          </w:tcPr>
          <w:p w14:paraId="017804BA" w14:textId="77777777" w:rsidR="00B0005F" w:rsidRPr="008A2411" w:rsidRDefault="00000000">
            <w:pPr>
              <w:adjustRightInd w:val="0"/>
              <w:jc w:val="center"/>
              <w:rPr>
                <w:rFonts w:ascii="Times New Roman"/>
                <w:color w:val="000000" w:themeColor="text1"/>
                <w:sz w:val="21"/>
                <w:szCs w:val="21"/>
              </w:rPr>
            </w:pPr>
            <w:r w:rsidRPr="008A2411">
              <w:rPr>
                <w:rFonts w:ascii="Times New Roman"/>
                <w:color w:val="000000" w:themeColor="text1"/>
                <w:sz w:val="21"/>
                <w:szCs w:val="21"/>
              </w:rPr>
              <w:t>排气筒编号</w:t>
            </w:r>
          </w:p>
        </w:tc>
        <w:tc>
          <w:tcPr>
            <w:tcW w:w="948" w:type="pct"/>
            <w:gridSpan w:val="2"/>
            <w:tcBorders>
              <w:left w:val="single" w:sz="4" w:space="0" w:color="auto"/>
            </w:tcBorders>
            <w:vAlign w:val="center"/>
          </w:tcPr>
          <w:p w14:paraId="7459FC54" w14:textId="77777777" w:rsidR="00B0005F" w:rsidRPr="008A2411" w:rsidRDefault="00000000">
            <w:pPr>
              <w:adjustRightInd w:val="0"/>
              <w:jc w:val="center"/>
              <w:rPr>
                <w:rFonts w:ascii="Times New Roman"/>
                <w:color w:val="000000" w:themeColor="text1"/>
                <w:sz w:val="21"/>
                <w:szCs w:val="21"/>
              </w:rPr>
            </w:pPr>
            <w:r w:rsidRPr="008A2411">
              <w:rPr>
                <w:rFonts w:ascii="Times New Roman"/>
                <w:color w:val="000000" w:themeColor="text1"/>
                <w:sz w:val="21"/>
                <w:szCs w:val="21"/>
              </w:rPr>
              <w:t>排气筒底部中心坐标（</w:t>
            </w:r>
            <w:r w:rsidRPr="008A2411">
              <w:rPr>
                <w:rFonts w:ascii="Times New Roman"/>
                <w:color w:val="000000" w:themeColor="text1"/>
                <w:sz w:val="21"/>
                <w:szCs w:val="21"/>
              </w:rPr>
              <w:t>°</w:t>
            </w:r>
            <w:r w:rsidRPr="008A2411">
              <w:rPr>
                <w:rFonts w:ascii="Times New Roman"/>
                <w:color w:val="000000" w:themeColor="text1"/>
                <w:sz w:val="21"/>
                <w:szCs w:val="21"/>
              </w:rPr>
              <w:t>）</w:t>
            </w:r>
          </w:p>
        </w:tc>
        <w:tc>
          <w:tcPr>
            <w:tcW w:w="437" w:type="pct"/>
            <w:vMerge w:val="restart"/>
            <w:vAlign w:val="center"/>
          </w:tcPr>
          <w:p w14:paraId="3B321B87" w14:textId="77777777" w:rsidR="00B0005F" w:rsidRPr="008A2411" w:rsidRDefault="00000000">
            <w:pPr>
              <w:adjustRightInd w:val="0"/>
              <w:jc w:val="center"/>
              <w:rPr>
                <w:rFonts w:ascii="Times New Roman"/>
                <w:color w:val="000000" w:themeColor="text1"/>
                <w:sz w:val="21"/>
                <w:szCs w:val="21"/>
              </w:rPr>
            </w:pPr>
            <w:r w:rsidRPr="008A2411">
              <w:rPr>
                <w:rFonts w:ascii="Times New Roman"/>
                <w:color w:val="000000" w:themeColor="text1"/>
                <w:sz w:val="21"/>
                <w:szCs w:val="21"/>
              </w:rPr>
              <w:t>排气筒底部海拔高度（</w:t>
            </w:r>
            <w:r w:rsidRPr="008A2411">
              <w:rPr>
                <w:rFonts w:ascii="Times New Roman"/>
                <w:color w:val="000000" w:themeColor="text1"/>
                <w:sz w:val="21"/>
                <w:szCs w:val="21"/>
              </w:rPr>
              <w:t>m</w:t>
            </w:r>
            <w:r w:rsidRPr="008A2411">
              <w:rPr>
                <w:rFonts w:ascii="Times New Roman"/>
                <w:color w:val="000000" w:themeColor="text1"/>
                <w:sz w:val="21"/>
                <w:szCs w:val="21"/>
              </w:rPr>
              <w:t>）</w:t>
            </w:r>
          </w:p>
        </w:tc>
        <w:tc>
          <w:tcPr>
            <w:tcW w:w="1532" w:type="pct"/>
            <w:gridSpan w:val="4"/>
            <w:vAlign w:val="center"/>
          </w:tcPr>
          <w:p w14:paraId="0C56D68C" w14:textId="77777777" w:rsidR="00B0005F" w:rsidRPr="008A2411" w:rsidRDefault="00000000">
            <w:pPr>
              <w:adjustRightInd w:val="0"/>
              <w:jc w:val="center"/>
              <w:rPr>
                <w:rFonts w:ascii="Times New Roman"/>
                <w:color w:val="000000" w:themeColor="text1"/>
                <w:sz w:val="21"/>
                <w:szCs w:val="21"/>
              </w:rPr>
            </w:pPr>
            <w:r w:rsidRPr="008A2411">
              <w:rPr>
                <w:rFonts w:ascii="Times New Roman"/>
                <w:color w:val="000000" w:themeColor="text1"/>
                <w:sz w:val="21"/>
                <w:szCs w:val="21"/>
              </w:rPr>
              <w:t>排气筒参数</w:t>
            </w:r>
          </w:p>
        </w:tc>
        <w:tc>
          <w:tcPr>
            <w:tcW w:w="1530" w:type="pct"/>
            <w:gridSpan w:val="4"/>
            <w:vAlign w:val="center"/>
          </w:tcPr>
          <w:p w14:paraId="7A717DCA" w14:textId="77777777" w:rsidR="00B0005F" w:rsidRPr="008A2411" w:rsidRDefault="00000000">
            <w:pPr>
              <w:adjustRightInd w:val="0"/>
              <w:jc w:val="center"/>
              <w:rPr>
                <w:rFonts w:ascii="Times New Roman"/>
                <w:color w:val="000000" w:themeColor="text1"/>
                <w:sz w:val="21"/>
                <w:szCs w:val="21"/>
              </w:rPr>
            </w:pPr>
            <w:r w:rsidRPr="008A2411">
              <w:rPr>
                <w:rFonts w:ascii="Times New Roman"/>
                <w:color w:val="000000" w:themeColor="text1"/>
                <w:sz w:val="21"/>
                <w:szCs w:val="21"/>
              </w:rPr>
              <w:t>污染物排放速率（</w:t>
            </w:r>
            <w:r w:rsidRPr="008A2411">
              <w:rPr>
                <w:rFonts w:ascii="Times New Roman"/>
                <w:color w:val="000000" w:themeColor="text1"/>
                <w:sz w:val="21"/>
                <w:szCs w:val="21"/>
              </w:rPr>
              <w:t>kg/h</w:t>
            </w:r>
            <w:r w:rsidRPr="008A2411">
              <w:rPr>
                <w:rFonts w:ascii="Times New Roman"/>
                <w:color w:val="000000" w:themeColor="text1"/>
                <w:sz w:val="21"/>
                <w:szCs w:val="21"/>
              </w:rPr>
              <w:t>）</w:t>
            </w:r>
          </w:p>
        </w:tc>
      </w:tr>
      <w:tr w:rsidR="008A2411" w:rsidRPr="008A2411" w14:paraId="5170F4E3" w14:textId="77777777">
        <w:trPr>
          <w:trHeight w:val="393"/>
        </w:trPr>
        <w:tc>
          <w:tcPr>
            <w:tcW w:w="313" w:type="pct"/>
            <w:vMerge/>
            <w:tcBorders>
              <w:right w:val="single" w:sz="4" w:space="0" w:color="auto"/>
            </w:tcBorders>
            <w:vAlign w:val="center"/>
          </w:tcPr>
          <w:p w14:paraId="161E7B00" w14:textId="77777777" w:rsidR="00B0005F" w:rsidRPr="008A2411" w:rsidRDefault="00B0005F">
            <w:pPr>
              <w:adjustRightInd w:val="0"/>
              <w:jc w:val="center"/>
              <w:rPr>
                <w:rFonts w:ascii="Times New Roman"/>
                <w:color w:val="000000" w:themeColor="text1"/>
                <w:sz w:val="21"/>
                <w:szCs w:val="21"/>
              </w:rPr>
            </w:pPr>
          </w:p>
        </w:tc>
        <w:tc>
          <w:tcPr>
            <w:tcW w:w="237" w:type="pct"/>
            <w:vMerge/>
            <w:tcBorders>
              <w:left w:val="single" w:sz="4" w:space="0" w:color="auto"/>
              <w:right w:val="single" w:sz="4" w:space="0" w:color="auto"/>
            </w:tcBorders>
            <w:vAlign w:val="center"/>
          </w:tcPr>
          <w:p w14:paraId="2A616879" w14:textId="77777777" w:rsidR="00B0005F" w:rsidRPr="008A2411" w:rsidRDefault="00B0005F">
            <w:pPr>
              <w:adjustRightInd w:val="0"/>
              <w:jc w:val="center"/>
              <w:rPr>
                <w:rFonts w:ascii="Times New Roman"/>
                <w:color w:val="000000" w:themeColor="text1"/>
                <w:sz w:val="21"/>
                <w:szCs w:val="21"/>
              </w:rPr>
            </w:pPr>
          </w:p>
        </w:tc>
        <w:tc>
          <w:tcPr>
            <w:tcW w:w="456" w:type="pct"/>
            <w:tcBorders>
              <w:top w:val="single" w:sz="4" w:space="0" w:color="auto"/>
              <w:left w:val="single" w:sz="4" w:space="0" w:color="auto"/>
            </w:tcBorders>
            <w:vAlign w:val="center"/>
          </w:tcPr>
          <w:p w14:paraId="75F1A9A5" w14:textId="77777777" w:rsidR="00B0005F" w:rsidRPr="008A2411" w:rsidRDefault="00000000">
            <w:pPr>
              <w:adjustRightInd w:val="0"/>
              <w:jc w:val="center"/>
              <w:rPr>
                <w:rFonts w:ascii="Times New Roman"/>
                <w:color w:val="000000" w:themeColor="text1"/>
                <w:sz w:val="21"/>
                <w:szCs w:val="21"/>
              </w:rPr>
            </w:pPr>
            <w:r w:rsidRPr="008A2411">
              <w:rPr>
                <w:rFonts w:ascii="Times New Roman"/>
                <w:color w:val="000000" w:themeColor="text1"/>
                <w:sz w:val="21"/>
                <w:szCs w:val="21"/>
              </w:rPr>
              <w:t>经度</w:t>
            </w:r>
          </w:p>
        </w:tc>
        <w:tc>
          <w:tcPr>
            <w:tcW w:w="492" w:type="pct"/>
            <w:tcBorders>
              <w:top w:val="single" w:sz="4" w:space="0" w:color="auto"/>
            </w:tcBorders>
            <w:vAlign w:val="center"/>
          </w:tcPr>
          <w:p w14:paraId="530607EA" w14:textId="77777777" w:rsidR="00B0005F" w:rsidRPr="008A2411" w:rsidRDefault="00000000">
            <w:pPr>
              <w:adjustRightInd w:val="0"/>
              <w:jc w:val="center"/>
              <w:rPr>
                <w:rFonts w:ascii="Times New Roman"/>
                <w:color w:val="000000" w:themeColor="text1"/>
                <w:sz w:val="21"/>
                <w:szCs w:val="21"/>
              </w:rPr>
            </w:pPr>
            <w:r w:rsidRPr="008A2411">
              <w:rPr>
                <w:rFonts w:ascii="Times New Roman"/>
                <w:color w:val="000000" w:themeColor="text1"/>
                <w:sz w:val="21"/>
                <w:szCs w:val="21"/>
              </w:rPr>
              <w:t>纬度</w:t>
            </w:r>
          </w:p>
        </w:tc>
        <w:tc>
          <w:tcPr>
            <w:tcW w:w="437" w:type="pct"/>
            <w:vMerge/>
            <w:vAlign w:val="center"/>
          </w:tcPr>
          <w:p w14:paraId="296A8848" w14:textId="77777777" w:rsidR="00B0005F" w:rsidRPr="008A2411" w:rsidRDefault="00B0005F">
            <w:pPr>
              <w:adjustRightInd w:val="0"/>
              <w:jc w:val="center"/>
              <w:rPr>
                <w:rFonts w:ascii="Times New Roman"/>
                <w:color w:val="000000" w:themeColor="text1"/>
                <w:sz w:val="21"/>
                <w:szCs w:val="21"/>
              </w:rPr>
            </w:pPr>
          </w:p>
        </w:tc>
        <w:tc>
          <w:tcPr>
            <w:tcW w:w="377" w:type="pct"/>
            <w:vAlign w:val="center"/>
          </w:tcPr>
          <w:p w14:paraId="76FAF7B0" w14:textId="77777777" w:rsidR="00B0005F" w:rsidRPr="008A2411" w:rsidRDefault="00000000">
            <w:pPr>
              <w:adjustRightInd w:val="0"/>
              <w:jc w:val="center"/>
              <w:rPr>
                <w:rFonts w:ascii="Times New Roman"/>
                <w:color w:val="000000" w:themeColor="text1"/>
                <w:sz w:val="21"/>
                <w:szCs w:val="21"/>
              </w:rPr>
            </w:pPr>
            <w:r w:rsidRPr="008A2411">
              <w:rPr>
                <w:rFonts w:ascii="Times New Roman"/>
                <w:color w:val="000000" w:themeColor="text1"/>
                <w:sz w:val="21"/>
                <w:szCs w:val="21"/>
              </w:rPr>
              <w:t>高度（</w:t>
            </w:r>
            <w:r w:rsidRPr="008A2411">
              <w:rPr>
                <w:rFonts w:ascii="Times New Roman"/>
                <w:color w:val="000000" w:themeColor="text1"/>
                <w:sz w:val="21"/>
                <w:szCs w:val="21"/>
              </w:rPr>
              <w:t>m</w:t>
            </w:r>
            <w:r w:rsidRPr="008A2411">
              <w:rPr>
                <w:rFonts w:ascii="Times New Roman"/>
                <w:color w:val="000000" w:themeColor="text1"/>
                <w:sz w:val="21"/>
                <w:szCs w:val="21"/>
              </w:rPr>
              <w:t>）</w:t>
            </w:r>
          </w:p>
        </w:tc>
        <w:tc>
          <w:tcPr>
            <w:tcW w:w="360" w:type="pct"/>
            <w:vAlign w:val="center"/>
          </w:tcPr>
          <w:p w14:paraId="14FD0A5C" w14:textId="77777777" w:rsidR="00B0005F" w:rsidRPr="008A2411" w:rsidRDefault="00000000">
            <w:pPr>
              <w:adjustRightInd w:val="0"/>
              <w:jc w:val="center"/>
              <w:rPr>
                <w:rFonts w:ascii="Times New Roman"/>
                <w:color w:val="000000" w:themeColor="text1"/>
                <w:sz w:val="21"/>
                <w:szCs w:val="21"/>
              </w:rPr>
            </w:pPr>
            <w:r w:rsidRPr="008A2411">
              <w:rPr>
                <w:rFonts w:ascii="Times New Roman"/>
                <w:color w:val="000000" w:themeColor="text1"/>
                <w:sz w:val="21"/>
                <w:szCs w:val="21"/>
              </w:rPr>
              <w:t>内径（</w:t>
            </w:r>
            <w:r w:rsidRPr="008A2411">
              <w:rPr>
                <w:rFonts w:ascii="Times New Roman"/>
                <w:color w:val="000000" w:themeColor="text1"/>
                <w:sz w:val="21"/>
                <w:szCs w:val="21"/>
              </w:rPr>
              <w:t>m</w:t>
            </w:r>
            <w:r w:rsidRPr="008A2411">
              <w:rPr>
                <w:rFonts w:ascii="Times New Roman"/>
                <w:color w:val="000000" w:themeColor="text1"/>
                <w:sz w:val="21"/>
                <w:szCs w:val="21"/>
              </w:rPr>
              <w:t>）</w:t>
            </w:r>
          </w:p>
        </w:tc>
        <w:tc>
          <w:tcPr>
            <w:tcW w:w="402" w:type="pct"/>
            <w:vAlign w:val="center"/>
          </w:tcPr>
          <w:p w14:paraId="4A8322CB" w14:textId="77777777" w:rsidR="00B0005F" w:rsidRPr="008A2411" w:rsidRDefault="00000000">
            <w:pPr>
              <w:adjustRightInd w:val="0"/>
              <w:jc w:val="center"/>
              <w:rPr>
                <w:rFonts w:ascii="Times New Roman"/>
                <w:color w:val="000000" w:themeColor="text1"/>
                <w:sz w:val="21"/>
                <w:szCs w:val="21"/>
              </w:rPr>
            </w:pPr>
            <w:r w:rsidRPr="008A2411">
              <w:rPr>
                <w:rFonts w:ascii="Times New Roman"/>
                <w:color w:val="000000" w:themeColor="text1"/>
                <w:sz w:val="21"/>
                <w:szCs w:val="21"/>
              </w:rPr>
              <w:t>温度（</w:t>
            </w:r>
            <w:r w:rsidRPr="008A2411">
              <w:rPr>
                <w:rFonts w:ascii="Times New Roman"/>
                <w:color w:val="000000" w:themeColor="text1"/>
                <w:sz w:val="21"/>
                <w:szCs w:val="21"/>
              </w:rPr>
              <w:t>℃</w:t>
            </w:r>
            <w:r w:rsidRPr="008A2411">
              <w:rPr>
                <w:rFonts w:ascii="Times New Roman"/>
                <w:color w:val="000000" w:themeColor="text1"/>
                <w:sz w:val="21"/>
                <w:szCs w:val="21"/>
              </w:rPr>
              <w:t>）</w:t>
            </w:r>
          </w:p>
        </w:tc>
        <w:tc>
          <w:tcPr>
            <w:tcW w:w="392" w:type="pct"/>
            <w:vAlign w:val="center"/>
          </w:tcPr>
          <w:p w14:paraId="23DAA881" w14:textId="77777777" w:rsidR="00B0005F" w:rsidRPr="008A2411" w:rsidRDefault="00000000">
            <w:pPr>
              <w:adjustRightInd w:val="0"/>
              <w:jc w:val="center"/>
              <w:rPr>
                <w:rFonts w:ascii="Times New Roman"/>
                <w:color w:val="000000" w:themeColor="text1"/>
                <w:sz w:val="21"/>
                <w:szCs w:val="21"/>
              </w:rPr>
            </w:pPr>
            <w:r w:rsidRPr="008A2411">
              <w:rPr>
                <w:rFonts w:ascii="Times New Roman"/>
                <w:color w:val="000000" w:themeColor="text1"/>
                <w:sz w:val="21"/>
                <w:szCs w:val="21"/>
              </w:rPr>
              <w:t>流速（</w:t>
            </w:r>
            <w:r w:rsidRPr="008A2411">
              <w:rPr>
                <w:rFonts w:ascii="Times New Roman"/>
                <w:color w:val="000000" w:themeColor="text1"/>
                <w:sz w:val="21"/>
                <w:szCs w:val="21"/>
              </w:rPr>
              <w:t>m/s</w:t>
            </w:r>
            <w:r w:rsidRPr="008A2411">
              <w:rPr>
                <w:rFonts w:ascii="Times New Roman"/>
                <w:color w:val="000000" w:themeColor="text1"/>
                <w:sz w:val="21"/>
                <w:szCs w:val="21"/>
              </w:rPr>
              <w:t>）</w:t>
            </w:r>
          </w:p>
        </w:tc>
        <w:tc>
          <w:tcPr>
            <w:tcW w:w="389" w:type="pct"/>
            <w:vAlign w:val="center"/>
          </w:tcPr>
          <w:p w14:paraId="167F1FC7" w14:textId="77777777" w:rsidR="00B0005F" w:rsidRPr="008A2411" w:rsidRDefault="00000000">
            <w:pPr>
              <w:adjustRightInd w:val="0"/>
              <w:jc w:val="center"/>
              <w:rPr>
                <w:rFonts w:ascii="Times New Roman"/>
                <w:color w:val="000000" w:themeColor="text1"/>
                <w:sz w:val="21"/>
                <w:szCs w:val="21"/>
              </w:rPr>
            </w:pPr>
            <w:r w:rsidRPr="008A2411">
              <w:rPr>
                <w:rFonts w:ascii="Times New Roman"/>
                <w:color w:val="000000" w:themeColor="text1"/>
                <w:sz w:val="21"/>
                <w:szCs w:val="21"/>
              </w:rPr>
              <w:t>NOx</w:t>
            </w:r>
          </w:p>
        </w:tc>
        <w:tc>
          <w:tcPr>
            <w:tcW w:w="419" w:type="pct"/>
            <w:vAlign w:val="center"/>
          </w:tcPr>
          <w:p w14:paraId="25F2D0A3" w14:textId="77777777" w:rsidR="00B0005F" w:rsidRPr="008A2411" w:rsidRDefault="00000000">
            <w:pPr>
              <w:adjustRightInd w:val="0"/>
              <w:jc w:val="center"/>
              <w:rPr>
                <w:rFonts w:ascii="Times New Roman"/>
                <w:color w:val="000000" w:themeColor="text1"/>
                <w:sz w:val="21"/>
                <w:szCs w:val="21"/>
              </w:rPr>
            </w:pPr>
            <w:r w:rsidRPr="008A2411">
              <w:rPr>
                <w:rFonts w:ascii="Times New Roman"/>
                <w:color w:val="000000" w:themeColor="text1"/>
                <w:sz w:val="21"/>
                <w:szCs w:val="21"/>
              </w:rPr>
              <w:t>SO</w:t>
            </w:r>
            <w:r w:rsidRPr="008A2411">
              <w:rPr>
                <w:rFonts w:ascii="Times New Roman"/>
                <w:color w:val="000000" w:themeColor="text1"/>
                <w:sz w:val="21"/>
                <w:szCs w:val="21"/>
                <w:vertAlign w:val="subscript"/>
              </w:rPr>
              <w:t>2</w:t>
            </w:r>
          </w:p>
        </w:tc>
        <w:tc>
          <w:tcPr>
            <w:tcW w:w="360" w:type="pct"/>
            <w:tcBorders>
              <w:right w:val="single" w:sz="4" w:space="0" w:color="auto"/>
            </w:tcBorders>
            <w:vAlign w:val="center"/>
          </w:tcPr>
          <w:p w14:paraId="6F3AD1A8" w14:textId="77777777" w:rsidR="00B0005F" w:rsidRPr="008A2411" w:rsidRDefault="00000000">
            <w:pPr>
              <w:adjustRightInd w:val="0"/>
              <w:jc w:val="center"/>
              <w:rPr>
                <w:rFonts w:ascii="Times New Roman"/>
                <w:color w:val="000000" w:themeColor="text1"/>
                <w:sz w:val="21"/>
                <w:szCs w:val="21"/>
              </w:rPr>
            </w:pPr>
            <w:r w:rsidRPr="008A2411">
              <w:rPr>
                <w:rFonts w:ascii="Times New Roman"/>
                <w:color w:val="000000" w:themeColor="text1"/>
                <w:sz w:val="21"/>
                <w:szCs w:val="21"/>
              </w:rPr>
              <w:t>H</w:t>
            </w:r>
            <w:r w:rsidRPr="008A2411">
              <w:rPr>
                <w:rFonts w:ascii="Times New Roman"/>
                <w:color w:val="000000" w:themeColor="text1"/>
                <w:sz w:val="21"/>
                <w:szCs w:val="21"/>
                <w:vertAlign w:val="subscript"/>
              </w:rPr>
              <w:t>2</w:t>
            </w:r>
            <w:r w:rsidRPr="008A2411">
              <w:rPr>
                <w:rFonts w:ascii="Times New Roman"/>
                <w:color w:val="000000" w:themeColor="text1"/>
                <w:sz w:val="21"/>
                <w:szCs w:val="21"/>
              </w:rPr>
              <w:t>S</w:t>
            </w:r>
          </w:p>
        </w:tc>
        <w:tc>
          <w:tcPr>
            <w:tcW w:w="361" w:type="pct"/>
            <w:tcBorders>
              <w:left w:val="single" w:sz="4" w:space="0" w:color="auto"/>
            </w:tcBorders>
            <w:vAlign w:val="center"/>
          </w:tcPr>
          <w:p w14:paraId="3E8A0F12" w14:textId="06DAA465" w:rsidR="00B0005F" w:rsidRPr="008A2411" w:rsidRDefault="00F243D6">
            <w:pPr>
              <w:adjustRightInd w:val="0"/>
              <w:jc w:val="center"/>
              <w:rPr>
                <w:rFonts w:ascii="Times New Roman"/>
                <w:color w:val="000000" w:themeColor="text1"/>
                <w:sz w:val="21"/>
                <w:szCs w:val="21"/>
              </w:rPr>
            </w:pPr>
            <w:r w:rsidRPr="008A2411">
              <w:rPr>
                <w:rFonts w:ascii="Times New Roman"/>
                <w:color w:val="000000" w:themeColor="text1"/>
                <w:sz w:val="21"/>
                <w:szCs w:val="21"/>
              </w:rPr>
              <w:t>NMHC</w:t>
            </w:r>
          </w:p>
        </w:tc>
      </w:tr>
      <w:tr w:rsidR="008A2411" w:rsidRPr="008A2411" w14:paraId="75FCE421" w14:textId="77777777">
        <w:trPr>
          <w:trHeight w:val="653"/>
        </w:trPr>
        <w:tc>
          <w:tcPr>
            <w:tcW w:w="313" w:type="pct"/>
            <w:tcBorders>
              <w:right w:val="single" w:sz="4" w:space="0" w:color="auto"/>
            </w:tcBorders>
            <w:vAlign w:val="center"/>
          </w:tcPr>
          <w:p w14:paraId="756F9003" w14:textId="77777777" w:rsidR="00B0005F" w:rsidRPr="008A2411" w:rsidRDefault="00000000">
            <w:pPr>
              <w:pStyle w:val="WJ5"/>
              <w:spacing w:line="320" w:lineRule="exact"/>
              <w:rPr>
                <w:rFonts w:ascii="Times New Roman" w:hAnsi="Times New Roman"/>
                <w:color w:val="000000" w:themeColor="text1"/>
              </w:rPr>
            </w:pPr>
            <w:proofErr w:type="gramStart"/>
            <w:r w:rsidRPr="008A2411">
              <w:rPr>
                <w:rFonts w:ascii="Times New Roman" w:hAnsi="Times New Roman"/>
                <w:color w:val="000000" w:themeColor="text1"/>
              </w:rPr>
              <w:t>脱硫塔排气筒</w:t>
            </w:r>
            <w:proofErr w:type="gramEnd"/>
          </w:p>
        </w:tc>
        <w:tc>
          <w:tcPr>
            <w:tcW w:w="237" w:type="pct"/>
            <w:tcBorders>
              <w:left w:val="single" w:sz="4" w:space="0" w:color="auto"/>
            </w:tcBorders>
            <w:vAlign w:val="center"/>
          </w:tcPr>
          <w:p w14:paraId="53F4C457" w14:textId="77777777" w:rsidR="00B0005F" w:rsidRPr="008A2411" w:rsidRDefault="00000000">
            <w:pPr>
              <w:pStyle w:val="WJ5"/>
              <w:spacing w:line="320" w:lineRule="exact"/>
              <w:rPr>
                <w:rFonts w:ascii="Times New Roman" w:hAnsi="Times New Roman"/>
                <w:color w:val="000000" w:themeColor="text1"/>
              </w:rPr>
            </w:pPr>
            <w:r w:rsidRPr="008A2411">
              <w:rPr>
                <w:rFonts w:ascii="Times New Roman" w:hAnsi="Times New Roman"/>
                <w:color w:val="000000" w:themeColor="text1"/>
              </w:rPr>
              <w:t>P1</w:t>
            </w:r>
          </w:p>
        </w:tc>
        <w:tc>
          <w:tcPr>
            <w:tcW w:w="456" w:type="pct"/>
            <w:vAlign w:val="center"/>
          </w:tcPr>
          <w:p w14:paraId="701D242E" w14:textId="77777777" w:rsidR="00B0005F" w:rsidRPr="008A2411" w:rsidRDefault="00000000">
            <w:pPr>
              <w:adjustRightInd w:val="0"/>
              <w:jc w:val="center"/>
              <w:rPr>
                <w:rFonts w:ascii="Times New Roman"/>
                <w:color w:val="000000" w:themeColor="text1"/>
                <w:sz w:val="21"/>
                <w:szCs w:val="21"/>
              </w:rPr>
            </w:pPr>
            <w:r w:rsidRPr="008A2411">
              <w:rPr>
                <w:rFonts w:ascii="Times New Roman"/>
                <w:color w:val="000000" w:themeColor="text1"/>
                <w:sz w:val="21"/>
                <w:szCs w:val="21"/>
              </w:rPr>
              <w:t>107.696138</w:t>
            </w:r>
          </w:p>
        </w:tc>
        <w:tc>
          <w:tcPr>
            <w:tcW w:w="492" w:type="pct"/>
            <w:vAlign w:val="center"/>
          </w:tcPr>
          <w:p w14:paraId="2901EC1A" w14:textId="77777777" w:rsidR="00B0005F" w:rsidRPr="008A2411" w:rsidRDefault="00000000">
            <w:pPr>
              <w:adjustRightInd w:val="0"/>
              <w:jc w:val="center"/>
              <w:rPr>
                <w:rFonts w:ascii="Times New Roman"/>
                <w:color w:val="000000" w:themeColor="text1"/>
                <w:sz w:val="21"/>
                <w:szCs w:val="21"/>
              </w:rPr>
            </w:pPr>
            <w:r w:rsidRPr="008A2411">
              <w:rPr>
                <w:rFonts w:ascii="Times New Roman"/>
                <w:color w:val="000000" w:themeColor="text1"/>
                <w:sz w:val="21"/>
                <w:szCs w:val="21"/>
              </w:rPr>
              <w:t>31.515921</w:t>
            </w:r>
          </w:p>
        </w:tc>
        <w:tc>
          <w:tcPr>
            <w:tcW w:w="437" w:type="pct"/>
            <w:vAlign w:val="center"/>
          </w:tcPr>
          <w:p w14:paraId="49CB70CB" w14:textId="77777777" w:rsidR="00B0005F" w:rsidRPr="008A2411" w:rsidRDefault="00000000">
            <w:pPr>
              <w:adjustRightInd w:val="0"/>
              <w:jc w:val="center"/>
              <w:rPr>
                <w:rFonts w:ascii="Times New Roman"/>
                <w:color w:val="000000" w:themeColor="text1"/>
                <w:sz w:val="21"/>
                <w:szCs w:val="21"/>
              </w:rPr>
            </w:pPr>
            <w:r w:rsidRPr="008A2411">
              <w:rPr>
                <w:rFonts w:ascii="Times New Roman"/>
                <w:color w:val="000000" w:themeColor="text1"/>
                <w:sz w:val="21"/>
                <w:szCs w:val="21"/>
              </w:rPr>
              <w:t>415</w:t>
            </w:r>
          </w:p>
        </w:tc>
        <w:tc>
          <w:tcPr>
            <w:tcW w:w="377" w:type="pct"/>
            <w:vAlign w:val="center"/>
          </w:tcPr>
          <w:p w14:paraId="1CB3034D" w14:textId="77777777" w:rsidR="00B0005F" w:rsidRPr="008A2411" w:rsidRDefault="00000000">
            <w:pPr>
              <w:adjustRightInd w:val="0"/>
              <w:jc w:val="center"/>
              <w:rPr>
                <w:rFonts w:ascii="Times New Roman"/>
                <w:color w:val="000000" w:themeColor="text1"/>
                <w:sz w:val="21"/>
                <w:szCs w:val="21"/>
              </w:rPr>
            </w:pPr>
            <w:r w:rsidRPr="008A2411">
              <w:rPr>
                <w:rFonts w:ascii="Times New Roman"/>
                <w:color w:val="000000" w:themeColor="text1"/>
                <w:sz w:val="21"/>
                <w:szCs w:val="21"/>
              </w:rPr>
              <w:t>15</w:t>
            </w:r>
          </w:p>
        </w:tc>
        <w:tc>
          <w:tcPr>
            <w:tcW w:w="360" w:type="pct"/>
            <w:vAlign w:val="center"/>
          </w:tcPr>
          <w:p w14:paraId="1A925580"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0.2</w:t>
            </w:r>
          </w:p>
        </w:tc>
        <w:tc>
          <w:tcPr>
            <w:tcW w:w="402" w:type="pct"/>
            <w:vAlign w:val="center"/>
          </w:tcPr>
          <w:p w14:paraId="7AE6CFA3" w14:textId="77777777" w:rsidR="00B0005F" w:rsidRPr="008A2411" w:rsidRDefault="00000000">
            <w:pPr>
              <w:adjustRightInd w:val="0"/>
              <w:jc w:val="center"/>
              <w:rPr>
                <w:rFonts w:ascii="Times New Roman"/>
                <w:color w:val="000000" w:themeColor="text1"/>
                <w:sz w:val="21"/>
                <w:szCs w:val="21"/>
              </w:rPr>
            </w:pPr>
            <w:r w:rsidRPr="008A2411">
              <w:rPr>
                <w:rFonts w:ascii="Times New Roman"/>
                <w:color w:val="000000" w:themeColor="text1"/>
                <w:sz w:val="21"/>
                <w:szCs w:val="21"/>
              </w:rPr>
              <w:t>25</w:t>
            </w:r>
          </w:p>
        </w:tc>
        <w:tc>
          <w:tcPr>
            <w:tcW w:w="392" w:type="pct"/>
            <w:vAlign w:val="center"/>
          </w:tcPr>
          <w:p w14:paraId="03B88CA4"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 xml:space="preserve">13.3 </w:t>
            </w:r>
          </w:p>
        </w:tc>
        <w:tc>
          <w:tcPr>
            <w:tcW w:w="389" w:type="pct"/>
            <w:vAlign w:val="center"/>
          </w:tcPr>
          <w:p w14:paraId="59F81CC2" w14:textId="77777777" w:rsidR="00B0005F" w:rsidRPr="008A2411" w:rsidRDefault="00000000">
            <w:pPr>
              <w:adjustRightInd w:val="0"/>
              <w:jc w:val="center"/>
              <w:rPr>
                <w:rFonts w:ascii="Times New Roman"/>
                <w:color w:val="000000" w:themeColor="text1"/>
                <w:sz w:val="21"/>
                <w:szCs w:val="21"/>
              </w:rPr>
            </w:pPr>
            <w:r w:rsidRPr="008A2411">
              <w:rPr>
                <w:rFonts w:ascii="Times New Roman"/>
                <w:color w:val="000000" w:themeColor="text1"/>
                <w:sz w:val="21"/>
                <w:szCs w:val="21"/>
              </w:rPr>
              <w:t>/</w:t>
            </w:r>
          </w:p>
        </w:tc>
        <w:tc>
          <w:tcPr>
            <w:tcW w:w="419" w:type="pct"/>
            <w:vAlign w:val="center"/>
          </w:tcPr>
          <w:p w14:paraId="1E742CA0" w14:textId="77777777" w:rsidR="00B0005F" w:rsidRPr="008A2411" w:rsidRDefault="00000000">
            <w:pPr>
              <w:adjustRightInd w:val="0"/>
              <w:jc w:val="center"/>
              <w:rPr>
                <w:rFonts w:ascii="Times New Roman"/>
                <w:color w:val="000000" w:themeColor="text1"/>
                <w:sz w:val="21"/>
                <w:szCs w:val="21"/>
              </w:rPr>
            </w:pPr>
            <w:r w:rsidRPr="008A2411">
              <w:rPr>
                <w:rFonts w:ascii="Times New Roman"/>
                <w:color w:val="000000" w:themeColor="text1"/>
                <w:sz w:val="21"/>
                <w:szCs w:val="21"/>
              </w:rPr>
              <w:t>/</w:t>
            </w:r>
          </w:p>
        </w:tc>
        <w:tc>
          <w:tcPr>
            <w:tcW w:w="360" w:type="pct"/>
            <w:tcBorders>
              <w:right w:val="single" w:sz="4" w:space="0" w:color="auto"/>
            </w:tcBorders>
            <w:vAlign w:val="center"/>
          </w:tcPr>
          <w:p w14:paraId="69E0AA0C" w14:textId="77777777" w:rsidR="00B0005F" w:rsidRPr="008A2411" w:rsidRDefault="00000000">
            <w:pPr>
              <w:adjustRightInd w:val="0"/>
              <w:jc w:val="center"/>
              <w:rPr>
                <w:rFonts w:ascii="Times New Roman"/>
                <w:color w:val="000000" w:themeColor="text1"/>
                <w:sz w:val="21"/>
                <w:szCs w:val="21"/>
              </w:rPr>
            </w:pPr>
            <w:r w:rsidRPr="008A2411">
              <w:rPr>
                <w:rFonts w:ascii="Times New Roman"/>
                <w:color w:val="000000" w:themeColor="text1"/>
                <w:sz w:val="21"/>
                <w:szCs w:val="21"/>
              </w:rPr>
              <w:t>0.0015</w:t>
            </w:r>
          </w:p>
        </w:tc>
        <w:tc>
          <w:tcPr>
            <w:tcW w:w="361" w:type="pct"/>
            <w:tcBorders>
              <w:left w:val="single" w:sz="4" w:space="0" w:color="auto"/>
            </w:tcBorders>
            <w:vAlign w:val="center"/>
          </w:tcPr>
          <w:p w14:paraId="6AE889D7" w14:textId="77777777" w:rsidR="00B0005F" w:rsidRPr="008A2411" w:rsidRDefault="00000000">
            <w:pPr>
              <w:adjustRightInd w:val="0"/>
              <w:jc w:val="center"/>
              <w:rPr>
                <w:rFonts w:ascii="Times New Roman"/>
                <w:color w:val="000000" w:themeColor="text1"/>
                <w:sz w:val="21"/>
                <w:szCs w:val="21"/>
              </w:rPr>
            </w:pPr>
            <w:r w:rsidRPr="008A2411">
              <w:rPr>
                <w:rFonts w:ascii="Times New Roman"/>
                <w:color w:val="000000" w:themeColor="text1"/>
                <w:sz w:val="21"/>
                <w:szCs w:val="21"/>
              </w:rPr>
              <w:t>0.028</w:t>
            </w:r>
          </w:p>
        </w:tc>
      </w:tr>
      <w:tr w:rsidR="008A2411" w:rsidRPr="008A2411" w14:paraId="654D76E9" w14:textId="77777777">
        <w:trPr>
          <w:trHeight w:val="829"/>
        </w:trPr>
        <w:tc>
          <w:tcPr>
            <w:tcW w:w="313" w:type="pct"/>
            <w:tcBorders>
              <w:right w:val="single" w:sz="4" w:space="0" w:color="auto"/>
            </w:tcBorders>
            <w:vAlign w:val="center"/>
          </w:tcPr>
          <w:p w14:paraId="01C8BCE7" w14:textId="77777777" w:rsidR="00B0005F" w:rsidRPr="008A2411" w:rsidRDefault="00000000">
            <w:pPr>
              <w:adjustRightInd w:val="0"/>
              <w:jc w:val="center"/>
              <w:rPr>
                <w:rFonts w:ascii="Times New Roman"/>
                <w:color w:val="000000" w:themeColor="text1"/>
                <w:sz w:val="21"/>
                <w:szCs w:val="21"/>
              </w:rPr>
            </w:pPr>
            <w:r w:rsidRPr="008A2411">
              <w:rPr>
                <w:rFonts w:ascii="Times New Roman"/>
                <w:color w:val="000000" w:themeColor="text1"/>
                <w:sz w:val="21"/>
                <w:szCs w:val="21"/>
              </w:rPr>
              <w:t>导热油炉排气筒</w:t>
            </w:r>
          </w:p>
        </w:tc>
        <w:tc>
          <w:tcPr>
            <w:tcW w:w="237" w:type="pct"/>
            <w:tcBorders>
              <w:left w:val="single" w:sz="4" w:space="0" w:color="auto"/>
            </w:tcBorders>
            <w:vAlign w:val="center"/>
          </w:tcPr>
          <w:p w14:paraId="0D03A796" w14:textId="77777777" w:rsidR="00B0005F" w:rsidRPr="008A2411" w:rsidRDefault="00000000">
            <w:pPr>
              <w:adjustRightInd w:val="0"/>
              <w:jc w:val="center"/>
              <w:rPr>
                <w:rFonts w:ascii="Times New Roman"/>
                <w:color w:val="000000" w:themeColor="text1"/>
                <w:sz w:val="21"/>
                <w:szCs w:val="21"/>
              </w:rPr>
            </w:pPr>
            <w:r w:rsidRPr="008A2411">
              <w:rPr>
                <w:rFonts w:ascii="Times New Roman"/>
                <w:color w:val="000000" w:themeColor="text1"/>
                <w:sz w:val="21"/>
                <w:szCs w:val="21"/>
              </w:rPr>
              <w:t>P2</w:t>
            </w:r>
          </w:p>
        </w:tc>
        <w:tc>
          <w:tcPr>
            <w:tcW w:w="456" w:type="pct"/>
            <w:vAlign w:val="center"/>
          </w:tcPr>
          <w:p w14:paraId="6040EBC7" w14:textId="77777777" w:rsidR="00B0005F" w:rsidRPr="008A2411" w:rsidRDefault="00000000">
            <w:pPr>
              <w:adjustRightInd w:val="0"/>
              <w:jc w:val="center"/>
              <w:rPr>
                <w:rFonts w:ascii="Times New Roman"/>
                <w:color w:val="000000" w:themeColor="text1"/>
                <w:sz w:val="21"/>
                <w:szCs w:val="21"/>
              </w:rPr>
            </w:pPr>
            <w:r w:rsidRPr="008A2411">
              <w:rPr>
                <w:rFonts w:ascii="Times New Roman"/>
                <w:color w:val="000000" w:themeColor="text1"/>
                <w:sz w:val="21"/>
                <w:szCs w:val="21"/>
              </w:rPr>
              <w:t>107.695832</w:t>
            </w:r>
          </w:p>
        </w:tc>
        <w:tc>
          <w:tcPr>
            <w:tcW w:w="492" w:type="pct"/>
            <w:vAlign w:val="center"/>
          </w:tcPr>
          <w:p w14:paraId="35A20A4D" w14:textId="77777777" w:rsidR="00B0005F" w:rsidRPr="008A2411" w:rsidRDefault="00000000">
            <w:pPr>
              <w:adjustRightInd w:val="0"/>
              <w:jc w:val="center"/>
              <w:rPr>
                <w:rFonts w:ascii="Times New Roman"/>
                <w:color w:val="000000" w:themeColor="text1"/>
                <w:sz w:val="21"/>
                <w:szCs w:val="21"/>
              </w:rPr>
            </w:pPr>
            <w:r w:rsidRPr="008A2411">
              <w:rPr>
                <w:rFonts w:ascii="Times New Roman"/>
                <w:color w:val="000000" w:themeColor="text1"/>
                <w:sz w:val="21"/>
                <w:szCs w:val="21"/>
              </w:rPr>
              <w:t>31.515582</w:t>
            </w:r>
          </w:p>
        </w:tc>
        <w:tc>
          <w:tcPr>
            <w:tcW w:w="437" w:type="pct"/>
            <w:vAlign w:val="center"/>
          </w:tcPr>
          <w:p w14:paraId="2471EE70" w14:textId="77777777" w:rsidR="00B0005F" w:rsidRPr="008A2411" w:rsidRDefault="00000000">
            <w:pPr>
              <w:adjustRightInd w:val="0"/>
              <w:jc w:val="center"/>
              <w:rPr>
                <w:rFonts w:ascii="Times New Roman"/>
                <w:color w:val="000000" w:themeColor="text1"/>
                <w:sz w:val="21"/>
                <w:szCs w:val="21"/>
              </w:rPr>
            </w:pPr>
            <w:r w:rsidRPr="008A2411">
              <w:rPr>
                <w:rFonts w:ascii="Times New Roman"/>
                <w:color w:val="000000" w:themeColor="text1"/>
                <w:sz w:val="21"/>
                <w:szCs w:val="21"/>
              </w:rPr>
              <w:t>415</w:t>
            </w:r>
          </w:p>
        </w:tc>
        <w:tc>
          <w:tcPr>
            <w:tcW w:w="377" w:type="pct"/>
            <w:vAlign w:val="center"/>
          </w:tcPr>
          <w:p w14:paraId="41D4F696" w14:textId="77777777" w:rsidR="00B0005F" w:rsidRPr="008A2411" w:rsidRDefault="00000000">
            <w:pPr>
              <w:adjustRightInd w:val="0"/>
              <w:jc w:val="center"/>
              <w:rPr>
                <w:rFonts w:ascii="Times New Roman"/>
                <w:color w:val="000000" w:themeColor="text1"/>
                <w:sz w:val="21"/>
                <w:szCs w:val="21"/>
              </w:rPr>
            </w:pPr>
            <w:r w:rsidRPr="008A2411">
              <w:rPr>
                <w:rFonts w:ascii="Times New Roman"/>
                <w:color w:val="000000" w:themeColor="text1"/>
                <w:sz w:val="21"/>
                <w:szCs w:val="21"/>
              </w:rPr>
              <w:t>15</w:t>
            </w:r>
          </w:p>
        </w:tc>
        <w:tc>
          <w:tcPr>
            <w:tcW w:w="360" w:type="pct"/>
            <w:vAlign w:val="center"/>
          </w:tcPr>
          <w:p w14:paraId="22049F4D"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0.4</w:t>
            </w:r>
          </w:p>
        </w:tc>
        <w:tc>
          <w:tcPr>
            <w:tcW w:w="402" w:type="pct"/>
            <w:vAlign w:val="center"/>
          </w:tcPr>
          <w:p w14:paraId="26601967" w14:textId="77777777" w:rsidR="00B0005F" w:rsidRPr="008A2411" w:rsidRDefault="00000000">
            <w:pPr>
              <w:adjustRightInd w:val="0"/>
              <w:jc w:val="center"/>
              <w:rPr>
                <w:rFonts w:ascii="Times New Roman"/>
                <w:color w:val="000000" w:themeColor="text1"/>
                <w:sz w:val="21"/>
                <w:szCs w:val="21"/>
              </w:rPr>
            </w:pPr>
            <w:r w:rsidRPr="008A2411">
              <w:rPr>
                <w:rFonts w:ascii="Times New Roman"/>
                <w:color w:val="000000" w:themeColor="text1"/>
                <w:sz w:val="21"/>
                <w:szCs w:val="21"/>
              </w:rPr>
              <w:t>350</w:t>
            </w:r>
          </w:p>
        </w:tc>
        <w:tc>
          <w:tcPr>
            <w:tcW w:w="392" w:type="pct"/>
            <w:vAlign w:val="center"/>
          </w:tcPr>
          <w:p w14:paraId="4FBB4262"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13.3</w:t>
            </w:r>
          </w:p>
        </w:tc>
        <w:tc>
          <w:tcPr>
            <w:tcW w:w="389" w:type="pct"/>
            <w:vAlign w:val="center"/>
          </w:tcPr>
          <w:p w14:paraId="5DEE8BC2" w14:textId="77777777" w:rsidR="00B0005F" w:rsidRPr="008A2411" w:rsidRDefault="00000000">
            <w:pPr>
              <w:adjustRightInd w:val="0"/>
              <w:jc w:val="center"/>
              <w:rPr>
                <w:rFonts w:ascii="Times New Roman"/>
                <w:color w:val="000000" w:themeColor="text1"/>
                <w:sz w:val="21"/>
                <w:szCs w:val="21"/>
              </w:rPr>
            </w:pPr>
            <w:r w:rsidRPr="008A2411">
              <w:rPr>
                <w:rFonts w:ascii="Times New Roman"/>
                <w:color w:val="000000" w:themeColor="text1"/>
                <w:sz w:val="21"/>
                <w:szCs w:val="21"/>
              </w:rPr>
              <w:t>0.4879</w:t>
            </w:r>
          </w:p>
        </w:tc>
        <w:tc>
          <w:tcPr>
            <w:tcW w:w="419" w:type="pct"/>
            <w:vAlign w:val="center"/>
          </w:tcPr>
          <w:p w14:paraId="2374695F" w14:textId="77777777" w:rsidR="00B0005F" w:rsidRPr="008A2411" w:rsidRDefault="00000000">
            <w:pPr>
              <w:adjustRightInd w:val="0"/>
              <w:jc w:val="center"/>
              <w:rPr>
                <w:rFonts w:ascii="Times New Roman"/>
                <w:color w:val="000000" w:themeColor="text1"/>
                <w:sz w:val="21"/>
                <w:szCs w:val="21"/>
              </w:rPr>
            </w:pPr>
            <w:r w:rsidRPr="008A2411">
              <w:rPr>
                <w:rFonts w:ascii="Times New Roman"/>
                <w:color w:val="000000" w:themeColor="text1"/>
                <w:sz w:val="21"/>
                <w:szCs w:val="21"/>
              </w:rPr>
              <w:t>0.0102</w:t>
            </w:r>
          </w:p>
        </w:tc>
        <w:tc>
          <w:tcPr>
            <w:tcW w:w="360" w:type="pct"/>
            <w:tcBorders>
              <w:right w:val="single" w:sz="4" w:space="0" w:color="auto"/>
            </w:tcBorders>
            <w:vAlign w:val="center"/>
          </w:tcPr>
          <w:p w14:paraId="43FB1776" w14:textId="77777777" w:rsidR="00B0005F" w:rsidRPr="008A2411" w:rsidRDefault="00000000">
            <w:pPr>
              <w:adjustRightInd w:val="0"/>
              <w:jc w:val="center"/>
              <w:rPr>
                <w:rFonts w:ascii="Times New Roman"/>
                <w:color w:val="000000" w:themeColor="text1"/>
                <w:sz w:val="21"/>
                <w:szCs w:val="21"/>
              </w:rPr>
            </w:pPr>
            <w:r w:rsidRPr="008A2411">
              <w:rPr>
                <w:rFonts w:ascii="Times New Roman"/>
                <w:color w:val="000000" w:themeColor="text1"/>
                <w:sz w:val="21"/>
                <w:szCs w:val="21"/>
              </w:rPr>
              <w:t>/</w:t>
            </w:r>
          </w:p>
        </w:tc>
        <w:tc>
          <w:tcPr>
            <w:tcW w:w="361" w:type="pct"/>
            <w:tcBorders>
              <w:left w:val="single" w:sz="4" w:space="0" w:color="auto"/>
            </w:tcBorders>
            <w:vAlign w:val="center"/>
          </w:tcPr>
          <w:p w14:paraId="12BFDB51" w14:textId="77777777" w:rsidR="00B0005F" w:rsidRPr="008A2411" w:rsidRDefault="00000000">
            <w:pPr>
              <w:adjustRightInd w:val="0"/>
              <w:jc w:val="center"/>
              <w:rPr>
                <w:rFonts w:ascii="Times New Roman"/>
                <w:color w:val="000000" w:themeColor="text1"/>
                <w:sz w:val="21"/>
                <w:szCs w:val="21"/>
              </w:rPr>
            </w:pPr>
            <w:r w:rsidRPr="008A2411">
              <w:rPr>
                <w:rFonts w:ascii="Times New Roman"/>
                <w:color w:val="000000" w:themeColor="text1"/>
                <w:sz w:val="21"/>
                <w:szCs w:val="21"/>
              </w:rPr>
              <w:t>/</w:t>
            </w:r>
          </w:p>
        </w:tc>
      </w:tr>
      <w:tr w:rsidR="008A2411" w:rsidRPr="008A2411" w14:paraId="03C86B1A" w14:textId="77777777">
        <w:trPr>
          <w:trHeight w:val="696"/>
        </w:trPr>
        <w:tc>
          <w:tcPr>
            <w:tcW w:w="313" w:type="pct"/>
            <w:tcBorders>
              <w:right w:val="single" w:sz="4" w:space="0" w:color="auto"/>
            </w:tcBorders>
            <w:vAlign w:val="center"/>
          </w:tcPr>
          <w:p w14:paraId="67D7A33B" w14:textId="77777777" w:rsidR="00B0005F" w:rsidRPr="008A2411" w:rsidRDefault="00000000">
            <w:pPr>
              <w:adjustRightInd w:val="0"/>
              <w:jc w:val="center"/>
              <w:rPr>
                <w:rFonts w:ascii="Times New Roman"/>
                <w:color w:val="000000" w:themeColor="text1"/>
                <w:sz w:val="21"/>
                <w:szCs w:val="21"/>
              </w:rPr>
            </w:pPr>
            <w:r w:rsidRPr="008A2411">
              <w:rPr>
                <w:rFonts w:ascii="Times New Roman"/>
                <w:color w:val="000000" w:themeColor="text1"/>
                <w:sz w:val="21"/>
                <w:szCs w:val="21"/>
              </w:rPr>
              <w:t>火炬燃烧废气</w:t>
            </w:r>
          </w:p>
        </w:tc>
        <w:tc>
          <w:tcPr>
            <w:tcW w:w="237" w:type="pct"/>
            <w:tcBorders>
              <w:left w:val="single" w:sz="4" w:space="0" w:color="auto"/>
            </w:tcBorders>
            <w:vAlign w:val="center"/>
          </w:tcPr>
          <w:p w14:paraId="569DFF6D" w14:textId="77777777" w:rsidR="00B0005F" w:rsidRPr="008A2411" w:rsidRDefault="00000000">
            <w:pPr>
              <w:adjustRightInd w:val="0"/>
              <w:jc w:val="center"/>
              <w:rPr>
                <w:rFonts w:ascii="Times New Roman"/>
                <w:color w:val="000000" w:themeColor="text1"/>
                <w:sz w:val="21"/>
                <w:szCs w:val="21"/>
              </w:rPr>
            </w:pPr>
            <w:r w:rsidRPr="008A2411">
              <w:rPr>
                <w:rFonts w:ascii="Times New Roman"/>
                <w:color w:val="000000" w:themeColor="text1"/>
                <w:sz w:val="21"/>
                <w:szCs w:val="21"/>
              </w:rPr>
              <w:t>P3</w:t>
            </w:r>
          </w:p>
        </w:tc>
        <w:tc>
          <w:tcPr>
            <w:tcW w:w="456" w:type="pct"/>
            <w:vAlign w:val="center"/>
          </w:tcPr>
          <w:p w14:paraId="065CCF25" w14:textId="77777777" w:rsidR="00B0005F" w:rsidRPr="008A2411" w:rsidRDefault="00000000">
            <w:pPr>
              <w:adjustRightInd w:val="0"/>
              <w:jc w:val="center"/>
              <w:rPr>
                <w:rFonts w:ascii="Times New Roman"/>
                <w:color w:val="000000" w:themeColor="text1"/>
                <w:sz w:val="21"/>
                <w:szCs w:val="21"/>
              </w:rPr>
            </w:pPr>
            <w:r w:rsidRPr="008A2411">
              <w:rPr>
                <w:rFonts w:ascii="Times New Roman"/>
                <w:color w:val="000000" w:themeColor="text1"/>
                <w:sz w:val="21"/>
                <w:szCs w:val="21"/>
              </w:rPr>
              <w:t>107.698624</w:t>
            </w:r>
          </w:p>
        </w:tc>
        <w:tc>
          <w:tcPr>
            <w:tcW w:w="492" w:type="pct"/>
            <w:vAlign w:val="center"/>
          </w:tcPr>
          <w:p w14:paraId="31836A0D" w14:textId="77777777" w:rsidR="00B0005F" w:rsidRPr="008A2411" w:rsidRDefault="00000000">
            <w:pPr>
              <w:adjustRightInd w:val="0"/>
              <w:jc w:val="center"/>
              <w:rPr>
                <w:rFonts w:ascii="Times New Roman"/>
                <w:color w:val="000000" w:themeColor="text1"/>
                <w:sz w:val="21"/>
                <w:szCs w:val="21"/>
              </w:rPr>
            </w:pPr>
            <w:r w:rsidRPr="008A2411">
              <w:rPr>
                <w:rFonts w:ascii="Times New Roman"/>
                <w:color w:val="000000" w:themeColor="text1"/>
                <w:sz w:val="21"/>
                <w:szCs w:val="21"/>
              </w:rPr>
              <w:t>31.515773</w:t>
            </w:r>
          </w:p>
        </w:tc>
        <w:tc>
          <w:tcPr>
            <w:tcW w:w="437" w:type="pct"/>
            <w:vAlign w:val="center"/>
          </w:tcPr>
          <w:p w14:paraId="198843A0" w14:textId="77777777" w:rsidR="00B0005F" w:rsidRPr="008A2411" w:rsidRDefault="00000000">
            <w:pPr>
              <w:adjustRightInd w:val="0"/>
              <w:jc w:val="center"/>
              <w:rPr>
                <w:rFonts w:ascii="Times New Roman"/>
                <w:color w:val="000000" w:themeColor="text1"/>
                <w:sz w:val="21"/>
                <w:szCs w:val="21"/>
              </w:rPr>
            </w:pPr>
            <w:r w:rsidRPr="008A2411">
              <w:rPr>
                <w:rFonts w:ascii="Times New Roman"/>
                <w:color w:val="000000" w:themeColor="text1"/>
                <w:sz w:val="21"/>
                <w:szCs w:val="21"/>
              </w:rPr>
              <w:t>415</w:t>
            </w:r>
          </w:p>
        </w:tc>
        <w:tc>
          <w:tcPr>
            <w:tcW w:w="377" w:type="pct"/>
            <w:vAlign w:val="center"/>
          </w:tcPr>
          <w:p w14:paraId="1B970EDE" w14:textId="77777777" w:rsidR="00B0005F" w:rsidRPr="008A2411" w:rsidRDefault="00000000">
            <w:pPr>
              <w:adjustRightInd w:val="0"/>
              <w:jc w:val="center"/>
              <w:rPr>
                <w:rFonts w:ascii="Times New Roman"/>
                <w:color w:val="000000" w:themeColor="text1"/>
                <w:sz w:val="21"/>
                <w:szCs w:val="21"/>
              </w:rPr>
            </w:pPr>
            <w:r w:rsidRPr="008A2411">
              <w:rPr>
                <w:rFonts w:ascii="Times New Roman"/>
                <w:color w:val="000000" w:themeColor="text1"/>
                <w:sz w:val="21"/>
                <w:szCs w:val="21"/>
              </w:rPr>
              <w:t>30</w:t>
            </w:r>
          </w:p>
        </w:tc>
        <w:tc>
          <w:tcPr>
            <w:tcW w:w="360" w:type="pct"/>
            <w:vAlign w:val="center"/>
          </w:tcPr>
          <w:p w14:paraId="0D2227E7"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0.45</w:t>
            </w:r>
          </w:p>
        </w:tc>
        <w:tc>
          <w:tcPr>
            <w:tcW w:w="402" w:type="pct"/>
            <w:vAlign w:val="center"/>
          </w:tcPr>
          <w:p w14:paraId="726186CE" w14:textId="77777777" w:rsidR="00B0005F" w:rsidRPr="008A2411" w:rsidRDefault="00000000">
            <w:pPr>
              <w:adjustRightInd w:val="0"/>
              <w:jc w:val="center"/>
              <w:rPr>
                <w:rFonts w:ascii="Times New Roman"/>
                <w:color w:val="000000" w:themeColor="text1"/>
                <w:sz w:val="21"/>
                <w:szCs w:val="21"/>
              </w:rPr>
            </w:pPr>
            <w:r w:rsidRPr="008A2411">
              <w:rPr>
                <w:rFonts w:ascii="Times New Roman"/>
                <w:color w:val="000000" w:themeColor="text1"/>
                <w:sz w:val="21"/>
                <w:szCs w:val="21"/>
              </w:rPr>
              <w:t>600</w:t>
            </w:r>
          </w:p>
        </w:tc>
        <w:tc>
          <w:tcPr>
            <w:tcW w:w="392" w:type="pct"/>
            <w:vAlign w:val="center"/>
          </w:tcPr>
          <w:p w14:paraId="227D8E64"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13.2</w:t>
            </w:r>
          </w:p>
        </w:tc>
        <w:tc>
          <w:tcPr>
            <w:tcW w:w="389" w:type="pct"/>
            <w:vAlign w:val="center"/>
          </w:tcPr>
          <w:p w14:paraId="45CC480D" w14:textId="77777777" w:rsidR="00B0005F" w:rsidRPr="008A2411" w:rsidRDefault="00000000">
            <w:pPr>
              <w:adjustRightInd w:val="0"/>
              <w:jc w:val="center"/>
              <w:rPr>
                <w:rFonts w:ascii="Times New Roman"/>
                <w:color w:val="000000" w:themeColor="text1"/>
                <w:sz w:val="21"/>
                <w:szCs w:val="21"/>
              </w:rPr>
            </w:pPr>
            <w:r w:rsidRPr="008A2411">
              <w:rPr>
                <w:rFonts w:ascii="Times New Roman"/>
                <w:color w:val="000000" w:themeColor="text1"/>
                <w:sz w:val="21"/>
                <w:szCs w:val="21"/>
              </w:rPr>
              <w:t>0.0635</w:t>
            </w:r>
          </w:p>
        </w:tc>
        <w:tc>
          <w:tcPr>
            <w:tcW w:w="419" w:type="pct"/>
            <w:vAlign w:val="center"/>
          </w:tcPr>
          <w:p w14:paraId="48F4FDA1" w14:textId="77777777" w:rsidR="00B0005F" w:rsidRPr="008A2411" w:rsidRDefault="00000000">
            <w:pPr>
              <w:adjustRightInd w:val="0"/>
              <w:jc w:val="center"/>
              <w:rPr>
                <w:rFonts w:ascii="Times New Roman"/>
                <w:color w:val="000000" w:themeColor="text1"/>
                <w:sz w:val="21"/>
                <w:szCs w:val="21"/>
              </w:rPr>
            </w:pPr>
            <w:r w:rsidRPr="008A2411">
              <w:rPr>
                <w:rFonts w:ascii="Times New Roman"/>
                <w:color w:val="000000" w:themeColor="text1"/>
                <w:sz w:val="21"/>
                <w:szCs w:val="21"/>
              </w:rPr>
              <w:t>0.0006</w:t>
            </w:r>
          </w:p>
        </w:tc>
        <w:tc>
          <w:tcPr>
            <w:tcW w:w="360" w:type="pct"/>
            <w:tcBorders>
              <w:right w:val="single" w:sz="4" w:space="0" w:color="auto"/>
            </w:tcBorders>
            <w:vAlign w:val="center"/>
          </w:tcPr>
          <w:p w14:paraId="79B2DA55" w14:textId="77777777" w:rsidR="00B0005F" w:rsidRPr="008A2411" w:rsidRDefault="00000000">
            <w:pPr>
              <w:adjustRightInd w:val="0"/>
              <w:jc w:val="center"/>
              <w:rPr>
                <w:rFonts w:ascii="Times New Roman"/>
                <w:color w:val="000000" w:themeColor="text1"/>
                <w:sz w:val="21"/>
                <w:szCs w:val="21"/>
              </w:rPr>
            </w:pPr>
            <w:r w:rsidRPr="008A2411">
              <w:rPr>
                <w:rFonts w:ascii="Times New Roman"/>
                <w:color w:val="000000" w:themeColor="text1"/>
                <w:sz w:val="21"/>
                <w:szCs w:val="21"/>
              </w:rPr>
              <w:t>/</w:t>
            </w:r>
          </w:p>
        </w:tc>
        <w:tc>
          <w:tcPr>
            <w:tcW w:w="361" w:type="pct"/>
            <w:tcBorders>
              <w:left w:val="single" w:sz="4" w:space="0" w:color="auto"/>
            </w:tcBorders>
            <w:vAlign w:val="center"/>
          </w:tcPr>
          <w:p w14:paraId="5D6EEEB5" w14:textId="77777777" w:rsidR="00B0005F" w:rsidRPr="008A2411" w:rsidRDefault="00000000">
            <w:pPr>
              <w:adjustRightInd w:val="0"/>
              <w:jc w:val="center"/>
              <w:rPr>
                <w:rFonts w:ascii="Times New Roman"/>
                <w:color w:val="000000" w:themeColor="text1"/>
                <w:sz w:val="21"/>
                <w:szCs w:val="21"/>
              </w:rPr>
            </w:pPr>
            <w:r w:rsidRPr="008A2411">
              <w:rPr>
                <w:rFonts w:ascii="Times New Roman"/>
                <w:color w:val="000000" w:themeColor="text1"/>
                <w:sz w:val="21"/>
                <w:szCs w:val="21"/>
              </w:rPr>
              <w:t>/</w:t>
            </w:r>
          </w:p>
        </w:tc>
      </w:tr>
    </w:tbl>
    <w:p w14:paraId="3AC173A7" w14:textId="77777777" w:rsidR="00B0005F" w:rsidRPr="008A2411" w:rsidRDefault="00000000">
      <w:pPr>
        <w:pStyle w:val="WJ0"/>
        <w:rPr>
          <w:rFonts w:ascii="Times New Roman" w:hAnsi="Times New Roman"/>
          <w:color w:val="000000" w:themeColor="text1"/>
        </w:rPr>
      </w:pPr>
      <w:r w:rsidRPr="008A2411">
        <w:rPr>
          <w:rFonts w:ascii="Times New Roman" w:hAnsi="Times New Roman"/>
          <w:color w:val="000000" w:themeColor="text1"/>
        </w:rPr>
        <w:t>表</w:t>
      </w:r>
      <w:r w:rsidRPr="008A2411">
        <w:rPr>
          <w:rFonts w:ascii="Times New Roman" w:hAnsi="Times New Roman"/>
          <w:color w:val="000000" w:themeColor="text1"/>
        </w:rPr>
        <w:t xml:space="preserve"> 5.2-2 </w:t>
      </w:r>
      <w:r w:rsidRPr="008A2411">
        <w:rPr>
          <w:rFonts w:ascii="Times New Roman" w:hAnsi="Times New Roman"/>
          <w:color w:val="000000" w:themeColor="text1"/>
        </w:rPr>
        <w:t>废气无组织污染源点源清单</w:t>
      </w:r>
    </w:p>
    <w:tbl>
      <w:tblPr>
        <w:tblW w:w="4996" w:type="pct"/>
        <w:tblBorders>
          <w:top w:val="single" w:sz="12" w:space="0" w:color="auto"/>
          <w:bottom w:val="single" w:sz="12" w:space="0" w:color="auto"/>
          <w:insideH w:val="single" w:sz="4" w:space="0" w:color="auto"/>
          <w:insideV w:val="single" w:sz="4" w:space="0" w:color="auto"/>
        </w:tblBorders>
        <w:tblLook w:val="04A0" w:firstRow="1" w:lastRow="0" w:firstColumn="1" w:lastColumn="0" w:noHBand="0" w:noVBand="1"/>
      </w:tblPr>
      <w:tblGrid>
        <w:gridCol w:w="2278"/>
        <w:gridCol w:w="1488"/>
        <w:gridCol w:w="1488"/>
        <w:gridCol w:w="1488"/>
        <w:gridCol w:w="2412"/>
        <w:gridCol w:w="1882"/>
        <w:gridCol w:w="1147"/>
        <w:gridCol w:w="1980"/>
      </w:tblGrid>
      <w:tr w:rsidR="008A2411" w:rsidRPr="008A2411" w14:paraId="65FD7BF6" w14:textId="77777777">
        <w:trPr>
          <w:cantSplit/>
        </w:trPr>
        <w:tc>
          <w:tcPr>
            <w:tcW w:w="804" w:type="pct"/>
            <w:vMerge w:val="restart"/>
            <w:tcBorders>
              <w:top w:val="single" w:sz="4" w:space="0" w:color="auto"/>
              <w:left w:val="single" w:sz="4" w:space="0" w:color="auto"/>
              <w:bottom w:val="single" w:sz="4" w:space="0" w:color="auto"/>
              <w:right w:val="single" w:sz="4" w:space="0" w:color="auto"/>
            </w:tcBorders>
            <w:vAlign w:val="center"/>
          </w:tcPr>
          <w:p w14:paraId="2A7E91C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面源名称</w:t>
            </w:r>
          </w:p>
        </w:tc>
        <w:tc>
          <w:tcPr>
            <w:tcW w:w="525" w:type="pct"/>
            <w:vMerge w:val="restart"/>
            <w:tcBorders>
              <w:top w:val="single" w:sz="4" w:space="0" w:color="auto"/>
              <w:left w:val="single" w:sz="4" w:space="0" w:color="auto"/>
              <w:bottom w:val="single" w:sz="4" w:space="0" w:color="auto"/>
              <w:right w:val="single" w:sz="4" w:space="0" w:color="auto"/>
            </w:tcBorders>
            <w:vAlign w:val="center"/>
          </w:tcPr>
          <w:p w14:paraId="54AB5D67"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海拔高度</w:t>
            </w:r>
            <w:r w:rsidRPr="008A2411">
              <w:rPr>
                <w:rFonts w:ascii="Times New Roman"/>
                <w:bCs/>
                <w:color w:val="000000" w:themeColor="text1"/>
                <w:sz w:val="21"/>
                <w:szCs w:val="21"/>
              </w:rPr>
              <w:t>(m)</w:t>
            </w:r>
          </w:p>
        </w:tc>
        <w:tc>
          <w:tcPr>
            <w:tcW w:w="525" w:type="pct"/>
            <w:vMerge w:val="restart"/>
            <w:tcBorders>
              <w:top w:val="single" w:sz="4" w:space="0" w:color="auto"/>
              <w:left w:val="single" w:sz="4" w:space="0" w:color="auto"/>
              <w:bottom w:val="single" w:sz="4" w:space="0" w:color="auto"/>
              <w:right w:val="single" w:sz="4" w:space="0" w:color="auto"/>
            </w:tcBorders>
            <w:vAlign w:val="center"/>
          </w:tcPr>
          <w:p w14:paraId="4D2B17A7"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面源长度</w:t>
            </w:r>
            <w:r w:rsidRPr="008A2411">
              <w:rPr>
                <w:rFonts w:ascii="Times New Roman"/>
                <w:bCs/>
                <w:color w:val="000000" w:themeColor="text1"/>
                <w:sz w:val="21"/>
                <w:szCs w:val="21"/>
              </w:rPr>
              <w:t>(m)</w:t>
            </w:r>
          </w:p>
        </w:tc>
        <w:tc>
          <w:tcPr>
            <w:tcW w:w="525" w:type="pct"/>
            <w:vMerge w:val="restart"/>
            <w:tcBorders>
              <w:top w:val="single" w:sz="4" w:space="0" w:color="auto"/>
              <w:left w:val="single" w:sz="4" w:space="0" w:color="auto"/>
              <w:bottom w:val="single" w:sz="4" w:space="0" w:color="auto"/>
              <w:right w:val="single" w:sz="4" w:space="0" w:color="auto"/>
            </w:tcBorders>
            <w:vAlign w:val="center"/>
          </w:tcPr>
          <w:p w14:paraId="09373657"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面源宽度</w:t>
            </w:r>
            <w:r w:rsidRPr="008A2411">
              <w:rPr>
                <w:rFonts w:ascii="Times New Roman"/>
                <w:bCs/>
                <w:color w:val="000000" w:themeColor="text1"/>
                <w:sz w:val="21"/>
                <w:szCs w:val="21"/>
              </w:rPr>
              <w:t>(m)</w:t>
            </w:r>
          </w:p>
        </w:tc>
        <w:tc>
          <w:tcPr>
            <w:tcW w:w="850" w:type="pct"/>
            <w:vMerge w:val="restart"/>
            <w:tcBorders>
              <w:top w:val="single" w:sz="4" w:space="0" w:color="auto"/>
              <w:left w:val="single" w:sz="4" w:space="0" w:color="auto"/>
              <w:bottom w:val="single" w:sz="4" w:space="0" w:color="auto"/>
              <w:right w:val="single" w:sz="4" w:space="0" w:color="auto"/>
            </w:tcBorders>
            <w:vAlign w:val="center"/>
          </w:tcPr>
          <w:p w14:paraId="262C64D3"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面源初始排放高度</w:t>
            </w:r>
            <w:r w:rsidRPr="008A2411">
              <w:rPr>
                <w:rFonts w:ascii="Times New Roman"/>
                <w:bCs/>
                <w:color w:val="000000" w:themeColor="text1"/>
                <w:sz w:val="21"/>
                <w:szCs w:val="21"/>
              </w:rPr>
              <w:t>(m)</w:t>
            </w:r>
          </w:p>
        </w:tc>
        <w:tc>
          <w:tcPr>
            <w:tcW w:w="664" w:type="pct"/>
            <w:vMerge w:val="restart"/>
            <w:tcBorders>
              <w:top w:val="single" w:sz="4" w:space="0" w:color="auto"/>
              <w:left w:val="single" w:sz="4" w:space="0" w:color="auto"/>
              <w:bottom w:val="single" w:sz="4" w:space="0" w:color="auto"/>
              <w:right w:val="single" w:sz="4" w:space="0" w:color="auto"/>
            </w:tcBorders>
            <w:vAlign w:val="center"/>
          </w:tcPr>
          <w:p w14:paraId="1024B57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年排放小时数</w:t>
            </w:r>
            <w:r w:rsidRPr="008A2411">
              <w:rPr>
                <w:rFonts w:ascii="Times New Roman"/>
                <w:bCs/>
                <w:color w:val="000000" w:themeColor="text1"/>
                <w:sz w:val="21"/>
                <w:szCs w:val="21"/>
              </w:rPr>
              <w:t>(h)</w:t>
            </w:r>
          </w:p>
        </w:tc>
        <w:tc>
          <w:tcPr>
            <w:tcW w:w="405" w:type="pct"/>
            <w:vMerge w:val="restart"/>
            <w:tcBorders>
              <w:top w:val="single" w:sz="4" w:space="0" w:color="auto"/>
              <w:left w:val="single" w:sz="4" w:space="0" w:color="auto"/>
              <w:bottom w:val="single" w:sz="4" w:space="0" w:color="auto"/>
              <w:right w:val="single" w:sz="4" w:space="0" w:color="auto"/>
            </w:tcBorders>
            <w:vAlign w:val="center"/>
          </w:tcPr>
          <w:p w14:paraId="6B53572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排放工况</w:t>
            </w:r>
          </w:p>
        </w:tc>
        <w:tc>
          <w:tcPr>
            <w:tcW w:w="699" w:type="pct"/>
            <w:tcBorders>
              <w:top w:val="single" w:sz="4" w:space="0" w:color="auto"/>
              <w:left w:val="single" w:sz="4" w:space="0" w:color="auto"/>
              <w:bottom w:val="single" w:sz="4" w:space="0" w:color="auto"/>
              <w:right w:val="single" w:sz="4" w:space="0" w:color="auto"/>
            </w:tcBorders>
            <w:vAlign w:val="center"/>
          </w:tcPr>
          <w:p w14:paraId="7743255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排放速率（</w:t>
            </w:r>
            <w:r w:rsidRPr="008A2411">
              <w:rPr>
                <w:rFonts w:ascii="Times New Roman"/>
                <w:bCs/>
                <w:color w:val="000000" w:themeColor="text1"/>
                <w:sz w:val="21"/>
                <w:szCs w:val="21"/>
              </w:rPr>
              <w:t>kg/h</w:t>
            </w:r>
            <w:r w:rsidRPr="008A2411">
              <w:rPr>
                <w:rFonts w:ascii="Times New Roman"/>
                <w:bCs/>
                <w:color w:val="000000" w:themeColor="text1"/>
                <w:sz w:val="21"/>
                <w:szCs w:val="21"/>
              </w:rPr>
              <w:t>）</w:t>
            </w:r>
          </w:p>
        </w:tc>
      </w:tr>
      <w:tr w:rsidR="008A2411" w:rsidRPr="008A2411" w14:paraId="6DF155AA" w14:textId="77777777">
        <w:trPr>
          <w:cantSplit/>
        </w:trPr>
        <w:tc>
          <w:tcPr>
            <w:tcW w:w="804" w:type="pct"/>
            <w:vMerge/>
            <w:tcBorders>
              <w:top w:val="single" w:sz="4" w:space="0" w:color="auto"/>
              <w:left w:val="single" w:sz="4" w:space="0" w:color="auto"/>
              <w:bottom w:val="single" w:sz="4" w:space="0" w:color="auto"/>
              <w:right w:val="single" w:sz="4" w:space="0" w:color="auto"/>
            </w:tcBorders>
            <w:vAlign w:val="center"/>
          </w:tcPr>
          <w:p w14:paraId="48896D19" w14:textId="77777777" w:rsidR="00B0005F" w:rsidRPr="008A2411" w:rsidRDefault="00B0005F">
            <w:pPr>
              <w:jc w:val="center"/>
              <w:rPr>
                <w:rFonts w:ascii="Times New Roman"/>
                <w:bCs/>
                <w:color w:val="000000" w:themeColor="text1"/>
                <w:sz w:val="21"/>
                <w:szCs w:val="21"/>
              </w:rPr>
            </w:pPr>
          </w:p>
        </w:tc>
        <w:tc>
          <w:tcPr>
            <w:tcW w:w="525" w:type="pct"/>
            <w:vMerge/>
            <w:tcBorders>
              <w:top w:val="single" w:sz="4" w:space="0" w:color="auto"/>
              <w:left w:val="single" w:sz="4" w:space="0" w:color="auto"/>
              <w:bottom w:val="single" w:sz="4" w:space="0" w:color="auto"/>
              <w:right w:val="single" w:sz="4" w:space="0" w:color="auto"/>
            </w:tcBorders>
            <w:vAlign w:val="center"/>
          </w:tcPr>
          <w:p w14:paraId="5B2B4507" w14:textId="77777777" w:rsidR="00B0005F" w:rsidRPr="008A2411" w:rsidRDefault="00B0005F">
            <w:pPr>
              <w:jc w:val="center"/>
              <w:rPr>
                <w:rFonts w:ascii="Times New Roman"/>
                <w:bCs/>
                <w:color w:val="000000" w:themeColor="text1"/>
                <w:sz w:val="21"/>
                <w:szCs w:val="21"/>
              </w:rPr>
            </w:pPr>
          </w:p>
        </w:tc>
        <w:tc>
          <w:tcPr>
            <w:tcW w:w="525" w:type="pct"/>
            <w:vMerge/>
            <w:tcBorders>
              <w:top w:val="single" w:sz="4" w:space="0" w:color="auto"/>
              <w:left w:val="single" w:sz="4" w:space="0" w:color="auto"/>
              <w:bottom w:val="single" w:sz="4" w:space="0" w:color="auto"/>
              <w:right w:val="single" w:sz="4" w:space="0" w:color="auto"/>
            </w:tcBorders>
            <w:vAlign w:val="center"/>
          </w:tcPr>
          <w:p w14:paraId="2603FB6E" w14:textId="77777777" w:rsidR="00B0005F" w:rsidRPr="008A2411" w:rsidRDefault="00B0005F">
            <w:pPr>
              <w:jc w:val="center"/>
              <w:rPr>
                <w:rFonts w:ascii="Times New Roman"/>
                <w:bCs/>
                <w:color w:val="000000" w:themeColor="text1"/>
                <w:sz w:val="21"/>
                <w:szCs w:val="21"/>
              </w:rPr>
            </w:pPr>
          </w:p>
        </w:tc>
        <w:tc>
          <w:tcPr>
            <w:tcW w:w="525" w:type="pct"/>
            <w:vMerge/>
            <w:tcBorders>
              <w:top w:val="single" w:sz="4" w:space="0" w:color="auto"/>
              <w:left w:val="single" w:sz="4" w:space="0" w:color="auto"/>
              <w:bottom w:val="single" w:sz="4" w:space="0" w:color="auto"/>
              <w:right w:val="single" w:sz="4" w:space="0" w:color="auto"/>
            </w:tcBorders>
            <w:vAlign w:val="center"/>
          </w:tcPr>
          <w:p w14:paraId="01D1754B" w14:textId="77777777" w:rsidR="00B0005F" w:rsidRPr="008A2411" w:rsidRDefault="00B0005F">
            <w:pPr>
              <w:jc w:val="center"/>
              <w:rPr>
                <w:rFonts w:ascii="Times New Roman"/>
                <w:bCs/>
                <w:color w:val="000000" w:themeColor="text1"/>
                <w:sz w:val="21"/>
                <w:szCs w:val="21"/>
              </w:rPr>
            </w:pPr>
          </w:p>
        </w:tc>
        <w:tc>
          <w:tcPr>
            <w:tcW w:w="850" w:type="pct"/>
            <w:vMerge/>
            <w:tcBorders>
              <w:top w:val="single" w:sz="4" w:space="0" w:color="auto"/>
              <w:left w:val="single" w:sz="4" w:space="0" w:color="auto"/>
              <w:bottom w:val="single" w:sz="4" w:space="0" w:color="auto"/>
              <w:right w:val="single" w:sz="4" w:space="0" w:color="auto"/>
            </w:tcBorders>
            <w:vAlign w:val="center"/>
          </w:tcPr>
          <w:p w14:paraId="5B8D78EA" w14:textId="77777777" w:rsidR="00B0005F" w:rsidRPr="008A2411" w:rsidRDefault="00B0005F">
            <w:pPr>
              <w:jc w:val="center"/>
              <w:rPr>
                <w:rFonts w:ascii="Times New Roman"/>
                <w:bCs/>
                <w:color w:val="000000" w:themeColor="text1"/>
                <w:sz w:val="21"/>
                <w:szCs w:val="21"/>
              </w:rPr>
            </w:pPr>
          </w:p>
        </w:tc>
        <w:tc>
          <w:tcPr>
            <w:tcW w:w="664" w:type="pct"/>
            <w:vMerge/>
            <w:tcBorders>
              <w:top w:val="single" w:sz="4" w:space="0" w:color="auto"/>
              <w:left w:val="single" w:sz="4" w:space="0" w:color="auto"/>
              <w:bottom w:val="single" w:sz="4" w:space="0" w:color="auto"/>
              <w:right w:val="single" w:sz="4" w:space="0" w:color="auto"/>
            </w:tcBorders>
            <w:vAlign w:val="center"/>
          </w:tcPr>
          <w:p w14:paraId="5D648B77" w14:textId="77777777" w:rsidR="00B0005F" w:rsidRPr="008A2411" w:rsidRDefault="00B0005F">
            <w:pPr>
              <w:jc w:val="center"/>
              <w:rPr>
                <w:rFonts w:ascii="Times New Roman"/>
                <w:bCs/>
                <w:color w:val="000000" w:themeColor="text1"/>
                <w:sz w:val="21"/>
                <w:szCs w:val="21"/>
              </w:rPr>
            </w:pPr>
          </w:p>
        </w:tc>
        <w:tc>
          <w:tcPr>
            <w:tcW w:w="405" w:type="pct"/>
            <w:vMerge/>
            <w:tcBorders>
              <w:top w:val="single" w:sz="4" w:space="0" w:color="auto"/>
              <w:left w:val="single" w:sz="4" w:space="0" w:color="auto"/>
              <w:bottom w:val="single" w:sz="4" w:space="0" w:color="auto"/>
              <w:right w:val="single" w:sz="4" w:space="0" w:color="auto"/>
            </w:tcBorders>
            <w:vAlign w:val="center"/>
          </w:tcPr>
          <w:p w14:paraId="754738A2" w14:textId="77777777" w:rsidR="00B0005F" w:rsidRPr="008A2411" w:rsidRDefault="00B0005F">
            <w:pPr>
              <w:jc w:val="center"/>
              <w:rPr>
                <w:rFonts w:ascii="Times New Roman"/>
                <w:bCs/>
                <w:color w:val="000000" w:themeColor="text1"/>
                <w:sz w:val="21"/>
                <w:szCs w:val="21"/>
              </w:rPr>
            </w:pPr>
          </w:p>
        </w:tc>
        <w:tc>
          <w:tcPr>
            <w:tcW w:w="699" w:type="pct"/>
            <w:tcBorders>
              <w:top w:val="single" w:sz="4" w:space="0" w:color="auto"/>
              <w:left w:val="single" w:sz="4" w:space="0" w:color="auto"/>
              <w:bottom w:val="single" w:sz="4" w:space="0" w:color="auto"/>
              <w:right w:val="single" w:sz="4" w:space="0" w:color="auto"/>
            </w:tcBorders>
            <w:vAlign w:val="center"/>
          </w:tcPr>
          <w:p w14:paraId="485487FA" w14:textId="0EEE24C4" w:rsidR="00B0005F" w:rsidRPr="008A2411" w:rsidRDefault="00F243D6">
            <w:pPr>
              <w:jc w:val="center"/>
              <w:rPr>
                <w:rFonts w:ascii="Times New Roman"/>
                <w:bCs/>
                <w:color w:val="000000" w:themeColor="text1"/>
                <w:sz w:val="21"/>
                <w:szCs w:val="21"/>
              </w:rPr>
            </w:pPr>
            <w:r w:rsidRPr="008A2411">
              <w:rPr>
                <w:rFonts w:ascii="Times New Roman"/>
                <w:bCs/>
                <w:color w:val="000000" w:themeColor="text1"/>
                <w:sz w:val="21"/>
                <w:szCs w:val="21"/>
              </w:rPr>
              <w:t>NMHC</w:t>
            </w:r>
          </w:p>
        </w:tc>
      </w:tr>
      <w:tr w:rsidR="00B0005F" w:rsidRPr="008A2411" w14:paraId="652F8597" w14:textId="77777777">
        <w:trPr>
          <w:cantSplit/>
          <w:trHeight w:val="334"/>
        </w:trPr>
        <w:tc>
          <w:tcPr>
            <w:tcW w:w="804" w:type="pct"/>
            <w:tcBorders>
              <w:top w:val="single" w:sz="4" w:space="0" w:color="auto"/>
              <w:left w:val="single" w:sz="4" w:space="0" w:color="auto"/>
              <w:bottom w:val="single" w:sz="4" w:space="0" w:color="auto"/>
              <w:right w:val="single" w:sz="4" w:space="0" w:color="auto"/>
            </w:tcBorders>
            <w:vAlign w:val="center"/>
          </w:tcPr>
          <w:p w14:paraId="5E703E69"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工艺装置区</w:t>
            </w:r>
          </w:p>
        </w:tc>
        <w:tc>
          <w:tcPr>
            <w:tcW w:w="525" w:type="pct"/>
            <w:tcBorders>
              <w:top w:val="single" w:sz="4" w:space="0" w:color="auto"/>
              <w:left w:val="single" w:sz="4" w:space="0" w:color="auto"/>
              <w:bottom w:val="single" w:sz="4" w:space="0" w:color="auto"/>
              <w:right w:val="single" w:sz="4" w:space="0" w:color="auto"/>
            </w:tcBorders>
            <w:vAlign w:val="center"/>
          </w:tcPr>
          <w:p w14:paraId="13173277"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415</w:t>
            </w:r>
          </w:p>
        </w:tc>
        <w:tc>
          <w:tcPr>
            <w:tcW w:w="525" w:type="pct"/>
            <w:tcBorders>
              <w:top w:val="single" w:sz="4" w:space="0" w:color="auto"/>
              <w:left w:val="single" w:sz="4" w:space="0" w:color="auto"/>
              <w:bottom w:val="single" w:sz="4" w:space="0" w:color="auto"/>
              <w:right w:val="single" w:sz="4" w:space="0" w:color="auto"/>
            </w:tcBorders>
            <w:vAlign w:val="center"/>
          </w:tcPr>
          <w:p w14:paraId="7BF7BD6B"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96</w:t>
            </w:r>
          </w:p>
        </w:tc>
        <w:tc>
          <w:tcPr>
            <w:tcW w:w="525" w:type="pct"/>
            <w:tcBorders>
              <w:top w:val="single" w:sz="4" w:space="0" w:color="auto"/>
              <w:left w:val="single" w:sz="4" w:space="0" w:color="auto"/>
              <w:bottom w:val="single" w:sz="4" w:space="0" w:color="auto"/>
              <w:right w:val="single" w:sz="4" w:space="0" w:color="auto"/>
            </w:tcBorders>
            <w:vAlign w:val="center"/>
          </w:tcPr>
          <w:p w14:paraId="6A2AA8E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52</w:t>
            </w:r>
          </w:p>
        </w:tc>
        <w:tc>
          <w:tcPr>
            <w:tcW w:w="850" w:type="pct"/>
            <w:tcBorders>
              <w:top w:val="single" w:sz="4" w:space="0" w:color="auto"/>
              <w:left w:val="single" w:sz="4" w:space="0" w:color="auto"/>
              <w:bottom w:val="single" w:sz="4" w:space="0" w:color="auto"/>
              <w:right w:val="single" w:sz="4" w:space="0" w:color="auto"/>
            </w:tcBorders>
            <w:vAlign w:val="center"/>
          </w:tcPr>
          <w:p w14:paraId="019FA46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5</w:t>
            </w:r>
          </w:p>
        </w:tc>
        <w:tc>
          <w:tcPr>
            <w:tcW w:w="664" w:type="pct"/>
            <w:tcBorders>
              <w:top w:val="single" w:sz="4" w:space="0" w:color="auto"/>
              <w:left w:val="single" w:sz="4" w:space="0" w:color="auto"/>
              <w:bottom w:val="single" w:sz="4" w:space="0" w:color="auto"/>
              <w:right w:val="single" w:sz="4" w:space="0" w:color="auto"/>
            </w:tcBorders>
            <w:vAlign w:val="center"/>
          </w:tcPr>
          <w:p w14:paraId="6473CE0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8000</w:t>
            </w:r>
          </w:p>
        </w:tc>
        <w:tc>
          <w:tcPr>
            <w:tcW w:w="405" w:type="pct"/>
            <w:tcBorders>
              <w:top w:val="single" w:sz="4" w:space="0" w:color="auto"/>
              <w:left w:val="single" w:sz="4" w:space="0" w:color="auto"/>
              <w:bottom w:val="single" w:sz="4" w:space="0" w:color="auto"/>
              <w:right w:val="single" w:sz="4" w:space="0" w:color="auto"/>
            </w:tcBorders>
            <w:vAlign w:val="center"/>
          </w:tcPr>
          <w:p w14:paraId="49B2BF2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正常</w:t>
            </w:r>
          </w:p>
        </w:tc>
        <w:tc>
          <w:tcPr>
            <w:tcW w:w="699" w:type="pct"/>
            <w:tcBorders>
              <w:top w:val="single" w:sz="4" w:space="0" w:color="auto"/>
              <w:left w:val="single" w:sz="4" w:space="0" w:color="auto"/>
              <w:bottom w:val="single" w:sz="4" w:space="0" w:color="auto"/>
              <w:right w:val="single" w:sz="4" w:space="0" w:color="auto"/>
            </w:tcBorders>
            <w:vAlign w:val="center"/>
          </w:tcPr>
          <w:p w14:paraId="695B0DDB"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0.09786</w:t>
            </w:r>
          </w:p>
        </w:tc>
      </w:tr>
    </w:tbl>
    <w:p w14:paraId="6B24D56F" w14:textId="77777777" w:rsidR="00B0005F" w:rsidRPr="008A2411" w:rsidRDefault="00B0005F">
      <w:pPr>
        <w:spacing w:line="360" w:lineRule="auto"/>
        <w:ind w:firstLine="480"/>
        <w:rPr>
          <w:rFonts w:ascii="Times New Roman"/>
          <w:color w:val="000000" w:themeColor="text1"/>
        </w:rPr>
      </w:pPr>
    </w:p>
    <w:p w14:paraId="7F1CEC85" w14:textId="77777777" w:rsidR="00B0005F" w:rsidRPr="008A2411" w:rsidRDefault="00B0005F">
      <w:pPr>
        <w:pStyle w:val="TOC2"/>
        <w:rPr>
          <w:rFonts w:ascii="Times New Roman" w:hAnsi="Times New Roman" w:cs="Times New Roman"/>
          <w:color w:val="000000" w:themeColor="text1"/>
        </w:rPr>
      </w:pPr>
    </w:p>
    <w:p w14:paraId="13AAAB6C" w14:textId="77777777" w:rsidR="00B0005F" w:rsidRPr="008A2411" w:rsidRDefault="00B0005F">
      <w:pPr>
        <w:rPr>
          <w:rFonts w:ascii="Times New Roman"/>
          <w:color w:val="000000" w:themeColor="text1"/>
        </w:rPr>
      </w:pPr>
    </w:p>
    <w:p w14:paraId="157F0084" w14:textId="77777777" w:rsidR="00B0005F" w:rsidRPr="008A2411" w:rsidRDefault="00B0005F">
      <w:pPr>
        <w:pStyle w:val="TOC2"/>
        <w:rPr>
          <w:rFonts w:ascii="Times New Roman" w:hAnsi="Times New Roman" w:cs="Times New Roman"/>
          <w:color w:val="000000" w:themeColor="text1"/>
        </w:rPr>
        <w:sectPr w:rsidR="00B0005F" w:rsidRPr="008A2411">
          <w:pgSz w:w="16838" w:h="11906" w:orient="landscape"/>
          <w:pgMar w:top="1803" w:right="1440" w:bottom="1803" w:left="1440" w:header="851" w:footer="850" w:gutter="0"/>
          <w:pgNumType w:chapStyle="1"/>
          <w:cols w:space="0"/>
          <w:docGrid w:linePitch="312"/>
        </w:sectPr>
      </w:pPr>
    </w:p>
    <w:p w14:paraId="444376DC" w14:textId="77777777" w:rsidR="00B0005F" w:rsidRPr="008A2411" w:rsidRDefault="00000000">
      <w:pPr>
        <w:spacing w:line="360" w:lineRule="auto"/>
        <w:ind w:firstLineChars="200" w:firstLine="480"/>
        <w:rPr>
          <w:rFonts w:ascii="Times New Roman"/>
          <w:color w:val="000000" w:themeColor="text1"/>
        </w:rPr>
      </w:pPr>
      <w:r w:rsidRPr="008A2411">
        <w:rPr>
          <w:rFonts w:ascii="Times New Roman"/>
          <w:color w:val="000000" w:themeColor="text1"/>
        </w:rPr>
        <w:lastRenderedPageBreak/>
        <w:t>（</w:t>
      </w:r>
      <w:r w:rsidRPr="008A2411">
        <w:rPr>
          <w:rFonts w:ascii="Times New Roman"/>
          <w:color w:val="000000" w:themeColor="text1"/>
        </w:rPr>
        <w:t>2</w:t>
      </w:r>
      <w:r w:rsidRPr="008A2411">
        <w:rPr>
          <w:rFonts w:ascii="Times New Roman"/>
          <w:color w:val="000000" w:themeColor="text1"/>
        </w:rPr>
        <w:t>）预测估算模式参数</w:t>
      </w:r>
    </w:p>
    <w:p w14:paraId="6B33A485" w14:textId="77777777" w:rsidR="00B0005F" w:rsidRPr="008A2411" w:rsidRDefault="00000000">
      <w:pPr>
        <w:spacing w:line="360" w:lineRule="auto"/>
        <w:ind w:firstLineChars="200" w:firstLine="480"/>
        <w:rPr>
          <w:rFonts w:ascii="Times New Roman"/>
          <w:color w:val="000000" w:themeColor="text1"/>
        </w:rPr>
      </w:pPr>
      <w:r w:rsidRPr="008A2411">
        <w:rPr>
          <w:rFonts w:ascii="Times New Roman"/>
          <w:color w:val="000000" w:themeColor="text1"/>
        </w:rPr>
        <w:t>本次评价估算模式所用参数见下表：</w:t>
      </w:r>
    </w:p>
    <w:p w14:paraId="373B70E9" w14:textId="77777777" w:rsidR="00B0005F" w:rsidRPr="008A2411" w:rsidRDefault="00000000">
      <w:pPr>
        <w:spacing w:line="360" w:lineRule="auto"/>
        <w:jc w:val="center"/>
        <w:rPr>
          <w:rFonts w:ascii="Times New Roman" w:eastAsia="黑体"/>
          <w:color w:val="000000" w:themeColor="text1"/>
        </w:rPr>
      </w:pPr>
      <w:r w:rsidRPr="008A2411">
        <w:rPr>
          <w:rFonts w:ascii="Times New Roman" w:eastAsia="黑体"/>
          <w:color w:val="000000" w:themeColor="text1"/>
        </w:rPr>
        <w:t>表</w:t>
      </w:r>
      <w:r w:rsidRPr="008A2411">
        <w:rPr>
          <w:rFonts w:ascii="Times New Roman" w:eastAsia="黑体"/>
          <w:color w:val="000000" w:themeColor="text1"/>
        </w:rPr>
        <w:t xml:space="preserve">5.2-4  </w:t>
      </w:r>
      <w:r w:rsidRPr="008A2411">
        <w:rPr>
          <w:rFonts w:ascii="Times New Roman" w:eastAsia="黑体"/>
          <w:color w:val="000000" w:themeColor="text1"/>
        </w:rPr>
        <w:t>项目大气影响预测参数情况表</w:t>
      </w:r>
    </w:p>
    <w:tbl>
      <w:tblPr>
        <w:tblW w:w="499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88"/>
        <w:gridCol w:w="3537"/>
        <w:gridCol w:w="2794"/>
      </w:tblGrid>
      <w:tr w:rsidR="008A2411" w:rsidRPr="008A2411" w14:paraId="36B087E7" w14:textId="77777777" w:rsidTr="00DD53AE">
        <w:trPr>
          <w:trHeight w:val="260"/>
        </w:trPr>
        <w:tc>
          <w:tcPr>
            <w:tcW w:w="3360" w:type="pct"/>
            <w:gridSpan w:val="2"/>
            <w:vAlign w:val="center"/>
          </w:tcPr>
          <w:p w14:paraId="4C44C2B1" w14:textId="77777777" w:rsidR="004605C9" w:rsidRPr="008A2411" w:rsidRDefault="004605C9" w:rsidP="00DD53AE">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参数</w:t>
            </w:r>
          </w:p>
        </w:tc>
        <w:tc>
          <w:tcPr>
            <w:tcW w:w="1640" w:type="pct"/>
            <w:vAlign w:val="center"/>
          </w:tcPr>
          <w:p w14:paraId="04EDED2D" w14:textId="77777777" w:rsidR="004605C9" w:rsidRPr="008A2411" w:rsidRDefault="004605C9" w:rsidP="00DD53AE">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取值</w:t>
            </w:r>
          </w:p>
        </w:tc>
      </w:tr>
      <w:tr w:rsidR="008A2411" w:rsidRPr="008A2411" w14:paraId="57AFBA92" w14:textId="77777777" w:rsidTr="00DD53AE">
        <w:trPr>
          <w:trHeight w:val="260"/>
        </w:trPr>
        <w:tc>
          <w:tcPr>
            <w:tcW w:w="1284" w:type="pct"/>
            <w:vMerge w:val="restart"/>
            <w:vAlign w:val="center"/>
          </w:tcPr>
          <w:p w14:paraId="2D5A775F" w14:textId="77777777" w:rsidR="004605C9" w:rsidRPr="008A2411" w:rsidRDefault="004605C9" w:rsidP="00DD53AE">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城市</w:t>
            </w:r>
            <w:r w:rsidRPr="008A2411">
              <w:rPr>
                <w:rFonts w:ascii="Times New Roman"/>
                <w:color w:val="000000" w:themeColor="text1"/>
                <w:sz w:val="21"/>
                <w:szCs w:val="21"/>
              </w:rPr>
              <w:t>/</w:t>
            </w:r>
            <w:r w:rsidRPr="008A2411">
              <w:rPr>
                <w:rFonts w:ascii="Times New Roman"/>
                <w:color w:val="000000" w:themeColor="text1"/>
                <w:sz w:val="21"/>
                <w:szCs w:val="21"/>
              </w:rPr>
              <w:t>农村选项</w:t>
            </w:r>
          </w:p>
        </w:tc>
        <w:tc>
          <w:tcPr>
            <w:tcW w:w="2076" w:type="pct"/>
            <w:vAlign w:val="center"/>
          </w:tcPr>
          <w:p w14:paraId="02A231CF" w14:textId="77777777" w:rsidR="004605C9" w:rsidRPr="008A2411" w:rsidRDefault="004605C9" w:rsidP="00DD53AE">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城市</w:t>
            </w:r>
            <w:r w:rsidRPr="008A2411">
              <w:rPr>
                <w:rFonts w:ascii="Times New Roman"/>
                <w:color w:val="000000" w:themeColor="text1"/>
                <w:sz w:val="21"/>
                <w:szCs w:val="21"/>
              </w:rPr>
              <w:t>/</w:t>
            </w:r>
            <w:r w:rsidRPr="008A2411">
              <w:rPr>
                <w:rFonts w:ascii="Times New Roman"/>
                <w:color w:val="000000" w:themeColor="text1"/>
                <w:sz w:val="21"/>
                <w:szCs w:val="21"/>
              </w:rPr>
              <w:t>农村</w:t>
            </w:r>
          </w:p>
        </w:tc>
        <w:tc>
          <w:tcPr>
            <w:tcW w:w="1640" w:type="pct"/>
            <w:vAlign w:val="center"/>
          </w:tcPr>
          <w:p w14:paraId="235D91D1" w14:textId="77777777" w:rsidR="004605C9" w:rsidRPr="008A2411" w:rsidRDefault="004605C9" w:rsidP="00DD53AE">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农村</w:t>
            </w:r>
          </w:p>
        </w:tc>
      </w:tr>
      <w:tr w:rsidR="008A2411" w:rsidRPr="008A2411" w14:paraId="56EC4742" w14:textId="77777777" w:rsidTr="00DD53AE">
        <w:trPr>
          <w:trHeight w:val="260"/>
        </w:trPr>
        <w:tc>
          <w:tcPr>
            <w:tcW w:w="1284" w:type="pct"/>
            <w:vMerge/>
            <w:vAlign w:val="center"/>
          </w:tcPr>
          <w:p w14:paraId="0B955400" w14:textId="77777777" w:rsidR="004605C9" w:rsidRPr="008A2411" w:rsidRDefault="004605C9" w:rsidP="00DD53AE">
            <w:pPr>
              <w:adjustRightInd w:val="0"/>
              <w:snapToGrid w:val="0"/>
              <w:jc w:val="center"/>
              <w:rPr>
                <w:rFonts w:ascii="Times New Roman"/>
                <w:color w:val="000000" w:themeColor="text1"/>
                <w:sz w:val="21"/>
                <w:szCs w:val="21"/>
              </w:rPr>
            </w:pPr>
          </w:p>
        </w:tc>
        <w:tc>
          <w:tcPr>
            <w:tcW w:w="2076" w:type="pct"/>
            <w:vAlign w:val="center"/>
          </w:tcPr>
          <w:p w14:paraId="7AC4391F" w14:textId="77777777" w:rsidR="004605C9" w:rsidRPr="008A2411" w:rsidRDefault="004605C9" w:rsidP="00DD53AE">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人口数（城市选项时）</w:t>
            </w:r>
          </w:p>
        </w:tc>
        <w:tc>
          <w:tcPr>
            <w:tcW w:w="1640" w:type="pct"/>
            <w:vAlign w:val="center"/>
          </w:tcPr>
          <w:p w14:paraId="54D05225" w14:textId="77777777" w:rsidR="004605C9" w:rsidRPr="008A2411" w:rsidRDefault="004605C9" w:rsidP="00DD53AE">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w:t>
            </w:r>
          </w:p>
        </w:tc>
      </w:tr>
      <w:tr w:rsidR="008A2411" w:rsidRPr="008A2411" w14:paraId="0576A8E5" w14:textId="77777777" w:rsidTr="00DD53AE">
        <w:trPr>
          <w:trHeight w:val="260"/>
        </w:trPr>
        <w:tc>
          <w:tcPr>
            <w:tcW w:w="3360" w:type="pct"/>
            <w:gridSpan w:val="2"/>
            <w:vAlign w:val="center"/>
          </w:tcPr>
          <w:p w14:paraId="41768572" w14:textId="77777777" w:rsidR="004605C9" w:rsidRPr="008A2411" w:rsidRDefault="004605C9" w:rsidP="00DD53AE">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最高环境温度</w:t>
            </w:r>
            <w:r w:rsidRPr="008A2411">
              <w:rPr>
                <w:rFonts w:ascii="Times New Roman"/>
                <w:color w:val="000000" w:themeColor="text1"/>
                <w:sz w:val="21"/>
                <w:szCs w:val="21"/>
              </w:rPr>
              <w:t>/℃</w:t>
            </w:r>
          </w:p>
        </w:tc>
        <w:tc>
          <w:tcPr>
            <w:tcW w:w="1640" w:type="pct"/>
            <w:vAlign w:val="center"/>
          </w:tcPr>
          <w:p w14:paraId="7AEA316A" w14:textId="77777777" w:rsidR="004605C9" w:rsidRPr="008A2411" w:rsidRDefault="004605C9" w:rsidP="00DD53AE">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41.3</w:t>
            </w:r>
          </w:p>
        </w:tc>
      </w:tr>
      <w:tr w:rsidR="008A2411" w:rsidRPr="008A2411" w14:paraId="59A657B4" w14:textId="77777777" w:rsidTr="00DD53AE">
        <w:trPr>
          <w:trHeight w:val="260"/>
        </w:trPr>
        <w:tc>
          <w:tcPr>
            <w:tcW w:w="3360" w:type="pct"/>
            <w:gridSpan w:val="2"/>
            <w:vAlign w:val="center"/>
          </w:tcPr>
          <w:p w14:paraId="343A168F" w14:textId="77777777" w:rsidR="004605C9" w:rsidRPr="008A2411" w:rsidRDefault="004605C9" w:rsidP="00DD53AE">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最低环境温度</w:t>
            </w:r>
            <w:r w:rsidRPr="008A2411">
              <w:rPr>
                <w:rFonts w:ascii="Times New Roman"/>
                <w:color w:val="000000" w:themeColor="text1"/>
                <w:sz w:val="21"/>
                <w:szCs w:val="21"/>
              </w:rPr>
              <w:t>/℃</w:t>
            </w:r>
          </w:p>
        </w:tc>
        <w:tc>
          <w:tcPr>
            <w:tcW w:w="1640" w:type="pct"/>
            <w:vAlign w:val="center"/>
          </w:tcPr>
          <w:p w14:paraId="33803CB9" w14:textId="77777777" w:rsidR="004605C9" w:rsidRPr="008A2411" w:rsidRDefault="004605C9" w:rsidP="00DD53AE">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-4.3</w:t>
            </w:r>
          </w:p>
        </w:tc>
      </w:tr>
      <w:tr w:rsidR="008A2411" w:rsidRPr="008A2411" w14:paraId="345BC2F7" w14:textId="77777777" w:rsidTr="00DD53AE">
        <w:trPr>
          <w:trHeight w:val="260"/>
        </w:trPr>
        <w:tc>
          <w:tcPr>
            <w:tcW w:w="3360" w:type="pct"/>
            <w:gridSpan w:val="2"/>
            <w:vAlign w:val="center"/>
          </w:tcPr>
          <w:p w14:paraId="5D7F6DB4" w14:textId="77777777" w:rsidR="004605C9" w:rsidRPr="008A2411" w:rsidRDefault="004605C9" w:rsidP="00DD53AE">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土地利用类型</w:t>
            </w:r>
          </w:p>
        </w:tc>
        <w:tc>
          <w:tcPr>
            <w:tcW w:w="1640" w:type="pct"/>
            <w:vAlign w:val="center"/>
          </w:tcPr>
          <w:p w14:paraId="7CA08002" w14:textId="77777777" w:rsidR="004605C9" w:rsidRPr="008A2411" w:rsidRDefault="004605C9" w:rsidP="00DD53AE">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落叶林</w:t>
            </w:r>
          </w:p>
        </w:tc>
      </w:tr>
      <w:tr w:rsidR="008A2411" w:rsidRPr="008A2411" w14:paraId="4A235510" w14:textId="77777777" w:rsidTr="00DD53AE">
        <w:trPr>
          <w:trHeight w:val="260"/>
        </w:trPr>
        <w:tc>
          <w:tcPr>
            <w:tcW w:w="3360" w:type="pct"/>
            <w:gridSpan w:val="2"/>
            <w:vAlign w:val="center"/>
          </w:tcPr>
          <w:p w14:paraId="3F53497C" w14:textId="77777777" w:rsidR="004605C9" w:rsidRPr="008A2411" w:rsidRDefault="004605C9" w:rsidP="00DD53AE">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区域湿度条件</w:t>
            </w:r>
          </w:p>
        </w:tc>
        <w:tc>
          <w:tcPr>
            <w:tcW w:w="1640" w:type="pct"/>
            <w:vAlign w:val="center"/>
          </w:tcPr>
          <w:p w14:paraId="7936E605" w14:textId="77777777" w:rsidR="004605C9" w:rsidRPr="008A2411" w:rsidRDefault="004605C9" w:rsidP="00DD53AE">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潮湿气候</w:t>
            </w:r>
          </w:p>
        </w:tc>
      </w:tr>
      <w:tr w:rsidR="008A2411" w:rsidRPr="008A2411" w14:paraId="090668AC" w14:textId="77777777" w:rsidTr="00DD53AE">
        <w:trPr>
          <w:trHeight w:val="260"/>
        </w:trPr>
        <w:tc>
          <w:tcPr>
            <w:tcW w:w="1284" w:type="pct"/>
            <w:vMerge w:val="restart"/>
            <w:vAlign w:val="center"/>
          </w:tcPr>
          <w:p w14:paraId="48831B68" w14:textId="77777777" w:rsidR="004605C9" w:rsidRPr="008A2411" w:rsidRDefault="004605C9" w:rsidP="00DD53AE">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是否考虑地形</w:t>
            </w:r>
          </w:p>
        </w:tc>
        <w:tc>
          <w:tcPr>
            <w:tcW w:w="2076" w:type="pct"/>
            <w:vAlign w:val="center"/>
          </w:tcPr>
          <w:p w14:paraId="68BF4164" w14:textId="77777777" w:rsidR="004605C9" w:rsidRPr="008A2411" w:rsidRDefault="004605C9" w:rsidP="00DD53AE">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考虑地形</w:t>
            </w:r>
          </w:p>
        </w:tc>
        <w:tc>
          <w:tcPr>
            <w:tcW w:w="1640" w:type="pct"/>
            <w:vAlign w:val="center"/>
          </w:tcPr>
          <w:p w14:paraId="0C3C86A7" w14:textId="77777777" w:rsidR="004605C9" w:rsidRPr="008A2411" w:rsidRDefault="004605C9" w:rsidP="00DD53AE">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是</w:t>
            </w:r>
          </w:p>
        </w:tc>
      </w:tr>
      <w:tr w:rsidR="008A2411" w:rsidRPr="008A2411" w14:paraId="4FFC1B7D" w14:textId="77777777" w:rsidTr="00DD53AE">
        <w:trPr>
          <w:trHeight w:val="260"/>
        </w:trPr>
        <w:tc>
          <w:tcPr>
            <w:tcW w:w="1284" w:type="pct"/>
            <w:vMerge/>
            <w:vAlign w:val="center"/>
          </w:tcPr>
          <w:p w14:paraId="55EA4435" w14:textId="77777777" w:rsidR="004605C9" w:rsidRPr="008A2411" w:rsidRDefault="004605C9" w:rsidP="00DD53AE">
            <w:pPr>
              <w:adjustRightInd w:val="0"/>
              <w:snapToGrid w:val="0"/>
              <w:jc w:val="center"/>
              <w:rPr>
                <w:rFonts w:ascii="Times New Roman"/>
                <w:color w:val="000000" w:themeColor="text1"/>
                <w:sz w:val="21"/>
                <w:szCs w:val="21"/>
              </w:rPr>
            </w:pPr>
          </w:p>
        </w:tc>
        <w:tc>
          <w:tcPr>
            <w:tcW w:w="2076" w:type="pct"/>
            <w:vAlign w:val="center"/>
          </w:tcPr>
          <w:p w14:paraId="17478829" w14:textId="77777777" w:rsidR="004605C9" w:rsidRPr="008A2411" w:rsidRDefault="004605C9" w:rsidP="00DD53AE">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地形数据分辨率</w:t>
            </w:r>
            <w:r w:rsidRPr="008A2411">
              <w:rPr>
                <w:rFonts w:ascii="Times New Roman"/>
                <w:color w:val="000000" w:themeColor="text1"/>
                <w:sz w:val="21"/>
                <w:szCs w:val="21"/>
              </w:rPr>
              <w:t>/m</w:t>
            </w:r>
          </w:p>
        </w:tc>
        <w:tc>
          <w:tcPr>
            <w:tcW w:w="1640" w:type="pct"/>
            <w:vAlign w:val="center"/>
          </w:tcPr>
          <w:p w14:paraId="2E3F5DBE" w14:textId="77777777" w:rsidR="004605C9" w:rsidRPr="008A2411" w:rsidRDefault="004605C9" w:rsidP="00DD53AE">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90</w:t>
            </w:r>
          </w:p>
        </w:tc>
      </w:tr>
      <w:tr w:rsidR="008A2411" w:rsidRPr="008A2411" w14:paraId="5D58C447" w14:textId="77777777" w:rsidTr="00DD53AE">
        <w:trPr>
          <w:trHeight w:val="260"/>
        </w:trPr>
        <w:tc>
          <w:tcPr>
            <w:tcW w:w="1284" w:type="pct"/>
            <w:vMerge w:val="restart"/>
            <w:vAlign w:val="center"/>
          </w:tcPr>
          <w:p w14:paraId="15B75F9B" w14:textId="77777777" w:rsidR="004605C9" w:rsidRPr="008A2411" w:rsidRDefault="004605C9" w:rsidP="00DD53AE">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是否考虑岸线熏烟</w:t>
            </w:r>
          </w:p>
        </w:tc>
        <w:tc>
          <w:tcPr>
            <w:tcW w:w="2076" w:type="pct"/>
            <w:vAlign w:val="center"/>
          </w:tcPr>
          <w:p w14:paraId="36DB84F1" w14:textId="77777777" w:rsidR="004605C9" w:rsidRPr="008A2411" w:rsidRDefault="004605C9" w:rsidP="00DD53AE">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考虑岸线熏烟</w:t>
            </w:r>
          </w:p>
        </w:tc>
        <w:tc>
          <w:tcPr>
            <w:tcW w:w="1640" w:type="pct"/>
            <w:vAlign w:val="center"/>
          </w:tcPr>
          <w:p w14:paraId="1E87DDE8" w14:textId="77777777" w:rsidR="004605C9" w:rsidRPr="008A2411" w:rsidRDefault="004605C9" w:rsidP="00DD53AE">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否</w:t>
            </w:r>
          </w:p>
        </w:tc>
      </w:tr>
      <w:tr w:rsidR="008A2411" w:rsidRPr="008A2411" w14:paraId="6C1F456C" w14:textId="77777777" w:rsidTr="00DD53AE">
        <w:trPr>
          <w:trHeight w:val="260"/>
        </w:trPr>
        <w:tc>
          <w:tcPr>
            <w:tcW w:w="1284" w:type="pct"/>
            <w:vMerge/>
            <w:vAlign w:val="center"/>
          </w:tcPr>
          <w:p w14:paraId="316EBE12" w14:textId="77777777" w:rsidR="004605C9" w:rsidRPr="008A2411" w:rsidRDefault="004605C9" w:rsidP="00DD53AE">
            <w:pPr>
              <w:adjustRightInd w:val="0"/>
              <w:snapToGrid w:val="0"/>
              <w:jc w:val="center"/>
              <w:rPr>
                <w:rFonts w:ascii="Times New Roman"/>
                <w:color w:val="000000" w:themeColor="text1"/>
                <w:sz w:val="21"/>
                <w:szCs w:val="21"/>
              </w:rPr>
            </w:pPr>
          </w:p>
        </w:tc>
        <w:tc>
          <w:tcPr>
            <w:tcW w:w="2076" w:type="pct"/>
            <w:vAlign w:val="center"/>
          </w:tcPr>
          <w:p w14:paraId="007E900F" w14:textId="77777777" w:rsidR="004605C9" w:rsidRPr="008A2411" w:rsidRDefault="004605C9" w:rsidP="00DD53AE">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岸线距离</w:t>
            </w:r>
            <w:r w:rsidRPr="008A2411">
              <w:rPr>
                <w:rFonts w:ascii="Times New Roman"/>
                <w:color w:val="000000" w:themeColor="text1"/>
                <w:sz w:val="21"/>
                <w:szCs w:val="21"/>
              </w:rPr>
              <w:t>/km</w:t>
            </w:r>
          </w:p>
        </w:tc>
        <w:tc>
          <w:tcPr>
            <w:tcW w:w="1640" w:type="pct"/>
            <w:vAlign w:val="center"/>
          </w:tcPr>
          <w:p w14:paraId="126948EC" w14:textId="77777777" w:rsidR="004605C9" w:rsidRPr="008A2411" w:rsidRDefault="004605C9" w:rsidP="00DD53AE">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w:t>
            </w:r>
          </w:p>
        </w:tc>
      </w:tr>
      <w:tr w:rsidR="008A2411" w:rsidRPr="008A2411" w14:paraId="5FAB94E4" w14:textId="77777777" w:rsidTr="00DD53AE">
        <w:trPr>
          <w:trHeight w:val="291"/>
        </w:trPr>
        <w:tc>
          <w:tcPr>
            <w:tcW w:w="1284" w:type="pct"/>
            <w:vMerge/>
            <w:vAlign w:val="center"/>
          </w:tcPr>
          <w:p w14:paraId="06B734B7" w14:textId="77777777" w:rsidR="004605C9" w:rsidRPr="008A2411" w:rsidRDefault="004605C9" w:rsidP="00DD53AE">
            <w:pPr>
              <w:adjustRightInd w:val="0"/>
              <w:snapToGrid w:val="0"/>
              <w:jc w:val="center"/>
              <w:rPr>
                <w:rFonts w:ascii="Times New Roman"/>
                <w:color w:val="000000" w:themeColor="text1"/>
                <w:sz w:val="21"/>
                <w:szCs w:val="21"/>
              </w:rPr>
            </w:pPr>
          </w:p>
        </w:tc>
        <w:tc>
          <w:tcPr>
            <w:tcW w:w="2076" w:type="pct"/>
            <w:vAlign w:val="center"/>
          </w:tcPr>
          <w:p w14:paraId="3D6DFEB6" w14:textId="77777777" w:rsidR="004605C9" w:rsidRPr="008A2411" w:rsidRDefault="004605C9" w:rsidP="00DD53AE">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岸线方向</w:t>
            </w:r>
            <w:r w:rsidRPr="008A2411">
              <w:rPr>
                <w:rFonts w:ascii="Times New Roman"/>
                <w:color w:val="000000" w:themeColor="text1"/>
                <w:sz w:val="21"/>
                <w:szCs w:val="21"/>
              </w:rPr>
              <w:t>/°</w:t>
            </w:r>
          </w:p>
        </w:tc>
        <w:tc>
          <w:tcPr>
            <w:tcW w:w="1640" w:type="pct"/>
            <w:vAlign w:val="center"/>
          </w:tcPr>
          <w:p w14:paraId="3FD168BB" w14:textId="77777777" w:rsidR="004605C9" w:rsidRPr="008A2411" w:rsidRDefault="004605C9" w:rsidP="00DD53AE">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w:t>
            </w:r>
          </w:p>
        </w:tc>
      </w:tr>
    </w:tbl>
    <w:p w14:paraId="009FC561" w14:textId="77777777" w:rsidR="00B0005F" w:rsidRPr="008A2411" w:rsidRDefault="00000000">
      <w:pPr>
        <w:pStyle w:val="WJ"/>
        <w:rPr>
          <w:rFonts w:ascii="Times New Roman" w:hAnsi="Times New Roman"/>
          <w:color w:val="000000" w:themeColor="text1"/>
          <w:lang w:val="zh-CN"/>
        </w:rPr>
      </w:pPr>
      <w:r w:rsidRPr="008A2411">
        <w:rPr>
          <w:rFonts w:ascii="Times New Roman" w:hAnsi="Times New Roman"/>
          <w:color w:val="000000" w:themeColor="text1"/>
          <w:lang w:val="zh-CN"/>
        </w:rPr>
        <w:t>（</w:t>
      </w:r>
      <w:r w:rsidRPr="008A2411">
        <w:rPr>
          <w:rFonts w:ascii="Times New Roman" w:hAnsi="Times New Roman"/>
          <w:color w:val="000000" w:themeColor="text1"/>
        </w:rPr>
        <w:t>3</w:t>
      </w:r>
      <w:r w:rsidRPr="008A2411">
        <w:rPr>
          <w:rFonts w:ascii="Times New Roman" w:hAnsi="Times New Roman"/>
          <w:color w:val="000000" w:themeColor="text1"/>
          <w:lang w:val="zh-CN"/>
        </w:rPr>
        <w:t>）预测结果</w:t>
      </w:r>
    </w:p>
    <w:p w14:paraId="0C63B896" w14:textId="77777777" w:rsidR="00B0005F" w:rsidRPr="008A2411" w:rsidRDefault="00000000">
      <w:pPr>
        <w:pStyle w:val="WJ"/>
        <w:rPr>
          <w:rFonts w:ascii="Times New Roman" w:hAnsi="Times New Roman"/>
          <w:color w:val="000000" w:themeColor="text1"/>
          <w:lang w:val="zh-CN"/>
        </w:rPr>
      </w:pPr>
      <w:r w:rsidRPr="008A2411">
        <w:rPr>
          <w:rFonts w:ascii="Times New Roman" w:hAnsi="Times New Roman"/>
          <w:color w:val="000000" w:themeColor="text1"/>
        </w:rPr>
        <w:t>结合项目工程分析结果，选择正常排放的主要污染物及排放参数，采用《环境影响评价技术导则</w:t>
      </w:r>
      <w:r w:rsidRPr="008A2411">
        <w:rPr>
          <w:rFonts w:ascii="Times New Roman" w:hAnsi="Times New Roman"/>
          <w:color w:val="000000" w:themeColor="text1"/>
        </w:rPr>
        <w:t xml:space="preserve"> </w:t>
      </w:r>
      <w:r w:rsidRPr="008A2411">
        <w:rPr>
          <w:rFonts w:ascii="Times New Roman" w:hAnsi="Times New Roman"/>
          <w:color w:val="000000" w:themeColor="text1"/>
        </w:rPr>
        <w:t>大气环境》（</w:t>
      </w:r>
      <w:r w:rsidRPr="008A2411">
        <w:rPr>
          <w:rFonts w:ascii="Times New Roman" w:hAnsi="Times New Roman"/>
          <w:color w:val="000000" w:themeColor="text1"/>
        </w:rPr>
        <w:t>HJ2.2-2018</w:t>
      </w:r>
      <w:r w:rsidRPr="008A2411">
        <w:rPr>
          <w:rFonts w:ascii="Times New Roman" w:hAnsi="Times New Roman"/>
          <w:color w:val="000000" w:themeColor="text1"/>
        </w:rPr>
        <w:t>）附录</w:t>
      </w:r>
      <w:r w:rsidRPr="008A2411">
        <w:rPr>
          <w:rFonts w:ascii="Times New Roman" w:hAnsi="Times New Roman"/>
          <w:color w:val="000000" w:themeColor="text1"/>
        </w:rPr>
        <w:t>A</w:t>
      </w:r>
      <w:r w:rsidRPr="008A2411">
        <w:rPr>
          <w:rFonts w:ascii="Times New Roman" w:hAnsi="Times New Roman"/>
          <w:color w:val="000000" w:themeColor="text1"/>
        </w:rPr>
        <w:t>推荐模型中的</w:t>
      </w:r>
      <w:r w:rsidRPr="008A2411">
        <w:rPr>
          <w:rFonts w:ascii="Times New Roman" w:hAnsi="Times New Roman"/>
          <w:color w:val="000000" w:themeColor="text1"/>
        </w:rPr>
        <w:t xml:space="preserve"> AERSCREEN</w:t>
      </w:r>
      <w:r w:rsidRPr="008A2411">
        <w:rPr>
          <w:rFonts w:ascii="Times New Roman" w:hAnsi="Times New Roman"/>
          <w:color w:val="000000" w:themeColor="text1"/>
        </w:rPr>
        <w:t>模式计算项目污染源的最大环境影响，</w:t>
      </w:r>
      <w:r w:rsidRPr="008A2411">
        <w:rPr>
          <w:rFonts w:ascii="Times New Roman" w:hAnsi="Times New Roman"/>
          <w:color w:val="000000" w:themeColor="text1"/>
          <w:lang w:val="zh-CN"/>
        </w:rPr>
        <w:t>预测结果见表</w:t>
      </w:r>
      <w:r w:rsidRPr="008A2411">
        <w:rPr>
          <w:rFonts w:ascii="Times New Roman" w:hAnsi="Times New Roman"/>
          <w:color w:val="000000" w:themeColor="text1"/>
        </w:rPr>
        <w:t>5</w:t>
      </w:r>
      <w:r w:rsidRPr="008A2411">
        <w:rPr>
          <w:rFonts w:ascii="Times New Roman" w:hAnsi="Times New Roman"/>
          <w:color w:val="000000" w:themeColor="text1"/>
          <w:lang w:val="zh-CN"/>
        </w:rPr>
        <w:t>.2-</w:t>
      </w:r>
      <w:r w:rsidRPr="008A2411">
        <w:rPr>
          <w:rFonts w:ascii="Times New Roman" w:hAnsi="Times New Roman"/>
          <w:color w:val="000000" w:themeColor="text1"/>
        </w:rPr>
        <w:t>3</w:t>
      </w:r>
      <w:r w:rsidRPr="008A2411">
        <w:rPr>
          <w:rFonts w:ascii="Times New Roman" w:hAnsi="Times New Roman"/>
          <w:color w:val="000000" w:themeColor="text1"/>
          <w:lang w:val="zh-CN"/>
        </w:rPr>
        <w:t>。</w:t>
      </w:r>
    </w:p>
    <w:p w14:paraId="540992E4" w14:textId="77777777" w:rsidR="00B0005F" w:rsidRPr="008A2411" w:rsidRDefault="00000000">
      <w:pPr>
        <w:pStyle w:val="WJ0"/>
        <w:rPr>
          <w:rFonts w:ascii="Times New Roman" w:hAnsi="Times New Roman"/>
          <w:color w:val="000000" w:themeColor="text1"/>
        </w:rPr>
      </w:pPr>
      <w:r w:rsidRPr="008A2411">
        <w:rPr>
          <w:rFonts w:ascii="Times New Roman" w:hAnsi="Times New Roman"/>
          <w:color w:val="000000" w:themeColor="text1"/>
        </w:rPr>
        <w:t>表</w:t>
      </w:r>
      <w:r w:rsidRPr="008A2411">
        <w:rPr>
          <w:rFonts w:ascii="Times New Roman" w:hAnsi="Times New Roman"/>
          <w:color w:val="000000" w:themeColor="text1"/>
        </w:rPr>
        <w:t xml:space="preserve">5.2-5  </w:t>
      </w:r>
      <w:r w:rsidRPr="008A2411">
        <w:rPr>
          <w:rFonts w:ascii="Times New Roman" w:hAnsi="Times New Roman"/>
          <w:color w:val="000000" w:themeColor="text1"/>
        </w:rPr>
        <w:t>有组织废气排放影响估算结果表</w:t>
      </w:r>
    </w:p>
    <w:tbl>
      <w:tblPr>
        <w:tblW w:w="500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76"/>
        <w:gridCol w:w="1352"/>
        <w:gridCol w:w="1398"/>
        <w:gridCol w:w="1507"/>
        <w:gridCol w:w="1101"/>
      </w:tblGrid>
      <w:tr w:rsidR="008A2411" w:rsidRPr="008A2411" w14:paraId="53056ECD" w14:textId="77777777">
        <w:trPr>
          <w:trHeight w:val="339"/>
          <w:tblHeader/>
          <w:jc w:val="center"/>
        </w:trPr>
        <w:tc>
          <w:tcPr>
            <w:tcW w:w="1860" w:type="pct"/>
            <w:vMerge w:val="restart"/>
            <w:vAlign w:val="center"/>
          </w:tcPr>
          <w:p w14:paraId="0E551B2F" w14:textId="77777777" w:rsidR="00B0005F" w:rsidRPr="008A2411" w:rsidRDefault="00000000">
            <w:pPr>
              <w:pStyle w:val="afffffffffffff1"/>
              <w:rPr>
                <w:rFonts w:ascii="Times New Roman" w:hAnsi="Times New Roman" w:cs="Times New Roman"/>
                <w:snapToGrid/>
                <w:color w:val="000000" w:themeColor="text1"/>
                <w:spacing w:val="0"/>
                <w:sz w:val="21"/>
              </w:rPr>
            </w:pPr>
            <w:proofErr w:type="gramStart"/>
            <w:r w:rsidRPr="008A2411">
              <w:rPr>
                <w:rFonts w:ascii="Times New Roman" w:hAnsi="Times New Roman" w:cs="Times New Roman"/>
                <w:snapToGrid/>
                <w:color w:val="000000" w:themeColor="text1"/>
                <w:spacing w:val="0"/>
                <w:sz w:val="21"/>
              </w:rPr>
              <w:t>距源中心</w:t>
            </w:r>
            <w:proofErr w:type="gramEnd"/>
            <w:r w:rsidRPr="008A2411">
              <w:rPr>
                <w:rFonts w:ascii="Times New Roman" w:hAnsi="Times New Roman" w:cs="Times New Roman"/>
                <w:snapToGrid/>
                <w:color w:val="000000" w:themeColor="text1"/>
                <w:spacing w:val="0"/>
                <w:sz w:val="21"/>
              </w:rPr>
              <w:t>下风向</w:t>
            </w:r>
          </w:p>
          <w:p w14:paraId="72009231"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距离</w:t>
            </w:r>
            <w:r w:rsidRPr="008A2411">
              <w:rPr>
                <w:rFonts w:ascii="Times New Roman" w:hAnsi="Times New Roman" w:cs="Times New Roman"/>
                <w:snapToGrid/>
                <w:color w:val="000000" w:themeColor="text1"/>
                <w:spacing w:val="0"/>
                <w:sz w:val="21"/>
              </w:rPr>
              <w:t>D/m</w:t>
            </w:r>
          </w:p>
        </w:tc>
        <w:tc>
          <w:tcPr>
            <w:tcW w:w="3139" w:type="pct"/>
            <w:gridSpan w:val="4"/>
            <w:vAlign w:val="center"/>
          </w:tcPr>
          <w:p w14:paraId="1AF563E1" w14:textId="77777777" w:rsidR="00B0005F" w:rsidRPr="008A2411" w:rsidRDefault="00000000">
            <w:pPr>
              <w:pStyle w:val="afffffffffffff1"/>
              <w:rPr>
                <w:rFonts w:ascii="Times New Roman" w:hAnsi="Times New Roman" w:cs="Times New Roman"/>
                <w:b/>
                <w:bCs/>
                <w:color w:val="000000" w:themeColor="text1"/>
                <w:sz w:val="21"/>
              </w:rPr>
            </w:pPr>
            <w:proofErr w:type="gramStart"/>
            <w:r w:rsidRPr="008A2411">
              <w:rPr>
                <w:rFonts w:ascii="Times New Roman" w:hAnsi="Times New Roman" w:cs="Times New Roman"/>
                <w:snapToGrid/>
                <w:color w:val="000000" w:themeColor="text1"/>
                <w:spacing w:val="0"/>
                <w:sz w:val="21"/>
              </w:rPr>
              <w:t>脱硫塔排气筒</w:t>
            </w:r>
            <w:proofErr w:type="gramEnd"/>
            <w:r w:rsidRPr="008A2411">
              <w:rPr>
                <w:rFonts w:ascii="Times New Roman" w:hAnsi="Times New Roman" w:cs="Times New Roman"/>
                <w:snapToGrid/>
                <w:color w:val="000000" w:themeColor="text1"/>
                <w:spacing w:val="0"/>
                <w:sz w:val="21"/>
              </w:rPr>
              <w:t>(P1)</w:t>
            </w:r>
          </w:p>
        </w:tc>
      </w:tr>
      <w:tr w:rsidR="008A2411" w:rsidRPr="008A2411" w14:paraId="68F62E34" w14:textId="77777777">
        <w:trPr>
          <w:trHeight w:val="339"/>
          <w:tblHeader/>
          <w:jc w:val="center"/>
        </w:trPr>
        <w:tc>
          <w:tcPr>
            <w:tcW w:w="1860" w:type="pct"/>
            <w:vMerge/>
            <w:vAlign w:val="center"/>
          </w:tcPr>
          <w:p w14:paraId="127893EE" w14:textId="77777777" w:rsidR="00B0005F" w:rsidRPr="008A2411" w:rsidRDefault="00B0005F">
            <w:pPr>
              <w:pStyle w:val="afffffffffffff1"/>
              <w:rPr>
                <w:rFonts w:ascii="Times New Roman" w:hAnsi="Times New Roman" w:cs="Times New Roman"/>
                <w:snapToGrid/>
                <w:color w:val="000000" w:themeColor="text1"/>
                <w:spacing w:val="0"/>
                <w:sz w:val="21"/>
              </w:rPr>
            </w:pPr>
          </w:p>
        </w:tc>
        <w:tc>
          <w:tcPr>
            <w:tcW w:w="1611" w:type="pct"/>
            <w:gridSpan w:val="2"/>
            <w:vAlign w:val="center"/>
          </w:tcPr>
          <w:p w14:paraId="36CFC2B1"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H</w:t>
            </w:r>
            <w:r w:rsidRPr="008A2411">
              <w:rPr>
                <w:rFonts w:ascii="Times New Roman" w:hAnsi="Times New Roman" w:cs="Times New Roman"/>
                <w:snapToGrid/>
                <w:color w:val="000000" w:themeColor="text1"/>
                <w:spacing w:val="0"/>
                <w:sz w:val="21"/>
                <w:vertAlign w:val="subscript"/>
              </w:rPr>
              <w:t>2</w:t>
            </w:r>
            <w:r w:rsidRPr="008A2411">
              <w:rPr>
                <w:rFonts w:ascii="Times New Roman" w:hAnsi="Times New Roman" w:cs="Times New Roman"/>
                <w:snapToGrid/>
                <w:color w:val="000000" w:themeColor="text1"/>
                <w:spacing w:val="0"/>
                <w:sz w:val="21"/>
              </w:rPr>
              <w:t>S</w:t>
            </w:r>
          </w:p>
        </w:tc>
        <w:tc>
          <w:tcPr>
            <w:tcW w:w="1528" w:type="pct"/>
            <w:gridSpan w:val="2"/>
            <w:vAlign w:val="center"/>
          </w:tcPr>
          <w:p w14:paraId="5B6CC0BD" w14:textId="79C7D2AD" w:rsidR="00B0005F" w:rsidRPr="008A2411" w:rsidRDefault="008551F6">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NMHC</w:t>
            </w:r>
          </w:p>
        </w:tc>
      </w:tr>
      <w:tr w:rsidR="008A2411" w:rsidRPr="008A2411" w14:paraId="3420F74E" w14:textId="77777777">
        <w:trPr>
          <w:trHeight w:val="339"/>
          <w:tblHeader/>
          <w:jc w:val="center"/>
        </w:trPr>
        <w:tc>
          <w:tcPr>
            <w:tcW w:w="1860" w:type="pct"/>
            <w:vMerge/>
            <w:vAlign w:val="center"/>
          </w:tcPr>
          <w:p w14:paraId="475769B7" w14:textId="77777777" w:rsidR="00B0005F" w:rsidRPr="008A2411" w:rsidRDefault="00B0005F">
            <w:pPr>
              <w:pStyle w:val="afffffffffffff1"/>
              <w:rPr>
                <w:rFonts w:ascii="Times New Roman" w:hAnsi="Times New Roman" w:cs="Times New Roman"/>
                <w:snapToGrid/>
                <w:color w:val="000000" w:themeColor="text1"/>
                <w:spacing w:val="0"/>
                <w:sz w:val="21"/>
              </w:rPr>
            </w:pPr>
          </w:p>
        </w:tc>
        <w:tc>
          <w:tcPr>
            <w:tcW w:w="1352" w:type="dxa"/>
            <w:vAlign w:val="center"/>
          </w:tcPr>
          <w:p w14:paraId="7F7F6FBD"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C/</w:t>
            </w:r>
            <w:r w:rsidRPr="008A2411">
              <w:rPr>
                <w:rFonts w:ascii="Times New Roman" w:hAnsi="Times New Roman" w:cs="Times New Roman"/>
                <w:snapToGrid/>
                <w:color w:val="000000" w:themeColor="text1"/>
                <w:spacing w:val="0"/>
                <w:sz w:val="21"/>
              </w:rPr>
              <w:t>（</w:t>
            </w:r>
            <w:r w:rsidRPr="008A2411">
              <w:rPr>
                <w:rFonts w:ascii="Times New Roman" w:hAnsi="Times New Roman" w:cs="Times New Roman"/>
                <w:snapToGrid/>
                <w:color w:val="000000" w:themeColor="text1"/>
                <w:spacing w:val="0"/>
                <w:sz w:val="21"/>
              </w:rPr>
              <w:t>μg/m³</w:t>
            </w:r>
            <w:r w:rsidRPr="008A2411">
              <w:rPr>
                <w:rFonts w:ascii="Times New Roman" w:hAnsi="Times New Roman" w:cs="Times New Roman"/>
                <w:snapToGrid/>
                <w:color w:val="000000" w:themeColor="text1"/>
                <w:spacing w:val="0"/>
                <w:sz w:val="21"/>
              </w:rPr>
              <w:t>）</w:t>
            </w:r>
          </w:p>
        </w:tc>
        <w:tc>
          <w:tcPr>
            <w:tcW w:w="1398" w:type="dxa"/>
            <w:vAlign w:val="center"/>
          </w:tcPr>
          <w:p w14:paraId="56EE92D4"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P/%</w:t>
            </w:r>
          </w:p>
        </w:tc>
        <w:tc>
          <w:tcPr>
            <w:tcW w:w="1507" w:type="dxa"/>
            <w:vAlign w:val="center"/>
          </w:tcPr>
          <w:p w14:paraId="1983C1E2"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C/</w:t>
            </w:r>
            <w:r w:rsidRPr="008A2411">
              <w:rPr>
                <w:rFonts w:ascii="Times New Roman" w:hAnsi="Times New Roman" w:cs="Times New Roman"/>
                <w:snapToGrid/>
                <w:color w:val="000000" w:themeColor="text1"/>
                <w:spacing w:val="0"/>
                <w:sz w:val="21"/>
              </w:rPr>
              <w:t>（</w:t>
            </w:r>
            <w:r w:rsidRPr="008A2411">
              <w:rPr>
                <w:rFonts w:ascii="Times New Roman" w:hAnsi="Times New Roman" w:cs="Times New Roman"/>
                <w:snapToGrid/>
                <w:color w:val="000000" w:themeColor="text1"/>
                <w:spacing w:val="0"/>
                <w:sz w:val="21"/>
              </w:rPr>
              <w:t>μg/m³</w:t>
            </w:r>
            <w:r w:rsidRPr="008A2411">
              <w:rPr>
                <w:rFonts w:ascii="Times New Roman" w:hAnsi="Times New Roman" w:cs="Times New Roman"/>
                <w:snapToGrid/>
                <w:color w:val="000000" w:themeColor="text1"/>
                <w:spacing w:val="0"/>
                <w:sz w:val="21"/>
              </w:rPr>
              <w:t>）</w:t>
            </w:r>
          </w:p>
        </w:tc>
        <w:tc>
          <w:tcPr>
            <w:tcW w:w="1102" w:type="dxa"/>
            <w:vAlign w:val="center"/>
          </w:tcPr>
          <w:p w14:paraId="6EB1C008"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P/%</w:t>
            </w:r>
          </w:p>
        </w:tc>
      </w:tr>
      <w:tr w:rsidR="008A2411" w:rsidRPr="008A2411" w14:paraId="61AC31C2" w14:textId="77777777">
        <w:trPr>
          <w:trHeight w:val="339"/>
          <w:tblHeader/>
          <w:jc w:val="center"/>
        </w:trPr>
        <w:tc>
          <w:tcPr>
            <w:tcW w:w="1860" w:type="pct"/>
            <w:vAlign w:val="center"/>
          </w:tcPr>
          <w:p w14:paraId="6FBC43AC"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下风向最大浓度</w:t>
            </w:r>
          </w:p>
        </w:tc>
        <w:tc>
          <w:tcPr>
            <w:tcW w:w="792" w:type="pct"/>
            <w:vAlign w:val="center"/>
          </w:tcPr>
          <w:p w14:paraId="247D239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0.212</w:t>
            </w:r>
          </w:p>
        </w:tc>
        <w:tc>
          <w:tcPr>
            <w:tcW w:w="819" w:type="pct"/>
            <w:vAlign w:val="center"/>
          </w:tcPr>
          <w:p w14:paraId="6FCBD08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2.12</w:t>
            </w:r>
          </w:p>
        </w:tc>
        <w:tc>
          <w:tcPr>
            <w:tcW w:w="883" w:type="pct"/>
            <w:vAlign w:val="center"/>
          </w:tcPr>
          <w:p w14:paraId="790C392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3.96</w:t>
            </w:r>
          </w:p>
        </w:tc>
        <w:tc>
          <w:tcPr>
            <w:tcW w:w="644" w:type="pct"/>
            <w:vAlign w:val="center"/>
          </w:tcPr>
          <w:p w14:paraId="64F9E3F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0.2</w:t>
            </w:r>
          </w:p>
        </w:tc>
      </w:tr>
      <w:tr w:rsidR="008A2411" w:rsidRPr="008A2411" w14:paraId="2CEAC905" w14:textId="77777777">
        <w:trPr>
          <w:trHeight w:val="339"/>
          <w:tblHeader/>
          <w:jc w:val="center"/>
        </w:trPr>
        <w:tc>
          <w:tcPr>
            <w:tcW w:w="1860" w:type="pct"/>
            <w:vAlign w:val="center"/>
          </w:tcPr>
          <w:p w14:paraId="25FDB8F1"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最大浓度出现距离</w:t>
            </w:r>
          </w:p>
        </w:tc>
        <w:tc>
          <w:tcPr>
            <w:tcW w:w="3139" w:type="pct"/>
            <w:gridSpan w:val="4"/>
            <w:vAlign w:val="center"/>
          </w:tcPr>
          <w:p w14:paraId="11ACCABF"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420m</w:t>
            </w:r>
          </w:p>
        </w:tc>
      </w:tr>
      <w:tr w:rsidR="008A2411" w:rsidRPr="008A2411" w14:paraId="7966B275" w14:textId="77777777">
        <w:trPr>
          <w:trHeight w:val="339"/>
          <w:tblHeader/>
          <w:jc w:val="center"/>
        </w:trPr>
        <w:tc>
          <w:tcPr>
            <w:tcW w:w="1860" w:type="pct"/>
            <w:vAlign w:val="center"/>
          </w:tcPr>
          <w:p w14:paraId="462E912B" w14:textId="77777777" w:rsidR="00B0005F" w:rsidRPr="008A2411" w:rsidRDefault="00000000">
            <w:pPr>
              <w:pStyle w:val="afffffffffffff1"/>
              <w:rPr>
                <w:rFonts w:ascii="Times New Roman" w:hAnsi="Times New Roman" w:cs="Times New Roman"/>
                <w:snapToGrid/>
                <w:color w:val="000000" w:themeColor="text1"/>
                <w:spacing w:val="0"/>
                <w:sz w:val="21"/>
              </w:rPr>
            </w:pPr>
            <w:proofErr w:type="gramStart"/>
            <w:r w:rsidRPr="008A2411">
              <w:rPr>
                <w:rFonts w:ascii="Times New Roman" w:hAnsi="Times New Roman" w:cs="Times New Roman"/>
                <w:snapToGrid/>
                <w:color w:val="000000" w:themeColor="text1"/>
                <w:spacing w:val="0"/>
                <w:sz w:val="21"/>
              </w:rPr>
              <w:t>距源最远</w:t>
            </w:r>
            <w:proofErr w:type="gramEnd"/>
            <w:r w:rsidRPr="008A2411">
              <w:rPr>
                <w:rFonts w:ascii="Times New Roman" w:hAnsi="Times New Roman" w:cs="Times New Roman"/>
                <w:snapToGrid/>
                <w:color w:val="000000" w:themeColor="text1"/>
                <w:spacing w:val="0"/>
                <w:sz w:val="21"/>
              </w:rPr>
              <w:t>距离</w:t>
            </w:r>
            <w:r w:rsidRPr="008A2411">
              <w:rPr>
                <w:rFonts w:ascii="Times New Roman" w:hAnsi="Times New Roman" w:cs="Times New Roman"/>
                <w:snapToGrid/>
                <w:color w:val="000000" w:themeColor="text1"/>
                <w:spacing w:val="0"/>
                <w:sz w:val="21"/>
              </w:rPr>
              <w:t>D10%</w:t>
            </w:r>
          </w:p>
        </w:tc>
        <w:tc>
          <w:tcPr>
            <w:tcW w:w="3139" w:type="pct"/>
            <w:gridSpan w:val="4"/>
            <w:vAlign w:val="center"/>
          </w:tcPr>
          <w:p w14:paraId="0383FBFC"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Pmax</w:t>
            </w:r>
            <w:r w:rsidRPr="008A2411">
              <w:rPr>
                <w:rFonts w:ascii="Times New Roman" w:hAnsi="Times New Roman" w:cs="Times New Roman"/>
                <w:snapToGrid/>
                <w:color w:val="000000" w:themeColor="text1"/>
                <w:spacing w:val="0"/>
                <w:sz w:val="21"/>
              </w:rPr>
              <w:t>＜</w:t>
            </w:r>
            <w:r w:rsidRPr="008A2411">
              <w:rPr>
                <w:rFonts w:ascii="Times New Roman" w:hAnsi="Times New Roman" w:cs="Times New Roman"/>
                <w:snapToGrid/>
                <w:color w:val="000000" w:themeColor="text1"/>
                <w:spacing w:val="0"/>
                <w:sz w:val="21"/>
              </w:rPr>
              <w:t>10%</w:t>
            </w:r>
          </w:p>
        </w:tc>
      </w:tr>
      <w:tr w:rsidR="008A2411" w:rsidRPr="008A2411" w14:paraId="29FCCACC" w14:textId="77777777">
        <w:trPr>
          <w:trHeight w:val="339"/>
          <w:tblHeader/>
          <w:jc w:val="center"/>
        </w:trPr>
        <w:tc>
          <w:tcPr>
            <w:tcW w:w="1860" w:type="pct"/>
            <w:vMerge w:val="restart"/>
            <w:vAlign w:val="center"/>
          </w:tcPr>
          <w:p w14:paraId="73D93061" w14:textId="77777777" w:rsidR="00B0005F" w:rsidRPr="008A2411" w:rsidRDefault="00000000">
            <w:pPr>
              <w:pStyle w:val="afffffffffffff1"/>
              <w:rPr>
                <w:rFonts w:ascii="Times New Roman" w:hAnsi="Times New Roman" w:cs="Times New Roman"/>
                <w:snapToGrid/>
                <w:color w:val="000000" w:themeColor="text1"/>
                <w:spacing w:val="0"/>
                <w:sz w:val="21"/>
              </w:rPr>
            </w:pPr>
            <w:proofErr w:type="gramStart"/>
            <w:r w:rsidRPr="008A2411">
              <w:rPr>
                <w:rFonts w:ascii="Times New Roman" w:hAnsi="Times New Roman" w:cs="Times New Roman"/>
                <w:snapToGrid/>
                <w:color w:val="000000" w:themeColor="text1"/>
                <w:spacing w:val="0"/>
                <w:sz w:val="21"/>
              </w:rPr>
              <w:t>距源中心</w:t>
            </w:r>
            <w:proofErr w:type="gramEnd"/>
            <w:r w:rsidRPr="008A2411">
              <w:rPr>
                <w:rFonts w:ascii="Times New Roman" w:hAnsi="Times New Roman" w:cs="Times New Roman"/>
                <w:snapToGrid/>
                <w:color w:val="000000" w:themeColor="text1"/>
                <w:spacing w:val="0"/>
                <w:sz w:val="21"/>
              </w:rPr>
              <w:t>下风向</w:t>
            </w:r>
          </w:p>
          <w:p w14:paraId="6E21FF6F"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距离</w:t>
            </w:r>
            <w:r w:rsidRPr="008A2411">
              <w:rPr>
                <w:rFonts w:ascii="Times New Roman" w:hAnsi="Times New Roman" w:cs="Times New Roman"/>
                <w:snapToGrid/>
                <w:color w:val="000000" w:themeColor="text1"/>
                <w:spacing w:val="0"/>
                <w:sz w:val="21"/>
              </w:rPr>
              <w:t>D/m</w:t>
            </w:r>
          </w:p>
        </w:tc>
        <w:tc>
          <w:tcPr>
            <w:tcW w:w="3139" w:type="pct"/>
            <w:gridSpan w:val="4"/>
            <w:vAlign w:val="center"/>
          </w:tcPr>
          <w:p w14:paraId="29512B74" w14:textId="77777777" w:rsidR="00B0005F" w:rsidRPr="008A2411" w:rsidRDefault="00000000">
            <w:pPr>
              <w:pStyle w:val="afffffffffffff1"/>
              <w:rPr>
                <w:rFonts w:ascii="Times New Roman" w:hAnsi="Times New Roman" w:cs="Times New Roman"/>
                <w:b/>
                <w:bCs/>
                <w:color w:val="000000" w:themeColor="text1"/>
                <w:sz w:val="21"/>
              </w:rPr>
            </w:pPr>
            <w:r w:rsidRPr="008A2411">
              <w:rPr>
                <w:rFonts w:ascii="Times New Roman" w:hAnsi="Times New Roman" w:cs="Times New Roman"/>
                <w:snapToGrid/>
                <w:color w:val="000000" w:themeColor="text1"/>
                <w:spacing w:val="0"/>
                <w:sz w:val="21"/>
              </w:rPr>
              <w:t>导热油炉排气筒</w:t>
            </w:r>
            <w:r w:rsidRPr="008A2411">
              <w:rPr>
                <w:rFonts w:ascii="Times New Roman" w:hAnsi="Times New Roman" w:cs="Times New Roman"/>
                <w:snapToGrid/>
                <w:color w:val="000000" w:themeColor="text1"/>
                <w:spacing w:val="0"/>
                <w:sz w:val="21"/>
              </w:rPr>
              <w:t>(P2)</w:t>
            </w:r>
          </w:p>
        </w:tc>
      </w:tr>
      <w:tr w:rsidR="008A2411" w:rsidRPr="008A2411" w14:paraId="68948F95" w14:textId="77777777">
        <w:trPr>
          <w:trHeight w:val="339"/>
          <w:tblHeader/>
          <w:jc w:val="center"/>
        </w:trPr>
        <w:tc>
          <w:tcPr>
            <w:tcW w:w="1860" w:type="pct"/>
            <w:vMerge/>
            <w:vAlign w:val="center"/>
          </w:tcPr>
          <w:p w14:paraId="61FCBCCA" w14:textId="77777777" w:rsidR="00B0005F" w:rsidRPr="008A2411" w:rsidRDefault="00B0005F">
            <w:pPr>
              <w:pStyle w:val="afffffffffffff1"/>
              <w:rPr>
                <w:rFonts w:ascii="Times New Roman" w:hAnsi="Times New Roman" w:cs="Times New Roman"/>
                <w:snapToGrid/>
                <w:color w:val="000000" w:themeColor="text1"/>
                <w:spacing w:val="0"/>
                <w:sz w:val="21"/>
              </w:rPr>
            </w:pPr>
          </w:p>
        </w:tc>
        <w:tc>
          <w:tcPr>
            <w:tcW w:w="1611" w:type="pct"/>
            <w:gridSpan w:val="2"/>
            <w:vAlign w:val="center"/>
          </w:tcPr>
          <w:p w14:paraId="37E37291"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SO</w:t>
            </w:r>
            <w:r w:rsidRPr="008A2411">
              <w:rPr>
                <w:rFonts w:ascii="Times New Roman" w:hAnsi="Times New Roman" w:cs="Times New Roman"/>
                <w:snapToGrid/>
                <w:color w:val="000000" w:themeColor="text1"/>
                <w:spacing w:val="0"/>
                <w:sz w:val="21"/>
                <w:vertAlign w:val="subscript"/>
              </w:rPr>
              <w:t>2</w:t>
            </w:r>
          </w:p>
        </w:tc>
        <w:tc>
          <w:tcPr>
            <w:tcW w:w="1528" w:type="pct"/>
            <w:gridSpan w:val="2"/>
            <w:vAlign w:val="center"/>
          </w:tcPr>
          <w:p w14:paraId="2BAEEEB5"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NOx</w:t>
            </w:r>
          </w:p>
        </w:tc>
      </w:tr>
      <w:tr w:rsidR="008A2411" w:rsidRPr="008A2411" w14:paraId="01F76AEB" w14:textId="77777777">
        <w:trPr>
          <w:trHeight w:val="339"/>
          <w:tblHeader/>
          <w:jc w:val="center"/>
        </w:trPr>
        <w:tc>
          <w:tcPr>
            <w:tcW w:w="1860" w:type="pct"/>
            <w:vMerge/>
            <w:vAlign w:val="center"/>
          </w:tcPr>
          <w:p w14:paraId="2655398C" w14:textId="77777777" w:rsidR="00B0005F" w:rsidRPr="008A2411" w:rsidRDefault="00B0005F">
            <w:pPr>
              <w:pStyle w:val="afffffffffffff1"/>
              <w:rPr>
                <w:rFonts w:ascii="Times New Roman" w:hAnsi="Times New Roman" w:cs="Times New Roman"/>
                <w:snapToGrid/>
                <w:color w:val="000000" w:themeColor="text1"/>
                <w:spacing w:val="0"/>
                <w:sz w:val="21"/>
              </w:rPr>
            </w:pPr>
          </w:p>
        </w:tc>
        <w:tc>
          <w:tcPr>
            <w:tcW w:w="792" w:type="pct"/>
            <w:vAlign w:val="center"/>
          </w:tcPr>
          <w:p w14:paraId="2E8D7159"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C/</w:t>
            </w:r>
            <w:r w:rsidRPr="008A2411">
              <w:rPr>
                <w:rFonts w:ascii="Times New Roman" w:hAnsi="Times New Roman" w:cs="Times New Roman"/>
                <w:snapToGrid/>
                <w:color w:val="000000" w:themeColor="text1"/>
                <w:spacing w:val="0"/>
                <w:sz w:val="21"/>
              </w:rPr>
              <w:t>（</w:t>
            </w:r>
            <w:r w:rsidRPr="008A2411">
              <w:rPr>
                <w:rFonts w:ascii="Times New Roman" w:hAnsi="Times New Roman" w:cs="Times New Roman"/>
                <w:snapToGrid/>
                <w:color w:val="000000" w:themeColor="text1"/>
                <w:spacing w:val="0"/>
                <w:sz w:val="21"/>
              </w:rPr>
              <w:t>μg/m³</w:t>
            </w:r>
            <w:r w:rsidRPr="008A2411">
              <w:rPr>
                <w:rFonts w:ascii="Times New Roman" w:hAnsi="Times New Roman" w:cs="Times New Roman"/>
                <w:snapToGrid/>
                <w:color w:val="000000" w:themeColor="text1"/>
                <w:spacing w:val="0"/>
                <w:sz w:val="21"/>
              </w:rPr>
              <w:t>）</w:t>
            </w:r>
          </w:p>
        </w:tc>
        <w:tc>
          <w:tcPr>
            <w:tcW w:w="819" w:type="pct"/>
            <w:vAlign w:val="center"/>
          </w:tcPr>
          <w:p w14:paraId="034233BC"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P/%</w:t>
            </w:r>
          </w:p>
        </w:tc>
        <w:tc>
          <w:tcPr>
            <w:tcW w:w="883" w:type="pct"/>
            <w:vAlign w:val="center"/>
          </w:tcPr>
          <w:p w14:paraId="1DC762F4"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C/</w:t>
            </w:r>
            <w:r w:rsidRPr="008A2411">
              <w:rPr>
                <w:rFonts w:ascii="Times New Roman" w:hAnsi="Times New Roman" w:cs="Times New Roman"/>
                <w:snapToGrid/>
                <w:color w:val="000000" w:themeColor="text1"/>
                <w:spacing w:val="0"/>
                <w:sz w:val="21"/>
              </w:rPr>
              <w:t>（</w:t>
            </w:r>
            <w:r w:rsidRPr="008A2411">
              <w:rPr>
                <w:rFonts w:ascii="Times New Roman" w:hAnsi="Times New Roman" w:cs="Times New Roman"/>
                <w:snapToGrid/>
                <w:color w:val="000000" w:themeColor="text1"/>
                <w:spacing w:val="0"/>
                <w:sz w:val="21"/>
              </w:rPr>
              <w:t>μg/m³</w:t>
            </w:r>
            <w:r w:rsidRPr="008A2411">
              <w:rPr>
                <w:rFonts w:ascii="Times New Roman" w:hAnsi="Times New Roman" w:cs="Times New Roman"/>
                <w:snapToGrid/>
                <w:color w:val="000000" w:themeColor="text1"/>
                <w:spacing w:val="0"/>
                <w:sz w:val="21"/>
              </w:rPr>
              <w:t>）</w:t>
            </w:r>
          </w:p>
        </w:tc>
        <w:tc>
          <w:tcPr>
            <w:tcW w:w="644" w:type="pct"/>
            <w:vAlign w:val="center"/>
          </w:tcPr>
          <w:p w14:paraId="052BF234"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P/%</w:t>
            </w:r>
          </w:p>
        </w:tc>
      </w:tr>
      <w:tr w:rsidR="008A2411" w:rsidRPr="008A2411" w14:paraId="56205B31" w14:textId="77777777">
        <w:trPr>
          <w:trHeight w:val="339"/>
          <w:tblHeader/>
          <w:jc w:val="center"/>
        </w:trPr>
        <w:tc>
          <w:tcPr>
            <w:tcW w:w="1860" w:type="pct"/>
            <w:vAlign w:val="center"/>
          </w:tcPr>
          <w:p w14:paraId="0BCD6B6D"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下风向最大浓度</w:t>
            </w:r>
          </w:p>
        </w:tc>
        <w:tc>
          <w:tcPr>
            <w:tcW w:w="792" w:type="pct"/>
            <w:vAlign w:val="center"/>
          </w:tcPr>
          <w:p w14:paraId="629EF4F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0.0317</w:t>
            </w:r>
          </w:p>
        </w:tc>
        <w:tc>
          <w:tcPr>
            <w:tcW w:w="819" w:type="pct"/>
            <w:vAlign w:val="center"/>
          </w:tcPr>
          <w:p w14:paraId="07287354"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0.01</w:t>
            </w:r>
          </w:p>
        </w:tc>
        <w:tc>
          <w:tcPr>
            <w:tcW w:w="883" w:type="pct"/>
            <w:vAlign w:val="center"/>
          </w:tcPr>
          <w:p w14:paraId="35DD0C4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1.52</w:t>
            </w:r>
          </w:p>
        </w:tc>
        <w:tc>
          <w:tcPr>
            <w:tcW w:w="644" w:type="pct"/>
            <w:vAlign w:val="center"/>
          </w:tcPr>
          <w:p w14:paraId="7C2C9A17"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0.76</w:t>
            </w:r>
          </w:p>
        </w:tc>
      </w:tr>
      <w:tr w:rsidR="008A2411" w:rsidRPr="008A2411" w14:paraId="298594D5" w14:textId="77777777">
        <w:trPr>
          <w:trHeight w:val="339"/>
          <w:tblHeader/>
          <w:jc w:val="center"/>
        </w:trPr>
        <w:tc>
          <w:tcPr>
            <w:tcW w:w="1860" w:type="pct"/>
            <w:vAlign w:val="center"/>
          </w:tcPr>
          <w:p w14:paraId="325743F0"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最大浓度出现距离</w:t>
            </w:r>
          </w:p>
        </w:tc>
        <w:tc>
          <w:tcPr>
            <w:tcW w:w="3139" w:type="pct"/>
            <w:gridSpan w:val="4"/>
            <w:vAlign w:val="center"/>
          </w:tcPr>
          <w:p w14:paraId="58D61F8F"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417m</w:t>
            </w:r>
          </w:p>
        </w:tc>
      </w:tr>
      <w:tr w:rsidR="008A2411" w:rsidRPr="008A2411" w14:paraId="10A6BCB8" w14:textId="77777777">
        <w:trPr>
          <w:trHeight w:val="339"/>
          <w:tblHeader/>
          <w:jc w:val="center"/>
        </w:trPr>
        <w:tc>
          <w:tcPr>
            <w:tcW w:w="1860" w:type="pct"/>
            <w:vAlign w:val="center"/>
          </w:tcPr>
          <w:p w14:paraId="04AB67BB" w14:textId="77777777" w:rsidR="00B0005F" w:rsidRPr="008A2411" w:rsidRDefault="00000000">
            <w:pPr>
              <w:pStyle w:val="afffffffffffff1"/>
              <w:rPr>
                <w:rFonts w:ascii="Times New Roman" w:hAnsi="Times New Roman" w:cs="Times New Roman"/>
                <w:snapToGrid/>
                <w:color w:val="000000" w:themeColor="text1"/>
                <w:spacing w:val="0"/>
                <w:sz w:val="21"/>
              </w:rPr>
            </w:pPr>
            <w:proofErr w:type="gramStart"/>
            <w:r w:rsidRPr="008A2411">
              <w:rPr>
                <w:rFonts w:ascii="Times New Roman" w:hAnsi="Times New Roman" w:cs="Times New Roman"/>
                <w:snapToGrid/>
                <w:color w:val="000000" w:themeColor="text1"/>
                <w:spacing w:val="0"/>
                <w:sz w:val="21"/>
              </w:rPr>
              <w:t>距源最远</w:t>
            </w:r>
            <w:proofErr w:type="gramEnd"/>
            <w:r w:rsidRPr="008A2411">
              <w:rPr>
                <w:rFonts w:ascii="Times New Roman" w:hAnsi="Times New Roman" w:cs="Times New Roman"/>
                <w:snapToGrid/>
                <w:color w:val="000000" w:themeColor="text1"/>
                <w:spacing w:val="0"/>
                <w:sz w:val="21"/>
              </w:rPr>
              <w:t>距离</w:t>
            </w:r>
            <w:r w:rsidRPr="008A2411">
              <w:rPr>
                <w:rFonts w:ascii="Times New Roman" w:hAnsi="Times New Roman" w:cs="Times New Roman"/>
                <w:snapToGrid/>
                <w:color w:val="000000" w:themeColor="text1"/>
                <w:spacing w:val="0"/>
                <w:sz w:val="21"/>
              </w:rPr>
              <w:t>D10%</w:t>
            </w:r>
          </w:p>
        </w:tc>
        <w:tc>
          <w:tcPr>
            <w:tcW w:w="3139" w:type="pct"/>
            <w:gridSpan w:val="4"/>
            <w:vAlign w:val="center"/>
          </w:tcPr>
          <w:p w14:paraId="3EB714D3"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Pmax</w:t>
            </w:r>
            <w:r w:rsidRPr="008A2411">
              <w:rPr>
                <w:rFonts w:ascii="Times New Roman" w:hAnsi="Times New Roman" w:cs="Times New Roman"/>
                <w:snapToGrid/>
                <w:color w:val="000000" w:themeColor="text1"/>
                <w:spacing w:val="0"/>
                <w:sz w:val="21"/>
              </w:rPr>
              <w:t>＜</w:t>
            </w:r>
            <w:r w:rsidRPr="008A2411">
              <w:rPr>
                <w:rFonts w:ascii="Times New Roman" w:hAnsi="Times New Roman" w:cs="Times New Roman"/>
                <w:snapToGrid/>
                <w:color w:val="000000" w:themeColor="text1"/>
                <w:spacing w:val="0"/>
                <w:sz w:val="21"/>
              </w:rPr>
              <w:t>10%</w:t>
            </w:r>
          </w:p>
        </w:tc>
      </w:tr>
      <w:tr w:rsidR="008A2411" w:rsidRPr="008A2411" w14:paraId="00ED69AD" w14:textId="77777777">
        <w:trPr>
          <w:trHeight w:val="339"/>
          <w:tblHeader/>
          <w:jc w:val="center"/>
        </w:trPr>
        <w:tc>
          <w:tcPr>
            <w:tcW w:w="1860" w:type="pct"/>
            <w:vMerge w:val="restart"/>
            <w:vAlign w:val="center"/>
          </w:tcPr>
          <w:p w14:paraId="67A29F0E" w14:textId="77777777" w:rsidR="00B0005F" w:rsidRPr="008A2411" w:rsidRDefault="00000000">
            <w:pPr>
              <w:pStyle w:val="afffffffffffff1"/>
              <w:rPr>
                <w:rFonts w:ascii="Times New Roman" w:hAnsi="Times New Roman" w:cs="Times New Roman"/>
                <w:snapToGrid/>
                <w:color w:val="000000" w:themeColor="text1"/>
                <w:spacing w:val="0"/>
                <w:sz w:val="21"/>
              </w:rPr>
            </w:pPr>
            <w:proofErr w:type="gramStart"/>
            <w:r w:rsidRPr="008A2411">
              <w:rPr>
                <w:rFonts w:ascii="Times New Roman" w:hAnsi="Times New Roman" w:cs="Times New Roman"/>
                <w:snapToGrid/>
                <w:color w:val="000000" w:themeColor="text1"/>
                <w:spacing w:val="0"/>
                <w:sz w:val="21"/>
              </w:rPr>
              <w:t>距源中心</w:t>
            </w:r>
            <w:proofErr w:type="gramEnd"/>
            <w:r w:rsidRPr="008A2411">
              <w:rPr>
                <w:rFonts w:ascii="Times New Roman" w:hAnsi="Times New Roman" w:cs="Times New Roman"/>
                <w:snapToGrid/>
                <w:color w:val="000000" w:themeColor="text1"/>
                <w:spacing w:val="0"/>
                <w:sz w:val="21"/>
              </w:rPr>
              <w:t>下风向</w:t>
            </w:r>
          </w:p>
          <w:p w14:paraId="64BCCF79"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距离</w:t>
            </w:r>
            <w:r w:rsidRPr="008A2411">
              <w:rPr>
                <w:rFonts w:ascii="Times New Roman" w:hAnsi="Times New Roman" w:cs="Times New Roman"/>
                <w:snapToGrid/>
                <w:color w:val="000000" w:themeColor="text1"/>
                <w:spacing w:val="0"/>
                <w:sz w:val="21"/>
              </w:rPr>
              <w:t>D/m</w:t>
            </w:r>
          </w:p>
        </w:tc>
        <w:tc>
          <w:tcPr>
            <w:tcW w:w="3139" w:type="pct"/>
            <w:gridSpan w:val="4"/>
            <w:vAlign w:val="center"/>
          </w:tcPr>
          <w:p w14:paraId="3A704AAC" w14:textId="77777777" w:rsidR="00B0005F" w:rsidRPr="008A2411" w:rsidRDefault="00000000">
            <w:pPr>
              <w:pStyle w:val="afffffffffffff1"/>
              <w:rPr>
                <w:rFonts w:ascii="Times New Roman" w:hAnsi="Times New Roman" w:cs="Times New Roman"/>
                <w:b/>
                <w:bCs/>
                <w:color w:val="000000" w:themeColor="text1"/>
                <w:sz w:val="21"/>
              </w:rPr>
            </w:pPr>
            <w:r w:rsidRPr="008A2411">
              <w:rPr>
                <w:rFonts w:ascii="Times New Roman" w:hAnsi="Times New Roman" w:cs="Times New Roman"/>
                <w:snapToGrid/>
                <w:color w:val="000000" w:themeColor="text1"/>
                <w:spacing w:val="0"/>
                <w:sz w:val="21"/>
              </w:rPr>
              <w:t>火炬长明灯</w:t>
            </w:r>
            <w:r w:rsidRPr="008A2411">
              <w:rPr>
                <w:rFonts w:ascii="Times New Roman" w:hAnsi="Times New Roman" w:cs="Times New Roman"/>
                <w:snapToGrid/>
                <w:color w:val="000000" w:themeColor="text1"/>
                <w:spacing w:val="0"/>
                <w:sz w:val="21"/>
              </w:rPr>
              <w:t>(P3)</w:t>
            </w:r>
          </w:p>
        </w:tc>
      </w:tr>
      <w:tr w:rsidR="008A2411" w:rsidRPr="008A2411" w14:paraId="2A8F8D36" w14:textId="77777777">
        <w:trPr>
          <w:trHeight w:val="339"/>
          <w:tblHeader/>
          <w:jc w:val="center"/>
        </w:trPr>
        <w:tc>
          <w:tcPr>
            <w:tcW w:w="1860" w:type="pct"/>
            <w:vMerge/>
            <w:vAlign w:val="center"/>
          </w:tcPr>
          <w:p w14:paraId="2EFBC660" w14:textId="77777777" w:rsidR="00B0005F" w:rsidRPr="008A2411" w:rsidRDefault="00B0005F">
            <w:pPr>
              <w:pStyle w:val="afffffffffffff1"/>
              <w:rPr>
                <w:rFonts w:ascii="Times New Roman" w:hAnsi="Times New Roman" w:cs="Times New Roman"/>
                <w:snapToGrid/>
                <w:color w:val="000000" w:themeColor="text1"/>
                <w:spacing w:val="0"/>
                <w:sz w:val="21"/>
              </w:rPr>
            </w:pPr>
          </w:p>
        </w:tc>
        <w:tc>
          <w:tcPr>
            <w:tcW w:w="1611" w:type="pct"/>
            <w:gridSpan w:val="2"/>
            <w:vAlign w:val="center"/>
          </w:tcPr>
          <w:p w14:paraId="0BF61105"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SO</w:t>
            </w:r>
            <w:r w:rsidRPr="008A2411">
              <w:rPr>
                <w:rFonts w:ascii="Times New Roman" w:hAnsi="Times New Roman" w:cs="Times New Roman"/>
                <w:snapToGrid/>
                <w:color w:val="000000" w:themeColor="text1"/>
                <w:spacing w:val="0"/>
                <w:sz w:val="21"/>
                <w:vertAlign w:val="subscript"/>
              </w:rPr>
              <w:t>2</w:t>
            </w:r>
          </w:p>
        </w:tc>
        <w:tc>
          <w:tcPr>
            <w:tcW w:w="1528" w:type="pct"/>
            <w:gridSpan w:val="2"/>
            <w:vAlign w:val="center"/>
          </w:tcPr>
          <w:p w14:paraId="79F79802"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NOx</w:t>
            </w:r>
          </w:p>
        </w:tc>
      </w:tr>
      <w:tr w:rsidR="008A2411" w:rsidRPr="008A2411" w14:paraId="6C267602" w14:textId="77777777">
        <w:trPr>
          <w:trHeight w:val="339"/>
          <w:tblHeader/>
          <w:jc w:val="center"/>
        </w:trPr>
        <w:tc>
          <w:tcPr>
            <w:tcW w:w="1860" w:type="pct"/>
            <w:vMerge/>
            <w:vAlign w:val="center"/>
          </w:tcPr>
          <w:p w14:paraId="602911E1" w14:textId="77777777" w:rsidR="00B0005F" w:rsidRPr="008A2411" w:rsidRDefault="00B0005F">
            <w:pPr>
              <w:pStyle w:val="afffffffffffff1"/>
              <w:rPr>
                <w:rFonts w:ascii="Times New Roman" w:hAnsi="Times New Roman" w:cs="Times New Roman"/>
                <w:snapToGrid/>
                <w:color w:val="000000" w:themeColor="text1"/>
                <w:spacing w:val="0"/>
                <w:sz w:val="21"/>
              </w:rPr>
            </w:pPr>
          </w:p>
        </w:tc>
        <w:tc>
          <w:tcPr>
            <w:tcW w:w="792" w:type="pct"/>
            <w:vAlign w:val="center"/>
          </w:tcPr>
          <w:p w14:paraId="229FC699"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C/</w:t>
            </w:r>
            <w:r w:rsidRPr="008A2411">
              <w:rPr>
                <w:rFonts w:ascii="Times New Roman" w:hAnsi="Times New Roman" w:cs="Times New Roman"/>
                <w:snapToGrid/>
                <w:color w:val="000000" w:themeColor="text1"/>
                <w:spacing w:val="0"/>
                <w:sz w:val="21"/>
              </w:rPr>
              <w:t>（</w:t>
            </w:r>
            <w:r w:rsidRPr="008A2411">
              <w:rPr>
                <w:rFonts w:ascii="Times New Roman" w:hAnsi="Times New Roman" w:cs="Times New Roman"/>
                <w:snapToGrid/>
                <w:color w:val="000000" w:themeColor="text1"/>
                <w:spacing w:val="0"/>
                <w:sz w:val="21"/>
              </w:rPr>
              <w:t>μg/m³</w:t>
            </w:r>
            <w:r w:rsidRPr="008A2411">
              <w:rPr>
                <w:rFonts w:ascii="Times New Roman" w:hAnsi="Times New Roman" w:cs="Times New Roman"/>
                <w:snapToGrid/>
                <w:color w:val="000000" w:themeColor="text1"/>
                <w:spacing w:val="0"/>
                <w:sz w:val="21"/>
              </w:rPr>
              <w:t>）</w:t>
            </w:r>
          </w:p>
        </w:tc>
        <w:tc>
          <w:tcPr>
            <w:tcW w:w="819" w:type="pct"/>
            <w:vAlign w:val="center"/>
          </w:tcPr>
          <w:p w14:paraId="66929799"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P/%</w:t>
            </w:r>
          </w:p>
        </w:tc>
        <w:tc>
          <w:tcPr>
            <w:tcW w:w="883" w:type="pct"/>
            <w:vAlign w:val="center"/>
          </w:tcPr>
          <w:p w14:paraId="20CEB561"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C/</w:t>
            </w:r>
            <w:r w:rsidRPr="008A2411">
              <w:rPr>
                <w:rFonts w:ascii="Times New Roman" w:hAnsi="Times New Roman" w:cs="Times New Roman"/>
                <w:snapToGrid/>
                <w:color w:val="000000" w:themeColor="text1"/>
                <w:spacing w:val="0"/>
                <w:sz w:val="21"/>
              </w:rPr>
              <w:t>（</w:t>
            </w:r>
            <w:r w:rsidRPr="008A2411">
              <w:rPr>
                <w:rFonts w:ascii="Times New Roman" w:hAnsi="Times New Roman" w:cs="Times New Roman"/>
                <w:snapToGrid/>
                <w:color w:val="000000" w:themeColor="text1"/>
                <w:spacing w:val="0"/>
                <w:sz w:val="21"/>
              </w:rPr>
              <w:t>μg/m³</w:t>
            </w:r>
            <w:r w:rsidRPr="008A2411">
              <w:rPr>
                <w:rFonts w:ascii="Times New Roman" w:hAnsi="Times New Roman" w:cs="Times New Roman"/>
                <w:snapToGrid/>
                <w:color w:val="000000" w:themeColor="text1"/>
                <w:spacing w:val="0"/>
                <w:sz w:val="21"/>
              </w:rPr>
              <w:t>）</w:t>
            </w:r>
          </w:p>
        </w:tc>
        <w:tc>
          <w:tcPr>
            <w:tcW w:w="644" w:type="pct"/>
            <w:vAlign w:val="center"/>
          </w:tcPr>
          <w:p w14:paraId="35111A30"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P/%</w:t>
            </w:r>
          </w:p>
        </w:tc>
      </w:tr>
      <w:tr w:rsidR="008A2411" w:rsidRPr="008A2411" w14:paraId="73B71A98" w14:textId="77777777">
        <w:trPr>
          <w:trHeight w:val="339"/>
          <w:tblHeader/>
          <w:jc w:val="center"/>
        </w:trPr>
        <w:tc>
          <w:tcPr>
            <w:tcW w:w="1860" w:type="pct"/>
            <w:vAlign w:val="center"/>
          </w:tcPr>
          <w:p w14:paraId="1A8A0B03"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下风向最大浓度</w:t>
            </w:r>
          </w:p>
        </w:tc>
        <w:tc>
          <w:tcPr>
            <w:tcW w:w="792" w:type="pct"/>
            <w:vAlign w:val="center"/>
          </w:tcPr>
          <w:p w14:paraId="3CD5354D"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0.0031</w:t>
            </w:r>
          </w:p>
        </w:tc>
        <w:tc>
          <w:tcPr>
            <w:tcW w:w="819" w:type="pct"/>
            <w:vAlign w:val="center"/>
          </w:tcPr>
          <w:p w14:paraId="5A6AA23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0.001</w:t>
            </w:r>
          </w:p>
        </w:tc>
        <w:tc>
          <w:tcPr>
            <w:tcW w:w="883" w:type="pct"/>
            <w:vAlign w:val="center"/>
          </w:tcPr>
          <w:p w14:paraId="47DCF5C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0.326</w:t>
            </w:r>
          </w:p>
        </w:tc>
        <w:tc>
          <w:tcPr>
            <w:tcW w:w="644" w:type="pct"/>
            <w:vAlign w:val="center"/>
          </w:tcPr>
          <w:p w14:paraId="02CD0A04"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0.16</w:t>
            </w:r>
          </w:p>
        </w:tc>
      </w:tr>
      <w:tr w:rsidR="008A2411" w:rsidRPr="008A2411" w14:paraId="60DDFA55" w14:textId="77777777">
        <w:trPr>
          <w:trHeight w:val="339"/>
          <w:tblHeader/>
          <w:jc w:val="center"/>
        </w:trPr>
        <w:tc>
          <w:tcPr>
            <w:tcW w:w="1860" w:type="pct"/>
            <w:vAlign w:val="center"/>
          </w:tcPr>
          <w:p w14:paraId="52843AD8"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最大浓度出现距离</w:t>
            </w:r>
          </w:p>
        </w:tc>
        <w:tc>
          <w:tcPr>
            <w:tcW w:w="3139" w:type="pct"/>
            <w:gridSpan w:val="4"/>
            <w:vAlign w:val="center"/>
          </w:tcPr>
          <w:p w14:paraId="35D2539A"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418m</w:t>
            </w:r>
          </w:p>
        </w:tc>
      </w:tr>
      <w:tr w:rsidR="008A2411" w:rsidRPr="008A2411" w14:paraId="3C3113F3" w14:textId="77777777">
        <w:trPr>
          <w:trHeight w:val="349"/>
          <w:tblHeader/>
          <w:jc w:val="center"/>
        </w:trPr>
        <w:tc>
          <w:tcPr>
            <w:tcW w:w="1860" w:type="pct"/>
            <w:vAlign w:val="center"/>
          </w:tcPr>
          <w:p w14:paraId="3ED98258" w14:textId="77777777" w:rsidR="00B0005F" w:rsidRPr="008A2411" w:rsidRDefault="00000000">
            <w:pPr>
              <w:pStyle w:val="afffffffffffff1"/>
              <w:rPr>
                <w:rFonts w:ascii="Times New Roman" w:hAnsi="Times New Roman" w:cs="Times New Roman"/>
                <w:snapToGrid/>
                <w:color w:val="000000" w:themeColor="text1"/>
                <w:spacing w:val="0"/>
                <w:sz w:val="21"/>
              </w:rPr>
            </w:pPr>
            <w:proofErr w:type="gramStart"/>
            <w:r w:rsidRPr="008A2411">
              <w:rPr>
                <w:rFonts w:ascii="Times New Roman" w:hAnsi="Times New Roman" w:cs="Times New Roman"/>
                <w:snapToGrid/>
                <w:color w:val="000000" w:themeColor="text1"/>
                <w:spacing w:val="0"/>
                <w:sz w:val="21"/>
              </w:rPr>
              <w:t>距源最远</w:t>
            </w:r>
            <w:proofErr w:type="gramEnd"/>
            <w:r w:rsidRPr="008A2411">
              <w:rPr>
                <w:rFonts w:ascii="Times New Roman" w:hAnsi="Times New Roman" w:cs="Times New Roman"/>
                <w:snapToGrid/>
                <w:color w:val="000000" w:themeColor="text1"/>
                <w:spacing w:val="0"/>
                <w:sz w:val="21"/>
              </w:rPr>
              <w:t>距离</w:t>
            </w:r>
            <w:r w:rsidRPr="008A2411">
              <w:rPr>
                <w:rFonts w:ascii="Times New Roman" w:hAnsi="Times New Roman" w:cs="Times New Roman"/>
                <w:snapToGrid/>
                <w:color w:val="000000" w:themeColor="text1"/>
                <w:spacing w:val="0"/>
                <w:sz w:val="21"/>
              </w:rPr>
              <w:t>D10%</w:t>
            </w:r>
          </w:p>
        </w:tc>
        <w:tc>
          <w:tcPr>
            <w:tcW w:w="3139" w:type="pct"/>
            <w:gridSpan w:val="4"/>
            <w:vAlign w:val="center"/>
          </w:tcPr>
          <w:p w14:paraId="396A4049"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Pmax</w:t>
            </w:r>
            <w:r w:rsidRPr="008A2411">
              <w:rPr>
                <w:rFonts w:ascii="Times New Roman" w:hAnsi="Times New Roman" w:cs="Times New Roman"/>
                <w:snapToGrid/>
                <w:color w:val="000000" w:themeColor="text1"/>
                <w:spacing w:val="0"/>
                <w:sz w:val="21"/>
              </w:rPr>
              <w:t>＜</w:t>
            </w:r>
            <w:r w:rsidRPr="008A2411">
              <w:rPr>
                <w:rFonts w:ascii="Times New Roman" w:hAnsi="Times New Roman" w:cs="Times New Roman"/>
                <w:snapToGrid/>
                <w:color w:val="000000" w:themeColor="text1"/>
                <w:spacing w:val="0"/>
                <w:sz w:val="21"/>
              </w:rPr>
              <w:t>10%</w:t>
            </w:r>
          </w:p>
        </w:tc>
      </w:tr>
    </w:tbl>
    <w:p w14:paraId="41D72C8A" w14:textId="77777777" w:rsidR="00B0005F" w:rsidRPr="008A2411" w:rsidRDefault="00000000">
      <w:pPr>
        <w:spacing w:line="360" w:lineRule="exact"/>
        <w:rPr>
          <w:rFonts w:ascii="Times New Roman"/>
          <w:color w:val="000000" w:themeColor="text1"/>
          <w:sz w:val="21"/>
          <w:szCs w:val="21"/>
        </w:rPr>
      </w:pPr>
      <w:r w:rsidRPr="008A2411">
        <w:rPr>
          <w:rFonts w:ascii="Times New Roman"/>
          <w:color w:val="000000" w:themeColor="text1"/>
          <w:sz w:val="21"/>
          <w:szCs w:val="21"/>
        </w:rPr>
        <w:t>注：上表中</w:t>
      </w:r>
      <w:r w:rsidRPr="008A2411">
        <w:rPr>
          <w:rFonts w:ascii="Times New Roman"/>
          <w:color w:val="000000" w:themeColor="text1"/>
          <w:sz w:val="21"/>
          <w:szCs w:val="21"/>
        </w:rPr>
        <w:t>C</w:t>
      </w:r>
      <w:r w:rsidRPr="008A2411">
        <w:rPr>
          <w:rFonts w:ascii="Times New Roman"/>
          <w:color w:val="000000" w:themeColor="text1"/>
          <w:sz w:val="21"/>
          <w:szCs w:val="21"/>
        </w:rPr>
        <w:t>表示落地浓度（</w:t>
      </w:r>
      <w:r w:rsidRPr="008A2411">
        <w:rPr>
          <w:rFonts w:ascii="Times New Roman"/>
          <w:color w:val="000000" w:themeColor="text1"/>
          <w:sz w:val="21"/>
          <w:szCs w:val="21"/>
        </w:rPr>
        <w:t>mg/m</w:t>
      </w:r>
      <w:r w:rsidRPr="008A2411">
        <w:rPr>
          <w:rFonts w:ascii="Times New Roman"/>
          <w:color w:val="000000" w:themeColor="text1"/>
          <w:sz w:val="21"/>
          <w:szCs w:val="21"/>
          <w:vertAlign w:val="superscript"/>
        </w:rPr>
        <w:t>3</w:t>
      </w:r>
      <w:r w:rsidRPr="008A2411">
        <w:rPr>
          <w:rFonts w:ascii="Times New Roman"/>
          <w:color w:val="000000" w:themeColor="text1"/>
          <w:sz w:val="21"/>
          <w:szCs w:val="21"/>
        </w:rPr>
        <w:t>），</w:t>
      </w:r>
      <w:r w:rsidRPr="008A2411">
        <w:rPr>
          <w:rFonts w:ascii="Times New Roman"/>
          <w:color w:val="000000" w:themeColor="text1"/>
          <w:sz w:val="21"/>
          <w:szCs w:val="21"/>
        </w:rPr>
        <w:t>P</w:t>
      </w:r>
      <w:r w:rsidRPr="008A2411">
        <w:rPr>
          <w:rFonts w:ascii="Times New Roman"/>
          <w:color w:val="000000" w:themeColor="text1"/>
          <w:sz w:val="21"/>
          <w:szCs w:val="21"/>
        </w:rPr>
        <w:t>表示占标率（</w:t>
      </w:r>
      <w:r w:rsidRPr="008A2411">
        <w:rPr>
          <w:rFonts w:ascii="Times New Roman"/>
          <w:color w:val="000000" w:themeColor="text1"/>
          <w:sz w:val="21"/>
          <w:szCs w:val="21"/>
        </w:rPr>
        <w:t>%</w:t>
      </w:r>
      <w:r w:rsidRPr="008A2411">
        <w:rPr>
          <w:rFonts w:ascii="Times New Roman"/>
          <w:color w:val="000000" w:themeColor="text1"/>
          <w:sz w:val="21"/>
          <w:szCs w:val="21"/>
        </w:rPr>
        <w:t>）。</w:t>
      </w:r>
    </w:p>
    <w:p w14:paraId="76D48D1C" w14:textId="77777777" w:rsidR="00B0005F" w:rsidRPr="008A2411" w:rsidRDefault="00000000">
      <w:pPr>
        <w:spacing w:line="360" w:lineRule="exact"/>
        <w:jc w:val="center"/>
        <w:rPr>
          <w:rFonts w:ascii="Times New Roman" w:eastAsia="黑体"/>
          <w:color w:val="000000" w:themeColor="text1"/>
          <w:szCs w:val="24"/>
        </w:rPr>
      </w:pPr>
      <w:r w:rsidRPr="008A2411">
        <w:rPr>
          <w:rFonts w:ascii="Times New Roman" w:eastAsia="黑体"/>
          <w:color w:val="000000" w:themeColor="text1"/>
          <w:szCs w:val="24"/>
        </w:rPr>
        <w:lastRenderedPageBreak/>
        <w:t>表</w:t>
      </w:r>
      <w:r w:rsidRPr="008A2411">
        <w:rPr>
          <w:rFonts w:ascii="Times New Roman" w:eastAsia="黑体"/>
          <w:color w:val="000000" w:themeColor="text1"/>
          <w:szCs w:val="24"/>
        </w:rPr>
        <w:t xml:space="preserve">5.2-6  </w:t>
      </w:r>
      <w:r w:rsidRPr="008A2411">
        <w:rPr>
          <w:rFonts w:ascii="Times New Roman" w:eastAsia="黑体"/>
          <w:color w:val="000000" w:themeColor="text1"/>
          <w:szCs w:val="24"/>
        </w:rPr>
        <w:t>站场无组织废气排放影响估算结果</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97"/>
        <w:gridCol w:w="2814"/>
        <w:gridCol w:w="2811"/>
      </w:tblGrid>
      <w:tr w:rsidR="008A2411" w:rsidRPr="008A2411" w14:paraId="2133DF01" w14:textId="77777777">
        <w:trPr>
          <w:trHeight w:val="340"/>
          <w:tblHeader/>
          <w:jc w:val="center"/>
        </w:trPr>
        <w:tc>
          <w:tcPr>
            <w:tcW w:w="1699" w:type="pct"/>
            <w:vMerge w:val="restart"/>
            <w:vAlign w:val="center"/>
          </w:tcPr>
          <w:p w14:paraId="5336695A" w14:textId="77777777" w:rsidR="00B0005F" w:rsidRPr="008A2411" w:rsidRDefault="00000000">
            <w:pPr>
              <w:pStyle w:val="afffffffffffff1"/>
              <w:rPr>
                <w:rFonts w:ascii="Times New Roman" w:hAnsi="Times New Roman" w:cs="Times New Roman"/>
                <w:snapToGrid/>
                <w:color w:val="000000" w:themeColor="text1"/>
                <w:spacing w:val="0"/>
                <w:sz w:val="21"/>
              </w:rPr>
            </w:pPr>
            <w:proofErr w:type="gramStart"/>
            <w:r w:rsidRPr="008A2411">
              <w:rPr>
                <w:rFonts w:ascii="Times New Roman" w:hAnsi="Times New Roman" w:cs="Times New Roman"/>
                <w:snapToGrid/>
                <w:color w:val="000000" w:themeColor="text1"/>
                <w:spacing w:val="0"/>
                <w:sz w:val="21"/>
              </w:rPr>
              <w:t>距源中心</w:t>
            </w:r>
            <w:proofErr w:type="gramEnd"/>
            <w:r w:rsidRPr="008A2411">
              <w:rPr>
                <w:rFonts w:ascii="Times New Roman" w:hAnsi="Times New Roman" w:cs="Times New Roman"/>
                <w:snapToGrid/>
                <w:color w:val="000000" w:themeColor="text1"/>
                <w:spacing w:val="0"/>
                <w:sz w:val="21"/>
              </w:rPr>
              <w:t>下风向</w:t>
            </w:r>
          </w:p>
          <w:p w14:paraId="69747709"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距离</w:t>
            </w:r>
            <w:r w:rsidRPr="008A2411">
              <w:rPr>
                <w:rFonts w:ascii="Times New Roman" w:hAnsi="Times New Roman" w:cs="Times New Roman"/>
                <w:snapToGrid/>
                <w:color w:val="000000" w:themeColor="text1"/>
                <w:spacing w:val="0"/>
                <w:sz w:val="21"/>
              </w:rPr>
              <w:t>D/m</w:t>
            </w:r>
          </w:p>
        </w:tc>
        <w:tc>
          <w:tcPr>
            <w:tcW w:w="3300" w:type="pct"/>
            <w:gridSpan w:val="2"/>
            <w:vAlign w:val="center"/>
          </w:tcPr>
          <w:p w14:paraId="34079034"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无组织排放</w:t>
            </w:r>
          </w:p>
        </w:tc>
      </w:tr>
      <w:tr w:rsidR="008A2411" w:rsidRPr="008A2411" w14:paraId="51114073" w14:textId="77777777">
        <w:trPr>
          <w:trHeight w:val="340"/>
          <w:tblHeader/>
          <w:jc w:val="center"/>
        </w:trPr>
        <w:tc>
          <w:tcPr>
            <w:tcW w:w="1699" w:type="pct"/>
            <w:vMerge/>
            <w:vAlign w:val="center"/>
          </w:tcPr>
          <w:p w14:paraId="5DFEE11C" w14:textId="77777777" w:rsidR="00B0005F" w:rsidRPr="008A2411" w:rsidRDefault="00B0005F">
            <w:pPr>
              <w:pStyle w:val="afffffffffffff1"/>
              <w:rPr>
                <w:rFonts w:ascii="Times New Roman" w:hAnsi="Times New Roman" w:cs="Times New Roman"/>
                <w:snapToGrid/>
                <w:color w:val="000000" w:themeColor="text1"/>
                <w:spacing w:val="0"/>
                <w:sz w:val="21"/>
              </w:rPr>
            </w:pPr>
          </w:p>
        </w:tc>
        <w:tc>
          <w:tcPr>
            <w:tcW w:w="3300" w:type="pct"/>
            <w:gridSpan w:val="2"/>
            <w:vAlign w:val="center"/>
          </w:tcPr>
          <w:p w14:paraId="160ECE69" w14:textId="1AB0A9C7" w:rsidR="00B0005F" w:rsidRPr="008A2411" w:rsidRDefault="00F243D6">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NMHC</w:t>
            </w:r>
          </w:p>
        </w:tc>
      </w:tr>
      <w:tr w:rsidR="008A2411" w:rsidRPr="008A2411" w14:paraId="6477120B" w14:textId="77777777">
        <w:trPr>
          <w:trHeight w:val="340"/>
          <w:tblHeader/>
          <w:jc w:val="center"/>
        </w:trPr>
        <w:tc>
          <w:tcPr>
            <w:tcW w:w="1699" w:type="pct"/>
            <w:vMerge/>
            <w:vAlign w:val="center"/>
          </w:tcPr>
          <w:p w14:paraId="1DE25F5C" w14:textId="77777777" w:rsidR="00B0005F" w:rsidRPr="008A2411" w:rsidRDefault="00B0005F">
            <w:pPr>
              <w:pStyle w:val="afffffffffffff1"/>
              <w:rPr>
                <w:rFonts w:ascii="Times New Roman" w:hAnsi="Times New Roman" w:cs="Times New Roman"/>
                <w:snapToGrid/>
                <w:color w:val="000000" w:themeColor="text1"/>
                <w:spacing w:val="0"/>
                <w:sz w:val="21"/>
              </w:rPr>
            </w:pPr>
          </w:p>
        </w:tc>
        <w:tc>
          <w:tcPr>
            <w:tcW w:w="1651" w:type="pct"/>
            <w:vAlign w:val="center"/>
          </w:tcPr>
          <w:p w14:paraId="10710F43"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C/</w:t>
            </w:r>
            <w:r w:rsidRPr="008A2411">
              <w:rPr>
                <w:rFonts w:ascii="Times New Roman" w:hAnsi="Times New Roman" w:cs="Times New Roman"/>
                <w:snapToGrid/>
                <w:color w:val="000000" w:themeColor="text1"/>
                <w:spacing w:val="0"/>
                <w:sz w:val="21"/>
              </w:rPr>
              <w:t>（</w:t>
            </w:r>
            <w:r w:rsidRPr="008A2411">
              <w:rPr>
                <w:rFonts w:ascii="Times New Roman" w:hAnsi="Times New Roman" w:cs="Times New Roman"/>
                <w:snapToGrid/>
                <w:color w:val="000000" w:themeColor="text1"/>
                <w:spacing w:val="0"/>
                <w:sz w:val="21"/>
              </w:rPr>
              <w:t>μg/m³</w:t>
            </w:r>
            <w:r w:rsidRPr="008A2411">
              <w:rPr>
                <w:rFonts w:ascii="Times New Roman" w:hAnsi="Times New Roman" w:cs="Times New Roman"/>
                <w:snapToGrid/>
                <w:color w:val="000000" w:themeColor="text1"/>
                <w:spacing w:val="0"/>
                <w:sz w:val="21"/>
              </w:rPr>
              <w:t>）</w:t>
            </w:r>
          </w:p>
        </w:tc>
        <w:tc>
          <w:tcPr>
            <w:tcW w:w="1649" w:type="pct"/>
            <w:vAlign w:val="center"/>
          </w:tcPr>
          <w:p w14:paraId="5C6331B7"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P/%</w:t>
            </w:r>
          </w:p>
        </w:tc>
      </w:tr>
      <w:tr w:rsidR="008A2411" w:rsidRPr="008A2411" w14:paraId="60E2C55E" w14:textId="77777777">
        <w:trPr>
          <w:trHeight w:val="340"/>
          <w:jc w:val="center"/>
        </w:trPr>
        <w:tc>
          <w:tcPr>
            <w:tcW w:w="1699" w:type="pct"/>
            <w:vAlign w:val="center"/>
          </w:tcPr>
          <w:p w14:paraId="46FC24A9"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下风向最大浓度</w:t>
            </w:r>
          </w:p>
        </w:tc>
        <w:tc>
          <w:tcPr>
            <w:tcW w:w="1651" w:type="pct"/>
            <w:vAlign w:val="center"/>
          </w:tcPr>
          <w:p w14:paraId="52173A1D"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104</w:t>
            </w:r>
          </w:p>
        </w:tc>
        <w:tc>
          <w:tcPr>
            <w:tcW w:w="1649" w:type="pct"/>
            <w:vAlign w:val="center"/>
          </w:tcPr>
          <w:p w14:paraId="601D58C1"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5.18</w:t>
            </w:r>
          </w:p>
        </w:tc>
      </w:tr>
      <w:tr w:rsidR="008A2411" w:rsidRPr="008A2411" w14:paraId="25A09571" w14:textId="77777777">
        <w:trPr>
          <w:trHeight w:val="340"/>
          <w:jc w:val="center"/>
        </w:trPr>
        <w:tc>
          <w:tcPr>
            <w:tcW w:w="1699" w:type="pct"/>
            <w:vAlign w:val="center"/>
          </w:tcPr>
          <w:p w14:paraId="76BA9E82"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最大浓度出现距离</w:t>
            </w:r>
          </w:p>
        </w:tc>
        <w:tc>
          <w:tcPr>
            <w:tcW w:w="3300" w:type="pct"/>
            <w:gridSpan w:val="2"/>
            <w:vAlign w:val="center"/>
          </w:tcPr>
          <w:p w14:paraId="705FC8A0"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121m</w:t>
            </w:r>
          </w:p>
        </w:tc>
      </w:tr>
      <w:tr w:rsidR="008A2411" w:rsidRPr="008A2411" w14:paraId="035E8E42" w14:textId="77777777">
        <w:trPr>
          <w:trHeight w:val="340"/>
          <w:jc w:val="center"/>
        </w:trPr>
        <w:tc>
          <w:tcPr>
            <w:tcW w:w="1699" w:type="pct"/>
            <w:vAlign w:val="center"/>
          </w:tcPr>
          <w:p w14:paraId="1C91D882" w14:textId="77777777" w:rsidR="00B0005F" w:rsidRPr="008A2411" w:rsidRDefault="00000000">
            <w:pPr>
              <w:pStyle w:val="afffffffffffff1"/>
              <w:rPr>
                <w:rFonts w:ascii="Times New Roman" w:hAnsi="Times New Roman" w:cs="Times New Roman"/>
                <w:snapToGrid/>
                <w:color w:val="000000" w:themeColor="text1"/>
                <w:spacing w:val="0"/>
                <w:sz w:val="21"/>
              </w:rPr>
            </w:pPr>
            <w:proofErr w:type="gramStart"/>
            <w:r w:rsidRPr="008A2411">
              <w:rPr>
                <w:rFonts w:ascii="Times New Roman" w:hAnsi="Times New Roman" w:cs="Times New Roman"/>
                <w:snapToGrid/>
                <w:color w:val="000000" w:themeColor="text1"/>
                <w:spacing w:val="0"/>
                <w:sz w:val="21"/>
              </w:rPr>
              <w:t>距源最远</w:t>
            </w:r>
            <w:proofErr w:type="gramEnd"/>
            <w:r w:rsidRPr="008A2411">
              <w:rPr>
                <w:rFonts w:ascii="Times New Roman" w:hAnsi="Times New Roman" w:cs="Times New Roman"/>
                <w:snapToGrid/>
                <w:color w:val="000000" w:themeColor="text1"/>
                <w:spacing w:val="0"/>
                <w:sz w:val="21"/>
              </w:rPr>
              <w:t>距离</w:t>
            </w:r>
            <w:r w:rsidRPr="008A2411">
              <w:rPr>
                <w:rFonts w:ascii="Times New Roman" w:hAnsi="Times New Roman" w:cs="Times New Roman"/>
                <w:snapToGrid/>
                <w:color w:val="000000" w:themeColor="text1"/>
                <w:spacing w:val="0"/>
                <w:sz w:val="21"/>
              </w:rPr>
              <w:t>D10%</w:t>
            </w:r>
          </w:p>
        </w:tc>
        <w:tc>
          <w:tcPr>
            <w:tcW w:w="3300" w:type="pct"/>
            <w:gridSpan w:val="2"/>
            <w:vAlign w:val="center"/>
          </w:tcPr>
          <w:p w14:paraId="222BBF81" w14:textId="77777777" w:rsidR="00B0005F" w:rsidRPr="008A2411" w:rsidRDefault="00000000">
            <w:pPr>
              <w:pStyle w:val="afffffffffffff1"/>
              <w:rPr>
                <w:rFonts w:ascii="Times New Roman" w:hAnsi="Times New Roman" w:cs="Times New Roman"/>
                <w:snapToGrid/>
                <w:color w:val="000000" w:themeColor="text1"/>
                <w:spacing w:val="0"/>
                <w:sz w:val="21"/>
              </w:rPr>
            </w:pPr>
            <w:r w:rsidRPr="008A2411">
              <w:rPr>
                <w:rFonts w:ascii="Times New Roman" w:hAnsi="Times New Roman" w:cs="Times New Roman"/>
                <w:snapToGrid/>
                <w:color w:val="000000" w:themeColor="text1"/>
                <w:spacing w:val="0"/>
                <w:sz w:val="21"/>
              </w:rPr>
              <w:t>Pmax</w:t>
            </w:r>
            <w:r w:rsidRPr="008A2411">
              <w:rPr>
                <w:rFonts w:ascii="Times New Roman" w:hAnsi="Times New Roman" w:cs="Times New Roman"/>
                <w:snapToGrid/>
                <w:color w:val="000000" w:themeColor="text1"/>
                <w:spacing w:val="0"/>
                <w:sz w:val="21"/>
              </w:rPr>
              <w:t>＜</w:t>
            </w:r>
            <w:r w:rsidRPr="008A2411">
              <w:rPr>
                <w:rFonts w:ascii="Times New Roman" w:hAnsi="Times New Roman" w:cs="Times New Roman"/>
                <w:snapToGrid/>
                <w:color w:val="000000" w:themeColor="text1"/>
                <w:spacing w:val="0"/>
                <w:sz w:val="21"/>
              </w:rPr>
              <w:t>10%</w:t>
            </w:r>
          </w:p>
        </w:tc>
      </w:tr>
    </w:tbl>
    <w:p w14:paraId="5D843E03" w14:textId="77777777" w:rsidR="00B0005F" w:rsidRPr="008A2411" w:rsidRDefault="00000000">
      <w:pPr>
        <w:spacing w:line="360" w:lineRule="exact"/>
        <w:rPr>
          <w:rFonts w:ascii="Times New Roman"/>
          <w:color w:val="000000" w:themeColor="text1"/>
          <w:sz w:val="21"/>
          <w:szCs w:val="21"/>
        </w:rPr>
      </w:pPr>
      <w:r w:rsidRPr="008A2411">
        <w:rPr>
          <w:rFonts w:ascii="Times New Roman"/>
          <w:color w:val="000000" w:themeColor="text1"/>
          <w:sz w:val="21"/>
          <w:szCs w:val="21"/>
        </w:rPr>
        <w:t>注：上表中</w:t>
      </w:r>
      <w:r w:rsidRPr="008A2411">
        <w:rPr>
          <w:rFonts w:ascii="Times New Roman"/>
          <w:color w:val="000000" w:themeColor="text1"/>
          <w:sz w:val="21"/>
          <w:szCs w:val="21"/>
        </w:rPr>
        <w:t>C</w:t>
      </w:r>
      <w:r w:rsidRPr="008A2411">
        <w:rPr>
          <w:rFonts w:ascii="Times New Roman"/>
          <w:color w:val="000000" w:themeColor="text1"/>
          <w:sz w:val="21"/>
          <w:szCs w:val="21"/>
        </w:rPr>
        <w:t>表示落地浓度（</w:t>
      </w:r>
      <w:r w:rsidRPr="008A2411">
        <w:rPr>
          <w:rFonts w:ascii="Times New Roman"/>
          <w:color w:val="000000" w:themeColor="text1"/>
          <w:sz w:val="21"/>
          <w:szCs w:val="21"/>
        </w:rPr>
        <w:t>mg/m</w:t>
      </w:r>
      <w:r w:rsidRPr="008A2411">
        <w:rPr>
          <w:rFonts w:ascii="Times New Roman"/>
          <w:color w:val="000000" w:themeColor="text1"/>
          <w:sz w:val="21"/>
          <w:szCs w:val="21"/>
          <w:vertAlign w:val="superscript"/>
        </w:rPr>
        <w:t>3</w:t>
      </w:r>
      <w:r w:rsidRPr="008A2411">
        <w:rPr>
          <w:rFonts w:ascii="Times New Roman"/>
          <w:color w:val="000000" w:themeColor="text1"/>
          <w:sz w:val="21"/>
          <w:szCs w:val="21"/>
        </w:rPr>
        <w:t>），</w:t>
      </w:r>
      <w:r w:rsidRPr="008A2411">
        <w:rPr>
          <w:rFonts w:ascii="Times New Roman"/>
          <w:color w:val="000000" w:themeColor="text1"/>
          <w:sz w:val="21"/>
          <w:szCs w:val="21"/>
        </w:rPr>
        <w:t>P</w:t>
      </w:r>
      <w:r w:rsidRPr="008A2411">
        <w:rPr>
          <w:rFonts w:ascii="Times New Roman"/>
          <w:color w:val="000000" w:themeColor="text1"/>
          <w:sz w:val="21"/>
          <w:szCs w:val="21"/>
        </w:rPr>
        <w:t>表示占标率（</w:t>
      </w:r>
      <w:r w:rsidRPr="008A2411">
        <w:rPr>
          <w:rFonts w:ascii="Times New Roman"/>
          <w:color w:val="000000" w:themeColor="text1"/>
          <w:sz w:val="21"/>
          <w:szCs w:val="21"/>
        </w:rPr>
        <w:t>%</w:t>
      </w:r>
      <w:r w:rsidRPr="008A2411">
        <w:rPr>
          <w:rFonts w:ascii="Times New Roman"/>
          <w:color w:val="000000" w:themeColor="text1"/>
          <w:sz w:val="21"/>
          <w:szCs w:val="21"/>
        </w:rPr>
        <w:t>）。</w:t>
      </w:r>
    </w:p>
    <w:p w14:paraId="354BD03C" w14:textId="2830377D" w:rsidR="00B0005F" w:rsidRPr="008A2411" w:rsidRDefault="00000000">
      <w:pPr>
        <w:pStyle w:val="WJ"/>
        <w:rPr>
          <w:rFonts w:ascii="Times New Roman" w:hAnsi="Times New Roman"/>
          <w:color w:val="000000" w:themeColor="text1"/>
          <w:lang w:bidi="en-US"/>
        </w:rPr>
      </w:pPr>
      <w:r w:rsidRPr="008A2411">
        <w:rPr>
          <w:rFonts w:ascii="Times New Roman" w:hAnsi="Times New Roman"/>
          <w:color w:val="000000" w:themeColor="text1"/>
          <w:lang w:bidi="en-US"/>
        </w:rPr>
        <w:t>由表</w:t>
      </w:r>
      <w:r w:rsidRPr="008A2411">
        <w:rPr>
          <w:rFonts w:ascii="Times New Roman" w:hAnsi="Times New Roman"/>
          <w:color w:val="000000" w:themeColor="text1"/>
          <w:lang w:bidi="en-US"/>
        </w:rPr>
        <w:t>5.2-3</w:t>
      </w:r>
      <w:r w:rsidRPr="008A2411">
        <w:rPr>
          <w:rFonts w:ascii="Times New Roman" w:hAnsi="Times New Roman"/>
          <w:color w:val="000000" w:themeColor="text1"/>
          <w:lang w:bidi="en-US"/>
        </w:rPr>
        <w:t>预测结果可知，</w:t>
      </w:r>
      <w:proofErr w:type="gramStart"/>
      <w:r w:rsidRPr="008A2411">
        <w:rPr>
          <w:rFonts w:ascii="Times New Roman" w:hAnsi="Times New Roman"/>
          <w:color w:val="000000" w:themeColor="text1"/>
        </w:rPr>
        <w:t>脱硫塔排气筒</w:t>
      </w:r>
      <w:proofErr w:type="gramEnd"/>
      <w:r w:rsidRPr="008A2411">
        <w:rPr>
          <w:rFonts w:ascii="Times New Roman" w:hAnsi="Times New Roman"/>
          <w:color w:val="000000" w:themeColor="text1"/>
          <w:lang w:bidi="en-US"/>
        </w:rPr>
        <w:t>排放的</w:t>
      </w:r>
      <w:r w:rsidRPr="008A2411">
        <w:rPr>
          <w:rFonts w:ascii="Times New Roman" w:hAnsi="Times New Roman"/>
          <w:color w:val="000000" w:themeColor="text1"/>
        </w:rPr>
        <w:t>H</w:t>
      </w:r>
      <w:r w:rsidRPr="008A2411">
        <w:rPr>
          <w:rFonts w:ascii="Times New Roman" w:hAnsi="Times New Roman"/>
          <w:color w:val="000000" w:themeColor="text1"/>
          <w:vertAlign w:val="subscript"/>
        </w:rPr>
        <w:t>2</w:t>
      </w:r>
      <w:r w:rsidRPr="008A2411">
        <w:rPr>
          <w:rFonts w:ascii="Times New Roman" w:hAnsi="Times New Roman"/>
          <w:color w:val="000000" w:themeColor="text1"/>
        </w:rPr>
        <w:t>S</w:t>
      </w:r>
      <w:r w:rsidRPr="008A2411">
        <w:rPr>
          <w:rFonts w:ascii="Times New Roman" w:hAnsi="Times New Roman"/>
          <w:color w:val="000000" w:themeColor="text1"/>
          <w:lang w:bidi="en-US"/>
        </w:rPr>
        <w:t>和</w:t>
      </w:r>
      <w:r w:rsidR="00F243D6" w:rsidRPr="008A2411">
        <w:rPr>
          <w:rFonts w:ascii="Times New Roman" w:hAnsi="Times New Roman"/>
          <w:color w:val="000000" w:themeColor="text1"/>
        </w:rPr>
        <w:t>NMHC</w:t>
      </w:r>
      <w:r w:rsidRPr="008A2411">
        <w:rPr>
          <w:rFonts w:ascii="Times New Roman" w:hAnsi="Times New Roman"/>
          <w:color w:val="000000" w:themeColor="text1"/>
          <w:lang w:bidi="en-US"/>
        </w:rPr>
        <w:t>最大落地浓度出现在</w:t>
      </w:r>
      <w:r w:rsidRPr="008A2411">
        <w:rPr>
          <w:rFonts w:ascii="Times New Roman" w:hAnsi="Times New Roman"/>
          <w:color w:val="000000" w:themeColor="text1"/>
          <w:lang w:bidi="en-US"/>
        </w:rPr>
        <w:t>420m</w:t>
      </w:r>
      <w:r w:rsidRPr="008A2411">
        <w:rPr>
          <w:rFonts w:ascii="Times New Roman" w:hAnsi="Times New Roman"/>
          <w:color w:val="000000" w:themeColor="text1"/>
          <w:lang w:bidi="en-US"/>
        </w:rPr>
        <w:t>处，最</w:t>
      </w:r>
      <w:r w:rsidRPr="008A2411">
        <w:rPr>
          <w:rFonts w:ascii="Times New Roman" w:hAnsi="Times New Roman"/>
          <w:color w:val="000000" w:themeColor="text1"/>
        </w:rPr>
        <w:t>大落地浓度分别为</w:t>
      </w:r>
      <w:r w:rsidRPr="008A2411">
        <w:rPr>
          <w:rFonts w:ascii="Times New Roman" w:hAnsi="Times New Roman"/>
          <w:color w:val="000000" w:themeColor="text1"/>
        </w:rPr>
        <w:t>0.212μg/m</w:t>
      </w:r>
      <w:r w:rsidRPr="008A2411">
        <w:rPr>
          <w:rFonts w:ascii="Times New Roman" w:hAnsi="Times New Roman"/>
          <w:color w:val="000000" w:themeColor="text1"/>
          <w:vertAlign w:val="superscript"/>
        </w:rPr>
        <w:t>3</w:t>
      </w:r>
      <w:r w:rsidRPr="008A2411">
        <w:rPr>
          <w:rFonts w:ascii="Times New Roman" w:hAnsi="Times New Roman"/>
          <w:color w:val="000000" w:themeColor="text1"/>
        </w:rPr>
        <w:t>、</w:t>
      </w:r>
      <w:r w:rsidRPr="008A2411">
        <w:rPr>
          <w:rFonts w:ascii="Times New Roman" w:hAnsi="Times New Roman"/>
          <w:color w:val="000000" w:themeColor="text1"/>
        </w:rPr>
        <w:t>3.96μg/m</w:t>
      </w:r>
      <w:r w:rsidRPr="008A2411">
        <w:rPr>
          <w:rFonts w:ascii="Times New Roman" w:hAnsi="Times New Roman"/>
          <w:color w:val="000000" w:themeColor="text1"/>
          <w:vertAlign w:val="superscript"/>
        </w:rPr>
        <w:t>3</w:t>
      </w:r>
      <w:r w:rsidRPr="008A2411">
        <w:rPr>
          <w:rFonts w:ascii="Times New Roman" w:hAnsi="Times New Roman"/>
          <w:color w:val="000000" w:themeColor="text1"/>
        </w:rPr>
        <w:t>，</w:t>
      </w:r>
      <w:proofErr w:type="gramStart"/>
      <w:r w:rsidRPr="008A2411">
        <w:rPr>
          <w:rFonts w:ascii="Times New Roman" w:hAnsi="Times New Roman"/>
          <w:color w:val="000000" w:themeColor="text1"/>
          <w:lang w:bidi="en-US"/>
        </w:rPr>
        <w:t>相应占</w:t>
      </w:r>
      <w:proofErr w:type="gramEnd"/>
      <w:r w:rsidRPr="008A2411">
        <w:rPr>
          <w:rFonts w:ascii="Times New Roman" w:hAnsi="Times New Roman"/>
          <w:color w:val="000000" w:themeColor="text1"/>
          <w:lang w:bidi="en-US"/>
        </w:rPr>
        <w:t>标率分别为</w:t>
      </w:r>
      <w:r w:rsidRPr="008A2411">
        <w:rPr>
          <w:rFonts w:ascii="Times New Roman" w:hAnsi="Times New Roman"/>
          <w:color w:val="000000" w:themeColor="text1"/>
          <w:lang w:bidi="en-US"/>
        </w:rPr>
        <w:t>2.12%</w:t>
      </w:r>
      <w:r w:rsidRPr="008A2411">
        <w:rPr>
          <w:rFonts w:ascii="Times New Roman" w:hAnsi="Times New Roman"/>
          <w:color w:val="000000" w:themeColor="text1"/>
          <w:lang w:bidi="en-US"/>
        </w:rPr>
        <w:t>、</w:t>
      </w:r>
      <w:r w:rsidRPr="008A2411">
        <w:rPr>
          <w:rFonts w:ascii="Times New Roman" w:hAnsi="Times New Roman"/>
          <w:color w:val="000000" w:themeColor="text1"/>
          <w:lang w:bidi="en-US"/>
        </w:rPr>
        <w:t>0.2%</w:t>
      </w:r>
      <w:r w:rsidRPr="008A2411">
        <w:rPr>
          <w:rFonts w:ascii="Times New Roman" w:hAnsi="Times New Roman"/>
          <w:color w:val="000000" w:themeColor="text1"/>
          <w:lang w:bidi="en-US"/>
        </w:rPr>
        <w:t>；站场场导热油炉排放的</w:t>
      </w:r>
      <w:bookmarkStart w:id="372" w:name="OLE_LINK72"/>
      <w:r w:rsidRPr="008A2411">
        <w:rPr>
          <w:rFonts w:ascii="Times New Roman" w:hAnsi="Times New Roman"/>
          <w:color w:val="000000" w:themeColor="text1"/>
        </w:rPr>
        <w:t>SO</w:t>
      </w:r>
      <w:r w:rsidRPr="008A2411">
        <w:rPr>
          <w:rFonts w:ascii="Times New Roman" w:hAnsi="Times New Roman"/>
          <w:color w:val="000000" w:themeColor="text1"/>
          <w:vertAlign w:val="subscript"/>
        </w:rPr>
        <w:t>2</w:t>
      </w:r>
      <w:r w:rsidRPr="008A2411">
        <w:rPr>
          <w:rFonts w:ascii="Times New Roman" w:hAnsi="Times New Roman"/>
          <w:color w:val="000000" w:themeColor="text1"/>
          <w:lang w:bidi="en-US"/>
        </w:rPr>
        <w:t>和</w:t>
      </w:r>
      <w:bookmarkStart w:id="373" w:name="OLE_LINK69"/>
      <w:r w:rsidRPr="008A2411">
        <w:rPr>
          <w:rFonts w:ascii="Times New Roman" w:hAnsi="Times New Roman"/>
          <w:color w:val="000000" w:themeColor="text1"/>
        </w:rPr>
        <w:t>NO</w:t>
      </w:r>
      <w:bookmarkEnd w:id="373"/>
      <w:r w:rsidRPr="008A2411">
        <w:rPr>
          <w:rFonts w:ascii="Times New Roman" w:hAnsi="Times New Roman"/>
          <w:color w:val="000000" w:themeColor="text1"/>
          <w:vertAlign w:val="subscript"/>
        </w:rPr>
        <w:t>X</w:t>
      </w:r>
      <w:bookmarkStart w:id="374" w:name="OLE_LINK74"/>
      <w:bookmarkEnd w:id="372"/>
      <w:r w:rsidRPr="008A2411">
        <w:rPr>
          <w:rFonts w:ascii="Times New Roman" w:hAnsi="Times New Roman"/>
          <w:color w:val="000000" w:themeColor="text1"/>
          <w:lang w:bidi="en-US"/>
        </w:rPr>
        <w:t>最大落地浓度出现在</w:t>
      </w:r>
      <w:bookmarkEnd w:id="374"/>
      <w:r w:rsidRPr="008A2411">
        <w:rPr>
          <w:rFonts w:ascii="Times New Roman" w:hAnsi="Times New Roman"/>
          <w:color w:val="000000" w:themeColor="text1"/>
          <w:lang w:bidi="en-US"/>
        </w:rPr>
        <w:t>417m</w:t>
      </w:r>
      <w:r w:rsidRPr="008A2411">
        <w:rPr>
          <w:rFonts w:ascii="Times New Roman" w:hAnsi="Times New Roman"/>
          <w:color w:val="000000" w:themeColor="text1"/>
          <w:lang w:bidi="en-US"/>
        </w:rPr>
        <w:t>处，</w:t>
      </w:r>
      <w:bookmarkStart w:id="375" w:name="OLE_LINK73"/>
      <w:r w:rsidRPr="008A2411">
        <w:rPr>
          <w:rFonts w:ascii="Times New Roman" w:hAnsi="Times New Roman"/>
          <w:color w:val="000000" w:themeColor="text1"/>
          <w:lang w:bidi="en-US"/>
        </w:rPr>
        <w:t>最</w:t>
      </w:r>
      <w:r w:rsidRPr="008A2411">
        <w:rPr>
          <w:rFonts w:ascii="Times New Roman" w:hAnsi="Times New Roman"/>
          <w:color w:val="000000" w:themeColor="text1"/>
        </w:rPr>
        <w:t>大落地浓度分别为</w:t>
      </w:r>
      <w:bookmarkEnd w:id="375"/>
      <w:r w:rsidRPr="008A2411">
        <w:rPr>
          <w:rFonts w:ascii="Times New Roman" w:hAnsi="Times New Roman"/>
          <w:color w:val="000000" w:themeColor="text1"/>
        </w:rPr>
        <w:t>0.0317μg/m</w:t>
      </w:r>
      <w:r w:rsidRPr="008A2411">
        <w:rPr>
          <w:rFonts w:ascii="Times New Roman" w:hAnsi="Times New Roman"/>
          <w:color w:val="000000" w:themeColor="text1"/>
          <w:vertAlign w:val="superscript"/>
        </w:rPr>
        <w:t>3</w:t>
      </w:r>
      <w:r w:rsidRPr="008A2411">
        <w:rPr>
          <w:rFonts w:ascii="Times New Roman" w:hAnsi="Times New Roman"/>
          <w:color w:val="000000" w:themeColor="text1"/>
        </w:rPr>
        <w:t>、</w:t>
      </w:r>
      <w:r w:rsidRPr="008A2411">
        <w:rPr>
          <w:rFonts w:ascii="Times New Roman" w:hAnsi="Times New Roman"/>
          <w:color w:val="000000" w:themeColor="text1"/>
        </w:rPr>
        <w:t>1.52μg/m</w:t>
      </w:r>
      <w:r w:rsidRPr="008A2411">
        <w:rPr>
          <w:rFonts w:ascii="Times New Roman" w:hAnsi="Times New Roman"/>
          <w:color w:val="000000" w:themeColor="text1"/>
          <w:vertAlign w:val="superscript"/>
        </w:rPr>
        <w:t>3</w:t>
      </w:r>
      <w:r w:rsidRPr="008A2411">
        <w:rPr>
          <w:rFonts w:ascii="Times New Roman" w:hAnsi="Times New Roman"/>
          <w:color w:val="000000" w:themeColor="text1"/>
        </w:rPr>
        <w:t>，</w:t>
      </w:r>
      <w:proofErr w:type="gramStart"/>
      <w:r w:rsidRPr="008A2411">
        <w:rPr>
          <w:rFonts w:ascii="Times New Roman" w:hAnsi="Times New Roman"/>
          <w:color w:val="000000" w:themeColor="text1"/>
          <w:lang w:bidi="en-US"/>
        </w:rPr>
        <w:t>相应占</w:t>
      </w:r>
      <w:proofErr w:type="gramEnd"/>
      <w:r w:rsidRPr="008A2411">
        <w:rPr>
          <w:rFonts w:ascii="Times New Roman" w:hAnsi="Times New Roman"/>
          <w:color w:val="000000" w:themeColor="text1"/>
          <w:lang w:bidi="en-US"/>
        </w:rPr>
        <w:t>标率分别为</w:t>
      </w:r>
      <w:r w:rsidRPr="008A2411">
        <w:rPr>
          <w:rFonts w:ascii="Times New Roman" w:hAnsi="Times New Roman"/>
          <w:color w:val="000000" w:themeColor="text1"/>
          <w:lang w:bidi="en-US"/>
        </w:rPr>
        <w:t>0.01%</w:t>
      </w:r>
      <w:r w:rsidRPr="008A2411">
        <w:rPr>
          <w:rFonts w:ascii="Times New Roman" w:hAnsi="Times New Roman"/>
          <w:color w:val="000000" w:themeColor="text1"/>
          <w:lang w:bidi="en-US"/>
        </w:rPr>
        <w:t>、</w:t>
      </w:r>
      <w:r w:rsidRPr="008A2411">
        <w:rPr>
          <w:rFonts w:ascii="Times New Roman" w:hAnsi="Times New Roman"/>
          <w:color w:val="000000" w:themeColor="text1"/>
          <w:lang w:bidi="en-US"/>
        </w:rPr>
        <w:t>0.76%</w:t>
      </w:r>
      <w:r w:rsidRPr="008A2411">
        <w:rPr>
          <w:rFonts w:ascii="Times New Roman" w:hAnsi="Times New Roman"/>
          <w:color w:val="000000" w:themeColor="text1"/>
          <w:lang w:bidi="en-US"/>
        </w:rPr>
        <w:t>；长明火炬排放的</w:t>
      </w:r>
      <w:r w:rsidRPr="008A2411">
        <w:rPr>
          <w:rFonts w:ascii="Times New Roman" w:hAnsi="Times New Roman"/>
          <w:color w:val="000000" w:themeColor="text1"/>
        </w:rPr>
        <w:t>SO</w:t>
      </w:r>
      <w:r w:rsidRPr="008A2411">
        <w:rPr>
          <w:rFonts w:ascii="Times New Roman" w:hAnsi="Times New Roman"/>
          <w:color w:val="000000" w:themeColor="text1"/>
          <w:vertAlign w:val="subscript"/>
        </w:rPr>
        <w:t>2</w:t>
      </w:r>
      <w:r w:rsidRPr="008A2411">
        <w:rPr>
          <w:rFonts w:ascii="Times New Roman" w:hAnsi="Times New Roman"/>
          <w:color w:val="000000" w:themeColor="text1"/>
          <w:lang w:bidi="en-US"/>
        </w:rPr>
        <w:t>和</w:t>
      </w:r>
      <w:r w:rsidRPr="008A2411">
        <w:rPr>
          <w:rFonts w:ascii="Times New Roman" w:hAnsi="Times New Roman"/>
          <w:color w:val="000000" w:themeColor="text1"/>
          <w:lang w:bidi="en-US"/>
        </w:rPr>
        <w:t>NO</w:t>
      </w:r>
      <w:r w:rsidRPr="008A2411">
        <w:rPr>
          <w:rFonts w:ascii="Times New Roman" w:hAnsi="Times New Roman"/>
          <w:color w:val="000000" w:themeColor="text1"/>
          <w:vertAlign w:val="subscript"/>
          <w:lang w:bidi="en-US"/>
        </w:rPr>
        <w:t>X</w:t>
      </w:r>
      <w:r w:rsidRPr="008A2411">
        <w:rPr>
          <w:rFonts w:ascii="Times New Roman" w:hAnsi="Times New Roman"/>
          <w:color w:val="000000" w:themeColor="text1"/>
          <w:lang w:bidi="en-US"/>
        </w:rPr>
        <w:t>最大落地浓度出现在</w:t>
      </w:r>
      <w:r w:rsidRPr="008A2411">
        <w:rPr>
          <w:rFonts w:ascii="Times New Roman" w:hAnsi="Times New Roman"/>
          <w:color w:val="000000" w:themeColor="text1"/>
          <w:lang w:bidi="en-US"/>
        </w:rPr>
        <w:t>418m</w:t>
      </w:r>
      <w:r w:rsidRPr="008A2411">
        <w:rPr>
          <w:rFonts w:ascii="Times New Roman" w:hAnsi="Times New Roman"/>
          <w:color w:val="000000" w:themeColor="text1"/>
          <w:lang w:bidi="en-US"/>
        </w:rPr>
        <w:t>处，最</w:t>
      </w:r>
      <w:r w:rsidRPr="008A2411">
        <w:rPr>
          <w:rFonts w:ascii="Times New Roman" w:hAnsi="Times New Roman"/>
          <w:color w:val="000000" w:themeColor="text1"/>
        </w:rPr>
        <w:t>大落地浓度分别为</w:t>
      </w:r>
      <w:r w:rsidRPr="008A2411">
        <w:rPr>
          <w:rFonts w:ascii="Times New Roman" w:hAnsi="Times New Roman"/>
          <w:color w:val="000000" w:themeColor="text1"/>
        </w:rPr>
        <w:t>0.0031</w:t>
      </w:r>
      <w:r w:rsidRPr="008A2411">
        <w:rPr>
          <w:rFonts w:ascii="Times New Roman" w:hAnsi="Times New Roman"/>
          <w:color w:val="000000" w:themeColor="text1"/>
          <w:sz w:val="21"/>
          <w:szCs w:val="21"/>
        </w:rPr>
        <w:t>μg/m</w:t>
      </w:r>
      <w:r w:rsidRPr="008A2411">
        <w:rPr>
          <w:rFonts w:ascii="Times New Roman" w:hAnsi="Times New Roman"/>
          <w:color w:val="000000" w:themeColor="text1"/>
          <w:vertAlign w:val="superscript"/>
        </w:rPr>
        <w:t>3</w:t>
      </w:r>
      <w:r w:rsidRPr="008A2411">
        <w:rPr>
          <w:rFonts w:ascii="Times New Roman" w:hAnsi="Times New Roman"/>
          <w:color w:val="000000" w:themeColor="text1"/>
        </w:rPr>
        <w:t>、</w:t>
      </w:r>
      <w:r w:rsidRPr="008A2411">
        <w:rPr>
          <w:rFonts w:ascii="Times New Roman" w:hAnsi="Times New Roman"/>
          <w:color w:val="000000" w:themeColor="text1"/>
        </w:rPr>
        <w:t>0.326</w:t>
      </w:r>
      <w:r w:rsidRPr="008A2411">
        <w:rPr>
          <w:rFonts w:ascii="Times New Roman" w:hAnsi="Times New Roman"/>
          <w:color w:val="000000" w:themeColor="text1"/>
          <w:sz w:val="21"/>
          <w:szCs w:val="21"/>
        </w:rPr>
        <w:t>μg/m</w:t>
      </w:r>
      <w:r w:rsidRPr="008A2411">
        <w:rPr>
          <w:rFonts w:ascii="Times New Roman" w:hAnsi="Times New Roman"/>
          <w:color w:val="000000" w:themeColor="text1"/>
          <w:vertAlign w:val="superscript"/>
        </w:rPr>
        <w:t>3</w:t>
      </w:r>
      <w:r w:rsidRPr="008A2411">
        <w:rPr>
          <w:rFonts w:ascii="Times New Roman" w:hAnsi="Times New Roman"/>
          <w:color w:val="000000" w:themeColor="text1"/>
        </w:rPr>
        <w:t>，</w:t>
      </w:r>
      <w:proofErr w:type="gramStart"/>
      <w:r w:rsidRPr="008A2411">
        <w:rPr>
          <w:rFonts w:ascii="Times New Roman" w:hAnsi="Times New Roman"/>
          <w:color w:val="000000" w:themeColor="text1"/>
          <w:lang w:bidi="en-US"/>
        </w:rPr>
        <w:t>相应占</w:t>
      </w:r>
      <w:proofErr w:type="gramEnd"/>
      <w:r w:rsidRPr="008A2411">
        <w:rPr>
          <w:rFonts w:ascii="Times New Roman" w:hAnsi="Times New Roman"/>
          <w:color w:val="000000" w:themeColor="text1"/>
          <w:lang w:bidi="en-US"/>
        </w:rPr>
        <w:t>标率分别为</w:t>
      </w:r>
      <w:r w:rsidRPr="008A2411">
        <w:rPr>
          <w:rFonts w:ascii="Times New Roman" w:hAnsi="Times New Roman"/>
          <w:color w:val="000000" w:themeColor="text1"/>
          <w:lang w:bidi="en-US"/>
        </w:rPr>
        <w:t>0.001%</w:t>
      </w:r>
      <w:r w:rsidRPr="008A2411">
        <w:rPr>
          <w:rFonts w:ascii="Times New Roman" w:hAnsi="Times New Roman"/>
          <w:color w:val="000000" w:themeColor="text1"/>
          <w:lang w:bidi="en-US"/>
        </w:rPr>
        <w:t>、</w:t>
      </w:r>
      <w:r w:rsidRPr="008A2411">
        <w:rPr>
          <w:rFonts w:ascii="Times New Roman" w:hAnsi="Times New Roman"/>
          <w:color w:val="000000" w:themeColor="text1"/>
          <w:lang w:bidi="en-US"/>
        </w:rPr>
        <w:t>0.16%</w:t>
      </w:r>
      <w:r w:rsidRPr="008A2411">
        <w:rPr>
          <w:rFonts w:ascii="Times New Roman" w:hAnsi="Times New Roman"/>
          <w:color w:val="000000" w:themeColor="text1"/>
          <w:lang w:bidi="en-US"/>
        </w:rPr>
        <w:t>；无组织排放的</w:t>
      </w:r>
      <w:r w:rsidR="00F243D6" w:rsidRPr="008A2411">
        <w:rPr>
          <w:rFonts w:ascii="Times New Roman" w:hAnsi="Times New Roman"/>
          <w:color w:val="000000" w:themeColor="text1"/>
        </w:rPr>
        <w:t>NMHC</w:t>
      </w:r>
      <w:r w:rsidRPr="008A2411">
        <w:rPr>
          <w:rFonts w:ascii="Times New Roman" w:hAnsi="Times New Roman"/>
          <w:color w:val="000000" w:themeColor="text1"/>
          <w:lang w:bidi="en-US"/>
        </w:rPr>
        <w:t>最大落地浓度出现在</w:t>
      </w:r>
      <w:r w:rsidRPr="008A2411">
        <w:rPr>
          <w:rFonts w:ascii="Times New Roman" w:hAnsi="Times New Roman"/>
          <w:color w:val="000000" w:themeColor="text1"/>
          <w:lang w:bidi="en-US"/>
        </w:rPr>
        <w:t>121m</w:t>
      </w:r>
      <w:r w:rsidRPr="008A2411">
        <w:rPr>
          <w:rFonts w:ascii="Times New Roman" w:hAnsi="Times New Roman"/>
          <w:color w:val="000000" w:themeColor="text1"/>
          <w:lang w:bidi="en-US"/>
        </w:rPr>
        <w:t>处，最</w:t>
      </w:r>
      <w:r w:rsidRPr="008A2411">
        <w:rPr>
          <w:rFonts w:ascii="Times New Roman" w:hAnsi="Times New Roman"/>
          <w:color w:val="000000" w:themeColor="text1"/>
        </w:rPr>
        <w:t>大落地浓度分别为</w:t>
      </w:r>
      <w:r w:rsidRPr="008A2411">
        <w:rPr>
          <w:rFonts w:ascii="Times New Roman" w:hAnsi="Times New Roman"/>
          <w:color w:val="000000" w:themeColor="text1"/>
        </w:rPr>
        <w:t>104</w:t>
      </w:r>
      <w:r w:rsidRPr="008A2411">
        <w:rPr>
          <w:rFonts w:ascii="Times New Roman" w:hAnsi="Times New Roman"/>
          <w:color w:val="000000" w:themeColor="text1"/>
          <w:sz w:val="21"/>
          <w:szCs w:val="21"/>
        </w:rPr>
        <w:t>μg/m</w:t>
      </w:r>
      <w:r w:rsidRPr="008A2411">
        <w:rPr>
          <w:rFonts w:ascii="Times New Roman" w:hAnsi="Times New Roman"/>
          <w:color w:val="000000" w:themeColor="text1"/>
          <w:vertAlign w:val="superscript"/>
        </w:rPr>
        <w:t>3</w:t>
      </w:r>
      <w:r w:rsidRPr="008A2411">
        <w:rPr>
          <w:rFonts w:ascii="Times New Roman" w:hAnsi="Times New Roman"/>
          <w:color w:val="000000" w:themeColor="text1"/>
        </w:rPr>
        <w:t>，</w:t>
      </w:r>
      <w:proofErr w:type="gramStart"/>
      <w:r w:rsidRPr="008A2411">
        <w:rPr>
          <w:rFonts w:ascii="Times New Roman" w:hAnsi="Times New Roman"/>
          <w:color w:val="000000" w:themeColor="text1"/>
          <w:lang w:bidi="en-US"/>
        </w:rPr>
        <w:t>相应占</w:t>
      </w:r>
      <w:proofErr w:type="gramEnd"/>
      <w:r w:rsidRPr="008A2411">
        <w:rPr>
          <w:rFonts w:ascii="Times New Roman" w:hAnsi="Times New Roman"/>
          <w:color w:val="000000" w:themeColor="text1"/>
          <w:lang w:bidi="en-US"/>
        </w:rPr>
        <w:t>标率分别为</w:t>
      </w:r>
      <w:r w:rsidRPr="008A2411">
        <w:rPr>
          <w:rFonts w:ascii="Times New Roman" w:hAnsi="Times New Roman"/>
          <w:color w:val="000000" w:themeColor="text1"/>
          <w:lang w:bidi="en-US"/>
        </w:rPr>
        <w:t>5.18%</w:t>
      </w:r>
      <w:r w:rsidRPr="008A2411">
        <w:rPr>
          <w:rFonts w:ascii="Times New Roman" w:hAnsi="Times New Roman"/>
          <w:color w:val="000000" w:themeColor="text1"/>
          <w:lang w:bidi="en-US"/>
        </w:rPr>
        <w:t>。由此可见，在正常排放情况下，本项目有组织及无组织排放的污染物对环境影响较小，不会改变周围大气环境功能。</w:t>
      </w:r>
    </w:p>
    <w:p w14:paraId="38804ACA" w14:textId="77777777" w:rsidR="00B0005F" w:rsidRPr="008A2411" w:rsidRDefault="00000000">
      <w:pPr>
        <w:pStyle w:val="WJ"/>
        <w:ind w:firstLine="482"/>
        <w:rPr>
          <w:rFonts w:ascii="Times New Roman" w:hAnsi="Times New Roman"/>
          <w:b/>
          <w:color w:val="000000" w:themeColor="text1"/>
          <w:lang w:bidi="en-US"/>
        </w:rPr>
      </w:pPr>
      <w:bookmarkStart w:id="376" w:name="_Toc319852948"/>
      <w:bookmarkEnd w:id="294"/>
      <w:bookmarkEnd w:id="295"/>
      <w:bookmarkEnd w:id="296"/>
      <w:bookmarkEnd w:id="297"/>
      <w:bookmarkEnd w:id="298"/>
      <w:bookmarkEnd w:id="299"/>
      <w:bookmarkEnd w:id="300"/>
      <w:bookmarkEnd w:id="301"/>
      <w:bookmarkEnd w:id="302"/>
      <w:bookmarkEnd w:id="303"/>
      <w:r w:rsidRPr="008A2411">
        <w:rPr>
          <w:rFonts w:ascii="Times New Roman" w:hAnsi="Times New Roman"/>
          <w:b/>
          <w:color w:val="000000" w:themeColor="text1"/>
          <w:lang w:bidi="en-US"/>
        </w:rPr>
        <w:t>二、非正常工况</w:t>
      </w:r>
    </w:p>
    <w:p w14:paraId="2CC1FBAE"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液化生产装置开车调试、停车检修时，可能对原料气进行点火短时放空，将装置内未达到液化生产要求的天然气密闭排放至放空火炬燃烧后排入大气，开停工放空时为瞬时排放，排放方式为有组织排放。此外，由于停电、设备故障或操作失误等原因也可能导致紧急放空。</w:t>
      </w:r>
    </w:p>
    <w:p w14:paraId="5B3AFBB8"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当发生开停车、事故放空等非正常排放时，自动控制系统立即切断上游气源，尽可能减少排放气量，并将安全阀等排放气通过放空系统密闭引至放空火炬燃烧后排放，减轻对环境的污染。</w:t>
      </w:r>
    </w:p>
    <w:p w14:paraId="00D79AB6"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从最不利角度考虑，若因开停车、事故放空等对原料气进行放空，火炬放空量以</w:t>
      </w:r>
      <w:r w:rsidRPr="008A2411">
        <w:rPr>
          <w:rFonts w:ascii="Times New Roman" w:hAnsi="Times New Roman"/>
          <w:color w:val="000000" w:themeColor="text1"/>
        </w:rPr>
        <w:t>10min</w:t>
      </w:r>
      <w:r w:rsidRPr="008A2411">
        <w:rPr>
          <w:rFonts w:ascii="Times New Roman" w:hAnsi="Times New Roman"/>
          <w:color w:val="000000" w:themeColor="text1"/>
        </w:rPr>
        <w:t>原料气全部进行燃烧放空，放空时间为</w:t>
      </w:r>
      <w:r w:rsidRPr="008A2411">
        <w:rPr>
          <w:rFonts w:ascii="Times New Roman" w:hAnsi="Times New Roman"/>
          <w:color w:val="000000" w:themeColor="text1"/>
        </w:rPr>
        <w:t>10min</w:t>
      </w:r>
      <w:r w:rsidRPr="008A2411">
        <w:rPr>
          <w:rFonts w:ascii="Times New Roman" w:hAnsi="Times New Roman"/>
          <w:color w:val="000000" w:themeColor="text1"/>
        </w:rPr>
        <w:t>。由于本项目原料气为净化后的天然气（硫化氢含硫低于</w:t>
      </w:r>
      <w:r w:rsidRPr="008A2411">
        <w:rPr>
          <w:rFonts w:ascii="Times New Roman" w:hAnsi="Times New Roman"/>
          <w:color w:val="000000" w:themeColor="text1"/>
        </w:rPr>
        <w:t>5mg/m</w:t>
      </w:r>
      <w:r w:rsidRPr="008A2411">
        <w:rPr>
          <w:rFonts w:ascii="Times New Roman" w:hAnsi="Times New Roman"/>
          <w:color w:val="000000" w:themeColor="text1"/>
          <w:vertAlign w:val="superscript"/>
        </w:rPr>
        <w:t>3</w:t>
      </w:r>
      <w:r w:rsidRPr="008A2411">
        <w:rPr>
          <w:rFonts w:ascii="Times New Roman" w:hAnsi="Times New Roman"/>
          <w:color w:val="000000" w:themeColor="text1"/>
        </w:rPr>
        <w:t>，总硫小于</w:t>
      </w:r>
      <w:r w:rsidRPr="008A2411">
        <w:rPr>
          <w:rFonts w:ascii="Times New Roman" w:hAnsi="Times New Roman"/>
          <w:color w:val="000000" w:themeColor="text1"/>
        </w:rPr>
        <w:t>20mg/m</w:t>
      </w:r>
      <w:r w:rsidRPr="008A2411">
        <w:rPr>
          <w:rFonts w:ascii="Times New Roman" w:hAnsi="Times New Roman"/>
          <w:color w:val="000000" w:themeColor="text1"/>
          <w:vertAlign w:val="superscript"/>
        </w:rPr>
        <w:t>3</w:t>
      </w:r>
      <w:r w:rsidRPr="008A2411">
        <w:rPr>
          <w:rFonts w:ascii="Times New Roman" w:hAnsi="Times New Roman"/>
          <w:color w:val="000000" w:themeColor="text1"/>
        </w:rPr>
        <w:t>），因此，非正常工况下经火炬燃烧后的废气中污染因子主要为</w:t>
      </w:r>
      <w:r w:rsidRPr="008A2411">
        <w:rPr>
          <w:rFonts w:ascii="Times New Roman" w:hAnsi="Times New Roman"/>
          <w:color w:val="000000" w:themeColor="text1"/>
        </w:rPr>
        <w:t>CO</w:t>
      </w:r>
      <w:r w:rsidRPr="008A2411">
        <w:rPr>
          <w:rFonts w:ascii="Times New Roman" w:hAnsi="Times New Roman"/>
          <w:color w:val="000000" w:themeColor="text1"/>
          <w:vertAlign w:val="subscript"/>
        </w:rPr>
        <w:t>2</w:t>
      </w:r>
      <w:r w:rsidRPr="008A2411">
        <w:rPr>
          <w:rFonts w:ascii="Times New Roman" w:hAnsi="Times New Roman"/>
          <w:color w:val="000000" w:themeColor="text1"/>
        </w:rPr>
        <w:t>及少量</w:t>
      </w:r>
      <w:r w:rsidRPr="008A2411">
        <w:rPr>
          <w:rFonts w:ascii="Times New Roman" w:hAnsi="Times New Roman"/>
          <w:color w:val="000000" w:themeColor="text1"/>
        </w:rPr>
        <w:t>SO</w:t>
      </w:r>
      <w:r w:rsidRPr="008A2411">
        <w:rPr>
          <w:rFonts w:ascii="Times New Roman" w:hAnsi="Times New Roman"/>
          <w:color w:val="000000" w:themeColor="text1"/>
          <w:vertAlign w:val="subscript"/>
        </w:rPr>
        <w:t>2</w:t>
      </w:r>
      <w:r w:rsidRPr="008A2411">
        <w:rPr>
          <w:rFonts w:ascii="Times New Roman" w:hAnsi="Times New Roman"/>
          <w:color w:val="000000" w:themeColor="text1"/>
        </w:rPr>
        <w:t>、</w:t>
      </w:r>
      <w:r w:rsidRPr="008A2411">
        <w:rPr>
          <w:rFonts w:ascii="Times New Roman" w:hAnsi="Times New Roman"/>
          <w:color w:val="000000" w:themeColor="text1"/>
        </w:rPr>
        <w:t>NOx</w:t>
      </w:r>
      <w:r w:rsidRPr="008A2411">
        <w:rPr>
          <w:rFonts w:ascii="Times New Roman" w:hAnsi="Times New Roman"/>
          <w:color w:val="000000" w:themeColor="text1"/>
        </w:rPr>
        <w:t>等。由于放空时间较短，因此，因放空产生的环境影响持续时间也较短，其对周边环境影响也较低。</w:t>
      </w:r>
      <w:proofErr w:type="gramStart"/>
      <w:r w:rsidRPr="008A2411">
        <w:rPr>
          <w:rFonts w:ascii="Times New Roman" w:hAnsi="Times New Roman"/>
          <w:color w:val="000000" w:themeColor="text1"/>
        </w:rPr>
        <w:t>本环评</w:t>
      </w:r>
      <w:proofErr w:type="gramEnd"/>
      <w:r w:rsidRPr="008A2411">
        <w:rPr>
          <w:rFonts w:ascii="Times New Roman" w:hAnsi="Times New Roman"/>
          <w:color w:val="000000" w:themeColor="text1"/>
        </w:rPr>
        <w:t>建议，项目在运行过程中，应加强生产运行及环境管理，建</w:t>
      </w:r>
      <w:r w:rsidRPr="008A2411">
        <w:rPr>
          <w:rFonts w:ascii="Times New Roman" w:hAnsi="Times New Roman"/>
          <w:color w:val="000000" w:themeColor="text1"/>
        </w:rPr>
        <w:lastRenderedPageBreak/>
        <w:t>立健全安全生产和环境保护管理制度，采取有效措施缩短非正常工况放空时间和放空量，降低环境影响。</w:t>
      </w:r>
    </w:p>
    <w:p w14:paraId="6A56FBED" w14:textId="642A4BE9" w:rsidR="00B0005F" w:rsidRPr="008A2411" w:rsidRDefault="00000000">
      <w:pPr>
        <w:pStyle w:val="WJ"/>
        <w:ind w:firstLine="482"/>
        <w:rPr>
          <w:rFonts w:ascii="Times New Roman" w:hAnsi="Times New Roman"/>
          <w:b/>
          <w:color w:val="000000" w:themeColor="text1"/>
        </w:rPr>
      </w:pPr>
      <w:r w:rsidRPr="008A2411">
        <w:rPr>
          <w:rFonts w:ascii="Times New Roman" w:hAnsi="Times New Roman"/>
          <w:b/>
          <w:color w:val="000000" w:themeColor="text1"/>
        </w:rPr>
        <w:t>四、项目大气环境防护距离设置</w:t>
      </w:r>
    </w:p>
    <w:p w14:paraId="260B9BB3"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1</w:t>
      </w:r>
      <w:r w:rsidRPr="008A2411">
        <w:rPr>
          <w:rFonts w:ascii="Times New Roman" w:hAnsi="Times New Roman"/>
          <w:color w:val="000000" w:themeColor="text1"/>
        </w:rPr>
        <w:t>）项目无组织排放源源强</w:t>
      </w:r>
    </w:p>
    <w:p w14:paraId="2660F6D9" w14:textId="03735B66"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本项目站场装置系统均密闭运行，主要无组织排放主要来自生产设备和管道阀门的</w:t>
      </w:r>
      <w:r w:rsidR="00AB2E38" w:rsidRPr="008A2411">
        <w:rPr>
          <w:rFonts w:ascii="Times New Roman" w:hAnsi="Times New Roman"/>
          <w:color w:val="000000" w:themeColor="text1"/>
        </w:rPr>
        <w:t>泄漏</w:t>
      </w:r>
      <w:r w:rsidRPr="008A2411">
        <w:rPr>
          <w:rFonts w:ascii="Times New Roman" w:hAnsi="Times New Roman"/>
          <w:color w:val="000000" w:themeColor="text1"/>
        </w:rPr>
        <w:t>，排放的主要污染物为</w:t>
      </w:r>
      <w:r w:rsidR="00F243D6" w:rsidRPr="008A2411">
        <w:rPr>
          <w:rFonts w:ascii="Times New Roman" w:hAnsi="Times New Roman"/>
          <w:color w:val="000000" w:themeColor="text1"/>
        </w:rPr>
        <w:t>NMHC</w:t>
      </w:r>
      <w:r w:rsidRPr="008A2411">
        <w:rPr>
          <w:rFonts w:ascii="Times New Roman" w:hAnsi="Times New Roman"/>
          <w:color w:val="000000" w:themeColor="text1"/>
        </w:rPr>
        <w:t>等，主要无组织排放源来自天然气处理装置，因此，本次分别计算两个装置区的大气环境防护距离和卫生防护距离的区域。本次用以计算的无组织排放</w:t>
      </w:r>
      <w:proofErr w:type="gramStart"/>
      <w:r w:rsidRPr="008A2411">
        <w:rPr>
          <w:rFonts w:ascii="Times New Roman" w:hAnsi="Times New Roman"/>
          <w:color w:val="000000" w:themeColor="text1"/>
        </w:rPr>
        <w:t>源情况</w:t>
      </w:r>
      <w:proofErr w:type="gramEnd"/>
      <w:r w:rsidRPr="008A2411">
        <w:rPr>
          <w:rFonts w:ascii="Times New Roman" w:hAnsi="Times New Roman"/>
          <w:color w:val="000000" w:themeColor="text1"/>
        </w:rPr>
        <w:t>见表</w:t>
      </w:r>
      <w:r w:rsidRPr="008A2411">
        <w:rPr>
          <w:rFonts w:ascii="Times New Roman" w:hAnsi="Times New Roman"/>
          <w:color w:val="000000" w:themeColor="text1"/>
        </w:rPr>
        <w:t>5.2-13</w:t>
      </w:r>
      <w:r w:rsidRPr="008A2411">
        <w:rPr>
          <w:rFonts w:ascii="Times New Roman" w:hAnsi="Times New Roman"/>
          <w:color w:val="000000" w:themeColor="text1"/>
        </w:rPr>
        <w:t>。</w:t>
      </w:r>
    </w:p>
    <w:p w14:paraId="70EAADFC" w14:textId="77777777" w:rsidR="00B0005F" w:rsidRPr="008A2411" w:rsidRDefault="00000000">
      <w:pPr>
        <w:pStyle w:val="WJ0"/>
        <w:rPr>
          <w:rFonts w:ascii="Times New Roman" w:hAnsi="Times New Roman"/>
          <w:color w:val="000000" w:themeColor="text1"/>
        </w:rPr>
      </w:pPr>
      <w:r w:rsidRPr="008A2411">
        <w:rPr>
          <w:rFonts w:ascii="Times New Roman" w:hAnsi="Times New Roman"/>
          <w:color w:val="000000" w:themeColor="text1"/>
        </w:rPr>
        <w:t>表</w:t>
      </w:r>
      <w:r w:rsidRPr="008A2411">
        <w:rPr>
          <w:rFonts w:ascii="Times New Roman" w:hAnsi="Times New Roman"/>
          <w:color w:val="000000" w:themeColor="text1"/>
        </w:rPr>
        <w:t xml:space="preserve">5.2-13  </w:t>
      </w:r>
      <w:r w:rsidRPr="008A2411">
        <w:rPr>
          <w:rFonts w:ascii="Times New Roman" w:hAnsi="Times New Roman"/>
          <w:color w:val="000000" w:themeColor="text1"/>
        </w:rPr>
        <w:t>项目无组织排放源情况</w:t>
      </w:r>
    </w:p>
    <w:tbl>
      <w:tblPr>
        <w:tblW w:w="491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708"/>
        <w:gridCol w:w="1556"/>
        <w:gridCol w:w="597"/>
        <w:gridCol w:w="656"/>
        <w:gridCol w:w="1022"/>
        <w:gridCol w:w="3660"/>
      </w:tblGrid>
      <w:tr w:rsidR="008A2411" w:rsidRPr="008A2411" w14:paraId="006A6DDE" w14:textId="77777777">
        <w:trPr>
          <w:trHeight w:val="334"/>
          <w:jc w:val="center"/>
        </w:trPr>
        <w:tc>
          <w:tcPr>
            <w:tcW w:w="431" w:type="pct"/>
            <w:tcMar>
              <w:left w:w="28" w:type="dxa"/>
              <w:right w:w="28" w:type="dxa"/>
            </w:tcMar>
            <w:vAlign w:val="center"/>
          </w:tcPr>
          <w:p w14:paraId="76217D80" w14:textId="77777777" w:rsidR="00B0005F" w:rsidRPr="008A2411" w:rsidRDefault="00B0005F">
            <w:pPr>
              <w:pStyle w:val="WJ4"/>
              <w:rPr>
                <w:rFonts w:ascii="Times New Roman" w:hAnsi="Times New Roman"/>
                <w:snapToGrid w:val="0"/>
                <w:color w:val="000000" w:themeColor="text1"/>
              </w:rPr>
            </w:pPr>
          </w:p>
        </w:tc>
        <w:tc>
          <w:tcPr>
            <w:tcW w:w="949" w:type="pct"/>
            <w:vAlign w:val="center"/>
          </w:tcPr>
          <w:p w14:paraId="7DD8997F" w14:textId="77777777" w:rsidR="00B0005F" w:rsidRPr="008A2411" w:rsidRDefault="00000000">
            <w:pPr>
              <w:pStyle w:val="WJ4"/>
              <w:rPr>
                <w:rFonts w:ascii="Times New Roman" w:hAnsi="Times New Roman"/>
                <w:snapToGrid w:val="0"/>
                <w:color w:val="000000" w:themeColor="text1"/>
              </w:rPr>
            </w:pPr>
            <w:r w:rsidRPr="008A2411">
              <w:rPr>
                <w:rFonts w:ascii="Times New Roman" w:hAnsi="Times New Roman"/>
                <w:snapToGrid w:val="0"/>
                <w:color w:val="000000" w:themeColor="text1"/>
              </w:rPr>
              <w:t>面源名称</w:t>
            </w:r>
          </w:p>
        </w:tc>
        <w:tc>
          <w:tcPr>
            <w:tcW w:w="364" w:type="pct"/>
            <w:vAlign w:val="center"/>
          </w:tcPr>
          <w:p w14:paraId="7985A308" w14:textId="77777777" w:rsidR="00B0005F" w:rsidRPr="008A2411" w:rsidRDefault="00000000">
            <w:pPr>
              <w:pStyle w:val="WJ4"/>
              <w:rPr>
                <w:rFonts w:ascii="Times New Roman" w:hAnsi="Times New Roman"/>
                <w:snapToGrid w:val="0"/>
                <w:color w:val="000000" w:themeColor="text1"/>
              </w:rPr>
            </w:pPr>
            <w:r w:rsidRPr="008A2411">
              <w:rPr>
                <w:rFonts w:ascii="Times New Roman" w:hAnsi="Times New Roman"/>
                <w:snapToGrid w:val="0"/>
                <w:color w:val="000000" w:themeColor="text1"/>
              </w:rPr>
              <w:t>面源长度</w:t>
            </w:r>
          </w:p>
        </w:tc>
        <w:tc>
          <w:tcPr>
            <w:tcW w:w="400" w:type="pct"/>
            <w:vAlign w:val="center"/>
          </w:tcPr>
          <w:p w14:paraId="16CC5A87" w14:textId="77777777" w:rsidR="00B0005F" w:rsidRPr="008A2411" w:rsidRDefault="00000000">
            <w:pPr>
              <w:pStyle w:val="WJ4"/>
              <w:rPr>
                <w:rFonts w:ascii="Times New Roman" w:hAnsi="Times New Roman"/>
                <w:snapToGrid w:val="0"/>
                <w:color w:val="000000" w:themeColor="text1"/>
              </w:rPr>
            </w:pPr>
            <w:r w:rsidRPr="008A2411">
              <w:rPr>
                <w:rFonts w:ascii="Times New Roman" w:hAnsi="Times New Roman"/>
                <w:snapToGrid w:val="0"/>
                <w:color w:val="000000" w:themeColor="text1"/>
              </w:rPr>
              <w:t>面源宽度</w:t>
            </w:r>
          </w:p>
        </w:tc>
        <w:tc>
          <w:tcPr>
            <w:tcW w:w="623" w:type="pct"/>
            <w:vAlign w:val="center"/>
          </w:tcPr>
          <w:p w14:paraId="38B9A0D2" w14:textId="77777777" w:rsidR="00B0005F" w:rsidRPr="008A2411" w:rsidRDefault="00000000">
            <w:pPr>
              <w:pStyle w:val="WJ4"/>
              <w:rPr>
                <w:rFonts w:ascii="Times New Roman" w:hAnsi="Times New Roman"/>
                <w:snapToGrid w:val="0"/>
                <w:color w:val="000000" w:themeColor="text1"/>
              </w:rPr>
            </w:pPr>
            <w:r w:rsidRPr="008A2411">
              <w:rPr>
                <w:rFonts w:ascii="Times New Roman" w:hAnsi="Times New Roman"/>
                <w:snapToGrid w:val="0"/>
                <w:color w:val="000000" w:themeColor="text1"/>
              </w:rPr>
              <w:t>面源初始排放高度</w:t>
            </w:r>
          </w:p>
        </w:tc>
        <w:tc>
          <w:tcPr>
            <w:tcW w:w="2231" w:type="pct"/>
            <w:vAlign w:val="center"/>
          </w:tcPr>
          <w:p w14:paraId="445B5F79" w14:textId="77777777" w:rsidR="00B0005F" w:rsidRPr="008A2411" w:rsidRDefault="00000000">
            <w:pPr>
              <w:pStyle w:val="WJ4"/>
              <w:rPr>
                <w:rFonts w:ascii="Times New Roman" w:hAnsi="Times New Roman"/>
                <w:color w:val="000000" w:themeColor="text1"/>
              </w:rPr>
            </w:pPr>
            <w:proofErr w:type="gramStart"/>
            <w:r w:rsidRPr="008A2411">
              <w:rPr>
                <w:rFonts w:ascii="Times New Roman" w:hAnsi="Times New Roman"/>
                <w:color w:val="000000" w:themeColor="text1"/>
              </w:rPr>
              <w:t>评价因</w:t>
            </w:r>
            <w:proofErr w:type="gramEnd"/>
            <w:r w:rsidRPr="008A2411">
              <w:rPr>
                <w:rFonts w:ascii="Times New Roman" w:hAnsi="Times New Roman"/>
                <w:color w:val="000000" w:themeColor="text1"/>
              </w:rPr>
              <w:t>子源强</w:t>
            </w:r>
          </w:p>
        </w:tc>
      </w:tr>
      <w:tr w:rsidR="008A2411" w:rsidRPr="008A2411" w14:paraId="076692BA" w14:textId="77777777">
        <w:trPr>
          <w:trHeight w:val="334"/>
          <w:jc w:val="center"/>
        </w:trPr>
        <w:tc>
          <w:tcPr>
            <w:tcW w:w="431" w:type="pct"/>
            <w:tcMar>
              <w:left w:w="28" w:type="dxa"/>
              <w:right w:w="28" w:type="dxa"/>
            </w:tcMar>
            <w:vAlign w:val="center"/>
          </w:tcPr>
          <w:p w14:paraId="0E058703" w14:textId="77777777" w:rsidR="00B0005F" w:rsidRPr="008A2411" w:rsidRDefault="00000000">
            <w:pPr>
              <w:pStyle w:val="WJ4"/>
              <w:rPr>
                <w:rFonts w:ascii="Times New Roman" w:hAnsi="Times New Roman"/>
                <w:snapToGrid w:val="0"/>
                <w:color w:val="000000" w:themeColor="text1"/>
              </w:rPr>
            </w:pPr>
            <w:r w:rsidRPr="008A2411">
              <w:rPr>
                <w:rFonts w:ascii="Times New Roman" w:hAnsi="Times New Roman"/>
                <w:snapToGrid w:val="0"/>
                <w:color w:val="000000" w:themeColor="text1"/>
              </w:rPr>
              <w:t>符号</w:t>
            </w:r>
          </w:p>
        </w:tc>
        <w:tc>
          <w:tcPr>
            <w:tcW w:w="949" w:type="pct"/>
            <w:vAlign w:val="center"/>
          </w:tcPr>
          <w:p w14:paraId="05193BC3" w14:textId="77777777" w:rsidR="00B0005F" w:rsidRPr="008A2411" w:rsidRDefault="00000000">
            <w:pPr>
              <w:pStyle w:val="WJ4"/>
              <w:rPr>
                <w:rFonts w:ascii="Times New Roman" w:hAnsi="Times New Roman"/>
                <w:snapToGrid w:val="0"/>
                <w:color w:val="000000" w:themeColor="text1"/>
              </w:rPr>
            </w:pPr>
            <w:r w:rsidRPr="008A2411">
              <w:rPr>
                <w:rFonts w:ascii="Times New Roman" w:hAnsi="Times New Roman"/>
                <w:snapToGrid w:val="0"/>
                <w:color w:val="000000" w:themeColor="text1"/>
              </w:rPr>
              <w:t>Name</w:t>
            </w:r>
          </w:p>
        </w:tc>
        <w:tc>
          <w:tcPr>
            <w:tcW w:w="364" w:type="pct"/>
            <w:vAlign w:val="center"/>
          </w:tcPr>
          <w:p w14:paraId="34165343" w14:textId="77777777" w:rsidR="00B0005F" w:rsidRPr="008A2411" w:rsidRDefault="00000000">
            <w:pPr>
              <w:pStyle w:val="WJ4"/>
              <w:rPr>
                <w:rFonts w:ascii="Times New Roman" w:hAnsi="Times New Roman"/>
                <w:snapToGrid w:val="0"/>
                <w:color w:val="000000" w:themeColor="text1"/>
              </w:rPr>
            </w:pPr>
            <w:r w:rsidRPr="008A2411">
              <w:rPr>
                <w:rFonts w:ascii="Times New Roman" w:hAnsi="Times New Roman"/>
                <w:snapToGrid w:val="0"/>
                <w:color w:val="000000" w:themeColor="text1"/>
              </w:rPr>
              <w:t>L</w:t>
            </w:r>
            <w:r w:rsidRPr="008A2411">
              <w:rPr>
                <w:rFonts w:ascii="Times New Roman" w:hAnsi="Times New Roman"/>
                <w:snapToGrid w:val="0"/>
                <w:color w:val="000000" w:themeColor="text1"/>
                <w:vertAlign w:val="subscript"/>
              </w:rPr>
              <w:t>1</w:t>
            </w:r>
          </w:p>
        </w:tc>
        <w:tc>
          <w:tcPr>
            <w:tcW w:w="400" w:type="pct"/>
            <w:vAlign w:val="center"/>
          </w:tcPr>
          <w:p w14:paraId="57850200" w14:textId="77777777" w:rsidR="00B0005F" w:rsidRPr="008A2411" w:rsidRDefault="00000000">
            <w:pPr>
              <w:pStyle w:val="WJ4"/>
              <w:rPr>
                <w:rFonts w:ascii="Times New Roman" w:hAnsi="Times New Roman"/>
                <w:snapToGrid w:val="0"/>
                <w:color w:val="000000" w:themeColor="text1"/>
              </w:rPr>
            </w:pPr>
            <w:r w:rsidRPr="008A2411">
              <w:rPr>
                <w:rFonts w:ascii="Times New Roman" w:hAnsi="Times New Roman"/>
                <w:snapToGrid w:val="0"/>
                <w:color w:val="000000" w:themeColor="text1"/>
              </w:rPr>
              <w:t>L</w:t>
            </w:r>
            <w:r w:rsidRPr="008A2411">
              <w:rPr>
                <w:rFonts w:ascii="Times New Roman" w:hAnsi="Times New Roman"/>
                <w:snapToGrid w:val="0"/>
                <w:color w:val="000000" w:themeColor="text1"/>
                <w:vertAlign w:val="subscript"/>
              </w:rPr>
              <w:t>W</w:t>
            </w:r>
          </w:p>
        </w:tc>
        <w:tc>
          <w:tcPr>
            <w:tcW w:w="623" w:type="pct"/>
            <w:vAlign w:val="center"/>
          </w:tcPr>
          <w:p w14:paraId="24AA953A" w14:textId="77777777" w:rsidR="00B0005F" w:rsidRPr="008A2411" w:rsidRDefault="00000000">
            <w:pPr>
              <w:pStyle w:val="WJ4"/>
              <w:rPr>
                <w:rFonts w:ascii="Times New Roman" w:hAnsi="Times New Roman"/>
                <w:snapToGrid w:val="0"/>
                <w:color w:val="000000" w:themeColor="text1"/>
              </w:rPr>
            </w:pPr>
            <w:r w:rsidRPr="008A2411">
              <w:rPr>
                <w:rFonts w:ascii="Times New Roman" w:hAnsi="Times New Roman"/>
                <w:snapToGrid w:val="0"/>
                <w:color w:val="000000" w:themeColor="text1"/>
              </w:rPr>
              <w:ruby>
                <w:rubyPr>
                  <w:rubyAlign w:val="center"/>
                  <w:hps w:val="10"/>
                  <w:hpsRaise w:val="18"/>
                  <w:hpsBaseText w:val="21"/>
                  <w:lid w:val="zh-CN"/>
                </w:rubyPr>
                <w:rt>
                  <w:r w:rsidRPr="008A2411">
                    <w:rPr>
                      <w:rFonts w:ascii="Times New Roman" w:hAnsi="Times New Roman"/>
                      <w:snapToGrid w:val="0"/>
                      <w:color w:val="000000" w:themeColor="text1"/>
                    </w:rPr>
                    <w:t>—</w:t>
                  </w:r>
                </w:rt>
                <w:rubyBase>
                  <w:r w:rsidRPr="008A2411">
                    <w:rPr>
                      <w:rFonts w:ascii="Times New Roman" w:hAnsi="Times New Roman"/>
                      <w:snapToGrid w:val="0"/>
                      <w:color w:val="000000" w:themeColor="text1"/>
                    </w:rPr>
                    <w:t>H</w:t>
                  </w:r>
                </w:rubyBase>
              </w:ruby>
            </w:r>
          </w:p>
        </w:tc>
        <w:tc>
          <w:tcPr>
            <w:tcW w:w="2231" w:type="pct"/>
            <w:vAlign w:val="center"/>
          </w:tcPr>
          <w:p w14:paraId="3F2B9E59" w14:textId="65392E36" w:rsidR="00B0005F" w:rsidRPr="008A2411" w:rsidRDefault="00F243D6">
            <w:pPr>
              <w:pStyle w:val="WJ4"/>
              <w:rPr>
                <w:rFonts w:ascii="Times New Roman" w:hAnsi="Times New Roman"/>
                <w:snapToGrid w:val="0"/>
                <w:color w:val="000000" w:themeColor="text1"/>
              </w:rPr>
            </w:pPr>
            <w:r w:rsidRPr="008A2411">
              <w:rPr>
                <w:rFonts w:ascii="Times New Roman" w:hAnsi="Times New Roman"/>
                <w:snapToGrid w:val="0"/>
                <w:color w:val="000000" w:themeColor="text1"/>
              </w:rPr>
              <w:t>NMHC</w:t>
            </w:r>
          </w:p>
        </w:tc>
      </w:tr>
      <w:tr w:rsidR="008A2411" w:rsidRPr="008A2411" w14:paraId="4979A0F5" w14:textId="77777777">
        <w:trPr>
          <w:trHeight w:val="334"/>
          <w:jc w:val="center"/>
        </w:trPr>
        <w:tc>
          <w:tcPr>
            <w:tcW w:w="431" w:type="pct"/>
            <w:tcMar>
              <w:left w:w="28" w:type="dxa"/>
              <w:right w:w="28" w:type="dxa"/>
            </w:tcMar>
            <w:vAlign w:val="center"/>
          </w:tcPr>
          <w:p w14:paraId="0517AD9C" w14:textId="77777777" w:rsidR="00B0005F" w:rsidRPr="008A2411" w:rsidRDefault="00000000">
            <w:pPr>
              <w:pStyle w:val="WJ4"/>
              <w:rPr>
                <w:rFonts w:ascii="Times New Roman" w:hAnsi="Times New Roman"/>
                <w:snapToGrid w:val="0"/>
                <w:color w:val="000000" w:themeColor="text1"/>
              </w:rPr>
            </w:pPr>
            <w:r w:rsidRPr="008A2411">
              <w:rPr>
                <w:rFonts w:ascii="Times New Roman" w:hAnsi="Times New Roman"/>
                <w:snapToGrid w:val="0"/>
                <w:color w:val="000000" w:themeColor="text1"/>
              </w:rPr>
              <w:t>单位</w:t>
            </w:r>
          </w:p>
        </w:tc>
        <w:tc>
          <w:tcPr>
            <w:tcW w:w="949" w:type="pct"/>
            <w:vAlign w:val="center"/>
          </w:tcPr>
          <w:p w14:paraId="786BEA72" w14:textId="77777777" w:rsidR="00B0005F" w:rsidRPr="008A2411" w:rsidRDefault="00000000">
            <w:pPr>
              <w:pStyle w:val="WJ4"/>
              <w:rPr>
                <w:rFonts w:ascii="Times New Roman" w:hAnsi="Times New Roman"/>
                <w:snapToGrid w:val="0"/>
                <w:color w:val="000000" w:themeColor="text1"/>
              </w:rPr>
            </w:pPr>
            <w:r w:rsidRPr="008A2411">
              <w:rPr>
                <w:rFonts w:ascii="Times New Roman" w:hAnsi="Times New Roman"/>
                <w:snapToGrid w:val="0"/>
                <w:color w:val="000000" w:themeColor="text1"/>
              </w:rPr>
              <w:t>--</w:t>
            </w:r>
          </w:p>
        </w:tc>
        <w:tc>
          <w:tcPr>
            <w:tcW w:w="364" w:type="pct"/>
            <w:vAlign w:val="center"/>
          </w:tcPr>
          <w:p w14:paraId="5F0E2121" w14:textId="77777777" w:rsidR="00B0005F" w:rsidRPr="008A2411" w:rsidRDefault="00000000">
            <w:pPr>
              <w:pStyle w:val="WJ4"/>
              <w:rPr>
                <w:rFonts w:ascii="Times New Roman" w:hAnsi="Times New Roman"/>
                <w:color w:val="000000" w:themeColor="text1"/>
              </w:rPr>
            </w:pPr>
            <w:r w:rsidRPr="008A2411">
              <w:rPr>
                <w:rFonts w:ascii="Times New Roman" w:hAnsi="Times New Roman"/>
                <w:snapToGrid w:val="0"/>
                <w:color w:val="000000" w:themeColor="text1"/>
              </w:rPr>
              <w:t>m</w:t>
            </w:r>
          </w:p>
        </w:tc>
        <w:tc>
          <w:tcPr>
            <w:tcW w:w="400" w:type="pct"/>
            <w:vAlign w:val="center"/>
          </w:tcPr>
          <w:p w14:paraId="3C19E9CC" w14:textId="77777777" w:rsidR="00B0005F" w:rsidRPr="008A2411" w:rsidRDefault="00000000">
            <w:pPr>
              <w:pStyle w:val="WJ4"/>
              <w:rPr>
                <w:rFonts w:ascii="Times New Roman" w:hAnsi="Times New Roman"/>
                <w:color w:val="000000" w:themeColor="text1"/>
              </w:rPr>
            </w:pPr>
            <w:r w:rsidRPr="008A2411">
              <w:rPr>
                <w:rFonts w:ascii="Times New Roman" w:hAnsi="Times New Roman"/>
                <w:snapToGrid w:val="0"/>
                <w:color w:val="000000" w:themeColor="text1"/>
              </w:rPr>
              <w:t>m</w:t>
            </w:r>
          </w:p>
        </w:tc>
        <w:tc>
          <w:tcPr>
            <w:tcW w:w="623" w:type="pct"/>
            <w:vAlign w:val="center"/>
          </w:tcPr>
          <w:p w14:paraId="492B05C9" w14:textId="77777777" w:rsidR="00B0005F" w:rsidRPr="008A2411" w:rsidRDefault="00000000">
            <w:pPr>
              <w:pStyle w:val="WJ4"/>
              <w:rPr>
                <w:rFonts w:ascii="Times New Roman" w:hAnsi="Times New Roman"/>
                <w:snapToGrid w:val="0"/>
                <w:color w:val="000000" w:themeColor="text1"/>
              </w:rPr>
            </w:pPr>
            <w:r w:rsidRPr="008A2411">
              <w:rPr>
                <w:rFonts w:ascii="Times New Roman" w:hAnsi="Times New Roman"/>
                <w:snapToGrid w:val="0"/>
                <w:color w:val="000000" w:themeColor="text1"/>
              </w:rPr>
              <w:t>m</w:t>
            </w:r>
          </w:p>
        </w:tc>
        <w:tc>
          <w:tcPr>
            <w:tcW w:w="2231" w:type="pct"/>
            <w:vAlign w:val="center"/>
          </w:tcPr>
          <w:p w14:paraId="1289BF39" w14:textId="77777777" w:rsidR="00B0005F" w:rsidRPr="008A2411" w:rsidRDefault="00000000">
            <w:pPr>
              <w:pStyle w:val="WJ4"/>
              <w:rPr>
                <w:rFonts w:ascii="Times New Roman" w:hAnsi="Times New Roman"/>
                <w:snapToGrid w:val="0"/>
                <w:color w:val="000000" w:themeColor="text1"/>
              </w:rPr>
            </w:pPr>
            <w:r w:rsidRPr="008A2411">
              <w:rPr>
                <w:rFonts w:ascii="Times New Roman" w:hAnsi="Times New Roman"/>
                <w:snapToGrid w:val="0"/>
                <w:color w:val="000000" w:themeColor="text1"/>
              </w:rPr>
              <w:t>kg/h</w:t>
            </w:r>
          </w:p>
        </w:tc>
      </w:tr>
      <w:tr w:rsidR="008A2411" w:rsidRPr="008A2411" w14:paraId="26F8E07E" w14:textId="77777777">
        <w:trPr>
          <w:trHeight w:val="334"/>
          <w:jc w:val="center"/>
        </w:trPr>
        <w:tc>
          <w:tcPr>
            <w:tcW w:w="431" w:type="pct"/>
            <w:tcMar>
              <w:left w:w="28" w:type="dxa"/>
              <w:right w:w="28" w:type="dxa"/>
            </w:tcMar>
            <w:vAlign w:val="center"/>
          </w:tcPr>
          <w:p w14:paraId="5A20BA22" w14:textId="77777777" w:rsidR="00B0005F" w:rsidRPr="008A2411" w:rsidRDefault="00000000">
            <w:pPr>
              <w:pStyle w:val="WJ4"/>
              <w:rPr>
                <w:rFonts w:ascii="Times New Roman" w:hAnsi="Times New Roman"/>
                <w:snapToGrid w:val="0"/>
                <w:color w:val="000000" w:themeColor="text1"/>
              </w:rPr>
            </w:pPr>
            <w:r w:rsidRPr="008A2411">
              <w:rPr>
                <w:rFonts w:ascii="Times New Roman" w:hAnsi="Times New Roman"/>
                <w:snapToGrid w:val="0"/>
                <w:color w:val="000000" w:themeColor="text1"/>
              </w:rPr>
              <w:t>数据</w:t>
            </w:r>
          </w:p>
        </w:tc>
        <w:tc>
          <w:tcPr>
            <w:tcW w:w="949" w:type="pct"/>
            <w:vAlign w:val="center"/>
          </w:tcPr>
          <w:p w14:paraId="3491901B" w14:textId="77777777" w:rsidR="00B0005F" w:rsidRPr="008A2411" w:rsidRDefault="00000000">
            <w:pPr>
              <w:pStyle w:val="WJ4"/>
              <w:rPr>
                <w:rFonts w:ascii="Times New Roman" w:hAnsi="Times New Roman"/>
                <w:snapToGrid w:val="0"/>
                <w:color w:val="000000" w:themeColor="text1"/>
              </w:rPr>
            </w:pPr>
            <w:r w:rsidRPr="008A2411">
              <w:rPr>
                <w:rFonts w:ascii="Times New Roman" w:hAnsi="Times New Roman"/>
                <w:snapToGrid w:val="0"/>
                <w:color w:val="000000" w:themeColor="text1"/>
              </w:rPr>
              <w:t>站场</w:t>
            </w:r>
          </w:p>
        </w:tc>
        <w:tc>
          <w:tcPr>
            <w:tcW w:w="597" w:type="dxa"/>
            <w:vAlign w:val="center"/>
          </w:tcPr>
          <w:p w14:paraId="4F5228E9" w14:textId="77777777" w:rsidR="00B0005F" w:rsidRPr="008A2411" w:rsidRDefault="00000000">
            <w:pPr>
              <w:jc w:val="center"/>
              <w:rPr>
                <w:rFonts w:ascii="Times New Roman"/>
                <w:snapToGrid w:val="0"/>
                <w:color w:val="000000" w:themeColor="text1"/>
              </w:rPr>
            </w:pPr>
            <w:r w:rsidRPr="008A2411">
              <w:rPr>
                <w:rFonts w:ascii="Times New Roman"/>
                <w:bCs/>
                <w:color w:val="000000" w:themeColor="text1"/>
                <w:sz w:val="21"/>
                <w:szCs w:val="21"/>
              </w:rPr>
              <w:t>96</w:t>
            </w:r>
          </w:p>
        </w:tc>
        <w:tc>
          <w:tcPr>
            <w:tcW w:w="656" w:type="dxa"/>
            <w:vAlign w:val="center"/>
          </w:tcPr>
          <w:p w14:paraId="1DF848F7" w14:textId="77777777" w:rsidR="00B0005F" w:rsidRPr="008A2411" w:rsidRDefault="00000000">
            <w:pPr>
              <w:jc w:val="center"/>
              <w:rPr>
                <w:rFonts w:ascii="Times New Roman"/>
                <w:snapToGrid w:val="0"/>
                <w:color w:val="000000" w:themeColor="text1"/>
              </w:rPr>
            </w:pPr>
            <w:r w:rsidRPr="008A2411">
              <w:rPr>
                <w:rFonts w:ascii="Times New Roman"/>
                <w:bCs/>
                <w:color w:val="000000" w:themeColor="text1"/>
                <w:sz w:val="21"/>
                <w:szCs w:val="21"/>
              </w:rPr>
              <w:t>52</w:t>
            </w:r>
          </w:p>
        </w:tc>
        <w:tc>
          <w:tcPr>
            <w:tcW w:w="623" w:type="pct"/>
            <w:vAlign w:val="center"/>
          </w:tcPr>
          <w:p w14:paraId="5913E8CC" w14:textId="77777777" w:rsidR="00B0005F" w:rsidRPr="008A2411" w:rsidRDefault="00000000">
            <w:pPr>
              <w:pStyle w:val="WJ5"/>
              <w:rPr>
                <w:rFonts w:ascii="Times New Roman" w:hAnsi="Times New Roman"/>
                <w:snapToGrid w:val="0"/>
                <w:color w:val="000000" w:themeColor="text1"/>
              </w:rPr>
            </w:pPr>
            <w:r w:rsidRPr="008A2411">
              <w:rPr>
                <w:rFonts w:ascii="Times New Roman" w:hAnsi="Times New Roman"/>
                <w:snapToGrid w:val="0"/>
                <w:color w:val="000000" w:themeColor="text1"/>
              </w:rPr>
              <w:t>5</w:t>
            </w:r>
          </w:p>
        </w:tc>
        <w:tc>
          <w:tcPr>
            <w:tcW w:w="2231" w:type="pct"/>
            <w:vAlign w:val="center"/>
          </w:tcPr>
          <w:p w14:paraId="6BD6B55F" w14:textId="77777777" w:rsidR="00B0005F" w:rsidRPr="008A2411" w:rsidRDefault="00000000">
            <w:pPr>
              <w:jc w:val="center"/>
              <w:rPr>
                <w:rFonts w:ascii="Times New Roman"/>
                <w:color w:val="000000" w:themeColor="text1"/>
              </w:rPr>
            </w:pPr>
            <w:r w:rsidRPr="008A2411">
              <w:rPr>
                <w:rFonts w:ascii="Times New Roman"/>
                <w:color w:val="000000" w:themeColor="text1"/>
                <w:sz w:val="21"/>
                <w:szCs w:val="21"/>
                <w:lang w:bidi="ar"/>
              </w:rPr>
              <w:t>0.09786</w:t>
            </w:r>
          </w:p>
        </w:tc>
      </w:tr>
    </w:tbl>
    <w:p w14:paraId="34C919AA"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2</w:t>
      </w:r>
      <w:r w:rsidRPr="008A2411">
        <w:rPr>
          <w:rFonts w:ascii="Times New Roman" w:hAnsi="Times New Roman"/>
          <w:color w:val="000000" w:themeColor="text1"/>
        </w:rPr>
        <w:t>）项目大气环境防护距离计算</w:t>
      </w:r>
    </w:p>
    <w:p w14:paraId="21EA6B12" w14:textId="77777777" w:rsidR="00B0005F" w:rsidRPr="008A2411" w:rsidRDefault="00000000">
      <w:pPr>
        <w:pStyle w:val="WJ"/>
        <w:rPr>
          <w:rFonts w:ascii="Times New Roman" w:hAnsi="Times New Roman"/>
          <w:color w:val="000000" w:themeColor="text1"/>
        </w:rPr>
      </w:pPr>
      <w:proofErr w:type="gramStart"/>
      <w:r w:rsidRPr="008A2411">
        <w:rPr>
          <w:rFonts w:ascii="Times New Roman" w:hAnsi="Times New Roman"/>
          <w:color w:val="000000" w:themeColor="text1"/>
        </w:rPr>
        <w:t>本评价</w:t>
      </w:r>
      <w:proofErr w:type="gramEnd"/>
      <w:r w:rsidRPr="008A2411">
        <w:rPr>
          <w:rFonts w:ascii="Times New Roman" w:hAnsi="Times New Roman"/>
          <w:color w:val="000000" w:themeColor="text1"/>
        </w:rPr>
        <w:t>按《环境影响评价技术导则</w:t>
      </w:r>
      <w:r w:rsidRPr="008A2411">
        <w:rPr>
          <w:rFonts w:ascii="Times New Roman" w:hAnsi="Times New Roman"/>
          <w:color w:val="000000" w:themeColor="text1"/>
        </w:rPr>
        <w:t xml:space="preserve">  </w:t>
      </w:r>
      <w:r w:rsidRPr="008A2411">
        <w:rPr>
          <w:rFonts w:ascii="Times New Roman" w:hAnsi="Times New Roman"/>
          <w:color w:val="000000" w:themeColor="text1"/>
        </w:rPr>
        <w:t>大气环境》</w:t>
      </w:r>
      <w:r w:rsidRPr="008A2411">
        <w:rPr>
          <w:rFonts w:ascii="Times New Roman" w:hAnsi="Times New Roman"/>
          <w:color w:val="000000" w:themeColor="text1"/>
        </w:rPr>
        <w:t xml:space="preserve"> </w:t>
      </w:r>
      <w:r w:rsidRPr="008A2411">
        <w:rPr>
          <w:rFonts w:ascii="Times New Roman" w:hAnsi="Times New Roman"/>
          <w:color w:val="000000" w:themeColor="text1"/>
        </w:rPr>
        <w:t>（</w:t>
      </w:r>
      <w:r w:rsidRPr="008A2411">
        <w:rPr>
          <w:rFonts w:ascii="Times New Roman" w:hAnsi="Times New Roman"/>
          <w:color w:val="000000" w:themeColor="text1"/>
        </w:rPr>
        <w:t>HJ2.2-2018</w:t>
      </w:r>
      <w:r w:rsidRPr="008A2411">
        <w:rPr>
          <w:rFonts w:ascii="Times New Roman" w:hAnsi="Times New Roman"/>
          <w:color w:val="000000" w:themeColor="text1"/>
        </w:rPr>
        <w:t>）中</w:t>
      </w:r>
      <w:r w:rsidRPr="008A2411">
        <w:rPr>
          <w:rFonts w:ascii="Times New Roman" w:hAnsi="Times New Roman"/>
          <w:color w:val="000000" w:themeColor="text1"/>
        </w:rPr>
        <w:t xml:space="preserve"> AERSCREEN </w:t>
      </w:r>
      <w:r w:rsidRPr="008A2411">
        <w:rPr>
          <w:rFonts w:ascii="Times New Roman" w:hAnsi="Times New Roman"/>
          <w:color w:val="000000" w:themeColor="text1"/>
        </w:rPr>
        <w:t>模式对大气环境防护距离进行计算，计算参数及计算结果见下表。</w:t>
      </w:r>
    </w:p>
    <w:p w14:paraId="391A62FD" w14:textId="77777777" w:rsidR="00B0005F" w:rsidRPr="008A2411" w:rsidRDefault="00000000">
      <w:pPr>
        <w:pStyle w:val="WJ0"/>
        <w:rPr>
          <w:rFonts w:ascii="Times New Roman" w:hAnsi="Times New Roman"/>
          <w:color w:val="000000" w:themeColor="text1"/>
        </w:rPr>
      </w:pPr>
      <w:r w:rsidRPr="008A2411">
        <w:rPr>
          <w:rFonts w:ascii="Times New Roman" w:hAnsi="Times New Roman"/>
          <w:color w:val="000000" w:themeColor="text1"/>
        </w:rPr>
        <w:t>表</w:t>
      </w:r>
      <w:r w:rsidRPr="008A2411">
        <w:rPr>
          <w:rFonts w:ascii="Times New Roman" w:hAnsi="Times New Roman"/>
          <w:color w:val="000000" w:themeColor="text1"/>
        </w:rPr>
        <w:t xml:space="preserve">5.2-14  </w:t>
      </w:r>
      <w:r w:rsidRPr="008A2411">
        <w:rPr>
          <w:rFonts w:ascii="Times New Roman" w:hAnsi="Times New Roman"/>
          <w:color w:val="000000" w:themeColor="text1"/>
        </w:rPr>
        <w:t>大气环境防护距离计算结果</w:t>
      </w:r>
    </w:p>
    <w:tbl>
      <w:tblPr>
        <w:tblW w:w="5000" w:type="pct"/>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firstRow="1" w:lastRow="0" w:firstColumn="1" w:lastColumn="0" w:noHBand="0" w:noVBand="1"/>
      </w:tblPr>
      <w:tblGrid>
        <w:gridCol w:w="1715"/>
        <w:gridCol w:w="982"/>
        <w:gridCol w:w="2086"/>
        <w:gridCol w:w="1561"/>
        <w:gridCol w:w="2178"/>
      </w:tblGrid>
      <w:tr w:rsidR="008A2411" w:rsidRPr="008A2411" w14:paraId="12E243FA" w14:textId="77777777">
        <w:trPr>
          <w:trHeight w:val="60"/>
          <w:jc w:val="center"/>
        </w:trPr>
        <w:tc>
          <w:tcPr>
            <w:tcW w:w="1006" w:type="pct"/>
            <w:vAlign w:val="center"/>
          </w:tcPr>
          <w:p w14:paraId="44544865" w14:textId="77777777" w:rsidR="00B0005F" w:rsidRPr="008A2411" w:rsidRDefault="00000000">
            <w:pPr>
              <w:pStyle w:val="WJ4"/>
              <w:rPr>
                <w:rFonts w:ascii="Times New Roman" w:hAnsi="Times New Roman"/>
                <w:color w:val="000000" w:themeColor="text1"/>
              </w:rPr>
            </w:pPr>
            <w:r w:rsidRPr="008A2411">
              <w:rPr>
                <w:rFonts w:ascii="Times New Roman" w:hAnsi="Times New Roman"/>
                <w:color w:val="000000" w:themeColor="text1"/>
              </w:rPr>
              <w:t>污染源</w:t>
            </w:r>
          </w:p>
        </w:tc>
        <w:tc>
          <w:tcPr>
            <w:tcW w:w="576" w:type="pct"/>
            <w:vAlign w:val="center"/>
          </w:tcPr>
          <w:p w14:paraId="706A2547" w14:textId="77777777" w:rsidR="00B0005F" w:rsidRPr="008A2411" w:rsidRDefault="00000000">
            <w:pPr>
              <w:pStyle w:val="WJ4"/>
              <w:rPr>
                <w:rFonts w:ascii="Times New Roman" w:hAnsi="Times New Roman"/>
                <w:color w:val="000000" w:themeColor="text1"/>
              </w:rPr>
            </w:pPr>
            <w:r w:rsidRPr="008A2411">
              <w:rPr>
                <w:rFonts w:ascii="Times New Roman" w:hAnsi="Times New Roman"/>
                <w:color w:val="000000" w:themeColor="text1"/>
              </w:rPr>
              <w:t>污染物</w:t>
            </w:r>
          </w:p>
        </w:tc>
        <w:tc>
          <w:tcPr>
            <w:tcW w:w="1223" w:type="pct"/>
            <w:vAlign w:val="center"/>
          </w:tcPr>
          <w:p w14:paraId="332505C9" w14:textId="77777777" w:rsidR="00B0005F" w:rsidRPr="008A2411" w:rsidRDefault="00000000">
            <w:pPr>
              <w:pStyle w:val="WJ4"/>
              <w:rPr>
                <w:rFonts w:ascii="Times New Roman" w:hAnsi="Times New Roman"/>
                <w:color w:val="000000" w:themeColor="text1"/>
              </w:rPr>
            </w:pPr>
            <w:r w:rsidRPr="008A2411">
              <w:rPr>
                <w:rFonts w:ascii="Times New Roman" w:hAnsi="Times New Roman"/>
                <w:color w:val="000000" w:themeColor="text1"/>
              </w:rPr>
              <w:t>无组织排放源强</w:t>
            </w:r>
            <w:r w:rsidRPr="008A2411">
              <w:rPr>
                <w:rFonts w:ascii="Times New Roman" w:hAnsi="Times New Roman"/>
                <w:color w:val="000000" w:themeColor="text1"/>
              </w:rPr>
              <w:t>kg/h</w:t>
            </w:r>
          </w:p>
        </w:tc>
        <w:tc>
          <w:tcPr>
            <w:tcW w:w="915" w:type="pct"/>
            <w:vAlign w:val="center"/>
          </w:tcPr>
          <w:p w14:paraId="2E5BC690" w14:textId="77777777" w:rsidR="00B0005F" w:rsidRPr="008A2411" w:rsidRDefault="00000000">
            <w:pPr>
              <w:pStyle w:val="WJ4"/>
              <w:rPr>
                <w:rFonts w:ascii="Times New Roman" w:hAnsi="Times New Roman"/>
                <w:color w:val="000000" w:themeColor="text1"/>
              </w:rPr>
            </w:pPr>
            <w:r w:rsidRPr="008A2411">
              <w:rPr>
                <w:rFonts w:ascii="Times New Roman" w:hAnsi="Times New Roman"/>
                <w:color w:val="000000" w:themeColor="text1"/>
              </w:rPr>
              <w:t>标准值</w:t>
            </w:r>
            <w:r w:rsidRPr="008A2411">
              <w:rPr>
                <w:rFonts w:ascii="Times New Roman" w:hAnsi="Times New Roman"/>
                <w:color w:val="000000" w:themeColor="text1"/>
              </w:rPr>
              <w:t>mg/m</w:t>
            </w:r>
            <w:r w:rsidRPr="008A2411">
              <w:rPr>
                <w:rFonts w:ascii="Times New Roman" w:hAnsi="Times New Roman"/>
                <w:color w:val="000000" w:themeColor="text1"/>
                <w:vertAlign w:val="superscript"/>
              </w:rPr>
              <w:t>3</w:t>
            </w:r>
          </w:p>
        </w:tc>
        <w:tc>
          <w:tcPr>
            <w:tcW w:w="1277" w:type="pct"/>
            <w:vAlign w:val="center"/>
          </w:tcPr>
          <w:p w14:paraId="11DD544A" w14:textId="77777777" w:rsidR="00B0005F" w:rsidRPr="008A2411" w:rsidRDefault="00000000">
            <w:pPr>
              <w:pStyle w:val="WJ4"/>
              <w:rPr>
                <w:rFonts w:ascii="Times New Roman" w:hAnsi="Times New Roman"/>
                <w:color w:val="000000" w:themeColor="text1"/>
              </w:rPr>
            </w:pPr>
            <w:r w:rsidRPr="008A2411">
              <w:rPr>
                <w:rFonts w:ascii="Times New Roman" w:hAnsi="Times New Roman"/>
                <w:color w:val="000000" w:themeColor="text1"/>
              </w:rPr>
              <w:t>大气环境防护</w:t>
            </w:r>
          </w:p>
          <w:p w14:paraId="72F7436B" w14:textId="77777777" w:rsidR="00B0005F" w:rsidRPr="008A2411" w:rsidRDefault="00000000">
            <w:pPr>
              <w:pStyle w:val="WJ4"/>
              <w:rPr>
                <w:rFonts w:ascii="Times New Roman" w:hAnsi="Times New Roman"/>
                <w:color w:val="000000" w:themeColor="text1"/>
              </w:rPr>
            </w:pPr>
            <w:r w:rsidRPr="008A2411">
              <w:rPr>
                <w:rFonts w:ascii="Times New Roman" w:hAnsi="Times New Roman"/>
                <w:color w:val="000000" w:themeColor="text1"/>
              </w:rPr>
              <w:t>计算距离</w:t>
            </w:r>
            <w:r w:rsidRPr="008A2411">
              <w:rPr>
                <w:rFonts w:ascii="Times New Roman" w:hAnsi="Times New Roman"/>
                <w:color w:val="000000" w:themeColor="text1"/>
              </w:rPr>
              <w:t>m</w:t>
            </w:r>
          </w:p>
        </w:tc>
      </w:tr>
      <w:tr w:rsidR="008A2411" w:rsidRPr="008A2411" w14:paraId="3477602E" w14:textId="77777777">
        <w:trPr>
          <w:trHeight w:val="705"/>
          <w:jc w:val="center"/>
        </w:trPr>
        <w:tc>
          <w:tcPr>
            <w:tcW w:w="1006" w:type="pct"/>
            <w:vAlign w:val="center"/>
          </w:tcPr>
          <w:p w14:paraId="0D569B13"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生产装置区</w:t>
            </w:r>
          </w:p>
        </w:tc>
        <w:tc>
          <w:tcPr>
            <w:tcW w:w="576" w:type="pct"/>
            <w:vAlign w:val="center"/>
          </w:tcPr>
          <w:p w14:paraId="4E87E5CB" w14:textId="0BF90629" w:rsidR="00B0005F" w:rsidRPr="008A2411" w:rsidRDefault="00F243D6">
            <w:pPr>
              <w:pStyle w:val="WJ5"/>
              <w:rPr>
                <w:rFonts w:ascii="Times New Roman" w:hAnsi="Times New Roman"/>
                <w:color w:val="000000" w:themeColor="text1"/>
              </w:rPr>
            </w:pPr>
            <w:r w:rsidRPr="008A2411">
              <w:rPr>
                <w:rFonts w:ascii="Times New Roman" w:hAnsi="Times New Roman"/>
                <w:snapToGrid w:val="0"/>
                <w:color w:val="000000" w:themeColor="text1"/>
              </w:rPr>
              <w:t>NMHC</w:t>
            </w:r>
          </w:p>
        </w:tc>
        <w:tc>
          <w:tcPr>
            <w:tcW w:w="1223" w:type="pct"/>
            <w:vAlign w:val="center"/>
          </w:tcPr>
          <w:p w14:paraId="4E8777EF"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0.086</w:t>
            </w:r>
          </w:p>
        </w:tc>
        <w:tc>
          <w:tcPr>
            <w:tcW w:w="915" w:type="pct"/>
            <w:vAlign w:val="center"/>
          </w:tcPr>
          <w:p w14:paraId="3E10E7D6"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2.0</w:t>
            </w:r>
          </w:p>
        </w:tc>
        <w:tc>
          <w:tcPr>
            <w:tcW w:w="1277" w:type="pct"/>
            <w:vAlign w:val="center"/>
          </w:tcPr>
          <w:p w14:paraId="299AD8AE"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无超标点；最大值</w:t>
            </w:r>
            <w:r w:rsidRPr="008A2411">
              <w:rPr>
                <w:rFonts w:ascii="Times New Roman" w:hAnsi="Times New Roman"/>
                <w:color w:val="000000" w:themeColor="text1"/>
              </w:rPr>
              <w:t>2.22%(90m)</w:t>
            </w:r>
          </w:p>
        </w:tc>
      </w:tr>
    </w:tbl>
    <w:p w14:paraId="62B19DCD"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根据计算结果，本项目无组织排放污染物均可在厂界内达标，因此，本项目不划定大气环境防护距离。</w:t>
      </w:r>
    </w:p>
    <w:p w14:paraId="02B03096" w14:textId="77777777" w:rsidR="00B0005F" w:rsidRPr="008A2411" w:rsidRDefault="00000000">
      <w:pPr>
        <w:pStyle w:val="WJ3"/>
        <w:spacing w:line="360" w:lineRule="auto"/>
        <w:rPr>
          <w:rFonts w:ascii="Times New Roman" w:hAnsi="Times New Roman"/>
          <w:color w:val="000000" w:themeColor="text1"/>
          <w:sz w:val="28"/>
          <w:szCs w:val="28"/>
        </w:rPr>
      </w:pPr>
      <w:bookmarkStart w:id="377" w:name="_Toc422906881"/>
      <w:bookmarkStart w:id="378" w:name="_Toc405214266"/>
      <w:bookmarkStart w:id="379" w:name="_Toc405905333"/>
      <w:bookmarkStart w:id="380" w:name="_Toc405904861"/>
      <w:bookmarkStart w:id="381" w:name="_Toc405904517"/>
      <w:r w:rsidRPr="008A2411">
        <w:rPr>
          <w:rFonts w:ascii="Times New Roman" w:hAnsi="Times New Roman"/>
          <w:color w:val="000000" w:themeColor="text1"/>
          <w:sz w:val="28"/>
          <w:szCs w:val="28"/>
        </w:rPr>
        <w:t xml:space="preserve">5.2.2 </w:t>
      </w:r>
      <w:r w:rsidRPr="008A2411">
        <w:rPr>
          <w:rFonts w:ascii="Times New Roman" w:hAnsi="Times New Roman"/>
          <w:color w:val="000000" w:themeColor="text1"/>
          <w:sz w:val="28"/>
          <w:szCs w:val="28"/>
        </w:rPr>
        <w:t>地表水影响预测与评价</w:t>
      </w:r>
      <w:bookmarkEnd w:id="377"/>
      <w:bookmarkEnd w:id="378"/>
      <w:bookmarkEnd w:id="379"/>
      <w:bookmarkEnd w:id="380"/>
      <w:bookmarkEnd w:id="381"/>
    </w:p>
    <w:p w14:paraId="3C44938E" w14:textId="77777777" w:rsidR="00B0005F" w:rsidRPr="008A2411" w:rsidRDefault="00000000">
      <w:pPr>
        <w:adjustRightInd w:val="0"/>
        <w:snapToGrid w:val="0"/>
        <w:spacing w:line="360" w:lineRule="auto"/>
        <w:ind w:firstLineChars="200" w:firstLine="480"/>
        <w:rPr>
          <w:rFonts w:ascii="Times New Roman"/>
          <w:bCs/>
          <w:color w:val="000000" w:themeColor="text1"/>
        </w:rPr>
      </w:pPr>
      <w:bookmarkStart w:id="382" w:name="OLE_LINK119"/>
      <w:r w:rsidRPr="008A2411">
        <w:rPr>
          <w:rFonts w:ascii="Times New Roman"/>
          <w:bCs/>
          <w:color w:val="000000" w:themeColor="text1"/>
        </w:rPr>
        <w:t>1</w:t>
      </w:r>
      <w:r w:rsidRPr="008A2411">
        <w:rPr>
          <w:rFonts w:ascii="Times New Roman"/>
          <w:bCs/>
          <w:color w:val="000000" w:themeColor="text1"/>
        </w:rPr>
        <w:t>、水污染物治理措施</w:t>
      </w:r>
    </w:p>
    <w:p w14:paraId="2DDD76BF" w14:textId="77777777" w:rsidR="00B0005F" w:rsidRPr="008A2411" w:rsidRDefault="00000000">
      <w:pPr>
        <w:autoSpaceDE w:val="0"/>
        <w:autoSpaceDN w:val="0"/>
        <w:adjustRightInd w:val="0"/>
        <w:snapToGrid w:val="0"/>
        <w:spacing w:line="360" w:lineRule="auto"/>
        <w:ind w:firstLine="482"/>
        <w:rPr>
          <w:rFonts w:ascii="Times New Roman"/>
          <w:color w:val="000000" w:themeColor="text1"/>
          <w:kern w:val="2"/>
          <w:szCs w:val="24"/>
          <w:lang w:bidi="en-US"/>
        </w:rPr>
      </w:pPr>
      <w:r w:rsidRPr="008A2411">
        <w:rPr>
          <w:rFonts w:ascii="Times New Roman"/>
          <w:color w:val="000000" w:themeColor="text1"/>
          <w:kern w:val="2"/>
          <w:szCs w:val="24"/>
        </w:rPr>
        <w:t>本项目营运期污水主要包括生产废水和生活污水。生产废水主要有</w:t>
      </w:r>
      <w:r w:rsidRPr="008A2411">
        <w:rPr>
          <w:rFonts w:ascii="Times New Roman"/>
          <w:color w:val="000000" w:themeColor="text1"/>
          <w:szCs w:val="24"/>
        </w:rPr>
        <w:t>进口过滤分离器废水、冷却器产生的凝液、脱盐间排水及软化水装置排水</w:t>
      </w:r>
      <w:r w:rsidRPr="008A2411">
        <w:rPr>
          <w:rFonts w:ascii="Times New Roman"/>
          <w:color w:val="000000" w:themeColor="text1"/>
          <w:kern w:val="2"/>
          <w:szCs w:val="24"/>
        </w:rPr>
        <w:t>等。生活污水主要是值守人员产生的生活污水。此外，还有初降雨水。</w:t>
      </w:r>
      <w:r w:rsidRPr="008A2411">
        <w:rPr>
          <w:rFonts w:ascii="Times New Roman"/>
          <w:color w:val="000000" w:themeColor="text1"/>
          <w:kern w:val="2"/>
          <w:szCs w:val="24"/>
          <w:lang w:bidi="en-US"/>
        </w:rPr>
        <w:t>项目废水产生及治理情况见表</w:t>
      </w:r>
      <w:r w:rsidRPr="008A2411">
        <w:rPr>
          <w:rFonts w:ascii="Times New Roman"/>
          <w:color w:val="000000" w:themeColor="text1"/>
          <w:kern w:val="2"/>
          <w:szCs w:val="24"/>
          <w:lang w:bidi="en-US"/>
        </w:rPr>
        <w:t>5.2-11</w:t>
      </w:r>
      <w:r w:rsidRPr="008A2411">
        <w:rPr>
          <w:rFonts w:ascii="Times New Roman"/>
          <w:color w:val="000000" w:themeColor="text1"/>
          <w:kern w:val="2"/>
          <w:szCs w:val="24"/>
          <w:lang w:bidi="en-US"/>
        </w:rPr>
        <w:t>。</w:t>
      </w:r>
    </w:p>
    <w:p w14:paraId="23D49985" w14:textId="77777777" w:rsidR="00B63A28" w:rsidRPr="008A2411" w:rsidRDefault="00B63A28">
      <w:pPr>
        <w:ind w:firstLineChars="200" w:firstLine="420"/>
        <w:jc w:val="center"/>
        <w:rPr>
          <w:rFonts w:ascii="Times New Roman" w:eastAsia="黑体"/>
          <w:color w:val="000000" w:themeColor="text1"/>
          <w:sz w:val="21"/>
          <w:szCs w:val="21"/>
        </w:rPr>
      </w:pPr>
    </w:p>
    <w:p w14:paraId="0F36B41B" w14:textId="77777777" w:rsidR="00B63A28" w:rsidRPr="008A2411" w:rsidRDefault="00B63A28">
      <w:pPr>
        <w:ind w:firstLineChars="200" w:firstLine="420"/>
        <w:jc w:val="center"/>
        <w:rPr>
          <w:rFonts w:ascii="Times New Roman" w:eastAsia="黑体"/>
          <w:color w:val="000000" w:themeColor="text1"/>
          <w:sz w:val="21"/>
          <w:szCs w:val="21"/>
        </w:rPr>
      </w:pPr>
    </w:p>
    <w:p w14:paraId="242144CC" w14:textId="2E124D92" w:rsidR="00B0005F" w:rsidRPr="008A2411" w:rsidRDefault="00000000">
      <w:pPr>
        <w:ind w:firstLineChars="200" w:firstLine="420"/>
        <w:jc w:val="center"/>
        <w:rPr>
          <w:rFonts w:ascii="Times New Roman" w:eastAsia="黑体"/>
          <w:color w:val="000000" w:themeColor="text1"/>
          <w:sz w:val="21"/>
          <w:szCs w:val="21"/>
        </w:rPr>
      </w:pPr>
      <w:r w:rsidRPr="008A2411">
        <w:rPr>
          <w:rFonts w:ascii="Times New Roman" w:eastAsia="黑体"/>
          <w:color w:val="000000" w:themeColor="text1"/>
          <w:sz w:val="21"/>
          <w:szCs w:val="21"/>
        </w:rPr>
        <w:lastRenderedPageBreak/>
        <w:t>表</w:t>
      </w:r>
      <w:r w:rsidRPr="008A2411">
        <w:rPr>
          <w:rFonts w:ascii="Times New Roman" w:eastAsia="黑体"/>
          <w:color w:val="000000" w:themeColor="text1"/>
          <w:sz w:val="21"/>
          <w:szCs w:val="21"/>
        </w:rPr>
        <w:t xml:space="preserve">5.2-11  </w:t>
      </w:r>
      <w:r w:rsidRPr="008A2411">
        <w:rPr>
          <w:rFonts w:ascii="Times New Roman" w:eastAsia="黑体"/>
          <w:color w:val="000000" w:themeColor="text1"/>
          <w:sz w:val="21"/>
          <w:szCs w:val="21"/>
        </w:rPr>
        <w:t>项目废水产生及排放情况一览表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3"/>
        <w:gridCol w:w="827"/>
        <w:gridCol w:w="1510"/>
        <w:gridCol w:w="2332"/>
        <w:gridCol w:w="2095"/>
        <w:gridCol w:w="1115"/>
      </w:tblGrid>
      <w:tr w:rsidR="008A2411" w:rsidRPr="008A2411" w14:paraId="3880BDA3" w14:textId="77777777">
        <w:tc>
          <w:tcPr>
            <w:tcW w:w="377" w:type="pct"/>
            <w:shd w:val="clear" w:color="auto" w:fill="auto"/>
            <w:vAlign w:val="center"/>
          </w:tcPr>
          <w:p w14:paraId="10041A50" w14:textId="77777777" w:rsidR="00B0005F" w:rsidRPr="008A2411" w:rsidRDefault="00000000">
            <w:pPr>
              <w:spacing w:line="280" w:lineRule="exact"/>
              <w:jc w:val="center"/>
              <w:rPr>
                <w:rFonts w:ascii="Times New Roman"/>
                <w:b/>
                <w:color w:val="000000" w:themeColor="text1"/>
                <w:sz w:val="21"/>
                <w:szCs w:val="21"/>
              </w:rPr>
            </w:pPr>
            <w:r w:rsidRPr="008A2411">
              <w:rPr>
                <w:rFonts w:ascii="Times New Roman"/>
                <w:b/>
                <w:color w:val="000000" w:themeColor="text1"/>
                <w:sz w:val="21"/>
                <w:szCs w:val="21"/>
              </w:rPr>
              <w:t>装置名称</w:t>
            </w:r>
          </w:p>
        </w:tc>
        <w:tc>
          <w:tcPr>
            <w:tcW w:w="485" w:type="pct"/>
            <w:shd w:val="clear" w:color="auto" w:fill="auto"/>
            <w:vAlign w:val="center"/>
          </w:tcPr>
          <w:p w14:paraId="08722DDB" w14:textId="77777777" w:rsidR="00B0005F" w:rsidRPr="008A2411" w:rsidRDefault="00000000">
            <w:pPr>
              <w:spacing w:line="280" w:lineRule="exact"/>
              <w:jc w:val="center"/>
              <w:rPr>
                <w:rFonts w:ascii="Times New Roman"/>
                <w:b/>
                <w:color w:val="000000" w:themeColor="text1"/>
                <w:sz w:val="21"/>
                <w:szCs w:val="21"/>
              </w:rPr>
            </w:pPr>
            <w:r w:rsidRPr="008A2411">
              <w:rPr>
                <w:rFonts w:ascii="Times New Roman"/>
                <w:b/>
                <w:color w:val="000000" w:themeColor="text1"/>
                <w:sz w:val="21"/>
                <w:szCs w:val="21"/>
              </w:rPr>
              <w:t>编号</w:t>
            </w:r>
          </w:p>
        </w:tc>
        <w:tc>
          <w:tcPr>
            <w:tcW w:w="886" w:type="pct"/>
            <w:shd w:val="clear" w:color="auto" w:fill="auto"/>
            <w:vAlign w:val="center"/>
          </w:tcPr>
          <w:p w14:paraId="1F55E647" w14:textId="77777777" w:rsidR="00B0005F" w:rsidRPr="008A2411" w:rsidRDefault="00000000">
            <w:pPr>
              <w:spacing w:line="280" w:lineRule="exact"/>
              <w:jc w:val="center"/>
              <w:rPr>
                <w:rFonts w:ascii="Times New Roman"/>
                <w:b/>
                <w:color w:val="000000" w:themeColor="text1"/>
                <w:sz w:val="21"/>
                <w:szCs w:val="21"/>
              </w:rPr>
            </w:pPr>
            <w:r w:rsidRPr="008A2411">
              <w:rPr>
                <w:rFonts w:ascii="Times New Roman"/>
                <w:b/>
                <w:color w:val="000000" w:themeColor="text1"/>
                <w:sz w:val="21"/>
                <w:szCs w:val="21"/>
              </w:rPr>
              <w:t>废水名称</w:t>
            </w:r>
          </w:p>
        </w:tc>
        <w:tc>
          <w:tcPr>
            <w:tcW w:w="1367" w:type="pct"/>
            <w:shd w:val="clear" w:color="auto" w:fill="auto"/>
            <w:vAlign w:val="center"/>
          </w:tcPr>
          <w:p w14:paraId="3D7002B7" w14:textId="77777777" w:rsidR="00B0005F" w:rsidRPr="008A2411" w:rsidRDefault="00000000">
            <w:pPr>
              <w:spacing w:line="280" w:lineRule="exact"/>
              <w:jc w:val="center"/>
              <w:rPr>
                <w:rFonts w:ascii="Times New Roman"/>
                <w:b/>
                <w:color w:val="000000" w:themeColor="text1"/>
                <w:sz w:val="21"/>
                <w:szCs w:val="21"/>
              </w:rPr>
            </w:pPr>
            <w:r w:rsidRPr="008A2411">
              <w:rPr>
                <w:rFonts w:ascii="Times New Roman"/>
                <w:b/>
                <w:color w:val="000000" w:themeColor="text1"/>
                <w:sz w:val="21"/>
                <w:szCs w:val="21"/>
              </w:rPr>
              <w:t>产生情况</w:t>
            </w:r>
          </w:p>
        </w:tc>
        <w:tc>
          <w:tcPr>
            <w:tcW w:w="1229" w:type="pct"/>
            <w:shd w:val="clear" w:color="auto" w:fill="auto"/>
            <w:vAlign w:val="center"/>
          </w:tcPr>
          <w:p w14:paraId="0D2506EB" w14:textId="77777777" w:rsidR="00B0005F" w:rsidRPr="008A2411" w:rsidRDefault="00000000">
            <w:pPr>
              <w:spacing w:line="280" w:lineRule="exact"/>
              <w:jc w:val="center"/>
              <w:rPr>
                <w:rFonts w:ascii="Times New Roman"/>
                <w:b/>
                <w:color w:val="000000" w:themeColor="text1"/>
                <w:sz w:val="21"/>
                <w:szCs w:val="21"/>
              </w:rPr>
            </w:pPr>
            <w:r w:rsidRPr="008A2411">
              <w:rPr>
                <w:rFonts w:ascii="Times New Roman"/>
                <w:b/>
                <w:color w:val="000000" w:themeColor="text1"/>
                <w:sz w:val="21"/>
                <w:szCs w:val="21"/>
              </w:rPr>
              <w:t>治理措施</w:t>
            </w:r>
          </w:p>
        </w:tc>
        <w:tc>
          <w:tcPr>
            <w:tcW w:w="654" w:type="pct"/>
            <w:shd w:val="clear" w:color="auto" w:fill="auto"/>
            <w:vAlign w:val="center"/>
          </w:tcPr>
          <w:p w14:paraId="60871014" w14:textId="77777777" w:rsidR="00B0005F" w:rsidRPr="008A2411" w:rsidRDefault="00000000">
            <w:pPr>
              <w:spacing w:line="280" w:lineRule="exact"/>
              <w:jc w:val="center"/>
              <w:rPr>
                <w:rFonts w:ascii="Times New Roman"/>
                <w:b/>
                <w:color w:val="000000" w:themeColor="text1"/>
                <w:sz w:val="21"/>
                <w:szCs w:val="21"/>
              </w:rPr>
            </w:pPr>
            <w:r w:rsidRPr="008A2411">
              <w:rPr>
                <w:rFonts w:ascii="Times New Roman"/>
                <w:b/>
                <w:color w:val="000000" w:themeColor="text1"/>
                <w:sz w:val="21"/>
                <w:szCs w:val="21"/>
              </w:rPr>
              <w:t>排放情况</w:t>
            </w:r>
          </w:p>
        </w:tc>
      </w:tr>
      <w:tr w:rsidR="008A2411" w:rsidRPr="008A2411" w14:paraId="5736DBCC" w14:textId="77777777">
        <w:trPr>
          <w:trHeight w:val="90"/>
        </w:trPr>
        <w:tc>
          <w:tcPr>
            <w:tcW w:w="377" w:type="pct"/>
            <w:vMerge w:val="restart"/>
            <w:shd w:val="clear" w:color="auto" w:fill="auto"/>
            <w:vAlign w:val="center"/>
          </w:tcPr>
          <w:p w14:paraId="3DF7DF0C"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工艺装置</w:t>
            </w:r>
          </w:p>
        </w:tc>
        <w:tc>
          <w:tcPr>
            <w:tcW w:w="485" w:type="pct"/>
            <w:shd w:val="clear" w:color="auto" w:fill="auto"/>
            <w:vAlign w:val="center"/>
          </w:tcPr>
          <w:p w14:paraId="6934981D"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W</w:t>
            </w:r>
            <w:r w:rsidRPr="008A2411">
              <w:rPr>
                <w:rFonts w:ascii="Times New Roman"/>
                <w:color w:val="000000" w:themeColor="text1"/>
                <w:sz w:val="21"/>
                <w:szCs w:val="21"/>
                <w:vertAlign w:val="subscript"/>
              </w:rPr>
              <w:t>1</w:t>
            </w:r>
          </w:p>
        </w:tc>
        <w:tc>
          <w:tcPr>
            <w:tcW w:w="886" w:type="pct"/>
            <w:shd w:val="clear" w:color="auto" w:fill="auto"/>
            <w:vAlign w:val="center"/>
          </w:tcPr>
          <w:p w14:paraId="21BC78B0"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进口分离器废水</w:t>
            </w:r>
          </w:p>
        </w:tc>
        <w:tc>
          <w:tcPr>
            <w:tcW w:w="1367" w:type="pct"/>
            <w:shd w:val="clear" w:color="auto" w:fill="auto"/>
            <w:vAlign w:val="center"/>
          </w:tcPr>
          <w:p w14:paraId="566EBDD8"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连续；</w:t>
            </w:r>
            <w:r w:rsidRPr="008A2411">
              <w:rPr>
                <w:rFonts w:ascii="Times New Roman"/>
                <w:color w:val="000000" w:themeColor="text1"/>
                <w:sz w:val="21"/>
                <w:szCs w:val="21"/>
              </w:rPr>
              <w:t>0.2m</w:t>
            </w:r>
            <w:r w:rsidRPr="008A2411">
              <w:rPr>
                <w:rFonts w:ascii="Times New Roman"/>
                <w:color w:val="000000" w:themeColor="text1"/>
                <w:sz w:val="21"/>
                <w:szCs w:val="21"/>
                <w:vertAlign w:val="superscript"/>
              </w:rPr>
              <w:t>3</w:t>
            </w:r>
            <w:r w:rsidRPr="008A2411">
              <w:rPr>
                <w:rFonts w:ascii="Times New Roman"/>
                <w:color w:val="000000" w:themeColor="text1"/>
                <w:sz w:val="21"/>
                <w:szCs w:val="21"/>
              </w:rPr>
              <w:t>/d</w:t>
            </w:r>
          </w:p>
          <w:p w14:paraId="7175F35D"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CODcr</w:t>
            </w:r>
            <w:r w:rsidRPr="008A2411">
              <w:rPr>
                <w:rFonts w:ascii="Times New Roman"/>
                <w:color w:val="000000" w:themeColor="text1"/>
                <w:sz w:val="21"/>
                <w:szCs w:val="21"/>
              </w:rPr>
              <w:t>：</w:t>
            </w:r>
            <w:r w:rsidRPr="008A2411">
              <w:rPr>
                <w:rFonts w:ascii="Times New Roman"/>
                <w:color w:val="000000" w:themeColor="text1"/>
                <w:sz w:val="21"/>
                <w:szCs w:val="21"/>
              </w:rPr>
              <w:t>350mg/L</w:t>
            </w:r>
          </w:p>
          <w:p w14:paraId="55062634"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SS</w:t>
            </w:r>
            <w:r w:rsidRPr="008A2411">
              <w:rPr>
                <w:rFonts w:ascii="Times New Roman"/>
                <w:color w:val="000000" w:themeColor="text1"/>
                <w:sz w:val="21"/>
                <w:szCs w:val="21"/>
              </w:rPr>
              <w:t>：</w:t>
            </w:r>
            <w:r w:rsidRPr="008A2411">
              <w:rPr>
                <w:rFonts w:ascii="Times New Roman"/>
                <w:color w:val="000000" w:themeColor="text1"/>
                <w:sz w:val="21"/>
                <w:szCs w:val="21"/>
              </w:rPr>
              <w:t>100mg/L</w:t>
            </w:r>
          </w:p>
          <w:p w14:paraId="67F476A0"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石油类：</w:t>
            </w:r>
            <w:r w:rsidRPr="008A2411">
              <w:rPr>
                <w:rFonts w:ascii="Times New Roman"/>
                <w:color w:val="000000" w:themeColor="text1"/>
                <w:sz w:val="21"/>
                <w:szCs w:val="21"/>
              </w:rPr>
              <w:t>10</w:t>
            </w:r>
            <w:r w:rsidRPr="008A2411">
              <w:rPr>
                <w:rFonts w:ascii="Times New Roman"/>
                <w:color w:val="000000" w:themeColor="text1"/>
                <w:sz w:val="21"/>
                <w:szCs w:val="21"/>
              </w:rPr>
              <w:t>～</w:t>
            </w:r>
            <w:r w:rsidRPr="008A2411">
              <w:rPr>
                <w:rFonts w:ascii="Times New Roman"/>
                <w:color w:val="000000" w:themeColor="text1"/>
                <w:sz w:val="21"/>
                <w:szCs w:val="21"/>
              </w:rPr>
              <w:t>100mg/L</w:t>
            </w:r>
          </w:p>
        </w:tc>
        <w:tc>
          <w:tcPr>
            <w:tcW w:w="1229" w:type="pct"/>
            <w:vMerge w:val="restart"/>
            <w:shd w:val="clear" w:color="auto" w:fill="auto"/>
            <w:vAlign w:val="center"/>
          </w:tcPr>
          <w:p w14:paraId="2877BAE2"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排入厂区污水处理站预处理达到《污水综合排放标准》</w:t>
            </w:r>
            <w:r w:rsidRPr="008A2411">
              <w:rPr>
                <w:rFonts w:ascii="Times New Roman"/>
                <w:color w:val="000000" w:themeColor="text1"/>
                <w:sz w:val="21"/>
                <w:szCs w:val="21"/>
              </w:rPr>
              <w:t>GB8978-1996</w:t>
            </w:r>
            <w:proofErr w:type="gramStart"/>
            <w:r w:rsidRPr="008A2411">
              <w:rPr>
                <w:rFonts w:ascii="Times New Roman"/>
                <w:color w:val="000000" w:themeColor="text1"/>
                <w:sz w:val="21"/>
                <w:szCs w:val="21"/>
              </w:rPr>
              <w:t>三</w:t>
            </w:r>
            <w:proofErr w:type="gramEnd"/>
            <w:r w:rsidRPr="008A2411">
              <w:rPr>
                <w:rFonts w:ascii="Times New Roman"/>
                <w:color w:val="000000" w:themeColor="text1"/>
                <w:sz w:val="21"/>
                <w:szCs w:val="21"/>
              </w:rPr>
              <w:t>级标准，排入园区污水处理厂</w:t>
            </w:r>
          </w:p>
        </w:tc>
        <w:tc>
          <w:tcPr>
            <w:tcW w:w="654" w:type="pct"/>
            <w:vMerge w:val="restart"/>
            <w:shd w:val="clear" w:color="auto" w:fill="auto"/>
            <w:vAlign w:val="center"/>
          </w:tcPr>
          <w:p w14:paraId="14493304" w14:textId="77777777" w:rsidR="00B0005F" w:rsidRPr="008A2411" w:rsidRDefault="00000000">
            <w:pPr>
              <w:spacing w:line="280" w:lineRule="exact"/>
              <w:rPr>
                <w:rFonts w:ascii="Times New Roman"/>
                <w:color w:val="000000" w:themeColor="text1"/>
                <w:sz w:val="21"/>
                <w:szCs w:val="21"/>
              </w:rPr>
            </w:pPr>
            <w:r w:rsidRPr="008A2411">
              <w:rPr>
                <w:rFonts w:ascii="Times New Roman"/>
                <w:color w:val="000000" w:themeColor="text1"/>
                <w:sz w:val="21"/>
                <w:szCs w:val="21"/>
              </w:rPr>
              <w:t>排入园区管网</w:t>
            </w:r>
          </w:p>
        </w:tc>
      </w:tr>
      <w:tr w:rsidR="008A2411" w:rsidRPr="008A2411" w14:paraId="08C38995" w14:textId="77777777">
        <w:trPr>
          <w:trHeight w:val="1020"/>
        </w:trPr>
        <w:tc>
          <w:tcPr>
            <w:tcW w:w="377" w:type="pct"/>
            <w:vMerge/>
            <w:shd w:val="clear" w:color="auto" w:fill="auto"/>
            <w:vAlign w:val="center"/>
          </w:tcPr>
          <w:p w14:paraId="6E9AF58D" w14:textId="77777777" w:rsidR="00B0005F" w:rsidRPr="008A2411" w:rsidRDefault="00B0005F">
            <w:pPr>
              <w:spacing w:line="280" w:lineRule="exact"/>
              <w:jc w:val="center"/>
              <w:rPr>
                <w:rFonts w:ascii="Times New Roman"/>
                <w:color w:val="000000" w:themeColor="text1"/>
                <w:sz w:val="21"/>
                <w:szCs w:val="21"/>
              </w:rPr>
            </w:pPr>
          </w:p>
        </w:tc>
        <w:tc>
          <w:tcPr>
            <w:tcW w:w="485" w:type="pct"/>
            <w:shd w:val="clear" w:color="auto" w:fill="auto"/>
            <w:vAlign w:val="center"/>
          </w:tcPr>
          <w:p w14:paraId="49CB1743"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W</w:t>
            </w:r>
            <w:r w:rsidRPr="008A2411">
              <w:rPr>
                <w:rFonts w:ascii="Times New Roman"/>
                <w:color w:val="000000" w:themeColor="text1"/>
                <w:sz w:val="21"/>
                <w:szCs w:val="21"/>
                <w:vertAlign w:val="subscript"/>
              </w:rPr>
              <w:t>2</w:t>
            </w:r>
          </w:p>
        </w:tc>
        <w:tc>
          <w:tcPr>
            <w:tcW w:w="886" w:type="pct"/>
            <w:shd w:val="clear" w:color="auto" w:fill="auto"/>
            <w:vAlign w:val="center"/>
          </w:tcPr>
          <w:p w14:paraId="0F4834B1"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kern w:val="2"/>
                <w:sz w:val="21"/>
                <w:szCs w:val="21"/>
              </w:rPr>
              <w:t>脱水再生器冷却器凝液</w:t>
            </w:r>
          </w:p>
        </w:tc>
        <w:tc>
          <w:tcPr>
            <w:tcW w:w="1367" w:type="pct"/>
            <w:shd w:val="clear" w:color="auto" w:fill="auto"/>
            <w:vAlign w:val="center"/>
          </w:tcPr>
          <w:p w14:paraId="601A2B7D"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连续；</w:t>
            </w:r>
            <w:r w:rsidRPr="008A2411">
              <w:rPr>
                <w:rFonts w:ascii="Times New Roman"/>
                <w:color w:val="000000" w:themeColor="text1"/>
                <w:sz w:val="21"/>
                <w:szCs w:val="21"/>
              </w:rPr>
              <w:t>1.2m</w:t>
            </w:r>
            <w:r w:rsidRPr="008A2411">
              <w:rPr>
                <w:rFonts w:ascii="Times New Roman"/>
                <w:color w:val="000000" w:themeColor="text1"/>
                <w:sz w:val="21"/>
                <w:szCs w:val="21"/>
                <w:vertAlign w:val="superscript"/>
              </w:rPr>
              <w:t>3</w:t>
            </w:r>
            <w:r w:rsidRPr="008A2411">
              <w:rPr>
                <w:rFonts w:ascii="Times New Roman"/>
                <w:color w:val="000000" w:themeColor="text1"/>
                <w:sz w:val="21"/>
                <w:szCs w:val="21"/>
              </w:rPr>
              <w:t>/d</w:t>
            </w:r>
          </w:p>
          <w:p w14:paraId="6703354C"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CODcr</w:t>
            </w:r>
            <w:r w:rsidRPr="008A2411">
              <w:rPr>
                <w:rFonts w:ascii="Times New Roman"/>
                <w:color w:val="000000" w:themeColor="text1"/>
                <w:sz w:val="21"/>
                <w:szCs w:val="21"/>
              </w:rPr>
              <w:t>：</w:t>
            </w:r>
            <w:r w:rsidRPr="008A2411">
              <w:rPr>
                <w:rFonts w:ascii="Times New Roman"/>
                <w:color w:val="000000" w:themeColor="text1"/>
                <w:sz w:val="21"/>
                <w:szCs w:val="21"/>
              </w:rPr>
              <w:t>350mg/L</w:t>
            </w:r>
          </w:p>
          <w:p w14:paraId="01208B1E"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石油类：</w:t>
            </w:r>
            <w:r w:rsidRPr="008A2411">
              <w:rPr>
                <w:rFonts w:ascii="Times New Roman"/>
                <w:color w:val="000000" w:themeColor="text1"/>
                <w:sz w:val="21"/>
                <w:szCs w:val="21"/>
              </w:rPr>
              <w:t>10</w:t>
            </w:r>
            <w:r w:rsidRPr="008A2411">
              <w:rPr>
                <w:rFonts w:ascii="Times New Roman"/>
                <w:color w:val="000000" w:themeColor="text1"/>
                <w:sz w:val="21"/>
                <w:szCs w:val="21"/>
              </w:rPr>
              <w:t>～</w:t>
            </w:r>
            <w:r w:rsidRPr="008A2411">
              <w:rPr>
                <w:rFonts w:ascii="Times New Roman"/>
                <w:color w:val="000000" w:themeColor="text1"/>
                <w:sz w:val="21"/>
                <w:szCs w:val="21"/>
              </w:rPr>
              <w:t>100mg/L</w:t>
            </w:r>
          </w:p>
        </w:tc>
        <w:tc>
          <w:tcPr>
            <w:tcW w:w="1229" w:type="pct"/>
            <w:vMerge/>
            <w:shd w:val="clear" w:color="auto" w:fill="auto"/>
            <w:vAlign w:val="center"/>
          </w:tcPr>
          <w:p w14:paraId="58859D98" w14:textId="77777777" w:rsidR="00B0005F" w:rsidRPr="008A2411" w:rsidRDefault="00B0005F">
            <w:pPr>
              <w:spacing w:line="280" w:lineRule="exact"/>
              <w:jc w:val="center"/>
              <w:rPr>
                <w:rFonts w:ascii="Times New Roman"/>
                <w:color w:val="000000" w:themeColor="text1"/>
                <w:sz w:val="21"/>
                <w:szCs w:val="21"/>
              </w:rPr>
            </w:pPr>
          </w:p>
        </w:tc>
        <w:tc>
          <w:tcPr>
            <w:tcW w:w="654" w:type="pct"/>
            <w:vMerge/>
            <w:shd w:val="clear" w:color="auto" w:fill="auto"/>
            <w:vAlign w:val="center"/>
          </w:tcPr>
          <w:p w14:paraId="18FBA3B1" w14:textId="77777777" w:rsidR="00B0005F" w:rsidRPr="008A2411" w:rsidRDefault="00B0005F">
            <w:pPr>
              <w:spacing w:line="280" w:lineRule="exact"/>
              <w:rPr>
                <w:rFonts w:ascii="Times New Roman"/>
                <w:color w:val="000000" w:themeColor="text1"/>
                <w:sz w:val="21"/>
                <w:szCs w:val="21"/>
              </w:rPr>
            </w:pPr>
          </w:p>
        </w:tc>
      </w:tr>
      <w:tr w:rsidR="008A2411" w:rsidRPr="008A2411" w14:paraId="2668B8A9" w14:textId="77777777">
        <w:trPr>
          <w:trHeight w:val="1020"/>
        </w:trPr>
        <w:tc>
          <w:tcPr>
            <w:tcW w:w="377" w:type="pct"/>
            <w:shd w:val="clear" w:color="auto" w:fill="auto"/>
            <w:vAlign w:val="center"/>
          </w:tcPr>
          <w:p w14:paraId="5081C928"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脱盐水间</w:t>
            </w:r>
          </w:p>
        </w:tc>
        <w:tc>
          <w:tcPr>
            <w:tcW w:w="485" w:type="pct"/>
            <w:shd w:val="clear" w:color="auto" w:fill="auto"/>
            <w:vAlign w:val="center"/>
          </w:tcPr>
          <w:p w14:paraId="1E0EEDEF"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W</w:t>
            </w:r>
            <w:r w:rsidRPr="008A2411">
              <w:rPr>
                <w:rFonts w:ascii="Times New Roman"/>
                <w:color w:val="000000" w:themeColor="text1"/>
                <w:sz w:val="21"/>
                <w:szCs w:val="21"/>
                <w:vertAlign w:val="subscript"/>
              </w:rPr>
              <w:t>3</w:t>
            </w:r>
          </w:p>
        </w:tc>
        <w:tc>
          <w:tcPr>
            <w:tcW w:w="886" w:type="pct"/>
            <w:shd w:val="clear" w:color="auto" w:fill="auto"/>
            <w:vAlign w:val="center"/>
          </w:tcPr>
          <w:p w14:paraId="3DCA9A9A" w14:textId="77777777" w:rsidR="00B0005F" w:rsidRPr="008A2411" w:rsidRDefault="00000000">
            <w:pPr>
              <w:spacing w:line="280" w:lineRule="exact"/>
              <w:jc w:val="center"/>
              <w:rPr>
                <w:rFonts w:ascii="Times New Roman"/>
                <w:color w:val="000000" w:themeColor="text1"/>
                <w:kern w:val="2"/>
                <w:sz w:val="21"/>
                <w:szCs w:val="21"/>
              </w:rPr>
            </w:pPr>
            <w:r w:rsidRPr="008A2411">
              <w:rPr>
                <w:rFonts w:ascii="Times New Roman"/>
                <w:color w:val="000000" w:themeColor="text1"/>
                <w:kern w:val="2"/>
                <w:sz w:val="21"/>
                <w:szCs w:val="21"/>
              </w:rPr>
              <w:t>脱盐水装置排水</w:t>
            </w:r>
          </w:p>
        </w:tc>
        <w:tc>
          <w:tcPr>
            <w:tcW w:w="1367" w:type="pct"/>
            <w:shd w:val="clear" w:color="auto" w:fill="auto"/>
            <w:vAlign w:val="center"/>
          </w:tcPr>
          <w:p w14:paraId="2099E94D"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连续；</w:t>
            </w:r>
            <w:r w:rsidRPr="008A2411">
              <w:rPr>
                <w:rFonts w:ascii="Times New Roman"/>
                <w:color w:val="000000" w:themeColor="text1"/>
                <w:sz w:val="21"/>
                <w:szCs w:val="21"/>
              </w:rPr>
              <w:t>80.8m</w:t>
            </w:r>
            <w:r w:rsidRPr="008A2411">
              <w:rPr>
                <w:rFonts w:ascii="Times New Roman"/>
                <w:color w:val="000000" w:themeColor="text1"/>
                <w:sz w:val="21"/>
                <w:szCs w:val="21"/>
                <w:vertAlign w:val="superscript"/>
              </w:rPr>
              <w:t>3</w:t>
            </w:r>
            <w:r w:rsidRPr="008A2411">
              <w:rPr>
                <w:rFonts w:ascii="Times New Roman"/>
                <w:color w:val="000000" w:themeColor="text1"/>
                <w:sz w:val="21"/>
                <w:szCs w:val="21"/>
              </w:rPr>
              <w:t>/d</w:t>
            </w:r>
          </w:p>
          <w:p w14:paraId="4B980344"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总矿化度</w:t>
            </w:r>
            <w:r w:rsidRPr="008A2411">
              <w:rPr>
                <w:rFonts w:ascii="Times New Roman"/>
                <w:color w:val="000000" w:themeColor="text1"/>
                <w:sz w:val="21"/>
                <w:szCs w:val="21"/>
              </w:rPr>
              <w:t>600</w:t>
            </w:r>
            <w:r w:rsidRPr="008A2411">
              <w:rPr>
                <w:rFonts w:ascii="Times New Roman"/>
                <w:color w:val="000000" w:themeColor="text1"/>
                <w:sz w:val="21"/>
                <w:szCs w:val="21"/>
              </w:rPr>
              <w:t>～</w:t>
            </w:r>
            <w:r w:rsidRPr="008A2411">
              <w:rPr>
                <w:rFonts w:ascii="Times New Roman"/>
                <w:color w:val="000000" w:themeColor="text1"/>
                <w:sz w:val="21"/>
                <w:szCs w:val="21"/>
              </w:rPr>
              <w:t>900mg/l</w:t>
            </w:r>
            <w:r w:rsidRPr="008A2411">
              <w:rPr>
                <w:rFonts w:ascii="Times New Roman"/>
                <w:color w:val="000000" w:themeColor="text1"/>
                <w:sz w:val="21"/>
                <w:szCs w:val="21"/>
              </w:rPr>
              <w:t>，</w:t>
            </w:r>
            <w:r w:rsidRPr="008A2411">
              <w:rPr>
                <w:rFonts w:ascii="Times New Roman"/>
                <w:color w:val="000000" w:themeColor="text1"/>
                <w:sz w:val="21"/>
                <w:szCs w:val="21"/>
              </w:rPr>
              <w:t>pH</w:t>
            </w:r>
            <w:r w:rsidRPr="008A2411">
              <w:rPr>
                <w:rFonts w:ascii="Times New Roman"/>
                <w:color w:val="000000" w:themeColor="text1"/>
                <w:sz w:val="21"/>
                <w:szCs w:val="21"/>
              </w:rPr>
              <w:t>值</w:t>
            </w:r>
            <w:r w:rsidRPr="008A2411">
              <w:rPr>
                <w:rFonts w:ascii="Times New Roman"/>
                <w:color w:val="000000" w:themeColor="text1"/>
                <w:sz w:val="21"/>
                <w:szCs w:val="21"/>
              </w:rPr>
              <w:t>6.5</w:t>
            </w:r>
            <w:r w:rsidRPr="008A2411">
              <w:rPr>
                <w:rFonts w:ascii="Times New Roman"/>
                <w:color w:val="000000" w:themeColor="text1"/>
                <w:sz w:val="21"/>
                <w:szCs w:val="21"/>
              </w:rPr>
              <w:t>～</w:t>
            </w:r>
            <w:r w:rsidRPr="008A2411">
              <w:rPr>
                <w:rFonts w:ascii="Times New Roman"/>
                <w:color w:val="000000" w:themeColor="text1"/>
                <w:sz w:val="21"/>
                <w:szCs w:val="21"/>
              </w:rPr>
              <w:t>7.5</w:t>
            </w:r>
          </w:p>
        </w:tc>
        <w:tc>
          <w:tcPr>
            <w:tcW w:w="1229" w:type="pct"/>
            <w:vMerge w:val="restart"/>
            <w:shd w:val="clear" w:color="auto" w:fill="auto"/>
            <w:vAlign w:val="center"/>
          </w:tcPr>
          <w:p w14:paraId="21C22ECE"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水质满足《污水综合排放标准》</w:t>
            </w:r>
            <w:r w:rsidRPr="008A2411">
              <w:rPr>
                <w:rFonts w:ascii="Times New Roman"/>
                <w:color w:val="000000" w:themeColor="text1"/>
                <w:sz w:val="21"/>
                <w:szCs w:val="21"/>
              </w:rPr>
              <w:t>GB8978-1996</w:t>
            </w:r>
            <w:proofErr w:type="gramStart"/>
            <w:r w:rsidRPr="008A2411">
              <w:rPr>
                <w:rFonts w:ascii="Times New Roman"/>
                <w:color w:val="000000" w:themeColor="text1"/>
                <w:sz w:val="21"/>
                <w:szCs w:val="21"/>
              </w:rPr>
              <w:t>三</w:t>
            </w:r>
            <w:proofErr w:type="gramEnd"/>
            <w:r w:rsidRPr="008A2411">
              <w:rPr>
                <w:rFonts w:ascii="Times New Roman"/>
                <w:color w:val="000000" w:themeColor="text1"/>
                <w:sz w:val="21"/>
                <w:szCs w:val="21"/>
              </w:rPr>
              <w:t>级标准，直接排入管区管网</w:t>
            </w:r>
          </w:p>
        </w:tc>
        <w:tc>
          <w:tcPr>
            <w:tcW w:w="654" w:type="pct"/>
            <w:vMerge/>
            <w:shd w:val="clear" w:color="auto" w:fill="auto"/>
            <w:vAlign w:val="center"/>
          </w:tcPr>
          <w:p w14:paraId="318A6C47" w14:textId="77777777" w:rsidR="00B0005F" w:rsidRPr="008A2411" w:rsidRDefault="00B0005F">
            <w:pPr>
              <w:spacing w:line="280" w:lineRule="exact"/>
              <w:rPr>
                <w:rFonts w:ascii="Times New Roman"/>
                <w:color w:val="000000" w:themeColor="text1"/>
                <w:sz w:val="21"/>
                <w:szCs w:val="21"/>
              </w:rPr>
            </w:pPr>
          </w:p>
        </w:tc>
      </w:tr>
      <w:tr w:rsidR="008A2411" w:rsidRPr="008A2411" w14:paraId="4B6BD1B2" w14:textId="77777777">
        <w:trPr>
          <w:trHeight w:val="1020"/>
        </w:trPr>
        <w:tc>
          <w:tcPr>
            <w:tcW w:w="377" w:type="pct"/>
            <w:shd w:val="clear" w:color="auto" w:fill="auto"/>
            <w:vAlign w:val="center"/>
          </w:tcPr>
          <w:p w14:paraId="1A80EF35"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软化水装置排水</w:t>
            </w:r>
          </w:p>
        </w:tc>
        <w:tc>
          <w:tcPr>
            <w:tcW w:w="485" w:type="pct"/>
            <w:shd w:val="clear" w:color="auto" w:fill="auto"/>
            <w:vAlign w:val="center"/>
          </w:tcPr>
          <w:p w14:paraId="5F65867D"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W</w:t>
            </w:r>
            <w:r w:rsidRPr="008A2411">
              <w:rPr>
                <w:rFonts w:ascii="Times New Roman"/>
                <w:color w:val="000000" w:themeColor="text1"/>
                <w:sz w:val="21"/>
                <w:szCs w:val="21"/>
                <w:vertAlign w:val="subscript"/>
              </w:rPr>
              <w:t>4</w:t>
            </w:r>
          </w:p>
        </w:tc>
        <w:tc>
          <w:tcPr>
            <w:tcW w:w="886" w:type="pct"/>
            <w:shd w:val="clear" w:color="auto" w:fill="auto"/>
            <w:vAlign w:val="center"/>
          </w:tcPr>
          <w:p w14:paraId="54E55921" w14:textId="77777777" w:rsidR="00B0005F" w:rsidRPr="008A2411" w:rsidRDefault="00000000">
            <w:pPr>
              <w:spacing w:line="280" w:lineRule="exact"/>
              <w:jc w:val="center"/>
              <w:rPr>
                <w:rFonts w:ascii="Times New Roman"/>
                <w:color w:val="000000" w:themeColor="text1"/>
                <w:kern w:val="2"/>
                <w:sz w:val="21"/>
                <w:szCs w:val="21"/>
              </w:rPr>
            </w:pPr>
            <w:r w:rsidRPr="008A2411">
              <w:rPr>
                <w:rFonts w:ascii="Times New Roman"/>
                <w:color w:val="000000" w:themeColor="text1"/>
                <w:sz w:val="21"/>
                <w:szCs w:val="21"/>
              </w:rPr>
              <w:t>软化水装置</w:t>
            </w:r>
          </w:p>
        </w:tc>
        <w:tc>
          <w:tcPr>
            <w:tcW w:w="1367" w:type="pct"/>
            <w:shd w:val="clear" w:color="auto" w:fill="auto"/>
            <w:vAlign w:val="center"/>
          </w:tcPr>
          <w:p w14:paraId="7D991A28" w14:textId="77777777" w:rsidR="00B0005F" w:rsidRPr="008A2411" w:rsidRDefault="00000000">
            <w:pPr>
              <w:spacing w:line="280" w:lineRule="exact"/>
              <w:rPr>
                <w:rFonts w:ascii="Times New Roman"/>
                <w:color w:val="000000" w:themeColor="text1"/>
                <w:sz w:val="21"/>
                <w:szCs w:val="21"/>
              </w:rPr>
            </w:pPr>
            <w:r w:rsidRPr="008A2411">
              <w:rPr>
                <w:rFonts w:ascii="Times New Roman"/>
                <w:color w:val="000000" w:themeColor="text1"/>
                <w:sz w:val="21"/>
                <w:szCs w:val="21"/>
              </w:rPr>
              <w:t>连续；</w:t>
            </w:r>
            <w:r w:rsidRPr="008A2411">
              <w:rPr>
                <w:rFonts w:ascii="Times New Roman"/>
                <w:color w:val="000000" w:themeColor="text1"/>
                <w:sz w:val="21"/>
                <w:szCs w:val="21"/>
              </w:rPr>
              <w:t>312m</w:t>
            </w:r>
            <w:r w:rsidRPr="008A2411">
              <w:rPr>
                <w:rFonts w:ascii="Times New Roman"/>
                <w:color w:val="000000" w:themeColor="text1"/>
                <w:sz w:val="21"/>
                <w:szCs w:val="21"/>
                <w:vertAlign w:val="superscript"/>
              </w:rPr>
              <w:t>3</w:t>
            </w:r>
            <w:r w:rsidRPr="008A2411">
              <w:rPr>
                <w:rFonts w:ascii="Times New Roman"/>
                <w:color w:val="000000" w:themeColor="text1"/>
                <w:sz w:val="21"/>
                <w:szCs w:val="21"/>
              </w:rPr>
              <w:t>/d</w:t>
            </w:r>
          </w:p>
          <w:p w14:paraId="758D6232" w14:textId="77777777" w:rsidR="00B0005F" w:rsidRPr="008A2411" w:rsidRDefault="00000000">
            <w:pPr>
              <w:spacing w:line="280" w:lineRule="exact"/>
              <w:rPr>
                <w:rFonts w:ascii="Times New Roman"/>
                <w:color w:val="000000" w:themeColor="text1"/>
                <w:sz w:val="21"/>
                <w:szCs w:val="21"/>
              </w:rPr>
            </w:pPr>
            <w:r w:rsidRPr="008A2411">
              <w:rPr>
                <w:rFonts w:ascii="Times New Roman"/>
                <w:color w:val="000000" w:themeColor="text1"/>
                <w:kern w:val="2"/>
                <w:sz w:val="21"/>
                <w:szCs w:val="21"/>
              </w:rPr>
              <w:t>Cl</w:t>
            </w:r>
            <w:r w:rsidRPr="008A2411">
              <w:rPr>
                <w:rFonts w:ascii="Times New Roman"/>
                <w:color w:val="000000" w:themeColor="text1"/>
                <w:kern w:val="2"/>
                <w:sz w:val="21"/>
                <w:szCs w:val="21"/>
                <w:vertAlign w:val="superscript"/>
              </w:rPr>
              <w:t>-</w:t>
            </w:r>
            <w:r w:rsidRPr="008A2411">
              <w:rPr>
                <w:rFonts w:ascii="Times New Roman"/>
                <w:color w:val="000000" w:themeColor="text1"/>
                <w:kern w:val="2"/>
                <w:sz w:val="21"/>
                <w:szCs w:val="21"/>
              </w:rPr>
              <w:t>及</w:t>
            </w:r>
            <w:r w:rsidRPr="008A2411">
              <w:rPr>
                <w:rFonts w:ascii="Times New Roman"/>
                <w:color w:val="000000" w:themeColor="text1"/>
                <w:kern w:val="2"/>
                <w:sz w:val="21"/>
                <w:szCs w:val="21"/>
              </w:rPr>
              <w:t>Ca</w:t>
            </w:r>
            <w:r w:rsidRPr="008A2411">
              <w:rPr>
                <w:rFonts w:ascii="Times New Roman"/>
                <w:color w:val="000000" w:themeColor="text1"/>
                <w:kern w:val="2"/>
                <w:sz w:val="21"/>
                <w:szCs w:val="21"/>
                <w:vertAlign w:val="superscript"/>
              </w:rPr>
              <w:t>2+</w:t>
            </w:r>
            <w:r w:rsidRPr="008A2411">
              <w:rPr>
                <w:rFonts w:ascii="Times New Roman"/>
                <w:color w:val="000000" w:themeColor="text1"/>
                <w:kern w:val="2"/>
                <w:sz w:val="21"/>
                <w:szCs w:val="21"/>
              </w:rPr>
              <w:t>、</w:t>
            </w:r>
            <w:r w:rsidRPr="008A2411">
              <w:rPr>
                <w:rFonts w:ascii="Times New Roman"/>
                <w:color w:val="000000" w:themeColor="text1"/>
                <w:kern w:val="2"/>
                <w:sz w:val="21"/>
                <w:szCs w:val="21"/>
              </w:rPr>
              <w:t>Mg</w:t>
            </w:r>
            <w:r w:rsidRPr="008A2411">
              <w:rPr>
                <w:rFonts w:ascii="Times New Roman"/>
                <w:color w:val="000000" w:themeColor="text1"/>
                <w:kern w:val="2"/>
                <w:sz w:val="21"/>
                <w:szCs w:val="21"/>
                <w:vertAlign w:val="superscript"/>
              </w:rPr>
              <w:t>2+</w:t>
            </w:r>
            <w:r w:rsidRPr="008A2411">
              <w:rPr>
                <w:rFonts w:ascii="Times New Roman"/>
                <w:color w:val="000000" w:themeColor="text1"/>
                <w:kern w:val="2"/>
                <w:sz w:val="21"/>
                <w:szCs w:val="21"/>
              </w:rPr>
              <w:t>等可溶性物质</w:t>
            </w:r>
          </w:p>
        </w:tc>
        <w:tc>
          <w:tcPr>
            <w:tcW w:w="1229" w:type="pct"/>
            <w:vMerge/>
            <w:shd w:val="clear" w:color="auto" w:fill="auto"/>
            <w:vAlign w:val="center"/>
          </w:tcPr>
          <w:p w14:paraId="4BFD0722" w14:textId="77777777" w:rsidR="00B0005F" w:rsidRPr="008A2411" w:rsidRDefault="00B0005F">
            <w:pPr>
              <w:spacing w:line="280" w:lineRule="exact"/>
              <w:jc w:val="center"/>
              <w:rPr>
                <w:rFonts w:ascii="Times New Roman"/>
                <w:color w:val="000000" w:themeColor="text1"/>
                <w:sz w:val="21"/>
                <w:szCs w:val="21"/>
              </w:rPr>
            </w:pPr>
          </w:p>
        </w:tc>
        <w:tc>
          <w:tcPr>
            <w:tcW w:w="654" w:type="pct"/>
            <w:vMerge/>
            <w:shd w:val="clear" w:color="auto" w:fill="auto"/>
            <w:vAlign w:val="center"/>
          </w:tcPr>
          <w:p w14:paraId="45077DA4" w14:textId="77777777" w:rsidR="00B0005F" w:rsidRPr="008A2411" w:rsidRDefault="00B0005F">
            <w:pPr>
              <w:spacing w:line="280" w:lineRule="exact"/>
              <w:rPr>
                <w:rFonts w:ascii="Times New Roman"/>
                <w:color w:val="000000" w:themeColor="text1"/>
                <w:sz w:val="21"/>
                <w:szCs w:val="21"/>
              </w:rPr>
            </w:pPr>
          </w:p>
        </w:tc>
      </w:tr>
      <w:tr w:rsidR="008A2411" w:rsidRPr="008A2411" w14:paraId="5AAD0AB6" w14:textId="77777777">
        <w:tc>
          <w:tcPr>
            <w:tcW w:w="377" w:type="pct"/>
            <w:shd w:val="clear" w:color="auto" w:fill="auto"/>
            <w:vAlign w:val="center"/>
          </w:tcPr>
          <w:p w14:paraId="025880B2" w14:textId="77777777" w:rsidR="00B0005F" w:rsidRPr="008A2411" w:rsidRDefault="00000000">
            <w:pPr>
              <w:pStyle w:val="aff9"/>
              <w:spacing w:line="280" w:lineRule="exact"/>
              <w:ind w:leftChars="-50" w:left="-120" w:rightChars="-50" w:right="-120" w:firstLine="13"/>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办公生活</w:t>
            </w:r>
          </w:p>
        </w:tc>
        <w:tc>
          <w:tcPr>
            <w:tcW w:w="485" w:type="pct"/>
            <w:shd w:val="clear" w:color="auto" w:fill="auto"/>
            <w:vAlign w:val="center"/>
          </w:tcPr>
          <w:p w14:paraId="184DD6C7" w14:textId="77777777" w:rsidR="00B0005F" w:rsidRPr="008A2411" w:rsidRDefault="00000000">
            <w:pPr>
              <w:pStyle w:val="aff9"/>
              <w:spacing w:line="280" w:lineRule="exact"/>
              <w:ind w:leftChars="-50" w:left="-120" w:rightChars="-50" w:right="-120" w:firstLine="13"/>
              <w:jc w:val="center"/>
              <w:rPr>
                <w:rFonts w:ascii="Times New Roman" w:hAnsi="Times New Roman" w:cs="Times New Roman"/>
                <w:color w:val="000000" w:themeColor="text1"/>
                <w:sz w:val="21"/>
                <w:szCs w:val="21"/>
              </w:rPr>
            </w:pPr>
            <w:r w:rsidRPr="008A2411">
              <w:rPr>
                <w:rFonts w:ascii="Times New Roman" w:hAnsi="Times New Roman" w:cs="Times New Roman"/>
                <w:color w:val="000000" w:themeColor="text1"/>
                <w:sz w:val="21"/>
                <w:szCs w:val="21"/>
              </w:rPr>
              <w:t>W</w:t>
            </w:r>
            <w:r w:rsidRPr="008A2411">
              <w:rPr>
                <w:rFonts w:ascii="Times New Roman" w:hAnsi="Times New Roman" w:cs="Times New Roman"/>
                <w:color w:val="000000" w:themeColor="text1"/>
                <w:sz w:val="21"/>
                <w:szCs w:val="21"/>
                <w:vertAlign w:val="subscript"/>
              </w:rPr>
              <w:t>5</w:t>
            </w:r>
          </w:p>
        </w:tc>
        <w:tc>
          <w:tcPr>
            <w:tcW w:w="886" w:type="pct"/>
            <w:shd w:val="clear" w:color="auto" w:fill="auto"/>
            <w:vAlign w:val="center"/>
          </w:tcPr>
          <w:p w14:paraId="7D3546EA" w14:textId="77777777" w:rsidR="00B0005F" w:rsidRPr="008A2411" w:rsidRDefault="00000000">
            <w:pPr>
              <w:pStyle w:val="aff9"/>
              <w:spacing w:line="280" w:lineRule="exact"/>
              <w:ind w:leftChars="-50" w:left="-120" w:rightChars="-50" w:right="-120" w:firstLine="13"/>
              <w:jc w:val="center"/>
              <w:rPr>
                <w:rFonts w:ascii="Times New Roman" w:hAnsi="Times New Roman" w:cs="Times New Roman"/>
                <w:color w:val="000000" w:themeColor="text1"/>
                <w:sz w:val="21"/>
                <w:szCs w:val="21"/>
              </w:rPr>
            </w:pPr>
            <w:r w:rsidRPr="008A2411">
              <w:rPr>
                <w:rFonts w:ascii="Times New Roman" w:hAnsi="Times New Roman" w:cs="Times New Roman"/>
                <w:color w:val="000000" w:themeColor="text1"/>
                <w:sz w:val="21"/>
                <w:szCs w:val="21"/>
              </w:rPr>
              <w:t>生活污水</w:t>
            </w:r>
          </w:p>
        </w:tc>
        <w:tc>
          <w:tcPr>
            <w:tcW w:w="1367" w:type="pct"/>
            <w:shd w:val="clear" w:color="auto" w:fill="auto"/>
            <w:vAlign w:val="center"/>
          </w:tcPr>
          <w:p w14:paraId="7FEE7FCE" w14:textId="0EFAA8A8" w:rsidR="00B0005F" w:rsidRPr="008A2411" w:rsidRDefault="00000000">
            <w:pPr>
              <w:spacing w:line="280" w:lineRule="exact"/>
              <w:rPr>
                <w:rFonts w:ascii="Times New Roman"/>
                <w:color w:val="000000" w:themeColor="text1"/>
                <w:sz w:val="21"/>
                <w:szCs w:val="21"/>
              </w:rPr>
            </w:pPr>
            <w:r w:rsidRPr="008A2411">
              <w:rPr>
                <w:rFonts w:ascii="Times New Roman"/>
                <w:color w:val="000000" w:themeColor="text1"/>
                <w:sz w:val="21"/>
                <w:szCs w:val="21"/>
              </w:rPr>
              <w:t>间断；</w:t>
            </w:r>
            <w:r w:rsidR="00AD4824" w:rsidRPr="008A2411">
              <w:rPr>
                <w:rFonts w:ascii="Times New Roman" w:hint="eastAsia"/>
                <w:color w:val="000000" w:themeColor="text1"/>
                <w:sz w:val="21"/>
                <w:szCs w:val="21"/>
              </w:rPr>
              <w:t>10.25</w:t>
            </w:r>
            <w:r w:rsidRPr="008A2411">
              <w:rPr>
                <w:rFonts w:ascii="Times New Roman"/>
                <w:color w:val="000000" w:themeColor="text1"/>
                <w:sz w:val="21"/>
                <w:szCs w:val="21"/>
              </w:rPr>
              <w:t>m</w:t>
            </w:r>
            <w:r w:rsidRPr="008A2411">
              <w:rPr>
                <w:rFonts w:ascii="Times New Roman"/>
                <w:color w:val="000000" w:themeColor="text1"/>
                <w:sz w:val="21"/>
                <w:szCs w:val="21"/>
                <w:vertAlign w:val="superscript"/>
              </w:rPr>
              <w:t>3</w:t>
            </w:r>
            <w:r w:rsidRPr="008A2411">
              <w:rPr>
                <w:rFonts w:ascii="Times New Roman"/>
                <w:color w:val="000000" w:themeColor="text1"/>
                <w:sz w:val="21"/>
                <w:szCs w:val="21"/>
              </w:rPr>
              <w:t>/d</w:t>
            </w:r>
          </w:p>
          <w:p w14:paraId="7BAA0B53" w14:textId="77777777" w:rsidR="00B0005F" w:rsidRPr="008A2411" w:rsidRDefault="00000000">
            <w:pPr>
              <w:spacing w:line="280" w:lineRule="exact"/>
              <w:rPr>
                <w:rFonts w:ascii="Times New Roman"/>
                <w:color w:val="000000" w:themeColor="text1"/>
                <w:sz w:val="21"/>
                <w:szCs w:val="21"/>
              </w:rPr>
            </w:pPr>
            <w:r w:rsidRPr="008A2411">
              <w:rPr>
                <w:rFonts w:ascii="Times New Roman"/>
                <w:color w:val="000000" w:themeColor="text1"/>
                <w:sz w:val="21"/>
                <w:szCs w:val="21"/>
              </w:rPr>
              <w:t>CODCr</w:t>
            </w:r>
            <w:r w:rsidRPr="008A2411">
              <w:rPr>
                <w:rFonts w:ascii="Times New Roman"/>
                <w:color w:val="000000" w:themeColor="text1"/>
                <w:sz w:val="21"/>
                <w:szCs w:val="21"/>
              </w:rPr>
              <w:t>：</w:t>
            </w:r>
            <w:r w:rsidRPr="008A2411">
              <w:rPr>
                <w:rFonts w:ascii="Times New Roman"/>
                <w:color w:val="000000" w:themeColor="text1"/>
                <w:sz w:val="21"/>
                <w:szCs w:val="21"/>
              </w:rPr>
              <w:t>350mg/L</w:t>
            </w:r>
          </w:p>
          <w:p w14:paraId="45817B58" w14:textId="77777777" w:rsidR="00B0005F" w:rsidRPr="008A2411" w:rsidRDefault="00000000">
            <w:pPr>
              <w:spacing w:line="280" w:lineRule="exact"/>
              <w:rPr>
                <w:rFonts w:ascii="Times New Roman"/>
                <w:color w:val="000000" w:themeColor="text1"/>
                <w:sz w:val="21"/>
                <w:szCs w:val="21"/>
              </w:rPr>
            </w:pPr>
            <w:r w:rsidRPr="008A2411">
              <w:rPr>
                <w:rFonts w:ascii="Times New Roman"/>
                <w:color w:val="000000" w:themeColor="text1"/>
                <w:sz w:val="21"/>
                <w:szCs w:val="21"/>
              </w:rPr>
              <w:t>NH</w:t>
            </w:r>
            <w:r w:rsidRPr="008A2411">
              <w:rPr>
                <w:rFonts w:ascii="Times New Roman"/>
                <w:color w:val="000000" w:themeColor="text1"/>
                <w:sz w:val="21"/>
                <w:szCs w:val="21"/>
                <w:vertAlign w:val="subscript"/>
              </w:rPr>
              <w:t>3</w:t>
            </w:r>
            <w:r w:rsidRPr="008A2411">
              <w:rPr>
                <w:rFonts w:ascii="Times New Roman"/>
                <w:color w:val="000000" w:themeColor="text1"/>
                <w:sz w:val="21"/>
                <w:szCs w:val="21"/>
              </w:rPr>
              <w:t>-N</w:t>
            </w:r>
            <w:r w:rsidRPr="008A2411">
              <w:rPr>
                <w:rFonts w:ascii="Times New Roman"/>
                <w:color w:val="000000" w:themeColor="text1"/>
                <w:sz w:val="21"/>
                <w:szCs w:val="21"/>
              </w:rPr>
              <w:t>：</w:t>
            </w:r>
            <w:r w:rsidRPr="008A2411">
              <w:rPr>
                <w:rFonts w:ascii="Times New Roman" w:hint="eastAsia"/>
                <w:color w:val="000000" w:themeColor="text1"/>
                <w:sz w:val="21"/>
                <w:szCs w:val="21"/>
              </w:rPr>
              <w:t>4</w:t>
            </w:r>
            <w:r w:rsidRPr="008A2411">
              <w:rPr>
                <w:rFonts w:ascii="Times New Roman"/>
                <w:color w:val="000000" w:themeColor="text1"/>
                <w:sz w:val="21"/>
                <w:szCs w:val="21"/>
              </w:rPr>
              <w:t>5mg/L</w:t>
            </w:r>
          </w:p>
        </w:tc>
        <w:tc>
          <w:tcPr>
            <w:tcW w:w="1229" w:type="pct"/>
            <w:shd w:val="clear" w:color="auto" w:fill="auto"/>
            <w:vAlign w:val="center"/>
          </w:tcPr>
          <w:p w14:paraId="1365B31E"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由厂区污水管网排入厂区污水处理站预处理达到《污水综合排放标准》</w:t>
            </w:r>
            <w:r w:rsidRPr="008A2411">
              <w:rPr>
                <w:rFonts w:ascii="Times New Roman"/>
                <w:color w:val="000000" w:themeColor="text1"/>
                <w:sz w:val="21"/>
                <w:szCs w:val="21"/>
              </w:rPr>
              <w:t>GB8978-1996</w:t>
            </w:r>
            <w:proofErr w:type="gramStart"/>
            <w:r w:rsidRPr="008A2411">
              <w:rPr>
                <w:rFonts w:ascii="Times New Roman"/>
                <w:color w:val="000000" w:themeColor="text1"/>
                <w:sz w:val="21"/>
                <w:szCs w:val="21"/>
              </w:rPr>
              <w:t>三</w:t>
            </w:r>
            <w:proofErr w:type="gramEnd"/>
            <w:r w:rsidRPr="008A2411">
              <w:rPr>
                <w:rFonts w:ascii="Times New Roman"/>
                <w:color w:val="000000" w:themeColor="text1"/>
                <w:sz w:val="21"/>
                <w:szCs w:val="21"/>
              </w:rPr>
              <w:t>级标准，排入园区污水处理厂</w:t>
            </w:r>
          </w:p>
        </w:tc>
        <w:tc>
          <w:tcPr>
            <w:tcW w:w="654" w:type="pct"/>
            <w:vMerge/>
            <w:shd w:val="clear" w:color="auto" w:fill="auto"/>
            <w:vAlign w:val="center"/>
          </w:tcPr>
          <w:p w14:paraId="3F9538B3" w14:textId="77777777" w:rsidR="00B0005F" w:rsidRPr="008A2411" w:rsidRDefault="00B0005F">
            <w:pPr>
              <w:spacing w:line="280" w:lineRule="exact"/>
              <w:rPr>
                <w:rFonts w:ascii="Times New Roman"/>
                <w:color w:val="000000" w:themeColor="text1"/>
                <w:sz w:val="21"/>
                <w:szCs w:val="21"/>
              </w:rPr>
            </w:pPr>
          </w:p>
        </w:tc>
      </w:tr>
      <w:tr w:rsidR="00B0005F" w:rsidRPr="008A2411" w14:paraId="667FD227" w14:textId="77777777">
        <w:tc>
          <w:tcPr>
            <w:tcW w:w="377" w:type="pct"/>
            <w:shd w:val="clear" w:color="auto" w:fill="auto"/>
            <w:vAlign w:val="center"/>
          </w:tcPr>
          <w:p w14:paraId="3B80C03C" w14:textId="77777777" w:rsidR="00B0005F" w:rsidRPr="008A2411" w:rsidRDefault="00000000">
            <w:pPr>
              <w:pStyle w:val="aff9"/>
              <w:spacing w:line="280" w:lineRule="exact"/>
              <w:ind w:leftChars="-50" w:left="-120" w:rightChars="-50" w:right="-120" w:firstLine="13"/>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初期雨水</w:t>
            </w:r>
          </w:p>
        </w:tc>
        <w:tc>
          <w:tcPr>
            <w:tcW w:w="485" w:type="pct"/>
            <w:shd w:val="clear" w:color="auto" w:fill="auto"/>
            <w:vAlign w:val="center"/>
          </w:tcPr>
          <w:p w14:paraId="555B88A6" w14:textId="77777777" w:rsidR="00B0005F" w:rsidRPr="008A2411" w:rsidRDefault="00000000">
            <w:pPr>
              <w:pStyle w:val="aff9"/>
              <w:spacing w:line="280" w:lineRule="exact"/>
              <w:ind w:leftChars="-50" w:left="-120" w:rightChars="-50" w:right="-120" w:firstLine="13"/>
              <w:jc w:val="center"/>
              <w:rPr>
                <w:rFonts w:ascii="Times New Roman" w:hAnsi="Times New Roman" w:cs="Times New Roman"/>
                <w:color w:val="000000" w:themeColor="text1"/>
                <w:sz w:val="21"/>
                <w:szCs w:val="21"/>
              </w:rPr>
            </w:pPr>
            <w:r w:rsidRPr="008A2411">
              <w:rPr>
                <w:rFonts w:ascii="Times New Roman" w:hAnsi="Times New Roman" w:cs="Times New Roman"/>
                <w:color w:val="000000" w:themeColor="text1"/>
                <w:sz w:val="21"/>
                <w:szCs w:val="21"/>
              </w:rPr>
              <w:t>/</w:t>
            </w:r>
          </w:p>
        </w:tc>
        <w:tc>
          <w:tcPr>
            <w:tcW w:w="886" w:type="pct"/>
            <w:shd w:val="clear" w:color="auto" w:fill="auto"/>
            <w:vAlign w:val="center"/>
          </w:tcPr>
          <w:p w14:paraId="339633C1" w14:textId="77777777" w:rsidR="00B0005F" w:rsidRPr="008A2411" w:rsidRDefault="00000000">
            <w:pPr>
              <w:pStyle w:val="aff9"/>
              <w:spacing w:line="280" w:lineRule="exact"/>
              <w:ind w:leftChars="-50" w:left="-120" w:rightChars="-50" w:right="-120" w:firstLine="13"/>
              <w:jc w:val="center"/>
              <w:rPr>
                <w:rFonts w:ascii="Times New Roman" w:hAnsi="Times New Roman" w:cs="Times New Roman"/>
                <w:color w:val="000000" w:themeColor="text1"/>
                <w:sz w:val="21"/>
                <w:szCs w:val="21"/>
              </w:rPr>
            </w:pPr>
            <w:r w:rsidRPr="008A2411">
              <w:rPr>
                <w:rFonts w:ascii="Times New Roman" w:hAnsi="Times New Roman" w:cs="Times New Roman"/>
                <w:color w:val="000000" w:themeColor="text1"/>
                <w:sz w:val="21"/>
                <w:szCs w:val="21"/>
              </w:rPr>
              <w:t>初期雨水</w:t>
            </w:r>
          </w:p>
        </w:tc>
        <w:tc>
          <w:tcPr>
            <w:tcW w:w="1367" w:type="pct"/>
            <w:shd w:val="clear" w:color="auto" w:fill="auto"/>
            <w:vAlign w:val="center"/>
          </w:tcPr>
          <w:p w14:paraId="244C38B9" w14:textId="77777777" w:rsidR="00B0005F" w:rsidRPr="008A2411" w:rsidRDefault="00000000">
            <w:pPr>
              <w:spacing w:line="280" w:lineRule="exact"/>
              <w:rPr>
                <w:rFonts w:ascii="Times New Roman"/>
                <w:color w:val="000000" w:themeColor="text1"/>
                <w:sz w:val="21"/>
                <w:szCs w:val="21"/>
              </w:rPr>
            </w:pPr>
            <w:r w:rsidRPr="008A2411">
              <w:rPr>
                <w:rFonts w:ascii="Times New Roman"/>
                <w:color w:val="000000" w:themeColor="text1"/>
                <w:sz w:val="21"/>
                <w:szCs w:val="21"/>
              </w:rPr>
              <w:t>间断；</w:t>
            </w:r>
            <w:r w:rsidRPr="008A2411">
              <w:rPr>
                <w:rFonts w:ascii="Times New Roman"/>
                <w:color w:val="000000" w:themeColor="text1"/>
                <w:sz w:val="21"/>
                <w:szCs w:val="21"/>
              </w:rPr>
              <w:t>178.2m</w:t>
            </w:r>
            <w:r w:rsidRPr="008A2411">
              <w:rPr>
                <w:rFonts w:ascii="Times New Roman"/>
                <w:color w:val="000000" w:themeColor="text1"/>
                <w:sz w:val="21"/>
                <w:szCs w:val="21"/>
                <w:vertAlign w:val="superscript"/>
              </w:rPr>
              <w:t>3</w:t>
            </w:r>
            <w:r w:rsidRPr="008A2411">
              <w:rPr>
                <w:rFonts w:ascii="Times New Roman"/>
                <w:color w:val="000000" w:themeColor="text1"/>
                <w:sz w:val="21"/>
                <w:szCs w:val="21"/>
              </w:rPr>
              <w:t>/</w:t>
            </w:r>
            <w:r w:rsidRPr="008A2411">
              <w:rPr>
                <w:rFonts w:ascii="Times New Roman"/>
                <w:color w:val="000000" w:themeColor="text1"/>
                <w:sz w:val="21"/>
                <w:szCs w:val="21"/>
              </w:rPr>
              <w:t>次</w:t>
            </w:r>
          </w:p>
          <w:p w14:paraId="1B28E13C"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CODcr</w:t>
            </w:r>
            <w:r w:rsidRPr="008A2411">
              <w:rPr>
                <w:rFonts w:ascii="Times New Roman"/>
                <w:color w:val="000000" w:themeColor="text1"/>
                <w:sz w:val="21"/>
                <w:szCs w:val="21"/>
              </w:rPr>
              <w:t>、</w:t>
            </w:r>
            <w:r w:rsidRPr="008A2411">
              <w:rPr>
                <w:rFonts w:ascii="Times New Roman"/>
                <w:color w:val="000000" w:themeColor="text1"/>
                <w:sz w:val="21"/>
                <w:szCs w:val="21"/>
              </w:rPr>
              <w:t>SS</w:t>
            </w:r>
            <w:r w:rsidRPr="008A2411">
              <w:rPr>
                <w:rFonts w:ascii="Times New Roman"/>
                <w:color w:val="000000" w:themeColor="text1"/>
                <w:sz w:val="21"/>
                <w:szCs w:val="21"/>
              </w:rPr>
              <w:t>、石油类等</w:t>
            </w:r>
          </w:p>
          <w:p w14:paraId="0A556DFA" w14:textId="77777777" w:rsidR="00B0005F" w:rsidRPr="008A2411" w:rsidRDefault="00B0005F">
            <w:pPr>
              <w:spacing w:line="280" w:lineRule="exact"/>
              <w:rPr>
                <w:rFonts w:ascii="Times New Roman"/>
                <w:color w:val="000000" w:themeColor="text1"/>
                <w:sz w:val="21"/>
                <w:szCs w:val="21"/>
              </w:rPr>
            </w:pPr>
          </w:p>
        </w:tc>
        <w:tc>
          <w:tcPr>
            <w:tcW w:w="1229" w:type="pct"/>
            <w:shd w:val="clear" w:color="auto" w:fill="auto"/>
            <w:vAlign w:val="center"/>
          </w:tcPr>
          <w:p w14:paraId="0A68C59F"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由事故应急池收集，</w:t>
            </w:r>
            <w:r w:rsidRPr="008A2411">
              <w:rPr>
                <w:rFonts w:ascii="Times New Roman" w:hint="eastAsia"/>
                <w:color w:val="000000" w:themeColor="text1"/>
                <w:sz w:val="21"/>
                <w:szCs w:val="21"/>
              </w:rPr>
              <w:t>经沉淀处理后</w:t>
            </w:r>
            <w:r w:rsidRPr="008A2411">
              <w:rPr>
                <w:rFonts w:ascii="Times New Roman"/>
                <w:color w:val="000000" w:themeColor="text1"/>
                <w:sz w:val="21"/>
                <w:szCs w:val="21"/>
              </w:rPr>
              <w:t>排入厂区污水处理站预处理达到《污水综合排放标准》</w:t>
            </w:r>
            <w:r w:rsidRPr="008A2411">
              <w:rPr>
                <w:rFonts w:ascii="Times New Roman"/>
                <w:color w:val="000000" w:themeColor="text1"/>
                <w:sz w:val="21"/>
                <w:szCs w:val="21"/>
              </w:rPr>
              <w:t>GB8978-1996</w:t>
            </w:r>
            <w:proofErr w:type="gramStart"/>
            <w:r w:rsidRPr="008A2411">
              <w:rPr>
                <w:rFonts w:ascii="Times New Roman"/>
                <w:color w:val="000000" w:themeColor="text1"/>
                <w:sz w:val="21"/>
                <w:szCs w:val="21"/>
              </w:rPr>
              <w:t>三</w:t>
            </w:r>
            <w:proofErr w:type="gramEnd"/>
            <w:r w:rsidRPr="008A2411">
              <w:rPr>
                <w:rFonts w:ascii="Times New Roman"/>
                <w:color w:val="000000" w:themeColor="text1"/>
                <w:sz w:val="21"/>
                <w:szCs w:val="21"/>
              </w:rPr>
              <w:t>级标准，排入园区污水处理厂</w:t>
            </w:r>
          </w:p>
        </w:tc>
        <w:tc>
          <w:tcPr>
            <w:tcW w:w="654" w:type="pct"/>
            <w:vMerge/>
            <w:shd w:val="clear" w:color="auto" w:fill="auto"/>
            <w:vAlign w:val="center"/>
          </w:tcPr>
          <w:p w14:paraId="70722845" w14:textId="77777777" w:rsidR="00B0005F" w:rsidRPr="008A2411" w:rsidRDefault="00B0005F">
            <w:pPr>
              <w:spacing w:line="280" w:lineRule="exact"/>
              <w:rPr>
                <w:rFonts w:ascii="Times New Roman"/>
                <w:color w:val="000000" w:themeColor="text1"/>
                <w:sz w:val="21"/>
                <w:szCs w:val="21"/>
              </w:rPr>
            </w:pPr>
          </w:p>
        </w:tc>
      </w:tr>
    </w:tbl>
    <w:p w14:paraId="50AE225F" w14:textId="77777777" w:rsidR="00B0005F" w:rsidRPr="008A2411" w:rsidRDefault="00B0005F">
      <w:pPr>
        <w:adjustRightInd w:val="0"/>
        <w:snapToGrid w:val="0"/>
        <w:spacing w:line="360" w:lineRule="auto"/>
        <w:ind w:firstLineChars="200" w:firstLine="480"/>
        <w:rPr>
          <w:rFonts w:ascii="Times New Roman"/>
          <w:bCs/>
          <w:color w:val="000000" w:themeColor="text1"/>
        </w:rPr>
      </w:pPr>
    </w:p>
    <w:p w14:paraId="4369682F" w14:textId="77777777" w:rsidR="00B0005F" w:rsidRPr="008A2411" w:rsidRDefault="00000000">
      <w:pPr>
        <w:adjustRightInd w:val="0"/>
        <w:snapToGrid w:val="0"/>
        <w:spacing w:line="360" w:lineRule="auto"/>
        <w:ind w:firstLineChars="200" w:firstLine="480"/>
        <w:rPr>
          <w:rFonts w:ascii="Times New Roman"/>
          <w:bCs/>
          <w:color w:val="000000" w:themeColor="text1"/>
        </w:rPr>
      </w:pPr>
      <w:r w:rsidRPr="008A2411">
        <w:rPr>
          <w:rFonts w:ascii="Times New Roman"/>
          <w:bCs/>
          <w:color w:val="000000" w:themeColor="text1"/>
        </w:rPr>
        <w:t>由上表可见，本项目各类废水均得到收集和处置，不会直接排入周边水体，项目的建设对区域地表水环境影响较小。</w:t>
      </w:r>
    </w:p>
    <w:p w14:paraId="3CBB1F75" w14:textId="77777777" w:rsidR="00B0005F" w:rsidRPr="008A2411" w:rsidRDefault="00000000">
      <w:pPr>
        <w:adjustRightInd w:val="0"/>
        <w:snapToGrid w:val="0"/>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2</w:t>
      </w:r>
      <w:r w:rsidRPr="008A2411">
        <w:rPr>
          <w:rFonts w:ascii="Times New Roman"/>
          <w:bCs/>
          <w:color w:val="000000" w:themeColor="text1"/>
        </w:rPr>
        <w:t>）地表水环境影响评价自查表</w:t>
      </w:r>
    </w:p>
    <w:p w14:paraId="71B29741" w14:textId="77777777" w:rsidR="00B0005F" w:rsidRPr="008A2411" w:rsidRDefault="00000000">
      <w:pPr>
        <w:adjustRightInd w:val="0"/>
        <w:snapToGrid w:val="0"/>
        <w:spacing w:line="360" w:lineRule="auto"/>
        <w:ind w:firstLineChars="200" w:firstLine="480"/>
        <w:rPr>
          <w:rFonts w:ascii="Times New Roman"/>
          <w:bCs/>
          <w:color w:val="000000" w:themeColor="text1"/>
        </w:rPr>
      </w:pPr>
      <w:r w:rsidRPr="008A2411">
        <w:rPr>
          <w:rFonts w:ascii="Times New Roman"/>
          <w:bCs/>
          <w:color w:val="000000" w:themeColor="text1"/>
        </w:rPr>
        <w:t>本项目地表水环境影响评价自</w:t>
      </w:r>
      <w:proofErr w:type="gramStart"/>
      <w:r w:rsidRPr="008A2411">
        <w:rPr>
          <w:rFonts w:ascii="Times New Roman"/>
          <w:bCs/>
          <w:color w:val="000000" w:themeColor="text1"/>
        </w:rPr>
        <w:t>查表见</w:t>
      </w:r>
      <w:proofErr w:type="gramEnd"/>
      <w:r w:rsidRPr="008A2411">
        <w:rPr>
          <w:rFonts w:ascii="Times New Roman"/>
          <w:bCs/>
          <w:color w:val="000000" w:themeColor="text1"/>
        </w:rPr>
        <w:t>附表。</w:t>
      </w:r>
    </w:p>
    <w:p w14:paraId="6B618AF4" w14:textId="77777777" w:rsidR="00B0005F" w:rsidRPr="008A2411" w:rsidRDefault="00000000">
      <w:pPr>
        <w:pStyle w:val="WJ3"/>
        <w:snapToGrid/>
        <w:spacing w:line="360" w:lineRule="auto"/>
        <w:rPr>
          <w:rFonts w:ascii="Times New Roman" w:hAnsi="Times New Roman"/>
          <w:color w:val="000000" w:themeColor="text1"/>
          <w:sz w:val="28"/>
          <w:szCs w:val="28"/>
        </w:rPr>
      </w:pPr>
      <w:bookmarkStart w:id="383" w:name="_Toc405905334"/>
      <w:bookmarkStart w:id="384" w:name="_Toc405904862"/>
      <w:bookmarkStart w:id="385" w:name="_Toc405214267"/>
      <w:bookmarkStart w:id="386" w:name="_Toc319852947"/>
      <w:bookmarkStart w:id="387" w:name="_Toc405904518"/>
      <w:bookmarkEnd w:id="382"/>
      <w:r w:rsidRPr="008A2411">
        <w:rPr>
          <w:rFonts w:ascii="Times New Roman" w:hAnsi="Times New Roman"/>
          <w:color w:val="000000" w:themeColor="text1"/>
          <w:sz w:val="28"/>
          <w:szCs w:val="28"/>
        </w:rPr>
        <w:t xml:space="preserve">5.2.3 </w:t>
      </w:r>
      <w:r w:rsidRPr="008A2411">
        <w:rPr>
          <w:rFonts w:ascii="Times New Roman" w:hAnsi="Times New Roman"/>
          <w:color w:val="000000" w:themeColor="text1"/>
          <w:sz w:val="28"/>
          <w:szCs w:val="28"/>
        </w:rPr>
        <w:t>地下水影响预测与评价</w:t>
      </w:r>
      <w:bookmarkEnd w:id="383"/>
      <w:bookmarkEnd w:id="384"/>
      <w:bookmarkEnd w:id="385"/>
      <w:bookmarkEnd w:id="386"/>
      <w:bookmarkEnd w:id="387"/>
    </w:p>
    <w:p w14:paraId="181C93AD" w14:textId="77777777" w:rsidR="00B0005F" w:rsidRPr="008A2411" w:rsidRDefault="00000000">
      <w:pPr>
        <w:pStyle w:val="WJ"/>
        <w:adjustRightInd w:val="0"/>
        <w:spacing w:line="360" w:lineRule="auto"/>
        <w:ind w:firstLine="482"/>
        <w:outlineLvl w:val="3"/>
        <w:rPr>
          <w:rFonts w:ascii="Times New Roman" w:hAnsi="Times New Roman"/>
          <w:b/>
          <w:color w:val="000000" w:themeColor="text1"/>
          <w:lang w:bidi="en-US"/>
        </w:rPr>
      </w:pPr>
      <w:r w:rsidRPr="008A2411">
        <w:rPr>
          <w:rFonts w:ascii="Times New Roman" w:hAnsi="Times New Roman"/>
          <w:b/>
          <w:color w:val="000000" w:themeColor="text1"/>
          <w:lang w:bidi="en-US"/>
        </w:rPr>
        <w:t>5.2.3.1</w:t>
      </w:r>
      <w:r w:rsidRPr="008A2411">
        <w:rPr>
          <w:rFonts w:ascii="Times New Roman" w:hAnsi="Times New Roman"/>
          <w:b/>
          <w:color w:val="000000" w:themeColor="text1"/>
          <w:lang w:bidi="en-US"/>
        </w:rPr>
        <w:t>评价目的</w:t>
      </w:r>
    </w:p>
    <w:p w14:paraId="1B5A1005"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1</w:t>
      </w:r>
      <w:r w:rsidRPr="008A2411">
        <w:rPr>
          <w:rFonts w:ascii="Times New Roman"/>
          <w:color w:val="000000" w:themeColor="text1"/>
        </w:rPr>
        <w:t>）结合资料调研和实地调查，掌握拟建项目地区水文地质条件，查明环境现状；</w:t>
      </w:r>
    </w:p>
    <w:p w14:paraId="69253DD2"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2</w:t>
      </w:r>
      <w:r w:rsidRPr="008A2411">
        <w:rPr>
          <w:rFonts w:ascii="Times New Roman"/>
          <w:color w:val="000000" w:themeColor="text1"/>
        </w:rPr>
        <w:t>）根据工程建设、运行特点，对拟建项目的地下水环境影响要素进行分</w:t>
      </w:r>
      <w:r w:rsidRPr="008A2411">
        <w:rPr>
          <w:rFonts w:ascii="Times New Roman"/>
          <w:color w:val="000000" w:themeColor="text1"/>
        </w:rPr>
        <w:lastRenderedPageBreak/>
        <w:t>析和识别，预测工程建设可能对地下水环境产生的影响，评价其影响程度和范围及其可能导致的地下水环境变化趋势；</w:t>
      </w:r>
    </w:p>
    <w:p w14:paraId="54C18F5C"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3</w:t>
      </w:r>
      <w:r w:rsidRPr="008A2411">
        <w:rPr>
          <w:rFonts w:ascii="Times New Roman"/>
          <w:color w:val="000000" w:themeColor="text1"/>
        </w:rPr>
        <w:t>）针对项目建设可能产生的不利影响，提出针对性的防治对策或减缓措施，使工程建设带来的负面环境影响降至最低程度，达到项目建设和环境保护的协调发展；</w:t>
      </w:r>
    </w:p>
    <w:p w14:paraId="20A58FBF"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4</w:t>
      </w:r>
      <w:r w:rsidRPr="008A2411">
        <w:rPr>
          <w:rFonts w:ascii="Times New Roman"/>
          <w:color w:val="000000" w:themeColor="text1"/>
        </w:rPr>
        <w:t>）从地下水环境保护角度论证项目建设的可行性，为工程建设决策和环境管理提供科学依据。</w:t>
      </w:r>
    </w:p>
    <w:p w14:paraId="0A884544" w14:textId="77777777" w:rsidR="00B0005F" w:rsidRPr="008A2411" w:rsidRDefault="00000000">
      <w:pPr>
        <w:pStyle w:val="WJ"/>
        <w:adjustRightInd w:val="0"/>
        <w:spacing w:line="360" w:lineRule="auto"/>
        <w:ind w:firstLine="482"/>
        <w:outlineLvl w:val="3"/>
        <w:rPr>
          <w:rFonts w:ascii="Times New Roman" w:hAnsi="Times New Roman"/>
          <w:b/>
          <w:color w:val="000000" w:themeColor="text1"/>
          <w:lang w:bidi="en-US"/>
        </w:rPr>
      </w:pPr>
      <w:bookmarkStart w:id="388" w:name="_Toc317876400"/>
      <w:bookmarkStart w:id="389" w:name="_Toc317974766"/>
      <w:bookmarkStart w:id="390" w:name="_Toc317876252"/>
      <w:bookmarkStart w:id="391" w:name="_Toc317876071"/>
      <w:bookmarkStart w:id="392" w:name="_Toc327221700"/>
      <w:bookmarkStart w:id="393" w:name="_Toc317876326"/>
      <w:r w:rsidRPr="008A2411">
        <w:rPr>
          <w:rFonts w:ascii="Times New Roman" w:hAnsi="Times New Roman"/>
          <w:b/>
          <w:color w:val="000000" w:themeColor="text1"/>
          <w:lang w:bidi="en-US"/>
        </w:rPr>
        <w:t>5.2.3.2</w:t>
      </w:r>
      <w:r w:rsidRPr="008A2411">
        <w:rPr>
          <w:rFonts w:ascii="Times New Roman" w:hAnsi="Times New Roman"/>
          <w:b/>
          <w:color w:val="000000" w:themeColor="text1"/>
          <w:lang w:bidi="en-US"/>
        </w:rPr>
        <w:t>地下水环境功能与环境保护目标</w:t>
      </w:r>
      <w:bookmarkEnd w:id="388"/>
      <w:bookmarkEnd w:id="389"/>
      <w:bookmarkEnd w:id="390"/>
      <w:bookmarkEnd w:id="391"/>
      <w:bookmarkEnd w:id="392"/>
      <w:bookmarkEnd w:id="393"/>
    </w:p>
    <w:p w14:paraId="28D601FE" w14:textId="77777777" w:rsidR="00B0005F" w:rsidRPr="008A2411" w:rsidRDefault="00000000">
      <w:pPr>
        <w:adjustRightInd w:val="0"/>
        <w:spacing w:line="360" w:lineRule="auto"/>
        <w:ind w:firstLine="361"/>
        <w:rPr>
          <w:rFonts w:ascii="Times New Roman"/>
          <w:color w:val="000000" w:themeColor="text1"/>
          <w:szCs w:val="24"/>
        </w:rPr>
      </w:pPr>
      <w:bookmarkStart w:id="394" w:name="_Toc317876401"/>
      <w:bookmarkStart w:id="395" w:name="_Toc317876072"/>
      <w:bookmarkStart w:id="396" w:name="_Toc317876327"/>
      <w:bookmarkStart w:id="397" w:name="_Toc317974767"/>
      <w:bookmarkStart w:id="398" w:name="_Toc327221701"/>
      <w:bookmarkStart w:id="399" w:name="_Toc317876253"/>
      <w:r w:rsidRPr="008A2411">
        <w:rPr>
          <w:rFonts w:ascii="Times New Roman"/>
          <w:color w:val="000000" w:themeColor="text1"/>
          <w:szCs w:val="24"/>
        </w:rPr>
        <w:t>（一）地下水功能划分</w:t>
      </w:r>
      <w:bookmarkEnd w:id="394"/>
      <w:bookmarkEnd w:id="395"/>
      <w:bookmarkEnd w:id="396"/>
      <w:bookmarkEnd w:id="397"/>
      <w:bookmarkEnd w:id="398"/>
      <w:bookmarkEnd w:id="399"/>
    </w:p>
    <w:p w14:paraId="35174145" w14:textId="77777777" w:rsidR="00B0005F" w:rsidRPr="008A2411" w:rsidRDefault="00000000">
      <w:pPr>
        <w:adjustRightInd w:val="0"/>
        <w:spacing w:line="360" w:lineRule="auto"/>
        <w:ind w:firstLine="480"/>
        <w:rPr>
          <w:rFonts w:ascii="Times New Roman"/>
          <w:color w:val="000000" w:themeColor="text1"/>
        </w:rPr>
      </w:pPr>
      <w:bookmarkStart w:id="400" w:name="_Toc317876402"/>
      <w:bookmarkStart w:id="401" w:name="_Toc327221702"/>
      <w:bookmarkStart w:id="402" w:name="_Toc317876073"/>
      <w:bookmarkStart w:id="403" w:name="_Toc317974768"/>
      <w:bookmarkStart w:id="404" w:name="_Toc317876254"/>
      <w:bookmarkStart w:id="405" w:name="_Toc317876328"/>
      <w:r w:rsidRPr="008A2411">
        <w:rPr>
          <w:rFonts w:ascii="Times New Roman"/>
          <w:color w:val="000000" w:themeColor="text1"/>
        </w:rPr>
        <w:t>地下水系统是一个具有综合服务功能的开放系统，是维持社会经济发展的重要供水水源，也是维持生态环境系统稳定的重要因素。本次评价确定工程区地下水环境功能从两个方面进行：</w:t>
      </w:r>
    </w:p>
    <w:p w14:paraId="582FBF4B"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1</w:t>
      </w:r>
      <w:r w:rsidRPr="008A2411">
        <w:rPr>
          <w:rFonts w:ascii="Times New Roman"/>
          <w:color w:val="000000" w:themeColor="text1"/>
        </w:rPr>
        <w:t>）依据《全国地下水功能区划分技术大纲》的要求和规定；</w:t>
      </w:r>
    </w:p>
    <w:p w14:paraId="3ACA882C"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2</w:t>
      </w:r>
      <w:r w:rsidRPr="008A2411">
        <w:rPr>
          <w:rFonts w:ascii="Times New Roman"/>
          <w:color w:val="000000" w:themeColor="text1"/>
        </w:rPr>
        <w:t>）根据实地调查的本项目工程区地下水环境状况。</w:t>
      </w:r>
    </w:p>
    <w:p w14:paraId="06D6D75B"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简述如下：</w:t>
      </w:r>
    </w:p>
    <w:p w14:paraId="7B106997"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1</w:t>
      </w:r>
      <w:r w:rsidRPr="008A2411">
        <w:rPr>
          <w:rFonts w:ascii="Times New Roman"/>
          <w:color w:val="000000" w:themeColor="text1"/>
        </w:rPr>
        <w:t>）关于地下水功能及其划分</w:t>
      </w:r>
    </w:p>
    <w:p w14:paraId="3FAFB426"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地下水功能是指地下水的水质和水量及其在空间和时间上的变化对人类社会和环境所产生的作用或效应，它由地下水的资源功能、生态环境功能和地质环境功能组成。</w:t>
      </w:r>
    </w:p>
    <w:p w14:paraId="529EFE07"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1</w:t>
      </w:r>
      <w:r w:rsidRPr="008A2411">
        <w:rPr>
          <w:rFonts w:ascii="Times New Roman"/>
          <w:color w:val="000000" w:themeColor="text1"/>
        </w:rPr>
        <w:t>）地下水的资源功能是指具备一定的补给、储存和更新条件的地下水资源供给保障作用或效应。为了保持地下水的资源供给功能，首先在水量上，地下水要得到可持续的稳定补给，这样才能保障可持续开发。</w:t>
      </w:r>
    </w:p>
    <w:p w14:paraId="388445C9"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2</w:t>
      </w:r>
      <w:r w:rsidRPr="008A2411">
        <w:rPr>
          <w:rFonts w:ascii="Times New Roman"/>
          <w:color w:val="000000" w:themeColor="text1"/>
        </w:rPr>
        <w:t>）地下水的生态功能是指地下水系统</w:t>
      </w:r>
      <w:proofErr w:type="gramStart"/>
      <w:r w:rsidRPr="008A2411">
        <w:rPr>
          <w:rFonts w:ascii="Times New Roman"/>
          <w:color w:val="000000" w:themeColor="text1"/>
        </w:rPr>
        <w:t>对陆表植被</w:t>
      </w:r>
      <w:proofErr w:type="gramEnd"/>
      <w:r w:rsidRPr="008A2411">
        <w:rPr>
          <w:rFonts w:ascii="Times New Roman"/>
          <w:color w:val="000000" w:themeColor="text1"/>
        </w:rPr>
        <w:t>或湖泊、湿地或土地质量良性维持的作用或效应，如果地下水系统发生变化，则生态环境出现相应的改变。地表水生态系统（河道基流、湿地、泉水等）和陆地非地带性植被都需要地下水补给和调节。地下水位下降和水质恶化对地表生态系统会带来严重影响。</w:t>
      </w:r>
    </w:p>
    <w:p w14:paraId="4575F16F"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3</w:t>
      </w:r>
      <w:r w:rsidRPr="008A2411">
        <w:rPr>
          <w:rFonts w:ascii="Times New Roman"/>
          <w:color w:val="000000" w:themeColor="text1"/>
        </w:rPr>
        <w:t>）地下水的地质环境功能是指地下水的地质安全保障功能，是指地下水系统对其所赋存的地质环境稳定性所具有支撑和保护的作用或效应，如果地下水系统发生变化，则地质环境出现相应的改变。</w:t>
      </w:r>
    </w:p>
    <w:p w14:paraId="58BBF8C1"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2</w:t>
      </w:r>
      <w:r w:rsidRPr="008A2411">
        <w:rPr>
          <w:rFonts w:ascii="Times New Roman"/>
          <w:color w:val="000000" w:themeColor="text1"/>
        </w:rPr>
        <w:t>）地下水环境调查</w:t>
      </w:r>
    </w:p>
    <w:p w14:paraId="3E42DE41"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lastRenderedPageBreak/>
        <w:t>通过对</w:t>
      </w:r>
      <w:proofErr w:type="gramStart"/>
      <w:r w:rsidRPr="008A2411">
        <w:rPr>
          <w:rFonts w:ascii="Times New Roman"/>
          <w:color w:val="000000" w:themeColor="text1"/>
        </w:rPr>
        <w:t>评价区</w:t>
      </w:r>
      <w:proofErr w:type="gramEnd"/>
      <w:r w:rsidRPr="008A2411">
        <w:rPr>
          <w:rFonts w:ascii="Times New Roman"/>
          <w:color w:val="000000" w:themeColor="text1"/>
        </w:rPr>
        <w:t>环境状况、地下水、地表水及居民用水调查，本项目</w:t>
      </w:r>
      <w:proofErr w:type="gramStart"/>
      <w:r w:rsidRPr="008A2411">
        <w:rPr>
          <w:rFonts w:ascii="Times New Roman"/>
          <w:color w:val="000000" w:themeColor="text1"/>
        </w:rPr>
        <w:t>评价区</w:t>
      </w:r>
      <w:proofErr w:type="gramEnd"/>
      <w:r w:rsidRPr="008A2411">
        <w:rPr>
          <w:rFonts w:ascii="Times New Roman"/>
          <w:color w:val="000000" w:themeColor="text1"/>
        </w:rPr>
        <w:t>地下水类型以砂泥岩风化裂隙水为主，该类地下水赋存于沙</w:t>
      </w:r>
      <w:proofErr w:type="gramStart"/>
      <w:r w:rsidRPr="008A2411">
        <w:rPr>
          <w:rFonts w:ascii="Times New Roman"/>
          <w:color w:val="000000" w:themeColor="text1"/>
        </w:rPr>
        <w:t>溪庙组</w:t>
      </w:r>
      <w:proofErr w:type="gramEnd"/>
      <w:r w:rsidRPr="008A2411">
        <w:rPr>
          <w:rFonts w:ascii="Times New Roman"/>
          <w:color w:val="000000" w:themeColor="text1"/>
        </w:rPr>
        <w:t>紫红、棕红色泥岩为主夹不等厚的粉砂岩构成的风化裂隙中。</w:t>
      </w:r>
    </w:p>
    <w:p w14:paraId="26552ACC"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根据现场调查，项目位于四川达州普光经济开发区普光工业园区内，行政区划隶属于四川省达州市宣汉县土主镇，项目周边为农村地区，</w:t>
      </w:r>
      <w:proofErr w:type="gramStart"/>
      <w:r w:rsidRPr="008A2411">
        <w:rPr>
          <w:rFonts w:ascii="Times New Roman"/>
          <w:color w:val="000000" w:themeColor="text1"/>
        </w:rPr>
        <w:t>评价区</w:t>
      </w:r>
      <w:proofErr w:type="gramEnd"/>
      <w:r w:rsidRPr="008A2411">
        <w:rPr>
          <w:rFonts w:ascii="Times New Roman"/>
          <w:color w:val="000000" w:themeColor="text1"/>
        </w:rPr>
        <w:t>周边分布有分散式饮用地下水井，主要以钢管井形式存在，无集中式地下水饮用水源地。评价范围内共存在分散饮用水井约</w:t>
      </w:r>
      <w:r w:rsidRPr="008A2411">
        <w:rPr>
          <w:rFonts w:ascii="Times New Roman"/>
          <w:color w:val="000000" w:themeColor="text1"/>
        </w:rPr>
        <w:t>10</w:t>
      </w:r>
      <w:r w:rsidRPr="008A2411">
        <w:rPr>
          <w:rFonts w:ascii="Times New Roman"/>
          <w:color w:val="000000" w:themeColor="text1"/>
        </w:rPr>
        <w:t>口（一户一井），其水井深度</w:t>
      </w:r>
      <w:r w:rsidRPr="008A2411">
        <w:rPr>
          <w:rFonts w:ascii="Times New Roman"/>
          <w:color w:val="000000" w:themeColor="text1"/>
        </w:rPr>
        <w:t>5</w:t>
      </w:r>
      <w:r w:rsidRPr="008A2411">
        <w:rPr>
          <w:rFonts w:ascii="Times New Roman"/>
          <w:color w:val="000000" w:themeColor="text1"/>
        </w:rPr>
        <w:t>～</w:t>
      </w:r>
      <w:r w:rsidRPr="008A2411">
        <w:rPr>
          <w:rFonts w:ascii="Times New Roman"/>
          <w:color w:val="000000" w:themeColor="text1"/>
        </w:rPr>
        <w:t>40m</w:t>
      </w:r>
      <w:r w:rsidRPr="008A2411">
        <w:rPr>
          <w:rFonts w:ascii="Times New Roman"/>
          <w:color w:val="000000" w:themeColor="text1"/>
        </w:rPr>
        <w:t>，水位埋深</w:t>
      </w:r>
      <w:r w:rsidRPr="008A2411">
        <w:rPr>
          <w:rFonts w:ascii="Times New Roman"/>
          <w:color w:val="000000" w:themeColor="text1"/>
        </w:rPr>
        <w:t>0.5</w:t>
      </w:r>
      <w:r w:rsidRPr="008A2411">
        <w:rPr>
          <w:rFonts w:ascii="Times New Roman"/>
          <w:color w:val="000000" w:themeColor="text1"/>
        </w:rPr>
        <w:t>～</w:t>
      </w:r>
      <w:r w:rsidRPr="008A2411">
        <w:rPr>
          <w:rFonts w:ascii="Times New Roman"/>
          <w:color w:val="000000" w:themeColor="text1"/>
        </w:rPr>
        <w:t>11.3m</w:t>
      </w:r>
      <w:r w:rsidRPr="008A2411">
        <w:rPr>
          <w:rFonts w:ascii="Times New Roman"/>
          <w:color w:val="000000" w:themeColor="text1"/>
        </w:rPr>
        <w:t>。</w:t>
      </w:r>
    </w:p>
    <w:p w14:paraId="2C579D04"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综上，本项目评价区内地下水未得以集中开发和利用，仅作为部分居民的分散供水水源，且无与地下水相关的水源保护区和其它资源保护区。根据《全国地下水功能区划分技术大纲》的要求和实地调查项目区的地下水环境状况，本项目</w:t>
      </w:r>
      <w:proofErr w:type="gramStart"/>
      <w:r w:rsidRPr="008A2411">
        <w:rPr>
          <w:rFonts w:ascii="Times New Roman"/>
          <w:color w:val="000000" w:themeColor="text1"/>
        </w:rPr>
        <w:t>评价区</w:t>
      </w:r>
      <w:proofErr w:type="gramEnd"/>
      <w:r w:rsidRPr="008A2411">
        <w:rPr>
          <w:rFonts w:ascii="Times New Roman"/>
          <w:color w:val="000000" w:themeColor="text1"/>
        </w:rPr>
        <w:t>地下水功能为分散供水水源资源功能。</w:t>
      </w:r>
    </w:p>
    <w:p w14:paraId="382F722D" w14:textId="77777777" w:rsidR="00B0005F" w:rsidRPr="008A2411" w:rsidRDefault="00000000">
      <w:pPr>
        <w:adjustRightInd w:val="0"/>
        <w:spacing w:line="360" w:lineRule="auto"/>
        <w:ind w:firstLine="361"/>
        <w:rPr>
          <w:rFonts w:ascii="Times New Roman"/>
          <w:color w:val="000000" w:themeColor="text1"/>
          <w:szCs w:val="24"/>
        </w:rPr>
      </w:pPr>
      <w:r w:rsidRPr="008A2411">
        <w:rPr>
          <w:rFonts w:ascii="Times New Roman"/>
          <w:color w:val="000000" w:themeColor="text1"/>
          <w:szCs w:val="24"/>
        </w:rPr>
        <w:t>（二）地下水环境保护目标</w:t>
      </w:r>
    </w:p>
    <w:p w14:paraId="0F3C0C61" w14:textId="77777777" w:rsidR="00B0005F" w:rsidRPr="008A2411" w:rsidRDefault="00000000">
      <w:pPr>
        <w:adjustRightInd w:val="0"/>
        <w:spacing w:line="360" w:lineRule="auto"/>
        <w:ind w:firstLine="480"/>
        <w:rPr>
          <w:rFonts w:ascii="Times New Roman"/>
          <w:color w:val="000000" w:themeColor="text1"/>
          <w:szCs w:val="24"/>
        </w:rPr>
      </w:pPr>
      <w:bookmarkStart w:id="406" w:name="_Toc317876256"/>
      <w:bookmarkStart w:id="407" w:name="_Toc317876330"/>
      <w:bookmarkStart w:id="408" w:name="_Toc327221704"/>
      <w:bookmarkStart w:id="409" w:name="_Toc317876404"/>
      <w:bookmarkStart w:id="410" w:name="_Toc317876075"/>
      <w:bookmarkStart w:id="411" w:name="_Toc317974770"/>
      <w:bookmarkEnd w:id="400"/>
      <w:bookmarkEnd w:id="401"/>
      <w:bookmarkEnd w:id="402"/>
      <w:bookmarkEnd w:id="403"/>
      <w:bookmarkEnd w:id="404"/>
      <w:bookmarkEnd w:id="405"/>
      <w:r w:rsidRPr="008A2411">
        <w:rPr>
          <w:rFonts w:ascii="Times New Roman"/>
          <w:color w:val="000000" w:themeColor="text1"/>
        </w:rPr>
        <w:t>本项目</w:t>
      </w:r>
      <w:bookmarkStart w:id="412" w:name="OLE_LINK85"/>
      <w:r w:rsidRPr="008A2411">
        <w:rPr>
          <w:rFonts w:ascii="Times New Roman"/>
          <w:color w:val="000000" w:themeColor="text1"/>
        </w:rPr>
        <w:t>新征用地约</w:t>
      </w:r>
      <w:r w:rsidRPr="008A2411">
        <w:rPr>
          <w:rFonts w:ascii="Times New Roman"/>
          <w:color w:val="000000" w:themeColor="text1"/>
        </w:rPr>
        <w:t>132.02</w:t>
      </w:r>
      <w:r w:rsidRPr="008A2411">
        <w:rPr>
          <w:rFonts w:ascii="Times New Roman"/>
          <w:color w:val="000000" w:themeColor="text1"/>
        </w:rPr>
        <w:t>亩，新建</w:t>
      </w:r>
      <w:r w:rsidRPr="008A2411">
        <w:rPr>
          <w:rFonts w:ascii="Times New Roman"/>
          <w:color w:val="000000" w:themeColor="text1"/>
        </w:rPr>
        <w:t>100</w:t>
      </w:r>
      <w:r w:rsidRPr="008A2411">
        <w:rPr>
          <w:rFonts w:ascii="Times New Roman"/>
          <w:color w:val="000000" w:themeColor="text1"/>
        </w:rPr>
        <w:t>万方</w:t>
      </w:r>
      <w:r w:rsidRPr="008A2411">
        <w:rPr>
          <w:rFonts w:ascii="Times New Roman"/>
          <w:color w:val="000000" w:themeColor="text1"/>
        </w:rPr>
        <w:t>/</w:t>
      </w:r>
      <w:r w:rsidRPr="008A2411">
        <w:rPr>
          <w:rFonts w:ascii="Times New Roman"/>
          <w:color w:val="000000" w:themeColor="text1"/>
        </w:rPr>
        <w:t>天的天然气液化装置一套；一台</w:t>
      </w:r>
      <w:r w:rsidRPr="008A2411">
        <w:rPr>
          <w:rFonts w:ascii="Times New Roman"/>
          <w:color w:val="000000" w:themeColor="text1"/>
        </w:rPr>
        <w:t>20000</w:t>
      </w:r>
      <w:r w:rsidRPr="008A2411">
        <w:rPr>
          <w:rFonts w:ascii="Times New Roman"/>
          <w:color w:val="000000" w:themeColor="text1"/>
        </w:rPr>
        <w:t>立方液化天然气</w:t>
      </w:r>
      <w:proofErr w:type="gramStart"/>
      <w:r w:rsidRPr="008A2411">
        <w:rPr>
          <w:rFonts w:ascii="Times New Roman"/>
          <w:color w:val="000000" w:themeColor="text1"/>
        </w:rPr>
        <w:t>全容罐</w:t>
      </w:r>
      <w:proofErr w:type="gramEnd"/>
      <w:r w:rsidRPr="008A2411">
        <w:rPr>
          <w:rFonts w:ascii="Times New Roman"/>
          <w:color w:val="000000" w:themeColor="text1"/>
        </w:rPr>
        <w:t>；配套的公辅装置（</w:t>
      </w:r>
      <w:r w:rsidRPr="008A2411">
        <w:rPr>
          <w:rFonts w:ascii="Times New Roman"/>
          <w:color w:val="000000" w:themeColor="text1"/>
        </w:rPr>
        <w:t>LNG</w:t>
      </w:r>
      <w:r w:rsidRPr="008A2411">
        <w:rPr>
          <w:rFonts w:ascii="Times New Roman"/>
          <w:color w:val="000000" w:themeColor="text1"/>
        </w:rPr>
        <w:t>装车系统、加注区、空压站、软化水装置、循环水设施、联合变电所、控制室、地面火炬等）及安全环保设施；项目建成投产后可实现年产</w:t>
      </w:r>
      <w:r w:rsidRPr="008A2411">
        <w:rPr>
          <w:rFonts w:ascii="Times New Roman"/>
          <w:color w:val="000000" w:themeColor="text1"/>
        </w:rPr>
        <w:t>23</w:t>
      </w:r>
      <w:r w:rsidRPr="008A2411">
        <w:rPr>
          <w:rFonts w:ascii="Times New Roman"/>
          <w:color w:val="000000" w:themeColor="text1"/>
        </w:rPr>
        <w:t>万吨液化天然气产能。</w:t>
      </w:r>
      <w:bookmarkEnd w:id="412"/>
      <w:r w:rsidRPr="008A2411">
        <w:rPr>
          <w:rFonts w:ascii="Times New Roman"/>
          <w:color w:val="000000" w:themeColor="text1"/>
        </w:rPr>
        <w:t>项目周边均为农村地区，且处于四川达州普光经济开发区普光工业园区内，园区红线范围内居民会陆续搬迁。评价区内地下水未得到集中开发和利用，且无与地下水相关的水源保护区和其它资源保护区。根据现场调查，项目评价范围内周边文家湾、黄家湾、陆家沟、洞子口等地方有零星居民分布，居民分散钻井抽取地下水作为饮用水源。本项目运行过程中，若液态原辅料、生产废液、废水收集处理不当发生渗漏下渗进入地下水系统，将可能对项目区下伏含水层及项目周边分散居民饮用水井水质造成影响。本项目地下水环境保护目标见表</w:t>
      </w:r>
      <w:r w:rsidRPr="008A2411">
        <w:rPr>
          <w:rFonts w:ascii="Times New Roman"/>
          <w:color w:val="000000" w:themeColor="text1"/>
          <w:szCs w:val="24"/>
        </w:rPr>
        <w:t>5.2-17</w:t>
      </w:r>
      <w:r w:rsidRPr="008A2411">
        <w:rPr>
          <w:rFonts w:ascii="Times New Roman"/>
          <w:color w:val="000000" w:themeColor="text1"/>
          <w:szCs w:val="24"/>
        </w:rPr>
        <w:t>。</w:t>
      </w:r>
    </w:p>
    <w:tbl>
      <w:tblPr>
        <w:tblW w:w="0" w:type="auto"/>
        <w:tblLayout w:type="fixed"/>
        <w:tblLook w:val="04A0" w:firstRow="1" w:lastRow="0" w:firstColumn="1" w:lastColumn="0" w:noHBand="0" w:noVBand="1"/>
      </w:tblPr>
      <w:tblGrid>
        <w:gridCol w:w="4261"/>
        <w:gridCol w:w="4261"/>
      </w:tblGrid>
      <w:tr w:rsidR="008A2411" w:rsidRPr="008A2411" w14:paraId="5229621D" w14:textId="77777777">
        <w:tc>
          <w:tcPr>
            <w:tcW w:w="4261" w:type="dxa"/>
          </w:tcPr>
          <w:p w14:paraId="0DB3AB86" w14:textId="77777777" w:rsidR="00B0005F" w:rsidRPr="008A2411" w:rsidRDefault="00000000">
            <w:pPr>
              <w:pStyle w:val="affffffffffff2"/>
              <w:rPr>
                <w:rFonts w:ascii="Times New Roman"/>
                <w:color w:val="000000" w:themeColor="text1"/>
              </w:rPr>
            </w:pPr>
            <w:r w:rsidRPr="008A2411">
              <w:rPr>
                <w:rFonts w:ascii="Times New Roman"/>
                <w:noProof/>
                <w:color w:val="000000" w:themeColor="text1"/>
              </w:rPr>
              <w:lastRenderedPageBreak/>
              <w:drawing>
                <wp:inline distT="0" distB="0" distL="114300" distR="114300" wp14:anchorId="01C7A31A" wp14:editId="62C8C548">
                  <wp:extent cx="2560955" cy="2048510"/>
                  <wp:effectExtent l="0" t="0" r="14605" b="8890"/>
                  <wp:docPr id="2" name="图片 2" descr="d88cf14a5b6d9e8f06a5f7c21399f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d88cf14a5b6d9e8f06a5f7c21399f15"/>
                          <pic:cNvPicPr>
                            <a:picLocks noChangeAspect="1"/>
                          </pic:cNvPicPr>
                        </pic:nvPicPr>
                        <pic:blipFill>
                          <a:blip r:embed="rId45"/>
                          <a:stretch>
                            <a:fillRect/>
                          </a:stretch>
                        </pic:blipFill>
                        <pic:spPr>
                          <a:xfrm>
                            <a:off x="0" y="0"/>
                            <a:ext cx="2560955" cy="2048510"/>
                          </a:xfrm>
                          <a:prstGeom prst="rect">
                            <a:avLst/>
                          </a:prstGeom>
                        </pic:spPr>
                      </pic:pic>
                    </a:graphicData>
                  </a:graphic>
                </wp:inline>
              </w:drawing>
            </w:r>
          </w:p>
        </w:tc>
        <w:tc>
          <w:tcPr>
            <w:tcW w:w="4261" w:type="dxa"/>
          </w:tcPr>
          <w:p w14:paraId="40C7F5B1" w14:textId="77777777" w:rsidR="00B0005F" w:rsidRPr="008A2411" w:rsidRDefault="00000000">
            <w:pPr>
              <w:pStyle w:val="affffffffffff2"/>
              <w:rPr>
                <w:rFonts w:ascii="Times New Roman"/>
                <w:color w:val="000000" w:themeColor="text1"/>
              </w:rPr>
            </w:pPr>
            <w:r w:rsidRPr="008A2411">
              <w:rPr>
                <w:rFonts w:ascii="Times New Roman"/>
                <w:noProof/>
                <w:color w:val="000000" w:themeColor="text1"/>
              </w:rPr>
              <w:drawing>
                <wp:inline distT="0" distB="0" distL="114300" distR="114300" wp14:anchorId="4B4534C6" wp14:editId="390663B3">
                  <wp:extent cx="2569210" cy="2115820"/>
                  <wp:effectExtent l="0" t="0" r="6350" b="2540"/>
                  <wp:docPr id="47" name="图片 47" descr="09c15c8200cf0a40b0ba456bc02e25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47" descr="09c15c8200cf0a40b0ba456bc02e25b"/>
                          <pic:cNvPicPr>
                            <a:picLocks noChangeAspect="1"/>
                          </pic:cNvPicPr>
                        </pic:nvPicPr>
                        <pic:blipFill>
                          <a:blip r:embed="rId46"/>
                          <a:srcRect l="-347" t="38021"/>
                          <a:stretch>
                            <a:fillRect/>
                          </a:stretch>
                        </pic:blipFill>
                        <pic:spPr>
                          <a:xfrm>
                            <a:off x="0" y="0"/>
                            <a:ext cx="2569210" cy="2115820"/>
                          </a:xfrm>
                          <a:prstGeom prst="rect">
                            <a:avLst/>
                          </a:prstGeom>
                        </pic:spPr>
                      </pic:pic>
                    </a:graphicData>
                  </a:graphic>
                </wp:inline>
              </w:drawing>
            </w:r>
          </w:p>
        </w:tc>
      </w:tr>
      <w:tr w:rsidR="008A2411" w:rsidRPr="008A2411" w14:paraId="306C53F1" w14:textId="77777777">
        <w:tc>
          <w:tcPr>
            <w:tcW w:w="4261" w:type="dxa"/>
          </w:tcPr>
          <w:p w14:paraId="18A5D212" w14:textId="77777777" w:rsidR="00B0005F" w:rsidRPr="008A2411" w:rsidRDefault="00000000">
            <w:pPr>
              <w:pStyle w:val="affffffffffff2"/>
              <w:rPr>
                <w:rFonts w:ascii="Times New Roman"/>
                <w:color w:val="000000" w:themeColor="text1"/>
              </w:rPr>
            </w:pPr>
            <w:r w:rsidRPr="008A2411">
              <w:rPr>
                <w:rFonts w:ascii="Times New Roman"/>
                <w:noProof/>
                <w:color w:val="000000" w:themeColor="text1"/>
              </w:rPr>
              <w:drawing>
                <wp:inline distT="0" distB="0" distL="114300" distR="114300" wp14:anchorId="452BA6B7" wp14:editId="36A78868">
                  <wp:extent cx="2530475" cy="2138680"/>
                  <wp:effectExtent l="0" t="0" r="14605" b="10160"/>
                  <wp:docPr id="48" name="图片 48" descr="3e0c877ce076167674bd78b7275b38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48" descr="3e0c877ce076167674bd78b7275b38b"/>
                          <pic:cNvPicPr>
                            <a:picLocks noChangeAspect="1"/>
                          </pic:cNvPicPr>
                        </pic:nvPicPr>
                        <pic:blipFill>
                          <a:blip r:embed="rId47"/>
                          <a:srcRect l="-149" t="13156" r="17767" b="15739"/>
                          <a:stretch>
                            <a:fillRect/>
                          </a:stretch>
                        </pic:blipFill>
                        <pic:spPr>
                          <a:xfrm>
                            <a:off x="0" y="0"/>
                            <a:ext cx="2530475" cy="2138680"/>
                          </a:xfrm>
                          <a:prstGeom prst="rect">
                            <a:avLst/>
                          </a:prstGeom>
                        </pic:spPr>
                      </pic:pic>
                    </a:graphicData>
                  </a:graphic>
                </wp:inline>
              </w:drawing>
            </w:r>
          </w:p>
        </w:tc>
        <w:tc>
          <w:tcPr>
            <w:tcW w:w="4261" w:type="dxa"/>
          </w:tcPr>
          <w:p w14:paraId="2C78C6B8" w14:textId="77777777" w:rsidR="00B0005F" w:rsidRPr="008A2411" w:rsidRDefault="00000000">
            <w:pPr>
              <w:pStyle w:val="affffffffffff2"/>
              <w:rPr>
                <w:rFonts w:ascii="Times New Roman"/>
                <w:color w:val="000000" w:themeColor="text1"/>
              </w:rPr>
            </w:pPr>
            <w:r w:rsidRPr="008A2411">
              <w:rPr>
                <w:rFonts w:ascii="Times New Roman"/>
                <w:noProof/>
                <w:color w:val="000000" w:themeColor="text1"/>
              </w:rPr>
              <w:drawing>
                <wp:inline distT="0" distB="0" distL="114300" distR="114300" wp14:anchorId="5428D406" wp14:editId="3D5AC6A4">
                  <wp:extent cx="2611120" cy="2074545"/>
                  <wp:effectExtent l="0" t="0" r="10160" b="13335"/>
                  <wp:docPr id="49" name="图片 49" descr="d1eb49d5a742a8337c5748d0b2f92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49" descr="d1eb49d5a742a8337c5748d0b2f92fe"/>
                          <pic:cNvPicPr>
                            <a:picLocks noChangeAspect="1"/>
                          </pic:cNvPicPr>
                        </pic:nvPicPr>
                        <pic:blipFill>
                          <a:blip r:embed="rId48"/>
                          <a:srcRect l="-1682" t="39399"/>
                          <a:stretch>
                            <a:fillRect/>
                          </a:stretch>
                        </pic:blipFill>
                        <pic:spPr>
                          <a:xfrm>
                            <a:off x="0" y="0"/>
                            <a:ext cx="2611120" cy="2074545"/>
                          </a:xfrm>
                          <a:prstGeom prst="rect">
                            <a:avLst/>
                          </a:prstGeom>
                        </pic:spPr>
                      </pic:pic>
                    </a:graphicData>
                  </a:graphic>
                </wp:inline>
              </w:drawing>
            </w:r>
          </w:p>
        </w:tc>
      </w:tr>
    </w:tbl>
    <w:p w14:paraId="46DD08E3" w14:textId="77777777" w:rsidR="00B0005F" w:rsidRPr="008A2411" w:rsidRDefault="00000000">
      <w:pPr>
        <w:pStyle w:val="affffffff7"/>
        <w:spacing w:before="60" w:after="60"/>
        <w:rPr>
          <w:color w:val="000000" w:themeColor="text1"/>
        </w:rPr>
      </w:pPr>
      <w:r w:rsidRPr="008A2411">
        <w:rPr>
          <w:color w:val="000000" w:themeColor="text1"/>
        </w:rPr>
        <w:t>图</w:t>
      </w:r>
      <w:r w:rsidRPr="008A2411">
        <w:rPr>
          <w:color w:val="000000" w:themeColor="text1"/>
        </w:rPr>
        <w:t xml:space="preserve">5.2-6  </w:t>
      </w:r>
      <w:r w:rsidRPr="008A2411">
        <w:rPr>
          <w:color w:val="000000" w:themeColor="text1"/>
        </w:rPr>
        <w:t>评价范围内散居农户水井</w:t>
      </w:r>
    </w:p>
    <w:p w14:paraId="28AAB91E" w14:textId="77777777" w:rsidR="00B0005F" w:rsidRPr="008A2411" w:rsidRDefault="00000000">
      <w:pPr>
        <w:pStyle w:val="affffffff7"/>
        <w:adjustRightInd w:val="0"/>
        <w:snapToGrid w:val="0"/>
        <w:spacing w:beforeLines="0" w:before="0" w:afterLines="0" w:after="0" w:line="240" w:lineRule="auto"/>
        <w:rPr>
          <w:color w:val="000000" w:themeColor="text1"/>
        </w:rPr>
      </w:pPr>
      <w:r w:rsidRPr="008A2411">
        <w:rPr>
          <w:color w:val="000000" w:themeColor="text1"/>
        </w:rPr>
        <w:t>表</w:t>
      </w:r>
      <w:r w:rsidRPr="008A2411">
        <w:rPr>
          <w:color w:val="000000" w:themeColor="text1"/>
        </w:rPr>
        <w:t xml:space="preserve">5.2-17  </w:t>
      </w:r>
      <w:r w:rsidRPr="008A2411">
        <w:rPr>
          <w:color w:val="000000" w:themeColor="text1"/>
        </w:rPr>
        <w:t>拟建项目地下水环境保护目标表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5"/>
        <w:gridCol w:w="2127"/>
        <w:gridCol w:w="2693"/>
        <w:gridCol w:w="992"/>
        <w:gridCol w:w="1955"/>
      </w:tblGrid>
      <w:tr w:rsidR="008A2411" w:rsidRPr="008A2411" w14:paraId="3DCCEAAF" w14:textId="77777777">
        <w:trPr>
          <w:trHeight w:val="20"/>
          <w:jc w:val="center"/>
        </w:trPr>
        <w:tc>
          <w:tcPr>
            <w:tcW w:w="1628" w:type="pct"/>
            <w:gridSpan w:val="2"/>
            <w:shd w:val="clear" w:color="auto" w:fill="auto"/>
            <w:tcMar>
              <w:left w:w="28" w:type="dxa"/>
              <w:right w:w="28" w:type="dxa"/>
            </w:tcMar>
            <w:vAlign w:val="center"/>
          </w:tcPr>
          <w:p w14:paraId="388C86C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保护目标</w:t>
            </w:r>
          </w:p>
        </w:tc>
        <w:tc>
          <w:tcPr>
            <w:tcW w:w="1610" w:type="pct"/>
            <w:shd w:val="clear" w:color="auto" w:fill="auto"/>
            <w:tcMar>
              <w:left w:w="28" w:type="dxa"/>
              <w:right w:w="28" w:type="dxa"/>
            </w:tcMar>
            <w:vAlign w:val="center"/>
          </w:tcPr>
          <w:p w14:paraId="021B095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位置关系</w:t>
            </w:r>
          </w:p>
        </w:tc>
        <w:tc>
          <w:tcPr>
            <w:tcW w:w="593" w:type="pct"/>
            <w:shd w:val="clear" w:color="auto" w:fill="auto"/>
            <w:tcMar>
              <w:left w:w="28" w:type="dxa"/>
              <w:right w:w="28" w:type="dxa"/>
            </w:tcMar>
            <w:vAlign w:val="center"/>
          </w:tcPr>
          <w:p w14:paraId="6242E76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主要保护内容</w:t>
            </w:r>
          </w:p>
        </w:tc>
        <w:tc>
          <w:tcPr>
            <w:tcW w:w="1169" w:type="pct"/>
            <w:shd w:val="clear" w:color="auto" w:fill="auto"/>
            <w:tcMar>
              <w:left w:w="28" w:type="dxa"/>
              <w:right w:w="28" w:type="dxa"/>
            </w:tcMar>
            <w:vAlign w:val="center"/>
          </w:tcPr>
          <w:p w14:paraId="3BB5857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影响因素</w:t>
            </w:r>
          </w:p>
        </w:tc>
      </w:tr>
      <w:tr w:rsidR="008A2411" w:rsidRPr="008A2411" w14:paraId="72D61FEA" w14:textId="77777777">
        <w:trPr>
          <w:trHeight w:val="564"/>
          <w:jc w:val="center"/>
        </w:trPr>
        <w:tc>
          <w:tcPr>
            <w:tcW w:w="1628" w:type="pct"/>
            <w:gridSpan w:val="2"/>
            <w:shd w:val="clear" w:color="auto" w:fill="auto"/>
            <w:tcMar>
              <w:left w:w="28" w:type="dxa"/>
              <w:right w:w="28" w:type="dxa"/>
            </w:tcMar>
            <w:vAlign w:val="center"/>
          </w:tcPr>
          <w:p w14:paraId="795422F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沙</w:t>
            </w:r>
            <w:proofErr w:type="gramStart"/>
            <w:r w:rsidRPr="008A2411">
              <w:rPr>
                <w:rFonts w:ascii="Times New Roman"/>
                <w:color w:val="000000" w:themeColor="text1"/>
              </w:rPr>
              <w:t>溪庙组砂</w:t>
            </w:r>
            <w:proofErr w:type="gramEnd"/>
            <w:r w:rsidRPr="008A2411">
              <w:rPr>
                <w:rFonts w:ascii="Times New Roman"/>
                <w:color w:val="000000" w:themeColor="text1"/>
              </w:rPr>
              <w:t>泥岩风化裂隙含水层</w:t>
            </w:r>
          </w:p>
        </w:tc>
        <w:tc>
          <w:tcPr>
            <w:tcW w:w="1610" w:type="pct"/>
            <w:shd w:val="clear" w:color="auto" w:fill="auto"/>
            <w:tcMar>
              <w:left w:w="28" w:type="dxa"/>
              <w:right w:w="28" w:type="dxa"/>
            </w:tcMar>
            <w:vAlign w:val="center"/>
          </w:tcPr>
          <w:p w14:paraId="2BCE9DC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项目区下伏含水层</w:t>
            </w:r>
          </w:p>
        </w:tc>
        <w:tc>
          <w:tcPr>
            <w:tcW w:w="593" w:type="pct"/>
            <w:shd w:val="clear" w:color="auto" w:fill="auto"/>
            <w:tcMar>
              <w:left w:w="28" w:type="dxa"/>
              <w:right w:w="28" w:type="dxa"/>
            </w:tcMar>
            <w:vAlign w:val="center"/>
          </w:tcPr>
          <w:p w14:paraId="30877D6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含水层水质</w:t>
            </w:r>
          </w:p>
        </w:tc>
        <w:tc>
          <w:tcPr>
            <w:tcW w:w="1169" w:type="pct"/>
            <w:vMerge w:val="restart"/>
            <w:shd w:val="clear" w:color="auto" w:fill="auto"/>
            <w:tcMar>
              <w:left w:w="28" w:type="dxa"/>
              <w:right w:w="28" w:type="dxa"/>
            </w:tcMar>
            <w:vAlign w:val="center"/>
          </w:tcPr>
          <w:p w14:paraId="58E20B3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本项目运行过程中，若液态原辅料、生产废液、废水收集处理不当发生渗漏下渗进入地下水系统，将可能对项目区下伏含水层及项目周边分散居民饮用水井水质造成影响。</w:t>
            </w:r>
          </w:p>
        </w:tc>
      </w:tr>
      <w:tr w:rsidR="008A2411" w:rsidRPr="008A2411" w14:paraId="199B5902" w14:textId="77777777">
        <w:trPr>
          <w:trHeight w:val="20"/>
          <w:jc w:val="center"/>
        </w:trPr>
        <w:tc>
          <w:tcPr>
            <w:tcW w:w="356" w:type="pct"/>
            <w:vMerge w:val="restart"/>
            <w:shd w:val="clear" w:color="auto" w:fill="auto"/>
            <w:tcMar>
              <w:left w:w="28" w:type="dxa"/>
              <w:right w:w="28" w:type="dxa"/>
            </w:tcMar>
            <w:vAlign w:val="center"/>
          </w:tcPr>
          <w:p w14:paraId="1B933E6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居民分散饮用水井</w:t>
            </w:r>
          </w:p>
        </w:tc>
        <w:tc>
          <w:tcPr>
            <w:tcW w:w="1272" w:type="pct"/>
            <w:shd w:val="clear" w:color="auto" w:fill="auto"/>
            <w:tcMar>
              <w:left w:w="28" w:type="dxa"/>
              <w:right w:w="28" w:type="dxa"/>
            </w:tcMar>
            <w:vAlign w:val="center"/>
          </w:tcPr>
          <w:p w14:paraId="7ACDF2E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居民水井（黄家湾）</w:t>
            </w:r>
          </w:p>
        </w:tc>
        <w:tc>
          <w:tcPr>
            <w:tcW w:w="1610" w:type="pct"/>
            <w:shd w:val="clear" w:color="auto" w:fill="auto"/>
            <w:tcMar>
              <w:left w:w="28" w:type="dxa"/>
              <w:right w:w="28" w:type="dxa"/>
            </w:tcMar>
            <w:vAlign w:val="center"/>
          </w:tcPr>
          <w:p w14:paraId="49ED2B1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项目西北侧约</w:t>
            </w:r>
            <w:r w:rsidRPr="008A2411">
              <w:rPr>
                <w:rFonts w:ascii="Times New Roman"/>
                <w:color w:val="000000" w:themeColor="text1"/>
              </w:rPr>
              <w:t>1.13km</w:t>
            </w:r>
            <w:r w:rsidRPr="008A2411">
              <w:rPr>
                <w:rFonts w:ascii="Times New Roman"/>
                <w:color w:val="000000" w:themeColor="text1"/>
              </w:rPr>
              <w:t>处</w:t>
            </w:r>
          </w:p>
        </w:tc>
        <w:tc>
          <w:tcPr>
            <w:tcW w:w="593" w:type="pct"/>
            <w:vMerge w:val="restart"/>
            <w:shd w:val="clear" w:color="auto" w:fill="auto"/>
            <w:tcMar>
              <w:left w:w="28" w:type="dxa"/>
              <w:right w:w="28" w:type="dxa"/>
            </w:tcMar>
            <w:vAlign w:val="center"/>
          </w:tcPr>
          <w:p w14:paraId="2A9AE5C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饮用井水质</w:t>
            </w:r>
          </w:p>
        </w:tc>
        <w:tc>
          <w:tcPr>
            <w:tcW w:w="1169" w:type="pct"/>
            <w:vMerge/>
            <w:tcMar>
              <w:left w:w="28" w:type="dxa"/>
              <w:right w:w="28" w:type="dxa"/>
            </w:tcMar>
            <w:vAlign w:val="center"/>
          </w:tcPr>
          <w:p w14:paraId="136EB827" w14:textId="77777777" w:rsidR="00B0005F" w:rsidRPr="008A2411" w:rsidRDefault="00B0005F">
            <w:pPr>
              <w:pStyle w:val="affffffffffff2"/>
              <w:rPr>
                <w:rFonts w:ascii="Times New Roman"/>
                <w:color w:val="000000" w:themeColor="text1"/>
              </w:rPr>
            </w:pPr>
          </w:p>
        </w:tc>
      </w:tr>
      <w:tr w:rsidR="008A2411" w:rsidRPr="008A2411" w14:paraId="6B788DA0" w14:textId="77777777">
        <w:trPr>
          <w:trHeight w:val="20"/>
          <w:jc w:val="center"/>
        </w:trPr>
        <w:tc>
          <w:tcPr>
            <w:tcW w:w="356" w:type="pct"/>
            <w:vMerge/>
            <w:shd w:val="clear" w:color="auto" w:fill="auto"/>
            <w:tcMar>
              <w:left w:w="28" w:type="dxa"/>
              <w:right w:w="28" w:type="dxa"/>
            </w:tcMar>
            <w:vAlign w:val="center"/>
          </w:tcPr>
          <w:p w14:paraId="77B254F9" w14:textId="77777777" w:rsidR="00B0005F" w:rsidRPr="008A2411" w:rsidRDefault="00B0005F">
            <w:pPr>
              <w:pStyle w:val="affffffffffff2"/>
              <w:rPr>
                <w:rFonts w:ascii="Times New Roman"/>
                <w:color w:val="000000" w:themeColor="text1"/>
              </w:rPr>
            </w:pPr>
          </w:p>
        </w:tc>
        <w:tc>
          <w:tcPr>
            <w:tcW w:w="1272" w:type="pct"/>
            <w:shd w:val="clear" w:color="auto" w:fill="auto"/>
            <w:tcMar>
              <w:left w:w="28" w:type="dxa"/>
              <w:right w:w="28" w:type="dxa"/>
            </w:tcMar>
            <w:vAlign w:val="center"/>
          </w:tcPr>
          <w:p w14:paraId="0F72DDF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居民水井（陶家沟）</w:t>
            </w:r>
          </w:p>
        </w:tc>
        <w:tc>
          <w:tcPr>
            <w:tcW w:w="1610" w:type="pct"/>
            <w:shd w:val="clear" w:color="auto" w:fill="auto"/>
            <w:tcMar>
              <w:left w:w="28" w:type="dxa"/>
              <w:right w:w="28" w:type="dxa"/>
            </w:tcMar>
            <w:vAlign w:val="center"/>
          </w:tcPr>
          <w:p w14:paraId="44B9991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项目</w:t>
            </w:r>
            <w:proofErr w:type="gramStart"/>
            <w:r w:rsidRPr="008A2411">
              <w:rPr>
                <w:rFonts w:ascii="Times New Roman"/>
                <w:color w:val="000000" w:themeColor="text1"/>
              </w:rPr>
              <w:t>东北侧约</w:t>
            </w:r>
            <w:proofErr w:type="gramEnd"/>
            <w:r w:rsidRPr="008A2411">
              <w:rPr>
                <w:rFonts w:ascii="Times New Roman"/>
                <w:color w:val="000000" w:themeColor="text1"/>
              </w:rPr>
              <w:t>0.94km</w:t>
            </w:r>
            <w:r w:rsidRPr="008A2411">
              <w:rPr>
                <w:rFonts w:ascii="Times New Roman"/>
                <w:color w:val="000000" w:themeColor="text1"/>
              </w:rPr>
              <w:t>处</w:t>
            </w:r>
          </w:p>
        </w:tc>
        <w:tc>
          <w:tcPr>
            <w:tcW w:w="593" w:type="pct"/>
            <w:vMerge/>
            <w:shd w:val="clear" w:color="auto" w:fill="auto"/>
            <w:tcMar>
              <w:left w:w="28" w:type="dxa"/>
              <w:right w:w="28" w:type="dxa"/>
            </w:tcMar>
            <w:vAlign w:val="center"/>
          </w:tcPr>
          <w:p w14:paraId="1F3374E1" w14:textId="77777777" w:rsidR="00B0005F" w:rsidRPr="008A2411" w:rsidRDefault="00B0005F">
            <w:pPr>
              <w:pStyle w:val="affffffffffff2"/>
              <w:rPr>
                <w:rFonts w:ascii="Times New Roman"/>
                <w:color w:val="000000" w:themeColor="text1"/>
              </w:rPr>
            </w:pPr>
          </w:p>
        </w:tc>
        <w:tc>
          <w:tcPr>
            <w:tcW w:w="1169" w:type="pct"/>
            <w:vMerge/>
            <w:tcMar>
              <w:left w:w="28" w:type="dxa"/>
              <w:right w:w="28" w:type="dxa"/>
            </w:tcMar>
            <w:vAlign w:val="center"/>
          </w:tcPr>
          <w:p w14:paraId="1417ADF0" w14:textId="77777777" w:rsidR="00B0005F" w:rsidRPr="008A2411" w:rsidRDefault="00B0005F">
            <w:pPr>
              <w:pStyle w:val="affffffffffff2"/>
              <w:rPr>
                <w:rFonts w:ascii="Times New Roman"/>
                <w:color w:val="000000" w:themeColor="text1"/>
              </w:rPr>
            </w:pPr>
          </w:p>
        </w:tc>
      </w:tr>
      <w:tr w:rsidR="008A2411" w:rsidRPr="008A2411" w14:paraId="6D4CAFC2" w14:textId="77777777">
        <w:trPr>
          <w:trHeight w:val="20"/>
          <w:jc w:val="center"/>
        </w:trPr>
        <w:tc>
          <w:tcPr>
            <w:tcW w:w="356" w:type="pct"/>
            <w:vMerge/>
            <w:shd w:val="clear" w:color="auto" w:fill="auto"/>
            <w:tcMar>
              <w:left w:w="28" w:type="dxa"/>
              <w:right w:w="28" w:type="dxa"/>
            </w:tcMar>
            <w:vAlign w:val="center"/>
          </w:tcPr>
          <w:p w14:paraId="0ADE313C" w14:textId="77777777" w:rsidR="00B0005F" w:rsidRPr="008A2411" w:rsidRDefault="00B0005F">
            <w:pPr>
              <w:pStyle w:val="affffffffffff2"/>
              <w:rPr>
                <w:rFonts w:ascii="Times New Roman"/>
                <w:color w:val="000000" w:themeColor="text1"/>
              </w:rPr>
            </w:pPr>
          </w:p>
        </w:tc>
        <w:tc>
          <w:tcPr>
            <w:tcW w:w="1272" w:type="pct"/>
            <w:shd w:val="clear" w:color="auto" w:fill="auto"/>
            <w:tcMar>
              <w:left w:w="28" w:type="dxa"/>
              <w:right w:w="28" w:type="dxa"/>
            </w:tcMar>
            <w:vAlign w:val="center"/>
          </w:tcPr>
          <w:p w14:paraId="091372E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居民水井（陶家沟）</w:t>
            </w:r>
          </w:p>
        </w:tc>
        <w:tc>
          <w:tcPr>
            <w:tcW w:w="1610" w:type="pct"/>
            <w:shd w:val="clear" w:color="auto" w:fill="auto"/>
            <w:tcMar>
              <w:left w:w="28" w:type="dxa"/>
              <w:right w:w="28" w:type="dxa"/>
            </w:tcMar>
            <w:vAlign w:val="center"/>
          </w:tcPr>
          <w:p w14:paraId="4A2B28C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项目东侧约</w:t>
            </w:r>
            <w:r w:rsidRPr="008A2411">
              <w:rPr>
                <w:rFonts w:ascii="Times New Roman"/>
                <w:color w:val="000000" w:themeColor="text1"/>
              </w:rPr>
              <w:t>0.6km</w:t>
            </w:r>
            <w:r w:rsidRPr="008A2411">
              <w:rPr>
                <w:rFonts w:ascii="Times New Roman"/>
                <w:color w:val="000000" w:themeColor="text1"/>
              </w:rPr>
              <w:t>处</w:t>
            </w:r>
          </w:p>
        </w:tc>
        <w:tc>
          <w:tcPr>
            <w:tcW w:w="593" w:type="pct"/>
            <w:vMerge/>
            <w:shd w:val="clear" w:color="auto" w:fill="auto"/>
            <w:tcMar>
              <w:left w:w="28" w:type="dxa"/>
              <w:right w:w="28" w:type="dxa"/>
            </w:tcMar>
            <w:vAlign w:val="center"/>
          </w:tcPr>
          <w:p w14:paraId="74C78073" w14:textId="77777777" w:rsidR="00B0005F" w:rsidRPr="008A2411" w:rsidRDefault="00B0005F">
            <w:pPr>
              <w:pStyle w:val="affffffffffff2"/>
              <w:rPr>
                <w:rFonts w:ascii="Times New Roman"/>
                <w:color w:val="000000" w:themeColor="text1"/>
              </w:rPr>
            </w:pPr>
          </w:p>
        </w:tc>
        <w:tc>
          <w:tcPr>
            <w:tcW w:w="1169" w:type="pct"/>
            <w:vMerge/>
            <w:tcMar>
              <w:left w:w="28" w:type="dxa"/>
              <w:right w:w="28" w:type="dxa"/>
            </w:tcMar>
            <w:vAlign w:val="center"/>
          </w:tcPr>
          <w:p w14:paraId="2497C426" w14:textId="77777777" w:rsidR="00B0005F" w:rsidRPr="008A2411" w:rsidRDefault="00B0005F">
            <w:pPr>
              <w:pStyle w:val="affffffffffff2"/>
              <w:rPr>
                <w:rFonts w:ascii="Times New Roman"/>
                <w:color w:val="000000" w:themeColor="text1"/>
              </w:rPr>
            </w:pPr>
          </w:p>
        </w:tc>
      </w:tr>
      <w:tr w:rsidR="008A2411" w:rsidRPr="008A2411" w14:paraId="60D35D5A" w14:textId="77777777">
        <w:trPr>
          <w:trHeight w:val="20"/>
          <w:jc w:val="center"/>
        </w:trPr>
        <w:tc>
          <w:tcPr>
            <w:tcW w:w="356" w:type="pct"/>
            <w:vMerge/>
            <w:shd w:val="clear" w:color="auto" w:fill="auto"/>
            <w:tcMar>
              <w:left w:w="28" w:type="dxa"/>
              <w:right w:w="28" w:type="dxa"/>
            </w:tcMar>
            <w:vAlign w:val="center"/>
          </w:tcPr>
          <w:p w14:paraId="31FF8A08" w14:textId="77777777" w:rsidR="00B0005F" w:rsidRPr="008A2411" w:rsidRDefault="00B0005F">
            <w:pPr>
              <w:pStyle w:val="affffffffffff2"/>
              <w:rPr>
                <w:rFonts w:ascii="Times New Roman"/>
                <w:color w:val="000000" w:themeColor="text1"/>
              </w:rPr>
            </w:pPr>
          </w:p>
        </w:tc>
        <w:tc>
          <w:tcPr>
            <w:tcW w:w="1272" w:type="pct"/>
            <w:shd w:val="clear" w:color="auto" w:fill="auto"/>
            <w:tcMar>
              <w:left w:w="28" w:type="dxa"/>
              <w:right w:w="28" w:type="dxa"/>
            </w:tcMar>
            <w:vAlign w:val="center"/>
          </w:tcPr>
          <w:p w14:paraId="335F25C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居民水井（洞子口）</w:t>
            </w:r>
          </w:p>
        </w:tc>
        <w:tc>
          <w:tcPr>
            <w:tcW w:w="1610" w:type="pct"/>
            <w:shd w:val="clear" w:color="auto" w:fill="auto"/>
            <w:tcMar>
              <w:left w:w="28" w:type="dxa"/>
              <w:right w:w="28" w:type="dxa"/>
            </w:tcMar>
            <w:vAlign w:val="center"/>
          </w:tcPr>
          <w:p w14:paraId="6438369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项目南侧约</w:t>
            </w:r>
            <w:r w:rsidRPr="008A2411">
              <w:rPr>
                <w:rFonts w:ascii="Times New Roman"/>
                <w:color w:val="000000" w:themeColor="text1"/>
              </w:rPr>
              <w:t>0.48km</w:t>
            </w:r>
            <w:r w:rsidRPr="008A2411">
              <w:rPr>
                <w:rFonts w:ascii="Times New Roman"/>
                <w:color w:val="000000" w:themeColor="text1"/>
              </w:rPr>
              <w:t>处</w:t>
            </w:r>
          </w:p>
        </w:tc>
        <w:tc>
          <w:tcPr>
            <w:tcW w:w="593" w:type="pct"/>
            <w:vMerge/>
            <w:shd w:val="clear" w:color="auto" w:fill="auto"/>
            <w:tcMar>
              <w:left w:w="28" w:type="dxa"/>
              <w:right w:w="28" w:type="dxa"/>
            </w:tcMar>
            <w:vAlign w:val="center"/>
          </w:tcPr>
          <w:p w14:paraId="5B92A0F5" w14:textId="77777777" w:rsidR="00B0005F" w:rsidRPr="008A2411" w:rsidRDefault="00B0005F">
            <w:pPr>
              <w:pStyle w:val="affffffffffff2"/>
              <w:rPr>
                <w:rFonts w:ascii="Times New Roman"/>
                <w:color w:val="000000" w:themeColor="text1"/>
              </w:rPr>
            </w:pPr>
          </w:p>
        </w:tc>
        <w:tc>
          <w:tcPr>
            <w:tcW w:w="1169" w:type="pct"/>
            <w:vMerge/>
            <w:tcMar>
              <w:left w:w="28" w:type="dxa"/>
              <w:right w:w="28" w:type="dxa"/>
            </w:tcMar>
            <w:vAlign w:val="center"/>
          </w:tcPr>
          <w:p w14:paraId="2335C500" w14:textId="77777777" w:rsidR="00B0005F" w:rsidRPr="008A2411" w:rsidRDefault="00B0005F">
            <w:pPr>
              <w:pStyle w:val="affffffffffff2"/>
              <w:rPr>
                <w:rFonts w:ascii="Times New Roman"/>
                <w:color w:val="000000" w:themeColor="text1"/>
              </w:rPr>
            </w:pPr>
          </w:p>
        </w:tc>
      </w:tr>
      <w:tr w:rsidR="008A2411" w:rsidRPr="008A2411" w14:paraId="32630B71" w14:textId="77777777">
        <w:trPr>
          <w:trHeight w:val="20"/>
          <w:jc w:val="center"/>
        </w:trPr>
        <w:tc>
          <w:tcPr>
            <w:tcW w:w="356" w:type="pct"/>
            <w:vMerge/>
            <w:shd w:val="clear" w:color="auto" w:fill="auto"/>
            <w:tcMar>
              <w:left w:w="28" w:type="dxa"/>
              <w:right w:w="28" w:type="dxa"/>
            </w:tcMar>
            <w:vAlign w:val="center"/>
          </w:tcPr>
          <w:p w14:paraId="27B1230F" w14:textId="77777777" w:rsidR="00B0005F" w:rsidRPr="008A2411" w:rsidRDefault="00B0005F">
            <w:pPr>
              <w:pStyle w:val="affffffffffff2"/>
              <w:rPr>
                <w:rFonts w:ascii="Times New Roman"/>
                <w:color w:val="000000" w:themeColor="text1"/>
              </w:rPr>
            </w:pPr>
          </w:p>
        </w:tc>
        <w:tc>
          <w:tcPr>
            <w:tcW w:w="1272" w:type="pct"/>
            <w:shd w:val="clear" w:color="auto" w:fill="auto"/>
            <w:tcMar>
              <w:left w:w="28" w:type="dxa"/>
              <w:right w:w="28" w:type="dxa"/>
            </w:tcMar>
            <w:vAlign w:val="center"/>
          </w:tcPr>
          <w:p w14:paraId="519AB65D" w14:textId="77777777" w:rsidR="00B0005F" w:rsidRPr="008A2411" w:rsidRDefault="00000000">
            <w:pPr>
              <w:pStyle w:val="affffffffffff2"/>
              <w:jc w:val="both"/>
              <w:rPr>
                <w:rFonts w:ascii="Times New Roman"/>
                <w:color w:val="000000" w:themeColor="text1"/>
              </w:rPr>
            </w:pPr>
            <w:r w:rsidRPr="008A2411">
              <w:rPr>
                <w:rFonts w:ascii="Times New Roman"/>
                <w:color w:val="000000" w:themeColor="text1"/>
              </w:rPr>
              <w:t>居民水井（柿子树沟）</w:t>
            </w:r>
          </w:p>
        </w:tc>
        <w:tc>
          <w:tcPr>
            <w:tcW w:w="1610" w:type="pct"/>
            <w:shd w:val="clear" w:color="auto" w:fill="auto"/>
            <w:tcMar>
              <w:left w:w="28" w:type="dxa"/>
              <w:right w:w="28" w:type="dxa"/>
            </w:tcMar>
            <w:vAlign w:val="center"/>
          </w:tcPr>
          <w:p w14:paraId="3752E54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项目西南侧约</w:t>
            </w:r>
            <w:r w:rsidRPr="008A2411">
              <w:rPr>
                <w:rFonts w:ascii="Times New Roman"/>
                <w:color w:val="000000" w:themeColor="text1"/>
              </w:rPr>
              <w:t>1.47km</w:t>
            </w:r>
            <w:r w:rsidRPr="008A2411">
              <w:rPr>
                <w:rFonts w:ascii="Times New Roman"/>
                <w:color w:val="000000" w:themeColor="text1"/>
              </w:rPr>
              <w:t>处</w:t>
            </w:r>
          </w:p>
        </w:tc>
        <w:tc>
          <w:tcPr>
            <w:tcW w:w="593" w:type="pct"/>
            <w:vMerge/>
            <w:shd w:val="clear" w:color="auto" w:fill="auto"/>
            <w:tcMar>
              <w:left w:w="28" w:type="dxa"/>
              <w:right w:w="28" w:type="dxa"/>
            </w:tcMar>
            <w:vAlign w:val="center"/>
          </w:tcPr>
          <w:p w14:paraId="02339ACF" w14:textId="77777777" w:rsidR="00B0005F" w:rsidRPr="008A2411" w:rsidRDefault="00B0005F">
            <w:pPr>
              <w:pStyle w:val="affffffffffff2"/>
              <w:rPr>
                <w:rFonts w:ascii="Times New Roman"/>
                <w:color w:val="000000" w:themeColor="text1"/>
              </w:rPr>
            </w:pPr>
          </w:p>
        </w:tc>
        <w:tc>
          <w:tcPr>
            <w:tcW w:w="1169" w:type="pct"/>
            <w:vMerge/>
            <w:tcMar>
              <w:left w:w="28" w:type="dxa"/>
              <w:right w:w="28" w:type="dxa"/>
            </w:tcMar>
            <w:vAlign w:val="center"/>
          </w:tcPr>
          <w:p w14:paraId="10C6B6E4" w14:textId="77777777" w:rsidR="00B0005F" w:rsidRPr="008A2411" w:rsidRDefault="00B0005F">
            <w:pPr>
              <w:pStyle w:val="affffffffffff2"/>
              <w:rPr>
                <w:rFonts w:ascii="Times New Roman"/>
                <w:color w:val="000000" w:themeColor="text1"/>
              </w:rPr>
            </w:pPr>
          </w:p>
        </w:tc>
      </w:tr>
      <w:tr w:rsidR="008A2411" w:rsidRPr="008A2411" w14:paraId="3204E757" w14:textId="77777777">
        <w:trPr>
          <w:trHeight w:val="20"/>
          <w:jc w:val="center"/>
        </w:trPr>
        <w:tc>
          <w:tcPr>
            <w:tcW w:w="356" w:type="pct"/>
            <w:vMerge/>
            <w:shd w:val="clear" w:color="auto" w:fill="auto"/>
            <w:tcMar>
              <w:left w:w="28" w:type="dxa"/>
              <w:right w:w="28" w:type="dxa"/>
            </w:tcMar>
            <w:vAlign w:val="center"/>
          </w:tcPr>
          <w:p w14:paraId="1CBACAE4" w14:textId="77777777" w:rsidR="00B0005F" w:rsidRPr="008A2411" w:rsidRDefault="00B0005F">
            <w:pPr>
              <w:pStyle w:val="affffffffffff2"/>
              <w:rPr>
                <w:rFonts w:ascii="Times New Roman"/>
                <w:color w:val="000000" w:themeColor="text1"/>
              </w:rPr>
            </w:pPr>
          </w:p>
        </w:tc>
        <w:tc>
          <w:tcPr>
            <w:tcW w:w="1272" w:type="pct"/>
            <w:shd w:val="clear" w:color="auto" w:fill="auto"/>
            <w:tcMar>
              <w:left w:w="28" w:type="dxa"/>
              <w:right w:w="28" w:type="dxa"/>
            </w:tcMar>
            <w:vAlign w:val="center"/>
          </w:tcPr>
          <w:p w14:paraId="4506425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门楼沟旁居民水井</w:t>
            </w:r>
          </w:p>
        </w:tc>
        <w:tc>
          <w:tcPr>
            <w:tcW w:w="1610" w:type="pct"/>
            <w:shd w:val="clear" w:color="auto" w:fill="auto"/>
            <w:tcMar>
              <w:left w:w="28" w:type="dxa"/>
              <w:right w:w="28" w:type="dxa"/>
            </w:tcMar>
            <w:vAlign w:val="center"/>
          </w:tcPr>
          <w:p w14:paraId="1C2B5E8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项目西北侧约</w:t>
            </w:r>
            <w:r w:rsidRPr="008A2411">
              <w:rPr>
                <w:rFonts w:ascii="Times New Roman"/>
                <w:color w:val="000000" w:themeColor="text1"/>
              </w:rPr>
              <w:t>0.88km</w:t>
            </w:r>
            <w:r w:rsidRPr="008A2411">
              <w:rPr>
                <w:rFonts w:ascii="Times New Roman"/>
                <w:color w:val="000000" w:themeColor="text1"/>
              </w:rPr>
              <w:t>处</w:t>
            </w:r>
          </w:p>
        </w:tc>
        <w:tc>
          <w:tcPr>
            <w:tcW w:w="593" w:type="pct"/>
            <w:vMerge/>
            <w:shd w:val="clear" w:color="auto" w:fill="auto"/>
            <w:tcMar>
              <w:left w:w="28" w:type="dxa"/>
              <w:right w:w="28" w:type="dxa"/>
            </w:tcMar>
            <w:vAlign w:val="center"/>
          </w:tcPr>
          <w:p w14:paraId="46D5CB2A" w14:textId="77777777" w:rsidR="00B0005F" w:rsidRPr="008A2411" w:rsidRDefault="00B0005F">
            <w:pPr>
              <w:pStyle w:val="affffffffffff2"/>
              <w:rPr>
                <w:rFonts w:ascii="Times New Roman"/>
                <w:color w:val="000000" w:themeColor="text1"/>
              </w:rPr>
            </w:pPr>
          </w:p>
        </w:tc>
        <w:tc>
          <w:tcPr>
            <w:tcW w:w="1169" w:type="pct"/>
            <w:vMerge/>
            <w:tcMar>
              <w:left w:w="28" w:type="dxa"/>
              <w:right w:w="28" w:type="dxa"/>
            </w:tcMar>
            <w:vAlign w:val="center"/>
          </w:tcPr>
          <w:p w14:paraId="12DFE29A" w14:textId="77777777" w:rsidR="00B0005F" w:rsidRPr="008A2411" w:rsidRDefault="00B0005F">
            <w:pPr>
              <w:pStyle w:val="affffffffffff2"/>
              <w:rPr>
                <w:rFonts w:ascii="Times New Roman"/>
                <w:color w:val="000000" w:themeColor="text1"/>
              </w:rPr>
            </w:pPr>
          </w:p>
        </w:tc>
      </w:tr>
      <w:tr w:rsidR="008A2411" w:rsidRPr="008A2411" w14:paraId="4D30A1B6" w14:textId="77777777">
        <w:trPr>
          <w:trHeight w:val="20"/>
          <w:jc w:val="center"/>
        </w:trPr>
        <w:tc>
          <w:tcPr>
            <w:tcW w:w="356" w:type="pct"/>
            <w:vMerge/>
            <w:shd w:val="clear" w:color="auto" w:fill="auto"/>
            <w:tcMar>
              <w:left w:w="28" w:type="dxa"/>
              <w:right w:w="28" w:type="dxa"/>
            </w:tcMar>
            <w:vAlign w:val="center"/>
          </w:tcPr>
          <w:p w14:paraId="012BD3B2" w14:textId="77777777" w:rsidR="00B0005F" w:rsidRPr="008A2411" w:rsidRDefault="00B0005F">
            <w:pPr>
              <w:pStyle w:val="affffffffffff2"/>
              <w:rPr>
                <w:rFonts w:ascii="Times New Roman"/>
                <w:color w:val="000000" w:themeColor="text1"/>
              </w:rPr>
            </w:pPr>
          </w:p>
        </w:tc>
        <w:tc>
          <w:tcPr>
            <w:tcW w:w="1272" w:type="pct"/>
            <w:shd w:val="clear" w:color="auto" w:fill="auto"/>
            <w:tcMar>
              <w:left w:w="28" w:type="dxa"/>
              <w:right w:w="28" w:type="dxa"/>
            </w:tcMar>
            <w:vAlign w:val="center"/>
          </w:tcPr>
          <w:p w14:paraId="0964F40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文家</w:t>
            </w:r>
            <w:proofErr w:type="gramStart"/>
            <w:r w:rsidRPr="008A2411">
              <w:rPr>
                <w:rFonts w:ascii="Times New Roman"/>
                <w:color w:val="000000" w:themeColor="text1"/>
              </w:rPr>
              <w:t>湾居民</w:t>
            </w:r>
            <w:proofErr w:type="gramEnd"/>
            <w:r w:rsidRPr="008A2411">
              <w:rPr>
                <w:rFonts w:ascii="Times New Roman"/>
                <w:color w:val="000000" w:themeColor="text1"/>
              </w:rPr>
              <w:t>水井</w:t>
            </w:r>
          </w:p>
        </w:tc>
        <w:tc>
          <w:tcPr>
            <w:tcW w:w="1610" w:type="pct"/>
            <w:shd w:val="clear" w:color="auto" w:fill="auto"/>
            <w:tcMar>
              <w:left w:w="28" w:type="dxa"/>
              <w:right w:w="28" w:type="dxa"/>
            </w:tcMar>
            <w:vAlign w:val="center"/>
          </w:tcPr>
          <w:p w14:paraId="00F2C2B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项目北侧约</w:t>
            </w:r>
            <w:r w:rsidRPr="008A2411">
              <w:rPr>
                <w:rFonts w:ascii="Times New Roman"/>
                <w:color w:val="000000" w:themeColor="text1"/>
              </w:rPr>
              <w:t>1.04km</w:t>
            </w:r>
            <w:r w:rsidRPr="008A2411">
              <w:rPr>
                <w:rFonts w:ascii="Times New Roman"/>
                <w:color w:val="000000" w:themeColor="text1"/>
              </w:rPr>
              <w:t>处</w:t>
            </w:r>
          </w:p>
        </w:tc>
        <w:tc>
          <w:tcPr>
            <w:tcW w:w="593" w:type="pct"/>
            <w:vMerge/>
            <w:shd w:val="clear" w:color="auto" w:fill="auto"/>
            <w:tcMar>
              <w:left w:w="28" w:type="dxa"/>
              <w:right w:w="28" w:type="dxa"/>
            </w:tcMar>
            <w:vAlign w:val="center"/>
          </w:tcPr>
          <w:p w14:paraId="7C254D85" w14:textId="77777777" w:rsidR="00B0005F" w:rsidRPr="008A2411" w:rsidRDefault="00B0005F">
            <w:pPr>
              <w:pStyle w:val="affffffffffff2"/>
              <w:rPr>
                <w:rFonts w:ascii="Times New Roman"/>
                <w:color w:val="000000" w:themeColor="text1"/>
              </w:rPr>
            </w:pPr>
          </w:p>
        </w:tc>
        <w:tc>
          <w:tcPr>
            <w:tcW w:w="1169" w:type="pct"/>
            <w:vMerge/>
            <w:tcMar>
              <w:left w:w="28" w:type="dxa"/>
              <w:right w:w="28" w:type="dxa"/>
            </w:tcMar>
            <w:vAlign w:val="center"/>
          </w:tcPr>
          <w:p w14:paraId="3E1BD7BF" w14:textId="77777777" w:rsidR="00B0005F" w:rsidRPr="008A2411" w:rsidRDefault="00B0005F">
            <w:pPr>
              <w:pStyle w:val="affffffffffff2"/>
              <w:rPr>
                <w:rFonts w:ascii="Times New Roman"/>
                <w:color w:val="000000" w:themeColor="text1"/>
              </w:rPr>
            </w:pPr>
          </w:p>
        </w:tc>
      </w:tr>
      <w:tr w:rsidR="008A2411" w:rsidRPr="008A2411" w14:paraId="72B9C940" w14:textId="77777777">
        <w:trPr>
          <w:trHeight w:val="20"/>
          <w:jc w:val="center"/>
        </w:trPr>
        <w:tc>
          <w:tcPr>
            <w:tcW w:w="356" w:type="pct"/>
            <w:vMerge/>
            <w:shd w:val="clear" w:color="auto" w:fill="auto"/>
            <w:tcMar>
              <w:left w:w="28" w:type="dxa"/>
              <w:right w:w="28" w:type="dxa"/>
            </w:tcMar>
            <w:vAlign w:val="center"/>
          </w:tcPr>
          <w:p w14:paraId="5DB8AF76" w14:textId="77777777" w:rsidR="00B0005F" w:rsidRPr="008A2411" w:rsidRDefault="00B0005F">
            <w:pPr>
              <w:pStyle w:val="affffffffffff2"/>
              <w:rPr>
                <w:rFonts w:ascii="Times New Roman"/>
                <w:color w:val="000000" w:themeColor="text1"/>
              </w:rPr>
            </w:pPr>
          </w:p>
        </w:tc>
        <w:tc>
          <w:tcPr>
            <w:tcW w:w="1272" w:type="pct"/>
            <w:shd w:val="clear" w:color="auto" w:fill="auto"/>
            <w:tcMar>
              <w:left w:w="28" w:type="dxa"/>
              <w:right w:w="28" w:type="dxa"/>
            </w:tcMar>
            <w:vAlign w:val="center"/>
          </w:tcPr>
          <w:p w14:paraId="113034B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滴水</w:t>
            </w:r>
            <w:proofErr w:type="gramStart"/>
            <w:r w:rsidRPr="008A2411">
              <w:rPr>
                <w:rFonts w:ascii="Times New Roman"/>
                <w:color w:val="000000" w:themeColor="text1"/>
              </w:rPr>
              <w:t>岩居民</w:t>
            </w:r>
            <w:proofErr w:type="gramEnd"/>
            <w:r w:rsidRPr="008A2411">
              <w:rPr>
                <w:rFonts w:ascii="Times New Roman"/>
                <w:color w:val="000000" w:themeColor="text1"/>
              </w:rPr>
              <w:t>水井</w:t>
            </w:r>
          </w:p>
        </w:tc>
        <w:tc>
          <w:tcPr>
            <w:tcW w:w="1610" w:type="pct"/>
            <w:shd w:val="clear" w:color="auto" w:fill="auto"/>
            <w:tcMar>
              <w:left w:w="28" w:type="dxa"/>
              <w:right w:w="28" w:type="dxa"/>
            </w:tcMar>
            <w:vAlign w:val="center"/>
          </w:tcPr>
          <w:p w14:paraId="0163D53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项目</w:t>
            </w:r>
            <w:proofErr w:type="gramStart"/>
            <w:r w:rsidRPr="008A2411">
              <w:rPr>
                <w:rFonts w:ascii="Times New Roman"/>
                <w:color w:val="000000" w:themeColor="text1"/>
              </w:rPr>
              <w:t>东北侧约</w:t>
            </w:r>
            <w:proofErr w:type="gramEnd"/>
            <w:r w:rsidRPr="008A2411">
              <w:rPr>
                <w:rFonts w:ascii="Times New Roman"/>
                <w:color w:val="000000" w:themeColor="text1"/>
              </w:rPr>
              <w:t>0.68km</w:t>
            </w:r>
            <w:r w:rsidRPr="008A2411">
              <w:rPr>
                <w:rFonts w:ascii="Times New Roman"/>
                <w:color w:val="000000" w:themeColor="text1"/>
              </w:rPr>
              <w:t>处</w:t>
            </w:r>
          </w:p>
        </w:tc>
        <w:tc>
          <w:tcPr>
            <w:tcW w:w="593" w:type="pct"/>
            <w:vMerge/>
            <w:shd w:val="clear" w:color="auto" w:fill="auto"/>
            <w:tcMar>
              <w:left w:w="28" w:type="dxa"/>
              <w:right w:w="28" w:type="dxa"/>
            </w:tcMar>
            <w:vAlign w:val="center"/>
          </w:tcPr>
          <w:p w14:paraId="6DF81677" w14:textId="77777777" w:rsidR="00B0005F" w:rsidRPr="008A2411" w:rsidRDefault="00B0005F">
            <w:pPr>
              <w:pStyle w:val="affffffffffff2"/>
              <w:rPr>
                <w:rFonts w:ascii="Times New Roman"/>
                <w:color w:val="000000" w:themeColor="text1"/>
              </w:rPr>
            </w:pPr>
          </w:p>
        </w:tc>
        <w:tc>
          <w:tcPr>
            <w:tcW w:w="1169" w:type="pct"/>
            <w:vMerge/>
            <w:tcMar>
              <w:left w:w="28" w:type="dxa"/>
              <w:right w:w="28" w:type="dxa"/>
            </w:tcMar>
            <w:vAlign w:val="center"/>
          </w:tcPr>
          <w:p w14:paraId="6182D1DC" w14:textId="77777777" w:rsidR="00B0005F" w:rsidRPr="008A2411" w:rsidRDefault="00B0005F">
            <w:pPr>
              <w:pStyle w:val="affffffffffff2"/>
              <w:rPr>
                <w:rFonts w:ascii="Times New Roman"/>
                <w:color w:val="000000" w:themeColor="text1"/>
              </w:rPr>
            </w:pPr>
          </w:p>
        </w:tc>
      </w:tr>
      <w:tr w:rsidR="008A2411" w:rsidRPr="008A2411" w14:paraId="036BB170" w14:textId="77777777">
        <w:trPr>
          <w:trHeight w:val="20"/>
          <w:jc w:val="center"/>
        </w:trPr>
        <w:tc>
          <w:tcPr>
            <w:tcW w:w="356" w:type="pct"/>
            <w:vMerge/>
            <w:shd w:val="clear" w:color="auto" w:fill="auto"/>
            <w:tcMar>
              <w:left w:w="28" w:type="dxa"/>
              <w:right w:w="28" w:type="dxa"/>
            </w:tcMar>
            <w:vAlign w:val="center"/>
          </w:tcPr>
          <w:p w14:paraId="5C6A7E68" w14:textId="77777777" w:rsidR="00B0005F" w:rsidRPr="008A2411" w:rsidRDefault="00B0005F">
            <w:pPr>
              <w:pStyle w:val="affffffffffff2"/>
              <w:rPr>
                <w:rFonts w:ascii="Times New Roman"/>
                <w:color w:val="000000" w:themeColor="text1"/>
              </w:rPr>
            </w:pPr>
          </w:p>
        </w:tc>
        <w:tc>
          <w:tcPr>
            <w:tcW w:w="1272" w:type="pct"/>
            <w:shd w:val="clear" w:color="auto" w:fill="auto"/>
            <w:tcMar>
              <w:left w:w="28" w:type="dxa"/>
              <w:right w:w="28" w:type="dxa"/>
            </w:tcMar>
            <w:vAlign w:val="center"/>
          </w:tcPr>
          <w:p w14:paraId="7C8033D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洞子口居民水井</w:t>
            </w:r>
          </w:p>
        </w:tc>
        <w:tc>
          <w:tcPr>
            <w:tcW w:w="1610" w:type="pct"/>
            <w:shd w:val="clear" w:color="auto" w:fill="auto"/>
            <w:tcMar>
              <w:left w:w="28" w:type="dxa"/>
              <w:right w:w="28" w:type="dxa"/>
            </w:tcMar>
            <w:vAlign w:val="center"/>
          </w:tcPr>
          <w:p w14:paraId="5D50E98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项目东南侧约</w:t>
            </w:r>
            <w:r w:rsidRPr="008A2411">
              <w:rPr>
                <w:rFonts w:ascii="Times New Roman"/>
                <w:color w:val="000000" w:themeColor="text1"/>
              </w:rPr>
              <w:t>0.55km</w:t>
            </w:r>
            <w:r w:rsidRPr="008A2411">
              <w:rPr>
                <w:rFonts w:ascii="Times New Roman"/>
                <w:color w:val="000000" w:themeColor="text1"/>
              </w:rPr>
              <w:t>处</w:t>
            </w:r>
          </w:p>
        </w:tc>
        <w:tc>
          <w:tcPr>
            <w:tcW w:w="593" w:type="pct"/>
            <w:vMerge/>
            <w:shd w:val="clear" w:color="auto" w:fill="auto"/>
            <w:tcMar>
              <w:left w:w="28" w:type="dxa"/>
              <w:right w:w="28" w:type="dxa"/>
            </w:tcMar>
            <w:vAlign w:val="center"/>
          </w:tcPr>
          <w:p w14:paraId="041C1C7E" w14:textId="77777777" w:rsidR="00B0005F" w:rsidRPr="008A2411" w:rsidRDefault="00B0005F">
            <w:pPr>
              <w:pStyle w:val="affffffffffff2"/>
              <w:rPr>
                <w:rFonts w:ascii="Times New Roman"/>
                <w:color w:val="000000" w:themeColor="text1"/>
              </w:rPr>
            </w:pPr>
          </w:p>
        </w:tc>
        <w:tc>
          <w:tcPr>
            <w:tcW w:w="1169" w:type="pct"/>
            <w:vMerge/>
            <w:tcMar>
              <w:left w:w="28" w:type="dxa"/>
              <w:right w:w="28" w:type="dxa"/>
            </w:tcMar>
            <w:vAlign w:val="center"/>
          </w:tcPr>
          <w:p w14:paraId="457DBA95" w14:textId="77777777" w:rsidR="00B0005F" w:rsidRPr="008A2411" w:rsidRDefault="00B0005F">
            <w:pPr>
              <w:pStyle w:val="affffffffffff2"/>
              <w:rPr>
                <w:rFonts w:ascii="Times New Roman"/>
                <w:color w:val="000000" w:themeColor="text1"/>
              </w:rPr>
            </w:pPr>
          </w:p>
        </w:tc>
      </w:tr>
      <w:tr w:rsidR="008A2411" w:rsidRPr="008A2411" w14:paraId="23738973" w14:textId="77777777">
        <w:trPr>
          <w:trHeight w:val="20"/>
          <w:jc w:val="center"/>
        </w:trPr>
        <w:tc>
          <w:tcPr>
            <w:tcW w:w="356" w:type="pct"/>
            <w:vMerge/>
            <w:shd w:val="clear" w:color="auto" w:fill="auto"/>
            <w:tcMar>
              <w:left w:w="28" w:type="dxa"/>
              <w:right w:w="28" w:type="dxa"/>
            </w:tcMar>
            <w:vAlign w:val="center"/>
          </w:tcPr>
          <w:p w14:paraId="5582B7DB" w14:textId="77777777" w:rsidR="00B0005F" w:rsidRPr="008A2411" w:rsidRDefault="00B0005F">
            <w:pPr>
              <w:pStyle w:val="affffffffffff2"/>
              <w:rPr>
                <w:rFonts w:ascii="Times New Roman"/>
                <w:color w:val="000000" w:themeColor="text1"/>
              </w:rPr>
            </w:pPr>
          </w:p>
        </w:tc>
        <w:tc>
          <w:tcPr>
            <w:tcW w:w="1272" w:type="pct"/>
            <w:shd w:val="clear" w:color="auto" w:fill="auto"/>
            <w:tcMar>
              <w:left w:w="28" w:type="dxa"/>
              <w:right w:w="28" w:type="dxa"/>
            </w:tcMar>
            <w:vAlign w:val="center"/>
          </w:tcPr>
          <w:p w14:paraId="12D41FC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侯家山居民水井</w:t>
            </w:r>
          </w:p>
        </w:tc>
        <w:tc>
          <w:tcPr>
            <w:tcW w:w="1610" w:type="pct"/>
            <w:shd w:val="clear" w:color="auto" w:fill="auto"/>
            <w:tcMar>
              <w:left w:w="28" w:type="dxa"/>
              <w:right w:w="28" w:type="dxa"/>
            </w:tcMar>
            <w:vAlign w:val="center"/>
          </w:tcPr>
          <w:p w14:paraId="6ED4F41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项目西南侧约</w:t>
            </w:r>
            <w:r w:rsidRPr="008A2411">
              <w:rPr>
                <w:rFonts w:ascii="Times New Roman"/>
                <w:color w:val="000000" w:themeColor="text1"/>
              </w:rPr>
              <w:t>1.26km</w:t>
            </w:r>
            <w:r w:rsidRPr="008A2411">
              <w:rPr>
                <w:rFonts w:ascii="Times New Roman"/>
                <w:color w:val="000000" w:themeColor="text1"/>
              </w:rPr>
              <w:t>处</w:t>
            </w:r>
          </w:p>
        </w:tc>
        <w:tc>
          <w:tcPr>
            <w:tcW w:w="593" w:type="pct"/>
            <w:vMerge/>
            <w:shd w:val="clear" w:color="auto" w:fill="auto"/>
            <w:tcMar>
              <w:left w:w="28" w:type="dxa"/>
              <w:right w:w="28" w:type="dxa"/>
            </w:tcMar>
            <w:vAlign w:val="center"/>
          </w:tcPr>
          <w:p w14:paraId="7AA59A94" w14:textId="77777777" w:rsidR="00B0005F" w:rsidRPr="008A2411" w:rsidRDefault="00B0005F">
            <w:pPr>
              <w:pStyle w:val="affffffffffff2"/>
              <w:rPr>
                <w:rFonts w:ascii="Times New Roman"/>
                <w:color w:val="000000" w:themeColor="text1"/>
              </w:rPr>
            </w:pPr>
          </w:p>
        </w:tc>
        <w:tc>
          <w:tcPr>
            <w:tcW w:w="1169" w:type="pct"/>
            <w:vMerge/>
            <w:tcMar>
              <w:left w:w="28" w:type="dxa"/>
              <w:right w:w="28" w:type="dxa"/>
            </w:tcMar>
            <w:vAlign w:val="center"/>
          </w:tcPr>
          <w:p w14:paraId="3E2819D3" w14:textId="77777777" w:rsidR="00B0005F" w:rsidRPr="008A2411" w:rsidRDefault="00B0005F">
            <w:pPr>
              <w:pStyle w:val="affffffffffff2"/>
              <w:rPr>
                <w:rFonts w:ascii="Times New Roman"/>
                <w:color w:val="000000" w:themeColor="text1"/>
              </w:rPr>
            </w:pPr>
          </w:p>
        </w:tc>
      </w:tr>
    </w:tbl>
    <w:p w14:paraId="226CB36E" w14:textId="77777777" w:rsidR="00B0005F" w:rsidRPr="008A2411" w:rsidRDefault="00000000">
      <w:pPr>
        <w:adjustRightInd w:val="0"/>
        <w:spacing w:line="360" w:lineRule="auto"/>
        <w:ind w:firstLine="241"/>
        <w:rPr>
          <w:rFonts w:ascii="Times New Roman"/>
          <w:color w:val="000000" w:themeColor="text1"/>
          <w:szCs w:val="24"/>
        </w:rPr>
      </w:pPr>
      <w:r w:rsidRPr="008A2411">
        <w:rPr>
          <w:rFonts w:ascii="Times New Roman"/>
          <w:color w:val="000000" w:themeColor="text1"/>
          <w:szCs w:val="24"/>
        </w:rPr>
        <w:t>（三）地下水环境影响识别</w:t>
      </w:r>
    </w:p>
    <w:p w14:paraId="3F2C54B5"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w:t>
      </w:r>
      <w:r w:rsidRPr="008A2411">
        <w:rPr>
          <w:rFonts w:ascii="Times New Roman"/>
          <w:color w:val="000000" w:themeColor="text1"/>
          <w:szCs w:val="24"/>
        </w:rPr>
        <w:t>1</w:t>
      </w:r>
      <w:r w:rsidRPr="008A2411">
        <w:rPr>
          <w:rFonts w:ascii="Times New Roman"/>
          <w:color w:val="000000" w:themeColor="text1"/>
          <w:szCs w:val="24"/>
        </w:rPr>
        <w:t>）项目类型识别</w:t>
      </w:r>
    </w:p>
    <w:p w14:paraId="22BA841D"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根据建设项目对地下水环境影响程度，结合《建设项目环境影响评价分类管理名录》，将建设项目分为四类，其中</w:t>
      </w:r>
      <w:r w:rsidRPr="008A2411">
        <w:rPr>
          <w:rFonts w:ascii="Times New Roman"/>
          <w:color w:val="000000" w:themeColor="text1"/>
          <w:szCs w:val="24"/>
        </w:rPr>
        <w:fldChar w:fldCharType="begin"/>
      </w:r>
      <w:r w:rsidRPr="008A2411">
        <w:rPr>
          <w:rFonts w:ascii="Times New Roman"/>
          <w:color w:val="000000" w:themeColor="text1"/>
          <w:szCs w:val="24"/>
        </w:rPr>
        <w:instrText xml:space="preserve"> = 1 \* ROMAN </w:instrText>
      </w:r>
      <w:r w:rsidRPr="008A2411">
        <w:rPr>
          <w:rFonts w:ascii="Times New Roman"/>
          <w:color w:val="000000" w:themeColor="text1"/>
          <w:szCs w:val="24"/>
        </w:rPr>
        <w:fldChar w:fldCharType="separate"/>
      </w:r>
      <w:r w:rsidRPr="008A2411">
        <w:rPr>
          <w:rFonts w:ascii="Times New Roman"/>
          <w:color w:val="000000" w:themeColor="text1"/>
          <w:szCs w:val="24"/>
        </w:rPr>
        <w:t>I</w:t>
      </w:r>
      <w:r w:rsidRPr="008A2411">
        <w:rPr>
          <w:rFonts w:ascii="Times New Roman"/>
          <w:color w:val="000000" w:themeColor="text1"/>
          <w:szCs w:val="24"/>
        </w:rPr>
        <w:fldChar w:fldCharType="end"/>
      </w:r>
      <w:r w:rsidRPr="008A2411">
        <w:rPr>
          <w:rFonts w:ascii="Times New Roman"/>
          <w:color w:val="000000" w:themeColor="text1"/>
          <w:szCs w:val="24"/>
        </w:rPr>
        <w:t>类、</w:t>
      </w:r>
      <w:r w:rsidRPr="008A2411">
        <w:rPr>
          <w:rFonts w:ascii="Times New Roman"/>
          <w:color w:val="000000" w:themeColor="text1"/>
          <w:szCs w:val="24"/>
        </w:rPr>
        <w:fldChar w:fldCharType="begin"/>
      </w:r>
      <w:r w:rsidRPr="008A2411">
        <w:rPr>
          <w:rFonts w:ascii="Times New Roman"/>
          <w:color w:val="000000" w:themeColor="text1"/>
          <w:szCs w:val="24"/>
        </w:rPr>
        <w:instrText xml:space="preserve"> = 2 \* ROMAN </w:instrText>
      </w:r>
      <w:r w:rsidRPr="008A2411">
        <w:rPr>
          <w:rFonts w:ascii="Times New Roman"/>
          <w:color w:val="000000" w:themeColor="text1"/>
          <w:szCs w:val="24"/>
        </w:rPr>
        <w:fldChar w:fldCharType="separate"/>
      </w:r>
      <w:r w:rsidRPr="008A2411">
        <w:rPr>
          <w:rFonts w:ascii="Times New Roman"/>
          <w:color w:val="000000" w:themeColor="text1"/>
          <w:szCs w:val="24"/>
        </w:rPr>
        <w:t>II</w:t>
      </w:r>
      <w:r w:rsidRPr="008A2411">
        <w:rPr>
          <w:rFonts w:ascii="Times New Roman"/>
          <w:color w:val="000000" w:themeColor="text1"/>
          <w:szCs w:val="24"/>
        </w:rPr>
        <w:fldChar w:fldCharType="end"/>
      </w:r>
      <w:r w:rsidRPr="008A2411">
        <w:rPr>
          <w:rFonts w:ascii="Times New Roman"/>
          <w:color w:val="000000" w:themeColor="text1"/>
          <w:szCs w:val="24"/>
        </w:rPr>
        <w:t>类及</w:t>
      </w:r>
      <w:r w:rsidRPr="008A2411">
        <w:rPr>
          <w:rFonts w:ascii="Times New Roman"/>
          <w:color w:val="000000" w:themeColor="text1"/>
          <w:szCs w:val="24"/>
        </w:rPr>
        <w:fldChar w:fldCharType="begin"/>
      </w:r>
      <w:r w:rsidRPr="008A2411">
        <w:rPr>
          <w:rFonts w:ascii="Times New Roman"/>
          <w:color w:val="000000" w:themeColor="text1"/>
          <w:szCs w:val="24"/>
        </w:rPr>
        <w:instrText xml:space="preserve"> = 3 \* ROMAN </w:instrText>
      </w:r>
      <w:r w:rsidRPr="008A2411">
        <w:rPr>
          <w:rFonts w:ascii="Times New Roman"/>
          <w:color w:val="000000" w:themeColor="text1"/>
          <w:szCs w:val="24"/>
        </w:rPr>
        <w:fldChar w:fldCharType="separate"/>
      </w:r>
      <w:r w:rsidRPr="008A2411">
        <w:rPr>
          <w:rFonts w:ascii="Times New Roman"/>
          <w:color w:val="000000" w:themeColor="text1"/>
          <w:szCs w:val="24"/>
        </w:rPr>
        <w:t>III</w:t>
      </w:r>
      <w:r w:rsidRPr="008A2411">
        <w:rPr>
          <w:rFonts w:ascii="Times New Roman"/>
          <w:color w:val="000000" w:themeColor="text1"/>
          <w:szCs w:val="24"/>
        </w:rPr>
        <w:fldChar w:fldCharType="end"/>
      </w:r>
      <w:r w:rsidRPr="008A2411">
        <w:rPr>
          <w:rFonts w:ascii="Times New Roman"/>
          <w:color w:val="000000" w:themeColor="text1"/>
          <w:szCs w:val="24"/>
        </w:rPr>
        <w:t>类建设项目的地下水环境影响评价应执行本标准，</w:t>
      </w:r>
      <w:r w:rsidRPr="008A2411">
        <w:rPr>
          <w:rFonts w:ascii="Times New Roman"/>
          <w:color w:val="000000" w:themeColor="text1"/>
          <w:szCs w:val="24"/>
        </w:rPr>
        <w:fldChar w:fldCharType="begin"/>
      </w:r>
      <w:r w:rsidRPr="008A2411">
        <w:rPr>
          <w:rFonts w:ascii="Times New Roman"/>
          <w:color w:val="000000" w:themeColor="text1"/>
          <w:szCs w:val="24"/>
        </w:rPr>
        <w:instrText xml:space="preserve"> = 4 \* ROMAN </w:instrText>
      </w:r>
      <w:r w:rsidRPr="008A2411">
        <w:rPr>
          <w:rFonts w:ascii="Times New Roman"/>
          <w:color w:val="000000" w:themeColor="text1"/>
          <w:szCs w:val="24"/>
        </w:rPr>
        <w:fldChar w:fldCharType="separate"/>
      </w:r>
      <w:r w:rsidRPr="008A2411">
        <w:rPr>
          <w:rFonts w:ascii="Times New Roman"/>
          <w:color w:val="000000" w:themeColor="text1"/>
          <w:szCs w:val="24"/>
        </w:rPr>
        <w:t>IV</w:t>
      </w:r>
      <w:r w:rsidRPr="008A2411">
        <w:rPr>
          <w:rFonts w:ascii="Times New Roman"/>
          <w:color w:val="000000" w:themeColor="text1"/>
          <w:szCs w:val="24"/>
        </w:rPr>
        <w:fldChar w:fldCharType="end"/>
      </w:r>
      <w:r w:rsidRPr="008A2411">
        <w:rPr>
          <w:rFonts w:ascii="Times New Roman"/>
          <w:color w:val="000000" w:themeColor="text1"/>
          <w:szCs w:val="24"/>
        </w:rPr>
        <w:t>类建设项目不开展地下水环境影响评价，分类详</w:t>
      </w:r>
      <w:r w:rsidRPr="008A2411">
        <w:rPr>
          <w:rFonts w:ascii="Times New Roman"/>
          <w:color w:val="000000" w:themeColor="text1"/>
          <w:szCs w:val="24"/>
        </w:rPr>
        <w:lastRenderedPageBreak/>
        <w:t>见《环境影响评价技术导则</w:t>
      </w:r>
      <w:r w:rsidRPr="008A2411">
        <w:rPr>
          <w:rFonts w:ascii="Times New Roman"/>
          <w:color w:val="000000" w:themeColor="text1"/>
          <w:szCs w:val="24"/>
        </w:rPr>
        <w:t>-</w:t>
      </w:r>
      <w:r w:rsidRPr="008A2411">
        <w:rPr>
          <w:rFonts w:ascii="Times New Roman"/>
          <w:color w:val="000000" w:themeColor="text1"/>
          <w:szCs w:val="24"/>
        </w:rPr>
        <w:t>地下水环境》（</w:t>
      </w:r>
      <w:r w:rsidRPr="008A2411">
        <w:rPr>
          <w:rFonts w:ascii="Times New Roman"/>
          <w:color w:val="000000" w:themeColor="text1"/>
          <w:szCs w:val="24"/>
        </w:rPr>
        <w:t>HJ610-2016</w:t>
      </w:r>
      <w:r w:rsidRPr="008A2411">
        <w:rPr>
          <w:rFonts w:ascii="Times New Roman"/>
          <w:color w:val="000000" w:themeColor="text1"/>
          <w:szCs w:val="24"/>
        </w:rPr>
        <w:t>）附录</w:t>
      </w:r>
      <w:r w:rsidRPr="008A2411">
        <w:rPr>
          <w:rFonts w:ascii="Times New Roman"/>
          <w:color w:val="000000" w:themeColor="text1"/>
          <w:szCs w:val="24"/>
        </w:rPr>
        <w:t>A</w:t>
      </w:r>
      <w:r w:rsidRPr="008A2411">
        <w:rPr>
          <w:rFonts w:ascii="Times New Roman"/>
          <w:color w:val="000000" w:themeColor="text1"/>
          <w:szCs w:val="24"/>
        </w:rPr>
        <w:t>（以下简称附录</w:t>
      </w:r>
      <w:r w:rsidRPr="008A2411">
        <w:rPr>
          <w:rFonts w:ascii="Times New Roman"/>
          <w:color w:val="000000" w:themeColor="text1"/>
          <w:szCs w:val="24"/>
        </w:rPr>
        <w:t>A</w:t>
      </w:r>
      <w:r w:rsidRPr="008A2411">
        <w:rPr>
          <w:rFonts w:ascii="Times New Roman"/>
          <w:color w:val="000000" w:themeColor="text1"/>
          <w:szCs w:val="24"/>
        </w:rPr>
        <w:t>）。</w:t>
      </w:r>
    </w:p>
    <w:p w14:paraId="686B16A3"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根据附录</w:t>
      </w:r>
      <w:r w:rsidRPr="008A2411">
        <w:rPr>
          <w:rFonts w:ascii="Times New Roman"/>
          <w:color w:val="000000" w:themeColor="text1"/>
          <w:szCs w:val="24"/>
        </w:rPr>
        <w:t>A</w:t>
      </w:r>
      <w:r w:rsidRPr="008A2411">
        <w:rPr>
          <w:rFonts w:ascii="Times New Roman"/>
          <w:color w:val="000000" w:themeColor="text1"/>
          <w:szCs w:val="24"/>
        </w:rPr>
        <w:t>，本项目地下水环评分类属</w:t>
      </w:r>
      <w:r w:rsidRPr="008A2411">
        <w:rPr>
          <w:rFonts w:ascii="Times New Roman" w:hint="eastAsia"/>
          <w:color w:val="000000" w:themeColor="text1"/>
          <w:szCs w:val="24"/>
        </w:rPr>
        <w:t>“</w:t>
      </w:r>
      <w:r w:rsidRPr="008A2411">
        <w:rPr>
          <w:rFonts w:ascii="Times New Roman"/>
          <w:i/>
          <w:iCs/>
          <w:color w:val="000000" w:themeColor="text1"/>
          <w:szCs w:val="24"/>
        </w:rPr>
        <w:t>F</w:t>
      </w:r>
      <w:r w:rsidRPr="008A2411">
        <w:rPr>
          <w:rFonts w:ascii="Times New Roman"/>
          <w:i/>
          <w:iCs/>
          <w:color w:val="000000" w:themeColor="text1"/>
          <w:szCs w:val="24"/>
        </w:rPr>
        <w:t>石油、天然气</w:t>
      </w:r>
      <w:r w:rsidRPr="008A2411">
        <w:rPr>
          <w:rFonts w:ascii="Times New Roman" w:hint="eastAsia"/>
          <w:color w:val="000000" w:themeColor="text1"/>
          <w:szCs w:val="24"/>
        </w:rPr>
        <w:t>”</w:t>
      </w:r>
      <w:r w:rsidRPr="008A2411">
        <w:rPr>
          <w:rFonts w:ascii="Times New Roman"/>
          <w:color w:val="000000" w:themeColor="text1"/>
          <w:szCs w:val="24"/>
        </w:rPr>
        <w:t>中的</w:t>
      </w:r>
      <w:r w:rsidRPr="008A2411">
        <w:rPr>
          <w:rFonts w:ascii="Times New Roman" w:hint="eastAsia"/>
          <w:color w:val="000000" w:themeColor="text1"/>
          <w:szCs w:val="24"/>
        </w:rPr>
        <w:t>“</w:t>
      </w:r>
      <w:r w:rsidRPr="008A2411">
        <w:rPr>
          <w:rFonts w:ascii="Times New Roman"/>
          <w:i/>
          <w:iCs/>
          <w:color w:val="000000" w:themeColor="text1"/>
          <w:szCs w:val="24"/>
        </w:rPr>
        <w:t>天然气、页岩气开采（含净化）</w:t>
      </w:r>
      <w:r w:rsidRPr="008A2411">
        <w:rPr>
          <w:rFonts w:ascii="Times New Roman" w:hint="eastAsia"/>
          <w:color w:val="000000" w:themeColor="text1"/>
          <w:szCs w:val="24"/>
        </w:rPr>
        <w:t>”</w:t>
      </w:r>
      <w:r w:rsidRPr="008A2411">
        <w:rPr>
          <w:rFonts w:ascii="Times New Roman"/>
          <w:color w:val="000000" w:themeColor="text1"/>
          <w:szCs w:val="24"/>
        </w:rPr>
        <w:t>，为</w:t>
      </w:r>
      <w:r w:rsidRPr="008A2411">
        <w:rPr>
          <w:rFonts w:ascii="Times New Roman"/>
          <w:color w:val="000000" w:themeColor="text1"/>
          <w:szCs w:val="24"/>
        </w:rPr>
        <w:fldChar w:fldCharType="begin"/>
      </w:r>
      <w:r w:rsidRPr="008A2411">
        <w:rPr>
          <w:rFonts w:ascii="Times New Roman"/>
          <w:color w:val="000000" w:themeColor="text1"/>
          <w:szCs w:val="24"/>
        </w:rPr>
        <w:instrText xml:space="preserve"> = 2 \* ROMAN </w:instrText>
      </w:r>
      <w:r w:rsidRPr="008A2411">
        <w:rPr>
          <w:rFonts w:ascii="Times New Roman"/>
          <w:color w:val="000000" w:themeColor="text1"/>
          <w:szCs w:val="24"/>
        </w:rPr>
        <w:fldChar w:fldCharType="separate"/>
      </w:r>
      <w:r w:rsidRPr="008A2411">
        <w:rPr>
          <w:rFonts w:ascii="Times New Roman"/>
          <w:color w:val="000000" w:themeColor="text1"/>
          <w:szCs w:val="24"/>
        </w:rPr>
        <w:t>II</w:t>
      </w:r>
      <w:r w:rsidRPr="008A2411">
        <w:rPr>
          <w:rFonts w:ascii="Times New Roman"/>
          <w:color w:val="000000" w:themeColor="text1"/>
          <w:szCs w:val="24"/>
        </w:rPr>
        <w:fldChar w:fldCharType="end"/>
      </w:r>
      <w:r w:rsidRPr="008A2411">
        <w:rPr>
          <w:rFonts w:ascii="Times New Roman"/>
          <w:color w:val="000000" w:themeColor="text1"/>
          <w:szCs w:val="24"/>
        </w:rPr>
        <w:t>类项目。</w:t>
      </w:r>
    </w:p>
    <w:p w14:paraId="6F505DB4" w14:textId="77777777" w:rsidR="00B0005F" w:rsidRPr="008A2411" w:rsidRDefault="00000000">
      <w:pPr>
        <w:pStyle w:val="affffffff7"/>
        <w:spacing w:before="60" w:after="60"/>
        <w:rPr>
          <w:color w:val="000000" w:themeColor="text1"/>
        </w:rPr>
      </w:pPr>
      <w:r w:rsidRPr="008A2411">
        <w:rPr>
          <w:color w:val="000000" w:themeColor="text1"/>
        </w:rPr>
        <w:t>表</w:t>
      </w:r>
      <w:r w:rsidRPr="008A2411">
        <w:rPr>
          <w:color w:val="000000" w:themeColor="text1"/>
        </w:rPr>
        <w:t xml:space="preserve">5.2-18  </w:t>
      </w:r>
      <w:r w:rsidRPr="008A2411">
        <w:rPr>
          <w:color w:val="000000" w:themeColor="text1"/>
        </w:rPr>
        <w:t>建设项目所属地下水环境影响评价项目类别</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3"/>
        <w:gridCol w:w="2131"/>
        <w:gridCol w:w="850"/>
        <w:gridCol w:w="2996"/>
        <w:gridCol w:w="1302"/>
      </w:tblGrid>
      <w:tr w:rsidR="008A2411" w:rsidRPr="008A2411" w14:paraId="57E4F845" w14:textId="77777777">
        <w:trPr>
          <w:cantSplit/>
          <w:jc w:val="center"/>
        </w:trPr>
        <w:tc>
          <w:tcPr>
            <w:tcW w:w="1978" w:type="pct"/>
            <w:gridSpan w:val="2"/>
            <w:vMerge w:val="restart"/>
            <w:tcBorders>
              <w:tl2br w:val="single" w:sz="4" w:space="0" w:color="auto"/>
            </w:tcBorders>
            <w:shd w:val="clear" w:color="auto" w:fill="auto"/>
            <w:vAlign w:val="center"/>
          </w:tcPr>
          <w:p w14:paraId="7927B135" w14:textId="77777777" w:rsidR="00B0005F" w:rsidRPr="008A2411" w:rsidRDefault="00000000">
            <w:pPr>
              <w:pStyle w:val="affffffffffff2"/>
              <w:jc w:val="right"/>
              <w:rPr>
                <w:rFonts w:ascii="Times New Roman"/>
                <w:color w:val="000000" w:themeColor="text1"/>
              </w:rPr>
            </w:pPr>
            <w:r w:rsidRPr="008A2411">
              <w:rPr>
                <w:rFonts w:ascii="Times New Roman"/>
                <w:color w:val="000000" w:themeColor="text1"/>
              </w:rPr>
              <w:t>环评类别</w:t>
            </w:r>
          </w:p>
          <w:p w14:paraId="02C630F9" w14:textId="77777777" w:rsidR="00B0005F" w:rsidRPr="008A2411" w:rsidRDefault="00000000">
            <w:pPr>
              <w:pStyle w:val="affffffffffff2"/>
              <w:jc w:val="left"/>
              <w:rPr>
                <w:rFonts w:ascii="Times New Roman"/>
                <w:color w:val="000000" w:themeColor="text1"/>
              </w:rPr>
            </w:pPr>
            <w:r w:rsidRPr="008A2411">
              <w:rPr>
                <w:rFonts w:ascii="Times New Roman"/>
                <w:color w:val="000000" w:themeColor="text1"/>
              </w:rPr>
              <w:t>行业类别</w:t>
            </w:r>
          </w:p>
        </w:tc>
        <w:tc>
          <w:tcPr>
            <w:tcW w:w="499" w:type="pct"/>
            <w:vMerge w:val="restart"/>
            <w:shd w:val="clear" w:color="auto" w:fill="auto"/>
            <w:vAlign w:val="center"/>
          </w:tcPr>
          <w:p w14:paraId="0851778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环评类别</w:t>
            </w:r>
          </w:p>
        </w:tc>
        <w:tc>
          <w:tcPr>
            <w:tcW w:w="2523" w:type="pct"/>
            <w:gridSpan w:val="2"/>
            <w:shd w:val="clear" w:color="auto" w:fill="auto"/>
            <w:vAlign w:val="center"/>
          </w:tcPr>
          <w:p w14:paraId="3863634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本项目建设内容及项目类型识别</w:t>
            </w:r>
          </w:p>
        </w:tc>
      </w:tr>
      <w:tr w:rsidR="008A2411" w:rsidRPr="008A2411" w14:paraId="03F1E06C" w14:textId="77777777">
        <w:trPr>
          <w:cantSplit/>
          <w:jc w:val="center"/>
        </w:trPr>
        <w:tc>
          <w:tcPr>
            <w:tcW w:w="1978" w:type="pct"/>
            <w:gridSpan w:val="2"/>
            <w:vMerge/>
            <w:shd w:val="clear" w:color="auto" w:fill="auto"/>
            <w:vAlign w:val="center"/>
          </w:tcPr>
          <w:p w14:paraId="06155D4A" w14:textId="77777777" w:rsidR="00B0005F" w:rsidRPr="008A2411" w:rsidRDefault="00B0005F">
            <w:pPr>
              <w:pStyle w:val="affffffffffff2"/>
              <w:rPr>
                <w:rFonts w:ascii="Times New Roman"/>
                <w:color w:val="000000" w:themeColor="text1"/>
              </w:rPr>
            </w:pPr>
          </w:p>
        </w:tc>
        <w:tc>
          <w:tcPr>
            <w:tcW w:w="499" w:type="pct"/>
            <w:vMerge/>
            <w:shd w:val="clear" w:color="auto" w:fill="auto"/>
            <w:vAlign w:val="center"/>
          </w:tcPr>
          <w:p w14:paraId="7CA89AC6" w14:textId="77777777" w:rsidR="00B0005F" w:rsidRPr="008A2411" w:rsidRDefault="00B0005F">
            <w:pPr>
              <w:pStyle w:val="affffffffffff2"/>
              <w:rPr>
                <w:rFonts w:ascii="Times New Roman"/>
                <w:color w:val="000000" w:themeColor="text1"/>
              </w:rPr>
            </w:pPr>
          </w:p>
        </w:tc>
        <w:tc>
          <w:tcPr>
            <w:tcW w:w="1758" w:type="pct"/>
            <w:shd w:val="clear" w:color="auto" w:fill="auto"/>
            <w:vAlign w:val="center"/>
          </w:tcPr>
          <w:p w14:paraId="6B46954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建设内容</w:t>
            </w:r>
          </w:p>
        </w:tc>
        <w:tc>
          <w:tcPr>
            <w:tcW w:w="765" w:type="pct"/>
            <w:shd w:val="clear" w:color="auto" w:fill="auto"/>
            <w:vAlign w:val="center"/>
          </w:tcPr>
          <w:p w14:paraId="0DDA1F5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项目类型</w:t>
            </w:r>
          </w:p>
        </w:tc>
      </w:tr>
      <w:tr w:rsidR="00B0005F" w:rsidRPr="008A2411" w14:paraId="2151B8F2" w14:textId="77777777">
        <w:trPr>
          <w:cantSplit/>
          <w:jc w:val="center"/>
        </w:trPr>
        <w:tc>
          <w:tcPr>
            <w:tcW w:w="729" w:type="pct"/>
            <w:shd w:val="clear" w:color="auto" w:fill="auto"/>
            <w:vAlign w:val="center"/>
          </w:tcPr>
          <w:p w14:paraId="713B341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F</w:t>
            </w:r>
            <w:r w:rsidRPr="008A2411">
              <w:rPr>
                <w:rFonts w:ascii="Times New Roman"/>
                <w:color w:val="000000" w:themeColor="text1"/>
              </w:rPr>
              <w:t>石油、天然气</w:t>
            </w:r>
          </w:p>
        </w:tc>
        <w:tc>
          <w:tcPr>
            <w:tcW w:w="1250" w:type="pct"/>
            <w:shd w:val="clear" w:color="auto" w:fill="auto"/>
            <w:vAlign w:val="center"/>
          </w:tcPr>
          <w:p w14:paraId="074A8B0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38. </w:t>
            </w:r>
            <w:r w:rsidRPr="008A2411">
              <w:rPr>
                <w:rFonts w:ascii="Times New Roman"/>
                <w:color w:val="000000" w:themeColor="text1"/>
              </w:rPr>
              <w:t>天然气、页岩气开采（含净化）</w:t>
            </w:r>
          </w:p>
        </w:tc>
        <w:tc>
          <w:tcPr>
            <w:tcW w:w="499" w:type="pct"/>
            <w:shd w:val="clear" w:color="auto" w:fill="auto"/>
            <w:vAlign w:val="center"/>
          </w:tcPr>
          <w:p w14:paraId="51C3A32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报告书</w:t>
            </w:r>
          </w:p>
        </w:tc>
        <w:tc>
          <w:tcPr>
            <w:tcW w:w="1758" w:type="pct"/>
            <w:shd w:val="clear" w:color="auto" w:fill="auto"/>
            <w:vAlign w:val="center"/>
          </w:tcPr>
          <w:p w14:paraId="5957817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新建</w:t>
            </w:r>
            <w:r w:rsidRPr="008A2411">
              <w:rPr>
                <w:rFonts w:ascii="Times New Roman"/>
                <w:color w:val="000000" w:themeColor="text1"/>
              </w:rPr>
              <w:t>100</w:t>
            </w:r>
            <w:r w:rsidRPr="008A2411">
              <w:rPr>
                <w:rFonts w:ascii="Times New Roman"/>
                <w:color w:val="000000" w:themeColor="text1"/>
              </w:rPr>
              <w:t>万方</w:t>
            </w:r>
            <w:r w:rsidRPr="008A2411">
              <w:rPr>
                <w:rFonts w:ascii="Times New Roman"/>
                <w:color w:val="000000" w:themeColor="text1"/>
              </w:rPr>
              <w:t>/</w:t>
            </w:r>
            <w:r w:rsidRPr="008A2411">
              <w:rPr>
                <w:rFonts w:ascii="Times New Roman"/>
                <w:color w:val="000000" w:themeColor="text1"/>
              </w:rPr>
              <w:t>天的天然气液化装置一套；一台</w:t>
            </w:r>
            <w:r w:rsidRPr="008A2411">
              <w:rPr>
                <w:rFonts w:ascii="Times New Roman"/>
                <w:color w:val="000000" w:themeColor="text1"/>
              </w:rPr>
              <w:t>20000</w:t>
            </w:r>
            <w:r w:rsidRPr="008A2411">
              <w:rPr>
                <w:rFonts w:ascii="Times New Roman"/>
                <w:color w:val="000000" w:themeColor="text1"/>
              </w:rPr>
              <w:t>立方液化天然气</w:t>
            </w:r>
            <w:proofErr w:type="gramStart"/>
            <w:r w:rsidRPr="008A2411">
              <w:rPr>
                <w:rFonts w:ascii="Times New Roman"/>
                <w:color w:val="000000" w:themeColor="text1"/>
              </w:rPr>
              <w:t>全容罐</w:t>
            </w:r>
            <w:proofErr w:type="gramEnd"/>
            <w:r w:rsidRPr="008A2411">
              <w:rPr>
                <w:rFonts w:ascii="Times New Roman"/>
                <w:color w:val="000000" w:themeColor="text1"/>
              </w:rPr>
              <w:t>；配套的公辅装置（</w:t>
            </w:r>
            <w:r w:rsidRPr="008A2411">
              <w:rPr>
                <w:rFonts w:ascii="Times New Roman"/>
                <w:color w:val="000000" w:themeColor="text1"/>
              </w:rPr>
              <w:t>LNG</w:t>
            </w:r>
            <w:r w:rsidRPr="008A2411">
              <w:rPr>
                <w:rFonts w:ascii="Times New Roman"/>
                <w:color w:val="000000" w:themeColor="text1"/>
              </w:rPr>
              <w:t>装车系统、加注区、空压站、软化水装置、循环水设施、联合变电所、控制室、地面火炬等）及安全环保设施；项目建成投产后可实现年产</w:t>
            </w:r>
            <w:r w:rsidRPr="008A2411">
              <w:rPr>
                <w:rFonts w:ascii="Times New Roman"/>
                <w:color w:val="000000" w:themeColor="text1"/>
              </w:rPr>
              <w:t>23</w:t>
            </w:r>
            <w:r w:rsidRPr="008A2411">
              <w:rPr>
                <w:rFonts w:ascii="Times New Roman"/>
                <w:color w:val="000000" w:themeColor="text1"/>
              </w:rPr>
              <w:t>万吨液化天然气产能。</w:t>
            </w:r>
          </w:p>
        </w:tc>
        <w:tc>
          <w:tcPr>
            <w:tcW w:w="765" w:type="pct"/>
            <w:shd w:val="clear" w:color="auto" w:fill="auto"/>
            <w:vAlign w:val="center"/>
          </w:tcPr>
          <w:p w14:paraId="0D0F5C3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II</w:t>
            </w:r>
            <w:r w:rsidRPr="008A2411">
              <w:rPr>
                <w:rFonts w:ascii="Times New Roman"/>
                <w:color w:val="000000" w:themeColor="text1"/>
              </w:rPr>
              <w:t>类</w:t>
            </w:r>
          </w:p>
        </w:tc>
      </w:tr>
    </w:tbl>
    <w:p w14:paraId="5730E545" w14:textId="77777777" w:rsidR="00B0005F" w:rsidRPr="008A2411" w:rsidRDefault="00B0005F">
      <w:pPr>
        <w:adjustRightInd w:val="0"/>
        <w:spacing w:line="360" w:lineRule="auto"/>
        <w:ind w:firstLine="482"/>
        <w:rPr>
          <w:rFonts w:ascii="Times New Roman"/>
          <w:color w:val="000000" w:themeColor="text1"/>
        </w:rPr>
      </w:pPr>
    </w:p>
    <w:p w14:paraId="09D85B3E"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w:t>
      </w:r>
      <w:r w:rsidRPr="008A2411">
        <w:rPr>
          <w:rFonts w:ascii="Times New Roman"/>
          <w:color w:val="000000" w:themeColor="text1"/>
          <w:szCs w:val="24"/>
        </w:rPr>
        <w:t>2</w:t>
      </w:r>
      <w:r w:rsidRPr="008A2411">
        <w:rPr>
          <w:rFonts w:ascii="Times New Roman"/>
          <w:color w:val="000000" w:themeColor="text1"/>
          <w:szCs w:val="24"/>
        </w:rPr>
        <w:t>）项目污染源项识别及污染因子识别</w:t>
      </w:r>
    </w:p>
    <w:p w14:paraId="4C30FE76" w14:textId="77777777" w:rsidR="00B0005F" w:rsidRPr="008A2411" w:rsidRDefault="00000000">
      <w:pPr>
        <w:adjustRightInd w:val="0"/>
        <w:spacing w:line="360" w:lineRule="auto"/>
        <w:ind w:firstLine="480"/>
        <w:rPr>
          <w:rFonts w:ascii="Times New Roman"/>
          <w:color w:val="000000" w:themeColor="text1"/>
          <w:szCs w:val="24"/>
        </w:rPr>
      </w:pPr>
      <w:bookmarkStart w:id="413" w:name="_Hlk68725115"/>
      <w:bookmarkStart w:id="414" w:name="_Toc317876331"/>
      <w:bookmarkStart w:id="415" w:name="_Toc306211314"/>
      <w:bookmarkStart w:id="416" w:name="_Toc317876405"/>
      <w:bookmarkStart w:id="417" w:name="_Hlk68725101"/>
      <w:bookmarkStart w:id="418" w:name="_Toc317876257"/>
      <w:bookmarkStart w:id="419" w:name="_Hlk68725163"/>
      <w:bookmarkStart w:id="420" w:name="_Toc317974771"/>
      <w:bookmarkStart w:id="421" w:name="_Toc317876076"/>
      <w:bookmarkStart w:id="422" w:name="_Toc327221705"/>
      <w:bookmarkEnd w:id="406"/>
      <w:bookmarkEnd w:id="407"/>
      <w:bookmarkEnd w:id="408"/>
      <w:bookmarkEnd w:id="409"/>
      <w:bookmarkEnd w:id="410"/>
      <w:bookmarkEnd w:id="411"/>
      <w:r w:rsidRPr="008A2411">
        <w:rPr>
          <w:rFonts w:ascii="Times New Roman"/>
          <w:color w:val="000000" w:themeColor="text1"/>
          <w:szCs w:val="24"/>
        </w:rPr>
        <w:t>根据项目可</w:t>
      </w:r>
      <w:proofErr w:type="gramStart"/>
      <w:r w:rsidRPr="008A2411">
        <w:rPr>
          <w:rFonts w:ascii="Times New Roman"/>
          <w:color w:val="000000" w:themeColor="text1"/>
          <w:szCs w:val="24"/>
        </w:rPr>
        <w:t>研</w:t>
      </w:r>
      <w:proofErr w:type="gramEnd"/>
      <w:r w:rsidRPr="008A2411">
        <w:rPr>
          <w:rFonts w:ascii="Times New Roman"/>
          <w:color w:val="000000" w:themeColor="text1"/>
          <w:szCs w:val="24"/>
        </w:rPr>
        <w:t>资料及工程分析，本项目可能对地下水环境产生影响的构筑物主要包括：</w:t>
      </w:r>
    </w:p>
    <w:p w14:paraId="0E9EE3C4"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①</w:t>
      </w:r>
      <w:r w:rsidRPr="008A2411">
        <w:rPr>
          <w:rFonts w:ascii="Times New Roman"/>
          <w:color w:val="000000" w:themeColor="text1"/>
          <w:szCs w:val="24"/>
        </w:rPr>
        <w:t>主体工程</w:t>
      </w:r>
    </w:p>
    <w:p w14:paraId="00948317"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原料气分离过滤单元：废水储罐；</w:t>
      </w:r>
    </w:p>
    <w:p w14:paraId="5C75B543"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原料气净化脱酸单元：吸收塔、闪蒸罐；</w:t>
      </w:r>
    </w:p>
    <w:p w14:paraId="2AB7B61E"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②</w:t>
      </w:r>
      <w:r w:rsidRPr="008A2411">
        <w:rPr>
          <w:rFonts w:ascii="Times New Roman"/>
          <w:color w:val="000000" w:themeColor="text1"/>
          <w:szCs w:val="24"/>
        </w:rPr>
        <w:t>公辅工程</w:t>
      </w:r>
    </w:p>
    <w:p w14:paraId="64D2559E" w14:textId="77777777" w:rsidR="00B0005F" w:rsidRPr="008A2411" w:rsidRDefault="00000000">
      <w:pPr>
        <w:adjustRightInd w:val="0"/>
        <w:spacing w:line="360" w:lineRule="auto"/>
        <w:ind w:firstLine="480"/>
        <w:rPr>
          <w:rFonts w:ascii="Times New Roman"/>
          <w:color w:val="000000" w:themeColor="text1"/>
          <w:szCs w:val="24"/>
        </w:rPr>
      </w:pPr>
      <w:proofErr w:type="gramStart"/>
      <w:r w:rsidRPr="008A2411">
        <w:rPr>
          <w:rFonts w:ascii="Times New Roman"/>
          <w:color w:val="000000" w:themeColor="text1"/>
          <w:szCs w:val="24"/>
        </w:rPr>
        <w:t>空压及</w:t>
      </w:r>
      <w:proofErr w:type="gramEnd"/>
      <w:r w:rsidRPr="008A2411">
        <w:rPr>
          <w:rFonts w:ascii="Times New Roman"/>
          <w:color w:val="000000" w:themeColor="text1"/>
          <w:szCs w:val="24"/>
        </w:rPr>
        <w:t>水处理站、分析化验及器材间、导热油系统；</w:t>
      </w:r>
    </w:p>
    <w:p w14:paraId="742B7B7E"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③</w:t>
      </w:r>
      <w:r w:rsidRPr="008A2411">
        <w:rPr>
          <w:rFonts w:ascii="Times New Roman"/>
          <w:color w:val="000000" w:themeColor="text1"/>
          <w:szCs w:val="24"/>
        </w:rPr>
        <w:t>环保工程</w:t>
      </w:r>
    </w:p>
    <w:p w14:paraId="432D7C98"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污水处理站、事故水池、危险废物暂存间。</w:t>
      </w:r>
    </w:p>
    <w:p w14:paraId="4311BBBE"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根据《环境影响评价技术导则</w:t>
      </w:r>
      <w:r w:rsidRPr="008A2411">
        <w:rPr>
          <w:rFonts w:ascii="Times New Roman"/>
          <w:color w:val="000000" w:themeColor="text1"/>
          <w:szCs w:val="24"/>
        </w:rPr>
        <w:t>—</w:t>
      </w:r>
      <w:r w:rsidRPr="008A2411">
        <w:rPr>
          <w:rFonts w:ascii="Times New Roman"/>
          <w:color w:val="000000" w:themeColor="text1"/>
          <w:szCs w:val="24"/>
        </w:rPr>
        <w:t>地下水环境》（</w:t>
      </w:r>
      <w:r w:rsidRPr="008A2411">
        <w:rPr>
          <w:rFonts w:ascii="Times New Roman"/>
          <w:color w:val="000000" w:themeColor="text1"/>
          <w:szCs w:val="24"/>
        </w:rPr>
        <w:t>HJ610-2016</w:t>
      </w:r>
      <w:r w:rsidRPr="008A2411">
        <w:rPr>
          <w:rFonts w:ascii="Times New Roman"/>
          <w:color w:val="000000" w:themeColor="text1"/>
          <w:szCs w:val="24"/>
        </w:rPr>
        <w:t>）及《危险废物贮存污染控制标准》（</w:t>
      </w:r>
      <w:r w:rsidRPr="008A2411">
        <w:rPr>
          <w:rFonts w:ascii="Times New Roman"/>
          <w:color w:val="000000" w:themeColor="text1"/>
          <w:szCs w:val="24"/>
        </w:rPr>
        <w:t>GB18597</w:t>
      </w:r>
      <w:r w:rsidRPr="008A2411">
        <w:rPr>
          <w:rFonts w:ascii="Times New Roman"/>
          <w:color w:val="000000" w:themeColor="text1"/>
          <w:szCs w:val="24"/>
        </w:rPr>
        <w:t>），以上构筑物均需进行重点防渗。在采取防渗措施后，正常状况，以上构筑物运行过程中对地下水环境影响较小。</w:t>
      </w:r>
    </w:p>
    <w:p w14:paraId="1A5C50C7" w14:textId="75357A15"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非正常运行状态下，受生产线设备老化及防渗系统等环保设施腐蚀等因素影响，本项目生产溶液、废水</w:t>
      </w:r>
      <w:r w:rsidR="00AB2E38" w:rsidRPr="008A2411">
        <w:rPr>
          <w:rFonts w:ascii="Times New Roman"/>
          <w:color w:val="000000" w:themeColor="text1"/>
          <w:szCs w:val="24"/>
        </w:rPr>
        <w:t>泄漏</w:t>
      </w:r>
      <w:r w:rsidRPr="008A2411">
        <w:rPr>
          <w:rFonts w:ascii="Times New Roman"/>
          <w:color w:val="000000" w:themeColor="text1"/>
          <w:szCs w:val="24"/>
        </w:rPr>
        <w:t>并部分入渗含水层，将会对区内地下水水质造成影响。</w:t>
      </w:r>
    </w:p>
    <w:p w14:paraId="62939338"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本项目主要地下水污染</w:t>
      </w:r>
      <w:proofErr w:type="gramStart"/>
      <w:r w:rsidRPr="008A2411">
        <w:rPr>
          <w:rFonts w:ascii="Times New Roman"/>
          <w:color w:val="000000" w:themeColor="text1"/>
          <w:szCs w:val="24"/>
        </w:rPr>
        <w:t>源及其</w:t>
      </w:r>
      <w:proofErr w:type="gramEnd"/>
      <w:r w:rsidRPr="008A2411">
        <w:rPr>
          <w:rFonts w:ascii="Times New Roman"/>
          <w:color w:val="000000" w:themeColor="text1"/>
          <w:szCs w:val="24"/>
        </w:rPr>
        <w:t>特征污染因子统计见表</w:t>
      </w:r>
      <w:r w:rsidRPr="008A2411">
        <w:rPr>
          <w:rFonts w:ascii="Times New Roman"/>
          <w:color w:val="000000" w:themeColor="text1"/>
          <w:szCs w:val="24"/>
        </w:rPr>
        <w:t>10-3</w:t>
      </w:r>
      <w:r w:rsidRPr="008A2411">
        <w:rPr>
          <w:rFonts w:ascii="Times New Roman"/>
          <w:color w:val="000000" w:themeColor="text1"/>
          <w:szCs w:val="24"/>
        </w:rPr>
        <w:t>。</w:t>
      </w:r>
    </w:p>
    <w:p w14:paraId="5283BCA2" w14:textId="77777777" w:rsidR="00B0005F" w:rsidRPr="008A2411" w:rsidRDefault="00000000">
      <w:pPr>
        <w:pStyle w:val="affffffff7"/>
        <w:spacing w:before="60" w:after="60"/>
        <w:rPr>
          <w:color w:val="000000" w:themeColor="text1"/>
        </w:rPr>
      </w:pPr>
      <w:r w:rsidRPr="008A2411">
        <w:rPr>
          <w:color w:val="000000" w:themeColor="text1"/>
        </w:rPr>
        <w:lastRenderedPageBreak/>
        <w:t>表</w:t>
      </w:r>
      <w:r w:rsidRPr="008A2411">
        <w:rPr>
          <w:color w:val="000000" w:themeColor="text1"/>
        </w:rPr>
        <w:t xml:space="preserve">5.2-19  </w:t>
      </w:r>
      <w:proofErr w:type="gramStart"/>
      <w:r w:rsidRPr="008A2411">
        <w:rPr>
          <w:color w:val="000000" w:themeColor="text1"/>
        </w:rPr>
        <w:t>各产污构筑物</w:t>
      </w:r>
      <w:proofErr w:type="gramEnd"/>
      <w:r w:rsidRPr="008A2411">
        <w:rPr>
          <w:color w:val="000000" w:themeColor="text1"/>
        </w:rPr>
        <w:t>及污染因子统计表</w:t>
      </w:r>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1"/>
        <w:gridCol w:w="975"/>
        <w:gridCol w:w="2927"/>
        <w:gridCol w:w="608"/>
        <w:gridCol w:w="1096"/>
        <w:gridCol w:w="1070"/>
        <w:gridCol w:w="1070"/>
      </w:tblGrid>
      <w:tr w:rsidR="008A2411" w:rsidRPr="008A2411" w14:paraId="4E2145C7" w14:textId="77777777">
        <w:trPr>
          <w:tblHeader/>
        </w:trPr>
        <w:tc>
          <w:tcPr>
            <w:tcW w:w="365" w:type="pct"/>
            <w:tcMar>
              <w:left w:w="28" w:type="dxa"/>
              <w:right w:w="28" w:type="dxa"/>
            </w:tcMar>
            <w:vAlign w:val="center"/>
          </w:tcPr>
          <w:bookmarkEnd w:id="413"/>
          <w:bookmarkEnd w:id="414"/>
          <w:bookmarkEnd w:id="415"/>
          <w:bookmarkEnd w:id="416"/>
          <w:bookmarkEnd w:id="417"/>
          <w:bookmarkEnd w:id="418"/>
          <w:bookmarkEnd w:id="419"/>
          <w:bookmarkEnd w:id="420"/>
          <w:bookmarkEnd w:id="421"/>
          <w:bookmarkEnd w:id="422"/>
          <w:p w14:paraId="22E8854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工程类别</w:t>
            </w:r>
          </w:p>
        </w:tc>
        <w:tc>
          <w:tcPr>
            <w:tcW w:w="583" w:type="pct"/>
            <w:tcMar>
              <w:left w:w="28" w:type="dxa"/>
              <w:right w:w="28" w:type="dxa"/>
            </w:tcMar>
            <w:vAlign w:val="center"/>
          </w:tcPr>
          <w:p w14:paraId="4D4D698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车间名称</w:t>
            </w:r>
          </w:p>
        </w:tc>
        <w:tc>
          <w:tcPr>
            <w:tcW w:w="1750" w:type="pct"/>
            <w:tcMar>
              <w:left w:w="28" w:type="dxa"/>
              <w:right w:w="28" w:type="dxa"/>
            </w:tcMar>
            <w:vAlign w:val="center"/>
          </w:tcPr>
          <w:p w14:paraId="2DD73CF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风险装置及规模型号</w:t>
            </w:r>
          </w:p>
        </w:tc>
        <w:tc>
          <w:tcPr>
            <w:tcW w:w="364" w:type="pct"/>
            <w:tcMar>
              <w:left w:w="28" w:type="dxa"/>
              <w:right w:w="28" w:type="dxa"/>
            </w:tcMar>
            <w:vAlign w:val="center"/>
          </w:tcPr>
          <w:p w14:paraId="354B659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数量</w:t>
            </w:r>
            <w:r w:rsidRPr="008A2411">
              <w:rPr>
                <w:rFonts w:ascii="Times New Roman"/>
                <w:color w:val="000000" w:themeColor="text1"/>
              </w:rPr>
              <w:t>(</w:t>
            </w:r>
            <w:proofErr w:type="gramStart"/>
            <w:r w:rsidRPr="008A2411">
              <w:rPr>
                <w:rFonts w:ascii="Times New Roman"/>
                <w:color w:val="000000" w:themeColor="text1"/>
              </w:rPr>
              <w:t>个</w:t>
            </w:r>
            <w:proofErr w:type="gramEnd"/>
            <w:r w:rsidRPr="008A2411">
              <w:rPr>
                <w:rFonts w:ascii="Times New Roman"/>
                <w:color w:val="000000" w:themeColor="text1"/>
              </w:rPr>
              <w:t>/</w:t>
            </w:r>
            <w:r w:rsidRPr="008A2411">
              <w:rPr>
                <w:rFonts w:ascii="Times New Roman"/>
                <w:color w:val="000000" w:themeColor="text1"/>
              </w:rPr>
              <w:t>台</w:t>
            </w:r>
            <w:r w:rsidRPr="008A2411">
              <w:rPr>
                <w:rFonts w:ascii="Times New Roman"/>
                <w:color w:val="000000" w:themeColor="text1"/>
              </w:rPr>
              <w:t>)</w:t>
            </w:r>
          </w:p>
        </w:tc>
        <w:tc>
          <w:tcPr>
            <w:tcW w:w="656" w:type="pct"/>
            <w:tcMar>
              <w:left w:w="28" w:type="dxa"/>
              <w:right w:w="28" w:type="dxa"/>
            </w:tcMar>
            <w:vAlign w:val="center"/>
          </w:tcPr>
          <w:p w14:paraId="2884333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材质</w:t>
            </w:r>
          </w:p>
        </w:tc>
        <w:tc>
          <w:tcPr>
            <w:tcW w:w="640" w:type="pct"/>
            <w:tcMar>
              <w:left w:w="28" w:type="dxa"/>
              <w:right w:w="28" w:type="dxa"/>
            </w:tcMar>
            <w:vAlign w:val="center"/>
          </w:tcPr>
          <w:p w14:paraId="72AE4A2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主要特征污染因子</w:t>
            </w:r>
          </w:p>
        </w:tc>
        <w:tc>
          <w:tcPr>
            <w:tcW w:w="640" w:type="pct"/>
            <w:tcMar>
              <w:left w:w="28" w:type="dxa"/>
              <w:right w:w="28" w:type="dxa"/>
            </w:tcMar>
            <w:vAlign w:val="center"/>
          </w:tcPr>
          <w:p w14:paraId="2360A83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备注</w:t>
            </w:r>
          </w:p>
        </w:tc>
      </w:tr>
      <w:tr w:rsidR="008A2411" w:rsidRPr="008A2411" w14:paraId="32C612B9" w14:textId="77777777">
        <w:trPr>
          <w:trHeight w:val="381"/>
        </w:trPr>
        <w:tc>
          <w:tcPr>
            <w:tcW w:w="365" w:type="pct"/>
            <w:vMerge w:val="restart"/>
            <w:tcMar>
              <w:left w:w="28" w:type="dxa"/>
              <w:right w:w="28" w:type="dxa"/>
            </w:tcMar>
            <w:vAlign w:val="center"/>
          </w:tcPr>
          <w:p w14:paraId="6D7EC54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主体工程</w:t>
            </w:r>
          </w:p>
        </w:tc>
        <w:tc>
          <w:tcPr>
            <w:tcW w:w="583" w:type="pct"/>
            <w:tcMar>
              <w:left w:w="28" w:type="dxa"/>
              <w:right w:w="28" w:type="dxa"/>
            </w:tcMar>
            <w:vAlign w:val="center"/>
          </w:tcPr>
          <w:p w14:paraId="3363E4E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原料气分离过滤单元</w:t>
            </w:r>
          </w:p>
        </w:tc>
        <w:tc>
          <w:tcPr>
            <w:tcW w:w="1750" w:type="pct"/>
            <w:tcMar>
              <w:left w:w="28" w:type="dxa"/>
              <w:right w:w="28" w:type="dxa"/>
            </w:tcMar>
            <w:vAlign w:val="center"/>
          </w:tcPr>
          <w:p w14:paraId="1A523CB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废水储罐，用于原料气过滤分离器分离的废水暂存，有效容积为</w:t>
            </w:r>
            <w:r w:rsidRPr="008A2411">
              <w:rPr>
                <w:rFonts w:ascii="Times New Roman"/>
                <w:color w:val="000000" w:themeColor="text1"/>
              </w:rPr>
              <w:t>5m</w:t>
            </w:r>
            <w:r w:rsidRPr="008A2411">
              <w:rPr>
                <w:rFonts w:ascii="Times New Roman"/>
                <w:color w:val="000000" w:themeColor="text1"/>
                <w:vertAlign w:val="superscript"/>
              </w:rPr>
              <w:t>3</w:t>
            </w:r>
            <w:r w:rsidRPr="008A2411">
              <w:rPr>
                <w:rFonts w:ascii="Times New Roman"/>
                <w:color w:val="000000" w:themeColor="text1"/>
              </w:rPr>
              <w:t>。</w:t>
            </w:r>
          </w:p>
        </w:tc>
        <w:tc>
          <w:tcPr>
            <w:tcW w:w="364" w:type="pct"/>
            <w:tcMar>
              <w:left w:w="28" w:type="dxa"/>
              <w:right w:w="28" w:type="dxa"/>
            </w:tcMar>
            <w:vAlign w:val="center"/>
          </w:tcPr>
          <w:p w14:paraId="5FF0833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w:t>
            </w:r>
          </w:p>
        </w:tc>
        <w:tc>
          <w:tcPr>
            <w:tcW w:w="656" w:type="pct"/>
            <w:tcMar>
              <w:left w:w="28" w:type="dxa"/>
              <w:right w:w="28" w:type="dxa"/>
            </w:tcMar>
            <w:vAlign w:val="center"/>
          </w:tcPr>
          <w:p w14:paraId="28E78292" w14:textId="77777777" w:rsidR="00B0005F" w:rsidRPr="008A2411" w:rsidRDefault="00000000">
            <w:pPr>
              <w:pStyle w:val="affffffffffff2"/>
              <w:rPr>
                <w:rFonts w:ascii="Times New Roman"/>
                <w:color w:val="000000" w:themeColor="text1"/>
              </w:rPr>
            </w:pPr>
            <w:r w:rsidRPr="008A2411">
              <w:rPr>
                <w:rFonts w:ascii="Times New Roman"/>
                <w:color w:val="000000" w:themeColor="text1"/>
                <w:szCs w:val="21"/>
                <w:shd w:val="clear" w:color="auto" w:fill="FFFFFF"/>
              </w:rPr>
              <w:t>碳钢</w:t>
            </w:r>
          </w:p>
        </w:tc>
        <w:tc>
          <w:tcPr>
            <w:tcW w:w="640" w:type="pct"/>
            <w:tcMar>
              <w:left w:w="28" w:type="dxa"/>
              <w:right w:w="28" w:type="dxa"/>
            </w:tcMar>
            <w:vAlign w:val="center"/>
          </w:tcPr>
          <w:p w14:paraId="5488D27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COD</w:t>
            </w:r>
            <w:r w:rsidRPr="008A2411">
              <w:rPr>
                <w:rFonts w:ascii="Times New Roman"/>
                <w:color w:val="000000" w:themeColor="text1"/>
              </w:rPr>
              <w:t>、</w:t>
            </w:r>
            <w:r w:rsidRPr="008A2411">
              <w:rPr>
                <w:rFonts w:ascii="Times New Roman"/>
                <w:color w:val="000000" w:themeColor="text1"/>
              </w:rPr>
              <w:t>SS</w:t>
            </w:r>
            <w:r w:rsidRPr="008A2411">
              <w:rPr>
                <w:rFonts w:ascii="Times New Roman"/>
                <w:color w:val="000000" w:themeColor="text1"/>
              </w:rPr>
              <w:t>和</w:t>
            </w:r>
            <w:r w:rsidRPr="008A2411">
              <w:rPr>
                <w:rFonts w:ascii="Times New Roman"/>
                <w:color w:val="000000" w:themeColor="text1"/>
              </w:rPr>
              <w:t>pH</w:t>
            </w:r>
            <w:r w:rsidRPr="008A2411">
              <w:rPr>
                <w:rFonts w:ascii="Times New Roman"/>
                <w:color w:val="000000" w:themeColor="text1"/>
              </w:rPr>
              <w:t>等</w:t>
            </w:r>
          </w:p>
        </w:tc>
        <w:tc>
          <w:tcPr>
            <w:tcW w:w="640" w:type="pct"/>
            <w:tcMar>
              <w:left w:w="28" w:type="dxa"/>
              <w:right w:w="28" w:type="dxa"/>
            </w:tcMar>
            <w:vAlign w:val="center"/>
          </w:tcPr>
          <w:p w14:paraId="1FFFC8C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地上建筑</w:t>
            </w:r>
          </w:p>
        </w:tc>
      </w:tr>
      <w:tr w:rsidR="008A2411" w:rsidRPr="008A2411" w14:paraId="78B6B744" w14:textId="77777777">
        <w:tc>
          <w:tcPr>
            <w:tcW w:w="365" w:type="pct"/>
            <w:vMerge/>
            <w:tcMar>
              <w:left w:w="28" w:type="dxa"/>
              <w:right w:w="28" w:type="dxa"/>
            </w:tcMar>
            <w:vAlign w:val="center"/>
          </w:tcPr>
          <w:p w14:paraId="73C8FEEC" w14:textId="77777777" w:rsidR="00B0005F" w:rsidRPr="008A2411" w:rsidRDefault="00B0005F">
            <w:pPr>
              <w:pStyle w:val="affffffffffff2"/>
              <w:rPr>
                <w:rFonts w:ascii="Times New Roman"/>
                <w:color w:val="000000" w:themeColor="text1"/>
              </w:rPr>
            </w:pPr>
          </w:p>
        </w:tc>
        <w:tc>
          <w:tcPr>
            <w:tcW w:w="583" w:type="pct"/>
            <w:vMerge w:val="restart"/>
            <w:tcMar>
              <w:left w:w="28" w:type="dxa"/>
              <w:right w:w="28" w:type="dxa"/>
            </w:tcMar>
            <w:vAlign w:val="center"/>
          </w:tcPr>
          <w:p w14:paraId="00E89B0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原料气净化脱酸单元</w:t>
            </w:r>
          </w:p>
        </w:tc>
        <w:tc>
          <w:tcPr>
            <w:tcW w:w="1750" w:type="pct"/>
            <w:tcMar>
              <w:left w:w="28" w:type="dxa"/>
              <w:right w:w="28" w:type="dxa"/>
            </w:tcMar>
            <w:vAlign w:val="center"/>
          </w:tcPr>
          <w:p w14:paraId="768FEF3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吸收塔，</w:t>
            </w:r>
            <w:r w:rsidRPr="008A2411">
              <w:rPr>
                <w:rFonts w:ascii="Times New Roman"/>
                <w:color w:val="000000" w:themeColor="text1"/>
                <w:szCs w:val="21"/>
              </w:rPr>
              <w:t>Φ1300×20000</w:t>
            </w:r>
            <w:r w:rsidRPr="008A2411">
              <w:rPr>
                <w:rFonts w:ascii="Times New Roman"/>
                <w:color w:val="000000" w:themeColor="text1"/>
              </w:rPr>
              <w:t>，在线溶液容积（约占总容积</w:t>
            </w:r>
            <w:r w:rsidRPr="008A2411">
              <w:rPr>
                <w:rFonts w:ascii="Times New Roman"/>
                <w:color w:val="000000" w:themeColor="text1"/>
              </w:rPr>
              <w:t>40%</w:t>
            </w:r>
            <w:r w:rsidRPr="008A2411">
              <w:rPr>
                <w:rFonts w:ascii="Times New Roman"/>
                <w:color w:val="000000" w:themeColor="text1"/>
              </w:rPr>
              <w:t>）</w:t>
            </w:r>
            <w:r w:rsidRPr="008A2411">
              <w:rPr>
                <w:rFonts w:ascii="Times New Roman"/>
                <w:color w:val="000000" w:themeColor="text1"/>
              </w:rPr>
              <w:t>10.6m</w:t>
            </w:r>
            <w:r w:rsidRPr="008A2411">
              <w:rPr>
                <w:rFonts w:ascii="Times New Roman"/>
                <w:color w:val="000000" w:themeColor="text1"/>
                <w:vertAlign w:val="superscript"/>
              </w:rPr>
              <w:t>3</w:t>
            </w:r>
          </w:p>
        </w:tc>
        <w:tc>
          <w:tcPr>
            <w:tcW w:w="364" w:type="pct"/>
            <w:tcMar>
              <w:left w:w="28" w:type="dxa"/>
              <w:right w:w="28" w:type="dxa"/>
            </w:tcMar>
            <w:vAlign w:val="center"/>
          </w:tcPr>
          <w:p w14:paraId="0ADA3B5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w:t>
            </w:r>
          </w:p>
        </w:tc>
        <w:tc>
          <w:tcPr>
            <w:tcW w:w="656" w:type="pct"/>
            <w:tcMar>
              <w:left w:w="28" w:type="dxa"/>
              <w:right w:w="28" w:type="dxa"/>
            </w:tcMar>
            <w:vAlign w:val="center"/>
          </w:tcPr>
          <w:p w14:paraId="7122B2B2" w14:textId="77777777" w:rsidR="00B0005F" w:rsidRPr="008A2411" w:rsidRDefault="00000000">
            <w:pPr>
              <w:pStyle w:val="affffffffffff2"/>
              <w:rPr>
                <w:rFonts w:ascii="Times New Roman"/>
                <w:color w:val="000000" w:themeColor="text1"/>
              </w:rPr>
            </w:pPr>
            <w:r w:rsidRPr="008A2411">
              <w:rPr>
                <w:rFonts w:ascii="Times New Roman"/>
                <w:color w:val="000000" w:themeColor="text1"/>
                <w:szCs w:val="21"/>
                <w:shd w:val="clear" w:color="auto" w:fill="FFFFFF"/>
              </w:rPr>
              <w:t>碳钢</w:t>
            </w:r>
          </w:p>
        </w:tc>
        <w:tc>
          <w:tcPr>
            <w:tcW w:w="640" w:type="pct"/>
            <w:vMerge w:val="restart"/>
            <w:tcMar>
              <w:left w:w="28" w:type="dxa"/>
              <w:right w:w="28" w:type="dxa"/>
            </w:tcMar>
            <w:vAlign w:val="center"/>
          </w:tcPr>
          <w:p w14:paraId="5B2E44C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MDEA</w:t>
            </w:r>
            <w:r w:rsidRPr="008A2411">
              <w:rPr>
                <w:rFonts w:ascii="Times New Roman"/>
                <w:color w:val="000000" w:themeColor="text1"/>
              </w:rPr>
              <w:t>、</w:t>
            </w:r>
            <w:r w:rsidRPr="008A2411">
              <w:rPr>
                <w:rFonts w:ascii="Times New Roman"/>
                <w:color w:val="000000" w:themeColor="text1"/>
              </w:rPr>
              <w:t>COD</w:t>
            </w:r>
            <w:r w:rsidRPr="008A2411">
              <w:rPr>
                <w:rFonts w:ascii="Times New Roman"/>
                <w:color w:val="000000" w:themeColor="text1"/>
              </w:rPr>
              <w:t>、</w:t>
            </w:r>
            <w:r w:rsidRPr="008A2411">
              <w:rPr>
                <w:rFonts w:ascii="Times New Roman"/>
                <w:color w:val="000000" w:themeColor="text1"/>
              </w:rPr>
              <w:t>pH</w:t>
            </w:r>
            <w:r w:rsidRPr="008A2411">
              <w:rPr>
                <w:rFonts w:ascii="Times New Roman"/>
                <w:color w:val="000000" w:themeColor="text1"/>
              </w:rPr>
              <w:t>等</w:t>
            </w:r>
          </w:p>
        </w:tc>
        <w:tc>
          <w:tcPr>
            <w:tcW w:w="640" w:type="pct"/>
            <w:tcMar>
              <w:left w:w="28" w:type="dxa"/>
              <w:right w:w="28" w:type="dxa"/>
            </w:tcMar>
            <w:vAlign w:val="center"/>
          </w:tcPr>
          <w:p w14:paraId="191293A4" w14:textId="77777777" w:rsidR="00B0005F" w:rsidRPr="008A2411" w:rsidRDefault="00000000">
            <w:pPr>
              <w:rPr>
                <w:rFonts w:ascii="Times New Roman"/>
                <w:color w:val="000000" w:themeColor="text1"/>
              </w:rPr>
            </w:pPr>
            <w:r w:rsidRPr="008A2411">
              <w:rPr>
                <w:rFonts w:ascii="Times New Roman"/>
                <w:color w:val="000000" w:themeColor="text1"/>
              </w:rPr>
              <w:t>地上建筑</w:t>
            </w:r>
          </w:p>
        </w:tc>
      </w:tr>
      <w:tr w:rsidR="008A2411" w:rsidRPr="008A2411" w14:paraId="60621463" w14:textId="77777777">
        <w:tc>
          <w:tcPr>
            <w:tcW w:w="365" w:type="pct"/>
            <w:vMerge/>
            <w:tcMar>
              <w:left w:w="28" w:type="dxa"/>
              <w:right w:w="28" w:type="dxa"/>
            </w:tcMar>
            <w:vAlign w:val="center"/>
          </w:tcPr>
          <w:p w14:paraId="14A1B0DB" w14:textId="77777777" w:rsidR="00B0005F" w:rsidRPr="008A2411" w:rsidRDefault="00B0005F">
            <w:pPr>
              <w:pStyle w:val="affffffffffff2"/>
              <w:rPr>
                <w:rFonts w:ascii="Times New Roman"/>
                <w:color w:val="000000" w:themeColor="text1"/>
              </w:rPr>
            </w:pPr>
          </w:p>
        </w:tc>
        <w:tc>
          <w:tcPr>
            <w:tcW w:w="583" w:type="pct"/>
            <w:vMerge/>
            <w:tcMar>
              <w:left w:w="28" w:type="dxa"/>
              <w:right w:w="28" w:type="dxa"/>
            </w:tcMar>
            <w:vAlign w:val="center"/>
          </w:tcPr>
          <w:p w14:paraId="1A0A6C7F" w14:textId="77777777" w:rsidR="00B0005F" w:rsidRPr="008A2411" w:rsidRDefault="00B0005F">
            <w:pPr>
              <w:pStyle w:val="affffffffffff2"/>
              <w:rPr>
                <w:rFonts w:ascii="Times New Roman"/>
                <w:color w:val="000000" w:themeColor="text1"/>
              </w:rPr>
            </w:pPr>
          </w:p>
        </w:tc>
        <w:tc>
          <w:tcPr>
            <w:tcW w:w="1750" w:type="pct"/>
            <w:tcMar>
              <w:left w:w="28" w:type="dxa"/>
              <w:right w:w="28" w:type="dxa"/>
            </w:tcMar>
            <w:vAlign w:val="center"/>
          </w:tcPr>
          <w:p w14:paraId="1CF0FAB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闪蒸罐，</w:t>
            </w:r>
            <w:r w:rsidRPr="008A2411">
              <w:rPr>
                <w:rFonts w:ascii="Times New Roman"/>
                <w:color w:val="000000" w:themeColor="text1"/>
                <w:szCs w:val="21"/>
              </w:rPr>
              <w:t>Φ1200×5000</w:t>
            </w:r>
            <w:r w:rsidRPr="008A2411">
              <w:rPr>
                <w:rFonts w:ascii="Times New Roman"/>
                <w:color w:val="000000" w:themeColor="text1"/>
                <w:szCs w:val="21"/>
              </w:rPr>
              <w:t>，</w:t>
            </w:r>
            <w:r w:rsidRPr="008A2411">
              <w:rPr>
                <w:rFonts w:ascii="Times New Roman"/>
                <w:color w:val="000000" w:themeColor="text1"/>
              </w:rPr>
              <w:t>在线溶液容积（约占总容积</w:t>
            </w:r>
            <w:r w:rsidRPr="008A2411">
              <w:rPr>
                <w:rFonts w:ascii="Times New Roman"/>
                <w:color w:val="000000" w:themeColor="text1"/>
              </w:rPr>
              <w:t>20%</w:t>
            </w:r>
            <w:r w:rsidRPr="008A2411">
              <w:rPr>
                <w:rFonts w:ascii="Times New Roman"/>
                <w:color w:val="000000" w:themeColor="text1"/>
              </w:rPr>
              <w:t>）</w:t>
            </w:r>
            <w:r w:rsidRPr="008A2411">
              <w:rPr>
                <w:rFonts w:ascii="Times New Roman"/>
                <w:color w:val="000000" w:themeColor="text1"/>
              </w:rPr>
              <w:t>1.13m</w:t>
            </w:r>
            <w:r w:rsidRPr="008A2411">
              <w:rPr>
                <w:rFonts w:ascii="Times New Roman"/>
                <w:color w:val="000000" w:themeColor="text1"/>
                <w:vertAlign w:val="superscript"/>
              </w:rPr>
              <w:t>3</w:t>
            </w:r>
          </w:p>
        </w:tc>
        <w:tc>
          <w:tcPr>
            <w:tcW w:w="364" w:type="pct"/>
            <w:tcMar>
              <w:left w:w="28" w:type="dxa"/>
              <w:right w:w="28" w:type="dxa"/>
            </w:tcMar>
            <w:vAlign w:val="center"/>
          </w:tcPr>
          <w:p w14:paraId="63CDEE6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w:t>
            </w:r>
          </w:p>
        </w:tc>
        <w:tc>
          <w:tcPr>
            <w:tcW w:w="656" w:type="pct"/>
            <w:tcMar>
              <w:left w:w="28" w:type="dxa"/>
              <w:right w:w="28" w:type="dxa"/>
            </w:tcMar>
            <w:vAlign w:val="center"/>
          </w:tcPr>
          <w:p w14:paraId="6E3FD5A8" w14:textId="77777777" w:rsidR="00B0005F" w:rsidRPr="008A2411" w:rsidRDefault="00000000">
            <w:pPr>
              <w:pStyle w:val="affffffffffff2"/>
              <w:rPr>
                <w:rFonts w:ascii="Times New Roman"/>
                <w:color w:val="000000" w:themeColor="text1"/>
              </w:rPr>
            </w:pPr>
            <w:r w:rsidRPr="008A2411">
              <w:rPr>
                <w:rFonts w:ascii="Times New Roman"/>
                <w:color w:val="000000" w:themeColor="text1"/>
                <w:szCs w:val="21"/>
                <w:shd w:val="clear" w:color="auto" w:fill="FFFFFF"/>
              </w:rPr>
              <w:t>碳钢</w:t>
            </w:r>
          </w:p>
        </w:tc>
        <w:tc>
          <w:tcPr>
            <w:tcW w:w="640" w:type="pct"/>
            <w:vMerge/>
            <w:tcMar>
              <w:left w:w="28" w:type="dxa"/>
              <w:right w:w="28" w:type="dxa"/>
            </w:tcMar>
            <w:vAlign w:val="center"/>
          </w:tcPr>
          <w:p w14:paraId="21F491FB" w14:textId="77777777" w:rsidR="00B0005F" w:rsidRPr="008A2411" w:rsidRDefault="00B0005F">
            <w:pPr>
              <w:pStyle w:val="affffffffffff2"/>
              <w:rPr>
                <w:rFonts w:ascii="Times New Roman"/>
                <w:color w:val="000000" w:themeColor="text1"/>
              </w:rPr>
            </w:pPr>
          </w:p>
        </w:tc>
        <w:tc>
          <w:tcPr>
            <w:tcW w:w="640" w:type="pct"/>
            <w:tcMar>
              <w:left w:w="28" w:type="dxa"/>
              <w:right w:w="28" w:type="dxa"/>
            </w:tcMar>
            <w:vAlign w:val="center"/>
          </w:tcPr>
          <w:p w14:paraId="3E911F14" w14:textId="77777777" w:rsidR="00B0005F" w:rsidRPr="008A2411" w:rsidRDefault="00000000">
            <w:pPr>
              <w:rPr>
                <w:rFonts w:ascii="Times New Roman"/>
                <w:color w:val="000000" w:themeColor="text1"/>
              </w:rPr>
            </w:pPr>
            <w:r w:rsidRPr="008A2411">
              <w:rPr>
                <w:rFonts w:ascii="Times New Roman"/>
                <w:color w:val="000000" w:themeColor="text1"/>
              </w:rPr>
              <w:t>地上建筑</w:t>
            </w:r>
          </w:p>
        </w:tc>
      </w:tr>
      <w:tr w:rsidR="008A2411" w:rsidRPr="008A2411" w14:paraId="107D83F9" w14:textId="77777777">
        <w:tc>
          <w:tcPr>
            <w:tcW w:w="365" w:type="pct"/>
            <w:vMerge w:val="restart"/>
            <w:tcMar>
              <w:left w:w="28" w:type="dxa"/>
              <w:right w:w="28" w:type="dxa"/>
            </w:tcMar>
            <w:vAlign w:val="center"/>
          </w:tcPr>
          <w:p w14:paraId="2DB4F6C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公</w:t>
            </w:r>
            <w:proofErr w:type="gramStart"/>
            <w:r w:rsidRPr="008A2411">
              <w:rPr>
                <w:rFonts w:ascii="Times New Roman"/>
                <w:color w:val="000000" w:themeColor="text1"/>
              </w:rPr>
              <w:t>辅工程</w:t>
            </w:r>
            <w:proofErr w:type="gramEnd"/>
          </w:p>
        </w:tc>
        <w:tc>
          <w:tcPr>
            <w:tcW w:w="583" w:type="pct"/>
            <w:tcMar>
              <w:left w:w="28" w:type="dxa"/>
              <w:right w:w="28" w:type="dxa"/>
            </w:tcMar>
            <w:vAlign w:val="center"/>
          </w:tcPr>
          <w:p w14:paraId="126CF256" w14:textId="77777777" w:rsidR="00B0005F" w:rsidRPr="008A2411" w:rsidRDefault="00000000">
            <w:pPr>
              <w:pStyle w:val="affffffffffff2"/>
              <w:rPr>
                <w:rFonts w:ascii="Times New Roman"/>
                <w:color w:val="000000" w:themeColor="text1"/>
              </w:rPr>
            </w:pPr>
            <w:proofErr w:type="gramStart"/>
            <w:r w:rsidRPr="008A2411">
              <w:rPr>
                <w:rFonts w:ascii="Times New Roman"/>
                <w:color w:val="000000" w:themeColor="text1"/>
              </w:rPr>
              <w:t>空压及</w:t>
            </w:r>
            <w:proofErr w:type="gramEnd"/>
            <w:r w:rsidRPr="008A2411">
              <w:rPr>
                <w:rFonts w:ascii="Times New Roman"/>
                <w:color w:val="000000" w:themeColor="text1"/>
              </w:rPr>
              <w:t>水处理站</w:t>
            </w:r>
          </w:p>
        </w:tc>
        <w:tc>
          <w:tcPr>
            <w:tcW w:w="1750" w:type="pct"/>
            <w:tcMar>
              <w:left w:w="28" w:type="dxa"/>
              <w:right w:w="28" w:type="dxa"/>
            </w:tcMar>
            <w:vAlign w:val="center"/>
          </w:tcPr>
          <w:p w14:paraId="78999B3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脱盐水处理过程中，</w:t>
            </w:r>
            <w:proofErr w:type="gramStart"/>
            <w:r w:rsidRPr="008A2411">
              <w:rPr>
                <w:rFonts w:ascii="Times New Roman"/>
                <w:color w:val="000000" w:themeColor="text1"/>
              </w:rPr>
              <w:t>反渗透膜浓液</w:t>
            </w:r>
            <w:proofErr w:type="gramEnd"/>
            <w:r w:rsidRPr="008A2411">
              <w:rPr>
                <w:rFonts w:ascii="Times New Roman"/>
                <w:color w:val="000000" w:themeColor="text1"/>
              </w:rPr>
              <w:t>罐，有效容积</w:t>
            </w:r>
            <w:r w:rsidRPr="008A2411">
              <w:rPr>
                <w:rFonts w:ascii="Times New Roman"/>
                <w:color w:val="000000" w:themeColor="text1"/>
              </w:rPr>
              <w:t>2m</w:t>
            </w:r>
            <w:r w:rsidRPr="008A2411">
              <w:rPr>
                <w:rFonts w:ascii="Times New Roman"/>
                <w:color w:val="000000" w:themeColor="text1"/>
                <w:vertAlign w:val="superscript"/>
              </w:rPr>
              <w:t>3</w:t>
            </w:r>
          </w:p>
        </w:tc>
        <w:tc>
          <w:tcPr>
            <w:tcW w:w="364" w:type="pct"/>
            <w:tcMar>
              <w:left w:w="28" w:type="dxa"/>
              <w:right w:w="28" w:type="dxa"/>
            </w:tcMar>
            <w:vAlign w:val="center"/>
          </w:tcPr>
          <w:p w14:paraId="37E576B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w:t>
            </w:r>
          </w:p>
        </w:tc>
        <w:tc>
          <w:tcPr>
            <w:tcW w:w="656" w:type="pct"/>
            <w:tcMar>
              <w:left w:w="28" w:type="dxa"/>
              <w:right w:w="28" w:type="dxa"/>
            </w:tcMar>
            <w:vAlign w:val="center"/>
          </w:tcPr>
          <w:p w14:paraId="7908E2A2" w14:textId="77777777" w:rsidR="00B0005F" w:rsidRPr="008A2411" w:rsidRDefault="00000000">
            <w:pPr>
              <w:pStyle w:val="affffffffffff2"/>
              <w:rPr>
                <w:rFonts w:ascii="Times New Roman"/>
                <w:color w:val="000000" w:themeColor="text1"/>
                <w:kern w:val="24"/>
                <w:szCs w:val="21"/>
              </w:rPr>
            </w:pPr>
            <w:r w:rsidRPr="008A2411">
              <w:rPr>
                <w:rFonts w:ascii="Times New Roman"/>
                <w:color w:val="000000" w:themeColor="text1"/>
                <w:szCs w:val="21"/>
                <w:shd w:val="clear" w:color="auto" w:fill="FFFFFF"/>
              </w:rPr>
              <w:t>碳钢</w:t>
            </w:r>
          </w:p>
        </w:tc>
        <w:tc>
          <w:tcPr>
            <w:tcW w:w="640" w:type="pct"/>
            <w:tcMar>
              <w:left w:w="28" w:type="dxa"/>
              <w:right w:w="28" w:type="dxa"/>
            </w:tcMar>
            <w:vAlign w:val="center"/>
          </w:tcPr>
          <w:p w14:paraId="64EB66F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Ca</w:t>
            </w:r>
            <w:r w:rsidRPr="008A2411">
              <w:rPr>
                <w:rFonts w:ascii="Times New Roman"/>
                <w:color w:val="000000" w:themeColor="text1"/>
                <w:vertAlign w:val="superscript"/>
              </w:rPr>
              <w:t>2+</w:t>
            </w:r>
            <w:r w:rsidRPr="008A2411">
              <w:rPr>
                <w:rFonts w:ascii="Times New Roman"/>
                <w:color w:val="000000" w:themeColor="text1"/>
              </w:rPr>
              <w:t>、</w:t>
            </w:r>
            <w:r w:rsidRPr="008A2411">
              <w:rPr>
                <w:rFonts w:ascii="Times New Roman"/>
                <w:color w:val="000000" w:themeColor="text1"/>
              </w:rPr>
              <w:t>Mg</w:t>
            </w:r>
            <w:r w:rsidRPr="008A2411">
              <w:rPr>
                <w:rFonts w:ascii="Times New Roman"/>
                <w:color w:val="000000" w:themeColor="text1"/>
                <w:vertAlign w:val="superscript"/>
              </w:rPr>
              <w:t>2+</w:t>
            </w:r>
            <w:r w:rsidRPr="008A2411">
              <w:rPr>
                <w:rFonts w:ascii="Times New Roman"/>
                <w:color w:val="000000" w:themeColor="text1"/>
              </w:rPr>
              <w:t>、、</w:t>
            </w:r>
            <w:r w:rsidRPr="008A2411">
              <w:rPr>
                <w:rFonts w:ascii="Times New Roman"/>
                <w:color w:val="000000" w:themeColor="text1"/>
              </w:rPr>
              <w:t>Na</w:t>
            </w:r>
            <w:r w:rsidRPr="008A2411">
              <w:rPr>
                <w:rFonts w:ascii="Times New Roman"/>
                <w:color w:val="000000" w:themeColor="text1"/>
                <w:vertAlign w:val="superscript"/>
              </w:rPr>
              <w:t>+</w:t>
            </w:r>
            <w:r w:rsidRPr="008A2411">
              <w:rPr>
                <w:rFonts w:ascii="Times New Roman"/>
                <w:color w:val="000000" w:themeColor="text1"/>
              </w:rPr>
              <w:t>、</w:t>
            </w:r>
            <w:r w:rsidRPr="008A2411">
              <w:rPr>
                <w:rFonts w:ascii="Times New Roman"/>
                <w:color w:val="000000" w:themeColor="text1"/>
              </w:rPr>
              <w:t>pH</w:t>
            </w:r>
            <w:r w:rsidRPr="008A2411">
              <w:rPr>
                <w:rFonts w:ascii="Times New Roman"/>
                <w:color w:val="000000" w:themeColor="text1"/>
              </w:rPr>
              <w:t>等</w:t>
            </w:r>
          </w:p>
        </w:tc>
        <w:tc>
          <w:tcPr>
            <w:tcW w:w="640" w:type="pct"/>
            <w:tcMar>
              <w:left w:w="28" w:type="dxa"/>
              <w:right w:w="28" w:type="dxa"/>
            </w:tcMar>
            <w:vAlign w:val="center"/>
          </w:tcPr>
          <w:p w14:paraId="35DA3DB1" w14:textId="77777777" w:rsidR="00B0005F" w:rsidRPr="008A2411" w:rsidRDefault="00000000">
            <w:pPr>
              <w:rPr>
                <w:rFonts w:ascii="Times New Roman"/>
                <w:color w:val="000000" w:themeColor="text1"/>
              </w:rPr>
            </w:pPr>
            <w:r w:rsidRPr="008A2411">
              <w:rPr>
                <w:rFonts w:ascii="Times New Roman"/>
                <w:color w:val="000000" w:themeColor="text1"/>
              </w:rPr>
              <w:t>地上建筑</w:t>
            </w:r>
          </w:p>
        </w:tc>
      </w:tr>
      <w:tr w:rsidR="008A2411" w:rsidRPr="008A2411" w14:paraId="312E7404" w14:textId="77777777">
        <w:tc>
          <w:tcPr>
            <w:tcW w:w="365" w:type="pct"/>
            <w:vMerge/>
            <w:tcMar>
              <w:left w:w="28" w:type="dxa"/>
              <w:right w:w="28" w:type="dxa"/>
            </w:tcMar>
            <w:vAlign w:val="center"/>
          </w:tcPr>
          <w:p w14:paraId="3A3CA4AD" w14:textId="77777777" w:rsidR="00B0005F" w:rsidRPr="008A2411" w:rsidRDefault="00B0005F">
            <w:pPr>
              <w:pStyle w:val="affffffffffff2"/>
              <w:rPr>
                <w:rFonts w:ascii="Times New Roman"/>
                <w:color w:val="000000" w:themeColor="text1"/>
              </w:rPr>
            </w:pPr>
          </w:p>
        </w:tc>
        <w:tc>
          <w:tcPr>
            <w:tcW w:w="583" w:type="pct"/>
            <w:tcMar>
              <w:left w:w="28" w:type="dxa"/>
              <w:right w:w="28" w:type="dxa"/>
            </w:tcMar>
            <w:vAlign w:val="center"/>
          </w:tcPr>
          <w:p w14:paraId="438643A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分析化验及器材间</w:t>
            </w:r>
          </w:p>
        </w:tc>
        <w:tc>
          <w:tcPr>
            <w:tcW w:w="1750" w:type="pct"/>
            <w:tcMar>
              <w:left w:w="28" w:type="dxa"/>
              <w:right w:w="28" w:type="dxa"/>
            </w:tcMar>
            <w:vAlign w:val="center"/>
          </w:tcPr>
          <w:p w14:paraId="10DF6B51" w14:textId="77777777" w:rsidR="00B0005F" w:rsidRPr="008A2411" w:rsidRDefault="00000000">
            <w:pPr>
              <w:pStyle w:val="affffffffffff2"/>
              <w:ind w:firstLine="480"/>
              <w:jc w:val="both"/>
              <w:rPr>
                <w:rFonts w:ascii="Times New Roman"/>
                <w:color w:val="000000" w:themeColor="text1"/>
              </w:rPr>
            </w:pPr>
            <w:r w:rsidRPr="008A2411">
              <w:rPr>
                <w:rFonts w:ascii="Times New Roman"/>
                <w:color w:val="000000" w:themeColor="text1"/>
              </w:rPr>
              <w:t>化验室，化验废水，</w:t>
            </w:r>
            <w:r w:rsidRPr="008A2411">
              <w:rPr>
                <w:rFonts w:ascii="Times New Roman"/>
                <w:color w:val="000000" w:themeColor="text1"/>
              </w:rPr>
              <w:t>1m</w:t>
            </w:r>
            <w:r w:rsidRPr="008A2411">
              <w:rPr>
                <w:rFonts w:ascii="Times New Roman"/>
                <w:color w:val="000000" w:themeColor="text1"/>
                <w:vertAlign w:val="superscript"/>
              </w:rPr>
              <w:t>3</w:t>
            </w:r>
          </w:p>
        </w:tc>
        <w:tc>
          <w:tcPr>
            <w:tcW w:w="364" w:type="pct"/>
            <w:tcMar>
              <w:left w:w="28" w:type="dxa"/>
              <w:right w:w="28" w:type="dxa"/>
            </w:tcMar>
            <w:vAlign w:val="center"/>
          </w:tcPr>
          <w:p w14:paraId="6624B4A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w:t>
            </w:r>
          </w:p>
        </w:tc>
        <w:tc>
          <w:tcPr>
            <w:tcW w:w="656" w:type="pct"/>
            <w:tcMar>
              <w:left w:w="28" w:type="dxa"/>
              <w:right w:w="28" w:type="dxa"/>
            </w:tcMar>
            <w:vAlign w:val="center"/>
          </w:tcPr>
          <w:p w14:paraId="293252CA" w14:textId="77777777" w:rsidR="00B0005F" w:rsidRPr="008A2411" w:rsidRDefault="00000000">
            <w:pPr>
              <w:pStyle w:val="affffffffffff2"/>
              <w:rPr>
                <w:rFonts w:ascii="Times New Roman"/>
                <w:color w:val="000000" w:themeColor="text1"/>
                <w:kern w:val="24"/>
                <w:szCs w:val="21"/>
              </w:rPr>
            </w:pPr>
            <w:r w:rsidRPr="008A2411">
              <w:rPr>
                <w:rFonts w:ascii="Times New Roman"/>
                <w:color w:val="000000" w:themeColor="text1"/>
                <w:kern w:val="24"/>
                <w:szCs w:val="21"/>
              </w:rPr>
              <w:t>PVC</w:t>
            </w:r>
          </w:p>
        </w:tc>
        <w:tc>
          <w:tcPr>
            <w:tcW w:w="640" w:type="pct"/>
            <w:tcMar>
              <w:left w:w="28" w:type="dxa"/>
              <w:right w:w="28" w:type="dxa"/>
            </w:tcMar>
            <w:vAlign w:val="center"/>
          </w:tcPr>
          <w:p w14:paraId="0A9EE21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pH</w:t>
            </w:r>
            <w:r w:rsidRPr="008A2411">
              <w:rPr>
                <w:rFonts w:ascii="Times New Roman"/>
                <w:color w:val="000000" w:themeColor="text1"/>
              </w:rPr>
              <w:t>等</w:t>
            </w:r>
          </w:p>
        </w:tc>
        <w:tc>
          <w:tcPr>
            <w:tcW w:w="640" w:type="pct"/>
            <w:tcMar>
              <w:left w:w="28" w:type="dxa"/>
              <w:right w:w="28" w:type="dxa"/>
            </w:tcMar>
            <w:vAlign w:val="center"/>
          </w:tcPr>
          <w:p w14:paraId="0C54EDAB" w14:textId="77777777" w:rsidR="00B0005F" w:rsidRPr="008A2411" w:rsidRDefault="00000000">
            <w:pPr>
              <w:rPr>
                <w:rFonts w:ascii="Times New Roman"/>
                <w:color w:val="000000" w:themeColor="text1"/>
              </w:rPr>
            </w:pPr>
            <w:r w:rsidRPr="008A2411">
              <w:rPr>
                <w:rFonts w:ascii="Times New Roman"/>
                <w:color w:val="000000" w:themeColor="text1"/>
              </w:rPr>
              <w:t>地上建筑</w:t>
            </w:r>
          </w:p>
        </w:tc>
      </w:tr>
      <w:tr w:rsidR="008A2411" w:rsidRPr="008A2411" w14:paraId="3BFC06A2" w14:textId="77777777">
        <w:tc>
          <w:tcPr>
            <w:tcW w:w="365" w:type="pct"/>
            <w:vMerge/>
            <w:tcMar>
              <w:left w:w="28" w:type="dxa"/>
              <w:right w:w="28" w:type="dxa"/>
            </w:tcMar>
            <w:vAlign w:val="center"/>
          </w:tcPr>
          <w:p w14:paraId="5E258E73" w14:textId="77777777" w:rsidR="00B0005F" w:rsidRPr="008A2411" w:rsidRDefault="00B0005F">
            <w:pPr>
              <w:pStyle w:val="affffffffffff2"/>
              <w:ind w:firstLine="480"/>
              <w:rPr>
                <w:rFonts w:ascii="Times New Roman"/>
                <w:color w:val="000000" w:themeColor="text1"/>
              </w:rPr>
            </w:pPr>
          </w:p>
        </w:tc>
        <w:tc>
          <w:tcPr>
            <w:tcW w:w="583" w:type="pct"/>
            <w:tcMar>
              <w:left w:w="28" w:type="dxa"/>
              <w:right w:w="28" w:type="dxa"/>
            </w:tcMar>
            <w:vAlign w:val="center"/>
          </w:tcPr>
          <w:p w14:paraId="61D6B92D" w14:textId="77777777" w:rsidR="00B0005F" w:rsidRPr="008A2411" w:rsidRDefault="00000000">
            <w:pPr>
              <w:pStyle w:val="affffffffffff2"/>
              <w:ind w:firstLine="480"/>
              <w:rPr>
                <w:rFonts w:ascii="Times New Roman"/>
                <w:color w:val="000000" w:themeColor="text1"/>
              </w:rPr>
            </w:pPr>
            <w:r w:rsidRPr="008A2411">
              <w:rPr>
                <w:rFonts w:ascii="Times New Roman"/>
                <w:color w:val="000000" w:themeColor="text1"/>
              </w:rPr>
              <w:t>导热油系统</w:t>
            </w:r>
          </w:p>
        </w:tc>
        <w:tc>
          <w:tcPr>
            <w:tcW w:w="1750" w:type="pct"/>
            <w:tcMar>
              <w:left w:w="28" w:type="dxa"/>
              <w:right w:w="28" w:type="dxa"/>
            </w:tcMar>
            <w:vAlign w:val="center"/>
          </w:tcPr>
          <w:p w14:paraId="058AE6AB" w14:textId="77777777" w:rsidR="00B0005F" w:rsidRPr="008A2411" w:rsidRDefault="00000000">
            <w:pPr>
              <w:pStyle w:val="affffffffffff2"/>
              <w:jc w:val="both"/>
              <w:rPr>
                <w:rFonts w:ascii="Times New Roman"/>
                <w:color w:val="000000" w:themeColor="text1"/>
              </w:rPr>
            </w:pPr>
            <w:r w:rsidRPr="008A2411">
              <w:rPr>
                <w:rFonts w:ascii="Times New Roman"/>
                <w:color w:val="000000" w:themeColor="text1"/>
              </w:rPr>
              <w:t>导热油炉，油炉及管线导热油总量约</w:t>
            </w:r>
            <w:r w:rsidRPr="008A2411">
              <w:rPr>
                <w:rFonts w:ascii="Times New Roman"/>
                <w:color w:val="000000" w:themeColor="text1"/>
              </w:rPr>
              <w:t>25t</w:t>
            </w:r>
            <w:r w:rsidRPr="008A2411">
              <w:rPr>
                <w:rFonts w:ascii="Times New Roman"/>
                <w:color w:val="000000" w:themeColor="text1"/>
              </w:rPr>
              <w:t>，导热油炉约占一半即</w:t>
            </w:r>
            <w:r w:rsidRPr="008A2411">
              <w:rPr>
                <w:rFonts w:ascii="Times New Roman"/>
                <w:color w:val="000000" w:themeColor="text1"/>
              </w:rPr>
              <w:t>12.5t</w:t>
            </w:r>
          </w:p>
        </w:tc>
        <w:tc>
          <w:tcPr>
            <w:tcW w:w="364" w:type="pct"/>
            <w:tcMar>
              <w:left w:w="28" w:type="dxa"/>
              <w:right w:w="28" w:type="dxa"/>
            </w:tcMar>
            <w:vAlign w:val="center"/>
          </w:tcPr>
          <w:p w14:paraId="3CBFD024" w14:textId="77777777" w:rsidR="00B0005F" w:rsidRPr="008A2411" w:rsidRDefault="00000000">
            <w:pPr>
              <w:pStyle w:val="affffffffffff2"/>
              <w:jc w:val="both"/>
              <w:rPr>
                <w:rFonts w:ascii="Times New Roman"/>
                <w:color w:val="000000" w:themeColor="text1"/>
              </w:rPr>
            </w:pPr>
            <w:r w:rsidRPr="008A2411">
              <w:rPr>
                <w:rFonts w:ascii="Times New Roman"/>
                <w:color w:val="000000" w:themeColor="text1"/>
              </w:rPr>
              <w:t>2</w:t>
            </w:r>
            <w:r w:rsidRPr="008A2411">
              <w:rPr>
                <w:rFonts w:ascii="Times New Roman"/>
                <w:color w:val="000000" w:themeColor="text1"/>
              </w:rPr>
              <w:t>（</w:t>
            </w:r>
            <w:r w:rsidRPr="008A2411">
              <w:rPr>
                <w:rFonts w:ascii="Times New Roman"/>
                <w:color w:val="000000" w:themeColor="text1"/>
              </w:rPr>
              <w:t>1</w:t>
            </w:r>
            <w:r w:rsidRPr="008A2411">
              <w:rPr>
                <w:rFonts w:ascii="Times New Roman"/>
                <w:color w:val="000000" w:themeColor="text1"/>
              </w:rPr>
              <w:t>用</w:t>
            </w:r>
            <w:r w:rsidRPr="008A2411">
              <w:rPr>
                <w:rFonts w:ascii="Times New Roman"/>
                <w:color w:val="000000" w:themeColor="text1"/>
              </w:rPr>
              <w:t>1</w:t>
            </w:r>
            <w:r w:rsidRPr="008A2411">
              <w:rPr>
                <w:rFonts w:ascii="Times New Roman"/>
                <w:color w:val="000000" w:themeColor="text1"/>
              </w:rPr>
              <w:t>备）</w:t>
            </w:r>
          </w:p>
        </w:tc>
        <w:tc>
          <w:tcPr>
            <w:tcW w:w="656" w:type="pct"/>
            <w:tcMar>
              <w:left w:w="28" w:type="dxa"/>
              <w:right w:w="28" w:type="dxa"/>
            </w:tcMar>
            <w:vAlign w:val="center"/>
          </w:tcPr>
          <w:p w14:paraId="25A0BA64" w14:textId="77777777" w:rsidR="00B0005F" w:rsidRPr="008A2411" w:rsidRDefault="00000000">
            <w:pPr>
              <w:pStyle w:val="affffffffffff2"/>
              <w:rPr>
                <w:rFonts w:ascii="Times New Roman"/>
                <w:color w:val="000000" w:themeColor="text1"/>
                <w:kern w:val="24"/>
                <w:szCs w:val="21"/>
              </w:rPr>
            </w:pPr>
            <w:r w:rsidRPr="008A2411">
              <w:rPr>
                <w:rFonts w:ascii="Times New Roman"/>
                <w:color w:val="000000" w:themeColor="text1"/>
                <w:szCs w:val="21"/>
                <w:shd w:val="clear" w:color="auto" w:fill="FFFFFF"/>
              </w:rPr>
              <w:t>碳钢</w:t>
            </w:r>
          </w:p>
        </w:tc>
        <w:tc>
          <w:tcPr>
            <w:tcW w:w="640" w:type="pct"/>
            <w:tcMar>
              <w:left w:w="28" w:type="dxa"/>
              <w:right w:w="28" w:type="dxa"/>
            </w:tcMar>
            <w:vAlign w:val="center"/>
          </w:tcPr>
          <w:p w14:paraId="221B427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石油类</w:t>
            </w:r>
          </w:p>
        </w:tc>
        <w:tc>
          <w:tcPr>
            <w:tcW w:w="640" w:type="pct"/>
            <w:tcMar>
              <w:left w:w="28" w:type="dxa"/>
              <w:right w:w="28" w:type="dxa"/>
            </w:tcMar>
            <w:vAlign w:val="center"/>
          </w:tcPr>
          <w:p w14:paraId="0AD22C59" w14:textId="77777777" w:rsidR="00B0005F" w:rsidRPr="008A2411" w:rsidRDefault="00000000">
            <w:pPr>
              <w:rPr>
                <w:rFonts w:ascii="Times New Roman"/>
                <w:color w:val="000000" w:themeColor="text1"/>
              </w:rPr>
            </w:pPr>
            <w:r w:rsidRPr="008A2411">
              <w:rPr>
                <w:rFonts w:ascii="Times New Roman"/>
                <w:color w:val="000000" w:themeColor="text1"/>
              </w:rPr>
              <w:t>地上建筑</w:t>
            </w:r>
          </w:p>
        </w:tc>
      </w:tr>
      <w:tr w:rsidR="008A2411" w:rsidRPr="008A2411" w14:paraId="6E65F362" w14:textId="77777777">
        <w:trPr>
          <w:trHeight w:val="489"/>
        </w:trPr>
        <w:tc>
          <w:tcPr>
            <w:tcW w:w="365" w:type="pct"/>
            <w:vMerge w:val="restart"/>
            <w:tcMar>
              <w:left w:w="28" w:type="dxa"/>
              <w:right w:w="28" w:type="dxa"/>
            </w:tcMar>
            <w:vAlign w:val="center"/>
          </w:tcPr>
          <w:p w14:paraId="4E974673" w14:textId="77777777" w:rsidR="00B0005F" w:rsidRPr="008A2411" w:rsidRDefault="00000000">
            <w:pPr>
              <w:pStyle w:val="affffffffffff2"/>
              <w:ind w:firstLine="480"/>
              <w:rPr>
                <w:rFonts w:ascii="Times New Roman"/>
                <w:color w:val="000000" w:themeColor="text1"/>
              </w:rPr>
            </w:pPr>
            <w:r w:rsidRPr="008A2411">
              <w:rPr>
                <w:rFonts w:ascii="Times New Roman"/>
                <w:color w:val="000000" w:themeColor="text1"/>
              </w:rPr>
              <w:t>环保工程</w:t>
            </w:r>
          </w:p>
        </w:tc>
        <w:tc>
          <w:tcPr>
            <w:tcW w:w="583" w:type="pct"/>
            <w:tcMar>
              <w:left w:w="28" w:type="dxa"/>
              <w:right w:w="28" w:type="dxa"/>
            </w:tcMar>
            <w:vAlign w:val="center"/>
          </w:tcPr>
          <w:p w14:paraId="1C767C33" w14:textId="77777777" w:rsidR="00B0005F" w:rsidRPr="008A2411" w:rsidRDefault="00000000">
            <w:pPr>
              <w:pStyle w:val="affffffffffff2"/>
              <w:ind w:firstLine="480"/>
              <w:rPr>
                <w:rFonts w:ascii="Times New Roman"/>
                <w:color w:val="000000" w:themeColor="text1"/>
              </w:rPr>
            </w:pPr>
            <w:r w:rsidRPr="008A2411">
              <w:rPr>
                <w:rFonts w:ascii="Times New Roman"/>
                <w:color w:val="000000" w:themeColor="text1"/>
              </w:rPr>
              <w:t>污水处理站</w:t>
            </w:r>
          </w:p>
        </w:tc>
        <w:tc>
          <w:tcPr>
            <w:tcW w:w="1750" w:type="pct"/>
            <w:tcMar>
              <w:left w:w="28" w:type="dxa"/>
              <w:right w:w="28" w:type="dxa"/>
            </w:tcMar>
            <w:vAlign w:val="center"/>
          </w:tcPr>
          <w:p w14:paraId="088782E1" w14:textId="77777777" w:rsidR="00B0005F" w:rsidRPr="008A2411" w:rsidRDefault="00000000">
            <w:pPr>
              <w:pStyle w:val="affffffffffff2"/>
              <w:jc w:val="both"/>
              <w:rPr>
                <w:rFonts w:ascii="Times New Roman"/>
                <w:color w:val="000000" w:themeColor="text1"/>
              </w:rPr>
            </w:pPr>
            <w:r w:rsidRPr="008A2411">
              <w:rPr>
                <w:rFonts w:ascii="Times New Roman"/>
                <w:color w:val="000000" w:themeColor="text1"/>
                <w:spacing w:val="-2"/>
                <w:szCs w:val="21"/>
              </w:rPr>
              <w:t>新建</w:t>
            </w:r>
            <w:r w:rsidRPr="008A2411">
              <w:rPr>
                <w:rFonts w:ascii="Times New Roman"/>
                <w:color w:val="000000" w:themeColor="text1"/>
                <w:spacing w:val="-2"/>
                <w:szCs w:val="21"/>
              </w:rPr>
              <w:t>15m</w:t>
            </w:r>
            <w:r w:rsidRPr="008A2411">
              <w:rPr>
                <w:rFonts w:ascii="Times New Roman"/>
                <w:color w:val="000000" w:themeColor="text1"/>
                <w:spacing w:val="-2"/>
                <w:szCs w:val="21"/>
                <w:vertAlign w:val="superscript"/>
              </w:rPr>
              <w:t>3</w:t>
            </w:r>
            <w:r w:rsidRPr="008A2411">
              <w:rPr>
                <w:rFonts w:ascii="Times New Roman"/>
                <w:color w:val="000000" w:themeColor="text1"/>
                <w:spacing w:val="-2"/>
                <w:szCs w:val="21"/>
              </w:rPr>
              <w:t>/d</w:t>
            </w:r>
            <w:r w:rsidRPr="008A2411">
              <w:rPr>
                <w:rFonts w:ascii="Times New Roman"/>
                <w:color w:val="000000" w:themeColor="text1"/>
                <w:spacing w:val="-2"/>
                <w:szCs w:val="21"/>
              </w:rPr>
              <w:t>的废水处理站，采用</w:t>
            </w:r>
            <w:r w:rsidRPr="008A2411">
              <w:rPr>
                <w:rFonts w:ascii="Times New Roman" w:hint="eastAsia"/>
                <w:color w:val="000000" w:themeColor="text1"/>
                <w:spacing w:val="-2"/>
                <w:szCs w:val="21"/>
              </w:rPr>
              <w:t>“</w:t>
            </w:r>
            <w:r w:rsidRPr="008A2411">
              <w:rPr>
                <w:rFonts w:ascii="Times New Roman"/>
                <w:color w:val="000000" w:themeColor="text1"/>
                <w:spacing w:val="-2"/>
                <w:szCs w:val="21"/>
              </w:rPr>
              <w:t>二级生化</w:t>
            </w:r>
            <w:r w:rsidRPr="008A2411">
              <w:rPr>
                <w:rFonts w:ascii="Times New Roman"/>
                <w:color w:val="000000" w:themeColor="text1"/>
                <w:spacing w:val="-2"/>
                <w:szCs w:val="21"/>
              </w:rPr>
              <w:t>+TF</w:t>
            </w:r>
            <w:r w:rsidRPr="008A2411">
              <w:rPr>
                <w:rFonts w:ascii="Times New Roman"/>
                <w:color w:val="000000" w:themeColor="text1"/>
                <w:spacing w:val="-2"/>
                <w:szCs w:val="21"/>
              </w:rPr>
              <w:t>超滤</w:t>
            </w:r>
            <w:r w:rsidRPr="008A2411">
              <w:rPr>
                <w:rFonts w:ascii="Times New Roman" w:hint="eastAsia"/>
                <w:color w:val="000000" w:themeColor="text1"/>
                <w:spacing w:val="-2"/>
                <w:szCs w:val="21"/>
              </w:rPr>
              <w:t>”</w:t>
            </w:r>
            <w:r w:rsidRPr="008A2411">
              <w:rPr>
                <w:rFonts w:ascii="Times New Roman"/>
                <w:color w:val="000000" w:themeColor="text1"/>
                <w:spacing w:val="-2"/>
                <w:szCs w:val="21"/>
              </w:rPr>
              <w:t>工艺预处理，排入园区管网</w:t>
            </w:r>
            <w:r w:rsidRPr="008A2411">
              <w:rPr>
                <w:rFonts w:ascii="Times New Roman"/>
                <w:color w:val="000000" w:themeColor="text1"/>
              </w:rPr>
              <w:t>对生产废水及生活污水进行处理，包含格栅井、收集池、水解酸化池、生物接触氧化池、生物沉淀池、清水池、污泥浓缩池等，平均水深</w:t>
            </w:r>
            <w:r w:rsidRPr="008A2411">
              <w:rPr>
                <w:rFonts w:ascii="Times New Roman"/>
                <w:color w:val="000000" w:themeColor="text1"/>
              </w:rPr>
              <w:t>3m</w:t>
            </w:r>
            <w:r w:rsidRPr="008A2411">
              <w:rPr>
                <w:rFonts w:ascii="Times New Roman"/>
                <w:color w:val="000000" w:themeColor="text1"/>
              </w:rPr>
              <w:t>，总占地面积</w:t>
            </w:r>
            <w:r w:rsidRPr="008A2411">
              <w:rPr>
                <w:rFonts w:ascii="Times New Roman"/>
                <w:color w:val="000000" w:themeColor="text1"/>
              </w:rPr>
              <w:t>735m</w:t>
            </w:r>
            <w:r w:rsidRPr="008A2411">
              <w:rPr>
                <w:rFonts w:ascii="Times New Roman"/>
                <w:color w:val="000000" w:themeColor="text1"/>
                <w:vertAlign w:val="superscript"/>
              </w:rPr>
              <w:t>2</w:t>
            </w:r>
            <w:r w:rsidRPr="008A2411">
              <w:rPr>
                <w:rFonts w:ascii="Times New Roman"/>
                <w:color w:val="000000" w:themeColor="text1"/>
              </w:rPr>
              <w:t>。</w:t>
            </w:r>
          </w:p>
        </w:tc>
        <w:tc>
          <w:tcPr>
            <w:tcW w:w="364" w:type="pct"/>
            <w:tcMar>
              <w:left w:w="28" w:type="dxa"/>
              <w:right w:w="28" w:type="dxa"/>
            </w:tcMar>
            <w:vAlign w:val="center"/>
          </w:tcPr>
          <w:p w14:paraId="51B496C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w:t>
            </w:r>
          </w:p>
        </w:tc>
        <w:tc>
          <w:tcPr>
            <w:tcW w:w="656" w:type="pct"/>
            <w:tcMar>
              <w:left w:w="28" w:type="dxa"/>
              <w:right w:w="28" w:type="dxa"/>
            </w:tcMar>
            <w:vAlign w:val="center"/>
          </w:tcPr>
          <w:p w14:paraId="1808399D" w14:textId="77777777" w:rsidR="00B0005F" w:rsidRPr="008A2411" w:rsidRDefault="00000000">
            <w:pPr>
              <w:pStyle w:val="affffffffffff2"/>
              <w:rPr>
                <w:rFonts w:ascii="Times New Roman"/>
                <w:color w:val="000000" w:themeColor="text1"/>
              </w:rPr>
            </w:pPr>
            <w:r w:rsidRPr="008A2411">
              <w:rPr>
                <w:rFonts w:ascii="Times New Roman"/>
                <w:bCs/>
                <w:color w:val="000000" w:themeColor="text1"/>
                <w:szCs w:val="21"/>
                <w:lang w:bidi="ar"/>
              </w:rPr>
              <w:t>PVC</w:t>
            </w:r>
            <w:r w:rsidRPr="008A2411">
              <w:rPr>
                <w:rFonts w:ascii="Times New Roman"/>
                <w:bCs/>
                <w:color w:val="000000" w:themeColor="text1"/>
                <w:szCs w:val="21"/>
                <w:lang w:bidi="ar"/>
              </w:rPr>
              <w:t>或</w:t>
            </w:r>
            <w:r w:rsidRPr="008A2411">
              <w:rPr>
                <w:rFonts w:ascii="Times New Roman"/>
                <w:bCs/>
                <w:color w:val="000000" w:themeColor="text1"/>
                <w:szCs w:val="21"/>
                <w:lang w:bidi="ar"/>
              </w:rPr>
              <w:t>SUS304</w:t>
            </w:r>
            <w:r w:rsidRPr="008A2411">
              <w:rPr>
                <w:rFonts w:ascii="Times New Roman"/>
                <w:bCs/>
                <w:color w:val="000000" w:themeColor="text1"/>
                <w:szCs w:val="21"/>
                <w:lang w:bidi="ar"/>
              </w:rPr>
              <w:t>；</w:t>
            </w:r>
            <w:r w:rsidRPr="008A2411">
              <w:rPr>
                <w:rFonts w:ascii="Times New Roman"/>
                <w:color w:val="000000" w:themeColor="text1"/>
              </w:rPr>
              <w:t>钢筋混凝土</w:t>
            </w:r>
          </w:p>
        </w:tc>
        <w:tc>
          <w:tcPr>
            <w:tcW w:w="640" w:type="pct"/>
            <w:vMerge w:val="restart"/>
            <w:tcMar>
              <w:left w:w="28" w:type="dxa"/>
              <w:right w:w="28" w:type="dxa"/>
            </w:tcMar>
            <w:vAlign w:val="center"/>
          </w:tcPr>
          <w:p w14:paraId="0E970B2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COD</w:t>
            </w:r>
            <w:r w:rsidRPr="008A2411">
              <w:rPr>
                <w:rFonts w:ascii="Times New Roman"/>
                <w:color w:val="000000" w:themeColor="text1"/>
              </w:rPr>
              <w:t>、石油类、</w:t>
            </w:r>
            <w:r w:rsidRPr="008A2411">
              <w:rPr>
                <w:rFonts w:ascii="Times New Roman"/>
                <w:color w:val="000000" w:themeColor="text1"/>
              </w:rPr>
              <w:t>SS</w:t>
            </w:r>
            <w:r w:rsidRPr="008A2411">
              <w:rPr>
                <w:rFonts w:ascii="Times New Roman"/>
                <w:color w:val="000000" w:themeColor="text1"/>
              </w:rPr>
              <w:t>和氨氮等</w:t>
            </w:r>
          </w:p>
        </w:tc>
        <w:tc>
          <w:tcPr>
            <w:tcW w:w="640" w:type="pct"/>
            <w:tcMar>
              <w:left w:w="28" w:type="dxa"/>
              <w:right w:w="28" w:type="dxa"/>
            </w:tcMar>
            <w:vAlign w:val="center"/>
          </w:tcPr>
          <w:p w14:paraId="5393F68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地下（半埋式）</w:t>
            </w:r>
          </w:p>
        </w:tc>
      </w:tr>
      <w:tr w:rsidR="008A2411" w:rsidRPr="008A2411" w14:paraId="74C4EBFC" w14:textId="77777777">
        <w:trPr>
          <w:trHeight w:val="91"/>
        </w:trPr>
        <w:tc>
          <w:tcPr>
            <w:tcW w:w="365" w:type="pct"/>
            <w:vMerge/>
            <w:tcMar>
              <w:left w:w="28" w:type="dxa"/>
              <w:right w:w="28" w:type="dxa"/>
            </w:tcMar>
            <w:vAlign w:val="center"/>
          </w:tcPr>
          <w:p w14:paraId="5836DBFA" w14:textId="77777777" w:rsidR="00B0005F" w:rsidRPr="008A2411" w:rsidRDefault="00B0005F">
            <w:pPr>
              <w:pStyle w:val="affffffffffff2"/>
              <w:rPr>
                <w:rFonts w:ascii="Times New Roman"/>
                <w:color w:val="000000" w:themeColor="text1"/>
              </w:rPr>
            </w:pPr>
          </w:p>
        </w:tc>
        <w:tc>
          <w:tcPr>
            <w:tcW w:w="583" w:type="pct"/>
            <w:tcMar>
              <w:left w:w="28" w:type="dxa"/>
              <w:right w:w="28" w:type="dxa"/>
            </w:tcMar>
            <w:vAlign w:val="center"/>
          </w:tcPr>
          <w:p w14:paraId="4BA1FCE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事故水池</w:t>
            </w:r>
          </w:p>
        </w:tc>
        <w:tc>
          <w:tcPr>
            <w:tcW w:w="1750" w:type="pct"/>
            <w:tcMar>
              <w:left w:w="28" w:type="dxa"/>
              <w:right w:w="28" w:type="dxa"/>
            </w:tcMar>
            <w:vAlign w:val="center"/>
          </w:tcPr>
          <w:p w14:paraId="206F35A2"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半地埋式事故池（兼做初期雨水收集池），容积</w:t>
            </w:r>
            <w:r w:rsidRPr="008A2411">
              <w:rPr>
                <w:rFonts w:ascii="Times New Roman" w:hint="eastAsia"/>
                <w:color w:val="000000" w:themeColor="text1"/>
                <w:szCs w:val="21"/>
              </w:rPr>
              <w:t>8</w:t>
            </w:r>
            <w:r w:rsidRPr="008A2411">
              <w:rPr>
                <w:rFonts w:ascii="Times New Roman"/>
                <w:color w:val="000000" w:themeColor="text1"/>
                <w:szCs w:val="21"/>
              </w:rPr>
              <w:t>00m</w:t>
            </w:r>
            <w:r w:rsidRPr="008A2411">
              <w:rPr>
                <w:rFonts w:ascii="Times New Roman"/>
                <w:color w:val="000000" w:themeColor="text1"/>
                <w:szCs w:val="21"/>
                <w:vertAlign w:val="superscript"/>
              </w:rPr>
              <w:t>3</w:t>
            </w:r>
            <w:r w:rsidRPr="008A2411">
              <w:rPr>
                <w:rFonts w:ascii="Times New Roman"/>
                <w:color w:val="000000" w:themeColor="text1"/>
                <w:szCs w:val="21"/>
              </w:rPr>
              <w:t>。</w:t>
            </w:r>
          </w:p>
        </w:tc>
        <w:tc>
          <w:tcPr>
            <w:tcW w:w="364" w:type="pct"/>
            <w:tcMar>
              <w:left w:w="28" w:type="dxa"/>
              <w:right w:w="28" w:type="dxa"/>
            </w:tcMar>
            <w:vAlign w:val="center"/>
          </w:tcPr>
          <w:p w14:paraId="65693EE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w:t>
            </w:r>
          </w:p>
        </w:tc>
        <w:tc>
          <w:tcPr>
            <w:tcW w:w="656" w:type="pct"/>
            <w:tcMar>
              <w:left w:w="28" w:type="dxa"/>
              <w:right w:w="28" w:type="dxa"/>
            </w:tcMar>
            <w:vAlign w:val="center"/>
          </w:tcPr>
          <w:p w14:paraId="119FD0F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钢筋混凝土</w:t>
            </w:r>
          </w:p>
        </w:tc>
        <w:tc>
          <w:tcPr>
            <w:tcW w:w="640" w:type="pct"/>
            <w:vMerge/>
            <w:tcMar>
              <w:left w:w="28" w:type="dxa"/>
              <w:right w:w="28" w:type="dxa"/>
            </w:tcMar>
            <w:vAlign w:val="center"/>
          </w:tcPr>
          <w:p w14:paraId="3B210094" w14:textId="77777777" w:rsidR="00B0005F" w:rsidRPr="008A2411" w:rsidRDefault="00B0005F">
            <w:pPr>
              <w:pStyle w:val="affffffffffff2"/>
              <w:rPr>
                <w:rFonts w:ascii="Times New Roman"/>
                <w:color w:val="000000" w:themeColor="text1"/>
              </w:rPr>
            </w:pPr>
          </w:p>
        </w:tc>
        <w:tc>
          <w:tcPr>
            <w:tcW w:w="640" w:type="pct"/>
            <w:tcMar>
              <w:left w:w="28" w:type="dxa"/>
              <w:right w:w="28" w:type="dxa"/>
            </w:tcMar>
            <w:vAlign w:val="center"/>
          </w:tcPr>
          <w:p w14:paraId="7C200DF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地下（半埋式）</w:t>
            </w:r>
          </w:p>
        </w:tc>
      </w:tr>
      <w:tr w:rsidR="008A2411" w:rsidRPr="008A2411" w14:paraId="074E64DA" w14:textId="77777777">
        <w:tc>
          <w:tcPr>
            <w:tcW w:w="365" w:type="pct"/>
            <w:vMerge/>
            <w:tcMar>
              <w:left w:w="28" w:type="dxa"/>
              <w:right w:w="28" w:type="dxa"/>
            </w:tcMar>
            <w:vAlign w:val="center"/>
          </w:tcPr>
          <w:p w14:paraId="419E1D5B" w14:textId="77777777" w:rsidR="00B0005F" w:rsidRPr="008A2411" w:rsidRDefault="00B0005F">
            <w:pPr>
              <w:pStyle w:val="affffffffffff2"/>
              <w:rPr>
                <w:rFonts w:ascii="Times New Roman"/>
                <w:color w:val="000000" w:themeColor="text1"/>
              </w:rPr>
            </w:pPr>
          </w:p>
        </w:tc>
        <w:tc>
          <w:tcPr>
            <w:tcW w:w="583" w:type="pct"/>
            <w:tcMar>
              <w:left w:w="28" w:type="dxa"/>
              <w:right w:w="28" w:type="dxa"/>
            </w:tcMar>
            <w:vAlign w:val="center"/>
          </w:tcPr>
          <w:p w14:paraId="69D8FAC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危险废物暂存间</w:t>
            </w:r>
          </w:p>
        </w:tc>
        <w:tc>
          <w:tcPr>
            <w:tcW w:w="1750" w:type="pct"/>
            <w:tcMar>
              <w:left w:w="28" w:type="dxa"/>
              <w:right w:w="28" w:type="dxa"/>
            </w:tcMar>
            <w:vAlign w:val="center"/>
          </w:tcPr>
          <w:p w14:paraId="441AAD5E" w14:textId="77777777" w:rsidR="00B0005F" w:rsidRPr="008A2411" w:rsidRDefault="00000000">
            <w:pPr>
              <w:pStyle w:val="affffffffffff2"/>
              <w:rPr>
                <w:rFonts w:ascii="Times New Roman"/>
                <w:color w:val="000000" w:themeColor="text1"/>
                <w:szCs w:val="21"/>
              </w:rPr>
            </w:pPr>
            <w:r w:rsidRPr="008A2411">
              <w:rPr>
                <w:rFonts w:ascii="Times New Roman"/>
                <w:bCs/>
                <w:color w:val="000000" w:themeColor="text1"/>
                <w:kern w:val="0"/>
                <w:szCs w:val="21"/>
              </w:rPr>
              <w:t>对废活性炭、</w:t>
            </w:r>
            <w:proofErr w:type="gramStart"/>
            <w:r w:rsidRPr="008A2411">
              <w:rPr>
                <w:rFonts w:ascii="Times New Roman"/>
                <w:bCs/>
                <w:color w:val="000000" w:themeColor="text1"/>
                <w:kern w:val="0"/>
                <w:szCs w:val="21"/>
              </w:rPr>
              <w:t>废脱汞</w:t>
            </w:r>
            <w:proofErr w:type="gramEnd"/>
            <w:r w:rsidRPr="008A2411">
              <w:rPr>
                <w:rFonts w:ascii="Times New Roman"/>
                <w:bCs/>
                <w:color w:val="000000" w:themeColor="text1"/>
                <w:kern w:val="0"/>
                <w:szCs w:val="21"/>
              </w:rPr>
              <w:t>剂、废机油、化验间残液等定点分类收集，占地面积</w:t>
            </w:r>
            <w:r w:rsidRPr="008A2411">
              <w:rPr>
                <w:rFonts w:ascii="Times New Roman"/>
                <w:bCs/>
                <w:color w:val="000000" w:themeColor="text1"/>
                <w:kern w:val="0"/>
                <w:szCs w:val="21"/>
              </w:rPr>
              <w:t>96m</w:t>
            </w:r>
            <w:r w:rsidRPr="008A2411">
              <w:rPr>
                <w:rFonts w:ascii="Times New Roman"/>
                <w:bCs/>
                <w:color w:val="000000" w:themeColor="text1"/>
                <w:kern w:val="0"/>
                <w:szCs w:val="21"/>
                <w:vertAlign w:val="superscript"/>
              </w:rPr>
              <w:t>2</w:t>
            </w:r>
          </w:p>
        </w:tc>
        <w:tc>
          <w:tcPr>
            <w:tcW w:w="364" w:type="pct"/>
            <w:tcMar>
              <w:left w:w="28" w:type="dxa"/>
              <w:right w:w="28" w:type="dxa"/>
            </w:tcMar>
            <w:vAlign w:val="center"/>
          </w:tcPr>
          <w:p w14:paraId="4E79C4A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w:t>
            </w:r>
          </w:p>
        </w:tc>
        <w:tc>
          <w:tcPr>
            <w:tcW w:w="656" w:type="pct"/>
            <w:tcMar>
              <w:left w:w="28" w:type="dxa"/>
              <w:right w:w="28" w:type="dxa"/>
            </w:tcMar>
            <w:vAlign w:val="center"/>
          </w:tcPr>
          <w:p w14:paraId="3079AB1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钢筋混凝土</w:t>
            </w:r>
          </w:p>
        </w:tc>
        <w:tc>
          <w:tcPr>
            <w:tcW w:w="640" w:type="pct"/>
            <w:tcMar>
              <w:left w:w="28" w:type="dxa"/>
              <w:right w:w="28" w:type="dxa"/>
            </w:tcMar>
            <w:vAlign w:val="center"/>
          </w:tcPr>
          <w:p w14:paraId="46A526D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pH</w:t>
            </w:r>
            <w:r w:rsidRPr="008A2411">
              <w:rPr>
                <w:rFonts w:ascii="Times New Roman"/>
                <w:color w:val="000000" w:themeColor="text1"/>
              </w:rPr>
              <w:t>、石油类等</w:t>
            </w:r>
          </w:p>
        </w:tc>
        <w:tc>
          <w:tcPr>
            <w:tcW w:w="640" w:type="pct"/>
            <w:tcMar>
              <w:left w:w="28" w:type="dxa"/>
              <w:right w:w="28" w:type="dxa"/>
            </w:tcMar>
            <w:vAlign w:val="center"/>
          </w:tcPr>
          <w:p w14:paraId="48D0A4C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地上建筑</w:t>
            </w:r>
          </w:p>
        </w:tc>
      </w:tr>
    </w:tbl>
    <w:p w14:paraId="657FAAA7" w14:textId="77777777" w:rsidR="00B0005F" w:rsidRPr="008A2411" w:rsidRDefault="00000000">
      <w:pPr>
        <w:pStyle w:val="42"/>
        <w:spacing w:before="0" w:after="0" w:line="360" w:lineRule="auto"/>
        <w:rPr>
          <w:rFonts w:ascii="Times New Roman" w:hAnsi="Times New Roman"/>
          <w:color w:val="000000" w:themeColor="text1"/>
          <w:sz w:val="24"/>
          <w:szCs w:val="24"/>
        </w:rPr>
      </w:pPr>
      <w:r w:rsidRPr="008A2411">
        <w:rPr>
          <w:rFonts w:ascii="Times New Roman" w:hAnsi="Times New Roman"/>
          <w:color w:val="000000" w:themeColor="text1"/>
          <w:sz w:val="24"/>
          <w:szCs w:val="24"/>
          <w:lang w:bidi="en-US"/>
        </w:rPr>
        <w:t>5.2.3.3</w:t>
      </w:r>
      <w:r w:rsidRPr="008A2411">
        <w:rPr>
          <w:rFonts w:ascii="Times New Roman" w:hAnsi="Times New Roman" w:hint="eastAsia"/>
          <w:color w:val="000000" w:themeColor="text1"/>
          <w:sz w:val="24"/>
          <w:szCs w:val="24"/>
          <w:lang w:bidi="en-US"/>
        </w:rPr>
        <w:t>地下评价部分</w:t>
      </w:r>
      <w:r w:rsidRPr="008A2411">
        <w:rPr>
          <w:rFonts w:ascii="Times New Roman" w:hAnsi="Times New Roman"/>
          <w:color w:val="000000" w:themeColor="text1"/>
          <w:sz w:val="24"/>
          <w:szCs w:val="24"/>
          <w:lang w:bidi="en-US"/>
        </w:rPr>
        <w:t>工程分析</w:t>
      </w:r>
      <w:bookmarkStart w:id="423" w:name="_Toc317876412"/>
      <w:bookmarkStart w:id="424" w:name="_Toc317876338"/>
      <w:bookmarkStart w:id="425" w:name="_Toc306211321"/>
      <w:bookmarkStart w:id="426" w:name="_Toc327221716"/>
      <w:bookmarkStart w:id="427" w:name="_Toc317876083"/>
      <w:bookmarkStart w:id="428" w:name="_Toc317876264"/>
      <w:bookmarkStart w:id="429" w:name="_Toc317974778"/>
    </w:p>
    <w:bookmarkEnd w:id="423"/>
    <w:bookmarkEnd w:id="424"/>
    <w:bookmarkEnd w:id="425"/>
    <w:bookmarkEnd w:id="426"/>
    <w:bookmarkEnd w:id="427"/>
    <w:bookmarkEnd w:id="428"/>
    <w:bookmarkEnd w:id="429"/>
    <w:p w14:paraId="6DC2AFFE" w14:textId="77777777" w:rsidR="00B0005F" w:rsidRPr="008A2411" w:rsidRDefault="00000000">
      <w:pPr>
        <w:adjustRightInd w:val="0"/>
        <w:snapToGrid w:val="0"/>
        <w:spacing w:line="360" w:lineRule="auto"/>
        <w:ind w:firstLine="241"/>
        <w:rPr>
          <w:rFonts w:ascii="Times New Roman"/>
          <w:color w:val="000000" w:themeColor="text1"/>
          <w:szCs w:val="24"/>
        </w:rPr>
      </w:pPr>
      <w:r w:rsidRPr="008A2411">
        <w:rPr>
          <w:rFonts w:ascii="Times New Roman"/>
          <w:color w:val="000000" w:themeColor="text1"/>
          <w:szCs w:val="24"/>
        </w:rPr>
        <w:t>（一）</w:t>
      </w:r>
      <w:proofErr w:type="gramStart"/>
      <w:r w:rsidRPr="008A2411">
        <w:rPr>
          <w:rFonts w:ascii="Times New Roman"/>
          <w:color w:val="000000" w:themeColor="text1"/>
          <w:szCs w:val="24"/>
        </w:rPr>
        <w:t>产污环节</w:t>
      </w:r>
      <w:proofErr w:type="gramEnd"/>
      <w:r w:rsidRPr="008A2411">
        <w:rPr>
          <w:rFonts w:ascii="Times New Roman"/>
          <w:color w:val="000000" w:themeColor="text1"/>
          <w:szCs w:val="24"/>
        </w:rPr>
        <w:t>分析</w:t>
      </w:r>
    </w:p>
    <w:p w14:paraId="60E68F9E" w14:textId="5E5D4F20" w:rsidR="00B0005F" w:rsidRPr="008A2411" w:rsidRDefault="00000000">
      <w:pPr>
        <w:adjustRightInd w:val="0"/>
        <w:snapToGrid w:val="0"/>
        <w:spacing w:line="360" w:lineRule="auto"/>
        <w:ind w:firstLine="480"/>
        <w:rPr>
          <w:rFonts w:ascii="Times New Roman"/>
          <w:color w:val="000000" w:themeColor="text1"/>
          <w:szCs w:val="24"/>
        </w:rPr>
      </w:pPr>
      <w:r w:rsidRPr="008A2411">
        <w:rPr>
          <w:rFonts w:ascii="Times New Roman"/>
          <w:color w:val="000000" w:themeColor="text1"/>
          <w:szCs w:val="24"/>
        </w:rPr>
        <w:t>根据《环境影响评价技术导则</w:t>
      </w:r>
      <w:r w:rsidRPr="008A2411">
        <w:rPr>
          <w:rFonts w:ascii="Times New Roman"/>
          <w:color w:val="000000" w:themeColor="text1"/>
          <w:szCs w:val="24"/>
        </w:rPr>
        <w:t xml:space="preserve">  </w:t>
      </w:r>
      <w:r w:rsidRPr="008A2411">
        <w:rPr>
          <w:rFonts w:ascii="Times New Roman"/>
          <w:color w:val="000000" w:themeColor="text1"/>
          <w:szCs w:val="24"/>
        </w:rPr>
        <w:t>地下水环境》（</w:t>
      </w:r>
      <w:r w:rsidRPr="008A2411">
        <w:rPr>
          <w:rFonts w:ascii="Times New Roman"/>
          <w:color w:val="000000" w:themeColor="text1"/>
          <w:szCs w:val="24"/>
        </w:rPr>
        <w:t>HJ610-2016</w:t>
      </w:r>
      <w:r w:rsidRPr="008A2411">
        <w:rPr>
          <w:rFonts w:ascii="Times New Roman"/>
          <w:color w:val="000000" w:themeColor="text1"/>
          <w:szCs w:val="24"/>
        </w:rPr>
        <w:t>）要求，本项目依托及新建构筑物均需采取相应的防渗措施。正常工况条件下，在采取防渗措施后，本项目涉及的各构筑物仅存在少量的跑、冒、滴、漏，对地下水环境影响较小，但在非正常运行状态下，受生产线设备老化及防渗系统等环保设施腐蚀等因素影响，生产溶液和生产废水</w:t>
      </w:r>
      <w:r w:rsidR="00AB2E38" w:rsidRPr="008A2411">
        <w:rPr>
          <w:rFonts w:ascii="Times New Roman"/>
          <w:color w:val="000000" w:themeColor="text1"/>
          <w:szCs w:val="24"/>
        </w:rPr>
        <w:t>泄漏</w:t>
      </w:r>
      <w:r w:rsidRPr="008A2411">
        <w:rPr>
          <w:rFonts w:ascii="Times New Roman"/>
          <w:color w:val="000000" w:themeColor="text1"/>
          <w:szCs w:val="24"/>
        </w:rPr>
        <w:t>并部分入渗含水层，将会对区内地下水水质造成影响。</w:t>
      </w:r>
    </w:p>
    <w:p w14:paraId="0820936B" w14:textId="77777777" w:rsidR="00B0005F" w:rsidRPr="008A2411" w:rsidRDefault="00000000">
      <w:pPr>
        <w:adjustRightInd w:val="0"/>
        <w:snapToGrid w:val="0"/>
        <w:spacing w:line="360" w:lineRule="auto"/>
        <w:ind w:firstLine="241"/>
        <w:rPr>
          <w:rFonts w:ascii="Times New Roman"/>
          <w:color w:val="000000" w:themeColor="text1"/>
          <w:szCs w:val="24"/>
        </w:rPr>
      </w:pPr>
      <w:r w:rsidRPr="008A2411">
        <w:rPr>
          <w:rFonts w:ascii="Times New Roman"/>
          <w:color w:val="000000" w:themeColor="text1"/>
          <w:szCs w:val="24"/>
        </w:rPr>
        <w:t>（二）地下水污染源分析</w:t>
      </w:r>
    </w:p>
    <w:p w14:paraId="64C41C60" w14:textId="77777777" w:rsidR="00B0005F" w:rsidRPr="008A2411" w:rsidRDefault="00000000">
      <w:pPr>
        <w:adjustRightInd w:val="0"/>
        <w:snapToGrid w:val="0"/>
        <w:spacing w:line="360" w:lineRule="auto"/>
        <w:ind w:firstLine="480"/>
        <w:rPr>
          <w:rFonts w:ascii="Times New Roman"/>
          <w:color w:val="000000" w:themeColor="text1"/>
        </w:rPr>
      </w:pPr>
      <w:bookmarkStart w:id="430" w:name="_Hlk68726896"/>
      <w:r w:rsidRPr="008A2411">
        <w:rPr>
          <w:rFonts w:ascii="Times New Roman"/>
          <w:color w:val="000000" w:themeColor="text1"/>
        </w:rPr>
        <w:lastRenderedPageBreak/>
        <w:t>本项目新征用地约</w:t>
      </w:r>
      <w:r w:rsidRPr="008A2411">
        <w:rPr>
          <w:rFonts w:ascii="Times New Roman"/>
          <w:color w:val="000000" w:themeColor="text1"/>
        </w:rPr>
        <w:t>132.02</w:t>
      </w:r>
      <w:r w:rsidRPr="008A2411">
        <w:rPr>
          <w:rFonts w:ascii="Times New Roman"/>
          <w:color w:val="000000" w:themeColor="text1"/>
        </w:rPr>
        <w:t>亩，新建</w:t>
      </w:r>
      <w:r w:rsidRPr="008A2411">
        <w:rPr>
          <w:rFonts w:ascii="Times New Roman"/>
          <w:color w:val="000000" w:themeColor="text1"/>
        </w:rPr>
        <w:t>100</w:t>
      </w:r>
      <w:r w:rsidRPr="008A2411">
        <w:rPr>
          <w:rFonts w:ascii="Times New Roman"/>
          <w:color w:val="000000" w:themeColor="text1"/>
        </w:rPr>
        <w:t>万方</w:t>
      </w:r>
      <w:r w:rsidRPr="008A2411">
        <w:rPr>
          <w:rFonts w:ascii="Times New Roman"/>
          <w:color w:val="000000" w:themeColor="text1"/>
        </w:rPr>
        <w:t>/</w:t>
      </w:r>
      <w:r w:rsidRPr="008A2411">
        <w:rPr>
          <w:rFonts w:ascii="Times New Roman"/>
          <w:color w:val="000000" w:themeColor="text1"/>
        </w:rPr>
        <w:t>天的天然气液化装置一套；一台</w:t>
      </w:r>
      <w:r w:rsidRPr="008A2411">
        <w:rPr>
          <w:rFonts w:ascii="Times New Roman"/>
          <w:color w:val="000000" w:themeColor="text1"/>
        </w:rPr>
        <w:t>20000</w:t>
      </w:r>
      <w:r w:rsidRPr="008A2411">
        <w:rPr>
          <w:rFonts w:ascii="Times New Roman"/>
          <w:color w:val="000000" w:themeColor="text1"/>
        </w:rPr>
        <w:t>立方液化天然气</w:t>
      </w:r>
      <w:proofErr w:type="gramStart"/>
      <w:r w:rsidRPr="008A2411">
        <w:rPr>
          <w:rFonts w:ascii="Times New Roman"/>
          <w:color w:val="000000" w:themeColor="text1"/>
        </w:rPr>
        <w:t>全容罐</w:t>
      </w:r>
      <w:proofErr w:type="gramEnd"/>
      <w:r w:rsidRPr="008A2411">
        <w:rPr>
          <w:rFonts w:ascii="Times New Roman"/>
          <w:color w:val="000000" w:themeColor="text1"/>
        </w:rPr>
        <w:t>；配套的公辅装置（</w:t>
      </w:r>
      <w:r w:rsidRPr="008A2411">
        <w:rPr>
          <w:rFonts w:ascii="Times New Roman"/>
          <w:color w:val="000000" w:themeColor="text1"/>
        </w:rPr>
        <w:t>LNG</w:t>
      </w:r>
      <w:r w:rsidRPr="008A2411">
        <w:rPr>
          <w:rFonts w:ascii="Times New Roman"/>
          <w:color w:val="000000" w:themeColor="text1"/>
        </w:rPr>
        <w:t>装车系统、加注区、空压站、软化水装置、循环水设施、联合变电所、控制室、地面火炬等）及安全环保设施；项目建成投产后可实现年产</w:t>
      </w:r>
      <w:r w:rsidRPr="008A2411">
        <w:rPr>
          <w:rFonts w:ascii="Times New Roman"/>
          <w:color w:val="000000" w:themeColor="text1"/>
        </w:rPr>
        <w:t>23</w:t>
      </w:r>
      <w:r w:rsidRPr="008A2411">
        <w:rPr>
          <w:rFonts w:ascii="Times New Roman"/>
          <w:color w:val="000000" w:themeColor="text1"/>
        </w:rPr>
        <w:t>万吨液化天然气产能。本项目各主要功能区可能产生地下水污染的项目组成包括：</w:t>
      </w:r>
    </w:p>
    <w:p w14:paraId="52818B08" w14:textId="77777777" w:rsidR="00B0005F" w:rsidRPr="008A2411" w:rsidRDefault="00000000">
      <w:pPr>
        <w:adjustRightInd w:val="0"/>
        <w:snapToGrid w:val="0"/>
        <w:spacing w:line="360" w:lineRule="auto"/>
        <w:ind w:firstLine="480"/>
        <w:rPr>
          <w:rFonts w:ascii="Times New Roman"/>
          <w:color w:val="000000" w:themeColor="text1"/>
        </w:rPr>
      </w:pPr>
      <w:r w:rsidRPr="008A2411">
        <w:rPr>
          <w:rFonts w:ascii="Times New Roman"/>
          <w:color w:val="000000" w:themeColor="text1"/>
          <w:szCs w:val="24"/>
        </w:rPr>
        <w:t>主体工程：</w:t>
      </w:r>
      <w:r w:rsidRPr="008A2411">
        <w:rPr>
          <w:rFonts w:ascii="Times New Roman"/>
          <w:color w:val="000000" w:themeColor="text1"/>
        </w:rPr>
        <w:t>原料气分离过滤单元废水储罐（</w:t>
      </w:r>
      <w:r w:rsidRPr="008A2411">
        <w:rPr>
          <w:rFonts w:ascii="Times New Roman"/>
          <w:color w:val="000000" w:themeColor="text1"/>
        </w:rPr>
        <w:t>5m</w:t>
      </w:r>
      <w:r w:rsidRPr="008A2411">
        <w:rPr>
          <w:rFonts w:ascii="Times New Roman"/>
          <w:color w:val="000000" w:themeColor="text1"/>
          <w:vertAlign w:val="superscript"/>
        </w:rPr>
        <w:t>3</w:t>
      </w:r>
      <w:r w:rsidRPr="008A2411">
        <w:rPr>
          <w:rFonts w:ascii="Times New Roman"/>
          <w:color w:val="000000" w:themeColor="text1"/>
        </w:rPr>
        <w:t>）；原料气净化脱酸单元吸收塔（在线</w:t>
      </w:r>
      <w:r w:rsidRPr="008A2411">
        <w:rPr>
          <w:rFonts w:ascii="Times New Roman"/>
          <w:color w:val="000000" w:themeColor="text1"/>
        </w:rPr>
        <w:t>MDEA</w:t>
      </w:r>
      <w:r w:rsidRPr="008A2411">
        <w:rPr>
          <w:rFonts w:ascii="Times New Roman"/>
          <w:color w:val="000000" w:themeColor="text1"/>
        </w:rPr>
        <w:t>溶液</w:t>
      </w:r>
      <w:r w:rsidRPr="008A2411">
        <w:rPr>
          <w:rFonts w:ascii="Times New Roman"/>
          <w:color w:val="000000" w:themeColor="text1"/>
        </w:rPr>
        <w:t>10.6m</w:t>
      </w:r>
      <w:r w:rsidRPr="008A2411">
        <w:rPr>
          <w:rFonts w:ascii="Times New Roman"/>
          <w:color w:val="000000" w:themeColor="text1"/>
          <w:vertAlign w:val="superscript"/>
        </w:rPr>
        <w:t>3</w:t>
      </w:r>
      <w:r w:rsidRPr="008A2411">
        <w:rPr>
          <w:rFonts w:ascii="Times New Roman"/>
          <w:color w:val="000000" w:themeColor="text1"/>
        </w:rPr>
        <w:t>）、原料气净化脱酸单元闪蒸罐（在线</w:t>
      </w:r>
      <w:r w:rsidRPr="008A2411">
        <w:rPr>
          <w:rFonts w:ascii="Times New Roman"/>
          <w:color w:val="000000" w:themeColor="text1"/>
        </w:rPr>
        <w:t>MDEA</w:t>
      </w:r>
      <w:r w:rsidRPr="008A2411">
        <w:rPr>
          <w:rFonts w:ascii="Times New Roman"/>
          <w:color w:val="000000" w:themeColor="text1"/>
        </w:rPr>
        <w:t>溶液</w:t>
      </w:r>
      <w:r w:rsidRPr="008A2411">
        <w:rPr>
          <w:rFonts w:ascii="Times New Roman"/>
          <w:color w:val="000000" w:themeColor="text1"/>
        </w:rPr>
        <w:t>1.13m</w:t>
      </w:r>
      <w:r w:rsidRPr="008A2411">
        <w:rPr>
          <w:rFonts w:ascii="Times New Roman"/>
          <w:color w:val="000000" w:themeColor="text1"/>
          <w:vertAlign w:val="superscript"/>
        </w:rPr>
        <w:t>3</w:t>
      </w:r>
      <w:r w:rsidRPr="008A2411">
        <w:rPr>
          <w:rFonts w:ascii="Times New Roman"/>
          <w:color w:val="000000" w:themeColor="text1"/>
        </w:rPr>
        <w:t>）；</w:t>
      </w:r>
    </w:p>
    <w:p w14:paraId="4EBF8AEC" w14:textId="77777777" w:rsidR="00B0005F" w:rsidRPr="008A2411" w:rsidRDefault="00000000">
      <w:pPr>
        <w:adjustRightInd w:val="0"/>
        <w:snapToGrid w:val="0"/>
        <w:spacing w:line="360" w:lineRule="auto"/>
        <w:ind w:firstLine="480"/>
        <w:rPr>
          <w:rFonts w:ascii="Times New Roman"/>
          <w:color w:val="000000" w:themeColor="text1"/>
        </w:rPr>
      </w:pPr>
      <w:r w:rsidRPr="008A2411">
        <w:rPr>
          <w:rFonts w:ascii="Times New Roman"/>
          <w:color w:val="000000" w:themeColor="text1"/>
        </w:rPr>
        <w:t>公辅工程：</w:t>
      </w:r>
      <w:proofErr w:type="gramStart"/>
      <w:r w:rsidRPr="008A2411">
        <w:rPr>
          <w:rFonts w:ascii="Times New Roman"/>
          <w:color w:val="000000" w:themeColor="text1"/>
        </w:rPr>
        <w:t>空压及</w:t>
      </w:r>
      <w:proofErr w:type="gramEnd"/>
      <w:r w:rsidRPr="008A2411">
        <w:rPr>
          <w:rFonts w:ascii="Times New Roman"/>
          <w:color w:val="000000" w:themeColor="text1"/>
        </w:rPr>
        <w:t>水处理站（软水处理浓液）、分析化验及器材间（化验室废水）、导热油系统（导热油炉导热油量约</w:t>
      </w:r>
      <w:r w:rsidRPr="008A2411">
        <w:rPr>
          <w:rFonts w:ascii="Times New Roman"/>
          <w:color w:val="000000" w:themeColor="text1"/>
        </w:rPr>
        <w:t>12.5t</w:t>
      </w:r>
      <w:r w:rsidRPr="008A2411">
        <w:rPr>
          <w:rFonts w:ascii="Times New Roman"/>
          <w:color w:val="000000" w:themeColor="text1"/>
        </w:rPr>
        <w:t>）；</w:t>
      </w:r>
    </w:p>
    <w:p w14:paraId="2541517C" w14:textId="77777777" w:rsidR="00B0005F" w:rsidRPr="008A2411" w:rsidRDefault="00000000">
      <w:pPr>
        <w:adjustRightInd w:val="0"/>
        <w:snapToGrid w:val="0"/>
        <w:spacing w:line="360" w:lineRule="auto"/>
        <w:ind w:firstLine="482"/>
        <w:rPr>
          <w:rFonts w:ascii="Times New Roman"/>
          <w:color w:val="000000" w:themeColor="text1"/>
          <w:szCs w:val="24"/>
        </w:rPr>
      </w:pPr>
      <w:r w:rsidRPr="008A2411">
        <w:rPr>
          <w:rFonts w:ascii="Times New Roman"/>
          <w:color w:val="000000" w:themeColor="text1"/>
          <w:szCs w:val="24"/>
        </w:rPr>
        <w:t>环保工程：</w:t>
      </w:r>
      <w:r w:rsidRPr="008A2411">
        <w:rPr>
          <w:rFonts w:ascii="Times New Roman"/>
          <w:color w:val="000000" w:themeColor="text1"/>
        </w:rPr>
        <w:t>污水处理站</w:t>
      </w:r>
      <w:r w:rsidRPr="008A2411">
        <w:rPr>
          <w:rFonts w:ascii="Times New Roman"/>
          <w:color w:val="000000" w:themeColor="text1"/>
          <w:szCs w:val="24"/>
        </w:rPr>
        <w:t>（总占地面积</w:t>
      </w:r>
      <w:r w:rsidRPr="008A2411">
        <w:rPr>
          <w:rFonts w:ascii="Times New Roman"/>
          <w:color w:val="000000" w:themeColor="text1"/>
          <w:szCs w:val="21"/>
        </w:rPr>
        <w:t>735m</w:t>
      </w:r>
      <w:r w:rsidRPr="008A2411">
        <w:rPr>
          <w:rFonts w:ascii="Times New Roman"/>
          <w:color w:val="000000" w:themeColor="text1"/>
          <w:szCs w:val="21"/>
          <w:vertAlign w:val="superscript"/>
        </w:rPr>
        <w:t>2</w:t>
      </w:r>
      <w:r w:rsidRPr="008A2411">
        <w:rPr>
          <w:rFonts w:ascii="Times New Roman"/>
          <w:color w:val="000000" w:themeColor="text1"/>
          <w:szCs w:val="21"/>
        </w:rPr>
        <w:t>，有效水深</w:t>
      </w:r>
      <w:r w:rsidRPr="008A2411">
        <w:rPr>
          <w:rFonts w:ascii="Times New Roman"/>
          <w:color w:val="000000" w:themeColor="text1"/>
          <w:szCs w:val="21"/>
        </w:rPr>
        <w:t>3m</w:t>
      </w:r>
      <w:r w:rsidRPr="008A2411">
        <w:rPr>
          <w:rFonts w:ascii="Times New Roman"/>
          <w:color w:val="000000" w:themeColor="text1"/>
          <w:szCs w:val="24"/>
        </w:rPr>
        <w:t>）</w:t>
      </w:r>
      <w:r w:rsidRPr="008A2411">
        <w:rPr>
          <w:rFonts w:ascii="Times New Roman"/>
          <w:color w:val="000000" w:themeColor="text1"/>
        </w:rPr>
        <w:t>、</w:t>
      </w:r>
      <w:r w:rsidRPr="008A2411">
        <w:rPr>
          <w:rFonts w:ascii="Times New Roman"/>
          <w:color w:val="000000" w:themeColor="text1"/>
          <w:szCs w:val="24"/>
        </w:rPr>
        <w:t>事故水池（</w:t>
      </w:r>
      <w:r w:rsidRPr="008A2411">
        <w:rPr>
          <w:rFonts w:ascii="Times New Roman" w:hint="eastAsia"/>
          <w:color w:val="000000" w:themeColor="text1"/>
          <w:szCs w:val="21"/>
        </w:rPr>
        <w:t>8</w:t>
      </w:r>
      <w:r w:rsidRPr="008A2411">
        <w:rPr>
          <w:rFonts w:ascii="Times New Roman"/>
          <w:color w:val="000000" w:themeColor="text1"/>
          <w:szCs w:val="21"/>
        </w:rPr>
        <w:t>00m</w:t>
      </w:r>
      <w:r w:rsidRPr="008A2411">
        <w:rPr>
          <w:rFonts w:ascii="Times New Roman"/>
          <w:color w:val="000000" w:themeColor="text1"/>
          <w:szCs w:val="21"/>
          <w:vertAlign w:val="superscript"/>
        </w:rPr>
        <w:t>3</w:t>
      </w:r>
      <w:r w:rsidRPr="008A2411">
        <w:rPr>
          <w:rFonts w:ascii="Times New Roman"/>
          <w:color w:val="000000" w:themeColor="text1"/>
          <w:szCs w:val="21"/>
        </w:rPr>
        <w:t>，有效水深</w:t>
      </w:r>
      <w:r w:rsidRPr="008A2411">
        <w:rPr>
          <w:rFonts w:ascii="Times New Roman"/>
          <w:color w:val="000000" w:themeColor="text1"/>
          <w:szCs w:val="21"/>
        </w:rPr>
        <w:t>3.0m</w:t>
      </w:r>
      <w:r w:rsidRPr="008A2411">
        <w:rPr>
          <w:rFonts w:ascii="Times New Roman"/>
          <w:color w:val="000000" w:themeColor="text1"/>
          <w:szCs w:val="24"/>
        </w:rPr>
        <w:t>）、危险废物暂存间。</w:t>
      </w:r>
      <w:bookmarkEnd w:id="430"/>
    </w:p>
    <w:p w14:paraId="55DFBC0A" w14:textId="77777777" w:rsidR="00B0005F" w:rsidRPr="008A2411" w:rsidRDefault="00000000">
      <w:pPr>
        <w:adjustRightInd w:val="0"/>
        <w:spacing w:line="360" w:lineRule="auto"/>
        <w:ind w:firstLine="241"/>
        <w:rPr>
          <w:rFonts w:ascii="Times New Roman"/>
          <w:color w:val="000000" w:themeColor="text1"/>
          <w:szCs w:val="24"/>
        </w:rPr>
      </w:pPr>
      <w:r w:rsidRPr="008A2411">
        <w:rPr>
          <w:rFonts w:ascii="Times New Roman"/>
          <w:color w:val="000000" w:themeColor="text1"/>
          <w:szCs w:val="24"/>
        </w:rPr>
        <w:t>（三）项目运行状况设计</w:t>
      </w:r>
    </w:p>
    <w:p w14:paraId="033DBC1B" w14:textId="77777777" w:rsidR="00B0005F" w:rsidRPr="008A2411" w:rsidRDefault="00000000">
      <w:pPr>
        <w:adjustRightInd w:val="0"/>
        <w:spacing w:line="360" w:lineRule="auto"/>
        <w:ind w:firstLine="482"/>
        <w:rPr>
          <w:rFonts w:ascii="Times New Roman"/>
          <w:b/>
          <w:bCs/>
          <w:color w:val="000000" w:themeColor="text1"/>
          <w:szCs w:val="24"/>
        </w:rPr>
      </w:pPr>
      <w:r w:rsidRPr="008A2411">
        <w:rPr>
          <w:rFonts w:ascii="Times New Roman"/>
          <w:b/>
          <w:bCs/>
          <w:color w:val="000000" w:themeColor="text1"/>
          <w:szCs w:val="24"/>
        </w:rPr>
        <w:t>1</w:t>
      </w:r>
      <w:r w:rsidRPr="008A2411">
        <w:rPr>
          <w:rFonts w:ascii="Times New Roman"/>
          <w:b/>
          <w:bCs/>
          <w:color w:val="000000" w:themeColor="text1"/>
          <w:szCs w:val="24"/>
        </w:rPr>
        <w:t>、泄漏情景设计</w:t>
      </w:r>
    </w:p>
    <w:p w14:paraId="7265FD92" w14:textId="77777777" w:rsidR="00B0005F" w:rsidRPr="008A2411" w:rsidRDefault="00000000">
      <w:pPr>
        <w:adjustRightInd w:val="0"/>
        <w:snapToGrid w:val="0"/>
        <w:spacing w:line="360" w:lineRule="auto"/>
        <w:ind w:firstLine="482"/>
        <w:rPr>
          <w:rFonts w:ascii="Times New Roman"/>
          <w:color w:val="000000" w:themeColor="text1"/>
          <w:szCs w:val="24"/>
        </w:rPr>
      </w:pPr>
      <w:r w:rsidRPr="008A2411">
        <w:rPr>
          <w:rFonts w:ascii="Times New Roman"/>
          <w:color w:val="000000" w:themeColor="text1"/>
          <w:szCs w:val="24"/>
        </w:rPr>
        <w:t>上述构筑物及地下水潜在污染源中，事故水池为非正常状况生产溶液及废水临时储存构筑物，平时为空置。</w:t>
      </w:r>
      <w:proofErr w:type="gramStart"/>
      <w:r w:rsidRPr="008A2411">
        <w:rPr>
          <w:rFonts w:ascii="Times New Roman"/>
          <w:color w:val="000000" w:themeColor="text1"/>
          <w:szCs w:val="24"/>
        </w:rPr>
        <w:t>危废暂存</w:t>
      </w:r>
      <w:proofErr w:type="gramEnd"/>
      <w:r w:rsidRPr="008A2411">
        <w:rPr>
          <w:rFonts w:ascii="Times New Roman"/>
          <w:color w:val="000000" w:themeColor="text1"/>
          <w:szCs w:val="24"/>
        </w:rPr>
        <w:t>间储存的危险废物采用小型钢制密闭容器储存；</w:t>
      </w:r>
      <w:r w:rsidRPr="008A2411">
        <w:rPr>
          <w:rFonts w:ascii="Times New Roman"/>
          <w:color w:val="000000" w:themeColor="text1"/>
        </w:rPr>
        <w:t>原料气分离过滤单元废水储罐日常有效</w:t>
      </w:r>
      <w:r w:rsidRPr="008A2411">
        <w:rPr>
          <w:rFonts w:ascii="Times New Roman"/>
          <w:color w:val="000000" w:themeColor="text1"/>
          <w:szCs w:val="24"/>
        </w:rPr>
        <w:t>容积有限，且废水水质较简单，收集后转运至污水站处理；</w:t>
      </w:r>
      <w:proofErr w:type="gramStart"/>
      <w:r w:rsidRPr="008A2411">
        <w:rPr>
          <w:rFonts w:ascii="Times New Roman"/>
          <w:color w:val="000000" w:themeColor="text1"/>
        </w:rPr>
        <w:t>空压及</w:t>
      </w:r>
      <w:proofErr w:type="gramEnd"/>
      <w:r w:rsidRPr="008A2411">
        <w:rPr>
          <w:rFonts w:ascii="Times New Roman"/>
          <w:color w:val="000000" w:themeColor="text1"/>
        </w:rPr>
        <w:t>水处理站软水处理浓液罐、分析化验及器材间化验废水桶等有效容积极其有限；上述污染源</w:t>
      </w:r>
      <w:r w:rsidRPr="008A2411">
        <w:rPr>
          <w:rFonts w:ascii="Times New Roman"/>
          <w:color w:val="000000" w:themeColor="text1"/>
          <w:szCs w:val="24"/>
        </w:rPr>
        <w:t>发生非正常状态泄漏量有限，形成水力梯度较小，污染地下水系统可能性较小，</w:t>
      </w:r>
      <w:proofErr w:type="gramStart"/>
      <w:r w:rsidRPr="008A2411">
        <w:rPr>
          <w:rFonts w:ascii="Times New Roman"/>
          <w:color w:val="000000" w:themeColor="text1"/>
          <w:szCs w:val="24"/>
        </w:rPr>
        <w:t>且环评要求</w:t>
      </w:r>
      <w:proofErr w:type="gramEnd"/>
      <w:r w:rsidRPr="008A2411">
        <w:rPr>
          <w:rFonts w:ascii="Times New Roman"/>
          <w:color w:val="000000" w:themeColor="text1"/>
          <w:szCs w:val="24"/>
        </w:rPr>
        <w:t>以上构筑物须采取相应防渗及地下水环境保护措施；在采取相应措施后，以上构筑物运行过程中产生污染物下渗进入含水层几率较小。因此，以上构筑物不作为本次预测工作重点。</w:t>
      </w:r>
    </w:p>
    <w:p w14:paraId="4DBDB8DC" w14:textId="77777777" w:rsidR="00B0005F" w:rsidRPr="008A2411" w:rsidRDefault="00000000">
      <w:pPr>
        <w:adjustRightInd w:val="0"/>
        <w:snapToGrid w:val="0"/>
        <w:spacing w:line="360" w:lineRule="auto"/>
        <w:ind w:firstLine="482"/>
        <w:rPr>
          <w:rFonts w:ascii="Times New Roman"/>
          <w:color w:val="000000" w:themeColor="text1"/>
          <w:szCs w:val="24"/>
        </w:rPr>
      </w:pPr>
      <w:r w:rsidRPr="008A2411">
        <w:rPr>
          <w:rFonts w:ascii="Times New Roman"/>
          <w:color w:val="000000" w:themeColor="text1"/>
          <w:szCs w:val="24"/>
        </w:rPr>
        <w:t>本次</w:t>
      </w:r>
      <w:proofErr w:type="gramStart"/>
      <w:r w:rsidRPr="008A2411">
        <w:rPr>
          <w:rFonts w:ascii="Times New Roman"/>
          <w:color w:val="000000" w:themeColor="text1"/>
          <w:szCs w:val="24"/>
        </w:rPr>
        <w:t>环评将重点</w:t>
      </w:r>
      <w:proofErr w:type="gramEnd"/>
      <w:r w:rsidRPr="008A2411">
        <w:rPr>
          <w:rFonts w:ascii="Times New Roman"/>
          <w:color w:val="000000" w:themeColor="text1"/>
          <w:szCs w:val="24"/>
        </w:rPr>
        <w:t>针对以下区域进行地下水影响预测：</w:t>
      </w:r>
    </w:p>
    <w:p w14:paraId="0269B335" w14:textId="77777777" w:rsidR="00B0005F" w:rsidRPr="008A2411" w:rsidRDefault="00000000">
      <w:pPr>
        <w:adjustRightInd w:val="0"/>
        <w:snapToGrid w:val="0"/>
        <w:spacing w:line="360" w:lineRule="auto"/>
        <w:ind w:firstLine="482"/>
        <w:rPr>
          <w:rFonts w:ascii="Times New Roman"/>
          <w:color w:val="000000" w:themeColor="text1"/>
        </w:rPr>
      </w:pPr>
      <w:r w:rsidRPr="008A2411">
        <w:rPr>
          <w:rFonts w:ascii="Times New Roman"/>
          <w:color w:val="000000" w:themeColor="text1"/>
          <w:szCs w:val="24"/>
        </w:rPr>
        <w:t>①</w:t>
      </w:r>
      <w:r w:rsidRPr="008A2411">
        <w:rPr>
          <w:rFonts w:ascii="Times New Roman"/>
          <w:color w:val="000000" w:themeColor="text1"/>
          <w:szCs w:val="24"/>
        </w:rPr>
        <w:t>主</w:t>
      </w:r>
      <w:r w:rsidRPr="008A2411">
        <w:rPr>
          <w:rFonts w:ascii="Times New Roman"/>
          <w:color w:val="000000" w:themeColor="text1"/>
        </w:rPr>
        <w:t>体工程：</w:t>
      </w:r>
    </w:p>
    <w:p w14:paraId="2C0C9F38" w14:textId="77777777" w:rsidR="00B0005F" w:rsidRPr="008A2411" w:rsidRDefault="00000000">
      <w:pPr>
        <w:adjustRightInd w:val="0"/>
        <w:snapToGrid w:val="0"/>
        <w:spacing w:line="360" w:lineRule="auto"/>
        <w:ind w:firstLine="482"/>
        <w:rPr>
          <w:rFonts w:ascii="Times New Roman"/>
          <w:color w:val="000000" w:themeColor="text1"/>
        </w:rPr>
      </w:pPr>
      <w:bookmarkStart w:id="431" w:name="_Hlk87050449"/>
      <w:r w:rsidRPr="008A2411">
        <w:rPr>
          <w:rFonts w:ascii="Times New Roman"/>
          <w:color w:val="000000" w:themeColor="text1"/>
        </w:rPr>
        <w:t>原料气净化脱酸单元吸收塔（立</w:t>
      </w:r>
      <w:r w:rsidRPr="008A2411">
        <w:rPr>
          <w:rFonts w:ascii="Times New Roman"/>
          <w:color w:val="000000" w:themeColor="text1"/>
          <w:szCs w:val="24"/>
        </w:rPr>
        <w:t>式</w:t>
      </w:r>
      <w:r w:rsidRPr="008A2411">
        <w:rPr>
          <w:rFonts w:ascii="Times New Roman"/>
          <w:color w:val="000000" w:themeColor="text1"/>
          <w:szCs w:val="24"/>
        </w:rPr>
        <w:t>Φ1300×20000</w:t>
      </w:r>
      <w:r w:rsidRPr="008A2411">
        <w:rPr>
          <w:rFonts w:ascii="Times New Roman"/>
          <w:color w:val="000000" w:themeColor="text1"/>
          <w:szCs w:val="24"/>
        </w:rPr>
        <w:t>，</w:t>
      </w:r>
      <w:r w:rsidRPr="008A2411">
        <w:rPr>
          <w:rFonts w:ascii="Times New Roman"/>
          <w:color w:val="000000" w:themeColor="text1"/>
        </w:rPr>
        <w:t>在线</w:t>
      </w:r>
      <w:r w:rsidRPr="008A2411">
        <w:rPr>
          <w:rFonts w:ascii="Times New Roman"/>
          <w:color w:val="000000" w:themeColor="text1"/>
        </w:rPr>
        <w:t>MDEA</w:t>
      </w:r>
      <w:r w:rsidRPr="008A2411">
        <w:rPr>
          <w:rFonts w:ascii="Times New Roman"/>
          <w:color w:val="000000" w:themeColor="text1"/>
        </w:rPr>
        <w:t>溶液</w:t>
      </w:r>
      <w:r w:rsidRPr="008A2411">
        <w:rPr>
          <w:rFonts w:ascii="Times New Roman"/>
          <w:color w:val="000000" w:themeColor="text1"/>
        </w:rPr>
        <w:t>10.6m</w:t>
      </w:r>
      <w:r w:rsidRPr="008A2411">
        <w:rPr>
          <w:rFonts w:ascii="Times New Roman"/>
          <w:color w:val="000000" w:themeColor="text1"/>
          <w:vertAlign w:val="superscript"/>
        </w:rPr>
        <w:t>3</w:t>
      </w:r>
      <w:r w:rsidRPr="008A2411">
        <w:rPr>
          <w:rFonts w:ascii="Times New Roman"/>
          <w:color w:val="000000" w:themeColor="text1"/>
        </w:rPr>
        <w:t>）；</w:t>
      </w:r>
    </w:p>
    <w:p w14:paraId="7B44EC34" w14:textId="77777777" w:rsidR="00B0005F" w:rsidRPr="008A2411" w:rsidRDefault="00000000">
      <w:pPr>
        <w:adjustRightInd w:val="0"/>
        <w:snapToGrid w:val="0"/>
        <w:spacing w:line="360" w:lineRule="auto"/>
        <w:ind w:firstLine="482"/>
        <w:rPr>
          <w:rFonts w:ascii="Times New Roman"/>
          <w:color w:val="000000" w:themeColor="text1"/>
        </w:rPr>
      </w:pPr>
      <w:r w:rsidRPr="008A2411">
        <w:rPr>
          <w:rFonts w:ascii="Times New Roman"/>
          <w:color w:val="000000" w:themeColor="text1"/>
        </w:rPr>
        <w:t>原料气净化脱酸单元闪蒸罐（立式</w:t>
      </w:r>
      <w:r w:rsidRPr="008A2411">
        <w:rPr>
          <w:rFonts w:ascii="Times New Roman"/>
          <w:color w:val="000000" w:themeColor="text1"/>
        </w:rPr>
        <w:t>Φ1200×5000</w:t>
      </w:r>
      <w:r w:rsidRPr="008A2411">
        <w:rPr>
          <w:rFonts w:ascii="Times New Roman"/>
          <w:color w:val="000000" w:themeColor="text1"/>
        </w:rPr>
        <w:t>，在线</w:t>
      </w:r>
      <w:r w:rsidRPr="008A2411">
        <w:rPr>
          <w:rFonts w:ascii="Times New Roman"/>
          <w:color w:val="000000" w:themeColor="text1"/>
        </w:rPr>
        <w:t>MDEA</w:t>
      </w:r>
      <w:r w:rsidRPr="008A2411">
        <w:rPr>
          <w:rFonts w:ascii="Times New Roman"/>
          <w:color w:val="000000" w:themeColor="text1"/>
        </w:rPr>
        <w:t>溶液</w:t>
      </w:r>
      <w:r w:rsidRPr="008A2411">
        <w:rPr>
          <w:rFonts w:ascii="Times New Roman"/>
          <w:color w:val="000000" w:themeColor="text1"/>
        </w:rPr>
        <w:t>1.13m</w:t>
      </w:r>
      <w:r w:rsidRPr="008A2411">
        <w:rPr>
          <w:rFonts w:ascii="Times New Roman"/>
          <w:color w:val="000000" w:themeColor="text1"/>
          <w:vertAlign w:val="superscript"/>
        </w:rPr>
        <w:t>3</w:t>
      </w:r>
      <w:r w:rsidRPr="008A2411">
        <w:rPr>
          <w:rFonts w:ascii="Times New Roman"/>
          <w:color w:val="000000" w:themeColor="text1"/>
        </w:rPr>
        <w:t>）；</w:t>
      </w:r>
    </w:p>
    <w:p w14:paraId="1E2674F6" w14:textId="7DEB98BF" w:rsidR="00B0005F" w:rsidRPr="008A2411" w:rsidRDefault="00000000">
      <w:pPr>
        <w:adjustRightInd w:val="0"/>
        <w:snapToGrid w:val="0"/>
        <w:spacing w:line="360" w:lineRule="auto"/>
        <w:ind w:firstLine="482"/>
        <w:rPr>
          <w:rFonts w:ascii="Times New Roman"/>
          <w:color w:val="000000" w:themeColor="text1"/>
        </w:rPr>
      </w:pPr>
      <w:r w:rsidRPr="008A2411">
        <w:rPr>
          <w:rFonts w:ascii="Times New Roman"/>
          <w:color w:val="000000" w:themeColor="text1"/>
        </w:rPr>
        <w:t>由于原料气净化脱酸单元吸收塔、闪蒸罐溶液溶质成分极其接近（仅含二氧化碳的变化）且同处于核心装置区，本次</w:t>
      </w:r>
      <w:r w:rsidR="00AB2E38" w:rsidRPr="008A2411">
        <w:rPr>
          <w:rFonts w:ascii="Times New Roman"/>
          <w:color w:val="000000" w:themeColor="text1"/>
        </w:rPr>
        <w:t>泄漏</w:t>
      </w:r>
      <w:r w:rsidRPr="008A2411">
        <w:rPr>
          <w:rFonts w:ascii="Times New Roman"/>
          <w:color w:val="000000" w:themeColor="text1"/>
        </w:rPr>
        <w:t>情景设计将上述</w:t>
      </w:r>
      <w:r w:rsidRPr="008A2411">
        <w:rPr>
          <w:rFonts w:ascii="Times New Roman"/>
          <w:color w:val="000000" w:themeColor="text1"/>
        </w:rPr>
        <w:t>2</w:t>
      </w:r>
      <w:r w:rsidRPr="008A2411">
        <w:rPr>
          <w:rFonts w:ascii="Times New Roman"/>
          <w:color w:val="000000" w:themeColor="text1"/>
        </w:rPr>
        <w:t>个塔罐合并考虑，即总在线溶液量为</w:t>
      </w:r>
      <w:r w:rsidRPr="008A2411">
        <w:rPr>
          <w:rFonts w:ascii="Times New Roman"/>
          <w:color w:val="000000" w:themeColor="text1"/>
        </w:rPr>
        <w:t>11.73m</w:t>
      </w:r>
      <w:r w:rsidRPr="008A2411">
        <w:rPr>
          <w:rFonts w:ascii="Times New Roman"/>
          <w:color w:val="000000" w:themeColor="text1"/>
          <w:vertAlign w:val="superscript"/>
        </w:rPr>
        <w:t>3</w:t>
      </w:r>
      <w:r w:rsidRPr="008A2411">
        <w:rPr>
          <w:rFonts w:ascii="Times New Roman"/>
          <w:color w:val="000000" w:themeColor="text1"/>
        </w:rPr>
        <w:t>。以下统称为原料气净化脱酸单元。</w:t>
      </w:r>
      <w:bookmarkEnd w:id="431"/>
    </w:p>
    <w:p w14:paraId="4461D4C3" w14:textId="77777777" w:rsidR="00B0005F" w:rsidRPr="008A2411" w:rsidRDefault="00000000">
      <w:pPr>
        <w:adjustRightInd w:val="0"/>
        <w:snapToGrid w:val="0"/>
        <w:spacing w:line="360" w:lineRule="auto"/>
        <w:ind w:firstLine="482"/>
        <w:rPr>
          <w:rFonts w:ascii="Times New Roman"/>
          <w:color w:val="000000" w:themeColor="text1"/>
          <w:szCs w:val="24"/>
        </w:rPr>
      </w:pPr>
      <w:r w:rsidRPr="008A2411">
        <w:rPr>
          <w:rFonts w:ascii="Times New Roman"/>
          <w:color w:val="000000" w:themeColor="text1"/>
          <w:szCs w:val="24"/>
        </w:rPr>
        <w:t>②</w:t>
      </w:r>
      <w:r w:rsidRPr="008A2411">
        <w:rPr>
          <w:rFonts w:ascii="Times New Roman"/>
          <w:color w:val="000000" w:themeColor="text1"/>
        </w:rPr>
        <w:t>公辅工程：</w:t>
      </w:r>
    </w:p>
    <w:p w14:paraId="782C1D0B" w14:textId="77777777" w:rsidR="00B0005F" w:rsidRPr="008A2411" w:rsidRDefault="00000000">
      <w:pPr>
        <w:adjustRightInd w:val="0"/>
        <w:snapToGrid w:val="0"/>
        <w:spacing w:line="360" w:lineRule="auto"/>
        <w:ind w:firstLine="482"/>
        <w:rPr>
          <w:rFonts w:ascii="Times New Roman"/>
          <w:color w:val="000000" w:themeColor="text1"/>
          <w:szCs w:val="24"/>
        </w:rPr>
      </w:pPr>
      <w:r w:rsidRPr="008A2411">
        <w:rPr>
          <w:rFonts w:ascii="Times New Roman"/>
          <w:color w:val="000000" w:themeColor="text1"/>
        </w:rPr>
        <w:lastRenderedPageBreak/>
        <w:t>导热油系统（导热油炉导热油量约</w:t>
      </w:r>
      <w:r w:rsidRPr="008A2411">
        <w:rPr>
          <w:rFonts w:ascii="Times New Roman"/>
          <w:color w:val="000000" w:themeColor="text1"/>
        </w:rPr>
        <w:t>12.5t</w:t>
      </w:r>
      <w:r w:rsidRPr="008A2411">
        <w:rPr>
          <w:rFonts w:ascii="Times New Roman"/>
          <w:color w:val="000000" w:themeColor="text1"/>
        </w:rPr>
        <w:t>）；</w:t>
      </w:r>
    </w:p>
    <w:p w14:paraId="4F6337E4" w14:textId="77777777" w:rsidR="00B0005F" w:rsidRPr="008A2411" w:rsidRDefault="00000000">
      <w:pPr>
        <w:adjustRightInd w:val="0"/>
        <w:snapToGrid w:val="0"/>
        <w:spacing w:line="360" w:lineRule="auto"/>
        <w:ind w:firstLine="482"/>
        <w:rPr>
          <w:rFonts w:ascii="Times New Roman"/>
          <w:color w:val="000000" w:themeColor="text1"/>
          <w:szCs w:val="24"/>
        </w:rPr>
      </w:pPr>
      <w:r w:rsidRPr="008A2411">
        <w:rPr>
          <w:rFonts w:ascii="Times New Roman"/>
          <w:color w:val="000000" w:themeColor="text1"/>
          <w:szCs w:val="24"/>
        </w:rPr>
        <w:t>③</w:t>
      </w:r>
      <w:r w:rsidRPr="008A2411">
        <w:rPr>
          <w:rFonts w:ascii="Times New Roman"/>
          <w:color w:val="000000" w:themeColor="text1"/>
          <w:szCs w:val="24"/>
        </w:rPr>
        <w:t>环保工程：</w:t>
      </w:r>
    </w:p>
    <w:p w14:paraId="2C63FA46" w14:textId="77777777" w:rsidR="00B0005F" w:rsidRPr="008A2411" w:rsidRDefault="00000000">
      <w:pPr>
        <w:adjustRightInd w:val="0"/>
        <w:snapToGrid w:val="0"/>
        <w:spacing w:line="360" w:lineRule="auto"/>
        <w:ind w:firstLine="482"/>
        <w:rPr>
          <w:rFonts w:ascii="Times New Roman"/>
          <w:color w:val="000000" w:themeColor="text1"/>
          <w:szCs w:val="24"/>
        </w:rPr>
      </w:pPr>
      <w:r w:rsidRPr="008A2411">
        <w:rPr>
          <w:rFonts w:ascii="Times New Roman"/>
          <w:color w:val="000000" w:themeColor="text1"/>
        </w:rPr>
        <w:t>污水处理站</w:t>
      </w:r>
      <w:r w:rsidRPr="008A2411">
        <w:rPr>
          <w:rFonts w:ascii="Times New Roman"/>
          <w:color w:val="000000" w:themeColor="text1"/>
          <w:szCs w:val="24"/>
        </w:rPr>
        <w:t>（总占地面积</w:t>
      </w:r>
      <w:r w:rsidRPr="008A2411">
        <w:rPr>
          <w:rFonts w:ascii="Times New Roman"/>
          <w:color w:val="000000" w:themeColor="text1"/>
          <w:szCs w:val="24"/>
        </w:rPr>
        <w:t>735m</w:t>
      </w:r>
      <w:r w:rsidRPr="008A2411">
        <w:rPr>
          <w:rFonts w:ascii="Times New Roman"/>
          <w:color w:val="000000" w:themeColor="text1"/>
          <w:szCs w:val="24"/>
          <w:vertAlign w:val="superscript"/>
        </w:rPr>
        <w:t>2</w:t>
      </w:r>
      <w:r w:rsidRPr="008A2411">
        <w:rPr>
          <w:rFonts w:ascii="Times New Roman"/>
          <w:color w:val="000000" w:themeColor="text1"/>
          <w:szCs w:val="21"/>
        </w:rPr>
        <w:t>，有效水深</w:t>
      </w:r>
      <w:r w:rsidRPr="008A2411">
        <w:rPr>
          <w:rFonts w:ascii="Times New Roman"/>
          <w:color w:val="000000" w:themeColor="text1"/>
          <w:szCs w:val="21"/>
        </w:rPr>
        <w:t>3.0m</w:t>
      </w:r>
      <w:r w:rsidRPr="008A2411">
        <w:rPr>
          <w:rFonts w:ascii="Times New Roman"/>
          <w:color w:val="000000" w:themeColor="text1"/>
          <w:szCs w:val="24"/>
        </w:rPr>
        <w:t>）。</w:t>
      </w:r>
    </w:p>
    <w:p w14:paraId="12851E1C" w14:textId="77777777" w:rsidR="00B0005F" w:rsidRPr="008A2411" w:rsidRDefault="00000000">
      <w:pPr>
        <w:adjustRightInd w:val="0"/>
        <w:snapToGrid w:val="0"/>
        <w:spacing w:line="360" w:lineRule="auto"/>
        <w:ind w:firstLine="482"/>
        <w:rPr>
          <w:rFonts w:ascii="Times New Roman"/>
          <w:color w:val="000000" w:themeColor="text1"/>
          <w:szCs w:val="24"/>
        </w:rPr>
      </w:pPr>
      <w:r w:rsidRPr="008A2411">
        <w:rPr>
          <w:rFonts w:ascii="Times New Roman"/>
          <w:color w:val="000000" w:themeColor="text1"/>
          <w:szCs w:val="24"/>
        </w:rPr>
        <w:t>本项目运行状况设计见表</w:t>
      </w:r>
      <w:r w:rsidRPr="008A2411">
        <w:rPr>
          <w:rFonts w:ascii="Times New Roman"/>
          <w:color w:val="000000" w:themeColor="text1"/>
          <w:szCs w:val="24"/>
        </w:rPr>
        <w:t>5.2-20</w:t>
      </w:r>
      <w:r w:rsidRPr="008A2411">
        <w:rPr>
          <w:rFonts w:ascii="Times New Roman"/>
          <w:color w:val="000000" w:themeColor="text1"/>
          <w:szCs w:val="24"/>
        </w:rPr>
        <w:t>。</w:t>
      </w:r>
    </w:p>
    <w:p w14:paraId="17E0C103" w14:textId="77777777" w:rsidR="00B0005F" w:rsidRPr="008A2411" w:rsidRDefault="00000000">
      <w:pPr>
        <w:pStyle w:val="affffffff7"/>
        <w:adjustRightInd w:val="0"/>
        <w:spacing w:beforeLines="0" w:before="0" w:afterLines="0" w:after="0"/>
        <w:rPr>
          <w:color w:val="000000" w:themeColor="text1"/>
        </w:rPr>
      </w:pPr>
      <w:r w:rsidRPr="008A2411">
        <w:rPr>
          <w:color w:val="000000" w:themeColor="text1"/>
        </w:rPr>
        <w:t>表</w:t>
      </w:r>
      <w:r w:rsidRPr="008A2411">
        <w:rPr>
          <w:color w:val="000000" w:themeColor="text1"/>
        </w:rPr>
        <w:t xml:space="preserve">5.2-20 </w:t>
      </w:r>
      <w:r w:rsidRPr="008A2411">
        <w:rPr>
          <w:color w:val="000000" w:themeColor="text1"/>
        </w:rPr>
        <w:t>本项目运行状况设计</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66"/>
        <w:gridCol w:w="709"/>
        <w:gridCol w:w="1701"/>
        <w:gridCol w:w="5244"/>
      </w:tblGrid>
      <w:tr w:rsidR="008A2411" w:rsidRPr="008A2411" w14:paraId="762148F7" w14:textId="77777777">
        <w:trPr>
          <w:trHeight w:val="20"/>
          <w:jc w:val="center"/>
        </w:trPr>
        <w:tc>
          <w:tcPr>
            <w:tcW w:w="455" w:type="pct"/>
            <w:tcMar>
              <w:left w:w="57" w:type="dxa"/>
              <w:right w:w="57" w:type="dxa"/>
            </w:tcMar>
            <w:vAlign w:val="center"/>
          </w:tcPr>
          <w:p w14:paraId="2459435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功能分区</w:t>
            </w:r>
          </w:p>
        </w:tc>
        <w:tc>
          <w:tcPr>
            <w:tcW w:w="421" w:type="pct"/>
            <w:shd w:val="clear" w:color="auto" w:fill="auto"/>
            <w:tcMar>
              <w:left w:w="57" w:type="dxa"/>
              <w:right w:w="57" w:type="dxa"/>
            </w:tcMar>
            <w:vAlign w:val="center"/>
          </w:tcPr>
          <w:p w14:paraId="0F7943B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构筑物</w:t>
            </w:r>
          </w:p>
        </w:tc>
        <w:tc>
          <w:tcPr>
            <w:tcW w:w="1010" w:type="pct"/>
            <w:shd w:val="clear" w:color="auto" w:fill="auto"/>
            <w:noWrap/>
            <w:tcMar>
              <w:left w:w="57" w:type="dxa"/>
              <w:right w:w="57" w:type="dxa"/>
            </w:tcMar>
            <w:vAlign w:val="center"/>
          </w:tcPr>
          <w:p w14:paraId="3A28690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正常状态</w:t>
            </w:r>
          </w:p>
        </w:tc>
        <w:tc>
          <w:tcPr>
            <w:tcW w:w="3114" w:type="pct"/>
            <w:shd w:val="clear" w:color="auto" w:fill="auto"/>
            <w:noWrap/>
            <w:tcMar>
              <w:left w:w="57" w:type="dxa"/>
              <w:right w:w="57" w:type="dxa"/>
            </w:tcMar>
            <w:vAlign w:val="center"/>
          </w:tcPr>
          <w:p w14:paraId="3B52E4D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非正常状态</w:t>
            </w:r>
          </w:p>
        </w:tc>
      </w:tr>
      <w:tr w:rsidR="008A2411" w:rsidRPr="008A2411" w14:paraId="50CF9F04" w14:textId="77777777">
        <w:trPr>
          <w:trHeight w:val="20"/>
          <w:jc w:val="center"/>
        </w:trPr>
        <w:tc>
          <w:tcPr>
            <w:tcW w:w="455" w:type="pct"/>
            <w:tcMar>
              <w:left w:w="57" w:type="dxa"/>
              <w:right w:w="57" w:type="dxa"/>
            </w:tcMar>
            <w:vAlign w:val="center"/>
          </w:tcPr>
          <w:p w14:paraId="75F9358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主体工程</w:t>
            </w:r>
          </w:p>
        </w:tc>
        <w:tc>
          <w:tcPr>
            <w:tcW w:w="421" w:type="pct"/>
            <w:tcBorders>
              <w:top w:val="single" w:sz="4" w:space="0" w:color="000000" w:themeColor="text1"/>
            </w:tcBorders>
            <w:tcMar>
              <w:left w:w="57" w:type="dxa"/>
              <w:right w:w="57" w:type="dxa"/>
            </w:tcMar>
            <w:vAlign w:val="center"/>
          </w:tcPr>
          <w:p w14:paraId="74873104" w14:textId="77777777" w:rsidR="00B0005F" w:rsidRPr="008A2411" w:rsidRDefault="00000000">
            <w:pPr>
              <w:pStyle w:val="affffffffffff2"/>
              <w:rPr>
                <w:rFonts w:ascii="Times New Roman"/>
                <w:color w:val="000000" w:themeColor="text1"/>
              </w:rPr>
            </w:pPr>
            <w:bookmarkStart w:id="432" w:name="_Hlk102508460"/>
            <w:r w:rsidRPr="008A2411">
              <w:rPr>
                <w:rFonts w:ascii="Times New Roman"/>
                <w:color w:val="000000" w:themeColor="text1"/>
              </w:rPr>
              <w:t>原料气净化脱酸单元</w:t>
            </w:r>
            <w:bookmarkEnd w:id="432"/>
          </w:p>
        </w:tc>
        <w:tc>
          <w:tcPr>
            <w:tcW w:w="1010" w:type="pct"/>
            <w:shd w:val="clear" w:color="auto" w:fill="auto"/>
            <w:noWrap/>
            <w:tcMar>
              <w:left w:w="57" w:type="dxa"/>
              <w:right w:w="57" w:type="dxa"/>
            </w:tcMar>
            <w:vAlign w:val="center"/>
          </w:tcPr>
          <w:p w14:paraId="0170507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根据（</w:t>
            </w:r>
            <w:r w:rsidRPr="008A2411">
              <w:rPr>
                <w:rFonts w:ascii="Times New Roman"/>
                <w:color w:val="000000" w:themeColor="text1"/>
              </w:rPr>
              <w:t>HJ610-2016</w:t>
            </w:r>
            <w:r w:rsidRPr="008A2411">
              <w:rPr>
                <w:rFonts w:ascii="Times New Roman"/>
                <w:color w:val="000000" w:themeColor="text1"/>
              </w:rPr>
              <w:t>）要求采取重点防渗措施。在采取上述措施情况下，正常运行状况对地下水环境较小，将不作为预测重点</w:t>
            </w:r>
          </w:p>
        </w:tc>
        <w:tc>
          <w:tcPr>
            <w:tcW w:w="3114" w:type="pct"/>
            <w:shd w:val="clear" w:color="auto" w:fill="auto"/>
            <w:noWrap/>
            <w:tcMar>
              <w:left w:w="57" w:type="dxa"/>
              <w:right w:w="57" w:type="dxa"/>
            </w:tcMar>
            <w:vAlign w:val="center"/>
          </w:tcPr>
          <w:p w14:paraId="4CCC330F" w14:textId="5DC659BD" w:rsidR="00B0005F" w:rsidRPr="008A2411" w:rsidRDefault="00000000">
            <w:pPr>
              <w:pStyle w:val="affffffffffff2"/>
              <w:rPr>
                <w:rFonts w:ascii="Times New Roman"/>
                <w:color w:val="000000" w:themeColor="text1"/>
              </w:rPr>
            </w:pPr>
            <w:r w:rsidRPr="008A2411">
              <w:rPr>
                <w:rFonts w:ascii="Times New Roman"/>
                <w:color w:val="000000" w:themeColor="text1"/>
              </w:rPr>
              <w:t>非正常状况下，因塔体老化及腐蚀等原因，塔体存在漏点或管道破损发生泄漏。参考最大不利情况考虑，本次设计原料气净化脱酸单元</w:t>
            </w:r>
            <w:r w:rsidR="00AB2E38" w:rsidRPr="008A2411">
              <w:rPr>
                <w:rFonts w:ascii="Times New Roman"/>
                <w:color w:val="000000" w:themeColor="text1"/>
              </w:rPr>
              <w:t>泄漏</w:t>
            </w:r>
            <w:r w:rsidRPr="008A2411">
              <w:rPr>
                <w:rFonts w:ascii="Times New Roman"/>
                <w:color w:val="000000" w:themeColor="text1"/>
              </w:rPr>
              <w:t>量（进入防渗层下方）为总在线容积量的</w:t>
            </w:r>
            <w:r w:rsidRPr="008A2411">
              <w:rPr>
                <w:rFonts w:ascii="Times New Roman"/>
                <w:color w:val="000000" w:themeColor="text1"/>
              </w:rPr>
              <w:t>5%</w:t>
            </w:r>
            <w:r w:rsidRPr="008A2411">
              <w:rPr>
                <w:rFonts w:ascii="Times New Roman"/>
                <w:color w:val="000000" w:themeColor="text1"/>
              </w:rPr>
              <w:t>，根据区域水文地质勘察钻探成果及水文地质试验，包气带厚</w:t>
            </w:r>
            <w:r w:rsidRPr="008A2411">
              <w:rPr>
                <w:rFonts w:ascii="Times New Roman"/>
                <w:color w:val="000000" w:themeColor="text1"/>
              </w:rPr>
              <w:t>5</w:t>
            </w:r>
            <w:r w:rsidRPr="008A2411">
              <w:rPr>
                <w:rFonts w:ascii="Times New Roman"/>
                <w:color w:val="000000" w:themeColor="text1"/>
              </w:rPr>
              <w:t>～</w:t>
            </w:r>
            <w:r w:rsidRPr="008A2411">
              <w:rPr>
                <w:rFonts w:ascii="Times New Roman"/>
                <w:color w:val="000000" w:themeColor="text1"/>
              </w:rPr>
              <w:t>10m</w:t>
            </w:r>
            <w:r w:rsidRPr="008A2411">
              <w:rPr>
                <w:rFonts w:ascii="Times New Roman"/>
                <w:color w:val="000000" w:themeColor="text1"/>
              </w:rPr>
              <w:t>，平均取值</w:t>
            </w:r>
            <w:r w:rsidRPr="008A2411">
              <w:rPr>
                <w:rFonts w:ascii="Times New Roman"/>
                <w:color w:val="000000" w:themeColor="text1"/>
              </w:rPr>
              <w:t>6.15m</w:t>
            </w:r>
            <w:r w:rsidRPr="008A2411">
              <w:rPr>
                <w:rFonts w:ascii="Times New Roman"/>
                <w:color w:val="000000" w:themeColor="text1"/>
              </w:rPr>
              <w:t>，由杂填土、粉质粘土等组成，包气带渗透系数为</w:t>
            </w:r>
            <w:r w:rsidRPr="008A2411">
              <w:rPr>
                <w:rFonts w:ascii="Times New Roman"/>
                <w:color w:val="000000" w:themeColor="text1"/>
              </w:rPr>
              <w:t>9.47×10</w:t>
            </w:r>
            <w:r w:rsidRPr="008A2411">
              <w:rPr>
                <w:rFonts w:ascii="Times New Roman"/>
                <w:color w:val="000000" w:themeColor="text1"/>
                <w:vertAlign w:val="superscript"/>
              </w:rPr>
              <w:t>-5</w:t>
            </w:r>
            <w:r w:rsidRPr="008A2411">
              <w:rPr>
                <w:rFonts w:ascii="Times New Roman"/>
                <w:color w:val="000000" w:themeColor="text1"/>
              </w:rPr>
              <w:t>～</w:t>
            </w:r>
            <w:r w:rsidRPr="008A2411">
              <w:rPr>
                <w:rFonts w:ascii="Times New Roman"/>
                <w:bCs/>
                <w:color w:val="000000" w:themeColor="text1"/>
              </w:rPr>
              <w:t>1.49</w:t>
            </w:r>
            <w:r w:rsidRPr="008A2411">
              <w:rPr>
                <w:rFonts w:ascii="Times New Roman"/>
                <w:color w:val="000000" w:themeColor="text1"/>
              </w:rPr>
              <w:t>×10</w:t>
            </w:r>
            <w:r w:rsidRPr="008A2411">
              <w:rPr>
                <w:rFonts w:ascii="Times New Roman"/>
                <w:color w:val="000000" w:themeColor="text1"/>
                <w:vertAlign w:val="superscript"/>
              </w:rPr>
              <w:t>-4</w:t>
            </w:r>
            <w:r w:rsidRPr="008A2411">
              <w:rPr>
                <w:rFonts w:ascii="Times New Roman"/>
                <w:color w:val="000000" w:themeColor="text1"/>
              </w:rPr>
              <w:t>cm/s</w:t>
            </w:r>
            <w:r w:rsidRPr="008A2411">
              <w:rPr>
                <w:rFonts w:ascii="Times New Roman"/>
                <w:color w:val="000000" w:themeColor="text1"/>
              </w:rPr>
              <w:t>，</w:t>
            </w:r>
            <w:r w:rsidRPr="008A2411">
              <w:rPr>
                <w:rFonts w:ascii="Times New Roman"/>
                <w:color w:val="000000" w:themeColor="text1"/>
                <w:kern w:val="0"/>
              </w:rPr>
              <w:t>沙</w:t>
            </w:r>
            <w:proofErr w:type="gramStart"/>
            <w:r w:rsidRPr="008A2411">
              <w:rPr>
                <w:rFonts w:ascii="Times New Roman"/>
                <w:color w:val="000000" w:themeColor="text1"/>
                <w:kern w:val="0"/>
              </w:rPr>
              <w:t>溪庙组砂</w:t>
            </w:r>
            <w:proofErr w:type="gramEnd"/>
            <w:r w:rsidRPr="008A2411">
              <w:rPr>
                <w:rFonts w:ascii="Times New Roman"/>
                <w:color w:val="000000" w:themeColor="text1"/>
                <w:kern w:val="0"/>
              </w:rPr>
              <w:t>泥岩强风化裂隙含水层渗透系数介于</w:t>
            </w:r>
            <w:r w:rsidRPr="008A2411">
              <w:rPr>
                <w:rFonts w:ascii="Times New Roman"/>
                <w:color w:val="000000" w:themeColor="text1"/>
                <w:kern w:val="0"/>
              </w:rPr>
              <w:t>0.052</w:t>
            </w:r>
            <w:r w:rsidRPr="008A2411">
              <w:rPr>
                <w:rFonts w:ascii="Times New Roman"/>
                <w:color w:val="000000" w:themeColor="text1"/>
                <w:kern w:val="0"/>
              </w:rPr>
              <w:t>～</w:t>
            </w:r>
            <w:r w:rsidRPr="008A2411">
              <w:rPr>
                <w:rFonts w:ascii="Times New Roman"/>
                <w:color w:val="000000" w:themeColor="text1"/>
                <w:kern w:val="0"/>
              </w:rPr>
              <w:t>0.097 m/d</w:t>
            </w:r>
            <w:r w:rsidRPr="008A2411">
              <w:rPr>
                <w:rFonts w:ascii="Times New Roman"/>
                <w:color w:val="000000" w:themeColor="text1"/>
                <w:kern w:val="0"/>
              </w:rPr>
              <w:t>，本次取均值</w:t>
            </w:r>
            <w:r w:rsidRPr="008A2411">
              <w:rPr>
                <w:rFonts w:ascii="Times New Roman"/>
                <w:color w:val="000000" w:themeColor="text1"/>
                <w:kern w:val="0"/>
              </w:rPr>
              <w:t>0.077 m/d</w:t>
            </w:r>
            <w:r w:rsidRPr="008A2411">
              <w:rPr>
                <w:rFonts w:ascii="Times New Roman"/>
                <w:color w:val="000000" w:themeColor="text1"/>
                <w:kern w:val="0"/>
              </w:rPr>
              <w:t>（</w:t>
            </w:r>
            <w:r w:rsidRPr="008A2411">
              <w:rPr>
                <w:rFonts w:ascii="Times New Roman"/>
                <w:color w:val="000000" w:themeColor="text1"/>
                <w:kern w:val="0"/>
              </w:rPr>
              <w:t>8.87×10</w:t>
            </w:r>
            <w:r w:rsidRPr="008A2411">
              <w:rPr>
                <w:rFonts w:ascii="Times New Roman"/>
                <w:color w:val="000000" w:themeColor="text1"/>
                <w:kern w:val="0"/>
                <w:vertAlign w:val="superscript"/>
              </w:rPr>
              <w:t>-5</w:t>
            </w:r>
            <w:r w:rsidRPr="008A2411">
              <w:rPr>
                <w:rFonts w:ascii="Times New Roman"/>
                <w:color w:val="000000" w:themeColor="text1"/>
                <w:kern w:val="0"/>
              </w:rPr>
              <w:t xml:space="preserve"> cm/s</w:t>
            </w:r>
            <w:r w:rsidRPr="008A2411">
              <w:rPr>
                <w:rFonts w:ascii="Times New Roman"/>
                <w:color w:val="000000" w:themeColor="text1"/>
                <w:kern w:val="0"/>
              </w:rPr>
              <w:t>）</w:t>
            </w:r>
            <w:r w:rsidRPr="008A2411">
              <w:rPr>
                <w:rFonts w:ascii="Times New Roman"/>
                <w:color w:val="000000" w:themeColor="text1"/>
              </w:rPr>
              <w:t>，借鉴</w:t>
            </w:r>
            <w:r w:rsidRPr="008A2411">
              <w:rPr>
                <w:rFonts w:ascii="Times New Roman"/>
                <w:color w:val="000000" w:themeColor="text1"/>
                <w:kern w:val="0"/>
              </w:rPr>
              <w:t>《四川省达州市宣汉县红层丘陵区找水打井工程地下水调查与区划报告》</w:t>
            </w:r>
            <w:r w:rsidRPr="008A2411">
              <w:rPr>
                <w:rFonts w:ascii="Times New Roman"/>
                <w:color w:val="000000" w:themeColor="text1"/>
              </w:rPr>
              <w:t>中降雨入渗量统计成果降雨入渗系数为</w:t>
            </w:r>
            <w:r w:rsidRPr="008A2411">
              <w:rPr>
                <w:rFonts w:ascii="Times New Roman"/>
                <w:color w:val="000000" w:themeColor="text1"/>
              </w:rPr>
              <w:t>0.035</w:t>
            </w:r>
            <w:r w:rsidRPr="008A2411">
              <w:rPr>
                <w:rFonts w:ascii="Times New Roman"/>
                <w:color w:val="000000" w:themeColor="text1"/>
              </w:rPr>
              <w:t>，泄漏废液按</w:t>
            </w:r>
            <w:r w:rsidRPr="008A2411">
              <w:rPr>
                <w:rFonts w:ascii="Times New Roman"/>
                <w:color w:val="000000" w:themeColor="text1"/>
              </w:rPr>
              <w:t>3.5%</w:t>
            </w:r>
            <w:r w:rsidRPr="008A2411">
              <w:rPr>
                <w:rFonts w:ascii="Times New Roman"/>
                <w:color w:val="000000" w:themeColor="text1"/>
              </w:rPr>
              <w:t>考虑下渗进入地下水系统，剩余部分通过导流沟收集至事故水池。</w:t>
            </w:r>
          </w:p>
        </w:tc>
      </w:tr>
      <w:tr w:rsidR="008A2411" w:rsidRPr="008A2411" w14:paraId="0AEBF790" w14:textId="77777777">
        <w:trPr>
          <w:trHeight w:val="20"/>
          <w:jc w:val="center"/>
        </w:trPr>
        <w:tc>
          <w:tcPr>
            <w:tcW w:w="455" w:type="pct"/>
            <w:tcMar>
              <w:left w:w="57" w:type="dxa"/>
              <w:right w:w="57" w:type="dxa"/>
            </w:tcMar>
            <w:vAlign w:val="center"/>
          </w:tcPr>
          <w:p w14:paraId="4814363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公</w:t>
            </w:r>
            <w:proofErr w:type="gramStart"/>
            <w:r w:rsidRPr="008A2411">
              <w:rPr>
                <w:rFonts w:ascii="Times New Roman"/>
                <w:color w:val="000000" w:themeColor="text1"/>
              </w:rPr>
              <w:t>辅工程</w:t>
            </w:r>
            <w:proofErr w:type="gramEnd"/>
          </w:p>
        </w:tc>
        <w:tc>
          <w:tcPr>
            <w:tcW w:w="421" w:type="pct"/>
            <w:tcBorders>
              <w:top w:val="single" w:sz="4" w:space="0" w:color="000000" w:themeColor="text1"/>
            </w:tcBorders>
            <w:tcMar>
              <w:left w:w="57" w:type="dxa"/>
              <w:right w:w="57" w:type="dxa"/>
            </w:tcMar>
            <w:vAlign w:val="center"/>
          </w:tcPr>
          <w:p w14:paraId="4A70CD0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导热油炉</w:t>
            </w:r>
          </w:p>
        </w:tc>
        <w:tc>
          <w:tcPr>
            <w:tcW w:w="1010" w:type="pct"/>
            <w:shd w:val="clear" w:color="auto" w:fill="auto"/>
            <w:noWrap/>
            <w:tcMar>
              <w:left w:w="57" w:type="dxa"/>
              <w:right w:w="57" w:type="dxa"/>
            </w:tcMar>
            <w:vAlign w:val="center"/>
          </w:tcPr>
          <w:p w14:paraId="647722D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根据（</w:t>
            </w:r>
            <w:r w:rsidRPr="008A2411">
              <w:rPr>
                <w:rFonts w:ascii="Times New Roman"/>
                <w:color w:val="000000" w:themeColor="text1"/>
              </w:rPr>
              <w:t>HJ610-2016</w:t>
            </w:r>
            <w:r w:rsidRPr="008A2411">
              <w:rPr>
                <w:rFonts w:ascii="Times New Roman"/>
                <w:color w:val="000000" w:themeColor="text1"/>
              </w:rPr>
              <w:t>）要求采取重点防渗措施。在采取上述措施情况下，正常运行状况对地下水环境较小，将不作为预测重点</w:t>
            </w:r>
          </w:p>
        </w:tc>
        <w:tc>
          <w:tcPr>
            <w:tcW w:w="3114" w:type="pct"/>
            <w:shd w:val="clear" w:color="auto" w:fill="auto"/>
            <w:noWrap/>
            <w:tcMar>
              <w:left w:w="57" w:type="dxa"/>
              <w:right w:w="57" w:type="dxa"/>
            </w:tcMar>
            <w:vAlign w:val="center"/>
          </w:tcPr>
          <w:p w14:paraId="498192DD" w14:textId="103B5893" w:rsidR="00B0005F" w:rsidRPr="008A2411" w:rsidRDefault="00000000">
            <w:pPr>
              <w:pStyle w:val="affffffffffff2"/>
              <w:rPr>
                <w:rFonts w:ascii="Times New Roman"/>
                <w:color w:val="000000" w:themeColor="text1"/>
              </w:rPr>
            </w:pPr>
            <w:r w:rsidRPr="008A2411">
              <w:rPr>
                <w:rFonts w:ascii="Times New Roman"/>
                <w:color w:val="000000" w:themeColor="text1"/>
              </w:rPr>
              <w:t>非正常状况下，因导热油炉老化及腐蚀等原因，炉体存在漏点或循环输送管道破损发生泄漏，溶液泄漏于底部围堰易被及时发现及处置。参考最大不利情况考虑，本次设计导热油炉导热油</w:t>
            </w:r>
            <w:r w:rsidRPr="008A2411">
              <w:rPr>
                <w:rFonts w:ascii="Times New Roman"/>
                <w:color w:val="000000" w:themeColor="text1"/>
              </w:rPr>
              <w:t>20%</w:t>
            </w:r>
            <w:r w:rsidR="00AB2E38" w:rsidRPr="008A2411">
              <w:rPr>
                <w:rFonts w:ascii="Times New Roman"/>
                <w:color w:val="000000" w:themeColor="text1"/>
              </w:rPr>
              <w:t>泄漏</w:t>
            </w:r>
            <w:r w:rsidRPr="008A2411">
              <w:rPr>
                <w:rFonts w:ascii="Times New Roman"/>
                <w:color w:val="000000" w:themeColor="text1"/>
              </w:rPr>
              <w:t>于围堰内，围堰因年久老化及腐蚀等原因，围堰内的导热油又有</w:t>
            </w:r>
            <w:r w:rsidRPr="008A2411">
              <w:rPr>
                <w:rFonts w:ascii="Times New Roman"/>
                <w:color w:val="000000" w:themeColor="text1"/>
              </w:rPr>
              <w:t>10%</w:t>
            </w:r>
            <w:r w:rsidRPr="008A2411">
              <w:rPr>
                <w:rFonts w:ascii="Times New Roman"/>
                <w:color w:val="000000" w:themeColor="text1"/>
              </w:rPr>
              <w:t>漏至围堰底部。根据区域水文地质勘察钻探成果及水文地质试验，包气带厚</w:t>
            </w:r>
            <w:r w:rsidRPr="008A2411">
              <w:rPr>
                <w:rFonts w:ascii="Times New Roman"/>
                <w:color w:val="000000" w:themeColor="text1"/>
              </w:rPr>
              <w:t>5</w:t>
            </w:r>
            <w:r w:rsidRPr="008A2411">
              <w:rPr>
                <w:rFonts w:ascii="Times New Roman"/>
                <w:color w:val="000000" w:themeColor="text1"/>
              </w:rPr>
              <w:t>～</w:t>
            </w:r>
            <w:r w:rsidRPr="008A2411">
              <w:rPr>
                <w:rFonts w:ascii="Times New Roman"/>
                <w:color w:val="000000" w:themeColor="text1"/>
              </w:rPr>
              <w:t>10m</w:t>
            </w:r>
            <w:r w:rsidRPr="008A2411">
              <w:rPr>
                <w:rFonts w:ascii="Times New Roman"/>
                <w:color w:val="000000" w:themeColor="text1"/>
              </w:rPr>
              <w:t>，平均取值</w:t>
            </w:r>
            <w:r w:rsidRPr="008A2411">
              <w:rPr>
                <w:rFonts w:ascii="Times New Roman"/>
                <w:color w:val="000000" w:themeColor="text1"/>
              </w:rPr>
              <w:t>6.15m</w:t>
            </w:r>
            <w:r w:rsidRPr="008A2411">
              <w:rPr>
                <w:rFonts w:ascii="Times New Roman"/>
                <w:color w:val="000000" w:themeColor="text1"/>
              </w:rPr>
              <w:t>，由杂填土、粉质粘土等组成，包气带渗透系数为</w:t>
            </w:r>
            <w:r w:rsidRPr="008A2411">
              <w:rPr>
                <w:rFonts w:ascii="Times New Roman"/>
                <w:color w:val="000000" w:themeColor="text1"/>
              </w:rPr>
              <w:t>9.47×10</w:t>
            </w:r>
            <w:r w:rsidRPr="008A2411">
              <w:rPr>
                <w:rFonts w:ascii="Times New Roman"/>
                <w:color w:val="000000" w:themeColor="text1"/>
                <w:vertAlign w:val="superscript"/>
              </w:rPr>
              <w:t>-5</w:t>
            </w:r>
            <w:r w:rsidRPr="008A2411">
              <w:rPr>
                <w:rFonts w:ascii="Times New Roman"/>
                <w:color w:val="000000" w:themeColor="text1"/>
              </w:rPr>
              <w:t>～</w:t>
            </w:r>
            <w:r w:rsidRPr="008A2411">
              <w:rPr>
                <w:rFonts w:ascii="Times New Roman"/>
                <w:bCs/>
                <w:color w:val="000000" w:themeColor="text1"/>
              </w:rPr>
              <w:t>1.49</w:t>
            </w:r>
            <w:r w:rsidRPr="008A2411">
              <w:rPr>
                <w:rFonts w:ascii="Times New Roman"/>
                <w:color w:val="000000" w:themeColor="text1"/>
              </w:rPr>
              <w:t>×10</w:t>
            </w:r>
            <w:r w:rsidRPr="008A2411">
              <w:rPr>
                <w:rFonts w:ascii="Times New Roman"/>
                <w:color w:val="000000" w:themeColor="text1"/>
                <w:vertAlign w:val="superscript"/>
              </w:rPr>
              <w:t>-4</w:t>
            </w:r>
            <w:r w:rsidRPr="008A2411">
              <w:rPr>
                <w:rFonts w:ascii="Times New Roman"/>
                <w:color w:val="000000" w:themeColor="text1"/>
              </w:rPr>
              <w:t>cm/s</w:t>
            </w:r>
            <w:r w:rsidRPr="008A2411">
              <w:rPr>
                <w:rFonts w:ascii="Times New Roman"/>
                <w:color w:val="000000" w:themeColor="text1"/>
              </w:rPr>
              <w:t>，</w:t>
            </w:r>
            <w:r w:rsidRPr="008A2411">
              <w:rPr>
                <w:rFonts w:ascii="Times New Roman"/>
                <w:color w:val="000000" w:themeColor="text1"/>
                <w:kern w:val="0"/>
              </w:rPr>
              <w:t>沙</w:t>
            </w:r>
            <w:proofErr w:type="gramStart"/>
            <w:r w:rsidRPr="008A2411">
              <w:rPr>
                <w:rFonts w:ascii="Times New Roman"/>
                <w:color w:val="000000" w:themeColor="text1"/>
                <w:kern w:val="0"/>
              </w:rPr>
              <w:t>溪庙组砂</w:t>
            </w:r>
            <w:proofErr w:type="gramEnd"/>
            <w:r w:rsidRPr="008A2411">
              <w:rPr>
                <w:rFonts w:ascii="Times New Roman"/>
                <w:color w:val="000000" w:themeColor="text1"/>
                <w:kern w:val="0"/>
              </w:rPr>
              <w:t>泥岩强风化裂隙含水层渗透系数介于</w:t>
            </w:r>
            <w:r w:rsidRPr="008A2411">
              <w:rPr>
                <w:rFonts w:ascii="Times New Roman"/>
                <w:color w:val="000000" w:themeColor="text1"/>
                <w:kern w:val="0"/>
              </w:rPr>
              <w:t>0.052</w:t>
            </w:r>
            <w:r w:rsidRPr="008A2411">
              <w:rPr>
                <w:rFonts w:ascii="Times New Roman"/>
                <w:color w:val="000000" w:themeColor="text1"/>
                <w:kern w:val="0"/>
              </w:rPr>
              <w:t>～</w:t>
            </w:r>
            <w:r w:rsidRPr="008A2411">
              <w:rPr>
                <w:rFonts w:ascii="Times New Roman"/>
                <w:color w:val="000000" w:themeColor="text1"/>
                <w:kern w:val="0"/>
              </w:rPr>
              <w:t>0.097 m/d</w:t>
            </w:r>
            <w:r w:rsidRPr="008A2411">
              <w:rPr>
                <w:rFonts w:ascii="Times New Roman"/>
                <w:color w:val="000000" w:themeColor="text1"/>
                <w:kern w:val="0"/>
              </w:rPr>
              <w:t>，本次取均值</w:t>
            </w:r>
            <w:r w:rsidRPr="008A2411">
              <w:rPr>
                <w:rFonts w:ascii="Times New Roman"/>
                <w:color w:val="000000" w:themeColor="text1"/>
                <w:kern w:val="0"/>
              </w:rPr>
              <w:t>0.077 m/d</w:t>
            </w:r>
            <w:r w:rsidRPr="008A2411">
              <w:rPr>
                <w:rFonts w:ascii="Times New Roman"/>
                <w:color w:val="000000" w:themeColor="text1"/>
                <w:kern w:val="0"/>
              </w:rPr>
              <w:t>（</w:t>
            </w:r>
            <w:r w:rsidRPr="008A2411">
              <w:rPr>
                <w:rFonts w:ascii="Times New Roman"/>
                <w:color w:val="000000" w:themeColor="text1"/>
                <w:kern w:val="0"/>
              </w:rPr>
              <w:t>8.87×10</w:t>
            </w:r>
            <w:r w:rsidRPr="008A2411">
              <w:rPr>
                <w:rFonts w:ascii="Times New Roman"/>
                <w:color w:val="000000" w:themeColor="text1"/>
                <w:kern w:val="0"/>
                <w:vertAlign w:val="superscript"/>
              </w:rPr>
              <w:t>-5</w:t>
            </w:r>
            <w:r w:rsidRPr="008A2411">
              <w:rPr>
                <w:rFonts w:ascii="Times New Roman"/>
                <w:color w:val="000000" w:themeColor="text1"/>
                <w:kern w:val="0"/>
              </w:rPr>
              <w:t xml:space="preserve"> cm/s</w:t>
            </w:r>
            <w:r w:rsidRPr="008A2411">
              <w:rPr>
                <w:rFonts w:ascii="Times New Roman"/>
                <w:color w:val="000000" w:themeColor="text1"/>
                <w:kern w:val="0"/>
              </w:rPr>
              <w:t>）</w:t>
            </w:r>
            <w:r w:rsidRPr="008A2411">
              <w:rPr>
                <w:rFonts w:ascii="Times New Roman"/>
                <w:color w:val="000000" w:themeColor="text1"/>
              </w:rPr>
              <w:t>，借鉴</w:t>
            </w:r>
            <w:r w:rsidRPr="008A2411">
              <w:rPr>
                <w:rFonts w:ascii="Times New Roman"/>
                <w:color w:val="000000" w:themeColor="text1"/>
                <w:kern w:val="0"/>
              </w:rPr>
              <w:t>《四川省达州市宣汉县红层丘陵区找水打井工程地下水调查与区划报告》</w:t>
            </w:r>
            <w:r w:rsidRPr="008A2411">
              <w:rPr>
                <w:rFonts w:ascii="Times New Roman"/>
                <w:color w:val="000000" w:themeColor="text1"/>
              </w:rPr>
              <w:t>中降雨入渗量统计成果降雨入渗系数为</w:t>
            </w:r>
            <w:r w:rsidRPr="008A2411">
              <w:rPr>
                <w:rFonts w:ascii="Times New Roman"/>
                <w:color w:val="000000" w:themeColor="text1"/>
              </w:rPr>
              <w:t>0.035</w:t>
            </w:r>
            <w:r w:rsidRPr="008A2411">
              <w:rPr>
                <w:rFonts w:ascii="Times New Roman"/>
                <w:color w:val="000000" w:themeColor="text1"/>
              </w:rPr>
              <w:t>，泄漏废液按</w:t>
            </w:r>
            <w:r w:rsidRPr="008A2411">
              <w:rPr>
                <w:rFonts w:ascii="Times New Roman"/>
                <w:color w:val="000000" w:themeColor="text1"/>
              </w:rPr>
              <w:t>3.5%</w:t>
            </w:r>
            <w:r w:rsidRPr="008A2411">
              <w:rPr>
                <w:rFonts w:ascii="Times New Roman"/>
                <w:color w:val="000000" w:themeColor="text1"/>
              </w:rPr>
              <w:t>考虑下渗进入地下水系统，剩余部分通过导流沟收集至事故水池。</w:t>
            </w:r>
          </w:p>
        </w:tc>
      </w:tr>
      <w:tr w:rsidR="00B0005F" w:rsidRPr="008A2411" w14:paraId="7CD692D1" w14:textId="77777777">
        <w:trPr>
          <w:trHeight w:val="20"/>
          <w:jc w:val="center"/>
        </w:trPr>
        <w:tc>
          <w:tcPr>
            <w:tcW w:w="455" w:type="pct"/>
            <w:tcMar>
              <w:left w:w="57" w:type="dxa"/>
              <w:right w:w="57" w:type="dxa"/>
            </w:tcMar>
            <w:vAlign w:val="center"/>
          </w:tcPr>
          <w:p w14:paraId="1985098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环保工程</w:t>
            </w:r>
          </w:p>
        </w:tc>
        <w:tc>
          <w:tcPr>
            <w:tcW w:w="421" w:type="pct"/>
            <w:tcMar>
              <w:left w:w="57" w:type="dxa"/>
              <w:right w:w="57" w:type="dxa"/>
            </w:tcMar>
            <w:vAlign w:val="center"/>
          </w:tcPr>
          <w:p w14:paraId="1FCB856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污水处理站</w:t>
            </w:r>
          </w:p>
        </w:tc>
        <w:tc>
          <w:tcPr>
            <w:tcW w:w="1010" w:type="pct"/>
            <w:shd w:val="clear" w:color="auto" w:fill="auto"/>
            <w:noWrap/>
            <w:tcMar>
              <w:left w:w="57" w:type="dxa"/>
              <w:right w:w="57" w:type="dxa"/>
            </w:tcMar>
            <w:vAlign w:val="center"/>
          </w:tcPr>
          <w:p w14:paraId="5DCA19A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污水处理站采用防渗性能与厚度</w:t>
            </w:r>
            <w:r w:rsidRPr="008A2411">
              <w:rPr>
                <w:rFonts w:ascii="Times New Roman"/>
                <w:color w:val="000000" w:themeColor="text1"/>
              </w:rPr>
              <w:t>Mb≥6m</w:t>
            </w:r>
            <w:r w:rsidRPr="008A2411">
              <w:rPr>
                <w:rFonts w:ascii="Times New Roman"/>
                <w:color w:val="000000" w:themeColor="text1"/>
              </w:rPr>
              <w:t>，渗透系数</w:t>
            </w:r>
            <w:r w:rsidRPr="008A2411">
              <w:rPr>
                <w:rFonts w:ascii="Times New Roman"/>
                <w:color w:val="000000" w:themeColor="text1"/>
              </w:rPr>
              <w:t>K≤1×10</w:t>
            </w:r>
            <w:r w:rsidRPr="008A2411">
              <w:rPr>
                <w:rFonts w:ascii="Times New Roman"/>
                <w:color w:val="000000" w:themeColor="text1"/>
                <w:vertAlign w:val="superscript"/>
              </w:rPr>
              <w:t>-7</w:t>
            </w:r>
            <w:r w:rsidRPr="008A2411">
              <w:rPr>
                <w:rFonts w:ascii="Times New Roman"/>
                <w:color w:val="000000" w:themeColor="text1"/>
              </w:rPr>
              <w:t>cm/s</w:t>
            </w:r>
            <w:r w:rsidRPr="008A2411">
              <w:rPr>
                <w:rFonts w:ascii="Times New Roman"/>
                <w:color w:val="000000" w:themeColor="text1"/>
              </w:rPr>
              <w:t>粘土防渗层等效的钢筋混凝土防渗措施，等效水头取满载</w:t>
            </w:r>
            <w:r w:rsidRPr="008A2411">
              <w:rPr>
                <w:rFonts w:ascii="Times New Roman"/>
                <w:color w:val="000000" w:themeColor="text1"/>
              </w:rPr>
              <w:t>3.0m</w:t>
            </w:r>
            <w:r w:rsidRPr="008A2411">
              <w:rPr>
                <w:rFonts w:ascii="Times New Roman"/>
                <w:color w:val="000000" w:themeColor="text1"/>
              </w:rPr>
              <w:t>。</w:t>
            </w:r>
          </w:p>
        </w:tc>
        <w:tc>
          <w:tcPr>
            <w:tcW w:w="3114" w:type="pct"/>
            <w:shd w:val="clear" w:color="auto" w:fill="auto"/>
            <w:noWrap/>
            <w:tcMar>
              <w:left w:w="57" w:type="dxa"/>
              <w:right w:w="57" w:type="dxa"/>
            </w:tcMar>
            <w:vAlign w:val="center"/>
          </w:tcPr>
          <w:p w14:paraId="2D464BCC" w14:textId="77777777" w:rsidR="00B0005F" w:rsidRPr="008A2411" w:rsidRDefault="00000000">
            <w:pPr>
              <w:pStyle w:val="affffffffffff2"/>
              <w:rPr>
                <w:rFonts w:ascii="Times New Roman"/>
                <w:color w:val="000000" w:themeColor="text1"/>
              </w:rPr>
            </w:pPr>
            <w:proofErr w:type="gramStart"/>
            <w:r w:rsidRPr="008A2411">
              <w:rPr>
                <w:rFonts w:ascii="Times New Roman"/>
                <w:color w:val="000000" w:themeColor="text1"/>
              </w:rPr>
              <w:t>污水池体因腐蚀</w:t>
            </w:r>
            <w:proofErr w:type="gramEnd"/>
            <w:r w:rsidRPr="008A2411">
              <w:rPr>
                <w:rFonts w:ascii="Times New Roman"/>
                <w:color w:val="000000" w:themeColor="text1"/>
              </w:rPr>
              <w:t>等原因出现裂缝，池体防渗层裂缝</w:t>
            </w:r>
            <w:proofErr w:type="gramStart"/>
            <w:r w:rsidRPr="008A2411">
              <w:rPr>
                <w:rFonts w:ascii="Times New Roman"/>
                <w:color w:val="000000" w:themeColor="text1"/>
              </w:rPr>
              <w:t>面积占池体</w:t>
            </w:r>
            <w:proofErr w:type="gramEnd"/>
            <w:r w:rsidRPr="008A2411">
              <w:rPr>
                <w:rFonts w:ascii="Times New Roman"/>
                <w:color w:val="000000" w:themeColor="text1"/>
              </w:rPr>
              <w:t>面积</w:t>
            </w:r>
            <w:r w:rsidRPr="008A2411">
              <w:rPr>
                <w:rFonts w:ascii="Times New Roman"/>
                <w:color w:val="000000" w:themeColor="text1"/>
              </w:rPr>
              <w:t>10%</w:t>
            </w:r>
            <w:r w:rsidRPr="008A2411">
              <w:rPr>
                <w:rFonts w:ascii="Times New Roman"/>
                <w:color w:val="000000" w:themeColor="text1"/>
              </w:rPr>
              <w:t>，池体内水位高度取满负荷</w:t>
            </w:r>
            <w:r w:rsidRPr="008A2411">
              <w:rPr>
                <w:rFonts w:ascii="Times New Roman"/>
                <w:color w:val="000000" w:themeColor="text1"/>
              </w:rPr>
              <w:t>3.0m</w:t>
            </w:r>
            <w:r w:rsidRPr="008A2411">
              <w:rPr>
                <w:rFonts w:ascii="Times New Roman"/>
                <w:color w:val="000000" w:themeColor="text1"/>
              </w:rPr>
              <w:t>。</w:t>
            </w:r>
          </w:p>
        </w:tc>
      </w:tr>
    </w:tbl>
    <w:p w14:paraId="4ECB6797" w14:textId="77777777" w:rsidR="00B0005F" w:rsidRPr="008A2411" w:rsidRDefault="00B0005F">
      <w:pPr>
        <w:pStyle w:val="affffff5"/>
        <w:rPr>
          <w:rFonts w:ascii="Times New Roman" w:hAnsi="Times New Roman"/>
          <w:color w:val="000000" w:themeColor="text1"/>
          <w:lang w:eastAsia="zh-CN"/>
        </w:rPr>
      </w:pPr>
    </w:p>
    <w:p w14:paraId="6C51FBDF" w14:textId="77777777" w:rsidR="00B0005F" w:rsidRPr="008A2411" w:rsidRDefault="00000000">
      <w:pPr>
        <w:adjustRightInd w:val="0"/>
        <w:spacing w:line="360" w:lineRule="auto"/>
        <w:ind w:firstLine="482"/>
        <w:rPr>
          <w:rFonts w:ascii="Times New Roman"/>
          <w:b/>
          <w:color w:val="000000" w:themeColor="text1"/>
        </w:rPr>
      </w:pPr>
      <w:r w:rsidRPr="008A2411">
        <w:rPr>
          <w:rFonts w:ascii="Times New Roman"/>
          <w:b/>
          <w:color w:val="000000" w:themeColor="text1"/>
        </w:rPr>
        <w:t>2</w:t>
      </w:r>
      <w:r w:rsidRPr="008A2411">
        <w:rPr>
          <w:rFonts w:ascii="Times New Roman"/>
          <w:b/>
          <w:color w:val="000000" w:themeColor="text1"/>
        </w:rPr>
        <w:t>、计算方法</w:t>
      </w:r>
    </w:p>
    <w:p w14:paraId="2038890F" w14:textId="77777777" w:rsidR="00B0005F" w:rsidRPr="008A2411" w:rsidRDefault="00000000">
      <w:pPr>
        <w:snapToGrid w:val="0"/>
        <w:spacing w:line="360" w:lineRule="auto"/>
        <w:ind w:firstLine="480"/>
        <w:rPr>
          <w:rFonts w:ascii="Times New Roman"/>
          <w:color w:val="000000" w:themeColor="text1"/>
          <w:szCs w:val="24"/>
        </w:rPr>
      </w:pPr>
      <w:r w:rsidRPr="008A2411">
        <w:rPr>
          <w:rFonts w:ascii="Times New Roman"/>
          <w:color w:val="000000" w:themeColor="text1"/>
          <w:szCs w:val="24"/>
        </w:rPr>
        <w:t>假设正常状况下</w:t>
      </w:r>
      <w:proofErr w:type="gramStart"/>
      <w:r w:rsidRPr="008A2411">
        <w:rPr>
          <w:rFonts w:ascii="Times New Roman"/>
          <w:color w:val="000000" w:themeColor="text1"/>
          <w:szCs w:val="24"/>
        </w:rPr>
        <w:t>污水处理站池体内</w:t>
      </w:r>
      <w:proofErr w:type="gramEnd"/>
      <w:r w:rsidRPr="008A2411">
        <w:rPr>
          <w:rFonts w:ascii="Times New Roman"/>
          <w:color w:val="000000" w:themeColor="text1"/>
          <w:szCs w:val="24"/>
        </w:rPr>
        <w:t>废水下渗满足达西定律，正常运行状况</w:t>
      </w:r>
      <w:r w:rsidRPr="008A2411">
        <w:rPr>
          <w:rFonts w:ascii="Times New Roman"/>
          <w:color w:val="000000" w:themeColor="text1"/>
          <w:szCs w:val="24"/>
        </w:rPr>
        <w:lastRenderedPageBreak/>
        <w:t>下，废水穿过防渗层及包气带，渗漏进入含水层废水下渗量可采用基于达西定律具有防渗</w:t>
      </w:r>
      <w:proofErr w:type="gramStart"/>
      <w:r w:rsidRPr="008A2411">
        <w:rPr>
          <w:rFonts w:ascii="Times New Roman"/>
          <w:color w:val="000000" w:themeColor="text1"/>
          <w:szCs w:val="24"/>
        </w:rPr>
        <w:t>层条件</w:t>
      </w:r>
      <w:proofErr w:type="gramEnd"/>
      <w:r w:rsidRPr="008A2411">
        <w:rPr>
          <w:rFonts w:ascii="Times New Roman"/>
          <w:color w:val="000000" w:themeColor="text1"/>
          <w:szCs w:val="24"/>
        </w:rPr>
        <w:t>的下渗量估算公式（式</w:t>
      </w:r>
      <w:r w:rsidRPr="008A2411">
        <w:rPr>
          <w:rFonts w:ascii="Times New Roman"/>
          <w:color w:val="000000" w:themeColor="text1"/>
          <w:szCs w:val="24"/>
        </w:rPr>
        <w:t>10-1</w:t>
      </w:r>
      <w:r w:rsidRPr="008A2411">
        <w:rPr>
          <w:rFonts w:ascii="Times New Roman"/>
          <w:color w:val="000000" w:themeColor="text1"/>
          <w:szCs w:val="24"/>
        </w:rPr>
        <w:t>和式</w:t>
      </w:r>
      <w:r w:rsidRPr="008A2411">
        <w:rPr>
          <w:rFonts w:ascii="Times New Roman"/>
          <w:color w:val="000000" w:themeColor="text1"/>
          <w:szCs w:val="24"/>
        </w:rPr>
        <w:t>10-2</w:t>
      </w:r>
      <w:r w:rsidRPr="008A2411">
        <w:rPr>
          <w:rFonts w:ascii="Times New Roman"/>
          <w:color w:val="000000" w:themeColor="text1"/>
          <w:szCs w:val="24"/>
        </w:rPr>
        <w:t>）进行估算：</w:t>
      </w:r>
    </w:p>
    <w:tbl>
      <w:tblPr>
        <w:tblW w:w="0" w:type="auto"/>
        <w:tblLook w:val="04A0" w:firstRow="1" w:lastRow="0" w:firstColumn="1" w:lastColumn="0" w:noHBand="0" w:noVBand="1"/>
      </w:tblPr>
      <w:tblGrid>
        <w:gridCol w:w="1242"/>
        <w:gridCol w:w="5245"/>
        <w:gridCol w:w="2035"/>
      </w:tblGrid>
      <w:tr w:rsidR="008A2411" w:rsidRPr="008A2411" w14:paraId="232E3D75" w14:textId="77777777">
        <w:tc>
          <w:tcPr>
            <w:tcW w:w="1242" w:type="dxa"/>
            <w:shd w:val="clear" w:color="auto" w:fill="auto"/>
            <w:vAlign w:val="center"/>
          </w:tcPr>
          <w:p w14:paraId="33EEBF6B" w14:textId="77777777" w:rsidR="00B0005F" w:rsidRPr="008A2411" w:rsidRDefault="00B0005F">
            <w:pPr>
              <w:widowControl/>
              <w:autoSpaceDE w:val="0"/>
              <w:autoSpaceDN w:val="0"/>
              <w:snapToGrid w:val="0"/>
              <w:spacing w:line="360" w:lineRule="auto"/>
              <w:ind w:firstLine="480"/>
              <w:jc w:val="center"/>
              <w:rPr>
                <w:rFonts w:ascii="Times New Roman"/>
                <w:color w:val="000000" w:themeColor="text1"/>
                <w:szCs w:val="24"/>
              </w:rPr>
            </w:pPr>
          </w:p>
        </w:tc>
        <w:tc>
          <w:tcPr>
            <w:tcW w:w="5245" w:type="dxa"/>
            <w:shd w:val="clear" w:color="auto" w:fill="auto"/>
            <w:vAlign w:val="center"/>
          </w:tcPr>
          <w:p w14:paraId="693243D6" w14:textId="77777777" w:rsidR="00B0005F" w:rsidRPr="008A2411" w:rsidRDefault="00000000">
            <w:pPr>
              <w:pStyle w:val="affffffffffff2"/>
              <w:adjustRightInd/>
              <w:snapToGrid w:val="0"/>
              <w:spacing w:line="360" w:lineRule="auto"/>
              <w:rPr>
                <w:rFonts w:ascii="Times New Roman"/>
                <w:color w:val="000000" w:themeColor="text1"/>
                <w:sz w:val="24"/>
                <w:szCs w:val="24"/>
              </w:rPr>
            </w:pPr>
            <m:oMathPara>
              <m:oMath>
                <m:r>
                  <m:rPr>
                    <m:sty m:val="p"/>
                  </m:rPr>
                  <w:rPr>
                    <w:rFonts w:ascii="Cambria Math" w:hAnsi="Cambria Math"/>
                    <w:color w:val="000000" w:themeColor="text1"/>
                    <w:sz w:val="24"/>
                    <w:szCs w:val="24"/>
                  </w:rPr>
                  <m:t>Q=</m:t>
                </m:r>
                <m:sSub>
                  <m:sSubPr>
                    <m:ctrlPr>
                      <w:rPr>
                        <w:rFonts w:ascii="Cambria Math" w:hAnsi="Cambria Math"/>
                        <w:color w:val="000000" w:themeColor="text1"/>
                        <w:sz w:val="24"/>
                        <w:szCs w:val="24"/>
                      </w:rPr>
                    </m:ctrlPr>
                  </m:sSubPr>
                  <m:e>
                    <m:r>
                      <m:rPr>
                        <m:sty m:val="p"/>
                      </m:rPr>
                      <w:rPr>
                        <w:rFonts w:ascii="Cambria Math" w:hAnsi="Cambria Math"/>
                        <w:color w:val="000000" w:themeColor="text1"/>
                        <w:sz w:val="24"/>
                        <w:szCs w:val="24"/>
                      </w:rPr>
                      <m:t>K</m:t>
                    </m:r>
                  </m:e>
                  <m:sub>
                    <m:r>
                      <m:rPr>
                        <m:sty m:val="p"/>
                      </m:rPr>
                      <w:rPr>
                        <w:rFonts w:ascii="Cambria Math" w:hAnsi="Cambria Math"/>
                        <w:color w:val="000000" w:themeColor="text1"/>
                        <w:sz w:val="24"/>
                        <w:szCs w:val="24"/>
                      </w:rPr>
                      <m:t>1</m:t>
                    </m:r>
                  </m:sub>
                </m:sSub>
                <m:r>
                  <m:rPr>
                    <m:sty m:val="p"/>
                  </m:rPr>
                  <w:rPr>
                    <w:rFonts w:ascii="Cambria Math" w:hAnsi="Cambria Math"/>
                    <w:color w:val="000000" w:themeColor="text1"/>
                    <w:sz w:val="24"/>
                    <w:szCs w:val="24"/>
                  </w:rPr>
                  <m:t>A</m:t>
                </m:r>
                <m:f>
                  <m:fPr>
                    <m:ctrlPr>
                      <w:rPr>
                        <w:rFonts w:ascii="Cambria Math" w:hAnsi="Cambria Math"/>
                        <w:color w:val="000000" w:themeColor="text1"/>
                        <w:sz w:val="24"/>
                        <w:szCs w:val="24"/>
                      </w:rPr>
                    </m:ctrlPr>
                  </m:fPr>
                  <m:num>
                    <m:sSub>
                      <m:sSubPr>
                        <m:ctrlPr>
                          <w:rPr>
                            <w:rFonts w:ascii="Cambria Math" w:hAnsi="Cambria Math"/>
                            <w:color w:val="000000" w:themeColor="text1"/>
                            <w:sz w:val="24"/>
                            <w:szCs w:val="24"/>
                          </w:rPr>
                        </m:ctrlPr>
                      </m:sSubPr>
                      <m:e>
                        <m:r>
                          <w:rPr>
                            <w:rFonts w:ascii="Cambria Math" w:hAnsi="Cambria Math"/>
                            <w:color w:val="000000" w:themeColor="text1"/>
                            <w:sz w:val="24"/>
                            <w:szCs w:val="24"/>
                          </w:rPr>
                          <m:t>h</m:t>
                        </m:r>
                      </m:e>
                      <m:sub>
                        <m:r>
                          <m:rPr>
                            <m:sty m:val="p"/>
                          </m:rPr>
                          <w:rPr>
                            <w:rFonts w:ascii="Cambria Math" w:hAnsi="Cambria Math"/>
                            <w:color w:val="000000" w:themeColor="text1"/>
                            <w:sz w:val="24"/>
                            <w:szCs w:val="24"/>
                          </w:rPr>
                          <m:t>池</m:t>
                        </m:r>
                      </m:sub>
                    </m:sSub>
                    <m:r>
                      <m:rPr>
                        <m:sty m:val="p"/>
                      </m:rPr>
                      <w:rPr>
                        <w:rFonts w:ascii="Cambria Math" w:eastAsia="MS Gothic" w:hAnsi="Cambria Math"/>
                        <w:color w:val="000000" w:themeColor="text1"/>
                        <w:sz w:val="24"/>
                        <w:szCs w:val="24"/>
                      </w:rPr>
                      <m:t>-</m:t>
                    </m:r>
                    <m:sSub>
                      <m:sSubPr>
                        <m:ctrlPr>
                          <w:rPr>
                            <w:rFonts w:ascii="Cambria Math" w:hAnsi="Cambria Math"/>
                            <w:color w:val="000000" w:themeColor="text1"/>
                            <w:sz w:val="24"/>
                            <w:szCs w:val="24"/>
                          </w:rPr>
                        </m:ctrlPr>
                      </m:sSubPr>
                      <m:e>
                        <m:r>
                          <w:rPr>
                            <w:rFonts w:ascii="Cambria Math" w:hAnsi="Cambria Math"/>
                            <w:color w:val="000000" w:themeColor="text1"/>
                            <w:sz w:val="24"/>
                            <w:szCs w:val="24"/>
                          </w:rPr>
                          <m:t>h</m:t>
                        </m:r>
                      </m:e>
                      <m:sub>
                        <m:r>
                          <m:rPr>
                            <m:sty m:val="p"/>
                          </m:rPr>
                          <w:rPr>
                            <w:rFonts w:ascii="Cambria Math" w:hAnsi="Cambria Math"/>
                            <w:color w:val="000000" w:themeColor="text1"/>
                            <w:sz w:val="24"/>
                            <w:szCs w:val="24"/>
                          </w:rPr>
                          <m:t>1</m:t>
                        </m:r>
                      </m:sub>
                    </m:sSub>
                  </m:num>
                  <m:den>
                    <m:sSub>
                      <m:sSubPr>
                        <m:ctrlPr>
                          <w:rPr>
                            <w:rFonts w:ascii="Cambria Math" w:hAnsi="Cambria Math"/>
                            <w:color w:val="000000" w:themeColor="text1"/>
                            <w:sz w:val="24"/>
                            <w:szCs w:val="24"/>
                          </w:rPr>
                        </m:ctrlPr>
                      </m:sSubPr>
                      <m:e>
                        <m:r>
                          <w:rPr>
                            <w:rFonts w:ascii="Cambria Math" w:hAnsi="Cambria Math"/>
                            <w:color w:val="000000" w:themeColor="text1"/>
                            <w:sz w:val="24"/>
                            <w:szCs w:val="24"/>
                          </w:rPr>
                          <m:t>h</m:t>
                        </m:r>
                      </m:e>
                      <m:sub>
                        <m:r>
                          <m:rPr>
                            <m:sty m:val="p"/>
                          </m:rPr>
                          <w:rPr>
                            <w:rFonts w:ascii="Cambria Math" w:hAnsi="Cambria Math"/>
                            <w:color w:val="000000" w:themeColor="text1"/>
                            <w:sz w:val="24"/>
                            <w:szCs w:val="24"/>
                          </w:rPr>
                          <m:t>防</m:t>
                        </m:r>
                      </m:sub>
                    </m:sSub>
                  </m:den>
                </m:f>
              </m:oMath>
            </m:oMathPara>
          </w:p>
        </w:tc>
        <w:tc>
          <w:tcPr>
            <w:tcW w:w="2035" w:type="dxa"/>
            <w:shd w:val="clear" w:color="auto" w:fill="auto"/>
            <w:vAlign w:val="center"/>
          </w:tcPr>
          <w:p w14:paraId="2C390980" w14:textId="77777777" w:rsidR="00B0005F" w:rsidRPr="008A2411" w:rsidRDefault="00000000">
            <w:pPr>
              <w:widowControl/>
              <w:autoSpaceDE w:val="0"/>
              <w:autoSpaceDN w:val="0"/>
              <w:snapToGrid w:val="0"/>
              <w:spacing w:line="360" w:lineRule="auto"/>
              <w:ind w:firstLine="480"/>
              <w:rPr>
                <w:rFonts w:ascii="Times New Roman"/>
                <w:color w:val="000000" w:themeColor="text1"/>
                <w:szCs w:val="24"/>
              </w:rPr>
            </w:pPr>
            <w:r w:rsidRPr="008A2411">
              <w:rPr>
                <w:rFonts w:ascii="Times New Roman"/>
                <w:color w:val="000000" w:themeColor="text1"/>
                <w:szCs w:val="24"/>
              </w:rPr>
              <w:t>（</w:t>
            </w:r>
            <w:r w:rsidRPr="008A2411">
              <w:rPr>
                <w:rFonts w:ascii="Times New Roman"/>
                <w:color w:val="000000" w:themeColor="text1"/>
                <w:szCs w:val="24"/>
              </w:rPr>
              <w:t>1</w:t>
            </w:r>
            <w:r w:rsidRPr="008A2411">
              <w:rPr>
                <w:rFonts w:ascii="Times New Roman"/>
                <w:color w:val="000000" w:themeColor="text1"/>
                <w:szCs w:val="24"/>
              </w:rPr>
              <w:t>）</w:t>
            </w:r>
          </w:p>
        </w:tc>
      </w:tr>
      <w:tr w:rsidR="008A2411" w:rsidRPr="008A2411" w14:paraId="21987B40" w14:textId="77777777">
        <w:tc>
          <w:tcPr>
            <w:tcW w:w="1242" w:type="dxa"/>
            <w:shd w:val="clear" w:color="auto" w:fill="auto"/>
            <w:vAlign w:val="center"/>
          </w:tcPr>
          <w:p w14:paraId="3FF86FB2" w14:textId="77777777" w:rsidR="00B0005F" w:rsidRPr="008A2411" w:rsidRDefault="00B0005F">
            <w:pPr>
              <w:widowControl/>
              <w:autoSpaceDE w:val="0"/>
              <w:autoSpaceDN w:val="0"/>
              <w:snapToGrid w:val="0"/>
              <w:spacing w:line="360" w:lineRule="auto"/>
              <w:ind w:firstLine="480"/>
              <w:jc w:val="center"/>
              <w:rPr>
                <w:rFonts w:ascii="Times New Roman"/>
                <w:color w:val="000000" w:themeColor="text1"/>
                <w:szCs w:val="24"/>
              </w:rPr>
            </w:pPr>
          </w:p>
        </w:tc>
        <w:tc>
          <w:tcPr>
            <w:tcW w:w="5245" w:type="dxa"/>
            <w:shd w:val="clear" w:color="auto" w:fill="auto"/>
            <w:vAlign w:val="center"/>
          </w:tcPr>
          <w:p w14:paraId="38E1D05D" w14:textId="77777777" w:rsidR="00B0005F" w:rsidRPr="008A2411" w:rsidRDefault="00000000">
            <w:pPr>
              <w:pStyle w:val="affffffffffff2"/>
              <w:adjustRightInd/>
              <w:snapToGrid w:val="0"/>
              <w:spacing w:line="360" w:lineRule="auto"/>
              <w:rPr>
                <w:rFonts w:ascii="Times New Roman"/>
                <w:color w:val="000000" w:themeColor="text1"/>
                <w:sz w:val="24"/>
                <w:szCs w:val="24"/>
              </w:rPr>
            </w:pPr>
            <m:oMathPara>
              <m:oMath>
                <m:sSub>
                  <m:sSubPr>
                    <m:ctrlPr>
                      <w:rPr>
                        <w:rFonts w:ascii="Cambria Math" w:hAnsi="Cambria Math"/>
                        <w:color w:val="000000" w:themeColor="text1"/>
                        <w:sz w:val="24"/>
                        <w:szCs w:val="24"/>
                      </w:rPr>
                    </m:ctrlPr>
                  </m:sSubPr>
                  <m:e>
                    <m:r>
                      <m:rPr>
                        <m:sty m:val="p"/>
                      </m:rPr>
                      <w:rPr>
                        <w:rFonts w:ascii="Cambria Math" w:hAnsi="Cambria Math"/>
                        <w:color w:val="000000" w:themeColor="text1"/>
                        <w:sz w:val="24"/>
                        <w:szCs w:val="24"/>
                      </w:rPr>
                      <m:t>K</m:t>
                    </m:r>
                  </m:e>
                  <m:sub>
                    <m:r>
                      <m:rPr>
                        <m:sty m:val="p"/>
                      </m:rPr>
                      <w:rPr>
                        <w:rFonts w:ascii="Cambria Math" w:hAnsi="Cambria Math"/>
                        <w:color w:val="000000" w:themeColor="text1"/>
                        <w:sz w:val="24"/>
                        <w:szCs w:val="24"/>
                      </w:rPr>
                      <m:t>1</m:t>
                    </m:r>
                  </m:sub>
                </m:sSub>
                <m:r>
                  <w:rPr>
                    <w:rFonts w:ascii="Cambria Math" w:hAnsi="Cambria Math"/>
                    <w:color w:val="000000" w:themeColor="text1"/>
                    <w:sz w:val="24"/>
                    <w:szCs w:val="24"/>
                  </w:rPr>
                  <m:t>A</m:t>
                </m:r>
                <m:f>
                  <m:fPr>
                    <m:ctrlPr>
                      <w:rPr>
                        <w:rFonts w:ascii="Cambria Math" w:hAnsi="Cambria Math"/>
                        <w:color w:val="000000" w:themeColor="text1"/>
                        <w:sz w:val="24"/>
                        <w:szCs w:val="24"/>
                      </w:rPr>
                    </m:ctrlPr>
                  </m:fPr>
                  <m:num>
                    <m:sSub>
                      <m:sSubPr>
                        <m:ctrlPr>
                          <w:rPr>
                            <w:rFonts w:ascii="Cambria Math" w:hAnsi="Cambria Math"/>
                            <w:color w:val="000000" w:themeColor="text1"/>
                            <w:sz w:val="24"/>
                            <w:szCs w:val="24"/>
                          </w:rPr>
                        </m:ctrlPr>
                      </m:sSubPr>
                      <m:e>
                        <m:r>
                          <w:rPr>
                            <w:rFonts w:ascii="Cambria Math" w:hAnsi="Cambria Math"/>
                            <w:color w:val="000000" w:themeColor="text1"/>
                            <w:sz w:val="24"/>
                            <w:szCs w:val="24"/>
                          </w:rPr>
                          <m:t>h</m:t>
                        </m:r>
                      </m:e>
                      <m:sub>
                        <m:r>
                          <m:rPr>
                            <m:sty m:val="p"/>
                          </m:rPr>
                          <w:rPr>
                            <w:rFonts w:ascii="Cambria Math" w:hAnsi="Cambria Math"/>
                            <w:color w:val="000000" w:themeColor="text1"/>
                            <w:sz w:val="24"/>
                            <w:szCs w:val="24"/>
                          </w:rPr>
                          <m:t>池</m:t>
                        </m:r>
                      </m:sub>
                    </m:sSub>
                    <m:r>
                      <m:rPr>
                        <m:sty m:val="p"/>
                      </m:rPr>
                      <w:rPr>
                        <w:rFonts w:ascii="Cambria Math" w:eastAsia="MS Gothic" w:hAnsi="Cambria Math"/>
                        <w:color w:val="000000" w:themeColor="text1"/>
                        <w:sz w:val="24"/>
                        <w:szCs w:val="24"/>
                      </w:rPr>
                      <m:t>-</m:t>
                    </m:r>
                    <m:sSub>
                      <m:sSubPr>
                        <m:ctrlPr>
                          <w:rPr>
                            <w:rFonts w:ascii="Cambria Math" w:hAnsi="Cambria Math"/>
                            <w:color w:val="000000" w:themeColor="text1"/>
                            <w:sz w:val="24"/>
                            <w:szCs w:val="24"/>
                          </w:rPr>
                        </m:ctrlPr>
                      </m:sSubPr>
                      <m:e>
                        <m:r>
                          <w:rPr>
                            <w:rFonts w:ascii="Cambria Math" w:hAnsi="Cambria Math"/>
                            <w:color w:val="000000" w:themeColor="text1"/>
                            <w:sz w:val="24"/>
                            <w:szCs w:val="24"/>
                          </w:rPr>
                          <m:t>h</m:t>
                        </m:r>
                      </m:e>
                      <m:sub>
                        <m:r>
                          <m:rPr>
                            <m:sty m:val="p"/>
                          </m:rPr>
                          <w:rPr>
                            <w:rFonts w:ascii="Cambria Math" w:hAnsi="Cambria Math"/>
                            <w:color w:val="000000" w:themeColor="text1"/>
                            <w:sz w:val="24"/>
                            <w:szCs w:val="24"/>
                          </w:rPr>
                          <m:t>1</m:t>
                        </m:r>
                      </m:sub>
                    </m:sSub>
                  </m:num>
                  <m:den>
                    <m:sSub>
                      <m:sSubPr>
                        <m:ctrlPr>
                          <w:rPr>
                            <w:rFonts w:ascii="Cambria Math" w:hAnsi="Cambria Math"/>
                            <w:color w:val="000000" w:themeColor="text1"/>
                            <w:sz w:val="24"/>
                            <w:szCs w:val="24"/>
                          </w:rPr>
                        </m:ctrlPr>
                      </m:sSubPr>
                      <m:e>
                        <m:r>
                          <w:rPr>
                            <w:rFonts w:ascii="Cambria Math" w:hAnsi="Cambria Math"/>
                            <w:color w:val="000000" w:themeColor="text1"/>
                            <w:sz w:val="24"/>
                            <w:szCs w:val="24"/>
                          </w:rPr>
                          <m:t>h</m:t>
                        </m:r>
                      </m:e>
                      <m:sub>
                        <m:r>
                          <m:rPr>
                            <m:sty m:val="p"/>
                          </m:rPr>
                          <w:rPr>
                            <w:rFonts w:ascii="Cambria Math" w:hAnsi="Cambria Math"/>
                            <w:color w:val="000000" w:themeColor="text1"/>
                            <w:sz w:val="24"/>
                            <w:szCs w:val="24"/>
                          </w:rPr>
                          <m:t>防</m:t>
                        </m:r>
                      </m:sub>
                    </m:sSub>
                  </m:den>
                </m:f>
                <m:r>
                  <m:rPr>
                    <m:sty m:val="p"/>
                  </m:rPr>
                  <w:rPr>
                    <w:rFonts w:ascii="Cambria Math" w:hAnsi="Cambria Math"/>
                    <w:color w:val="000000" w:themeColor="text1"/>
                    <w:sz w:val="24"/>
                    <w:szCs w:val="24"/>
                  </w:rPr>
                  <m:t>=</m:t>
                </m:r>
                <m:sSub>
                  <m:sSubPr>
                    <m:ctrlPr>
                      <w:rPr>
                        <w:rFonts w:ascii="Cambria Math" w:hAnsi="Cambria Math"/>
                        <w:color w:val="000000" w:themeColor="text1"/>
                        <w:sz w:val="24"/>
                        <w:szCs w:val="24"/>
                      </w:rPr>
                    </m:ctrlPr>
                  </m:sSubPr>
                  <m:e>
                    <m:r>
                      <m:rPr>
                        <m:sty m:val="p"/>
                      </m:rPr>
                      <w:rPr>
                        <w:rFonts w:ascii="Cambria Math" w:hAnsi="Cambria Math"/>
                        <w:color w:val="000000" w:themeColor="text1"/>
                        <w:sz w:val="24"/>
                        <w:szCs w:val="24"/>
                      </w:rPr>
                      <m:t>K</m:t>
                    </m:r>
                  </m:e>
                  <m:sub>
                    <m:r>
                      <m:rPr>
                        <m:sty m:val="p"/>
                      </m:rPr>
                      <w:rPr>
                        <w:rFonts w:ascii="Cambria Math" w:hAnsi="Cambria Math"/>
                        <w:color w:val="000000" w:themeColor="text1"/>
                        <w:sz w:val="24"/>
                        <w:szCs w:val="24"/>
                      </w:rPr>
                      <m:t>2</m:t>
                    </m:r>
                  </m:sub>
                </m:sSub>
                <m:r>
                  <m:rPr>
                    <m:sty m:val="p"/>
                  </m:rPr>
                  <w:rPr>
                    <w:rFonts w:ascii="Cambria Math" w:hAnsi="Cambria Math"/>
                    <w:color w:val="000000" w:themeColor="text1"/>
                    <w:sz w:val="24"/>
                    <w:szCs w:val="24"/>
                  </w:rPr>
                  <m:t>A</m:t>
                </m:r>
                <m:f>
                  <m:fPr>
                    <m:ctrlPr>
                      <w:rPr>
                        <w:rFonts w:ascii="Cambria Math" w:hAnsi="Cambria Math"/>
                        <w:color w:val="000000" w:themeColor="text1"/>
                        <w:sz w:val="24"/>
                        <w:szCs w:val="24"/>
                      </w:rPr>
                    </m:ctrlPr>
                  </m:fPr>
                  <m:num>
                    <m:sSub>
                      <m:sSubPr>
                        <m:ctrlPr>
                          <w:rPr>
                            <w:rFonts w:ascii="Cambria Math" w:hAnsi="Cambria Math"/>
                            <w:color w:val="000000" w:themeColor="text1"/>
                            <w:sz w:val="24"/>
                            <w:szCs w:val="24"/>
                          </w:rPr>
                        </m:ctrlPr>
                      </m:sSubPr>
                      <m:e>
                        <m:r>
                          <w:rPr>
                            <w:rFonts w:ascii="Cambria Math" w:hAnsi="Cambria Math"/>
                            <w:color w:val="000000" w:themeColor="text1"/>
                            <w:sz w:val="24"/>
                            <w:szCs w:val="24"/>
                          </w:rPr>
                          <m:t>h</m:t>
                        </m:r>
                      </m:e>
                      <m:sub>
                        <m:r>
                          <m:rPr>
                            <m:sty m:val="p"/>
                          </m:rPr>
                          <w:rPr>
                            <w:rFonts w:ascii="Cambria Math" w:hAnsi="Cambria Math"/>
                            <w:color w:val="000000" w:themeColor="text1"/>
                            <w:sz w:val="24"/>
                            <w:szCs w:val="24"/>
                          </w:rPr>
                          <m:t>1</m:t>
                        </m:r>
                      </m:sub>
                    </m:sSub>
                  </m:num>
                  <m:den>
                    <m:sSub>
                      <m:sSubPr>
                        <m:ctrlPr>
                          <w:rPr>
                            <w:rFonts w:ascii="Cambria Math" w:hAnsi="Cambria Math"/>
                            <w:color w:val="000000" w:themeColor="text1"/>
                            <w:sz w:val="24"/>
                            <w:szCs w:val="24"/>
                          </w:rPr>
                        </m:ctrlPr>
                      </m:sSubPr>
                      <m:e>
                        <m:r>
                          <w:rPr>
                            <w:rFonts w:ascii="Cambria Math" w:hAnsi="Cambria Math"/>
                            <w:color w:val="000000" w:themeColor="text1"/>
                            <w:sz w:val="24"/>
                            <w:szCs w:val="24"/>
                          </w:rPr>
                          <m:t>h</m:t>
                        </m:r>
                      </m:e>
                      <m:sub>
                        <m:r>
                          <m:rPr>
                            <m:sty m:val="p"/>
                          </m:rPr>
                          <w:rPr>
                            <w:rFonts w:ascii="Cambria Math" w:hAnsi="Cambria Math"/>
                            <w:color w:val="000000" w:themeColor="text1"/>
                            <w:sz w:val="24"/>
                            <w:szCs w:val="24"/>
                          </w:rPr>
                          <m:t>包</m:t>
                        </m:r>
                      </m:sub>
                    </m:sSub>
                  </m:den>
                </m:f>
              </m:oMath>
            </m:oMathPara>
          </w:p>
        </w:tc>
        <w:tc>
          <w:tcPr>
            <w:tcW w:w="2035" w:type="dxa"/>
            <w:shd w:val="clear" w:color="auto" w:fill="auto"/>
            <w:vAlign w:val="center"/>
          </w:tcPr>
          <w:p w14:paraId="76FB4BD1" w14:textId="77777777" w:rsidR="00B0005F" w:rsidRPr="008A2411" w:rsidRDefault="00000000">
            <w:pPr>
              <w:widowControl/>
              <w:autoSpaceDE w:val="0"/>
              <w:autoSpaceDN w:val="0"/>
              <w:snapToGrid w:val="0"/>
              <w:spacing w:line="360" w:lineRule="auto"/>
              <w:ind w:firstLine="480"/>
              <w:rPr>
                <w:rFonts w:ascii="Times New Roman"/>
                <w:color w:val="000000" w:themeColor="text1"/>
                <w:szCs w:val="24"/>
              </w:rPr>
            </w:pPr>
            <w:r w:rsidRPr="008A2411">
              <w:rPr>
                <w:rFonts w:ascii="Times New Roman"/>
                <w:color w:val="000000" w:themeColor="text1"/>
                <w:szCs w:val="24"/>
              </w:rPr>
              <w:t>（</w:t>
            </w:r>
            <w:r w:rsidRPr="008A2411">
              <w:rPr>
                <w:rFonts w:ascii="Times New Roman"/>
                <w:color w:val="000000" w:themeColor="text1"/>
                <w:szCs w:val="24"/>
              </w:rPr>
              <w:t>2</w:t>
            </w:r>
            <w:r w:rsidRPr="008A2411">
              <w:rPr>
                <w:rFonts w:ascii="Times New Roman"/>
                <w:color w:val="000000" w:themeColor="text1"/>
                <w:szCs w:val="24"/>
              </w:rPr>
              <w:t>）</w:t>
            </w:r>
          </w:p>
        </w:tc>
      </w:tr>
    </w:tbl>
    <w:p w14:paraId="71BD167F" w14:textId="77777777" w:rsidR="00B0005F" w:rsidRPr="008A2411" w:rsidRDefault="00000000">
      <w:pPr>
        <w:snapToGrid w:val="0"/>
        <w:spacing w:line="360" w:lineRule="auto"/>
        <w:ind w:firstLine="480"/>
        <w:jc w:val="left"/>
        <w:rPr>
          <w:rFonts w:ascii="Times New Roman"/>
          <w:color w:val="000000" w:themeColor="text1"/>
          <w:szCs w:val="24"/>
        </w:rPr>
      </w:pPr>
      <w:r w:rsidRPr="008A2411">
        <w:rPr>
          <w:rFonts w:ascii="Times New Roman"/>
          <w:color w:val="000000" w:themeColor="text1"/>
          <w:szCs w:val="24"/>
        </w:rPr>
        <w:t>非正常运行状况，池体未破损区仍采用式</w:t>
      </w:r>
      <w:r w:rsidRPr="008A2411">
        <w:rPr>
          <w:rFonts w:ascii="Times New Roman"/>
          <w:color w:val="000000" w:themeColor="text1"/>
          <w:szCs w:val="24"/>
        </w:rPr>
        <w:t>10-1</w:t>
      </w:r>
      <w:r w:rsidRPr="008A2411">
        <w:rPr>
          <w:rFonts w:ascii="Times New Roman"/>
          <w:color w:val="000000" w:themeColor="text1"/>
          <w:szCs w:val="24"/>
        </w:rPr>
        <w:t>和式</w:t>
      </w:r>
      <w:r w:rsidRPr="008A2411">
        <w:rPr>
          <w:rFonts w:ascii="Times New Roman"/>
          <w:color w:val="000000" w:themeColor="text1"/>
          <w:szCs w:val="24"/>
        </w:rPr>
        <w:t>10-2</w:t>
      </w:r>
      <w:r w:rsidRPr="008A2411">
        <w:rPr>
          <w:rFonts w:ascii="Times New Roman"/>
          <w:color w:val="000000" w:themeColor="text1"/>
          <w:szCs w:val="24"/>
        </w:rPr>
        <w:t>进行估算，破损区可直接依据达西公式（式</w:t>
      </w:r>
      <w:r w:rsidRPr="008A2411">
        <w:rPr>
          <w:rFonts w:ascii="Times New Roman"/>
          <w:color w:val="000000" w:themeColor="text1"/>
          <w:szCs w:val="24"/>
        </w:rPr>
        <w:t>10-3</w:t>
      </w:r>
      <w:r w:rsidRPr="008A2411">
        <w:rPr>
          <w:rFonts w:ascii="Times New Roman"/>
          <w:color w:val="000000" w:themeColor="text1"/>
          <w:szCs w:val="24"/>
        </w:rPr>
        <w:t>）进行估算：</w:t>
      </w:r>
    </w:p>
    <w:tbl>
      <w:tblPr>
        <w:tblW w:w="0" w:type="auto"/>
        <w:tblLook w:val="04A0" w:firstRow="1" w:lastRow="0" w:firstColumn="1" w:lastColumn="0" w:noHBand="0" w:noVBand="1"/>
      </w:tblPr>
      <w:tblGrid>
        <w:gridCol w:w="2840"/>
        <w:gridCol w:w="2841"/>
        <w:gridCol w:w="2841"/>
      </w:tblGrid>
      <w:tr w:rsidR="008A2411" w:rsidRPr="008A2411" w14:paraId="5E06DCC6" w14:textId="77777777">
        <w:tc>
          <w:tcPr>
            <w:tcW w:w="2840" w:type="dxa"/>
            <w:vAlign w:val="center"/>
          </w:tcPr>
          <w:p w14:paraId="7E14F494" w14:textId="77777777" w:rsidR="00B0005F" w:rsidRPr="008A2411" w:rsidRDefault="00B0005F">
            <w:pPr>
              <w:widowControl/>
              <w:autoSpaceDE w:val="0"/>
              <w:autoSpaceDN w:val="0"/>
              <w:snapToGrid w:val="0"/>
              <w:spacing w:line="360" w:lineRule="auto"/>
              <w:ind w:firstLine="480"/>
              <w:rPr>
                <w:rFonts w:ascii="Times New Roman"/>
                <w:color w:val="000000" w:themeColor="text1"/>
                <w:szCs w:val="24"/>
              </w:rPr>
            </w:pPr>
          </w:p>
        </w:tc>
        <w:tc>
          <w:tcPr>
            <w:tcW w:w="2841" w:type="dxa"/>
            <w:vAlign w:val="center"/>
          </w:tcPr>
          <w:p w14:paraId="04F7C815" w14:textId="77777777" w:rsidR="00B0005F" w:rsidRPr="008A2411" w:rsidRDefault="00000000">
            <w:pPr>
              <w:pStyle w:val="affffffffffff2"/>
              <w:adjustRightInd/>
              <w:snapToGrid w:val="0"/>
              <w:spacing w:line="360" w:lineRule="auto"/>
              <w:rPr>
                <w:rFonts w:ascii="Times New Roman"/>
                <w:color w:val="000000" w:themeColor="text1"/>
                <w:sz w:val="24"/>
                <w:szCs w:val="24"/>
              </w:rPr>
            </w:pPr>
            <m:oMathPara>
              <m:oMath>
                <m:r>
                  <m:rPr>
                    <m:sty m:val="p"/>
                  </m:rPr>
                  <w:rPr>
                    <w:rFonts w:ascii="Cambria Math" w:hAnsi="Cambria Math"/>
                    <w:color w:val="000000" w:themeColor="text1"/>
                    <w:sz w:val="24"/>
                    <w:szCs w:val="24"/>
                  </w:rPr>
                  <m:t>Q=</m:t>
                </m:r>
                <m:sSub>
                  <m:sSubPr>
                    <m:ctrlPr>
                      <w:rPr>
                        <w:rFonts w:ascii="Cambria Math" w:hAnsi="Cambria Math"/>
                        <w:color w:val="000000" w:themeColor="text1"/>
                        <w:sz w:val="24"/>
                        <w:szCs w:val="24"/>
                      </w:rPr>
                    </m:ctrlPr>
                  </m:sSubPr>
                  <m:e>
                    <m:r>
                      <m:rPr>
                        <m:sty m:val="p"/>
                      </m:rPr>
                      <w:rPr>
                        <w:rFonts w:ascii="Cambria Math" w:hAnsi="Cambria Math"/>
                        <w:color w:val="000000" w:themeColor="text1"/>
                        <w:sz w:val="24"/>
                        <w:szCs w:val="24"/>
                      </w:rPr>
                      <m:t>K</m:t>
                    </m:r>
                  </m:e>
                  <m:sub>
                    <m:r>
                      <m:rPr>
                        <m:sty m:val="p"/>
                      </m:rPr>
                      <w:rPr>
                        <w:rFonts w:ascii="Cambria Math" w:hAnsi="Cambria Math"/>
                        <w:color w:val="000000" w:themeColor="text1"/>
                        <w:sz w:val="24"/>
                        <w:szCs w:val="24"/>
                      </w:rPr>
                      <m:t>1</m:t>
                    </m:r>
                  </m:sub>
                </m:sSub>
                <m:r>
                  <m:rPr>
                    <m:sty m:val="p"/>
                  </m:rPr>
                  <w:rPr>
                    <w:rFonts w:ascii="Cambria Math" w:hAnsi="Cambria Math"/>
                    <w:color w:val="000000" w:themeColor="text1"/>
                    <w:sz w:val="24"/>
                    <w:szCs w:val="24"/>
                  </w:rPr>
                  <m:t>A</m:t>
                </m:r>
                <m:f>
                  <m:fPr>
                    <m:ctrlPr>
                      <w:rPr>
                        <w:rFonts w:ascii="Cambria Math" w:hAnsi="Cambria Math"/>
                        <w:color w:val="000000" w:themeColor="text1"/>
                        <w:sz w:val="24"/>
                        <w:szCs w:val="24"/>
                      </w:rPr>
                    </m:ctrlPr>
                  </m:fPr>
                  <m:num>
                    <m:sSub>
                      <m:sSubPr>
                        <m:ctrlPr>
                          <w:rPr>
                            <w:rFonts w:ascii="Cambria Math" w:hAnsi="Cambria Math"/>
                            <w:color w:val="000000" w:themeColor="text1"/>
                            <w:sz w:val="24"/>
                            <w:szCs w:val="24"/>
                          </w:rPr>
                        </m:ctrlPr>
                      </m:sSubPr>
                      <m:e>
                        <m:r>
                          <w:rPr>
                            <w:rFonts w:ascii="Cambria Math" w:hAnsi="Cambria Math"/>
                            <w:color w:val="000000" w:themeColor="text1"/>
                            <w:sz w:val="24"/>
                            <w:szCs w:val="24"/>
                          </w:rPr>
                          <m:t>h</m:t>
                        </m:r>
                      </m:e>
                      <m:sub>
                        <m:r>
                          <m:rPr>
                            <m:sty m:val="p"/>
                          </m:rPr>
                          <w:rPr>
                            <w:rFonts w:ascii="Cambria Math" w:hAnsi="Cambria Math"/>
                            <w:color w:val="000000" w:themeColor="text1"/>
                            <w:sz w:val="24"/>
                            <w:szCs w:val="24"/>
                          </w:rPr>
                          <m:t>池</m:t>
                        </m:r>
                      </m:sub>
                    </m:sSub>
                    <m:r>
                      <m:rPr>
                        <m:sty m:val="p"/>
                      </m:rPr>
                      <w:rPr>
                        <w:rFonts w:ascii="Cambria Math" w:hAnsi="Cambria Math"/>
                        <w:color w:val="000000" w:themeColor="text1"/>
                        <w:sz w:val="24"/>
                        <w:szCs w:val="24"/>
                      </w:rPr>
                      <m:t>+</m:t>
                    </m:r>
                    <m:sSub>
                      <m:sSubPr>
                        <m:ctrlPr>
                          <w:rPr>
                            <w:rFonts w:ascii="Cambria Math" w:hAnsi="Cambria Math"/>
                            <w:color w:val="000000" w:themeColor="text1"/>
                            <w:sz w:val="24"/>
                            <w:szCs w:val="24"/>
                          </w:rPr>
                        </m:ctrlPr>
                      </m:sSubPr>
                      <m:e>
                        <m:r>
                          <w:rPr>
                            <w:rFonts w:ascii="Cambria Math" w:hAnsi="Cambria Math"/>
                            <w:color w:val="000000" w:themeColor="text1"/>
                            <w:sz w:val="24"/>
                            <w:szCs w:val="24"/>
                          </w:rPr>
                          <m:t>h</m:t>
                        </m:r>
                      </m:e>
                      <m:sub>
                        <m:r>
                          <m:rPr>
                            <m:sty m:val="p"/>
                          </m:rPr>
                          <w:rPr>
                            <w:rFonts w:ascii="Cambria Math" w:hAnsi="Cambria Math"/>
                            <w:color w:val="000000" w:themeColor="text1"/>
                            <w:sz w:val="24"/>
                            <w:szCs w:val="24"/>
                          </w:rPr>
                          <m:t>包</m:t>
                        </m:r>
                      </m:sub>
                    </m:sSub>
                  </m:num>
                  <m:den>
                    <m:sSub>
                      <m:sSubPr>
                        <m:ctrlPr>
                          <w:rPr>
                            <w:rFonts w:ascii="Cambria Math" w:hAnsi="Cambria Math"/>
                            <w:color w:val="000000" w:themeColor="text1"/>
                            <w:sz w:val="24"/>
                            <w:szCs w:val="24"/>
                          </w:rPr>
                        </m:ctrlPr>
                      </m:sSubPr>
                      <m:e>
                        <m:r>
                          <w:rPr>
                            <w:rFonts w:ascii="Cambria Math" w:hAnsi="Cambria Math"/>
                            <w:color w:val="000000" w:themeColor="text1"/>
                            <w:sz w:val="24"/>
                            <w:szCs w:val="24"/>
                          </w:rPr>
                          <m:t>h</m:t>
                        </m:r>
                      </m:e>
                      <m:sub>
                        <m:r>
                          <m:rPr>
                            <m:sty m:val="p"/>
                          </m:rPr>
                          <w:rPr>
                            <w:rFonts w:ascii="Cambria Math" w:hAnsi="Cambria Math"/>
                            <w:color w:val="000000" w:themeColor="text1"/>
                            <w:sz w:val="24"/>
                            <w:szCs w:val="24"/>
                          </w:rPr>
                          <m:t>包</m:t>
                        </m:r>
                      </m:sub>
                    </m:sSub>
                  </m:den>
                </m:f>
              </m:oMath>
            </m:oMathPara>
          </w:p>
        </w:tc>
        <w:tc>
          <w:tcPr>
            <w:tcW w:w="2841" w:type="dxa"/>
            <w:vAlign w:val="center"/>
          </w:tcPr>
          <w:p w14:paraId="272BFFF3" w14:textId="77777777" w:rsidR="00B0005F" w:rsidRPr="008A2411" w:rsidRDefault="00000000">
            <w:pPr>
              <w:widowControl/>
              <w:autoSpaceDE w:val="0"/>
              <w:autoSpaceDN w:val="0"/>
              <w:snapToGrid w:val="0"/>
              <w:spacing w:line="360" w:lineRule="auto"/>
              <w:ind w:right="120" w:firstLine="480"/>
              <w:jc w:val="center"/>
              <w:rPr>
                <w:rFonts w:ascii="Times New Roman"/>
                <w:color w:val="000000" w:themeColor="text1"/>
                <w:szCs w:val="24"/>
              </w:rPr>
            </w:pPr>
            <w:r w:rsidRPr="008A2411">
              <w:rPr>
                <w:rFonts w:ascii="Times New Roman"/>
                <w:color w:val="000000" w:themeColor="text1"/>
                <w:szCs w:val="24"/>
              </w:rPr>
              <w:t xml:space="preserve">   </w:t>
            </w:r>
            <w:r w:rsidRPr="008A2411">
              <w:rPr>
                <w:rFonts w:ascii="Times New Roman"/>
                <w:color w:val="000000" w:themeColor="text1"/>
                <w:szCs w:val="24"/>
              </w:rPr>
              <w:t>（</w:t>
            </w:r>
            <w:r w:rsidRPr="008A2411">
              <w:rPr>
                <w:rFonts w:ascii="Times New Roman"/>
                <w:color w:val="000000" w:themeColor="text1"/>
                <w:szCs w:val="24"/>
              </w:rPr>
              <w:t>3</w:t>
            </w:r>
            <w:r w:rsidRPr="008A2411">
              <w:rPr>
                <w:rFonts w:ascii="Times New Roman"/>
                <w:color w:val="000000" w:themeColor="text1"/>
                <w:szCs w:val="24"/>
              </w:rPr>
              <w:t>）</w:t>
            </w:r>
          </w:p>
        </w:tc>
      </w:tr>
    </w:tbl>
    <w:p w14:paraId="48508D6B" w14:textId="77777777" w:rsidR="00B0005F" w:rsidRPr="008A2411" w:rsidRDefault="00000000">
      <w:pPr>
        <w:snapToGrid w:val="0"/>
        <w:spacing w:line="360" w:lineRule="auto"/>
        <w:ind w:firstLine="480"/>
        <w:rPr>
          <w:rFonts w:ascii="Times New Roman"/>
          <w:color w:val="000000" w:themeColor="text1"/>
          <w:szCs w:val="24"/>
        </w:rPr>
      </w:pPr>
      <w:r w:rsidRPr="008A2411">
        <w:rPr>
          <w:rFonts w:ascii="Times New Roman"/>
          <w:color w:val="000000" w:themeColor="text1"/>
          <w:szCs w:val="24"/>
        </w:rPr>
        <w:t>式中：</w:t>
      </w:r>
      <w:r w:rsidRPr="008A2411">
        <w:rPr>
          <w:rFonts w:ascii="Times New Roman"/>
          <w:color w:val="000000" w:themeColor="text1"/>
          <w:szCs w:val="24"/>
        </w:rPr>
        <w:t>K</w:t>
      </w:r>
      <w:r w:rsidRPr="008A2411">
        <w:rPr>
          <w:rFonts w:ascii="Times New Roman"/>
          <w:color w:val="000000" w:themeColor="text1"/>
          <w:szCs w:val="24"/>
          <w:vertAlign w:val="subscript"/>
        </w:rPr>
        <w:t>1</w:t>
      </w:r>
      <w:r w:rsidRPr="008A2411">
        <w:rPr>
          <w:rFonts w:ascii="Times New Roman"/>
          <w:color w:val="000000" w:themeColor="text1"/>
          <w:szCs w:val="24"/>
        </w:rPr>
        <w:t>—</w:t>
      </w:r>
      <w:r w:rsidRPr="008A2411">
        <w:rPr>
          <w:rFonts w:ascii="Times New Roman"/>
          <w:color w:val="000000" w:themeColor="text1"/>
          <w:szCs w:val="24"/>
        </w:rPr>
        <w:t>防渗层渗透系数（</w:t>
      </w:r>
      <w:r w:rsidRPr="008A2411">
        <w:rPr>
          <w:rFonts w:ascii="Times New Roman"/>
          <w:color w:val="000000" w:themeColor="text1"/>
          <w:szCs w:val="24"/>
        </w:rPr>
        <w:t>m/d</w:t>
      </w:r>
      <w:r w:rsidRPr="008A2411">
        <w:rPr>
          <w:rFonts w:ascii="Times New Roman"/>
          <w:color w:val="000000" w:themeColor="text1"/>
          <w:szCs w:val="24"/>
        </w:rPr>
        <w:t>）；</w:t>
      </w:r>
    </w:p>
    <w:p w14:paraId="554E1484" w14:textId="77777777" w:rsidR="00B0005F" w:rsidRPr="008A2411" w:rsidRDefault="00000000">
      <w:pPr>
        <w:snapToGrid w:val="0"/>
        <w:spacing w:line="360" w:lineRule="auto"/>
        <w:ind w:firstLineChars="472" w:firstLine="1133"/>
        <w:rPr>
          <w:rFonts w:ascii="Times New Roman"/>
          <w:color w:val="000000" w:themeColor="text1"/>
          <w:szCs w:val="24"/>
        </w:rPr>
      </w:pPr>
      <w:r w:rsidRPr="008A2411">
        <w:rPr>
          <w:rFonts w:ascii="Times New Roman"/>
          <w:color w:val="000000" w:themeColor="text1"/>
          <w:szCs w:val="24"/>
        </w:rPr>
        <w:t>K</w:t>
      </w:r>
      <w:r w:rsidRPr="008A2411">
        <w:rPr>
          <w:rFonts w:ascii="Times New Roman"/>
          <w:color w:val="000000" w:themeColor="text1"/>
          <w:szCs w:val="24"/>
          <w:vertAlign w:val="subscript"/>
        </w:rPr>
        <w:t>2</w:t>
      </w:r>
      <w:r w:rsidRPr="008A2411">
        <w:rPr>
          <w:rFonts w:ascii="Times New Roman"/>
          <w:color w:val="000000" w:themeColor="text1"/>
          <w:szCs w:val="24"/>
        </w:rPr>
        <w:t>—</w:t>
      </w:r>
      <w:r w:rsidRPr="008A2411">
        <w:rPr>
          <w:rFonts w:ascii="Times New Roman"/>
          <w:color w:val="000000" w:themeColor="text1"/>
          <w:szCs w:val="24"/>
        </w:rPr>
        <w:t>包气带渗透系数（</w:t>
      </w:r>
      <w:r w:rsidRPr="008A2411">
        <w:rPr>
          <w:rFonts w:ascii="Times New Roman"/>
          <w:color w:val="000000" w:themeColor="text1"/>
          <w:szCs w:val="24"/>
        </w:rPr>
        <w:t>m/d</w:t>
      </w:r>
      <w:r w:rsidRPr="008A2411">
        <w:rPr>
          <w:rFonts w:ascii="Times New Roman"/>
          <w:color w:val="000000" w:themeColor="text1"/>
          <w:szCs w:val="24"/>
        </w:rPr>
        <w:t>）；</w:t>
      </w:r>
    </w:p>
    <w:p w14:paraId="2F75F335" w14:textId="77777777" w:rsidR="00B0005F" w:rsidRPr="008A2411" w:rsidRDefault="00000000">
      <w:pPr>
        <w:snapToGrid w:val="0"/>
        <w:spacing w:line="360" w:lineRule="auto"/>
        <w:ind w:firstLineChars="472" w:firstLine="1133"/>
        <w:rPr>
          <w:rFonts w:ascii="Times New Roman"/>
          <w:color w:val="000000" w:themeColor="text1"/>
          <w:szCs w:val="24"/>
        </w:rPr>
      </w:pPr>
      <w:r w:rsidRPr="008A2411">
        <w:rPr>
          <w:rFonts w:ascii="Times New Roman"/>
          <w:color w:val="000000" w:themeColor="text1"/>
          <w:szCs w:val="24"/>
        </w:rPr>
        <w:t>h</w:t>
      </w:r>
      <w:proofErr w:type="gramStart"/>
      <w:r w:rsidRPr="008A2411">
        <w:rPr>
          <w:rFonts w:ascii="Times New Roman"/>
          <w:color w:val="000000" w:themeColor="text1"/>
          <w:szCs w:val="24"/>
          <w:vertAlign w:val="subscript"/>
        </w:rPr>
        <w:t>池</w:t>
      </w:r>
      <w:r w:rsidRPr="008A2411">
        <w:rPr>
          <w:rFonts w:ascii="Times New Roman"/>
          <w:color w:val="000000" w:themeColor="text1"/>
          <w:szCs w:val="24"/>
        </w:rPr>
        <w:t>—</w:t>
      </w:r>
      <w:r w:rsidRPr="008A2411">
        <w:rPr>
          <w:rFonts w:ascii="Times New Roman"/>
          <w:color w:val="000000" w:themeColor="text1"/>
          <w:szCs w:val="24"/>
        </w:rPr>
        <w:t>池体内</w:t>
      </w:r>
      <w:proofErr w:type="gramEnd"/>
      <w:r w:rsidRPr="008A2411">
        <w:rPr>
          <w:rFonts w:ascii="Times New Roman"/>
          <w:color w:val="000000" w:themeColor="text1"/>
          <w:szCs w:val="24"/>
        </w:rPr>
        <w:t>水头高度；</w:t>
      </w:r>
    </w:p>
    <w:p w14:paraId="5AFFF744" w14:textId="77777777" w:rsidR="00B0005F" w:rsidRPr="008A2411" w:rsidRDefault="00000000">
      <w:pPr>
        <w:snapToGrid w:val="0"/>
        <w:spacing w:line="360" w:lineRule="auto"/>
        <w:ind w:firstLineChars="472" w:firstLine="1133"/>
        <w:rPr>
          <w:rFonts w:ascii="Times New Roman"/>
          <w:color w:val="000000" w:themeColor="text1"/>
          <w:szCs w:val="24"/>
        </w:rPr>
      </w:pPr>
      <w:r w:rsidRPr="008A2411">
        <w:rPr>
          <w:rFonts w:ascii="Times New Roman"/>
          <w:color w:val="000000" w:themeColor="text1"/>
          <w:szCs w:val="24"/>
        </w:rPr>
        <w:t>h</w:t>
      </w:r>
      <w:r w:rsidRPr="008A2411">
        <w:rPr>
          <w:rFonts w:ascii="Times New Roman"/>
          <w:color w:val="000000" w:themeColor="text1"/>
          <w:szCs w:val="24"/>
          <w:vertAlign w:val="subscript"/>
        </w:rPr>
        <w:t>1</w:t>
      </w:r>
      <w:r w:rsidRPr="008A2411">
        <w:rPr>
          <w:rFonts w:ascii="Times New Roman"/>
          <w:color w:val="000000" w:themeColor="text1"/>
          <w:szCs w:val="24"/>
        </w:rPr>
        <w:t>—</w:t>
      </w:r>
      <w:r w:rsidRPr="008A2411">
        <w:rPr>
          <w:rFonts w:ascii="Times New Roman"/>
          <w:color w:val="000000" w:themeColor="text1"/>
          <w:szCs w:val="24"/>
        </w:rPr>
        <w:t>池内水头克服防渗层阻力后，防渗层底板水头（</w:t>
      </w:r>
      <w:r w:rsidRPr="008A2411">
        <w:rPr>
          <w:rFonts w:ascii="Times New Roman"/>
          <w:color w:val="000000" w:themeColor="text1"/>
          <w:szCs w:val="24"/>
        </w:rPr>
        <w:t>m</w:t>
      </w:r>
      <w:r w:rsidRPr="008A2411">
        <w:rPr>
          <w:rFonts w:ascii="Times New Roman"/>
          <w:color w:val="000000" w:themeColor="text1"/>
          <w:szCs w:val="24"/>
        </w:rPr>
        <w:t>）；</w:t>
      </w:r>
    </w:p>
    <w:p w14:paraId="28BDE2B1" w14:textId="77777777" w:rsidR="00B0005F" w:rsidRPr="008A2411" w:rsidRDefault="00000000">
      <w:pPr>
        <w:snapToGrid w:val="0"/>
        <w:spacing w:line="360" w:lineRule="auto"/>
        <w:ind w:firstLineChars="472" w:firstLine="1133"/>
        <w:rPr>
          <w:rFonts w:ascii="Times New Roman"/>
          <w:color w:val="000000" w:themeColor="text1"/>
          <w:szCs w:val="24"/>
        </w:rPr>
      </w:pPr>
      <w:r w:rsidRPr="008A2411">
        <w:rPr>
          <w:rFonts w:ascii="Times New Roman"/>
          <w:color w:val="000000" w:themeColor="text1"/>
          <w:szCs w:val="24"/>
        </w:rPr>
        <w:t>Q</w:t>
      </w:r>
      <w:proofErr w:type="gramStart"/>
      <w:r w:rsidRPr="008A2411">
        <w:rPr>
          <w:rFonts w:ascii="Times New Roman"/>
          <w:color w:val="000000" w:themeColor="text1"/>
          <w:szCs w:val="24"/>
        </w:rPr>
        <w:t>—</w:t>
      </w:r>
      <w:r w:rsidRPr="008A2411">
        <w:rPr>
          <w:rFonts w:ascii="Times New Roman"/>
          <w:color w:val="000000" w:themeColor="text1"/>
          <w:szCs w:val="24"/>
        </w:rPr>
        <w:t>池体内</w:t>
      </w:r>
      <w:proofErr w:type="gramEnd"/>
      <w:r w:rsidRPr="008A2411">
        <w:rPr>
          <w:rFonts w:ascii="Times New Roman"/>
          <w:color w:val="000000" w:themeColor="text1"/>
          <w:szCs w:val="24"/>
        </w:rPr>
        <w:t>废水渗漏量（</w:t>
      </w:r>
      <w:r w:rsidRPr="008A2411">
        <w:rPr>
          <w:rFonts w:ascii="Times New Roman"/>
          <w:color w:val="000000" w:themeColor="text1"/>
          <w:szCs w:val="24"/>
        </w:rPr>
        <w:t>m</w:t>
      </w:r>
      <w:r w:rsidRPr="008A2411">
        <w:rPr>
          <w:rFonts w:ascii="Times New Roman"/>
          <w:color w:val="000000" w:themeColor="text1"/>
          <w:szCs w:val="24"/>
          <w:vertAlign w:val="superscript"/>
        </w:rPr>
        <w:t>3</w:t>
      </w:r>
      <w:r w:rsidRPr="008A2411">
        <w:rPr>
          <w:rFonts w:ascii="Times New Roman"/>
          <w:color w:val="000000" w:themeColor="text1"/>
          <w:szCs w:val="24"/>
        </w:rPr>
        <w:t>/d</w:t>
      </w:r>
      <w:r w:rsidRPr="008A2411">
        <w:rPr>
          <w:rFonts w:ascii="Times New Roman"/>
          <w:color w:val="000000" w:themeColor="text1"/>
          <w:szCs w:val="24"/>
        </w:rPr>
        <w:t>）；</w:t>
      </w:r>
    </w:p>
    <w:p w14:paraId="17AE64DD" w14:textId="77777777" w:rsidR="00B0005F" w:rsidRPr="008A2411" w:rsidRDefault="00000000">
      <w:pPr>
        <w:snapToGrid w:val="0"/>
        <w:spacing w:line="360" w:lineRule="auto"/>
        <w:ind w:firstLineChars="472" w:firstLine="1133"/>
        <w:rPr>
          <w:rFonts w:ascii="Times New Roman"/>
          <w:color w:val="000000" w:themeColor="text1"/>
          <w:szCs w:val="24"/>
        </w:rPr>
      </w:pPr>
      <w:r w:rsidRPr="008A2411">
        <w:rPr>
          <w:rFonts w:ascii="Times New Roman"/>
          <w:color w:val="000000" w:themeColor="text1"/>
          <w:szCs w:val="24"/>
        </w:rPr>
        <w:t>h</w:t>
      </w:r>
      <w:r w:rsidRPr="008A2411">
        <w:rPr>
          <w:rFonts w:ascii="Times New Roman"/>
          <w:color w:val="000000" w:themeColor="text1"/>
          <w:szCs w:val="24"/>
          <w:vertAlign w:val="subscript"/>
        </w:rPr>
        <w:t>防</w:t>
      </w:r>
      <w:r w:rsidRPr="008A2411">
        <w:rPr>
          <w:rFonts w:ascii="Times New Roman"/>
          <w:color w:val="000000" w:themeColor="text1"/>
          <w:szCs w:val="24"/>
        </w:rPr>
        <w:t>—</w:t>
      </w:r>
      <w:r w:rsidRPr="008A2411">
        <w:rPr>
          <w:rFonts w:ascii="Times New Roman"/>
          <w:color w:val="000000" w:themeColor="text1"/>
          <w:szCs w:val="24"/>
        </w:rPr>
        <w:t>防渗层厚度（</w:t>
      </w:r>
      <w:r w:rsidRPr="008A2411">
        <w:rPr>
          <w:rFonts w:ascii="Times New Roman"/>
          <w:color w:val="000000" w:themeColor="text1"/>
          <w:szCs w:val="24"/>
        </w:rPr>
        <w:t>m</w:t>
      </w:r>
      <w:r w:rsidRPr="008A2411">
        <w:rPr>
          <w:rFonts w:ascii="Times New Roman"/>
          <w:color w:val="000000" w:themeColor="text1"/>
          <w:szCs w:val="24"/>
        </w:rPr>
        <w:t>）；</w:t>
      </w:r>
    </w:p>
    <w:p w14:paraId="18602D7B" w14:textId="77777777" w:rsidR="00B0005F" w:rsidRPr="008A2411" w:rsidRDefault="00000000">
      <w:pPr>
        <w:snapToGrid w:val="0"/>
        <w:spacing w:line="360" w:lineRule="auto"/>
        <w:ind w:firstLineChars="472" w:firstLine="1133"/>
        <w:rPr>
          <w:rFonts w:ascii="Times New Roman"/>
          <w:color w:val="000000" w:themeColor="text1"/>
          <w:szCs w:val="24"/>
        </w:rPr>
      </w:pPr>
      <w:r w:rsidRPr="008A2411">
        <w:rPr>
          <w:rFonts w:ascii="Times New Roman"/>
          <w:color w:val="000000" w:themeColor="text1"/>
          <w:szCs w:val="24"/>
        </w:rPr>
        <w:t>h</w:t>
      </w:r>
      <w:r w:rsidRPr="008A2411">
        <w:rPr>
          <w:rFonts w:ascii="Times New Roman"/>
          <w:color w:val="000000" w:themeColor="text1"/>
          <w:szCs w:val="24"/>
          <w:vertAlign w:val="subscript"/>
        </w:rPr>
        <w:t>包</w:t>
      </w:r>
      <w:r w:rsidRPr="008A2411">
        <w:rPr>
          <w:rFonts w:ascii="Times New Roman"/>
          <w:color w:val="000000" w:themeColor="text1"/>
          <w:szCs w:val="24"/>
        </w:rPr>
        <w:t>—</w:t>
      </w:r>
      <w:r w:rsidRPr="008A2411">
        <w:rPr>
          <w:rFonts w:ascii="Times New Roman"/>
          <w:color w:val="000000" w:themeColor="text1"/>
          <w:szCs w:val="24"/>
        </w:rPr>
        <w:t>包气带厚度（</w:t>
      </w:r>
      <w:r w:rsidRPr="008A2411">
        <w:rPr>
          <w:rFonts w:ascii="Times New Roman"/>
          <w:color w:val="000000" w:themeColor="text1"/>
          <w:szCs w:val="24"/>
        </w:rPr>
        <w:t>m</w:t>
      </w:r>
      <w:r w:rsidRPr="008A2411">
        <w:rPr>
          <w:rFonts w:ascii="Times New Roman"/>
          <w:color w:val="000000" w:themeColor="text1"/>
          <w:szCs w:val="24"/>
        </w:rPr>
        <w:t>）；</w:t>
      </w:r>
    </w:p>
    <w:p w14:paraId="3CBD8E31" w14:textId="77777777" w:rsidR="00B0005F" w:rsidRPr="008A2411" w:rsidRDefault="00000000">
      <w:pPr>
        <w:snapToGrid w:val="0"/>
        <w:spacing w:line="360" w:lineRule="auto"/>
        <w:ind w:firstLineChars="500" w:firstLine="1200"/>
        <w:rPr>
          <w:rFonts w:ascii="Times New Roman"/>
          <w:color w:val="000000" w:themeColor="text1"/>
        </w:rPr>
      </w:pPr>
      <w:r w:rsidRPr="008A2411">
        <w:rPr>
          <w:rFonts w:ascii="Times New Roman"/>
          <w:color w:val="000000" w:themeColor="text1"/>
          <w:szCs w:val="24"/>
        </w:rPr>
        <w:t>A—</w:t>
      </w:r>
      <w:r w:rsidRPr="008A2411">
        <w:rPr>
          <w:rFonts w:ascii="Times New Roman"/>
          <w:color w:val="000000" w:themeColor="text1"/>
          <w:szCs w:val="24"/>
        </w:rPr>
        <w:t>池体面积（</w:t>
      </w:r>
      <w:r w:rsidRPr="008A2411">
        <w:rPr>
          <w:rFonts w:ascii="Times New Roman"/>
          <w:color w:val="000000" w:themeColor="text1"/>
          <w:szCs w:val="24"/>
        </w:rPr>
        <w:t>m</w:t>
      </w:r>
      <w:r w:rsidRPr="008A2411">
        <w:rPr>
          <w:rFonts w:ascii="Times New Roman"/>
          <w:color w:val="000000" w:themeColor="text1"/>
          <w:szCs w:val="24"/>
          <w:vertAlign w:val="superscript"/>
        </w:rPr>
        <w:t>2</w:t>
      </w:r>
      <w:r w:rsidRPr="008A2411">
        <w:rPr>
          <w:rFonts w:ascii="Times New Roman"/>
          <w:color w:val="000000" w:themeColor="text1"/>
        </w:rPr>
        <w:t>）</w:t>
      </w:r>
    </w:p>
    <w:tbl>
      <w:tblPr>
        <w:tblW w:w="0" w:type="auto"/>
        <w:tblLook w:val="04A0" w:firstRow="1" w:lastRow="0" w:firstColumn="1" w:lastColumn="0" w:noHBand="0" w:noVBand="1"/>
      </w:tblPr>
      <w:tblGrid>
        <w:gridCol w:w="8522"/>
      </w:tblGrid>
      <w:tr w:rsidR="008A2411" w:rsidRPr="008A2411" w14:paraId="04FB954C" w14:textId="77777777">
        <w:tc>
          <w:tcPr>
            <w:tcW w:w="8522" w:type="dxa"/>
            <w:shd w:val="clear" w:color="auto" w:fill="auto"/>
          </w:tcPr>
          <w:p w14:paraId="4F04C4B8" w14:textId="77777777" w:rsidR="00B0005F" w:rsidRPr="008A2411" w:rsidRDefault="00000000">
            <w:pPr>
              <w:pStyle w:val="affffffffffff2"/>
              <w:rPr>
                <w:rFonts w:ascii="Times New Roman"/>
                <w:color w:val="000000" w:themeColor="text1"/>
              </w:rPr>
            </w:pPr>
            <w:r w:rsidRPr="008A2411">
              <w:rPr>
                <w:rFonts w:ascii="Times New Roman"/>
                <w:noProof/>
                <w:color w:val="000000" w:themeColor="text1"/>
              </w:rPr>
              <w:drawing>
                <wp:inline distT="0" distB="0" distL="0" distR="0" wp14:anchorId="5E8360F6" wp14:editId="712B9FF8">
                  <wp:extent cx="3239770" cy="2651760"/>
                  <wp:effectExtent l="9525" t="9525" r="12065" b="20955"/>
                  <wp:docPr id="451" name="图片 4" descr="说明: C:\Users\Fei-Wang\Desktop\1\池体构筑物渗透示意图-Mode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1" name="图片 4" descr="说明: C:\Users\Fei-Wang\Desktop\1\池体构筑物渗透示意图-Model.jpg"/>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a:xfrm>
                            <a:off x="0" y="0"/>
                            <a:ext cx="3240000" cy="2652314"/>
                          </a:xfrm>
                          <a:prstGeom prst="rect">
                            <a:avLst/>
                          </a:prstGeom>
                          <a:noFill/>
                          <a:ln w="9525" cmpd="sng" algn="ctr">
                            <a:solidFill>
                              <a:srgbClr val="000000"/>
                            </a:solidFill>
                            <a:miter lim="800000"/>
                            <a:headEnd/>
                            <a:tailEnd/>
                          </a:ln>
                          <a:effectLst/>
                        </pic:spPr>
                      </pic:pic>
                    </a:graphicData>
                  </a:graphic>
                </wp:inline>
              </w:drawing>
            </w:r>
          </w:p>
        </w:tc>
      </w:tr>
      <w:tr w:rsidR="008A2411" w:rsidRPr="008A2411" w14:paraId="58C909E5" w14:textId="77777777">
        <w:trPr>
          <w:trHeight w:val="390"/>
        </w:trPr>
        <w:tc>
          <w:tcPr>
            <w:tcW w:w="8522" w:type="dxa"/>
            <w:shd w:val="clear" w:color="auto" w:fill="auto"/>
          </w:tcPr>
          <w:p w14:paraId="429B3EE7" w14:textId="77777777" w:rsidR="00B0005F" w:rsidRPr="008A2411" w:rsidRDefault="00000000">
            <w:pPr>
              <w:pStyle w:val="affffffff7"/>
              <w:spacing w:before="60" w:after="60"/>
              <w:rPr>
                <w:rFonts w:eastAsia="宋体"/>
                <w:color w:val="000000" w:themeColor="text1"/>
                <w:szCs w:val="21"/>
              </w:rPr>
            </w:pPr>
            <w:r w:rsidRPr="008A2411">
              <w:rPr>
                <w:color w:val="000000" w:themeColor="text1"/>
              </w:rPr>
              <w:t>图</w:t>
            </w:r>
            <w:r w:rsidRPr="008A2411">
              <w:rPr>
                <w:color w:val="000000" w:themeColor="text1"/>
              </w:rPr>
              <w:t xml:space="preserve">5.2-8  </w:t>
            </w:r>
            <w:r w:rsidRPr="008A2411">
              <w:rPr>
                <w:color w:val="000000" w:themeColor="text1"/>
              </w:rPr>
              <w:t>有防渗</w:t>
            </w:r>
            <w:proofErr w:type="gramStart"/>
            <w:r w:rsidRPr="008A2411">
              <w:rPr>
                <w:color w:val="000000" w:themeColor="text1"/>
              </w:rPr>
              <w:t>层条件</w:t>
            </w:r>
            <w:proofErr w:type="gramEnd"/>
            <w:r w:rsidRPr="008A2411">
              <w:rPr>
                <w:color w:val="000000" w:themeColor="text1"/>
              </w:rPr>
              <w:t>的池体构筑物废水下渗示意图</w:t>
            </w:r>
          </w:p>
        </w:tc>
      </w:tr>
    </w:tbl>
    <w:p w14:paraId="338D7833" w14:textId="77777777" w:rsidR="00B0005F" w:rsidRPr="008A2411" w:rsidRDefault="00000000">
      <w:pPr>
        <w:adjustRightInd w:val="0"/>
        <w:spacing w:line="360" w:lineRule="auto"/>
        <w:ind w:firstLine="482"/>
        <w:rPr>
          <w:rFonts w:ascii="Times New Roman"/>
          <w:color w:val="000000" w:themeColor="text1"/>
        </w:rPr>
      </w:pPr>
      <w:r w:rsidRPr="008A2411">
        <w:rPr>
          <w:rFonts w:ascii="Times New Roman"/>
          <w:b/>
          <w:color w:val="000000" w:themeColor="text1"/>
        </w:rPr>
        <w:t>3</w:t>
      </w:r>
      <w:r w:rsidRPr="008A2411">
        <w:rPr>
          <w:rFonts w:ascii="Times New Roman"/>
          <w:b/>
          <w:color w:val="000000" w:themeColor="text1"/>
        </w:rPr>
        <w:t>、泄漏量及源强核算结果</w:t>
      </w:r>
    </w:p>
    <w:p w14:paraId="5549067B" w14:textId="77777777" w:rsidR="00B0005F" w:rsidRPr="008A2411" w:rsidRDefault="00000000">
      <w:pPr>
        <w:adjustRightInd w:val="0"/>
        <w:snapToGrid w:val="0"/>
        <w:spacing w:line="360" w:lineRule="auto"/>
        <w:ind w:firstLine="482"/>
        <w:rPr>
          <w:rFonts w:ascii="Times New Roman"/>
          <w:color w:val="000000" w:themeColor="text1"/>
        </w:rPr>
      </w:pPr>
      <w:bookmarkStart w:id="433" w:name="_Hlk68737105"/>
      <w:r w:rsidRPr="008A2411">
        <w:rPr>
          <w:rFonts w:ascii="Times New Roman"/>
          <w:color w:val="000000" w:themeColor="text1"/>
        </w:rPr>
        <w:t>根据估算，原料气净化脱酸单元</w:t>
      </w:r>
      <w:r w:rsidRPr="008A2411">
        <w:rPr>
          <w:rFonts w:ascii="Times New Roman"/>
          <w:color w:val="000000" w:themeColor="text1"/>
        </w:rPr>
        <w:t>MDEA</w:t>
      </w:r>
      <w:r w:rsidRPr="008A2411">
        <w:rPr>
          <w:rFonts w:ascii="Times New Roman"/>
          <w:color w:val="000000" w:themeColor="text1"/>
        </w:rPr>
        <w:t>溶液下渗量为</w:t>
      </w:r>
      <w:r w:rsidRPr="008A2411">
        <w:rPr>
          <w:rFonts w:ascii="Times New Roman"/>
          <w:color w:val="000000" w:themeColor="text1"/>
        </w:rPr>
        <w:t>21.09kg</w:t>
      </w:r>
      <w:r w:rsidRPr="008A2411">
        <w:rPr>
          <w:rFonts w:ascii="Times New Roman"/>
          <w:color w:val="000000" w:themeColor="text1"/>
        </w:rPr>
        <w:t>；导热油炉导</w:t>
      </w:r>
      <w:r w:rsidRPr="008A2411">
        <w:rPr>
          <w:rFonts w:ascii="Times New Roman"/>
          <w:color w:val="000000" w:themeColor="text1"/>
        </w:rPr>
        <w:lastRenderedPageBreak/>
        <w:t>热油下渗量为</w:t>
      </w:r>
      <w:r w:rsidRPr="008A2411">
        <w:rPr>
          <w:rFonts w:ascii="Times New Roman"/>
          <w:color w:val="000000" w:themeColor="text1"/>
        </w:rPr>
        <w:t>8.75kg</w:t>
      </w:r>
      <w:r w:rsidRPr="008A2411">
        <w:rPr>
          <w:rFonts w:ascii="Times New Roman"/>
          <w:color w:val="000000" w:themeColor="text1"/>
        </w:rPr>
        <w:t>；污水处理站废水下渗量为</w:t>
      </w:r>
      <w:r w:rsidRPr="008A2411">
        <w:rPr>
          <w:rFonts w:ascii="Times New Roman"/>
          <w:color w:val="000000" w:themeColor="text1"/>
        </w:rPr>
        <w:t>15.13 m</w:t>
      </w:r>
      <w:r w:rsidRPr="008A2411">
        <w:rPr>
          <w:rFonts w:ascii="Times New Roman"/>
          <w:color w:val="000000" w:themeColor="text1"/>
          <w:vertAlign w:val="superscript"/>
        </w:rPr>
        <w:t>3</w:t>
      </w:r>
      <w:r w:rsidRPr="008A2411">
        <w:rPr>
          <w:rFonts w:ascii="Times New Roman"/>
          <w:color w:val="000000" w:themeColor="text1"/>
        </w:rPr>
        <w:t>/d</w:t>
      </w:r>
      <w:r w:rsidRPr="008A2411">
        <w:rPr>
          <w:rFonts w:ascii="Times New Roman"/>
          <w:color w:val="000000" w:themeColor="text1"/>
        </w:rPr>
        <w:t>（表</w:t>
      </w:r>
      <w:r w:rsidRPr="008A2411">
        <w:rPr>
          <w:rFonts w:ascii="Times New Roman"/>
          <w:color w:val="000000" w:themeColor="text1"/>
        </w:rPr>
        <w:t>5.2-21</w:t>
      </w:r>
      <w:r w:rsidRPr="008A2411">
        <w:rPr>
          <w:rFonts w:ascii="Times New Roman"/>
          <w:color w:val="000000" w:themeColor="text1"/>
        </w:rPr>
        <w:t>）。</w:t>
      </w:r>
    </w:p>
    <w:p w14:paraId="6D8A813C" w14:textId="77777777" w:rsidR="00B0005F" w:rsidRPr="008A2411" w:rsidRDefault="00000000">
      <w:pPr>
        <w:pStyle w:val="affffffff7"/>
        <w:adjustRightInd w:val="0"/>
        <w:snapToGrid w:val="0"/>
        <w:spacing w:beforeLines="0" w:before="0" w:afterLines="0" w:after="0" w:line="240" w:lineRule="auto"/>
        <w:rPr>
          <w:color w:val="000000" w:themeColor="text1"/>
        </w:rPr>
      </w:pPr>
      <w:r w:rsidRPr="008A2411">
        <w:rPr>
          <w:color w:val="000000" w:themeColor="text1"/>
        </w:rPr>
        <w:t>表</w:t>
      </w:r>
      <w:r w:rsidRPr="008A2411">
        <w:rPr>
          <w:color w:val="000000" w:themeColor="text1"/>
        </w:rPr>
        <w:t xml:space="preserve">5.2-21  </w:t>
      </w:r>
      <w:proofErr w:type="gramStart"/>
      <w:r w:rsidRPr="008A2411">
        <w:rPr>
          <w:color w:val="000000" w:themeColor="text1"/>
        </w:rPr>
        <w:t>料气净化</w:t>
      </w:r>
      <w:proofErr w:type="gramEnd"/>
      <w:r w:rsidRPr="008A2411">
        <w:rPr>
          <w:color w:val="000000" w:themeColor="text1"/>
        </w:rPr>
        <w:t>脱酸单元</w:t>
      </w:r>
      <w:r w:rsidRPr="008A2411">
        <w:rPr>
          <w:color w:val="000000" w:themeColor="text1"/>
        </w:rPr>
        <w:t>MDEA</w:t>
      </w:r>
      <w:r w:rsidRPr="008A2411">
        <w:rPr>
          <w:color w:val="000000" w:themeColor="text1"/>
        </w:rPr>
        <w:t>溶液下渗量计算</w:t>
      </w:r>
    </w:p>
    <w:tbl>
      <w:tblPr>
        <w:tblW w:w="5221"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73"/>
        <w:gridCol w:w="1226"/>
        <w:gridCol w:w="1259"/>
        <w:gridCol w:w="1024"/>
        <w:gridCol w:w="1230"/>
        <w:gridCol w:w="775"/>
        <w:gridCol w:w="2105"/>
      </w:tblGrid>
      <w:tr w:rsidR="008A2411" w:rsidRPr="008A2411" w14:paraId="741B7E96" w14:textId="77777777">
        <w:trPr>
          <w:trHeight w:val="324"/>
          <w:jc w:val="center"/>
        </w:trPr>
        <w:tc>
          <w:tcPr>
            <w:tcW w:w="1173" w:type="dxa"/>
            <w:shd w:val="clear" w:color="auto" w:fill="auto"/>
            <w:noWrap/>
            <w:tcMar>
              <w:left w:w="57" w:type="dxa"/>
              <w:right w:w="57" w:type="dxa"/>
            </w:tcMar>
            <w:vAlign w:val="center"/>
          </w:tcPr>
          <w:p w14:paraId="758CD1D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区域</w:t>
            </w:r>
          </w:p>
        </w:tc>
        <w:tc>
          <w:tcPr>
            <w:tcW w:w="1226" w:type="dxa"/>
            <w:shd w:val="clear" w:color="auto" w:fill="auto"/>
            <w:noWrap/>
            <w:tcMar>
              <w:left w:w="57" w:type="dxa"/>
              <w:right w:w="57" w:type="dxa"/>
            </w:tcMar>
            <w:vAlign w:val="center"/>
          </w:tcPr>
          <w:p w14:paraId="365BB08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泄漏物料</w:t>
            </w:r>
          </w:p>
        </w:tc>
        <w:tc>
          <w:tcPr>
            <w:tcW w:w="1260" w:type="dxa"/>
            <w:tcMar>
              <w:left w:w="57" w:type="dxa"/>
              <w:right w:w="57" w:type="dxa"/>
            </w:tcMar>
            <w:vAlign w:val="center"/>
          </w:tcPr>
          <w:p w14:paraId="768FE92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泄漏物料中主要污染物</w:t>
            </w:r>
          </w:p>
        </w:tc>
        <w:tc>
          <w:tcPr>
            <w:tcW w:w="1024" w:type="dxa"/>
            <w:tcMar>
              <w:left w:w="57" w:type="dxa"/>
              <w:right w:w="57" w:type="dxa"/>
            </w:tcMar>
            <w:vAlign w:val="center"/>
          </w:tcPr>
          <w:p w14:paraId="09F093A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最大存量（</w:t>
            </w:r>
            <w:r w:rsidRPr="008A2411">
              <w:rPr>
                <w:rFonts w:ascii="Times New Roman"/>
                <w:color w:val="000000" w:themeColor="text1"/>
              </w:rPr>
              <w:t>m</w:t>
            </w:r>
            <w:r w:rsidRPr="008A2411">
              <w:rPr>
                <w:rFonts w:ascii="Times New Roman"/>
                <w:color w:val="000000" w:themeColor="text1"/>
                <w:vertAlign w:val="superscript"/>
              </w:rPr>
              <w:t>3</w:t>
            </w:r>
            <w:r w:rsidRPr="008A2411">
              <w:rPr>
                <w:rFonts w:ascii="Times New Roman"/>
                <w:color w:val="000000" w:themeColor="text1"/>
              </w:rPr>
              <w:t>）</w:t>
            </w:r>
          </w:p>
        </w:tc>
        <w:tc>
          <w:tcPr>
            <w:tcW w:w="1230" w:type="dxa"/>
            <w:shd w:val="clear" w:color="auto" w:fill="auto"/>
            <w:noWrap/>
            <w:tcMar>
              <w:left w:w="57" w:type="dxa"/>
              <w:right w:w="57" w:type="dxa"/>
            </w:tcMar>
            <w:vAlign w:val="center"/>
          </w:tcPr>
          <w:p w14:paraId="6D5C30C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防渗层底部泄漏量（</w:t>
            </w:r>
            <w:r w:rsidRPr="008A2411">
              <w:rPr>
                <w:rFonts w:ascii="Times New Roman"/>
                <w:color w:val="000000" w:themeColor="text1"/>
              </w:rPr>
              <w:t>m</w:t>
            </w:r>
            <w:r w:rsidRPr="008A2411">
              <w:rPr>
                <w:rFonts w:ascii="Times New Roman"/>
                <w:color w:val="000000" w:themeColor="text1"/>
                <w:vertAlign w:val="superscript"/>
              </w:rPr>
              <w:t>3</w:t>
            </w:r>
            <w:r w:rsidRPr="008A2411">
              <w:rPr>
                <w:rFonts w:ascii="Times New Roman"/>
                <w:color w:val="000000" w:themeColor="text1"/>
              </w:rPr>
              <w:t>）</w:t>
            </w:r>
          </w:p>
        </w:tc>
        <w:tc>
          <w:tcPr>
            <w:tcW w:w="775" w:type="dxa"/>
            <w:shd w:val="clear" w:color="auto" w:fill="auto"/>
            <w:noWrap/>
            <w:tcMar>
              <w:left w:w="57" w:type="dxa"/>
              <w:right w:w="57" w:type="dxa"/>
            </w:tcMar>
            <w:vAlign w:val="center"/>
          </w:tcPr>
          <w:p w14:paraId="04C7F8F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下渗量（</w:t>
            </w:r>
            <w:r w:rsidRPr="008A2411">
              <w:rPr>
                <w:rFonts w:ascii="Times New Roman"/>
                <w:color w:val="000000" w:themeColor="text1"/>
              </w:rPr>
              <w:t>m</w:t>
            </w:r>
            <w:r w:rsidRPr="008A2411">
              <w:rPr>
                <w:rFonts w:ascii="Times New Roman"/>
                <w:color w:val="000000" w:themeColor="text1"/>
                <w:vertAlign w:val="superscript"/>
              </w:rPr>
              <w:t>3</w:t>
            </w:r>
            <w:r w:rsidRPr="008A2411">
              <w:rPr>
                <w:rFonts w:ascii="Times New Roman"/>
                <w:color w:val="000000" w:themeColor="text1"/>
              </w:rPr>
              <w:t>）</w:t>
            </w:r>
          </w:p>
        </w:tc>
        <w:tc>
          <w:tcPr>
            <w:tcW w:w="2105" w:type="dxa"/>
            <w:shd w:val="clear" w:color="auto" w:fill="auto"/>
            <w:noWrap/>
            <w:tcMar>
              <w:left w:w="57" w:type="dxa"/>
              <w:right w:w="57" w:type="dxa"/>
            </w:tcMar>
            <w:vAlign w:val="center"/>
          </w:tcPr>
          <w:p w14:paraId="06A7F2D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泄漏物料中主要污染物下渗量（</w:t>
            </w:r>
            <w:r w:rsidRPr="008A2411">
              <w:rPr>
                <w:rFonts w:ascii="Times New Roman"/>
                <w:color w:val="000000" w:themeColor="text1"/>
              </w:rPr>
              <w:t>kg</w:t>
            </w:r>
            <w:r w:rsidRPr="008A2411">
              <w:rPr>
                <w:rFonts w:ascii="Times New Roman"/>
                <w:color w:val="000000" w:themeColor="text1"/>
              </w:rPr>
              <w:t>）</w:t>
            </w:r>
          </w:p>
        </w:tc>
      </w:tr>
      <w:tr w:rsidR="008A2411" w:rsidRPr="008A2411" w14:paraId="15E517A9" w14:textId="77777777">
        <w:trPr>
          <w:trHeight w:val="324"/>
          <w:jc w:val="center"/>
        </w:trPr>
        <w:tc>
          <w:tcPr>
            <w:tcW w:w="1173" w:type="dxa"/>
            <w:shd w:val="clear" w:color="auto" w:fill="auto"/>
            <w:tcMar>
              <w:left w:w="57" w:type="dxa"/>
              <w:right w:w="57" w:type="dxa"/>
            </w:tcMar>
            <w:vAlign w:val="center"/>
          </w:tcPr>
          <w:p w14:paraId="5DD43CF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原料气净化脱酸单元</w:t>
            </w:r>
          </w:p>
        </w:tc>
        <w:tc>
          <w:tcPr>
            <w:tcW w:w="1226" w:type="dxa"/>
            <w:shd w:val="clear" w:color="auto" w:fill="auto"/>
            <w:tcMar>
              <w:left w:w="57" w:type="dxa"/>
              <w:right w:w="57" w:type="dxa"/>
            </w:tcMar>
            <w:vAlign w:val="center"/>
          </w:tcPr>
          <w:p w14:paraId="323304E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MDEA</w:t>
            </w:r>
            <w:r w:rsidRPr="008A2411">
              <w:rPr>
                <w:rFonts w:ascii="Times New Roman"/>
                <w:color w:val="000000" w:themeColor="text1"/>
              </w:rPr>
              <w:t>溶液</w:t>
            </w:r>
          </w:p>
        </w:tc>
        <w:tc>
          <w:tcPr>
            <w:tcW w:w="1260" w:type="dxa"/>
            <w:tcMar>
              <w:left w:w="57" w:type="dxa"/>
              <w:right w:w="57" w:type="dxa"/>
            </w:tcMar>
            <w:vAlign w:val="center"/>
          </w:tcPr>
          <w:p w14:paraId="6A4EF3F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MDEA</w:t>
            </w:r>
          </w:p>
        </w:tc>
        <w:tc>
          <w:tcPr>
            <w:tcW w:w="1024" w:type="dxa"/>
            <w:tcMar>
              <w:left w:w="57" w:type="dxa"/>
              <w:right w:w="57" w:type="dxa"/>
            </w:tcMar>
            <w:vAlign w:val="center"/>
          </w:tcPr>
          <w:p w14:paraId="71F24ED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11.73</w:t>
            </w:r>
          </w:p>
        </w:tc>
        <w:tc>
          <w:tcPr>
            <w:tcW w:w="1230" w:type="dxa"/>
            <w:shd w:val="clear" w:color="auto" w:fill="auto"/>
            <w:noWrap/>
            <w:tcMar>
              <w:left w:w="57" w:type="dxa"/>
              <w:right w:w="57" w:type="dxa"/>
            </w:tcMar>
            <w:vAlign w:val="center"/>
          </w:tcPr>
          <w:p w14:paraId="77C6FDC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0.59</w:t>
            </w:r>
          </w:p>
        </w:tc>
        <w:tc>
          <w:tcPr>
            <w:tcW w:w="775" w:type="dxa"/>
            <w:shd w:val="clear" w:color="auto" w:fill="auto"/>
            <w:noWrap/>
            <w:tcMar>
              <w:left w:w="57" w:type="dxa"/>
              <w:right w:w="57" w:type="dxa"/>
            </w:tcMar>
            <w:vAlign w:val="center"/>
          </w:tcPr>
          <w:p w14:paraId="280257F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0.021</w:t>
            </w:r>
          </w:p>
        </w:tc>
        <w:tc>
          <w:tcPr>
            <w:tcW w:w="2105" w:type="dxa"/>
            <w:shd w:val="clear" w:color="auto" w:fill="auto"/>
            <w:noWrap/>
            <w:tcMar>
              <w:left w:w="57" w:type="dxa"/>
              <w:right w:w="57" w:type="dxa"/>
            </w:tcMar>
            <w:vAlign w:val="center"/>
          </w:tcPr>
          <w:p w14:paraId="7CF674A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21.09</w:t>
            </w:r>
          </w:p>
        </w:tc>
      </w:tr>
    </w:tbl>
    <w:p w14:paraId="10C979DA" w14:textId="77777777" w:rsidR="00B0005F" w:rsidRPr="008A2411" w:rsidRDefault="00000000">
      <w:pPr>
        <w:rPr>
          <w:rFonts w:ascii="Times New Roman" w:eastAsia="楷体_GB2312"/>
          <w:color w:val="000000" w:themeColor="text1"/>
          <w:sz w:val="21"/>
        </w:rPr>
      </w:pPr>
      <w:r w:rsidRPr="008A2411">
        <w:rPr>
          <w:rFonts w:ascii="Times New Roman" w:eastAsia="楷体_GB2312"/>
          <w:color w:val="000000" w:themeColor="text1"/>
          <w:sz w:val="21"/>
        </w:rPr>
        <w:t>备注：优级</w:t>
      </w:r>
      <w:r w:rsidRPr="008A2411">
        <w:rPr>
          <w:rFonts w:ascii="Times New Roman" w:eastAsia="楷体_GB2312"/>
          <w:color w:val="000000" w:themeColor="text1"/>
          <w:sz w:val="21"/>
        </w:rPr>
        <w:t>MDEA</w:t>
      </w:r>
      <w:r w:rsidRPr="008A2411">
        <w:rPr>
          <w:rFonts w:ascii="Times New Roman" w:eastAsia="楷体_GB2312"/>
          <w:color w:val="000000" w:themeColor="text1"/>
          <w:sz w:val="21"/>
        </w:rPr>
        <w:t>溶液</w:t>
      </w:r>
      <w:r w:rsidRPr="008A2411">
        <w:rPr>
          <w:rFonts w:ascii="Times New Roman" w:eastAsia="楷体_GB2312"/>
          <w:color w:val="000000" w:themeColor="text1"/>
          <w:sz w:val="21"/>
        </w:rPr>
        <w:t>MDEA</w:t>
      </w:r>
      <w:r w:rsidRPr="008A2411">
        <w:rPr>
          <w:rFonts w:ascii="Times New Roman" w:eastAsia="楷体_GB2312"/>
          <w:color w:val="000000" w:themeColor="text1"/>
          <w:sz w:val="21"/>
        </w:rPr>
        <w:t>含量大于</w:t>
      </w:r>
      <w:r w:rsidRPr="008A2411">
        <w:rPr>
          <w:rFonts w:ascii="Times New Roman" w:eastAsia="楷体_GB2312"/>
          <w:color w:val="000000" w:themeColor="text1"/>
          <w:sz w:val="21"/>
        </w:rPr>
        <w:t>99%</w:t>
      </w:r>
      <w:r w:rsidRPr="008A2411">
        <w:rPr>
          <w:rFonts w:ascii="Times New Roman" w:eastAsia="楷体_GB2312"/>
          <w:color w:val="000000" w:themeColor="text1"/>
          <w:sz w:val="21"/>
        </w:rPr>
        <w:t>，</w:t>
      </w:r>
      <w:r w:rsidRPr="008A2411">
        <w:rPr>
          <w:rFonts w:ascii="Times New Roman" w:eastAsia="楷体_GB2312"/>
          <w:color w:val="000000" w:themeColor="text1"/>
          <w:sz w:val="21"/>
        </w:rPr>
        <w:t>MDEA</w:t>
      </w:r>
      <w:hyperlink r:id="rId50" w:history="1">
        <w:r w:rsidRPr="008A2411">
          <w:rPr>
            <w:rFonts w:ascii="Times New Roman" w:eastAsia="楷体_GB2312"/>
            <w:color w:val="000000" w:themeColor="text1"/>
            <w:sz w:val="21"/>
          </w:rPr>
          <w:t>相对密度</w:t>
        </w:r>
      </w:hyperlink>
      <w:r w:rsidRPr="008A2411">
        <w:rPr>
          <w:rFonts w:ascii="Times New Roman" w:eastAsia="楷体_GB2312"/>
          <w:color w:val="000000" w:themeColor="text1"/>
          <w:sz w:val="21"/>
        </w:rPr>
        <w:t>1.0377</w:t>
      </w:r>
      <w:r w:rsidRPr="008A2411">
        <w:rPr>
          <w:rFonts w:ascii="Times New Roman" w:eastAsia="楷体_GB2312"/>
          <w:color w:val="000000" w:themeColor="text1"/>
          <w:sz w:val="21"/>
        </w:rPr>
        <w:t>。</w:t>
      </w:r>
    </w:p>
    <w:p w14:paraId="1C54504D" w14:textId="77777777" w:rsidR="00B0005F" w:rsidRPr="008A2411" w:rsidRDefault="00000000">
      <w:pPr>
        <w:pStyle w:val="affffffff7"/>
        <w:adjustRightInd w:val="0"/>
        <w:snapToGrid w:val="0"/>
        <w:spacing w:beforeLines="0" w:before="0" w:afterLines="0" w:after="0" w:line="240" w:lineRule="auto"/>
        <w:rPr>
          <w:color w:val="000000" w:themeColor="text1"/>
        </w:rPr>
      </w:pPr>
      <w:r w:rsidRPr="008A2411">
        <w:rPr>
          <w:color w:val="000000" w:themeColor="text1"/>
        </w:rPr>
        <w:t>表</w:t>
      </w:r>
      <w:r w:rsidRPr="008A2411">
        <w:rPr>
          <w:color w:val="000000" w:themeColor="text1"/>
        </w:rPr>
        <w:t xml:space="preserve">5.2-22  </w:t>
      </w:r>
      <w:r w:rsidRPr="008A2411">
        <w:rPr>
          <w:color w:val="000000" w:themeColor="text1"/>
        </w:rPr>
        <w:t>导热油炉导热油下渗量计算</w:t>
      </w:r>
    </w:p>
    <w:tbl>
      <w:tblPr>
        <w:tblW w:w="5262"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38"/>
        <w:gridCol w:w="1084"/>
        <w:gridCol w:w="1076"/>
        <w:gridCol w:w="898"/>
        <w:gridCol w:w="1116"/>
        <w:gridCol w:w="1044"/>
        <w:gridCol w:w="744"/>
        <w:gridCol w:w="1861"/>
      </w:tblGrid>
      <w:tr w:rsidR="008A2411" w:rsidRPr="008A2411" w14:paraId="7006AE78" w14:textId="77777777">
        <w:trPr>
          <w:trHeight w:val="282"/>
          <w:jc w:val="center"/>
        </w:trPr>
        <w:tc>
          <w:tcPr>
            <w:tcW w:w="1037" w:type="dxa"/>
            <w:shd w:val="clear" w:color="auto" w:fill="auto"/>
            <w:noWrap/>
            <w:tcMar>
              <w:left w:w="57" w:type="dxa"/>
              <w:right w:w="57" w:type="dxa"/>
            </w:tcMar>
            <w:vAlign w:val="center"/>
          </w:tcPr>
          <w:p w14:paraId="699964F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区域</w:t>
            </w:r>
          </w:p>
        </w:tc>
        <w:tc>
          <w:tcPr>
            <w:tcW w:w="1084" w:type="dxa"/>
            <w:shd w:val="clear" w:color="auto" w:fill="auto"/>
            <w:noWrap/>
            <w:tcMar>
              <w:left w:w="57" w:type="dxa"/>
              <w:right w:w="57" w:type="dxa"/>
            </w:tcMar>
            <w:vAlign w:val="center"/>
          </w:tcPr>
          <w:p w14:paraId="3CC39DD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泄漏物料</w:t>
            </w:r>
          </w:p>
        </w:tc>
        <w:tc>
          <w:tcPr>
            <w:tcW w:w="1118" w:type="dxa"/>
            <w:tcMar>
              <w:left w:w="57" w:type="dxa"/>
              <w:right w:w="57" w:type="dxa"/>
            </w:tcMar>
            <w:vAlign w:val="center"/>
          </w:tcPr>
          <w:p w14:paraId="378B24D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泄漏物料中主要污染物</w:t>
            </w:r>
          </w:p>
        </w:tc>
        <w:tc>
          <w:tcPr>
            <w:tcW w:w="907" w:type="dxa"/>
            <w:tcMar>
              <w:left w:w="57" w:type="dxa"/>
              <w:right w:w="57" w:type="dxa"/>
            </w:tcMar>
            <w:vAlign w:val="center"/>
          </w:tcPr>
          <w:p w14:paraId="7010F68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最大贮存量（</w:t>
            </w:r>
            <w:r w:rsidRPr="008A2411">
              <w:rPr>
                <w:rFonts w:ascii="Times New Roman"/>
                <w:color w:val="000000" w:themeColor="text1"/>
              </w:rPr>
              <w:t>kg</w:t>
            </w:r>
            <w:r w:rsidRPr="008A2411">
              <w:rPr>
                <w:rFonts w:ascii="Times New Roman"/>
                <w:color w:val="000000" w:themeColor="text1"/>
              </w:rPr>
              <w:t>）</w:t>
            </w:r>
          </w:p>
        </w:tc>
        <w:tc>
          <w:tcPr>
            <w:tcW w:w="1131" w:type="dxa"/>
            <w:vAlign w:val="center"/>
          </w:tcPr>
          <w:p w14:paraId="55CDF873" w14:textId="58596C7B" w:rsidR="00B0005F" w:rsidRPr="008A2411" w:rsidRDefault="00AB2E38">
            <w:pPr>
              <w:pStyle w:val="affffffffffff2"/>
              <w:rPr>
                <w:rFonts w:ascii="Times New Roman"/>
                <w:color w:val="000000" w:themeColor="text1"/>
              </w:rPr>
            </w:pPr>
            <w:r w:rsidRPr="008A2411">
              <w:rPr>
                <w:rFonts w:ascii="Times New Roman"/>
                <w:color w:val="000000" w:themeColor="text1"/>
              </w:rPr>
              <w:t>泄漏于围堰内的量（</w:t>
            </w:r>
            <w:r w:rsidRPr="008A2411">
              <w:rPr>
                <w:rFonts w:ascii="Times New Roman"/>
                <w:color w:val="000000" w:themeColor="text1"/>
              </w:rPr>
              <w:t>kg</w:t>
            </w:r>
            <w:r w:rsidRPr="008A2411">
              <w:rPr>
                <w:rFonts w:ascii="Times New Roman"/>
                <w:color w:val="000000" w:themeColor="text1"/>
              </w:rPr>
              <w:t>）</w:t>
            </w:r>
          </w:p>
        </w:tc>
        <w:tc>
          <w:tcPr>
            <w:tcW w:w="1044" w:type="dxa"/>
            <w:shd w:val="clear" w:color="auto" w:fill="auto"/>
            <w:noWrap/>
            <w:tcMar>
              <w:left w:w="57" w:type="dxa"/>
              <w:right w:w="57" w:type="dxa"/>
            </w:tcMar>
            <w:vAlign w:val="center"/>
          </w:tcPr>
          <w:p w14:paraId="59C12D2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围堰底部泄漏量（</w:t>
            </w:r>
            <w:r w:rsidRPr="008A2411">
              <w:rPr>
                <w:rFonts w:ascii="Times New Roman"/>
                <w:color w:val="000000" w:themeColor="text1"/>
              </w:rPr>
              <w:t>kg</w:t>
            </w:r>
            <w:r w:rsidRPr="008A2411">
              <w:rPr>
                <w:rFonts w:ascii="Times New Roman"/>
                <w:color w:val="000000" w:themeColor="text1"/>
              </w:rPr>
              <w:t>）</w:t>
            </w:r>
          </w:p>
        </w:tc>
        <w:tc>
          <w:tcPr>
            <w:tcW w:w="680" w:type="dxa"/>
            <w:shd w:val="clear" w:color="auto" w:fill="auto"/>
            <w:noWrap/>
            <w:tcMar>
              <w:left w:w="57" w:type="dxa"/>
              <w:right w:w="57" w:type="dxa"/>
            </w:tcMar>
            <w:vAlign w:val="center"/>
          </w:tcPr>
          <w:p w14:paraId="62EE98D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下渗量（</w:t>
            </w:r>
            <w:r w:rsidRPr="008A2411">
              <w:rPr>
                <w:rFonts w:ascii="Times New Roman"/>
                <w:color w:val="000000" w:themeColor="text1"/>
              </w:rPr>
              <w:t>kg</w:t>
            </w:r>
            <w:r w:rsidRPr="008A2411">
              <w:rPr>
                <w:rFonts w:ascii="Times New Roman"/>
                <w:color w:val="000000" w:themeColor="text1"/>
              </w:rPr>
              <w:t>）</w:t>
            </w:r>
          </w:p>
        </w:tc>
        <w:tc>
          <w:tcPr>
            <w:tcW w:w="1861" w:type="dxa"/>
            <w:shd w:val="clear" w:color="auto" w:fill="auto"/>
            <w:noWrap/>
            <w:tcMar>
              <w:left w:w="57" w:type="dxa"/>
              <w:right w:w="57" w:type="dxa"/>
            </w:tcMar>
            <w:vAlign w:val="center"/>
          </w:tcPr>
          <w:p w14:paraId="766A889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泄漏物料中主要污染物下渗量（</w:t>
            </w:r>
            <w:r w:rsidRPr="008A2411">
              <w:rPr>
                <w:rFonts w:ascii="Times New Roman"/>
                <w:color w:val="000000" w:themeColor="text1"/>
              </w:rPr>
              <w:t>kg</w:t>
            </w:r>
            <w:r w:rsidRPr="008A2411">
              <w:rPr>
                <w:rFonts w:ascii="Times New Roman"/>
                <w:color w:val="000000" w:themeColor="text1"/>
              </w:rPr>
              <w:t>）</w:t>
            </w:r>
          </w:p>
        </w:tc>
      </w:tr>
      <w:tr w:rsidR="008A2411" w:rsidRPr="008A2411" w14:paraId="3E354E1E" w14:textId="77777777">
        <w:trPr>
          <w:trHeight w:val="436"/>
          <w:jc w:val="center"/>
        </w:trPr>
        <w:tc>
          <w:tcPr>
            <w:tcW w:w="1037" w:type="dxa"/>
            <w:shd w:val="clear" w:color="auto" w:fill="auto"/>
            <w:tcMar>
              <w:left w:w="57" w:type="dxa"/>
              <w:right w:w="57" w:type="dxa"/>
            </w:tcMar>
            <w:vAlign w:val="center"/>
          </w:tcPr>
          <w:p w14:paraId="4B6012A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导热油炉</w:t>
            </w:r>
          </w:p>
        </w:tc>
        <w:tc>
          <w:tcPr>
            <w:tcW w:w="1084" w:type="dxa"/>
            <w:shd w:val="clear" w:color="auto" w:fill="auto"/>
            <w:tcMar>
              <w:left w:w="57" w:type="dxa"/>
              <w:right w:w="57" w:type="dxa"/>
            </w:tcMar>
            <w:vAlign w:val="center"/>
          </w:tcPr>
          <w:p w14:paraId="3FB766A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导热油</w:t>
            </w:r>
          </w:p>
        </w:tc>
        <w:tc>
          <w:tcPr>
            <w:tcW w:w="1118" w:type="dxa"/>
            <w:tcMar>
              <w:left w:w="57" w:type="dxa"/>
              <w:right w:w="57" w:type="dxa"/>
            </w:tcMar>
            <w:vAlign w:val="center"/>
          </w:tcPr>
          <w:p w14:paraId="79EA0F6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石油类</w:t>
            </w:r>
          </w:p>
        </w:tc>
        <w:tc>
          <w:tcPr>
            <w:tcW w:w="907" w:type="dxa"/>
            <w:tcMar>
              <w:left w:w="57" w:type="dxa"/>
              <w:right w:w="57" w:type="dxa"/>
            </w:tcMar>
            <w:vAlign w:val="center"/>
          </w:tcPr>
          <w:p w14:paraId="235DAA2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12500</w:t>
            </w:r>
          </w:p>
        </w:tc>
        <w:tc>
          <w:tcPr>
            <w:tcW w:w="1131" w:type="dxa"/>
            <w:vAlign w:val="center"/>
          </w:tcPr>
          <w:p w14:paraId="5B54610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2500</w:t>
            </w:r>
          </w:p>
        </w:tc>
        <w:tc>
          <w:tcPr>
            <w:tcW w:w="1044" w:type="dxa"/>
            <w:shd w:val="clear" w:color="auto" w:fill="auto"/>
            <w:noWrap/>
            <w:tcMar>
              <w:left w:w="57" w:type="dxa"/>
              <w:right w:w="57" w:type="dxa"/>
            </w:tcMar>
            <w:vAlign w:val="center"/>
          </w:tcPr>
          <w:p w14:paraId="4F1ADD0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250</w:t>
            </w:r>
          </w:p>
        </w:tc>
        <w:tc>
          <w:tcPr>
            <w:tcW w:w="680" w:type="dxa"/>
            <w:shd w:val="clear" w:color="auto" w:fill="auto"/>
            <w:noWrap/>
            <w:tcMar>
              <w:left w:w="57" w:type="dxa"/>
              <w:right w:w="57" w:type="dxa"/>
            </w:tcMar>
            <w:vAlign w:val="center"/>
          </w:tcPr>
          <w:p w14:paraId="549E11B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8.75</w:t>
            </w:r>
          </w:p>
        </w:tc>
        <w:tc>
          <w:tcPr>
            <w:tcW w:w="1861" w:type="dxa"/>
            <w:shd w:val="clear" w:color="auto" w:fill="auto"/>
            <w:noWrap/>
            <w:tcMar>
              <w:left w:w="57" w:type="dxa"/>
              <w:right w:w="57" w:type="dxa"/>
            </w:tcMar>
            <w:vAlign w:val="center"/>
          </w:tcPr>
          <w:p w14:paraId="4F1A477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8.75</w:t>
            </w:r>
          </w:p>
        </w:tc>
      </w:tr>
    </w:tbl>
    <w:p w14:paraId="1E02A839" w14:textId="77777777" w:rsidR="00B0005F" w:rsidRPr="008A2411" w:rsidRDefault="00000000">
      <w:pPr>
        <w:pStyle w:val="affffffff7"/>
        <w:adjustRightInd w:val="0"/>
        <w:snapToGrid w:val="0"/>
        <w:spacing w:beforeLines="0" w:before="0" w:afterLines="0" w:after="0" w:line="240" w:lineRule="auto"/>
        <w:rPr>
          <w:color w:val="000000" w:themeColor="text1"/>
        </w:rPr>
      </w:pPr>
      <w:r w:rsidRPr="008A2411">
        <w:rPr>
          <w:color w:val="000000" w:themeColor="text1"/>
        </w:rPr>
        <w:t>表</w:t>
      </w:r>
      <w:r w:rsidRPr="008A2411">
        <w:rPr>
          <w:color w:val="000000" w:themeColor="text1"/>
        </w:rPr>
        <w:t xml:space="preserve">5.2-23  </w:t>
      </w:r>
      <w:r w:rsidRPr="008A2411">
        <w:rPr>
          <w:color w:val="000000" w:themeColor="text1"/>
        </w:rPr>
        <w:t>污水处理站废水下渗量计算</w:t>
      </w:r>
    </w:p>
    <w:tbl>
      <w:tblPr>
        <w:tblW w:w="522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3"/>
        <w:gridCol w:w="851"/>
        <w:gridCol w:w="851"/>
        <w:gridCol w:w="794"/>
        <w:gridCol w:w="657"/>
        <w:gridCol w:w="1105"/>
        <w:gridCol w:w="575"/>
        <w:gridCol w:w="594"/>
        <w:gridCol w:w="1064"/>
        <w:gridCol w:w="562"/>
        <w:gridCol w:w="883"/>
      </w:tblGrid>
      <w:tr w:rsidR="008A2411" w:rsidRPr="008A2411" w14:paraId="671795FC" w14:textId="77777777">
        <w:trPr>
          <w:trHeight w:val="20"/>
          <w:jc w:val="center"/>
        </w:trPr>
        <w:tc>
          <w:tcPr>
            <w:tcW w:w="541" w:type="pct"/>
            <w:vMerge w:val="restart"/>
            <w:vAlign w:val="center"/>
          </w:tcPr>
          <w:p w14:paraId="66FC459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构筑物</w:t>
            </w:r>
          </w:p>
        </w:tc>
        <w:tc>
          <w:tcPr>
            <w:tcW w:w="478" w:type="pct"/>
            <w:vMerge w:val="restart"/>
            <w:shd w:val="clear" w:color="auto" w:fill="auto"/>
            <w:noWrap/>
            <w:vAlign w:val="center"/>
          </w:tcPr>
          <w:p w14:paraId="77064BC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工况</w:t>
            </w:r>
          </w:p>
        </w:tc>
        <w:tc>
          <w:tcPr>
            <w:tcW w:w="478" w:type="pct"/>
            <w:vMerge w:val="restart"/>
            <w:shd w:val="clear" w:color="auto" w:fill="auto"/>
            <w:noWrap/>
            <w:vAlign w:val="center"/>
          </w:tcPr>
          <w:p w14:paraId="47960BA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等效</w:t>
            </w:r>
          </w:p>
          <w:p w14:paraId="6249D0F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水深</w:t>
            </w:r>
          </w:p>
          <w:p w14:paraId="44E2A8F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h</w:t>
            </w:r>
            <w:r w:rsidRPr="008A2411">
              <w:rPr>
                <w:rFonts w:ascii="Times New Roman"/>
                <w:color w:val="000000" w:themeColor="text1"/>
                <w:vertAlign w:val="subscript"/>
              </w:rPr>
              <w:t>池</w:t>
            </w:r>
            <w:r w:rsidRPr="008A2411">
              <w:rPr>
                <w:rFonts w:ascii="Times New Roman"/>
                <w:color w:val="000000" w:themeColor="text1"/>
              </w:rPr>
              <w:t>(m)</w:t>
            </w:r>
          </w:p>
        </w:tc>
        <w:tc>
          <w:tcPr>
            <w:tcW w:w="446" w:type="pct"/>
            <w:vMerge w:val="restart"/>
            <w:shd w:val="clear" w:color="auto" w:fill="auto"/>
            <w:noWrap/>
            <w:vAlign w:val="center"/>
          </w:tcPr>
          <w:p w14:paraId="4679C52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污水池体面积</w:t>
            </w:r>
            <w:r w:rsidRPr="008A2411">
              <w:rPr>
                <w:rFonts w:ascii="Times New Roman"/>
                <w:color w:val="000000" w:themeColor="text1"/>
              </w:rPr>
              <w:t>A(m</w:t>
            </w:r>
            <w:r w:rsidRPr="008A2411">
              <w:rPr>
                <w:rFonts w:ascii="Times New Roman"/>
                <w:color w:val="000000" w:themeColor="text1"/>
                <w:vertAlign w:val="superscript"/>
              </w:rPr>
              <w:t>2</w:t>
            </w:r>
            <w:r w:rsidRPr="008A2411">
              <w:rPr>
                <w:rFonts w:ascii="Times New Roman"/>
                <w:color w:val="000000" w:themeColor="text1"/>
              </w:rPr>
              <w:t>)</w:t>
            </w:r>
          </w:p>
        </w:tc>
        <w:tc>
          <w:tcPr>
            <w:tcW w:w="1313" w:type="pct"/>
            <w:gridSpan w:val="3"/>
            <w:shd w:val="clear" w:color="auto" w:fill="auto"/>
            <w:noWrap/>
            <w:vAlign w:val="center"/>
          </w:tcPr>
          <w:p w14:paraId="488D61C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防渗层</w:t>
            </w:r>
          </w:p>
        </w:tc>
        <w:tc>
          <w:tcPr>
            <w:tcW w:w="1248" w:type="pct"/>
            <w:gridSpan w:val="3"/>
            <w:shd w:val="clear" w:color="auto" w:fill="auto"/>
            <w:noWrap/>
            <w:vAlign w:val="center"/>
          </w:tcPr>
          <w:p w14:paraId="72EDE03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下伏介质</w:t>
            </w:r>
            <w:r w:rsidRPr="008A2411">
              <w:rPr>
                <w:rFonts w:ascii="Times New Roman"/>
                <w:color w:val="000000" w:themeColor="text1"/>
              </w:rPr>
              <w:t>+</w:t>
            </w:r>
            <w:r w:rsidRPr="008A2411">
              <w:rPr>
                <w:rFonts w:ascii="Times New Roman"/>
                <w:color w:val="000000" w:themeColor="text1"/>
              </w:rPr>
              <w:t>夯实基础</w:t>
            </w:r>
          </w:p>
        </w:tc>
        <w:tc>
          <w:tcPr>
            <w:tcW w:w="497" w:type="pct"/>
            <w:vMerge w:val="restart"/>
            <w:shd w:val="clear" w:color="auto" w:fill="auto"/>
            <w:noWrap/>
            <w:vAlign w:val="center"/>
          </w:tcPr>
          <w:p w14:paraId="2AC0A48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下渗量</w:t>
            </w:r>
          </w:p>
          <w:p w14:paraId="3B73DDF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(m</w:t>
            </w:r>
            <w:r w:rsidRPr="008A2411">
              <w:rPr>
                <w:rFonts w:ascii="Times New Roman"/>
                <w:color w:val="000000" w:themeColor="text1"/>
                <w:vertAlign w:val="superscript"/>
              </w:rPr>
              <w:t>3</w:t>
            </w:r>
            <w:r w:rsidRPr="008A2411">
              <w:rPr>
                <w:rFonts w:ascii="Times New Roman"/>
                <w:color w:val="000000" w:themeColor="text1"/>
              </w:rPr>
              <w:t>/d)</w:t>
            </w:r>
          </w:p>
        </w:tc>
      </w:tr>
      <w:tr w:rsidR="008A2411" w:rsidRPr="008A2411" w14:paraId="16FBBA22" w14:textId="77777777">
        <w:trPr>
          <w:trHeight w:val="20"/>
          <w:jc w:val="center"/>
        </w:trPr>
        <w:tc>
          <w:tcPr>
            <w:tcW w:w="541" w:type="pct"/>
            <w:vMerge/>
            <w:vAlign w:val="center"/>
          </w:tcPr>
          <w:p w14:paraId="0EE1E068" w14:textId="77777777" w:rsidR="00B0005F" w:rsidRPr="008A2411" w:rsidRDefault="00B0005F">
            <w:pPr>
              <w:pStyle w:val="affffffffffff2"/>
              <w:rPr>
                <w:rFonts w:ascii="Times New Roman"/>
                <w:color w:val="000000" w:themeColor="text1"/>
              </w:rPr>
            </w:pPr>
          </w:p>
        </w:tc>
        <w:tc>
          <w:tcPr>
            <w:tcW w:w="478" w:type="pct"/>
            <w:vMerge/>
            <w:vAlign w:val="center"/>
          </w:tcPr>
          <w:p w14:paraId="0A6AB2ED" w14:textId="77777777" w:rsidR="00B0005F" w:rsidRPr="008A2411" w:rsidRDefault="00B0005F">
            <w:pPr>
              <w:pStyle w:val="affffffffffff2"/>
              <w:rPr>
                <w:rFonts w:ascii="Times New Roman"/>
                <w:color w:val="000000" w:themeColor="text1"/>
              </w:rPr>
            </w:pPr>
          </w:p>
        </w:tc>
        <w:tc>
          <w:tcPr>
            <w:tcW w:w="478" w:type="pct"/>
            <w:vMerge/>
            <w:vAlign w:val="center"/>
          </w:tcPr>
          <w:p w14:paraId="3A5EE9F7" w14:textId="77777777" w:rsidR="00B0005F" w:rsidRPr="008A2411" w:rsidRDefault="00B0005F">
            <w:pPr>
              <w:pStyle w:val="affffffffffff2"/>
              <w:rPr>
                <w:rFonts w:ascii="Times New Roman"/>
                <w:color w:val="000000" w:themeColor="text1"/>
              </w:rPr>
            </w:pPr>
          </w:p>
        </w:tc>
        <w:tc>
          <w:tcPr>
            <w:tcW w:w="446" w:type="pct"/>
            <w:vMerge/>
            <w:vAlign w:val="center"/>
          </w:tcPr>
          <w:p w14:paraId="66428796" w14:textId="77777777" w:rsidR="00B0005F" w:rsidRPr="008A2411" w:rsidRDefault="00B0005F">
            <w:pPr>
              <w:pStyle w:val="affffffffffff2"/>
              <w:rPr>
                <w:rFonts w:ascii="Times New Roman"/>
                <w:color w:val="000000" w:themeColor="text1"/>
              </w:rPr>
            </w:pPr>
          </w:p>
        </w:tc>
        <w:tc>
          <w:tcPr>
            <w:tcW w:w="369" w:type="pct"/>
            <w:shd w:val="clear" w:color="auto" w:fill="auto"/>
            <w:noWrap/>
            <w:vAlign w:val="center"/>
          </w:tcPr>
          <w:p w14:paraId="2158840C" w14:textId="77777777" w:rsidR="00B0005F" w:rsidRPr="008A2411" w:rsidRDefault="00000000">
            <w:pPr>
              <w:pStyle w:val="affffffffffff2"/>
              <w:rPr>
                <w:rFonts w:ascii="Times New Roman"/>
                <w:color w:val="000000" w:themeColor="text1"/>
                <w:vertAlign w:val="subscript"/>
              </w:rPr>
            </w:pPr>
            <w:r w:rsidRPr="008A2411">
              <w:rPr>
                <w:rFonts w:ascii="Times New Roman"/>
                <w:color w:val="000000" w:themeColor="text1"/>
              </w:rPr>
              <w:t>h</w:t>
            </w:r>
            <w:r w:rsidRPr="008A2411">
              <w:rPr>
                <w:rFonts w:ascii="Times New Roman"/>
                <w:color w:val="000000" w:themeColor="text1"/>
                <w:vertAlign w:val="subscript"/>
              </w:rPr>
              <w:t>防</w:t>
            </w:r>
          </w:p>
          <w:p w14:paraId="5BCE922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(m)</w:t>
            </w:r>
          </w:p>
        </w:tc>
        <w:tc>
          <w:tcPr>
            <w:tcW w:w="621" w:type="pct"/>
            <w:shd w:val="clear" w:color="auto" w:fill="auto"/>
            <w:noWrap/>
            <w:vAlign w:val="center"/>
          </w:tcPr>
          <w:p w14:paraId="1ECAD60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渗透系数</w:t>
            </w:r>
            <w:r w:rsidRPr="008A2411">
              <w:rPr>
                <w:rFonts w:ascii="Times New Roman"/>
                <w:color w:val="000000" w:themeColor="text1"/>
              </w:rPr>
              <w:t>K</w:t>
            </w:r>
            <w:r w:rsidRPr="008A2411">
              <w:rPr>
                <w:rFonts w:ascii="Times New Roman"/>
                <w:color w:val="000000" w:themeColor="text1"/>
                <w:vertAlign w:val="subscript"/>
              </w:rPr>
              <w:t>1</w:t>
            </w:r>
            <w:r w:rsidRPr="008A2411">
              <w:rPr>
                <w:rFonts w:ascii="Times New Roman"/>
                <w:color w:val="000000" w:themeColor="text1"/>
              </w:rPr>
              <w:t>(cm/s)</w:t>
            </w:r>
          </w:p>
        </w:tc>
        <w:tc>
          <w:tcPr>
            <w:tcW w:w="323" w:type="pct"/>
            <w:shd w:val="clear" w:color="auto" w:fill="auto"/>
            <w:noWrap/>
            <w:vAlign w:val="center"/>
          </w:tcPr>
          <w:p w14:paraId="6682039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比例</w:t>
            </w:r>
          </w:p>
        </w:tc>
        <w:tc>
          <w:tcPr>
            <w:tcW w:w="334" w:type="pct"/>
            <w:shd w:val="clear" w:color="auto" w:fill="auto"/>
            <w:noWrap/>
            <w:vAlign w:val="center"/>
          </w:tcPr>
          <w:p w14:paraId="24D190E7" w14:textId="77777777" w:rsidR="00B0005F" w:rsidRPr="008A2411" w:rsidRDefault="00000000">
            <w:pPr>
              <w:pStyle w:val="affffffffffff2"/>
              <w:rPr>
                <w:rFonts w:ascii="Times New Roman"/>
                <w:color w:val="000000" w:themeColor="text1"/>
                <w:vertAlign w:val="subscript"/>
              </w:rPr>
            </w:pPr>
            <w:r w:rsidRPr="008A2411">
              <w:rPr>
                <w:rFonts w:ascii="Times New Roman"/>
                <w:color w:val="000000" w:themeColor="text1"/>
              </w:rPr>
              <w:t>h</w:t>
            </w:r>
            <w:r w:rsidRPr="008A2411">
              <w:rPr>
                <w:rFonts w:ascii="Times New Roman"/>
                <w:color w:val="000000" w:themeColor="text1"/>
                <w:vertAlign w:val="subscript"/>
              </w:rPr>
              <w:t>包</w:t>
            </w:r>
          </w:p>
          <w:p w14:paraId="16B0B2D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(m)</w:t>
            </w:r>
          </w:p>
        </w:tc>
        <w:tc>
          <w:tcPr>
            <w:tcW w:w="598" w:type="pct"/>
            <w:shd w:val="clear" w:color="auto" w:fill="auto"/>
            <w:noWrap/>
            <w:vAlign w:val="center"/>
          </w:tcPr>
          <w:p w14:paraId="13CA333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等效渗透系数</w:t>
            </w:r>
            <w:r w:rsidRPr="008A2411">
              <w:rPr>
                <w:rFonts w:ascii="Times New Roman"/>
                <w:color w:val="000000" w:themeColor="text1"/>
              </w:rPr>
              <w:t>K</w:t>
            </w:r>
            <w:r w:rsidRPr="008A2411">
              <w:rPr>
                <w:rFonts w:ascii="Times New Roman"/>
                <w:color w:val="000000" w:themeColor="text1"/>
                <w:vertAlign w:val="subscript"/>
              </w:rPr>
              <w:t>2</w:t>
            </w:r>
            <w:r w:rsidRPr="008A2411">
              <w:rPr>
                <w:rFonts w:ascii="Times New Roman"/>
                <w:color w:val="000000" w:themeColor="text1"/>
              </w:rPr>
              <w:t>（</w:t>
            </w:r>
            <w:r w:rsidRPr="008A2411">
              <w:rPr>
                <w:rFonts w:ascii="Times New Roman"/>
                <w:color w:val="000000" w:themeColor="text1"/>
              </w:rPr>
              <w:t>cm/s)</w:t>
            </w:r>
          </w:p>
        </w:tc>
        <w:tc>
          <w:tcPr>
            <w:tcW w:w="316" w:type="pct"/>
            <w:shd w:val="clear" w:color="auto" w:fill="auto"/>
            <w:noWrap/>
            <w:vAlign w:val="center"/>
          </w:tcPr>
          <w:p w14:paraId="4F1C36B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比例</w:t>
            </w:r>
          </w:p>
        </w:tc>
        <w:tc>
          <w:tcPr>
            <w:tcW w:w="497" w:type="pct"/>
            <w:vMerge/>
            <w:vAlign w:val="center"/>
          </w:tcPr>
          <w:p w14:paraId="086B49D2" w14:textId="77777777" w:rsidR="00B0005F" w:rsidRPr="008A2411" w:rsidRDefault="00B0005F">
            <w:pPr>
              <w:pStyle w:val="affffffffffff2"/>
              <w:rPr>
                <w:rFonts w:ascii="Times New Roman"/>
                <w:color w:val="000000" w:themeColor="text1"/>
              </w:rPr>
            </w:pPr>
          </w:p>
        </w:tc>
      </w:tr>
      <w:tr w:rsidR="008A2411" w:rsidRPr="008A2411" w14:paraId="5EC4EAF1" w14:textId="77777777">
        <w:trPr>
          <w:trHeight w:val="20"/>
          <w:jc w:val="center"/>
        </w:trPr>
        <w:tc>
          <w:tcPr>
            <w:tcW w:w="541" w:type="pct"/>
            <w:vAlign w:val="center"/>
          </w:tcPr>
          <w:p w14:paraId="522070B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污水处理站</w:t>
            </w:r>
          </w:p>
        </w:tc>
        <w:tc>
          <w:tcPr>
            <w:tcW w:w="478" w:type="pct"/>
            <w:shd w:val="clear" w:color="auto" w:fill="auto"/>
            <w:noWrap/>
            <w:vAlign w:val="center"/>
          </w:tcPr>
          <w:p w14:paraId="4190BF1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非正常状态</w:t>
            </w:r>
          </w:p>
        </w:tc>
        <w:tc>
          <w:tcPr>
            <w:tcW w:w="478" w:type="pct"/>
            <w:shd w:val="clear" w:color="auto" w:fill="auto"/>
            <w:noWrap/>
            <w:vAlign w:val="center"/>
          </w:tcPr>
          <w:p w14:paraId="68FFF8C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3.0</w:t>
            </w:r>
          </w:p>
        </w:tc>
        <w:tc>
          <w:tcPr>
            <w:tcW w:w="446" w:type="pct"/>
            <w:shd w:val="clear" w:color="auto" w:fill="auto"/>
            <w:noWrap/>
            <w:vAlign w:val="center"/>
          </w:tcPr>
          <w:p w14:paraId="3EF7A3D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367.5</w:t>
            </w:r>
          </w:p>
        </w:tc>
        <w:tc>
          <w:tcPr>
            <w:tcW w:w="369" w:type="pct"/>
            <w:shd w:val="clear" w:color="auto" w:fill="auto"/>
            <w:noWrap/>
            <w:vAlign w:val="center"/>
          </w:tcPr>
          <w:p w14:paraId="3D5535C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0.30</w:t>
            </w:r>
          </w:p>
        </w:tc>
        <w:tc>
          <w:tcPr>
            <w:tcW w:w="621" w:type="pct"/>
            <w:shd w:val="clear" w:color="auto" w:fill="auto"/>
            <w:noWrap/>
            <w:vAlign w:val="center"/>
          </w:tcPr>
          <w:p w14:paraId="08FC5EB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0.26E-8</w:t>
            </w:r>
          </w:p>
        </w:tc>
        <w:tc>
          <w:tcPr>
            <w:tcW w:w="323" w:type="pct"/>
            <w:shd w:val="clear" w:color="auto" w:fill="auto"/>
            <w:noWrap/>
            <w:vAlign w:val="center"/>
          </w:tcPr>
          <w:p w14:paraId="54C998D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0.9</w:t>
            </w:r>
          </w:p>
        </w:tc>
        <w:tc>
          <w:tcPr>
            <w:tcW w:w="334" w:type="pct"/>
            <w:shd w:val="clear" w:color="auto" w:fill="auto"/>
            <w:noWrap/>
            <w:vAlign w:val="center"/>
          </w:tcPr>
          <w:p w14:paraId="54FA846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3.15</w:t>
            </w:r>
          </w:p>
        </w:tc>
        <w:tc>
          <w:tcPr>
            <w:tcW w:w="598" w:type="pct"/>
            <w:shd w:val="clear" w:color="auto" w:fill="auto"/>
            <w:noWrap/>
            <w:vAlign w:val="center"/>
          </w:tcPr>
          <w:p w14:paraId="29B6DBC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1.22E-4</w:t>
            </w:r>
          </w:p>
        </w:tc>
        <w:tc>
          <w:tcPr>
            <w:tcW w:w="316" w:type="pct"/>
            <w:shd w:val="clear" w:color="auto" w:fill="auto"/>
            <w:noWrap/>
            <w:vAlign w:val="center"/>
          </w:tcPr>
          <w:p w14:paraId="671B4CF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0.1</w:t>
            </w:r>
          </w:p>
        </w:tc>
        <w:tc>
          <w:tcPr>
            <w:tcW w:w="497" w:type="pct"/>
            <w:shd w:val="clear" w:color="auto" w:fill="auto"/>
            <w:noWrap/>
            <w:vAlign w:val="center"/>
          </w:tcPr>
          <w:p w14:paraId="1D65A05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7.57</w:t>
            </w:r>
          </w:p>
        </w:tc>
      </w:tr>
    </w:tbl>
    <w:p w14:paraId="43760860" w14:textId="77777777" w:rsidR="00B0005F" w:rsidRPr="008A2411" w:rsidRDefault="00000000">
      <w:pPr>
        <w:rPr>
          <w:rFonts w:ascii="Times New Roman" w:eastAsia="楷体"/>
          <w:color w:val="000000" w:themeColor="text1"/>
          <w:sz w:val="21"/>
          <w:szCs w:val="21"/>
        </w:rPr>
      </w:pPr>
      <w:r w:rsidRPr="008A2411">
        <w:rPr>
          <w:rFonts w:ascii="Times New Roman" w:eastAsia="楷体"/>
          <w:color w:val="000000" w:themeColor="text1"/>
          <w:sz w:val="21"/>
          <w:szCs w:val="21"/>
        </w:rPr>
        <w:t>注：污水池体面积约占总占地面积的一半，其余为清水池、控制室、回用水池、绿地等。</w:t>
      </w:r>
    </w:p>
    <w:p w14:paraId="222C2923" w14:textId="77777777" w:rsidR="00B0005F" w:rsidRPr="008A2411" w:rsidRDefault="00B0005F">
      <w:pPr>
        <w:adjustRightInd w:val="0"/>
        <w:spacing w:line="360" w:lineRule="auto"/>
        <w:ind w:firstLine="482"/>
        <w:rPr>
          <w:rFonts w:ascii="Times New Roman"/>
          <w:b/>
          <w:bCs/>
          <w:color w:val="000000" w:themeColor="text1"/>
          <w:szCs w:val="24"/>
        </w:rPr>
      </w:pPr>
    </w:p>
    <w:p w14:paraId="1332EA86" w14:textId="77777777" w:rsidR="00B0005F" w:rsidRPr="008A2411" w:rsidRDefault="00000000">
      <w:pPr>
        <w:adjustRightInd w:val="0"/>
        <w:spacing w:line="360" w:lineRule="auto"/>
        <w:ind w:firstLine="482"/>
        <w:rPr>
          <w:rFonts w:ascii="Times New Roman"/>
          <w:color w:val="000000" w:themeColor="text1"/>
          <w:szCs w:val="24"/>
        </w:rPr>
      </w:pPr>
      <w:r w:rsidRPr="008A2411">
        <w:rPr>
          <w:rFonts w:ascii="Times New Roman"/>
          <w:b/>
          <w:bCs/>
          <w:color w:val="000000" w:themeColor="text1"/>
          <w:szCs w:val="24"/>
        </w:rPr>
        <w:t>4</w:t>
      </w:r>
      <w:r w:rsidRPr="008A2411">
        <w:rPr>
          <w:rFonts w:ascii="Times New Roman"/>
          <w:b/>
          <w:bCs/>
          <w:color w:val="000000" w:themeColor="text1"/>
          <w:szCs w:val="24"/>
        </w:rPr>
        <w:t>、</w:t>
      </w:r>
      <w:r w:rsidRPr="008A2411">
        <w:rPr>
          <w:rFonts w:ascii="Times New Roman"/>
          <w:b/>
          <w:color w:val="000000" w:themeColor="text1"/>
        </w:rPr>
        <w:t>本项目污染因子及浓度分析</w:t>
      </w:r>
    </w:p>
    <w:p w14:paraId="235BE31C" w14:textId="77777777" w:rsidR="00B0005F" w:rsidRPr="008A2411" w:rsidRDefault="00000000">
      <w:pPr>
        <w:adjustRightInd w:val="0"/>
        <w:snapToGrid w:val="0"/>
        <w:spacing w:line="360" w:lineRule="auto"/>
        <w:ind w:firstLine="482"/>
        <w:rPr>
          <w:rFonts w:ascii="Times New Roman"/>
          <w:color w:val="000000" w:themeColor="text1"/>
        </w:rPr>
      </w:pPr>
      <w:proofErr w:type="gramStart"/>
      <w:r w:rsidRPr="008A2411">
        <w:rPr>
          <w:rFonts w:ascii="Times New Roman"/>
          <w:color w:val="000000" w:themeColor="text1"/>
        </w:rPr>
        <w:t>根据产污环节</w:t>
      </w:r>
      <w:proofErr w:type="gramEnd"/>
      <w:r w:rsidRPr="008A2411">
        <w:rPr>
          <w:rFonts w:ascii="Times New Roman"/>
          <w:color w:val="000000" w:themeColor="text1"/>
        </w:rPr>
        <w:t>分析，本项目主要地下水污染源包括主体工程原料气净化脱酸单元；公</w:t>
      </w:r>
      <w:proofErr w:type="gramStart"/>
      <w:r w:rsidRPr="008A2411">
        <w:rPr>
          <w:rFonts w:ascii="Times New Roman"/>
          <w:color w:val="000000" w:themeColor="text1"/>
        </w:rPr>
        <w:t>辅工程</w:t>
      </w:r>
      <w:proofErr w:type="gramEnd"/>
      <w:r w:rsidRPr="008A2411">
        <w:rPr>
          <w:rFonts w:ascii="Times New Roman"/>
          <w:color w:val="000000" w:themeColor="text1"/>
        </w:rPr>
        <w:t>中的导热油系统；环保工程中的污水处理站。</w:t>
      </w:r>
    </w:p>
    <w:p w14:paraId="17246724" w14:textId="77777777" w:rsidR="00B0005F" w:rsidRPr="008A2411" w:rsidRDefault="00000000">
      <w:pPr>
        <w:adjustRightInd w:val="0"/>
        <w:snapToGrid w:val="0"/>
        <w:spacing w:line="360" w:lineRule="auto"/>
        <w:ind w:firstLine="482"/>
        <w:rPr>
          <w:rFonts w:ascii="Times New Roman"/>
          <w:color w:val="000000" w:themeColor="text1"/>
        </w:rPr>
      </w:pPr>
      <w:r w:rsidRPr="008A2411">
        <w:rPr>
          <w:rFonts w:ascii="Times New Roman"/>
          <w:color w:val="000000" w:themeColor="text1"/>
        </w:rPr>
        <w:t>其中，原料气净化脱酸单元吸收塔、闪蒸罐中的</w:t>
      </w:r>
      <w:r w:rsidRPr="008A2411">
        <w:rPr>
          <w:rFonts w:ascii="Times New Roman"/>
          <w:color w:val="000000" w:themeColor="text1"/>
        </w:rPr>
        <w:t>MDEA</w:t>
      </w:r>
      <w:r w:rsidRPr="008A2411">
        <w:rPr>
          <w:rFonts w:ascii="Times New Roman"/>
          <w:color w:val="000000" w:themeColor="text1"/>
        </w:rPr>
        <w:t>即</w:t>
      </w:r>
      <w:r w:rsidRPr="008A2411">
        <w:rPr>
          <w:rFonts w:ascii="Times New Roman"/>
          <w:color w:val="000000" w:themeColor="text1"/>
          <w:szCs w:val="24"/>
        </w:rPr>
        <w:t>甲基二乙醇胺为无色或微黄色油状液体，相对分子量为</w:t>
      </w:r>
      <w:r w:rsidRPr="008A2411">
        <w:rPr>
          <w:rFonts w:ascii="Times New Roman"/>
          <w:color w:val="000000" w:themeColor="text1"/>
          <w:szCs w:val="24"/>
        </w:rPr>
        <w:t>119</w:t>
      </w:r>
      <w:r w:rsidRPr="008A2411">
        <w:rPr>
          <w:rFonts w:ascii="Times New Roman"/>
          <w:color w:val="000000" w:themeColor="text1"/>
          <w:szCs w:val="24"/>
        </w:rPr>
        <w:t>，凝固点为</w:t>
      </w:r>
      <w:r w:rsidRPr="008A2411">
        <w:rPr>
          <w:rFonts w:ascii="Times New Roman"/>
          <w:color w:val="000000" w:themeColor="text1"/>
          <w:szCs w:val="24"/>
        </w:rPr>
        <w:t>-21℃</w:t>
      </w:r>
      <w:r w:rsidRPr="008A2411">
        <w:rPr>
          <w:rFonts w:ascii="Times New Roman"/>
          <w:color w:val="000000" w:themeColor="text1"/>
          <w:szCs w:val="24"/>
        </w:rPr>
        <w:t>，沸点</w:t>
      </w:r>
      <w:r w:rsidRPr="008A2411">
        <w:rPr>
          <w:rFonts w:ascii="Times New Roman"/>
          <w:color w:val="000000" w:themeColor="text1"/>
          <w:szCs w:val="24"/>
        </w:rPr>
        <w:t>247.2℃</w:t>
      </w:r>
      <w:r w:rsidRPr="008A2411">
        <w:rPr>
          <w:rFonts w:ascii="Times New Roman"/>
          <w:color w:val="000000" w:themeColor="text1"/>
          <w:szCs w:val="24"/>
        </w:rPr>
        <w:t>，</w:t>
      </w:r>
      <w:r w:rsidRPr="008A2411">
        <w:rPr>
          <w:rFonts w:ascii="Times New Roman"/>
          <w:color w:val="000000" w:themeColor="text1"/>
          <w:szCs w:val="24"/>
        </w:rPr>
        <w:t>121℃</w:t>
      </w:r>
      <w:r w:rsidRPr="008A2411">
        <w:rPr>
          <w:rFonts w:ascii="Times New Roman"/>
          <w:color w:val="000000" w:themeColor="text1"/>
          <w:szCs w:val="24"/>
        </w:rPr>
        <w:t>（</w:t>
      </w:r>
      <w:r w:rsidRPr="008A2411">
        <w:rPr>
          <w:rFonts w:ascii="Times New Roman"/>
          <w:color w:val="000000" w:themeColor="text1"/>
          <w:szCs w:val="24"/>
        </w:rPr>
        <w:t>0.53kPa</w:t>
      </w:r>
      <w:r w:rsidRPr="008A2411">
        <w:rPr>
          <w:rFonts w:ascii="Times New Roman"/>
          <w:color w:val="000000" w:themeColor="text1"/>
          <w:szCs w:val="24"/>
        </w:rPr>
        <w:t>），</w:t>
      </w:r>
      <w:hyperlink r:id="rId51" w:history="1">
        <w:r w:rsidRPr="008A2411">
          <w:rPr>
            <w:rFonts w:ascii="Times New Roman"/>
            <w:color w:val="000000" w:themeColor="text1"/>
            <w:szCs w:val="24"/>
          </w:rPr>
          <w:t>相对密度</w:t>
        </w:r>
      </w:hyperlink>
      <w:r w:rsidRPr="008A2411">
        <w:rPr>
          <w:rFonts w:ascii="Times New Roman"/>
          <w:color w:val="000000" w:themeColor="text1"/>
          <w:szCs w:val="24"/>
        </w:rPr>
        <w:t>1.0377</w:t>
      </w:r>
      <w:r w:rsidRPr="008A2411">
        <w:rPr>
          <w:rFonts w:ascii="Times New Roman"/>
          <w:color w:val="000000" w:themeColor="text1"/>
          <w:szCs w:val="24"/>
        </w:rPr>
        <w:t>（</w:t>
      </w:r>
      <w:r w:rsidRPr="008A2411">
        <w:rPr>
          <w:rFonts w:ascii="Times New Roman"/>
          <w:color w:val="000000" w:themeColor="text1"/>
          <w:szCs w:val="24"/>
        </w:rPr>
        <w:t>20</w:t>
      </w:r>
      <w:r w:rsidRPr="008A2411">
        <w:rPr>
          <w:rFonts w:ascii="Times New Roman"/>
          <w:color w:val="000000" w:themeColor="text1"/>
          <w:szCs w:val="24"/>
        </w:rPr>
        <w:t>、</w:t>
      </w:r>
      <w:r w:rsidRPr="008A2411">
        <w:rPr>
          <w:rFonts w:ascii="Times New Roman"/>
          <w:color w:val="000000" w:themeColor="text1"/>
          <w:szCs w:val="24"/>
        </w:rPr>
        <w:t>4℃</w:t>
      </w:r>
      <w:r w:rsidRPr="008A2411">
        <w:rPr>
          <w:rFonts w:ascii="Times New Roman"/>
          <w:color w:val="000000" w:themeColor="text1"/>
          <w:szCs w:val="24"/>
        </w:rPr>
        <w:t>），</w:t>
      </w:r>
      <w:hyperlink r:id="rId52" w:history="1">
        <w:r w:rsidRPr="008A2411">
          <w:rPr>
            <w:rFonts w:ascii="Times New Roman"/>
            <w:color w:val="000000" w:themeColor="text1"/>
            <w:szCs w:val="24"/>
          </w:rPr>
          <w:t>折射率</w:t>
        </w:r>
      </w:hyperlink>
      <w:r w:rsidRPr="008A2411">
        <w:rPr>
          <w:rFonts w:ascii="Times New Roman"/>
          <w:color w:val="000000" w:themeColor="text1"/>
          <w:szCs w:val="24"/>
        </w:rPr>
        <w:t>1.4678</w:t>
      </w:r>
      <w:r w:rsidRPr="008A2411">
        <w:rPr>
          <w:rFonts w:ascii="Times New Roman"/>
          <w:color w:val="000000" w:themeColor="text1"/>
          <w:szCs w:val="24"/>
        </w:rPr>
        <w:t>，闪点</w:t>
      </w:r>
      <w:r w:rsidRPr="008A2411">
        <w:rPr>
          <w:rFonts w:ascii="Times New Roman"/>
          <w:color w:val="000000" w:themeColor="text1"/>
          <w:szCs w:val="24"/>
        </w:rPr>
        <w:t>260℃</w:t>
      </w:r>
      <w:r w:rsidRPr="008A2411">
        <w:rPr>
          <w:rFonts w:ascii="Times New Roman"/>
          <w:color w:val="000000" w:themeColor="text1"/>
          <w:szCs w:val="24"/>
        </w:rPr>
        <w:t>；能与水、醇混溶，微溶于醚，无毒。</w:t>
      </w:r>
      <w:r w:rsidRPr="008A2411">
        <w:rPr>
          <w:rFonts w:ascii="Times New Roman"/>
          <w:color w:val="000000" w:themeColor="text1"/>
        </w:rPr>
        <w:t>污水处理站主要为进口过滤分离废水、脱水再生器冷凝液以及循环水排水、办公生活污水等。废水处理站其废水水质状况见表</w:t>
      </w:r>
      <w:r w:rsidRPr="008A2411">
        <w:rPr>
          <w:rFonts w:ascii="Times New Roman"/>
          <w:color w:val="000000" w:themeColor="text1"/>
        </w:rPr>
        <w:t>10-25</w:t>
      </w:r>
      <w:r w:rsidRPr="008A2411">
        <w:rPr>
          <w:rFonts w:ascii="Times New Roman"/>
          <w:color w:val="000000" w:themeColor="text1"/>
        </w:rPr>
        <w:t>。</w:t>
      </w:r>
    </w:p>
    <w:p w14:paraId="6A958BDE" w14:textId="77777777" w:rsidR="00B0005F" w:rsidRPr="008A2411" w:rsidRDefault="00000000">
      <w:pPr>
        <w:adjustRightInd w:val="0"/>
        <w:snapToGrid w:val="0"/>
        <w:spacing w:line="360" w:lineRule="auto"/>
        <w:ind w:firstLine="482"/>
        <w:rPr>
          <w:rFonts w:ascii="Times New Roman"/>
          <w:color w:val="000000" w:themeColor="text1"/>
        </w:rPr>
      </w:pPr>
      <w:r w:rsidRPr="008A2411">
        <w:rPr>
          <w:rFonts w:ascii="Times New Roman"/>
          <w:color w:val="000000" w:themeColor="text1"/>
        </w:rPr>
        <w:t>原料气净化脱酸单元本次选取典型污染因子</w:t>
      </w:r>
      <w:r w:rsidRPr="008A2411">
        <w:rPr>
          <w:rFonts w:ascii="Times New Roman"/>
          <w:color w:val="000000" w:themeColor="text1"/>
        </w:rPr>
        <w:t>COD</w:t>
      </w:r>
      <w:r w:rsidRPr="008A2411">
        <w:rPr>
          <w:rFonts w:ascii="Times New Roman"/>
          <w:color w:val="000000" w:themeColor="text1"/>
          <w:vertAlign w:val="subscript"/>
        </w:rPr>
        <w:t>Mn</w:t>
      </w:r>
      <w:r w:rsidRPr="008A2411">
        <w:rPr>
          <w:rFonts w:ascii="Times New Roman"/>
          <w:color w:val="000000" w:themeColor="text1"/>
        </w:rPr>
        <w:t>（</w:t>
      </w:r>
      <w:r w:rsidRPr="008A2411">
        <w:rPr>
          <w:rFonts w:ascii="Times New Roman"/>
          <w:color w:val="000000" w:themeColor="text1"/>
        </w:rPr>
        <w:t>MDEA</w:t>
      </w:r>
      <w:r w:rsidRPr="008A2411">
        <w:rPr>
          <w:rFonts w:ascii="Times New Roman"/>
          <w:color w:val="000000" w:themeColor="text1"/>
        </w:rPr>
        <w:t>折算）作为预测因子；导热油系统选择石油类作为污染预测因子；污水处理站本次选取典型污染因子（占标率大且毒性较高）</w:t>
      </w:r>
      <w:r w:rsidRPr="008A2411">
        <w:rPr>
          <w:rFonts w:ascii="Times New Roman"/>
          <w:color w:val="000000" w:themeColor="text1"/>
        </w:rPr>
        <w:t>COD</w:t>
      </w:r>
      <w:r w:rsidRPr="008A2411">
        <w:rPr>
          <w:rFonts w:ascii="Times New Roman"/>
          <w:color w:val="000000" w:themeColor="text1"/>
          <w:vertAlign w:val="subscript"/>
        </w:rPr>
        <w:t>Mn</w:t>
      </w:r>
      <w:r w:rsidRPr="008A2411">
        <w:rPr>
          <w:rFonts w:ascii="Times New Roman"/>
          <w:color w:val="000000" w:themeColor="text1"/>
        </w:rPr>
        <w:t>及石油类作为预测因子。</w:t>
      </w:r>
    </w:p>
    <w:p w14:paraId="0623C1E8" w14:textId="77777777" w:rsidR="00B0005F" w:rsidRPr="008A2411" w:rsidRDefault="00000000">
      <w:pPr>
        <w:pStyle w:val="affffffff7"/>
        <w:adjustRightInd w:val="0"/>
        <w:snapToGrid w:val="0"/>
        <w:spacing w:beforeLines="0" w:before="0" w:afterLines="0" w:after="0" w:line="240" w:lineRule="auto"/>
        <w:rPr>
          <w:color w:val="000000" w:themeColor="text1"/>
        </w:rPr>
      </w:pPr>
      <w:r w:rsidRPr="008A2411">
        <w:rPr>
          <w:color w:val="000000" w:themeColor="text1"/>
        </w:rPr>
        <w:t>表</w:t>
      </w:r>
      <w:r w:rsidRPr="008A2411">
        <w:rPr>
          <w:color w:val="000000" w:themeColor="text1"/>
        </w:rPr>
        <w:t xml:space="preserve">5.2-24 </w:t>
      </w:r>
      <w:r w:rsidRPr="008A2411">
        <w:rPr>
          <w:color w:val="000000" w:themeColor="text1"/>
        </w:rPr>
        <w:t>污水处理站污染物平均进水浓度核算</w:t>
      </w:r>
    </w:p>
    <w:tbl>
      <w:tblPr>
        <w:tblW w:w="491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firstRow="1" w:lastRow="0" w:firstColumn="1" w:lastColumn="0" w:noHBand="0" w:noVBand="1"/>
      </w:tblPr>
      <w:tblGrid>
        <w:gridCol w:w="1902"/>
        <w:gridCol w:w="1275"/>
        <w:gridCol w:w="1277"/>
        <w:gridCol w:w="1275"/>
        <w:gridCol w:w="1277"/>
        <w:gridCol w:w="1273"/>
      </w:tblGrid>
      <w:tr w:rsidR="008A2411" w:rsidRPr="008A2411" w14:paraId="34D03996" w14:textId="77777777">
        <w:trPr>
          <w:trHeight w:val="340"/>
          <w:jc w:val="center"/>
        </w:trPr>
        <w:tc>
          <w:tcPr>
            <w:tcW w:w="1149" w:type="pct"/>
            <w:vMerge w:val="restart"/>
            <w:vAlign w:val="center"/>
          </w:tcPr>
          <w:p w14:paraId="24D2973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项目</w:t>
            </w:r>
          </w:p>
        </w:tc>
        <w:tc>
          <w:tcPr>
            <w:tcW w:w="3851" w:type="pct"/>
            <w:gridSpan w:val="5"/>
            <w:vAlign w:val="center"/>
          </w:tcPr>
          <w:p w14:paraId="3E0083E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污染物</w:t>
            </w:r>
          </w:p>
        </w:tc>
      </w:tr>
      <w:tr w:rsidR="008A2411" w:rsidRPr="008A2411" w14:paraId="7BBBD35E" w14:textId="77777777">
        <w:trPr>
          <w:trHeight w:val="340"/>
          <w:jc w:val="center"/>
        </w:trPr>
        <w:tc>
          <w:tcPr>
            <w:tcW w:w="1149" w:type="pct"/>
            <w:vMerge/>
            <w:vAlign w:val="center"/>
          </w:tcPr>
          <w:p w14:paraId="333E0A15" w14:textId="77777777" w:rsidR="00B0005F" w:rsidRPr="008A2411" w:rsidRDefault="00B0005F">
            <w:pPr>
              <w:pStyle w:val="affffffffffff2"/>
              <w:rPr>
                <w:rFonts w:ascii="Times New Roman"/>
                <w:color w:val="000000" w:themeColor="text1"/>
              </w:rPr>
            </w:pPr>
          </w:p>
        </w:tc>
        <w:tc>
          <w:tcPr>
            <w:tcW w:w="770" w:type="pct"/>
            <w:vAlign w:val="center"/>
          </w:tcPr>
          <w:p w14:paraId="6E15924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SS</w:t>
            </w:r>
          </w:p>
        </w:tc>
        <w:tc>
          <w:tcPr>
            <w:tcW w:w="771" w:type="pct"/>
            <w:vAlign w:val="center"/>
          </w:tcPr>
          <w:p w14:paraId="4C98C48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COD</w:t>
            </w:r>
            <w:r w:rsidRPr="008A2411">
              <w:rPr>
                <w:rFonts w:ascii="Times New Roman"/>
                <w:color w:val="000000" w:themeColor="text1"/>
                <w:vertAlign w:val="subscript"/>
              </w:rPr>
              <w:t>Mn</w:t>
            </w:r>
          </w:p>
        </w:tc>
        <w:tc>
          <w:tcPr>
            <w:tcW w:w="770" w:type="pct"/>
            <w:vAlign w:val="center"/>
          </w:tcPr>
          <w:p w14:paraId="1BB7F45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石油类</w:t>
            </w:r>
          </w:p>
        </w:tc>
        <w:tc>
          <w:tcPr>
            <w:tcW w:w="771" w:type="pct"/>
          </w:tcPr>
          <w:p w14:paraId="7B2669A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总磷</w:t>
            </w:r>
          </w:p>
        </w:tc>
        <w:tc>
          <w:tcPr>
            <w:tcW w:w="770" w:type="pct"/>
          </w:tcPr>
          <w:p w14:paraId="0BB00BA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氨氮</w:t>
            </w:r>
          </w:p>
        </w:tc>
      </w:tr>
      <w:tr w:rsidR="008A2411" w:rsidRPr="008A2411" w14:paraId="140AEAD8" w14:textId="77777777">
        <w:trPr>
          <w:trHeight w:val="340"/>
          <w:jc w:val="center"/>
        </w:trPr>
        <w:tc>
          <w:tcPr>
            <w:tcW w:w="1149" w:type="pct"/>
            <w:vAlign w:val="center"/>
          </w:tcPr>
          <w:p w14:paraId="6FA8A4D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浓度（</w:t>
            </w:r>
            <w:r w:rsidRPr="008A2411">
              <w:rPr>
                <w:rFonts w:ascii="Times New Roman"/>
                <w:color w:val="000000" w:themeColor="text1"/>
              </w:rPr>
              <w:t>mg/L</w:t>
            </w:r>
            <w:r w:rsidRPr="008A2411">
              <w:rPr>
                <w:rFonts w:ascii="Times New Roman"/>
                <w:color w:val="000000" w:themeColor="text1"/>
              </w:rPr>
              <w:t>）</w:t>
            </w:r>
          </w:p>
        </w:tc>
        <w:tc>
          <w:tcPr>
            <w:tcW w:w="770" w:type="pct"/>
            <w:vAlign w:val="center"/>
          </w:tcPr>
          <w:p w14:paraId="33C901A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≤400</w:t>
            </w:r>
          </w:p>
        </w:tc>
        <w:tc>
          <w:tcPr>
            <w:tcW w:w="771" w:type="pct"/>
            <w:vAlign w:val="center"/>
          </w:tcPr>
          <w:p w14:paraId="4151685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≤116.67</w:t>
            </w:r>
          </w:p>
        </w:tc>
        <w:tc>
          <w:tcPr>
            <w:tcW w:w="770" w:type="pct"/>
            <w:vAlign w:val="center"/>
          </w:tcPr>
          <w:p w14:paraId="6B1DABE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≤25</w:t>
            </w:r>
          </w:p>
        </w:tc>
        <w:tc>
          <w:tcPr>
            <w:tcW w:w="771" w:type="pct"/>
          </w:tcPr>
          <w:p w14:paraId="6C596B6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≤2.0</w:t>
            </w:r>
          </w:p>
        </w:tc>
        <w:tc>
          <w:tcPr>
            <w:tcW w:w="770" w:type="pct"/>
          </w:tcPr>
          <w:p w14:paraId="3D7A333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≤25</w:t>
            </w:r>
          </w:p>
        </w:tc>
      </w:tr>
    </w:tbl>
    <w:p w14:paraId="01E0269B" w14:textId="77777777" w:rsidR="00B0005F" w:rsidRPr="008A2411" w:rsidRDefault="00000000">
      <w:pPr>
        <w:pStyle w:val="affffff5"/>
        <w:jc w:val="both"/>
        <w:rPr>
          <w:rFonts w:ascii="Times New Roman" w:hAnsi="Times New Roman"/>
          <w:color w:val="000000" w:themeColor="text1"/>
          <w:sz w:val="21"/>
          <w:szCs w:val="24"/>
          <w:lang w:eastAsia="zh-CN"/>
        </w:rPr>
      </w:pPr>
      <w:r w:rsidRPr="008A2411">
        <w:rPr>
          <w:rFonts w:ascii="Times New Roman" w:hAnsi="Times New Roman"/>
          <w:color w:val="000000" w:themeColor="text1"/>
          <w:sz w:val="21"/>
          <w:szCs w:val="24"/>
          <w:lang w:eastAsia="zh-CN"/>
        </w:rPr>
        <w:t>备注：本次</w:t>
      </w:r>
      <w:r w:rsidRPr="008A2411">
        <w:rPr>
          <w:rFonts w:ascii="Times New Roman" w:hAnsi="Times New Roman"/>
          <w:color w:val="000000" w:themeColor="text1"/>
          <w:sz w:val="21"/>
          <w:szCs w:val="24"/>
          <w:lang w:eastAsia="zh-CN"/>
        </w:rPr>
        <w:t>CODMn</w:t>
      </w:r>
      <w:r w:rsidRPr="008A2411">
        <w:rPr>
          <w:rFonts w:ascii="Times New Roman" w:hAnsi="Times New Roman"/>
          <w:color w:val="000000" w:themeColor="text1"/>
          <w:sz w:val="21"/>
          <w:szCs w:val="24"/>
          <w:lang w:eastAsia="zh-CN"/>
        </w:rPr>
        <w:t>与</w:t>
      </w:r>
      <w:r w:rsidRPr="008A2411">
        <w:rPr>
          <w:rFonts w:ascii="Times New Roman" w:hAnsi="Times New Roman"/>
          <w:color w:val="000000" w:themeColor="text1"/>
          <w:sz w:val="21"/>
          <w:szCs w:val="24"/>
          <w:lang w:eastAsia="zh-CN"/>
        </w:rPr>
        <w:t>CODCr</w:t>
      </w:r>
      <w:r w:rsidRPr="008A2411">
        <w:rPr>
          <w:rFonts w:ascii="Times New Roman" w:hAnsi="Times New Roman"/>
          <w:color w:val="000000" w:themeColor="text1"/>
          <w:sz w:val="21"/>
          <w:szCs w:val="24"/>
          <w:lang w:eastAsia="zh-CN"/>
        </w:rPr>
        <w:t>按照</w:t>
      </w:r>
      <w:r w:rsidRPr="008A2411">
        <w:rPr>
          <w:rFonts w:ascii="Times New Roman" w:hAnsi="Times New Roman"/>
          <w:color w:val="000000" w:themeColor="text1"/>
          <w:sz w:val="21"/>
          <w:szCs w:val="24"/>
          <w:lang w:eastAsia="zh-CN"/>
        </w:rPr>
        <w:t>1</w:t>
      </w:r>
      <w:r w:rsidRPr="008A2411">
        <w:rPr>
          <w:rFonts w:ascii="Times New Roman" w:hAnsi="Times New Roman"/>
          <w:color w:val="000000" w:themeColor="text1"/>
          <w:sz w:val="21"/>
          <w:szCs w:val="24"/>
          <w:lang w:eastAsia="zh-CN"/>
        </w:rPr>
        <w:t>：</w:t>
      </w:r>
      <w:r w:rsidRPr="008A2411">
        <w:rPr>
          <w:rFonts w:ascii="Times New Roman" w:hAnsi="Times New Roman"/>
          <w:color w:val="000000" w:themeColor="text1"/>
          <w:sz w:val="21"/>
          <w:szCs w:val="24"/>
          <w:lang w:eastAsia="zh-CN"/>
        </w:rPr>
        <w:t>3</w:t>
      </w:r>
      <w:r w:rsidRPr="008A2411">
        <w:rPr>
          <w:rFonts w:ascii="Times New Roman" w:hAnsi="Times New Roman"/>
          <w:color w:val="000000" w:themeColor="text1"/>
          <w:sz w:val="21"/>
          <w:szCs w:val="24"/>
          <w:lang w:eastAsia="zh-CN"/>
        </w:rPr>
        <w:t>的比例关系进行换算。</w:t>
      </w:r>
    </w:p>
    <w:p w14:paraId="0F35BC63" w14:textId="77777777" w:rsidR="00B0005F" w:rsidRPr="008A2411" w:rsidRDefault="00B0005F">
      <w:pPr>
        <w:pStyle w:val="affffff5"/>
        <w:jc w:val="both"/>
        <w:rPr>
          <w:rFonts w:ascii="Times New Roman" w:hAnsi="Times New Roman"/>
          <w:color w:val="000000" w:themeColor="text1"/>
          <w:lang w:eastAsia="zh-CN"/>
        </w:rPr>
      </w:pPr>
    </w:p>
    <w:bookmarkEnd w:id="433"/>
    <w:p w14:paraId="1B88DEA9" w14:textId="77777777" w:rsidR="00B0005F" w:rsidRPr="008A2411" w:rsidRDefault="00000000">
      <w:pPr>
        <w:pStyle w:val="42"/>
        <w:spacing w:before="0" w:after="0" w:line="360" w:lineRule="auto"/>
        <w:rPr>
          <w:rFonts w:ascii="Times New Roman" w:hAnsi="Times New Roman"/>
          <w:color w:val="000000" w:themeColor="text1"/>
        </w:rPr>
      </w:pPr>
      <w:r w:rsidRPr="008A2411">
        <w:rPr>
          <w:rFonts w:ascii="Times New Roman" w:hAnsi="Times New Roman"/>
          <w:color w:val="000000" w:themeColor="text1"/>
          <w:lang w:bidi="en-US"/>
        </w:rPr>
        <w:lastRenderedPageBreak/>
        <w:t>5.2.3.4</w:t>
      </w:r>
      <w:r w:rsidRPr="008A2411">
        <w:rPr>
          <w:rFonts w:ascii="Times New Roman" w:hAnsi="Times New Roman"/>
          <w:color w:val="000000" w:themeColor="text1"/>
          <w:lang w:bidi="en-US"/>
        </w:rPr>
        <w:t>地下水环境现状调查与评价</w:t>
      </w:r>
    </w:p>
    <w:p w14:paraId="6CD2C8D1" w14:textId="77777777" w:rsidR="00B0005F" w:rsidRPr="008A2411" w:rsidRDefault="00000000">
      <w:pPr>
        <w:adjustRightInd w:val="0"/>
        <w:spacing w:line="360" w:lineRule="auto"/>
        <w:ind w:firstLine="241"/>
        <w:rPr>
          <w:rFonts w:ascii="Times New Roman"/>
          <w:color w:val="000000" w:themeColor="text1"/>
          <w:szCs w:val="24"/>
        </w:rPr>
      </w:pPr>
      <w:r w:rsidRPr="008A2411">
        <w:rPr>
          <w:rFonts w:ascii="Times New Roman"/>
          <w:color w:val="000000" w:themeColor="text1"/>
          <w:szCs w:val="24"/>
        </w:rPr>
        <w:t>（一）地下水环境现状调查内容与方法</w:t>
      </w:r>
    </w:p>
    <w:p w14:paraId="6D6EE871"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项目区地下水环境调查是根据建设项目所在地区的水环境特点，根据地下水环境保护目标开展调查。调查的方法主要采用收集资料法、现场调查法及钻探等。现场调查包括：水文地质基础调查、环境水文地质调查、地下水水质和污染调查等。具体调查内容有：</w:t>
      </w:r>
    </w:p>
    <w:p w14:paraId="52D83441"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w:t>
      </w:r>
      <w:r w:rsidRPr="008A2411">
        <w:rPr>
          <w:rFonts w:ascii="Times New Roman"/>
          <w:color w:val="000000" w:themeColor="text1"/>
          <w:szCs w:val="24"/>
        </w:rPr>
        <w:t>1</w:t>
      </w:r>
      <w:r w:rsidRPr="008A2411">
        <w:rPr>
          <w:rFonts w:ascii="Times New Roman"/>
          <w:color w:val="000000" w:themeColor="text1"/>
          <w:szCs w:val="24"/>
        </w:rPr>
        <w:t>）水文地质条件调查</w:t>
      </w:r>
    </w:p>
    <w:p w14:paraId="4B598F88"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1</w:t>
      </w:r>
      <w:r w:rsidRPr="008A2411">
        <w:rPr>
          <w:rFonts w:ascii="Times New Roman"/>
          <w:color w:val="000000" w:themeColor="text1"/>
          <w:szCs w:val="24"/>
        </w:rPr>
        <w:t>）气象、水文、土壤和植被状况。</w:t>
      </w:r>
    </w:p>
    <w:p w14:paraId="45E44027"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2</w:t>
      </w:r>
      <w:r w:rsidRPr="008A2411">
        <w:rPr>
          <w:rFonts w:ascii="Times New Roman"/>
          <w:color w:val="000000" w:themeColor="text1"/>
          <w:szCs w:val="24"/>
        </w:rPr>
        <w:t>）地层岩性、地质构造、地貌特征与矿产资源。</w:t>
      </w:r>
    </w:p>
    <w:p w14:paraId="607DF9A6"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3</w:t>
      </w:r>
      <w:r w:rsidRPr="008A2411">
        <w:rPr>
          <w:rFonts w:ascii="Times New Roman"/>
          <w:color w:val="000000" w:themeColor="text1"/>
          <w:szCs w:val="24"/>
        </w:rPr>
        <w:t>）通过实地钻孔资料分析含水层的岩性、分布、结构、厚度、埋藏条件、渗透性和富水程度等；隔水层（弱透水层）的岩性、厚度、渗透性等。</w:t>
      </w:r>
    </w:p>
    <w:p w14:paraId="5BDF3B35"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4</w:t>
      </w:r>
      <w:r w:rsidRPr="008A2411">
        <w:rPr>
          <w:rFonts w:ascii="Times New Roman"/>
          <w:color w:val="000000" w:themeColor="text1"/>
          <w:szCs w:val="24"/>
        </w:rPr>
        <w:t>）结合区域地质背景特征分析区域地下水类型、补给、径流和排泄条件。</w:t>
      </w:r>
    </w:p>
    <w:p w14:paraId="1DEF3B4B"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5</w:t>
      </w:r>
      <w:r w:rsidRPr="008A2411">
        <w:rPr>
          <w:rFonts w:ascii="Times New Roman"/>
          <w:color w:val="000000" w:themeColor="text1"/>
          <w:szCs w:val="24"/>
        </w:rPr>
        <w:t>）地下水水位、水质、水量、水温、地下水化学类型。</w:t>
      </w:r>
    </w:p>
    <w:p w14:paraId="7DC27A51"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6</w:t>
      </w:r>
      <w:r w:rsidRPr="008A2411">
        <w:rPr>
          <w:rFonts w:ascii="Times New Roman"/>
          <w:color w:val="000000" w:themeColor="text1"/>
          <w:szCs w:val="24"/>
        </w:rPr>
        <w:t>）地下水资源量及现利用情况。</w:t>
      </w:r>
    </w:p>
    <w:p w14:paraId="28DB7FF8"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7</w:t>
      </w:r>
      <w:r w:rsidRPr="008A2411">
        <w:rPr>
          <w:rFonts w:ascii="Times New Roman"/>
          <w:color w:val="000000" w:themeColor="text1"/>
          <w:szCs w:val="24"/>
        </w:rPr>
        <w:t>）集中供水水源地和水源井的分布情况（包括开采层的成井的密度、水井结构、深度以及开采历史）。</w:t>
      </w:r>
    </w:p>
    <w:p w14:paraId="07C92164"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8</w:t>
      </w:r>
      <w:r w:rsidRPr="008A2411">
        <w:rPr>
          <w:rFonts w:ascii="Times New Roman"/>
          <w:color w:val="000000" w:themeColor="text1"/>
          <w:szCs w:val="24"/>
        </w:rPr>
        <w:t>）地下水环境监测现状值（或地下水污染对照值）。</w:t>
      </w:r>
    </w:p>
    <w:p w14:paraId="4A12BA11"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w:t>
      </w:r>
      <w:r w:rsidRPr="008A2411">
        <w:rPr>
          <w:rFonts w:ascii="Times New Roman"/>
          <w:color w:val="000000" w:themeColor="text1"/>
          <w:szCs w:val="24"/>
        </w:rPr>
        <w:t>2</w:t>
      </w:r>
      <w:r w:rsidRPr="008A2411">
        <w:rPr>
          <w:rFonts w:ascii="Times New Roman"/>
          <w:color w:val="000000" w:themeColor="text1"/>
          <w:szCs w:val="24"/>
        </w:rPr>
        <w:t>）地下水污染源调查</w:t>
      </w:r>
    </w:p>
    <w:p w14:paraId="4B78F59E"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通过区域水文地质报告资料分析及现场调查场区及周边地区可能造成或已经造成地下水污染的污染源和敏感区。</w:t>
      </w:r>
    </w:p>
    <w:p w14:paraId="7A738743"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1</w:t>
      </w:r>
      <w:r w:rsidRPr="008A2411">
        <w:rPr>
          <w:rFonts w:ascii="Times New Roman"/>
          <w:color w:val="000000" w:themeColor="text1"/>
          <w:szCs w:val="24"/>
        </w:rPr>
        <w:t>）对已有污染源调查资料的地区，通过搜集现有资料解决。</w:t>
      </w:r>
    </w:p>
    <w:p w14:paraId="3D18FF84"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2</w:t>
      </w:r>
      <w:r w:rsidRPr="008A2411">
        <w:rPr>
          <w:rFonts w:ascii="Times New Roman"/>
          <w:color w:val="000000" w:themeColor="text1"/>
          <w:szCs w:val="24"/>
        </w:rPr>
        <w:t>）对于没有污染源调查资料，或已有部分调查资料，结合环境水文地质问题同步进行调查。对分散在</w:t>
      </w:r>
      <w:proofErr w:type="gramStart"/>
      <w:r w:rsidRPr="008A2411">
        <w:rPr>
          <w:rFonts w:ascii="Times New Roman"/>
          <w:color w:val="000000" w:themeColor="text1"/>
          <w:szCs w:val="24"/>
        </w:rPr>
        <w:t>评价区</w:t>
      </w:r>
      <w:proofErr w:type="gramEnd"/>
      <w:r w:rsidRPr="008A2411">
        <w:rPr>
          <w:rFonts w:ascii="Times New Roman"/>
          <w:color w:val="000000" w:themeColor="text1"/>
          <w:szCs w:val="24"/>
        </w:rPr>
        <w:t>的非工业污染源，根据污染源的特点，参照上述规定进行调查。</w:t>
      </w:r>
    </w:p>
    <w:p w14:paraId="030F2D45" w14:textId="77777777" w:rsidR="00B0005F" w:rsidRPr="008A2411" w:rsidRDefault="00000000">
      <w:pPr>
        <w:adjustRightInd w:val="0"/>
        <w:spacing w:line="360" w:lineRule="auto"/>
        <w:ind w:firstLine="241"/>
        <w:rPr>
          <w:rFonts w:ascii="Times New Roman"/>
          <w:color w:val="000000" w:themeColor="text1"/>
          <w:szCs w:val="24"/>
        </w:rPr>
      </w:pPr>
      <w:bookmarkStart w:id="434" w:name="_Toc327221727"/>
      <w:bookmarkStart w:id="435" w:name="_Toc317974799"/>
      <w:bookmarkStart w:id="436" w:name="_Toc317876429"/>
      <w:bookmarkStart w:id="437" w:name="_Toc317876281"/>
      <w:bookmarkStart w:id="438" w:name="_Toc286750894"/>
      <w:bookmarkStart w:id="439" w:name="_Toc317876100"/>
      <w:bookmarkStart w:id="440" w:name="_Toc317876355"/>
      <w:r w:rsidRPr="008A2411">
        <w:rPr>
          <w:rFonts w:ascii="Times New Roman"/>
          <w:color w:val="000000" w:themeColor="text1"/>
          <w:szCs w:val="24"/>
        </w:rPr>
        <w:t>（二）</w:t>
      </w:r>
      <w:r w:rsidRPr="008A2411">
        <w:rPr>
          <w:rFonts w:ascii="Times New Roman"/>
          <w:color w:val="000000" w:themeColor="text1"/>
          <w:szCs w:val="24"/>
        </w:rPr>
        <w:t xml:space="preserve"> </w:t>
      </w:r>
      <w:proofErr w:type="gramStart"/>
      <w:r w:rsidRPr="008A2411">
        <w:rPr>
          <w:rFonts w:ascii="Times New Roman"/>
          <w:color w:val="000000" w:themeColor="text1"/>
          <w:szCs w:val="24"/>
        </w:rPr>
        <w:t>评价区</w:t>
      </w:r>
      <w:proofErr w:type="gramEnd"/>
      <w:r w:rsidRPr="008A2411">
        <w:rPr>
          <w:rFonts w:ascii="Times New Roman"/>
          <w:color w:val="000000" w:themeColor="text1"/>
          <w:szCs w:val="24"/>
        </w:rPr>
        <w:t>地形地貌</w:t>
      </w:r>
      <w:bookmarkEnd w:id="434"/>
    </w:p>
    <w:p w14:paraId="78485A06" w14:textId="77777777" w:rsidR="00B0005F" w:rsidRPr="008A2411" w:rsidRDefault="00000000">
      <w:pPr>
        <w:adjustRightInd w:val="0"/>
        <w:spacing w:line="360" w:lineRule="auto"/>
        <w:ind w:firstLine="480"/>
        <w:rPr>
          <w:rFonts w:ascii="Times New Roman"/>
          <w:color w:val="000000" w:themeColor="text1"/>
          <w:szCs w:val="24"/>
        </w:rPr>
      </w:pPr>
      <w:bookmarkStart w:id="441" w:name="_Toc327221728"/>
      <w:r w:rsidRPr="008A2411">
        <w:rPr>
          <w:rFonts w:ascii="Times New Roman"/>
          <w:color w:val="000000" w:themeColor="text1"/>
          <w:szCs w:val="24"/>
        </w:rPr>
        <w:t>宣汉宏</w:t>
      </w:r>
      <w:proofErr w:type="gramStart"/>
      <w:r w:rsidRPr="008A2411">
        <w:rPr>
          <w:rFonts w:ascii="Times New Roman"/>
          <w:color w:val="000000" w:themeColor="text1"/>
          <w:szCs w:val="24"/>
        </w:rPr>
        <w:t>浩</w:t>
      </w:r>
      <w:proofErr w:type="gramEnd"/>
      <w:r w:rsidRPr="008A2411">
        <w:rPr>
          <w:rFonts w:ascii="Times New Roman"/>
          <w:color w:val="000000" w:themeColor="text1"/>
          <w:szCs w:val="24"/>
        </w:rPr>
        <w:t>能源科技发展有限公司天然气综合利用项目（</w:t>
      </w:r>
      <w:r w:rsidRPr="008A2411">
        <w:rPr>
          <w:rFonts w:ascii="Times New Roman"/>
          <w:color w:val="000000" w:themeColor="text1"/>
          <w:szCs w:val="24"/>
        </w:rPr>
        <w:t>LNG</w:t>
      </w:r>
      <w:r w:rsidRPr="008A2411">
        <w:rPr>
          <w:rFonts w:ascii="Times New Roman"/>
          <w:color w:val="000000" w:themeColor="text1"/>
          <w:szCs w:val="24"/>
        </w:rPr>
        <w:t>）二期项目位于达州普光化工园区，项目新征用地约</w:t>
      </w:r>
      <w:r w:rsidRPr="008A2411">
        <w:rPr>
          <w:rFonts w:ascii="Times New Roman"/>
          <w:color w:val="000000" w:themeColor="text1"/>
          <w:szCs w:val="24"/>
        </w:rPr>
        <w:t>132.02</w:t>
      </w:r>
      <w:r w:rsidRPr="008A2411">
        <w:rPr>
          <w:rFonts w:ascii="Times New Roman"/>
          <w:color w:val="000000" w:themeColor="text1"/>
          <w:szCs w:val="24"/>
        </w:rPr>
        <w:t>亩。项目所在地土主镇位于四川盆地东北边缘，宣汉县北部，渠江上游，大巴山南麓。介于北纬</w:t>
      </w:r>
      <w:r w:rsidRPr="008A2411">
        <w:rPr>
          <w:rFonts w:ascii="Times New Roman"/>
          <w:color w:val="000000" w:themeColor="text1"/>
          <w:szCs w:val="24"/>
        </w:rPr>
        <w:t>30°18′11″—31°24′19″</w:t>
      </w:r>
      <w:r w:rsidRPr="008A2411">
        <w:rPr>
          <w:rFonts w:ascii="Times New Roman"/>
          <w:color w:val="000000" w:themeColor="text1"/>
          <w:szCs w:val="24"/>
        </w:rPr>
        <w:t>，东经</w:t>
      </w:r>
      <w:r w:rsidRPr="008A2411">
        <w:rPr>
          <w:rFonts w:ascii="Times New Roman"/>
          <w:color w:val="000000" w:themeColor="text1"/>
          <w:szCs w:val="24"/>
        </w:rPr>
        <w:t>107°57′—108°4′45″</w:t>
      </w:r>
      <w:r w:rsidRPr="008A2411">
        <w:rPr>
          <w:rFonts w:ascii="Times New Roman"/>
          <w:color w:val="000000" w:themeColor="text1"/>
          <w:szCs w:val="24"/>
        </w:rPr>
        <w:t>之间。东邻清溪镇、老君乡，南</w:t>
      </w:r>
      <w:proofErr w:type="gramStart"/>
      <w:r w:rsidRPr="008A2411">
        <w:rPr>
          <w:rFonts w:ascii="Times New Roman"/>
          <w:color w:val="000000" w:themeColor="text1"/>
          <w:szCs w:val="24"/>
        </w:rPr>
        <w:t>接柳池</w:t>
      </w:r>
      <w:proofErr w:type="gramEnd"/>
      <w:r w:rsidRPr="008A2411">
        <w:rPr>
          <w:rFonts w:ascii="Times New Roman"/>
          <w:color w:val="000000" w:themeColor="text1"/>
          <w:szCs w:val="24"/>
        </w:rPr>
        <w:t>乡、双河镇，西靠胡家镇，</w:t>
      </w:r>
      <w:proofErr w:type="gramStart"/>
      <w:r w:rsidRPr="008A2411">
        <w:rPr>
          <w:rFonts w:ascii="Times New Roman"/>
          <w:color w:val="000000" w:themeColor="text1"/>
          <w:szCs w:val="24"/>
        </w:rPr>
        <w:t>北临毛坝</w:t>
      </w:r>
      <w:proofErr w:type="gramEnd"/>
      <w:r w:rsidRPr="008A2411">
        <w:rPr>
          <w:rFonts w:ascii="Times New Roman"/>
          <w:color w:val="000000" w:themeColor="text1"/>
          <w:szCs w:val="24"/>
        </w:rPr>
        <w:t>镇、黄金镇。本项目拟建在达州普光</w:t>
      </w:r>
      <w:r w:rsidRPr="008A2411">
        <w:rPr>
          <w:rFonts w:ascii="Times New Roman"/>
          <w:color w:val="000000" w:themeColor="text1"/>
          <w:szCs w:val="24"/>
        </w:rPr>
        <w:lastRenderedPageBreak/>
        <w:t>化工园区，达州普光化工园区位于宣汉县地处大巴山</w:t>
      </w:r>
      <w:proofErr w:type="gramStart"/>
      <w:r w:rsidRPr="008A2411">
        <w:rPr>
          <w:rFonts w:ascii="Times New Roman"/>
          <w:color w:val="000000" w:themeColor="text1"/>
          <w:szCs w:val="24"/>
        </w:rPr>
        <w:t>南麓与</w:t>
      </w:r>
      <w:proofErr w:type="gramEnd"/>
      <w:r w:rsidRPr="008A2411">
        <w:rPr>
          <w:rFonts w:ascii="Times New Roman"/>
          <w:color w:val="000000" w:themeColor="text1"/>
          <w:szCs w:val="24"/>
        </w:rPr>
        <w:t>四川盆地东北部的接合地区，以中低山地形为主，占幅员面积的</w:t>
      </w:r>
      <w:r w:rsidRPr="008A2411">
        <w:rPr>
          <w:rFonts w:ascii="Times New Roman"/>
          <w:color w:val="000000" w:themeColor="text1"/>
          <w:szCs w:val="24"/>
        </w:rPr>
        <w:t>96%</w:t>
      </w:r>
      <w:r w:rsidRPr="008A2411">
        <w:rPr>
          <w:rFonts w:ascii="Times New Roman"/>
          <w:color w:val="000000" w:themeColor="text1"/>
          <w:szCs w:val="24"/>
        </w:rPr>
        <w:t>，西南侧为丘陵地形，占幅员面积</w:t>
      </w:r>
      <w:r w:rsidRPr="008A2411">
        <w:rPr>
          <w:rFonts w:ascii="Times New Roman"/>
          <w:color w:val="000000" w:themeColor="text1"/>
          <w:szCs w:val="24"/>
        </w:rPr>
        <w:t>4%</w:t>
      </w:r>
      <w:r w:rsidRPr="008A2411">
        <w:rPr>
          <w:rFonts w:ascii="Times New Roman"/>
          <w:color w:val="000000" w:themeColor="text1"/>
          <w:szCs w:val="24"/>
        </w:rPr>
        <w:t>，地势东北高西南低，河谷切割较深，地形起伏较大，最高点为东北端自由乡境内</w:t>
      </w:r>
      <w:proofErr w:type="gramStart"/>
      <w:r w:rsidRPr="008A2411">
        <w:rPr>
          <w:rFonts w:ascii="Times New Roman"/>
          <w:color w:val="000000" w:themeColor="text1"/>
          <w:szCs w:val="24"/>
        </w:rPr>
        <w:t>的墨架山</w:t>
      </w:r>
      <w:proofErr w:type="gramEnd"/>
      <w:r w:rsidRPr="008A2411">
        <w:rPr>
          <w:rFonts w:ascii="Times New Roman"/>
          <w:color w:val="000000" w:themeColor="text1"/>
          <w:szCs w:val="24"/>
        </w:rPr>
        <w:t>，海拔高程</w:t>
      </w:r>
      <w:r w:rsidRPr="008A2411">
        <w:rPr>
          <w:rFonts w:ascii="Times New Roman"/>
          <w:color w:val="000000" w:themeColor="text1"/>
          <w:szCs w:val="24"/>
        </w:rPr>
        <w:t>2349</w:t>
      </w:r>
      <w:r w:rsidRPr="008A2411">
        <w:rPr>
          <w:rFonts w:ascii="Times New Roman"/>
          <w:color w:val="000000" w:themeColor="text1"/>
          <w:szCs w:val="24"/>
        </w:rPr>
        <w:t>米，最低点为西</w:t>
      </w:r>
      <w:proofErr w:type="gramStart"/>
      <w:r w:rsidRPr="008A2411">
        <w:rPr>
          <w:rFonts w:ascii="Times New Roman"/>
          <w:color w:val="000000" w:themeColor="text1"/>
          <w:szCs w:val="24"/>
        </w:rPr>
        <w:t>南侧洋烈乡</w:t>
      </w:r>
      <w:proofErr w:type="gramEnd"/>
      <w:r w:rsidRPr="008A2411">
        <w:rPr>
          <w:rFonts w:ascii="Times New Roman"/>
          <w:color w:val="000000" w:themeColor="text1"/>
          <w:szCs w:val="24"/>
        </w:rPr>
        <w:t>境内州河出境处，海拔高程</w:t>
      </w:r>
      <w:r w:rsidRPr="008A2411">
        <w:rPr>
          <w:rFonts w:ascii="Times New Roman"/>
          <w:color w:val="000000" w:themeColor="text1"/>
          <w:szCs w:val="24"/>
        </w:rPr>
        <w:t>277m</w:t>
      </w:r>
      <w:r w:rsidRPr="008A2411">
        <w:rPr>
          <w:rFonts w:ascii="Times New Roman"/>
          <w:color w:val="000000" w:themeColor="text1"/>
          <w:szCs w:val="24"/>
        </w:rPr>
        <w:t>，最大相对高程为</w:t>
      </w:r>
      <w:r w:rsidRPr="008A2411">
        <w:rPr>
          <w:rFonts w:ascii="Times New Roman"/>
          <w:color w:val="000000" w:themeColor="text1"/>
          <w:szCs w:val="24"/>
        </w:rPr>
        <w:t>2072m</w:t>
      </w:r>
      <w:r w:rsidRPr="008A2411">
        <w:rPr>
          <w:rFonts w:ascii="Times New Roman"/>
          <w:color w:val="000000" w:themeColor="text1"/>
          <w:szCs w:val="24"/>
        </w:rPr>
        <w:t>。山脉走向基本上与地质构造线走向一致，河流走向总体呈北东－南西向。</w:t>
      </w:r>
    </w:p>
    <w:p w14:paraId="0AB28D99"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本项目所在达州普光化工园区为低山丘陵</w:t>
      </w:r>
      <w:proofErr w:type="gramStart"/>
      <w:r w:rsidRPr="008A2411">
        <w:rPr>
          <w:rFonts w:ascii="Times New Roman"/>
          <w:color w:val="000000" w:themeColor="text1"/>
          <w:szCs w:val="24"/>
        </w:rPr>
        <w:t>陇</w:t>
      </w:r>
      <w:proofErr w:type="gramEnd"/>
      <w:r w:rsidRPr="008A2411">
        <w:rPr>
          <w:rFonts w:ascii="Times New Roman"/>
          <w:color w:val="000000" w:themeColor="text1"/>
          <w:szCs w:val="24"/>
        </w:rPr>
        <w:t>岗地形，地貌单元内地形较为陡峻，侵蚀切割较强，</w:t>
      </w:r>
      <w:proofErr w:type="gramStart"/>
      <w:r w:rsidRPr="008A2411">
        <w:rPr>
          <w:rFonts w:ascii="Times New Roman"/>
          <w:color w:val="000000" w:themeColor="text1"/>
          <w:szCs w:val="24"/>
        </w:rPr>
        <w:t>且岭脊或陇岗</w:t>
      </w:r>
      <w:proofErr w:type="gramEnd"/>
      <w:r w:rsidRPr="008A2411">
        <w:rPr>
          <w:rFonts w:ascii="Times New Roman"/>
          <w:color w:val="000000" w:themeColor="text1"/>
          <w:szCs w:val="24"/>
        </w:rPr>
        <w:t>连续分布，</w:t>
      </w:r>
      <w:proofErr w:type="gramStart"/>
      <w:r w:rsidRPr="008A2411">
        <w:rPr>
          <w:rFonts w:ascii="Times New Roman"/>
          <w:color w:val="000000" w:themeColor="text1"/>
          <w:szCs w:val="24"/>
        </w:rPr>
        <w:t>陇岗的</w:t>
      </w:r>
      <w:proofErr w:type="gramEnd"/>
      <w:r w:rsidRPr="008A2411">
        <w:rPr>
          <w:rFonts w:ascii="Times New Roman"/>
          <w:color w:val="000000" w:themeColor="text1"/>
          <w:szCs w:val="24"/>
        </w:rPr>
        <w:t>标高一般为</w:t>
      </w:r>
      <w:r w:rsidRPr="008A2411">
        <w:rPr>
          <w:rFonts w:ascii="Times New Roman"/>
          <w:color w:val="000000" w:themeColor="text1"/>
          <w:szCs w:val="24"/>
        </w:rPr>
        <w:t>600</w:t>
      </w:r>
      <w:r w:rsidRPr="008A2411">
        <w:rPr>
          <w:rFonts w:ascii="Times New Roman"/>
          <w:color w:val="000000" w:themeColor="text1"/>
          <w:szCs w:val="24"/>
        </w:rPr>
        <w:t>－</w:t>
      </w:r>
      <w:r w:rsidRPr="008A2411">
        <w:rPr>
          <w:rFonts w:ascii="Times New Roman"/>
          <w:color w:val="000000" w:themeColor="text1"/>
          <w:szCs w:val="24"/>
        </w:rPr>
        <w:t>700m</w:t>
      </w:r>
      <w:r w:rsidRPr="008A2411">
        <w:rPr>
          <w:rFonts w:ascii="Times New Roman"/>
          <w:color w:val="000000" w:themeColor="text1"/>
          <w:szCs w:val="24"/>
        </w:rPr>
        <w:t>，岭谷间高差</w:t>
      </w:r>
      <w:r w:rsidRPr="008A2411">
        <w:rPr>
          <w:rFonts w:ascii="Times New Roman"/>
          <w:color w:val="000000" w:themeColor="text1"/>
          <w:szCs w:val="24"/>
        </w:rPr>
        <w:t>100</w:t>
      </w:r>
      <w:r w:rsidRPr="008A2411">
        <w:rPr>
          <w:rFonts w:ascii="Times New Roman"/>
          <w:color w:val="000000" w:themeColor="text1"/>
          <w:szCs w:val="24"/>
        </w:rPr>
        <w:t>－</w:t>
      </w:r>
      <w:r w:rsidRPr="008A2411">
        <w:rPr>
          <w:rFonts w:ascii="Times New Roman"/>
          <w:color w:val="000000" w:themeColor="text1"/>
          <w:szCs w:val="24"/>
        </w:rPr>
        <w:t>300m</w:t>
      </w:r>
      <w:r w:rsidRPr="008A2411">
        <w:rPr>
          <w:rFonts w:ascii="Times New Roman"/>
          <w:color w:val="000000" w:themeColor="text1"/>
          <w:szCs w:val="24"/>
        </w:rPr>
        <w:t>。拟建宣汉宏</w:t>
      </w:r>
      <w:proofErr w:type="gramStart"/>
      <w:r w:rsidRPr="008A2411">
        <w:rPr>
          <w:rFonts w:ascii="Times New Roman"/>
          <w:color w:val="000000" w:themeColor="text1"/>
          <w:szCs w:val="24"/>
        </w:rPr>
        <w:t>浩</w:t>
      </w:r>
      <w:proofErr w:type="gramEnd"/>
      <w:r w:rsidRPr="008A2411">
        <w:rPr>
          <w:rFonts w:ascii="Times New Roman"/>
          <w:color w:val="000000" w:themeColor="text1"/>
          <w:szCs w:val="24"/>
        </w:rPr>
        <w:t>能源天然气综合利用项目（</w:t>
      </w:r>
      <w:r w:rsidRPr="008A2411">
        <w:rPr>
          <w:rFonts w:ascii="Times New Roman"/>
          <w:color w:val="000000" w:themeColor="text1"/>
          <w:szCs w:val="24"/>
        </w:rPr>
        <w:t>LNG</w:t>
      </w:r>
      <w:r w:rsidRPr="008A2411">
        <w:rPr>
          <w:rFonts w:ascii="Times New Roman"/>
          <w:color w:val="000000" w:themeColor="text1"/>
          <w:szCs w:val="24"/>
        </w:rPr>
        <w:t>）二期工程</w:t>
      </w:r>
      <w:proofErr w:type="gramStart"/>
      <w:r w:rsidRPr="008A2411">
        <w:rPr>
          <w:rFonts w:ascii="Times New Roman"/>
          <w:color w:val="000000" w:themeColor="text1"/>
          <w:szCs w:val="24"/>
        </w:rPr>
        <w:t>位于陇岗高地</w:t>
      </w:r>
      <w:proofErr w:type="gramEnd"/>
      <w:r w:rsidRPr="008A2411">
        <w:rPr>
          <w:rFonts w:ascii="Times New Roman"/>
          <w:color w:val="000000" w:themeColor="text1"/>
          <w:szCs w:val="24"/>
        </w:rPr>
        <w:t>，北部丘坡标高</w:t>
      </w:r>
      <w:r w:rsidRPr="008A2411">
        <w:rPr>
          <w:rFonts w:ascii="Times New Roman"/>
          <w:color w:val="000000" w:themeColor="text1"/>
          <w:szCs w:val="24"/>
        </w:rPr>
        <w:t>431m</w:t>
      </w:r>
      <w:r w:rsidRPr="008A2411">
        <w:rPr>
          <w:rFonts w:ascii="Times New Roman"/>
          <w:color w:val="000000" w:themeColor="text1"/>
          <w:szCs w:val="24"/>
        </w:rPr>
        <w:t>，</w:t>
      </w:r>
      <w:proofErr w:type="gramStart"/>
      <w:r w:rsidRPr="008A2411">
        <w:rPr>
          <w:rFonts w:ascii="Times New Roman"/>
          <w:color w:val="000000" w:themeColor="text1"/>
          <w:szCs w:val="24"/>
        </w:rPr>
        <w:t>西部丘包标高</w:t>
      </w:r>
      <w:proofErr w:type="gramEnd"/>
      <w:r w:rsidRPr="008A2411">
        <w:rPr>
          <w:rFonts w:ascii="Times New Roman"/>
          <w:color w:val="000000" w:themeColor="text1"/>
          <w:szCs w:val="24"/>
        </w:rPr>
        <w:t>479m</w:t>
      </w:r>
      <w:r w:rsidRPr="008A2411">
        <w:rPr>
          <w:rFonts w:ascii="Times New Roman"/>
          <w:color w:val="000000" w:themeColor="text1"/>
          <w:szCs w:val="24"/>
        </w:rPr>
        <w:t>，</w:t>
      </w:r>
      <w:proofErr w:type="gramStart"/>
      <w:r w:rsidRPr="008A2411">
        <w:rPr>
          <w:rFonts w:ascii="Times New Roman"/>
          <w:color w:val="000000" w:themeColor="text1"/>
          <w:szCs w:val="24"/>
        </w:rPr>
        <w:t>南部丘包标高</w:t>
      </w:r>
      <w:proofErr w:type="gramEnd"/>
      <w:r w:rsidRPr="008A2411">
        <w:rPr>
          <w:rFonts w:ascii="Times New Roman"/>
          <w:color w:val="000000" w:themeColor="text1"/>
          <w:szCs w:val="24"/>
        </w:rPr>
        <w:t>443m</w:t>
      </w:r>
      <w:r w:rsidRPr="008A2411">
        <w:rPr>
          <w:rFonts w:ascii="Times New Roman"/>
          <w:color w:val="000000" w:themeColor="text1"/>
          <w:szCs w:val="24"/>
        </w:rPr>
        <w:t>。</w:t>
      </w:r>
    </w:p>
    <w:p w14:paraId="7EEEE2E5" w14:textId="77777777" w:rsidR="00B0005F" w:rsidRPr="008A2411" w:rsidRDefault="00000000">
      <w:pPr>
        <w:adjustRightInd w:val="0"/>
        <w:spacing w:line="360" w:lineRule="auto"/>
        <w:ind w:firstLineChars="41" w:firstLine="98"/>
        <w:rPr>
          <w:rFonts w:ascii="Times New Roman"/>
          <w:color w:val="000000" w:themeColor="text1"/>
          <w:szCs w:val="24"/>
        </w:rPr>
      </w:pPr>
      <w:r w:rsidRPr="008A2411">
        <w:rPr>
          <w:rFonts w:ascii="Times New Roman"/>
          <w:color w:val="000000" w:themeColor="text1"/>
          <w:szCs w:val="24"/>
        </w:rPr>
        <w:t>（三）</w:t>
      </w:r>
      <w:proofErr w:type="gramStart"/>
      <w:r w:rsidRPr="008A2411">
        <w:rPr>
          <w:rFonts w:ascii="Times New Roman"/>
          <w:color w:val="000000" w:themeColor="text1"/>
          <w:szCs w:val="24"/>
        </w:rPr>
        <w:t>评价区</w:t>
      </w:r>
      <w:proofErr w:type="gramEnd"/>
      <w:r w:rsidRPr="008A2411">
        <w:rPr>
          <w:rFonts w:ascii="Times New Roman"/>
          <w:color w:val="000000" w:themeColor="text1"/>
          <w:szCs w:val="24"/>
        </w:rPr>
        <w:t>地质情况</w:t>
      </w:r>
    </w:p>
    <w:p w14:paraId="2D8373DD" w14:textId="77777777" w:rsidR="00B0005F" w:rsidRPr="008A2411" w:rsidRDefault="00000000">
      <w:pPr>
        <w:widowControl/>
        <w:adjustRightInd w:val="0"/>
        <w:spacing w:line="360" w:lineRule="auto"/>
        <w:ind w:firstLine="480"/>
        <w:rPr>
          <w:rFonts w:ascii="Times New Roman"/>
          <w:b/>
          <w:bCs/>
          <w:color w:val="000000" w:themeColor="text1"/>
          <w:szCs w:val="24"/>
        </w:rPr>
      </w:pPr>
      <w:r w:rsidRPr="008A2411">
        <w:rPr>
          <w:rFonts w:ascii="Times New Roman"/>
          <w:b/>
          <w:bCs/>
          <w:color w:val="000000" w:themeColor="text1"/>
          <w:szCs w:val="24"/>
        </w:rPr>
        <w:t>1</w:t>
      </w:r>
      <w:r w:rsidRPr="008A2411">
        <w:rPr>
          <w:rFonts w:ascii="Times New Roman"/>
          <w:b/>
          <w:bCs/>
          <w:color w:val="000000" w:themeColor="text1"/>
          <w:szCs w:val="24"/>
        </w:rPr>
        <w:t>、地层岩性</w:t>
      </w:r>
      <w:bookmarkEnd w:id="441"/>
    </w:p>
    <w:p w14:paraId="2700A4C0" w14:textId="77777777" w:rsidR="00B0005F" w:rsidRPr="008A2411" w:rsidRDefault="00000000">
      <w:pPr>
        <w:widowControl/>
        <w:adjustRightInd w:val="0"/>
        <w:spacing w:line="360" w:lineRule="auto"/>
        <w:ind w:firstLine="480"/>
        <w:rPr>
          <w:rFonts w:ascii="Times New Roman"/>
          <w:color w:val="000000" w:themeColor="text1"/>
          <w:szCs w:val="24"/>
        </w:rPr>
      </w:pPr>
      <w:bookmarkStart w:id="442" w:name="_Toc327221729"/>
      <w:r w:rsidRPr="008A2411">
        <w:rPr>
          <w:rFonts w:ascii="Times New Roman"/>
          <w:color w:val="000000" w:themeColor="text1"/>
          <w:szCs w:val="24"/>
        </w:rPr>
        <w:t>评价区位于达州市宣汉县，参考《四川省达州市宣汉县红层丘陵区找水打井工程地下水调查与区划报告》等相关水文地质报告资料，地层展布可见侏罗系沙</w:t>
      </w:r>
      <w:proofErr w:type="gramStart"/>
      <w:r w:rsidRPr="008A2411">
        <w:rPr>
          <w:rFonts w:ascii="Times New Roman"/>
          <w:color w:val="000000" w:themeColor="text1"/>
          <w:szCs w:val="24"/>
        </w:rPr>
        <w:t>溪庙组</w:t>
      </w:r>
      <w:proofErr w:type="gramEnd"/>
      <w:r w:rsidRPr="008A2411">
        <w:rPr>
          <w:rFonts w:ascii="Times New Roman"/>
          <w:color w:val="000000" w:themeColor="text1"/>
          <w:szCs w:val="24"/>
        </w:rPr>
        <w:t>上下段，详述如下：</w:t>
      </w:r>
    </w:p>
    <w:p w14:paraId="5EBD2DD1" w14:textId="77777777" w:rsidR="00B0005F" w:rsidRPr="008A2411" w:rsidRDefault="00000000">
      <w:pPr>
        <w:widowControl/>
        <w:adjustRightInd w:val="0"/>
        <w:spacing w:line="360" w:lineRule="auto"/>
        <w:ind w:firstLine="480"/>
        <w:rPr>
          <w:rFonts w:ascii="Times New Roman"/>
          <w:color w:val="000000" w:themeColor="text1"/>
          <w:szCs w:val="24"/>
        </w:rPr>
      </w:pPr>
      <w:r w:rsidRPr="008A2411">
        <w:rPr>
          <w:rFonts w:ascii="Times New Roman"/>
          <w:color w:val="000000" w:themeColor="text1"/>
          <w:szCs w:val="24"/>
        </w:rPr>
        <w:t>（</w:t>
      </w:r>
      <w:r w:rsidRPr="008A2411">
        <w:rPr>
          <w:rFonts w:ascii="Times New Roman"/>
          <w:color w:val="000000" w:themeColor="text1"/>
          <w:szCs w:val="24"/>
        </w:rPr>
        <w:t>1</w:t>
      </w:r>
      <w:r w:rsidRPr="008A2411">
        <w:rPr>
          <w:rFonts w:ascii="Times New Roman"/>
          <w:color w:val="000000" w:themeColor="text1"/>
          <w:szCs w:val="24"/>
        </w:rPr>
        <w:t>）下沙溪庙组（</w:t>
      </w:r>
      <w:r w:rsidRPr="008A2411">
        <w:rPr>
          <w:rFonts w:ascii="Times New Roman"/>
          <w:color w:val="000000" w:themeColor="text1"/>
          <w:szCs w:val="24"/>
        </w:rPr>
        <w:t>J2xs</w:t>
      </w:r>
      <w:r w:rsidRPr="008A2411">
        <w:rPr>
          <w:rFonts w:ascii="Times New Roman"/>
          <w:color w:val="000000" w:themeColor="text1"/>
          <w:szCs w:val="24"/>
        </w:rPr>
        <w:t>）</w:t>
      </w:r>
    </w:p>
    <w:p w14:paraId="1A93A37D" w14:textId="77777777" w:rsidR="00B0005F" w:rsidRPr="008A2411" w:rsidRDefault="00000000">
      <w:pPr>
        <w:widowControl/>
        <w:adjustRightInd w:val="0"/>
        <w:spacing w:line="360" w:lineRule="auto"/>
        <w:ind w:firstLine="480"/>
        <w:rPr>
          <w:rFonts w:ascii="Times New Roman"/>
          <w:color w:val="000000" w:themeColor="text1"/>
          <w:szCs w:val="24"/>
        </w:rPr>
      </w:pPr>
      <w:r w:rsidRPr="008A2411">
        <w:rPr>
          <w:rFonts w:ascii="Times New Roman"/>
          <w:color w:val="000000" w:themeColor="text1"/>
          <w:szCs w:val="24"/>
        </w:rPr>
        <w:t>在本项目</w:t>
      </w:r>
      <w:proofErr w:type="gramStart"/>
      <w:r w:rsidRPr="008A2411">
        <w:rPr>
          <w:rFonts w:ascii="Times New Roman"/>
          <w:color w:val="000000" w:themeColor="text1"/>
          <w:szCs w:val="24"/>
        </w:rPr>
        <w:t>评价区</w:t>
      </w:r>
      <w:proofErr w:type="gramEnd"/>
      <w:r w:rsidRPr="008A2411">
        <w:rPr>
          <w:rFonts w:ascii="Times New Roman"/>
          <w:color w:val="000000" w:themeColor="text1"/>
          <w:szCs w:val="24"/>
        </w:rPr>
        <w:t>西北侧较小面积出现，地层底部为一层黄灰绿色块状钙质中粒砂岩，厚度在</w:t>
      </w:r>
      <w:r w:rsidRPr="008A2411">
        <w:rPr>
          <w:rFonts w:ascii="Times New Roman"/>
          <w:color w:val="000000" w:themeColor="text1"/>
          <w:szCs w:val="24"/>
        </w:rPr>
        <w:t>15m</w:t>
      </w:r>
      <w:r w:rsidRPr="008A2411">
        <w:rPr>
          <w:rFonts w:ascii="Times New Roman"/>
          <w:color w:val="000000" w:themeColor="text1"/>
          <w:szCs w:val="24"/>
        </w:rPr>
        <w:t>左右。其上，以紫红色粉砂质泥岩为主。每隔</w:t>
      </w:r>
      <w:r w:rsidRPr="008A2411">
        <w:rPr>
          <w:rFonts w:ascii="Times New Roman"/>
          <w:color w:val="000000" w:themeColor="text1"/>
          <w:szCs w:val="24"/>
        </w:rPr>
        <w:t>30-50m</w:t>
      </w:r>
      <w:r w:rsidRPr="008A2411">
        <w:rPr>
          <w:rFonts w:ascii="Times New Roman"/>
          <w:color w:val="000000" w:themeColor="text1"/>
          <w:szCs w:val="24"/>
        </w:rPr>
        <w:t>可见一层厚</w:t>
      </w:r>
      <w:r w:rsidRPr="008A2411">
        <w:rPr>
          <w:rFonts w:ascii="Times New Roman"/>
          <w:color w:val="000000" w:themeColor="text1"/>
          <w:szCs w:val="24"/>
        </w:rPr>
        <w:t>5-7m</w:t>
      </w:r>
      <w:r w:rsidRPr="008A2411">
        <w:rPr>
          <w:rFonts w:ascii="Times New Roman"/>
          <w:color w:val="000000" w:themeColor="text1"/>
          <w:szCs w:val="24"/>
        </w:rPr>
        <w:t>的灰色钙质细砂岩。</w:t>
      </w:r>
    </w:p>
    <w:p w14:paraId="2CF3AFDA" w14:textId="77777777" w:rsidR="00B0005F" w:rsidRPr="008A2411" w:rsidRDefault="00000000">
      <w:pPr>
        <w:widowControl/>
        <w:adjustRightInd w:val="0"/>
        <w:spacing w:line="360" w:lineRule="auto"/>
        <w:ind w:firstLine="480"/>
        <w:rPr>
          <w:rFonts w:ascii="Times New Roman"/>
          <w:color w:val="000000" w:themeColor="text1"/>
          <w:szCs w:val="24"/>
        </w:rPr>
      </w:pPr>
      <w:r w:rsidRPr="008A2411">
        <w:rPr>
          <w:rFonts w:ascii="Times New Roman"/>
          <w:color w:val="000000" w:themeColor="text1"/>
          <w:szCs w:val="24"/>
        </w:rPr>
        <w:t>（</w:t>
      </w:r>
      <w:r w:rsidRPr="008A2411">
        <w:rPr>
          <w:rFonts w:ascii="Times New Roman"/>
          <w:color w:val="000000" w:themeColor="text1"/>
          <w:szCs w:val="24"/>
        </w:rPr>
        <w:t>2</w:t>
      </w:r>
      <w:r w:rsidRPr="008A2411">
        <w:rPr>
          <w:rFonts w:ascii="Times New Roman"/>
          <w:color w:val="000000" w:themeColor="text1"/>
          <w:szCs w:val="24"/>
        </w:rPr>
        <w:t>）上沙溪庙组（</w:t>
      </w:r>
      <w:r w:rsidRPr="008A2411">
        <w:rPr>
          <w:rFonts w:ascii="Times New Roman"/>
          <w:color w:val="000000" w:themeColor="text1"/>
          <w:szCs w:val="24"/>
        </w:rPr>
        <w:t>J2s</w:t>
      </w:r>
      <w:r w:rsidRPr="008A2411">
        <w:rPr>
          <w:rFonts w:ascii="Times New Roman"/>
          <w:color w:val="000000" w:themeColor="text1"/>
          <w:szCs w:val="24"/>
        </w:rPr>
        <w:t>）</w:t>
      </w:r>
    </w:p>
    <w:p w14:paraId="1BAE15F0" w14:textId="77777777" w:rsidR="00B0005F" w:rsidRPr="008A2411" w:rsidRDefault="00000000">
      <w:pPr>
        <w:widowControl/>
        <w:adjustRightInd w:val="0"/>
        <w:spacing w:line="360" w:lineRule="auto"/>
        <w:ind w:firstLine="480"/>
        <w:rPr>
          <w:rFonts w:ascii="Times New Roman"/>
          <w:color w:val="000000" w:themeColor="text1"/>
          <w:szCs w:val="24"/>
        </w:rPr>
      </w:pPr>
      <w:r w:rsidRPr="008A2411">
        <w:rPr>
          <w:rFonts w:ascii="Times New Roman"/>
          <w:color w:val="000000" w:themeColor="text1"/>
          <w:szCs w:val="24"/>
        </w:rPr>
        <w:t>为本项目出露的主要地层，底部为灰色、灰绿色厚层状钙质细砂岩，往上为一套紫红色粉砂质泥岩，常夹有薄层泥质粉砂岩，每隔</w:t>
      </w:r>
      <w:r w:rsidRPr="008A2411">
        <w:rPr>
          <w:rFonts w:ascii="Times New Roman"/>
          <w:color w:val="000000" w:themeColor="text1"/>
          <w:szCs w:val="24"/>
        </w:rPr>
        <w:t>80-100 m</w:t>
      </w:r>
      <w:r w:rsidRPr="008A2411">
        <w:rPr>
          <w:rFonts w:ascii="Times New Roman"/>
          <w:color w:val="000000" w:themeColor="text1"/>
          <w:szCs w:val="24"/>
        </w:rPr>
        <w:t>左右，有一层厚度不稳定的灰色钙质细砂岩。</w:t>
      </w:r>
    </w:p>
    <w:p w14:paraId="008C6691" w14:textId="77777777" w:rsidR="00B0005F" w:rsidRPr="008A2411" w:rsidRDefault="00000000">
      <w:pPr>
        <w:adjustRightInd w:val="0"/>
        <w:spacing w:line="360" w:lineRule="auto"/>
        <w:ind w:firstLine="361"/>
        <w:rPr>
          <w:rFonts w:ascii="Times New Roman"/>
          <w:b/>
          <w:bCs/>
          <w:color w:val="000000" w:themeColor="text1"/>
          <w:szCs w:val="24"/>
        </w:rPr>
      </w:pPr>
      <w:r w:rsidRPr="008A2411">
        <w:rPr>
          <w:rFonts w:ascii="Times New Roman"/>
          <w:b/>
          <w:bCs/>
          <w:color w:val="000000" w:themeColor="text1"/>
          <w:szCs w:val="24"/>
        </w:rPr>
        <w:t>2</w:t>
      </w:r>
      <w:r w:rsidRPr="008A2411">
        <w:rPr>
          <w:rFonts w:ascii="Times New Roman"/>
          <w:b/>
          <w:bCs/>
          <w:color w:val="000000" w:themeColor="text1"/>
          <w:szCs w:val="24"/>
        </w:rPr>
        <w:t>、地质构造</w:t>
      </w:r>
    </w:p>
    <w:p w14:paraId="25477C01" w14:textId="77777777" w:rsidR="00B0005F" w:rsidRPr="008A2411" w:rsidRDefault="00000000">
      <w:pPr>
        <w:adjustRightInd w:val="0"/>
        <w:spacing w:line="360" w:lineRule="auto"/>
        <w:ind w:firstLine="480"/>
        <w:rPr>
          <w:rFonts w:ascii="Times New Roman"/>
          <w:color w:val="000000" w:themeColor="text1"/>
          <w:szCs w:val="24"/>
        </w:rPr>
      </w:pPr>
      <w:proofErr w:type="gramStart"/>
      <w:r w:rsidRPr="008A2411">
        <w:rPr>
          <w:rFonts w:ascii="Times New Roman"/>
          <w:color w:val="000000" w:themeColor="text1"/>
          <w:szCs w:val="24"/>
        </w:rPr>
        <w:t>评价区</w:t>
      </w:r>
      <w:proofErr w:type="gramEnd"/>
      <w:r w:rsidRPr="008A2411">
        <w:rPr>
          <w:rFonts w:ascii="Times New Roman"/>
          <w:color w:val="000000" w:themeColor="text1"/>
          <w:szCs w:val="24"/>
        </w:rPr>
        <w:t>宣汉县构造部位处于大巴山南缘弧形构造带与四川盆地东北部新华夏构造带的复合地带，构造形迹主要为褶皱构造，其次为压性或压扭性断层。与本项目相关的地质构造为黄金口背斜，该背斜走向大体呈北东南西向，北东</w:t>
      </w:r>
      <w:proofErr w:type="gramStart"/>
      <w:r w:rsidRPr="008A2411">
        <w:rPr>
          <w:rFonts w:ascii="Times New Roman"/>
          <w:color w:val="000000" w:themeColor="text1"/>
          <w:szCs w:val="24"/>
        </w:rPr>
        <w:t>起于厂溪镇</w:t>
      </w:r>
      <w:proofErr w:type="gramEnd"/>
      <w:r w:rsidRPr="008A2411">
        <w:rPr>
          <w:rFonts w:ascii="Times New Roman"/>
          <w:color w:val="000000" w:themeColor="text1"/>
          <w:szCs w:val="24"/>
        </w:rPr>
        <w:t>，南西呈弧形终于双河镇附近，轴部地层以侏罗系</w:t>
      </w:r>
      <w:proofErr w:type="gramStart"/>
      <w:r w:rsidRPr="008A2411">
        <w:rPr>
          <w:rFonts w:ascii="Times New Roman"/>
          <w:color w:val="000000" w:themeColor="text1"/>
          <w:szCs w:val="24"/>
        </w:rPr>
        <w:t>千佛岩组</w:t>
      </w:r>
      <w:proofErr w:type="gramEnd"/>
      <w:r w:rsidRPr="008A2411">
        <w:rPr>
          <w:rFonts w:ascii="Times New Roman"/>
          <w:color w:val="000000" w:themeColor="text1"/>
          <w:szCs w:val="24"/>
        </w:rPr>
        <w:t>（</w:t>
      </w:r>
      <w:r w:rsidRPr="008A2411">
        <w:rPr>
          <w:rFonts w:ascii="Times New Roman"/>
          <w:color w:val="000000" w:themeColor="text1"/>
          <w:szCs w:val="24"/>
        </w:rPr>
        <w:t>J2q</w:t>
      </w:r>
      <w:r w:rsidRPr="008A2411">
        <w:rPr>
          <w:rFonts w:ascii="Times New Roman"/>
          <w:color w:val="000000" w:themeColor="text1"/>
          <w:szCs w:val="24"/>
        </w:rPr>
        <w:t>）为主，两翼地层均为沙</w:t>
      </w:r>
      <w:proofErr w:type="gramStart"/>
      <w:r w:rsidRPr="008A2411">
        <w:rPr>
          <w:rFonts w:ascii="Times New Roman"/>
          <w:color w:val="000000" w:themeColor="text1"/>
          <w:szCs w:val="24"/>
        </w:rPr>
        <w:t>溪庙组</w:t>
      </w:r>
      <w:proofErr w:type="gramEnd"/>
      <w:r w:rsidRPr="008A2411">
        <w:rPr>
          <w:rFonts w:ascii="Times New Roman"/>
          <w:color w:val="000000" w:themeColor="text1"/>
          <w:szCs w:val="24"/>
        </w:rPr>
        <w:t>（</w:t>
      </w:r>
      <w:r w:rsidRPr="008A2411">
        <w:rPr>
          <w:rFonts w:ascii="Times New Roman"/>
          <w:color w:val="000000" w:themeColor="text1"/>
          <w:szCs w:val="24"/>
        </w:rPr>
        <w:t>J</w:t>
      </w:r>
      <w:r w:rsidRPr="008A2411">
        <w:rPr>
          <w:rFonts w:ascii="Times New Roman"/>
          <w:color w:val="000000" w:themeColor="text1"/>
          <w:szCs w:val="24"/>
          <w:vertAlign w:val="subscript"/>
        </w:rPr>
        <w:t>2xs</w:t>
      </w:r>
      <w:r w:rsidRPr="008A2411">
        <w:rPr>
          <w:rFonts w:ascii="Times New Roman"/>
          <w:color w:val="000000" w:themeColor="text1"/>
          <w:szCs w:val="24"/>
        </w:rPr>
        <w:t>、</w:t>
      </w:r>
      <w:r w:rsidRPr="008A2411">
        <w:rPr>
          <w:rFonts w:ascii="Times New Roman"/>
          <w:color w:val="000000" w:themeColor="text1"/>
          <w:szCs w:val="24"/>
        </w:rPr>
        <w:t>J</w:t>
      </w:r>
      <w:r w:rsidRPr="008A2411">
        <w:rPr>
          <w:rFonts w:ascii="Times New Roman"/>
          <w:color w:val="000000" w:themeColor="text1"/>
          <w:szCs w:val="24"/>
          <w:vertAlign w:val="subscript"/>
        </w:rPr>
        <w:t>2s</w:t>
      </w:r>
      <w:r w:rsidRPr="008A2411">
        <w:rPr>
          <w:rFonts w:ascii="Times New Roman"/>
          <w:color w:val="000000" w:themeColor="text1"/>
          <w:szCs w:val="24"/>
        </w:rPr>
        <w:t>），褶曲两翼岩层的倾角较陡，常在</w:t>
      </w:r>
      <w:r w:rsidRPr="008A2411">
        <w:rPr>
          <w:rFonts w:ascii="Times New Roman"/>
          <w:color w:val="000000" w:themeColor="text1"/>
          <w:szCs w:val="24"/>
        </w:rPr>
        <w:t>30</w:t>
      </w:r>
      <w:r w:rsidRPr="008A2411">
        <w:rPr>
          <w:rFonts w:ascii="Times New Roman"/>
          <w:color w:val="000000" w:themeColor="text1"/>
          <w:szCs w:val="24"/>
        </w:rPr>
        <w:t>～</w:t>
      </w:r>
      <w:r w:rsidRPr="008A2411">
        <w:rPr>
          <w:rFonts w:ascii="Times New Roman"/>
          <w:color w:val="000000" w:themeColor="text1"/>
          <w:szCs w:val="24"/>
        </w:rPr>
        <w:t>40°</w:t>
      </w:r>
      <w:r w:rsidRPr="008A2411">
        <w:rPr>
          <w:rFonts w:ascii="Times New Roman"/>
          <w:color w:val="000000" w:themeColor="text1"/>
          <w:szCs w:val="24"/>
        </w:rPr>
        <w:t>以上。</w:t>
      </w:r>
    </w:p>
    <w:p w14:paraId="426CF61A"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lastRenderedPageBreak/>
        <w:t>总体而言，本项目所在区域位于黄金口背斜南东翼，地质稳定性较好，附近断裂构造发育较弱，对项目产生影响的可能性极小。</w:t>
      </w:r>
    </w:p>
    <w:p w14:paraId="692A0A37" w14:textId="77777777" w:rsidR="00B0005F" w:rsidRPr="008A2411" w:rsidRDefault="00000000">
      <w:pPr>
        <w:adjustRightInd w:val="0"/>
        <w:spacing w:line="360" w:lineRule="auto"/>
        <w:ind w:firstLine="241"/>
        <w:rPr>
          <w:rFonts w:ascii="Times New Roman"/>
          <w:color w:val="000000" w:themeColor="text1"/>
          <w:szCs w:val="24"/>
        </w:rPr>
      </w:pPr>
      <w:bookmarkStart w:id="443" w:name="_Toc327221730"/>
      <w:bookmarkEnd w:id="442"/>
      <w:r w:rsidRPr="008A2411">
        <w:rPr>
          <w:rFonts w:ascii="Times New Roman"/>
          <w:color w:val="000000" w:themeColor="text1"/>
          <w:szCs w:val="24"/>
        </w:rPr>
        <w:t>（四）</w:t>
      </w:r>
      <w:proofErr w:type="gramStart"/>
      <w:r w:rsidRPr="008A2411">
        <w:rPr>
          <w:rFonts w:ascii="Times New Roman"/>
          <w:color w:val="000000" w:themeColor="text1"/>
          <w:szCs w:val="24"/>
        </w:rPr>
        <w:t>评价区</w:t>
      </w:r>
      <w:proofErr w:type="gramEnd"/>
      <w:r w:rsidRPr="008A2411">
        <w:rPr>
          <w:rFonts w:ascii="Times New Roman"/>
          <w:color w:val="000000" w:themeColor="text1"/>
          <w:szCs w:val="24"/>
        </w:rPr>
        <w:t>水文地质</w:t>
      </w:r>
    </w:p>
    <w:p w14:paraId="0CD6BC25" w14:textId="77777777" w:rsidR="00B0005F" w:rsidRPr="008A2411" w:rsidRDefault="00000000">
      <w:pPr>
        <w:adjustRightInd w:val="0"/>
        <w:snapToGrid w:val="0"/>
        <w:spacing w:line="360" w:lineRule="auto"/>
        <w:ind w:firstLine="361"/>
        <w:rPr>
          <w:rFonts w:ascii="Times New Roman"/>
          <w:b/>
          <w:bCs/>
          <w:color w:val="000000" w:themeColor="text1"/>
          <w:szCs w:val="24"/>
        </w:rPr>
      </w:pPr>
      <w:r w:rsidRPr="008A2411">
        <w:rPr>
          <w:rFonts w:ascii="Times New Roman"/>
          <w:b/>
          <w:bCs/>
          <w:color w:val="000000" w:themeColor="text1"/>
          <w:szCs w:val="24"/>
        </w:rPr>
        <w:t>3</w:t>
      </w:r>
      <w:r w:rsidRPr="008A2411">
        <w:rPr>
          <w:rFonts w:ascii="Times New Roman"/>
          <w:b/>
          <w:bCs/>
          <w:color w:val="000000" w:themeColor="text1"/>
          <w:szCs w:val="24"/>
        </w:rPr>
        <w:t>、地下水类型及赋存条件</w:t>
      </w:r>
    </w:p>
    <w:p w14:paraId="24FC9AF4" w14:textId="77777777" w:rsidR="00B0005F" w:rsidRPr="008A2411" w:rsidRDefault="00000000">
      <w:pPr>
        <w:adjustRightInd w:val="0"/>
        <w:snapToGrid w:val="0"/>
        <w:spacing w:line="360" w:lineRule="auto"/>
        <w:ind w:firstLine="480"/>
        <w:rPr>
          <w:rFonts w:ascii="Times New Roman"/>
          <w:color w:val="000000" w:themeColor="text1"/>
        </w:rPr>
      </w:pPr>
      <w:r w:rsidRPr="008A2411">
        <w:rPr>
          <w:rFonts w:ascii="Times New Roman"/>
          <w:color w:val="000000" w:themeColor="text1"/>
        </w:rPr>
        <w:t>评价区内地下水类型为浅层风化带裂隙孔隙水，含水介质主要由沙</w:t>
      </w:r>
      <w:proofErr w:type="gramStart"/>
      <w:r w:rsidRPr="008A2411">
        <w:rPr>
          <w:rFonts w:ascii="Times New Roman"/>
          <w:color w:val="000000" w:themeColor="text1"/>
        </w:rPr>
        <w:t>溪庙组</w:t>
      </w:r>
      <w:proofErr w:type="gramEnd"/>
      <w:r w:rsidRPr="008A2411">
        <w:rPr>
          <w:rFonts w:ascii="Times New Roman"/>
          <w:color w:val="000000" w:themeColor="text1"/>
        </w:rPr>
        <w:t>（</w:t>
      </w:r>
      <w:r w:rsidRPr="008A2411">
        <w:rPr>
          <w:rFonts w:ascii="Times New Roman"/>
          <w:color w:val="000000" w:themeColor="text1"/>
        </w:rPr>
        <w:t>J</w:t>
      </w:r>
      <w:r w:rsidRPr="008A2411">
        <w:rPr>
          <w:rFonts w:ascii="Times New Roman"/>
          <w:color w:val="000000" w:themeColor="text1"/>
          <w:vertAlign w:val="subscript"/>
        </w:rPr>
        <w:t>2</w:t>
      </w:r>
      <w:r w:rsidRPr="008A2411">
        <w:rPr>
          <w:rFonts w:ascii="Times New Roman"/>
          <w:color w:val="000000" w:themeColor="text1"/>
        </w:rPr>
        <w:t>s</w:t>
      </w:r>
      <w:r w:rsidRPr="008A2411">
        <w:rPr>
          <w:rFonts w:ascii="Times New Roman"/>
          <w:color w:val="000000" w:themeColor="text1"/>
        </w:rPr>
        <w:t>）地层组成，该类岩性为紫红、棕红色泥岩为主，夹不等厚的粉砂岩构成，砂岩透镜体单层厚一般</w:t>
      </w:r>
      <w:r w:rsidRPr="008A2411">
        <w:rPr>
          <w:rFonts w:ascii="Times New Roman"/>
          <w:color w:val="000000" w:themeColor="text1"/>
        </w:rPr>
        <w:t>1</w:t>
      </w:r>
      <w:r w:rsidRPr="008A2411">
        <w:rPr>
          <w:rFonts w:ascii="Times New Roman"/>
          <w:color w:val="000000" w:themeColor="text1"/>
        </w:rPr>
        <w:t>～</w:t>
      </w:r>
      <w:r w:rsidRPr="008A2411">
        <w:rPr>
          <w:rFonts w:ascii="Times New Roman"/>
          <w:color w:val="000000" w:themeColor="text1"/>
        </w:rPr>
        <w:t>3m</w:t>
      </w:r>
      <w:r w:rsidRPr="008A2411">
        <w:rPr>
          <w:rFonts w:ascii="Times New Roman"/>
          <w:color w:val="000000" w:themeColor="text1"/>
        </w:rPr>
        <w:t>，泥岩含网状、脉状石膏及钙质结核，地貌</w:t>
      </w:r>
      <w:proofErr w:type="gramStart"/>
      <w:r w:rsidRPr="008A2411">
        <w:rPr>
          <w:rFonts w:ascii="Times New Roman"/>
          <w:color w:val="000000" w:themeColor="text1"/>
        </w:rPr>
        <w:t>上构呈浅切缓</w:t>
      </w:r>
      <w:proofErr w:type="gramEnd"/>
      <w:r w:rsidRPr="008A2411">
        <w:rPr>
          <w:rFonts w:ascii="Times New Roman"/>
          <w:color w:val="000000" w:themeColor="text1"/>
        </w:rPr>
        <w:t>平的丘陵，地下水主要</w:t>
      </w:r>
      <w:proofErr w:type="gramStart"/>
      <w:r w:rsidRPr="008A2411">
        <w:rPr>
          <w:rFonts w:ascii="Times New Roman"/>
          <w:color w:val="000000" w:themeColor="text1"/>
        </w:rPr>
        <w:t>储藏于砂泥岩</w:t>
      </w:r>
      <w:proofErr w:type="gramEnd"/>
      <w:r w:rsidRPr="008A2411">
        <w:rPr>
          <w:rFonts w:ascii="Times New Roman"/>
          <w:color w:val="000000" w:themeColor="text1"/>
        </w:rPr>
        <w:t>风化裂隙带内，与透镜状砂岩裂隙中，地下水位埋深</w:t>
      </w:r>
      <w:r w:rsidRPr="008A2411">
        <w:rPr>
          <w:rFonts w:ascii="Times New Roman"/>
          <w:color w:val="000000" w:themeColor="text1"/>
        </w:rPr>
        <w:t>3</w:t>
      </w:r>
      <w:r w:rsidRPr="008A2411">
        <w:rPr>
          <w:rFonts w:ascii="Times New Roman"/>
          <w:color w:val="000000" w:themeColor="text1"/>
        </w:rPr>
        <w:t>～</w:t>
      </w:r>
      <w:r w:rsidRPr="008A2411">
        <w:rPr>
          <w:rFonts w:ascii="Times New Roman"/>
          <w:color w:val="000000" w:themeColor="text1"/>
        </w:rPr>
        <w:t>5m</w:t>
      </w:r>
      <w:r w:rsidRPr="008A2411">
        <w:rPr>
          <w:rFonts w:ascii="Times New Roman"/>
          <w:color w:val="000000" w:themeColor="text1"/>
        </w:rPr>
        <w:t>，</w:t>
      </w:r>
      <w:proofErr w:type="gramStart"/>
      <w:r w:rsidRPr="008A2411">
        <w:rPr>
          <w:rFonts w:ascii="Times New Roman"/>
          <w:color w:val="000000" w:themeColor="text1"/>
        </w:rPr>
        <w:t>该岩类含水岩组具薄</w:t>
      </w:r>
      <w:proofErr w:type="gramEnd"/>
      <w:r w:rsidRPr="008A2411">
        <w:rPr>
          <w:rFonts w:ascii="Times New Roman"/>
          <w:color w:val="000000" w:themeColor="text1"/>
        </w:rPr>
        <w:t>至极薄层状构造，砂岩少、单层厚度薄，岩相变化大，节理裂隙微细短小，互相穿插切割形成网状、风化带发育深度一般较大，特别是泥岩中可溶盐组份，即钙质及石膏被水溶解，裂隙进一步扩展，为地下水运</w:t>
      </w:r>
      <w:proofErr w:type="gramStart"/>
      <w:r w:rsidRPr="008A2411">
        <w:rPr>
          <w:rFonts w:ascii="Times New Roman"/>
          <w:color w:val="000000" w:themeColor="text1"/>
        </w:rPr>
        <w:t>移提供</w:t>
      </w:r>
      <w:proofErr w:type="gramEnd"/>
      <w:r w:rsidRPr="008A2411">
        <w:rPr>
          <w:rFonts w:ascii="Times New Roman"/>
          <w:color w:val="000000" w:themeColor="text1"/>
        </w:rPr>
        <w:t>了良好的空间，泉流量</w:t>
      </w:r>
      <w:r w:rsidRPr="008A2411">
        <w:rPr>
          <w:rFonts w:ascii="Times New Roman"/>
          <w:color w:val="000000" w:themeColor="text1"/>
        </w:rPr>
        <w:t>0.01</w:t>
      </w:r>
      <w:r w:rsidRPr="008A2411">
        <w:rPr>
          <w:rFonts w:ascii="Times New Roman"/>
          <w:color w:val="000000" w:themeColor="text1"/>
        </w:rPr>
        <w:t>～</w:t>
      </w:r>
      <w:r w:rsidRPr="008A2411">
        <w:rPr>
          <w:rFonts w:ascii="Times New Roman"/>
          <w:color w:val="000000" w:themeColor="text1"/>
        </w:rPr>
        <w:t>0.1 L/s</w:t>
      </w:r>
      <w:r w:rsidRPr="008A2411">
        <w:rPr>
          <w:rFonts w:ascii="Times New Roman"/>
          <w:color w:val="000000" w:themeColor="text1"/>
        </w:rPr>
        <w:t>，单井出水量为</w:t>
      </w:r>
      <w:r w:rsidRPr="008A2411">
        <w:rPr>
          <w:rFonts w:ascii="Times New Roman"/>
          <w:color w:val="000000" w:themeColor="text1"/>
        </w:rPr>
        <w:t>3</w:t>
      </w:r>
      <w:r w:rsidRPr="008A2411">
        <w:rPr>
          <w:rFonts w:ascii="Times New Roman"/>
          <w:color w:val="000000" w:themeColor="text1"/>
        </w:rPr>
        <w:t>～</w:t>
      </w:r>
      <w:r w:rsidRPr="008A2411">
        <w:rPr>
          <w:rFonts w:ascii="Times New Roman"/>
          <w:color w:val="000000" w:themeColor="text1"/>
        </w:rPr>
        <w:t>5 m</w:t>
      </w:r>
      <w:r w:rsidRPr="008A2411">
        <w:rPr>
          <w:rFonts w:ascii="Times New Roman"/>
          <w:color w:val="000000" w:themeColor="text1"/>
          <w:vertAlign w:val="superscript"/>
        </w:rPr>
        <w:t>3</w:t>
      </w:r>
      <w:r w:rsidRPr="008A2411">
        <w:rPr>
          <w:rFonts w:ascii="Times New Roman"/>
          <w:color w:val="000000" w:themeColor="text1"/>
        </w:rPr>
        <w:t>/d</w:t>
      </w:r>
      <w:r w:rsidRPr="008A2411">
        <w:rPr>
          <w:rFonts w:ascii="Times New Roman"/>
          <w:color w:val="000000" w:themeColor="text1"/>
        </w:rPr>
        <w:t>，地下水径流模数</w:t>
      </w:r>
      <w:r w:rsidRPr="008A2411">
        <w:rPr>
          <w:rFonts w:ascii="Times New Roman"/>
          <w:color w:val="000000" w:themeColor="text1"/>
        </w:rPr>
        <w:t>0.1</w:t>
      </w:r>
      <w:r w:rsidRPr="008A2411">
        <w:rPr>
          <w:rFonts w:ascii="Times New Roman"/>
          <w:color w:val="000000" w:themeColor="text1"/>
        </w:rPr>
        <w:t>～</w:t>
      </w:r>
      <w:r w:rsidRPr="008A2411">
        <w:rPr>
          <w:rFonts w:ascii="Times New Roman"/>
          <w:color w:val="000000" w:themeColor="text1"/>
        </w:rPr>
        <w:t>0.5 L/s·km</w:t>
      </w:r>
      <w:r w:rsidRPr="008A2411">
        <w:rPr>
          <w:rFonts w:ascii="Times New Roman"/>
          <w:color w:val="000000" w:themeColor="text1"/>
          <w:vertAlign w:val="superscript"/>
        </w:rPr>
        <w:t>2</w:t>
      </w:r>
      <w:r w:rsidRPr="008A2411">
        <w:rPr>
          <w:rFonts w:ascii="Times New Roman"/>
          <w:color w:val="000000" w:themeColor="text1"/>
        </w:rPr>
        <w:t>。</w:t>
      </w:r>
    </w:p>
    <w:p w14:paraId="09D14F5F" w14:textId="77777777" w:rsidR="00B0005F" w:rsidRPr="008A2411" w:rsidRDefault="00000000">
      <w:pPr>
        <w:adjustRightInd w:val="0"/>
        <w:spacing w:line="360" w:lineRule="auto"/>
        <w:ind w:firstLine="361"/>
        <w:rPr>
          <w:rFonts w:ascii="Times New Roman"/>
          <w:b/>
          <w:bCs/>
          <w:color w:val="000000" w:themeColor="text1"/>
          <w:szCs w:val="24"/>
        </w:rPr>
      </w:pPr>
      <w:r w:rsidRPr="008A2411">
        <w:rPr>
          <w:rFonts w:ascii="Times New Roman"/>
          <w:b/>
          <w:bCs/>
          <w:color w:val="000000" w:themeColor="text1"/>
          <w:szCs w:val="24"/>
        </w:rPr>
        <w:t>4</w:t>
      </w:r>
      <w:r w:rsidRPr="008A2411">
        <w:rPr>
          <w:rFonts w:ascii="Times New Roman"/>
          <w:b/>
          <w:bCs/>
          <w:color w:val="000000" w:themeColor="text1"/>
          <w:szCs w:val="24"/>
        </w:rPr>
        <w:t>、地下水补给、径流和排泄条件</w:t>
      </w:r>
    </w:p>
    <w:p w14:paraId="3DDEA2FD" w14:textId="77777777" w:rsidR="00B0005F" w:rsidRPr="008A2411" w:rsidRDefault="00000000">
      <w:pPr>
        <w:adjustRightInd w:val="0"/>
        <w:spacing w:line="360" w:lineRule="auto"/>
        <w:ind w:firstLine="480"/>
        <w:rPr>
          <w:rFonts w:ascii="Times New Roman"/>
          <w:color w:val="000000" w:themeColor="text1"/>
          <w:szCs w:val="24"/>
        </w:rPr>
      </w:pPr>
      <w:proofErr w:type="gramStart"/>
      <w:r w:rsidRPr="008A2411">
        <w:rPr>
          <w:rFonts w:ascii="Times New Roman"/>
          <w:color w:val="000000" w:themeColor="text1"/>
        </w:rPr>
        <w:t>评价区</w:t>
      </w:r>
      <w:proofErr w:type="gramEnd"/>
      <w:r w:rsidRPr="008A2411">
        <w:rPr>
          <w:rFonts w:ascii="Times New Roman"/>
          <w:color w:val="000000" w:themeColor="text1"/>
        </w:rPr>
        <w:t>地处温湿、多雨地区，据多年气象观测资料，年平均降雨量为</w:t>
      </w:r>
      <w:r w:rsidRPr="008A2411">
        <w:rPr>
          <w:rFonts w:ascii="Times New Roman"/>
          <w:color w:val="000000" w:themeColor="text1"/>
        </w:rPr>
        <w:t>1213 mm</w:t>
      </w:r>
      <w:r w:rsidRPr="008A2411">
        <w:rPr>
          <w:rFonts w:ascii="Times New Roman"/>
          <w:color w:val="000000" w:themeColor="text1"/>
        </w:rPr>
        <w:t>左右，充沛的雨量是地下水的主要补给来源之一。地下水的补、径、排条件相对简单。流域内主要接受大气降水补给入渗后，由坡顶沿地表及地下裂隙向下径流，至</w:t>
      </w:r>
      <w:r w:rsidRPr="008A2411">
        <w:rPr>
          <w:rFonts w:ascii="Times New Roman" w:hint="eastAsia"/>
          <w:color w:val="000000" w:themeColor="text1"/>
        </w:rPr>
        <w:t>“</w:t>
      </w:r>
      <w:r w:rsidRPr="008A2411">
        <w:rPr>
          <w:rFonts w:ascii="Times New Roman"/>
          <w:color w:val="000000" w:themeColor="text1"/>
        </w:rPr>
        <w:t>平坝</w:t>
      </w:r>
      <w:r w:rsidRPr="008A2411">
        <w:rPr>
          <w:rFonts w:ascii="Times New Roman" w:hint="eastAsia"/>
          <w:color w:val="000000" w:themeColor="text1"/>
        </w:rPr>
        <w:t>”</w:t>
      </w:r>
      <w:r w:rsidRPr="008A2411">
        <w:rPr>
          <w:rFonts w:ascii="Times New Roman"/>
          <w:color w:val="000000" w:themeColor="text1"/>
        </w:rPr>
        <w:t>地段贮存，在丘脚底部切割较大处的砂岩出露段，还可见其呈点状渗出。宽谷</w:t>
      </w:r>
      <w:r w:rsidRPr="008A2411">
        <w:rPr>
          <w:rFonts w:ascii="Times New Roman" w:hint="eastAsia"/>
          <w:color w:val="000000" w:themeColor="text1"/>
        </w:rPr>
        <w:t>“</w:t>
      </w:r>
      <w:r w:rsidRPr="008A2411">
        <w:rPr>
          <w:rFonts w:ascii="Times New Roman"/>
          <w:color w:val="000000" w:themeColor="text1"/>
        </w:rPr>
        <w:t>平坝</w:t>
      </w:r>
      <w:r w:rsidRPr="008A2411">
        <w:rPr>
          <w:rFonts w:ascii="Times New Roman" w:hint="eastAsia"/>
          <w:color w:val="000000" w:themeColor="text1"/>
        </w:rPr>
        <w:t>”</w:t>
      </w:r>
      <w:r w:rsidRPr="008A2411">
        <w:rPr>
          <w:rFonts w:ascii="Times New Roman"/>
          <w:color w:val="000000" w:themeColor="text1"/>
        </w:rPr>
        <w:t>内，由于其纵向水力坡度较小，故地下水向下径流排泄的总量不大，具有就地补给、就地贮存、就近排泄的特点。本项目所在区地下水水位埋深较浅，地下水受区域流场及</w:t>
      </w:r>
      <w:proofErr w:type="gramStart"/>
      <w:r w:rsidRPr="008A2411">
        <w:rPr>
          <w:rFonts w:ascii="Times New Roman"/>
          <w:color w:val="000000" w:themeColor="text1"/>
        </w:rPr>
        <w:t>墩子河</w:t>
      </w:r>
      <w:proofErr w:type="gramEnd"/>
      <w:r w:rsidRPr="008A2411">
        <w:rPr>
          <w:rFonts w:ascii="Times New Roman"/>
          <w:color w:val="000000" w:themeColor="text1"/>
        </w:rPr>
        <w:t>等河流控制，评价区内地下水总体呈北西向向南东</w:t>
      </w:r>
      <w:proofErr w:type="gramStart"/>
      <w:r w:rsidRPr="008A2411">
        <w:rPr>
          <w:rFonts w:ascii="Times New Roman"/>
          <w:color w:val="000000" w:themeColor="text1"/>
        </w:rPr>
        <w:t>墩子河径流</w:t>
      </w:r>
      <w:proofErr w:type="gramEnd"/>
      <w:r w:rsidRPr="008A2411">
        <w:rPr>
          <w:rFonts w:ascii="Times New Roman"/>
          <w:color w:val="000000" w:themeColor="text1"/>
        </w:rPr>
        <w:t>，局部受到微地貌控制</w:t>
      </w:r>
      <w:r w:rsidRPr="008A2411">
        <w:rPr>
          <w:rFonts w:ascii="Times New Roman"/>
          <w:color w:val="000000" w:themeColor="text1"/>
          <w:szCs w:val="24"/>
        </w:rPr>
        <w:t>。</w:t>
      </w:r>
    </w:p>
    <w:p w14:paraId="211F9596" w14:textId="77777777" w:rsidR="00B0005F" w:rsidRPr="008A2411" w:rsidRDefault="00000000">
      <w:pPr>
        <w:keepNext/>
        <w:keepLines/>
        <w:adjustRightInd w:val="0"/>
        <w:spacing w:line="360" w:lineRule="auto"/>
        <w:ind w:firstLine="363"/>
        <w:rPr>
          <w:rFonts w:ascii="Times New Roman"/>
          <w:b/>
          <w:bCs/>
          <w:color w:val="000000" w:themeColor="text1"/>
          <w:szCs w:val="24"/>
        </w:rPr>
      </w:pPr>
      <w:r w:rsidRPr="008A2411">
        <w:rPr>
          <w:rFonts w:ascii="Times New Roman"/>
          <w:b/>
          <w:bCs/>
          <w:color w:val="000000" w:themeColor="text1"/>
          <w:szCs w:val="24"/>
        </w:rPr>
        <w:t>5</w:t>
      </w:r>
      <w:r w:rsidRPr="008A2411">
        <w:rPr>
          <w:rFonts w:ascii="Times New Roman"/>
          <w:b/>
          <w:bCs/>
          <w:color w:val="000000" w:themeColor="text1"/>
          <w:szCs w:val="24"/>
        </w:rPr>
        <w:t>、地下水水位分布调查</w:t>
      </w:r>
    </w:p>
    <w:p w14:paraId="53BA4E84" w14:textId="77777777" w:rsidR="00B0005F" w:rsidRPr="008A2411" w:rsidRDefault="00000000">
      <w:pPr>
        <w:adjustRightInd w:val="0"/>
        <w:spacing w:line="360" w:lineRule="auto"/>
        <w:ind w:firstLine="480"/>
        <w:rPr>
          <w:rFonts w:ascii="Times New Roman"/>
          <w:color w:val="000000" w:themeColor="text1"/>
        </w:rPr>
      </w:pPr>
      <w:proofErr w:type="gramStart"/>
      <w:r w:rsidRPr="008A2411">
        <w:rPr>
          <w:rFonts w:ascii="Times New Roman"/>
          <w:color w:val="000000" w:themeColor="text1"/>
        </w:rPr>
        <w:t>评价区</w:t>
      </w:r>
      <w:proofErr w:type="gramEnd"/>
      <w:r w:rsidRPr="008A2411">
        <w:rPr>
          <w:rFonts w:ascii="Times New Roman"/>
          <w:color w:val="000000" w:themeColor="text1"/>
        </w:rPr>
        <w:t>浅层风化带裂隙孔隙水埋藏深度，主要受地形地貌和风化带厚度的控制，</w:t>
      </w:r>
      <w:proofErr w:type="gramStart"/>
      <w:r w:rsidRPr="008A2411">
        <w:rPr>
          <w:rFonts w:ascii="Times New Roman"/>
          <w:color w:val="000000" w:themeColor="text1"/>
        </w:rPr>
        <w:t>丘包坡顶</w:t>
      </w:r>
      <w:proofErr w:type="gramEnd"/>
      <w:r w:rsidRPr="008A2411">
        <w:rPr>
          <w:rFonts w:ascii="Times New Roman"/>
          <w:color w:val="000000" w:themeColor="text1"/>
        </w:rPr>
        <w:t>地带埋藏较深，向沟谷平坝逐渐变浅，地下水位随气象年周期变化而变化。为查明</w:t>
      </w:r>
      <w:proofErr w:type="gramStart"/>
      <w:r w:rsidRPr="008A2411">
        <w:rPr>
          <w:rFonts w:ascii="Times New Roman"/>
          <w:color w:val="000000" w:themeColor="text1"/>
        </w:rPr>
        <w:t>评价区</w:t>
      </w:r>
      <w:proofErr w:type="gramEnd"/>
      <w:r w:rsidRPr="008A2411">
        <w:rPr>
          <w:rFonts w:ascii="Times New Roman"/>
          <w:color w:val="000000" w:themeColor="text1"/>
        </w:rPr>
        <w:t>地下水水位动态特征，项目组于</w:t>
      </w:r>
      <w:r w:rsidRPr="008A2411">
        <w:rPr>
          <w:rFonts w:ascii="Times New Roman"/>
          <w:color w:val="000000" w:themeColor="text1"/>
        </w:rPr>
        <w:t>2021</w:t>
      </w:r>
      <w:r w:rsidRPr="008A2411">
        <w:rPr>
          <w:rFonts w:ascii="Times New Roman"/>
          <w:color w:val="000000" w:themeColor="text1"/>
        </w:rPr>
        <w:t>年</w:t>
      </w:r>
      <w:r w:rsidRPr="008A2411">
        <w:rPr>
          <w:rFonts w:ascii="Times New Roman"/>
          <w:color w:val="000000" w:themeColor="text1"/>
        </w:rPr>
        <w:t>3</w:t>
      </w:r>
      <w:r w:rsidRPr="008A2411">
        <w:rPr>
          <w:rFonts w:ascii="Times New Roman"/>
          <w:color w:val="000000" w:themeColor="text1"/>
        </w:rPr>
        <w:t>月对评价区内居民</w:t>
      </w:r>
      <w:proofErr w:type="gramStart"/>
      <w:r w:rsidRPr="008A2411">
        <w:rPr>
          <w:rFonts w:ascii="Times New Roman"/>
          <w:color w:val="000000" w:themeColor="text1"/>
        </w:rPr>
        <w:t>井水位</w:t>
      </w:r>
      <w:proofErr w:type="gramEnd"/>
      <w:r w:rsidRPr="008A2411">
        <w:rPr>
          <w:rFonts w:ascii="Times New Roman"/>
          <w:color w:val="000000" w:themeColor="text1"/>
        </w:rPr>
        <w:t>进行现场调查。具体详述如下：</w:t>
      </w:r>
    </w:p>
    <w:p w14:paraId="2D63128B"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根据调查结果（表</w:t>
      </w:r>
      <w:r w:rsidRPr="008A2411">
        <w:rPr>
          <w:rFonts w:ascii="Times New Roman"/>
          <w:color w:val="000000" w:themeColor="text1"/>
        </w:rPr>
        <w:t>10-16</w:t>
      </w:r>
      <w:r w:rsidRPr="008A2411">
        <w:rPr>
          <w:rFonts w:ascii="Times New Roman"/>
          <w:color w:val="000000" w:themeColor="text1"/>
        </w:rPr>
        <w:t>），本项目</w:t>
      </w:r>
      <w:proofErr w:type="gramStart"/>
      <w:r w:rsidRPr="008A2411">
        <w:rPr>
          <w:rFonts w:ascii="Times New Roman"/>
          <w:color w:val="000000" w:themeColor="text1"/>
        </w:rPr>
        <w:t>评价区</w:t>
      </w:r>
      <w:proofErr w:type="gramEnd"/>
      <w:r w:rsidRPr="008A2411">
        <w:rPr>
          <w:rFonts w:ascii="Times New Roman"/>
          <w:color w:val="000000" w:themeColor="text1"/>
        </w:rPr>
        <w:t>居民井井口高程介于</w:t>
      </w:r>
      <w:r w:rsidRPr="008A2411">
        <w:rPr>
          <w:rFonts w:ascii="Times New Roman"/>
          <w:color w:val="000000" w:themeColor="text1"/>
        </w:rPr>
        <w:t>374.8</w:t>
      </w:r>
      <w:r w:rsidRPr="008A2411">
        <w:rPr>
          <w:rFonts w:ascii="Times New Roman"/>
          <w:color w:val="000000" w:themeColor="text1"/>
        </w:rPr>
        <w:t>～</w:t>
      </w:r>
      <w:r w:rsidRPr="008A2411">
        <w:rPr>
          <w:rFonts w:ascii="Times New Roman"/>
          <w:color w:val="000000" w:themeColor="text1"/>
        </w:rPr>
        <w:t>423.2m</w:t>
      </w:r>
      <w:r w:rsidRPr="008A2411">
        <w:rPr>
          <w:rFonts w:ascii="Times New Roman"/>
          <w:color w:val="000000" w:themeColor="text1"/>
        </w:rPr>
        <w:t>，井深度介于</w:t>
      </w:r>
      <w:r w:rsidRPr="008A2411">
        <w:rPr>
          <w:rFonts w:ascii="Times New Roman"/>
          <w:color w:val="000000" w:themeColor="text1"/>
        </w:rPr>
        <w:t>5.0</w:t>
      </w:r>
      <w:r w:rsidRPr="008A2411">
        <w:rPr>
          <w:rFonts w:ascii="Times New Roman"/>
          <w:color w:val="000000" w:themeColor="text1"/>
        </w:rPr>
        <w:t>～</w:t>
      </w:r>
      <w:r w:rsidRPr="008A2411">
        <w:rPr>
          <w:rFonts w:ascii="Times New Roman"/>
          <w:color w:val="000000" w:themeColor="text1"/>
        </w:rPr>
        <w:t>40.0 m</w:t>
      </w:r>
      <w:r w:rsidRPr="008A2411">
        <w:rPr>
          <w:rFonts w:ascii="Times New Roman"/>
          <w:color w:val="000000" w:themeColor="text1"/>
        </w:rPr>
        <w:t>，水位高程介于</w:t>
      </w:r>
      <w:r w:rsidRPr="008A2411">
        <w:rPr>
          <w:rFonts w:ascii="Times New Roman"/>
          <w:color w:val="000000" w:themeColor="text1"/>
        </w:rPr>
        <w:t>373.7</w:t>
      </w:r>
      <w:r w:rsidRPr="008A2411">
        <w:rPr>
          <w:rFonts w:ascii="Times New Roman"/>
          <w:color w:val="000000" w:themeColor="text1"/>
        </w:rPr>
        <w:t>～</w:t>
      </w:r>
      <w:r w:rsidRPr="008A2411">
        <w:rPr>
          <w:rFonts w:ascii="Times New Roman"/>
          <w:color w:val="000000" w:themeColor="text1"/>
        </w:rPr>
        <w:t>411.9 m</w:t>
      </w:r>
      <w:r w:rsidRPr="008A2411">
        <w:rPr>
          <w:rFonts w:ascii="Times New Roman"/>
          <w:color w:val="000000" w:themeColor="text1"/>
        </w:rPr>
        <w:t>。</w:t>
      </w:r>
    </w:p>
    <w:p w14:paraId="4CCB2A40" w14:textId="77777777" w:rsidR="00B0005F" w:rsidRPr="008A2411" w:rsidRDefault="00B0005F">
      <w:pPr>
        <w:pStyle w:val="affffffff7"/>
        <w:adjustRightInd w:val="0"/>
        <w:snapToGrid w:val="0"/>
        <w:spacing w:beforeLines="0" w:before="0" w:afterLines="0" w:after="0" w:line="240" w:lineRule="auto"/>
        <w:rPr>
          <w:snapToGrid w:val="0"/>
          <w:color w:val="000000" w:themeColor="text1"/>
        </w:rPr>
      </w:pPr>
    </w:p>
    <w:p w14:paraId="2920A53B" w14:textId="77777777" w:rsidR="00B0005F" w:rsidRPr="008A2411" w:rsidRDefault="00000000">
      <w:pPr>
        <w:pStyle w:val="affffffff7"/>
        <w:adjustRightInd w:val="0"/>
        <w:snapToGrid w:val="0"/>
        <w:spacing w:beforeLines="0" w:before="0" w:afterLines="0" w:after="0" w:line="240" w:lineRule="auto"/>
        <w:rPr>
          <w:snapToGrid w:val="0"/>
          <w:color w:val="000000" w:themeColor="text1"/>
        </w:rPr>
      </w:pPr>
      <w:r w:rsidRPr="008A2411">
        <w:rPr>
          <w:snapToGrid w:val="0"/>
          <w:color w:val="000000" w:themeColor="text1"/>
        </w:rPr>
        <w:lastRenderedPageBreak/>
        <w:t>表</w:t>
      </w:r>
      <w:r w:rsidRPr="008A2411">
        <w:rPr>
          <w:snapToGrid w:val="0"/>
          <w:color w:val="000000" w:themeColor="text1"/>
        </w:rPr>
        <w:t xml:space="preserve">5.2-26  </w:t>
      </w:r>
      <w:r w:rsidRPr="008A2411">
        <w:rPr>
          <w:snapToGrid w:val="0"/>
          <w:color w:val="000000" w:themeColor="text1"/>
        </w:rPr>
        <w:t>项目</w:t>
      </w:r>
      <w:proofErr w:type="gramStart"/>
      <w:r w:rsidRPr="008A2411">
        <w:rPr>
          <w:snapToGrid w:val="0"/>
          <w:color w:val="000000" w:themeColor="text1"/>
        </w:rPr>
        <w:t>评价区</w:t>
      </w:r>
      <w:proofErr w:type="gramEnd"/>
      <w:r w:rsidRPr="008A2411">
        <w:rPr>
          <w:snapToGrid w:val="0"/>
          <w:color w:val="000000" w:themeColor="text1"/>
        </w:rPr>
        <w:t>及周边</w:t>
      </w:r>
      <w:r w:rsidRPr="008A2411">
        <w:rPr>
          <w:color w:val="000000" w:themeColor="text1"/>
        </w:rPr>
        <w:t>地下水调查结果表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631"/>
        <w:gridCol w:w="2503"/>
        <w:gridCol w:w="844"/>
        <w:gridCol w:w="927"/>
        <w:gridCol w:w="936"/>
        <w:gridCol w:w="862"/>
        <w:gridCol w:w="844"/>
        <w:gridCol w:w="815"/>
      </w:tblGrid>
      <w:tr w:rsidR="008A2411" w:rsidRPr="008A2411" w14:paraId="731359B1" w14:textId="77777777">
        <w:trPr>
          <w:trHeight w:val="20"/>
          <w:tblHeader/>
        </w:trPr>
        <w:tc>
          <w:tcPr>
            <w:tcW w:w="381" w:type="pct"/>
            <w:vAlign w:val="center"/>
          </w:tcPr>
          <w:p w14:paraId="646F82F3"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编号</w:t>
            </w:r>
          </w:p>
        </w:tc>
        <w:tc>
          <w:tcPr>
            <w:tcW w:w="1500" w:type="pct"/>
            <w:vAlign w:val="center"/>
          </w:tcPr>
          <w:p w14:paraId="24FF9F29"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点位</w:t>
            </w:r>
          </w:p>
        </w:tc>
        <w:tc>
          <w:tcPr>
            <w:tcW w:w="479" w:type="pct"/>
            <w:vAlign w:val="center"/>
          </w:tcPr>
          <w:p w14:paraId="7D89BD89"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经度</w:t>
            </w:r>
          </w:p>
        </w:tc>
        <w:tc>
          <w:tcPr>
            <w:tcW w:w="558" w:type="pct"/>
            <w:vAlign w:val="center"/>
          </w:tcPr>
          <w:p w14:paraId="28392236"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纬度</w:t>
            </w:r>
          </w:p>
        </w:tc>
        <w:tc>
          <w:tcPr>
            <w:tcW w:w="563" w:type="pct"/>
            <w:vAlign w:val="center"/>
          </w:tcPr>
          <w:p w14:paraId="32E24BC2"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井口高程（</w:t>
            </w:r>
            <w:r w:rsidRPr="008A2411">
              <w:rPr>
                <w:rFonts w:ascii="Times New Roman"/>
                <w:color w:val="000000" w:themeColor="text1"/>
                <w:szCs w:val="21"/>
              </w:rPr>
              <w:t>m</w:t>
            </w:r>
            <w:r w:rsidRPr="008A2411">
              <w:rPr>
                <w:rFonts w:ascii="Times New Roman"/>
                <w:color w:val="000000" w:themeColor="text1"/>
                <w:szCs w:val="21"/>
              </w:rPr>
              <w:t>）</w:t>
            </w:r>
          </w:p>
        </w:tc>
        <w:tc>
          <w:tcPr>
            <w:tcW w:w="519" w:type="pct"/>
            <w:vAlign w:val="center"/>
          </w:tcPr>
          <w:p w14:paraId="2E8118A9"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水位埋深（</w:t>
            </w:r>
            <w:r w:rsidRPr="008A2411">
              <w:rPr>
                <w:rFonts w:ascii="Times New Roman"/>
                <w:color w:val="000000" w:themeColor="text1"/>
                <w:szCs w:val="21"/>
              </w:rPr>
              <w:t>m</w:t>
            </w:r>
            <w:r w:rsidRPr="008A2411">
              <w:rPr>
                <w:rFonts w:ascii="Times New Roman"/>
                <w:color w:val="000000" w:themeColor="text1"/>
                <w:szCs w:val="21"/>
              </w:rPr>
              <w:t>）</w:t>
            </w:r>
          </w:p>
        </w:tc>
        <w:tc>
          <w:tcPr>
            <w:tcW w:w="508" w:type="pct"/>
            <w:vAlign w:val="center"/>
          </w:tcPr>
          <w:p w14:paraId="299BD44D"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井深（</w:t>
            </w:r>
            <w:r w:rsidRPr="008A2411">
              <w:rPr>
                <w:rFonts w:ascii="Times New Roman"/>
                <w:color w:val="000000" w:themeColor="text1"/>
                <w:szCs w:val="21"/>
              </w:rPr>
              <w:t>m</w:t>
            </w:r>
            <w:r w:rsidRPr="008A2411">
              <w:rPr>
                <w:rFonts w:ascii="Times New Roman"/>
                <w:color w:val="000000" w:themeColor="text1"/>
                <w:szCs w:val="21"/>
              </w:rPr>
              <w:t>）</w:t>
            </w:r>
          </w:p>
        </w:tc>
        <w:tc>
          <w:tcPr>
            <w:tcW w:w="491" w:type="pct"/>
          </w:tcPr>
          <w:p w14:paraId="5A2C5DB2"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水位高程（</w:t>
            </w:r>
            <w:r w:rsidRPr="008A2411">
              <w:rPr>
                <w:rFonts w:ascii="Times New Roman"/>
                <w:color w:val="000000" w:themeColor="text1"/>
                <w:szCs w:val="21"/>
              </w:rPr>
              <w:t>m</w:t>
            </w:r>
            <w:r w:rsidRPr="008A2411">
              <w:rPr>
                <w:rFonts w:ascii="Times New Roman"/>
                <w:color w:val="000000" w:themeColor="text1"/>
                <w:szCs w:val="21"/>
              </w:rPr>
              <w:t>）</w:t>
            </w:r>
          </w:p>
        </w:tc>
      </w:tr>
      <w:tr w:rsidR="008A2411" w:rsidRPr="008A2411" w14:paraId="02018CF9" w14:textId="77777777">
        <w:trPr>
          <w:trHeight w:val="20"/>
        </w:trPr>
        <w:tc>
          <w:tcPr>
            <w:tcW w:w="381" w:type="pct"/>
            <w:vAlign w:val="center"/>
          </w:tcPr>
          <w:p w14:paraId="4864C7F2"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1#</w:t>
            </w:r>
          </w:p>
        </w:tc>
        <w:tc>
          <w:tcPr>
            <w:tcW w:w="1500" w:type="pct"/>
            <w:vAlign w:val="center"/>
          </w:tcPr>
          <w:p w14:paraId="5D577770"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项目拟建地西北侧</w:t>
            </w:r>
            <w:r w:rsidRPr="008A2411">
              <w:rPr>
                <w:rFonts w:ascii="Times New Roman"/>
                <w:color w:val="000000" w:themeColor="text1"/>
                <w:szCs w:val="21"/>
              </w:rPr>
              <w:t>1.13km</w:t>
            </w:r>
            <w:r w:rsidRPr="008A2411">
              <w:rPr>
                <w:rFonts w:ascii="Times New Roman"/>
                <w:color w:val="000000" w:themeColor="text1"/>
                <w:szCs w:val="21"/>
              </w:rPr>
              <w:t>处居民水井（黄家湾）</w:t>
            </w:r>
          </w:p>
        </w:tc>
        <w:tc>
          <w:tcPr>
            <w:tcW w:w="479" w:type="pct"/>
            <w:vAlign w:val="center"/>
          </w:tcPr>
          <w:p w14:paraId="7F8DEC6F" w14:textId="77777777" w:rsidR="00B0005F" w:rsidRPr="008A2411" w:rsidRDefault="00000000">
            <w:pPr>
              <w:pStyle w:val="affffffffffff2"/>
              <w:rPr>
                <w:rFonts w:ascii="Times New Roman"/>
                <w:color w:val="000000" w:themeColor="text1"/>
                <w:kern w:val="0"/>
                <w:szCs w:val="21"/>
              </w:rPr>
            </w:pPr>
            <w:r w:rsidRPr="008A2411">
              <w:rPr>
                <w:rFonts w:ascii="Times New Roman"/>
                <w:color w:val="000000" w:themeColor="text1"/>
                <w:kern w:val="0"/>
                <w:szCs w:val="21"/>
              </w:rPr>
              <w:t>107.6901</w:t>
            </w:r>
          </w:p>
        </w:tc>
        <w:tc>
          <w:tcPr>
            <w:tcW w:w="558" w:type="pct"/>
            <w:vAlign w:val="center"/>
          </w:tcPr>
          <w:p w14:paraId="02B45BFC"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31.5229</w:t>
            </w:r>
          </w:p>
        </w:tc>
        <w:tc>
          <w:tcPr>
            <w:tcW w:w="563" w:type="pct"/>
            <w:vAlign w:val="center"/>
          </w:tcPr>
          <w:p w14:paraId="5C39772F"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423.2</w:t>
            </w:r>
          </w:p>
        </w:tc>
        <w:tc>
          <w:tcPr>
            <w:tcW w:w="519" w:type="pct"/>
            <w:vAlign w:val="center"/>
          </w:tcPr>
          <w:p w14:paraId="239E3F76"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11.3</w:t>
            </w:r>
          </w:p>
        </w:tc>
        <w:tc>
          <w:tcPr>
            <w:tcW w:w="508" w:type="pct"/>
            <w:vAlign w:val="center"/>
          </w:tcPr>
          <w:p w14:paraId="08F5663D"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15</w:t>
            </w:r>
          </w:p>
        </w:tc>
        <w:tc>
          <w:tcPr>
            <w:tcW w:w="491" w:type="pct"/>
            <w:vAlign w:val="center"/>
          </w:tcPr>
          <w:p w14:paraId="495FF9DE"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411.9</w:t>
            </w:r>
          </w:p>
        </w:tc>
      </w:tr>
      <w:tr w:rsidR="008A2411" w:rsidRPr="008A2411" w14:paraId="4D7DA7EA" w14:textId="77777777">
        <w:trPr>
          <w:trHeight w:val="20"/>
        </w:trPr>
        <w:tc>
          <w:tcPr>
            <w:tcW w:w="381" w:type="pct"/>
            <w:vAlign w:val="center"/>
          </w:tcPr>
          <w:p w14:paraId="1089DF56"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2#</w:t>
            </w:r>
          </w:p>
        </w:tc>
        <w:tc>
          <w:tcPr>
            <w:tcW w:w="1500" w:type="pct"/>
            <w:vAlign w:val="center"/>
          </w:tcPr>
          <w:p w14:paraId="1449A689"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项目拟建地东北侧</w:t>
            </w:r>
            <w:r w:rsidRPr="008A2411">
              <w:rPr>
                <w:rFonts w:ascii="Times New Roman"/>
                <w:color w:val="000000" w:themeColor="text1"/>
                <w:szCs w:val="21"/>
              </w:rPr>
              <w:t>0.94km</w:t>
            </w:r>
            <w:r w:rsidRPr="008A2411">
              <w:rPr>
                <w:rFonts w:ascii="Times New Roman"/>
                <w:color w:val="000000" w:themeColor="text1"/>
                <w:szCs w:val="21"/>
              </w:rPr>
              <w:t>处居民水井（陶家沟）</w:t>
            </w:r>
          </w:p>
        </w:tc>
        <w:tc>
          <w:tcPr>
            <w:tcW w:w="479" w:type="pct"/>
            <w:vAlign w:val="center"/>
          </w:tcPr>
          <w:p w14:paraId="68869A67" w14:textId="77777777" w:rsidR="00B0005F" w:rsidRPr="008A2411" w:rsidRDefault="00000000">
            <w:pPr>
              <w:pStyle w:val="affffffffffff2"/>
              <w:rPr>
                <w:rFonts w:ascii="Times New Roman"/>
                <w:color w:val="000000" w:themeColor="text1"/>
                <w:kern w:val="0"/>
                <w:szCs w:val="21"/>
              </w:rPr>
            </w:pPr>
            <w:r w:rsidRPr="008A2411">
              <w:rPr>
                <w:rFonts w:ascii="Times New Roman"/>
                <w:color w:val="000000" w:themeColor="text1"/>
                <w:kern w:val="0"/>
                <w:szCs w:val="21"/>
              </w:rPr>
              <w:t>107.6977</w:t>
            </w:r>
          </w:p>
        </w:tc>
        <w:tc>
          <w:tcPr>
            <w:tcW w:w="558" w:type="pct"/>
            <w:vAlign w:val="center"/>
          </w:tcPr>
          <w:p w14:paraId="0EDE49F2" w14:textId="77777777" w:rsidR="00B0005F" w:rsidRPr="008A2411" w:rsidRDefault="00000000">
            <w:pPr>
              <w:pStyle w:val="affffffffffff2"/>
              <w:rPr>
                <w:rFonts w:ascii="Times New Roman"/>
                <w:color w:val="000000" w:themeColor="text1"/>
                <w:kern w:val="0"/>
                <w:szCs w:val="21"/>
              </w:rPr>
            </w:pPr>
            <w:r w:rsidRPr="008A2411">
              <w:rPr>
                <w:rFonts w:ascii="Times New Roman"/>
                <w:color w:val="000000" w:themeColor="text1"/>
                <w:kern w:val="0"/>
                <w:szCs w:val="21"/>
              </w:rPr>
              <w:t>31.5263</w:t>
            </w:r>
          </w:p>
        </w:tc>
        <w:tc>
          <w:tcPr>
            <w:tcW w:w="563" w:type="pct"/>
            <w:vAlign w:val="center"/>
          </w:tcPr>
          <w:p w14:paraId="00C78B4E"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398.6</w:t>
            </w:r>
          </w:p>
        </w:tc>
        <w:tc>
          <w:tcPr>
            <w:tcW w:w="519" w:type="pct"/>
            <w:vAlign w:val="center"/>
          </w:tcPr>
          <w:p w14:paraId="0237E045"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7.4</w:t>
            </w:r>
          </w:p>
        </w:tc>
        <w:tc>
          <w:tcPr>
            <w:tcW w:w="508" w:type="pct"/>
            <w:vAlign w:val="center"/>
          </w:tcPr>
          <w:p w14:paraId="34A35BA2"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20</w:t>
            </w:r>
          </w:p>
        </w:tc>
        <w:tc>
          <w:tcPr>
            <w:tcW w:w="491" w:type="pct"/>
            <w:vAlign w:val="center"/>
          </w:tcPr>
          <w:p w14:paraId="79FF2D66"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391.2</w:t>
            </w:r>
          </w:p>
        </w:tc>
      </w:tr>
      <w:tr w:rsidR="008A2411" w:rsidRPr="008A2411" w14:paraId="7104C55C" w14:textId="77777777">
        <w:trPr>
          <w:trHeight w:val="20"/>
        </w:trPr>
        <w:tc>
          <w:tcPr>
            <w:tcW w:w="381" w:type="pct"/>
            <w:vAlign w:val="center"/>
          </w:tcPr>
          <w:p w14:paraId="689F95FF"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3#</w:t>
            </w:r>
          </w:p>
        </w:tc>
        <w:tc>
          <w:tcPr>
            <w:tcW w:w="1500" w:type="pct"/>
            <w:vAlign w:val="center"/>
          </w:tcPr>
          <w:p w14:paraId="4D4A373F"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项目拟建地东侧</w:t>
            </w:r>
            <w:r w:rsidRPr="008A2411">
              <w:rPr>
                <w:rFonts w:ascii="Times New Roman"/>
                <w:color w:val="000000" w:themeColor="text1"/>
                <w:szCs w:val="21"/>
              </w:rPr>
              <w:t>0.6km</w:t>
            </w:r>
            <w:r w:rsidRPr="008A2411">
              <w:rPr>
                <w:rFonts w:ascii="Times New Roman"/>
                <w:color w:val="000000" w:themeColor="text1"/>
                <w:szCs w:val="21"/>
              </w:rPr>
              <w:t>处居民水井（陶家沟）</w:t>
            </w:r>
          </w:p>
        </w:tc>
        <w:tc>
          <w:tcPr>
            <w:tcW w:w="479" w:type="pct"/>
            <w:vAlign w:val="center"/>
          </w:tcPr>
          <w:p w14:paraId="33363D09" w14:textId="77777777" w:rsidR="00B0005F" w:rsidRPr="008A2411" w:rsidRDefault="00000000">
            <w:pPr>
              <w:pStyle w:val="affffffffffff2"/>
              <w:rPr>
                <w:rFonts w:ascii="Times New Roman"/>
                <w:color w:val="000000" w:themeColor="text1"/>
                <w:kern w:val="0"/>
                <w:szCs w:val="21"/>
              </w:rPr>
            </w:pPr>
            <w:r w:rsidRPr="008A2411">
              <w:rPr>
                <w:rFonts w:ascii="Times New Roman"/>
                <w:color w:val="000000" w:themeColor="text1"/>
                <w:kern w:val="0"/>
                <w:szCs w:val="21"/>
              </w:rPr>
              <w:t>107.6757</w:t>
            </w:r>
          </w:p>
        </w:tc>
        <w:tc>
          <w:tcPr>
            <w:tcW w:w="558" w:type="pct"/>
            <w:vAlign w:val="center"/>
          </w:tcPr>
          <w:p w14:paraId="42D0513E" w14:textId="77777777" w:rsidR="00B0005F" w:rsidRPr="008A2411" w:rsidRDefault="00000000">
            <w:pPr>
              <w:pStyle w:val="affffffffffff2"/>
              <w:rPr>
                <w:rFonts w:ascii="Times New Roman"/>
                <w:color w:val="000000" w:themeColor="text1"/>
                <w:kern w:val="0"/>
                <w:szCs w:val="21"/>
              </w:rPr>
            </w:pPr>
            <w:r w:rsidRPr="008A2411">
              <w:rPr>
                <w:rFonts w:ascii="Times New Roman"/>
                <w:color w:val="000000" w:themeColor="text1"/>
                <w:kern w:val="0"/>
                <w:szCs w:val="21"/>
              </w:rPr>
              <w:t>31.8265</w:t>
            </w:r>
          </w:p>
        </w:tc>
        <w:tc>
          <w:tcPr>
            <w:tcW w:w="563" w:type="pct"/>
            <w:vAlign w:val="center"/>
          </w:tcPr>
          <w:p w14:paraId="4CC9A298"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377.9</w:t>
            </w:r>
          </w:p>
        </w:tc>
        <w:tc>
          <w:tcPr>
            <w:tcW w:w="519" w:type="pct"/>
            <w:vAlign w:val="center"/>
          </w:tcPr>
          <w:p w14:paraId="6E6F90B6"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0.5</w:t>
            </w:r>
          </w:p>
        </w:tc>
        <w:tc>
          <w:tcPr>
            <w:tcW w:w="508" w:type="pct"/>
            <w:vAlign w:val="center"/>
          </w:tcPr>
          <w:p w14:paraId="490F7ABF"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8</w:t>
            </w:r>
          </w:p>
        </w:tc>
        <w:tc>
          <w:tcPr>
            <w:tcW w:w="491" w:type="pct"/>
            <w:vAlign w:val="center"/>
          </w:tcPr>
          <w:p w14:paraId="71E4C920"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377.4</w:t>
            </w:r>
          </w:p>
        </w:tc>
      </w:tr>
      <w:tr w:rsidR="008A2411" w:rsidRPr="008A2411" w14:paraId="12FE6FFA" w14:textId="77777777">
        <w:trPr>
          <w:trHeight w:val="20"/>
        </w:trPr>
        <w:tc>
          <w:tcPr>
            <w:tcW w:w="381" w:type="pct"/>
            <w:vAlign w:val="center"/>
          </w:tcPr>
          <w:p w14:paraId="5F145A9F"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4#</w:t>
            </w:r>
          </w:p>
        </w:tc>
        <w:tc>
          <w:tcPr>
            <w:tcW w:w="1500" w:type="pct"/>
            <w:vAlign w:val="center"/>
          </w:tcPr>
          <w:p w14:paraId="2AE57DE0"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项目拟建地南侧</w:t>
            </w:r>
            <w:r w:rsidRPr="008A2411">
              <w:rPr>
                <w:rFonts w:ascii="Times New Roman"/>
                <w:color w:val="000000" w:themeColor="text1"/>
                <w:szCs w:val="21"/>
              </w:rPr>
              <w:t>0.48km</w:t>
            </w:r>
            <w:r w:rsidRPr="008A2411">
              <w:rPr>
                <w:rFonts w:ascii="Times New Roman"/>
                <w:color w:val="000000" w:themeColor="text1"/>
                <w:szCs w:val="21"/>
              </w:rPr>
              <w:t>处居民水井（洞子口）</w:t>
            </w:r>
          </w:p>
        </w:tc>
        <w:tc>
          <w:tcPr>
            <w:tcW w:w="479" w:type="pct"/>
            <w:vAlign w:val="center"/>
          </w:tcPr>
          <w:p w14:paraId="411AB45F" w14:textId="77777777" w:rsidR="00B0005F" w:rsidRPr="008A2411" w:rsidRDefault="00000000">
            <w:pPr>
              <w:pStyle w:val="affffffffffff2"/>
              <w:rPr>
                <w:rFonts w:ascii="Times New Roman"/>
                <w:color w:val="000000" w:themeColor="text1"/>
                <w:kern w:val="0"/>
                <w:szCs w:val="21"/>
              </w:rPr>
            </w:pPr>
            <w:r w:rsidRPr="008A2411">
              <w:rPr>
                <w:rFonts w:ascii="Times New Roman"/>
                <w:color w:val="000000" w:themeColor="text1"/>
                <w:kern w:val="0"/>
                <w:szCs w:val="21"/>
              </w:rPr>
              <w:t>107.6941</w:t>
            </w:r>
          </w:p>
        </w:tc>
        <w:tc>
          <w:tcPr>
            <w:tcW w:w="558" w:type="pct"/>
            <w:vAlign w:val="center"/>
          </w:tcPr>
          <w:p w14:paraId="38866A9E" w14:textId="77777777" w:rsidR="00B0005F" w:rsidRPr="008A2411" w:rsidRDefault="00000000">
            <w:pPr>
              <w:pStyle w:val="affffffffffff2"/>
              <w:rPr>
                <w:rFonts w:ascii="Times New Roman"/>
                <w:color w:val="000000" w:themeColor="text1"/>
                <w:kern w:val="0"/>
                <w:szCs w:val="21"/>
              </w:rPr>
            </w:pPr>
            <w:r w:rsidRPr="008A2411">
              <w:rPr>
                <w:rFonts w:ascii="Times New Roman"/>
                <w:color w:val="000000" w:themeColor="text1"/>
                <w:kern w:val="0"/>
                <w:szCs w:val="21"/>
              </w:rPr>
              <w:t>31.5134</w:t>
            </w:r>
          </w:p>
        </w:tc>
        <w:tc>
          <w:tcPr>
            <w:tcW w:w="563" w:type="pct"/>
            <w:vAlign w:val="center"/>
          </w:tcPr>
          <w:p w14:paraId="17B4FB87"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384.7</w:t>
            </w:r>
          </w:p>
        </w:tc>
        <w:tc>
          <w:tcPr>
            <w:tcW w:w="519" w:type="pct"/>
            <w:vAlign w:val="center"/>
          </w:tcPr>
          <w:p w14:paraId="15223280"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8.2</w:t>
            </w:r>
          </w:p>
        </w:tc>
        <w:tc>
          <w:tcPr>
            <w:tcW w:w="508" w:type="pct"/>
            <w:vAlign w:val="center"/>
          </w:tcPr>
          <w:p w14:paraId="5BF824C7"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40</w:t>
            </w:r>
          </w:p>
        </w:tc>
        <w:tc>
          <w:tcPr>
            <w:tcW w:w="491" w:type="pct"/>
            <w:vAlign w:val="center"/>
          </w:tcPr>
          <w:p w14:paraId="59A7BCAF"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376.5</w:t>
            </w:r>
          </w:p>
        </w:tc>
      </w:tr>
      <w:tr w:rsidR="008A2411" w:rsidRPr="008A2411" w14:paraId="2AE8236C" w14:textId="77777777">
        <w:trPr>
          <w:trHeight w:val="20"/>
        </w:trPr>
        <w:tc>
          <w:tcPr>
            <w:tcW w:w="381" w:type="pct"/>
            <w:vAlign w:val="center"/>
          </w:tcPr>
          <w:p w14:paraId="461A7A99"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5#</w:t>
            </w:r>
          </w:p>
        </w:tc>
        <w:tc>
          <w:tcPr>
            <w:tcW w:w="1500" w:type="pct"/>
            <w:vAlign w:val="center"/>
          </w:tcPr>
          <w:p w14:paraId="00DE22F1"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项目拟建地西南侧</w:t>
            </w:r>
            <w:r w:rsidRPr="008A2411">
              <w:rPr>
                <w:rFonts w:ascii="Times New Roman"/>
                <w:color w:val="000000" w:themeColor="text1"/>
                <w:szCs w:val="21"/>
              </w:rPr>
              <w:t>1.47km</w:t>
            </w:r>
            <w:r w:rsidRPr="008A2411">
              <w:rPr>
                <w:rFonts w:ascii="Times New Roman"/>
                <w:color w:val="000000" w:themeColor="text1"/>
                <w:szCs w:val="21"/>
              </w:rPr>
              <w:t>处居民水井（柿子树沟）</w:t>
            </w:r>
          </w:p>
        </w:tc>
        <w:tc>
          <w:tcPr>
            <w:tcW w:w="479" w:type="pct"/>
            <w:vAlign w:val="center"/>
          </w:tcPr>
          <w:p w14:paraId="64EF257B" w14:textId="77777777" w:rsidR="00B0005F" w:rsidRPr="008A2411" w:rsidRDefault="00000000">
            <w:pPr>
              <w:pStyle w:val="affffffffffff2"/>
              <w:rPr>
                <w:rFonts w:ascii="Times New Roman"/>
                <w:color w:val="000000" w:themeColor="text1"/>
                <w:kern w:val="0"/>
                <w:szCs w:val="21"/>
              </w:rPr>
            </w:pPr>
            <w:r w:rsidRPr="008A2411">
              <w:rPr>
                <w:rFonts w:ascii="Times New Roman"/>
                <w:color w:val="000000" w:themeColor="text1"/>
                <w:kern w:val="0"/>
                <w:szCs w:val="21"/>
              </w:rPr>
              <w:t>107.6962</w:t>
            </w:r>
          </w:p>
        </w:tc>
        <w:tc>
          <w:tcPr>
            <w:tcW w:w="558" w:type="pct"/>
            <w:vAlign w:val="center"/>
          </w:tcPr>
          <w:p w14:paraId="457DC6C9" w14:textId="77777777" w:rsidR="00B0005F" w:rsidRPr="008A2411" w:rsidRDefault="00000000">
            <w:pPr>
              <w:pStyle w:val="affffffffffff2"/>
              <w:rPr>
                <w:rFonts w:ascii="Times New Roman"/>
                <w:color w:val="000000" w:themeColor="text1"/>
                <w:kern w:val="0"/>
                <w:szCs w:val="21"/>
              </w:rPr>
            </w:pPr>
            <w:r w:rsidRPr="008A2411">
              <w:rPr>
                <w:rFonts w:ascii="Times New Roman"/>
                <w:color w:val="000000" w:themeColor="text1"/>
                <w:kern w:val="0"/>
                <w:szCs w:val="21"/>
              </w:rPr>
              <w:t>31.4984</w:t>
            </w:r>
          </w:p>
        </w:tc>
        <w:tc>
          <w:tcPr>
            <w:tcW w:w="563" w:type="pct"/>
            <w:vAlign w:val="center"/>
          </w:tcPr>
          <w:p w14:paraId="053FEFEE"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384.6</w:t>
            </w:r>
          </w:p>
        </w:tc>
        <w:tc>
          <w:tcPr>
            <w:tcW w:w="519" w:type="pct"/>
            <w:vAlign w:val="center"/>
          </w:tcPr>
          <w:p w14:paraId="00E427F3"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1.8</w:t>
            </w:r>
          </w:p>
        </w:tc>
        <w:tc>
          <w:tcPr>
            <w:tcW w:w="508" w:type="pct"/>
            <w:vAlign w:val="center"/>
          </w:tcPr>
          <w:p w14:paraId="4BDD4861"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5</w:t>
            </w:r>
          </w:p>
        </w:tc>
        <w:tc>
          <w:tcPr>
            <w:tcW w:w="491" w:type="pct"/>
            <w:vAlign w:val="center"/>
          </w:tcPr>
          <w:p w14:paraId="032E8670"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382.8</w:t>
            </w:r>
          </w:p>
        </w:tc>
      </w:tr>
      <w:tr w:rsidR="008A2411" w:rsidRPr="008A2411" w14:paraId="74C45A6F" w14:textId="77777777">
        <w:trPr>
          <w:trHeight w:val="20"/>
        </w:trPr>
        <w:tc>
          <w:tcPr>
            <w:tcW w:w="381" w:type="pct"/>
            <w:vAlign w:val="center"/>
          </w:tcPr>
          <w:p w14:paraId="26A3AA93"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6#</w:t>
            </w:r>
          </w:p>
        </w:tc>
        <w:tc>
          <w:tcPr>
            <w:tcW w:w="1500" w:type="pct"/>
            <w:vAlign w:val="center"/>
          </w:tcPr>
          <w:p w14:paraId="6FD386B1"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门楼沟旁居民水井</w:t>
            </w:r>
          </w:p>
        </w:tc>
        <w:tc>
          <w:tcPr>
            <w:tcW w:w="479" w:type="pct"/>
            <w:vAlign w:val="center"/>
          </w:tcPr>
          <w:p w14:paraId="20E32478" w14:textId="77777777" w:rsidR="00B0005F" w:rsidRPr="008A2411" w:rsidRDefault="00000000">
            <w:pPr>
              <w:pStyle w:val="affffffffffff2"/>
              <w:rPr>
                <w:rFonts w:ascii="Times New Roman"/>
                <w:color w:val="000000" w:themeColor="text1"/>
                <w:kern w:val="0"/>
                <w:szCs w:val="21"/>
              </w:rPr>
            </w:pPr>
            <w:r w:rsidRPr="008A2411">
              <w:rPr>
                <w:rFonts w:ascii="Times New Roman"/>
                <w:color w:val="000000" w:themeColor="text1"/>
                <w:kern w:val="0"/>
                <w:szCs w:val="21"/>
              </w:rPr>
              <w:t>107.6881</w:t>
            </w:r>
          </w:p>
        </w:tc>
        <w:tc>
          <w:tcPr>
            <w:tcW w:w="558" w:type="pct"/>
            <w:vAlign w:val="center"/>
          </w:tcPr>
          <w:p w14:paraId="44FAE649" w14:textId="77777777" w:rsidR="00B0005F" w:rsidRPr="008A2411" w:rsidRDefault="00000000">
            <w:pPr>
              <w:pStyle w:val="affffffffffff2"/>
              <w:rPr>
                <w:rFonts w:ascii="Times New Roman"/>
                <w:color w:val="000000" w:themeColor="text1"/>
                <w:kern w:val="0"/>
                <w:szCs w:val="21"/>
              </w:rPr>
            </w:pPr>
            <w:r w:rsidRPr="008A2411">
              <w:rPr>
                <w:rFonts w:ascii="Times New Roman"/>
                <w:color w:val="000000" w:themeColor="text1"/>
                <w:kern w:val="0"/>
                <w:szCs w:val="21"/>
              </w:rPr>
              <w:t>31.5225</w:t>
            </w:r>
          </w:p>
        </w:tc>
        <w:tc>
          <w:tcPr>
            <w:tcW w:w="563" w:type="pct"/>
            <w:vAlign w:val="center"/>
          </w:tcPr>
          <w:p w14:paraId="68615E6D"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394.9</w:t>
            </w:r>
          </w:p>
        </w:tc>
        <w:tc>
          <w:tcPr>
            <w:tcW w:w="519" w:type="pct"/>
            <w:vAlign w:val="center"/>
          </w:tcPr>
          <w:p w14:paraId="7A70689D"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8.7</w:t>
            </w:r>
          </w:p>
        </w:tc>
        <w:tc>
          <w:tcPr>
            <w:tcW w:w="508" w:type="pct"/>
            <w:vAlign w:val="center"/>
          </w:tcPr>
          <w:p w14:paraId="456A5A40"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40</w:t>
            </w:r>
          </w:p>
        </w:tc>
        <w:tc>
          <w:tcPr>
            <w:tcW w:w="491" w:type="pct"/>
            <w:vAlign w:val="center"/>
          </w:tcPr>
          <w:p w14:paraId="1C1535F9"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386.2</w:t>
            </w:r>
          </w:p>
        </w:tc>
      </w:tr>
      <w:tr w:rsidR="008A2411" w:rsidRPr="008A2411" w14:paraId="19E0CEBE" w14:textId="77777777">
        <w:trPr>
          <w:trHeight w:val="20"/>
        </w:trPr>
        <w:tc>
          <w:tcPr>
            <w:tcW w:w="381" w:type="pct"/>
            <w:vAlign w:val="center"/>
          </w:tcPr>
          <w:p w14:paraId="2BCE5162"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7#</w:t>
            </w:r>
          </w:p>
        </w:tc>
        <w:tc>
          <w:tcPr>
            <w:tcW w:w="1500" w:type="pct"/>
            <w:vAlign w:val="center"/>
          </w:tcPr>
          <w:p w14:paraId="2514D639"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文家</w:t>
            </w:r>
            <w:proofErr w:type="gramStart"/>
            <w:r w:rsidRPr="008A2411">
              <w:rPr>
                <w:rFonts w:ascii="Times New Roman"/>
                <w:color w:val="000000" w:themeColor="text1"/>
                <w:szCs w:val="21"/>
              </w:rPr>
              <w:t>湾居民</w:t>
            </w:r>
            <w:proofErr w:type="gramEnd"/>
            <w:r w:rsidRPr="008A2411">
              <w:rPr>
                <w:rFonts w:ascii="Times New Roman"/>
                <w:color w:val="000000" w:themeColor="text1"/>
                <w:szCs w:val="21"/>
              </w:rPr>
              <w:t>水井</w:t>
            </w:r>
          </w:p>
        </w:tc>
        <w:tc>
          <w:tcPr>
            <w:tcW w:w="479" w:type="pct"/>
            <w:vAlign w:val="center"/>
          </w:tcPr>
          <w:p w14:paraId="2B6B1656" w14:textId="77777777" w:rsidR="00B0005F" w:rsidRPr="008A2411" w:rsidRDefault="00000000">
            <w:pPr>
              <w:pStyle w:val="affffffffffff2"/>
              <w:rPr>
                <w:rFonts w:ascii="Times New Roman"/>
                <w:color w:val="000000" w:themeColor="text1"/>
                <w:kern w:val="0"/>
                <w:szCs w:val="21"/>
              </w:rPr>
            </w:pPr>
            <w:r w:rsidRPr="008A2411">
              <w:rPr>
                <w:rFonts w:ascii="Times New Roman"/>
                <w:color w:val="000000" w:themeColor="text1"/>
                <w:kern w:val="0"/>
                <w:szCs w:val="21"/>
              </w:rPr>
              <w:t>107.6937</w:t>
            </w:r>
          </w:p>
        </w:tc>
        <w:tc>
          <w:tcPr>
            <w:tcW w:w="558" w:type="pct"/>
            <w:vAlign w:val="center"/>
          </w:tcPr>
          <w:p w14:paraId="46449B9C"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31.5276</w:t>
            </w:r>
          </w:p>
        </w:tc>
        <w:tc>
          <w:tcPr>
            <w:tcW w:w="563" w:type="pct"/>
            <w:vAlign w:val="center"/>
          </w:tcPr>
          <w:p w14:paraId="51129C9E"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393.2</w:t>
            </w:r>
          </w:p>
        </w:tc>
        <w:tc>
          <w:tcPr>
            <w:tcW w:w="519" w:type="pct"/>
            <w:vAlign w:val="center"/>
          </w:tcPr>
          <w:p w14:paraId="520F3748"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10.4</w:t>
            </w:r>
          </w:p>
        </w:tc>
        <w:tc>
          <w:tcPr>
            <w:tcW w:w="508" w:type="pct"/>
            <w:vAlign w:val="center"/>
          </w:tcPr>
          <w:p w14:paraId="2CC8B5DA"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20</w:t>
            </w:r>
          </w:p>
        </w:tc>
        <w:tc>
          <w:tcPr>
            <w:tcW w:w="491" w:type="pct"/>
            <w:vAlign w:val="center"/>
          </w:tcPr>
          <w:p w14:paraId="2AF526DE"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382.8</w:t>
            </w:r>
          </w:p>
        </w:tc>
      </w:tr>
      <w:tr w:rsidR="008A2411" w:rsidRPr="008A2411" w14:paraId="20EB3D2E" w14:textId="77777777">
        <w:trPr>
          <w:trHeight w:val="20"/>
        </w:trPr>
        <w:tc>
          <w:tcPr>
            <w:tcW w:w="381" w:type="pct"/>
            <w:vAlign w:val="center"/>
          </w:tcPr>
          <w:p w14:paraId="60681C6C"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8#</w:t>
            </w:r>
          </w:p>
        </w:tc>
        <w:tc>
          <w:tcPr>
            <w:tcW w:w="1500" w:type="pct"/>
            <w:vAlign w:val="center"/>
          </w:tcPr>
          <w:p w14:paraId="15174D6E"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滴水</w:t>
            </w:r>
            <w:proofErr w:type="gramStart"/>
            <w:r w:rsidRPr="008A2411">
              <w:rPr>
                <w:rFonts w:ascii="Times New Roman"/>
                <w:color w:val="000000" w:themeColor="text1"/>
                <w:szCs w:val="21"/>
              </w:rPr>
              <w:t>岩居民</w:t>
            </w:r>
            <w:proofErr w:type="gramEnd"/>
            <w:r w:rsidRPr="008A2411">
              <w:rPr>
                <w:rFonts w:ascii="Times New Roman"/>
                <w:color w:val="000000" w:themeColor="text1"/>
                <w:szCs w:val="21"/>
              </w:rPr>
              <w:t>水井</w:t>
            </w:r>
          </w:p>
        </w:tc>
        <w:tc>
          <w:tcPr>
            <w:tcW w:w="479" w:type="pct"/>
            <w:vAlign w:val="center"/>
          </w:tcPr>
          <w:p w14:paraId="3A02218B"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107.7011</w:t>
            </w:r>
          </w:p>
        </w:tc>
        <w:tc>
          <w:tcPr>
            <w:tcW w:w="558" w:type="pct"/>
            <w:vAlign w:val="center"/>
          </w:tcPr>
          <w:p w14:paraId="7ECDAE41"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31.5199</w:t>
            </w:r>
          </w:p>
        </w:tc>
        <w:tc>
          <w:tcPr>
            <w:tcW w:w="563" w:type="pct"/>
            <w:vAlign w:val="center"/>
          </w:tcPr>
          <w:p w14:paraId="33A2EEDF"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374.8</w:t>
            </w:r>
          </w:p>
        </w:tc>
        <w:tc>
          <w:tcPr>
            <w:tcW w:w="519" w:type="pct"/>
            <w:vAlign w:val="center"/>
          </w:tcPr>
          <w:p w14:paraId="0CB2B336"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1.1</w:t>
            </w:r>
          </w:p>
        </w:tc>
        <w:tc>
          <w:tcPr>
            <w:tcW w:w="508" w:type="pct"/>
            <w:vAlign w:val="center"/>
          </w:tcPr>
          <w:p w14:paraId="3E91DC0F"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6</w:t>
            </w:r>
          </w:p>
        </w:tc>
        <w:tc>
          <w:tcPr>
            <w:tcW w:w="491" w:type="pct"/>
            <w:vAlign w:val="center"/>
          </w:tcPr>
          <w:p w14:paraId="7CB40330"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373.7</w:t>
            </w:r>
          </w:p>
        </w:tc>
      </w:tr>
      <w:tr w:rsidR="008A2411" w:rsidRPr="008A2411" w14:paraId="32C9A432" w14:textId="77777777">
        <w:trPr>
          <w:trHeight w:val="20"/>
        </w:trPr>
        <w:tc>
          <w:tcPr>
            <w:tcW w:w="381" w:type="pct"/>
            <w:vAlign w:val="center"/>
          </w:tcPr>
          <w:p w14:paraId="7B96C12F"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9#</w:t>
            </w:r>
          </w:p>
        </w:tc>
        <w:tc>
          <w:tcPr>
            <w:tcW w:w="1500" w:type="pct"/>
            <w:vAlign w:val="center"/>
          </w:tcPr>
          <w:p w14:paraId="617E201C"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洞子口居民水井</w:t>
            </w:r>
          </w:p>
        </w:tc>
        <w:tc>
          <w:tcPr>
            <w:tcW w:w="479" w:type="pct"/>
            <w:vAlign w:val="center"/>
          </w:tcPr>
          <w:p w14:paraId="3EA2ABB6"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107.6987</w:t>
            </w:r>
          </w:p>
        </w:tc>
        <w:tc>
          <w:tcPr>
            <w:tcW w:w="558" w:type="pct"/>
            <w:vAlign w:val="center"/>
          </w:tcPr>
          <w:p w14:paraId="01A24148"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31.5127</w:t>
            </w:r>
          </w:p>
        </w:tc>
        <w:tc>
          <w:tcPr>
            <w:tcW w:w="563" w:type="pct"/>
            <w:vAlign w:val="center"/>
          </w:tcPr>
          <w:p w14:paraId="48AF2AAB"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385.2</w:t>
            </w:r>
          </w:p>
        </w:tc>
        <w:tc>
          <w:tcPr>
            <w:tcW w:w="519" w:type="pct"/>
            <w:vAlign w:val="center"/>
          </w:tcPr>
          <w:p w14:paraId="0304AEDA"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5.5</w:t>
            </w:r>
          </w:p>
        </w:tc>
        <w:tc>
          <w:tcPr>
            <w:tcW w:w="508" w:type="pct"/>
            <w:vAlign w:val="center"/>
          </w:tcPr>
          <w:p w14:paraId="65B4A022"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30</w:t>
            </w:r>
          </w:p>
        </w:tc>
        <w:tc>
          <w:tcPr>
            <w:tcW w:w="491" w:type="pct"/>
            <w:vAlign w:val="center"/>
          </w:tcPr>
          <w:p w14:paraId="5D70285F"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379.7</w:t>
            </w:r>
          </w:p>
        </w:tc>
      </w:tr>
      <w:tr w:rsidR="00B0005F" w:rsidRPr="008A2411" w14:paraId="340403BB" w14:textId="77777777">
        <w:trPr>
          <w:trHeight w:val="20"/>
        </w:trPr>
        <w:tc>
          <w:tcPr>
            <w:tcW w:w="381" w:type="pct"/>
            <w:vAlign w:val="center"/>
          </w:tcPr>
          <w:p w14:paraId="7CACEA47"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10#</w:t>
            </w:r>
          </w:p>
        </w:tc>
        <w:tc>
          <w:tcPr>
            <w:tcW w:w="1500" w:type="pct"/>
            <w:vAlign w:val="center"/>
          </w:tcPr>
          <w:p w14:paraId="10A49703"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侯家山居民水井</w:t>
            </w:r>
          </w:p>
        </w:tc>
        <w:tc>
          <w:tcPr>
            <w:tcW w:w="479" w:type="pct"/>
            <w:vAlign w:val="center"/>
          </w:tcPr>
          <w:p w14:paraId="15421340"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107.6642</w:t>
            </w:r>
          </w:p>
        </w:tc>
        <w:tc>
          <w:tcPr>
            <w:tcW w:w="558" w:type="pct"/>
            <w:vAlign w:val="center"/>
          </w:tcPr>
          <w:p w14:paraId="22E94AD4"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31.5070</w:t>
            </w:r>
          </w:p>
        </w:tc>
        <w:tc>
          <w:tcPr>
            <w:tcW w:w="563" w:type="pct"/>
            <w:vAlign w:val="center"/>
          </w:tcPr>
          <w:p w14:paraId="6AE872EA"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408.5</w:t>
            </w:r>
          </w:p>
        </w:tc>
        <w:tc>
          <w:tcPr>
            <w:tcW w:w="519" w:type="pct"/>
            <w:vAlign w:val="center"/>
          </w:tcPr>
          <w:p w14:paraId="728D7B48"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3.7</w:t>
            </w:r>
          </w:p>
        </w:tc>
        <w:tc>
          <w:tcPr>
            <w:tcW w:w="508" w:type="pct"/>
            <w:vAlign w:val="center"/>
          </w:tcPr>
          <w:p w14:paraId="38BF7829"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6</w:t>
            </w:r>
          </w:p>
        </w:tc>
        <w:tc>
          <w:tcPr>
            <w:tcW w:w="491" w:type="pct"/>
            <w:vAlign w:val="center"/>
          </w:tcPr>
          <w:p w14:paraId="2471923D"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404.8</w:t>
            </w:r>
          </w:p>
        </w:tc>
      </w:tr>
    </w:tbl>
    <w:p w14:paraId="190FE10C" w14:textId="77777777" w:rsidR="00B0005F" w:rsidRPr="008A2411" w:rsidRDefault="00B0005F">
      <w:pPr>
        <w:pStyle w:val="TOC2"/>
        <w:rPr>
          <w:rFonts w:ascii="Times New Roman" w:hAnsi="Times New Roman" w:cs="Times New Roman"/>
          <w:color w:val="000000" w:themeColor="text1"/>
        </w:rPr>
      </w:pPr>
    </w:p>
    <w:p w14:paraId="1139411C" w14:textId="77777777" w:rsidR="00B0005F" w:rsidRPr="008A2411" w:rsidRDefault="00000000">
      <w:pPr>
        <w:pStyle w:val="affffffffffff2"/>
        <w:rPr>
          <w:rFonts w:ascii="Times New Roman"/>
          <w:color w:val="000000" w:themeColor="text1"/>
        </w:rPr>
      </w:pPr>
      <w:r w:rsidRPr="008A2411">
        <w:rPr>
          <w:rFonts w:ascii="Times New Roman"/>
          <w:noProof/>
          <w:color w:val="000000" w:themeColor="text1"/>
        </w:rPr>
        <w:drawing>
          <wp:inline distT="0" distB="0" distL="0" distR="0" wp14:anchorId="31A4EECC" wp14:editId="1F69CBC6">
            <wp:extent cx="5391150" cy="4086860"/>
            <wp:effectExtent l="0" t="0" r="3810" b="12700"/>
            <wp:docPr id="88" name="图片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图片 88"/>
                    <pic:cNvPicPr>
                      <a:picLocks noChangeAspect="1"/>
                    </pic:cNvPicPr>
                  </pic:nvPicPr>
                  <pic:blipFill>
                    <a:blip r:embed="rId53"/>
                    <a:stretch>
                      <a:fillRect/>
                    </a:stretch>
                  </pic:blipFill>
                  <pic:spPr>
                    <a:xfrm>
                      <a:off x="0" y="0"/>
                      <a:ext cx="5391150" cy="4086860"/>
                    </a:xfrm>
                    <a:prstGeom prst="rect">
                      <a:avLst/>
                    </a:prstGeom>
                  </pic:spPr>
                </pic:pic>
              </a:graphicData>
            </a:graphic>
          </wp:inline>
        </w:drawing>
      </w:r>
    </w:p>
    <w:p w14:paraId="5C83880B" w14:textId="77777777" w:rsidR="00B0005F" w:rsidRPr="008A2411" w:rsidRDefault="00000000">
      <w:pPr>
        <w:pStyle w:val="affffffff7"/>
        <w:spacing w:before="60" w:after="60"/>
        <w:rPr>
          <w:color w:val="000000" w:themeColor="text1"/>
        </w:rPr>
      </w:pPr>
      <w:r w:rsidRPr="008A2411">
        <w:rPr>
          <w:color w:val="000000" w:themeColor="text1"/>
        </w:rPr>
        <w:t>图</w:t>
      </w:r>
      <w:r w:rsidRPr="008A2411">
        <w:rPr>
          <w:color w:val="000000" w:themeColor="text1"/>
        </w:rPr>
        <w:t xml:space="preserve">5.2-9 </w:t>
      </w:r>
      <w:r w:rsidRPr="008A2411">
        <w:rPr>
          <w:color w:val="000000" w:themeColor="text1"/>
        </w:rPr>
        <w:t>本项目地下水环境保护目标图</w:t>
      </w:r>
    </w:p>
    <w:p w14:paraId="3D06E2AA" w14:textId="77777777" w:rsidR="00B0005F" w:rsidRPr="008A2411" w:rsidRDefault="00000000">
      <w:pPr>
        <w:keepNext/>
        <w:keepLines/>
        <w:adjustRightInd w:val="0"/>
        <w:spacing w:line="360" w:lineRule="auto"/>
        <w:ind w:firstLine="363"/>
        <w:rPr>
          <w:rFonts w:ascii="Times New Roman"/>
          <w:b/>
          <w:bCs/>
          <w:color w:val="000000" w:themeColor="text1"/>
          <w:szCs w:val="24"/>
        </w:rPr>
      </w:pPr>
      <w:r w:rsidRPr="008A2411">
        <w:rPr>
          <w:rFonts w:ascii="Times New Roman"/>
          <w:b/>
          <w:bCs/>
          <w:color w:val="000000" w:themeColor="text1"/>
          <w:szCs w:val="24"/>
        </w:rPr>
        <w:t>6</w:t>
      </w:r>
      <w:r w:rsidRPr="008A2411">
        <w:rPr>
          <w:rFonts w:ascii="Times New Roman"/>
          <w:b/>
          <w:bCs/>
          <w:color w:val="000000" w:themeColor="text1"/>
          <w:szCs w:val="24"/>
        </w:rPr>
        <w:t>、水文地质试验统计</w:t>
      </w:r>
    </w:p>
    <w:bookmarkEnd w:id="435"/>
    <w:bookmarkEnd w:id="436"/>
    <w:bookmarkEnd w:id="437"/>
    <w:bookmarkEnd w:id="438"/>
    <w:bookmarkEnd w:id="439"/>
    <w:bookmarkEnd w:id="440"/>
    <w:bookmarkEnd w:id="443"/>
    <w:p w14:paraId="4C327756"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为查明项目区含水层渗透性及包气带防污性能，本项目收集了项目</w:t>
      </w:r>
      <w:proofErr w:type="gramStart"/>
      <w:r w:rsidRPr="008A2411">
        <w:rPr>
          <w:rFonts w:ascii="Times New Roman"/>
          <w:color w:val="000000" w:themeColor="text1"/>
        </w:rPr>
        <w:t>评价区</w:t>
      </w:r>
      <w:proofErr w:type="gramEnd"/>
      <w:r w:rsidRPr="008A2411">
        <w:rPr>
          <w:rFonts w:ascii="Times New Roman"/>
          <w:color w:val="000000" w:themeColor="text1"/>
        </w:rPr>
        <w:t>及周边的水文地质资料，包括：</w:t>
      </w:r>
      <w:r w:rsidRPr="008A2411">
        <w:rPr>
          <w:rFonts w:ascii="Times New Roman"/>
          <w:color w:val="000000" w:themeColor="text1"/>
        </w:rPr>
        <w:t>①</w:t>
      </w:r>
      <w:r w:rsidRPr="008A2411">
        <w:rPr>
          <w:rFonts w:ascii="Times New Roman"/>
          <w:color w:val="000000" w:themeColor="text1"/>
        </w:rPr>
        <w:t>水文地质钻探及抽水试验；</w:t>
      </w:r>
      <w:r w:rsidRPr="008A2411">
        <w:rPr>
          <w:rFonts w:ascii="Times New Roman"/>
          <w:color w:val="000000" w:themeColor="text1"/>
        </w:rPr>
        <w:t>②</w:t>
      </w:r>
      <w:r w:rsidRPr="008A2411">
        <w:rPr>
          <w:rFonts w:ascii="Times New Roman"/>
          <w:color w:val="000000" w:themeColor="text1"/>
        </w:rPr>
        <w:t>包气带特性调查及</w:t>
      </w:r>
      <w:r w:rsidRPr="008A2411">
        <w:rPr>
          <w:rFonts w:ascii="Times New Roman"/>
          <w:color w:val="000000" w:themeColor="text1"/>
        </w:rPr>
        <w:lastRenderedPageBreak/>
        <w:t>渗水试验；各项工作内容具体详述如下：</w:t>
      </w:r>
    </w:p>
    <w:p w14:paraId="47190771"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1</w:t>
      </w:r>
      <w:r w:rsidRPr="008A2411">
        <w:rPr>
          <w:rFonts w:ascii="Times New Roman"/>
          <w:color w:val="000000" w:themeColor="text1"/>
        </w:rPr>
        <w:t>）水文地质钻探及抽水试验</w:t>
      </w:r>
    </w:p>
    <w:p w14:paraId="263F54CA"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本次评价参考《四川省达州市宣汉县红层丘陵区找水打井工程地下水调查与区划报告》，选取相邻区域</w:t>
      </w:r>
      <w:r w:rsidRPr="008A2411">
        <w:rPr>
          <w:rFonts w:ascii="Times New Roman"/>
          <w:color w:val="000000" w:themeColor="text1"/>
        </w:rPr>
        <w:t>CS09</w:t>
      </w:r>
      <w:r w:rsidRPr="008A2411">
        <w:rPr>
          <w:rFonts w:ascii="Times New Roman"/>
          <w:color w:val="000000" w:themeColor="text1"/>
        </w:rPr>
        <w:t>、</w:t>
      </w:r>
      <w:r w:rsidRPr="008A2411">
        <w:rPr>
          <w:rFonts w:ascii="Times New Roman"/>
          <w:color w:val="000000" w:themeColor="text1"/>
        </w:rPr>
        <w:t>CS31</w:t>
      </w:r>
      <w:r w:rsidRPr="008A2411">
        <w:rPr>
          <w:rFonts w:ascii="Times New Roman"/>
          <w:color w:val="000000" w:themeColor="text1"/>
        </w:rPr>
        <w:t>及</w:t>
      </w:r>
      <w:r w:rsidRPr="008A2411">
        <w:rPr>
          <w:rFonts w:ascii="Times New Roman"/>
          <w:color w:val="000000" w:themeColor="text1"/>
        </w:rPr>
        <w:t>CS33</w:t>
      </w:r>
      <w:r w:rsidRPr="008A2411">
        <w:rPr>
          <w:rFonts w:ascii="Times New Roman"/>
          <w:color w:val="000000" w:themeColor="text1"/>
        </w:rPr>
        <w:t>井抽水试验参数作为目标含水层渗透系数计算依据。两者采用潜水非完整井（单井）公式计算本项目区下伏浅层风化带裂隙孔隙水含水层渗透系数介于</w:t>
      </w:r>
      <w:r w:rsidRPr="008A2411">
        <w:rPr>
          <w:rFonts w:ascii="Times New Roman"/>
          <w:color w:val="000000" w:themeColor="text1"/>
        </w:rPr>
        <w:t>0.052</w:t>
      </w:r>
      <w:r w:rsidRPr="008A2411">
        <w:rPr>
          <w:rFonts w:ascii="Times New Roman"/>
          <w:color w:val="000000" w:themeColor="text1"/>
        </w:rPr>
        <w:t>～</w:t>
      </w:r>
      <w:r w:rsidRPr="008A2411">
        <w:rPr>
          <w:rFonts w:ascii="Times New Roman"/>
          <w:color w:val="000000" w:themeColor="text1"/>
        </w:rPr>
        <w:t>0.097m/d</w:t>
      </w:r>
      <w:r w:rsidRPr="008A2411">
        <w:rPr>
          <w:rFonts w:ascii="Times New Roman"/>
          <w:color w:val="000000" w:themeColor="text1"/>
        </w:rPr>
        <w:t>，本次取均值</w:t>
      </w:r>
      <w:r w:rsidRPr="008A2411">
        <w:rPr>
          <w:rFonts w:ascii="Times New Roman"/>
          <w:color w:val="000000" w:themeColor="text1"/>
        </w:rPr>
        <w:t>0.077m/d</w:t>
      </w:r>
      <w:r w:rsidRPr="008A2411">
        <w:rPr>
          <w:rFonts w:ascii="Times New Roman"/>
          <w:color w:val="000000" w:themeColor="text1"/>
        </w:rPr>
        <w:t>（</w:t>
      </w:r>
      <w:r w:rsidRPr="008A2411">
        <w:rPr>
          <w:rFonts w:ascii="Times New Roman"/>
          <w:color w:val="000000" w:themeColor="text1"/>
        </w:rPr>
        <w:t>8.87×10</w:t>
      </w:r>
      <w:r w:rsidRPr="008A2411">
        <w:rPr>
          <w:rFonts w:ascii="Times New Roman"/>
          <w:color w:val="000000" w:themeColor="text1"/>
          <w:vertAlign w:val="superscript"/>
        </w:rPr>
        <w:t>-5</w:t>
      </w:r>
      <w:r w:rsidRPr="008A2411">
        <w:rPr>
          <w:rFonts w:ascii="Times New Roman"/>
          <w:color w:val="000000" w:themeColor="text1"/>
        </w:rPr>
        <w:t xml:space="preserve"> cm/s</w:t>
      </w:r>
      <w:r w:rsidRPr="008A2411">
        <w:rPr>
          <w:rFonts w:ascii="Times New Roman"/>
          <w:color w:val="000000" w:themeColor="text1"/>
        </w:rPr>
        <w:t>）。</w:t>
      </w:r>
    </w:p>
    <w:p w14:paraId="66A4A1F2" w14:textId="77777777" w:rsidR="00B0005F" w:rsidRPr="008A2411" w:rsidRDefault="00000000">
      <w:pPr>
        <w:pStyle w:val="affffffff7"/>
        <w:adjustRightInd w:val="0"/>
        <w:snapToGrid w:val="0"/>
        <w:spacing w:beforeLines="0" w:before="0" w:afterLines="0" w:after="0" w:line="240" w:lineRule="auto"/>
        <w:rPr>
          <w:color w:val="000000" w:themeColor="text1"/>
        </w:rPr>
      </w:pPr>
      <w:r w:rsidRPr="008A2411">
        <w:rPr>
          <w:color w:val="000000" w:themeColor="text1"/>
        </w:rPr>
        <w:t>表</w:t>
      </w:r>
      <w:r w:rsidRPr="008A2411">
        <w:rPr>
          <w:color w:val="000000" w:themeColor="text1"/>
        </w:rPr>
        <w:t xml:space="preserve">5.2-27  </w:t>
      </w:r>
      <w:r w:rsidRPr="008A2411">
        <w:rPr>
          <w:color w:val="000000" w:themeColor="text1"/>
        </w:rPr>
        <w:t>抽水试验成果统计表</w:t>
      </w:r>
    </w:p>
    <w:tbl>
      <w:tblPr>
        <w:tblW w:w="512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5"/>
        <w:gridCol w:w="1234"/>
        <w:gridCol w:w="961"/>
        <w:gridCol w:w="1312"/>
        <w:gridCol w:w="1517"/>
        <w:gridCol w:w="1526"/>
        <w:gridCol w:w="1276"/>
      </w:tblGrid>
      <w:tr w:rsidR="008A2411" w:rsidRPr="008A2411" w14:paraId="5848112A" w14:textId="77777777">
        <w:trPr>
          <w:trHeight w:val="20"/>
          <w:tblHeader/>
          <w:jc w:val="center"/>
        </w:trPr>
        <w:tc>
          <w:tcPr>
            <w:tcW w:w="466"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54E5B594" w14:textId="77777777" w:rsidR="00B0005F" w:rsidRPr="008A2411" w:rsidRDefault="00000000">
            <w:pPr>
              <w:pStyle w:val="affffffffffff2"/>
              <w:rPr>
                <w:rFonts w:ascii="Times New Roman"/>
                <w:color w:val="000000" w:themeColor="text1"/>
              </w:rPr>
            </w:pPr>
            <w:proofErr w:type="gramStart"/>
            <w:r w:rsidRPr="008A2411">
              <w:rPr>
                <w:rFonts w:ascii="Times New Roman"/>
                <w:color w:val="000000" w:themeColor="text1"/>
              </w:rPr>
              <w:t>孔号</w:t>
            </w:r>
            <w:proofErr w:type="gramEnd"/>
          </w:p>
        </w:tc>
        <w:tc>
          <w:tcPr>
            <w:tcW w:w="715"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0B73C17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井深（</w:t>
            </w:r>
            <w:r w:rsidRPr="008A2411">
              <w:rPr>
                <w:rFonts w:ascii="Times New Roman"/>
                <w:color w:val="000000" w:themeColor="text1"/>
              </w:rPr>
              <w:t>m</w:t>
            </w:r>
            <w:r w:rsidRPr="008A2411">
              <w:rPr>
                <w:rFonts w:ascii="Times New Roman"/>
                <w:color w:val="000000" w:themeColor="text1"/>
              </w:rPr>
              <w:t>）</w:t>
            </w:r>
          </w:p>
        </w:tc>
        <w:tc>
          <w:tcPr>
            <w:tcW w:w="557"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72D2A04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静止水位（</w:t>
            </w:r>
            <w:r w:rsidRPr="008A2411">
              <w:rPr>
                <w:rFonts w:ascii="Times New Roman"/>
                <w:color w:val="000000" w:themeColor="text1"/>
              </w:rPr>
              <w:t>m</w:t>
            </w:r>
            <w:r w:rsidRPr="008A2411">
              <w:rPr>
                <w:rFonts w:ascii="Times New Roman"/>
                <w:color w:val="000000" w:themeColor="text1"/>
              </w:rPr>
              <w:t>）</w:t>
            </w:r>
          </w:p>
        </w:tc>
        <w:tc>
          <w:tcPr>
            <w:tcW w:w="760"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155B31F7" w14:textId="77777777" w:rsidR="00B0005F" w:rsidRPr="008A2411" w:rsidRDefault="00000000">
            <w:pPr>
              <w:pStyle w:val="affffffffffff2"/>
              <w:rPr>
                <w:rFonts w:ascii="Times New Roman"/>
                <w:color w:val="000000" w:themeColor="text1"/>
              </w:rPr>
            </w:pPr>
            <w:proofErr w:type="gramStart"/>
            <w:r w:rsidRPr="008A2411">
              <w:rPr>
                <w:rFonts w:ascii="Times New Roman"/>
                <w:color w:val="000000" w:themeColor="text1"/>
              </w:rPr>
              <w:t>降深</w:t>
            </w:r>
            <w:proofErr w:type="gramEnd"/>
            <w:r w:rsidRPr="008A2411">
              <w:rPr>
                <w:rFonts w:ascii="Times New Roman"/>
                <w:color w:val="000000" w:themeColor="text1"/>
              </w:rPr>
              <w:t>S</w:t>
            </w:r>
            <w:r w:rsidRPr="008A2411">
              <w:rPr>
                <w:rFonts w:ascii="Times New Roman"/>
                <w:color w:val="000000" w:themeColor="text1"/>
              </w:rPr>
              <w:t>（</w:t>
            </w:r>
            <w:r w:rsidRPr="008A2411">
              <w:rPr>
                <w:rFonts w:ascii="Times New Roman"/>
                <w:color w:val="000000" w:themeColor="text1"/>
              </w:rPr>
              <w:t>m</w:t>
            </w:r>
            <w:r w:rsidRPr="008A2411">
              <w:rPr>
                <w:rFonts w:ascii="Times New Roman"/>
                <w:color w:val="000000" w:themeColor="text1"/>
              </w:rPr>
              <w:t>）</w:t>
            </w:r>
          </w:p>
        </w:tc>
        <w:tc>
          <w:tcPr>
            <w:tcW w:w="879"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66987B8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出水量</w:t>
            </w:r>
          </w:p>
          <w:p w14:paraId="02C745E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Q</w:t>
            </w:r>
            <w:r w:rsidRPr="008A2411">
              <w:rPr>
                <w:rFonts w:ascii="Times New Roman"/>
                <w:color w:val="000000" w:themeColor="text1"/>
              </w:rPr>
              <w:t>（</w:t>
            </w:r>
            <w:r w:rsidRPr="008A2411">
              <w:rPr>
                <w:rFonts w:ascii="Times New Roman"/>
                <w:color w:val="000000" w:themeColor="text1"/>
              </w:rPr>
              <w:t>m</w:t>
            </w:r>
            <w:r w:rsidRPr="008A2411">
              <w:rPr>
                <w:rFonts w:ascii="Times New Roman"/>
                <w:color w:val="000000" w:themeColor="text1"/>
                <w:vertAlign w:val="superscript"/>
              </w:rPr>
              <w:t>3</w:t>
            </w:r>
            <w:r w:rsidRPr="008A2411">
              <w:rPr>
                <w:rFonts w:ascii="Times New Roman"/>
                <w:color w:val="000000" w:themeColor="text1"/>
              </w:rPr>
              <w:t>/d</w:t>
            </w:r>
            <w:r w:rsidRPr="008A2411">
              <w:rPr>
                <w:rFonts w:ascii="Times New Roman"/>
                <w:color w:val="000000" w:themeColor="text1"/>
              </w:rPr>
              <w:t>）</w:t>
            </w:r>
          </w:p>
        </w:tc>
        <w:tc>
          <w:tcPr>
            <w:tcW w:w="884"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31D2802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渗透系数</w:t>
            </w:r>
            <w:r w:rsidRPr="008A2411">
              <w:rPr>
                <w:rFonts w:ascii="Times New Roman"/>
                <w:color w:val="000000" w:themeColor="text1"/>
              </w:rPr>
              <w:t>K</w:t>
            </w:r>
            <w:r w:rsidRPr="008A2411">
              <w:rPr>
                <w:rFonts w:ascii="Times New Roman"/>
                <w:color w:val="000000" w:themeColor="text1"/>
              </w:rPr>
              <w:t>（</w:t>
            </w:r>
            <w:r w:rsidRPr="008A2411">
              <w:rPr>
                <w:rFonts w:ascii="Times New Roman"/>
                <w:color w:val="000000" w:themeColor="text1"/>
              </w:rPr>
              <w:t>m/d</w:t>
            </w:r>
            <w:r w:rsidRPr="008A2411">
              <w:rPr>
                <w:rFonts w:ascii="Times New Roman"/>
                <w:color w:val="000000" w:themeColor="text1"/>
              </w:rPr>
              <w:t>）</w:t>
            </w:r>
          </w:p>
        </w:tc>
        <w:tc>
          <w:tcPr>
            <w:tcW w:w="739"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738BE11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影响半径</w:t>
            </w:r>
          </w:p>
        </w:tc>
      </w:tr>
      <w:tr w:rsidR="008A2411" w:rsidRPr="008A2411" w14:paraId="78056F7D" w14:textId="77777777">
        <w:trPr>
          <w:trHeight w:val="20"/>
          <w:jc w:val="center"/>
        </w:trPr>
        <w:tc>
          <w:tcPr>
            <w:tcW w:w="466"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5FC76D5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CS33</w:t>
            </w:r>
          </w:p>
        </w:tc>
        <w:tc>
          <w:tcPr>
            <w:tcW w:w="715"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00BBABA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18</w:t>
            </w:r>
          </w:p>
        </w:tc>
        <w:tc>
          <w:tcPr>
            <w:tcW w:w="557"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3AB607B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3.5</w:t>
            </w:r>
          </w:p>
        </w:tc>
        <w:tc>
          <w:tcPr>
            <w:tcW w:w="760"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745267E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13.8</w:t>
            </w:r>
          </w:p>
        </w:tc>
        <w:tc>
          <w:tcPr>
            <w:tcW w:w="879"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1868A9E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5.64</w:t>
            </w:r>
          </w:p>
        </w:tc>
        <w:tc>
          <w:tcPr>
            <w:tcW w:w="884"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024A4050" w14:textId="77777777" w:rsidR="00B0005F" w:rsidRPr="008A2411" w:rsidRDefault="00000000">
            <w:pPr>
              <w:pStyle w:val="affffffffffff2"/>
              <w:rPr>
                <w:rFonts w:ascii="Times New Roman"/>
                <w:color w:val="000000" w:themeColor="text1"/>
              </w:rPr>
            </w:pPr>
            <w:r w:rsidRPr="008A2411">
              <w:rPr>
                <w:rFonts w:ascii="Times New Roman"/>
                <w:color w:val="000000" w:themeColor="text1"/>
                <w:szCs w:val="21"/>
              </w:rPr>
              <w:t>0.052</w:t>
            </w:r>
          </w:p>
        </w:tc>
        <w:tc>
          <w:tcPr>
            <w:tcW w:w="739"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7591DE2E" w14:textId="77777777" w:rsidR="00B0005F" w:rsidRPr="008A2411" w:rsidRDefault="00000000">
            <w:pPr>
              <w:pStyle w:val="affffffffffff2"/>
              <w:rPr>
                <w:rFonts w:ascii="Times New Roman"/>
                <w:color w:val="000000" w:themeColor="text1"/>
              </w:rPr>
            </w:pPr>
            <w:r w:rsidRPr="008A2411">
              <w:rPr>
                <w:rFonts w:ascii="Times New Roman"/>
                <w:color w:val="000000" w:themeColor="text1"/>
                <w:szCs w:val="21"/>
              </w:rPr>
              <w:t>24</w:t>
            </w:r>
          </w:p>
        </w:tc>
      </w:tr>
      <w:tr w:rsidR="008A2411" w:rsidRPr="008A2411" w14:paraId="7DEE9CFB" w14:textId="77777777">
        <w:trPr>
          <w:trHeight w:val="20"/>
          <w:jc w:val="center"/>
        </w:trPr>
        <w:tc>
          <w:tcPr>
            <w:tcW w:w="466"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03930B0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CS09</w:t>
            </w:r>
          </w:p>
        </w:tc>
        <w:tc>
          <w:tcPr>
            <w:tcW w:w="715"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3B1A74F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20</w:t>
            </w:r>
          </w:p>
        </w:tc>
        <w:tc>
          <w:tcPr>
            <w:tcW w:w="557"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0106F44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3.1</w:t>
            </w:r>
          </w:p>
        </w:tc>
        <w:tc>
          <w:tcPr>
            <w:tcW w:w="760"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02D58CD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16.2</w:t>
            </w:r>
          </w:p>
        </w:tc>
        <w:tc>
          <w:tcPr>
            <w:tcW w:w="879"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5588565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11.28</w:t>
            </w:r>
          </w:p>
        </w:tc>
        <w:tc>
          <w:tcPr>
            <w:tcW w:w="884"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6A661FB6" w14:textId="77777777" w:rsidR="00B0005F" w:rsidRPr="008A2411" w:rsidRDefault="00000000">
            <w:pPr>
              <w:pStyle w:val="affffffffffff2"/>
              <w:rPr>
                <w:rFonts w:ascii="Times New Roman"/>
                <w:color w:val="000000" w:themeColor="text1"/>
              </w:rPr>
            </w:pPr>
            <w:r w:rsidRPr="008A2411">
              <w:rPr>
                <w:rFonts w:ascii="Times New Roman"/>
                <w:color w:val="000000" w:themeColor="text1"/>
                <w:szCs w:val="21"/>
              </w:rPr>
              <w:t>0.081</w:t>
            </w:r>
          </w:p>
        </w:tc>
        <w:tc>
          <w:tcPr>
            <w:tcW w:w="739"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6ADB6640" w14:textId="77777777" w:rsidR="00B0005F" w:rsidRPr="008A2411" w:rsidRDefault="00000000">
            <w:pPr>
              <w:pStyle w:val="affffffffffff2"/>
              <w:rPr>
                <w:rFonts w:ascii="Times New Roman"/>
                <w:color w:val="000000" w:themeColor="text1"/>
              </w:rPr>
            </w:pPr>
            <w:r w:rsidRPr="008A2411">
              <w:rPr>
                <w:rFonts w:ascii="Times New Roman"/>
                <w:color w:val="000000" w:themeColor="text1"/>
                <w:szCs w:val="21"/>
              </w:rPr>
              <w:t>38</w:t>
            </w:r>
          </w:p>
        </w:tc>
      </w:tr>
      <w:tr w:rsidR="008A2411" w:rsidRPr="008A2411" w14:paraId="6ECF5C29" w14:textId="77777777">
        <w:trPr>
          <w:trHeight w:val="20"/>
          <w:jc w:val="center"/>
        </w:trPr>
        <w:tc>
          <w:tcPr>
            <w:tcW w:w="466"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4609539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CS31</w:t>
            </w:r>
          </w:p>
        </w:tc>
        <w:tc>
          <w:tcPr>
            <w:tcW w:w="715"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6ED81B1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20</w:t>
            </w:r>
          </w:p>
        </w:tc>
        <w:tc>
          <w:tcPr>
            <w:tcW w:w="557"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7395639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4.4</w:t>
            </w:r>
          </w:p>
        </w:tc>
        <w:tc>
          <w:tcPr>
            <w:tcW w:w="760"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451B082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14.8</w:t>
            </w:r>
          </w:p>
        </w:tc>
        <w:tc>
          <w:tcPr>
            <w:tcW w:w="879"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391487B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11.41</w:t>
            </w:r>
          </w:p>
        </w:tc>
        <w:tc>
          <w:tcPr>
            <w:tcW w:w="884"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63A7AFF4" w14:textId="77777777" w:rsidR="00B0005F" w:rsidRPr="008A2411" w:rsidRDefault="00000000">
            <w:pPr>
              <w:pStyle w:val="affffffffffff2"/>
              <w:rPr>
                <w:rFonts w:ascii="Times New Roman"/>
                <w:color w:val="000000" w:themeColor="text1"/>
              </w:rPr>
            </w:pPr>
            <w:r w:rsidRPr="008A2411">
              <w:rPr>
                <w:rFonts w:ascii="Times New Roman"/>
                <w:color w:val="000000" w:themeColor="text1"/>
                <w:szCs w:val="21"/>
              </w:rPr>
              <w:t>0.097</w:t>
            </w:r>
          </w:p>
        </w:tc>
        <w:tc>
          <w:tcPr>
            <w:tcW w:w="739" w:type="pc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33160520" w14:textId="77777777" w:rsidR="00B0005F" w:rsidRPr="008A2411" w:rsidRDefault="00000000">
            <w:pPr>
              <w:pStyle w:val="affffffffffff2"/>
              <w:rPr>
                <w:rFonts w:ascii="Times New Roman"/>
                <w:color w:val="000000" w:themeColor="text1"/>
              </w:rPr>
            </w:pPr>
            <w:r w:rsidRPr="008A2411">
              <w:rPr>
                <w:rFonts w:ascii="Times New Roman"/>
                <w:color w:val="000000" w:themeColor="text1"/>
                <w:szCs w:val="21"/>
              </w:rPr>
              <w:t>36</w:t>
            </w:r>
          </w:p>
        </w:tc>
      </w:tr>
    </w:tbl>
    <w:p w14:paraId="240F924C" w14:textId="77777777" w:rsidR="00B0005F" w:rsidRPr="008A2411" w:rsidRDefault="00000000">
      <w:pPr>
        <w:adjustRightInd w:val="0"/>
        <w:snapToGrid w:val="0"/>
        <w:spacing w:line="360" w:lineRule="auto"/>
        <w:ind w:firstLine="480"/>
        <w:rPr>
          <w:rFonts w:ascii="Times New Roman" w:eastAsiaTheme="minorEastAsia"/>
          <w:color w:val="000000" w:themeColor="text1"/>
        </w:rPr>
      </w:pPr>
      <w:r w:rsidRPr="008A2411">
        <w:rPr>
          <w:rFonts w:ascii="Times New Roman" w:eastAsiaTheme="minorEastAsia"/>
          <w:color w:val="000000" w:themeColor="text1"/>
        </w:rPr>
        <w:t>（</w:t>
      </w:r>
      <w:r w:rsidRPr="008A2411">
        <w:rPr>
          <w:rFonts w:ascii="Times New Roman" w:eastAsiaTheme="minorEastAsia"/>
          <w:color w:val="000000" w:themeColor="text1"/>
        </w:rPr>
        <w:t>2</w:t>
      </w:r>
      <w:r w:rsidRPr="008A2411">
        <w:rPr>
          <w:rFonts w:ascii="Times New Roman" w:eastAsiaTheme="minorEastAsia"/>
          <w:color w:val="000000" w:themeColor="text1"/>
        </w:rPr>
        <w:t>）包气带渗水试验</w:t>
      </w:r>
    </w:p>
    <w:p w14:paraId="046C3BC3" w14:textId="77777777" w:rsidR="00B0005F" w:rsidRPr="008A2411" w:rsidRDefault="00000000">
      <w:pPr>
        <w:adjustRightInd w:val="0"/>
        <w:snapToGrid w:val="0"/>
        <w:spacing w:line="360" w:lineRule="auto"/>
        <w:ind w:firstLine="480"/>
        <w:rPr>
          <w:rFonts w:ascii="Times New Roman" w:eastAsiaTheme="minorEastAsia"/>
          <w:color w:val="000000" w:themeColor="text1"/>
        </w:rPr>
      </w:pPr>
      <w:r w:rsidRPr="008A2411">
        <w:rPr>
          <w:rFonts w:ascii="Times New Roman" w:eastAsiaTheme="minorEastAsia"/>
          <w:color w:val="000000" w:themeColor="text1"/>
        </w:rPr>
        <w:t>本项目选取两处试验点，使用双环法</w:t>
      </w:r>
      <w:proofErr w:type="gramStart"/>
      <w:r w:rsidRPr="008A2411">
        <w:rPr>
          <w:rFonts w:ascii="Times New Roman" w:eastAsiaTheme="minorEastAsia"/>
          <w:color w:val="000000" w:themeColor="text1"/>
        </w:rPr>
        <w:t>进行试坑渗水</w:t>
      </w:r>
      <w:proofErr w:type="gramEnd"/>
      <w:r w:rsidRPr="008A2411">
        <w:rPr>
          <w:rFonts w:ascii="Times New Roman" w:eastAsiaTheme="minorEastAsia"/>
          <w:color w:val="000000" w:themeColor="text1"/>
        </w:rPr>
        <w:t>试验。采用下式计算包气带渗透系数：</w:t>
      </w:r>
    </w:p>
    <w:p w14:paraId="473D6CA0" w14:textId="77777777" w:rsidR="00B0005F" w:rsidRPr="008A2411" w:rsidRDefault="00000000">
      <w:pPr>
        <w:adjustRightInd w:val="0"/>
        <w:snapToGrid w:val="0"/>
        <w:spacing w:line="360" w:lineRule="auto"/>
        <w:ind w:firstLine="480"/>
        <w:jc w:val="center"/>
        <w:rPr>
          <w:rFonts w:ascii="Times New Roman" w:eastAsiaTheme="minorEastAsia"/>
          <w:color w:val="000000" w:themeColor="text1"/>
        </w:rPr>
      </w:pPr>
      <w:r w:rsidRPr="008A2411">
        <w:rPr>
          <w:rFonts w:ascii="Times New Roman" w:eastAsiaTheme="minorEastAsia"/>
          <w:color w:val="000000" w:themeColor="text1"/>
          <w:position w:val="-28"/>
        </w:rPr>
        <w:object w:dxaOrig="1916" w:dyaOrig="665" w14:anchorId="1EEBC911">
          <v:shape id="_x0000_i1029" type="#_x0000_t75" style="width:97.5pt;height:36pt" o:ole="">
            <v:imagedata r:id="rId54" o:title=""/>
          </v:shape>
          <o:OLEObject Type="Embed" ProgID="Equation.3" ShapeID="_x0000_i1029" DrawAspect="Content" ObjectID="_1719945149" r:id="rId55"/>
        </w:object>
      </w:r>
    </w:p>
    <w:p w14:paraId="07D126D7" w14:textId="77777777" w:rsidR="00B0005F" w:rsidRPr="008A2411" w:rsidRDefault="00000000">
      <w:pPr>
        <w:adjustRightInd w:val="0"/>
        <w:snapToGrid w:val="0"/>
        <w:spacing w:line="360" w:lineRule="auto"/>
        <w:ind w:firstLine="480"/>
        <w:rPr>
          <w:rFonts w:ascii="Times New Roman" w:eastAsiaTheme="minorEastAsia"/>
          <w:color w:val="000000" w:themeColor="text1"/>
        </w:rPr>
      </w:pPr>
      <w:r w:rsidRPr="008A2411">
        <w:rPr>
          <w:rFonts w:ascii="Times New Roman" w:eastAsiaTheme="minorEastAsia"/>
          <w:color w:val="000000" w:themeColor="text1"/>
        </w:rPr>
        <w:t>其中：</w:t>
      </w:r>
    </w:p>
    <w:p w14:paraId="7DCBB349" w14:textId="77777777" w:rsidR="00B0005F" w:rsidRPr="008A2411" w:rsidRDefault="00000000">
      <w:pPr>
        <w:adjustRightInd w:val="0"/>
        <w:snapToGrid w:val="0"/>
        <w:spacing w:line="360" w:lineRule="auto"/>
        <w:ind w:firstLineChars="413" w:firstLine="991"/>
        <w:rPr>
          <w:rFonts w:ascii="Times New Roman" w:eastAsiaTheme="minorEastAsia"/>
          <w:color w:val="000000" w:themeColor="text1"/>
        </w:rPr>
      </w:pPr>
      <w:r w:rsidRPr="008A2411">
        <w:rPr>
          <w:rFonts w:ascii="Times New Roman" w:eastAsiaTheme="minorEastAsia"/>
          <w:color w:val="000000" w:themeColor="text1"/>
        </w:rPr>
        <w:t>K</w:t>
      </w:r>
      <w:r w:rsidRPr="008A2411">
        <w:rPr>
          <w:rFonts w:ascii="Times New Roman" w:eastAsiaTheme="minorEastAsia"/>
          <w:color w:val="000000" w:themeColor="text1"/>
        </w:rPr>
        <w:t>－渗透系数（</w:t>
      </w:r>
      <w:r w:rsidRPr="008A2411">
        <w:rPr>
          <w:rFonts w:ascii="Times New Roman" w:eastAsiaTheme="minorEastAsia"/>
          <w:color w:val="000000" w:themeColor="text1"/>
        </w:rPr>
        <w:t>m/d</w:t>
      </w:r>
      <w:r w:rsidRPr="008A2411">
        <w:rPr>
          <w:rFonts w:ascii="Times New Roman" w:eastAsiaTheme="minorEastAsia"/>
          <w:color w:val="000000" w:themeColor="text1"/>
        </w:rPr>
        <w:t>）；</w:t>
      </w:r>
    </w:p>
    <w:p w14:paraId="0AA9E5AB" w14:textId="77777777" w:rsidR="00B0005F" w:rsidRPr="008A2411" w:rsidRDefault="00000000">
      <w:pPr>
        <w:adjustRightInd w:val="0"/>
        <w:snapToGrid w:val="0"/>
        <w:spacing w:line="360" w:lineRule="auto"/>
        <w:ind w:firstLineChars="413" w:firstLine="991"/>
        <w:rPr>
          <w:rFonts w:ascii="Times New Roman" w:eastAsiaTheme="minorEastAsia"/>
          <w:color w:val="000000" w:themeColor="text1"/>
        </w:rPr>
      </w:pPr>
      <w:r w:rsidRPr="008A2411">
        <w:rPr>
          <w:rFonts w:ascii="Times New Roman" w:eastAsiaTheme="minorEastAsia"/>
          <w:color w:val="000000" w:themeColor="text1"/>
        </w:rPr>
        <w:t>Q</w:t>
      </w:r>
      <w:r w:rsidRPr="008A2411">
        <w:rPr>
          <w:rFonts w:ascii="Times New Roman" w:eastAsiaTheme="minorEastAsia"/>
          <w:color w:val="000000" w:themeColor="text1"/>
        </w:rPr>
        <w:t>－稳定的渗入水量（</w:t>
      </w:r>
      <w:r w:rsidRPr="008A2411">
        <w:rPr>
          <w:rFonts w:ascii="Times New Roman" w:eastAsiaTheme="minorEastAsia"/>
          <w:color w:val="000000" w:themeColor="text1"/>
        </w:rPr>
        <w:t>m</w:t>
      </w:r>
      <w:r w:rsidRPr="008A2411">
        <w:rPr>
          <w:rFonts w:ascii="Times New Roman" w:eastAsiaTheme="minorEastAsia"/>
          <w:color w:val="000000" w:themeColor="text1"/>
          <w:vertAlign w:val="superscript"/>
        </w:rPr>
        <w:t>3</w:t>
      </w:r>
      <w:r w:rsidRPr="008A2411">
        <w:rPr>
          <w:rFonts w:ascii="Times New Roman" w:eastAsiaTheme="minorEastAsia"/>
          <w:color w:val="000000" w:themeColor="text1"/>
        </w:rPr>
        <w:t>/d</w:t>
      </w:r>
      <w:r w:rsidRPr="008A2411">
        <w:rPr>
          <w:rFonts w:ascii="Times New Roman" w:eastAsiaTheme="minorEastAsia"/>
          <w:color w:val="000000" w:themeColor="text1"/>
        </w:rPr>
        <w:t>）；</w:t>
      </w:r>
    </w:p>
    <w:p w14:paraId="32DC8533" w14:textId="77777777" w:rsidR="00B0005F" w:rsidRPr="008A2411" w:rsidRDefault="00000000">
      <w:pPr>
        <w:adjustRightInd w:val="0"/>
        <w:snapToGrid w:val="0"/>
        <w:spacing w:line="360" w:lineRule="auto"/>
        <w:ind w:firstLineChars="413" w:firstLine="991"/>
        <w:rPr>
          <w:rFonts w:ascii="Times New Roman" w:eastAsiaTheme="minorEastAsia"/>
          <w:color w:val="000000" w:themeColor="text1"/>
        </w:rPr>
      </w:pPr>
      <w:r w:rsidRPr="008A2411">
        <w:rPr>
          <w:rFonts w:ascii="Times New Roman" w:eastAsiaTheme="minorEastAsia"/>
          <w:color w:val="000000" w:themeColor="text1"/>
        </w:rPr>
        <w:t>F</w:t>
      </w:r>
      <w:r w:rsidRPr="008A2411">
        <w:rPr>
          <w:rFonts w:ascii="Times New Roman" w:eastAsiaTheme="minorEastAsia"/>
          <w:color w:val="000000" w:themeColor="text1"/>
        </w:rPr>
        <w:t>－试坑（内环）渗水面积（</w:t>
      </w:r>
      <w:r w:rsidRPr="008A2411">
        <w:rPr>
          <w:rFonts w:ascii="Times New Roman" w:eastAsiaTheme="minorEastAsia"/>
          <w:color w:val="000000" w:themeColor="text1"/>
        </w:rPr>
        <w:t>m</w:t>
      </w:r>
      <w:r w:rsidRPr="008A2411">
        <w:rPr>
          <w:rFonts w:ascii="Times New Roman" w:eastAsiaTheme="minorEastAsia"/>
          <w:color w:val="000000" w:themeColor="text1"/>
        </w:rPr>
        <w:t>），内环渗水面积</w:t>
      </w:r>
      <w:r w:rsidRPr="008A2411">
        <w:rPr>
          <w:rFonts w:ascii="Times New Roman" w:eastAsiaTheme="minorEastAsia"/>
          <w:color w:val="000000" w:themeColor="text1"/>
        </w:rPr>
        <w:t>0.049 m</w:t>
      </w:r>
      <w:r w:rsidRPr="008A2411">
        <w:rPr>
          <w:rFonts w:ascii="Times New Roman" w:eastAsiaTheme="minorEastAsia"/>
          <w:color w:val="000000" w:themeColor="text1"/>
          <w:vertAlign w:val="superscript"/>
        </w:rPr>
        <w:t>2</w:t>
      </w:r>
      <w:r w:rsidRPr="008A2411">
        <w:rPr>
          <w:rFonts w:ascii="Times New Roman" w:eastAsiaTheme="minorEastAsia"/>
          <w:color w:val="000000" w:themeColor="text1"/>
        </w:rPr>
        <w:t>；</w:t>
      </w:r>
    </w:p>
    <w:p w14:paraId="50EEB238" w14:textId="77777777" w:rsidR="00B0005F" w:rsidRPr="008A2411" w:rsidRDefault="00000000">
      <w:pPr>
        <w:adjustRightInd w:val="0"/>
        <w:snapToGrid w:val="0"/>
        <w:spacing w:line="360" w:lineRule="auto"/>
        <w:ind w:firstLineChars="413" w:firstLine="991"/>
        <w:rPr>
          <w:rFonts w:ascii="Times New Roman" w:eastAsiaTheme="minorEastAsia"/>
          <w:color w:val="000000" w:themeColor="text1"/>
        </w:rPr>
      </w:pPr>
      <w:r w:rsidRPr="008A2411">
        <w:rPr>
          <w:rFonts w:ascii="Times New Roman" w:eastAsiaTheme="minorEastAsia"/>
          <w:color w:val="000000" w:themeColor="text1"/>
        </w:rPr>
        <w:t>Z</w:t>
      </w:r>
      <w:r w:rsidRPr="008A2411">
        <w:rPr>
          <w:rFonts w:ascii="Times New Roman" w:eastAsiaTheme="minorEastAsia"/>
          <w:color w:val="000000" w:themeColor="text1"/>
        </w:rPr>
        <w:t>－试坑（内环）中水层厚度（</w:t>
      </w:r>
      <w:r w:rsidRPr="008A2411">
        <w:rPr>
          <w:rFonts w:ascii="Times New Roman" w:eastAsiaTheme="minorEastAsia"/>
          <w:color w:val="000000" w:themeColor="text1"/>
        </w:rPr>
        <w:t>m</w:t>
      </w:r>
      <w:r w:rsidRPr="008A2411">
        <w:rPr>
          <w:rFonts w:ascii="Times New Roman" w:eastAsiaTheme="minorEastAsia"/>
          <w:color w:val="000000" w:themeColor="text1"/>
        </w:rPr>
        <w:t>），</w:t>
      </w:r>
      <w:r w:rsidRPr="008A2411">
        <w:rPr>
          <w:rFonts w:ascii="Times New Roman" w:eastAsiaTheme="minorEastAsia"/>
          <w:color w:val="000000" w:themeColor="text1"/>
        </w:rPr>
        <w:t>0.1m</w:t>
      </w:r>
      <w:r w:rsidRPr="008A2411">
        <w:rPr>
          <w:rFonts w:ascii="Times New Roman" w:eastAsiaTheme="minorEastAsia"/>
          <w:color w:val="000000" w:themeColor="text1"/>
        </w:rPr>
        <w:t>；</w:t>
      </w:r>
    </w:p>
    <w:p w14:paraId="7037ED20" w14:textId="77777777" w:rsidR="00B0005F" w:rsidRPr="008A2411" w:rsidRDefault="00000000">
      <w:pPr>
        <w:adjustRightInd w:val="0"/>
        <w:snapToGrid w:val="0"/>
        <w:spacing w:line="360" w:lineRule="auto"/>
        <w:ind w:firstLineChars="413" w:firstLine="991"/>
        <w:rPr>
          <w:rFonts w:ascii="Times New Roman" w:eastAsiaTheme="minorEastAsia"/>
          <w:color w:val="000000" w:themeColor="text1"/>
        </w:rPr>
      </w:pPr>
      <w:r w:rsidRPr="008A2411">
        <w:rPr>
          <w:rFonts w:ascii="Times New Roman" w:eastAsiaTheme="minorEastAsia"/>
          <w:color w:val="000000" w:themeColor="text1"/>
        </w:rPr>
        <w:t>H</w:t>
      </w:r>
      <w:r w:rsidRPr="008A2411">
        <w:rPr>
          <w:rFonts w:ascii="Times New Roman" w:eastAsiaTheme="minorEastAsia"/>
          <w:color w:val="000000" w:themeColor="text1"/>
        </w:rPr>
        <w:t>＇</w:t>
      </w:r>
      <w:r w:rsidRPr="008A2411">
        <w:rPr>
          <w:rFonts w:ascii="Times New Roman" w:eastAsiaTheme="minorEastAsia"/>
          <w:color w:val="000000" w:themeColor="text1"/>
        </w:rPr>
        <w:t>k</w:t>
      </w:r>
      <w:r w:rsidRPr="008A2411">
        <w:rPr>
          <w:rFonts w:ascii="Times New Roman" w:eastAsiaTheme="minorEastAsia"/>
          <w:color w:val="000000" w:themeColor="text1"/>
        </w:rPr>
        <w:t>－毛细压力（一般等于毛</w:t>
      </w:r>
      <w:proofErr w:type="gramStart"/>
      <w:r w:rsidRPr="008A2411">
        <w:rPr>
          <w:rFonts w:ascii="Times New Roman" w:eastAsiaTheme="minorEastAsia"/>
          <w:color w:val="000000" w:themeColor="text1"/>
        </w:rPr>
        <w:t>细上升</w:t>
      </w:r>
      <w:proofErr w:type="gramEnd"/>
      <w:r w:rsidRPr="008A2411">
        <w:rPr>
          <w:rFonts w:ascii="Times New Roman" w:eastAsiaTheme="minorEastAsia"/>
          <w:color w:val="000000" w:themeColor="text1"/>
        </w:rPr>
        <w:t>高度的一半）（</w:t>
      </w:r>
      <w:r w:rsidRPr="008A2411">
        <w:rPr>
          <w:rFonts w:ascii="Times New Roman" w:eastAsiaTheme="minorEastAsia"/>
          <w:color w:val="000000" w:themeColor="text1"/>
        </w:rPr>
        <w:t>m</w:t>
      </w:r>
      <w:r w:rsidRPr="008A2411">
        <w:rPr>
          <w:rFonts w:ascii="Times New Roman" w:eastAsiaTheme="minorEastAsia"/>
          <w:color w:val="000000" w:themeColor="text1"/>
        </w:rPr>
        <w:t>）；</w:t>
      </w:r>
    </w:p>
    <w:p w14:paraId="2C90DC36" w14:textId="77777777" w:rsidR="00B0005F" w:rsidRPr="008A2411" w:rsidRDefault="00000000">
      <w:pPr>
        <w:adjustRightInd w:val="0"/>
        <w:snapToGrid w:val="0"/>
        <w:spacing w:line="360" w:lineRule="auto"/>
        <w:ind w:firstLineChars="500" w:firstLine="1200"/>
        <w:rPr>
          <w:rFonts w:ascii="Times New Roman" w:eastAsiaTheme="minorEastAsia"/>
          <w:color w:val="000000" w:themeColor="text1"/>
        </w:rPr>
      </w:pPr>
      <w:r w:rsidRPr="008A2411">
        <w:rPr>
          <w:rFonts w:ascii="Times New Roman" w:eastAsiaTheme="minorEastAsia"/>
          <w:color w:val="000000" w:themeColor="text1"/>
        </w:rPr>
        <w:t>l</w:t>
      </w:r>
      <w:r w:rsidRPr="008A2411">
        <w:rPr>
          <w:rFonts w:ascii="Times New Roman" w:eastAsiaTheme="minorEastAsia"/>
          <w:color w:val="000000" w:themeColor="text1"/>
        </w:rPr>
        <w:t>－试验结束时水的渗入深度（</w:t>
      </w:r>
      <w:r w:rsidRPr="008A2411">
        <w:rPr>
          <w:rFonts w:ascii="Times New Roman" w:eastAsiaTheme="minorEastAsia"/>
          <w:color w:val="000000" w:themeColor="text1"/>
        </w:rPr>
        <w:t>m</w:t>
      </w:r>
      <w:r w:rsidRPr="008A2411">
        <w:rPr>
          <w:rFonts w:ascii="Times New Roman" w:eastAsiaTheme="minorEastAsia"/>
          <w:color w:val="000000" w:themeColor="text1"/>
        </w:rPr>
        <w:t>）。</w:t>
      </w:r>
    </w:p>
    <w:p w14:paraId="4C5CD98F" w14:textId="77777777" w:rsidR="00B0005F" w:rsidRPr="008A2411" w:rsidRDefault="00000000">
      <w:pPr>
        <w:adjustRightInd w:val="0"/>
        <w:snapToGrid w:val="0"/>
        <w:spacing w:line="360" w:lineRule="auto"/>
        <w:ind w:firstLine="480"/>
        <w:rPr>
          <w:rFonts w:ascii="Times New Roman" w:eastAsiaTheme="minorEastAsia"/>
          <w:color w:val="000000" w:themeColor="text1"/>
        </w:rPr>
      </w:pPr>
      <w:r w:rsidRPr="008A2411">
        <w:rPr>
          <w:rFonts w:ascii="Times New Roman" w:eastAsiaTheme="minorEastAsia"/>
          <w:color w:val="000000" w:themeColor="text1"/>
        </w:rPr>
        <w:t>包气带渗水试验成果统计见表</w:t>
      </w:r>
      <w:r w:rsidRPr="008A2411">
        <w:rPr>
          <w:rFonts w:ascii="Times New Roman" w:eastAsiaTheme="minorEastAsia"/>
          <w:color w:val="000000" w:themeColor="text1"/>
        </w:rPr>
        <w:t>10-18</w:t>
      </w:r>
      <w:r w:rsidRPr="008A2411">
        <w:rPr>
          <w:rFonts w:ascii="Times New Roman" w:eastAsiaTheme="minorEastAsia"/>
          <w:color w:val="000000" w:themeColor="text1"/>
        </w:rPr>
        <w:t>。根据统计结果，本项目区粉质粘土渗透系数介于</w:t>
      </w:r>
      <w:r w:rsidRPr="008A2411">
        <w:rPr>
          <w:rFonts w:ascii="Times New Roman" w:eastAsiaTheme="minorEastAsia"/>
          <w:color w:val="000000" w:themeColor="text1"/>
        </w:rPr>
        <w:t>9.47×10</w:t>
      </w:r>
      <w:r w:rsidRPr="008A2411">
        <w:rPr>
          <w:rFonts w:ascii="Times New Roman" w:eastAsiaTheme="minorEastAsia"/>
          <w:color w:val="000000" w:themeColor="text1"/>
          <w:vertAlign w:val="superscript"/>
        </w:rPr>
        <w:t>-5</w:t>
      </w:r>
      <w:r w:rsidRPr="008A2411">
        <w:rPr>
          <w:rFonts w:ascii="Times New Roman" w:eastAsiaTheme="minorEastAsia"/>
          <w:color w:val="000000" w:themeColor="text1"/>
        </w:rPr>
        <w:t>～</w:t>
      </w:r>
      <w:r w:rsidRPr="008A2411">
        <w:rPr>
          <w:rFonts w:ascii="Times New Roman" w:eastAsiaTheme="minorEastAsia"/>
          <w:bCs/>
          <w:color w:val="000000" w:themeColor="text1"/>
        </w:rPr>
        <w:t>1.49</w:t>
      </w:r>
      <w:r w:rsidRPr="008A2411">
        <w:rPr>
          <w:rFonts w:ascii="Times New Roman" w:eastAsiaTheme="minorEastAsia"/>
          <w:color w:val="000000" w:themeColor="text1"/>
        </w:rPr>
        <w:t>×10</w:t>
      </w:r>
      <w:r w:rsidRPr="008A2411">
        <w:rPr>
          <w:rFonts w:ascii="Times New Roman" w:eastAsiaTheme="minorEastAsia"/>
          <w:color w:val="000000" w:themeColor="text1"/>
          <w:vertAlign w:val="superscript"/>
        </w:rPr>
        <w:t>-4</w:t>
      </w:r>
      <w:r w:rsidRPr="008A2411">
        <w:rPr>
          <w:rFonts w:ascii="Times New Roman" w:eastAsiaTheme="minorEastAsia"/>
          <w:color w:val="000000" w:themeColor="text1"/>
        </w:rPr>
        <w:t>cm/s</w:t>
      </w:r>
      <w:r w:rsidRPr="008A2411">
        <w:rPr>
          <w:rFonts w:ascii="Times New Roman" w:eastAsiaTheme="minorEastAsia"/>
          <w:color w:val="000000" w:themeColor="text1"/>
        </w:rPr>
        <w:t>。</w:t>
      </w:r>
    </w:p>
    <w:p w14:paraId="211329E7" w14:textId="77777777" w:rsidR="00B0005F" w:rsidRPr="008A2411" w:rsidRDefault="00000000">
      <w:pPr>
        <w:pStyle w:val="affffffff7"/>
        <w:adjustRightInd w:val="0"/>
        <w:snapToGrid w:val="0"/>
        <w:spacing w:beforeLines="0" w:before="0" w:afterLines="0" w:after="0" w:line="240" w:lineRule="auto"/>
        <w:ind w:firstLine="363"/>
        <w:rPr>
          <w:color w:val="000000" w:themeColor="text1"/>
        </w:rPr>
      </w:pPr>
      <w:r w:rsidRPr="008A2411">
        <w:rPr>
          <w:color w:val="000000" w:themeColor="text1"/>
        </w:rPr>
        <w:t>表</w:t>
      </w:r>
      <w:r w:rsidRPr="008A2411">
        <w:rPr>
          <w:color w:val="000000" w:themeColor="text1"/>
        </w:rPr>
        <w:t xml:space="preserve">5.2-28  </w:t>
      </w:r>
      <w:r w:rsidRPr="008A2411">
        <w:rPr>
          <w:color w:val="000000" w:themeColor="text1"/>
        </w:rPr>
        <w:t>坑式渗水试验结果统计</w:t>
      </w:r>
    </w:p>
    <w:tbl>
      <w:tblPr>
        <w:tblW w:w="5000" w:type="pct"/>
        <w:tblLayout w:type="fixed"/>
        <w:tblLook w:val="04A0" w:firstRow="1" w:lastRow="0" w:firstColumn="1" w:lastColumn="0" w:noHBand="0" w:noVBand="1"/>
      </w:tblPr>
      <w:tblGrid>
        <w:gridCol w:w="676"/>
        <w:gridCol w:w="1099"/>
        <w:gridCol w:w="1033"/>
        <w:gridCol w:w="972"/>
        <w:gridCol w:w="989"/>
        <w:gridCol w:w="966"/>
        <w:gridCol w:w="1120"/>
        <w:gridCol w:w="881"/>
        <w:gridCol w:w="786"/>
      </w:tblGrid>
      <w:tr w:rsidR="008A2411" w:rsidRPr="008A2411" w14:paraId="4A1E19CE" w14:textId="77777777">
        <w:trPr>
          <w:trHeight w:val="600"/>
        </w:trPr>
        <w:tc>
          <w:tcPr>
            <w:tcW w:w="397" w:type="pct"/>
            <w:tcBorders>
              <w:top w:val="single" w:sz="4" w:space="0" w:color="auto"/>
              <w:left w:val="single" w:sz="4" w:space="0" w:color="auto"/>
              <w:bottom w:val="single" w:sz="4" w:space="0" w:color="auto"/>
              <w:right w:val="single" w:sz="4" w:space="0" w:color="auto"/>
            </w:tcBorders>
            <w:shd w:val="clear" w:color="auto" w:fill="auto"/>
            <w:vAlign w:val="center"/>
          </w:tcPr>
          <w:p w14:paraId="773B4C6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试验点</w:t>
            </w:r>
          </w:p>
        </w:tc>
        <w:tc>
          <w:tcPr>
            <w:tcW w:w="645" w:type="pct"/>
            <w:tcBorders>
              <w:top w:val="single" w:sz="4" w:space="0" w:color="auto"/>
              <w:left w:val="nil"/>
              <w:bottom w:val="single" w:sz="4" w:space="0" w:color="auto"/>
              <w:right w:val="single" w:sz="4" w:space="0" w:color="auto"/>
            </w:tcBorders>
            <w:shd w:val="clear" w:color="auto" w:fill="auto"/>
            <w:vAlign w:val="center"/>
          </w:tcPr>
          <w:p w14:paraId="38EFAC5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土体名称</w:t>
            </w:r>
          </w:p>
        </w:tc>
        <w:tc>
          <w:tcPr>
            <w:tcW w:w="606" w:type="pct"/>
            <w:tcBorders>
              <w:top w:val="single" w:sz="4" w:space="0" w:color="auto"/>
              <w:left w:val="nil"/>
              <w:bottom w:val="single" w:sz="4" w:space="0" w:color="auto"/>
              <w:right w:val="single" w:sz="4" w:space="0" w:color="auto"/>
            </w:tcBorders>
            <w:shd w:val="clear" w:color="auto" w:fill="auto"/>
            <w:vAlign w:val="center"/>
          </w:tcPr>
          <w:p w14:paraId="5DB36F0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Q</w:t>
            </w:r>
            <w:r w:rsidRPr="008A2411">
              <w:rPr>
                <w:rFonts w:ascii="Times New Roman"/>
                <w:color w:val="000000" w:themeColor="text1"/>
              </w:rPr>
              <w:t>稳定流量（</w:t>
            </w:r>
            <w:r w:rsidRPr="008A2411">
              <w:rPr>
                <w:rFonts w:ascii="Times New Roman"/>
                <w:color w:val="000000" w:themeColor="text1"/>
              </w:rPr>
              <w:t>m</w:t>
            </w:r>
            <w:r w:rsidRPr="008A2411">
              <w:rPr>
                <w:rFonts w:ascii="Times New Roman"/>
                <w:color w:val="000000" w:themeColor="text1"/>
                <w:vertAlign w:val="superscript"/>
              </w:rPr>
              <w:t>3</w:t>
            </w:r>
            <w:r w:rsidRPr="008A2411">
              <w:rPr>
                <w:rFonts w:ascii="Times New Roman"/>
                <w:color w:val="000000" w:themeColor="text1"/>
              </w:rPr>
              <w:t>/d</w:t>
            </w:r>
            <w:r w:rsidRPr="008A2411">
              <w:rPr>
                <w:rFonts w:ascii="Times New Roman"/>
                <w:color w:val="000000" w:themeColor="text1"/>
              </w:rPr>
              <w:t>）</w:t>
            </w:r>
          </w:p>
        </w:tc>
        <w:tc>
          <w:tcPr>
            <w:tcW w:w="570" w:type="pct"/>
            <w:tcBorders>
              <w:top w:val="single" w:sz="4" w:space="0" w:color="auto"/>
              <w:left w:val="nil"/>
              <w:bottom w:val="single" w:sz="4" w:space="0" w:color="auto"/>
              <w:right w:val="single" w:sz="4" w:space="0" w:color="auto"/>
            </w:tcBorders>
            <w:shd w:val="clear" w:color="auto" w:fill="auto"/>
            <w:vAlign w:val="center"/>
          </w:tcPr>
          <w:p w14:paraId="47B74F3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l</w:t>
            </w:r>
            <w:r w:rsidRPr="008A2411">
              <w:rPr>
                <w:rFonts w:ascii="Times New Roman"/>
                <w:color w:val="000000" w:themeColor="text1"/>
              </w:rPr>
              <w:t>渗透深度（</w:t>
            </w:r>
            <w:r w:rsidRPr="008A2411">
              <w:rPr>
                <w:rFonts w:ascii="Times New Roman"/>
                <w:color w:val="000000" w:themeColor="text1"/>
              </w:rPr>
              <w:t>m</w:t>
            </w:r>
            <w:r w:rsidRPr="008A2411">
              <w:rPr>
                <w:rFonts w:ascii="Times New Roman"/>
                <w:color w:val="000000" w:themeColor="text1"/>
              </w:rPr>
              <w:t>）</w:t>
            </w:r>
          </w:p>
        </w:tc>
        <w:tc>
          <w:tcPr>
            <w:tcW w:w="580" w:type="pct"/>
            <w:tcBorders>
              <w:top w:val="single" w:sz="4" w:space="0" w:color="auto"/>
              <w:left w:val="nil"/>
              <w:bottom w:val="single" w:sz="4" w:space="0" w:color="auto"/>
              <w:right w:val="single" w:sz="4" w:space="0" w:color="auto"/>
            </w:tcBorders>
            <w:shd w:val="clear" w:color="auto" w:fill="auto"/>
            <w:vAlign w:val="center"/>
          </w:tcPr>
          <w:p w14:paraId="5E65B0A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毛细压力（</w:t>
            </w:r>
            <w:r w:rsidRPr="008A2411">
              <w:rPr>
                <w:rFonts w:ascii="Times New Roman"/>
                <w:color w:val="000000" w:themeColor="text1"/>
              </w:rPr>
              <w:t>m</w:t>
            </w:r>
            <w:r w:rsidRPr="008A2411">
              <w:rPr>
                <w:rFonts w:ascii="Times New Roman"/>
                <w:color w:val="000000" w:themeColor="text1"/>
              </w:rPr>
              <w:t>）</w:t>
            </w:r>
          </w:p>
        </w:tc>
        <w:tc>
          <w:tcPr>
            <w:tcW w:w="567" w:type="pct"/>
            <w:tcBorders>
              <w:top w:val="single" w:sz="4" w:space="0" w:color="auto"/>
              <w:left w:val="nil"/>
              <w:bottom w:val="single" w:sz="4" w:space="0" w:color="auto"/>
              <w:right w:val="single" w:sz="4" w:space="0" w:color="auto"/>
            </w:tcBorders>
            <w:shd w:val="clear" w:color="auto" w:fill="auto"/>
            <w:vAlign w:val="center"/>
          </w:tcPr>
          <w:p w14:paraId="7E36530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渗透系数</w:t>
            </w:r>
            <w:r w:rsidRPr="008A2411">
              <w:rPr>
                <w:rFonts w:ascii="Times New Roman"/>
                <w:color w:val="000000" w:themeColor="text1"/>
              </w:rPr>
              <w:t>(m/d)</w:t>
            </w:r>
          </w:p>
        </w:tc>
        <w:tc>
          <w:tcPr>
            <w:tcW w:w="657" w:type="pct"/>
            <w:tcBorders>
              <w:top w:val="single" w:sz="4" w:space="0" w:color="auto"/>
              <w:left w:val="nil"/>
              <w:bottom w:val="single" w:sz="4" w:space="0" w:color="auto"/>
              <w:right w:val="single" w:sz="4" w:space="0" w:color="auto"/>
            </w:tcBorders>
            <w:shd w:val="clear" w:color="auto" w:fill="auto"/>
            <w:vAlign w:val="center"/>
          </w:tcPr>
          <w:p w14:paraId="051B158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K</w:t>
            </w:r>
            <w:r w:rsidRPr="008A2411">
              <w:rPr>
                <w:rFonts w:ascii="Times New Roman"/>
                <w:color w:val="000000" w:themeColor="text1"/>
              </w:rPr>
              <w:t>渗透系数</w:t>
            </w:r>
            <w:r w:rsidRPr="008A2411">
              <w:rPr>
                <w:rFonts w:ascii="Times New Roman"/>
                <w:color w:val="000000" w:themeColor="text1"/>
              </w:rPr>
              <w:t>(cm/s)</w:t>
            </w:r>
          </w:p>
        </w:tc>
        <w:tc>
          <w:tcPr>
            <w:tcW w:w="517" w:type="pct"/>
            <w:tcBorders>
              <w:top w:val="single" w:sz="4" w:space="0" w:color="auto"/>
              <w:left w:val="nil"/>
              <w:bottom w:val="single" w:sz="4" w:space="0" w:color="auto"/>
              <w:right w:val="single" w:sz="4" w:space="0" w:color="auto"/>
            </w:tcBorders>
            <w:shd w:val="clear" w:color="auto" w:fill="auto"/>
            <w:vAlign w:val="center"/>
          </w:tcPr>
          <w:p w14:paraId="7B15662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F</w:t>
            </w:r>
            <w:r w:rsidRPr="008A2411">
              <w:rPr>
                <w:rFonts w:ascii="Times New Roman"/>
                <w:color w:val="000000" w:themeColor="text1"/>
              </w:rPr>
              <w:t>（</w:t>
            </w:r>
            <w:r w:rsidRPr="008A2411">
              <w:rPr>
                <w:rFonts w:ascii="Times New Roman"/>
                <w:color w:val="000000" w:themeColor="text1"/>
              </w:rPr>
              <w:t>m</w:t>
            </w:r>
            <w:r w:rsidRPr="008A2411">
              <w:rPr>
                <w:rFonts w:ascii="Times New Roman"/>
                <w:color w:val="000000" w:themeColor="text1"/>
                <w:vertAlign w:val="superscript"/>
              </w:rPr>
              <w:t>2</w:t>
            </w:r>
            <w:r w:rsidRPr="008A2411">
              <w:rPr>
                <w:rFonts w:ascii="Times New Roman"/>
                <w:color w:val="000000" w:themeColor="text1"/>
              </w:rPr>
              <w:t>）</w:t>
            </w:r>
          </w:p>
        </w:tc>
        <w:tc>
          <w:tcPr>
            <w:tcW w:w="461" w:type="pct"/>
            <w:tcBorders>
              <w:top w:val="single" w:sz="4" w:space="0" w:color="auto"/>
              <w:left w:val="nil"/>
              <w:bottom w:val="single" w:sz="4" w:space="0" w:color="auto"/>
              <w:right w:val="single" w:sz="4" w:space="0" w:color="auto"/>
            </w:tcBorders>
            <w:shd w:val="clear" w:color="auto" w:fill="auto"/>
            <w:vAlign w:val="center"/>
          </w:tcPr>
          <w:p w14:paraId="7EFCFA5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Z</w:t>
            </w:r>
            <w:r w:rsidRPr="008A2411">
              <w:rPr>
                <w:rFonts w:ascii="Times New Roman"/>
                <w:color w:val="000000" w:themeColor="text1"/>
              </w:rPr>
              <w:t>（</w:t>
            </w:r>
            <w:r w:rsidRPr="008A2411">
              <w:rPr>
                <w:rFonts w:ascii="Times New Roman"/>
                <w:color w:val="000000" w:themeColor="text1"/>
              </w:rPr>
              <w:t>m</w:t>
            </w:r>
            <w:r w:rsidRPr="008A2411">
              <w:rPr>
                <w:rFonts w:ascii="Times New Roman"/>
                <w:color w:val="000000" w:themeColor="text1"/>
              </w:rPr>
              <w:t>）</w:t>
            </w:r>
          </w:p>
        </w:tc>
      </w:tr>
      <w:tr w:rsidR="008A2411" w:rsidRPr="008A2411" w14:paraId="42E27B7F" w14:textId="77777777">
        <w:trPr>
          <w:trHeight w:val="270"/>
        </w:trPr>
        <w:tc>
          <w:tcPr>
            <w:tcW w:w="397" w:type="pct"/>
            <w:tcBorders>
              <w:top w:val="nil"/>
              <w:left w:val="single" w:sz="4" w:space="0" w:color="auto"/>
              <w:bottom w:val="single" w:sz="4" w:space="0" w:color="auto"/>
              <w:right w:val="single" w:sz="4" w:space="0" w:color="auto"/>
            </w:tcBorders>
            <w:shd w:val="clear" w:color="auto" w:fill="auto"/>
            <w:vAlign w:val="center"/>
          </w:tcPr>
          <w:p w14:paraId="7FD0C11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SK1</w:t>
            </w:r>
          </w:p>
        </w:tc>
        <w:tc>
          <w:tcPr>
            <w:tcW w:w="645" w:type="pct"/>
            <w:tcBorders>
              <w:top w:val="nil"/>
              <w:left w:val="nil"/>
              <w:bottom w:val="single" w:sz="4" w:space="0" w:color="auto"/>
              <w:right w:val="single" w:sz="4" w:space="0" w:color="auto"/>
            </w:tcBorders>
            <w:shd w:val="clear" w:color="auto" w:fill="auto"/>
            <w:vAlign w:val="center"/>
          </w:tcPr>
          <w:p w14:paraId="068C4D4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粉质粘土</w:t>
            </w:r>
          </w:p>
        </w:tc>
        <w:tc>
          <w:tcPr>
            <w:tcW w:w="606" w:type="pct"/>
            <w:tcBorders>
              <w:top w:val="nil"/>
              <w:left w:val="nil"/>
              <w:bottom w:val="single" w:sz="4" w:space="0" w:color="auto"/>
              <w:right w:val="single" w:sz="4" w:space="0" w:color="auto"/>
            </w:tcBorders>
            <w:shd w:val="clear" w:color="auto" w:fill="auto"/>
            <w:vAlign w:val="center"/>
          </w:tcPr>
          <w:p w14:paraId="4F7C453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0.0126</w:t>
            </w:r>
          </w:p>
        </w:tc>
        <w:tc>
          <w:tcPr>
            <w:tcW w:w="570" w:type="pct"/>
            <w:tcBorders>
              <w:top w:val="nil"/>
              <w:left w:val="nil"/>
              <w:bottom w:val="single" w:sz="4" w:space="0" w:color="auto"/>
              <w:right w:val="single" w:sz="4" w:space="0" w:color="auto"/>
            </w:tcBorders>
            <w:shd w:val="clear" w:color="auto" w:fill="auto"/>
            <w:vAlign w:val="center"/>
          </w:tcPr>
          <w:p w14:paraId="6D7885A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0.42</w:t>
            </w:r>
          </w:p>
        </w:tc>
        <w:tc>
          <w:tcPr>
            <w:tcW w:w="580" w:type="pct"/>
            <w:tcBorders>
              <w:top w:val="nil"/>
              <w:left w:val="nil"/>
              <w:bottom w:val="single" w:sz="4" w:space="0" w:color="auto"/>
              <w:right w:val="single" w:sz="4" w:space="0" w:color="auto"/>
            </w:tcBorders>
            <w:shd w:val="clear" w:color="auto" w:fill="auto"/>
            <w:vAlign w:val="center"/>
          </w:tcPr>
          <w:p w14:paraId="43AC51B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0.8</w:t>
            </w:r>
          </w:p>
        </w:tc>
        <w:tc>
          <w:tcPr>
            <w:tcW w:w="567" w:type="pct"/>
            <w:tcBorders>
              <w:top w:val="nil"/>
              <w:left w:val="nil"/>
              <w:bottom w:val="single" w:sz="4" w:space="0" w:color="auto"/>
              <w:right w:val="single" w:sz="4" w:space="0" w:color="auto"/>
            </w:tcBorders>
            <w:shd w:val="clear" w:color="auto" w:fill="auto"/>
            <w:vAlign w:val="center"/>
          </w:tcPr>
          <w:p w14:paraId="44C8225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0.082 </w:t>
            </w:r>
          </w:p>
        </w:tc>
        <w:tc>
          <w:tcPr>
            <w:tcW w:w="657" w:type="pct"/>
            <w:tcBorders>
              <w:top w:val="nil"/>
              <w:left w:val="nil"/>
              <w:bottom w:val="single" w:sz="4" w:space="0" w:color="auto"/>
              <w:right w:val="single" w:sz="4" w:space="0" w:color="auto"/>
            </w:tcBorders>
            <w:shd w:val="clear" w:color="auto" w:fill="auto"/>
            <w:vAlign w:val="center"/>
          </w:tcPr>
          <w:p w14:paraId="4CDB22C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9.47E-05</w:t>
            </w:r>
          </w:p>
        </w:tc>
        <w:tc>
          <w:tcPr>
            <w:tcW w:w="517" w:type="pct"/>
            <w:tcBorders>
              <w:top w:val="nil"/>
              <w:left w:val="nil"/>
              <w:bottom w:val="single" w:sz="4" w:space="0" w:color="auto"/>
              <w:right w:val="single" w:sz="4" w:space="0" w:color="auto"/>
            </w:tcBorders>
            <w:shd w:val="clear" w:color="auto" w:fill="auto"/>
            <w:vAlign w:val="center"/>
          </w:tcPr>
          <w:p w14:paraId="0DD2E43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0.049</w:t>
            </w:r>
          </w:p>
        </w:tc>
        <w:tc>
          <w:tcPr>
            <w:tcW w:w="461" w:type="pct"/>
            <w:tcBorders>
              <w:top w:val="nil"/>
              <w:left w:val="nil"/>
              <w:bottom w:val="single" w:sz="4" w:space="0" w:color="auto"/>
              <w:right w:val="single" w:sz="4" w:space="0" w:color="auto"/>
            </w:tcBorders>
            <w:shd w:val="clear" w:color="auto" w:fill="auto"/>
            <w:vAlign w:val="center"/>
          </w:tcPr>
          <w:p w14:paraId="6E8A18B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0.1</w:t>
            </w:r>
          </w:p>
        </w:tc>
      </w:tr>
      <w:tr w:rsidR="00B0005F" w:rsidRPr="008A2411" w14:paraId="22181F3F" w14:textId="77777777">
        <w:trPr>
          <w:trHeight w:val="270"/>
        </w:trPr>
        <w:tc>
          <w:tcPr>
            <w:tcW w:w="397" w:type="pct"/>
            <w:tcBorders>
              <w:top w:val="nil"/>
              <w:left w:val="single" w:sz="4" w:space="0" w:color="auto"/>
              <w:bottom w:val="single" w:sz="4" w:space="0" w:color="auto"/>
              <w:right w:val="single" w:sz="4" w:space="0" w:color="auto"/>
            </w:tcBorders>
            <w:shd w:val="clear" w:color="auto" w:fill="auto"/>
            <w:vAlign w:val="center"/>
          </w:tcPr>
          <w:p w14:paraId="05A8835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SK2</w:t>
            </w:r>
          </w:p>
        </w:tc>
        <w:tc>
          <w:tcPr>
            <w:tcW w:w="645" w:type="pct"/>
            <w:tcBorders>
              <w:top w:val="nil"/>
              <w:left w:val="nil"/>
              <w:bottom w:val="single" w:sz="4" w:space="0" w:color="auto"/>
              <w:right w:val="single" w:sz="4" w:space="0" w:color="auto"/>
            </w:tcBorders>
            <w:shd w:val="clear" w:color="auto" w:fill="auto"/>
            <w:vAlign w:val="center"/>
          </w:tcPr>
          <w:p w14:paraId="2CC3700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粉质粘土</w:t>
            </w:r>
          </w:p>
        </w:tc>
        <w:tc>
          <w:tcPr>
            <w:tcW w:w="606" w:type="pct"/>
            <w:tcBorders>
              <w:top w:val="nil"/>
              <w:left w:val="nil"/>
              <w:bottom w:val="single" w:sz="4" w:space="0" w:color="auto"/>
              <w:right w:val="single" w:sz="4" w:space="0" w:color="auto"/>
            </w:tcBorders>
            <w:shd w:val="clear" w:color="auto" w:fill="auto"/>
            <w:vAlign w:val="center"/>
          </w:tcPr>
          <w:p w14:paraId="60ADAB0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0.0208</w:t>
            </w:r>
          </w:p>
        </w:tc>
        <w:tc>
          <w:tcPr>
            <w:tcW w:w="570" w:type="pct"/>
            <w:tcBorders>
              <w:top w:val="nil"/>
              <w:left w:val="nil"/>
              <w:bottom w:val="single" w:sz="4" w:space="0" w:color="auto"/>
              <w:right w:val="single" w:sz="4" w:space="0" w:color="auto"/>
            </w:tcBorders>
            <w:shd w:val="clear" w:color="auto" w:fill="auto"/>
            <w:vAlign w:val="center"/>
          </w:tcPr>
          <w:p w14:paraId="01885B9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0.39</w:t>
            </w:r>
          </w:p>
        </w:tc>
        <w:tc>
          <w:tcPr>
            <w:tcW w:w="580" w:type="pct"/>
            <w:tcBorders>
              <w:top w:val="nil"/>
              <w:left w:val="nil"/>
              <w:bottom w:val="single" w:sz="4" w:space="0" w:color="auto"/>
              <w:right w:val="single" w:sz="4" w:space="0" w:color="auto"/>
            </w:tcBorders>
            <w:shd w:val="clear" w:color="auto" w:fill="auto"/>
            <w:vAlign w:val="center"/>
          </w:tcPr>
          <w:p w14:paraId="672E23A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0.8</w:t>
            </w:r>
          </w:p>
        </w:tc>
        <w:tc>
          <w:tcPr>
            <w:tcW w:w="567" w:type="pct"/>
            <w:tcBorders>
              <w:top w:val="nil"/>
              <w:left w:val="nil"/>
              <w:bottom w:val="single" w:sz="4" w:space="0" w:color="auto"/>
              <w:right w:val="single" w:sz="4" w:space="0" w:color="auto"/>
            </w:tcBorders>
            <w:shd w:val="clear" w:color="auto" w:fill="auto"/>
            <w:vAlign w:val="center"/>
          </w:tcPr>
          <w:p w14:paraId="701A337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0.128 </w:t>
            </w:r>
          </w:p>
        </w:tc>
        <w:tc>
          <w:tcPr>
            <w:tcW w:w="657" w:type="pct"/>
            <w:tcBorders>
              <w:top w:val="nil"/>
              <w:left w:val="nil"/>
              <w:bottom w:val="single" w:sz="4" w:space="0" w:color="auto"/>
              <w:right w:val="single" w:sz="4" w:space="0" w:color="auto"/>
            </w:tcBorders>
            <w:shd w:val="clear" w:color="auto" w:fill="auto"/>
            <w:vAlign w:val="center"/>
          </w:tcPr>
          <w:p w14:paraId="3835C00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1.49E-04</w:t>
            </w:r>
          </w:p>
        </w:tc>
        <w:tc>
          <w:tcPr>
            <w:tcW w:w="517" w:type="pct"/>
            <w:tcBorders>
              <w:top w:val="nil"/>
              <w:left w:val="nil"/>
              <w:bottom w:val="single" w:sz="4" w:space="0" w:color="auto"/>
              <w:right w:val="single" w:sz="4" w:space="0" w:color="auto"/>
            </w:tcBorders>
            <w:shd w:val="clear" w:color="auto" w:fill="auto"/>
            <w:vAlign w:val="center"/>
          </w:tcPr>
          <w:p w14:paraId="0114142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0.049</w:t>
            </w:r>
          </w:p>
        </w:tc>
        <w:tc>
          <w:tcPr>
            <w:tcW w:w="461" w:type="pct"/>
            <w:tcBorders>
              <w:top w:val="nil"/>
              <w:left w:val="nil"/>
              <w:bottom w:val="single" w:sz="4" w:space="0" w:color="auto"/>
              <w:right w:val="single" w:sz="4" w:space="0" w:color="auto"/>
            </w:tcBorders>
            <w:shd w:val="clear" w:color="auto" w:fill="auto"/>
            <w:vAlign w:val="center"/>
          </w:tcPr>
          <w:p w14:paraId="7A54CBB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0.1</w:t>
            </w:r>
          </w:p>
        </w:tc>
      </w:tr>
    </w:tbl>
    <w:p w14:paraId="12738B55" w14:textId="77777777" w:rsidR="00B0005F" w:rsidRPr="008A2411" w:rsidRDefault="00B0005F">
      <w:pPr>
        <w:adjustRightInd w:val="0"/>
        <w:spacing w:line="360" w:lineRule="auto"/>
        <w:ind w:firstLine="361"/>
        <w:rPr>
          <w:rFonts w:ascii="Times New Roman"/>
          <w:b/>
          <w:bCs/>
          <w:color w:val="000000" w:themeColor="text1"/>
        </w:rPr>
      </w:pPr>
    </w:p>
    <w:p w14:paraId="75B4EE61" w14:textId="77777777" w:rsidR="00B0005F" w:rsidRPr="008A2411" w:rsidRDefault="00000000">
      <w:pPr>
        <w:adjustRightInd w:val="0"/>
        <w:spacing w:line="360" w:lineRule="auto"/>
        <w:ind w:firstLine="361"/>
        <w:rPr>
          <w:rFonts w:ascii="Times New Roman"/>
          <w:b/>
          <w:bCs/>
          <w:color w:val="000000" w:themeColor="text1"/>
        </w:rPr>
      </w:pPr>
      <w:r w:rsidRPr="008A2411">
        <w:rPr>
          <w:rFonts w:ascii="Times New Roman"/>
          <w:b/>
          <w:bCs/>
          <w:color w:val="000000" w:themeColor="text1"/>
        </w:rPr>
        <w:t>7</w:t>
      </w:r>
      <w:r w:rsidRPr="008A2411">
        <w:rPr>
          <w:rFonts w:ascii="Times New Roman"/>
          <w:b/>
          <w:bCs/>
          <w:color w:val="000000" w:themeColor="text1"/>
        </w:rPr>
        <w:t>、地下水化学特征</w:t>
      </w:r>
    </w:p>
    <w:p w14:paraId="3929E96A"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lastRenderedPageBreak/>
        <w:t>为了查明</w:t>
      </w:r>
      <w:proofErr w:type="gramStart"/>
      <w:r w:rsidRPr="008A2411">
        <w:rPr>
          <w:rFonts w:ascii="Times New Roman"/>
          <w:color w:val="000000" w:themeColor="text1"/>
        </w:rPr>
        <w:t>评价区</w:t>
      </w:r>
      <w:proofErr w:type="gramEnd"/>
      <w:r w:rsidRPr="008A2411">
        <w:rPr>
          <w:rFonts w:ascii="Times New Roman"/>
          <w:color w:val="000000" w:themeColor="text1"/>
        </w:rPr>
        <w:t>地下水水化学特征，项目组于</w:t>
      </w:r>
      <w:r w:rsidRPr="008A2411">
        <w:rPr>
          <w:rFonts w:ascii="Times New Roman"/>
          <w:color w:val="000000" w:themeColor="text1"/>
        </w:rPr>
        <w:t>2022</w:t>
      </w:r>
      <w:r w:rsidRPr="008A2411">
        <w:rPr>
          <w:rFonts w:ascii="Times New Roman"/>
          <w:color w:val="000000" w:themeColor="text1"/>
        </w:rPr>
        <w:t>年</w:t>
      </w:r>
      <w:r w:rsidRPr="008A2411">
        <w:rPr>
          <w:rFonts w:ascii="Times New Roman"/>
          <w:color w:val="000000" w:themeColor="text1"/>
        </w:rPr>
        <w:t>4</w:t>
      </w:r>
      <w:r w:rsidRPr="008A2411">
        <w:rPr>
          <w:rFonts w:ascii="Times New Roman"/>
          <w:color w:val="000000" w:themeColor="text1"/>
        </w:rPr>
        <w:t>月于</w:t>
      </w:r>
      <w:proofErr w:type="gramStart"/>
      <w:r w:rsidRPr="008A2411">
        <w:rPr>
          <w:rFonts w:ascii="Times New Roman"/>
          <w:color w:val="000000" w:themeColor="text1"/>
        </w:rPr>
        <w:t>评价区</w:t>
      </w:r>
      <w:proofErr w:type="gramEnd"/>
      <w:r w:rsidRPr="008A2411">
        <w:rPr>
          <w:rFonts w:ascii="Times New Roman"/>
          <w:color w:val="000000" w:themeColor="text1"/>
        </w:rPr>
        <w:t>取得</w:t>
      </w:r>
      <w:r w:rsidRPr="008A2411">
        <w:rPr>
          <w:rFonts w:ascii="Times New Roman"/>
          <w:color w:val="000000" w:themeColor="text1"/>
        </w:rPr>
        <w:t>5</w:t>
      </w:r>
      <w:r w:rsidRPr="008A2411">
        <w:rPr>
          <w:rFonts w:ascii="Times New Roman"/>
          <w:color w:val="000000" w:themeColor="text1"/>
        </w:rPr>
        <w:t>组水样，并对其地下水宏量组分进行了检测分析。根据分析结果（表</w:t>
      </w:r>
      <w:r w:rsidRPr="008A2411">
        <w:rPr>
          <w:rFonts w:ascii="Times New Roman"/>
          <w:color w:val="000000" w:themeColor="text1"/>
        </w:rPr>
        <w:t>10-19</w:t>
      </w:r>
      <w:r w:rsidRPr="008A2411">
        <w:rPr>
          <w:rFonts w:ascii="Times New Roman"/>
          <w:color w:val="000000" w:themeColor="text1"/>
        </w:rPr>
        <w:t>），</w:t>
      </w:r>
      <w:proofErr w:type="gramStart"/>
      <w:r w:rsidRPr="008A2411">
        <w:rPr>
          <w:rFonts w:ascii="Times New Roman"/>
          <w:color w:val="000000" w:themeColor="text1"/>
        </w:rPr>
        <w:t>评价区</w:t>
      </w:r>
      <w:proofErr w:type="gramEnd"/>
      <w:r w:rsidRPr="008A2411">
        <w:rPr>
          <w:rFonts w:ascii="Times New Roman"/>
          <w:color w:val="000000" w:themeColor="text1"/>
        </w:rPr>
        <w:t>地下水</w:t>
      </w:r>
      <w:r w:rsidRPr="008A2411">
        <w:rPr>
          <w:rFonts w:ascii="Times New Roman"/>
          <w:color w:val="000000" w:themeColor="text1"/>
        </w:rPr>
        <w:t>pH</w:t>
      </w:r>
      <w:r w:rsidRPr="008A2411">
        <w:rPr>
          <w:rFonts w:ascii="Times New Roman"/>
          <w:color w:val="000000" w:themeColor="text1"/>
        </w:rPr>
        <w:t>值介于</w:t>
      </w:r>
      <w:r w:rsidRPr="008A2411">
        <w:rPr>
          <w:rFonts w:ascii="Times New Roman"/>
          <w:color w:val="000000" w:themeColor="text1"/>
        </w:rPr>
        <w:t>7.3</w:t>
      </w:r>
      <w:r w:rsidRPr="008A2411">
        <w:rPr>
          <w:rFonts w:ascii="Times New Roman"/>
          <w:color w:val="000000" w:themeColor="text1"/>
        </w:rPr>
        <w:t>～</w:t>
      </w:r>
      <w:r w:rsidRPr="008A2411">
        <w:rPr>
          <w:rFonts w:ascii="Times New Roman"/>
          <w:color w:val="000000" w:themeColor="text1"/>
        </w:rPr>
        <w:t>7.7</w:t>
      </w:r>
      <w:r w:rsidRPr="008A2411">
        <w:rPr>
          <w:rFonts w:ascii="Times New Roman"/>
          <w:color w:val="000000" w:themeColor="text1"/>
        </w:rPr>
        <w:t>之间，矿化度介于</w:t>
      </w:r>
      <w:r w:rsidRPr="008A2411">
        <w:rPr>
          <w:rFonts w:ascii="Times New Roman"/>
          <w:color w:val="000000" w:themeColor="text1"/>
        </w:rPr>
        <w:t>461</w:t>
      </w:r>
      <w:r w:rsidRPr="008A2411">
        <w:rPr>
          <w:rFonts w:ascii="Times New Roman"/>
          <w:color w:val="000000" w:themeColor="text1"/>
        </w:rPr>
        <w:t>～</w:t>
      </w:r>
      <w:r w:rsidRPr="008A2411">
        <w:rPr>
          <w:rFonts w:ascii="Times New Roman"/>
          <w:color w:val="000000" w:themeColor="text1"/>
        </w:rPr>
        <w:t>635mg/L</w:t>
      </w:r>
      <w:r w:rsidRPr="008A2411">
        <w:rPr>
          <w:rFonts w:ascii="Times New Roman"/>
          <w:color w:val="000000" w:themeColor="text1"/>
        </w:rPr>
        <w:t>，属低矿化度水。本次取得水样中主要阳离子为</w:t>
      </w:r>
      <w:r w:rsidRPr="008A2411">
        <w:rPr>
          <w:rFonts w:ascii="Times New Roman"/>
          <w:color w:val="000000" w:themeColor="text1"/>
        </w:rPr>
        <w:t>Ca</w:t>
      </w:r>
      <w:r w:rsidRPr="008A2411">
        <w:rPr>
          <w:rFonts w:ascii="Times New Roman"/>
          <w:color w:val="000000" w:themeColor="text1"/>
          <w:vertAlign w:val="superscript"/>
        </w:rPr>
        <w:t>2+</w:t>
      </w:r>
      <w:r w:rsidRPr="008A2411">
        <w:rPr>
          <w:rFonts w:ascii="Times New Roman"/>
          <w:color w:val="000000" w:themeColor="text1"/>
        </w:rPr>
        <w:t>、</w:t>
      </w:r>
      <w:r w:rsidRPr="008A2411">
        <w:rPr>
          <w:rFonts w:ascii="Times New Roman"/>
          <w:color w:val="000000" w:themeColor="text1"/>
        </w:rPr>
        <w:t>Mg</w:t>
      </w:r>
      <w:r w:rsidRPr="008A2411">
        <w:rPr>
          <w:rFonts w:ascii="Times New Roman"/>
          <w:color w:val="000000" w:themeColor="text1"/>
          <w:vertAlign w:val="superscript"/>
        </w:rPr>
        <w:t>2+</w:t>
      </w:r>
      <w:r w:rsidRPr="008A2411">
        <w:rPr>
          <w:rFonts w:ascii="Times New Roman"/>
          <w:color w:val="000000" w:themeColor="text1"/>
        </w:rPr>
        <w:t>，主要阴离子为</w:t>
      </w:r>
      <w:r w:rsidRPr="008A2411">
        <w:rPr>
          <w:rFonts w:ascii="Times New Roman"/>
          <w:color w:val="000000" w:themeColor="text1"/>
        </w:rPr>
        <w:t>HCO</w:t>
      </w:r>
      <w:r w:rsidRPr="008A2411">
        <w:rPr>
          <w:rFonts w:ascii="Times New Roman"/>
          <w:color w:val="000000" w:themeColor="text1"/>
          <w:vertAlign w:val="subscript"/>
        </w:rPr>
        <w:t>3</w:t>
      </w:r>
      <w:r w:rsidRPr="008A2411">
        <w:rPr>
          <w:rFonts w:ascii="Times New Roman"/>
          <w:color w:val="000000" w:themeColor="text1"/>
          <w:vertAlign w:val="superscript"/>
        </w:rPr>
        <w:t>-</w:t>
      </w:r>
      <w:r w:rsidRPr="008A2411">
        <w:rPr>
          <w:rFonts w:ascii="Times New Roman"/>
          <w:color w:val="000000" w:themeColor="text1"/>
        </w:rPr>
        <w:t>离子，水化学类型为</w:t>
      </w:r>
      <w:r w:rsidRPr="008A2411">
        <w:rPr>
          <w:rFonts w:ascii="Times New Roman"/>
          <w:color w:val="000000" w:themeColor="text1"/>
        </w:rPr>
        <w:t>HCO</w:t>
      </w:r>
      <w:r w:rsidRPr="008A2411">
        <w:rPr>
          <w:rFonts w:ascii="Times New Roman"/>
          <w:color w:val="000000" w:themeColor="text1"/>
          <w:vertAlign w:val="subscript"/>
        </w:rPr>
        <w:t>3</w:t>
      </w:r>
      <w:r w:rsidRPr="008A2411">
        <w:rPr>
          <w:rFonts w:ascii="Times New Roman"/>
          <w:color w:val="000000" w:themeColor="text1"/>
        </w:rPr>
        <w:t xml:space="preserve"> –Ca</w:t>
      </w:r>
      <w:r w:rsidRPr="008A2411">
        <w:rPr>
          <w:rFonts w:ascii="Times New Roman"/>
          <w:color w:val="000000" w:themeColor="text1"/>
        </w:rPr>
        <w:t>（</w:t>
      </w:r>
      <w:r w:rsidRPr="008A2411">
        <w:rPr>
          <w:rFonts w:ascii="Times New Roman"/>
          <w:color w:val="000000" w:themeColor="text1"/>
        </w:rPr>
        <w:t>·Mg</w:t>
      </w:r>
      <w:r w:rsidRPr="008A2411">
        <w:rPr>
          <w:rFonts w:ascii="Times New Roman"/>
          <w:color w:val="000000" w:themeColor="text1"/>
        </w:rPr>
        <w:t>）型。</w:t>
      </w:r>
    </w:p>
    <w:p w14:paraId="17EC49D2" w14:textId="77777777" w:rsidR="00B0005F" w:rsidRPr="008A2411" w:rsidRDefault="00000000">
      <w:pPr>
        <w:pStyle w:val="affffffff7"/>
        <w:spacing w:before="60" w:after="60"/>
        <w:ind w:firstLine="360"/>
        <w:rPr>
          <w:color w:val="000000" w:themeColor="text1"/>
        </w:rPr>
      </w:pPr>
      <w:r w:rsidRPr="008A2411">
        <w:rPr>
          <w:color w:val="000000" w:themeColor="text1"/>
        </w:rPr>
        <w:t>表</w:t>
      </w:r>
      <w:r w:rsidRPr="008A2411">
        <w:rPr>
          <w:color w:val="000000" w:themeColor="text1"/>
        </w:rPr>
        <w:t xml:space="preserve">5.2-29 </w:t>
      </w:r>
      <w:r w:rsidRPr="008A2411">
        <w:rPr>
          <w:color w:val="000000" w:themeColor="text1"/>
        </w:rPr>
        <w:t>水样水化学常量组分监测结果（</w:t>
      </w:r>
      <w:r w:rsidRPr="008A2411">
        <w:rPr>
          <w:color w:val="000000" w:themeColor="text1"/>
        </w:rPr>
        <w:t>mg/L</w:t>
      </w:r>
      <w:r w:rsidRPr="008A2411">
        <w:rPr>
          <w:color w:val="000000" w:themeColor="text1"/>
        </w:rPr>
        <w:t>）</w:t>
      </w:r>
    </w:p>
    <w:tbl>
      <w:tblPr>
        <w:tblStyle w:val="affff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22"/>
      </w:tblGrid>
      <w:tr w:rsidR="008A2411" w:rsidRPr="008A2411" w14:paraId="40278D08" w14:textId="77777777">
        <w:tc>
          <w:tcPr>
            <w:tcW w:w="8522" w:type="dxa"/>
          </w:tcPr>
          <w:tbl>
            <w:tblPr>
              <w:tblW w:w="5000" w:type="pct"/>
              <w:tblLook w:val="04A0" w:firstRow="1" w:lastRow="0" w:firstColumn="1" w:lastColumn="0" w:noHBand="0" w:noVBand="1"/>
            </w:tblPr>
            <w:tblGrid>
              <w:gridCol w:w="955"/>
              <w:gridCol w:w="484"/>
              <w:gridCol w:w="551"/>
              <w:gridCol w:w="551"/>
              <w:gridCol w:w="564"/>
              <w:gridCol w:w="619"/>
              <w:gridCol w:w="551"/>
              <w:gridCol w:w="632"/>
              <w:gridCol w:w="728"/>
              <w:gridCol w:w="654"/>
              <w:gridCol w:w="577"/>
              <w:gridCol w:w="1430"/>
            </w:tblGrid>
            <w:tr w:rsidR="008A2411" w:rsidRPr="008A2411" w14:paraId="016A331E" w14:textId="77777777">
              <w:trPr>
                <w:trHeight w:val="315"/>
              </w:trPr>
              <w:tc>
                <w:tcPr>
                  <w:tcW w:w="575" w:type="pct"/>
                  <w:tcBorders>
                    <w:top w:val="single" w:sz="4" w:space="0" w:color="auto"/>
                    <w:left w:val="single" w:sz="4" w:space="0" w:color="auto"/>
                    <w:bottom w:val="single" w:sz="4" w:space="0" w:color="auto"/>
                    <w:right w:val="single" w:sz="4" w:space="0" w:color="auto"/>
                  </w:tcBorders>
                  <w:shd w:val="clear" w:color="auto" w:fill="auto"/>
                  <w:noWrap/>
                  <w:tcMar>
                    <w:left w:w="40" w:type="dxa"/>
                    <w:right w:w="40" w:type="dxa"/>
                  </w:tcMar>
                  <w:vAlign w:val="center"/>
                </w:tcPr>
                <w:p w14:paraId="5ED8CD9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监测项目</w:t>
                  </w:r>
                </w:p>
              </w:tc>
              <w:tc>
                <w:tcPr>
                  <w:tcW w:w="292"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3E54CF16"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pH</w:t>
                  </w:r>
                </w:p>
              </w:tc>
              <w:tc>
                <w:tcPr>
                  <w:tcW w:w="332"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56994AAB"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K</w:t>
                  </w:r>
                  <w:r w:rsidRPr="008A2411">
                    <w:rPr>
                      <w:rFonts w:ascii="Times New Roman"/>
                      <w:color w:val="000000" w:themeColor="text1"/>
                      <w:szCs w:val="21"/>
                      <w:vertAlign w:val="superscript"/>
                    </w:rPr>
                    <w:t>+</w:t>
                  </w:r>
                </w:p>
              </w:tc>
              <w:tc>
                <w:tcPr>
                  <w:tcW w:w="332"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51D26D7E"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Na</w:t>
                  </w:r>
                  <w:r w:rsidRPr="008A2411">
                    <w:rPr>
                      <w:rFonts w:ascii="Times New Roman"/>
                      <w:color w:val="000000" w:themeColor="text1"/>
                      <w:szCs w:val="21"/>
                      <w:vertAlign w:val="superscript"/>
                    </w:rPr>
                    <w:t>+</w:t>
                  </w:r>
                </w:p>
              </w:tc>
              <w:tc>
                <w:tcPr>
                  <w:tcW w:w="340"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10BF5FC8"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Ca</w:t>
                  </w:r>
                  <w:r w:rsidRPr="008A2411">
                    <w:rPr>
                      <w:rFonts w:ascii="Times New Roman"/>
                      <w:color w:val="000000" w:themeColor="text1"/>
                      <w:szCs w:val="21"/>
                      <w:vertAlign w:val="superscript"/>
                    </w:rPr>
                    <w:t>2+</w:t>
                  </w:r>
                </w:p>
              </w:tc>
              <w:tc>
                <w:tcPr>
                  <w:tcW w:w="373"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18CA2971"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Mg</w:t>
                  </w:r>
                  <w:r w:rsidRPr="008A2411">
                    <w:rPr>
                      <w:rFonts w:ascii="Times New Roman"/>
                      <w:color w:val="000000" w:themeColor="text1"/>
                      <w:szCs w:val="21"/>
                      <w:vertAlign w:val="superscript"/>
                    </w:rPr>
                    <w:t>2+</w:t>
                  </w:r>
                </w:p>
              </w:tc>
              <w:tc>
                <w:tcPr>
                  <w:tcW w:w="332"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1EA486DB"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Cl</w:t>
                  </w:r>
                  <w:r w:rsidRPr="008A2411">
                    <w:rPr>
                      <w:rFonts w:ascii="Times New Roman"/>
                      <w:color w:val="000000" w:themeColor="text1"/>
                      <w:szCs w:val="21"/>
                      <w:vertAlign w:val="superscript"/>
                    </w:rPr>
                    <w:t>-</w:t>
                  </w:r>
                </w:p>
              </w:tc>
              <w:tc>
                <w:tcPr>
                  <w:tcW w:w="381"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28D638E1"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SO</w:t>
                  </w:r>
                  <w:r w:rsidRPr="008A2411">
                    <w:rPr>
                      <w:rFonts w:ascii="Times New Roman"/>
                      <w:color w:val="000000" w:themeColor="text1"/>
                      <w:szCs w:val="21"/>
                      <w:vertAlign w:val="subscript"/>
                    </w:rPr>
                    <w:t>4</w:t>
                  </w:r>
                  <w:r w:rsidRPr="008A2411">
                    <w:rPr>
                      <w:rFonts w:ascii="Times New Roman"/>
                      <w:color w:val="000000" w:themeColor="text1"/>
                      <w:szCs w:val="21"/>
                      <w:vertAlign w:val="superscript"/>
                    </w:rPr>
                    <w:t>2-</w:t>
                  </w:r>
                </w:p>
              </w:tc>
              <w:tc>
                <w:tcPr>
                  <w:tcW w:w="439"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3D50E7DB"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HCO</w:t>
                  </w:r>
                  <w:r w:rsidRPr="008A2411">
                    <w:rPr>
                      <w:rFonts w:ascii="Times New Roman"/>
                      <w:color w:val="000000" w:themeColor="text1"/>
                      <w:szCs w:val="21"/>
                      <w:vertAlign w:val="subscript"/>
                    </w:rPr>
                    <w:t>3</w:t>
                  </w:r>
                  <w:r w:rsidRPr="008A2411">
                    <w:rPr>
                      <w:rFonts w:ascii="Times New Roman"/>
                      <w:color w:val="000000" w:themeColor="text1"/>
                      <w:szCs w:val="21"/>
                      <w:vertAlign w:val="superscript"/>
                    </w:rPr>
                    <w:t>-</w:t>
                  </w:r>
                </w:p>
              </w:tc>
              <w:tc>
                <w:tcPr>
                  <w:tcW w:w="394"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63DB8769"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CO</w:t>
                  </w:r>
                  <w:r w:rsidRPr="008A2411">
                    <w:rPr>
                      <w:rFonts w:ascii="Times New Roman"/>
                      <w:color w:val="000000" w:themeColor="text1"/>
                      <w:szCs w:val="21"/>
                      <w:vertAlign w:val="subscript"/>
                    </w:rPr>
                    <w:t>3</w:t>
                  </w:r>
                  <w:r w:rsidRPr="008A2411">
                    <w:rPr>
                      <w:rFonts w:ascii="Times New Roman"/>
                      <w:color w:val="000000" w:themeColor="text1"/>
                      <w:szCs w:val="21"/>
                      <w:vertAlign w:val="superscript"/>
                    </w:rPr>
                    <w:t>2-</w:t>
                  </w:r>
                </w:p>
              </w:tc>
              <w:tc>
                <w:tcPr>
                  <w:tcW w:w="348" w:type="pct"/>
                  <w:tcBorders>
                    <w:top w:val="single" w:sz="4" w:space="0" w:color="auto"/>
                    <w:left w:val="single" w:sz="4" w:space="0" w:color="auto"/>
                    <w:bottom w:val="single" w:sz="4" w:space="0" w:color="auto"/>
                    <w:right w:val="single" w:sz="4" w:space="0" w:color="auto"/>
                  </w:tcBorders>
                  <w:shd w:val="clear" w:color="auto" w:fill="auto"/>
                  <w:noWrap/>
                  <w:tcMar>
                    <w:left w:w="40" w:type="dxa"/>
                    <w:right w:w="40" w:type="dxa"/>
                  </w:tcMar>
                  <w:vAlign w:val="center"/>
                </w:tcPr>
                <w:p w14:paraId="77E6B29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TDS</w:t>
                  </w:r>
                </w:p>
              </w:tc>
              <w:tc>
                <w:tcPr>
                  <w:tcW w:w="862" w:type="pct"/>
                  <w:tcBorders>
                    <w:top w:val="single" w:sz="4" w:space="0" w:color="auto"/>
                    <w:left w:val="single" w:sz="4" w:space="0" w:color="auto"/>
                    <w:bottom w:val="single" w:sz="4" w:space="0" w:color="auto"/>
                    <w:right w:val="single" w:sz="4" w:space="0" w:color="auto"/>
                  </w:tcBorders>
                  <w:shd w:val="clear" w:color="auto" w:fill="auto"/>
                  <w:noWrap/>
                  <w:tcMar>
                    <w:left w:w="40" w:type="dxa"/>
                    <w:right w:w="40" w:type="dxa"/>
                  </w:tcMar>
                  <w:vAlign w:val="center"/>
                </w:tcPr>
                <w:p w14:paraId="685E36D3" w14:textId="77777777" w:rsidR="00B0005F" w:rsidRPr="008A2411" w:rsidRDefault="00000000">
                  <w:pPr>
                    <w:pStyle w:val="affffffffffff2"/>
                    <w:rPr>
                      <w:rFonts w:ascii="Times New Roman"/>
                      <w:color w:val="000000" w:themeColor="text1"/>
                      <w:szCs w:val="24"/>
                    </w:rPr>
                  </w:pPr>
                  <w:r w:rsidRPr="008A2411">
                    <w:rPr>
                      <w:rFonts w:ascii="Times New Roman"/>
                      <w:color w:val="000000" w:themeColor="text1"/>
                      <w:szCs w:val="24"/>
                    </w:rPr>
                    <w:t>水化学类型</w:t>
                  </w:r>
                </w:p>
              </w:tc>
            </w:tr>
            <w:tr w:rsidR="008A2411" w:rsidRPr="008A2411" w14:paraId="15E8018E" w14:textId="77777777">
              <w:trPr>
                <w:trHeight w:val="330"/>
              </w:trPr>
              <w:tc>
                <w:tcPr>
                  <w:tcW w:w="575"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6237C00B"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1#</w:t>
                  </w:r>
                </w:p>
              </w:tc>
              <w:tc>
                <w:tcPr>
                  <w:tcW w:w="292"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0FCF3E0B"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7.6</w:t>
                  </w:r>
                </w:p>
              </w:tc>
              <w:tc>
                <w:tcPr>
                  <w:tcW w:w="332"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1C8BD4FC"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2</w:t>
                  </w:r>
                </w:p>
              </w:tc>
              <w:tc>
                <w:tcPr>
                  <w:tcW w:w="332"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3B7688BC"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21.6</w:t>
                  </w:r>
                </w:p>
              </w:tc>
              <w:tc>
                <w:tcPr>
                  <w:tcW w:w="340"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4D686F2F"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66.8</w:t>
                  </w:r>
                </w:p>
              </w:tc>
              <w:tc>
                <w:tcPr>
                  <w:tcW w:w="373"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3A7E4494"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23.6</w:t>
                  </w:r>
                </w:p>
              </w:tc>
              <w:tc>
                <w:tcPr>
                  <w:tcW w:w="332"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1919A7D4"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10.7</w:t>
                  </w:r>
                </w:p>
              </w:tc>
              <w:tc>
                <w:tcPr>
                  <w:tcW w:w="381"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08481D20"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20.3</w:t>
                  </w:r>
                </w:p>
              </w:tc>
              <w:tc>
                <w:tcPr>
                  <w:tcW w:w="439"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51921570"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223</w:t>
                  </w:r>
                </w:p>
              </w:tc>
              <w:tc>
                <w:tcPr>
                  <w:tcW w:w="394"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6C4D4818"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0</w:t>
                  </w:r>
                </w:p>
              </w:tc>
              <w:tc>
                <w:tcPr>
                  <w:tcW w:w="348"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6BD3BBD3"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584</w:t>
                  </w:r>
                </w:p>
              </w:tc>
              <w:tc>
                <w:tcPr>
                  <w:tcW w:w="862" w:type="pct"/>
                  <w:tcBorders>
                    <w:top w:val="single" w:sz="4" w:space="0" w:color="auto"/>
                    <w:left w:val="single" w:sz="4" w:space="0" w:color="auto"/>
                    <w:bottom w:val="single" w:sz="4" w:space="0" w:color="auto"/>
                    <w:right w:val="single" w:sz="4" w:space="0" w:color="auto"/>
                  </w:tcBorders>
                  <w:shd w:val="clear" w:color="auto" w:fill="auto"/>
                  <w:noWrap/>
                  <w:tcMar>
                    <w:left w:w="40" w:type="dxa"/>
                    <w:right w:w="40" w:type="dxa"/>
                  </w:tcMar>
                  <w:vAlign w:val="center"/>
                </w:tcPr>
                <w:p w14:paraId="34D9784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HCO</w:t>
                  </w:r>
                  <w:r w:rsidRPr="008A2411">
                    <w:rPr>
                      <w:rFonts w:ascii="Times New Roman"/>
                      <w:color w:val="000000" w:themeColor="text1"/>
                      <w:vertAlign w:val="subscript"/>
                    </w:rPr>
                    <w:t>3</w:t>
                  </w:r>
                  <w:r w:rsidRPr="008A2411">
                    <w:rPr>
                      <w:rFonts w:ascii="Times New Roman"/>
                      <w:color w:val="000000" w:themeColor="text1"/>
                    </w:rPr>
                    <w:t>-Ca·Mg</w:t>
                  </w:r>
                </w:p>
              </w:tc>
            </w:tr>
            <w:tr w:rsidR="008A2411" w:rsidRPr="008A2411" w14:paraId="7160C1BD" w14:textId="77777777">
              <w:trPr>
                <w:trHeight w:val="330"/>
              </w:trPr>
              <w:tc>
                <w:tcPr>
                  <w:tcW w:w="575"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00905C30"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2#</w:t>
                  </w:r>
                </w:p>
              </w:tc>
              <w:tc>
                <w:tcPr>
                  <w:tcW w:w="292"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3D2D485F"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7.3</w:t>
                  </w:r>
                </w:p>
              </w:tc>
              <w:tc>
                <w:tcPr>
                  <w:tcW w:w="332"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0D3E416D"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8.82</w:t>
                  </w:r>
                </w:p>
              </w:tc>
              <w:tc>
                <w:tcPr>
                  <w:tcW w:w="332"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2860BA88"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18.2</w:t>
                  </w:r>
                </w:p>
              </w:tc>
              <w:tc>
                <w:tcPr>
                  <w:tcW w:w="340"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21E0B545"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97.5</w:t>
                  </w:r>
                </w:p>
              </w:tc>
              <w:tc>
                <w:tcPr>
                  <w:tcW w:w="373"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4496E4F1"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18.2</w:t>
                  </w:r>
                </w:p>
              </w:tc>
              <w:tc>
                <w:tcPr>
                  <w:tcW w:w="332"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6BD9D953"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16.6</w:t>
                  </w:r>
                </w:p>
              </w:tc>
              <w:tc>
                <w:tcPr>
                  <w:tcW w:w="381"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1F7334F3"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30.2</w:t>
                  </w:r>
                </w:p>
              </w:tc>
              <w:tc>
                <w:tcPr>
                  <w:tcW w:w="439"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21C3020E"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250</w:t>
                  </w:r>
                </w:p>
              </w:tc>
              <w:tc>
                <w:tcPr>
                  <w:tcW w:w="394"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51329A44"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0</w:t>
                  </w:r>
                </w:p>
              </w:tc>
              <w:tc>
                <w:tcPr>
                  <w:tcW w:w="348"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1D5511F9"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635</w:t>
                  </w:r>
                </w:p>
              </w:tc>
              <w:tc>
                <w:tcPr>
                  <w:tcW w:w="862" w:type="pct"/>
                  <w:tcBorders>
                    <w:top w:val="single" w:sz="4" w:space="0" w:color="auto"/>
                    <w:left w:val="single" w:sz="4" w:space="0" w:color="auto"/>
                    <w:bottom w:val="single" w:sz="4" w:space="0" w:color="auto"/>
                    <w:right w:val="single" w:sz="4" w:space="0" w:color="auto"/>
                  </w:tcBorders>
                  <w:shd w:val="clear" w:color="auto" w:fill="auto"/>
                  <w:noWrap/>
                  <w:tcMar>
                    <w:left w:w="40" w:type="dxa"/>
                    <w:right w:w="40" w:type="dxa"/>
                  </w:tcMar>
                  <w:vAlign w:val="center"/>
                </w:tcPr>
                <w:p w14:paraId="639F4D2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HCO</w:t>
                  </w:r>
                  <w:r w:rsidRPr="008A2411">
                    <w:rPr>
                      <w:rFonts w:ascii="Times New Roman"/>
                      <w:color w:val="000000" w:themeColor="text1"/>
                      <w:vertAlign w:val="subscript"/>
                    </w:rPr>
                    <w:t>3</w:t>
                  </w:r>
                  <w:r w:rsidRPr="008A2411">
                    <w:rPr>
                      <w:rFonts w:ascii="Times New Roman"/>
                      <w:color w:val="000000" w:themeColor="text1"/>
                    </w:rPr>
                    <w:t>-Ca</w:t>
                  </w:r>
                </w:p>
              </w:tc>
            </w:tr>
            <w:tr w:rsidR="008A2411" w:rsidRPr="008A2411" w14:paraId="7EE4B6EC" w14:textId="77777777">
              <w:trPr>
                <w:trHeight w:val="330"/>
              </w:trPr>
              <w:tc>
                <w:tcPr>
                  <w:tcW w:w="575"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27F55C4F"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3#</w:t>
                  </w:r>
                </w:p>
              </w:tc>
              <w:tc>
                <w:tcPr>
                  <w:tcW w:w="292"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0AE304DD"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7.6</w:t>
                  </w:r>
                </w:p>
              </w:tc>
              <w:tc>
                <w:tcPr>
                  <w:tcW w:w="332"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423E54AC"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1.93</w:t>
                  </w:r>
                </w:p>
              </w:tc>
              <w:tc>
                <w:tcPr>
                  <w:tcW w:w="332"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6C4321C6"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10.6</w:t>
                  </w:r>
                </w:p>
              </w:tc>
              <w:tc>
                <w:tcPr>
                  <w:tcW w:w="340"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66739A38"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64.5</w:t>
                  </w:r>
                </w:p>
              </w:tc>
              <w:tc>
                <w:tcPr>
                  <w:tcW w:w="373"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7BF048C2"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11.7</w:t>
                  </w:r>
                </w:p>
              </w:tc>
              <w:tc>
                <w:tcPr>
                  <w:tcW w:w="332"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4C242254"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3.12</w:t>
                  </w:r>
                </w:p>
              </w:tc>
              <w:tc>
                <w:tcPr>
                  <w:tcW w:w="381"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2145C111"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26.4</w:t>
                  </w:r>
                </w:p>
              </w:tc>
              <w:tc>
                <w:tcPr>
                  <w:tcW w:w="439"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0C0C66C5"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171</w:t>
                  </w:r>
                </w:p>
              </w:tc>
              <w:tc>
                <w:tcPr>
                  <w:tcW w:w="394"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52CF52E1"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0</w:t>
                  </w:r>
                </w:p>
              </w:tc>
              <w:tc>
                <w:tcPr>
                  <w:tcW w:w="348"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76AB6E3B"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492</w:t>
                  </w:r>
                </w:p>
              </w:tc>
              <w:tc>
                <w:tcPr>
                  <w:tcW w:w="862" w:type="pct"/>
                  <w:tcBorders>
                    <w:top w:val="single" w:sz="4" w:space="0" w:color="auto"/>
                    <w:left w:val="single" w:sz="4" w:space="0" w:color="auto"/>
                    <w:bottom w:val="single" w:sz="4" w:space="0" w:color="auto"/>
                    <w:right w:val="single" w:sz="4" w:space="0" w:color="auto"/>
                  </w:tcBorders>
                  <w:shd w:val="clear" w:color="auto" w:fill="auto"/>
                  <w:noWrap/>
                  <w:tcMar>
                    <w:left w:w="40" w:type="dxa"/>
                    <w:right w:w="40" w:type="dxa"/>
                  </w:tcMar>
                  <w:vAlign w:val="center"/>
                </w:tcPr>
                <w:p w14:paraId="29B0CE3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HCO</w:t>
                  </w:r>
                  <w:r w:rsidRPr="008A2411">
                    <w:rPr>
                      <w:rFonts w:ascii="Times New Roman"/>
                      <w:color w:val="000000" w:themeColor="text1"/>
                      <w:vertAlign w:val="subscript"/>
                    </w:rPr>
                    <w:t>3</w:t>
                  </w:r>
                  <w:r w:rsidRPr="008A2411">
                    <w:rPr>
                      <w:rFonts w:ascii="Times New Roman"/>
                      <w:color w:val="000000" w:themeColor="text1"/>
                    </w:rPr>
                    <w:t>-Ca</w:t>
                  </w:r>
                </w:p>
              </w:tc>
            </w:tr>
            <w:tr w:rsidR="008A2411" w:rsidRPr="008A2411" w14:paraId="3FCA6531" w14:textId="77777777">
              <w:trPr>
                <w:trHeight w:val="330"/>
              </w:trPr>
              <w:tc>
                <w:tcPr>
                  <w:tcW w:w="575"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274A87DA"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4#</w:t>
                  </w:r>
                </w:p>
              </w:tc>
              <w:tc>
                <w:tcPr>
                  <w:tcW w:w="292"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714A8372"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7.3</w:t>
                  </w:r>
                </w:p>
              </w:tc>
              <w:tc>
                <w:tcPr>
                  <w:tcW w:w="332"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52A190AB"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1.81</w:t>
                  </w:r>
                </w:p>
              </w:tc>
              <w:tc>
                <w:tcPr>
                  <w:tcW w:w="332"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1B37CB76"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16.7</w:t>
                  </w:r>
                </w:p>
              </w:tc>
              <w:tc>
                <w:tcPr>
                  <w:tcW w:w="340"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46853174"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85.5</w:t>
                  </w:r>
                </w:p>
              </w:tc>
              <w:tc>
                <w:tcPr>
                  <w:tcW w:w="373"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7EC702D5"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16.7</w:t>
                  </w:r>
                </w:p>
              </w:tc>
              <w:tc>
                <w:tcPr>
                  <w:tcW w:w="332"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33C4A176"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8.69</w:t>
                  </w:r>
                </w:p>
              </w:tc>
              <w:tc>
                <w:tcPr>
                  <w:tcW w:w="381"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1972FDEB"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28.9</w:t>
                  </w:r>
                </w:p>
              </w:tc>
              <w:tc>
                <w:tcPr>
                  <w:tcW w:w="439"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6B83CFE0"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224</w:t>
                  </w:r>
                </w:p>
              </w:tc>
              <w:tc>
                <w:tcPr>
                  <w:tcW w:w="394"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3ACAA45C"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0</w:t>
                  </w:r>
                </w:p>
              </w:tc>
              <w:tc>
                <w:tcPr>
                  <w:tcW w:w="348"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0B102B20"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538</w:t>
                  </w:r>
                </w:p>
              </w:tc>
              <w:tc>
                <w:tcPr>
                  <w:tcW w:w="862" w:type="pct"/>
                  <w:tcBorders>
                    <w:top w:val="single" w:sz="4" w:space="0" w:color="auto"/>
                    <w:left w:val="single" w:sz="4" w:space="0" w:color="auto"/>
                    <w:bottom w:val="single" w:sz="4" w:space="0" w:color="auto"/>
                    <w:right w:val="single" w:sz="4" w:space="0" w:color="auto"/>
                  </w:tcBorders>
                  <w:shd w:val="clear" w:color="auto" w:fill="auto"/>
                  <w:noWrap/>
                  <w:tcMar>
                    <w:left w:w="40" w:type="dxa"/>
                    <w:right w:w="40" w:type="dxa"/>
                  </w:tcMar>
                  <w:vAlign w:val="center"/>
                </w:tcPr>
                <w:p w14:paraId="06532BF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HCO</w:t>
                  </w:r>
                  <w:r w:rsidRPr="008A2411">
                    <w:rPr>
                      <w:rFonts w:ascii="Times New Roman"/>
                      <w:color w:val="000000" w:themeColor="text1"/>
                      <w:vertAlign w:val="subscript"/>
                    </w:rPr>
                    <w:t>3</w:t>
                  </w:r>
                  <w:r w:rsidRPr="008A2411">
                    <w:rPr>
                      <w:rFonts w:ascii="Times New Roman"/>
                      <w:color w:val="000000" w:themeColor="text1"/>
                    </w:rPr>
                    <w:t>-Ca</w:t>
                  </w:r>
                </w:p>
              </w:tc>
            </w:tr>
            <w:tr w:rsidR="008A2411" w:rsidRPr="008A2411" w14:paraId="2461C3E7" w14:textId="77777777">
              <w:trPr>
                <w:trHeight w:val="330"/>
              </w:trPr>
              <w:tc>
                <w:tcPr>
                  <w:tcW w:w="575"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5298E70F"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5#</w:t>
                  </w:r>
                </w:p>
              </w:tc>
              <w:tc>
                <w:tcPr>
                  <w:tcW w:w="292"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4EE5179F"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7.7</w:t>
                  </w:r>
                </w:p>
              </w:tc>
              <w:tc>
                <w:tcPr>
                  <w:tcW w:w="332"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45C7FB30"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1.73</w:t>
                  </w:r>
                </w:p>
              </w:tc>
              <w:tc>
                <w:tcPr>
                  <w:tcW w:w="332"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23FC44C5"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22.3</w:t>
                  </w:r>
                </w:p>
              </w:tc>
              <w:tc>
                <w:tcPr>
                  <w:tcW w:w="340"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1FE6F55D"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41.5</w:t>
                  </w:r>
                </w:p>
              </w:tc>
              <w:tc>
                <w:tcPr>
                  <w:tcW w:w="373"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7A5FA24F"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14.3</w:t>
                  </w:r>
                </w:p>
              </w:tc>
              <w:tc>
                <w:tcPr>
                  <w:tcW w:w="332"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41E2B360"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11.8</w:t>
                  </w:r>
                </w:p>
              </w:tc>
              <w:tc>
                <w:tcPr>
                  <w:tcW w:w="381"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31083B53"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21.9</w:t>
                  </w:r>
                </w:p>
              </w:tc>
              <w:tc>
                <w:tcPr>
                  <w:tcW w:w="439"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23D8A3A4"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140</w:t>
                  </w:r>
                </w:p>
              </w:tc>
              <w:tc>
                <w:tcPr>
                  <w:tcW w:w="394"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490A7ECE"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0</w:t>
                  </w:r>
                </w:p>
              </w:tc>
              <w:tc>
                <w:tcPr>
                  <w:tcW w:w="348" w:type="pct"/>
                  <w:tcBorders>
                    <w:top w:val="single" w:sz="4" w:space="0" w:color="auto"/>
                    <w:left w:val="single" w:sz="4" w:space="0" w:color="auto"/>
                    <w:bottom w:val="single" w:sz="4" w:space="0" w:color="auto"/>
                    <w:right w:val="single" w:sz="4" w:space="0" w:color="auto"/>
                  </w:tcBorders>
                  <w:shd w:val="clear" w:color="auto" w:fill="auto"/>
                  <w:tcMar>
                    <w:left w:w="40" w:type="dxa"/>
                    <w:right w:w="40" w:type="dxa"/>
                  </w:tcMar>
                  <w:vAlign w:val="center"/>
                </w:tcPr>
                <w:p w14:paraId="32AF6F77" w14:textId="77777777" w:rsidR="00B0005F" w:rsidRPr="008A2411" w:rsidRDefault="00000000">
                  <w:pPr>
                    <w:pStyle w:val="affffffffffff2"/>
                    <w:rPr>
                      <w:rFonts w:ascii="Times New Roman"/>
                      <w:color w:val="000000" w:themeColor="text1"/>
                      <w:szCs w:val="21"/>
                    </w:rPr>
                  </w:pPr>
                  <w:r w:rsidRPr="008A2411">
                    <w:rPr>
                      <w:rFonts w:ascii="Times New Roman"/>
                      <w:color w:val="000000" w:themeColor="text1"/>
                      <w:szCs w:val="21"/>
                    </w:rPr>
                    <w:t>461</w:t>
                  </w:r>
                </w:p>
              </w:tc>
              <w:tc>
                <w:tcPr>
                  <w:tcW w:w="862" w:type="pct"/>
                  <w:tcBorders>
                    <w:top w:val="single" w:sz="4" w:space="0" w:color="auto"/>
                    <w:left w:val="single" w:sz="4" w:space="0" w:color="auto"/>
                    <w:bottom w:val="single" w:sz="4" w:space="0" w:color="auto"/>
                    <w:right w:val="single" w:sz="4" w:space="0" w:color="auto"/>
                  </w:tcBorders>
                  <w:shd w:val="clear" w:color="auto" w:fill="auto"/>
                  <w:noWrap/>
                  <w:tcMar>
                    <w:left w:w="40" w:type="dxa"/>
                    <w:right w:w="40" w:type="dxa"/>
                  </w:tcMar>
                  <w:vAlign w:val="center"/>
                </w:tcPr>
                <w:p w14:paraId="0F53FEC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HCO</w:t>
                  </w:r>
                  <w:r w:rsidRPr="008A2411">
                    <w:rPr>
                      <w:rFonts w:ascii="Times New Roman"/>
                      <w:color w:val="000000" w:themeColor="text1"/>
                      <w:vertAlign w:val="subscript"/>
                    </w:rPr>
                    <w:t>3</w:t>
                  </w:r>
                  <w:r w:rsidRPr="008A2411">
                    <w:rPr>
                      <w:rFonts w:ascii="Times New Roman"/>
                      <w:color w:val="000000" w:themeColor="text1"/>
                    </w:rPr>
                    <w:t>-Ca·Mg</w:t>
                  </w:r>
                </w:p>
              </w:tc>
            </w:tr>
          </w:tbl>
          <w:p w14:paraId="55A543D1" w14:textId="77777777" w:rsidR="00B0005F" w:rsidRPr="008A2411" w:rsidRDefault="00B0005F">
            <w:pPr>
              <w:pStyle w:val="affffffffffff2"/>
              <w:ind w:firstLine="361"/>
              <w:rPr>
                <w:rFonts w:ascii="Times New Roman" w:eastAsia="黑体"/>
                <w:b/>
                <w:color w:val="000000" w:themeColor="text1"/>
                <w:szCs w:val="21"/>
              </w:rPr>
            </w:pPr>
          </w:p>
        </w:tc>
      </w:tr>
      <w:tr w:rsidR="008A2411" w:rsidRPr="008A2411" w14:paraId="307ED535" w14:textId="77777777">
        <w:tc>
          <w:tcPr>
            <w:tcW w:w="8522" w:type="dxa"/>
          </w:tcPr>
          <w:p w14:paraId="485A3928" w14:textId="77777777" w:rsidR="00B0005F" w:rsidRPr="008A2411" w:rsidRDefault="00000000">
            <w:pPr>
              <w:pStyle w:val="affffffff7"/>
              <w:spacing w:before="60" w:after="60"/>
              <w:ind w:firstLine="361"/>
              <w:rPr>
                <w:b/>
                <w:color w:val="000000" w:themeColor="text1"/>
                <w:szCs w:val="21"/>
              </w:rPr>
            </w:pPr>
            <w:r w:rsidRPr="008A2411">
              <w:rPr>
                <w:b/>
                <w:noProof/>
                <w:color w:val="000000" w:themeColor="text1"/>
                <w:szCs w:val="21"/>
              </w:rPr>
              <w:drawing>
                <wp:inline distT="0" distB="0" distL="0" distR="0" wp14:anchorId="38BB1F3B" wp14:editId="7DA9EC07">
                  <wp:extent cx="4319905" cy="3822065"/>
                  <wp:effectExtent l="0" t="0" r="8255" b="3175"/>
                  <wp:docPr id="62" name="图片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62"/>
                          <pic:cNvPicPr>
                            <a:picLocks noChangeAspect="1"/>
                          </pic:cNvPicPr>
                        </pic:nvPicPr>
                        <pic:blipFill>
                          <a:blip r:embed="rId56" cstate="print">
                            <a:extLst>
                              <a:ext uri="{28A0092B-C50C-407E-A947-70E740481C1C}">
                                <a14:useLocalDpi xmlns:a14="http://schemas.microsoft.com/office/drawing/2010/main" val="0"/>
                              </a:ext>
                            </a:extLst>
                          </a:blip>
                          <a:stretch>
                            <a:fillRect/>
                          </a:stretch>
                        </pic:blipFill>
                        <pic:spPr>
                          <a:xfrm>
                            <a:off x="0" y="0"/>
                            <a:ext cx="4320000" cy="3822259"/>
                          </a:xfrm>
                          <a:prstGeom prst="rect">
                            <a:avLst/>
                          </a:prstGeom>
                        </pic:spPr>
                      </pic:pic>
                    </a:graphicData>
                  </a:graphic>
                </wp:inline>
              </w:drawing>
            </w:r>
          </w:p>
          <w:p w14:paraId="484F97C9" w14:textId="77777777" w:rsidR="00B0005F" w:rsidRPr="008A2411" w:rsidRDefault="00000000">
            <w:pPr>
              <w:pStyle w:val="affffffff7"/>
              <w:spacing w:before="60" w:after="60"/>
              <w:ind w:firstLine="361"/>
              <w:rPr>
                <w:color w:val="000000" w:themeColor="text1"/>
              </w:rPr>
            </w:pPr>
            <w:r w:rsidRPr="008A2411">
              <w:rPr>
                <w:color w:val="000000" w:themeColor="text1"/>
              </w:rPr>
              <w:t>图</w:t>
            </w:r>
            <w:r w:rsidRPr="008A2411">
              <w:rPr>
                <w:color w:val="000000" w:themeColor="text1"/>
              </w:rPr>
              <w:t xml:space="preserve">5.2-10  </w:t>
            </w:r>
            <w:r w:rsidRPr="008A2411">
              <w:rPr>
                <w:color w:val="000000" w:themeColor="text1"/>
              </w:rPr>
              <w:t>地下水水化学类型图</w:t>
            </w:r>
          </w:p>
        </w:tc>
      </w:tr>
    </w:tbl>
    <w:p w14:paraId="0CC62E45" w14:textId="77777777" w:rsidR="00B0005F" w:rsidRPr="008A2411" w:rsidRDefault="00000000">
      <w:pPr>
        <w:adjustRightInd w:val="0"/>
        <w:spacing w:line="360" w:lineRule="auto"/>
        <w:ind w:firstLine="241"/>
        <w:rPr>
          <w:rFonts w:ascii="Times New Roman"/>
          <w:color w:val="000000" w:themeColor="text1"/>
        </w:rPr>
      </w:pPr>
      <w:r w:rsidRPr="008A2411">
        <w:rPr>
          <w:rFonts w:ascii="Times New Roman"/>
          <w:color w:val="000000" w:themeColor="text1"/>
          <w:szCs w:val="24"/>
        </w:rPr>
        <w:t>（五）地下水污染源调查</w:t>
      </w:r>
    </w:p>
    <w:p w14:paraId="29E9C2A4" w14:textId="77777777" w:rsidR="00B0005F" w:rsidRPr="008A2411" w:rsidRDefault="00000000">
      <w:pPr>
        <w:widowControl/>
        <w:adjustRightInd w:val="0"/>
        <w:spacing w:line="360" w:lineRule="auto"/>
        <w:ind w:firstLine="480"/>
        <w:jc w:val="left"/>
        <w:rPr>
          <w:rFonts w:ascii="Times New Roman"/>
          <w:color w:val="000000" w:themeColor="text1"/>
          <w:szCs w:val="24"/>
        </w:rPr>
      </w:pPr>
      <w:bookmarkStart w:id="444" w:name="_Toc327221740"/>
      <w:r w:rsidRPr="008A2411">
        <w:rPr>
          <w:rFonts w:ascii="Times New Roman"/>
          <w:color w:val="000000" w:themeColor="text1"/>
          <w:szCs w:val="24"/>
        </w:rPr>
        <w:t>按照地下水环境影响评价导则，针对本项目特征，本次调查包括：</w:t>
      </w:r>
      <w:r w:rsidRPr="008A2411">
        <w:rPr>
          <w:rFonts w:ascii="Times New Roman"/>
          <w:color w:val="000000" w:themeColor="text1"/>
          <w:szCs w:val="24"/>
        </w:rPr>
        <w:t>①</w:t>
      </w:r>
      <w:r w:rsidRPr="008A2411">
        <w:rPr>
          <w:rFonts w:ascii="Times New Roman"/>
          <w:color w:val="000000" w:themeColor="text1"/>
          <w:szCs w:val="24"/>
        </w:rPr>
        <w:t>原生水文地质问题调查；</w:t>
      </w:r>
      <w:r w:rsidRPr="008A2411">
        <w:rPr>
          <w:rFonts w:ascii="Times New Roman"/>
          <w:color w:val="000000" w:themeColor="text1"/>
          <w:szCs w:val="24"/>
        </w:rPr>
        <w:t>②</w:t>
      </w:r>
      <w:r w:rsidRPr="008A2411">
        <w:rPr>
          <w:rFonts w:ascii="Times New Roman"/>
          <w:color w:val="000000" w:themeColor="text1"/>
          <w:szCs w:val="24"/>
        </w:rPr>
        <w:t>地下水污染源分布及类型调查</w:t>
      </w:r>
      <w:bookmarkStart w:id="445" w:name="_Toc327221737"/>
      <w:r w:rsidRPr="008A2411">
        <w:rPr>
          <w:rFonts w:ascii="Times New Roman"/>
          <w:color w:val="000000" w:themeColor="text1"/>
          <w:szCs w:val="24"/>
        </w:rPr>
        <w:t>。</w:t>
      </w:r>
    </w:p>
    <w:p w14:paraId="07DCE28D" w14:textId="77777777" w:rsidR="00B0005F" w:rsidRPr="008A2411" w:rsidRDefault="00000000">
      <w:pPr>
        <w:adjustRightInd w:val="0"/>
        <w:spacing w:line="360" w:lineRule="auto"/>
        <w:ind w:firstLine="361"/>
        <w:rPr>
          <w:rFonts w:ascii="Times New Roman"/>
          <w:b/>
          <w:bCs/>
          <w:color w:val="000000" w:themeColor="text1"/>
        </w:rPr>
      </w:pPr>
      <w:r w:rsidRPr="008A2411">
        <w:rPr>
          <w:rFonts w:ascii="Times New Roman"/>
          <w:b/>
          <w:bCs/>
          <w:color w:val="000000" w:themeColor="text1"/>
        </w:rPr>
        <w:t>1</w:t>
      </w:r>
      <w:r w:rsidRPr="008A2411">
        <w:rPr>
          <w:rFonts w:ascii="Times New Roman"/>
          <w:b/>
          <w:bCs/>
          <w:color w:val="000000" w:themeColor="text1"/>
        </w:rPr>
        <w:t>、原生水文地质问题</w:t>
      </w:r>
      <w:bookmarkEnd w:id="445"/>
      <w:r w:rsidRPr="008A2411">
        <w:rPr>
          <w:rFonts w:ascii="Times New Roman"/>
          <w:b/>
          <w:bCs/>
          <w:color w:val="000000" w:themeColor="text1"/>
        </w:rPr>
        <w:t>调</w:t>
      </w:r>
      <w:bookmarkStart w:id="446" w:name="_Toc327221739"/>
      <w:r w:rsidRPr="008A2411">
        <w:rPr>
          <w:rFonts w:ascii="Times New Roman"/>
          <w:b/>
          <w:bCs/>
          <w:color w:val="000000" w:themeColor="text1"/>
        </w:rPr>
        <w:t>查</w:t>
      </w:r>
    </w:p>
    <w:p w14:paraId="3FEBEDF3"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本项目</w:t>
      </w:r>
      <w:proofErr w:type="gramStart"/>
      <w:r w:rsidRPr="008A2411">
        <w:rPr>
          <w:rFonts w:ascii="Times New Roman"/>
          <w:color w:val="000000" w:themeColor="text1"/>
        </w:rPr>
        <w:t>评价区</w:t>
      </w:r>
      <w:proofErr w:type="gramEnd"/>
      <w:r w:rsidRPr="008A2411">
        <w:rPr>
          <w:rFonts w:ascii="Times New Roman"/>
          <w:color w:val="000000" w:themeColor="text1"/>
        </w:rPr>
        <w:t>地下水水化学类型为</w:t>
      </w:r>
      <w:r w:rsidRPr="008A2411">
        <w:rPr>
          <w:rFonts w:ascii="Times New Roman"/>
          <w:color w:val="000000" w:themeColor="text1"/>
        </w:rPr>
        <w:t>HCO</w:t>
      </w:r>
      <w:r w:rsidRPr="008A2411">
        <w:rPr>
          <w:rFonts w:ascii="Times New Roman"/>
          <w:color w:val="000000" w:themeColor="text1"/>
          <w:vertAlign w:val="subscript"/>
        </w:rPr>
        <w:t>3</w:t>
      </w:r>
      <w:r w:rsidRPr="008A2411">
        <w:rPr>
          <w:rFonts w:ascii="Times New Roman"/>
          <w:color w:val="000000" w:themeColor="text1"/>
        </w:rPr>
        <w:t xml:space="preserve"> –Ca</w:t>
      </w:r>
      <w:r w:rsidRPr="008A2411">
        <w:rPr>
          <w:rFonts w:ascii="Times New Roman"/>
          <w:color w:val="000000" w:themeColor="text1"/>
        </w:rPr>
        <w:t>（</w:t>
      </w:r>
      <w:r w:rsidRPr="008A2411">
        <w:rPr>
          <w:rFonts w:ascii="Times New Roman"/>
          <w:color w:val="000000" w:themeColor="text1"/>
        </w:rPr>
        <w:t>·Mg</w:t>
      </w:r>
      <w:r w:rsidRPr="008A2411">
        <w:rPr>
          <w:rFonts w:ascii="Times New Roman"/>
          <w:color w:val="000000" w:themeColor="text1"/>
        </w:rPr>
        <w:t>），矿化度介于</w:t>
      </w:r>
      <w:r w:rsidRPr="008A2411">
        <w:rPr>
          <w:rFonts w:ascii="Times New Roman"/>
          <w:color w:val="000000" w:themeColor="text1"/>
        </w:rPr>
        <w:t>461</w:t>
      </w:r>
      <w:r w:rsidRPr="008A2411">
        <w:rPr>
          <w:rFonts w:ascii="Times New Roman"/>
          <w:color w:val="000000" w:themeColor="text1"/>
        </w:rPr>
        <w:t>～</w:t>
      </w:r>
      <w:r w:rsidRPr="008A2411">
        <w:rPr>
          <w:rFonts w:ascii="Times New Roman"/>
          <w:color w:val="000000" w:themeColor="text1"/>
        </w:rPr>
        <w:lastRenderedPageBreak/>
        <w:t>635mg/L</w:t>
      </w:r>
      <w:r w:rsidRPr="008A2411">
        <w:rPr>
          <w:rFonts w:ascii="Times New Roman"/>
          <w:color w:val="000000" w:themeColor="text1"/>
        </w:rPr>
        <w:t>，属于低矿化度中性软水；根据相关资料及调查访问，未出现地方病等与地下水相关的环境问题。</w:t>
      </w:r>
    </w:p>
    <w:p w14:paraId="59145BFE" w14:textId="77777777" w:rsidR="00B0005F" w:rsidRPr="008A2411" w:rsidRDefault="00000000">
      <w:pPr>
        <w:adjustRightInd w:val="0"/>
        <w:spacing w:line="360" w:lineRule="auto"/>
        <w:ind w:firstLine="361"/>
        <w:rPr>
          <w:rFonts w:ascii="Times New Roman"/>
          <w:b/>
          <w:bCs/>
          <w:color w:val="000000" w:themeColor="text1"/>
        </w:rPr>
      </w:pPr>
      <w:r w:rsidRPr="008A2411">
        <w:rPr>
          <w:rFonts w:ascii="Times New Roman"/>
          <w:b/>
          <w:bCs/>
          <w:color w:val="000000" w:themeColor="text1"/>
        </w:rPr>
        <w:t>2</w:t>
      </w:r>
      <w:r w:rsidRPr="008A2411">
        <w:rPr>
          <w:rFonts w:ascii="Times New Roman"/>
          <w:b/>
          <w:bCs/>
          <w:color w:val="000000" w:themeColor="text1"/>
        </w:rPr>
        <w:t>、地下水污染源</w:t>
      </w:r>
      <w:bookmarkEnd w:id="446"/>
      <w:r w:rsidRPr="008A2411">
        <w:rPr>
          <w:rFonts w:ascii="Times New Roman"/>
          <w:b/>
          <w:bCs/>
          <w:color w:val="000000" w:themeColor="text1"/>
        </w:rPr>
        <w:t>调查</w:t>
      </w:r>
    </w:p>
    <w:p w14:paraId="7D19FB82" w14:textId="77777777" w:rsidR="00B0005F" w:rsidRPr="008A2411" w:rsidRDefault="00000000">
      <w:pPr>
        <w:autoSpaceDE w:val="0"/>
        <w:autoSpaceDN w:val="0"/>
        <w:adjustRightInd w:val="0"/>
        <w:spacing w:line="360" w:lineRule="auto"/>
        <w:ind w:firstLine="480"/>
        <w:rPr>
          <w:rFonts w:ascii="Times New Roman"/>
          <w:color w:val="000000" w:themeColor="text1"/>
        </w:rPr>
      </w:pPr>
      <w:r w:rsidRPr="008A2411">
        <w:rPr>
          <w:rFonts w:ascii="Times New Roman"/>
          <w:color w:val="000000" w:themeColor="text1"/>
        </w:rPr>
        <w:t>通过现场调查和取样分析，</w:t>
      </w:r>
      <w:proofErr w:type="gramStart"/>
      <w:r w:rsidRPr="008A2411">
        <w:rPr>
          <w:rFonts w:ascii="Times New Roman"/>
          <w:color w:val="000000" w:themeColor="text1"/>
        </w:rPr>
        <w:t>评价区</w:t>
      </w:r>
      <w:proofErr w:type="gramEnd"/>
      <w:r w:rsidRPr="008A2411">
        <w:rPr>
          <w:rFonts w:ascii="Times New Roman"/>
          <w:color w:val="000000" w:themeColor="text1"/>
        </w:rPr>
        <w:t>范围内地下水水质较好，无天然劣质水分布，无地方性疾病等地下水环境原生问题。本项目位于四川省</w:t>
      </w:r>
      <w:r w:rsidRPr="008A2411">
        <w:rPr>
          <w:rFonts w:ascii="Times New Roman"/>
          <w:color w:val="000000" w:themeColor="text1"/>
          <w:lang w:bidi="ar"/>
        </w:rPr>
        <w:t>达州普光化工园区</w:t>
      </w:r>
      <w:r w:rsidRPr="008A2411">
        <w:rPr>
          <w:rFonts w:ascii="Times New Roman"/>
          <w:color w:val="000000" w:themeColor="text1"/>
        </w:rPr>
        <w:t>，评价范围内现分布零星散居居民，农村生活污水未经处理直接排放，会对地下水环境产生一定的影响。另外区内分布有水田和旱地，农业污染主要以农药化肥的使用，主要的影响因子为高锰酸盐指数、氨氮和大肠杆菌等。</w:t>
      </w:r>
    </w:p>
    <w:bookmarkEnd w:id="444"/>
    <w:p w14:paraId="68D29B11" w14:textId="77777777" w:rsidR="00B0005F" w:rsidRPr="008A2411" w:rsidRDefault="00000000">
      <w:pPr>
        <w:pStyle w:val="42"/>
        <w:spacing w:before="0" w:after="0" w:line="360" w:lineRule="auto"/>
        <w:rPr>
          <w:rFonts w:ascii="Times New Roman" w:hAnsi="Times New Roman"/>
          <w:color w:val="000000" w:themeColor="text1"/>
          <w:lang w:bidi="en-US"/>
        </w:rPr>
      </w:pPr>
      <w:r w:rsidRPr="008A2411">
        <w:rPr>
          <w:rFonts w:ascii="Times New Roman" w:hAnsi="Times New Roman"/>
          <w:color w:val="000000" w:themeColor="text1"/>
          <w:lang w:bidi="en-US"/>
        </w:rPr>
        <w:t>5.2.3.5</w:t>
      </w:r>
      <w:r w:rsidRPr="008A2411">
        <w:rPr>
          <w:rFonts w:ascii="Times New Roman" w:hAnsi="Times New Roman"/>
          <w:color w:val="000000" w:themeColor="text1"/>
          <w:lang w:bidi="en-US"/>
        </w:rPr>
        <w:t>地下水环境影响预测</w:t>
      </w:r>
    </w:p>
    <w:p w14:paraId="7293CA4B" w14:textId="77777777" w:rsidR="00B0005F" w:rsidRPr="008A2411" w:rsidRDefault="00000000">
      <w:pPr>
        <w:keepNext/>
        <w:keepLines/>
        <w:adjustRightInd w:val="0"/>
        <w:spacing w:line="360" w:lineRule="auto"/>
        <w:ind w:firstLine="241"/>
        <w:rPr>
          <w:rFonts w:ascii="Times New Roman"/>
          <w:color w:val="000000" w:themeColor="text1"/>
          <w:szCs w:val="24"/>
        </w:rPr>
      </w:pPr>
      <w:r w:rsidRPr="008A2411">
        <w:rPr>
          <w:rFonts w:ascii="Times New Roman"/>
          <w:b/>
          <w:color w:val="000000" w:themeColor="text1"/>
          <w:szCs w:val="24"/>
          <w:lang w:bidi="en-US"/>
        </w:rPr>
        <w:t>（一）</w:t>
      </w:r>
      <w:r w:rsidRPr="008A2411">
        <w:rPr>
          <w:rFonts w:ascii="Times New Roman"/>
          <w:color w:val="000000" w:themeColor="text1"/>
          <w:szCs w:val="24"/>
        </w:rPr>
        <w:t>预测原则</w:t>
      </w:r>
    </w:p>
    <w:p w14:paraId="2AC48766" w14:textId="77777777" w:rsidR="00B0005F" w:rsidRPr="008A2411" w:rsidRDefault="00000000">
      <w:pPr>
        <w:adjustRightInd w:val="0"/>
        <w:spacing w:line="360" w:lineRule="auto"/>
        <w:ind w:firstLine="480"/>
        <w:rPr>
          <w:rFonts w:ascii="Times New Roman"/>
          <w:color w:val="000000" w:themeColor="text1"/>
          <w:szCs w:val="24"/>
        </w:rPr>
      </w:pPr>
      <w:bookmarkStart w:id="447" w:name="_Toc317876296"/>
      <w:bookmarkStart w:id="448" w:name="_Toc317876444"/>
      <w:bookmarkStart w:id="449" w:name="_Toc317876115"/>
      <w:bookmarkStart w:id="450" w:name="_Toc317876370"/>
      <w:bookmarkStart w:id="451" w:name="_Toc317974810"/>
      <w:r w:rsidRPr="008A2411">
        <w:rPr>
          <w:rFonts w:ascii="Times New Roman"/>
          <w:color w:val="000000" w:themeColor="text1"/>
          <w:szCs w:val="24"/>
        </w:rPr>
        <w:t>本项目地下水环境影响预测原则为：</w:t>
      </w:r>
    </w:p>
    <w:p w14:paraId="508B1A1D"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w:t>
      </w:r>
      <w:r w:rsidRPr="008A2411">
        <w:rPr>
          <w:rFonts w:ascii="Times New Roman"/>
          <w:color w:val="000000" w:themeColor="text1"/>
          <w:szCs w:val="24"/>
        </w:rPr>
        <w:t>1</w:t>
      </w:r>
      <w:r w:rsidRPr="008A2411">
        <w:rPr>
          <w:rFonts w:ascii="Times New Roman"/>
          <w:color w:val="000000" w:themeColor="text1"/>
          <w:szCs w:val="24"/>
        </w:rPr>
        <w:t>）考虑到地下水环境污染的隐蔽性和难恢复性，遵循环境安全性原则，为评价各方案的环境安全和环境保护措施的合理性提供依据。</w:t>
      </w:r>
    </w:p>
    <w:p w14:paraId="03759E02"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w:t>
      </w:r>
      <w:r w:rsidRPr="008A2411">
        <w:rPr>
          <w:rFonts w:ascii="Times New Roman"/>
          <w:color w:val="000000" w:themeColor="text1"/>
          <w:szCs w:val="24"/>
        </w:rPr>
        <w:t>2</w:t>
      </w:r>
      <w:r w:rsidRPr="008A2411">
        <w:rPr>
          <w:rFonts w:ascii="Times New Roman"/>
          <w:color w:val="000000" w:themeColor="text1"/>
          <w:szCs w:val="24"/>
        </w:rPr>
        <w:t>）预测的范围、时段、内容和方法根据评价工作等级、工程特征与环境特征，结合当地环境功能和环保要求确定，以拟建项目对地下水水质的影响为重点。</w:t>
      </w:r>
    </w:p>
    <w:p w14:paraId="523B738A" w14:textId="77777777" w:rsidR="00B0005F" w:rsidRPr="008A2411" w:rsidRDefault="00000000">
      <w:pPr>
        <w:adjustRightInd w:val="0"/>
        <w:spacing w:line="360" w:lineRule="auto"/>
        <w:ind w:firstLine="241"/>
        <w:rPr>
          <w:rFonts w:ascii="Times New Roman"/>
          <w:color w:val="000000" w:themeColor="text1"/>
          <w:szCs w:val="24"/>
        </w:rPr>
      </w:pPr>
      <w:r w:rsidRPr="008A2411">
        <w:rPr>
          <w:rFonts w:ascii="Times New Roman"/>
          <w:b/>
          <w:color w:val="000000" w:themeColor="text1"/>
          <w:szCs w:val="24"/>
          <w:lang w:bidi="en-US"/>
        </w:rPr>
        <w:t>（二）</w:t>
      </w:r>
      <w:r w:rsidRPr="008A2411">
        <w:rPr>
          <w:rFonts w:ascii="Times New Roman"/>
          <w:color w:val="000000" w:themeColor="text1"/>
          <w:szCs w:val="24"/>
        </w:rPr>
        <w:t>模型</w:t>
      </w:r>
      <w:proofErr w:type="gramStart"/>
      <w:r w:rsidRPr="008A2411">
        <w:rPr>
          <w:rFonts w:ascii="Times New Roman"/>
          <w:color w:val="000000" w:themeColor="text1"/>
          <w:szCs w:val="24"/>
        </w:rPr>
        <w:t>概化范围</w:t>
      </w:r>
      <w:proofErr w:type="gramEnd"/>
      <w:r w:rsidRPr="008A2411">
        <w:rPr>
          <w:rFonts w:ascii="Times New Roman"/>
          <w:color w:val="000000" w:themeColor="text1"/>
          <w:szCs w:val="24"/>
        </w:rPr>
        <w:t>及时段</w:t>
      </w:r>
    </w:p>
    <w:p w14:paraId="4DCC538B"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w:t>
      </w:r>
      <w:r w:rsidRPr="008A2411">
        <w:rPr>
          <w:rFonts w:ascii="Times New Roman"/>
          <w:color w:val="000000" w:themeColor="text1"/>
          <w:szCs w:val="24"/>
        </w:rPr>
        <w:t>1</w:t>
      </w:r>
      <w:r w:rsidRPr="008A2411">
        <w:rPr>
          <w:rFonts w:ascii="Times New Roman"/>
          <w:color w:val="000000" w:themeColor="text1"/>
          <w:szCs w:val="24"/>
        </w:rPr>
        <w:t>）</w:t>
      </w:r>
      <w:proofErr w:type="gramStart"/>
      <w:r w:rsidRPr="008A2411">
        <w:rPr>
          <w:rFonts w:ascii="Times New Roman"/>
          <w:color w:val="000000" w:themeColor="text1"/>
          <w:szCs w:val="24"/>
        </w:rPr>
        <w:t>模型概化范围</w:t>
      </w:r>
      <w:proofErr w:type="gramEnd"/>
    </w:p>
    <w:p w14:paraId="32ADD03E"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rPr>
        <w:t>根据</w:t>
      </w:r>
      <w:proofErr w:type="gramStart"/>
      <w:r w:rsidRPr="008A2411">
        <w:rPr>
          <w:rFonts w:ascii="Times New Roman"/>
          <w:color w:val="000000" w:themeColor="text1"/>
        </w:rPr>
        <w:t>评价区</w:t>
      </w:r>
      <w:proofErr w:type="gramEnd"/>
      <w:r w:rsidRPr="008A2411">
        <w:rPr>
          <w:rFonts w:ascii="Times New Roman"/>
          <w:color w:val="000000" w:themeColor="text1"/>
        </w:rPr>
        <w:t>水文地质条件，模型模拟范围：东侧、北侧及南侧以当地最低侵蚀基准面</w:t>
      </w:r>
      <w:proofErr w:type="gramStart"/>
      <w:r w:rsidRPr="008A2411">
        <w:rPr>
          <w:rFonts w:ascii="Times New Roman"/>
          <w:color w:val="000000" w:themeColor="text1"/>
        </w:rPr>
        <w:t>墩子河</w:t>
      </w:r>
      <w:proofErr w:type="gramEnd"/>
      <w:r w:rsidRPr="008A2411">
        <w:rPr>
          <w:rFonts w:ascii="Times New Roman"/>
          <w:color w:val="000000" w:themeColor="text1"/>
        </w:rPr>
        <w:t>及其支沟为界，北侧及西北侧以地表水分水岭为界。据测算，本项目地下水环境影响预测范围略小于评价范围，共计约</w:t>
      </w:r>
      <w:r w:rsidRPr="008A2411">
        <w:rPr>
          <w:rFonts w:ascii="Times New Roman"/>
          <w:color w:val="000000" w:themeColor="text1"/>
        </w:rPr>
        <w:t>0.95km</w:t>
      </w:r>
      <w:r w:rsidRPr="008A2411">
        <w:rPr>
          <w:rFonts w:ascii="Times New Roman"/>
          <w:color w:val="000000" w:themeColor="text1"/>
          <w:vertAlign w:val="superscript"/>
        </w:rPr>
        <w:t>2</w:t>
      </w:r>
      <w:r w:rsidRPr="008A2411">
        <w:rPr>
          <w:rFonts w:ascii="Times New Roman"/>
          <w:color w:val="000000" w:themeColor="text1"/>
          <w:szCs w:val="24"/>
        </w:rPr>
        <w:t>。</w:t>
      </w:r>
    </w:p>
    <w:p w14:paraId="511A9EB5"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w:t>
      </w:r>
      <w:r w:rsidRPr="008A2411">
        <w:rPr>
          <w:rFonts w:ascii="Times New Roman"/>
          <w:color w:val="000000" w:themeColor="text1"/>
          <w:szCs w:val="24"/>
        </w:rPr>
        <w:t>2</w:t>
      </w:r>
      <w:r w:rsidRPr="008A2411">
        <w:rPr>
          <w:rFonts w:ascii="Times New Roman"/>
          <w:color w:val="000000" w:themeColor="text1"/>
          <w:szCs w:val="24"/>
        </w:rPr>
        <w:t>）预测时段</w:t>
      </w:r>
    </w:p>
    <w:p w14:paraId="05476AD6" w14:textId="77777777" w:rsidR="00B0005F" w:rsidRPr="008A2411" w:rsidRDefault="00000000">
      <w:pPr>
        <w:adjustRightInd w:val="0"/>
        <w:snapToGrid w:val="0"/>
        <w:spacing w:line="360" w:lineRule="auto"/>
        <w:ind w:firstLine="480"/>
        <w:rPr>
          <w:rFonts w:ascii="Times New Roman"/>
          <w:color w:val="000000" w:themeColor="text1"/>
          <w:szCs w:val="24"/>
        </w:rPr>
      </w:pPr>
      <w:bookmarkStart w:id="452" w:name="_Toc320481665"/>
      <w:bookmarkStart w:id="453" w:name="_Toc306736283"/>
      <w:bookmarkStart w:id="454" w:name="_Toc327221744"/>
      <w:r w:rsidRPr="008A2411">
        <w:rPr>
          <w:rFonts w:ascii="Times New Roman"/>
          <w:color w:val="000000" w:themeColor="text1"/>
          <w:szCs w:val="24"/>
        </w:rPr>
        <w:t>针对本</w:t>
      </w:r>
      <w:proofErr w:type="gramStart"/>
      <w:r w:rsidRPr="008A2411">
        <w:rPr>
          <w:rFonts w:ascii="Times New Roman"/>
          <w:color w:val="000000" w:themeColor="text1"/>
          <w:szCs w:val="24"/>
        </w:rPr>
        <w:t>项目产污特征</w:t>
      </w:r>
      <w:proofErr w:type="gramEnd"/>
      <w:r w:rsidRPr="008A2411">
        <w:rPr>
          <w:rFonts w:ascii="Times New Roman"/>
          <w:color w:val="000000" w:themeColor="text1"/>
          <w:szCs w:val="24"/>
        </w:rPr>
        <w:t>，同时结合</w:t>
      </w:r>
      <w:proofErr w:type="gramStart"/>
      <w:r w:rsidRPr="008A2411">
        <w:rPr>
          <w:rFonts w:ascii="Times New Roman"/>
          <w:color w:val="000000" w:themeColor="text1"/>
          <w:szCs w:val="24"/>
        </w:rPr>
        <w:t>评价区</w:t>
      </w:r>
      <w:proofErr w:type="gramEnd"/>
      <w:r w:rsidRPr="008A2411">
        <w:rPr>
          <w:rFonts w:ascii="Times New Roman"/>
          <w:color w:val="000000" w:themeColor="text1"/>
          <w:szCs w:val="24"/>
        </w:rPr>
        <w:t>水文地质概况，本次预测时段为非正常状况发生后</w:t>
      </w:r>
      <w:r w:rsidRPr="008A2411">
        <w:rPr>
          <w:rFonts w:ascii="Times New Roman"/>
          <w:color w:val="000000" w:themeColor="text1"/>
          <w:szCs w:val="24"/>
        </w:rPr>
        <w:t>0</w:t>
      </w:r>
      <w:r w:rsidRPr="008A2411">
        <w:rPr>
          <w:rFonts w:ascii="Times New Roman"/>
          <w:color w:val="000000" w:themeColor="text1"/>
          <w:szCs w:val="24"/>
        </w:rPr>
        <w:t>～</w:t>
      </w:r>
      <w:r w:rsidRPr="008A2411">
        <w:rPr>
          <w:rFonts w:ascii="Times New Roman"/>
          <w:color w:val="000000" w:themeColor="text1"/>
          <w:szCs w:val="24"/>
        </w:rPr>
        <w:t>50 a</w:t>
      </w:r>
      <w:r w:rsidRPr="008A2411">
        <w:rPr>
          <w:rFonts w:ascii="Times New Roman"/>
          <w:color w:val="000000" w:themeColor="text1"/>
          <w:szCs w:val="24"/>
        </w:rPr>
        <w:t>。</w:t>
      </w:r>
    </w:p>
    <w:p w14:paraId="1FDA487E" w14:textId="77777777" w:rsidR="00B0005F" w:rsidRPr="008A2411" w:rsidRDefault="00000000">
      <w:pPr>
        <w:adjustRightInd w:val="0"/>
        <w:snapToGrid w:val="0"/>
        <w:spacing w:line="360" w:lineRule="auto"/>
        <w:ind w:firstLine="241"/>
        <w:rPr>
          <w:rFonts w:ascii="Times New Roman"/>
          <w:color w:val="000000" w:themeColor="text1"/>
          <w:szCs w:val="24"/>
        </w:rPr>
      </w:pPr>
      <w:r w:rsidRPr="008A2411">
        <w:rPr>
          <w:rFonts w:ascii="Times New Roman"/>
          <w:b/>
          <w:color w:val="000000" w:themeColor="text1"/>
          <w:szCs w:val="24"/>
          <w:lang w:bidi="en-US"/>
        </w:rPr>
        <w:t>（三）</w:t>
      </w:r>
      <w:r w:rsidRPr="008A2411">
        <w:rPr>
          <w:rFonts w:ascii="Times New Roman"/>
          <w:color w:val="000000" w:themeColor="text1"/>
          <w:szCs w:val="24"/>
        </w:rPr>
        <w:t>预测</w:t>
      </w:r>
      <w:bookmarkEnd w:id="452"/>
      <w:bookmarkEnd w:id="453"/>
      <w:bookmarkEnd w:id="454"/>
      <w:r w:rsidRPr="008A2411">
        <w:rPr>
          <w:rFonts w:ascii="Times New Roman"/>
          <w:color w:val="000000" w:themeColor="text1"/>
          <w:szCs w:val="24"/>
        </w:rPr>
        <w:t>因子</w:t>
      </w:r>
    </w:p>
    <w:p w14:paraId="141BDED2" w14:textId="77777777" w:rsidR="00B0005F" w:rsidRPr="008A2411" w:rsidRDefault="00000000">
      <w:pPr>
        <w:adjustRightInd w:val="0"/>
        <w:snapToGrid w:val="0"/>
        <w:spacing w:line="360" w:lineRule="auto"/>
        <w:ind w:firstLine="480"/>
        <w:rPr>
          <w:rFonts w:ascii="Times New Roman"/>
          <w:color w:val="000000" w:themeColor="text1"/>
        </w:rPr>
      </w:pPr>
      <w:bookmarkStart w:id="455" w:name="_Toc339908708"/>
      <w:bookmarkStart w:id="456" w:name="_Toc365818164"/>
      <w:bookmarkEnd w:id="447"/>
      <w:bookmarkEnd w:id="448"/>
      <w:bookmarkEnd w:id="449"/>
      <w:bookmarkEnd w:id="450"/>
      <w:bookmarkEnd w:id="451"/>
      <w:r w:rsidRPr="008A2411">
        <w:rPr>
          <w:rFonts w:ascii="Times New Roman"/>
          <w:color w:val="000000" w:themeColor="text1"/>
        </w:rPr>
        <w:t>根据工程分析，本项目</w:t>
      </w:r>
      <w:proofErr w:type="gramStart"/>
      <w:r w:rsidRPr="008A2411">
        <w:rPr>
          <w:rFonts w:ascii="Times New Roman"/>
          <w:color w:val="000000" w:themeColor="text1"/>
        </w:rPr>
        <w:t>主要产污构筑物</w:t>
      </w:r>
      <w:proofErr w:type="gramEnd"/>
      <w:r w:rsidRPr="008A2411">
        <w:rPr>
          <w:rFonts w:ascii="Times New Roman"/>
          <w:color w:val="000000" w:themeColor="text1"/>
        </w:rPr>
        <w:t>包括：</w:t>
      </w:r>
    </w:p>
    <w:p w14:paraId="0C3FD7FD" w14:textId="77777777" w:rsidR="00B0005F" w:rsidRPr="008A2411" w:rsidRDefault="00000000">
      <w:pPr>
        <w:adjustRightInd w:val="0"/>
        <w:snapToGrid w:val="0"/>
        <w:spacing w:line="360" w:lineRule="auto"/>
        <w:ind w:firstLine="480"/>
        <w:rPr>
          <w:rFonts w:ascii="Times New Roman"/>
          <w:color w:val="000000" w:themeColor="text1"/>
        </w:rPr>
      </w:pPr>
      <w:r w:rsidRPr="008A2411">
        <w:rPr>
          <w:rFonts w:ascii="Times New Roman"/>
          <w:color w:val="000000" w:themeColor="text1"/>
          <w:szCs w:val="24"/>
        </w:rPr>
        <w:t>①</w:t>
      </w:r>
      <w:r w:rsidRPr="008A2411">
        <w:rPr>
          <w:rFonts w:ascii="Times New Roman"/>
          <w:color w:val="000000" w:themeColor="text1"/>
          <w:szCs w:val="24"/>
        </w:rPr>
        <w:t>主</w:t>
      </w:r>
      <w:r w:rsidRPr="008A2411">
        <w:rPr>
          <w:rFonts w:ascii="Times New Roman"/>
          <w:color w:val="000000" w:themeColor="text1"/>
        </w:rPr>
        <w:t>体工程：原料气净化脱酸单元（吸收塔和闪蒸罐）。</w:t>
      </w:r>
    </w:p>
    <w:p w14:paraId="084DB325" w14:textId="77777777" w:rsidR="00B0005F" w:rsidRPr="008A2411" w:rsidRDefault="00000000">
      <w:pPr>
        <w:adjustRightInd w:val="0"/>
        <w:snapToGrid w:val="0"/>
        <w:spacing w:line="360" w:lineRule="auto"/>
        <w:ind w:firstLine="480"/>
        <w:rPr>
          <w:rFonts w:ascii="Times New Roman"/>
          <w:color w:val="000000" w:themeColor="text1"/>
          <w:szCs w:val="24"/>
        </w:rPr>
      </w:pPr>
      <w:r w:rsidRPr="008A2411">
        <w:rPr>
          <w:rFonts w:ascii="Times New Roman"/>
          <w:color w:val="000000" w:themeColor="text1"/>
          <w:szCs w:val="24"/>
        </w:rPr>
        <w:t>②</w:t>
      </w:r>
      <w:r w:rsidRPr="008A2411">
        <w:rPr>
          <w:rFonts w:ascii="Times New Roman"/>
          <w:color w:val="000000" w:themeColor="text1"/>
        </w:rPr>
        <w:t>公辅工程：导热油系统（导热油炉）</w:t>
      </w:r>
    </w:p>
    <w:p w14:paraId="27DE48B1" w14:textId="77777777" w:rsidR="00B0005F" w:rsidRPr="008A2411" w:rsidRDefault="00000000">
      <w:pPr>
        <w:adjustRightInd w:val="0"/>
        <w:snapToGrid w:val="0"/>
        <w:spacing w:line="360" w:lineRule="auto"/>
        <w:ind w:firstLine="480"/>
        <w:rPr>
          <w:rFonts w:ascii="Times New Roman"/>
          <w:color w:val="000000" w:themeColor="text1"/>
          <w:szCs w:val="24"/>
        </w:rPr>
      </w:pPr>
      <w:r w:rsidRPr="008A2411">
        <w:rPr>
          <w:rFonts w:ascii="Times New Roman"/>
          <w:color w:val="000000" w:themeColor="text1"/>
          <w:szCs w:val="24"/>
        </w:rPr>
        <w:t>③</w:t>
      </w:r>
      <w:r w:rsidRPr="008A2411">
        <w:rPr>
          <w:rFonts w:ascii="Times New Roman"/>
          <w:color w:val="000000" w:themeColor="text1"/>
          <w:szCs w:val="24"/>
        </w:rPr>
        <w:t>环保工程：</w:t>
      </w:r>
      <w:r w:rsidRPr="008A2411">
        <w:rPr>
          <w:rFonts w:ascii="Times New Roman"/>
          <w:color w:val="000000" w:themeColor="text1"/>
        </w:rPr>
        <w:t>污水处理站</w:t>
      </w:r>
      <w:r w:rsidRPr="008A2411">
        <w:rPr>
          <w:rFonts w:ascii="Times New Roman"/>
          <w:color w:val="000000" w:themeColor="text1"/>
          <w:szCs w:val="24"/>
        </w:rPr>
        <w:t>。</w:t>
      </w:r>
    </w:p>
    <w:p w14:paraId="15977543" w14:textId="77777777" w:rsidR="00B0005F" w:rsidRPr="008A2411" w:rsidRDefault="00000000">
      <w:pPr>
        <w:adjustRightInd w:val="0"/>
        <w:snapToGrid w:val="0"/>
        <w:spacing w:line="360" w:lineRule="auto"/>
        <w:ind w:firstLine="480"/>
        <w:rPr>
          <w:rFonts w:ascii="Times New Roman"/>
          <w:color w:val="000000" w:themeColor="text1"/>
        </w:rPr>
      </w:pPr>
      <w:r w:rsidRPr="008A2411">
        <w:rPr>
          <w:rFonts w:ascii="Times New Roman"/>
          <w:color w:val="000000" w:themeColor="text1"/>
        </w:rPr>
        <w:t>依据《环境影响评价技术导则</w:t>
      </w:r>
      <w:r w:rsidRPr="008A2411">
        <w:rPr>
          <w:rFonts w:ascii="Times New Roman"/>
          <w:color w:val="000000" w:themeColor="text1"/>
        </w:rPr>
        <w:t>-</w:t>
      </w:r>
      <w:r w:rsidRPr="008A2411">
        <w:rPr>
          <w:rFonts w:ascii="Times New Roman"/>
          <w:color w:val="000000" w:themeColor="text1"/>
        </w:rPr>
        <w:t>地下水环境》（</w:t>
      </w:r>
      <w:r w:rsidRPr="008A2411">
        <w:rPr>
          <w:rFonts w:ascii="Times New Roman"/>
          <w:color w:val="000000" w:themeColor="text1"/>
        </w:rPr>
        <w:t>HJ610-2016</w:t>
      </w:r>
      <w:r w:rsidRPr="008A2411">
        <w:rPr>
          <w:rFonts w:ascii="Times New Roman"/>
          <w:color w:val="000000" w:themeColor="text1"/>
        </w:rPr>
        <w:t>），环</w:t>
      </w:r>
      <w:proofErr w:type="gramStart"/>
      <w:r w:rsidRPr="008A2411">
        <w:rPr>
          <w:rFonts w:ascii="Times New Roman"/>
          <w:color w:val="000000" w:themeColor="text1"/>
        </w:rPr>
        <w:t>评要求</w:t>
      </w:r>
      <w:proofErr w:type="gramEnd"/>
      <w:r w:rsidRPr="008A2411">
        <w:rPr>
          <w:rFonts w:ascii="Times New Roman"/>
          <w:color w:val="000000" w:themeColor="text1"/>
        </w:rPr>
        <w:t>上</w:t>
      </w:r>
      <w:r w:rsidRPr="008A2411">
        <w:rPr>
          <w:rFonts w:ascii="Times New Roman"/>
          <w:color w:val="000000" w:themeColor="text1"/>
        </w:rPr>
        <w:lastRenderedPageBreak/>
        <w:t>述构筑物均采取重点防渗措施。在采取防渗措施后，本项目正常运行状况废水基本上不会下渗，对地下水环境影响极小，本报告将不进行预测分析。</w:t>
      </w:r>
    </w:p>
    <w:p w14:paraId="6E7A3F56" w14:textId="77777777" w:rsidR="00B0005F" w:rsidRPr="008A2411" w:rsidRDefault="00000000">
      <w:pPr>
        <w:adjustRightInd w:val="0"/>
        <w:snapToGrid w:val="0"/>
        <w:spacing w:line="360" w:lineRule="auto"/>
        <w:ind w:firstLine="482"/>
        <w:rPr>
          <w:rFonts w:ascii="Times New Roman"/>
          <w:color w:val="000000" w:themeColor="text1"/>
          <w:szCs w:val="24"/>
        </w:rPr>
      </w:pPr>
      <w:r w:rsidRPr="008A2411">
        <w:rPr>
          <w:rFonts w:ascii="Times New Roman"/>
          <w:color w:val="000000" w:themeColor="text1"/>
        </w:rPr>
        <w:t>原料气净化脱酸单元本次选取典型污染因子</w:t>
      </w:r>
      <w:r w:rsidRPr="008A2411">
        <w:rPr>
          <w:rFonts w:ascii="Times New Roman"/>
          <w:color w:val="000000" w:themeColor="text1"/>
        </w:rPr>
        <w:t>COD</w:t>
      </w:r>
      <w:r w:rsidRPr="008A2411">
        <w:rPr>
          <w:rFonts w:ascii="Times New Roman"/>
          <w:color w:val="000000" w:themeColor="text1"/>
          <w:vertAlign w:val="subscript"/>
        </w:rPr>
        <w:t>Mn</w:t>
      </w:r>
      <w:r w:rsidRPr="008A2411">
        <w:rPr>
          <w:rFonts w:ascii="Times New Roman"/>
          <w:color w:val="000000" w:themeColor="text1"/>
        </w:rPr>
        <w:t>（</w:t>
      </w:r>
      <w:r w:rsidRPr="008A2411">
        <w:rPr>
          <w:rFonts w:ascii="Times New Roman"/>
          <w:color w:val="000000" w:themeColor="text1"/>
        </w:rPr>
        <w:t>MDEA</w:t>
      </w:r>
      <w:r w:rsidRPr="008A2411">
        <w:rPr>
          <w:rFonts w:ascii="Times New Roman"/>
          <w:color w:val="000000" w:themeColor="text1"/>
        </w:rPr>
        <w:t>折算）作为预测因子；导热油系统选择石油类作为污染预测因子；污水处理站本次选取典型污染因子</w:t>
      </w:r>
      <w:r w:rsidRPr="008A2411">
        <w:rPr>
          <w:rFonts w:ascii="Times New Roman"/>
          <w:color w:val="000000" w:themeColor="text1"/>
        </w:rPr>
        <w:t>COD</w:t>
      </w:r>
      <w:r w:rsidRPr="008A2411">
        <w:rPr>
          <w:rFonts w:ascii="Times New Roman"/>
          <w:color w:val="000000" w:themeColor="text1"/>
          <w:vertAlign w:val="subscript"/>
        </w:rPr>
        <w:t>Mn</w:t>
      </w:r>
      <w:r w:rsidRPr="008A2411">
        <w:rPr>
          <w:rFonts w:ascii="Times New Roman"/>
          <w:color w:val="000000" w:themeColor="text1"/>
        </w:rPr>
        <w:t>及石油类作为预测因子</w:t>
      </w:r>
      <w:r w:rsidRPr="008A2411">
        <w:rPr>
          <w:rFonts w:ascii="Times New Roman"/>
          <w:color w:val="000000" w:themeColor="text1"/>
          <w:szCs w:val="24"/>
        </w:rPr>
        <w:t>。</w:t>
      </w:r>
    </w:p>
    <w:p w14:paraId="62DCC8B1" w14:textId="77777777" w:rsidR="00B0005F" w:rsidRPr="008A2411" w:rsidRDefault="00000000">
      <w:pPr>
        <w:adjustRightInd w:val="0"/>
        <w:spacing w:line="360" w:lineRule="auto"/>
        <w:ind w:firstLine="241"/>
        <w:rPr>
          <w:rFonts w:ascii="Times New Roman"/>
          <w:color w:val="000000" w:themeColor="text1"/>
          <w:szCs w:val="24"/>
        </w:rPr>
      </w:pPr>
      <w:r w:rsidRPr="008A2411">
        <w:rPr>
          <w:rFonts w:ascii="Times New Roman"/>
          <w:bCs/>
          <w:color w:val="000000" w:themeColor="text1"/>
          <w:szCs w:val="24"/>
          <w:lang w:bidi="en-US"/>
        </w:rPr>
        <w:t>（四）</w:t>
      </w:r>
      <w:r w:rsidRPr="008A2411">
        <w:rPr>
          <w:rFonts w:ascii="Times New Roman"/>
          <w:color w:val="000000" w:themeColor="text1"/>
          <w:szCs w:val="24"/>
        </w:rPr>
        <w:t>地下水环境影响预测与</w:t>
      </w:r>
      <w:bookmarkEnd w:id="455"/>
      <w:bookmarkEnd w:id="456"/>
      <w:r w:rsidRPr="008A2411">
        <w:rPr>
          <w:rFonts w:ascii="Times New Roman"/>
          <w:color w:val="000000" w:themeColor="text1"/>
          <w:szCs w:val="24"/>
        </w:rPr>
        <w:t>评</w:t>
      </w:r>
      <w:bookmarkStart w:id="457" w:name="_Toc339908709"/>
      <w:bookmarkStart w:id="458" w:name="_Toc365818165"/>
      <w:r w:rsidRPr="008A2411">
        <w:rPr>
          <w:rFonts w:ascii="Times New Roman"/>
          <w:color w:val="000000" w:themeColor="text1"/>
          <w:szCs w:val="24"/>
        </w:rPr>
        <w:t>价</w:t>
      </w:r>
    </w:p>
    <w:p w14:paraId="4B0C1148" w14:textId="77777777" w:rsidR="00B0005F" w:rsidRPr="008A2411" w:rsidRDefault="00000000">
      <w:pPr>
        <w:adjustRightInd w:val="0"/>
        <w:spacing w:line="360" w:lineRule="auto"/>
        <w:ind w:firstLine="482"/>
        <w:rPr>
          <w:rFonts w:ascii="Times New Roman"/>
          <w:b/>
          <w:color w:val="000000" w:themeColor="text1"/>
          <w:szCs w:val="24"/>
        </w:rPr>
      </w:pPr>
      <w:r w:rsidRPr="008A2411">
        <w:rPr>
          <w:rFonts w:ascii="Times New Roman"/>
          <w:b/>
          <w:color w:val="000000" w:themeColor="text1"/>
          <w:szCs w:val="24"/>
        </w:rPr>
        <w:t>（</w:t>
      </w:r>
      <w:r w:rsidRPr="008A2411">
        <w:rPr>
          <w:rFonts w:ascii="Times New Roman"/>
          <w:b/>
          <w:color w:val="000000" w:themeColor="text1"/>
          <w:szCs w:val="24"/>
        </w:rPr>
        <w:t>1</w:t>
      </w:r>
      <w:r w:rsidRPr="008A2411">
        <w:rPr>
          <w:rFonts w:ascii="Times New Roman"/>
          <w:b/>
          <w:color w:val="000000" w:themeColor="text1"/>
          <w:szCs w:val="24"/>
        </w:rPr>
        <w:t>）预测方法</w:t>
      </w:r>
    </w:p>
    <w:p w14:paraId="28FFCEF9" w14:textId="77777777" w:rsidR="00B0005F" w:rsidRPr="008A2411" w:rsidRDefault="00000000">
      <w:pPr>
        <w:adjustRightInd w:val="0"/>
        <w:spacing w:line="360" w:lineRule="auto"/>
        <w:ind w:firstLine="480"/>
        <w:rPr>
          <w:rFonts w:ascii="Times New Roman"/>
          <w:color w:val="000000" w:themeColor="text1"/>
          <w:szCs w:val="24"/>
        </w:rPr>
      </w:pPr>
      <w:proofErr w:type="gramStart"/>
      <w:r w:rsidRPr="008A2411">
        <w:rPr>
          <w:rFonts w:ascii="Times New Roman"/>
          <w:color w:val="000000" w:themeColor="text1"/>
          <w:szCs w:val="24"/>
        </w:rPr>
        <w:t>基于资料</w:t>
      </w:r>
      <w:proofErr w:type="gramEnd"/>
      <w:r w:rsidRPr="008A2411">
        <w:rPr>
          <w:rFonts w:ascii="Times New Roman"/>
          <w:color w:val="000000" w:themeColor="text1"/>
          <w:szCs w:val="24"/>
        </w:rPr>
        <w:t>收集和现场调查，分析并掌握项目区的环境和水文地质特征，建立地下水流动的污染物迁移的数学模型，根据工程分析确定</w:t>
      </w:r>
      <w:proofErr w:type="gramStart"/>
      <w:r w:rsidRPr="008A2411">
        <w:rPr>
          <w:rFonts w:ascii="Times New Roman"/>
          <w:color w:val="000000" w:themeColor="text1"/>
          <w:szCs w:val="24"/>
        </w:rPr>
        <w:t>各状况</w:t>
      </w:r>
      <w:proofErr w:type="gramEnd"/>
      <w:r w:rsidRPr="008A2411">
        <w:rPr>
          <w:rFonts w:ascii="Times New Roman"/>
          <w:color w:val="000000" w:themeColor="text1"/>
          <w:szCs w:val="24"/>
        </w:rPr>
        <w:t>下的污染源强及预测参数，建立以</w:t>
      </w:r>
      <w:r w:rsidRPr="008A2411">
        <w:rPr>
          <w:rFonts w:ascii="Times New Roman"/>
          <w:color w:val="000000" w:themeColor="text1"/>
          <w:szCs w:val="24"/>
        </w:rPr>
        <w:t>Visual MODFLOW</w:t>
      </w:r>
      <w:r w:rsidRPr="008A2411">
        <w:rPr>
          <w:rFonts w:ascii="Times New Roman"/>
          <w:color w:val="000000" w:themeColor="text1"/>
          <w:szCs w:val="24"/>
        </w:rPr>
        <w:t>数值计算的水量和水质预测模型，针对本项目运行期非正常状况可能对地下水环境产生的影响进行预测。</w:t>
      </w:r>
    </w:p>
    <w:p w14:paraId="78B3FBCC" w14:textId="77777777" w:rsidR="00B0005F" w:rsidRPr="008A2411" w:rsidRDefault="00000000">
      <w:pPr>
        <w:adjustRightInd w:val="0"/>
        <w:spacing w:line="360" w:lineRule="auto"/>
        <w:ind w:firstLine="482"/>
        <w:rPr>
          <w:rFonts w:ascii="Times New Roman"/>
          <w:b/>
          <w:color w:val="000000" w:themeColor="text1"/>
          <w:szCs w:val="24"/>
        </w:rPr>
      </w:pPr>
      <w:r w:rsidRPr="008A2411">
        <w:rPr>
          <w:rFonts w:ascii="Times New Roman"/>
          <w:b/>
          <w:color w:val="000000" w:themeColor="text1"/>
          <w:szCs w:val="24"/>
        </w:rPr>
        <w:t>（</w:t>
      </w:r>
      <w:r w:rsidRPr="008A2411">
        <w:rPr>
          <w:rFonts w:ascii="Times New Roman"/>
          <w:b/>
          <w:color w:val="000000" w:themeColor="text1"/>
          <w:szCs w:val="24"/>
        </w:rPr>
        <w:t>2</w:t>
      </w:r>
      <w:r w:rsidRPr="008A2411">
        <w:rPr>
          <w:rFonts w:ascii="Times New Roman"/>
          <w:b/>
          <w:color w:val="000000" w:themeColor="text1"/>
          <w:szCs w:val="24"/>
        </w:rPr>
        <w:t>）地下水流场数值模拟</w:t>
      </w:r>
    </w:p>
    <w:p w14:paraId="2BCFBD0B"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1</w:t>
      </w:r>
      <w:r w:rsidRPr="008A2411">
        <w:rPr>
          <w:rFonts w:ascii="Times New Roman"/>
          <w:color w:val="000000" w:themeColor="text1"/>
          <w:szCs w:val="24"/>
        </w:rPr>
        <w:t>）数学模型</w:t>
      </w:r>
    </w:p>
    <w:p w14:paraId="5B941341"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地下水流模拟采用分块均质、各向异性、非稳定三维分布参数地下水流数学模型，其数学表达形式如下：</w:t>
      </w:r>
    </w:p>
    <w:p w14:paraId="5AB390A9"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noProof/>
          <w:color w:val="000000" w:themeColor="text1"/>
          <w:position w:val="-112"/>
          <w:szCs w:val="24"/>
        </w:rPr>
        <w:drawing>
          <wp:inline distT="0" distB="0" distL="0" distR="0" wp14:anchorId="7AD0C153" wp14:editId="359585DD">
            <wp:extent cx="4823460" cy="1264920"/>
            <wp:effectExtent l="0" t="0" r="0" b="0"/>
            <wp:docPr id="7189" name="图片 7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89" name="图片 7189"/>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a:xfrm>
                      <a:off x="0" y="0"/>
                      <a:ext cx="4823460" cy="1264920"/>
                    </a:xfrm>
                    <a:prstGeom prst="rect">
                      <a:avLst/>
                    </a:prstGeom>
                    <a:noFill/>
                    <a:ln>
                      <a:noFill/>
                    </a:ln>
                  </pic:spPr>
                </pic:pic>
              </a:graphicData>
            </a:graphic>
          </wp:inline>
        </w:drawing>
      </w:r>
    </w:p>
    <w:p w14:paraId="35C17A63" w14:textId="77777777" w:rsidR="00B0005F" w:rsidRPr="008A2411" w:rsidRDefault="00000000">
      <w:pPr>
        <w:adjustRightInd w:val="0"/>
        <w:spacing w:line="360" w:lineRule="auto"/>
        <w:ind w:firstLine="482"/>
        <w:rPr>
          <w:rFonts w:ascii="Times New Roman"/>
          <w:b/>
          <w:color w:val="000000" w:themeColor="text1"/>
          <w:szCs w:val="24"/>
        </w:rPr>
      </w:pPr>
      <w:r w:rsidRPr="008A2411">
        <w:rPr>
          <w:rFonts w:ascii="Times New Roman"/>
          <w:b/>
          <w:color w:val="000000" w:themeColor="text1"/>
          <w:szCs w:val="24"/>
        </w:rPr>
        <w:t>式中：</w:t>
      </w:r>
    </w:p>
    <w:p w14:paraId="5A80FD62" w14:textId="77777777" w:rsidR="00B0005F" w:rsidRPr="008A2411" w:rsidRDefault="00000000">
      <w:pPr>
        <w:adjustRightInd w:val="0"/>
        <w:spacing w:line="360" w:lineRule="auto"/>
        <w:ind w:firstLine="480"/>
        <w:rPr>
          <w:rFonts w:ascii="Times New Roman"/>
          <w:b/>
          <w:color w:val="000000" w:themeColor="text1"/>
          <w:szCs w:val="24"/>
        </w:rPr>
      </w:pPr>
      <w:r w:rsidRPr="008A2411">
        <w:rPr>
          <w:rFonts w:ascii="Times New Roman"/>
          <w:color w:val="000000" w:themeColor="text1"/>
          <w:szCs w:val="24"/>
        </w:rPr>
        <w:t>H</w:t>
      </w:r>
      <w:r w:rsidRPr="008A2411">
        <w:rPr>
          <w:rFonts w:ascii="Times New Roman"/>
          <w:color w:val="000000" w:themeColor="text1"/>
          <w:szCs w:val="24"/>
        </w:rPr>
        <w:t>（</w:t>
      </w:r>
      <w:r w:rsidRPr="008A2411">
        <w:rPr>
          <w:rFonts w:ascii="Times New Roman"/>
          <w:color w:val="000000" w:themeColor="text1"/>
          <w:szCs w:val="24"/>
        </w:rPr>
        <w:t>x,y,z,t</w:t>
      </w:r>
      <w:r w:rsidRPr="008A2411">
        <w:rPr>
          <w:rFonts w:ascii="Times New Roman"/>
          <w:color w:val="000000" w:themeColor="text1"/>
          <w:szCs w:val="24"/>
        </w:rPr>
        <w:t>）表示</w:t>
      </w:r>
      <w:proofErr w:type="gramStart"/>
      <w:r w:rsidRPr="008A2411">
        <w:rPr>
          <w:rFonts w:ascii="Times New Roman"/>
          <w:color w:val="000000" w:themeColor="text1"/>
          <w:szCs w:val="24"/>
        </w:rPr>
        <w:t>模拟区</w:t>
      </w:r>
      <w:proofErr w:type="gramEnd"/>
      <w:r w:rsidRPr="008A2411">
        <w:rPr>
          <w:rFonts w:ascii="Times New Roman"/>
          <w:color w:val="000000" w:themeColor="text1"/>
          <w:szCs w:val="24"/>
        </w:rPr>
        <w:t>任一点（</w:t>
      </w:r>
      <w:r w:rsidRPr="008A2411">
        <w:rPr>
          <w:rFonts w:ascii="Times New Roman"/>
          <w:color w:val="000000" w:themeColor="text1"/>
          <w:szCs w:val="24"/>
        </w:rPr>
        <w:t>x,y,z</w:t>
      </w:r>
      <w:r w:rsidRPr="008A2411">
        <w:rPr>
          <w:rFonts w:ascii="Times New Roman"/>
          <w:color w:val="000000" w:themeColor="text1"/>
          <w:szCs w:val="24"/>
        </w:rPr>
        <w:t>）任</w:t>
      </w:r>
      <w:proofErr w:type="gramStart"/>
      <w:r w:rsidRPr="008A2411">
        <w:rPr>
          <w:rFonts w:ascii="Times New Roman"/>
          <w:color w:val="000000" w:themeColor="text1"/>
          <w:szCs w:val="24"/>
        </w:rPr>
        <w:t>一</w:t>
      </w:r>
      <w:proofErr w:type="gramEnd"/>
      <w:r w:rsidRPr="008A2411">
        <w:rPr>
          <w:rFonts w:ascii="Times New Roman"/>
          <w:color w:val="000000" w:themeColor="text1"/>
          <w:szCs w:val="24"/>
        </w:rPr>
        <w:t>时刻</w:t>
      </w:r>
      <w:r w:rsidRPr="008A2411">
        <w:rPr>
          <w:rFonts w:ascii="Times New Roman"/>
          <w:color w:val="000000" w:themeColor="text1"/>
          <w:szCs w:val="24"/>
        </w:rPr>
        <w:t>t</w:t>
      </w:r>
      <w:r w:rsidRPr="008A2411">
        <w:rPr>
          <w:rFonts w:ascii="Times New Roman"/>
          <w:color w:val="000000" w:themeColor="text1"/>
          <w:szCs w:val="24"/>
        </w:rPr>
        <w:t>的水头值（</w:t>
      </w:r>
      <w:r w:rsidRPr="008A2411">
        <w:rPr>
          <w:rFonts w:ascii="Times New Roman"/>
          <w:color w:val="000000" w:themeColor="text1"/>
          <w:szCs w:val="24"/>
        </w:rPr>
        <w:t>m</w:t>
      </w:r>
      <w:r w:rsidRPr="008A2411">
        <w:rPr>
          <w:rFonts w:ascii="Times New Roman"/>
          <w:color w:val="000000" w:themeColor="text1"/>
          <w:szCs w:val="24"/>
        </w:rPr>
        <w:t>）；</w:t>
      </w:r>
    </w:p>
    <w:p w14:paraId="21857524"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Ω</w:t>
      </w:r>
      <w:r w:rsidRPr="008A2411">
        <w:rPr>
          <w:rFonts w:ascii="Times New Roman"/>
          <w:color w:val="000000" w:themeColor="text1"/>
          <w:szCs w:val="24"/>
        </w:rPr>
        <w:t>表示地下水渗流区域；</w:t>
      </w:r>
    </w:p>
    <w:p w14:paraId="17EBA612"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S1</w:t>
      </w:r>
      <w:r w:rsidRPr="008A2411">
        <w:rPr>
          <w:rFonts w:ascii="Times New Roman"/>
          <w:color w:val="000000" w:themeColor="text1"/>
          <w:szCs w:val="24"/>
        </w:rPr>
        <w:t>为模型的第一类边界；</w:t>
      </w:r>
    </w:p>
    <w:p w14:paraId="464EB8A9"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S2</w:t>
      </w:r>
      <w:r w:rsidRPr="008A2411">
        <w:rPr>
          <w:rFonts w:ascii="Times New Roman"/>
          <w:color w:val="000000" w:themeColor="text1"/>
          <w:szCs w:val="24"/>
        </w:rPr>
        <w:t>为模型的第二类边界；</w:t>
      </w:r>
    </w:p>
    <w:p w14:paraId="550F071B"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K</w:t>
      </w:r>
      <w:r w:rsidRPr="008A2411">
        <w:rPr>
          <w:rFonts w:ascii="Times New Roman"/>
          <w:color w:val="000000" w:themeColor="text1"/>
          <w:szCs w:val="24"/>
          <w:vertAlign w:val="subscript"/>
        </w:rPr>
        <w:t>xx</w:t>
      </w:r>
      <w:r w:rsidRPr="008A2411">
        <w:rPr>
          <w:rFonts w:ascii="Times New Roman"/>
          <w:color w:val="000000" w:themeColor="text1"/>
          <w:szCs w:val="24"/>
        </w:rPr>
        <w:t>，</w:t>
      </w:r>
      <w:r w:rsidRPr="008A2411">
        <w:rPr>
          <w:rFonts w:ascii="Times New Roman"/>
          <w:color w:val="000000" w:themeColor="text1"/>
          <w:szCs w:val="24"/>
        </w:rPr>
        <w:t>K</w:t>
      </w:r>
      <w:r w:rsidRPr="008A2411">
        <w:rPr>
          <w:rFonts w:ascii="Times New Roman"/>
          <w:color w:val="000000" w:themeColor="text1"/>
          <w:szCs w:val="24"/>
          <w:vertAlign w:val="subscript"/>
        </w:rPr>
        <w:t>yy</w:t>
      </w:r>
      <w:r w:rsidRPr="008A2411">
        <w:rPr>
          <w:rFonts w:ascii="Times New Roman"/>
          <w:color w:val="000000" w:themeColor="text1"/>
          <w:szCs w:val="24"/>
        </w:rPr>
        <w:t>，</w:t>
      </w:r>
      <w:r w:rsidRPr="008A2411">
        <w:rPr>
          <w:rFonts w:ascii="Times New Roman"/>
          <w:color w:val="000000" w:themeColor="text1"/>
          <w:szCs w:val="24"/>
        </w:rPr>
        <w:t>K</w:t>
      </w:r>
      <w:r w:rsidRPr="008A2411">
        <w:rPr>
          <w:rFonts w:ascii="Times New Roman"/>
          <w:color w:val="000000" w:themeColor="text1"/>
          <w:szCs w:val="24"/>
          <w:vertAlign w:val="subscript"/>
        </w:rPr>
        <w:t>zz</w:t>
      </w:r>
      <w:r w:rsidRPr="008A2411">
        <w:rPr>
          <w:rFonts w:ascii="Times New Roman"/>
          <w:color w:val="000000" w:themeColor="text1"/>
          <w:szCs w:val="24"/>
        </w:rPr>
        <w:t>分别表示</w:t>
      </w:r>
      <w:r w:rsidRPr="008A2411">
        <w:rPr>
          <w:rFonts w:ascii="Times New Roman"/>
          <w:color w:val="000000" w:themeColor="text1"/>
          <w:szCs w:val="24"/>
        </w:rPr>
        <w:t>x</w:t>
      </w:r>
      <w:r w:rsidRPr="008A2411">
        <w:rPr>
          <w:rFonts w:ascii="Times New Roman"/>
          <w:color w:val="000000" w:themeColor="text1"/>
          <w:szCs w:val="24"/>
        </w:rPr>
        <w:t>，</w:t>
      </w:r>
      <w:r w:rsidRPr="008A2411">
        <w:rPr>
          <w:rFonts w:ascii="Times New Roman"/>
          <w:color w:val="000000" w:themeColor="text1"/>
          <w:szCs w:val="24"/>
        </w:rPr>
        <w:t>y</w:t>
      </w:r>
      <w:r w:rsidRPr="008A2411">
        <w:rPr>
          <w:rFonts w:ascii="Times New Roman"/>
          <w:color w:val="000000" w:themeColor="text1"/>
          <w:szCs w:val="24"/>
        </w:rPr>
        <w:t>，</w:t>
      </w:r>
      <w:r w:rsidRPr="008A2411">
        <w:rPr>
          <w:rFonts w:ascii="Times New Roman"/>
          <w:color w:val="000000" w:themeColor="text1"/>
          <w:szCs w:val="24"/>
        </w:rPr>
        <w:t>z</w:t>
      </w:r>
      <w:r w:rsidRPr="008A2411">
        <w:rPr>
          <w:rFonts w:ascii="Times New Roman"/>
          <w:color w:val="000000" w:themeColor="text1"/>
          <w:szCs w:val="24"/>
        </w:rPr>
        <w:t>主方向的渗透系数（</w:t>
      </w:r>
      <w:r w:rsidRPr="008A2411">
        <w:rPr>
          <w:rFonts w:ascii="Times New Roman"/>
          <w:color w:val="000000" w:themeColor="text1"/>
          <w:szCs w:val="24"/>
        </w:rPr>
        <w:t>m/d</w:t>
      </w:r>
      <w:r w:rsidRPr="008A2411">
        <w:rPr>
          <w:rFonts w:ascii="Times New Roman"/>
          <w:color w:val="000000" w:themeColor="text1"/>
          <w:szCs w:val="24"/>
        </w:rPr>
        <w:t>）。</w:t>
      </w:r>
    </w:p>
    <w:p w14:paraId="3C907D3C"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w</w:t>
      </w:r>
      <w:r w:rsidRPr="008A2411">
        <w:rPr>
          <w:rFonts w:ascii="Times New Roman"/>
          <w:color w:val="000000" w:themeColor="text1"/>
          <w:szCs w:val="24"/>
        </w:rPr>
        <w:t>表示源汇项，包括降水入渗补给、蒸发、井的抽水量和</w:t>
      </w:r>
      <w:proofErr w:type="gramStart"/>
      <w:r w:rsidRPr="008A2411">
        <w:rPr>
          <w:rFonts w:ascii="Times New Roman"/>
          <w:color w:val="000000" w:themeColor="text1"/>
          <w:szCs w:val="24"/>
        </w:rPr>
        <w:t>泉的</w:t>
      </w:r>
      <w:proofErr w:type="gramEnd"/>
      <w:r w:rsidRPr="008A2411">
        <w:rPr>
          <w:rFonts w:ascii="Times New Roman"/>
          <w:color w:val="000000" w:themeColor="text1"/>
          <w:szCs w:val="24"/>
        </w:rPr>
        <w:t>排泄量（</w:t>
      </w:r>
      <w:r w:rsidRPr="008A2411">
        <w:rPr>
          <w:rFonts w:ascii="Times New Roman"/>
          <w:color w:val="000000" w:themeColor="text1"/>
          <w:szCs w:val="24"/>
        </w:rPr>
        <w:t>d</w:t>
      </w:r>
      <w:r w:rsidRPr="008A2411">
        <w:rPr>
          <w:rFonts w:ascii="Times New Roman"/>
          <w:color w:val="000000" w:themeColor="text1"/>
          <w:szCs w:val="24"/>
          <w:vertAlign w:val="superscript"/>
        </w:rPr>
        <w:t>-1</w:t>
      </w:r>
      <w:r w:rsidRPr="008A2411">
        <w:rPr>
          <w:rFonts w:ascii="Times New Roman"/>
          <w:color w:val="000000" w:themeColor="text1"/>
          <w:szCs w:val="24"/>
        </w:rPr>
        <w:t>）；</w:t>
      </w:r>
    </w:p>
    <w:p w14:paraId="0E214C41"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μ</w:t>
      </w:r>
      <w:r w:rsidRPr="008A2411">
        <w:rPr>
          <w:rFonts w:ascii="Times New Roman"/>
          <w:color w:val="000000" w:themeColor="text1"/>
          <w:szCs w:val="24"/>
          <w:vertAlign w:val="subscript"/>
        </w:rPr>
        <w:t>s</w:t>
      </w:r>
      <w:r w:rsidRPr="008A2411">
        <w:rPr>
          <w:rFonts w:ascii="Times New Roman"/>
          <w:color w:val="000000" w:themeColor="text1"/>
          <w:szCs w:val="24"/>
        </w:rPr>
        <w:t>表示单位贮水率；</w:t>
      </w:r>
    </w:p>
    <w:p w14:paraId="2E770AD8"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H0</w:t>
      </w:r>
      <w:r w:rsidRPr="008A2411">
        <w:rPr>
          <w:rFonts w:ascii="Times New Roman"/>
          <w:color w:val="000000" w:themeColor="text1"/>
          <w:szCs w:val="24"/>
        </w:rPr>
        <w:t>（</w:t>
      </w:r>
      <w:r w:rsidRPr="008A2411">
        <w:rPr>
          <w:rFonts w:ascii="Times New Roman"/>
          <w:color w:val="000000" w:themeColor="text1"/>
          <w:szCs w:val="24"/>
        </w:rPr>
        <w:t>x</w:t>
      </w:r>
      <w:r w:rsidRPr="008A2411">
        <w:rPr>
          <w:rFonts w:ascii="Times New Roman"/>
          <w:color w:val="000000" w:themeColor="text1"/>
          <w:szCs w:val="24"/>
        </w:rPr>
        <w:t>，</w:t>
      </w:r>
      <w:r w:rsidRPr="008A2411">
        <w:rPr>
          <w:rFonts w:ascii="Times New Roman"/>
          <w:color w:val="000000" w:themeColor="text1"/>
          <w:szCs w:val="24"/>
        </w:rPr>
        <w:t>y</w:t>
      </w:r>
      <w:r w:rsidRPr="008A2411">
        <w:rPr>
          <w:rFonts w:ascii="Times New Roman"/>
          <w:color w:val="000000" w:themeColor="text1"/>
          <w:szCs w:val="24"/>
        </w:rPr>
        <w:t>，</w:t>
      </w:r>
      <w:r w:rsidRPr="008A2411">
        <w:rPr>
          <w:rFonts w:ascii="Times New Roman"/>
          <w:color w:val="000000" w:themeColor="text1"/>
          <w:szCs w:val="24"/>
        </w:rPr>
        <w:t>z</w:t>
      </w:r>
      <w:r w:rsidRPr="008A2411">
        <w:rPr>
          <w:rFonts w:ascii="Times New Roman"/>
          <w:color w:val="000000" w:themeColor="text1"/>
          <w:szCs w:val="24"/>
        </w:rPr>
        <w:t>）表示初始地下水水头函数（</w:t>
      </w:r>
      <w:r w:rsidRPr="008A2411">
        <w:rPr>
          <w:rFonts w:ascii="Times New Roman"/>
          <w:color w:val="000000" w:themeColor="text1"/>
          <w:szCs w:val="24"/>
        </w:rPr>
        <w:t>m</w:t>
      </w:r>
      <w:r w:rsidRPr="008A2411">
        <w:rPr>
          <w:rFonts w:ascii="Times New Roman"/>
          <w:color w:val="000000" w:themeColor="text1"/>
          <w:szCs w:val="24"/>
        </w:rPr>
        <w:t>）；</w:t>
      </w:r>
    </w:p>
    <w:p w14:paraId="27E7C0E9"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H1</w:t>
      </w:r>
      <w:r w:rsidRPr="008A2411">
        <w:rPr>
          <w:rFonts w:ascii="Times New Roman"/>
          <w:color w:val="000000" w:themeColor="text1"/>
          <w:szCs w:val="24"/>
        </w:rPr>
        <w:t>（</w:t>
      </w:r>
      <w:r w:rsidRPr="008A2411">
        <w:rPr>
          <w:rFonts w:ascii="Times New Roman"/>
          <w:color w:val="000000" w:themeColor="text1"/>
          <w:szCs w:val="24"/>
        </w:rPr>
        <w:t>x</w:t>
      </w:r>
      <w:r w:rsidRPr="008A2411">
        <w:rPr>
          <w:rFonts w:ascii="Times New Roman"/>
          <w:color w:val="000000" w:themeColor="text1"/>
          <w:szCs w:val="24"/>
        </w:rPr>
        <w:t>，</w:t>
      </w:r>
      <w:r w:rsidRPr="008A2411">
        <w:rPr>
          <w:rFonts w:ascii="Times New Roman"/>
          <w:color w:val="000000" w:themeColor="text1"/>
          <w:szCs w:val="24"/>
        </w:rPr>
        <w:t>y</w:t>
      </w:r>
      <w:r w:rsidRPr="008A2411">
        <w:rPr>
          <w:rFonts w:ascii="Times New Roman"/>
          <w:color w:val="000000" w:themeColor="text1"/>
          <w:szCs w:val="24"/>
        </w:rPr>
        <w:t>，</w:t>
      </w:r>
      <w:r w:rsidRPr="008A2411">
        <w:rPr>
          <w:rFonts w:ascii="Times New Roman"/>
          <w:color w:val="000000" w:themeColor="text1"/>
          <w:szCs w:val="24"/>
        </w:rPr>
        <w:t>z</w:t>
      </w:r>
      <w:r w:rsidRPr="008A2411">
        <w:rPr>
          <w:rFonts w:ascii="Times New Roman"/>
          <w:color w:val="000000" w:themeColor="text1"/>
          <w:szCs w:val="24"/>
        </w:rPr>
        <w:t>）为第一类边界己知地下水水头函数（</w:t>
      </w:r>
      <w:r w:rsidRPr="008A2411">
        <w:rPr>
          <w:rFonts w:ascii="Times New Roman"/>
          <w:color w:val="000000" w:themeColor="text1"/>
          <w:szCs w:val="24"/>
        </w:rPr>
        <w:t>m</w:t>
      </w:r>
      <w:r w:rsidRPr="008A2411">
        <w:rPr>
          <w:rFonts w:ascii="Times New Roman"/>
          <w:color w:val="000000" w:themeColor="text1"/>
          <w:szCs w:val="24"/>
        </w:rPr>
        <w:t>）；</w:t>
      </w:r>
    </w:p>
    <w:p w14:paraId="00E06637"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lastRenderedPageBreak/>
        <w:t>Q</w:t>
      </w:r>
      <w:r w:rsidRPr="008A2411">
        <w:rPr>
          <w:rFonts w:ascii="Times New Roman"/>
          <w:color w:val="000000" w:themeColor="text1"/>
          <w:szCs w:val="24"/>
        </w:rPr>
        <w:t>（</w:t>
      </w:r>
      <w:r w:rsidRPr="008A2411">
        <w:rPr>
          <w:rFonts w:ascii="Times New Roman"/>
          <w:color w:val="000000" w:themeColor="text1"/>
          <w:szCs w:val="24"/>
        </w:rPr>
        <w:t>x</w:t>
      </w:r>
      <w:r w:rsidRPr="008A2411">
        <w:rPr>
          <w:rFonts w:ascii="Times New Roman"/>
          <w:color w:val="000000" w:themeColor="text1"/>
          <w:szCs w:val="24"/>
        </w:rPr>
        <w:t>，</w:t>
      </w:r>
      <w:r w:rsidRPr="008A2411">
        <w:rPr>
          <w:rFonts w:ascii="Times New Roman"/>
          <w:color w:val="000000" w:themeColor="text1"/>
          <w:szCs w:val="24"/>
        </w:rPr>
        <w:t>y</w:t>
      </w:r>
      <w:r w:rsidRPr="008A2411">
        <w:rPr>
          <w:rFonts w:ascii="Times New Roman"/>
          <w:color w:val="000000" w:themeColor="text1"/>
          <w:szCs w:val="24"/>
        </w:rPr>
        <w:t>，</w:t>
      </w:r>
      <w:r w:rsidRPr="008A2411">
        <w:rPr>
          <w:rFonts w:ascii="Times New Roman"/>
          <w:color w:val="000000" w:themeColor="text1"/>
          <w:szCs w:val="24"/>
        </w:rPr>
        <w:t>z</w:t>
      </w:r>
      <w:r w:rsidRPr="008A2411">
        <w:rPr>
          <w:rFonts w:ascii="Times New Roman"/>
          <w:color w:val="000000" w:themeColor="text1"/>
          <w:szCs w:val="24"/>
        </w:rPr>
        <w:t>，</w:t>
      </w:r>
      <w:r w:rsidRPr="008A2411">
        <w:rPr>
          <w:rFonts w:ascii="Times New Roman"/>
          <w:color w:val="000000" w:themeColor="text1"/>
          <w:szCs w:val="24"/>
        </w:rPr>
        <w:t>t</w:t>
      </w:r>
      <w:r w:rsidRPr="008A2411">
        <w:rPr>
          <w:rFonts w:ascii="Times New Roman"/>
          <w:color w:val="000000" w:themeColor="text1"/>
          <w:szCs w:val="24"/>
        </w:rPr>
        <w:t>）为第二类边界己知单位面积流量</w:t>
      </w:r>
      <w:proofErr w:type="gramStart"/>
      <w:r w:rsidRPr="008A2411">
        <w:rPr>
          <w:rFonts w:ascii="Times New Roman"/>
          <w:color w:val="000000" w:themeColor="text1"/>
          <w:szCs w:val="24"/>
        </w:rPr>
        <w:t>或单宽流量</w:t>
      </w:r>
      <w:proofErr w:type="gramEnd"/>
      <w:r w:rsidRPr="008A2411">
        <w:rPr>
          <w:rFonts w:ascii="Times New Roman"/>
          <w:color w:val="000000" w:themeColor="text1"/>
          <w:szCs w:val="24"/>
        </w:rPr>
        <w:t>函数（</w:t>
      </w:r>
      <w:r w:rsidRPr="008A2411">
        <w:rPr>
          <w:rFonts w:ascii="Times New Roman"/>
          <w:color w:val="000000" w:themeColor="text1"/>
          <w:szCs w:val="24"/>
        </w:rPr>
        <w:t>m</w:t>
      </w:r>
      <w:r w:rsidRPr="008A2411">
        <w:rPr>
          <w:rFonts w:ascii="Times New Roman"/>
          <w:color w:val="000000" w:themeColor="text1"/>
          <w:szCs w:val="24"/>
          <w:vertAlign w:val="superscript"/>
        </w:rPr>
        <w:t>3</w:t>
      </w:r>
      <w:r w:rsidRPr="008A2411">
        <w:rPr>
          <w:rFonts w:ascii="Times New Roman"/>
          <w:color w:val="000000" w:themeColor="text1"/>
          <w:szCs w:val="24"/>
        </w:rPr>
        <w:t>/d·m</w:t>
      </w:r>
      <w:r w:rsidRPr="008A2411">
        <w:rPr>
          <w:rFonts w:ascii="Times New Roman"/>
          <w:color w:val="000000" w:themeColor="text1"/>
          <w:szCs w:val="24"/>
          <w:vertAlign w:val="superscript"/>
        </w:rPr>
        <w:t>2</w:t>
      </w:r>
      <w:r w:rsidRPr="008A2411">
        <w:rPr>
          <w:rFonts w:ascii="Times New Roman"/>
          <w:color w:val="000000" w:themeColor="text1"/>
          <w:szCs w:val="24"/>
        </w:rPr>
        <w:t>），零流量边界或隔水边界</w:t>
      </w:r>
      <w:r w:rsidRPr="008A2411">
        <w:rPr>
          <w:rFonts w:ascii="Times New Roman"/>
          <w:color w:val="000000" w:themeColor="text1"/>
          <w:szCs w:val="24"/>
        </w:rPr>
        <w:t>q=0</w:t>
      </w:r>
      <w:r w:rsidRPr="008A2411">
        <w:rPr>
          <w:rFonts w:ascii="Times New Roman"/>
          <w:color w:val="000000" w:themeColor="text1"/>
          <w:szCs w:val="24"/>
        </w:rPr>
        <w:t>。</w:t>
      </w:r>
    </w:p>
    <w:p w14:paraId="3BBE0EF8"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2</w:t>
      </w:r>
      <w:r w:rsidRPr="008A2411">
        <w:rPr>
          <w:rFonts w:ascii="Times New Roman"/>
          <w:color w:val="000000" w:themeColor="text1"/>
          <w:szCs w:val="24"/>
        </w:rPr>
        <w:t>）预测软件</w:t>
      </w:r>
    </w:p>
    <w:p w14:paraId="05510269"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MODFLOW</w:t>
      </w:r>
      <w:r w:rsidRPr="008A2411">
        <w:rPr>
          <w:rFonts w:ascii="Times New Roman"/>
          <w:color w:val="000000" w:themeColor="text1"/>
          <w:szCs w:val="24"/>
        </w:rPr>
        <w:t>是</w:t>
      </w:r>
      <w:r w:rsidRPr="008A2411">
        <w:rPr>
          <w:rFonts w:ascii="Times New Roman"/>
          <w:color w:val="000000" w:themeColor="text1"/>
          <w:szCs w:val="24"/>
        </w:rPr>
        <w:t>Visual MODFLOW</w:t>
      </w:r>
      <w:r w:rsidRPr="008A2411">
        <w:rPr>
          <w:rFonts w:ascii="Times New Roman"/>
          <w:color w:val="000000" w:themeColor="text1"/>
          <w:szCs w:val="24"/>
        </w:rPr>
        <w:t>软件中的模块之一，它是美国地质调查局于</w:t>
      </w:r>
      <w:r w:rsidRPr="008A2411">
        <w:rPr>
          <w:rFonts w:ascii="Times New Roman"/>
          <w:color w:val="000000" w:themeColor="text1"/>
          <w:szCs w:val="24"/>
        </w:rPr>
        <w:t>80</w:t>
      </w:r>
      <w:r w:rsidRPr="008A2411">
        <w:rPr>
          <w:rFonts w:ascii="Times New Roman"/>
          <w:color w:val="000000" w:themeColor="text1"/>
          <w:szCs w:val="24"/>
        </w:rPr>
        <w:t>年代开发出的一套专门用于地下水流动的三维有限差分数值模拟软件。</w:t>
      </w:r>
      <w:r w:rsidRPr="008A2411">
        <w:rPr>
          <w:rFonts w:ascii="Times New Roman"/>
          <w:color w:val="000000" w:themeColor="text1"/>
          <w:szCs w:val="24"/>
        </w:rPr>
        <w:t>MODFLOW</w:t>
      </w:r>
      <w:r w:rsidRPr="008A2411">
        <w:rPr>
          <w:rFonts w:ascii="Times New Roman"/>
          <w:color w:val="000000" w:themeColor="text1"/>
          <w:szCs w:val="24"/>
        </w:rPr>
        <w:t>自问世以来，由于其程序结构的模块化、离散方法的简单化和求解方法的多样化等优点，已被广泛用来模拟井流、河流、排泄、蒸发和补给对非均质和复杂边界条件的水流系统的影响。本次数值模拟计算采用</w:t>
      </w:r>
      <w:r w:rsidRPr="008A2411">
        <w:rPr>
          <w:rFonts w:ascii="Times New Roman"/>
          <w:color w:val="000000" w:themeColor="text1"/>
          <w:szCs w:val="24"/>
        </w:rPr>
        <w:t>Visual MODFLOW</w:t>
      </w:r>
      <w:r w:rsidRPr="008A2411">
        <w:rPr>
          <w:rFonts w:ascii="Times New Roman"/>
          <w:color w:val="000000" w:themeColor="text1"/>
          <w:szCs w:val="24"/>
        </w:rPr>
        <w:t>中的</w:t>
      </w:r>
      <w:r w:rsidRPr="008A2411">
        <w:rPr>
          <w:rFonts w:ascii="Times New Roman"/>
          <w:color w:val="000000" w:themeColor="text1"/>
          <w:szCs w:val="24"/>
        </w:rPr>
        <w:t>MODFLOW</w:t>
      </w:r>
      <w:r w:rsidRPr="008A2411">
        <w:rPr>
          <w:rFonts w:ascii="Times New Roman"/>
          <w:color w:val="000000" w:themeColor="text1"/>
          <w:szCs w:val="24"/>
        </w:rPr>
        <w:t>模块模拟项目所在区域地下水流场。</w:t>
      </w:r>
    </w:p>
    <w:p w14:paraId="0FD62B92"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3</w:t>
      </w:r>
      <w:r w:rsidRPr="008A2411">
        <w:rPr>
          <w:rFonts w:ascii="Times New Roman"/>
          <w:color w:val="000000" w:themeColor="text1"/>
          <w:szCs w:val="24"/>
        </w:rPr>
        <w:t>）地下水概念模型的概化、离散及边界条件设置</w:t>
      </w:r>
    </w:p>
    <w:p w14:paraId="26524713"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rPr>
        <w:t>本项目所在</w:t>
      </w:r>
      <w:r w:rsidRPr="008A2411">
        <w:rPr>
          <w:rFonts w:ascii="Times New Roman"/>
          <w:color w:val="000000" w:themeColor="text1"/>
          <w:szCs w:val="24"/>
          <w:lang w:bidi="ar"/>
        </w:rPr>
        <w:t>达州普光化工园区为</w:t>
      </w:r>
      <w:r w:rsidRPr="008A2411">
        <w:rPr>
          <w:rFonts w:ascii="Times New Roman"/>
          <w:color w:val="000000" w:themeColor="text1"/>
        </w:rPr>
        <w:t>低山丘陵</w:t>
      </w:r>
      <w:proofErr w:type="gramStart"/>
      <w:r w:rsidRPr="008A2411">
        <w:rPr>
          <w:rFonts w:ascii="Times New Roman"/>
          <w:color w:val="000000" w:themeColor="text1"/>
        </w:rPr>
        <w:t>陇</w:t>
      </w:r>
      <w:proofErr w:type="gramEnd"/>
      <w:r w:rsidRPr="008A2411">
        <w:rPr>
          <w:rFonts w:ascii="Times New Roman"/>
          <w:color w:val="000000" w:themeColor="text1"/>
        </w:rPr>
        <w:t>岗地形。模型模拟区地下水类型为浅层风化带裂隙孔隙水，含水介质主要由沙溪庙组（</w:t>
      </w:r>
      <w:r w:rsidRPr="008A2411">
        <w:rPr>
          <w:rFonts w:ascii="Times New Roman"/>
          <w:color w:val="000000" w:themeColor="text1"/>
        </w:rPr>
        <w:t>J</w:t>
      </w:r>
      <w:r w:rsidRPr="008A2411">
        <w:rPr>
          <w:rFonts w:ascii="Times New Roman"/>
          <w:color w:val="000000" w:themeColor="text1"/>
          <w:vertAlign w:val="subscript"/>
        </w:rPr>
        <w:t>2</w:t>
      </w:r>
      <w:r w:rsidRPr="008A2411">
        <w:rPr>
          <w:rFonts w:ascii="Times New Roman"/>
          <w:color w:val="000000" w:themeColor="text1"/>
        </w:rPr>
        <w:t>s</w:t>
      </w:r>
      <w:r w:rsidRPr="008A2411">
        <w:rPr>
          <w:rFonts w:ascii="Times New Roman"/>
          <w:color w:val="000000" w:themeColor="text1"/>
        </w:rPr>
        <w:t>）地层组成，地下水补给来源主要为大气降水。根据区域水文地质资料及居民</w:t>
      </w:r>
      <w:proofErr w:type="gramStart"/>
      <w:r w:rsidRPr="008A2411">
        <w:rPr>
          <w:rFonts w:ascii="Times New Roman"/>
          <w:color w:val="000000" w:themeColor="text1"/>
        </w:rPr>
        <w:t>井水位调查</w:t>
      </w:r>
      <w:proofErr w:type="gramEnd"/>
      <w:r w:rsidRPr="008A2411">
        <w:rPr>
          <w:rFonts w:ascii="Times New Roman"/>
          <w:color w:val="000000" w:themeColor="text1"/>
        </w:rPr>
        <w:t>成果判断，地下水接受补给后由坡顶沿地表及地下裂隙向下径流，至</w:t>
      </w:r>
      <w:r w:rsidRPr="008A2411">
        <w:rPr>
          <w:rFonts w:ascii="Times New Roman" w:hint="eastAsia"/>
          <w:color w:val="000000" w:themeColor="text1"/>
        </w:rPr>
        <w:t>“</w:t>
      </w:r>
      <w:r w:rsidRPr="008A2411">
        <w:rPr>
          <w:rFonts w:ascii="Times New Roman"/>
          <w:color w:val="000000" w:themeColor="text1"/>
        </w:rPr>
        <w:t>平坝</w:t>
      </w:r>
      <w:r w:rsidRPr="008A2411">
        <w:rPr>
          <w:rFonts w:ascii="Times New Roman" w:hint="eastAsia"/>
          <w:color w:val="000000" w:themeColor="text1"/>
        </w:rPr>
        <w:t>”</w:t>
      </w:r>
      <w:r w:rsidRPr="008A2411">
        <w:rPr>
          <w:rFonts w:ascii="Times New Roman"/>
          <w:color w:val="000000" w:themeColor="text1"/>
        </w:rPr>
        <w:t>地段贮存，具有就地补给、就地贮存、就近排泄的特点</w:t>
      </w:r>
      <w:r w:rsidRPr="008A2411">
        <w:rPr>
          <w:rFonts w:ascii="Times New Roman"/>
          <w:color w:val="000000" w:themeColor="text1"/>
          <w:szCs w:val="24"/>
        </w:rPr>
        <w:t>。</w:t>
      </w:r>
    </w:p>
    <w:tbl>
      <w:tblPr>
        <w:tblW w:w="5000" w:type="pct"/>
        <w:tblLook w:val="04A0" w:firstRow="1" w:lastRow="0" w:firstColumn="1" w:lastColumn="0" w:noHBand="0" w:noVBand="1"/>
      </w:tblPr>
      <w:tblGrid>
        <w:gridCol w:w="8522"/>
      </w:tblGrid>
      <w:tr w:rsidR="008A2411" w:rsidRPr="008A2411" w14:paraId="399C31E9" w14:textId="77777777">
        <w:tc>
          <w:tcPr>
            <w:tcW w:w="8522" w:type="dxa"/>
            <w:shd w:val="clear" w:color="auto" w:fill="auto"/>
          </w:tcPr>
          <w:p w14:paraId="3D7D5EDF" w14:textId="77777777" w:rsidR="00B0005F" w:rsidRPr="008A2411" w:rsidRDefault="00000000">
            <w:pPr>
              <w:pStyle w:val="affffffffffff2"/>
              <w:rPr>
                <w:rFonts w:ascii="Times New Roman"/>
                <w:color w:val="000000" w:themeColor="text1"/>
              </w:rPr>
            </w:pPr>
            <w:r w:rsidRPr="008A2411">
              <w:rPr>
                <w:rFonts w:ascii="Times New Roman"/>
                <w:noProof/>
                <w:color w:val="000000" w:themeColor="text1"/>
              </w:rPr>
              <w:drawing>
                <wp:inline distT="0" distB="0" distL="0" distR="0" wp14:anchorId="443D3ABD" wp14:editId="7C033B20">
                  <wp:extent cx="5034280" cy="4110990"/>
                  <wp:effectExtent l="0" t="0" r="10160" b="3810"/>
                  <wp:docPr id="1361" name="图片 13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1" name="图片 1361"/>
                          <pic:cNvPicPr>
                            <a:picLocks noChangeAspect="1"/>
                          </pic:cNvPicPr>
                        </pic:nvPicPr>
                        <pic:blipFill>
                          <a:blip r:embed="rId58">
                            <a:extLst>
                              <a:ext uri="{28A0092B-C50C-407E-A947-70E740481C1C}">
                                <a14:useLocalDpi xmlns:a14="http://schemas.microsoft.com/office/drawing/2010/main" val="0"/>
                              </a:ext>
                            </a:extLst>
                          </a:blip>
                          <a:stretch>
                            <a:fillRect/>
                          </a:stretch>
                        </pic:blipFill>
                        <pic:spPr>
                          <a:xfrm>
                            <a:off x="0" y="0"/>
                            <a:ext cx="5034280" cy="4110990"/>
                          </a:xfrm>
                          <a:prstGeom prst="rect">
                            <a:avLst/>
                          </a:prstGeom>
                        </pic:spPr>
                      </pic:pic>
                    </a:graphicData>
                  </a:graphic>
                </wp:inline>
              </w:drawing>
            </w:r>
            <w:r w:rsidRPr="008A2411">
              <w:rPr>
                <w:rFonts w:ascii="Times New Roman"/>
                <w:noProof/>
                <w:color w:val="000000" w:themeColor="text1"/>
              </w:rPr>
              <mc:AlternateContent>
                <mc:Choice Requires="wps">
                  <w:drawing>
                    <wp:anchor distT="0" distB="0" distL="114300" distR="114300" simplePos="0" relativeHeight="251654656" behindDoc="0" locked="0" layoutInCell="1" allowOverlap="1" wp14:anchorId="23002BFE" wp14:editId="58A4825E">
                      <wp:simplePos x="0" y="0"/>
                      <wp:positionH relativeFrom="column">
                        <wp:posOffset>104775</wp:posOffset>
                      </wp:positionH>
                      <wp:positionV relativeFrom="paragraph">
                        <wp:posOffset>1132840</wp:posOffset>
                      </wp:positionV>
                      <wp:extent cx="312420" cy="1034415"/>
                      <wp:effectExtent l="12700" t="12700" r="25400" b="19685"/>
                      <wp:wrapNone/>
                      <wp:docPr id="455" name="流程图: 过程 455"/>
                      <wp:cNvGraphicFramePr/>
                      <a:graphic xmlns:a="http://schemas.openxmlformats.org/drawingml/2006/main">
                        <a:graphicData uri="http://schemas.microsoft.com/office/word/2010/wordprocessingShape">
                          <wps:wsp>
                            <wps:cNvSpPr/>
                            <wps:spPr>
                              <a:xfrm>
                                <a:off x="0" y="0"/>
                                <a:ext cx="312420" cy="1034415"/>
                              </a:xfrm>
                              <a:prstGeom prst="flowChartProcess">
                                <a:avLst/>
                              </a:prstGeom>
                              <a:solidFill>
                                <a:schemeClr val="bg1"/>
                              </a:solidFill>
                              <a:ln>
                                <a:solidFill>
                                  <a:schemeClr val="accent6">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0A60CC5" w14:textId="77777777" w:rsidR="00B0005F" w:rsidRDefault="00000000">
                                  <w:pPr>
                                    <w:jc w:val="center"/>
                                    <w:rPr>
                                      <w:b/>
                                      <w:color w:val="00B0F0"/>
                                      <w:sz w:val="21"/>
                                      <w:szCs w:val="21"/>
                                    </w:rPr>
                                  </w:pPr>
                                  <w:r>
                                    <w:rPr>
                                      <w:rFonts w:hint="eastAsia"/>
                                      <w:b/>
                                      <w:color w:val="00B0F0"/>
                                      <w:sz w:val="21"/>
                                      <w:szCs w:val="21"/>
                                    </w:rPr>
                                    <w:t>流量边界</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type w14:anchorId="23002BFE" id="_x0000_t109" coordsize="21600,21600" o:spt="109" path="m,l,21600r21600,l21600,xe">
                      <v:stroke joinstyle="miter"/>
                      <v:path gradientshapeok="t" o:connecttype="rect"/>
                    </v:shapetype>
                    <v:shape id="流程图: 过程 455" o:spid="_x0000_s1383" type="#_x0000_t109" style="position:absolute;left:0;text-align:left;margin-left:8.25pt;margin-top:89.2pt;width:24.6pt;height:81.45pt;z-index:2516546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" fillcolor="white [3212]" strokecolor="#e36c0a [2409]" strokeweight="2pt">
                      <v:textbox>
                        <w:txbxContent>
                          <w:p w14:paraId="50A60CC5" w14:textId="77777777" w:rsidR="00B0005F" w:rsidRDefault="00000000">
                            <w:pPr>
                              <w:jc w:val="center"/>
                              <w:rPr>
                                <w:b/>
                                <w:color w:val="00B0F0"/>
                                <w:sz w:val="21"/>
                                <w:szCs w:val="21"/>
                              </w:rPr>
                            </w:pPr>
                            <w:r>
                              <w:rPr>
                                <w:rFonts w:hint="eastAsia"/>
                                <w:b/>
                                <w:color w:val="00B0F0"/>
                                <w:sz w:val="21"/>
                                <w:szCs w:val="21"/>
                              </w:rPr>
                              <w:t>流量边界</w:t>
                            </w:r>
                          </w:p>
                        </w:txbxContent>
                      </v:textbox>
                    </v:shape>
                  </w:pict>
                </mc:Fallback>
              </mc:AlternateContent>
            </w:r>
            <w:r w:rsidRPr="008A2411">
              <w:rPr>
                <w:rFonts w:ascii="Times New Roman"/>
                <w:noProof/>
                <w:color w:val="000000" w:themeColor="text1"/>
              </w:rPr>
              <mc:AlternateContent>
                <mc:Choice Requires="wps">
                  <w:drawing>
                    <wp:anchor distT="0" distB="0" distL="114300" distR="114300" simplePos="0" relativeHeight="251660800" behindDoc="0" locked="0" layoutInCell="1" allowOverlap="1" wp14:anchorId="3A2A3AD9" wp14:editId="0120637D">
                      <wp:simplePos x="0" y="0"/>
                      <wp:positionH relativeFrom="column">
                        <wp:posOffset>171450</wp:posOffset>
                      </wp:positionH>
                      <wp:positionV relativeFrom="paragraph">
                        <wp:posOffset>123825</wp:posOffset>
                      </wp:positionV>
                      <wp:extent cx="923925" cy="276225"/>
                      <wp:effectExtent l="12700" t="12700" r="23495" b="15875"/>
                      <wp:wrapNone/>
                      <wp:docPr id="456" name="流程图: 过程 456"/>
                      <wp:cNvGraphicFramePr/>
                      <a:graphic xmlns:a="http://schemas.openxmlformats.org/drawingml/2006/main">
                        <a:graphicData uri="http://schemas.microsoft.com/office/word/2010/wordprocessingShape">
                          <wps:wsp>
                            <wps:cNvSpPr/>
                            <wps:spPr>
                              <a:xfrm>
                                <a:off x="0" y="0"/>
                                <a:ext cx="923925" cy="276225"/>
                              </a:xfrm>
                              <a:prstGeom prst="flowChartProcess">
                                <a:avLst/>
                              </a:prstGeom>
                              <a:solidFill>
                                <a:schemeClr val="bg1"/>
                              </a:solidFill>
                              <a:ln>
                                <a:solidFill>
                                  <a:schemeClr val="accent6">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98F702A" w14:textId="77777777" w:rsidR="00B0005F" w:rsidRDefault="00000000">
                                  <w:pPr>
                                    <w:jc w:val="center"/>
                                    <w:rPr>
                                      <w:b/>
                                      <w:color w:val="00B0F0"/>
                                      <w:sz w:val="21"/>
                                      <w:szCs w:val="21"/>
                                    </w:rPr>
                                  </w:pPr>
                                  <w:r>
                                    <w:rPr>
                                      <w:rFonts w:hint="eastAsia"/>
                                      <w:b/>
                                      <w:color w:val="00B0F0"/>
                                      <w:sz w:val="21"/>
                                      <w:szCs w:val="21"/>
                                    </w:rPr>
                                    <w:t>流量边界</w:t>
                                  </w:r>
                                </w:p>
                                <w:p w14:paraId="1ECED3AD" w14:textId="77777777" w:rsidR="00B0005F" w:rsidRDefault="00B0005F">
                                  <w:pPr>
                                    <w:ind w:firstLine="480"/>
                                    <w:jc w:val="center"/>
                                    <w:rPr>
                                      <w:color w:val="00B0F0"/>
                                    </w:rP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w14:anchorId="3A2A3AD9" id="流程图: 过程 456" o:spid="_x0000_s1384" type="#_x0000_t109" style="position:absolute;left:0;text-align:left;margin-left:13.5pt;margin-top:9.75pt;width:72.75pt;height:21.75pt;z-index:2516608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" fillcolor="white [3212]" strokecolor="#e36c0a [2409]" strokeweight="2pt">
                      <v:textbox>
                        <w:txbxContent>
                          <w:p w14:paraId="498F702A" w14:textId="77777777" w:rsidR="00B0005F" w:rsidRDefault="00000000">
                            <w:pPr>
                              <w:jc w:val="center"/>
                              <w:rPr>
                                <w:b/>
                                <w:color w:val="00B0F0"/>
                                <w:sz w:val="21"/>
                                <w:szCs w:val="21"/>
                              </w:rPr>
                            </w:pPr>
                            <w:r>
                              <w:rPr>
                                <w:rFonts w:hint="eastAsia"/>
                                <w:b/>
                                <w:color w:val="00B0F0"/>
                                <w:sz w:val="21"/>
                                <w:szCs w:val="21"/>
                              </w:rPr>
                              <w:t>流量边界</w:t>
                            </w:r>
                          </w:p>
                          <w:p w14:paraId="1ECED3AD" w14:textId="77777777" w:rsidR="00B0005F" w:rsidRDefault="00B0005F">
                            <w:pPr>
                              <w:ind w:firstLine="480"/>
                              <w:jc w:val="center"/>
                              <w:rPr>
                                <w:color w:val="00B0F0"/>
                              </w:rPr>
                            </w:pPr>
                          </w:p>
                        </w:txbxContent>
                      </v:textbox>
                    </v:shape>
                  </w:pict>
                </mc:Fallback>
              </mc:AlternateContent>
            </w:r>
            <w:r w:rsidRPr="008A2411">
              <w:rPr>
                <w:rFonts w:ascii="Times New Roman"/>
                <w:noProof/>
                <w:color w:val="000000" w:themeColor="text1"/>
              </w:rPr>
              <mc:AlternateContent>
                <mc:Choice Requires="wps">
                  <w:drawing>
                    <wp:anchor distT="0" distB="0" distL="114300" distR="114300" simplePos="0" relativeHeight="251648512" behindDoc="0" locked="0" layoutInCell="1" allowOverlap="1" wp14:anchorId="52955EEB" wp14:editId="4767332A">
                      <wp:simplePos x="0" y="0"/>
                      <wp:positionH relativeFrom="column">
                        <wp:posOffset>76200</wp:posOffset>
                      </wp:positionH>
                      <wp:positionV relativeFrom="paragraph">
                        <wp:posOffset>104775</wp:posOffset>
                      </wp:positionV>
                      <wp:extent cx="1333500" cy="0"/>
                      <wp:effectExtent l="0" t="28575" r="7620" b="32385"/>
                      <wp:wrapNone/>
                      <wp:docPr id="457" name="直接连接符 457"/>
                      <wp:cNvGraphicFramePr/>
                      <a:graphic xmlns:a="http://schemas.openxmlformats.org/drawingml/2006/main">
                        <a:graphicData uri="http://schemas.microsoft.com/office/word/2010/wordprocessingShape">
                          <wps:wsp>
                            <wps:cNvCnPr/>
                            <wps:spPr>
                              <a:xfrm>
                                <a:off x="0" y="0"/>
                                <a:ext cx="1333500" cy="0"/>
                              </a:xfrm>
                              <a:prstGeom prst="line">
                                <a:avLst/>
                              </a:prstGeom>
                              <a:noFill/>
                              <a:ln w="57150" cap="flat" cmpd="sng" algn="ctr">
                                <a:solidFill>
                                  <a:srgbClr val="00B0F0"/>
                                </a:solidFill>
                                <a:prstDash val="solid"/>
                                <a:miter lim="800000"/>
                              </a:ln>
                              <a:effectLst/>
                            </wps:spPr>
                            <wps:bodyPr/>
                          </wps:wsp>
                        </a:graphicData>
                      </a:graphic>
                    </wp:anchor>
                  </w:drawing>
                </mc:Choice>
                <mc:Fallback>
                  <w:pict>
                    <v:line w14:anchorId="629AD16B" id="直接连接符 457" o:spid="_x0000_s1026" style="position:absolute;left:0;text-align:left;z-index:251648512;visibility:visible;mso-wrap-style:square;mso-wrap-distance-left:9pt;mso-wrap-distance-top:0;mso-wrap-distance-right:9pt;mso-wrap-distance-bottom:0;mso-position-horizontal:absolute;mso-position-horizontal-relative:text;mso-position-vertical:absolute;mso-position-vertical-relative:text" from="6pt,8.25pt" to="111pt,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" strokecolor="#00b0f0" strokeweight="4.5pt">
                      <v:stroke joinstyle="miter"/>
                    </v:line>
                  </w:pict>
                </mc:Fallback>
              </mc:AlternateContent>
            </w:r>
            <w:r w:rsidRPr="008A2411">
              <w:rPr>
                <w:rFonts w:ascii="Times New Roman"/>
                <w:noProof/>
                <w:color w:val="000000" w:themeColor="text1"/>
              </w:rPr>
              <mc:AlternateContent>
                <mc:Choice Requires="wps">
                  <w:drawing>
                    <wp:anchor distT="0" distB="0" distL="114300" distR="114300" simplePos="0" relativeHeight="251636224" behindDoc="0" locked="0" layoutInCell="1" allowOverlap="1" wp14:anchorId="5D22B6BC" wp14:editId="17C93A64">
                      <wp:simplePos x="0" y="0"/>
                      <wp:positionH relativeFrom="column">
                        <wp:posOffset>104775</wp:posOffset>
                      </wp:positionH>
                      <wp:positionV relativeFrom="paragraph">
                        <wp:posOffset>104775</wp:posOffset>
                      </wp:positionV>
                      <wp:extent cx="0" cy="2762250"/>
                      <wp:effectExtent l="28575" t="0" r="32385" b="11430"/>
                      <wp:wrapNone/>
                      <wp:docPr id="458" name="直接连接符 458"/>
                      <wp:cNvGraphicFramePr/>
                      <a:graphic xmlns:a="http://schemas.openxmlformats.org/drawingml/2006/main">
                        <a:graphicData uri="http://schemas.microsoft.com/office/word/2010/wordprocessingShape">
                          <wps:wsp>
                            <wps:cNvCnPr/>
                            <wps:spPr>
                              <a:xfrm>
                                <a:off x="0" y="0"/>
                                <a:ext cx="0" cy="2762250"/>
                              </a:xfrm>
                              <a:prstGeom prst="line">
                                <a:avLst/>
                              </a:prstGeom>
                              <a:noFill/>
                              <a:ln w="57150" cap="flat" cmpd="sng" algn="ctr">
                                <a:solidFill>
                                  <a:srgbClr val="00B0F0"/>
                                </a:solidFill>
                                <a:prstDash val="solid"/>
                              </a:ln>
                              <a:effectLst/>
                            </wps:spPr>
                            <wps:bodyPr/>
                          </wps:wsp>
                        </a:graphicData>
                      </a:graphic>
                    </wp:anchor>
                  </w:drawing>
                </mc:Choice>
                <mc:Fallback>
                  <w:pict>
                    <v:line w14:anchorId="78D8799C" id="直接连接符 458" o:spid="_x0000_s1026" style="position:absolute;left:0;text-align:left;z-index:251636224;visibility:visible;mso-wrap-style:square;mso-wrap-distance-left:9pt;mso-wrap-distance-top:0;mso-wrap-distance-right:9pt;mso-wrap-distance-bottom:0;mso-position-horizontal:absolute;mso-position-horizontal-relative:text;mso-position-vertical:absolute;mso-position-vertical-relative:text" from="8.25pt,8.25pt" to="8.25pt,22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" strokecolor="#00b0f0" strokeweight="4.5pt"/>
                  </w:pict>
                </mc:Fallback>
              </mc:AlternateContent>
            </w:r>
            <w:r w:rsidRPr="008A2411">
              <w:rPr>
                <w:rFonts w:ascii="Times New Roman"/>
                <w:noProof/>
                <w:color w:val="000000" w:themeColor="text1"/>
              </w:rPr>
              <mc:AlternateContent>
                <mc:Choice Requires="wps">
                  <w:drawing>
                    <wp:anchor distT="0" distB="0" distL="114300" distR="114300" simplePos="0" relativeHeight="251663872" behindDoc="0" locked="0" layoutInCell="1" allowOverlap="1" wp14:anchorId="1DD1DDFB" wp14:editId="173D9CE2">
                      <wp:simplePos x="0" y="0"/>
                      <wp:positionH relativeFrom="column">
                        <wp:posOffset>2576830</wp:posOffset>
                      </wp:positionH>
                      <wp:positionV relativeFrom="paragraph">
                        <wp:posOffset>3402330</wp:posOffset>
                      </wp:positionV>
                      <wp:extent cx="297815" cy="876300"/>
                      <wp:effectExtent l="11430" t="253365" r="11430" b="256540"/>
                      <wp:wrapNone/>
                      <wp:docPr id="459" name="矩形 4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8498571">
                                <a:off x="0" y="0"/>
                                <a:ext cx="297742" cy="876300"/>
                              </a:xfrm>
                              <a:prstGeom prst="rect">
                                <a:avLst/>
                              </a:prstGeom>
                              <a:solidFill>
                                <a:srgbClr val="FFFFFF"/>
                              </a:solidFill>
                              <a:ln w="19050">
                                <a:solidFill>
                                  <a:srgbClr val="00B050"/>
                                </a:solidFill>
                                <a:miter lim="800000"/>
                              </a:ln>
                            </wps:spPr>
                            <wps:txbx>
                              <w:txbxContent>
                                <w:p w14:paraId="17A3F963" w14:textId="77777777" w:rsidR="00B0005F" w:rsidRDefault="00000000">
                                  <w:pPr>
                                    <w:pStyle w:val="affffffffffff2"/>
                                    <w:rPr>
                                      <w:color w:val="943634" w:themeColor="accent2" w:themeShade="BF"/>
                                    </w:rPr>
                                  </w:pPr>
                                  <w:r>
                                    <w:rPr>
                                      <w:rFonts w:hint="eastAsia"/>
                                      <w:color w:val="943634" w:themeColor="accent2" w:themeShade="BF"/>
                                    </w:rPr>
                                    <w:t>河</w:t>
                                  </w:r>
                                </w:p>
                                <w:p w14:paraId="08A31AD8" w14:textId="77777777" w:rsidR="00B0005F" w:rsidRDefault="00000000">
                                  <w:pPr>
                                    <w:pStyle w:val="affffffffffff2"/>
                                    <w:rPr>
                                      <w:color w:val="943634" w:themeColor="accent2" w:themeShade="BF"/>
                                    </w:rPr>
                                  </w:pPr>
                                  <w:r>
                                    <w:rPr>
                                      <w:rFonts w:hint="eastAsia"/>
                                      <w:color w:val="943634" w:themeColor="accent2" w:themeShade="BF"/>
                                    </w:rPr>
                                    <w:t>流</w:t>
                                  </w:r>
                                </w:p>
                                <w:p w14:paraId="744975B5" w14:textId="77777777" w:rsidR="00B0005F" w:rsidRDefault="00000000">
                                  <w:pPr>
                                    <w:pStyle w:val="affffffffffff2"/>
                                    <w:rPr>
                                      <w:color w:val="943634" w:themeColor="accent2" w:themeShade="BF"/>
                                    </w:rPr>
                                  </w:pPr>
                                  <w:r>
                                    <w:rPr>
                                      <w:rFonts w:hint="eastAsia"/>
                                      <w:color w:val="943634" w:themeColor="accent2" w:themeShade="BF"/>
                                    </w:rPr>
                                    <w:t>边</w:t>
                                  </w:r>
                                </w:p>
                                <w:p w14:paraId="41358528" w14:textId="77777777" w:rsidR="00B0005F" w:rsidRDefault="00000000">
                                  <w:pPr>
                                    <w:pStyle w:val="affffffffffff2"/>
                                    <w:rPr>
                                      <w:color w:val="943634" w:themeColor="accent2" w:themeShade="BF"/>
                                    </w:rPr>
                                  </w:pPr>
                                  <w:r>
                                    <w:rPr>
                                      <w:rFonts w:hint="eastAsia"/>
                                      <w:color w:val="943634" w:themeColor="accent2" w:themeShade="BF"/>
                                    </w:rPr>
                                    <w:t>界</w:t>
                                  </w:r>
                                </w:p>
                              </w:txbxContent>
                            </wps:txbx>
                            <wps:bodyPr rot="0" vert="horz" wrap="square" lIns="0" tIns="0" rIns="0" bIns="0" anchor="t" anchorCtr="0">
                              <a:noAutofit/>
                            </wps:bodyPr>
                          </wps:wsp>
                        </a:graphicData>
                      </a:graphic>
                    </wp:anchor>
                  </w:drawing>
                </mc:Choice>
                <mc:Fallback>
                  <w:pict>
                    <v:rect w14:anchorId="1DD1DDFB" id="矩形 459" o:spid="_x0000_s1385" style="position:absolute;left:0;text-align:left;margin-left:202.9pt;margin-top:267.9pt;width:23.45pt;height:69pt;rotation:-3387588fd;z-index:2516638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" strokecolor="#00b050" strokeweight="1.5pt">
                      <v:textbox inset="0,0,0,0">
                        <w:txbxContent>
                          <w:p w14:paraId="17A3F963" w14:textId="77777777" w:rsidR="00B0005F" w:rsidRDefault="00000000">
                            <w:pPr>
                              <w:pStyle w:val="affffffffffff2"/>
                              <w:rPr>
                                <w:color w:val="943634" w:themeColor="accent2" w:themeShade="BF"/>
                              </w:rPr>
                            </w:pPr>
                            <w:r>
                              <w:rPr>
                                <w:rFonts w:hint="eastAsia"/>
                                <w:color w:val="943634" w:themeColor="accent2" w:themeShade="BF"/>
                              </w:rPr>
                              <w:t>河</w:t>
                            </w:r>
                          </w:p>
                          <w:p w14:paraId="08A31AD8" w14:textId="77777777" w:rsidR="00B0005F" w:rsidRDefault="00000000">
                            <w:pPr>
                              <w:pStyle w:val="affffffffffff2"/>
                              <w:rPr>
                                <w:color w:val="943634" w:themeColor="accent2" w:themeShade="BF"/>
                              </w:rPr>
                            </w:pPr>
                            <w:r>
                              <w:rPr>
                                <w:rFonts w:hint="eastAsia"/>
                                <w:color w:val="943634" w:themeColor="accent2" w:themeShade="BF"/>
                              </w:rPr>
                              <w:t>流</w:t>
                            </w:r>
                          </w:p>
                          <w:p w14:paraId="744975B5" w14:textId="77777777" w:rsidR="00B0005F" w:rsidRDefault="00000000">
                            <w:pPr>
                              <w:pStyle w:val="affffffffffff2"/>
                              <w:rPr>
                                <w:color w:val="943634" w:themeColor="accent2" w:themeShade="BF"/>
                              </w:rPr>
                            </w:pPr>
                            <w:r>
                              <w:rPr>
                                <w:rFonts w:hint="eastAsia"/>
                                <w:color w:val="943634" w:themeColor="accent2" w:themeShade="BF"/>
                              </w:rPr>
                              <w:t>边</w:t>
                            </w:r>
                          </w:p>
                          <w:p w14:paraId="41358528" w14:textId="77777777" w:rsidR="00B0005F" w:rsidRDefault="00000000">
                            <w:pPr>
                              <w:pStyle w:val="affffffffffff2"/>
                              <w:rPr>
                                <w:color w:val="943634" w:themeColor="accent2" w:themeShade="BF"/>
                              </w:rPr>
                            </w:pPr>
                            <w:r>
                              <w:rPr>
                                <w:rFonts w:hint="eastAsia"/>
                                <w:color w:val="943634" w:themeColor="accent2" w:themeShade="BF"/>
                              </w:rPr>
                              <w:t>界</w:t>
                            </w:r>
                          </w:p>
                        </w:txbxContent>
                      </v:textbox>
                    </v:rect>
                  </w:pict>
                </mc:Fallback>
              </mc:AlternateContent>
            </w:r>
            <w:r w:rsidRPr="008A2411">
              <w:rPr>
                <w:rFonts w:ascii="Times New Roman"/>
                <w:noProof/>
                <w:color w:val="000000" w:themeColor="text1"/>
              </w:rPr>
              <mc:AlternateContent>
                <mc:Choice Requires="wps">
                  <w:drawing>
                    <wp:anchor distT="0" distB="0" distL="114300" distR="114300" simplePos="0" relativeHeight="251645440" behindDoc="0" locked="0" layoutInCell="1" allowOverlap="1" wp14:anchorId="31B85482" wp14:editId="078EC0DE">
                      <wp:simplePos x="0" y="0"/>
                      <wp:positionH relativeFrom="column">
                        <wp:posOffset>3533140</wp:posOffset>
                      </wp:positionH>
                      <wp:positionV relativeFrom="paragraph">
                        <wp:posOffset>1817370</wp:posOffset>
                      </wp:positionV>
                      <wp:extent cx="285750" cy="876300"/>
                      <wp:effectExtent l="262890" t="1905" r="274320" b="5715"/>
                      <wp:wrapNone/>
                      <wp:docPr id="460" name="矩形 4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9181124">
                                <a:off x="0" y="0"/>
                                <a:ext cx="285750" cy="876300"/>
                              </a:xfrm>
                              <a:prstGeom prst="rect">
                                <a:avLst/>
                              </a:prstGeom>
                              <a:solidFill>
                                <a:srgbClr val="FFFFFF"/>
                              </a:solidFill>
                              <a:ln w="19050">
                                <a:solidFill>
                                  <a:srgbClr val="00B050"/>
                                </a:solidFill>
                                <a:miter lim="800000"/>
                              </a:ln>
                            </wps:spPr>
                            <wps:txbx>
                              <w:txbxContent>
                                <w:p w14:paraId="604F8D28" w14:textId="77777777" w:rsidR="00B0005F" w:rsidRDefault="00000000">
                                  <w:pPr>
                                    <w:pStyle w:val="affffffffffff2"/>
                                    <w:rPr>
                                      <w:color w:val="943634" w:themeColor="accent2" w:themeShade="BF"/>
                                    </w:rPr>
                                  </w:pPr>
                                  <w:r>
                                    <w:rPr>
                                      <w:rFonts w:hint="eastAsia"/>
                                      <w:color w:val="943634" w:themeColor="accent2" w:themeShade="BF"/>
                                    </w:rPr>
                                    <w:t>河</w:t>
                                  </w:r>
                                </w:p>
                                <w:p w14:paraId="66E72BD1" w14:textId="77777777" w:rsidR="00B0005F" w:rsidRDefault="00000000">
                                  <w:pPr>
                                    <w:pStyle w:val="affffffffffff2"/>
                                    <w:rPr>
                                      <w:color w:val="943634" w:themeColor="accent2" w:themeShade="BF"/>
                                    </w:rPr>
                                  </w:pPr>
                                  <w:r>
                                    <w:rPr>
                                      <w:rFonts w:hint="eastAsia"/>
                                      <w:color w:val="943634" w:themeColor="accent2" w:themeShade="BF"/>
                                    </w:rPr>
                                    <w:t>流</w:t>
                                  </w:r>
                                </w:p>
                                <w:p w14:paraId="4D88ED88" w14:textId="77777777" w:rsidR="00B0005F" w:rsidRDefault="00000000">
                                  <w:pPr>
                                    <w:pStyle w:val="affffffffffff2"/>
                                    <w:rPr>
                                      <w:color w:val="943634" w:themeColor="accent2" w:themeShade="BF"/>
                                    </w:rPr>
                                  </w:pPr>
                                  <w:r>
                                    <w:rPr>
                                      <w:rFonts w:hint="eastAsia"/>
                                      <w:color w:val="943634" w:themeColor="accent2" w:themeShade="BF"/>
                                    </w:rPr>
                                    <w:t>边</w:t>
                                  </w:r>
                                </w:p>
                                <w:p w14:paraId="190D56DF" w14:textId="77777777" w:rsidR="00B0005F" w:rsidRDefault="00000000">
                                  <w:pPr>
                                    <w:pStyle w:val="affffffffffff2"/>
                                    <w:rPr>
                                      <w:color w:val="943634" w:themeColor="accent2" w:themeShade="BF"/>
                                    </w:rPr>
                                  </w:pPr>
                                  <w:r>
                                    <w:rPr>
                                      <w:rFonts w:hint="eastAsia"/>
                                      <w:color w:val="943634" w:themeColor="accent2" w:themeShade="BF"/>
                                    </w:rPr>
                                    <w:t>界</w:t>
                                  </w:r>
                                </w:p>
                              </w:txbxContent>
                            </wps:txbx>
                            <wps:bodyPr rot="0" vert="horz" wrap="square" lIns="0" tIns="0" rIns="0" bIns="0" anchor="t" anchorCtr="0">
                              <a:noAutofit/>
                            </wps:bodyPr>
                          </wps:wsp>
                        </a:graphicData>
                      </a:graphic>
                    </wp:anchor>
                  </w:drawing>
                </mc:Choice>
                <mc:Fallback>
                  <w:pict>
                    <v:rect w14:anchorId="31B85482" id="矩形 460" o:spid="_x0000_s1386" style="position:absolute;left:0;text-align:left;margin-left:278.2pt;margin-top:143.1pt;width:22.5pt;height:69pt;rotation:-2642058fd;z-index:2516454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" strokecolor="#00b050" strokeweight="1.5pt">
                      <v:textbox inset="0,0,0,0">
                        <w:txbxContent>
                          <w:p w14:paraId="604F8D28" w14:textId="77777777" w:rsidR="00B0005F" w:rsidRDefault="00000000">
                            <w:pPr>
                              <w:pStyle w:val="affffffffffff2"/>
                              <w:rPr>
                                <w:color w:val="943634" w:themeColor="accent2" w:themeShade="BF"/>
                              </w:rPr>
                            </w:pPr>
                            <w:r>
                              <w:rPr>
                                <w:rFonts w:hint="eastAsia"/>
                                <w:color w:val="943634" w:themeColor="accent2" w:themeShade="BF"/>
                              </w:rPr>
                              <w:t>河</w:t>
                            </w:r>
                          </w:p>
                          <w:p w14:paraId="66E72BD1" w14:textId="77777777" w:rsidR="00B0005F" w:rsidRDefault="00000000">
                            <w:pPr>
                              <w:pStyle w:val="affffffffffff2"/>
                              <w:rPr>
                                <w:color w:val="943634" w:themeColor="accent2" w:themeShade="BF"/>
                              </w:rPr>
                            </w:pPr>
                            <w:r>
                              <w:rPr>
                                <w:rFonts w:hint="eastAsia"/>
                                <w:color w:val="943634" w:themeColor="accent2" w:themeShade="BF"/>
                              </w:rPr>
                              <w:t>流</w:t>
                            </w:r>
                          </w:p>
                          <w:p w14:paraId="4D88ED88" w14:textId="77777777" w:rsidR="00B0005F" w:rsidRDefault="00000000">
                            <w:pPr>
                              <w:pStyle w:val="affffffffffff2"/>
                              <w:rPr>
                                <w:color w:val="943634" w:themeColor="accent2" w:themeShade="BF"/>
                              </w:rPr>
                            </w:pPr>
                            <w:r>
                              <w:rPr>
                                <w:rFonts w:hint="eastAsia"/>
                                <w:color w:val="943634" w:themeColor="accent2" w:themeShade="BF"/>
                              </w:rPr>
                              <w:t>边</w:t>
                            </w:r>
                          </w:p>
                          <w:p w14:paraId="190D56DF" w14:textId="77777777" w:rsidR="00B0005F" w:rsidRDefault="00000000">
                            <w:pPr>
                              <w:pStyle w:val="affffffffffff2"/>
                              <w:rPr>
                                <w:color w:val="943634" w:themeColor="accent2" w:themeShade="BF"/>
                              </w:rPr>
                            </w:pPr>
                            <w:r>
                              <w:rPr>
                                <w:rFonts w:hint="eastAsia"/>
                                <w:color w:val="943634" w:themeColor="accent2" w:themeShade="BF"/>
                              </w:rPr>
                              <w:t>界</w:t>
                            </w:r>
                          </w:p>
                        </w:txbxContent>
                      </v:textbox>
                    </v:rect>
                  </w:pict>
                </mc:Fallback>
              </mc:AlternateContent>
            </w:r>
            <w:r w:rsidRPr="008A2411">
              <w:rPr>
                <w:rFonts w:ascii="Times New Roman"/>
                <w:noProof/>
                <w:color w:val="000000" w:themeColor="text1"/>
              </w:rPr>
              <mc:AlternateContent>
                <mc:Choice Requires="wps">
                  <w:drawing>
                    <wp:anchor distT="0" distB="0" distL="114300" distR="114300" simplePos="0" relativeHeight="251627008" behindDoc="0" locked="0" layoutInCell="1" allowOverlap="1" wp14:anchorId="0A89BCA0" wp14:editId="6115ED89">
                      <wp:simplePos x="0" y="0"/>
                      <wp:positionH relativeFrom="column">
                        <wp:posOffset>866775</wp:posOffset>
                      </wp:positionH>
                      <wp:positionV relativeFrom="paragraph">
                        <wp:posOffset>887730</wp:posOffset>
                      </wp:positionV>
                      <wp:extent cx="1171575" cy="247650"/>
                      <wp:effectExtent l="9525" t="9525" r="22860" b="17145"/>
                      <wp:wrapNone/>
                      <wp:docPr id="461" name="矩形 4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71575" cy="247650"/>
                              </a:xfrm>
                              <a:prstGeom prst="rect">
                                <a:avLst/>
                              </a:prstGeom>
                              <a:solidFill>
                                <a:srgbClr val="FFFFFF"/>
                              </a:solidFill>
                              <a:ln w="19050">
                                <a:solidFill>
                                  <a:srgbClr val="EA066D"/>
                                </a:solidFill>
                                <a:miter lim="800000"/>
                              </a:ln>
                            </wps:spPr>
                            <wps:txbx>
                              <w:txbxContent>
                                <w:p w14:paraId="149D0FEE" w14:textId="77777777" w:rsidR="00B0005F" w:rsidRDefault="00000000">
                                  <w:pPr>
                                    <w:pStyle w:val="affffffffffff2"/>
                                    <w:rPr>
                                      <w:color w:val="00B050"/>
                                      <w:sz w:val="24"/>
                                      <w:szCs w:val="24"/>
                                    </w:rPr>
                                  </w:pPr>
                                  <w:r>
                                    <w:rPr>
                                      <w:rFonts w:hint="eastAsia"/>
                                      <w:color w:val="00B050"/>
                                      <w:sz w:val="24"/>
                                      <w:szCs w:val="24"/>
                                    </w:rPr>
                                    <w:t>计算单元格</w:t>
                                  </w:r>
                                </w:p>
                              </w:txbxContent>
                            </wps:txbx>
                            <wps:bodyPr rot="0" vert="horz" wrap="square" lIns="0" tIns="0" rIns="0" bIns="0" anchor="t" anchorCtr="0" upright="1">
                              <a:noAutofit/>
                            </wps:bodyPr>
                          </wps:wsp>
                        </a:graphicData>
                      </a:graphic>
                    </wp:anchor>
                  </w:drawing>
                </mc:Choice>
                <mc:Fallback>
                  <w:pict>
                    <v:rect w14:anchorId="0A89BCA0" id="矩形 461" o:spid="_x0000_s1387" style="position:absolute;left:0;text-align:left;margin-left:68.25pt;margin-top:69.9pt;width:92.25pt;height:19.5pt;z-index:2516270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" strokecolor="#ea066d" strokeweight="1.5pt">
                      <v:textbox inset="0,0,0,0">
                        <w:txbxContent>
                          <w:p w14:paraId="149D0FEE" w14:textId="77777777" w:rsidR="00B0005F" w:rsidRDefault="00000000">
                            <w:pPr>
                              <w:pStyle w:val="affffffffffff2"/>
                              <w:rPr>
                                <w:color w:val="00B050"/>
                                <w:sz w:val="24"/>
                                <w:szCs w:val="24"/>
                              </w:rPr>
                            </w:pPr>
                            <w:r>
                              <w:rPr>
                                <w:rFonts w:hint="eastAsia"/>
                                <w:color w:val="00B050"/>
                                <w:sz w:val="24"/>
                                <w:szCs w:val="24"/>
                              </w:rPr>
                              <w:t>计算单元格</w:t>
                            </w:r>
                          </w:p>
                        </w:txbxContent>
                      </v:textbox>
                    </v:rect>
                  </w:pict>
                </mc:Fallback>
              </mc:AlternateContent>
            </w:r>
            <w:r w:rsidRPr="008A2411">
              <w:rPr>
                <w:rFonts w:ascii="Times New Roman"/>
                <w:noProof/>
                <w:color w:val="000000" w:themeColor="text1"/>
              </w:rPr>
              <mc:AlternateContent>
                <mc:Choice Requires="wps">
                  <w:drawing>
                    <wp:anchor distT="0" distB="0" distL="114300" distR="114300" simplePos="0" relativeHeight="251617792" behindDoc="0" locked="0" layoutInCell="1" allowOverlap="1" wp14:anchorId="21468F71" wp14:editId="2AF9A065">
                      <wp:simplePos x="0" y="0"/>
                      <wp:positionH relativeFrom="column">
                        <wp:posOffset>1410970</wp:posOffset>
                      </wp:positionH>
                      <wp:positionV relativeFrom="paragraph">
                        <wp:posOffset>2239645</wp:posOffset>
                      </wp:positionV>
                      <wp:extent cx="783590" cy="234950"/>
                      <wp:effectExtent l="534035" t="4445" r="8255" b="19685"/>
                      <wp:wrapNone/>
                      <wp:docPr id="1348" name="线形标注 2 312"/>
                      <wp:cNvGraphicFramePr/>
                      <a:graphic xmlns:a="http://schemas.openxmlformats.org/drawingml/2006/main">
                        <a:graphicData uri="http://schemas.microsoft.com/office/word/2010/wordprocessingShape">
                          <wps:wsp>
                            <wps:cNvSpPr/>
                            <wps:spPr bwMode="auto">
                              <a:xfrm>
                                <a:off x="0" y="0"/>
                                <a:ext cx="783590" cy="234950"/>
                              </a:xfrm>
                              <a:prstGeom prst="borderCallout2">
                                <a:avLst>
                                  <a:gd name="adj1" fmla="val 48648"/>
                                  <a:gd name="adj2" fmla="val -9722"/>
                                  <a:gd name="adj3" fmla="val 48648"/>
                                  <a:gd name="adj4" fmla="val -18153"/>
                                  <a:gd name="adj5" fmla="val 103687"/>
                                  <a:gd name="adj6" fmla="val -67983"/>
                                </a:avLst>
                              </a:prstGeom>
                              <a:solidFill>
                                <a:srgbClr val="FFFFFF"/>
                              </a:solidFill>
                              <a:ln w="9525">
                                <a:solidFill>
                                  <a:srgbClr val="FF0000"/>
                                </a:solidFill>
                                <a:miter lim="800000"/>
                              </a:ln>
                            </wps:spPr>
                            <wps:txbx>
                              <w:txbxContent>
                                <w:p w14:paraId="4297301A" w14:textId="77777777" w:rsidR="00B0005F" w:rsidRDefault="00000000">
                                  <w:pPr>
                                    <w:pStyle w:val="affffffffffffffffffff5"/>
                                    <w:spacing w:before="12" w:after="12" w:line="240" w:lineRule="auto"/>
                                    <w:rPr>
                                      <w:rStyle w:val="aff6"/>
                                      <w:b/>
                                      <w:color w:val="FF0000"/>
                                    </w:rPr>
                                  </w:pPr>
                                  <w:r>
                                    <w:rPr>
                                      <w:rStyle w:val="aff6"/>
                                      <w:rFonts w:hint="eastAsia"/>
                                      <w:b/>
                                      <w:color w:val="FF0000"/>
                                    </w:rPr>
                                    <w:t>项目位置</w:t>
                                  </w:r>
                                </w:p>
                              </w:txbxContent>
                            </wps:txbx>
                            <wps:bodyPr rot="0" vert="horz" wrap="square" lIns="0" tIns="0" rIns="0" bIns="0" anchor="t" anchorCtr="0" upright="1">
                              <a:noAutofit/>
                            </wps:bodyPr>
                          </wps:wsp>
                        </a:graphicData>
                      </a:graphic>
                    </wp:anchor>
                  </w:drawing>
                </mc:Choice>
                <mc:Fallback>
                  <w:pict>
                    <v:shapetype w14:anchorId="21468F71" id="_x0000_t48" coordsize="21600,21600" o:spt="48" adj="-10080,24300,-3600,4050,-1800,4050" path="m@0@1l@2@3@4@5nfem,l21600,r,21600l,21600xe">
                      <v:stroke joinstyle="miter"/>
                      <v:formulas>
                        <v:f eqn="val #0"/>
                        <v:f eqn="val #1"/>
                        <v:f eqn="val #2"/>
                        <v:f eqn="val #3"/>
                        <v:f eqn="val #4"/>
                        <v:f eqn="val #5"/>
                      </v:formulas>
                      <v:path arrowok="t" o:extrusionok="f" gradientshapeok="t" o:connecttype="custom" o:connectlocs="@0,@1;10800,0;10800,21600;0,10800;21600,10800"/>
                      <v:handles>
                        <v:h position="#0,#1"/>
                        <v:h position="#2,#3"/>
                        <v:h position="#4,#5"/>
                      </v:handles>
                      <o:callout v:ext="edit" on="t"/>
                    </v:shapetype>
                    <v:shape id="线形标注 2 312" o:spid="_x0000_s1388" type="#_x0000_t48" style="position:absolute;left:0;text-align:left;margin-left:111.1pt;margin-top:176.35pt;width:61.7pt;height:18.5pt;z-index:2516177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" adj="-14684,22396,-3921,10508,-2100,10508" strokecolor="red">
                      <v:textbox inset="0,0,0,0">
                        <w:txbxContent>
                          <w:p w14:paraId="4297301A" w14:textId="77777777" w:rsidR="00B0005F" w:rsidRDefault="00000000">
                            <w:pPr>
                              <w:pStyle w:val="affffffffffffffffffff5"/>
                              <w:spacing w:before="12" w:after="12" w:line="240" w:lineRule="auto"/>
                              <w:rPr>
                                <w:rStyle w:val="aff6"/>
                                <w:b/>
                                <w:color w:val="FF0000"/>
                              </w:rPr>
                            </w:pPr>
                            <w:r>
                              <w:rPr>
                                <w:rStyle w:val="aff6"/>
                                <w:rFonts w:hint="eastAsia"/>
                                <w:b/>
                                <w:color w:val="FF0000"/>
                              </w:rPr>
                              <w:t>项目位置</w:t>
                            </w:r>
                          </w:p>
                        </w:txbxContent>
                      </v:textbox>
                      <o:callout v:ext="edit" minusy="t"/>
                    </v:shape>
                  </w:pict>
                </mc:Fallback>
              </mc:AlternateContent>
            </w:r>
            <w:r w:rsidRPr="008A2411">
              <w:rPr>
                <w:rFonts w:ascii="Times New Roman"/>
                <w:noProof/>
                <w:color w:val="000000" w:themeColor="text1"/>
              </w:rPr>
              <mc:AlternateContent>
                <mc:Choice Requires="wps">
                  <w:drawing>
                    <wp:anchor distT="0" distB="0" distL="114300" distR="114300" simplePos="0" relativeHeight="251657728" behindDoc="0" locked="0" layoutInCell="1" allowOverlap="1" wp14:anchorId="458AFAF6" wp14:editId="7FCA9903">
                      <wp:simplePos x="0" y="0"/>
                      <wp:positionH relativeFrom="column">
                        <wp:posOffset>3689985</wp:posOffset>
                      </wp:positionH>
                      <wp:positionV relativeFrom="paragraph">
                        <wp:posOffset>883285</wp:posOffset>
                      </wp:positionV>
                      <wp:extent cx="1325880" cy="327660"/>
                      <wp:effectExtent l="12700" t="12700" r="17780" b="25400"/>
                      <wp:wrapNone/>
                      <wp:docPr id="1349" name="流程图: 过程 1349"/>
                      <wp:cNvGraphicFramePr/>
                      <a:graphic xmlns:a="http://schemas.openxmlformats.org/drawingml/2006/main">
                        <a:graphicData uri="http://schemas.microsoft.com/office/word/2010/wordprocessingShape">
                          <wps:wsp>
                            <wps:cNvSpPr/>
                            <wps:spPr>
                              <a:xfrm>
                                <a:off x="0" y="0"/>
                                <a:ext cx="1325880" cy="327660"/>
                              </a:xfrm>
                              <a:prstGeom prst="flowChartProcess">
                                <a:avLst/>
                              </a:prstGeom>
                              <a:solidFill>
                                <a:schemeClr val="bg1"/>
                              </a:solidFill>
                              <a:ln>
                                <a:solidFill>
                                  <a:schemeClr val="accent4">
                                    <a:lumMod val="60000"/>
                                    <a:lumOff val="40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4B20188" w14:textId="77777777" w:rsidR="00B0005F" w:rsidRDefault="00000000">
                                  <w:pPr>
                                    <w:jc w:val="center"/>
                                    <w:rPr>
                                      <w:b/>
                                      <w:color w:val="00B0F0"/>
                                      <w:sz w:val="21"/>
                                      <w:szCs w:val="21"/>
                                    </w:rPr>
                                  </w:pPr>
                                  <w:r>
                                    <w:rPr>
                                      <w:rFonts w:hint="eastAsia"/>
                                      <w:b/>
                                      <w:color w:val="00B0F0"/>
                                      <w:sz w:val="21"/>
                                      <w:szCs w:val="21"/>
                                    </w:rPr>
                                    <w:t>无效单元</w:t>
                                  </w:r>
                                </w:p>
                                <w:p w14:paraId="3BF1782D" w14:textId="77777777" w:rsidR="00B0005F" w:rsidRDefault="00B0005F">
                                  <w:pPr>
                                    <w:ind w:firstLine="480"/>
                                    <w:jc w:val="center"/>
                                    <w:rPr>
                                      <w:color w:val="00B0F0"/>
                                    </w:rP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w14:anchorId="458AFAF6" id="流程图: 过程 1349" o:spid="_x0000_s1389" type="#_x0000_t109" style="position:absolute;left:0;text-align:left;margin-left:290.55pt;margin-top:69.55pt;width:104.4pt;height:25.8pt;z-index:2516577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" fillcolor="white [3212]" strokecolor="#b2a1c7 [1943]" strokeweight="2pt">
                      <v:textbox>
                        <w:txbxContent>
                          <w:p w14:paraId="04B20188" w14:textId="77777777" w:rsidR="00B0005F" w:rsidRDefault="00000000">
                            <w:pPr>
                              <w:jc w:val="center"/>
                              <w:rPr>
                                <w:b/>
                                <w:color w:val="00B0F0"/>
                                <w:sz w:val="21"/>
                                <w:szCs w:val="21"/>
                              </w:rPr>
                            </w:pPr>
                            <w:r>
                              <w:rPr>
                                <w:rFonts w:hint="eastAsia"/>
                                <w:b/>
                                <w:color w:val="00B0F0"/>
                                <w:sz w:val="21"/>
                                <w:szCs w:val="21"/>
                              </w:rPr>
                              <w:t>无效单元</w:t>
                            </w:r>
                          </w:p>
                          <w:p w14:paraId="3BF1782D" w14:textId="77777777" w:rsidR="00B0005F" w:rsidRDefault="00B0005F">
                            <w:pPr>
                              <w:ind w:firstLine="480"/>
                              <w:jc w:val="center"/>
                              <w:rPr>
                                <w:color w:val="00B0F0"/>
                              </w:rPr>
                            </w:pPr>
                          </w:p>
                        </w:txbxContent>
                      </v:textbox>
                    </v:shape>
                  </w:pict>
                </mc:Fallback>
              </mc:AlternateContent>
            </w:r>
            <w:r w:rsidRPr="008A2411">
              <w:rPr>
                <w:rFonts w:ascii="Times New Roman"/>
                <w:noProof/>
                <w:color w:val="000000" w:themeColor="text1"/>
              </w:rPr>
              <mc:AlternateContent>
                <mc:Choice Requires="wps">
                  <w:drawing>
                    <wp:anchor distT="0" distB="0" distL="114300" distR="114300" simplePos="0" relativeHeight="251642368" behindDoc="0" locked="0" layoutInCell="1" allowOverlap="1" wp14:anchorId="1A5D0CA4" wp14:editId="7EBAAF7D">
                      <wp:simplePos x="0" y="0"/>
                      <wp:positionH relativeFrom="column">
                        <wp:posOffset>1023620</wp:posOffset>
                      </wp:positionH>
                      <wp:positionV relativeFrom="paragraph">
                        <wp:posOffset>1939925</wp:posOffset>
                      </wp:positionV>
                      <wp:extent cx="76200" cy="0"/>
                      <wp:effectExtent l="0" t="9525" r="0" b="13335"/>
                      <wp:wrapNone/>
                      <wp:docPr id="1350" name="直接连接符 1350"/>
                      <wp:cNvGraphicFramePr/>
                      <a:graphic xmlns:a="http://schemas.openxmlformats.org/drawingml/2006/main">
                        <a:graphicData uri="http://schemas.microsoft.com/office/word/2010/wordprocessingShape">
                          <wps:wsp>
                            <wps:cNvCnPr/>
                            <wps:spPr>
                              <a:xfrm flipV="1">
                                <a:off x="0" y="0"/>
                                <a:ext cx="76200" cy="1"/>
                              </a:xfrm>
                              <a:prstGeom prst="line">
                                <a:avLst/>
                              </a:prstGeom>
                              <a:noFill/>
                              <a:ln w="19050" cap="flat" cmpd="sng" algn="ctr">
                                <a:solidFill>
                                  <a:srgbClr val="FF0000"/>
                                </a:solidFill>
                                <a:prstDash val="solid"/>
                              </a:ln>
                              <a:effectLst/>
                            </wps:spPr>
                            <wps:bodyPr/>
                          </wps:wsp>
                        </a:graphicData>
                      </a:graphic>
                    </wp:anchor>
                  </w:drawing>
                </mc:Choice>
                <mc:Fallback>
                  <w:pict>
                    <v:line w14:anchorId="0B3E554D" id="直接连接符 1350" o:spid="_x0000_s1026" style="position:absolute;left:0;text-align:left;flip:y;z-index:251642368;visibility:visible;mso-wrap-style:square;mso-wrap-distance-left:9pt;mso-wrap-distance-top:0;mso-wrap-distance-right:9pt;mso-wrap-distance-bottom:0;mso-position-horizontal:absolute;mso-position-horizontal-relative:text;mso-position-vertical:absolute;mso-position-vertical-relative:text" from="80.6pt,152.75pt" to="86.6pt,15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" strokecolor="red" strokeweight="1.5pt"/>
                  </w:pict>
                </mc:Fallback>
              </mc:AlternateContent>
            </w:r>
          </w:p>
        </w:tc>
      </w:tr>
    </w:tbl>
    <w:p w14:paraId="38339023" w14:textId="77777777" w:rsidR="00B0005F" w:rsidRPr="008A2411" w:rsidRDefault="00000000">
      <w:pPr>
        <w:pStyle w:val="affffffff7"/>
        <w:spacing w:before="60" w:after="60"/>
        <w:rPr>
          <w:color w:val="000000" w:themeColor="text1"/>
        </w:rPr>
      </w:pPr>
      <w:r w:rsidRPr="008A2411">
        <w:rPr>
          <w:color w:val="000000" w:themeColor="text1"/>
        </w:rPr>
        <w:t>图</w:t>
      </w:r>
      <w:r w:rsidRPr="008A2411">
        <w:rPr>
          <w:color w:val="000000" w:themeColor="text1"/>
        </w:rPr>
        <w:t xml:space="preserve">5.2-11 </w:t>
      </w:r>
      <w:r w:rsidRPr="008A2411">
        <w:rPr>
          <w:color w:val="000000" w:themeColor="text1"/>
        </w:rPr>
        <w:t>模型边界条件设置</w:t>
      </w:r>
    </w:p>
    <w:p w14:paraId="2D2D560C" w14:textId="77777777" w:rsidR="00B0005F" w:rsidRPr="008A2411" w:rsidRDefault="00000000">
      <w:pPr>
        <w:adjustRightInd w:val="0"/>
        <w:spacing w:line="360" w:lineRule="auto"/>
        <w:ind w:firstLine="482"/>
        <w:rPr>
          <w:rFonts w:ascii="Times New Roman"/>
          <w:color w:val="000000" w:themeColor="text1"/>
        </w:rPr>
      </w:pPr>
      <w:r w:rsidRPr="008A2411">
        <w:rPr>
          <w:rFonts w:ascii="Times New Roman"/>
          <w:color w:val="000000" w:themeColor="text1"/>
        </w:rPr>
        <w:lastRenderedPageBreak/>
        <w:t>模型以东西向</w:t>
      </w:r>
      <w:proofErr w:type="gramStart"/>
      <w:r w:rsidRPr="008A2411">
        <w:rPr>
          <w:rFonts w:ascii="Times New Roman"/>
          <w:color w:val="000000" w:themeColor="text1"/>
        </w:rPr>
        <w:t>向</w:t>
      </w:r>
      <w:proofErr w:type="gramEnd"/>
      <w:r w:rsidRPr="008A2411">
        <w:rPr>
          <w:rFonts w:ascii="Times New Roman"/>
          <w:color w:val="000000" w:themeColor="text1"/>
        </w:rPr>
        <w:t>为</w:t>
      </w:r>
      <w:r w:rsidRPr="008A2411">
        <w:rPr>
          <w:rFonts w:ascii="Times New Roman"/>
          <w:color w:val="000000" w:themeColor="text1"/>
        </w:rPr>
        <w:t>x</w:t>
      </w:r>
      <w:r w:rsidRPr="008A2411">
        <w:rPr>
          <w:rFonts w:ascii="Times New Roman"/>
          <w:color w:val="000000" w:themeColor="text1"/>
        </w:rPr>
        <w:t>轴方向，长度</w:t>
      </w:r>
      <w:r w:rsidRPr="008A2411">
        <w:rPr>
          <w:rFonts w:ascii="Times New Roman"/>
          <w:color w:val="000000" w:themeColor="text1"/>
        </w:rPr>
        <w:t>1500 m</w:t>
      </w:r>
      <w:r w:rsidRPr="008A2411">
        <w:rPr>
          <w:rFonts w:ascii="Times New Roman"/>
          <w:color w:val="000000" w:themeColor="text1"/>
        </w:rPr>
        <w:t>，每</w:t>
      </w:r>
      <w:r w:rsidRPr="008A2411">
        <w:rPr>
          <w:rFonts w:ascii="Times New Roman"/>
          <w:color w:val="000000" w:themeColor="text1"/>
        </w:rPr>
        <w:t>10 m</w:t>
      </w:r>
      <w:r w:rsidRPr="008A2411">
        <w:rPr>
          <w:rFonts w:ascii="Times New Roman"/>
          <w:color w:val="000000" w:themeColor="text1"/>
        </w:rPr>
        <w:t>划分一个网格；南北向作为模型的</w:t>
      </w:r>
      <w:r w:rsidRPr="008A2411">
        <w:rPr>
          <w:rFonts w:ascii="Times New Roman"/>
          <w:color w:val="000000" w:themeColor="text1"/>
        </w:rPr>
        <w:t>y</w:t>
      </w:r>
      <w:r w:rsidRPr="008A2411">
        <w:rPr>
          <w:rFonts w:ascii="Times New Roman"/>
          <w:color w:val="000000" w:themeColor="text1"/>
        </w:rPr>
        <w:t>轴方向，宽</w:t>
      </w:r>
      <w:r w:rsidRPr="008A2411">
        <w:rPr>
          <w:rFonts w:ascii="Times New Roman"/>
          <w:color w:val="000000" w:themeColor="text1"/>
        </w:rPr>
        <w:t>1200 m</w:t>
      </w:r>
      <w:r w:rsidRPr="008A2411">
        <w:rPr>
          <w:rFonts w:ascii="Times New Roman"/>
          <w:color w:val="000000" w:themeColor="text1"/>
        </w:rPr>
        <w:t>，每</w:t>
      </w:r>
      <w:r w:rsidRPr="008A2411">
        <w:rPr>
          <w:rFonts w:ascii="Times New Roman"/>
          <w:color w:val="000000" w:themeColor="text1"/>
        </w:rPr>
        <w:t>10 m</w:t>
      </w:r>
      <w:r w:rsidRPr="008A2411">
        <w:rPr>
          <w:rFonts w:ascii="Times New Roman"/>
          <w:color w:val="000000" w:themeColor="text1"/>
        </w:rPr>
        <w:t>划分一个网格；垂直于</w:t>
      </w:r>
      <w:r w:rsidRPr="008A2411">
        <w:rPr>
          <w:rFonts w:ascii="Times New Roman"/>
          <w:color w:val="000000" w:themeColor="text1"/>
        </w:rPr>
        <w:t>xy</w:t>
      </w:r>
      <w:r w:rsidRPr="008A2411">
        <w:rPr>
          <w:rFonts w:ascii="Times New Roman"/>
          <w:color w:val="000000" w:themeColor="text1"/>
        </w:rPr>
        <w:t>平面向上为模型的</w:t>
      </w:r>
      <w:r w:rsidRPr="008A2411">
        <w:rPr>
          <w:rFonts w:ascii="Times New Roman"/>
          <w:color w:val="000000" w:themeColor="text1"/>
        </w:rPr>
        <w:t>z</w:t>
      </w:r>
      <w:r w:rsidRPr="008A2411">
        <w:rPr>
          <w:rFonts w:ascii="Times New Roman"/>
          <w:color w:val="000000" w:themeColor="text1"/>
        </w:rPr>
        <w:t>轴正方向，模拟范围</w:t>
      </w:r>
      <w:r w:rsidRPr="008A2411">
        <w:rPr>
          <w:rFonts w:ascii="Times New Roman"/>
          <w:color w:val="000000" w:themeColor="text1"/>
        </w:rPr>
        <w:t>375</w:t>
      </w:r>
      <w:r w:rsidRPr="008A2411">
        <w:rPr>
          <w:rFonts w:ascii="Times New Roman"/>
          <w:color w:val="000000" w:themeColor="text1"/>
        </w:rPr>
        <w:t>～</w:t>
      </w:r>
      <w:r w:rsidRPr="008A2411">
        <w:rPr>
          <w:rFonts w:ascii="Times New Roman"/>
          <w:color w:val="000000" w:themeColor="text1"/>
        </w:rPr>
        <w:t>505 m</w:t>
      </w:r>
      <w:r w:rsidRPr="008A2411">
        <w:rPr>
          <w:rFonts w:ascii="Times New Roman"/>
          <w:color w:val="000000" w:themeColor="text1"/>
        </w:rPr>
        <w:t>，垂向上设置为</w:t>
      </w:r>
      <w:r w:rsidRPr="008A2411">
        <w:rPr>
          <w:rFonts w:ascii="Times New Roman"/>
          <w:color w:val="000000" w:themeColor="text1"/>
        </w:rPr>
        <w:t>1</w:t>
      </w:r>
      <w:r w:rsidRPr="008A2411">
        <w:rPr>
          <w:rFonts w:ascii="Times New Roman"/>
          <w:color w:val="000000" w:themeColor="text1"/>
        </w:rPr>
        <w:t>层。模型边界条件设置：模型将</w:t>
      </w:r>
      <w:proofErr w:type="gramStart"/>
      <w:r w:rsidRPr="008A2411">
        <w:rPr>
          <w:rFonts w:ascii="Times New Roman"/>
          <w:color w:val="000000" w:themeColor="text1"/>
        </w:rPr>
        <w:t>评价区墩子河</w:t>
      </w:r>
      <w:proofErr w:type="gramEnd"/>
      <w:r w:rsidRPr="008A2411">
        <w:rPr>
          <w:rFonts w:ascii="Times New Roman"/>
          <w:color w:val="000000" w:themeColor="text1"/>
        </w:rPr>
        <w:t>及支流设置为河流边界；项目西北侧设置为流量边界。模型边界设置见上图。</w:t>
      </w:r>
    </w:p>
    <w:p w14:paraId="3F4AE134" w14:textId="77777777" w:rsidR="00B0005F" w:rsidRPr="008A2411" w:rsidRDefault="00000000">
      <w:pPr>
        <w:adjustRightInd w:val="0"/>
        <w:spacing w:line="360" w:lineRule="auto"/>
        <w:ind w:firstLine="482"/>
        <w:rPr>
          <w:rFonts w:ascii="Times New Roman"/>
          <w:color w:val="000000" w:themeColor="text1"/>
        </w:rPr>
      </w:pPr>
      <w:r w:rsidRPr="008A2411">
        <w:rPr>
          <w:rFonts w:ascii="Times New Roman"/>
          <w:color w:val="000000" w:themeColor="text1"/>
        </w:rPr>
        <w:t>4</w:t>
      </w:r>
      <w:r w:rsidRPr="008A2411">
        <w:rPr>
          <w:rFonts w:ascii="Times New Roman"/>
          <w:color w:val="000000" w:themeColor="text1"/>
        </w:rPr>
        <w:t>）模型参数赋值</w:t>
      </w:r>
    </w:p>
    <w:p w14:paraId="36AE4F60" w14:textId="77777777" w:rsidR="00B0005F" w:rsidRPr="008A2411" w:rsidRDefault="00000000">
      <w:pPr>
        <w:adjustRightInd w:val="0"/>
        <w:spacing w:line="360" w:lineRule="auto"/>
        <w:ind w:firstLine="482"/>
        <w:rPr>
          <w:rFonts w:ascii="Times New Roman"/>
          <w:color w:val="000000" w:themeColor="text1"/>
        </w:rPr>
      </w:pPr>
      <w:r w:rsidRPr="008A2411">
        <w:rPr>
          <w:rFonts w:ascii="Times New Roman"/>
          <w:color w:val="000000" w:themeColor="text1"/>
        </w:rPr>
        <w:t>渗透系数：本项所在区域潜水含水层可概化为浅层风化带裂隙孔隙水含水层，根据本项目抽水试验成果及收集的同区域抽水试验成果资料，项目区下伏孔隙潜水含水层渗透系数介于</w:t>
      </w:r>
      <w:r w:rsidRPr="008A2411">
        <w:rPr>
          <w:rFonts w:ascii="Times New Roman"/>
          <w:color w:val="000000" w:themeColor="text1"/>
        </w:rPr>
        <w:t>0.052</w:t>
      </w:r>
      <w:r w:rsidRPr="008A2411">
        <w:rPr>
          <w:rFonts w:ascii="Times New Roman"/>
          <w:color w:val="000000" w:themeColor="text1"/>
        </w:rPr>
        <w:t>～</w:t>
      </w:r>
      <w:r w:rsidRPr="008A2411">
        <w:rPr>
          <w:rFonts w:ascii="Times New Roman"/>
          <w:color w:val="000000" w:themeColor="text1"/>
        </w:rPr>
        <w:t>0.097 m/d</w:t>
      </w:r>
      <w:r w:rsidRPr="008A2411">
        <w:rPr>
          <w:rFonts w:ascii="Times New Roman"/>
          <w:color w:val="000000" w:themeColor="text1"/>
        </w:rPr>
        <w:t>。结合模型水位校验成果，模型水平方向含水层渗透系数取</w:t>
      </w:r>
      <w:r w:rsidRPr="008A2411">
        <w:rPr>
          <w:rFonts w:ascii="Times New Roman"/>
          <w:color w:val="000000" w:themeColor="text1"/>
        </w:rPr>
        <w:t>0.077 m/d</w:t>
      </w:r>
      <w:r w:rsidRPr="008A2411">
        <w:rPr>
          <w:rFonts w:ascii="Times New Roman"/>
          <w:color w:val="000000" w:themeColor="text1"/>
        </w:rPr>
        <w:t>，垂向渗透系数取</w:t>
      </w:r>
      <w:r w:rsidRPr="008A2411">
        <w:rPr>
          <w:rFonts w:ascii="Times New Roman"/>
          <w:color w:val="000000" w:themeColor="text1"/>
        </w:rPr>
        <w:t>0.007 m/d</w:t>
      </w:r>
      <w:r w:rsidRPr="008A2411">
        <w:rPr>
          <w:rFonts w:ascii="Times New Roman"/>
          <w:color w:val="000000" w:themeColor="text1"/>
        </w:rPr>
        <w:t>。</w:t>
      </w:r>
    </w:p>
    <w:p w14:paraId="5827D44A" w14:textId="77777777" w:rsidR="00B0005F" w:rsidRPr="008A2411" w:rsidRDefault="00000000">
      <w:pPr>
        <w:pStyle w:val="affffffff7"/>
        <w:adjustRightInd w:val="0"/>
        <w:spacing w:beforeLines="0" w:before="0" w:afterLines="0" w:after="0"/>
        <w:ind w:firstLine="363"/>
        <w:rPr>
          <w:color w:val="000000" w:themeColor="text1"/>
        </w:rPr>
      </w:pPr>
      <w:r w:rsidRPr="008A2411">
        <w:rPr>
          <w:color w:val="000000" w:themeColor="text1"/>
        </w:rPr>
        <w:t>表</w:t>
      </w:r>
      <w:r w:rsidRPr="008A2411">
        <w:rPr>
          <w:color w:val="000000" w:themeColor="text1"/>
        </w:rPr>
        <w:t xml:space="preserve">5.2-30  </w:t>
      </w:r>
      <w:r w:rsidRPr="008A2411">
        <w:rPr>
          <w:color w:val="000000" w:themeColor="text1"/>
        </w:rPr>
        <w:t>本次模型渗透系数取值</w:t>
      </w:r>
    </w:p>
    <w:tbl>
      <w:tblPr>
        <w:tblW w:w="489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42"/>
        <w:gridCol w:w="2263"/>
        <w:gridCol w:w="2538"/>
      </w:tblGrid>
      <w:tr w:rsidR="008A2411" w:rsidRPr="008A2411" w14:paraId="2ACDBB0D" w14:textId="77777777">
        <w:trPr>
          <w:trHeight w:val="268"/>
          <w:jc w:val="center"/>
        </w:trPr>
        <w:tc>
          <w:tcPr>
            <w:tcW w:w="2123" w:type="pct"/>
            <w:shd w:val="clear" w:color="auto" w:fill="auto"/>
            <w:vAlign w:val="center"/>
          </w:tcPr>
          <w:p w14:paraId="0B08007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介质分类</w:t>
            </w:r>
          </w:p>
        </w:tc>
        <w:tc>
          <w:tcPr>
            <w:tcW w:w="1356" w:type="pct"/>
            <w:shd w:val="clear" w:color="auto" w:fill="auto"/>
            <w:vAlign w:val="center"/>
          </w:tcPr>
          <w:p w14:paraId="4D077A9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Kx, Ky</w:t>
            </w:r>
            <w:r w:rsidRPr="008A2411">
              <w:rPr>
                <w:rFonts w:ascii="Times New Roman"/>
                <w:color w:val="000000" w:themeColor="text1"/>
              </w:rPr>
              <w:t>（</w:t>
            </w:r>
            <w:r w:rsidRPr="008A2411">
              <w:rPr>
                <w:rFonts w:ascii="Times New Roman"/>
                <w:color w:val="000000" w:themeColor="text1"/>
              </w:rPr>
              <w:t>m/d</w:t>
            </w:r>
            <w:r w:rsidRPr="008A2411">
              <w:rPr>
                <w:rFonts w:ascii="Times New Roman"/>
                <w:color w:val="000000" w:themeColor="text1"/>
              </w:rPr>
              <w:t>）</w:t>
            </w:r>
          </w:p>
        </w:tc>
        <w:tc>
          <w:tcPr>
            <w:tcW w:w="1521" w:type="pct"/>
            <w:shd w:val="clear" w:color="auto" w:fill="auto"/>
            <w:vAlign w:val="center"/>
          </w:tcPr>
          <w:p w14:paraId="32F637F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Kz</w:t>
            </w:r>
            <w:r w:rsidRPr="008A2411">
              <w:rPr>
                <w:rFonts w:ascii="Times New Roman"/>
                <w:color w:val="000000" w:themeColor="text1"/>
              </w:rPr>
              <w:t>（</w:t>
            </w:r>
            <w:r w:rsidRPr="008A2411">
              <w:rPr>
                <w:rFonts w:ascii="Times New Roman"/>
                <w:color w:val="000000" w:themeColor="text1"/>
              </w:rPr>
              <w:t>m/d</w:t>
            </w:r>
            <w:r w:rsidRPr="008A2411">
              <w:rPr>
                <w:rFonts w:ascii="Times New Roman"/>
                <w:color w:val="000000" w:themeColor="text1"/>
              </w:rPr>
              <w:t>）</w:t>
            </w:r>
          </w:p>
        </w:tc>
      </w:tr>
      <w:tr w:rsidR="00B0005F" w:rsidRPr="008A2411" w14:paraId="3C396482" w14:textId="77777777">
        <w:trPr>
          <w:trHeight w:val="359"/>
          <w:jc w:val="center"/>
        </w:trPr>
        <w:tc>
          <w:tcPr>
            <w:tcW w:w="2123" w:type="pct"/>
            <w:shd w:val="clear" w:color="auto" w:fill="auto"/>
            <w:vAlign w:val="center"/>
          </w:tcPr>
          <w:p w14:paraId="318D9DA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浅层风化带裂隙孔隙水含水层</w:t>
            </w:r>
          </w:p>
        </w:tc>
        <w:tc>
          <w:tcPr>
            <w:tcW w:w="2263" w:type="dxa"/>
            <w:shd w:val="clear" w:color="auto" w:fill="auto"/>
            <w:vAlign w:val="center"/>
          </w:tcPr>
          <w:p w14:paraId="20E66896" w14:textId="77777777" w:rsidR="00B0005F" w:rsidRPr="008A2411" w:rsidRDefault="00000000">
            <w:pPr>
              <w:pStyle w:val="affffffffffff2"/>
              <w:rPr>
                <w:rFonts w:ascii="Times New Roman"/>
                <w:color w:val="000000" w:themeColor="text1"/>
              </w:rPr>
            </w:pPr>
            <w:r w:rsidRPr="008A2411">
              <w:rPr>
                <w:rFonts w:ascii="Times New Roman"/>
                <w:color w:val="000000" w:themeColor="text1"/>
                <w:kern w:val="0"/>
              </w:rPr>
              <w:t>0.077</w:t>
            </w:r>
          </w:p>
        </w:tc>
        <w:tc>
          <w:tcPr>
            <w:tcW w:w="2538" w:type="dxa"/>
            <w:shd w:val="clear" w:color="auto" w:fill="auto"/>
            <w:vAlign w:val="center"/>
          </w:tcPr>
          <w:p w14:paraId="4247169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0.007</w:t>
            </w:r>
          </w:p>
        </w:tc>
      </w:tr>
    </w:tbl>
    <w:p w14:paraId="00D1B309" w14:textId="77777777" w:rsidR="00B0005F" w:rsidRPr="008A2411" w:rsidRDefault="00B0005F">
      <w:pPr>
        <w:pStyle w:val="affffff5"/>
        <w:rPr>
          <w:rFonts w:ascii="Times New Roman" w:hAnsi="Times New Roman"/>
          <w:color w:val="000000" w:themeColor="text1"/>
        </w:rPr>
      </w:pPr>
    </w:p>
    <w:p w14:paraId="07CE11A7" w14:textId="77777777" w:rsidR="00B0005F" w:rsidRPr="008A2411" w:rsidRDefault="00000000">
      <w:pPr>
        <w:adjustRightInd w:val="0"/>
        <w:snapToGrid w:val="0"/>
        <w:spacing w:line="360" w:lineRule="auto"/>
        <w:ind w:firstLine="480"/>
        <w:rPr>
          <w:rFonts w:ascii="Times New Roman"/>
          <w:color w:val="000000" w:themeColor="text1"/>
        </w:rPr>
      </w:pPr>
      <w:r w:rsidRPr="008A2411">
        <w:rPr>
          <w:rFonts w:ascii="Times New Roman"/>
          <w:color w:val="000000" w:themeColor="text1"/>
        </w:rPr>
        <w:t>给水度：参考《四川省达州市宣汉县红层丘陵区找水打井工程地下水调查与区划报告》，本项目以中</w:t>
      </w:r>
      <w:r w:rsidRPr="008A2411">
        <w:rPr>
          <w:rFonts w:ascii="Times New Roman"/>
          <w:color w:val="000000" w:themeColor="text1"/>
        </w:rPr>
        <w:t>—</w:t>
      </w:r>
      <w:r w:rsidRPr="008A2411">
        <w:rPr>
          <w:rFonts w:ascii="Times New Roman"/>
          <w:color w:val="000000" w:themeColor="text1"/>
        </w:rPr>
        <w:t>深丘状地貌为主的浅层风化带裂隙孔隙水含水层（</w:t>
      </w:r>
      <w:r w:rsidRPr="008A2411">
        <w:rPr>
          <w:rFonts w:ascii="Times New Roman"/>
          <w:color w:val="000000" w:themeColor="text1"/>
        </w:rPr>
        <w:t>J</w:t>
      </w:r>
      <w:r w:rsidRPr="008A2411">
        <w:rPr>
          <w:rFonts w:ascii="Times New Roman"/>
          <w:color w:val="000000" w:themeColor="text1"/>
          <w:vertAlign w:val="subscript"/>
        </w:rPr>
        <w:t>2</w:t>
      </w:r>
      <w:r w:rsidRPr="008A2411">
        <w:rPr>
          <w:rFonts w:ascii="Times New Roman"/>
          <w:color w:val="000000" w:themeColor="text1"/>
        </w:rPr>
        <w:t>s</w:t>
      </w:r>
      <w:r w:rsidRPr="008A2411">
        <w:rPr>
          <w:rFonts w:ascii="Times New Roman"/>
          <w:color w:val="000000" w:themeColor="text1"/>
        </w:rPr>
        <w:t>）给水度设置为</w:t>
      </w:r>
      <w:r w:rsidRPr="008A2411">
        <w:rPr>
          <w:rFonts w:ascii="Times New Roman"/>
          <w:color w:val="000000" w:themeColor="text1"/>
        </w:rPr>
        <w:t>5%</w:t>
      </w:r>
      <w:r w:rsidRPr="008A2411">
        <w:rPr>
          <w:rFonts w:ascii="Times New Roman"/>
          <w:color w:val="000000" w:themeColor="text1"/>
        </w:rPr>
        <w:t>。</w:t>
      </w:r>
    </w:p>
    <w:p w14:paraId="0787DBAF" w14:textId="77777777" w:rsidR="00B0005F" w:rsidRPr="008A2411" w:rsidRDefault="00000000">
      <w:pPr>
        <w:adjustRightInd w:val="0"/>
        <w:snapToGrid w:val="0"/>
        <w:spacing w:line="360" w:lineRule="auto"/>
        <w:ind w:firstLine="482"/>
        <w:rPr>
          <w:rFonts w:ascii="Times New Roman"/>
          <w:color w:val="000000" w:themeColor="text1"/>
        </w:rPr>
      </w:pPr>
      <w:r w:rsidRPr="008A2411">
        <w:rPr>
          <w:rFonts w:ascii="Times New Roman"/>
          <w:color w:val="000000" w:themeColor="text1"/>
        </w:rPr>
        <w:t>补给量：评价区位于达州市宣汉县，区内年平均降雨量为</w:t>
      </w:r>
      <w:r w:rsidRPr="008A2411">
        <w:rPr>
          <w:rFonts w:ascii="Times New Roman"/>
          <w:color w:val="000000" w:themeColor="text1"/>
        </w:rPr>
        <w:t>1217 mm/a</w:t>
      </w:r>
      <w:r w:rsidRPr="008A2411">
        <w:rPr>
          <w:rFonts w:ascii="Times New Roman"/>
          <w:color w:val="000000" w:themeColor="text1"/>
        </w:rPr>
        <w:t>。根据《四川省达州市宣汉县红层丘陵区找水打井工程地下水调查与区划报告》，该区入渗系数</w:t>
      </w:r>
      <w:r w:rsidRPr="008A2411">
        <w:rPr>
          <w:rFonts w:ascii="Times New Roman"/>
          <w:color w:val="000000" w:themeColor="text1"/>
        </w:rPr>
        <w:t>α</w:t>
      </w:r>
      <w:r w:rsidRPr="008A2411">
        <w:rPr>
          <w:rFonts w:ascii="Times New Roman"/>
          <w:color w:val="000000" w:themeColor="text1"/>
        </w:rPr>
        <w:t>值取</w:t>
      </w:r>
      <w:r w:rsidRPr="008A2411">
        <w:rPr>
          <w:rFonts w:ascii="Times New Roman"/>
          <w:color w:val="000000" w:themeColor="text1"/>
        </w:rPr>
        <w:t>0.035</w:t>
      </w:r>
      <w:r w:rsidRPr="008A2411">
        <w:rPr>
          <w:rFonts w:ascii="Times New Roman"/>
          <w:color w:val="000000" w:themeColor="text1"/>
        </w:rPr>
        <w:t>，降雨补给量</w:t>
      </w:r>
      <w:r w:rsidRPr="008A2411">
        <w:rPr>
          <w:rFonts w:ascii="Times New Roman"/>
          <w:color w:val="000000" w:themeColor="text1"/>
        </w:rPr>
        <w:t>Recharge</w:t>
      </w:r>
      <w:r w:rsidRPr="008A2411">
        <w:rPr>
          <w:rFonts w:ascii="Times New Roman"/>
          <w:color w:val="000000" w:themeColor="text1"/>
        </w:rPr>
        <w:t>设置为</w:t>
      </w:r>
      <w:r w:rsidRPr="008A2411">
        <w:rPr>
          <w:rFonts w:ascii="Times New Roman"/>
          <w:color w:val="000000" w:themeColor="text1"/>
        </w:rPr>
        <w:t>42.3 mm</w:t>
      </w:r>
      <w:r w:rsidRPr="008A2411">
        <w:rPr>
          <w:rFonts w:ascii="Times New Roman"/>
          <w:color w:val="000000" w:themeColor="text1"/>
        </w:rPr>
        <w:t>。</w:t>
      </w:r>
    </w:p>
    <w:tbl>
      <w:tblPr>
        <w:tblW w:w="0" w:type="auto"/>
        <w:tblBorders>
          <w:insideV w:val="single" w:sz="4" w:space="0" w:color="000000"/>
        </w:tblBorders>
        <w:tblLook w:val="04A0" w:firstRow="1" w:lastRow="0" w:firstColumn="1" w:lastColumn="0" w:noHBand="0" w:noVBand="1"/>
      </w:tblPr>
      <w:tblGrid>
        <w:gridCol w:w="8522"/>
      </w:tblGrid>
      <w:tr w:rsidR="008A2411" w:rsidRPr="008A2411" w14:paraId="5C6E4CCD" w14:textId="77777777">
        <w:tc>
          <w:tcPr>
            <w:tcW w:w="8522" w:type="dxa"/>
            <w:shd w:val="clear" w:color="auto" w:fill="auto"/>
          </w:tcPr>
          <w:p w14:paraId="02038768" w14:textId="77777777" w:rsidR="00B0005F" w:rsidRPr="008A2411" w:rsidRDefault="00000000">
            <w:pPr>
              <w:pStyle w:val="affffff5"/>
              <w:jc w:val="center"/>
              <w:rPr>
                <w:rFonts w:ascii="Times New Roman" w:hAnsi="Times New Roman"/>
                <w:color w:val="000000" w:themeColor="text1"/>
                <w:szCs w:val="21"/>
              </w:rPr>
            </w:pPr>
            <w:r w:rsidRPr="008A2411">
              <w:rPr>
                <w:rFonts w:ascii="Times New Roman" w:hAnsi="Times New Roman"/>
                <w:noProof/>
                <w:color w:val="000000" w:themeColor="text1"/>
              </w:rPr>
              <w:drawing>
                <wp:inline distT="0" distB="0" distL="0" distR="0" wp14:anchorId="5AEB4C4A" wp14:editId="0FDA92B8">
                  <wp:extent cx="4499610" cy="2712085"/>
                  <wp:effectExtent l="0" t="0" r="11430" b="635"/>
                  <wp:docPr id="1352" name="图片 1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2" name="图片 1352"/>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a:xfrm>
                            <a:off x="0" y="0"/>
                            <a:ext cx="4500000" cy="2712120"/>
                          </a:xfrm>
                          <a:prstGeom prst="rect">
                            <a:avLst/>
                          </a:prstGeom>
                          <a:noFill/>
                          <a:ln>
                            <a:noFill/>
                          </a:ln>
                        </pic:spPr>
                      </pic:pic>
                    </a:graphicData>
                  </a:graphic>
                </wp:inline>
              </w:drawing>
            </w:r>
          </w:p>
        </w:tc>
      </w:tr>
      <w:tr w:rsidR="008A2411" w:rsidRPr="008A2411" w14:paraId="5BD64D13" w14:textId="77777777">
        <w:tc>
          <w:tcPr>
            <w:tcW w:w="8522" w:type="dxa"/>
            <w:shd w:val="clear" w:color="auto" w:fill="auto"/>
          </w:tcPr>
          <w:p w14:paraId="0E853686" w14:textId="77777777" w:rsidR="00B0005F" w:rsidRPr="008A2411" w:rsidRDefault="00000000">
            <w:pPr>
              <w:pStyle w:val="affffffff7"/>
              <w:spacing w:before="60" w:after="60"/>
              <w:rPr>
                <w:color w:val="000000" w:themeColor="text1"/>
              </w:rPr>
            </w:pPr>
            <w:r w:rsidRPr="008A2411">
              <w:rPr>
                <w:color w:val="000000" w:themeColor="text1"/>
              </w:rPr>
              <w:t>图</w:t>
            </w:r>
            <w:r w:rsidRPr="008A2411">
              <w:rPr>
                <w:color w:val="000000" w:themeColor="text1"/>
              </w:rPr>
              <w:t xml:space="preserve">5.2-12  </w:t>
            </w:r>
            <w:r w:rsidRPr="008A2411">
              <w:rPr>
                <w:color w:val="000000" w:themeColor="text1"/>
              </w:rPr>
              <w:t>纵向弥散度对观测测度、数据根据可靠性分类：</w:t>
            </w:r>
          </w:p>
          <w:p w14:paraId="27895D8A" w14:textId="77777777" w:rsidR="00B0005F" w:rsidRPr="008A2411" w:rsidRDefault="00000000">
            <w:pPr>
              <w:pStyle w:val="affffff5"/>
              <w:adjustRightInd w:val="0"/>
              <w:snapToGrid w:val="0"/>
              <w:spacing w:line="360" w:lineRule="auto"/>
              <w:ind w:firstLineChars="200" w:firstLine="480"/>
              <w:rPr>
                <w:rFonts w:ascii="Times New Roman" w:hAnsi="Times New Roman"/>
                <w:color w:val="000000" w:themeColor="text1"/>
                <w:lang w:eastAsia="zh-CN"/>
              </w:rPr>
            </w:pPr>
            <w:r w:rsidRPr="008A2411">
              <w:rPr>
                <w:rFonts w:ascii="Times New Roman" w:hAnsi="Times New Roman"/>
                <w:color w:val="000000" w:themeColor="text1"/>
                <w:lang w:eastAsia="zh-CN"/>
              </w:rPr>
              <w:lastRenderedPageBreak/>
              <w:t>弥散系数：根据文献资料（</w:t>
            </w:r>
            <w:r w:rsidRPr="008A2411">
              <w:rPr>
                <w:rFonts w:ascii="Times New Roman" w:hAnsi="Times New Roman"/>
                <w:color w:val="000000" w:themeColor="text1"/>
                <w:lang w:eastAsia="zh-CN"/>
              </w:rPr>
              <w:t>Gelhar</w:t>
            </w:r>
            <w:r w:rsidRPr="008A2411">
              <w:rPr>
                <w:rFonts w:ascii="Times New Roman" w:hAnsi="Times New Roman"/>
                <w:color w:val="000000" w:themeColor="text1"/>
                <w:lang w:eastAsia="zh-CN"/>
              </w:rPr>
              <w:t>，</w:t>
            </w:r>
            <w:r w:rsidRPr="008A2411">
              <w:rPr>
                <w:rFonts w:ascii="Times New Roman" w:hAnsi="Times New Roman"/>
                <w:color w:val="000000" w:themeColor="text1"/>
                <w:lang w:eastAsia="zh-CN"/>
              </w:rPr>
              <w:t>1992</w:t>
            </w:r>
            <w:r w:rsidRPr="008A2411">
              <w:rPr>
                <w:rFonts w:ascii="Times New Roman" w:hAnsi="Times New Roman"/>
                <w:color w:val="000000" w:themeColor="text1"/>
                <w:lang w:eastAsia="zh-CN"/>
              </w:rPr>
              <w:t>）弥散系数受观测尺度影响较大，纵向弥散度高可靠性区域主要集中于</w:t>
            </w:r>
            <w:r w:rsidRPr="008A2411">
              <w:rPr>
                <w:rFonts w:ascii="Times New Roman" w:hAnsi="Times New Roman"/>
                <w:color w:val="000000" w:themeColor="text1"/>
                <w:lang w:eastAsia="zh-CN"/>
              </w:rPr>
              <w:t>10</w:t>
            </w:r>
            <w:r w:rsidRPr="008A2411">
              <w:rPr>
                <w:rFonts w:ascii="Times New Roman" w:hAnsi="Times New Roman"/>
                <w:color w:val="000000" w:themeColor="text1"/>
                <w:vertAlign w:val="superscript"/>
                <w:lang w:eastAsia="zh-CN"/>
              </w:rPr>
              <w:t>0</w:t>
            </w:r>
            <w:r w:rsidRPr="008A2411">
              <w:rPr>
                <w:rFonts w:ascii="Times New Roman" w:hAnsi="Times New Roman"/>
                <w:color w:val="000000" w:themeColor="text1"/>
                <w:lang w:eastAsia="zh-CN"/>
              </w:rPr>
              <w:t>～</w:t>
            </w:r>
            <w:r w:rsidRPr="008A2411">
              <w:rPr>
                <w:rFonts w:ascii="Times New Roman" w:hAnsi="Times New Roman"/>
                <w:color w:val="000000" w:themeColor="text1"/>
                <w:lang w:eastAsia="zh-CN"/>
              </w:rPr>
              <w:t>10</w:t>
            </w:r>
            <w:r w:rsidRPr="008A2411">
              <w:rPr>
                <w:rFonts w:ascii="Times New Roman" w:hAnsi="Times New Roman"/>
                <w:color w:val="000000" w:themeColor="text1"/>
                <w:vertAlign w:val="superscript"/>
                <w:lang w:eastAsia="zh-CN"/>
              </w:rPr>
              <w:t>1</w:t>
            </w:r>
            <w:r w:rsidRPr="008A2411">
              <w:rPr>
                <w:rFonts w:ascii="Times New Roman" w:hAnsi="Times New Roman"/>
                <w:color w:val="000000" w:themeColor="text1"/>
                <w:lang w:eastAsia="zh-CN"/>
              </w:rPr>
              <w:t>量级（图</w:t>
            </w:r>
            <w:r w:rsidRPr="008A2411">
              <w:rPr>
                <w:rFonts w:ascii="Times New Roman" w:hAnsi="Times New Roman"/>
                <w:color w:val="000000" w:themeColor="text1"/>
                <w:lang w:eastAsia="zh-CN"/>
              </w:rPr>
              <w:t>10.4-2</w:t>
            </w:r>
            <w:r w:rsidRPr="008A2411">
              <w:rPr>
                <w:rFonts w:ascii="Times New Roman" w:hAnsi="Times New Roman"/>
                <w:color w:val="000000" w:themeColor="text1"/>
                <w:lang w:eastAsia="zh-CN"/>
              </w:rPr>
              <w:t>），弥散系数与弥散度、渗流速度成正比。依据《地下水污染物迁移模拟技术规范》（建议稿），淤泥和粘土层的砂岩及砂岩和冲沉积物的纵向弥散度介于</w:t>
            </w:r>
            <w:r w:rsidRPr="008A2411">
              <w:rPr>
                <w:rFonts w:ascii="Times New Roman" w:hAnsi="Times New Roman"/>
                <w:color w:val="000000" w:themeColor="text1"/>
                <w:lang w:eastAsia="zh-CN"/>
              </w:rPr>
              <w:t>1</w:t>
            </w:r>
            <w:r w:rsidRPr="008A2411">
              <w:rPr>
                <w:rFonts w:ascii="Times New Roman" w:hAnsi="Times New Roman"/>
                <w:color w:val="000000" w:themeColor="text1"/>
                <w:lang w:eastAsia="zh-CN"/>
              </w:rPr>
              <w:t>～</w:t>
            </w:r>
            <w:r w:rsidRPr="008A2411">
              <w:rPr>
                <w:rFonts w:ascii="Times New Roman" w:hAnsi="Times New Roman"/>
                <w:color w:val="000000" w:themeColor="text1"/>
                <w:lang w:eastAsia="zh-CN"/>
              </w:rPr>
              <w:t>200 m</w:t>
            </w:r>
            <w:r w:rsidRPr="008A2411">
              <w:rPr>
                <w:rFonts w:ascii="Times New Roman" w:hAnsi="Times New Roman"/>
                <w:color w:val="000000" w:themeColor="text1"/>
                <w:lang w:eastAsia="zh-CN"/>
              </w:rPr>
              <w:t>；根据数值</w:t>
            </w:r>
            <w:proofErr w:type="gramStart"/>
            <w:r w:rsidRPr="008A2411">
              <w:rPr>
                <w:rFonts w:ascii="Times New Roman" w:hAnsi="Times New Roman"/>
                <w:color w:val="000000" w:themeColor="text1"/>
                <w:lang w:eastAsia="zh-CN"/>
              </w:rPr>
              <w:t>渗流场</w:t>
            </w:r>
            <w:proofErr w:type="gramEnd"/>
            <w:r w:rsidRPr="008A2411">
              <w:rPr>
                <w:rFonts w:ascii="Times New Roman" w:hAnsi="Times New Roman"/>
                <w:color w:val="000000" w:themeColor="text1"/>
                <w:lang w:eastAsia="zh-CN"/>
              </w:rPr>
              <w:t>模拟结果，</w:t>
            </w:r>
            <w:proofErr w:type="gramStart"/>
            <w:r w:rsidRPr="008A2411">
              <w:rPr>
                <w:rFonts w:ascii="Times New Roman" w:hAnsi="Times New Roman"/>
                <w:color w:val="000000" w:themeColor="text1"/>
                <w:lang w:eastAsia="zh-CN"/>
              </w:rPr>
              <w:t>评价区</w:t>
            </w:r>
            <w:proofErr w:type="gramEnd"/>
            <w:r w:rsidRPr="008A2411">
              <w:rPr>
                <w:rFonts w:ascii="Times New Roman" w:hAnsi="Times New Roman"/>
                <w:color w:val="000000" w:themeColor="text1"/>
                <w:lang w:eastAsia="zh-CN"/>
              </w:rPr>
              <w:t>渗流速度为</w:t>
            </w:r>
            <w:r w:rsidRPr="008A2411">
              <w:rPr>
                <w:rFonts w:ascii="Times New Roman" w:hAnsi="Times New Roman"/>
                <w:color w:val="000000" w:themeColor="text1"/>
                <w:lang w:eastAsia="zh-CN"/>
              </w:rPr>
              <w:t>0.11 m/d</w:t>
            </w:r>
            <w:r w:rsidRPr="008A2411">
              <w:rPr>
                <w:rFonts w:ascii="Times New Roman" w:hAnsi="Times New Roman"/>
                <w:color w:val="000000" w:themeColor="text1"/>
                <w:lang w:eastAsia="zh-CN"/>
              </w:rPr>
              <w:t>，纵向弥散度取</w:t>
            </w:r>
            <w:r w:rsidRPr="008A2411">
              <w:rPr>
                <w:rFonts w:ascii="Times New Roman" w:hAnsi="Times New Roman"/>
                <w:color w:val="000000" w:themeColor="text1"/>
                <w:lang w:eastAsia="zh-CN"/>
              </w:rPr>
              <w:t>50 m</w:t>
            </w:r>
            <w:r w:rsidRPr="008A2411">
              <w:rPr>
                <w:rFonts w:ascii="Times New Roman" w:hAnsi="Times New Roman"/>
                <w:color w:val="000000" w:themeColor="text1"/>
                <w:lang w:eastAsia="zh-CN"/>
              </w:rPr>
              <w:t>，纵向弥散系数取</w:t>
            </w:r>
            <w:r w:rsidRPr="008A2411">
              <w:rPr>
                <w:rFonts w:ascii="Times New Roman" w:hAnsi="Times New Roman"/>
                <w:color w:val="000000" w:themeColor="text1"/>
                <w:lang w:eastAsia="zh-CN"/>
              </w:rPr>
              <w:t>5.5 m</w:t>
            </w:r>
            <w:r w:rsidRPr="008A2411">
              <w:rPr>
                <w:rFonts w:ascii="Times New Roman" w:hAnsi="Times New Roman"/>
                <w:color w:val="000000" w:themeColor="text1"/>
                <w:vertAlign w:val="superscript"/>
                <w:lang w:eastAsia="zh-CN"/>
              </w:rPr>
              <w:t>2</w:t>
            </w:r>
            <w:r w:rsidRPr="008A2411">
              <w:rPr>
                <w:rFonts w:ascii="Times New Roman" w:hAnsi="Times New Roman"/>
                <w:color w:val="000000" w:themeColor="text1"/>
                <w:lang w:eastAsia="zh-CN"/>
              </w:rPr>
              <w:t>/d</w:t>
            </w:r>
            <w:r w:rsidRPr="008A2411">
              <w:rPr>
                <w:rFonts w:ascii="Times New Roman" w:hAnsi="Times New Roman"/>
                <w:color w:val="000000" w:themeColor="text1"/>
                <w:lang w:eastAsia="zh-CN"/>
              </w:rPr>
              <w:t>。</w:t>
            </w:r>
          </w:p>
        </w:tc>
      </w:tr>
    </w:tbl>
    <w:p w14:paraId="4757B8DB" w14:textId="77777777" w:rsidR="00B0005F" w:rsidRPr="008A2411" w:rsidRDefault="00000000">
      <w:pPr>
        <w:adjustRightInd w:val="0"/>
        <w:spacing w:line="360" w:lineRule="auto"/>
        <w:ind w:firstLine="482"/>
        <w:rPr>
          <w:rFonts w:ascii="Times New Roman"/>
          <w:color w:val="000000" w:themeColor="text1"/>
        </w:rPr>
      </w:pPr>
      <w:r w:rsidRPr="008A2411">
        <w:rPr>
          <w:rFonts w:ascii="Times New Roman"/>
          <w:color w:val="000000" w:themeColor="text1"/>
        </w:rPr>
        <w:lastRenderedPageBreak/>
        <w:t>5</w:t>
      </w:r>
      <w:r w:rsidRPr="008A2411">
        <w:rPr>
          <w:rFonts w:ascii="Times New Roman"/>
          <w:color w:val="000000" w:themeColor="text1"/>
        </w:rPr>
        <w:t>）初始</w:t>
      </w:r>
      <w:proofErr w:type="gramStart"/>
      <w:r w:rsidRPr="008A2411">
        <w:rPr>
          <w:rFonts w:ascii="Times New Roman"/>
          <w:color w:val="000000" w:themeColor="text1"/>
        </w:rPr>
        <w:t>渗流场</w:t>
      </w:r>
      <w:proofErr w:type="gramEnd"/>
      <w:r w:rsidRPr="008A2411">
        <w:rPr>
          <w:rFonts w:ascii="Times New Roman"/>
          <w:color w:val="000000" w:themeColor="text1"/>
        </w:rPr>
        <w:t>模拟结果及校验</w:t>
      </w:r>
    </w:p>
    <w:p w14:paraId="0B5B7311" w14:textId="77777777" w:rsidR="00B0005F" w:rsidRPr="008A2411" w:rsidRDefault="00000000">
      <w:pPr>
        <w:adjustRightInd w:val="0"/>
        <w:spacing w:line="360" w:lineRule="auto"/>
        <w:ind w:firstLine="482"/>
        <w:rPr>
          <w:rFonts w:ascii="Times New Roman"/>
          <w:color w:val="000000" w:themeColor="text1"/>
        </w:rPr>
      </w:pPr>
      <w:r w:rsidRPr="008A2411">
        <w:rPr>
          <w:rFonts w:ascii="Times New Roman"/>
          <w:color w:val="000000" w:themeColor="text1"/>
        </w:rPr>
        <w:t>按照前述建立的数值模型、边界条件和计算参数，以稳定流模型运行得到的流场作为初始渗流场，见图</w:t>
      </w:r>
      <w:r w:rsidRPr="008A2411">
        <w:rPr>
          <w:rFonts w:ascii="Times New Roman"/>
          <w:color w:val="000000" w:themeColor="text1"/>
        </w:rPr>
        <w:t>10.4-3</w:t>
      </w:r>
      <w:r w:rsidRPr="008A2411">
        <w:rPr>
          <w:rFonts w:ascii="Times New Roman"/>
          <w:color w:val="000000" w:themeColor="text1"/>
        </w:rPr>
        <w:t>。根据模拟结果，本项目所在区地下水水位埋深较浅，地下水受区域流场及</w:t>
      </w:r>
      <w:proofErr w:type="gramStart"/>
      <w:r w:rsidRPr="008A2411">
        <w:rPr>
          <w:rFonts w:ascii="Times New Roman"/>
          <w:color w:val="000000" w:themeColor="text1"/>
        </w:rPr>
        <w:t>墩子河</w:t>
      </w:r>
      <w:proofErr w:type="gramEnd"/>
      <w:r w:rsidRPr="008A2411">
        <w:rPr>
          <w:rFonts w:ascii="Times New Roman"/>
          <w:color w:val="000000" w:themeColor="text1"/>
        </w:rPr>
        <w:t>等河流控制，评价区内地下水总体呈北西向向南东</w:t>
      </w:r>
      <w:proofErr w:type="gramStart"/>
      <w:r w:rsidRPr="008A2411">
        <w:rPr>
          <w:rFonts w:ascii="Times New Roman"/>
          <w:color w:val="000000" w:themeColor="text1"/>
        </w:rPr>
        <w:t>墩子河径流</w:t>
      </w:r>
      <w:proofErr w:type="gramEnd"/>
      <w:r w:rsidRPr="008A2411">
        <w:rPr>
          <w:rFonts w:ascii="Times New Roman"/>
          <w:color w:val="000000" w:themeColor="text1"/>
        </w:rPr>
        <w:t>，局部受到微地貌控制。这与本项目所在区域水文地质条件基本相符，符合调查的基本情况，也与区域水文地质资料的流场相一致。</w:t>
      </w:r>
    </w:p>
    <w:tbl>
      <w:tblPr>
        <w:tblStyle w:val="affff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22"/>
      </w:tblGrid>
      <w:tr w:rsidR="008A2411" w:rsidRPr="008A2411" w14:paraId="6FD4D9CB" w14:textId="77777777">
        <w:tc>
          <w:tcPr>
            <w:tcW w:w="8522" w:type="dxa"/>
          </w:tcPr>
          <w:p w14:paraId="4E5A0DEB" w14:textId="77777777" w:rsidR="00B0005F" w:rsidRPr="008A2411" w:rsidRDefault="00000000">
            <w:pPr>
              <w:pStyle w:val="affffffffffff2"/>
              <w:rPr>
                <w:rFonts w:ascii="Times New Roman"/>
                <w:color w:val="000000" w:themeColor="text1"/>
              </w:rPr>
            </w:pPr>
            <w:r w:rsidRPr="008A2411">
              <w:rPr>
                <w:rFonts w:ascii="Times New Roman"/>
                <w:noProof/>
                <w:color w:val="000000" w:themeColor="text1"/>
              </w:rPr>
              <w:drawing>
                <wp:inline distT="0" distB="0" distL="0" distR="0" wp14:anchorId="4F3B5C88" wp14:editId="3359B662">
                  <wp:extent cx="5039995" cy="4114800"/>
                  <wp:effectExtent l="0" t="0" r="4445" b="0"/>
                  <wp:docPr id="1363" name="图片 13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3" name="图片 1363"/>
                          <pic:cNvPicPr>
                            <a:picLocks noChangeAspect="1"/>
                          </pic:cNvPicPr>
                        </pic:nvPicPr>
                        <pic:blipFill>
                          <a:blip r:embed="rId60">
                            <a:extLst>
                              <a:ext uri="{28A0092B-C50C-407E-A947-70E740481C1C}">
                                <a14:useLocalDpi xmlns:a14="http://schemas.microsoft.com/office/drawing/2010/main" val="0"/>
                              </a:ext>
                            </a:extLst>
                          </a:blip>
                          <a:stretch>
                            <a:fillRect/>
                          </a:stretch>
                        </pic:blipFill>
                        <pic:spPr>
                          <a:xfrm>
                            <a:off x="0" y="0"/>
                            <a:ext cx="5040000" cy="4115252"/>
                          </a:xfrm>
                          <a:prstGeom prst="rect">
                            <a:avLst/>
                          </a:prstGeom>
                        </pic:spPr>
                      </pic:pic>
                    </a:graphicData>
                  </a:graphic>
                </wp:inline>
              </w:drawing>
            </w:r>
          </w:p>
        </w:tc>
      </w:tr>
      <w:tr w:rsidR="008A2411" w:rsidRPr="008A2411" w14:paraId="42B138AE" w14:textId="77777777">
        <w:tc>
          <w:tcPr>
            <w:tcW w:w="8522" w:type="dxa"/>
          </w:tcPr>
          <w:p w14:paraId="53B43063" w14:textId="77777777" w:rsidR="00B0005F" w:rsidRPr="008A2411" w:rsidRDefault="00000000">
            <w:pPr>
              <w:pStyle w:val="affffffff7"/>
              <w:spacing w:before="60" w:after="60"/>
              <w:rPr>
                <w:color w:val="000000" w:themeColor="text1"/>
              </w:rPr>
            </w:pPr>
            <w:r w:rsidRPr="008A2411">
              <w:rPr>
                <w:color w:val="000000" w:themeColor="text1"/>
              </w:rPr>
              <w:t>图</w:t>
            </w:r>
            <w:r w:rsidRPr="008A2411">
              <w:rPr>
                <w:color w:val="000000" w:themeColor="text1"/>
              </w:rPr>
              <w:t xml:space="preserve">5.2-12  </w:t>
            </w:r>
            <w:r w:rsidRPr="008A2411">
              <w:rPr>
                <w:color w:val="000000" w:themeColor="text1"/>
              </w:rPr>
              <w:t>初始</w:t>
            </w:r>
            <w:proofErr w:type="gramStart"/>
            <w:r w:rsidRPr="008A2411">
              <w:rPr>
                <w:color w:val="000000" w:themeColor="text1"/>
              </w:rPr>
              <w:t>渗流场</w:t>
            </w:r>
            <w:proofErr w:type="gramEnd"/>
            <w:r w:rsidRPr="008A2411">
              <w:rPr>
                <w:color w:val="000000" w:themeColor="text1"/>
              </w:rPr>
              <w:t>模拟结果（单位：</w:t>
            </w:r>
            <w:r w:rsidRPr="008A2411">
              <w:rPr>
                <w:color w:val="000000" w:themeColor="text1"/>
              </w:rPr>
              <w:t>m</w:t>
            </w:r>
            <w:r w:rsidRPr="008A2411">
              <w:rPr>
                <w:color w:val="000000" w:themeColor="text1"/>
              </w:rPr>
              <w:t>）</w:t>
            </w:r>
          </w:p>
        </w:tc>
      </w:tr>
    </w:tbl>
    <w:p w14:paraId="23D84893" w14:textId="77777777" w:rsidR="00B0005F" w:rsidRPr="008A2411" w:rsidRDefault="00000000">
      <w:pPr>
        <w:adjustRightInd w:val="0"/>
        <w:spacing w:line="360" w:lineRule="auto"/>
        <w:ind w:firstLine="482"/>
        <w:rPr>
          <w:rFonts w:ascii="Times New Roman"/>
          <w:color w:val="000000" w:themeColor="text1"/>
        </w:rPr>
      </w:pPr>
      <w:r w:rsidRPr="008A2411">
        <w:rPr>
          <w:rFonts w:ascii="Times New Roman"/>
          <w:color w:val="000000" w:themeColor="text1"/>
        </w:rPr>
        <w:t>根据本项目补充水文地质勘查、区内居民</w:t>
      </w:r>
      <w:proofErr w:type="gramStart"/>
      <w:r w:rsidRPr="008A2411">
        <w:rPr>
          <w:rFonts w:ascii="Times New Roman"/>
          <w:color w:val="000000" w:themeColor="text1"/>
        </w:rPr>
        <w:t>井水位</w:t>
      </w:r>
      <w:proofErr w:type="gramEnd"/>
      <w:r w:rsidRPr="008A2411">
        <w:rPr>
          <w:rFonts w:ascii="Times New Roman"/>
          <w:color w:val="000000" w:themeColor="text1"/>
        </w:rPr>
        <w:t>观测资料，选取本次选择的场地及周边的</w:t>
      </w:r>
      <w:r w:rsidRPr="008A2411">
        <w:rPr>
          <w:rFonts w:ascii="Times New Roman"/>
          <w:color w:val="000000" w:themeColor="text1"/>
        </w:rPr>
        <w:t>1#</w:t>
      </w:r>
      <w:r w:rsidRPr="008A2411">
        <w:rPr>
          <w:rFonts w:ascii="Times New Roman"/>
          <w:color w:val="000000" w:themeColor="text1"/>
        </w:rPr>
        <w:t>、</w:t>
      </w:r>
      <w:r w:rsidRPr="008A2411">
        <w:rPr>
          <w:rFonts w:ascii="Times New Roman"/>
          <w:color w:val="000000" w:themeColor="text1"/>
        </w:rPr>
        <w:t>3#</w:t>
      </w:r>
      <w:r w:rsidRPr="008A2411">
        <w:rPr>
          <w:rFonts w:ascii="Times New Roman"/>
          <w:color w:val="000000" w:themeColor="text1"/>
        </w:rPr>
        <w:t>、</w:t>
      </w:r>
      <w:r w:rsidRPr="008A2411">
        <w:rPr>
          <w:rFonts w:ascii="Times New Roman"/>
          <w:color w:val="000000" w:themeColor="text1"/>
        </w:rPr>
        <w:t>4#</w:t>
      </w:r>
      <w:r w:rsidRPr="008A2411">
        <w:rPr>
          <w:rFonts w:ascii="Times New Roman"/>
          <w:color w:val="000000" w:themeColor="text1"/>
        </w:rPr>
        <w:t>、</w:t>
      </w:r>
      <w:r w:rsidRPr="008A2411">
        <w:rPr>
          <w:rFonts w:ascii="Times New Roman"/>
          <w:color w:val="000000" w:themeColor="text1"/>
        </w:rPr>
        <w:t>8#</w:t>
      </w:r>
      <w:r w:rsidRPr="008A2411">
        <w:rPr>
          <w:rFonts w:ascii="Times New Roman"/>
          <w:color w:val="000000" w:themeColor="text1"/>
        </w:rPr>
        <w:t>、</w:t>
      </w:r>
      <w:r w:rsidRPr="008A2411">
        <w:rPr>
          <w:rFonts w:ascii="Times New Roman"/>
          <w:color w:val="000000" w:themeColor="text1"/>
        </w:rPr>
        <w:t>9#</w:t>
      </w:r>
      <w:r w:rsidRPr="008A2411">
        <w:rPr>
          <w:rFonts w:ascii="Times New Roman"/>
          <w:color w:val="000000" w:themeColor="text1"/>
        </w:rPr>
        <w:t>等</w:t>
      </w:r>
      <w:r w:rsidRPr="008A2411">
        <w:rPr>
          <w:rFonts w:ascii="Times New Roman"/>
          <w:color w:val="000000" w:themeColor="text1"/>
        </w:rPr>
        <w:t>5</w:t>
      </w:r>
      <w:r w:rsidRPr="008A2411">
        <w:rPr>
          <w:rFonts w:ascii="Times New Roman"/>
          <w:color w:val="000000" w:themeColor="text1"/>
        </w:rPr>
        <w:t>个水位监测</w:t>
      </w:r>
      <w:proofErr w:type="gramStart"/>
      <w:r w:rsidRPr="008A2411">
        <w:rPr>
          <w:rFonts w:ascii="Times New Roman"/>
          <w:color w:val="000000" w:themeColor="text1"/>
        </w:rPr>
        <w:t>井水位</w:t>
      </w:r>
      <w:proofErr w:type="gramEnd"/>
      <w:r w:rsidRPr="008A2411">
        <w:rPr>
          <w:rFonts w:ascii="Times New Roman"/>
          <w:color w:val="000000" w:themeColor="text1"/>
        </w:rPr>
        <w:t>作为模型水位校验。各校验井实测水位介于</w:t>
      </w:r>
      <w:r w:rsidRPr="008A2411">
        <w:rPr>
          <w:rFonts w:ascii="Times New Roman"/>
          <w:color w:val="000000" w:themeColor="text1"/>
        </w:rPr>
        <w:t>373.7</w:t>
      </w:r>
      <w:r w:rsidRPr="008A2411">
        <w:rPr>
          <w:rFonts w:ascii="Times New Roman"/>
          <w:color w:val="000000" w:themeColor="text1"/>
        </w:rPr>
        <w:t>～</w:t>
      </w:r>
      <w:r w:rsidRPr="008A2411">
        <w:rPr>
          <w:rFonts w:ascii="Times New Roman"/>
          <w:color w:val="000000" w:themeColor="text1"/>
        </w:rPr>
        <w:t>411.9m</w:t>
      </w:r>
      <w:r w:rsidRPr="008A2411">
        <w:rPr>
          <w:rFonts w:ascii="Times New Roman"/>
          <w:color w:val="000000" w:themeColor="text1"/>
        </w:rPr>
        <w:t>，模拟水位介于</w:t>
      </w:r>
      <w:r w:rsidRPr="008A2411">
        <w:rPr>
          <w:rFonts w:ascii="Times New Roman"/>
          <w:color w:val="000000" w:themeColor="text1"/>
        </w:rPr>
        <w:t>374.58</w:t>
      </w:r>
      <w:r w:rsidRPr="008A2411">
        <w:rPr>
          <w:rFonts w:ascii="Times New Roman"/>
          <w:color w:val="000000" w:themeColor="text1"/>
        </w:rPr>
        <w:t>～</w:t>
      </w:r>
      <w:r w:rsidRPr="008A2411">
        <w:rPr>
          <w:rFonts w:ascii="Times New Roman"/>
          <w:color w:val="000000" w:themeColor="text1"/>
        </w:rPr>
        <w:t>412.98 m</w:t>
      </w:r>
      <w:r w:rsidRPr="008A2411">
        <w:rPr>
          <w:rFonts w:ascii="Times New Roman"/>
          <w:color w:val="000000" w:themeColor="text1"/>
        </w:rPr>
        <w:t>，模拟</w:t>
      </w:r>
      <w:r w:rsidRPr="008A2411">
        <w:rPr>
          <w:rFonts w:ascii="Times New Roman"/>
          <w:color w:val="000000" w:themeColor="text1"/>
        </w:rPr>
        <w:lastRenderedPageBreak/>
        <w:t>水位与实测水位相差仅</w:t>
      </w:r>
      <w:r w:rsidRPr="008A2411">
        <w:rPr>
          <w:rFonts w:ascii="Times New Roman"/>
          <w:color w:val="000000" w:themeColor="text1"/>
        </w:rPr>
        <w:t>0.41</w:t>
      </w:r>
      <w:r w:rsidRPr="008A2411">
        <w:rPr>
          <w:rFonts w:ascii="Times New Roman"/>
          <w:color w:val="000000" w:themeColor="text1"/>
        </w:rPr>
        <w:t>～</w:t>
      </w:r>
      <w:r w:rsidRPr="008A2411">
        <w:rPr>
          <w:rFonts w:ascii="Times New Roman"/>
          <w:color w:val="000000" w:themeColor="text1"/>
        </w:rPr>
        <w:t>2.05m</w:t>
      </w:r>
      <w:r w:rsidRPr="008A2411">
        <w:rPr>
          <w:rFonts w:ascii="Times New Roman"/>
          <w:color w:val="000000" w:themeColor="text1"/>
        </w:rPr>
        <w:t>。采用均方差分析本次模拟结果，模拟水位与统计水位差的均方差为</w:t>
      </w:r>
      <w:r w:rsidRPr="008A2411">
        <w:rPr>
          <w:rFonts w:ascii="Times New Roman"/>
          <w:color w:val="000000" w:themeColor="text1"/>
        </w:rPr>
        <w:t>0.287</w:t>
      </w:r>
      <w:r w:rsidRPr="008A2411">
        <w:rPr>
          <w:rFonts w:ascii="Times New Roman"/>
          <w:color w:val="000000" w:themeColor="text1"/>
        </w:rPr>
        <w:t>，实测值与模拟计算值偏移波动较小，利用此模型计算所得流场作为项目区初始</w:t>
      </w:r>
      <w:proofErr w:type="gramStart"/>
      <w:r w:rsidRPr="008A2411">
        <w:rPr>
          <w:rFonts w:ascii="Times New Roman"/>
          <w:color w:val="000000" w:themeColor="text1"/>
        </w:rPr>
        <w:t>渗流场</w:t>
      </w:r>
      <w:proofErr w:type="gramEnd"/>
      <w:r w:rsidRPr="008A2411">
        <w:rPr>
          <w:rFonts w:ascii="Times New Roman"/>
          <w:color w:val="000000" w:themeColor="text1"/>
        </w:rPr>
        <w:t>基本合理。</w:t>
      </w:r>
    </w:p>
    <w:p w14:paraId="3B64EF51" w14:textId="77777777" w:rsidR="00B0005F" w:rsidRPr="008A2411" w:rsidRDefault="00000000">
      <w:pPr>
        <w:pStyle w:val="affffffff7"/>
        <w:spacing w:before="60" w:after="60"/>
        <w:rPr>
          <w:color w:val="000000" w:themeColor="text1"/>
        </w:rPr>
      </w:pPr>
      <w:r w:rsidRPr="008A2411">
        <w:rPr>
          <w:color w:val="000000" w:themeColor="text1"/>
        </w:rPr>
        <w:t>表</w:t>
      </w:r>
      <w:r w:rsidRPr="008A2411">
        <w:rPr>
          <w:color w:val="000000" w:themeColor="text1"/>
        </w:rPr>
        <w:t xml:space="preserve">5.2-31 </w:t>
      </w:r>
      <w:r w:rsidRPr="008A2411">
        <w:rPr>
          <w:color w:val="000000" w:themeColor="text1"/>
        </w:rPr>
        <w:t>初始</w:t>
      </w:r>
      <w:proofErr w:type="gramStart"/>
      <w:r w:rsidRPr="008A2411">
        <w:rPr>
          <w:color w:val="000000" w:themeColor="text1"/>
        </w:rPr>
        <w:t>渗流场</w:t>
      </w:r>
      <w:proofErr w:type="gramEnd"/>
      <w:r w:rsidRPr="008A2411">
        <w:rPr>
          <w:color w:val="000000" w:themeColor="text1"/>
        </w:rPr>
        <w:t>模拟与钻孔实测值比对结果（单位：</w:t>
      </w:r>
      <w:r w:rsidRPr="008A2411">
        <w:rPr>
          <w:color w:val="000000" w:themeColor="text1"/>
        </w:rPr>
        <w:t>m</w:t>
      </w:r>
      <w:r w:rsidRPr="008A2411">
        <w:rPr>
          <w:color w:val="000000" w:themeColor="text1"/>
        </w:rPr>
        <w:t>）</w:t>
      </w:r>
    </w:p>
    <w:tbl>
      <w:tblPr>
        <w:tblW w:w="5000" w:type="pct"/>
        <w:tblLook w:val="04A0" w:firstRow="1" w:lastRow="0" w:firstColumn="1" w:lastColumn="0" w:noHBand="0" w:noVBand="1"/>
      </w:tblPr>
      <w:tblGrid>
        <w:gridCol w:w="2660"/>
        <w:gridCol w:w="1172"/>
        <w:gridCol w:w="1173"/>
        <w:gridCol w:w="1173"/>
        <w:gridCol w:w="1173"/>
        <w:gridCol w:w="1171"/>
      </w:tblGrid>
      <w:tr w:rsidR="008A2411" w:rsidRPr="008A2411" w14:paraId="6F2AC3FC" w14:textId="77777777">
        <w:trPr>
          <w:trHeight w:val="20"/>
        </w:trPr>
        <w:tc>
          <w:tcPr>
            <w:tcW w:w="1561" w:type="pct"/>
            <w:tcBorders>
              <w:top w:val="single" w:sz="4" w:space="0" w:color="auto"/>
              <w:left w:val="single" w:sz="4" w:space="0" w:color="auto"/>
              <w:bottom w:val="single" w:sz="4" w:space="0" w:color="auto"/>
              <w:right w:val="single" w:sz="4" w:space="0" w:color="auto"/>
            </w:tcBorders>
            <w:shd w:val="clear" w:color="auto" w:fill="auto"/>
            <w:vAlign w:val="center"/>
          </w:tcPr>
          <w:p w14:paraId="2A3DCDF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观测点编号</w:t>
            </w:r>
          </w:p>
        </w:tc>
        <w:tc>
          <w:tcPr>
            <w:tcW w:w="688" w:type="pct"/>
            <w:tcBorders>
              <w:top w:val="single" w:sz="4" w:space="0" w:color="auto"/>
              <w:left w:val="nil"/>
              <w:bottom w:val="single" w:sz="4" w:space="0" w:color="auto"/>
              <w:right w:val="single" w:sz="4" w:space="0" w:color="auto"/>
            </w:tcBorders>
            <w:shd w:val="clear" w:color="auto" w:fill="auto"/>
            <w:noWrap/>
            <w:vAlign w:val="center"/>
          </w:tcPr>
          <w:p w14:paraId="20127663" w14:textId="77777777" w:rsidR="00B0005F" w:rsidRPr="008A2411" w:rsidRDefault="00000000">
            <w:pPr>
              <w:pStyle w:val="affffffffffff2"/>
              <w:rPr>
                <w:rFonts w:ascii="Times New Roman"/>
                <w:color w:val="000000" w:themeColor="text1"/>
                <w:sz w:val="22"/>
              </w:rPr>
            </w:pPr>
            <w:r w:rsidRPr="008A2411">
              <w:rPr>
                <w:rFonts w:ascii="Times New Roman"/>
                <w:color w:val="000000" w:themeColor="text1"/>
                <w:sz w:val="22"/>
              </w:rPr>
              <w:t>1#</w:t>
            </w:r>
          </w:p>
        </w:tc>
        <w:tc>
          <w:tcPr>
            <w:tcW w:w="688" w:type="pct"/>
            <w:tcBorders>
              <w:top w:val="single" w:sz="4" w:space="0" w:color="auto"/>
              <w:left w:val="nil"/>
              <w:bottom w:val="single" w:sz="4" w:space="0" w:color="auto"/>
              <w:right w:val="single" w:sz="4" w:space="0" w:color="auto"/>
            </w:tcBorders>
            <w:shd w:val="clear" w:color="auto" w:fill="auto"/>
            <w:noWrap/>
            <w:vAlign w:val="center"/>
          </w:tcPr>
          <w:p w14:paraId="7F5473A6" w14:textId="77777777" w:rsidR="00B0005F" w:rsidRPr="008A2411" w:rsidRDefault="00000000">
            <w:pPr>
              <w:pStyle w:val="affffffffffff2"/>
              <w:rPr>
                <w:rFonts w:ascii="Times New Roman"/>
                <w:color w:val="000000" w:themeColor="text1"/>
                <w:sz w:val="22"/>
              </w:rPr>
            </w:pPr>
            <w:r w:rsidRPr="008A2411">
              <w:rPr>
                <w:rFonts w:ascii="Times New Roman"/>
                <w:color w:val="000000" w:themeColor="text1"/>
                <w:sz w:val="22"/>
              </w:rPr>
              <w:t>3#</w:t>
            </w:r>
          </w:p>
        </w:tc>
        <w:tc>
          <w:tcPr>
            <w:tcW w:w="688" w:type="pct"/>
            <w:tcBorders>
              <w:top w:val="single" w:sz="4" w:space="0" w:color="auto"/>
              <w:left w:val="nil"/>
              <w:bottom w:val="single" w:sz="4" w:space="0" w:color="auto"/>
              <w:right w:val="single" w:sz="4" w:space="0" w:color="auto"/>
            </w:tcBorders>
            <w:shd w:val="clear" w:color="auto" w:fill="auto"/>
            <w:noWrap/>
            <w:vAlign w:val="center"/>
          </w:tcPr>
          <w:p w14:paraId="65E5B6A4" w14:textId="77777777" w:rsidR="00B0005F" w:rsidRPr="008A2411" w:rsidRDefault="00000000">
            <w:pPr>
              <w:pStyle w:val="affffffffffff2"/>
              <w:rPr>
                <w:rFonts w:ascii="Times New Roman"/>
                <w:color w:val="000000" w:themeColor="text1"/>
                <w:sz w:val="22"/>
              </w:rPr>
            </w:pPr>
            <w:r w:rsidRPr="008A2411">
              <w:rPr>
                <w:rFonts w:ascii="Times New Roman"/>
                <w:color w:val="000000" w:themeColor="text1"/>
                <w:sz w:val="22"/>
              </w:rPr>
              <w:t>4#</w:t>
            </w:r>
          </w:p>
        </w:tc>
        <w:tc>
          <w:tcPr>
            <w:tcW w:w="688" w:type="pct"/>
            <w:tcBorders>
              <w:top w:val="single" w:sz="4" w:space="0" w:color="auto"/>
              <w:left w:val="nil"/>
              <w:bottom w:val="single" w:sz="4" w:space="0" w:color="auto"/>
              <w:right w:val="single" w:sz="4" w:space="0" w:color="auto"/>
            </w:tcBorders>
            <w:shd w:val="clear" w:color="auto" w:fill="auto"/>
            <w:noWrap/>
            <w:vAlign w:val="center"/>
          </w:tcPr>
          <w:p w14:paraId="389C9DDA" w14:textId="77777777" w:rsidR="00B0005F" w:rsidRPr="008A2411" w:rsidRDefault="00000000">
            <w:pPr>
              <w:pStyle w:val="affffffffffff2"/>
              <w:rPr>
                <w:rFonts w:ascii="Times New Roman"/>
                <w:color w:val="000000" w:themeColor="text1"/>
                <w:sz w:val="22"/>
              </w:rPr>
            </w:pPr>
            <w:r w:rsidRPr="008A2411">
              <w:rPr>
                <w:rFonts w:ascii="Times New Roman"/>
                <w:color w:val="000000" w:themeColor="text1"/>
                <w:sz w:val="22"/>
              </w:rPr>
              <w:t>8#</w:t>
            </w:r>
          </w:p>
        </w:tc>
        <w:tc>
          <w:tcPr>
            <w:tcW w:w="687" w:type="pct"/>
            <w:tcBorders>
              <w:top w:val="single" w:sz="4" w:space="0" w:color="auto"/>
              <w:left w:val="nil"/>
              <w:bottom w:val="single" w:sz="4" w:space="0" w:color="auto"/>
              <w:right w:val="single" w:sz="4" w:space="0" w:color="auto"/>
            </w:tcBorders>
            <w:shd w:val="clear" w:color="auto" w:fill="auto"/>
            <w:noWrap/>
            <w:vAlign w:val="center"/>
          </w:tcPr>
          <w:p w14:paraId="6B6079BA" w14:textId="77777777" w:rsidR="00B0005F" w:rsidRPr="008A2411" w:rsidRDefault="00000000">
            <w:pPr>
              <w:pStyle w:val="affffffffffff2"/>
              <w:rPr>
                <w:rFonts w:ascii="Times New Roman"/>
                <w:color w:val="000000" w:themeColor="text1"/>
                <w:sz w:val="22"/>
              </w:rPr>
            </w:pPr>
            <w:r w:rsidRPr="008A2411">
              <w:rPr>
                <w:rFonts w:ascii="Times New Roman"/>
                <w:color w:val="000000" w:themeColor="text1"/>
                <w:sz w:val="22"/>
              </w:rPr>
              <w:t>9#</w:t>
            </w:r>
          </w:p>
        </w:tc>
      </w:tr>
      <w:tr w:rsidR="008A2411" w:rsidRPr="008A2411" w14:paraId="5EE06FEF" w14:textId="77777777">
        <w:trPr>
          <w:trHeight w:val="20"/>
        </w:trPr>
        <w:tc>
          <w:tcPr>
            <w:tcW w:w="1561" w:type="pct"/>
            <w:tcBorders>
              <w:top w:val="nil"/>
              <w:left w:val="single" w:sz="4" w:space="0" w:color="auto"/>
              <w:bottom w:val="single" w:sz="4" w:space="0" w:color="auto"/>
              <w:right w:val="single" w:sz="4" w:space="0" w:color="auto"/>
            </w:tcBorders>
            <w:shd w:val="clear" w:color="auto" w:fill="auto"/>
            <w:vAlign w:val="center"/>
          </w:tcPr>
          <w:p w14:paraId="56AD9EA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居民</w:t>
            </w:r>
            <w:proofErr w:type="gramStart"/>
            <w:r w:rsidRPr="008A2411">
              <w:rPr>
                <w:rFonts w:ascii="Times New Roman"/>
                <w:color w:val="000000" w:themeColor="text1"/>
              </w:rPr>
              <w:t>井水位</w:t>
            </w:r>
            <w:proofErr w:type="gramEnd"/>
            <w:r w:rsidRPr="008A2411">
              <w:rPr>
                <w:rFonts w:ascii="Times New Roman"/>
                <w:color w:val="000000" w:themeColor="text1"/>
              </w:rPr>
              <w:t>高程实测值</w:t>
            </w:r>
            <w:r w:rsidRPr="008A2411">
              <w:rPr>
                <w:rFonts w:ascii="Times New Roman"/>
                <w:color w:val="000000" w:themeColor="text1"/>
              </w:rPr>
              <w:t>a</w:t>
            </w:r>
          </w:p>
        </w:tc>
        <w:tc>
          <w:tcPr>
            <w:tcW w:w="688" w:type="pct"/>
            <w:tcBorders>
              <w:top w:val="nil"/>
              <w:left w:val="nil"/>
              <w:bottom w:val="single" w:sz="4" w:space="0" w:color="auto"/>
              <w:right w:val="single" w:sz="4" w:space="0" w:color="auto"/>
            </w:tcBorders>
            <w:shd w:val="clear" w:color="auto" w:fill="auto"/>
            <w:noWrap/>
            <w:vAlign w:val="center"/>
          </w:tcPr>
          <w:p w14:paraId="5DAC02C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411.90 </w:t>
            </w:r>
          </w:p>
        </w:tc>
        <w:tc>
          <w:tcPr>
            <w:tcW w:w="688" w:type="pct"/>
            <w:tcBorders>
              <w:top w:val="nil"/>
              <w:left w:val="nil"/>
              <w:bottom w:val="single" w:sz="4" w:space="0" w:color="auto"/>
              <w:right w:val="single" w:sz="4" w:space="0" w:color="auto"/>
            </w:tcBorders>
            <w:shd w:val="clear" w:color="auto" w:fill="auto"/>
            <w:noWrap/>
            <w:vAlign w:val="center"/>
          </w:tcPr>
          <w:p w14:paraId="2AF32FD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377.40 </w:t>
            </w:r>
          </w:p>
        </w:tc>
        <w:tc>
          <w:tcPr>
            <w:tcW w:w="688" w:type="pct"/>
            <w:tcBorders>
              <w:top w:val="nil"/>
              <w:left w:val="nil"/>
              <w:bottom w:val="single" w:sz="4" w:space="0" w:color="auto"/>
              <w:right w:val="single" w:sz="4" w:space="0" w:color="auto"/>
            </w:tcBorders>
            <w:shd w:val="clear" w:color="auto" w:fill="auto"/>
            <w:noWrap/>
            <w:vAlign w:val="center"/>
          </w:tcPr>
          <w:p w14:paraId="4E7DF5C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376.50 </w:t>
            </w:r>
          </w:p>
        </w:tc>
        <w:tc>
          <w:tcPr>
            <w:tcW w:w="688" w:type="pct"/>
            <w:tcBorders>
              <w:top w:val="nil"/>
              <w:left w:val="nil"/>
              <w:bottom w:val="single" w:sz="4" w:space="0" w:color="auto"/>
              <w:right w:val="single" w:sz="4" w:space="0" w:color="auto"/>
            </w:tcBorders>
            <w:shd w:val="clear" w:color="auto" w:fill="auto"/>
            <w:noWrap/>
            <w:vAlign w:val="center"/>
          </w:tcPr>
          <w:p w14:paraId="514AF4D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373.70 </w:t>
            </w:r>
          </w:p>
        </w:tc>
        <w:tc>
          <w:tcPr>
            <w:tcW w:w="687" w:type="pct"/>
            <w:tcBorders>
              <w:top w:val="nil"/>
              <w:left w:val="nil"/>
              <w:bottom w:val="single" w:sz="4" w:space="0" w:color="auto"/>
              <w:right w:val="single" w:sz="4" w:space="0" w:color="auto"/>
            </w:tcBorders>
            <w:shd w:val="clear" w:color="auto" w:fill="auto"/>
            <w:noWrap/>
            <w:vAlign w:val="center"/>
          </w:tcPr>
          <w:p w14:paraId="439FA74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379.70 </w:t>
            </w:r>
          </w:p>
        </w:tc>
      </w:tr>
      <w:tr w:rsidR="008A2411" w:rsidRPr="008A2411" w14:paraId="7B9224E5" w14:textId="77777777">
        <w:trPr>
          <w:trHeight w:val="20"/>
        </w:trPr>
        <w:tc>
          <w:tcPr>
            <w:tcW w:w="1561" w:type="pct"/>
            <w:tcBorders>
              <w:top w:val="nil"/>
              <w:left w:val="single" w:sz="4" w:space="0" w:color="auto"/>
              <w:bottom w:val="single" w:sz="4" w:space="0" w:color="auto"/>
              <w:right w:val="single" w:sz="4" w:space="0" w:color="auto"/>
            </w:tcBorders>
            <w:shd w:val="clear" w:color="auto" w:fill="auto"/>
            <w:vAlign w:val="center"/>
          </w:tcPr>
          <w:p w14:paraId="6332FF4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模型计算值</w:t>
            </w:r>
            <w:r w:rsidRPr="008A2411">
              <w:rPr>
                <w:rFonts w:ascii="Times New Roman"/>
                <w:color w:val="000000" w:themeColor="text1"/>
              </w:rPr>
              <w:t>b</w:t>
            </w:r>
          </w:p>
        </w:tc>
        <w:tc>
          <w:tcPr>
            <w:tcW w:w="688" w:type="pct"/>
            <w:tcBorders>
              <w:top w:val="nil"/>
              <w:left w:val="nil"/>
              <w:bottom w:val="single" w:sz="4" w:space="0" w:color="auto"/>
              <w:right w:val="single" w:sz="4" w:space="0" w:color="auto"/>
            </w:tcBorders>
            <w:shd w:val="clear" w:color="auto" w:fill="auto"/>
            <w:noWrap/>
            <w:vAlign w:val="center"/>
          </w:tcPr>
          <w:p w14:paraId="36797196" w14:textId="77777777" w:rsidR="00B0005F" w:rsidRPr="008A2411" w:rsidRDefault="00000000">
            <w:pPr>
              <w:pStyle w:val="affffffffffff2"/>
              <w:rPr>
                <w:rFonts w:ascii="Times New Roman"/>
                <w:color w:val="000000" w:themeColor="text1"/>
                <w:sz w:val="22"/>
              </w:rPr>
            </w:pPr>
            <w:r w:rsidRPr="008A2411">
              <w:rPr>
                <w:rFonts w:ascii="Times New Roman"/>
                <w:color w:val="000000" w:themeColor="text1"/>
                <w:sz w:val="22"/>
              </w:rPr>
              <w:t xml:space="preserve">412.98 </w:t>
            </w:r>
          </w:p>
        </w:tc>
        <w:tc>
          <w:tcPr>
            <w:tcW w:w="688" w:type="pct"/>
            <w:tcBorders>
              <w:top w:val="nil"/>
              <w:left w:val="nil"/>
              <w:bottom w:val="single" w:sz="4" w:space="0" w:color="auto"/>
              <w:right w:val="single" w:sz="4" w:space="0" w:color="auto"/>
            </w:tcBorders>
            <w:shd w:val="clear" w:color="auto" w:fill="auto"/>
            <w:noWrap/>
            <w:vAlign w:val="center"/>
          </w:tcPr>
          <w:p w14:paraId="6C0752F1" w14:textId="77777777" w:rsidR="00B0005F" w:rsidRPr="008A2411" w:rsidRDefault="00000000">
            <w:pPr>
              <w:pStyle w:val="affffffffffff2"/>
              <w:rPr>
                <w:rFonts w:ascii="Times New Roman"/>
                <w:color w:val="000000" w:themeColor="text1"/>
                <w:sz w:val="22"/>
              </w:rPr>
            </w:pPr>
            <w:r w:rsidRPr="008A2411">
              <w:rPr>
                <w:rFonts w:ascii="Times New Roman"/>
                <w:color w:val="000000" w:themeColor="text1"/>
                <w:sz w:val="22"/>
              </w:rPr>
              <w:t xml:space="preserve">377.81 </w:t>
            </w:r>
          </w:p>
        </w:tc>
        <w:tc>
          <w:tcPr>
            <w:tcW w:w="688" w:type="pct"/>
            <w:tcBorders>
              <w:top w:val="nil"/>
              <w:left w:val="nil"/>
              <w:bottom w:val="single" w:sz="4" w:space="0" w:color="auto"/>
              <w:right w:val="single" w:sz="4" w:space="0" w:color="auto"/>
            </w:tcBorders>
            <w:shd w:val="clear" w:color="auto" w:fill="auto"/>
            <w:noWrap/>
            <w:vAlign w:val="center"/>
          </w:tcPr>
          <w:p w14:paraId="7005E461" w14:textId="77777777" w:rsidR="00B0005F" w:rsidRPr="008A2411" w:rsidRDefault="00000000">
            <w:pPr>
              <w:pStyle w:val="affffffffffff2"/>
              <w:rPr>
                <w:rFonts w:ascii="Times New Roman"/>
                <w:color w:val="000000" w:themeColor="text1"/>
                <w:sz w:val="22"/>
              </w:rPr>
            </w:pPr>
            <w:r w:rsidRPr="008A2411">
              <w:rPr>
                <w:rFonts w:ascii="Times New Roman"/>
                <w:color w:val="000000" w:themeColor="text1"/>
                <w:sz w:val="22"/>
              </w:rPr>
              <w:t xml:space="preserve">378.55 </w:t>
            </w:r>
          </w:p>
        </w:tc>
        <w:tc>
          <w:tcPr>
            <w:tcW w:w="688" w:type="pct"/>
            <w:tcBorders>
              <w:top w:val="nil"/>
              <w:left w:val="nil"/>
              <w:bottom w:val="single" w:sz="4" w:space="0" w:color="auto"/>
              <w:right w:val="single" w:sz="4" w:space="0" w:color="auto"/>
            </w:tcBorders>
            <w:shd w:val="clear" w:color="auto" w:fill="auto"/>
            <w:noWrap/>
            <w:vAlign w:val="center"/>
          </w:tcPr>
          <w:p w14:paraId="2D174EC2" w14:textId="77777777" w:rsidR="00B0005F" w:rsidRPr="008A2411" w:rsidRDefault="00000000">
            <w:pPr>
              <w:pStyle w:val="affffffffffff2"/>
              <w:rPr>
                <w:rFonts w:ascii="Times New Roman"/>
                <w:color w:val="000000" w:themeColor="text1"/>
                <w:sz w:val="22"/>
              </w:rPr>
            </w:pPr>
            <w:r w:rsidRPr="008A2411">
              <w:rPr>
                <w:rFonts w:ascii="Times New Roman"/>
                <w:color w:val="000000" w:themeColor="text1"/>
                <w:sz w:val="22"/>
              </w:rPr>
              <w:t xml:space="preserve">374.58 </w:t>
            </w:r>
          </w:p>
        </w:tc>
        <w:tc>
          <w:tcPr>
            <w:tcW w:w="687" w:type="pct"/>
            <w:tcBorders>
              <w:top w:val="nil"/>
              <w:left w:val="nil"/>
              <w:bottom w:val="single" w:sz="4" w:space="0" w:color="auto"/>
              <w:right w:val="single" w:sz="4" w:space="0" w:color="auto"/>
            </w:tcBorders>
            <w:shd w:val="clear" w:color="auto" w:fill="auto"/>
            <w:noWrap/>
            <w:vAlign w:val="center"/>
          </w:tcPr>
          <w:p w14:paraId="72352325" w14:textId="77777777" w:rsidR="00B0005F" w:rsidRPr="008A2411" w:rsidRDefault="00000000">
            <w:pPr>
              <w:pStyle w:val="affffffffffff2"/>
              <w:rPr>
                <w:rFonts w:ascii="Times New Roman"/>
                <w:color w:val="000000" w:themeColor="text1"/>
                <w:sz w:val="22"/>
              </w:rPr>
            </w:pPr>
            <w:r w:rsidRPr="008A2411">
              <w:rPr>
                <w:rFonts w:ascii="Times New Roman"/>
                <w:color w:val="000000" w:themeColor="text1"/>
                <w:sz w:val="22"/>
              </w:rPr>
              <w:t xml:space="preserve">378.70 </w:t>
            </w:r>
          </w:p>
        </w:tc>
      </w:tr>
      <w:tr w:rsidR="008A2411" w:rsidRPr="008A2411" w14:paraId="24879294" w14:textId="77777777">
        <w:trPr>
          <w:trHeight w:val="20"/>
        </w:trPr>
        <w:tc>
          <w:tcPr>
            <w:tcW w:w="1561" w:type="pct"/>
            <w:tcBorders>
              <w:top w:val="nil"/>
              <w:left w:val="single" w:sz="4" w:space="0" w:color="auto"/>
              <w:bottom w:val="single" w:sz="4" w:space="0" w:color="auto"/>
              <w:right w:val="single" w:sz="4" w:space="0" w:color="auto"/>
            </w:tcBorders>
            <w:shd w:val="clear" w:color="auto" w:fill="auto"/>
            <w:vAlign w:val="center"/>
          </w:tcPr>
          <w:p w14:paraId="309E591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差值绝对值（</w:t>
            </w:r>
            <w:r w:rsidRPr="008A2411">
              <w:rPr>
                <w:rFonts w:ascii="Times New Roman"/>
                <w:color w:val="000000" w:themeColor="text1"/>
              </w:rPr>
              <w:t>∣a-b∣</w:t>
            </w:r>
            <w:r w:rsidRPr="008A2411">
              <w:rPr>
                <w:rFonts w:ascii="Times New Roman"/>
                <w:color w:val="000000" w:themeColor="text1"/>
              </w:rPr>
              <w:t>）</w:t>
            </w:r>
          </w:p>
        </w:tc>
        <w:tc>
          <w:tcPr>
            <w:tcW w:w="688" w:type="pct"/>
            <w:tcBorders>
              <w:top w:val="nil"/>
              <w:left w:val="nil"/>
              <w:bottom w:val="single" w:sz="4" w:space="0" w:color="auto"/>
              <w:right w:val="single" w:sz="4" w:space="0" w:color="auto"/>
            </w:tcBorders>
            <w:shd w:val="clear" w:color="auto" w:fill="auto"/>
            <w:noWrap/>
            <w:vAlign w:val="center"/>
          </w:tcPr>
          <w:p w14:paraId="45CD3AA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1.08 </w:t>
            </w:r>
          </w:p>
        </w:tc>
        <w:tc>
          <w:tcPr>
            <w:tcW w:w="688" w:type="pct"/>
            <w:tcBorders>
              <w:top w:val="nil"/>
              <w:left w:val="nil"/>
              <w:bottom w:val="single" w:sz="4" w:space="0" w:color="auto"/>
              <w:right w:val="single" w:sz="4" w:space="0" w:color="auto"/>
            </w:tcBorders>
            <w:shd w:val="clear" w:color="auto" w:fill="auto"/>
            <w:noWrap/>
            <w:vAlign w:val="center"/>
          </w:tcPr>
          <w:p w14:paraId="6D4FC3F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0.41 </w:t>
            </w:r>
          </w:p>
        </w:tc>
        <w:tc>
          <w:tcPr>
            <w:tcW w:w="688" w:type="pct"/>
            <w:tcBorders>
              <w:top w:val="nil"/>
              <w:left w:val="nil"/>
              <w:bottom w:val="single" w:sz="4" w:space="0" w:color="auto"/>
              <w:right w:val="single" w:sz="4" w:space="0" w:color="auto"/>
            </w:tcBorders>
            <w:shd w:val="clear" w:color="auto" w:fill="auto"/>
            <w:noWrap/>
            <w:vAlign w:val="center"/>
          </w:tcPr>
          <w:p w14:paraId="281E273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2.05 </w:t>
            </w:r>
          </w:p>
        </w:tc>
        <w:tc>
          <w:tcPr>
            <w:tcW w:w="688" w:type="pct"/>
            <w:tcBorders>
              <w:top w:val="nil"/>
              <w:left w:val="nil"/>
              <w:bottom w:val="single" w:sz="4" w:space="0" w:color="auto"/>
              <w:right w:val="single" w:sz="4" w:space="0" w:color="auto"/>
            </w:tcBorders>
            <w:shd w:val="clear" w:color="auto" w:fill="auto"/>
            <w:noWrap/>
            <w:vAlign w:val="center"/>
          </w:tcPr>
          <w:p w14:paraId="27D310E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0.88 </w:t>
            </w:r>
          </w:p>
        </w:tc>
        <w:tc>
          <w:tcPr>
            <w:tcW w:w="687" w:type="pct"/>
            <w:tcBorders>
              <w:top w:val="nil"/>
              <w:left w:val="nil"/>
              <w:bottom w:val="single" w:sz="4" w:space="0" w:color="auto"/>
              <w:right w:val="single" w:sz="4" w:space="0" w:color="auto"/>
            </w:tcBorders>
            <w:shd w:val="clear" w:color="auto" w:fill="auto"/>
            <w:noWrap/>
            <w:vAlign w:val="center"/>
          </w:tcPr>
          <w:p w14:paraId="673CDA1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1.00 </w:t>
            </w:r>
          </w:p>
        </w:tc>
      </w:tr>
      <w:tr w:rsidR="008A2411" w:rsidRPr="008A2411" w14:paraId="43B4F9BB" w14:textId="77777777">
        <w:trPr>
          <w:trHeight w:val="319"/>
        </w:trPr>
        <w:tc>
          <w:tcPr>
            <w:tcW w:w="1561" w:type="pct"/>
            <w:tcBorders>
              <w:top w:val="nil"/>
              <w:left w:val="single" w:sz="4" w:space="0" w:color="auto"/>
              <w:bottom w:val="single" w:sz="4" w:space="0" w:color="auto"/>
              <w:right w:val="single" w:sz="4" w:space="0" w:color="auto"/>
            </w:tcBorders>
            <w:shd w:val="clear" w:color="auto" w:fill="auto"/>
            <w:vAlign w:val="center"/>
          </w:tcPr>
          <w:p w14:paraId="000EF2A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差值方差</w:t>
            </w:r>
          </w:p>
        </w:tc>
        <w:tc>
          <w:tcPr>
            <w:tcW w:w="3439" w:type="pct"/>
            <w:gridSpan w:val="5"/>
            <w:tcBorders>
              <w:top w:val="single" w:sz="4" w:space="0" w:color="auto"/>
              <w:left w:val="nil"/>
              <w:bottom w:val="single" w:sz="4" w:space="0" w:color="auto"/>
              <w:right w:val="single" w:sz="4" w:space="0" w:color="000000"/>
            </w:tcBorders>
            <w:shd w:val="clear" w:color="auto" w:fill="auto"/>
            <w:vAlign w:val="center"/>
          </w:tcPr>
          <w:p w14:paraId="58800E64" w14:textId="77777777" w:rsidR="00B0005F" w:rsidRPr="008A2411" w:rsidRDefault="00000000">
            <w:pPr>
              <w:ind w:firstLine="420"/>
              <w:jc w:val="center"/>
              <w:rPr>
                <w:rFonts w:ascii="Times New Roman"/>
                <w:color w:val="000000" w:themeColor="text1"/>
                <w:sz w:val="21"/>
                <w:szCs w:val="21"/>
              </w:rPr>
            </w:pPr>
            <w:r w:rsidRPr="008A2411">
              <w:rPr>
                <w:rFonts w:ascii="Times New Roman"/>
                <w:color w:val="000000" w:themeColor="text1"/>
                <w:sz w:val="21"/>
                <w:szCs w:val="21"/>
              </w:rPr>
              <w:t xml:space="preserve">0.287 </w:t>
            </w:r>
          </w:p>
        </w:tc>
      </w:tr>
    </w:tbl>
    <w:p w14:paraId="10DD5586" w14:textId="77777777" w:rsidR="00B0005F" w:rsidRPr="008A2411" w:rsidRDefault="00000000">
      <w:pPr>
        <w:adjustRightInd w:val="0"/>
        <w:spacing w:line="360" w:lineRule="auto"/>
        <w:ind w:firstLine="482"/>
        <w:contextualSpacing/>
        <w:rPr>
          <w:rFonts w:ascii="Times New Roman"/>
          <w:b/>
          <w:color w:val="000000" w:themeColor="text1"/>
        </w:rPr>
      </w:pPr>
      <w:r w:rsidRPr="008A2411">
        <w:rPr>
          <w:rFonts w:ascii="Times New Roman"/>
          <w:b/>
          <w:color w:val="000000" w:themeColor="text1"/>
        </w:rPr>
        <w:t>（</w:t>
      </w:r>
      <w:r w:rsidRPr="008A2411">
        <w:rPr>
          <w:rFonts w:ascii="Times New Roman"/>
          <w:b/>
          <w:color w:val="000000" w:themeColor="text1"/>
        </w:rPr>
        <w:t>3</w:t>
      </w:r>
      <w:r w:rsidRPr="008A2411">
        <w:rPr>
          <w:rFonts w:ascii="Times New Roman"/>
          <w:b/>
          <w:color w:val="000000" w:themeColor="text1"/>
        </w:rPr>
        <w:t>）污染物迁移模拟</w:t>
      </w:r>
    </w:p>
    <w:p w14:paraId="1626C050" w14:textId="77777777" w:rsidR="00B0005F" w:rsidRPr="008A2411" w:rsidRDefault="00000000">
      <w:pPr>
        <w:adjustRightInd w:val="0"/>
        <w:spacing w:line="360" w:lineRule="auto"/>
        <w:ind w:firstLine="480"/>
        <w:contextualSpacing/>
        <w:rPr>
          <w:rFonts w:ascii="Times New Roman"/>
          <w:color w:val="000000" w:themeColor="text1"/>
        </w:rPr>
      </w:pPr>
      <w:r w:rsidRPr="008A2411">
        <w:rPr>
          <w:rFonts w:ascii="Times New Roman"/>
          <w:color w:val="000000" w:themeColor="text1"/>
        </w:rPr>
        <w:t>1</w:t>
      </w:r>
      <w:r w:rsidRPr="008A2411">
        <w:rPr>
          <w:rFonts w:ascii="Times New Roman"/>
          <w:color w:val="000000" w:themeColor="text1"/>
        </w:rPr>
        <w:t>）数学模型</w:t>
      </w:r>
    </w:p>
    <w:p w14:paraId="67AC6D3D" w14:textId="77777777" w:rsidR="00B0005F" w:rsidRPr="008A2411" w:rsidRDefault="00000000">
      <w:pPr>
        <w:adjustRightInd w:val="0"/>
        <w:spacing w:line="360" w:lineRule="auto"/>
        <w:ind w:firstLine="480"/>
        <w:contextualSpacing/>
        <w:rPr>
          <w:rFonts w:ascii="Times New Roman"/>
          <w:color w:val="000000" w:themeColor="text1"/>
        </w:rPr>
      </w:pPr>
      <w:r w:rsidRPr="008A2411">
        <w:rPr>
          <w:rFonts w:ascii="Times New Roman"/>
          <w:color w:val="000000" w:themeColor="text1"/>
        </w:rPr>
        <w:t>根据《环境影响评价技术导则－地下水环境》（</w:t>
      </w:r>
      <w:r w:rsidRPr="008A2411">
        <w:rPr>
          <w:rFonts w:ascii="Times New Roman"/>
          <w:color w:val="000000" w:themeColor="text1"/>
        </w:rPr>
        <w:t>HJ610-2016</w:t>
      </w:r>
      <w:r w:rsidRPr="008A2411">
        <w:rPr>
          <w:rFonts w:ascii="Times New Roman"/>
          <w:color w:val="000000" w:themeColor="text1"/>
        </w:rPr>
        <w:t>），污染物迁移的溶质运移模型可表达为：</w:t>
      </w:r>
    </w:p>
    <w:p w14:paraId="5CE7B57E" w14:textId="77777777" w:rsidR="00B0005F" w:rsidRPr="008A2411" w:rsidRDefault="00000000">
      <w:pPr>
        <w:widowControl/>
        <w:adjustRightInd w:val="0"/>
        <w:spacing w:line="360" w:lineRule="auto"/>
        <w:ind w:firstLineChars="450" w:firstLine="1080"/>
        <w:contextualSpacing/>
        <w:jc w:val="left"/>
        <w:rPr>
          <w:rFonts w:ascii="Times New Roman"/>
          <w:color w:val="000000" w:themeColor="text1"/>
          <w:szCs w:val="24"/>
        </w:rPr>
      </w:pPr>
      <w:r w:rsidRPr="008A2411">
        <w:rPr>
          <w:rFonts w:ascii="Times New Roman"/>
          <w:noProof/>
          <w:color w:val="000000" w:themeColor="text1"/>
          <w:position w:val="-32"/>
          <w:szCs w:val="24"/>
        </w:rPr>
        <w:drawing>
          <wp:inline distT="0" distB="0" distL="0" distR="0" wp14:anchorId="13B69370" wp14:editId="5E42EE40">
            <wp:extent cx="4030980" cy="480060"/>
            <wp:effectExtent l="0" t="0" r="7620" b="6985"/>
            <wp:docPr id="1354" name="图片 1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4" name="图片 1354"/>
                    <pic:cNvPicPr>
                      <a:picLocks noChangeAspect="1" noChangeArrowheads="1"/>
                    </pic:cNvPicPr>
                  </pic:nvPicPr>
                  <pic:blipFill>
                    <a:blip r:embed="rId61" cstate="print">
                      <a:extLst>
                        <a:ext uri="{28A0092B-C50C-407E-A947-70E740481C1C}">
                          <a14:useLocalDpi xmlns:a14="http://schemas.microsoft.com/office/drawing/2010/main" val="0"/>
                        </a:ext>
                      </a:extLst>
                    </a:blip>
                    <a:srcRect/>
                    <a:stretch>
                      <a:fillRect/>
                    </a:stretch>
                  </pic:blipFill>
                  <pic:spPr>
                    <a:xfrm>
                      <a:off x="0" y="0"/>
                      <a:ext cx="4030980" cy="480060"/>
                    </a:xfrm>
                    <a:prstGeom prst="rect">
                      <a:avLst/>
                    </a:prstGeom>
                    <a:noFill/>
                    <a:ln>
                      <a:noFill/>
                    </a:ln>
                  </pic:spPr>
                </pic:pic>
              </a:graphicData>
            </a:graphic>
          </wp:inline>
        </w:drawing>
      </w:r>
      <w:r w:rsidRPr="008A2411">
        <w:rPr>
          <w:rFonts w:ascii="Times New Roman"/>
          <w:color w:val="000000" w:themeColor="text1"/>
          <w:szCs w:val="24"/>
        </w:rPr>
        <w:t>（</w:t>
      </w:r>
      <w:r w:rsidRPr="008A2411">
        <w:rPr>
          <w:rFonts w:ascii="Times New Roman"/>
          <w:color w:val="000000" w:themeColor="text1"/>
          <w:szCs w:val="24"/>
        </w:rPr>
        <w:t>10-3</w:t>
      </w:r>
      <w:r w:rsidRPr="008A2411">
        <w:rPr>
          <w:rFonts w:ascii="Times New Roman"/>
          <w:color w:val="000000" w:themeColor="text1"/>
          <w:szCs w:val="24"/>
        </w:rPr>
        <w:t>）</w:t>
      </w:r>
    </w:p>
    <w:p w14:paraId="402A9809" w14:textId="77777777" w:rsidR="00B0005F" w:rsidRPr="008A2411" w:rsidRDefault="00000000">
      <w:pPr>
        <w:widowControl/>
        <w:adjustRightInd w:val="0"/>
        <w:spacing w:line="360" w:lineRule="auto"/>
        <w:ind w:firstLine="480"/>
        <w:contextualSpacing/>
        <w:jc w:val="left"/>
        <w:rPr>
          <w:rFonts w:ascii="Times New Roman"/>
          <w:color w:val="000000" w:themeColor="text1"/>
          <w:szCs w:val="24"/>
        </w:rPr>
      </w:pPr>
      <w:r w:rsidRPr="008A2411">
        <w:rPr>
          <w:rFonts w:ascii="Times New Roman"/>
          <w:color w:val="000000" w:themeColor="text1"/>
          <w:szCs w:val="24"/>
        </w:rPr>
        <w:t>式中：</w:t>
      </w:r>
      <w:r w:rsidRPr="008A2411">
        <w:rPr>
          <w:rFonts w:ascii="Times New Roman"/>
          <w:color w:val="000000" w:themeColor="text1"/>
          <w:szCs w:val="24"/>
        </w:rPr>
        <w:t>R——</w:t>
      </w:r>
      <w:r w:rsidRPr="008A2411">
        <w:rPr>
          <w:rFonts w:ascii="Times New Roman"/>
          <w:color w:val="000000" w:themeColor="text1"/>
          <w:szCs w:val="24"/>
        </w:rPr>
        <w:t>迟滞系数，无量纲。</w:t>
      </w:r>
      <w:r w:rsidRPr="008A2411">
        <w:rPr>
          <w:rFonts w:ascii="Times New Roman"/>
          <w:noProof/>
          <w:color w:val="000000" w:themeColor="text1"/>
          <w:position w:val="-24"/>
          <w:szCs w:val="24"/>
        </w:rPr>
        <w:drawing>
          <wp:inline distT="0" distB="0" distL="0" distR="0" wp14:anchorId="48BB00CA" wp14:editId="491A22AB">
            <wp:extent cx="922020" cy="403860"/>
            <wp:effectExtent l="0" t="0" r="0" b="6985"/>
            <wp:docPr id="1355" name="图片 13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5" name="图片 1355"/>
                    <pic:cNvPicPr>
                      <a:picLocks noChangeAspect="1"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a:xfrm>
                      <a:off x="0" y="0"/>
                      <a:ext cx="922020" cy="403860"/>
                    </a:xfrm>
                    <a:prstGeom prst="rect">
                      <a:avLst/>
                    </a:prstGeom>
                    <a:noFill/>
                    <a:ln>
                      <a:noFill/>
                    </a:ln>
                  </pic:spPr>
                </pic:pic>
              </a:graphicData>
            </a:graphic>
          </wp:inline>
        </w:drawing>
      </w:r>
      <w:r w:rsidRPr="008A2411">
        <w:rPr>
          <w:rFonts w:ascii="Times New Roman"/>
          <w:color w:val="000000" w:themeColor="text1"/>
          <w:szCs w:val="24"/>
        </w:rPr>
        <w:t>；</w:t>
      </w:r>
    </w:p>
    <w:p w14:paraId="3D177560" w14:textId="77777777" w:rsidR="00B0005F" w:rsidRPr="008A2411" w:rsidRDefault="00000000">
      <w:pPr>
        <w:widowControl/>
        <w:adjustRightInd w:val="0"/>
        <w:spacing w:line="360" w:lineRule="auto"/>
        <w:ind w:firstLineChars="300" w:firstLine="720"/>
        <w:contextualSpacing/>
        <w:jc w:val="left"/>
        <w:rPr>
          <w:rFonts w:ascii="Times New Roman"/>
          <w:color w:val="000000" w:themeColor="text1"/>
          <w:szCs w:val="24"/>
        </w:rPr>
      </w:pPr>
      <w:r w:rsidRPr="008A2411">
        <w:rPr>
          <w:rFonts w:ascii="Times New Roman"/>
          <w:noProof/>
          <w:color w:val="000000" w:themeColor="text1"/>
          <w:position w:val="-12"/>
          <w:szCs w:val="24"/>
        </w:rPr>
        <w:drawing>
          <wp:inline distT="0" distB="0" distL="0" distR="0" wp14:anchorId="0AB0D96F" wp14:editId="3D922C99">
            <wp:extent cx="190500" cy="228600"/>
            <wp:effectExtent l="0" t="0" r="6985" b="0"/>
            <wp:docPr id="1356" name="图片 1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6" name="图片 1356"/>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a:xfrm>
                      <a:off x="0" y="0"/>
                      <a:ext cx="190500" cy="228600"/>
                    </a:xfrm>
                    <a:prstGeom prst="rect">
                      <a:avLst/>
                    </a:prstGeom>
                    <a:noFill/>
                    <a:ln>
                      <a:noFill/>
                    </a:ln>
                  </pic:spPr>
                </pic:pic>
              </a:graphicData>
            </a:graphic>
          </wp:inline>
        </w:drawing>
      </w:r>
      <w:r w:rsidRPr="008A2411">
        <w:rPr>
          <w:rFonts w:ascii="Times New Roman"/>
          <w:color w:val="000000" w:themeColor="text1"/>
          <w:szCs w:val="24"/>
        </w:rPr>
        <w:t>——</w:t>
      </w:r>
      <w:r w:rsidRPr="008A2411">
        <w:rPr>
          <w:rFonts w:ascii="Times New Roman"/>
          <w:color w:val="000000" w:themeColor="text1"/>
          <w:szCs w:val="24"/>
        </w:rPr>
        <w:t>介质密度（</w:t>
      </w:r>
      <w:r w:rsidRPr="008A2411">
        <w:rPr>
          <w:rFonts w:ascii="Times New Roman"/>
          <w:color w:val="000000" w:themeColor="text1"/>
          <w:szCs w:val="24"/>
        </w:rPr>
        <w:t>mg/dm</w:t>
      </w:r>
      <w:r w:rsidRPr="008A2411">
        <w:rPr>
          <w:rFonts w:ascii="Times New Roman"/>
          <w:color w:val="000000" w:themeColor="text1"/>
          <w:szCs w:val="24"/>
          <w:vertAlign w:val="superscript"/>
        </w:rPr>
        <w:t>3</w:t>
      </w:r>
      <w:r w:rsidRPr="008A2411">
        <w:rPr>
          <w:rFonts w:ascii="Times New Roman"/>
          <w:color w:val="000000" w:themeColor="text1"/>
          <w:szCs w:val="24"/>
        </w:rPr>
        <w:t>，</w:t>
      </w:r>
      <w:r w:rsidRPr="008A2411">
        <w:rPr>
          <w:rFonts w:ascii="Times New Roman"/>
          <w:color w:val="000000" w:themeColor="text1"/>
          <w:szCs w:val="24"/>
        </w:rPr>
        <w:t>2.0×10</w:t>
      </w:r>
      <w:r w:rsidRPr="008A2411">
        <w:rPr>
          <w:rFonts w:ascii="Times New Roman"/>
          <w:color w:val="000000" w:themeColor="text1"/>
          <w:szCs w:val="24"/>
          <w:vertAlign w:val="superscript"/>
        </w:rPr>
        <w:t>6</w:t>
      </w:r>
      <w:r w:rsidRPr="008A2411">
        <w:rPr>
          <w:rFonts w:ascii="Times New Roman"/>
          <w:color w:val="000000" w:themeColor="text1"/>
          <w:szCs w:val="24"/>
        </w:rPr>
        <w:t>～</w:t>
      </w:r>
      <w:r w:rsidRPr="008A2411">
        <w:rPr>
          <w:rFonts w:ascii="Times New Roman"/>
          <w:color w:val="000000" w:themeColor="text1"/>
          <w:szCs w:val="24"/>
        </w:rPr>
        <w:t>2.4×10</w:t>
      </w:r>
      <w:r w:rsidRPr="008A2411">
        <w:rPr>
          <w:rFonts w:ascii="Times New Roman"/>
          <w:color w:val="000000" w:themeColor="text1"/>
          <w:szCs w:val="24"/>
          <w:vertAlign w:val="superscript"/>
        </w:rPr>
        <w:t>6</w:t>
      </w:r>
      <w:r w:rsidRPr="008A2411">
        <w:rPr>
          <w:rFonts w:ascii="Times New Roman"/>
          <w:color w:val="000000" w:themeColor="text1"/>
          <w:szCs w:val="24"/>
        </w:rPr>
        <w:t>mg/dm</w:t>
      </w:r>
      <w:r w:rsidRPr="008A2411">
        <w:rPr>
          <w:rFonts w:ascii="Times New Roman"/>
          <w:color w:val="000000" w:themeColor="text1"/>
          <w:szCs w:val="24"/>
          <w:vertAlign w:val="superscript"/>
        </w:rPr>
        <w:t>3</w:t>
      </w:r>
      <w:r w:rsidRPr="008A2411">
        <w:rPr>
          <w:rFonts w:ascii="Times New Roman"/>
          <w:color w:val="000000" w:themeColor="text1"/>
          <w:szCs w:val="24"/>
        </w:rPr>
        <w:t>）；</w:t>
      </w:r>
    </w:p>
    <w:p w14:paraId="47FEB120" w14:textId="77777777" w:rsidR="00B0005F" w:rsidRPr="008A2411" w:rsidRDefault="00000000">
      <w:pPr>
        <w:widowControl/>
        <w:adjustRightInd w:val="0"/>
        <w:spacing w:line="360" w:lineRule="auto"/>
        <w:ind w:firstLineChars="300" w:firstLine="720"/>
        <w:contextualSpacing/>
        <w:jc w:val="left"/>
        <w:rPr>
          <w:rFonts w:ascii="Times New Roman"/>
          <w:color w:val="000000" w:themeColor="text1"/>
          <w:szCs w:val="24"/>
        </w:rPr>
      </w:pPr>
      <w:r w:rsidRPr="008A2411">
        <w:rPr>
          <w:rFonts w:ascii="Times New Roman"/>
          <w:noProof/>
          <w:color w:val="000000" w:themeColor="text1"/>
          <w:position w:val="-6"/>
          <w:szCs w:val="24"/>
        </w:rPr>
        <w:drawing>
          <wp:inline distT="0" distB="0" distL="0" distR="0" wp14:anchorId="2BC5C90B" wp14:editId="5DBE6E35">
            <wp:extent cx="129540" cy="182880"/>
            <wp:effectExtent l="0" t="0" r="0" b="0"/>
            <wp:docPr id="1357" name="图片 13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7" name="图片 1357"/>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a:xfrm>
                      <a:off x="0" y="0"/>
                      <a:ext cx="129540" cy="182880"/>
                    </a:xfrm>
                    <a:prstGeom prst="rect">
                      <a:avLst/>
                    </a:prstGeom>
                    <a:noFill/>
                    <a:ln>
                      <a:noFill/>
                    </a:ln>
                  </pic:spPr>
                </pic:pic>
              </a:graphicData>
            </a:graphic>
          </wp:inline>
        </w:drawing>
      </w:r>
      <w:r w:rsidRPr="008A2411">
        <w:rPr>
          <w:rFonts w:ascii="Times New Roman"/>
          <w:color w:val="000000" w:themeColor="text1"/>
          <w:szCs w:val="24"/>
        </w:rPr>
        <w:t>——</w:t>
      </w:r>
      <w:r w:rsidRPr="008A2411">
        <w:rPr>
          <w:rFonts w:ascii="Times New Roman"/>
          <w:color w:val="000000" w:themeColor="text1"/>
          <w:szCs w:val="24"/>
        </w:rPr>
        <w:t>介质孔隙度，（无量纲，孔隙含水层孔隙度取</w:t>
      </w:r>
      <w:r w:rsidRPr="008A2411">
        <w:rPr>
          <w:rFonts w:ascii="Times New Roman"/>
          <w:color w:val="000000" w:themeColor="text1"/>
          <w:szCs w:val="24"/>
        </w:rPr>
        <w:t>0.2</w:t>
      </w:r>
      <w:r w:rsidRPr="008A2411">
        <w:rPr>
          <w:rFonts w:ascii="Times New Roman"/>
          <w:color w:val="000000" w:themeColor="text1"/>
          <w:szCs w:val="24"/>
        </w:rPr>
        <w:t>）；</w:t>
      </w:r>
    </w:p>
    <w:p w14:paraId="10DDFCE2" w14:textId="77777777" w:rsidR="00B0005F" w:rsidRPr="008A2411" w:rsidRDefault="00000000">
      <w:pPr>
        <w:widowControl/>
        <w:adjustRightInd w:val="0"/>
        <w:spacing w:line="360" w:lineRule="auto"/>
        <w:ind w:firstLineChars="300" w:firstLine="720"/>
        <w:contextualSpacing/>
        <w:jc w:val="left"/>
        <w:rPr>
          <w:rFonts w:ascii="Times New Roman"/>
          <w:color w:val="000000" w:themeColor="text1"/>
          <w:szCs w:val="24"/>
        </w:rPr>
      </w:pPr>
      <w:r w:rsidRPr="008A2411">
        <w:rPr>
          <w:rFonts w:ascii="Times New Roman"/>
          <w:color w:val="000000" w:themeColor="text1"/>
          <w:szCs w:val="24"/>
        </w:rPr>
        <w:t>C——</w:t>
      </w:r>
      <w:r w:rsidRPr="008A2411">
        <w:rPr>
          <w:rFonts w:ascii="Times New Roman"/>
          <w:color w:val="000000" w:themeColor="text1"/>
          <w:szCs w:val="24"/>
        </w:rPr>
        <w:t>组分的浓度，（</w:t>
      </w:r>
      <w:r w:rsidRPr="008A2411">
        <w:rPr>
          <w:rFonts w:ascii="Times New Roman"/>
          <w:color w:val="000000" w:themeColor="text1"/>
          <w:szCs w:val="24"/>
        </w:rPr>
        <w:t>mg/L</w:t>
      </w:r>
      <w:r w:rsidRPr="008A2411">
        <w:rPr>
          <w:rFonts w:ascii="Times New Roman"/>
          <w:color w:val="000000" w:themeColor="text1"/>
          <w:szCs w:val="24"/>
        </w:rPr>
        <w:t>）；</w:t>
      </w:r>
    </w:p>
    <w:p w14:paraId="2F3B1EED" w14:textId="77777777" w:rsidR="00B0005F" w:rsidRPr="008A2411" w:rsidRDefault="00000000">
      <w:pPr>
        <w:widowControl/>
        <w:adjustRightInd w:val="0"/>
        <w:spacing w:line="360" w:lineRule="auto"/>
        <w:ind w:firstLineChars="300" w:firstLine="720"/>
        <w:contextualSpacing/>
        <w:jc w:val="left"/>
        <w:rPr>
          <w:rFonts w:ascii="Times New Roman"/>
          <w:color w:val="000000" w:themeColor="text1"/>
          <w:szCs w:val="24"/>
        </w:rPr>
      </w:pPr>
      <w:r w:rsidRPr="008A2411">
        <w:rPr>
          <w:rFonts w:ascii="Times New Roman"/>
          <w:color w:val="000000" w:themeColor="text1"/>
          <w:szCs w:val="24"/>
        </w:rPr>
        <w:t>t——</w:t>
      </w:r>
      <w:r w:rsidRPr="008A2411">
        <w:rPr>
          <w:rFonts w:ascii="Times New Roman"/>
          <w:color w:val="000000" w:themeColor="text1"/>
          <w:szCs w:val="24"/>
        </w:rPr>
        <w:t>时间（</w:t>
      </w:r>
      <w:r w:rsidRPr="008A2411">
        <w:rPr>
          <w:rFonts w:ascii="Times New Roman"/>
          <w:color w:val="000000" w:themeColor="text1"/>
          <w:szCs w:val="24"/>
        </w:rPr>
        <w:t>d</w:t>
      </w:r>
      <w:r w:rsidRPr="008A2411">
        <w:rPr>
          <w:rFonts w:ascii="Times New Roman"/>
          <w:color w:val="000000" w:themeColor="text1"/>
          <w:szCs w:val="24"/>
        </w:rPr>
        <w:t>）；</w:t>
      </w:r>
    </w:p>
    <w:p w14:paraId="0A1E461D" w14:textId="77777777" w:rsidR="00B0005F" w:rsidRPr="008A2411" w:rsidRDefault="00000000">
      <w:pPr>
        <w:widowControl/>
        <w:adjustRightInd w:val="0"/>
        <w:spacing w:line="360" w:lineRule="auto"/>
        <w:ind w:firstLineChars="300" w:firstLine="720"/>
        <w:contextualSpacing/>
        <w:jc w:val="left"/>
        <w:rPr>
          <w:rFonts w:ascii="Times New Roman"/>
          <w:color w:val="000000" w:themeColor="text1"/>
          <w:szCs w:val="24"/>
        </w:rPr>
      </w:pPr>
      <w:r w:rsidRPr="008A2411">
        <w:rPr>
          <w:rFonts w:ascii="Times New Roman"/>
          <w:color w:val="000000" w:themeColor="text1"/>
          <w:szCs w:val="24"/>
        </w:rPr>
        <w:t>x,y,z——</w:t>
      </w:r>
      <w:r w:rsidRPr="008A2411">
        <w:rPr>
          <w:rFonts w:ascii="Times New Roman"/>
          <w:color w:val="000000" w:themeColor="text1"/>
          <w:szCs w:val="24"/>
        </w:rPr>
        <w:t>空间位置坐标（</w:t>
      </w:r>
      <w:r w:rsidRPr="008A2411">
        <w:rPr>
          <w:rFonts w:ascii="Times New Roman"/>
          <w:color w:val="000000" w:themeColor="text1"/>
          <w:szCs w:val="24"/>
        </w:rPr>
        <w:t>m</w:t>
      </w:r>
      <w:r w:rsidRPr="008A2411">
        <w:rPr>
          <w:rFonts w:ascii="Times New Roman"/>
          <w:color w:val="000000" w:themeColor="text1"/>
          <w:szCs w:val="24"/>
        </w:rPr>
        <w:t>）；</w:t>
      </w:r>
    </w:p>
    <w:p w14:paraId="46747C1C" w14:textId="77777777" w:rsidR="00B0005F" w:rsidRPr="008A2411" w:rsidRDefault="00000000">
      <w:pPr>
        <w:widowControl/>
        <w:adjustRightInd w:val="0"/>
        <w:spacing w:line="360" w:lineRule="auto"/>
        <w:ind w:firstLineChars="300" w:firstLine="720"/>
        <w:contextualSpacing/>
        <w:jc w:val="left"/>
        <w:rPr>
          <w:rFonts w:ascii="Times New Roman"/>
          <w:color w:val="000000" w:themeColor="text1"/>
          <w:szCs w:val="24"/>
        </w:rPr>
      </w:pPr>
      <w:r w:rsidRPr="008A2411">
        <w:rPr>
          <w:rFonts w:ascii="Times New Roman"/>
          <w:color w:val="000000" w:themeColor="text1"/>
          <w:szCs w:val="24"/>
        </w:rPr>
        <w:t>D</w:t>
      </w:r>
      <w:r w:rsidRPr="008A2411">
        <w:rPr>
          <w:rFonts w:ascii="Times New Roman"/>
          <w:color w:val="000000" w:themeColor="text1"/>
          <w:szCs w:val="24"/>
          <w:vertAlign w:val="subscript"/>
        </w:rPr>
        <w:t>ij</w:t>
      </w:r>
      <w:r w:rsidRPr="008A2411">
        <w:rPr>
          <w:rFonts w:ascii="Times New Roman"/>
          <w:color w:val="000000" w:themeColor="text1"/>
          <w:szCs w:val="24"/>
        </w:rPr>
        <w:t>——</w:t>
      </w:r>
      <w:r w:rsidRPr="008A2411">
        <w:rPr>
          <w:rFonts w:ascii="Times New Roman"/>
          <w:color w:val="000000" w:themeColor="text1"/>
          <w:szCs w:val="24"/>
        </w:rPr>
        <w:t>水动力弥散系数张量；</w:t>
      </w:r>
    </w:p>
    <w:p w14:paraId="7DCA1323" w14:textId="77777777" w:rsidR="00B0005F" w:rsidRPr="008A2411" w:rsidRDefault="00000000">
      <w:pPr>
        <w:widowControl/>
        <w:adjustRightInd w:val="0"/>
        <w:spacing w:line="360" w:lineRule="auto"/>
        <w:ind w:firstLineChars="300" w:firstLine="720"/>
        <w:contextualSpacing/>
        <w:jc w:val="left"/>
        <w:rPr>
          <w:rFonts w:ascii="Times New Roman"/>
          <w:color w:val="000000" w:themeColor="text1"/>
          <w:szCs w:val="24"/>
        </w:rPr>
      </w:pPr>
      <w:r w:rsidRPr="008A2411">
        <w:rPr>
          <w:rFonts w:ascii="Times New Roman"/>
          <w:color w:val="000000" w:themeColor="text1"/>
          <w:szCs w:val="24"/>
        </w:rPr>
        <w:t>Vi——</w:t>
      </w:r>
      <w:r w:rsidRPr="008A2411">
        <w:rPr>
          <w:rFonts w:ascii="Times New Roman"/>
          <w:color w:val="000000" w:themeColor="text1"/>
          <w:szCs w:val="24"/>
        </w:rPr>
        <w:t>地下水渗流速度张量；</w:t>
      </w:r>
    </w:p>
    <w:p w14:paraId="4C4D252B" w14:textId="77777777" w:rsidR="00B0005F" w:rsidRPr="008A2411" w:rsidRDefault="00000000">
      <w:pPr>
        <w:widowControl/>
        <w:adjustRightInd w:val="0"/>
        <w:spacing w:line="360" w:lineRule="auto"/>
        <w:ind w:firstLineChars="300" w:firstLine="720"/>
        <w:contextualSpacing/>
        <w:jc w:val="left"/>
        <w:rPr>
          <w:rFonts w:ascii="Times New Roman"/>
          <w:color w:val="000000" w:themeColor="text1"/>
          <w:szCs w:val="24"/>
        </w:rPr>
      </w:pPr>
      <w:r w:rsidRPr="008A2411">
        <w:rPr>
          <w:rFonts w:ascii="Times New Roman"/>
          <w:color w:val="000000" w:themeColor="text1"/>
          <w:szCs w:val="24"/>
        </w:rPr>
        <w:t>W——</w:t>
      </w:r>
      <w:r w:rsidRPr="008A2411">
        <w:rPr>
          <w:rFonts w:ascii="Times New Roman"/>
          <w:color w:val="000000" w:themeColor="text1"/>
          <w:szCs w:val="24"/>
        </w:rPr>
        <w:t>水流的源和汇（</w:t>
      </w:r>
      <w:r w:rsidRPr="008A2411">
        <w:rPr>
          <w:rFonts w:ascii="Times New Roman"/>
          <w:color w:val="000000" w:themeColor="text1"/>
          <w:szCs w:val="24"/>
        </w:rPr>
        <w:t>1/d</w:t>
      </w:r>
      <w:r w:rsidRPr="008A2411">
        <w:rPr>
          <w:rFonts w:ascii="Times New Roman"/>
          <w:color w:val="000000" w:themeColor="text1"/>
          <w:szCs w:val="24"/>
        </w:rPr>
        <w:t>）</w:t>
      </w:r>
    </w:p>
    <w:p w14:paraId="4697BB69" w14:textId="77777777" w:rsidR="00B0005F" w:rsidRPr="008A2411" w:rsidRDefault="00000000">
      <w:pPr>
        <w:widowControl/>
        <w:adjustRightInd w:val="0"/>
        <w:spacing w:line="360" w:lineRule="auto"/>
        <w:ind w:firstLineChars="300" w:firstLine="720"/>
        <w:contextualSpacing/>
        <w:jc w:val="left"/>
        <w:rPr>
          <w:rFonts w:ascii="Times New Roman"/>
          <w:color w:val="000000" w:themeColor="text1"/>
          <w:szCs w:val="24"/>
        </w:rPr>
      </w:pPr>
      <w:r w:rsidRPr="008A2411">
        <w:rPr>
          <w:rFonts w:ascii="Times New Roman"/>
          <w:color w:val="000000" w:themeColor="text1"/>
          <w:szCs w:val="24"/>
        </w:rPr>
        <w:t>Cs——</w:t>
      </w:r>
      <w:r w:rsidRPr="008A2411">
        <w:rPr>
          <w:rFonts w:ascii="Times New Roman"/>
          <w:color w:val="000000" w:themeColor="text1"/>
          <w:szCs w:val="24"/>
        </w:rPr>
        <w:t>组分的浓度，</w:t>
      </w:r>
      <w:r w:rsidRPr="008A2411">
        <w:rPr>
          <w:rFonts w:ascii="Times New Roman"/>
          <w:color w:val="000000" w:themeColor="text1"/>
          <w:szCs w:val="24"/>
        </w:rPr>
        <w:t>mg/L</w:t>
      </w:r>
    </w:p>
    <w:p w14:paraId="45FD8E59" w14:textId="77777777" w:rsidR="00B0005F" w:rsidRPr="008A2411" w:rsidRDefault="00000000">
      <w:pPr>
        <w:widowControl/>
        <w:adjustRightInd w:val="0"/>
        <w:spacing w:line="360" w:lineRule="auto"/>
        <w:ind w:firstLineChars="300" w:firstLine="720"/>
        <w:contextualSpacing/>
        <w:jc w:val="left"/>
        <w:rPr>
          <w:rFonts w:ascii="Times New Roman"/>
          <w:color w:val="000000" w:themeColor="text1"/>
          <w:szCs w:val="24"/>
        </w:rPr>
      </w:pPr>
      <w:r w:rsidRPr="008A2411">
        <w:rPr>
          <w:rFonts w:ascii="Times New Roman"/>
          <w:noProof/>
          <w:color w:val="000000" w:themeColor="text1"/>
          <w:position w:val="-10"/>
          <w:szCs w:val="24"/>
        </w:rPr>
        <w:drawing>
          <wp:inline distT="0" distB="0" distL="0" distR="0" wp14:anchorId="6D96BE78" wp14:editId="4B15EBEB">
            <wp:extent cx="167640" cy="220980"/>
            <wp:effectExtent l="0" t="0" r="0" b="6350"/>
            <wp:docPr id="1358" name="图片 1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 name="图片 1358"/>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a:xfrm>
                      <a:off x="0" y="0"/>
                      <a:ext cx="167640" cy="220980"/>
                    </a:xfrm>
                    <a:prstGeom prst="rect">
                      <a:avLst/>
                    </a:prstGeom>
                    <a:noFill/>
                    <a:ln>
                      <a:noFill/>
                    </a:ln>
                  </pic:spPr>
                </pic:pic>
              </a:graphicData>
            </a:graphic>
          </wp:inline>
        </w:drawing>
      </w:r>
      <w:r w:rsidRPr="008A2411">
        <w:rPr>
          <w:rFonts w:ascii="Times New Roman"/>
          <w:color w:val="000000" w:themeColor="text1"/>
          <w:szCs w:val="24"/>
        </w:rPr>
        <w:t>——</w:t>
      </w:r>
      <w:r w:rsidRPr="008A2411">
        <w:rPr>
          <w:rFonts w:ascii="Times New Roman"/>
          <w:color w:val="000000" w:themeColor="text1"/>
          <w:szCs w:val="24"/>
        </w:rPr>
        <w:t>溶解相一级反应速率（</w:t>
      </w:r>
      <w:r w:rsidRPr="008A2411">
        <w:rPr>
          <w:rFonts w:ascii="Times New Roman"/>
          <w:color w:val="000000" w:themeColor="text1"/>
          <w:szCs w:val="24"/>
        </w:rPr>
        <w:t>1/d</w:t>
      </w:r>
      <w:r w:rsidRPr="008A2411">
        <w:rPr>
          <w:rFonts w:ascii="Times New Roman"/>
          <w:color w:val="000000" w:themeColor="text1"/>
          <w:szCs w:val="24"/>
        </w:rPr>
        <w:t>）</w:t>
      </w:r>
    </w:p>
    <w:p w14:paraId="2B4AD90E" w14:textId="77777777" w:rsidR="00B0005F" w:rsidRPr="008A2411" w:rsidRDefault="00000000">
      <w:pPr>
        <w:widowControl/>
        <w:adjustRightInd w:val="0"/>
        <w:spacing w:line="360" w:lineRule="auto"/>
        <w:ind w:firstLineChars="300" w:firstLine="720"/>
        <w:contextualSpacing/>
        <w:jc w:val="left"/>
        <w:rPr>
          <w:rFonts w:ascii="Times New Roman"/>
          <w:color w:val="000000" w:themeColor="text1"/>
          <w:szCs w:val="24"/>
        </w:rPr>
      </w:pPr>
      <w:r w:rsidRPr="008A2411">
        <w:rPr>
          <w:rFonts w:ascii="Times New Roman"/>
          <w:noProof/>
          <w:color w:val="000000" w:themeColor="text1"/>
          <w:position w:val="-10"/>
          <w:szCs w:val="24"/>
        </w:rPr>
        <w:drawing>
          <wp:inline distT="0" distB="0" distL="0" distR="0" wp14:anchorId="2308669F" wp14:editId="1455A9D9">
            <wp:extent cx="180975" cy="218440"/>
            <wp:effectExtent l="0" t="0" r="1905" b="11430"/>
            <wp:docPr id="1359" name="图片 13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9" name="图片 1359"/>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a:xfrm>
                      <a:off x="0" y="0"/>
                      <a:ext cx="182880" cy="220980"/>
                    </a:xfrm>
                    <a:prstGeom prst="rect">
                      <a:avLst/>
                    </a:prstGeom>
                    <a:noFill/>
                    <a:ln>
                      <a:noFill/>
                    </a:ln>
                  </pic:spPr>
                </pic:pic>
              </a:graphicData>
            </a:graphic>
          </wp:inline>
        </w:drawing>
      </w:r>
      <w:r w:rsidRPr="008A2411">
        <w:rPr>
          <w:rFonts w:ascii="Times New Roman"/>
          <w:color w:val="000000" w:themeColor="text1"/>
          <w:szCs w:val="24"/>
        </w:rPr>
        <w:t>——</w:t>
      </w:r>
      <w:r w:rsidRPr="008A2411">
        <w:rPr>
          <w:rFonts w:ascii="Times New Roman"/>
          <w:color w:val="000000" w:themeColor="text1"/>
          <w:szCs w:val="24"/>
        </w:rPr>
        <w:t>吸附相反应速率，（</w:t>
      </w:r>
      <w:r w:rsidRPr="008A2411">
        <w:rPr>
          <w:rFonts w:ascii="Times New Roman"/>
          <w:color w:val="000000" w:themeColor="text1"/>
          <w:szCs w:val="24"/>
        </w:rPr>
        <w:t>L/mg·d</w:t>
      </w:r>
      <w:r w:rsidRPr="008A2411">
        <w:rPr>
          <w:rFonts w:ascii="Times New Roman"/>
          <w:color w:val="000000" w:themeColor="text1"/>
          <w:szCs w:val="24"/>
        </w:rPr>
        <w:t>）</w:t>
      </w:r>
    </w:p>
    <w:p w14:paraId="7175B710"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2</w:t>
      </w:r>
      <w:r w:rsidRPr="008A2411">
        <w:rPr>
          <w:rFonts w:ascii="Times New Roman"/>
          <w:color w:val="000000" w:themeColor="text1"/>
        </w:rPr>
        <w:t>）预测软件</w:t>
      </w:r>
    </w:p>
    <w:p w14:paraId="4BFCDDDE"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MT3DMS</w:t>
      </w:r>
      <w:r w:rsidRPr="008A2411">
        <w:rPr>
          <w:rFonts w:ascii="Times New Roman"/>
          <w:color w:val="000000" w:themeColor="text1"/>
        </w:rPr>
        <w:t>模块是</w:t>
      </w:r>
      <w:r w:rsidRPr="008A2411">
        <w:rPr>
          <w:rFonts w:ascii="Times New Roman"/>
          <w:color w:val="000000" w:themeColor="text1"/>
        </w:rPr>
        <w:t>Visual MODFLOW</w:t>
      </w:r>
      <w:r w:rsidRPr="008A2411">
        <w:rPr>
          <w:rFonts w:ascii="Times New Roman"/>
          <w:color w:val="000000" w:themeColor="text1"/>
        </w:rPr>
        <w:t>软件中的模块之一，它是模拟地下水系统中对流、弥散和化学反应的三维溶质运移模型。在利用</w:t>
      </w:r>
      <w:r w:rsidRPr="008A2411">
        <w:rPr>
          <w:rFonts w:ascii="Times New Roman"/>
          <w:color w:val="000000" w:themeColor="text1"/>
        </w:rPr>
        <w:t>MODFLOW</w:t>
      </w:r>
      <w:r w:rsidRPr="008A2411">
        <w:rPr>
          <w:rFonts w:ascii="Times New Roman"/>
          <w:color w:val="000000" w:themeColor="text1"/>
        </w:rPr>
        <w:t>模块模拟</w:t>
      </w:r>
      <w:r w:rsidRPr="008A2411">
        <w:rPr>
          <w:rFonts w:ascii="Times New Roman"/>
          <w:color w:val="000000" w:themeColor="text1"/>
        </w:rPr>
        <w:lastRenderedPageBreak/>
        <w:t>计算</w:t>
      </w:r>
      <w:proofErr w:type="gramStart"/>
      <w:r w:rsidRPr="008A2411">
        <w:rPr>
          <w:rFonts w:ascii="Times New Roman"/>
          <w:color w:val="000000" w:themeColor="text1"/>
        </w:rPr>
        <w:t>评价区</w:t>
      </w:r>
      <w:proofErr w:type="gramEnd"/>
      <w:r w:rsidRPr="008A2411">
        <w:rPr>
          <w:rFonts w:ascii="Times New Roman"/>
          <w:color w:val="000000" w:themeColor="text1"/>
        </w:rPr>
        <w:t>地下水的流场后，采用</w:t>
      </w:r>
      <w:r w:rsidRPr="008A2411">
        <w:rPr>
          <w:rFonts w:ascii="Times New Roman"/>
          <w:color w:val="000000" w:themeColor="text1"/>
        </w:rPr>
        <w:t>Visual MODFLOW</w:t>
      </w:r>
      <w:r w:rsidRPr="008A2411">
        <w:rPr>
          <w:rFonts w:ascii="Times New Roman"/>
          <w:color w:val="000000" w:themeColor="text1"/>
        </w:rPr>
        <w:t>中的</w:t>
      </w:r>
      <w:r w:rsidRPr="008A2411">
        <w:rPr>
          <w:rFonts w:ascii="Times New Roman"/>
          <w:color w:val="000000" w:themeColor="text1"/>
        </w:rPr>
        <w:t>MT3DMS</w:t>
      </w:r>
      <w:r w:rsidRPr="008A2411">
        <w:rPr>
          <w:rFonts w:ascii="Times New Roman"/>
          <w:color w:val="000000" w:themeColor="text1"/>
        </w:rPr>
        <w:t>预测本项目非正常状况下污染物的运移特征及浓度变化趋势。</w:t>
      </w:r>
    </w:p>
    <w:p w14:paraId="3ED86DA2"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3</w:t>
      </w:r>
      <w:r w:rsidRPr="008A2411">
        <w:rPr>
          <w:rFonts w:ascii="Times New Roman"/>
          <w:color w:val="000000" w:themeColor="text1"/>
        </w:rPr>
        <w:t>）污染源源项分析</w:t>
      </w:r>
    </w:p>
    <w:p w14:paraId="0FF2AD7B"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rPr>
        <w:t>根据前述污染物识别及情景设计，本项目污染源源项分析见表</w:t>
      </w:r>
      <w:r w:rsidRPr="008A2411">
        <w:rPr>
          <w:rFonts w:ascii="Times New Roman"/>
          <w:color w:val="000000" w:themeColor="text1"/>
          <w:szCs w:val="24"/>
        </w:rPr>
        <w:t>5.2-32</w:t>
      </w:r>
      <w:r w:rsidRPr="008A2411">
        <w:rPr>
          <w:rFonts w:ascii="Times New Roman"/>
          <w:color w:val="000000" w:themeColor="text1"/>
          <w:szCs w:val="24"/>
        </w:rPr>
        <w:t>。</w:t>
      </w:r>
    </w:p>
    <w:p w14:paraId="6BF6020D" w14:textId="77777777" w:rsidR="00B0005F" w:rsidRPr="008A2411" w:rsidRDefault="00000000">
      <w:pPr>
        <w:pStyle w:val="affffffff7"/>
        <w:adjustRightInd w:val="0"/>
        <w:snapToGrid w:val="0"/>
        <w:spacing w:beforeLines="0" w:before="0" w:afterLines="0" w:after="0" w:line="240" w:lineRule="auto"/>
        <w:rPr>
          <w:color w:val="000000" w:themeColor="text1"/>
        </w:rPr>
      </w:pPr>
      <w:r w:rsidRPr="008A2411">
        <w:rPr>
          <w:color w:val="000000" w:themeColor="text1"/>
        </w:rPr>
        <w:t>表</w:t>
      </w:r>
      <w:r w:rsidRPr="008A2411">
        <w:rPr>
          <w:color w:val="000000" w:themeColor="text1"/>
        </w:rPr>
        <w:t xml:space="preserve">5.2-32  </w:t>
      </w:r>
      <w:r w:rsidRPr="008A2411">
        <w:rPr>
          <w:color w:val="000000" w:themeColor="text1"/>
        </w:rPr>
        <w:t>非正常运行状况污染源源项分析</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33"/>
        <w:gridCol w:w="2226"/>
        <w:gridCol w:w="1582"/>
        <w:gridCol w:w="1273"/>
        <w:gridCol w:w="1114"/>
        <w:gridCol w:w="998"/>
      </w:tblGrid>
      <w:tr w:rsidR="008A2411" w:rsidRPr="008A2411" w14:paraId="1EBE41C3" w14:textId="77777777">
        <w:trPr>
          <w:trHeight w:val="20"/>
        </w:trPr>
        <w:tc>
          <w:tcPr>
            <w:tcW w:w="3459" w:type="dxa"/>
            <w:gridSpan w:val="2"/>
            <w:vMerge w:val="restart"/>
            <w:tcMar>
              <w:left w:w="57" w:type="dxa"/>
              <w:right w:w="57" w:type="dxa"/>
            </w:tcMar>
            <w:vAlign w:val="center"/>
          </w:tcPr>
          <w:p w14:paraId="57B999A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赋值区域</w:t>
            </w:r>
          </w:p>
        </w:tc>
        <w:tc>
          <w:tcPr>
            <w:tcW w:w="1582" w:type="dxa"/>
            <w:vMerge w:val="restart"/>
            <w:shd w:val="clear" w:color="auto" w:fill="auto"/>
            <w:noWrap/>
            <w:tcMar>
              <w:left w:w="57" w:type="dxa"/>
              <w:right w:w="57" w:type="dxa"/>
            </w:tcMar>
            <w:vAlign w:val="center"/>
          </w:tcPr>
          <w:p w14:paraId="0649132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下渗量</w:t>
            </w:r>
          </w:p>
        </w:tc>
        <w:tc>
          <w:tcPr>
            <w:tcW w:w="1273" w:type="dxa"/>
            <w:vMerge w:val="restart"/>
            <w:vAlign w:val="center"/>
          </w:tcPr>
          <w:p w14:paraId="3C70BDC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下渗时长</w:t>
            </w:r>
          </w:p>
        </w:tc>
        <w:tc>
          <w:tcPr>
            <w:tcW w:w="2112" w:type="dxa"/>
            <w:gridSpan w:val="2"/>
            <w:vAlign w:val="center"/>
          </w:tcPr>
          <w:p w14:paraId="4C2E13E6" w14:textId="77777777" w:rsidR="00B0005F" w:rsidRPr="008A2411" w:rsidRDefault="00000000">
            <w:pPr>
              <w:pStyle w:val="affffffffffff2"/>
              <w:rPr>
                <w:rFonts w:ascii="Times New Roman"/>
                <w:color w:val="000000" w:themeColor="text1"/>
              </w:rPr>
            </w:pPr>
            <w:proofErr w:type="gramStart"/>
            <w:r w:rsidRPr="008A2411">
              <w:rPr>
                <w:rFonts w:ascii="Times New Roman"/>
                <w:color w:val="000000" w:themeColor="text1"/>
              </w:rPr>
              <w:t>污染物总下渗量</w:t>
            </w:r>
            <w:proofErr w:type="gramEnd"/>
            <w:r w:rsidRPr="008A2411">
              <w:rPr>
                <w:rFonts w:ascii="Times New Roman"/>
                <w:color w:val="000000" w:themeColor="text1"/>
              </w:rPr>
              <w:t>（</w:t>
            </w:r>
            <w:r w:rsidRPr="008A2411">
              <w:rPr>
                <w:rFonts w:ascii="Times New Roman"/>
                <w:color w:val="000000" w:themeColor="text1"/>
              </w:rPr>
              <w:t>kg</w:t>
            </w:r>
            <w:r w:rsidRPr="008A2411">
              <w:rPr>
                <w:rFonts w:ascii="Times New Roman"/>
                <w:color w:val="000000" w:themeColor="text1"/>
              </w:rPr>
              <w:t>）</w:t>
            </w:r>
          </w:p>
        </w:tc>
      </w:tr>
      <w:tr w:rsidR="008A2411" w:rsidRPr="008A2411" w14:paraId="1BD36D6B" w14:textId="77777777">
        <w:trPr>
          <w:trHeight w:val="20"/>
        </w:trPr>
        <w:tc>
          <w:tcPr>
            <w:tcW w:w="3459" w:type="dxa"/>
            <w:gridSpan w:val="2"/>
            <w:vMerge/>
            <w:tcMar>
              <w:left w:w="57" w:type="dxa"/>
              <w:right w:w="57" w:type="dxa"/>
            </w:tcMar>
            <w:vAlign w:val="center"/>
          </w:tcPr>
          <w:p w14:paraId="03ED9C34" w14:textId="77777777" w:rsidR="00B0005F" w:rsidRPr="008A2411" w:rsidRDefault="00B0005F">
            <w:pPr>
              <w:pStyle w:val="affffffffffff2"/>
              <w:rPr>
                <w:rFonts w:ascii="Times New Roman"/>
                <w:color w:val="000000" w:themeColor="text1"/>
              </w:rPr>
            </w:pPr>
          </w:p>
        </w:tc>
        <w:tc>
          <w:tcPr>
            <w:tcW w:w="1582" w:type="dxa"/>
            <w:vMerge/>
            <w:shd w:val="clear" w:color="auto" w:fill="auto"/>
            <w:noWrap/>
            <w:tcMar>
              <w:left w:w="57" w:type="dxa"/>
              <w:right w:w="57" w:type="dxa"/>
            </w:tcMar>
            <w:vAlign w:val="center"/>
          </w:tcPr>
          <w:p w14:paraId="4D8E1982" w14:textId="77777777" w:rsidR="00B0005F" w:rsidRPr="008A2411" w:rsidRDefault="00B0005F">
            <w:pPr>
              <w:pStyle w:val="affffffffffff2"/>
              <w:rPr>
                <w:rFonts w:ascii="Times New Roman"/>
                <w:color w:val="000000" w:themeColor="text1"/>
              </w:rPr>
            </w:pPr>
          </w:p>
        </w:tc>
        <w:tc>
          <w:tcPr>
            <w:tcW w:w="1273" w:type="dxa"/>
            <w:vMerge/>
            <w:vAlign w:val="center"/>
          </w:tcPr>
          <w:p w14:paraId="5F7566EB" w14:textId="77777777" w:rsidR="00B0005F" w:rsidRPr="008A2411" w:rsidRDefault="00B0005F">
            <w:pPr>
              <w:pStyle w:val="affffffffffff2"/>
              <w:rPr>
                <w:rFonts w:ascii="Times New Roman"/>
                <w:color w:val="000000" w:themeColor="text1"/>
              </w:rPr>
            </w:pPr>
          </w:p>
        </w:tc>
        <w:tc>
          <w:tcPr>
            <w:tcW w:w="1114" w:type="dxa"/>
            <w:tcMar>
              <w:left w:w="57" w:type="dxa"/>
              <w:right w:w="57" w:type="dxa"/>
            </w:tcMar>
            <w:vAlign w:val="center"/>
          </w:tcPr>
          <w:p w14:paraId="35FA254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COD</w:t>
            </w:r>
            <w:r w:rsidRPr="008A2411">
              <w:rPr>
                <w:rFonts w:ascii="Times New Roman"/>
                <w:color w:val="000000" w:themeColor="text1"/>
                <w:vertAlign w:val="subscript"/>
              </w:rPr>
              <w:t>Mn</w:t>
            </w:r>
          </w:p>
        </w:tc>
        <w:tc>
          <w:tcPr>
            <w:tcW w:w="998" w:type="dxa"/>
            <w:shd w:val="clear" w:color="auto" w:fill="auto"/>
            <w:noWrap/>
            <w:tcMar>
              <w:left w:w="57" w:type="dxa"/>
              <w:right w:w="57" w:type="dxa"/>
            </w:tcMar>
            <w:vAlign w:val="center"/>
          </w:tcPr>
          <w:p w14:paraId="587501D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石油类</w:t>
            </w:r>
          </w:p>
        </w:tc>
      </w:tr>
      <w:tr w:rsidR="008A2411" w:rsidRPr="008A2411" w14:paraId="2D71A4D5" w14:textId="77777777">
        <w:trPr>
          <w:trHeight w:val="20"/>
        </w:trPr>
        <w:tc>
          <w:tcPr>
            <w:tcW w:w="1233" w:type="dxa"/>
            <w:shd w:val="clear" w:color="auto" w:fill="auto"/>
            <w:tcMar>
              <w:left w:w="57" w:type="dxa"/>
              <w:right w:w="57" w:type="dxa"/>
            </w:tcMar>
            <w:vAlign w:val="center"/>
          </w:tcPr>
          <w:p w14:paraId="1919681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一类赋值区</w:t>
            </w:r>
          </w:p>
        </w:tc>
        <w:tc>
          <w:tcPr>
            <w:tcW w:w="2226" w:type="dxa"/>
            <w:shd w:val="clear" w:color="auto" w:fill="auto"/>
            <w:tcMar>
              <w:left w:w="57" w:type="dxa"/>
              <w:right w:w="57" w:type="dxa"/>
            </w:tcMar>
            <w:vAlign w:val="center"/>
          </w:tcPr>
          <w:p w14:paraId="7EBAA8A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原料气净化脱酸单元</w:t>
            </w:r>
          </w:p>
        </w:tc>
        <w:tc>
          <w:tcPr>
            <w:tcW w:w="1582" w:type="dxa"/>
            <w:shd w:val="clear" w:color="auto" w:fill="auto"/>
            <w:noWrap/>
            <w:tcMar>
              <w:left w:w="57" w:type="dxa"/>
              <w:right w:w="57" w:type="dxa"/>
            </w:tcMar>
            <w:vAlign w:val="center"/>
          </w:tcPr>
          <w:p w14:paraId="59E5AD6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21.09</w:t>
            </w:r>
            <w:proofErr w:type="gramStart"/>
            <w:r w:rsidRPr="008A2411">
              <w:rPr>
                <w:rFonts w:ascii="Times New Roman"/>
                <w:color w:val="000000" w:themeColor="text1"/>
              </w:rPr>
              <w:t>kg(</w:t>
            </w:r>
            <w:proofErr w:type="gramEnd"/>
            <w:r w:rsidRPr="008A2411">
              <w:rPr>
                <w:rFonts w:ascii="Times New Roman"/>
                <w:color w:val="000000" w:themeColor="text1"/>
              </w:rPr>
              <w:t>MDEA)</w:t>
            </w:r>
          </w:p>
        </w:tc>
        <w:tc>
          <w:tcPr>
            <w:tcW w:w="1273" w:type="dxa"/>
            <w:vAlign w:val="center"/>
          </w:tcPr>
          <w:p w14:paraId="5B3AC11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一次性注入</w:t>
            </w:r>
          </w:p>
        </w:tc>
        <w:tc>
          <w:tcPr>
            <w:tcW w:w="1114" w:type="dxa"/>
            <w:tcMar>
              <w:left w:w="57" w:type="dxa"/>
              <w:right w:w="57" w:type="dxa"/>
            </w:tcMar>
            <w:vAlign w:val="center"/>
          </w:tcPr>
          <w:p w14:paraId="780EFD7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31.15</w:t>
            </w:r>
          </w:p>
        </w:tc>
        <w:tc>
          <w:tcPr>
            <w:tcW w:w="998" w:type="dxa"/>
            <w:shd w:val="clear" w:color="auto" w:fill="auto"/>
            <w:noWrap/>
            <w:tcMar>
              <w:left w:w="57" w:type="dxa"/>
              <w:right w:w="57" w:type="dxa"/>
            </w:tcMar>
            <w:vAlign w:val="center"/>
          </w:tcPr>
          <w:p w14:paraId="721F14E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p>
        </w:tc>
      </w:tr>
      <w:tr w:rsidR="008A2411" w:rsidRPr="008A2411" w14:paraId="628D8001" w14:textId="77777777">
        <w:trPr>
          <w:trHeight w:val="20"/>
        </w:trPr>
        <w:tc>
          <w:tcPr>
            <w:tcW w:w="1233" w:type="dxa"/>
            <w:shd w:val="clear" w:color="auto" w:fill="auto"/>
            <w:tcMar>
              <w:left w:w="57" w:type="dxa"/>
              <w:right w:w="57" w:type="dxa"/>
            </w:tcMar>
            <w:vAlign w:val="center"/>
          </w:tcPr>
          <w:p w14:paraId="7BCD3AC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二类赋值区</w:t>
            </w:r>
          </w:p>
        </w:tc>
        <w:tc>
          <w:tcPr>
            <w:tcW w:w="2226" w:type="dxa"/>
            <w:shd w:val="clear" w:color="auto" w:fill="auto"/>
            <w:tcMar>
              <w:left w:w="57" w:type="dxa"/>
              <w:right w:w="57" w:type="dxa"/>
            </w:tcMar>
            <w:vAlign w:val="center"/>
          </w:tcPr>
          <w:p w14:paraId="0B557F8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导热油系统导热油炉区</w:t>
            </w:r>
          </w:p>
        </w:tc>
        <w:tc>
          <w:tcPr>
            <w:tcW w:w="1582" w:type="dxa"/>
            <w:shd w:val="clear" w:color="auto" w:fill="auto"/>
            <w:noWrap/>
            <w:tcMar>
              <w:left w:w="57" w:type="dxa"/>
              <w:right w:w="57" w:type="dxa"/>
            </w:tcMar>
            <w:vAlign w:val="center"/>
          </w:tcPr>
          <w:p w14:paraId="6A0A023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8.75kg</w:t>
            </w:r>
          </w:p>
        </w:tc>
        <w:tc>
          <w:tcPr>
            <w:tcW w:w="1273" w:type="dxa"/>
            <w:vAlign w:val="center"/>
          </w:tcPr>
          <w:p w14:paraId="1D04876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一次性注入</w:t>
            </w:r>
          </w:p>
        </w:tc>
        <w:tc>
          <w:tcPr>
            <w:tcW w:w="1114" w:type="dxa"/>
            <w:tcMar>
              <w:left w:w="57" w:type="dxa"/>
              <w:right w:w="57" w:type="dxa"/>
            </w:tcMar>
            <w:vAlign w:val="center"/>
          </w:tcPr>
          <w:p w14:paraId="51CA1D9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p>
        </w:tc>
        <w:tc>
          <w:tcPr>
            <w:tcW w:w="998" w:type="dxa"/>
            <w:shd w:val="clear" w:color="auto" w:fill="auto"/>
            <w:noWrap/>
            <w:tcMar>
              <w:left w:w="57" w:type="dxa"/>
              <w:right w:w="57" w:type="dxa"/>
            </w:tcMar>
            <w:vAlign w:val="center"/>
          </w:tcPr>
          <w:p w14:paraId="51DE91D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8.75</w:t>
            </w:r>
          </w:p>
        </w:tc>
      </w:tr>
      <w:tr w:rsidR="008A2411" w:rsidRPr="008A2411" w14:paraId="1D0E1DDA" w14:textId="77777777">
        <w:trPr>
          <w:trHeight w:val="20"/>
        </w:trPr>
        <w:tc>
          <w:tcPr>
            <w:tcW w:w="1233" w:type="dxa"/>
            <w:shd w:val="clear" w:color="auto" w:fill="auto"/>
            <w:tcMar>
              <w:left w:w="57" w:type="dxa"/>
              <w:right w:w="57" w:type="dxa"/>
            </w:tcMar>
            <w:vAlign w:val="center"/>
          </w:tcPr>
          <w:p w14:paraId="6974883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三类赋值区</w:t>
            </w:r>
          </w:p>
        </w:tc>
        <w:tc>
          <w:tcPr>
            <w:tcW w:w="2226" w:type="dxa"/>
            <w:shd w:val="clear" w:color="auto" w:fill="auto"/>
            <w:noWrap/>
            <w:tcMar>
              <w:left w:w="57" w:type="dxa"/>
              <w:right w:w="57" w:type="dxa"/>
            </w:tcMar>
            <w:vAlign w:val="center"/>
          </w:tcPr>
          <w:p w14:paraId="369AAEB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污水处理站</w:t>
            </w:r>
          </w:p>
        </w:tc>
        <w:tc>
          <w:tcPr>
            <w:tcW w:w="1582" w:type="dxa"/>
            <w:shd w:val="clear" w:color="auto" w:fill="auto"/>
            <w:noWrap/>
            <w:tcMar>
              <w:left w:w="57" w:type="dxa"/>
              <w:right w:w="57" w:type="dxa"/>
            </w:tcMar>
            <w:vAlign w:val="center"/>
          </w:tcPr>
          <w:p w14:paraId="672DDC0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7.57m</w:t>
            </w:r>
            <w:r w:rsidRPr="008A2411">
              <w:rPr>
                <w:rFonts w:ascii="Times New Roman"/>
                <w:color w:val="000000" w:themeColor="text1"/>
                <w:vertAlign w:val="superscript"/>
              </w:rPr>
              <w:t>3</w:t>
            </w:r>
            <w:r w:rsidRPr="008A2411">
              <w:rPr>
                <w:rFonts w:ascii="Times New Roman"/>
                <w:color w:val="000000" w:themeColor="text1"/>
              </w:rPr>
              <w:t>/d</w:t>
            </w:r>
          </w:p>
        </w:tc>
        <w:tc>
          <w:tcPr>
            <w:tcW w:w="1273" w:type="dxa"/>
            <w:vAlign w:val="center"/>
          </w:tcPr>
          <w:p w14:paraId="655DE24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60d</w:t>
            </w:r>
          </w:p>
        </w:tc>
        <w:tc>
          <w:tcPr>
            <w:tcW w:w="1114" w:type="dxa"/>
            <w:tcMar>
              <w:left w:w="57" w:type="dxa"/>
              <w:right w:w="57" w:type="dxa"/>
            </w:tcMar>
            <w:vAlign w:val="center"/>
          </w:tcPr>
          <w:p w14:paraId="5DBFE9A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52.97</w:t>
            </w:r>
          </w:p>
        </w:tc>
        <w:tc>
          <w:tcPr>
            <w:tcW w:w="998" w:type="dxa"/>
            <w:shd w:val="clear" w:color="auto" w:fill="auto"/>
            <w:noWrap/>
            <w:tcMar>
              <w:left w:w="57" w:type="dxa"/>
              <w:right w:w="57" w:type="dxa"/>
            </w:tcMar>
            <w:vAlign w:val="center"/>
          </w:tcPr>
          <w:p w14:paraId="2672CC2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22.70</w:t>
            </w:r>
          </w:p>
        </w:tc>
      </w:tr>
    </w:tbl>
    <w:p w14:paraId="419C0472" w14:textId="77777777" w:rsidR="00B0005F" w:rsidRPr="008A2411" w:rsidRDefault="00000000">
      <w:pPr>
        <w:rPr>
          <w:rFonts w:ascii="Times New Roman" w:eastAsia="仿宋"/>
          <w:color w:val="000000" w:themeColor="text1"/>
          <w:sz w:val="21"/>
          <w:szCs w:val="21"/>
        </w:rPr>
      </w:pPr>
      <w:r w:rsidRPr="008A2411">
        <w:rPr>
          <w:rFonts w:ascii="Times New Roman" w:eastAsia="仿宋"/>
          <w:color w:val="000000" w:themeColor="text1"/>
          <w:sz w:val="21"/>
          <w:szCs w:val="21"/>
        </w:rPr>
        <w:t>注</w:t>
      </w:r>
      <w:r w:rsidRPr="008A2411">
        <w:rPr>
          <w:rFonts w:ascii="Times New Roman"/>
          <w:color w:val="000000" w:themeColor="text1"/>
        </w:rPr>
        <w:t>：</w:t>
      </w:r>
      <w:r w:rsidRPr="008A2411">
        <w:rPr>
          <w:rFonts w:ascii="Times New Roman" w:eastAsia="仿宋"/>
          <w:color w:val="000000" w:themeColor="text1"/>
          <w:sz w:val="21"/>
          <w:szCs w:val="21"/>
        </w:rPr>
        <w:t>原料气净化脱酸单元</w:t>
      </w:r>
      <w:r w:rsidRPr="008A2411">
        <w:rPr>
          <w:rFonts w:ascii="Times New Roman" w:eastAsia="仿宋"/>
          <w:color w:val="000000" w:themeColor="text1"/>
          <w:sz w:val="21"/>
          <w:szCs w:val="21"/>
        </w:rPr>
        <w:t>CODMn</w:t>
      </w:r>
      <w:r w:rsidRPr="008A2411">
        <w:rPr>
          <w:rFonts w:ascii="Times New Roman" w:eastAsia="仿宋"/>
          <w:color w:val="000000" w:themeColor="text1"/>
          <w:sz w:val="21"/>
          <w:szCs w:val="21"/>
        </w:rPr>
        <w:t>质量由</w:t>
      </w:r>
      <w:r w:rsidRPr="008A2411">
        <w:rPr>
          <w:rFonts w:ascii="Times New Roman" w:eastAsia="仿宋"/>
          <w:color w:val="000000" w:themeColor="text1"/>
          <w:sz w:val="21"/>
          <w:szCs w:val="21"/>
        </w:rPr>
        <w:t>MDEA</w:t>
      </w:r>
      <w:r w:rsidRPr="008A2411">
        <w:rPr>
          <w:rFonts w:ascii="Times New Roman" w:eastAsia="仿宋"/>
          <w:color w:val="000000" w:themeColor="text1"/>
          <w:sz w:val="21"/>
          <w:szCs w:val="21"/>
        </w:rPr>
        <w:t>进行折算，折算比</w:t>
      </w:r>
      <w:r w:rsidRPr="008A2411">
        <w:rPr>
          <w:rFonts w:ascii="Times New Roman" w:eastAsia="仿宋"/>
          <w:color w:val="000000" w:themeColor="text1"/>
          <w:sz w:val="21"/>
          <w:szCs w:val="21"/>
        </w:rPr>
        <w:t>0.74</w:t>
      </w:r>
      <w:r w:rsidRPr="008A2411">
        <w:rPr>
          <w:rFonts w:ascii="Times New Roman" w:eastAsia="仿宋"/>
          <w:color w:val="000000" w:themeColor="text1"/>
          <w:sz w:val="21"/>
          <w:szCs w:val="21"/>
        </w:rPr>
        <w:t>。</w:t>
      </w:r>
    </w:p>
    <w:p w14:paraId="1963517F" w14:textId="77777777" w:rsidR="00B0005F" w:rsidRPr="008A2411" w:rsidRDefault="00000000">
      <w:pPr>
        <w:adjustRightInd w:val="0"/>
        <w:spacing w:line="360" w:lineRule="auto"/>
        <w:ind w:firstLine="482"/>
        <w:rPr>
          <w:rFonts w:ascii="Times New Roman"/>
          <w:color w:val="000000" w:themeColor="text1"/>
        </w:rPr>
      </w:pPr>
      <w:r w:rsidRPr="008A2411">
        <w:rPr>
          <w:rFonts w:ascii="Times New Roman"/>
          <w:color w:val="000000" w:themeColor="text1"/>
        </w:rPr>
        <w:t>4</w:t>
      </w:r>
      <w:r w:rsidRPr="008A2411">
        <w:rPr>
          <w:rFonts w:ascii="Times New Roman"/>
          <w:color w:val="000000" w:themeColor="text1"/>
        </w:rPr>
        <w:t>）预测结果</w:t>
      </w:r>
    </w:p>
    <w:p w14:paraId="123A44F0"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以前述运行模拟的初始</w:t>
      </w:r>
      <w:proofErr w:type="gramStart"/>
      <w:r w:rsidRPr="008A2411">
        <w:rPr>
          <w:rFonts w:ascii="Times New Roman"/>
          <w:color w:val="000000" w:themeColor="text1"/>
        </w:rPr>
        <w:t>渗流场</w:t>
      </w:r>
      <w:proofErr w:type="gramEnd"/>
      <w:r w:rsidRPr="008A2411">
        <w:rPr>
          <w:rFonts w:ascii="Times New Roman"/>
          <w:color w:val="000000" w:themeColor="text1"/>
        </w:rPr>
        <w:t>作为溶质运移流场模拟本项目非正常运行状况地下水污染情况，模拟结果如图。</w:t>
      </w:r>
    </w:p>
    <w:p w14:paraId="60736FD2" w14:textId="77777777" w:rsidR="00B0005F" w:rsidRPr="008A2411" w:rsidRDefault="00000000">
      <w:pPr>
        <w:pStyle w:val="affffffffffff2"/>
        <w:rPr>
          <w:rFonts w:ascii="Times New Roman"/>
          <w:color w:val="000000" w:themeColor="text1"/>
        </w:rPr>
      </w:pPr>
      <w:r w:rsidRPr="008A2411">
        <w:rPr>
          <w:rFonts w:ascii="Times New Roman"/>
          <w:noProof/>
          <w:color w:val="000000" w:themeColor="text1"/>
        </w:rPr>
        <w:drawing>
          <wp:inline distT="0" distB="0" distL="0" distR="0" wp14:anchorId="35619345" wp14:editId="7B5B82B3">
            <wp:extent cx="5039995" cy="2542540"/>
            <wp:effectExtent l="0" t="0" r="4445" b="2540"/>
            <wp:docPr id="63" name="图片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图片 63"/>
                    <pic:cNvPicPr>
                      <a:picLocks noChangeAspect="1"/>
                    </pic:cNvPicPr>
                  </pic:nvPicPr>
                  <pic:blipFill>
                    <a:blip r:embed="rId67">
                      <a:extLst>
                        <a:ext uri="{28A0092B-C50C-407E-A947-70E740481C1C}">
                          <a14:useLocalDpi xmlns:a14="http://schemas.microsoft.com/office/drawing/2010/main" val="0"/>
                        </a:ext>
                      </a:extLst>
                    </a:blip>
                    <a:stretch>
                      <a:fillRect/>
                    </a:stretch>
                  </pic:blipFill>
                  <pic:spPr>
                    <a:xfrm>
                      <a:off x="0" y="0"/>
                      <a:ext cx="5040000" cy="2543058"/>
                    </a:xfrm>
                    <a:prstGeom prst="rect">
                      <a:avLst/>
                    </a:prstGeom>
                  </pic:spPr>
                </pic:pic>
              </a:graphicData>
            </a:graphic>
          </wp:inline>
        </w:drawing>
      </w:r>
    </w:p>
    <w:p w14:paraId="4795B3D0" w14:textId="77777777" w:rsidR="00B0005F" w:rsidRPr="008A2411" w:rsidRDefault="00000000">
      <w:pPr>
        <w:pStyle w:val="affffffffffff2"/>
        <w:rPr>
          <w:rFonts w:ascii="Times New Roman"/>
          <w:b/>
          <w:bCs/>
          <w:color w:val="000000" w:themeColor="text1"/>
        </w:rPr>
      </w:pPr>
      <w:r w:rsidRPr="008A2411">
        <w:rPr>
          <w:rFonts w:ascii="Times New Roman"/>
          <w:b/>
          <w:bCs/>
          <w:color w:val="000000" w:themeColor="text1"/>
        </w:rPr>
        <w:t>1d</w:t>
      </w:r>
    </w:p>
    <w:p w14:paraId="55201B50" w14:textId="77777777" w:rsidR="00B0005F" w:rsidRPr="008A2411" w:rsidRDefault="00000000">
      <w:pPr>
        <w:pStyle w:val="affffffffffff2"/>
        <w:rPr>
          <w:rFonts w:ascii="Times New Roman"/>
          <w:color w:val="000000" w:themeColor="text1"/>
        </w:rPr>
      </w:pPr>
      <w:r w:rsidRPr="008A2411">
        <w:rPr>
          <w:rFonts w:ascii="Times New Roman"/>
          <w:noProof/>
          <w:color w:val="000000" w:themeColor="text1"/>
        </w:rPr>
        <w:drawing>
          <wp:inline distT="0" distB="0" distL="0" distR="0" wp14:anchorId="00B1F58E" wp14:editId="46260B0C">
            <wp:extent cx="5039995" cy="2542540"/>
            <wp:effectExtent l="0" t="0" r="4445" b="2540"/>
            <wp:docPr id="7168" name="图片 7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68" name="图片 7168"/>
                    <pic:cNvPicPr>
                      <a:picLocks noChangeAspect="1"/>
                    </pic:cNvPicPr>
                  </pic:nvPicPr>
                  <pic:blipFill>
                    <a:blip r:embed="rId68">
                      <a:extLst>
                        <a:ext uri="{28A0092B-C50C-407E-A947-70E740481C1C}">
                          <a14:useLocalDpi xmlns:a14="http://schemas.microsoft.com/office/drawing/2010/main" val="0"/>
                        </a:ext>
                      </a:extLst>
                    </a:blip>
                    <a:stretch>
                      <a:fillRect/>
                    </a:stretch>
                  </pic:blipFill>
                  <pic:spPr>
                    <a:xfrm>
                      <a:off x="0" y="0"/>
                      <a:ext cx="5040000" cy="2543058"/>
                    </a:xfrm>
                    <a:prstGeom prst="rect">
                      <a:avLst/>
                    </a:prstGeom>
                  </pic:spPr>
                </pic:pic>
              </a:graphicData>
            </a:graphic>
          </wp:inline>
        </w:drawing>
      </w:r>
    </w:p>
    <w:p w14:paraId="4BC4A35B" w14:textId="77777777" w:rsidR="00B0005F" w:rsidRPr="008A2411" w:rsidRDefault="00000000">
      <w:pPr>
        <w:pStyle w:val="affffffff7"/>
        <w:spacing w:before="60" w:after="60" w:line="276" w:lineRule="auto"/>
        <w:rPr>
          <w:b/>
          <w:bCs/>
          <w:color w:val="000000" w:themeColor="text1"/>
        </w:rPr>
      </w:pPr>
      <w:r w:rsidRPr="008A2411">
        <w:rPr>
          <w:b/>
          <w:bCs/>
          <w:color w:val="000000" w:themeColor="text1"/>
        </w:rPr>
        <w:t>60d</w:t>
      </w:r>
    </w:p>
    <w:p w14:paraId="51BBA4FC" w14:textId="77777777" w:rsidR="00B0005F" w:rsidRPr="008A2411" w:rsidRDefault="00000000">
      <w:pPr>
        <w:pStyle w:val="affffffffffff2"/>
        <w:rPr>
          <w:rFonts w:ascii="Times New Roman"/>
          <w:color w:val="000000" w:themeColor="text1"/>
        </w:rPr>
      </w:pPr>
      <w:r w:rsidRPr="008A2411">
        <w:rPr>
          <w:rFonts w:ascii="Times New Roman"/>
          <w:noProof/>
          <w:color w:val="000000" w:themeColor="text1"/>
        </w:rPr>
        <w:lastRenderedPageBreak/>
        <w:drawing>
          <wp:inline distT="0" distB="0" distL="0" distR="0" wp14:anchorId="3C82A99F" wp14:editId="7BB20B08">
            <wp:extent cx="5278120" cy="2663190"/>
            <wp:effectExtent l="0" t="0" r="10160" b="3810"/>
            <wp:docPr id="7169" name="图片 71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69" name="图片 7169"/>
                    <pic:cNvPicPr>
                      <a:picLocks noChangeAspect="1"/>
                    </pic:cNvPicPr>
                  </pic:nvPicPr>
                  <pic:blipFill>
                    <a:blip r:embed="rId69">
                      <a:extLst>
                        <a:ext uri="{28A0092B-C50C-407E-A947-70E740481C1C}">
                          <a14:useLocalDpi xmlns:a14="http://schemas.microsoft.com/office/drawing/2010/main" val="0"/>
                        </a:ext>
                      </a:extLst>
                    </a:blip>
                    <a:stretch>
                      <a:fillRect/>
                    </a:stretch>
                  </pic:blipFill>
                  <pic:spPr>
                    <a:xfrm>
                      <a:off x="0" y="0"/>
                      <a:ext cx="5278120" cy="2663190"/>
                    </a:xfrm>
                    <a:prstGeom prst="rect">
                      <a:avLst/>
                    </a:prstGeom>
                  </pic:spPr>
                </pic:pic>
              </a:graphicData>
            </a:graphic>
          </wp:inline>
        </w:drawing>
      </w:r>
    </w:p>
    <w:p w14:paraId="26B549F7" w14:textId="77777777" w:rsidR="00B0005F" w:rsidRPr="008A2411" w:rsidRDefault="00000000">
      <w:pPr>
        <w:pStyle w:val="affffffff7"/>
        <w:spacing w:before="60" w:after="60" w:line="276" w:lineRule="auto"/>
        <w:rPr>
          <w:b/>
          <w:bCs/>
          <w:color w:val="000000" w:themeColor="text1"/>
        </w:rPr>
      </w:pPr>
      <w:r w:rsidRPr="008A2411">
        <w:rPr>
          <w:b/>
          <w:bCs/>
          <w:color w:val="000000" w:themeColor="text1"/>
        </w:rPr>
        <w:t>100d</w:t>
      </w:r>
    </w:p>
    <w:p w14:paraId="13E34A39" w14:textId="77777777" w:rsidR="00B0005F" w:rsidRPr="008A2411" w:rsidRDefault="00000000">
      <w:pPr>
        <w:pStyle w:val="affffffffffff2"/>
        <w:rPr>
          <w:rFonts w:ascii="Times New Roman"/>
          <w:color w:val="000000" w:themeColor="text1"/>
        </w:rPr>
      </w:pPr>
      <w:r w:rsidRPr="008A2411">
        <w:rPr>
          <w:rFonts w:ascii="Times New Roman"/>
          <w:noProof/>
          <w:color w:val="000000" w:themeColor="text1"/>
        </w:rPr>
        <w:drawing>
          <wp:inline distT="0" distB="0" distL="0" distR="0" wp14:anchorId="785E1CAD" wp14:editId="4D7F12E8">
            <wp:extent cx="5278120" cy="2663190"/>
            <wp:effectExtent l="0" t="0" r="10160" b="3810"/>
            <wp:docPr id="7170" name="图片 7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70" name="图片 7170"/>
                    <pic:cNvPicPr>
                      <a:picLocks noChangeAspect="1"/>
                    </pic:cNvPicPr>
                  </pic:nvPicPr>
                  <pic:blipFill>
                    <a:blip r:embed="rId70">
                      <a:extLst>
                        <a:ext uri="{28A0092B-C50C-407E-A947-70E740481C1C}">
                          <a14:useLocalDpi xmlns:a14="http://schemas.microsoft.com/office/drawing/2010/main" val="0"/>
                        </a:ext>
                      </a:extLst>
                    </a:blip>
                    <a:stretch>
                      <a:fillRect/>
                    </a:stretch>
                  </pic:blipFill>
                  <pic:spPr>
                    <a:xfrm>
                      <a:off x="0" y="0"/>
                      <a:ext cx="5278120" cy="2663190"/>
                    </a:xfrm>
                    <a:prstGeom prst="rect">
                      <a:avLst/>
                    </a:prstGeom>
                  </pic:spPr>
                </pic:pic>
              </a:graphicData>
            </a:graphic>
          </wp:inline>
        </w:drawing>
      </w:r>
    </w:p>
    <w:p w14:paraId="11A316BF" w14:textId="77777777" w:rsidR="00B0005F" w:rsidRPr="008A2411" w:rsidRDefault="00000000">
      <w:pPr>
        <w:pStyle w:val="affffff5"/>
        <w:spacing w:line="276" w:lineRule="auto"/>
        <w:jc w:val="center"/>
        <w:rPr>
          <w:rFonts w:ascii="Times New Roman" w:hAnsi="Times New Roman"/>
          <w:b/>
          <w:bCs/>
          <w:color w:val="000000" w:themeColor="text1"/>
        </w:rPr>
      </w:pPr>
      <w:r w:rsidRPr="008A2411">
        <w:rPr>
          <w:rFonts w:ascii="Times New Roman" w:hAnsi="Times New Roman"/>
          <w:b/>
          <w:bCs/>
          <w:color w:val="000000" w:themeColor="text1"/>
          <w:lang w:eastAsia="zh-CN"/>
        </w:rPr>
        <w:t>1000</w:t>
      </w:r>
      <w:r w:rsidRPr="008A2411">
        <w:rPr>
          <w:rFonts w:ascii="Times New Roman" w:hAnsi="Times New Roman"/>
          <w:b/>
          <w:bCs/>
          <w:color w:val="000000" w:themeColor="text1"/>
        </w:rPr>
        <w:t>d</w:t>
      </w:r>
    </w:p>
    <w:p w14:paraId="38AC4D0B" w14:textId="77777777" w:rsidR="00B0005F" w:rsidRPr="008A2411" w:rsidRDefault="00000000">
      <w:pPr>
        <w:pStyle w:val="affffffffffff2"/>
        <w:rPr>
          <w:rFonts w:ascii="Times New Roman"/>
          <w:color w:val="000000" w:themeColor="text1"/>
        </w:rPr>
      </w:pPr>
      <w:r w:rsidRPr="008A2411">
        <w:rPr>
          <w:rFonts w:ascii="Times New Roman"/>
          <w:noProof/>
          <w:color w:val="000000" w:themeColor="text1"/>
        </w:rPr>
        <w:drawing>
          <wp:inline distT="0" distB="0" distL="0" distR="0" wp14:anchorId="1F052414" wp14:editId="2345C5EB">
            <wp:extent cx="5278120" cy="2663190"/>
            <wp:effectExtent l="0" t="0" r="10160" b="3810"/>
            <wp:docPr id="7171" name="图片 7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71" name="图片 7171"/>
                    <pic:cNvPicPr>
                      <a:picLocks noChangeAspect="1"/>
                    </pic:cNvPicPr>
                  </pic:nvPicPr>
                  <pic:blipFill>
                    <a:blip r:embed="rId71">
                      <a:extLst>
                        <a:ext uri="{28A0092B-C50C-407E-A947-70E740481C1C}">
                          <a14:useLocalDpi xmlns:a14="http://schemas.microsoft.com/office/drawing/2010/main" val="0"/>
                        </a:ext>
                      </a:extLst>
                    </a:blip>
                    <a:stretch>
                      <a:fillRect/>
                    </a:stretch>
                  </pic:blipFill>
                  <pic:spPr>
                    <a:xfrm>
                      <a:off x="0" y="0"/>
                      <a:ext cx="5278120" cy="2663190"/>
                    </a:xfrm>
                    <a:prstGeom prst="rect">
                      <a:avLst/>
                    </a:prstGeom>
                  </pic:spPr>
                </pic:pic>
              </a:graphicData>
            </a:graphic>
          </wp:inline>
        </w:drawing>
      </w:r>
    </w:p>
    <w:p w14:paraId="4514668D" w14:textId="77777777" w:rsidR="00B0005F" w:rsidRPr="008A2411" w:rsidRDefault="00000000">
      <w:pPr>
        <w:pStyle w:val="affffff5"/>
        <w:jc w:val="center"/>
        <w:rPr>
          <w:rFonts w:ascii="Times New Roman" w:hAnsi="Times New Roman"/>
          <w:b/>
          <w:bCs/>
          <w:color w:val="000000" w:themeColor="text1"/>
          <w:lang w:eastAsia="zh-CN"/>
        </w:rPr>
      </w:pPr>
      <w:r w:rsidRPr="008A2411">
        <w:rPr>
          <w:rFonts w:ascii="Times New Roman" w:hAnsi="Times New Roman"/>
          <w:b/>
          <w:bCs/>
          <w:color w:val="000000" w:themeColor="text1"/>
          <w:lang w:eastAsia="zh-CN"/>
        </w:rPr>
        <w:t>7300d</w:t>
      </w:r>
    </w:p>
    <w:p w14:paraId="3AAF1AF8" w14:textId="77777777" w:rsidR="00B0005F" w:rsidRPr="008A2411" w:rsidRDefault="00000000">
      <w:pPr>
        <w:pStyle w:val="affffff5"/>
        <w:jc w:val="center"/>
        <w:rPr>
          <w:rFonts w:ascii="Times New Roman" w:hAnsi="Times New Roman"/>
          <w:color w:val="000000" w:themeColor="text1"/>
        </w:rPr>
      </w:pPr>
      <w:r w:rsidRPr="008A2411">
        <w:rPr>
          <w:rFonts w:ascii="Times New Roman" w:hAnsi="Times New Roman"/>
          <w:noProof/>
          <w:color w:val="000000" w:themeColor="text1"/>
        </w:rPr>
        <w:lastRenderedPageBreak/>
        <w:drawing>
          <wp:inline distT="0" distB="0" distL="0" distR="0" wp14:anchorId="46C69A1E" wp14:editId="4C135141">
            <wp:extent cx="5278120" cy="2663190"/>
            <wp:effectExtent l="0" t="0" r="10160" b="3810"/>
            <wp:docPr id="7172" name="图片 7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72" name="图片 7172"/>
                    <pic:cNvPicPr>
                      <a:picLocks noChangeAspect="1"/>
                    </pic:cNvPicPr>
                  </pic:nvPicPr>
                  <pic:blipFill>
                    <a:blip r:embed="rId72">
                      <a:extLst>
                        <a:ext uri="{28A0092B-C50C-407E-A947-70E740481C1C}">
                          <a14:useLocalDpi xmlns:a14="http://schemas.microsoft.com/office/drawing/2010/main" val="0"/>
                        </a:ext>
                      </a:extLst>
                    </a:blip>
                    <a:stretch>
                      <a:fillRect/>
                    </a:stretch>
                  </pic:blipFill>
                  <pic:spPr>
                    <a:xfrm>
                      <a:off x="0" y="0"/>
                      <a:ext cx="5278120" cy="2663190"/>
                    </a:xfrm>
                    <a:prstGeom prst="rect">
                      <a:avLst/>
                    </a:prstGeom>
                  </pic:spPr>
                </pic:pic>
              </a:graphicData>
            </a:graphic>
          </wp:inline>
        </w:drawing>
      </w:r>
    </w:p>
    <w:p w14:paraId="6AAA7D93" w14:textId="77777777" w:rsidR="00B0005F" w:rsidRPr="008A2411" w:rsidRDefault="00000000">
      <w:pPr>
        <w:pStyle w:val="affffff5"/>
        <w:jc w:val="center"/>
        <w:rPr>
          <w:rFonts w:ascii="Times New Roman" w:hAnsi="Times New Roman"/>
          <w:b/>
          <w:bCs/>
          <w:color w:val="000000" w:themeColor="text1"/>
          <w:lang w:eastAsia="zh-CN"/>
        </w:rPr>
      </w:pPr>
      <w:r w:rsidRPr="008A2411">
        <w:rPr>
          <w:rFonts w:ascii="Times New Roman" w:hAnsi="Times New Roman"/>
          <w:b/>
          <w:bCs/>
          <w:color w:val="000000" w:themeColor="text1"/>
          <w:lang w:eastAsia="zh-CN"/>
        </w:rPr>
        <w:t>10950d</w:t>
      </w:r>
    </w:p>
    <w:p w14:paraId="29A0564E" w14:textId="77777777" w:rsidR="00B0005F" w:rsidRPr="008A2411" w:rsidRDefault="00000000">
      <w:pPr>
        <w:pStyle w:val="affffff5"/>
        <w:rPr>
          <w:rFonts w:ascii="Times New Roman" w:hAnsi="Times New Roman"/>
          <w:color w:val="000000" w:themeColor="text1"/>
        </w:rPr>
      </w:pPr>
      <w:r w:rsidRPr="008A2411">
        <w:rPr>
          <w:rFonts w:ascii="Times New Roman" w:hAnsi="Times New Roman"/>
          <w:noProof/>
          <w:color w:val="000000" w:themeColor="text1"/>
        </w:rPr>
        <w:drawing>
          <wp:inline distT="0" distB="0" distL="0" distR="0" wp14:anchorId="1C211B15" wp14:editId="3D18C0C2">
            <wp:extent cx="5278120" cy="2663190"/>
            <wp:effectExtent l="0" t="0" r="10160" b="3810"/>
            <wp:docPr id="7173" name="图片 71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73" name="图片 7173"/>
                    <pic:cNvPicPr>
                      <a:picLocks noChangeAspect="1"/>
                    </pic:cNvPicPr>
                  </pic:nvPicPr>
                  <pic:blipFill>
                    <a:blip r:embed="rId73">
                      <a:extLst>
                        <a:ext uri="{28A0092B-C50C-407E-A947-70E740481C1C}">
                          <a14:useLocalDpi xmlns:a14="http://schemas.microsoft.com/office/drawing/2010/main" val="0"/>
                        </a:ext>
                      </a:extLst>
                    </a:blip>
                    <a:stretch>
                      <a:fillRect/>
                    </a:stretch>
                  </pic:blipFill>
                  <pic:spPr>
                    <a:xfrm>
                      <a:off x="0" y="0"/>
                      <a:ext cx="5278120" cy="2663190"/>
                    </a:xfrm>
                    <a:prstGeom prst="rect">
                      <a:avLst/>
                    </a:prstGeom>
                  </pic:spPr>
                </pic:pic>
              </a:graphicData>
            </a:graphic>
          </wp:inline>
        </w:drawing>
      </w:r>
    </w:p>
    <w:p w14:paraId="071BC961" w14:textId="77777777" w:rsidR="00B0005F" w:rsidRPr="008A2411" w:rsidRDefault="00000000">
      <w:pPr>
        <w:pStyle w:val="affffff5"/>
        <w:jc w:val="center"/>
        <w:rPr>
          <w:rFonts w:ascii="Times New Roman" w:hAnsi="Times New Roman"/>
          <w:b/>
          <w:bCs/>
          <w:color w:val="000000" w:themeColor="text1"/>
          <w:lang w:eastAsia="zh-CN"/>
        </w:rPr>
      </w:pPr>
      <w:r w:rsidRPr="008A2411">
        <w:rPr>
          <w:rFonts w:ascii="Times New Roman" w:hAnsi="Times New Roman"/>
          <w:b/>
          <w:bCs/>
          <w:color w:val="000000" w:themeColor="text1"/>
          <w:lang w:eastAsia="zh-CN"/>
        </w:rPr>
        <w:t>18250d</w:t>
      </w:r>
    </w:p>
    <w:p w14:paraId="500935F3" w14:textId="77777777" w:rsidR="00B0005F" w:rsidRPr="008A2411" w:rsidRDefault="00B0005F">
      <w:pPr>
        <w:pStyle w:val="affffff5"/>
        <w:jc w:val="center"/>
        <w:rPr>
          <w:rFonts w:ascii="Times New Roman" w:hAnsi="Times New Roman"/>
          <w:color w:val="000000" w:themeColor="text1"/>
          <w:lang w:eastAsia="zh-CN"/>
        </w:rPr>
      </w:pPr>
    </w:p>
    <w:p w14:paraId="0C678F76" w14:textId="77777777" w:rsidR="00B0005F" w:rsidRPr="008A2411" w:rsidRDefault="00000000">
      <w:pPr>
        <w:pStyle w:val="affffffff7"/>
        <w:spacing w:before="60" w:after="60" w:line="240" w:lineRule="auto"/>
        <w:rPr>
          <w:color w:val="000000" w:themeColor="text1"/>
        </w:rPr>
      </w:pPr>
      <w:r w:rsidRPr="008A2411">
        <w:rPr>
          <w:color w:val="000000" w:themeColor="text1"/>
        </w:rPr>
        <w:t>图</w:t>
      </w:r>
      <w:r w:rsidRPr="008A2411">
        <w:rPr>
          <w:color w:val="000000" w:themeColor="text1"/>
        </w:rPr>
        <w:t xml:space="preserve">10.4-6  </w:t>
      </w:r>
      <w:r w:rsidRPr="008A2411">
        <w:rPr>
          <w:color w:val="000000" w:themeColor="text1"/>
        </w:rPr>
        <w:t>非正常状况项目区</w:t>
      </w:r>
      <w:r w:rsidRPr="008A2411">
        <w:rPr>
          <w:color w:val="000000" w:themeColor="text1"/>
        </w:rPr>
        <w:t>COD</w:t>
      </w:r>
      <w:r w:rsidRPr="008A2411">
        <w:rPr>
          <w:color w:val="000000" w:themeColor="text1"/>
          <w:vertAlign w:val="subscript"/>
        </w:rPr>
        <w:t>Mn</w:t>
      </w:r>
      <w:r w:rsidRPr="008A2411">
        <w:rPr>
          <w:color w:val="000000" w:themeColor="text1"/>
        </w:rPr>
        <w:t>浓度迁移图（</w:t>
      </w:r>
      <w:r w:rsidRPr="008A2411">
        <w:rPr>
          <w:color w:val="000000" w:themeColor="text1"/>
        </w:rPr>
        <w:t>mg/L</w:t>
      </w:r>
      <w:r w:rsidRPr="008A2411">
        <w:rPr>
          <w:color w:val="000000" w:themeColor="text1"/>
        </w:rPr>
        <w:t>）</w:t>
      </w:r>
    </w:p>
    <w:p w14:paraId="7BF74FB8" w14:textId="77777777" w:rsidR="00B0005F" w:rsidRPr="008A2411" w:rsidRDefault="00000000">
      <w:pPr>
        <w:pStyle w:val="affffff5"/>
        <w:jc w:val="center"/>
        <w:rPr>
          <w:rFonts w:ascii="Times New Roman" w:hAnsi="Times New Roman"/>
          <w:color w:val="000000" w:themeColor="text1"/>
        </w:rPr>
      </w:pPr>
      <w:r w:rsidRPr="008A2411">
        <w:rPr>
          <w:rFonts w:ascii="Times New Roman" w:hAnsi="Times New Roman"/>
          <w:noProof/>
          <w:color w:val="000000" w:themeColor="text1"/>
        </w:rPr>
        <w:drawing>
          <wp:inline distT="0" distB="0" distL="0" distR="0" wp14:anchorId="79A79AEE" wp14:editId="2DEF8F1A">
            <wp:extent cx="4926965" cy="2486025"/>
            <wp:effectExtent l="0" t="0" r="10795" b="13335"/>
            <wp:docPr id="7184" name="图片 7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84" name="图片 7184"/>
                    <pic:cNvPicPr>
                      <a:picLocks noChangeAspect="1"/>
                    </pic:cNvPicPr>
                  </pic:nvPicPr>
                  <pic:blipFill>
                    <a:blip r:embed="rId74" cstate="print">
                      <a:extLst>
                        <a:ext uri="{28A0092B-C50C-407E-A947-70E740481C1C}">
                          <a14:useLocalDpi xmlns:a14="http://schemas.microsoft.com/office/drawing/2010/main" val="0"/>
                        </a:ext>
                      </a:extLst>
                    </a:blip>
                    <a:stretch>
                      <a:fillRect/>
                    </a:stretch>
                  </pic:blipFill>
                  <pic:spPr>
                    <a:xfrm>
                      <a:off x="0" y="0"/>
                      <a:ext cx="4926965" cy="2486025"/>
                    </a:xfrm>
                    <a:prstGeom prst="rect">
                      <a:avLst/>
                    </a:prstGeom>
                  </pic:spPr>
                </pic:pic>
              </a:graphicData>
            </a:graphic>
          </wp:inline>
        </w:drawing>
      </w:r>
    </w:p>
    <w:p w14:paraId="59BA4C57" w14:textId="77777777" w:rsidR="00B0005F" w:rsidRPr="008A2411" w:rsidRDefault="00000000">
      <w:pPr>
        <w:pStyle w:val="affffff5"/>
        <w:jc w:val="center"/>
        <w:rPr>
          <w:rFonts w:ascii="Times New Roman" w:hAnsi="Times New Roman"/>
          <w:b/>
          <w:bCs/>
          <w:color w:val="000000" w:themeColor="text1"/>
        </w:rPr>
      </w:pPr>
      <w:r w:rsidRPr="008A2411">
        <w:rPr>
          <w:rFonts w:ascii="Times New Roman" w:hAnsi="Times New Roman"/>
          <w:b/>
          <w:bCs/>
          <w:color w:val="000000" w:themeColor="text1"/>
        </w:rPr>
        <w:t>1d</w:t>
      </w:r>
    </w:p>
    <w:p w14:paraId="5B0F813E" w14:textId="77777777" w:rsidR="00B0005F" w:rsidRPr="008A2411" w:rsidRDefault="00000000">
      <w:pPr>
        <w:pStyle w:val="affffff5"/>
        <w:rPr>
          <w:rFonts w:ascii="Times New Roman" w:hAnsi="Times New Roman"/>
          <w:b/>
          <w:bCs/>
          <w:color w:val="000000" w:themeColor="text1"/>
        </w:rPr>
      </w:pPr>
      <w:r w:rsidRPr="008A2411">
        <w:rPr>
          <w:rFonts w:ascii="Times New Roman" w:hAnsi="Times New Roman"/>
          <w:noProof/>
          <w:color w:val="000000" w:themeColor="text1"/>
        </w:rPr>
        <w:lastRenderedPageBreak/>
        <w:drawing>
          <wp:inline distT="0" distB="0" distL="0" distR="0" wp14:anchorId="5A51AEFC" wp14:editId="0AB2F1E3">
            <wp:extent cx="5278120" cy="2663190"/>
            <wp:effectExtent l="0" t="0" r="10160" b="3810"/>
            <wp:docPr id="7185" name="图片 71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85" name="图片 7185"/>
                    <pic:cNvPicPr>
                      <a:picLocks noChangeAspect="1"/>
                    </pic:cNvPicPr>
                  </pic:nvPicPr>
                  <pic:blipFill>
                    <a:blip r:embed="rId75">
                      <a:extLst>
                        <a:ext uri="{28A0092B-C50C-407E-A947-70E740481C1C}">
                          <a14:useLocalDpi xmlns:a14="http://schemas.microsoft.com/office/drawing/2010/main" val="0"/>
                        </a:ext>
                      </a:extLst>
                    </a:blip>
                    <a:stretch>
                      <a:fillRect/>
                    </a:stretch>
                  </pic:blipFill>
                  <pic:spPr>
                    <a:xfrm>
                      <a:off x="0" y="0"/>
                      <a:ext cx="5278120" cy="2663190"/>
                    </a:xfrm>
                    <a:prstGeom prst="rect">
                      <a:avLst/>
                    </a:prstGeom>
                  </pic:spPr>
                </pic:pic>
              </a:graphicData>
            </a:graphic>
          </wp:inline>
        </w:drawing>
      </w:r>
    </w:p>
    <w:p w14:paraId="7CDE06FB" w14:textId="77777777" w:rsidR="00B0005F" w:rsidRPr="008A2411" w:rsidRDefault="00000000">
      <w:pPr>
        <w:pStyle w:val="affffff5"/>
        <w:jc w:val="center"/>
        <w:rPr>
          <w:rFonts w:ascii="Times New Roman" w:hAnsi="Times New Roman"/>
          <w:b/>
          <w:bCs/>
          <w:color w:val="000000" w:themeColor="text1"/>
        </w:rPr>
      </w:pPr>
      <w:r w:rsidRPr="008A2411">
        <w:rPr>
          <w:rFonts w:ascii="Times New Roman" w:hAnsi="Times New Roman"/>
          <w:b/>
          <w:bCs/>
          <w:color w:val="000000" w:themeColor="text1"/>
        </w:rPr>
        <w:t>60d</w:t>
      </w:r>
    </w:p>
    <w:p w14:paraId="6CBEB4C1" w14:textId="77777777" w:rsidR="00B0005F" w:rsidRPr="008A2411" w:rsidRDefault="00000000">
      <w:pPr>
        <w:pStyle w:val="affffff5"/>
        <w:rPr>
          <w:rFonts w:ascii="Times New Roman" w:hAnsi="Times New Roman"/>
          <w:b/>
          <w:bCs/>
          <w:color w:val="000000" w:themeColor="text1"/>
        </w:rPr>
      </w:pPr>
      <w:r w:rsidRPr="008A2411">
        <w:rPr>
          <w:rFonts w:ascii="Times New Roman" w:hAnsi="Times New Roman"/>
          <w:noProof/>
          <w:color w:val="000000" w:themeColor="text1"/>
        </w:rPr>
        <w:drawing>
          <wp:inline distT="0" distB="0" distL="0" distR="0" wp14:anchorId="0DF63A01" wp14:editId="3A1BF61B">
            <wp:extent cx="5278120" cy="2663190"/>
            <wp:effectExtent l="0" t="0" r="10160" b="3810"/>
            <wp:docPr id="7186" name="图片 7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86" name="图片 7186"/>
                    <pic:cNvPicPr>
                      <a:picLocks noChangeAspect="1"/>
                    </pic:cNvPicPr>
                  </pic:nvPicPr>
                  <pic:blipFill>
                    <a:blip r:embed="rId76">
                      <a:extLst>
                        <a:ext uri="{28A0092B-C50C-407E-A947-70E740481C1C}">
                          <a14:useLocalDpi xmlns:a14="http://schemas.microsoft.com/office/drawing/2010/main" val="0"/>
                        </a:ext>
                      </a:extLst>
                    </a:blip>
                    <a:stretch>
                      <a:fillRect/>
                    </a:stretch>
                  </pic:blipFill>
                  <pic:spPr>
                    <a:xfrm>
                      <a:off x="0" y="0"/>
                      <a:ext cx="5278120" cy="2663190"/>
                    </a:xfrm>
                    <a:prstGeom prst="rect">
                      <a:avLst/>
                    </a:prstGeom>
                  </pic:spPr>
                </pic:pic>
              </a:graphicData>
            </a:graphic>
          </wp:inline>
        </w:drawing>
      </w:r>
    </w:p>
    <w:p w14:paraId="6B294DC4" w14:textId="77777777" w:rsidR="00B0005F" w:rsidRPr="008A2411" w:rsidRDefault="00000000">
      <w:pPr>
        <w:pStyle w:val="affffff5"/>
        <w:jc w:val="center"/>
        <w:rPr>
          <w:rFonts w:ascii="Times New Roman" w:hAnsi="Times New Roman"/>
          <w:b/>
          <w:bCs/>
          <w:color w:val="000000" w:themeColor="text1"/>
        </w:rPr>
      </w:pPr>
      <w:r w:rsidRPr="008A2411">
        <w:rPr>
          <w:rFonts w:ascii="Times New Roman" w:hAnsi="Times New Roman"/>
          <w:b/>
          <w:bCs/>
          <w:color w:val="000000" w:themeColor="text1"/>
        </w:rPr>
        <w:t>100d</w:t>
      </w:r>
    </w:p>
    <w:p w14:paraId="2A994992" w14:textId="77777777" w:rsidR="00B0005F" w:rsidRPr="008A2411" w:rsidRDefault="00000000">
      <w:pPr>
        <w:pStyle w:val="affffff5"/>
        <w:rPr>
          <w:rFonts w:ascii="Times New Roman" w:hAnsi="Times New Roman"/>
          <w:b/>
          <w:bCs/>
          <w:color w:val="000000" w:themeColor="text1"/>
        </w:rPr>
      </w:pPr>
      <w:r w:rsidRPr="008A2411">
        <w:rPr>
          <w:rFonts w:ascii="Times New Roman" w:hAnsi="Times New Roman"/>
          <w:noProof/>
          <w:color w:val="000000" w:themeColor="text1"/>
        </w:rPr>
        <w:drawing>
          <wp:inline distT="0" distB="0" distL="0" distR="0" wp14:anchorId="5DBD370F" wp14:editId="3EF61EB4">
            <wp:extent cx="5278120" cy="2663190"/>
            <wp:effectExtent l="0" t="0" r="10160" b="3810"/>
            <wp:docPr id="7187" name="图片 71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87" name="图片 7187"/>
                    <pic:cNvPicPr>
                      <a:picLocks noChangeAspect="1"/>
                    </pic:cNvPicPr>
                  </pic:nvPicPr>
                  <pic:blipFill>
                    <a:blip r:embed="rId77">
                      <a:extLst>
                        <a:ext uri="{28A0092B-C50C-407E-A947-70E740481C1C}">
                          <a14:useLocalDpi xmlns:a14="http://schemas.microsoft.com/office/drawing/2010/main" val="0"/>
                        </a:ext>
                      </a:extLst>
                    </a:blip>
                    <a:stretch>
                      <a:fillRect/>
                    </a:stretch>
                  </pic:blipFill>
                  <pic:spPr>
                    <a:xfrm>
                      <a:off x="0" y="0"/>
                      <a:ext cx="5278120" cy="2663190"/>
                    </a:xfrm>
                    <a:prstGeom prst="rect">
                      <a:avLst/>
                    </a:prstGeom>
                  </pic:spPr>
                </pic:pic>
              </a:graphicData>
            </a:graphic>
          </wp:inline>
        </w:drawing>
      </w:r>
    </w:p>
    <w:p w14:paraId="55A83922" w14:textId="77777777" w:rsidR="00B0005F" w:rsidRPr="008A2411" w:rsidRDefault="00000000">
      <w:pPr>
        <w:pStyle w:val="affffff5"/>
        <w:jc w:val="center"/>
        <w:rPr>
          <w:rFonts w:ascii="Times New Roman" w:hAnsi="Times New Roman"/>
          <w:b/>
          <w:bCs/>
          <w:color w:val="000000" w:themeColor="text1"/>
        </w:rPr>
      </w:pPr>
      <w:r w:rsidRPr="008A2411">
        <w:rPr>
          <w:rFonts w:ascii="Times New Roman" w:hAnsi="Times New Roman"/>
          <w:b/>
          <w:bCs/>
          <w:color w:val="000000" w:themeColor="text1"/>
          <w:lang w:eastAsia="zh-CN"/>
        </w:rPr>
        <w:t>1000</w:t>
      </w:r>
      <w:r w:rsidRPr="008A2411">
        <w:rPr>
          <w:rFonts w:ascii="Times New Roman" w:hAnsi="Times New Roman"/>
          <w:b/>
          <w:bCs/>
          <w:color w:val="000000" w:themeColor="text1"/>
        </w:rPr>
        <w:t>d</w:t>
      </w:r>
    </w:p>
    <w:p w14:paraId="31A4B80D" w14:textId="77777777" w:rsidR="00B0005F" w:rsidRPr="008A2411" w:rsidRDefault="00B0005F">
      <w:pPr>
        <w:pStyle w:val="affffff5"/>
        <w:rPr>
          <w:rFonts w:ascii="Times New Roman" w:hAnsi="Times New Roman"/>
          <w:b/>
          <w:bCs/>
          <w:color w:val="000000" w:themeColor="text1"/>
        </w:rPr>
      </w:pPr>
    </w:p>
    <w:p w14:paraId="17359761" w14:textId="77777777" w:rsidR="00B0005F" w:rsidRPr="008A2411" w:rsidRDefault="00000000">
      <w:pPr>
        <w:pStyle w:val="affffff5"/>
        <w:jc w:val="center"/>
        <w:rPr>
          <w:rFonts w:ascii="Times New Roman" w:hAnsi="Times New Roman"/>
          <w:b/>
          <w:bCs/>
          <w:color w:val="000000" w:themeColor="text1"/>
          <w:lang w:eastAsia="zh-CN"/>
        </w:rPr>
      </w:pPr>
      <w:r w:rsidRPr="008A2411">
        <w:rPr>
          <w:rFonts w:ascii="Times New Roman" w:hAnsi="Times New Roman"/>
          <w:noProof/>
          <w:color w:val="000000" w:themeColor="text1"/>
        </w:rPr>
        <w:lastRenderedPageBreak/>
        <w:drawing>
          <wp:inline distT="0" distB="0" distL="0" distR="0" wp14:anchorId="0304BA95" wp14:editId="67769BC7">
            <wp:extent cx="5203825" cy="2625725"/>
            <wp:effectExtent l="0" t="0" r="8255" b="10795"/>
            <wp:docPr id="7188" name="图片 7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88" name="图片 7188"/>
                    <pic:cNvPicPr>
                      <a:picLocks noChangeAspect="1"/>
                    </pic:cNvPicPr>
                  </pic:nvPicPr>
                  <pic:blipFill>
                    <a:blip r:embed="rId78">
                      <a:extLst>
                        <a:ext uri="{28A0092B-C50C-407E-A947-70E740481C1C}">
                          <a14:useLocalDpi xmlns:a14="http://schemas.microsoft.com/office/drawing/2010/main" val="0"/>
                        </a:ext>
                      </a:extLst>
                    </a:blip>
                    <a:stretch>
                      <a:fillRect/>
                    </a:stretch>
                  </pic:blipFill>
                  <pic:spPr>
                    <a:xfrm>
                      <a:off x="0" y="0"/>
                      <a:ext cx="5203825" cy="2625725"/>
                    </a:xfrm>
                    <a:prstGeom prst="rect">
                      <a:avLst/>
                    </a:prstGeom>
                  </pic:spPr>
                </pic:pic>
              </a:graphicData>
            </a:graphic>
          </wp:inline>
        </w:drawing>
      </w:r>
      <w:r w:rsidRPr="008A2411">
        <w:rPr>
          <w:rFonts w:ascii="Times New Roman" w:hAnsi="Times New Roman"/>
          <w:b/>
          <w:bCs/>
          <w:color w:val="000000" w:themeColor="text1"/>
          <w:lang w:eastAsia="zh-CN"/>
        </w:rPr>
        <w:t>7300d</w:t>
      </w:r>
    </w:p>
    <w:p w14:paraId="7DFD10BE" w14:textId="77777777" w:rsidR="00B0005F" w:rsidRPr="008A2411" w:rsidRDefault="00000000">
      <w:pPr>
        <w:pStyle w:val="affffff5"/>
        <w:jc w:val="center"/>
        <w:rPr>
          <w:rFonts w:ascii="Times New Roman" w:hAnsi="Times New Roman"/>
          <w:color w:val="000000" w:themeColor="text1"/>
          <w:lang w:eastAsia="zh-CN"/>
        </w:rPr>
      </w:pPr>
      <w:r w:rsidRPr="008A2411">
        <w:rPr>
          <w:rFonts w:ascii="Times New Roman" w:hAnsi="Times New Roman"/>
          <w:noProof/>
          <w:color w:val="000000" w:themeColor="text1"/>
        </w:rPr>
        <w:drawing>
          <wp:inline distT="0" distB="0" distL="0" distR="0" wp14:anchorId="4C42FD3B" wp14:editId="40F9AC68">
            <wp:extent cx="5102860" cy="2574925"/>
            <wp:effectExtent l="0" t="0" r="2540" b="635"/>
            <wp:docPr id="7190" name="图片 7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90" name="图片 7190"/>
                    <pic:cNvPicPr>
                      <a:picLocks noChangeAspect="1"/>
                    </pic:cNvPicPr>
                  </pic:nvPicPr>
                  <pic:blipFill>
                    <a:blip r:embed="rId79">
                      <a:extLst>
                        <a:ext uri="{28A0092B-C50C-407E-A947-70E740481C1C}">
                          <a14:useLocalDpi xmlns:a14="http://schemas.microsoft.com/office/drawing/2010/main" val="0"/>
                        </a:ext>
                      </a:extLst>
                    </a:blip>
                    <a:stretch>
                      <a:fillRect/>
                    </a:stretch>
                  </pic:blipFill>
                  <pic:spPr>
                    <a:xfrm>
                      <a:off x="0" y="0"/>
                      <a:ext cx="5102860" cy="2574925"/>
                    </a:xfrm>
                    <a:prstGeom prst="rect">
                      <a:avLst/>
                    </a:prstGeom>
                  </pic:spPr>
                </pic:pic>
              </a:graphicData>
            </a:graphic>
          </wp:inline>
        </w:drawing>
      </w:r>
    </w:p>
    <w:p w14:paraId="7078452D" w14:textId="77777777" w:rsidR="00B0005F" w:rsidRPr="008A2411" w:rsidRDefault="00000000">
      <w:pPr>
        <w:pStyle w:val="affffff5"/>
        <w:jc w:val="center"/>
        <w:rPr>
          <w:rFonts w:ascii="Times New Roman" w:hAnsi="Times New Roman"/>
          <w:b/>
          <w:bCs/>
          <w:color w:val="000000" w:themeColor="text1"/>
          <w:lang w:eastAsia="zh-CN"/>
        </w:rPr>
      </w:pPr>
      <w:r w:rsidRPr="008A2411">
        <w:rPr>
          <w:rFonts w:ascii="Times New Roman" w:hAnsi="Times New Roman"/>
          <w:b/>
          <w:bCs/>
          <w:color w:val="000000" w:themeColor="text1"/>
          <w:lang w:eastAsia="zh-CN"/>
        </w:rPr>
        <w:t>10950d</w:t>
      </w:r>
    </w:p>
    <w:p w14:paraId="5102CECD" w14:textId="77777777" w:rsidR="00B0005F" w:rsidRPr="008A2411" w:rsidRDefault="00000000">
      <w:pPr>
        <w:pStyle w:val="affffff5"/>
        <w:jc w:val="center"/>
        <w:rPr>
          <w:rFonts w:ascii="Times New Roman" w:hAnsi="Times New Roman"/>
          <w:b/>
          <w:bCs/>
          <w:color w:val="000000" w:themeColor="text1"/>
          <w:lang w:eastAsia="zh-CN"/>
        </w:rPr>
      </w:pPr>
      <w:r w:rsidRPr="008A2411">
        <w:rPr>
          <w:rFonts w:ascii="Times New Roman" w:hAnsi="Times New Roman"/>
          <w:noProof/>
          <w:color w:val="000000" w:themeColor="text1"/>
        </w:rPr>
        <w:drawing>
          <wp:inline distT="0" distB="0" distL="0" distR="0" wp14:anchorId="4557E1CE" wp14:editId="577E7560">
            <wp:extent cx="5049520" cy="2547620"/>
            <wp:effectExtent l="0" t="0" r="10160" b="12700"/>
            <wp:docPr id="7191" name="图片 71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91" name="图片 7191"/>
                    <pic:cNvPicPr>
                      <a:picLocks noChangeAspect="1"/>
                    </pic:cNvPicPr>
                  </pic:nvPicPr>
                  <pic:blipFill>
                    <a:blip r:embed="rId80">
                      <a:extLst>
                        <a:ext uri="{28A0092B-C50C-407E-A947-70E740481C1C}">
                          <a14:useLocalDpi xmlns:a14="http://schemas.microsoft.com/office/drawing/2010/main" val="0"/>
                        </a:ext>
                      </a:extLst>
                    </a:blip>
                    <a:stretch>
                      <a:fillRect/>
                    </a:stretch>
                  </pic:blipFill>
                  <pic:spPr>
                    <a:xfrm>
                      <a:off x="0" y="0"/>
                      <a:ext cx="5049520" cy="2547620"/>
                    </a:xfrm>
                    <a:prstGeom prst="rect">
                      <a:avLst/>
                    </a:prstGeom>
                  </pic:spPr>
                </pic:pic>
              </a:graphicData>
            </a:graphic>
          </wp:inline>
        </w:drawing>
      </w:r>
    </w:p>
    <w:p w14:paraId="73C46743" w14:textId="77777777" w:rsidR="00B0005F" w:rsidRPr="008A2411" w:rsidRDefault="00000000">
      <w:pPr>
        <w:pStyle w:val="affffff5"/>
        <w:jc w:val="center"/>
        <w:rPr>
          <w:rFonts w:ascii="Times New Roman" w:hAnsi="Times New Roman"/>
          <w:b/>
          <w:bCs/>
          <w:color w:val="000000" w:themeColor="text1"/>
          <w:lang w:eastAsia="zh-CN"/>
        </w:rPr>
      </w:pPr>
      <w:r w:rsidRPr="008A2411">
        <w:rPr>
          <w:rFonts w:ascii="Times New Roman" w:hAnsi="Times New Roman"/>
          <w:b/>
          <w:bCs/>
          <w:color w:val="000000" w:themeColor="text1"/>
          <w:lang w:eastAsia="zh-CN"/>
        </w:rPr>
        <w:t>18250d</w:t>
      </w:r>
    </w:p>
    <w:p w14:paraId="50BA588B" w14:textId="77777777" w:rsidR="00B0005F" w:rsidRPr="008A2411" w:rsidRDefault="00B0005F">
      <w:pPr>
        <w:pStyle w:val="affffff5"/>
        <w:jc w:val="center"/>
        <w:rPr>
          <w:rFonts w:ascii="Times New Roman" w:hAnsi="Times New Roman"/>
          <w:b/>
          <w:bCs/>
          <w:color w:val="000000" w:themeColor="text1"/>
          <w:lang w:eastAsia="zh-CN"/>
        </w:rPr>
      </w:pPr>
    </w:p>
    <w:p w14:paraId="17E3B938" w14:textId="77777777" w:rsidR="00B0005F" w:rsidRPr="008A2411" w:rsidRDefault="00000000">
      <w:pPr>
        <w:pStyle w:val="affffffff7"/>
        <w:spacing w:before="60" w:after="60"/>
        <w:rPr>
          <w:color w:val="000000" w:themeColor="text1"/>
        </w:rPr>
      </w:pPr>
      <w:r w:rsidRPr="008A2411">
        <w:rPr>
          <w:color w:val="000000" w:themeColor="text1"/>
        </w:rPr>
        <w:t>图</w:t>
      </w:r>
      <w:r w:rsidRPr="008A2411">
        <w:rPr>
          <w:color w:val="000000" w:themeColor="text1"/>
        </w:rPr>
        <w:t xml:space="preserve">5.2-13  </w:t>
      </w:r>
      <w:r w:rsidRPr="008A2411">
        <w:rPr>
          <w:color w:val="000000" w:themeColor="text1"/>
        </w:rPr>
        <w:t>非正常状况项目区石油类浓度迁移图（</w:t>
      </w:r>
      <w:r w:rsidRPr="008A2411">
        <w:rPr>
          <w:color w:val="000000" w:themeColor="text1"/>
        </w:rPr>
        <w:t>mg/L</w:t>
      </w:r>
      <w:r w:rsidRPr="008A2411">
        <w:rPr>
          <w:color w:val="000000" w:themeColor="text1"/>
        </w:rPr>
        <w:t>）</w:t>
      </w:r>
    </w:p>
    <w:p w14:paraId="16456254" w14:textId="77777777" w:rsidR="00B0005F" w:rsidRPr="008A2411" w:rsidRDefault="00000000">
      <w:pPr>
        <w:adjustRightInd w:val="0"/>
        <w:spacing w:line="360" w:lineRule="auto"/>
        <w:ind w:firstLine="482"/>
        <w:rPr>
          <w:rFonts w:ascii="Times New Roman"/>
          <w:color w:val="000000" w:themeColor="text1"/>
        </w:rPr>
      </w:pPr>
      <w:r w:rsidRPr="008A2411">
        <w:rPr>
          <w:rFonts w:ascii="Times New Roman"/>
          <w:color w:val="000000" w:themeColor="text1"/>
        </w:rPr>
        <w:lastRenderedPageBreak/>
        <w:t>根据模拟结果，非正常运行状况污染物下渗进入地下水系统后主要由项目区向南顺沟谷迁移。根据工程分析，非正常状况下可能下渗地下水系统污染物共</w:t>
      </w:r>
      <w:r w:rsidRPr="008A2411">
        <w:rPr>
          <w:rFonts w:ascii="Times New Roman"/>
          <w:color w:val="000000" w:themeColor="text1"/>
        </w:rPr>
        <w:t>2</w:t>
      </w:r>
      <w:r w:rsidRPr="008A2411">
        <w:rPr>
          <w:rFonts w:ascii="Times New Roman"/>
          <w:color w:val="000000" w:themeColor="text1"/>
        </w:rPr>
        <w:t>种；包括</w:t>
      </w:r>
      <w:r w:rsidRPr="008A2411">
        <w:rPr>
          <w:rFonts w:ascii="Times New Roman"/>
          <w:color w:val="000000" w:themeColor="text1"/>
        </w:rPr>
        <w:t>COD</w:t>
      </w:r>
      <w:r w:rsidRPr="008A2411">
        <w:rPr>
          <w:rFonts w:ascii="Times New Roman"/>
          <w:color w:val="000000" w:themeColor="text1"/>
          <w:vertAlign w:val="subscript"/>
        </w:rPr>
        <w:t>Mn</w:t>
      </w:r>
      <w:r w:rsidRPr="008A2411">
        <w:rPr>
          <w:rFonts w:ascii="Times New Roman"/>
          <w:color w:val="000000" w:themeColor="text1"/>
        </w:rPr>
        <w:t>、石油类。各类污染物于</w:t>
      </w:r>
      <w:r w:rsidRPr="008A2411">
        <w:rPr>
          <w:rFonts w:ascii="Times New Roman"/>
          <w:color w:val="000000" w:themeColor="text1"/>
        </w:rPr>
        <w:t>1</w:t>
      </w:r>
      <w:r w:rsidRPr="008A2411">
        <w:rPr>
          <w:rFonts w:ascii="Times New Roman"/>
          <w:color w:val="000000" w:themeColor="text1"/>
        </w:rPr>
        <w:t>～</w:t>
      </w:r>
      <w:r w:rsidRPr="008A2411">
        <w:rPr>
          <w:rFonts w:ascii="Times New Roman"/>
          <w:color w:val="000000" w:themeColor="text1"/>
        </w:rPr>
        <w:t>60d</w:t>
      </w:r>
      <w:r w:rsidRPr="008A2411">
        <w:rPr>
          <w:rFonts w:ascii="Times New Roman"/>
          <w:color w:val="000000" w:themeColor="text1"/>
        </w:rPr>
        <w:t>持续注入，相对于</w:t>
      </w:r>
      <w:r w:rsidRPr="008A2411">
        <w:rPr>
          <w:rFonts w:ascii="Times New Roman"/>
          <w:color w:val="000000" w:themeColor="text1"/>
        </w:rPr>
        <w:t>50a</w:t>
      </w:r>
      <w:r w:rsidRPr="008A2411">
        <w:rPr>
          <w:rFonts w:ascii="Times New Roman"/>
          <w:color w:val="000000" w:themeColor="text1"/>
        </w:rPr>
        <w:t>的模型预测时长，</w:t>
      </w:r>
      <w:proofErr w:type="gramStart"/>
      <w:r w:rsidRPr="008A2411">
        <w:rPr>
          <w:rFonts w:ascii="Times New Roman"/>
          <w:color w:val="000000" w:themeColor="text1"/>
        </w:rPr>
        <w:t>该源强</w:t>
      </w:r>
      <w:proofErr w:type="gramEnd"/>
      <w:r w:rsidRPr="008A2411">
        <w:rPr>
          <w:rFonts w:ascii="Times New Roman"/>
          <w:color w:val="000000" w:themeColor="text1"/>
        </w:rPr>
        <w:t>下渗时间较短，与其余污染物均可视为瞬时注入，各污染物在地下水中贡献值分布情况总体均可视为单波特征。</w:t>
      </w:r>
    </w:p>
    <w:p w14:paraId="7ED9E0D7" w14:textId="77777777" w:rsidR="00B0005F" w:rsidRPr="008A2411" w:rsidRDefault="00000000">
      <w:pPr>
        <w:adjustRightInd w:val="0"/>
        <w:spacing w:line="360" w:lineRule="auto"/>
        <w:ind w:firstLine="482"/>
        <w:rPr>
          <w:rFonts w:ascii="Times New Roman"/>
          <w:color w:val="000000" w:themeColor="text1"/>
        </w:rPr>
      </w:pPr>
      <w:r w:rsidRPr="008A2411">
        <w:rPr>
          <w:rFonts w:ascii="Times New Roman"/>
          <w:color w:val="000000" w:themeColor="text1"/>
        </w:rPr>
        <w:t>本项目区地下水主径流方向为北西～南东向，而在模型</w:t>
      </w:r>
      <w:proofErr w:type="gramStart"/>
      <w:r w:rsidRPr="008A2411">
        <w:rPr>
          <w:rFonts w:ascii="Times New Roman"/>
          <w:color w:val="000000" w:themeColor="text1"/>
        </w:rPr>
        <w:t>区域受微地貌</w:t>
      </w:r>
      <w:proofErr w:type="gramEnd"/>
      <w:r w:rsidRPr="008A2411">
        <w:rPr>
          <w:rFonts w:ascii="Times New Roman"/>
          <w:color w:val="000000" w:themeColor="text1"/>
        </w:rPr>
        <w:t>控制，污染羽主要向南侧河流迁移，本次在模型中对厂区边界、南东侧下游</w:t>
      </w:r>
      <w:r w:rsidRPr="008A2411">
        <w:rPr>
          <w:rFonts w:ascii="Times New Roman"/>
          <w:color w:val="000000" w:themeColor="text1"/>
        </w:rPr>
        <w:t>50m</w:t>
      </w:r>
      <w:r w:rsidRPr="008A2411">
        <w:rPr>
          <w:rFonts w:ascii="Times New Roman"/>
          <w:color w:val="000000" w:themeColor="text1"/>
        </w:rPr>
        <w:t>、</w:t>
      </w:r>
      <w:r w:rsidRPr="008A2411">
        <w:rPr>
          <w:rFonts w:ascii="Times New Roman"/>
          <w:color w:val="000000" w:themeColor="text1"/>
        </w:rPr>
        <w:t>100m</w:t>
      </w:r>
      <w:r w:rsidRPr="008A2411">
        <w:rPr>
          <w:rFonts w:ascii="Times New Roman"/>
          <w:color w:val="000000" w:themeColor="text1"/>
        </w:rPr>
        <w:t>、</w:t>
      </w:r>
      <w:r w:rsidRPr="008A2411">
        <w:rPr>
          <w:rFonts w:ascii="Times New Roman"/>
          <w:color w:val="000000" w:themeColor="text1"/>
        </w:rPr>
        <w:t>145m</w:t>
      </w:r>
      <w:proofErr w:type="gramStart"/>
      <w:r w:rsidRPr="008A2411">
        <w:rPr>
          <w:rFonts w:ascii="Times New Roman"/>
          <w:color w:val="000000" w:themeColor="text1"/>
        </w:rPr>
        <w:t>墩子河</w:t>
      </w:r>
      <w:proofErr w:type="gramEnd"/>
      <w:r w:rsidRPr="008A2411">
        <w:rPr>
          <w:rFonts w:ascii="Times New Roman"/>
          <w:color w:val="000000" w:themeColor="text1"/>
        </w:rPr>
        <w:t>支流附近及下游民井污染物贡献值进行了观测，观测结果见表</w:t>
      </w:r>
      <w:r w:rsidRPr="008A2411">
        <w:rPr>
          <w:rFonts w:ascii="Times New Roman"/>
          <w:color w:val="000000" w:themeColor="text1"/>
        </w:rPr>
        <w:t>5.2-33</w:t>
      </w:r>
      <w:r w:rsidRPr="008A2411">
        <w:rPr>
          <w:rFonts w:ascii="Times New Roman"/>
          <w:color w:val="000000" w:themeColor="text1"/>
        </w:rPr>
        <w:t>～</w:t>
      </w:r>
      <w:r w:rsidRPr="008A2411">
        <w:rPr>
          <w:rFonts w:ascii="Times New Roman"/>
          <w:color w:val="000000" w:themeColor="text1"/>
        </w:rPr>
        <w:t>5.2-34</w:t>
      </w:r>
      <w:r w:rsidRPr="008A2411">
        <w:rPr>
          <w:rFonts w:ascii="Times New Roman"/>
          <w:color w:val="000000" w:themeColor="text1"/>
        </w:rPr>
        <w:t>。</w:t>
      </w:r>
    </w:p>
    <w:p w14:paraId="07939E61" w14:textId="77777777" w:rsidR="00B0005F" w:rsidRPr="008A2411" w:rsidRDefault="00000000">
      <w:pPr>
        <w:pStyle w:val="affffffff7"/>
        <w:spacing w:before="60" w:after="60"/>
        <w:rPr>
          <w:color w:val="000000" w:themeColor="text1"/>
        </w:rPr>
      </w:pPr>
      <w:r w:rsidRPr="008A2411">
        <w:rPr>
          <w:color w:val="000000" w:themeColor="text1"/>
        </w:rPr>
        <w:t>表</w:t>
      </w:r>
      <w:r w:rsidRPr="008A2411">
        <w:rPr>
          <w:color w:val="000000" w:themeColor="text1"/>
        </w:rPr>
        <w:t xml:space="preserve">5.2-33  </w:t>
      </w:r>
      <w:r w:rsidRPr="008A2411">
        <w:rPr>
          <w:color w:val="000000" w:themeColor="text1"/>
        </w:rPr>
        <w:t>非正常状况</w:t>
      </w:r>
      <w:proofErr w:type="gramStart"/>
      <w:r w:rsidRPr="008A2411">
        <w:rPr>
          <w:color w:val="000000" w:themeColor="text1"/>
        </w:rPr>
        <w:t>下项目</w:t>
      </w:r>
      <w:proofErr w:type="gramEnd"/>
      <w:r w:rsidRPr="008A2411">
        <w:rPr>
          <w:color w:val="000000" w:themeColor="text1"/>
        </w:rPr>
        <w:t>厂区及厂区边界各污染物最大贡献值（单位</w:t>
      </w:r>
      <w:r w:rsidRPr="008A2411">
        <w:rPr>
          <w:color w:val="000000" w:themeColor="text1"/>
        </w:rPr>
        <w:t>mg/L</w:t>
      </w:r>
      <w:r w:rsidRPr="008A2411">
        <w:rPr>
          <w:color w:val="000000" w:themeColor="text1"/>
        </w:rPr>
        <w:t>）</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bottom w:w="15" w:type="dxa"/>
        </w:tblCellMar>
        <w:tblLook w:val="04A0" w:firstRow="1" w:lastRow="0" w:firstColumn="1" w:lastColumn="0" w:noHBand="0" w:noVBand="1"/>
      </w:tblPr>
      <w:tblGrid>
        <w:gridCol w:w="4370"/>
        <w:gridCol w:w="2185"/>
        <w:gridCol w:w="1967"/>
      </w:tblGrid>
      <w:tr w:rsidR="008A2411" w:rsidRPr="008A2411" w14:paraId="645F9515" w14:textId="77777777">
        <w:trPr>
          <w:trHeight w:val="333"/>
          <w:jc w:val="center"/>
        </w:trPr>
        <w:tc>
          <w:tcPr>
            <w:tcW w:w="2564" w:type="pct"/>
            <w:vAlign w:val="center"/>
          </w:tcPr>
          <w:p w14:paraId="452FB5E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污染物名称</w:t>
            </w:r>
          </w:p>
        </w:tc>
        <w:tc>
          <w:tcPr>
            <w:tcW w:w="1282" w:type="pct"/>
            <w:vAlign w:val="center"/>
          </w:tcPr>
          <w:p w14:paraId="5261F70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COD</w:t>
            </w:r>
            <w:r w:rsidRPr="008A2411">
              <w:rPr>
                <w:rFonts w:ascii="Times New Roman"/>
                <w:color w:val="000000" w:themeColor="text1"/>
                <w:vertAlign w:val="subscript"/>
              </w:rPr>
              <w:t>Mn</w:t>
            </w:r>
          </w:p>
        </w:tc>
        <w:tc>
          <w:tcPr>
            <w:tcW w:w="1155" w:type="pct"/>
            <w:vAlign w:val="center"/>
          </w:tcPr>
          <w:p w14:paraId="134F4D9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石油类</w:t>
            </w:r>
          </w:p>
        </w:tc>
      </w:tr>
      <w:tr w:rsidR="008A2411" w:rsidRPr="008A2411" w14:paraId="743BEBBB" w14:textId="77777777">
        <w:trPr>
          <w:trHeight w:val="333"/>
          <w:jc w:val="center"/>
        </w:trPr>
        <w:tc>
          <w:tcPr>
            <w:tcW w:w="2564" w:type="pct"/>
            <w:vAlign w:val="center"/>
          </w:tcPr>
          <w:p w14:paraId="41E7259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厂区最大贡献值（</w:t>
            </w:r>
            <w:r w:rsidRPr="008A2411">
              <w:rPr>
                <w:rFonts w:ascii="Times New Roman"/>
                <w:color w:val="000000" w:themeColor="text1"/>
              </w:rPr>
              <w:t>mg/L</w:t>
            </w:r>
            <w:r w:rsidRPr="008A2411">
              <w:rPr>
                <w:rFonts w:ascii="Times New Roman"/>
                <w:color w:val="000000" w:themeColor="text1"/>
              </w:rPr>
              <w:t>）及来源</w:t>
            </w:r>
          </w:p>
        </w:tc>
        <w:tc>
          <w:tcPr>
            <w:tcW w:w="1282" w:type="pct"/>
            <w:vAlign w:val="center"/>
          </w:tcPr>
          <w:p w14:paraId="5B98E47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5.328</w:t>
            </w:r>
          </w:p>
        </w:tc>
        <w:tc>
          <w:tcPr>
            <w:tcW w:w="1155" w:type="pct"/>
          </w:tcPr>
          <w:p w14:paraId="1381C3A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2.283</w:t>
            </w:r>
          </w:p>
        </w:tc>
      </w:tr>
      <w:tr w:rsidR="00B0005F" w:rsidRPr="008A2411" w14:paraId="675B37E9" w14:textId="77777777">
        <w:trPr>
          <w:trHeight w:val="333"/>
          <w:jc w:val="center"/>
        </w:trPr>
        <w:tc>
          <w:tcPr>
            <w:tcW w:w="2564" w:type="pct"/>
            <w:vAlign w:val="center"/>
          </w:tcPr>
          <w:p w14:paraId="39CF4DC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厂区边界最大贡献值（</w:t>
            </w:r>
            <w:r w:rsidRPr="008A2411">
              <w:rPr>
                <w:rFonts w:ascii="Times New Roman"/>
                <w:color w:val="000000" w:themeColor="text1"/>
              </w:rPr>
              <w:t>mg/L</w:t>
            </w:r>
            <w:r w:rsidRPr="008A2411">
              <w:rPr>
                <w:rFonts w:ascii="Times New Roman"/>
                <w:color w:val="000000" w:themeColor="text1"/>
              </w:rPr>
              <w:t>）</w:t>
            </w:r>
          </w:p>
        </w:tc>
        <w:tc>
          <w:tcPr>
            <w:tcW w:w="1282" w:type="pct"/>
            <w:vAlign w:val="center"/>
          </w:tcPr>
          <w:p w14:paraId="60E6E9C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0.481</w:t>
            </w:r>
          </w:p>
        </w:tc>
        <w:tc>
          <w:tcPr>
            <w:tcW w:w="1155" w:type="pct"/>
          </w:tcPr>
          <w:p w14:paraId="15A49E5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0.205</w:t>
            </w:r>
          </w:p>
        </w:tc>
      </w:tr>
    </w:tbl>
    <w:p w14:paraId="317CCA59" w14:textId="77777777" w:rsidR="00B0005F" w:rsidRPr="008A2411" w:rsidRDefault="00B0005F">
      <w:pPr>
        <w:pStyle w:val="TOC2"/>
        <w:rPr>
          <w:rFonts w:ascii="Times New Roman" w:hAnsi="Times New Roman" w:cs="Times New Roman"/>
          <w:color w:val="000000" w:themeColor="text1"/>
        </w:rPr>
      </w:pPr>
    </w:p>
    <w:p w14:paraId="1B6B96F8" w14:textId="77777777" w:rsidR="00B0005F" w:rsidRPr="008A2411" w:rsidRDefault="00000000">
      <w:pPr>
        <w:adjustRightInd w:val="0"/>
        <w:snapToGrid w:val="0"/>
        <w:spacing w:line="360" w:lineRule="auto"/>
        <w:ind w:firstLineChars="200" w:firstLine="480"/>
        <w:rPr>
          <w:rFonts w:ascii="Times New Roman"/>
          <w:color w:val="000000" w:themeColor="text1"/>
          <w:szCs w:val="24"/>
        </w:rPr>
      </w:pPr>
      <w:r w:rsidRPr="008A2411">
        <w:rPr>
          <w:rFonts w:ascii="Times New Roman"/>
          <w:color w:val="000000" w:themeColor="text1"/>
          <w:szCs w:val="24"/>
        </w:rPr>
        <w:t>非正常状况下，厂区</w:t>
      </w:r>
      <w:r w:rsidRPr="008A2411">
        <w:rPr>
          <w:rFonts w:ascii="Times New Roman"/>
          <w:color w:val="000000" w:themeColor="text1"/>
          <w:szCs w:val="24"/>
        </w:rPr>
        <w:t>COD</w:t>
      </w:r>
      <w:r w:rsidRPr="008A2411">
        <w:rPr>
          <w:rFonts w:ascii="Times New Roman"/>
          <w:color w:val="000000" w:themeColor="text1"/>
          <w:szCs w:val="24"/>
          <w:vertAlign w:val="subscript"/>
        </w:rPr>
        <w:t>Mn</w:t>
      </w:r>
      <w:r w:rsidRPr="008A2411">
        <w:rPr>
          <w:rFonts w:ascii="Times New Roman"/>
          <w:color w:val="000000" w:themeColor="text1"/>
          <w:szCs w:val="24"/>
        </w:rPr>
        <w:t>主要污染来源于原料气净化脱酸单元和污水处理站，最大污染贡献值为</w:t>
      </w:r>
      <w:r w:rsidRPr="008A2411">
        <w:rPr>
          <w:rFonts w:ascii="Times New Roman"/>
          <w:color w:val="000000" w:themeColor="text1"/>
          <w:szCs w:val="24"/>
        </w:rPr>
        <w:t>5.328 mg/L</w:t>
      </w:r>
      <w:r w:rsidRPr="008A2411">
        <w:rPr>
          <w:rFonts w:ascii="Times New Roman"/>
          <w:color w:val="000000" w:themeColor="text1"/>
          <w:szCs w:val="24"/>
        </w:rPr>
        <w:t>；石油类主要来源于导热油系统导热油炉区和污水处理站，最大污染贡献值为</w:t>
      </w:r>
      <w:r w:rsidRPr="008A2411">
        <w:rPr>
          <w:rFonts w:ascii="Times New Roman"/>
          <w:color w:val="000000" w:themeColor="text1"/>
          <w:szCs w:val="24"/>
        </w:rPr>
        <w:t>2.283 mg/L</w:t>
      </w:r>
      <w:r w:rsidRPr="008A2411">
        <w:rPr>
          <w:rFonts w:ascii="Times New Roman"/>
          <w:color w:val="000000" w:themeColor="text1"/>
          <w:szCs w:val="24"/>
        </w:rPr>
        <w:t>。</w:t>
      </w:r>
    </w:p>
    <w:p w14:paraId="098B6B62" w14:textId="77777777" w:rsidR="00B0005F" w:rsidRPr="008A2411" w:rsidRDefault="00000000">
      <w:pPr>
        <w:adjustRightInd w:val="0"/>
        <w:snapToGrid w:val="0"/>
        <w:spacing w:line="360" w:lineRule="auto"/>
        <w:ind w:firstLineChars="200" w:firstLine="480"/>
        <w:rPr>
          <w:rFonts w:ascii="Times New Roman"/>
          <w:color w:val="000000" w:themeColor="text1"/>
          <w:szCs w:val="24"/>
        </w:rPr>
      </w:pPr>
      <w:r w:rsidRPr="008A2411">
        <w:rPr>
          <w:rFonts w:ascii="Times New Roman"/>
          <w:color w:val="000000" w:themeColor="text1"/>
          <w:szCs w:val="24"/>
        </w:rPr>
        <w:t>厂区边界，</w:t>
      </w:r>
      <w:r w:rsidRPr="008A2411">
        <w:rPr>
          <w:rFonts w:ascii="Times New Roman"/>
          <w:color w:val="000000" w:themeColor="text1"/>
          <w:szCs w:val="24"/>
        </w:rPr>
        <w:t>COD</w:t>
      </w:r>
      <w:r w:rsidRPr="008A2411">
        <w:rPr>
          <w:rFonts w:ascii="Times New Roman"/>
          <w:color w:val="000000" w:themeColor="text1"/>
          <w:szCs w:val="24"/>
          <w:vertAlign w:val="subscript"/>
        </w:rPr>
        <w:t>Mn</w:t>
      </w:r>
      <w:r w:rsidRPr="008A2411">
        <w:rPr>
          <w:rFonts w:ascii="Times New Roman"/>
          <w:color w:val="000000" w:themeColor="text1"/>
          <w:szCs w:val="24"/>
        </w:rPr>
        <w:t>及石油类均在非正常状况发生后</w:t>
      </w:r>
      <w:r w:rsidRPr="008A2411">
        <w:rPr>
          <w:rFonts w:ascii="Times New Roman"/>
          <w:color w:val="000000" w:themeColor="text1"/>
          <w:szCs w:val="24"/>
        </w:rPr>
        <w:t>7300d</w:t>
      </w:r>
      <w:r w:rsidRPr="008A2411">
        <w:rPr>
          <w:rFonts w:ascii="Times New Roman"/>
          <w:color w:val="000000" w:themeColor="text1"/>
          <w:szCs w:val="24"/>
        </w:rPr>
        <w:t>达到峰值，两种在厂区边界最大贡献值分别为</w:t>
      </w:r>
      <w:r w:rsidRPr="008A2411">
        <w:rPr>
          <w:rFonts w:ascii="Times New Roman"/>
          <w:color w:val="000000" w:themeColor="text1"/>
          <w:szCs w:val="24"/>
        </w:rPr>
        <w:t>0.481mg/L</w:t>
      </w:r>
      <w:r w:rsidRPr="008A2411">
        <w:rPr>
          <w:rFonts w:ascii="Times New Roman"/>
          <w:color w:val="000000" w:themeColor="text1"/>
          <w:szCs w:val="24"/>
        </w:rPr>
        <w:t>、</w:t>
      </w:r>
      <w:r w:rsidRPr="008A2411">
        <w:rPr>
          <w:rFonts w:ascii="Times New Roman"/>
          <w:color w:val="000000" w:themeColor="text1"/>
          <w:szCs w:val="24"/>
        </w:rPr>
        <w:t>0.205 mg/L</w:t>
      </w:r>
      <w:r w:rsidRPr="008A2411">
        <w:rPr>
          <w:rFonts w:ascii="Times New Roman"/>
          <w:color w:val="000000" w:themeColor="text1"/>
          <w:szCs w:val="24"/>
        </w:rPr>
        <w:t>。</w:t>
      </w:r>
    </w:p>
    <w:p w14:paraId="44A3466C" w14:textId="77777777" w:rsidR="00B0005F" w:rsidRPr="008A2411" w:rsidRDefault="00000000">
      <w:pPr>
        <w:adjustRightInd w:val="0"/>
        <w:snapToGrid w:val="0"/>
        <w:spacing w:line="360" w:lineRule="auto"/>
        <w:ind w:firstLineChars="200" w:firstLine="480"/>
        <w:rPr>
          <w:rFonts w:ascii="Times New Roman"/>
          <w:color w:val="000000" w:themeColor="text1"/>
          <w:szCs w:val="24"/>
        </w:rPr>
      </w:pPr>
      <w:r w:rsidRPr="008A2411">
        <w:rPr>
          <w:rFonts w:ascii="Times New Roman"/>
          <w:color w:val="000000" w:themeColor="text1"/>
          <w:szCs w:val="24"/>
        </w:rPr>
        <w:t>厂区下游</w:t>
      </w:r>
      <w:r w:rsidRPr="008A2411">
        <w:rPr>
          <w:rFonts w:ascii="Times New Roman"/>
          <w:color w:val="000000" w:themeColor="text1"/>
          <w:szCs w:val="24"/>
        </w:rPr>
        <w:t>50m</w:t>
      </w:r>
      <w:r w:rsidRPr="008A2411">
        <w:rPr>
          <w:rFonts w:ascii="Times New Roman"/>
          <w:color w:val="000000" w:themeColor="text1"/>
          <w:szCs w:val="24"/>
        </w:rPr>
        <w:t>，</w:t>
      </w:r>
      <w:r w:rsidRPr="008A2411">
        <w:rPr>
          <w:rFonts w:ascii="Times New Roman"/>
          <w:color w:val="000000" w:themeColor="text1"/>
          <w:szCs w:val="24"/>
        </w:rPr>
        <w:t>COD</w:t>
      </w:r>
      <w:r w:rsidRPr="008A2411">
        <w:rPr>
          <w:rFonts w:ascii="Times New Roman"/>
          <w:color w:val="000000" w:themeColor="text1"/>
          <w:szCs w:val="24"/>
          <w:vertAlign w:val="subscript"/>
        </w:rPr>
        <w:t>Mn</w:t>
      </w:r>
      <w:r w:rsidRPr="008A2411">
        <w:rPr>
          <w:rFonts w:ascii="Times New Roman"/>
          <w:color w:val="000000" w:themeColor="text1"/>
          <w:szCs w:val="24"/>
        </w:rPr>
        <w:t>在非正常状况发生后</w:t>
      </w:r>
      <w:r w:rsidRPr="008A2411">
        <w:rPr>
          <w:rFonts w:ascii="Times New Roman"/>
          <w:color w:val="000000" w:themeColor="text1"/>
          <w:szCs w:val="24"/>
        </w:rPr>
        <w:t>14600d</w:t>
      </w:r>
      <w:r w:rsidRPr="008A2411">
        <w:rPr>
          <w:rFonts w:ascii="Times New Roman"/>
          <w:color w:val="000000" w:themeColor="text1"/>
          <w:szCs w:val="24"/>
        </w:rPr>
        <w:t>达到峰值，石油类在非正常状况发生后</w:t>
      </w:r>
      <w:r w:rsidRPr="008A2411">
        <w:rPr>
          <w:rFonts w:ascii="Times New Roman"/>
          <w:color w:val="000000" w:themeColor="text1"/>
          <w:szCs w:val="24"/>
        </w:rPr>
        <w:t>15171d</w:t>
      </w:r>
      <w:r w:rsidRPr="008A2411">
        <w:rPr>
          <w:rFonts w:ascii="Times New Roman"/>
          <w:color w:val="000000" w:themeColor="text1"/>
          <w:szCs w:val="24"/>
        </w:rPr>
        <w:t>达到峰值，两种污染物在厂区下游</w:t>
      </w:r>
      <w:r w:rsidRPr="008A2411">
        <w:rPr>
          <w:rFonts w:ascii="Times New Roman"/>
          <w:color w:val="000000" w:themeColor="text1"/>
          <w:szCs w:val="24"/>
        </w:rPr>
        <w:t>50m</w:t>
      </w:r>
      <w:r w:rsidRPr="008A2411">
        <w:rPr>
          <w:rFonts w:ascii="Times New Roman"/>
          <w:color w:val="000000" w:themeColor="text1"/>
          <w:szCs w:val="24"/>
        </w:rPr>
        <w:t>最大贡献值分别为</w:t>
      </w:r>
      <w:r w:rsidRPr="008A2411">
        <w:rPr>
          <w:rFonts w:ascii="Times New Roman"/>
          <w:color w:val="000000" w:themeColor="text1"/>
          <w:szCs w:val="24"/>
        </w:rPr>
        <w:t>0.262 mg/L</w:t>
      </w:r>
      <w:r w:rsidRPr="008A2411">
        <w:rPr>
          <w:rFonts w:ascii="Times New Roman"/>
          <w:color w:val="000000" w:themeColor="text1"/>
          <w:szCs w:val="24"/>
        </w:rPr>
        <w:t>、</w:t>
      </w:r>
      <w:r w:rsidRPr="008A2411">
        <w:rPr>
          <w:rFonts w:ascii="Times New Roman"/>
          <w:color w:val="000000" w:themeColor="text1"/>
          <w:szCs w:val="24"/>
        </w:rPr>
        <w:t>0.116 mg/L</w:t>
      </w:r>
      <w:r w:rsidRPr="008A2411">
        <w:rPr>
          <w:rFonts w:ascii="Times New Roman"/>
          <w:color w:val="000000" w:themeColor="text1"/>
          <w:szCs w:val="24"/>
        </w:rPr>
        <w:t>。</w:t>
      </w:r>
    </w:p>
    <w:p w14:paraId="46D18370" w14:textId="77777777" w:rsidR="00B0005F" w:rsidRPr="008A2411" w:rsidRDefault="00000000">
      <w:pPr>
        <w:adjustRightInd w:val="0"/>
        <w:snapToGrid w:val="0"/>
        <w:spacing w:line="360" w:lineRule="auto"/>
        <w:ind w:firstLineChars="200" w:firstLine="480"/>
        <w:rPr>
          <w:rFonts w:ascii="Times New Roman"/>
          <w:color w:val="000000" w:themeColor="text1"/>
          <w:szCs w:val="24"/>
        </w:rPr>
      </w:pPr>
      <w:r w:rsidRPr="008A2411">
        <w:rPr>
          <w:rFonts w:ascii="Times New Roman"/>
          <w:color w:val="000000" w:themeColor="text1"/>
          <w:szCs w:val="24"/>
        </w:rPr>
        <w:t>厂区下游</w:t>
      </w:r>
      <w:r w:rsidRPr="008A2411">
        <w:rPr>
          <w:rFonts w:ascii="Times New Roman"/>
          <w:color w:val="000000" w:themeColor="text1"/>
          <w:szCs w:val="24"/>
        </w:rPr>
        <w:t>100m</w:t>
      </w:r>
      <w:r w:rsidRPr="008A2411">
        <w:rPr>
          <w:rFonts w:ascii="Times New Roman"/>
          <w:color w:val="000000" w:themeColor="text1"/>
          <w:szCs w:val="24"/>
        </w:rPr>
        <w:t>，</w:t>
      </w:r>
      <w:r w:rsidRPr="008A2411">
        <w:rPr>
          <w:rFonts w:ascii="Times New Roman"/>
          <w:color w:val="000000" w:themeColor="text1"/>
          <w:szCs w:val="24"/>
        </w:rPr>
        <w:t>COD</w:t>
      </w:r>
      <w:r w:rsidRPr="008A2411">
        <w:rPr>
          <w:rFonts w:ascii="Times New Roman"/>
          <w:color w:val="000000" w:themeColor="text1"/>
          <w:szCs w:val="24"/>
          <w:vertAlign w:val="subscript"/>
        </w:rPr>
        <w:t>Mn</w:t>
      </w:r>
      <w:r w:rsidRPr="008A2411">
        <w:rPr>
          <w:rFonts w:ascii="Times New Roman"/>
          <w:color w:val="000000" w:themeColor="text1"/>
          <w:szCs w:val="24"/>
        </w:rPr>
        <w:t>、石油类均在预测时段内尚未达到峰值，非正常状况发生后</w:t>
      </w:r>
      <w:r w:rsidRPr="008A2411">
        <w:rPr>
          <w:rFonts w:ascii="Times New Roman"/>
          <w:color w:val="000000" w:themeColor="text1"/>
          <w:szCs w:val="24"/>
        </w:rPr>
        <w:t>18250d</w:t>
      </w:r>
      <w:r w:rsidRPr="008A2411">
        <w:rPr>
          <w:rFonts w:ascii="Times New Roman"/>
          <w:color w:val="000000" w:themeColor="text1"/>
          <w:szCs w:val="24"/>
        </w:rPr>
        <w:t>达到最大值，两种污染物在厂区下游</w:t>
      </w:r>
      <w:r w:rsidRPr="008A2411">
        <w:rPr>
          <w:rFonts w:ascii="Times New Roman"/>
          <w:color w:val="000000" w:themeColor="text1"/>
          <w:szCs w:val="24"/>
        </w:rPr>
        <w:t>100m</w:t>
      </w:r>
      <w:r w:rsidRPr="008A2411">
        <w:rPr>
          <w:rFonts w:ascii="Times New Roman"/>
          <w:color w:val="000000" w:themeColor="text1"/>
          <w:szCs w:val="24"/>
        </w:rPr>
        <w:t>最大贡献值分别为</w:t>
      </w:r>
      <w:r w:rsidRPr="008A2411">
        <w:rPr>
          <w:rFonts w:ascii="Times New Roman"/>
          <w:color w:val="000000" w:themeColor="text1"/>
          <w:szCs w:val="24"/>
        </w:rPr>
        <w:t>0.133 mg/L</w:t>
      </w:r>
      <w:r w:rsidRPr="008A2411">
        <w:rPr>
          <w:rFonts w:ascii="Times New Roman"/>
          <w:color w:val="000000" w:themeColor="text1"/>
          <w:szCs w:val="24"/>
        </w:rPr>
        <w:t>、</w:t>
      </w:r>
      <w:r w:rsidRPr="008A2411">
        <w:rPr>
          <w:rFonts w:ascii="Times New Roman"/>
          <w:color w:val="000000" w:themeColor="text1"/>
          <w:szCs w:val="24"/>
        </w:rPr>
        <w:t>0.060mg/L</w:t>
      </w:r>
      <w:r w:rsidRPr="008A2411">
        <w:rPr>
          <w:rFonts w:ascii="Times New Roman"/>
          <w:color w:val="000000" w:themeColor="text1"/>
          <w:szCs w:val="24"/>
        </w:rPr>
        <w:t>。</w:t>
      </w:r>
    </w:p>
    <w:p w14:paraId="6EAC303C" w14:textId="77777777" w:rsidR="00B0005F" w:rsidRPr="008A2411" w:rsidRDefault="00000000">
      <w:pPr>
        <w:pStyle w:val="TOC2"/>
        <w:adjustRightInd w:val="0"/>
        <w:snapToGrid w:val="0"/>
        <w:spacing w:line="360" w:lineRule="auto"/>
        <w:ind w:firstLineChars="200" w:firstLine="480"/>
        <w:rPr>
          <w:rFonts w:ascii="Times New Roman" w:hAnsi="Times New Roman" w:cs="Times New Roman"/>
          <w:color w:val="000000" w:themeColor="text1"/>
          <w:sz w:val="24"/>
          <w:szCs w:val="24"/>
        </w:rPr>
      </w:pPr>
      <w:r w:rsidRPr="008A2411">
        <w:rPr>
          <w:rFonts w:ascii="Times New Roman" w:hAnsi="Times New Roman" w:cs="Times New Roman"/>
          <w:color w:val="000000" w:themeColor="text1"/>
          <w:sz w:val="24"/>
          <w:szCs w:val="24"/>
        </w:rPr>
        <w:t>厂区下游约</w:t>
      </w:r>
      <w:r w:rsidRPr="008A2411">
        <w:rPr>
          <w:rFonts w:ascii="Times New Roman" w:hAnsi="Times New Roman" w:cs="Times New Roman"/>
          <w:color w:val="000000" w:themeColor="text1"/>
          <w:sz w:val="24"/>
          <w:szCs w:val="24"/>
        </w:rPr>
        <w:t>145m</w:t>
      </w:r>
      <w:r w:rsidRPr="008A2411">
        <w:rPr>
          <w:rFonts w:ascii="Times New Roman" w:hAnsi="Times New Roman" w:cs="Times New Roman"/>
          <w:color w:val="000000" w:themeColor="text1"/>
          <w:sz w:val="24"/>
          <w:szCs w:val="24"/>
        </w:rPr>
        <w:t>河边，</w:t>
      </w:r>
      <w:r w:rsidRPr="008A2411">
        <w:rPr>
          <w:rFonts w:ascii="Times New Roman" w:hAnsi="Times New Roman" w:cs="Times New Roman"/>
          <w:color w:val="000000" w:themeColor="text1"/>
          <w:sz w:val="24"/>
          <w:szCs w:val="24"/>
        </w:rPr>
        <w:t>COD</w:t>
      </w:r>
      <w:r w:rsidRPr="008A2411">
        <w:rPr>
          <w:rFonts w:ascii="Times New Roman" w:hAnsi="Times New Roman" w:cs="Times New Roman"/>
          <w:color w:val="000000" w:themeColor="text1"/>
          <w:sz w:val="24"/>
          <w:szCs w:val="24"/>
          <w:vertAlign w:val="subscript"/>
        </w:rPr>
        <w:t>Mn</w:t>
      </w:r>
      <w:r w:rsidRPr="008A2411">
        <w:rPr>
          <w:rFonts w:ascii="Times New Roman" w:hAnsi="Times New Roman" w:cs="Times New Roman"/>
          <w:color w:val="000000" w:themeColor="text1"/>
          <w:sz w:val="24"/>
          <w:szCs w:val="24"/>
        </w:rPr>
        <w:t>、石油类均在预测时段内尚未达到峰值，预测时段内，两污染物在厂区下游河边最大贡献值分别为</w:t>
      </w:r>
      <w:r w:rsidRPr="008A2411">
        <w:rPr>
          <w:rFonts w:ascii="Times New Roman" w:hAnsi="Times New Roman" w:cs="Times New Roman"/>
          <w:color w:val="000000" w:themeColor="text1"/>
          <w:sz w:val="24"/>
          <w:szCs w:val="24"/>
        </w:rPr>
        <w:t>0.045 mg/L</w:t>
      </w:r>
      <w:r w:rsidRPr="008A2411">
        <w:rPr>
          <w:rFonts w:ascii="Times New Roman" w:hAnsi="Times New Roman" w:cs="Times New Roman"/>
          <w:color w:val="000000" w:themeColor="text1"/>
          <w:sz w:val="24"/>
          <w:szCs w:val="24"/>
        </w:rPr>
        <w:t>、</w:t>
      </w:r>
      <w:r w:rsidRPr="008A2411">
        <w:rPr>
          <w:rFonts w:ascii="Times New Roman" w:hAnsi="Times New Roman" w:cs="Times New Roman"/>
          <w:color w:val="000000" w:themeColor="text1"/>
          <w:sz w:val="24"/>
          <w:szCs w:val="24"/>
        </w:rPr>
        <w:t>0.021 mg/L</w:t>
      </w:r>
    </w:p>
    <w:p w14:paraId="5EC351C0" w14:textId="77777777" w:rsidR="00B0005F" w:rsidRPr="008A2411" w:rsidRDefault="00B0005F">
      <w:pPr>
        <w:adjustRightInd w:val="0"/>
        <w:snapToGrid w:val="0"/>
        <w:spacing w:line="360" w:lineRule="auto"/>
        <w:ind w:firstLineChars="200" w:firstLine="480"/>
        <w:rPr>
          <w:rFonts w:ascii="Times New Roman"/>
          <w:color w:val="000000" w:themeColor="text1"/>
          <w:szCs w:val="24"/>
        </w:rPr>
      </w:pPr>
    </w:p>
    <w:p w14:paraId="5F13E27D" w14:textId="77777777" w:rsidR="00B0005F" w:rsidRPr="008A2411" w:rsidRDefault="00B0005F">
      <w:pPr>
        <w:pStyle w:val="TOC2"/>
        <w:rPr>
          <w:rFonts w:ascii="Times New Roman" w:hAnsi="Times New Roman" w:cs="Times New Roman"/>
          <w:color w:val="000000" w:themeColor="text1"/>
        </w:rPr>
        <w:sectPr w:rsidR="00B0005F" w:rsidRPr="008A2411">
          <w:headerReference w:type="default" r:id="rId81"/>
          <w:footerReference w:type="default" r:id="rId82"/>
          <w:pgSz w:w="11906" w:h="16838"/>
          <w:pgMar w:top="1440" w:right="1800" w:bottom="1440" w:left="1800" w:header="851" w:footer="851" w:gutter="0"/>
          <w:pgNumType w:chapStyle="1"/>
          <w:cols w:space="720"/>
          <w:docGrid w:linePitch="326"/>
        </w:sectPr>
      </w:pPr>
    </w:p>
    <w:p w14:paraId="18E4B70B" w14:textId="77777777" w:rsidR="00B0005F" w:rsidRPr="008A2411" w:rsidRDefault="00000000">
      <w:pPr>
        <w:pStyle w:val="affffffff7"/>
        <w:spacing w:before="60" w:after="60"/>
        <w:rPr>
          <w:color w:val="000000" w:themeColor="text1"/>
        </w:rPr>
      </w:pPr>
      <w:r w:rsidRPr="008A2411">
        <w:rPr>
          <w:color w:val="000000" w:themeColor="text1"/>
        </w:rPr>
        <w:lastRenderedPageBreak/>
        <w:t>表</w:t>
      </w:r>
      <w:r w:rsidRPr="008A2411">
        <w:rPr>
          <w:color w:val="000000" w:themeColor="text1"/>
        </w:rPr>
        <w:t>5.2-33  COD</w:t>
      </w:r>
      <w:r w:rsidRPr="008A2411">
        <w:rPr>
          <w:color w:val="000000" w:themeColor="text1"/>
          <w:vertAlign w:val="subscript"/>
        </w:rPr>
        <w:t>Mn</w:t>
      </w:r>
      <w:r w:rsidRPr="008A2411">
        <w:rPr>
          <w:color w:val="000000" w:themeColor="text1"/>
        </w:rPr>
        <w:t>沿地下水径流方向贡献值随时间变化（单位：</w:t>
      </w:r>
      <w:r w:rsidRPr="008A2411">
        <w:rPr>
          <w:color w:val="000000" w:themeColor="text1"/>
        </w:rPr>
        <w:t>mg/L</w:t>
      </w:r>
      <w:r w:rsidRPr="008A2411">
        <w:rPr>
          <w:color w:val="000000" w:themeColor="text1"/>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3"/>
        <w:gridCol w:w="944"/>
        <w:gridCol w:w="947"/>
        <w:gridCol w:w="944"/>
        <w:gridCol w:w="947"/>
        <w:gridCol w:w="944"/>
        <w:gridCol w:w="947"/>
        <w:gridCol w:w="944"/>
        <w:gridCol w:w="947"/>
        <w:gridCol w:w="944"/>
        <w:gridCol w:w="947"/>
        <w:gridCol w:w="944"/>
        <w:gridCol w:w="947"/>
        <w:gridCol w:w="944"/>
        <w:gridCol w:w="941"/>
      </w:tblGrid>
      <w:tr w:rsidR="008A2411" w:rsidRPr="008A2411" w14:paraId="66E0F85E" w14:textId="77777777" w:rsidTr="008A2411">
        <w:trPr>
          <w:trHeight w:val="270"/>
        </w:trPr>
        <w:tc>
          <w:tcPr>
            <w:tcW w:w="333" w:type="pct"/>
            <w:vMerge w:val="restart"/>
            <w:shd w:val="clear" w:color="auto" w:fill="auto"/>
            <w:vAlign w:val="center"/>
          </w:tcPr>
          <w:p w14:paraId="194EEE7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时间（</w:t>
            </w:r>
            <w:r w:rsidRPr="008A2411">
              <w:rPr>
                <w:rFonts w:ascii="Times New Roman"/>
                <w:color w:val="000000" w:themeColor="text1"/>
              </w:rPr>
              <w:t>d</w:t>
            </w:r>
            <w:r w:rsidRPr="008A2411">
              <w:rPr>
                <w:rFonts w:ascii="Times New Roman"/>
                <w:color w:val="000000" w:themeColor="text1"/>
              </w:rPr>
              <w:t>）</w:t>
            </w:r>
          </w:p>
        </w:tc>
        <w:tc>
          <w:tcPr>
            <w:tcW w:w="667" w:type="pct"/>
            <w:gridSpan w:val="2"/>
            <w:shd w:val="clear" w:color="auto" w:fill="auto"/>
            <w:vAlign w:val="center"/>
          </w:tcPr>
          <w:p w14:paraId="041F6AC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原料气净化脱酸单元</w:t>
            </w:r>
          </w:p>
        </w:tc>
        <w:tc>
          <w:tcPr>
            <w:tcW w:w="667" w:type="pct"/>
            <w:gridSpan w:val="2"/>
            <w:shd w:val="clear" w:color="auto" w:fill="auto"/>
            <w:vAlign w:val="center"/>
          </w:tcPr>
          <w:p w14:paraId="444F3CF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导热油系统导热油炉区</w:t>
            </w:r>
          </w:p>
        </w:tc>
        <w:tc>
          <w:tcPr>
            <w:tcW w:w="667" w:type="pct"/>
            <w:gridSpan w:val="2"/>
            <w:shd w:val="clear" w:color="auto" w:fill="auto"/>
            <w:vAlign w:val="center"/>
          </w:tcPr>
          <w:p w14:paraId="2EE1A05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污水处理站</w:t>
            </w:r>
          </w:p>
        </w:tc>
        <w:tc>
          <w:tcPr>
            <w:tcW w:w="667" w:type="pct"/>
            <w:gridSpan w:val="2"/>
            <w:shd w:val="clear" w:color="auto" w:fill="auto"/>
            <w:vAlign w:val="center"/>
          </w:tcPr>
          <w:p w14:paraId="20D0618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厂区边界</w:t>
            </w:r>
          </w:p>
        </w:tc>
        <w:tc>
          <w:tcPr>
            <w:tcW w:w="667" w:type="pct"/>
            <w:gridSpan w:val="2"/>
            <w:shd w:val="clear" w:color="auto" w:fill="auto"/>
            <w:vAlign w:val="center"/>
          </w:tcPr>
          <w:p w14:paraId="753A358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下游</w:t>
            </w:r>
            <w:r w:rsidRPr="008A2411">
              <w:rPr>
                <w:rFonts w:ascii="Times New Roman"/>
                <w:color w:val="000000" w:themeColor="text1"/>
              </w:rPr>
              <w:t>50m</w:t>
            </w:r>
          </w:p>
        </w:tc>
        <w:tc>
          <w:tcPr>
            <w:tcW w:w="667" w:type="pct"/>
            <w:gridSpan w:val="2"/>
            <w:shd w:val="clear" w:color="auto" w:fill="auto"/>
            <w:vAlign w:val="center"/>
          </w:tcPr>
          <w:p w14:paraId="55258DA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下游</w:t>
            </w:r>
            <w:r w:rsidRPr="008A2411">
              <w:rPr>
                <w:rFonts w:ascii="Times New Roman"/>
                <w:color w:val="000000" w:themeColor="text1"/>
              </w:rPr>
              <w:t>100m</w:t>
            </w:r>
          </w:p>
        </w:tc>
        <w:tc>
          <w:tcPr>
            <w:tcW w:w="667" w:type="pct"/>
            <w:gridSpan w:val="2"/>
            <w:shd w:val="clear" w:color="auto" w:fill="auto"/>
            <w:vAlign w:val="center"/>
          </w:tcPr>
          <w:p w14:paraId="1CB856A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下游约</w:t>
            </w:r>
            <w:r w:rsidRPr="008A2411">
              <w:rPr>
                <w:rFonts w:ascii="Times New Roman"/>
                <w:color w:val="000000" w:themeColor="text1"/>
              </w:rPr>
              <w:t>145m</w:t>
            </w:r>
            <w:r w:rsidRPr="008A2411">
              <w:rPr>
                <w:rFonts w:ascii="Times New Roman"/>
                <w:color w:val="000000" w:themeColor="text1"/>
              </w:rPr>
              <w:t>河边</w:t>
            </w:r>
          </w:p>
        </w:tc>
      </w:tr>
      <w:tr w:rsidR="008A2411" w:rsidRPr="008A2411" w14:paraId="5A391F40" w14:textId="77777777" w:rsidTr="008A2411">
        <w:trPr>
          <w:trHeight w:val="540"/>
        </w:trPr>
        <w:tc>
          <w:tcPr>
            <w:tcW w:w="333" w:type="pct"/>
            <w:vMerge/>
            <w:vAlign w:val="center"/>
          </w:tcPr>
          <w:p w14:paraId="5FA514B9" w14:textId="77777777" w:rsidR="00B0005F" w:rsidRPr="008A2411" w:rsidRDefault="00B0005F">
            <w:pPr>
              <w:pStyle w:val="affffffffffff2"/>
              <w:rPr>
                <w:rFonts w:ascii="Times New Roman"/>
                <w:color w:val="000000" w:themeColor="text1"/>
              </w:rPr>
            </w:pPr>
          </w:p>
        </w:tc>
        <w:tc>
          <w:tcPr>
            <w:tcW w:w="333" w:type="pct"/>
            <w:shd w:val="clear" w:color="auto" w:fill="auto"/>
            <w:vAlign w:val="center"/>
          </w:tcPr>
          <w:p w14:paraId="5B18F09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预测值</w:t>
            </w:r>
          </w:p>
        </w:tc>
        <w:tc>
          <w:tcPr>
            <w:tcW w:w="333" w:type="pct"/>
            <w:shd w:val="clear" w:color="auto" w:fill="auto"/>
            <w:vAlign w:val="center"/>
          </w:tcPr>
          <w:p w14:paraId="66D2ECEE" w14:textId="77777777" w:rsidR="00B0005F" w:rsidRPr="008A2411" w:rsidRDefault="00000000">
            <w:pPr>
              <w:pStyle w:val="affffffffffff2"/>
              <w:rPr>
                <w:rFonts w:ascii="Times New Roman"/>
                <w:color w:val="000000" w:themeColor="text1"/>
              </w:rPr>
            </w:pPr>
            <w:proofErr w:type="gramStart"/>
            <w:r w:rsidRPr="008A2411">
              <w:rPr>
                <w:rFonts w:ascii="Times New Roman"/>
                <w:color w:val="000000" w:themeColor="text1"/>
              </w:rPr>
              <w:t>叠加值</w:t>
            </w:r>
            <w:proofErr w:type="gramEnd"/>
          </w:p>
        </w:tc>
        <w:tc>
          <w:tcPr>
            <w:tcW w:w="333" w:type="pct"/>
            <w:shd w:val="clear" w:color="auto" w:fill="auto"/>
            <w:vAlign w:val="center"/>
          </w:tcPr>
          <w:p w14:paraId="44D84E0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预测值</w:t>
            </w:r>
          </w:p>
        </w:tc>
        <w:tc>
          <w:tcPr>
            <w:tcW w:w="333" w:type="pct"/>
            <w:shd w:val="clear" w:color="auto" w:fill="auto"/>
            <w:vAlign w:val="center"/>
          </w:tcPr>
          <w:p w14:paraId="3935A3FB" w14:textId="77777777" w:rsidR="00B0005F" w:rsidRPr="008A2411" w:rsidRDefault="00000000">
            <w:pPr>
              <w:pStyle w:val="affffffffffff2"/>
              <w:rPr>
                <w:rFonts w:ascii="Times New Roman"/>
                <w:color w:val="000000" w:themeColor="text1"/>
              </w:rPr>
            </w:pPr>
            <w:proofErr w:type="gramStart"/>
            <w:r w:rsidRPr="008A2411">
              <w:rPr>
                <w:rFonts w:ascii="Times New Roman"/>
                <w:color w:val="000000" w:themeColor="text1"/>
              </w:rPr>
              <w:t>叠加值</w:t>
            </w:r>
            <w:proofErr w:type="gramEnd"/>
          </w:p>
        </w:tc>
        <w:tc>
          <w:tcPr>
            <w:tcW w:w="333" w:type="pct"/>
            <w:shd w:val="clear" w:color="auto" w:fill="auto"/>
            <w:vAlign w:val="center"/>
          </w:tcPr>
          <w:p w14:paraId="59E0945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预测值</w:t>
            </w:r>
          </w:p>
        </w:tc>
        <w:tc>
          <w:tcPr>
            <w:tcW w:w="333" w:type="pct"/>
            <w:shd w:val="clear" w:color="auto" w:fill="auto"/>
            <w:vAlign w:val="center"/>
          </w:tcPr>
          <w:p w14:paraId="17A6FA37" w14:textId="77777777" w:rsidR="00B0005F" w:rsidRPr="008A2411" w:rsidRDefault="00000000">
            <w:pPr>
              <w:pStyle w:val="affffffffffff2"/>
              <w:rPr>
                <w:rFonts w:ascii="Times New Roman"/>
                <w:color w:val="000000" w:themeColor="text1"/>
              </w:rPr>
            </w:pPr>
            <w:proofErr w:type="gramStart"/>
            <w:r w:rsidRPr="008A2411">
              <w:rPr>
                <w:rFonts w:ascii="Times New Roman"/>
                <w:color w:val="000000" w:themeColor="text1"/>
              </w:rPr>
              <w:t>叠加值</w:t>
            </w:r>
            <w:proofErr w:type="gramEnd"/>
          </w:p>
        </w:tc>
        <w:tc>
          <w:tcPr>
            <w:tcW w:w="333" w:type="pct"/>
            <w:shd w:val="clear" w:color="auto" w:fill="auto"/>
            <w:vAlign w:val="center"/>
          </w:tcPr>
          <w:p w14:paraId="7BD9BD1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预测值</w:t>
            </w:r>
          </w:p>
        </w:tc>
        <w:tc>
          <w:tcPr>
            <w:tcW w:w="333" w:type="pct"/>
            <w:shd w:val="clear" w:color="auto" w:fill="auto"/>
            <w:vAlign w:val="center"/>
          </w:tcPr>
          <w:p w14:paraId="6B37DC2B" w14:textId="77777777" w:rsidR="00B0005F" w:rsidRPr="008A2411" w:rsidRDefault="00000000">
            <w:pPr>
              <w:pStyle w:val="affffffffffff2"/>
              <w:rPr>
                <w:rFonts w:ascii="Times New Roman"/>
                <w:color w:val="000000" w:themeColor="text1"/>
              </w:rPr>
            </w:pPr>
            <w:proofErr w:type="gramStart"/>
            <w:r w:rsidRPr="008A2411">
              <w:rPr>
                <w:rFonts w:ascii="Times New Roman"/>
                <w:color w:val="000000" w:themeColor="text1"/>
              </w:rPr>
              <w:t>叠加值</w:t>
            </w:r>
            <w:proofErr w:type="gramEnd"/>
          </w:p>
        </w:tc>
        <w:tc>
          <w:tcPr>
            <w:tcW w:w="333" w:type="pct"/>
            <w:shd w:val="clear" w:color="auto" w:fill="auto"/>
            <w:vAlign w:val="center"/>
          </w:tcPr>
          <w:p w14:paraId="59063C1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预测值</w:t>
            </w:r>
          </w:p>
        </w:tc>
        <w:tc>
          <w:tcPr>
            <w:tcW w:w="333" w:type="pct"/>
            <w:shd w:val="clear" w:color="auto" w:fill="auto"/>
            <w:vAlign w:val="center"/>
          </w:tcPr>
          <w:p w14:paraId="5F3CB398" w14:textId="77777777" w:rsidR="00B0005F" w:rsidRPr="008A2411" w:rsidRDefault="00000000">
            <w:pPr>
              <w:pStyle w:val="affffffffffff2"/>
              <w:rPr>
                <w:rFonts w:ascii="Times New Roman"/>
                <w:color w:val="000000" w:themeColor="text1"/>
              </w:rPr>
            </w:pPr>
            <w:proofErr w:type="gramStart"/>
            <w:r w:rsidRPr="008A2411">
              <w:rPr>
                <w:rFonts w:ascii="Times New Roman"/>
                <w:color w:val="000000" w:themeColor="text1"/>
              </w:rPr>
              <w:t>叠加值</w:t>
            </w:r>
            <w:proofErr w:type="gramEnd"/>
          </w:p>
        </w:tc>
        <w:tc>
          <w:tcPr>
            <w:tcW w:w="333" w:type="pct"/>
            <w:shd w:val="clear" w:color="auto" w:fill="auto"/>
            <w:vAlign w:val="center"/>
          </w:tcPr>
          <w:p w14:paraId="36C2BB9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预测值</w:t>
            </w:r>
          </w:p>
        </w:tc>
        <w:tc>
          <w:tcPr>
            <w:tcW w:w="333" w:type="pct"/>
            <w:shd w:val="clear" w:color="auto" w:fill="auto"/>
            <w:vAlign w:val="center"/>
          </w:tcPr>
          <w:p w14:paraId="67A4575D" w14:textId="77777777" w:rsidR="00B0005F" w:rsidRPr="008A2411" w:rsidRDefault="00000000">
            <w:pPr>
              <w:pStyle w:val="affffffffffff2"/>
              <w:rPr>
                <w:rFonts w:ascii="Times New Roman"/>
                <w:color w:val="000000" w:themeColor="text1"/>
              </w:rPr>
            </w:pPr>
            <w:proofErr w:type="gramStart"/>
            <w:r w:rsidRPr="008A2411">
              <w:rPr>
                <w:rFonts w:ascii="Times New Roman"/>
                <w:color w:val="000000" w:themeColor="text1"/>
              </w:rPr>
              <w:t>叠加值</w:t>
            </w:r>
            <w:proofErr w:type="gramEnd"/>
          </w:p>
        </w:tc>
        <w:tc>
          <w:tcPr>
            <w:tcW w:w="333" w:type="pct"/>
            <w:shd w:val="clear" w:color="auto" w:fill="auto"/>
            <w:vAlign w:val="center"/>
          </w:tcPr>
          <w:p w14:paraId="26B8891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预测值</w:t>
            </w:r>
          </w:p>
        </w:tc>
        <w:tc>
          <w:tcPr>
            <w:tcW w:w="333" w:type="pct"/>
            <w:shd w:val="clear" w:color="auto" w:fill="auto"/>
            <w:vAlign w:val="center"/>
          </w:tcPr>
          <w:p w14:paraId="107100D2" w14:textId="77777777" w:rsidR="00B0005F" w:rsidRPr="008A2411" w:rsidRDefault="00000000">
            <w:pPr>
              <w:pStyle w:val="affffffffffff2"/>
              <w:rPr>
                <w:rFonts w:ascii="Times New Roman"/>
                <w:color w:val="000000" w:themeColor="text1"/>
              </w:rPr>
            </w:pPr>
            <w:proofErr w:type="gramStart"/>
            <w:r w:rsidRPr="008A2411">
              <w:rPr>
                <w:rFonts w:ascii="Times New Roman"/>
                <w:color w:val="000000" w:themeColor="text1"/>
              </w:rPr>
              <w:t>叠加值</w:t>
            </w:r>
            <w:proofErr w:type="gramEnd"/>
          </w:p>
        </w:tc>
      </w:tr>
      <w:tr w:rsidR="008A2411" w:rsidRPr="008A2411" w14:paraId="2E632214" w14:textId="77777777" w:rsidTr="008A2411">
        <w:trPr>
          <w:trHeight w:val="270"/>
        </w:trPr>
        <w:tc>
          <w:tcPr>
            <w:tcW w:w="333" w:type="pct"/>
            <w:shd w:val="clear" w:color="auto" w:fill="auto"/>
            <w:vAlign w:val="center"/>
          </w:tcPr>
          <w:p w14:paraId="5C70C57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1 </w:t>
            </w:r>
          </w:p>
        </w:tc>
        <w:tc>
          <w:tcPr>
            <w:tcW w:w="333" w:type="pct"/>
            <w:shd w:val="clear" w:color="auto" w:fill="auto"/>
            <w:vAlign w:val="center"/>
          </w:tcPr>
          <w:p w14:paraId="6D548A0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0.694</w:t>
            </w:r>
          </w:p>
        </w:tc>
        <w:tc>
          <w:tcPr>
            <w:tcW w:w="333" w:type="pct"/>
            <w:shd w:val="clear" w:color="auto" w:fill="auto"/>
            <w:vAlign w:val="center"/>
          </w:tcPr>
          <w:p w14:paraId="5F3FE49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2.114</w:t>
            </w:r>
          </w:p>
        </w:tc>
        <w:tc>
          <w:tcPr>
            <w:tcW w:w="333" w:type="pct"/>
            <w:shd w:val="clear" w:color="auto" w:fill="auto"/>
            <w:vAlign w:val="center"/>
          </w:tcPr>
          <w:p w14:paraId="3130672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333" w:type="pct"/>
            <w:shd w:val="clear" w:color="auto" w:fill="auto"/>
            <w:vAlign w:val="center"/>
          </w:tcPr>
          <w:p w14:paraId="28F2A3F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1.420</w:t>
            </w:r>
          </w:p>
        </w:tc>
        <w:tc>
          <w:tcPr>
            <w:tcW w:w="333" w:type="pct"/>
            <w:shd w:val="clear" w:color="auto" w:fill="auto"/>
            <w:vAlign w:val="center"/>
          </w:tcPr>
          <w:p w14:paraId="7F889E7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0.093</w:t>
            </w:r>
          </w:p>
        </w:tc>
        <w:tc>
          <w:tcPr>
            <w:tcW w:w="333" w:type="pct"/>
            <w:shd w:val="clear" w:color="auto" w:fill="auto"/>
            <w:vAlign w:val="center"/>
          </w:tcPr>
          <w:p w14:paraId="3734C28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1.513</w:t>
            </w:r>
          </w:p>
        </w:tc>
        <w:tc>
          <w:tcPr>
            <w:tcW w:w="333" w:type="pct"/>
            <w:shd w:val="clear" w:color="auto" w:fill="auto"/>
            <w:vAlign w:val="center"/>
          </w:tcPr>
          <w:p w14:paraId="7E1799F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333" w:type="pct"/>
            <w:shd w:val="clear" w:color="auto" w:fill="auto"/>
            <w:vAlign w:val="center"/>
          </w:tcPr>
          <w:p w14:paraId="6A7AB2A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1.420</w:t>
            </w:r>
          </w:p>
        </w:tc>
        <w:tc>
          <w:tcPr>
            <w:tcW w:w="333" w:type="pct"/>
            <w:shd w:val="clear" w:color="auto" w:fill="auto"/>
            <w:vAlign w:val="center"/>
          </w:tcPr>
          <w:p w14:paraId="0023CE4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333" w:type="pct"/>
            <w:shd w:val="clear" w:color="auto" w:fill="auto"/>
            <w:vAlign w:val="center"/>
          </w:tcPr>
          <w:p w14:paraId="78ADB3C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1.420</w:t>
            </w:r>
          </w:p>
        </w:tc>
        <w:tc>
          <w:tcPr>
            <w:tcW w:w="333" w:type="pct"/>
            <w:shd w:val="clear" w:color="auto" w:fill="auto"/>
            <w:vAlign w:val="center"/>
          </w:tcPr>
          <w:p w14:paraId="3AD6399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333" w:type="pct"/>
            <w:shd w:val="clear" w:color="auto" w:fill="auto"/>
            <w:vAlign w:val="center"/>
          </w:tcPr>
          <w:p w14:paraId="476C914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1.420</w:t>
            </w:r>
          </w:p>
        </w:tc>
        <w:tc>
          <w:tcPr>
            <w:tcW w:w="333" w:type="pct"/>
            <w:shd w:val="clear" w:color="auto" w:fill="auto"/>
            <w:vAlign w:val="center"/>
          </w:tcPr>
          <w:p w14:paraId="2B0D28F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333" w:type="pct"/>
            <w:shd w:val="clear" w:color="auto" w:fill="auto"/>
            <w:vAlign w:val="center"/>
          </w:tcPr>
          <w:p w14:paraId="32E8F74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1.420</w:t>
            </w:r>
          </w:p>
        </w:tc>
      </w:tr>
      <w:tr w:rsidR="008A2411" w:rsidRPr="008A2411" w14:paraId="1D4A2905" w14:textId="77777777" w:rsidTr="008A2411">
        <w:trPr>
          <w:trHeight w:val="270"/>
        </w:trPr>
        <w:tc>
          <w:tcPr>
            <w:tcW w:w="333" w:type="pct"/>
            <w:shd w:val="clear" w:color="auto" w:fill="auto"/>
            <w:vAlign w:val="center"/>
          </w:tcPr>
          <w:p w14:paraId="2C1F377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60 </w:t>
            </w:r>
          </w:p>
        </w:tc>
        <w:tc>
          <w:tcPr>
            <w:tcW w:w="333" w:type="pct"/>
            <w:shd w:val="clear" w:color="auto" w:fill="auto"/>
            <w:vAlign w:val="center"/>
          </w:tcPr>
          <w:p w14:paraId="449F1CF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0.673</w:t>
            </w:r>
          </w:p>
        </w:tc>
        <w:tc>
          <w:tcPr>
            <w:tcW w:w="333" w:type="pct"/>
            <w:shd w:val="clear" w:color="auto" w:fill="auto"/>
            <w:vAlign w:val="center"/>
          </w:tcPr>
          <w:p w14:paraId="272799B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2.093</w:t>
            </w:r>
          </w:p>
        </w:tc>
        <w:tc>
          <w:tcPr>
            <w:tcW w:w="333" w:type="pct"/>
            <w:shd w:val="clear" w:color="auto" w:fill="auto"/>
            <w:vAlign w:val="center"/>
          </w:tcPr>
          <w:p w14:paraId="35417EE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333" w:type="pct"/>
            <w:shd w:val="clear" w:color="auto" w:fill="auto"/>
            <w:vAlign w:val="center"/>
          </w:tcPr>
          <w:p w14:paraId="2CADB02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1.420</w:t>
            </w:r>
          </w:p>
        </w:tc>
        <w:tc>
          <w:tcPr>
            <w:tcW w:w="333" w:type="pct"/>
            <w:shd w:val="clear" w:color="auto" w:fill="auto"/>
            <w:vAlign w:val="center"/>
          </w:tcPr>
          <w:p w14:paraId="1E4B419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5.328</w:t>
            </w:r>
          </w:p>
        </w:tc>
        <w:tc>
          <w:tcPr>
            <w:tcW w:w="333" w:type="pct"/>
            <w:shd w:val="clear" w:color="000000" w:fill="808080"/>
            <w:vAlign w:val="center"/>
          </w:tcPr>
          <w:p w14:paraId="481F7ED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6.748</w:t>
            </w:r>
          </w:p>
        </w:tc>
        <w:tc>
          <w:tcPr>
            <w:tcW w:w="333" w:type="pct"/>
            <w:shd w:val="clear" w:color="auto" w:fill="auto"/>
            <w:vAlign w:val="center"/>
          </w:tcPr>
          <w:p w14:paraId="7B51E12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333" w:type="pct"/>
            <w:shd w:val="clear" w:color="auto" w:fill="auto"/>
            <w:vAlign w:val="center"/>
          </w:tcPr>
          <w:p w14:paraId="0F37C0A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1.420</w:t>
            </w:r>
          </w:p>
        </w:tc>
        <w:tc>
          <w:tcPr>
            <w:tcW w:w="333" w:type="pct"/>
            <w:shd w:val="clear" w:color="auto" w:fill="auto"/>
            <w:vAlign w:val="center"/>
          </w:tcPr>
          <w:p w14:paraId="68E7A48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333" w:type="pct"/>
            <w:shd w:val="clear" w:color="auto" w:fill="auto"/>
            <w:vAlign w:val="center"/>
          </w:tcPr>
          <w:p w14:paraId="199EEC2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1.420</w:t>
            </w:r>
          </w:p>
        </w:tc>
        <w:tc>
          <w:tcPr>
            <w:tcW w:w="333" w:type="pct"/>
            <w:shd w:val="clear" w:color="auto" w:fill="auto"/>
            <w:vAlign w:val="center"/>
          </w:tcPr>
          <w:p w14:paraId="00D5DD8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333" w:type="pct"/>
            <w:shd w:val="clear" w:color="auto" w:fill="auto"/>
            <w:vAlign w:val="center"/>
          </w:tcPr>
          <w:p w14:paraId="27A10DB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1.420</w:t>
            </w:r>
          </w:p>
        </w:tc>
        <w:tc>
          <w:tcPr>
            <w:tcW w:w="333" w:type="pct"/>
            <w:shd w:val="clear" w:color="auto" w:fill="auto"/>
            <w:vAlign w:val="center"/>
          </w:tcPr>
          <w:p w14:paraId="6898E93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333" w:type="pct"/>
            <w:shd w:val="clear" w:color="auto" w:fill="auto"/>
            <w:vAlign w:val="center"/>
          </w:tcPr>
          <w:p w14:paraId="4D38F63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1.420</w:t>
            </w:r>
          </w:p>
        </w:tc>
      </w:tr>
      <w:tr w:rsidR="008A2411" w:rsidRPr="008A2411" w14:paraId="0A8D2628" w14:textId="77777777" w:rsidTr="008A2411">
        <w:trPr>
          <w:trHeight w:val="270"/>
        </w:trPr>
        <w:tc>
          <w:tcPr>
            <w:tcW w:w="333" w:type="pct"/>
            <w:shd w:val="clear" w:color="auto" w:fill="auto"/>
            <w:vAlign w:val="center"/>
          </w:tcPr>
          <w:p w14:paraId="41146F8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100 </w:t>
            </w:r>
          </w:p>
        </w:tc>
        <w:tc>
          <w:tcPr>
            <w:tcW w:w="333" w:type="pct"/>
            <w:shd w:val="clear" w:color="auto" w:fill="auto"/>
            <w:vAlign w:val="center"/>
          </w:tcPr>
          <w:p w14:paraId="48071ED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0.659</w:t>
            </w:r>
          </w:p>
        </w:tc>
        <w:tc>
          <w:tcPr>
            <w:tcW w:w="333" w:type="pct"/>
            <w:shd w:val="clear" w:color="auto" w:fill="auto"/>
            <w:vAlign w:val="center"/>
          </w:tcPr>
          <w:p w14:paraId="543678D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2.079</w:t>
            </w:r>
          </w:p>
        </w:tc>
        <w:tc>
          <w:tcPr>
            <w:tcW w:w="333" w:type="pct"/>
            <w:shd w:val="clear" w:color="auto" w:fill="auto"/>
            <w:vAlign w:val="center"/>
          </w:tcPr>
          <w:p w14:paraId="48C7ABE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333" w:type="pct"/>
            <w:shd w:val="clear" w:color="auto" w:fill="auto"/>
            <w:vAlign w:val="center"/>
          </w:tcPr>
          <w:p w14:paraId="2F1B5D5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1.420</w:t>
            </w:r>
          </w:p>
        </w:tc>
        <w:tc>
          <w:tcPr>
            <w:tcW w:w="333" w:type="pct"/>
            <w:shd w:val="clear" w:color="auto" w:fill="auto"/>
            <w:vAlign w:val="center"/>
          </w:tcPr>
          <w:p w14:paraId="47D7CB6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5.168</w:t>
            </w:r>
          </w:p>
        </w:tc>
        <w:tc>
          <w:tcPr>
            <w:tcW w:w="333" w:type="pct"/>
            <w:shd w:val="clear" w:color="000000" w:fill="808080"/>
            <w:vAlign w:val="center"/>
          </w:tcPr>
          <w:p w14:paraId="3CA4477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6.588</w:t>
            </w:r>
          </w:p>
        </w:tc>
        <w:tc>
          <w:tcPr>
            <w:tcW w:w="333" w:type="pct"/>
            <w:shd w:val="clear" w:color="auto" w:fill="auto"/>
            <w:vAlign w:val="center"/>
          </w:tcPr>
          <w:p w14:paraId="0555F6B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333" w:type="pct"/>
            <w:shd w:val="clear" w:color="auto" w:fill="auto"/>
            <w:vAlign w:val="center"/>
          </w:tcPr>
          <w:p w14:paraId="4DE6D8E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1.420</w:t>
            </w:r>
          </w:p>
        </w:tc>
        <w:tc>
          <w:tcPr>
            <w:tcW w:w="333" w:type="pct"/>
            <w:shd w:val="clear" w:color="auto" w:fill="auto"/>
            <w:vAlign w:val="center"/>
          </w:tcPr>
          <w:p w14:paraId="2C1C94A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333" w:type="pct"/>
            <w:shd w:val="clear" w:color="auto" w:fill="auto"/>
            <w:vAlign w:val="center"/>
          </w:tcPr>
          <w:p w14:paraId="5F807A8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1.420</w:t>
            </w:r>
          </w:p>
        </w:tc>
        <w:tc>
          <w:tcPr>
            <w:tcW w:w="333" w:type="pct"/>
            <w:shd w:val="clear" w:color="auto" w:fill="auto"/>
            <w:vAlign w:val="center"/>
          </w:tcPr>
          <w:p w14:paraId="5EE86F8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333" w:type="pct"/>
            <w:shd w:val="clear" w:color="auto" w:fill="auto"/>
            <w:vAlign w:val="center"/>
          </w:tcPr>
          <w:p w14:paraId="160C08A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1.420</w:t>
            </w:r>
          </w:p>
        </w:tc>
        <w:tc>
          <w:tcPr>
            <w:tcW w:w="333" w:type="pct"/>
            <w:shd w:val="clear" w:color="auto" w:fill="auto"/>
            <w:vAlign w:val="center"/>
          </w:tcPr>
          <w:p w14:paraId="66B5C53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333" w:type="pct"/>
            <w:shd w:val="clear" w:color="auto" w:fill="auto"/>
            <w:vAlign w:val="center"/>
          </w:tcPr>
          <w:p w14:paraId="665CA0A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1.420</w:t>
            </w:r>
          </w:p>
        </w:tc>
      </w:tr>
      <w:tr w:rsidR="008A2411" w:rsidRPr="008A2411" w14:paraId="3DF94CC5" w14:textId="77777777" w:rsidTr="008A2411">
        <w:trPr>
          <w:trHeight w:val="270"/>
        </w:trPr>
        <w:tc>
          <w:tcPr>
            <w:tcW w:w="333" w:type="pct"/>
            <w:shd w:val="clear" w:color="auto" w:fill="auto"/>
            <w:vAlign w:val="center"/>
          </w:tcPr>
          <w:p w14:paraId="63FD721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320 </w:t>
            </w:r>
          </w:p>
        </w:tc>
        <w:tc>
          <w:tcPr>
            <w:tcW w:w="333" w:type="pct"/>
            <w:shd w:val="clear" w:color="auto" w:fill="auto"/>
            <w:vAlign w:val="center"/>
          </w:tcPr>
          <w:p w14:paraId="0D0DF67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0.593</w:t>
            </w:r>
          </w:p>
        </w:tc>
        <w:tc>
          <w:tcPr>
            <w:tcW w:w="333" w:type="pct"/>
            <w:shd w:val="clear" w:color="auto" w:fill="auto"/>
            <w:vAlign w:val="center"/>
          </w:tcPr>
          <w:p w14:paraId="6BB498C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2.013</w:t>
            </w:r>
          </w:p>
        </w:tc>
        <w:tc>
          <w:tcPr>
            <w:tcW w:w="333" w:type="pct"/>
            <w:shd w:val="clear" w:color="auto" w:fill="auto"/>
            <w:vAlign w:val="center"/>
          </w:tcPr>
          <w:p w14:paraId="0A5605E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0.003</w:t>
            </w:r>
          </w:p>
        </w:tc>
        <w:tc>
          <w:tcPr>
            <w:tcW w:w="333" w:type="pct"/>
            <w:shd w:val="clear" w:color="auto" w:fill="auto"/>
            <w:vAlign w:val="center"/>
          </w:tcPr>
          <w:p w14:paraId="212E23D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1.423</w:t>
            </w:r>
          </w:p>
        </w:tc>
        <w:tc>
          <w:tcPr>
            <w:tcW w:w="333" w:type="pct"/>
            <w:shd w:val="clear" w:color="auto" w:fill="auto"/>
            <w:vAlign w:val="center"/>
          </w:tcPr>
          <w:p w14:paraId="0222120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4.437</w:t>
            </w:r>
          </w:p>
        </w:tc>
        <w:tc>
          <w:tcPr>
            <w:tcW w:w="333" w:type="pct"/>
            <w:shd w:val="clear" w:color="000000" w:fill="808080"/>
            <w:vAlign w:val="center"/>
          </w:tcPr>
          <w:p w14:paraId="70195F7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5.857</w:t>
            </w:r>
          </w:p>
        </w:tc>
        <w:tc>
          <w:tcPr>
            <w:tcW w:w="333" w:type="pct"/>
            <w:shd w:val="clear" w:color="auto" w:fill="auto"/>
            <w:vAlign w:val="center"/>
          </w:tcPr>
          <w:p w14:paraId="1871484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0.001</w:t>
            </w:r>
          </w:p>
        </w:tc>
        <w:tc>
          <w:tcPr>
            <w:tcW w:w="333" w:type="pct"/>
            <w:shd w:val="clear" w:color="auto" w:fill="auto"/>
            <w:vAlign w:val="center"/>
          </w:tcPr>
          <w:p w14:paraId="4CEEC51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1.421</w:t>
            </w:r>
          </w:p>
        </w:tc>
        <w:tc>
          <w:tcPr>
            <w:tcW w:w="333" w:type="pct"/>
            <w:shd w:val="clear" w:color="auto" w:fill="auto"/>
            <w:vAlign w:val="center"/>
          </w:tcPr>
          <w:p w14:paraId="7F0C533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333" w:type="pct"/>
            <w:shd w:val="clear" w:color="auto" w:fill="auto"/>
            <w:vAlign w:val="center"/>
          </w:tcPr>
          <w:p w14:paraId="16E0ED2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1.420</w:t>
            </w:r>
          </w:p>
        </w:tc>
        <w:tc>
          <w:tcPr>
            <w:tcW w:w="333" w:type="pct"/>
            <w:shd w:val="clear" w:color="auto" w:fill="auto"/>
            <w:vAlign w:val="center"/>
          </w:tcPr>
          <w:p w14:paraId="4DF69D0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333" w:type="pct"/>
            <w:shd w:val="clear" w:color="auto" w:fill="auto"/>
            <w:vAlign w:val="center"/>
          </w:tcPr>
          <w:p w14:paraId="08F1ECC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1.420</w:t>
            </w:r>
          </w:p>
        </w:tc>
        <w:tc>
          <w:tcPr>
            <w:tcW w:w="333" w:type="pct"/>
            <w:shd w:val="clear" w:color="auto" w:fill="auto"/>
            <w:vAlign w:val="center"/>
          </w:tcPr>
          <w:p w14:paraId="4416729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333" w:type="pct"/>
            <w:shd w:val="clear" w:color="auto" w:fill="auto"/>
            <w:vAlign w:val="center"/>
          </w:tcPr>
          <w:p w14:paraId="2C36662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1.420</w:t>
            </w:r>
          </w:p>
        </w:tc>
      </w:tr>
      <w:tr w:rsidR="008A2411" w:rsidRPr="008A2411" w14:paraId="0618FFE4" w14:textId="77777777" w:rsidTr="008A2411">
        <w:trPr>
          <w:trHeight w:val="270"/>
        </w:trPr>
        <w:tc>
          <w:tcPr>
            <w:tcW w:w="333" w:type="pct"/>
            <w:shd w:val="clear" w:color="auto" w:fill="auto"/>
            <w:vAlign w:val="center"/>
          </w:tcPr>
          <w:p w14:paraId="2002E54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365 </w:t>
            </w:r>
          </w:p>
        </w:tc>
        <w:tc>
          <w:tcPr>
            <w:tcW w:w="333" w:type="pct"/>
            <w:shd w:val="clear" w:color="auto" w:fill="auto"/>
            <w:vAlign w:val="center"/>
          </w:tcPr>
          <w:p w14:paraId="2A239C9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0.580</w:t>
            </w:r>
          </w:p>
        </w:tc>
        <w:tc>
          <w:tcPr>
            <w:tcW w:w="333" w:type="pct"/>
            <w:shd w:val="clear" w:color="auto" w:fill="auto"/>
            <w:vAlign w:val="center"/>
          </w:tcPr>
          <w:p w14:paraId="333BB3C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2.000</w:t>
            </w:r>
          </w:p>
        </w:tc>
        <w:tc>
          <w:tcPr>
            <w:tcW w:w="333" w:type="pct"/>
            <w:shd w:val="clear" w:color="auto" w:fill="auto"/>
            <w:vAlign w:val="center"/>
          </w:tcPr>
          <w:p w14:paraId="146CF8D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0.004</w:t>
            </w:r>
          </w:p>
        </w:tc>
        <w:tc>
          <w:tcPr>
            <w:tcW w:w="333" w:type="pct"/>
            <w:shd w:val="clear" w:color="auto" w:fill="auto"/>
            <w:vAlign w:val="center"/>
          </w:tcPr>
          <w:p w14:paraId="339238C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1.424</w:t>
            </w:r>
          </w:p>
        </w:tc>
        <w:tc>
          <w:tcPr>
            <w:tcW w:w="333" w:type="pct"/>
            <w:shd w:val="clear" w:color="auto" w:fill="auto"/>
            <w:vAlign w:val="center"/>
          </w:tcPr>
          <w:p w14:paraId="0B97FAE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4.296</w:t>
            </w:r>
          </w:p>
        </w:tc>
        <w:tc>
          <w:tcPr>
            <w:tcW w:w="333" w:type="pct"/>
            <w:shd w:val="clear" w:color="000000" w:fill="808080"/>
            <w:vAlign w:val="center"/>
          </w:tcPr>
          <w:p w14:paraId="6080A7D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5.716</w:t>
            </w:r>
          </w:p>
        </w:tc>
        <w:tc>
          <w:tcPr>
            <w:tcW w:w="333" w:type="pct"/>
            <w:shd w:val="clear" w:color="auto" w:fill="auto"/>
            <w:vAlign w:val="center"/>
          </w:tcPr>
          <w:p w14:paraId="42B3A09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0.002</w:t>
            </w:r>
          </w:p>
        </w:tc>
        <w:tc>
          <w:tcPr>
            <w:tcW w:w="333" w:type="pct"/>
            <w:shd w:val="clear" w:color="auto" w:fill="auto"/>
            <w:vAlign w:val="center"/>
          </w:tcPr>
          <w:p w14:paraId="0025D27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1.422</w:t>
            </w:r>
          </w:p>
        </w:tc>
        <w:tc>
          <w:tcPr>
            <w:tcW w:w="333" w:type="pct"/>
            <w:shd w:val="clear" w:color="auto" w:fill="auto"/>
            <w:vAlign w:val="center"/>
          </w:tcPr>
          <w:p w14:paraId="4608363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333" w:type="pct"/>
            <w:shd w:val="clear" w:color="auto" w:fill="auto"/>
            <w:vAlign w:val="center"/>
          </w:tcPr>
          <w:p w14:paraId="44148FA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1.420</w:t>
            </w:r>
          </w:p>
        </w:tc>
        <w:tc>
          <w:tcPr>
            <w:tcW w:w="333" w:type="pct"/>
            <w:shd w:val="clear" w:color="auto" w:fill="auto"/>
            <w:vAlign w:val="center"/>
          </w:tcPr>
          <w:p w14:paraId="63D8FB2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333" w:type="pct"/>
            <w:shd w:val="clear" w:color="auto" w:fill="auto"/>
            <w:vAlign w:val="center"/>
          </w:tcPr>
          <w:p w14:paraId="1628B59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1.420</w:t>
            </w:r>
          </w:p>
        </w:tc>
        <w:tc>
          <w:tcPr>
            <w:tcW w:w="333" w:type="pct"/>
            <w:shd w:val="clear" w:color="auto" w:fill="auto"/>
            <w:vAlign w:val="center"/>
          </w:tcPr>
          <w:p w14:paraId="32CACC8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333" w:type="pct"/>
            <w:shd w:val="clear" w:color="auto" w:fill="auto"/>
            <w:vAlign w:val="center"/>
          </w:tcPr>
          <w:p w14:paraId="29142D4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1.420</w:t>
            </w:r>
          </w:p>
        </w:tc>
      </w:tr>
      <w:tr w:rsidR="008A2411" w:rsidRPr="008A2411" w14:paraId="598E4843" w14:textId="77777777" w:rsidTr="008A2411">
        <w:trPr>
          <w:trHeight w:val="270"/>
        </w:trPr>
        <w:tc>
          <w:tcPr>
            <w:tcW w:w="333" w:type="pct"/>
            <w:shd w:val="clear" w:color="auto" w:fill="auto"/>
            <w:vAlign w:val="center"/>
          </w:tcPr>
          <w:p w14:paraId="081D892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730 </w:t>
            </w:r>
          </w:p>
        </w:tc>
        <w:tc>
          <w:tcPr>
            <w:tcW w:w="333" w:type="pct"/>
            <w:shd w:val="clear" w:color="auto" w:fill="auto"/>
            <w:vAlign w:val="center"/>
          </w:tcPr>
          <w:p w14:paraId="7024316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0.492</w:t>
            </w:r>
          </w:p>
        </w:tc>
        <w:tc>
          <w:tcPr>
            <w:tcW w:w="333" w:type="pct"/>
            <w:shd w:val="clear" w:color="auto" w:fill="auto"/>
            <w:vAlign w:val="center"/>
          </w:tcPr>
          <w:p w14:paraId="378917A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1.912</w:t>
            </w:r>
          </w:p>
        </w:tc>
        <w:tc>
          <w:tcPr>
            <w:tcW w:w="333" w:type="pct"/>
            <w:shd w:val="clear" w:color="auto" w:fill="auto"/>
            <w:vAlign w:val="center"/>
          </w:tcPr>
          <w:p w14:paraId="215C979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0.012</w:t>
            </w:r>
          </w:p>
        </w:tc>
        <w:tc>
          <w:tcPr>
            <w:tcW w:w="333" w:type="pct"/>
            <w:shd w:val="clear" w:color="auto" w:fill="auto"/>
            <w:vAlign w:val="center"/>
          </w:tcPr>
          <w:p w14:paraId="782F56D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1.432</w:t>
            </w:r>
          </w:p>
        </w:tc>
        <w:tc>
          <w:tcPr>
            <w:tcW w:w="333" w:type="pct"/>
            <w:shd w:val="clear" w:color="auto" w:fill="auto"/>
            <w:vAlign w:val="center"/>
          </w:tcPr>
          <w:p w14:paraId="4B24372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3.411</w:t>
            </w:r>
          </w:p>
        </w:tc>
        <w:tc>
          <w:tcPr>
            <w:tcW w:w="333" w:type="pct"/>
            <w:shd w:val="clear" w:color="000000" w:fill="808080"/>
            <w:vAlign w:val="center"/>
          </w:tcPr>
          <w:p w14:paraId="4765799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4.831</w:t>
            </w:r>
          </w:p>
        </w:tc>
        <w:tc>
          <w:tcPr>
            <w:tcW w:w="333" w:type="pct"/>
            <w:shd w:val="clear" w:color="auto" w:fill="auto"/>
            <w:vAlign w:val="center"/>
          </w:tcPr>
          <w:p w14:paraId="1AF5565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0.011</w:t>
            </w:r>
          </w:p>
        </w:tc>
        <w:tc>
          <w:tcPr>
            <w:tcW w:w="333" w:type="pct"/>
            <w:shd w:val="clear" w:color="auto" w:fill="auto"/>
            <w:vAlign w:val="center"/>
          </w:tcPr>
          <w:p w14:paraId="50FE16F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1.431</w:t>
            </w:r>
          </w:p>
        </w:tc>
        <w:tc>
          <w:tcPr>
            <w:tcW w:w="333" w:type="pct"/>
            <w:shd w:val="clear" w:color="auto" w:fill="auto"/>
            <w:vAlign w:val="center"/>
          </w:tcPr>
          <w:p w14:paraId="3EC3763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333" w:type="pct"/>
            <w:shd w:val="clear" w:color="auto" w:fill="auto"/>
            <w:vAlign w:val="center"/>
          </w:tcPr>
          <w:p w14:paraId="6B9A10B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1.420</w:t>
            </w:r>
          </w:p>
        </w:tc>
        <w:tc>
          <w:tcPr>
            <w:tcW w:w="333" w:type="pct"/>
            <w:shd w:val="clear" w:color="auto" w:fill="auto"/>
            <w:vAlign w:val="center"/>
          </w:tcPr>
          <w:p w14:paraId="107F167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333" w:type="pct"/>
            <w:shd w:val="clear" w:color="auto" w:fill="auto"/>
            <w:vAlign w:val="center"/>
          </w:tcPr>
          <w:p w14:paraId="768CB31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1.420</w:t>
            </w:r>
          </w:p>
        </w:tc>
        <w:tc>
          <w:tcPr>
            <w:tcW w:w="333" w:type="pct"/>
            <w:shd w:val="clear" w:color="auto" w:fill="auto"/>
            <w:vAlign w:val="center"/>
          </w:tcPr>
          <w:p w14:paraId="0EC00CA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333" w:type="pct"/>
            <w:shd w:val="clear" w:color="auto" w:fill="auto"/>
            <w:vAlign w:val="center"/>
          </w:tcPr>
          <w:p w14:paraId="78B1D6E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1.420</w:t>
            </w:r>
          </w:p>
        </w:tc>
      </w:tr>
      <w:tr w:rsidR="008A2411" w:rsidRPr="008A2411" w14:paraId="061B210C" w14:textId="77777777" w:rsidTr="008A2411">
        <w:trPr>
          <w:trHeight w:val="270"/>
        </w:trPr>
        <w:tc>
          <w:tcPr>
            <w:tcW w:w="333" w:type="pct"/>
            <w:shd w:val="clear" w:color="auto" w:fill="auto"/>
            <w:vAlign w:val="center"/>
          </w:tcPr>
          <w:p w14:paraId="4277255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1000 </w:t>
            </w:r>
          </w:p>
        </w:tc>
        <w:tc>
          <w:tcPr>
            <w:tcW w:w="333" w:type="pct"/>
            <w:shd w:val="clear" w:color="auto" w:fill="auto"/>
            <w:vAlign w:val="center"/>
          </w:tcPr>
          <w:p w14:paraId="6FE0E6E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0.439</w:t>
            </w:r>
          </w:p>
        </w:tc>
        <w:tc>
          <w:tcPr>
            <w:tcW w:w="333" w:type="pct"/>
            <w:shd w:val="clear" w:color="auto" w:fill="auto"/>
            <w:vAlign w:val="center"/>
          </w:tcPr>
          <w:p w14:paraId="22080E4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1.859</w:t>
            </w:r>
          </w:p>
        </w:tc>
        <w:tc>
          <w:tcPr>
            <w:tcW w:w="333" w:type="pct"/>
            <w:shd w:val="clear" w:color="auto" w:fill="auto"/>
            <w:vAlign w:val="center"/>
          </w:tcPr>
          <w:p w14:paraId="2A17ACB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0.020</w:t>
            </w:r>
          </w:p>
        </w:tc>
        <w:tc>
          <w:tcPr>
            <w:tcW w:w="333" w:type="pct"/>
            <w:shd w:val="clear" w:color="auto" w:fill="auto"/>
            <w:vAlign w:val="center"/>
          </w:tcPr>
          <w:p w14:paraId="69494E1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1.440</w:t>
            </w:r>
          </w:p>
        </w:tc>
        <w:tc>
          <w:tcPr>
            <w:tcW w:w="333" w:type="pct"/>
            <w:shd w:val="clear" w:color="auto" w:fill="auto"/>
            <w:vAlign w:val="center"/>
          </w:tcPr>
          <w:p w14:paraId="3C463E0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2.926</w:t>
            </w:r>
          </w:p>
        </w:tc>
        <w:tc>
          <w:tcPr>
            <w:tcW w:w="333" w:type="pct"/>
            <w:shd w:val="clear" w:color="000000" w:fill="808080"/>
            <w:vAlign w:val="center"/>
          </w:tcPr>
          <w:p w14:paraId="6DC71CD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4.346</w:t>
            </w:r>
          </w:p>
        </w:tc>
        <w:tc>
          <w:tcPr>
            <w:tcW w:w="333" w:type="pct"/>
            <w:shd w:val="clear" w:color="auto" w:fill="auto"/>
            <w:vAlign w:val="center"/>
          </w:tcPr>
          <w:p w14:paraId="0AAA2CB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0.026</w:t>
            </w:r>
          </w:p>
        </w:tc>
        <w:tc>
          <w:tcPr>
            <w:tcW w:w="333" w:type="pct"/>
            <w:shd w:val="clear" w:color="auto" w:fill="auto"/>
            <w:vAlign w:val="center"/>
          </w:tcPr>
          <w:p w14:paraId="3D821C6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1.446</w:t>
            </w:r>
          </w:p>
        </w:tc>
        <w:tc>
          <w:tcPr>
            <w:tcW w:w="333" w:type="pct"/>
            <w:shd w:val="clear" w:color="auto" w:fill="auto"/>
            <w:vAlign w:val="center"/>
          </w:tcPr>
          <w:p w14:paraId="438896E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333" w:type="pct"/>
            <w:shd w:val="clear" w:color="auto" w:fill="auto"/>
            <w:vAlign w:val="center"/>
          </w:tcPr>
          <w:p w14:paraId="6A11DC9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1.420</w:t>
            </w:r>
          </w:p>
        </w:tc>
        <w:tc>
          <w:tcPr>
            <w:tcW w:w="333" w:type="pct"/>
            <w:shd w:val="clear" w:color="auto" w:fill="auto"/>
            <w:vAlign w:val="center"/>
          </w:tcPr>
          <w:p w14:paraId="4A48109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333" w:type="pct"/>
            <w:shd w:val="clear" w:color="auto" w:fill="auto"/>
            <w:vAlign w:val="center"/>
          </w:tcPr>
          <w:p w14:paraId="49B1C0E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1.420</w:t>
            </w:r>
          </w:p>
        </w:tc>
        <w:tc>
          <w:tcPr>
            <w:tcW w:w="333" w:type="pct"/>
            <w:shd w:val="clear" w:color="auto" w:fill="auto"/>
            <w:vAlign w:val="center"/>
          </w:tcPr>
          <w:p w14:paraId="4343544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333" w:type="pct"/>
            <w:shd w:val="clear" w:color="auto" w:fill="auto"/>
            <w:vAlign w:val="center"/>
          </w:tcPr>
          <w:p w14:paraId="0904541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1.420</w:t>
            </w:r>
          </w:p>
        </w:tc>
      </w:tr>
      <w:tr w:rsidR="008A2411" w:rsidRPr="008A2411" w14:paraId="2E27F954" w14:textId="77777777" w:rsidTr="008A2411">
        <w:trPr>
          <w:trHeight w:val="270"/>
        </w:trPr>
        <w:tc>
          <w:tcPr>
            <w:tcW w:w="333" w:type="pct"/>
            <w:shd w:val="clear" w:color="auto" w:fill="auto"/>
            <w:vAlign w:val="center"/>
          </w:tcPr>
          <w:p w14:paraId="59CF744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2173 </w:t>
            </w:r>
          </w:p>
        </w:tc>
        <w:tc>
          <w:tcPr>
            <w:tcW w:w="333" w:type="pct"/>
            <w:shd w:val="clear" w:color="auto" w:fill="auto"/>
            <w:vAlign w:val="center"/>
          </w:tcPr>
          <w:p w14:paraId="06AD3E2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0.286</w:t>
            </w:r>
          </w:p>
        </w:tc>
        <w:tc>
          <w:tcPr>
            <w:tcW w:w="333" w:type="pct"/>
            <w:shd w:val="clear" w:color="auto" w:fill="auto"/>
            <w:vAlign w:val="center"/>
          </w:tcPr>
          <w:p w14:paraId="3F36675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1.706</w:t>
            </w:r>
          </w:p>
        </w:tc>
        <w:tc>
          <w:tcPr>
            <w:tcW w:w="333" w:type="pct"/>
            <w:shd w:val="clear" w:color="auto" w:fill="auto"/>
            <w:vAlign w:val="center"/>
          </w:tcPr>
          <w:p w14:paraId="252824A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0.053</w:t>
            </w:r>
          </w:p>
        </w:tc>
        <w:tc>
          <w:tcPr>
            <w:tcW w:w="333" w:type="pct"/>
            <w:shd w:val="clear" w:color="auto" w:fill="auto"/>
            <w:vAlign w:val="center"/>
          </w:tcPr>
          <w:p w14:paraId="10136B5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1.473</w:t>
            </w:r>
          </w:p>
        </w:tc>
        <w:tc>
          <w:tcPr>
            <w:tcW w:w="333" w:type="pct"/>
            <w:shd w:val="clear" w:color="auto" w:fill="auto"/>
            <w:vAlign w:val="center"/>
          </w:tcPr>
          <w:p w14:paraId="5409E3C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1.716</w:t>
            </w:r>
          </w:p>
        </w:tc>
        <w:tc>
          <w:tcPr>
            <w:tcW w:w="333" w:type="pct"/>
            <w:shd w:val="clear" w:color="000000" w:fill="808080"/>
            <w:vAlign w:val="center"/>
          </w:tcPr>
          <w:p w14:paraId="1A74878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3.136</w:t>
            </w:r>
          </w:p>
        </w:tc>
        <w:tc>
          <w:tcPr>
            <w:tcW w:w="333" w:type="pct"/>
            <w:shd w:val="clear" w:color="auto" w:fill="auto"/>
            <w:vAlign w:val="center"/>
          </w:tcPr>
          <w:p w14:paraId="038073B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0.153</w:t>
            </w:r>
          </w:p>
        </w:tc>
        <w:tc>
          <w:tcPr>
            <w:tcW w:w="333" w:type="pct"/>
            <w:shd w:val="clear" w:color="auto" w:fill="auto"/>
            <w:vAlign w:val="center"/>
          </w:tcPr>
          <w:p w14:paraId="71E4820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1.573</w:t>
            </w:r>
          </w:p>
        </w:tc>
        <w:tc>
          <w:tcPr>
            <w:tcW w:w="333" w:type="pct"/>
            <w:shd w:val="clear" w:color="auto" w:fill="auto"/>
            <w:vAlign w:val="center"/>
          </w:tcPr>
          <w:p w14:paraId="665E4AF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0.002</w:t>
            </w:r>
          </w:p>
        </w:tc>
        <w:tc>
          <w:tcPr>
            <w:tcW w:w="333" w:type="pct"/>
            <w:shd w:val="clear" w:color="auto" w:fill="auto"/>
            <w:vAlign w:val="center"/>
          </w:tcPr>
          <w:p w14:paraId="4A6EFDE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1.422</w:t>
            </w:r>
          </w:p>
        </w:tc>
        <w:tc>
          <w:tcPr>
            <w:tcW w:w="333" w:type="pct"/>
            <w:shd w:val="clear" w:color="auto" w:fill="auto"/>
            <w:vAlign w:val="center"/>
          </w:tcPr>
          <w:p w14:paraId="1F0FAA1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333" w:type="pct"/>
            <w:shd w:val="clear" w:color="auto" w:fill="auto"/>
            <w:vAlign w:val="center"/>
          </w:tcPr>
          <w:p w14:paraId="36FDE58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1.420</w:t>
            </w:r>
          </w:p>
        </w:tc>
        <w:tc>
          <w:tcPr>
            <w:tcW w:w="333" w:type="pct"/>
            <w:shd w:val="clear" w:color="auto" w:fill="auto"/>
            <w:vAlign w:val="center"/>
          </w:tcPr>
          <w:p w14:paraId="455BB22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333" w:type="pct"/>
            <w:shd w:val="clear" w:color="auto" w:fill="auto"/>
            <w:vAlign w:val="center"/>
          </w:tcPr>
          <w:p w14:paraId="69CE65E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1.420</w:t>
            </w:r>
          </w:p>
        </w:tc>
      </w:tr>
      <w:tr w:rsidR="008A2411" w:rsidRPr="008A2411" w14:paraId="41A4F187" w14:textId="77777777" w:rsidTr="008A2411">
        <w:trPr>
          <w:trHeight w:val="270"/>
        </w:trPr>
        <w:tc>
          <w:tcPr>
            <w:tcW w:w="333" w:type="pct"/>
            <w:shd w:val="clear" w:color="auto" w:fill="auto"/>
            <w:vAlign w:val="center"/>
          </w:tcPr>
          <w:p w14:paraId="4E94DE0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3650 </w:t>
            </w:r>
          </w:p>
        </w:tc>
        <w:tc>
          <w:tcPr>
            <w:tcW w:w="333" w:type="pct"/>
            <w:shd w:val="clear" w:color="auto" w:fill="auto"/>
            <w:vAlign w:val="center"/>
          </w:tcPr>
          <w:p w14:paraId="4015F26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0.185</w:t>
            </w:r>
          </w:p>
        </w:tc>
        <w:tc>
          <w:tcPr>
            <w:tcW w:w="333" w:type="pct"/>
            <w:shd w:val="clear" w:color="auto" w:fill="auto"/>
            <w:vAlign w:val="center"/>
          </w:tcPr>
          <w:p w14:paraId="2501470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1.605</w:t>
            </w:r>
          </w:p>
        </w:tc>
        <w:tc>
          <w:tcPr>
            <w:tcW w:w="333" w:type="pct"/>
            <w:shd w:val="clear" w:color="auto" w:fill="auto"/>
            <w:vAlign w:val="center"/>
          </w:tcPr>
          <w:p w14:paraId="3D0F1A8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0.074</w:t>
            </w:r>
          </w:p>
        </w:tc>
        <w:tc>
          <w:tcPr>
            <w:tcW w:w="333" w:type="pct"/>
            <w:shd w:val="clear" w:color="auto" w:fill="auto"/>
            <w:vAlign w:val="center"/>
          </w:tcPr>
          <w:p w14:paraId="0778B8D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1.494</w:t>
            </w:r>
          </w:p>
        </w:tc>
        <w:tc>
          <w:tcPr>
            <w:tcW w:w="333" w:type="pct"/>
            <w:shd w:val="clear" w:color="auto" w:fill="auto"/>
            <w:vAlign w:val="center"/>
          </w:tcPr>
          <w:p w14:paraId="3D57816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1.049</w:t>
            </w:r>
          </w:p>
        </w:tc>
        <w:tc>
          <w:tcPr>
            <w:tcW w:w="333" w:type="pct"/>
            <w:shd w:val="clear" w:color="auto" w:fill="auto"/>
            <w:vAlign w:val="center"/>
          </w:tcPr>
          <w:p w14:paraId="610CCEF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2.469</w:t>
            </w:r>
          </w:p>
        </w:tc>
        <w:tc>
          <w:tcPr>
            <w:tcW w:w="333" w:type="pct"/>
            <w:shd w:val="clear" w:color="auto" w:fill="auto"/>
            <w:vAlign w:val="center"/>
          </w:tcPr>
          <w:p w14:paraId="436DE06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0.334</w:t>
            </w:r>
          </w:p>
        </w:tc>
        <w:tc>
          <w:tcPr>
            <w:tcW w:w="333" w:type="pct"/>
            <w:shd w:val="clear" w:color="auto" w:fill="auto"/>
            <w:vAlign w:val="center"/>
          </w:tcPr>
          <w:p w14:paraId="6946D27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1.754</w:t>
            </w:r>
          </w:p>
        </w:tc>
        <w:tc>
          <w:tcPr>
            <w:tcW w:w="333" w:type="pct"/>
            <w:shd w:val="clear" w:color="auto" w:fill="auto"/>
            <w:vAlign w:val="center"/>
          </w:tcPr>
          <w:p w14:paraId="5D05138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0.016</w:t>
            </w:r>
          </w:p>
        </w:tc>
        <w:tc>
          <w:tcPr>
            <w:tcW w:w="333" w:type="pct"/>
            <w:shd w:val="clear" w:color="auto" w:fill="auto"/>
            <w:vAlign w:val="center"/>
          </w:tcPr>
          <w:p w14:paraId="26CAAB9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1.436</w:t>
            </w:r>
          </w:p>
        </w:tc>
        <w:tc>
          <w:tcPr>
            <w:tcW w:w="333" w:type="pct"/>
            <w:shd w:val="clear" w:color="auto" w:fill="auto"/>
            <w:vAlign w:val="center"/>
          </w:tcPr>
          <w:p w14:paraId="4824696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333" w:type="pct"/>
            <w:shd w:val="clear" w:color="auto" w:fill="auto"/>
            <w:vAlign w:val="center"/>
          </w:tcPr>
          <w:p w14:paraId="37ECC08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1.420</w:t>
            </w:r>
          </w:p>
        </w:tc>
        <w:tc>
          <w:tcPr>
            <w:tcW w:w="333" w:type="pct"/>
            <w:shd w:val="clear" w:color="auto" w:fill="auto"/>
            <w:vAlign w:val="center"/>
          </w:tcPr>
          <w:p w14:paraId="10A2DDA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333" w:type="pct"/>
            <w:shd w:val="clear" w:color="auto" w:fill="auto"/>
            <w:vAlign w:val="center"/>
          </w:tcPr>
          <w:p w14:paraId="531E04A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1.420</w:t>
            </w:r>
          </w:p>
        </w:tc>
      </w:tr>
      <w:tr w:rsidR="008A2411" w:rsidRPr="008A2411" w14:paraId="5BD6F41D" w14:textId="77777777" w:rsidTr="008A2411">
        <w:trPr>
          <w:trHeight w:val="270"/>
        </w:trPr>
        <w:tc>
          <w:tcPr>
            <w:tcW w:w="333" w:type="pct"/>
            <w:shd w:val="clear" w:color="auto" w:fill="auto"/>
            <w:vAlign w:val="center"/>
          </w:tcPr>
          <w:p w14:paraId="6FD29BB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5728 </w:t>
            </w:r>
          </w:p>
        </w:tc>
        <w:tc>
          <w:tcPr>
            <w:tcW w:w="333" w:type="pct"/>
            <w:shd w:val="clear" w:color="auto" w:fill="auto"/>
            <w:vAlign w:val="center"/>
          </w:tcPr>
          <w:p w14:paraId="7DAD776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0.113</w:t>
            </w:r>
          </w:p>
        </w:tc>
        <w:tc>
          <w:tcPr>
            <w:tcW w:w="333" w:type="pct"/>
            <w:shd w:val="clear" w:color="auto" w:fill="auto"/>
            <w:vAlign w:val="center"/>
          </w:tcPr>
          <w:p w14:paraId="02C9964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1.533</w:t>
            </w:r>
          </w:p>
        </w:tc>
        <w:tc>
          <w:tcPr>
            <w:tcW w:w="333" w:type="pct"/>
            <w:shd w:val="clear" w:color="auto" w:fill="auto"/>
            <w:vAlign w:val="center"/>
          </w:tcPr>
          <w:p w14:paraId="0A97447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0.077</w:t>
            </w:r>
          </w:p>
        </w:tc>
        <w:tc>
          <w:tcPr>
            <w:tcW w:w="333" w:type="pct"/>
            <w:shd w:val="clear" w:color="auto" w:fill="auto"/>
            <w:vAlign w:val="center"/>
          </w:tcPr>
          <w:p w14:paraId="682A49D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1.497</w:t>
            </w:r>
          </w:p>
        </w:tc>
        <w:tc>
          <w:tcPr>
            <w:tcW w:w="333" w:type="pct"/>
            <w:shd w:val="clear" w:color="auto" w:fill="auto"/>
            <w:vAlign w:val="center"/>
          </w:tcPr>
          <w:p w14:paraId="395EDDC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0.635</w:t>
            </w:r>
          </w:p>
        </w:tc>
        <w:tc>
          <w:tcPr>
            <w:tcW w:w="333" w:type="pct"/>
            <w:shd w:val="clear" w:color="auto" w:fill="auto"/>
            <w:vAlign w:val="center"/>
          </w:tcPr>
          <w:p w14:paraId="076F572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2.055</w:t>
            </w:r>
          </w:p>
        </w:tc>
        <w:tc>
          <w:tcPr>
            <w:tcW w:w="333" w:type="pct"/>
            <w:shd w:val="clear" w:color="auto" w:fill="auto"/>
            <w:vAlign w:val="center"/>
          </w:tcPr>
          <w:p w14:paraId="556EC1D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0.464</w:t>
            </w:r>
          </w:p>
        </w:tc>
        <w:tc>
          <w:tcPr>
            <w:tcW w:w="333" w:type="pct"/>
            <w:shd w:val="clear" w:color="auto" w:fill="auto"/>
            <w:vAlign w:val="center"/>
          </w:tcPr>
          <w:p w14:paraId="1510278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1.884</w:t>
            </w:r>
          </w:p>
        </w:tc>
        <w:tc>
          <w:tcPr>
            <w:tcW w:w="333" w:type="pct"/>
            <w:shd w:val="clear" w:color="auto" w:fill="auto"/>
            <w:vAlign w:val="center"/>
          </w:tcPr>
          <w:p w14:paraId="27CA5E7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0.069</w:t>
            </w:r>
          </w:p>
        </w:tc>
        <w:tc>
          <w:tcPr>
            <w:tcW w:w="333" w:type="pct"/>
            <w:shd w:val="clear" w:color="auto" w:fill="auto"/>
            <w:vAlign w:val="center"/>
          </w:tcPr>
          <w:p w14:paraId="1997841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1.489</w:t>
            </w:r>
          </w:p>
        </w:tc>
        <w:tc>
          <w:tcPr>
            <w:tcW w:w="333" w:type="pct"/>
            <w:shd w:val="clear" w:color="auto" w:fill="auto"/>
            <w:vAlign w:val="center"/>
          </w:tcPr>
          <w:p w14:paraId="64B3B71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0.004</w:t>
            </w:r>
          </w:p>
        </w:tc>
        <w:tc>
          <w:tcPr>
            <w:tcW w:w="333" w:type="pct"/>
            <w:shd w:val="clear" w:color="auto" w:fill="auto"/>
            <w:vAlign w:val="center"/>
          </w:tcPr>
          <w:p w14:paraId="5D84629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1.424</w:t>
            </w:r>
          </w:p>
        </w:tc>
        <w:tc>
          <w:tcPr>
            <w:tcW w:w="333" w:type="pct"/>
            <w:shd w:val="clear" w:color="auto" w:fill="auto"/>
            <w:vAlign w:val="center"/>
          </w:tcPr>
          <w:p w14:paraId="3AC74E9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333" w:type="pct"/>
            <w:shd w:val="clear" w:color="auto" w:fill="auto"/>
            <w:vAlign w:val="center"/>
          </w:tcPr>
          <w:p w14:paraId="0B1FBE5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1.420</w:t>
            </w:r>
          </w:p>
        </w:tc>
      </w:tr>
      <w:tr w:rsidR="008A2411" w:rsidRPr="008A2411" w14:paraId="0FC404DD" w14:textId="77777777" w:rsidTr="008A2411">
        <w:trPr>
          <w:trHeight w:val="270"/>
        </w:trPr>
        <w:tc>
          <w:tcPr>
            <w:tcW w:w="333" w:type="pct"/>
            <w:shd w:val="clear" w:color="auto" w:fill="auto"/>
            <w:vAlign w:val="center"/>
          </w:tcPr>
          <w:p w14:paraId="605FDFD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7300 </w:t>
            </w:r>
          </w:p>
        </w:tc>
        <w:tc>
          <w:tcPr>
            <w:tcW w:w="333" w:type="pct"/>
            <w:shd w:val="clear" w:color="auto" w:fill="auto"/>
            <w:vAlign w:val="center"/>
          </w:tcPr>
          <w:p w14:paraId="591A224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0.083</w:t>
            </w:r>
          </w:p>
        </w:tc>
        <w:tc>
          <w:tcPr>
            <w:tcW w:w="333" w:type="pct"/>
            <w:shd w:val="clear" w:color="auto" w:fill="auto"/>
            <w:vAlign w:val="center"/>
          </w:tcPr>
          <w:p w14:paraId="5AA0DC7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1.503</w:t>
            </w:r>
          </w:p>
        </w:tc>
        <w:tc>
          <w:tcPr>
            <w:tcW w:w="333" w:type="pct"/>
            <w:shd w:val="clear" w:color="auto" w:fill="auto"/>
            <w:vAlign w:val="center"/>
          </w:tcPr>
          <w:p w14:paraId="6836E50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0.071</w:t>
            </w:r>
          </w:p>
        </w:tc>
        <w:tc>
          <w:tcPr>
            <w:tcW w:w="333" w:type="pct"/>
            <w:shd w:val="clear" w:color="auto" w:fill="auto"/>
            <w:vAlign w:val="center"/>
          </w:tcPr>
          <w:p w14:paraId="1CFCF39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1.491</w:t>
            </w:r>
          </w:p>
        </w:tc>
        <w:tc>
          <w:tcPr>
            <w:tcW w:w="333" w:type="pct"/>
            <w:shd w:val="clear" w:color="auto" w:fill="auto"/>
            <w:vAlign w:val="center"/>
          </w:tcPr>
          <w:p w14:paraId="2F18DA1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0.467</w:t>
            </w:r>
          </w:p>
        </w:tc>
        <w:tc>
          <w:tcPr>
            <w:tcW w:w="333" w:type="pct"/>
            <w:shd w:val="clear" w:color="auto" w:fill="auto"/>
            <w:vAlign w:val="center"/>
          </w:tcPr>
          <w:p w14:paraId="67738B1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1.887</w:t>
            </w:r>
          </w:p>
        </w:tc>
        <w:tc>
          <w:tcPr>
            <w:tcW w:w="333" w:type="pct"/>
            <w:shd w:val="clear" w:color="auto" w:fill="auto"/>
            <w:vAlign w:val="center"/>
          </w:tcPr>
          <w:p w14:paraId="56AB7F9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0.481</w:t>
            </w:r>
          </w:p>
        </w:tc>
        <w:tc>
          <w:tcPr>
            <w:tcW w:w="333" w:type="pct"/>
            <w:shd w:val="clear" w:color="auto" w:fill="auto"/>
            <w:vAlign w:val="center"/>
          </w:tcPr>
          <w:p w14:paraId="0C4AB15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1.901</w:t>
            </w:r>
          </w:p>
        </w:tc>
        <w:tc>
          <w:tcPr>
            <w:tcW w:w="333" w:type="pct"/>
            <w:shd w:val="clear" w:color="auto" w:fill="auto"/>
            <w:vAlign w:val="center"/>
          </w:tcPr>
          <w:p w14:paraId="2881A57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0.123</w:t>
            </w:r>
          </w:p>
        </w:tc>
        <w:tc>
          <w:tcPr>
            <w:tcW w:w="333" w:type="pct"/>
            <w:shd w:val="clear" w:color="auto" w:fill="auto"/>
            <w:vAlign w:val="center"/>
          </w:tcPr>
          <w:p w14:paraId="10B526F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1.543</w:t>
            </w:r>
          </w:p>
        </w:tc>
        <w:tc>
          <w:tcPr>
            <w:tcW w:w="333" w:type="pct"/>
            <w:shd w:val="clear" w:color="auto" w:fill="auto"/>
            <w:vAlign w:val="center"/>
          </w:tcPr>
          <w:p w14:paraId="10A5753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0.012</w:t>
            </w:r>
          </w:p>
        </w:tc>
        <w:tc>
          <w:tcPr>
            <w:tcW w:w="333" w:type="pct"/>
            <w:shd w:val="clear" w:color="auto" w:fill="auto"/>
            <w:vAlign w:val="center"/>
          </w:tcPr>
          <w:p w14:paraId="368E15B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1.432</w:t>
            </w:r>
          </w:p>
        </w:tc>
        <w:tc>
          <w:tcPr>
            <w:tcW w:w="333" w:type="pct"/>
            <w:shd w:val="clear" w:color="auto" w:fill="auto"/>
            <w:vAlign w:val="center"/>
          </w:tcPr>
          <w:p w14:paraId="03E3244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0.001</w:t>
            </w:r>
          </w:p>
        </w:tc>
        <w:tc>
          <w:tcPr>
            <w:tcW w:w="333" w:type="pct"/>
            <w:shd w:val="clear" w:color="auto" w:fill="auto"/>
            <w:vAlign w:val="center"/>
          </w:tcPr>
          <w:p w14:paraId="3BF3B71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1.421</w:t>
            </w:r>
          </w:p>
        </w:tc>
      </w:tr>
      <w:tr w:rsidR="008A2411" w:rsidRPr="008A2411" w14:paraId="6F28E0AD" w14:textId="77777777" w:rsidTr="008A2411">
        <w:trPr>
          <w:trHeight w:val="270"/>
        </w:trPr>
        <w:tc>
          <w:tcPr>
            <w:tcW w:w="333" w:type="pct"/>
            <w:shd w:val="clear" w:color="auto" w:fill="auto"/>
            <w:vAlign w:val="center"/>
          </w:tcPr>
          <w:p w14:paraId="6DFB506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9423 </w:t>
            </w:r>
          </w:p>
        </w:tc>
        <w:tc>
          <w:tcPr>
            <w:tcW w:w="333" w:type="pct"/>
            <w:shd w:val="clear" w:color="auto" w:fill="auto"/>
            <w:vAlign w:val="center"/>
          </w:tcPr>
          <w:p w14:paraId="5D48492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0.057</w:t>
            </w:r>
          </w:p>
        </w:tc>
        <w:tc>
          <w:tcPr>
            <w:tcW w:w="333" w:type="pct"/>
            <w:shd w:val="clear" w:color="auto" w:fill="auto"/>
            <w:vAlign w:val="center"/>
          </w:tcPr>
          <w:p w14:paraId="392B067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1.477</w:t>
            </w:r>
          </w:p>
        </w:tc>
        <w:tc>
          <w:tcPr>
            <w:tcW w:w="333" w:type="pct"/>
            <w:shd w:val="clear" w:color="auto" w:fill="auto"/>
            <w:vAlign w:val="center"/>
          </w:tcPr>
          <w:p w14:paraId="42A36D3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0.060</w:t>
            </w:r>
          </w:p>
        </w:tc>
        <w:tc>
          <w:tcPr>
            <w:tcW w:w="333" w:type="pct"/>
            <w:shd w:val="clear" w:color="auto" w:fill="auto"/>
            <w:vAlign w:val="center"/>
          </w:tcPr>
          <w:p w14:paraId="12A12E4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1.480</w:t>
            </w:r>
          </w:p>
        </w:tc>
        <w:tc>
          <w:tcPr>
            <w:tcW w:w="333" w:type="pct"/>
            <w:shd w:val="clear" w:color="auto" w:fill="auto"/>
            <w:vAlign w:val="center"/>
          </w:tcPr>
          <w:p w14:paraId="4C79DB3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0.329</w:t>
            </w:r>
          </w:p>
        </w:tc>
        <w:tc>
          <w:tcPr>
            <w:tcW w:w="333" w:type="pct"/>
            <w:shd w:val="clear" w:color="auto" w:fill="auto"/>
            <w:vAlign w:val="center"/>
          </w:tcPr>
          <w:p w14:paraId="79DCDE3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1.749</w:t>
            </w:r>
          </w:p>
        </w:tc>
        <w:tc>
          <w:tcPr>
            <w:tcW w:w="333" w:type="pct"/>
            <w:shd w:val="clear" w:color="auto" w:fill="auto"/>
            <w:vAlign w:val="center"/>
          </w:tcPr>
          <w:p w14:paraId="2945FE7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0.448</w:t>
            </w:r>
          </w:p>
        </w:tc>
        <w:tc>
          <w:tcPr>
            <w:tcW w:w="333" w:type="pct"/>
            <w:shd w:val="clear" w:color="auto" w:fill="auto"/>
            <w:vAlign w:val="center"/>
          </w:tcPr>
          <w:p w14:paraId="7D40A38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1.868</w:t>
            </w:r>
          </w:p>
        </w:tc>
        <w:tc>
          <w:tcPr>
            <w:tcW w:w="333" w:type="pct"/>
            <w:shd w:val="clear" w:color="auto" w:fill="auto"/>
            <w:vAlign w:val="center"/>
          </w:tcPr>
          <w:p w14:paraId="33CD582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0.189</w:t>
            </w:r>
          </w:p>
        </w:tc>
        <w:tc>
          <w:tcPr>
            <w:tcW w:w="333" w:type="pct"/>
            <w:shd w:val="clear" w:color="auto" w:fill="auto"/>
            <w:vAlign w:val="center"/>
          </w:tcPr>
          <w:p w14:paraId="67BB339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1.609</w:t>
            </w:r>
          </w:p>
        </w:tc>
        <w:tc>
          <w:tcPr>
            <w:tcW w:w="333" w:type="pct"/>
            <w:shd w:val="clear" w:color="auto" w:fill="auto"/>
            <w:vAlign w:val="center"/>
          </w:tcPr>
          <w:p w14:paraId="13B82CB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0.032</w:t>
            </w:r>
          </w:p>
        </w:tc>
        <w:tc>
          <w:tcPr>
            <w:tcW w:w="333" w:type="pct"/>
            <w:shd w:val="clear" w:color="auto" w:fill="auto"/>
            <w:vAlign w:val="center"/>
          </w:tcPr>
          <w:p w14:paraId="1B98F73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1.452</w:t>
            </w:r>
          </w:p>
        </w:tc>
        <w:tc>
          <w:tcPr>
            <w:tcW w:w="333" w:type="pct"/>
            <w:shd w:val="clear" w:color="auto" w:fill="auto"/>
            <w:vAlign w:val="center"/>
          </w:tcPr>
          <w:p w14:paraId="56501D4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0.004</w:t>
            </w:r>
          </w:p>
        </w:tc>
        <w:tc>
          <w:tcPr>
            <w:tcW w:w="333" w:type="pct"/>
            <w:shd w:val="clear" w:color="auto" w:fill="auto"/>
            <w:vAlign w:val="center"/>
          </w:tcPr>
          <w:p w14:paraId="5A7FAD5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1.424</w:t>
            </w:r>
          </w:p>
        </w:tc>
      </w:tr>
      <w:tr w:rsidR="008A2411" w:rsidRPr="008A2411" w14:paraId="7BA710C3" w14:textId="77777777" w:rsidTr="008A2411">
        <w:trPr>
          <w:trHeight w:val="270"/>
        </w:trPr>
        <w:tc>
          <w:tcPr>
            <w:tcW w:w="333" w:type="pct"/>
            <w:shd w:val="clear" w:color="auto" w:fill="auto"/>
            <w:vAlign w:val="center"/>
          </w:tcPr>
          <w:p w14:paraId="0E404E6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10950 </w:t>
            </w:r>
          </w:p>
        </w:tc>
        <w:tc>
          <w:tcPr>
            <w:tcW w:w="333" w:type="pct"/>
            <w:shd w:val="clear" w:color="auto" w:fill="auto"/>
            <w:vAlign w:val="center"/>
          </w:tcPr>
          <w:p w14:paraId="540C7B2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0.045</w:t>
            </w:r>
          </w:p>
        </w:tc>
        <w:tc>
          <w:tcPr>
            <w:tcW w:w="333" w:type="pct"/>
            <w:shd w:val="clear" w:color="auto" w:fill="auto"/>
            <w:vAlign w:val="center"/>
          </w:tcPr>
          <w:p w14:paraId="7DDCF6F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1.465</w:t>
            </w:r>
          </w:p>
        </w:tc>
        <w:tc>
          <w:tcPr>
            <w:tcW w:w="333" w:type="pct"/>
            <w:shd w:val="clear" w:color="auto" w:fill="auto"/>
            <w:vAlign w:val="center"/>
          </w:tcPr>
          <w:p w14:paraId="20FBF26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0.052</w:t>
            </w:r>
          </w:p>
        </w:tc>
        <w:tc>
          <w:tcPr>
            <w:tcW w:w="333" w:type="pct"/>
            <w:shd w:val="clear" w:color="auto" w:fill="auto"/>
            <w:vAlign w:val="center"/>
          </w:tcPr>
          <w:p w14:paraId="7C8EE63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1.472</w:t>
            </w:r>
          </w:p>
        </w:tc>
        <w:tc>
          <w:tcPr>
            <w:tcW w:w="333" w:type="pct"/>
            <w:shd w:val="clear" w:color="auto" w:fill="auto"/>
            <w:vAlign w:val="center"/>
          </w:tcPr>
          <w:p w14:paraId="1123419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0.260</w:t>
            </w:r>
          </w:p>
        </w:tc>
        <w:tc>
          <w:tcPr>
            <w:tcW w:w="333" w:type="pct"/>
            <w:shd w:val="clear" w:color="auto" w:fill="auto"/>
            <w:vAlign w:val="center"/>
          </w:tcPr>
          <w:p w14:paraId="10984E3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1.680</w:t>
            </w:r>
          </w:p>
        </w:tc>
        <w:tc>
          <w:tcPr>
            <w:tcW w:w="333" w:type="pct"/>
            <w:shd w:val="clear" w:color="auto" w:fill="auto"/>
            <w:vAlign w:val="center"/>
          </w:tcPr>
          <w:p w14:paraId="3DFE7B3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0.408</w:t>
            </w:r>
          </w:p>
        </w:tc>
        <w:tc>
          <w:tcPr>
            <w:tcW w:w="333" w:type="pct"/>
            <w:shd w:val="clear" w:color="auto" w:fill="auto"/>
            <w:vAlign w:val="center"/>
          </w:tcPr>
          <w:p w14:paraId="66C8B20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1.828</w:t>
            </w:r>
          </w:p>
        </w:tc>
        <w:tc>
          <w:tcPr>
            <w:tcW w:w="333" w:type="pct"/>
            <w:shd w:val="clear" w:color="auto" w:fill="auto"/>
            <w:vAlign w:val="center"/>
          </w:tcPr>
          <w:p w14:paraId="3C62D5B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0.223</w:t>
            </w:r>
          </w:p>
        </w:tc>
        <w:tc>
          <w:tcPr>
            <w:tcW w:w="333" w:type="pct"/>
            <w:shd w:val="clear" w:color="auto" w:fill="auto"/>
            <w:vAlign w:val="center"/>
          </w:tcPr>
          <w:p w14:paraId="36ACB9A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1.643</w:t>
            </w:r>
          </w:p>
        </w:tc>
        <w:tc>
          <w:tcPr>
            <w:tcW w:w="333" w:type="pct"/>
            <w:shd w:val="clear" w:color="auto" w:fill="auto"/>
            <w:vAlign w:val="center"/>
          </w:tcPr>
          <w:p w14:paraId="1B5AE0A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0.050</w:t>
            </w:r>
          </w:p>
        </w:tc>
        <w:tc>
          <w:tcPr>
            <w:tcW w:w="333" w:type="pct"/>
            <w:shd w:val="clear" w:color="auto" w:fill="auto"/>
            <w:vAlign w:val="center"/>
          </w:tcPr>
          <w:p w14:paraId="086A691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1.470</w:t>
            </w:r>
          </w:p>
        </w:tc>
        <w:tc>
          <w:tcPr>
            <w:tcW w:w="333" w:type="pct"/>
            <w:shd w:val="clear" w:color="auto" w:fill="auto"/>
            <w:vAlign w:val="center"/>
          </w:tcPr>
          <w:p w14:paraId="754DCD0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0.009</w:t>
            </w:r>
          </w:p>
        </w:tc>
        <w:tc>
          <w:tcPr>
            <w:tcW w:w="333" w:type="pct"/>
            <w:shd w:val="clear" w:color="auto" w:fill="auto"/>
            <w:vAlign w:val="center"/>
          </w:tcPr>
          <w:p w14:paraId="44BF583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1.429</w:t>
            </w:r>
          </w:p>
        </w:tc>
      </w:tr>
      <w:tr w:rsidR="008A2411" w:rsidRPr="008A2411" w14:paraId="4432BE68" w14:textId="77777777" w:rsidTr="008A2411">
        <w:trPr>
          <w:trHeight w:val="270"/>
        </w:trPr>
        <w:tc>
          <w:tcPr>
            <w:tcW w:w="333" w:type="pct"/>
            <w:shd w:val="clear" w:color="auto" w:fill="auto"/>
            <w:vAlign w:val="center"/>
          </w:tcPr>
          <w:p w14:paraId="533AF52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11370 </w:t>
            </w:r>
          </w:p>
        </w:tc>
        <w:tc>
          <w:tcPr>
            <w:tcW w:w="333" w:type="pct"/>
            <w:shd w:val="clear" w:color="auto" w:fill="auto"/>
            <w:vAlign w:val="center"/>
          </w:tcPr>
          <w:p w14:paraId="17DCFF1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0.035</w:t>
            </w:r>
          </w:p>
        </w:tc>
        <w:tc>
          <w:tcPr>
            <w:tcW w:w="333" w:type="pct"/>
            <w:shd w:val="clear" w:color="auto" w:fill="auto"/>
            <w:vAlign w:val="center"/>
          </w:tcPr>
          <w:p w14:paraId="1432E83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1.455</w:t>
            </w:r>
          </w:p>
        </w:tc>
        <w:tc>
          <w:tcPr>
            <w:tcW w:w="333" w:type="pct"/>
            <w:shd w:val="clear" w:color="auto" w:fill="auto"/>
            <w:vAlign w:val="center"/>
          </w:tcPr>
          <w:p w14:paraId="0003CED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0.045</w:t>
            </w:r>
          </w:p>
        </w:tc>
        <w:tc>
          <w:tcPr>
            <w:tcW w:w="333" w:type="pct"/>
            <w:shd w:val="clear" w:color="auto" w:fill="auto"/>
            <w:vAlign w:val="center"/>
          </w:tcPr>
          <w:p w14:paraId="2D23CD4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1.465</w:t>
            </w:r>
          </w:p>
        </w:tc>
        <w:tc>
          <w:tcPr>
            <w:tcW w:w="333" w:type="pct"/>
            <w:shd w:val="clear" w:color="auto" w:fill="auto"/>
            <w:vAlign w:val="center"/>
          </w:tcPr>
          <w:p w14:paraId="5187D4B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0.237</w:t>
            </w:r>
          </w:p>
        </w:tc>
        <w:tc>
          <w:tcPr>
            <w:tcW w:w="333" w:type="pct"/>
            <w:shd w:val="clear" w:color="auto" w:fill="auto"/>
            <w:vAlign w:val="center"/>
          </w:tcPr>
          <w:p w14:paraId="62F8850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1.657</w:t>
            </w:r>
          </w:p>
        </w:tc>
        <w:tc>
          <w:tcPr>
            <w:tcW w:w="333" w:type="pct"/>
            <w:shd w:val="clear" w:color="auto" w:fill="auto"/>
            <w:vAlign w:val="center"/>
          </w:tcPr>
          <w:p w14:paraId="7314282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0.396</w:t>
            </w:r>
          </w:p>
        </w:tc>
        <w:tc>
          <w:tcPr>
            <w:tcW w:w="333" w:type="pct"/>
            <w:shd w:val="clear" w:color="auto" w:fill="auto"/>
            <w:vAlign w:val="center"/>
          </w:tcPr>
          <w:p w14:paraId="6755F68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1.816</w:t>
            </w:r>
          </w:p>
        </w:tc>
        <w:tc>
          <w:tcPr>
            <w:tcW w:w="333" w:type="pct"/>
            <w:shd w:val="clear" w:color="auto" w:fill="auto"/>
            <w:vAlign w:val="center"/>
          </w:tcPr>
          <w:p w14:paraId="67DF6B1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0.232</w:t>
            </w:r>
          </w:p>
        </w:tc>
        <w:tc>
          <w:tcPr>
            <w:tcW w:w="333" w:type="pct"/>
            <w:shd w:val="clear" w:color="auto" w:fill="auto"/>
            <w:vAlign w:val="center"/>
          </w:tcPr>
          <w:p w14:paraId="011C273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1.652</w:t>
            </w:r>
          </w:p>
        </w:tc>
        <w:tc>
          <w:tcPr>
            <w:tcW w:w="333" w:type="pct"/>
            <w:shd w:val="clear" w:color="auto" w:fill="auto"/>
            <w:vAlign w:val="center"/>
          </w:tcPr>
          <w:p w14:paraId="301995B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0.055</w:t>
            </w:r>
          </w:p>
        </w:tc>
        <w:tc>
          <w:tcPr>
            <w:tcW w:w="333" w:type="pct"/>
            <w:shd w:val="clear" w:color="auto" w:fill="auto"/>
            <w:vAlign w:val="center"/>
          </w:tcPr>
          <w:p w14:paraId="609074E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1.475</w:t>
            </w:r>
          </w:p>
        </w:tc>
        <w:tc>
          <w:tcPr>
            <w:tcW w:w="333" w:type="pct"/>
            <w:shd w:val="clear" w:color="auto" w:fill="auto"/>
            <w:vAlign w:val="center"/>
          </w:tcPr>
          <w:p w14:paraId="20E2945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0.010</w:t>
            </w:r>
          </w:p>
        </w:tc>
        <w:tc>
          <w:tcPr>
            <w:tcW w:w="333" w:type="pct"/>
            <w:shd w:val="clear" w:color="auto" w:fill="auto"/>
            <w:vAlign w:val="center"/>
          </w:tcPr>
          <w:p w14:paraId="2F61562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1.430</w:t>
            </w:r>
          </w:p>
        </w:tc>
      </w:tr>
      <w:tr w:rsidR="008A2411" w:rsidRPr="008A2411" w14:paraId="178322B5" w14:textId="77777777" w:rsidTr="008A2411">
        <w:trPr>
          <w:trHeight w:val="270"/>
        </w:trPr>
        <w:tc>
          <w:tcPr>
            <w:tcW w:w="333" w:type="pct"/>
            <w:shd w:val="clear" w:color="auto" w:fill="auto"/>
            <w:vAlign w:val="center"/>
          </w:tcPr>
          <w:p w14:paraId="69BF640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11878 </w:t>
            </w:r>
          </w:p>
        </w:tc>
        <w:tc>
          <w:tcPr>
            <w:tcW w:w="333" w:type="pct"/>
            <w:shd w:val="clear" w:color="auto" w:fill="auto"/>
            <w:vAlign w:val="center"/>
          </w:tcPr>
          <w:p w14:paraId="6E6CA4D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0.026</w:t>
            </w:r>
          </w:p>
        </w:tc>
        <w:tc>
          <w:tcPr>
            <w:tcW w:w="333" w:type="pct"/>
            <w:shd w:val="clear" w:color="auto" w:fill="auto"/>
            <w:vAlign w:val="center"/>
          </w:tcPr>
          <w:p w14:paraId="58FC156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1.446</w:t>
            </w:r>
          </w:p>
        </w:tc>
        <w:tc>
          <w:tcPr>
            <w:tcW w:w="333" w:type="pct"/>
            <w:shd w:val="clear" w:color="auto" w:fill="auto"/>
            <w:vAlign w:val="center"/>
          </w:tcPr>
          <w:p w14:paraId="59CE203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0.038</w:t>
            </w:r>
          </w:p>
        </w:tc>
        <w:tc>
          <w:tcPr>
            <w:tcW w:w="333" w:type="pct"/>
            <w:shd w:val="clear" w:color="auto" w:fill="auto"/>
            <w:vAlign w:val="center"/>
          </w:tcPr>
          <w:p w14:paraId="53B65A8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1.458</w:t>
            </w:r>
          </w:p>
        </w:tc>
        <w:tc>
          <w:tcPr>
            <w:tcW w:w="333" w:type="pct"/>
            <w:shd w:val="clear" w:color="auto" w:fill="auto"/>
            <w:vAlign w:val="center"/>
          </w:tcPr>
          <w:p w14:paraId="15BC05F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0.213</w:t>
            </w:r>
          </w:p>
        </w:tc>
        <w:tc>
          <w:tcPr>
            <w:tcW w:w="333" w:type="pct"/>
            <w:shd w:val="clear" w:color="auto" w:fill="auto"/>
            <w:vAlign w:val="center"/>
          </w:tcPr>
          <w:p w14:paraId="693DF0E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1.633</w:t>
            </w:r>
          </w:p>
        </w:tc>
        <w:tc>
          <w:tcPr>
            <w:tcW w:w="333" w:type="pct"/>
            <w:shd w:val="clear" w:color="auto" w:fill="auto"/>
            <w:vAlign w:val="center"/>
          </w:tcPr>
          <w:p w14:paraId="084ED64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0.382</w:t>
            </w:r>
          </w:p>
        </w:tc>
        <w:tc>
          <w:tcPr>
            <w:tcW w:w="333" w:type="pct"/>
            <w:shd w:val="clear" w:color="auto" w:fill="auto"/>
            <w:vAlign w:val="center"/>
          </w:tcPr>
          <w:p w14:paraId="537E78B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1.802</w:t>
            </w:r>
          </w:p>
        </w:tc>
        <w:tc>
          <w:tcPr>
            <w:tcW w:w="333" w:type="pct"/>
            <w:shd w:val="clear" w:color="auto" w:fill="auto"/>
            <w:vAlign w:val="center"/>
          </w:tcPr>
          <w:p w14:paraId="35EAF7E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0.240</w:t>
            </w:r>
          </w:p>
        </w:tc>
        <w:tc>
          <w:tcPr>
            <w:tcW w:w="333" w:type="pct"/>
            <w:shd w:val="clear" w:color="auto" w:fill="auto"/>
            <w:vAlign w:val="center"/>
          </w:tcPr>
          <w:p w14:paraId="12351B7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1.660</w:t>
            </w:r>
          </w:p>
        </w:tc>
        <w:tc>
          <w:tcPr>
            <w:tcW w:w="333" w:type="pct"/>
            <w:shd w:val="clear" w:color="auto" w:fill="auto"/>
            <w:vAlign w:val="center"/>
          </w:tcPr>
          <w:p w14:paraId="1A6B165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0.062</w:t>
            </w:r>
          </w:p>
        </w:tc>
        <w:tc>
          <w:tcPr>
            <w:tcW w:w="333" w:type="pct"/>
            <w:shd w:val="clear" w:color="auto" w:fill="auto"/>
            <w:vAlign w:val="center"/>
          </w:tcPr>
          <w:p w14:paraId="1945FD3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1.482</w:t>
            </w:r>
          </w:p>
        </w:tc>
        <w:tc>
          <w:tcPr>
            <w:tcW w:w="333" w:type="pct"/>
            <w:shd w:val="clear" w:color="auto" w:fill="auto"/>
            <w:vAlign w:val="center"/>
          </w:tcPr>
          <w:p w14:paraId="2D0F5A5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0.012</w:t>
            </w:r>
          </w:p>
        </w:tc>
        <w:tc>
          <w:tcPr>
            <w:tcW w:w="333" w:type="pct"/>
            <w:shd w:val="clear" w:color="auto" w:fill="auto"/>
            <w:vAlign w:val="center"/>
          </w:tcPr>
          <w:p w14:paraId="4109295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1.432</w:t>
            </w:r>
          </w:p>
        </w:tc>
      </w:tr>
      <w:tr w:rsidR="008A2411" w:rsidRPr="008A2411" w14:paraId="7C9657ED" w14:textId="77777777" w:rsidTr="008A2411">
        <w:trPr>
          <w:trHeight w:val="270"/>
        </w:trPr>
        <w:tc>
          <w:tcPr>
            <w:tcW w:w="333" w:type="pct"/>
            <w:shd w:val="clear" w:color="auto" w:fill="auto"/>
            <w:vAlign w:val="center"/>
          </w:tcPr>
          <w:p w14:paraId="1CD72D2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12493 </w:t>
            </w:r>
          </w:p>
        </w:tc>
        <w:tc>
          <w:tcPr>
            <w:tcW w:w="333" w:type="pct"/>
            <w:shd w:val="clear" w:color="auto" w:fill="auto"/>
            <w:vAlign w:val="center"/>
          </w:tcPr>
          <w:p w14:paraId="05EC223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0.016</w:t>
            </w:r>
          </w:p>
        </w:tc>
        <w:tc>
          <w:tcPr>
            <w:tcW w:w="333" w:type="pct"/>
            <w:shd w:val="clear" w:color="auto" w:fill="auto"/>
            <w:vAlign w:val="center"/>
          </w:tcPr>
          <w:p w14:paraId="4EEA354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1.436</w:t>
            </w:r>
          </w:p>
        </w:tc>
        <w:tc>
          <w:tcPr>
            <w:tcW w:w="333" w:type="pct"/>
            <w:shd w:val="clear" w:color="auto" w:fill="auto"/>
            <w:vAlign w:val="center"/>
          </w:tcPr>
          <w:p w14:paraId="0A0BE58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0.032</w:t>
            </w:r>
          </w:p>
        </w:tc>
        <w:tc>
          <w:tcPr>
            <w:tcW w:w="333" w:type="pct"/>
            <w:shd w:val="clear" w:color="auto" w:fill="auto"/>
            <w:vAlign w:val="center"/>
          </w:tcPr>
          <w:p w14:paraId="0572218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1.452</w:t>
            </w:r>
          </w:p>
        </w:tc>
        <w:tc>
          <w:tcPr>
            <w:tcW w:w="333" w:type="pct"/>
            <w:shd w:val="clear" w:color="auto" w:fill="auto"/>
            <w:vAlign w:val="center"/>
          </w:tcPr>
          <w:p w14:paraId="067BE5B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0.189</w:t>
            </w:r>
          </w:p>
        </w:tc>
        <w:tc>
          <w:tcPr>
            <w:tcW w:w="333" w:type="pct"/>
            <w:shd w:val="clear" w:color="auto" w:fill="auto"/>
            <w:vAlign w:val="center"/>
          </w:tcPr>
          <w:p w14:paraId="5A28A2D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1.609</w:t>
            </w:r>
          </w:p>
        </w:tc>
        <w:tc>
          <w:tcPr>
            <w:tcW w:w="333" w:type="pct"/>
            <w:shd w:val="clear" w:color="auto" w:fill="auto"/>
            <w:vAlign w:val="center"/>
          </w:tcPr>
          <w:p w14:paraId="63FC6B5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0.364</w:t>
            </w:r>
          </w:p>
        </w:tc>
        <w:tc>
          <w:tcPr>
            <w:tcW w:w="333" w:type="pct"/>
            <w:shd w:val="clear" w:color="auto" w:fill="auto"/>
            <w:vAlign w:val="center"/>
          </w:tcPr>
          <w:p w14:paraId="65AE18B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1.784</w:t>
            </w:r>
          </w:p>
        </w:tc>
        <w:tc>
          <w:tcPr>
            <w:tcW w:w="333" w:type="pct"/>
            <w:shd w:val="clear" w:color="auto" w:fill="auto"/>
            <w:vAlign w:val="center"/>
          </w:tcPr>
          <w:p w14:paraId="62F7A60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0.249</w:t>
            </w:r>
          </w:p>
        </w:tc>
        <w:tc>
          <w:tcPr>
            <w:tcW w:w="333" w:type="pct"/>
            <w:shd w:val="clear" w:color="auto" w:fill="auto"/>
            <w:vAlign w:val="center"/>
          </w:tcPr>
          <w:p w14:paraId="51A8800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1.669</w:t>
            </w:r>
          </w:p>
        </w:tc>
        <w:tc>
          <w:tcPr>
            <w:tcW w:w="333" w:type="pct"/>
            <w:shd w:val="clear" w:color="auto" w:fill="auto"/>
            <w:vAlign w:val="center"/>
          </w:tcPr>
          <w:p w14:paraId="48447C9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0.070</w:t>
            </w:r>
          </w:p>
        </w:tc>
        <w:tc>
          <w:tcPr>
            <w:tcW w:w="333" w:type="pct"/>
            <w:shd w:val="clear" w:color="auto" w:fill="auto"/>
            <w:vAlign w:val="center"/>
          </w:tcPr>
          <w:p w14:paraId="066B68F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1.490</w:t>
            </w:r>
          </w:p>
        </w:tc>
        <w:tc>
          <w:tcPr>
            <w:tcW w:w="333" w:type="pct"/>
            <w:shd w:val="clear" w:color="auto" w:fill="auto"/>
            <w:vAlign w:val="center"/>
          </w:tcPr>
          <w:p w14:paraId="61A7B97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0.014</w:t>
            </w:r>
          </w:p>
        </w:tc>
        <w:tc>
          <w:tcPr>
            <w:tcW w:w="333" w:type="pct"/>
            <w:shd w:val="clear" w:color="auto" w:fill="auto"/>
            <w:vAlign w:val="center"/>
          </w:tcPr>
          <w:p w14:paraId="7A82878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1.434</w:t>
            </w:r>
          </w:p>
        </w:tc>
      </w:tr>
      <w:tr w:rsidR="008A2411" w:rsidRPr="008A2411" w14:paraId="0A60AAE6" w14:textId="77777777" w:rsidTr="008A2411">
        <w:trPr>
          <w:trHeight w:val="270"/>
        </w:trPr>
        <w:tc>
          <w:tcPr>
            <w:tcW w:w="333" w:type="pct"/>
            <w:shd w:val="clear" w:color="auto" w:fill="auto"/>
            <w:vAlign w:val="center"/>
          </w:tcPr>
          <w:p w14:paraId="2EB8121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13237 </w:t>
            </w:r>
          </w:p>
        </w:tc>
        <w:tc>
          <w:tcPr>
            <w:tcW w:w="333" w:type="pct"/>
            <w:shd w:val="clear" w:color="auto" w:fill="auto"/>
            <w:vAlign w:val="center"/>
          </w:tcPr>
          <w:p w14:paraId="669BB57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0.006</w:t>
            </w:r>
          </w:p>
        </w:tc>
        <w:tc>
          <w:tcPr>
            <w:tcW w:w="333" w:type="pct"/>
            <w:shd w:val="clear" w:color="auto" w:fill="auto"/>
            <w:vAlign w:val="center"/>
          </w:tcPr>
          <w:p w14:paraId="7E8E0C7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1.426</w:t>
            </w:r>
          </w:p>
        </w:tc>
        <w:tc>
          <w:tcPr>
            <w:tcW w:w="333" w:type="pct"/>
            <w:shd w:val="clear" w:color="auto" w:fill="auto"/>
            <w:vAlign w:val="center"/>
          </w:tcPr>
          <w:p w14:paraId="2A80464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0.026</w:t>
            </w:r>
          </w:p>
        </w:tc>
        <w:tc>
          <w:tcPr>
            <w:tcW w:w="333" w:type="pct"/>
            <w:shd w:val="clear" w:color="auto" w:fill="auto"/>
            <w:vAlign w:val="center"/>
          </w:tcPr>
          <w:p w14:paraId="161616E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1.446</w:t>
            </w:r>
          </w:p>
        </w:tc>
        <w:tc>
          <w:tcPr>
            <w:tcW w:w="333" w:type="pct"/>
            <w:shd w:val="clear" w:color="auto" w:fill="auto"/>
            <w:vAlign w:val="center"/>
          </w:tcPr>
          <w:p w14:paraId="687932F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0.163</w:t>
            </w:r>
          </w:p>
        </w:tc>
        <w:tc>
          <w:tcPr>
            <w:tcW w:w="333" w:type="pct"/>
            <w:shd w:val="clear" w:color="auto" w:fill="auto"/>
            <w:vAlign w:val="center"/>
          </w:tcPr>
          <w:p w14:paraId="0CA6386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1.583</w:t>
            </w:r>
          </w:p>
        </w:tc>
        <w:tc>
          <w:tcPr>
            <w:tcW w:w="333" w:type="pct"/>
            <w:shd w:val="clear" w:color="auto" w:fill="auto"/>
            <w:vAlign w:val="center"/>
          </w:tcPr>
          <w:p w14:paraId="5FCDAF9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0.341</w:t>
            </w:r>
          </w:p>
        </w:tc>
        <w:tc>
          <w:tcPr>
            <w:tcW w:w="333" w:type="pct"/>
            <w:shd w:val="clear" w:color="auto" w:fill="auto"/>
            <w:vAlign w:val="center"/>
          </w:tcPr>
          <w:p w14:paraId="70D6F3B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1.761</w:t>
            </w:r>
          </w:p>
        </w:tc>
        <w:tc>
          <w:tcPr>
            <w:tcW w:w="333" w:type="pct"/>
            <w:shd w:val="clear" w:color="auto" w:fill="auto"/>
            <w:vAlign w:val="center"/>
          </w:tcPr>
          <w:p w14:paraId="0150EA4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0.256</w:t>
            </w:r>
          </w:p>
        </w:tc>
        <w:tc>
          <w:tcPr>
            <w:tcW w:w="333" w:type="pct"/>
            <w:shd w:val="clear" w:color="auto" w:fill="auto"/>
            <w:vAlign w:val="center"/>
          </w:tcPr>
          <w:p w14:paraId="183993F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1.676</w:t>
            </w:r>
          </w:p>
        </w:tc>
        <w:tc>
          <w:tcPr>
            <w:tcW w:w="333" w:type="pct"/>
            <w:shd w:val="clear" w:color="auto" w:fill="auto"/>
            <w:vAlign w:val="center"/>
          </w:tcPr>
          <w:p w14:paraId="73EE5E9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0.080</w:t>
            </w:r>
          </w:p>
        </w:tc>
        <w:tc>
          <w:tcPr>
            <w:tcW w:w="333" w:type="pct"/>
            <w:shd w:val="clear" w:color="auto" w:fill="auto"/>
            <w:vAlign w:val="center"/>
          </w:tcPr>
          <w:p w14:paraId="1AAEE55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1.500</w:t>
            </w:r>
          </w:p>
        </w:tc>
        <w:tc>
          <w:tcPr>
            <w:tcW w:w="333" w:type="pct"/>
            <w:shd w:val="clear" w:color="auto" w:fill="auto"/>
            <w:vAlign w:val="center"/>
          </w:tcPr>
          <w:p w14:paraId="42A0F1D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0.017</w:t>
            </w:r>
          </w:p>
        </w:tc>
        <w:tc>
          <w:tcPr>
            <w:tcW w:w="333" w:type="pct"/>
            <w:shd w:val="clear" w:color="auto" w:fill="auto"/>
            <w:vAlign w:val="center"/>
          </w:tcPr>
          <w:p w14:paraId="336A26D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1.437</w:t>
            </w:r>
          </w:p>
        </w:tc>
      </w:tr>
      <w:tr w:rsidR="008A2411" w:rsidRPr="008A2411" w14:paraId="4E1625DE" w14:textId="77777777" w:rsidTr="008A2411">
        <w:trPr>
          <w:trHeight w:val="270"/>
        </w:trPr>
        <w:tc>
          <w:tcPr>
            <w:tcW w:w="333" w:type="pct"/>
            <w:shd w:val="clear" w:color="auto" w:fill="auto"/>
            <w:vAlign w:val="center"/>
          </w:tcPr>
          <w:p w14:paraId="3988F42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14600 </w:t>
            </w:r>
          </w:p>
        </w:tc>
        <w:tc>
          <w:tcPr>
            <w:tcW w:w="333" w:type="pct"/>
            <w:shd w:val="clear" w:color="auto" w:fill="auto"/>
            <w:vAlign w:val="center"/>
          </w:tcPr>
          <w:p w14:paraId="560B314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333" w:type="pct"/>
            <w:shd w:val="clear" w:color="auto" w:fill="auto"/>
            <w:vAlign w:val="center"/>
          </w:tcPr>
          <w:p w14:paraId="066EDBC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1.420</w:t>
            </w:r>
          </w:p>
        </w:tc>
        <w:tc>
          <w:tcPr>
            <w:tcW w:w="333" w:type="pct"/>
            <w:shd w:val="clear" w:color="auto" w:fill="auto"/>
            <w:vAlign w:val="center"/>
          </w:tcPr>
          <w:p w14:paraId="65F1E00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0.016</w:t>
            </w:r>
          </w:p>
        </w:tc>
        <w:tc>
          <w:tcPr>
            <w:tcW w:w="333" w:type="pct"/>
            <w:shd w:val="clear" w:color="auto" w:fill="auto"/>
            <w:vAlign w:val="center"/>
          </w:tcPr>
          <w:p w14:paraId="0B2BF64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1.436</w:t>
            </w:r>
          </w:p>
        </w:tc>
        <w:tc>
          <w:tcPr>
            <w:tcW w:w="333" w:type="pct"/>
            <w:shd w:val="clear" w:color="auto" w:fill="auto"/>
            <w:vAlign w:val="center"/>
          </w:tcPr>
          <w:p w14:paraId="3094198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0.125</w:t>
            </w:r>
          </w:p>
        </w:tc>
        <w:tc>
          <w:tcPr>
            <w:tcW w:w="333" w:type="pct"/>
            <w:shd w:val="clear" w:color="auto" w:fill="auto"/>
            <w:vAlign w:val="center"/>
          </w:tcPr>
          <w:p w14:paraId="3CA3FCB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1.545</w:t>
            </w:r>
          </w:p>
        </w:tc>
        <w:tc>
          <w:tcPr>
            <w:tcW w:w="333" w:type="pct"/>
            <w:shd w:val="clear" w:color="auto" w:fill="auto"/>
            <w:vAlign w:val="center"/>
          </w:tcPr>
          <w:p w14:paraId="7A2242C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0.301</w:t>
            </w:r>
          </w:p>
        </w:tc>
        <w:tc>
          <w:tcPr>
            <w:tcW w:w="333" w:type="pct"/>
            <w:shd w:val="clear" w:color="auto" w:fill="auto"/>
            <w:vAlign w:val="center"/>
          </w:tcPr>
          <w:p w14:paraId="0F67DD4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1.721</w:t>
            </w:r>
          </w:p>
        </w:tc>
        <w:tc>
          <w:tcPr>
            <w:tcW w:w="333" w:type="pct"/>
            <w:shd w:val="clear" w:color="auto" w:fill="auto"/>
            <w:vAlign w:val="center"/>
          </w:tcPr>
          <w:p w14:paraId="1E9FB2E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0.262</w:t>
            </w:r>
          </w:p>
        </w:tc>
        <w:tc>
          <w:tcPr>
            <w:tcW w:w="333" w:type="pct"/>
            <w:shd w:val="clear" w:color="auto" w:fill="auto"/>
            <w:vAlign w:val="center"/>
          </w:tcPr>
          <w:p w14:paraId="6F9EE27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1.682</w:t>
            </w:r>
          </w:p>
        </w:tc>
        <w:tc>
          <w:tcPr>
            <w:tcW w:w="333" w:type="pct"/>
            <w:shd w:val="clear" w:color="auto" w:fill="auto"/>
            <w:vAlign w:val="center"/>
          </w:tcPr>
          <w:p w14:paraId="3D61EE6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0.098</w:t>
            </w:r>
          </w:p>
        </w:tc>
        <w:tc>
          <w:tcPr>
            <w:tcW w:w="333" w:type="pct"/>
            <w:shd w:val="clear" w:color="auto" w:fill="auto"/>
            <w:vAlign w:val="center"/>
          </w:tcPr>
          <w:p w14:paraId="7104C2A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1.518</w:t>
            </w:r>
          </w:p>
        </w:tc>
        <w:tc>
          <w:tcPr>
            <w:tcW w:w="333" w:type="pct"/>
            <w:shd w:val="clear" w:color="auto" w:fill="auto"/>
            <w:vAlign w:val="center"/>
          </w:tcPr>
          <w:p w14:paraId="5EAC98E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0.024</w:t>
            </w:r>
          </w:p>
        </w:tc>
        <w:tc>
          <w:tcPr>
            <w:tcW w:w="333" w:type="pct"/>
            <w:shd w:val="clear" w:color="auto" w:fill="auto"/>
            <w:vAlign w:val="center"/>
          </w:tcPr>
          <w:p w14:paraId="1E73732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1.444</w:t>
            </w:r>
          </w:p>
        </w:tc>
      </w:tr>
      <w:tr w:rsidR="008A2411" w:rsidRPr="008A2411" w14:paraId="38591F24" w14:textId="77777777" w:rsidTr="008A2411">
        <w:trPr>
          <w:trHeight w:val="270"/>
        </w:trPr>
        <w:tc>
          <w:tcPr>
            <w:tcW w:w="333" w:type="pct"/>
            <w:shd w:val="clear" w:color="auto" w:fill="auto"/>
            <w:vAlign w:val="center"/>
          </w:tcPr>
          <w:p w14:paraId="42B7890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16489 </w:t>
            </w:r>
          </w:p>
        </w:tc>
        <w:tc>
          <w:tcPr>
            <w:tcW w:w="333" w:type="pct"/>
            <w:shd w:val="clear" w:color="auto" w:fill="auto"/>
            <w:vAlign w:val="center"/>
          </w:tcPr>
          <w:p w14:paraId="16114B3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333" w:type="pct"/>
            <w:shd w:val="clear" w:color="auto" w:fill="auto"/>
            <w:vAlign w:val="center"/>
          </w:tcPr>
          <w:p w14:paraId="307EEC6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1.420</w:t>
            </w:r>
          </w:p>
        </w:tc>
        <w:tc>
          <w:tcPr>
            <w:tcW w:w="333" w:type="pct"/>
            <w:shd w:val="clear" w:color="auto" w:fill="auto"/>
            <w:vAlign w:val="center"/>
          </w:tcPr>
          <w:p w14:paraId="1040BF9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0.006</w:t>
            </w:r>
          </w:p>
        </w:tc>
        <w:tc>
          <w:tcPr>
            <w:tcW w:w="333" w:type="pct"/>
            <w:shd w:val="clear" w:color="auto" w:fill="auto"/>
            <w:vAlign w:val="center"/>
          </w:tcPr>
          <w:p w14:paraId="1F03650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1.426</w:t>
            </w:r>
          </w:p>
        </w:tc>
        <w:tc>
          <w:tcPr>
            <w:tcW w:w="333" w:type="pct"/>
            <w:shd w:val="clear" w:color="auto" w:fill="auto"/>
            <w:vAlign w:val="center"/>
          </w:tcPr>
          <w:p w14:paraId="60471DC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0.085</w:t>
            </w:r>
          </w:p>
        </w:tc>
        <w:tc>
          <w:tcPr>
            <w:tcW w:w="333" w:type="pct"/>
            <w:shd w:val="clear" w:color="auto" w:fill="auto"/>
            <w:vAlign w:val="center"/>
          </w:tcPr>
          <w:p w14:paraId="234E0E2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1.505</w:t>
            </w:r>
          </w:p>
        </w:tc>
        <w:tc>
          <w:tcPr>
            <w:tcW w:w="333" w:type="pct"/>
            <w:shd w:val="clear" w:color="auto" w:fill="auto"/>
            <w:vAlign w:val="center"/>
          </w:tcPr>
          <w:p w14:paraId="04826E4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0.249</w:t>
            </w:r>
          </w:p>
        </w:tc>
        <w:tc>
          <w:tcPr>
            <w:tcW w:w="333" w:type="pct"/>
            <w:shd w:val="clear" w:color="auto" w:fill="auto"/>
            <w:vAlign w:val="center"/>
          </w:tcPr>
          <w:p w14:paraId="1ACD476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1.669</w:t>
            </w:r>
          </w:p>
        </w:tc>
        <w:tc>
          <w:tcPr>
            <w:tcW w:w="333" w:type="pct"/>
            <w:shd w:val="clear" w:color="auto" w:fill="auto"/>
            <w:vAlign w:val="center"/>
          </w:tcPr>
          <w:p w14:paraId="5039EBD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0.257</w:t>
            </w:r>
          </w:p>
        </w:tc>
        <w:tc>
          <w:tcPr>
            <w:tcW w:w="333" w:type="pct"/>
            <w:shd w:val="clear" w:color="auto" w:fill="auto"/>
            <w:vAlign w:val="center"/>
          </w:tcPr>
          <w:p w14:paraId="5918E59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1.677</w:t>
            </w:r>
          </w:p>
        </w:tc>
        <w:tc>
          <w:tcPr>
            <w:tcW w:w="333" w:type="pct"/>
            <w:shd w:val="clear" w:color="auto" w:fill="auto"/>
            <w:vAlign w:val="center"/>
          </w:tcPr>
          <w:p w14:paraId="2B2C362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0.119</w:t>
            </w:r>
          </w:p>
        </w:tc>
        <w:tc>
          <w:tcPr>
            <w:tcW w:w="333" w:type="pct"/>
            <w:shd w:val="clear" w:color="auto" w:fill="auto"/>
            <w:vAlign w:val="center"/>
          </w:tcPr>
          <w:p w14:paraId="5A25883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1.539</w:t>
            </w:r>
          </w:p>
        </w:tc>
        <w:tc>
          <w:tcPr>
            <w:tcW w:w="333" w:type="pct"/>
            <w:shd w:val="clear" w:color="auto" w:fill="auto"/>
            <w:vAlign w:val="center"/>
          </w:tcPr>
          <w:p w14:paraId="6CE8C72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0.035</w:t>
            </w:r>
          </w:p>
        </w:tc>
        <w:tc>
          <w:tcPr>
            <w:tcW w:w="333" w:type="pct"/>
            <w:shd w:val="clear" w:color="auto" w:fill="auto"/>
            <w:vAlign w:val="center"/>
          </w:tcPr>
          <w:p w14:paraId="392E17F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1.455</w:t>
            </w:r>
          </w:p>
        </w:tc>
      </w:tr>
      <w:tr w:rsidR="008A2411" w:rsidRPr="008A2411" w14:paraId="763D50A7" w14:textId="77777777" w:rsidTr="008A2411">
        <w:trPr>
          <w:trHeight w:val="270"/>
        </w:trPr>
        <w:tc>
          <w:tcPr>
            <w:tcW w:w="333" w:type="pct"/>
            <w:shd w:val="clear" w:color="auto" w:fill="auto"/>
            <w:vAlign w:val="center"/>
          </w:tcPr>
          <w:p w14:paraId="4E0C707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18250 </w:t>
            </w:r>
          </w:p>
        </w:tc>
        <w:tc>
          <w:tcPr>
            <w:tcW w:w="333" w:type="pct"/>
            <w:shd w:val="clear" w:color="auto" w:fill="auto"/>
            <w:vAlign w:val="center"/>
          </w:tcPr>
          <w:p w14:paraId="4E43242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333" w:type="pct"/>
            <w:shd w:val="clear" w:color="auto" w:fill="auto"/>
            <w:vAlign w:val="center"/>
          </w:tcPr>
          <w:p w14:paraId="00CFACD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1.420</w:t>
            </w:r>
          </w:p>
        </w:tc>
        <w:tc>
          <w:tcPr>
            <w:tcW w:w="333" w:type="pct"/>
            <w:shd w:val="clear" w:color="auto" w:fill="auto"/>
            <w:vAlign w:val="center"/>
          </w:tcPr>
          <w:p w14:paraId="3A275DF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333" w:type="pct"/>
            <w:shd w:val="clear" w:color="auto" w:fill="auto"/>
            <w:vAlign w:val="center"/>
          </w:tcPr>
          <w:p w14:paraId="134BE79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1.420</w:t>
            </w:r>
          </w:p>
        </w:tc>
        <w:tc>
          <w:tcPr>
            <w:tcW w:w="333" w:type="pct"/>
            <w:shd w:val="clear" w:color="auto" w:fill="auto"/>
            <w:vAlign w:val="center"/>
          </w:tcPr>
          <w:p w14:paraId="61FFF5D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0.056</w:t>
            </w:r>
          </w:p>
        </w:tc>
        <w:tc>
          <w:tcPr>
            <w:tcW w:w="333" w:type="pct"/>
            <w:shd w:val="clear" w:color="auto" w:fill="auto"/>
            <w:vAlign w:val="center"/>
          </w:tcPr>
          <w:p w14:paraId="3386906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1.476</w:t>
            </w:r>
          </w:p>
        </w:tc>
        <w:tc>
          <w:tcPr>
            <w:tcW w:w="333" w:type="pct"/>
            <w:shd w:val="clear" w:color="auto" w:fill="auto"/>
            <w:vAlign w:val="center"/>
          </w:tcPr>
          <w:p w14:paraId="4C5F40D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0.205</w:t>
            </w:r>
          </w:p>
        </w:tc>
        <w:tc>
          <w:tcPr>
            <w:tcW w:w="333" w:type="pct"/>
            <w:shd w:val="clear" w:color="auto" w:fill="auto"/>
            <w:vAlign w:val="center"/>
          </w:tcPr>
          <w:p w14:paraId="7D48895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1.625</w:t>
            </w:r>
          </w:p>
        </w:tc>
        <w:tc>
          <w:tcPr>
            <w:tcW w:w="333" w:type="pct"/>
            <w:shd w:val="clear" w:color="auto" w:fill="auto"/>
            <w:vAlign w:val="center"/>
          </w:tcPr>
          <w:p w14:paraId="62C9E91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0.243</w:t>
            </w:r>
          </w:p>
        </w:tc>
        <w:tc>
          <w:tcPr>
            <w:tcW w:w="333" w:type="pct"/>
            <w:shd w:val="clear" w:color="auto" w:fill="auto"/>
            <w:vAlign w:val="center"/>
          </w:tcPr>
          <w:p w14:paraId="77009FA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1.663</w:t>
            </w:r>
          </w:p>
        </w:tc>
        <w:tc>
          <w:tcPr>
            <w:tcW w:w="333" w:type="pct"/>
            <w:shd w:val="clear" w:color="auto" w:fill="auto"/>
            <w:vAlign w:val="center"/>
          </w:tcPr>
          <w:p w14:paraId="6DF8AFC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0.133</w:t>
            </w:r>
          </w:p>
        </w:tc>
        <w:tc>
          <w:tcPr>
            <w:tcW w:w="333" w:type="pct"/>
            <w:shd w:val="clear" w:color="auto" w:fill="auto"/>
            <w:vAlign w:val="center"/>
          </w:tcPr>
          <w:p w14:paraId="787BC8B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1.553</w:t>
            </w:r>
          </w:p>
        </w:tc>
        <w:tc>
          <w:tcPr>
            <w:tcW w:w="333" w:type="pct"/>
            <w:shd w:val="clear" w:color="auto" w:fill="auto"/>
            <w:vAlign w:val="center"/>
          </w:tcPr>
          <w:p w14:paraId="3FD1196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0.045</w:t>
            </w:r>
          </w:p>
        </w:tc>
        <w:tc>
          <w:tcPr>
            <w:tcW w:w="333" w:type="pct"/>
            <w:shd w:val="clear" w:color="auto" w:fill="auto"/>
            <w:vAlign w:val="center"/>
          </w:tcPr>
          <w:p w14:paraId="53C98D4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1.465</w:t>
            </w:r>
          </w:p>
        </w:tc>
      </w:tr>
    </w:tbl>
    <w:p w14:paraId="294C068A" w14:textId="77777777" w:rsidR="00B0005F" w:rsidRPr="008A2411" w:rsidRDefault="00B0005F">
      <w:pPr>
        <w:pStyle w:val="affffff5"/>
        <w:rPr>
          <w:rFonts w:ascii="Times New Roman" w:hAnsi="Times New Roman"/>
          <w:color w:val="000000" w:themeColor="text1"/>
        </w:rPr>
      </w:pPr>
    </w:p>
    <w:p w14:paraId="64A396F3" w14:textId="77777777" w:rsidR="00B0005F" w:rsidRPr="008A2411" w:rsidRDefault="00B0005F">
      <w:pPr>
        <w:pStyle w:val="affffff5"/>
        <w:rPr>
          <w:rFonts w:ascii="Times New Roman" w:hAnsi="Times New Roman"/>
          <w:color w:val="000000" w:themeColor="text1"/>
        </w:rPr>
      </w:pPr>
    </w:p>
    <w:p w14:paraId="72E2D8AB" w14:textId="77777777" w:rsidR="00B0005F" w:rsidRPr="008A2411" w:rsidRDefault="00B0005F">
      <w:pPr>
        <w:pStyle w:val="affffff5"/>
        <w:rPr>
          <w:rFonts w:ascii="Times New Roman" w:hAnsi="Times New Roman"/>
          <w:color w:val="000000" w:themeColor="text1"/>
        </w:rPr>
      </w:pPr>
    </w:p>
    <w:p w14:paraId="039F03A6" w14:textId="77777777" w:rsidR="00B0005F" w:rsidRPr="008A2411" w:rsidRDefault="00000000">
      <w:pPr>
        <w:pStyle w:val="affffffff7"/>
        <w:spacing w:before="60" w:after="60"/>
        <w:rPr>
          <w:color w:val="000000" w:themeColor="text1"/>
        </w:rPr>
      </w:pPr>
      <w:r w:rsidRPr="008A2411">
        <w:rPr>
          <w:color w:val="000000" w:themeColor="text1"/>
        </w:rPr>
        <w:lastRenderedPageBreak/>
        <w:t>表</w:t>
      </w:r>
      <w:r w:rsidRPr="008A2411">
        <w:rPr>
          <w:color w:val="000000" w:themeColor="text1"/>
        </w:rPr>
        <w:t xml:space="preserve">5.2-34  </w:t>
      </w:r>
      <w:proofErr w:type="gramStart"/>
      <w:r w:rsidRPr="008A2411">
        <w:rPr>
          <w:color w:val="000000" w:themeColor="text1"/>
        </w:rPr>
        <w:t>石油类沿地下水径流</w:t>
      </w:r>
      <w:proofErr w:type="gramEnd"/>
      <w:r w:rsidRPr="008A2411">
        <w:rPr>
          <w:color w:val="000000" w:themeColor="text1"/>
        </w:rPr>
        <w:t>方向贡献值随时间变化（单位：</w:t>
      </w:r>
      <w:r w:rsidRPr="008A2411">
        <w:rPr>
          <w:color w:val="000000" w:themeColor="text1"/>
        </w:rPr>
        <w:t>mg/L</w:t>
      </w:r>
      <w:r w:rsidRPr="008A2411">
        <w:rPr>
          <w:color w:val="000000" w:themeColor="text1"/>
        </w:rPr>
        <w:t>）</w:t>
      </w:r>
    </w:p>
    <w:tbl>
      <w:tblPr>
        <w:tblW w:w="4998" w:type="pct"/>
        <w:jc w:val="center"/>
        <w:tblLook w:val="04A0" w:firstRow="1" w:lastRow="0" w:firstColumn="1" w:lastColumn="0" w:noHBand="0" w:noVBand="1"/>
      </w:tblPr>
      <w:tblGrid>
        <w:gridCol w:w="1951"/>
        <w:gridCol w:w="2459"/>
        <w:gridCol w:w="1951"/>
        <w:gridCol w:w="1951"/>
        <w:gridCol w:w="1952"/>
        <w:gridCol w:w="1952"/>
        <w:gridCol w:w="1952"/>
      </w:tblGrid>
      <w:tr w:rsidR="008A2411" w:rsidRPr="008A2411" w14:paraId="68A86F3C" w14:textId="77777777">
        <w:trPr>
          <w:trHeight w:val="526"/>
          <w:jc w:val="center"/>
        </w:trPr>
        <w:tc>
          <w:tcPr>
            <w:tcW w:w="688" w:type="pct"/>
            <w:tcBorders>
              <w:top w:val="single" w:sz="4" w:space="0" w:color="auto"/>
              <w:left w:val="single" w:sz="4" w:space="0" w:color="auto"/>
              <w:bottom w:val="single" w:sz="4" w:space="0" w:color="auto"/>
              <w:right w:val="single" w:sz="4" w:space="0" w:color="auto"/>
            </w:tcBorders>
            <w:shd w:val="clear" w:color="auto" w:fill="auto"/>
            <w:vAlign w:val="center"/>
          </w:tcPr>
          <w:p w14:paraId="065B9D9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时间（</w:t>
            </w:r>
            <w:r w:rsidRPr="008A2411">
              <w:rPr>
                <w:rFonts w:ascii="Times New Roman"/>
                <w:color w:val="000000" w:themeColor="text1"/>
              </w:rPr>
              <w:t>d</w:t>
            </w:r>
            <w:r w:rsidRPr="008A2411">
              <w:rPr>
                <w:rFonts w:ascii="Times New Roman"/>
                <w:color w:val="000000" w:themeColor="text1"/>
              </w:rPr>
              <w:t>）</w:t>
            </w:r>
          </w:p>
        </w:tc>
        <w:tc>
          <w:tcPr>
            <w:tcW w:w="867" w:type="pct"/>
            <w:tcBorders>
              <w:top w:val="single" w:sz="4" w:space="0" w:color="auto"/>
              <w:left w:val="nil"/>
              <w:bottom w:val="single" w:sz="4" w:space="0" w:color="auto"/>
              <w:right w:val="single" w:sz="4" w:space="0" w:color="auto"/>
            </w:tcBorders>
            <w:shd w:val="clear" w:color="auto" w:fill="auto"/>
            <w:vAlign w:val="center"/>
          </w:tcPr>
          <w:p w14:paraId="03B9A31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导热油系统导热油炉区</w:t>
            </w:r>
          </w:p>
        </w:tc>
        <w:tc>
          <w:tcPr>
            <w:tcW w:w="688" w:type="pct"/>
            <w:tcBorders>
              <w:top w:val="single" w:sz="4" w:space="0" w:color="auto"/>
              <w:left w:val="nil"/>
              <w:bottom w:val="single" w:sz="4" w:space="0" w:color="auto"/>
              <w:right w:val="single" w:sz="4" w:space="0" w:color="auto"/>
            </w:tcBorders>
            <w:shd w:val="clear" w:color="auto" w:fill="auto"/>
            <w:vAlign w:val="center"/>
          </w:tcPr>
          <w:p w14:paraId="03B27F2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污水处理站</w:t>
            </w:r>
          </w:p>
        </w:tc>
        <w:tc>
          <w:tcPr>
            <w:tcW w:w="688" w:type="pct"/>
            <w:tcBorders>
              <w:top w:val="single" w:sz="4" w:space="0" w:color="auto"/>
              <w:left w:val="nil"/>
              <w:bottom w:val="single" w:sz="4" w:space="0" w:color="auto"/>
              <w:right w:val="single" w:sz="4" w:space="0" w:color="auto"/>
            </w:tcBorders>
            <w:shd w:val="clear" w:color="auto" w:fill="auto"/>
            <w:vAlign w:val="center"/>
          </w:tcPr>
          <w:p w14:paraId="71C4ADD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厂区边界</w:t>
            </w:r>
          </w:p>
        </w:tc>
        <w:tc>
          <w:tcPr>
            <w:tcW w:w="688" w:type="pct"/>
            <w:tcBorders>
              <w:top w:val="single" w:sz="4" w:space="0" w:color="auto"/>
              <w:left w:val="nil"/>
              <w:bottom w:val="single" w:sz="4" w:space="0" w:color="auto"/>
              <w:right w:val="single" w:sz="4" w:space="0" w:color="auto"/>
            </w:tcBorders>
            <w:shd w:val="clear" w:color="auto" w:fill="auto"/>
            <w:vAlign w:val="center"/>
          </w:tcPr>
          <w:p w14:paraId="214D230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下游</w:t>
            </w:r>
            <w:r w:rsidRPr="008A2411">
              <w:rPr>
                <w:rFonts w:ascii="Times New Roman"/>
                <w:color w:val="000000" w:themeColor="text1"/>
              </w:rPr>
              <w:t>50m</w:t>
            </w:r>
          </w:p>
        </w:tc>
        <w:tc>
          <w:tcPr>
            <w:tcW w:w="688" w:type="pct"/>
            <w:tcBorders>
              <w:top w:val="single" w:sz="4" w:space="0" w:color="auto"/>
              <w:left w:val="nil"/>
              <w:bottom w:val="single" w:sz="4" w:space="0" w:color="auto"/>
              <w:right w:val="single" w:sz="4" w:space="0" w:color="auto"/>
            </w:tcBorders>
            <w:shd w:val="clear" w:color="auto" w:fill="auto"/>
            <w:vAlign w:val="center"/>
          </w:tcPr>
          <w:p w14:paraId="2745F0B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下游</w:t>
            </w:r>
            <w:r w:rsidRPr="008A2411">
              <w:rPr>
                <w:rFonts w:ascii="Times New Roman"/>
                <w:color w:val="000000" w:themeColor="text1"/>
              </w:rPr>
              <w:t>100m</w:t>
            </w:r>
          </w:p>
        </w:tc>
        <w:tc>
          <w:tcPr>
            <w:tcW w:w="688" w:type="pct"/>
            <w:tcBorders>
              <w:top w:val="single" w:sz="4" w:space="0" w:color="auto"/>
              <w:left w:val="nil"/>
              <w:bottom w:val="single" w:sz="4" w:space="0" w:color="auto"/>
              <w:right w:val="single" w:sz="4" w:space="0" w:color="auto"/>
            </w:tcBorders>
            <w:shd w:val="clear" w:color="auto" w:fill="auto"/>
            <w:vAlign w:val="center"/>
          </w:tcPr>
          <w:p w14:paraId="412FFA7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下游约</w:t>
            </w:r>
            <w:r w:rsidRPr="008A2411">
              <w:rPr>
                <w:rFonts w:ascii="Times New Roman"/>
                <w:color w:val="000000" w:themeColor="text1"/>
              </w:rPr>
              <w:t>145m</w:t>
            </w:r>
            <w:r w:rsidRPr="008A2411">
              <w:rPr>
                <w:rFonts w:ascii="Times New Roman"/>
                <w:color w:val="000000" w:themeColor="text1"/>
              </w:rPr>
              <w:t>河边</w:t>
            </w:r>
          </w:p>
        </w:tc>
      </w:tr>
      <w:tr w:rsidR="008A2411" w:rsidRPr="008A2411" w14:paraId="53D25CBB" w14:textId="77777777">
        <w:trPr>
          <w:trHeight w:val="263"/>
          <w:jc w:val="center"/>
        </w:trPr>
        <w:tc>
          <w:tcPr>
            <w:tcW w:w="688" w:type="pct"/>
            <w:tcBorders>
              <w:top w:val="nil"/>
              <w:left w:val="single" w:sz="4" w:space="0" w:color="auto"/>
              <w:bottom w:val="single" w:sz="4" w:space="0" w:color="auto"/>
              <w:right w:val="single" w:sz="4" w:space="0" w:color="auto"/>
            </w:tcBorders>
            <w:shd w:val="clear" w:color="auto" w:fill="auto"/>
            <w:vAlign w:val="center"/>
          </w:tcPr>
          <w:p w14:paraId="20C03FF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1 </w:t>
            </w:r>
          </w:p>
        </w:tc>
        <w:tc>
          <w:tcPr>
            <w:tcW w:w="867" w:type="pct"/>
            <w:tcBorders>
              <w:top w:val="nil"/>
              <w:left w:val="nil"/>
              <w:bottom w:val="single" w:sz="4" w:space="0" w:color="auto"/>
              <w:right w:val="single" w:sz="4" w:space="0" w:color="auto"/>
            </w:tcBorders>
            <w:shd w:val="clear" w:color="000000" w:fill="808080"/>
            <w:vAlign w:val="center"/>
          </w:tcPr>
          <w:p w14:paraId="0A63BC0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1.286</w:t>
            </w:r>
          </w:p>
        </w:tc>
        <w:tc>
          <w:tcPr>
            <w:tcW w:w="688" w:type="pct"/>
            <w:tcBorders>
              <w:top w:val="nil"/>
              <w:left w:val="nil"/>
              <w:bottom w:val="single" w:sz="4" w:space="0" w:color="auto"/>
              <w:right w:val="single" w:sz="4" w:space="0" w:color="auto"/>
            </w:tcBorders>
            <w:shd w:val="clear" w:color="auto" w:fill="auto"/>
            <w:vAlign w:val="center"/>
          </w:tcPr>
          <w:p w14:paraId="2F3140B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0.040</w:t>
            </w:r>
          </w:p>
        </w:tc>
        <w:tc>
          <w:tcPr>
            <w:tcW w:w="688" w:type="pct"/>
            <w:tcBorders>
              <w:top w:val="nil"/>
              <w:left w:val="nil"/>
              <w:bottom w:val="single" w:sz="4" w:space="0" w:color="auto"/>
              <w:right w:val="single" w:sz="4" w:space="0" w:color="auto"/>
            </w:tcBorders>
            <w:shd w:val="clear" w:color="auto" w:fill="auto"/>
            <w:vAlign w:val="center"/>
          </w:tcPr>
          <w:p w14:paraId="0F8BB29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688" w:type="pct"/>
            <w:tcBorders>
              <w:top w:val="nil"/>
              <w:left w:val="nil"/>
              <w:bottom w:val="single" w:sz="4" w:space="0" w:color="auto"/>
              <w:right w:val="single" w:sz="4" w:space="0" w:color="auto"/>
            </w:tcBorders>
            <w:shd w:val="clear" w:color="auto" w:fill="auto"/>
            <w:vAlign w:val="center"/>
          </w:tcPr>
          <w:p w14:paraId="7D4E76E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688" w:type="pct"/>
            <w:tcBorders>
              <w:top w:val="nil"/>
              <w:left w:val="nil"/>
              <w:bottom w:val="single" w:sz="4" w:space="0" w:color="auto"/>
              <w:right w:val="single" w:sz="4" w:space="0" w:color="auto"/>
            </w:tcBorders>
            <w:shd w:val="clear" w:color="auto" w:fill="auto"/>
            <w:vAlign w:val="center"/>
          </w:tcPr>
          <w:p w14:paraId="46359E3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688" w:type="pct"/>
            <w:tcBorders>
              <w:top w:val="nil"/>
              <w:left w:val="nil"/>
              <w:bottom w:val="single" w:sz="4" w:space="0" w:color="auto"/>
              <w:right w:val="single" w:sz="4" w:space="0" w:color="auto"/>
            </w:tcBorders>
            <w:shd w:val="clear" w:color="auto" w:fill="auto"/>
            <w:vAlign w:val="center"/>
          </w:tcPr>
          <w:p w14:paraId="12048E4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r>
      <w:tr w:rsidR="008A2411" w:rsidRPr="008A2411" w14:paraId="61E1A4CE" w14:textId="77777777">
        <w:trPr>
          <w:trHeight w:val="263"/>
          <w:jc w:val="center"/>
        </w:trPr>
        <w:tc>
          <w:tcPr>
            <w:tcW w:w="688" w:type="pct"/>
            <w:tcBorders>
              <w:top w:val="nil"/>
              <w:left w:val="single" w:sz="4" w:space="0" w:color="auto"/>
              <w:bottom w:val="single" w:sz="4" w:space="0" w:color="auto"/>
              <w:right w:val="single" w:sz="4" w:space="0" w:color="auto"/>
            </w:tcBorders>
            <w:shd w:val="clear" w:color="auto" w:fill="auto"/>
            <w:vAlign w:val="center"/>
          </w:tcPr>
          <w:p w14:paraId="483C5B3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60 </w:t>
            </w:r>
          </w:p>
        </w:tc>
        <w:tc>
          <w:tcPr>
            <w:tcW w:w="867" w:type="pct"/>
            <w:tcBorders>
              <w:top w:val="nil"/>
              <w:left w:val="nil"/>
              <w:bottom w:val="single" w:sz="4" w:space="0" w:color="auto"/>
              <w:right w:val="single" w:sz="4" w:space="0" w:color="auto"/>
            </w:tcBorders>
            <w:shd w:val="clear" w:color="000000" w:fill="808080"/>
            <w:vAlign w:val="center"/>
          </w:tcPr>
          <w:p w14:paraId="4E83E1F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1.221</w:t>
            </w:r>
          </w:p>
        </w:tc>
        <w:tc>
          <w:tcPr>
            <w:tcW w:w="688" w:type="pct"/>
            <w:tcBorders>
              <w:top w:val="nil"/>
              <w:left w:val="nil"/>
              <w:bottom w:val="single" w:sz="4" w:space="0" w:color="auto"/>
              <w:right w:val="single" w:sz="4" w:space="0" w:color="auto"/>
            </w:tcBorders>
            <w:shd w:val="clear" w:color="000000" w:fill="808080"/>
            <w:vAlign w:val="center"/>
          </w:tcPr>
          <w:p w14:paraId="34806ED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2.283</w:t>
            </w:r>
          </w:p>
        </w:tc>
        <w:tc>
          <w:tcPr>
            <w:tcW w:w="688" w:type="pct"/>
            <w:tcBorders>
              <w:top w:val="nil"/>
              <w:left w:val="nil"/>
              <w:bottom w:val="single" w:sz="4" w:space="0" w:color="auto"/>
              <w:right w:val="single" w:sz="4" w:space="0" w:color="auto"/>
            </w:tcBorders>
            <w:shd w:val="clear" w:color="auto" w:fill="auto"/>
            <w:vAlign w:val="center"/>
          </w:tcPr>
          <w:p w14:paraId="3E27F03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688" w:type="pct"/>
            <w:tcBorders>
              <w:top w:val="nil"/>
              <w:left w:val="nil"/>
              <w:bottom w:val="single" w:sz="4" w:space="0" w:color="auto"/>
              <w:right w:val="single" w:sz="4" w:space="0" w:color="auto"/>
            </w:tcBorders>
            <w:shd w:val="clear" w:color="auto" w:fill="auto"/>
            <w:vAlign w:val="center"/>
          </w:tcPr>
          <w:p w14:paraId="1D38235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688" w:type="pct"/>
            <w:tcBorders>
              <w:top w:val="nil"/>
              <w:left w:val="nil"/>
              <w:bottom w:val="single" w:sz="4" w:space="0" w:color="auto"/>
              <w:right w:val="single" w:sz="4" w:space="0" w:color="auto"/>
            </w:tcBorders>
            <w:shd w:val="clear" w:color="auto" w:fill="auto"/>
            <w:vAlign w:val="center"/>
          </w:tcPr>
          <w:p w14:paraId="0DB15A0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688" w:type="pct"/>
            <w:tcBorders>
              <w:top w:val="nil"/>
              <w:left w:val="nil"/>
              <w:bottom w:val="single" w:sz="4" w:space="0" w:color="auto"/>
              <w:right w:val="single" w:sz="4" w:space="0" w:color="auto"/>
            </w:tcBorders>
            <w:shd w:val="clear" w:color="auto" w:fill="auto"/>
            <w:vAlign w:val="center"/>
          </w:tcPr>
          <w:p w14:paraId="67D7EE6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r>
      <w:tr w:rsidR="008A2411" w:rsidRPr="008A2411" w14:paraId="48834830" w14:textId="77777777">
        <w:trPr>
          <w:trHeight w:val="263"/>
          <w:jc w:val="center"/>
        </w:trPr>
        <w:tc>
          <w:tcPr>
            <w:tcW w:w="688" w:type="pct"/>
            <w:tcBorders>
              <w:top w:val="nil"/>
              <w:left w:val="single" w:sz="4" w:space="0" w:color="auto"/>
              <w:bottom w:val="single" w:sz="4" w:space="0" w:color="auto"/>
              <w:right w:val="single" w:sz="4" w:space="0" w:color="auto"/>
            </w:tcBorders>
            <w:shd w:val="clear" w:color="auto" w:fill="auto"/>
            <w:vAlign w:val="center"/>
          </w:tcPr>
          <w:p w14:paraId="287C664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100 </w:t>
            </w:r>
          </w:p>
        </w:tc>
        <w:tc>
          <w:tcPr>
            <w:tcW w:w="867" w:type="pct"/>
            <w:tcBorders>
              <w:top w:val="nil"/>
              <w:left w:val="nil"/>
              <w:bottom w:val="single" w:sz="4" w:space="0" w:color="auto"/>
              <w:right w:val="single" w:sz="4" w:space="0" w:color="auto"/>
            </w:tcBorders>
            <w:shd w:val="clear" w:color="000000" w:fill="808080"/>
            <w:vAlign w:val="center"/>
          </w:tcPr>
          <w:p w14:paraId="476D6E4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1.179</w:t>
            </w:r>
          </w:p>
        </w:tc>
        <w:tc>
          <w:tcPr>
            <w:tcW w:w="688" w:type="pct"/>
            <w:tcBorders>
              <w:top w:val="nil"/>
              <w:left w:val="nil"/>
              <w:bottom w:val="single" w:sz="4" w:space="0" w:color="auto"/>
              <w:right w:val="single" w:sz="4" w:space="0" w:color="auto"/>
            </w:tcBorders>
            <w:shd w:val="clear" w:color="000000" w:fill="808080"/>
            <w:vAlign w:val="center"/>
          </w:tcPr>
          <w:p w14:paraId="4C2CF05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2.215</w:t>
            </w:r>
          </w:p>
        </w:tc>
        <w:tc>
          <w:tcPr>
            <w:tcW w:w="688" w:type="pct"/>
            <w:tcBorders>
              <w:top w:val="nil"/>
              <w:left w:val="nil"/>
              <w:bottom w:val="single" w:sz="4" w:space="0" w:color="auto"/>
              <w:right w:val="single" w:sz="4" w:space="0" w:color="auto"/>
            </w:tcBorders>
            <w:shd w:val="clear" w:color="auto" w:fill="auto"/>
            <w:vAlign w:val="center"/>
          </w:tcPr>
          <w:p w14:paraId="730C085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688" w:type="pct"/>
            <w:tcBorders>
              <w:top w:val="nil"/>
              <w:left w:val="nil"/>
              <w:bottom w:val="single" w:sz="4" w:space="0" w:color="auto"/>
              <w:right w:val="single" w:sz="4" w:space="0" w:color="auto"/>
            </w:tcBorders>
            <w:shd w:val="clear" w:color="auto" w:fill="auto"/>
            <w:vAlign w:val="center"/>
          </w:tcPr>
          <w:p w14:paraId="2FA83B2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688" w:type="pct"/>
            <w:tcBorders>
              <w:top w:val="nil"/>
              <w:left w:val="nil"/>
              <w:bottom w:val="single" w:sz="4" w:space="0" w:color="auto"/>
              <w:right w:val="single" w:sz="4" w:space="0" w:color="auto"/>
            </w:tcBorders>
            <w:shd w:val="clear" w:color="auto" w:fill="auto"/>
            <w:vAlign w:val="center"/>
          </w:tcPr>
          <w:p w14:paraId="63F15F3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688" w:type="pct"/>
            <w:tcBorders>
              <w:top w:val="nil"/>
              <w:left w:val="nil"/>
              <w:bottom w:val="single" w:sz="4" w:space="0" w:color="auto"/>
              <w:right w:val="single" w:sz="4" w:space="0" w:color="auto"/>
            </w:tcBorders>
            <w:shd w:val="clear" w:color="auto" w:fill="auto"/>
            <w:vAlign w:val="center"/>
          </w:tcPr>
          <w:p w14:paraId="3DDFA9D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r>
      <w:tr w:rsidR="008A2411" w:rsidRPr="008A2411" w14:paraId="7BC8D2B3" w14:textId="77777777">
        <w:trPr>
          <w:trHeight w:val="263"/>
          <w:jc w:val="center"/>
        </w:trPr>
        <w:tc>
          <w:tcPr>
            <w:tcW w:w="688" w:type="pct"/>
            <w:tcBorders>
              <w:top w:val="nil"/>
              <w:left w:val="single" w:sz="4" w:space="0" w:color="auto"/>
              <w:bottom w:val="single" w:sz="4" w:space="0" w:color="auto"/>
              <w:right w:val="single" w:sz="4" w:space="0" w:color="auto"/>
            </w:tcBorders>
            <w:shd w:val="clear" w:color="auto" w:fill="auto"/>
            <w:vAlign w:val="center"/>
          </w:tcPr>
          <w:p w14:paraId="6F75444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320 </w:t>
            </w:r>
          </w:p>
        </w:tc>
        <w:tc>
          <w:tcPr>
            <w:tcW w:w="867" w:type="pct"/>
            <w:tcBorders>
              <w:top w:val="nil"/>
              <w:left w:val="nil"/>
              <w:bottom w:val="single" w:sz="4" w:space="0" w:color="auto"/>
              <w:right w:val="single" w:sz="4" w:space="0" w:color="auto"/>
            </w:tcBorders>
            <w:shd w:val="clear" w:color="000000" w:fill="808080"/>
            <w:vAlign w:val="center"/>
          </w:tcPr>
          <w:p w14:paraId="00C97F1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0.993</w:t>
            </w:r>
          </w:p>
        </w:tc>
        <w:tc>
          <w:tcPr>
            <w:tcW w:w="688" w:type="pct"/>
            <w:tcBorders>
              <w:top w:val="nil"/>
              <w:left w:val="nil"/>
              <w:bottom w:val="single" w:sz="4" w:space="0" w:color="auto"/>
              <w:right w:val="single" w:sz="4" w:space="0" w:color="auto"/>
            </w:tcBorders>
            <w:shd w:val="clear" w:color="000000" w:fill="808080"/>
            <w:vAlign w:val="center"/>
          </w:tcPr>
          <w:p w14:paraId="4D1E1FE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1.901</w:t>
            </w:r>
          </w:p>
        </w:tc>
        <w:tc>
          <w:tcPr>
            <w:tcW w:w="688" w:type="pct"/>
            <w:tcBorders>
              <w:top w:val="nil"/>
              <w:left w:val="nil"/>
              <w:bottom w:val="single" w:sz="4" w:space="0" w:color="auto"/>
              <w:right w:val="single" w:sz="4" w:space="0" w:color="auto"/>
            </w:tcBorders>
            <w:shd w:val="clear" w:color="auto" w:fill="auto"/>
            <w:vAlign w:val="center"/>
          </w:tcPr>
          <w:p w14:paraId="17B9B1E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0.001</w:t>
            </w:r>
          </w:p>
        </w:tc>
        <w:tc>
          <w:tcPr>
            <w:tcW w:w="688" w:type="pct"/>
            <w:tcBorders>
              <w:top w:val="nil"/>
              <w:left w:val="nil"/>
              <w:bottom w:val="single" w:sz="4" w:space="0" w:color="auto"/>
              <w:right w:val="single" w:sz="4" w:space="0" w:color="auto"/>
            </w:tcBorders>
            <w:shd w:val="clear" w:color="auto" w:fill="auto"/>
            <w:vAlign w:val="center"/>
          </w:tcPr>
          <w:p w14:paraId="49EA2AC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688" w:type="pct"/>
            <w:tcBorders>
              <w:top w:val="nil"/>
              <w:left w:val="nil"/>
              <w:bottom w:val="single" w:sz="4" w:space="0" w:color="auto"/>
              <w:right w:val="single" w:sz="4" w:space="0" w:color="auto"/>
            </w:tcBorders>
            <w:shd w:val="clear" w:color="auto" w:fill="auto"/>
            <w:vAlign w:val="center"/>
          </w:tcPr>
          <w:p w14:paraId="377801E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688" w:type="pct"/>
            <w:tcBorders>
              <w:top w:val="nil"/>
              <w:left w:val="nil"/>
              <w:bottom w:val="single" w:sz="4" w:space="0" w:color="auto"/>
              <w:right w:val="single" w:sz="4" w:space="0" w:color="auto"/>
            </w:tcBorders>
            <w:shd w:val="clear" w:color="auto" w:fill="auto"/>
            <w:vAlign w:val="center"/>
          </w:tcPr>
          <w:p w14:paraId="11EE3DE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r>
      <w:tr w:rsidR="008A2411" w:rsidRPr="008A2411" w14:paraId="164E569C" w14:textId="77777777">
        <w:trPr>
          <w:trHeight w:val="263"/>
          <w:jc w:val="center"/>
        </w:trPr>
        <w:tc>
          <w:tcPr>
            <w:tcW w:w="688" w:type="pct"/>
            <w:tcBorders>
              <w:top w:val="nil"/>
              <w:left w:val="single" w:sz="4" w:space="0" w:color="auto"/>
              <w:bottom w:val="single" w:sz="4" w:space="0" w:color="auto"/>
              <w:right w:val="single" w:sz="4" w:space="0" w:color="auto"/>
            </w:tcBorders>
            <w:shd w:val="clear" w:color="auto" w:fill="auto"/>
            <w:vAlign w:val="center"/>
          </w:tcPr>
          <w:p w14:paraId="624827C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365 </w:t>
            </w:r>
          </w:p>
        </w:tc>
        <w:tc>
          <w:tcPr>
            <w:tcW w:w="867" w:type="pct"/>
            <w:tcBorders>
              <w:top w:val="nil"/>
              <w:left w:val="nil"/>
              <w:bottom w:val="single" w:sz="4" w:space="0" w:color="auto"/>
              <w:right w:val="single" w:sz="4" w:space="0" w:color="auto"/>
            </w:tcBorders>
            <w:shd w:val="clear" w:color="000000" w:fill="808080"/>
            <w:vAlign w:val="center"/>
          </w:tcPr>
          <w:p w14:paraId="052B7FE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0.957</w:t>
            </w:r>
          </w:p>
        </w:tc>
        <w:tc>
          <w:tcPr>
            <w:tcW w:w="688" w:type="pct"/>
            <w:tcBorders>
              <w:top w:val="nil"/>
              <w:left w:val="nil"/>
              <w:bottom w:val="single" w:sz="4" w:space="0" w:color="auto"/>
              <w:right w:val="single" w:sz="4" w:space="0" w:color="auto"/>
            </w:tcBorders>
            <w:shd w:val="clear" w:color="000000" w:fill="808080"/>
            <w:vAlign w:val="center"/>
          </w:tcPr>
          <w:p w14:paraId="70D561C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1.841</w:t>
            </w:r>
          </w:p>
        </w:tc>
        <w:tc>
          <w:tcPr>
            <w:tcW w:w="688" w:type="pct"/>
            <w:tcBorders>
              <w:top w:val="nil"/>
              <w:left w:val="nil"/>
              <w:bottom w:val="single" w:sz="4" w:space="0" w:color="auto"/>
              <w:right w:val="single" w:sz="4" w:space="0" w:color="auto"/>
            </w:tcBorders>
            <w:shd w:val="clear" w:color="auto" w:fill="auto"/>
            <w:vAlign w:val="center"/>
          </w:tcPr>
          <w:p w14:paraId="4515125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0.001</w:t>
            </w:r>
          </w:p>
        </w:tc>
        <w:tc>
          <w:tcPr>
            <w:tcW w:w="688" w:type="pct"/>
            <w:tcBorders>
              <w:top w:val="nil"/>
              <w:left w:val="nil"/>
              <w:bottom w:val="single" w:sz="4" w:space="0" w:color="auto"/>
              <w:right w:val="single" w:sz="4" w:space="0" w:color="auto"/>
            </w:tcBorders>
            <w:shd w:val="clear" w:color="auto" w:fill="auto"/>
            <w:vAlign w:val="center"/>
          </w:tcPr>
          <w:p w14:paraId="546D87F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688" w:type="pct"/>
            <w:tcBorders>
              <w:top w:val="nil"/>
              <w:left w:val="nil"/>
              <w:bottom w:val="single" w:sz="4" w:space="0" w:color="auto"/>
              <w:right w:val="single" w:sz="4" w:space="0" w:color="auto"/>
            </w:tcBorders>
            <w:shd w:val="clear" w:color="auto" w:fill="auto"/>
            <w:vAlign w:val="center"/>
          </w:tcPr>
          <w:p w14:paraId="0906124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688" w:type="pct"/>
            <w:tcBorders>
              <w:top w:val="nil"/>
              <w:left w:val="nil"/>
              <w:bottom w:val="single" w:sz="4" w:space="0" w:color="auto"/>
              <w:right w:val="single" w:sz="4" w:space="0" w:color="auto"/>
            </w:tcBorders>
            <w:shd w:val="clear" w:color="auto" w:fill="auto"/>
            <w:vAlign w:val="center"/>
          </w:tcPr>
          <w:p w14:paraId="48F912A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r>
      <w:tr w:rsidR="008A2411" w:rsidRPr="008A2411" w14:paraId="6B3AED23" w14:textId="77777777">
        <w:trPr>
          <w:trHeight w:val="263"/>
          <w:jc w:val="center"/>
        </w:trPr>
        <w:tc>
          <w:tcPr>
            <w:tcW w:w="688" w:type="pct"/>
            <w:tcBorders>
              <w:top w:val="nil"/>
              <w:left w:val="single" w:sz="4" w:space="0" w:color="auto"/>
              <w:bottom w:val="single" w:sz="4" w:space="0" w:color="auto"/>
              <w:right w:val="single" w:sz="4" w:space="0" w:color="auto"/>
            </w:tcBorders>
            <w:shd w:val="clear" w:color="auto" w:fill="auto"/>
            <w:vAlign w:val="center"/>
          </w:tcPr>
          <w:p w14:paraId="565D576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730 </w:t>
            </w:r>
          </w:p>
        </w:tc>
        <w:tc>
          <w:tcPr>
            <w:tcW w:w="867" w:type="pct"/>
            <w:tcBorders>
              <w:top w:val="nil"/>
              <w:left w:val="nil"/>
              <w:bottom w:val="single" w:sz="4" w:space="0" w:color="auto"/>
              <w:right w:val="single" w:sz="4" w:space="0" w:color="auto"/>
            </w:tcBorders>
            <w:shd w:val="clear" w:color="000000" w:fill="808080"/>
            <w:vAlign w:val="center"/>
          </w:tcPr>
          <w:p w14:paraId="55EE846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0.735</w:t>
            </w:r>
          </w:p>
        </w:tc>
        <w:tc>
          <w:tcPr>
            <w:tcW w:w="688" w:type="pct"/>
            <w:tcBorders>
              <w:top w:val="nil"/>
              <w:left w:val="nil"/>
              <w:bottom w:val="single" w:sz="4" w:space="0" w:color="auto"/>
              <w:right w:val="single" w:sz="4" w:space="0" w:color="auto"/>
            </w:tcBorders>
            <w:shd w:val="clear" w:color="000000" w:fill="808080"/>
            <w:vAlign w:val="center"/>
          </w:tcPr>
          <w:p w14:paraId="3A5B0F0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1.461</w:t>
            </w:r>
          </w:p>
        </w:tc>
        <w:tc>
          <w:tcPr>
            <w:tcW w:w="688" w:type="pct"/>
            <w:tcBorders>
              <w:top w:val="nil"/>
              <w:left w:val="nil"/>
              <w:bottom w:val="single" w:sz="4" w:space="0" w:color="auto"/>
              <w:right w:val="single" w:sz="4" w:space="0" w:color="auto"/>
            </w:tcBorders>
            <w:shd w:val="clear" w:color="auto" w:fill="auto"/>
            <w:vAlign w:val="center"/>
          </w:tcPr>
          <w:p w14:paraId="525D748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0.005</w:t>
            </w:r>
          </w:p>
        </w:tc>
        <w:tc>
          <w:tcPr>
            <w:tcW w:w="688" w:type="pct"/>
            <w:tcBorders>
              <w:top w:val="nil"/>
              <w:left w:val="nil"/>
              <w:bottom w:val="single" w:sz="4" w:space="0" w:color="auto"/>
              <w:right w:val="single" w:sz="4" w:space="0" w:color="auto"/>
            </w:tcBorders>
            <w:shd w:val="clear" w:color="auto" w:fill="auto"/>
            <w:vAlign w:val="center"/>
          </w:tcPr>
          <w:p w14:paraId="664C8D8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688" w:type="pct"/>
            <w:tcBorders>
              <w:top w:val="nil"/>
              <w:left w:val="nil"/>
              <w:bottom w:val="single" w:sz="4" w:space="0" w:color="auto"/>
              <w:right w:val="single" w:sz="4" w:space="0" w:color="auto"/>
            </w:tcBorders>
            <w:shd w:val="clear" w:color="auto" w:fill="auto"/>
            <w:vAlign w:val="center"/>
          </w:tcPr>
          <w:p w14:paraId="21DF35A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688" w:type="pct"/>
            <w:tcBorders>
              <w:top w:val="nil"/>
              <w:left w:val="nil"/>
              <w:bottom w:val="single" w:sz="4" w:space="0" w:color="auto"/>
              <w:right w:val="single" w:sz="4" w:space="0" w:color="auto"/>
            </w:tcBorders>
            <w:shd w:val="clear" w:color="auto" w:fill="auto"/>
            <w:vAlign w:val="center"/>
          </w:tcPr>
          <w:p w14:paraId="0B1978C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r>
      <w:tr w:rsidR="008A2411" w:rsidRPr="008A2411" w14:paraId="2B65E2AF" w14:textId="77777777">
        <w:trPr>
          <w:trHeight w:val="263"/>
          <w:jc w:val="center"/>
        </w:trPr>
        <w:tc>
          <w:tcPr>
            <w:tcW w:w="688" w:type="pct"/>
            <w:tcBorders>
              <w:top w:val="nil"/>
              <w:left w:val="single" w:sz="4" w:space="0" w:color="auto"/>
              <w:bottom w:val="single" w:sz="4" w:space="0" w:color="auto"/>
              <w:right w:val="single" w:sz="4" w:space="0" w:color="auto"/>
            </w:tcBorders>
            <w:shd w:val="clear" w:color="auto" w:fill="auto"/>
            <w:vAlign w:val="center"/>
          </w:tcPr>
          <w:p w14:paraId="4EA8542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1000 </w:t>
            </w:r>
          </w:p>
        </w:tc>
        <w:tc>
          <w:tcPr>
            <w:tcW w:w="867" w:type="pct"/>
            <w:tcBorders>
              <w:top w:val="nil"/>
              <w:left w:val="nil"/>
              <w:bottom w:val="single" w:sz="4" w:space="0" w:color="auto"/>
              <w:right w:val="single" w:sz="4" w:space="0" w:color="auto"/>
            </w:tcBorders>
            <w:shd w:val="clear" w:color="000000" w:fill="808080"/>
            <w:vAlign w:val="center"/>
          </w:tcPr>
          <w:p w14:paraId="2AB1EA9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0.617</w:t>
            </w:r>
          </w:p>
        </w:tc>
        <w:tc>
          <w:tcPr>
            <w:tcW w:w="688" w:type="pct"/>
            <w:tcBorders>
              <w:top w:val="nil"/>
              <w:left w:val="nil"/>
              <w:bottom w:val="single" w:sz="4" w:space="0" w:color="auto"/>
              <w:right w:val="single" w:sz="4" w:space="0" w:color="auto"/>
            </w:tcBorders>
            <w:shd w:val="clear" w:color="000000" w:fill="808080"/>
            <w:vAlign w:val="center"/>
          </w:tcPr>
          <w:p w14:paraId="068144B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1.252</w:t>
            </w:r>
          </w:p>
        </w:tc>
        <w:tc>
          <w:tcPr>
            <w:tcW w:w="688" w:type="pct"/>
            <w:tcBorders>
              <w:top w:val="nil"/>
              <w:left w:val="nil"/>
              <w:bottom w:val="single" w:sz="4" w:space="0" w:color="auto"/>
              <w:right w:val="single" w:sz="4" w:space="0" w:color="auto"/>
            </w:tcBorders>
            <w:shd w:val="clear" w:color="auto" w:fill="auto"/>
            <w:vAlign w:val="center"/>
          </w:tcPr>
          <w:p w14:paraId="28364AF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0.011</w:t>
            </w:r>
          </w:p>
        </w:tc>
        <w:tc>
          <w:tcPr>
            <w:tcW w:w="688" w:type="pct"/>
            <w:tcBorders>
              <w:top w:val="nil"/>
              <w:left w:val="nil"/>
              <w:bottom w:val="single" w:sz="4" w:space="0" w:color="auto"/>
              <w:right w:val="single" w:sz="4" w:space="0" w:color="auto"/>
            </w:tcBorders>
            <w:shd w:val="clear" w:color="auto" w:fill="auto"/>
            <w:vAlign w:val="center"/>
          </w:tcPr>
          <w:p w14:paraId="45E5E24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688" w:type="pct"/>
            <w:tcBorders>
              <w:top w:val="nil"/>
              <w:left w:val="nil"/>
              <w:bottom w:val="single" w:sz="4" w:space="0" w:color="auto"/>
              <w:right w:val="single" w:sz="4" w:space="0" w:color="auto"/>
            </w:tcBorders>
            <w:shd w:val="clear" w:color="auto" w:fill="auto"/>
            <w:vAlign w:val="center"/>
          </w:tcPr>
          <w:p w14:paraId="1F27B39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688" w:type="pct"/>
            <w:tcBorders>
              <w:top w:val="nil"/>
              <w:left w:val="nil"/>
              <w:bottom w:val="single" w:sz="4" w:space="0" w:color="auto"/>
              <w:right w:val="single" w:sz="4" w:space="0" w:color="auto"/>
            </w:tcBorders>
            <w:shd w:val="clear" w:color="auto" w:fill="auto"/>
            <w:vAlign w:val="center"/>
          </w:tcPr>
          <w:p w14:paraId="5122496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r>
      <w:tr w:rsidR="008A2411" w:rsidRPr="008A2411" w14:paraId="3E2C3A77" w14:textId="77777777">
        <w:trPr>
          <w:trHeight w:val="263"/>
          <w:jc w:val="center"/>
        </w:trPr>
        <w:tc>
          <w:tcPr>
            <w:tcW w:w="688" w:type="pct"/>
            <w:tcBorders>
              <w:top w:val="nil"/>
              <w:left w:val="single" w:sz="4" w:space="0" w:color="auto"/>
              <w:bottom w:val="single" w:sz="4" w:space="0" w:color="auto"/>
              <w:right w:val="single" w:sz="4" w:space="0" w:color="auto"/>
            </w:tcBorders>
            <w:shd w:val="clear" w:color="auto" w:fill="auto"/>
            <w:vAlign w:val="center"/>
          </w:tcPr>
          <w:p w14:paraId="7EB6223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2173 </w:t>
            </w:r>
          </w:p>
        </w:tc>
        <w:tc>
          <w:tcPr>
            <w:tcW w:w="867" w:type="pct"/>
            <w:tcBorders>
              <w:top w:val="nil"/>
              <w:left w:val="nil"/>
              <w:bottom w:val="single" w:sz="4" w:space="0" w:color="auto"/>
              <w:right w:val="single" w:sz="4" w:space="0" w:color="auto"/>
            </w:tcBorders>
            <w:shd w:val="clear" w:color="000000" w:fill="808080"/>
            <w:vAlign w:val="center"/>
          </w:tcPr>
          <w:p w14:paraId="2C4CC07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0.336</w:t>
            </w:r>
          </w:p>
        </w:tc>
        <w:tc>
          <w:tcPr>
            <w:tcW w:w="688" w:type="pct"/>
            <w:tcBorders>
              <w:top w:val="nil"/>
              <w:left w:val="nil"/>
              <w:bottom w:val="single" w:sz="4" w:space="0" w:color="auto"/>
              <w:right w:val="single" w:sz="4" w:space="0" w:color="auto"/>
            </w:tcBorders>
            <w:shd w:val="clear" w:color="000000" w:fill="808080"/>
            <w:vAlign w:val="center"/>
          </w:tcPr>
          <w:p w14:paraId="177FD57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0.731</w:t>
            </w:r>
          </w:p>
        </w:tc>
        <w:tc>
          <w:tcPr>
            <w:tcW w:w="688" w:type="pct"/>
            <w:tcBorders>
              <w:top w:val="nil"/>
              <w:left w:val="nil"/>
              <w:bottom w:val="single" w:sz="4" w:space="0" w:color="auto"/>
              <w:right w:val="single" w:sz="4" w:space="0" w:color="auto"/>
            </w:tcBorders>
            <w:shd w:val="clear" w:color="000000" w:fill="808080"/>
            <w:vAlign w:val="center"/>
          </w:tcPr>
          <w:p w14:paraId="1E2D205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0.066</w:t>
            </w:r>
          </w:p>
        </w:tc>
        <w:tc>
          <w:tcPr>
            <w:tcW w:w="688" w:type="pct"/>
            <w:tcBorders>
              <w:top w:val="nil"/>
              <w:left w:val="nil"/>
              <w:bottom w:val="single" w:sz="4" w:space="0" w:color="auto"/>
              <w:right w:val="single" w:sz="4" w:space="0" w:color="auto"/>
            </w:tcBorders>
            <w:shd w:val="clear" w:color="auto" w:fill="auto"/>
            <w:vAlign w:val="center"/>
          </w:tcPr>
          <w:p w14:paraId="443E182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0.001</w:t>
            </w:r>
          </w:p>
        </w:tc>
        <w:tc>
          <w:tcPr>
            <w:tcW w:w="688" w:type="pct"/>
            <w:tcBorders>
              <w:top w:val="nil"/>
              <w:left w:val="nil"/>
              <w:bottom w:val="single" w:sz="4" w:space="0" w:color="auto"/>
              <w:right w:val="single" w:sz="4" w:space="0" w:color="auto"/>
            </w:tcBorders>
            <w:shd w:val="clear" w:color="auto" w:fill="auto"/>
            <w:vAlign w:val="center"/>
          </w:tcPr>
          <w:p w14:paraId="1D31374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688" w:type="pct"/>
            <w:tcBorders>
              <w:top w:val="nil"/>
              <w:left w:val="nil"/>
              <w:bottom w:val="single" w:sz="4" w:space="0" w:color="auto"/>
              <w:right w:val="single" w:sz="4" w:space="0" w:color="auto"/>
            </w:tcBorders>
            <w:shd w:val="clear" w:color="auto" w:fill="auto"/>
            <w:vAlign w:val="center"/>
          </w:tcPr>
          <w:p w14:paraId="042297F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r>
      <w:tr w:rsidR="008A2411" w:rsidRPr="008A2411" w14:paraId="71ED4A7F" w14:textId="77777777">
        <w:trPr>
          <w:trHeight w:val="263"/>
          <w:jc w:val="center"/>
        </w:trPr>
        <w:tc>
          <w:tcPr>
            <w:tcW w:w="688" w:type="pct"/>
            <w:tcBorders>
              <w:top w:val="nil"/>
              <w:left w:val="single" w:sz="4" w:space="0" w:color="auto"/>
              <w:bottom w:val="single" w:sz="4" w:space="0" w:color="auto"/>
              <w:right w:val="single" w:sz="4" w:space="0" w:color="auto"/>
            </w:tcBorders>
            <w:shd w:val="clear" w:color="auto" w:fill="auto"/>
            <w:vAlign w:val="center"/>
          </w:tcPr>
          <w:p w14:paraId="41CBC45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3650 </w:t>
            </w:r>
          </w:p>
        </w:tc>
        <w:tc>
          <w:tcPr>
            <w:tcW w:w="867" w:type="pct"/>
            <w:tcBorders>
              <w:top w:val="nil"/>
              <w:left w:val="nil"/>
              <w:bottom w:val="single" w:sz="4" w:space="0" w:color="auto"/>
              <w:right w:val="single" w:sz="4" w:space="0" w:color="auto"/>
            </w:tcBorders>
            <w:shd w:val="clear" w:color="000000" w:fill="808080"/>
            <w:vAlign w:val="center"/>
          </w:tcPr>
          <w:p w14:paraId="41391B8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0.195</w:t>
            </w:r>
          </w:p>
        </w:tc>
        <w:tc>
          <w:tcPr>
            <w:tcW w:w="688" w:type="pct"/>
            <w:tcBorders>
              <w:top w:val="nil"/>
              <w:left w:val="nil"/>
              <w:bottom w:val="single" w:sz="4" w:space="0" w:color="auto"/>
              <w:right w:val="single" w:sz="4" w:space="0" w:color="auto"/>
            </w:tcBorders>
            <w:shd w:val="clear" w:color="000000" w:fill="808080"/>
            <w:vAlign w:val="center"/>
          </w:tcPr>
          <w:p w14:paraId="46E1A13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0.444</w:t>
            </w:r>
          </w:p>
        </w:tc>
        <w:tc>
          <w:tcPr>
            <w:tcW w:w="688" w:type="pct"/>
            <w:tcBorders>
              <w:top w:val="nil"/>
              <w:left w:val="nil"/>
              <w:bottom w:val="single" w:sz="4" w:space="0" w:color="auto"/>
              <w:right w:val="single" w:sz="4" w:space="0" w:color="auto"/>
            </w:tcBorders>
            <w:shd w:val="clear" w:color="000000" w:fill="808080"/>
            <w:vAlign w:val="center"/>
          </w:tcPr>
          <w:p w14:paraId="58F1D9D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0.143</w:t>
            </w:r>
          </w:p>
        </w:tc>
        <w:tc>
          <w:tcPr>
            <w:tcW w:w="688" w:type="pct"/>
            <w:tcBorders>
              <w:top w:val="nil"/>
              <w:left w:val="nil"/>
              <w:bottom w:val="single" w:sz="4" w:space="0" w:color="auto"/>
              <w:right w:val="single" w:sz="4" w:space="0" w:color="auto"/>
            </w:tcBorders>
            <w:shd w:val="clear" w:color="auto" w:fill="auto"/>
            <w:vAlign w:val="center"/>
          </w:tcPr>
          <w:p w14:paraId="514030A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0.007</w:t>
            </w:r>
          </w:p>
        </w:tc>
        <w:tc>
          <w:tcPr>
            <w:tcW w:w="688" w:type="pct"/>
            <w:tcBorders>
              <w:top w:val="nil"/>
              <w:left w:val="nil"/>
              <w:bottom w:val="single" w:sz="4" w:space="0" w:color="auto"/>
              <w:right w:val="single" w:sz="4" w:space="0" w:color="auto"/>
            </w:tcBorders>
            <w:shd w:val="clear" w:color="auto" w:fill="auto"/>
            <w:vAlign w:val="center"/>
          </w:tcPr>
          <w:p w14:paraId="26966A8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688" w:type="pct"/>
            <w:tcBorders>
              <w:top w:val="nil"/>
              <w:left w:val="nil"/>
              <w:bottom w:val="single" w:sz="4" w:space="0" w:color="auto"/>
              <w:right w:val="single" w:sz="4" w:space="0" w:color="auto"/>
            </w:tcBorders>
            <w:shd w:val="clear" w:color="auto" w:fill="auto"/>
            <w:vAlign w:val="center"/>
          </w:tcPr>
          <w:p w14:paraId="738289C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r>
      <w:tr w:rsidR="008A2411" w:rsidRPr="008A2411" w14:paraId="191DBEAB" w14:textId="77777777">
        <w:trPr>
          <w:trHeight w:val="263"/>
          <w:jc w:val="center"/>
        </w:trPr>
        <w:tc>
          <w:tcPr>
            <w:tcW w:w="688" w:type="pct"/>
            <w:tcBorders>
              <w:top w:val="nil"/>
              <w:left w:val="single" w:sz="4" w:space="0" w:color="auto"/>
              <w:bottom w:val="single" w:sz="4" w:space="0" w:color="auto"/>
              <w:right w:val="single" w:sz="4" w:space="0" w:color="auto"/>
            </w:tcBorders>
            <w:shd w:val="clear" w:color="auto" w:fill="auto"/>
            <w:vAlign w:val="center"/>
          </w:tcPr>
          <w:p w14:paraId="374FDFD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5728 </w:t>
            </w:r>
          </w:p>
        </w:tc>
        <w:tc>
          <w:tcPr>
            <w:tcW w:w="867" w:type="pct"/>
            <w:tcBorders>
              <w:top w:val="nil"/>
              <w:left w:val="nil"/>
              <w:bottom w:val="single" w:sz="4" w:space="0" w:color="auto"/>
              <w:right w:val="single" w:sz="4" w:space="0" w:color="auto"/>
            </w:tcBorders>
            <w:shd w:val="clear" w:color="000000" w:fill="808080"/>
            <w:vAlign w:val="center"/>
          </w:tcPr>
          <w:p w14:paraId="0E4B6F7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0.113</w:t>
            </w:r>
          </w:p>
        </w:tc>
        <w:tc>
          <w:tcPr>
            <w:tcW w:w="688" w:type="pct"/>
            <w:tcBorders>
              <w:top w:val="nil"/>
              <w:left w:val="nil"/>
              <w:bottom w:val="single" w:sz="4" w:space="0" w:color="auto"/>
              <w:right w:val="single" w:sz="4" w:space="0" w:color="auto"/>
            </w:tcBorders>
            <w:shd w:val="clear" w:color="000000" w:fill="808080"/>
            <w:vAlign w:val="center"/>
          </w:tcPr>
          <w:p w14:paraId="7EFFBD5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0.266</w:t>
            </w:r>
          </w:p>
        </w:tc>
        <w:tc>
          <w:tcPr>
            <w:tcW w:w="688" w:type="pct"/>
            <w:tcBorders>
              <w:top w:val="nil"/>
              <w:left w:val="nil"/>
              <w:bottom w:val="single" w:sz="4" w:space="0" w:color="auto"/>
              <w:right w:val="single" w:sz="4" w:space="0" w:color="auto"/>
            </w:tcBorders>
            <w:shd w:val="clear" w:color="000000" w:fill="808080"/>
            <w:vAlign w:val="center"/>
          </w:tcPr>
          <w:p w14:paraId="341054C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0.198</w:t>
            </w:r>
          </w:p>
        </w:tc>
        <w:tc>
          <w:tcPr>
            <w:tcW w:w="688" w:type="pct"/>
            <w:tcBorders>
              <w:top w:val="nil"/>
              <w:left w:val="nil"/>
              <w:bottom w:val="single" w:sz="4" w:space="0" w:color="auto"/>
              <w:right w:val="single" w:sz="4" w:space="0" w:color="auto"/>
            </w:tcBorders>
            <w:shd w:val="clear" w:color="auto" w:fill="auto"/>
            <w:vAlign w:val="center"/>
          </w:tcPr>
          <w:p w14:paraId="7192295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0.030</w:t>
            </w:r>
          </w:p>
        </w:tc>
        <w:tc>
          <w:tcPr>
            <w:tcW w:w="688" w:type="pct"/>
            <w:tcBorders>
              <w:top w:val="nil"/>
              <w:left w:val="nil"/>
              <w:bottom w:val="single" w:sz="4" w:space="0" w:color="auto"/>
              <w:right w:val="single" w:sz="4" w:space="0" w:color="auto"/>
            </w:tcBorders>
            <w:shd w:val="clear" w:color="auto" w:fill="auto"/>
            <w:vAlign w:val="center"/>
          </w:tcPr>
          <w:p w14:paraId="0F48EBE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0.002</w:t>
            </w:r>
          </w:p>
        </w:tc>
        <w:tc>
          <w:tcPr>
            <w:tcW w:w="688" w:type="pct"/>
            <w:tcBorders>
              <w:top w:val="nil"/>
              <w:left w:val="nil"/>
              <w:bottom w:val="single" w:sz="4" w:space="0" w:color="auto"/>
              <w:right w:val="single" w:sz="4" w:space="0" w:color="auto"/>
            </w:tcBorders>
            <w:shd w:val="clear" w:color="auto" w:fill="auto"/>
            <w:vAlign w:val="center"/>
          </w:tcPr>
          <w:p w14:paraId="7B8E31E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r>
      <w:tr w:rsidR="008A2411" w:rsidRPr="008A2411" w14:paraId="3D708559" w14:textId="77777777">
        <w:trPr>
          <w:trHeight w:val="263"/>
          <w:jc w:val="center"/>
        </w:trPr>
        <w:tc>
          <w:tcPr>
            <w:tcW w:w="688" w:type="pct"/>
            <w:tcBorders>
              <w:top w:val="nil"/>
              <w:left w:val="single" w:sz="4" w:space="0" w:color="auto"/>
              <w:bottom w:val="single" w:sz="4" w:space="0" w:color="auto"/>
              <w:right w:val="single" w:sz="4" w:space="0" w:color="auto"/>
            </w:tcBorders>
            <w:shd w:val="clear" w:color="auto" w:fill="auto"/>
            <w:vAlign w:val="center"/>
          </w:tcPr>
          <w:p w14:paraId="252865E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7300 </w:t>
            </w:r>
          </w:p>
        </w:tc>
        <w:tc>
          <w:tcPr>
            <w:tcW w:w="867" w:type="pct"/>
            <w:tcBorders>
              <w:top w:val="nil"/>
              <w:left w:val="nil"/>
              <w:bottom w:val="single" w:sz="4" w:space="0" w:color="auto"/>
              <w:right w:val="single" w:sz="4" w:space="0" w:color="auto"/>
            </w:tcBorders>
            <w:shd w:val="clear" w:color="000000" w:fill="808080"/>
            <w:vAlign w:val="center"/>
          </w:tcPr>
          <w:p w14:paraId="19D97F0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0.082</w:t>
            </w:r>
          </w:p>
        </w:tc>
        <w:tc>
          <w:tcPr>
            <w:tcW w:w="688" w:type="pct"/>
            <w:tcBorders>
              <w:top w:val="nil"/>
              <w:left w:val="nil"/>
              <w:bottom w:val="single" w:sz="4" w:space="0" w:color="auto"/>
              <w:right w:val="single" w:sz="4" w:space="0" w:color="auto"/>
            </w:tcBorders>
            <w:shd w:val="clear" w:color="000000" w:fill="808080"/>
            <w:vAlign w:val="center"/>
          </w:tcPr>
          <w:p w14:paraId="47EBB11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0.194</w:t>
            </w:r>
          </w:p>
        </w:tc>
        <w:tc>
          <w:tcPr>
            <w:tcW w:w="688" w:type="pct"/>
            <w:tcBorders>
              <w:top w:val="nil"/>
              <w:left w:val="nil"/>
              <w:bottom w:val="single" w:sz="4" w:space="0" w:color="auto"/>
              <w:right w:val="single" w:sz="4" w:space="0" w:color="auto"/>
            </w:tcBorders>
            <w:shd w:val="clear" w:color="000000" w:fill="808080"/>
            <w:vAlign w:val="center"/>
          </w:tcPr>
          <w:p w14:paraId="37F4E4D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0.205</w:t>
            </w:r>
          </w:p>
        </w:tc>
        <w:tc>
          <w:tcPr>
            <w:tcW w:w="688" w:type="pct"/>
            <w:tcBorders>
              <w:top w:val="nil"/>
              <w:left w:val="nil"/>
              <w:bottom w:val="single" w:sz="4" w:space="0" w:color="auto"/>
              <w:right w:val="single" w:sz="4" w:space="0" w:color="auto"/>
            </w:tcBorders>
            <w:shd w:val="clear" w:color="000000" w:fill="808080"/>
            <w:vAlign w:val="center"/>
          </w:tcPr>
          <w:p w14:paraId="48FBFC1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0.053</w:t>
            </w:r>
          </w:p>
        </w:tc>
        <w:tc>
          <w:tcPr>
            <w:tcW w:w="688" w:type="pct"/>
            <w:tcBorders>
              <w:top w:val="nil"/>
              <w:left w:val="nil"/>
              <w:bottom w:val="single" w:sz="4" w:space="0" w:color="auto"/>
              <w:right w:val="single" w:sz="4" w:space="0" w:color="auto"/>
            </w:tcBorders>
            <w:shd w:val="clear" w:color="auto" w:fill="auto"/>
            <w:vAlign w:val="center"/>
          </w:tcPr>
          <w:p w14:paraId="0604204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0.005</w:t>
            </w:r>
          </w:p>
        </w:tc>
        <w:tc>
          <w:tcPr>
            <w:tcW w:w="688" w:type="pct"/>
            <w:tcBorders>
              <w:top w:val="nil"/>
              <w:left w:val="nil"/>
              <w:bottom w:val="single" w:sz="4" w:space="0" w:color="auto"/>
              <w:right w:val="single" w:sz="4" w:space="0" w:color="auto"/>
            </w:tcBorders>
            <w:shd w:val="clear" w:color="auto" w:fill="auto"/>
            <w:vAlign w:val="center"/>
          </w:tcPr>
          <w:p w14:paraId="6758318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r>
      <w:tr w:rsidR="008A2411" w:rsidRPr="008A2411" w14:paraId="2E08EB3D" w14:textId="77777777">
        <w:trPr>
          <w:trHeight w:val="263"/>
          <w:jc w:val="center"/>
        </w:trPr>
        <w:tc>
          <w:tcPr>
            <w:tcW w:w="688" w:type="pct"/>
            <w:tcBorders>
              <w:top w:val="nil"/>
              <w:left w:val="single" w:sz="4" w:space="0" w:color="auto"/>
              <w:bottom w:val="single" w:sz="4" w:space="0" w:color="auto"/>
              <w:right w:val="single" w:sz="4" w:space="0" w:color="auto"/>
            </w:tcBorders>
            <w:shd w:val="clear" w:color="auto" w:fill="auto"/>
            <w:vAlign w:val="center"/>
          </w:tcPr>
          <w:p w14:paraId="20B86C7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9423 </w:t>
            </w:r>
          </w:p>
        </w:tc>
        <w:tc>
          <w:tcPr>
            <w:tcW w:w="867" w:type="pct"/>
            <w:tcBorders>
              <w:top w:val="nil"/>
              <w:left w:val="nil"/>
              <w:bottom w:val="single" w:sz="4" w:space="0" w:color="auto"/>
              <w:right w:val="single" w:sz="4" w:space="0" w:color="auto"/>
            </w:tcBorders>
            <w:shd w:val="clear" w:color="000000" w:fill="808080"/>
            <w:vAlign w:val="center"/>
          </w:tcPr>
          <w:p w14:paraId="5E26EA5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0.056</w:t>
            </w:r>
          </w:p>
        </w:tc>
        <w:tc>
          <w:tcPr>
            <w:tcW w:w="688" w:type="pct"/>
            <w:tcBorders>
              <w:top w:val="nil"/>
              <w:left w:val="nil"/>
              <w:bottom w:val="single" w:sz="4" w:space="0" w:color="auto"/>
              <w:right w:val="single" w:sz="4" w:space="0" w:color="auto"/>
            </w:tcBorders>
            <w:shd w:val="clear" w:color="000000" w:fill="808080"/>
            <w:vAlign w:val="center"/>
          </w:tcPr>
          <w:p w14:paraId="15F94A9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0.134</w:t>
            </w:r>
          </w:p>
        </w:tc>
        <w:tc>
          <w:tcPr>
            <w:tcW w:w="688" w:type="pct"/>
            <w:tcBorders>
              <w:top w:val="nil"/>
              <w:left w:val="nil"/>
              <w:bottom w:val="single" w:sz="4" w:space="0" w:color="auto"/>
              <w:right w:val="single" w:sz="4" w:space="0" w:color="auto"/>
            </w:tcBorders>
            <w:shd w:val="clear" w:color="000000" w:fill="808080"/>
            <w:vAlign w:val="center"/>
          </w:tcPr>
          <w:p w14:paraId="17AFA98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0.189</w:t>
            </w:r>
          </w:p>
        </w:tc>
        <w:tc>
          <w:tcPr>
            <w:tcW w:w="688" w:type="pct"/>
            <w:tcBorders>
              <w:top w:val="nil"/>
              <w:left w:val="nil"/>
              <w:bottom w:val="single" w:sz="4" w:space="0" w:color="auto"/>
              <w:right w:val="single" w:sz="4" w:space="0" w:color="auto"/>
            </w:tcBorders>
            <w:shd w:val="clear" w:color="000000" w:fill="808080"/>
            <w:vAlign w:val="center"/>
          </w:tcPr>
          <w:p w14:paraId="490645C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0.082</w:t>
            </w:r>
          </w:p>
        </w:tc>
        <w:tc>
          <w:tcPr>
            <w:tcW w:w="688" w:type="pct"/>
            <w:tcBorders>
              <w:top w:val="nil"/>
              <w:left w:val="nil"/>
              <w:bottom w:val="single" w:sz="4" w:space="0" w:color="auto"/>
              <w:right w:val="single" w:sz="4" w:space="0" w:color="auto"/>
            </w:tcBorders>
            <w:shd w:val="clear" w:color="auto" w:fill="auto"/>
            <w:vAlign w:val="center"/>
          </w:tcPr>
          <w:p w14:paraId="10AFB89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0.014</w:t>
            </w:r>
          </w:p>
        </w:tc>
        <w:tc>
          <w:tcPr>
            <w:tcW w:w="688" w:type="pct"/>
            <w:tcBorders>
              <w:top w:val="nil"/>
              <w:left w:val="nil"/>
              <w:bottom w:val="single" w:sz="4" w:space="0" w:color="auto"/>
              <w:right w:val="single" w:sz="4" w:space="0" w:color="auto"/>
            </w:tcBorders>
            <w:shd w:val="clear" w:color="auto" w:fill="auto"/>
            <w:vAlign w:val="center"/>
          </w:tcPr>
          <w:p w14:paraId="40483AE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0.002</w:t>
            </w:r>
          </w:p>
        </w:tc>
      </w:tr>
      <w:tr w:rsidR="008A2411" w:rsidRPr="008A2411" w14:paraId="4832EE68" w14:textId="77777777">
        <w:trPr>
          <w:trHeight w:val="263"/>
          <w:jc w:val="center"/>
        </w:trPr>
        <w:tc>
          <w:tcPr>
            <w:tcW w:w="688" w:type="pct"/>
            <w:tcBorders>
              <w:top w:val="nil"/>
              <w:left w:val="single" w:sz="4" w:space="0" w:color="auto"/>
              <w:bottom w:val="single" w:sz="4" w:space="0" w:color="auto"/>
              <w:right w:val="single" w:sz="4" w:space="0" w:color="auto"/>
            </w:tcBorders>
            <w:shd w:val="clear" w:color="auto" w:fill="auto"/>
            <w:vAlign w:val="center"/>
          </w:tcPr>
          <w:p w14:paraId="273560E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10950 </w:t>
            </w:r>
          </w:p>
        </w:tc>
        <w:tc>
          <w:tcPr>
            <w:tcW w:w="867" w:type="pct"/>
            <w:tcBorders>
              <w:top w:val="nil"/>
              <w:left w:val="nil"/>
              <w:bottom w:val="single" w:sz="4" w:space="0" w:color="auto"/>
              <w:right w:val="single" w:sz="4" w:space="0" w:color="auto"/>
            </w:tcBorders>
            <w:shd w:val="clear" w:color="auto" w:fill="auto"/>
            <w:vAlign w:val="center"/>
          </w:tcPr>
          <w:p w14:paraId="45D313F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0.043</w:t>
            </w:r>
          </w:p>
        </w:tc>
        <w:tc>
          <w:tcPr>
            <w:tcW w:w="688" w:type="pct"/>
            <w:tcBorders>
              <w:top w:val="nil"/>
              <w:left w:val="nil"/>
              <w:bottom w:val="single" w:sz="4" w:space="0" w:color="auto"/>
              <w:right w:val="single" w:sz="4" w:space="0" w:color="auto"/>
            </w:tcBorders>
            <w:shd w:val="clear" w:color="000000" w:fill="808080"/>
            <w:vAlign w:val="center"/>
          </w:tcPr>
          <w:p w14:paraId="4DB1143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0.105</w:t>
            </w:r>
          </w:p>
        </w:tc>
        <w:tc>
          <w:tcPr>
            <w:tcW w:w="688" w:type="pct"/>
            <w:tcBorders>
              <w:top w:val="nil"/>
              <w:left w:val="nil"/>
              <w:bottom w:val="single" w:sz="4" w:space="0" w:color="auto"/>
              <w:right w:val="single" w:sz="4" w:space="0" w:color="auto"/>
            </w:tcBorders>
            <w:shd w:val="clear" w:color="000000" w:fill="808080"/>
            <w:vAlign w:val="center"/>
          </w:tcPr>
          <w:p w14:paraId="1D60572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0.172</w:t>
            </w:r>
          </w:p>
        </w:tc>
        <w:tc>
          <w:tcPr>
            <w:tcW w:w="688" w:type="pct"/>
            <w:tcBorders>
              <w:top w:val="nil"/>
              <w:left w:val="nil"/>
              <w:bottom w:val="single" w:sz="4" w:space="0" w:color="auto"/>
              <w:right w:val="single" w:sz="4" w:space="0" w:color="auto"/>
            </w:tcBorders>
            <w:shd w:val="clear" w:color="000000" w:fill="808080"/>
            <w:vAlign w:val="center"/>
          </w:tcPr>
          <w:p w14:paraId="13FBFAE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0.097</w:t>
            </w:r>
          </w:p>
        </w:tc>
        <w:tc>
          <w:tcPr>
            <w:tcW w:w="688" w:type="pct"/>
            <w:tcBorders>
              <w:top w:val="nil"/>
              <w:left w:val="nil"/>
              <w:bottom w:val="single" w:sz="4" w:space="0" w:color="auto"/>
              <w:right w:val="single" w:sz="4" w:space="0" w:color="auto"/>
            </w:tcBorders>
            <w:shd w:val="clear" w:color="auto" w:fill="auto"/>
            <w:vAlign w:val="center"/>
          </w:tcPr>
          <w:p w14:paraId="44D4A52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0.022</w:t>
            </w:r>
          </w:p>
        </w:tc>
        <w:tc>
          <w:tcPr>
            <w:tcW w:w="688" w:type="pct"/>
            <w:tcBorders>
              <w:top w:val="nil"/>
              <w:left w:val="nil"/>
              <w:bottom w:val="single" w:sz="4" w:space="0" w:color="auto"/>
              <w:right w:val="single" w:sz="4" w:space="0" w:color="auto"/>
            </w:tcBorders>
            <w:shd w:val="clear" w:color="auto" w:fill="auto"/>
            <w:vAlign w:val="center"/>
          </w:tcPr>
          <w:p w14:paraId="2CD0254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0.004</w:t>
            </w:r>
          </w:p>
        </w:tc>
      </w:tr>
      <w:tr w:rsidR="008A2411" w:rsidRPr="008A2411" w14:paraId="1AA6D6EB" w14:textId="77777777">
        <w:trPr>
          <w:trHeight w:val="263"/>
          <w:jc w:val="center"/>
        </w:trPr>
        <w:tc>
          <w:tcPr>
            <w:tcW w:w="688" w:type="pct"/>
            <w:tcBorders>
              <w:top w:val="nil"/>
              <w:left w:val="single" w:sz="4" w:space="0" w:color="auto"/>
              <w:bottom w:val="single" w:sz="4" w:space="0" w:color="auto"/>
              <w:right w:val="single" w:sz="4" w:space="0" w:color="auto"/>
            </w:tcBorders>
            <w:shd w:val="clear" w:color="auto" w:fill="auto"/>
            <w:vAlign w:val="center"/>
          </w:tcPr>
          <w:p w14:paraId="64F0EEE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11370 </w:t>
            </w:r>
          </w:p>
        </w:tc>
        <w:tc>
          <w:tcPr>
            <w:tcW w:w="867" w:type="pct"/>
            <w:tcBorders>
              <w:top w:val="nil"/>
              <w:left w:val="nil"/>
              <w:bottom w:val="single" w:sz="4" w:space="0" w:color="auto"/>
              <w:right w:val="single" w:sz="4" w:space="0" w:color="auto"/>
            </w:tcBorders>
            <w:shd w:val="clear" w:color="auto" w:fill="auto"/>
            <w:vAlign w:val="center"/>
          </w:tcPr>
          <w:p w14:paraId="0A0A466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0.035</w:t>
            </w:r>
          </w:p>
        </w:tc>
        <w:tc>
          <w:tcPr>
            <w:tcW w:w="688" w:type="pct"/>
            <w:tcBorders>
              <w:top w:val="nil"/>
              <w:left w:val="nil"/>
              <w:bottom w:val="single" w:sz="4" w:space="0" w:color="auto"/>
              <w:right w:val="single" w:sz="4" w:space="0" w:color="auto"/>
            </w:tcBorders>
            <w:shd w:val="clear" w:color="000000" w:fill="808080"/>
            <w:vAlign w:val="center"/>
          </w:tcPr>
          <w:p w14:paraId="473B842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0.092</w:t>
            </w:r>
          </w:p>
        </w:tc>
        <w:tc>
          <w:tcPr>
            <w:tcW w:w="688" w:type="pct"/>
            <w:tcBorders>
              <w:top w:val="nil"/>
              <w:left w:val="nil"/>
              <w:bottom w:val="single" w:sz="4" w:space="0" w:color="auto"/>
              <w:right w:val="single" w:sz="4" w:space="0" w:color="auto"/>
            </w:tcBorders>
            <w:shd w:val="clear" w:color="000000" w:fill="808080"/>
            <w:vAlign w:val="center"/>
          </w:tcPr>
          <w:p w14:paraId="5149C8D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0.167</w:t>
            </w:r>
          </w:p>
        </w:tc>
        <w:tc>
          <w:tcPr>
            <w:tcW w:w="688" w:type="pct"/>
            <w:tcBorders>
              <w:top w:val="nil"/>
              <w:left w:val="nil"/>
              <w:bottom w:val="single" w:sz="4" w:space="0" w:color="auto"/>
              <w:right w:val="single" w:sz="4" w:space="0" w:color="auto"/>
            </w:tcBorders>
            <w:shd w:val="clear" w:color="000000" w:fill="808080"/>
            <w:vAlign w:val="center"/>
          </w:tcPr>
          <w:p w14:paraId="16AB104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0.101</w:t>
            </w:r>
          </w:p>
        </w:tc>
        <w:tc>
          <w:tcPr>
            <w:tcW w:w="688" w:type="pct"/>
            <w:tcBorders>
              <w:top w:val="nil"/>
              <w:left w:val="nil"/>
              <w:bottom w:val="single" w:sz="4" w:space="0" w:color="auto"/>
              <w:right w:val="single" w:sz="4" w:space="0" w:color="auto"/>
            </w:tcBorders>
            <w:shd w:val="clear" w:color="auto" w:fill="auto"/>
            <w:vAlign w:val="center"/>
          </w:tcPr>
          <w:p w14:paraId="3B9BB59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0.024</w:t>
            </w:r>
          </w:p>
        </w:tc>
        <w:tc>
          <w:tcPr>
            <w:tcW w:w="688" w:type="pct"/>
            <w:tcBorders>
              <w:top w:val="nil"/>
              <w:left w:val="nil"/>
              <w:bottom w:val="single" w:sz="4" w:space="0" w:color="auto"/>
              <w:right w:val="single" w:sz="4" w:space="0" w:color="auto"/>
            </w:tcBorders>
            <w:shd w:val="clear" w:color="auto" w:fill="auto"/>
            <w:vAlign w:val="center"/>
          </w:tcPr>
          <w:p w14:paraId="5F92B7E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0.004</w:t>
            </w:r>
          </w:p>
        </w:tc>
      </w:tr>
      <w:tr w:rsidR="008A2411" w:rsidRPr="008A2411" w14:paraId="61A776D2" w14:textId="77777777">
        <w:trPr>
          <w:trHeight w:val="263"/>
          <w:jc w:val="center"/>
        </w:trPr>
        <w:tc>
          <w:tcPr>
            <w:tcW w:w="688" w:type="pct"/>
            <w:tcBorders>
              <w:top w:val="nil"/>
              <w:left w:val="single" w:sz="4" w:space="0" w:color="auto"/>
              <w:bottom w:val="single" w:sz="4" w:space="0" w:color="auto"/>
              <w:right w:val="single" w:sz="4" w:space="0" w:color="auto"/>
            </w:tcBorders>
            <w:shd w:val="clear" w:color="auto" w:fill="auto"/>
            <w:vAlign w:val="center"/>
          </w:tcPr>
          <w:p w14:paraId="0D8FA45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11878 </w:t>
            </w:r>
          </w:p>
        </w:tc>
        <w:tc>
          <w:tcPr>
            <w:tcW w:w="867" w:type="pct"/>
            <w:tcBorders>
              <w:top w:val="nil"/>
              <w:left w:val="nil"/>
              <w:bottom w:val="single" w:sz="4" w:space="0" w:color="auto"/>
              <w:right w:val="single" w:sz="4" w:space="0" w:color="auto"/>
            </w:tcBorders>
            <w:shd w:val="clear" w:color="auto" w:fill="auto"/>
            <w:vAlign w:val="center"/>
          </w:tcPr>
          <w:p w14:paraId="5AA0E64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0.028</w:t>
            </w:r>
          </w:p>
        </w:tc>
        <w:tc>
          <w:tcPr>
            <w:tcW w:w="688" w:type="pct"/>
            <w:tcBorders>
              <w:top w:val="nil"/>
              <w:left w:val="nil"/>
              <w:bottom w:val="single" w:sz="4" w:space="0" w:color="auto"/>
              <w:right w:val="single" w:sz="4" w:space="0" w:color="auto"/>
            </w:tcBorders>
            <w:shd w:val="clear" w:color="000000" w:fill="808080"/>
            <w:vAlign w:val="center"/>
          </w:tcPr>
          <w:p w14:paraId="69AE82D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0.079</w:t>
            </w:r>
          </w:p>
        </w:tc>
        <w:tc>
          <w:tcPr>
            <w:tcW w:w="688" w:type="pct"/>
            <w:tcBorders>
              <w:top w:val="nil"/>
              <w:left w:val="nil"/>
              <w:bottom w:val="single" w:sz="4" w:space="0" w:color="auto"/>
              <w:right w:val="single" w:sz="4" w:space="0" w:color="auto"/>
            </w:tcBorders>
            <w:shd w:val="clear" w:color="000000" w:fill="808080"/>
            <w:vAlign w:val="center"/>
          </w:tcPr>
          <w:p w14:paraId="66DD43A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0.160</w:t>
            </w:r>
          </w:p>
        </w:tc>
        <w:tc>
          <w:tcPr>
            <w:tcW w:w="688" w:type="pct"/>
            <w:tcBorders>
              <w:top w:val="nil"/>
              <w:left w:val="nil"/>
              <w:bottom w:val="single" w:sz="4" w:space="0" w:color="auto"/>
              <w:right w:val="single" w:sz="4" w:space="0" w:color="auto"/>
            </w:tcBorders>
            <w:shd w:val="clear" w:color="000000" w:fill="808080"/>
            <w:vAlign w:val="center"/>
          </w:tcPr>
          <w:p w14:paraId="5179FCB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0.105</w:t>
            </w:r>
          </w:p>
        </w:tc>
        <w:tc>
          <w:tcPr>
            <w:tcW w:w="688" w:type="pct"/>
            <w:tcBorders>
              <w:top w:val="nil"/>
              <w:left w:val="nil"/>
              <w:bottom w:val="single" w:sz="4" w:space="0" w:color="auto"/>
              <w:right w:val="single" w:sz="4" w:space="0" w:color="auto"/>
            </w:tcBorders>
            <w:shd w:val="clear" w:color="auto" w:fill="auto"/>
            <w:vAlign w:val="center"/>
          </w:tcPr>
          <w:p w14:paraId="4FE0F38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0.027</w:t>
            </w:r>
          </w:p>
        </w:tc>
        <w:tc>
          <w:tcPr>
            <w:tcW w:w="688" w:type="pct"/>
            <w:tcBorders>
              <w:top w:val="nil"/>
              <w:left w:val="nil"/>
              <w:bottom w:val="single" w:sz="4" w:space="0" w:color="auto"/>
              <w:right w:val="single" w:sz="4" w:space="0" w:color="auto"/>
            </w:tcBorders>
            <w:shd w:val="clear" w:color="auto" w:fill="auto"/>
            <w:vAlign w:val="center"/>
          </w:tcPr>
          <w:p w14:paraId="03EACC2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0.005</w:t>
            </w:r>
          </w:p>
        </w:tc>
      </w:tr>
      <w:tr w:rsidR="008A2411" w:rsidRPr="008A2411" w14:paraId="736D9068" w14:textId="77777777">
        <w:trPr>
          <w:trHeight w:val="263"/>
          <w:jc w:val="center"/>
        </w:trPr>
        <w:tc>
          <w:tcPr>
            <w:tcW w:w="688" w:type="pct"/>
            <w:tcBorders>
              <w:top w:val="nil"/>
              <w:left w:val="single" w:sz="4" w:space="0" w:color="auto"/>
              <w:bottom w:val="single" w:sz="4" w:space="0" w:color="auto"/>
              <w:right w:val="single" w:sz="4" w:space="0" w:color="auto"/>
            </w:tcBorders>
            <w:shd w:val="clear" w:color="auto" w:fill="auto"/>
            <w:vAlign w:val="center"/>
          </w:tcPr>
          <w:p w14:paraId="7086310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12493 </w:t>
            </w:r>
          </w:p>
        </w:tc>
        <w:tc>
          <w:tcPr>
            <w:tcW w:w="867" w:type="pct"/>
            <w:tcBorders>
              <w:top w:val="nil"/>
              <w:left w:val="nil"/>
              <w:bottom w:val="single" w:sz="4" w:space="0" w:color="auto"/>
              <w:right w:val="single" w:sz="4" w:space="0" w:color="auto"/>
            </w:tcBorders>
            <w:shd w:val="clear" w:color="auto" w:fill="auto"/>
            <w:vAlign w:val="center"/>
          </w:tcPr>
          <w:p w14:paraId="6713B21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0.021</w:t>
            </w:r>
          </w:p>
        </w:tc>
        <w:tc>
          <w:tcPr>
            <w:tcW w:w="688" w:type="pct"/>
            <w:tcBorders>
              <w:top w:val="nil"/>
              <w:left w:val="nil"/>
              <w:bottom w:val="single" w:sz="4" w:space="0" w:color="auto"/>
              <w:right w:val="single" w:sz="4" w:space="0" w:color="auto"/>
            </w:tcBorders>
            <w:shd w:val="clear" w:color="000000" w:fill="808080"/>
            <w:vAlign w:val="center"/>
          </w:tcPr>
          <w:p w14:paraId="79A4AA9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0.067</w:t>
            </w:r>
          </w:p>
        </w:tc>
        <w:tc>
          <w:tcPr>
            <w:tcW w:w="688" w:type="pct"/>
            <w:tcBorders>
              <w:top w:val="nil"/>
              <w:left w:val="nil"/>
              <w:bottom w:val="single" w:sz="4" w:space="0" w:color="auto"/>
              <w:right w:val="single" w:sz="4" w:space="0" w:color="auto"/>
            </w:tcBorders>
            <w:shd w:val="clear" w:color="000000" w:fill="808080"/>
            <w:vAlign w:val="center"/>
          </w:tcPr>
          <w:p w14:paraId="3D32766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0.152</w:t>
            </w:r>
          </w:p>
        </w:tc>
        <w:tc>
          <w:tcPr>
            <w:tcW w:w="688" w:type="pct"/>
            <w:tcBorders>
              <w:top w:val="nil"/>
              <w:left w:val="nil"/>
              <w:bottom w:val="single" w:sz="4" w:space="0" w:color="auto"/>
              <w:right w:val="single" w:sz="4" w:space="0" w:color="auto"/>
            </w:tcBorders>
            <w:shd w:val="clear" w:color="000000" w:fill="808080"/>
            <w:vAlign w:val="center"/>
          </w:tcPr>
          <w:p w14:paraId="53F5CCF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0.109</w:t>
            </w:r>
          </w:p>
        </w:tc>
        <w:tc>
          <w:tcPr>
            <w:tcW w:w="688" w:type="pct"/>
            <w:tcBorders>
              <w:top w:val="nil"/>
              <w:left w:val="nil"/>
              <w:bottom w:val="single" w:sz="4" w:space="0" w:color="auto"/>
              <w:right w:val="single" w:sz="4" w:space="0" w:color="auto"/>
            </w:tcBorders>
            <w:shd w:val="clear" w:color="auto" w:fill="auto"/>
            <w:vAlign w:val="center"/>
          </w:tcPr>
          <w:p w14:paraId="17C6429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0.031</w:t>
            </w:r>
          </w:p>
        </w:tc>
        <w:tc>
          <w:tcPr>
            <w:tcW w:w="688" w:type="pct"/>
            <w:tcBorders>
              <w:top w:val="nil"/>
              <w:left w:val="nil"/>
              <w:bottom w:val="single" w:sz="4" w:space="0" w:color="auto"/>
              <w:right w:val="single" w:sz="4" w:space="0" w:color="auto"/>
            </w:tcBorders>
            <w:shd w:val="clear" w:color="auto" w:fill="auto"/>
            <w:vAlign w:val="center"/>
          </w:tcPr>
          <w:p w14:paraId="2BF50FD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0.006</w:t>
            </w:r>
          </w:p>
        </w:tc>
      </w:tr>
      <w:tr w:rsidR="008A2411" w:rsidRPr="008A2411" w14:paraId="7ED3A7FD" w14:textId="77777777">
        <w:trPr>
          <w:trHeight w:val="263"/>
          <w:jc w:val="center"/>
        </w:trPr>
        <w:tc>
          <w:tcPr>
            <w:tcW w:w="688" w:type="pct"/>
            <w:tcBorders>
              <w:top w:val="nil"/>
              <w:left w:val="single" w:sz="4" w:space="0" w:color="auto"/>
              <w:bottom w:val="single" w:sz="4" w:space="0" w:color="auto"/>
              <w:right w:val="single" w:sz="4" w:space="0" w:color="auto"/>
            </w:tcBorders>
            <w:shd w:val="clear" w:color="auto" w:fill="auto"/>
            <w:vAlign w:val="center"/>
          </w:tcPr>
          <w:p w14:paraId="4D49D5C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13237 </w:t>
            </w:r>
          </w:p>
        </w:tc>
        <w:tc>
          <w:tcPr>
            <w:tcW w:w="867" w:type="pct"/>
            <w:tcBorders>
              <w:top w:val="nil"/>
              <w:left w:val="nil"/>
              <w:bottom w:val="single" w:sz="4" w:space="0" w:color="auto"/>
              <w:right w:val="single" w:sz="4" w:space="0" w:color="auto"/>
            </w:tcBorders>
            <w:shd w:val="clear" w:color="auto" w:fill="auto"/>
            <w:vAlign w:val="center"/>
          </w:tcPr>
          <w:p w14:paraId="249BE23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0.014</w:t>
            </w:r>
          </w:p>
        </w:tc>
        <w:tc>
          <w:tcPr>
            <w:tcW w:w="688" w:type="pct"/>
            <w:tcBorders>
              <w:top w:val="nil"/>
              <w:left w:val="nil"/>
              <w:bottom w:val="single" w:sz="4" w:space="0" w:color="auto"/>
              <w:right w:val="single" w:sz="4" w:space="0" w:color="auto"/>
            </w:tcBorders>
            <w:shd w:val="clear" w:color="000000" w:fill="808080"/>
            <w:vAlign w:val="center"/>
          </w:tcPr>
          <w:p w14:paraId="0B42B33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0.054</w:t>
            </w:r>
          </w:p>
        </w:tc>
        <w:tc>
          <w:tcPr>
            <w:tcW w:w="688" w:type="pct"/>
            <w:tcBorders>
              <w:top w:val="nil"/>
              <w:left w:val="nil"/>
              <w:bottom w:val="single" w:sz="4" w:space="0" w:color="auto"/>
              <w:right w:val="single" w:sz="4" w:space="0" w:color="auto"/>
            </w:tcBorders>
            <w:shd w:val="clear" w:color="000000" w:fill="808080"/>
            <w:vAlign w:val="center"/>
          </w:tcPr>
          <w:p w14:paraId="18E2579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0.142</w:t>
            </w:r>
          </w:p>
        </w:tc>
        <w:tc>
          <w:tcPr>
            <w:tcW w:w="688" w:type="pct"/>
            <w:tcBorders>
              <w:top w:val="nil"/>
              <w:left w:val="nil"/>
              <w:bottom w:val="single" w:sz="4" w:space="0" w:color="auto"/>
              <w:right w:val="single" w:sz="4" w:space="0" w:color="auto"/>
            </w:tcBorders>
            <w:shd w:val="clear" w:color="000000" w:fill="808080"/>
            <w:vAlign w:val="center"/>
          </w:tcPr>
          <w:p w14:paraId="3E480DE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0.112</w:t>
            </w:r>
          </w:p>
        </w:tc>
        <w:tc>
          <w:tcPr>
            <w:tcW w:w="688" w:type="pct"/>
            <w:tcBorders>
              <w:top w:val="nil"/>
              <w:left w:val="nil"/>
              <w:bottom w:val="single" w:sz="4" w:space="0" w:color="auto"/>
              <w:right w:val="single" w:sz="4" w:space="0" w:color="auto"/>
            </w:tcBorders>
            <w:shd w:val="clear" w:color="auto" w:fill="auto"/>
            <w:vAlign w:val="center"/>
          </w:tcPr>
          <w:p w14:paraId="6D4B52E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0.036</w:t>
            </w:r>
          </w:p>
        </w:tc>
        <w:tc>
          <w:tcPr>
            <w:tcW w:w="688" w:type="pct"/>
            <w:tcBorders>
              <w:top w:val="nil"/>
              <w:left w:val="nil"/>
              <w:bottom w:val="single" w:sz="4" w:space="0" w:color="auto"/>
              <w:right w:val="single" w:sz="4" w:space="0" w:color="auto"/>
            </w:tcBorders>
            <w:shd w:val="clear" w:color="auto" w:fill="auto"/>
            <w:vAlign w:val="center"/>
          </w:tcPr>
          <w:p w14:paraId="7DB75F6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0.008</w:t>
            </w:r>
          </w:p>
        </w:tc>
      </w:tr>
      <w:tr w:rsidR="008A2411" w:rsidRPr="008A2411" w14:paraId="2D97DFCE" w14:textId="77777777">
        <w:trPr>
          <w:trHeight w:val="263"/>
          <w:jc w:val="center"/>
        </w:trPr>
        <w:tc>
          <w:tcPr>
            <w:tcW w:w="688" w:type="pct"/>
            <w:tcBorders>
              <w:top w:val="nil"/>
              <w:left w:val="single" w:sz="4" w:space="0" w:color="auto"/>
              <w:bottom w:val="single" w:sz="4" w:space="0" w:color="auto"/>
              <w:right w:val="single" w:sz="4" w:space="0" w:color="auto"/>
            </w:tcBorders>
            <w:shd w:val="clear" w:color="auto" w:fill="auto"/>
            <w:vAlign w:val="center"/>
          </w:tcPr>
          <w:p w14:paraId="18E0905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14600 </w:t>
            </w:r>
          </w:p>
        </w:tc>
        <w:tc>
          <w:tcPr>
            <w:tcW w:w="867" w:type="pct"/>
            <w:tcBorders>
              <w:top w:val="nil"/>
              <w:left w:val="nil"/>
              <w:bottom w:val="single" w:sz="4" w:space="0" w:color="auto"/>
              <w:right w:val="single" w:sz="4" w:space="0" w:color="auto"/>
            </w:tcBorders>
            <w:shd w:val="clear" w:color="auto" w:fill="auto"/>
            <w:vAlign w:val="center"/>
          </w:tcPr>
          <w:p w14:paraId="7A0D538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0.004</w:t>
            </w:r>
          </w:p>
        </w:tc>
        <w:tc>
          <w:tcPr>
            <w:tcW w:w="688" w:type="pct"/>
            <w:tcBorders>
              <w:top w:val="nil"/>
              <w:left w:val="nil"/>
              <w:bottom w:val="single" w:sz="4" w:space="0" w:color="auto"/>
              <w:right w:val="single" w:sz="4" w:space="0" w:color="auto"/>
            </w:tcBorders>
            <w:shd w:val="clear" w:color="auto" w:fill="auto"/>
            <w:vAlign w:val="center"/>
          </w:tcPr>
          <w:p w14:paraId="6C4B708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0.035</w:t>
            </w:r>
          </w:p>
        </w:tc>
        <w:tc>
          <w:tcPr>
            <w:tcW w:w="688" w:type="pct"/>
            <w:tcBorders>
              <w:top w:val="nil"/>
              <w:left w:val="nil"/>
              <w:bottom w:val="single" w:sz="4" w:space="0" w:color="auto"/>
              <w:right w:val="single" w:sz="4" w:space="0" w:color="auto"/>
            </w:tcBorders>
            <w:shd w:val="clear" w:color="000000" w:fill="808080"/>
            <w:vAlign w:val="center"/>
          </w:tcPr>
          <w:p w14:paraId="25282A3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0.124</w:t>
            </w:r>
          </w:p>
        </w:tc>
        <w:tc>
          <w:tcPr>
            <w:tcW w:w="688" w:type="pct"/>
            <w:tcBorders>
              <w:top w:val="nil"/>
              <w:left w:val="nil"/>
              <w:bottom w:val="single" w:sz="4" w:space="0" w:color="auto"/>
              <w:right w:val="single" w:sz="4" w:space="0" w:color="auto"/>
            </w:tcBorders>
            <w:shd w:val="clear" w:color="000000" w:fill="808080"/>
            <w:vAlign w:val="center"/>
          </w:tcPr>
          <w:p w14:paraId="10E8EEC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0.115</w:t>
            </w:r>
          </w:p>
        </w:tc>
        <w:tc>
          <w:tcPr>
            <w:tcW w:w="688" w:type="pct"/>
            <w:tcBorders>
              <w:top w:val="nil"/>
              <w:left w:val="nil"/>
              <w:bottom w:val="single" w:sz="4" w:space="0" w:color="auto"/>
              <w:right w:val="single" w:sz="4" w:space="0" w:color="auto"/>
            </w:tcBorders>
            <w:shd w:val="clear" w:color="auto" w:fill="auto"/>
            <w:vAlign w:val="center"/>
          </w:tcPr>
          <w:p w14:paraId="531D1DD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0.044</w:t>
            </w:r>
          </w:p>
        </w:tc>
        <w:tc>
          <w:tcPr>
            <w:tcW w:w="688" w:type="pct"/>
            <w:tcBorders>
              <w:top w:val="nil"/>
              <w:left w:val="nil"/>
              <w:bottom w:val="single" w:sz="4" w:space="0" w:color="auto"/>
              <w:right w:val="single" w:sz="4" w:space="0" w:color="auto"/>
            </w:tcBorders>
            <w:shd w:val="clear" w:color="auto" w:fill="auto"/>
            <w:vAlign w:val="center"/>
          </w:tcPr>
          <w:p w14:paraId="1F0F6B6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0.011</w:t>
            </w:r>
          </w:p>
        </w:tc>
      </w:tr>
      <w:tr w:rsidR="008A2411" w:rsidRPr="008A2411" w14:paraId="72C37F2C" w14:textId="77777777">
        <w:trPr>
          <w:trHeight w:val="263"/>
          <w:jc w:val="center"/>
        </w:trPr>
        <w:tc>
          <w:tcPr>
            <w:tcW w:w="688" w:type="pct"/>
            <w:tcBorders>
              <w:top w:val="nil"/>
              <w:left w:val="single" w:sz="4" w:space="0" w:color="auto"/>
              <w:bottom w:val="single" w:sz="4" w:space="0" w:color="auto"/>
              <w:right w:val="single" w:sz="4" w:space="0" w:color="auto"/>
            </w:tcBorders>
            <w:shd w:val="clear" w:color="auto" w:fill="auto"/>
            <w:vAlign w:val="center"/>
          </w:tcPr>
          <w:p w14:paraId="36719AB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16489 </w:t>
            </w:r>
          </w:p>
        </w:tc>
        <w:tc>
          <w:tcPr>
            <w:tcW w:w="867" w:type="pct"/>
            <w:tcBorders>
              <w:top w:val="nil"/>
              <w:left w:val="nil"/>
              <w:bottom w:val="single" w:sz="4" w:space="0" w:color="auto"/>
              <w:right w:val="single" w:sz="4" w:space="0" w:color="auto"/>
            </w:tcBorders>
            <w:shd w:val="clear" w:color="auto" w:fill="auto"/>
            <w:vAlign w:val="center"/>
          </w:tcPr>
          <w:p w14:paraId="3F48E66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688" w:type="pct"/>
            <w:tcBorders>
              <w:top w:val="nil"/>
              <w:left w:val="nil"/>
              <w:bottom w:val="single" w:sz="4" w:space="0" w:color="auto"/>
              <w:right w:val="single" w:sz="4" w:space="0" w:color="auto"/>
            </w:tcBorders>
            <w:shd w:val="clear" w:color="auto" w:fill="auto"/>
            <w:vAlign w:val="center"/>
          </w:tcPr>
          <w:p w14:paraId="6ABCA0D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0.015</w:t>
            </w:r>
          </w:p>
        </w:tc>
        <w:tc>
          <w:tcPr>
            <w:tcW w:w="688" w:type="pct"/>
            <w:tcBorders>
              <w:top w:val="nil"/>
              <w:left w:val="nil"/>
              <w:bottom w:val="single" w:sz="4" w:space="0" w:color="auto"/>
              <w:right w:val="single" w:sz="4" w:space="0" w:color="auto"/>
            </w:tcBorders>
            <w:shd w:val="clear" w:color="000000" w:fill="808080"/>
            <w:vAlign w:val="center"/>
          </w:tcPr>
          <w:p w14:paraId="617234C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0.100</w:t>
            </w:r>
          </w:p>
        </w:tc>
        <w:tc>
          <w:tcPr>
            <w:tcW w:w="688" w:type="pct"/>
            <w:tcBorders>
              <w:top w:val="nil"/>
              <w:left w:val="nil"/>
              <w:bottom w:val="single" w:sz="4" w:space="0" w:color="auto"/>
              <w:right w:val="single" w:sz="4" w:space="0" w:color="auto"/>
            </w:tcBorders>
            <w:shd w:val="clear" w:color="000000" w:fill="808080"/>
            <w:vAlign w:val="center"/>
          </w:tcPr>
          <w:p w14:paraId="755EF79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0.114</w:t>
            </w:r>
          </w:p>
        </w:tc>
        <w:tc>
          <w:tcPr>
            <w:tcW w:w="688" w:type="pct"/>
            <w:tcBorders>
              <w:top w:val="nil"/>
              <w:left w:val="nil"/>
              <w:bottom w:val="single" w:sz="4" w:space="0" w:color="auto"/>
              <w:right w:val="single" w:sz="4" w:space="0" w:color="auto"/>
            </w:tcBorders>
            <w:shd w:val="clear" w:color="000000" w:fill="808080"/>
            <w:vAlign w:val="center"/>
          </w:tcPr>
          <w:p w14:paraId="574CC15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0.053</w:t>
            </w:r>
          </w:p>
        </w:tc>
        <w:tc>
          <w:tcPr>
            <w:tcW w:w="688" w:type="pct"/>
            <w:tcBorders>
              <w:top w:val="nil"/>
              <w:left w:val="nil"/>
              <w:bottom w:val="single" w:sz="4" w:space="0" w:color="auto"/>
              <w:right w:val="single" w:sz="4" w:space="0" w:color="auto"/>
            </w:tcBorders>
            <w:shd w:val="clear" w:color="auto" w:fill="auto"/>
            <w:vAlign w:val="center"/>
          </w:tcPr>
          <w:p w14:paraId="36A1A85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0.016</w:t>
            </w:r>
          </w:p>
        </w:tc>
      </w:tr>
      <w:tr w:rsidR="008A2411" w:rsidRPr="008A2411" w14:paraId="0E47C9D5" w14:textId="77777777">
        <w:trPr>
          <w:trHeight w:val="263"/>
          <w:jc w:val="center"/>
        </w:trPr>
        <w:tc>
          <w:tcPr>
            <w:tcW w:w="688" w:type="pct"/>
            <w:tcBorders>
              <w:top w:val="nil"/>
              <w:left w:val="single" w:sz="4" w:space="0" w:color="auto"/>
              <w:bottom w:val="single" w:sz="4" w:space="0" w:color="auto"/>
              <w:right w:val="single" w:sz="4" w:space="0" w:color="auto"/>
            </w:tcBorders>
            <w:shd w:val="clear" w:color="auto" w:fill="auto"/>
            <w:vAlign w:val="center"/>
          </w:tcPr>
          <w:p w14:paraId="50F2A0F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 xml:space="preserve">18250 </w:t>
            </w:r>
          </w:p>
        </w:tc>
        <w:tc>
          <w:tcPr>
            <w:tcW w:w="867" w:type="pct"/>
            <w:tcBorders>
              <w:top w:val="nil"/>
              <w:left w:val="nil"/>
              <w:bottom w:val="single" w:sz="4" w:space="0" w:color="auto"/>
              <w:right w:val="single" w:sz="4" w:space="0" w:color="auto"/>
            </w:tcBorders>
            <w:shd w:val="clear" w:color="auto" w:fill="auto"/>
            <w:vAlign w:val="center"/>
          </w:tcPr>
          <w:p w14:paraId="0715DF7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688" w:type="pct"/>
            <w:tcBorders>
              <w:top w:val="nil"/>
              <w:left w:val="nil"/>
              <w:bottom w:val="single" w:sz="4" w:space="0" w:color="auto"/>
              <w:right w:val="single" w:sz="4" w:space="0" w:color="auto"/>
            </w:tcBorders>
            <w:shd w:val="clear" w:color="auto" w:fill="auto"/>
            <w:vAlign w:val="center"/>
          </w:tcPr>
          <w:p w14:paraId="6D2A0FB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0.000</w:t>
            </w:r>
          </w:p>
        </w:tc>
        <w:tc>
          <w:tcPr>
            <w:tcW w:w="688" w:type="pct"/>
            <w:tcBorders>
              <w:top w:val="nil"/>
              <w:left w:val="nil"/>
              <w:bottom w:val="single" w:sz="4" w:space="0" w:color="auto"/>
              <w:right w:val="single" w:sz="4" w:space="0" w:color="auto"/>
            </w:tcBorders>
            <w:shd w:val="clear" w:color="000000" w:fill="808080"/>
            <w:vAlign w:val="center"/>
          </w:tcPr>
          <w:p w14:paraId="01A9267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0.080</w:t>
            </w:r>
          </w:p>
        </w:tc>
        <w:tc>
          <w:tcPr>
            <w:tcW w:w="688" w:type="pct"/>
            <w:tcBorders>
              <w:top w:val="nil"/>
              <w:left w:val="nil"/>
              <w:bottom w:val="single" w:sz="4" w:space="0" w:color="auto"/>
              <w:right w:val="single" w:sz="4" w:space="0" w:color="auto"/>
            </w:tcBorders>
            <w:shd w:val="clear" w:color="000000" w:fill="808080"/>
            <w:vAlign w:val="center"/>
          </w:tcPr>
          <w:p w14:paraId="51354E0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0.108</w:t>
            </w:r>
          </w:p>
        </w:tc>
        <w:tc>
          <w:tcPr>
            <w:tcW w:w="688" w:type="pct"/>
            <w:tcBorders>
              <w:top w:val="nil"/>
              <w:left w:val="nil"/>
              <w:bottom w:val="single" w:sz="4" w:space="0" w:color="auto"/>
              <w:right w:val="single" w:sz="4" w:space="0" w:color="auto"/>
            </w:tcBorders>
            <w:shd w:val="clear" w:color="000000" w:fill="808080"/>
            <w:vAlign w:val="center"/>
          </w:tcPr>
          <w:p w14:paraId="04FEBE6F"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0.060</w:t>
            </w:r>
          </w:p>
        </w:tc>
        <w:tc>
          <w:tcPr>
            <w:tcW w:w="688" w:type="pct"/>
            <w:tcBorders>
              <w:top w:val="nil"/>
              <w:left w:val="nil"/>
              <w:bottom w:val="single" w:sz="4" w:space="0" w:color="auto"/>
              <w:right w:val="single" w:sz="4" w:space="0" w:color="auto"/>
            </w:tcBorders>
            <w:shd w:val="clear" w:color="auto" w:fill="auto"/>
            <w:vAlign w:val="center"/>
          </w:tcPr>
          <w:p w14:paraId="3BDC522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0.021</w:t>
            </w:r>
          </w:p>
        </w:tc>
      </w:tr>
    </w:tbl>
    <w:p w14:paraId="73169DEF" w14:textId="77777777" w:rsidR="00B0005F" w:rsidRPr="008A2411" w:rsidRDefault="00B0005F">
      <w:pPr>
        <w:pStyle w:val="affffff5"/>
        <w:rPr>
          <w:rFonts w:ascii="Times New Roman" w:hAnsi="Times New Roman"/>
          <w:color w:val="000000" w:themeColor="text1"/>
        </w:rPr>
      </w:pPr>
    </w:p>
    <w:p w14:paraId="45B5C472" w14:textId="77777777" w:rsidR="00B0005F" w:rsidRPr="008A2411" w:rsidRDefault="00B0005F">
      <w:pPr>
        <w:pStyle w:val="affffffff7"/>
        <w:spacing w:before="60" w:after="60"/>
        <w:rPr>
          <w:color w:val="000000" w:themeColor="text1"/>
        </w:rPr>
      </w:pPr>
    </w:p>
    <w:p w14:paraId="693E3589" w14:textId="77777777" w:rsidR="00B0005F" w:rsidRPr="008A2411" w:rsidRDefault="00B0005F">
      <w:pPr>
        <w:pStyle w:val="affffffff7"/>
        <w:spacing w:before="60" w:after="60"/>
        <w:rPr>
          <w:color w:val="000000" w:themeColor="text1"/>
        </w:rPr>
      </w:pPr>
    </w:p>
    <w:p w14:paraId="1298A6BC" w14:textId="77777777" w:rsidR="00B0005F" w:rsidRPr="008A2411" w:rsidRDefault="00B0005F">
      <w:pPr>
        <w:pStyle w:val="afffffffd"/>
        <w:rPr>
          <w:rFonts w:ascii="Times New Roman"/>
          <w:color w:val="000000" w:themeColor="text1"/>
        </w:rPr>
        <w:sectPr w:rsidR="00B0005F" w:rsidRPr="008A2411">
          <w:pgSz w:w="16838" w:h="11906" w:orient="landscape"/>
          <w:pgMar w:top="1803" w:right="1440" w:bottom="1803" w:left="1440" w:header="851" w:footer="850" w:gutter="0"/>
          <w:pgNumType w:chapStyle="1"/>
          <w:cols w:space="0"/>
          <w:docGrid w:linePitch="326"/>
        </w:sectPr>
      </w:pPr>
    </w:p>
    <w:p w14:paraId="0541253C" w14:textId="77777777" w:rsidR="00B0005F" w:rsidRPr="008A2411" w:rsidRDefault="00000000">
      <w:pPr>
        <w:adjustRightInd w:val="0"/>
        <w:snapToGrid w:val="0"/>
        <w:spacing w:line="360" w:lineRule="auto"/>
        <w:ind w:firstLineChars="200" w:firstLine="480"/>
        <w:rPr>
          <w:rFonts w:ascii="Times New Roman"/>
          <w:color w:val="000000" w:themeColor="text1"/>
        </w:rPr>
      </w:pPr>
      <w:r w:rsidRPr="008A2411">
        <w:rPr>
          <w:rFonts w:ascii="Times New Roman"/>
          <w:color w:val="000000" w:themeColor="text1"/>
        </w:rPr>
        <w:lastRenderedPageBreak/>
        <w:t>本项目</w:t>
      </w:r>
      <w:proofErr w:type="gramStart"/>
      <w:r w:rsidRPr="008A2411">
        <w:rPr>
          <w:rFonts w:ascii="Times New Roman"/>
          <w:color w:val="000000" w:themeColor="text1"/>
        </w:rPr>
        <w:t>评价区</w:t>
      </w:r>
      <w:proofErr w:type="gramEnd"/>
      <w:r w:rsidRPr="008A2411">
        <w:rPr>
          <w:rFonts w:ascii="Times New Roman"/>
          <w:color w:val="000000" w:themeColor="text1"/>
        </w:rPr>
        <w:t>执行《地下水质量标准》（</w:t>
      </w:r>
      <w:r w:rsidRPr="008A2411">
        <w:rPr>
          <w:rFonts w:ascii="Times New Roman"/>
          <w:color w:val="000000" w:themeColor="text1"/>
        </w:rPr>
        <w:t>GB/T1484-2017</w:t>
      </w:r>
      <w:r w:rsidRPr="008A2411">
        <w:rPr>
          <w:rFonts w:ascii="Times New Roman"/>
          <w:color w:val="000000" w:themeColor="text1"/>
        </w:rPr>
        <w:t>）中的</w:t>
      </w:r>
      <w:r w:rsidRPr="008A2411">
        <w:rPr>
          <w:rFonts w:ascii="Times New Roman"/>
          <w:color w:val="000000" w:themeColor="text1"/>
        </w:rPr>
        <w:t>Ⅲ</w:t>
      </w:r>
      <w:r w:rsidRPr="008A2411">
        <w:rPr>
          <w:rFonts w:ascii="Times New Roman"/>
          <w:color w:val="000000" w:themeColor="text1"/>
        </w:rPr>
        <w:t>类标准（</w:t>
      </w:r>
      <w:r w:rsidRPr="008A2411">
        <w:rPr>
          <w:rFonts w:ascii="Times New Roman"/>
          <w:color w:val="000000" w:themeColor="text1"/>
        </w:rPr>
        <w:t>COD</w:t>
      </w:r>
      <w:r w:rsidRPr="008A2411">
        <w:rPr>
          <w:rFonts w:ascii="Times New Roman"/>
          <w:color w:val="000000" w:themeColor="text1"/>
          <w:vertAlign w:val="subscript"/>
        </w:rPr>
        <w:t>Mn</w:t>
      </w:r>
      <w:r w:rsidRPr="008A2411">
        <w:rPr>
          <w:rFonts w:ascii="Times New Roman"/>
          <w:color w:val="000000" w:themeColor="text1"/>
        </w:rPr>
        <w:t>≤3.0mg/L</w:t>
      </w:r>
      <w:r w:rsidRPr="008A2411">
        <w:rPr>
          <w:rFonts w:ascii="Times New Roman"/>
          <w:color w:val="000000" w:themeColor="text1"/>
        </w:rPr>
        <w:t>）；石油类因其未列入《地下水质量标准》（</w:t>
      </w:r>
      <w:r w:rsidRPr="008A2411">
        <w:rPr>
          <w:rFonts w:ascii="Times New Roman"/>
          <w:color w:val="000000" w:themeColor="text1"/>
        </w:rPr>
        <w:t>GB/T 14848-2017</w:t>
      </w:r>
      <w:r w:rsidRPr="008A2411">
        <w:rPr>
          <w:rFonts w:ascii="Times New Roman"/>
          <w:color w:val="000000" w:themeColor="text1"/>
        </w:rPr>
        <w:t>），石油类本次参考《地表水环境质量标准》（</w:t>
      </w:r>
      <w:r w:rsidRPr="008A2411">
        <w:rPr>
          <w:rFonts w:ascii="Times New Roman"/>
          <w:color w:val="000000" w:themeColor="text1"/>
        </w:rPr>
        <w:t>GB3838-2002</w:t>
      </w:r>
      <w:r w:rsidRPr="008A2411">
        <w:rPr>
          <w:rFonts w:ascii="Times New Roman"/>
          <w:color w:val="000000" w:themeColor="text1"/>
        </w:rPr>
        <w:t>）</w:t>
      </w:r>
      <w:r w:rsidRPr="008A2411">
        <w:rPr>
          <w:rFonts w:ascii="Times New Roman"/>
          <w:color w:val="000000" w:themeColor="text1"/>
        </w:rPr>
        <w:t>Ⅲ</w:t>
      </w:r>
      <w:r w:rsidRPr="008A2411">
        <w:rPr>
          <w:rFonts w:ascii="Times New Roman"/>
          <w:color w:val="000000" w:themeColor="text1"/>
        </w:rPr>
        <w:t>类标准限值（石油类</w:t>
      </w:r>
      <w:r w:rsidRPr="008A2411">
        <w:rPr>
          <w:rFonts w:ascii="Times New Roman"/>
          <w:color w:val="000000" w:themeColor="text1"/>
        </w:rPr>
        <w:t>≤0.05</w:t>
      </w:r>
      <w:r w:rsidRPr="008A2411">
        <w:rPr>
          <w:rFonts w:ascii="Times New Roman"/>
          <w:color w:val="000000" w:themeColor="text1"/>
        </w:rPr>
        <w:t>）。本项目发生非正常状况后，进入地下水系统的</w:t>
      </w:r>
      <w:r w:rsidRPr="008A2411">
        <w:rPr>
          <w:rFonts w:ascii="Times New Roman"/>
          <w:color w:val="000000" w:themeColor="text1"/>
        </w:rPr>
        <w:t>COD</w:t>
      </w:r>
      <w:r w:rsidRPr="008A2411">
        <w:rPr>
          <w:rFonts w:ascii="Times New Roman"/>
          <w:color w:val="000000" w:themeColor="text1"/>
          <w:vertAlign w:val="subscript"/>
        </w:rPr>
        <w:t>Mn</w:t>
      </w:r>
      <w:r w:rsidRPr="008A2411">
        <w:rPr>
          <w:rFonts w:ascii="Times New Roman"/>
          <w:color w:val="000000" w:themeColor="text1"/>
        </w:rPr>
        <w:t>、石油类在厂区范围内最大贡献值分别为</w:t>
      </w:r>
      <w:r w:rsidRPr="008A2411">
        <w:rPr>
          <w:rFonts w:ascii="Times New Roman"/>
          <w:color w:val="000000" w:themeColor="text1"/>
        </w:rPr>
        <w:t>5.328 mg/L</w:t>
      </w:r>
      <w:r w:rsidRPr="008A2411">
        <w:rPr>
          <w:rFonts w:ascii="Times New Roman"/>
          <w:color w:val="000000" w:themeColor="text1"/>
        </w:rPr>
        <w:t>、</w:t>
      </w:r>
      <w:r w:rsidRPr="008A2411">
        <w:rPr>
          <w:rFonts w:ascii="Times New Roman"/>
          <w:color w:val="000000" w:themeColor="text1"/>
        </w:rPr>
        <w:t>2.283 mg/L</w:t>
      </w:r>
      <w:r w:rsidRPr="008A2411">
        <w:rPr>
          <w:rFonts w:ascii="Times New Roman"/>
          <w:color w:val="000000" w:themeColor="text1"/>
        </w:rPr>
        <w:t>，厂区边界最大贡献值分别为</w:t>
      </w:r>
      <w:r w:rsidRPr="008A2411">
        <w:rPr>
          <w:rFonts w:ascii="Times New Roman"/>
          <w:color w:val="000000" w:themeColor="text1"/>
        </w:rPr>
        <w:t>0.481mg/L</w:t>
      </w:r>
      <w:r w:rsidRPr="008A2411">
        <w:rPr>
          <w:rFonts w:ascii="Times New Roman"/>
          <w:color w:val="000000" w:themeColor="text1"/>
        </w:rPr>
        <w:t>、</w:t>
      </w:r>
      <w:r w:rsidRPr="008A2411">
        <w:rPr>
          <w:rFonts w:ascii="Times New Roman"/>
          <w:color w:val="000000" w:themeColor="text1"/>
        </w:rPr>
        <w:t>0.205 mg/L</w:t>
      </w:r>
      <w:r w:rsidRPr="008A2411">
        <w:rPr>
          <w:rFonts w:ascii="Times New Roman"/>
          <w:color w:val="000000" w:themeColor="text1"/>
        </w:rPr>
        <w:t>，叠加背景值（</w:t>
      </w:r>
      <w:r w:rsidRPr="008A2411">
        <w:rPr>
          <w:rFonts w:ascii="Times New Roman"/>
          <w:color w:val="000000" w:themeColor="text1"/>
        </w:rPr>
        <w:t>COD</w:t>
      </w:r>
      <w:r w:rsidRPr="008A2411">
        <w:rPr>
          <w:rFonts w:ascii="Times New Roman"/>
          <w:color w:val="000000" w:themeColor="text1"/>
          <w:vertAlign w:val="subscript"/>
        </w:rPr>
        <w:t>Mn</w:t>
      </w:r>
      <w:r w:rsidRPr="008A2411">
        <w:rPr>
          <w:rFonts w:ascii="Times New Roman"/>
          <w:color w:val="000000" w:themeColor="text1"/>
        </w:rPr>
        <w:t>1.42mg/L</w:t>
      </w:r>
      <w:r w:rsidRPr="008A2411">
        <w:rPr>
          <w:rFonts w:ascii="Times New Roman"/>
          <w:color w:val="000000" w:themeColor="text1"/>
        </w:rPr>
        <w:t>、石油类</w:t>
      </w:r>
      <w:r w:rsidRPr="008A2411">
        <w:rPr>
          <w:rFonts w:ascii="Times New Roman"/>
          <w:color w:val="000000" w:themeColor="text1"/>
        </w:rPr>
        <w:t>0.00 mg/L</w:t>
      </w:r>
      <w:r w:rsidRPr="008A2411">
        <w:rPr>
          <w:rFonts w:ascii="Times New Roman"/>
          <w:color w:val="000000" w:themeColor="text1"/>
        </w:rPr>
        <w:t>）后，</w:t>
      </w:r>
      <w:r w:rsidRPr="008A2411">
        <w:rPr>
          <w:rFonts w:ascii="Times New Roman"/>
          <w:color w:val="000000" w:themeColor="text1"/>
        </w:rPr>
        <w:t>COD</w:t>
      </w:r>
      <w:r w:rsidRPr="008A2411">
        <w:rPr>
          <w:rFonts w:ascii="Times New Roman"/>
          <w:color w:val="000000" w:themeColor="text1"/>
          <w:vertAlign w:val="subscript"/>
        </w:rPr>
        <w:t>Mn</w:t>
      </w:r>
      <w:r w:rsidRPr="008A2411">
        <w:rPr>
          <w:rFonts w:ascii="Times New Roman"/>
          <w:color w:val="000000" w:themeColor="text1"/>
        </w:rPr>
        <w:t>于厂区范围内超标，超标时间介于</w:t>
      </w:r>
      <w:r w:rsidRPr="008A2411">
        <w:rPr>
          <w:rFonts w:ascii="Times New Roman"/>
          <w:color w:val="000000" w:themeColor="text1"/>
        </w:rPr>
        <w:t>60</w:t>
      </w:r>
      <w:r w:rsidRPr="008A2411">
        <w:rPr>
          <w:rFonts w:ascii="Times New Roman"/>
          <w:color w:val="000000" w:themeColor="text1"/>
        </w:rPr>
        <w:t>～</w:t>
      </w:r>
      <w:r w:rsidRPr="008A2411">
        <w:rPr>
          <w:rFonts w:ascii="Times New Roman"/>
          <w:color w:val="000000" w:themeColor="text1"/>
        </w:rPr>
        <w:t>2173 d</w:t>
      </w:r>
      <w:r w:rsidRPr="008A2411">
        <w:rPr>
          <w:rFonts w:ascii="Times New Roman"/>
          <w:color w:val="000000" w:themeColor="text1"/>
        </w:rPr>
        <w:t>，石油类于厂区至下游</w:t>
      </w:r>
      <w:r w:rsidRPr="008A2411">
        <w:rPr>
          <w:rFonts w:ascii="Times New Roman"/>
          <w:color w:val="000000" w:themeColor="text1"/>
        </w:rPr>
        <w:t>130 m</w:t>
      </w:r>
      <w:r w:rsidRPr="008A2411">
        <w:rPr>
          <w:rFonts w:ascii="Times New Roman"/>
          <w:color w:val="000000" w:themeColor="text1"/>
        </w:rPr>
        <w:t>范围内超标，超标时间介于</w:t>
      </w:r>
      <w:r w:rsidRPr="008A2411">
        <w:rPr>
          <w:rFonts w:ascii="Times New Roman"/>
          <w:color w:val="000000" w:themeColor="text1"/>
        </w:rPr>
        <w:t>0</w:t>
      </w:r>
      <w:r w:rsidRPr="008A2411">
        <w:rPr>
          <w:rFonts w:ascii="Times New Roman"/>
          <w:color w:val="000000" w:themeColor="text1"/>
        </w:rPr>
        <w:t>～</w:t>
      </w:r>
      <w:r w:rsidRPr="008A2411">
        <w:rPr>
          <w:rFonts w:ascii="Times New Roman"/>
          <w:color w:val="000000" w:themeColor="text1"/>
        </w:rPr>
        <w:t>20000d</w:t>
      </w:r>
      <w:r w:rsidRPr="008A2411">
        <w:rPr>
          <w:rFonts w:ascii="Times New Roman"/>
          <w:color w:val="000000" w:themeColor="text1"/>
        </w:rPr>
        <w:t>。</w:t>
      </w:r>
    </w:p>
    <w:p w14:paraId="2F3E2559" w14:textId="77777777" w:rsidR="00B0005F" w:rsidRPr="008A2411" w:rsidRDefault="00000000">
      <w:pPr>
        <w:adjustRightInd w:val="0"/>
        <w:snapToGrid w:val="0"/>
        <w:spacing w:line="360" w:lineRule="auto"/>
        <w:ind w:firstLineChars="200" w:firstLine="480"/>
        <w:rPr>
          <w:rFonts w:ascii="Times New Roman"/>
          <w:color w:val="000000" w:themeColor="text1"/>
        </w:rPr>
      </w:pPr>
      <w:r w:rsidRPr="008A2411">
        <w:rPr>
          <w:rFonts w:ascii="Times New Roman"/>
          <w:color w:val="000000" w:themeColor="text1"/>
        </w:rPr>
        <w:t>非正常运行状况下，各污染物下渗进入地下水系统后，将污染本项目区下伏含水层，因此应尽量避免非正常状况发生。</w:t>
      </w:r>
    </w:p>
    <w:bookmarkEnd w:id="457"/>
    <w:bookmarkEnd w:id="458"/>
    <w:p w14:paraId="7E2B83CC" w14:textId="77777777" w:rsidR="00B0005F" w:rsidRPr="008A2411" w:rsidRDefault="00000000">
      <w:pPr>
        <w:pStyle w:val="42"/>
        <w:spacing w:before="0" w:after="0" w:line="360" w:lineRule="auto"/>
        <w:rPr>
          <w:rFonts w:ascii="Times New Roman" w:hAnsi="Times New Roman"/>
          <w:color w:val="000000" w:themeColor="text1"/>
        </w:rPr>
      </w:pPr>
      <w:r w:rsidRPr="008A2411">
        <w:rPr>
          <w:rFonts w:ascii="Times New Roman" w:hAnsi="Times New Roman"/>
          <w:color w:val="000000" w:themeColor="text1"/>
          <w:lang w:bidi="en-US"/>
        </w:rPr>
        <w:t>5.2.3.6</w:t>
      </w:r>
      <w:r w:rsidRPr="008A2411">
        <w:rPr>
          <w:rFonts w:ascii="Times New Roman" w:hAnsi="Times New Roman"/>
          <w:color w:val="000000" w:themeColor="text1"/>
        </w:rPr>
        <w:t>项目工程对地下水环境影响分析</w:t>
      </w:r>
    </w:p>
    <w:p w14:paraId="666C195A" w14:textId="77777777" w:rsidR="00B0005F" w:rsidRPr="008A2411" w:rsidRDefault="00000000">
      <w:pPr>
        <w:adjustRightInd w:val="0"/>
        <w:snapToGrid w:val="0"/>
        <w:spacing w:line="360" w:lineRule="auto"/>
        <w:ind w:firstLine="482"/>
        <w:rPr>
          <w:rFonts w:ascii="Times New Roman"/>
          <w:color w:val="000000" w:themeColor="text1"/>
        </w:rPr>
      </w:pPr>
      <w:bookmarkStart w:id="459" w:name="_Toc317974820"/>
      <w:bookmarkStart w:id="460" w:name="_Toc317876380"/>
      <w:bookmarkStart w:id="461" w:name="_Toc306211362"/>
      <w:bookmarkStart w:id="462" w:name="_Toc317876454"/>
      <w:bookmarkStart w:id="463" w:name="_Toc317876306"/>
      <w:bookmarkStart w:id="464" w:name="_Toc317876125"/>
      <w:bookmarkStart w:id="465" w:name="_Toc327221758"/>
      <w:r w:rsidRPr="008A2411">
        <w:rPr>
          <w:rFonts w:ascii="Times New Roman"/>
          <w:color w:val="000000" w:themeColor="text1"/>
        </w:rPr>
        <w:t>（</w:t>
      </w:r>
      <w:r w:rsidRPr="008A2411">
        <w:rPr>
          <w:rFonts w:ascii="Times New Roman"/>
          <w:color w:val="000000" w:themeColor="text1"/>
        </w:rPr>
        <w:t>1</w:t>
      </w:r>
      <w:r w:rsidRPr="008A2411">
        <w:rPr>
          <w:rFonts w:ascii="Times New Roman"/>
          <w:color w:val="000000" w:themeColor="text1"/>
        </w:rPr>
        <w:t>）项目运行对地下水水质影响</w:t>
      </w:r>
    </w:p>
    <w:p w14:paraId="5C156F6E" w14:textId="77777777" w:rsidR="00B0005F" w:rsidRPr="008A2411" w:rsidRDefault="00000000">
      <w:pPr>
        <w:adjustRightInd w:val="0"/>
        <w:snapToGrid w:val="0"/>
        <w:spacing w:line="360" w:lineRule="auto"/>
        <w:ind w:firstLine="480"/>
        <w:rPr>
          <w:rFonts w:ascii="Times New Roman"/>
          <w:color w:val="000000" w:themeColor="text1"/>
        </w:rPr>
      </w:pPr>
      <w:r w:rsidRPr="008A2411">
        <w:rPr>
          <w:rFonts w:ascii="Times New Roman"/>
          <w:color w:val="000000" w:themeColor="text1"/>
        </w:rPr>
        <w:t>根据工程分析，本项目</w:t>
      </w:r>
      <w:proofErr w:type="gramStart"/>
      <w:r w:rsidRPr="008A2411">
        <w:rPr>
          <w:rFonts w:ascii="Times New Roman"/>
          <w:color w:val="000000" w:themeColor="text1"/>
        </w:rPr>
        <w:t>可能产污构筑物</w:t>
      </w:r>
      <w:proofErr w:type="gramEnd"/>
      <w:r w:rsidRPr="008A2411">
        <w:rPr>
          <w:rFonts w:ascii="Times New Roman"/>
          <w:color w:val="000000" w:themeColor="text1"/>
        </w:rPr>
        <w:t>包括：</w:t>
      </w:r>
      <w:r w:rsidRPr="008A2411">
        <w:rPr>
          <w:rFonts w:ascii="Times New Roman"/>
          <w:color w:val="000000" w:themeColor="text1"/>
          <w:szCs w:val="24"/>
        </w:rPr>
        <w:t>①</w:t>
      </w:r>
      <w:r w:rsidRPr="008A2411">
        <w:rPr>
          <w:rFonts w:ascii="Times New Roman"/>
          <w:color w:val="000000" w:themeColor="text1"/>
          <w:szCs w:val="24"/>
        </w:rPr>
        <w:t>主</w:t>
      </w:r>
      <w:r w:rsidRPr="008A2411">
        <w:rPr>
          <w:rFonts w:ascii="Times New Roman"/>
          <w:color w:val="000000" w:themeColor="text1"/>
        </w:rPr>
        <w:t>体工程：原料气净化脱酸单元（吸收塔和闪蒸罐）；</w:t>
      </w:r>
      <w:r w:rsidRPr="008A2411">
        <w:rPr>
          <w:rFonts w:ascii="Times New Roman"/>
          <w:color w:val="000000" w:themeColor="text1"/>
          <w:szCs w:val="24"/>
        </w:rPr>
        <w:t>②</w:t>
      </w:r>
      <w:r w:rsidRPr="008A2411">
        <w:rPr>
          <w:rFonts w:ascii="Times New Roman"/>
          <w:color w:val="000000" w:themeColor="text1"/>
        </w:rPr>
        <w:t>公辅工程：导热油系统（导热油炉）；</w:t>
      </w:r>
      <w:r w:rsidRPr="008A2411">
        <w:rPr>
          <w:rFonts w:ascii="Times New Roman"/>
          <w:color w:val="000000" w:themeColor="text1"/>
          <w:szCs w:val="24"/>
        </w:rPr>
        <w:t>③</w:t>
      </w:r>
      <w:r w:rsidRPr="008A2411">
        <w:rPr>
          <w:rFonts w:ascii="Times New Roman"/>
          <w:color w:val="000000" w:themeColor="text1"/>
          <w:szCs w:val="24"/>
        </w:rPr>
        <w:t>环保工程：</w:t>
      </w:r>
      <w:r w:rsidRPr="008A2411">
        <w:rPr>
          <w:rFonts w:ascii="Times New Roman"/>
          <w:color w:val="000000" w:themeColor="text1"/>
        </w:rPr>
        <w:t>污水处理站</w:t>
      </w:r>
      <w:r w:rsidRPr="008A2411">
        <w:rPr>
          <w:rFonts w:ascii="Times New Roman"/>
          <w:color w:val="000000" w:themeColor="text1"/>
          <w:szCs w:val="24"/>
        </w:rPr>
        <w:t>。</w:t>
      </w:r>
      <w:r w:rsidRPr="008A2411">
        <w:rPr>
          <w:rFonts w:ascii="Times New Roman"/>
          <w:color w:val="000000" w:themeColor="text1"/>
        </w:rPr>
        <w:t>依据《环境影响评价技术导则</w:t>
      </w:r>
      <w:r w:rsidRPr="008A2411">
        <w:rPr>
          <w:rFonts w:ascii="Times New Roman"/>
          <w:color w:val="000000" w:themeColor="text1"/>
        </w:rPr>
        <w:t>-</w:t>
      </w:r>
      <w:r w:rsidRPr="008A2411">
        <w:rPr>
          <w:rFonts w:ascii="Times New Roman"/>
          <w:color w:val="000000" w:themeColor="text1"/>
        </w:rPr>
        <w:t>地下水环境》（</w:t>
      </w:r>
      <w:r w:rsidRPr="008A2411">
        <w:rPr>
          <w:rFonts w:ascii="Times New Roman"/>
          <w:color w:val="000000" w:themeColor="text1"/>
        </w:rPr>
        <w:t>HJ610-2016</w:t>
      </w:r>
      <w:r w:rsidRPr="008A2411">
        <w:rPr>
          <w:rFonts w:ascii="Times New Roman"/>
          <w:color w:val="000000" w:themeColor="text1"/>
        </w:rPr>
        <w:t>）分区防渗要求，以上构筑物均采用重点防渗。在采取上述措施后，本项目正常运行状况废水下渗量极小，对地下水环境影响较小。</w:t>
      </w:r>
    </w:p>
    <w:p w14:paraId="3D60B1B8" w14:textId="77777777" w:rsidR="00B0005F" w:rsidRPr="008A2411" w:rsidRDefault="00000000">
      <w:pPr>
        <w:adjustRightInd w:val="0"/>
        <w:snapToGrid w:val="0"/>
        <w:spacing w:line="360" w:lineRule="auto"/>
        <w:ind w:firstLine="480"/>
        <w:rPr>
          <w:rFonts w:ascii="Times New Roman"/>
          <w:color w:val="000000" w:themeColor="text1"/>
        </w:rPr>
      </w:pPr>
      <w:r w:rsidRPr="008A2411">
        <w:rPr>
          <w:rFonts w:ascii="Times New Roman"/>
          <w:color w:val="000000" w:themeColor="text1"/>
        </w:rPr>
        <w:t>本项目</w:t>
      </w:r>
      <w:proofErr w:type="gramStart"/>
      <w:r w:rsidRPr="008A2411">
        <w:rPr>
          <w:rFonts w:ascii="Times New Roman"/>
          <w:color w:val="000000" w:themeColor="text1"/>
        </w:rPr>
        <w:t>评价区</w:t>
      </w:r>
      <w:proofErr w:type="gramEnd"/>
      <w:r w:rsidRPr="008A2411">
        <w:rPr>
          <w:rFonts w:ascii="Times New Roman"/>
          <w:color w:val="000000" w:themeColor="text1"/>
        </w:rPr>
        <w:t>执行《地下水质量标准》（</w:t>
      </w:r>
      <w:r w:rsidRPr="008A2411">
        <w:rPr>
          <w:rFonts w:ascii="Times New Roman"/>
          <w:color w:val="000000" w:themeColor="text1"/>
        </w:rPr>
        <w:t>GB/T1484-2017</w:t>
      </w:r>
      <w:r w:rsidRPr="008A2411">
        <w:rPr>
          <w:rFonts w:ascii="Times New Roman"/>
          <w:color w:val="000000" w:themeColor="text1"/>
        </w:rPr>
        <w:t>）中的</w:t>
      </w:r>
      <w:r w:rsidRPr="008A2411">
        <w:rPr>
          <w:rFonts w:ascii="Times New Roman"/>
          <w:color w:val="000000" w:themeColor="text1"/>
        </w:rPr>
        <w:t>Ⅲ</w:t>
      </w:r>
      <w:r w:rsidRPr="008A2411">
        <w:rPr>
          <w:rFonts w:ascii="Times New Roman"/>
          <w:color w:val="000000" w:themeColor="text1"/>
        </w:rPr>
        <w:t>类标准（</w:t>
      </w:r>
      <w:r w:rsidRPr="008A2411">
        <w:rPr>
          <w:rFonts w:ascii="Times New Roman"/>
          <w:color w:val="000000" w:themeColor="text1"/>
        </w:rPr>
        <w:t>COD</w:t>
      </w:r>
      <w:r w:rsidRPr="008A2411">
        <w:rPr>
          <w:rFonts w:ascii="Times New Roman"/>
          <w:color w:val="000000" w:themeColor="text1"/>
          <w:vertAlign w:val="subscript"/>
        </w:rPr>
        <w:t>Mn</w:t>
      </w:r>
      <w:r w:rsidRPr="008A2411">
        <w:rPr>
          <w:rFonts w:ascii="Times New Roman"/>
          <w:color w:val="000000" w:themeColor="text1"/>
        </w:rPr>
        <w:t>≤3.0mg/L</w:t>
      </w:r>
      <w:r w:rsidRPr="008A2411">
        <w:rPr>
          <w:rFonts w:ascii="Times New Roman"/>
          <w:color w:val="000000" w:themeColor="text1"/>
        </w:rPr>
        <w:t>）；石油类因其未列入《地下水质量标准》（</w:t>
      </w:r>
      <w:r w:rsidRPr="008A2411">
        <w:rPr>
          <w:rFonts w:ascii="Times New Roman"/>
          <w:color w:val="000000" w:themeColor="text1"/>
        </w:rPr>
        <w:t>GB/T 14848-2017</w:t>
      </w:r>
      <w:r w:rsidRPr="008A2411">
        <w:rPr>
          <w:rFonts w:ascii="Times New Roman"/>
          <w:color w:val="000000" w:themeColor="text1"/>
        </w:rPr>
        <w:t>），石油类本次参考《地表水环境质量标准》（</w:t>
      </w:r>
      <w:r w:rsidRPr="008A2411">
        <w:rPr>
          <w:rFonts w:ascii="Times New Roman"/>
          <w:color w:val="000000" w:themeColor="text1"/>
        </w:rPr>
        <w:t>GB3838-2002</w:t>
      </w:r>
      <w:r w:rsidRPr="008A2411">
        <w:rPr>
          <w:rFonts w:ascii="Times New Roman"/>
          <w:color w:val="000000" w:themeColor="text1"/>
        </w:rPr>
        <w:t>）</w:t>
      </w:r>
      <w:r w:rsidRPr="008A2411">
        <w:rPr>
          <w:rFonts w:ascii="Times New Roman"/>
          <w:color w:val="000000" w:themeColor="text1"/>
        </w:rPr>
        <w:t>Ⅲ</w:t>
      </w:r>
      <w:r w:rsidRPr="008A2411">
        <w:rPr>
          <w:rFonts w:ascii="Times New Roman"/>
          <w:color w:val="000000" w:themeColor="text1"/>
        </w:rPr>
        <w:t>类标准限值（石油类</w:t>
      </w:r>
      <w:r w:rsidRPr="008A2411">
        <w:rPr>
          <w:rFonts w:ascii="Times New Roman"/>
          <w:color w:val="000000" w:themeColor="text1"/>
        </w:rPr>
        <w:t>≤0.05</w:t>
      </w:r>
      <w:r w:rsidRPr="008A2411">
        <w:rPr>
          <w:rFonts w:ascii="Times New Roman"/>
          <w:color w:val="000000" w:themeColor="text1"/>
        </w:rPr>
        <w:t>）。本项目发生非正常状况后，进入地下水系统的</w:t>
      </w:r>
      <w:r w:rsidRPr="008A2411">
        <w:rPr>
          <w:rFonts w:ascii="Times New Roman"/>
          <w:color w:val="000000" w:themeColor="text1"/>
        </w:rPr>
        <w:t>COD</w:t>
      </w:r>
      <w:r w:rsidRPr="008A2411">
        <w:rPr>
          <w:rFonts w:ascii="Times New Roman"/>
          <w:color w:val="000000" w:themeColor="text1"/>
          <w:vertAlign w:val="subscript"/>
        </w:rPr>
        <w:t>Mn</w:t>
      </w:r>
      <w:r w:rsidRPr="008A2411">
        <w:rPr>
          <w:rFonts w:ascii="Times New Roman"/>
          <w:color w:val="000000" w:themeColor="text1"/>
        </w:rPr>
        <w:t>、石油类在厂区范围内最大贡献值分别为</w:t>
      </w:r>
      <w:r w:rsidRPr="008A2411">
        <w:rPr>
          <w:rFonts w:ascii="Times New Roman"/>
          <w:color w:val="000000" w:themeColor="text1"/>
        </w:rPr>
        <w:t>5.328 mg/L</w:t>
      </w:r>
      <w:r w:rsidRPr="008A2411">
        <w:rPr>
          <w:rFonts w:ascii="Times New Roman"/>
          <w:color w:val="000000" w:themeColor="text1"/>
        </w:rPr>
        <w:t>、</w:t>
      </w:r>
      <w:r w:rsidRPr="008A2411">
        <w:rPr>
          <w:rFonts w:ascii="Times New Roman"/>
          <w:color w:val="000000" w:themeColor="text1"/>
        </w:rPr>
        <w:t>2.283 mg/L</w:t>
      </w:r>
      <w:r w:rsidRPr="008A2411">
        <w:rPr>
          <w:rFonts w:ascii="Times New Roman"/>
          <w:color w:val="000000" w:themeColor="text1"/>
        </w:rPr>
        <w:t>，厂区边界最大贡献值分别为</w:t>
      </w:r>
      <w:r w:rsidRPr="008A2411">
        <w:rPr>
          <w:rFonts w:ascii="Times New Roman"/>
          <w:color w:val="000000" w:themeColor="text1"/>
        </w:rPr>
        <w:t>0.481mg/L</w:t>
      </w:r>
      <w:r w:rsidRPr="008A2411">
        <w:rPr>
          <w:rFonts w:ascii="Times New Roman"/>
          <w:color w:val="000000" w:themeColor="text1"/>
        </w:rPr>
        <w:t>、</w:t>
      </w:r>
      <w:r w:rsidRPr="008A2411">
        <w:rPr>
          <w:rFonts w:ascii="Times New Roman"/>
          <w:color w:val="000000" w:themeColor="text1"/>
        </w:rPr>
        <w:t>0.205 mg/L</w:t>
      </w:r>
      <w:r w:rsidRPr="008A2411">
        <w:rPr>
          <w:rFonts w:ascii="Times New Roman"/>
          <w:color w:val="000000" w:themeColor="text1"/>
        </w:rPr>
        <w:t>，叠加背景值（</w:t>
      </w:r>
      <w:r w:rsidRPr="008A2411">
        <w:rPr>
          <w:rFonts w:ascii="Times New Roman"/>
          <w:color w:val="000000" w:themeColor="text1"/>
        </w:rPr>
        <w:t>COD</w:t>
      </w:r>
      <w:r w:rsidRPr="008A2411">
        <w:rPr>
          <w:rFonts w:ascii="Times New Roman"/>
          <w:color w:val="000000" w:themeColor="text1"/>
          <w:vertAlign w:val="subscript"/>
        </w:rPr>
        <w:t>Mn</w:t>
      </w:r>
      <w:r w:rsidRPr="008A2411">
        <w:rPr>
          <w:rFonts w:ascii="Times New Roman"/>
          <w:color w:val="000000" w:themeColor="text1"/>
        </w:rPr>
        <w:t>1.42mg/L</w:t>
      </w:r>
      <w:r w:rsidRPr="008A2411">
        <w:rPr>
          <w:rFonts w:ascii="Times New Roman"/>
          <w:color w:val="000000" w:themeColor="text1"/>
        </w:rPr>
        <w:t>、石油类</w:t>
      </w:r>
      <w:r w:rsidRPr="008A2411">
        <w:rPr>
          <w:rFonts w:ascii="Times New Roman"/>
          <w:color w:val="000000" w:themeColor="text1"/>
        </w:rPr>
        <w:t>0.00 mg/L</w:t>
      </w:r>
      <w:r w:rsidRPr="008A2411">
        <w:rPr>
          <w:rFonts w:ascii="Times New Roman"/>
          <w:color w:val="000000" w:themeColor="text1"/>
        </w:rPr>
        <w:t>）后，</w:t>
      </w:r>
      <w:r w:rsidRPr="008A2411">
        <w:rPr>
          <w:rFonts w:ascii="Times New Roman"/>
          <w:color w:val="000000" w:themeColor="text1"/>
        </w:rPr>
        <w:t>COD</w:t>
      </w:r>
      <w:r w:rsidRPr="008A2411">
        <w:rPr>
          <w:rFonts w:ascii="Times New Roman"/>
          <w:color w:val="000000" w:themeColor="text1"/>
          <w:vertAlign w:val="subscript"/>
        </w:rPr>
        <w:t>Mn</w:t>
      </w:r>
      <w:r w:rsidRPr="008A2411">
        <w:rPr>
          <w:rFonts w:ascii="Times New Roman"/>
          <w:color w:val="000000" w:themeColor="text1"/>
        </w:rPr>
        <w:t>于厂区范围内超标，超标时间介于</w:t>
      </w:r>
      <w:r w:rsidRPr="008A2411">
        <w:rPr>
          <w:rFonts w:ascii="Times New Roman"/>
          <w:color w:val="000000" w:themeColor="text1"/>
        </w:rPr>
        <w:t>60</w:t>
      </w:r>
      <w:r w:rsidRPr="008A2411">
        <w:rPr>
          <w:rFonts w:ascii="Times New Roman"/>
          <w:color w:val="000000" w:themeColor="text1"/>
        </w:rPr>
        <w:t>～</w:t>
      </w:r>
      <w:r w:rsidRPr="008A2411">
        <w:rPr>
          <w:rFonts w:ascii="Times New Roman"/>
          <w:color w:val="000000" w:themeColor="text1"/>
        </w:rPr>
        <w:t>2173 d</w:t>
      </w:r>
      <w:r w:rsidRPr="008A2411">
        <w:rPr>
          <w:rFonts w:ascii="Times New Roman"/>
          <w:color w:val="000000" w:themeColor="text1"/>
        </w:rPr>
        <w:t>，石油类于厂区至下游</w:t>
      </w:r>
      <w:r w:rsidRPr="008A2411">
        <w:rPr>
          <w:rFonts w:ascii="Times New Roman"/>
          <w:color w:val="000000" w:themeColor="text1"/>
        </w:rPr>
        <w:t>135 m</w:t>
      </w:r>
      <w:r w:rsidRPr="008A2411">
        <w:rPr>
          <w:rFonts w:ascii="Times New Roman"/>
          <w:color w:val="000000" w:themeColor="text1"/>
        </w:rPr>
        <w:t>范围内超标，超标时间介于</w:t>
      </w:r>
      <w:r w:rsidRPr="008A2411">
        <w:rPr>
          <w:rFonts w:ascii="Times New Roman"/>
          <w:color w:val="000000" w:themeColor="text1"/>
        </w:rPr>
        <w:t>0</w:t>
      </w:r>
      <w:r w:rsidRPr="008A2411">
        <w:rPr>
          <w:rFonts w:ascii="Times New Roman"/>
          <w:color w:val="000000" w:themeColor="text1"/>
        </w:rPr>
        <w:t>～</w:t>
      </w:r>
      <w:r w:rsidRPr="008A2411">
        <w:rPr>
          <w:rFonts w:ascii="Times New Roman"/>
          <w:color w:val="000000" w:themeColor="text1"/>
        </w:rPr>
        <w:t>20000d</w:t>
      </w:r>
      <w:r w:rsidRPr="008A2411">
        <w:rPr>
          <w:rFonts w:ascii="Times New Roman"/>
          <w:color w:val="000000" w:themeColor="text1"/>
        </w:rPr>
        <w:t>。</w:t>
      </w:r>
    </w:p>
    <w:p w14:paraId="418EA2C1" w14:textId="77777777" w:rsidR="00B0005F" w:rsidRPr="008A2411" w:rsidRDefault="00000000">
      <w:pPr>
        <w:adjustRightInd w:val="0"/>
        <w:snapToGrid w:val="0"/>
        <w:spacing w:line="360" w:lineRule="auto"/>
        <w:ind w:firstLine="482"/>
        <w:rPr>
          <w:rFonts w:ascii="Times New Roman"/>
          <w:color w:val="000000" w:themeColor="text1"/>
        </w:rPr>
      </w:pPr>
      <w:r w:rsidRPr="008A2411">
        <w:rPr>
          <w:rFonts w:ascii="Times New Roman"/>
          <w:color w:val="000000" w:themeColor="text1"/>
        </w:rPr>
        <w:t>非正常运行状况发生后，项目区下伏含水层将受到污染，因此应尽量避免非正常状况发生。环</w:t>
      </w:r>
      <w:proofErr w:type="gramStart"/>
      <w:r w:rsidRPr="008A2411">
        <w:rPr>
          <w:rFonts w:ascii="Times New Roman"/>
          <w:color w:val="000000" w:themeColor="text1"/>
        </w:rPr>
        <w:t>评要求</w:t>
      </w:r>
      <w:proofErr w:type="gramEnd"/>
      <w:r w:rsidRPr="008A2411">
        <w:rPr>
          <w:rFonts w:ascii="Times New Roman"/>
          <w:color w:val="000000" w:themeColor="text1"/>
        </w:rPr>
        <w:t>本项目运行过程中，严格按照环</w:t>
      </w:r>
      <w:proofErr w:type="gramStart"/>
      <w:r w:rsidRPr="008A2411">
        <w:rPr>
          <w:rFonts w:ascii="Times New Roman"/>
          <w:color w:val="000000" w:themeColor="text1"/>
        </w:rPr>
        <w:t>评要求</w:t>
      </w:r>
      <w:proofErr w:type="gramEnd"/>
      <w:r w:rsidRPr="008A2411">
        <w:rPr>
          <w:rFonts w:ascii="Times New Roman"/>
          <w:color w:val="000000" w:themeColor="text1"/>
        </w:rPr>
        <w:t>对下游水质监测井进行监测，一旦发现水质异常，立刻采取有效措施阻止污染羽的扩散迁移，将地下水控制在局部范围，避免对厂区下游地下水造成污染。</w:t>
      </w:r>
    </w:p>
    <w:p w14:paraId="1806A7D3" w14:textId="77777777" w:rsidR="00B0005F" w:rsidRPr="008A2411" w:rsidRDefault="00000000">
      <w:pPr>
        <w:adjustRightInd w:val="0"/>
        <w:snapToGrid w:val="0"/>
        <w:spacing w:line="360" w:lineRule="auto"/>
        <w:ind w:firstLine="48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2</w:t>
      </w:r>
      <w:r w:rsidRPr="008A2411">
        <w:rPr>
          <w:rFonts w:ascii="Times New Roman"/>
          <w:color w:val="000000" w:themeColor="text1"/>
        </w:rPr>
        <w:t>）本项目对周边居民饮用水源影响</w:t>
      </w:r>
    </w:p>
    <w:p w14:paraId="5260F7BC" w14:textId="77777777" w:rsidR="00B0005F" w:rsidRPr="008A2411" w:rsidRDefault="00000000">
      <w:pPr>
        <w:adjustRightInd w:val="0"/>
        <w:snapToGrid w:val="0"/>
        <w:spacing w:line="360" w:lineRule="auto"/>
        <w:ind w:firstLine="480"/>
        <w:rPr>
          <w:rFonts w:ascii="Times New Roman"/>
          <w:color w:val="000000" w:themeColor="text1"/>
        </w:rPr>
      </w:pPr>
      <w:r w:rsidRPr="008A2411">
        <w:rPr>
          <w:rFonts w:ascii="Times New Roman"/>
          <w:color w:val="000000" w:themeColor="text1"/>
        </w:rPr>
        <w:lastRenderedPageBreak/>
        <w:t>正常运行状况下，根据环</w:t>
      </w:r>
      <w:proofErr w:type="gramStart"/>
      <w:r w:rsidRPr="008A2411">
        <w:rPr>
          <w:rFonts w:ascii="Times New Roman"/>
          <w:color w:val="000000" w:themeColor="text1"/>
        </w:rPr>
        <w:t>评要求</w:t>
      </w:r>
      <w:proofErr w:type="gramEnd"/>
      <w:r w:rsidRPr="008A2411">
        <w:rPr>
          <w:rFonts w:ascii="Times New Roman"/>
          <w:color w:val="000000" w:themeColor="text1"/>
        </w:rPr>
        <w:t>采取分区防渗措施后，本项目不会对项目区下伏含水层造成污染，本项目周围居民地下水饮用水源亦不会受到影响。</w:t>
      </w:r>
    </w:p>
    <w:p w14:paraId="6D0CB5F8" w14:textId="77777777" w:rsidR="00B0005F" w:rsidRPr="008A2411" w:rsidRDefault="00000000">
      <w:pPr>
        <w:adjustRightInd w:val="0"/>
        <w:snapToGrid w:val="0"/>
        <w:spacing w:line="360" w:lineRule="auto"/>
        <w:ind w:firstLine="482"/>
        <w:rPr>
          <w:rFonts w:ascii="Times New Roman"/>
          <w:color w:val="000000" w:themeColor="text1"/>
        </w:rPr>
      </w:pPr>
      <w:r w:rsidRPr="008A2411">
        <w:rPr>
          <w:rFonts w:ascii="Times New Roman"/>
          <w:color w:val="000000" w:themeColor="text1"/>
        </w:rPr>
        <w:t>非正常运行状况下，根据预测结果项目区南东侧下游污染物最大超标范围可从厂区延伸至厂界外约</w:t>
      </w:r>
      <w:r w:rsidRPr="008A2411">
        <w:rPr>
          <w:rFonts w:ascii="Times New Roman"/>
          <w:color w:val="000000" w:themeColor="text1"/>
        </w:rPr>
        <w:t>135m</w:t>
      </w:r>
      <w:r w:rsidRPr="008A2411">
        <w:rPr>
          <w:rFonts w:ascii="Times New Roman"/>
          <w:color w:val="000000" w:themeColor="text1"/>
        </w:rPr>
        <w:t>靠近下游河边。厂区位于</w:t>
      </w:r>
      <w:r w:rsidRPr="008A2411">
        <w:rPr>
          <w:rFonts w:ascii="Times New Roman"/>
          <w:color w:val="000000" w:themeColor="text1"/>
          <w:lang w:bidi="ar"/>
        </w:rPr>
        <w:t>达州普光化工园区，根据现场调查，南侧沟谷附近</w:t>
      </w:r>
      <w:r w:rsidRPr="008A2411">
        <w:rPr>
          <w:rFonts w:ascii="Times New Roman"/>
          <w:color w:val="000000" w:themeColor="text1"/>
          <w:lang w:bidi="ar"/>
        </w:rPr>
        <w:t>400m</w:t>
      </w:r>
      <w:r w:rsidRPr="008A2411">
        <w:rPr>
          <w:rFonts w:ascii="Times New Roman"/>
          <w:color w:val="000000" w:themeColor="text1"/>
          <w:lang w:bidi="ar"/>
        </w:rPr>
        <w:t>范围内居民均已完成拆迁，因此本项非正常状况不会造成下游</w:t>
      </w:r>
      <w:r w:rsidRPr="008A2411">
        <w:rPr>
          <w:rFonts w:ascii="Times New Roman"/>
          <w:color w:val="000000" w:themeColor="text1"/>
        </w:rPr>
        <w:t>分散饮用水源污染。</w:t>
      </w:r>
    </w:p>
    <w:p w14:paraId="1BADE0A9" w14:textId="77777777" w:rsidR="00B0005F" w:rsidRPr="008A2411" w:rsidRDefault="00000000">
      <w:pPr>
        <w:pStyle w:val="42"/>
        <w:spacing w:before="0" w:after="0" w:line="360" w:lineRule="auto"/>
        <w:rPr>
          <w:rFonts w:ascii="Times New Roman" w:hAnsi="Times New Roman"/>
          <w:color w:val="000000" w:themeColor="text1"/>
        </w:rPr>
      </w:pPr>
      <w:r w:rsidRPr="008A2411">
        <w:rPr>
          <w:rFonts w:ascii="Times New Roman" w:hAnsi="Times New Roman"/>
          <w:color w:val="000000" w:themeColor="text1"/>
          <w:lang w:bidi="en-US"/>
        </w:rPr>
        <w:t xml:space="preserve">5.2.3.7 </w:t>
      </w:r>
      <w:r w:rsidRPr="008A2411">
        <w:rPr>
          <w:rFonts w:ascii="Times New Roman" w:hAnsi="Times New Roman"/>
          <w:color w:val="000000" w:themeColor="text1"/>
          <w:lang w:bidi="en-US"/>
        </w:rPr>
        <w:t>地下水环境保护措</w:t>
      </w:r>
      <w:bookmarkEnd w:id="459"/>
      <w:bookmarkEnd w:id="460"/>
      <w:bookmarkEnd w:id="461"/>
      <w:bookmarkEnd w:id="462"/>
      <w:bookmarkEnd w:id="463"/>
      <w:bookmarkEnd w:id="464"/>
      <w:r w:rsidRPr="008A2411">
        <w:rPr>
          <w:rFonts w:ascii="Times New Roman" w:hAnsi="Times New Roman"/>
          <w:color w:val="000000" w:themeColor="text1"/>
          <w:lang w:bidi="en-US"/>
        </w:rPr>
        <w:t>施及</w:t>
      </w:r>
      <w:bookmarkEnd w:id="465"/>
      <w:r w:rsidRPr="008A2411">
        <w:rPr>
          <w:rFonts w:ascii="Times New Roman" w:hAnsi="Times New Roman"/>
          <w:color w:val="000000" w:themeColor="text1"/>
          <w:lang w:bidi="en-US"/>
        </w:rPr>
        <w:t>对</w:t>
      </w:r>
      <w:bookmarkStart w:id="466" w:name="_Toc317876384"/>
      <w:bookmarkStart w:id="467" w:name="_Toc317876129"/>
      <w:bookmarkStart w:id="468" w:name="_Toc306211363"/>
      <w:bookmarkStart w:id="469" w:name="_Toc317974824"/>
      <w:bookmarkStart w:id="470" w:name="_Toc305155247"/>
      <w:bookmarkStart w:id="471" w:name="_Toc317876458"/>
      <w:bookmarkStart w:id="472" w:name="_Toc317876310"/>
      <w:r w:rsidRPr="008A2411">
        <w:rPr>
          <w:rFonts w:ascii="Times New Roman" w:hAnsi="Times New Roman"/>
          <w:color w:val="000000" w:themeColor="text1"/>
          <w:lang w:bidi="en-US"/>
        </w:rPr>
        <w:t>策</w:t>
      </w:r>
    </w:p>
    <w:p w14:paraId="789066B8" w14:textId="135A509A" w:rsidR="00B0005F" w:rsidRPr="008A2411" w:rsidRDefault="00C7607A">
      <w:pPr>
        <w:adjustRightInd w:val="0"/>
        <w:spacing w:line="360" w:lineRule="auto"/>
        <w:ind w:firstLine="480"/>
        <w:rPr>
          <w:rFonts w:ascii="Times New Roman"/>
          <w:color w:val="000000" w:themeColor="text1"/>
          <w:szCs w:val="24"/>
        </w:rPr>
      </w:pPr>
      <w:r w:rsidRPr="008A2411">
        <w:rPr>
          <w:color w:val="000000" w:themeColor="text1"/>
        </w:rPr>
        <w:t>地下水环境影响评价应对建设项目在建设期、运营期和服务期满后对地下水水质可能造 成的直接影响进行分析、预测和评估，提出预防或者减轻不良影响的对策和措施，制定地下水环境影响跟踪监测计划，为建设项目地下水环境保护提供科学依据</w:t>
      </w:r>
      <w:r w:rsidRPr="008A2411">
        <w:rPr>
          <w:rFonts w:ascii="Times New Roman"/>
          <w:color w:val="000000" w:themeColor="text1"/>
          <w:szCs w:val="24"/>
        </w:rPr>
        <w:t>。</w:t>
      </w:r>
      <w:r w:rsidRPr="008A2411">
        <w:rPr>
          <w:rFonts w:ascii="Times New Roman" w:hint="eastAsia"/>
          <w:color w:val="000000" w:themeColor="text1"/>
          <w:szCs w:val="24"/>
        </w:rPr>
        <w:t>对应采取的措施如下：</w:t>
      </w:r>
    </w:p>
    <w:p w14:paraId="56C18AF1" w14:textId="77777777" w:rsidR="00B0005F" w:rsidRPr="008A2411" w:rsidRDefault="00000000">
      <w:pPr>
        <w:adjustRightInd w:val="0"/>
        <w:spacing w:line="360" w:lineRule="auto"/>
        <w:ind w:firstLine="241"/>
        <w:rPr>
          <w:rFonts w:ascii="Times New Roman"/>
          <w:color w:val="000000" w:themeColor="text1"/>
          <w:szCs w:val="24"/>
        </w:rPr>
      </w:pPr>
      <w:r w:rsidRPr="008A2411">
        <w:rPr>
          <w:rFonts w:ascii="Times New Roman"/>
          <w:color w:val="000000" w:themeColor="text1"/>
          <w:szCs w:val="24"/>
        </w:rPr>
        <w:t>（一）施工期地下水环境保护措施</w:t>
      </w:r>
    </w:p>
    <w:p w14:paraId="59FC212E"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针对施工期</w:t>
      </w:r>
      <w:proofErr w:type="gramStart"/>
      <w:r w:rsidRPr="008A2411">
        <w:rPr>
          <w:rFonts w:ascii="Times New Roman"/>
          <w:color w:val="000000" w:themeColor="text1"/>
          <w:szCs w:val="24"/>
        </w:rPr>
        <w:t>产污特征</w:t>
      </w:r>
      <w:proofErr w:type="gramEnd"/>
      <w:r w:rsidRPr="008A2411">
        <w:rPr>
          <w:rFonts w:ascii="Times New Roman"/>
          <w:color w:val="000000" w:themeColor="text1"/>
          <w:szCs w:val="24"/>
        </w:rPr>
        <w:t>及与地下水环境相关要素，提出以下保护措施：</w:t>
      </w:r>
    </w:p>
    <w:p w14:paraId="3891D58D"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w:t>
      </w:r>
      <w:r w:rsidRPr="008A2411">
        <w:rPr>
          <w:rFonts w:ascii="Times New Roman"/>
          <w:color w:val="000000" w:themeColor="text1"/>
          <w:szCs w:val="24"/>
        </w:rPr>
        <w:t>1</w:t>
      </w:r>
      <w:r w:rsidRPr="008A2411">
        <w:rPr>
          <w:rFonts w:ascii="Times New Roman"/>
          <w:color w:val="000000" w:themeColor="text1"/>
          <w:szCs w:val="24"/>
        </w:rPr>
        <w:t>）施工人员生活利用厂区现有生活设施，生活污水的处理依托已有的污水处理处置设施。</w:t>
      </w:r>
    </w:p>
    <w:p w14:paraId="4DBA5505"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w:t>
      </w:r>
      <w:r w:rsidRPr="008A2411">
        <w:rPr>
          <w:rFonts w:ascii="Times New Roman"/>
          <w:color w:val="000000" w:themeColor="text1"/>
          <w:szCs w:val="24"/>
        </w:rPr>
        <w:t>2</w:t>
      </w:r>
      <w:r w:rsidRPr="008A2411">
        <w:rPr>
          <w:rFonts w:ascii="Times New Roman"/>
          <w:color w:val="000000" w:themeColor="text1"/>
          <w:szCs w:val="24"/>
        </w:rPr>
        <w:t>）施工中产生的设备水压试验水以及设备车辆冲洗等，主要含有悬浮物和石油类，废水应导入事先设置的沉淀池进行沉淀后回用。对各类车辆、设备使用的燃油、机油和润滑油等应加强管理，所有废弃油脂类均要集中处理，不得随意倾倒。</w:t>
      </w:r>
    </w:p>
    <w:p w14:paraId="005C6FA5"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w:t>
      </w:r>
      <w:r w:rsidRPr="008A2411">
        <w:rPr>
          <w:rFonts w:ascii="Times New Roman"/>
          <w:color w:val="000000" w:themeColor="text1"/>
          <w:szCs w:val="24"/>
        </w:rPr>
        <w:t>3</w:t>
      </w:r>
      <w:r w:rsidRPr="008A2411">
        <w:rPr>
          <w:rFonts w:ascii="Times New Roman"/>
          <w:color w:val="000000" w:themeColor="text1"/>
          <w:szCs w:val="24"/>
        </w:rPr>
        <w:t>）散料堆场采取覆盖措施，防止产生水土流失污染地下水。</w:t>
      </w:r>
    </w:p>
    <w:p w14:paraId="7533C3B6"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本项目施工期废水集中收集后处理达标排放，杜绝废水</w:t>
      </w:r>
      <w:r w:rsidRPr="008A2411">
        <w:rPr>
          <w:rFonts w:ascii="Times New Roman" w:hint="eastAsia"/>
          <w:color w:val="000000" w:themeColor="text1"/>
          <w:szCs w:val="24"/>
        </w:rPr>
        <w:t>“</w:t>
      </w:r>
      <w:r w:rsidRPr="008A2411">
        <w:rPr>
          <w:rFonts w:ascii="Times New Roman"/>
          <w:color w:val="000000" w:themeColor="text1"/>
          <w:szCs w:val="24"/>
        </w:rPr>
        <w:t>跑、冒、滴、漏</w:t>
      </w:r>
      <w:r w:rsidRPr="008A2411">
        <w:rPr>
          <w:rFonts w:ascii="Times New Roman" w:hint="eastAsia"/>
          <w:color w:val="000000" w:themeColor="text1"/>
          <w:szCs w:val="24"/>
        </w:rPr>
        <w:t>”</w:t>
      </w:r>
      <w:r w:rsidRPr="008A2411">
        <w:rPr>
          <w:rFonts w:ascii="Times New Roman"/>
          <w:color w:val="000000" w:themeColor="text1"/>
          <w:szCs w:val="24"/>
        </w:rPr>
        <w:t>现象的发生，采用上述措施处理后，本项目对地下水环境影响小。</w:t>
      </w:r>
    </w:p>
    <w:p w14:paraId="5DE814DA" w14:textId="77777777" w:rsidR="00B0005F" w:rsidRPr="008A2411" w:rsidRDefault="00000000">
      <w:pPr>
        <w:adjustRightInd w:val="0"/>
        <w:spacing w:line="360" w:lineRule="auto"/>
        <w:ind w:firstLine="241"/>
        <w:rPr>
          <w:rFonts w:ascii="Times New Roman"/>
          <w:color w:val="000000" w:themeColor="text1"/>
          <w:szCs w:val="24"/>
        </w:rPr>
      </w:pPr>
      <w:r w:rsidRPr="008A2411">
        <w:rPr>
          <w:rFonts w:ascii="Times New Roman"/>
          <w:color w:val="000000" w:themeColor="text1"/>
          <w:szCs w:val="24"/>
        </w:rPr>
        <w:t>（二）营运期地下水环境保护措施</w:t>
      </w:r>
    </w:p>
    <w:p w14:paraId="2B74E176" w14:textId="77777777" w:rsidR="00B0005F" w:rsidRPr="008A2411" w:rsidRDefault="00000000">
      <w:pPr>
        <w:adjustRightInd w:val="0"/>
        <w:spacing w:line="360" w:lineRule="auto"/>
        <w:ind w:firstLine="482"/>
        <w:rPr>
          <w:rFonts w:ascii="Times New Roman"/>
          <w:b/>
          <w:bCs/>
          <w:color w:val="000000" w:themeColor="text1"/>
          <w:szCs w:val="24"/>
        </w:rPr>
      </w:pPr>
      <w:r w:rsidRPr="008A2411">
        <w:rPr>
          <w:rFonts w:ascii="Times New Roman"/>
          <w:b/>
          <w:bCs/>
          <w:color w:val="000000" w:themeColor="text1"/>
          <w:szCs w:val="24"/>
        </w:rPr>
        <w:t>1</w:t>
      </w:r>
      <w:r w:rsidRPr="008A2411">
        <w:rPr>
          <w:rFonts w:ascii="Times New Roman"/>
          <w:b/>
          <w:bCs/>
          <w:color w:val="000000" w:themeColor="text1"/>
          <w:szCs w:val="24"/>
        </w:rPr>
        <w:t>、分区防渗</w:t>
      </w:r>
    </w:p>
    <w:p w14:paraId="3DFA45C8"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本项目为新建项目，根据《环境影响评价技术导则</w:t>
      </w:r>
      <w:r w:rsidRPr="008A2411">
        <w:rPr>
          <w:rFonts w:ascii="Times New Roman"/>
          <w:color w:val="000000" w:themeColor="text1"/>
          <w:szCs w:val="24"/>
        </w:rPr>
        <w:t xml:space="preserve">  </w:t>
      </w:r>
      <w:r w:rsidRPr="008A2411">
        <w:rPr>
          <w:rFonts w:ascii="Times New Roman"/>
          <w:color w:val="000000" w:themeColor="text1"/>
          <w:szCs w:val="24"/>
        </w:rPr>
        <w:t>地下水环境》（</w:t>
      </w:r>
      <w:r w:rsidRPr="008A2411">
        <w:rPr>
          <w:rFonts w:ascii="Times New Roman"/>
          <w:color w:val="000000" w:themeColor="text1"/>
          <w:szCs w:val="24"/>
        </w:rPr>
        <w:t>HJ610-2016</w:t>
      </w:r>
      <w:r w:rsidRPr="008A2411">
        <w:rPr>
          <w:rFonts w:ascii="Times New Roman"/>
          <w:color w:val="000000" w:themeColor="text1"/>
          <w:szCs w:val="24"/>
        </w:rPr>
        <w:t>）要求，本项目厂分区防控措施应根据建设项目场地天然包气带防污性能、污染控制难易程度和污染物特性提出防渗技术要求，详见表</w:t>
      </w:r>
      <w:r w:rsidRPr="008A2411">
        <w:rPr>
          <w:rFonts w:ascii="Times New Roman"/>
          <w:color w:val="000000" w:themeColor="text1"/>
          <w:szCs w:val="24"/>
        </w:rPr>
        <w:t>10-8</w:t>
      </w:r>
      <w:r w:rsidRPr="008A2411">
        <w:rPr>
          <w:rFonts w:ascii="Times New Roman"/>
          <w:color w:val="000000" w:themeColor="text1"/>
          <w:szCs w:val="24"/>
        </w:rPr>
        <w:t>～</w:t>
      </w:r>
      <w:r w:rsidRPr="008A2411">
        <w:rPr>
          <w:rFonts w:ascii="Times New Roman"/>
          <w:color w:val="000000" w:themeColor="text1"/>
          <w:szCs w:val="24"/>
        </w:rPr>
        <w:t>10-10</w:t>
      </w:r>
      <w:r w:rsidRPr="008A2411">
        <w:rPr>
          <w:rFonts w:ascii="Times New Roman"/>
          <w:color w:val="000000" w:themeColor="text1"/>
          <w:szCs w:val="24"/>
        </w:rPr>
        <w:t>。</w:t>
      </w:r>
    </w:p>
    <w:p w14:paraId="4553E24C" w14:textId="77777777" w:rsidR="00B0005F" w:rsidRPr="008A2411" w:rsidRDefault="00000000">
      <w:pPr>
        <w:pStyle w:val="affffffff7"/>
        <w:spacing w:before="60" w:after="60"/>
        <w:rPr>
          <w:color w:val="000000" w:themeColor="text1"/>
        </w:rPr>
      </w:pPr>
      <w:r w:rsidRPr="008A2411">
        <w:rPr>
          <w:color w:val="000000" w:themeColor="text1"/>
        </w:rPr>
        <w:t>表</w:t>
      </w:r>
      <w:r w:rsidRPr="008A2411">
        <w:rPr>
          <w:color w:val="000000" w:themeColor="text1"/>
        </w:rPr>
        <w:t xml:space="preserve">5.2-38 </w:t>
      </w:r>
      <w:r w:rsidRPr="008A2411">
        <w:rPr>
          <w:color w:val="000000" w:themeColor="text1"/>
        </w:rPr>
        <w:t>天然包气带防污性能分级</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16"/>
        <w:gridCol w:w="3970"/>
        <w:gridCol w:w="3736"/>
      </w:tblGrid>
      <w:tr w:rsidR="008A2411" w:rsidRPr="008A2411" w14:paraId="27ABAC7B" w14:textId="77777777">
        <w:trPr>
          <w:cantSplit/>
          <w:trHeight w:val="284"/>
          <w:jc w:val="center"/>
        </w:trPr>
        <w:tc>
          <w:tcPr>
            <w:tcW w:w="479" w:type="pct"/>
            <w:vAlign w:val="center"/>
          </w:tcPr>
          <w:p w14:paraId="3E1D52E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lastRenderedPageBreak/>
              <w:t>分级</w:t>
            </w:r>
          </w:p>
        </w:tc>
        <w:tc>
          <w:tcPr>
            <w:tcW w:w="2329" w:type="pct"/>
            <w:vAlign w:val="center"/>
          </w:tcPr>
          <w:p w14:paraId="0601505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包气带岩土的渗透性能</w:t>
            </w:r>
          </w:p>
        </w:tc>
        <w:tc>
          <w:tcPr>
            <w:tcW w:w="2192" w:type="pct"/>
            <w:vAlign w:val="center"/>
          </w:tcPr>
          <w:p w14:paraId="7B73E1D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本项目</w:t>
            </w:r>
          </w:p>
        </w:tc>
      </w:tr>
      <w:tr w:rsidR="008A2411" w:rsidRPr="008A2411" w14:paraId="45650098" w14:textId="77777777">
        <w:trPr>
          <w:cantSplit/>
          <w:trHeight w:val="284"/>
          <w:jc w:val="center"/>
        </w:trPr>
        <w:tc>
          <w:tcPr>
            <w:tcW w:w="479" w:type="pct"/>
            <w:vAlign w:val="center"/>
          </w:tcPr>
          <w:p w14:paraId="0004A72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强</w:t>
            </w:r>
          </w:p>
        </w:tc>
        <w:tc>
          <w:tcPr>
            <w:tcW w:w="2329" w:type="pct"/>
            <w:vAlign w:val="center"/>
          </w:tcPr>
          <w:p w14:paraId="4D8D4D0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岩（土）层单层厚度</w:t>
            </w:r>
            <w:r w:rsidRPr="008A2411">
              <w:rPr>
                <w:rFonts w:ascii="Times New Roman"/>
                <w:color w:val="000000" w:themeColor="text1"/>
              </w:rPr>
              <w:t>Mb≥1.0m</w:t>
            </w:r>
            <w:r w:rsidRPr="008A2411">
              <w:rPr>
                <w:rFonts w:ascii="Times New Roman"/>
                <w:color w:val="000000" w:themeColor="text1"/>
              </w:rPr>
              <w:t>，渗透系数</w:t>
            </w:r>
            <w:r w:rsidRPr="008A2411">
              <w:rPr>
                <w:rFonts w:ascii="Times New Roman"/>
                <w:color w:val="000000" w:themeColor="text1"/>
              </w:rPr>
              <w:t>K≤10</w:t>
            </w:r>
            <w:r w:rsidRPr="008A2411">
              <w:rPr>
                <w:rFonts w:ascii="Times New Roman"/>
                <w:color w:val="000000" w:themeColor="text1"/>
                <w:vertAlign w:val="superscript"/>
              </w:rPr>
              <w:t>-7</w:t>
            </w:r>
            <w:r w:rsidRPr="008A2411">
              <w:rPr>
                <w:rFonts w:ascii="Times New Roman"/>
                <w:color w:val="000000" w:themeColor="text1"/>
              </w:rPr>
              <w:t>cm/s</w:t>
            </w:r>
            <w:r w:rsidRPr="008A2411">
              <w:rPr>
                <w:rFonts w:ascii="Times New Roman"/>
                <w:color w:val="000000" w:themeColor="text1"/>
              </w:rPr>
              <w:t>，且分布连续、稳定。</w:t>
            </w:r>
          </w:p>
        </w:tc>
        <w:tc>
          <w:tcPr>
            <w:tcW w:w="2192" w:type="pct"/>
            <w:vMerge w:val="restart"/>
            <w:vAlign w:val="center"/>
          </w:tcPr>
          <w:p w14:paraId="40D1A2F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本项目下伏含水层为沙</w:t>
            </w:r>
            <w:proofErr w:type="gramStart"/>
            <w:r w:rsidRPr="008A2411">
              <w:rPr>
                <w:rFonts w:ascii="Times New Roman"/>
                <w:color w:val="000000" w:themeColor="text1"/>
              </w:rPr>
              <w:t>溪庙组砂</w:t>
            </w:r>
            <w:proofErr w:type="gramEnd"/>
            <w:r w:rsidRPr="008A2411">
              <w:rPr>
                <w:rFonts w:ascii="Times New Roman"/>
                <w:color w:val="000000" w:themeColor="text1"/>
              </w:rPr>
              <w:t>泥岩强风化裂隙含水层。根据项目区域水文地质资料，本项目</w:t>
            </w:r>
            <w:proofErr w:type="gramStart"/>
            <w:r w:rsidRPr="008A2411">
              <w:rPr>
                <w:rFonts w:ascii="Times New Roman"/>
                <w:color w:val="000000" w:themeColor="text1"/>
              </w:rPr>
              <w:t>评价区</w:t>
            </w:r>
            <w:proofErr w:type="gramEnd"/>
            <w:r w:rsidRPr="008A2411">
              <w:rPr>
                <w:rFonts w:ascii="Times New Roman"/>
                <w:color w:val="000000" w:themeColor="text1"/>
              </w:rPr>
              <w:t>包气带厚</w:t>
            </w:r>
            <w:r w:rsidRPr="008A2411">
              <w:rPr>
                <w:rFonts w:ascii="Times New Roman"/>
                <w:color w:val="000000" w:themeColor="text1"/>
              </w:rPr>
              <w:t>5</w:t>
            </w:r>
            <w:r w:rsidRPr="008A2411">
              <w:rPr>
                <w:rFonts w:ascii="Times New Roman"/>
                <w:color w:val="000000" w:themeColor="text1"/>
              </w:rPr>
              <w:t>～</w:t>
            </w:r>
            <w:r w:rsidRPr="008A2411">
              <w:rPr>
                <w:rFonts w:ascii="Times New Roman"/>
                <w:color w:val="000000" w:themeColor="text1"/>
              </w:rPr>
              <w:t>10m</w:t>
            </w:r>
            <w:r w:rsidRPr="008A2411">
              <w:rPr>
                <w:rFonts w:ascii="Times New Roman"/>
                <w:color w:val="000000" w:themeColor="text1"/>
              </w:rPr>
              <w:t>，平均取值</w:t>
            </w:r>
            <w:r w:rsidRPr="008A2411">
              <w:rPr>
                <w:rFonts w:ascii="Times New Roman"/>
                <w:color w:val="000000" w:themeColor="text1"/>
              </w:rPr>
              <w:t>6.15m</w:t>
            </w:r>
            <w:r w:rsidRPr="008A2411">
              <w:rPr>
                <w:rFonts w:ascii="Times New Roman"/>
                <w:color w:val="000000" w:themeColor="text1"/>
              </w:rPr>
              <w:t>，由杂填土、粉质粘土等组成，包气带渗透系数为</w:t>
            </w:r>
            <w:r w:rsidRPr="008A2411">
              <w:rPr>
                <w:rFonts w:ascii="Times New Roman"/>
                <w:color w:val="000000" w:themeColor="text1"/>
              </w:rPr>
              <w:t>9.47×10</w:t>
            </w:r>
            <w:r w:rsidRPr="008A2411">
              <w:rPr>
                <w:rFonts w:ascii="Times New Roman"/>
                <w:color w:val="000000" w:themeColor="text1"/>
                <w:vertAlign w:val="superscript"/>
              </w:rPr>
              <w:t>-5</w:t>
            </w:r>
            <w:r w:rsidRPr="008A2411">
              <w:rPr>
                <w:rFonts w:ascii="Times New Roman"/>
                <w:color w:val="000000" w:themeColor="text1"/>
              </w:rPr>
              <w:t>～</w:t>
            </w:r>
            <w:r w:rsidRPr="008A2411">
              <w:rPr>
                <w:rFonts w:ascii="Times New Roman"/>
                <w:bCs/>
                <w:color w:val="000000" w:themeColor="text1"/>
              </w:rPr>
              <w:t>1.49</w:t>
            </w:r>
            <w:r w:rsidRPr="008A2411">
              <w:rPr>
                <w:rFonts w:ascii="Times New Roman"/>
                <w:color w:val="000000" w:themeColor="text1"/>
              </w:rPr>
              <w:t>×10</w:t>
            </w:r>
            <w:r w:rsidRPr="008A2411">
              <w:rPr>
                <w:rFonts w:ascii="Times New Roman"/>
                <w:color w:val="000000" w:themeColor="text1"/>
                <w:vertAlign w:val="superscript"/>
              </w:rPr>
              <w:t>-4</w:t>
            </w:r>
            <w:r w:rsidRPr="008A2411">
              <w:rPr>
                <w:rFonts w:ascii="Times New Roman"/>
                <w:color w:val="000000" w:themeColor="text1"/>
              </w:rPr>
              <w:t>cm/s</w:t>
            </w:r>
            <w:r w:rsidRPr="008A2411">
              <w:rPr>
                <w:rFonts w:ascii="Times New Roman"/>
                <w:color w:val="000000" w:themeColor="text1"/>
              </w:rPr>
              <w:t>，综上确定包气带防污性能为</w:t>
            </w:r>
            <w:r w:rsidRPr="008A2411">
              <w:rPr>
                <w:rFonts w:ascii="Times New Roman" w:hint="eastAsia"/>
                <w:color w:val="000000" w:themeColor="text1"/>
              </w:rPr>
              <w:t>“</w:t>
            </w:r>
            <w:r w:rsidRPr="008A2411">
              <w:rPr>
                <w:rFonts w:ascii="Times New Roman"/>
                <w:color w:val="000000" w:themeColor="text1"/>
              </w:rPr>
              <w:t>弱</w:t>
            </w:r>
            <w:r w:rsidRPr="008A2411">
              <w:rPr>
                <w:rFonts w:ascii="Times New Roman" w:hint="eastAsia"/>
                <w:color w:val="000000" w:themeColor="text1"/>
              </w:rPr>
              <w:t>”</w:t>
            </w:r>
            <w:r w:rsidRPr="008A2411">
              <w:rPr>
                <w:rFonts w:ascii="Times New Roman"/>
                <w:color w:val="000000" w:themeColor="text1"/>
              </w:rPr>
              <w:t>。</w:t>
            </w:r>
          </w:p>
        </w:tc>
      </w:tr>
      <w:tr w:rsidR="008A2411" w:rsidRPr="008A2411" w14:paraId="0717E5A5" w14:textId="77777777">
        <w:trPr>
          <w:cantSplit/>
          <w:trHeight w:val="284"/>
          <w:jc w:val="center"/>
        </w:trPr>
        <w:tc>
          <w:tcPr>
            <w:tcW w:w="479" w:type="pct"/>
            <w:vAlign w:val="center"/>
          </w:tcPr>
          <w:p w14:paraId="4ED4A98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中</w:t>
            </w:r>
          </w:p>
        </w:tc>
        <w:tc>
          <w:tcPr>
            <w:tcW w:w="2329" w:type="pct"/>
            <w:vAlign w:val="center"/>
          </w:tcPr>
          <w:p w14:paraId="4F785F8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岩（土）层单层厚度</w:t>
            </w:r>
            <w:r w:rsidRPr="008A2411">
              <w:rPr>
                <w:rFonts w:ascii="Times New Roman"/>
                <w:color w:val="000000" w:themeColor="text1"/>
              </w:rPr>
              <w:t>0.5m≤Mb&lt;1.0m</w:t>
            </w:r>
            <w:r w:rsidRPr="008A2411">
              <w:rPr>
                <w:rFonts w:ascii="Times New Roman"/>
                <w:color w:val="000000" w:themeColor="text1"/>
              </w:rPr>
              <w:t>，渗透系数</w:t>
            </w:r>
            <w:r w:rsidRPr="008A2411">
              <w:rPr>
                <w:rFonts w:ascii="Times New Roman"/>
                <w:color w:val="000000" w:themeColor="text1"/>
              </w:rPr>
              <w:t>K≤10</w:t>
            </w:r>
            <w:r w:rsidRPr="008A2411">
              <w:rPr>
                <w:rFonts w:ascii="Times New Roman"/>
                <w:color w:val="000000" w:themeColor="text1"/>
                <w:vertAlign w:val="superscript"/>
              </w:rPr>
              <w:t>-7</w:t>
            </w:r>
            <w:r w:rsidRPr="008A2411">
              <w:rPr>
                <w:rFonts w:ascii="Times New Roman"/>
                <w:color w:val="000000" w:themeColor="text1"/>
              </w:rPr>
              <w:t>cm/s</w:t>
            </w:r>
            <w:r w:rsidRPr="008A2411">
              <w:rPr>
                <w:rFonts w:ascii="Times New Roman"/>
                <w:color w:val="000000" w:themeColor="text1"/>
              </w:rPr>
              <w:t>，且分布连续、稳定。</w:t>
            </w:r>
          </w:p>
          <w:p w14:paraId="57F4D24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岩（土）层单层厚度</w:t>
            </w:r>
            <w:r w:rsidRPr="008A2411">
              <w:rPr>
                <w:rFonts w:ascii="Times New Roman"/>
                <w:color w:val="000000" w:themeColor="text1"/>
              </w:rPr>
              <w:t>Mb≥1.0m</w:t>
            </w:r>
            <w:r w:rsidRPr="008A2411">
              <w:rPr>
                <w:rFonts w:ascii="Times New Roman"/>
                <w:color w:val="000000" w:themeColor="text1"/>
              </w:rPr>
              <w:t>，渗透系数</w:t>
            </w:r>
            <w:r w:rsidRPr="008A2411">
              <w:rPr>
                <w:rFonts w:ascii="Times New Roman"/>
                <w:color w:val="000000" w:themeColor="text1"/>
              </w:rPr>
              <w:t>10</w:t>
            </w:r>
            <w:r w:rsidRPr="008A2411">
              <w:rPr>
                <w:rFonts w:ascii="Times New Roman"/>
                <w:color w:val="000000" w:themeColor="text1"/>
                <w:vertAlign w:val="superscript"/>
              </w:rPr>
              <w:t>-7</w:t>
            </w:r>
            <w:r w:rsidRPr="008A2411">
              <w:rPr>
                <w:rFonts w:ascii="Times New Roman"/>
                <w:color w:val="000000" w:themeColor="text1"/>
              </w:rPr>
              <w:t>cm/s&lt;K≤10</w:t>
            </w:r>
            <w:r w:rsidRPr="008A2411">
              <w:rPr>
                <w:rFonts w:ascii="Times New Roman"/>
                <w:color w:val="000000" w:themeColor="text1"/>
                <w:vertAlign w:val="superscript"/>
              </w:rPr>
              <w:t>-4</w:t>
            </w:r>
            <w:r w:rsidRPr="008A2411">
              <w:rPr>
                <w:rFonts w:ascii="Times New Roman"/>
                <w:color w:val="000000" w:themeColor="text1"/>
              </w:rPr>
              <w:t>cm/s</w:t>
            </w:r>
            <w:r w:rsidRPr="008A2411">
              <w:rPr>
                <w:rFonts w:ascii="Times New Roman"/>
                <w:color w:val="000000" w:themeColor="text1"/>
              </w:rPr>
              <w:t>，且分布连续、稳定。</w:t>
            </w:r>
          </w:p>
        </w:tc>
        <w:tc>
          <w:tcPr>
            <w:tcW w:w="2192" w:type="pct"/>
            <w:vMerge/>
            <w:vAlign w:val="center"/>
          </w:tcPr>
          <w:p w14:paraId="66347FCE" w14:textId="77777777" w:rsidR="00B0005F" w:rsidRPr="008A2411" w:rsidRDefault="00B0005F">
            <w:pPr>
              <w:pStyle w:val="affffffffffff2"/>
              <w:rPr>
                <w:rFonts w:ascii="Times New Roman"/>
                <w:color w:val="000000" w:themeColor="text1"/>
              </w:rPr>
            </w:pPr>
          </w:p>
        </w:tc>
      </w:tr>
      <w:tr w:rsidR="008A2411" w:rsidRPr="008A2411" w14:paraId="79E12602" w14:textId="77777777">
        <w:trPr>
          <w:cantSplit/>
          <w:trHeight w:val="284"/>
          <w:jc w:val="center"/>
        </w:trPr>
        <w:tc>
          <w:tcPr>
            <w:tcW w:w="479" w:type="pct"/>
            <w:vAlign w:val="center"/>
          </w:tcPr>
          <w:p w14:paraId="3AD19C52" w14:textId="77777777" w:rsidR="00B0005F" w:rsidRPr="008A2411" w:rsidRDefault="00000000">
            <w:pPr>
              <w:pStyle w:val="affffffffffff2"/>
              <w:rPr>
                <w:rFonts w:ascii="Times New Roman"/>
                <w:color w:val="000000" w:themeColor="text1"/>
                <w:shd w:val="pct10" w:color="auto" w:fill="FFFFFF"/>
              </w:rPr>
            </w:pPr>
            <w:r w:rsidRPr="008A2411">
              <w:rPr>
                <w:rFonts w:ascii="Times New Roman"/>
                <w:color w:val="000000" w:themeColor="text1"/>
              </w:rPr>
              <w:t>弱（</w:t>
            </w:r>
            <w:r w:rsidRPr="008A2411">
              <w:rPr>
                <w:rFonts w:ascii="Times New Roman"/>
                <w:color w:val="000000" w:themeColor="text1"/>
              </w:rPr>
              <w:t>√</w:t>
            </w:r>
            <w:r w:rsidRPr="008A2411">
              <w:rPr>
                <w:rFonts w:ascii="Times New Roman"/>
                <w:color w:val="000000" w:themeColor="text1"/>
              </w:rPr>
              <w:t>）</w:t>
            </w:r>
          </w:p>
        </w:tc>
        <w:tc>
          <w:tcPr>
            <w:tcW w:w="2329" w:type="pct"/>
            <w:vAlign w:val="center"/>
          </w:tcPr>
          <w:p w14:paraId="1666C42B" w14:textId="77777777" w:rsidR="00B0005F" w:rsidRPr="008A2411" w:rsidRDefault="00000000">
            <w:pPr>
              <w:pStyle w:val="affffffffffff2"/>
              <w:rPr>
                <w:rFonts w:ascii="Times New Roman"/>
                <w:color w:val="000000" w:themeColor="text1"/>
                <w:shd w:val="pct10" w:color="auto" w:fill="FFFFFF"/>
              </w:rPr>
            </w:pPr>
            <w:r w:rsidRPr="008A2411">
              <w:rPr>
                <w:rFonts w:ascii="Times New Roman"/>
                <w:color w:val="000000" w:themeColor="text1"/>
              </w:rPr>
              <w:t>岩（土）层不满足上述</w:t>
            </w:r>
            <w:r w:rsidRPr="008A2411">
              <w:rPr>
                <w:rFonts w:ascii="Times New Roman" w:hint="eastAsia"/>
                <w:color w:val="000000" w:themeColor="text1"/>
              </w:rPr>
              <w:t>“</w:t>
            </w:r>
            <w:r w:rsidRPr="008A2411">
              <w:rPr>
                <w:rFonts w:ascii="Times New Roman"/>
                <w:color w:val="000000" w:themeColor="text1"/>
              </w:rPr>
              <w:t>强</w:t>
            </w:r>
            <w:r w:rsidRPr="008A2411">
              <w:rPr>
                <w:rFonts w:ascii="Times New Roman" w:hint="eastAsia"/>
                <w:color w:val="000000" w:themeColor="text1"/>
              </w:rPr>
              <w:t>”</w:t>
            </w:r>
            <w:r w:rsidRPr="008A2411">
              <w:rPr>
                <w:rFonts w:ascii="Times New Roman"/>
                <w:color w:val="000000" w:themeColor="text1"/>
              </w:rPr>
              <w:t>和</w:t>
            </w:r>
            <w:r w:rsidRPr="008A2411">
              <w:rPr>
                <w:rFonts w:ascii="Times New Roman" w:hint="eastAsia"/>
                <w:color w:val="000000" w:themeColor="text1"/>
              </w:rPr>
              <w:t>“</w:t>
            </w:r>
            <w:r w:rsidRPr="008A2411">
              <w:rPr>
                <w:rFonts w:ascii="Times New Roman"/>
                <w:color w:val="000000" w:themeColor="text1"/>
              </w:rPr>
              <w:t>中</w:t>
            </w:r>
            <w:r w:rsidRPr="008A2411">
              <w:rPr>
                <w:rFonts w:ascii="Times New Roman" w:hint="eastAsia"/>
                <w:color w:val="000000" w:themeColor="text1"/>
              </w:rPr>
              <w:t>”</w:t>
            </w:r>
            <w:r w:rsidRPr="008A2411">
              <w:rPr>
                <w:rFonts w:ascii="Times New Roman"/>
                <w:color w:val="000000" w:themeColor="text1"/>
              </w:rPr>
              <w:t>条件。</w:t>
            </w:r>
          </w:p>
        </w:tc>
        <w:tc>
          <w:tcPr>
            <w:tcW w:w="2192" w:type="pct"/>
            <w:vMerge/>
            <w:vAlign w:val="center"/>
          </w:tcPr>
          <w:p w14:paraId="7F8058F2" w14:textId="77777777" w:rsidR="00B0005F" w:rsidRPr="008A2411" w:rsidRDefault="00B0005F">
            <w:pPr>
              <w:pStyle w:val="affffffffffff2"/>
              <w:rPr>
                <w:rFonts w:ascii="Times New Roman"/>
                <w:color w:val="000000" w:themeColor="text1"/>
              </w:rPr>
            </w:pPr>
          </w:p>
        </w:tc>
      </w:tr>
    </w:tbl>
    <w:p w14:paraId="4D7C22B9" w14:textId="77777777" w:rsidR="00B0005F" w:rsidRPr="008A2411" w:rsidRDefault="00000000">
      <w:pPr>
        <w:pStyle w:val="affffffff7"/>
        <w:spacing w:before="60" w:after="60"/>
        <w:rPr>
          <w:color w:val="000000" w:themeColor="text1"/>
        </w:rPr>
      </w:pPr>
      <w:r w:rsidRPr="008A2411">
        <w:rPr>
          <w:color w:val="000000" w:themeColor="text1"/>
        </w:rPr>
        <w:t>表</w:t>
      </w:r>
      <w:r w:rsidRPr="008A2411">
        <w:rPr>
          <w:color w:val="000000" w:themeColor="text1"/>
        </w:rPr>
        <w:t xml:space="preserve">5.2-39  </w:t>
      </w:r>
      <w:r w:rsidRPr="008A2411">
        <w:rPr>
          <w:color w:val="000000" w:themeColor="text1"/>
        </w:rPr>
        <w:t>本项目污染控制难易程度分级</w:t>
      </w:r>
    </w:p>
    <w:tbl>
      <w:tblPr>
        <w:tblW w:w="5306"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22"/>
        <w:gridCol w:w="1478"/>
        <w:gridCol w:w="1925"/>
        <w:gridCol w:w="4510"/>
      </w:tblGrid>
      <w:tr w:rsidR="008A2411" w:rsidRPr="008A2411" w14:paraId="68F7B0FA" w14:textId="77777777">
        <w:trPr>
          <w:trHeight w:val="19"/>
          <w:tblHeader/>
          <w:jc w:val="center"/>
        </w:trPr>
        <w:tc>
          <w:tcPr>
            <w:tcW w:w="572" w:type="pct"/>
            <w:shd w:val="clear" w:color="auto" w:fill="auto"/>
            <w:tcMar>
              <w:left w:w="57" w:type="dxa"/>
              <w:right w:w="57" w:type="dxa"/>
            </w:tcMar>
            <w:vAlign w:val="center"/>
          </w:tcPr>
          <w:p w14:paraId="2E4CE0C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污染物控制难易程度</w:t>
            </w:r>
          </w:p>
        </w:tc>
        <w:tc>
          <w:tcPr>
            <w:tcW w:w="827" w:type="pct"/>
            <w:shd w:val="clear" w:color="auto" w:fill="auto"/>
            <w:tcMar>
              <w:left w:w="57" w:type="dxa"/>
              <w:right w:w="57" w:type="dxa"/>
            </w:tcMar>
            <w:vAlign w:val="center"/>
          </w:tcPr>
          <w:p w14:paraId="56574C3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主要特征</w:t>
            </w:r>
          </w:p>
        </w:tc>
        <w:tc>
          <w:tcPr>
            <w:tcW w:w="1077" w:type="pct"/>
            <w:shd w:val="clear" w:color="auto" w:fill="auto"/>
            <w:tcMar>
              <w:left w:w="57" w:type="dxa"/>
              <w:right w:w="57" w:type="dxa"/>
            </w:tcMar>
            <w:vAlign w:val="center"/>
          </w:tcPr>
          <w:p w14:paraId="6E14B13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本项目拟建构筑物</w:t>
            </w:r>
          </w:p>
        </w:tc>
        <w:tc>
          <w:tcPr>
            <w:tcW w:w="2525" w:type="pct"/>
            <w:tcMar>
              <w:left w:w="57" w:type="dxa"/>
              <w:right w:w="57" w:type="dxa"/>
            </w:tcMar>
            <w:vAlign w:val="center"/>
          </w:tcPr>
          <w:p w14:paraId="2ADFDB9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备注</w:t>
            </w:r>
          </w:p>
        </w:tc>
      </w:tr>
      <w:tr w:rsidR="008A2411" w:rsidRPr="008A2411" w14:paraId="34A7D1E8" w14:textId="77777777">
        <w:trPr>
          <w:trHeight w:val="19"/>
          <w:jc w:val="center"/>
        </w:trPr>
        <w:tc>
          <w:tcPr>
            <w:tcW w:w="572" w:type="pct"/>
            <w:shd w:val="clear" w:color="auto" w:fill="auto"/>
            <w:tcMar>
              <w:left w:w="57" w:type="dxa"/>
              <w:right w:w="57" w:type="dxa"/>
            </w:tcMar>
            <w:vAlign w:val="center"/>
          </w:tcPr>
          <w:p w14:paraId="014D5C7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难</w:t>
            </w:r>
          </w:p>
        </w:tc>
        <w:tc>
          <w:tcPr>
            <w:tcW w:w="827" w:type="pct"/>
            <w:shd w:val="clear" w:color="auto" w:fill="auto"/>
            <w:tcMar>
              <w:left w:w="57" w:type="dxa"/>
              <w:right w:w="57" w:type="dxa"/>
            </w:tcMar>
            <w:vAlign w:val="center"/>
          </w:tcPr>
          <w:p w14:paraId="0FE0D51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对地下水环境由污染的物料或污染物泄漏后，不能及时发现和处理</w:t>
            </w:r>
          </w:p>
        </w:tc>
        <w:tc>
          <w:tcPr>
            <w:tcW w:w="1077" w:type="pct"/>
            <w:shd w:val="clear" w:color="auto" w:fill="auto"/>
            <w:tcMar>
              <w:left w:w="57" w:type="dxa"/>
              <w:right w:w="57" w:type="dxa"/>
            </w:tcMar>
            <w:vAlign w:val="center"/>
          </w:tcPr>
          <w:p w14:paraId="3F5B8C0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污水处理站、事故水池</w:t>
            </w:r>
          </w:p>
        </w:tc>
        <w:tc>
          <w:tcPr>
            <w:tcW w:w="2525" w:type="pct"/>
            <w:tcMar>
              <w:left w:w="57" w:type="dxa"/>
              <w:right w:w="57" w:type="dxa"/>
            </w:tcMar>
            <w:vAlign w:val="center"/>
          </w:tcPr>
          <w:p w14:paraId="3616CDA1" w14:textId="77777777" w:rsidR="00B0005F" w:rsidRPr="008A2411" w:rsidRDefault="00000000">
            <w:pPr>
              <w:pStyle w:val="affffffffffff2"/>
              <w:jc w:val="left"/>
              <w:rPr>
                <w:rFonts w:ascii="Times New Roman"/>
                <w:color w:val="000000" w:themeColor="text1"/>
              </w:rPr>
            </w:pPr>
            <w:r w:rsidRPr="008A2411">
              <w:rPr>
                <w:rFonts w:ascii="Times New Roman"/>
                <w:color w:val="000000" w:themeColor="text1"/>
              </w:rPr>
              <w:t>污水处理站、事故水池为钢筋</w:t>
            </w:r>
            <w:proofErr w:type="gramStart"/>
            <w:r w:rsidRPr="008A2411">
              <w:rPr>
                <w:rFonts w:ascii="Times New Roman"/>
                <w:color w:val="000000" w:themeColor="text1"/>
              </w:rPr>
              <w:t>砼</w:t>
            </w:r>
            <w:proofErr w:type="gramEnd"/>
            <w:r w:rsidRPr="008A2411">
              <w:rPr>
                <w:rFonts w:ascii="Times New Roman"/>
                <w:color w:val="000000" w:themeColor="text1"/>
              </w:rPr>
              <w:t>半地下结构，受地下水环境保护措施系统老化及腐蚀等因素影响，池体破损后废水由底部泄漏进入地下水系统。</w:t>
            </w:r>
          </w:p>
          <w:p w14:paraId="23DB71C1" w14:textId="77777777" w:rsidR="00B0005F" w:rsidRPr="008A2411" w:rsidRDefault="00000000">
            <w:pPr>
              <w:pStyle w:val="affffffffffff2"/>
              <w:jc w:val="left"/>
              <w:rPr>
                <w:rFonts w:ascii="Times New Roman"/>
                <w:color w:val="000000" w:themeColor="text1"/>
              </w:rPr>
            </w:pPr>
            <w:r w:rsidRPr="008A2411">
              <w:rPr>
                <w:rFonts w:ascii="Times New Roman"/>
                <w:color w:val="000000" w:themeColor="text1"/>
              </w:rPr>
              <w:t>上述各池体构筑物废水渗漏过程不易及时发现和处理。</w:t>
            </w:r>
          </w:p>
        </w:tc>
      </w:tr>
      <w:tr w:rsidR="008A2411" w:rsidRPr="008A2411" w14:paraId="3353BEDC" w14:textId="77777777">
        <w:trPr>
          <w:trHeight w:val="19"/>
          <w:jc w:val="center"/>
        </w:trPr>
        <w:tc>
          <w:tcPr>
            <w:tcW w:w="572" w:type="pct"/>
            <w:shd w:val="clear" w:color="auto" w:fill="auto"/>
            <w:tcMar>
              <w:left w:w="57" w:type="dxa"/>
              <w:right w:w="57" w:type="dxa"/>
            </w:tcMar>
            <w:vAlign w:val="center"/>
          </w:tcPr>
          <w:p w14:paraId="252C6E20"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易</w:t>
            </w:r>
          </w:p>
        </w:tc>
        <w:tc>
          <w:tcPr>
            <w:tcW w:w="827" w:type="pct"/>
            <w:shd w:val="clear" w:color="auto" w:fill="auto"/>
            <w:tcMar>
              <w:left w:w="57" w:type="dxa"/>
              <w:right w:w="57" w:type="dxa"/>
            </w:tcMar>
            <w:vAlign w:val="center"/>
          </w:tcPr>
          <w:p w14:paraId="348987F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对地下水环境由污染的物料或污染物泄漏后，能及时发现和处理</w:t>
            </w:r>
          </w:p>
        </w:tc>
        <w:tc>
          <w:tcPr>
            <w:tcW w:w="1077" w:type="pct"/>
            <w:shd w:val="clear" w:color="auto" w:fill="auto"/>
            <w:tcMar>
              <w:left w:w="57" w:type="dxa"/>
              <w:right w:w="57" w:type="dxa"/>
            </w:tcMar>
            <w:vAlign w:val="center"/>
          </w:tcPr>
          <w:p w14:paraId="1B329788"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原料气分离过滤单元、脱酸单元、脱汞单元、脱水单元、脱重烃单元、导热油系统导热油炉、危险废物暂存间、</w:t>
            </w:r>
            <w:proofErr w:type="gramStart"/>
            <w:r w:rsidRPr="008A2411">
              <w:rPr>
                <w:rFonts w:ascii="Times New Roman"/>
                <w:color w:val="000000" w:themeColor="text1"/>
              </w:rPr>
              <w:t>空压及</w:t>
            </w:r>
            <w:proofErr w:type="gramEnd"/>
            <w:r w:rsidRPr="008A2411">
              <w:rPr>
                <w:rFonts w:ascii="Times New Roman"/>
                <w:color w:val="000000" w:themeColor="text1"/>
              </w:rPr>
              <w:t>水处理站、分析化验及器材间</w:t>
            </w:r>
          </w:p>
        </w:tc>
        <w:tc>
          <w:tcPr>
            <w:tcW w:w="2525" w:type="pct"/>
            <w:tcMar>
              <w:left w:w="57" w:type="dxa"/>
              <w:right w:w="57" w:type="dxa"/>
            </w:tcMar>
            <w:vAlign w:val="center"/>
          </w:tcPr>
          <w:p w14:paraId="7EEBECBB" w14:textId="77777777" w:rsidR="00B0005F" w:rsidRPr="008A2411" w:rsidRDefault="00000000">
            <w:pPr>
              <w:pStyle w:val="affffffffffff2"/>
              <w:jc w:val="left"/>
              <w:rPr>
                <w:rFonts w:ascii="Times New Roman"/>
                <w:color w:val="000000" w:themeColor="text1"/>
              </w:rPr>
            </w:pPr>
            <w:r w:rsidRPr="008A2411">
              <w:rPr>
                <w:rFonts w:ascii="Times New Roman"/>
                <w:color w:val="000000" w:themeColor="text1"/>
              </w:rPr>
              <w:t>原料气分离过滤单元、脱酸单元、脱汞单元、脱水单元、脱重烃单元等净化工序、产品液化工序、</w:t>
            </w:r>
            <w:proofErr w:type="gramStart"/>
            <w:r w:rsidRPr="008A2411">
              <w:rPr>
                <w:rFonts w:ascii="Times New Roman"/>
                <w:color w:val="000000" w:themeColor="text1"/>
                <w:szCs w:val="21"/>
              </w:rPr>
              <w:t>空压及</w:t>
            </w:r>
            <w:proofErr w:type="gramEnd"/>
            <w:r w:rsidRPr="008A2411">
              <w:rPr>
                <w:rFonts w:ascii="Times New Roman"/>
                <w:color w:val="000000" w:themeColor="text1"/>
                <w:szCs w:val="21"/>
              </w:rPr>
              <w:t>水处理站</w:t>
            </w:r>
            <w:r w:rsidRPr="008A2411">
              <w:rPr>
                <w:rFonts w:ascii="Times New Roman"/>
                <w:color w:val="000000" w:themeColor="text1"/>
              </w:rPr>
              <w:t>等主要设备为地表设置的碳钢吸收塔或储罐。非正常运行状况生产车间生产溶液泄漏于地表，易被及时发现和处理。</w:t>
            </w:r>
          </w:p>
          <w:p w14:paraId="3BE5C835" w14:textId="14E2CF08" w:rsidR="00B0005F" w:rsidRPr="008A2411" w:rsidRDefault="00000000">
            <w:pPr>
              <w:pStyle w:val="affffffffffff2"/>
              <w:jc w:val="left"/>
              <w:rPr>
                <w:rFonts w:ascii="Times New Roman"/>
                <w:color w:val="000000" w:themeColor="text1"/>
              </w:rPr>
            </w:pPr>
            <w:r w:rsidRPr="008A2411">
              <w:rPr>
                <w:rFonts w:ascii="Times New Roman"/>
                <w:color w:val="000000" w:themeColor="text1"/>
              </w:rPr>
              <w:t>导热油系统导热油炉利用地表储罐存放，并且下部设置有围堰，导热油</w:t>
            </w:r>
            <w:r w:rsidR="00AB2E38" w:rsidRPr="008A2411">
              <w:rPr>
                <w:rFonts w:ascii="Times New Roman"/>
                <w:color w:val="000000" w:themeColor="text1"/>
              </w:rPr>
              <w:t>泄漏</w:t>
            </w:r>
            <w:r w:rsidRPr="008A2411">
              <w:rPr>
                <w:rFonts w:ascii="Times New Roman"/>
                <w:color w:val="000000" w:themeColor="text1"/>
              </w:rPr>
              <w:t>后可进入底部围堰收集，易于及时发现和处理。</w:t>
            </w:r>
          </w:p>
          <w:p w14:paraId="793E5FE8" w14:textId="77777777" w:rsidR="00B0005F" w:rsidRPr="008A2411" w:rsidRDefault="00000000">
            <w:pPr>
              <w:pStyle w:val="affffffffffff2"/>
              <w:jc w:val="left"/>
              <w:rPr>
                <w:rFonts w:ascii="Times New Roman"/>
                <w:color w:val="000000" w:themeColor="text1"/>
              </w:rPr>
            </w:pPr>
            <w:r w:rsidRPr="008A2411">
              <w:rPr>
                <w:rFonts w:ascii="Times New Roman"/>
                <w:color w:val="000000" w:themeColor="text1"/>
              </w:rPr>
              <w:t>危险废物暂存间运行过程中仅可能有包装上粘附的少量生产溶液跑冒滴漏于地表。污染物滴漏于地表易于及时发现和处理。</w:t>
            </w:r>
          </w:p>
          <w:p w14:paraId="68F2527F" w14:textId="77777777" w:rsidR="00B0005F" w:rsidRPr="008A2411" w:rsidRDefault="00000000">
            <w:pPr>
              <w:pStyle w:val="affffffffffff2"/>
              <w:jc w:val="left"/>
              <w:rPr>
                <w:rFonts w:ascii="Times New Roman"/>
                <w:color w:val="000000" w:themeColor="text1"/>
              </w:rPr>
            </w:pPr>
            <w:r w:rsidRPr="008A2411">
              <w:rPr>
                <w:rFonts w:ascii="Times New Roman"/>
                <w:color w:val="000000" w:themeColor="text1"/>
              </w:rPr>
              <w:t>分析化验及器材间化验废水桶均采用小型单体包装，于地表进行码放储存。非正常运行状况储存的生产溶液泄漏于地表，易被及时发现和处理。</w:t>
            </w:r>
          </w:p>
        </w:tc>
      </w:tr>
      <w:tr w:rsidR="008A2411" w:rsidRPr="008A2411" w14:paraId="76B39FF2" w14:textId="77777777">
        <w:trPr>
          <w:trHeight w:val="19"/>
          <w:jc w:val="center"/>
        </w:trPr>
        <w:tc>
          <w:tcPr>
            <w:tcW w:w="572" w:type="pct"/>
            <w:shd w:val="clear" w:color="auto" w:fill="auto"/>
            <w:tcMar>
              <w:left w:w="57" w:type="dxa"/>
              <w:right w:w="57" w:type="dxa"/>
            </w:tcMar>
            <w:vAlign w:val="center"/>
          </w:tcPr>
          <w:p w14:paraId="2ECDC6E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其它</w:t>
            </w:r>
          </w:p>
        </w:tc>
        <w:tc>
          <w:tcPr>
            <w:tcW w:w="827" w:type="pct"/>
            <w:shd w:val="clear" w:color="auto" w:fill="auto"/>
            <w:tcMar>
              <w:left w:w="57" w:type="dxa"/>
              <w:right w:w="57" w:type="dxa"/>
            </w:tcMar>
            <w:vAlign w:val="center"/>
          </w:tcPr>
          <w:p w14:paraId="2754629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p>
        </w:tc>
        <w:tc>
          <w:tcPr>
            <w:tcW w:w="1077" w:type="pct"/>
            <w:shd w:val="clear" w:color="auto" w:fill="auto"/>
            <w:tcMar>
              <w:left w:w="57" w:type="dxa"/>
              <w:right w:w="57" w:type="dxa"/>
            </w:tcMar>
            <w:vAlign w:val="center"/>
          </w:tcPr>
          <w:p w14:paraId="6B57DA9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其他公辅及办公生活设施</w:t>
            </w:r>
          </w:p>
        </w:tc>
        <w:tc>
          <w:tcPr>
            <w:tcW w:w="2525" w:type="pct"/>
            <w:tcMar>
              <w:left w:w="57" w:type="dxa"/>
              <w:right w:w="57" w:type="dxa"/>
            </w:tcMar>
            <w:vAlign w:val="center"/>
          </w:tcPr>
          <w:p w14:paraId="24694CCA" w14:textId="77777777" w:rsidR="00B0005F" w:rsidRPr="008A2411" w:rsidRDefault="00000000">
            <w:pPr>
              <w:pStyle w:val="affffffffffff2"/>
              <w:jc w:val="left"/>
              <w:rPr>
                <w:rFonts w:ascii="Times New Roman"/>
                <w:color w:val="000000" w:themeColor="text1"/>
              </w:rPr>
            </w:pPr>
            <w:r w:rsidRPr="008A2411">
              <w:rPr>
                <w:rFonts w:ascii="Times New Roman"/>
                <w:color w:val="000000" w:themeColor="text1"/>
              </w:rPr>
              <w:t>无地下水污染物产生。</w:t>
            </w:r>
          </w:p>
        </w:tc>
      </w:tr>
    </w:tbl>
    <w:p w14:paraId="640BFA74" w14:textId="77777777" w:rsidR="00B0005F" w:rsidRPr="008A2411" w:rsidRDefault="00000000">
      <w:pPr>
        <w:pStyle w:val="affffffff7"/>
        <w:spacing w:before="60" w:after="60"/>
        <w:rPr>
          <w:color w:val="000000" w:themeColor="text1"/>
        </w:rPr>
      </w:pPr>
      <w:r w:rsidRPr="008A2411">
        <w:rPr>
          <w:color w:val="000000" w:themeColor="text1"/>
        </w:rPr>
        <w:t>表</w:t>
      </w:r>
      <w:r w:rsidRPr="008A2411">
        <w:rPr>
          <w:color w:val="000000" w:themeColor="text1"/>
        </w:rPr>
        <w:t xml:space="preserve">5.2-40  </w:t>
      </w:r>
      <w:r w:rsidRPr="008A2411">
        <w:rPr>
          <w:color w:val="000000" w:themeColor="text1"/>
        </w:rPr>
        <w:t>地下水污染防渗分区</w:t>
      </w:r>
    </w:p>
    <w:tbl>
      <w:tblPr>
        <w:tblW w:w="892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98"/>
        <w:gridCol w:w="751"/>
        <w:gridCol w:w="747"/>
        <w:gridCol w:w="629"/>
        <w:gridCol w:w="1214"/>
        <w:gridCol w:w="2237"/>
        <w:gridCol w:w="2551"/>
      </w:tblGrid>
      <w:tr w:rsidR="008A2411" w:rsidRPr="008A2411" w14:paraId="1BD6344F" w14:textId="77777777">
        <w:trPr>
          <w:trHeight w:val="20"/>
          <w:jc w:val="center"/>
        </w:trPr>
        <w:tc>
          <w:tcPr>
            <w:tcW w:w="798" w:type="dxa"/>
            <w:shd w:val="clear" w:color="auto" w:fill="auto"/>
            <w:tcMar>
              <w:left w:w="57" w:type="dxa"/>
              <w:right w:w="57" w:type="dxa"/>
            </w:tcMar>
            <w:vAlign w:val="center"/>
          </w:tcPr>
          <w:p w14:paraId="3A94119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防渗分区</w:t>
            </w:r>
          </w:p>
        </w:tc>
        <w:tc>
          <w:tcPr>
            <w:tcW w:w="751" w:type="dxa"/>
            <w:shd w:val="clear" w:color="auto" w:fill="auto"/>
            <w:tcMar>
              <w:left w:w="57" w:type="dxa"/>
              <w:right w:w="57" w:type="dxa"/>
            </w:tcMar>
            <w:vAlign w:val="center"/>
          </w:tcPr>
          <w:p w14:paraId="5D7321A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天然包气带防污性能</w:t>
            </w:r>
          </w:p>
        </w:tc>
        <w:tc>
          <w:tcPr>
            <w:tcW w:w="747" w:type="dxa"/>
            <w:shd w:val="clear" w:color="auto" w:fill="auto"/>
            <w:tcMar>
              <w:left w:w="57" w:type="dxa"/>
              <w:right w:w="57" w:type="dxa"/>
            </w:tcMar>
            <w:vAlign w:val="center"/>
          </w:tcPr>
          <w:p w14:paraId="24DEB0B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污染控制难易程度</w:t>
            </w:r>
          </w:p>
        </w:tc>
        <w:tc>
          <w:tcPr>
            <w:tcW w:w="629" w:type="dxa"/>
            <w:shd w:val="clear" w:color="auto" w:fill="auto"/>
            <w:tcMar>
              <w:left w:w="57" w:type="dxa"/>
              <w:right w:w="57" w:type="dxa"/>
            </w:tcMar>
            <w:vAlign w:val="center"/>
          </w:tcPr>
          <w:p w14:paraId="0E2DA33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污染物类型</w:t>
            </w:r>
          </w:p>
        </w:tc>
        <w:tc>
          <w:tcPr>
            <w:tcW w:w="1214" w:type="dxa"/>
            <w:shd w:val="clear" w:color="auto" w:fill="auto"/>
            <w:tcMar>
              <w:left w:w="57" w:type="dxa"/>
              <w:right w:w="57" w:type="dxa"/>
            </w:tcMar>
            <w:vAlign w:val="center"/>
          </w:tcPr>
          <w:p w14:paraId="07DC175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防渗技术要求</w:t>
            </w:r>
          </w:p>
        </w:tc>
        <w:tc>
          <w:tcPr>
            <w:tcW w:w="2237" w:type="dxa"/>
            <w:shd w:val="clear" w:color="auto" w:fill="auto"/>
            <w:tcMar>
              <w:left w:w="57" w:type="dxa"/>
              <w:right w:w="57" w:type="dxa"/>
            </w:tcMar>
            <w:vAlign w:val="center"/>
          </w:tcPr>
          <w:p w14:paraId="2177C5E3"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本项目构筑物</w:t>
            </w:r>
          </w:p>
        </w:tc>
        <w:tc>
          <w:tcPr>
            <w:tcW w:w="2551" w:type="dxa"/>
            <w:shd w:val="clear" w:color="auto" w:fill="auto"/>
            <w:tcMar>
              <w:left w:w="57" w:type="dxa"/>
              <w:right w:w="57" w:type="dxa"/>
            </w:tcMar>
            <w:vAlign w:val="center"/>
          </w:tcPr>
          <w:p w14:paraId="0AEF5D2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备注</w:t>
            </w:r>
          </w:p>
        </w:tc>
      </w:tr>
      <w:tr w:rsidR="008A2411" w:rsidRPr="008A2411" w14:paraId="1F001DB9" w14:textId="77777777">
        <w:trPr>
          <w:trHeight w:val="20"/>
          <w:jc w:val="center"/>
        </w:trPr>
        <w:tc>
          <w:tcPr>
            <w:tcW w:w="798" w:type="dxa"/>
            <w:vMerge w:val="restart"/>
            <w:shd w:val="clear" w:color="auto" w:fill="auto"/>
            <w:tcMar>
              <w:left w:w="57" w:type="dxa"/>
              <w:right w:w="57" w:type="dxa"/>
            </w:tcMar>
            <w:vAlign w:val="center"/>
          </w:tcPr>
          <w:p w14:paraId="03A16D9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重点防渗区</w:t>
            </w:r>
          </w:p>
        </w:tc>
        <w:tc>
          <w:tcPr>
            <w:tcW w:w="751" w:type="dxa"/>
            <w:vMerge w:val="restart"/>
            <w:shd w:val="clear" w:color="auto" w:fill="auto"/>
            <w:tcMar>
              <w:left w:w="57" w:type="dxa"/>
              <w:right w:w="57" w:type="dxa"/>
            </w:tcMar>
            <w:vAlign w:val="center"/>
          </w:tcPr>
          <w:p w14:paraId="62F5870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弱</w:t>
            </w:r>
          </w:p>
        </w:tc>
        <w:tc>
          <w:tcPr>
            <w:tcW w:w="747" w:type="dxa"/>
            <w:vMerge w:val="restart"/>
            <w:shd w:val="clear" w:color="auto" w:fill="auto"/>
            <w:tcMar>
              <w:left w:w="57" w:type="dxa"/>
              <w:right w:w="57" w:type="dxa"/>
            </w:tcMar>
            <w:vAlign w:val="center"/>
          </w:tcPr>
          <w:p w14:paraId="004AF81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难</w:t>
            </w:r>
          </w:p>
        </w:tc>
        <w:tc>
          <w:tcPr>
            <w:tcW w:w="629" w:type="dxa"/>
            <w:vMerge w:val="restart"/>
            <w:shd w:val="clear" w:color="auto" w:fill="auto"/>
            <w:tcMar>
              <w:left w:w="57" w:type="dxa"/>
              <w:right w:w="57" w:type="dxa"/>
            </w:tcMar>
            <w:vAlign w:val="center"/>
          </w:tcPr>
          <w:p w14:paraId="571C08D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常规指标污染、有机污染</w:t>
            </w:r>
          </w:p>
        </w:tc>
        <w:tc>
          <w:tcPr>
            <w:tcW w:w="1214" w:type="dxa"/>
            <w:vMerge w:val="restart"/>
            <w:shd w:val="clear" w:color="auto" w:fill="auto"/>
            <w:tcMar>
              <w:left w:w="57" w:type="dxa"/>
              <w:right w:w="57" w:type="dxa"/>
            </w:tcMar>
            <w:vAlign w:val="center"/>
          </w:tcPr>
          <w:p w14:paraId="698CA17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等效粘土防渗层</w:t>
            </w:r>
            <w:r w:rsidRPr="008A2411">
              <w:rPr>
                <w:rFonts w:ascii="Times New Roman"/>
                <w:color w:val="000000" w:themeColor="text1"/>
              </w:rPr>
              <w:t>Mb≥6.0m</w:t>
            </w:r>
            <w:r w:rsidRPr="008A2411">
              <w:rPr>
                <w:rFonts w:ascii="Times New Roman"/>
                <w:color w:val="000000" w:themeColor="text1"/>
              </w:rPr>
              <w:t>，</w:t>
            </w:r>
            <w:r w:rsidRPr="008A2411">
              <w:rPr>
                <w:rFonts w:ascii="Times New Roman"/>
                <w:color w:val="000000" w:themeColor="text1"/>
              </w:rPr>
              <w:t>K≤1×10</w:t>
            </w:r>
            <w:r w:rsidRPr="008A2411">
              <w:rPr>
                <w:rFonts w:ascii="Times New Roman"/>
                <w:color w:val="000000" w:themeColor="text1"/>
                <w:vertAlign w:val="superscript"/>
              </w:rPr>
              <w:t>-7</w:t>
            </w:r>
            <w:r w:rsidRPr="008A2411">
              <w:rPr>
                <w:rFonts w:ascii="Times New Roman"/>
                <w:color w:val="000000" w:themeColor="text1"/>
              </w:rPr>
              <w:t>cm/s</w:t>
            </w:r>
          </w:p>
        </w:tc>
        <w:tc>
          <w:tcPr>
            <w:tcW w:w="2237" w:type="dxa"/>
            <w:shd w:val="clear" w:color="auto" w:fill="auto"/>
            <w:tcMar>
              <w:left w:w="57" w:type="dxa"/>
              <w:right w:w="57" w:type="dxa"/>
            </w:tcMar>
            <w:vAlign w:val="center"/>
          </w:tcPr>
          <w:p w14:paraId="531BF7C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污水处理站</w:t>
            </w:r>
          </w:p>
        </w:tc>
        <w:tc>
          <w:tcPr>
            <w:tcW w:w="2551" w:type="dxa"/>
            <w:shd w:val="clear" w:color="auto" w:fill="auto"/>
            <w:tcMar>
              <w:left w:w="57" w:type="dxa"/>
              <w:right w:w="57" w:type="dxa"/>
            </w:tcMar>
            <w:vAlign w:val="center"/>
          </w:tcPr>
          <w:p w14:paraId="72FE409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主要污染物包括：</w:t>
            </w:r>
            <w:r w:rsidRPr="008A2411">
              <w:rPr>
                <w:rFonts w:ascii="Times New Roman"/>
                <w:color w:val="000000" w:themeColor="text1"/>
              </w:rPr>
              <w:t>COD</w:t>
            </w:r>
            <w:r w:rsidRPr="008A2411">
              <w:rPr>
                <w:rFonts w:ascii="Times New Roman"/>
                <w:color w:val="000000" w:themeColor="text1"/>
              </w:rPr>
              <w:t>、</w:t>
            </w:r>
            <w:r w:rsidRPr="008A2411">
              <w:rPr>
                <w:rFonts w:ascii="Times New Roman"/>
                <w:color w:val="000000" w:themeColor="text1"/>
              </w:rPr>
              <w:t>MEDA</w:t>
            </w:r>
            <w:r w:rsidRPr="008A2411">
              <w:rPr>
                <w:rFonts w:ascii="Times New Roman"/>
                <w:color w:val="000000" w:themeColor="text1"/>
              </w:rPr>
              <w:t>、氨氮、石油类等</w:t>
            </w:r>
          </w:p>
        </w:tc>
      </w:tr>
      <w:tr w:rsidR="008A2411" w:rsidRPr="008A2411" w14:paraId="20ABCBEC" w14:textId="77777777">
        <w:trPr>
          <w:trHeight w:val="20"/>
          <w:jc w:val="center"/>
        </w:trPr>
        <w:tc>
          <w:tcPr>
            <w:tcW w:w="798" w:type="dxa"/>
            <w:vMerge/>
            <w:shd w:val="clear" w:color="auto" w:fill="auto"/>
            <w:tcMar>
              <w:left w:w="57" w:type="dxa"/>
              <w:right w:w="57" w:type="dxa"/>
            </w:tcMar>
            <w:vAlign w:val="center"/>
          </w:tcPr>
          <w:p w14:paraId="6280FF46" w14:textId="77777777" w:rsidR="00B0005F" w:rsidRPr="008A2411" w:rsidRDefault="00B0005F">
            <w:pPr>
              <w:pStyle w:val="affffffffffff2"/>
              <w:rPr>
                <w:rFonts w:ascii="Times New Roman"/>
                <w:color w:val="000000" w:themeColor="text1"/>
              </w:rPr>
            </w:pPr>
          </w:p>
        </w:tc>
        <w:tc>
          <w:tcPr>
            <w:tcW w:w="751" w:type="dxa"/>
            <w:vMerge/>
            <w:shd w:val="clear" w:color="auto" w:fill="auto"/>
            <w:tcMar>
              <w:left w:w="57" w:type="dxa"/>
              <w:right w:w="57" w:type="dxa"/>
            </w:tcMar>
            <w:vAlign w:val="center"/>
          </w:tcPr>
          <w:p w14:paraId="09CDFBB2" w14:textId="77777777" w:rsidR="00B0005F" w:rsidRPr="008A2411" w:rsidRDefault="00B0005F">
            <w:pPr>
              <w:pStyle w:val="affffffffffff2"/>
              <w:rPr>
                <w:rFonts w:ascii="Times New Roman"/>
                <w:color w:val="000000" w:themeColor="text1"/>
              </w:rPr>
            </w:pPr>
          </w:p>
        </w:tc>
        <w:tc>
          <w:tcPr>
            <w:tcW w:w="747" w:type="dxa"/>
            <w:vMerge/>
            <w:shd w:val="clear" w:color="auto" w:fill="auto"/>
            <w:tcMar>
              <w:left w:w="57" w:type="dxa"/>
              <w:right w:w="57" w:type="dxa"/>
            </w:tcMar>
            <w:vAlign w:val="center"/>
          </w:tcPr>
          <w:p w14:paraId="3E3D9848" w14:textId="77777777" w:rsidR="00B0005F" w:rsidRPr="008A2411" w:rsidRDefault="00B0005F">
            <w:pPr>
              <w:pStyle w:val="affffffffffff2"/>
              <w:rPr>
                <w:rFonts w:ascii="Times New Roman"/>
                <w:color w:val="000000" w:themeColor="text1"/>
              </w:rPr>
            </w:pPr>
          </w:p>
        </w:tc>
        <w:tc>
          <w:tcPr>
            <w:tcW w:w="629" w:type="dxa"/>
            <w:vMerge/>
            <w:shd w:val="clear" w:color="auto" w:fill="auto"/>
            <w:tcMar>
              <w:left w:w="57" w:type="dxa"/>
              <w:right w:w="57" w:type="dxa"/>
            </w:tcMar>
            <w:vAlign w:val="center"/>
          </w:tcPr>
          <w:p w14:paraId="5C07D9F9" w14:textId="77777777" w:rsidR="00B0005F" w:rsidRPr="008A2411" w:rsidRDefault="00B0005F">
            <w:pPr>
              <w:pStyle w:val="affffffffffff2"/>
              <w:rPr>
                <w:rFonts w:ascii="Times New Roman"/>
                <w:color w:val="000000" w:themeColor="text1"/>
              </w:rPr>
            </w:pPr>
          </w:p>
        </w:tc>
        <w:tc>
          <w:tcPr>
            <w:tcW w:w="1214" w:type="dxa"/>
            <w:vMerge/>
            <w:shd w:val="clear" w:color="auto" w:fill="auto"/>
            <w:tcMar>
              <w:left w:w="57" w:type="dxa"/>
              <w:right w:w="57" w:type="dxa"/>
            </w:tcMar>
            <w:vAlign w:val="center"/>
          </w:tcPr>
          <w:p w14:paraId="3441FACD" w14:textId="77777777" w:rsidR="00B0005F" w:rsidRPr="008A2411" w:rsidRDefault="00B0005F">
            <w:pPr>
              <w:pStyle w:val="affffffffffff2"/>
              <w:rPr>
                <w:rFonts w:ascii="Times New Roman"/>
                <w:color w:val="000000" w:themeColor="text1"/>
              </w:rPr>
            </w:pPr>
          </w:p>
        </w:tc>
        <w:tc>
          <w:tcPr>
            <w:tcW w:w="2237" w:type="dxa"/>
            <w:shd w:val="clear" w:color="auto" w:fill="auto"/>
            <w:tcMar>
              <w:left w:w="57" w:type="dxa"/>
              <w:right w:w="57" w:type="dxa"/>
            </w:tcMar>
            <w:vAlign w:val="center"/>
          </w:tcPr>
          <w:p w14:paraId="623F600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事故水池</w:t>
            </w:r>
          </w:p>
        </w:tc>
        <w:tc>
          <w:tcPr>
            <w:tcW w:w="2551" w:type="dxa"/>
            <w:shd w:val="clear" w:color="auto" w:fill="auto"/>
            <w:tcMar>
              <w:left w:w="57" w:type="dxa"/>
              <w:right w:w="57" w:type="dxa"/>
            </w:tcMar>
            <w:vAlign w:val="center"/>
          </w:tcPr>
          <w:p w14:paraId="34544A1B"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主要污染物包括：</w:t>
            </w:r>
            <w:r w:rsidRPr="008A2411">
              <w:rPr>
                <w:rFonts w:ascii="Times New Roman"/>
                <w:color w:val="000000" w:themeColor="text1"/>
              </w:rPr>
              <w:t>COD</w:t>
            </w:r>
            <w:r w:rsidRPr="008A2411">
              <w:rPr>
                <w:rFonts w:ascii="Times New Roman"/>
                <w:color w:val="000000" w:themeColor="text1"/>
              </w:rPr>
              <w:t>、</w:t>
            </w:r>
            <w:r w:rsidRPr="008A2411">
              <w:rPr>
                <w:rFonts w:ascii="Times New Roman"/>
                <w:color w:val="000000" w:themeColor="text1"/>
              </w:rPr>
              <w:t>MEDA</w:t>
            </w:r>
            <w:r w:rsidRPr="008A2411">
              <w:rPr>
                <w:rFonts w:ascii="Times New Roman"/>
                <w:color w:val="000000" w:themeColor="text1"/>
              </w:rPr>
              <w:t>、氨氮、石油类等</w:t>
            </w:r>
          </w:p>
        </w:tc>
      </w:tr>
      <w:tr w:rsidR="008A2411" w:rsidRPr="008A2411" w14:paraId="6AB9141C" w14:textId="77777777">
        <w:trPr>
          <w:trHeight w:val="892"/>
          <w:jc w:val="center"/>
        </w:trPr>
        <w:tc>
          <w:tcPr>
            <w:tcW w:w="798" w:type="dxa"/>
            <w:vMerge/>
            <w:shd w:val="clear" w:color="auto" w:fill="auto"/>
            <w:tcMar>
              <w:left w:w="57" w:type="dxa"/>
              <w:right w:w="57" w:type="dxa"/>
            </w:tcMar>
            <w:vAlign w:val="center"/>
          </w:tcPr>
          <w:p w14:paraId="79BAD59A" w14:textId="77777777" w:rsidR="00B0005F" w:rsidRPr="008A2411" w:rsidRDefault="00B0005F">
            <w:pPr>
              <w:pStyle w:val="affffffffffff2"/>
              <w:rPr>
                <w:rFonts w:ascii="Times New Roman"/>
                <w:color w:val="000000" w:themeColor="text1"/>
              </w:rPr>
            </w:pPr>
          </w:p>
        </w:tc>
        <w:tc>
          <w:tcPr>
            <w:tcW w:w="751" w:type="dxa"/>
            <w:vMerge/>
            <w:shd w:val="clear" w:color="auto" w:fill="auto"/>
            <w:tcMar>
              <w:left w:w="57" w:type="dxa"/>
              <w:right w:w="57" w:type="dxa"/>
            </w:tcMar>
            <w:vAlign w:val="center"/>
          </w:tcPr>
          <w:p w14:paraId="0FA16FFB" w14:textId="77777777" w:rsidR="00B0005F" w:rsidRPr="008A2411" w:rsidRDefault="00B0005F">
            <w:pPr>
              <w:pStyle w:val="affffffffffff2"/>
              <w:rPr>
                <w:rFonts w:ascii="Times New Roman"/>
                <w:color w:val="000000" w:themeColor="text1"/>
              </w:rPr>
            </w:pPr>
          </w:p>
        </w:tc>
        <w:tc>
          <w:tcPr>
            <w:tcW w:w="747" w:type="dxa"/>
            <w:vMerge w:val="restart"/>
            <w:shd w:val="clear" w:color="auto" w:fill="auto"/>
            <w:tcMar>
              <w:left w:w="57" w:type="dxa"/>
              <w:right w:w="57" w:type="dxa"/>
            </w:tcMar>
            <w:vAlign w:val="center"/>
          </w:tcPr>
          <w:p w14:paraId="3F51AD8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易</w:t>
            </w:r>
          </w:p>
        </w:tc>
        <w:tc>
          <w:tcPr>
            <w:tcW w:w="629" w:type="dxa"/>
            <w:vMerge/>
            <w:shd w:val="clear" w:color="auto" w:fill="auto"/>
            <w:tcMar>
              <w:left w:w="57" w:type="dxa"/>
              <w:right w:w="57" w:type="dxa"/>
            </w:tcMar>
            <w:vAlign w:val="center"/>
          </w:tcPr>
          <w:p w14:paraId="3B7BCAFF" w14:textId="77777777" w:rsidR="00B0005F" w:rsidRPr="008A2411" w:rsidRDefault="00B0005F">
            <w:pPr>
              <w:pStyle w:val="affffffffffff2"/>
              <w:rPr>
                <w:rFonts w:ascii="Times New Roman"/>
                <w:color w:val="000000" w:themeColor="text1"/>
              </w:rPr>
            </w:pPr>
          </w:p>
        </w:tc>
        <w:tc>
          <w:tcPr>
            <w:tcW w:w="1214" w:type="dxa"/>
            <w:vMerge/>
            <w:shd w:val="clear" w:color="auto" w:fill="auto"/>
            <w:tcMar>
              <w:left w:w="57" w:type="dxa"/>
              <w:right w:w="57" w:type="dxa"/>
            </w:tcMar>
            <w:vAlign w:val="center"/>
          </w:tcPr>
          <w:p w14:paraId="17276B23" w14:textId="77777777" w:rsidR="00B0005F" w:rsidRPr="008A2411" w:rsidRDefault="00B0005F">
            <w:pPr>
              <w:pStyle w:val="affffffffffff2"/>
              <w:rPr>
                <w:rFonts w:ascii="Times New Roman"/>
                <w:color w:val="000000" w:themeColor="text1"/>
              </w:rPr>
            </w:pPr>
          </w:p>
        </w:tc>
        <w:tc>
          <w:tcPr>
            <w:tcW w:w="2237" w:type="dxa"/>
            <w:shd w:val="clear" w:color="auto" w:fill="auto"/>
            <w:tcMar>
              <w:left w:w="57" w:type="dxa"/>
              <w:right w:w="57" w:type="dxa"/>
            </w:tcMar>
            <w:vAlign w:val="center"/>
          </w:tcPr>
          <w:p w14:paraId="5E45D0A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原料气分离过滤单元、脱酸单元、脱汞单元、脱水单元、脱重烃单元、导热油系统导热油炉</w:t>
            </w:r>
          </w:p>
        </w:tc>
        <w:tc>
          <w:tcPr>
            <w:tcW w:w="2551" w:type="dxa"/>
            <w:shd w:val="clear" w:color="auto" w:fill="auto"/>
            <w:tcMar>
              <w:left w:w="57" w:type="dxa"/>
              <w:right w:w="57" w:type="dxa"/>
            </w:tcMar>
            <w:vAlign w:val="center"/>
          </w:tcPr>
          <w:p w14:paraId="3762F76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主要污染物包括：</w:t>
            </w:r>
            <w:r w:rsidRPr="008A2411">
              <w:rPr>
                <w:rFonts w:ascii="Times New Roman"/>
                <w:color w:val="000000" w:themeColor="text1"/>
              </w:rPr>
              <w:t>COD</w:t>
            </w:r>
            <w:r w:rsidRPr="008A2411">
              <w:rPr>
                <w:rFonts w:ascii="Times New Roman"/>
                <w:color w:val="000000" w:themeColor="text1"/>
              </w:rPr>
              <w:t>、</w:t>
            </w:r>
            <w:r w:rsidRPr="008A2411">
              <w:rPr>
                <w:rFonts w:ascii="Times New Roman"/>
                <w:color w:val="000000" w:themeColor="text1"/>
              </w:rPr>
              <w:t>MEDA</w:t>
            </w:r>
            <w:r w:rsidRPr="008A2411">
              <w:rPr>
                <w:rFonts w:ascii="Times New Roman"/>
                <w:color w:val="000000" w:themeColor="text1"/>
              </w:rPr>
              <w:t>、石油类等</w:t>
            </w:r>
          </w:p>
        </w:tc>
      </w:tr>
      <w:tr w:rsidR="008A2411" w:rsidRPr="008A2411" w14:paraId="64CE95C8" w14:textId="77777777">
        <w:trPr>
          <w:trHeight w:val="287"/>
          <w:jc w:val="center"/>
        </w:trPr>
        <w:tc>
          <w:tcPr>
            <w:tcW w:w="798" w:type="dxa"/>
            <w:vMerge/>
            <w:shd w:val="clear" w:color="auto" w:fill="auto"/>
            <w:tcMar>
              <w:left w:w="57" w:type="dxa"/>
              <w:right w:w="57" w:type="dxa"/>
            </w:tcMar>
            <w:vAlign w:val="center"/>
          </w:tcPr>
          <w:p w14:paraId="59456823" w14:textId="77777777" w:rsidR="00B0005F" w:rsidRPr="008A2411" w:rsidRDefault="00B0005F">
            <w:pPr>
              <w:pStyle w:val="affffffffffff2"/>
              <w:rPr>
                <w:rFonts w:ascii="Times New Roman"/>
                <w:color w:val="000000" w:themeColor="text1"/>
              </w:rPr>
            </w:pPr>
          </w:p>
        </w:tc>
        <w:tc>
          <w:tcPr>
            <w:tcW w:w="751" w:type="dxa"/>
            <w:vMerge/>
            <w:shd w:val="clear" w:color="auto" w:fill="auto"/>
            <w:tcMar>
              <w:left w:w="57" w:type="dxa"/>
              <w:right w:w="57" w:type="dxa"/>
            </w:tcMar>
            <w:vAlign w:val="center"/>
          </w:tcPr>
          <w:p w14:paraId="56B8EB1E" w14:textId="77777777" w:rsidR="00B0005F" w:rsidRPr="008A2411" w:rsidRDefault="00B0005F">
            <w:pPr>
              <w:pStyle w:val="affffffffffff2"/>
              <w:rPr>
                <w:rFonts w:ascii="Times New Roman"/>
                <w:color w:val="000000" w:themeColor="text1"/>
              </w:rPr>
            </w:pPr>
          </w:p>
        </w:tc>
        <w:tc>
          <w:tcPr>
            <w:tcW w:w="747" w:type="dxa"/>
            <w:vMerge/>
            <w:shd w:val="clear" w:color="auto" w:fill="auto"/>
            <w:tcMar>
              <w:left w:w="57" w:type="dxa"/>
              <w:right w:w="57" w:type="dxa"/>
            </w:tcMar>
            <w:vAlign w:val="center"/>
          </w:tcPr>
          <w:p w14:paraId="0F20C707" w14:textId="77777777" w:rsidR="00B0005F" w:rsidRPr="008A2411" w:rsidRDefault="00B0005F">
            <w:pPr>
              <w:pStyle w:val="affffffffffff2"/>
              <w:rPr>
                <w:rFonts w:ascii="Times New Roman"/>
                <w:color w:val="000000" w:themeColor="text1"/>
              </w:rPr>
            </w:pPr>
          </w:p>
        </w:tc>
        <w:tc>
          <w:tcPr>
            <w:tcW w:w="629" w:type="dxa"/>
            <w:vMerge/>
            <w:shd w:val="clear" w:color="auto" w:fill="auto"/>
            <w:tcMar>
              <w:left w:w="57" w:type="dxa"/>
              <w:right w:w="57" w:type="dxa"/>
            </w:tcMar>
            <w:vAlign w:val="center"/>
          </w:tcPr>
          <w:p w14:paraId="778004F2" w14:textId="77777777" w:rsidR="00B0005F" w:rsidRPr="008A2411" w:rsidRDefault="00B0005F">
            <w:pPr>
              <w:pStyle w:val="affffffffffff2"/>
              <w:rPr>
                <w:rFonts w:ascii="Times New Roman"/>
                <w:color w:val="000000" w:themeColor="text1"/>
              </w:rPr>
            </w:pPr>
          </w:p>
        </w:tc>
        <w:tc>
          <w:tcPr>
            <w:tcW w:w="1214" w:type="dxa"/>
            <w:vMerge/>
            <w:shd w:val="clear" w:color="auto" w:fill="auto"/>
            <w:tcMar>
              <w:left w:w="57" w:type="dxa"/>
              <w:right w:w="57" w:type="dxa"/>
            </w:tcMar>
            <w:vAlign w:val="center"/>
          </w:tcPr>
          <w:p w14:paraId="054ABAF8" w14:textId="77777777" w:rsidR="00B0005F" w:rsidRPr="008A2411" w:rsidRDefault="00B0005F">
            <w:pPr>
              <w:pStyle w:val="affffffffffff2"/>
              <w:rPr>
                <w:rFonts w:ascii="Times New Roman"/>
                <w:color w:val="000000" w:themeColor="text1"/>
              </w:rPr>
            </w:pPr>
          </w:p>
        </w:tc>
        <w:tc>
          <w:tcPr>
            <w:tcW w:w="2237" w:type="dxa"/>
            <w:shd w:val="clear" w:color="auto" w:fill="auto"/>
            <w:tcMar>
              <w:left w:w="57" w:type="dxa"/>
              <w:right w:w="57" w:type="dxa"/>
            </w:tcMar>
            <w:vAlign w:val="center"/>
          </w:tcPr>
          <w:p w14:paraId="1EF363BC" w14:textId="77777777" w:rsidR="00B0005F" w:rsidRPr="008A2411" w:rsidRDefault="00000000">
            <w:pPr>
              <w:pStyle w:val="affffffffffff2"/>
              <w:rPr>
                <w:rFonts w:ascii="Times New Roman"/>
                <w:color w:val="000000" w:themeColor="text1"/>
              </w:rPr>
            </w:pPr>
            <w:proofErr w:type="gramStart"/>
            <w:r w:rsidRPr="008A2411">
              <w:rPr>
                <w:rFonts w:ascii="Times New Roman"/>
                <w:color w:val="000000" w:themeColor="text1"/>
              </w:rPr>
              <w:t>危废暂存库</w:t>
            </w:r>
            <w:proofErr w:type="gramEnd"/>
          </w:p>
        </w:tc>
        <w:tc>
          <w:tcPr>
            <w:tcW w:w="2551" w:type="dxa"/>
            <w:shd w:val="clear" w:color="auto" w:fill="auto"/>
            <w:tcMar>
              <w:left w:w="57" w:type="dxa"/>
              <w:right w:w="57" w:type="dxa"/>
            </w:tcMar>
            <w:vAlign w:val="center"/>
          </w:tcPr>
          <w:p w14:paraId="7A45DA24"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《危险废物贮存污染控制标准》</w:t>
            </w:r>
          </w:p>
        </w:tc>
      </w:tr>
      <w:tr w:rsidR="008A2411" w:rsidRPr="008A2411" w14:paraId="577261AC" w14:textId="77777777">
        <w:trPr>
          <w:trHeight w:val="892"/>
          <w:jc w:val="center"/>
        </w:trPr>
        <w:tc>
          <w:tcPr>
            <w:tcW w:w="798" w:type="dxa"/>
            <w:vMerge w:val="restart"/>
            <w:shd w:val="clear" w:color="auto" w:fill="auto"/>
            <w:tcMar>
              <w:left w:w="57" w:type="dxa"/>
              <w:right w:w="57" w:type="dxa"/>
            </w:tcMar>
            <w:vAlign w:val="center"/>
          </w:tcPr>
          <w:p w14:paraId="6454F97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一般防渗区</w:t>
            </w:r>
          </w:p>
        </w:tc>
        <w:tc>
          <w:tcPr>
            <w:tcW w:w="751" w:type="dxa"/>
            <w:vMerge w:val="restart"/>
            <w:shd w:val="clear" w:color="auto" w:fill="auto"/>
            <w:tcMar>
              <w:left w:w="57" w:type="dxa"/>
              <w:right w:w="57" w:type="dxa"/>
            </w:tcMar>
            <w:vAlign w:val="center"/>
          </w:tcPr>
          <w:p w14:paraId="2AF4167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弱</w:t>
            </w:r>
          </w:p>
        </w:tc>
        <w:tc>
          <w:tcPr>
            <w:tcW w:w="747" w:type="dxa"/>
            <w:vMerge w:val="restart"/>
            <w:shd w:val="clear" w:color="auto" w:fill="auto"/>
            <w:tcMar>
              <w:left w:w="57" w:type="dxa"/>
              <w:right w:w="57" w:type="dxa"/>
            </w:tcMar>
            <w:vAlign w:val="center"/>
          </w:tcPr>
          <w:p w14:paraId="710E95D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易</w:t>
            </w:r>
          </w:p>
        </w:tc>
        <w:tc>
          <w:tcPr>
            <w:tcW w:w="629" w:type="dxa"/>
            <w:vMerge w:val="restart"/>
            <w:shd w:val="clear" w:color="auto" w:fill="auto"/>
            <w:tcMar>
              <w:left w:w="57" w:type="dxa"/>
              <w:right w:w="57" w:type="dxa"/>
            </w:tcMar>
            <w:vAlign w:val="center"/>
          </w:tcPr>
          <w:p w14:paraId="5797454D"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其它类型</w:t>
            </w:r>
          </w:p>
        </w:tc>
        <w:tc>
          <w:tcPr>
            <w:tcW w:w="1214" w:type="dxa"/>
            <w:vMerge w:val="restart"/>
            <w:shd w:val="clear" w:color="auto" w:fill="auto"/>
            <w:tcMar>
              <w:left w:w="57" w:type="dxa"/>
              <w:right w:w="57" w:type="dxa"/>
            </w:tcMar>
            <w:vAlign w:val="center"/>
          </w:tcPr>
          <w:p w14:paraId="614A7FE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等效粘土防渗层</w:t>
            </w:r>
            <w:r w:rsidRPr="008A2411">
              <w:rPr>
                <w:rFonts w:ascii="Times New Roman"/>
                <w:color w:val="000000" w:themeColor="text1"/>
              </w:rPr>
              <w:t>Mb≥1.5m</w:t>
            </w:r>
            <w:r w:rsidRPr="008A2411">
              <w:rPr>
                <w:rFonts w:ascii="Times New Roman"/>
                <w:color w:val="000000" w:themeColor="text1"/>
              </w:rPr>
              <w:t>，</w:t>
            </w:r>
            <w:r w:rsidRPr="008A2411">
              <w:rPr>
                <w:rFonts w:ascii="Times New Roman"/>
                <w:color w:val="000000" w:themeColor="text1"/>
              </w:rPr>
              <w:t>K≤1×10</w:t>
            </w:r>
            <w:r w:rsidRPr="008A2411">
              <w:rPr>
                <w:rFonts w:ascii="Times New Roman"/>
                <w:color w:val="000000" w:themeColor="text1"/>
                <w:vertAlign w:val="superscript"/>
              </w:rPr>
              <w:t>-7</w:t>
            </w:r>
            <w:r w:rsidRPr="008A2411">
              <w:rPr>
                <w:rFonts w:ascii="Times New Roman"/>
                <w:color w:val="000000" w:themeColor="text1"/>
              </w:rPr>
              <w:t>cm/s</w:t>
            </w:r>
          </w:p>
        </w:tc>
        <w:tc>
          <w:tcPr>
            <w:tcW w:w="2237" w:type="dxa"/>
            <w:shd w:val="clear" w:color="auto" w:fill="auto"/>
            <w:tcMar>
              <w:left w:w="57" w:type="dxa"/>
              <w:right w:w="57" w:type="dxa"/>
            </w:tcMar>
            <w:vAlign w:val="center"/>
          </w:tcPr>
          <w:p w14:paraId="02198E19" w14:textId="77777777" w:rsidR="00B0005F" w:rsidRPr="008A2411" w:rsidRDefault="00000000">
            <w:pPr>
              <w:pStyle w:val="affffffffffff2"/>
              <w:rPr>
                <w:rFonts w:ascii="Times New Roman"/>
                <w:color w:val="000000" w:themeColor="text1"/>
              </w:rPr>
            </w:pPr>
            <w:proofErr w:type="gramStart"/>
            <w:r w:rsidRPr="008A2411">
              <w:rPr>
                <w:rFonts w:ascii="Times New Roman"/>
                <w:color w:val="000000" w:themeColor="text1"/>
              </w:rPr>
              <w:t>空压及</w:t>
            </w:r>
            <w:proofErr w:type="gramEnd"/>
            <w:r w:rsidRPr="008A2411">
              <w:rPr>
                <w:rFonts w:ascii="Times New Roman"/>
                <w:color w:val="000000" w:themeColor="text1"/>
              </w:rPr>
              <w:t>水处理站</w:t>
            </w:r>
          </w:p>
        </w:tc>
        <w:tc>
          <w:tcPr>
            <w:tcW w:w="2551" w:type="dxa"/>
            <w:shd w:val="clear" w:color="auto" w:fill="auto"/>
            <w:tcMar>
              <w:left w:w="57" w:type="dxa"/>
              <w:right w:w="57" w:type="dxa"/>
            </w:tcMar>
            <w:vAlign w:val="center"/>
          </w:tcPr>
          <w:p w14:paraId="296D0C02"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主要污染物包括：</w:t>
            </w:r>
            <w:r w:rsidRPr="008A2411">
              <w:rPr>
                <w:rFonts w:ascii="Times New Roman"/>
                <w:color w:val="000000" w:themeColor="text1"/>
              </w:rPr>
              <w:t>Ca</w:t>
            </w:r>
            <w:r w:rsidRPr="008A2411">
              <w:rPr>
                <w:rFonts w:ascii="Times New Roman"/>
                <w:color w:val="000000" w:themeColor="text1"/>
                <w:vertAlign w:val="superscript"/>
              </w:rPr>
              <w:t>2+</w:t>
            </w:r>
            <w:r w:rsidRPr="008A2411">
              <w:rPr>
                <w:rFonts w:ascii="Times New Roman"/>
                <w:color w:val="000000" w:themeColor="text1"/>
              </w:rPr>
              <w:t>、</w:t>
            </w:r>
            <w:r w:rsidRPr="008A2411">
              <w:rPr>
                <w:rFonts w:ascii="Times New Roman"/>
                <w:color w:val="000000" w:themeColor="text1"/>
              </w:rPr>
              <w:t>Mg</w:t>
            </w:r>
            <w:r w:rsidRPr="008A2411">
              <w:rPr>
                <w:rFonts w:ascii="Times New Roman"/>
                <w:color w:val="000000" w:themeColor="text1"/>
                <w:vertAlign w:val="superscript"/>
              </w:rPr>
              <w:t>2+</w:t>
            </w:r>
            <w:r w:rsidRPr="008A2411">
              <w:rPr>
                <w:rFonts w:ascii="Times New Roman"/>
                <w:color w:val="000000" w:themeColor="text1"/>
              </w:rPr>
              <w:t>、、</w:t>
            </w:r>
            <w:r w:rsidRPr="008A2411">
              <w:rPr>
                <w:rFonts w:ascii="Times New Roman"/>
                <w:color w:val="000000" w:themeColor="text1"/>
              </w:rPr>
              <w:t>Na</w:t>
            </w:r>
            <w:r w:rsidRPr="008A2411">
              <w:rPr>
                <w:rFonts w:ascii="Times New Roman"/>
                <w:color w:val="000000" w:themeColor="text1"/>
                <w:vertAlign w:val="superscript"/>
              </w:rPr>
              <w:t>+</w:t>
            </w:r>
            <w:r w:rsidRPr="008A2411">
              <w:rPr>
                <w:rFonts w:ascii="Times New Roman"/>
                <w:color w:val="000000" w:themeColor="text1"/>
              </w:rPr>
              <w:t>、</w:t>
            </w:r>
            <w:r w:rsidRPr="008A2411">
              <w:rPr>
                <w:rFonts w:ascii="Times New Roman"/>
                <w:color w:val="000000" w:themeColor="text1"/>
              </w:rPr>
              <w:t>pH</w:t>
            </w:r>
            <w:r w:rsidRPr="008A2411">
              <w:rPr>
                <w:rFonts w:ascii="Times New Roman"/>
                <w:color w:val="000000" w:themeColor="text1"/>
              </w:rPr>
              <w:t>等</w:t>
            </w:r>
          </w:p>
        </w:tc>
      </w:tr>
      <w:tr w:rsidR="008A2411" w:rsidRPr="008A2411" w14:paraId="2335D109" w14:textId="77777777">
        <w:trPr>
          <w:trHeight w:val="20"/>
          <w:jc w:val="center"/>
        </w:trPr>
        <w:tc>
          <w:tcPr>
            <w:tcW w:w="798" w:type="dxa"/>
            <w:vMerge/>
            <w:shd w:val="clear" w:color="auto" w:fill="auto"/>
            <w:tcMar>
              <w:left w:w="57" w:type="dxa"/>
              <w:right w:w="57" w:type="dxa"/>
            </w:tcMar>
            <w:vAlign w:val="center"/>
          </w:tcPr>
          <w:p w14:paraId="5A19F620" w14:textId="77777777" w:rsidR="00B0005F" w:rsidRPr="008A2411" w:rsidRDefault="00B0005F">
            <w:pPr>
              <w:pStyle w:val="affffffffffff2"/>
              <w:rPr>
                <w:rFonts w:ascii="Times New Roman"/>
                <w:color w:val="000000" w:themeColor="text1"/>
              </w:rPr>
            </w:pPr>
          </w:p>
        </w:tc>
        <w:tc>
          <w:tcPr>
            <w:tcW w:w="751" w:type="dxa"/>
            <w:vMerge/>
            <w:shd w:val="clear" w:color="auto" w:fill="auto"/>
            <w:tcMar>
              <w:left w:w="57" w:type="dxa"/>
              <w:right w:w="57" w:type="dxa"/>
            </w:tcMar>
            <w:vAlign w:val="center"/>
          </w:tcPr>
          <w:p w14:paraId="31040005" w14:textId="77777777" w:rsidR="00B0005F" w:rsidRPr="008A2411" w:rsidRDefault="00B0005F">
            <w:pPr>
              <w:pStyle w:val="affffffffffff2"/>
              <w:rPr>
                <w:rFonts w:ascii="Times New Roman"/>
                <w:color w:val="000000" w:themeColor="text1"/>
              </w:rPr>
            </w:pPr>
          </w:p>
        </w:tc>
        <w:tc>
          <w:tcPr>
            <w:tcW w:w="747" w:type="dxa"/>
            <w:vMerge/>
            <w:shd w:val="clear" w:color="auto" w:fill="auto"/>
            <w:tcMar>
              <w:left w:w="57" w:type="dxa"/>
              <w:right w:w="57" w:type="dxa"/>
            </w:tcMar>
            <w:vAlign w:val="center"/>
          </w:tcPr>
          <w:p w14:paraId="018183DB" w14:textId="77777777" w:rsidR="00B0005F" w:rsidRPr="008A2411" w:rsidRDefault="00B0005F">
            <w:pPr>
              <w:pStyle w:val="affffffffffff2"/>
              <w:rPr>
                <w:rFonts w:ascii="Times New Roman"/>
                <w:color w:val="000000" w:themeColor="text1"/>
              </w:rPr>
            </w:pPr>
          </w:p>
        </w:tc>
        <w:tc>
          <w:tcPr>
            <w:tcW w:w="629" w:type="dxa"/>
            <w:vMerge/>
            <w:shd w:val="clear" w:color="auto" w:fill="auto"/>
            <w:tcMar>
              <w:left w:w="57" w:type="dxa"/>
              <w:right w:w="57" w:type="dxa"/>
            </w:tcMar>
            <w:vAlign w:val="center"/>
          </w:tcPr>
          <w:p w14:paraId="60AC1956" w14:textId="77777777" w:rsidR="00B0005F" w:rsidRPr="008A2411" w:rsidRDefault="00B0005F">
            <w:pPr>
              <w:pStyle w:val="affffffffffff2"/>
              <w:rPr>
                <w:rFonts w:ascii="Times New Roman"/>
                <w:color w:val="000000" w:themeColor="text1"/>
              </w:rPr>
            </w:pPr>
          </w:p>
        </w:tc>
        <w:tc>
          <w:tcPr>
            <w:tcW w:w="1214" w:type="dxa"/>
            <w:vMerge/>
            <w:shd w:val="clear" w:color="auto" w:fill="auto"/>
            <w:tcMar>
              <w:left w:w="57" w:type="dxa"/>
              <w:right w:w="57" w:type="dxa"/>
            </w:tcMar>
            <w:vAlign w:val="center"/>
          </w:tcPr>
          <w:p w14:paraId="4554DB99" w14:textId="77777777" w:rsidR="00B0005F" w:rsidRPr="008A2411" w:rsidRDefault="00B0005F">
            <w:pPr>
              <w:pStyle w:val="affffffffffff2"/>
              <w:rPr>
                <w:rFonts w:ascii="Times New Roman"/>
                <w:color w:val="000000" w:themeColor="text1"/>
              </w:rPr>
            </w:pPr>
          </w:p>
        </w:tc>
        <w:tc>
          <w:tcPr>
            <w:tcW w:w="2237" w:type="dxa"/>
            <w:shd w:val="clear" w:color="auto" w:fill="auto"/>
            <w:tcMar>
              <w:left w:w="57" w:type="dxa"/>
              <w:right w:w="57" w:type="dxa"/>
            </w:tcMar>
            <w:vAlign w:val="center"/>
          </w:tcPr>
          <w:p w14:paraId="63795C5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分析化验及器材间</w:t>
            </w:r>
          </w:p>
        </w:tc>
        <w:tc>
          <w:tcPr>
            <w:tcW w:w="2551" w:type="dxa"/>
            <w:shd w:val="clear" w:color="auto" w:fill="auto"/>
            <w:tcMar>
              <w:left w:w="57" w:type="dxa"/>
              <w:right w:w="57" w:type="dxa"/>
            </w:tcMar>
            <w:vAlign w:val="center"/>
          </w:tcPr>
          <w:p w14:paraId="41D854B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主要污染物包括：</w:t>
            </w:r>
            <w:r w:rsidRPr="008A2411">
              <w:rPr>
                <w:rFonts w:ascii="Times New Roman"/>
                <w:color w:val="000000" w:themeColor="text1"/>
              </w:rPr>
              <w:t>pH</w:t>
            </w:r>
          </w:p>
        </w:tc>
      </w:tr>
      <w:tr w:rsidR="00B0005F" w:rsidRPr="008A2411" w14:paraId="7368B89E" w14:textId="77777777">
        <w:trPr>
          <w:trHeight w:val="20"/>
          <w:jc w:val="center"/>
        </w:trPr>
        <w:tc>
          <w:tcPr>
            <w:tcW w:w="798" w:type="dxa"/>
            <w:shd w:val="clear" w:color="auto" w:fill="auto"/>
            <w:tcMar>
              <w:left w:w="57" w:type="dxa"/>
              <w:right w:w="57" w:type="dxa"/>
            </w:tcMar>
            <w:vAlign w:val="center"/>
          </w:tcPr>
          <w:p w14:paraId="62A10BB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简易防渗区</w:t>
            </w:r>
          </w:p>
        </w:tc>
        <w:tc>
          <w:tcPr>
            <w:tcW w:w="751" w:type="dxa"/>
            <w:shd w:val="clear" w:color="auto" w:fill="auto"/>
            <w:tcMar>
              <w:left w:w="57" w:type="dxa"/>
              <w:right w:w="57" w:type="dxa"/>
            </w:tcMar>
            <w:vAlign w:val="center"/>
          </w:tcPr>
          <w:p w14:paraId="574BC70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p>
        </w:tc>
        <w:tc>
          <w:tcPr>
            <w:tcW w:w="747" w:type="dxa"/>
            <w:shd w:val="clear" w:color="auto" w:fill="auto"/>
            <w:tcMar>
              <w:left w:w="57" w:type="dxa"/>
              <w:right w:w="57" w:type="dxa"/>
            </w:tcMar>
            <w:vAlign w:val="center"/>
          </w:tcPr>
          <w:p w14:paraId="111EEC9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p>
        </w:tc>
        <w:tc>
          <w:tcPr>
            <w:tcW w:w="629" w:type="dxa"/>
            <w:shd w:val="clear" w:color="auto" w:fill="auto"/>
            <w:tcMar>
              <w:left w:w="57" w:type="dxa"/>
              <w:right w:w="57" w:type="dxa"/>
            </w:tcMar>
            <w:vAlign w:val="center"/>
          </w:tcPr>
          <w:p w14:paraId="6A6784F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p>
        </w:tc>
        <w:tc>
          <w:tcPr>
            <w:tcW w:w="1214" w:type="dxa"/>
            <w:shd w:val="clear" w:color="auto" w:fill="auto"/>
            <w:tcMar>
              <w:left w:w="57" w:type="dxa"/>
              <w:right w:w="57" w:type="dxa"/>
            </w:tcMar>
            <w:vAlign w:val="center"/>
          </w:tcPr>
          <w:p w14:paraId="2065F53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w:t>
            </w:r>
          </w:p>
        </w:tc>
        <w:tc>
          <w:tcPr>
            <w:tcW w:w="2237" w:type="dxa"/>
            <w:shd w:val="clear" w:color="auto" w:fill="auto"/>
            <w:tcMar>
              <w:left w:w="57" w:type="dxa"/>
              <w:right w:w="57" w:type="dxa"/>
            </w:tcMar>
            <w:vAlign w:val="center"/>
          </w:tcPr>
          <w:p w14:paraId="027C286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其他区域</w:t>
            </w:r>
          </w:p>
        </w:tc>
        <w:tc>
          <w:tcPr>
            <w:tcW w:w="2551" w:type="dxa"/>
            <w:shd w:val="clear" w:color="auto" w:fill="auto"/>
            <w:tcMar>
              <w:left w:w="57" w:type="dxa"/>
              <w:right w:w="57" w:type="dxa"/>
            </w:tcMar>
            <w:vAlign w:val="center"/>
          </w:tcPr>
          <w:p w14:paraId="7025C0F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无污染物下渗进入地下水含水层的持续水力条件</w:t>
            </w:r>
          </w:p>
        </w:tc>
      </w:tr>
    </w:tbl>
    <w:p w14:paraId="137F841B" w14:textId="77777777" w:rsidR="00B0005F" w:rsidRPr="008A2411" w:rsidRDefault="00B0005F">
      <w:pPr>
        <w:widowControl/>
        <w:adjustRightInd w:val="0"/>
        <w:snapToGrid w:val="0"/>
        <w:ind w:firstLine="480"/>
        <w:jc w:val="left"/>
        <w:rPr>
          <w:rFonts w:ascii="Times New Roman"/>
          <w:color w:val="000000" w:themeColor="text1"/>
        </w:rPr>
      </w:pPr>
    </w:p>
    <w:p w14:paraId="1DFBB948" w14:textId="77777777" w:rsidR="00B0005F" w:rsidRPr="008A2411" w:rsidRDefault="00000000">
      <w:pPr>
        <w:adjustRightInd w:val="0"/>
        <w:snapToGrid w:val="0"/>
        <w:spacing w:line="360" w:lineRule="auto"/>
        <w:ind w:firstLineChars="200" w:firstLine="480"/>
        <w:rPr>
          <w:rFonts w:ascii="Times New Roman"/>
          <w:color w:val="000000" w:themeColor="text1"/>
        </w:rPr>
      </w:pPr>
      <w:r w:rsidRPr="008A2411">
        <w:rPr>
          <w:rFonts w:ascii="Times New Roman"/>
          <w:color w:val="000000" w:themeColor="text1"/>
        </w:rPr>
        <w:t>根据本项目各污染物污染影响类型及构筑物污染防控难易程度，环</w:t>
      </w:r>
      <w:proofErr w:type="gramStart"/>
      <w:r w:rsidRPr="008A2411">
        <w:rPr>
          <w:rFonts w:ascii="Times New Roman"/>
          <w:color w:val="000000" w:themeColor="text1"/>
        </w:rPr>
        <w:t>评要求</w:t>
      </w:r>
      <w:proofErr w:type="gramEnd"/>
      <w:r w:rsidRPr="008A2411">
        <w:rPr>
          <w:rFonts w:ascii="Times New Roman"/>
          <w:color w:val="000000" w:themeColor="text1"/>
        </w:rPr>
        <w:t>本项目设置重点防渗区和一般防渗区。</w:t>
      </w:r>
    </w:p>
    <w:p w14:paraId="5CFFBED8" w14:textId="77777777" w:rsidR="00B0005F" w:rsidRPr="008A2411" w:rsidRDefault="00000000">
      <w:pPr>
        <w:adjustRightInd w:val="0"/>
        <w:snapToGrid w:val="0"/>
        <w:spacing w:line="360" w:lineRule="auto"/>
        <w:ind w:firstLineChars="200"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1</w:t>
      </w:r>
      <w:r w:rsidRPr="008A2411">
        <w:rPr>
          <w:rFonts w:ascii="Times New Roman"/>
          <w:color w:val="000000" w:themeColor="text1"/>
        </w:rPr>
        <w:t>）重点防渗区</w:t>
      </w:r>
    </w:p>
    <w:p w14:paraId="5A494D71" w14:textId="77777777" w:rsidR="00B0005F" w:rsidRPr="008A2411" w:rsidRDefault="00000000">
      <w:pPr>
        <w:adjustRightInd w:val="0"/>
        <w:snapToGrid w:val="0"/>
        <w:spacing w:line="360" w:lineRule="auto"/>
        <w:ind w:firstLineChars="200" w:firstLine="480"/>
        <w:rPr>
          <w:rFonts w:ascii="Times New Roman"/>
          <w:color w:val="000000" w:themeColor="text1"/>
        </w:rPr>
      </w:pPr>
      <w:r w:rsidRPr="008A2411">
        <w:rPr>
          <w:rFonts w:ascii="Times New Roman"/>
          <w:color w:val="000000" w:themeColor="text1"/>
        </w:rPr>
        <w:t>①</w:t>
      </w:r>
      <w:r w:rsidRPr="008A2411">
        <w:rPr>
          <w:rFonts w:ascii="Times New Roman"/>
          <w:color w:val="000000" w:themeColor="text1"/>
        </w:rPr>
        <w:t>危险废物暂存库：参照《危险废物贮存污染控制标准》（</w:t>
      </w:r>
      <w:r w:rsidRPr="008A2411">
        <w:rPr>
          <w:rFonts w:ascii="Times New Roman"/>
          <w:color w:val="000000" w:themeColor="text1"/>
        </w:rPr>
        <w:t>GB 18597-2001</w:t>
      </w:r>
      <w:r w:rsidRPr="008A2411">
        <w:rPr>
          <w:rFonts w:ascii="Times New Roman"/>
          <w:color w:val="000000" w:themeColor="text1"/>
        </w:rPr>
        <w:t>）对库基础进行防渗处理。其防渗层的防渗性能不低于</w:t>
      </w:r>
      <w:r w:rsidRPr="008A2411">
        <w:rPr>
          <w:rFonts w:ascii="Times New Roman"/>
          <w:color w:val="000000" w:themeColor="text1"/>
        </w:rPr>
        <w:t>6.0m</w:t>
      </w:r>
      <w:r w:rsidRPr="008A2411">
        <w:rPr>
          <w:rFonts w:ascii="Times New Roman"/>
          <w:color w:val="000000" w:themeColor="text1"/>
        </w:rPr>
        <w:t>厚渗透系数为</w:t>
      </w:r>
      <w:r w:rsidRPr="008A2411">
        <w:rPr>
          <w:rFonts w:ascii="Times New Roman"/>
          <w:color w:val="000000" w:themeColor="text1"/>
        </w:rPr>
        <w:t>1.0×10-7cm/s</w:t>
      </w:r>
      <w:r w:rsidRPr="008A2411">
        <w:rPr>
          <w:rFonts w:ascii="Times New Roman"/>
          <w:color w:val="000000" w:themeColor="text1"/>
        </w:rPr>
        <w:t>的黏土层的防渗性能，或</w:t>
      </w:r>
      <w:r w:rsidRPr="008A2411">
        <w:rPr>
          <w:rFonts w:ascii="Times New Roman"/>
          <w:color w:val="000000" w:themeColor="text1"/>
        </w:rPr>
        <w:t>2mm</w:t>
      </w:r>
      <w:r w:rsidRPr="008A2411">
        <w:rPr>
          <w:rFonts w:ascii="Times New Roman"/>
          <w:color w:val="000000" w:themeColor="text1"/>
        </w:rPr>
        <w:t>厚高密度聚乙烯，或至少</w:t>
      </w:r>
      <w:r w:rsidRPr="008A2411">
        <w:rPr>
          <w:rFonts w:ascii="Times New Roman"/>
          <w:color w:val="000000" w:themeColor="text1"/>
        </w:rPr>
        <w:t>2mm</w:t>
      </w:r>
      <w:r w:rsidRPr="008A2411">
        <w:rPr>
          <w:rFonts w:ascii="Times New Roman"/>
          <w:color w:val="000000" w:themeColor="text1"/>
        </w:rPr>
        <w:t>厚的其他人工材料（渗透系数不大于</w:t>
      </w:r>
      <w:r w:rsidRPr="008A2411">
        <w:rPr>
          <w:rFonts w:ascii="Times New Roman"/>
          <w:color w:val="000000" w:themeColor="text1"/>
        </w:rPr>
        <w:t>1.0×10</w:t>
      </w:r>
      <w:r w:rsidRPr="008A2411">
        <w:rPr>
          <w:rFonts w:ascii="Times New Roman"/>
          <w:color w:val="000000" w:themeColor="text1"/>
          <w:vertAlign w:val="superscript"/>
        </w:rPr>
        <w:t>-10</w:t>
      </w:r>
      <w:r w:rsidRPr="008A2411">
        <w:rPr>
          <w:rFonts w:ascii="Times New Roman"/>
          <w:color w:val="000000" w:themeColor="text1"/>
        </w:rPr>
        <w:t>cm/s</w:t>
      </w:r>
      <w:r w:rsidRPr="008A2411">
        <w:rPr>
          <w:rFonts w:ascii="Times New Roman"/>
          <w:color w:val="000000" w:themeColor="text1"/>
        </w:rPr>
        <w:t>）。</w:t>
      </w:r>
    </w:p>
    <w:p w14:paraId="492CD43F" w14:textId="77777777" w:rsidR="00B0005F" w:rsidRPr="008A2411" w:rsidRDefault="00000000">
      <w:pPr>
        <w:adjustRightInd w:val="0"/>
        <w:snapToGrid w:val="0"/>
        <w:spacing w:line="360" w:lineRule="auto"/>
        <w:ind w:firstLineChars="200" w:firstLine="480"/>
        <w:rPr>
          <w:rFonts w:ascii="Times New Roman"/>
          <w:color w:val="000000" w:themeColor="text1"/>
        </w:rPr>
      </w:pPr>
      <w:r w:rsidRPr="008A2411">
        <w:rPr>
          <w:rFonts w:ascii="Times New Roman"/>
          <w:color w:val="000000" w:themeColor="text1"/>
        </w:rPr>
        <w:t>本报告建议的采用以下措施：从上至下依次采用混凝土面层（上部加设防腐层）、沥青砂垫层、长丝无纺工布、</w:t>
      </w:r>
      <w:r w:rsidRPr="008A2411">
        <w:rPr>
          <w:rFonts w:ascii="Times New Roman"/>
          <w:color w:val="000000" w:themeColor="text1"/>
        </w:rPr>
        <w:t>2mm</w:t>
      </w:r>
      <w:r w:rsidRPr="008A2411">
        <w:rPr>
          <w:rFonts w:ascii="Times New Roman"/>
          <w:color w:val="000000" w:themeColor="text1"/>
        </w:rPr>
        <w:t>厚</w:t>
      </w:r>
      <w:r w:rsidRPr="008A2411">
        <w:rPr>
          <w:rFonts w:ascii="Times New Roman"/>
          <w:color w:val="000000" w:themeColor="text1"/>
        </w:rPr>
        <w:t>HDPE</w:t>
      </w:r>
      <w:r w:rsidRPr="008A2411">
        <w:rPr>
          <w:rFonts w:ascii="Times New Roman"/>
          <w:color w:val="000000" w:themeColor="text1"/>
        </w:rPr>
        <w:t>防渗膜、长丝无纺土工布、原土夯实的方式进行防渗，防渗结构</w:t>
      </w:r>
      <w:proofErr w:type="gramStart"/>
      <w:r w:rsidRPr="008A2411">
        <w:rPr>
          <w:rFonts w:ascii="Times New Roman"/>
          <w:color w:val="000000" w:themeColor="text1"/>
        </w:rPr>
        <w:t>纵剖图见图</w:t>
      </w:r>
      <w:proofErr w:type="gramEnd"/>
      <w:r w:rsidRPr="008A2411">
        <w:rPr>
          <w:rFonts w:ascii="Times New Roman"/>
          <w:color w:val="000000" w:themeColor="text1"/>
        </w:rPr>
        <w:t>5.2-14</w:t>
      </w:r>
      <w:r w:rsidRPr="008A2411">
        <w:rPr>
          <w:rFonts w:ascii="Times New Roman"/>
          <w:color w:val="000000" w:themeColor="text1"/>
        </w:rPr>
        <w:t>。</w:t>
      </w:r>
    </w:p>
    <w:p w14:paraId="57D759D0" w14:textId="77777777" w:rsidR="00B0005F" w:rsidRPr="008A2411" w:rsidRDefault="00000000">
      <w:pPr>
        <w:pStyle w:val="affffffffffff2"/>
        <w:rPr>
          <w:rFonts w:ascii="Times New Roman"/>
          <w:color w:val="000000" w:themeColor="text1"/>
        </w:rPr>
      </w:pPr>
      <w:r w:rsidRPr="008A2411">
        <w:rPr>
          <w:rFonts w:ascii="Times New Roman"/>
          <w:noProof/>
          <w:color w:val="000000" w:themeColor="text1"/>
        </w:rPr>
        <w:drawing>
          <wp:inline distT="0" distB="0" distL="0" distR="0" wp14:anchorId="2969C00A" wp14:editId="58F90324">
            <wp:extent cx="3599815" cy="2524125"/>
            <wp:effectExtent l="0" t="0" r="12065" b="5715"/>
            <wp:docPr id="463"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3" name="图片 20"/>
                    <pic:cNvPicPr>
                      <a:picLocks noChangeAspect="1" noChangeArrowheads="1"/>
                    </pic:cNvPicPr>
                  </pic:nvPicPr>
                  <pic:blipFill>
                    <a:blip r:embed="rId83" cstate="print"/>
                    <a:srcRect/>
                    <a:stretch>
                      <a:fillRect/>
                    </a:stretch>
                  </pic:blipFill>
                  <pic:spPr>
                    <a:xfrm>
                      <a:off x="0" y="0"/>
                      <a:ext cx="3600000" cy="2524239"/>
                    </a:xfrm>
                    <a:prstGeom prst="rect">
                      <a:avLst/>
                    </a:prstGeom>
                    <a:noFill/>
                    <a:ln w="9525">
                      <a:noFill/>
                      <a:miter lim="800000"/>
                      <a:headEnd/>
                      <a:tailEnd/>
                    </a:ln>
                  </pic:spPr>
                </pic:pic>
              </a:graphicData>
            </a:graphic>
          </wp:inline>
        </w:drawing>
      </w:r>
    </w:p>
    <w:p w14:paraId="7B9D7419" w14:textId="77777777" w:rsidR="00B0005F" w:rsidRPr="008A2411" w:rsidRDefault="00000000">
      <w:pPr>
        <w:pStyle w:val="affffffff7"/>
        <w:spacing w:before="60" w:after="60"/>
        <w:rPr>
          <w:color w:val="000000" w:themeColor="text1"/>
        </w:rPr>
      </w:pPr>
      <w:r w:rsidRPr="008A2411">
        <w:rPr>
          <w:color w:val="000000" w:themeColor="text1"/>
        </w:rPr>
        <w:t>图</w:t>
      </w:r>
      <w:r w:rsidRPr="008A2411">
        <w:rPr>
          <w:color w:val="000000" w:themeColor="text1"/>
        </w:rPr>
        <w:t xml:space="preserve">5.2-14 </w:t>
      </w:r>
      <w:r w:rsidRPr="008A2411">
        <w:rPr>
          <w:color w:val="000000" w:themeColor="text1"/>
        </w:rPr>
        <w:t>危险废物暂存库防渗结构示意图</w:t>
      </w:r>
    </w:p>
    <w:p w14:paraId="627BE6BB" w14:textId="77777777" w:rsidR="00B0005F" w:rsidRPr="008A2411" w:rsidRDefault="00000000">
      <w:pPr>
        <w:widowControl/>
        <w:adjustRightInd w:val="0"/>
        <w:snapToGrid w:val="0"/>
        <w:spacing w:line="360" w:lineRule="auto"/>
        <w:ind w:firstLineChars="200" w:firstLine="480"/>
        <w:rPr>
          <w:rFonts w:ascii="Times New Roman"/>
          <w:color w:val="000000" w:themeColor="text1"/>
        </w:rPr>
      </w:pPr>
      <w:r w:rsidRPr="008A2411">
        <w:rPr>
          <w:rFonts w:ascii="Times New Roman"/>
          <w:color w:val="000000" w:themeColor="text1"/>
        </w:rPr>
        <w:t>②</w:t>
      </w:r>
      <w:r w:rsidRPr="008A2411">
        <w:rPr>
          <w:rFonts w:ascii="Times New Roman"/>
          <w:color w:val="000000" w:themeColor="text1"/>
        </w:rPr>
        <w:t>原料气分离过滤单元、脱酸单元、脱汞单元、脱水单元、脱重烃单元：地面参照危险废物暂存库地面建议防渗结构进行处理，其防渗层的防渗性能不低于</w:t>
      </w:r>
      <w:r w:rsidRPr="008A2411">
        <w:rPr>
          <w:rFonts w:ascii="Times New Roman"/>
          <w:color w:val="000000" w:themeColor="text1"/>
        </w:rPr>
        <w:t>6.0m</w:t>
      </w:r>
      <w:r w:rsidRPr="008A2411">
        <w:rPr>
          <w:rFonts w:ascii="Times New Roman"/>
          <w:color w:val="000000" w:themeColor="text1"/>
        </w:rPr>
        <w:t>厚渗透系数为</w:t>
      </w:r>
      <w:r w:rsidRPr="008A2411">
        <w:rPr>
          <w:rFonts w:ascii="Times New Roman"/>
          <w:color w:val="000000" w:themeColor="text1"/>
        </w:rPr>
        <w:t>1.0×10</w:t>
      </w:r>
      <w:r w:rsidRPr="008A2411">
        <w:rPr>
          <w:rFonts w:ascii="Times New Roman"/>
          <w:color w:val="000000" w:themeColor="text1"/>
          <w:vertAlign w:val="superscript"/>
        </w:rPr>
        <w:t>-7</w:t>
      </w:r>
      <w:r w:rsidRPr="008A2411">
        <w:rPr>
          <w:rFonts w:ascii="Times New Roman"/>
          <w:color w:val="000000" w:themeColor="text1"/>
        </w:rPr>
        <w:t>cm/s</w:t>
      </w:r>
      <w:r w:rsidRPr="008A2411">
        <w:rPr>
          <w:rFonts w:ascii="Times New Roman"/>
          <w:color w:val="000000" w:themeColor="text1"/>
        </w:rPr>
        <w:t>的黏土层的防渗性能。</w:t>
      </w:r>
    </w:p>
    <w:p w14:paraId="464F7351" w14:textId="77777777" w:rsidR="00B0005F" w:rsidRPr="008A2411" w:rsidRDefault="00000000">
      <w:pPr>
        <w:widowControl/>
        <w:adjustRightInd w:val="0"/>
        <w:snapToGrid w:val="0"/>
        <w:spacing w:line="360" w:lineRule="auto"/>
        <w:ind w:firstLineChars="200" w:firstLine="480"/>
        <w:rPr>
          <w:rFonts w:ascii="Times New Roman"/>
          <w:color w:val="000000" w:themeColor="text1"/>
        </w:rPr>
      </w:pPr>
      <w:r w:rsidRPr="008A2411">
        <w:rPr>
          <w:rFonts w:ascii="Times New Roman"/>
          <w:color w:val="000000" w:themeColor="text1"/>
        </w:rPr>
        <w:lastRenderedPageBreak/>
        <w:t>建议地坪防渗结构由上至下依次为：水泥基渗透结晶型防渗涂层（</w:t>
      </w:r>
      <w:r w:rsidRPr="008A2411">
        <w:rPr>
          <w:rFonts w:ascii="Times New Roman"/>
          <w:color w:val="000000" w:themeColor="text1"/>
        </w:rPr>
        <w:t>≥0.8mm</w:t>
      </w:r>
      <w:r w:rsidRPr="008A2411">
        <w:rPr>
          <w:rFonts w:ascii="Times New Roman"/>
          <w:color w:val="000000" w:themeColor="text1"/>
        </w:rPr>
        <w:t>）、抗渗混凝土面层（厚度</w:t>
      </w:r>
      <w:r w:rsidRPr="008A2411">
        <w:rPr>
          <w:rFonts w:ascii="Times New Roman"/>
          <w:color w:val="000000" w:themeColor="text1"/>
        </w:rPr>
        <w:t>30cm</w:t>
      </w:r>
      <w:r w:rsidRPr="008A2411">
        <w:rPr>
          <w:rFonts w:ascii="Times New Roman"/>
          <w:color w:val="000000" w:themeColor="text1"/>
        </w:rPr>
        <w:t>，抗渗等级为</w:t>
      </w:r>
      <w:r w:rsidRPr="008A2411">
        <w:rPr>
          <w:rFonts w:ascii="Times New Roman"/>
          <w:color w:val="000000" w:themeColor="text1"/>
        </w:rPr>
        <w:t>P8</w:t>
      </w:r>
      <w:r w:rsidRPr="008A2411">
        <w:rPr>
          <w:rFonts w:ascii="Times New Roman"/>
          <w:color w:val="000000" w:themeColor="text1"/>
        </w:rPr>
        <w:t>）、</w:t>
      </w:r>
      <w:r w:rsidRPr="008A2411">
        <w:rPr>
          <w:rFonts w:ascii="Times New Roman"/>
          <w:color w:val="000000" w:themeColor="text1"/>
        </w:rPr>
        <w:t>600g/m</w:t>
      </w:r>
      <w:r w:rsidRPr="008A2411">
        <w:rPr>
          <w:rFonts w:ascii="Times New Roman"/>
          <w:color w:val="000000" w:themeColor="text1"/>
          <w:vertAlign w:val="superscript"/>
        </w:rPr>
        <w:t>2</w:t>
      </w:r>
      <w:r w:rsidRPr="008A2411">
        <w:rPr>
          <w:rFonts w:ascii="Times New Roman"/>
          <w:color w:val="000000" w:themeColor="text1"/>
        </w:rPr>
        <w:t>长丝无纺土工布、</w:t>
      </w:r>
      <w:r w:rsidRPr="008A2411">
        <w:rPr>
          <w:rFonts w:ascii="Times New Roman"/>
          <w:color w:val="000000" w:themeColor="text1"/>
        </w:rPr>
        <w:t>1.5mm</w:t>
      </w:r>
      <w:r w:rsidRPr="008A2411">
        <w:rPr>
          <w:rFonts w:ascii="Times New Roman"/>
          <w:color w:val="000000" w:themeColor="text1"/>
        </w:rPr>
        <w:t>厚</w:t>
      </w:r>
      <w:r w:rsidRPr="008A2411">
        <w:rPr>
          <w:rFonts w:ascii="Times New Roman"/>
          <w:color w:val="000000" w:themeColor="text1"/>
        </w:rPr>
        <w:t>HDPE</w:t>
      </w:r>
      <w:r w:rsidRPr="008A2411">
        <w:rPr>
          <w:rFonts w:ascii="Times New Roman"/>
          <w:color w:val="000000" w:themeColor="text1"/>
        </w:rPr>
        <w:t>防渗膜、基层</w:t>
      </w:r>
      <w:r w:rsidRPr="008A2411">
        <w:rPr>
          <w:rFonts w:ascii="Times New Roman"/>
          <w:color w:val="000000" w:themeColor="text1"/>
        </w:rPr>
        <w:t>+</w:t>
      </w:r>
      <w:r w:rsidRPr="008A2411">
        <w:rPr>
          <w:rFonts w:ascii="Times New Roman"/>
          <w:color w:val="000000" w:themeColor="text1"/>
        </w:rPr>
        <w:t>垫层、</w:t>
      </w:r>
      <w:r w:rsidRPr="008A2411">
        <w:rPr>
          <w:rFonts w:ascii="Times New Roman"/>
          <w:color w:val="000000" w:themeColor="text1"/>
        </w:rPr>
        <w:t>600g/m</w:t>
      </w:r>
      <w:r w:rsidRPr="008A2411">
        <w:rPr>
          <w:rFonts w:ascii="Times New Roman"/>
          <w:color w:val="000000" w:themeColor="text1"/>
          <w:vertAlign w:val="superscript"/>
        </w:rPr>
        <w:t>2</w:t>
      </w:r>
      <w:r w:rsidRPr="008A2411">
        <w:rPr>
          <w:rFonts w:ascii="Times New Roman"/>
          <w:color w:val="000000" w:themeColor="text1"/>
        </w:rPr>
        <w:t>长丝无纺土工布、细砂保护层、原土压实。围堰环墙采用强度</w:t>
      </w:r>
      <w:r w:rsidRPr="008A2411">
        <w:rPr>
          <w:rFonts w:ascii="Times New Roman"/>
          <w:color w:val="000000" w:themeColor="text1"/>
        </w:rPr>
        <w:t>C30</w:t>
      </w:r>
      <w:r w:rsidRPr="008A2411">
        <w:rPr>
          <w:rFonts w:ascii="Times New Roman"/>
          <w:color w:val="000000" w:themeColor="text1"/>
        </w:rPr>
        <w:t>，厚</w:t>
      </w:r>
      <w:r w:rsidRPr="008A2411">
        <w:rPr>
          <w:rFonts w:ascii="Times New Roman"/>
          <w:color w:val="000000" w:themeColor="text1"/>
        </w:rPr>
        <w:t>45cm</w:t>
      </w:r>
      <w:r w:rsidRPr="008A2411">
        <w:rPr>
          <w:rFonts w:ascii="Times New Roman"/>
          <w:color w:val="000000" w:themeColor="text1"/>
        </w:rPr>
        <w:t>抗渗钢筋混凝土（抗渗等级</w:t>
      </w:r>
      <w:r w:rsidRPr="008A2411">
        <w:rPr>
          <w:rFonts w:ascii="Times New Roman"/>
          <w:color w:val="000000" w:themeColor="text1"/>
        </w:rPr>
        <w:t>P8</w:t>
      </w:r>
      <w:r w:rsidRPr="008A2411">
        <w:rPr>
          <w:rFonts w:ascii="Times New Roman"/>
          <w:color w:val="000000" w:themeColor="text1"/>
        </w:rPr>
        <w:t>）进行防渗。</w:t>
      </w:r>
    </w:p>
    <w:p w14:paraId="7107CD07" w14:textId="77777777" w:rsidR="00B0005F" w:rsidRPr="008A2411" w:rsidRDefault="00000000">
      <w:pPr>
        <w:widowControl/>
        <w:adjustRightInd w:val="0"/>
        <w:snapToGrid w:val="0"/>
        <w:jc w:val="center"/>
        <w:rPr>
          <w:rFonts w:ascii="Times New Roman"/>
          <w:color w:val="000000" w:themeColor="text1"/>
        </w:rPr>
      </w:pPr>
      <w:r w:rsidRPr="008A2411">
        <w:rPr>
          <w:rFonts w:ascii="Times New Roman"/>
          <w:noProof/>
          <w:color w:val="000000" w:themeColor="text1"/>
        </w:rPr>
        <w:drawing>
          <wp:inline distT="0" distB="0" distL="0" distR="0" wp14:anchorId="63FA6F2B" wp14:editId="19879E76">
            <wp:extent cx="4624070" cy="3640455"/>
            <wp:effectExtent l="0" t="0" r="8890" b="1905"/>
            <wp:docPr id="464" name="图片 464" descr="C:\Users\luopeng0808\Desktop\防渗\重点防渗区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4" name="图片 464" descr="C:\Users\luopeng0808\Desktop\防渗\重点防渗区1.jpg"/>
                    <pic:cNvPicPr>
                      <a:picLocks noChangeAspect="1" noChangeArrowheads="1"/>
                    </pic:cNvPicPr>
                  </pic:nvPicPr>
                  <pic:blipFill>
                    <a:blip r:embed="rId84" cstate="print">
                      <a:extLst>
                        <a:ext uri="{28A0092B-C50C-407E-A947-70E740481C1C}">
                          <a14:useLocalDpi xmlns:a14="http://schemas.microsoft.com/office/drawing/2010/main" val="0"/>
                        </a:ext>
                      </a:extLst>
                    </a:blip>
                    <a:srcRect/>
                    <a:stretch>
                      <a:fillRect/>
                    </a:stretch>
                  </pic:blipFill>
                  <pic:spPr>
                    <a:xfrm>
                      <a:off x="0" y="0"/>
                      <a:ext cx="4624070" cy="3640455"/>
                    </a:xfrm>
                    <a:prstGeom prst="rect">
                      <a:avLst/>
                    </a:prstGeom>
                    <a:ln>
                      <a:noFill/>
                    </a:ln>
                  </pic:spPr>
                </pic:pic>
              </a:graphicData>
            </a:graphic>
          </wp:inline>
        </w:drawing>
      </w:r>
    </w:p>
    <w:p w14:paraId="5351873E" w14:textId="77777777" w:rsidR="00B0005F" w:rsidRPr="008A2411" w:rsidRDefault="00000000">
      <w:pPr>
        <w:widowControl/>
        <w:adjustRightInd w:val="0"/>
        <w:snapToGrid w:val="0"/>
        <w:jc w:val="center"/>
        <w:rPr>
          <w:rFonts w:ascii="Times New Roman" w:eastAsia="黑体"/>
          <w:color w:val="000000" w:themeColor="text1"/>
          <w:kern w:val="2"/>
          <w:szCs w:val="24"/>
        </w:rPr>
      </w:pPr>
      <w:r w:rsidRPr="008A2411">
        <w:rPr>
          <w:rFonts w:ascii="Times New Roman" w:eastAsia="黑体"/>
          <w:color w:val="000000" w:themeColor="text1"/>
          <w:kern w:val="2"/>
          <w:szCs w:val="24"/>
        </w:rPr>
        <w:t>图</w:t>
      </w:r>
      <w:r w:rsidRPr="008A2411">
        <w:rPr>
          <w:rFonts w:ascii="Times New Roman" w:eastAsia="黑体"/>
          <w:color w:val="000000" w:themeColor="text1"/>
          <w:kern w:val="2"/>
          <w:szCs w:val="24"/>
        </w:rPr>
        <w:t xml:space="preserve">5.2-15 </w:t>
      </w:r>
      <w:r w:rsidRPr="008A2411">
        <w:rPr>
          <w:rFonts w:ascii="Times New Roman" w:eastAsia="黑体"/>
          <w:color w:val="000000" w:themeColor="text1"/>
          <w:kern w:val="2"/>
          <w:szCs w:val="24"/>
        </w:rPr>
        <w:t>地坪刚性</w:t>
      </w:r>
      <w:r w:rsidRPr="008A2411">
        <w:rPr>
          <w:rFonts w:ascii="Times New Roman" w:eastAsia="黑体"/>
          <w:color w:val="000000" w:themeColor="text1"/>
          <w:kern w:val="2"/>
          <w:szCs w:val="24"/>
        </w:rPr>
        <w:t>+</w:t>
      </w:r>
      <w:r w:rsidRPr="008A2411">
        <w:rPr>
          <w:rFonts w:ascii="Times New Roman" w:eastAsia="黑体"/>
          <w:color w:val="000000" w:themeColor="text1"/>
          <w:kern w:val="2"/>
          <w:szCs w:val="24"/>
        </w:rPr>
        <w:t>柔性防渗示意图</w:t>
      </w:r>
    </w:p>
    <w:p w14:paraId="79BE3F8B" w14:textId="77777777" w:rsidR="00B0005F" w:rsidRPr="008A2411" w:rsidRDefault="00000000">
      <w:pPr>
        <w:widowControl/>
        <w:adjustRightInd w:val="0"/>
        <w:snapToGrid w:val="0"/>
        <w:spacing w:line="360" w:lineRule="auto"/>
        <w:ind w:firstLineChars="200" w:firstLine="480"/>
        <w:rPr>
          <w:rFonts w:ascii="Times New Roman"/>
          <w:color w:val="000000" w:themeColor="text1"/>
        </w:rPr>
      </w:pPr>
      <w:r w:rsidRPr="008A2411">
        <w:rPr>
          <w:rFonts w:ascii="Times New Roman"/>
          <w:color w:val="000000" w:themeColor="text1"/>
        </w:rPr>
        <w:t>③</w:t>
      </w:r>
      <w:r w:rsidRPr="008A2411">
        <w:rPr>
          <w:rFonts w:ascii="Times New Roman"/>
          <w:color w:val="000000" w:themeColor="text1"/>
        </w:rPr>
        <w:t>导热油炉区域：参照危险废物暂存库地面建议防渗结构进行处理，其防渗层的防渗性能不低于</w:t>
      </w:r>
      <w:r w:rsidRPr="008A2411">
        <w:rPr>
          <w:rFonts w:ascii="Times New Roman"/>
          <w:color w:val="000000" w:themeColor="text1"/>
        </w:rPr>
        <w:t>6.0m</w:t>
      </w:r>
      <w:r w:rsidRPr="008A2411">
        <w:rPr>
          <w:rFonts w:ascii="Times New Roman"/>
          <w:color w:val="000000" w:themeColor="text1"/>
        </w:rPr>
        <w:t>厚渗透系数为</w:t>
      </w:r>
      <w:r w:rsidRPr="008A2411">
        <w:rPr>
          <w:rFonts w:ascii="Times New Roman"/>
          <w:color w:val="000000" w:themeColor="text1"/>
        </w:rPr>
        <w:t>1.0×10</w:t>
      </w:r>
      <w:r w:rsidRPr="008A2411">
        <w:rPr>
          <w:rFonts w:ascii="Times New Roman"/>
          <w:color w:val="000000" w:themeColor="text1"/>
          <w:vertAlign w:val="superscript"/>
        </w:rPr>
        <w:t>-7</w:t>
      </w:r>
      <w:r w:rsidRPr="008A2411">
        <w:rPr>
          <w:rFonts w:ascii="Times New Roman"/>
          <w:color w:val="000000" w:themeColor="text1"/>
        </w:rPr>
        <w:t>cm/s</w:t>
      </w:r>
      <w:r w:rsidRPr="008A2411">
        <w:rPr>
          <w:rFonts w:ascii="Times New Roman"/>
          <w:color w:val="000000" w:themeColor="text1"/>
        </w:rPr>
        <w:t>的黏土层的防渗性能，同时底部设置围堰和导排沟、收集池，围堰、导排沟和收集池防渗等级同地面防渗等级。</w:t>
      </w:r>
    </w:p>
    <w:p w14:paraId="1298B887" w14:textId="77777777" w:rsidR="00B0005F" w:rsidRPr="008A2411" w:rsidRDefault="00000000">
      <w:pPr>
        <w:widowControl/>
        <w:adjustRightInd w:val="0"/>
        <w:snapToGrid w:val="0"/>
        <w:spacing w:line="360" w:lineRule="auto"/>
        <w:ind w:firstLineChars="200" w:firstLine="480"/>
        <w:rPr>
          <w:rFonts w:ascii="Times New Roman"/>
          <w:color w:val="000000" w:themeColor="text1"/>
        </w:rPr>
      </w:pPr>
      <w:r w:rsidRPr="008A2411">
        <w:rPr>
          <w:rFonts w:ascii="Times New Roman"/>
          <w:color w:val="000000" w:themeColor="text1"/>
        </w:rPr>
        <w:t>④</w:t>
      </w:r>
      <w:r w:rsidRPr="008A2411">
        <w:rPr>
          <w:rFonts w:ascii="Times New Roman"/>
          <w:color w:val="000000" w:themeColor="text1"/>
          <w:szCs w:val="21"/>
        </w:rPr>
        <w:t>污水处理站、</w:t>
      </w:r>
      <w:r w:rsidRPr="008A2411">
        <w:rPr>
          <w:rFonts w:ascii="Times New Roman"/>
          <w:color w:val="000000" w:themeColor="text1"/>
        </w:rPr>
        <w:t>事故水池等两侧均需延伸</w:t>
      </w:r>
      <w:r w:rsidRPr="008A2411">
        <w:rPr>
          <w:rFonts w:ascii="Times New Roman"/>
          <w:color w:val="000000" w:themeColor="text1"/>
        </w:rPr>
        <w:t>1.0m</w:t>
      </w:r>
      <w:r w:rsidRPr="008A2411">
        <w:rPr>
          <w:rFonts w:ascii="Times New Roman"/>
          <w:color w:val="000000" w:themeColor="text1"/>
        </w:rPr>
        <w:t>范围地坪，池体亦采用</w:t>
      </w:r>
      <w:r w:rsidRPr="008A2411">
        <w:rPr>
          <w:rFonts w:ascii="Times New Roman"/>
          <w:color w:val="000000" w:themeColor="text1"/>
        </w:rPr>
        <w:t>30cm</w:t>
      </w:r>
      <w:r w:rsidRPr="008A2411">
        <w:rPr>
          <w:rFonts w:ascii="Times New Roman"/>
          <w:color w:val="000000" w:themeColor="text1"/>
        </w:rPr>
        <w:t>厚</w:t>
      </w:r>
      <w:r w:rsidRPr="008A2411">
        <w:rPr>
          <w:rFonts w:ascii="Times New Roman"/>
          <w:color w:val="000000" w:themeColor="text1"/>
        </w:rPr>
        <w:t>P8</w:t>
      </w:r>
      <w:r w:rsidRPr="008A2411">
        <w:rPr>
          <w:rFonts w:ascii="Times New Roman"/>
          <w:color w:val="000000" w:themeColor="text1"/>
        </w:rPr>
        <w:t>等级混凝土刚性防渗结构，其防渗性能与厚度</w:t>
      </w:r>
      <w:r w:rsidRPr="008A2411">
        <w:rPr>
          <w:rFonts w:ascii="Times New Roman"/>
          <w:color w:val="000000" w:themeColor="text1"/>
        </w:rPr>
        <w:t>Mb≥6.0m</w:t>
      </w:r>
      <w:r w:rsidRPr="008A2411">
        <w:rPr>
          <w:rFonts w:ascii="Times New Roman"/>
          <w:color w:val="000000" w:themeColor="text1"/>
        </w:rPr>
        <w:t>，渗透系数</w:t>
      </w:r>
      <w:r w:rsidRPr="008A2411">
        <w:rPr>
          <w:rFonts w:ascii="Times New Roman"/>
          <w:color w:val="000000" w:themeColor="text1"/>
        </w:rPr>
        <w:t>K≤1×10</w:t>
      </w:r>
      <w:r w:rsidRPr="008A2411">
        <w:rPr>
          <w:rFonts w:ascii="Times New Roman"/>
          <w:color w:val="000000" w:themeColor="text1"/>
          <w:vertAlign w:val="superscript"/>
        </w:rPr>
        <w:t>-7</w:t>
      </w:r>
      <w:r w:rsidRPr="008A2411">
        <w:rPr>
          <w:rFonts w:ascii="Times New Roman"/>
          <w:color w:val="000000" w:themeColor="text1"/>
        </w:rPr>
        <w:t>cm/s</w:t>
      </w:r>
      <w:r w:rsidRPr="008A2411">
        <w:rPr>
          <w:rFonts w:ascii="Times New Roman"/>
          <w:color w:val="000000" w:themeColor="text1"/>
        </w:rPr>
        <w:t>粘土防渗层等效的防渗措施。具体防渗结构如下：建议采用刚性防渗措施，水泥基渗透结晶型防渗涂层（</w:t>
      </w:r>
      <w:r w:rsidRPr="008A2411">
        <w:rPr>
          <w:rFonts w:ascii="Times New Roman"/>
          <w:color w:val="000000" w:themeColor="text1"/>
        </w:rPr>
        <w:t>≥1.0mm</w:t>
      </w:r>
      <w:r w:rsidRPr="008A2411">
        <w:rPr>
          <w:rFonts w:ascii="Times New Roman"/>
          <w:color w:val="000000" w:themeColor="text1"/>
        </w:rPr>
        <w:t>）、抗渗混凝土面层（厚度</w:t>
      </w:r>
      <w:r w:rsidRPr="008A2411">
        <w:rPr>
          <w:rFonts w:ascii="Times New Roman"/>
          <w:color w:val="000000" w:themeColor="text1"/>
        </w:rPr>
        <w:t>300mm</w:t>
      </w:r>
      <w:r w:rsidRPr="008A2411">
        <w:rPr>
          <w:rFonts w:ascii="Times New Roman"/>
          <w:color w:val="000000" w:themeColor="text1"/>
        </w:rPr>
        <w:t>，抗渗等级为</w:t>
      </w:r>
      <w:r w:rsidRPr="008A2411">
        <w:rPr>
          <w:rFonts w:ascii="Times New Roman"/>
          <w:color w:val="000000" w:themeColor="text1"/>
        </w:rPr>
        <w:t>P8</w:t>
      </w:r>
      <w:r w:rsidRPr="008A2411">
        <w:rPr>
          <w:rFonts w:ascii="Times New Roman"/>
          <w:color w:val="000000" w:themeColor="text1"/>
        </w:rPr>
        <w:t>）、原土压（夯）实。</w:t>
      </w:r>
    </w:p>
    <w:p w14:paraId="07EBBE6E" w14:textId="77777777" w:rsidR="00B0005F" w:rsidRPr="008A2411" w:rsidRDefault="00000000">
      <w:pPr>
        <w:widowControl/>
        <w:adjustRightInd w:val="0"/>
        <w:snapToGrid w:val="0"/>
        <w:jc w:val="center"/>
        <w:rPr>
          <w:rFonts w:ascii="Times New Roman"/>
          <w:color w:val="000000" w:themeColor="text1"/>
        </w:rPr>
      </w:pPr>
      <w:r w:rsidRPr="008A2411">
        <w:rPr>
          <w:rFonts w:ascii="Times New Roman"/>
          <w:noProof/>
          <w:color w:val="000000" w:themeColor="text1"/>
        </w:rPr>
        <w:lastRenderedPageBreak/>
        <w:drawing>
          <wp:inline distT="0" distB="0" distL="0" distR="0" wp14:anchorId="02D6E68B" wp14:editId="09571587">
            <wp:extent cx="4938395" cy="3592830"/>
            <wp:effectExtent l="0" t="0" r="14605" b="3810"/>
            <wp:docPr id="1370" name="图片 1370" descr="C:\Users\luopeng0808\Desktop\防渗\重点防渗区（池体）.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0" name="图片 1370" descr="C:\Users\luopeng0808\Desktop\防渗\重点防渗区（池体）.jpg"/>
                    <pic:cNvPicPr>
                      <a:picLocks noChangeAspect="1" noChangeArrowheads="1"/>
                    </pic:cNvPicPr>
                  </pic:nvPicPr>
                  <pic:blipFill>
                    <a:blip r:embed="rId85" cstate="print">
                      <a:extLst>
                        <a:ext uri="{28A0092B-C50C-407E-A947-70E740481C1C}">
                          <a14:useLocalDpi xmlns:a14="http://schemas.microsoft.com/office/drawing/2010/main" val="0"/>
                        </a:ext>
                      </a:extLst>
                    </a:blip>
                    <a:srcRect/>
                    <a:stretch>
                      <a:fillRect/>
                    </a:stretch>
                  </pic:blipFill>
                  <pic:spPr>
                    <a:xfrm>
                      <a:off x="0" y="0"/>
                      <a:ext cx="4938395" cy="3592830"/>
                    </a:xfrm>
                    <a:prstGeom prst="rect">
                      <a:avLst/>
                    </a:prstGeom>
                    <a:noFill/>
                    <a:ln>
                      <a:noFill/>
                    </a:ln>
                  </pic:spPr>
                </pic:pic>
              </a:graphicData>
            </a:graphic>
          </wp:inline>
        </w:drawing>
      </w:r>
    </w:p>
    <w:p w14:paraId="79F53BF4" w14:textId="77777777" w:rsidR="00B0005F" w:rsidRPr="008A2411" w:rsidRDefault="00000000">
      <w:pPr>
        <w:widowControl/>
        <w:adjustRightInd w:val="0"/>
        <w:snapToGrid w:val="0"/>
        <w:jc w:val="center"/>
        <w:rPr>
          <w:rFonts w:ascii="Times New Roman" w:eastAsia="黑体"/>
          <w:color w:val="000000" w:themeColor="text1"/>
          <w:kern w:val="2"/>
          <w:szCs w:val="24"/>
        </w:rPr>
      </w:pPr>
      <w:r w:rsidRPr="008A2411">
        <w:rPr>
          <w:rFonts w:ascii="Times New Roman" w:eastAsia="黑体"/>
          <w:color w:val="000000" w:themeColor="text1"/>
          <w:kern w:val="2"/>
          <w:szCs w:val="24"/>
        </w:rPr>
        <w:t>图</w:t>
      </w:r>
      <w:r w:rsidRPr="008A2411">
        <w:rPr>
          <w:rFonts w:ascii="Times New Roman" w:eastAsia="黑体"/>
          <w:color w:val="000000" w:themeColor="text1"/>
          <w:kern w:val="2"/>
          <w:szCs w:val="24"/>
        </w:rPr>
        <w:t xml:space="preserve">5.2-16 </w:t>
      </w:r>
      <w:r w:rsidRPr="008A2411">
        <w:rPr>
          <w:rFonts w:ascii="Times New Roman" w:eastAsia="黑体"/>
          <w:color w:val="000000" w:themeColor="text1"/>
          <w:kern w:val="2"/>
          <w:szCs w:val="24"/>
        </w:rPr>
        <w:t>生产污水池体及事故池体构筑物重点防渗示意图</w:t>
      </w:r>
    </w:p>
    <w:p w14:paraId="5009F01B" w14:textId="77777777" w:rsidR="00B0005F" w:rsidRPr="008A2411" w:rsidRDefault="00000000">
      <w:pPr>
        <w:adjustRightInd w:val="0"/>
        <w:snapToGrid w:val="0"/>
        <w:spacing w:line="360" w:lineRule="auto"/>
        <w:ind w:firstLine="482"/>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2</w:t>
      </w:r>
      <w:r w:rsidRPr="008A2411">
        <w:rPr>
          <w:rFonts w:ascii="Times New Roman"/>
          <w:color w:val="000000" w:themeColor="text1"/>
        </w:rPr>
        <w:t>）一般防渗区</w:t>
      </w:r>
    </w:p>
    <w:p w14:paraId="284D2E60" w14:textId="77777777" w:rsidR="00B0005F" w:rsidRPr="008A2411" w:rsidRDefault="00000000">
      <w:pPr>
        <w:adjustRightInd w:val="0"/>
        <w:snapToGrid w:val="0"/>
        <w:spacing w:line="360" w:lineRule="auto"/>
        <w:ind w:firstLine="482"/>
        <w:rPr>
          <w:rFonts w:ascii="Times New Roman"/>
          <w:color w:val="000000" w:themeColor="text1"/>
        </w:rPr>
      </w:pPr>
      <w:proofErr w:type="gramStart"/>
      <w:r w:rsidRPr="008A2411">
        <w:rPr>
          <w:rFonts w:ascii="Times New Roman"/>
          <w:color w:val="000000" w:themeColor="text1"/>
        </w:rPr>
        <w:t>空压及</w:t>
      </w:r>
      <w:proofErr w:type="gramEnd"/>
      <w:r w:rsidRPr="008A2411">
        <w:rPr>
          <w:rFonts w:ascii="Times New Roman"/>
          <w:color w:val="000000" w:themeColor="text1"/>
        </w:rPr>
        <w:t>水处理站、分析化验及器材间：其防渗层的防渗性能不低于</w:t>
      </w:r>
      <w:r w:rsidRPr="008A2411">
        <w:rPr>
          <w:rFonts w:ascii="Times New Roman"/>
          <w:color w:val="000000" w:themeColor="text1"/>
        </w:rPr>
        <w:t>1.5m</w:t>
      </w:r>
      <w:r w:rsidRPr="008A2411">
        <w:rPr>
          <w:rFonts w:ascii="Times New Roman"/>
          <w:color w:val="000000" w:themeColor="text1"/>
        </w:rPr>
        <w:t>厚渗透系数为</w:t>
      </w:r>
      <w:r w:rsidRPr="008A2411">
        <w:rPr>
          <w:rFonts w:ascii="Times New Roman"/>
          <w:color w:val="000000" w:themeColor="text1"/>
        </w:rPr>
        <w:t>1.0×10</w:t>
      </w:r>
      <w:r w:rsidRPr="008A2411">
        <w:rPr>
          <w:rFonts w:ascii="Times New Roman"/>
          <w:color w:val="000000" w:themeColor="text1"/>
          <w:vertAlign w:val="superscript"/>
        </w:rPr>
        <w:t>-7</w:t>
      </w:r>
      <w:r w:rsidRPr="008A2411">
        <w:rPr>
          <w:rFonts w:ascii="Times New Roman"/>
          <w:color w:val="000000" w:themeColor="text1"/>
        </w:rPr>
        <w:t>cm/s</w:t>
      </w:r>
      <w:r w:rsidRPr="008A2411">
        <w:rPr>
          <w:rFonts w:ascii="Times New Roman"/>
          <w:color w:val="000000" w:themeColor="text1"/>
        </w:rPr>
        <w:t>的黏土层的防渗性能</w:t>
      </w:r>
      <w:r w:rsidRPr="008A2411">
        <w:rPr>
          <w:rFonts w:ascii="Times New Roman"/>
          <w:color w:val="000000" w:themeColor="text1"/>
          <w:szCs w:val="24"/>
        </w:rPr>
        <w:t>。建议的</w:t>
      </w:r>
      <w:proofErr w:type="gramStart"/>
      <w:r w:rsidRPr="008A2411">
        <w:rPr>
          <w:rFonts w:ascii="Times New Roman"/>
          <w:color w:val="000000" w:themeColor="text1"/>
          <w:szCs w:val="24"/>
        </w:rPr>
        <w:t>的</w:t>
      </w:r>
      <w:proofErr w:type="gramEnd"/>
      <w:r w:rsidRPr="008A2411">
        <w:rPr>
          <w:rFonts w:ascii="Times New Roman"/>
          <w:color w:val="000000" w:themeColor="text1"/>
          <w:szCs w:val="24"/>
        </w:rPr>
        <w:t>防渗措施为：在抗渗钢纤维混凝土面层中</w:t>
      </w:r>
      <w:proofErr w:type="gramStart"/>
      <w:r w:rsidRPr="008A2411">
        <w:rPr>
          <w:rFonts w:ascii="Times New Roman"/>
          <w:color w:val="000000" w:themeColor="text1"/>
          <w:szCs w:val="24"/>
        </w:rPr>
        <w:t>掺水泥基渗透</w:t>
      </w:r>
      <w:proofErr w:type="gramEnd"/>
      <w:r w:rsidRPr="008A2411">
        <w:rPr>
          <w:rFonts w:ascii="Times New Roman"/>
          <w:color w:val="000000" w:themeColor="text1"/>
          <w:szCs w:val="24"/>
        </w:rPr>
        <w:t>结晶型防水剂，其下铺砌砂石基层，原土夯实，可达到防渗的目的。对于混凝土中间的伸缩缝和与实体基础的缝隙，通过填充柔性材料达到防渗的目的，渗透系数不大于</w:t>
      </w:r>
      <w:r w:rsidRPr="008A2411">
        <w:rPr>
          <w:rFonts w:ascii="Times New Roman"/>
          <w:color w:val="000000" w:themeColor="text1"/>
          <w:szCs w:val="24"/>
        </w:rPr>
        <w:t>1.0×10</w:t>
      </w:r>
      <w:r w:rsidRPr="008A2411">
        <w:rPr>
          <w:rFonts w:ascii="Times New Roman"/>
          <w:color w:val="000000" w:themeColor="text1"/>
          <w:szCs w:val="24"/>
          <w:vertAlign w:val="superscript"/>
        </w:rPr>
        <w:t>-7</w:t>
      </w:r>
      <w:r w:rsidRPr="008A2411">
        <w:rPr>
          <w:rFonts w:ascii="Times New Roman"/>
          <w:color w:val="000000" w:themeColor="text1"/>
          <w:szCs w:val="24"/>
        </w:rPr>
        <w:t>cm/s</w:t>
      </w:r>
      <w:r w:rsidRPr="008A2411">
        <w:rPr>
          <w:rFonts w:ascii="Times New Roman"/>
          <w:color w:val="000000" w:themeColor="text1"/>
          <w:szCs w:val="24"/>
        </w:rPr>
        <w:t>，防渗结构见图</w:t>
      </w:r>
      <w:r w:rsidRPr="008A2411">
        <w:rPr>
          <w:rFonts w:ascii="Times New Roman"/>
          <w:color w:val="000000" w:themeColor="text1"/>
          <w:szCs w:val="24"/>
        </w:rPr>
        <w:t>5.2-17</w:t>
      </w:r>
      <w:r w:rsidRPr="008A2411">
        <w:rPr>
          <w:rFonts w:ascii="Times New Roman"/>
          <w:color w:val="000000" w:themeColor="text1"/>
          <w:szCs w:val="24"/>
        </w:rPr>
        <w:t>。</w:t>
      </w:r>
    </w:p>
    <w:p w14:paraId="33F8E84D" w14:textId="77777777" w:rsidR="00B0005F" w:rsidRPr="008A2411" w:rsidRDefault="00B0005F">
      <w:pPr>
        <w:pStyle w:val="affffff5"/>
        <w:rPr>
          <w:rFonts w:ascii="Times New Roman" w:hAnsi="Times New Roman"/>
          <w:color w:val="000000" w:themeColor="text1"/>
          <w:lang w:eastAsia="zh-CN"/>
        </w:rPr>
      </w:pPr>
    </w:p>
    <w:p w14:paraId="6EF49A20" w14:textId="77777777" w:rsidR="00B0005F" w:rsidRPr="008A2411" w:rsidRDefault="00000000">
      <w:pPr>
        <w:pStyle w:val="affffffffffff2"/>
        <w:rPr>
          <w:rFonts w:ascii="Times New Roman"/>
          <w:color w:val="000000" w:themeColor="text1"/>
          <w:szCs w:val="24"/>
        </w:rPr>
      </w:pPr>
      <w:r w:rsidRPr="008A2411">
        <w:rPr>
          <w:rFonts w:ascii="Times New Roman"/>
          <w:noProof/>
          <w:color w:val="000000" w:themeColor="text1"/>
        </w:rPr>
        <w:drawing>
          <wp:inline distT="0" distB="0" distL="0" distR="0" wp14:anchorId="6CE183E8" wp14:editId="228E3E08">
            <wp:extent cx="4656455" cy="2783205"/>
            <wp:effectExtent l="0" t="0" r="6985" b="5715"/>
            <wp:docPr id="465" name="Picture 27" descr="A$C3D88529B Model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5" name="Picture 27" descr="A$C3D88529B Model (1)"/>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a:xfrm>
                      <a:off x="0" y="0"/>
                      <a:ext cx="4656455" cy="2783205"/>
                    </a:xfrm>
                    <a:prstGeom prst="rect">
                      <a:avLst/>
                    </a:prstGeom>
                    <a:noFill/>
                    <a:ln>
                      <a:noFill/>
                    </a:ln>
                  </pic:spPr>
                </pic:pic>
              </a:graphicData>
            </a:graphic>
          </wp:inline>
        </w:drawing>
      </w:r>
    </w:p>
    <w:p w14:paraId="38C9BAC2" w14:textId="77777777" w:rsidR="00B0005F" w:rsidRPr="008A2411" w:rsidRDefault="00000000">
      <w:pPr>
        <w:widowControl/>
        <w:adjustRightInd w:val="0"/>
        <w:snapToGrid w:val="0"/>
        <w:jc w:val="center"/>
        <w:rPr>
          <w:rFonts w:ascii="Times New Roman" w:eastAsia="黑体"/>
          <w:color w:val="000000" w:themeColor="text1"/>
          <w:kern w:val="2"/>
          <w:szCs w:val="24"/>
        </w:rPr>
      </w:pPr>
      <w:r w:rsidRPr="008A2411">
        <w:rPr>
          <w:rFonts w:ascii="Times New Roman" w:eastAsia="黑体"/>
          <w:color w:val="000000" w:themeColor="text1"/>
          <w:kern w:val="2"/>
          <w:szCs w:val="24"/>
        </w:rPr>
        <w:t>图</w:t>
      </w:r>
      <w:r w:rsidRPr="008A2411">
        <w:rPr>
          <w:rFonts w:ascii="Times New Roman" w:eastAsia="黑体"/>
          <w:color w:val="000000" w:themeColor="text1"/>
          <w:kern w:val="2"/>
          <w:szCs w:val="24"/>
        </w:rPr>
        <w:t xml:space="preserve">5.2-17  </w:t>
      </w:r>
      <w:r w:rsidRPr="008A2411">
        <w:rPr>
          <w:rFonts w:ascii="Times New Roman" w:eastAsia="黑体"/>
          <w:color w:val="000000" w:themeColor="text1"/>
          <w:kern w:val="2"/>
          <w:szCs w:val="24"/>
        </w:rPr>
        <w:t>一般防渗区防渗结构示意图</w:t>
      </w:r>
    </w:p>
    <w:p w14:paraId="2E0E6524" w14:textId="77777777" w:rsidR="00B0005F" w:rsidRPr="008A2411" w:rsidRDefault="00000000">
      <w:pPr>
        <w:adjustRightInd w:val="0"/>
        <w:spacing w:line="360" w:lineRule="auto"/>
        <w:ind w:firstLine="482"/>
        <w:rPr>
          <w:rFonts w:ascii="Times New Roman"/>
          <w:color w:val="000000" w:themeColor="text1"/>
        </w:rPr>
      </w:pPr>
      <w:r w:rsidRPr="008A2411">
        <w:rPr>
          <w:rFonts w:ascii="Times New Roman"/>
          <w:color w:val="000000" w:themeColor="text1"/>
        </w:rPr>
        <w:lastRenderedPageBreak/>
        <w:t>（</w:t>
      </w:r>
      <w:r w:rsidRPr="008A2411">
        <w:rPr>
          <w:rFonts w:ascii="Times New Roman"/>
          <w:color w:val="000000" w:themeColor="text1"/>
        </w:rPr>
        <w:t>3</w:t>
      </w:r>
      <w:r w:rsidRPr="008A2411">
        <w:rPr>
          <w:rFonts w:ascii="Times New Roman"/>
          <w:color w:val="000000" w:themeColor="text1"/>
        </w:rPr>
        <w:t>）简单防渗区</w:t>
      </w:r>
    </w:p>
    <w:p w14:paraId="794AE68C" w14:textId="77777777" w:rsidR="00B0005F" w:rsidRPr="008A2411" w:rsidRDefault="00000000">
      <w:pPr>
        <w:widowControl/>
        <w:adjustRightInd w:val="0"/>
        <w:spacing w:line="360" w:lineRule="auto"/>
        <w:ind w:firstLine="480"/>
        <w:jc w:val="left"/>
        <w:rPr>
          <w:rFonts w:ascii="Times New Roman"/>
          <w:color w:val="000000" w:themeColor="text1"/>
        </w:rPr>
      </w:pPr>
      <w:r w:rsidRPr="008A2411">
        <w:rPr>
          <w:rFonts w:ascii="Times New Roman"/>
          <w:color w:val="000000" w:themeColor="text1"/>
        </w:rPr>
        <w:t>供水、供电、循环水系统区、氮气制备、</w:t>
      </w:r>
      <w:r w:rsidRPr="008A2411">
        <w:rPr>
          <w:rFonts w:ascii="Times New Roman"/>
          <w:color w:val="000000" w:themeColor="text1"/>
        </w:rPr>
        <w:t>LNG</w:t>
      </w:r>
      <w:r w:rsidRPr="008A2411">
        <w:rPr>
          <w:rFonts w:ascii="Times New Roman"/>
          <w:color w:val="000000" w:themeColor="text1"/>
        </w:rPr>
        <w:t>加注区、</w:t>
      </w:r>
      <w:r w:rsidRPr="008A2411">
        <w:rPr>
          <w:rFonts w:ascii="Times New Roman"/>
          <w:color w:val="000000" w:themeColor="text1"/>
        </w:rPr>
        <w:t>LNG</w:t>
      </w:r>
      <w:r w:rsidRPr="008A2411">
        <w:rPr>
          <w:rFonts w:ascii="Times New Roman"/>
          <w:color w:val="000000" w:themeColor="text1"/>
        </w:rPr>
        <w:t>装车站、办公及生活设施等无持续产生地下水污染物的水力条件或不产生地下水污染物，可采取简单地面硬化。</w:t>
      </w:r>
    </w:p>
    <w:p w14:paraId="497B8C35" w14:textId="77777777" w:rsidR="00B0005F" w:rsidRPr="008A2411" w:rsidRDefault="00000000">
      <w:pPr>
        <w:widowControl/>
        <w:adjustRightInd w:val="0"/>
        <w:snapToGrid w:val="0"/>
        <w:spacing w:line="360" w:lineRule="auto"/>
        <w:ind w:firstLine="480"/>
        <w:jc w:val="left"/>
        <w:rPr>
          <w:rFonts w:ascii="Times New Roman"/>
          <w:color w:val="000000" w:themeColor="text1"/>
        </w:rPr>
      </w:pPr>
      <w:r w:rsidRPr="008A2411">
        <w:rPr>
          <w:rFonts w:ascii="Times New Roman"/>
          <w:color w:val="000000" w:themeColor="text1"/>
        </w:rPr>
        <w:t>各防渗分区的防渗结构，应由专业设计单位根据相关要求进行设计，但不应低于环</w:t>
      </w:r>
      <w:proofErr w:type="gramStart"/>
      <w:r w:rsidRPr="008A2411">
        <w:rPr>
          <w:rFonts w:ascii="Times New Roman"/>
          <w:color w:val="000000" w:themeColor="text1"/>
        </w:rPr>
        <w:t>评提出</w:t>
      </w:r>
      <w:proofErr w:type="gramEnd"/>
      <w:r w:rsidRPr="008A2411">
        <w:rPr>
          <w:rFonts w:ascii="Times New Roman"/>
          <w:color w:val="000000" w:themeColor="text1"/>
        </w:rPr>
        <w:t>的防渗级别和要求。</w:t>
      </w:r>
    </w:p>
    <w:p w14:paraId="23BEB721" w14:textId="77777777" w:rsidR="00B0005F" w:rsidRPr="008A2411" w:rsidRDefault="00000000">
      <w:pPr>
        <w:widowControl/>
        <w:adjustRightInd w:val="0"/>
        <w:snapToGrid w:val="0"/>
        <w:spacing w:line="360" w:lineRule="auto"/>
        <w:ind w:firstLine="482"/>
        <w:rPr>
          <w:rFonts w:ascii="Times New Roman"/>
          <w:b/>
          <w:bCs/>
          <w:color w:val="000000" w:themeColor="text1"/>
          <w:szCs w:val="24"/>
        </w:rPr>
      </w:pPr>
      <w:r w:rsidRPr="008A2411">
        <w:rPr>
          <w:rFonts w:ascii="Times New Roman"/>
          <w:b/>
          <w:bCs/>
          <w:color w:val="000000" w:themeColor="text1"/>
          <w:szCs w:val="24"/>
        </w:rPr>
        <w:t>2</w:t>
      </w:r>
      <w:r w:rsidRPr="008A2411">
        <w:rPr>
          <w:rFonts w:ascii="Times New Roman"/>
          <w:b/>
          <w:bCs/>
          <w:color w:val="000000" w:themeColor="text1"/>
          <w:szCs w:val="24"/>
        </w:rPr>
        <w:t>、其他相关措施</w:t>
      </w:r>
    </w:p>
    <w:p w14:paraId="668439B6" w14:textId="77777777" w:rsidR="00B0005F" w:rsidRPr="008A2411" w:rsidRDefault="00000000">
      <w:pPr>
        <w:widowControl/>
        <w:adjustRightInd w:val="0"/>
        <w:snapToGrid w:val="0"/>
        <w:spacing w:line="360" w:lineRule="auto"/>
        <w:ind w:firstLine="480"/>
        <w:jc w:val="left"/>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1</w:t>
      </w:r>
      <w:r w:rsidRPr="008A2411">
        <w:rPr>
          <w:rFonts w:ascii="Times New Roman"/>
          <w:color w:val="000000" w:themeColor="text1"/>
        </w:rPr>
        <w:t>）加强本项目生产线及污水处理区管路的检修，避免生产工艺过程中溶液的漏滴。</w:t>
      </w:r>
    </w:p>
    <w:p w14:paraId="79A6FB51" w14:textId="77777777" w:rsidR="00B0005F" w:rsidRPr="008A2411" w:rsidRDefault="00000000">
      <w:pPr>
        <w:adjustRightInd w:val="0"/>
        <w:snapToGrid w:val="0"/>
        <w:spacing w:line="360" w:lineRule="auto"/>
        <w:ind w:firstLine="480"/>
        <w:rPr>
          <w:rFonts w:ascii="Times New Roman"/>
          <w:color w:val="000000" w:themeColor="text1"/>
        </w:rPr>
      </w:pPr>
      <w:r w:rsidRPr="008A2411">
        <w:rPr>
          <w:rFonts w:ascii="Times New Roman"/>
          <w:color w:val="000000" w:themeColor="text1"/>
          <w:szCs w:val="24"/>
        </w:rPr>
        <w:t>（</w:t>
      </w:r>
      <w:r w:rsidRPr="008A2411">
        <w:rPr>
          <w:rFonts w:ascii="Times New Roman"/>
          <w:color w:val="000000" w:themeColor="text1"/>
          <w:szCs w:val="24"/>
        </w:rPr>
        <w:t>2</w:t>
      </w:r>
      <w:r w:rsidRPr="008A2411">
        <w:rPr>
          <w:rFonts w:ascii="Times New Roman"/>
          <w:color w:val="000000" w:themeColor="text1"/>
          <w:szCs w:val="24"/>
        </w:rPr>
        <w:t>）</w:t>
      </w:r>
      <w:r w:rsidRPr="008A2411">
        <w:rPr>
          <w:rFonts w:ascii="Times New Roman"/>
          <w:color w:val="000000" w:themeColor="text1"/>
        </w:rPr>
        <w:t>本项目导热油炉及主工艺罐体构筑物下方除按要求设置防渗措施外，还须在池体、罐体附近设置围堰</w:t>
      </w:r>
      <w:r w:rsidRPr="008A2411">
        <w:rPr>
          <w:rFonts w:ascii="Times New Roman"/>
          <w:color w:val="000000" w:themeColor="text1"/>
        </w:rPr>
        <w:t>+</w:t>
      </w:r>
      <w:r w:rsidRPr="008A2411">
        <w:rPr>
          <w:rFonts w:ascii="Times New Roman"/>
          <w:color w:val="000000" w:themeColor="text1"/>
        </w:rPr>
        <w:t>收集槽，</w:t>
      </w:r>
      <w:r w:rsidRPr="008A2411">
        <w:rPr>
          <w:rFonts w:ascii="Times New Roman"/>
          <w:color w:val="000000" w:themeColor="text1"/>
          <w:lang w:val="zh-CN"/>
        </w:rPr>
        <w:t>出现泄漏情况能及时收集污水至事故池</w:t>
      </w:r>
      <w:r w:rsidRPr="008A2411">
        <w:rPr>
          <w:rFonts w:ascii="Times New Roman"/>
          <w:color w:val="000000" w:themeColor="text1"/>
        </w:rPr>
        <w:t>。</w:t>
      </w:r>
    </w:p>
    <w:p w14:paraId="16044A77" w14:textId="77777777" w:rsidR="00B0005F" w:rsidRPr="008A2411" w:rsidRDefault="00000000">
      <w:pPr>
        <w:adjustRightInd w:val="0"/>
        <w:snapToGri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3</w:t>
      </w:r>
      <w:r w:rsidRPr="008A2411">
        <w:rPr>
          <w:rFonts w:ascii="Times New Roman"/>
          <w:color w:val="000000" w:themeColor="text1"/>
        </w:rPr>
        <w:t>）生产区四周设置封闭排污沟，同时避免雨污混排，并设置雨水收集池，实行</w:t>
      </w:r>
      <w:r w:rsidRPr="008A2411">
        <w:rPr>
          <w:rFonts w:ascii="Times New Roman" w:hint="eastAsia"/>
          <w:color w:val="000000" w:themeColor="text1"/>
        </w:rPr>
        <w:t>“</w:t>
      </w:r>
      <w:r w:rsidRPr="008A2411">
        <w:rPr>
          <w:rFonts w:ascii="Times New Roman"/>
          <w:color w:val="000000" w:themeColor="text1"/>
        </w:rPr>
        <w:t>清污分流</w:t>
      </w:r>
      <w:r w:rsidRPr="008A2411">
        <w:rPr>
          <w:rFonts w:ascii="Times New Roman" w:hint="eastAsia"/>
          <w:color w:val="000000" w:themeColor="text1"/>
        </w:rPr>
        <w:t>”</w:t>
      </w:r>
      <w:r w:rsidRPr="008A2411">
        <w:rPr>
          <w:rFonts w:ascii="Times New Roman"/>
          <w:color w:val="000000" w:themeColor="text1"/>
        </w:rPr>
        <w:t>。</w:t>
      </w:r>
    </w:p>
    <w:p w14:paraId="3DA96A68" w14:textId="77777777" w:rsidR="00B0005F" w:rsidRPr="008A2411" w:rsidRDefault="00000000">
      <w:pPr>
        <w:adjustRightInd w:val="0"/>
        <w:snapToGrid w:val="0"/>
        <w:spacing w:line="360" w:lineRule="auto"/>
        <w:ind w:firstLine="480"/>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4</w:t>
      </w:r>
      <w:r w:rsidRPr="008A2411">
        <w:rPr>
          <w:rFonts w:ascii="Times New Roman"/>
          <w:color w:val="000000" w:themeColor="text1"/>
        </w:rPr>
        <w:t>）本项目物料输送管道、反应塔、废水储罐、储池应尽量悬空于地表修建，</w:t>
      </w:r>
      <w:proofErr w:type="gramStart"/>
      <w:r w:rsidRPr="008A2411">
        <w:rPr>
          <w:rFonts w:ascii="Times New Roman"/>
          <w:color w:val="000000" w:themeColor="text1"/>
        </w:rPr>
        <w:t>满足产污构筑物</w:t>
      </w:r>
      <w:proofErr w:type="gramEnd"/>
      <w:r w:rsidRPr="008A2411">
        <w:rPr>
          <w:rFonts w:ascii="Times New Roman"/>
          <w:color w:val="000000" w:themeColor="text1"/>
        </w:rPr>
        <w:t>可视化设置要求。以便在项目运行过程中及时</w:t>
      </w:r>
      <w:proofErr w:type="gramStart"/>
      <w:r w:rsidRPr="008A2411">
        <w:rPr>
          <w:rFonts w:ascii="Times New Roman"/>
          <w:color w:val="000000" w:themeColor="text1"/>
        </w:rPr>
        <w:t>发现产污构筑物</w:t>
      </w:r>
      <w:proofErr w:type="gramEnd"/>
      <w:r w:rsidRPr="008A2411">
        <w:rPr>
          <w:rFonts w:ascii="Times New Roman"/>
          <w:color w:val="000000" w:themeColor="text1"/>
        </w:rPr>
        <w:t>破损、泄漏，采取相应处置措施，最大限度降低项目运行过程中的环境风险。</w:t>
      </w:r>
    </w:p>
    <w:p w14:paraId="2763F3F2" w14:textId="77777777" w:rsidR="00B0005F" w:rsidRPr="008A2411" w:rsidRDefault="00000000">
      <w:pPr>
        <w:adjustRightInd w:val="0"/>
        <w:spacing w:line="360" w:lineRule="auto"/>
        <w:ind w:firstLine="482"/>
        <w:rPr>
          <w:rFonts w:ascii="Times New Roman"/>
          <w:b/>
          <w:bCs/>
          <w:color w:val="000000" w:themeColor="text1"/>
        </w:rPr>
      </w:pPr>
      <w:r w:rsidRPr="008A2411">
        <w:rPr>
          <w:rFonts w:ascii="Times New Roman"/>
          <w:b/>
          <w:bCs/>
          <w:color w:val="000000" w:themeColor="text1"/>
        </w:rPr>
        <w:t>3</w:t>
      </w:r>
      <w:r w:rsidRPr="008A2411">
        <w:rPr>
          <w:rFonts w:ascii="Times New Roman"/>
          <w:b/>
          <w:bCs/>
          <w:color w:val="000000" w:themeColor="text1"/>
        </w:rPr>
        <w:t>、地下水环境跟踪监测</w:t>
      </w:r>
    </w:p>
    <w:p w14:paraId="40924E6D" w14:textId="77777777" w:rsidR="00B0005F" w:rsidRPr="008A2411" w:rsidRDefault="00000000">
      <w:pPr>
        <w:adjustRightInd w:val="0"/>
        <w:spacing w:line="360" w:lineRule="auto"/>
        <w:ind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1</w:t>
      </w:r>
      <w:r w:rsidRPr="008A2411">
        <w:rPr>
          <w:rFonts w:ascii="Times New Roman"/>
          <w:bCs/>
          <w:color w:val="000000" w:themeColor="text1"/>
        </w:rPr>
        <w:t>）跟踪监测点位及监测要求</w:t>
      </w:r>
    </w:p>
    <w:p w14:paraId="47D77853"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针对本项目工程特征，根据《工业企业土壤和地下水自行监测</w:t>
      </w:r>
      <w:r w:rsidRPr="008A2411">
        <w:rPr>
          <w:rFonts w:ascii="Times New Roman"/>
          <w:color w:val="000000" w:themeColor="text1"/>
        </w:rPr>
        <w:t xml:space="preserve"> </w:t>
      </w:r>
      <w:r w:rsidRPr="008A2411">
        <w:rPr>
          <w:rFonts w:ascii="Times New Roman"/>
          <w:color w:val="000000" w:themeColor="text1"/>
        </w:rPr>
        <w:t>技术指南（试行）》（</w:t>
      </w:r>
      <w:r w:rsidRPr="008A2411">
        <w:rPr>
          <w:rFonts w:ascii="Times New Roman"/>
          <w:color w:val="000000" w:themeColor="text1"/>
        </w:rPr>
        <w:t>HJ 1209-2021</w:t>
      </w:r>
      <w:r w:rsidRPr="008A2411">
        <w:rPr>
          <w:rFonts w:ascii="Times New Roman"/>
          <w:color w:val="000000" w:themeColor="text1"/>
        </w:rPr>
        <w:t>）</w:t>
      </w:r>
      <w:r w:rsidRPr="008A2411">
        <w:rPr>
          <w:rFonts w:ascii="Times New Roman"/>
          <w:color w:val="000000" w:themeColor="text1"/>
          <w:kern w:val="2"/>
          <w:szCs w:val="24"/>
        </w:rPr>
        <w:t>，将装置区、污水预处理系统识别为一类单元，</w:t>
      </w:r>
      <w:proofErr w:type="gramStart"/>
      <w:r w:rsidRPr="008A2411">
        <w:rPr>
          <w:rFonts w:ascii="Times New Roman"/>
          <w:color w:val="000000" w:themeColor="text1"/>
          <w:kern w:val="2"/>
          <w:szCs w:val="24"/>
        </w:rPr>
        <w:t>其余其余</w:t>
      </w:r>
      <w:proofErr w:type="gramEnd"/>
      <w:r w:rsidRPr="008A2411">
        <w:rPr>
          <w:rFonts w:ascii="Times New Roman"/>
          <w:color w:val="000000" w:themeColor="text1"/>
          <w:kern w:val="2"/>
          <w:szCs w:val="24"/>
        </w:rPr>
        <w:t>为二类单元。</w:t>
      </w:r>
      <w:r w:rsidRPr="008A2411">
        <w:rPr>
          <w:rFonts w:ascii="Times New Roman"/>
          <w:color w:val="000000" w:themeColor="text1"/>
        </w:rPr>
        <w:t>结合周边已有的地下水监测井，本项目应增补建立地下水污染监控体系（新建地下水监控井</w:t>
      </w:r>
      <w:r w:rsidRPr="008A2411">
        <w:rPr>
          <w:rFonts w:ascii="Times New Roman"/>
          <w:color w:val="000000" w:themeColor="text1"/>
        </w:rPr>
        <w:t>4</w:t>
      </w:r>
      <w:r w:rsidRPr="008A2411">
        <w:rPr>
          <w:rFonts w:ascii="Times New Roman"/>
          <w:color w:val="000000" w:themeColor="text1"/>
        </w:rPr>
        <w:t>口），具体计划见表</w:t>
      </w:r>
      <w:r w:rsidRPr="008A2411">
        <w:rPr>
          <w:rFonts w:ascii="Times New Roman"/>
          <w:color w:val="000000" w:themeColor="text1"/>
        </w:rPr>
        <w:t>10.5-1</w:t>
      </w:r>
      <w:r w:rsidRPr="008A2411">
        <w:rPr>
          <w:rFonts w:ascii="Times New Roman"/>
          <w:color w:val="000000" w:themeColor="text1"/>
        </w:rPr>
        <w:t>。</w:t>
      </w:r>
    </w:p>
    <w:p w14:paraId="302FE1FE"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监测因子包括基本因子（地下水水位、</w:t>
      </w:r>
      <w:r w:rsidRPr="008A2411">
        <w:rPr>
          <w:rFonts w:ascii="Times New Roman"/>
          <w:color w:val="000000" w:themeColor="text1"/>
        </w:rPr>
        <w:t>pH</w:t>
      </w:r>
      <w:r w:rsidRPr="008A2411">
        <w:rPr>
          <w:rFonts w:ascii="Times New Roman"/>
          <w:color w:val="000000" w:themeColor="text1"/>
        </w:rPr>
        <w:t>、</w:t>
      </w:r>
      <w:r w:rsidRPr="008A2411">
        <w:rPr>
          <w:rFonts w:ascii="Times New Roman"/>
          <w:color w:val="000000" w:themeColor="text1"/>
        </w:rPr>
        <w:t>SO</w:t>
      </w:r>
      <w:r w:rsidRPr="008A2411">
        <w:rPr>
          <w:rFonts w:ascii="Times New Roman"/>
          <w:color w:val="000000" w:themeColor="text1"/>
          <w:vertAlign w:val="subscript"/>
        </w:rPr>
        <w:t>4</w:t>
      </w:r>
      <w:r w:rsidRPr="008A2411">
        <w:rPr>
          <w:rFonts w:ascii="Times New Roman"/>
          <w:color w:val="000000" w:themeColor="text1"/>
          <w:vertAlign w:val="superscript"/>
        </w:rPr>
        <w:t>2-</w:t>
      </w:r>
      <w:r w:rsidRPr="008A2411">
        <w:rPr>
          <w:rFonts w:ascii="Times New Roman"/>
          <w:color w:val="000000" w:themeColor="text1"/>
        </w:rPr>
        <w:t>、</w:t>
      </w:r>
      <w:r w:rsidRPr="008A2411">
        <w:rPr>
          <w:rFonts w:ascii="Times New Roman"/>
          <w:color w:val="000000" w:themeColor="text1"/>
        </w:rPr>
        <w:t>HCO</w:t>
      </w:r>
      <w:r w:rsidRPr="008A2411">
        <w:rPr>
          <w:rFonts w:ascii="Times New Roman"/>
          <w:color w:val="000000" w:themeColor="text1"/>
          <w:vertAlign w:val="subscript"/>
        </w:rPr>
        <w:t>3</w:t>
      </w:r>
      <w:r w:rsidRPr="008A2411">
        <w:rPr>
          <w:rFonts w:ascii="Times New Roman"/>
          <w:color w:val="000000" w:themeColor="text1"/>
          <w:vertAlign w:val="superscript"/>
        </w:rPr>
        <w:t>-</w:t>
      </w:r>
      <w:r w:rsidRPr="008A2411">
        <w:rPr>
          <w:rFonts w:ascii="Times New Roman"/>
          <w:color w:val="000000" w:themeColor="text1"/>
        </w:rPr>
        <w:t>、</w:t>
      </w:r>
      <w:r w:rsidRPr="008A2411">
        <w:rPr>
          <w:rFonts w:ascii="Times New Roman"/>
          <w:color w:val="000000" w:themeColor="text1"/>
        </w:rPr>
        <w:t>Cl</w:t>
      </w:r>
      <w:r w:rsidRPr="008A2411">
        <w:rPr>
          <w:rFonts w:ascii="Times New Roman"/>
          <w:color w:val="000000" w:themeColor="text1"/>
          <w:vertAlign w:val="superscript"/>
        </w:rPr>
        <w:t>-</w:t>
      </w:r>
      <w:r w:rsidRPr="008A2411">
        <w:rPr>
          <w:rFonts w:ascii="Times New Roman"/>
          <w:color w:val="000000" w:themeColor="text1"/>
        </w:rPr>
        <w:t>、</w:t>
      </w:r>
      <w:r w:rsidRPr="008A2411">
        <w:rPr>
          <w:rFonts w:ascii="Times New Roman"/>
          <w:color w:val="000000" w:themeColor="text1"/>
        </w:rPr>
        <w:t>Na</w:t>
      </w:r>
      <w:r w:rsidRPr="008A2411">
        <w:rPr>
          <w:rFonts w:ascii="Times New Roman"/>
          <w:color w:val="000000" w:themeColor="text1"/>
          <w:vertAlign w:val="superscript"/>
        </w:rPr>
        <w:t>+</w:t>
      </w:r>
      <w:r w:rsidRPr="008A2411">
        <w:rPr>
          <w:rFonts w:ascii="Times New Roman"/>
          <w:color w:val="000000" w:themeColor="text1"/>
        </w:rPr>
        <w:t>、</w:t>
      </w:r>
      <w:r w:rsidRPr="008A2411">
        <w:rPr>
          <w:rFonts w:ascii="Times New Roman"/>
          <w:color w:val="000000" w:themeColor="text1"/>
        </w:rPr>
        <w:t>K</w:t>
      </w:r>
      <w:r w:rsidRPr="008A2411">
        <w:rPr>
          <w:rFonts w:ascii="Times New Roman"/>
          <w:color w:val="000000" w:themeColor="text1"/>
          <w:vertAlign w:val="superscript"/>
        </w:rPr>
        <w:t>+</w:t>
      </w:r>
      <w:r w:rsidRPr="008A2411">
        <w:rPr>
          <w:rFonts w:ascii="Times New Roman"/>
          <w:color w:val="000000" w:themeColor="text1"/>
        </w:rPr>
        <w:t>、</w:t>
      </w:r>
      <w:r w:rsidRPr="008A2411">
        <w:rPr>
          <w:rFonts w:ascii="Times New Roman"/>
          <w:color w:val="000000" w:themeColor="text1"/>
        </w:rPr>
        <w:t>Ca</w:t>
      </w:r>
      <w:r w:rsidRPr="008A2411">
        <w:rPr>
          <w:rFonts w:ascii="Times New Roman"/>
          <w:color w:val="000000" w:themeColor="text1"/>
          <w:vertAlign w:val="superscript"/>
        </w:rPr>
        <w:t>2+</w:t>
      </w:r>
      <w:r w:rsidRPr="008A2411">
        <w:rPr>
          <w:rFonts w:ascii="Times New Roman"/>
          <w:color w:val="000000" w:themeColor="text1"/>
        </w:rPr>
        <w:t>、</w:t>
      </w:r>
      <w:r w:rsidRPr="008A2411">
        <w:rPr>
          <w:rFonts w:ascii="Times New Roman"/>
          <w:color w:val="000000" w:themeColor="text1"/>
        </w:rPr>
        <w:t>Mg</w:t>
      </w:r>
      <w:r w:rsidRPr="008A2411">
        <w:rPr>
          <w:rFonts w:ascii="Times New Roman"/>
          <w:color w:val="000000" w:themeColor="text1"/>
          <w:vertAlign w:val="superscript"/>
        </w:rPr>
        <w:t>2+</w:t>
      </w:r>
      <w:r w:rsidRPr="008A2411">
        <w:rPr>
          <w:rFonts w:ascii="Times New Roman"/>
          <w:color w:val="000000" w:themeColor="text1"/>
        </w:rPr>
        <w:t>）和特征污染因子</w:t>
      </w:r>
      <w:r w:rsidRPr="008A2411">
        <w:rPr>
          <w:rFonts w:ascii="Times New Roman"/>
          <w:color w:val="000000" w:themeColor="text1"/>
          <w:szCs w:val="24"/>
        </w:rPr>
        <w:t>（耗氧量、石油类、</w:t>
      </w:r>
      <w:r w:rsidRPr="008A2411">
        <w:rPr>
          <w:rFonts w:ascii="Times New Roman"/>
          <w:color w:val="000000" w:themeColor="text1"/>
          <w:szCs w:val="24"/>
        </w:rPr>
        <w:t>MDEA</w:t>
      </w:r>
      <w:r w:rsidRPr="008A2411">
        <w:rPr>
          <w:rFonts w:ascii="Times New Roman"/>
          <w:color w:val="000000" w:themeColor="text1"/>
          <w:szCs w:val="24"/>
        </w:rPr>
        <w:t>、</w:t>
      </w:r>
      <w:r w:rsidRPr="008A2411">
        <w:rPr>
          <w:rFonts w:ascii="Times New Roman"/>
          <w:color w:val="000000" w:themeColor="text1"/>
          <w:szCs w:val="24"/>
        </w:rPr>
        <w:t>pH</w:t>
      </w:r>
      <w:r w:rsidRPr="008A2411">
        <w:rPr>
          <w:rFonts w:ascii="Times New Roman"/>
          <w:color w:val="000000" w:themeColor="text1"/>
          <w:szCs w:val="24"/>
        </w:rPr>
        <w:t>）。</w:t>
      </w:r>
      <w:r w:rsidRPr="008A2411">
        <w:rPr>
          <w:rFonts w:ascii="Times New Roman"/>
          <w:color w:val="000000" w:themeColor="text1"/>
        </w:rPr>
        <w:t>其中一类单元（</w:t>
      </w:r>
      <w:r w:rsidRPr="008A2411">
        <w:rPr>
          <w:rFonts w:ascii="Times New Roman" w:hint="eastAsia"/>
          <w:color w:val="000000" w:themeColor="text1"/>
        </w:rPr>
        <w:t>装置区、</w:t>
      </w:r>
      <w:r w:rsidRPr="008A2411">
        <w:rPr>
          <w:rFonts w:ascii="Times New Roman"/>
          <w:color w:val="000000" w:themeColor="text1"/>
        </w:rPr>
        <w:t>污水处理区南侧）监测频率为每季度</w:t>
      </w:r>
      <w:r w:rsidRPr="008A2411">
        <w:rPr>
          <w:rFonts w:ascii="Times New Roman"/>
          <w:color w:val="000000" w:themeColor="text1"/>
        </w:rPr>
        <w:t>1</w:t>
      </w:r>
      <w:r w:rsidRPr="008A2411">
        <w:rPr>
          <w:rFonts w:ascii="Times New Roman"/>
          <w:color w:val="000000" w:themeColor="text1"/>
        </w:rPr>
        <w:t>次；二类单元（</w:t>
      </w:r>
      <w:r w:rsidRPr="008A2411">
        <w:rPr>
          <w:rFonts w:ascii="Times New Roman" w:hint="eastAsia"/>
          <w:color w:val="000000" w:themeColor="text1"/>
        </w:rPr>
        <w:t>厂区北侧边界</w:t>
      </w:r>
      <w:r w:rsidRPr="008A2411">
        <w:rPr>
          <w:rFonts w:ascii="Times New Roman"/>
          <w:color w:val="000000" w:themeColor="text1"/>
        </w:rPr>
        <w:t>）监测频率为</w:t>
      </w:r>
      <w:r w:rsidRPr="008A2411">
        <w:rPr>
          <w:rFonts w:ascii="Times New Roman"/>
          <w:color w:val="000000" w:themeColor="text1"/>
        </w:rPr>
        <w:t>1</w:t>
      </w:r>
      <w:r w:rsidRPr="008A2411">
        <w:rPr>
          <w:rFonts w:ascii="Times New Roman"/>
          <w:color w:val="000000" w:themeColor="text1"/>
        </w:rPr>
        <w:t>次</w:t>
      </w:r>
      <w:r w:rsidRPr="008A2411">
        <w:rPr>
          <w:rFonts w:ascii="Times New Roman"/>
          <w:color w:val="000000" w:themeColor="text1"/>
        </w:rPr>
        <w:t>/</w:t>
      </w:r>
      <w:r w:rsidRPr="008A2411">
        <w:rPr>
          <w:rFonts w:ascii="Times New Roman"/>
          <w:color w:val="000000" w:themeColor="text1"/>
        </w:rPr>
        <w:t>半年。具体计划见表</w:t>
      </w:r>
      <w:r w:rsidRPr="008A2411">
        <w:rPr>
          <w:rFonts w:ascii="Times New Roman"/>
          <w:color w:val="000000" w:themeColor="text1"/>
        </w:rPr>
        <w:t>5.2-41</w:t>
      </w:r>
      <w:r w:rsidRPr="008A2411">
        <w:rPr>
          <w:rFonts w:ascii="Times New Roman"/>
          <w:color w:val="000000" w:themeColor="text1"/>
        </w:rPr>
        <w:t>。</w:t>
      </w:r>
    </w:p>
    <w:p w14:paraId="37FD9EF2" w14:textId="77777777" w:rsidR="00B0005F" w:rsidRPr="008A2411" w:rsidRDefault="00000000">
      <w:pPr>
        <w:jc w:val="center"/>
        <w:rPr>
          <w:rFonts w:ascii="Times New Roman" w:eastAsia="黑体"/>
          <w:color w:val="000000" w:themeColor="text1"/>
          <w:kern w:val="2"/>
          <w:szCs w:val="24"/>
        </w:rPr>
      </w:pPr>
      <w:r w:rsidRPr="008A2411">
        <w:rPr>
          <w:rFonts w:ascii="Times New Roman" w:eastAsia="黑体"/>
          <w:color w:val="000000" w:themeColor="text1"/>
          <w:kern w:val="2"/>
          <w:szCs w:val="24"/>
        </w:rPr>
        <w:t>表</w:t>
      </w:r>
      <w:r w:rsidRPr="008A2411">
        <w:rPr>
          <w:rFonts w:ascii="Times New Roman" w:eastAsia="黑体"/>
          <w:color w:val="000000" w:themeColor="text1"/>
          <w:kern w:val="2"/>
          <w:szCs w:val="24"/>
        </w:rPr>
        <w:t xml:space="preserve">5.2-41  </w:t>
      </w:r>
      <w:r w:rsidRPr="008A2411">
        <w:rPr>
          <w:rFonts w:ascii="Times New Roman" w:eastAsia="黑体"/>
          <w:color w:val="000000" w:themeColor="text1"/>
          <w:kern w:val="2"/>
          <w:szCs w:val="24"/>
        </w:rPr>
        <w:t>地下水污染监控布点</w:t>
      </w:r>
    </w:p>
    <w:tbl>
      <w:tblPr>
        <w:tblW w:w="518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
        <w:gridCol w:w="426"/>
        <w:gridCol w:w="619"/>
        <w:gridCol w:w="678"/>
        <w:gridCol w:w="678"/>
        <w:gridCol w:w="1424"/>
        <w:gridCol w:w="1068"/>
        <w:gridCol w:w="986"/>
        <w:gridCol w:w="426"/>
        <w:gridCol w:w="1045"/>
        <w:gridCol w:w="1056"/>
      </w:tblGrid>
      <w:tr w:rsidR="008A2411" w:rsidRPr="008A2411" w14:paraId="4FA72E62" w14:textId="77777777">
        <w:trPr>
          <w:trHeight w:val="117"/>
          <w:jc w:val="center"/>
        </w:trPr>
        <w:tc>
          <w:tcPr>
            <w:tcW w:w="241" w:type="pct"/>
            <w:vMerge w:val="restart"/>
            <w:tcBorders>
              <w:bottom w:val="single" w:sz="4" w:space="0" w:color="auto"/>
            </w:tcBorders>
            <w:shd w:val="clear" w:color="auto" w:fill="auto"/>
            <w:vAlign w:val="center"/>
          </w:tcPr>
          <w:p w14:paraId="17C7834E"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t>阶段</w:t>
            </w:r>
          </w:p>
        </w:tc>
        <w:tc>
          <w:tcPr>
            <w:tcW w:w="241" w:type="pct"/>
            <w:vMerge w:val="restart"/>
            <w:tcBorders>
              <w:bottom w:val="single" w:sz="4" w:space="0" w:color="auto"/>
            </w:tcBorders>
            <w:shd w:val="clear" w:color="auto" w:fill="auto"/>
            <w:vAlign w:val="center"/>
          </w:tcPr>
          <w:p w14:paraId="5C05158F"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t>编号</w:t>
            </w:r>
          </w:p>
        </w:tc>
        <w:tc>
          <w:tcPr>
            <w:tcW w:w="351" w:type="pct"/>
            <w:vMerge w:val="restart"/>
            <w:tcBorders>
              <w:bottom w:val="single" w:sz="4" w:space="0" w:color="auto"/>
            </w:tcBorders>
            <w:shd w:val="clear" w:color="auto" w:fill="auto"/>
            <w:vAlign w:val="center"/>
          </w:tcPr>
          <w:p w14:paraId="4A190111"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t>监测井</w:t>
            </w:r>
          </w:p>
          <w:p w14:paraId="3C4AB527"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lastRenderedPageBreak/>
              <w:t>功能类型</w:t>
            </w:r>
          </w:p>
        </w:tc>
        <w:tc>
          <w:tcPr>
            <w:tcW w:w="384" w:type="pct"/>
            <w:vMerge w:val="restart"/>
            <w:tcBorders>
              <w:bottom w:val="single" w:sz="4" w:space="0" w:color="auto"/>
            </w:tcBorders>
            <w:shd w:val="clear" w:color="auto" w:fill="auto"/>
            <w:vAlign w:val="center"/>
          </w:tcPr>
          <w:p w14:paraId="19147A0E"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lastRenderedPageBreak/>
              <w:t>监测井</w:t>
            </w:r>
          </w:p>
          <w:p w14:paraId="419B193E"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t>建设</w:t>
            </w:r>
            <w:r w:rsidRPr="008A2411">
              <w:rPr>
                <w:rFonts w:ascii="Times New Roman"/>
                <w:color w:val="000000" w:themeColor="text1"/>
                <w:szCs w:val="21"/>
              </w:rPr>
              <w:lastRenderedPageBreak/>
              <w:t>性质</w:t>
            </w:r>
          </w:p>
        </w:tc>
        <w:tc>
          <w:tcPr>
            <w:tcW w:w="384" w:type="pct"/>
            <w:vMerge w:val="restart"/>
            <w:tcBorders>
              <w:bottom w:val="single" w:sz="4" w:space="0" w:color="auto"/>
            </w:tcBorders>
            <w:shd w:val="clear" w:color="auto" w:fill="auto"/>
            <w:vAlign w:val="center"/>
          </w:tcPr>
          <w:p w14:paraId="7624352A"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lastRenderedPageBreak/>
              <w:t>监测</w:t>
            </w:r>
          </w:p>
          <w:p w14:paraId="66187DB2"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t>点位</w:t>
            </w:r>
          </w:p>
        </w:tc>
        <w:tc>
          <w:tcPr>
            <w:tcW w:w="806" w:type="pct"/>
            <w:vMerge w:val="restart"/>
            <w:tcBorders>
              <w:bottom w:val="single" w:sz="4" w:space="0" w:color="auto"/>
            </w:tcBorders>
            <w:shd w:val="clear" w:color="auto" w:fill="auto"/>
            <w:vAlign w:val="center"/>
          </w:tcPr>
          <w:p w14:paraId="549B162A"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t>监测点坐标</w:t>
            </w:r>
          </w:p>
          <w:p w14:paraId="5CAE36CD"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t>（北纬）</w:t>
            </w:r>
          </w:p>
          <w:p w14:paraId="227945BE"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t>（东经）</w:t>
            </w:r>
          </w:p>
        </w:tc>
        <w:tc>
          <w:tcPr>
            <w:tcW w:w="604" w:type="pct"/>
            <w:vMerge w:val="restart"/>
            <w:tcBorders>
              <w:bottom w:val="single" w:sz="4" w:space="0" w:color="auto"/>
            </w:tcBorders>
            <w:shd w:val="clear" w:color="auto" w:fill="auto"/>
            <w:vAlign w:val="center"/>
          </w:tcPr>
          <w:p w14:paraId="217559C0"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t>监测井</w:t>
            </w:r>
          </w:p>
          <w:p w14:paraId="2E00D86B"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t>结构要求</w:t>
            </w:r>
          </w:p>
        </w:tc>
        <w:tc>
          <w:tcPr>
            <w:tcW w:w="797" w:type="pct"/>
            <w:gridSpan w:val="2"/>
            <w:tcBorders>
              <w:bottom w:val="single" w:sz="4" w:space="0" w:color="auto"/>
            </w:tcBorders>
            <w:shd w:val="clear" w:color="auto" w:fill="auto"/>
            <w:vAlign w:val="center"/>
          </w:tcPr>
          <w:p w14:paraId="717B4727"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t>基本因子</w:t>
            </w:r>
          </w:p>
        </w:tc>
        <w:tc>
          <w:tcPr>
            <w:tcW w:w="1189" w:type="pct"/>
            <w:gridSpan w:val="2"/>
            <w:tcBorders>
              <w:bottom w:val="single" w:sz="4" w:space="0" w:color="auto"/>
            </w:tcBorders>
            <w:shd w:val="clear" w:color="auto" w:fill="auto"/>
            <w:vAlign w:val="center"/>
          </w:tcPr>
          <w:p w14:paraId="21658B8C"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t>特征因子</w:t>
            </w:r>
          </w:p>
        </w:tc>
      </w:tr>
      <w:tr w:rsidR="008A2411" w:rsidRPr="008A2411" w14:paraId="78F63C72" w14:textId="77777777">
        <w:trPr>
          <w:trHeight w:val="117"/>
          <w:jc w:val="center"/>
        </w:trPr>
        <w:tc>
          <w:tcPr>
            <w:tcW w:w="241" w:type="pct"/>
            <w:vMerge/>
            <w:vAlign w:val="center"/>
          </w:tcPr>
          <w:p w14:paraId="5BAB4C1A" w14:textId="77777777" w:rsidR="00B0005F" w:rsidRPr="008A2411" w:rsidRDefault="00B0005F">
            <w:pPr>
              <w:pStyle w:val="affffffffffff2"/>
              <w:snapToGrid w:val="0"/>
              <w:rPr>
                <w:rFonts w:ascii="Times New Roman"/>
                <w:color w:val="000000" w:themeColor="text1"/>
                <w:szCs w:val="21"/>
              </w:rPr>
            </w:pPr>
          </w:p>
        </w:tc>
        <w:tc>
          <w:tcPr>
            <w:tcW w:w="241" w:type="pct"/>
            <w:vMerge/>
            <w:vAlign w:val="center"/>
          </w:tcPr>
          <w:p w14:paraId="55936DDE" w14:textId="77777777" w:rsidR="00B0005F" w:rsidRPr="008A2411" w:rsidRDefault="00B0005F">
            <w:pPr>
              <w:pStyle w:val="affffffffffff2"/>
              <w:snapToGrid w:val="0"/>
              <w:rPr>
                <w:rFonts w:ascii="Times New Roman"/>
                <w:color w:val="000000" w:themeColor="text1"/>
                <w:szCs w:val="21"/>
              </w:rPr>
            </w:pPr>
          </w:p>
        </w:tc>
        <w:tc>
          <w:tcPr>
            <w:tcW w:w="351" w:type="pct"/>
            <w:vMerge/>
            <w:vAlign w:val="center"/>
          </w:tcPr>
          <w:p w14:paraId="13EAB11F" w14:textId="77777777" w:rsidR="00B0005F" w:rsidRPr="008A2411" w:rsidRDefault="00B0005F">
            <w:pPr>
              <w:pStyle w:val="affffffffffff2"/>
              <w:snapToGrid w:val="0"/>
              <w:rPr>
                <w:rFonts w:ascii="Times New Roman"/>
                <w:color w:val="000000" w:themeColor="text1"/>
                <w:szCs w:val="21"/>
              </w:rPr>
            </w:pPr>
          </w:p>
        </w:tc>
        <w:tc>
          <w:tcPr>
            <w:tcW w:w="384" w:type="pct"/>
            <w:vMerge/>
            <w:vAlign w:val="center"/>
          </w:tcPr>
          <w:p w14:paraId="2D99B313" w14:textId="77777777" w:rsidR="00B0005F" w:rsidRPr="008A2411" w:rsidRDefault="00B0005F">
            <w:pPr>
              <w:pStyle w:val="affffffffffff2"/>
              <w:snapToGrid w:val="0"/>
              <w:rPr>
                <w:rFonts w:ascii="Times New Roman"/>
                <w:color w:val="000000" w:themeColor="text1"/>
                <w:szCs w:val="21"/>
              </w:rPr>
            </w:pPr>
          </w:p>
        </w:tc>
        <w:tc>
          <w:tcPr>
            <w:tcW w:w="384" w:type="pct"/>
            <w:vMerge/>
            <w:vAlign w:val="center"/>
          </w:tcPr>
          <w:p w14:paraId="7C77BE4F" w14:textId="77777777" w:rsidR="00B0005F" w:rsidRPr="008A2411" w:rsidRDefault="00B0005F">
            <w:pPr>
              <w:pStyle w:val="affffffffffff2"/>
              <w:snapToGrid w:val="0"/>
              <w:rPr>
                <w:rFonts w:ascii="Times New Roman"/>
                <w:color w:val="000000" w:themeColor="text1"/>
                <w:szCs w:val="21"/>
              </w:rPr>
            </w:pPr>
          </w:p>
        </w:tc>
        <w:tc>
          <w:tcPr>
            <w:tcW w:w="806" w:type="pct"/>
            <w:vMerge/>
            <w:shd w:val="clear" w:color="auto" w:fill="auto"/>
            <w:vAlign w:val="center"/>
          </w:tcPr>
          <w:p w14:paraId="18CCD7CF" w14:textId="77777777" w:rsidR="00B0005F" w:rsidRPr="008A2411" w:rsidRDefault="00B0005F">
            <w:pPr>
              <w:pStyle w:val="affffffffffff2"/>
              <w:snapToGrid w:val="0"/>
              <w:rPr>
                <w:rFonts w:ascii="Times New Roman"/>
                <w:color w:val="000000" w:themeColor="text1"/>
                <w:szCs w:val="21"/>
              </w:rPr>
            </w:pPr>
          </w:p>
        </w:tc>
        <w:tc>
          <w:tcPr>
            <w:tcW w:w="604" w:type="pct"/>
            <w:vMerge/>
            <w:vAlign w:val="center"/>
          </w:tcPr>
          <w:p w14:paraId="057FE476" w14:textId="77777777" w:rsidR="00B0005F" w:rsidRPr="008A2411" w:rsidRDefault="00B0005F">
            <w:pPr>
              <w:pStyle w:val="affffffffffff2"/>
              <w:snapToGrid w:val="0"/>
              <w:rPr>
                <w:rFonts w:ascii="Times New Roman"/>
                <w:color w:val="000000" w:themeColor="text1"/>
                <w:szCs w:val="21"/>
              </w:rPr>
            </w:pPr>
          </w:p>
        </w:tc>
        <w:tc>
          <w:tcPr>
            <w:tcW w:w="556" w:type="pct"/>
            <w:shd w:val="clear" w:color="auto" w:fill="auto"/>
            <w:vAlign w:val="center"/>
          </w:tcPr>
          <w:p w14:paraId="166C488E"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t>监测项目</w:t>
            </w:r>
          </w:p>
        </w:tc>
        <w:tc>
          <w:tcPr>
            <w:tcW w:w="241" w:type="pct"/>
            <w:shd w:val="clear" w:color="auto" w:fill="auto"/>
            <w:vAlign w:val="center"/>
          </w:tcPr>
          <w:p w14:paraId="53282037"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t>监测</w:t>
            </w:r>
          </w:p>
          <w:p w14:paraId="4568B366"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lastRenderedPageBreak/>
              <w:t>频率</w:t>
            </w:r>
          </w:p>
        </w:tc>
        <w:tc>
          <w:tcPr>
            <w:tcW w:w="591" w:type="pct"/>
            <w:shd w:val="clear" w:color="auto" w:fill="auto"/>
            <w:vAlign w:val="center"/>
          </w:tcPr>
          <w:p w14:paraId="5CB72C97"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lastRenderedPageBreak/>
              <w:t>监测</w:t>
            </w:r>
          </w:p>
          <w:p w14:paraId="7A368334"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t>项目</w:t>
            </w:r>
          </w:p>
        </w:tc>
        <w:tc>
          <w:tcPr>
            <w:tcW w:w="597" w:type="pct"/>
            <w:shd w:val="clear" w:color="auto" w:fill="auto"/>
            <w:vAlign w:val="center"/>
          </w:tcPr>
          <w:p w14:paraId="185466BE"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t>监测频率</w:t>
            </w:r>
          </w:p>
        </w:tc>
      </w:tr>
      <w:tr w:rsidR="008A2411" w:rsidRPr="008A2411" w14:paraId="5A8538F1" w14:textId="77777777">
        <w:trPr>
          <w:trHeight w:val="411"/>
          <w:jc w:val="center"/>
        </w:trPr>
        <w:tc>
          <w:tcPr>
            <w:tcW w:w="241" w:type="pct"/>
            <w:vMerge w:val="restart"/>
            <w:shd w:val="clear" w:color="auto" w:fill="auto"/>
            <w:vAlign w:val="center"/>
          </w:tcPr>
          <w:p w14:paraId="1979CED0"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t>运</w:t>
            </w:r>
          </w:p>
          <w:p w14:paraId="70FFBC87"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t>营</w:t>
            </w:r>
          </w:p>
          <w:p w14:paraId="1DF08560"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t>期</w:t>
            </w:r>
          </w:p>
        </w:tc>
        <w:tc>
          <w:tcPr>
            <w:tcW w:w="241" w:type="pct"/>
            <w:shd w:val="clear" w:color="auto" w:fill="auto"/>
            <w:vAlign w:val="center"/>
          </w:tcPr>
          <w:p w14:paraId="2F3970F1"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t>J1</w:t>
            </w:r>
          </w:p>
        </w:tc>
        <w:tc>
          <w:tcPr>
            <w:tcW w:w="351" w:type="pct"/>
            <w:shd w:val="clear" w:color="auto" w:fill="auto"/>
            <w:vAlign w:val="center"/>
          </w:tcPr>
          <w:p w14:paraId="49AEA8D0"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t>背景值监测井</w:t>
            </w:r>
          </w:p>
        </w:tc>
        <w:tc>
          <w:tcPr>
            <w:tcW w:w="384" w:type="pct"/>
            <w:shd w:val="clear" w:color="auto" w:fill="auto"/>
            <w:vAlign w:val="center"/>
          </w:tcPr>
          <w:p w14:paraId="4C8F168B"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t>新建</w:t>
            </w:r>
          </w:p>
        </w:tc>
        <w:tc>
          <w:tcPr>
            <w:tcW w:w="384" w:type="pct"/>
            <w:shd w:val="clear" w:color="auto" w:fill="auto"/>
            <w:vAlign w:val="center"/>
          </w:tcPr>
          <w:p w14:paraId="2860AA50"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t>厂区北侧边界处</w:t>
            </w:r>
          </w:p>
        </w:tc>
        <w:tc>
          <w:tcPr>
            <w:tcW w:w="806" w:type="pct"/>
            <w:shd w:val="clear" w:color="auto" w:fill="auto"/>
            <w:vAlign w:val="center"/>
          </w:tcPr>
          <w:p w14:paraId="1F729468"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t>N 31.51830398</w:t>
            </w:r>
          </w:p>
          <w:p w14:paraId="09B42F5A"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t>E 107.69047061</w:t>
            </w:r>
          </w:p>
        </w:tc>
        <w:tc>
          <w:tcPr>
            <w:tcW w:w="604" w:type="pct"/>
            <w:vMerge w:val="restart"/>
            <w:shd w:val="clear" w:color="auto" w:fill="auto"/>
            <w:vAlign w:val="center"/>
          </w:tcPr>
          <w:p w14:paraId="608953CE"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t>新建监测井要求采用孔径不小于</w:t>
            </w:r>
            <w:r w:rsidRPr="008A2411">
              <w:rPr>
                <w:rFonts w:ascii="Times New Roman"/>
                <w:color w:val="000000" w:themeColor="text1"/>
                <w:szCs w:val="21"/>
              </w:rPr>
              <w:t>130mm</w:t>
            </w:r>
            <w:r w:rsidRPr="008A2411">
              <w:rPr>
                <w:rFonts w:ascii="Times New Roman"/>
                <w:color w:val="000000" w:themeColor="text1"/>
                <w:szCs w:val="21"/>
              </w:rPr>
              <w:t>；</w:t>
            </w:r>
          </w:p>
          <w:p w14:paraId="0F60E3F3"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t>1#</w:t>
            </w:r>
            <w:r w:rsidRPr="008A2411">
              <w:rPr>
                <w:rFonts w:ascii="Times New Roman"/>
                <w:color w:val="000000" w:themeColor="text1"/>
                <w:szCs w:val="21"/>
              </w:rPr>
              <w:t>～</w:t>
            </w:r>
            <w:r w:rsidRPr="008A2411">
              <w:rPr>
                <w:rFonts w:ascii="Times New Roman"/>
                <w:color w:val="000000" w:themeColor="text1"/>
                <w:szCs w:val="21"/>
              </w:rPr>
              <w:t>2#</w:t>
            </w:r>
            <w:r w:rsidRPr="008A2411">
              <w:rPr>
                <w:rFonts w:ascii="Times New Roman"/>
                <w:color w:val="000000" w:themeColor="text1"/>
                <w:szCs w:val="21"/>
              </w:rPr>
              <w:t>监测井钻井深度为</w:t>
            </w:r>
            <w:r w:rsidRPr="008A2411">
              <w:rPr>
                <w:rFonts w:ascii="Times New Roman"/>
                <w:color w:val="000000" w:themeColor="text1"/>
                <w:szCs w:val="21"/>
              </w:rPr>
              <w:t>35m</w:t>
            </w:r>
            <w:r w:rsidRPr="008A2411">
              <w:rPr>
                <w:rFonts w:ascii="Times New Roman"/>
                <w:color w:val="000000" w:themeColor="text1"/>
                <w:szCs w:val="21"/>
              </w:rPr>
              <w:t>，达到取水层位</w:t>
            </w:r>
          </w:p>
        </w:tc>
        <w:tc>
          <w:tcPr>
            <w:tcW w:w="556" w:type="pct"/>
            <w:vMerge w:val="restart"/>
            <w:shd w:val="clear" w:color="auto" w:fill="auto"/>
            <w:vAlign w:val="center"/>
          </w:tcPr>
          <w:p w14:paraId="13159A27" w14:textId="77777777" w:rsidR="00B0005F" w:rsidRPr="008A2411" w:rsidRDefault="00000000">
            <w:pPr>
              <w:pStyle w:val="affffffffffff2"/>
              <w:snapToGrid w:val="0"/>
              <w:rPr>
                <w:rFonts w:ascii="Times New Roman"/>
                <w:bCs/>
                <w:color w:val="000000" w:themeColor="text1"/>
                <w:szCs w:val="21"/>
              </w:rPr>
            </w:pPr>
            <w:r w:rsidRPr="008A2411">
              <w:rPr>
                <w:rFonts w:ascii="Times New Roman"/>
                <w:bCs/>
                <w:color w:val="000000" w:themeColor="text1"/>
                <w:szCs w:val="21"/>
              </w:rPr>
              <w:t>地下水水位、</w:t>
            </w:r>
            <w:r w:rsidRPr="008A2411">
              <w:rPr>
                <w:rFonts w:ascii="Times New Roman"/>
                <w:bCs/>
                <w:color w:val="000000" w:themeColor="text1"/>
                <w:szCs w:val="21"/>
              </w:rPr>
              <w:t>pH</w:t>
            </w:r>
            <w:r w:rsidRPr="008A2411">
              <w:rPr>
                <w:rFonts w:ascii="Times New Roman"/>
                <w:bCs/>
                <w:color w:val="000000" w:themeColor="text1"/>
                <w:szCs w:val="21"/>
              </w:rPr>
              <w:t>、</w:t>
            </w:r>
            <w:r w:rsidRPr="008A2411">
              <w:rPr>
                <w:rFonts w:ascii="Times New Roman"/>
                <w:bCs/>
                <w:color w:val="000000" w:themeColor="text1"/>
                <w:szCs w:val="21"/>
              </w:rPr>
              <w:t>SO</w:t>
            </w:r>
            <w:r w:rsidRPr="008A2411">
              <w:rPr>
                <w:rFonts w:ascii="Times New Roman"/>
                <w:bCs/>
                <w:color w:val="000000" w:themeColor="text1"/>
                <w:szCs w:val="21"/>
                <w:vertAlign w:val="subscript"/>
              </w:rPr>
              <w:t>4</w:t>
            </w:r>
            <w:r w:rsidRPr="008A2411">
              <w:rPr>
                <w:rFonts w:ascii="Times New Roman"/>
                <w:bCs/>
                <w:color w:val="000000" w:themeColor="text1"/>
                <w:szCs w:val="21"/>
                <w:vertAlign w:val="superscript"/>
              </w:rPr>
              <w:t>2-</w:t>
            </w:r>
            <w:r w:rsidRPr="008A2411">
              <w:rPr>
                <w:rFonts w:ascii="Times New Roman"/>
                <w:bCs/>
                <w:color w:val="000000" w:themeColor="text1"/>
                <w:szCs w:val="21"/>
              </w:rPr>
              <w:t>、</w:t>
            </w:r>
            <w:r w:rsidRPr="008A2411">
              <w:rPr>
                <w:rFonts w:ascii="Times New Roman"/>
                <w:bCs/>
                <w:color w:val="000000" w:themeColor="text1"/>
                <w:szCs w:val="21"/>
              </w:rPr>
              <w:t>HCO</w:t>
            </w:r>
            <w:r w:rsidRPr="008A2411">
              <w:rPr>
                <w:rFonts w:ascii="Times New Roman"/>
                <w:bCs/>
                <w:color w:val="000000" w:themeColor="text1"/>
                <w:szCs w:val="21"/>
                <w:vertAlign w:val="subscript"/>
              </w:rPr>
              <w:t>3</w:t>
            </w:r>
            <w:r w:rsidRPr="008A2411">
              <w:rPr>
                <w:rFonts w:ascii="Times New Roman"/>
                <w:bCs/>
                <w:color w:val="000000" w:themeColor="text1"/>
                <w:szCs w:val="21"/>
                <w:vertAlign w:val="superscript"/>
              </w:rPr>
              <w:t>-</w:t>
            </w:r>
            <w:r w:rsidRPr="008A2411">
              <w:rPr>
                <w:rFonts w:ascii="Times New Roman"/>
                <w:bCs/>
                <w:color w:val="000000" w:themeColor="text1"/>
                <w:szCs w:val="21"/>
              </w:rPr>
              <w:t>、</w:t>
            </w:r>
            <w:r w:rsidRPr="008A2411">
              <w:rPr>
                <w:rFonts w:ascii="Times New Roman"/>
                <w:bCs/>
                <w:color w:val="000000" w:themeColor="text1"/>
                <w:szCs w:val="21"/>
              </w:rPr>
              <w:t>Cl</w:t>
            </w:r>
            <w:r w:rsidRPr="008A2411">
              <w:rPr>
                <w:rFonts w:ascii="Times New Roman"/>
                <w:bCs/>
                <w:color w:val="000000" w:themeColor="text1"/>
                <w:szCs w:val="21"/>
                <w:vertAlign w:val="superscript"/>
              </w:rPr>
              <w:t>-</w:t>
            </w:r>
            <w:r w:rsidRPr="008A2411">
              <w:rPr>
                <w:rFonts w:ascii="Times New Roman"/>
                <w:bCs/>
                <w:color w:val="000000" w:themeColor="text1"/>
                <w:szCs w:val="21"/>
              </w:rPr>
              <w:t>、</w:t>
            </w:r>
            <w:r w:rsidRPr="008A2411">
              <w:rPr>
                <w:rFonts w:ascii="Times New Roman"/>
                <w:bCs/>
                <w:color w:val="000000" w:themeColor="text1"/>
                <w:szCs w:val="21"/>
              </w:rPr>
              <w:t>Na</w:t>
            </w:r>
            <w:r w:rsidRPr="008A2411">
              <w:rPr>
                <w:rFonts w:ascii="Times New Roman"/>
                <w:bCs/>
                <w:color w:val="000000" w:themeColor="text1"/>
                <w:szCs w:val="21"/>
                <w:vertAlign w:val="superscript"/>
              </w:rPr>
              <w:t>+</w:t>
            </w:r>
            <w:r w:rsidRPr="008A2411">
              <w:rPr>
                <w:rFonts w:ascii="Times New Roman"/>
                <w:bCs/>
                <w:color w:val="000000" w:themeColor="text1"/>
                <w:szCs w:val="21"/>
              </w:rPr>
              <w:t>、</w:t>
            </w:r>
            <w:r w:rsidRPr="008A2411">
              <w:rPr>
                <w:rFonts w:ascii="Times New Roman"/>
                <w:bCs/>
                <w:color w:val="000000" w:themeColor="text1"/>
                <w:szCs w:val="21"/>
              </w:rPr>
              <w:t>K</w:t>
            </w:r>
            <w:r w:rsidRPr="008A2411">
              <w:rPr>
                <w:rFonts w:ascii="Times New Roman"/>
                <w:bCs/>
                <w:color w:val="000000" w:themeColor="text1"/>
                <w:szCs w:val="21"/>
                <w:vertAlign w:val="superscript"/>
              </w:rPr>
              <w:t>+</w:t>
            </w:r>
            <w:r w:rsidRPr="008A2411">
              <w:rPr>
                <w:rFonts w:ascii="Times New Roman"/>
                <w:bCs/>
                <w:color w:val="000000" w:themeColor="text1"/>
                <w:szCs w:val="21"/>
              </w:rPr>
              <w:t>、</w:t>
            </w:r>
            <w:r w:rsidRPr="008A2411">
              <w:rPr>
                <w:rFonts w:ascii="Times New Roman"/>
                <w:bCs/>
                <w:color w:val="000000" w:themeColor="text1"/>
                <w:szCs w:val="21"/>
              </w:rPr>
              <w:t>Ca</w:t>
            </w:r>
            <w:r w:rsidRPr="008A2411">
              <w:rPr>
                <w:rFonts w:ascii="Times New Roman"/>
                <w:bCs/>
                <w:color w:val="000000" w:themeColor="text1"/>
                <w:szCs w:val="21"/>
                <w:vertAlign w:val="superscript"/>
              </w:rPr>
              <w:t>2+</w:t>
            </w:r>
            <w:r w:rsidRPr="008A2411">
              <w:rPr>
                <w:rFonts w:ascii="Times New Roman"/>
                <w:color w:val="000000" w:themeColor="text1"/>
                <w:szCs w:val="21"/>
              </w:rPr>
              <w:t xml:space="preserve"> </w:t>
            </w:r>
            <w:r w:rsidRPr="008A2411">
              <w:rPr>
                <w:rFonts w:ascii="Times New Roman"/>
                <w:bCs/>
                <w:color w:val="000000" w:themeColor="text1"/>
                <w:szCs w:val="21"/>
              </w:rPr>
              <w:t>Mg</w:t>
            </w:r>
            <w:r w:rsidRPr="008A2411">
              <w:rPr>
                <w:rFonts w:ascii="Times New Roman"/>
                <w:bCs/>
                <w:color w:val="000000" w:themeColor="text1"/>
                <w:szCs w:val="21"/>
                <w:vertAlign w:val="superscript"/>
              </w:rPr>
              <w:t>2+</w:t>
            </w:r>
          </w:p>
        </w:tc>
        <w:tc>
          <w:tcPr>
            <w:tcW w:w="241" w:type="pct"/>
            <w:shd w:val="clear" w:color="auto" w:fill="auto"/>
            <w:vAlign w:val="center"/>
          </w:tcPr>
          <w:p w14:paraId="3EC77879" w14:textId="77777777" w:rsidR="00B0005F" w:rsidRPr="008A2411" w:rsidRDefault="00000000">
            <w:pPr>
              <w:pStyle w:val="affffffffffff2"/>
              <w:snapToGrid w:val="0"/>
              <w:rPr>
                <w:rFonts w:ascii="Times New Roman"/>
                <w:bCs/>
                <w:color w:val="000000" w:themeColor="text1"/>
                <w:szCs w:val="21"/>
              </w:rPr>
            </w:pPr>
            <w:r w:rsidRPr="008A2411">
              <w:rPr>
                <w:rFonts w:ascii="Times New Roman"/>
                <w:bCs/>
                <w:color w:val="000000" w:themeColor="text1"/>
                <w:szCs w:val="21"/>
              </w:rPr>
              <w:t>半年</w:t>
            </w:r>
            <w:r w:rsidRPr="008A2411">
              <w:rPr>
                <w:rFonts w:ascii="Times New Roman"/>
                <w:bCs/>
                <w:color w:val="000000" w:themeColor="text1"/>
                <w:szCs w:val="21"/>
              </w:rPr>
              <w:t>1</w:t>
            </w:r>
            <w:r w:rsidRPr="008A2411">
              <w:rPr>
                <w:rFonts w:ascii="Times New Roman"/>
                <w:bCs/>
                <w:color w:val="000000" w:themeColor="text1"/>
                <w:szCs w:val="21"/>
              </w:rPr>
              <w:t>次</w:t>
            </w:r>
          </w:p>
        </w:tc>
        <w:tc>
          <w:tcPr>
            <w:tcW w:w="591" w:type="pct"/>
            <w:vMerge w:val="restart"/>
            <w:shd w:val="clear" w:color="auto" w:fill="auto"/>
            <w:vAlign w:val="center"/>
          </w:tcPr>
          <w:p w14:paraId="05659D8A"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t>耗氧量、石油类、</w:t>
            </w:r>
            <w:r w:rsidRPr="008A2411">
              <w:rPr>
                <w:rFonts w:ascii="Times New Roman"/>
                <w:color w:val="000000" w:themeColor="text1"/>
                <w:szCs w:val="21"/>
              </w:rPr>
              <w:t>MDEA</w:t>
            </w:r>
            <w:r w:rsidRPr="008A2411">
              <w:rPr>
                <w:rFonts w:ascii="Times New Roman"/>
                <w:color w:val="000000" w:themeColor="text1"/>
                <w:szCs w:val="21"/>
              </w:rPr>
              <w:t>、</w:t>
            </w:r>
            <w:r w:rsidRPr="008A2411">
              <w:rPr>
                <w:rFonts w:ascii="Times New Roman"/>
                <w:color w:val="000000" w:themeColor="text1"/>
                <w:szCs w:val="21"/>
              </w:rPr>
              <w:t>pH</w:t>
            </w:r>
          </w:p>
        </w:tc>
        <w:tc>
          <w:tcPr>
            <w:tcW w:w="597" w:type="pct"/>
            <w:vMerge w:val="restart"/>
            <w:shd w:val="clear" w:color="auto" w:fill="auto"/>
            <w:vAlign w:val="center"/>
          </w:tcPr>
          <w:p w14:paraId="265979F9" w14:textId="77777777" w:rsidR="00B0005F" w:rsidRPr="008A2411" w:rsidRDefault="00000000">
            <w:pPr>
              <w:pStyle w:val="affff2"/>
              <w:adjustRightInd w:val="0"/>
              <w:snapToGrid w:val="0"/>
              <w:spacing w:before="0" w:beforeAutospacing="0" w:after="0" w:afterAutospacing="0"/>
              <w:rPr>
                <w:rFonts w:ascii="Times New Roman" w:hAnsi="Times New Roman" w:cs="Times New Roman"/>
                <w:color w:val="000000" w:themeColor="text1"/>
                <w:sz w:val="21"/>
                <w:szCs w:val="21"/>
              </w:rPr>
            </w:pPr>
            <w:r w:rsidRPr="008A2411">
              <w:rPr>
                <w:rFonts w:ascii="Times New Roman" w:hAnsi="Times New Roman" w:cs="Times New Roman"/>
                <w:color w:val="000000" w:themeColor="text1"/>
                <w:sz w:val="21"/>
                <w:szCs w:val="21"/>
              </w:rPr>
              <w:t>一类单元（</w:t>
            </w:r>
            <w:r w:rsidRPr="008A2411">
              <w:rPr>
                <w:rFonts w:ascii="Times New Roman" w:hAnsi="Times New Roman" w:cs="Times New Roman" w:hint="eastAsia"/>
                <w:color w:val="000000" w:themeColor="text1"/>
                <w:sz w:val="21"/>
                <w:szCs w:val="21"/>
              </w:rPr>
              <w:t>装置区、</w:t>
            </w:r>
            <w:r w:rsidRPr="008A2411">
              <w:rPr>
                <w:rFonts w:ascii="Times New Roman" w:hAnsi="Times New Roman" w:cs="Times New Roman"/>
                <w:color w:val="000000" w:themeColor="text1"/>
                <w:sz w:val="21"/>
                <w:szCs w:val="21"/>
              </w:rPr>
              <w:t>污水处理区南侧）监测频率为每季度</w:t>
            </w:r>
            <w:r w:rsidRPr="008A2411">
              <w:rPr>
                <w:rFonts w:ascii="Times New Roman" w:hAnsi="Times New Roman" w:cs="Times New Roman"/>
                <w:color w:val="000000" w:themeColor="text1"/>
                <w:sz w:val="21"/>
                <w:szCs w:val="21"/>
              </w:rPr>
              <w:t>1</w:t>
            </w:r>
            <w:r w:rsidRPr="008A2411">
              <w:rPr>
                <w:rFonts w:ascii="Times New Roman" w:hAnsi="Times New Roman" w:cs="Times New Roman"/>
                <w:color w:val="000000" w:themeColor="text1"/>
                <w:sz w:val="21"/>
                <w:szCs w:val="21"/>
              </w:rPr>
              <w:t>次；</w:t>
            </w:r>
          </w:p>
          <w:p w14:paraId="51A8F9D5" w14:textId="77777777" w:rsidR="00B0005F" w:rsidRPr="008A2411" w:rsidRDefault="00000000">
            <w:pPr>
              <w:pStyle w:val="affff2"/>
              <w:adjustRightInd w:val="0"/>
              <w:snapToGrid w:val="0"/>
              <w:spacing w:before="0" w:beforeAutospacing="0" w:after="0" w:afterAutospacing="0"/>
              <w:rPr>
                <w:rFonts w:ascii="Times New Roman" w:hAnsi="Times New Roman" w:cs="Times New Roman"/>
                <w:color w:val="000000" w:themeColor="text1"/>
                <w:sz w:val="21"/>
                <w:szCs w:val="21"/>
              </w:rPr>
            </w:pPr>
            <w:r w:rsidRPr="008A2411">
              <w:rPr>
                <w:rFonts w:ascii="Times New Roman" w:hAnsi="Times New Roman" w:cs="Times New Roman"/>
                <w:color w:val="000000" w:themeColor="text1"/>
                <w:sz w:val="21"/>
                <w:szCs w:val="21"/>
              </w:rPr>
              <w:t>二类单元（</w:t>
            </w:r>
            <w:r w:rsidRPr="008A2411">
              <w:rPr>
                <w:rFonts w:ascii="Times New Roman" w:hAnsi="Times New Roman" w:cs="Times New Roman" w:hint="eastAsia"/>
                <w:color w:val="000000" w:themeColor="text1"/>
                <w:sz w:val="21"/>
                <w:szCs w:val="21"/>
              </w:rPr>
              <w:t>厂区北侧边界</w:t>
            </w:r>
            <w:r w:rsidRPr="008A2411">
              <w:rPr>
                <w:rFonts w:ascii="Times New Roman" w:hAnsi="Times New Roman" w:cs="Times New Roman"/>
                <w:color w:val="000000" w:themeColor="text1"/>
                <w:sz w:val="21"/>
                <w:szCs w:val="21"/>
              </w:rPr>
              <w:t>）监测频率为</w:t>
            </w:r>
            <w:r w:rsidRPr="008A2411">
              <w:rPr>
                <w:rFonts w:ascii="Times New Roman" w:hAnsi="Times New Roman" w:cs="Times New Roman"/>
                <w:color w:val="000000" w:themeColor="text1"/>
                <w:sz w:val="21"/>
                <w:szCs w:val="21"/>
              </w:rPr>
              <w:t>1</w:t>
            </w:r>
            <w:r w:rsidRPr="008A2411">
              <w:rPr>
                <w:rFonts w:ascii="Times New Roman" w:hAnsi="Times New Roman" w:cs="Times New Roman"/>
                <w:color w:val="000000" w:themeColor="text1"/>
                <w:sz w:val="21"/>
                <w:szCs w:val="21"/>
              </w:rPr>
              <w:t>次</w:t>
            </w:r>
            <w:r w:rsidRPr="008A2411">
              <w:rPr>
                <w:rFonts w:ascii="Times New Roman" w:hAnsi="Times New Roman" w:cs="Times New Roman"/>
                <w:color w:val="000000" w:themeColor="text1"/>
                <w:sz w:val="21"/>
                <w:szCs w:val="21"/>
              </w:rPr>
              <w:t>/</w:t>
            </w:r>
            <w:r w:rsidRPr="008A2411">
              <w:rPr>
                <w:rFonts w:ascii="Times New Roman" w:hAnsi="Times New Roman" w:cs="Times New Roman"/>
                <w:color w:val="000000" w:themeColor="text1"/>
                <w:sz w:val="21"/>
                <w:szCs w:val="21"/>
              </w:rPr>
              <w:t>半年</w:t>
            </w:r>
          </w:p>
        </w:tc>
      </w:tr>
      <w:tr w:rsidR="008A2411" w:rsidRPr="008A2411" w14:paraId="45E2D7D8" w14:textId="77777777">
        <w:trPr>
          <w:trHeight w:val="1086"/>
          <w:jc w:val="center"/>
        </w:trPr>
        <w:tc>
          <w:tcPr>
            <w:tcW w:w="241" w:type="pct"/>
            <w:vMerge/>
            <w:shd w:val="clear" w:color="auto" w:fill="auto"/>
            <w:vAlign w:val="center"/>
          </w:tcPr>
          <w:p w14:paraId="43E66A37" w14:textId="77777777" w:rsidR="00B0005F" w:rsidRPr="008A2411" w:rsidRDefault="00B0005F">
            <w:pPr>
              <w:pStyle w:val="affffffffffff2"/>
              <w:snapToGrid w:val="0"/>
              <w:rPr>
                <w:rFonts w:ascii="Times New Roman"/>
                <w:color w:val="000000" w:themeColor="text1"/>
                <w:szCs w:val="21"/>
              </w:rPr>
            </w:pPr>
          </w:p>
        </w:tc>
        <w:tc>
          <w:tcPr>
            <w:tcW w:w="241" w:type="pct"/>
            <w:shd w:val="clear" w:color="auto" w:fill="auto"/>
            <w:vAlign w:val="center"/>
          </w:tcPr>
          <w:p w14:paraId="798592B3"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t>J2</w:t>
            </w:r>
          </w:p>
        </w:tc>
        <w:tc>
          <w:tcPr>
            <w:tcW w:w="351" w:type="pct"/>
            <w:shd w:val="clear" w:color="auto" w:fill="auto"/>
            <w:vAlign w:val="center"/>
          </w:tcPr>
          <w:p w14:paraId="1459CB40"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t>污染监测井</w:t>
            </w:r>
          </w:p>
        </w:tc>
        <w:tc>
          <w:tcPr>
            <w:tcW w:w="384" w:type="pct"/>
            <w:shd w:val="clear" w:color="auto" w:fill="auto"/>
            <w:vAlign w:val="center"/>
          </w:tcPr>
          <w:p w14:paraId="53D71138"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t>新建</w:t>
            </w:r>
          </w:p>
        </w:tc>
        <w:tc>
          <w:tcPr>
            <w:tcW w:w="384" w:type="pct"/>
            <w:shd w:val="clear" w:color="auto" w:fill="auto"/>
            <w:vAlign w:val="center"/>
          </w:tcPr>
          <w:p w14:paraId="7CBC694E"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t>污水处理站南侧</w:t>
            </w:r>
          </w:p>
        </w:tc>
        <w:tc>
          <w:tcPr>
            <w:tcW w:w="806" w:type="pct"/>
            <w:shd w:val="clear" w:color="auto" w:fill="auto"/>
            <w:vAlign w:val="center"/>
          </w:tcPr>
          <w:p w14:paraId="6320DEFA"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t>N 31.51744568</w:t>
            </w:r>
          </w:p>
          <w:p w14:paraId="7F171095"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t>E 107.69168297</w:t>
            </w:r>
          </w:p>
        </w:tc>
        <w:tc>
          <w:tcPr>
            <w:tcW w:w="604" w:type="pct"/>
            <w:vMerge/>
            <w:vAlign w:val="center"/>
          </w:tcPr>
          <w:p w14:paraId="32E41652" w14:textId="77777777" w:rsidR="00B0005F" w:rsidRPr="008A2411" w:rsidRDefault="00B0005F">
            <w:pPr>
              <w:pStyle w:val="affffffffffff2"/>
              <w:snapToGrid w:val="0"/>
              <w:rPr>
                <w:rFonts w:ascii="Times New Roman"/>
                <w:color w:val="000000" w:themeColor="text1"/>
                <w:szCs w:val="21"/>
              </w:rPr>
            </w:pPr>
          </w:p>
        </w:tc>
        <w:tc>
          <w:tcPr>
            <w:tcW w:w="556" w:type="pct"/>
            <w:vMerge/>
            <w:vAlign w:val="center"/>
          </w:tcPr>
          <w:p w14:paraId="73391ABB" w14:textId="77777777" w:rsidR="00B0005F" w:rsidRPr="008A2411" w:rsidRDefault="00B0005F">
            <w:pPr>
              <w:pStyle w:val="affffffffffff2"/>
              <w:snapToGrid w:val="0"/>
              <w:rPr>
                <w:rFonts w:ascii="Times New Roman"/>
                <w:color w:val="000000" w:themeColor="text1"/>
                <w:szCs w:val="21"/>
              </w:rPr>
            </w:pPr>
          </w:p>
        </w:tc>
        <w:tc>
          <w:tcPr>
            <w:tcW w:w="241" w:type="pct"/>
            <w:vMerge w:val="restart"/>
            <w:vAlign w:val="center"/>
          </w:tcPr>
          <w:p w14:paraId="70C37B0E" w14:textId="77777777" w:rsidR="00B0005F" w:rsidRPr="008A2411" w:rsidRDefault="00000000">
            <w:pPr>
              <w:pStyle w:val="affffffffffff2"/>
              <w:snapToGrid w:val="0"/>
              <w:rPr>
                <w:rFonts w:ascii="Times New Roman"/>
                <w:color w:val="000000" w:themeColor="text1"/>
                <w:szCs w:val="21"/>
              </w:rPr>
            </w:pPr>
            <w:r w:rsidRPr="008A2411">
              <w:rPr>
                <w:rFonts w:ascii="Times New Roman"/>
                <w:bCs/>
                <w:color w:val="000000" w:themeColor="text1"/>
                <w:szCs w:val="21"/>
              </w:rPr>
              <w:t>每季度</w:t>
            </w:r>
            <w:r w:rsidRPr="008A2411">
              <w:rPr>
                <w:rFonts w:ascii="Times New Roman"/>
                <w:bCs/>
                <w:color w:val="000000" w:themeColor="text1"/>
                <w:szCs w:val="21"/>
              </w:rPr>
              <w:t>1</w:t>
            </w:r>
            <w:r w:rsidRPr="008A2411">
              <w:rPr>
                <w:rFonts w:ascii="Times New Roman"/>
                <w:bCs/>
                <w:color w:val="000000" w:themeColor="text1"/>
                <w:szCs w:val="21"/>
              </w:rPr>
              <w:t>次</w:t>
            </w:r>
          </w:p>
        </w:tc>
        <w:tc>
          <w:tcPr>
            <w:tcW w:w="591" w:type="pct"/>
            <w:vMerge/>
            <w:vAlign w:val="center"/>
          </w:tcPr>
          <w:p w14:paraId="1654C37F" w14:textId="77777777" w:rsidR="00B0005F" w:rsidRPr="008A2411" w:rsidRDefault="00B0005F">
            <w:pPr>
              <w:pStyle w:val="affffffffffff2"/>
              <w:snapToGrid w:val="0"/>
              <w:rPr>
                <w:rFonts w:ascii="Times New Roman"/>
                <w:color w:val="000000" w:themeColor="text1"/>
                <w:szCs w:val="21"/>
              </w:rPr>
            </w:pPr>
          </w:p>
        </w:tc>
        <w:tc>
          <w:tcPr>
            <w:tcW w:w="597" w:type="pct"/>
            <w:vMerge/>
            <w:vAlign w:val="center"/>
          </w:tcPr>
          <w:p w14:paraId="4CDC98E8" w14:textId="77777777" w:rsidR="00B0005F" w:rsidRPr="008A2411" w:rsidRDefault="00B0005F">
            <w:pPr>
              <w:pStyle w:val="affffffffffff2"/>
              <w:snapToGrid w:val="0"/>
              <w:rPr>
                <w:rFonts w:ascii="Times New Roman"/>
                <w:color w:val="000000" w:themeColor="text1"/>
                <w:szCs w:val="21"/>
              </w:rPr>
            </w:pPr>
          </w:p>
        </w:tc>
      </w:tr>
      <w:tr w:rsidR="008A2411" w:rsidRPr="008A2411" w14:paraId="23334520" w14:textId="77777777">
        <w:trPr>
          <w:trHeight w:val="117"/>
          <w:jc w:val="center"/>
        </w:trPr>
        <w:tc>
          <w:tcPr>
            <w:tcW w:w="241" w:type="pct"/>
            <w:vMerge/>
            <w:shd w:val="clear" w:color="auto" w:fill="auto"/>
            <w:vAlign w:val="center"/>
          </w:tcPr>
          <w:p w14:paraId="2A7F51F6" w14:textId="77777777" w:rsidR="00B0005F" w:rsidRPr="008A2411" w:rsidRDefault="00B0005F">
            <w:pPr>
              <w:pStyle w:val="affffffffffff2"/>
              <w:snapToGrid w:val="0"/>
              <w:rPr>
                <w:rFonts w:ascii="Times New Roman"/>
                <w:color w:val="000000" w:themeColor="text1"/>
                <w:szCs w:val="21"/>
              </w:rPr>
            </w:pPr>
          </w:p>
        </w:tc>
        <w:tc>
          <w:tcPr>
            <w:tcW w:w="241" w:type="pct"/>
            <w:shd w:val="clear" w:color="auto" w:fill="auto"/>
            <w:vAlign w:val="center"/>
          </w:tcPr>
          <w:p w14:paraId="717811B2"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t>J3</w:t>
            </w:r>
          </w:p>
        </w:tc>
        <w:tc>
          <w:tcPr>
            <w:tcW w:w="351" w:type="pct"/>
            <w:shd w:val="clear" w:color="auto" w:fill="auto"/>
            <w:vAlign w:val="center"/>
          </w:tcPr>
          <w:p w14:paraId="264BD6DF"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t>迁移扩散监测井</w:t>
            </w:r>
          </w:p>
        </w:tc>
        <w:tc>
          <w:tcPr>
            <w:tcW w:w="384" w:type="pct"/>
            <w:shd w:val="clear" w:color="auto" w:fill="auto"/>
            <w:vAlign w:val="center"/>
          </w:tcPr>
          <w:p w14:paraId="467EF091"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t>新建</w:t>
            </w:r>
          </w:p>
        </w:tc>
        <w:tc>
          <w:tcPr>
            <w:tcW w:w="384" w:type="pct"/>
            <w:shd w:val="clear" w:color="auto" w:fill="auto"/>
            <w:vAlign w:val="center"/>
          </w:tcPr>
          <w:p w14:paraId="0EDFD66D"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t>厂区南侧边界处</w:t>
            </w:r>
          </w:p>
        </w:tc>
        <w:tc>
          <w:tcPr>
            <w:tcW w:w="806" w:type="pct"/>
            <w:shd w:val="clear" w:color="auto" w:fill="auto"/>
            <w:vAlign w:val="center"/>
          </w:tcPr>
          <w:p w14:paraId="3C31CEB7"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t>N 31.51678049</w:t>
            </w:r>
          </w:p>
          <w:p w14:paraId="5DD42862"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t>E 107.69132892</w:t>
            </w:r>
          </w:p>
        </w:tc>
        <w:tc>
          <w:tcPr>
            <w:tcW w:w="604" w:type="pct"/>
            <w:vMerge/>
            <w:vAlign w:val="center"/>
          </w:tcPr>
          <w:p w14:paraId="2F1E12A4" w14:textId="77777777" w:rsidR="00B0005F" w:rsidRPr="008A2411" w:rsidRDefault="00B0005F">
            <w:pPr>
              <w:pStyle w:val="affffffffffff2"/>
              <w:snapToGrid w:val="0"/>
              <w:rPr>
                <w:rFonts w:ascii="Times New Roman"/>
                <w:color w:val="000000" w:themeColor="text1"/>
                <w:szCs w:val="21"/>
              </w:rPr>
            </w:pPr>
          </w:p>
        </w:tc>
        <w:tc>
          <w:tcPr>
            <w:tcW w:w="556" w:type="pct"/>
            <w:vMerge/>
            <w:vAlign w:val="center"/>
          </w:tcPr>
          <w:p w14:paraId="2FBDEBA8" w14:textId="77777777" w:rsidR="00B0005F" w:rsidRPr="008A2411" w:rsidRDefault="00B0005F">
            <w:pPr>
              <w:pStyle w:val="affffffffffff2"/>
              <w:snapToGrid w:val="0"/>
              <w:rPr>
                <w:rFonts w:ascii="Times New Roman"/>
                <w:color w:val="000000" w:themeColor="text1"/>
                <w:szCs w:val="21"/>
              </w:rPr>
            </w:pPr>
          </w:p>
        </w:tc>
        <w:tc>
          <w:tcPr>
            <w:tcW w:w="241" w:type="pct"/>
            <w:vMerge/>
            <w:vAlign w:val="center"/>
          </w:tcPr>
          <w:p w14:paraId="240649D9" w14:textId="77777777" w:rsidR="00B0005F" w:rsidRPr="008A2411" w:rsidRDefault="00B0005F">
            <w:pPr>
              <w:pStyle w:val="affffffffffff2"/>
              <w:snapToGrid w:val="0"/>
              <w:rPr>
                <w:rFonts w:ascii="Times New Roman"/>
                <w:color w:val="000000" w:themeColor="text1"/>
                <w:szCs w:val="21"/>
              </w:rPr>
            </w:pPr>
          </w:p>
        </w:tc>
        <w:tc>
          <w:tcPr>
            <w:tcW w:w="591" w:type="pct"/>
            <w:vMerge/>
            <w:vAlign w:val="center"/>
          </w:tcPr>
          <w:p w14:paraId="204BDE0E" w14:textId="77777777" w:rsidR="00B0005F" w:rsidRPr="008A2411" w:rsidRDefault="00B0005F">
            <w:pPr>
              <w:pStyle w:val="affffffffffff2"/>
              <w:snapToGrid w:val="0"/>
              <w:rPr>
                <w:rFonts w:ascii="Times New Roman"/>
                <w:color w:val="000000" w:themeColor="text1"/>
                <w:szCs w:val="21"/>
              </w:rPr>
            </w:pPr>
          </w:p>
        </w:tc>
        <w:tc>
          <w:tcPr>
            <w:tcW w:w="597" w:type="pct"/>
            <w:vMerge/>
            <w:vAlign w:val="center"/>
          </w:tcPr>
          <w:p w14:paraId="199278DC" w14:textId="77777777" w:rsidR="00B0005F" w:rsidRPr="008A2411" w:rsidRDefault="00B0005F">
            <w:pPr>
              <w:pStyle w:val="affffffffffff2"/>
              <w:snapToGrid w:val="0"/>
              <w:rPr>
                <w:rFonts w:ascii="Times New Roman"/>
                <w:color w:val="000000" w:themeColor="text1"/>
                <w:szCs w:val="21"/>
              </w:rPr>
            </w:pPr>
          </w:p>
        </w:tc>
      </w:tr>
      <w:tr w:rsidR="00B0005F" w:rsidRPr="008A2411" w14:paraId="6F0AE4A5" w14:textId="77777777">
        <w:trPr>
          <w:trHeight w:val="117"/>
          <w:jc w:val="center"/>
        </w:trPr>
        <w:tc>
          <w:tcPr>
            <w:tcW w:w="241" w:type="pct"/>
            <w:vMerge/>
            <w:shd w:val="clear" w:color="auto" w:fill="auto"/>
            <w:vAlign w:val="center"/>
          </w:tcPr>
          <w:p w14:paraId="00EF8EC2" w14:textId="77777777" w:rsidR="00B0005F" w:rsidRPr="008A2411" w:rsidRDefault="00B0005F">
            <w:pPr>
              <w:pStyle w:val="affffffffffff2"/>
              <w:snapToGrid w:val="0"/>
              <w:rPr>
                <w:rFonts w:ascii="Times New Roman"/>
                <w:color w:val="000000" w:themeColor="text1"/>
                <w:szCs w:val="21"/>
              </w:rPr>
            </w:pPr>
          </w:p>
        </w:tc>
        <w:tc>
          <w:tcPr>
            <w:tcW w:w="241" w:type="pct"/>
            <w:shd w:val="clear" w:color="auto" w:fill="auto"/>
            <w:vAlign w:val="center"/>
          </w:tcPr>
          <w:p w14:paraId="01444973"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t>J4</w:t>
            </w:r>
          </w:p>
        </w:tc>
        <w:tc>
          <w:tcPr>
            <w:tcW w:w="351" w:type="pct"/>
            <w:shd w:val="clear" w:color="auto" w:fill="auto"/>
            <w:vAlign w:val="center"/>
          </w:tcPr>
          <w:p w14:paraId="33C27142"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t>污染监测井</w:t>
            </w:r>
          </w:p>
        </w:tc>
        <w:tc>
          <w:tcPr>
            <w:tcW w:w="384" w:type="pct"/>
            <w:shd w:val="clear" w:color="auto" w:fill="auto"/>
            <w:vAlign w:val="center"/>
          </w:tcPr>
          <w:p w14:paraId="457FC3F5"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t>新建</w:t>
            </w:r>
          </w:p>
        </w:tc>
        <w:tc>
          <w:tcPr>
            <w:tcW w:w="384" w:type="pct"/>
            <w:shd w:val="clear" w:color="auto" w:fill="auto"/>
            <w:vAlign w:val="center"/>
          </w:tcPr>
          <w:p w14:paraId="518D6A6D"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t>工艺装置区东侧</w:t>
            </w:r>
          </w:p>
        </w:tc>
        <w:tc>
          <w:tcPr>
            <w:tcW w:w="806" w:type="pct"/>
            <w:shd w:val="clear" w:color="auto" w:fill="auto"/>
            <w:vAlign w:val="center"/>
          </w:tcPr>
          <w:p w14:paraId="3938C6A4"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t>N 31.515435</w:t>
            </w:r>
          </w:p>
          <w:p w14:paraId="522962C2" w14:textId="77777777" w:rsidR="00B0005F" w:rsidRPr="008A2411" w:rsidRDefault="00000000">
            <w:pPr>
              <w:pStyle w:val="affffffffffff2"/>
              <w:snapToGrid w:val="0"/>
              <w:rPr>
                <w:rFonts w:ascii="Times New Roman"/>
                <w:color w:val="000000" w:themeColor="text1"/>
                <w:szCs w:val="21"/>
              </w:rPr>
            </w:pPr>
            <w:r w:rsidRPr="008A2411">
              <w:rPr>
                <w:rFonts w:ascii="Times New Roman"/>
                <w:color w:val="000000" w:themeColor="text1"/>
                <w:szCs w:val="21"/>
              </w:rPr>
              <w:t>E107.696519</w:t>
            </w:r>
          </w:p>
          <w:p w14:paraId="18BE9CDF" w14:textId="77777777" w:rsidR="00B0005F" w:rsidRPr="008A2411" w:rsidRDefault="00B0005F">
            <w:pPr>
              <w:pStyle w:val="a9"/>
              <w:adjustRightInd w:val="0"/>
              <w:snapToGrid w:val="0"/>
              <w:spacing w:after="0"/>
              <w:rPr>
                <w:rFonts w:ascii="Times New Roman"/>
                <w:color w:val="000000" w:themeColor="text1"/>
                <w:szCs w:val="21"/>
              </w:rPr>
            </w:pPr>
          </w:p>
        </w:tc>
        <w:tc>
          <w:tcPr>
            <w:tcW w:w="604" w:type="pct"/>
            <w:vMerge/>
            <w:vAlign w:val="center"/>
          </w:tcPr>
          <w:p w14:paraId="6394DC2B" w14:textId="77777777" w:rsidR="00B0005F" w:rsidRPr="008A2411" w:rsidRDefault="00B0005F">
            <w:pPr>
              <w:pStyle w:val="affffffffffff2"/>
              <w:snapToGrid w:val="0"/>
              <w:rPr>
                <w:rFonts w:ascii="Times New Roman"/>
                <w:color w:val="000000" w:themeColor="text1"/>
                <w:szCs w:val="21"/>
              </w:rPr>
            </w:pPr>
          </w:p>
        </w:tc>
        <w:tc>
          <w:tcPr>
            <w:tcW w:w="556" w:type="pct"/>
            <w:vMerge/>
            <w:vAlign w:val="center"/>
          </w:tcPr>
          <w:p w14:paraId="60CF508F" w14:textId="77777777" w:rsidR="00B0005F" w:rsidRPr="008A2411" w:rsidRDefault="00B0005F">
            <w:pPr>
              <w:pStyle w:val="affffffffffff2"/>
              <w:snapToGrid w:val="0"/>
              <w:rPr>
                <w:rFonts w:ascii="Times New Roman"/>
                <w:color w:val="000000" w:themeColor="text1"/>
                <w:szCs w:val="21"/>
              </w:rPr>
            </w:pPr>
          </w:p>
        </w:tc>
        <w:tc>
          <w:tcPr>
            <w:tcW w:w="241" w:type="pct"/>
            <w:vMerge/>
            <w:vAlign w:val="center"/>
          </w:tcPr>
          <w:p w14:paraId="0C527038" w14:textId="77777777" w:rsidR="00B0005F" w:rsidRPr="008A2411" w:rsidRDefault="00B0005F">
            <w:pPr>
              <w:pStyle w:val="affffffffffff2"/>
              <w:snapToGrid w:val="0"/>
              <w:rPr>
                <w:rFonts w:ascii="Times New Roman"/>
                <w:color w:val="000000" w:themeColor="text1"/>
                <w:szCs w:val="21"/>
              </w:rPr>
            </w:pPr>
          </w:p>
        </w:tc>
        <w:tc>
          <w:tcPr>
            <w:tcW w:w="591" w:type="pct"/>
            <w:vMerge/>
            <w:vAlign w:val="center"/>
          </w:tcPr>
          <w:p w14:paraId="51A7C7E5" w14:textId="77777777" w:rsidR="00B0005F" w:rsidRPr="008A2411" w:rsidRDefault="00B0005F">
            <w:pPr>
              <w:pStyle w:val="affffffffffff2"/>
              <w:snapToGrid w:val="0"/>
              <w:rPr>
                <w:rFonts w:ascii="Times New Roman"/>
                <w:color w:val="000000" w:themeColor="text1"/>
                <w:szCs w:val="21"/>
              </w:rPr>
            </w:pPr>
          </w:p>
        </w:tc>
        <w:tc>
          <w:tcPr>
            <w:tcW w:w="597" w:type="pct"/>
            <w:vMerge/>
            <w:vAlign w:val="center"/>
          </w:tcPr>
          <w:p w14:paraId="2CAC74D5" w14:textId="77777777" w:rsidR="00B0005F" w:rsidRPr="008A2411" w:rsidRDefault="00B0005F">
            <w:pPr>
              <w:pStyle w:val="affffffffffff2"/>
              <w:snapToGrid w:val="0"/>
              <w:rPr>
                <w:rFonts w:ascii="Times New Roman"/>
                <w:color w:val="000000" w:themeColor="text1"/>
                <w:szCs w:val="21"/>
              </w:rPr>
            </w:pPr>
          </w:p>
        </w:tc>
      </w:tr>
    </w:tbl>
    <w:p w14:paraId="0FF282E8" w14:textId="77777777" w:rsidR="00B0005F" w:rsidRPr="008A2411" w:rsidRDefault="00B0005F">
      <w:pPr>
        <w:pStyle w:val="TOC2"/>
        <w:rPr>
          <w:rFonts w:ascii="Times New Roman" w:hAnsi="Times New Roman" w:cs="Times New Roman"/>
          <w:color w:val="000000" w:themeColor="text1"/>
        </w:rPr>
      </w:pPr>
    </w:p>
    <w:p w14:paraId="6594C696" w14:textId="77777777" w:rsidR="00B0005F" w:rsidRPr="008A2411" w:rsidRDefault="00000000">
      <w:pPr>
        <w:adjustRightInd w:val="0"/>
        <w:spacing w:line="360" w:lineRule="auto"/>
        <w:ind w:firstLine="482"/>
        <w:rPr>
          <w:rFonts w:ascii="Times New Roman"/>
          <w:color w:val="000000" w:themeColor="text1"/>
        </w:rPr>
      </w:pPr>
      <w:bookmarkStart w:id="473" w:name="_Toc327221767"/>
      <w:bookmarkEnd w:id="466"/>
      <w:bookmarkEnd w:id="467"/>
      <w:bookmarkEnd w:id="468"/>
      <w:bookmarkEnd w:id="469"/>
      <w:bookmarkEnd w:id="470"/>
      <w:bookmarkEnd w:id="471"/>
      <w:bookmarkEnd w:id="472"/>
      <w:r w:rsidRPr="008A2411">
        <w:rPr>
          <w:rFonts w:ascii="Times New Roman"/>
          <w:color w:val="000000" w:themeColor="text1"/>
        </w:rPr>
        <w:t>（</w:t>
      </w:r>
      <w:r w:rsidRPr="008A2411">
        <w:rPr>
          <w:rFonts w:ascii="Times New Roman"/>
          <w:color w:val="000000" w:themeColor="text1"/>
        </w:rPr>
        <w:t>2</w:t>
      </w:r>
      <w:r w:rsidRPr="008A2411">
        <w:rPr>
          <w:rFonts w:ascii="Times New Roman"/>
          <w:color w:val="000000" w:themeColor="text1"/>
        </w:rPr>
        <w:t>）地下水环境跟踪监测信息公开</w:t>
      </w:r>
    </w:p>
    <w:p w14:paraId="17934D33" w14:textId="77777777" w:rsidR="00B0005F" w:rsidRPr="008A2411" w:rsidRDefault="00000000">
      <w:pPr>
        <w:adjustRightInd w:val="0"/>
        <w:spacing w:line="360" w:lineRule="auto"/>
        <w:ind w:firstLine="482"/>
        <w:rPr>
          <w:rFonts w:ascii="Times New Roman"/>
          <w:color w:val="000000" w:themeColor="text1"/>
        </w:rPr>
      </w:pPr>
      <w:r w:rsidRPr="008A2411">
        <w:rPr>
          <w:rFonts w:ascii="Times New Roman"/>
          <w:color w:val="000000" w:themeColor="text1"/>
        </w:rPr>
        <w:t>①</w:t>
      </w:r>
      <w:r w:rsidRPr="008A2411">
        <w:rPr>
          <w:rFonts w:ascii="Times New Roman"/>
          <w:color w:val="000000" w:themeColor="text1"/>
        </w:rPr>
        <w:t>本项目运行期，环境监测机构应严格按照环境监测质量管理的有关规范对污染源监督性监测数据执行三级审核制度，环境监测机构需对污染源监督性监测数据的真实性、准确性负责。</w:t>
      </w:r>
    </w:p>
    <w:p w14:paraId="090555CD" w14:textId="77777777" w:rsidR="00B0005F" w:rsidRPr="008A2411" w:rsidRDefault="00000000">
      <w:pPr>
        <w:adjustRightInd w:val="0"/>
        <w:spacing w:line="360" w:lineRule="auto"/>
        <w:ind w:firstLine="482"/>
        <w:rPr>
          <w:rFonts w:ascii="Times New Roman"/>
          <w:color w:val="000000" w:themeColor="text1"/>
        </w:rPr>
      </w:pPr>
      <w:r w:rsidRPr="008A2411">
        <w:rPr>
          <w:rFonts w:ascii="Times New Roman"/>
          <w:color w:val="000000" w:themeColor="text1"/>
        </w:rPr>
        <w:t>②</w:t>
      </w:r>
      <w:r w:rsidRPr="008A2411">
        <w:rPr>
          <w:rFonts w:ascii="Times New Roman"/>
          <w:color w:val="000000" w:themeColor="text1"/>
        </w:rPr>
        <w:t>环境监测机构应在完成监测工作</w:t>
      </w:r>
      <w:r w:rsidRPr="008A2411">
        <w:rPr>
          <w:rFonts w:ascii="Times New Roman"/>
          <w:color w:val="000000" w:themeColor="text1"/>
        </w:rPr>
        <w:t>5</w:t>
      </w:r>
      <w:r w:rsidRPr="008A2411">
        <w:rPr>
          <w:rFonts w:ascii="Times New Roman"/>
          <w:color w:val="000000" w:themeColor="text1"/>
        </w:rPr>
        <w:t>个工作日内，将监督性监测报告送至同级环境保护主观部门。</w:t>
      </w:r>
    </w:p>
    <w:p w14:paraId="2CB95CC3" w14:textId="77777777" w:rsidR="00B0005F" w:rsidRPr="008A2411" w:rsidRDefault="00000000">
      <w:pPr>
        <w:adjustRightInd w:val="0"/>
        <w:spacing w:line="360" w:lineRule="auto"/>
        <w:ind w:firstLine="482"/>
        <w:rPr>
          <w:rFonts w:ascii="Times New Roman"/>
          <w:color w:val="000000" w:themeColor="text1"/>
        </w:rPr>
      </w:pPr>
      <w:r w:rsidRPr="008A2411">
        <w:rPr>
          <w:rFonts w:ascii="Times New Roman"/>
          <w:color w:val="000000" w:themeColor="text1"/>
        </w:rPr>
        <w:t>③</w:t>
      </w:r>
      <w:r w:rsidRPr="008A2411">
        <w:rPr>
          <w:rFonts w:ascii="Times New Roman"/>
          <w:color w:val="000000" w:themeColor="text1"/>
        </w:rPr>
        <w:t>环境监测部门机构将监测报告送生态环境主管部门后，主管部门应通过官方网站向社会公布监测结果，信息至少在网站保存</w:t>
      </w:r>
      <w:r w:rsidRPr="008A2411">
        <w:rPr>
          <w:rFonts w:ascii="Times New Roman"/>
          <w:color w:val="000000" w:themeColor="text1"/>
        </w:rPr>
        <w:t>1</w:t>
      </w:r>
      <w:r w:rsidRPr="008A2411">
        <w:rPr>
          <w:rFonts w:ascii="Times New Roman"/>
          <w:color w:val="000000" w:themeColor="text1"/>
        </w:rPr>
        <w:t>年，同时鼓励主管部门通过报纸、广播、电视等便于公众知晓的方式公开污染源监督性监测信息。</w:t>
      </w:r>
    </w:p>
    <w:p w14:paraId="5E285CA9" w14:textId="77777777" w:rsidR="00B0005F" w:rsidRPr="008A2411" w:rsidRDefault="00000000">
      <w:pPr>
        <w:adjustRightInd w:val="0"/>
        <w:spacing w:line="360" w:lineRule="auto"/>
        <w:ind w:firstLine="482"/>
        <w:rPr>
          <w:rFonts w:ascii="Times New Roman"/>
          <w:color w:val="000000" w:themeColor="text1"/>
        </w:rPr>
      </w:pPr>
      <w:r w:rsidRPr="008A2411">
        <w:rPr>
          <w:rFonts w:ascii="Times New Roman"/>
          <w:color w:val="000000" w:themeColor="text1"/>
        </w:rPr>
        <w:t>④</w:t>
      </w:r>
      <w:r w:rsidRPr="008A2411">
        <w:rPr>
          <w:rFonts w:ascii="Times New Roman"/>
          <w:color w:val="000000" w:themeColor="text1"/>
        </w:rPr>
        <w:t>监测信息公开内容包括监测点位名称、监测日期、监测指标名称、监测指标浓度、排放标准限值、依据监测指标进行环境质量评价的评价结论。</w:t>
      </w:r>
    </w:p>
    <w:p w14:paraId="4D77A599" w14:textId="77777777" w:rsidR="00B0005F" w:rsidRPr="008A2411" w:rsidRDefault="00000000">
      <w:pPr>
        <w:adjustRightInd w:val="0"/>
        <w:spacing w:line="360" w:lineRule="auto"/>
        <w:ind w:firstLine="241"/>
        <w:rPr>
          <w:rFonts w:ascii="Times New Roman"/>
          <w:color w:val="000000" w:themeColor="text1"/>
          <w:szCs w:val="24"/>
        </w:rPr>
      </w:pPr>
      <w:r w:rsidRPr="008A2411">
        <w:rPr>
          <w:rFonts w:ascii="Times New Roman"/>
          <w:color w:val="000000" w:themeColor="text1"/>
          <w:szCs w:val="24"/>
        </w:rPr>
        <w:t>（三）地下水环境影响应急响应</w:t>
      </w:r>
    </w:p>
    <w:p w14:paraId="0218AF22" w14:textId="77777777" w:rsidR="00B0005F" w:rsidRPr="008A2411" w:rsidRDefault="00000000">
      <w:pPr>
        <w:adjustRightInd w:val="0"/>
        <w:spacing w:line="360" w:lineRule="auto"/>
        <w:ind w:firstLine="360"/>
        <w:rPr>
          <w:rFonts w:ascii="Times New Roman"/>
          <w:color w:val="000000" w:themeColor="text1"/>
          <w:szCs w:val="24"/>
        </w:rPr>
      </w:pPr>
      <w:r w:rsidRPr="008A2411">
        <w:rPr>
          <w:rFonts w:ascii="Times New Roman"/>
          <w:color w:val="000000" w:themeColor="text1"/>
          <w:szCs w:val="24"/>
        </w:rPr>
        <w:t>（</w:t>
      </w:r>
      <w:r w:rsidRPr="008A2411">
        <w:rPr>
          <w:rFonts w:ascii="Times New Roman"/>
          <w:color w:val="000000" w:themeColor="text1"/>
          <w:szCs w:val="24"/>
        </w:rPr>
        <w:t>1</w:t>
      </w:r>
      <w:r w:rsidRPr="008A2411">
        <w:rPr>
          <w:rFonts w:ascii="Times New Roman"/>
          <w:color w:val="000000" w:themeColor="text1"/>
          <w:szCs w:val="24"/>
        </w:rPr>
        <w:t>）地下水污染风险快速评估及决策</w:t>
      </w:r>
    </w:p>
    <w:p w14:paraId="080368F2"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lastRenderedPageBreak/>
        <w:t>地下水污染风险快速评估方法与决策由连续的</w:t>
      </w:r>
      <w:r w:rsidRPr="008A2411">
        <w:rPr>
          <w:rFonts w:ascii="Times New Roman"/>
          <w:color w:val="000000" w:themeColor="text1"/>
          <w:szCs w:val="24"/>
        </w:rPr>
        <w:t>3</w:t>
      </w:r>
      <w:r w:rsidRPr="008A2411">
        <w:rPr>
          <w:rFonts w:ascii="Times New Roman"/>
          <w:color w:val="000000" w:themeColor="text1"/>
          <w:szCs w:val="24"/>
        </w:rPr>
        <w:t>个阶段组成（图</w:t>
      </w:r>
      <w:r w:rsidRPr="008A2411">
        <w:rPr>
          <w:rFonts w:ascii="Times New Roman"/>
          <w:color w:val="000000" w:themeColor="text1"/>
          <w:szCs w:val="24"/>
        </w:rPr>
        <w:t>10.5-1</w:t>
      </w:r>
      <w:r w:rsidRPr="008A2411">
        <w:rPr>
          <w:rFonts w:ascii="Times New Roman"/>
          <w:color w:val="000000" w:themeColor="text1"/>
          <w:szCs w:val="24"/>
        </w:rPr>
        <w:t>）：</w:t>
      </w:r>
    </w:p>
    <w:p w14:paraId="05DDCB3C"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第</w:t>
      </w:r>
      <w:r w:rsidRPr="008A2411">
        <w:rPr>
          <w:rFonts w:ascii="Times New Roman"/>
          <w:color w:val="000000" w:themeColor="text1"/>
          <w:szCs w:val="24"/>
        </w:rPr>
        <w:t>1</w:t>
      </w:r>
      <w:r w:rsidRPr="008A2411">
        <w:rPr>
          <w:rFonts w:ascii="Times New Roman"/>
          <w:color w:val="000000" w:themeColor="text1"/>
          <w:szCs w:val="24"/>
        </w:rPr>
        <w:t>阶段为事故与场地调查：主要任务为搜集事故与污染物信息及场地水文地质资料等一些基本信息；</w:t>
      </w:r>
    </w:p>
    <w:p w14:paraId="28CA7390"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第</w:t>
      </w:r>
      <w:r w:rsidRPr="008A2411">
        <w:rPr>
          <w:rFonts w:ascii="Times New Roman"/>
          <w:color w:val="000000" w:themeColor="text1"/>
          <w:szCs w:val="24"/>
        </w:rPr>
        <w:t>2</w:t>
      </w:r>
      <w:r w:rsidRPr="008A2411">
        <w:rPr>
          <w:rFonts w:ascii="Times New Roman"/>
          <w:color w:val="000000" w:themeColor="text1"/>
          <w:szCs w:val="24"/>
        </w:rPr>
        <w:t>阶段为计算和评价：采用简单的数学模型判断事故对地下水影响的紧迫程度，以及对下游敏感点的影响，以快速获取所需要的信息；</w:t>
      </w:r>
    </w:p>
    <w:p w14:paraId="79C01D6D"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第</w:t>
      </w:r>
      <w:r w:rsidRPr="008A2411">
        <w:rPr>
          <w:rFonts w:ascii="Times New Roman"/>
          <w:color w:val="000000" w:themeColor="text1"/>
          <w:szCs w:val="24"/>
        </w:rPr>
        <w:t>3</w:t>
      </w:r>
      <w:r w:rsidRPr="008A2411">
        <w:rPr>
          <w:rFonts w:ascii="Times New Roman"/>
          <w:color w:val="000000" w:themeColor="text1"/>
          <w:szCs w:val="24"/>
        </w:rPr>
        <w:t>阶段为分析与决策：综合分析前两阶段的结果制定场地应急控制措施。</w:t>
      </w:r>
    </w:p>
    <w:p w14:paraId="5A35C7CC" w14:textId="77777777" w:rsidR="00B0005F" w:rsidRPr="008A2411" w:rsidRDefault="00000000">
      <w:pPr>
        <w:adjustRightInd w:val="0"/>
        <w:spacing w:line="360" w:lineRule="auto"/>
        <w:ind w:firstLine="360"/>
        <w:rPr>
          <w:rFonts w:ascii="Times New Roman"/>
          <w:color w:val="000000" w:themeColor="text1"/>
          <w:szCs w:val="24"/>
        </w:rPr>
      </w:pPr>
      <w:r w:rsidRPr="008A2411">
        <w:rPr>
          <w:rFonts w:ascii="Times New Roman"/>
          <w:color w:val="000000" w:themeColor="text1"/>
          <w:szCs w:val="24"/>
        </w:rPr>
        <w:t>（</w:t>
      </w:r>
      <w:r w:rsidRPr="008A2411">
        <w:rPr>
          <w:rFonts w:ascii="Times New Roman"/>
          <w:color w:val="000000" w:themeColor="text1"/>
          <w:szCs w:val="24"/>
        </w:rPr>
        <w:t>2</w:t>
      </w:r>
      <w:r w:rsidRPr="008A2411">
        <w:rPr>
          <w:rFonts w:ascii="Times New Roman"/>
          <w:color w:val="000000" w:themeColor="text1"/>
          <w:szCs w:val="24"/>
        </w:rPr>
        <w:t>）风险事故应急措施</w:t>
      </w:r>
    </w:p>
    <w:p w14:paraId="5C3EB7D9"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无论预防工作如何周密，风险事故总是难以根本杜绝，制定风险事故应急预案的目的是要迅速而有效地将事故损失减至最小，本项目应急预案建议如下：</w:t>
      </w:r>
    </w:p>
    <w:p w14:paraId="6D1FD865"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w:t>
      </w:r>
      <w:r w:rsidRPr="008A2411">
        <w:rPr>
          <w:rFonts w:ascii="Times New Roman"/>
          <w:color w:val="000000" w:themeColor="text1"/>
          <w:szCs w:val="24"/>
        </w:rPr>
        <w:t>1</w:t>
      </w:r>
      <w:r w:rsidRPr="008A2411">
        <w:rPr>
          <w:rFonts w:ascii="Times New Roman"/>
          <w:color w:val="000000" w:themeColor="text1"/>
          <w:szCs w:val="24"/>
        </w:rPr>
        <w:t>）事故发生后，迅速成立由当地环保局牵头，公安、交通、消防、安全等部门参与的协调领导小组，启动应急预案，组织有关技术人员赴现场勘查、分析情况、开展监测，制定解决消除污染方案。</w:t>
      </w:r>
    </w:p>
    <w:p w14:paraId="79BD8F5A"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w:t>
      </w:r>
      <w:r w:rsidRPr="008A2411">
        <w:rPr>
          <w:rFonts w:ascii="Times New Roman"/>
          <w:color w:val="000000" w:themeColor="text1"/>
          <w:szCs w:val="24"/>
        </w:rPr>
        <w:t>2</w:t>
      </w:r>
      <w:r w:rsidRPr="008A2411">
        <w:rPr>
          <w:rFonts w:ascii="Times New Roman"/>
          <w:color w:val="000000" w:themeColor="text1"/>
          <w:szCs w:val="24"/>
        </w:rPr>
        <w:t>）制定应急监测方案，确定对所受污染地段的上下游至地表水、沿岸村庄饮用水源进行加密监测，密切关注污染动向，及时向协调领导小组通报监测结果，作为应急处理决策的直接支持。</w:t>
      </w:r>
    </w:p>
    <w:p w14:paraId="783168DA"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w:t>
      </w:r>
      <w:r w:rsidRPr="008A2411">
        <w:rPr>
          <w:rFonts w:ascii="Times New Roman"/>
          <w:color w:val="000000" w:themeColor="text1"/>
          <w:szCs w:val="24"/>
        </w:rPr>
        <w:t>3</w:t>
      </w:r>
      <w:r w:rsidRPr="008A2411">
        <w:rPr>
          <w:rFonts w:ascii="Times New Roman"/>
          <w:color w:val="000000" w:themeColor="text1"/>
          <w:szCs w:val="24"/>
        </w:rPr>
        <w:t>）划定污染可能波及的范围，在划定圈内的群众在井中取水的，要求立即停止使用，严禁人畜饮用，对附近群众用水采取集中供应，防止水污染中毒。</w:t>
      </w:r>
    </w:p>
    <w:p w14:paraId="1A906876"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w:t>
      </w:r>
      <w:r w:rsidRPr="008A2411">
        <w:rPr>
          <w:rFonts w:ascii="Times New Roman"/>
          <w:color w:val="000000" w:themeColor="text1"/>
          <w:szCs w:val="24"/>
        </w:rPr>
        <w:t>4</w:t>
      </w:r>
      <w:r w:rsidRPr="008A2411">
        <w:rPr>
          <w:rFonts w:ascii="Times New Roman"/>
          <w:color w:val="000000" w:themeColor="text1"/>
          <w:szCs w:val="24"/>
        </w:rPr>
        <w:t>）应尽快对污染区域人为隔断，尽量阻断其扩散范围。对较小的河流可建坝堵截。同时也要开渠导流，让上游来水改走新河道，绕过污染地带，通过围堵、导控相结合，避免污染范围的扩大。</w:t>
      </w:r>
    </w:p>
    <w:p w14:paraId="310434AF"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w:t>
      </w:r>
      <w:r w:rsidRPr="008A2411">
        <w:rPr>
          <w:rFonts w:ascii="Times New Roman"/>
          <w:color w:val="000000" w:themeColor="text1"/>
          <w:szCs w:val="24"/>
        </w:rPr>
        <w:t>5</w:t>
      </w:r>
      <w:r w:rsidRPr="008A2411">
        <w:rPr>
          <w:rFonts w:ascii="Times New Roman"/>
          <w:color w:val="000000" w:themeColor="text1"/>
          <w:szCs w:val="24"/>
        </w:rPr>
        <w:t>）根据生产废水处理系统事故时的废水容量及生产线事故停滞时工艺液体的贮存及转运所需容积复核应急水池、事故应急池容量。</w:t>
      </w:r>
    </w:p>
    <w:p w14:paraId="0965F1CC" w14:textId="77777777" w:rsidR="00B0005F" w:rsidRPr="008A2411" w:rsidRDefault="00000000">
      <w:pPr>
        <w:adjustRightInd w:val="0"/>
        <w:spacing w:line="360" w:lineRule="auto"/>
        <w:ind w:firstLine="480"/>
        <w:rPr>
          <w:rFonts w:ascii="Times New Roman"/>
          <w:color w:val="000000" w:themeColor="text1"/>
          <w:szCs w:val="24"/>
        </w:rPr>
      </w:pPr>
      <w:r w:rsidRPr="008A2411">
        <w:rPr>
          <w:rFonts w:ascii="Times New Roman"/>
          <w:color w:val="000000" w:themeColor="text1"/>
          <w:szCs w:val="24"/>
        </w:rPr>
        <w:t>（</w:t>
      </w:r>
      <w:r w:rsidRPr="008A2411">
        <w:rPr>
          <w:rFonts w:ascii="Times New Roman"/>
          <w:color w:val="000000" w:themeColor="text1"/>
          <w:szCs w:val="24"/>
        </w:rPr>
        <w:t>6</w:t>
      </w:r>
      <w:r w:rsidRPr="008A2411">
        <w:rPr>
          <w:rFonts w:ascii="Times New Roman"/>
          <w:color w:val="000000" w:themeColor="text1"/>
          <w:szCs w:val="24"/>
        </w:rPr>
        <w:t>）当地下水水质异常，立刻采取有效措施（如采用水动力隔离技术）阻止污染羽的扩散迁移，将地下水控制在局部范围，避免对厂区下游地下水造成污染。</w:t>
      </w:r>
    </w:p>
    <w:tbl>
      <w:tblPr>
        <w:tblW w:w="0" w:type="auto"/>
        <w:jc w:val="center"/>
        <w:tblLayout w:type="fixed"/>
        <w:tblLook w:val="04A0" w:firstRow="1" w:lastRow="0" w:firstColumn="1" w:lastColumn="0" w:noHBand="0" w:noVBand="1"/>
      </w:tblPr>
      <w:tblGrid>
        <w:gridCol w:w="6062"/>
      </w:tblGrid>
      <w:tr w:rsidR="008A2411" w:rsidRPr="008A2411" w14:paraId="5A020B4D" w14:textId="77777777">
        <w:trPr>
          <w:jc w:val="center"/>
        </w:trPr>
        <w:tc>
          <w:tcPr>
            <w:tcW w:w="6062" w:type="dxa"/>
          </w:tcPr>
          <w:p w14:paraId="26F9D8E2" w14:textId="77777777" w:rsidR="00B0005F" w:rsidRPr="008A2411" w:rsidRDefault="00000000">
            <w:pPr>
              <w:ind w:firstLine="480"/>
              <w:rPr>
                <w:rFonts w:ascii="Times New Roman"/>
                <w:b/>
                <w:color w:val="000000" w:themeColor="text1"/>
              </w:rPr>
            </w:pPr>
            <w:r w:rsidRPr="008A2411">
              <w:rPr>
                <w:rFonts w:ascii="Times New Roman"/>
                <w:noProof/>
                <w:color w:val="000000" w:themeColor="text1"/>
              </w:rPr>
              <w:lastRenderedPageBreak/>
              <w:drawing>
                <wp:inline distT="0" distB="0" distL="0" distR="0" wp14:anchorId="45EE6CAF" wp14:editId="66CC3CC1">
                  <wp:extent cx="2827020" cy="3290570"/>
                  <wp:effectExtent l="0" t="0" r="7620" b="1270"/>
                  <wp:docPr id="1369" name="图片 1369" descr="地下水污染应急措施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9" name="图片 1369" descr="地下水污染应急措施图"/>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a:xfrm>
                            <a:off x="0" y="0"/>
                            <a:ext cx="2834296" cy="3298638"/>
                          </a:xfrm>
                          <a:prstGeom prst="rect">
                            <a:avLst/>
                          </a:prstGeom>
                          <a:noFill/>
                          <a:ln>
                            <a:noFill/>
                          </a:ln>
                        </pic:spPr>
                      </pic:pic>
                    </a:graphicData>
                  </a:graphic>
                </wp:inline>
              </w:drawing>
            </w:r>
          </w:p>
        </w:tc>
      </w:tr>
      <w:tr w:rsidR="008A2411" w:rsidRPr="008A2411" w14:paraId="743FD98F" w14:textId="77777777">
        <w:trPr>
          <w:jc w:val="center"/>
        </w:trPr>
        <w:tc>
          <w:tcPr>
            <w:tcW w:w="6062" w:type="dxa"/>
          </w:tcPr>
          <w:p w14:paraId="1B786177" w14:textId="77777777" w:rsidR="00B0005F" w:rsidRPr="008A2411" w:rsidRDefault="00000000">
            <w:pPr>
              <w:pStyle w:val="affffffff7"/>
              <w:spacing w:before="60" w:after="60"/>
              <w:rPr>
                <w:color w:val="000000" w:themeColor="text1"/>
              </w:rPr>
            </w:pPr>
            <w:r w:rsidRPr="008A2411">
              <w:rPr>
                <w:color w:val="000000" w:themeColor="text1"/>
              </w:rPr>
              <w:t>图</w:t>
            </w:r>
            <w:r w:rsidRPr="008A2411">
              <w:rPr>
                <w:color w:val="000000" w:themeColor="text1"/>
              </w:rPr>
              <w:t xml:space="preserve">5.2-18 </w:t>
            </w:r>
            <w:r w:rsidRPr="008A2411">
              <w:rPr>
                <w:color w:val="000000" w:themeColor="text1"/>
              </w:rPr>
              <w:t>地下水污染风险快速评估与决策过程</w:t>
            </w:r>
          </w:p>
        </w:tc>
      </w:tr>
    </w:tbl>
    <w:p w14:paraId="508A4027" w14:textId="77777777" w:rsidR="00B0005F" w:rsidRPr="008A2411" w:rsidRDefault="00000000">
      <w:pPr>
        <w:pStyle w:val="42"/>
        <w:spacing w:before="0" w:after="0" w:line="360" w:lineRule="auto"/>
        <w:ind w:firstLine="244"/>
        <w:rPr>
          <w:rFonts w:ascii="Times New Roman" w:hAnsi="Times New Roman"/>
          <w:color w:val="000000" w:themeColor="text1"/>
        </w:rPr>
      </w:pPr>
      <w:r w:rsidRPr="008A2411">
        <w:rPr>
          <w:rFonts w:ascii="Times New Roman" w:hAnsi="Times New Roman"/>
          <w:color w:val="000000" w:themeColor="text1"/>
        </w:rPr>
        <w:t>5.2.8</w:t>
      </w:r>
      <w:r w:rsidRPr="008A2411">
        <w:rPr>
          <w:rFonts w:ascii="Times New Roman" w:hAnsi="Times New Roman"/>
          <w:color w:val="000000" w:themeColor="text1"/>
        </w:rPr>
        <w:t>地下水环保投资估算</w:t>
      </w:r>
    </w:p>
    <w:p w14:paraId="62CC0616"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项目地下水环保投资投资估算见表</w:t>
      </w:r>
      <w:r w:rsidRPr="008A2411">
        <w:rPr>
          <w:rFonts w:ascii="Times New Roman"/>
          <w:color w:val="000000" w:themeColor="text1"/>
        </w:rPr>
        <w:t>5.2-42</w:t>
      </w:r>
      <w:r w:rsidRPr="008A2411">
        <w:rPr>
          <w:rFonts w:ascii="Times New Roman"/>
          <w:color w:val="000000" w:themeColor="text1"/>
        </w:rPr>
        <w:t>。</w:t>
      </w:r>
    </w:p>
    <w:p w14:paraId="481265BD" w14:textId="77777777" w:rsidR="00B0005F" w:rsidRPr="008A2411" w:rsidRDefault="00000000">
      <w:pPr>
        <w:pStyle w:val="affffffff7"/>
        <w:spacing w:before="60" w:after="60"/>
        <w:rPr>
          <w:color w:val="000000" w:themeColor="text1"/>
        </w:rPr>
      </w:pPr>
      <w:r w:rsidRPr="008A2411">
        <w:rPr>
          <w:color w:val="000000" w:themeColor="text1"/>
        </w:rPr>
        <w:t>表</w:t>
      </w:r>
      <w:r w:rsidRPr="008A2411">
        <w:rPr>
          <w:color w:val="000000" w:themeColor="text1"/>
        </w:rPr>
        <w:t xml:space="preserve">5.2-42 </w:t>
      </w:r>
      <w:r w:rsidRPr="008A2411">
        <w:rPr>
          <w:color w:val="000000" w:themeColor="text1"/>
        </w:rPr>
        <w:t>地下水环保投资估算</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7"/>
        <w:gridCol w:w="5953"/>
        <w:gridCol w:w="1892"/>
      </w:tblGrid>
      <w:tr w:rsidR="008A2411" w:rsidRPr="008A2411" w14:paraId="644E83C8" w14:textId="77777777">
        <w:trPr>
          <w:trHeight w:val="300"/>
          <w:jc w:val="center"/>
        </w:trPr>
        <w:tc>
          <w:tcPr>
            <w:tcW w:w="397" w:type="pct"/>
            <w:shd w:val="clear" w:color="auto" w:fill="auto"/>
            <w:vAlign w:val="center"/>
          </w:tcPr>
          <w:p w14:paraId="04D5E525"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序号</w:t>
            </w:r>
          </w:p>
        </w:tc>
        <w:tc>
          <w:tcPr>
            <w:tcW w:w="3493" w:type="pct"/>
            <w:shd w:val="clear" w:color="auto" w:fill="auto"/>
            <w:vAlign w:val="center"/>
          </w:tcPr>
          <w:p w14:paraId="1CC47BFC"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项目防渗措施</w:t>
            </w:r>
          </w:p>
        </w:tc>
        <w:tc>
          <w:tcPr>
            <w:tcW w:w="1111" w:type="pct"/>
            <w:shd w:val="clear" w:color="auto" w:fill="auto"/>
            <w:vAlign w:val="center"/>
          </w:tcPr>
          <w:p w14:paraId="38D5273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投资（万元）</w:t>
            </w:r>
          </w:p>
        </w:tc>
      </w:tr>
      <w:tr w:rsidR="008A2411" w:rsidRPr="008A2411" w14:paraId="6714BF0F" w14:textId="77777777">
        <w:trPr>
          <w:trHeight w:val="300"/>
          <w:jc w:val="center"/>
        </w:trPr>
        <w:tc>
          <w:tcPr>
            <w:tcW w:w="397" w:type="pct"/>
            <w:shd w:val="clear" w:color="auto" w:fill="auto"/>
            <w:vAlign w:val="center"/>
          </w:tcPr>
          <w:p w14:paraId="332273D6" w14:textId="77777777" w:rsidR="00B0005F" w:rsidRPr="008A2411" w:rsidRDefault="00000000">
            <w:pPr>
              <w:pStyle w:val="affffffffffff2"/>
              <w:rPr>
                <w:rFonts w:ascii="Times New Roman"/>
                <w:color w:val="000000" w:themeColor="text1"/>
              </w:rPr>
            </w:pPr>
            <w:bookmarkStart w:id="474" w:name="_Hlk457897305"/>
            <w:r w:rsidRPr="008A2411">
              <w:rPr>
                <w:rFonts w:ascii="Times New Roman"/>
                <w:color w:val="000000" w:themeColor="text1"/>
              </w:rPr>
              <w:t>1</w:t>
            </w:r>
          </w:p>
        </w:tc>
        <w:tc>
          <w:tcPr>
            <w:tcW w:w="3493" w:type="pct"/>
            <w:shd w:val="clear" w:color="auto" w:fill="auto"/>
            <w:vAlign w:val="center"/>
          </w:tcPr>
          <w:p w14:paraId="4BC2ACF6"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布设</w:t>
            </w:r>
            <w:r w:rsidRPr="008A2411">
              <w:rPr>
                <w:rFonts w:ascii="Times New Roman"/>
                <w:color w:val="000000" w:themeColor="text1"/>
              </w:rPr>
              <w:t>4</w:t>
            </w:r>
            <w:r w:rsidRPr="008A2411">
              <w:rPr>
                <w:rFonts w:ascii="Times New Roman"/>
                <w:color w:val="000000" w:themeColor="text1"/>
              </w:rPr>
              <w:t>口监测井</w:t>
            </w:r>
          </w:p>
        </w:tc>
        <w:tc>
          <w:tcPr>
            <w:tcW w:w="1111" w:type="pct"/>
            <w:shd w:val="clear" w:color="auto" w:fill="auto"/>
            <w:vAlign w:val="center"/>
          </w:tcPr>
          <w:p w14:paraId="06723981"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9</w:t>
            </w:r>
          </w:p>
        </w:tc>
      </w:tr>
      <w:tr w:rsidR="008A2411" w:rsidRPr="008A2411" w14:paraId="37443D4A" w14:textId="77777777">
        <w:trPr>
          <w:trHeight w:val="300"/>
          <w:jc w:val="center"/>
        </w:trPr>
        <w:tc>
          <w:tcPr>
            <w:tcW w:w="397" w:type="pct"/>
            <w:shd w:val="clear" w:color="auto" w:fill="auto"/>
            <w:vAlign w:val="center"/>
          </w:tcPr>
          <w:p w14:paraId="21F2A14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2</w:t>
            </w:r>
          </w:p>
        </w:tc>
        <w:tc>
          <w:tcPr>
            <w:tcW w:w="3493" w:type="pct"/>
            <w:shd w:val="clear" w:color="auto" w:fill="auto"/>
            <w:vAlign w:val="center"/>
          </w:tcPr>
          <w:p w14:paraId="7422F4AA"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水位、水质动态监测预留费（按</w:t>
            </w:r>
            <w:r w:rsidRPr="008A2411">
              <w:rPr>
                <w:rFonts w:ascii="Times New Roman"/>
                <w:color w:val="000000" w:themeColor="text1"/>
              </w:rPr>
              <w:t>20a</w:t>
            </w:r>
            <w:r w:rsidRPr="008A2411">
              <w:rPr>
                <w:rFonts w:ascii="Times New Roman"/>
                <w:color w:val="000000" w:themeColor="text1"/>
              </w:rPr>
              <w:t>计）</w:t>
            </w:r>
          </w:p>
        </w:tc>
        <w:tc>
          <w:tcPr>
            <w:tcW w:w="1111" w:type="pct"/>
            <w:shd w:val="clear" w:color="auto" w:fill="auto"/>
            <w:vAlign w:val="center"/>
          </w:tcPr>
          <w:p w14:paraId="7C111AF6" w14:textId="77777777" w:rsidR="00B0005F" w:rsidRPr="008A2411" w:rsidRDefault="00000000">
            <w:pPr>
              <w:pStyle w:val="affffffffffff2"/>
              <w:rPr>
                <w:rFonts w:ascii="Times New Roman"/>
                <w:color w:val="000000" w:themeColor="text1"/>
              </w:rPr>
            </w:pPr>
            <w:r w:rsidRPr="008A2411">
              <w:rPr>
                <w:rFonts w:ascii="Times New Roman" w:hint="eastAsia"/>
                <w:color w:val="000000" w:themeColor="text1"/>
              </w:rPr>
              <w:t>8</w:t>
            </w:r>
            <w:r w:rsidRPr="008A2411">
              <w:rPr>
                <w:rFonts w:ascii="Times New Roman"/>
                <w:color w:val="000000" w:themeColor="text1"/>
              </w:rPr>
              <w:t>0</w:t>
            </w:r>
          </w:p>
        </w:tc>
      </w:tr>
      <w:tr w:rsidR="008A2411" w:rsidRPr="008A2411" w14:paraId="585C0D0F" w14:textId="77777777">
        <w:trPr>
          <w:trHeight w:val="300"/>
          <w:jc w:val="center"/>
        </w:trPr>
        <w:tc>
          <w:tcPr>
            <w:tcW w:w="397" w:type="pct"/>
            <w:shd w:val="clear" w:color="auto" w:fill="auto"/>
            <w:vAlign w:val="center"/>
          </w:tcPr>
          <w:p w14:paraId="4FF00557"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3</w:t>
            </w:r>
          </w:p>
        </w:tc>
        <w:tc>
          <w:tcPr>
            <w:tcW w:w="3493" w:type="pct"/>
            <w:shd w:val="clear" w:color="auto" w:fill="auto"/>
            <w:vAlign w:val="center"/>
          </w:tcPr>
          <w:p w14:paraId="4609C30E"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预留评价范围内分散饮用水源替代费用</w:t>
            </w:r>
          </w:p>
        </w:tc>
        <w:tc>
          <w:tcPr>
            <w:tcW w:w="1111" w:type="pct"/>
            <w:shd w:val="clear" w:color="auto" w:fill="auto"/>
            <w:vAlign w:val="center"/>
          </w:tcPr>
          <w:p w14:paraId="7F8CD1DD" w14:textId="77777777" w:rsidR="00B0005F" w:rsidRPr="008A2411" w:rsidRDefault="00000000">
            <w:pPr>
              <w:pStyle w:val="affffffffffff2"/>
              <w:rPr>
                <w:rFonts w:ascii="Times New Roman"/>
                <w:color w:val="000000" w:themeColor="text1"/>
              </w:rPr>
            </w:pPr>
            <w:r w:rsidRPr="008A2411">
              <w:rPr>
                <w:rFonts w:ascii="Times New Roman" w:hint="eastAsia"/>
                <w:color w:val="000000" w:themeColor="text1"/>
              </w:rPr>
              <w:t>3</w:t>
            </w:r>
            <w:r w:rsidRPr="008A2411">
              <w:rPr>
                <w:rFonts w:ascii="Times New Roman"/>
                <w:color w:val="000000" w:themeColor="text1"/>
              </w:rPr>
              <w:t>0</w:t>
            </w:r>
          </w:p>
        </w:tc>
      </w:tr>
      <w:bookmarkEnd w:id="474"/>
      <w:tr w:rsidR="008A2411" w:rsidRPr="008A2411" w14:paraId="3D6AA57F" w14:textId="77777777">
        <w:trPr>
          <w:trHeight w:val="300"/>
          <w:jc w:val="center"/>
        </w:trPr>
        <w:tc>
          <w:tcPr>
            <w:tcW w:w="397" w:type="pct"/>
            <w:shd w:val="clear" w:color="auto" w:fill="auto"/>
            <w:vAlign w:val="center"/>
          </w:tcPr>
          <w:p w14:paraId="5E6DE95D" w14:textId="77777777" w:rsidR="00B0005F" w:rsidRPr="008A2411" w:rsidRDefault="00B0005F">
            <w:pPr>
              <w:pStyle w:val="affffffffffff2"/>
              <w:rPr>
                <w:rFonts w:ascii="Times New Roman"/>
                <w:color w:val="000000" w:themeColor="text1"/>
              </w:rPr>
            </w:pPr>
          </w:p>
        </w:tc>
        <w:tc>
          <w:tcPr>
            <w:tcW w:w="3493" w:type="pct"/>
            <w:shd w:val="clear" w:color="auto" w:fill="auto"/>
            <w:vAlign w:val="center"/>
          </w:tcPr>
          <w:p w14:paraId="399E8AB9" w14:textId="77777777" w:rsidR="00B0005F" w:rsidRPr="008A2411" w:rsidRDefault="00000000">
            <w:pPr>
              <w:pStyle w:val="affffffffffff2"/>
              <w:rPr>
                <w:rFonts w:ascii="Times New Roman"/>
                <w:color w:val="000000" w:themeColor="text1"/>
              </w:rPr>
            </w:pPr>
            <w:r w:rsidRPr="008A2411">
              <w:rPr>
                <w:rFonts w:ascii="Times New Roman"/>
                <w:color w:val="000000" w:themeColor="text1"/>
              </w:rPr>
              <w:t>合计</w:t>
            </w:r>
          </w:p>
        </w:tc>
        <w:tc>
          <w:tcPr>
            <w:tcW w:w="1111" w:type="pct"/>
            <w:shd w:val="clear" w:color="auto" w:fill="auto"/>
            <w:vAlign w:val="center"/>
          </w:tcPr>
          <w:p w14:paraId="123CB14E" w14:textId="77777777" w:rsidR="00B0005F" w:rsidRPr="008A2411" w:rsidRDefault="00000000">
            <w:pPr>
              <w:pStyle w:val="affffffffffff2"/>
              <w:rPr>
                <w:rFonts w:ascii="Times New Roman"/>
                <w:color w:val="000000" w:themeColor="text1"/>
              </w:rPr>
            </w:pPr>
            <w:r w:rsidRPr="008A2411">
              <w:rPr>
                <w:rFonts w:ascii="Times New Roman" w:hint="eastAsia"/>
                <w:color w:val="000000" w:themeColor="text1"/>
              </w:rPr>
              <w:t>11</w:t>
            </w:r>
            <w:r w:rsidRPr="008A2411">
              <w:rPr>
                <w:rFonts w:ascii="Times New Roman"/>
                <w:color w:val="000000" w:themeColor="text1"/>
              </w:rPr>
              <w:t>9</w:t>
            </w:r>
          </w:p>
        </w:tc>
      </w:tr>
    </w:tbl>
    <w:p w14:paraId="3F5BE0C3" w14:textId="77777777" w:rsidR="00B0005F" w:rsidRPr="008A2411" w:rsidRDefault="00000000">
      <w:pPr>
        <w:rPr>
          <w:rFonts w:ascii="Times New Roman" w:eastAsia="楷体"/>
          <w:color w:val="000000" w:themeColor="text1"/>
          <w:sz w:val="21"/>
        </w:rPr>
      </w:pPr>
      <w:bookmarkStart w:id="475" w:name="_Toc422906882"/>
      <w:bookmarkStart w:id="476" w:name="_Toc405904863"/>
      <w:bookmarkStart w:id="477" w:name="_Toc405905335"/>
      <w:bookmarkStart w:id="478" w:name="_Toc405214268"/>
      <w:bookmarkStart w:id="479" w:name="_Toc405904519"/>
      <w:bookmarkEnd w:id="473"/>
      <w:r w:rsidRPr="008A2411">
        <w:rPr>
          <w:rFonts w:ascii="Times New Roman" w:eastAsia="楷体"/>
          <w:color w:val="000000" w:themeColor="text1"/>
          <w:sz w:val="21"/>
        </w:rPr>
        <w:t>注：防渗工程纳入主体工程。</w:t>
      </w:r>
    </w:p>
    <w:p w14:paraId="42CA7AB2" w14:textId="77777777" w:rsidR="00B0005F" w:rsidRPr="008A2411" w:rsidRDefault="00B0005F">
      <w:pPr>
        <w:pStyle w:val="WJ3"/>
        <w:snapToGrid/>
        <w:spacing w:line="360" w:lineRule="auto"/>
        <w:outlineLvl w:val="9"/>
        <w:rPr>
          <w:rFonts w:ascii="Times New Roman" w:hAnsi="Times New Roman"/>
          <w:color w:val="000000" w:themeColor="text1"/>
          <w:sz w:val="28"/>
          <w:szCs w:val="28"/>
        </w:rPr>
      </w:pPr>
    </w:p>
    <w:p w14:paraId="6CD1E10B" w14:textId="77777777" w:rsidR="00B0005F" w:rsidRPr="008A2411" w:rsidRDefault="00000000">
      <w:pPr>
        <w:pStyle w:val="WJ3"/>
        <w:snapToGrid/>
        <w:spacing w:line="360" w:lineRule="auto"/>
        <w:rPr>
          <w:rFonts w:ascii="Times New Roman" w:hAnsi="Times New Roman"/>
          <w:color w:val="000000" w:themeColor="text1"/>
          <w:sz w:val="28"/>
          <w:szCs w:val="28"/>
        </w:rPr>
      </w:pPr>
      <w:r w:rsidRPr="008A2411">
        <w:rPr>
          <w:rFonts w:ascii="Times New Roman" w:hAnsi="Times New Roman"/>
          <w:color w:val="000000" w:themeColor="text1"/>
          <w:sz w:val="28"/>
          <w:szCs w:val="28"/>
        </w:rPr>
        <w:t xml:space="preserve">5.2.4 </w:t>
      </w:r>
      <w:r w:rsidRPr="008A2411">
        <w:rPr>
          <w:rFonts w:ascii="Times New Roman" w:hAnsi="Times New Roman"/>
          <w:color w:val="000000" w:themeColor="text1"/>
          <w:sz w:val="28"/>
          <w:szCs w:val="28"/>
        </w:rPr>
        <w:t>声环境影响预测与评价</w:t>
      </w:r>
      <w:bookmarkEnd w:id="475"/>
      <w:bookmarkEnd w:id="476"/>
      <w:bookmarkEnd w:id="477"/>
      <w:bookmarkEnd w:id="478"/>
      <w:bookmarkEnd w:id="479"/>
    </w:p>
    <w:p w14:paraId="4AB34FCB" w14:textId="77777777" w:rsidR="00B0005F" w:rsidRPr="008A2411" w:rsidRDefault="00000000">
      <w:pPr>
        <w:pStyle w:val="WJ"/>
        <w:adjustRightInd w:val="0"/>
        <w:spacing w:line="360" w:lineRule="auto"/>
        <w:ind w:firstLine="482"/>
        <w:rPr>
          <w:rFonts w:ascii="Times New Roman" w:hAnsi="Times New Roman"/>
          <w:b/>
          <w:color w:val="000000" w:themeColor="text1"/>
        </w:rPr>
      </w:pPr>
      <w:r w:rsidRPr="008A2411">
        <w:rPr>
          <w:rFonts w:ascii="Times New Roman" w:hAnsi="Times New Roman"/>
          <w:b/>
          <w:color w:val="000000" w:themeColor="text1"/>
        </w:rPr>
        <w:t>（</w:t>
      </w:r>
      <w:r w:rsidRPr="008A2411">
        <w:rPr>
          <w:rFonts w:ascii="Times New Roman" w:hAnsi="Times New Roman"/>
          <w:b/>
          <w:color w:val="000000" w:themeColor="text1"/>
        </w:rPr>
        <w:t>1</w:t>
      </w:r>
      <w:r w:rsidRPr="008A2411">
        <w:rPr>
          <w:rFonts w:ascii="Times New Roman" w:hAnsi="Times New Roman"/>
          <w:b/>
          <w:color w:val="000000" w:themeColor="text1"/>
        </w:rPr>
        <w:t>）预测评价方法</w:t>
      </w:r>
    </w:p>
    <w:p w14:paraId="5C08EEB1"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工程选址</w:t>
      </w:r>
      <w:proofErr w:type="gramStart"/>
      <w:r w:rsidRPr="008A2411">
        <w:rPr>
          <w:rFonts w:ascii="Times New Roman" w:hAnsi="Times New Roman"/>
          <w:color w:val="000000" w:themeColor="text1"/>
        </w:rPr>
        <w:t>区域声</w:t>
      </w:r>
      <w:proofErr w:type="gramEnd"/>
      <w:r w:rsidRPr="008A2411">
        <w:rPr>
          <w:rFonts w:ascii="Times New Roman" w:hAnsi="Times New Roman"/>
          <w:color w:val="000000" w:themeColor="text1"/>
        </w:rPr>
        <w:t>环境功能区划为</w:t>
      </w:r>
      <w:r w:rsidRPr="008A2411">
        <w:rPr>
          <w:rFonts w:ascii="Times New Roman" w:hAnsi="Times New Roman"/>
          <w:color w:val="000000" w:themeColor="text1"/>
        </w:rPr>
        <w:t>3</w:t>
      </w:r>
      <w:r w:rsidRPr="008A2411">
        <w:rPr>
          <w:rFonts w:ascii="Times New Roman" w:hAnsi="Times New Roman"/>
          <w:color w:val="000000" w:themeColor="text1"/>
        </w:rPr>
        <w:t>类区，根据《环境影响评价技术导则</w:t>
      </w:r>
      <w:r w:rsidRPr="008A2411">
        <w:rPr>
          <w:rFonts w:ascii="Times New Roman" w:hAnsi="Times New Roman"/>
          <w:color w:val="000000" w:themeColor="text1"/>
        </w:rPr>
        <w:t xml:space="preserve">  —</w:t>
      </w:r>
      <w:r w:rsidRPr="008A2411">
        <w:rPr>
          <w:rFonts w:ascii="Times New Roman" w:hAnsi="Times New Roman"/>
          <w:color w:val="000000" w:themeColor="text1"/>
        </w:rPr>
        <w:t>声环境》（</w:t>
      </w:r>
      <w:r w:rsidRPr="008A2411">
        <w:rPr>
          <w:rFonts w:ascii="Times New Roman" w:hAnsi="Times New Roman" w:hint="eastAsia"/>
          <w:color w:val="000000" w:themeColor="text1"/>
        </w:rPr>
        <w:t>HJ2.4-2021</w:t>
      </w:r>
      <w:r w:rsidRPr="008A2411">
        <w:rPr>
          <w:rFonts w:ascii="Times New Roman" w:hAnsi="Times New Roman"/>
          <w:color w:val="000000" w:themeColor="text1"/>
        </w:rPr>
        <w:t>）中关于工作等级划分的要求，声环境影响</w:t>
      </w:r>
      <w:proofErr w:type="gramStart"/>
      <w:r w:rsidRPr="008A2411">
        <w:rPr>
          <w:rFonts w:ascii="Times New Roman" w:hAnsi="Times New Roman"/>
          <w:color w:val="000000" w:themeColor="text1"/>
        </w:rPr>
        <w:t>预测按</w:t>
      </w:r>
      <w:proofErr w:type="gramEnd"/>
      <w:r w:rsidRPr="008A2411">
        <w:rPr>
          <w:rFonts w:ascii="Times New Roman" w:hAnsi="Times New Roman"/>
          <w:color w:val="000000" w:themeColor="text1"/>
        </w:rPr>
        <w:t>二级进行评价，评价范围为项目周边</w:t>
      </w:r>
      <w:r w:rsidRPr="008A2411">
        <w:rPr>
          <w:rFonts w:ascii="Times New Roman" w:hAnsi="Times New Roman"/>
          <w:color w:val="000000" w:themeColor="text1"/>
        </w:rPr>
        <w:t>200m</w:t>
      </w:r>
      <w:r w:rsidRPr="008A2411">
        <w:rPr>
          <w:rFonts w:ascii="Times New Roman" w:hAnsi="Times New Roman"/>
          <w:color w:val="000000" w:themeColor="text1"/>
        </w:rPr>
        <w:t>。</w:t>
      </w:r>
    </w:p>
    <w:p w14:paraId="5DB9F53C"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评价各噪声</w:t>
      </w:r>
      <w:proofErr w:type="gramStart"/>
      <w:r w:rsidRPr="008A2411">
        <w:rPr>
          <w:rFonts w:ascii="Times New Roman" w:hAnsi="Times New Roman"/>
          <w:color w:val="000000" w:themeColor="text1"/>
        </w:rPr>
        <w:t>源通过</w:t>
      </w:r>
      <w:proofErr w:type="gramEnd"/>
      <w:r w:rsidRPr="008A2411">
        <w:rPr>
          <w:rFonts w:ascii="Times New Roman" w:hAnsi="Times New Roman"/>
          <w:color w:val="000000" w:themeColor="text1"/>
        </w:rPr>
        <w:t>噪声衰减模式计算对不同预测点的噪声贡献值，再将各自预测点的噪声贡献值叠加即得到本项目对</w:t>
      </w:r>
      <w:proofErr w:type="gramStart"/>
      <w:r w:rsidRPr="008A2411">
        <w:rPr>
          <w:rFonts w:ascii="Times New Roman" w:hAnsi="Times New Roman"/>
          <w:color w:val="000000" w:themeColor="text1"/>
        </w:rPr>
        <w:t>各预测点</w:t>
      </w:r>
      <w:proofErr w:type="gramEnd"/>
      <w:r w:rsidRPr="008A2411">
        <w:rPr>
          <w:rFonts w:ascii="Times New Roman" w:hAnsi="Times New Roman"/>
          <w:color w:val="000000" w:themeColor="text1"/>
        </w:rPr>
        <w:t>的噪声贡献值，最后与监测点的噪声现状值叠加，得到</w:t>
      </w:r>
      <w:proofErr w:type="gramStart"/>
      <w:r w:rsidRPr="008A2411">
        <w:rPr>
          <w:rFonts w:ascii="Times New Roman" w:hAnsi="Times New Roman"/>
          <w:color w:val="000000" w:themeColor="text1"/>
        </w:rPr>
        <w:t>各预测</w:t>
      </w:r>
      <w:proofErr w:type="gramEnd"/>
      <w:r w:rsidRPr="008A2411">
        <w:rPr>
          <w:rFonts w:ascii="Times New Roman" w:hAnsi="Times New Roman"/>
          <w:color w:val="000000" w:themeColor="text1"/>
        </w:rPr>
        <w:t>值，绘制等声级线图，并进行达标分析。</w:t>
      </w:r>
    </w:p>
    <w:p w14:paraId="4201DF14" w14:textId="77777777" w:rsidR="00B0005F" w:rsidRPr="008A2411" w:rsidRDefault="00000000">
      <w:pPr>
        <w:pStyle w:val="WJ"/>
        <w:adjustRightInd w:val="0"/>
        <w:spacing w:line="360" w:lineRule="auto"/>
        <w:ind w:firstLine="482"/>
        <w:rPr>
          <w:rFonts w:ascii="Times New Roman" w:hAnsi="Times New Roman"/>
          <w:b/>
          <w:color w:val="000000" w:themeColor="text1"/>
        </w:rPr>
      </w:pPr>
      <w:r w:rsidRPr="008A2411">
        <w:rPr>
          <w:rFonts w:ascii="Times New Roman" w:hAnsi="Times New Roman"/>
          <w:b/>
          <w:color w:val="000000" w:themeColor="text1"/>
        </w:rPr>
        <w:t>（</w:t>
      </w:r>
      <w:r w:rsidRPr="008A2411">
        <w:rPr>
          <w:rFonts w:ascii="Times New Roman" w:hAnsi="Times New Roman"/>
          <w:b/>
          <w:color w:val="000000" w:themeColor="text1"/>
        </w:rPr>
        <w:t>2</w:t>
      </w:r>
      <w:r w:rsidRPr="008A2411">
        <w:rPr>
          <w:rFonts w:ascii="Times New Roman" w:hAnsi="Times New Roman"/>
          <w:b/>
          <w:color w:val="000000" w:themeColor="text1"/>
        </w:rPr>
        <w:t>）预测模式</w:t>
      </w:r>
    </w:p>
    <w:p w14:paraId="5CD7EBC3" w14:textId="77777777" w:rsidR="00B0005F" w:rsidRPr="008A2411" w:rsidRDefault="00000000">
      <w:pPr>
        <w:pStyle w:val="WJ"/>
        <w:adjustRightInd w:val="0"/>
        <w:spacing w:line="360" w:lineRule="auto"/>
        <w:rPr>
          <w:rFonts w:ascii="Times New Roman" w:hAnsi="Times New Roman"/>
          <w:snapToGrid w:val="0"/>
          <w:color w:val="000000" w:themeColor="text1"/>
        </w:rPr>
      </w:pPr>
      <w:r w:rsidRPr="008A2411">
        <w:rPr>
          <w:rFonts w:ascii="Times New Roman" w:hAnsi="Times New Roman"/>
          <w:snapToGrid w:val="0"/>
          <w:color w:val="000000" w:themeColor="text1"/>
        </w:rPr>
        <w:lastRenderedPageBreak/>
        <w:t>本次噪声影响评价选用点源的噪声预测模式，在声源传播过程中，经过距离衰减和空气吸收后，到达</w:t>
      </w:r>
      <w:proofErr w:type="gramStart"/>
      <w:r w:rsidRPr="008A2411">
        <w:rPr>
          <w:rFonts w:ascii="Times New Roman" w:hAnsi="Times New Roman"/>
          <w:snapToGrid w:val="0"/>
          <w:color w:val="000000" w:themeColor="text1"/>
        </w:rPr>
        <w:t>受声点</w:t>
      </w:r>
      <w:proofErr w:type="gramEnd"/>
      <w:r w:rsidRPr="008A2411">
        <w:rPr>
          <w:rFonts w:ascii="Times New Roman" w:hAnsi="Times New Roman"/>
          <w:snapToGrid w:val="0"/>
          <w:color w:val="000000" w:themeColor="text1"/>
        </w:rPr>
        <w:t>，其预测模式如下：</w:t>
      </w:r>
    </w:p>
    <w:p w14:paraId="627C8E73"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①</w:t>
      </w:r>
      <w:r w:rsidRPr="008A2411">
        <w:rPr>
          <w:rFonts w:ascii="Times New Roman" w:hAnsi="Times New Roman"/>
          <w:color w:val="000000" w:themeColor="text1"/>
        </w:rPr>
        <w:t>点声源模式，在预测点的贡献值计算：</w:t>
      </w:r>
    </w:p>
    <w:p w14:paraId="5F71C038" w14:textId="77777777" w:rsidR="00B0005F" w:rsidRPr="008A2411" w:rsidRDefault="00000000">
      <w:pPr>
        <w:pStyle w:val="2SLCON2"/>
        <w:adjustRightInd w:val="0"/>
        <w:jc w:val="center"/>
        <w:rPr>
          <w:rFonts w:ascii="Times New Roman" w:hAnsi="Times New Roman" w:cs="Times New Roman"/>
          <w:color w:val="000000" w:themeColor="text1"/>
        </w:rPr>
      </w:pPr>
      <w:r w:rsidRPr="008A2411">
        <w:rPr>
          <w:rFonts w:ascii="Times New Roman" w:hAnsi="Times New Roman" w:cs="Times New Roman"/>
          <w:color w:val="000000" w:themeColor="text1"/>
        </w:rPr>
        <w:object w:dxaOrig="3179" w:dyaOrig="698" w14:anchorId="3CDDBD8D">
          <v:shape id="_x0000_i1030" type="#_x0000_t75" style="width:159.45pt;height:36pt" o:ole="">
            <v:imagedata r:id="rId88" o:title=""/>
          </v:shape>
          <o:OLEObject Type="Embed" ProgID="Equation.3" ShapeID="_x0000_i1030" DrawAspect="Content" ObjectID="_1719945150" r:id="rId89"/>
        </w:object>
      </w:r>
    </w:p>
    <w:p w14:paraId="0112A518"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式中：</w:t>
      </w:r>
      <w:r w:rsidRPr="008A2411">
        <w:rPr>
          <w:rFonts w:ascii="Times New Roman" w:hAnsi="Times New Roman"/>
          <w:color w:val="000000" w:themeColor="text1"/>
        </w:rPr>
        <w:t>L</w:t>
      </w:r>
      <w:r w:rsidRPr="008A2411">
        <w:rPr>
          <w:rFonts w:ascii="Times New Roman" w:hAnsi="Times New Roman"/>
          <w:color w:val="000000" w:themeColor="text1"/>
          <w:vertAlign w:val="subscript"/>
        </w:rPr>
        <w:t>A</w:t>
      </w:r>
      <w:r w:rsidRPr="008A2411">
        <w:rPr>
          <w:rFonts w:ascii="Times New Roman" w:hAnsi="Times New Roman"/>
          <w:color w:val="000000" w:themeColor="text1"/>
        </w:rPr>
        <w:t>（</w:t>
      </w:r>
      <w:r w:rsidRPr="008A2411">
        <w:rPr>
          <w:rFonts w:ascii="Times New Roman" w:hAnsi="Times New Roman"/>
          <w:color w:val="000000" w:themeColor="text1"/>
        </w:rPr>
        <w:t>r</w:t>
      </w:r>
      <w:r w:rsidRPr="008A2411">
        <w:rPr>
          <w:rFonts w:ascii="Times New Roman" w:hAnsi="Times New Roman"/>
          <w:color w:val="000000" w:themeColor="text1"/>
        </w:rPr>
        <w:t>）</w:t>
      </w:r>
      <w:r w:rsidRPr="008A2411">
        <w:rPr>
          <w:rFonts w:ascii="Times New Roman" w:hAnsi="Times New Roman"/>
          <w:color w:val="000000" w:themeColor="text1"/>
        </w:rPr>
        <w:t>——</w:t>
      </w:r>
      <w:r w:rsidRPr="008A2411">
        <w:rPr>
          <w:rFonts w:ascii="Times New Roman" w:hAnsi="Times New Roman"/>
          <w:color w:val="000000" w:themeColor="text1"/>
        </w:rPr>
        <w:t>距声源</w:t>
      </w:r>
      <w:r w:rsidRPr="008A2411">
        <w:rPr>
          <w:rFonts w:ascii="Times New Roman" w:hAnsi="Times New Roman"/>
          <w:color w:val="000000" w:themeColor="text1"/>
        </w:rPr>
        <w:t>r</w:t>
      </w:r>
      <w:r w:rsidRPr="008A2411">
        <w:rPr>
          <w:rFonts w:ascii="Times New Roman" w:hAnsi="Times New Roman"/>
          <w:color w:val="000000" w:themeColor="text1"/>
        </w:rPr>
        <w:t>处的声级值，</w:t>
      </w:r>
      <w:r w:rsidRPr="008A2411">
        <w:rPr>
          <w:rFonts w:ascii="Times New Roman" w:hAnsi="Times New Roman"/>
          <w:color w:val="000000" w:themeColor="text1"/>
        </w:rPr>
        <w:t>dB</w:t>
      </w:r>
      <w:r w:rsidRPr="008A2411">
        <w:rPr>
          <w:rFonts w:ascii="Times New Roman" w:hAnsi="Times New Roman"/>
          <w:color w:val="000000" w:themeColor="text1"/>
        </w:rPr>
        <w:t>（</w:t>
      </w:r>
      <w:r w:rsidRPr="008A2411">
        <w:rPr>
          <w:rFonts w:ascii="Times New Roman" w:hAnsi="Times New Roman"/>
          <w:color w:val="000000" w:themeColor="text1"/>
        </w:rPr>
        <w:t>A</w:t>
      </w:r>
      <w:r w:rsidRPr="008A2411">
        <w:rPr>
          <w:rFonts w:ascii="Times New Roman" w:hAnsi="Times New Roman"/>
          <w:color w:val="000000" w:themeColor="text1"/>
        </w:rPr>
        <w:t>）；</w:t>
      </w:r>
    </w:p>
    <w:p w14:paraId="43544716" w14:textId="77777777" w:rsidR="00B0005F" w:rsidRPr="008A2411" w:rsidRDefault="00000000">
      <w:pPr>
        <w:pStyle w:val="WJ"/>
        <w:adjustRightInd w:val="0"/>
        <w:spacing w:line="360" w:lineRule="auto"/>
        <w:ind w:firstLineChars="500" w:firstLine="1200"/>
        <w:rPr>
          <w:rFonts w:ascii="Times New Roman" w:hAnsi="Times New Roman"/>
          <w:color w:val="000000" w:themeColor="text1"/>
        </w:rPr>
      </w:pPr>
      <w:r w:rsidRPr="008A2411">
        <w:rPr>
          <w:rFonts w:ascii="Times New Roman" w:hAnsi="Times New Roman"/>
          <w:color w:val="000000" w:themeColor="text1"/>
        </w:rPr>
        <w:t>L</w:t>
      </w:r>
      <w:r w:rsidRPr="008A2411">
        <w:rPr>
          <w:rFonts w:ascii="Times New Roman" w:hAnsi="Times New Roman"/>
          <w:color w:val="000000" w:themeColor="text1"/>
          <w:vertAlign w:val="subscript"/>
        </w:rPr>
        <w:t>A</w:t>
      </w:r>
      <w:r w:rsidRPr="008A2411">
        <w:rPr>
          <w:rFonts w:ascii="Times New Roman" w:hAnsi="Times New Roman"/>
          <w:color w:val="000000" w:themeColor="text1"/>
        </w:rPr>
        <w:t>（</w:t>
      </w:r>
      <w:r w:rsidRPr="008A2411">
        <w:rPr>
          <w:rFonts w:ascii="Times New Roman" w:hAnsi="Times New Roman"/>
          <w:color w:val="000000" w:themeColor="text1"/>
        </w:rPr>
        <w:t>r</w:t>
      </w:r>
      <w:r w:rsidRPr="008A2411">
        <w:rPr>
          <w:rFonts w:ascii="Times New Roman" w:hAnsi="Times New Roman"/>
          <w:color w:val="000000" w:themeColor="text1"/>
          <w:vertAlign w:val="subscript"/>
        </w:rPr>
        <w:t>0</w:t>
      </w:r>
      <w:r w:rsidRPr="008A2411">
        <w:rPr>
          <w:rFonts w:ascii="Times New Roman" w:hAnsi="Times New Roman"/>
          <w:color w:val="000000" w:themeColor="text1"/>
        </w:rPr>
        <w:t>）</w:t>
      </w:r>
      <w:r w:rsidRPr="008A2411">
        <w:rPr>
          <w:rFonts w:ascii="Times New Roman" w:hAnsi="Times New Roman"/>
          <w:color w:val="000000" w:themeColor="text1"/>
        </w:rPr>
        <w:t>——</w:t>
      </w:r>
      <w:r w:rsidRPr="008A2411">
        <w:rPr>
          <w:rFonts w:ascii="Times New Roman" w:hAnsi="Times New Roman"/>
          <w:color w:val="000000" w:themeColor="text1"/>
        </w:rPr>
        <w:t>参考位置</w:t>
      </w:r>
      <w:r w:rsidRPr="008A2411">
        <w:rPr>
          <w:rFonts w:ascii="Times New Roman" w:hAnsi="Times New Roman"/>
          <w:color w:val="000000" w:themeColor="text1"/>
        </w:rPr>
        <w:t>r</w:t>
      </w:r>
      <w:r w:rsidRPr="008A2411">
        <w:rPr>
          <w:rFonts w:ascii="Times New Roman" w:hAnsi="Times New Roman"/>
          <w:color w:val="000000" w:themeColor="text1"/>
          <w:vertAlign w:val="subscript"/>
        </w:rPr>
        <w:t>0</w:t>
      </w:r>
      <w:r w:rsidRPr="008A2411">
        <w:rPr>
          <w:rFonts w:ascii="Times New Roman" w:hAnsi="Times New Roman"/>
          <w:color w:val="000000" w:themeColor="text1"/>
        </w:rPr>
        <w:t>处的声级值，</w:t>
      </w:r>
      <w:r w:rsidRPr="008A2411">
        <w:rPr>
          <w:rFonts w:ascii="Times New Roman" w:hAnsi="Times New Roman"/>
          <w:color w:val="000000" w:themeColor="text1"/>
        </w:rPr>
        <w:t>dB</w:t>
      </w:r>
      <w:r w:rsidRPr="008A2411">
        <w:rPr>
          <w:rFonts w:ascii="Times New Roman" w:hAnsi="Times New Roman"/>
          <w:color w:val="000000" w:themeColor="text1"/>
        </w:rPr>
        <w:t>（</w:t>
      </w:r>
      <w:r w:rsidRPr="008A2411">
        <w:rPr>
          <w:rFonts w:ascii="Times New Roman" w:hAnsi="Times New Roman"/>
          <w:color w:val="000000" w:themeColor="text1"/>
        </w:rPr>
        <w:t>A</w:t>
      </w:r>
      <w:r w:rsidRPr="008A2411">
        <w:rPr>
          <w:rFonts w:ascii="Times New Roman" w:hAnsi="Times New Roman"/>
          <w:color w:val="000000" w:themeColor="text1"/>
        </w:rPr>
        <w:t>）；</w:t>
      </w:r>
    </w:p>
    <w:p w14:paraId="1337E7C5" w14:textId="77777777" w:rsidR="00B0005F" w:rsidRPr="008A2411" w:rsidRDefault="00000000">
      <w:pPr>
        <w:pStyle w:val="WJ"/>
        <w:adjustRightInd w:val="0"/>
        <w:spacing w:line="360" w:lineRule="auto"/>
        <w:ind w:firstLineChars="500" w:firstLine="1200"/>
        <w:rPr>
          <w:rFonts w:ascii="Times New Roman" w:hAnsi="Times New Roman"/>
          <w:color w:val="000000" w:themeColor="text1"/>
        </w:rPr>
      </w:pPr>
      <w:r w:rsidRPr="008A2411">
        <w:rPr>
          <w:rFonts w:ascii="Times New Roman" w:hAnsi="Times New Roman"/>
          <w:color w:val="000000" w:themeColor="text1"/>
        </w:rPr>
        <w:t xml:space="preserve">r </w:t>
      </w:r>
      <w:proofErr w:type="gramStart"/>
      <w:r w:rsidRPr="008A2411">
        <w:rPr>
          <w:rFonts w:ascii="Times New Roman" w:hAnsi="Times New Roman"/>
          <w:color w:val="000000" w:themeColor="text1"/>
        </w:rPr>
        <w:t>—</w:t>
      </w:r>
      <w:r w:rsidRPr="008A2411">
        <w:rPr>
          <w:rFonts w:ascii="Times New Roman" w:hAnsi="Times New Roman"/>
          <w:color w:val="000000" w:themeColor="text1"/>
        </w:rPr>
        <w:t>预测点</w:t>
      </w:r>
      <w:proofErr w:type="gramEnd"/>
      <w:r w:rsidRPr="008A2411">
        <w:rPr>
          <w:rFonts w:ascii="Times New Roman" w:hAnsi="Times New Roman"/>
          <w:color w:val="000000" w:themeColor="text1"/>
        </w:rPr>
        <w:t>至声源的距离，</w:t>
      </w:r>
      <w:r w:rsidRPr="008A2411">
        <w:rPr>
          <w:rFonts w:ascii="Times New Roman" w:hAnsi="Times New Roman"/>
          <w:color w:val="000000" w:themeColor="text1"/>
        </w:rPr>
        <w:t>m</w:t>
      </w:r>
      <w:r w:rsidRPr="008A2411">
        <w:rPr>
          <w:rFonts w:ascii="Times New Roman" w:hAnsi="Times New Roman"/>
          <w:color w:val="000000" w:themeColor="text1"/>
        </w:rPr>
        <w:t>；</w:t>
      </w:r>
    </w:p>
    <w:p w14:paraId="62C32829" w14:textId="77777777" w:rsidR="00B0005F" w:rsidRPr="008A2411" w:rsidRDefault="00000000">
      <w:pPr>
        <w:pStyle w:val="WJ"/>
        <w:adjustRightInd w:val="0"/>
        <w:spacing w:line="360" w:lineRule="auto"/>
        <w:ind w:firstLineChars="500" w:firstLine="1200"/>
        <w:rPr>
          <w:rFonts w:ascii="Times New Roman" w:hAnsi="Times New Roman"/>
          <w:color w:val="000000" w:themeColor="text1"/>
        </w:rPr>
      </w:pPr>
      <w:r w:rsidRPr="008A2411">
        <w:rPr>
          <w:rFonts w:ascii="Times New Roman" w:hAnsi="Times New Roman"/>
          <w:color w:val="000000" w:themeColor="text1"/>
        </w:rPr>
        <w:t>r</w:t>
      </w:r>
      <w:r w:rsidRPr="008A2411">
        <w:rPr>
          <w:rFonts w:ascii="Times New Roman" w:hAnsi="Times New Roman"/>
          <w:color w:val="000000" w:themeColor="text1"/>
          <w:vertAlign w:val="subscript"/>
        </w:rPr>
        <w:t>0</w:t>
      </w:r>
      <w:r w:rsidRPr="008A2411">
        <w:rPr>
          <w:rFonts w:ascii="Times New Roman" w:hAnsi="Times New Roman"/>
          <w:color w:val="000000" w:themeColor="text1"/>
        </w:rPr>
        <w:t xml:space="preserve"> —</w:t>
      </w:r>
      <w:r w:rsidRPr="008A2411">
        <w:rPr>
          <w:rFonts w:ascii="Times New Roman" w:hAnsi="Times New Roman"/>
          <w:color w:val="000000" w:themeColor="text1"/>
        </w:rPr>
        <w:t>参考点至声源的距离，</w:t>
      </w:r>
      <w:r w:rsidRPr="008A2411">
        <w:rPr>
          <w:rFonts w:ascii="Times New Roman" w:hAnsi="Times New Roman"/>
          <w:color w:val="000000" w:themeColor="text1"/>
        </w:rPr>
        <w:t>m</w:t>
      </w:r>
      <w:r w:rsidRPr="008A2411">
        <w:rPr>
          <w:rFonts w:ascii="Times New Roman" w:hAnsi="Times New Roman"/>
          <w:color w:val="000000" w:themeColor="text1"/>
        </w:rPr>
        <w:t>。</w:t>
      </w:r>
    </w:p>
    <w:p w14:paraId="73E8A48D" w14:textId="77777777" w:rsidR="00B0005F" w:rsidRPr="008A2411" w:rsidRDefault="00000000">
      <w:pPr>
        <w:pStyle w:val="WJ"/>
        <w:adjustRightInd w:val="0"/>
        <w:spacing w:line="360" w:lineRule="auto"/>
        <w:ind w:firstLineChars="450" w:firstLine="1080"/>
        <w:rPr>
          <w:rFonts w:ascii="Times New Roman" w:hAnsi="Times New Roman"/>
          <w:color w:val="000000" w:themeColor="text1"/>
        </w:rPr>
      </w:pPr>
      <w:r w:rsidRPr="008A2411">
        <w:rPr>
          <w:rFonts w:ascii="Times New Roman" w:hAnsi="Times New Roman"/>
          <w:color w:val="000000" w:themeColor="text1"/>
        </w:rPr>
        <w:t>ΔL</w:t>
      </w:r>
      <w:r w:rsidRPr="008A2411">
        <w:rPr>
          <w:rFonts w:ascii="Times New Roman" w:hAnsi="Times New Roman"/>
          <w:color w:val="000000" w:themeColor="text1"/>
          <w:vertAlign w:val="subscript"/>
        </w:rPr>
        <w:t>A</w:t>
      </w:r>
      <w:r w:rsidRPr="008A2411">
        <w:rPr>
          <w:rFonts w:ascii="Times New Roman" w:hAnsi="Times New Roman"/>
          <w:color w:val="000000" w:themeColor="text1"/>
        </w:rPr>
        <w:t xml:space="preserve"> </w:t>
      </w:r>
      <w:proofErr w:type="gramStart"/>
      <w:r w:rsidRPr="008A2411">
        <w:rPr>
          <w:rFonts w:ascii="Times New Roman" w:hAnsi="Times New Roman"/>
          <w:color w:val="000000" w:themeColor="text1"/>
        </w:rPr>
        <w:t>—</w:t>
      </w:r>
      <w:r w:rsidRPr="008A2411">
        <w:rPr>
          <w:rFonts w:ascii="Times New Roman" w:hAnsi="Times New Roman"/>
          <w:color w:val="000000" w:themeColor="text1"/>
        </w:rPr>
        <w:t>各种</w:t>
      </w:r>
      <w:proofErr w:type="gramEnd"/>
      <w:r w:rsidRPr="008A2411">
        <w:rPr>
          <w:rFonts w:ascii="Times New Roman" w:hAnsi="Times New Roman"/>
          <w:color w:val="000000" w:themeColor="text1"/>
        </w:rPr>
        <w:t>因素引起的噪声衰减量，</w:t>
      </w:r>
      <w:r w:rsidRPr="008A2411">
        <w:rPr>
          <w:rFonts w:ascii="Times New Roman" w:hAnsi="Times New Roman"/>
          <w:color w:val="000000" w:themeColor="text1"/>
        </w:rPr>
        <w:t>dB</w:t>
      </w:r>
      <w:r w:rsidRPr="008A2411">
        <w:rPr>
          <w:rFonts w:ascii="Times New Roman" w:hAnsi="Times New Roman"/>
          <w:color w:val="000000" w:themeColor="text1"/>
        </w:rPr>
        <w:t>（</w:t>
      </w:r>
      <w:r w:rsidRPr="008A2411">
        <w:rPr>
          <w:rFonts w:ascii="Times New Roman" w:hAnsi="Times New Roman"/>
          <w:color w:val="000000" w:themeColor="text1"/>
        </w:rPr>
        <w:t>A</w:t>
      </w:r>
      <w:r w:rsidRPr="008A2411">
        <w:rPr>
          <w:rFonts w:ascii="Times New Roman" w:hAnsi="Times New Roman"/>
          <w:color w:val="000000" w:themeColor="text1"/>
        </w:rPr>
        <w:t>）。一般指房间墙壁、室外建筑、绿化带和空气吸声衰减值。</w:t>
      </w:r>
    </w:p>
    <w:p w14:paraId="3EFDB87F"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②</w:t>
      </w:r>
      <w:r w:rsidRPr="008A2411">
        <w:rPr>
          <w:rFonts w:ascii="Times New Roman" w:hAnsi="Times New Roman"/>
          <w:color w:val="000000" w:themeColor="text1"/>
        </w:rPr>
        <w:t>多个声源对</w:t>
      </w:r>
      <w:proofErr w:type="gramStart"/>
      <w:r w:rsidRPr="008A2411">
        <w:rPr>
          <w:rFonts w:ascii="Times New Roman" w:hAnsi="Times New Roman"/>
          <w:color w:val="000000" w:themeColor="text1"/>
        </w:rPr>
        <w:t>某预测</w:t>
      </w:r>
      <w:proofErr w:type="gramEnd"/>
      <w:r w:rsidRPr="008A2411">
        <w:rPr>
          <w:rFonts w:ascii="Times New Roman" w:hAnsi="Times New Roman"/>
          <w:color w:val="000000" w:themeColor="text1"/>
        </w:rPr>
        <w:t>声能量叠加模式</w:t>
      </w:r>
    </w:p>
    <w:p w14:paraId="269BC2F8" w14:textId="77777777" w:rsidR="00B0005F" w:rsidRPr="008A2411" w:rsidRDefault="00000000">
      <w:pPr>
        <w:adjustRightInd w:val="0"/>
        <w:spacing w:line="360" w:lineRule="auto"/>
        <w:jc w:val="center"/>
        <w:rPr>
          <w:rFonts w:ascii="Times New Roman"/>
          <w:color w:val="000000" w:themeColor="text1"/>
        </w:rPr>
      </w:pPr>
      <w:r w:rsidRPr="008A2411">
        <w:rPr>
          <w:rFonts w:ascii="Times New Roman"/>
          <w:color w:val="000000" w:themeColor="text1"/>
          <w:position w:val="-28"/>
        </w:rPr>
        <w:object w:dxaOrig="2481" w:dyaOrig="698" w14:anchorId="49F61639">
          <v:shape id="_x0000_i1031" type="#_x0000_t75" style="width:123.55pt;height:36pt" o:ole="">
            <v:imagedata r:id="rId90" o:title=""/>
          </v:shape>
          <o:OLEObject Type="Embed" ProgID="Equation.3" ShapeID="_x0000_i1031" DrawAspect="Content" ObjectID="_1719945151" r:id="rId91"/>
        </w:object>
      </w:r>
    </w:p>
    <w:p w14:paraId="4973A3B0"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式中：</w:t>
      </w:r>
      <w:r w:rsidRPr="008A2411">
        <w:rPr>
          <w:rFonts w:ascii="Times New Roman" w:hAnsi="Times New Roman"/>
          <w:color w:val="000000" w:themeColor="text1"/>
        </w:rPr>
        <w:t>L</w:t>
      </w:r>
      <w:r w:rsidRPr="008A2411">
        <w:rPr>
          <w:rFonts w:ascii="Times New Roman" w:hAnsi="Times New Roman"/>
          <w:color w:val="000000" w:themeColor="text1"/>
          <w:vertAlign w:val="subscript"/>
        </w:rPr>
        <w:t>A</w:t>
      </w:r>
      <w:r w:rsidRPr="008A2411">
        <w:rPr>
          <w:rFonts w:ascii="Times New Roman" w:hAnsi="Times New Roman"/>
          <w:color w:val="000000" w:themeColor="text1"/>
        </w:rPr>
        <w:t>－评价区内</w:t>
      </w:r>
      <w:proofErr w:type="gramStart"/>
      <w:r w:rsidRPr="008A2411">
        <w:rPr>
          <w:rFonts w:ascii="Times New Roman" w:hAnsi="Times New Roman"/>
          <w:color w:val="000000" w:themeColor="text1"/>
        </w:rPr>
        <w:t>某预测点</w:t>
      </w:r>
      <w:proofErr w:type="gramEnd"/>
      <w:r w:rsidRPr="008A2411">
        <w:rPr>
          <w:rFonts w:ascii="Times New Roman" w:hAnsi="Times New Roman"/>
          <w:color w:val="000000" w:themeColor="text1"/>
        </w:rPr>
        <w:t>的总声级值，</w:t>
      </w:r>
      <w:r w:rsidRPr="008A2411">
        <w:rPr>
          <w:rFonts w:ascii="Times New Roman" w:hAnsi="Times New Roman"/>
          <w:color w:val="000000" w:themeColor="text1"/>
        </w:rPr>
        <w:t>dB</w:t>
      </w:r>
      <w:r w:rsidRPr="008A2411">
        <w:rPr>
          <w:rFonts w:ascii="Times New Roman" w:hAnsi="Times New Roman"/>
          <w:color w:val="000000" w:themeColor="text1"/>
        </w:rPr>
        <w:t>（</w:t>
      </w:r>
      <w:r w:rsidRPr="008A2411">
        <w:rPr>
          <w:rFonts w:ascii="Times New Roman" w:hAnsi="Times New Roman"/>
          <w:color w:val="000000" w:themeColor="text1"/>
        </w:rPr>
        <w:t>A</w:t>
      </w:r>
      <w:r w:rsidRPr="008A2411">
        <w:rPr>
          <w:rFonts w:ascii="Times New Roman" w:hAnsi="Times New Roman"/>
          <w:color w:val="000000" w:themeColor="text1"/>
        </w:rPr>
        <w:t>）；</w:t>
      </w:r>
    </w:p>
    <w:p w14:paraId="745B6263" w14:textId="77777777" w:rsidR="00B0005F" w:rsidRPr="008A2411" w:rsidRDefault="00000000">
      <w:pPr>
        <w:pStyle w:val="WJ"/>
        <w:adjustRightInd w:val="0"/>
        <w:spacing w:line="360" w:lineRule="auto"/>
        <w:ind w:firstLineChars="500" w:firstLine="1200"/>
        <w:rPr>
          <w:rFonts w:ascii="Times New Roman" w:hAnsi="Times New Roman"/>
          <w:color w:val="000000" w:themeColor="text1"/>
        </w:rPr>
      </w:pPr>
      <w:r w:rsidRPr="008A2411">
        <w:rPr>
          <w:rFonts w:ascii="Times New Roman" w:hAnsi="Times New Roman"/>
          <w:color w:val="000000" w:themeColor="text1"/>
        </w:rPr>
        <w:t>n</w:t>
      </w:r>
      <w:r w:rsidRPr="008A2411">
        <w:rPr>
          <w:rFonts w:ascii="Times New Roman" w:hAnsi="Times New Roman"/>
          <w:color w:val="000000" w:themeColor="text1"/>
        </w:rPr>
        <w:t>－</w:t>
      </w:r>
      <w:proofErr w:type="gramStart"/>
      <w:r w:rsidRPr="008A2411">
        <w:rPr>
          <w:rFonts w:ascii="Times New Roman" w:hAnsi="Times New Roman"/>
          <w:color w:val="000000" w:themeColor="text1"/>
        </w:rPr>
        <w:t>某预测点</w:t>
      </w:r>
      <w:proofErr w:type="gramEnd"/>
      <w:r w:rsidRPr="008A2411">
        <w:rPr>
          <w:rFonts w:ascii="Times New Roman" w:hAnsi="Times New Roman"/>
          <w:color w:val="000000" w:themeColor="text1"/>
        </w:rPr>
        <w:t>接受声源个数；</w:t>
      </w:r>
    </w:p>
    <w:p w14:paraId="70DA7842" w14:textId="77777777" w:rsidR="00B0005F" w:rsidRPr="008A2411" w:rsidRDefault="00000000">
      <w:pPr>
        <w:pStyle w:val="WJ"/>
        <w:adjustRightInd w:val="0"/>
        <w:spacing w:line="360" w:lineRule="auto"/>
        <w:ind w:firstLineChars="500" w:firstLine="1200"/>
        <w:rPr>
          <w:rFonts w:ascii="Times New Roman" w:hAnsi="Times New Roman"/>
          <w:color w:val="000000" w:themeColor="text1"/>
        </w:rPr>
      </w:pPr>
      <w:r w:rsidRPr="008A2411">
        <w:rPr>
          <w:rFonts w:ascii="Times New Roman" w:hAnsi="Times New Roman"/>
          <w:color w:val="000000" w:themeColor="text1"/>
        </w:rPr>
        <w:t>L</w:t>
      </w:r>
      <w:r w:rsidRPr="008A2411">
        <w:rPr>
          <w:rFonts w:ascii="Times New Roman" w:hAnsi="Times New Roman"/>
          <w:color w:val="000000" w:themeColor="text1"/>
          <w:vertAlign w:val="subscript"/>
        </w:rPr>
        <w:t>Ai</w:t>
      </w:r>
      <w:r w:rsidRPr="008A2411">
        <w:rPr>
          <w:rFonts w:ascii="Times New Roman" w:hAnsi="Times New Roman"/>
          <w:color w:val="000000" w:themeColor="text1"/>
        </w:rPr>
        <w:t>－第</w:t>
      </w:r>
      <w:r w:rsidRPr="008A2411">
        <w:rPr>
          <w:rFonts w:ascii="Times New Roman" w:hAnsi="Times New Roman"/>
          <w:color w:val="000000" w:themeColor="text1"/>
        </w:rPr>
        <w:t>i</w:t>
      </w:r>
      <w:proofErr w:type="gramStart"/>
      <w:r w:rsidRPr="008A2411">
        <w:rPr>
          <w:rFonts w:ascii="Times New Roman" w:hAnsi="Times New Roman"/>
          <w:color w:val="000000" w:themeColor="text1"/>
        </w:rPr>
        <w:t>个</w:t>
      </w:r>
      <w:proofErr w:type="gramEnd"/>
      <w:r w:rsidRPr="008A2411">
        <w:rPr>
          <w:rFonts w:ascii="Times New Roman" w:hAnsi="Times New Roman"/>
          <w:color w:val="000000" w:themeColor="text1"/>
        </w:rPr>
        <w:t>点声源贡献值，</w:t>
      </w:r>
      <w:r w:rsidRPr="008A2411">
        <w:rPr>
          <w:rFonts w:ascii="Times New Roman" w:hAnsi="Times New Roman"/>
          <w:color w:val="000000" w:themeColor="text1"/>
        </w:rPr>
        <w:t>dB</w:t>
      </w:r>
      <w:r w:rsidRPr="008A2411">
        <w:rPr>
          <w:rFonts w:ascii="Times New Roman" w:hAnsi="Times New Roman"/>
          <w:color w:val="000000" w:themeColor="text1"/>
        </w:rPr>
        <w:t>（</w:t>
      </w:r>
      <w:r w:rsidRPr="008A2411">
        <w:rPr>
          <w:rFonts w:ascii="Times New Roman" w:hAnsi="Times New Roman"/>
          <w:color w:val="000000" w:themeColor="text1"/>
        </w:rPr>
        <w:t>A</w:t>
      </w:r>
      <w:r w:rsidRPr="008A2411">
        <w:rPr>
          <w:rFonts w:ascii="Times New Roman" w:hAnsi="Times New Roman"/>
          <w:color w:val="000000" w:themeColor="text1"/>
        </w:rPr>
        <w:t>）。</w:t>
      </w:r>
    </w:p>
    <w:p w14:paraId="08446568"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③</w:t>
      </w:r>
      <w:r w:rsidRPr="008A2411">
        <w:rPr>
          <w:rFonts w:ascii="Times New Roman" w:hAnsi="Times New Roman"/>
          <w:color w:val="000000" w:themeColor="text1"/>
        </w:rPr>
        <w:t>预测点叠加值：</w:t>
      </w:r>
    </w:p>
    <w:p w14:paraId="42F2E9C6" w14:textId="77777777" w:rsidR="00B0005F" w:rsidRPr="008A2411" w:rsidRDefault="00000000">
      <w:pPr>
        <w:pStyle w:val="WJ"/>
        <w:adjustRightInd w:val="0"/>
        <w:spacing w:line="360" w:lineRule="auto"/>
        <w:jc w:val="center"/>
        <w:rPr>
          <w:rFonts w:ascii="Times New Roman" w:hAnsi="Times New Roman"/>
          <w:color w:val="000000" w:themeColor="text1"/>
        </w:rPr>
      </w:pPr>
      <w:r w:rsidRPr="008A2411">
        <w:rPr>
          <w:rFonts w:ascii="Times New Roman" w:hAnsi="Times New Roman"/>
          <w:color w:val="000000" w:themeColor="text1"/>
        </w:rPr>
        <w:object w:dxaOrig="2780" w:dyaOrig="321" w14:anchorId="59570694">
          <v:shape id="_x0000_i1032" type="#_x0000_t75" style="width:139pt;height:15.5pt" o:ole="">
            <v:imagedata r:id="rId92" o:title=""/>
          </v:shape>
          <o:OLEObject Type="Embed" ProgID="Equation.3" ShapeID="_x0000_i1032" DrawAspect="Content" ObjectID="_1719945152" r:id="rId93"/>
        </w:object>
      </w:r>
    </w:p>
    <w:p w14:paraId="0B442EFB"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式中：</w:t>
      </w:r>
      <w:r w:rsidRPr="008A2411">
        <w:rPr>
          <w:rFonts w:ascii="Times New Roman" w:hAnsi="Times New Roman"/>
          <w:color w:val="000000" w:themeColor="text1"/>
        </w:rPr>
        <w:t>L</w:t>
      </w:r>
      <w:r w:rsidRPr="008A2411">
        <w:rPr>
          <w:rFonts w:ascii="Times New Roman" w:hAnsi="Times New Roman"/>
          <w:color w:val="000000" w:themeColor="text1"/>
          <w:vertAlign w:val="subscript"/>
        </w:rPr>
        <w:t>Ar</w:t>
      </w:r>
      <w:proofErr w:type="gramStart"/>
      <w:r w:rsidRPr="008A2411">
        <w:rPr>
          <w:rFonts w:ascii="Times New Roman" w:hAnsi="Times New Roman"/>
          <w:color w:val="000000" w:themeColor="text1"/>
        </w:rPr>
        <w:t>—</w:t>
      </w:r>
      <w:r w:rsidRPr="008A2411">
        <w:rPr>
          <w:rFonts w:ascii="Times New Roman" w:hAnsi="Times New Roman"/>
          <w:color w:val="000000" w:themeColor="text1"/>
        </w:rPr>
        <w:t>预测</w:t>
      </w:r>
      <w:proofErr w:type="gramEnd"/>
      <w:r w:rsidRPr="008A2411">
        <w:rPr>
          <w:rFonts w:ascii="Times New Roman" w:hAnsi="Times New Roman"/>
          <w:color w:val="000000" w:themeColor="text1"/>
        </w:rPr>
        <w:t>贡献值，</w:t>
      </w:r>
      <w:r w:rsidRPr="008A2411">
        <w:rPr>
          <w:rFonts w:ascii="Times New Roman" w:hAnsi="Times New Roman"/>
          <w:color w:val="000000" w:themeColor="text1"/>
        </w:rPr>
        <w:t>dB</w:t>
      </w:r>
      <w:r w:rsidRPr="008A2411">
        <w:rPr>
          <w:rFonts w:ascii="Times New Roman" w:hAnsi="Times New Roman"/>
          <w:color w:val="000000" w:themeColor="text1"/>
        </w:rPr>
        <w:t>（</w:t>
      </w:r>
      <w:r w:rsidRPr="008A2411">
        <w:rPr>
          <w:rFonts w:ascii="Times New Roman" w:hAnsi="Times New Roman"/>
          <w:color w:val="000000" w:themeColor="text1"/>
        </w:rPr>
        <w:t>A</w:t>
      </w:r>
      <w:r w:rsidRPr="008A2411">
        <w:rPr>
          <w:rFonts w:ascii="Times New Roman" w:hAnsi="Times New Roman"/>
          <w:color w:val="000000" w:themeColor="text1"/>
        </w:rPr>
        <w:t>）；</w:t>
      </w:r>
    </w:p>
    <w:p w14:paraId="51CB095B"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 xml:space="preserve">      L</w:t>
      </w:r>
      <w:r w:rsidRPr="008A2411">
        <w:rPr>
          <w:rFonts w:ascii="Times New Roman" w:hAnsi="Times New Roman"/>
          <w:color w:val="000000" w:themeColor="text1"/>
          <w:vertAlign w:val="subscript"/>
        </w:rPr>
        <w:t>Ab</w:t>
      </w:r>
      <w:r w:rsidRPr="008A2411">
        <w:rPr>
          <w:rFonts w:ascii="Times New Roman" w:hAnsi="Times New Roman"/>
          <w:color w:val="000000" w:themeColor="text1"/>
        </w:rPr>
        <w:t>—</w:t>
      </w:r>
      <w:r w:rsidRPr="008A2411">
        <w:rPr>
          <w:rFonts w:ascii="Times New Roman" w:hAnsi="Times New Roman"/>
          <w:color w:val="000000" w:themeColor="text1"/>
        </w:rPr>
        <w:t>背景值，</w:t>
      </w:r>
      <w:r w:rsidRPr="008A2411">
        <w:rPr>
          <w:rFonts w:ascii="Times New Roman" w:hAnsi="Times New Roman"/>
          <w:color w:val="000000" w:themeColor="text1"/>
        </w:rPr>
        <w:t>dB</w:t>
      </w:r>
      <w:r w:rsidRPr="008A2411">
        <w:rPr>
          <w:rFonts w:ascii="Times New Roman" w:hAnsi="Times New Roman"/>
          <w:color w:val="000000" w:themeColor="text1"/>
        </w:rPr>
        <w:t>（</w:t>
      </w:r>
      <w:r w:rsidRPr="008A2411">
        <w:rPr>
          <w:rFonts w:ascii="Times New Roman" w:hAnsi="Times New Roman"/>
          <w:color w:val="000000" w:themeColor="text1"/>
        </w:rPr>
        <w:t>A</w:t>
      </w:r>
      <w:r w:rsidRPr="008A2411">
        <w:rPr>
          <w:rFonts w:ascii="Times New Roman" w:hAnsi="Times New Roman"/>
          <w:color w:val="000000" w:themeColor="text1"/>
        </w:rPr>
        <w:t>）。</w:t>
      </w:r>
    </w:p>
    <w:p w14:paraId="7532CE68" w14:textId="77777777" w:rsidR="00B0005F" w:rsidRPr="008A2411" w:rsidRDefault="00000000">
      <w:pPr>
        <w:pStyle w:val="WJ"/>
        <w:adjustRightInd w:val="0"/>
        <w:spacing w:line="360" w:lineRule="auto"/>
        <w:ind w:firstLine="482"/>
        <w:rPr>
          <w:rFonts w:ascii="Times New Roman" w:hAnsi="Times New Roman"/>
          <w:b/>
          <w:color w:val="000000" w:themeColor="text1"/>
        </w:rPr>
      </w:pPr>
      <w:r w:rsidRPr="008A2411">
        <w:rPr>
          <w:rFonts w:ascii="Times New Roman" w:hAnsi="Times New Roman"/>
          <w:b/>
          <w:color w:val="000000" w:themeColor="text1"/>
        </w:rPr>
        <w:t>（</w:t>
      </w:r>
      <w:r w:rsidRPr="008A2411">
        <w:rPr>
          <w:rFonts w:ascii="Times New Roman" w:hAnsi="Times New Roman"/>
          <w:b/>
          <w:color w:val="000000" w:themeColor="text1"/>
        </w:rPr>
        <w:t>3</w:t>
      </w:r>
      <w:r w:rsidRPr="008A2411">
        <w:rPr>
          <w:rFonts w:ascii="Times New Roman" w:hAnsi="Times New Roman"/>
          <w:b/>
          <w:color w:val="000000" w:themeColor="text1"/>
        </w:rPr>
        <w:t>）噪声源强分析</w:t>
      </w:r>
    </w:p>
    <w:p w14:paraId="392570A1" w14:textId="77777777" w:rsidR="00B0005F" w:rsidRPr="008A2411" w:rsidRDefault="00000000">
      <w:pPr>
        <w:pStyle w:val="WJ"/>
        <w:adjustRightInd w:val="0"/>
        <w:spacing w:line="360" w:lineRule="auto"/>
        <w:rPr>
          <w:rFonts w:ascii="Times New Roman" w:hAnsi="Times New Roman"/>
          <w:bCs/>
          <w:color w:val="000000" w:themeColor="text1"/>
        </w:rPr>
      </w:pPr>
      <w:r w:rsidRPr="008A2411">
        <w:rPr>
          <w:rFonts w:ascii="Times New Roman" w:hAnsi="Times New Roman"/>
          <w:color w:val="000000" w:themeColor="text1"/>
        </w:rPr>
        <w:t>根据前文分析，本项目采取降噪措施后设备的噪声排放情况</w:t>
      </w:r>
      <w:r w:rsidRPr="008A2411">
        <w:rPr>
          <w:rFonts w:ascii="Times New Roman" w:hAnsi="Times New Roman"/>
          <w:bCs/>
          <w:color w:val="000000" w:themeColor="text1"/>
        </w:rPr>
        <w:t>见表</w:t>
      </w:r>
      <w:r w:rsidRPr="008A2411">
        <w:rPr>
          <w:rFonts w:ascii="Times New Roman" w:hAnsi="Times New Roman"/>
          <w:bCs/>
          <w:color w:val="000000" w:themeColor="text1"/>
        </w:rPr>
        <w:t>8.2-15</w:t>
      </w:r>
      <w:r w:rsidRPr="008A2411">
        <w:rPr>
          <w:rFonts w:ascii="Times New Roman" w:hAnsi="Times New Roman"/>
          <w:bCs/>
          <w:color w:val="000000" w:themeColor="text1"/>
        </w:rPr>
        <w:t>。</w:t>
      </w:r>
    </w:p>
    <w:p w14:paraId="6C5EAC46" w14:textId="77777777" w:rsidR="00B0005F" w:rsidRPr="008A2411" w:rsidRDefault="00B0005F">
      <w:pPr>
        <w:pStyle w:val="WJ0"/>
        <w:rPr>
          <w:rFonts w:ascii="Times New Roman" w:hAnsi="Times New Roman"/>
          <w:color w:val="000000" w:themeColor="text1"/>
        </w:rPr>
      </w:pPr>
    </w:p>
    <w:p w14:paraId="0703E6D4" w14:textId="77777777" w:rsidR="00B0005F" w:rsidRPr="008A2411" w:rsidRDefault="00B0005F">
      <w:pPr>
        <w:pStyle w:val="WJ0"/>
        <w:rPr>
          <w:rFonts w:ascii="Times New Roman" w:hAnsi="Times New Roman"/>
          <w:color w:val="000000" w:themeColor="text1"/>
        </w:rPr>
      </w:pPr>
    </w:p>
    <w:p w14:paraId="3BBB0DFC" w14:textId="77777777" w:rsidR="00B0005F" w:rsidRPr="008A2411" w:rsidRDefault="00B0005F">
      <w:pPr>
        <w:pStyle w:val="WJ0"/>
        <w:rPr>
          <w:rFonts w:ascii="Times New Roman" w:hAnsi="Times New Roman"/>
          <w:color w:val="000000" w:themeColor="text1"/>
        </w:rPr>
      </w:pPr>
    </w:p>
    <w:p w14:paraId="12145484" w14:textId="77777777" w:rsidR="00B0005F" w:rsidRPr="008A2411" w:rsidRDefault="00B0005F">
      <w:pPr>
        <w:pStyle w:val="WJ0"/>
        <w:rPr>
          <w:rFonts w:ascii="Times New Roman" w:hAnsi="Times New Roman"/>
          <w:color w:val="000000" w:themeColor="text1"/>
        </w:rPr>
      </w:pPr>
    </w:p>
    <w:p w14:paraId="30FB08DF" w14:textId="77777777" w:rsidR="00B0005F" w:rsidRPr="008A2411" w:rsidRDefault="00B0005F">
      <w:pPr>
        <w:pStyle w:val="WJ0"/>
        <w:rPr>
          <w:rFonts w:ascii="Times New Roman" w:hAnsi="Times New Roman"/>
          <w:color w:val="000000" w:themeColor="text1"/>
        </w:rPr>
      </w:pPr>
    </w:p>
    <w:p w14:paraId="29902057" w14:textId="77777777" w:rsidR="00B0005F" w:rsidRPr="008A2411" w:rsidRDefault="00B0005F">
      <w:pPr>
        <w:pStyle w:val="WJ0"/>
        <w:rPr>
          <w:rFonts w:ascii="Times New Roman" w:hAnsi="Times New Roman"/>
          <w:color w:val="000000" w:themeColor="text1"/>
        </w:rPr>
      </w:pPr>
    </w:p>
    <w:p w14:paraId="19356E78" w14:textId="77777777" w:rsidR="00B0005F" w:rsidRPr="008A2411" w:rsidRDefault="00B0005F">
      <w:pPr>
        <w:pStyle w:val="WJ0"/>
        <w:rPr>
          <w:rFonts w:ascii="Times New Roman" w:hAnsi="Times New Roman"/>
          <w:color w:val="000000" w:themeColor="text1"/>
        </w:rPr>
      </w:pPr>
    </w:p>
    <w:p w14:paraId="31DBA24C" w14:textId="77777777" w:rsidR="00B0005F" w:rsidRPr="008A2411" w:rsidRDefault="00000000">
      <w:pPr>
        <w:pStyle w:val="WJ0"/>
        <w:rPr>
          <w:rFonts w:ascii="Times New Roman" w:hAnsi="Times New Roman"/>
          <w:color w:val="000000" w:themeColor="text1"/>
        </w:rPr>
      </w:pPr>
      <w:r w:rsidRPr="008A2411">
        <w:rPr>
          <w:rFonts w:ascii="Times New Roman" w:hAnsi="Times New Roman"/>
          <w:color w:val="000000" w:themeColor="text1"/>
        </w:rPr>
        <w:lastRenderedPageBreak/>
        <w:t>表</w:t>
      </w:r>
      <w:r w:rsidRPr="008A2411">
        <w:rPr>
          <w:rFonts w:ascii="Times New Roman" w:hAnsi="Times New Roman"/>
          <w:color w:val="000000" w:themeColor="text1"/>
        </w:rPr>
        <w:t xml:space="preserve">5.2-43   </w:t>
      </w:r>
      <w:r w:rsidRPr="008A2411">
        <w:rPr>
          <w:rFonts w:ascii="Times New Roman" w:hAnsi="Times New Roman"/>
          <w:color w:val="000000" w:themeColor="text1"/>
        </w:rPr>
        <w:t>噪声防治措施情况表</w:t>
      </w:r>
    </w:p>
    <w:tbl>
      <w:tblPr>
        <w:tblW w:w="499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3"/>
        <w:gridCol w:w="1325"/>
        <w:gridCol w:w="1080"/>
        <w:gridCol w:w="1099"/>
        <w:gridCol w:w="1741"/>
        <w:gridCol w:w="998"/>
        <w:gridCol w:w="1053"/>
      </w:tblGrid>
      <w:tr w:rsidR="008A2411" w:rsidRPr="008A2411" w14:paraId="28E210E0" w14:textId="77777777">
        <w:trPr>
          <w:trHeight w:val="432"/>
          <w:tblHeader/>
          <w:jc w:val="center"/>
        </w:trPr>
        <w:tc>
          <w:tcPr>
            <w:tcW w:w="1494" w:type="pct"/>
            <w:gridSpan w:val="2"/>
            <w:vAlign w:val="center"/>
          </w:tcPr>
          <w:p w14:paraId="51EE19FF"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rPr>
              <w:t>生产设备</w:t>
            </w:r>
          </w:p>
        </w:tc>
        <w:tc>
          <w:tcPr>
            <w:tcW w:w="633" w:type="pct"/>
            <w:vMerge w:val="restart"/>
            <w:vAlign w:val="center"/>
          </w:tcPr>
          <w:p w14:paraId="3668240E"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rPr>
              <w:t>数量</w:t>
            </w:r>
          </w:p>
          <w:p w14:paraId="543BED73"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rPr>
              <w:t>（台</w:t>
            </w:r>
            <w:r w:rsidRPr="008A2411">
              <w:rPr>
                <w:rFonts w:ascii="Times New Roman" w:hAnsi="Times New Roman"/>
                <w:color w:val="000000" w:themeColor="text1"/>
              </w:rPr>
              <w:t>/</w:t>
            </w:r>
            <w:r w:rsidRPr="008A2411">
              <w:rPr>
                <w:rFonts w:ascii="Times New Roman" w:hAnsi="Times New Roman"/>
                <w:color w:val="000000" w:themeColor="text1"/>
              </w:rPr>
              <w:t>套）</w:t>
            </w:r>
          </w:p>
        </w:tc>
        <w:tc>
          <w:tcPr>
            <w:tcW w:w="645" w:type="pct"/>
            <w:vMerge w:val="restart"/>
            <w:vAlign w:val="center"/>
          </w:tcPr>
          <w:p w14:paraId="1A112FBE" w14:textId="77777777" w:rsidR="00B0005F" w:rsidRPr="008A2411" w:rsidRDefault="00000000">
            <w:pPr>
              <w:pStyle w:val="WJ4"/>
              <w:rPr>
                <w:rFonts w:ascii="Times New Roman" w:eastAsiaTheme="minorEastAsia" w:hAnsi="Times New Roman"/>
                <w:color w:val="000000" w:themeColor="text1"/>
              </w:rPr>
            </w:pPr>
            <w:r w:rsidRPr="008A2411">
              <w:rPr>
                <w:rFonts w:ascii="Times New Roman" w:eastAsiaTheme="minorEastAsia" w:hAnsi="Times New Roman"/>
                <w:color w:val="000000" w:themeColor="text1"/>
              </w:rPr>
              <w:t>单台噪声源强</w:t>
            </w:r>
          </w:p>
          <w:p w14:paraId="20615322"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eastAsiaTheme="minorEastAsia" w:hAnsi="Times New Roman"/>
                <w:color w:val="000000" w:themeColor="text1"/>
              </w:rPr>
              <w:t>[dB</w:t>
            </w:r>
            <w:r w:rsidRPr="008A2411">
              <w:rPr>
                <w:rFonts w:ascii="Times New Roman" w:eastAsiaTheme="minorEastAsia" w:hAnsi="Times New Roman"/>
                <w:color w:val="000000" w:themeColor="text1"/>
              </w:rPr>
              <w:t>（</w:t>
            </w:r>
            <w:r w:rsidRPr="008A2411">
              <w:rPr>
                <w:rFonts w:ascii="Times New Roman" w:eastAsiaTheme="minorEastAsia" w:hAnsi="Times New Roman"/>
                <w:color w:val="000000" w:themeColor="text1"/>
              </w:rPr>
              <w:t>A</w:t>
            </w:r>
            <w:r w:rsidRPr="008A2411">
              <w:rPr>
                <w:rFonts w:ascii="Times New Roman" w:eastAsiaTheme="minorEastAsia" w:hAnsi="Times New Roman"/>
                <w:color w:val="000000" w:themeColor="text1"/>
              </w:rPr>
              <w:t>）</w:t>
            </w:r>
            <w:r w:rsidRPr="008A2411">
              <w:rPr>
                <w:rFonts w:ascii="Times New Roman" w:eastAsiaTheme="minorEastAsia" w:hAnsi="Times New Roman"/>
                <w:color w:val="000000" w:themeColor="text1"/>
              </w:rPr>
              <w:t>]</w:t>
            </w:r>
          </w:p>
        </w:tc>
        <w:tc>
          <w:tcPr>
            <w:tcW w:w="1021" w:type="pct"/>
            <w:vMerge w:val="restart"/>
            <w:vAlign w:val="center"/>
          </w:tcPr>
          <w:p w14:paraId="50BF014A"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eastAsiaTheme="minorEastAsia" w:hAnsi="Times New Roman"/>
                <w:color w:val="000000" w:themeColor="text1"/>
              </w:rPr>
              <w:t>治理措施</w:t>
            </w:r>
          </w:p>
        </w:tc>
        <w:tc>
          <w:tcPr>
            <w:tcW w:w="586" w:type="pct"/>
            <w:vMerge w:val="restart"/>
            <w:vAlign w:val="center"/>
          </w:tcPr>
          <w:p w14:paraId="4AA147BA"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eastAsiaTheme="minorEastAsia" w:hAnsi="Times New Roman"/>
                <w:color w:val="000000" w:themeColor="text1"/>
              </w:rPr>
              <w:t>治理后噪声源强</w:t>
            </w:r>
            <w:r w:rsidRPr="008A2411">
              <w:rPr>
                <w:rFonts w:ascii="Times New Roman" w:eastAsiaTheme="minorEastAsia" w:hAnsi="Times New Roman"/>
                <w:color w:val="000000" w:themeColor="text1"/>
              </w:rPr>
              <w:t>[dB</w:t>
            </w:r>
            <w:r w:rsidRPr="008A2411">
              <w:rPr>
                <w:rFonts w:ascii="Times New Roman" w:eastAsiaTheme="minorEastAsia" w:hAnsi="Times New Roman"/>
                <w:color w:val="000000" w:themeColor="text1"/>
              </w:rPr>
              <w:t>（</w:t>
            </w:r>
            <w:r w:rsidRPr="008A2411">
              <w:rPr>
                <w:rFonts w:ascii="Times New Roman" w:eastAsiaTheme="minorEastAsia" w:hAnsi="Times New Roman"/>
                <w:color w:val="000000" w:themeColor="text1"/>
              </w:rPr>
              <w:t>A</w:t>
            </w:r>
            <w:r w:rsidRPr="008A2411">
              <w:rPr>
                <w:rFonts w:ascii="Times New Roman" w:eastAsiaTheme="minorEastAsia" w:hAnsi="Times New Roman"/>
                <w:color w:val="000000" w:themeColor="text1"/>
              </w:rPr>
              <w:t>）</w:t>
            </w:r>
            <w:r w:rsidRPr="008A2411">
              <w:rPr>
                <w:rFonts w:ascii="Times New Roman" w:eastAsiaTheme="minorEastAsia" w:hAnsi="Times New Roman"/>
                <w:color w:val="000000" w:themeColor="text1"/>
              </w:rPr>
              <w:t>]</w:t>
            </w:r>
          </w:p>
        </w:tc>
        <w:tc>
          <w:tcPr>
            <w:tcW w:w="618" w:type="pct"/>
            <w:vMerge w:val="restart"/>
            <w:vAlign w:val="center"/>
          </w:tcPr>
          <w:p w14:paraId="28498E3A"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eastAsiaTheme="minorEastAsia" w:hAnsi="Times New Roman"/>
                <w:color w:val="000000" w:themeColor="text1"/>
              </w:rPr>
              <w:t>排放规律</w:t>
            </w:r>
          </w:p>
        </w:tc>
      </w:tr>
      <w:tr w:rsidR="008A2411" w:rsidRPr="008A2411" w14:paraId="3A5EF63A" w14:textId="77777777">
        <w:trPr>
          <w:trHeight w:val="432"/>
          <w:tblHeader/>
          <w:jc w:val="center"/>
        </w:trPr>
        <w:tc>
          <w:tcPr>
            <w:tcW w:w="717" w:type="pct"/>
            <w:vAlign w:val="center"/>
          </w:tcPr>
          <w:p w14:paraId="03AE37FF"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rPr>
              <w:t>功能区</w:t>
            </w:r>
          </w:p>
        </w:tc>
        <w:tc>
          <w:tcPr>
            <w:tcW w:w="777" w:type="pct"/>
            <w:vAlign w:val="center"/>
          </w:tcPr>
          <w:p w14:paraId="4DA6E436"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rPr>
              <w:t>设备名称</w:t>
            </w:r>
          </w:p>
        </w:tc>
        <w:tc>
          <w:tcPr>
            <w:tcW w:w="633" w:type="pct"/>
            <w:vMerge/>
            <w:vAlign w:val="center"/>
          </w:tcPr>
          <w:p w14:paraId="168DDCC3" w14:textId="77777777" w:rsidR="00B0005F" w:rsidRPr="008A2411" w:rsidRDefault="00B0005F">
            <w:pPr>
              <w:pStyle w:val="WJ4"/>
              <w:spacing w:line="240" w:lineRule="auto"/>
              <w:rPr>
                <w:rFonts w:ascii="Times New Roman" w:hAnsi="Times New Roman"/>
                <w:color w:val="000000" w:themeColor="text1"/>
              </w:rPr>
            </w:pPr>
          </w:p>
        </w:tc>
        <w:tc>
          <w:tcPr>
            <w:tcW w:w="645" w:type="pct"/>
            <w:vMerge/>
            <w:vAlign w:val="center"/>
          </w:tcPr>
          <w:p w14:paraId="5B5AE2F4" w14:textId="77777777" w:rsidR="00B0005F" w:rsidRPr="008A2411" w:rsidRDefault="00B0005F">
            <w:pPr>
              <w:pStyle w:val="WJ4"/>
              <w:spacing w:line="240" w:lineRule="auto"/>
              <w:rPr>
                <w:rFonts w:ascii="Times New Roman" w:hAnsi="Times New Roman"/>
                <w:color w:val="000000" w:themeColor="text1"/>
              </w:rPr>
            </w:pPr>
          </w:p>
        </w:tc>
        <w:tc>
          <w:tcPr>
            <w:tcW w:w="1021" w:type="pct"/>
            <w:vMerge/>
            <w:vAlign w:val="center"/>
          </w:tcPr>
          <w:p w14:paraId="48C19ABC" w14:textId="77777777" w:rsidR="00B0005F" w:rsidRPr="008A2411" w:rsidRDefault="00B0005F">
            <w:pPr>
              <w:pStyle w:val="WJ4"/>
              <w:spacing w:line="240" w:lineRule="auto"/>
              <w:rPr>
                <w:rFonts w:ascii="Times New Roman" w:hAnsi="Times New Roman"/>
                <w:color w:val="000000" w:themeColor="text1"/>
              </w:rPr>
            </w:pPr>
          </w:p>
        </w:tc>
        <w:tc>
          <w:tcPr>
            <w:tcW w:w="586" w:type="pct"/>
            <w:vMerge/>
            <w:vAlign w:val="center"/>
          </w:tcPr>
          <w:p w14:paraId="4659EDF2" w14:textId="77777777" w:rsidR="00B0005F" w:rsidRPr="008A2411" w:rsidRDefault="00B0005F">
            <w:pPr>
              <w:pStyle w:val="WJ4"/>
              <w:spacing w:line="240" w:lineRule="auto"/>
              <w:rPr>
                <w:rFonts w:ascii="Times New Roman" w:hAnsi="Times New Roman"/>
                <w:color w:val="000000" w:themeColor="text1"/>
              </w:rPr>
            </w:pPr>
          </w:p>
        </w:tc>
        <w:tc>
          <w:tcPr>
            <w:tcW w:w="618" w:type="pct"/>
            <w:vMerge/>
            <w:vAlign w:val="center"/>
          </w:tcPr>
          <w:p w14:paraId="030A39FB" w14:textId="77777777" w:rsidR="00B0005F" w:rsidRPr="008A2411" w:rsidRDefault="00B0005F">
            <w:pPr>
              <w:pStyle w:val="WJ4"/>
              <w:spacing w:line="240" w:lineRule="auto"/>
              <w:rPr>
                <w:rFonts w:ascii="Times New Roman" w:hAnsi="Times New Roman"/>
                <w:color w:val="000000" w:themeColor="text1"/>
              </w:rPr>
            </w:pPr>
          </w:p>
        </w:tc>
      </w:tr>
      <w:tr w:rsidR="008A2411" w:rsidRPr="008A2411" w14:paraId="3E7670C7" w14:textId="77777777">
        <w:trPr>
          <w:tblHeader/>
          <w:jc w:val="center"/>
        </w:trPr>
        <w:tc>
          <w:tcPr>
            <w:tcW w:w="717" w:type="pct"/>
            <w:vMerge w:val="restart"/>
            <w:vAlign w:val="center"/>
          </w:tcPr>
          <w:p w14:paraId="6818D0B5"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rPr>
              <w:t>脱酸单元</w:t>
            </w:r>
          </w:p>
        </w:tc>
        <w:tc>
          <w:tcPr>
            <w:tcW w:w="777" w:type="pct"/>
            <w:vAlign w:val="center"/>
          </w:tcPr>
          <w:p w14:paraId="1B0BA518"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贫液泵</w:t>
            </w:r>
          </w:p>
        </w:tc>
        <w:tc>
          <w:tcPr>
            <w:tcW w:w="633" w:type="pct"/>
            <w:vAlign w:val="center"/>
          </w:tcPr>
          <w:p w14:paraId="28C94E6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2</w:t>
            </w:r>
            <w:r w:rsidRPr="008A2411">
              <w:rPr>
                <w:rFonts w:ascii="Times New Roman" w:eastAsia="宋体" w:hAnsi="Times New Roman" w:cs="Times New Roman"/>
                <w:color w:val="000000" w:themeColor="text1"/>
                <w:kern w:val="2"/>
                <w:sz w:val="21"/>
                <w:szCs w:val="21"/>
              </w:rPr>
              <w:t>（</w:t>
            </w:r>
            <w:r w:rsidRPr="008A2411">
              <w:rPr>
                <w:rFonts w:ascii="Times New Roman" w:eastAsia="宋体" w:hAnsi="Times New Roman" w:cs="Times New Roman"/>
                <w:color w:val="000000" w:themeColor="text1"/>
                <w:kern w:val="2"/>
                <w:sz w:val="21"/>
                <w:szCs w:val="21"/>
              </w:rPr>
              <w:t>1</w:t>
            </w:r>
            <w:r w:rsidRPr="008A2411">
              <w:rPr>
                <w:rFonts w:ascii="Times New Roman" w:eastAsia="宋体" w:hAnsi="Times New Roman" w:cs="Times New Roman"/>
                <w:color w:val="000000" w:themeColor="text1"/>
                <w:kern w:val="2"/>
                <w:sz w:val="21"/>
                <w:szCs w:val="21"/>
              </w:rPr>
              <w:t>备）</w:t>
            </w:r>
          </w:p>
        </w:tc>
        <w:tc>
          <w:tcPr>
            <w:tcW w:w="645" w:type="pct"/>
            <w:vAlign w:val="center"/>
          </w:tcPr>
          <w:p w14:paraId="4DD29B17"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90</w:t>
            </w:r>
            <w:r w:rsidRPr="008A2411">
              <w:rPr>
                <w:rFonts w:ascii="Times New Roman" w:eastAsia="宋体" w:hAnsi="Times New Roman" w:cs="Times New Roman"/>
                <w:color w:val="000000" w:themeColor="text1"/>
                <w:kern w:val="2"/>
                <w:sz w:val="21"/>
                <w:szCs w:val="21"/>
              </w:rPr>
              <w:t>～</w:t>
            </w:r>
            <w:r w:rsidRPr="008A2411">
              <w:rPr>
                <w:rFonts w:ascii="Times New Roman" w:eastAsia="宋体" w:hAnsi="Times New Roman" w:cs="Times New Roman"/>
                <w:color w:val="000000" w:themeColor="text1"/>
                <w:kern w:val="2"/>
                <w:sz w:val="21"/>
                <w:szCs w:val="21"/>
              </w:rPr>
              <w:t>95</w:t>
            </w:r>
          </w:p>
        </w:tc>
        <w:tc>
          <w:tcPr>
            <w:tcW w:w="1021" w:type="pct"/>
            <w:vMerge w:val="restart"/>
            <w:vAlign w:val="center"/>
          </w:tcPr>
          <w:p w14:paraId="2394A5FC"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选用低噪声设备，合理布局，减振安装等</w:t>
            </w:r>
          </w:p>
        </w:tc>
        <w:tc>
          <w:tcPr>
            <w:tcW w:w="586" w:type="pct"/>
            <w:vAlign w:val="center"/>
          </w:tcPr>
          <w:p w14:paraId="18B08C37"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8</w:t>
            </w:r>
            <w:r w:rsidRPr="008A2411">
              <w:rPr>
                <w:rFonts w:ascii="Times New Roman" w:eastAsia="宋体" w:hAnsi="Times New Roman" w:cs="Times New Roman" w:hint="eastAsia"/>
                <w:color w:val="000000" w:themeColor="text1"/>
                <w:kern w:val="2"/>
                <w:sz w:val="21"/>
                <w:szCs w:val="21"/>
              </w:rPr>
              <w:t>5</w:t>
            </w:r>
          </w:p>
        </w:tc>
        <w:tc>
          <w:tcPr>
            <w:tcW w:w="618" w:type="pct"/>
            <w:vAlign w:val="center"/>
          </w:tcPr>
          <w:p w14:paraId="47FFE163"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eastAsiaTheme="minorEastAsia"/>
                <w:color w:val="000000" w:themeColor="text1"/>
                <w:kern w:val="24"/>
                <w:sz w:val="21"/>
                <w:szCs w:val="21"/>
              </w:rPr>
              <w:t>连续</w:t>
            </w:r>
          </w:p>
        </w:tc>
      </w:tr>
      <w:tr w:rsidR="008A2411" w:rsidRPr="008A2411" w14:paraId="6172FF27" w14:textId="77777777">
        <w:trPr>
          <w:tblHeader/>
          <w:jc w:val="center"/>
        </w:trPr>
        <w:tc>
          <w:tcPr>
            <w:tcW w:w="717" w:type="pct"/>
            <w:vMerge/>
            <w:vAlign w:val="center"/>
          </w:tcPr>
          <w:p w14:paraId="60D145A7" w14:textId="77777777" w:rsidR="00B0005F" w:rsidRPr="008A2411" w:rsidRDefault="00B0005F">
            <w:pPr>
              <w:pStyle w:val="WJ4"/>
              <w:spacing w:line="240" w:lineRule="auto"/>
              <w:rPr>
                <w:rFonts w:ascii="Times New Roman" w:hAnsi="Times New Roman"/>
                <w:color w:val="000000" w:themeColor="text1"/>
              </w:rPr>
            </w:pPr>
          </w:p>
        </w:tc>
        <w:tc>
          <w:tcPr>
            <w:tcW w:w="777" w:type="pct"/>
            <w:vAlign w:val="center"/>
          </w:tcPr>
          <w:p w14:paraId="5769FCD2"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液下泵</w:t>
            </w:r>
          </w:p>
        </w:tc>
        <w:tc>
          <w:tcPr>
            <w:tcW w:w="633" w:type="pct"/>
            <w:vAlign w:val="center"/>
          </w:tcPr>
          <w:p w14:paraId="1814E65F"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1</w:t>
            </w:r>
          </w:p>
        </w:tc>
        <w:tc>
          <w:tcPr>
            <w:tcW w:w="645" w:type="pct"/>
            <w:vAlign w:val="center"/>
          </w:tcPr>
          <w:p w14:paraId="74D69B6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90</w:t>
            </w:r>
            <w:r w:rsidRPr="008A2411">
              <w:rPr>
                <w:rFonts w:ascii="Times New Roman" w:eastAsia="宋体" w:hAnsi="Times New Roman" w:cs="Times New Roman"/>
                <w:color w:val="000000" w:themeColor="text1"/>
                <w:kern w:val="2"/>
                <w:sz w:val="21"/>
                <w:szCs w:val="21"/>
              </w:rPr>
              <w:t>～</w:t>
            </w:r>
            <w:r w:rsidRPr="008A2411">
              <w:rPr>
                <w:rFonts w:ascii="Times New Roman" w:eastAsia="宋体" w:hAnsi="Times New Roman" w:cs="Times New Roman"/>
                <w:color w:val="000000" w:themeColor="text1"/>
                <w:kern w:val="2"/>
                <w:sz w:val="21"/>
                <w:szCs w:val="21"/>
              </w:rPr>
              <w:t>95</w:t>
            </w:r>
          </w:p>
        </w:tc>
        <w:tc>
          <w:tcPr>
            <w:tcW w:w="1021" w:type="pct"/>
            <w:vMerge/>
            <w:vAlign w:val="center"/>
          </w:tcPr>
          <w:p w14:paraId="6815D1C1"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586" w:type="pct"/>
            <w:vAlign w:val="center"/>
          </w:tcPr>
          <w:p w14:paraId="281CD0A0"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8</w:t>
            </w:r>
            <w:r w:rsidRPr="008A2411">
              <w:rPr>
                <w:rFonts w:ascii="Times New Roman" w:eastAsia="宋体" w:hAnsi="Times New Roman" w:cs="Times New Roman" w:hint="eastAsia"/>
                <w:color w:val="000000" w:themeColor="text1"/>
                <w:kern w:val="2"/>
                <w:sz w:val="21"/>
                <w:szCs w:val="21"/>
              </w:rPr>
              <w:t>5</w:t>
            </w:r>
          </w:p>
        </w:tc>
        <w:tc>
          <w:tcPr>
            <w:tcW w:w="618" w:type="pct"/>
            <w:vAlign w:val="center"/>
          </w:tcPr>
          <w:p w14:paraId="747C5919"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eastAsiaTheme="minorEastAsia"/>
                <w:color w:val="000000" w:themeColor="text1"/>
                <w:kern w:val="24"/>
                <w:sz w:val="21"/>
                <w:szCs w:val="21"/>
              </w:rPr>
              <w:t>连续</w:t>
            </w:r>
          </w:p>
        </w:tc>
      </w:tr>
      <w:tr w:rsidR="008A2411" w:rsidRPr="008A2411" w14:paraId="29A3A846" w14:textId="77777777">
        <w:trPr>
          <w:trHeight w:val="90"/>
          <w:tblHeader/>
          <w:jc w:val="center"/>
        </w:trPr>
        <w:tc>
          <w:tcPr>
            <w:tcW w:w="717" w:type="pct"/>
            <w:vMerge/>
            <w:vAlign w:val="center"/>
          </w:tcPr>
          <w:p w14:paraId="13B36ABD" w14:textId="77777777" w:rsidR="00B0005F" w:rsidRPr="008A2411" w:rsidRDefault="00B0005F">
            <w:pPr>
              <w:pStyle w:val="WJ4"/>
              <w:spacing w:line="240" w:lineRule="auto"/>
              <w:rPr>
                <w:rFonts w:ascii="Times New Roman" w:hAnsi="Times New Roman"/>
                <w:color w:val="000000" w:themeColor="text1"/>
              </w:rPr>
            </w:pPr>
          </w:p>
        </w:tc>
        <w:tc>
          <w:tcPr>
            <w:tcW w:w="777" w:type="pct"/>
            <w:vAlign w:val="center"/>
          </w:tcPr>
          <w:p w14:paraId="651299E4"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回收泵</w:t>
            </w:r>
          </w:p>
        </w:tc>
        <w:tc>
          <w:tcPr>
            <w:tcW w:w="633" w:type="pct"/>
            <w:vAlign w:val="center"/>
          </w:tcPr>
          <w:p w14:paraId="15A6B9BD"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2</w:t>
            </w:r>
            <w:r w:rsidRPr="008A2411">
              <w:rPr>
                <w:rFonts w:ascii="Times New Roman" w:eastAsia="宋体" w:hAnsi="Times New Roman" w:cs="Times New Roman"/>
                <w:color w:val="000000" w:themeColor="text1"/>
                <w:kern w:val="2"/>
                <w:sz w:val="21"/>
                <w:szCs w:val="21"/>
              </w:rPr>
              <w:t>（</w:t>
            </w:r>
            <w:r w:rsidRPr="008A2411">
              <w:rPr>
                <w:rFonts w:ascii="Times New Roman" w:eastAsia="宋体" w:hAnsi="Times New Roman" w:cs="Times New Roman"/>
                <w:color w:val="000000" w:themeColor="text1"/>
                <w:kern w:val="2"/>
                <w:sz w:val="21"/>
                <w:szCs w:val="21"/>
              </w:rPr>
              <w:t>1</w:t>
            </w:r>
            <w:r w:rsidRPr="008A2411">
              <w:rPr>
                <w:rFonts w:ascii="Times New Roman" w:eastAsia="宋体" w:hAnsi="Times New Roman" w:cs="Times New Roman"/>
                <w:color w:val="000000" w:themeColor="text1"/>
                <w:kern w:val="2"/>
                <w:sz w:val="21"/>
                <w:szCs w:val="21"/>
              </w:rPr>
              <w:t>备）</w:t>
            </w:r>
          </w:p>
        </w:tc>
        <w:tc>
          <w:tcPr>
            <w:tcW w:w="645" w:type="pct"/>
            <w:vAlign w:val="center"/>
          </w:tcPr>
          <w:p w14:paraId="38304F71"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90</w:t>
            </w:r>
            <w:r w:rsidRPr="008A2411">
              <w:rPr>
                <w:rFonts w:ascii="Times New Roman" w:eastAsia="宋体" w:hAnsi="Times New Roman" w:cs="Times New Roman"/>
                <w:color w:val="000000" w:themeColor="text1"/>
                <w:kern w:val="2"/>
                <w:sz w:val="21"/>
                <w:szCs w:val="21"/>
              </w:rPr>
              <w:t>～</w:t>
            </w:r>
            <w:r w:rsidRPr="008A2411">
              <w:rPr>
                <w:rFonts w:ascii="Times New Roman" w:eastAsia="宋体" w:hAnsi="Times New Roman" w:cs="Times New Roman"/>
                <w:color w:val="000000" w:themeColor="text1"/>
                <w:kern w:val="2"/>
                <w:sz w:val="21"/>
                <w:szCs w:val="21"/>
              </w:rPr>
              <w:t>95</w:t>
            </w:r>
          </w:p>
        </w:tc>
        <w:tc>
          <w:tcPr>
            <w:tcW w:w="1021" w:type="pct"/>
            <w:vMerge/>
            <w:vAlign w:val="center"/>
          </w:tcPr>
          <w:p w14:paraId="30647C57"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586" w:type="pct"/>
            <w:vAlign w:val="center"/>
          </w:tcPr>
          <w:p w14:paraId="1A02EABA"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8</w:t>
            </w:r>
            <w:r w:rsidRPr="008A2411">
              <w:rPr>
                <w:rFonts w:ascii="Times New Roman" w:eastAsia="宋体" w:hAnsi="Times New Roman" w:cs="Times New Roman" w:hint="eastAsia"/>
                <w:color w:val="000000" w:themeColor="text1"/>
                <w:kern w:val="2"/>
                <w:sz w:val="21"/>
                <w:szCs w:val="21"/>
              </w:rPr>
              <w:t>5</w:t>
            </w:r>
          </w:p>
        </w:tc>
        <w:tc>
          <w:tcPr>
            <w:tcW w:w="618" w:type="pct"/>
            <w:vAlign w:val="center"/>
          </w:tcPr>
          <w:p w14:paraId="7CF3A23B"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eastAsiaTheme="minorEastAsia"/>
                <w:color w:val="000000" w:themeColor="text1"/>
                <w:kern w:val="24"/>
                <w:sz w:val="21"/>
                <w:szCs w:val="21"/>
              </w:rPr>
              <w:t>连续</w:t>
            </w:r>
          </w:p>
        </w:tc>
      </w:tr>
      <w:tr w:rsidR="008A2411" w:rsidRPr="008A2411" w14:paraId="6B52E8CB" w14:textId="77777777">
        <w:trPr>
          <w:trHeight w:val="708"/>
          <w:tblHeader/>
          <w:jc w:val="center"/>
        </w:trPr>
        <w:tc>
          <w:tcPr>
            <w:tcW w:w="717" w:type="pct"/>
            <w:vAlign w:val="center"/>
          </w:tcPr>
          <w:p w14:paraId="067B3C35"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kern w:val="2"/>
                <w:szCs w:val="24"/>
                <w:lang w:bidi="ar"/>
              </w:rPr>
              <w:t>LNG</w:t>
            </w:r>
            <w:r w:rsidRPr="008A2411">
              <w:rPr>
                <w:rFonts w:ascii="Times New Roman" w:hAnsi="Times New Roman"/>
                <w:color w:val="000000" w:themeColor="text1"/>
                <w:kern w:val="2"/>
                <w:szCs w:val="24"/>
                <w:lang w:bidi="ar"/>
              </w:rPr>
              <w:t>储存及充装系统</w:t>
            </w:r>
          </w:p>
        </w:tc>
        <w:tc>
          <w:tcPr>
            <w:tcW w:w="777" w:type="pct"/>
            <w:vAlign w:val="center"/>
          </w:tcPr>
          <w:p w14:paraId="40C16843"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LNG</w:t>
            </w:r>
            <w:proofErr w:type="gramStart"/>
            <w:r w:rsidRPr="008A2411">
              <w:rPr>
                <w:rFonts w:ascii="Times New Roman" w:eastAsia="宋体" w:hAnsi="Times New Roman" w:cs="Times New Roman"/>
                <w:color w:val="000000" w:themeColor="text1"/>
                <w:kern w:val="2"/>
                <w:sz w:val="21"/>
                <w:szCs w:val="21"/>
              </w:rPr>
              <w:t>充车泵</w:t>
            </w:r>
            <w:proofErr w:type="gramEnd"/>
          </w:p>
        </w:tc>
        <w:tc>
          <w:tcPr>
            <w:tcW w:w="633" w:type="pct"/>
            <w:vAlign w:val="center"/>
          </w:tcPr>
          <w:p w14:paraId="56C9B638"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2</w:t>
            </w:r>
          </w:p>
        </w:tc>
        <w:tc>
          <w:tcPr>
            <w:tcW w:w="645" w:type="pct"/>
            <w:vAlign w:val="center"/>
          </w:tcPr>
          <w:p w14:paraId="1360610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90</w:t>
            </w:r>
            <w:r w:rsidRPr="008A2411">
              <w:rPr>
                <w:rFonts w:ascii="Times New Roman" w:eastAsia="宋体" w:hAnsi="Times New Roman" w:cs="Times New Roman"/>
                <w:color w:val="000000" w:themeColor="text1"/>
                <w:kern w:val="2"/>
                <w:sz w:val="21"/>
                <w:szCs w:val="21"/>
              </w:rPr>
              <w:t>～</w:t>
            </w:r>
            <w:r w:rsidRPr="008A2411">
              <w:rPr>
                <w:rFonts w:ascii="Times New Roman" w:eastAsia="宋体" w:hAnsi="Times New Roman" w:cs="Times New Roman"/>
                <w:color w:val="000000" w:themeColor="text1"/>
                <w:kern w:val="2"/>
                <w:sz w:val="21"/>
                <w:szCs w:val="21"/>
              </w:rPr>
              <w:t>95</w:t>
            </w:r>
          </w:p>
        </w:tc>
        <w:tc>
          <w:tcPr>
            <w:tcW w:w="1021" w:type="pct"/>
            <w:vMerge/>
            <w:vAlign w:val="center"/>
          </w:tcPr>
          <w:p w14:paraId="73782056"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586" w:type="pct"/>
            <w:vAlign w:val="center"/>
          </w:tcPr>
          <w:p w14:paraId="627D83AB"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8</w:t>
            </w:r>
            <w:r w:rsidRPr="008A2411">
              <w:rPr>
                <w:rFonts w:ascii="Times New Roman" w:eastAsia="宋体" w:hAnsi="Times New Roman" w:cs="Times New Roman" w:hint="eastAsia"/>
                <w:color w:val="000000" w:themeColor="text1"/>
                <w:kern w:val="2"/>
                <w:sz w:val="21"/>
                <w:szCs w:val="21"/>
              </w:rPr>
              <w:t>5</w:t>
            </w:r>
          </w:p>
        </w:tc>
        <w:tc>
          <w:tcPr>
            <w:tcW w:w="618" w:type="pct"/>
            <w:vAlign w:val="center"/>
          </w:tcPr>
          <w:p w14:paraId="04311DDA"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eastAsiaTheme="minorEastAsia"/>
                <w:color w:val="000000" w:themeColor="text1"/>
                <w:kern w:val="24"/>
                <w:sz w:val="21"/>
                <w:szCs w:val="21"/>
              </w:rPr>
              <w:t>连续</w:t>
            </w:r>
          </w:p>
        </w:tc>
      </w:tr>
      <w:tr w:rsidR="008A2411" w:rsidRPr="008A2411" w14:paraId="27FCAE97" w14:textId="77777777">
        <w:trPr>
          <w:trHeight w:val="494"/>
          <w:tblHeader/>
          <w:jc w:val="center"/>
        </w:trPr>
        <w:tc>
          <w:tcPr>
            <w:tcW w:w="717" w:type="pct"/>
            <w:vAlign w:val="center"/>
          </w:tcPr>
          <w:p w14:paraId="66B9A137"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kern w:val="2"/>
                <w:szCs w:val="24"/>
                <w:lang w:bidi="ar"/>
              </w:rPr>
              <w:t>BOG</w:t>
            </w:r>
            <w:r w:rsidRPr="008A2411">
              <w:rPr>
                <w:rFonts w:ascii="Times New Roman" w:hAnsi="Times New Roman"/>
                <w:color w:val="000000" w:themeColor="text1"/>
                <w:kern w:val="2"/>
                <w:szCs w:val="24"/>
                <w:lang w:bidi="ar"/>
              </w:rPr>
              <w:t>回收系统</w:t>
            </w:r>
          </w:p>
        </w:tc>
        <w:tc>
          <w:tcPr>
            <w:tcW w:w="777" w:type="pct"/>
            <w:vAlign w:val="center"/>
          </w:tcPr>
          <w:p w14:paraId="7A6AA35A"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BOG</w:t>
            </w:r>
            <w:r w:rsidRPr="008A2411">
              <w:rPr>
                <w:rFonts w:ascii="Times New Roman" w:eastAsia="宋体" w:hAnsi="Times New Roman" w:cs="Times New Roman"/>
                <w:color w:val="000000" w:themeColor="text1"/>
                <w:kern w:val="2"/>
                <w:sz w:val="21"/>
                <w:szCs w:val="21"/>
              </w:rPr>
              <w:t>压缩机</w:t>
            </w:r>
          </w:p>
        </w:tc>
        <w:tc>
          <w:tcPr>
            <w:tcW w:w="633" w:type="pct"/>
            <w:vAlign w:val="center"/>
          </w:tcPr>
          <w:p w14:paraId="6809B4DF"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2</w:t>
            </w:r>
          </w:p>
        </w:tc>
        <w:tc>
          <w:tcPr>
            <w:tcW w:w="645" w:type="pct"/>
            <w:vAlign w:val="center"/>
          </w:tcPr>
          <w:p w14:paraId="576CAE8B"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95~105</w:t>
            </w:r>
          </w:p>
        </w:tc>
        <w:tc>
          <w:tcPr>
            <w:tcW w:w="1021" w:type="pct"/>
            <w:vMerge/>
            <w:vAlign w:val="center"/>
          </w:tcPr>
          <w:p w14:paraId="7F70FB09"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586" w:type="pct"/>
            <w:vAlign w:val="center"/>
          </w:tcPr>
          <w:p w14:paraId="2C5B81BB"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hint="eastAsia"/>
                <w:color w:val="000000" w:themeColor="text1"/>
                <w:kern w:val="2"/>
                <w:sz w:val="21"/>
                <w:szCs w:val="21"/>
              </w:rPr>
              <w:t>90</w:t>
            </w:r>
          </w:p>
        </w:tc>
        <w:tc>
          <w:tcPr>
            <w:tcW w:w="618" w:type="pct"/>
            <w:vAlign w:val="center"/>
          </w:tcPr>
          <w:p w14:paraId="4D8CA758"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Theme="minorEastAsia" w:hAnsi="Times New Roman" w:cs="Times New Roman"/>
                <w:color w:val="000000" w:themeColor="text1"/>
                <w:kern w:val="24"/>
                <w:sz w:val="21"/>
                <w:szCs w:val="21"/>
              </w:rPr>
              <w:t>连续</w:t>
            </w:r>
          </w:p>
        </w:tc>
      </w:tr>
      <w:tr w:rsidR="008A2411" w:rsidRPr="008A2411" w14:paraId="5A0358A0" w14:textId="77777777">
        <w:trPr>
          <w:trHeight w:val="123"/>
          <w:tblHeader/>
          <w:jc w:val="center"/>
        </w:trPr>
        <w:tc>
          <w:tcPr>
            <w:tcW w:w="717" w:type="pct"/>
            <w:vMerge w:val="restart"/>
            <w:vAlign w:val="center"/>
          </w:tcPr>
          <w:p w14:paraId="23C2A59B"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szCs w:val="24"/>
              </w:rPr>
              <w:t>LNG</w:t>
            </w:r>
            <w:r w:rsidRPr="008A2411">
              <w:rPr>
                <w:rFonts w:ascii="Times New Roman" w:hAnsi="Times New Roman"/>
                <w:color w:val="000000" w:themeColor="text1"/>
                <w:szCs w:val="24"/>
              </w:rPr>
              <w:t>加注系统</w:t>
            </w:r>
          </w:p>
        </w:tc>
        <w:tc>
          <w:tcPr>
            <w:tcW w:w="777" w:type="pct"/>
            <w:vAlign w:val="center"/>
          </w:tcPr>
          <w:p w14:paraId="7D580179"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潜液泵</w:t>
            </w:r>
          </w:p>
        </w:tc>
        <w:tc>
          <w:tcPr>
            <w:tcW w:w="633" w:type="pct"/>
            <w:vAlign w:val="center"/>
          </w:tcPr>
          <w:p w14:paraId="343D7AD1"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1</w:t>
            </w:r>
          </w:p>
        </w:tc>
        <w:tc>
          <w:tcPr>
            <w:tcW w:w="645" w:type="pct"/>
            <w:vAlign w:val="center"/>
          </w:tcPr>
          <w:p w14:paraId="359D6125"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90</w:t>
            </w:r>
            <w:r w:rsidRPr="008A2411">
              <w:rPr>
                <w:rFonts w:ascii="Times New Roman" w:eastAsia="宋体" w:hAnsi="Times New Roman" w:cs="Times New Roman"/>
                <w:color w:val="000000" w:themeColor="text1"/>
                <w:kern w:val="2"/>
                <w:sz w:val="21"/>
                <w:szCs w:val="21"/>
              </w:rPr>
              <w:t>～</w:t>
            </w:r>
            <w:r w:rsidRPr="008A2411">
              <w:rPr>
                <w:rFonts w:ascii="Times New Roman" w:eastAsia="宋体" w:hAnsi="Times New Roman" w:cs="Times New Roman"/>
                <w:color w:val="000000" w:themeColor="text1"/>
                <w:kern w:val="2"/>
                <w:sz w:val="21"/>
                <w:szCs w:val="21"/>
              </w:rPr>
              <w:t>95</w:t>
            </w:r>
          </w:p>
        </w:tc>
        <w:tc>
          <w:tcPr>
            <w:tcW w:w="1021" w:type="pct"/>
            <w:vMerge/>
            <w:vAlign w:val="center"/>
          </w:tcPr>
          <w:p w14:paraId="71A48B46"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586" w:type="pct"/>
            <w:vAlign w:val="center"/>
          </w:tcPr>
          <w:p w14:paraId="507FFD88"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8</w:t>
            </w:r>
            <w:r w:rsidRPr="008A2411">
              <w:rPr>
                <w:rFonts w:ascii="Times New Roman" w:eastAsia="宋体" w:hAnsi="Times New Roman" w:cs="Times New Roman" w:hint="eastAsia"/>
                <w:color w:val="000000" w:themeColor="text1"/>
                <w:kern w:val="2"/>
                <w:sz w:val="21"/>
                <w:szCs w:val="21"/>
              </w:rPr>
              <w:t>5</w:t>
            </w:r>
          </w:p>
        </w:tc>
        <w:tc>
          <w:tcPr>
            <w:tcW w:w="618" w:type="pct"/>
            <w:vAlign w:val="center"/>
          </w:tcPr>
          <w:p w14:paraId="592E230C"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eastAsiaTheme="minorEastAsia"/>
                <w:color w:val="000000" w:themeColor="text1"/>
                <w:kern w:val="24"/>
                <w:sz w:val="21"/>
                <w:szCs w:val="21"/>
              </w:rPr>
              <w:t>连续</w:t>
            </w:r>
          </w:p>
        </w:tc>
      </w:tr>
      <w:tr w:rsidR="008A2411" w:rsidRPr="008A2411" w14:paraId="14AA11B9" w14:textId="77777777">
        <w:trPr>
          <w:trHeight w:val="362"/>
          <w:tblHeader/>
          <w:jc w:val="center"/>
        </w:trPr>
        <w:tc>
          <w:tcPr>
            <w:tcW w:w="717" w:type="pct"/>
            <w:vMerge/>
            <w:vAlign w:val="center"/>
          </w:tcPr>
          <w:p w14:paraId="4D6BE716" w14:textId="77777777" w:rsidR="00B0005F" w:rsidRPr="008A2411" w:rsidRDefault="00B0005F">
            <w:pPr>
              <w:pStyle w:val="WJ4"/>
              <w:spacing w:line="240" w:lineRule="auto"/>
              <w:rPr>
                <w:rFonts w:ascii="Times New Roman" w:hAnsi="Times New Roman"/>
                <w:color w:val="000000" w:themeColor="text1"/>
              </w:rPr>
            </w:pPr>
          </w:p>
        </w:tc>
        <w:tc>
          <w:tcPr>
            <w:tcW w:w="777" w:type="pct"/>
            <w:vAlign w:val="center"/>
          </w:tcPr>
          <w:p w14:paraId="3F8D2596"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储罐增压器</w:t>
            </w:r>
          </w:p>
        </w:tc>
        <w:tc>
          <w:tcPr>
            <w:tcW w:w="633" w:type="pct"/>
            <w:vAlign w:val="center"/>
          </w:tcPr>
          <w:p w14:paraId="24E7C93B"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1</w:t>
            </w:r>
          </w:p>
        </w:tc>
        <w:tc>
          <w:tcPr>
            <w:tcW w:w="645" w:type="pct"/>
            <w:vAlign w:val="center"/>
          </w:tcPr>
          <w:p w14:paraId="6B1F98D3"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95~105</w:t>
            </w:r>
          </w:p>
        </w:tc>
        <w:tc>
          <w:tcPr>
            <w:tcW w:w="1021" w:type="pct"/>
            <w:vMerge/>
            <w:vAlign w:val="center"/>
          </w:tcPr>
          <w:p w14:paraId="3636BFED"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586" w:type="pct"/>
            <w:vAlign w:val="center"/>
          </w:tcPr>
          <w:p w14:paraId="6D6DC8E0"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hint="eastAsia"/>
                <w:color w:val="000000" w:themeColor="text1"/>
                <w:kern w:val="2"/>
                <w:sz w:val="21"/>
                <w:szCs w:val="21"/>
              </w:rPr>
              <w:t>90</w:t>
            </w:r>
          </w:p>
        </w:tc>
        <w:tc>
          <w:tcPr>
            <w:tcW w:w="618" w:type="pct"/>
            <w:vAlign w:val="center"/>
          </w:tcPr>
          <w:p w14:paraId="27C03B27"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eastAsiaTheme="minorEastAsia"/>
                <w:color w:val="000000" w:themeColor="text1"/>
                <w:kern w:val="24"/>
                <w:sz w:val="21"/>
                <w:szCs w:val="21"/>
              </w:rPr>
              <w:t>连续</w:t>
            </w:r>
          </w:p>
        </w:tc>
      </w:tr>
      <w:tr w:rsidR="008A2411" w:rsidRPr="008A2411" w14:paraId="231AEBB5" w14:textId="77777777">
        <w:trPr>
          <w:tblHeader/>
          <w:jc w:val="center"/>
        </w:trPr>
        <w:tc>
          <w:tcPr>
            <w:tcW w:w="717" w:type="pct"/>
            <w:vAlign w:val="center"/>
          </w:tcPr>
          <w:p w14:paraId="5B76B5C8"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kern w:val="2"/>
                <w:szCs w:val="24"/>
                <w:lang w:bidi="ar"/>
              </w:rPr>
              <w:t>制氮系统</w:t>
            </w:r>
          </w:p>
        </w:tc>
        <w:tc>
          <w:tcPr>
            <w:tcW w:w="777" w:type="pct"/>
            <w:vAlign w:val="center"/>
          </w:tcPr>
          <w:p w14:paraId="74288FBF" w14:textId="77777777" w:rsidR="00B0005F" w:rsidRPr="008A2411" w:rsidRDefault="00000000">
            <w:pPr>
              <w:widowControl/>
              <w:adjustRightInd w:val="0"/>
              <w:snapToGrid w:val="0"/>
              <w:jc w:val="center"/>
              <w:rPr>
                <w:rFonts w:ascii="Times New Roman"/>
                <w:bCs/>
                <w:color w:val="000000" w:themeColor="text1"/>
                <w:kern w:val="2"/>
                <w:sz w:val="21"/>
                <w:szCs w:val="21"/>
                <w:lang w:bidi="ar"/>
              </w:rPr>
            </w:pPr>
            <w:r w:rsidRPr="008A2411">
              <w:rPr>
                <w:rFonts w:ascii="Times New Roman"/>
                <w:bCs/>
                <w:color w:val="000000" w:themeColor="text1"/>
                <w:kern w:val="2"/>
                <w:sz w:val="21"/>
                <w:szCs w:val="21"/>
                <w:lang w:bidi="ar"/>
              </w:rPr>
              <w:t>空压机</w:t>
            </w:r>
          </w:p>
        </w:tc>
        <w:tc>
          <w:tcPr>
            <w:tcW w:w="633" w:type="pct"/>
            <w:vAlign w:val="center"/>
          </w:tcPr>
          <w:p w14:paraId="531F8746" w14:textId="77777777" w:rsidR="00B0005F" w:rsidRPr="008A2411" w:rsidRDefault="00000000">
            <w:pPr>
              <w:widowControl/>
              <w:adjustRightInd w:val="0"/>
              <w:snapToGrid w:val="0"/>
              <w:jc w:val="center"/>
              <w:rPr>
                <w:rFonts w:ascii="Times New Roman"/>
                <w:bCs/>
                <w:color w:val="000000" w:themeColor="text1"/>
                <w:kern w:val="2"/>
                <w:sz w:val="21"/>
                <w:szCs w:val="21"/>
                <w:lang w:bidi="ar"/>
              </w:rPr>
            </w:pPr>
            <w:r w:rsidRPr="008A2411">
              <w:rPr>
                <w:rFonts w:ascii="Times New Roman"/>
                <w:bCs/>
                <w:color w:val="000000" w:themeColor="text1"/>
                <w:kern w:val="2"/>
                <w:sz w:val="21"/>
                <w:szCs w:val="21"/>
                <w:lang w:bidi="ar"/>
              </w:rPr>
              <w:t>1</w:t>
            </w:r>
          </w:p>
        </w:tc>
        <w:tc>
          <w:tcPr>
            <w:tcW w:w="645" w:type="pct"/>
            <w:vAlign w:val="center"/>
          </w:tcPr>
          <w:p w14:paraId="7B95700D"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95~105</w:t>
            </w:r>
          </w:p>
        </w:tc>
        <w:tc>
          <w:tcPr>
            <w:tcW w:w="1021" w:type="pct"/>
            <w:vMerge w:val="restart"/>
            <w:vAlign w:val="center"/>
          </w:tcPr>
          <w:p w14:paraId="2EF8AAF2"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选用低噪声设备，合理布局，减振安装，进风口加装消音器等</w:t>
            </w:r>
          </w:p>
        </w:tc>
        <w:tc>
          <w:tcPr>
            <w:tcW w:w="586" w:type="pct"/>
            <w:vAlign w:val="center"/>
          </w:tcPr>
          <w:p w14:paraId="14C2C216" w14:textId="77777777" w:rsidR="00B0005F" w:rsidRPr="008A2411" w:rsidRDefault="00000000">
            <w:pPr>
              <w:widowControl/>
              <w:adjustRightInd w:val="0"/>
              <w:snapToGrid w:val="0"/>
              <w:jc w:val="center"/>
              <w:rPr>
                <w:rFonts w:ascii="Times New Roman"/>
                <w:bCs/>
                <w:color w:val="000000" w:themeColor="text1"/>
                <w:kern w:val="2"/>
                <w:sz w:val="21"/>
                <w:szCs w:val="21"/>
                <w:lang w:bidi="ar"/>
              </w:rPr>
            </w:pPr>
            <w:r w:rsidRPr="008A2411">
              <w:rPr>
                <w:rFonts w:ascii="Times New Roman" w:hint="eastAsia"/>
                <w:bCs/>
                <w:color w:val="000000" w:themeColor="text1"/>
                <w:kern w:val="2"/>
                <w:sz w:val="21"/>
                <w:szCs w:val="21"/>
                <w:lang w:bidi="ar"/>
              </w:rPr>
              <w:t>90</w:t>
            </w:r>
          </w:p>
        </w:tc>
        <w:tc>
          <w:tcPr>
            <w:tcW w:w="618" w:type="pct"/>
            <w:vAlign w:val="center"/>
          </w:tcPr>
          <w:p w14:paraId="0E9C7400" w14:textId="77777777" w:rsidR="00B0005F" w:rsidRPr="008A2411" w:rsidRDefault="00000000">
            <w:pPr>
              <w:widowControl/>
              <w:adjustRightInd w:val="0"/>
              <w:snapToGrid w:val="0"/>
              <w:jc w:val="center"/>
              <w:rPr>
                <w:rFonts w:ascii="Times New Roman"/>
                <w:bCs/>
                <w:color w:val="000000" w:themeColor="text1"/>
                <w:kern w:val="2"/>
                <w:sz w:val="21"/>
                <w:szCs w:val="21"/>
                <w:lang w:bidi="ar"/>
              </w:rPr>
            </w:pPr>
            <w:r w:rsidRPr="008A2411">
              <w:rPr>
                <w:rFonts w:ascii="Times New Roman" w:eastAsiaTheme="minorEastAsia"/>
                <w:color w:val="000000" w:themeColor="text1"/>
                <w:kern w:val="24"/>
                <w:sz w:val="21"/>
                <w:szCs w:val="21"/>
              </w:rPr>
              <w:t>连续</w:t>
            </w:r>
          </w:p>
        </w:tc>
      </w:tr>
      <w:tr w:rsidR="008A2411" w:rsidRPr="008A2411" w14:paraId="091F9591" w14:textId="77777777">
        <w:trPr>
          <w:tblHeader/>
          <w:jc w:val="center"/>
        </w:trPr>
        <w:tc>
          <w:tcPr>
            <w:tcW w:w="717" w:type="pct"/>
            <w:vAlign w:val="center"/>
          </w:tcPr>
          <w:p w14:paraId="5AD15213"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kern w:val="2"/>
                <w:szCs w:val="24"/>
                <w:lang w:bidi="ar"/>
              </w:rPr>
              <w:t>仪表空气系统</w:t>
            </w:r>
          </w:p>
        </w:tc>
        <w:tc>
          <w:tcPr>
            <w:tcW w:w="777" w:type="pct"/>
            <w:vAlign w:val="center"/>
          </w:tcPr>
          <w:p w14:paraId="2B467C25"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螺杆式空压机</w:t>
            </w:r>
          </w:p>
        </w:tc>
        <w:tc>
          <w:tcPr>
            <w:tcW w:w="633" w:type="pct"/>
            <w:vAlign w:val="center"/>
          </w:tcPr>
          <w:p w14:paraId="4A1557BB" w14:textId="77777777" w:rsidR="00B0005F" w:rsidRPr="008A2411" w:rsidRDefault="00000000">
            <w:pPr>
              <w:pStyle w:val="WJ5"/>
              <w:spacing w:line="240" w:lineRule="auto"/>
              <w:rPr>
                <w:rFonts w:ascii="Times New Roman" w:hAnsi="Times New Roman"/>
                <w:color w:val="000000" w:themeColor="text1"/>
                <w:lang w:bidi="ar"/>
              </w:rPr>
            </w:pPr>
            <w:r w:rsidRPr="008A2411">
              <w:rPr>
                <w:rFonts w:ascii="Times New Roman" w:hAnsi="Times New Roman"/>
                <w:color w:val="000000" w:themeColor="text1"/>
                <w:lang w:bidi="ar"/>
              </w:rPr>
              <w:t>3</w:t>
            </w:r>
          </w:p>
        </w:tc>
        <w:tc>
          <w:tcPr>
            <w:tcW w:w="645" w:type="pct"/>
            <w:vAlign w:val="center"/>
          </w:tcPr>
          <w:p w14:paraId="2FD374E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95~105</w:t>
            </w:r>
          </w:p>
        </w:tc>
        <w:tc>
          <w:tcPr>
            <w:tcW w:w="1021" w:type="pct"/>
            <w:vMerge/>
            <w:vAlign w:val="center"/>
          </w:tcPr>
          <w:p w14:paraId="5E3999B0"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586" w:type="pct"/>
            <w:vAlign w:val="center"/>
          </w:tcPr>
          <w:p w14:paraId="62C9DCDC"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hint="eastAsia"/>
                <w:bCs/>
                <w:color w:val="000000" w:themeColor="text1"/>
                <w:kern w:val="2"/>
                <w:sz w:val="21"/>
                <w:szCs w:val="21"/>
                <w:lang w:bidi="ar"/>
              </w:rPr>
              <w:t>90</w:t>
            </w:r>
          </w:p>
        </w:tc>
        <w:tc>
          <w:tcPr>
            <w:tcW w:w="618" w:type="pct"/>
            <w:vAlign w:val="center"/>
          </w:tcPr>
          <w:p w14:paraId="752AE1A6"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eastAsiaTheme="minorEastAsia"/>
                <w:color w:val="000000" w:themeColor="text1"/>
                <w:kern w:val="24"/>
                <w:sz w:val="21"/>
                <w:szCs w:val="21"/>
              </w:rPr>
              <w:t>连续</w:t>
            </w:r>
          </w:p>
        </w:tc>
      </w:tr>
      <w:tr w:rsidR="008A2411" w:rsidRPr="008A2411" w14:paraId="0C9D099D" w14:textId="77777777">
        <w:trPr>
          <w:tblHeader/>
          <w:jc w:val="center"/>
        </w:trPr>
        <w:tc>
          <w:tcPr>
            <w:tcW w:w="717" w:type="pct"/>
            <w:vAlign w:val="center"/>
          </w:tcPr>
          <w:p w14:paraId="1BB9A3AF"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kern w:val="2"/>
                <w:szCs w:val="24"/>
                <w:lang w:bidi="ar"/>
              </w:rPr>
              <w:t>闭式循环冷却水系统</w:t>
            </w:r>
          </w:p>
        </w:tc>
        <w:tc>
          <w:tcPr>
            <w:tcW w:w="777" w:type="pct"/>
            <w:vAlign w:val="center"/>
          </w:tcPr>
          <w:p w14:paraId="3BC93968"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循环水泵</w:t>
            </w:r>
          </w:p>
        </w:tc>
        <w:tc>
          <w:tcPr>
            <w:tcW w:w="633" w:type="pct"/>
            <w:vAlign w:val="center"/>
          </w:tcPr>
          <w:p w14:paraId="31AC138A"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3</w:t>
            </w:r>
          </w:p>
        </w:tc>
        <w:tc>
          <w:tcPr>
            <w:tcW w:w="645" w:type="pct"/>
            <w:vAlign w:val="center"/>
          </w:tcPr>
          <w:p w14:paraId="317656EC"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90</w:t>
            </w:r>
            <w:r w:rsidRPr="008A2411">
              <w:rPr>
                <w:rFonts w:ascii="Times New Roman" w:eastAsia="宋体" w:hAnsi="Times New Roman" w:cs="Times New Roman"/>
                <w:color w:val="000000" w:themeColor="text1"/>
                <w:kern w:val="2"/>
                <w:sz w:val="21"/>
                <w:szCs w:val="21"/>
              </w:rPr>
              <w:t>～</w:t>
            </w:r>
            <w:r w:rsidRPr="008A2411">
              <w:rPr>
                <w:rFonts w:ascii="Times New Roman" w:eastAsia="宋体" w:hAnsi="Times New Roman" w:cs="Times New Roman"/>
                <w:color w:val="000000" w:themeColor="text1"/>
                <w:kern w:val="2"/>
                <w:sz w:val="21"/>
                <w:szCs w:val="21"/>
              </w:rPr>
              <w:t>95</w:t>
            </w:r>
          </w:p>
        </w:tc>
        <w:tc>
          <w:tcPr>
            <w:tcW w:w="1021" w:type="pct"/>
            <w:vMerge w:val="restart"/>
            <w:vAlign w:val="center"/>
          </w:tcPr>
          <w:p w14:paraId="23F161A5"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Theme="minorEastAsia" w:hAnsi="Times New Roman" w:cs="Times New Roman"/>
                <w:color w:val="000000" w:themeColor="text1"/>
                <w:sz w:val="21"/>
                <w:szCs w:val="21"/>
              </w:rPr>
              <w:t>选用低噪声设备，合理布局，减振安装</w:t>
            </w:r>
            <w:r w:rsidRPr="008A2411">
              <w:rPr>
                <w:rFonts w:ascii="Times New Roman" w:eastAsia="宋体" w:hAnsi="Times New Roman" w:cs="Times New Roman"/>
                <w:bCs/>
                <w:color w:val="000000" w:themeColor="text1"/>
                <w:kern w:val="2"/>
                <w:sz w:val="21"/>
                <w:szCs w:val="21"/>
                <w:lang w:bidi="ar"/>
              </w:rPr>
              <w:t>等</w:t>
            </w:r>
          </w:p>
        </w:tc>
        <w:tc>
          <w:tcPr>
            <w:tcW w:w="586" w:type="pct"/>
            <w:vAlign w:val="center"/>
          </w:tcPr>
          <w:p w14:paraId="7E3BBC79"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8</w:t>
            </w:r>
            <w:r w:rsidRPr="008A2411">
              <w:rPr>
                <w:rFonts w:ascii="Times New Roman" w:eastAsia="宋体" w:hAnsi="Times New Roman" w:cs="Times New Roman" w:hint="eastAsia"/>
                <w:bCs/>
                <w:color w:val="000000" w:themeColor="text1"/>
                <w:kern w:val="2"/>
                <w:sz w:val="21"/>
                <w:szCs w:val="21"/>
                <w:lang w:bidi="ar"/>
              </w:rPr>
              <w:t>5</w:t>
            </w:r>
          </w:p>
        </w:tc>
        <w:tc>
          <w:tcPr>
            <w:tcW w:w="618" w:type="pct"/>
            <w:vAlign w:val="center"/>
          </w:tcPr>
          <w:p w14:paraId="54BA5D60"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eastAsiaTheme="minorEastAsia"/>
                <w:color w:val="000000" w:themeColor="text1"/>
                <w:kern w:val="24"/>
                <w:sz w:val="21"/>
                <w:szCs w:val="21"/>
              </w:rPr>
              <w:t>连续</w:t>
            </w:r>
          </w:p>
        </w:tc>
      </w:tr>
      <w:tr w:rsidR="008A2411" w:rsidRPr="008A2411" w14:paraId="3A81B4E9" w14:textId="77777777">
        <w:trPr>
          <w:tblHeader/>
          <w:jc w:val="center"/>
        </w:trPr>
        <w:tc>
          <w:tcPr>
            <w:tcW w:w="717" w:type="pct"/>
            <w:vMerge w:val="restart"/>
            <w:vAlign w:val="center"/>
          </w:tcPr>
          <w:p w14:paraId="7F86886C"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rPr>
              <w:t>污水处理系统</w:t>
            </w:r>
          </w:p>
        </w:tc>
        <w:tc>
          <w:tcPr>
            <w:tcW w:w="777" w:type="pct"/>
            <w:vAlign w:val="center"/>
          </w:tcPr>
          <w:p w14:paraId="672CA6DF"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污物提水泵</w:t>
            </w:r>
          </w:p>
        </w:tc>
        <w:tc>
          <w:tcPr>
            <w:tcW w:w="633" w:type="pct"/>
            <w:vAlign w:val="center"/>
          </w:tcPr>
          <w:p w14:paraId="370A9ACB"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2</w:t>
            </w:r>
          </w:p>
        </w:tc>
        <w:tc>
          <w:tcPr>
            <w:tcW w:w="645" w:type="pct"/>
            <w:vAlign w:val="center"/>
          </w:tcPr>
          <w:p w14:paraId="2CE13929"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90</w:t>
            </w:r>
            <w:r w:rsidRPr="008A2411">
              <w:rPr>
                <w:rFonts w:ascii="Times New Roman" w:eastAsia="宋体" w:hAnsi="Times New Roman" w:cs="Times New Roman"/>
                <w:color w:val="000000" w:themeColor="text1"/>
                <w:kern w:val="2"/>
                <w:sz w:val="21"/>
                <w:szCs w:val="21"/>
              </w:rPr>
              <w:t>～</w:t>
            </w:r>
            <w:r w:rsidRPr="008A2411">
              <w:rPr>
                <w:rFonts w:ascii="Times New Roman" w:eastAsia="宋体" w:hAnsi="Times New Roman" w:cs="Times New Roman"/>
                <w:color w:val="000000" w:themeColor="text1"/>
                <w:kern w:val="2"/>
                <w:sz w:val="21"/>
                <w:szCs w:val="21"/>
              </w:rPr>
              <w:t>95</w:t>
            </w:r>
          </w:p>
        </w:tc>
        <w:tc>
          <w:tcPr>
            <w:tcW w:w="1021" w:type="pct"/>
            <w:vMerge/>
            <w:vAlign w:val="center"/>
          </w:tcPr>
          <w:p w14:paraId="575AA472"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586" w:type="pct"/>
            <w:vAlign w:val="center"/>
          </w:tcPr>
          <w:p w14:paraId="4B639F5A"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bCs/>
                <w:color w:val="000000" w:themeColor="text1"/>
                <w:kern w:val="2"/>
                <w:sz w:val="21"/>
                <w:szCs w:val="21"/>
                <w:lang w:bidi="ar"/>
              </w:rPr>
              <w:t>8</w:t>
            </w:r>
            <w:r w:rsidRPr="008A2411">
              <w:rPr>
                <w:rFonts w:ascii="Times New Roman" w:hint="eastAsia"/>
                <w:bCs/>
                <w:color w:val="000000" w:themeColor="text1"/>
                <w:kern w:val="2"/>
                <w:sz w:val="21"/>
                <w:szCs w:val="21"/>
                <w:lang w:bidi="ar"/>
              </w:rPr>
              <w:t>5</w:t>
            </w:r>
          </w:p>
        </w:tc>
        <w:tc>
          <w:tcPr>
            <w:tcW w:w="618" w:type="pct"/>
            <w:vAlign w:val="center"/>
          </w:tcPr>
          <w:p w14:paraId="47E515CA"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eastAsiaTheme="minorEastAsia"/>
                <w:color w:val="000000" w:themeColor="text1"/>
                <w:kern w:val="24"/>
                <w:sz w:val="21"/>
                <w:szCs w:val="21"/>
              </w:rPr>
              <w:t>连续</w:t>
            </w:r>
          </w:p>
        </w:tc>
      </w:tr>
      <w:tr w:rsidR="008A2411" w:rsidRPr="008A2411" w14:paraId="4E4B313C" w14:textId="77777777">
        <w:trPr>
          <w:trHeight w:val="615"/>
          <w:tblHeader/>
          <w:jc w:val="center"/>
        </w:trPr>
        <w:tc>
          <w:tcPr>
            <w:tcW w:w="717" w:type="pct"/>
            <w:vMerge/>
            <w:vAlign w:val="center"/>
          </w:tcPr>
          <w:p w14:paraId="1D060FE9" w14:textId="77777777" w:rsidR="00B0005F" w:rsidRPr="008A2411" w:rsidRDefault="00B0005F">
            <w:pPr>
              <w:pStyle w:val="WJ4"/>
              <w:spacing w:line="240" w:lineRule="auto"/>
              <w:rPr>
                <w:rFonts w:ascii="Times New Roman" w:hAnsi="Times New Roman"/>
                <w:color w:val="000000" w:themeColor="text1"/>
              </w:rPr>
            </w:pPr>
          </w:p>
        </w:tc>
        <w:tc>
          <w:tcPr>
            <w:tcW w:w="777" w:type="pct"/>
            <w:vAlign w:val="center"/>
          </w:tcPr>
          <w:p w14:paraId="0C9D1924"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搅拌器</w:t>
            </w:r>
          </w:p>
        </w:tc>
        <w:tc>
          <w:tcPr>
            <w:tcW w:w="633" w:type="pct"/>
            <w:vAlign w:val="center"/>
          </w:tcPr>
          <w:p w14:paraId="01DA361A"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4</w:t>
            </w:r>
          </w:p>
        </w:tc>
        <w:tc>
          <w:tcPr>
            <w:tcW w:w="645" w:type="pct"/>
            <w:vAlign w:val="center"/>
          </w:tcPr>
          <w:p w14:paraId="2B5A2384"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85~90</w:t>
            </w:r>
          </w:p>
        </w:tc>
        <w:tc>
          <w:tcPr>
            <w:tcW w:w="1021" w:type="pct"/>
            <w:vMerge/>
            <w:vAlign w:val="center"/>
          </w:tcPr>
          <w:p w14:paraId="3C114EE8"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586" w:type="pct"/>
            <w:vAlign w:val="center"/>
          </w:tcPr>
          <w:p w14:paraId="7F0CDD7D"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hint="eastAsia"/>
                <w:bCs/>
                <w:color w:val="000000" w:themeColor="text1"/>
                <w:kern w:val="2"/>
                <w:sz w:val="21"/>
                <w:szCs w:val="21"/>
                <w:lang w:bidi="ar"/>
              </w:rPr>
              <w:t>80</w:t>
            </w:r>
          </w:p>
        </w:tc>
        <w:tc>
          <w:tcPr>
            <w:tcW w:w="618" w:type="pct"/>
            <w:vAlign w:val="center"/>
          </w:tcPr>
          <w:p w14:paraId="2B9A01FE"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eastAsiaTheme="minorEastAsia"/>
                <w:color w:val="000000" w:themeColor="text1"/>
                <w:kern w:val="24"/>
                <w:sz w:val="21"/>
                <w:szCs w:val="21"/>
              </w:rPr>
              <w:t>连续</w:t>
            </w:r>
          </w:p>
        </w:tc>
      </w:tr>
      <w:tr w:rsidR="008A2411" w:rsidRPr="008A2411" w14:paraId="7E0EAC79" w14:textId="77777777">
        <w:trPr>
          <w:tblHeader/>
          <w:jc w:val="center"/>
        </w:trPr>
        <w:tc>
          <w:tcPr>
            <w:tcW w:w="717" w:type="pct"/>
            <w:vMerge/>
            <w:vAlign w:val="center"/>
          </w:tcPr>
          <w:p w14:paraId="35AC9AF9" w14:textId="77777777" w:rsidR="00B0005F" w:rsidRPr="008A2411" w:rsidRDefault="00B0005F">
            <w:pPr>
              <w:pStyle w:val="WJ4"/>
              <w:spacing w:line="240" w:lineRule="auto"/>
              <w:rPr>
                <w:rFonts w:ascii="Times New Roman" w:hAnsi="Times New Roman"/>
                <w:color w:val="000000" w:themeColor="text1"/>
              </w:rPr>
            </w:pPr>
          </w:p>
        </w:tc>
        <w:tc>
          <w:tcPr>
            <w:tcW w:w="777" w:type="pct"/>
            <w:vAlign w:val="center"/>
          </w:tcPr>
          <w:p w14:paraId="39C20392"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回转式鼓风机</w:t>
            </w:r>
          </w:p>
        </w:tc>
        <w:tc>
          <w:tcPr>
            <w:tcW w:w="633" w:type="pct"/>
            <w:vAlign w:val="center"/>
          </w:tcPr>
          <w:p w14:paraId="630FCBF5"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3</w:t>
            </w:r>
          </w:p>
        </w:tc>
        <w:tc>
          <w:tcPr>
            <w:tcW w:w="645" w:type="pct"/>
            <w:vAlign w:val="center"/>
          </w:tcPr>
          <w:p w14:paraId="701060A0"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90</w:t>
            </w:r>
            <w:r w:rsidRPr="008A2411">
              <w:rPr>
                <w:rFonts w:ascii="Times New Roman" w:eastAsia="宋体" w:hAnsi="Times New Roman" w:cs="Times New Roman"/>
                <w:color w:val="000000" w:themeColor="text1"/>
                <w:kern w:val="2"/>
                <w:sz w:val="21"/>
                <w:szCs w:val="21"/>
              </w:rPr>
              <w:t>～</w:t>
            </w:r>
            <w:r w:rsidRPr="008A2411">
              <w:rPr>
                <w:rFonts w:ascii="Times New Roman" w:eastAsia="宋体" w:hAnsi="Times New Roman" w:cs="Times New Roman"/>
                <w:color w:val="000000" w:themeColor="text1"/>
                <w:kern w:val="2"/>
                <w:sz w:val="21"/>
                <w:szCs w:val="21"/>
              </w:rPr>
              <w:t>95</w:t>
            </w:r>
          </w:p>
        </w:tc>
        <w:tc>
          <w:tcPr>
            <w:tcW w:w="1021" w:type="pct"/>
            <w:vMerge/>
            <w:vAlign w:val="center"/>
          </w:tcPr>
          <w:p w14:paraId="3F57C62C"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586" w:type="pct"/>
            <w:vAlign w:val="center"/>
          </w:tcPr>
          <w:p w14:paraId="255A5D21"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bCs/>
                <w:color w:val="000000" w:themeColor="text1"/>
                <w:kern w:val="2"/>
                <w:sz w:val="21"/>
                <w:szCs w:val="21"/>
                <w:lang w:bidi="ar"/>
              </w:rPr>
              <w:t>8</w:t>
            </w:r>
            <w:r w:rsidRPr="008A2411">
              <w:rPr>
                <w:rFonts w:ascii="Times New Roman" w:hint="eastAsia"/>
                <w:bCs/>
                <w:color w:val="000000" w:themeColor="text1"/>
                <w:kern w:val="2"/>
                <w:sz w:val="21"/>
                <w:szCs w:val="21"/>
                <w:lang w:bidi="ar"/>
              </w:rPr>
              <w:t>5</w:t>
            </w:r>
          </w:p>
        </w:tc>
        <w:tc>
          <w:tcPr>
            <w:tcW w:w="618" w:type="pct"/>
            <w:vAlign w:val="center"/>
          </w:tcPr>
          <w:p w14:paraId="16B377FC"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eastAsiaTheme="minorEastAsia"/>
                <w:color w:val="000000" w:themeColor="text1"/>
                <w:kern w:val="24"/>
                <w:sz w:val="21"/>
                <w:szCs w:val="21"/>
              </w:rPr>
              <w:t>连续</w:t>
            </w:r>
          </w:p>
        </w:tc>
      </w:tr>
      <w:tr w:rsidR="008A2411" w:rsidRPr="008A2411" w14:paraId="2EBC3D08" w14:textId="77777777">
        <w:trPr>
          <w:tblHeader/>
          <w:jc w:val="center"/>
        </w:trPr>
        <w:tc>
          <w:tcPr>
            <w:tcW w:w="717" w:type="pct"/>
            <w:vMerge/>
            <w:vAlign w:val="center"/>
          </w:tcPr>
          <w:p w14:paraId="13FBAB6D" w14:textId="77777777" w:rsidR="00B0005F" w:rsidRPr="008A2411" w:rsidRDefault="00B0005F">
            <w:pPr>
              <w:pStyle w:val="WJ4"/>
              <w:spacing w:line="240" w:lineRule="auto"/>
              <w:rPr>
                <w:rFonts w:ascii="Times New Roman" w:hAnsi="Times New Roman"/>
                <w:color w:val="000000" w:themeColor="text1"/>
              </w:rPr>
            </w:pPr>
          </w:p>
        </w:tc>
        <w:tc>
          <w:tcPr>
            <w:tcW w:w="777" w:type="pct"/>
            <w:vAlign w:val="center"/>
          </w:tcPr>
          <w:p w14:paraId="38EC25AD"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回流泵</w:t>
            </w:r>
          </w:p>
        </w:tc>
        <w:tc>
          <w:tcPr>
            <w:tcW w:w="633" w:type="pct"/>
            <w:vAlign w:val="center"/>
          </w:tcPr>
          <w:p w14:paraId="566E36B6"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2</w:t>
            </w:r>
          </w:p>
        </w:tc>
        <w:tc>
          <w:tcPr>
            <w:tcW w:w="645" w:type="pct"/>
            <w:vAlign w:val="center"/>
          </w:tcPr>
          <w:p w14:paraId="5D35CE4A"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90</w:t>
            </w:r>
            <w:r w:rsidRPr="008A2411">
              <w:rPr>
                <w:rFonts w:ascii="Times New Roman" w:eastAsia="宋体" w:hAnsi="Times New Roman" w:cs="Times New Roman"/>
                <w:color w:val="000000" w:themeColor="text1"/>
                <w:kern w:val="2"/>
                <w:sz w:val="21"/>
                <w:szCs w:val="21"/>
              </w:rPr>
              <w:t>～</w:t>
            </w:r>
            <w:r w:rsidRPr="008A2411">
              <w:rPr>
                <w:rFonts w:ascii="Times New Roman" w:eastAsia="宋体" w:hAnsi="Times New Roman" w:cs="Times New Roman"/>
                <w:color w:val="000000" w:themeColor="text1"/>
                <w:kern w:val="2"/>
                <w:sz w:val="21"/>
                <w:szCs w:val="21"/>
              </w:rPr>
              <w:t>95</w:t>
            </w:r>
          </w:p>
        </w:tc>
        <w:tc>
          <w:tcPr>
            <w:tcW w:w="1021" w:type="pct"/>
            <w:vMerge/>
            <w:vAlign w:val="center"/>
          </w:tcPr>
          <w:p w14:paraId="7437D57B"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586" w:type="pct"/>
            <w:vAlign w:val="center"/>
          </w:tcPr>
          <w:p w14:paraId="1D05BF67"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bCs/>
                <w:color w:val="000000" w:themeColor="text1"/>
                <w:kern w:val="2"/>
                <w:sz w:val="21"/>
                <w:szCs w:val="21"/>
                <w:lang w:bidi="ar"/>
              </w:rPr>
              <w:t>8</w:t>
            </w:r>
            <w:r w:rsidRPr="008A2411">
              <w:rPr>
                <w:rFonts w:ascii="Times New Roman" w:hint="eastAsia"/>
                <w:bCs/>
                <w:color w:val="000000" w:themeColor="text1"/>
                <w:kern w:val="2"/>
                <w:sz w:val="21"/>
                <w:szCs w:val="21"/>
                <w:lang w:bidi="ar"/>
              </w:rPr>
              <w:t>5</w:t>
            </w:r>
          </w:p>
        </w:tc>
        <w:tc>
          <w:tcPr>
            <w:tcW w:w="618" w:type="pct"/>
            <w:vAlign w:val="center"/>
          </w:tcPr>
          <w:p w14:paraId="008CA5AB"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eastAsiaTheme="minorEastAsia"/>
                <w:color w:val="000000" w:themeColor="text1"/>
                <w:kern w:val="24"/>
                <w:sz w:val="21"/>
                <w:szCs w:val="21"/>
              </w:rPr>
              <w:t>连续</w:t>
            </w:r>
          </w:p>
        </w:tc>
      </w:tr>
      <w:tr w:rsidR="008A2411" w:rsidRPr="008A2411" w14:paraId="7B2866AC" w14:textId="77777777">
        <w:trPr>
          <w:trHeight w:val="323"/>
          <w:tblHeader/>
          <w:jc w:val="center"/>
        </w:trPr>
        <w:tc>
          <w:tcPr>
            <w:tcW w:w="717" w:type="pct"/>
            <w:vMerge/>
            <w:vAlign w:val="center"/>
          </w:tcPr>
          <w:p w14:paraId="067E2052" w14:textId="77777777" w:rsidR="00B0005F" w:rsidRPr="008A2411" w:rsidRDefault="00B0005F">
            <w:pPr>
              <w:pStyle w:val="WJ4"/>
              <w:spacing w:line="240" w:lineRule="auto"/>
              <w:rPr>
                <w:rFonts w:ascii="Times New Roman" w:hAnsi="Times New Roman"/>
                <w:color w:val="000000" w:themeColor="text1"/>
              </w:rPr>
            </w:pPr>
          </w:p>
        </w:tc>
        <w:tc>
          <w:tcPr>
            <w:tcW w:w="777" w:type="pct"/>
            <w:vAlign w:val="center"/>
          </w:tcPr>
          <w:p w14:paraId="2FAAA28C"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刮泥机</w:t>
            </w:r>
          </w:p>
        </w:tc>
        <w:tc>
          <w:tcPr>
            <w:tcW w:w="633" w:type="pct"/>
            <w:vAlign w:val="center"/>
          </w:tcPr>
          <w:p w14:paraId="402AB242"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1</w:t>
            </w:r>
          </w:p>
        </w:tc>
        <w:tc>
          <w:tcPr>
            <w:tcW w:w="645" w:type="pct"/>
            <w:vAlign w:val="center"/>
          </w:tcPr>
          <w:p w14:paraId="4105648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85~90</w:t>
            </w:r>
          </w:p>
        </w:tc>
        <w:tc>
          <w:tcPr>
            <w:tcW w:w="1021" w:type="pct"/>
            <w:vMerge/>
            <w:vAlign w:val="center"/>
          </w:tcPr>
          <w:p w14:paraId="06EF8431"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586" w:type="pct"/>
            <w:vAlign w:val="center"/>
          </w:tcPr>
          <w:p w14:paraId="2DAEEECB"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hint="eastAsia"/>
                <w:bCs/>
                <w:color w:val="000000" w:themeColor="text1"/>
                <w:kern w:val="2"/>
                <w:sz w:val="21"/>
                <w:szCs w:val="21"/>
                <w:lang w:bidi="ar"/>
              </w:rPr>
              <w:t>80</w:t>
            </w:r>
          </w:p>
        </w:tc>
        <w:tc>
          <w:tcPr>
            <w:tcW w:w="618" w:type="pct"/>
            <w:vAlign w:val="center"/>
          </w:tcPr>
          <w:p w14:paraId="2B0BB4EB"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eastAsiaTheme="minorEastAsia"/>
                <w:color w:val="000000" w:themeColor="text1"/>
                <w:kern w:val="24"/>
                <w:sz w:val="21"/>
                <w:szCs w:val="21"/>
              </w:rPr>
              <w:t>连续</w:t>
            </w:r>
          </w:p>
        </w:tc>
      </w:tr>
      <w:tr w:rsidR="008A2411" w:rsidRPr="008A2411" w14:paraId="5C0E36CF" w14:textId="77777777">
        <w:trPr>
          <w:tblHeader/>
          <w:jc w:val="center"/>
        </w:trPr>
        <w:tc>
          <w:tcPr>
            <w:tcW w:w="717" w:type="pct"/>
            <w:vMerge/>
            <w:vAlign w:val="center"/>
          </w:tcPr>
          <w:p w14:paraId="57F7C361" w14:textId="77777777" w:rsidR="00B0005F" w:rsidRPr="008A2411" w:rsidRDefault="00B0005F">
            <w:pPr>
              <w:pStyle w:val="WJ4"/>
              <w:spacing w:line="240" w:lineRule="auto"/>
              <w:rPr>
                <w:rFonts w:ascii="Times New Roman" w:hAnsi="Times New Roman"/>
                <w:color w:val="000000" w:themeColor="text1"/>
              </w:rPr>
            </w:pPr>
          </w:p>
        </w:tc>
        <w:tc>
          <w:tcPr>
            <w:tcW w:w="777" w:type="pct"/>
            <w:vAlign w:val="center"/>
          </w:tcPr>
          <w:p w14:paraId="570F337C"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污物泵</w:t>
            </w:r>
          </w:p>
        </w:tc>
        <w:tc>
          <w:tcPr>
            <w:tcW w:w="633" w:type="pct"/>
            <w:vAlign w:val="center"/>
          </w:tcPr>
          <w:p w14:paraId="7D36EE51"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2</w:t>
            </w:r>
          </w:p>
        </w:tc>
        <w:tc>
          <w:tcPr>
            <w:tcW w:w="645" w:type="pct"/>
            <w:vAlign w:val="center"/>
          </w:tcPr>
          <w:p w14:paraId="3F618433"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90</w:t>
            </w:r>
            <w:r w:rsidRPr="008A2411">
              <w:rPr>
                <w:rFonts w:ascii="Times New Roman" w:eastAsia="宋体" w:hAnsi="Times New Roman" w:cs="Times New Roman"/>
                <w:color w:val="000000" w:themeColor="text1"/>
                <w:kern w:val="2"/>
                <w:sz w:val="21"/>
                <w:szCs w:val="21"/>
              </w:rPr>
              <w:t>～</w:t>
            </w:r>
            <w:r w:rsidRPr="008A2411">
              <w:rPr>
                <w:rFonts w:ascii="Times New Roman" w:eastAsia="宋体" w:hAnsi="Times New Roman" w:cs="Times New Roman"/>
                <w:color w:val="000000" w:themeColor="text1"/>
                <w:kern w:val="2"/>
                <w:sz w:val="21"/>
                <w:szCs w:val="21"/>
              </w:rPr>
              <w:t>95</w:t>
            </w:r>
          </w:p>
        </w:tc>
        <w:tc>
          <w:tcPr>
            <w:tcW w:w="1021" w:type="pct"/>
            <w:vMerge/>
            <w:vAlign w:val="center"/>
          </w:tcPr>
          <w:p w14:paraId="1B196C3A"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586" w:type="pct"/>
            <w:vAlign w:val="center"/>
          </w:tcPr>
          <w:p w14:paraId="39599C6D"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bCs/>
                <w:color w:val="000000" w:themeColor="text1"/>
                <w:kern w:val="2"/>
                <w:sz w:val="21"/>
                <w:szCs w:val="21"/>
                <w:lang w:bidi="ar"/>
              </w:rPr>
              <w:t>8</w:t>
            </w:r>
            <w:r w:rsidRPr="008A2411">
              <w:rPr>
                <w:rFonts w:ascii="Times New Roman" w:hint="eastAsia"/>
                <w:bCs/>
                <w:color w:val="000000" w:themeColor="text1"/>
                <w:kern w:val="2"/>
                <w:sz w:val="21"/>
                <w:szCs w:val="21"/>
                <w:lang w:bidi="ar"/>
              </w:rPr>
              <w:t>5</w:t>
            </w:r>
          </w:p>
        </w:tc>
        <w:tc>
          <w:tcPr>
            <w:tcW w:w="618" w:type="pct"/>
            <w:vAlign w:val="center"/>
          </w:tcPr>
          <w:p w14:paraId="3DD2D3A5"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eastAsiaTheme="minorEastAsia"/>
                <w:color w:val="000000" w:themeColor="text1"/>
                <w:kern w:val="24"/>
                <w:sz w:val="21"/>
                <w:szCs w:val="21"/>
              </w:rPr>
              <w:t>连续</w:t>
            </w:r>
          </w:p>
        </w:tc>
      </w:tr>
      <w:tr w:rsidR="008A2411" w:rsidRPr="008A2411" w14:paraId="70E2E8EB" w14:textId="77777777">
        <w:trPr>
          <w:tblHeader/>
          <w:jc w:val="center"/>
        </w:trPr>
        <w:tc>
          <w:tcPr>
            <w:tcW w:w="717" w:type="pct"/>
            <w:vMerge/>
            <w:vAlign w:val="center"/>
          </w:tcPr>
          <w:p w14:paraId="2859832F" w14:textId="77777777" w:rsidR="00B0005F" w:rsidRPr="008A2411" w:rsidRDefault="00B0005F">
            <w:pPr>
              <w:pStyle w:val="WJ4"/>
              <w:spacing w:line="240" w:lineRule="auto"/>
              <w:rPr>
                <w:rFonts w:ascii="Times New Roman" w:hAnsi="Times New Roman"/>
                <w:color w:val="000000" w:themeColor="text1"/>
              </w:rPr>
            </w:pPr>
          </w:p>
        </w:tc>
        <w:tc>
          <w:tcPr>
            <w:tcW w:w="777" w:type="pct"/>
            <w:vAlign w:val="center"/>
          </w:tcPr>
          <w:p w14:paraId="0D0A6FB4"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过滤泵</w:t>
            </w:r>
          </w:p>
        </w:tc>
        <w:tc>
          <w:tcPr>
            <w:tcW w:w="633" w:type="pct"/>
            <w:vAlign w:val="center"/>
          </w:tcPr>
          <w:p w14:paraId="646C06C2"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2</w:t>
            </w:r>
          </w:p>
        </w:tc>
        <w:tc>
          <w:tcPr>
            <w:tcW w:w="645" w:type="pct"/>
            <w:vAlign w:val="center"/>
          </w:tcPr>
          <w:p w14:paraId="1F4C2D6D"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90</w:t>
            </w:r>
            <w:r w:rsidRPr="008A2411">
              <w:rPr>
                <w:rFonts w:ascii="Times New Roman" w:eastAsia="宋体" w:hAnsi="Times New Roman" w:cs="Times New Roman"/>
                <w:color w:val="000000" w:themeColor="text1"/>
                <w:kern w:val="2"/>
                <w:sz w:val="21"/>
                <w:szCs w:val="21"/>
              </w:rPr>
              <w:t>～</w:t>
            </w:r>
            <w:r w:rsidRPr="008A2411">
              <w:rPr>
                <w:rFonts w:ascii="Times New Roman" w:eastAsia="宋体" w:hAnsi="Times New Roman" w:cs="Times New Roman"/>
                <w:color w:val="000000" w:themeColor="text1"/>
                <w:kern w:val="2"/>
                <w:sz w:val="21"/>
                <w:szCs w:val="21"/>
              </w:rPr>
              <w:t>95</w:t>
            </w:r>
          </w:p>
        </w:tc>
        <w:tc>
          <w:tcPr>
            <w:tcW w:w="1021" w:type="pct"/>
            <w:vMerge/>
            <w:vAlign w:val="center"/>
          </w:tcPr>
          <w:p w14:paraId="4877661F"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586" w:type="pct"/>
            <w:vAlign w:val="center"/>
          </w:tcPr>
          <w:p w14:paraId="27957D98"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bCs/>
                <w:color w:val="000000" w:themeColor="text1"/>
                <w:kern w:val="2"/>
                <w:sz w:val="21"/>
                <w:szCs w:val="21"/>
                <w:lang w:bidi="ar"/>
              </w:rPr>
              <w:t>8</w:t>
            </w:r>
            <w:r w:rsidRPr="008A2411">
              <w:rPr>
                <w:rFonts w:ascii="Times New Roman" w:hint="eastAsia"/>
                <w:bCs/>
                <w:color w:val="000000" w:themeColor="text1"/>
                <w:kern w:val="2"/>
                <w:sz w:val="21"/>
                <w:szCs w:val="21"/>
                <w:lang w:bidi="ar"/>
              </w:rPr>
              <w:t>5</w:t>
            </w:r>
          </w:p>
        </w:tc>
        <w:tc>
          <w:tcPr>
            <w:tcW w:w="618" w:type="pct"/>
            <w:vAlign w:val="center"/>
          </w:tcPr>
          <w:p w14:paraId="2CFFEAE4"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eastAsiaTheme="minorEastAsia"/>
                <w:color w:val="000000" w:themeColor="text1"/>
                <w:kern w:val="24"/>
                <w:sz w:val="21"/>
                <w:szCs w:val="21"/>
              </w:rPr>
              <w:t>连续</w:t>
            </w:r>
          </w:p>
        </w:tc>
      </w:tr>
      <w:tr w:rsidR="008A2411" w:rsidRPr="008A2411" w14:paraId="1076742B" w14:textId="77777777">
        <w:trPr>
          <w:tblHeader/>
          <w:jc w:val="center"/>
        </w:trPr>
        <w:tc>
          <w:tcPr>
            <w:tcW w:w="717" w:type="pct"/>
            <w:vMerge/>
            <w:vAlign w:val="center"/>
          </w:tcPr>
          <w:p w14:paraId="4C0E7323" w14:textId="77777777" w:rsidR="00B0005F" w:rsidRPr="008A2411" w:rsidRDefault="00B0005F">
            <w:pPr>
              <w:pStyle w:val="WJ4"/>
              <w:spacing w:line="240" w:lineRule="auto"/>
              <w:rPr>
                <w:rFonts w:ascii="Times New Roman" w:hAnsi="Times New Roman"/>
                <w:color w:val="000000" w:themeColor="text1"/>
              </w:rPr>
            </w:pPr>
          </w:p>
        </w:tc>
        <w:tc>
          <w:tcPr>
            <w:tcW w:w="777" w:type="pct"/>
            <w:vAlign w:val="center"/>
          </w:tcPr>
          <w:p w14:paraId="6163D19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反冲洗泵</w:t>
            </w:r>
          </w:p>
        </w:tc>
        <w:tc>
          <w:tcPr>
            <w:tcW w:w="633" w:type="pct"/>
            <w:vAlign w:val="center"/>
          </w:tcPr>
          <w:p w14:paraId="4D6D7450"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1</w:t>
            </w:r>
          </w:p>
        </w:tc>
        <w:tc>
          <w:tcPr>
            <w:tcW w:w="645" w:type="pct"/>
            <w:vAlign w:val="center"/>
          </w:tcPr>
          <w:p w14:paraId="7B13F9B3"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90</w:t>
            </w:r>
            <w:r w:rsidRPr="008A2411">
              <w:rPr>
                <w:rFonts w:ascii="Times New Roman" w:eastAsia="宋体" w:hAnsi="Times New Roman" w:cs="Times New Roman"/>
                <w:color w:val="000000" w:themeColor="text1"/>
                <w:kern w:val="2"/>
                <w:sz w:val="21"/>
                <w:szCs w:val="21"/>
              </w:rPr>
              <w:t>～</w:t>
            </w:r>
            <w:r w:rsidRPr="008A2411">
              <w:rPr>
                <w:rFonts w:ascii="Times New Roman" w:eastAsia="宋体" w:hAnsi="Times New Roman" w:cs="Times New Roman"/>
                <w:color w:val="000000" w:themeColor="text1"/>
                <w:kern w:val="2"/>
                <w:sz w:val="21"/>
                <w:szCs w:val="21"/>
              </w:rPr>
              <w:t>95</w:t>
            </w:r>
          </w:p>
        </w:tc>
        <w:tc>
          <w:tcPr>
            <w:tcW w:w="1021" w:type="pct"/>
            <w:vMerge/>
            <w:vAlign w:val="center"/>
          </w:tcPr>
          <w:p w14:paraId="485F43A9"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586" w:type="pct"/>
            <w:vAlign w:val="center"/>
          </w:tcPr>
          <w:p w14:paraId="09B37926"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bCs/>
                <w:color w:val="000000" w:themeColor="text1"/>
                <w:kern w:val="2"/>
                <w:sz w:val="21"/>
                <w:szCs w:val="21"/>
                <w:lang w:bidi="ar"/>
              </w:rPr>
              <w:t>8</w:t>
            </w:r>
            <w:r w:rsidRPr="008A2411">
              <w:rPr>
                <w:rFonts w:ascii="Times New Roman" w:hint="eastAsia"/>
                <w:bCs/>
                <w:color w:val="000000" w:themeColor="text1"/>
                <w:kern w:val="2"/>
                <w:sz w:val="21"/>
                <w:szCs w:val="21"/>
                <w:lang w:bidi="ar"/>
              </w:rPr>
              <w:t>5</w:t>
            </w:r>
          </w:p>
        </w:tc>
        <w:tc>
          <w:tcPr>
            <w:tcW w:w="618" w:type="pct"/>
            <w:vAlign w:val="center"/>
          </w:tcPr>
          <w:p w14:paraId="453B569C"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eastAsiaTheme="minorEastAsia"/>
                <w:color w:val="000000" w:themeColor="text1"/>
                <w:kern w:val="24"/>
                <w:sz w:val="21"/>
                <w:szCs w:val="21"/>
              </w:rPr>
              <w:t>连续</w:t>
            </w:r>
          </w:p>
        </w:tc>
      </w:tr>
      <w:tr w:rsidR="008A2411" w:rsidRPr="008A2411" w14:paraId="7F0656BC" w14:textId="77777777">
        <w:trPr>
          <w:tblHeader/>
          <w:jc w:val="center"/>
        </w:trPr>
        <w:tc>
          <w:tcPr>
            <w:tcW w:w="717" w:type="pct"/>
            <w:vMerge/>
            <w:vAlign w:val="center"/>
          </w:tcPr>
          <w:p w14:paraId="2B5352C4" w14:textId="77777777" w:rsidR="00B0005F" w:rsidRPr="008A2411" w:rsidRDefault="00B0005F">
            <w:pPr>
              <w:pStyle w:val="WJ4"/>
              <w:spacing w:line="240" w:lineRule="auto"/>
              <w:rPr>
                <w:rFonts w:ascii="Times New Roman" w:hAnsi="Times New Roman"/>
                <w:color w:val="000000" w:themeColor="text1"/>
              </w:rPr>
            </w:pPr>
          </w:p>
        </w:tc>
        <w:tc>
          <w:tcPr>
            <w:tcW w:w="777" w:type="pct"/>
            <w:vAlign w:val="center"/>
          </w:tcPr>
          <w:p w14:paraId="369AE512"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过滤泵</w:t>
            </w:r>
          </w:p>
        </w:tc>
        <w:tc>
          <w:tcPr>
            <w:tcW w:w="633" w:type="pct"/>
            <w:vAlign w:val="center"/>
          </w:tcPr>
          <w:p w14:paraId="6F52C265"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2</w:t>
            </w:r>
          </w:p>
        </w:tc>
        <w:tc>
          <w:tcPr>
            <w:tcW w:w="645" w:type="pct"/>
            <w:vAlign w:val="center"/>
          </w:tcPr>
          <w:p w14:paraId="54F89B3F"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90</w:t>
            </w:r>
            <w:r w:rsidRPr="008A2411">
              <w:rPr>
                <w:rFonts w:ascii="Times New Roman" w:eastAsia="宋体" w:hAnsi="Times New Roman" w:cs="Times New Roman"/>
                <w:color w:val="000000" w:themeColor="text1"/>
                <w:kern w:val="2"/>
                <w:sz w:val="21"/>
                <w:szCs w:val="21"/>
              </w:rPr>
              <w:t>～</w:t>
            </w:r>
            <w:r w:rsidRPr="008A2411">
              <w:rPr>
                <w:rFonts w:ascii="Times New Roman" w:eastAsia="宋体" w:hAnsi="Times New Roman" w:cs="Times New Roman"/>
                <w:color w:val="000000" w:themeColor="text1"/>
                <w:kern w:val="2"/>
                <w:sz w:val="21"/>
                <w:szCs w:val="21"/>
              </w:rPr>
              <w:t>95</w:t>
            </w:r>
          </w:p>
        </w:tc>
        <w:tc>
          <w:tcPr>
            <w:tcW w:w="1021" w:type="pct"/>
            <w:vMerge/>
            <w:vAlign w:val="center"/>
          </w:tcPr>
          <w:p w14:paraId="606891C8"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586" w:type="pct"/>
            <w:vAlign w:val="center"/>
          </w:tcPr>
          <w:p w14:paraId="26AD93F4"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bCs/>
                <w:color w:val="000000" w:themeColor="text1"/>
                <w:kern w:val="2"/>
                <w:sz w:val="21"/>
                <w:szCs w:val="21"/>
                <w:lang w:bidi="ar"/>
              </w:rPr>
              <w:t>8</w:t>
            </w:r>
            <w:r w:rsidRPr="008A2411">
              <w:rPr>
                <w:rFonts w:ascii="Times New Roman" w:hint="eastAsia"/>
                <w:bCs/>
                <w:color w:val="000000" w:themeColor="text1"/>
                <w:kern w:val="2"/>
                <w:sz w:val="21"/>
                <w:szCs w:val="21"/>
                <w:lang w:bidi="ar"/>
              </w:rPr>
              <w:t>5</w:t>
            </w:r>
          </w:p>
        </w:tc>
        <w:tc>
          <w:tcPr>
            <w:tcW w:w="618" w:type="pct"/>
            <w:vAlign w:val="center"/>
          </w:tcPr>
          <w:p w14:paraId="6C11B980"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eastAsiaTheme="minorEastAsia"/>
                <w:color w:val="000000" w:themeColor="text1"/>
                <w:kern w:val="24"/>
                <w:sz w:val="21"/>
                <w:szCs w:val="21"/>
              </w:rPr>
              <w:t>连续</w:t>
            </w:r>
          </w:p>
        </w:tc>
      </w:tr>
      <w:tr w:rsidR="008A2411" w:rsidRPr="008A2411" w14:paraId="453027C1" w14:textId="77777777">
        <w:trPr>
          <w:tblHeader/>
          <w:jc w:val="center"/>
        </w:trPr>
        <w:tc>
          <w:tcPr>
            <w:tcW w:w="717" w:type="pct"/>
            <w:vMerge/>
            <w:vAlign w:val="center"/>
          </w:tcPr>
          <w:p w14:paraId="313A7896" w14:textId="77777777" w:rsidR="00B0005F" w:rsidRPr="008A2411" w:rsidRDefault="00B0005F">
            <w:pPr>
              <w:pStyle w:val="WJ4"/>
              <w:spacing w:line="240" w:lineRule="auto"/>
              <w:rPr>
                <w:rFonts w:ascii="Times New Roman" w:hAnsi="Times New Roman"/>
                <w:color w:val="000000" w:themeColor="text1"/>
              </w:rPr>
            </w:pPr>
          </w:p>
        </w:tc>
        <w:tc>
          <w:tcPr>
            <w:tcW w:w="777" w:type="pct"/>
            <w:vAlign w:val="center"/>
          </w:tcPr>
          <w:p w14:paraId="2B30E9EF"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污泥脱水机</w:t>
            </w:r>
          </w:p>
        </w:tc>
        <w:tc>
          <w:tcPr>
            <w:tcW w:w="633" w:type="pct"/>
            <w:vAlign w:val="center"/>
          </w:tcPr>
          <w:p w14:paraId="0E8B4EB1"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1</w:t>
            </w:r>
          </w:p>
        </w:tc>
        <w:tc>
          <w:tcPr>
            <w:tcW w:w="645" w:type="pct"/>
            <w:vAlign w:val="center"/>
          </w:tcPr>
          <w:p w14:paraId="1156A01D"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85~90</w:t>
            </w:r>
          </w:p>
        </w:tc>
        <w:tc>
          <w:tcPr>
            <w:tcW w:w="1021" w:type="pct"/>
            <w:vMerge/>
            <w:vAlign w:val="center"/>
          </w:tcPr>
          <w:p w14:paraId="43493AC6"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586" w:type="pct"/>
            <w:vAlign w:val="center"/>
          </w:tcPr>
          <w:p w14:paraId="6B608748"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hint="eastAsia"/>
                <w:bCs/>
                <w:color w:val="000000" w:themeColor="text1"/>
                <w:kern w:val="2"/>
                <w:sz w:val="21"/>
                <w:szCs w:val="21"/>
                <w:lang w:bidi="ar"/>
              </w:rPr>
              <w:t>80</w:t>
            </w:r>
          </w:p>
        </w:tc>
        <w:tc>
          <w:tcPr>
            <w:tcW w:w="618" w:type="pct"/>
            <w:vAlign w:val="center"/>
          </w:tcPr>
          <w:p w14:paraId="7132CEB0"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eastAsiaTheme="minorEastAsia"/>
                <w:color w:val="000000" w:themeColor="text1"/>
                <w:kern w:val="24"/>
                <w:sz w:val="21"/>
                <w:szCs w:val="21"/>
              </w:rPr>
              <w:t>连续</w:t>
            </w:r>
          </w:p>
        </w:tc>
      </w:tr>
      <w:tr w:rsidR="008A2411" w:rsidRPr="008A2411" w14:paraId="52F8448C" w14:textId="77777777">
        <w:trPr>
          <w:tblHeader/>
          <w:jc w:val="center"/>
        </w:trPr>
        <w:tc>
          <w:tcPr>
            <w:tcW w:w="717" w:type="pct"/>
            <w:vMerge/>
            <w:vAlign w:val="center"/>
          </w:tcPr>
          <w:p w14:paraId="6371EDA7" w14:textId="77777777" w:rsidR="00B0005F" w:rsidRPr="008A2411" w:rsidRDefault="00B0005F">
            <w:pPr>
              <w:pStyle w:val="WJ4"/>
              <w:spacing w:line="240" w:lineRule="auto"/>
              <w:rPr>
                <w:rFonts w:ascii="Times New Roman" w:hAnsi="Times New Roman"/>
                <w:color w:val="000000" w:themeColor="text1"/>
              </w:rPr>
            </w:pPr>
          </w:p>
        </w:tc>
        <w:tc>
          <w:tcPr>
            <w:tcW w:w="777" w:type="pct"/>
            <w:vAlign w:val="center"/>
          </w:tcPr>
          <w:p w14:paraId="24B71801"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气动泵</w:t>
            </w:r>
          </w:p>
        </w:tc>
        <w:tc>
          <w:tcPr>
            <w:tcW w:w="633" w:type="pct"/>
            <w:vAlign w:val="center"/>
          </w:tcPr>
          <w:p w14:paraId="1F20AD44"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2</w:t>
            </w:r>
          </w:p>
        </w:tc>
        <w:tc>
          <w:tcPr>
            <w:tcW w:w="645" w:type="pct"/>
            <w:vAlign w:val="center"/>
          </w:tcPr>
          <w:p w14:paraId="43A3C772"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90</w:t>
            </w:r>
            <w:r w:rsidRPr="008A2411">
              <w:rPr>
                <w:rFonts w:ascii="Times New Roman" w:eastAsia="宋体" w:hAnsi="Times New Roman" w:cs="Times New Roman"/>
                <w:color w:val="000000" w:themeColor="text1"/>
                <w:kern w:val="2"/>
                <w:sz w:val="21"/>
                <w:szCs w:val="21"/>
              </w:rPr>
              <w:t>～</w:t>
            </w:r>
            <w:r w:rsidRPr="008A2411">
              <w:rPr>
                <w:rFonts w:ascii="Times New Roman" w:eastAsia="宋体" w:hAnsi="Times New Roman" w:cs="Times New Roman"/>
                <w:color w:val="000000" w:themeColor="text1"/>
                <w:kern w:val="2"/>
                <w:sz w:val="21"/>
                <w:szCs w:val="21"/>
              </w:rPr>
              <w:t>95</w:t>
            </w:r>
          </w:p>
        </w:tc>
        <w:tc>
          <w:tcPr>
            <w:tcW w:w="1021" w:type="pct"/>
            <w:vMerge/>
            <w:vAlign w:val="center"/>
          </w:tcPr>
          <w:p w14:paraId="7D272DA9" w14:textId="77777777" w:rsidR="00B0005F" w:rsidRPr="008A2411" w:rsidRDefault="00B0005F">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p>
        </w:tc>
        <w:tc>
          <w:tcPr>
            <w:tcW w:w="586" w:type="pct"/>
            <w:vAlign w:val="center"/>
          </w:tcPr>
          <w:p w14:paraId="630FB703"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bCs/>
                <w:color w:val="000000" w:themeColor="text1"/>
                <w:kern w:val="2"/>
                <w:sz w:val="21"/>
                <w:szCs w:val="21"/>
                <w:lang w:bidi="ar"/>
              </w:rPr>
              <w:t>8</w:t>
            </w:r>
            <w:r w:rsidRPr="008A2411">
              <w:rPr>
                <w:rFonts w:ascii="Times New Roman" w:hint="eastAsia"/>
                <w:bCs/>
                <w:color w:val="000000" w:themeColor="text1"/>
                <w:kern w:val="2"/>
                <w:sz w:val="21"/>
                <w:szCs w:val="21"/>
                <w:lang w:bidi="ar"/>
              </w:rPr>
              <w:t>5</w:t>
            </w:r>
          </w:p>
        </w:tc>
        <w:tc>
          <w:tcPr>
            <w:tcW w:w="618" w:type="pct"/>
            <w:vAlign w:val="center"/>
          </w:tcPr>
          <w:p w14:paraId="6CECC96D"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eastAsiaTheme="minorEastAsia"/>
                <w:color w:val="000000" w:themeColor="text1"/>
                <w:kern w:val="24"/>
                <w:sz w:val="21"/>
                <w:szCs w:val="21"/>
              </w:rPr>
              <w:t>连续</w:t>
            </w:r>
          </w:p>
        </w:tc>
      </w:tr>
      <w:tr w:rsidR="00B0005F" w:rsidRPr="008A2411" w14:paraId="5F76973D" w14:textId="77777777">
        <w:trPr>
          <w:tblHeader/>
          <w:jc w:val="center"/>
        </w:trPr>
        <w:tc>
          <w:tcPr>
            <w:tcW w:w="717" w:type="pct"/>
            <w:vMerge/>
            <w:vAlign w:val="center"/>
          </w:tcPr>
          <w:p w14:paraId="196A82B5" w14:textId="77777777" w:rsidR="00B0005F" w:rsidRPr="008A2411" w:rsidRDefault="00B0005F">
            <w:pPr>
              <w:pStyle w:val="WJ4"/>
              <w:spacing w:line="240" w:lineRule="auto"/>
              <w:rPr>
                <w:rFonts w:ascii="Times New Roman" w:hAnsi="Times New Roman"/>
                <w:color w:val="000000" w:themeColor="text1"/>
              </w:rPr>
            </w:pPr>
          </w:p>
        </w:tc>
        <w:tc>
          <w:tcPr>
            <w:tcW w:w="777" w:type="pct"/>
            <w:vAlign w:val="center"/>
          </w:tcPr>
          <w:p w14:paraId="2625170C"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空压机</w:t>
            </w:r>
          </w:p>
        </w:tc>
        <w:tc>
          <w:tcPr>
            <w:tcW w:w="633" w:type="pct"/>
            <w:vAlign w:val="center"/>
          </w:tcPr>
          <w:p w14:paraId="77F1F129"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1</w:t>
            </w:r>
          </w:p>
        </w:tc>
        <w:tc>
          <w:tcPr>
            <w:tcW w:w="645" w:type="pct"/>
            <w:vAlign w:val="center"/>
          </w:tcPr>
          <w:p w14:paraId="17BDAEE1"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95~105</w:t>
            </w:r>
          </w:p>
        </w:tc>
        <w:tc>
          <w:tcPr>
            <w:tcW w:w="1021" w:type="pct"/>
            <w:vAlign w:val="center"/>
          </w:tcPr>
          <w:p w14:paraId="62EAA050"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选用低噪声设备，合理布局，减振安装，进风口加装消音器等</w:t>
            </w:r>
          </w:p>
        </w:tc>
        <w:tc>
          <w:tcPr>
            <w:tcW w:w="586" w:type="pct"/>
            <w:vAlign w:val="center"/>
          </w:tcPr>
          <w:p w14:paraId="5E150E34"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hint="eastAsia"/>
                <w:bCs/>
                <w:color w:val="000000" w:themeColor="text1"/>
                <w:kern w:val="2"/>
                <w:sz w:val="21"/>
                <w:szCs w:val="21"/>
                <w:lang w:bidi="ar"/>
              </w:rPr>
              <w:t>90</w:t>
            </w:r>
          </w:p>
        </w:tc>
        <w:tc>
          <w:tcPr>
            <w:tcW w:w="618" w:type="pct"/>
            <w:vAlign w:val="center"/>
          </w:tcPr>
          <w:p w14:paraId="68CEC55E" w14:textId="77777777" w:rsidR="00B0005F" w:rsidRPr="008A2411" w:rsidRDefault="00000000">
            <w:pPr>
              <w:adjustRightInd w:val="0"/>
              <w:snapToGrid w:val="0"/>
              <w:jc w:val="center"/>
              <w:rPr>
                <w:rFonts w:ascii="Times New Roman"/>
                <w:bCs/>
                <w:color w:val="000000" w:themeColor="text1"/>
                <w:kern w:val="2"/>
                <w:sz w:val="21"/>
                <w:szCs w:val="21"/>
                <w:lang w:bidi="ar"/>
              </w:rPr>
            </w:pPr>
            <w:r w:rsidRPr="008A2411">
              <w:rPr>
                <w:rFonts w:ascii="Times New Roman" w:eastAsiaTheme="minorEastAsia"/>
                <w:color w:val="000000" w:themeColor="text1"/>
                <w:kern w:val="24"/>
                <w:sz w:val="21"/>
                <w:szCs w:val="21"/>
              </w:rPr>
              <w:t>连续</w:t>
            </w:r>
          </w:p>
        </w:tc>
      </w:tr>
    </w:tbl>
    <w:p w14:paraId="6394F52C" w14:textId="77777777" w:rsidR="00B0005F" w:rsidRPr="008A2411" w:rsidRDefault="00B0005F">
      <w:pPr>
        <w:pStyle w:val="WJ"/>
        <w:rPr>
          <w:rFonts w:ascii="Times New Roman" w:hAnsi="Times New Roman"/>
          <w:color w:val="000000" w:themeColor="text1"/>
        </w:rPr>
      </w:pPr>
    </w:p>
    <w:p w14:paraId="648E760B"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由上表可以看出，正常运行时，本项目站场噪声源主要来自天然气净化装置区（贫液循环泵等）、液化天然气生产及储存区（</w:t>
      </w:r>
      <w:proofErr w:type="gramStart"/>
      <w:r w:rsidRPr="008A2411">
        <w:rPr>
          <w:rFonts w:ascii="Times New Roman" w:hAnsi="Times New Roman"/>
          <w:color w:val="000000" w:themeColor="text1"/>
        </w:rPr>
        <w:t>充车泵</w:t>
      </w:r>
      <w:proofErr w:type="gramEnd"/>
      <w:r w:rsidRPr="008A2411">
        <w:rPr>
          <w:rFonts w:ascii="Times New Roman" w:hAnsi="Times New Roman"/>
          <w:color w:val="000000" w:themeColor="text1"/>
        </w:rPr>
        <w:t>、压缩机、潜液泵、增压机、空压机等）和污水处理站（提升泵、反冲洗泵、回流泵、鼓风机、空压机等）。</w:t>
      </w:r>
    </w:p>
    <w:p w14:paraId="485374C3" w14:textId="77777777" w:rsidR="00B0005F" w:rsidRPr="008A2411" w:rsidRDefault="00000000">
      <w:pPr>
        <w:pStyle w:val="WJ"/>
        <w:rPr>
          <w:rFonts w:ascii="Times New Roman" w:hAnsi="Times New Roman"/>
          <w:bCs/>
          <w:color w:val="000000" w:themeColor="text1"/>
        </w:rPr>
      </w:pPr>
      <w:r w:rsidRPr="008A2411">
        <w:rPr>
          <w:rFonts w:ascii="Times New Roman" w:hAnsi="Times New Roman"/>
          <w:bCs/>
          <w:color w:val="000000" w:themeColor="text1"/>
        </w:rPr>
        <w:lastRenderedPageBreak/>
        <w:t>（</w:t>
      </w:r>
      <w:r w:rsidRPr="008A2411">
        <w:rPr>
          <w:rFonts w:ascii="Times New Roman" w:hAnsi="Times New Roman"/>
          <w:bCs/>
          <w:color w:val="000000" w:themeColor="text1"/>
        </w:rPr>
        <w:t>4</w:t>
      </w:r>
      <w:r w:rsidRPr="008A2411">
        <w:rPr>
          <w:rFonts w:ascii="Times New Roman" w:hAnsi="Times New Roman"/>
          <w:bCs/>
          <w:color w:val="000000" w:themeColor="text1"/>
        </w:rPr>
        <w:t>）预测结果分析</w:t>
      </w:r>
    </w:p>
    <w:p w14:paraId="44B344D7"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由表</w:t>
      </w:r>
      <w:r w:rsidRPr="008A2411">
        <w:rPr>
          <w:rFonts w:ascii="Times New Roman" w:hAnsi="Times New Roman"/>
          <w:color w:val="000000" w:themeColor="text1"/>
        </w:rPr>
        <w:t>5.2-15</w:t>
      </w:r>
      <w:r w:rsidRPr="008A2411">
        <w:rPr>
          <w:rFonts w:ascii="Times New Roman" w:hAnsi="Times New Roman"/>
          <w:color w:val="000000" w:themeColor="text1"/>
        </w:rPr>
        <w:t>的噪声源强分析可以看出，正常运行时，本项目站场噪声源主要来自天然气净化装置区（贫液循环泵等）、液化天然气生产及储存区（</w:t>
      </w:r>
      <w:proofErr w:type="gramStart"/>
      <w:r w:rsidRPr="008A2411">
        <w:rPr>
          <w:rFonts w:ascii="Times New Roman" w:hAnsi="Times New Roman"/>
          <w:color w:val="000000" w:themeColor="text1"/>
        </w:rPr>
        <w:t>充车泵</w:t>
      </w:r>
      <w:proofErr w:type="gramEnd"/>
      <w:r w:rsidRPr="008A2411">
        <w:rPr>
          <w:rFonts w:ascii="Times New Roman" w:hAnsi="Times New Roman"/>
          <w:color w:val="000000" w:themeColor="text1"/>
        </w:rPr>
        <w:t>、压缩机、潜液泵、增压机、空压机等）和污水处理站（提升泵、反冲洗泵、回流泵、鼓风机、空压机等），将各分区内的点源噪声源强进行叠加，采用噪声预测软件进行预测，</w:t>
      </w:r>
      <w:r w:rsidRPr="008A2411">
        <w:rPr>
          <w:rFonts w:ascii="Times New Roman" w:hAnsi="Times New Roman" w:hint="eastAsia"/>
          <w:color w:val="000000" w:themeColor="text1"/>
        </w:rPr>
        <w:t>各噪声源强与厂界距离情况见表</w:t>
      </w:r>
      <w:r w:rsidRPr="008A2411">
        <w:rPr>
          <w:rFonts w:ascii="Times New Roman" w:hAnsi="Times New Roman" w:hint="eastAsia"/>
          <w:color w:val="000000" w:themeColor="text1"/>
        </w:rPr>
        <w:t>5.2-44</w:t>
      </w:r>
      <w:r w:rsidRPr="008A2411">
        <w:rPr>
          <w:rFonts w:ascii="Times New Roman" w:hAnsi="Times New Roman" w:hint="eastAsia"/>
          <w:color w:val="000000" w:themeColor="text1"/>
        </w:rPr>
        <w:t>，</w:t>
      </w:r>
      <w:r w:rsidRPr="008A2411">
        <w:rPr>
          <w:rFonts w:ascii="Times New Roman" w:hAnsi="Times New Roman"/>
          <w:color w:val="000000" w:themeColor="text1"/>
        </w:rPr>
        <w:t>预测贡献</w:t>
      </w:r>
      <w:proofErr w:type="gramStart"/>
      <w:r w:rsidRPr="008A2411">
        <w:rPr>
          <w:rFonts w:ascii="Times New Roman" w:hAnsi="Times New Roman"/>
          <w:color w:val="000000" w:themeColor="text1"/>
        </w:rPr>
        <w:t>值结果</w:t>
      </w:r>
      <w:proofErr w:type="gramEnd"/>
      <w:r w:rsidRPr="008A2411">
        <w:rPr>
          <w:rFonts w:ascii="Times New Roman" w:hAnsi="Times New Roman"/>
          <w:color w:val="000000" w:themeColor="text1"/>
        </w:rPr>
        <w:t>见图</w:t>
      </w:r>
      <w:r w:rsidRPr="008A2411">
        <w:rPr>
          <w:rFonts w:ascii="Times New Roman" w:hAnsi="Times New Roman" w:hint="eastAsia"/>
          <w:color w:val="000000" w:themeColor="text1"/>
        </w:rPr>
        <w:t>5</w:t>
      </w:r>
      <w:r w:rsidRPr="008A2411">
        <w:rPr>
          <w:rFonts w:ascii="Times New Roman" w:hAnsi="Times New Roman"/>
          <w:color w:val="000000" w:themeColor="text1"/>
        </w:rPr>
        <w:t>.2-</w:t>
      </w:r>
      <w:r w:rsidRPr="008A2411">
        <w:rPr>
          <w:rFonts w:ascii="Times New Roman" w:hAnsi="Times New Roman" w:hint="eastAsia"/>
          <w:color w:val="000000" w:themeColor="text1"/>
        </w:rPr>
        <w:t>19</w:t>
      </w:r>
      <w:r w:rsidRPr="008A2411">
        <w:rPr>
          <w:rFonts w:ascii="Times New Roman" w:hAnsi="Times New Roman"/>
          <w:color w:val="000000" w:themeColor="text1"/>
        </w:rPr>
        <w:t>。</w:t>
      </w:r>
    </w:p>
    <w:p w14:paraId="31B71ED4" w14:textId="77777777" w:rsidR="00B0005F" w:rsidRPr="008A2411" w:rsidRDefault="00000000">
      <w:pPr>
        <w:pStyle w:val="WJ0"/>
        <w:rPr>
          <w:rFonts w:ascii="Times New Roman" w:hAnsi="Times New Roman"/>
          <w:color w:val="000000" w:themeColor="text1"/>
        </w:rPr>
      </w:pPr>
      <w:r w:rsidRPr="008A2411">
        <w:rPr>
          <w:rFonts w:ascii="Times New Roman" w:hAnsi="Times New Roman"/>
          <w:color w:val="000000" w:themeColor="text1"/>
        </w:rPr>
        <w:t>表</w:t>
      </w:r>
      <w:r w:rsidRPr="008A2411">
        <w:rPr>
          <w:rFonts w:ascii="Times New Roman" w:hAnsi="Times New Roman"/>
          <w:color w:val="000000" w:themeColor="text1"/>
        </w:rPr>
        <w:t>5.2-4</w:t>
      </w:r>
      <w:r w:rsidRPr="008A2411">
        <w:rPr>
          <w:rFonts w:ascii="Times New Roman" w:hAnsi="Times New Roman" w:hint="eastAsia"/>
          <w:color w:val="000000" w:themeColor="text1"/>
        </w:rPr>
        <w:t>4</w:t>
      </w:r>
      <w:r w:rsidRPr="008A2411">
        <w:rPr>
          <w:rFonts w:ascii="Times New Roman" w:hAnsi="Times New Roman"/>
          <w:color w:val="000000" w:themeColor="text1"/>
        </w:rPr>
        <w:t xml:space="preserve">   </w:t>
      </w:r>
      <w:r w:rsidRPr="008A2411">
        <w:rPr>
          <w:rFonts w:ascii="Times New Roman" w:hAnsi="Times New Roman" w:hint="eastAsia"/>
          <w:color w:val="000000" w:themeColor="text1"/>
        </w:rPr>
        <w:t>各噪声源</w:t>
      </w:r>
      <w:proofErr w:type="gramStart"/>
      <w:r w:rsidRPr="008A2411">
        <w:rPr>
          <w:rFonts w:ascii="Times New Roman" w:hAnsi="Times New Roman" w:hint="eastAsia"/>
          <w:color w:val="000000" w:themeColor="text1"/>
        </w:rPr>
        <w:t>强距离</w:t>
      </w:r>
      <w:proofErr w:type="gramEnd"/>
      <w:r w:rsidRPr="008A2411">
        <w:rPr>
          <w:rFonts w:ascii="Times New Roman" w:hAnsi="Times New Roman" w:hint="eastAsia"/>
          <w:color w:val="000000" w:themeColor="text1"/>
        </w:rPr>
        <w:t>厂界距离</w:t>
      </w:r>
      <w:r w:rsidRPr="008A2411">
        <w:rPr>
          <w:rFonts w:ascii="Times New Roman" w:hAnsi="Times New Roman"/>
          <w:color w:val="000000" w:themeColor="text1"/>
        </w:rPr>
        <w:t>表</w:t>
      </w:r>
    </w:p>
    <w:tbl>
      <w:tblPr>
        <w:tblW w:w="499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06"/>
        <w:gridCol w:w="1485"/>
        <w:gridCol w:w="1422"/>
        <w:gridCol w:w="1239"/>
        <w:gridCol w:w="1095"/>
        <w:gridCol w:w="992"/>
        <w:gridCol w:w="1073"/>
      </w:tblGrid>
      <w:tr w:rsidR="008A2411" w:rsidRPr="008A2411" w14:paraId="6A160625" w14:textId="77777777">
        <w:trPr>
          <w:trHeight w:val="432"/>
          <w:tblHeader/>
          <w:jc w:val="center"/>
        </w:trPr>
        <w:tc>
          <w:tcPr>
            <w:tcW w:w="1580" w:type="pct"/>
            <w:gridSpan w:val="2"/>
            <w:vAlign w:val="center"/>
          </w:tcPr>
          <w:p w14:paraId="59267352"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rPr>
              <w:t>生产设备</w:t>
            </w:r>
          </w:p>
        </w:tc>
        <w:tc>
          <w:tcPr>
            <w:tcW w:w="835" w:type="pct"/>
            <w:vMerge w:val="restart"/>
            <w:vAlign w:val="center"/>
          </w:tcPr>
          <w:p w14:paraId="3322F57E"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rPr>
              <w:t>数量</w:t>
            </w:r>
          </w:p>
          <w:p w14:paraId="5F30C168"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rPr>
              <w:t>（台</w:t>
            </w:r>
            <w:r w:rsidRPr="008A2411">
              <w:rPr>
                <w:rFonts w:ascii="Times New Roman" w:hAnsi="Times New Roman"/>
                <w:color w:val="000000" w:themeColor="text1"/>
              </w:rPr>
              <w:t>/</w:t>
            </w:r>
            <w:r w:rsidRPr="008A2411">
              <w:rPr>
                <w:rFonts w:ascii="Times New Roman" w:hAnsi="Times New Roman"/>
                <w:color w:val="000000" w:themeColor="text1"/>
              </w:rPr>
              <w:t>套）</w:t>
            </w:r>
          </w:p>
        </w:tc>
        <w:tc>
          <w:tcPr>
            <w:tcW w:w="2584" w:type="pct"/>
            <w:gridSpan w:val="4"/>
            <w:vAlign w:val="center"/>
          </w:tcPr>
          <w:p w14:paraId="6C789C6E"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hint="eastAsia"/>
                <w:color w:val="000000" w:themeColor="text1"/>
              </w:rPr>
              <w:t>与厂界距离情况（</w:t>
            </w:r>
            <w:r w:rsidRPr="008A2411">
              <w:rPr>
                <w:rFonts w:ascii="Times New Roman" w:hAnsi="Times New Roman" w:hint="eastAsia"/>
                <w:color w:val="000000" w:themeColor="text1"/>
              </w:rPr>
              <w:t>m</w:t>
            </w:r>
            <w:r w:rsidRPr="008A2411">
              <w:rPr>
                <w:rFonts w:ascii="Times New Roman" w:hAnsi="Times New Roman" w:hint="eastAsia"/>
                <w:color w:val="000000" w:themeColor="text1"/>
              </w:rPr>
              <w:t>）</w:t>
            </w:r>
          </w:p>
        </w:tc>
      </w:tr>
      <w:tr w:rsidR="008A2411" w:rsidRPr="008A2411" w14:paraId="6910E54E" w14:textId="77777777">
        <w:trPr>
          <w:trHeight w:val="432"/>
          <w:tblHeader/>
          <w:jc w:val="center"/>
        </w:trPr>
        <w:tc>
          <w:tcPr>
            <w:tcW w:w="708" w:type="pct"/>
            <w:vAlign w:val="center"/>
          </w:tcPr>
          <w:p w14:paraId="69F69FB7"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rPr>
              <w:t>功能区</w:t>
            </w:r>
          </w:p>
        </w:tc>
        <w:tc>
          <w:tcPr>
            <w:tcW w:w="871" w:type="pct"/>
            <w:vAlign w:val="center"/>
          </w:tcPr>
          <w:p w14:paraId="355A2D5C"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rPr>
              <w:t>设备名称</w:t>
            </w:r>
          </w:p>
        </w:tc>
        <w:tc>
          <w:tcPr>
            <w:tcW w:w="835" w:type="pct"/>
            <w:vMerge/>
            <w:vAlign w:val="center"/>
          </w:tcPr>
          <w:p w14:paraId="5F8B0241" w14:textId="77777777" w:rsidR="00B0005F" w:rsidRPr="008A2411" w:rsidRDefault="00B0005F">
            <w:pPr>
              <w:pStyle w:val="WJ4"/>
              <w:spacing w:line="240" w:lineRule="auto"/>
              <w:rPr>
                <w:rFonts w:ascii="Times New Roman" w:hAnsi="Times New Roman"/>
                <w:color w:val="000000" w:themeColor="text1"/>
              </w:rPr>
            </w:pPr>
          </w:p>
        </w:tc>
        <w:tc>
          <w:tcPr>
            <w:tcW w:w="728" w:type="pct"/>
            <w:vAlign w:val="center"/>
          </w:tcPr>
          <w:p w14:paraId="72E25DAA"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hint="eastAsia"/>
                <w:color w:val="000000" w:themeColor="text1"/>
              </w:rPr>
              <w:t>东侧</w:t>
            </w:r>
          </w:p>
        </w:tc>
        <w:tc>
          <w:tcPr>
            <w:tcW w:w="643" w:type="pct"/>
            <w:vAlign w:val="center"/>
          </w:tcPr>
          <w:p w14:paraId="71302BBB"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hint="eastAsia"/>
                <w:color w:val="000000" w:themeColor="text1"/>
              </w:rPr>
              <w:t>南侧</w:t>
            </w:r>
          </w:p>
        </w:tc>
        <w:tc>
          <w:tcPr>
            <w:tcW w:w="583" w:type="pct"/>
            <w:vAlign w:val="center"/>
          </w:tcPr>
          <w:p w14:paraId="600A9134"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hint="eastAsia"/>
                <w:color w:val="000000" w:themeColor="text1"/>
              </w:rPr>
              <w:t>西侧</w:t>
            </w:r>
          </w:p>
        </w:tc>
        <w:tc>
          <w:tcPr>
            <w:tcW w:w="629" w:type="pct"/>
            <w:vAlign w:val="center"/>
          </w:tcPr>
          <w:p w14:paraId="107163DE"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hint="eastAsia"/>
                <w:color w:val="000000" w:themeColor="text1"/>
              </w:rPr>
              <w:t>北侧</w:t>
            </w:r>
          </w:p>
        </w:tc>
      </w:tr>
      <w:tr w:rsidR="008A2411" w:rsidRPr="008A2411" w14:paraId="5CAB6767" w14:textId="77777777">
        <w:trPr>
          <w:tblHeader/>
          <w:jc w:val="center"/>
        </w:trPr>
        <w:tc>
          <w:tcPr>
            <w:tcW w:w="708" w:type="pct"/>
            <w:vMerge w:val="restart"/>
            <w:vAlign w:val="center"/>
          </w:tcPr>
          <w:p w14:paraId="4839E13D"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rPr>
              <w:t>脱酸单元</w:t>
            </w:r>
          </w:p>
        </w:tc>
        <w:tc>
          <w:tcPr>
            <w:tcW w:w="871" w:type="pct"/>
            <w:vAlign w:val="center"/>
          </w:tcPr>
          <w:p w14:paraId="6F82BD52"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贫液泵</w:t>
            </w:r>
          </w:p>
        </w:tc>
        <w:tc>
          <w:tcPr>
            <w:tcW w:w="835" w:type="pct"/>
            <w:vAlign w:val="center"/>
          </w:tcPr>
          <w:p w14:paraId="05A5DCAB"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2</w:t>
            </w:r>
            <w:r w:rsidRPr="008A2411">
              <w:rPr>
                <w:rFonts w:ascii="Times New Roman" w:eastAsia="宋体" w:hAnsi="Times New Roman" w:cs="Times New Roman"/>
                <w:color w:val="000000" w:themeColor="text1"/>
                <w:kern w:val="2"/>
                <w:sz w:val="21"/>
                <w:szCs w:val="21"/>
              </w:rPr>
              <w:t>（</w:t>
            </w:r>
            <w:r w:rsidRPr="008A2411">
              <w:rPr>
                <w:rFonts w:ascii="Times New Roman" w:eastAsia="宋体" w:hAnsi="Times New Roman" w:cs="Times New Roman"/>
                <w:color w:val="000000" w:themeColor="text1"/>
                <w:kern w:val="2"/>
                <w:sz w:val="21"/>
                <w:szCs w:val="21"/>
              </w:rPr>
              <w:t>1</w:t>
            </w:r>
            <w:r w:rsidRPr="008A2411">
              <w:rPr>
                <w:rFonts w:ascii="Times New Roman" w:eastAsia="宋体" w:hAnsi="Times New Roman" w:cs="Times New Roman"/>
                <w:color w:val="000000" w:themeColor="text1"/>
                <w:kern w:val="2"/>
                <w:sz w:val="21"/>
                <w:szCs w:val="21"/>
              </w:rPr>
              <w:t>备）</w:t>
            </w:r>
          </w:p>
        </w:tc>
        <w:tc>
          <w:tcPr>
            <w:tcW w:w="728" w:type="pct"/>
            <w:vAlign w:val="center"/>
          </w:tcPr>
          <w:p w14:paraId="470F328F"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hint="eastAsia"/>
                <w:color w:val="000000" w:themeColor="text1"/>
                <w:kern w:val="2"/>
                <w:sz w:val="21"/>
                <w:szCs w:val="21"/>
              </w:rPr>
              <w:t>239</w:t>
            </w:r>
          </w:p>
        </w:tc>
        <w:tc>
          <w:tcPr>
            <w:tcW w:w="643" w:type="pct"/>
            <w:vAlign w:val="center"/>
          </w:tcPr>
          <w:p w14:paraId="2D1378C2"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hint="eastAsia"/>
                <w:bCs/>
                <w:color w:val="000000" w:themeColor="text1"/>
                <w:kern w:val="2"/>
                <w:sz w:val="21"/>
                <w:szCs w:val="21"/>
                <w:lang w:bidi="ar"/>
              </w:rPr>
              <w:t>128</w:t>
            </w:r>
          </w:p>
        </w:tc>
        <w:tc>
          <w:tcPr>
            <w:tcW w:w="583" w:type="pct"/>
            <w:vAlign w:val="center"/>
          </w:tcPr>
          <w:p w14:paraId="5F0C7807"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hint="eastAsia"/>
                <w:color w:val="000000" w:themeColor="text1"/>
                <w:kern w:val="2"/>
                <w:sz w:val="21"/>
                <w:szCs w:val="21"/>
              </w:rPr>
              <w:t>259</w:t>
            </w:r>
          </w:p>
        </w:tc>
        <w:tc>
          <w:tcPr>
            <w:tcW w:w="629" w:type="pct"/>
            <w:vAlign w:val="center"/>
          </w:tcPr>
          <w:p w14:paraId="7C657E4E"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hint="eastAsia"/>
                <w:color w:val="000000" w:themeColor="text1"/>
                <w:kern w:val="2"/>
                <w:sz w:val="21"/>
                <w:szCs w:val="21"/>
              </w:rPr>
              <w:t>48</w:t>
            </w:r>
          </w:p>
        </w:tc>
      </w:tr>
      <w:tr w:rsidR="008A2411" w:rsidRPr="008A2411" w14:paraId="5FA11AF9" w14:textId="77777777">
        <w:trPr>
          <w:tblHeader/>
          <w:jc w:val="center"/>
        </w:trPr>
        <w:tc>
          <w:tcPr>
            <w:tcW w:w="708" w:type="pct"/>
            <w:vMerge/>
            <w:vAlign w:val="center"/>
          </w:tcPr>
          <w:p w14:paraId="36AAB801" w14:textId="77777777" w:rsidR="00B0005F" w:rsidRPr="008A2411" w:rsidRDefault="00B0005F">
            <w:pPr>
              <w:pStyle w:val="WJ4"/>
              <w:spacing w:line="240" w:lineRule="auto"/>
              <w:rPr>
                <w:rFonts w:ascii="Times New Roman" w:hAnsi="Times New Roman"/>
                <w:color w:val="000000" w:themeColor="text1"/>
              </w:rPr>
            </w:pPr>
          </w:p>
        </w:tc>
        <w:tc>
          <w:tcPr>
            <w:tcW w:w="871" w:type="pct"/>
            <w:vAlign w:val="center"/>
          </w:tcPr>
          <w:p w14:paraId="4E61D32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液下泵</w:t>
            </w:r>
          </w:p>
        </w:tc>
        <w:tc>
          <w:tcPr>
            <w:tcW w:w="835" w:type="pct"/>
            <w:vAlign w:val="center"/>
          </w:tcPr>
          <w:p w14:paraId="19EF7D3B"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1</w:t>
            </w:r>
          </w:p>
        </w:tc>
        <w:tc>
          <w:tcPr>
            <w:tcW w:w="728" w:type="pct"/>
            <w:vAlign w:val="center"/>
          </w:tcPr>
          <w:p w14:paraId="13A3FB08"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hint="eastAsia"/>
                <w:color w:val="000000" w:themeColor="text1"/>
                <w:kern w:val="2"/>
                <w:sz w:val="21"/>
                <w:szCs w:val="21"/>
              </w:rPr>
              <w:t>246</w:t>
            </w:r>
          </w:p>
        </w:tc>
        <w:tc>
          <w:tcPr>
            <w:tcW w:w="643" w:type="pct"/>
            <w:vAlign w:val="center"/>
          </w:tcPr>
          <w:p w14:paraId="14E21709"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hint="eastAsia"/>
                <w:bCs/>
                <w:color w:val="000000" w:themeColor="text1"/>
                <w:kern w:val="2"/>
                <w:sz w:val="21"/>
                <w:szCs w:val="21"/>
                <w:lang w:bidi="ar"/>
              </w:rPr>
              <w:t>128</w:t>
            </w:r>
          </w:p>
        </w:tc>
        <w:tc>
          <w:tcPr>
            <w:tcW w:w="583" w:type="pct"/>
            <w:vAlign w:val="center"/>
          </w:tcPr>
          <w:p w14:paraId="409A5F6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hint="eastAsia"/>
                <w:color w:val="000000" w:themeColor="text1"/>
                <w:kern w:val="2"/>
                <w:sz w:val="21"/>
                <w:szCs w:val="21"/>
              </w:rPr>
              <w:t>252</w:t>
            </w:r>
          </w:p>
        </w:tc>
        <w:tc>
          <w:tcPr>
            <w:tcW w:w="629" w:type="pct"/>
            <w:vAlign w:val="center"/>
          </w:tcPr>
          <w:p w14:paraId="7D4BCA69"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hint="eastAsia"/>
                <w:color w:val="000000" w:themeColor="text1"/>
                <w:kern w:val="2"/>
                <w:sz w:val="21"/>
                <w:szCs w:val="21"/>
              </w:rPr>
              <w:t>48</w:t>
            </w:r>
          </w:p>
        </w:tc>
      </w:tr>
      <w:tr w:rsidR="008A2411" w:rsidRPr="008A2411" w14:paraId="25B5E758" w14:textId="77777777">
        <w:trPr>
          <w:tblHeader/>
          <w:jc w:val="center"/>
        </w:trPr>
        <w:tc>
          <w:tcPr>
            <w:tcW w:w="708" w:type="pct"/>
            <w:vMerge/>
            <w:vAlign w:val="center"/>
          </w:tcPr>
          <w:p w14:paraId="4294B3F9" w14:textId="77777777" w:rsidR="00B0005F" w:rsidRPr="008A2411" w:rsidRDefault="00B0005F">
            <w:pPr>
              <w:pStyle w:val="WJ4"/>
              <w:spacing w:line="240" w:lineRule="auto"/>
              <w:rPr>
                <w:rFonts w:ascii="Times New Roman" w:hAnsi="Times New Roman"/>
                <w:color w:val="000000" w:themeColor="text1"/>
              </w:rPr>
            </w:pPr>
          </w:p>
        </w:tc>
        <w:tc>
          <w:tcPr>
            <w:tcW w:w="871" w:type="pct"/>
            <w:vAlign w:val="center"/>
          </w:tcPr>
          <w:p w14:paraId="5DC9386A"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回收泵</w:t>
            </w:r>
          </w:p>
        </w:tc>
        <w:tc>
          <w:tcPr>
            <w:tcW w:w="835" w:type="pct"/>
            <w:vAlign w:val="center"/>
          </w:tcPr>
          <w:p w14:paraId="0B861600"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2</w:t>
            </w:r>
            <w:r w:rsidRPr="008A2411">
              <w:rPr>
                <w:rFonts w:ascii="Times New Roman" w:eastAsia="宋体" w:hAnsi="Times New Roman" w:cs="Times New Roman"/>
                <w:color w:val="000000" w:themeColor="text1"/>
                <w:kern w:val="2"/>
                <w:sz w:val="21"/>
                <w:szCs w:val="21"/>
              </w:rPr>
              <w:t>（</w:t>
            </w:r>
            <w:r w:rsidRPr="008A2411">
              <w:rPr>
                <w:rFonts w:ascii="Times New Roman" w:eastAsia="宋体" w:hAnsi="Times New Roman" w:cs="Times New Roman"/>
                <w:color w:val="000000" w:themeColor="text1"/>
                <w:kern w:val="2"/>
                <w:sz w:val="21"/>
                <w:szCs w:val="21"/>
              </w:rPr>
              <w:t>1</w:t>
            </w:r>
            <w:r w:rsidRPr="008A2411">
              <w:rPr>
                <w:rFonts w:ascii="Times New Roman" w:eastAsia="宋体" w:hAnsi="Times New Roman" w:cs="Times New Roman"/>
                <w:color w:val="000000" w:themeColor="text1"/>
                <w:kern w:val="2"/>
                <w:sz w:val="21"/>
                <w:szCs w:val="21"/>
              </w:rPr>
              <w:t>备）</w:t>
            </w:r>
          </w:p>
        </w:tc>
        <w:tc>
          <w:tcPr>
            <w:tcW w:w="728" w:type="pct"/>
            <w:vAlign w:val="center"/>
          </w:tcPr>
          <w:p w14:paraId="3206A929"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hint="eastAsia"/>
                <w:color w:val="000000" w:themeColor="text1"/>
                <w:kern w:val="2"/>
                <w:sz w:val="21"/>
                <w:szCs w:val="21"/>
              </w:rPr>
              <w:t>241</w:t>
            </w:r>
          </w:p>
        </w:tc>
        <w:tc>
          <w:tcPr>
            <w:tcW w:w="643" w:type="pct"/>
            <w:vAlign w:val="center"/>
          </w:tcPr>
          <w:p w14:paraId="44945559"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hint="eastAsia"/>
                <w:bCs/>
                <w:color w:val="000000" w:themeColor="text1"/>
                <w:kern w:val="2"/>
                <w:sz w:val="21"/>
                <w:szCs w:val="21"/>
                <w:lang w:bidi="ar"/>
              </w:rPr>
              <w:t>128</w:t>
            </w:r>
          </w:p>
        </w:tc>
        <w:tc>
          <w:tcPr>
            <w:tcW w:w="583" w:type="pct"/>
            <w:vAlign w:val="center"/>
          </w:tcPr>
          <w:p w14:paraId="099B0DC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hint="eastAsia"/>
                <w:color w:val="000000" w:themeColor="text1"/>
                <w:kern w:val="2"/>
                <w:sz w:val="21"/>
                <w:szCs w:val="21"/>
              </w:rPr>
              <w:t>247</w:t>
            </w:r>
          </w:p>
        </w:tc>
        <w:tc>
          <w:tcPr>
            <w:tcW w:w="629" w:type="pct"/>
            <w:vAlign w:val="center"/>
          </w:tcPr>
          <w:p w14:paraId="1C6D3C7A"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hint="eastAsia"/>
                <w:color w:val="000000" w:themeColor="text1"/>
                <w:kern w:val="2"/>
                <w:sz w:val="21"/>
                <w:szCs w:val="21"/>
              </w:rPr>
              <w:t>48</w:t>
            </w:r>
          </w:p>
        </w:tc>
      </w:tr>
      <w:tr w:rsidR="008A2411" w:rsidRPr="008A2411" w14:paraId="2EECBE5F" w14:textId="77777777">
        <w:trPr>
          <w:trHeight w:val="708"/>
          <w:tblHeader/>
          <w:jc w:val="center"/>
        </w:trPr>
        <w:tc>
          <w:tcPr>
            <w:tcW w:w="708" w:type="pct"/>
            <w:vAlign w:val="center"/>
          </w:tcPr>
          <w:p w14:paraId="4E78D856"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kern w:val="2"/>
                <w:szCs w:val="24"/>
                <w:lang w:bidi="ar"/>
              </w:rPr>
              <w:t>LNG</w:t>
            </w:r>
            <w:r w:rsidRPr="008A2411">
              <w:rPr>
                <w:rFonts w:ascii="Times New Roman" w:hAnsi="Times New Roman"/>
                <w:color w:val="000000" w:themeColor="text1"/>
                <w:kern w:val="2"/>
                <w:szCs w:val="24"/>
                <w:lang w:bidi="ar"/>
              </w:rPr>
              <w:t>储存及充装系统</w:t>
            </w:r>
          </w:p>
        </w:tc>
        <w:tc>
          <w:tcPr>
            <w:tcW w:w="871" w:type="pct"/>
            <w:vAlign w:val="center"/>
          </w:tcPr>
          <w:p w14:paraId="0D102C05"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LNG</w:t>
            </w:r>
            <w:proofErr w:type="gramStart"/>
            <w:r w:rsidRPr="008A2411">
              <w:rPr>
                <w:rFonts w:ascii="Times New Roman" w:eastAsia="宋体" w:hAnsi="Times New Roman" w:cs="Times New Roman"/>
                <w:color w:val="000000" w:themeColor="text1"/>
                <w:kern w:val="2"/>
                <w:sz w:val="21"/>
                <w:szCs w:val="21"/>
              </w:rPr>
              <w:t>充车泵</w:t>
            </w:r>
            <w:proofErr w:type="gramEnd"/>
          </w:p>
        </w:tc>
        <w:tc>
          <w:tcPr>
            <w:tcW w:w="835" w:type="pct"/>
            <w:vAlign w:val="center"/>
          </w:tcPr>
          <w:p w14:paraId="407567F3" w14:textId="77777777" w:rsidR="00B0005F" w:rsidRPr="008A2411" w:rsidRDefault="00000000">
            <w:pPr>
              <w:widowControl/>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2</w:t>
            </w:r>
          </w:p>
        </w:tc>
        <w:tc>
          <w:tcPr>
            <w:tcW w:w="728" w:type="pct"/>
            <w:vAlign w:val="center"/>
          </w:tcPr>
          <w:p w14:paraId="7321AE97"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hint="eastAsia"/>
                <w:color w:val="000000" w:themeColor="text1"/>
                <w:kern w:val="2"/>
                <w:sz w:val="21"/>
                <w:szCs w:val="21"/>
              </w:rPr>
              <w:t>107</w:t>
            </w:r>
          </w:p>
        </w:tc>
        <w:tc>
          <w:tcPr>
            <w:tcW w:w="643" w:type="pct"/>
            <w:vAlign w:val="center"/>
          </w:tcPr>
          <w:p w14:paraId="6E33C479"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hint="eastAsia"/>
                <w:color w:val="000000" w:themeColor="text1"/>
                <w:kern w:val="2"/>
                <w:sz w:val="21"/>
                <w:szCs w:val="21"/>
              </w:rPr>
              <w:t>89</w:t>
            </w:r>
          </w:p>
        </w:tc>
        <w:tc>
          <w:tcPr>
            <w:tcW w:w="583" w:type="pct"/>
            <w:vAlign w:val="center"/>
          </w:tcPr>
          <w:p w14:paraId="53054C45"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hint="eastAsia"/>
                <w:color w:val="000000" w:themeColor="text1"/>
                <w:kern w:val="2"/>
                <w:sz w:val="21"/>
                <w:szCs w:val="21"/>
              </w:rPr>
              <w:t>369</w:t>
            </w:r>
          </w:p>
        </w:tc>
        <w:tc>
          <w:tcPr>
            <w:tcW w:w="629" w:type="pct"/>
            <w:vAlign w:val="center"/>
          </w:tcPr>
          <w:p w14:paraId="0D4BC5B7"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hint="eastAsia"/>
                <w:color w:val="000000" w:themeColor="text1"/>
                <w:kern w:val="2"/>
                <w:sz w:val="21"/>
                <w:szCs w:val="21"/>
              </w:rPr>
              <w:t>121</w:t>
            </w:r>
          </w:p>
        </w:tc>
      </w:tr>
      <w:tr w:rsidR="008A2411" w:rsidRPr="008A2411" w14:paraId="5F567451" w14:textId="77777777">
        <w:trPr>
          <w:trHeight w:val="494"/>
          <w:tblHeader/>
          <w:jc w:val="center"/>
        </w:trPr>
        <w:tc>
          <w:tcPr>
            <w:tcW w:w="708" w:type="pct"/>
            <w:vAlign w:val="center"/>
          </w:tcPr>
          <w:p w14:paraId="4B500187"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kern w:val="2"/>
                <w:szCs w:val="24"/>
                <w:lang w:bidi="ar"/>
              </w:rPr>
              <w:t>BOG</w:t>
            </w:r>
            <w:r w:rsidRPr="008A2411">
              <w:rPr>
                <w:rFonts w:ascii="Times New Roman" w:hAnsi="Times New Roman"/>
                <w:color w:val="000000" w:themeColor="text1"/>
                <w:kern w:val="2"/>
                <w:szCs w:val="24"/>
                <w:lang w:bidi="ar"/>
              </w:rPr>
              <w:t>回收系统</w:t>
            </w:r>
          </w:p>
        </w:tc>
        <w:tc>
          <w:tcPr>
            <w:tcW w:w="871" w:type="pct"/>
            <w:vAlign w:val="center"/>
          </w:tcPr>
          <w:p w14:paraId="575768AA"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BOG</w:t>
            </w:r>
            <w:r w:rsidRPr="008A2411">
              <w:rPr>
                <w:rFonts w:ascii="Times New Roman" w:eastAsia="宋体" w:hAnsi="Times New Roman" w:cs="Times New Roman"/>
                <w:color w:val="000000" w:themeColor="text1"/>
                <w:kern w:val="2"/>
                <w:sz w:val="21"/>
                <w:szCs w:val="21"/>
              </w:rPr>
              <w:t>压缩机</w:t>
            </w:r>
          </w:p>
        </w:tc>
        <w:tc>
          <w:tcPr>
            <w:tcW w:w="835" w:type="pct"/>
            <w:vAlign w:val="center"/>
          </w:tcPr>
          <w:p w14:paraId="4F572CA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2</w:t>
            </w:r>
          </w:p>
        </w:tc>
        <w:tc>
          <w:tcPr>
            <w:tcW w:w="728" w:type="pct"/>
            <w:vAlign w:val="center"/>
          </w:tcPr>
          <w:p w14:paraId="5E59F0C4"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hint="eastAsia"/>
                <w:color w:val="000000" w:themeColor="text1"/>
                <w:kern w:val="2"/>
                <w:sz w:val="21"/>
                <w:szCs w:val="21"/>
              </w:rPr>
              <w:t>232</w:t>
            </w:r>
          </w:p>
        </w:tc>
        <w:tc>
          <w:tcPr>
            <w:tcW w:w="643" w:type="pct"/>
            <w:vAlign w:val="center"/>
          </w:tcPr>
          <w:p w14:paraId="3B767C13"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hint="eastAsia"/>
                <w:color w:val="000000" w:themeColor="text1"/>
                <w:kern w:val="2"/>
                <w:sz w:val="21"/>
                <w:szCs w:val="21"/>
              </w:rPr>
              <w:t>145</w:t>
            </w:r>
          </w:p>
        </w:tc>
        <w:tc>
          <w:tcPr>
            <w:tcW w:w="583" w:type="pct"/>
            <w:vAlign w:val="center"/>
          </w:tcPr>
          <w:p w14:paraId="4B82BBD2"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hint="eastAsia"/>
                <w:color w:val="000000" w:themeColor="text1"/>
                <w:kern w:val="2"/>
                <w:sz w:val="21"/>
                <w:szCs w:val="21"/>
              </w:rPr>
              <w:t>253</w:t>
            </w:r>
          </w:p>
        </w:tc>
        <w:tc>
          <w:tcPr>
            <w:tcW w:w="629" w:type="pct"/>
            <w:vAlign w:val="center"/>
          </w:tcPr>
          <w:p w14:paraId="716C35BC"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hint="eastAsia"/>
                <w:color w:val="000000" w:themeColor="text1"/>
                <w:kern w:val="2"/>
                <w:sz w:val="21"/>
                <w:szCs w:val="21"/>
              </w:rPr>
              <w:t>34</w:t>
            </w:r>
          </w:p>
        </w:tc>
      </w:tr>
      <w:tr w:rsidR="008A2411" w:rsidRPr="008A2411" w14:paraId="3FA5B9A8" w14:textId="77777777">
        <w:trPr>
          <w:trHeight w:val="123"/>
          <w:tblHeader/>
          <w:jc w:val="center"/>
        </w:trPr>
        <w:tc>
          <w:tcPr>
            <w:tcW w:w="708" w:type="pct"/>
            <w:vMerge w:val="restart"/>
            <w:vAlign w:val="center"/>
          </w:tcPr>
          <w:p w14:paraId="12B92D8E"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szCs w:val="24"/>
              </w:rPr>
              <w:t>LNG</w:t>
            </w:r>
            <w:r w:rsidRPr="008A2411">
              <w:rPr>
                <w:rFonts w:ascii="Times New Roman" w:hAnsi="Times New Roman"/>
                <w:color w:val="000000" w:themeColor="text1"/>
                <w:szCs w:val="24"/>
              </w:rPr>
              <w:t>加注系统</w:t>
            </w:r>
          </w:p>
        </w:tc>
        <w:tc>
          <w:tcPr>
            <w:tcW w:w="871" w:type="pct"/>
            <w:vAlign w:val="center"/>
          </w:tcPr>
          <w:p w14:paraId="65156A2A"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潜液泵</w:t>
            </w:r>
          </w:p>
        </w:tc>
        <w:tc>
          <w:tcPr>
            <w:tcW w:w="835" w:type="pct"/>
            <w:vAlign w:val="center"/>
          </w:tcPr>
          <w:p w14:paraId="0196B556"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1</w:t>
            </w:r>
          </w:p>
        </w:tc>
        <w:tc>
          <w:tcPr>
            <w:tcW w:w="728" w:type="pct"/>
            <w:vAlign w:val="center"/>
          </w:tcPr>
          <w:p w14:paraId="0DB7632F"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hint="eastAsia"/>
                <w:color w:val="000000" w:themeColor="text1"/>
                <w:kern w:val="2"/>
                <w:sz w:val="21"/>
                <w:szCs w:val="21"/>
              </w:rPr>
              <w:t>101</w:t>
            </w:r>
          </w:p>
        </w:tc>
        <w:tc>
          <w:tcPr>
            <w:tcW w:w="643" w:type="pct"/>
            <w:vAlign w:val="center"/>
          </w:tcPr>
          <w:p w14:paraId="4F64CBBB"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hint="eastAsia"/>
                <w:color w:val="000000" w:themeColor="text1"/>
                <w:kern w:val="2"/>
                <w:sz w:val="21"/>
                <w:szCs w:val="21"/>
              </w:rPr>
              <w:t>88</w:t>
            </w:r>
          </w:p>
        </w:tc>
        <w:tc>
          <w:tcPr>
            <w:tcW w:w="583" w:type="pct"/>
            <w:vAlign w:val="center"/>
          </w:tcPr>
          <w:p w14:paraId="68E8991D"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hint="eastAsia"/>
                <w:color w:val="000000" w:themeColor="text1"/>
                <w:kern w:val="2"/>
                <w:sz w:val="21"/>
                <w:szCs w:val="21"/>
              </w:rPr>
              <w:t>376</w:t>
            </w:r>
          </w:p>
        </w:tc>
        <w:tc>
          <w:tcPr>
            <w:tcW w:w="629" w:type="pct"/>
            <w:vAlign w:val="center"/>
          </w:tcPr>
          <w:p w14:paraId="3E46DD54"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hint="eastAsia"/>
                <w:color w:val="000000" w:themeColor="text1"/>
                <w:kern w:val="2"/>
                <w:sz w:val="21"/>
                <w:szCs w:val="21"/>
              </w:rPr>
              <w:t>122</w:t>
            </w:r>
          </w:p>
        </w:tc>
      </w:tr>
      <w:tr w:rsidR="008A2411" w:rsidRPr="008A2411" w14:paraId="20BFB5D9" w14:textId="77777777">
        <w:trPr>
          <w:trHeight w:val="362"/>
          <w:tblHeader/>
          <w:jc w:val="center"/>
        </w:trPr>
        <w:tc>
          <w:tcPr>
            <w:tcW w:w="708" w:type="pct"/>
            <w:vMerge/>
            <w:vAlign w:val="center"/>
          </w:tcPr>
          <w:p w14:paraId="53D02936" w14:textId="77777777" w:rsidR="00B0005F" w:rsidRPr="008A2411" w:rsidRDefault="00B0005F">
            <w:pPr>
              <w:pStyle w:val="WJ4"/>
              <w:spacing w:line="240" w:lineRule="auto"/>
              <w:rPr>
                <w:rFonts w:ascii="Times New Roman" w:hAnsi="Times New Roman"/>
                <w:color w:val="000000" w:themeColor="text1"/>
              </w:rPr>
            </w:pPr>
          </w:p>
        </w:tc>
        <w:tc>
          <w:tcPr>
            <w:tcW w:w="871" w:type="pct"/>
            <w:vAlign w:val="center"/>
          </w:tcPr>
          <w:p w14:paraId="73C9EBE2"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储罐增压器</w:t>
            </w:r>
          </w:p>
        </w:tc>
        <w:tc>
          <w:tcPr>
            <w:tcW w:w="835" w:type="pct"/>
            <w:vAlign w:val="center"/>
          </w:tcPr>
          <w:p w14:paraId="246B3331"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1</w:t>
            </w:r>
          </w:p>
        </w:tc>
        <w:tc>
          <w:tcPr>
            <w:tcW w:w="728" w:type="pct"/>
            <w:vAlign w:val="center"/>
          </w:tcPr>
          <w:p w14:paraId="3F979C78"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hint="eastAsia"/>
                <w:color w:val="000000" w:themeColor="text1"/>
                <w:kern w:val="2"/>
                <w:sz w:val="21"/>
                <w:szCs w:val="21"/>
              </w:rPr>
              <w:t>103</w:t>
            </w:r>
          </w:p>
        </w:tc>
        <w:tc>
          <w:tcPr>
            <w:tcW w:w="643" w:type="pct"/>
            <w:vAlign w:val="center"/>
          </w:tcPr>
          <w:p w14:paraId="365A6DE1"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hint="eastAsia"/>
                <w:color w:val="000000" w:themeColor="text1"/>
                <w:kern w:val="2"/>
                <w:sz w:val="21"/>
                <w:szCs w:val="21"/>
              </w:rPr>
              <w:t>90</w:t>
            </w:r>
          </w:p>
        </w:tc>
        <w:tc>
          <w:tcPr>
            <w:tcW w:w="583" w:type="pct"/>
            <w:vAlign w:val="center"/>
          </w:tcPr>
          <w:p w14:paraId="463612C0"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hint="eastAsia"/>
                <w:color w:val="000000" w:themeColor="text1"/>
                <w:kern w:val="2"/>
                <w:sz w:val="21"/>
                <w:szCs w:val="21"/>
              </w:rPr>
              <w:t>373</w:t>
            </w:r>
          </w:p>
        </w:tc>
        <w:tc>
          <w:tcPr>
            <w:tcW w:w="629" w:type="pct"/>
            <w:vAlign w:val="center"/>
          </w:tcPr>
          <w:p w14:paraId="237A2A91"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hint="eastAsia"/>
                <w:color w:val="000000" w:themeColor="text1"/>
                <w:kern w:val="2"/>
                <w:sz w:val="21"/>
                <w:szCs w:val="21"/>
              </w:rPr>
              <w:t>120</w:t>
            </w:r>
          </w:p>
        </w:tc>
      </w:tr>
      <w:tr w:rsidR="008A2411" w:rsidRPr="008A2411" w14:paraId="4463DEDD" w14:textId="77777777">
        <w:trPr>
          <w:tblHeader/>
          <w:jc w:val="center"/>
        </w:trPr>
        <w:tc>
          <w:tcPr>
            <w:tcW w:w="708" w:type="pct"/>
            <w:vAlign w:val="center"/>
          </w:tcPr>
          <w:p w14:paraId="75B01002"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kern w:val="2"/>
                <w:szCs w:val="24"/>
                <w:lang w:bidi="ar"/>
              </w:rPr>
              <w:t>制氮系统</w:t>
            </w:r>
          </w:p>
        </w:tc>
        <w:tc>
          <w:tcPr>
            <w:tcW w:w="871" w:type="pct"/>
            <w:vAlign w:val="center"/>
          </w:tcPr>
          <w:p w14:paraId="7E63162F" w14:textId="77777777" w:rsidR="00B0005F" w:rsidRPr="008A2411" w:rsidRDefault="00000000">
            <w:pPr>
              <w:widowControl/>
              <w:adjustRightInd w:val="0"/>
              <w:snapToGrid w:val="0"/>
              <w:jc w:val="center"/>
              <w:rPr>
                <w:rFonts w:ascii="Times New Roman"/>
                <w:bCs/>
                <w:color w:val="000000" w:themeColor="text1"/>
                <w:kern w:val="2"/>
                <w:sz w:val="21"/>
                <w:szCs w:val="21"/>
                <w:lang w:bidi="ar"/>
              </w:rPr>
            </w:pPr>
            <w:r w:rsidRPr="008A2411">
              <w:rPr>
                <w:rFonts w:ascii="Times New Roman"/>
                <w:bCs/>
                <w:color w:val="000000" w:themeColor="text1"/>
                <w:kern w:val="2"/>
                <w:sz w:val="21"/>
                <w:szCs w:val="21"/>
                <w:lang w:bidi="ar"/>
              </w:rPr>
              <w:t>空压机</w:t>
            </w:r>
          </w:p>
        </w:tc>
        <w:tc>
          <w:tcPr>
            <w:tcW w:w="835" w:type="pct"/>
            <w:vAlign w:val="center"/>
          </w:tcPr>
          <w:p w14:paraId="3A56F3D9" w14:textId="77777777" w:rsidR="00B0005F" w:rsidRPr="008A2411" w:rsidRDefault="00000000">
            <w:pPr>
              <w:widowControl/>
              <w:adjustRightInd w:val="0"/>
              <w:snapToGrid w:val="0"/>
              <w:jc w:val="center"/>
              <w:rPr>
                <w:rFonts w:ascii="Times New Roman"/>
                <w:bCs/>
                <w:color w:val="000000" w:themeColor="text1"/>
                <w:kern w:val="2"/>
                <w:sz w:val="21"/>
                <w:szCs w:val="21"/>
                <w:lang w:bidi="ar"/>
              </w:rPr>
            </w:pPr>
            <w:r w:rsidRPr="008A2411">
              <w:rPr>
                <w:rFonts w:ascii="Times New Roman"/>
                <w:bCs/>
                <w:color w:val="000000" w:themeColor="text1"/>
                <w:kern w:val="2"/>
                <w:sz w:val="21"/>
                <w:szCs w:val="21"/>
                <w:lang w:bidi="ar"/>
              </w:rPr>
              <w:t>1</w:t>
            </w:r>
          </w:p>
        </w:tc>
        <w:tc>
          <w:tcPr>
            <w:tcW w:w="728" w:type="pct"/>
            <w:vAlign w:val="center"/>
          </w:tcPr>
          <w:p w14:paraId="34D59F87"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hint="eastAsia"/>
                <w:color w:val="000000" w:themeColor="text1"/>
                <w:kern w:val="2"/>
                <w:sz w:val="21"/>
                <w:szCs w:val="21"/>
              </w:rPr>
              <w:t>315</w:t>
            </w:r>
          </w:p>
        </w:tc>
        <w:tc>
          <w:tcPr>
            <w:tcW w:w="643" w:type="pct"/>
            <w:vAlign w:val="center"/>
          </w:tcPr>
          <w:p w14:paraId="0255D3C4"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hint="eastAsia"/>
                <w:color w:val="000000" w:themeColor="text1"/>
                <w:kern w:val="2"/>
                <w:sz w:val="21"/>
                <w:szCs w:val="21"/>
              </w:rPr>
              <w:t>143</w:t>
            </w:r>
          </w:p>
        </w:tc>
        <w:tc>
          <w:tcPr>
            <w:tcW w:w="583" w:type="pct"/>
            <w:vAlign w:val="center"/>
          </w:tcPr>
          <w:p w14:paraId="31A9B1E3"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hint="eastAsia"/>
                <w:color w:val="000000" w:themeColor="text1"/>
                <w:kern w:val="2"/>
                <w:sz w:val="21"/>
                <w:szCs w:val="21"/>
              </w:rPr>
              <w:t>161</w:t>
            </w:r>
          </w:p>
        </w:tc>
        <w:tc>
          <w:tcPr>
            <w:tcW w:w="629" w:type="pct"/>
            <w:vAlign w:val="center"/>
          </w:tcPr>
          <w:p w14:paraId="561A2756"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hint="eastAsia"/>
                <w:color w:val="000000" w:themeColor="text1"/>
                <w:kern w:val="2"/>
                <w:sz w:val="21"/>
                <w:szCs w:val="21"/>
              </w:rPr>
              <w:t>25</w:t>
            </w:r>
          </w:p>
        </w:tc>
      </w:tr>
      <w:tr w:rsidR="008A2411" w:rsidRPr="008A2411" w14:paraId="30A27264" w14:textId="77777777">
        <w:trPr>
          <w:tblHeader/>
          <w:jc w:val="center"/>
        </w:trPr>
        <w:tc>
          <w:tcPr>
            <w:tcW w:w="708" w:type="pct"/>
            <w:vAlign w:val="center"/>
          </w:tcPr>
          <w:p w14:paraId="4669AF35"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kern w:val="2"/>
                <w:szCs w:val="24"/>
                <w:lang w:bidi="ar"/>
              </w:rPr>
              <w:t>仪表空气系统</w:t>
            </w:r>
          </w:p>
        </w:tc>
        <w:tc>
          <w:tcPr>
            <w:tcW w:w="871" w:type="pct"/>
            <w:vAlign w:val="center"/>
          </w:tcPr>
          <w:p w14:paraId="5F7365CF"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螺杆式空压机</w:t>
            </w:r>
          </w:p>
        </w:tc>
        <w:tc>
          <w:tcPr>
            <w:tcW w:w="835" w:type="pct"/>
            <w:vAlign w:val="center"/>
          </w:tcPr>
          <w:p w14:paraId="6915A311" w14:textId="77777777" w:rsidR="00B0005F" w:rsidRPr="008A2411" w:rsidRDefault="00000000">
            <w:pPr>
              <w:pStyle w:val="WJ5"/>
              <w:spacing w:line="240" w:lineRule="auto"/>
              <w:rPr>
                <w:rFonts w:ascii="Times New Roman" w:hAnsi="Times New Roman"/>
                <w:color w:val="000000" w:themeColor="text1"/>
                <w:lang w:bidi="ar"/>
              </w:rPr>
            </w:pPr>
            <w:r w:rsidRPr="008A2411">
              <w:rPr>
                <w:rFonts w:ascii="Times New Roman" w:hAnsi="Times New Roman"/>
                <w:color w:val="000000" w:themeColor="text1"/>
                <w:lang w:bidi="ar"/>
              </w:rPr>
              <w:t>3</w:t>
            </w:r>
          </w:p>
        </w:tc>
        <w:tc>
          <w:tcPr>
            <w:tcW w:w="728" w:type="pct"/>
            <w:vAlign w:val="center"/>
          </w:tcPr>
          <w:p w14:paraId="7E1DC074"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hint="eastAsia"/>
                <w:color w:val="000000" w:themeColor="text1"/>
                <w:kern w:val="2"/>
                <w:sz w:val="21"/>
                <w:szCs w:val="21"/>
              </w:rPr>
              <w:t>310</w:t>
            </w:r>
          </w:p>
        </w:tc>
        <w:tc>
          <w:tcPr>
            <w:tcW w:w="643" w:type="pct"/>
            <w:vAlign w:val="center"/>
          </w:tcPr>
          <w:p w14:paraId="566D16F4"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hint="eastAsia"/>
                <w:color w:val="000000" w:themeColor="text1"/>
                <w:kern w:val="2"/>
                <w:sz w:val="21"/>
                <w:szCs w:val="21"/>
              </w:rPr>
              <w:t>143</w:t>
            </w:r>
          </w:p>
        </w:tc>
        <w:tc>
          <w:tcPr>
            <w:tcW w:w="583" w:type="pct"/>
            <w:vAlign w:val="center"/>
          </w:tcPr>
          <w:p w14:paraId="32166F60"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hint="eastAsia"/>
                <w:color w:val="000000" w:themeColor="text1"/>
                <w:kern w:val="2"/>
                <w:sz w:val="21"/>
                <w:szCs w:val="21"/>
              </w:rPr>
              <w:t>166</w:t>
            </w:r>
          </w:p>
        </w:tc>
        <w:tc>
          <w:tcPr>
            <w:tcW w:w="629" w:type="pct"/>
            <w:vAlign w:val="center"/>
          </w:tcPr>
          <w:p w14:paraId="21BB7C76"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hint="eastAsia"/>
                <w:color w:val="000000" w:themeColor="text1"/>
                <w:kern w:val="2"/>
                <w:sz w:val="21"/>
                <w:szCs w:val="21"/>
              </w:rPr>
              <w:t>25</w:t>
            </w:r>
          </w:p>
        </w:tc>
      </w:tr>
      <w:tr w:rsidR="008A2411" w:rsidRPr="008A2411" w14:paraId="3CC9330E" w14:textId="77777777">
        <w:trPr>
          <w:tblHeader/>
          <w:jc w:val="center"/>
        </w:trPr>
        <w:tc>
          <w:tcPr>
            <w:tcW w:w="708" w:type="pct"/>
            <w:vAlign w:val="center"/>
          </w:tcPr>
          <w:p w14:paraId="630B30A8"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kern w:val="2"/>
                <w:szCs w:val="24"/>
                <w:lang w:bidi="ar"/>
              </w:rPr>
              <w:t>闭式循环冷却水系统</w:t>
            </w:r>
          </w:p>
        </w:tc>
        <w:tc>
          <w:tcPr>
            <w:tcW w:w="871" w:type="pct"/>
            <w:vAlign w:val="center"/>
          </w:tcPr>
          <w:p w14:paraId="3F567E10"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循环水泵</w:t>
            </w:r>
          </w:p>
        </w:tc>
        <w:tc>
          <w:tcPr>
            <w:tcW w:w="835" w:type="pct"/>
            <w:vAlign w:val="center"/>
          </w:tcPr>
          <w:p w14:paraId="742F0E44"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3</w:t>
            </w:r>
          </w:p>
        </w:tc>
        <w:tc>
          <w:tcPr>
            <w:tcW w:w="728" w:type="pct"/>
            <w:vAlign w:val="center"/>
          </w:tcPr>
          <w:p w14:paraId="4C433A78"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hint="eastAsia"/>
                <w:color w:val="000000" w:themeColor="text1"/>
                <w:kern w:val="2"/>
                <w:sz w:val="21"/>
                <w:szCs w:val="21"/>
              </w:rPr>
              <w:t>464</w:t>
            </w:r>
          </w:p>
        </w:tc>
        <w:tc>
          <w:tcPr>
            <w:tcW w:w="643" w:type="pct"/>
            <w:vAlign w:val="center"/>
          </w:tcPr>
          <w:p w14:paraId="4A26D97F"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hint="eastAsia"/>
                <w:color w:val="000000" w:themeColor="text1"/>
                <w:kern w:val="2"/>
                <w:sz w:val="21"/>
                <w:szCs w:val="21"/>
              </w:rPr>
              <w:t>112</w:t>
            </w:r>
          </w:p>
        </w:tc>
        <w:tc>
          <w:tcPr>
            <w:tcW w:w="583" w:type="pct"/>
            <w:vAlign w:val="center"/>
          </w:tcPr>
          <w:p w14:paraId="4F72B70D"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hint="eastAsia"/>
                <w:color w:val="000000" w:themeColor="text1"/>
                <w:kern w:val="2"/>
                <w:sz w:val="21"/>
                <w:szCs w:val="21"/>
              </w:rPr>
              <w:t>35</w:t>
            </w:r>
          </w:p>
        </w:tc>
        <w:tc>
          <w:tcPr>
            <w:tcW w:w="629" w:type="pct"/>
            <w:vAlign w:val="center"/>
          </w:tcPr>
          <w:p w14:paraId="7EE5465C"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hint="eastAsia"/>
                <w:color w:val="000000" w:themeColor="text1"/>
                <w:kern w:val="2"/>
                <w:sz w:val="21"/>
                <w:szCs w:val="21"/>
              </w:rPr>
              <w:t>44</w:t>
            </w:r>
          </w:p>
        </w:tc>
      </w:tr>
      <w:tr w:rsidR="008A2411" w:rsidRPr="008A2411" w14:paraId="74C32F98" w14:textId="77777777">
        <w:trPr>
          <w:tblHeader/>
          <w:jc w:val="center"/>
        </w:trPr>
        <w:tc>
          <w:tcPr>
            <w:tcW w:w="708" w:type="pct"/>
            <w:vMerge w:val="restart"/>
            <w:vAlign w:val="center"/>
          </w:tcPr>
          <w:p w14:paraId="0DB86ED7"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rPr>
              <w:t>污水处理系统</w:t>
            </w:r>
          </w:p>
        </w:tc>
        <w:tc>
          <w:tcPr>
            <w:tcW w:w="871" w:type="pct"/>
            <w:vAlign w:val="center"/>
          </w:tcPr>
          <w:p w14:paraId="7780DDE8"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污物提水泵</w:t>
            </w:r>
          </w:p>
        </w:tc>
        <w:tc>
          <w:tcPr>
            <w:tcW w:w="835" w:type="pct"/>
            <w:vAlign w:val="center"/>
          </w:tcPr>
          <w:p w14:paraId="25CE0924"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2</w:t>
            </w:r>
          </w:p>
        </w:tc>
        <w:tc>
          <w:tcPr>
            <w:tcW w:w="1240" w:type="dxa"/>
            <w:vAlign w:val="center"/>
          </w:tcPr>
          <w:p w14:paraId="6C41674B"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234</w:t>
            </w:r>
          </w:p>
        </w:tc>
        <w:tc>
          <w:tcPr>
            <w:tcW w:w="1095" w:type="dxa"/>
            <w:vAlign w:val="center"/>
          </w:tcPr>
          <w:p w14:paraId="24249173"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85</w:t>
            </w:r>
          </w:p>
        </w:tc>
        <w:tc>
          <w:tcPr>
            <w:tcW w:w="993" w:type="dxa"/>
            <w:vAlign w:val="center"/>
          </w:tcPr>
          <w:p w14:paraId="29EC9D27"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259</w:t>
            </w:r>
          </w:p>
        </w:tc>
        <w:tc>
          <w:tcPr>
            <w:tcW w:w="1073" w:type="dxa"/>
            <w:vAlign w:val="center"/>
          </w:tcPr>
          <w:p w14:paraId="7555B9BB"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90</w:t>
            </w:r>
          </w:p>
        </w:tc>
      </w:tr>
      <w:tr w:rsidR="008A2411" w:rsidRPr="008A2411" w14:paraId="498BF08E" w14:textId="77777777">
        <w:trPr>
          <w:trHeight w:val="615"/>
          <w:tblHeader/>
          <w:jc w:val="center"/>
        </w:trPr>
        <w:tc>
          <w:tcPr>
            <w:tcW w:w="708" w:type="pct"/>
            <w:vMerge/>
            <w:vAlign w:val="center"/>
          </w:tcPr>
          <w:p w14:paraId="7F05D360" w14:textId="77777777" w:rsidR="00B0005F" w:rsidRPr="008A2411" w:rsidRDefault="00B0005F">
            <w:pPr>
              <w:pStyle w:val="WJ4"/>
              <w:spacing w:line="240" w:lineRule="auto"/>
              <w:rPr>
                <w:rFonts w:ascii="Times New Roman" w:hAnsi="Times New Roman"/>
                <w:color w:val="000000" w:themeColor="text1"/>
              </w:rPr>
            </w:pPr>
          </w:p>
        </w:tc>
        <w:tc>
          <w:tcPr>
            <w:tcW w:w="871" w:type="pct"/>
            <w:vAlign w:val="center"/>
          </w:tcPr>
          <w:p w14:paraId="1D8AFF24"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搅拌器</w:t>
            </w:r>
          </w:p>
        </w:tc>
        <w:tc>
          <w:tcPr>
            <w:tcW w:w="835" w:type="pct"/>
            <w:vAlign w:val="center"/>
          </w:tcPr>
          <w:p w14:paraId="786AC5E4"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4</w:t>
            </w:r>
          </w:p>
        </w:tc>
        <w:tc>
          <w:tcPr>
            <w:tcW w:w="1240" w:type="dxa"/>
            <w:vAlign w:val="center"/>
          </w:tcPr>
          <w:p w14:paraId="3336B669"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231</w:t>
            </w:r>
          </w:p>
        </w:tc>
        <w:tc>
          <w:tcPr>
            <w:tcW w:w="1095" w:type="dxa"/>
            <w:vAlign w:val="center"/>
          </w:tcPr>
          <w:p w14:paraId="5500BA47"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84</w:t>
            </w:r>
          </w:p>
        </w:tc>
        <w:tc>
          <w:tcPr>
            <w:tcW w:w="993" w:type="dxa"/>
            <w:vAlign w:val="center"/>
          </w:tcPr>
          <w:p w14:paraId="17F7115C"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262</w:t>
            </w:r>
          </w:p>
        </w:tc>
        <w:tc>
          <w:tcPr>
            <w:tcW w:w="1073" w:type="dxa"/>
            <w:vAlign w:val="center"/>
          </w:tcPr>
          <w:p w14:paraId="7C61A88C"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91</w:t>
            </w:r>
          </w:p>
        </w:tc>
      </w:tr>
      <w:tr w:rsidR="008A2411" w:rsidRPr="008A2411" w14:paraId="509C796C" w14:textId="77777777">
        <w:trPr>
          <w:tblHeader/>
          <w:jc w:val="center"/>
        </w:trPr>
        <w:tc>
          <w:tcPr>
            <w:tcW w:w="708" w:type="pct"/>
            <w:vMerge/>
            <w:vAlign w:val="center"/>
          </w:tcPr>
          <w:p w14:paraId="18984E6E" w14:textId="77777777" w:rsidR="00B0005F" w:rsidRPr="008A2411" w:rsidRDefault="00B0005F">
            <w:pPr>
              <w:pStyle w:val="WJ4"/>
              <w:spacing w:line="240" w:lineRule="auto"/>
              <w:rPr>
                <w:rFonts w:ascii="Times New Roman" w:hAnsi="Times New Roman"/>
                <w:color w:val="000000" w:themeColor="text1"/>
              </w:rPr>
            </w:pPr>
          </w:p>
        </w:tc>
        <w:tc>
          <w:tcPr>
            <w:tcW w:w="871" w:type="pct"/>
            <w:vAlign w:val="center"/>
          </w:tcPr>
          <w:p w14:paraId="26059972"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回转式鼓风机</w:t>
            </w:r>
          </w:p>
        </w:tc>
        <w:tc>
          <w:tcPr>
            <w:tcW w:w="835" w:type="pct"/>
            <w:vAlign w:val="center"/>
          </w:tcPr>
          <w:p w14:paraId="3FDC68D4"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3</w:t>
            </w:r>
          </w:p>
        </w:tc>
        <w:tc>
          <w:tcPr>
            <w:tcW w:w="1240" w:type="dxa"/>
            <w:vAlign w:val="center"/>
          </w:tcPr>
          <w:p w14:paraId="05AE729F"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233</w:t>
            </w:r>
          </w:p>
        </w:tc>
        <w:tc>
          <w:tcPr>
            <w:tcW w:w="1095" w:type="dxa"/>
            <w:vAlign w:val="center"/>
          </w:tcPr>
          <w:p w14:paraId="106FFCE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86</w:t>
            </w:r>
          </w:p>
        </w:tc>
        <w:tc>
          <w:tcPr>
            <w:tcW w:w="993" w:type="dxa"/>
            <w:vAlign w:val="center"/>
          </w:tcPr>
          <w:p w14:paraId="3346EEA9"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260</w:t>
            </w:r>
          </w:p>
        </w:tc>
        <w:tc>
          <w:tcPr>
            <w:tcW w:w="1073" w:type="dxa"/>
            <w:vAlign w:val="center"/>
          </w:tcPr>
          <w:p w14:paraId="433E85B6"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89</w:t>
            </w:r>
          </w:p>
        </w:tc>
      </w:tr>
      <w:tr w:rsidR="008A2411" w:rsidRPr="008A2411" w14:paraId="50EAF5A9" w14:textId="77777777">
        <w:trPr>
          <w:tblHeader/>
          <w:jc w:val="center"/>
        </w:trPr>
        <w:tc>
          <w:tcPr>
            <w:tcW w:w="708" w:type="pct"/>
            <w:vMerge/>
            <w:vAlign w:val="center"/>
          </w:tcPr>
          <w:p w14:paraId="1DEB0A10" w14:textId="77777777" w:rsidR="00B0005F" w:rsidRPr="008A2411" w:rsidRDefault="00B0005F">
            <w:pPr>
              <w:pStyle w:val="WJ4"/>
              <w:spacing w:line="240" w:lineRule="auto"/>
              <w:rPr>
                <w:rFonts w:ascii="Times New Roman" w:hAnsi="Times New Roman"/>
                <w:color w:val="000000" w:themeColor="text1"/>
              </w:rPr>
            </w:pPr>
          </w:p>
        </w:tc>
        <w:tc>
          <w:tcPr>
            <w:tcW w:w="871" w:type="pct"/>
            <w:vAlign w:val="center"/>
          </w:tcPr>
          <w:p w14:paraId="5CEDDBE1"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回流泵</w:t>
            </w:r>
          </w:p>
        </w:tc>
        <w:tc>
          <w:tcPr>
            <w:tcW w:w="835" w:type="pct"/>
            <w:vAlign w:val="center"/>
          </w:tcPr>
          <w:p w14:paraId="2C193F4D"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2</w:t>
            </w:r>
          </w:p>
        </w:tc>
        <w:tc>
          <w:tcPr>
            <w:tcW w:w="1240" w:type="dxa"/>
            <w:vAlign w:val="center"/>
          </w:tcPr>
          <w:p w14:paraId="5F9E2A6A"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236</w:t>
            </w:r>
          </w:p>
        </w:tc>
        <w:tc>
          <w:tcPr>
            <w:tcW w:w="1095" w:type="dxa"/>
            <w:vAlign w:val="center"/>
          </w:tcPr>
          <w:p w14:paraId="51CDFC40"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88</w:t>
            </w:r>
          </w:p>
        </w:tc>
        <w:tc>
          <w:tcPr>
            <w:tcW w:w="993" w:type="dxa"/>
            <w:vAlign w:val="center"/>
          </w:tcPr>
          <w:p w14:paraId="6652F19F"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257</w:t>
            </w:r>
          </w:p>
        </w:tc>
        <w:tc>
          <w:tcPr>
            <w:tcW w:w="1073" w:type="dxa"/>
            <w:vAlign w:val="center"/>
          </w:tcPr>
          <w:p w14:paraId="170C60D1"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87</w:t>
            </w:r>
          </w:p>
        </w:tc>
      </w:tr>
      <w:tr w:rsidR="008A2411" w:rsidRPr="008A2411" w14:paraId="6A8293D9" w14:textId="77777777">
        <w:trPr>
          <w:trHeight w:val="323"/>
          <w:tblHeader/>
          <w:jc w:val="center"/>
        </w:trPr>
        <w:tc>
          <w:tcPr>
            <w:tcW w:w="708" w:type="pct"/>
            <w:vMerge/>
            <w:vAlign w:val="center"/>
          </w:tcPr>
          <w:p w14:paraId="60DF3606" w14:textId="77777777" w:rsidR="00B0005F" w:rsidRPr="008A2411" w:rsidRDefault="00B0005F">
            <w:pPr>
              <w:pStyle w:val="WJ4"/>
              <w:spacing w:line="240" w:lineRule="auto"/>
              <w:rPr>
                <w:rFonts w:ascii="Times New Roman" w:hAnsi="Times New Roman"/>
                <w:color w:val="000000" w:themeColor="text1"/>
              </w:rPr>
            </w:pPr>
          </w:p>
        </w:tc>
        <w:tc>
          <w:tcPr>
            <w:tcW w:w="871" w:type="pct"/>
            <w:vAlign w:val="center"/>
          </w:tcPr>
          <w:p w14:paraId="6E287804"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刮泥机</w:t>
            </w:r>
          </w:p>
        </w:tc>
        <w:tc>
          <w:tcPr>
            <w:tcW w:w="835" w:type="pct"/>
            <w:vAlign w:val="center"/>
          </w:tcPr>
          <w:p w14:paraId="21912A9D"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1</w:t>
            </w:r>
          </w:p>
        </w:tc>
        <w:tc>
          <w:tcPr>
            <w:tcW w:w="1240" w:type="dxa"/>
            <w:vAlign w:val="center"/>
          </w:tcPr>
          <w:p w14:paraId="591C97EF"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232</w:t>
            </w:r>
          </w:p>
        </w:tc>
        <w:tc>
          <w:tcPr>
            <w:tcW w:w="1095" w:type="dxa"/>
            <w:vAlign w:val="center"/>
          </w:tcPr>
          <w:p w14:paraId="38FD8FE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79</w:t>
            </w:r>
          </w:p>
        </w:tc>
        <w:tc>
          <w:tcPr>
            <w:tcW w:w="993" w:type="dxa"/>
            <w:vAlign w:val="center"/>
          </w:tcPr>
          <w:p w14:paraId="72876AB6"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261</w:t>
            </w:r>
          </w:p>
        </w:tc>
        <w:tc>
          <w:tcPr>
            <w:tcW w:w="1073" w:type="dxa"/>
            <w:vAlign w:val="center"/>
          </w:tcPr>
          <w:p w14:paraId="5015AC5F"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96</w:t>
            </w:r>
          </w:p>
        </w:tc>
      </w:tr>
      <w:tr w:rsidR="008A2411" w:rsidRPr="008A2411" w14:paraId="4430B2FC" w14:textId="77777777">
        <w:trPr>
          <w:tblHeader/>
          <w:jc w:val="center"/>
        </w:trPr>
        <w:tc>
          <w:tcPr>
            <w:tcW w:w="708" w:type="pct"/>
            <w:vMerge/>
            <w:vAlign w:val="center"/>
          </w:tcPr>
          <w:p w14:paraId="2E6ED5C8" w14:textId="77777777" w:rsidR="00B0005F" w:rsidRPr="008A2411" w:rsidRDefault="00B0005F">
            <w:pPr>
              <w:pStyle w:val="WJ4"/>
              <w:spacing w:line="240" w:lineRule="auto"/>
              <w:rPr>
                <w:rFonts w:ascii="Times New Roman" w:hAnsi="Times New Roman"/>
                <w:color w:val="000000" w:themeColor="text1"/>
              </w:rPr>
            </w:pPr>
          </w:p>
        </w:tc>
        <w:tc>
          <w:tcPr>
            <w:tcW w:w="871" w:type="pct"/>
            <w:vAlign w:val="center"/>
          </w:tcPr>
          <w:p w14:paraId="6D0C2D59"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污物泵</w:t>
            </w:r>
          </w:p>
        </w:tc>
        <w:tc>
          <w:tcPr>
            <w:tcW w:w="835" w:type="pct"/>
            <w:vAlign w:val="center"/>
          </w:tcPr>
          <w:p w14:paraId="0734AB6B"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2</w:t>
            </w:r>
          </w:p>
        </w:tc>
        <w:tc>
          <w:tcPr>
            <w:tcW w:w="1240" w:type="dxa"/>
            <w:vAlign w:val="center"/>
          </w:tcPr>
          <w:p w14:paraId="0AA0D38F"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232</w:t>
            </w:r>
          </w:p>
        </w:tc>
        <w:tc>
          <w:tcPr>
            <w:tcW w:w="1095" w:type="dxa"/>
            <w:vAlign w:val="center"/>
          </w:tcPr>
          <w:p w14:paraId="56E0C474"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84</w:t>
            </w:r>
          </w:p>
        </w:tc>
        <w:tc>
          <w:tcPr>
            <w:tcW w:w="993" w:type="dxa"/>
            <w:vAlign w:val="center"/>
          </w:tcPr>
          <w:p w14:paraId="07DD7621"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261</w:t>
            </w:r>
          </w:p>
        </w:tc>
        <w:tc>
          <w:tcPr>
            <w:tcW w:w="1073" w:type="dxa"/>
            <w:vAlign w:val="center"/>
          </w:tcPr>
          <w:p w14:paraId="56097740"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91</w:t>
            </w:r>
          </w:p>
        </w:tc>
      </w:tr>
      <w:tr w:rsidR="008A2411" w:rsidRPr="008A2411" w14:paraId="1CC8D013" w14:textId="77777777">
        <w:trPr>
          <w:tblHeader/>
          <w:jc w:val="center"/>
        </w:trPr>
        <w:tc>
          <w:tcPr>
            <w:tcW w:w="708" w:type="pct"/>
            <w:vMerge/>
            <w:vAlign w:val="center"/>
          </w:tcPr>
          <w:p w14:paraId="1B4F3422" w14:textId="77777777" w:rsidR="00B0005F" w:rsidRPr="008A2411" w:rsidRDefault="00B0005F">
            <w:pPr>
              <w:pStyle w:val="WJ4"/>
              <w:spacing w:line="240" w:lineRule="auto"/>
              <w:rPr>
                <w:rFonts w:ascii="Times New Roman" w:hAnsi="Times New Roman"/>
                <w:color w:val="000000" w:themeColor="text1"/>
              </w:rPr>
            </w:pPr>
          </w:p>
        </w:tc>
        <w:tc>
          <w:tcPr>
            <w:tcW w:w="871" w:type="pct"/>
            <w:vAlign w:val="center"/>
          </w:tcPr>
          <w:p w14:paraId="488FB3E0"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过滤泵</w:t>
            </w:r>
          </w:p>
        </w:tc>
        <w:tc>
          <w:tcPr>
            <w:tcW w:w="835" w:type="pct"/>
            <w:vAlign w:val="center"/>
          </w:tcPr>
          <w:p w14:paraId="4BF462B4"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2</w:t>
            </w:r>
          </w:p>
        </w:tc>
        <w:tc>
          <w:tcPr>
            <w:tcW w:w="1240" w:type="dxa"/>
            <w:vAlign w:val="center"/>
          </w:tcPr>
          <w:p w14:paraId="797B746B"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237</w:t>
            </w:r>
          </w:p>
        </w:tc>
        <w:tc>
          <w:tcPr>
            <w:tcW w:w="1095" w:type="dxa"/>
            <w:vAlign w:val="center"/>
          </w:tcPr>
          <w:p w14:paraId="102E35B2"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89</w:t>
            </w:r>
          </w:p>
        </w:tc>
        <w:tc>
          <w:tcPr>
            <w:tcW w:w="993" w:type="dxa"/>
            <w:vAlign w:val="center"/>
          </w:tcPr>
          <w:p w14:paraId="57CE94DA"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256</w:t>
            </w:r>
          </w:p>
        </w:tc>
        <w:tc>
          <w:tcPr>
            <w:tcW w:w="1073" w:type="dxa"/>
            <w:vAlign w:val="center"/>
          </w:tcPr>
          <w:p w14:paraId="2B3148F6"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86</w:t>
            </w:r>
          </w:p>
        </w:tc>
      </w:tr>
      <w:tr w:rsidR="008A2411" w:rsidRPr="008A2411" w14:paraId="4FD38998" w14:textId="77777777">
        <w:trPr>
          <w:tblHeader/>
          <w:jc w:val="center"/>
        </w:trPr>
        <w:tc>
          <w:tcPr>
            <w:tcW w:w="708" w:type="pct"/>
            <w:vMerge/>
            <w:vAlign w:val="center"/>
          </w:tcPr>
          <w:p w14:paraId="5EE3200C" w14:textId="77777777" w:rsidR="00B0005F" w:rsidRPr="008A2411" w:rsidRDefault="00B0005F">
            <w:pPr>
              <w:pStyle w:val="WJ4"/>
              <w:spacing w:line="240" w:lineRule="auto"/>
              <w:rPr>
                <w:rFonts w:ascii="Times New Roman" w:hAnsi="Times New Roman"/>
                <w:color w:val="000000" w:themeColor="text1"/>
              </w:rPr>
            </w:pPr>
          </w:p>
        </w:tc>
        <w:tc>
          <w:tcPr>
            <w:tcW w:w="871" w:type="pct"/>
            <w:vAlign w:val="center"/>
          </w:tcPr>
          <w:p w14:paraId="4A516093"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反冲洗泵</w:t>
            </w:r>
          </w:p>
        </w:tc>
        <w:tc>
          <w:tcPr>
            <w:tcW w:w="835" w:type="pct"/>
            <w:vAlign w:val="center"/>
          </w:tcPr>
          <w:p w14:paraId="2EF2B6A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1</w:t>
            </w:r>
          </w:p>
        </w:tc>
        <w:tc>
          <w:tcPr>
            <w:tcW w:w="1240" w:type="dxa"/>
            <w:vAlign w:val="center"/>
          </w:tcPr>
          <w:p w14:paraId="3056EB6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236</w:t>
            </w:r>
          </w:p>
        </w:tc>
        <w:tc>
          <w:tcPr>
            <w:tcW w:w="1095" w:type="dxa"/>
            <w:vAlign w:val="center"/>
          </w:tcPr>
          <w:p w14:paraId="1192B9F9"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86</w:t>
            </w:r>
          </w:p>
        </w:tc>
        <w:tc>
          <w:tcPr>
            <w:tcW w:w="993" w:type="dxa"/>
            <w:vAlign w:val="center"/>
          </w:tcPr>
          <w:p w14:paraId="44F54539"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257</w:t>
            </w:r>
          </w:p>
        </w:tc>
        <w:tc>
          <w:tcPr>
            <w:tcW w:w="1073" w:type="dxa"/>
            <w:vAlign w:val="center"/>
          </w:tcPr>
          <w:p w14:paraId="106D654A"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89</w:t>
            </w:r>
          </w:p>
        </w:tc>
      </w:tr>
      <w:tr w:rsidR="008A2411" w:rsidRPr="008A2411" w14:paraId="24303E68" w14:textId="77777777">
        <w:trPr>
          <w:tblHeader/>
          <w:jc w:val="center"/>
        </w:trPr>
        <w:tc>
          <w:tcPr>
            <w:tcW w:w="708" w:type="pct"/>
            <w:vMerge/>
            <w:vAlign w:val="center"/>
          </w:tcPr>
          <w:p w14:paraId="01527187" w14:textId="77777777" w:rsidR="00B0005F" w:rsidRPr="008A2411" w:rsidRDefault="00B0005F">
            <w:pPr>
              <w:pStyle w:val="WJ4"/>
              <w:spacing w:line="240" w:lineRule="auto"/>
              <w:rPr>
                <w:rFonts w:ascii="Times New Roman" w:hAnsi="Times New Roman"/>
                <w:color w:val="000000" w:themeColor="text1"/>
              </w:rPr>
            </w:pPr>
          </w:p>
        </w:tc>
        <w:tc>
          <w:tcPr>
            <w:tcW w:w="871" w:type="pct"/>
            <w:vAlign w:val="center"/>
          </w:tcPr>
          <w:p w14:paraId="52D9EB55"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过滤泵</w:t>
            </w:r>
          </w:p>
        </w:tc>
        <w:tc>
          <w:tcPr>
            <w:tcW w:w="835" w:type="pct"/>
            <w:vAlign w:val="center"/>
          </w:tcPr>
          <w:p w14:paraId="0D260AED"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2</w:t>
            </w:r>
          </w:p>
        </w:tc>
        <w:tc>
          <w:tcPr>
            <w:tcW w:w="1240" w:type="dxa"/>
            <w:vAlign w:val="center"/>
          </w:tcPr>
          <w:p w14:paraId="077DEC62"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235</w:t>
            </w:r>
          </w:p>
        </w:tc>
        <w:tc>
          <w:tcPr>
            <w:tcW w:w="1095" w:type="dxa"/>
            <w:vAlign w:val="center"/>
          </w:tcPr>
          <w:p w14:paraId="04E22D9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88</w:t>
            </w:r>
          </w:p>
        </w:tc>
        <w:tc>
          <w:tcPr>
            <w:tcW w:w="993" w:type="dxa"/>
            <w:vAlign w:val="center"/>
          </w:tcPr>
          <w:p w14:paraId="73FCBAD8"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258</w:t>
            </w:r>
          </w:p>
        </w:tc>
        <w:tc>
          <w:tcPr>
            <w:tcW w:w="1073" w:type="dxa"/>
            <w:vAlign w:val="center"/>
          </w:tcPr>
          <w:p w14:paraId="4198F65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87</w:t>
            </w:r>
          </w:p>
        </w:tc>
      </w:tr>
      <w:tr w:rsidR="008A2411" w:rsidRPr="008A2411" w14:paraId="66B39296" w14:textId="77777777">
        <w:trPr>
          <w:tblHeader/>
          <w:jc w:val="center"/>
        </w:trPr>
        <w:tc>
          <w:tcPr>
            <w:tcW w:w="708" w:type="pct"/>
            <w:vMerge/>
            <w:vAlign w:val="center"/>
          </w:tcPr>
          <w:p w14:paraId="69D6CF7B" w14:textId="77777777" w:rsidR="00B0005F" w:rsidRPr="008A2411" w:rsidRDefault="00B0005F">
            <w:pPr>
              <w:pStyle w:val="WJ4"/>
              <w:spacing w:line="240" w:lineRule="auto"/>
              <w:rPr>
                <w:rFonts w:ascii="Times New Roman" w:hAnsi="Times New Roman"/>
                <w:color w:val="000000" w:themeColor="text1"/>
              </w:rPr>
            </w:pPr>
          </w:p>
        </w:tc>
        <w:tc>
          <w:tcPr>
            <w:tcW w:w="871" w:type="pct"/>
            <w:vAlign w:val="center"/>
          </w:tcPr>
          <w:p w14:paraId="70E28842"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污泥脱水机</w:t>
            </w:r>
          </w:p>
        </w:tc>
        <w:tc>
          <w:tcPr>
            <w:tcW w:w="835" w:type="pct"/>
            <w:vAlign w:val="center"/>
          </w:tcPr>
          <w:p w14:paraId="3D923F5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1</w:t>
            </w:r>
          </w:p>
        </w:tc>
        <w:tc>
          <w:tcPr>
            <w:tcW w:w="1240" w:type="dxa"/>
            <w:vAlign w:val="center"/>
          </w:tcPr>
          <w:p w14:paraId="2E95C880"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239</w:t>
            </w:r>
          </w:p>
        </w:tc>
        <w:tc>
          <w:tcPr>
            <w:tcW w:w="1095" w:type="dxa"/>
            <w:vAlign w:val="center"/>
          </w:tcPr>
          <w:p w14:paraId="433997B0"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82</w:t>
            </w:r>
          </w:p>
        </w:tc>
        <w:tc>
          <w:tcPr>
            <w:tcW w:w="993" w:type="dxa"/>
            <w:vAlign w:val="center"/>
          </w:tcPr>
          <w:p w14:paraId="137D15D4"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254</w:t>
            </w:r>
          </w:p>
        </w:tc>
        <w:tc>
          <w:tcPr>
            <w:tcW w:w="1073" w:type="dxa"/>
            <w:vAlign w:val="center"/>
          </w:tcPr>
          <w:p w14:paraId="40BB2628"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93</w:t>
            </w:r>
          </w:p>
        </w:tc>
      </w:tr>
      <w:tr w:rsidR="008A2411" w:rsidRPr="008A2411" w14:paraId="51A0938B" w14:textId="77777777">
        <w:trPr>
          <w:tblHeader/>
          <w:jc w:val="center"/>
        </w:trPr>
        <w:tc>
          <w:tcPr>
            <w:tcW w:w="708" w:type="pct"/>
            <w:vMerge/>
            <w:vAlign w:val="center"/>
          </w:tcPr>
          <w:p w14:paraId="120B7E54" w14:textId="77777777" w:rsidR="00B0005F" w:rsidRPr="008A2411" w:rsidRDefault="00B0005F">
            <w:pPr>
              <w:pStyle w:val="WJ4"/>
              <w:spacing w:line="240" w:lineRule="auto"/>
              <w:rPr>
                <w:rFonts w:ascii="Times New Roman" w:hAnsi="Times New Roman"/>
                <w:color w:val="000000" w:themeColor="text1"/>
              </w:rPr>
            </w:pPr>
          </w:p>
        </w:tc>
        <w:tc>
          <w:tcPr>
            <w:tcW w:w="871" w:type="pct"/>
            <w:vAlign w:val="center"/>
          </w:tcPr>
          <w:p w14:paraId="5DFA1D54"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气动泵</w:t>
            </w:r>
          </w:p>
        </w:tc>
        <w:tc>
          <w:tcPr>
            <w:tcW w:w="835" w:type="pct"/>
            <w:vAlign w:val="center"/>
          </w:tcPr>
          <w:p w14:paraId="5F43FDEC"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2</w:t>
            </w:r>
          </w:p>
        </w:tc>
        <w:tc>
          <w:tcPr>
            <w:tcW w:w="1240" w:type="dxa"/>
            <w:vAlign w:val="center"/>
          </w:tcPr>
          <w:p w14:paraId="4E7141D7"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242</w:t>
            </w:r>
          </w:p>
        </w:tc>
        <w:tc>
          <w:tcPr>
            <w:tcW w:w="1095" w:type="dxa"/>
            <w:vAlign w:val="center"/>
          </w:tcPr>
          <w:p w14:paraId="69F7BFA7"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86</w:t>
            </w:r>
          </w:p>
        </w:tc>
        <w:tc>
          <w:tcPr>
            <w:tcW w:w="993" w:type="dxa"/>
            <w:vAlign w:val="center"/>
          </w:tcPr>
          <w:p w14:paraId="60804EBF"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251</w:t>
            </w:r>
          </w:p>
        </w:tc>
        <w:tc>
          <w:tcPr>
            <w:tcW w:w="1073" w:type="dxa"/>
            <w:vAlign w:val="center"/>
          </w:tcPr>
          <w:p w14:paraId="3559D080"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89</w:t>
            </w:r>
          </w:p>
        </w:tc>
      </w:tr>
      <w:tr w:rsidR="00B0005F" w:rsidRPr="008A2411" w14:paraId="2C998814" w14:textId="77777777">
        <w:trPr>
          <w:tblHeader/>
          <w:jc w:val="center"/>
        </w:trPr>
        <w:tc>
          <w:tcPr>
            <w:tcW w:w="708" w:type="pct"/>
            <w:vMerge/>
            <w:vAlign w:val="center"/>
          </w:tcPr>
          <w:p w14:paraId="18491B8F" w14:textId="77777777" w:rsidR="00B0005F" w:rsidRPr="008A2411" w:rsidRDefault="00B0005F">
            <w:pPr>
              <w:pStyle w:val="WJ4"/>
              <w:spacing w:line="240" w:lineRule="auto"/>
              <w:rPr>
                <w:rFonts w:ascii="Times New Roman" w:hAnsi="Times New Roman"/>
                <w:color w:val="000000" w:themeColor="text1"/>
              </w:rPr>
            </w:pPr>
          </w:p>
        </w:tc>
        <w:tc>
          <w:tcPr>
            <w:tcW w:w="871" w:type="pct"/>
            <w:vAlign w:val="center"/>
          </w:tcPr>
          <w:p w14:paraId="47B2EB2E"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空压机</w:t>
            </w:r>
          </w:p>
        </w:tc>
        <w:tc>
          <w:tcPr>
            <w:tcW w:w="835" w:type="pct"/>
            <w:vAlign w:val="center"/>
          </w:tcPr>
          <w:p w14:paraId="35F52053"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bCs/>
                <w:color w:val="000000" w:themeColor="text1"/>
                <w:kern w:val="2"/>
                <w:sz w:val="21"/>
                <w:szCs w:val="21"/>
                <w:lang w:bidi="ar"/>
              </w:rPr>
            </w:pPr>
            <w:r w:rsidRPr="008A2411">
              <w:rPr>
                <w:rFonts w:ascii="Times New Roman" w:eastAsia="宋体" w:hAnsi="Times New Roman" w:cs="Times New Roman"/>
                <w:bCs/>
                <w:color w:val="000000" w:themeColor="text1"/>
                <w:kern w:val="2"/>
                <w:sz w:val="21"/>
                <w:szCs w:val="21"/>
                <w:lang w:bidi="ar"/>
              </w:rPr>
              <w:t>1</w:t>
            </w:r>
          </w:p>
        </w:tc>
        <w:tc>
          <w:tcPr>
            <w:tcW w:w="1240" w:type="dxa"/>
            <w:vAlign w:val="center"/>
          </w:tcPr>
          <w:p w14:paraId="17E5D71D"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241</w:t>
            </w:r>
          </w:p>
        </w:tc>
        <w:tc>
          <w:tcPr>
            <w:tcW w:w="1095" w:type="dxa"/>
            <w:vAlign w:val="center"/>
          </w:tcPr>
          <w:p w14:paraId="677A2789"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88</w:t>
            </w:r>
          </w:p>
        </w:tc>
        <w:tc>
          <w:tcPr>
            <w:tcW w:w="993" w:type="dxa"/>
            <w:vAlign w:val="center"/>
          </w:tcPr>
          <w:p w14:paraId="544B8EDB"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252</w:t>
            </w:r>
          </w:p>
        </w:tc>
        <w:tc>
          <w:tcPr>
            <w:tcW w:w="1073" w:type="dxa"/>
            <w:vAlign w:val="center"/>
          </w:tcPr>
          <w:p w14:paraId="71B44A76" w14:textId="77777777" w:rsidR="00B0005F" w:rsidRPr="008A2411" w:rsidRDefault="00000000">
            <w:pPr>
              <w:pStyle w:val="affff2"/>
              <w:widowControl w:val="0"/>
              <w:adjustRightInd w:val="0"/>
              <w:snapToGrid w:val="0"/>
              <w:spacing w:before="0" w:beforeAutospacing="0" w:after="0" w:afterAutospacing="0"/>
              <w:jc w:val="center"/>
              <w:rPr>
                <w:rFonts w:ascii="Times New Roman" w:eastAsia="宋体" w:hAnsi="Times New Roman" w:cs="Times New Roman"/>
                <w:color w:val="000000" w:themeColor="text1"/>
                <w:kern w:val="2"/>
                <w:sz w:val="21"/>
                <w:szCs w:val="21"/>
              </w:rPr>
            </w:pPr>
            <w:r w:rsidRPr="008A2411">
              <w:rPr>
                <w:rFonts w:ascii="Times New Roman" w:eastAsia="宋体" w:hAnsi="Times New Roman" w:cs="Times New Roman"/>
                <w:color w:val="000000" w:themeColor="text1"/>
                <w:kern w:val="2"/>
                <w:sz w:val="21"/>
                <w:szCs w:val="21"/>
              </w:rPr>
              <w:t>87</w:t>
            </w:r>
          </w:p>
        </w:tc>
      </w:tr>
    </w:tbl>
    <w:p w14:paraId="190640CF" w14:textId="77777777" w:rsidR="00B0005F" w:rsidRPr="008A2411" w:rsidRDefault="00B0005F">
      <w:pPr>
        <w:jc w:val="center"/>
        <w:rPr>
          <w:rFonts w:ascii="Times New Roman"/>
          <w:color w:val="000000" w:themeColor="text1"/>
        </w:rPr>
        <w:sectPr w:rsidR="00B0005F" w:rsidRPr="008A2411">
          <w:pgSz w:w="11906" w:h="16838"/>
          <w:pgMar w:top="1440" w:right="1800" w:bottom="1440" w:left="1800" w:header="851" w:footer="851" w:gutter="0"/>
          <w:pgNumType w:chapStyle="1"/>
          <w:cols w:space="720"/>
          <w:docGrid w:linePitch="326"/>
        </w:sectPr>
      </w:pPr>
    </w:p>
    <w:p w14:paraId="1FF0FB00" w14:textId="77777777" w:rsidR="00B0005F" w:rsidRPr="008A2411" w:rsidRDefault="00000000">
      <w:pPr>
        <w:jc w:val="center"/>
        <w:rPr>
          <w:rFonts w:ascii="Times New Roman"/>
          <w:color w:val="000000" w:themeColor="text1"/>
        </w:rPr>
      </w:pPr>
      <w:r w:rsidRPr="008A2411">
        <w:rPr>
          <w:rFonts w:ascii="Times New Roman" w:hint="eastAsia"/>
          <w:noProof/>
          <w:color w:val="000000" w:themeColor="text1"/>
        </w:rPr>
        <w:lastRenderedPageBreak/>
        <w:drawing>
          <wp:inline distT="0" distB="0" distL="114300" distR="114300" wp14:anchorId="4443A762" wp14:editId="72792A53">
            <wp:extent cx="8854440" cy="4635500"/>
            <wp:effectExtent l="0" t="0" r="0" b="12700"/>
            <wp:docPr id="92" name="图片 92" descr="ba715696070f52d1ba8912230074ee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图片 92" descr="ba715696070f52d1ba8912230074eef"/>
                    <pic:cNvPicPr>
                      <a:picLocks noChangeAspect="1"/>
                    </pic:cNvPicPr>
                  </pic:nvPicPr>
                  <pic:blipFill>
                    <a:blip r:embed="rId94"/>
                    <a:stretch>
                      <a:fillRect/>
                    </a:stretch>
                  </pic:blipFill>
                  <pic:spPr>
                    <a:xfrm>
                      <a:off x="0" y="0"/>
                      <a:ext cx="8854440" cy="4635500"/>
                    </a:xfrm>
                    <a:prstGeom prst="rect">
                      <a:avLst/>
                    </a:prstGeom>
                  </pic:spPr>
                </pic:pic>
              </a:graphicData>
            </a:graphic>
          </wp:inline>
        </w:drawing>
      </w:r>
    </w:p>
    <w:p w14:paraId="7AD9F282" w14:textId="77777777" w:rsidR="00B0005F" w:rsidRPr="008A2411" w:rsidRDefault="00000000">
      <w:pPr>
        <w:pStyle w:val="WJ0"/>
        <w:rPr>
          <w:rFonts w:ascii="Times New Roman" w:hAnsi="Times New Roman"/>
          <w:color w:val="000000" w:themeColor="text1"/>
        </w:rPr>
      </w:pPr>
      <w:r w:rsidRPr="008A2411">
        <w:rPr>
          <w:rFonts w:ascii="Times New Roman" w:hAnsi="Times New Roman"/>
          <w:color w:val="000000" w:themeColor="text1"/>
        </w:rPr>
        <w:t>图</w:t>
      </w:r>
      <w:r w:rsidRPr="008A2411">
        <w:rPr>
          <w:rFonts w:ascii="Times New Roman" w:hAnsi="Times New Roman"/>
          <w:color w:val="000000" w:themeColor="text1"/>
        </w:rPr>
        <w:t xml:space="preserve">5.2-19  </w:t>
      </w:r>
      <w:r w:rsidRPr="008A2411">
        <w:rPr>
          <w:rFonts w:ascii="Times New Roman" w:hAnsi="Times New Roman"/>
          <w:color w:val="000000" w:themeColor="text1"/>
        </w:rPr>
        <w:t>项目噪声预测贡献值图</w:t>
      </w:r>
    </w:p>
    <w:p w14:paraId="16395852" w14:textId="77777777" w:rsidR="00B0005F" w:rsidRPr="008A2411" w:rsidRDefault="00B0005F">
      <w:pPr>
        <w:rPr>
          <w:rFonts w:ascii="Times New Roman"/>
          <w:color w:val="000000" w:themeColor="text1"/>
        </w:rPr>
      </w:pPr>
    </w:p>
    <w:p w14:paraId="30FDF544" w14:textId="77777777" w:rsidR="00B0005F" w:rsidRPr="008A2411" w:rsidRDefault="00B0005F">
      <w:pPr>
        <w:jc w:val="center"/>
        <w:rPr>
          <w:rFonts w:ascii="Times New Roman" w:eastAsia="Times New Roman"/>
          <w:snapToGrid w:val="0"/>
          <w:color w:val="000000" w:themeColor="text1"/>
          <w:w w:val="0"/>
          <w:sz w:val="0"/>
          <w:szCs w:val="0"/>
          <w:u w:color="000000"/>
          <w:shd w:val="clear" w:color="000000" w:fill="000000"/>
          <w:lang w:val="zh-CN" w:bidi="zh-CN"/>
        </w:rPr>
        <w:sectPr w:rsidR="00B0005F" w:rsidRPr="008A2411">
          <w:pgSz w:w="16838" w:h="11906" w:orient="landscape"/>
          <w:pgMar w:top="1803" w:right="1440" w:bottom="1803" w:left="1440" w:header="851" w:footer="850" w:gutter="0"/>
          <w:pgNumType w:chapStyle="1"/>
          <w:cols w:space="0"/>
          <w:docGrid w:linePitch="326"/>
        </w:sectPr>
      </w:pPr>
    </w:p>
    <w:p w14:paraId="19B70361" w14:textId="77777777" w:rsidR="00B0005F" w:rsidRPr="008A2411" w:rsidRDefault="00000000">
      <w:pPr>
        <w:jc w:val="center"/>
        <w:rPr>
          <w:rFonts w:ascii="Times New Roman" w:eastAsia="Times New Roman"/>
          <w:snapToGrid w:val="0"/>
          <w:color w:val="000000" w:themeColor="text1"/>
          <w:w w:val="0"/>
          <w:sz w:val="0"/>
          <w:szCs w:val="0"/>
          <w:u w:color="000000"/>
          <w:shd w:val="clear" w:color="000000" w:fill="000000"/>
          <w:lang w:val="zh-CN" w:bidi="zh-CN"/>
        </w:rPr>
      </w:pPr>
      <w:r w:rsidRPr="008A2411">
        <w:rPr>
          <w:rFonts w:ascii="Times New Roman" w:eastAsia="Times New Roman"/>
          <w:snapToGrid w:val="0"/>
          <w:color w:val="000000" w:themeColor="text1"/>
          <w:w w:val="0"/>
          <w:sz w:val="0"/>
          <w:szCs w:val="0"/>
          <w:u w:color="000000"/>
          <w:shd w:val="clear" w:color="000000" w:fill="000000"/>
          <w:lang w:val="zh-CN" w:bidi="zh-CN"/>
        </w:rPr>
        <w:lastRenderedPageBreak/>
        <w:t xml:space="preserve"> </w:t>
      </w:r>
    </w:p>
    <w:bookmarkEnd w:id="376"/>
    <w:p w14:paraId="1D095344" w14:textId="77777777" w:rsidR="00B0005F" w:rsidRPr="008A2411" w:rsidRDefault="00000000">
      <w:pPr>
        <w:pStyle w:val="2SLCON2"/>
        <w:spacing w:line="440" w:lineRule="exact"/>
        <w:rPr>
          <w:rFonts w:ascii="Times New Roman" w:hAnsi="Times New Roman" w:cs="Times New Roman"/>
          <w:bCs/>
          <w:color w:val="000000" w:themeColor="text1"/>
        </w:rPr>
      </w:pPr>
      <w:r w:rsidRPr="008A2411">
        <w:rPr>
          <w:rFonts w:ascii="Times New Roman" w:hAnsi="Times New Roman" w:cs="Times New Roman"/>
          <w:bCs/>
          <w:color w:val="000000" w:themeColor="text1"/>
        </w:rPr>
        <w:t>经预测，项目周边环境噪声达标情况见表</w:t>
      </w:r>
      <w:r w:rsidRPr="008A2411">
        <w:rPr>
          <w:rFonts w:ascii="Times New Roman" w:hAnsi="Times New Roman" w:cs="Times New Roman"/>
          <w:bCs/>
          <w:color w:val="000000" w:themeColor="text1"/>
        </w:rPr>
        <w:t>5.2-4</w:t>
      </w:r>
      <w:r w:rsidRPr="008A2411">
        <w:rPr>
          <w:rFonts w:ascii="Times New Roman" w:hAnsi="Times New Roman" w:cs="Times New Roman" w:hint="eastAsia"/>
          <w:bCs/>
          <w:color w:val="000000" w:themeColor="text1"/>
        </w:rPr>
        <w:t>5</w:t>
      </w:r>
      <w:r w:rsidRPr="008A2411">
        <w:rPr>
          <w:rFonts w:ascii="Times New Roman" w:hAnsi="Times New Roman" w:cs="Times New Roman"/>
          <w:bCs/>
          <w:color w:val="000000" w:themeColor="text1"/>
        </w:rPr>
        <w:t>。</w:t>
      </w:r>
    </w:p>
    <w:p w14:paraId="09CC25EF" w14:textId="77777777" w:rsidR="00B0005F" w:rsidRPr="008A2411" w:rsidRDefault="00000000">
      <w:pPr>
        <w:pStyle w:val="2SLCON2"/>
        <w:wordWrap w:val="0"/>
        <w:spacing w:line="440" w:lineRule="exact"/>
        <w:ind w:firstLineChars="0" w:firstLine="0"/>
        <w:jc w:val="right"/>
        <w:rPr>
          <w:rFonts w:ascii="Times New Roman" w:eastAsia="黑体" w:hAnsi="Times New Roman" w:cs="Times New Roman"/>
          <w:color w:val="000000" w:themeColor="text1"/>
          <w:szCs w:val="24"/>
        </w:rPr>
      </w:pPr>
      <w:r w:rsidRPr="008A2411">
        <w:rPr>
          <w:rFonts w:ascii="Times New Roman" w:eastAsia="黑体" w:hAnsi="Times New Roman" w:cs="Times New Roman"/>
          <w:color w:val="000000" w:themeColor="text1"/>
          <w:szCs w:val="24"/>
        </w:rPr>
        <w:t>表</w:t>
      </w:r>
      <w:r w:rsidRPr="008A2411">
        <w:rPr>
          <w:rFonts w:ascii="Times New Roman" w:eastAsia="黑体" w:hAnsi="Times New Roman" w:cs="Times New Roman"/>
          <w:color w:val="000000" w:themeColor="text1"/>
          <w:szCs w:val="24"/>
        </w:rPr>
        <w:t>5.2-4</w:t>
      </w:r>
      <w:r w:rsidRPr="008A2411">
        <w:rPr>
          <w:rFonts w:ascii="Times New Roman" w:eastAsia="黑体" w:hAnsi="Times New Roman" w:cs="Times New Roman" w:hint="eastAsia"/>
          <w:color w:val="000000" w:themeColor="text1"/>
          <w:szCs w:val="24"/>
        </w:rPr>
        <w:t>5</w:t>
      </w:r>
      <w:r w:rsidRPr="008A2411">
        <w:rPr>
          <w:rFonts w:ascii="Times New Roman" w:eastAsia="黑体" w:hAnsi="Times New Roman" w:cs="Times New Roman"/>
          <w:color w:val="000000" w:themeColor="text1"/>
          <w:szCs w:val="24"/>
        </w:rPr>
        <w:t xml:space="preserve">  </w:t>
      </w:r>
      <w:r w:rsidRPr="008A2411">
        <w:rPr>
          <w:rFonts w:ascii="Times New Roman" w:eastAsia="黑体" w:hAnsi="Times New Roman" w:cs="Times New Roman"/>
          <w:color w:val="000000" w:themeColor="text1"/>
          <w:szCs w:val="24"/>
        </w:rPr>
        <w:t>项目噪声预测结果表</w:t>
      </w:r>
      <w:r w:rsidRPr="008A2411">
        <w:rPr>
          <w:rFonts w:ascii="Times New Roman" w:eastAsia="黑体" w:hAnsi="Times New Roman" w:cs="Times New Roman"/>
          <w:color w:val="000000" w:themeColor="text1"/>
          <w:szCs w:val="24"/>
        </w:rPr>
        <w:t xml:space="preserve">      </w:t>
      </w:r>
      <w:r w:rsidRPr="008A2411">
        <w:rPr>
          <w:rFonts w:ascii="Times New Roman" w:eastAsia="黑体" w:hAnsi="Times New Roman" w:cs="Times New Roman"/>
          <w:color w:val="000000" w:themeColor="text1"/>
          <w:szCs w:val="24"/>
        </w:rPr>
        <w:t>单位：</w:t>
      </w:r>
      <w:r w:rsidRPr="008A2411">
        <w:rPr>
          <w:rFonts w:ascii="Times New Roman" w:eastAsia="黑体" w:hAnsi="Times New Roman" w:cs="Times New Roman"/>
          <w:color w:val="000000" w:themeColor="text1"/>
          <w:szCs w:val="24"/>
        </w:rPr>
        <w:t>dB</w:t>
      </w:r>
      <w:r w:rsidRPr="008A2411">
        <w:rPr>
          <w:rFonts w:ascii="Times New Roman" w:eastAsia="黑体" w:hAnsi="Times New Roman" w:cs="Times New Roman"/>
          <w:color w:val="000000" w:themeColor="text1"/>
          <w:szCs w:val="24"/>
        </w:rPr>
        <w:t>（</w:t>
      </w:r>
      <w:r w:rsidRPr="008A2411">
        <w:rPr>
          <w:rFonts w:ascii="Times New Roman" w:eastAsia="黑体" w:hAnsi="Times New Roman" w:cs="Times New Roman"/>
          <w:color w:val="000000" w:themeColor="text1"/>
          <w:szCs w:val="24"/>
        </w:rPr>
        <w:t>A</w:t>
      </w:r>
      <w:r w:rsidRPr="008A2411">
        <w:rPr>
          <w:rFonts w:ascii="Times New Roman" w:eastAsia="黑体" w:hAnsi="Times New Roman" w:cs="Times New Roman"/>
          <w:color w:val="000000" w:themeColor="text1"/>
          <w:szCs w:val="24"/>
        </w:rPr>
        <w:t>）</w:t>
      </w:r>
    </w:p>
    <w:tbl>
      <w:tblPr>
        <w:tblW w:w="0" w:type="auto"/>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firstRow="1" w:lastRow="0" w:firstColumn="1" w:lastColumn="0" w:noHBand="0" w:noVBand="1"/>
      </w:tblPr>
      <w:tblGrid>
        <w:gridCol w:w="1420"/>
        <w:gridCol w:w="1699"/>
        <w:gridCol w:w="1144"/>
        <w:gridCol w:w="1419"/>
        <w:gridCol w:w="1420"/>
        <w:gridCol w:w="1420"/>
      </w:tblGrid>
      <w:tr w:rsidR="008A2411" w:rsidRPr="008A2411" w14:paraId="61E437F8" w14:textId="77777777">
        <w:trPr>
          <w:jc w:val="center"/>
        </w:trPr>
        <w:tc>
          <w:tcPr>
            <w:tcW w:w="1420" w:type="dxa"/>
            <w:vMerge w:val="restart"/>
            <w:vAlign w:val="center"/>
          </w:tcPr>
          <w:p w14:paraId="77D7E736" w14:textId="77777777" w:rsidR="00B0005F" w:rsidRPr="008A2411" w:rsidRDefault="00000000">
            <w:pPr>
              <w:pStyle w:val="2SLCON2"/>
              <w:spacing w:line="360" w:lineRule="exact"/>
              <w:ind w:firstLineChars="0" w:firstLine="0"/>
              <w:jc w:val="center"/>
              <w:rPr>
                <w:rFonts w:ascii="Times New Roman" w:hAnsi="Times New Roman" w:cs="Times New Roman"/>
                <w:b/>
                <w:color w:val="000000" w:themeColor="text1"/>
                <w:sz w:val="21"/>
                <w:szCs w:val="21"/>
              </w:rPr>
            </w:pPr>
            <w:r w:rsidRPr="008A2411">
              <w:rPr>
                <w:rFonts w:ascii="Times New Roman" w:hAnsi="Times New Roman" w:cs="Times New Roman"/>
                <w:b/>
                <w:color w:val="000000" w:themeColor="text1"/>
                <w:sz w:val="21"/>
                <w:szCs w:val="21"/>
              </w:rPr>
              <w:t>预测工况</w:t>
            </w:r>
          </w:p>
        </w:tc>
        <w:tc>
          <w:tcPr>
            <w:tcW w:w="1699" w:type="dxa"/>
            <w:vMerge w:val="restart"/>
            <w:vAlign w:val="center"/>
          </w:tcPr>
          <w:p w14:paraId="30CDF4F6" w14:textId="77777777" w:rsidR="00B0005F" w:rsidRPr="008A2411" w:rsidRDefault="00000000">
            <w:pPr>
              <w:pStyle w:val="2SLCON2"/>
              <w:spacing w:line="360" w:lineRule="exact"/>
              <w:ind w:firstLineChars="0" w:firstLine="0"/>
              <w:jc w:val="center"/>
              <w:rPr>
                <w:rFonts w:ascii="Times New Roman" w:hAnsi="Times New Roman" w:cs="Times New Roman"/>
                <w:b/>
                <w:color w:val="000000" w:themeColor="text1"/>
                <w:sz w:val="21"/>
                <w:szCs w:val="21"/>
              </w:rPr>
            </w:pPr>
            <w:r w:rsidRPr="008A2411">
              <w:rPr>
                <w:rFonts w:ascii="Times New Roman" w:hAnsi="Times New Roman" w:cs="Times New Roman"/>
                <w:b/>
                <w:color w:val="000000" w:themeColor="text1"/>
                <w:sz w:val="21"/>
                <w:szCs w:val="21"/>
              </w:rPr>
              <w:t>方位</w:t>
            </w:r>
          </w:p>
        </w:tc>
        <w:tc>
          <w:tcPr>
            <w:tcW w:w="2563" w:type="dxa"/>
            <w:gridSpan w:val="2"/>
            <w:vAlign w:val="center"/>
          </w:tcPr>
          <w:p w14:paraId="683B3C09" w14:textId="77777777" w:rsidR="00B0005F" w:rsidRPr="008A2411" w:rsidRDefault="00000000">
            <w:pPr>
              <w:pStyle w:val="2SLCON2"/>
              <w:spacing w:line="360" w:lineRule="exact"/>
              <w:ind w:firstLineChars="0" w:firstLine="0"/>
              <w:jc w:val="center"/>
              <w:rPr>
                <w:rFonts w:ascii="Times New Roman" w:hAnsi="Times New Roman" w:cs="Times New Roman"/>
                <w:b/>
                <w:color w:val="000000" w:themeColor="text1"/>
                <w:sz w:val="21"/>
                <w:szCs w:val="21"/>
              </w:rPr>
            </w:pPr>
            <w:r w:rsidRPr="008A2411">
              <w:rPr>
                <w:rFonts w:ascii="Times New Roman" w:hAnsi="Times New Roman" w:cs="Times New Roman"/>
                <w:b/>
                <w:color w:val="000000" w:themeColor="text1"/>
                <w:sz w:val="21"/>
                <w:szCs w:val="21"/>
              </w:rPr>
              <w:t>噪声预测值</w:t>
            </w:r>
          </w:p>
        </w:tc>
        <w:tc>
          <w:tcPr>
            <w:tcW w:w="2840" w:type="dxa"/>
            <w:gridSpan w:val="2"/>
            <w:vAlign w:val="center"/>
          </w:tcPr>
          <w:p w14:paraId="437B07BA" w14:textId="77777777" w:rsidR="00B0005F" w:rsidRPr="008A2411" w:rsidRDefault="00000000">
            <w:pPr>
              <w:pStyle w:val="2SLCON2"/>
              <w:spacing w:line="360" w:lineRule="exact"/>
              <w:ind w:firstLineChars="0" w:firstLine="0"/>
              <w:jc w:val="center"/>
              <w:rPr>
                <w:rFonts w:ascii="Times New Roman" w:hAnsi="Times New Roman" w:cs="Times New Roman"/>
                <w:b/>
                <w:color w:val="000000" w:themeColor="text1"/>
                <w:sz w:val="21"/>
                <w:szCs w:val="21"/>
              </w:rPr>
            </w:pPr>
            <w:r w:rsidRPr="008A2411">
              <w:rPr>
                <w:rFonts w:ascii="Times New Roman" w:hAnsi="Times New Roman" w:cs="Times New Roman"/>
                <w:b/>
                <w:color w:val="000000" w:themeColor="text1"/>
                <w:sz w:val="21"/>
                <w:szCs w:val="21"/>
              </w:rPr>
              <w:t>达标距离</w:t>
            </w:r>
          </w:p>
        </w:tc>
      </w:tr>
      <w:tr w:rsidR="008A2411" w:rsidRPr="008A2411" w14:paraId="2C1C0FC9" w14:textId="77777777">
        <w:trPr>
          <w:jc w:val="center"/>
        </w:trPr>
        <w:tc>
          <w:tcPr>
            <w:tcW w:w="1420" w:type="dxa"/>
            <w:vMerge/>
            <w:vAlign w:val="center"/>
          </w:tcPr>
          <w:p w14:paraId="0B44174A" w14:textId="77777777" w:rsidR="00B0005F" w:rsidRPr="008A2411" w:rsidRDefault="00B0005F">
            <w:pPr>
              <w:pStyle w:val="2SLCON2"/>
              <w:spacing w:line="360" w:lineRule="exact"/>
              <w:ind w:firstLineChars="0" w:firstLine="0"/>
              <w:jc w:val="center"/>
              <w:rPr>
                <w:rFonts w:ascii="Times New Roman" w:hAnsi="Times New Roman" w:cs="Times New Roman"/>
                <w:b/>
                <w:color w:val="000000" w:themeColor="text1"/>
                <w:sz w:val="21"/>
                <w:szCs w:val="21"/>
              </w:rPr>
            </w:pPr>
          </w:p>
        </w:tc>
        <w:tc>
          <w:tcPr>
            <w:tcW w:w="1699" w:type="dxa"/>
            <w:vMerge/>
            <w:vAlign w:val="center"/>
          </w:tcPr>
          <w:p w14:paraId="4E3E1E77" w14:textId="77777777" w:rsidR="00B0005F" w:rsidRPr="008A2411" w:rsidRDefault="00B0005F">
            <w:pPr>
              <w:pStyle w:val="2SLCON2"/>
              <w:spacing w:line="360" w:lineRule="exact"/>
              <w:ind w:firstLineChars="0" w:firstLine="0"/>
              <w:jc w:val="center"/>
              <w:rPr>
                <w:rFonts w:ascii="Times New Roman" w:hAnsi="Times New Roman" w:cs="Times New Roman"/>
                <w:b/>
                <w:color w:val="000000" w:themeColor="text1"/>
                <w:sz w:val="21"/>
                <w:szCs w:val="21"/>
              </w:rPr>
            </w:pPr>
          </w:p>
        </w:tc>
        <w:tc>
          <w:tcPr>
            <w:tcW w:w="1144" w:type="dxa"/>
            <w:vAlign w:val="center"/>
          </w:tcPr>
          <w:p w14:paraId="402397FE" w14:textId="77777777" w:rsidR="00B0005F" w:rsidRPr="008A2411" w:rsidRDefault="00000000">
            <w:pPr>
              <w:pStyle w:val="2SLCON2"/>
              <w:spacing w:line="360" w:lineRule="exact"/>
              <w:ind w:firstLineChars="0" w:firstLine="0"/>
              <w:jc w:val="center"/>
              <w:rPr>
                <w:rFonts w:ascii="Times New Roman" w:hAnsi="Times New Roman" w:cs="Times New Roman"/>
                <w:b/>
                <w:color w:val="000000" w:themeColor="text1"/>
                <w:sz w:val="21"/>
                <w:szCs w:val="21"/>
              </w:rPr>
            </w:pPr>
            <w:r w:rsidRPr="008A2411">
              <w:rPr>
                <w:rFonts w:ascii="Times New Roman" w:hAnsi="Times New Roman" w:cs="Times New Roman"/>
                <w:b/>
                <w:color w:val="000000" w:themeColor="text1"/>
                <w:sz w:val="21"/>
                <w:szCs w:val="21"/>
              </w:rPr>
              <w:t>昼间</w:t>
            </w:r>
          </w:p>
        </w:tc>
        <w:tc>
          <w:tcPr>
            <w:tcW w:w="1419" w:type="dxa"/>
            <w:vAlign w:val="center"/>
          </w:tcPr>
          <w:p w14:paraId="308AC02B" w14:textId="77777777" w:rsidR="00B0005F" w:rsidRPr="008A2411" w:rsidRDefault="00000000">
            <w:pPr>
              <w:pStyle w:val="2SLCON2"/>
              <w:spacing w:line="360" w:lineRule="exact"/>
              <w:ind w:firstLineChars="0" w:firstLine="0"/>
              <w:jc w:val="center"/>
              <w:rPr>
                <w:rFonts w:ascii="Times New Roman" w:hAnsi="Times New Roman" w:cs="Times New Roman"/>
                <w:b/>
                <w:color w:val="000000" w:themeColor="text1"/>
                <w:sz w:val="21"/>
                <w:szCs w:val="21"/>
              </w:rPr>
            </w:pPr>
            <w:r w:rsidRPr="008A2411">
              <w:rPr>
                <w:rFonts w:ascii="Times New Roman" w:hAnsi="Times New Roman" w:cs="Times New Roman"/>
                <w:b/>
                <w:color w:val="000000" w:themeColor="text1"/>
                <w:sz w:val="21"/>
                <w:szCs w:val="21"/>
              </w:rPr>
              <w:t>夜间</w:t>
            </w:r>
          </w:p>
        </w:tc>
        <w:tc>
          <w:tcPr>
            <w:tcW w:w="1420" w:type="dxa"/>
            <w:vAlign w:val="center"/>
          </w:tcPr>
          <w:p w14:paraId="55FB03BE" w14:textId="77777777" w:rsidR="00B0005F" w:rsidRPr="008A2411" w:rsidRDefault="00000000">
            <w:pPr>
              <w:pStyle w:val="2SLCON2"/>
              <w:spacing w:line="360" w:lineRule="exact"/>
              <w:ind w:firstLineChars="0" w:firstLine="0"/>
              <w:jc w:val="center"/>
              <w:rPr>
                <w:rFonts w:ascii="Times New Roman" w:hAnsi="Times New Roman" w:cs="Times New Roman"/>
                <w:b/>
                <w:color w:val="000000" w:themeColor="text1"/>
                <w:sz w:val="21"/>
                <w:szCs w:val="21"/>
              </w:rPr>
            </w:pPr>
            <w:r w:rsidRPr="008A2411">
              <w:rPr>
                <w:rFonts w:ascii="Times New Roman" w:hAnsi="Times New Roman" w:cs="Times New Roman"/>
                <w:b/>
                <w:color w:val="000000" w:themeColor="text1"/>
                <w:sz w:val="21"/>
                <w:szCs w:val="21"/>
              </w:rPr>
              <w:t>昼间</w:t>
            </w:r>
          </w:p>
        </w:tc>
        <w:tc>
          <w:tcPr>
            <w:tcW w:w="1420" w:type="dxa"/>
            <w:vAlign w:val="center"/>
          </w:tcPr>
          <w:p w14:paraId="19CB6CDD" w14:textId="77777777" w:rsidR="00B0005F" w:rsidRPr="008A2411" w:rsidRDefault="00000000">
            <w:pPr>
              <w:pStyle w:val="2SLCON2"/>
              <w:spacing w:line="360" w:lineRule="exact"/>
              <w:ind w:firstLineChars="0" w:firstLine="0"/>
              <w:jc w:val="center"/>
              <w:rPr>
                <w:rFonts w:ascii="Times New Roman" w:hAnsi="Times New Roman" w:cs="Times New Roman"/>
                <w:b/>
                <w:color w:val="000000" w:themeColor="text1"/>
                <w:sz w:val="21"/>
                <w:szCs w:val="21"/>
              </w:rPr>
            </w:pPr>
            <w:r w:rsidRPr="008A2411">
              <w:rPr>
                <w:rFonts w:ascii="Times New Roman" w:hAnsi="Times New Roman" w:cs="Times New Roman"/>
                <w:b/>
                <w:color w:val="000000" w:themeColor="text1"/>
                <w:sz w:val="21"/>
                <w:szCs w:val="21"/>
              </w:rPr>
              <w:t>夜间</w:t>
            </w:r>
          </w:p>
        </w:tc>
      </w:tr>
      <w:tr w:rsidR="008A2411" w:rsidRPr="008A2411" w14:paraId="04309793" w14:textId="77777777">
        <w:trPr>
          <w:jc w:val="center"/>
        </w:trPr>
        <w:tc>
          <w:tcPr>
            <w:tcW w:w="1420" w:type="dxa"/>
            <w:vMerge w:val="restart"/>
            <w:vAlign w:val="center"/>
          </w:tcPr>
          <w:p w14:paraId="4B966005" w14:textId="77777777" w:rsidR="00B0005F" w:rsidRPr="008A2411" w:rsidRDefault="00000000">
            <w:pPr>
              <w:pStyle w:val="2SLCON2"/>
              <w:spacing w:line="360" w:lineRule="exact"/>
              <w:ind w:firstLineChars="0" w:firstLine="0"/>
              <w:jc w:val="center"/>
              <w:rPr>
                <w:rFonts w:ascii="Times New Roman" w:hAnsi="Times New Roman" w:cs="Times New Roman"/>
                <w:color w:val="000000" w:themeColor="text1"/>
                <w:sz w:val="21"/>
                <w:szCs w:val="21"/>
              </w:rPr>
            </w:pPr>
            <w:r w:rsidRPr="008A2411">
              <w:rPr>
                <w:rFonts w:ascii="Times New Roman" w:hAnsi="Times New Roman" w:cs="Times New Roman"/>
                <w:color w:val="000000" w:themeColor="text1"/>
                <w:sz w:val="21"/>
                <w:szCs w:val="21"/>
              </w:rPr>
              <w:t>运营期</w:t>
            </w:r>
          </w:p>
        </w:tc>
        <w:tc>
          <w:tcPr>
            <w:tcW w:w="1699" w:type="dxa"/>
            <w:vAlign w:val="center"/>
          </w:tcPr>
          <w:p w14:paraId="62EE7D07" w14:textId="77777777" w:rsidR="00B0005F" w:rsidRPr="008A2411" w:rsidRDefault="00000000">
            <w:pPr>
              <w:pStyle w:val="2SLCON2"/>
              <w:spacing w:line="360" w:lineRule="exact"/>
              <w:ind w:firstLineChars="0" w:firstLine="0"/>
              <w:jc w:val="center"/>
              <w:rPr>
                <w:rFonts w:ascii="Times New Roman" w:hAnsi="Times New Roman" w:cs="Times New Roman"/>
                <w:color w:val="000000" w:themeColor="text1"/>
                <w:sz w:val="21"/>
                <w:szCs w:val="21"/>
              </w:rPr>
            </w:pPr>
            <w:r w:rsidRPr="008A2411">
              <w:rPr>
                <w:rFonts w:ascii="Times New Roman" w:hAnsi="Times New Roman" w:cs="Times New Roman"/>
                <w:color w:val="000000" w:themeColor="text1"/>
                <w:sz w:val="21"/>
                <w:szCs w:val="21"/>
              </w:rPr>
              <w:t>北侧厂界</w:t>
            </w:r>
          </w:p>
        </w:tc>
        <w:tc>
          <w:tcPr>
            <w:tcW w:w="1144" w:type="dxa"/>
            <w:vAlign w:val="center"/>
          </w:tcPr>
          <w:p w14:paraId="723F4DE1" w14:textId="77777777" w:rsidR="00B0005F" w:rsidRPr="008A2411" w:rsidRDefault="00000000">
            <w:pPr>
              <w:pStyle w:val="2SLCON2"/>
              <w:spacing w:line="360" w:lineRule="exact"/>
              <w:ind w:firstLineChars="0" w:firstLine="0"/>
              <w:jc w:val="center"/>
              <w:rPr>
                <w:rFonts w:ascii="Times New Roman" w:hAnsi="Times New Roman" w:cs="Times New Roman"/>
                <w:color w:val="000000" w:themeColor="text1"/>
                <w:sz w:val="21"/>
                <w:szCs w:val="21"/>
              </w:rPr>
            </w:pPr>
            <w:r w:rsidRPr="008A2411">
              <w:rPr>
                <w:rFonts w:ascii="Times New Roman" w:hAnsi="Times New Roman" w:cs="Times New Roman" w:hint="eastAsia"/>
                <w:color w:val="000000" w:themeColor="text1"/>
                <w:sz w:val="21"/>
                <w:szCs w:val="21"/>
              </w:rPr>
              <w:t>50.9</w:t>
            </w:r>
          </w:p>
        </w:tc>
        <w:tc>
          <w:tcPr>
            <w:tcW w:w="1419" w:type="dxa"/>
            <w:vAlign w:val="center"/>
          </w:tcPr>
          <w:p w14:paraId="019BB6DD" w14:textId="77777777" w:rsidR="00B0005F" w:rsidRPr="008A2411" w:rsidRDefault="00000000">
            <w:pPr>
              <w:pStyle w:val="2SLCON2"/>
              <w:spacing w:line="360" w:lineRule="exact"/>
              <w:ind w:firstLineChars="0" w:firstLine="0"/>
              <w:jc w:val="center"/>
              <w:rPr>
                <w:rFonts w:ascii="Times New Roman" w:hAnsi="Times New Roman" w:cs="Times New Roman"/>
                <w:color w:val="000000" w:themeColor="text1"/>
                <w:sz w:val="21"/>
                <w:szCs w:val="21"/>
              </w:rPr>
            </w:pPr>
            <w:r w:rsidRPr="008A2411">
              <w:rPr>
                <w:rFonts w:ascii="Times New Roman" w:hAnsi="Times New Roman" w:cs="Times New Roman" w:hint="eastAsia"/>
                <w:color w:val="000000" w:themeColor="text1"/>
                <w:sz w:val="21"/>
                <w:szCs w:val="21"/>
              </w:rPr>
              <w:t>50.9</w:t>
            </w:r>
          </w:p>
        </w:tc>
        <w:tc>
          <w:tcPr>
            <w:tcW w:w="1420" w:type="dxa"/>
            <w:vAlign w:val="center"/>
          </w:tcPr>
          <w:p w14:paraId="4DC2F528" w14:textId="77777777" w:rsidR="00B0005F" w:rsidRPr="008A2411" w:rsidRDefault="00000000">
            <w:pPr>
              <w:spacing w:line="360" w:lineRule="exact"/>
              <w:jc w:val="center"/>
              <w:rPr>
                <w:rFonts w:ascii="Times New Roman"/>
                <w:color w:val="000000" w:themeColor="text1"/>
                <w:sz w:val="21"/>
                <w:szCs w:val="21"/>
              </w:rPr>
            </w:pPr>
            <w:r w:rsidRPr="008A2411">
              <w:rPr>
                <w:rFonts w:ascii="Times New Roman"/>
                <w:color w:val="000000" w:themeColor="text1"/>
                <w:sz w:val="21"/>
                <w:szCs w:val="21"/>
              </w:rPr>
              <w:t>厂界内</w:t>
            </w:r>
          </w:p>
        </w:tc>
        <w:tc>
          <w:tcPr>
            <w:tcW w:w="1420" w:type="dxa"/>
            <w:vAlign w:val="center"/>
          </w:tcPr>
          <w:p w14:paraId="4B43D433" w14:textId="77777777" w:rsidR="00B0005F" w:rsidRPr="008A2411" w:rsidRDefault="00000000">
            <w:pPr>
              <w:spacing w:line="360" w:lineRule="exact"/>
              <w:jc w:val="center"/>
              <w:rPr>
                <w:rFonts w:ascii="Times New Roman"/>
                <w:color w:val="000000" w:themeColor="text1"/>
                <w:sz w:val="21"/>
                <w:szCs w:val="21"/>
              </w:rPr>
            </w:pPr>
            <w:r w:rsidRPr="008A2411">
              <w:rPr>
                <w:rFonts w:ascii="Times New Roman"/>
                <w:color w:val="000000" w:themeColor="text1"/>
                <w:sz w:val="21"/>
                <w:szCs w:val="21"/>
              </w:rPr>
              <w:t>厂界内</w:t>
            </w:r>
          </w:p>
        </w:tc>
      </w:tr>
      <w:tr w:rsidR="008A2411" w:rsidRPr="008A2411" w14:paraId="64C65A8E" w14:textId="77777777">
        <w:trPr>
          <w:jc w:val="center"/>
        </w:trPr>
        <w:tc>
          <w:tcPr>
            <w:tcW w:w="1420" w:type="dxa"/>
            <w:vMerge/>
            <w:vAlign w:val="center"/>
          </w:tcPr>
          <w:p w14:paraId="57339D38" w14:textId="77777777" w:rsidR="00B0005F" w:rsidRPr="008A2411" w:rsidRDefault="00B0005F">
            <w:pPr>
              <w:pStyle w:val="2SLCON2"/>
              <w:spacing w:line="360" w:lineRule="exact"/>
              <w:ind w:firstLineChars="0" w:firstLine="0"/>
              <w:jc w:val="center"/>
              <w:rPr>
                <w:rFonts w:ascii="Times New Roman" w:hAnsi="Times New Roman" w:cs="Times New Roman"/>
                <w:color w:val="000000" w:themeColor="text1"/>
                <w:sz w:val="21"/>
                <w:szCs w:val="21"/>
              </w:rPr>
            </w:pPr>
          </w:p>
        </w:tc>
        <w:tc>
          <w:tcPr>
            <w:tcW w:w="1699" w:type="dxa"/>
            <w:vAlign w:val="center"/>
          </w:tcPr>
          <w:p w14:paraId="72235DBC" w14:textId="77777777" w:rsidR="00B0005F" w:rsidRPr="008A2411" w:rsidRDefault="00000000">
            <w:pPr>
              <w:pStyle w:val="2SLCON2"/>
              <w:spacing w:line="360" w:lineRule="exact"/>
              <w:ind w:firstLineChars="0" w:firstLine="0"/>
              <w:jc w:val="center"/>
              <w:rPr>
                <w:rFonts w:ascii="Times New Roman" w:hAnsi="Times New Roman" w:cs="Times New Roman"/>
                <w:color w:val="000000" w:themeColor="text1"/>
                <w:sz w:val="21"/>
                <w:szCs w:val="21"/>
              </w:rPr>
            </w:pPr>
            <w:r w:rsidRPr="008A2411">
              <w:rPr>
                <w:rFonts w:ascii="Times New Roman" w:hAnsi="Times New Roman" w:cs="Times New Roman"/>
                <w:color w:val="000000" w:themeColor="text1"/>
                <w:sz w:val="21"/>
                <w:szCs w:val="21"/>
              </w:rPr>
              <w:t>东侧厂界</w:t>
            </w:r>
          </w:p>
        </w:tc>
        <w:tc>
          <w:tcPr>
            <w:tcW w:w="1144" w:type="dxa"/>
            <w:vAlign w:val="center"/>
          </w:tcPr>
          <w:p w14:paraId="51CFE0D1" w14:textId="77777777" w:rsidR="00B0005F" w:rsidRPr="008A2411" w:rsidRDefault="00000000">
            <w:pPr>
              <w:pStyle w:val="2SLCON2"/>
              <w:spacing w:line="360" w:lineRule="exact"/>
              <w:ind w:firstLineChars="0" w:firstLine="0"/>
              <w:jc w:val="center"/>
              <w:rPr>
                <w:rFonts w:ascii="Times New Roman" w:hAnsi="Times New Roman" w:cs="Times New Roman"/>
                <w:color w:val="000000" w:themeColor="text1"/>
                <w:sz w:val="21"/>
                <w:szCs w:val="21"/>
              </w:rPr>
            </w:pPr>
            <w:r w:rsidRPr="008A2411">
              <w:rPr>
                <w:rFonts w:ascii="Times New Roman" w:hAnsi="Times New Roman" w:cs="Times New Roman" w:hint="eastAsia"/>
                <w:color w:val="000000" w:themeColor="text1"/>
                <w:sz w:val="21"/>
                <w:szCs w:val="21"/>
              </w:rPr>
              <w:t>40.8</w:t>
            </w:r>
          </w:p>
        </w:tc>
        <w:tc>
          <w:tcPr>
            <w:tcW w:w="1419" w:type="dxa"/>
            <w:vAlign w:val="center"/>
          </w:tcPr>
          <w:p w14:paraId="2EF0A4F1" w14:textId="77777777" w:rsidR="00B0005F" w:rsidRPr="008A2411" w:rsidRDefault="00000000">
            <w:pPr>
              <w:pStyle w:val="2SLCON2"/>
              <w:spacing w:line="360" w:lineRule="exact"/>
              <w:ind w:firstLineChars="0" w:firstLine="0"/>
              <w:jc w:val="center"/>
              <w:rPr>
                <w:rFonts w:ascii="Times New Roman" w:hAnsi="Times New Roman" w:cs="Times New Roman"/>
                <w:color w:val="000000" w:themeColor="text1"/>
                <w:sz w:val="21"/>
                <w:szCs w:val="21"/>
              </w:rPr>
            </w:pPr>
            <w:r w:rsidRPr="008A2411">
              <w:rPr>
                <w:rFonts w:ascii="Times New Roman" w:hAnsi="Times New Roman" w:cs="Times New Roman" w:hint="eastAsia"/>
                <w:color w:val="000000" w:themeColor="text1"/>
                <w:sz w:val="21"/>
                <w:szCs w:val="21"/>
              </w:rPr>
              <w:t>40.8</w:t>
            </w:r>
          </w:p>
        </w:tc>
        <w:tc>
          <w:tcPr>
            <w:tcW w:w="1420" w:type="dxa"/>
            <w:vAlign w:val="center"/>
          </w:tcPr>
          <w:p w14:paraId="60F4846B" w14:textId="77777777" w:rsidR="00B0005F" w:rsidRPr="008A2411" w:rsidRDefault="00000000">
            <w:pPr>
              <w:spacing w:line="360" w:lineRule="exact"/>
              <w:jc w:val="center"/>
              <w:rPr>
                <w:rFonts w:ascii="Times New Roman"/>
                <w:color w:val="000000" w:themeColor="text1"/>
                <w:sz w:val="21"/>
                <w:szCs w:val="21"/>
              </w:rPr>
            </w:pPr>
            <w:r w:rsidRPr="008A2411">
              <w:rPr>
                <w:rFonts w:ascii="Times New Roman"/>
                <w:color w:val="000000" w:themeColor="text1"/>
                <w:sz w:val="21"/>
                <w:szCs w:val="21"/>
              </w:rPr>
              <w:t>厂界内</w:t>
            </w:r>
          </w:p>
        </w:tc>
        <w:tc>
          <w:tcPr>
            <w:tcW w:w="1420" w:type="dxa"/>
            <w:vAlign w:val="center"/>
          </w:tcPr>
          <w:p w14:paraId="1F88F908" w14:textId="77777777" w:rsidR="00B0005F" w:rsidRPr="008A2411" w:rsidRDefault="00000000">
            <w:pPr>
              <w:spacing w:line="360" w:lineRule="exact"/>
              <w:jc w:val="center"/>
              <w:rPr>
                <w:rFonts w:ascii="Times New Roman"/>
                <w:color w:val="000000" w:themeColor="text1"/>
                <w:sz w:val="21"/>
                <w:szCs w:val="21"/>
              </w:rPr>
            </w:pPr>
            <w:r w:rsidRPr="008A2411">
              <w:rPr>
                <w:rFonts w:ascii="Times New Roman"/>
                <w:color w:val="000000" w:themeColor="text1"/>
                <w:sz w:val="21"/>
                <w:szCs w:val="21"/>
              </w:rPr>
              <w:t>厂界内</w:t>
            </w:r>
          </w:p>
        </w:tc>
      </w:tr>
      <w:tr w:rsidR="008A2411" w:rsidRPr="008A2411" w14:paraId="7DBC7C4A" w14:textId="77777777">
        <w:trPr>
          <w:jc w:val="center"/>
        </w:trPr>
        <w:tc>
          <w:tcPr>
            <w:tcW w:w="1420" w:type="dxa"/>
            <w:vMerge/>
            <w:vAlign w:val="center"/>
          </w:tcPr>
          <w:p w14:paraId="288CF1B3" w14:textId="77777777" w:rsidR="00B0005F" w:rsidRPr="008A2411" w:rsidRDefault="00B0005F">
            <w:pPr>
              <w:pStyle w:val="2SLCON2"/>
              <w:spacing w:line="360" w:lineRule="exact"/>
              <w:ind w:firstLineChars="0" w:firstLine="0"/>
              <w:jc w:val="center"/>
              <w:rPr>
                <w:rFonts w:ascii="Times New Roman" w:hAnsi="Times New Roman" w:cs="Times New Roman"/>
                <w:color w:val="000000" w:themeColor="text1"/>
                <w:sz w:val="21"/>
                <w:szCs w:val="21"/>
              </w:rPr>
            </w:pPr>
          </w:p>
        </w:tc>
        <w:tc>
          <w:tcPr>
            <w:tcW w:w="1699" w:type="dxa"/>
            <w:vAlign w:val="center"/>
          </w:tcPr>
          <w:p w14:paraId="42211A06" w14:textId="77777777" w:rsidR="00B0005F" w:rsidRPr="008A2411" w:rsidRDefault="00000000">
            <w:pPr>
              <w:pStyle w:val="2SLCON2"/>
              <w:spacing w:line="360" w:lineRule="exact"/>
              <w:ind w:firstLineChars="0" w:firstLine="0"/>
              <w:jc w:val="center"/>
              <w:rPr>
                <w:rFonts w:ascii="Times New Roman" w:hAnsi="Times New Roman" w:cs="Times New Roman"/>
                <w:color w:val="000000" w:themeColor="text1"/>
                <w:sz w:val="21"/>
                <w:szCs w:val="21"/>
              </w:rPr>
            </w:pPr>
            <w:r w:rsidRPr="008A2411">
              <w:rPr>
                <w:rFonts w:ascii="Times New Roman" w:hAnsi="Times New Roman" w:cs="Times New Roman"/>
                <w:color w:val="000000" w:themeColor="text1"/>
                <w:sz w:val="21"/>
                <w:szCs w:val="21"/>
              </w:rPr>
              <w:t>南侧厂界</w:t>
            </w:r>
          </w:p>
        </w:tc>
        <w:tc>
          <w:tcPr>
            <w:tcW w:w="1144" w:type="dxa"/>
            <w:vAlign w:val="center"/>
          </w:tcPr>
          <w:p w14:paraId="0AF0224A" w14:textId="77777777" w:rsidR="00B0005F" w:rsidRPr="008A2411" w:rsidRDefault="00000000">
            <w:pPr>
              <w:pStyle w:val="2SLCON2"/>
              <w:spacing w:line="360" w:lineRule="exact"/>
              <w:ind w:firstLineChars="0" w:firstLine="0"/>
              <w:jc w:val="center"/>
              <w:rPr>
                <w:rFonts w:ascii="Times New Roman" w:hAnsi="Times New Roman" w:cs="Times New Roman"/>
                <w:color w:val="000000" w:themeColor="text1"/>
                <w:sz w:val="21"/>
                <w:szCs w:val="21"/>
              </w:rPr>
            </w:pPr>
            <w:r w:rsidRPr="008A2411">
              <w:rPr>
                <w:rFonts w:ascii="Times New Roman" w:hAnsi="Times New Roman" w:cs="Times New Roman" w:hint="eastAsia"/>
                <w:color w:val="000000" w:themeColor="text1"/>
                <w:sz w:val="21"/>
                <w:szCs w:val="21"/>
              </w:rPr>
              <w:t>50.0</w:t>
            </w:r>
          </w:p>
        </w:tc>
        <w:tc>
          <w:tcPr>
            <w:tcW w:w="1419" w:type="dxa"/>
            <w:vAlign w:val="center"/>
          </w:tcPr>
          <w:p w14:paraId="396016A6" w14:textId="77777777" w:rsidR="00B0005F" w:rsidRPr="008A2411" w:rsidRDefault="00000000">
            <w:pPr>
              <w:pStyle w:val="2SLCON2"/>
              <w:spacing w:line="360" w:lineRule="exact"/>
              <w:ind w:firstLineChars="0" w:firstLine="0"/>
              <w:jc w:val="center"/>
              <w:rPr>
                <w:rFonts w:ascii="Times New Roman" w:hAnsi="Times New Roman" w:cs="Times New Roman"/>
                <w:color w:val="000000" w:themeColor="text1"/>
                <w:sz w:val="21"/>
                <w:szCs w:val="21"/>
              </w:rPr>
            </w:pPr>
            <w:r w:rsidRPr="008A2411">
              <w:rPr>
                <w:rFonts w:ascii="Times New Roman" w:hAnsi="Times New Roman" w:cs="Times New Roman" w:hint="eastAsia"/>
                <w:color w:val="000000" w:themeColor="text1"/>
                <w:sz w:val="21"/>
                <w:szCs w:val="21"/>
              </w:rPr>
              <w:t>50.0</w:t>
            </w:r>
          </w:p>
        </w:tc>
        <w:tc>
          <w:tcPr>
            <w:tcW w:w="1420" w:type="dxa"/>
            <w:vAlign w:val="center"/>
          </w:tcPr>
          <w:p w14:paraId="3651A6C3" w14:textId="77777777" w:rsidR="00B0005F" w:rsidRPr="008A2411" w:rsidRDefault="00000000">
            <w:pPr>
              <w:spacing w:line="360" w:lineRule="exact"/>
              <w:jc w:val="center"/>
              <w:rPr>
                <w:rFonts w:ascii="Times New Roman"/>
                <w:color w:val="000000" w:themeColor="text1"/>
                <w:sz w:val="21"/>
                <w:szCs w:val="21"/>
              </w:rPr>
            </w:pPr>
            <w:r w:rsidRPr="008A2411">
              <w:rPr>
                <w:rFonts w:ascii="Times New Roman"/>
                <w:color w:val="000000" w:themeColor="text1"/>
                <w:sz w:val="21"/>
                <w:szCs w:val="21"/>
              </w:rPr>
              <w:t>厂界内</w:t>
            </w:r>
          </w:p>
        </w:tc>
        <w:tc>
          <w:tcPr>
            <w:tcW w:w="1420" w:type="dxa"/>
            <w:vAlign w:val="center"/>
          </w:tcPr>
          <w:p w14:paraId="7577531D" w14:textId="77777777" w:rsidR="00B0005F" w:rsidRPr="008A2411" w:rsidRDefault="00000000">
            <w:pPr>
              <w:spacing w:line="360" w:lineRule="exact"/>
              <w:jc w:val="center"/>
              <w:rPr>
                <w:rFonts w:ascii="Times New Roman"/>
                <w:color w:val="000000" w:themeColor="text1"/>
                <w:sz w:val="21"/>
                <w:szCs w:val="21"/>
              </w:rPr>
            </w:pPr>
            <w:r w:rsidRPr="008A2411">
              <w:rPr>
                <w:rFonts w:ascii="Times New Roman"/>
                <w:color w:val="000000" w:themeColor="text1"/>
                <w:sz w:val="21"/>
                <w:szCs w:val="21"/>
              </w:rPr>
              <w:t>厂界内</w:t>
            </w:r>
          </w:p>
        </w:tc>
      </w:tr>
      <w:tr w:rsidR="008A2411" w:rsidRPr="008A2411" w14:paraId="4001AB40" w14:textId="77777777">
        <w:trPr>
          <w:jc w:val="center"/>
        </w:trPr>
        <w:tc>
          <w:tcPr>
            <w:tcW w:w="1420" w:type="dxa"/>
            <w:vMerge/>
            <w:vAlign w:val="center"/>
          </w:tcPr>
          <w:p w14:paraId="42F90D5B" w14:textId="77777777" w:rsidR="00B0005F" w:rsidRPr="008A2411" w:rsidRDefault="00B0005F">
            <w:pPr>
              <w:pStyle w:val="2SLCON2"/>
              <w:spacing w:line="360" w:lineRule="exact"/>
              <w:ind w:firstLineChars="0" w:firstLine="0"/>
              <w:jc w:val="center"/>
              <w:rPr>
                <w:rFonts w:ascii="Times New Roman" w:hAnsi="Times New Roman" w:cs="Times New Roman"/>
                <w:color w:val="000000" w:themeColor="text1"/>
                <w:sz w:val="21"/>
                <w:szCs w:val="21"/>
              </w:rPr>
            </w:pPr>
          </w:p>
        </w:tc>
        <w:tc>
          <w:tcPr>
            <w:tcW w:w="1699" w:type="dxa"/>
            <w:vAlign w:val="center"/>
          </w:tcPr>
          <w:p w14:paraId="67823A3E" w14:textId="77777777" w:rsidR="00B0005F" w:rsidRPr="008A2411" w:rsidRDefault="00000000">
            <w:pPr>
              <w:pStyle w:val="2SLCON2"/>
              <w:spacing w:line="360" w:lineRule="exact"/>
              <w:ind w:firstLineChars="0" w:firstLine="0"/>
              <w:jc w:val="center"/>
              <w:rPr>
                <w:rFonts w:ascii="Times New Roman" w:hAnsi="Times New Roman" w:cs="Times New Roman"/>
                <w:color w:val="000000" w:themeColor="text1"/>
                <w:sz w:val="21"/>
                <w:szCs w:val="21"/>
              </w:rPr>
            </w:pPr>
            <w:r w:rsidRPr="008A2411">
              <w:rPr>
                <w:rFonts w:ascii="Times New Roman" w:hAnsi="Times New Roman" w:cs="Times New Roman"/>
                <w:color w:val="000000" w:themeColor="text1"/>
                <w:sz w:val="21"/>
                <w:szCs w:val="21"/>
              </w:rPr>
              <w:t>西侧厂界</w:t>
            </w:r>
          </w:p>
        </w:tc>
        <w:tc>
          <w:tcPr>
            <w:tcW w:w="1144" w:type="dxa"/>
            <w:vAlign w:val="center"/>
          </w:tcPr>
          <w:p w14:paraId="0A0142BB" w14:textId="77777777" w:rsidR="00B0005F" w:rsidRPr="008A2411" w:rsidRDefault="00000000">
            <w:pPr>
              <w:pStyle w:val="2SLCON2"/>
              <w:spacing w:line="360" w:lineRule="exact"/>
              <w:ind w:firstLineChars="0" w:firstLine="0"/>
              <w:jc w:val="center"/>
              <w:rPr>
                <w:rFonts w:ascii="Times New Roman" w:hAnsi="Times New Roman" w:cs="Times New Roman"/>
                <w:color w:val="000000" w:themeColor="text1"/>
                <w:sz w:val="21"/>
                <w:szCs w:val="21"/>
              </w:rPr>
            </w:pPr>
            <w:r w:rsidRPr="008A2411">
              <w:rPr>
                <w:rFonts w:ascii="Times New Roman" w:hAnsi="Times New Roman" w:cs="Times New Roman" w:hint="eastAsia"/>
                <w:color w:val="000000" w:themeColor="text1"/>
                <w:sz w:val="21"/>
                <w:szCs w:val="21"/>
              </w:rPr>
              <w:t>52.1</w:t>
            </w:r>
          </w:p>
        </w:tc>
        <w:tc>
          <w:tcPr>
            <w:tcW w:w="1419" w:type="dxa"/>
            <w:vAlign w:val="center"/>
          </w:tcPr>
          <w:p w14:paraId="6D69AA1E" w14:textId="77777777" w:rsidR="00B0005F" w:rsidRPr="008A2411" w:rsidRDefault="00000000">
            <w:pPr>
              <w:pStyle w:val="2SLCON2"/>
              <w:spacing w:line="360" w:lineRule="exact"/>
              <w:ind w:firstLineChars="0" w:firstLine="0"/>
              <w:jc w:val="center"/>
              <w:rPr>
                <w:rFonts w:ascii="Times New Roman" w:hAnsi="Times New Roman" w:cs="Times New Roman"/>
                <w:color w:val="000000" w:themeColor="text1"/>
                <w:sz w:val="21"/>
                <w:szCs w:val="21"/>
              </w:rPr>
            </w:pPr>
            <w:r w:rsidRPr="008A2411">
              <w:rPr>
                <w:rFonts w:ascii="Times New Roman" w:hAnsi="Times New Roman" w:cs="Times New Roman" w:hint="eastAsia"/>
                <w:color w:val="000000" w:themeColor="text1"/>
                <w:sz w:val="21"/>
                <w:szCs w:val="21"/>
              </w:rPr>
              <w:t>52.1</w:t>
            </w:r>
          </w:p>
        </w:tc>
        <w:tc>
          <w:tcPr>
            <w:tcW w:w="1420" w:type="dxa"/>
            <w:vAlign w:val="center"/>
          </w:tcPr>
          <w:p w14:paraId="09B024DB" w14:textId="77777777" w:rsidR="00B0005F" w:rsidRPr="008A2411" w:rsidRDefault="00000000">
            <w:pPr>
              <w:spacing w:line="360" w:lineRule="exact"/>
              <w:jc w:val="center"/>
              <w:rPr>
                <w:rFonts w:ascii="Times New Roman"/>
                <w:color w:val="000000" w:themeColor="text1"/>
                <w:sz w:val="21"/>
                <w:szCs w:val="21"/>
              </w:rPr>
            </w:pPr>
            <w:r w:rsidRPr="008A2411">
              <w:rPr>
                <w:rFonts w:ascii="Times New Roman"/>
                <w:color w:val="000000" w:themeColor="text1"/>
                <w:sz w:val="21"/>
                <w:szCs w:val="21"/>
              </w:rPr>
              <w:t>厂界内</w:t>
            </w:r>
          </w:p>
        </w:tc>
        <w:tc>
          <w:tcPr>
            <w:tcW w:w="1420" w:type="dxa"/>
            <w:vAlign w:val="center"/>
          </w:tcPr>
          <w:p w14:paraId="4582A506" w14:textId="77777777" w:rsidR="00B0005F" w:rsidRPr="008A2411" w:rsidRDefault="00000000">
            <w:pPr>
              <w:spacing w:line="360" w:lineRule="exact"/>
              <w:jc w:val="center"/>
              <w:rPr>
                <w:rFonts w:ascii="Times New Roman"/>
                <w:color w:val="000000" w:themeColor="text1"/>
                <w:sz w:val="21"/>
                <w:szCs w:val="21"/>
              </w:rPr>
            </w:pPr>
            <w:r w:rsidRPr="008A2411">
              <w:rPr>
                <w:rFonts w:ascii="Times New Roman"/>
                <w:color w:val="000000" w:themeColor="text1"/>
                <w:sz w:val="21"/>
                <w:szCs w:val="21"/>
              </w:rPr>
              <w:t>厂界内</w:t>
            </w:r>
          </w:p>
        </w:tc>
      </w:tr>
      <w:tr w:rsidR="008A2411" w:rsidRPr="008A2411" w14:paraId="5B7D3ABC" w14:textId="77777777">
        <w:trPr>
          <w:jc w:val="center"/>
        </w:trPr>
        <w:tc>
          <w:tcPr>
            <w:tcW w:w="1420" w:type="dxa"/>
            <w:vMerge/>
            <w:vAlign w:val="center"/>
          </w:tcPr>
          <w:p w14:paraId="1B138873" w14:textId="77777777" w:rsidR="00B0005F" w:rsidRPr="008A2411" w:rsidRDefault="00B0005F">
            <w:pPr>
              <w:pStyle w:val="2SLCON2"/>
              <w:spacing w:line="360" w:lineRule="exact"/>
              <w:ind w:firstLineChars="0" w:firstLine="0"/>
              <w:jc w:val="center"/>
              <w:rPr>
                <w:rFonts w:ascii="Times New Roman" w:hAnsi="Times New Roman" w:cs="Times New Roman"/>
                <w:color w:val="000000" w:themeColor="text1"/>
                <w:sz w:val="21"/>
                <w:szCs w:val="21"/>
              </w:rPr>
            </w:pPr>
          </w:p>
        </w:tc>
        <w:tc>
          <w:tcPr>
            <w:tcW w:w="1699" w:type="dxa"/>
            <w:vAlign w:val="center"/>
          </w:tcPr>
          <w:p w14:paraId="57666138" w14:textId="77777777" w:rsidR="00B0005F" w:rsidRPr="008A2411" w:rsidRDefault="00000000">
            <w:pPr>
              <w:pStyle w:val="2SLCON2"/>
              <w:spacing w:line="360" w:lineRule="exact"/>
              <w:ind w:firstLineChars="0" w:firstLine="0"/>
              <w:jc w:val="center"/>
              <w:rPr>
                <w:rFonts w:ascii="Times New Roman" w:hAnsi="Times New Roman" w:cs="Times New Roman"/>
                <w:color w:val="000000" w:themeColor="text1"/>
                <w:sz w:val="21"/>
                <w:szCs w:val="21"/>
              </w:rPr>
            </w:pPr>
            <w:r w:rsidRPr="008A2411">
              <w:rPr>
                <w:rFonts w:ascii="Times New Roman" w:hAnsi="Times New Roman" w:cs="Times New Roman" w:hint="eastAsia"/>
                <w:color w:val="000000" w:themeColor="text1"/>
                <w:sz w:val="21"/>
                <w:szCs w:val="21"/>
              </w:rPr>
              <w:t>东侧</w:t>
            </w:r>
            <w:r w:rsidRPr="008A2411">
              <w:rPr>
                <w:rFonts w:ascii="Times New Roman" w:hAnsi="Times New Roman" w:cs="Times New Roman" w:hint="eastAsia"/>
                <w:color w:val="000000" w:themeColor="text1"/>
                <w:sz w:val="21"/>
                <w:szCs w:val="21"/>
              </w:rPr>
              <w:t>81m</w:t>
            </w:r>
            <w:r w:rsidRPr="008A2411">
              <w:rPr>
                <w:rFonts w:ascii="Times New Roman" w:hAnsi="Times New Roman" w:cs="Times New Roman" w:hint="eastAsia"/>
                <w:color w:val="000000" w:themeColor="text1"/>
                <w:sz w:val="21"/>
                <w:szCs w:val="21"/>
              </w:rPr>
              <w:t>处居民</w:t>
            </w:r>
          </w:p>
        </w:tc>
        <w:tc>
          <w:tcPr>
            <w:tcW w:w="1144" w:type="dxa"/>
            <w:vAlign w:val="center"/>
          </w:tcPr>
          <w:p w14:paraId="0DAC7917" w14:textId="77777777" w:rsidR="00B0005F" w:rsidRPr="008A2411" w:rsidRDefault="00000000">
            <w:pPr>
              <w:pStyle w:val="2SLCON2"/>
              <w:spacing w:line="360" w:lineRule="exact"/>
              <w:ind w:firstLineChars="0" w:firstLine="0"/>
              <w:jc w:val="center"/>
              <w:rPr>
                <w:rFonts w:ascii="Times New Roman" w:hAnsi="Times New Roman" w:cs="Times New Roman"/>
                <w:color w:val="000000" w:themeColor="text1"/>
                <w:sz w:val="21"/>
                <w:szCs w:val="21"/>
              </w:rPr>
            </w:pPr>
            <w:r w:rsidRPr="008A2411">
              <w:rPr>
                <w:rFonts w:ascii="Times New Roman" w:hAnsi="Times New Roman" w:cs="Times New Roman" w:hint="eastAsia"/>
                <w:color w:val="000000" w:themeColor="text1"/>
                <w:sz w:val="21"/>
                <w:szCs w:val="21"/>
              </w:rPr>
              <w:t>38.4</w:t>
            </w:r>
          </w:p>
        </w:tc>
        <w:tc>
          <w:tcPr>
            <w:tcW w:w="1419" w:type="dxa"/>
            <w:vAlign w:val="center"/>
          </w:tcPr>
          <w:p w14:paraId="2CAE0F5E" w14:textId="77777777" w:rsidR="00B0005F" w:rsidRPr="008A2411" w:rsidRDefault="00000000">
            <w:pPr>
              <w:pStyle w:val="2SLCON2"/>
              <w:spacing w:line="360" w:lineRule="exact"/>
              <w:ind w:firstLineChars="0" w:firstLine="0"/>
              <w:jc w:val="center"/>
              <w:rPr>
                <w:rFonts w:ascii="Times New Roman" w:hAnsi="Times New Roman" w:cs="Times New Roman"/>
                <w:color w:val="000000" w:themeColor="text1"/>
                <w:sz w:val="21"/>
                <w:szCs w:val="21"/>
              </w:rPr>
            </w:pPr>
            <w:r w:rsidRPr="008A2411">
              <w:rPr>
                <w:rFonts w:ascii="Times New Roman" w:hAnsi="Times New Roman" w:cs="Times New Roman" w:hint="eastAsia"/>
                <w:color w:val="000000" w:themeColor="text1"/>
                <w:sz w:val="21"/>
                <w:szCs w:val="21"/>
              </w:rPr>
              <w:t>38.4</w:t>
            </w:r>
          </w:p>
        </w:tc>
        <w:tc>
          <w:tcPr>
            <w:tcW w:w="1420" w:type="dxa"/>
            <w:vAlign w:val="center"/>
          </w:tcPr>
          <w:p w14:paraId="2C9062D7" w14:textId="77777777" w:rsidR="00B0005F" w:rsidRPr="008A2411" w:rsidRDefault="00000000">
            <w:pPr>
              <w:spacing w:line="360" w:lineRule="exact"/>
              <w:jc w:val="center"/>
              <w:rPr>
                <w:rFonts w:ascii="Times New Roman"/>
                <w:color w:val="000000" w:themeColor="text1"/>
                <w:sz w:val="21"/>
                <w:szCs w:val="21"/>
              </w:rPr>
            </w:pPr>
            <w:r w:rsidRPr="008A2411">
              <w:rPr>
                <w:rFonts w:ascii="Times New Roman" w:hint="eastAsia"/>
                <w:color w:val="000000" w:themeColor="text1"/>
                <w:sz w:val="21"/>
                <w:szCs w:val="21"/>
              </w:rPr>
              <w:t>/</w:t>
            </w:r>
          </w:p>
        </w:tc>
        <w:tc>
          <w:tcPr>
            <w:tcW w:w="1420" w:type="dxa"/>
            <w:vAlign w:val="center"/>
          </w:tcPr>
          <w:p w14:paraId="3A2C95D7" w14:textId="77777777" w:rsidR="00B0005F" w:rsidRPr="008A2411" w:rsidRDefault="00000000">
            <w:pPr>
              <w:spacing w:line="360" w:lineRule="exact"/>
              <w:jc w:val="center"/>
              <w:rPr>
                <w:rFonts w:ascii="Times New Roman"/>
                <w:color w:val="000000" w:themeColor="text1"/>
                <w:sz w:val="21"/>
                <w:szCs w:val="21"/>
              </w:rPr>
            </w:pPr>
            <w:r w:rsidRPr="008A2411">
              <w:rPr>
                <w:rFonts w:ascii="Times New Roman" w:hint="eastAsia"/>
                <w:color w:val="000000" w:themeColor="text1"/>
                <w:sz w:val="21"/>
                <w:szCs w:val="21"/>
              </w:rPr>
              <w:t>/</w:t>
            </w:r>
          </w:p>
        </w:tc>
      </w:tr>
    </w:tbl>
    <w:p w14:paraId="6E433222" w14:textId="77777777" w:rsidR="00B0005F" w:rsidRPr="008A2411" w:rsidRDefault="00000000" w:rsidP="00B1467A">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由上表可知，项目正常运营时，厂界噪声贡献值在</w:t>
      </w:r>
      <w:r w:rsidRPr="008A2411">
        <w:rPr>
          <w:rFonts w:ascii="Times New Roman" w:hAnsi="Times New Roman" w:hint="eastAsia"/>
          <w:color w:val="000000" w:themeColor="text1"/>
        </w:rPr>
        <w:t>40.8</w:t>
      </w:r>
      <w:r w:rsidRPr="008A2411">
        <w:rPr>
          <w:rFonts w:ascii="Times New Roman" w:hAnsi="Times New Roman"/>
          <w:color w:val="000000" w:themeColor="text1"/>
        </w:rPr>
        <w:t>~</w:t>
      </w:r>
      <w:r w:rsidRPr="008A2411">
        <w:rPr>
          <w:rFonts w:ascii="Times New Roman" w:hAnsi="Times New Roman" w:hint="eastAsia"/>
          <w:color w:val="000000" w:themeColor="text1"/>
        </w:rPr>
        <w:t>52.1</w:t>
      </w:r>
      <w:r w:rsidRPr="008A2411">
        <w:rPr>
          <w:rFonts w:ascii="Times New Roman" w:hAnsi="Times New Roman"/>
          <w:color w:val="000000" w:themeColor="text1"/>
        </w:rPr>
        <w:t>dB</w:t>
      </w:r>
      <w:r w:rsidRPr="008A2411">
        <w:rPr>
          <w:rFonts w:ascii="Times New Roman" w:hAnsi="Times New Roman"/>
          <w:color w:val="000000" w:themeColor="text1"/>
        </w:rPr>
        <w:t>（</w:t>
      </w:r>
      <w:r w:rsidRPr="008A2411">
        <w:rPr>
          <w:rFonts w:ascii="Times New Roman" w:hAnsi="Times New Roman"/>
          <w:color w:val="000000" w:themeColor="text1"/>
        </w:rPr>
        <w:t>A</w:t>
      </w:r>
      <w:r w:rsidRPr="008A2411">
        <w:rPr>
          <w:rFonts w:ascii="Times New Roman" w:hAnsi="Times New Roman"/>
          <w:color w:val="000000" w:themeColor="text1"/>
        </w:rPr>
        <w:t>），满足《工业企业厂界环境噪声排放标准》（</w:t>
      </w:r>
      <w:r w:rsidRPr="008A2411">
        <w:rPr>
          <w:rFonts w:ascii="Times New Roman" w:hAnsi="Times New Roman"/>
          <w:color w:val="000000" w:themeColor="text1"/>
        </w:rPr>
        <w:t>GB 12348-2008</w:t>
      </w:r>
      <w:r w:rsidRPr="008A2411">
        <w:rPr>
          <w:rFonts w:ascii="Times New Roman" w:hAnsi="Times New Roman"/>
          <w:color w:val="000000" w:themeColor="text1"/>
        </w:rPr>
        <w:t>）</w:t>
      </w:r>
      <w:r w:rsidRPr="008A2411">
        <w:rPr>
          <w:rFonts w:ascii="Times New Roman" w:hAnsi="Times New Roman"/>
          <w:color w:val="000000" w:themeColor="text1"/>
        </w:rPr>
        <w:t>3</w:t>
      </w:r>
      <w:r w:rsidRPr="008A2411">
        <w:rPr>
          <w:rFonts w:ascii="Times New Roman" w:hAnsi="Times New Roman"/>
          <w:color w:val="000000" w:themeColor="text1"/>
        </w:rPr>
        <w:t>类声环境功能区厂界环境噪声排放标准评价，本项目运营期正常运行时，昼间及夜间噪声达标距离均在项目厂界范围内。因此，项目运行</w:t>
      </w:r>
      <w:proofErr w:type="gramStart"/>
      <w:r w:rsidRPr="008A2411">
        <w:rPr>
          <w:rFonts w:ascii="Times New Roman" w:hAnsi="Times New Roman"/>
          <w:color w:val="000000" w:themeColor="text1"/>
        </w:rPr>
        <w:t>期不会改变周围声</w:t>
      </w:r>
      <w:proofErr w:type="gramEnd"/>
      <w:r w:rsidRPr="008A2411">
        <w:rPr>
          <w:rFonts w:ascii="Times New Roman" w:hAnsi="Times New Roman"/>
          <w:color w:val="000000" w:themeColor="text1"/>
        </w:rPr>
        <w:t>环境敏感目标的环境噪声功能，对声环境敏感目标的噪声影响较小。</w:t>
      </w:r>
    </w:p>
    <w:p w14:paraId="22E73B83" w14:textId="77777777" w:rsidR="00B0005F" w:rsidRPr="008A2411" w:rsidRDefault="00000000" w:rsidP="00B1467A">
      <w:pPr>
        <w:pStyle w:val="WJ"/>
        <w:adjustRightInd w:val="0"/>
        <w:snapToGrid w:val="0"/>
        <w:spacing w:line="360" w:lineRule="auto"/>
        <w:rPr>
          <w:rFonts w:ascii="Times New Roman" w:hAnsi="Times New Roman"/>
          <w:color w:val="000000" w:themeColor="text1"/>
          <w:kern w:val="0"/>
        </w:rPr>
      </w:pPr>
      <w:r w:rsidRPr="008A2411">
        <w:rPr>
          <w:rFonts w:ascii="Times New Roman" w:hAnsi="Times New Roman"/>
          <w:color w:val="000000" w:themeColor="text1"/>
          <w:kern w:val="0"/>
        </w:rPr>
        <w:t>（</w:t>
      </w:r>
      <w:r w:rsidRPr="008A2411">
        <w:rPr>
          <w:rFonts w:ascii="Times New Roman" w:hAnsi="Times New Roman"/>
          <w:color w:val="000000" w:themeColor="text1"/>
          <w:kern w:val="0"/>
        </w:rPr>
        <w:t>5</w:t>
      </w:r>
      <w:r w:rsidRPr="008A2411">
        <w:rPr>
          <w:rFonts w:ascii="Times New Roman" w:hAnsi="Times New Roman"/>
          <w:color w:val="000000" w:themeColor="text1"/>
          <w:kern w:val="0"/>
        </w:rPr>
        <w:t>）声环境敏感目标处的噪声预测结果</w:t>
      </w:r>
    </w:p>
    <w:p w14:paraId="1BE2DF7E" w14:textId="77777777" w:rsidR="00B0005F" w:rsidRPr="008A2411" w:rsidRDefault="00000000" w:rsidP="00B1467A">
      <w:pPr>
        <w:pStyle w:val="WJ"/>
        <w:adjustRightInd w:val="0"/>
        <w:snapToGrid w:val="0"/>
        <w:spacing w:line="360" w:lineRule="auto"/>
        <w:rPr>
          <w:rFonts w:ascii="Times New Roman" w:hAnsi="Times New Roman"/>
          <w:color w:val="000000" w:themeColor="text1"/>
          <w:szCs w:val="27"/>
          <w:shd w:val="clear" w:color="auto" w:fill="FFFFFF"/>
        </w:rPr>
      </w:pPr>
      <w:r w:rsidRPr="008A2411">
        <w:rPr>
          <w:rFonts w:ascii="Times New Roman" w:hAnsi="Times New Roman"/>
          <w:color w:val="000000" w:themeColor="text1"/>
          <w:szCs w:val="27"/>
          <w:shd w:val="clear" w:color="auto" w:fill="FFFFFF"/>
        </w:rPr>
        <w:t>结合外环境调查，项目周边</w:t>
      </w:r>
      <w:r w:rsidRPr="008A2411">
        <w:rPr>
          <w:rFonts w:ascii="Times New Roman" w:hAnsi="Times New Roman"/>
          <w:color w:val="000000" w:themeColor="text1"/>
          <w:szCs w:val="27"/>
          <w:shd w:val="clear" w:color="auto" w:fill="FFFFFF"/>
        </w:rPr>
        <w:t>200m</w:t>
      </w:r>
      <w:r w:rsidRPr="008A2411">
        <w:rPr>
          <w:rFonts w:ascii="Times New Roman" w:hAnsi="Times New Roman"/>
          <w:color w:val="000000" w:themeColor="text1"/>
          <w:szCs w:val="27"/>
          <w:shd w:val="clear" w:color="auto" w:fill="FFFFFF"/>
        </w:rPr>
        <w:t>范围内</w:t>
      </w:r>
      <w:r w:rsidRPr="008A2411">
        <w:rPr>
          <w:rFonts w:ascii="Times New Roman" w:hAnsi="Times New Roman" w:hint="eastAsia"/>
          <w:color w:val="000000" w:themeColor="text1"/>
          <w:szCs w:val="27"/>
          <w:shd w:val="clear" w:color="auto" w:fill="FFFFFF"/>
        </w:rPr>
        <w:t>仅有</w:t>
      </w:r>
      <w:r w:rsidRPr="008A2411">
        <w:rPr>
          <w:rFonts w:ascii="Times New Roman" w:hAnsi="Times New Roman" w:hint="eastAsia"/>
          <w:color w:val="000000" w:themeColor="text1"/>
          <w:szCs w:val="27"/>
          <w:shd w:val="clear" w:color="auto" w:fill="FFFFFF"/>
        </w:rPr>
        <w:t>3</w:t>
      </w:r>
      <w:r w:rsidRPr="008A2411">
        <w:rPr>
          <w:rFonts w:ascii="Times New Roman" w:hAnsi="Times New Roman" w:hint="eastAsia"/>
          <w:color w:val="000000" w:themeColor="text1"/>
          <w:szCs w:val="27"/>
          <w:shd w:val="clear" w:color="auto" w:fill="FFFFFF"/>
        </w:rPr>
        <w:t>户居民分布，最近距离为</w:t>
      </w:r>
      <w:r w:rsidRPr="008A2411">
        <w:rPr>
          <w:rFonts w:ascii="Times New Roman" w:hAnsi="Times New Roman" w:hint="eastAsia"/>
          <w:color w:val="000000" w:themeColor="text1"/>
          <w:szCs w:val="27"/>
          <w:shd w:val="clear" w:color="auto" w:fill="FFFFFF"/>
        </w:rPr>
        <w:t>81m</w:t>
      </w:r>
      <w:r w:rsidRPr="008A2411">
        <w:rPr>
          <w:rFonts w:ascii="Times New Roman" w:hAnsi="Times New Roman" w:hint="eastAsia"/>
          <w:color w:val="000000" w:themeColor="text1"/>
          <w:szCs w:val="27"/>
          <w:shd w:val="clear" w:color="auto" w:fill="FFFFFF"/>
        </w:rPr>
        <w:t>。由于项目主要噪声源强均分布在厂区中部及西侧，更加远离居民。通过预测结果可知，</w:t>
      </w:r>
      <w:r w:rsidRPr="008A2411">
        <w:rPr>
          <w:rFonts w:ascii="Times New Roman" w:hAnsi="Times New Roman"/>
          <w:color w:val="000000" w:themeColor="text1"/>
          <w:szCs w:val="27"/>
          <w:shd w:val="clear" w:color="auto" w:fill="FFFFFF"/>
        </w:rPr>
        <w:t>在经过距离衰减后，</w:t>
      </w:r>
      <w:r w:rsidRPr="008A2411">
        <w:rPr>
          <w:rFonts w:ascii="Times New Roman" w:hAnsi="Times New Roman" w:hint="eastAsia"/>
          <w:color w:val="000000" w:themeColor="text1"/>
          <w:szCs w:val="27"/>
          <w:shd w:val="clear" w:color="auto" w:fill="FFFFFF"/>
        </w:rPr>
        <w:t>该居民点处噪声贡献值为</w:t>
      </w:r>
      <w:r w:rsidRPr="008A2411">
        <w:rPr>
          <w:rFonts w:ascii="Times New Roman" w:hAnsi="Times New Roman" w:hint="eastAsia"/>
          <w:color w:val="000000" w:themeColor="text1"/>
        </w:rPr>
        <w:t>38.4</w:t>
      </w:r>
      <w:r w:rsidRPr="008A2411">
        <w:rPr>
          <w:rFonts w:ascii="Times New Roman" w:hAnsi="Times New Roman"/>
          <w:color w:val="000000" w:themeColor="text1"/>
        </w:rPr>
        <w:t>dB</w:t>
      </w:r>
      <w:r w:rsidRPr="008A2411">
        <w:rPr>
          <w:rFonts w:ascii="Times New Roman" w:hAnsi="Times New Roman"/>
          <w:color w:val="000000" w:themeColor="text1"/>
        </w:rPr>
        <w:t>（</w:t>
      </w:r>
      <w:r w:rsidRPr="008A2411">
        <w:rPr>
          <w:rFonts w:ascii="Times New Roman" w:hAnsi="Times New Roman"/>
          <w:color w:val="000000" w:themeColor="text1"/>
        </w:rPr>
        <w:t>A</w:t>
      </w:r>
      <w:r w:rsidRPr="008A2411">
        <w:rPr>
          <w:rFonts w:ascii="Times New Roman" w:hAnsi="Times New Roman"/>
          <w:color w:val="000000" w:themeColor="text1"/>
        </w:rPr>
        <w:t>）</w:t>
      </w:r>
      <w:r w:rsidRPr="008A2411">
        <w:rPr>
          <w:rFonts w:ascii="Times New Roman" w:hAnsi="Times New Roman" w:hint="eastAsia"/>
          <w:color w:val="000000" w:themeColor="text1"/>
        </w:rPr>
        <w:t>，</w:t>
      </w:r>
      <w:r w:rsidRPr="008A2411">
        <w:rPr>
          <w:rFonts w:ascii="Times New Roman" w:hAnsi="Times New Roman"/>
          <w:color w:val="000000" w:themeColor="text1"/>
          <w:szCs w:val="27"/>
          <w:shd w:val="clear" w:color="auto" w:fill="FFFFFF"/>
        </w:rPr>
        <w:t>其噪声贡献值极低，由此可见，项目的建设不会改变</w:t>
      </w:r>
      <w:proofErr w:type="gramStart"/>
      <w:r w:rsidRPr="008A2411">
        <w:rPr>
          <w:rFonts w:ascii="Times New Roman" w:hAnsi="Times New Roman"/>
          <w:color w:val="000000" w:themeColor="text1"/>
          <w:szCs w:val="27"/>
          <w:shd w:val="clear" w:color="auto" w:fill="FFFFFF"/>
        </w:rPr>
        <w:t>周围声</w:t>
      </w:r>
      <w:proofErr w:type="gramEnd"/>
      <w:r w:rsidRPr="008A2411">
        <w:rPr>
          <w:rFonts w:ascii="Times New Roman" w:hAnsi="Times New Roman"/>
          <w:color w:val="000000" w:themeColor="text1"/>
          <w:szCs w:val="27"/>
          <w:shd w:val="clear" w:color="auto" w:fill="FFFFFF"/>
        </w:rPr>
        <w:t>环境敏感目标的环境噪声功能，对声环境敏感目标的噪声影响较小。</w:t>
      </w:r>
    </w:p>
    <w:p w14:paraId="69A4A283" w14:textId="77777777" w:rsidR="00B0005F" w:rsidRPr="008A2411" w:rsidRDefault="00000000" w:rsidP="00B1467A">
      <w:pPr>
        <w:pStyle w:val="WJ"/>
        <w:adjustRightInd w:val="0"/>
        <w:snapToGrid w:val="0"/>
        <w:spacing w:line="360" w:lineRule="auto"/>
        <w:rPr>
          <w:rFonts w:ascii="Times New Roman" w:hAnsi="Times New Roman"/>
          <w:color w:val="000000" w:themeColor="text1"/>
          <w:kern w:val="0"/>
        </w:rPr>
      </w:pPr>
      <w:r w:rsidRPr="008A2411">
        <w:rPr>
          <w:rFonts w:ascii="Times New Roman" w:hAnsi="Times New Roman"/>
          <w:color w:val="000000" w:themeColor="text1"/>
          <w:kern w:val="0"/>
        </w:rPr>
        <w:t>（</w:t>
      </w:r>
      <w:r w:rsidRPr="008A2411">
        <w:rPr>
          <w:rFonts w:ascii="Times New Roman" w:hAnsi="Times New Roman"/>
          <w:color w:val="000000" w:themeColor="text1"/>
          <w:kern w:val="0"/>
        </w:rPr>
        <w:t>6</w:t>
      </w:r>
      <w:r w:rsidRPr="008A2411">
        <w:rPr>
          <w:rFonts w:ascii="Times New Roman" w:hAnsi="Times New Roman"/>
          <w:color w:val="000000" w:themeColor="text1"/>
          <w:kern w:val="0"/>
        </w:rPr>
        <w:t>）噪声影响小结及建议</w:t>
      </w:r>
    </w:p>
    <w:p w14:paraId="6BFB6F34" w14:textId="77777777" w:rsidR="00B0005F" w:rsidRPr="008A2411" w:rsidRDefault="00000000" w:rsidP="00B1467A">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kern w:val="0"/>
        </w:rPr>
        <w:t>根据预测，项目正常运行时，厂界噪声满足</w:t>
      </w:r>
      <w:r w:rsidRPr="008A2411">
        <w:rPr>
          <w:rFonts w:ascii="Times New Roman" w:hAnsi="Times New Roman"/>
          <w:color w:val="000000" w:themeColor="text1"/>
        </w:rPr>
        <w:t>《工业企业厂界环境噪声排放标准》（</w:t>
      </w:r>
      <w:r w:rsidRPr="008A2411">
        <w:rPr>
          <w:rFonts w:ascii="Times New Roman" w:hAnsi="Times New Roman"/>
          <w:color w:val="000000" w:themeColor="text1"/>
        </w:rPr>
        <w:t>GB 12348-2008</w:t>
      </w:r>
      <w:r w:rsidRPr="008A2411">
        <w:rPr>
          <w:rFonts w:ascii="Times New Roman" w:hAnsi="Times New Roman"/>
          <w:color w:val="000000" w:themeColor="text1"/>
        </w:rPr>
        <w:t>）</w:t>
      </w:r>
      <w:r w:rsidRPr="008A2411">
        <w:rPr>
          <w:rFonts w:ascii="Times New Roman" w:hAnsi="Times New Roman"/>
          <w:color w:val="000000" w:themeColor="text1"/>
        </w:rPr>
        <w:t>2</w:t>
      </w:r>
      <w:r w:rsidRPr="008A2411">
        <w:rPr>
          <w:rFonts w:ascii="Times New Roman" w:hAnsi="Times New Roman"/>
          <w:color w:val="000000" w:themeColor="text1"/>
        </w:rPr>
        <w:t>类声环境功能区厂界环境噪声排放限值；</w:t>
      </w:r>
      <w:r w:rsidRPr="008A2411">
        <w:rPr>
          <w:rFonts w:ascii="Times New Roman" w:hAnsi="Times New Roman"/>
          <w:color w:val="000000" w:themeColor="text1"/>
          <w:szCs w:val="27"/>
          <w:shd w:val="clear" w:color="auto" w:fill="FFFFFF"/>
        </w:rPr>
        <w:t>项目周边</w:t>
      </w:r>
      <w:r w:rsidRPr="008A2411">
        <w:rPr>
          <w:rFonts w:ascii="Times New Roman" w:hAnsi="Times New Roman"/>
          <w:color w:val="000000" w:themeColor="text1"/>
          <w:szCs w:val="27"/>
          <w:shd w:val="clear" w:color="auto" w:fill="FFFFFF"/>
        </w:rPr>
        <w:t>200m</w:t>
      </w:r>
      <w:r w:rsidRPr="008A2411">
        <w:rPr>
          <w:rFonts w:ascii="Times New Roman" w:hAnsi="Times New Roman"/>
          <w:color w:val="000000" w:themeColor="text1"/>
          <w:szCs w:val="27"/>
          <w:shd w:val="clear" w:color="auto" w:fill="FFFFFF"/>
        </w:rPr>
        <w:t>范围内均无居民分布，距离项目最近处的居民点位于南侧</w:t>
      </w:r>
      <w:r w:rsidRPr="008A2411">
        <w:rPr>
          <w:rFonts w:ascii="Times New Roman" w:hAnsi="Times New Roman"/>
          <w:color w:val="000000" w:themeColor="text1"/>
          <w:szCs w:val="27"/>
          <w:shd w:val="clear" w:color="auto" w:fill="FFFFFF"/>
        </w:rPr>
        <w:t>253m</w:t>
      </w:r>
      <w:r w:rsidRPr="008A2411">
        <w:rPr>
          <w:rFonts w:ascii="Times New Roman" w:hAnsi="Times New Roman"/>
          <w:color w:val="000000" w:themeColor="text1"/>
          <w:szCs w:val="27"/>
          <w:shd w:val="clear" w:color="auto" w:fill="FFFFFF"/>
        </w:rPr>
        <w:t>处，在经过距离衰减后，其噪声贡献值极低，由此可见，项目的建设不会改变</w:t>
      </w:r>
      <w:proofErr w:type="gramStart"/>
      <w:r w:rsidRPr="008A2411">
        <w:rPr>
          <w:rFonts w:ascii="Times New Roman" w:hAnsi="Times New Roman"/>
          <w:color w:val="000000" w:themeColor="text1"/>
          <w:szCs w:val="27"/>
          <w:shd w:val="clear" w:color="auto" w:fill="FFFFFF"/>
        </w:rPr>
        <w:t>周围声</w:t>
      </w:r>
      <w:proofErr w:type="gramEnd"/>
      <w:r w:rsidRPr="008A2411">
        <w:rPr>
          <w:rFonts w:ascii="Times New Roman" w:hAnsi="Times New Roman"/>
          <w:color w:val="000000" w:themeColor="text1"/>
          <w:szCs w:val="27"/>
          <w:shd w:val="clear" w:color="auto" w:fill="FFFFFF"/>
        </w:rPr>
        <w:t>环境敏感目标的环境噪声功能，对声环境敏感目标的噪声影响较小</w:t>
      </w:r>
      <w:r w:rsidRPr="008A2411">
        <w:rPr>
          <w:rFonts w:ascii="Times New Roman" w:hAnsi="Times New Roman"/>
          <w:color w:val="000000" w:themeColor="text1"/>
        </w:rPr>
        <w:t>。</w:t>
      </w:r>
    </w:p>
    <w:p w14:paraId="27E60226" w14:textId="77777777" w:rsidR="00B0005F" w:rsidRPr="008A2411" w:rsidRDefault="00000000">
      <w:pPr>
        <w:pStyle w:val="WJ3"/>
        <w:spacing w:line="360" w:lineRule="auto"/>
        <w:rPr>
          <w:rFonts w:ascii="Times New Roman" w:hAnsi="Times New Roman"/>
          <w:color w:val="000000" w:themeColor="text1"/>
        </w:rPr>
      </w:pPr>
      <w:bookmarkStart w:id="480" w:name="_Toc319852949"/>
      <w:bookmarkStart w:id="481" w:name="_Toc405904864"/>
      <w:bookmarkStart w:id="482" w:name="_Toc422906883"/>
      <w:bookmarkStart w:id="483" w:name="_Toc405214269"/>
      <w:bookmarkStart w:id="484" w:name="_Toc405905336"/>
      <w:bookmarkStart w:id="485" w:name="_Toc405904520"/>
      <w:r w:rsidRPr="008A2411">
        <w:rPr>
          <w:rFonts w:ascii="Times New Roman" w:hAnsi="Times New Roman"/>
          <w:color w:val="000000" w:themeColor="text1"/>
        </w:rPr>
        <w:t xml:space="preserve">5.2.5 </w:t>
      </w:r>
      <w:r w:rsidRPr="008A2411">
        <w:rPr>
          <w:rFonts w:ascii="Times New Roman" w:hAnsi="Times New Roman"/>
          <w:color w:val="000000" w:themeColor="text1"/>
        </w:rPr>
        <w:t>固体废物环境影响分析</w:t>
      </w:r>
      <w:bookmarkEnd w:id="480"/>
      <w:bookmarkEnd w:id="481"/>
      <w:bookmarkEnd w:id="482"/>
      <w:bookmarkEnd w:id="483"/>
      <w:bookmarkEnd w:id="484"/>
      <w:bookmarkEnd w:id="485"/>
    </w:p>
    <w:p w14:paraId="71143E56" w14:textId="46EB4B3D" w:rsidR="00FD3536" w:rsidRPr="008A2411" w:rsidRDefault="00FD3536">
      <w:pPr>
        <w:pStyle w:val="WJ"/>
        <w:adjustRightInd w:val="0"/>
        <w:snapToGrid w:val="0"/>
        <w:spacing w:line="360" w:lineRule="auto"/>
        <w:ind w:firstLine="482"/>
        <w:rPr>
          <w:rFonts w:ascii="Times New Roman" w:hAnsi="Times New Roman"/>
          <w:b/>
          <w:bCs/>
          <w:color w:val="000000" w:themeColor="text1"/>
        </w:rPr>
      </w:pPr>
      <w:bookmarkStart w:id="486" w:name="OLE_LINK122"/>
      <w:bookmarkStart w:id="487" w:name="OLE_LINK86"/>
      <w:bookmarkStart w:id="488" w:name="_Toc319852950"/>
      <w:r w:rsidRPr="008A2411">
        <w:rPr>
          <w:rFonts w:ascii="Times New Roman" w:hAnsi="Times New Roman" w:hint="eastAsia"/>
          <w:b/>
          <w:bCs/>
          <w:color w:val="000000" w:themeColor="text1"/>
        </w:rPr>
        <w:t>1</w:t>
      </w:r>
      <w:r w:rsidRPr="008A2411">
        <w:rPr>
          <w:rFonts w:ascii="Times New Roman" w:hAnsi="Times New Roman" w:hint="eastAsia"/>
          <w:b/>
          <w:bCs/>
          <w:color w:val="000000" w:themeColor="text1"/>
        </w:rPr>
        <w:t>、固</w:t>
      </w:r>
      <w:proofErr w:type="gramStart"/>
      <w:r w:rsidRPr="008A2411">
        <w:rPr>
          <w:rFonts w:ascii="Times New Roman" w:hAnsi="Times New Roman" w:hint="eastAsia"/>
          <w:b/>
          <w:bCs/>
          <w:color w:val="000000" w:themeColor="text1"/>
        </w:rPr>
        <w:t>废产生</w:t>
      </w:r>
      <w:proofErr w:type="gramEnd"/>
      <w:r w:rsidRPr="008A2411">
        <w:rPr>
          <w:rFonts w:ascii="Times New Roman" w:hAnsi="Times New Roman" w:hint="eastAsia"/>
          <w:b/>
          <w:bCs/>
          <w:color w:val="000000" w:themeColor="text1"/>
        </w:rPr>
        <w:t>及处置措施</w:t>
      </w:r>
    </w:p>
    <w:p w14:paraId="30A86866" w14:textId="77777777" w:rsidR="00FD3536" w:rsidRPr="008A2411" w:rsidRDefault="00FD3536">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工程运营期产生的固</w:t>
      </w:r>
      <w:proofErr w:type="gramStart"/>
      <w:r w:rsidRPr="008A2411">
        <w:rPr>
          <w:rFonts w:ascii="Times New Roman" w:hAnsi="Times New Roman"/>
          <w:color w:val="000000" w:themeColor="text1"/>
        </w:rPr>
        <w:t>废主要</w:t>
      </w:r>
      <w:proofErr w:type="gramEnd"/>
      <w:r w:rsidRPr="008A2411">
        <w:rPr>
          <w:rFonts w:ascii="Times New Roman" w:hAnsi="Times New Roman"/>
          <w:color w:val="000000" w:themeColor="text1"/>
        </w:rPr>
        <w:t>是</w:t>
      </w:r>
      <w:r w:rsidRPr="008A2411">
        <w:rPr>
          <w:rFonts w:ascii="Times New Roman" w:hAnsi="Times New Roman"/>
          <w:bCs/>
          <w:color w:val="000000" w:themeColor="text1"/>
        </w:rPr>
        <w:t>污水处理系统污泥、</w:t>
      </w:r>
      <w:r w:rsidRPr="008A2411">
        <w:rPr>
          <w:rFonts w:ascii="Times New Roman" w:hint="eastAsia"/>
          <w:color w:val="000000" w:themeColor="text1"/>
        </w:rPr>
        <w:t>废制氮装置废过滤器、</w:t>
      </w:r>
      <w:r w:rsidRPr="008A2411">
        <w:rPr>
          <w:rFonts w:ascii="Times New Roman" w:hAnsi="Times New Roman"/>
          <w:color w:val="000000" w:themeColor="text1"/>
        </w:rPr>
        <w:t>值守人员产生的生活垃圾、废分子筛、废油、废活性炭、化验间残液及过滤装置滤渣。其中，一般固废为污水系统污泥产生量为</w:t>
      </w:r>
      <w:r w:rsidRPr="008A2411">
        <w:rPr>
          <w:rFonts w:ascii="Times New Roman" w:hAnsi="Times New Roman"/>
          <w:color w:val="000000" w:themeColor="text1"/>
        </w:rPr>
        <w:t>0.2t/d</w:t>
      </w:r>
      <w:r w:rsidRPr="008A2411">
        <w:rPr>
          <w:rFonts w:ascii="Times New Roman" w:hAnsi="Times New Roman"/>
          <w:color w:val="000000" w:themeColor="text1"/>
        </w:rPr>
        <w:t>（约</w:t>
      </w:r>
      <w:r w:rsidRPr="008A2411">
        <w:rPr>
          <w:rFonts w:ascii="Times New Roman" w:hAnsi="Times New Roman"/>
          <w:color w:val="000000" w:themeColor="text1"/>
        </w:rPr>
        <w:t>73t/a</w:t>
      </w:r>
      <w:r w:rsidRPr="008A2411">
        <w:rPr>
          <w:rFonts w:ascii="Times New Roman" w:hAnsi="Times New Roman"/>
          <w:color w:val="000000" w:themeColor="text1"/>
        </w:rPr>
        <w:t>），</w:t>
      </w:r>
      <w:proofErr w:type="gramStart"/>
      <w:r w:rsidRPr="008A2411">
        <w:rPr>
          <w:rFonts w:ascii="Times New Roman" w:hAnsi="Times New Roman"/>
          <w:color w:val="000000" w:themeColor="text1"/>
        </w:rPr>
        <w:t>送城市</w:t>
      </w:r>
      <w:proofErr w:type="gramEnd"/>
      <w:r w:rsidRPr="008A2411">
        <w:rPr>
          <w:rFonts w:ascii="Times New Roman" w:hAnsi="Times New Roman"/>
          <w:color w:val="000000" w:themeColor="text1"/>
        </w:rPr>
        <w:t>生活垃</w:t>
      </w:r>
      <w:r w:rsidRPr="008A2411">
        <w:rPr>
          <w:rFonts w:ascii="Times New Roman" w:hAnsi="Times New Roman"/>
          <w:color w:val="000000" w:themeColor="text1"/>
        </w:rPr>
        <w:lastRenderedPageBreak/>
        <w:t>圾填埋场处理；</w:t>
      </w:r>
      <w:r w:rsidRPr="008A2411">
        <w:rPr>
          <w:rFonts w:ascii="Times New Roman" w:hint="eastAsia"/>
          <w:color w:val="000000" w:themeColor="text1"/>
        </w:rPr>
        <w:t>废制氮装置废过滤器</w:t>
      </w:r>
      <w:r w:rsidRPr="008A2411">
        <w:rPr>
          <w:rFonts w:ascii="Times New Roman" w:hAnsi="Times New Roman"/>
          <w:color w:val="000000" w:themeColor="text1"/>
        </w:rPr>
        <w:t>生量为</w:t>
      </w:r>
      <w:r w:rsidRPr="008A2411">
        <w:rPr>
          <w:rFonts w:ascii="Times New Roman" w:hAnsi="Times New Roman"/>
          <w:color w:val="000000" w:themeColor="text1"/>
        </w:rPr>
        <w:t>0.</w:t>
      </w:r>
      <w:r w:rsidRPr="008A2411">
        <w:rPr>
          <w:rFonts w:ascii="Times New Roman" w:hAnsi="Times New Roman" w:hint="eastAsia"/>
          <w:color w:val="000000" w:themeColor="text1"/>
        </w:rPr>
        <w:t>1</w:t>
      </w:r>
      <w:r w:rsidRPr="008A2411">
        <w:rPr>
          <w:rFonts w:ascii="Times New Roman" w:hAnsi="Times New Roman"/>
          <w:color w:val="000000" w:themeColor="text1"/>
        </w:rPr>
        <w:t>t/a</w:t>
      </w:r>
      <w:r w:rsidRPr="008A2411">
        <w:rPr>
          <w:rFonts w:ascii="Times New Roman" w:hAnsi="Times New Roman" w:hint="eastAsia"/>
          <w:color w:val="000000" w:themeColor="text1"/>
        </w:rPr>
        <w:t>，在更换时交由供货厂商回收；</w:t>
      </w:r>
      <w:r w:rsidRPr="008A2411">
        <w:rPr>
          <w:rFonts w:ascii="Times New Roman" w:hAnsi="Times New Roman"/>
          <w:color w:val="000000" w:themeColor="text1"/>
        </w:rPr>
        <w:t>生活垃圾产生量为</w:t>
      </w:r>
      <w:r w:rsidRPr="008A2411">
        <w:rPr>
          <w:rFonts w:ascii="Times New Roman" w:hAnsi="Times New Roman"/>
          <w:color w:val="000000" w:themeColor="text1"/>
        </w:rPr>
        <w:t>0.335t/d</w:t>
      </w:r>
      <w:r w:rsidRPr="008A2411">
        <w:rPr>
          <w:rFonts w:ascii="Times New Roman" w:hAnsi="Times New Roman"/>
          <w:color w:val="000000" w:themeColor="text1"/>
        </w:rPr>
        <w:t>（约</w:t>
      </w:r>
      <w:r w:rsidRPr="008A2411">
        <w:rPr>
          <w:rFonts w:ascii="Times New Roman" w:hAnsi="Times New Roman" w:hint="eastAsia"/>
          <w:color w:val="000000" w:themeColor="text1"/>
        </w:rPr>
        <w:t>110.5</w:t>
      </w:r>
      <w:r w:rsidRPr="008A2411">
        <w:rPr>
          <w:rFonts w:ascii="Times New Roman" w:hAnsi="Times New Roman"/>
          <w:color w:val="000000" w:themeColor="text1"/>
        </w:rPr>
        <w:t>t/a</w:t>
      </w:r>
      <w:r w:rsidRPr="008A2411">
        <w:rPr>
          <w:rFonts w:ascii="Times New Roman" w:hAnsi="Times New Roman"/>
          <w:color w:val="000000" w:themeColor="text1"/>
        </w:rPr>
        <w:t>），由当地环卫部门统一收集处理；危险废物包括废分子筛产生量为</w:t>
      </w:r>
      <w:r w:rsidRPr="008A2411">
        <w:rPr>
          <w:rFonts w:ascii="Times New Roman" w:hAnsi="Times New Roman"/>
          <w:color w:val="000000" w:themeColor="text1"/>
        </w:rPr>
        <w:t>3t/a</w:t>
      </w:r>
      <w:r w:rsidRPr="008A2411">
        <w:rPr>
          <w:rFonts w:ascii="Times New Roman" w:hAnsi="Times New Roman"/>
          <w:color w:val="000000" w:themeColor="text1"/>
        </w:rPr>
        <w:t>，干燥塔脱水再生单元含油废液产生量</w:t>
      </w:r>
      <w:r w:rsidRPr="008A2411">
        <w:rPr>
          <w:rFonts w:ascii="Times New Roman" w:hAnsi="Times New Roman"/>
          <w:color w:val="000000" w:themeColor="text1"/>
        </w:rPr>
        <w:t>3.2t/a</w:t>
      </w:r>
      <w:r w:rsidRPr="008A2411">
        <w:rPr>
          <w:rFonts w:ascii="Times New Roman" w:hAnsi="Times New Roman"/>
          <w:color w:val="000000" w:themeColor="text1"/>
        </w:rPr>
        <w:t>，设备检修废油产生量为</w:t>
      </w:r>
      <w:r w:rsidRPr="008A2411">
        <w:rPr>
          <w:rFonts w:ascii="Times New Roman" w:hAnsi="Times New Roman"/>
          <w:color w:val="000000" w:themeColor="text1"/>
        </w:rPr>
        <w:t>2t/a</w:t>
      </w:r>
      <w:r w:rsidRPr="008A2411">
        <w:rPr>
          <w:rFonts w:ascii="Times New Roman" w:hAnsi="Times New Roman"/>
          <w:color w:val="000000" w:themeColor="text1"/>
        </w:rPr>
        <w:t>，生产装置区液化生产单元、脱碳单元、脱汞单元和脱重烃单元产生的废活性炭为</w:t>
      </w:r>
      <w:r w:rsidRPr="008A2411">
        <w:rPr>
          <w:rFonts w:ascii="Times New Roman" w:hAnsi="Times New Roman" w:hint="eastAsia"/>
          <w:color w:val="000000" w:themeColor="text1"/>
        </w:rPr>
        <w:t>1</w:t>
      </w:r>
      <w:r w:rsidRPr="008A2411">
        <w:rPr>
          <w:rFonts w:ascii="Times New Roman" w:hAnsi="Times New Roman"/>
          <w:color w:val="000000" w:themeColor="text1"/>
        </w:rPr>
        <w:t>0t/a</w:t>
      </w:r>
      <w:r w:rsidRPr="008A2411">
        <w:rPr>
          <w:rFonts w:ascii="Times New Roman" w:hAnsi="Times New Roman"/>
          <w:color w:val="000000" w:themeColor="text1"/>
        </w:rPr>
        <w:t>，化验间废液产生量约</w:t>
      </w:r>
      <w:r w:rsidRPr="008A2411">
        <w:rPr>
          <w:rFonts w:ascii="Times New Roman" w:hAnsi="Times New Roman"/>
          <w:color w:val="000000" w:themeColor="text1"/>
        </w:rPr>
        <w:t>0.02t/a</w:t>
      </w:r>
      <w:r w:rsidRPr="008A2411">
        <w:rPr>
          <w:rFonts w:ascii="Times New Roman" w:hAnsi="Times New Roman"/>
          <w:color w:val="000000" w:themeColor="text1"/>
        </w:rPr>
        <w:t>（由废液收集桶收集），进口过滤器、溶液过滤器、净化气过滤器、重烃过滤器等过滤杂质产生量为</w:t>
      </w:r>
      <w:r w:rsidRPr="008A2411">
        <w:rPr>
          <w:rFonts w:ascii="Times New Roman" w:hAnsi="Times New Roman"/>
          <w:color w:val="000000" w:themeColor="text1"/>
        </w:rPr>
        <w:t>0.67t/a</w:t>
      </w:r>
      <w:r w:rsidRPr="008A2411">
        <w:rPr>
          <w:rFonts w:ascii="Times New Roman" w:hAnsi="Times New Roman" w:hint="eastAsia"/>
          <w:color w:val="000000" w:themeColor="text1"/>
        </w:rPr>
        <w:t>，导热油更换时废导热</w:t>
      </w:r>
      <w:proofErr w:type="gramStart"/>
      <w:r w:rsidRPr="008A2411">
        <w:rPr>
          <w:rFonts w:ascii="Times New Roman" w:hAnsi="Times New Roman" w:hint="eastAsia"/>
          <w:color w:val="000000" w:themeColor="text1"/>
        </w:rPr>
        <w:t>油产生</w:t>
      </w:r>
      <w:proofErr w:type="gramEnd"/>
      <w:r w:rsidRPr="008A2411">
        <w:rPr>
          <w:rFonts w:ascii="Times New Roman" w:hAnsi="Times New Roman" w:hint="eastAsia"/>
          <w:color w:val="000000" w:themeColor="text1"/>
        </w:rPr>
        <w:t>量为</w:t>
      </w:r>
      <w:r w:rsidRPr="008A2411">
        <w:rPr>
          <w:rFonts w:ascii="Times New Roman" w:hAnsi="Times New Roman" w:hint="eastAsia"/>
          <w:color w:val="000000" w:themeColor="text1"/>
        </w:rPr>
        <w:t>12.5</w:t>
      </w:r>
      <w:r w:rsidRPr="008A2411">
        <w:rPr>
          <w:rFonts w:ascii="Times New Roman" w:hAnsi="Times New Roman"/>
          <w:color w:val="000000" w:themeColor="text1"/>
        </w:rPr>
        <w:t>t/a</w:t>
      </w:r>
      <w:r w:rsidRPr="008A2411">
        <w:rPr>
          <w:rFonts w:ascii="Times New Roman" w:hAnsi="Times New Roman"/>
          <w:color w:val="000000" w:themeColor="text1"/>
        </w:rPr>
        <w:t>。上述危险废物</w:t>
      </w:r>
      <w:proofErr w:type="gramStart"/>
      <w:r w:rsidRPr="008A2411">
        <w:rPr>
          <w:rFonts w:ascii="Times New Roman" w:hAnsi="Times New Roman"/>
          <w:color w:val="000000" w:themeColor="text1"/>
        </w:rPr>
        <w:t>存于危废暂存</w:t>
      </w:r>
      <w:proofErr w:type="gramEnd"/>
      <w:r w:rsidRPr="008A2411">
        <w:rPr>
          <w:rFonts w:ascii="Times New Roman" w:hAnsi="Times New Roman"/>
          <w:color w:val="000000" w:themeColor="text1"/>
        </w:rPr>
        <w:t>间，交有资质单位处置；</w:t>
      </w:r>
    </w:p>
    <w:bookmarkEnd w:id="486"/>
    <w:bookmarkEnd w:id="487"/>
    <w:p w14:paraId="727E5ECA" w14:textId="77777777" w:rsidR="00FD3536" w:rsidRPr="008A2411" w:rsidRDefault="00FD3536">
      <w:pPr>
        <w:pStyle w:val="WJ"/>
        <w:adjustRightInd w:val="0"/>
        <w:snapToGrid w:val="0"/>
        <w:spacing w:line="360" w:lineRule="auto"/>
        <w:ind w:firstLine="482"/>
        <w:rPr>
          <w:b/>
          <w:bCs/>
          <w:color w:val="000000" w:themeColor="text1"/>
        </w:rPr>
      </w:pPr>
      <w:r w:rsidRPr="008A2411">
        <w:rPr>
          <w:b/>
          <w:bCs/>
          <w:color w:val="000000" w:themeColor="text1"/>
        </w:rPr>
        <w:t xml:space="preserve">2、项目固废收集、贮存措施 </w:t>
      </w:r>
    </w:p>
    <w:p w14:paraId="397202C2" w14:textId="54CCEB2C" w:rsidR="00FD3536" w:rsidRPr="008A2411" w:rsidRDefault="00FD3536">
      <w:pPr>
        <w:pStyle w:val="WJ"/>
        <w:adjustRightInd w:val="0"/>
        <w:snapToGrid w:val="0"/>
        <w:spacing w:line="360" w:lineRule="auto"/>
        <w:rPr>
          <w:color w:val="000000" w:themeColor="text1"/>
        </w:rPr>
      </w:pPr>
      <w:r w:rsidRPr="008A2411">
        <w:rPr>
          <w:color w:val="000000" w:themeColor="text1"/>
        </w:rPr>
        <w:t xml:space="preserve">1）一般固废收集、贮存措施厂内一般工业固体废物应按《一般工业固体废物贮存、处置场污染控制标准》（GB18599-2020）设置一般工业固体废物临时贮存场所，并专人负责固体废物的收集、贮存，同时配合地方要求进行集中处置。 </w:t>
      </w:r>
    </w:p>
    <w:p w14:paraId="510AFB20" w14:textId="77777777" w:rsidR="00FD3536" w:rsidRPr="008A2411" w:rsidRDefault="00FD3536">
      <w:pPr>
        <w:pStyle w:val="WJ"/>
        <w:adjustRightInd w:val="0"/>
        <w:snapToGrid w:val="0"/>
        <w:spacing w:line="360" w:lineRule="auto"/>
        <w:rPr>
          <w:color w:val="000000" w:themeColor="text1"/>
        </w:rPr>
      </w:pPr>
      <w:r w:rsidRPr="008A2411">
        <w:rPr>
          <w:color w:val="000000" w:themeColor="text1"/>
        </w:rPr>
        <w:t xml:space="preserve">2）危险废物收集、贮存、运输措施 建设单位应严格按照 GB18597-2001《危险废物贮存污染控制标准》的相关规定，对项目产生的危险废物进行妥善管理和处置。根据《中华人民共和国固体废物污染环境防治法》中《第四章 危险废物污染环境防治的特别规定》，该项目应执行以下规定：对危险废物的容器和包装以及收集、贮存、处置危险废物的设施、场所，必须设置危险废物识别标志；必须按照国家有关规定申报登记；必须按照国家有关规定处置，不处置的，由所在地县级以上人民政府环境保护行政主管部门责令限期改正，逾期不处置或者处置不符合国家有关规定的，由所在地县级以上地方人民政府环境保护行政主管部门指定单位按照国家有关规定代为处置，处置费用由产生危险废物的单位承担。 </w:t>
      </w:r>
    </w:p>
    <w:p w14:paraId="211FC261" w14:textId="77777777" w:rsidR="00FD3536" w:rsidRPr="008A2411" w:rsidRDefault="00FD3536">
      <w:pPr>
        <w:pStyle w:val="WJ"/>
        <w:adjustRightInd w:val="0"/>
        <w:snapToGrid w:val="0"/>
        <w:spacing w:line="360" w:lineRule="auto"/>
        <w:rPr>
          <w:color w:val="000000" w:themeColor="text1"/>
        </w:rPr>
      </w:pPr>
      <w:r w:rsidRPr="008A2411">
        <w:rPr>
          <w:color w:val="000000" w:themeColor="text1"/>
        </w:rPr>
        <w:t>对危险废物的收集、暂存按国家标准有如下要求：①危险废物的收集包装 a．有符合要求的包装容器、收集人员的个人防护设备；b．危险废物的收集容器应在醒目位置贴有危险废物标签，在收集场所</w:t>
      </w:r>
      <w:proofErr w:type="gramStart"/>
      <w:r w:rsidRPr="008A2411">
        <w:rPr>
          <w:color w:val="000000" w:themeColor="text1"/>
        </w:rPr>
        <w:t>醒</w:t>
      </w:r>
      <w:proofErr w:type="gramEnd"/>
      <w:r w:rsidRPr="008A2411">
        <w:rPr>
          <w:color w:val="000000" w:themeColor="text1"/>
        </w:rPr>
        <w:t>目的地方设置危险废物警告标识。所有收集容器必须密闭。c．危险废物标签应标明以下信息：主要化学成分或危险废物名称、数量、物理形态、危险类别、安全措施以及危险废物产生单位名称、地址、联系人及电话。d.液体、半固体的</w:t>
      </w:r>
      <w:proofErr w:type="gramStart"/>
      <w:r w:rsidRPr="008A2411">
        <w:rPr>
          <w:color w:val="000000" w:themeColor="text1"/>
        </w:rPr>
        <w:t>危废必须</w:t>
      </w:r>
      <w:proofErr w:type="gramEnd"/>
      <w:r w:rsidRPr="008A2411">
        <w:rPr>
          <w:color w:val="000000" w:themeColor="text1"/>
        </w:rPr>
        <w:t>用包装容器（桶装）进行装盛，固态危险废物用包装容 器或包装袋进行装盛。e.包装容器必须完好无损，没有腐蚀、污染、损毁或其他能导致其包装效能减弱的缺陷。已装盛废物的包装容器应妥善盖好或密封，容器表面应保持清洁，</w:t>
      </w:r>
      <w:proofErr w:type="gramStart"/>
      <w:r w:rsidRPr="008A2411">
        <w:rPr>
          <w:color w:val="000000" w:themeColor="text1"/>
        </w:rPr>
        <w:t>不</w:t>
      </w:r>
      <w:proofErr w:type="gramEnd"/>
      <w:r w:rsidRPr="008A2411">
        <w:rPr>
          <w:color w:val="000000" w:themeColor="text1"/>
        </w:rPr>
        <w:t>黏附任何危险废物。f.</w:t>
      </w:r>
      <w:r w:rsidRPr="008A2411">
        <w:rPr>
          <w:color w:val="000000" w:themeColor="text1"/>
        </w:rPr>
        <w:lastRenderedPageBreak/>
        <w:t>同一包装容器、包装袋不能同时装</w:t>
      </w:r>
      <w:proofErr w:type="gramStart"/>
      <w:r w:rsidRPr="008A2411">
        <w:rPr>
          <w:color w:val="000000" w:themeColor="text1"/>
        </w:rPr>
        <w:t>盛两种</w:t>
      </w:r>
      <w:proofErr w:type="gramEnd"/>
      <w:r w:rsidRPr="008A2411">
        <w:rPr>
          <w:color w:val="000000" w:themeColor="text1"/>
        </w:rPr>
        <w:t>以上不同性质或类别的危险废物。包装 容器和包装袋应选用与装盛物相容（不起反应）的材料制成，包装容器必须坚固不易 地下深层卤水</w:t>
      </w:r>
      <w:proofErr w:type="gramStart"/>
      <w:r w:rsidRPr="008A2411">
        <w:rPr>
          <w:color w:val="000000" w:themeColor="text1"/>
        </w:rPr>
        <w:t>及锂钾综合开发</w:t>
      </w:r>
      <w:proofErr w:type="gramEnd"/>
      <w:r w:rsidRPr="008A2411">
        <w:rPr>
          <w:color w:val="000000" w:themeColor="text1"/>
        </w:rPr>
        <w:t xml:space="preserve">（一期）中试试验建设项目环境影响报告书 213 破碎，防渗性能良好。g.危险废物的盛装应足够安全，并经过周密检查，严防在转载、搬移或运输过程中出现渗漏、溢出、抛洒或挥发等情况。在危险废物收集、密封和移动等过程中，一定要小心操作，避免包装物损坏或割伤身体。② 危险废物的暂存要求 危险废物堆放场应满足 GB18597-2001《危险废物贮存污染控制标准》有关规定：a．按 GB15562.2《环境保护图形标识——固体废物贮存（处置）场》设置警示标志。b．必须有耐腐蚀的硬化地面和基础防渗层，地面无裂隙；设施底部必须高于地下水最高水位。c．要求必要的防风、防雨、防晒措施。d．要有隔离设施或其它防护栅栏。e．应配备通讯设备、照明设施、安全防护服装及共聚，并设有报警装置和应急防护设施。 ③危险废物的运输要求 运输时配备专用运输车和专职人员，并制定合理的收运计划和应急预案，统筹安 排废物收运车辆，优化车辆的运行线路。车厢配备牢固的门锁；在明显位置固定产品 标牌，标牌需符合 QGB/T18411-200J 的规定；车厢外部颜色为白色或银灰色，车厢的 前部、后部和两侧喷涂警示性表示：驾驶室两侧注明转运单位名称：在驾驶室醒目位 置注明仅用于危险废物转运的警示说明。 </w:t>
      </w:r>
    </w:p>
    <w:p w14:paraId="47B9CDF9" w14:textId="341DD9A0" w:rsidR="00FD3536" w:rsidRPr="008A2411" w:rsidRDefault="00FD3536">
      <w:pPr>
        <w:pStyle w:val="WJ"/>
        <w:adjustRightInd w:val="0"/>
        <w:snapToGrid w:val="0"/>
        <w:spacing w:line="360" w:lineRule="auto"/>
        <w:ind w:firstLine="482"/>
        <w:rPr>
          <w:rFonts w:ascii="Times New Roman" w:hAnsi="Times New Roman"/>
          <w:b/>
          <w:bCs/>
          <w:color w:val="000000" w:themeColor="text1"/>
        </w:rPr>
      </w:pPr>
      <w:r w:rsidRPr="008A2411">
        <w:rPr>
          <w:b/>
          <w:bCs/>
          <w:color w:val="000000" w:themeColor="text1"/>
        </w:rPr>
        <w:t>综上所述，项目建成后，所产生的固废，在按照环</w:t>
      </w:r>
      <w:proofErr w:type="gramStart"/>
      <w:r w:rsidRPr="008A2411">
        <w:rPr>
          <w:b/>
          <w:bCs/>
          <w:color w:val="000000" w:themeColor="text1"/>
        </w:rPr>
        <w:t>评要求</w:t>
      </w:r>
      <w:proofErr w:type="gramEnd"/>
      <w:r w:rsidRPr="008A2411">
        <w:rPr>
          <w:b/>
          <w:bCs/>
          <w:color w:val="000000" w:themeColor="text1"/>
        </w:rPr>
        <w:t>严格执行的前提下，均可得到妥善处置，工业固废对拟建地影响不明显</w:t>
      </w:r>
      <w:r w:rsidRPr="008A2411">
        <w:rPr>
          <w:rFonts w:ascii="Times New Roman" w:hAnsi="Times New Roman"/>
          <w:b/>
          <w:bCs/>
          <w:color w:val="000000" w:themeColor="text1"/>
        </w:rPr>
        <w:t>。</w:t>
      </w:r>
    </w:p>
    <w:p w14:paraId="368D5C10" w14:textId="3E1F96C9" w:rsidR="00B0005F" w:rsidRPr="008A2411" w:rsidRDefault="00FD3536">
      <w:pPr>
        <w:pStyle w:val="WJ3"/>
        <w:spacing w:line="360" w:lineRule="auto"/>
        <w:rPr>
          <w:rFonts w:ascii="Times New Roman" w:hAnsi="Times New Roman"/>
          <w:color w:val="000000" w:themeColor="text1"/>
        </w:rPr>
      </w:pPr>
      <w:bookmarkStart w:id="489" w:name="_Toc405904865"/>
      <w:bookmarkStart w:id="490" w:name="_Toc422906884"/>
      <w:bookmarkStart w:id="491" w:name="_Toc405905337"/>
      <w:bookmarkStart w:id="492" w:name="_Toc405904521"/>
      <w:bookmarkStart w:id="493" w:name="_Toc405214270"/>
      <w:r w:rsidRPr="008A2411">
        <w:rPr>
          <w:rFonts w:ascii="Times New Roman" w:hAnsi="Times New Roman"/>
          <w:color w:val="000000" w:themeColor="text1"/>
        </w:rPr>
        <w:t xml:space="preserve">5.2.6 </w:t>
      </w:r>
      <w:r w:rsidRPr="008A2411">
        <w:rPr>
          <w:rFonts w:ascii="Times New Roman" w:hAnsi="Times New Roman"/>
          <w:color w:val="000000" w:themeColor="text1"/>
        </w:rPr>
        <w:t>生态影响分析</w:t>
      </w:r>
      <w:bookmarkEnd w:id="488"/>
      <w:bookmarkEnd w:id="489"/>
      <w:bookmarkEnd w:id="490"/>
      <w:bookmarkEnd w:id="491"/>
      <w:bookmarkEnd w:id="492"/>
      <w:bookmarkEnd w:id="493"/>
    </w:p>
    <w:p w14:paraId="6811A3DB" w14:textId="77777777" w:rsidR="00B0005F" w:rsidRPr="008A2411" w:rsidRDefault="00000000">
      <w:pPr>
        <w:pStyle w:val="WJ"/>
        <w:adjustRightInd w:val="0"/>
        <w:snapToGrid w:val="0"/>
        <w:spacing w:line="360" w:lineRule="auto"/>
        <w:rPr>
          <w:rFonts w:ascii="Times New Roman" w:hAnsi="Times New Roman"/>
          <w:color w:val="000000" w:themeColor="text1"/>
          <w:lang w:bidi="en-US"/>
        </w:rPr>
      </w:pPr>
      <w:bookmarkStart w:id="494" w:name="_Toc319852951"/>
      <w:r w:rsidRPr="008A2411">
        <w:rPr>
          <w:rFonts w:ascii="Times New Roman" w:hAnsi="Times New Roman"/>
          <w:color w:val="000000" w:themeColor="text1"/>
          <w:lang w:bidi="en-US"/>
        </w:rPr>
        <w:t>1</w:t>
      </w:r>
      <w:r w:rsidRPr="008A2411">
        <w:rPr>
          <w:rFonts w:ascii="Times New Roman" w:hAnsi="Times New Roman"/>
          <w:color w:val="000000" w:themeColor="text1"/>
          <w:lang w:bidi="en-US"/>
        </w:rPr>
        <w:t>、对植被的影响</w:t>
      </w:r>
      <w:bookmarkEnd w:id="494"/>
      <w:r w:rsidRPr="008A2411">
        <w:rPr>
          <w:rFonts w:ascii="Times New Roman" w:hAnsi="Times New Roman"/>
          <w:color w:val="000000" w:themeColor="text1"/>
          <w:lang w:bidi="en-US"/>
        </w:rPr>
        <w:t xml:space="preserve">   </w:t>
      </w:r>
    </w:p>
    <w:p w14:paraId="07C804CB"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本项目运营期对生态环境的影响主要来自于正常生产过程中排放的</w:t>
      </w:r>
      <w:r w:rsidRPr="008A2411">
        <w:rPr>
          <w:rFonts w:ascii="Times New Roman" w:hAnsi="Times New Roman"/>
          <w:color w:val="000000" w:themeColor="text1"/>
        </w:rPr>
        <w:t>SO</w:t>
      </w:r>
      <w:r w:rsidRPr="008A2411">
        <w:rPr>
          <w:rFonts w:ascii="Times New Roman" w:hAnsi="Times New Roman"/>
          <w:color w:val="000000" w:themeColor="text1"/>
          <w:vertAlign w:val="subscript"/>
        </w:rPr>
        <w:t>2</w:t>
      </w:r>
      <w:r w:rsidRPr="008A2411">
        <w:rPr>
          <w:rFonts w:ascii="Times New Roman" w:hAnsi="Times New Roman"/>
          <w:color w:val="000000" w:themeColor="text1"/>
        </w:rPr>
        <w:t>（通过排气筒排入大气），短时间排放大量</w:t>
      </w:r>
      <w:r w:rsidRPr="008A2411">
        <w:rPr>
          <w:rFonts w:ascii="Times New Roman" w:hAnsi="Times New Roman"/>
          <w:color w:val="000000" w:themeColor="text1"/>
        </w:rPr>
        <w:t>SO</w:t>
      </w:r>
      <w:r w:rsidRPr="008A2411">
        <w:rPr>
          <w:rFonts w:ascii="Times New Roman" w:hAnsi="Times New Roman"/>
          <w:color w:val="000000" w:themeColor="text1"/>
          <w:vertAlign w:val="subscript"/>
        </w:rPr>
        <w:t>2</w:t>
      </w:r>
      <w:r w:rsidRPr="008A2411">
        <w:rPr>
          <w:rFonts w:ascii="Times New Roman" w:hAnsi="Times New Roman"/>
          <w:color w:val="000000" w:themeColor="text1"/>
        </w:rPr>
        <w:t>对周边环境有一定影响，</w:t>
      </w:r>
      <w:r w:rsidRPr="008A2411">
        <w:rPr>
          <w:rFonts w:ascii="Times New Roman" w:hAnsi="Times New Roman"/>
          <w:color w:val="000000" w:themeColor="text1"/>
        </w:rPr>
        <w:t>SO</w:t>
      </w:r>
      <w:r w:rsidRPr="008A2411">
        <w:rPr>
          <w:rFonts w:ascii="Times New Roman" w:hAnsi="Times New Roman"/>
          <w:color w:val="000000" w:themeColor="text1"/>
          <w:vertAlign w:val="subscript"/>
        </w:rPr>
        <w:t>2</w:t>
      </w:r>
      <w:r w:rsidRPr="008A2411">
        <w:rPr>
          <w:rFonts w:ascii="Times New Roman" w:hAnsi="Times New Roman"/>
          <w:color w:val="000000" w:themeColor="text1"/>
        </w:rPr>
        <w:t>与水反应生成亚硫酸盐，将对植物造成一定影响。</w:t>
      </w:r>
    </w:p>
    <w:p w14:paraId="1F6C995E" w14:textId="77777777" w:rsidR="00B0005F" w:rsidRPr="008A2411" w:rsidRDefault="00000000">
      <w:pPr>
        <w:pStyle w:val="WJ"/>
        <w:adjustRightInd w:val="0"/>
        <w:snapToGrid w:val="0"/>
        <w:spacing w:line="360" w:lineRule="auto"/>
        <w:rPr>
          <w:rFonts w:ascii="Times New Roman" w:hAnsi="Times New Roman"/>
          <w:color w:val="000000" w:themeColor="text1"/>
          <w:lang w:bidi="en-US"/>
        </w:rPr>
      </w:pPr>
      <w:r w:rsidRPr="008A2411">
        <w:rPr>
          <w:rFonts w:ascii="Times New Roman" w:hAnsi="Times New Roman"/>
          <w:color w:val="000000" w:themeColor="text1"/>
          <w:lang w:bidi="en-US"/>
        </w:rPr>
        <w:t>2</w:t>
      </w:r>
      <w:r w:rsidRPr="008A2411">
        <w:rPr>
          <w:rFonts w:ascii="Times New Roman" w:hAnsi="Times New Roman"/>
          <w:color w:val="000000" w:themeColor="text1"/>
          <w:lang w:bidi="en-US"/>
        </w:rPr>
        <w:t>、对水生生态资源的影响</w:t>
      </w:r>
    </w:p>
    <w:p w14:paraId="244478C7" w14:textId="77777777" w:rsidR="00B0005F" w:rsidRPr="008A2411" w:rsidRDefault="00000000">
      <w:pPr>
        <w:pStyle w:val="WJ"/>
        <w:adjustRightInd w:val="0"/>
        <w:snapToGrid w:val="0"/>
        <w:spacing w:line="360" w:lineRule="auto"/>
        <w:rPr>
          <w:rFonts w:ascii="Times New Roman" w:hAnsi="Times New Roman"/>
          <w:color w:val="000000" w:themeColor="text1"/>
        </w:rPr>
      </w:pPr>
      <w:bookmarkStart w:id="495" w:name="OLE_LINK125"/>
      <w:r w:rsidRPr="008A2411">
        <w:rPr>
          <w:rFonts w:ascii="Times New Roman" w:hAnsi="Times New Roman"/>
          <w:color w:val="000000" w:themeColor="text1"/>
        </w:rPr>
        <w:t>项目不以周边河流为供水水源，且所产生产污水通过收集、厂区污水处理站预处理后排入园区污水管网，不直接排入周边地表水，不会对其水质产生影响。因此，本项目不会对区域水生生态产生明显影响。</w:t>
      </w:r>
    </w:p>
    <w:bookmarkEnd w:id="495"/>
    <w:p w14:paraId="71DA24A9" w14:textId="77777777" w:rsidR="00B0005F" w:rsidRPr="008A2411" w:rsidRDefault="00000000">
      <w:pPr>
        <w:pStyle w:val="WJ3"/>
        <w:spacing w:line="360" w:lineRule="auto"/>
        <w:rPr>
          <w:rFonts w:ascii="Times New Roman" w:hAnsi="Times New Roman"/>
          <w:color w:val="000000" w:themeColor="text1"/>
          <w:sz w:val="28"/>
          <w:szCs w:val="28"/>
        </w:rPr>
      </w:pPr>
      <w:r w:rsidRPr="008A2411">
        <w:rPr>
          <w:rFonts w:ascii="Times New Roman" w:hAnsi="Times New Roman"/>
          <w:color w:val="000000" w:themeColor="text1"/>
          <w:sz w:val="28"/>
          <w:szCs w:val="28"/>
        </w:rPr>
        <w:t xml:space="preserve">5.2.8 </w:t>
      </w:r>
      <w:r w:rsidRPr="008A2411">
        <w:rPr>
          <w:rFonts w:ascii="Times New Roman" w:hAnsi="Times New Roman"/>
          <w:color w:val="000000" w:themeColor="text1"/>
          <w:sz w:val="28"/>
          <w:szCs w:val="28"/>
        </w:rPr>
        <w:t>土壤环境影响预测与评价</w:t>
      </w:r>
    </w:p>
    <w:p w14:paraId="58BD5457" w14:textId="77777777" w:rsidR="00B0005F" w:rsidRPr="008A2411" w:rsidRDefault="00000000">
      <w:pPr>
        <w:pStyle w:val="WJ"/>
        <w:adjustRightInd w:val="0"/>
        <w:snapToGrid w:val="0"/>
        <w:spacing w:line="360" w:lineRule="auto"/>
        <w:ind w:firstLine="482"/>
        <w:outlineLvl w:val="3"/>
        <w:rPr>
          <w:rFonts w:ascii="Times New Roman" w:hAnsi="Times New Roman"/>
          <w:b/>
          <w:color w:val="000000" w:themeColor="text1"/>
          <w:lang w:bidi="en-US"/>
        </w:rPr>
      </w:pPr>
      <w:r w:rsidRPr="008A2411">
        <w:rPr>
          <w:rFonts w:ascii="Times New Roman" w:hAnsi="Times New Roman"/>
          <w:b/>
          <w:color w:val="000000" w:themeColor="text1"/>
          <w:lang w:bidi="en-US"/>
        </w:rPr>
        <w:t>5.2.8.1</w:t>
      </w:r>
      <w:r w:rsidRPr="008A2411">
        <w:rPr>
          <w:rFonts w:ascii="Times New Roman" w:hAnsi="Times New Roman"/>
          <w:b/>
          <w:color w:val="000000" w:themeColor="text1"/>
          <w:lang w:bidi="en-US"/>
        </w:rPr>
        <w:t>土壤影响类型</w:t>
      </w:r>
    </w:p>
    <w:p w14:paraId="72596BA3" w14:textId="77777777" w:rsidR="00B0005F" w:rsidRPr="008A2411" w:rsidRDefault="00000000">
      <w:pPr>
        <w:adjustRightInd w:val="0"/>
        <w:snapToGrid w:val="0"/>
        <w:spacing w:line="360" w:lineRule="auto"/>
        <w:ind w:firstLine="480"/>
        <w:rPr>
          <w:rFonts w:ascii="Times New Roman"/>
          <w:color w:val="000000" w:themeColor="text1"/>
        </w:rPr>
      </w:pPr>
      <w:r w:rsidRPr="008A2411">
        <w:rPr>
          <w:rFonts w:ascii="Times New Roman"/>
          <w:color w:val="000000" w:themeColor="text1"/>
        </w:rPr>
        <w:lastRenderedPageBreak/>
        <w:t>土壤环境污染是指人类活动所产生的物质（污染物），通过各种途径进入土壤，其数量和速度超过了土壤的容纳能力和净化速度的现象。土壤污染可使土壤的性质、组成及性状等发生变化，使污染物质的积累过程逐渐占据优势，破坏土壤的自然动态平衡，从而导致土壤自然正常功能失调，土壤质量恶化，影响作物的生长发育，以致造成产量和质量的下降，并可通过食物链危害生物和人类健康。污染物可以通过多种途径进入土壤，主要类型有大气沉降、地面漫流、固体废物污染型三种类型。</w:t>
      </w:r>
    </w:p>
    <w:p w14:paraId="6B834AD7" w14:textId="77777777" w:rsidR="00B0005F" w:rsidRPr="008A2411" w:rsidRDefault="00000000">
      <w:pPr>
        <w:adjustRightInd w:val="0"/>
        <w:snapToGrid w:val="0"/>
        <w:spacing w:line="360" w:lineRule="auto"/>
        <w:ind w:firstLine="480"/>
        <w:rPr>
          <w:rFonts w:ascii="Times New Roman"/>
          <w:color w:val="000000" w:themeColor="text1"/>
        </w:rPr>
      </w:pPr>
      <w:r w:rsidRPr="008A2411">
        <w:rPr>
          <w:rFonts w:ascii="Times New Roman"/>
          <w:color w:val="000000" w:themeColor="text1"/>
        </w:rPr>
        <w:t>①</w:t>
      </w:r>
      <w:r w:rsidRPr="008A2411">
        <w:rPr>
          <w:rFonts w:ascii="Times New Roman"/>
          <w:color w:val="000000" w:themeColor="text1"/>
        </w:rPr>
        <w:t>大气沉降：大气沉降是土壤重金属污染的途径之一。能源、运输、冶金和建筑材料生产产生的气体和粉尘中含有大量的重金属，除汞以外，其他重金属基本上是以气溶胶的形态进入大气，经过干湿沉降进入土壤。它们降落到地表可引起土壤土质发生变化，破坏土壤肥力与生态系统的平衡。</w:t>
      </w:r>
      <w:r w:rsidRPr="008A2411">
        <w:rPr>
          <w:rFonts w:ascii="Times New Roman"/>
          <w:color w:val="000000" w:themeColor="text1"/>
        </w:rPr>
        <w:t>②</w:t>
      </w:r>
      <w:r w:rsidRPr="008A2411">
        <w:rPr>
          <w:rFonts w:ascii="Times New Roman"/>
          <w:color w:val="000000" w:themeColor="text1"/>
        </w:rPr>
        <w:t>地面漫流：废水事故状态下不能循环利用直接排入外环境，或发生泄漏致使土壤受到无机盐、有机物和病原体的污染。</w:t>
      </w:r>
      <w:r w:rsidRPr="008A2411">
        <w:rPr>
          <w:rFonts w:ascii="Times New Roman"/>
          <w:color w:val="000000" w:themeColor="text1"/>
        </w:rPr>
        <w:t>③</w:t>
      </w:r>
      <w:r w:rsidRPr="008A2411">
        <w:rPr>
          <w:rFonts w:ascii="Times New Roman"/>
          <w:color w:val="000000" w:themeColor="text1"/>
        </w:rPr>
        <w:t>固体废物污染型：固体废物等在堆放、运输过程中通过扩散、降水淋洗等直接或间接的影响土壤。</w:t>
      </w:r>
    </w:p>
    <w:p w14:paraId="26DB1969" w14:textId="77777777" w:rsidR="00B0005F" w:rsidRPr="008A2411" w:rsidRDefault="00000000">
      <w:pPr>
        <w:pStyle w:val="WJ"/>
        <w:adjustRightInd w:val="0"/>
        <w:spacing w:line="360" w:lineRule="auto"/>
        <w:ind w:firstLine="482"/>
        <w:outlineLvl w:val="3"/>
        <w:rPr>
          <w:rFonts w:ascii="Times New Roman" w:hAnsi="Times New Roman"/>
          <w:b/>
          <w:color w:val="000000" w:themeColor="text1"/>
          <w:lang w:bidi="en-US"/>
        </w:rPr>
      </w:pPr>
      <w:r w:rsidRPr="008A2411">
        <w:rPr>
          <w:rFonts w:ascii="Times New Roman" w:hAnsi="Times New Roman"/>
          <w:b/>
          <w:color w:val="000000" w:themeColor="text1"/>
          <w:lang w:bidi="en-US"/>
        </w:rPr>
        <w:t>5.2.8.2</w:t>
      </w:r>
      <w:r w:rsidRPr="008A2411">
        <w:rPr>
          <w:rFonts w:ascii="Times New Roman" w:hAnsi="Times New Roman"/>
          <w:b/>
          <w:color w:val="000000" w:themeColor="text1"/>
          <w:lang w:bidi="en-US"/>
        </w:rPr>
        <w:t>环境影响类型、途径及影响因子识别</w:t>
      </w:r>
    </w:p>
    <w:p w14:paraId="3E6A9C00" w14:textId="77777777" w:rsidR="00B0005F" w:rsidRPr="008A2411" w:rsidRDefault="00000000">
      <w:pPr>
        <w:adjustRightInd w:val="0"/>
        <w:spacing w:line="360" w:lineRule="auto"/>
        <w:ind w:firstLineChars="200" w:firstLine="480"/>
        <w:rPr>
          <w:rFonts w:ascii="Times New Roman"/>
          <w:bCs/>
          <w:color w:val="000000" w:themeColor="text1"/>
        </w:rPr>
      </w:pPr>
      <w:r w:rsidRPr="008A2411">
        <w:rPr>
          <w:rFonts w:ascii="Times New Roman"/>
          <w:bCs/>
          <w:color w:val="000000" w:themeColor="text1"/>
        </w:rPr>
        <w:t>本项目对土壤环境的影响途径及因子识别分别见下表。</w:t>
      </w:r>
    </w:p>
    <w:p w14:paraId="1AEF7116" w14:textId="77777777" w:rsidR="00B0005F" w:rsidRPr="008A2411" w:rsidRDefault="00000000">
      <w:pPr>
        <w:jc w:val="center"/>
        <w:rPr>
          <w:rFonts w:ascii="Times New Roman" w:eastAsia="黑体"/>
          <w:color w:val="000000" w:themeColor="text1"/>
        </w:rPr>
      </w:pPr>
      <w:bookmarkStart w:id="496" w:name="_Ref24479548"/>
      <w:r w:rsidRPr="008A2411">
        <w:rPr>
          <w:rFonts w:ascii="Times New Roman" w:eastAsia="黑体"/>
          <w:color w:val="000000" w:themeColor="text1"/>
        </w:rPr>
        <w:t>表</w:t>
      </w:r>
      <w:r w:rsidRPr="008A2411">
        <w:rPr>
          <w:rFonts w:ascii="Times New Roman" w:eastAsia="黑体"/>
          <w:color w:val="000000" w:themeColor="text1"/>
        </w:rPr>
        <w:t xml:space="preserve">5.2-45  </w:t>
      </w:r>
      <w:r w:rsidRPr="008A2411">
        <w:rPr>
          <w:rFonts w:ascii="Times New Roman" w:eastAsia="黑体"/>
          <w:color w:val="000000" w:themeColor="text1"/>
        </w:rPr>
        <w:t>项目土壤环境影响途径表</w:t>
      </w:r>
      <w:bookmarkEnd w:id="496"/>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8"/>
        <w:gridCol w:w="2131"/>
        <w:gridCol w:w="2132"/>
        <w:gridCol w:w="2131"/>
      </w:tblGrid>
      <w:tr w:rsidR="008A2411" w:rsidRPr="008A2411" w14:paraId="500D08A2" w14:textId="77777777">
        <w:trPr>
          <w:trHeight w:val="290"/>
          <w:jc w:val="center"/>
        </w:trPr>
        <w:tc>
          <w:tcPr>
            <w:tcW w:w="1249" w:type="pct"/>
            <w:vMerge w:val="restart"/>
            <w:shd w:val="clear" w:color="auto" w:fill="auto"/>
            <w:vAlign w:val="center"/>
          </w:tcPr>
          <w:p w14:paraId="6ED21E99" w14:textId="77777777" w:rsidR="00B0005F" w:rsidRPr="008A2411" w:rsidRDefault="00000000">
            <w:pPr>
              <w:jc w:val="center"/>
              <w:rPr>
                <w:rFonts w:ascii="Times New Roman" w:eastAsiaTheme="minorEastAsia"/>
                <w:b/>
                <w:color w:val="000000" w:themeColor="text1"/>
                <w:sz w:val="21"/>
                <w:szCs w:val="21"/>
              </w:rPr>
            </w:pPr>
            <w:r w:rsidRPr="008A2411">
              <w:rPr>
                <w:rFonts w:ascii="Times New Roman" w:eastAsiaTheme="minorEastAsia"/>
                <w:b/>
                <w:color w:val="000000" w:themeColor="text1"/>
                <w:sz w:val="21"/>
                <w:szCs w:val="21"/>
              </w:rPr>
              <w:t>不同时段</w:t>
            </w:r>
          </w:p>
        </w:tc>
        <w:tc>
          <w:tcPr>
            <w:tcW w:w="3751" w:type="pct"/>
            <w:gridSpan w:val="3"/>
            <w:shd w:val="clear" w:color="auto" w:fill="auto"/>
            <w:vAlign w:val="center"/>
          </w:tcPr>
          <w:p w14:paraId="0DECC9F9" w14:textId="77777777" w:rsidR="00B0005F" w:rsidRPr="008A2411" w:rsidRDefault="00000000">
            <w:pPr>
              <w:jc w:val="center"/>
              <w:rPr>
                <w:rFonts w:ascii="Times New Roman" w:eastAsiaTheme="minorEastAsia"/>
                <w:b/>
                <w:color w:val="000000" w:themeColor="text1"/>
                <w:sz w:val="21"/>
                <w:szCs w:val="21"/>
              </w:rPr>
            </w:pPr>
            <w:r w:rsidRPr="008A2411">
              <w:rPr>
                <w:rFonts w:ascii="Times New Roman" w:eastAsiaTheme="minorEastAsia"/>
                <w:b/>
                <w:color w:val="000000" w:themeColor="text1"/>
                <w:sz w:val="21"/>
                <w:szCs w:val="21"/>
              </w:rPr>
              <w:t>影响途径</w:t>
            </w:r>
          </w:p>
        </w:tc>
      </w:tr>
      <w:tr w:rsidR="008A2411" w:rsidRPr="008A2411" w14:paraId="2BD5B2A4" w14:textId="77777777">
        <w:trPr>
          <w:trHeight w:val="290"/>
          <w:jc w:val="center"/>
        </w:trPr>
        <w:tc>
          <w:tcPr>
            <w:tcW w:w="1249" w:type="pct"/>
            <w:vMerge/>
            <w:shd w:val="clear" w:color="auto" w:fill="auto"/>
            <w:vAlign w:val="center"/>
          </w:tcPr>
          <w:p w14:paraId="1F110B04" w14:textId="77777777" w:rsidR="00B0005F" w:rsidRPr="008A2411" w:rsidRDefault="00B0005F">
            <w:pPr>
              <w:jc w:val="center"/>
              <w:rPr>
                <w:rFonts w:ascii="Times New Roman" w:eastAsiaTheme="minorEastAsia"/>
                <w:b/>
                <w:color w:val="000000" w:themeColor="text1"/>
                <w:sz w:val="21"/>
                <w:szCs w:val="21"/>
              </w:rPr>
            </w:pPr>
          </w:p>
        </w:tc>
        <w:tc>
          <w:tcPr>
            <w:tcW w:w="1250" w:type="pct"/>
            <w:shd w:val="clear" w:color="auto" w:fill="auto"/>
            <w:vAlign w:val="center"/>
          </w:tcPr>
          <w:p w14:paraId="6BE05BF6" w14:textId="77777777" w:rsidR="00B0005F" w:rsidRPr="008A2411" w:rsidRDefault="00000000">
            <w:pPr>
              <w:jc w:val="center"/>
              <w:rPr>
                <w:rFonts w:ascii="Times New Roman" w:eastAsiaTheme="minorEastAsia"/>
                <w:b/>
                <w:color w:val="000000" w:themeColor="text1"/>
                <w:sz w:val="21"/>
                <w:szCs w:val="21"/>
              </w:rPr>
            </w:pPr>
            <w:r w:rsidRPr="008A2411">
              <w:rPr>
                <w:rFonts w:ascii="Times New Roman" w:eastAsiaTheme="minorEastAsia"/>
                <w:b/>
                <w:color w:val="000000" w:themeColor="text1"/>
                <w:sz w:val="21"/>
                <w:szCs w:val="21"/>
              </w:rPr>
              <w:t>大气沉降</w:t>
            </w:r>
          </w:p>
        </w:tc>
        <w:tc>
          <w:tcPr>
            <w:tcW w:w="1251" w:type="pct"/>
            <w:shd w:val="clear" w:color="auto" w:fill="auto"/>
            <w:vAlign w:val="center"/>
          </w:tcPr>
          <w:p w14:paraId="1934DF76" w14:textId="77777777" w:rsidR="00B0005F" w:rsidRPr="008A2411" w:rsidRDefault="00000000">
            <w:pPr>
              <w:jc w:val="center"/>
              <w:rPr>
                <w:rFonts w:ascii="Times New Roman" w:eastAsiaTheme="minorEastAsia"/>
                <w:b/>
                <w:color w:val="000000" w:themeColor="text1"/>
                <w:sz w:val="21"/>
                <w:szCs w:val="21"/>
              </w:rPr>
            </w:pPr>
            <w:r w:rsidRPr="008A2411">
              <w:rPr>
                <w:rFonts w:ascii="Times New Roman" w:eastAsiaTheme="minorEastAsia"/>
                <w:b/>
                <w:color w:val="000000" w:themeColor="text1"/>
                <w:sz w:val="21"/>
                <w:szCs w:val="21"/>
              </w:rPr>
              <w:t>地面漫流</w:t>
            </w:r>
          </w:p>
        </w:tc>
        <w:tc>
          <w:tcPr>
            <w:tcW w:w="1250" w:type="pct"/>
            <w:shd w:val="clear" w:color="auto" w:fill="auto"/>
            <w:vAlign w:val="center"/>
          </w:tcPr>
          <w:p w14:paraId="1C6D6558" w14:textId="77777777" w:rsidR="00B0005F" w:rsidRPr="008A2411" w:rsidRDefault="00000000">
            <w:pPr>
              <w:jc w:val="center"/>
              <w:rPr>
                <w:rFonts w:ascii="Times New Roman" w:eastAsiaTheme="minorEastAsia"/>
                <w:b/>
                <w:color w:val="000000" w:themeColor="text1"/>
                <w:sz w:val="21"/>
                <w:szCs w:val="21"/>
              </w:rPr>
            </w:pPr>
            <w:r w:rsidRPr="008A2411">
              <w:rPr>
                <w:rFonts w:ascii="Times New Roman" w:eastAsiaTheme="minorEastAsia"/>
                <w:b/>
                <w:color w:val="000000" w:themeColor="text1"/>
                <w:sz w:val="21"/>
                <w:szCs w:val="21"/>
              </w:rPr>
              <w:t>垂直入渗</w:t>
            </w:r>
          </w:p>
        </w:tc>
      </w:tr>
      <w:tr w:rsidR="008A2411" w:rsidRPr="008A2411" w14:paraId="1B9184EB" w14:textId="77777777">
        <w:trPr>
          <w:trHeight w:val="290"/>
          <w:jc w:val="center"/>
        </w:trPr>
        <w:tc>
          <w:tcPr>
            <w:tcW w:w="1249" w:type="pct"/>
            <w:shd w:val="clear" w:color="auto" w:fill="auto"/>
            <w:vAlign w:val="center"/>
          </w:tcPr>
          <w:p w14:paraId="403316F8" w14:textId="77777777" w:rsidR="00B0005F" w:rsidRPr="008A2411" w:rsidRDefault="00000000">
            <w:pPr>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建设期</w:t>
            </w:r>
          </w:p>
        </w:tc>
        <w:tc>
          <w:tcPr>
            <w:tcW w:w="1250" w:type="pct"/>
            <w:shd w:val="clear" w:color="auto" w:fill="auto"/>
            <w:vAlign w:val="center"/>
          </w:tcPr>
          <w:p w14:paraId="0304F653" w14:textId="77777777" w:rsidR="00B0005F" w:rsidRPr="008A2411" w:rsidRDefault="00000000">
            <w:pPr>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无</w:t>
            </w:r>
          </w:p>
        </w:tc>
        <w:tc>
          <w:tcPr>
            <w:tcW w:w="1251" w:type="pct"/>
            <w:shd w:val="clear" w:color="auto" w:fill="auto"/>
            <w:vAlign w:val="center"/>
          </w:tcPr>
          <w:p w14:paraId="706A738A" w14:textId="77777777" w:rsidR="00B0005F" w:rsidRPr="008A2411" w:rsidRDefault="00000000">
            <w:pPr>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无</w:t>
            </w:r>
          </w:p>
        </w:tc>
        <w:tc>
          <w:tcPr>
            <w:tcW w:w="1250" w:type="pct"/>
            <w:shd w:val="clear" w:color="auto" w:fill="auto"/>
            <w:vAlign w:val="center"/>
          </w:tcPr>
          <w:p w14:paraId="3EDF677A" w14:textId="77777777" w:rsidR="00B0005F" w:rsidRPr="008A2411" w:rsidRDefault="00000000">
            <w:pPr>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无</w:t>
            </w:r>
          </w:p>
        </w:tc>
      </w:tr>
      <w:tr w:rsidR="008A2411" w:rsidRPr="008A2411" w14:paraId="05B30055" w14:textId="77777777">
        <w:trPr>
          <w:trHeight w:val="290"/>
          <w:jc w:val="center"/>
        </w:trPr>
        <w:tc>
          <w:tcPr>
            <w:tcW w:w="1249" w:type="pct"/>
            <w:shd w:val="clear" w:color="auto" w:fill="auto"/>
            <w:vAlign w:val="center"/>
          </w:tcPr>
          <w:p w14:paraId="38A4FDCB" w14:textId="77777777" w:rsidR="00B0005F" w:rsidRPr="008A2411" w:rsidRDefault="00000000">
            <w:pPr>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运营期</w:t>
            </w:r>
          </w:p>
        </w:tc>
        <w:tc>
          <w:tcPr>
            <w:tcW w:w="1250" w:type="pct"/>
            <w:shd w:val="clear" w:color="auto" w:fill="auto"/>
            <w:vAlign w:val="center"/>
          </w:tcPr>
          <w:p w14:paraId="2CA92718" w14:textId="77777777" w:rsidR="00B0005F" w:rsidRPr="008A2411" w:rsidRDefault="00000000">
            <w:pPr>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w:t>
            </w:r>
          </w:p>
        </w:tc>
        <w:tc>
          <w:tcPr>
            <w:tcW w:w="1251" w:type="pct"/>
            <w:shd w:val="clear" w:color="auto" w:fill="auto"/>
            <w:vAlign w:val="center"/>
          </w:tcPr>
          <w:p w14:paraId="704D8F18" w14:textId="77777777" w:rsidR="00B0005F" w:rsidRPr="008A2411" w:rsidRDefault="00000000">
            <w:pPr>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w:t>
            </w:r>
          </w:p>
        </w:tc>
        <w:tc>
          <w:tcPr>
            <w:tcW w:w="1250" w:type="pct"/>
            <w:shd w:val="clear" w:color="auto" w:fill="auto"/>
            <w:vAlign w:val="center"/>
          </w:tcPr>
          <w:p w14:paraId="6A778194" w14:textId="77777777" w:rsidR="00B0005F" w:rsidRPr="008A2411" w:rsidRDefault="00000000">
            <w:pPr>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w:t>
            </w:r>
          </w:p>
        </w:tc>
      </w:tr>
    </w:tbl>
    <w:p w14:paraId="3F207021" w14:textId="77777777" w:rsidR="00B0005F" w:rsidRPr="008A2411" w:rsidRDefault="00000000">
      <w:pPr>
        <w:jc w:val="center"/>
        <w:rPr>
          <w:rFonts w:ascii="Times New Roman" w:eastAsia="黑体"/>
          <w:color w:val="000000" w:themeColor="text1"/>
        </w:rPr>
      </w:pPr>
      <w:bookmarkStart w:id="497" w:name="_Ref25521464"/>
      <w:r w:rsidRPr="008A2411">
        <w:rPr>
          <w:rFonts w:ascii="Times New Roman" w:eastAsia="黑体"/>
          <w:color w:val="000000" w:themeColor="text1"/>
        </w:rPr>
        <w:t>表</w:t>
      </w:r>
      <w:r w:rsidRPr="008A2411">
        <w:rPr>
          <w:rFonts w:ascii="Times New Roman" w:eastAsia="黑体"/>
          <w:color w:val="000000" w:themeColor="text1"/>
        </w:rPr>
        <w:t xml:space="preserve">5.2-46  </w:t>
      </w:r>
      <w:r w:rsidRPr="008A2411">
        <w:rPr>
          <w:rFonts w:ascii="Times New Roman" w:eastAsia="黑体"/>
          <w:color w:val="000000" w:themeColor="text1"/>
        </w:rPr>
        <w:t>项目土壤环境影响源及影响因子识别表</w:t>
      </w:r>
      <w:bookmarkEnd w:id="497"/>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59"/>
        <w:gridCol w:w="1162"/>
        <w:gridCol w:w="779"/>
        <w:gridCol w:w="2335"/>
        <w:gridCol w:w="2618"/>
        <w:gridCol w:w="469"/>
      </w:tblGrid>
      <w:tr w:rsidR="008A2411" w:rsidRPr="008A2411" w14:paraId="69967319" w14:textId="77777777">
        <w:trPr>
          <w:trHeight w:val="339"/>
          <w:jc w:val="center"/>
        </w:trPr>
        <w:tc>
          <w:tcPr>
            <w:tcW w:w="680" w:type="pct"/>
            <w:shd w:val="clear" w:color="auto" w:fill="auto"/>
            <w:vAlign w:val="center"/>
          </w:tcPr>
          <w:p w14:paraId="5A7A851E" w14:textId="77777777" w:rsidR="00B0005F" w:rsidRPr="008A2411" w:rsidRDefault="00000000">
            <w:pPr>
              <w:jc w:val="center"/>
              <w:rPr>
                <w:rFonts w:ascii="Times New Roman" w:eastAsiaTheme="minorEastAsia"/>
                <w:b/>
                <w:color w:val="000000" w:themeColor="text1"/>
                <w:sz w:val="21"/>
                <w:szCs w:val="21"/>
              </w:rPr>
            </w:pPr>
            <w:r w:rsidRPr="008A2411">
              <w:rPr>
                <w:rFonts w:ascii="Times New Roman" w:eastAsiaTheme="minorEastAsia"/>
                <w:b/>
                <w:color w:val="000000" w:themeColor="text1"/>
                <w:sz w:val="21"/>
                <w:szCs w:val="21"/>
              </w:rPr>
              <w:t>污染源</w:t>
            </w:r>
          </w:p>
        </w:tc>
        <w:tc>
          <w:tcPr>
            <w:tcW w:w="682" w:type="pct"/>
            <w:shd w:val="clear" w:color="auto" w:fill="auto"/>
            <w:vAlign w:val="center"/>
          </w:tcPr>
          <w:p w14:paraId="2951B5A7" w14:textId="77777777" w:rsidR="00B0005F" w:rsidRPr="008A2411" w:rsidRDefault="00000000">
            <w:pPr>
              <w:jc w:val="center"/>
              <w:rPr>
                <w:rFonts w:ascii="Times New Roman" w:eastAsiaTheme="minorEastAsia"/>
                <w:b/>
                <w:color w:val="000000" w:themeColor="text1"/>
                <w:sz w:val="21"/>
                <w:szCs w:val="21"/>
              </w:rPr>
            </w:pPr>
            <w:r w:rsidRPr="008A2411">
              <w:rPr>
                <w:rFonts w:ascii="Times New Roman" w:eastAsiaTheme="minorEastAsia"/>
                <w:b/>
                <w:color w:val="000000" w:themeColor="text1"/>
                <w:sz w:val="21"/>
                <w:szCs w:val="21"/>
              </w:rPr>
              <w:t>工艺流程</w:t>
            </w:r>
            <w:r w:rsidRPr="008A2411">
              <w:rPr>
                <w:rFonts w:ascii="Times New Roman" w:eastAsiaTheme="minorEastAsia"/>
                <w:b/>
                <w:color w:val="000000" w:themeColor="text1"/>
                <w:sz w:val="21"/>
                <w:szCs w:val="21"/>
              </w:rPr>
              <w:t>/</w:t>
            </w:r>
            <w:r w:rsidRPr="008A2411">
              <w:rPr>
                <w:rFonts w:ascii="Times New Roman" w:eastAsiaTheme="minorEastAsia"/>
                <w:b/>
                <w:color w:val="000000" w:themeColor="text1"/>
                <w:sz w:val="21"/>
                <w:szCs w:val="21"/>
              </w:rPr>
              <w:t>节点</w:t>
            </w:r>
          </w:p>
        </w:tc>
        <w:tc>
          <w:tcPr>
            <w:tcW w:w="457" w:type="pct"/>
            <w:shd w:val="clear" w:color="auto" w:fill="auto"/>
            <w:vAlign w:val="center"/>
          </w:tcPr>
          <w:p w14:paraId="3EB294C5" w14:textId="77777777" w:rsidR="00B0005F" w:rsidRPr="008A2411" w:rsidRDefault="00000000">
            <w:pPr>
              <w:jc w:val="center"/>
              <w:rPr>
                <w:rFonts w:ascii="Times New Roman" w:eastAsiaTheme="minorEastAsia"/>
                <w:b/>
                <w:color w:val="000000" w:themeColor="text1"/>
                <w:sz w:val="21"/>
                <w:szCs w:val="21"/>
              </w:rPr>
            </w:pPr>
            <w:r w:rsidRPr="008A2411">
              <w:rPr>
                <w:rFonts w:ascii="Times New Roman" w:eastAsiaTheme="minorEastAsia"/>
                <w:b/>
                <w:color w:val="000000" w:themeColor="text1"/>
                <w:sz w:val="21"/>
                <w:szCs w:val="21"/>
              </w:rPr>
              <w:t>污染途径</w:t>
            </w:r>
          </w:p>
        </w:tc>
        <w:tc>
          <w:tcPr>
            <w:tcW w:w="1369" w:type="pct"/>
            <w:shd w:val="clear" w:color="auto" w:fill="auto"/>
            <w:vAlign w:val="center"/>
          </w:tcPr>
          <w:p w14:paraId="64021FE2" w14:textId="77777777" w:rsidR="00B0005F" w:rsidRPr="008A2411" w:rsidRDefault="00000000">
            <w:pPr>
              <w:jc w:val="center"/>
              <w:rPr>
                <w:rFonts w:ascii="Times New Roman" w:eastAsiaTheme="minorEastAsia"/>
                <w:b/>
                <w:color w:val="000000" w:themeColor="text1"/>
                <w:sz w:val="21"/>
                <w:szCs w:val="21"/>
              </w:rPr>
            </w:pPr>
            <w:r w:rsidRPr="008A2411">
              <w:rPr>
                <w:rFonts w:ascii="Times New Roman" w:eastAsiaTheme="minorEastAsia"/>
                <w:b/>
                <w:color w:val="000000" w:themeColor="text1"/>
                <w:sz w:val="21"/>
                <w:szCs w:val="21"/>
              </w:rPr>
              <w:t>全部污染物指标</w:t>
            </w:r>
          </w:p>
        </w:tc>
        <w:tc>
          <w:tcPr>
            <w:tcW w:w="1535" w:type="pct"/>
            <w:shd w:val="clear" w:color="auto" w:fill="auto"/>
            <w:vAlign w:val="center"/>
          </w:tcPr>
          <w:p w14:paraId="408E0488" w14:textId="77777777" w:rsidR="00B0005F" w:rsidRPr="008A2411" w:rsidRDefault="00000000">
            <w:pPr>
              <w:jc w:val="center"/>
              <w:rPr>
                <w:rFonts w:ascii="Times New Roman" w:eastAsiaTheme="minorEastAsia"/>
                <w:b/>
                <w:color w:val="000000" w:themeColor="text1"/>
                <w:sz w:val="21"/>
                <w:szCs w:val="21"/>
              </w:rPr>
            </w:pPr>
            <w:r w:rsidRPr="008A2411">
              <w:rPr>
                <w:rFonts w:ascii="Times New Roman" w:eastAsiaTheme="minorEastAsia"/>
                <w:b/>
                <w:color w:val="000000" w:themeColor="text1"/>
                <w:sz w:val="21"/>
                <w:szCs w:val="21"/>
              </w:rPr>
              <w:t>特征因子</w:t>
            </w:r>
          </w:p>
        </w:tc>
        <w:tc>
          <w:tcPr>
            <w:tcW w:w="275" w:type="pct"/>
            <w:shd w:val="clear" w:color="auto" w:fill="auto"/>
            <w:vAlign w:val="center"/>
          </w:tcPr>
          <w:p w14:paraId="2350B0AC" w14:textId="77777777" w:rsidR="00B0005F" w:rsidRPr="008A2411" w:rsidRDefault="00000000">
            <w:pPr>
              <w:jc w:val="center"/>
              <w:rPr>
                <w:rFonts w:ascii="Times New Roman" w:eastAsiaTheme="minorEastAsia"/>
                <w:b/>
                <w:color w:val="000000" w:themeColor="text1"/>
                <w:sz w:val="21"/>
                <w:szCs w:val="21"/>
              </w:rPr>
            </w:pPr>
            <w:r w:rsidRPr="008A2411">
              <w:rPr>
                <w:rFonts w:ascii="Times New Roman" w:eastAsiaTheme="minorEastAsia"/>
                <w:b/>
                <w:color w:val="000000" w:themeColor="text1"/>
                <w:sz w:val="21"/>
                <w:szCs w:val="21"/>
              </w:rPr>
              <w:t>备注</w:t>
            </w:r>
          </w:p>
        </w:tc>
      </w:tr>
      <w:tr w:rsidR="008A2411" w:rsidRPr="008A2411" w14:paraId="7BD67B9E" w14:textId="77777777">
        <w:trPr>
          <w:trHeight w:val="961"/>
          <w:jc w:val="center"/>
        </w:trPr>
        <w:tc>
          <w:tcPr>
            <w:tcW w:w="680" w:type="pct"/>
            <w:shd w:val="clear" w:color="auto" w:fill="auto"/>
            <w:vAlign w:val="center"/>
          </w:tcPr>
          <w:p w14:paraId="4BCA8443" w14:textId="77777777" w:rsidR="00B0005F" w:rsidRPr="008A2411" w:rsidRDefault="00000000">
            <w:pPr>
              <w:jc w:val="center"/>
              <w:rPr>
                <w:rFonts w:ascii="Times New Roman" w:eastAsiaTheme="minorEastAsia"/>
                <w:b/>
                <w:color w:val="000000" w:themeColor="text1"/>
                <w:sz w:val="21"/>
                <w:szCs w:val="21"/>
              </w:rPr>
            </w:pPr>
            <w:r w:rsidRPr="008A2411">
              <w:rPr>
                <w:rFonts w:ascii="Times New Roman" w:eastAsiaTheme="minorEastAsia"/>
                <w:bCs/>
                <w:color w:val="000000" w:themeColor="text1"/>
                <w:sz w:val="21"/>
                <w:szCs w:val="21"/>
              </w:rPr>
              <w:t>天然气净化、液化生产区</w:t>
            </w:r>
          </w:p>
        </w:tc>
        <w:tc>
          <w:tcPr>
            <w:tcW w:w="682" w:type="pct"/>
            <w:shd w:val="clear" w:color="auto" w:fill="auto"/>
            <w:vAlign w:val="center"/>
          </w:tcPr>
          <w:p w14:paraId="3340D3AF" w14:textId="77777777" w:rsidR="00B0005F" w:rsidRPr="008A2411" w:rsidRDefault="00000000">
            <w:pPr>
              <w:jc w:val="center"/>
              <w:rPr>
                <w:rFonts w:ascii="Times New Roman" w:eastAsiaTheme="minorEastAsia"/>
                <w:b/>
                <w:color w:val="000000" w:themeColor="text1"/>
                <w:sz w:val="21"/>
                <w:szCs w:val="21"/>
              </w:rPr>
            </w:pPr>
            <w:r w:rsidRPr="008A2411">
              <w:rPr>
                <w:rFonts w:ascii="Times New Roman" w:eastAsiaTheme="minorEastAsia"/>
                <w:bCs/>
                <w:color w:val="000000" w:themeColor="text1"/>
                <w:sz w:val="21"/>
                <w:szCs w:val="21"/>
              </w:rPr>
              <w:t>天然气净化、液化生产</w:t>
            </w:r>
          </w:p>
        </w:tc>
        <w:tc>
          <w:tcPr>
            <w:tcW w:w="457" w:type="pct"/>
            <w:shd w:val="clear" w:color="auto" w:fill="auto"/>
            <w:vAlign w:val="center"/>
          </w:tcPr>
          <w:p w14:paraId="5905B624" w14:textId="77777777" w:rsidR="00B0005F" w:rsidRPr="008A2411" w:rsidRDefault="00000000">
            <w:pPr>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垂直入渗</w:t>
            </w:r>
          </w:p>
          <w:p w14:paraId="4B296D8D" w14:textId="77777777" w:rsidR="00B0005F" w:rsidRPr="008A2411" w:rsidRDefault="00000000">
            <w:pPr>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地面漫流</w:t>
            </w:r>
          </w:p>
        </w:tc>
        <w:tc>
          <w:tcPr>
            <w:tcW w:w="1369" w:type="pct"/>
            <w:shd w:val="clear" w:color="auto" w:fill="auto"/>
            <w:vAlign w:val="center"/>
          </w:tcPr>
          <w:p w14:paraId="0F5C9856"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color w:val="000000" w:themeColor="text1"/>
                <w:sz w:val="21"/>
                <w:szCs w:val="21"/>
                <w:lang w:bidi="en-US"/>
              </w:rPr>
              <w:t>石油类、丙烷、乙烯、异戊烷、</w:t>
            </w:r>
            <w:r w:rsidRPr="008A2411">
              <w:rPr>
                <w:rFonts w:ascii="Times New Roman" w:eastAsiaTheme="minorEastAsia"/>
                <w:color w:val="000000" w:themeColor="text1"/>
                <w:sz w:val="21"/>
                <w:szCs w:val="21"/>
                <w:lang w:bidi="en-US"/>
              </w:rPr>
              <w:t>EMDA</w:t>
            </w:r>
          </w:p>
        </w:tc>
        <w:tc>
          <w:tcPr>
            <w:tcW w:w="1535" w:type="pct"/>
            <w:shd w:val="clear" w:color="auto" w:fill="auto"/>
            <w:vAlign w:val="center"/>
          </w:tcPr>
          <w:p w14:paraId="6E4CD41C" w14:textId="77777777" w:rsidR="00B0005F" w:rsidRPr="008A2411" w:rsidRDefault="00000000">
            <w:pPr>
              <w:jc w:val="center"/>
              <w:rPr>
                <w:rFonts w:ascii="Times New Roman" w:eastAsiaTheme="minorEastAsia"/>
                <w:b/>
                <w:color w:val="000000" w:themeColor="text1"/>
                <w:sz w:val="21"/>
                <w:szCs w:val="21"/>
              </w:rPr>
            </w:pPr>
            <w:r w:rsidRPr="008A2411">
              <w:rPr>
                <w:rFonts w:ascii="Times New Roman" w:eastAsiaTheme="minorEastAsia"/>
                <w:color w:val="000000" w:themeColor="text1"/>
                <w:sz w:val="21"/>
                <w:szCs w:val="21"/>
                <w:lang w:bidi="en-US"/>
              </w:rPr>
              <w:t>石油类、丙烷、乙烯、异戊烷、</w:t>
            </w:r>
            <w:r w:rsidRPr="008A2411">
              <w:rPr>
                <w:rFonts w:ascii="Times New Roman" w:eastAsiaTheme="minorEastAsia"/>
                <w:color w:val="000000" w:themeColor="text1"/>
                <w:sz w:val="21"/>
                <w:szCs w:val="21"/>
                <w:lang w:bidi="en-US"/>
              </w:rPr>
              <w:t>EMDA</w:t>
            </w:r>
          </w:p>
        </w:tc>
        <w:tc>
          <w:tcPr>
            <w:tcW w:w="275" w:type="pct"/>
            <w:shd w:val="clear" w:color="auto" w:fill="auto"/>
            <w:vAlign w:val="center"/>
          </w:tcPr>
          <w:p w14:paraId="14723135" w14:textId="77777777" w:rsidR="00B0005F" w:rsidRPr="008A2411" w:rsidRDefault="00000000">
            <w:pPr>
              <w:jc w:val="center"/>
              <w:rPr>
                <w:rFonts w:ascii="Times New Roman" w:eastAsiaTheme="minorEastAsia"/>
                <w:b/>
                <w:color w:val="000000" w:themeColor="text1"/>
                <w:sz w:val="21"/>
                <w:szCs w:val="21"/>
              </w:rPr>
            </w:pPr>
            <w:r w:rsidRPr="008A2411">
              <w:rPr>
                <w:rFonts w:ascii="Times New Roman" w:eastAsiaTheme="minorEastAsia"/>
                <w:color w:val="000000" w:themeColor="text1"/>
                <w:sz w:val="21"/>
                <w:szCs w:val="21"/>
              </w:rPr>
              <w:t>事故</w:t>
            </w:r>
          </w:p>
        </w:tc>
      </w:tr>
      <w:tr w:rsidR="008A2411" w:rsidRPr="008A2411" w14:paraId="43EFF3F7" w14:textId="77777777">
        <w:trPr>
          <w:trHeight w:val="58"/>
          <w:jc w:val="center"/>
        </w:trPr>
        <w:tc>
          <w:tcPr>
            <w:tcW w:w="680" w:type="pct"/>
            <w:shd w:val="clear" w:color="auto" w:fill="auto"/>
            <w:vAlign w:val="center"/>
          </w:tcPr>
          <w:p w14:paraId="6E515388"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废水预处理区</w:t>
            </w:r>
          </w:p>
        </w:tc>
        <w:tc>
          <w:tcPr>
            <w:tcW w:w="682" w:type="pct"/>
            <w:shd w:val="clear" w:color="auto" w:fill="auto"/>
            <w:vAlign w:val="center"/>
          </w:tcPr>
          <w:p w14:paraId="40FE816A"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废水预处理</w:t>
            </w:r>
          </w:p>
        </w:tc>
        <w:tc>
          <w:tcPr>
            <w:tcW w:w="457" w:type="pct"/>
            <w:shd w:val="clear" w:color="auto" w:fill="auto"/>
            <w:vAlign w:val="center"/>
          </w:tcPr>
          <w:p w14:paraId="7EB7A6D5" w14:textId="77777777" w:rsidR="00B0005F" w:rsidRPr="008A2411" w:rsidRDefault="00000000">
            <w:pPr>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垂直入渗</w:t>
            </w:r>
          </w:p>
          <w:p w14:paraId="668825B9" w14:textId="77777777" w:rsidR="00B0005F" w:rsidRPr="008A2411" w:rsidRDefault="00000000">
            <w:pPr>
              <w:jc w:val="center"/>
              <w:rPr>
                <w:rFonts w:ascii="Times New Roman" w:eastAsiaTheme="minorEastAsia"/>
                <w:b/>
                <w:color w:val="000000" w:themeColor="text1"/>
                <w:sz w:val="21"/>
                <w:szCs w:val="21"/>
              </w:rPr>
            </w:pPr>
            <w:r w:rsidRPr="008A2411">
              <w:rPr>
                <w:rFonts w:ascii="Times New Roman" w:eastAsiaTheme="minorEastAsia"/>
                <w:color w:val="000000" w:themeColor="text1"/>
                <w:sz w:val="21"/>
                <w:szCs w:val="21"/>
              </w:rPr>
              <w:t>地面漫流</w:t>
            </w:r>
          </w:p>
        </w:tc>
        <w:tc>
          <w:tcPr>
            <w:tcW w:w="1369" w:type="pct"/>
            <w:shd w:val="clear" w:color="auto" w:fill="auto"/>
            <w:vAlign w:val="center"/>
          </w:tcPr>
          <w:p w14:paraId="101C1D3A"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color w:val="000000" w:themeColor="text1"/>
                <w:sz w:val="21"/>
                <w:szCs w:val="21"/>
              </w:rPr>
              <w:t>COD</w:t>
            </w:r>
            <w:r w:rsidRPr="008A2411">
              <w:rPr>
                <w:rFonts w:ascii="Times New Roman" w:eastAsiaTheme="minorEastAsia"/>
                <w:color w:val="000000" w:themeColor="text1"/>
                <w:sz w:val="21"/>
                <w:szCs w:val="21"/>
              </w:rPr>
              <w:t>、氨氮、悬浮物、</w:t>
            </w:r>
            <w:r w:rsidRPr="008A2411">
              <w:rPr>
                <w:rFonts w:ascii="Times New Roman" w:eastAsiaTheme="minorEastAsia"/>
                <w:color w:val="000000" w:themeColor="text1"/>
                <w:sz w:val="21"/>
                <w:szCs w:val="21"/>
              </w:rPr>
              <w:t>Cl</w:t>
            </w:r>
            <w:r w:rsidRPr="008A2411">
              <w:rPr>
                <w:rFonts w:ascii="Times New Roman" w:eastAsiaTheme="minorEastAsia"/>
                <w:color w:val="000000" w:themeColor="text1"/>
                <w:sz w:val="21"/>
                <w:szCs w:val="21"/>
                <w:vertAlign w:val="superscript"/>
              </w:rPr>
              <w:t>-</w:t>
            </w:r>
            <w:r w:rsidRPr="008A2411">
              <w:rPr>
                <w:rFonts w:ascii="Times New Roman" w:eastAsiaTheme="minorEastAsia"/>
                <w:color w:val="000000" w:themeColor="text1"/>
                <w:sz w:val="21"/>
                <w:szCs w:val="21"/>
              </w:rPr>
              <w:t>、石油类</w:t>
            </w:r>
          </w:p>
        </w:tc>
        <w:tc>
          <w:tcPr>
            <w:tcW w:w="1535" w:type="pct"/>
            <w:shd w:val="clear" w:color="auto" w:fill="auto"/>
            <w:vAlign w:val="center"/>
          </w:tcPr>
          <w:p w14:paraId="2199E694" w14:textId="77777777" w:rsidR="00B0005F" w:rsidRPr="008A2411" w:rsidRDefault="00000000">
            <w:pPr>
              <w:jc w:val="center"/>
              <w:rPr>
                <w:rFonts w:ascii="Times New Roman" w:eastAsiaTheme="minorEastAsia"/>
                <w:color w:val="000000" w:themeColor="text1"/>
                <w:sz w:val="21"/>
                <w:szCs w:val="21"/>
                <w:lang w:bidi="en-US"/>
              </w:rPr>
            </w:pPr>
            <w:r w:rsidRPr="008A2411">
              <w:rPr>
                <w:rFonts w:ascii="Times New Roman" w:eastAsiaTheme="minorEastAsia"/>
                <w:color w:val="000000" w:themeColor="text1"/>
                <w:sz w:val="21"/>
                <w:szCs w:val="21"/>
              </w:rPr>
              <w:t>COD</w:t>
            </w:r>
            <w:r w:rsidRPr="008A2411">
              <w:rPr>
                <w:rFonts w:ascii="Times New Roman" w:eastAsiaTheme="minorEastAsia"/>
                <w:color w:val="000000" w:themeColor="text1"/>
                <w:sz w:val="21"/>
                <w:szCs w:val="21"/>
              </w:rPr>
              <w:t>、氨氮、石油类</w:t>
            </w:r>
          </w:p>
        </w:tc>
        <w:tc>
          <w:tcPr>
            <w:tcW w:w="275" w:type="pct"/>
            <w:shd w:val="clear" w:color="auto" w:fill="auto"/>
            <w:vAlign w:val="center"/>
          </w:tcPr>
          <w:p w14:paraId="282F918F"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事故</w:t>
            </w:r>
          </w:p>
        </w:tc>
      </w:tr>
      <w:tr w:rsidR="008A2411" w:rsidRPr="008A2411" w14:paraId="7E7D29D2" w14:textId="77777777">
        <w:trPr>
          <w:trHeight w:val="58"/>
          <w:jc w:val="center"/>
        </w:trPr>
        <w:tc>
          <w:tcPr>
            <w:tcW w:w="680" w:type="pct"/>
            <w:shd w:val="clear" w:color="auto" w:fill="auto"/>
            <w:vAlign w:val="center"/>
          </w:tcPr>
          <w:p w14:paraId="676F1C7A" w14:textId="77777777" w:rsidR="00B0005F" w:rsidRPr="008A2411" w:rsidRDefault="00000000">
            <w:pPr>
              <w:jc w:val="center"/>
              <w:rPr>
                <w:rFonts w:ascii="Times New Roman" w:eastAsiaTheme="minorEastAsia"/>
                <w:bCs/>
                <w:color w:val="000000" w:themeColor="text1"/>
                <w:sz w:val="21"/>
                <w:szCs w:val="21"/>
              </w:rPr>
            </w:pPr>
            <w:bookmarkStart w:id="498" w:name="_Hlk68704996"/>
            <w:proofErr w:type="gramStart"/>
            <w:r w:rsidRPr="008A2411">
              <w:rPr>
                <w:rFonts w:ascii="Times New Roman" w:eastAsiaTheme="minorEastAsia"/>
                <w:bCs/>
                <w:color w:val="000000" w:themeColor="text1"/>
                <w:sz w:val="21"/>
                <w:szCs w:val="21"/>
              </w:rPr>
              <w:t>危废暂存</w:t>
            </w:r>
            <w:proofErr w:type="gramEnd"/>
            <w:r w:rsidRPr="008A2411">
              <w:rPr>
                <w:rFonts w:ascii="Times New Roman" w:eastAsiaTheme="minorEastAsia"/>
                <w:bCs/>
                <w:color w:val="000000" w:themeColor="text1"/>
                <w:sz w:val="21"/>
                <w:szCs w:val="21"/>
              </w:rPr>
              <w:t>间</w:t>
            </w:r>
            <w:bookmarkEnd w:id="498"/>
          </w:p>
        </w:tc>
        <w:tc>
          <w:tcPr>
            <w:tcW w:w="682" w:type="pct"/>
            <w:shd w:val="clear" w:color="auto" w:fill="auto"/>
            <w:vAlign w:val="center"/>
          </w:tcPr>
          <w:p w14:paraId="2CA454AE" w14:textId="49395604" w:rsidR="00B0005F" w:rsidRPr="008A2411" w:rsidRDefault="00000000">
            <w:pPr>
              <w:jc w:val="center"/>
              <w:rPr>
                <w:rFonts w:ascii="Times New Roman" w:eastAsiaTheme="minorEastAsia"/>
                <w:bCs/>
                <w:color w:val="000000" w:themeColor="text1"/>
                <w:sz w:val="21"/>
                <w:szCs w:val="21"/>
              </w:rPr>
            </w:pPr>
            <w:proofErr w:type="gramStart"/>
            <w:r w:rsidRPr="008A2411">
              <w:rPr>
                <w:rFonts w:ascii="Times New Roman" w:eastAsiaTheme="minorEastAsia"/>
                <w:color w:val="000000" w:themeColor="text1"/>
                <w:sz w:val="21"/>
                <w:szCs w:val="21"/>
              </w:rPr>
              <w:t>危废</w:t>
            </w:r>
            <w:r w:rsidR="00AB2E38" w:rsidRPr="008A2411">
              <w:rPr>
                <w:rFonts w:ascii="Times New Roman" w:eastAsiaTheme="minorEastAsia"/>
                <w:color w:val="000000" w:themeColor="text1"/>
                <w:sz w:val="21"/>
                <w:szCs w:val="21"/>
              </w:rPr>
              <w:t>泄漏</w:t>
            </w:r>
            <w:proofErr w:type="gramEnd"/>
          </w:p>
        </w:tc>
        <w:tc>
          <w:tcPr>
            <w:tcW w:w="457" w:type="pct"/>
            <w:shd w:val="clear" w:color="auto" w:fill="auto"/>
            <w:vAlign w:val="center"/>
          </w:tcPr>
          <w:p w14:paraId="37516151" w14:textId="77777777" w:rsidR="00B0005F" w:rsidRPr="008A2411" w:rsidRDefault="00000000">
            <w:pPr>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垂直入渗</w:t>
            </w:r>
          </w:p>
        </w:tc>
        <w:tc>
          <w:tcPr>
            <w:tcW w:w="1369" w:type="pct"/>
            <w:shd w:val="clear" w:color="auto" w:fill="auto"/>
            <w:vAlign w:val="center"/>
          </w:tcPr>
          <w:p w14:paraId="480F2C8E" w14:textId="77777777" w:rsidR="00B0005F" w:rsidRPr="008A2411" w:rsidRDefault="00000000">
            <w:pPr>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石油类、汞、</w:t>
            </w:r>
            <w:r w:rsidRPr="008A2411">
              <w:rPr>
                <w:rFonts w:ascii="Times New Roman" w:eastAsiaTheme="minorEastAsia"/>
                <w:color w:val="000000" w:themeColor="text1"/>
                <w:sz w:val="21"/>
                <w:szCs w:val="21"/>
              </w:rPr>
              <w:t>pH</w:t>
            </w:r>
          </w:p>
        </w:tc>
        <w:tc>
          <w:tcPr>
            <w:tcW w:w="1535" w:type="pct"/>
            <w:shd w:val="clear" w:color="auto" w:fill="auto"/>
            <w:vAlign w:val="center"/>
          </w:tcPr>
          <w:p w14:paraId="092D0C0C" w14:textId="77777777" w:rsidR="00B0005F" w:rsidRPr="008A2411" w:rsidRDefault="00000000">
            <w:pPr>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石油类、汞、</w:t>
            </w:r>
            <w:r w:rsidRPr="008A2411">
              <w:rPr>
                <w:rFonts w:ascii="Times New Roman" w:eastAsiaTheme="minorEastAsia"/>
                <w:color w:val="000000" w:themeColor="text1"/>
                <w:sz w:val="21"/>
                <w:szCs w:val="21"/>
              </w:rPr>
              <w:t>pH</w:t>
            </w:r>
          </w:p>
        </w:tc>
        <w:tc>
          <w:tcPr>
            <w:tcW w:w="275" w:type="pct"/>
            <w:shd w:val="clear" w:color="auto" w:fill="auto"/>
            <w:vAlign w:val="center"/>
          </w:tcPr>
          <w:p w14:paraId="2033CE46"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事故</w:t>
            </w:r>
          </w:p>
        </w:tc>
      </w:tr>
      <w:tr w:rsidR="008A2411" w:rsidRPr="008A2411" w14:paraId="0DDC1C9B" w14:textId="77777777">
        <w:trPr>
          <w:trHeight w:val="58"/>
          <w:jc w:val="center"/>
        </w:trPr>
        <w:tc>
          <w:tcPr>
            <w:tcW w:w="680" w:type="pct"/>
            <w:shd w:val="clear" w:color="auto" w:fill="auto"/>
            <w:vAlign w:val="center"/>
          </w:tcPr>
          <w:p w14:paraId="22BA47B0"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导热油炉、脱硫塔、火炬系统等</w:t>
            </w:r>
          </w:p>
        </w:tc>
        <w:tc>
          <w:tcPr>
            <w:tcW w:w="682" w:type="pct"/>
            <w:shd w:val="clear" w:color="auto" w:fill="auto"/>
            <w:vAlign w:val="center"/>
          </w:tcPr>
          <w:p w14:paraId="5F5D0214" w14:textId="77777777" w:rsidR="00B0005F" w:rsidRPr="008A2411" w:rsidRDefault="00000000">
            <w:pPr>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废气处理</w:t>
            </w:r>
          </w:p>
        </w:tc>
        <w:tc>
          <w:tcPr>
            <w:tcW w:w="457" w:type="pct"/>
            <w:shd w:val="clear" w:color="auto" w:fill="auto"/>
            <w:vAlign w:val="center"/>
          </w:tcPr>
          <w:p w14:paraId="0E259CA0" w14:textId="77777777" w:rsidR="00B0005F" w:rsidRPr="008A2411" w:rsidRDefault="00000000">
            <w:pPr>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大气沉降</w:t>
            </w:r>
          </w:p>
        </w:tc>
        <w:tc>
          <w:tcPr>
            <w:tcW w:w="1369" w:type="pct"/>
            <w:shd w:val="clear" w:color="auto" w:fill="auto"/>
            <w:vAlign w:val="center"/>
          </w:tcPr>
          <w:p w14:paraId="53F6540E" w14:textId="77777777" w:rsidR="00B0005F" w:rsidRPr="008A2411" w:rsidRDefault="00000000">
            <w:pPr>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SO</w:t>
            </w:r>
            <w:r w:rsidRPr="008A2411">
              <w:rPr>
                <w:rFonts w:ascii="Times New Roman" w:eastAsiaTheme="minorEastAsia"/>
                <w:color w:val="000000" w:themeColor="text1"/>
                <w:sz w:val="21"/>
                <w:szCs w:val="21"/>
                <w:vertAlign w:val="subscript"/>
              </w:rPr>
              <w:t>2</w:t>
            </w:r>
            <w:r w:rsidRPr="008A2411">
              <w:rPr>
                <w:rFonts w:ascii="Times New Roman" w:eastAsiaTheme="minorEastAsia"/>
                <w:color w:val="000000" w:themeColor="text1"/>
                <w:sz w:val="21"/>
                <w:szCs w:val="21"/>
              </w:rPr>
              <w:t>、</w:t>
            </w:r>
            <w:r w:rsidRPr="008A2411">
              <w:rPr>
                <w:rFonts w:ascii="Times New Roman" w:eastAsiaTheme="minorEastAsia"/>
                <w:color w:val="000000" w:themeColor="text1"/>
                <w:sz w:val="21"/>
                <w:szCs w:val="21"/>
              </w:rPr>
              <w:t>NOx</w:t>
            </w:r>
            <w:r w:rsidRPr="008A2411">
              <w:rPr>
                <w:rFonts w:ascii="Times New Roman" w:eastAsiaTheme="minorEastAsia"/>
                <w:color w:val="000000" w:themeColor="text1"/>
                <w:sz w:val="21"/>
                <w:szCs w:val="21"/>
              </w:rPr>
              <w:t>、</w:t>
            </w:r>
            <w:r w:rsidRPr="008A2411">
              <w:rPr>
                <w:rFonts w:ascii="Times New Roman" w:eastAsiaTheme="minorEastAsia"/>
                <w:color w:val="000000" w:themeColor="text1"/>
                <w:sz w:val="21"/>
                <w:szCs w:val="21"/>
              </w:rPr>
              <w:t>H</w:t>
            </w:r>
            <w:r w:rsidRPr="008A2411">
              <w:rPr>
                <w:rFonts w:ascii="Times New Roman" w:eastAsiaTheme="minorEastAsia"/>
                <w:color w:val="000000" w:themeColor="text1"/>
                <w:sz w:val="21"/>
                <w:szCs w:val="21"/>
                <w:vertAlign w:val="subscript"/>
              </w:rPr>
              <w:t>2</w:t>
            </w:r>
            <w:r w:rsidRPr="008A2411">
              <w:rPr>
                <w:rFonts w:ascii="Times New Roman" w:eastAsiaTheme="minorEastAsia"/>
                <w:color w:val="000000" w:themeColor="text1"/>
                <w:sz w:val="21"/>
                <w:szCs w:val="21"/>
              </w:rPr>
              <w:t>S</w:t>
            </w:r>
          </w:p>
        </w:tc>
        <w:tc>
          <w:tcPr>
            <w:tcW w:w="1535" w:type="pct"/>
            <w:shd w:val="clear" w:color="auto" w:fill="auto"/>
            <w:vAlign w:val="center"/>
          </w:tcPr>
          <w:p w14:paraId="2C038430" w14:textId="77777777" w:rsidR="00B0005F" w:rsidRPr="008A2411" w:rsidRDefault="00000000">
            <w:pPr>
              <w:jc w:val="center"/>
              <w:rPr>
                <w:rFonts w:ascii="Times New Roman" w:eastAsiaTheme="minorEastAsia"/>
                <w:color w:val="000000" w:themeColor="text1"/>
                <w:sz w:val="21"/>
                <w:szCs w:val="21"/>
              </w:rPr>
            </w:pPr>
            <w:r w:rsidRPr="008A2411">
              <w:rPr>
                <w:rFonts w:ascii="Times New Roman" w:eastAsiaTheme="minorEastAsia"/>
                <w:color w:val="000000" w:themeColor="text1"/>
                <w:sz w:val="21"/>
                <w:szCs w:val="21"/>
              </w:rPr>
              <w:t>SO</w:t>
            </w:r>
            <w:r w:rsidRPr="008A2411">
              <w:rPr>
                <w:rFonts w:ascii="Times New Roman" w:eastAsiaTheme="minorEastAsia"/>
                <w:color w:val="000000" w:themeColor="text1"/>
                <w:sz w:val="21"/>
                <w:szCs w:val="21"/>
                <w:vertAlign w:val="subscript"/>
              </w:rPr>
              <w:t>2</w:t>
            </w:r>
          </w:p>
        </w:tc>
        <w:tc>
          <w:tcPr>
            <w:tcW w:w="275" w:type="pct"/>
            <w:shd w:val="clear" w:color="auto" w:fill="auto"/>
            <w:vAlign w:val="center"/>
          </w:tcPr>
          <w:p w14:paraId="1DF2FCE2" w14:textId="77777777" w:rsidR="00B0005F" w:rsidRPr="008A2411" w:rsidRDefault="00000000">
            <w:pPr>
              <w:jc w:val="center"/>
              <w:rPr>
                <w:rFonts w:ascii="Times New Roman" w:eastAsiaTheme="minorEastAsia"/>
                <w:bCs/>
                <w:color w:val="000000" w:themeColor="text1"/>
                <w:sz w:val="21"/>
                <w:szCs w:val="21"/>
              </w:rPr>
            </w:pPr>
            <w:r w:rsidRPr="008A2411">
              <w:rPr>
                <w:rFonts w:ascii="Times New Roman" w:eastAsiaTheme="minorEastAsia"/>
                <w:bCs/>
                <w:color w:val="000000" w:themeColor="text1"/>
                <w:sz w:val="21"/>
                <w:szCs w:val="21"/>
              </w:rPr>
              <w:t>正常</w:t>
            </w:r>
          </w:p>
        </w:tc>
      </w:tr>
    </w:tbl>
    <w:p w14:paraId="50422A1E" w14:textId="77777777" w:rsidR="00B0005F" w:rsidRPr="008A2411" w:rsidRDefault="00000000">
      <w:pPr>
        <w:adjustRightInd w:val="0"/>
        <w:spacing w:line="360" w:lineRule="auto"/>
        <w:outlineLvl w:val="3"/>
        <w:rPr>
          <w:rFonts w:ascii="Times New Roman"/>
          <w:b/>
          <w:color w:val="000000" w:themeColor="text1"/>
          <w:kern w:val="2"/>
          <w:szCs w:val="24"/>
          <w:lang w:bidi="en-US"/>
        </w:rPr>
      </w:pPr>
      <w:r w:rsidRPr="008A2411">
        <w:rPr>
          <w:rFonts w:ascii="Times New Roman"/>
          <w:b/>
          <w:color w:val="000000" w:themeColor="text1"/>
          <w:kern w:val="2"/>
          <w:szCs w:val="24"/>
          <w:lang w:bidi="en-US"/>
        </w:rPr>
        <w:lastRenderedPageBreak/>
        <w:t>5.2.8.3</w:t>
      </w:r>
      <w:r w:rsidRPr="008A2411">
        <w:rPr>
          <w:rFonts w:ascii="Times New Roman"/>
          <w:b/>
          <w:color w:val="000000" w:themeColor="text1"/>
          <w:kern w:val="2"/>
          <w:szCs w:val="24"/>
          <w:lang w:bidi="en-US"/>
        </w:rPr>
        <w:t>土壤环境影响预测分析</w:t>
      </w:r>
    </w:p>
    <w:p w14:paraId="1556A980" w14:textId="77777777" w:rsidR="00B0005F" w:rsidRPr="008A2411" w:rsidRDefault="00000000">
      <w:pPr>
        <w:adjustRightInd w:val="0"/>
        <w:spacing w:line="360" w:lineRule="auto"/>
        <w:ind w:firstLine="480"/>
        <w:rPr>
          <w:rFonts w:ascii="Times New Roman"/>
          <w:b/>
          <w:color w:val="000000" w:themeColor="text1"/>
        </w:rPr>
      </w:pPr>
      <w:r w:rsidRPr="008A2411">
        <w:rPr>
          <w:rFonts w:ascii="Times New Roman"/>
          <w:b/>
          <w:color w:val="000000" w:themeColor="text1"/>
        </w:rPr>
        <w:t>①</w:t>
      </w:r>
      <w:r w:rsidRPr="008A2411">
        <w:rPr>
          <w:rFonts w:ascii="Times New Roman"/>
          <w:b/>
          <w:color w:val="000000" w:themeColor="text1"/>
        </w:rPr>
        <w:t>地面漫流</w:t>
      </w:r>
    </w:p>
    <w:p w14:paraId="38B15CDB"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对于天然气液化生产区，在装置区发生泄漏事故和极端天气强降雨情况下，会发生装置区物料、污水处理站废水等会发生地面漫流，进一步污染土壤。企业按要求在生产区设置围堰，企业应做到全面防控事故废水和可能受污染的雨水发生地面漫流，从而进入土壤污染环境。在全面落实事故废水防控措施的情况下，物料或污染物的地面漫流对土壤影响较小。</w:t>
      </w:r>
    </w:p>
    <w:p w14:paraId="074410BC" w14:textId="77777777" w:rsidR="00B0005F" w:rsidRPr="008A2411" w:rsidRDefault="00000000">
      <w:pPr>
        <w:adjustRightInd w:val="0"/>
        <w:spacing w:line="360" w:lineRule="auto"/>
        <w:ind w:firstLine="480"/>
        <w:rPr>
          <w:rFonts w:ascii="Times New Roman"/>
          <w:b/>
          <w:color w:val="000000" w:themeColor="text1"/>
        </w:rPr>
      </w:pPr>
      <w:r w:rsidRPr="008A2411">
        <w:rPr>
          <w:rFonts w:ascii="Times New Roman"/>
          <w:b/>
          <w:color w:val="000000" w:themeColor="text1"/>
        </w:rPr>
        <w:t>②</w:t>
      </w:r>
      <w:r w:rsidRPr="008A2411">
        <w:rPr>
          <w:rFonts w:ascii="Times New Roman"/>
          <w:b/>
          <w:color w:val="000000" w:themeColor="text1"/>
        </w:rPr>
        <w:t>垂直入渗</w:t>
      </w:r>
    </w:p>
    <w:p w14:paraId="5942A13C"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本项目的天然气液化生产区、废水预处理区和危险废物暂存间等在事故情况下，泄漏会造成装置内溶液、废水处理站废水、危险废物中的危险成分会通过垂直入渗进一步污染土壤。本项目参照本报告提出的</w:t>
      </w:r>
      <w:r w:rsidRPr="008A2411">
        <w:rPr>
          <w:rFonts w:ascii="Times New Roman" w:hint="eastAsia"/>
          <w:color w:val="000000" w:themeColor="text1"/>
        </w:rPr>
        <w:t>“</w:t>
      </w:r>
      <w:r w:rsidRPr="008A2411">
        <w:rPr>
          <w:rFonts w:ascii="Times New Roman"/>
          <w:color w:val="000000" w:themeColor="text1"/>
        </w:rPr>
        <w:t>地下水防渗措施</w:t>
      </w:r>
      <w:r w:rsidRPr="008A2411">
        <w:rPr>
          <w:rFonts w:ascii="Times New Roman" w:hint="eastAsia"/>
          <w:color w:val="000000" w:themeColor="text1"/>
        </w:rPr>
        <w:t>”</w:t>
      </w:r>
      <w:r w:rsidRPr="008A2411">
        <w:rPr>
          <w:rFonts w:ascii="Times New Roman"/>
          <w:color w:val="000000" w:themeColor="text1"/>
        </w:rPr>
        <w:t>要求，根据场地特性和项目特征，制定分区防渗，各防渗分区满足《环境影响评价技术导则</w:t>
      </w:r>
      <w:r w:rsidRPr="008A2411">
        <w:rPr>
          <w:rFonts w:ascii="Times New Roman"/>
          <w:color w:val="000000" w:themeColor="text1"/>
        </w:rPr>
        <w:t xml:space="preserve"> </w:t>
      </w:r>
      <w:r w:rsidRPr="008A2411">
        <w:rPr>
          <w:rFonts w:ascii="Times New Roman"/>
          <w:color w:val="000000" w:themeColor="text1"/>
        </w:rPr>
        <w:t>地下水环境》（</w:t>
      </w:r>
      <w:r w:rsidRPr="008A2411">
        <w:rPr>
          <w:rFonts w:ascii="Times New Roman"/>
          <w:color w:val="000000" w:themeColor="text1"/>
        </w:rPr>
        <w:t>HJ610-2016</w:t>
      </w:r>
      <w:r w:rsidRPr="008A2411">
        <w:rPr>
          <w:rFonts w:ascii="Times New Roman"/>
          <w:color w:val="000000" w:themeColor="text1"/>
        </w:rPr>
        <w:t>）中防渗技术要求，可从污染源头和途径上减少因物料泄漏、入渗污染土壤。</w:t>
      </w:r>
    </w:p>
    <w:p w14:paraId="6C3069B0" w14:textId="77777777" w:rsidR="00B0005F" w:rsidRPr="008A2411" w:rsidRDefault="00000000">
      <w:pPr>
        <w:adjustRightInd w:val="0"/>
        <w:spacing w:line="360" w:lineRule="auto"/>
        <w:ind w:firstLineChars="200" w:firstLine="482"/>
        <w:rPr>
          <w:rFonts w:ascii="Times New Roman"/>
          <w:b/>
          <w:color w:val="000000" w:themeColor="text1"/>
        </w:rPr>
      </w:pPr>
      <w:r w:rsidRPr="008A2411">
        <w:rPr>
          <w:rFonts w:ascii="Times New Roman"/>
          <w:b/>
          <w:color w:val="000000" w:themeColor="text1"/>
        </w:rPr>
        <w:t>③</w:t>
      </w:r>
      <w:r w:rsidRPr="008A2411">
        <w:rPr>
          <w:rFonts w:ascii="Times New Roman"/>
          <w:b/>
          <w:color w:val="000000" w:themeColor="text1"/>
        </w:rPr>
        <w:t>大气沉降土壤环境影响预测</w:t>
      </w:r>
    </w:p>
    <w:p w14:paraId="18537E8D" w14:textId="77777777" w:rsidR="00B0005F" w:rsidRPr="008A2411" w:rsidRDefault="00000000">
      <w:pPr>
        <w:adjustRightInd w:val="0"/>
        <w:spacing w:line="360" w:lineRule="auto"/>
        <w:ind w:firstLineChars="200" w:firstLine="480"/>
        <w:rPr>
          <w:rFonts w:ascii="Times New Roman"/>
          <w:color w:val="000000" w:themeColor="text1"/>
        </w:rPr>
      </w:pPr>
      <w:r w:rsidRPr="008A2411">
        <w:rPr>
          <w:rFonts w:ascii="Times New Roman"/>
          <w:color w:val="000000" w:themeColor="text1"/>
        </w:rPr>
        <w:t>本项目生产过程中产生废气中含</w:t>
      </w:r>
      <w:r w:rsidRPr="008A2411">
        <w:rPr>
          <w:rFonts w:ascii="Times New Roman"/>
          <w:color w:val="000000" w:themeColor="text1"/>
        </w:rPr>
        <w:t>SO</w:t>
      </w:r>
      <w:r w:rsidRPr="008A2411">
        <w:rPr>
          <w:rFonts w:ascii="Times New Roman"/>
          <w:color w:val="000000" w:themeColor="text1"/>
          <w:vertAlign w:val="subscript"/>
        </w:rPr>
        <w:t>2</w:t>
      </w:r>
      <w:r w:rsidRPr="008A2411">
        <w:rPr>
          <w:rFonts w:ascii="Times New Roman"/>
          <w:color w:val="000000" w:themeColor="text1"/>
        </w:rPr>
        <w:t>等污染物，其排放沉降后可能造成土壤污染影响。项目废气污染物进行有效处理，确保其达标排放；厂区充分绿化，种植具有较强吸附能力的植物。</w:t>
      </w:r>
    </w:p>
    <w:p w14:paraId="562A9334" w14:textId="77777777" w:rsidR="00B0005F" w:rsidRPr="008A2411" w:rsidRDefault="00000000">
      <w:pPr>
        <w:adjustRightInd w:val="0"/>
        <w:spacing w:line="360" w:lineRule="auto"/>
        <w:ind w:firstLineChars="200" w:firstLine="482"/>
        <w:rPr>
          <w:rFonts w:ascii="Times New Roman"/>
          <w:b/>
          <w:color w:val="000000" w:themeColor="text1"/>
        </w:rPr>
      </w:pPr>
      <w:r w:rsidRPr="008A2411">
        <w:rPr>
          <w:rFonts w:ascii="Times New Roman"/>
          <w:b/>
          <w:color w:val="000000" w:themeColor="text1"/>
        </w:rPr>
        <w:t>A</w:t>
      </w:r>
      <w:r w:rsidRPr="008A2411">
        <w:rPr>
          <w:rFonts w:ascii="Times New Roman"/>
          <w:b/>
          <w:color w:val="000000" w:themeColor="text1"/>
        </w:rPr>
        <w:t>、评价范围、时段和情景设置</w:t>
      </w:r>
    </w:p>
    <w:p w14:paraId="3A5E23A2" w14:textId="77777777" w:rsidR="00B0005F" w:rsidRPr="008A2411" w:rsidRDefault="00000000">
      <w:pPr>
        <w:adjustRightInd w:val="0"/>
        <w:spacing w:line="360" w:lineRule="auto"/>
        <w:ind w:firstLineChars="200" w:firstLine="480"/>
        <w:rPr>
          <w:rFonts w:ascii="Times New Roman"/>
          <w:color w:val="000000" w:themeColor="text1"/>
        </w:rPr>
      </w:pPr>
      <w:r w:rsidRPr="008A2411">
        <w:rPr>
          <w:rFonts w:ascii="Times New Roman"/>
          <w:color w:val="000000" w:themeColor="text1"/>
        </w:rPr>
        <w:t>项目的评价范围与调查评价范围一致，评价时段为项目运营期。以项目正常运营为预测工况。废气中</w:t>
      </w:r>
      <w:r w:rsidRPr="008A2411">
        <w:rPr>
          <w:rFonts w:ascii="Times New Roman"/>
          <w:color w:val="000000" w:themeColor="text1"/>
        </w:rPr>
        <w:t>SO</w:t>
      </w:r>
      <w:r w:rsidRPr="008A2411">
        <w:rPr>
          <w:rFonts w:ascii="Times New Roman"/>
          <w:color w:val="000000" w:themeColor="text1"/>
          <w:vertAlign w:val="subscript"/>
        </w:rPr>
        <w:t>2</w:t>
      </w:r>
      <w:r w:rsidRPr="008A2411">
        <w:rPr>
          <w:rFonts w:ascii="Times New Roman"/>
          <w:color w:val="000000" w:themeColor="text1"/>
        </w:rPr>
        <w:t>、</w:t>
      </w:r>
      <w:r w:rsidRPr="008A2411">
        <w:rPr>
          <w:rFonts w:ascii="Times New Roman"/>
          <w:color w:val="000000" w:themeColor="text1"/>
        </w:rPr>
        <w:t>H</w:t>
      </w:r>
      <w:r w:rsidRPr="008A2411">
        <w:rPr>
          <w:rFonts w:ascii="Times New Roman"/>
          <w:color w:val="000000" w:themeColor="text1"/>
          <w:vertAlign w:val="subscript"/>
        </w:rPr>
        <w:t>2</w:t>
      </w:r>
      <w:r w:rsidRPr="008A2411">
        <w:rPr>
          <w:rFonts w:ascii="Times New Roman"/>
          <w:color w:val="000000" w:themeColor="text1"/>
        </w:rPr>
        <w:t>S</w:t>
      </w:r>
      <w:r w:rsidRPr="008A2411">
        <w:rPr>
          <w:rFonts w:ascii="Times New Roman"/>
          <w:color w:val="000000" w:themeColor="text1"/>
        </w:rPr>
        <w:t>、</w:t>
      </w:r>
      <w:r w:rsidRPr="008A2411">
        <w:rPr>
          <w:rFonts w:ascii="Times New Roman"/>
          <w:color w:val="000000" w:themeColor="text1"/>
        </w:rPr>
        <w:t>NO</w:t>
      </w:r>
      <w:r w:rsidRPr="008A2411">
        <w:rPr>
          <w:rFonts w:ascii="Times New Roman"/>
          <w:color w:val="000000" w:themeColor="text1"/>
          <w:vertAlign w:val="subscript"/>
        </w:rPr>
        <w:t>X</w:t>
      </w:r>
      <w:r w:rsidRPr="008A2411">
        <w:rPr>
          <w:rFonts w:ascii="Times New Roman"/>
          <w:color w:val="000000" w:themeColor="text1"/>
        </w:rPr>
        <w:t>等污染物在干湿沉降作用下进入土壤层，在土壤吸附、络合、沉淀和阻留作用下，迁移速度较缓慢，大部分残留在土壤耕作层，极少向下层土壤迁移。本次评价假定废气中污染物全部沉降在土壤表层中，不考虑其输出影响；废气污染源排放量保持不变，均匀沉降在固定区域内；按最不利排放情况的影响进行考虑。</w:t>
      </w:r>
    </w:p>
    <w:p w14:paraId="4889CD5A" w14:textId="77777777" w:rsidR="00B0005F" w:rsidRPr="008A2411" w:rsidRDefault="00000000">
      <w:pPr>
        <w:adjustRightInd w:val="0"/>
        <w:spacing w:line="360" w:lineRule="auto"/>
        <w:ind w:firstLineChars="200" w:firstLine="482"/>
        <w:rPr>
          <w:rFonts w:ascii="Times New Roman"/>
          <w:b/>
          <w:color w:val="000000" w:themeColor="text1"/>
        </w:rPr>
      </w:pPr>
      <w:r w:rsidRPr="008A2411">
        <w:rPr>
          <w:rFonts w:ascii="Times New Roman"/>
          <w:b/>
          <w:color w:val="000000" w:themeColor="text1"/>
        </w:rPr>
        <w:t>B</w:t>
      </w:r>
      <w:r w:rsidRPr="008A2411">
        <w:rPr>
          <w:rFonts w:ascii="Times New Roman"/>
          <w:b/>
          <w:color w:val="000000" w:themeColor="text1"/>
        </w:rPr>
        <w:t>、预测因子</w:t>
      </w:r>
    </w:p>
    <w:p w14:paraId="6997C4D1" w14:textId="77777777" w:rsidR="00B0005F" w:rsidRPr="008A2411" w:rsidRDefault="00000000">
      <w:pPr>
        <w:adjustRightInd w:val="0"/>
        <w:spacing w:line="360" w:lineRule="auto"/>
        <w:ind w:firstLineChars="200" w:firstLine="480"/>
        <w:rPr>
          <w:rFonts w:ascii="Times New Roman"/>
          <w:color w:val="000000" w:themeColor="text1"/>
        </w:rPr>
      </w:pPr>
      <w:r w:rsidRPr="008A2411">
        <w:rPr>
          <w:rFonts w:ascii="Times New Roman"/>
          <w:color w:val="000000" w:themeColor="text1"/>
        </w:rPr>
        <w:t>根据工程分析及环境影响识别结果，由于本项目使用的天然气为净化后的天然气，</w:t>
      </w:r>
      <w:r w:rsidRPr="008A2411">
        <w:rPr>
          <w:rFonts w:ascii="Times New Roman"/>
          <w:color w:val="000000" w:themeColor="text1"/>
        </w:rPr>
        <w:t>H</w:t>
      </w:r>
      <w:r w:rsidRPr="008A2411">
        <w:rPr>
          <w:rFonts w:ascii="Times New Roman"/>
          <w:color w:val="000000" w:themeColor="text1"/>
          <w:vertAlign w:val="subscript"/>
        </w:rPr>
        <w:t>2</w:t>
      </w:r>
      <w:r w:rsidRPr="008A2411">
        <w:rPr>
          <w:rFonts w:ascii="Times New Roman"/>
          <w:color w:val="000000" w:themeColor="text1"/>
        </w:rPr>
        <w:t>S</w:t>
      </w:r>
      <w:r w:rsidRPr="008A2411">
        <w:rPr>
          <w:rFonts w:ascii="Times New Roman"/>
          <w:color w:val="000000" w:themeColor="text1"/>
        </w:rPr>
        <w:t>含硫较低，因此，确定环境影响要素的评价因子</w:t>
      </w:r>
      <w:r w:rsidRPr="008A2411">
        <w:rPr>
          <w:rFonts w:ascii="Times New Roman"/>
          <w:color w:val="000000" w:themeColor="text1"/>
        </w:rPr>
        <w:t>SO</w:t>
      </w:r>
      <w:r w:rsidRPr="008A2411">
        <w:rPr>
          <w:rFonts w:ascii="Times New Roman"/>
          <w:color w:val="000000" w:themeColor="text1"/>
          <w:vertAlign w:val="subscript"/>
        </w:rPr>
        <w:t>2</w:t>
      </w:r>
      <w:r w:rsidRPr="008A2411">
        <w:rPr>
          <w:rFonts w:ascii="Times New Roman"/>
          <w:color w:val="000000" w:themeColor="text1"/>
        </w:rPr>
        <w:t>。</w:t>
      </w:r>
    </w:p>
    <w:p w14:paraId="7E667EEE" w14:textId="77777777" w:rsidR="00B0005F" w:rsidRPr="008A2411" w:rsidRDefault="00000000">
      <w:pPr>
        <w:adjustRightInd w:val="0"/>
        <w:spacing w:line="360" w:lineRule="auto"/>
        <w:ind w:firstLineChars="200" w:firstLine="482"/>
        <w:rPr>
          <w:rFonts w:ascii="Times New Roman"/>
          <w:b/>
          <w:color w:val="000000" w:themeColor="text1"/>
        </w:rPr>
      </w:pPr>
      <w:r w:rsidRPr="008A2411">
        <w:rPr>
          <w:rFonts w:ascii="Times New Roman"/>
          <w:b/>
          <w:color w:val="000000" w:themeColor="text1"/>
        </w:rPr>
        <w:t>C</w:t>
      </w:r>
      <w:r w:rsidRPr="008A2411">
        <w:rPr>
          <w:rFonts w:ascii="Times New Roman"/>
          <w:b/>
          <w:color w:val="000000" w:themeColor="text1"/>
        </w:rPr>
        <w:t>、预测方法</w:t>
      </w:r>
    </w:p>
    <w:p w14:paraId="3D207E13" w14:textId="77777777" w:rsidR="00B0005F" w:rsidRPr="008A2411" w:rsidRDefault="00000000">
      <w:pPr>
        <w:adjustRightInd w:val="0"/>
        <w:spacing w:line="360" w:lineRule="auto"/>
        <w:ind w:firstLineChars="200" w:firstLine="480"/>
        <w:rPr>
          <w:rFonts w:ascii="Times New Roman"/>
          <w:color w:val="000000" w:themeColor="text1"/>
        </w:rPr>
      </w:pPr>
      <w:proofErr w:type="gramStart"/>
      <w:r w:rsidRPr="008A2411">
        <w:rPr>
          <w:rFonts w:ascii="Times New Roman"/>
          <w:color w:val="000000" w:themeColor="text1"/>
        </w:rPr>
        <w:t>本环评采用</w:t>
      </w:r>
      <w:proofErr w:type="gramEnd"/>
      <w:r w:rsidRPr="008A2411">
        <w:rPr>
          <w:rFonts w:ascii="Times New Roman"/>
          <w:color w:val="000000" w:themeColor="text1"/>
        </w:rPr>
        <w:t>《环境影响评价技术导则土壤环境（试行）》（</w:t>
      </w:r>
      <w:r w:rsidRPr="008A2411">
        <w:rPr>
          <w:rFonts w:ascii="Times New Roman"/>
          <w:color w:val="000000" w:themeColor="text1"/>
        </w:rPr>
        <w:t>HJ964-2018</w:t>
      </w:r>
      <w:r w:rsidRPr="008A2411">
        <w:rPr>
          <w:rFonts w:ascii="Times New Roman"/>
          <w:color w:val="000000" w:themeColor="text1"/>
        </w:rPr>
        <w:t>）附</w:t>
      </w:r>
      <w:r w:rsidRPr="008A2411">
        <w:rPr>
          <w:rFonts w:ascii="Times New Roman"/>
          <w:color w:val="000000" w:themeColor="text1"/>
        </w:rPr>
        <w:lastRenderedPageBreak/>
        <w:t>录</w:t>
      </w:r>
      <w:r w:rsidRPr="008A2411">
        <w:rPr>
          <w:rFonts w:ascii="Times New Roman"/>
          <w:color w:val="000000" w:themeColor="text1"/>
        </w:rPr>
        <w:t>E.1</w:t>
      </w:r>
      <w:r w:rsidRPr="008A2411">
        <w:rPr>
          <w:rFonts w:ascii="Times New Roman"/>
          <w:color w:val="000000" w:themeColor="text1"/>
        </w:rPr>
        <w:t>中的方法进行预测。</w:t>
      </w:r>
    </w:p>
    <w:p w14:paraId="2291846F" w14:textId="77777777" w:rsidR="00B0005F" w:rsidRPr="008A2411" w:rsidRDefault="00000000">
      <w:pPr>
        <w:adjustRightInd w:val="0"/>
        <w:spacing w:line="360" w:lineRule="auto"/>
        <w:ind w:firstLineChars="200" w:firstLine="480"/>
        <w:rPr>
          <w:rFonts w:ascii="Times New Roman"/>
          <w:color w:val="000000" w:themeColor="text1"/>
        </w:rPr>
      </w:pPr>
      <w:r w:rsidRPr="008A2411">
        <w:rPr>
          <w:rFonts w:ascii="Times New Roman"/>
          <w:color w:val="000000" w:themeColor="text1"/>
        </w:rPr>
        <w:t>①</w:t>
      </w:r>
      <w:r w:rsidRPr="008A2411">
        <w:rPr>
          <w:rFonts w:ascii="Times New Roman"/>
          <w:color w:val="000000" w:themeColor="text1"/>
        </w:rPr>
        <w:t>单位质量土壤中某种物质的增量可用下式计算：</w:t>
      </w:r>
    </w:p>
    <w:p w14:paraId="43924E85" w14:textId="77777777" w:rsidR="00B0005F" w:rsidRPr="008A2411" w:rsidRDefault="00000000">
      <w:pPr>
        <w:widowControl/>
        <w:adjustRightInd w:val="0"/>
        <w:spacing w:line="360" w:lineRule="auto"/>
        <w:ind w:firstLineChars="500" w:firstLine="1154"/>
        <w:rPr>
          <w:rFonts w:ascii="Times New Roman"/>
          <w:b/>
          <w:bCs/>
          <w:color w:val="000000" w:themeColor="text1"/>
        </w:rPr>
      </w:pPr>
      <w:r w:rsidRPr="008A2411">
        <w:rPr>
          <w:rFonts w:ascii="Times New Roman"/>
          <w:color w:val="000000" w:themeColor="text1"/>
          <w:spacing w:val="2"/>
          <w:w w:val="95"/>
        </w:rPr>
        <w:t>△</w:t>
      </w:r>
      <w:r w:rsidRPr="008A2411">
        <w:rPr>
          <w:rFonts w:ascii="Times New Roman"/>
          <w:color w:val="000000" w:themeColor="text1"/>
          <w:spacing w:val="3"/>
          <w:w w:val="95"/>
        </w:rPr>
        <w:t>S</w:t>
      </w:r>
      <w:r w:rsidRPr="008A2411">
        <w:rPr>
          <w:rFonts w:ascii="Times New Roman"/>
          <w:color w:val="000000" w:themeColor="text1"/>
          <w:spacing w:val="1"/>
          <w:w w:val="95"/>
        </w:rPr>
        <w:t>=n</w:t>
      </w:r>
      <w:r w:rsidRPr="008A2411">
        <w:rPr>
          <w:rFonts w:ascii="Times New Roman"/>
          <w:color w:val="000000" w:themeColor="text1"/>
          <w:spacing w:val="1"/>
          <w:w w:val="95"/>
        </w:rPr>
        <w:t>（</w:t>
      </w:r>
      <w:r w:rsidRPr="008A2411">
        <w:rPr>
          <w:rFonts w:ascii="Times New Roman"/>
          <w:color w:val="000000" w:themeColor="text1"/>
          <w:spacing w:val="1"/>
          <w:w w:val="95"/>
        </w:rPr>
        <w:t>Is-Ls-Rs</w:t>
      </w:r>
      <w:r w:rsidRPr="008A2411">
        <w:rPr>
          <w:rFonts w:ascii="Times New Roman"/>
          <w:color w:val="000000" w:themeColor="text1"/>
          <w:spacing w:val="1"/>
          <w:w w:val="95"/>
        </w:rPr>
        <w:t>）</w:t>
      </w:r>
      <w:r w:rsidRPr="008A2411">
        <w:rPr>
          <w:rFonts w:ascii="Times New Roman"/>
          <w:color w:val="000000" w:themeColor="text1"/>
          <w:spacing w:val="1"/>
          <w:w w:val="95"/>
        </w:rPr>
        <w:t>/</w:t>
      </w:r>
      <w:r w:rsidRPr="008A2411">
        <w:rPr>
          <w:rFonts w:ascii="Times New Roman"/>
          <w:color w:val="000000" w:themeColor="text1"/>
          <w:spacing w:val="1"/>
          <w:w w:val="95"/>
        </w:rPr>
        <w:t>（</w:t>
      </w:r>
      <w:r w:rsidRPr="008A2411">
        <w:rPr>
          <w:rFonts w:ascii="Times New Roman"/>
          <w:color w:val="000000" w:themeColor="text1"/>
          <w:spacing w:val="2"/>
          <w:w w:val="95"/>
        </w:rPr>
        <w:t>ρb×A×D</w:t>
      </w:r>
      <w:r w:rsidRPr="008A2411">
        <w:rPr>
          <w:rFonts w:ascii="Times New Roman"/>
          <w:color w:val="000000" w:themeColor="text1"/>
          <w:spacing w:val="1"/>
          <w:w w:val="95"/>
        </w:rPr>
        <w:t>）</w:t>
      </w:r>
    </w:p>
    <w:p w14:paraId="5EDB26FF" w14:textId="77777777" w:rsidR="00B0005F" w:rsidRPr="008A2411" w:rsidRDefault="00000000">
      <w:pPr>
        <w:adjustRightInd w:val="0"/>
        <w:spacing w:line="360" w:lineRule="auto"/>
        <w:ind w:firstLineChars="200" w:firstLine="480"/>
        <w:rPr>
          <w:rFonts w:ascii="Times New Roman"/>
          <w:color w:val="000000" w:themeColor="text1"/>
        </w:rPr>
      </w:pPr>
      <w:r w:rsidRPr="008A2411">
        <w:rPr>
          <w:rFonts w:ascii="Times New Roman"/>
          <w:color w:val="000000" w:themeColor="text1"/>
        </w:rPr>
        <w:t>式中：</w:t>
      </w:r>
      <w:r w:rsidRPr="008A2411">
        <w:rPr>
          <w:rFonts w:ascii="Times New Roman"/>
          <w:color w:val="000000" w:themeColor="text1"/>
        </w:rPr>
        <w:t>△S--</w:t>
      </w:r>
      <w:r w:rsidRPr="008A2411">
        <w:rPr>
          <w:rFonts w:ascii="Times New Roman"/>
          <w:color w:val="000000" w:themeColor="text1"/>
        </w:rPr>
        <w:t>单位质量表层土壤中某种物质的增量，</w:t>
      </w:r>
      <w:r w:rsidRPr="008A2411">
        <w:rPr>
          <w:rFonts w:ascii="Times New Roman"/>
          <w:color w:val="000000" w:themeColor="text1"/>
        </w:rPr>
        <w:t>g/kg</w:t>
      </w:r>
      <w:r w:rsidRPr="008A2411">
        <w:rPr>
          <w:rFonts w:ascii="Times New Roman"/>
          <w:color w:val="000000" w:themeColor="text1"/>
        </w:rPr>
        <w:t>；</w:t>
      </w:r>
    </w:p>
    <w:p w14:paraId="1873E6F2" w14:textId="77777777" w:rsidR="00B0005F" w:rsidRPr="008A2411" w:rsidRDefault="00000000">
      <w:pPr>
        <w:adjustRightInd w:val="0"/>
        <w:spacing w:line="360" w:lineRule="auto"/>
        <w:ind w:firstLineChars="500" w:firstLine="1200"/>
        <w:rPr>
          <w:rFonts w:ascii="Times New Roman"/>
          <w:color w:val="000000" w:themeColor="text1"/>
        </w:rPr>
      </w:pPr>
      <w:r w:rsidRPr="008A2411">
        <w:rPr>
          <w:rFonts w:ascii="Times New Roman"/>
          <w:color w:val="000000" w:themeColor="text1"/>
        </w:rPr>
        <w:t>Is--</w:t>
      </w:r>
      <w:r w:rsidRPr="008A2411">
        <w:rPr>
          <w:rFonts w:ascii="Times New Roman"/>
          <w:color w:val="000000" w:themeColor="text1"/>
        </w:rPr>
        <w:t>预测评价范围内单位年份表层土壤中某种物质的输入量，</w:t>
      </w:r>
      <w:r w:rsidRPr="008A2411">
        <w:rPr>
          <w:rFonts w:ascii="Times New Roman"/>
          <w:color w:val="000000" w:themeColor="text1"/>
        </w:rPr>
        <w:t>g</w:t>
      </w:r>
      <w:r w:rsidRPr="008A2411">
        <w:rPr>
          <w:rFonts w:ascii="Times New Roman"/>
          <w:color w:val="000000" w:themeColor="text1"/>
        </w:rPr>
        <w:t>；</w:t>
      </w:r>
    </w:p>
    <w:p w14:paraId="316F9161" w14:textId="77777777" w:rsidR="00B0005F" w:rsidRPr="008A2411" w:rsidRDefault="00000000">
      <w:pPr>
        <w:adjustRightInd w:val="0"/>
        <w:spacing w:line="360" w:lineRule="auto"/>
        <w:ind w:firstLineChars="500" w:firstLine="1200"/>
        <w:rPr>
          <w:rFonts w:ascii="Times New Roman"/>
          <w:color w:val="000000" w:themeColor="text1"/>
        </w:rPr>
      </w:pPr>
      <w:r w:rsidRPr="008A2411">
        <w:rPr>
          <w:rFonts w:ascii="Times New Roman"/>
          <w:color w:val="000000" w:themeColor="text1"/>
        </w:rPr>
        <w:t>Ls--</w:t>
      </w:r>
      <w:r w:rsidRPr="008A2411">
        <w:rPr>
          <w:rFonts w:ascii="Times New Roman"/>
          <w:color w:val="000000" w:themeColor="text1"/>
        </w:rPr>
        <w:t>预测评价范围内单位年份表层土壤中某种物质经淋溶排出的量，</w:t>
      </w:r>
      <w:r w:rsidRPr="008A2411">
        <w:rPr>
          <w:rFonts w:ascii="Times New Roman"/>
          <w:color w:val="000000" w:themeColor="text1"/>
        </w:rPr>
        <w:t>g</w:t>
      </w:r>
      <w:r w:rsidRPr="008A2411">
        <w:rPr>
          <w:rFonts w:ascii="Times New Roman"/>
          <w:color w:val="000000" w:themeColor="text1"/>
        </w:rPr>
        <w:t>；</w:t>
      </w:r>
    </w:p>
    <w:p w14:paraId="20290A4F" w14:textId="77777777" w:rsidR="00B0005F" w:rsidRPr="008A2411" w:rsidRDefault="00000000">
      <w:pPr>
        <w:adjustRightInd w:val="0"/>
        <w:spacing w:line="360" w:lineRule="auto"/>
        <w:ind w:firstLineChars="500" w:firstLine="1200"/>
        <w:rPr>
          <w:rFonts w:ascii="Times New Roman"/>
          <w:color w:val="000000" w:themeColor="text1"/>
        </w:rPr>
      </w:pPr>
      <w:r w:rsidRPr="008A2411">
        <w:rPr>
          <w:rFonts w:ascii="Times New Roman"/>
          <w:color w:val="000000" w:themeColor="text1"/>
        </w:rPr>
        <w:t>Rs--</w:t>
      </w:r>
      <w:r w:rsidRPr="008A2411">
        <w:rPr>
          <w:rFonts w:ascii="Times New Roman"/>
          <w:color w:val="000000" w:themeColor="text1"/>
        </w:rPr>
        <w:t>预测评价范围内单位年份表层土壤中某种物质经径流排出的量，</w:t>
      </w:r>
      <w:r w:rsidRPr="008A2411">
        <w:rPr>
          <w:rFonts w:ascii="Times New Roman"/>
          <w:color w:val="000000" w:themeColor="text1"/>
        </w:rPr>
        <w:t>g</w:t>
      </w:r>
      <w:r w:rsidRPr="008A2411">
        <w:rPr>
          <w:rFonts w:ascii="Times New Roman"/>
          <w:color w:val="000000" w:themeColor="text1"/>
        </w:rPr>
        <w:t>；</w:t>
      </w:r>
    </w:p>
    <w:p w14:paraId="617D4AE5" w14:textId="77777777" w:rsidR="00B0005F" w:rsidRPr="008A2411" w:rsidRDefault="00000000">
      <w:pPr>
        <w:adjustRightInd w:val="0"/>
        <w:spacing w:line="360" w:lineRule="auto"/>
        <w:ind w:firstLineChars="500" w:firstLine="1200"/>
        <w:rPr>
          <w:rFonts w:ascii="Times New Roman"/>
          <w:color w:val="000000" w:themeColor="text1"/>
        </w:rPr>
      </w:pPr>
      <w:r w:rsidRPr="008A2411">
        <w:rPr>
          <w:rFonts w:ascii="Times New Roman"/>
          <w:color w:val="000000" w:themeColor="text1"/>
        </w:rPr>
        <w:t>ρb--</w:t>
      </w:r>
      <w:r w:rsidRPr="008A2411">
        <w:rPr>
          <w:rFonts w:ascii="Times New Roman"/>
          <w:color w:val="000000" w:themeColor="text1"/>
        </w:rPr>
        <w:t>表层土壤容重，</w:t>
      </w:r>
      <w:r w:rsidRPr="008A2411">
        <w:rPr>
          <w:rFonts w:ascii="Times New Roman"/>
          <w:color w:val="000000" w:themeColor="text1"/>
        </w:rPr>
        <w:t>kg/m</w:t>
      </w:r>
      <w:r w:rsidRPr="008A2411">
        <w:rPr>
          <w:rFonts w:ascii="Times New Roman"/>
          <w:color w:val="000000" w:themeColor="text1"/>
          <w:vertAlign w:val="superscript"/>
        </w:rPr>
        <w:t>3</w:t>
      </w:r>
      <w:r w:rsidRPr="008A2411">
        <w:rPr>
          <w:rFonts w:ascii="Times New Roman"/>
          <w:color w:val="000000" w:themeColor="text1"/>
        </w:rPr>
        <w:t>；</w:t>
      </w:r>
    </w:p>
    <w:p w14:paraId="1EAF1700" w14:textId="77777777" w:rsidR="00B0005F" w:rsidRPr="008A2411" w:rsidRDefault="00000000">
      <w:pPr>
        <w:adjustRightInd w:val="0"/>
        <w:spacing w:line="360" w:lineRule="auto"/>
        <w:ind w:firstLineChars="500" w:firstLine="1200"/>
        <w:rPr>
          <w:rFonts w:ascii="Times New Roman"/>
          <w:color w:val="000000" w:themeColor="text1"/>
        </w:rPr>
      </w:pPr>
      <w:r w:rsidRPr="008A2411">
        <w:rPr>
          <w:rFonts w:ascii="Times New Roman"/>
          <w:color w:val="000000" w:themeColor="text1"/>
        </w:rPr>
        <w:t>A--</w:t>
      </w:r>
      <w:r w:rsidRPr="008A2411">
        <w:rPr>
          <w:rFonts w:ascii="Times New Roman"/>
          <w:color w:val="000000" w:themeColor="text1"/>
        </w:rPr>
        <w:t>预测评价范围，</w:t>
      </w:r>
      <w:r w:rsidRPr="008A2411">
        <w:rPr>
          <w:rFonts w:ascii="Times New Roman"/>
          <w:color w:val="000000" w:themeColor="text1"/>
        </w:rPr>
        <w:t>m</w:t>
      </w:r>
      <w:r w:rsidRPr="008A2411">
        <w:rPr>
          <w:rFonts w:ascii="Times New Roman"/>
          <w:color w:val="000000" w:themeColor="text1"/>
          <w:vertAlign w:val="superscript"/>
        </w:rPr>
        <w:t>2</w:t>
      </w:r>
      <w:r w:rsidRPr="008A2411">
        <w:rPr>
          <w:rFonts w:ascii="Times New Roman"/>
          <w:color w:val="000000" w:themeColor="text1"/>
        </w:rPr>
        <w:t>；</w:t>
      </w:r>
    </w:p>
    <w:p w14:paraId="3E120C61" w14:textId="77777777" w:rsidR="00B0005F" w:rsidRPr="008A2411" w:rsidRDefault="00000000">
      <w:pPr>
        <w:adjustRightInd w:val="0"/>
        <w:spacing w:line="360" w:lineRule="auto"/>
        <w:ind w:firstLineChars="500" w:firstLine="1200"/>
        <w:rPr>
          <w:rFonts w:ascii="Times New Roman"/>
          <w:color w:val="000000" w:themeColor="text1"/>
        </w:rPr>
      </w:pPr>
      <w:r w:rsidRPr="008A2411">
        <w:rPr>
          <w:rFonts w:ascii="Times New Roman"/>
          <w:color w:val="000000" w:themeColor="text1"/>
        </w:rPr>
        <w:t>D--</w:t>
      </w:r>
      <w:r w:rsidRPr="008A2411">
        <w:rPr>
          <w:rFonts w:ascii="Times New Roman"/>
          <w:color w:val="000000" w:themeColor="text1"/>
        </w:rPr>
        <w:t>表层土壤深度，一般取</w:t>
      </w:r>
      <w:r w:rsidRPr="008A2411">
        <w:rPr>
          <w:rFonts w:ascii="Times New Roman"/>
          <w:color w:val="000000" w:themeColor="text1"/>
        </w:rPr>
        <w:t>0.2m</w:t>
      </w:r>
      <w:r w:rsidRPr="008A2411">
        <w:rPr>
          <w:rFonts w:ascii="Times New Roman"/>
          <w:color w:val="000000" w:themeColor="text1"/>
        </w:rPr>
        <w:t>；</w:t>
      </w:r>
    </w:p>
    <w:p w14:paraId="5571B39D" w14:textId="77777777" w:rsidR="00B0005F" w:rsidRPr="008A2411" w:rsidRDefault="00000000">
      <w:pPr>
        <w:adjustRightInd w:val="0"/>
        <w:spacing w:line="360" w:lineRule="auto"/>
        <w:ind w:firstLineChars="500" w:firstLine="1200"/>
        <w:rPr>
          <w:rFonts w:ascii="Times New Roman"/>
          <w:color w:val="000000" w:themeColor="text1"/>
        </w:rPr>
      </w:pPr>
      <w:r w:rsidRPr="008A2411">
        <w:rPr>
          <w:rFonts w:ascii="Times New Roman"/>
          <w:color w:val="000000" w:themeColor="text1"/>
        </w:rPr>
        <w:t>n--</w:t>
      </w:r>
      <w:r w:rsidRPr="008A2411">
        <w:rPr>
          <w:rFonts w:ascii="Times New Roman"/>
          <w:color w:val="000000" w:themeColor="text1"/>
        </w:rPr>
        <w:t>持续年份，</w:t>
      </w:r>
      <w:r w:rsidRPr="008A2411">
        <w:rPr>
          <w:rFonts w:ascii="Times New Roman"/>
          <w:color w:val="000000" w:themeColor="text1"/>
        </w:rPr>
        <w:t>a</w:t>
      </w:r>
      <w:r w:rsidRPr="008A2411">
        <w:rPr>
          <w:rFonts w:ascii="Times New Roman"/>
          <w:color w:val="000000" w:themeColor="text1"/>
        </w:rPr>
        <w:t>。</w:t>
      </w:r>
    </w:p>
    <w:p w14:paraId="060467BA" w14:textId="77777777" w:rsidR="00B0005F" w:rsidRPr="008A2411" w:rsidRDefault="00000000">
      <w:pPr>
        <w:adjustRightInd w:val="0"/>
        <w:spacing w:line="360" w:lineRule="auto"/>
        <w:ind w:firstLineChars="200" w:firstLine="480"/>
        <w:rPr>
          <w:rFonts w:ascii="Times New Roman"/>
          <w:color w:val="000000" w:themeColor="text1"/>
        </w:rPr>
      </w:pPr>
      <w:r w:rsidRPr="008A2411">
        <w:rPr>
          <w:rFonts w:ascii="Times New Roman"/>
          <w:color w:val="000000" w:themeColor="text1"/>
        </w:rPr>
        <w:t>根据土壤导则附录</w:t>
      </w:r>
      <w:r w:rsidRPr="008A2411">
        <w:rPr>
          <w:rFonts w:ascii="Times New Roman"/>
          <w:color w:val="000000" w:themeColor="text1"/>
        </w:rPr>
        <w:t>E</w:t>
      </w:r>
      <w:r w:rsidRPr="008A2411">
        <w:rPr>
          <w:rFonts w:ascii="Times New Roman"/>
          <w:color w:val="000000" w:themeColor="text1"/>
        </w:rPr>
        <w:t>，项目涉及大气沉降影响的，可不考虑输出量，因此上述公式可简化为如下：</w:t>
      </w:r>
    </w:p>
    <w:p w14:paraId="720C0E4E" w14:textId="77777777" w:rsidR="00B0005F" w:rsidRPr="008A2411" w:rsidRDefault="00000000">
      <w:pPr>
        <w:adjustRightInd w:val="0"/>
        <w:spacing w:line="360" w:lineRule="auto"/>
        <w:ind w:firstLineChars="550" w:firstLine="1320"/>
        <w:rPr>
          <w:rFonts w:ascii="Times New Roman"/>
          <w:color w:val="000000" w:themeColor="text1"/>
        </w:rPr>
      </w:pPr>
      <w:r w:rsidRPr="008A2411">
        <w:rPr>
          <w:rFonts w:ascii="Times New Roman"/>
          <w:noProof/>
          <w:color w:val="000000" w:themeColor="text1"/>
        </w:rPr>
        <w:drawing>
          <wp:inline distT="0" distB="0" distL="0" distR="0" wp14:anchorId="2D59962F" wp14:editId="60E34F6E">
            <wp:extent cx="1657350" cy="299720"/>
            <wp:effectExtent l="0" t="0" r="3810" b="5080"/>
            <wp:docPr id="469" name="图片 4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9" name="图片 469"/>
                    <pic:cNvPicPr>
                      <a:picLocks noChangeAspect="1" noChangeArrowheads="1"/>
                    </pic:cNvPicPr>
                  </pic:nvPicPr>
                  <pic:blipFill>
                    <a:blip r:embed="rId95">
                      <a:extLst>
                        <a:ext uri="{28A0092B-C50C-407E-A947-70E740481C1C}">
                          <a14:useLocalDpi xmlns:a14="http://schemas.microsoft.com/office/drawing/2010/main" val="0"/>
                        </a:ext>
                      </a:extLst>
                    </a:blip>
                    <a:srcRect/>
                    <a:stretch>
                      <a:fillRect/>
                    </a:stretch>
                  </pic:blipFill>
                  <pic:spPr>
                    <a:xfrm>
                      <a:off x="0" y="0"/>
                      <a:ext cx="1695124" cy="307038"/>
                    </a:xfrm>
                    <a:prstGeom prst="rect">
                      <a:avLst/>
                    </a:prstGeom>
                    <a:noFill/>
                    <a:ln>
                      <a:noFill/>
                    </a:ln>
                  </pic:spPr>
                </pic:pic>
              </a:graphicData>
            </a:graphic>
          </wp:inline>
        </w:drawing>
      </w:r>
    </w:p>
    <w:p w14:paraId="538DA7F7" w14:textId="77777777" w:rsidR="00B0005F" w:rsidRPr="008A2411" w:rsidRDefault="00000000">
      <w:pPr>
        <w:adjustRightInd w:val="0"/>
        <w:spacing w:line="360" w:lineRule="auto"/>
        <w:ind w:firstLineChars="200" w:firstLine="480"/>
        <w:jc w:val="left"/>
        <w:rPr>
          <w:rFonts w:ascii="Times New Roman"/>
          <w:color w:val="000000" w:themeColor="text1"/>
        </w:rPr>
      </w:pPr>
      <w:r w:rsidRPr="008A2411">
        <w:rPr>
          <w:rFonts w:ascii="Times New Roman"/>
          <w:color w:val="000000" w:themeColor="text1"/>
        </w:rPr>
        <w:t>②</w:t>
      </w:r>
      <w:r w:rsidRPr="008A2411">
        <w:rPr>
          <w:rFonts w:ascii="Times New Roman"/>
          <w:color w:val="000000" w:themeColor="text1"/>
        </w:rPr>
        <w:t>单位质量土壤中某种物质的预测值可根据其增量叠加现状值进行计算：</w:t>
      </w:r>
    </w:p>
    <w:p w14:paraId="7C71A2A4" w14:textId="77777777" w:rsidR="00B0005F" w:rsidRPr="008A2411" w:rsidRDefault="00000000">
      <w:pPr>
        <w:adjustRightInd w:val="0"/>
        <w:spacing w:line="360" w:lineRule="auto"/>
        <w:ind w:firstLineChars="550" w:firstLine="1320"/>
        <w:rPr>
          <w:rFonts w:ascii="Times New Roman"/>
          <w:color w:val="000000" w:themeColor="text1"/>
        </w:rPr>
      </w:pPr>
      <w:r w:rsidRPr="008A2411">
        <w:rPr>
          <w:rFonts w:ascii="Times New Roman"/>
          <w:noProof/>
          <w:color w:val="000000" w:themeColor="text1"/>
        </w:rPr>
        <w:drawing>
          <wp:inline distT="0" distB="0" distL="0" distR="0" wp14:anchorId="0B6B1E4F" wp14:editId="27766D08">
            <wp:extent cx="974090" cy="227330"/>
            <wp:effectExtent l="0" t="0" r="1270" b="1270"/>
            <wp:docPr id="470" name="图片 4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0" name="图片 470"/>
                    <pic:cNvPicPr>
                      <a:picLocks noChangeAspect="1" noChangeArrowheads="1"/>
                    </pic:cNvPicPr>
                  </pic:nvPicPr>
                  <pic:blipFill>
                    <a:blip r:embed="rId96">
                      <a:extLst>
                        <a:ext uri="{28A0092B-C50C-407E-A947-70E740481C1C}">
                          <a14:useLocalDpi xmlns:a14="http://schemas.microsoft.com/office/drawing/2010/main" val="0"/>
                        </a:ext>
                      </a:extLst>
                    </a:blip>
                    <a:srcRect/>
                    <a:stretch>
                      <a:fillRect/>
                    </a:stretch>
                  </pic:blipFill>
                  <pic:spPr>
                    <a:xfrm>
                      <a:off x="0" y="0"/>
                      <a:ext cx="974741" cy="227388"/>
                    </a:xfrm>
                    <a:prstGeom prst="rect">
                      <a:avLst/>
                    </a:prstGeom>
                    <a:noFill/>
                    <a:ln>
                      <a:noFill/>
                    </a:ln>
                  </pic:spPr>
                </pic:pic>
              </a:graphicData>
            </a:graphic>
          </wp:inline>
        </w:drawing>
      </w:r>
    </w:p>
    <w:p w14:paraId="2E796DB5" w14:textId="77777777" w:rsidR="00B0005F" w:rsidRPr="008A2411" w:rsidRDefault="00000000">
      <w:pPr>
        <w:adjustRightInd w:val="0"/>
        <w:spacing w:line="360" w:lineRule="auto"/>
        <w:ind w:firstLineChars="250" w:firstLine="600"/>
        <w:rPr>
          <w:rFonts w:ascii="Times New Roman"/>
          <w:color w:val="000000" w:themeColor="text1"/>
        </w:rPr>
      </w:pPr>
      <w:r w:rsidRPr="008A2411">
        <w:rPr>
          <w:rFonts w:ascii="Times New Roman"/>
          <w:color w:val="000000" w:themeColor="text1"/>
        </w:rPr>
        <w:t>式中：</w:t>
      </w:r>
      <w:r w:rsidRPr="008A2411">
        <w:rPr>
          <w:rFonts w:ascii="Times New Roman"/>
          <w:color w:val="000000" w:themeColor="text1"/>
        </w:rPr>
        <w:t>Sb——</w:t>
      </w:r>
      <w:r w:rsidRPr="008A2411">
        <w:rPr>
          <w:rFonts w:ascii="Times New Roman"/>
          <w:color w:val="000000" w:themeColor="text1"/>
        </w:rPr>
        <w:t>单位质量表层土壤中某种物质的现状值，</w:t>
      </w:r>
      <w:r w:rsidRPr="008A2411">
        <w:rPr>
          <w:rFonts w:ascii="Times New Roman"/>
          <w:color w:val="000000" w:themeColor="text1"/>
        </w:rPr>
        <w:t>g/kg</w:t>
      </w:r>
      <w:r w:rsidRPr="008A2411">
        <w:rPr>
          <w:rFonts w:ascii="Times New Roman"/>
          <w:color w:val="000000" w:themeColor="text1"/>
        </w:rPr>
        <w:t>；</w:t>
      </w:r>
    </w:p>
    <w:p w14:paraId="0372839C" w14:textId="77777777" w:rsidR="00B0005F" w:rsidRPr="008A2411" w:rsidRDefault="00000000">
      <w:pPr>
        <w:adjustRightInd w:val="0"/>
        <w:spacing w:line="360" w:lineRule="auto"/>
        <w:ind w:firstLineChars="550" w:firstLine="1320"/>
        <w:jc w:val="left"/>
        <w:rPr>
          <w:rFonts w:ascii="Times New Roman"/>
          <w:color w:val="000000" w:themeColor="text1"/>
        </w:rPr>
      </w:pPr>
      <w:r w:rsidRPr="008A2411">
        <w:rPr>
          <w:rFonts w:ascii="Times New Roman"/>
          <w:color w:val="000000" w:themeColor="text1"/>
        </w:rPr>
        <w:t>S——</w:t>
      </w:r>
      <w:r w:rsidRPr="008A2411">
        <w:rPr>
          <w:rFonts w:ascii="Times New Roman"/>
          <w:color w:val="000000" w:themeColor="text1"/>
        </w:rPr>
        <w:t>单位质量表层土壤中某种物质的预测值，</w:t>
      </w:r>
      <w:r w:rsidRPr="008A2411">
        <w:rPr>
          <w:rFonts w:ascii="Times New Roman"/>
          <w:color w:val="000000" w:themeColor="text1"/>
        </w:rPr>
        <w:t>g/kg</w:t>
      </w:r>
      <w:r w:rsidRPr="008A2411">
        <w:rPr>
          <w:rFonts w:ascii="Times New Roman"/>
          <w:color w:val="000000" w:themeColor="text1"/>
        </w:rPr>
        <w:t>。</w:t>
      </w:r>
    </w:p>
    <w:p w14:paraId="5B2FBCC1" w14:textId="77777777" w:rsidR="00B0005F" w:rsidRPr="008A2411" w:rsidRDefault="00000000">
      <w:pPr>
        <w:adjustRightInd w:val="0"/>
        <w:spacing w:line="360" w:lineRule="auto"/>
        <w:ind w:firstLineChars="200" w:firstLine="482"/>
        <w:rPr>
          <w:rFonts w:ascii="Times New Roman"/>
          <w:b/>
          <w:color w:val="000000" w:themeColor="text1"/>
        </w:rPr>
      </w:pPr>
      <w:r w:rsidRPr="008A2411">
        <w:rPr>
          <w:rFonts w:ascii="Times New Roman"/>
          <w:b/>
          <w:color w:val="000000" w:themeColor="text1"/>
        </w:rPr>
        <w:t>D</w:t>
      </w:r>
      <w:r w:rsidRPr="008A2411">
        <w:rPr>
          <w:rFonts w:ascii="Times New Roman"/>
          <w:b/>
          <w:color w:val="000000" w:themeColor="text1"/>
        </w:rPr>
        <w:t>、预测结果</w:t>
      </w:r>
    </w:p>
    <w:p w14:paraId="51692416" w14:textId="77777777" w:rsidR="00B0005F" w:rsidRPr="008A2411" w:rsidRDefault="00000000">
      <w:pPr>
        <w:adjustRightInd w:val="0"/>
        <w:spacing w:line="360" w:lineRule="auto"/>
        <w:ind w:firstLineChars="200" w:firstLine="480"/>
        <w:rPr>
          <w:rFonts w:ascii="Times New Roman"/>
          <w:color w:val="000000" w:themeColor="text1"/>
        </w:rPr>
      </w:pPr>
      <w:r w:rsidRPr="008A2411">
        <w:rPr>
          <w:rFonts w:ascii="Times New Roman"/>
          <w:color w:val="000000" w:themeColor="text1"/>
        </w:rPr>
        <w:t>根据工程分析，</w:t>
      </w:r>
      <w:r w:rsidRPr="008A2411">
        <w:rPr>
          <w:rFonts w:ascii="Times New Roman"/>
          <w:color w:val="000000" w:themeColor="text1"/>
        </w:rPr>
        <w:t>SO</w:t>
      </w:r>
      <w:r w:rsidRPr="008A2411">
        <w:rPr>
          <w:rFonts w:ascii="Times New Roman"/>
          <w:color w:val="000000" w:themeColor="text1"/>
          <w:vertAlign w:val="subscript"/>
        </w:rPr>
        <w:t>2</w:t>
      </w:r>
      <w:r w:rsidRPr="008A2411">
        <w:rPr>
          <w:rFonts w:ascii="Times New Roman"/>
          <w:color w:val="000000" w:themeColor="text1"/>
        </w:rPr>
        <w:t>排放量为</w:t>
      </w:r>
      <w:r w:rsidRPr="008A2411">
        <w:rPr>
          <w:rFonts w:ascii="Times New Roman"/>
          <w:color w:val="000000" w:themeColor="text1"/>
        </w:rPr>
        <w:t>85kg/a</w:t>
      </w:r>
      <w:r w:rsidRPr="008A2411">
        <w:rPr>
          <w:rFonts w:ascii="Times New Roman"/>
          <w:color w:val="000000" w:themeColor="text1"/>
        </w:rPr>
        <w:t>。本次评价按最不利情况，所有</w:t>
      </w:r>
      <w:r w:rsidRPr="008A2411">
        <w:rPr>
          <w:rFonts w:ascii="Times New Roman"/>
          <w:color w:val="000000" w:themeColor="text1"/>
        </w:rPr>
        <w:t>SO</w:t>
      </w:r>
      <w:r w:rsidRPr="008A2411">
        <w:rPr>
          <w:rFonts w:ascii="Times New Roman"/>
          <w:color w:val="000000" w:themeColor="text1"/>
          <w:vertAlign w:val="subscript"/>
        </w:rPr>
        <w:t>2</w:t>
      </w:r>
      <w:r w:rsidRPr="008A2411">
        <w:rPr>
          <w:rFonts w:ascii="Times New Roman"/>
          <w:color w:val="000000" w:themeColor="text1"/>
        </w:rPr>
        <w:t>均在评价范围内沉降。本次评价按照厂界外延</w:t>
      </w:r>
      <w:r w:rsidRPr="008A2411">
        <w:rPr>
          <w:rFonts w:ascii="Times New Roman"/>
          <w:color w:val="000000" w:themeColor="text1"/>
        </w:rPr>
        <w:t>0.2km</w:t>
      </w:r>
      <w:r w:rsidRPr="008A2411">
        <w:rPr>
          <w:rFonts w:ascii="Times New Roman"/>
          <w:color w:val="000000" w:themeColor="text1"/>
        </w:rPr>
        <w:t>区域作为预测评价范围（合计面积约</w:t>
      </w:r>
      <w:r w:rsidRPr="008A2411">
        <w:rPr>
          <w:rFonts w:ascii="Times New Roman"/>
          <w:color w:val="000000" w:themeColor="text1"/>
        </w:rPr>
        <w:t>442600m</w:t>
      </w:r>
      <w:r w:rsidRPr="008A2411">
        <w:rPr>
          <w:rFonts w:ascii="Times New Roman"/>
          <w:color w:val="000000" w:themeColor="text1"/>
          <w:vertAlign w:val="superscript"/>
        </w:rPr>
        <w:t>2</w:t>
      </w:r>
      <w:r w:rsidRPr="008A2411">
        <w:rPr>
          <w:rFonts w:ascii="Times New Roman"/>
          <w:color w:val="000000" w:themeColor="text1"/>
        </w:rPr>
        <w:t>），即</w:t>
      </w:r>
      <w:r w:rsidRPr="008A2411">
        <w:rPr>
          <w:rFonts w:ascii="Times New Roman"/>
          <w:color w:val="000000" w:themeColor="text1"/>
        </w:rPr>
        <w:t>SO</w:t>
      </w:r>
      <w:r w:rsidRPr="008A2411">
        <w:rPr>
          <w:rFonts w:ascii="Times New Roman"/>
          <w:color w:val="000000" w:themeColor="text1"/>
          <w:vertAlign w:val="subscript"/>
        </w:rPr>
        <w:t>2</w:t>
      </w:r>
      <w:r w:rsidRPr="008A2411">
        <w:rPr>
          <w:rFonts w:ascii="Times New Roman"/>
          <w:color w:val="000000" w:themeColor="text1"/>
        </w:rPr>
        <w:t>废气全部沉降在该区域内，设置不同的地块面积情形（分别</w:t>
      </w:r>
      <w:proofErr w:type="gramStart"/>
      <w:r w:rsidRPr="008A2411">
        <w:rPr>
          <w:rFonts w:ascii="Times New Roman"/>
          <w:color w:val="000000" w:themeColor="text1"/>
        </w:rPr>
        <w:t>占预测</w:t>
      </w:r>
      <w:proofErr w:type="gramEnd"/>
      <w:r w:rsidRPr="008A2411">
        <w:rPr>
          <w:rFonts w:ascii="Times New Roman"/>
          <w:color w:val="000000" w:themeColor="text1"/>
        </w:rPr>
        <w:t>评价范围的</w:t>
      </w:r>
      <w:r w:rsidRPr="008A2411">
        <w:rPr>
          <w:rFonts w:ascii="Times New Roman"/>
          <w:color w:val="000000" w:themeColor="text1"/>
        </w:rPr>
        <w:t>5%</w:t>
      </w:r>
      <w:r w:rsidRPr="008A2411">
        <w:rPr>
          <w:rFonts w:ascii="Times New Roman"/>
          <w:color w:val="000000" w:themeColor="text1"/>
        </w:rPr>
        <w:t>、</w:t>
      </w:r>
      <w:r w:rsidRPr="008A2411">
        <w:rPr>
          <w:rFonts w:ascii="Times New Roman"/>
          <w:color w:val="000000" w:themeColor="text1"/>
        </w:rPr>
        <w:t>20%</w:t>
      </w:r>
      <w:r w:rsidRPr="008A2411">
        <w:rPr>
          <w:rFonts w:ascii="Times New Roman"/>
          <w:color w:val="000000" w:themeColor="text1"/>
        </w:rPr>
        <w:t>、</w:t>
      </w:r>
      <w:r w:rsidRPr="008A2411">
        <w:rPr>
          <w:rFonts w:ascii="Times New Roman"/>
          <w:color w:val="000000" w:themeColor="text1"/>
        </w:rPr>
        <w:t>50%</w:t>
      </w:r>
      <w:r w:rsidRPr="008A2411">
        <w:rPr>
          <w:rFonts w:ascii="Times New Roman"/>
          <w:color w:val="000000" w:themeColor="text1"/>
        </w:rPr>
        <w:t>和</w:t>
      </w:r>
      <w:r w:rsidRPr="008A2411">
        <w:rPr>
          <w:rFonts w:ascii="Times New Roman"/>
          <w:color w:val="000000" w:themeColor="text1"/>
        </w:rPr>
        <w:t>100%</w:t>
      </w:r>
      <w:r w:rsidRPr="008A2411">
        <w:rPr>
          <w:rFonts w:ascii="Times New Roman"/>
          <w:color w:val="000000" w:themeColor="text1"/>
        </w:rPr>
        <w:t>）和不同持续年份（分为</w:t>
      </w:r>
      <w:r w:rsidRPr="008A2411">
        <w:rPr>
          <w:rFonts w:ascii="Times New Roman"/>
          <w:color w:val="000000" w:themeColor="text1"/>
        </w:rPr>
        <w:t>1</w:t>
      </w:r>
      <w:r w:rsidRPr="008A2411">
        <w:rPr>
          <w:rFonts w:ascii="Times New Roman"/>
          <w:color w:val="000000" w:themeColor="text1"/>
        </w:rPr>
        <w:t>年、</w:t>
      </w:r>
      <w:r w:rsidRPr="008A2411">
        <w:rPr>
          <w:rFonts w:ascii="Times New Roman"/>
          <w:color w:val="000000" w:themeColor="text1"/>
        </w:rPr>
        <w:t>3</w:t>
      </w:r>
      <w:r w:rsidRPr="008A2411">
        <w:rPr>
          <w:rFonts w:ascii="Times New Roman"/>
          <w:color w:val="000000" w:themeColor="text1"/>
        </w:rPr>
        <w:t>年、</w:t>
      </w:r>
      <w:r w:rsidRPr="008A2411">
        <w:rPr>
          <w:rFonts w:ascii="Times New Roman"/>
          <w:color w:val="000000" w:themeColor="text1"/>
        </w:rPr>
        <w:t>5</w:t>
      </w:r>
      <w:r w:rsidRPr="008A2411">
        <w:rPr>
          <w:rFonts w:ascii="Times New Roman"/>
          <w:color w:val="000000" w:themeColor="text1"/>
        </w:rPr>
        <w:t>年）的情形进行土壤增量预测，其预测情形参数</w:t>
      </w:r>
      <w:proofErr w:type="gramStart"/>
      <w:r w:rsidRPr="008A2411">
        <w:rPr>
          <w:rFonts w:ascii="Times New Roman"/>
          <w:color w:val="000000" w:themeColor="text1"/>
        </w:rPr>
        <w:t>设置见</w:t>
      </w:r>
      <w:proofErr w:type="gramEnd"/>
      <w:r w:rsidRPr="008A2411">
        <w:rPr>
          <w:rFonts w:ascii="Times New Roman"/>
          <w:color w:val="000000" w:themeColor="text1"/>
        </w:rPr>
        <w:t>下表。</w:t>
      </w:r>
    </w:p>
    <w:p w14:paraId="499A3004" w14:textId="77777777" w:rsidR="00B0005F" w:rsidRPr="008A2411" w:rsidRDefault="00000000">
      <w:pPr>
        <w:jc w:val="center"/>
        <w:rPr>
          <w:rFonts w:ascii="Times New Roman" w:eastAsia="黑体"/>
          <w:color w:val="000000" w:themeColor="text1"/>
        </w:rPr>
      </w:pPr>
      <w:r w:rsidRPr="008A2411">
        <w:rPr>
          <w:rFonts w:ascii="Times New Roman" w:eastAsia="黑体"/>
          <w:color w:val="000000" w:themeColor="text1"/>
        </w:rPr>
        <w:t>表</w:t>
      </w:r>
      <w:r w:rsidRPr="008A2411">
        <w:rPr>
          <w:rFonts w:ascii="Times New Roman" w:eastAsia="黑体"/>
          <w:color w:val="000000" w:themeColor="text1"/>
        </w:rPr>
        <w:t xml:space="preserve">5.2-47  </w:t>
      </w:r>
      <w:r w:rsidRPr="008A2411">
        <w:rPr>
          <w:rFonts w:ascii="Times New Roman" w:eastAsia="黑体"/>
          <w:color w:val="000000" w:themeColor="text1"/>
        </w:rPr>
        <w:t>本项目取值参数及依据</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6"/>
        <w:gridCol w:w="1931"/>
        <w:gridCol w:w="5429"/>
      </w:tblGrid>
      <w:tr w:rsidR="008A2411" w:rsidRPr="008A2411" w14:paraId="7D540340" w14:textId="77777777">
        <w:trPr>
          <w:cantSplit/>
          <w:trHeight w:val="340"/>
          <w:jc w:val="center"/>
        </w:trPr>
        <w:tc>
          <w:tcPr>
            <w:tcW w:w="575" w:type="pct"/>
            <w:shd w:val="clear" w:color="auto" w:fill="auto"/>
            <w:tcMar>
              <w:left w:w="0" w:type="dxa"/>
              <w:right w:w="0" w:type="dxa"/>
            </w:tcMar>
            <w:vAlign w:val="center"/>
          </w:tcPr>
          <w:p w14:paraId="3B30E2FE" w14:textId="77777777" w:rsidR="00B0005F" w:rsidRPr="008A2411" w:rsidRDefault="00000000">
            <w:pPr>
              <w:pStyle w:val="TableParagraph"/>
              <w:kinsoku w:val="0"/>
              <w:overflowPunct w:val="0"/>
              <w:adjustRightInd w:val="0"/>
              <w:snapToGrid w:val="0"/>
              <w:jc w:val="center"/>
              <w:rPr>
                <w:rFonts w:ascii="Times New Roman" w:hAnsi="Times New Roman" w:cs="Times New Roman"/>
                <w:b/>
                <w:color w:val="000000" w:themeColor="text1"/>
                <w:sz w:val="21"/>
                <w:szCs w:val="21"/>
              </w:rPr>
            </w:pPr>
            <w:r w:rsidRPr="008A2411">
              <w:rPr>
                <w:rFonts w:ascii="Times New Roman" w:hAnsi="Times New Roman" w:cs="Times New Roman"/>
                <w:b/>
                <w:bCs/>
                <w:color w:val="000000" w:themeColor="text1"/>
                <w:sz w:val="21"/>
                <w:szCs w:val="21"/>
              </w:rPr>
              <w:t>项目</w:t>
            </w:r>
          </w:p>
        </w:tc>
        <w:tc>
          <w:tcPr>
            <w:tcW w:w="1161" w:type="pct"/>
            <w:shd w:val="clear" w:color="auto" w:fill="auto"/>
            <w:tcMar>
              <w:left w:w="0" w:type="dxa"/>
              <w:right w:w="0" w:type="dxa"/>
            </w:tcMar>
            <w:vAlign w:val="center"/>
          </w:tcPr>
          <w:p w14:paraId="5D81066F" w14:textId="77777777" w:rsidR="00B0005F" w:rsidRPr="008A2411" w:rsidRDefault="00000000">
            <w:pPr>
              <w:pStyle w:val="TableParagraph"/>
              <w:kinsoku w:val="0"/>
              <w:overflowPunct w:val="0"/>
              <w:adjustRightInd w:val="0"/>
              <w:snapToGrid w:val="0"/>
              <w:jc w:val="center"/>
              <w:rPr>
                <w:rFonts w:ascii="Times New Roman" w:hAnsi="Times New Roman" w:cs="Times New Roman"/>
                <w:b/>
                <w:color w:val="000000" w:themeColor="text1"/>
                <w:sz w:val="21"/>
                <w:szCs w:val="21"/>
              </w:rPr>
            </w:pPr>
            <w:r w:rsidRPr="008A2411">
              <w:rPr>
                <w:rFonts w:ascii="Times New Roman" w:hAnsi="Times New Roman" w:cs="Times New Roman"/>
                <w:b/>
                <w:bCs/>
                <w:color w:val="000000" w:themeColor="text1"/>
                <w:sz w:val="21"/>
                <w:szCs w:val="21"/>
              </w:rPr>
              <w:t>取值</w:t>
            </w:r>
          </w:p>
        </w:tc>
        <w:tc>
          <w:tcPr>
            <w:tcW w:w="3263" w:type="pct"/>
            <w:shd w:val="clear" w:color="auto" w:fill="auto"/>
            <w:tcMar>
              <w:left w:w="0" w:type="dxa"/>
              <w:right w:w="0" w:type="dxa"/>
            </w:tcMar>
            <w:vAlign w:val="center"/>
          </w:tcPr>
          <w:p w14:paraId="39E0BA33" w14:textId="77777777" w:rsidR="00B0005F" w:rsidRPr="008A2411" w:rsidRDefault="00000000">
            <w:pPr>
              <w:pStyle w:val="TableParagraph"/>
              <w:kinsoku w:val="0"/>
              <w:overflowPunct w:val="0"/>
              <w:adjustRightInd w:val="0"/>
              <w:snapToGrid w:val="0"/>
              <w:jc w:val="center"/>
              <w:rPr>
                <w:rFonts w:ascii="Times New Roman" w:hAnsi="Times New Roman" w:cs="Times New Roman"/>
                <w:b/>
                <w:color w:val="000000" w:themeColor="text1"/>
                <w:spacing w:val="1"/>
                <w:w w:val="90"/>
                <w:sz w:val="21"/>
                <w:szCs w:val="21"/>
              </w:rPr>
            </w:pPr>
            <w:r w:rsidRPr="008A2411">
              <w:rPr>
                <w:rFonts w:ascii="Times New Roman" w:hAnsi="Times New Roman" w:cs="Times New Roman"/>
                <w:b/>
                <w:bCs/>
                <w:color w:val="000000" w:themeColor="text1"/>
                <w:sz w:val="21"/>
                <w:szCs w:val="21"/>
              </w:rPr>
              <w:t>取值说明</w:t>
            </w:r>
          </w:p>
        </w:tc>
      </w:tr>
      <w:tr w:rsidR="008A2411" w:rsidRPr="008A2411" w14:paraId="359EADE8" w14:textId="77777777">
        <w:trPr>
          <w:cantSplit/>
          <w:trHeight w:val="340"/>
          <w:jc w:val="center"/>
        </w:trPr>
        <w:tc>
          <w:tcPr>
            <w:tcW w:w="575" w:type="pct"/>
            <w:shd w:val="clear" w:color="auto" w:fill="auto"/>
            <w:tcMar>
              <w:left w:w="0" w:type="dxa"/>
              <w:right w:w="0" w:type="dxa"/>
            </w:tcMar>
            <w:vAlign w:val="center"/>
          </w:tcPr>
          <w:p w14:paraId="1B0DAE74" w14:textId="77777777" w:rsidR="00B0005F" w:rsidRPr="008A2411" w:rsidRDefault="00000000">
            <w:pPr>
              <w:pStyle w:val="TableParagraph"/>
              <w:kinsoku w:val="0"/>
              <w:overflowPunct w:val="0"/>
              <w:adjustRightInd w:val="0"/>
              <w:snapToGrid w:val="0"/>
              <w:jc w:val="center"/>
              <w:rPr>
                <w:rFonts w:ascii="Times New Roman" w:hAnsi="Times New Roman" w:cs="Times New Roman"/>
                <w:color w:val="000000" w:themeColor="text1"/>
                <w:sz w:val="21"/>
                <w:szCs w:val="21"/>
              </w:rPr>
            </w:pPr>
            <w:r w:rsidRPr="008A2411">
              <w:rPr>
                <w:rFonts w:ascii="Times New Roman" w:hAnsi="Times New Roman" w:cs="Times New Roman"/>
                <w:bCs/>
                <w:color w:val="000000" w:themeColor="text1"/>
                <w:sz w:val="21"/>
                <w:szCs w:val="21"/>
              </w:rPr>
              <w:t>ρb</w:t>
            </w:r>
          </w:p>
        </w:tc>
        <w:tc>
          <w:tcPr>
            <w:tcW w:w="1161" w:type="pct"/>
            <w:shd w:val="clear" w:color="auto" w:fill="auto"/>
            <w:tcMar>
              <w:left w:w="0" w:type="dxa"/>
              <w:right w:w="0" w:type="dxa"/>
            </w:tcMar>
            <w:vAlign w:val="center"/>
          </w:tcPr>
          <w:p w14:paraId="76EA69E2" w14:textId="77777777" w:rsidR="00B0005F" w:rsidRPr="008A2411" w:rsidRDefault="00000000">
            <w:pPr>
              <w:pStyle w:val="TableParagraph"/>
              <w:kinsoku w:val="0"/>
              <w:overflowPunct w:val="0"/>
              <w:adjustRightInd w:val="0"/>
              <w:snapToGrid w:val="0"/>
              <w:jc w:val="center"/>
              <w:rPr>
                <w:rFonts w:ascii="Times New Roman" w:hAnsi="Times New Roman" w:cs="Times New Roman"/>
                <w:color w:val="000000" w:themeColor="text1"/>
                <w:sz w:val="21"/>
                <w:szCs w:val="21"/>
              </w:rPr>
            </w:pPr>
            <w:r w:rsidRPr="008A2411">
              <w:rPr>
                <w:rFonts w:ascii="Times New Roman" w:hAnsi="Times New Roman" w:cs="Times New Roman"/>
                <w:bCs/>
                <w:color w:val="000000" w:themeColor="text1"/>
                <w:sz w:val="21"/>
                <w:szCs w:val="21"/>
              </w:rPr>
              <w:t>1.</w:t>
            </w:r>
            <w:r w:rsidRPr="008A2411">
              <w:rPr>
                <w:rFonts w:ascii="Times New Roman" w:hAnsi="Times New Roman" w:cs="Times New Roman"/>
                <w:bCs/>
                <w:color w:val="000000" w:themeColor="text1"/>
                <w:sz w:val="21"/>
                <w:szCs w:val="21"/>
                <w:lang w:eastAsia="zh-CN"/>
              </w:rPr>
              <w:t>34</w:t>
            </w:r>
            <w:r w:rsidRPr="008A2411">
              <w:rPr>
                <w:rFonts w:ascii="Times New Roman" w:hAnsi="Times New Roman" w:cs="Times New Roman"/>
                <w:bCs/>
                <w:color w:val="000000" w:themeColor="text1"/>
                <w:sz w:val="21"/>
                <w:szCs w:val="21"/>
              </w:rPr>
              <w:t>×10</w:t>
            </w:r>
            <w:r w:rsidRPr="008A2411">
              <w:rPr>
                <w:rFonts w:ascii="Times New Roman" w:hAnsi="Times New Roman" w:cs="Times New Roman"/>
                <w:bCs/>
                <w:color w:val="000000" w:themeColor="text1"/>
                <w:sz w:val="21"/>
                <w:szCs w:val="21"/>
                <w:vertAlign w:val="superscript"/>
              </w:rPr>
              <w:t>3</w:t>
            </w:r>
            <w:r w:rsidRPr="008A2411">
              <w:rPr>
                <w:rFonts w:ascii="Times New Roman" w:hAnsi="Times New Roman" w:cs="Times New Roman"/>
                <w:bCs/>
                <w:color w:val="000000" w:themeColor="text1"/>
                <w:sz w:val="21"/>
                <w:szCs w:val="21"/>
              </w:rPr>
              <w:t>kg/m</w:t>
            </w:r>
            <w:r w:rsidRPr="008A2411">
              <w:rPr>
                <w:rFonts w:ascii="Times New Roman" w:hAnsi="Times New Roman" w:cs="Times New Roman"/>
                <w:bCs/>
                <w:color w:val="000000" w:themeColor="text1"/>
                <w:sz w:val="21"/>
                <w:szCs w:val="21"/>
                <w:vertAlign w:val="superscript"/>
              </w:rPr>
              <w:t>3</w:t>
            </w:r>
          </w:p>
        </w:tc>
        <w:tc>
          <w:tcPr>
            <w:tcW w:w="3263" w:type="pct"/>
            <w:shd w:val="clear" w:color="auto" w:fill="auto"/>
            <w:tcMar>
              <w:left w:w="0" w:type="dxa"/>
              <w:right w:w="0" w:type="dxa"/>
            </w:tcMar>
            <w:vAlign w:val="center"/>
          </w:tcPr>
          <w:p w14:paraId="19ED09D3" w14:textId="77777777" w:rsidR="00B0005F" w:rsidRPr="008A2411" w:rsidRDefault="00000000">
            <w:pPr>
              <w:pStyle w:val="TableParagraph"/>
              <w:kinsoku w:val="0"/>
              <w:overflowPunct w:val="0"/>
              <w:adjustRightInd w:val="0"/>
              <w:snapToGrid w:val="0"/>
              <w:jc w:val="center"/>
              <w:rPr>
                <w:rFonts w:ascii="Times New Roman" w:hAnsi="Times New Roman" w:cs="Times New Roman"/>
                <w:color w:val="000000" w:themeColor="text1"/>
                <w:spacing w:val="1"/>
                <w:w w:val="90"/>
                <w:sz w:val="21"/>
                <w:szCs w:val="21"/>
                <w:lang w:eastAsia="zh-CN"/>
              </w:rPr>
            </w:pPr>
            <w:r w:rsidRPr="008A2411">
              <w:rPr>
                <w:rFonts w:ascii="Times New Roman" w:hAnsi="Times New Roman" w:cs="Times New Roman"/>
                <w:bCs/>
                <w:color w:val="000000" w:themeColor="text1"/>
                <w:sz w:val="21"/>
                <w:szCs w:val="21"/>
                <w:lang w:eastAsia="zh-CN"/>
              </w:rPr>
              <w:t>根据</w:t>
            </w:r>
            <w:proofErr w:type="gramStart"/>
            <w:r w:rsidRPr="008A2411">
              <w:rPr>
                <w:rFonts w:ascii="Times New Roman" w:hAnsi="Times New Roman" w:cs="Times New Roman"/>
                <w:bCs/>
                <w:color w:val="000000" w:themeColor="text1"/>
                <w:sz w:val="21"/>
                <w:szCs w:val="21"/>
                <w:lang w:eastAsia="zh-CN"/>
              </w:rPr>
              <w:t>表层土岩性</w:t>
            </w:r>
            <w:proofErr w:type="gramEnd"/>
            <w:r w:rsidRPr="008A2411">
              <w:rPr>
                <w:rFonts w:ascii="Times New Roman" w:hAnsi="Times New Roman" w:cs="Times New Roman"/>
                <w:bCs/>
                <w:color w:val="000000" w:themeColor="text1"/>
                <w:sz w:val="21"/>
                <w:szCs w:val="21"/>
                <w:lang w:eastAsia="zh-CN"/>
              </w:rPr>
              <w:t>，查阅区域土壤理化性质监测资料</w:t>
            </w:r>
          </w:p>
        </w:tc>
      </w:tr>
      <w:tr w:rsidR="008A2411" w:rsidRPr="008A2411" w14:paraId="213BB7D1" w14:textId="77777777">
        <w:trPr>
          <w:cantSplit/>
          <w:trHeight w:val="340"/>
          <w:jc w:val="center"/>
        </w:trPr>
        <w:tc>
          <w:tcPr>
            <w:tcW w:w="575" w:type="pct"/>
            <w:shd w:val="clear" w:color="auto" w:fill="auto"/>
            <w:tcMar>
              <w:left w:w="0" w:type="dxa"/>
              <w:right w:w="0" w:type="dxa"/>
            </w:tcMar>
            <w:vAlign w:val="center"/>
          </w:tcPr>
          <w:p w14:paraId="23827759" w14:textId="77777777" w:rsidR="00B0005F" w:rsidRPr="008A2411" w:rsidRDefault="00000000">
            <w:pPr>
              <w:pStyle w:val="TableParagraph"/>
              <w:kinsoku w:val="0"/>
              <w:overflowPunct w:val="0"/>
              <w:adjustRightInd w:val="0"/>
              <w:snapToGrid w:val="0"/>
              <w:jc w:val="center"/>
              <w:rPr>
                <w:rFonts w:ascii="Times New Roman" w:hAnsi="Times New Roman" w:cs="Times New Roman"/>
                <w:color w:val="000000" w:themeColor="text1"/>
                <w:sz w:val="21"/>
                <w:szCs w:val="21"/>
              </w:rPr>
            </w:pPr>
            <w:r w:rsidRPr="008A2411">
              <w:rPr>
                <w:rFonts w:ascii="Times New Roman" w:hAnsi="Times New Roman" w:cs="Times New Roman"/>
                <w:bCs/>
                <w:color w:val="000000" w:themeColor="text1"/>
                <w:sz w:val="21"/>
                <w:szCs w:val="21"/>
              </w:rPr>
              <w:t>A</w:t>
            </w:r>
          </w:p>
        </w:tc>
        <w:tc>
          <w:tcPr>
            <w:tcW w:w="1161" w:type="pct"/>
            <w:shd w:val="clear" w:color="auto" w:fill="auto"/>
            <w:tcMar>
              <w:left w:w="0" w:type="dxa"/>
              <w:right w:w="0" w:type="dxa"/>
            </w:tcMar>
            <w:vAlign w:val="center"/>
          </w:tcPr>
          <w:p w14:paraId="5F29518B" w14:textId="77777777" w:rsidR="00B0005F" w:rsidRPr="008A2411" w:rsidRDefault="00000000">
            <w:pPr>
              <w:pStyle w:val="TableParagraph"/>
              <w:kinsoku w:val="0"/>
              <w:overflowPunct w:val="0"/>
              <w:adjustRightInd w:val="0"/>
              <w:snapToGrid w:val="0"/>
              <w:jc w:val="center"/>
              <w:rPr>
                <w:rFonts w:ascii="Times New Roman" w:hAnsi="Times New Roman" w:cs="Times New Roman"/>
                <w:color w:val="000000" w:themeColor="text1"/>
                <w:sz w:val="21"/>
                <w:szCs w:val="21"/>
              </w:rPr>
            </w:pPr>
            <w:r w:rsidRPr="008A2411">
              <w:rPr>
                <w:rFonts w:ascii="Times New Roman" w:hAnsi="Times New Roman" w:cs="Times New Roman"/>
                <w:bCs/>
                <w:color w:val="000000" w:themeColor="text1"/>
                <w:sz w:val="21"/>
                <w:szCs w:val="21"/>
                <w:lang w:eastAsia="zh-CN"/>
              </w:rPr>
              <w:t>442600</w:t>
            </w:r>
            <w:r w:rsidRPr="008A2411">
              <w:rPr>
                <w:rFonts w:ascii="Times New Roman" w:hAnsi="Times New Roman" w:cs="Times New Roman"/>
                <w:bCs/>
                <w:color w:val="000000" w:themeColor="text1"/>
                <w:sz w:val="21"/>
                <w:szCs w:val="21"/>
              </w:rPr>
              <w:t>m</w:t>
            </w:r>
            <w:r w:rsidRPr="008A2411">
              <w:rPr>
                <w:rFonts w:ascii="Times New Roman" w:hAnsi="Times New Roman" w:cs="Times New Roman"/>
                <w:bCs/>
                <w:color w:val="000000" w:themeColor="text1"/>
                <w:sz w:val="21"/>
                <w:szCs w:val="21"/>
                <w:vertAlign w:val="superscript"/>
              </w:rPr>
              <w:t>2</w:t>
            </w:r>
          </w:p>
        </w:tc>
        <w:tc>
          <w:tcPr>
            <w:tcW w:w="3263" w:type="pct"/>
            <w:shd w:val="clear" w:color="auto" w:fill="auto"/>
            <w:tcMar>
              <w:left w:w="0" w:type="dxa"/>
              <w:right w:w="0" w:type="dxa"/>
            </w:tcMar>
            <w:vAlign w:val="center"/>
          </w:tcPr>
          <w:p w14:paraId="4F2A34E3" w14:textId="77777777" w:rsidR="00B0005F" w:rsidRPr="008A2411" w:rsidRDefault="00000000">
            <w:pPr>
              <w:pStyle w:val="TableParagraph"/>
              <w:kinsoku w:val="0"/>
              <w:overflowPunct w:val="0"/>
              <w:adjustRightInd w:val="0"/>
              <w:snapToGrid w:val="0"/>
              <w:jc w:val="center"/>
              <w:rPr>
                <w:rFonts w:ascii="Times New Roman" w:hAnsi="Times New Roman" w:cs="Times New Roman"/>
                <w:color w:val="000000" w:themeColor="text1"/>
                <w:spacing w:val="1"/>
                <w:w w:val="90"/>
                <w:sz w:val="21"/>
                <w:szCs w:val="21"/>
                <w:lang w:eastAsia="zh-CN"/>
              </w:rPr>
            </w:pPr>
            <w:r w:rsidRPr="008A2411">
              <w:rPr>
                <w:rFonts w:ascii="Times New Roman" w:hAnsi="Times New Roman" w:cs="Times New Roman"/>
                <w:bCs/>
                <w:color w:val="000000" w:themeColor="text1"/>
                <w:sz w:val="21"/>
                <w:szCs w:val="21"/>
                <w:lang w:eastAsia="zh-CN"/>
              </w:rPr>
              <w:t>占地范围内及其外侧</w:t>
            </w:r>
            <w:r w:rsidRPr="008A2411">
              <w:rPr>
                <w:rFonts w:ascii="Times New Roman" w:hAnsi="Times New Roman" w:cs="Times New Roman"/>
                <w:bCs/>
                <w:color w:val="000000" w:themeColor="text1"/>
                <w:sz w:val="21"/>
                <w:szCs w:val="21"/>
                <w:lang w:eastAsia="zh-CN"/>
              </w:rPr>
              <w:t>0.2km</w:t>
            </w:r>
            <w:r w:rsidRPr="008A2411">
              <w:rPr>
                <w:rFonts w:ascii="Times New Roman" w:hAnsi="Times New Roman" w:cs="Times New Roman"/>
                <w:bCs/>
                <w:color w:val="000000" w:themeColor="text1"/>
                <w:sz w:val="21"/>
                <w:szCs w:val="21"/>
                <w:lang w:eastAsia="zh-CN"/>
              </w:rPr>
              <w:t>范围内</w:t>
            </w:r>
          </w:p>
        </w:tc>
      </w:tr>
      <w:tr w:rsidR="008A2411" w:rsidRPr="008A2411" w14:paraId="6E158AB7" w14:textId="77777777">
        <w:trPr>
          <w:cantSplit/>
          <w:trHeight w:val="340"/>
          <w:jc w:val="center"/>
        </w:trPr>
        <w:tc>
          <w:tcPr>
            <w:tcW w:w="575" w:type="pct"/>
            <w:shd w:val="clear" w:color="auto" w:fill="auto"/>
            <w:tcMar>
              <w:left w:w="0" w:type="dxa"/>
              <w:right w:w="0" w:type="dxa"/>
            </w:tcMar>
            <w:vAlign w:val="center"/>
          </w:tcPr>
          <w:p w14:paraId="0B078E1E" w14:textId="77777777" w:rsidR="00B0005F" w:rsidRPr="008A2411" w:rsidRDefault="00000000">
            <w:pPr>
              <w:pStyle w:val="TableParagraph"/>
              <w:kinsoku w:val="0"/>
              <w:overflowPunct w:val="0"/>
              <w:adjustRightInd w:val="0"/>
              <w:snapToGrid w:val="0"/>
              <w:jc w:val="center"/>
              <w:rPr>
                <w:rFonts w:ascii="Times New Roman" w:hAnsi="Times New Roman" w:cs="Times New Roman"/>
                <w:color w:val="000000" w:themeColor="text1"/>
                <w:sz w:val="21"/>
                <w:szCs w:val="21"/>
              </w:rPr>
            </w:pPr>
            <w:r w:rsidRPr="008A2411">
              <w:rPr>
                <w:rFonts w:ascii="Times New Roman" w:hAnsi="Times New Roman" w:cs="Times New Roman"/>
                <w:bCs/>
                <w:color w:val="000000" w:themeColor="text1"/>
                <w:sz w:val="21"/>
                <w:szCs w:val="21"/>
              </w:rPr>
              <w:lastRenderedPageBreak/>
              <w:t>D</w:t>
            </w:r>
          </w:p>
        </w:tc>
        <w:tc>
          <w:tcPr>
            <w:tcW w:w="1161" w:type="pct"/>
            <w:shd w:val="clear" w:color="auto" w:fill="auto"/>
            <w:tcMar>
              <w:left w:w="0" w:type="dxa"/>
              <w:right w:w="0" w:type="dxa"/>
            </w:tcMar>
            <w:vAlign w:val="center"/>
          </w:tcPr>
          <w:p w14:paraId="3BE3C96C" w14:textId="77777777" w:rsidR="00B0005F" w:rsidRPr="008A2411" w:rsidRDefault="00000000">
            <w:pPr>
              <w:pStyle w:val="TableParagraph"/>
              <w:kinsoku w:val="0"/>
              <w:overflowPunct w:val="0"/>
              <w:adjustRightInd w:val="0"/>
              <w:snapToGrid w:val="0"/>
              <w:jc w:val="center"/>
              <w:rPr>
                <w:rFonts w:ascii="Times New Roman" w:hAnsi="Times New Roman" w:cs="Times New Roman"/>
                <w:color w:val="000000" w:themeColor="text1"/>
                <w:sz w:val="21"/>
                <w:szCs w:val="21"/>
              </w:rPr>
            </w:pPr>
            <w:r w:rsidRPr="008A2411">
              <w:rPr>
                <w:rFonts w:ascii="Times New Roman" w:hAnsi="Times New Roman" w:cs="Times New Roman"/>
                <w:bCs/>
                <w:color w:val="000000" w:themeColor="text1"/>
                <w:sz w:val="21"/>
                <w:szCs w:val="21"/>
              </w:rPr>
              <w:t>0.2m</w:t>
            </w:r>
          </w:p>
        </w:tc>
        <w:tc>
          <w:tcPr>
            <w:tcW w:w="3263" w:type="pct"/>
            <w:shd w:val="clear" w:color="auto" w:fill="auto"/>
            <w:tcMar>
              <w:left w:w="0" w:type="dxa"/>
              <w:right w:w="0" w:type="dxa"/>
            </w:tcMar>
            <w:vAlign w:val="center"/>
          </w:tcPr>
          <w:p w14:paraId="2CB31ABD" w14:textId="77777777" w:rsidR="00B0005F" w:rsidRPr="008A2411" w:rsidRDefault="00000000">
            <w:pPr>
              <w:pStyle w:val="TableParagraph"/>
              <w:kinsoku w:val="0"/>
              <w:overflowPunct w:val="0"/>
              <w:adjustRightInd w:val="0"/>
              <w:snapToGrid w:val="0"/>
              <w:jc w:val="center"/>
              <w:rPr>
                <w:rFonts w:ascii="Times New Roman" w:hAnsi="Times New Roman" w:cs="Times New Roman"/>
                <w:color w:val="000000" w:themeColor="text1"/>
                <w:spacing w:val="1"/>
                <w:w w:val="90"/>
                <w:sz w:val="21"/>
                <w:szCs w:val="21"/>
              </w:rPr>
            </w:pPr>
            <w:r w:rsidRPr="008A2411">
              <w:rPr>
                <w:rFonts w:ascii="Times New Roman" w:hAnsi="Times New Roman" w:cs="Times New Roman"/>
                <w:bCs/>
                <w:color w:val="000000" w:themeColor="text1"/>
                <w:sz w:val="21"/>
                <w:szCs w:val="21"/>
              </w:rPr>
              <w:t>导则推荐取值</w:t>
            </w:r>
          </w:p>
        </w:tc>
      </w:tr>
      <w:tr w:rsidR="008A2411" w:rsidRPr="008A2411" w14:paraId="496EEF90" w14:textId="77777777">
        <w:trPr>
          <w:cantSplit/>
          <w:trHeight w:val="340"/>
          <w:jc w:val="center"/>
        </w:trPr>
        <w:tc>
          <w:tcPr>
            <w:tcW w:w="575" w:type="pct"/>
            <w:shd w:val="clear" w:color="auto" w:fill="auto"/>
            <w:tcMar>
              <w:left w:w="0" w:type="dxa"/>
              <w:right w:w="0" w:type="dxa"/>
            </w:tcMar>
            <w:vAlign w:val="center"/>
          </w:tcPr>
          <w:p w14:paraId="4B778850" w14:textId="77777777" w:rsidR="00B0005F" w:rsidRPr="008A2411" w:rsidRDefault="00000000">
            <w:pPr>
              <w:pStyle w:val="TableParagraph"/>
              <w:kinsoku w:val="0"/>
              <w:overflowPunct w:val="0"/>
              <w:adjustRightInd w:val="0"/>
              <w:snapToGrid w:val="0"/>
              <w:jc w:val="center"/>
              <w:rPr>
                <w:rFonts w:ascii="Times New Roman" w:hAnsi="Times New Roman" w:cs="Times New Roman"/>
                <w:color w:val="000000" w:themeColor="text1"/>
                <w:sz w:val="21"/>
                <w:szCs w:val="21"/>
              </w:rPr>
            </w:pPr>
            <w:r w:rsidRPr="008A2411">
              <w:rPr>
                <w:rFonts w:ascii="Times New Roman" w:hAnsi="Times New Roman" w:cs="Times New Roman"/>
                <w:bCs/>
                <w:color w:val="000000" w:themeColor="text1"/>
                <w:sz w:val="21"/>
                <w:szCs w:val="21"/>
              </w:rPr>
              <w:t>n</w:t>
            </w:r>
          </w:p>
        </w:tc>
        <w:tc>
          <w:tcPr>
            <w:tcW w:w="1161" w:type="pct"/>
            <w:shd w:val="clear" w:color="auto" w:fill="auto"/>
            <w:tcMar>
              <w:left w:w="0" w:type="dxa"/>
              <w:right w:w="0" w:type="dxa"/>
            </w:tcMar>
            <w:vAlign w:val="center"/>
          </w:tcPr>
          <w:p w14:paraId="43B54C64" w14:textId="77777777" w:rsidR="00B0005F" w:rsidRPr="008A2411" w:rsidRDefault="00000000">
            <w:pPr>
              <w:pStyle w:val="TableParagraph"/>
              <w:kinsoku w:val="0"/>
              <w:overflowPunct w:val="0"/>
              <w:adjustRightInd w:val="0"/>
              <w:snapToGrid w:val="0"/>
              <w:jc w:val="center"/>
              <w:rPr>
                <w:rFonts w:ascii="Times New Roman" w:hAnsi="Times New Roman" w:cs="Times New Roman"/>
                <w:color w:val="000000" w:themeColor="text1"/>
                <w:sz w:val="21"/>
                <w:szCs w:val="21"/>
              </w:rPr>
            </w:pPr>
            <w:r w:rsidRPr="008A2411">
              <w:rPr>
                <w:rFonts w:ascii="Times New Roman" w:hAnsi="Times New Roman" w:cs="Times New Roman"/>
                <w:bCs/>
                <w:color w:val="000000" w:themeColor="text1"/>
                <w:sz w:val="21"/>
                <w:szCs w:val="21"/>
              </w:rPr>
              <w:t>1a</w:t>
            </w:r>
            <w:r w:rsidRPr="008A2411">
              <w:rPr>
                <w:rFonts w:ascii="Times New Roman" w:hAnsi="Times New Roman" w:cs="Times New Roman"/>
                <w:bCs/>
                <w:color w:val="000000" w:themeColor="text1"/>
                <w:sz w:val="21"/>
                <w:szCs w:val="21"/>
              </w:rPr>
              <w:t>、</w:t>
            </w:r>
            <w:r w:rsidRPr="008A2411">
              <w:rPr>
                <w:rFonts w:ascii="Times New Roman" w:hAnsi="Times New Roman" w:cs="Times New Roman"/>
                <w:bCs/>
                <w:color w:val="000000" w:themeColor="text1"/>
                <w:sz w:val="21"/>
                <w:szCs w:val="21"/>
              </w:rPr>
              <w:t>3a</w:t>
            </w:r>
            <w:r w:rsidRPr="008A2411">
              <w:rPr>
                <w:rFonts w:ascii="Times New Roman" w:hAnsi="Times New Roman" w:cs="Times New Roman"/>
                <w:bCs/>
                <w:color w:val="000000" w:themeColor="text1"/>
                <w:sz w:val="21"/>
                <w:szCs w:val="21"/>
              </w:rPr>
              <w:t>、</w:t>
            </w:r>
            <w:r w:rsidRPr="008A2411">
              <w:rPr>
                <w:rFonts w:ascii="Times New Roman" w:hAnsi="Times New Roman" w:cs="Times New Roman"/>
                <w:bCs/>
                <w:color w:val="000000" w:themeColor="text1"/>
                <w:sz w:val="21"/>
                <w:szCs w:val="21"/>
              </w:rPr>
              <w:t>5a</w:t>
            </w:r>
          </w:p>
        </w:tc>
        <w:tc>
          <w:tcPr>
            <w:tcW w:w="3263" w:type="pct"/>
            <w:shd w:val="clear" w:color="auto" w:fill="auto"/>
            <w:tcMar>
              <w:left w:w="0" w:type="dxa"/>
              <w:right w:w="0" w:type="dxa"/>
            </w:tcMar>
            <w:vAlign w:val="center"/>
          </w:tcPr>
          <w:p w14:paraId="1D405E50" w14:textId="77777777" w:rsidR="00B0005F" w:rsidRPr="008A2411" w:rsidRDefault="00000000">
            <w:pPr>
              <w:pStyle w:val="TableParagraph"/>
              <w:kinsoku w:val="0"/>
              <w:overflowPunct w:val="0"/>
              <w:adjustRightInd w:val="0"/>
              <w:snapToGrid w:val="0"/>
              <w:jc w:val="center"/>
              <w:rPr>
                <w:rFonts w:ascii="Times New Roman" w:hAnsi="Times New Roman" w:cs="Times New Roman"/>
                <w:color w:val="000000" w:themeColor="text1"/>
                <w:spacing w:val="1"/>
                <w:w w:val="90"/>
                <w:sz w:val="21"/>
                <w:szCs w:val="21"/>
              </w:rPr>
            </w:pPr>
            <w:r w:rsidRPr="008A2411">
              <w:rPr>
                <w:rFonts w:ascii="Times New Roman" w:hAnsi="Times New Roman" w:cs="Times New Roman"/>
                <w:bCs/>
                <w:color w:val="000000" w:themeColor="text1"/>
                <w:sz w:val="21"/>
                <w:szCs w:val="21"/>
              </w:rPr>
              <w:t>取</w:t>
            </w:r>
            <w:r w:rsidRPr="008A2411">
              <w:rPr>
                <w:rFonts w:ascii="Times New Roman" w:hAnsi="Times New Roman" w:cs="Times New Roman"/>
                <w:color w:val="000000" w:themeColor="text1"/>
                <w:sz w:val="21"/>
                <w:szCs w:val="21"/>
              </w:rPr>
              <w:t>1</w:t>
            </w:r>
            <w:r w:rsidRPr="008A2411">
              <w:rPr>
                <w:rFonts w:ascii="Times New Roman" w:hAnsi="Times New Roman" w:cs="Times New Roman"/>
                <w:color w:val="000000" w:themeColor="text1"/>
                <w:sz w:val="21"/>
                <w:szCs w:val="21"/>
              </w:rPr>
              <w:t>年、</w:t>
            </w:r>
            <w:r w:rsidRPr="008A2411">
              <w:rPr>
                <w:rFonts w:ascii="Times New Roman" w:hAnsi="Times New Roman" w:cs="Times New Roman"/>
                <w:color w:val="000000" w:themeColor="text1"/>
                <w:sz w:val="21"/>
                <w:szCs w:val="21"/>
              </w:rPr>
              <w:t>3</w:t>
            </w:r>
            <w:r w:rsidRPr="008A2411">
              <w:rPr>
                <w:rFonts w:ascii="Times New Roman" w:hAnsi="Times New Roman" w:cs="Times New Roman"/>
                <w:color w:val="000000" w:themeColor="text1"/>
                <w:sz w:val="21"/>
                <w:szCs w:val="21"/>
              </w:rPr>
              <w:t>年、</w:t>
            </w:r>
            <w:r w:rsidRPr="008A2411">
              <w:rPr>
                <w:rFonts w:ascii="Times New Roman" w:hAnsi="Times New Roman" w:cs="Times New Roman"/>
                <w:color w:val="000000" w:themeColor="text1"/>
                <w:sz w:val="21"/>
                <w:szCs w:val="21"/>
              </w:rPr>
              <w:t>5</w:t>
            </w:r>
            <w:r w:rsidRPr="008A2411">
              <w:rPr>
                <w:rFonts w:ascii="Times New Roman" w:hAnsi="Times New Roman" w:cs="Times New Roman"/>
                <w:color w:val="000000" w:themeColor="text1"/>
                <w:sz w:val="21"/>
                <w:szCs w:val="21"/>
              </w:rPr>
              <w:t>年</w:t>
            </w:r>
          </w:p>
        </w:tc>
      </w:tr>
    </w:tbl>
    <w:p w14:paraId="3FE9529C" w14:textId="77777777" w:rsidR="00B0005F" w:rsidRPr="008A2411" w:rsidRDefault="00000000">
      <w:pPr>
        <w:pStyle w:val="a9"/>
        <w:kinsoku w:val="0"/>
        <w:overflowPunct w:val="0"/>
        <w:spacing w:after="0" w:line="360" w:lineRule="auto"/>
        <w:ind w:firstLineChars="200" w:firstLine="496"/>
        <w:rPr>
          <w:rFonts w:ascii="Times New Roman"/>
          <w:b/>
          <w:color w:val="000000" w:themeColor="text1"/>
          <w:spacing w:val="4"/>
          <w:sz w:val="24"/>
        </w:rPr>
      </w:pPr>
      <w:r w:rsidRPr="008A2411">
        <w:rPr>
          <w:rFonts w:ascii="Times New Roman"/>
          <w:color w:val="000000" w:themeColor="text1"/>
          <w:spacing w:val="4"/>
          <w:sz w:val="24"/>
        </w:rPr>
        <w:t>土壤中污染物质累积量预测结果见下表所示：</w:t>
      </w:r>
    </w:p>
    <w:p w14:paraId="751308B4" w14:textId="77777777" w:rsidR="00B0005F" w:rsidRPr="008A2411" w:rsidRDefault="00000000">
      <w:pPr>
        <w:jc w:val="center"/>
        <w:rPr>
          <w:rFonts w:ascii="Times New Roman" w:eastAsia="黑体"/>
          <w:color w:val="000000" w:themeColor="text1"/>
        </w:rPr>
      </w:pPr>
      <w:r w:rsidRPr="008A2411">
        <w:rPr>
          <w:rFonts w:ascii="Times New Roman" w:eastAsia="黑体"/>
          <w:color w:val="000000" w:themeColor="text1"/>
        </w:rPr>
        <w:t>表</w:t>
      </w:r>
      <w:r w:rsidRPr="008A2411">
        <w:rPr>
          <w:rFonts w:ascii="Times New Roman" w:eastAsia="黑体"/>
          <w:color w:val="000000" w:themeColor="text1"/>
        </w:rPr>
        <w:t xml:space="preserve">5.2-48  </w:t>
      </w:r>
      <w:bookmarkStart w:id="499" w:name="_Ref24479565"/>
      <w:r w:rsidRPr="008A2411">
        <w:rPr>
          <w:rFonts w:ascii="Times New Roman" w:eastAsia="黑体"/>
          <w:color w:val="000000" w:themeColor="text1"/>
        </w:rPr>
        <w:t>预测结果一览表</w:t>
      </w:r>
      <w:bookmarkEnd w:id="499"/>
    </w:p>
    <w:tbl>
      <w:tblPr>
        <w:tblStyle w:val="affff9"/>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3"/>
        <w:gridCol w:w="846"/>
        <w:gridCol w:w="1138"/>
        <w:gridCol w:w="870"/>
        <w:gridCol w:w="800"/>
        <w:gridCol w:w="1052"/>
        <w:gridCol w:w="1173"/>
        <w:gridCol w:w="1010"/>
        <w:gridCol w:w="1010"/>
      </w:tblGrid>
      <w:tr w:rsidR="008A2411" w:rsidRPr="008A2411" w14:paraId="5ECBFF43" w14:textId="77777777">
        <w:tc>
          <w:tcPr>
            <w:tcW w:w="366" w:type="pct"/>
            <w:vAlign w:val="center"/>
          </w:tcPr>
          <w:p w14:paraId="7641E004"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预测因子</w:t>
            </w:r>
          </w:p>
        </w:tc>
        <w:tc>
          <w:tcPr>
            <w:tcW w:w="496" w:type="pct"/>
            <w:vAlign w:val="center"/>
          </w:tcPr>
          <w:p w14:paraId="583BF8C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n</w:t>
            </w:r>
          </w:p>
          <w:p w14:paraId="0FC2F555"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（年）</w:t>
            </w:r>
          </w:p>
        </w:tc>
        <w:tc>
          <w:tcPr>
            <w:tcW w:w="666" w:type="pct"/>
            <w:vAlign w:val="center"/>
          </w:tcPr>
          <w:p w14:paraId="454A82F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ρb</w:t>
            </w:r>
          </w:p>
          <w:p w14:paraId="568F0356" w14:textId="77777777" w:rsidR="00B0005F" w:rsidRPr="008A2411" w:rsidRDefault="00000000">
            <w:pPr>
              <w:jc w:val="center"/>
              <w:rPr>
                <w:rFonts w:ascii="Times New Roman"/>
                <w:color w:val="000000" w:themeColor="text1"/>
                <w:sz w:val="21"/>
                <w:szCs w:val="21"/>
              </w:rPr>
            </w:pPr>
            <w:r w:rsidRPr="008A2411">
              <w:rPr>
                <w:rFonts w:ascii="Times New Roman"/>
                <w:bCs/>
                <w:color w:val="000000" w:themeColor="text1"/>
                <w:sz w:val="21"/>
                <w:szCs w:val="21"/>
              </w:rPr>
              <w:t>（</w:t>
            </w:r>
            <w:r w:rsidRPr="008A2411">
              <w:rPr>
                <w:rFonts w:ascii="Times New Roman"/>
                <w:bCs/>
                <w:color w:val="000000" w:themeColor="text1"/>
                <w:sz w:val="21"/>
                <w:szCs w:val="21"/>
              </w:rPr>
              <w:t>kg/m</w:t>
            </w:r>
            <w:r w:rsidRPr="008A2411">
              <w:rPr>
                <w:rFonts w:ascii="Times New Roman"/>
                <w:bCs/>
                <w:color w:val="000000" w:themeColor="text1"/>
                <w:sz w:val="21"/>
                <w:szCs w:val="21"/>
                <w:vertAlign w:val="superscript"/>
              </w:rPr>
              <w:t>3</w:t>
            </w:r>
            <w:r w:rsidRPr="008A2411">
              <w:rPr>
                <w:rFonts w:ascii="Times New Roman"/>
                <w:bCs/>
                <w:color w:val="000000" w:themeColor="text1"/>
                <w:sz w:val="21"/>
                <w:szCs w:val="21"/>
              </w:rPr>
              <w:t>）</w:t>
            </w:r>
          </w:p>
        </w:tc>
        <w:tc>
          <w:tcPr>
            <w:tcW w:w="509" w:type="pct"/>
            <w:vAlign w:val="center"/>
          </w:tcPr>
          <w:p w14:paraId="477FF0A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A</w:t>
            </w:r>
          </w:p>
          <w:p w14:paraId="123F2A0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w:t>
            </w:r>
            <w:r w:rsidRPr="008A2411">
              <w:rPr>
                <w:rFonts w:ascii="Times New Roman"/>
                <w:color w:val="000000" w:themeColor="text1"/>
                <w:sz w:val="21"/>
                <w:szCs w:val="21"/>
              </w:rPr>
              <w:t>m</w:t>
            </w:r>
            <w:r w:rsidRPr="008A2411">
              <w:rPr>
                <w:rFonts w:ascii="Times New Roman"/>
                <w:color w:val="000000" w:themeColor="text1"/>
                <w:sz w:val="21"/>
                <w:szCs w:val="21"/>
                <w:vertAlign w:val="superscript"/>
              </w:rPr>
              <w:t>2</w:t>
            </w:r>
            <w:r w:rsidRPr="008A2411">
              <w:rPr>
                <w:rFonts w:ascii="Times New Roman"/>
                <w:color w:val="000000" w:themeColor="text1"/>
                <w:sz w:val="21"/>
                <w:szCs w:val="21"/>
              </w:rPr>
              <w:t>）</w:t>
            </w:r>
          </w:p>
        </w:tc>
        <w:tc>
          <w:tcPr>
            <w:tcW w:w="469" w:type="pct"/>
            <w:vAlign w:val="center"/>
          </w:tcPr>
          <w:p w14:paraId="1C3C2AB5"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D</w:t>
            </w:r>
          </w:p>
          <w:p w14:paraId="4B3F2544"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w:t>
            </w:r>
            <w:r w:rsidRPr="008A2411">
              <w:rPr>
                <w:rFonts w:ascii="Times New Roman"/>
                <w:color w:val="000000" w:themeColor="text1"/>
                <w:sz w:val="21"/>
                <w:szCs w:val="21"/>
              </w:rPr>
              <w:t>m</w:t>
            </w:r>
            <w:r w:rsidRPr="008A2411">
              <w:rPr>
                <w:rFonts w:ascii="Times New Roman"/>
                <w:color w:val="000000" w:themeColor="text1"/>
                <w:sz w:val="21"/>
                <w:szCs w:val="21"/>
              </w:rPr>
              <w:t>）</w:t>
            </w:r>
          </w:p>
        </w:tc>
        <w:tc>
          <w:tcPr>
            <w:tcW w:w="618" w:type="pct"/>
            <w:vAlign w:val="center"/>
          </w:tcPr>
          <w:p w14:paraId="50856E6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Is</w:t>
            </w:r>
          </w:p>
          <w:p w14:paraId="29EA4BCD" w14:textId="77777777" w:rsidR="00B0005F" w:rsidRPr="008A2411" w:rsidRDefault="00000000">
            <w:pPr>
              <w:jc w:val="center"/>
              <w:rPr>
                <w:rFonts w:ascii="Times New Roman"/>
                <w:color w:val="000000" w:themeColor="text1"/>
                <w:sz w:val="21"/>
                <w:szCs w:val="21"/>
              </w:rPr>
            </w:pPr>
            <w:r w:rsidRPr="008A2411">
              <w:rPr>
                <w:rFonts w:ascii="Times New Roman"/>
                <w:bCs/>
                <w:color w:val="000000" w:themeColor="text1"/>
                <w:sz w:val="21"/>
                <w:szCs w:val="21"/>
              </w:rPr>
              <w:t>（</w:t>
            </w:r>
            <w:r w:rsidRPr="008A2411">
              <w:rPr>
                <w:rFonts w:ascii="Times New Roman"/>
                <w:bCs/>
                <w:color w:val="000000" w:themeColor="text1"/>
                <w:sz w:val="21"/>
                <w:szCs w:val="21"/>
              </w:rPr>
              <w:t>g</w:t>
            </w:r>
            <w:r w:rsidRPr="008A2411">
              <w:rPr>
                <w:rFonts w:ascii="Times New Roman"/>
                <w:bCs/>
                <w:color w:val="000000" w:themeColor="text1"/>
                <w:sz w:val="21"/>
                <w:szCs w:val="21"/>
              </w:rPr>
              <w:t>）</w:t>
            </w:r>
          </w:p>
        </w:tc>
        <w:tc>
          <w:tcPr>
            <w:tcW w:w="688" w:type="pct"/>
            <w:vAlign w:val="center"/>
          </w:tcPr>
          <w:p w14:paraId="1C6AC92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Sb</w:t>
            </w:r>
          </w:p>
          <w:p w14:paraId="47B369D5"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w:t>
            </w:r>
            <w:r w:rsidRPr="008A2411">
              <w:rPr>
                <w:rFonts w:ascii="Times New Roman"/>
                <w:bCs/>
                <w:color w:val="000000" w:themeColor="text1"/>
                <w:sz w:val="21"/>
                <w:szCs w:val="21"/>
              </w:rPr>
              <w:t>mg</w:t>
            </w:r>
            <w:r w:rsidRPr="008A2411">
              <w:rPr>
                <w:rFonts w:ascii="Times New Roman"/>
                <w:color w:val="000000" w:themeColor="text1"/>
                <w:sz w:val="21"/>
                <w:szCs w:val="21"/>
              </w:rPr>
              <w:t>/kg</w:t>
            </w:r>
            <w:r w:rsidRPr="008A2411">
              <w:rPr>
                <w:rFonts w:ascii="Times New Roman"/>
                <w:color w:val="000000" w:themeColor="text1"/>
                <w:sz w:val="21"/>
                <w:szCs w:val="21"/>
              </w:rPr>
              <w:t>）</w:t>
            </w:r>
          </w:p>
        </w:tc>
        <w:tc>
          <w:tcPr>
            <w:tcW w:w="592" w:type="pct"/>
            <w:vAlign w:val="center"/>
          </w:tcPr>
          <w:p w14:paraId="48EFDE9B" w14:textId="77777777" w:rsidR="00B0005F" w:rsidRPr="008A2411" w:rsidRDefault="00000000">
            <w:pPr>
              <w:jc w:val="center"/>
              <w:rPr>
                <w:rFonts w:ascii="Times New Roman"/>
                <w:color w:val="000000" w:themeColor="text1"/>
                <w:sz w:val="21"/>
                <w:szCs w:val="21"/>
              </w:rPr>
            </w:pPr>
            <m:oMathPara>
              <m:oMath>
                <m:r>
                  <m:rPr>
                    <m:sty m:val="p"/>
                  </m:rPr>
                  <w:rPr>
                    <w:rFonts w:ascii="Cambria Math" w:hAnsi="Cambria Math"/>
                    <w:color w:val="000000" w:themeColor="text1"/>
                    <w:sz w:val="21"/>
                    <w:szCs w:val="21"/>
                  </w:rPr>
                  <m:t>∆S</m:t>
                </m:r>
              </m:oMath>
            </m:oMathPara>
          </w:p>
          <w:p w14:paraId="353BAC1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w:t>
            </w:r>
            <w:r w:rsidRPr="008A2411">
              <w:rPr>
                <w:rFonts w:ascii="Times New Roman"/>
                <w:bCs/>
                <w:color w:val="000000" w:themeColor="text1"/>
                <w:sz w:val="21"/>
                <w:szCs w:val="21"/>
              </w:rPr>
              <w:t>g</w:t>
            </w:r>
            <w:r w:rsidRPr="008A2411">
              <w:rPr>
                <w:rFonts w:ascii="Times New Roman"/>
                <w:color w:val="000000" w:themeColor="text1"/>
                <w:sz w:val="21"/>
                <w:szCs w:val="21"/>
              </w:rPr>
              <w:t>/kg</w:t>
            </w:r>
            <w:r w:rsidRPr="008A2411">
              <w:rPr>
                <w:rFonts w:ascii="Times New Roman"/>
                <w:color w:val="000000" w:themeColor="text1"/>
                <w:sz w:val="21"/>
                <w:szCs w:val="21"/>
              </w:rPr>
              <w:t>）</w:t>
            </w:r>
          </w:p>
        </w:tc>
        <w:tc>
          <w:tcPr>
            <w:tcW w:w="592" w:type="pct"/>
            <w:vAlign w:val="center"/>
          </w:tcPr>
          <w:p w14:paraId="4D44ADC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预测值（</w:t>
            </w:r>
            <w:r w:rsidRPr="008A2411">
              <w:rPr>
                <w:rFonts w:ascii="Times New Roman"/>
                <w:bCs/>
                <w:color w:val="000000" w:themeColor="text1"/>
                <w:sz w:val="21"/>
                <w:szCs w:val="21"/>
              </w:rPr>
              <w:t>g</w:t>
            </w:r>
            <w:r w:rsidRPr="008A2411">
              <w:rPr>
                <w:rFonts w:ascii="Times New Roman"/>
                <w:color w:val="000000" w:themeColor="text1"/>
                <w:sz w:val="21"/>
                <w:szCs w:val="21"/>
              </w:rPr>
              <w:t>/kg</w:t>
            </w:r>
            <w:r w:rsidRPr="008A2411">
              <w:rPr>
                <w:rFonts w:ascii="Times New Roman"/>
                <w:color w:val="000000" w:themeColor="text1"/>
                <w:sz w:val="21"/>
                <w:szCs w:val="21"/>
              </w:rPr>
              <w:t>）</w:t>
            </w:r>
          </w:p>
        </w:tc>
      </w:tr>
      <w:tr w:rsidR="008A2411" w:rsidRPr="008A2411" w14:paraId="6F2EC642" w14:textId="77777777">
        <w:tc>
          <w:tcPr>
            <w:tcW w:w="366" w:type="pct"/>
            <w:vMerge w:val="restart"/>
            <w:vAlign w:val="center"/>
          </w:tcPr>
          <w:p w14:paraId="530CA83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SO</w:t>
            </w:r>
            <w:r w:rsidRPr="008A2411">
              <w:rPr>
                <w:rFonts w:ascii="Times New Roman"/>
                <w:color w:val="000000" w:themeColor="text1"/>
                <w:sz w:val="21"/>
                <w:szCs w:val="21"/>
                <w:vertAlign w:val="subscript"/>
              </w:rPr>
              <w:t>2</w:t>
            </w:r>
          </w:p>
        </w:tc>
        <w:tc>
          <w:tcPr>
            <w:tcW w:w="496" w:type="pct"/>
            <w:vMerge w:val="restart"/>
            <w:vAlign w:val="center"/>
          </w:tcPr>
          <w:p w14:paraId="279E685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w:t>
            </w:r>
          </w:p>
        </w:tc>
        <w:tc>
          <w:tcPr>
            <w:tcW w:w="666" w:type="pct"/>
            <w:vMerge w:val="restart"/>
            <w:vAlign w:val="center"/>
          </w:tcPr>
          <w:p w14:paraId="03160FC7" w14:textId="77777777" w:rsidR="00B0005F" w:rsidRPr="008A2411" w:rsidRDefault="00000000">
            <w:pPr>
              <w:jc w:val="center"/>
              <w:rPr>
                <w:rFonts w:ascii="Times New Roman"/>
                <w:color w:val="000000" w:themeColor="text1"/>
                <w:sz w:val="21"/>
                <w:szCs w:val="21"/>
              </w:rPr>
            </w:pPr>
            <w:r w:rsidRPr="008A2411">
              <w:rPr>
                <w:rFonts w:ascii="Times New Roman"/>
                <w:bCs/>
                <w:color w:val="000000" w:themeColor="text1"/>
                <w:sz w:val="21"/>
                <w:szCs w:val="21"/>
              </w:rPr>
              <w:t>1.34×10</w:t>
            </w:r>
            <w:r w:rsidRPr="008A2411">
              <w:rPr>
                <w:rFonts w:ascii="Times New Roman"/>
                <w:bCs/>
                <w:color w:val="000000" w:themeColor="text1"/>
                <w:sz w:val="21"/>
                <w:szCs w:val="21"/>
                <w:vertAlign w:val="superscript"/>
              </w:rPr>
              <w:t>3</w:t>
            </w:r>
          </w:p>
        </w:tc>
        <w:tc>
          <w:tcPr>
            <w:tcW w:w="868" w:type="dxa"/>
            <w:vAlign w:val="center"/>
          </w:tcPr>
          <w:p w14:paraId="0067F8EC" w14:textId="77777777" w:rsidR="00B0005F" w:rsidRPr="008A2411" w:rsidRDefault="00000000">
            <w:pPr>
              <w:widowControl/>
              <w:jc w:val="center"/>
              <w:textAlignment w:val="center"/>
              <w:rPr>
                <w:rFonts w:ascii="Times New Roman" w:eastAsia="等线"/>
                <w:color w:val="000000" w:themeColor="text1"/>
                <w:sz w:val="21"/>
                <w:szCs w:val="21"/>
              </w:rPr>
            </w:pPr>
            <w:r w:rsidRPr="008A2411">
              <w:rPr>
                <w:rFonts w:ascii="Times New Roman"/>
                <w:color w:val="000000" w:themeColor="text1"/>
                <w:sz w:val="21"/>
                <w:szCs w:val="21"/>
                <w:lang w:bidi="ar"/>
              </w:rPr>
              <w:t>22130</w:t>
            </w:r>
          </w:p>
        </w:tc>
        <w:tc>
          <w:tcPr>
            <w:tcW w:w="469" w:type="pct"/>
            <w:vMerge w:val="restart"/>
            <w:vAlign w:val="center"/>
          </w:tcPr>
          <w:p w14:paraId="2FC52EFC" w14:textId="77777777" w:rsidR="00B0005F" w:rsidRPr="008A2411" w:rsidRDefault="00000000">
            <w:pPr>
              <w:jc w:val="center"/>
              <w:rPr>
                <w:rFonts w:ascii="Times New Roman"/>
                <w:color w:val="000000" w:themeColor="text1"/>
                <w:sz w:val="21"/>
                <w:szCs w:val="21"/>
                <w:vertAlign w:val="subscript"/>
              </w:rPr>
            </w:pPr>
            <w:r w:rsidRPr="008A2411">
              <w:rPr>
                <w:rFonts w:ascii="Times New Roman"/>
                <w:color w:val="000000" w:themeColor="text1"/>
                <w:sz w:val="21"/>
                <w:szCs w:val="21"/>
              </w:rPr>
              <w:t>0.2</w:t>
            </w:r>
          </w:p>
        </w:tc>
        <w:tc>
          <w:tcPr>
            <w:tcW w:w="618" w:type="pct"/>
          </w:tcPr>
          <w:p w14:paraId="3AA83B54"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48000</w:t>
            </w:r>
          </w:p>
        </w:tc>
        <w:tc>
          <w:tcPr>
            <w:tcW w:w="688" w:type="pct"/>
            <w:vAlign w:val="center"/>
          </w:tcPr>
          <w:p w14:paraId="62F8E187"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0</w:t>
            </w:r>
          </w:p>
        </w:tc>
        <w:tc>
          <w:tcPr>
            <w:tcW w:w="1010" w:type="dxa"/>
            <w:vAlign w:val="center"/>
          </w:tcPr>
          <w:p w14:paraId="00F0D3FC"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 xml:space="preserve">0.0133 </w:t>
            </w:r>
          </w:p>
        </w:tc>
        <w:tc>
          <w:tcPr>
            <w:tcW w:w="1010" w:type="dxa"/>
            <w:vAlign w:val="center"/>
          </w:tcPr>
          <w:p w14:paraId="32011927"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 xml:space="preserve">0.0133 </w:t>
            </w:r>
          </w:p>
        </w:tc>
      </w:tr>
      <w:tr w:rsidR="008A2411" w:rsidRPr="008A2411" w14:paraId="0B1268C5" w14:textId="77777777">
        <w:tc>
          <w:tcPr>
            <w:tcW w:w="366" w:type="pct"/>
            <w:vMerge/>
            <w:vAlign w:val="center"/>
          </w:tcPr>
          <w:p w14:paraId="7078B631" w14:textId="77777777" w:rsidR="00B0005F" w:rsidRPr="008A2411" w:rsidRDefault="00B0005F">
            <w:pPr>
              <w:jc w:val="center"/>
              <w:rPr>
                <w:rFonts w:ascii="Times New Roman"/>
                <w:color w:val="000000" w:themeColor="text1"/>
                <w:sz w:val="21"/>
                <w:szCs w:val="21"/>
              </w:rPr>
            </w:pPr>
          </w:p>
        </w:tc>
        <w:tc>
          <w:tcPr>
            <w:tcW w:w="496" w:type="pct"/>
            <w:vMerge/>
            <w:vAlign w:val="center"/>
          </w:tcPr>
          <w:p w14:paraId="61F260B9" w14:textId="77777777" w:rsidR="00B0005F" w:rsidRPr="008A2411" w:rsidRDefault="00B0005F">
            <w:pPr>
              <w:jc w:val="center"/>
              <w:rPr>
                <w:rFonts w:ascii="Times New Roman"/>
                <w:color w:val="000000" w:themeColor="text1"/>
                <w:sz w:val="21"/>
                <w:szCs w:val="21"/>
              </w:rPr>
            </w:pPr>
          </w:p>
        </w:tc>
        <w:tc>
          <w:tcPr>
            <w:tcW w:w="666" w:type="pct"/>
            <w:vMerge/>
            <w:vAlign w:val="center"/>
          </w:tcPr>
          <w:p w14:paraId="2A757AD7" w14:textId="77777777" w:rsidR="00B0005F" w:rsidRPr="008A2411" w:rsidRDefault="00B0005F">
            <w:pPr>
              <w:jc w:val="center"/>
              <w:rPr>
                <w:rFonts w:ascii="Times New Roman"/>
                <w:color w:val="000000" w:themeColor="text1"/>
                <w:sz w:val="21"/>
                <w:szCs w:val="21"/>
              </w:rPr>
            </w:pPr>
          </w:p>
        </w:tc>
        <w:tc>
          <w:tcPr>
            <w:tcW w:w="868" w:type="dxa"/>
            <w:vAlign w:val="center"/>
          </w:tcPr>
          <w:p w14:paraId="77F65794" w14:textId="77777777" w:rsidR="00B0005F" w:rsidRPr="008A2411" w:rsidRDefault="00000000">
            <w:pPr>
              <w:widowControl/>
              <w:jc w:val="center"/>
              <w:textAlignment w:val="center"/>
              <w:rPr>
                <w:rFonts w:ascii="Times New Roman" w:eastAsia="等线"/>
                <w:color w:val="000000" w:themeColor="text1"/>
                <w:sz w:val="21"/>
                <w:szCs w:val="21"/>
              </w:rPr>
            </w:pPr>
            <w:r w:rsidRPr="008A2411">
              <w:rPr>
                <w:rFonts w:ascii="Times New Roman"/>
                <w:color w:val="000000" w:themeColor="text1"/>
                <w:sz w:val="21"/>
                <w:szCs w:val="21"/>
                <w:lang w:bidi="ar"/>
              </w:rPr>
              <w:t>88520</w:t>
            </w:r>
          </w:p>
        </w:tc>
        <w:tc>
          <w:tcPr>
            <w:tcW w:w="469" w:type="pct"/>
            <w:vMerge/>
            <w:vAlign w:val="center"/>
          </w:tcPr>
          <w:p w14:paraId="408AC1ED" w14:textId="77777777" w:rsidR="00B0005F" w:rsidRPr="008A2411" w:rsidRDefault="00B0005F">
            <w:pPr>
              <w:jc w:val="center"/>
              <w:rPr>
                <w:rFonts w:ascii="Times New Roman"/>
                <w:color w:val="000000" w:themeColor="text1"/>
                <w:sz w:val="21"/>
                <w:szCs w:val="21"/>
                <w:vertAlign w:val="subscript"/>
              </w:rPr>
            </w:pPr>
          </w:p>
        </w:tc>
        <w:tc>
          <w:tcPr>
            <w:tcW w:w="618" w:type="pct"/>
          </w:tcPr>
          <w:p w14:paraId="263E700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48000</w:t>
            </w:r>
          </w:p>
        </w:tc>
        <w:tc>
          <w:tcPr>
            <w:tcW w:w="688" w:type="pct"/>
            <w:vAlign w:val="center"/>
          </w:tcPr>
          <w:p w14:paraId="445B6DBE"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0</w:t>
            </w:r>
          </w:p>
        </w:tc>
        <w:tc>
          <w:tcPr>
            <w:tcW w:w="1010" w:type="dxa"/>
            <w:vAlign w:val="center"/>
          </w:tcPr>
          <w:p w14:paraId="028DDF47"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 xml:space="preserve">0.0033 </w:t>
            </w:r>
          </w:p>
        </w:tc>
        <w:tc>
          <w:tcPr>
            <w:tcW w:w="1010" w:type="dxa"/>
            <w:vAlign w:val="center"/>
          </w:tcPr>
          <w:p w14:paraId="17BB64B0"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 xml:space="preserve">0.0033 </w:t>
            </w:r>
          </w:p>
        </w:tc>
      </w:tr>
      <w:tr w:rsidR="008A2411" w:rsidRPr="008A2411" w14:paraId="4E7BD9D6" w14:textId="77777777">
        <w:tc>
          <w:tcPr>
            <w:tcW w:w="366" w:type="pct"/>
            <w:vMerge/>
            <w:vAlign w:val="center"/>
          </w:tcPr>
          <w:p w14:paraId="5C49F3DA" w14:textId="77777777" w:rsidR="00B0005F" w:rsidRPr="008A2411" w:rsidRDefault="00B0005F">
            <w:pPr>
              <w:jc w:val="center"/>
              <w:rPr>
                <w:rFonts w:ascii="Times New Roman"/>
                <w:color w:val="000000" w:themeColor="text1"/>
                <w:sz w:val="21"/>
                <w:szCs w:val="21"/>
              </w:rPr>
            </w:pPr>
          </w:p>
        </w:tc>
        <w:tc>
          <w:tcPr>
            <w:tcW w:w="496" w:type="pct"/>
            <w:vMerge/>
            <w:vAlign w:val="center"/>
          </w:tcPr>
          <w:p w14:paraId="1C1CEB6F" w14:textId="77777777" w:rsidR="00B0005F" w:rsidRPr="008A2411" w:rsidRDefault="00B0005F">
            <w:pPr>
              <w:jc w:val="center"/>
              <w:rPr>
                <w:rFonts w:ascii="Times New Roman"/>
                <w:color w:val="000000" w:themeColor="text1"/>
                <w:sz w:val="21"/>
                <w:szCs w:val="21"/>
              </w:rPr>
            </w:pPr>
          </w:p>
        </w:tc>
        <w:tc>
          <w:tcPr>
            <w:tcW w:w="666" w:type="pct"/>
            <w:vMerge/>
            <w:vAlign w:val="center"/>
          </w:tcPr>
          <w:p w14:paraId="1C80B0C2" w14:textId="77777777" w:rsidR="00B0005F" w:rsidRPr="008A2411" w:rsidRDefault="00B0005F">
            <w:pPr>
              <w:jc w:val="center"/>
              <w:rPr>
                <w:rFonts w:ascii="Times New Roman"/>
                <w:color w:val="000000" w:themeColor="text1"/>
                <w:sz w:val="21"/>
                <w:szCs w:val="21"/>
              </w:rPr>
            </w:pPr>
          </w:p>
        </w:tc>
        <w:tc>
          <w:tcPr>
            <w:tcW w:w="868" w:type="dxa"/>
            <w:vAlign w:val="center"/>
          </w:tcPr>
          <w:p w14:paraId="1009B522" w14:textId="77777777" w:rsidR="00B0005F" w:rsidRPr="008A2411" w:rsidRDefault="00000000">
            <w:pPr>
              <w:widowControl/>
              <w:jc w:val="center"/>
              <w:textAlignment w:val="center"/>
              <w:rPr>
                <w:rFonts w:ascii="Times New Roman" w:eastAsia="等线"/>
                <w:color w:val="000000" w:themeColor="text1"/>
                <w:sz w:val="21"/>
                <w:szCs w:val="21"/>
              </w:rPr>
            </w:pPr>
            <w:r w:rsidRPr="008A2411">
              <w:rPr>
                <w:rFonts w:ascii="Times New Roman"/>
                <w:color w:val="000000" w:themeColor="text1"/>
                <w:sz w:val="21"/>
                <w:szCs w:val="21"/>
                <w:lang w:bidi="ar"/>
              </w:rPr>
              <w:t>221300</w:t>
            </w:r>
          </w:p>
        </w:tc>
        <w:tc>
          <w:tcPr>
            <w:tcW w:w="469" w:type="pct"/>
            <w:vMerge/>
            <w:vAlign w:val="center"/>
          </w:tcPr>
          <w:p w14:paraId="5F7684BC" w14:textId="77777777" w:rsidR="00B0005F" w:rsidRPr="008A2411" w:rsidRDefault="00B0005F">
            <w:pPr>
              <w:jc w:val="center"/>
              <w:rPr>
                <w:rFonts w:ascii="Times New Roman"/>
                <w:color w:val="000000" w:themeColor="text1"/>
                <w:sz w:val="21"/>
                <w:szCs w:val="21"/>
                <w:vertAlign w:val="subscript"/>
              </w:rPr>
            </w:pPr>
          </w:p>
        </w:tc>
        <w:tc>
          <w:tcPr>
            <w:tcW w:w="618" w:type="pct"/>
          </w:tcPr>
          <w:p w14:paraId="60CF00A7"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48000</w:t>
            </w:r>
          </w:p>
        </w:tc>
        <w:tc>
          <w:tcPr>
            <w:tcW w:w="688" w:type="pct"/>
            <w:vAlign w:val="center"/>
          </w:tcPr>
          <w:p w14:paraId="0058F724"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0</w:t>
            </w:r>
          </w:p>
        </w:tc>
        <w:tc>
          <w:tcPr>
            <w:tcW w:w="1010" w:type="dxa"/>
            <w:vAlign w:val="center"/>
          </w:tcPr>
          <w:p w14:paraId="700DC5D7"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 xml:space="preserve">0.0014 </w:t>
            </w:r>
          </w:p>
        </w:tc>
        <w:tc>
          <w:tcPr>
            <w:tcW w:w="1010" w:type="dxa"/>
            <w:vAlign w:val="center"/>
          </w:tcPr>
          <w:p w14:paraId="5B6BB7ED"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 xml:space="preserve">0.0014 </w:t>
            </w:r>
          </w:p>
        </w:tc>
      </w:tr>
      <w:tr w:rsidR="008A2411" w:rsidRPr="008A2411" w14:paraId="5AC8970F" w14:textId="77777777">
        <w:tc>
          <w:tcPr>
            <w:tcW w:w="366" w:type="pct"/>
            <w:vMerge/>
            <w:vAlign w:val="center"/>
          </w:tcPr>
          <w:p w14:paraId="0060BF50" w14:textId="77777777" w:rsidR="00B0005F" w:rsidRPr="008A2411" w:rsidRDefault="00B0005F">
            <w:pPr>
              <w:jc w:val="center"/>
              <w:rPr>
                <w:rFonts w:ascii="Times New Roman"/>
                <w:color w:val="000000" w:themeColor="text1"/>
                <w:sz w:val="21"/>
                <w:szCs w:val="21"/>
              </w:rPr>
            </w:pPr>
          </w:p>
        </w:tc>
        <w:tc>
          <w:tcPr>
            <w:tcW w:w="496" w:type="pct"/>
            <w:vMerge/>
            <w:vAlign w:val="center"/>
          </w:tcPr>
          <w:p w14:paraId="1A980800" w14:textId="77777777" w:rsidR="00B0005F" w:rsidRPr="008A2411" w:rsidRDefault="00B0005F">
            <w:pPr>
              <w:jc w:val="center"/>
              <w:rPr>
                <w:rFonts w:ascii="Times New Roman"/>
                <w:color w:val="000000" w:themeColor="text1"/>
                <w:sz w:val="21"/>
                <w:szCs w:val="21"/>
              </w:rPr>
            </w:pPr>
          </w:p>
        </w:tc>
        <w:tc>
          <w:tcPr>
            <w:tcW w:w="666" w:type="pct"/>
            <w:vMerge/>
            <w:vAlign w:val="center"/>
          </w:tcPr>
          <w:p w14:paraId="5577BAB9" w14:textId="77777777" w:rsidR="00B0005F" w:rsidRPr="008A2411" w:rsidRDefault="00B0005F">
            <w:pPr>
              <w:jc w:val="center"/>
              <w:rPr>
                <w:rFonts w:ascii="Times New Roman"/>
                <w:color w:val="000000" w:themeColor="text1"/>
                <w:sz w:val="21"/>
                <w:szCs w:val="21"/>
              </w:rPr>
            </w:pPr>
          </w:p>
        </w:tc>
        <w:tc>
          <w:tcPr>
            <w:tcW w:w="868" w:type="dxa"/>
            <w:vAlign w:val="center"/>
          </w:tcPr>
          <w:p w14:paraId="6D43216E" w14:textId="77777777" w:rsidR="00B0005F" w:rsidRPr="008A2411" w:rsidRDefault="00000000">
            <w:pPr>
              <w:widowControl/>
              <w:jc w:val="center"/>
              <w:textAlignment w:val="center"/>
              <w:rPr>
                <w:rFonts w:ascii="Times New Roman" w:eastAsia="等线"/>
                <w:color w:val="000000" w:themeColor="text1"/>
                <w:sz w:val="21"/>
                <w:szCs w:val="21"/>
              </w:rPr>
            </w:pPr>
            <w:r w:rsidRPr="008A2411">
              <w:rPr>
                <w:rFonts w:ascii="Times New Roman"/>
                <w:color w:val="000000" w:themeColor="text1"/>
                <w:sz w:val="21"/>
                <w:szCs w:val="21"/>
                <w:lang w:bidi="ar"/>
              </w:rPr>
              <w:t>442600</w:t>
            </w:r>
          </w:p>
        </w:tc>
        <w:tc>
          <w:tcPr>
            <w:tcW w:w="469" w:type="pct"/>
            <w:vMerge/>
            <w:vAlign w:val="center"/>
          </w:tcPr>
          <w:p w14:paraId="43665D4A" w14:textId="77777777" w:rsidR="00B0005F" w:rsidRPr="008A2411" w:rsidRDefault="00B0005F">
            <w:pPr>
              <w:jc w:val="center"/>
              <w:rPr>
                <w:rFonts w:ascii="Times New Roman"/>
                <w:color w:val="000000" w:themeColor="text1"/>
                <w:sz w:val="21"/>
                <w:szCs w:val="21"/>
                <w:vertAlign w:val="subscript"/>
              </w:rPr>
            </w:pPr>
          </w:p>
        </w:tc>
        <w:tc>
          <w:tcPr>
            <w:tcW w:w="618" w:type="pct"/>
          </w:tcPr>
          <w:p w14:paraId="4915C21D"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48000</w:t>
            </w:r>
          </w:p>
        </w:tc>
        <w:tc>
          <w:tcPr>
            <w:tcW w:w="688" w:type="pct"/>
            <w:vAlign w:val="center"/>
          </w:tcPr>
          <w:p w14:paraId="62C4B164"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0</w:t>
            </w:r>
          </w:p>
        </w:tc>
        <w:tc>
          <w:tcPr>
            <w:tcW w:w="1010" w:type="dxa"/>
            <w:vAlign w:val="center"/>
          </w:tcPr>
          <w:p w14:paraId="2ED647E2"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 xml:space="preserve">0.0007 </w:t>
            </w:r>
          </w:p>
        </w:tc>
        <w:tc>
          <w:tcPr>
            <w:tcW w:w="1010" w:type="dxa"/>
            <w:vAlign w:val="center"/>
          </w:tcPr>
          <w:p w14:paraId="6D907AEC"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 xml:space="preserve">0.0007 </w:t>
            </w:r>
          </w:p>
        </w:tc>
      </w:tr>
      <w:tr w:rsidR="008A2411" w:rsidRPr="008A2411" w14:paraId="7251431D" w14:textId="77777777">
        <w:tc>
          <w:tcPr>
            <w:tcW w:w="366" w:type="pct"/>
            <w:vMerge/>
            <w:vAlign w:val="center"/>
          </w:tcPr>
          <w:p w14:paraId="5C5806DE" w14:textId="77777777" w:rsidR="00B0005F" w:rsidRPr="008A2411" w:rsidRDefault="00B0005F">
            <w:pPr>
              <w:jc w:val="center"/>
              <w:rPr>
                <w:rFonts w:ascii="Times New Roman"/>
                <w:color w:val="000000" w:themeColor="text1"/>
                <w:sz w:val="21"/>
                <w:szCs w:val="21"/>
              </w:rPr>
            </w:pPr>
          </w:p>
        </w:tc>
        <w:tc>
          <w:tcPr>
            <w:tcW w:w="496" w:type="pct"/>
            <w:vMerge w:val="restart"/>
            <w:vAlign w:val="center"/>
          </w:tcPr>
          <w:p w14:paraId="380C6C7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3</w:t>
            </w:r>
          </w:p>
        </w:tc>
        <w:tc>
          <w:tcPr>
            <w:tcW w:w="666" w:type="pct"/>
            <w:vMerge w:val="restart"/>
            <w:vAlign w:val="center"/>
          </w:tcPr>
          <w:p w14:paraId="4FAA91DC" w14:textId="77777777" w:rsidR="00B0005F" w:rsidRPr="008A2411" w:rsidRDefault="00000000">
            <w:pPr>
              <w:jc w:val="center"/>
              <w:rPr>
                <w:rFonts w:ascii="Times New Roman"/>
                <w:color w:val="000000" w:themeColor="text1"/>
                <w:sz w:val="21"/>
                <w:szCs w:val="21"/>
              </w:rPr>
            </w:pPr>
            <w:r w:rsidRPr="008A2411">
              <w:rPr>
                <w:rFonts w:ascii="Times New Roman"/>
                <w:bCs/>
                <w:color w:val="000000" w:themeColor="text1"/>
                <w:sz w:val="21"/>
                <w:szCs w:val="21"/>
              </w:rPr>
              <w:t>1.34×10</w:t>
            </w:r>
            <w:r w:rsidRPr="008A2411">
              <w:rPr>
                <w:rFonts w:ascii="Times New Roman"/>
                <w:bCs/>
                <w:color w:val="000000" w:themeColor="text1"/>
                <w:sz w:val="21"/>
                <w:szCs w:val="21"/>
                <w:vertAlign w:val="superscript"/>
              </w:rPr>
              <w:t>3</w:t>
            </w:r>
          </w:p>
        </w:tc>
        <w:tc>
          <w:tcPr>
            <w:tcW w:w="868" w:type="dxa"/>
            <w:vAlign w:val="center"/>
          </w:tcPr>
          <w:p w14:paraId="5DAA8354" w14:textId="77777777" w:rsidR="00B0005F" w:rsidRPr="008A2411" w:rsidRDefault="00000000">
            <w:pPr>
              <w:widowControl/>
              <w:jc w:val="center"/>
              <w:textAlignment w:val="center"/>
              <w:rPr>
                <w:rFonts w:ascii="Times New Roman" w:eastAsia="等线"/>
                <w:color w:val="000000" w:themeColor="text1"/>
                <w:sz w:val="21"/>
                <w:szCs w:val="21"/>
              </w:rPr>
            </w:pPr>
            <w:r w:rsidRPr="008A2411">
              <w:rPr>
                <w:rFonts w:ascii="Times New Roman"/>
                <w:color w:val="000000" w:themeColor="text1"/>
                <w:sz w:val="21"/>
                <w:szCs w:val="21"/>
                <w:lang w:bidi="ar"/>
              </w:rPr>
              <w:t>22130</w:t>
            </w:r>
          </w:p>
        </w:tc>
        <w:tc>
          <w:tcPr>
            <w:tcW w:w="469" w:type="pct"/>
            <w:vMerge w:val="restart"/>
            <w:vAlign w:val="center"/>
          </w:tcPr>
          <w:p w14:paraId="717D289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0.2</w:t>
            </w:r>
          </w:p>
        </w:tc>
        <w:tc>
          <w:tcPr>
            <w:tcW w:w="618" w:type="pct"/>
          </w:tcPr>
          <w:p w14:paraId="698C464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48000</w:t>
            </w:r>
          </w:p>
        </w:tc>
        <w:tc>
          <w:tcPr>
            <w:tcW w:w="688" w:type="pct"/>
            <w:vAlign w:val="center"/>
          </w:tcPr>
          <w:p w14:paraId="457229ED"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0</w:t>
            </w:r>
          </w:p>
        </w:tc>
        <w:tc>
          <w:tcPr>
            <w:tcW w:w="1010" w:type="dxa"/>
            <w:vAlign w:val="center"/>
          </w:tcPr>
          <w:p w14:paraId="47BF5226"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 xml:space="preserve">0.0397 </w:t>
            </w:r>
          </w:p>
        </w:tc>
        <w:tc>
          <w:tcPr>
            <w:tcW w:w="1010" w:type="dxa"/>
            <w:vAlign w:val="center"/>
          </w:tcPr>
          <w:p w14:paraId="11BF489C"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 xml:space="preserve">0.0397 </w:t>
            </w:r>
          </w:p>
        </w:tc>
      </w:tr>
      <w:tr w:rsidR="008A2411" w:rsidRPr="008A2411" w14:paraId="12A15ACC" w14:textId="77777777">
        <w:tc>
          <w:tcPr>
            <w:tcW w:w="366" w:type="pct"/>
            <w:vMerge/>
            <w:vAlign w:val="center"/>
          </w:tcPr>
          <w:p w14:paraId="3288A373" w14:textId="77777777" w:rsidR="00B0005F" w:rsidRPr="008A2411" w:rsidRDefault="00B0005F">
            <w:pPr>
              <w:jc w:val="center"/>
              <w:rPr>
                <w:rFonts w:ascii="Times New Roman"/>
                <w:color w:val="000000" w:themeColor="text1"/>
                <w:sz w:val="21"/>
                <w:szCs w:val="21"/>
              </w:rPr>
            </w:pPr>
          </w:p>
        </w:tc>
        <w:tc>
          <w:tcPr>
            <w:tcW w:w="496" w:type="pct"/>
            <w:vMerge/>
            <w:vAlign w:val="center"/>
          </w:tcPr>
          <w:p w14:paraId="3EF34C9E" w14:textId="77777777" w:rsidR="00B0005F" w:rsidRPr="008A2411" w:rsidRDefault="00B0005F">
            <w:pPr>
              <w:jc w:val="center"/>
              <w:rPr>
                <w:rFonts w:ascii="Times New Roman"/>
                <w:color w:val="000000" w:themeColor="text1"/>
                <w:sz w:val="21"/>
                <w:szCs w:val="21"/>
              </w:rPr>
            </w:pPr>
          </w:p>
        </w:tc>
        <w:tc>
          <w:tcPr>
            <w:tcW w:w="666" w:type="pct"/>
            <w:vMerge/>
            <w:vAlign w:val="center"/>
          </w:tcPr>
          <w:p w14:paraId="16CF1B13" w14:textId="77777777" w:rsidR="00B0005F" w:rsidRPr="008A2411" w:rsidRDefault="00B0005F">
            <w:pPr>
              <w:jc w:val="center"/>
              <w:rPr>
                <w:rFonts w:ascii="Times New Roman"/>
                <w:color w:val="000000" w:themeColor="text1"/>
                <w:sz w:val="21"/>
                <w:szCs w:val="21"/>
              </w:rPr>
            </w:pPr>
          </w:p>
        </w:tc>
        <w:tc>
          <w:tcPr>
            <w:tcW w:w="868" w:type="dxa"/>
            <w:vAlign w:val="center"/>
          </w:tcPr>
          <w:p w14:paraId="224E5AEE" w14:textId="77777777" w:rsidR="00B0005F" w:rsidRPr="008A2411" w:rsidRDefault="00000000">
            <w:pPr>
              <w:widowControl/>
              <w:jc w:val="center"/>
              <w:textAlignment w:val="center"/>
              <w:rPr>
                <w:rFonts w:ascii="Times New Roman" w:eastAsia="等线"/>
                <w:color w:val="000000" w:themeColor="text1"/>
                <w:sz w:val="21"/>
                <w:szCs w:val="21"/>
              </w:rPr>
            </w:pPr>
            <w:r w:rsidRPr="008A2411">
              <w:rPr>
                <w:rFonts w:ascii="Times New Roman"/>
                <w:color w:val="000000" w:themeColor="text1"/>
                <w:sz w:val="21"/>
                <w:szCs w:val="21"/>
                <w:lang w:bidi="ar"/>
              </w:rPr>
              <w:t>88520</w:t>
            </w:r>
          </w:p>
        </w:tc>
        <w:tc>
          <w:tcPr>
            <w:tcW w:w="469" w:type="pct"/>
            <w:vMerge/>
            <w:vAlign w:val="center"/>
          </w:tcPr>
          <w:p w14:paraId="33032AB0" w14:textId="77777777" w:rsidR="00B0005F" w:rsidRPr="008A2411" w:rsidRDefault="00B0005F">
            <w:pPr>
              <w:jc w:val="center"/>
              <w:rPr>
                <w:rFonts w:ascii="Times New Roman"/>
                <w:color w:val="000000" w:themeColor="text1"/>
                <w:sz w:val="21"/>
                <w:szCs w:val="21"/>
              </w:rPr>
            </w:pPr>
          </w:p>
        </w:tc>
        <w:tc>
          <w:tcPr>
            <w:tcW w:w="618" w:type="pct"/>
          </w:tcPr>
          <w:p w14:paraId="1B896DB1"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48000</w:t>
            </w:r>
          </w:p>
        </w:tc>
        <w:tc>
          <w:tcPr>
            <w:tcW w:w="688" w:type="pct"/>
            <w:vAlign w:val="center"/>
          </w:tcPr>
          <w:p w14:paraId="0241EB48"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0</w:t>
            </w:r>
          </w:p>
        </w:tc>
        <w:tc>
          <w:tcPr>
            <w:tcW w:w="1010" w:type="dxa"/>
            <w:vAlign w:val="center"/>
          </w:tcPr>
          <w:p w14:paraId="35EBE3AD"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 xml:space="preserve">0.0099 </w:t>
            </w:r>
          </w:p>
        </w:tc>
        <w:tc>
          <w:tcPr>
            <w:tcW w:w="1010" w:type="dxa"/>
            <w:vAlign w:val="center"/>
          </w:tcPr>
          <w:p w14:paraId="358A385F"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 xml:space="preserve">0.0099 </w:t>
            </w:r>
          </w:p>
        </w:tc>
      </w:tr>
      <w:tr w:rsidR="008A2411" w:rsidRPr="008A2411" w14:paraId="27501485" w14:textId="77777777">
        <w:tc>
          <w:tcPr>
            <w:tcW w:w="366" w:type="pct"/>
            <w:vMerge/>
            <w:vAlign w:val="center"/>
          </w:tcPr>
          <w:p w14:paraId="5325061F" w14:textId="77777777" w:rsidR="00B0005F" w:rsidRPr="008A2411" w:rsidRDefault="00B0005F">
            <w:pPr>
              <w:jc w:val="center"/>
              <w:rPr>
                <w:rFonts w:ascii="Times New Roman"/>
                <w:color w:val="000000" w:themeColor="text1"/>
                <w:sz w:val="21"/>
                <w:szCs w:val="21"/>
              </w:rPr>
            </w:pPr>
          </w:p>
        </w:tc>
        <w:tc>
          <w:tcPr>
            <w:tcW w:w="496" w:type="pct"/>
            <w:vMerge/>
            <w:vAlign w:val="center"/>
          </w:tcPr>
          <w:p w14:paraId="4E68AE13" w14:textId="77777777" w:rsidR="00B0005F" w:rsidRPr="008A2411" w:rsidRDefault="00B0005F">
            <w:pPr>
              <w:jc w:val="center"/>
              <w:rPr>
                <w:rFonts w:ascii="Times New Roman"/>
                <w:color w:val="000000" w:themeColor="text1"/>
                <w:sz w:val="21"/>
                <w:szCs w:val="21"/>
              </w:rPr>
            </w:pPr>
          </w:p>
        </w:tc>
        <w:tc>
          <w:tcPr>
            <w:tcW w:w="666" w:type="pct"/>
            <w:vMerge/>
            <w:vAlign w:val="center"/>
          </w:tcPr>
          <w:p w14:paraId="20EAEE70" w14:textId="77777777" w:rsidR="00B0005F" w:rsidRPr="008A2411" w:rsidRDefault="00B0005F">
            <w:pPr>
              <w:jc w:val="center"/>
              <w:rPr>
                <w:rFonts w:ascii="Times New Roman"/>
                <w:color w:val="000000" w:themeColor="text1"/>
                <w:sz w:val="21"/>
                <w:szCs w:val="21"/>
              </w:rPr>
            </w:pPr>
          </w:p>
        </w:tc>
        <w:tc>
          <w:tcPr>
            <w:tcW w:w="868" w:type="dxa"/>
            <w:vAlign w:val="center"/>
          </w:tcPr>
          <w:p w14:paraId="6FCA08DD" w14:textId="77777777" w:rsidR="00B0005F" w:rsidRPr="008A2411" w:rsidRDefault="00000000">
            <w:pPr>
              <w:widowControl/>
              <w:jc w:val="center"/>
              <w:textAlignment w:val="center"/>
              <w:rPr>
                <w:rFonts w:ascii="Times New Roman" w:eastAsia="等线"/>
                <w:color w:val="000000" w:themeColor="text1"/>
                <w:sz w:val="21"/>
                <w:szCs w:val="21"/>
              </w:rPr>
            </w:pPr>
            <w:r w:rsidRPr="008A2411">
              <w:rPr>
                <w:rFonts w:ascii="Times New Roman"/>
                <w:color w:val="000000" w:themeColor="text1"/>
                <w:sz w:val="21"/>
                <w:szCs w:val="21"/>
                <w:lang w:bidi="ar"/>
              </w:rPr>
              <w:t>221300</w:t>
            </w:r>
          </w:p>
        </w:tc>
        <w:tc>
          <w:tcPr>
            <w:tcW w:w="469" w:type="pct"/>
            <w:vMerge/>
            <w:vAlign w:val="center"/>
          </w:tcPr>
          <w:p w14:paraId="34C2FFBF" w14:textId="77777777" w:rsidR="00B0005F" w:rsidRPr="008A2411" w:rsidRDefault="00B0005F">
            <w:pPr>
              <w:jc w:val="center"/>
              <w:rPr>
                <w:rFonts w:ascii="Times New Roman"/>
                <w:color w:val="000000" w:themeColor="text1"/>
                <w:sz w:val="21"/>
                <w:szCs w:val="21"/>
              </w:rPr>
            </w:pPr>
          </w:p>
        </w:tc>
        <w:tc>
          <w:tcPr>
            <w:tcW w:w="618" w:type="pct"/>
          </w:tcPr>
          <w:p w14:paraId="37DA06CC"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48000</w:t>
            </w:r>
          </w:p>
        </w:tc>
        <w:tc>
          <w:tcPr>
            <w:tcW w:w="688" w:type="pct"/>
            <w:vAlign w:val="center"/>
          </w:tcPr>
          <w:p w14:paraId="424393BB"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0</w:t>
            </w:r>
          </w:p>
        </w:tc>
        <w:tc>
          <w:tcPr>
            <w:tcW w:w="1010" w:type="dxa"/>
            <w:vAlign w:val="center"/>
          </w:tcPr>
          <w:p w14:paraId="35873BAF"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 xml:space="preserve">0.0040 </w:t>
            </w:r>
          </w:p>
        </w:tc>
        <w:tc>
          <w:tcPr>
            <w:tcW w:w="1010" w:type="dxa"/>
            <w:vAlign w:val="center"/>
          </w:tcPr>
          <w:p w14:paraId="20097EBE"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 xml:space="preserve">0.0040 </w:t>
            </w:r>
          </w:p>
        </w:tc>
      </w:tr>
      <w:tr w:rsidR="008A2411" w:rsidRPr="008A2411" w14:paraId="60AD1A20" w14:textId="77777777">
        <w:tc>
          <w:tcPr>
            <w:tcW w:w="366" w:type="pct"/>
            <w:vMerge/>
            <w:vAlign w:val="center"/>
          </w:tcPr>
          <w:p w14:paraId="462FEF75" w14:textId="77777777" w:rsidR="00B0005F" w:rsidRPr="008A2411" w:rsidRDefault="00B0005F">
            <w:pPr>
              <w:jc w:val="center"/>
              <w:rPr>
                <w:rFonts w:ascii="Times New Roman"/>
                <w:color w:val="000000" w:themeColor="text1"/>
                <w:sz w:val="21"/>
                <w:szCs w:val="21"/>
              </w:rPr>
            </w:pPr>
          </w:p>
        </w:tc>
        <w:tc>
          <w:tcPr>
            <w:tcW w:w="496" w:type="pct"/>
            <w:vMerge/>
            <w:vAlign w:val="center"/>
          </w:tcPr>
          <w:p w14:paraId="38023DBC" w14:textId="77777777" w:rsidR="00B0005F" w:rsidRPr="008A2411" w:rsidRDefault="00B0005F">
            <w:pPr>
              <w:jc w:val="center"/>
              <w:rPr>
                <w:rFonts w:ascii="Times New Roman"/>
                <w:color w:val="000000" w:themeColor="text1"/>
                <w:sz w:val="21"/>
                <w:szCs w:val="21"/>
              </w:rPr>
            </w:pPr>
          </w:p>
        </w:tc>
        <w:tc>
          <w:tcPr>
            <w:tcW w:w="666" w:type="pct"/>
            <w:vMerge/>
            <w:vAlign w:val="center"/>
          </w:tcPr>
          <w:p w14:paraId="49073428" w14:textId="77777777" w:rsidR="00B0005F" w:rsidRPr="008A2411" w:rsidRDefault="00B0005F">
            <w:pPr>
              <w:jc w:val="center"/>
              <w:rPr>
                <w:rFonts w:ascii="Times New Roman"/>
                <w:color w:val="000000" w:themeColor="text1"/>
                <w:sz w:val="21"/>
                <w:szCs w:val="21"/>
              </w:rPr>
            </w:pPr>
          </w:p>
        </w:tc>
        <w:tc>
          <w:tcPr>
            <w:tcW w:w="868" w:type="dxa"/>
            <w:vAlign w:val="center"/>
          </w:tcPr>
          <w:p w14:paraId="3468BAB9" w14:textId="77777777" w:rsidR="00B0005F" w:rsidRPr="008A2411" w:rsidRDefault="00000000">
            <w:pPr>
              <w:widowControl/>
              <w:jc w:val="center"/>
              <w:textAlignment w:val="center"/>
              <w:rPr>
                <w:rFonts w:ascii="Times New Roman" w:eastAsia="等线"/>
                <w:color w:val="000000" w:themeColor="text1"/>
                <w:sz w:val="21"/>
                <w:szCs w:val="21"/>
              </w:rPr>
            </w:pPr>
            <w:r w:rsidRPr="008A2411">
              <w:rPr>
                <w:rFonts w:ascii="Times New Roman"/>
                <w:color w:val="000000" w:themeColor="text1"/>
                <w:sz w:val="21"/>
                <w:szCs w:val="21"/>
                <w:lang w:bidi="ar"/>
              </w:rPr>
              <w:t>442600</w:t>
            </w:r>
          </w:p>
        </w:tc>
        <w:tc>
          <w:tcPr>
            <w:tcW w:w="469" w:type="pct"/>
            <w:vMerge/>
            <w:vAlign w:val="center"/>
          </w:tcPr>
          <w:p w14:paraId="30D01D08" w14:textId="77777777" w:rsidR="00B0005F" w:rsidRPr="008A2411" w:rsidRDefault="00B0005F">
            <w:pPr>
              <w:jc w:val="center"/>
              <w:rPr>
                <w:rFonts w:ascii="Times New Roman"/>
                <w:color w:val="000000" w:themeColor="text1"/>
                <w:sz w:val="21"/>
                <w:szCs w:val="21"/>
              </w:rPr>
            </w:pPr>
          </w:p>
        </w:tc>
        <w:tc>
          <w:tcPr>
            <w:tcW w:w="618" w:type="pct"/>
          </w:tcPr>
          <w:p w14:paraId="3AF67CD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48000</w:t>
            </w:r>
          </w:p>
        </w:tc>
        <w:tc>
          <w:tcPr>
            <w:tcW w:w="688" w:type="pct"/>
            <w:vAlign w:val="center"/>
          </w:tcPr>
          <w:p w14:paraId="1D213CFF"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0</w:t>
            </w:r>
          </w:p>
        </w:tc>
        <w:tc>
          <w:tcPr>
            <w:tcW w:w="1010" w:type="dxa"/>
            <w:vAlign w:val="center"/>
          </w:tcPr>
          <w:p w14:paraId="1F2DCF24"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 xml:space="preserve">0.0020 </w:t>
            </w:r>
          </w:p>
        </w:tc>
        <w:tc>
          <w:tcPr>
            <w:tcW w:w="1010" w:type="dxa"/>
            <w:vAlign w:val="center"/>
          </w:tcPr>
          <w:p w14:paraId="3B705D03"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 xml:space="preserve">0.0020 </w:t>
            </w:r>
          </w:p>
        </w:tc>
      </w:tr>
      <w:tr w:rsidR="008A2411" w:rsidRPr="008A2411" w14:paraId="550D58B8" w14:textId="77777777">
        <w:tc>
          <w:tcPr>
            <w:tcW w:w="366" w:type="pct"/>
            <w:vMerge/>
            <w:vAlign w:val="center"/>
          </w:tcPr>
          <w:p w14:paraId="6BD015E3" w14:textId="77777777" w:rsidR="00B0005F" w:rsidRPr="008A2411" w:rsidRDefault="00B0005F">
            <w:pPr>
              <w:jc w:val="center"/>
              <w:rPr>
                <w:rFonts w:ascii="Times New Roman"/>
                <w:color w:val="000000" w:themeColor="text1"/>
                <w:sz w:val="21"/>
                <w:szCs w:val="21"/>
              </w:rPr>
            </w:pPr>
          </w:p>
        </w:tc>
        <w:tc>
          <w:tcPr>
            <w:tcW w:w="496" w:type="pct"/>
            <w:vMerge w:val="restart"/>
            <w:vAlign w:val="center"/>
          </w:tcPr>
          <w:p w14:paraId="28E4A49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5</w:t>
            </w:r>
          </w:p>
        </w:tc>
        <w:tc>
          <w:tcPr>
            <w:tcW w:w="666" w:type="pct"/>
            <w:vMerge w:val="restart"/>
            <w:vAlign w:val="center"/>
          </w:tcPr>
          <w:p w14:paraId="668C24AD" w14:textId="77777777" w:rsidR="00B0005F" w:rsidRPr="008A2411" w:rsidRDefault="00000000">
            <w:pPr>
              <w:jc w:val="center"/>
              <w:rPr>
                <w:rFonts w:ascii="Times New Roman"/>
                <w:color w:val="000000" w:themeColor="text1"/>
                <w:sz w:val="21"/>
                <w:szCs w:val="21"/>
              </w:rPr>
            </w:pPr>
            <w:r w:rsidRPr="008A2411">
              <w:rPr>
                <w:rFonts w:ascii="Times New Roman"/>
                <w:bCs/>
                <w:color w:val="000000" w:themeColor="text1"/>
                <w:sz w:val="21"/>
                <w:szCs w:val="21"/>
              </w:rPr>
              <w:t>1.34×10</w:t>
            </w:r>
            <w:r w:rsidRPr="008A2411">
              <w:rPr>
                <w:rFonts w:ascii="Times New Roman"/>
                <w:bCs/>
                <w:color w:val="000000" w:themeColor="text1"/>
                <w:sz w:val="21"/>
                <w:szCs w:val="21"/>
                <w:vertAlign w:val="superscript"/>
              </w:rPr>
              <w:t>3</w:t>
            </w:r>
          </w:p>
        </w:tc>
        <w:tc>
          <w:tcPr>
            <w:tcW w:w="868" w:type="dxa"/>
            <w:vAlign w:val="center"/>
          </w:tcPr>
          <w:p w14:paraId="2967F48A" w14:textId="77777777" w:rsidR="00B0005F" w:rsidRPr="008A2411" w:rsidRDefault="00000000">
            <w:pPr>
              <w:widowControl/>
              <w:jc w:val="center"/>
              <w:textAlignment w:val="center"/>
              <w:rPr>
                <w:rFonts w:ascii="Times New Roman" w:eastAsia="等线"/>
                <w:color w:val="000000" w:themeColor="text1"/>
                <w:sz w:val="21"/>
                <w:szCs w:val="21"/>
              </w:rPr>
            </w:pPr>
            <w:r w:rsidRPr="008A2411">
              <w:rPr>
                <w:rFonts w:ascii="Times New Roman"/>
                <w:color w:val="000000" w:themeColor="text1"/>
                <w:sz w:val="21"/>
                <w:szCs w:val="21"/>
                <w:lang w:bidi="ar"/>
              </w:rPr>
              <w:t>22130</w:t>
            </w:r>
          </w:p>
        </w:tc>
        <w:tc>
          <w:tcPr>
            <w:tcW w:w="469" w:type="pct"/>
            <w:vMerge w:val="restart"/>
            <w:vAlign w:val="center"/>
          </w:tcPr>
          <w:p w14:paraId="141D16F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0.2</w:t>
            </w:r>
          </w:p>
        </w:tc>
        <w:tc>
          <w:tcPr>
            <w:tcW w:w="618" w:type="pct"/>
          </w:tcPr>
          <w:p w14:paraId="3B07E557"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48000</w:t>
            </w:r>
          </w:p>
        </w:tc>
        <w:tc>
          <w:tcPr>
            <w:tcW w:w="688" w:type="pct"/>
            <w:vAlign w:val="center"/>
          </w:tcPr>
          <w:p w14:paraId="38F616FE"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0</w:t>
            </w:r>
          </w:p>
        </w:tc>
        <w:tc>
          <w:tcPr>
            <w:tcW w:w="1010" w:type="dxa"/>
            <w:vAlign w:val="center"/>
          </w:tcPr>
          <w:p w14:paraId="53DCE6B0"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 xml:space="preserve">0.0661 </w:t>
            </w:r>
          </w:p>
        </w:tc>
        <w:tc>
          <w:tcPr>
            <w:tcW w:w="1010" w:type="dxa"/>
            <w:vAlign w:val="center"/>
          </w:tcPr>
          <w:p w14:paraId="5C8AD4AA"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 xml:space="preserve">0.0661 </w:t>
            </w:r>
          </w:p>
        </w:tc>
      </w:tr>
      <w:tr w:rsidR="008A2411" w:rsidRPr="008A2411" w14:paraId="162FB164" w14:textId="77777777">
        <w:tc>
          <w:tcPr>
            <w:tcW w:w="366" w:type="pct"/>
            <w:vMerge/>
            <w:vAlign w:val="center"/>
          </w:tcPr>
          <w:p w14:paraId="7C117850" w14:textId="77777777" w:rsidR="00B0005F" w:rsidRPr="008A2411" w:rsidRDefault="00B0005F">
            <w:pPr>
              <w:jc w:val="center"/>
              <w:rPr>
                <w:rFonts w:ascii="Times New Roman"/>
                <w:color w:val="000000" w:themeColor="text1"/>
                <w:sz w:val="21"/>
                <w:szCs w:val="21"/>
              </w:rPr>
            </w:pPr>
          </w:p>
        </w:tc>
        <w:tc>
          <w:tcPr>
            <w:tcW w:w="496" w:type="pct"/>
            <w:vMerge/>
            <w:vAlign w:val="center"/>
          </w:tcPr>
          <w:p w14:paraId="45417D5D" w14:textId="77777777" w:rsidR="00B0005F" w:rsidRPr="008A2411" w:rsidRDefault="00B0005F">
            <w:pPr>
              <w:jc w:val="center"/>
              <w:rPr>
                <w:rFonts w:ascii="Times New Roman"/>
                <w:color w:val="000000" w:themeColor="text1"/>
                <w:sz w:val="21"/>
                <w:szCs w:val="21"/>
              </w:rPr>
            </w:pPr>
          </w:p>
        </w:tc>
        <w:tc>
          <w:tcPr>
            <w:tcW w:w="666" w:type="pct"/>
            <w:vMerge/>
            <w:vAlign w:val="center"/>
          </w:tcPr>
          <w:p w14:paraId="7C732CA0" w14:textId="77777777" w:rsidR="00B0005F" w:rsidRPr="008A2411" w:rsidRDefault="00B0005F">
            <w:pPr>
              <w:jc w:val="center"/>
              <w:rPr>
                <w:rFonts w:ascii="Times New Roman"/>
                <w:color w:val="000000" w:themeColor="text1"/>
                <w:sz w:val="21"/>
                <w:szCs w:val="21"/>
              </w:rPr>
            </w:pPr>
          </w:p>
        </w:tc>
        <w:tc>
          <w:tcPr>
            <w:tcW w:w="868" w:type="dxa"/>
            <w:vAlign w:val="center"/>
          </w:tcPr>
          <w:p w14:paraId="69840024" w14:textId="77777777" w:rsidR="00B0005F" w:rsidRPr="008A2411" w:rsidRDefault="00000000">
            <w:pPr>
              <w:widowControl/>
              <w:jc w:val="center"/>
              <w:textAlignment w:val="center"/>
              <w:rPr>
                <w:rFonts w:ascii="Times New Roman" w:eastAsia="等线"/>
                <w:color w:val="000000" w:themeColor="text1"/>
                <w:sz w:val="21"/>
                <w:szCs w:val="21"/>
              </w:rPr>
            </w:pPr>
            <w:r w:rsidRPr="008A2411">
              <w:rPr>
                <w:rFonts w:ascii="Times New Roman"/>
                <w:color w:val="000000" w:themeColor="text1"/>
                <w:sz w:val="21"/>
                <w:szCs w:val="21"/>
                <w:lang w:bidi="ar"/>
              </w:rPr>
              <w:t>88520</w:t>
            </w:r>
          </w:p>
        </w:tc>
        <w:tc>
          <w:tcPr>
            <w:tcW w:w="469" w:type="pct"/>
            <w:vMerge/>
            <w:vAlign w:val="center"/>
          </w:tcPr>
          <w:p w14:paraId="08065566" w14:textId="77777777" w:rsidR="00B0005F" w:rsidRPr="008A2411" w:rsidRDefault="00B0005F">
            <w:pPr>
              <w:jc w:val="center"/>
              <w:rPr>
                <w:rFonts w:ascii="Times New Roman"/>
                <w:color w:val="000000" w:themeColor="text1"/>
                <w:sz w:val="21"/>
                <w:szCs w:val="21"/>
              </w:rPr>
            </w:pPr>
          </w:p>
        </w:tc>
        <w:tc>
          <w:tcPr>
            <w:tcW w:w="618" w:type="pct"/>
          </w:tcPr>
          <w:p w14:paraId="7606E83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48000</w:t>
            </w:r>
          </w:p>
        </w:tc>
        <w:tc>
          <w:tcPr>
            <w:tcW w:w="688" w:type="pct"/>
            <w:vAlign w:val="center"/>
          </w:tcPr>
          <w:p w14:paraId="02088997"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0</w:t>
            </w:r>
          </w:p>
        </w:tc>
        <w:tc>
          <w:tcPr>
            <w:tcW w:w="1010" w:type="dxa"/>
            <w:vAlign w:val="center"/>
          </w:tcPr>
          <w:p w14:paraId="1C930B19"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 xml:space="preserve">0.0165 </w:t>
            </w:r>
          </w:p>
        </w:tc>
        <w:tc>
          <w:tcPr>
            <w:tcW w:w="1010" w:type="dxa"/>
            <w:vAlign w:val="center"/>
          </w:tcPr>
          <w:p w14:paraId="501D7C20"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 xml:space="preserve">0.0165 </w:t>
            </w:r>
          </w:p>
        </w:tc>
      </w:tr>
      <w:tr w:rsidR="008A2411" w:rsidRPr="008A2411" w14:paraId="0E08D837" w14:textId="77777777">
        <w:tc>
          <w:tcPr>
            <w:tcW w:w="366" w:type="pct"/>
            <w:vMerge/>
            <w:vAlign w:val="center"/>
          </w:tcPr>
          <w:p w14:paraId="3EB51408" w14:textId="77777777" w:rsidR="00B0005F" w:rsidRPr="008A2411" w:rsidRDefault="00B0005F">
            <w:pPr>
              <w:jc w:val="center"/>
              <w:rPr>
                <w:rFonts w:ascii="Times New Roman"/>
                <w:color w:val="000000" w:themeColor="text1"/>
                <w:sz w:val="21"/>
                <w:szCs w:val="21"/>
              </w:rPr>
            </w:pPr>
          </w:p>
        </w:tc>
        <w:tc>
          <w:tcPr>
            <w:tcW w:w="496" w:type="pct"/>
            <w:vMerge/>
            <w:vAlign w:val="center"/>
          </w:tcPr>
          <w:p w14:paraId="43CE546B" w14:textId="77777777" w:rsidR="00B0005F" w:rsidRPr="008A2411" w:rsidRDefault="00B0005F">
            <w:pPr>
              <w:jc w:val="center"/>
              <w:rPr>
                <w:rFonts w:ascii="Times New Roman"/>
                <w:color w:val="000000" w:themeColor="text1"/>
                <w:sz w:val="21"/>
                <w:szCs w:val="21"/>
              </w:rPr>
            </w:pPr>
          </w:p>
        </w:tc>
        <w:tc>
          <w:tcPr>
            <w:tcW w:w="666" w:type="pct"/>
            <w:vMerge/>
            <w:vAlign w:val="center"/>
          </w:tcPr>
          <w:p w14:paraId="5D895AB8" w14:textId="77777777" w:rsidR="00B0005F" w:rsidRPr="008A2411" w:rsidRDefault="00B0005F">
            <w:pPr>
              <w:jc w:val="center"/>
              <w:rPr>
                <w:rFonts w:ascii="Times New Roman"/>
                <w:color w:val="000000" w:themeColor="text1"/>
                <w:sz w:val="21"/>
                <w:szCs w:val="21"/>
              </w:rPr>
            </w:pPr>
          </w:p>
        </w:tc>
        <w:tc>
          <w:tcPr>
            <w:tcW w:w="868" w:type="dxa"/>
            <w:vAlign w:val="center"/>
          </w:tcPr>
          <w:p w14:paraId="796A3A7A" w14:textId="77777777" w:rsidR="00B0005F" w:rsidRPr="008A2411" w:rsidRDefault="00000000">
            <w:pPr>
              <w:widowControl/>
              <w:jc w:val="center"/>
              <w:textAlignment w:val="center"/>
              <w:rPr>
                <w:rFonts w:ascii="Times New Roman" w:eastAsia="等线"/>
                <w:color w:val="000000" w:themeColor="text1"/>
                <w:sz w:val="21"/>
                <w:szCs w:val="21"/>
              </w:rPr>
            </w:pPr>
            <w:r w:rsidRPr="008A2411">
              <w:rPr>
                <w:rFonts w:ascii="Times New Roman"/>
                <w:color w:val="000000" w:themeColor="text1"/>
                <w:sz w:val="21"/>
                <w:szCs w:val="21"/>
                <w:lang w:bidi="ar"/>
              </w:rPr>
              <w:t>221300</w:t>
            </w:r>
          </w:p>
        </w:tc>
        <w:tc>
          <w:tcPr>
            <w:tcW w:w="469" w:type="pct"/>
            <w:vMerge/>
            <w:vAlign w:val="center"/>
          </w:tcPr>
          <w:p w14:paraId="7B526143" w14:textId="77777777" w:rsidR="00B0005F" w:rsidRPr="008A2411" w:rsidRDefault="00B0005F">
            <w:pPr>
              <w:jc w:val="center"/>
              <w:rPr>
                <w:rFonts w:ascii="Times New Roman"/>
                <w:color w:val="000000" w:themeColor="text1"/>
                <w:sz w:val="21"/>
                <w:szCs w:val="21"/>
              </w:rPr>
            </w:pPr>
          </w:p>
        </w:tc>
        <w:tc>
          <w:tcPr>
            <w:tcW w:w="618" w:type="pct"/>
          </w:tcPr>
          <w:p w14:paraId="226A4CCA"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48000</w:t>
            </w:r>
          </w:p>
        </w:tc>
        <w:tc>
          <w:tcPr>
            <w:tcW w:w="688" w:type="pct"/>
            <w:vAlign w:val="center"/>
          </w:tcPr>
          <w:p w14:paraId="6310A830"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0</w:t>
            </w:r>
          </w:p>
        </w:tc>
        <w:tc>
          <w:tcPr>
            <w:tcW w:w="1010" w:type="dxa"/>
            <w:vAlign w:val="center"/>
          </w:tcPr>
          <w:p w14:paraId="11112C3B"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 xml:space="preserve">0.0066 </w:t>
            </w:r>
          </w:p>
        </w:tc>
        <w:tc>
          <w:tcPr>
            <w:tcW w:w="1010" w:type="dxa"/>
            <w:vAlign w:val="center"/>
          </w:tcPr>
          <w:p w14:paraId="5ADA9166"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 xml:space="preserve">0.0066 </w:t>
            </w:r>
          </w:p>
        </w:tc>
      </w:tr>
      <w:tr w:rsidR="008A2411" w:rsidRPr="008A2411" w14:paraId="10B4CCBB" w14:textId="77777777">
        <w:tc>
          <w:tcPr>
            <w:tcW w:w="366" w:type="pct"/>
            <w:vMerge/>
            <w:vAlign w:val="center"/>
          </w:tcPr>
          <w:p w14:paraId="045B6783" w14:textId="77777777" w:rsidR="00B0005F" w:rsidRPr="008A2411" w:rsidRDefault="00B0005F">
            <w:pPr>
              <w:jc w:val="center"/>
              <w:rPr>
                <w:rFonts w:ascii="Times New Roman"/>
                <w:color w:val="000000" w:themeColor="text1"/>
                <w:sz w:val="21"/>
                <w:szCs w:val="21"/>
              </w:rPr>
            </w:pPr>
          </w:p>
        </w:tc>
        <w:tc>
          <w:tcPr>
            <w:tcW w:w="496" w:type="pct"/>
            <w:vMerge/>
            <w:vAlign w:val="center"/>
          </w:tcPr>
          <w:p w14:paraId="419EC28A" w14:textId="77777777" w:rsidR="00B0005F" w:rsidRPr="008A2411" w:rsidRDefault="00B0005F">
            <w:pPr>
              <w:jc w:val="center"/>
              <w:rPr>
                <w:rFonts w:ascii="Times New Roman"/>
                <w:color w:val="000000" w:themeColor="text1"/>
                <w:sz w:val="21"/>
                <w:szCs w:val="21"/>
              </w:rPr>
            </w:pPr>
          </w:p>
        </w:tc>
        <w:tc>
          <w:tcPr>
            <w:tcW w:w="666" w:type="pct"/>
            <w:vMerge/>
            <w:vAlign w:val="center"/>
          </w:tcPr>
          <w:p w14:paraId="0299F995" w14:textId="77777777" w:rsidR="00B0005F" w:rsidRPr="008A2411" w:rsidRDefault="00B0005F">
            <w:pPr>
              <w:jc w:val="center"/>
              <w:rPr>
                <w:rFonts w:ascii="Times New Roman"/>
                <w:color w:val="000000" w:themeColor="text1"/>
                <w:sz w:val="21"/>
                <w:szCs w:val="21"/>
              </w:rPr>
            </w:pPr>
          </w:p>
        </w:tc>
        <w:tc>
          <w:tcPr>
            <w:tcW w:w="868" w:type="dxa"/>
            <w:vAlign w:val="center"/>
          </w:tcPr>
          <w:p w14:paraId="68088D9C" w14:textId="77777777" w:rsidR="00B0005F" w:rsidRPr="008A2411" w:rsidRDefault="00000000">
            <w:pPr>
              <w:widowControl/>
              <w:jc w:val="center"/>
              <w:textAlignment w:val="center"/>
              <w:rPr>
                <w:rFonts w:ascii="Times New Roman" w:eastAsia="等线"/>
                <w:color w:val="000000" w:themeColor="text1"/>
                <w:sz w:val="21"/>
                <w:szCs w:val="21"/>
              </w:rPr>
            </w:pPr>
            <w:r w:rsidRPr="008A2411">
              <w:rPr>
                <w:rFonts w:ascii="Times New Roman"/>
                <w:color w:val="000000" w:themeColor="text1"/>
                <w:sz w:val="21"/>
                <w:szCs w:val="21"/>
                <w:lang w:bidi="ar"/>
              </w:rPr>
              <w:t>442600</w:t>
            </w:r>
          </w:p>
        </w:tc>
        <w:tc>
          <w:tcPr>
            <w:tcW w:w="469" w:type="pct"/>
            <w:vMerge/>
            <w:vAlign w:val="center"/>
          </w:tcPr>
          <w:p w14:paraId="2B2D9AA1" w14:textId="77777777" w:rsidR="00B0005F" w:rsidRPr="008A2411" w:rsidRDefault="00B0005F">
            <w:pPr>
              <w:jc w:val="center"/>
              <w:rPr>
                <w:rFonts w:ascii="Times New Roman"/>
                <w:color w:val="000000" w:themeColor="text1"/>
                <w:sz w:val="21"/>
                <w:szCs w:val="21"/>
              </w:rPr>
            </w:pPr>
          </w:p>
        </w:tc>
        <w:tc>
          <w:tcPr>
            <w:tcW w:w="618" w:type="pct"/>
          </w:tcPr>
          <w:p w14:paraId="0F91CDC3"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48000</w:t>
            </w:r>
          </w:p>
        </w:tc>
        <w:tc>
          <w:tcPr>
            <w:tcW w:w="688" w:type="pct"/>
            <w:vAlign w:val="center"/>
          </w:tcPr>
          <w:p w14:paraId="678F58F3"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0</w:t>
            </w:r>
          </w:p>
        </w:tc>
        <w:tc>
          <w:tcPr>
            <w:tcW w:w="1010" w:type="dxa"/>
            <w:vAlign w:val="center"/>
          </w:tcPr>
          <w:p w14:paraId="01545B71"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 xml:space="preserve">0.0033 </w:t>
            </w:r>
          </w:p>
        </w:tc>
        <w:tc>
          <w:tcPr>
            <w:tcW w:w="1010" w:type="dxa"/>
            <w:vAlign w:val="center"/>
          </w:tcPr>
          <w:p w14:paraId="1C44A684"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 xml:space="preserve">0.0033 </w:t>
            </w:r>
          </w:p>
        </w:tc>
      </w:tr>
    </w:tbl>
    <w:p w14:paraId="031ED873" w14:textId="77777777" w:rsidR="00B0005F" w:rsidRPr="008A2411" w:rsidRDefault="00000000">
      <w:pPr>
        <w:adjustRightInd w:val="0"/>
        <w:spacing w:line="360" w:lineRule="auto"/>
        <w:ind w:firstLineChars="200" w:firstLine="480"/>
        <w:rPr>
          <w:rFonts w:ascii="Times New Roman"/>
          <w:color w:val="000000" w:themeColor="text1"/>
        </w:rPr>
      </w:pPr>
      <w:r w:rsidRPr="008A2411">
        <w:rPr>
          <w:rFonts w:ascii="Times New Roman"/>
          <w:color w:val="000000" w:themeColor="text1"/>
        </w:rPr>
        <w:t>预测结果显示，在上述工况下，排入大气环境的</w:t>
      </w:r>
      <w:r w:rsidRPr="008A2411">
        <w:rPr>
          <w:rFonts w:ascii="Times New Roman"/>
          <w:color w:val="000000" w:themeColor="text1"/>
        </w:rPr>
        <w:t>SO</w:t>
      </w:r>
      <w:r w:rsidRPr="008A2411">
        <w:rPr>
          <w:rFonts w:ascii="Times New Roman"/>
          <w:color w:val="000000" w:themeColor="text1"/>
          <w:vertAlign w:val="subscript"/>
        </w:rPr>
        <w:t>2</w:t>
      </w:r>
      <w:r w:rsidRPr="008A2411">
        <w:rPr>
          <w:rFonts w:ascii="Times New Roman"/>
          <w:color w:val="000000" w:themeColor="text1"/>
        </w:rPr>
        <w:t>沉降对土壤均较小。</w:t>
      </w:r>
    </w:p>
    <w:p w14:paraId="51625994" w14:textId="77777777" w:rsidR="00B0005F" w:rsidRPr="008A2411" w:rsidRDefault="00000000">
      <w:pPr>
        <w:adjustRightInd w:val="0"/>
        <w:spacing w:line="360" w:lineRule="auto"/>
        <w:outlineLvl w:val="3"/>
        <w:rPr>
          <w:rFonts w:ascii="Times New Roman"/>
          <w:b/>
          <w:color w:val="000000" w:themeColor="text1"/>
          <w:kern w:val="2"/>
          <w:szCs w:val="24"/>
          <w:lang w:bidi="en-US"/>
        </w:rPr>
      </w:pPr>
      <w:r w:rsidRPr="008A2411">
        <w:rPr>
          <w:rFonts w:ascii="Times New Roman"/>
          <w:b/>
          <w:color w:val="000000" w:themeColor="text1"/>
          <w:kern w:val="2"/>
          <w:szCs w:val="24"/>
          <w:lang w:bidi="en-US"/>
        </w:rPr>
        <w:t>5.2.8.6</w:t>
      </w:r>
      <w:r w:rsidRPr="008A2411">
        <w:rPr>
          <w:rFonts w:ascii="Times New Roman"/>
          <w:b/>
          <w:color w:val="000000" w:themeColor="text1"/>
          <w:kern w:val="2"/>
          <w:szCs w:val="24"/>
          <w:lang w:bidi="en-US"/>
        </w:rPr>
        <w:t>土壤环境保护措施与对策</w:t>
      </w:r>
    </w:p>
    <w:p w14:paraId="451361E4" w14:textId="77777777" w:rsidR="00B0005F" w:rsidRPr="008A2411" w:rsidRDefault="00000000">
      <w:pPr>
        <w:adjustRightInd w:val="0"/>
        <w:spacing w:line="360" w:lineRule="auto"/>
        <w:ind w:firstLineChars="200" w:firstLine="480"/>
        <w:rPr>
          <w:rFonts w:ascii="Times New Roman"/>
          <w:color w:val="000000" w:themeColor="text1"/>
        </w:rPr>
      </w:pPr>
      <w:r w:rsidRPr="008A2411">
        <w:rPr>
          <w:rFonts w:ascii="Times New Roman"/>
          <w:color w:val="000000" w:themeColor="text1"/>
        </w:rPr>
        <w:t>依据导则，主要从</w:t>
      </w:r>
      <w:r w:rsidRPr="008A2411">
        <w:rPr>
          <w:rFonts w:ascii="Times New Roman" w:hint="eastAsia"/>
          <w:color w:val="000000" w:themeColor="text1"/>
        </w:rPr>
        <w:t>“</w:t>
      </w:r>
      <w:r w:rsidRPr="008A2411">
        <w:rPr>
          <w:rFonts w:ascii="Times New Roman"/>
          <w:color w:val="000000" w:themeColor="text1"/>
        </w:rPr>
        <w:t>源头控制</w:t>
      </w:r>
      <w:r w:rsidRPr="008A2411">
        <w:rPr>
          <w:rFonts w:ascii="Times New Roman" w:hint="eastAsia"/>
          <w:color w:val="000000" w:themeColor="text1"/>
        </w:rPr>
        <w:t>”</w:t>
      </w:r>
      <w:r w:rsidRPr="008A2411">
        <w:rPr>
          <w:rFonts w:ascii="Times New Roman"/>
          <w:color w:val="000000" w:themeColor="text1"/>
        </w:rPr>
        <w:t>、</w:t>
      </w:r>
      <w:r w:rsidRPr="008A2411">
        <w:rPr>
          <w:rFonts w:ascii="Times New Roman" w:hint="eastAsia"/>
          <w:color w:val="000000" w:themeColor="text1"/>
        </w:rPr>
        <w:t>“</w:t>
      </w:r>
      <w:r w:rsidRPr="008A2411">
        <w:rPr>
          <w:rFonts w:ascii="Times New Roman"/>
          <w:color w:val="000000" w:themeColor="text1"/>
        </w:rPr>
        <w:t>过程防控</w:t>
      </w:r>
      <w:r w:rsidRPr="008A2411">
        <w:rPr>
          <w:rFonts w:ascii="Times New Roman" w:hint="eastAsia"/>
          <w:color w:val="000000" w:themeColor="text1"/>
        </w:rPr>
        <w:t>”</w:t>
      </w:r>
      <w:r w:rsidRPr="008A2411">
        <w:rPr>
          <w:rFonts w:ascii="Times New Roman"/>
          <w:color w:val="000000" w:themeColor="text1"/>
        </w:rPr>
        <w:t>和</w:t>
      </w:r>
      <w:r w:rsidRPr="008A2411">
        <w:rPr>
          <w:rFonts w:ascii="Times New Roman" w:hint="eastAsia"/>
          <w:color w:val="000000" w:themeColor="text1"/>
        </w:rPr>
        <w:t>“</w:t>
      </w:r>
      <w:r w:rsidRPr="008A2411">
        <w:rPr>
          <w:rFonts w:ascii="Times New Roman"/>
          <w:color w:val="000000" w:themeColor="text1"/>
        </w:rPr>
        <w:t>跟踪监测</w:t>
      </w:r>
      <w:r w:rsidRPr="008A2411">
        <w:rPr>
          <w:rFonts w:ascii="Times New Roman" w:hint="eastAsia"/>
          <w:color w:val="000000" w:themeColor="text1"/>
        </w:rPr>
        <w:t>”</w:t>
      </w:r>
      <w:r w:rsidRPr="008A2411">
        <w:rPr>
          <w:rFonts w:ascii="Times New Roman"/>
          <w:color w:val="000000" w:themeColor="text1"/>
        </w:rPr>
        <w:t>等方面保护土壤环境。</w:t>
      </w:r>
    </w:p>
    <w:p w14:paraId="139F35D5" w14:textId="77777777" w:rsidR="00B0005F" w:rsidRPr="008A2411" w:rsidRDefault="00000000">
      <w:pPr>
        <w:adjustRightInd w:val="0"/>
        <w:spacing w:line="360" w:lineRule="auto"/>
        <w:ind w:firstLineChars="200" w:firstLine="482"/>
        <w:rPr>
          <w:rFonts w:ascii="Times New Roman"/>
          <w:b/>
          <w:color w:val="000000" w:themeColor="text1"/>
        </w:rPr>
      </w:pPr>
      <w:r w:rsidRPr="008A2411">
        <w:rPr>
          <w:rFonts w:ascii="Times New Roman"/>
          <w:b/>
          <w:color w:val="000000" w:themeColor="text1"/>
        </w:rPr>
        <w:t>A</w:t>
      </w:r>
      <w:r w:rsidRPr="008A2411">
        <w:rPr>
          <w:rFonts w:ascii="Times New Roman"/>
          <w:b/>
          <w:color w:val="000000" w:themeColor="text1"/>
        </w:rPr>
        <w:t>、源头控制措施</w:t>
      </w:r>
    </w:p>
    <w:p w14:paraId="5DE0E33A" w14:textId="77777777" w:rsidR="00B0005F" w:rsidRPr="008A2411" w:rsidRDefault="00000000">
      <w:pPr>
        <w:adjustRightInd w:val="0"/>
        <w:spacing w:line="360" w:lineRule="auto"/>
        <w:ind w:firstLineChars="200" w:firstLine="480"/>
        <w:rPr>
          <w:rFonts w:ascii="Times New Roman"/>
          <w:color w:val="000000" w:themeColor="text1"/>
        </w:rPr>
      </w:pPr>
      <w:r w:rsidRPr="008A2411">
        <w:rPr>
          <w:rFonts w:ascii="Times New Roman"/>
          <w:color w:val="000000" w:themeColor="text1"/>
        </w:rPr>
        <w:t>①</w:t>
      </w:r>
      <w:r w:rsidRPr="008A2411">
        <w:rPr>
          <w:rFonts w:ascii="Times New Roman"/>
          <w:color w:val="000000" w:themeColor="text1"/>
        </w:rPr>
        <w:t>选用符合国家标准的原辅料，减少有毒、有害原料的贮存、使用。</w:t>
      </w:r>
    </w:p>
    <w:p w14:paraId="177A006A" w14:textId="77777777" w:rsidR="00B0005F" w:rsidRPr="008A2411" w:rsidRDefault="00000000">
      <w:pPr>
        <w:adjustRightInd w:val="0"/>
        <w:spacing w:line="360" w:lineRule="auto"/>
        <w:ind w:firstLineChars="200" w:firstLine="480"/>
        <w:rPr>
          <w:rFonts w:ascii="Times New Roman"/>
          <w:color w:val="000000" w:themeColor="text1"/>
        </w:rPr>
      </w:pPr>
      <w:r w:rsidRPr="008A2411">
        <w:rPr>
          <w:rFonts w:ascii="Times New Roman"/>
          <w:color w:val="000000" w:themeColor="text1"/>
        </w:rPr>
        <w:t>②</w:t>
      </w:r>
      <w:r w:rsidRPr="008A2411">
        <w:rPr>
          <w:rFonts w:ascii="Times New Roman"/>
          <w:color w:val="000000" w:themeColor="text1"/>
        </w:rPr>
        <w:t>选用成熟或先进的生产工艺，提高原料利用率，减少工艺过程中污染物的产生。</w:t>
      </w:r>
    </w:p>
    <w:p w14:paraId="3E6E9BE7" w14:textId="77777777" w:rsidR="00B0005F" w:rsidRPr="008A2411" w:rsidRDefault="00000000">
      <w:pPr>
        <w:adjustRightInd w:val="0"/>
        <w:spacing w:line="360" w:lineRule="auto"/>
        <w:ind w:firstLineChars="200" w:firstLine="480"/>
        <w:rPr>
          <w:rFonts w:ascii="Times New Roman"/>
          <w:color w:val="000000" w:themeColor="text1"/>
        </w:rPr>
      </w:pPr>
      <w:r w:rsidRPr="008A2411">
        <w:rPr>
          <w:rFonts w:ascii="Times New Roman"/>
          <w:color w:val="000000" w:themeColor="text1"/>
        </w:rPr>
        <w:t>③</w:t>
      </w:r>
      <w:r w:rsidRPr="008A2411">
        <w:rPr>
          <w:rFonts w:ascii="Times New Roman"/>
          <w:color w:val="000000" w:themeColor="text1"/>
        </w:rPr>
        <w:t>采用有效的大气污染治理措施，减少大气污染物排放。</w:t>
      </w:r>
    </w:p>
    <w:p w14:paraId="345FCC01" w14:textId="77777777" w:rsidR="00B0005F" w:rsidRPr="008A2411" w:rsidRDefault="00000000">
      <w:pPr>
        <w:adjustRightInd w:val="0"/>
        <w:spacing w:line="360" w:lineRule="auto"/>
        <w:ind w:firstLineChars="200" w:firstLine="480"/>
        <w:rPr>
          <w:rFonts w:ascii="Times New Roman"/>
          <w:color w:val="000000" w:themeColor="text1"/>
        </w:rPr>
      </w:pPr>
      <w:r w:rsidRPr="008A2411">
        <w:rPr>
          <w:rFonts w:ascii="Times New Roman"/>
          <w:color w:val="000000" w:themeColor="text1"/>
        </w:rPr>
        <w:t>④</w:t>
      </w:r>
      <w:r w:rsidRPr="008A2411">
        <w:rPr>
          <w:rFonts w:ascii="Times New Roman"/>
          <w:color w:val="000000" w:themeColor="text1"/>
        </w:rPr>
        <w:t>污水管、设备、污水收集设施采取防腐、防渗漏措施，防止污染物</w:t>
      </w:r>
      <w:r w:rsidRPr="008A2411">
        <w:rPr>
          <w:rFonts w:ascii="Times New Roman" w:hint="eastAsia"/>
          <w:color w:val="000000" w:themeColor="text1"/>
        </w:rPr>
        <w:t>“</w:t>
      </w:r>
      <w:r w:rsidRPr="008A2411">
        <w:rPr>
          <w:rFonts w:ascii="Times New Roman"/>
          <w:color w:val="000000" w:themeColor="text1"/>
        </w:rPr>
        <w:t>跑、冒、滴、漏</w:t>
      </w:r>
      <w:r w:rsidRPr="008A2411">
        <w:rPr>
          <w:rFonts w:ascii="Times New Roman" w:hint="eastAsia"/>
          <w:color w:val="000000" w:themeColor="text1"/>
        </w:rPr>
        <w:t>”</w:t>
      </w:r>
      <w:r w:rsidRPr="008A2411">
        <w:rPr>
          <w:rFonts w:ascii="Times New Roman"/>
          <w:color w:val="000000" w:themeColor="text1"/>
        </w:rPr>
        <w:t>。</w:t>
      </w:r>
    </w:p>
    <w:p w14:paraId="5A220918" w14:textId="77777777" w:rsidR="00B0005F" w:rsidRPr="008A2411" w:rsidRDefault="00000000">
      <w:pPr>
        <w:adjustRightInd w:val="0"/>
        <w:spacing w:line="360" w:lineRule="auto"/>
        <w:ind w:firstLineChars="200" w:firstLine="482"/>
        <w:rPr>
          <w:rFonts w:ascii="Times New Roman"/>
          <w:b/>
          <w:color w:val="000000" w:themeColor="text1"/>
        </w:rPr>
      </w:pPr>
      <w:r w:rsidRPr="008A2411">
        <w:rPr>
          <w:rFonts w:ascii="Times New Roman"/>
          <w:b/>
          <w:color w:val="000000" w:themeColor="text1"/>
        </w:rPr>
        <w:t>B</w:t>
      </w:r>
      <w:r w:rsidRPr="008A2411">
        <w:rPr>
          <w:rFonts w:ascii="Times New Roman"/>
          <w:b/>
          <w:color w:val="000000" w:themeColor="text1"/>
        </w:rPr>
        <w:t>、过程防控措施</w:t>
      </w:r>
    </w:p>
    <w:p w14:paraId="66C3C98A"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①</w:t>
      </w:r>
      <w:r w:rsidRPr="008A2411">
        <w:rPr>
          <w:rFonts w:ascii="Times New Roman"/>
          <w:color w:val="000000" w:themeColor="text1"/>
        </w:rPr>
        <w:t>加强厂区内的绿化措施，尽可能多种植对</w:t>
      </w:r>
      <w:r w:rsidRPr="008A2411">
        <w:rPr>
          <w:rFonts w:ascii="Times New Roman"/>
          <w:color w:val="000000" w:themeColor="text1"/>
        </w:rPr>
        <w:t>H</w:t>
      </w:r>
      <w:r w:rsidRPr="008A2411">
        <w:rPr>
          <w:rFonts w:ascii="Times New Roman"/>
          <w:color w:val="000000" w:themeColor="text1"/>
          <w:vertAlign w:val="subscript"/>
        </w:rPr>
        <w:t>2</w:t>
      </w:r>
      <w:r w:rsidRPr="008A2411">
        <w:rPr>
          <w:rFonts w:ascii="Times New Roman"/>
          <w:color w:val="000000" w:themeColor="text1"/>
        </w:rPr>
        <w:t>S</w:t>
      </w:r>
      <w:r w:rsidRPr="008A2411">
        <w:rPr>
          <w:rFonts w:ascii="Times New Roman"/>
          <w:color w:val="000000" w:themeColor="text1"/>
        </w:rPr>
        <w:t>、</w:t>
      </w:r>
      <w:r w:rsidRPr="008A2411">
        <w:rPr>
          <w:rFonts w:ascii="Times New Roman"/>
          <w:color w:val="000000" w:themeColor="text1"/>
        </w:rPr>
        <w:t>SO</w:t>
      </w:r>
      <w:r w:rsidRPr="008A2411">
        <w:rPr>
          <w:rFonts w:ascii="Times New Roman"/>
          <w:color w:val="000000" w:themeColor="text1"/>
          <w:vertAlign w:val="subscript"/>
        </w:rPr>
        <w:t>2</w:t>
      </w:r>
      <w:r w:rsidRPr="008A2411">
        <w:rPr>
          <w:rFonts w:ascii="Times New Roman"/>
          <w:color w:val="000000" w:themeColor="text1"/>
        </w:rPr>
        <w:t>等污染因子有吸附作用的植物。</w:t>
      </w:r>
    </w:p>
    <w:p w14:paraId="00179B96" w14:textId="77777777" w:rsidR="00B0005F" w:rsidRPr="008A2411" w:rsidRDefault="00000000">
      <w:pPr>
        <w:adjustRightInd w:val="0"/>
        <w:spacing w:line="360" w:lineRule="auto"/>
        <w:ind w:firstLineChars="200" w:firstLine="480"/>
        <w:rPr>
          <w:rFonts w:ascii="Times New Roman"/>
          <w:color w:val="000000" w:themeColor="text1"/>
        </w:rPr>
      </w:pPr>
      <w:r w:rsidRPr="008A2411">
        <w:rPr>
          <w:rFonts w:ascii="Times New Roman"/>
          <w:color w:val="000000" w:themeColor="text1"/>
        </w:rPr>
        <w:t>②</w:t>
      </w:r>
      <w:r w:rsidRPr="008A2411">
        <w:rPr>
          <w:rFonts w:ascii="Times New Roman"/>
          <w:color w:val="000000" w:themeColor="text1"/>
        </w:rPr>
        <w:t>厂区划分为重点防渗区、一般防渗区和简单防渗区，重点防渗区各单元防渗系数达到</w:t>
      </w:r>
      <w:r w:rsidRPr="008A2411">
        <w:rPr>
          <w:rFonts w:ascii="Times New Roman"/>
          <w:color w:val="000000" w:themeColor="text1"/>
        </w:rPr>
        <w:t>K≤1×10</w:t>
      </w:r>
      <w:r w:rsidRPr="008A2411">
        <w:rPr>
          <w:rFonts w:ascii="Times New Roman"/>
          <w:color w:val="000000" w:themeColor="text1"/>
          <w:vertAlign w:val="superscript"/>
        </w:rPr>
        <w:t>-10</w:t>
      </w:r>
      <w:r w:rsidRPr="008A2411">
        <w:rPr>
          <w:rFonts w:ascii="Times New Roman"/>
          <w:color w:val="000000" w:themeColor="text1"/>
        </w:rPr>
        <w:t>cm/s</w:t>
      </w:r>
      <w:r w:rsidRPr="008A2411">
        <w:rPr>
          <w:rFonts w:ascii="Times New Roman"/>
          <w:color w:val="000000" w:themeColor="text1"/>
        </w:rPr>
        <w:t>，一般防渗区各单元防渗系数达到</w:t>
      </w:r>
      <w:r w:rsidRPr="008A2411">
        <w:rPr>
          <w:rFonts w:ascii="Times New Roman"/>
          <w:color w:val="000000" w:themeColor="text1"/>
        </w:rPr>
        <w:t>K≤1×10</w:t>
      </w:r>
      <w:r w:rsidRPr="008A2411">
        <w:rPr>
          <w:rFonts w:ascii="Times New Roman"/>
          <w:color w:val="000000" w:themeColor="text1"/>
          <w:vertAlign w:val="superscript"/>
        </w:rPr>
        <w:t>-7</w:t>
      </w:r>
      <w:r w:rsidRPr="008A2411">
        <w:rPr>
          <w:rFonts w:ascii="Times New Roman"/>
          <w:color w:val="000000" w:themeColor="text1"/>
        </w:rPr>
        <w:t>cm/s</w:t>
      </w:r>
      <w:r w:rsidRPr="008A2411">
        <w:rPr>
          <w:rFonts w:ascii="Times New Roman"/>
          <w:color w:val="000000" w:themeColor="text1"/>
        </w:rPr>
        <w:t>，简单防渗进行地面硬化处理，防渗技术满足《环境影响评价技术导则</w:t>
      </w:r>
      <w:r w:rsidRPr="008A2411">
        <w:rPr>
          <w:rFonts w:ascii="Times New Roman"/>
          <w:color w:val="000000" w:themeColor="text1"/>
        </w:rPr>
        <w:t xml:space="preserve"> </w:t>
      </w:r>
      <w:r w:rsidRPr="008A2411">
        <w:rPr>
          <w:rFonts w:ascii="Times New Roman"/>
          <w:color w:val="000000" w:themeColor="text1"/>
        </w:rPr>
        <w:t>地下水环境》（</w:t>
      </w:r>
      <w:r w:rsidRPr="008A2411">
        <w:rPr>
          <w:rFonts w:ascii="Times New Roman"/>
          <w:color w:val="000000" w:themeColor="text1"/>
        </w:rPr>
        <w:t>HJ610-2016</w:t>
      </w:r>
      <w:r w:rsidRPr="008A2411">
        <w:rPr>
          <w:rFonts w:ascii="Times New Roman"/>
          <w:color w:val="000000" w:themeColor="text1"/>
        </w:rPr>
        <w:t>）中有关要求。</w:t>
      </w:r>
    </w:p>
    <w:p w14:paraId="24B884EA" w14:textId="77777777" w:rsidR="00B0005F" w:rsidRPr="008A2411" w:rsidRDefault="00000000">
      <w:pPr>
        <w:adjustRightInd w:val="0"/>
        <w:spacing w:line="360" w:lineRule="auto"/>
        <w:ind w:firstLineChars="200" w:firstLine="480"/>
        <w:rPr>
          <w:rFonts w:ascii="Times New Roman"/>
          <w:color w:val="000000" w:themeColor="text1"/>
        </w:rPr>
      </w:pPr>
      <w:r w:rsidRPr="008A2411">
        <w:rPr>
          <w:rFonts w:ascii="Times New Roman"/>
          <w:color w:val="000000" w:themeColor="text1"/>
        </w:rPr>
        <w:lastRenderedPageBreak/>
        <w:t>③</w:t>
      </w:r>
      <w:r w:rsidRPr="008A2411">
        <w:rPr>
          <w:rFonts w:ascii="Times New Roman"/>
          <w:color w:val="000000" w:themeColor="text1"/>
        </w:rPr>
        <w:t>固体废物分类暂存，不得随意堆放，对厂区的环保设施、路面及厂房的防渗措施进行定期维护，保证环保措施的正常运行。</w:t>
      </w:r>
    </w:p>
    <w:p w14:paraId="55CFBA0F" w14:textId="77777777" w:rsidR="00B0005F" w:rsidRPr="008A2411" w:rsidRDefault="00000000">
      <w:pPr>
        <w:adjustRightInd w:val="0"/>
        <w:spacing w:line="360" w:lineRule="auto"/>
        <w:ind w:firstLineChars="200" w:firstLine="482"/>
        <w:rPr>
          <w:rFonts w:ascii="Times New Roman"/>
          <w:b/>
          <w:color w:val="000000" w:themeColor="text1"/>
        </w:rPr>
      </w:pPr>
      <w:r w:rsidRPr="008A2411">
        <w:rPr>
          <w:rFonts w:ascii="Times New Roman"/>
          <w:b/>
          <w:color w:val="000000" w:themeColor="text1"/>
        </w:rPr>
        <w:t>C</w:t>
      </w:r>
      <w:r w:rsidRPr="008A2411">
        <w:rPr>
          <w:rFonts w:ascii="Times New Roman"/>
          <w:b/>
          <w:color w:val="000000" w:themeColor="text1"/>
        </w:rPr>
        <w:t>、跟踪监测计划</w:t>
      </w:r>
    </w:p>
    <w:p w14:paraId="1D21A9A4" w14:textId="77777777" w:rsidR="00B0005F" w:rsidRPr="008A2411" w:rsidRDefault="00000000">
      <w:pPr>
        <w:widowControl/>
        <w:spacing w:line="360" w:lineRule="auto"/>
        <w:ind w:firstLineChars="200" w:firstLine="480"/>
        <w:jc w:val="left"/>
        <w:rPr>
          <w:rFonts w:ascii="Times New Roman"/>
          <w:color w:val="000000" w:themeColor="text1"/>
          <w:kern w:val="2"/>
          <w:szCs w:val="24"/>
        </w:rPr>
      </w:pPr>
      <w:r w:rsidRPr="008A2411">
        <w:rPr>
          <w:rFonts w:ascii="Times New Roman"/>
          <w:bCs/>
          <w:color w:val="000000" w:themeColor="text1"/>
        </w:rPr>
        <w:t>本项目土壤评价为二级，根据《</w:t>
      </w:r>
      <w:r w:rsidRPr="008A2411">
        <w:rPr>
          <w:rFonts w:ascii="Times New Roman"/>
          <w:color w:val="000000" w:themeColor="text1"/>
        </w:rPr>
        <w:t>环境影响评价技术导则土壤环境（试行）</w:t>
      </w:r>
      <w:r w:rsidRPr="008A2411">
        <w:rPr>
          <w:rFonts w:ascii="Times New Roman"/>
          <w:bCs/>
          <w:color w:val="000000" w:themeColor="text1"/>
        </w:rPr>
        <w:t>》</w:t>
      </w:r>
      <w:r w:rsidRPr="008A2411">
        <w:rPr>
          <w:rFonts w:ascii="Times New Roman"/>
          <w:color w:val="000000" w:themeColor="text1"/>
        </w:rPr>
        <w:t>（</w:t>
      </w:r>
      <w:r w:rsidRPr="008A2411">
        <w:rPr>
          <w:rFonts w:ascii="Times New Roman"/>
          <w:color w:val="000000" w:themeColor="text1"/>
        </w:rPr>
        <w:t>HJ964-2018</w:t>
      </w:r>
      <w:r w:rsidRPr="008A2411">
        <w:rPr>
          <w:rFonts w:ascii="Times New Roman"/>
          <w:color w:val="000000" w:themeColor="text1"/>
        </w:rPr>
        <w:t>）</w:t>
      </w:r>
      <w:r w:rsidRPr="008A2411">
        <w:rPr>
          <w:rFonts w:ascii="Times New Roman"/>
          <w:color w:val="000000" w:themeColor="text1"/>
          <w:kern w:val="2"/>
          <w:szCs w:val="24"/>
        </w:rPr>
        <w:t>及《工业企业土壤和地下水自行监测</w:t>
      </w:r>
      <w:r w:rsidRPr="008A2411">
        <w:rPr>
          <w:rFonts w:ascii="Times New Roman"/>
          <w:color w:val="000000" w:themeColor="text1"/>
          <w:kern w:val="2"/>
          <w:szCs w:val="24"/>
        </w:rPr>
        <w:t xml:space="preserve"> </w:t>
      </w:r>
      <w:r w:rsidRPr="008A2411">
        <w:rPr>
          <w:rFonts w:ascii="Times New Roman"/>
          <w:color w:val="000000" w:themeColor="text1"/>
          <w:kern w:val="2"/>
          <w:szCs w:val="24"/>
        </w:rPr>
        <w:t>技术指南（试行）》（</w:t>
      </w:r>
      <w:r w:rsidRPr="008A2411">
        <w:rPr>
          <w:rFonts w:ascii="Times New Roman"/>
          <w:color w:val="000000" w:themeColor="text1"/>
          <w:kern w:val="2"/>
          <w:szCs w:val="24"/>
        </w:rPr>
        <w:t>HJ 1209-2021</w:t>
      </w:r>
      <w:r w:rsidRPr="008A2411">
        <w:rPr>
          <w:rFonts w:ascii="Times New Roman"/>
          <w:color w:val="000000" w:themeColor="text1"/>
          <w:kern w:val="2"/>
          <w:szCs w:val="24"/>
        </w:rPr>
        <w:t>），将装置区、污水预处理系统识别为一类单元，其余为二类单元。对于一类单元，本项目在装置区、污水预处理系统内部设置分别设置</w:t>
      </w:r>
      <w:r w:rsidRPr="008A2411">
        <w:rPr>
          <w:rFonts w:ascii="Times New Roman"/>
          <w:color w:val="000000" w:themeColor="text1"/>
          <w:kern w:val="2"/>
          <w:szCs w:val="24"/>
        </w:rPr>
        <w:t>1</w:t>
      </w:r>
      <w:r w:rsidRPr="008A2411">
        <w:rPr>
          <w:rFonts w:ascii="Times New Roman"/>
          <w:color w:val="000000" w:themeColor="text1"/>
          <w:kern w:val="2"/>
          <w:szCs w:val="24"/>
        </w:rPr>
        <w:t>个深层土壤监测点，在装置区下游分别设置</w:t>
      </w:r>
      <w:r w:rsidRPr="008A2411">
        <w:rPr>
          <w:rFonts w:ascii="Times New Roman"/>
          <w:color w:val="000000" w:themeColor="text1"/>
          <w:kern w:val="2"/>
          <w:szCs w:val="24"/>
        </w:rPr>
        <w:t>1</w:t>
      </w:r>
      <w:r w:rsidRPr="008A2411">
        <w:rPr>
          <w:rFonts w:ascii="Times New Roman"/>
          <w:color w:val="000000" w:themeColor="text1"/>
          <w:kern w:val="2"/>
          <w:szCs w:val="24"/>
        </w:rPr>
        <w:t>个表层土壤监测点。对于二类单元，本项目在厂界下游处设置</w:t>
      </w:r>
      <w:r w:rsidRPr="008A2411">
        <w:rPr>
          <w:rFonts w:ascii="Times New Roman"/>
          <w:color w:val="000000" w:themeColor="text1"/>
          <w:kern w:val="2"/>
          <w:szCs w:val="24"/>
        </w:rPr>
        <w:t>2</w:t>
      </w:r>
      <w:r w:rsidRPr="008A2411">
        <w:rPr>
          <w:rFonts w:ascii="Times New Roman"/>
          <w:color w:val="000000" w:themeColor="text1"/>
          <w:kern w:val="2"/>
          <w:szCs w:val="24"/>
        </w:rPr>
        <w:t>处表层土壤监测点。其中深层土壤监测点采样深度应略低于其对应的隐蔽性重点设施设备底部与土壤接触面，表层土壤监测点采样深度应为</w:t>
      </w:r>
      <w:r w:rsidRPr="008A2411">
        <w:rPr>
          <w:rFonts w:ascii="Times New Roman"/>
          <w:color w:val="000000" w:themeColor="text1"/>
          <w:kern w:val="2"/>
          <w:szCs w:val="24"/>
        </w:rPr>
        <w:t xml:space="preserve"> 0</w:t>
      </w:r>
      <w:r w:rsidRPr="008A2411">
        <w:rPr>
          <w:rFonts w:ascii="Times New Roman"/>
          <w:color w:val="000000" w:themeColor="text1"/>
          <w:kern w:val="2"/>
          <w:szCs w:val="24"/>
        </w:rPr>
        <w:t>～</w:t>
      </w:r>
      <w:r w:rsidRPr="008A2411">
        <w:rPr>
          <w:rFonts w:ascii="Times New Roman"/>
          <w:color w:val="000000" w:themeColor="text1"/>
          <w:kern w:val="2"/>
          <w:szCs w:val="24"/>
        </w:rPr>
        <w:t>0.5 m</w:t>
      </w:r>
      <w:r w:rsidRPr="008A2411">
        <w:rPr>
          <w:rFonts w:ascii="Times New Roman"/>
          <w:color w:val="000000" w:themeColor="text1"/>
          <w:kern w:val="2"/>
          <w:szCs w:val="24"/>
        </w:rPr>
        <w:t>。</w:t>
      </w:r>
    </w:p>
    <w:p w14:paraId="2F75CA67" w14:textId="77777777" w:rsidR="00B0005F" w:rsidRPr="008A2411" w:rsidRDefault="00000000">
      <w:pPr>
        <w:widowControl/>
        <w:spacing w:line="360" w:lineRule="auto"/>
        <w:ind w:firstLineChars="200" w:firstLine="480"/>
        <w:jc w:val="left"/>
        <w:rPr>
          <w:rFonts w:ascii="Times New Roman"/>
          <w:color w:val="000000" w:themeColor="text1"/>
          <w:kern w:val="2"/>
          <w:szCs w:val="24"/>
        </w:rPr>
      </w:pPr>
      <w:r w:rsidRPr="008A2411">
        <w:rPr>
          <w:rFonts w:ascii="Times New Roman"/>
          <w:color w:val="000000" w:themeColor="text1"/>
          <w:kern w:val="2"/>
          <w:szCs w:val="24"/>
        </w:rPr>
        <w:t>监测因子包括《土壤环境质量</w:t>
      </w:r>
      <w:r w:rsidRPr="008A2411">
        <w:rPr>
          <w:rFonts w:ascii="Times New Roman"/>
          <w:color w:val="000000" w:themeColor="text1"/>
          <w:kern w:val="2"/>
          <w:szCs w:val="24"/>
        </w:rPr>
        <w:t xml:space="preserve"> </w:t>
      </w:r>
      <w:r w:rsidRPr="008A2411">
        <w:rPr>
          <w:rFonts w:ascii="Times New Roman"/>
          <w:color w:val="000000" w:themeColor="text1"/>
          <w:kern w:val="2"/>
          <w:szCs w:val="24"/>
        </w:rPr>
        <w:t>建设用地土壤污染风险管控标准（试行）》</w:t>
      </w:r>
    </w:p>
    <w:p w14:paraId="54E29261" w14:textId="77777777" w:rsidR="00B0005F" w:rsidRPr="008A2411" w:rsidRDefault="00000000">
      <w:pPr>
        <w:widowControl/>
        <w:spacing w:line="360" w:lineRule="auto"/>
        <w:ind w:firstLineChars="200" w:firstLine="480"/>
        <w:jc w:val="left"/>
        <w:rPr>
          <w:rFonts w:ascii="Times New Roman"/>
          <w:color w:val="000000" w:themeColor="text1"/>
          <w:kern w:val="2"/>
          <w:szCs w:val="24"/>
        </w:rPr>
      </w:pPr>
      <w:r w:rsidRPr="008A2411">
        <w:rPr>
          <w:rFonts w:ascii="Times New Roman"/>
          <w:color w:val="000000" w:themeColor="text1"/>
          <w:kern w:val="2"/>
          <w:szCs w:val="24"/>
        </w:rPr>
        <w:t>（</w:t>
      </w:r>
      <w:r w:rsidRPr="008A2411">
        <w:rPr>
          <w:rFonts w:ascii="Times New Roman"/>
          <w:color w:val="000000" w:themeColor="text1"/>
          <w:kern w:val="2"/>
          <w:szCs w:val="24"/>
        </w:rPr>
        <w:t>GB366002-2018</w:t>
      </w:r>
      <w:r w:rsidRPr="008A2411">
        <w:rPr>
          <w:rFonts w:ascii="Times New Roman"/>
          <w:color w:val="000000" w:themeColor="text1"/>
          <w:kern w:val="2"/>
          <w:szCs w:val="24"/>
        </w:rPr>
        <w:t>）表</w:t>
      </w:r>
      <w:r w:rsidRPr="008A2411">
        <w:rPr>
          <w:rFonts w:ascii="Times New Roman"/>
          <w:color w:val="000000" w:themeColor="text1"/>
          <w:kern w:val="2"/>
          <w:szCs w:val="24"/>
        </w:rPr>
        <w:t>1</w:t>
      </w:r>
      <w:r w:rsidRPr="008A2411">
        <w:rPr>
          <w:rFonts w:ascii="Times New Roman"/>
          <w:color w:val="000000" w:themeColor="text1"/>
          <w:kern w:val="2"/>
          <w:szCs w:val="24"/>
        </w:rPr>
        <w:t>基本项目和特征因子氯化物、</w:t>
      </w:r>
      <w:r w:rsidRPr="008A2411">
        <w:rPr>
          <w:rFonts w:ascii="Times New Roman"/>
          <w:color w:val="000000" w:themeColor="text1"/>
          <w:kern w:val="2"/>
          <w:szCs w:val="24"/>
        </w:rPr>
        <w:t>Fe</w:t>
      </w:r>
      <w:r w:rsidRPr="008A2411">
        <w:rPr>
          <w:rFonts w:ascii="Times New Roman"/>
          <w:color w:val="000000" w:themeColor="text1"/>
          <w:kern w:val="2"/>
          <w:szCs w:val="24"/>
        </w:rPr>
        <w:t>、石油类。其中表层土壤监测频次为</w:t>
      </w:r>
      <w:r w:rsidRPr="008A2411">
        <w:rPr>
          <w:rFonts w:ascii="Times New Roman"/>
          <w:color w:val="000000" w:themeColor="text1"/>
          <w:kern w:val="2"/>
          <w:szCs w:val="24"/>
        </w:rPr>
        <w:t>1</w:t>
      </w:r>
      <w:r w:rsidRPr="008A2411">
        <w:rPr>
          <w:rFonts w:ascii="Times New Roman"/>
          <w:color w:val="000000" w:themeColor="text1"/>
          <w:kern w:val="2"/>
          <w:szCs w:val="24"/>
        </w:rPr>
        <w:t>次</w:t>
      </w:r>
      <w:r w:rsidRPr="008A2411">
        <w:rPr>
          <w:rFonts w:ascii="Times New Roman"/>
          <w:color w:val="000000" w:themeColor="text1"/>
          <w:kern w:val="2"/>
          <w:szCs w:val="24"/>
        </w:rPr>
        <w:t>/</w:t>
      </w:r>
      <w:r w:rsidRPr="008A2411">
        <w:rPr>
          <w:rFonts w:ascii="Times New Roman"/>
          <w:color w:val="000000" w:themeColor="text1"/>
          <w:kern w:val="2"/>
          <w:szCs w:val="24"/>
        </w:rPr>
        <w:t>年，深层土壤为</w:t>
      </w:r>
      <w:r w:rsidRPr="008A2411">
        <w:rPr>
          <w:rFonts w:ascii="Times New Roman"/>
          <w:color w:val="000000" w:themeColor="text1"/>
          <w:kern w:val="2"/>
          <w:szCs w:val="24"/>
        </w:rPr>
        <w:t>1</w:t>
      </w:r>
      <w:r w:rsidRPr="008A2411">
        <w:rPr>
          <w:rFonts w:ascii="Times New Roman"/>
          <w:color w:val="000000" w:themeColor="text1"/>
          <w:kern w:val="2"/>
          <w:szCs w:val="24"/>
        </w:rPr>
        <w:t>次</w:t>
      </w:r>
      <w:r w:rsidRPr="008A2411">
        <w:rPr>
          <w:rFonts w:ascii="Times New Roman"/>
          <w:color w:val="000000" w:themeColor="text1"/>
          <w:kern w:val="2"/>
          <w:szCs w:val="24"/>
        </w:rPr>
        <w:t>/3</w:t>
      </w:r>
      <w:r w:rsidRPr="008A2411">
        <w:rPr>
          <w:rFonts w:ascii="Times New Roman"/>
          <w:color w:val="000000" w:themeColor="text1"/>
          <w:kern w:val="2"/>
          <w:szCs w:val="24"/>
        </w:rPr>
        <w:t>年。</w:t>
      </w:r>
    </w:p>
    <w:p w14:paraId="13167F96" w14:textId="77777777" w:rsidR="00B0005F" w:rsidRPr="008A2411" w:rsidRDefault="00000000">
      <w:pPr>
        <w:adjustRightInd w:val="0"/>
        <w:spacing w:line="360" w:lineRule="auto"/>
        <w:outlineLvl w:val="3"/>
        <w:rPr>
          <w:rFonts w:ascii="Times New Roman"/>
          <w:b/>
          <w:color w:val="000000" w:themeColor="text1"/>
          <w:kern w:val="2"/>
          <w:szCs w:val="24"/>
          <w:lang w:bidi="en-US"/>
        </w:rPr>
      </w:pPr>
      <w:r w:rsidRPr="008A2411">
        <w:rPr>
          <w:rFonts w:ascii="Times New Roman"/>
          <w:b/>
          <w:color w:val="000000" w:themeColor="text1"/>
          <w:kern w:val="2"/>
          <w:szCs w:val="24"/>
          <w:lang w:bidi="en-US"/>
        </w:rPr>
        <w:t>5.2.8.7</w:t>
      </w:r>
      <w:r w:rsidRPr="008A2411">
        <w:rPr>
          <w:rFonts w:ascii="Times New Roman"/>
          <w:b/>
          <w:color w:val="000000" w:themeColor="text1"/>
          <w:kern w:val="2"/>
          <w:szCs w:val="24"/>
          <w:lang w:bidi="en-US"/>
        </w:rPr>
        <w:t>土壤环境影响结论</w:t>
      </w:r>
    </w:p>
    <w:p w14:paraId="612969FE" w14:textId="77777777" w:rsidR="00B0005F" w:rsidRPr="008A2411" w:rsidRDefault="00000000">
      <w:pPr>
        <w:adjustRightInd w:val="0"/>
        <w:spacing w:line="360" w:lineRule="auto"/>
        <w:ind w:firstLineChars="200" w:firstLine="480"/>
        <w:rPr>
          <w:rFonts w:ascii="Times New Roman"/>
          <w:bCs/>
          <w:color w:val="000000" w:themeColor="text1"/>
          <w:lang w:val="zh-CN"/>
        </w:rPr>
      </w:pPr>
      <w:r w:rsidRPr="008A2411">
        <w:rPr>
          <w:rFonts w:ascii="Times New Roman"/>
          <w:color w:val="000000" w:themeColor="text1"/>
        </w:rPr>
        <w:t>综上，本项目不会对土壤环境造成影响。从土壤环境影响的角度，本项目建设可行。</w:t>
      </w:r>
    </w:p>
    <w:p w14:paraId="0CD42093" w14:textId="77777777" w:rsidR="00B0005F" w:rsidRPr="008A2411" w:rsidRDefault="00B0005F">
      <w:pPr>
        <w:adjustRightInd w:val="0"/>
        <w:spacing w:line="360" w:lineRule="auto"/>
        <w:rPr>
          <w:rFonts w:ascii="Times New Roman"/>
          <w:color w:val="000000" w:themeColor="text1"/>
          <w:sz w:val="32"/>
        </w:rPr>
      </w:pPr>
    </w:p>
    <w:p w14:paraId="40F25F13" w14:textId="77777777" w:rsidR="00B0005F" w:rsidRPr="008A2411" w:rsidRDefault="00000000">
      <w:pPr>
        <w:rPr>
          <w:rFonts w:ascii="Times New Roman"/>
          <w:color w:val="000000" w:themeColor="text1"/>
        </w:rPr>
      </w:pPr>
      <w:r w:rsidRPr="008A2411">
        <w:rPr>
          <w:rFonts w:ascii="Times New Roman"/>
          <w:color w:val="000000" w:themeColor="text1"/>
        </w:rPr>
        <w:br w:type="page"/>
      </w:r>
    </w:p>
    <w:p w14:paraId="2D36342B" w14:textId="77777777" w:rsidR="00B0005F" w:rsidRPr="008A2411" w:rsidRDefault="00000000">
      <w:pPr>
        <w:pStyle w:val="11"/>
        <w:numPr>
          <w:ilvl w:val="0"/>
          <w:numId w:val="0"/>
        </w:numPr>
        <w:spacing w:before="0" w:afterLines="0" w:after="0" w:line="360" w:lineRule="auto"/>
        <w:jc w:val="center"/>
        <w:rPr>
          <w:rFonts w:ascii="Times New Roman" w:eastAsia="宋体"/>
          <w:color w:val="000000" w:themeColor="text1"/>
        </w:rPr>
      </w:pPr>
      <w:bookmarkStart w:id="500" w:name="_Toc109170771"/>
      <w:r w:rsidRPr="008A2411">
        <w:rPr>
          <w:rFonts w:ascii="Times New Roman" w:eastAsia="宋体"/>
          <w:color w:val="000000" w:themeColor="text1"/>
        </w:rPr>
        <w:lastRenderedPageBreak/>
        <w:t>第六章</w:t>
      </w:r>
      <w:r w:rsidRPr="008A2411">
        <w:rPr>
          <w:rFonts w:ascii="Times New Roman" w:eastAsia="宋体"/>
          <w:color w:val="000000" w:themeColor="text1"/>
        </w:rPr>
        <w:t xml:space="preserve">  </w:t>
      </w:r>
      <w:r w:rsidRPr="008A2411">
        <w:rPr>
          <w:rFonts w:ascii="Times New Roman" w:eastAsia="宋体"/>
          <w:color w:val="000000" w:themeColor="text1"/>
        </w:rPr>
        <w:t>环境风险评价</w:t>
      </w:r>
      <w:bookmarkEnd w:id="500"/>
    </w:p>
    <w:p w14:paraId="137C2E6A" w14:textId="77777777" w:rsidR="00B0005F" w:rsidRPr="008A2411" w:rsidRDefault="00000000">
      <w:pPr>
        <w:pStyle w:val="affffffffffffffffffff6"/>
        <w:snapToGrid/>
        <w:outlineLvl w:val="1"/>
        <w:rPr>
          <w:rFonts w:ascii="Times New Roman"/>
          <w:bCs/>
          <w:color w:val="000000" w:themeColor="text1"/>
          <w:sz w:val="28"/>
          <w:szCs w:val="28"/>
          <w:lang w:bidi="en-US"/>
        </w:rPr>
      </w:pPr>
      <w:bookmarkStart w:id="501" w:name="_Toc109170772"/>
      <w:r w:rsidRPr="008A2411">
        <w:rPr>
          <w:rFonts w:ascii="Times New Roman"/>
          <w:bCs/>
          <w:color w:val="000000" w:themeColor="text1"/>
          <w:sz w:val="28"/>
          <w:szCs w:val="28"/>
          <w:lang w:bidi="en-US"/>
        </w:rPr>
        <w:t>6.1</w:t>
      </w:r>
      <w:r w:rsidRPr="008A2411">
        <w:rPr>
          <w:rFonts w:ascii="Times New Roman"/>
          <w:bCs/>
          <w:color w:val="000000" w:themeColor="text1"/>
          <w:sz w:val="28"/>
          <w:szCs w:val="28"/>
          <w:lang w:bidi="en-US"/>
        </w:rPr>
        <w:t>环境风险评价依据</w:t>
      </w:r>
      <w:bookmarkEnd w:id="501"/>
    </w:p>
    <w:p w14:paraId="1E0D555A" w14:textId="77777777" w:rsidR="00B0005F" w:rsidRPr="008A2411" w:rsidRDefault="00000000">
      <w:pPr>
        <w:pStyle w:val="affffffffffffffffffff6"/>
        <w:snapToGrid/>
        <w:outlineLvl w:val="2"/>
        <w:rPr>
          <w:rFonts w:ascii="Times New Roman"/>
          <w:b/>
          <w:color w:val="000000" w:themeColor="text1"/>
          <w:sz w:val="24"/>
          <w:szCs w:val="24"/>
          <w:lang w:bidi="en-US"/>
        </w:rPr>
      </w:pPr>
      <w:bookmarkStart w:id="502" w:name="_Toc40395544"/>
      <w:r w:rsidRPr="008A2411">
        <w:rPr>
          <w:rFonts w:ascii="Times New Roman"/>
          <w:b/>
          <w:color w:val="000000" w:themeColor="text1"/>
          <w:sz w:val="24"/>
          <w:szCs w:val="24"/>
          <w:lang w:bidi="en-US"/>
        </w:rPr>
        <w:t>6.1.1</w:t>
      </w:r>
      <w:r w:rsidRPr="008A2411">
        <w:rPr>
          <w:rFonts w:ascii="Times New Roman"/>
          <w:b/>
          <w:color w:val="000000" w:themeColor="text1"/>
          <w:sz w:val="24"/>
          <w:szCs w:val="24"/>
          <w:lang w:bidi="en-US"/>
        </w:rPr>
        <w:t>环境风险评价的目的</w:t>
      </w:r>
      <w:bookmarkEnd w:id="502"/>
    </w:p>
    <w:p w14:paraId="0090240F" w14:textId="77777777" w:rsidR="00B0005F" w:rsidRPr="008A2411" w:rsidRDefault="00000000">
      <w:pPr>
        <w:adjustRightInd w:val="0"/>
        <w:spacing w:line="360" w:lineRule="auto"/>
        <w:ind w:firstLineChars="200" w:firstLine="480"/>
        <w:rPr>
          <w:rFonts w:ascii="Times New Roman"/>
          <w:bCs/>
          <w:color w:val="000000" w:themeColor="text1"/>
          <w:lang w:val="zh-CN"/>
        </w:rPr>
      </w:pPr>
      <w:r w:rsidRPr="008A2411">
        <w:rPr>
          <w:rFonts w:ascii="Times New Roman"/>
          <w:bCs/>
          <w:color w:val="000000" w:themeColor="text1"/>
          <w:lang w:val="zh-CN"/>
        </w:rPr>
        <w:t>环境风险评价的目的是分析和预测建设项目存在的潜在危险、有害因素，建设项目建设和运行期间可能发生的突发性事件或事故（一般不包括人为破坏及自然灾害），引起有毒有害和易燃易爆等物质泄漏，所造成的人身安全与环境影响和损害程度，提出合理可行的防范、应急与减缓措施，以将风险可能性和危害程度降至最低。</w:t>
      </w:r>
    </w:p>
    <w:p w14:paraId="34C3F611" w14:textId="77777777" w:rsidR="00B0005F" w:rsidRPr="008A2411" w:rsidRDefault="00000000">
      <w:pPr>
        <w:pStyle w:val="affffffffffffffffffff6"/>
        <w:snapToGrid/>
        <w:outlineLvl w:val="2"/>
        <w:rPr>
          <w:rFonts w:ascii="Times New Roman"/>
          <w:b/>
          <w:color w:val="000000" w:themeColor="text1"/>
          <w:sz w:val="24"/>
          <w:szCs w:val="24"/>
          <w:lang w:bidi="en-US"/>
        </w:rPr>
      </w:pPr>
      <w:r w:rsidRPr="008A2411">
        <w:rPr>
          <w:rFonts w:ascii="Times New Roman"/>
          <w:b/>
          <w:color w:val="000000" w:themeColor="text1"/>
          <w:sz w:val="24"/>
          <w:szCs w:val="24"/>
          <w:lang w:bidi="en-US"/>
        </w:rPr>
        <w:t>6.1.2</w:t>
      </w:r>
      <w:r w:rsidRPr="008A2411">
        <w:rPr>
          <w:rFonts w:ascii="Times New Roman"/>
          <w:b/>
          <w:color w:val="000000" w:themeColor="text1"/>
          <w:sz w:val="24"/>
          <w:szCs w:val="24"/>
          <w:lang w:bidi="en-US"/>
        </w:rPr>
        <w:t>评价原则</w:t>
      </w:r>
    </w:p>
    <w:p w14:paraId="5CC3C0DE" w14:textId="77777777" w:rsidR="00B0005F" w:rsidRPr="008A2411" w:rsidRDefault="00000000">
      <w:pPr>
        <w:adjustRightInd w:val="0"/>
        <w:spacing w:line="360" w:lineRule="auto"/>
        <w:ind w:firstLineChars="200" w:firstLine="480"/>
        <w:rPr>
          <w:rFonts w:ascii="Times New Roman"/>
          <w:bCs/>
          <w:color w:val="000000" w:themeColor="text1"/>
        </w:rPr>
      </w:pPr>
      <w:r w:rsidRPr="008A2411">
        <w:rPr>
          <w:rFonts w:ascii="Times New Roman"/>
          <w:bCs/>
          <w:color w:val="000000" w:themeColor="text1"/>
        </w:rPr>
        <w:t>按照《建设项目环境风险评价技术导则》（</w:t>
      </w:r>
      <w:r w:rsidRPr="008A2411">
        <w:rPr>
          <w:rFonts w:ascii="Times New Roman"/>
          <w:bCs/>
          <w:color w:val="000000" w:themeColor="text1"/>
        </w:rPr>
        <w:t>HJ 169-2018</w:t>
      </w:r>
      <w:r w:rsidRPr="008A2411">
        <w:rPr>
          <w:rFonts w:ascii="Times New Roman"/>
          <w:bCs/>
          <w:color w:val="000000" w:themeColor="text1"/>
        </w:rPr>
        <w:t>）的要求，环境风险评价应以突发性事故导致的危险物质环境急性损害防控为目标，对建设项目的环境风险进行分析、预测和评估，提出环境风险预防、控制、减缓措施，明确环境风险监控及应急要求，为建设项目环境风险防控提供科学依据。</w:t>
      </w:r>
    </w:p>
    <w:p w14:paraId="5CCAF00F" w14:textId="77777777" w:rsidR="00B0005F" w:rsidRPr="008A2411" w:rsidRDefault="00000000">
      <w:pPr>
        <w:adjustRightInd w:val="0"/>
        <w:spacing w:line="360" w:lineRule="auto"/>
        <w:ind w:firstLineChars="200" w:firstLine="480"/>
        <w:rPr>
          <w:rFonts w:ascii="Times New Roman"/>
          <w:bCs/>
          <w:color w:val="000000" w:themeColor="text1"/>
          <w:lang w:val="zh-CN"/>
        </w:rPr>
      </w:pPr>
      <w:r w:rsidRPr="008A2411">
        <w:rPr>
          <w:rFonts w:ascii="Times New Roman"/>
          <w:bCs/>
          <w:color w:val="000000" w:themeColor="text1"/>
        </w:rPr>
        <w:t>本次评价以</w:t>
      </w:r>
      <w:bookmarkStart w:id="503" w:name="_Hlk74924472"/>
      <w:r w:rsidRPr="008A2411">
        <w:rPr>
          <w:rFonts w:ascii="Times New Roman"/>
          <w:bCs/>
          <w:color w:val="000000" w:themeColor="text1"/>
        </w:rPr>
        <w:t>《建设项目环境风险评价技术导则》（</w:t>
      </w:r>
      <w:r w:rsidRPr="008A2411">
        <w:rPr>
          <w:rFonts w:ascii="Times New Roman"/>
          <w:bCs/>
          <w:color w:val="000000" w:themeColor="text1"/>
        </w:rPr>
        <w:t>HJ 169-2018</w:t>
      </w:r>
      <w:r w:rsidRPr="008A2411">
        <w:rPr>
          <w:rFonts w:ascii="Times New Roman"/>
          <w:bCs/>
          <w:color w:val="000000" w:themeColor="text1"/>
        </w:rPr>
        <w:t>）</w:t>
      </w:r>
      <w:bookmarkEnd w:id="503"/>
      <w:r w:rsidRPr="008A2411">
        <w:rPr>
          <w:rFonts w:ascii="Times New Roman"/>
          <w:bCs/>
          <w:color w:val="000000" w:themeColor="text1"/>
        </w:rPr>
        <w:t>的相关要求为依据，根据建设项目涉及的物质及工艺系统危险性和所在地的环境敏感性确定环境风险潜势，按照表</w:t>
      </w:r>
      <w:r w:rsidRPr="008A2411">
        <w:rPr>
          <w:rFonts w:ascii="Times New Roman"/>
          <w:bCs/>
          <w:color w:val="000000" w:themeColor="text1"/>
        </w:rPr>
        <w:t>1</w:t>
      </w:r>
      <w:r w:rsidRPr="008A2411">
        <w:rPr>
          <w:rFonts w:ascii="Times New Roman"/>
          <w:bCs/>
          <w:color w:val="000000" w:themeColor="text1"/>
        </w:rPr>
        <w:t>确定评价工作等级：风险潜势为</w:t>
      </w:r>
      <w:r w:rsidRPr="008A2411">
        <w:rPr>
          <w:rFonts w:ascii="Times New Roman"/>
          <w:bCs/>
          <w:color w:val="000000" w:themeColor="text1"/>
        </w:rPr>
        <w:t>Ⅳ</w:t>
      </w:r>
      <w:r w:rsidRPr="008A2411">
        <w:rPr>
          <w:rFonts w:ascii="Times New Roman"/>
          <w:bCs/>
          <w:color w:val="000000" w:themeColor="text1"/>
        </w:rPr>
        <w:t>及以上，进行一级评价；风险潜势为</w:t>
      </w:r>
      <w:r w:rsidRPr="008A2411">
        <w:rPr>
          <w:rFonts w:ascii="Times New Roman"/>
          <w:bCs/>
          <w:color w:val="000000" w:themeColor="text1"/>
        </w:rPr>
        <w:t>Ⅲ</w:t>
      </w:r>
      <w:r w:rsidRPr="008A2411">
        <w:rPr>
          <w:rFonts w:ascii="Times New Roman"/>
          <w:bCs/>
          <w:color w:val="000000" w:themeColor="text1"/>
        </w:rPr>
        <w:t>，进行二级评价；风险潜势为</w:t>
      </w:r>
      <w:r w:rsidRPr="008A2411">
        <w:rPr>
          <w:rFonts w:ascii="Times New Roman"/>
          <w:bCs/>
          <w:color w:val="000000" w:themeColor="text1"/>
        </w:rPr>
        <w:t>Ⅱ</w:t>
      </w:r>
      <w:r w:rsidRPr="008A2411">
        <w:rPr>
          <w:rFonts w:ascii="Times New Roman"/>
          <w:bCs/>
          <w:color w:val="000000" w:themeColor="text1"/>
        </w:rPr>
        <w:t>，进行三级评价；风险潜势为</w:t>
      </w:r>
      <w:r w:rsidRPr="008A2411">
        <w:rPr>
          <w:rFonts w:ascii="Times New Roman"/>
          <w:bCs/>
          <w:color w:val="000000" w:themeColor="text1"/>
        </w:rPr>
        <w:t>Ⅰ</w:t>
      </w:r>
      <w:r w:rsidRPr="008A2411">
        <w:rPr>
          <w:rFonts w:ascii="Times New Roman"/>
          <w:bCs/>
          <w:color w:val="000000" w:themeColor="text1"/>
        </w:rPr>
        <w:t>，可开展简单分析。</w:t>
      </w:r>
    </w:p>
    <w:p w14:paraId="706844B7" w14:textId="77777777" w:rsidR="00B0005F" w:rsidRPr="008A2411" w:rsidRDefault="00000000">
      <w:pPr>
        <w:pStyle w:val="affffffffffffffffffff6"/>
        <w:snapToGrid/>
        <w:outlineLvl w:val="2"/>
        <w:rPr>
          <w:rFonts w:ascii="Times New Roman"/>
          <w:b/>
          <w:color w:val="000000" w:themeColor="text1"/>
          <w:sz w:val="24"/>
          <w:szCs w:val="24"/>
          <w:lang w:bidi="en-US"/>
        </w:rPr>
      </w:pPr>
      <w:r w:rsidRPr="008A2411">
        <w:rPr>
          <w:rFonts w:ascii="Times New Roman"/>
          <w:b/>
          <w:color w:val="000000" w:themeColor="text1"/>
          <w:sz w:val="24"/>
          <w:szCs w:val="24"/>
          <w:lang w:bidi="en-US"/>
        </w:rPr>
        <w:t>6.1.3</w:t>
      </w:r>
      <w:r w:rsidRPr="008A2411">
        <w:rPr>
          <w:rFonts w:ascii="Times New Roman"/>
          <w:b/>
          <w:color w:val="000000" w:themeColor="text1"/>
          <w:sz w:val="24"/>
          <w:szCs w:val="24"/>
          <w:lang w:bidi="en-US"/>
        </w:rPr>
        <w:t>工作流程</w:t>
      </w:r>
    </w:p>
    <w:p w14:paraId="6B211571" w14:textId="77777777" w:rsidR="00B0005F" w:rsidRPr="008A2411" w:rsidRDefault="00000000">
      <w:pPr>
        <w:adjustRightInd w:val="0"/>
        <w:spacing w:line="360" w:lineRule="auto"/>
        <w:ind w:firstLineChars="200" w:firstLine="480"/>
        <w:rPr>
          <w:rFonts w:ascii="Times New Roman"/>
          <w:bCs/>
          <w:color w:val="000000" w:themeColor="text1"/>
        </w:rPr>
      </w:pPr>
      <w:r w:rsidRPr="008A2411">
        <w:rPr>
          <w:rFonts w:ascii="Times New Roman"/>
          <w:bCs/>
          <w:color w:val="000000" w:themeColor="text1"/>
        </w:rPr>
        <w:t>本项目评价工作程序见下图：</w:t>
      </w:r>
    </w:p>
    <w:p w14:paraId="6F407EB8" w14:textId="77777777" w:rsidR="00B0005F" w:rsidRPr="008A2411" w:rsidRDefault="00000000">
      <w:pPr>
        <w:spacing w:line="360" w:lineRule="auto"/>
        <w:jc w:val="center"/>
        <w:rPr>
          <w:rFonts w:ascii="Times New Roman"/>
          <w:bCs/>
          <w:color w:val="000000" w:themeColor="text1"/>
        </w:rPr>
      </w:pPr>
      <w:r w:rsidRPr="008A2411">
        <w:rPr>
          <w:rFonts w:ascii="Times New Roman"/>
          <w:noProof/>
          <w:color w:val="000000" w:themeColor="text1"/>
          <w:position w:val="-171"/>
          <w:sz w:val="20"/>
        </w:rPr>
        <w:lastRenderedPageBreak/>
        <w:drawing>
          <wp:inline distT="0" distB="0" distL="0" distR="0" wp14:anchorId="05418575" wp14:editId="3DA979CC">
            <wp:extent cx="5151120" cy="5433060"/>
            <wp:effectExtent l="0" t="0" r="0" b="7620"/>
            <wp:docPr id="466" name="图片 4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 name="图片 466"/>
                    <pic:cNvPicPr>
                      <a:picLocks noChangeAspect="1" noChangeArrowheads="1"/>
                    </pic:cNvPicPr>
                  </pic:nvPicPr>
                  <pic:blipFill>
                    <a:blip r:embed="rId97">
                      <a:extLst>
                        <a:ext uri="{28A0092B-C50C-407E-A947-70E740481C1C}">
                          <a14:useLocalDpi xmlns:a14="http://schemas.microsoft.com/office/drawing/2010/main" val="0"/>
                        </a:ext>
                      </a:extLst>
                    </a:blip>
                    <a:srcRect/>
                    <a:stretch>
                      <a:fillRect/>
                    </a:stretch>
                  </pic:blipFill>
                  <pic:spPr>
                    <a:xfrm>
                      <a:off x="0" y="0"/>
                      <a:ext cx="5151120" cy="5433060"/>
                    </a:xfrm>
                    <a:prstGeom prst="rect">
                      <a:avLst/>
                    </a:prstGeom>
                    <a:noFill/>
                    <a:ln>
                      <a:noFill/>
                    </a:ln>
                  </pic:spPr>
                </pic:pic>
              </a:graphicData>
            </a:graphic>
          </wp:inline>
        </w:drawing>
      </w:r>
    </w:p>
    <w:p w14:paraId="184A3DA0" w14:textId="77777777" w:rsidR="00B0005F" w:rsidRPr="008A2411" w:rsidRDefault="00000000">
      <w:pPr>
        <w:pStyle w:val="afffffff9"/>
        <w:spacing w:line="240" w:lineRule="auto"/>
        <w:ind w:firstLineChars="0" w:firstLine="0"/>
        <w:jc w:val="center"/>
        <w:rPr>
          <w:rFonts w:ascii="Times New Roman" w:eastAsia="黑体" w:hAnsi="Times New Roman"/>
          <w:bCs/>
          <w:color w:val="000000" w:themeColor="text1"/>
        </w:rPr>
      </w:pPr>
      <w:r w:rsidRPr="008A2411">
        <w:rPr>
          <w:rFonts w:ascii="Times New Roman" w:eastAsia="黑体" w:hAnsi="Times New Roman"/>
          <w:bCs/>
          <w:color w:val="000000" w:themeColor="text1"/>
        </w:rPr>
        <w:t>图</w:t>
      </w:r>
      <w:r w:rsidRPr="008A2411">
        <w:rPr>
          <w:rFonts w:ascii="Times New Roman" w:eastAsia="黑体" w:hAnsi="Times New Roman"/>
          <w:bCs/>
          <w:color w:val="000000" w:themeColor="text1"/>
        </w:rPr>
        <w:t xml:space="preserve">6.1-1  </w:t>
      </w:r>
      <w:r w:rsidRPr="008A2411">
        <w:rPr>
          <w:rFonts w:ascii="Times New Roman" w:eastAsia="黑体" w:hAnsi="Times New Roman"/>
          <w:bCs/>
          <w:color w:val="000000" w:themeColor="text1"/>
        </w:rPr>
        <w:t>环境风险评价工作流程图</w:t>
      </w:r>
    </w:p>
    <w:p w14:paraId="732AE270" w14:textId="77777777" w:rsidR="00B0005F" w:rsidRPr="008A2411" w:rsidRDefault="00000000">
      <w:pPr>
        <w:pStyle w:val="affffffffffffffffffff6"/>
        <w:snapToGrid/>
        <w:outlineLvl w:val="1"/>
        <w:rPr>
          <w:rFonts w:ascii="Times New Roman"/>
          <w:bCs/>
          <w:color w:val="000000" w:themeColor="text1"/>
          <w:sz w:val="28"/>
          <w:szCs w:val="28"/>
          <w:lang w:bidi="en-US"/>
        </w:rPr>
      </w:pPr>
      <w:bookmarkStart w:id="504" w:name="_Toc40395545"/>
      <w:bookmarkStart w:id="505" w:name="_Toc109170773"/>
      <w:r w:rsidRPr="008A2411">
        <w:rPr>
          <w:rFonts w:ascii="Times New Roman"/>
          <w:bCs/>
          <w:color w:val="000000" w:themeColor="text1"/>
          <w:sz w:val="28"/>
          <w:szCs w:val="28"/>
          <w:lang w:bidi="en-US"/>
        </w:rPr>
        <w:t>6.2</w:t>
      </w:r>
      <w:r w:rsidRPr="008A2411">
        <w:rPr>
          <w:rFonts w:ascii="Times New Roman"/>
          <w:bCs/>
          <w:color w:val="000000" w:themeColor="text1"/>
          <w:sz w:val="28"/>
          <w:szCs w:val="28"/>
          <w:lang w:bidi="en-US"/>
        </w:rPr>
        <w:t>环境风险</w:t>
      </w:r>
      <w:bookmarkEnd w:id="504"/>
      <w:r w:rsidRPr="008A2411">
        <w:rPr>
          <w:rFonts w:ascii="Times New Roman"/>
          <w:bCs/>
          <w:color w:val="000000" w:themeColor="text1"/>
          <w:sz w:val="28"/>
          <w:szCs w:val="28"/>
          <w:lang w:bidi="en-US"/>
        </w:rPr>
        <w:t>调查</w:t>
      </w:r>
      <w:bookmarkEnd w:id="505"/>
    </w:p>
    <w:p w14:paraId="11421884" w14:textId="02A5439A" w:rsidR="00B0005F" w:rsidRPr="008A2411" w:rsidRDefault="00000000">
      <w:pPr>
        <w:adjustRightInd w:val="0"/>
        <w:spacing w:line="360" w:lineRule="auto"/>
        <w:ind w:firstLineChars="200" w:firstLine="480"/>
        <w:rPr>
          <w:rFonts w:ascii="Times New Roman"/>
          <w:bCs/>
          <w:color w:val="000000" w:themeColor="text1"/>
        </w:rPr>
      </w:pPr>
      <w:r w:rsidRPr="008A2411">
        <w:rPr>
          <w:rFonts w:ascii="Times New Roman"/>
          <w:bCs/>
          <w:color w:val="000000" w:themeColor="text1"/>
        </w:rPr>
        <w:t>风险防范是企业安全生产的前提和保障，</w:t>
      </w:r>
      <w:proofErr w:type="gramStart"/>
      <w:r w:rsidRPr="008A2411">
        <w:rPr>
          <w:rFonts w:ascii="Times New Roman"/>
          <w:bCs/>
          <w:color w:val="000000" w:themeColor="text1"/>
        </w:rPr>
        <w:t>本评价</w:t>
      </w:r>
      <w:proofErr w:type="gramEnd"/>
      <w:r w:rsidRPr="008A2411">
        <w:rPr>
          <w:rFonts w:ascii="Times New Roman"/>
          <w:bCs/>
          <w:color w:val="000000" w:themeColor="text1"/>
        </w:rPr>
        <w:t>将对项目危险化学品使用及储运等过程和非</w:t>
      </w:r>
      <w:proofErr w:type="gramStart"/>
      <w:r w:rsidRPr="008A2411">
        <w:rPr>
          <w:rFonts w:ascii="Times New Roman"/>
          <w:bCs/>
          <w:color w:val="000000" w:themeColor="text1"/>
        </w:rPr>
        <w:t>危化品</w:t>
      </w:r>
      <w:proofErr w:type="gramEnd"/>
      <w:r w:rsidRPr="008A2411">
        <w:rPr>
          <w:rFonts w:ascii="Times New Roman"/>
          <w:bCs/>
          <w:color w:val="000000" w:themeColor="text1"/>
        </w:rPr>
        <w:t>（如</w:t>
      </w:r>
      <w:r w:rsidR="00DC0DEB" w:rsidRPr="008A2411">
        <w:rPr>
          <w:rFonts w:ascii="Times New Roman" w:hint="eastAsia"/>
          <w:bCs/>
          <w:color w:val="000000" w:themeColor="text1"/>
        </w:rPr>
        <w:t>含油废水</w:t>
      </w:r>
      <w:r w:rsidRPr="008A2411">
        <w:rPr>
          <w:rFonts w:ascii="Times New Roman"/>
          <w:bCs/>
          <w:color w:val="000000" w:themeColor="text1"/>
        </w:rPr>
        <w:t>等）的收集、贮存、运输、处理处置中可能发生的潜在</w:t>
      </w:r>
      <w:r w:rsidRPr="008A2411">
        <w:rPr>
          <w:rFonts w:ascii="Times New Roman" w:hint="eastAsia"/>
          <w:bCs/>
          <w:color w:val="000000" w:themeColor="text1"/>
        </w:rPr>
        <w:t>环境风险</w:t>
      </w:r>
      <w:r w:rsidRPr="008A2411">
        <w:rPr>
          <w:rFonts w:ascii="Times New Roman"/>
          <w:bCs/>
          <w:color w:val="000000" w:themeColor="text1"/>
        </w:rPr>
        <w:t>进行分析，找出主要</w:t>
      </w:r>
      <w:r w:rsidRPr="008A2411">
        <w:rPr>
          <w:rFonts w:ascii="Times New Roman" w:hint="eastAsia"/>
          <w:bCs/>
          <w:color w:val="000000" w:themeColor="text1"/>
        </w:rPr>
        <w:t>环境风险</w:t>
      </w:r>
      <w:r w:rsidRPr="008A2411">
        <w:rPr>
          <w:rFonts w:ascii="Times New Roman"/>
          <w:bCs/>
          <w:color w:val="000000" w:themeColor="text1"/>
        </w:rPr>
        <w:t>环节，识别</w:t>
      </w:r>
      <w:r w:rsidRPr="008A2411">
        <w:rPr>
          <w:rFonts w:ascii="Times New Roman" w:hint="eastAsia"/>
          <w:bCs/>
          <w:color w:val="000000" w:themeColor="text1"/>
        </w:rPr>
        <w:t>环境风险</w:t>
      </w:r>
      <w:r w:rsidRPr="008A2411">
        <w:rPr>
          <w:rFonts w:ascii="Times New Roman"/>
          <w:bCs/>
          <w:color w:val="000000" w:themeColor="text1"/>
        </w:rPr>
        <w:t>程度，进而针对性地采取预防和应急措施，尽可能将风险可能性和危险性降到最低程度。</w:t>
      </w:r>
    </w:p>
    <w:p w14:paraId="2FB33CA5" w14:textId="77777777" w:rsidR="00B0005F" w:rsidRPr="008A2411" w:rsidRDefault="00000000">
      <w:pPr>
        <w:adjustRightInd w:val="0"/>
        <w:spacing w:line="360" w:lineRule="auto"/>
        <w:ind w:firstLineChars="200" w:firstLine="480"/>
        <w:rPr>
          <w:rFonts w:ascii="Times New Roman"/>
          <w:bCs/>
          <w:color w:val="000000" w:themeColor="text1"/>
        </w:rPr>
      </w:pPr>
      <w:r w:rsidRPr="008A2411">
        <w:rPr>
          <w:rFonts w:ascii="Times New Roman"/>
          <w:bCs/>
          <w:color w:val="000000" w:themeColor="text1"/>
        </w:rPr>
        <w:t>按照《建设项目环境风险评价技术导则》（</w:t>
      </w:r>
      <w:r w:rsidRPr="008A2411">
        <w:rPr>
          <w:rFonts w:ascii="Times New Roman"/>
          <w:bCs/>
          <w:color w:val="000000" w:themeColor="text1"/>
        </w:rPr>
        <w:t>HJ 169-2018</w:t>
      </w:r>
      <w:r w:rsidRPr="008A2411">
        <w:rPr>
          <w:rFonts w:ascii="Times New Roman"/>
          <w:bCs/>
          <w:color w:val="000000" w:themeColor="text1"/>
        </w:rPr>
        <w:t>）规定，在进行风险评价时，首先要调查建设项目危险物质数量和分布情况、生产工艺特点，确定项目中哪些物质应该进行</w:t>
      </w:r>
      <w:r w:rsidRPr="008A2411">
        <w:rPr>
          <w:rFonts w:ascii="Times New Roman" w:hint="eastAsia"/>
          <w:bCs/>
          <w:color w:val="000000" w:themeColor="text1"/>
        </w:rPr>
        <w:t>环境风险</w:t>
      </w:r>
      <w:r w:rsidRPr="008A2411">
        <w:rPr>
          <w:rFonts w:ascii="Times New Roman"/>
          <w:bCs/>
          <w:color w:val="000000" w:themeColor="text1"/>
        </w:rPr>
        <w:t>评价。</w:t>
      </w:r>
    </w:p>
    <w:p w14:paraId="0A2A64BB" w14:textId="77777777" w:rsidR="00B0005F" w:rsidRPr="008A2411" w:rsidRDefault="00000000">
      <w:pPr>
        <w:adjustRightInd w:val="0"/>
        <w:spacing w:line="360" w:lineRule="auto"/>
        <w:ind w:firstLineChars="200" w:firstLine="480"/>
        <w:rPr>
          <w:rFonts w:ascii="Times New Roman"/>
          <w:bCs/>
          <w:color w:val="000000" w:themeColor="text1"/>
        </w:rPr>
      </w:pPr>
      <w:r w:rsidRPr="008A2411">
        <w:rPr>
          <w:rFonts w:ascii="Times New Roman"/>
          <w:bCs/>
          <w:color w:val="000000" w:themeColor="text1"/>
        </w:rPr>
        <w:t>物质风险识别范围：主要原材料及辅助材料、燃料、中间产品最终产品以及生产过程排放的</w:t>
      </w:r>
      <w:r w:rsidRPr="008A2411">
        <w:rPr>
          <w:rFonts w:ascii="Times New Roman" w:hint="eastAsia"/>
          <w:bCs/>
          <w:color w:val="000000" w:themeColor="text1"/>
        </w:rPr>
        <w:t>“</w:t>
      </w:r>
      <w:r w:rsidRPr="008A2411">
        <w:rPr>
          <w:rFonts w:ascii="Times New Roman"/>
          <w:bCs/>
          <w:color w:val="000000" w:themeColor="text1"/>
        </w:rPr>
        <w:t>三废</w:t>
      </w:r>
      <w:r w:rsidRPr="008A2411">
        <w:rPr>
          <w:rFonts w:ascii="Times New Roman" w:hint="eastAsia"/>
          <w:bCs/>
          <w:color w:val="000000" w:themeColor="text1"/>
        </w:rPr>
        <w:t>”</w:t>
      </w:r>
      <w:r w:rsidRPr="008A2411">
        <w:rPr>
          <w:rFonts w:ascii="Times New Roman"/>
          <w:bCs/>
          <w:color w:val="000000" w:themeColor="text1"/>
        </w:rPr>
        <w:t>污染物等，目的是确定环境风险因子。</w:t>
      </w:r>
    </w:p>
    <w:p w14:paraId="176704CC" w14:textId="77777777" w:rsidR="00B0005F" w:rsidRPr="008A2411" w:rsidRDefault="00000000">
      <w:pPr>
        <w:adjustRightInd w:val="0"/>
        <w:spacing w:line="360" w:lineRule="auto"/>
        <w:ind w:firstLineChars="200" w:firstLine="480"/>
        <w:rPr>
          <w:rFonts w:ascii="Times New Roman"/>
          <w:bCs/>
          <w:color w:val="000000" w:themeColor="text1"/>
        </w:rPr>
      </w:pPr>
      <w:r w:rsidRPr="008A2411">
        <w:rPr>
          <w:rFonts w:ascii="Times New Roman"/>
          <w:bCs/>
          <w:color w:val="000000" w:themeColor="text1"/>
        </w:rPr>
        <w:lastRenderedPageBreak/>
        <w:t>通过对本项目生产中主要原辅材料及分布情况、生产工艺特点进行分析，主要危险化学品为运营期天然气（甲烷）、导热油等。</w:t>
      </w:r>
    </w:p>
    <w:p w14:paraId="662FB5B0" w14:textId="77777777" w:rsidR="00B0005F" w:rsidRPr="008A2411" w:rsidRDefault="00000000">
      <w:pPr>
        <w:adjustRightInd w:val="0"/>
        <w:spacing w:line="360" w:lineRule="auto"/>
        <w:ind w:firstLineChars="200" w:firstLine="480"/>
        <w:rPr>
          <w:rFonts w:ascii="Times New Roman"/>
          <w:bCs/>
          <w:color w:val="000000" w:themeColor="text1"/>
        </w:rPr>
      </w:pPr>
      <w:r w:rsidRPr="008A2411">
        <w:rPr>
          <w:rFonts w:ascii="Times New Roman"/>
          <w:bCs/>
          <w:color w:val="000000" w:themeColor="text1"/>
        </w:rPr>
        <w:t>主要危险化学物质储存状况见后文</w:t>
      </w:r>
      <w:r w:rsidRPr="008A2411">
        <w:rPr>
          <w:rFonts w:ascii="Times New Roman" w:hint="eastAsia"/>
          <w:bCs/>
          <w:color w:val="000000" w:themeColor="text1"/>
        </w:rPr>
        <w:t>“</w:t>
      </w:r>
      <w:r w:rsidRPr="008A2411">
        <w:rPr>
          <w:rFonts w:ascii="Times New Roman" w:hint="eastAsia"/>
          <w:bCs/>
          <w:color w:val="000000" w:themeColor="text1"/>
        </w:rPr>
        <w:t>6</w:t>
      </w:r>
      <w:r w:rsidRPr="008A2411">
        <w:rPr>
          <w:rFonts w:ascii="Times New Roman"/>
          <w:bCs/>
          <w:color w:val="000000" w:themeColor="text1"/>
        </w:rPr>
        <w:t>.3.2 P</w:t>
      </w:r>
      <w:r w:rsidRPr="008A2411">
        <w:rPr>
          <w:rFonts w:ascii="Times New Roman"/>
          <w:bCs/>
          <w:color w:val="000000" w:themeColor="text1"/>
        </w:rPr>
        <w:t>的分级确定</w:t>
      </w:r>
      <w:r w:rsidRPr="008A2411">
        <w:rPr>
          <w:rFonts w:ascii="Times New Roman" w:hint="eastAsia"/>
          <w:bCs/>
          <w:color w:val="000000" w:themeColor="text1"/>
        </w:rPr>
        <w:t>”</w:t>
      </w:r>
      <w:r w:rsidRPr="008A2411">
        <w:rPr>
          <w:rFonts w:ascii="Times New Roman"/>
          <w:bCs/>
          <w:color w:val="000000" w:themeColor="text1"/>
        </w:rPr>
        <w:t>小结，主要物质的危险、有害因素见下表。</w:t>
      </w:r>
    </w:p>
    <w:p w14:paraId="4F5A07E3" w14:textId="77777777" w:rsidR="00B0005F" w:rsidRPr="008A2411" w:rsidRDefault="00000000">
      <w:pPr>
        <w:pStyle w:val="afffffff9"/>
        <w:spacing w:line="240" w:lineRule="auto"/>
        <w:ind w:firstLineChars="0" w:firstLine="0"/>
        <w:jc w:val="center"/>
        <w:rPr>
          <w:rFonts w:ascii="Times New Roman" w:eastAsia="黑体" w:hAnsi="Times New Roman"/>
          <w:bCs/>
          <w:color w:val="000000" w:themeColor="text1"/>
        </w:rPr>
      </w:pPr>
      <w:r w:rsidRPr="008A2411">
        <w:rPr>
          <w:rFonts w:ascii="Times New Roman" w:eastAsia="黑体" w:hAnsi="Times New Roman"/>
          <w:bCs/>
          <w:color w:val="000000" w:themeColor="text1"/>
        </w:rPr>
        <w:t>表</w:t>
      </w:r>
      <w:r w:rsidRPr="008A2411">
        <w:rPr>
          <w:rFonts w:ascii="Times New Roman" w:eastAsia="黑体" w:hAnsi="Times New Roman"/>
          <w:bCs/>
          <w:color w:val="000000" w:themeColor="text1"/>
        </w:rPr>
        <w:t xml:space="preserve">6.2-1  </w:t>
      </w:r>
      <w:r w:rsidRPr="008A2411">
        <w:rPr>
          <w:rFonts w:ascii="Times New Roman" w:eastAsia="黑体" w:hAnsi="Times New Roman"/>
          <w:bCs/>
          <w:color w:val="000000" w:themeColor="text1"/>
        </w:rPr>
        <w:t>部分主要物质的危险、有害因素</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9"/>
        <w:gridCol w:w="1318"/>
        <w:gridCol w:w="1554"/>
        <w:gridCol w:w="2213"/>
        <w:gridCol w:w="1192"/>
        <w:gridCol w:w="1436"/>
      </w:tblGrid>
      <w:tr w:rsidR="008A2411" w:rsidRPr="008A2411" w14:paraId="247F185E" w14:textId="77777777">
        <w:trPr>
          <w:cantSplit/>
          <w:jc w:val="center"/>
        </w:trPr>
        <w:tc>
          <w:tcPr>
            <w:tcW w:w="0" w:type="auto"/>
            <w:shd w:val="clear" w:color="auto" w:fill="FFFFFF"/>
            <w:vAlign w:val="center"/>
          </w:tcPr>
          <w:p w14:paraId="4BED7F55" w14:textId="77777777" w:rsidR="00B0005F" w:rsidRPr="008A2411" w:rsidRDefault="00000000">
            <w:pPr>
              <w:pStyle w:val="afffffffffffff1"/>
              <w:widowControl w:val="0"/>
              <w:adjustRightInd w:val="0"/>
              <w:snapToGrid w:val="0"/>
              <w:ind w:left="0" w:right="0"/>
              <w:rPr>
                <w:rFonts w:ascii="Times New Roman" w:hAnsi="Times New Roman" w:cs="Times New Roman"/>
                <w:snapToGrid/>
                <w:color w:val="000000" w:themeColor="text1"/>
                <w:spacing w:val="0"/>
                <w:sz w:val="21"/>
                <w:szCs w:val="18"/>
              </w:rPr>
            </w:pPr>
            <w:r w:rsidRPr="008A2411">
              <w:rPr>
                <w:rFonts w:ascii="Times New Roman" w:hAnsi="Times New Roman" w:cs="Times New Roman"/>
                <w:snapToGrid/>
                <w:color w:val="000000" w:themeColor="text1"/>
                <w:spacing w:val="0"/>
                <w:sz w:val="21"/>
                <w:szCs w:val="18"/>
              </w:rPr>
              <w:t>物质名称</w:t>
            </w:r>
          </w:p>
        </w:tc>
        <w:tc>
          <w:tcPr>
            <w:tcW w:w="0" w:type="auto"/>
            <w:shd w:val="clear" w:color="auto" w:fill="FFFFFF"/>
            <w:vAlign w:val="center"/>
          </w:tcPr>
          <w:p w14:paraId="713AC0FC" w14:textId="77777777" w:rsidR="00B0005F" w:rsidRPr="008A2411" w:rsidRDefault="00000000">
            <w:pPr>
              <w:pStyle w:val="afffffffffffff1"/>
              <w:widowControl w:val="0"/>
              <w:adjustRightInd w:val="0"/>
              <w:snapToGrid w:val="0"/>
              <w:ind w:left="0" w:right="0"/>
              <w:rPr>
                <w:rFonts w:ascii="Times New Roman" w:hAnsi="Times New Roman" w:cs="Times New Roman"/>
                <w:snapToGrid/>
                <w:color w:val="000000" w:themeColor="text1"/>
                <w:spacing w:val="0"/>
                <w:sz w:val="21"/>
                <w:szCs w:val="18"/>
              </w:rPr>
            </w:pPr>
            <w:r w:rsidRPr="008A2411">
              <w:rPr>
                <w:rFonts w:ascii="Times New Roman" w:hAnsi="Times New Roman" w:cs="Times New Roman"/>
                <w:snapToGrid/>
                <w:color w:val="000000" w:themeColor="text1"/>
                <w:spacing w:val="0"/>
                <w:sz w:val="21"/>
                <w:szCs w:val="18"/>
              </w:rPr>
              <w:t>爆炸极限或闪点</w:t>
            </w:r>
          </w:p>
        </w:tc>
        <w:tc>
          <w:tcPr>
            <w:tcW w:w="0" w:type="auto"/>
            <w:shd w:val="clear" w:color="auto" w:fill="FFFFFF"/>
            <w:vAlign w:val="center"/>
          </w:tcPr>
          <w:p w14:paraId="760A6CF8" w14:textId="77777777" w:rsidR="00B0005F" w:rsidRPr="008A2411" w:rsidRDefault="00000000">
            <w:pPr>
              <w:pStyle w:val="afffffffffffff1"/>
              <w:widowControl w:val="0"/>
              <w:adjustRightInd w:val="0"/>
              <w:snapToGrid w:val="0"/>
              <w:ind w:left="0" w:right="0"/>
              <w:rPr>
                <w:rFonts w:ascii="Times New Roman" w:hAnsi="Times New Roman" w:cs="Times New Roman"/>
                <w:snapToGrid/>
                <w:color w:val="000000" w:themeColor="text1"/>
                <w:spacing w:val="0"/>
                <w:sz w:val="21"/>
                <w:szCs w:val="18"/>
              </w:rPr>
            </w:pPr>
            <w:r w:rsidRPr="008A2411">
              <w:rPr>
                <w:rFonts w:ascii="Times New Roman" w:hAnsi="Times New Roman" w:cs="Times New Roman"/>
                <w:snapToGrid/>
                <w:color w:val="000000" w:themeColor="text1"/>
                <w:spacing w:val="0"/>
                <w:sz w:val="21"/>
                <w:szCs w:val="18"/>
              </w:rPr>
              <w:t>火灾危险特征</w:t>
            </w:r>
          </w:p>
        </w:tc>
        <w:tc>
          <w:tcPr>
            <w:tcW w:w="0" w:type="auto"/>
            <w:shd w:val="clear" w:color="auto" w:fill="FFFFFF"/>
            <w:vAlign w:val="center"/>
          </w:tcPr>
          <w:p w14:paraId="090355D1" w14:textId="77777777" w:rsidR="00B0005F" w:rsidRPr="008A2411" w:rsidRDefault="00000000">
            <w:pPr>
              <w:pStyle w:val="afffffffffffff1"/>
              <w:widowControl w:val="0"/>
              <w:adjustRightInd w:val="0"/>
              <w:snapToGrid w:val="0"/>
              <w:ind w:left="0" w:right="0"/>
              <w:rPr>
                <w:rFonts w:ascii="Times New Roman" w:hAnsi="Times New Roman" w:cs="Times New Roman"/>
                <w:snapToGrid/>
                <w:color w:val="000000" w:themeColor="text1"/>
                <w:spacing w:val="0"/>
                <w:sz w:val="21"/>
                <w:szCs w:val="18"/>
              </w:rPr>
            </w:pPr>
            <w:r w:rsidRPr="008A2411">
              <w:rPr>
                <w:rFonts w:ascii="Times New Roman" w:hAnsi="Times New Roman" w:cs="Times New Roman"/>
                <w:snapToGrid/>
                <w:color w:val="000000" w:themeColor="text1"/>
                <w:spacing w:val="0"/>
                <w:sz w:val="21"/>
                <w:szCs w:val="18"/>
              </w:rPr>
              <w:t>存在部位及生产过程</w:t>
            </w:r>
          </w:p>
        </w:tc>
        <w:tc>
          <w:tcPr>
            <w:tcW w:w="0" w:type="auto"/>
            <w:shd w:val="clear" w:color="auto" w:fill="FFFFFF"/>
            <w:vAlign w:val="center"/>
          </w:tcPr>
          <w:p w14:paraId="5FFFDFCE" w14:textId="77777777" w:rsidR="00B0005F" w:rsidRPr="008A2411" w:rsidRDefault="00000000">
            <w:pPr>
              <w:pStyle w:val="afffffffffffff1"/>
              <w:widowControl w:val="0"/>
              <w:adjustRightInd w:val="0"/>
              <w:snapToGrid w:val="0"/>
              <w:ind w:left="0" w:right="0"/>
              <w:rPr>
                <w:rFonts w:ascii="Times New Roman" w:hAnsi="Times New Roman" w:cs="Times New Roman"/>
                <w:snapToGrid/>
                <w:color w:val="000000" w:themeColor="text1"/>
                <w:spacing w:val="0"/>
                <w:sz w:val="21"/>
                <w:szCs w:val="18"/>
              </w:rPr>
            </w:pPr>
            <w:r w:rsidRPr="008A2411">
              <w:rPr>
                <w:rFonts w:ascii="Times New Roman" w:hAnsi="Times New Roman" w:cs="Times New Roman"/>
                <w:snapToGrid/>
                <w:color w:val="000000" w:themeColor="text1"/>
                <w:spacing w:val="0"/>
                <w:sz w:val="21"/>
                <w:szCs w:val="18"/>
              </w:rPr>
              <w:t>火灾危险性类别</w:t>
            </w:r>
          </w:p>
        </w:tc>
        <w:tc>
          <w:tcPr>
            <w:tcW w:w="0" w:type="auto"/>
            <w:shd w:val="clear" w:color="auto" w:fill="FFFFFF"/>
            <w:vAlign w:val="center"/>
          </w:tcPr>
          <w:p w14:paraId="7639DA78" w14:textId="77777777" w:rsidR="00B0005F" w:rsidRPr="008A2411" w:rsidRDefault="00000000">
            <w:pPr>
              <w:pStyle w:val="afffffffffffff1"/>
              <w:widowControl w:val="0"/>
              <w:adjustRightInd w:val="0"/>
              <w:snapToGrid w:val="0"/>
              <w:ind w:left="0" w:right="0"/>
              <w:rPr>
                <w:rFonts w:ascii="Times New Roman" w:hAnsi="Times New Roman" w:cs="Times New Roman"/>
                <w:snapToGrid/>
                <w:color w:val="000000" w:themeColor="text1"/>
                <w:spacing w:val="0"/>
                <w:sz w:val="21"/>
                <w:szCs w:val="18"/>
              </w:rPr>
            </w:pPr>
            <w:r w:rsidRPr="008A2411">
              <w:rPr>
                <w:rFonts w:ascii="Times New Roman" w:hAnsi="Times New Roman" w:cs="Times New Roman"/>
                <w:snapToGrid/>
                <w:color w:val="000000" w:themeColor="text1"/>
                <w:spacing w:val="0"/>
                <w:sz w:val="21"/>
                <w:szCs w:val="18"/>
              </w:rPr>
              <w:t>危险有害因素分类</w:t>
            </w:r>
          </w:p>
        </w:tc>
      </w:tr>
      <w:tr w:rsidR="008A2411" w:rsidRPr="008A2411" w14:paraId="25A226F1" w14:textId="77777777">
        <w:trPr>
          <w:cantSplit/>
          <w:trHeight w:val="312"/>
          <w:jc w:val="center"/>
        </w:trPr>
        <w:tc>
          <w:tcPr>
            <w:tcW w:w="0" w:type="auto"/>
            <w:shd w:val="clear" w:color="auto" w:fill="FFFFFF"/>
            <w:vAlign w:val="center"/>
          </w:tcPr>
          <w:p w14:paraId="3AD6A1D8" w14:textId="77777777" w:rsidR="00B0005F" w:rsidRPr="008A2411" w:rsidRDefault="00000000">
            <w:pPr>
              <w:pStyle w:val="afffffffffffff1"/>
              <w:widowControl w:val="0"/>
              <w:adjustRightInd w:val="0"/>
              <w:snapToGrid w:val="0"/>
              <w:ind w:left="0" w:right="0"/>
              <w:rPr>
                <w:rFonts w:ascii="Times New Roman" w:hAnsi="Times New Roman" w:cs="Times New Roman"/>
                <w:snapToGrid/>
                <w:color w:val="000000" w:themeColor="text1"/>
                <w:spacing w:val="0"/>
                <w:sz w:val="21"/>
                <w:szCs w:val="18"/>
              </w:rPr>
            </w:pPr>
            <w:r w:rsidRPr="008A2411">
              <w:rPr>
                <w:rFonts w:ascii="Times New Roman" w:hAnsi="Times New Roman" w:cs="Times New Roman"/>
                <w:snapToGrid/>
                <w:color w:val="000000" w:themeColor="text1"/>
                <w:spacing w:val="0"/>
                <w:sz w:val="21"/>
                <w:szCs w:val="18"/>
              </w:rPr>
              <w:t>甲烷</w:t>
            </w:r>
          </w:p>
        </w:tc>
        <w:tc>
          <w:tcPr>
            <w:tcW w:w="0" w:type="auto"/>
            <w:shd w:val="clear" w:color="auto" w:fill="FFFFFF"/>
            <w:vAlign w:val="center"/>
          </w:tcPr>
          <w:p w14:paraId="570BB130" w14:textId="77777777" w:rsidR="00B0005F" w:rsidRPr="008A2411" w:rsidRDefault="00000000">
            <w:pPr>
              <w:pStyle w:val="afffffffffffff1"/>
              <w:widowControl w:val="0"/>
              <w:adjustRightInd w:val="0"/>
              <w:snapToGrid w:val="0"/>
              <w:ind w:left="0" w:right="0"/>
              <w:rPr>
                <w:rFonts w:ascii="Times New Roman" w:hAnsi="Times New Roman" w:cs="Times New Roman"/>
                <w:snapToGrid/>
                <w:color w:val="000000" w:themeColor="text1"/>
                <w:spacing w:val="0"/>
                <w:sz w:val="21"/>
                <w:szCs w:val="18"/>
              </w:rPr>
            </w:pPr>
            <w:r w:rsidRPr="008A2411">
              <w:rPr>
                <w:rFonts w:ascii="Times New Roman" w:hAnsi="Times New Roman" w:cs="Times New Roman"/>
                <w:snapToGrid/>
                <w:color w:val="000000" w:themeColor="text1"/>
                <w:spacing w:val="0"/>
                <w:sz w:val="21"/>
                <w:szCs w:val="18"/>
              </w:rPr>
              <w:t>5%</w:t>
            </w:r>
            <w:r w:rsidRPr="008A2411">
              <w:rPr>
                <w:rFonts w:ascii="Times New Roman" w:hAnsi="Times New Roman" w:cs="Times New Roman"/>
                <w:snapToGrid/>
                <w:color w:val="000000" w:themeColor="text1"/>
                <w:spacing w:val="0"/>
                <w:sz w:val="21"/>
                <w:szCs w:val="18"/>
              </w:rPr>
              <w:t>～</w:t>
            </w:r>
            <w:r w:rsidRPr="008A2411">
              <w:rPr>
                <w:rFonts w:ascii="Times New Roman" w:hAnsi="Times New Roman" w:cs="Times New Roman"/>
                <w:snapToGrid/>
                <w:color w:val="000000" w:themeColor="text1"/>
                <w:spacing w:val="0"/>
                <w:sz w:val="21"/>
                <w:szCs w:val="18"/>
              </w:rPr>
              <w:t>15%</w:t>
            </w:r>
          </w:p>
        </w:tc>
        <w:tc>
          <w:tcPr>
            <w:tcW w:w="0" w:type="auto"/>
            <w:shd w:val="clear" w:color="auto" w:fill="FFFFFF"/>
            <w:vAlign w:val="center"/>
          </w:tcPr>
          <w:p w14:paraId="7699507B" w14:textId="77777777" w:rsidR="00B0005F" w:rsidRPr="008A2411" w:rsidRDefault="00000000">
            <w:pPr>
              <w:pStyle w:val="afffffffffffff1"/>
              <w:widowControl w:val="0"/>
              <w:adjustRightInd w:val="0"/>
              <w:snapToGrid w:val="0"/>
              <w:ind w:left="0" w:right="0"/>
              <w:rPr>
                <w:rFonts w:ascii="Times New Roman" w:hAnsi="Times New Roman" w:cs="Times New Roman"/>
                <w:snapToGrid/>
                <w:color w:val="000000" w:themeColor="text1"/>
                <w:spacing w:val="0"/>
                <w:sz w:val="21"/>
                <w:szCs w:val="18"/>
              </w:rPr>
            </w:pPr>
            <w:r w:rsidRPr="008A2411">
              <w:rPr>
                <w:rFonts w:ascii="Times New Roman" w:hAnsi="Times New Roman" w:cs="Times New Roman"/>
                <w:snapToGrid/>
                <w:color w:val="000000" w:themeColor="text1"/>
                <w:spacing w:val="0"/>
                <w:sz w:val="21"/>
                <w:szCs w:val="18"/>
              </w:rPr>
              <w:t>爆炸下限小于</w:t>
            </w:r>
            <w:r w:rsidRPr="008A2411">
              <w:rPr>
                <w:rFonts w:ascii="Times New Roman" w:hAnsi="Times New Roman" w:cs="Times New Roman"/>
                <w:snapToGrid/>
                <w:color w:val="000000" w:themeColor="text1"/>
                <w:spacing w:val="0"/>
                <w:sz w:val="21"/>
                <w:szCs w:val="18"/>
              </w:rPr>
              <w:t>10%</w:t>
            </w:r>
          </w:p>
        </w:tc>
        <w:tc>
          <w:tcPr>
            <w:tcW w:w="0" w:type="auto"/>
            <w:shd w:val="clear" w:color="auto" w:fill="FFFFFF"/>
            <w:vAlign w:val="center"/>
          </w:tcPr>
          <w:p w14:paraId="72B17AE9" w14:textId="77777777" w:rsidR="00B0005F" w:rsidRPr="008A2411" w:rsidRDefault="00000000">
            <w:pPr>
              <w:pStyle w:val="afffffffffffff1"/>
              <w:widowControl w:val="0"/>
              <w:adjustRightInd w:val="0"/>
              <w:snapToGrid w:val="0"/>
              <w:ind w:left="0" w:right="0"/>
              <w:rPr>
                <w:rFonts w:ascii="Times New Roman" w:hAnsi="Times New Roman" w:cs="Times New Roman"/>
                <w:snapToGrid/>
                <w:color w:val="000000" w:themeColor="text1"/>
                <w:spacing w:val="0"/>
                <w:sz w:val="21"/>
                <w:szCs w:val="18"/>
              </w:rPr>
            </w:pPr>
            <w:r w:rsidRPr="008A2411">
              <w:rPr>
                <w:rFonts w:ascii="Times New Roman" w:hAnsi="Times New Roman" w:cs="Times New Roman"/>
                <w:snapToGrid/>
                <w:color w:val="000000" w:themeColor="text1"/>
                <w:spacing w:val="0"/>
                <w:sz w:val="21"/>
                <w:szCs w:val="18"/>
              </w:rPr>
              <w:t>装置区、工艺管线、</w:t>
            </w:r>
            <w:r w:rsidRPr="008A2411">
              <w:rPr>
                <w:rFonts w:ascii="Times New Roman" w:hAnsi="Times New Roman" w:cs="Times New Roman"/>
                <w:snapToGrid/>
                <w:color w:val="000000" w:themeColor="text1"/>
                <w:spacing w:val="0"/>
                <w:sz w:val="21"/>
                <w:szCs w:val="18"/>
              </w:rPr>
              <w:t>LNG</w:t>
            </w:r>
            <w:r w:rsidRPr="008A2411">
              <w:rPr>
                <w:rFonts w:ascii="Times New Roman" w:hAnsi="Times New Roman" w:cs="Times New Roman"/>
                <w:snapToGrid/>
                <w:color w:val="000000" w:themeColor="text1"/>
                <w:spacing w:val="0"/>
                <w:sz w:val="21"/>
                <w:szCs w:val="18"/>
              </w:rPr>
              <w:t>储罐区</w:t>
            </w:r>
          </w:p>
        </w:tc>
        <w:tc>
          <w:tcPr>
            <w:tcW w:w="0" w:type="auto"/>
            <w:shd w:val="clear" w:color="auto" w:fill="FFFFFF"/>
            <w:vAlign w:val="center"/>
          </w:tcPr>
          <w:p w14:paraId="1DC54325" w14:textId="77777777" w:rsidR="00B0005F" w:rsidRPr="008A2411" w:rsidRDefault="00000000">
            <w:pPr>
              <w:pStyle w:val="afffffffffffff1"/>
              <w:widowControl w:val="0"/>
              <w:adjustRightInd w:val="0"/>
              <w:snapToGrid w:val="0"/>
              <w:ind w:left="0" w:right="0"/>
              <w:rPr>
                <w:rFonts w:ascii="Times New Roman" w:hAnsi="Times New Roman" w:cs="Times New Roman"/>
                <w:snapToGrid/>
                <w:color w:val="000000" w:themeColor="text1"/>
                <w:spacing w:val="0"/>
                <w:sz w:val="21"/>
                <w:szCs w:val="18"/>
              </w:rPr>
            </w:pPr>
            <w:r w:rsidRPr="008A2411">
              <w:rPr>
                <w:rFonts w:ascii="Times New Roman" w:hAnsi="Times New Roman" w:cs="Times New Roman"/>
                <w:snapToGrid/>
                <w:color w:val="000000" w:themeColor="text1"/>
                <w:spacing w:val="0"/>
                <w:sz w:val="21"/>
                <w:szCs w:val="18"/>
              </w:rPr>
              <w:t>甲</w:t>
            </w:r>
            <w:r w:rsidRPr="008A2411">
              <w:rPr>
                <w:rFonts w:ascii="Times New Roman" w:hAnsi="Times New Roman" w:cs="Times New Roman"/>
                <w:snapToGrid/>
                <w:color w:val="000000" w:themeColor="text1"/>
                <w:spacing w:val="0"/>
                <w:sz w:val="21"/>
                <w:szCs w:val="18"/>
              </w:rPr>
              <w:t>B</w:t>
            </w:r>
            <w:r w:rsidRPr="008A2411">
              <w:rPr>
                <w:rFonts w:ascii="Times New Roman" w:hAnsi="Times New Roman" w:cs="Times New Roman"/>
                <w:snapToGrid/>
                <w:color w:val="000000" w:themeColor="text1"/>
                <w:spacing w:val="0"/>
                <w:sz w:val="21"/>
                <w:szCs w:val="18"/>
              </w:rPr>
              <w:t>类</w:t>
            </w:r>
          </w:p>
        </w:tc>
        <w:tc>
          <w:tcPr>
            <w:tcW w:w="0" w:type="auto"/>
            <w:shd w:val="clear" w:color="auto" w:fill="FFFFFF"/>
            <w:vAlign w:val="center"/>
          </w:tcPr>
          <w:p w14:paraId="33AD97B7" w14:textId="77777777" w:rsidR="00B0005F" w:rsidRPr="008A2411" w:rsidRDefault="00000000">
            <w:pPr>
              <w:pStyle w:val="afffffffffffff1"/>
              <w:widowControl w:val="0"/>
              <w:adjustRightInd w:val="0"/>
              <w:snapToGrid w:val="0"/>
              <w:ind w:left="0" w:right="0"/>
              <w:rPr>
                <w:rFonts w:ascii="Times New Roman" w:hAnsi="Times New Roman" w:cs="Times New Roman"/>
                <w:snapToGrid/>
                <w:color w:val="000000" w:themeColor="text1"/>
                <w:spacing w:val="0"/>
                <w:sz w:val="21"/>
                <w:szCs w:val="18"/>
              </w:rPr>
            </w:pPr>
            <w:r w:rsidRPr="008A2411">
              <w:rPr>
                <w:rFonts w:ascii="Times New Roman" w:hAnsi="Times New Roman" w:cs="Times New Roman"/>
                <w:snapToGrid/>
                <w:color w:val="000000" w:themeColor="text1"/>
                <w:spacing w:val="0"/>
                <w:sz w:val="21"/>
                <w:szCs w:val="18"/>
              </w:rPr>
              <w:t>易燃气体</w:t>
            </w:r>
          </w:p>
        </w:tc>
      </w:tr>
      <w:tr w:rsidR="008A2411" w:rsidRPr="008A2411" w14:paraId="3C8236F3" w14:textId="77777777">
        <w:trPr>
          <w:cantSplit/>
          <w:trHeight w:val="312"/>
          <w:jc w:val="center"/>
        </w:trPr>
        <w:tc>
          <w:tcPr>
            <w:tcW w:w="0" w:type="auto"/>
            <w:shd w:val="clear" w:color="auto" w:fill="FFFFFF"/>
            <w:vAlign w:val="center"/>
          </w:tcPr>
          <w:p w14:paraId="58BCAEC3" w14:textId="77777777" w:rsidR="00B0005F" w:rsidRPr="008A2411" w:rsidRDefault="00000000">
            <w:pPr>
              <w:pStyle w:val="afffffffffffff1"/>
              <w:widowControl w:val="0"/>
              <w:adjustRightInd w:val="0"/>
              <w:snapToGrid w:val="0"/>
              <w:ind w:left="0" w:right="0"/>
              <w:rPr>
                <w:rFonts w:ascii="Times New Roman" w:hAnsi="Times New Roman" w:cs="Times New Roman"/>
                <w:snapToGrid/>
                <w:color w:val="000000" w:themeColor="text1"/>
                <w:spacing w:val="0"/>
                <w:sz w:val="21"/>
                <w:szCs w:val="18"/>
              </w:rPr>
            </w:pPr>
            <w:r w:rsidRPr="008A2411">
              <w:rPr>
                <w:rFonts w:ascii="Times New Roman" w:hAnsi="Times New Roman" w:cs="Times New Roman"/>
                <w:snapToGrid/>
                <w:color w:val="000000" w:themeColor="text1"/>
                <w:spacing w:val="0"/>
                <w:sz w:val="21"/>
                <w:szCs w:val="18"/>
              </w:rPr>
              <w:t>导热油</w:t>
            </w:r>
          </w:p>
        </w:tc>
        <w:tc>
          <w:tcPr>
            <w:tcW w:w="0" w:type="auto"/>
            <w:shd w:val="clear" w:color="auto" w:fill="FFFFFF"/>
            <w:vAlign w:val="center"/>
          </w:tcPr>
          <w:p w14:paraId="5989460E" w14:textId="77777777" w:rsidR="00B0005F" w:rsidRPr="008A2411" w:rsidRDefault="00000000">
            <w:pPr>
              <w:pStyle w:val="afffffffffffff1"/>
              <w:widowControl w:val="0"/>
              <w:adjustRightInd w:val="0"/>
              <w:snapToGrid w:val="0"/>
              <w:ind w:left="0" w:right="0"/>
              <w:rPr>
                <w:rFonts w:ascii="Times New Roman" w:hAnsi="Times New Roman" w:cs="Times New Roman"/>
                <w:snapToGrid/>
                <w:color w:val="000000" w:themeColor="text1"/>
                <w:spacing w:val="0"/>
                <w:sz w:val="21"/>
                <w:szCs w:val="18"/>
              </w:rPr>
            </w:pPr>
            <w:r w:rsidRPr="008A2411">
              <w:rPr>
                <w:rFonts w:ascii="Times New Roman" w:hAnsi="Times New Roman" w:cs="Times New Roman"/>
                <w:snapToGrid/>
                <w:color w:val="000000" w:themeColor="text1"/>
                <w:spacing w:val="0"/>
                <w:sz w:val="21"/>
                <w:szCs w:val="18"/>
              </w:rPr>
              <w:t>216℃</w:t>
            </w:r>
          </w:p>
        </w:tc>
        <w:tc>
          <w:tcPr>
            <w:tcW w:w="0" w:type="auto"/>
            <w:shd w:val="clear" w:color="auto" w:fill="FFFFFF"/>
            <w:vAlign w:val="center"/>
          </w:tcPr>
          <w:p w14:paraId="09789952" w14:textId="77777777" w:rsidR="00B0005F" w:rsidRPr="008A2411" w:rsidRDefault="00000000">
            <w:pPr>
              <w:pStyle w:val="afffffffffffff1"/>
              <w:widowControl w:val="0"/>
              <w:adjustRightInd w:val="0"/>
              <w:snapToGrid w:val="0"/>
              <w:ind w:left="0" w:right="0"/>
              <w:rPr>
                <w:rFonts w:ascii="Times New Roman" w:hAnsi="Times New Roman" w:cs="Times New Roman"/>
                <w:snapToGrid/>
                <w:color w:val="000000" w:themeColor="text1"/>
                <w:spacing w:val="0"/>
                <w:sz w:val="21"/>
                <w:szCs w:val="18"/>
              </w:rPr>
            </w:pPr>
            <w:r w:rsidRPr="008A2411">
              <w:rPr>
                <w:rFonts w:ascii="Times New Roman" w:hAnsi="Times New Roman" w:cs="Times New Roman"/>
                <w:snapToGrid/>
                <w:color w:val="000000" w:themeColor="text1"/>
                <w:spacing w:val="0"/>
                <w:sz w:val="21"/>
                <w:szCs w:val="18"/>
              </w:rPr>
              <w:t>1%~10%</w:t>
            </w:r>
          </w:p>
        </w:tc>
        <w:tc>
          <w:tcPr>
            <w:tcW w:w="0" w:type="auto"/>
            <w:shd w:val="clear" w:color="auto" w:fill="FFFFFF"/>
            <w:vAlign w:val="center"/>
          </w:tcPr>
          <w:p w14:paraId="729E9FE7" w14:textId="77777777" w:rsidR="00B0005F" w:rsidRPr="008A2411" w:rsidRDefault="00000000">
            <w:pPr>
              <w:pStyle w:val="afffffffffffff1"/>
              <w:widowControl w:val="0"/>
              <w:adjustRightInd w:val="0"/>
              <w:snapToGrid w:val="0"/>
              <w:ind w:left="0" w:right="0"/>
              <w:rPr>
                <w:rFonts w:ascii="Times New Roman" w:hAnsi="Times New Roman" w:cs="Times New Roman"/>
                <w:snapToGrid/>
                <w:color w:val="000000" w:themeColor="text1"/>
                <w:spacing w:val="0"/>
                <w:sz w:val="21"/>
                <w:szCs w:val="18"/>
              </w:rPr>
            </w:pPr>
            <w:r w:rsidRPr="008A2411">
              <w:rPr>
                <w:rFonts w:ascii="Times New Roman" w:hAnsi="Times New Roman" w:cs="Times New Roman"/>
                <w:snapToGrid/>
                <w:color w:val="000000" w:themeColor="text1"/>
                <w:spacing w:val="0"/>
                <w:sz w:val="21"/>
                <w:szCs w:val="18"/>
              </w:rPr>
              <w:t>导热油系统</w:t>
            </w:r>
          </w:p>
        </w:tc>
        <w:tc>
          <w:tcPr>
            <w:tcW w:w="0" w:type="auto"/>
            <w:shd w:val="clear" w:color="auto" w:fill="FFFFFF"/>
            <w:vAlign w:val="center"/>
          </w:tcPr>
          <w:p w14:paraId="4A694BD5" w14:textId="77777777" w:rsidR="00B0005F" w:rsidRPr="008A2411" w:rsidRDefault="00000000">
            <w:pPr>
              <w:pStyle w:val="afffffffffffff1"/>
              <w:widowControl w:val="0"/>
              <w:adjustRightInd w:val="0"/>
              <w:snapToGrid w:val="0"/>
              <w:ind w:left="0" w:right="0"/>
              <w:rPr>
                <w:rFonts w:ascii="Times New Roman" w:hAnsi="Times New Roman" w:cs="Times New Roman"/>
                <w:snapToGrid/>
                <w:color w:val="000000" w:themeColor="text1"/>
                <w:spacing w:val="0"/>
                <w:sz w:val="21"/>
                <w:szCs w:val="18"/>
              </w:rPr>
            </w:pPr>
            <w:r w:rsidRPr="008A2411">
              <w:rPr>
                <w:rFonts w:ascii="Times New Roman" w:hAnsi="Times New Roman" w:cs="Times New Roman"/>
                <w:snapToGrid/>
                <w:color w:val="000000" w:themeColor="text1"/>
                <w:spacing w:val="0"/>
                <w:sz w:val="21"/>
                <w:szCs w:val="18"/>
              </w:rPr>
              <w:t>丙类</w:t>
            </w:r>
            <w:r w:rsidRPr="008A2411">
              <w:rPr>
                <w:rFonts w:ascii="Times New Roman" w:hAnsi="Times New Roman" w:cs="Times New Roman"/>
                <w:snapToGrid/>
                <w:color w:val="000000" w:themeColor="text1"/>
                <w:spacing w:val="0"/>
                <w:sz w:val="21"/>
                <w:szCs w:val="18"/>
              </w:rPr>
              <w:t>A</w:t>
            </w:r>
            <w:r w:rsidRPr="008A2411">
              <w:rPr>
                <w:rFonts w:ascii="Times New Roman" w:hAnsi="Times New Roman" w:cs="Times New Roman"/>
                <w:snapToGrid/>
                <w:color w:val="000000" w:themeColor="text1"/>
                <w:spacing w:val="0"/>
                <w:sz w:val="21"/>
                <w:szCs w:val="18"/>
              </w:rPr>
              <w:t>类</w:t>
            </w:r>
          </w:p>
        </w:tc>
        <w:tc>
          <w:tcPr>
            <w:tcW w:w="0" w:type="auto"/>
            <w:shd w:val="clear" w:color="auto" w:fill="FFFFFF"/>
            <w:vAlign w:val="center"/>
          </w:tcPr>
          <w:p w14:paraId="448EFCBA" w14:textId="77777777" w:rsidR="00B0005F" w:rsidRPr="008A2411" w:rsidRDefault="00000000">
            <w:pPr>
              <w:pStyle w:val="afffffffffffff1"/>
              <w:widowControl w:val="0"/>
              <w:adjustRightInd w:val="0"/>
              <w:snapToGrid w:val="0"/>
              <w:ind w:left="0" w:right="0"/>
              <w:rPr>
                <w:rFonts w:ascii="Times New Roman" w:hAnsi="Times New Roman" w:cs="Times New Roman"/>
                <w:snapToGrid/>
                <w:color w:val="000000" w:themeColor="text1"/>
                <w:spacing w:val="0"/>
                <w:sz w:val="21"/>
                <w:szCs w:val="18"/>
              </w:rPr>
            </w:pPr>
            <w:r w:rsidRPr="008A2411">
              <w:rPr>
                <w:rFonts w:ascii="Times New Roman" w:hAnsi="Times New Roman" w:cs="Times New Roman"/>
                <w:snapToGrid/>
                <w:color w:val="000000" w:themeColor="text1"/>
                <w:spacing w:val="0"/>
                <w:sz w:val="21"/>
                <w:szCs w:val="18"/>
              </w:rPr>
              <w:t>闪点大于</w:t>
            </w:r>
            <w:r w:rsidRPr="008A2411">
              <w:rPr>
                <w:rFonts w:ascii="Times New Roman" w:hAnsi="Times New Roman" w:cs="Times New Roman"/>
                <w:snapToGrid/>
                <w:color w:val="000000" w:themeColor="text1"/>
                <w:spacing w:val="0"/>
                <w:sz w:val="21"/>
                <w:szCs w:val="18"/>
              </w:rPr>
              <w:t>60°</w:t>
            </w:r>
            <w:r w:rsidRPr="008A2411">
              <w:rPr>
                <w:rFonts w:ascii="Times New Roman" w:hAnsi="Times New Roman" w:cs="Times New Roman"/>
                <w:snapToGrid/>
                <w:color w:val="000000" w:themeColor="text1"/>
                <w:spacing w:val="0"/>
                <w:sz w:val="21"/>
                <w:szCs w:val="18"/>
              </w:rPr>
              <w:t>的液体</w:t>
            </w:r>
          </w:p>
        </w:tc>
      </w:tr>
    </w:tbl>
    <w:p w14:paraId="6A82D7C6" w14:textId="77777777" w:rsidR="00B0005F" w:rsidRPr="008A2411" w:rsidRDefault="00B0005F">
      <w:pPr>
        <w:pStyle w:val="afffffff9"/>
        <w:spacing w:line="240" w:lineRule="auto"/>
        <w:ind w:firstLineChars="0" w:firstLine="0"/>
        <w:jc w:val="center"/>
        <w:rPr>
          <w:rFonts w:ascii="Times New Roman" w:eastAsia="黑体" w:hAnsi="Times New Roman"/>
          <w:bCs/>
          <w:color w:val="000000" w:themeColor="text1"/>
        </w:rPr>
      </w:pPr>
    </w:p>
    <w:p w14:paraId="389CBC6B" w14:textId="77777777" w:rsidR="00B0005F" w:rsidRPr="008A2411" w:rsidRDefault="00000000">
      <w:pPr>
        <w:pStyle w:val="affffffffffffffffffff6"/>
        <w:snapToGrid/>
        <w:outlineLvl w:val="1"/>
        <w:rPr>
          <w:rFonts w:ascii="Times New Roman"/>
          <w:bCs/>
          <w:color w:val="000000" w:themeColor="text1"/>
          <w:sz w:val="28"/>
          <w:szCs w:val="28"/>
          <w:lang w:bidi="en-US"/>
        </w:rPr>
      </w:pPr>
      <w:bookmarkStart w:id="506" w:name="_Toc109170774"/>
      <w:r w:rsidRPr="008A2411">
        <w:rPr>
          <w:rFonts w:ascii="Times New Roman"/>
          <w:bCs/>
          <w:color w:val="000000" w:themeColor="text1"/>
          <w:sz w:val="28"/>
          <w:szCs w:val="28"/>
          <w:lang w:bidi="en-US"/>
        </w:rPr>
        <w:t>6.3</w:t>
      </w:r>
      <w:r w:rsidRPr="008A2411">
        <w:rPr>
          <w:rFonts w:ascii="Times New Roman"/>
          <w:bCs/>
          <w:color w:val="000000" w:themeColor="text1"/>
          <w:sz w:val="28"/>
          <w:szCs w:val="28"/>
          <w:lang w:bidi="en-US"/>
        </w:rPr>
        <w:t>环境风险潜势初判</w:t>
      </w:r>
      <w:bookmarkEnd w:id="506"/>
    </w:p>
    <w:p w14:paraId="6FF52784" w14:textId="77777777" w:rsidR="00B0005F" w:rsidRPr="008A2411" w:rsidRDefault="00000000">
      <w:pPr>
        <w:pStyle w:val="affffffffffffffffffff6"/>
        <w:snapToGrid/>
        <w:outlineLvl w:val="2"/>
        <w:rPr>
          <w:rFonts w:ascii="Times New Roman"/>
          <w:b/>
          <w:color w:val="000000" w:themeColor="text1"/>
          <w:sz w:val="24"/>
          <w:szCs w:val="24"/>
          <w:lang w:bidi="en-US"/>
        </w:rPr>
      </w:pPr>
      <w:r w:rsidRPr="008A2411">
        <w:rPr>
          <w:rFonts w:ascii="Times New Roman"/>
          <w:b/>
          <w:color w:val="000000" w:themeColor="text1"/>
          <w:sz w:val="24"/>
          <w:szCs w:val="24"/>
          <w:lang w:bidi="en-US"/>
        </w:rPr>
        <w:t xml:space="preserve">6.3.1 </w:t>
      </w:r>
      <w:r w:rsidRPr="008A2411">
        <w:rPr>
          <w:rFonts w:ascii="Times New Roman"/>
          <w:b/>
          <w:color w:val="000000" w:themeColor="text1"/>
          <w:sz w:val="24"/>
          <w:szCs w:val="24"/>
          <w:lang w:bidi="en-US"/>
        </w:rPr>
        <w:t>环境风险潜势划分</w:t>
      </w:r>
    </w:p>
    <w:p w14:paraId="2AF9DA35" w14:textId="77777777" w:rsidR="00B0005F" w:rsidRPr="008A2411" w:rsidRDefault="00000000">
      <w:pPr>
        <w:adjustRightInd w:val="0"/>
        <w:spacing w:line="360" w:lineRule="auto"/>
        <w:ind w:firstLineChars="200" w:firstLine="480"/>
        <w:rPr>
          <w:rFonts w:ascii="Times New Roman"/>
          <w:bCs/>
          <w:color w:val="000000" w:themeColor="text1"/>
          <w:lang w:val="zh-CN"/>
        </w:rPr>
      </w:pPr>
      <w:r w:rsidRPr="008A2411">
        <w:rPr>
          <w:rFonts w:ascii="Times New Roman"/>
          <w:bCs/>
          <w:color w:val="000000" w:themeColor="text1"/>
          <w:lang w:val="zh-CN"/>
        </w:rPr>
        <w:t>建设项目环境风险潜势划分为</w:t>
      </w:r>
      <w:r w:rsidRPr="008A2411">
        <w:rPr>
          <w:rFonts w:ascii="Times New Roman"/>
          <w:bCs/>
          <w:color w:val="000000" w:themeColor="text1"/>
          <w:lang w:val="zh-CN"/>
        </w:rPr>
        <w:t>Ⅰ</w:t>
      </w:r>
      <w:r w:rsidRPr="008A2411">
        <w:rPr>
          <w:rFonts w:ascii="Times New Roman"/>
          <w:bCs/>
          <w:color w:val="000000" w:themeColor="text1"/>
          <w:lang w:val="zh-CN"/>
        </w:rPr>
        <w:t>、</w:t>
      </w:r>
      <w:r w:rsidRPr="008A2411">
        <w:rPr>
          <w:rFonts w:ascii="Times New Roman"/>
          <w:bCs/>
          <w:color w:val="000000" w:themeColor="text1"/>
          <w:lang w:val="zh-CN"/>
        </w:rPr>
        <w:t>Ⅱ</w:t>
      </w:r>
      <w:r w:rsidRPr="008A2411">
        <w:rPr>
          <w:rFonts w:ascii="Times New Roman"/>
          <w:bCs/>
          <w:color w:val="000000" w:themeColor="text1"/>
          <w:lang w:val="zh-CN"/>
        </w:rPr>
        <w:t>、</w:t>
      </w:r>
      <w:r w:rsidRPr="008A2411">
        <w:rPr>
          <w:rFonts w:ascii="Times New Roman"/>
          <w:bCs/>
          <w:color w:val="000000" w:themeColor="text1"/>
          <w:lang w:val="zh-CN"/>
        </w:rPr>
        <w:t>Ⅲ</w:t>
      </w:r>
      <w:r w:rsidRPr="008A2411">
        <w:rPr>
          <w:rFonts w:ascii="Times New Roman"/>
          <w:bCs/>
          <w:color w:val="000000" w:themeColor="text1"/>
          <w:lang w:val="zh-CN"/>
        </w:rPr>
        <w:t>、</w:t>
      </w:r>
      <w:r w:rsidRPr="008A2411">
        <w:rPr>
          <w:rFonts w:ascii="Times New Roman"/>
          <w:bCs/>
          <w:color w:val="000000" w:themeColor="text1"/>
          <w:lang w:val="zh-CN"/>
        </w:rPr>
        <w:t>Ⅳ</w:t>
      </w:r>
      <w:r w:rsidRPr="008A2411">
        <w:rPr>
          <w:rFonts w:ascii="Times New Roman"/>
          <w:bCs/>
          <w:color w:val="000000" w:themeColor="text1"/>
          <w:lang w:val="zh-CN"/>
        </w:rPr>
        <w:t>、</w:t>
      </w:r>
      <w:r w:rsidRPr="008A2411">
        <w:rPr>
          <w:rFonts w:ascii="Times New Roman"/>
          <w:bCs/>
          <w:color w:val="000000" w:themeColor="text1"/>
          <w:lang w:val="zh-CN"/>
        </w:rPr>
        <w:t>Ⅳ</w:t>
      </w:r>
      <w:r w:rsidRPr="008A2411">
        <w:rPr>
          <w:rFonts w:ascii="Times New Roman"/>
          <w:bCs/>
          <w:color w:val="000000" w:themeColor="text1"/>
          <w:vertAlign w:val="superscript"/>
          <w:lang w:val="zh-CN"/>
        </w:rPr>
        <w:t>+</w:t>
      </w:r>
      <w:r w:rsidRPr="008A2411">
        <w:rPr>
          <w:rFonts w:ascii="Times New Roman"/>
          <w:bCs/>
          <w:color w:val="000000" w:themeColor="text1"/>
          <w:lang w:val="zh-CN"/>
        </w:rPr>
        <w:t>级。根据建设项目设计的物质和工艺系数的危险性及其所在地的敏感程度，结合事故情形下环境影响途径，对建设项目潜在环境危害程度</w:t>
      </w:r>
      <w:proofErr w:type="gramStart"/>
      <w:r w:rsidRPr="008A2411">
        <w:rPr>
          <w:rFonts w:ascii="Times New Roman"/>
          <w:bCs/>
          <w:color w:val="000000" w:themeColor="text1"/>
          <w:lang w:val="zh-CN"/>
        </w:rPr>
        <w:t>进行概化分析</w:t>
      </w:r>
      <w:proofErr w:type="gramEnd"/>
      <w:r w:rsidRPr="008A2411">
        <w:rPr>
          <w:rFonts w:ascii="Times New Roman"/>
          <w:bCs/>
          <w:color w:val="000000" w:themeColor="text1"/>
          <w:lang w:val="zh-CN"/>
        </w:rPr>
        <w:t>，按照表</w:t>
      </w:r>
      <w:r w:rsidRPr="008A2411">
        <w:rPr>
          <w:rFonts w:ascii="Times New Roman" w:hint="eastAsia"/>
          <w:bCs/>
          <w:color w:val="000000" w:themeColor="text1"/>
        </w:rPr>
        <w:t>6.3-1</w:t>
      </w:r>
      <w:r w:rsidRPr="008A2411">
        <w:rPr>
          <w:rFonts w:ascii="Times New Roman"/>
          <w:bCs/>
          <w:color w:val="000000" w:themeColor="text1"/>
          <w:lang w:val="zh-CN"/>
        </w:rPr>
        <w:t>确定环境风险潜势。</w:t>
      </w:r>
    </w:p>
    <w:p w14:paraId="4E34E26B" w14:textId="77777777" w:rsidR="00B0005F" w:rsidRPr="008A2411" w:rsidRDefault="00000000">
      <w:pPr>
        <w:pStyle w:val="afffffff9"/>
        <w:spacing w:line="240" w:lineRule="auto"/>
        <w:ind w:firstLineChars="0" w:firstLine="0"/>
        <w:jc w:val="center"/>
        <w:rPr>
          <w:rFonts w:ascii="Times New Roman" w:eastAsia="黑体" w:hAnsi="Times New Roman"/>
          <w:bCs/>
          <w:color w:val="000000" w:themeColor="text1"/>
        </w:rPr>
      </w:pPr>
      <w:r w:rsidRPr="008A2411">
        <w:rPr>
          <w:rFonts w:ascii="Times New Roman" w:eastAsia="黑体" w:hAnsi="Times New Roman"/>
          <w:bCs/>
          <w:color w:val="000000" w:themeColor="text1"/>
        </w:rPr>
        <w:t>表</w:t>
      </w:r>
      <w:r w:rsidRPr="008A2411">
        <w:rPr>
          <w:rFonts w:ascii="Times New Roman" w:eastAsia="黑体" w:hAnsi="Times New Roman"/>
          <w:bCs/>
          <w:color w:val="000000" w:themeColor="text1"/>
        </w:rPr>
        <w:t xml:space="preserve">6.3-1  </w:t>
      </w:r>
      <w:r w:rsidRPr="008A2411">
        <w:rPr>
          <w:rFonts w:ascii="Times New Roman" w:eastAsia="黑体" w:hAnsi="Times New Roman"/>
          <w:bCs/>
          <w:color w:val="000000" w:themeColor="text1"/>
        </w:rPr>
        <w:t>建设项目环境风险潜势划分</w:t>
      </w:r>
    </w:p>
    <w:tbl>
      <w:tblPr>
        <w:tblW w:w="539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67"/>
        <w:gridCol w:w="1708"/>
        <w:gridCol w:w="1708"/>
        <w:gridCol w:w="1708"/>
        <w:gridCol w:w="1709"/>
      </w:tblGrid>
      <w:tr w:rsidR="008A2411" w:rsidRPr="008A2411" w14:paraId="679964E2" w14:textId="77777777">
        <w:trPr>
          <w:tblHeader/>
          <w:jc w:val="center"/>
        </w:trPr>
        <w:tc>
          <w:tcPr>
            <w:tcW w:w="1287" w:type="pct"/>
            <w:vMerge w:val="restart"/>
            <w:tcBorders>
              <w:top w:val="single" w:sz="4" w:space="0" w:color="auto"/>
              <w:left w:val="single" w:sz="4" w:space="0" w:color="auto"/>
              <w:bottom w:val="single" w:sz="4" w:space="0" w:color="auto"/>
              <w:right w:val="single" w:sz="4" w:space="0" w:color="auto"/>
            </w:tcBorders>
            <w:vAlign w:val="center"/>
          </w:tcPr>
          <w:p w14:paraId="5DDF016E" w14:textId="77777777" w:rsidR="00B0005F" w:rsidRPr="008A2411" w:rsidRDefault="00000000">
            <w:pPr>
              <w:pStyle w:val="afffffe"/>
              <w:jc w:val="center"/>
              <w:rPr>
                <w:rFonts w:ascii="Times New Roman" w:eastAsiaTheme="minorEastAsia" w:hAnsi="Times New Roman"/>
                <w:bCs/>
                <w:snapToGrid w:val="0"/>
                <w:color w:val="000000" w:themeColor="text1"/>
                <w:sz w:val="21"/>
                <w:szCs w:val="21"/>
              </w:rPr>
            </w:pPr>
            <w:r w:rsidRPr="008A2411">
              <w:rPr>
                <w:rFonts w:ascii="Times New Roman" w:eastAsiaTheme="minorEastAsia" w:hAnsi="Times New Roman"/>
                <w:bCs/>
                <w:snapToGrid w:val="0"/>
                <w:color w:val="000000" w:themeColor="text1"/>
                <w:sz w:val="21"/>
                <w:szCs w:val="21"/>
              </w:rPr>
              <w:t>环境敏感程度（</w:t>
            </w:r>
            <w:r w:rsidRPr="008A2411">
              <w:rPr>
                <w:rFonts w:ascii="Times New Roman" w:eastAsiaTheme="minorEastAsia" w:hAnsi="Times New Roman"/>
                <w:bCs/>
                <w:snapToGrid w:val="0"/>
                <w:color w:val="000000" w:themeColor="text1"/>
                <w:sz w:val="21"/>
                <w:szCs w:val="21"/>
              </w:rPr>
              <w:t>E</w:t>
            </w:r>
            <w:r w:rsidRPr="008A2411">
              <w:rPr>
                <w:rFonts w:ascii="Times New Roman" w:eastAsiaTheme="minorEastAsia" w:hAnsi="Times New Roman"/>
                <w:bCs/>
                <w:snapToGrid w:val="0"/>
                <w:color w:val="000000" w:themeColor="text1"/>
                <w:sz w:val="21"/>
                <w:szCs w:val="21"/>
              </w:rPr>
              <w:t>）</w:t>
            </w:r>
          </w:p>
        </w:tc>
        <w:tc>
          <w:tcPr>
            <w:tcW w:w="3713" w:type="pct"/>
            <w:gridSpan w:val="4"/>
            <w:tcBorders>
              <w:top w:val="single" w:sz="4" w:space="0" w:color="auto"/>
              <w:left w:val="single" w:sz="4" w:space="0" w:color="auto"/>
              <w:bottom w:val="single" w:sz="4" w:space="0" w:color="auto"/>
              <w:right w:val="single" w:sz="4" w:space="0" w:color="auto"/>
            </w:tcBorders>
            <w:vAlign w:val="center"/>
          </w:tcPr>
          <w:p w14:paraId="4F46BBA4" w14:textId="77777777" w:rsidR="00B0005F" w:rsidRPr="008A2411" w:rsidRDefault="00000000">
            <w:pPr>
              <w:pStyle w:val="afffffe"/>
              <w:jc w:val="center"/>
              <w:rPr>
                <w:rFonts w:ascii="Times New Roman" w:eastAsiaTheme="minorEastAsia" w:hAnsi="Times New Roman"/>
                <w:bCs/>
                <w:snapToGrid w:val="0"/>
                <w:color w:val="000000" w:themeColor="text1"/>
                <w:sz w:val="21"/>
                <w:szCs w:val="21"/>
              </w:rPr>
            </w:pPr>
            <w:r w:rsidRPr="008A2411">
              <w:rPr>
                <w:rFonts w:ascii="Times New Roman" w:eastAsiaTheme="minorEastAsia" w:hAnsi="Times New Roman"/>
                <w:bCs/>
                <w:snapToGrid w:val="0"/>
                <w:color w:val="000000" w:themeColor="text1"/>
                <w:sz w:val="21"/>
                <w:szCs w:val="21"/>
              </w:rPr>
              <w:t>危险物质及工艺系统危险性（</w:t>
            </w:r>
            <w:r w:rsidRPr="008A2411">
              <w:rPr>
                <w:rFonts w:ascii="Times New Roman" w:eastAsiaTheme="minorEastAsia" w:hAnsi="Times New Roman"/>
                <w:bCs/>
                <w:snapToGrid w:val="0"/>
                <w:color w:val="000000" w:themeColor="text1"/>
                <w:sz w:val="21"/>
                <w:szCs w:val="21"/>
              </w:rPr>
              <w:t>P</w:t>
            </w:r>
            <w:r w:rsidRPr="008A2411">
              <w:rPr>
                <w:rFonts w:ascii="Times New Roman" w:eastAsiaTheme="minorEastAsia" w:hAnsi="Times New Roman"/>
                <w:bCs/>
                <w:snapToGrid w:val="0"/>
                <w:color w:val="000000" w:themeColor="text1"/>
                <w:sz w:val="21"/>
                <w:szCs w:val="21"/>
              </w:rPr>
              <w:t>）</w:t>
            </w:r>
          </w:p>
        </w:tc>
      </w:tr>
      <w:tr w:rsidR="008A2411" w:rsidRPr="008A2411" w14:paraId="3F14CC95" w14:textId="77777777">
        <w:trPr>
          <w:jc w:val="center"/>
        </w:trPr>
        <w:tc>
          <w:tcPr>
            <w:tcW w:w="1287" w:type="pct"/>
            <w:vMerge/>
            <w:tcBorders>
              <w:top w:val="single" w:sz="4" w:space="0" w:color="auto"/>
              <w:left w:val="single" w:sz="4" w:space="0" w:color="auto"/>
              <w:bottom w:val="single" w:sz="4" w:space="0" w:color="auto"/>
              <w:right w:val="single" w:sz="4" w:space="0" w:color="auto"/>
            </w:tcBorders>
            <w:vAlign w:val="center"/>
          </w:tcPr>
          <w:p w14:paraId="02C017EF" w14:textId="77777777" w:rsidR="00B0005F" w:rsidRPr="008A2411" w:rsidRDefault="00B0005F">
            <w:pPr>
              <w:widowControl/>
              <w:jc w:val="center"/>
              <w:rPr>
                <w:rFonts w:ascii="Times New Roman" w:eastAsiaTheme="minorEastAsia"/>
                <w:bCs/>
                <w:snapToGrid w:val="0"/>
                <w:color w:val="000000" w:themeColor="text1"/>
                <w:sz w:val="21"/>
                <w:szCs w:val="21"/>
              </w:rPr>
            </w:pPr>
          </w:p>
        </w:tc>
        <w:tc>
          <w:tcPr>
            <w:tcW w:w="928" w:type="pct"/>
            <w:tcBorders>
              <w:top w:val="single" w:sz="4" w:space="0" w:color="auto"/>
              <w:left w:val="single" w:sz="4" w:space="0" w:color="auto"/>
              <w:bottom w:val="single" w:sz="4" w:space="0" w:color="auto"/>
              <w:right w:val="single" w:sz="4" w:space="0" w:color="auto"/>
            </w:tcBorders>
            <w:vAlign w:val="center"/>
          </w:tcPr>
          <w:p w14:paraId="1E62D988" w14:textId="77777777" w:rsidR="00B0005F" w:rsidRPr="008A2411" w:rsidRDefault="00000000">
            <w:pPr>
              <w:pStyle w:val="afffffe"/>
              <w:jc w:val="center"/>
              <w:rPr>
                <w:rFonts w:ascii="Times New Roman" w:eastAsiaTheme="minorEastAsia" w:hAnsi="Times New Roman"/>
                <w:bCs/>
                <w:snapToGrid w:val="0"/>
                <w:color w:val="000000" w:themeColor="text1"/>
                <w:sz w:val="21"/>
                <w:szCs w:val="21"/>
              </w:rPr>
            </w:pPr>
            <w:r w:rsidRPr="008A2411">
              <w:rPr>
                <w:rFonts w:ascii="Times New Roman" w:eastAsiaTheme="minorEastAsia" w:hAnsi="Times New Roman"/>
                <w:bCs/>
                <w:snapToGrid w:val="0"/>
                <w:color w:val="000000" w:themeColor="text1"/>
                <w:sz w:val="21"/>
                <w:szCs w:val="21"/>
              </w:rPr>
              <w:t>极高危害（</w:t>
            </w:r>
            <w:r w:rsidRPr="008A2411">
              <w:rPr>
                <w:rFonts w:ascii="Times New Roman" w:eastAsiaTheme="minorEastAsia" w:hAnsi="Times New Roman"/>
                <w:bCs/>
                <w:snapToGrid w:val="0"/>
                <w:color w:val="000000" w:themeColor="text1"/>
                <w:sz w:val="21"/>
                <w:szCs w:val="21"/>
              </w:rPr>
              <w:t>P</w:t>
            </w:r>
            <w:r w:rsidRPr="008A2411">
              <w:rPr>
                <w:rFonts w:ascii="Times New Roman" w:eastAsiaTheme="minorEastAsia" w:hAnsi="Times New Roman"/>
                <w:bCs/>
                <w:snapToGrid w:val="0"/>
                <w:color w:val="000000" w:themeColor="text1"/>
                <w:sz w:val="21"/>
                <w:szCs w:val="21"/>
                <w:vertAlign w:val="subscript"/>
              </w:rPr>
              <w:t>1</w:t>
            </w:r>
            <w:r w:rsidRPr="008A2411">
              <w:rPr>
                <w:rFonts w:ascii="Times New Roman" w:eastAsiaTheme="minorEastAsia" w:hAnsi="Times New Roman"/>
                <w:bCs/>
                <w:snapToGrid w:val="0"/>
                <w:color w:val="000000" w:themeColor="text1"/>
                <w:sz w:val="21"/>
                <w:szCs w:val="21"/>
              </w:rPr>
              <w:t>）</w:t>
            </w:r>
          </w:p>
        </w:tc>
        <w:tc>
          <w:tcPr>
            <w:tcW w:w="928" w:type="pct"/>
            <w:tcBorders>
              <w:top w:val="single" w:sz="4" w:space="0" w:color="auto"/>
              <w:left w:val="single" w:sz="4" w:space="0" w:color="auto"/>
              <w:bottom w:val="single" w:sz="4" w:space="0" w:color="auto"/>
              <w:right w:val="single" w:sz="4" w:space="0" w:color="auto"/>
            </w:tcBorders>
            <w:vAlign w:val="center"/>
          </w:tcPr>
          <w:p w14:paraId="5140089B" w14:textId="77777777" w:rsidR="00B0005F" w:rsidRPr="008A2411" w:rsidRDefault="00000000">
            <w:pPr>
              <w:pStyle w:val="afffffe"/>
              <w:jc w:val="center"/>
              <w:rPr>
                <w:rFonts w:ascii="Times New Roman" w:eastAsiaTheme="minorEastAsia" w:hAnsi="Times New Roman"/>
                <w:bCs/>
                <w:snapToGrid w:val="0"/>
                <w:color w:val="000000" w:themeColor="text1"/>
                <w:sz w:val="21"/>
                <w:szCs w:val="21"/>
              </w:rPr>
            </w:pPr>
            <w:r w:rsidRPr="008A2411">
              <w:rPr>
                <w:rFonts w:ascii="Times New Roman" w:eastAsiaTheme="minorEastAsia" w:hAnsi="Times New Roman"/>
                <w:bCs/>
                <w:snapToGrid w:val="0"/>
                <w:color w:val="000000" w:themeColor="text1"/>
                <w:sz w:val="21"/>
                <w:szCs w:val="21"/>
              </w:rPr>
              <w:t>高度危害（</w:t>
            </w:r>
            <w:r w:rsidRPr="008A2411">
              <w:rPr>
                <w:rFonts w:ascii="Times New Roman" w:eastAsiaTheme="minorEastAsia" w:hAnsi="Times New Roman"/>
                <w:bCs/>
                <w:snapToGrid w:val="0"/>
                <w:color w:val="000000" w:themeColor="text1"/>
                <w:sz w:val="21"/>
                <w:szCs w:val="21"/>
              </w:rPr>
              <w:t>P</w:t>
            </w:r>
            <w:r w:rsidRPr="008A2411">
              <w:rPr>
                <w:rFonts w:ascii="Times New Roman" w:eastAsiaTheme="minorEastAsia" w:hAnsi="Times New Roman"/>
                <w:bCs/>
                <w:snapToGrid w:val="0"/>
                <w:color w:val="000000" w:themeColor="text1"/>
                <w:sz w:val="21"/>
                <w:szCs w:val="21"/>
                <w:vertAlign w:val="subscript"/>
              </w:rPr>
              <w:t>2</w:t>
            </w:r>
            <w:r w:rsidRPr="008A2411">
              <w:rPr>
                <w:rFonts w:ascii="Times New Roman" w:eastAsiaTheme="minorEastAsia" w:hAnsi="Times New Roman"/>
                <w:bCs/>
                <w:snapToGrid w:val="0"/>
                <w:color w:val="000000" w:themeColor="text1"/>
                <w:sz w:val="21"/>
                <w:szCs w:val="21"/>
              </w:rPr>
              <w:t>）</w:t>
            </w:r>
          </w:p>
        </w:tc>
        <w:tc>
          <w:tcPr>
            <w:tcW w:w="928" w:type="pct"/>
            <w:tcBorders>
              <w:top w:val="single" w:sz="4" w:space="0" w:color="auto"/>
              <w:left w:val="single" w:sz="4" w:space="0" w:color="auto"/>
              <w:bottom w:val="single" w:sz="4" w:space="0" w:color="auto"/>
              <w:right w:val="single" w:sz="4" w:space="0" w:color="auto"/>
            </w:tcBorders>
            <w:vAlign w:val="center"/>
          </w:tcPr>
          <w:p w14:paraId="2096F6C1" w14:textId="77777777" w:rsidR="00B0005F" w:rsidRPr="008A2411" w:rsidRDefault="00000000">
            <w:pPr>
              <w:pStyle w:val="afffffe"/>
              <w:jc w:val="center"/>
              <w:rPr>
                <w:rFonts w:ascii="Times New Roman" w:eastAsiaTheme="minorEastAsia" w:hAnsi="Times New Roman"/>
                <w:bCs/>
                <w:snapToGrid w:val="0"/>
                <w:color w:val="000000" w:themeColor="text1"/>
                <w:sz w:val="21"/>
                <w:szCs w:val="21"/>
              </w:rPr>
            </w:pPr>
            <w:r w:rsidRPr="008A2411">
              <w:rPr>
                <w:rFonts w:ascii="Times New Roman" w:eastAsiaTheme="minorEastAsia" w:hAnsi="Times New Roman"/>
                <w:bCs/>
                <w:snapToGrid w:val="0"/>
                <w:color w:val="000000" w:themeColor="text1"/>
                <w:sz w:val="21"/>
                <w:szCs w:val="21"/>
              </w:rPr>
              <w:t>中度危害（</w:t>
            </w:r>
            <w:r w:rsidRPr="008A2411">
              <w:rPr>
                <w:rFonts w:ascii="Times New Roman" w:eastAsiaTheme="minorEastAsia" w:hAnsi="Times New Roman"/>
                <w:bCs/>
                <w:snapToGrid w:val="0"/>
                <w:color w:val="000000" w:themeColor="text1"/>
                <w:sz w:val="21"/>
                <w:szCs w:val="21"/>
              </w:rPr>
              <w:t>P</w:t>
            </w:r>
            <w:r w:rsidRPr="008A2411">
              <w:rPr>
                <w:rFonts w:ascii="Times New Roman" w:eastAsiaTheme="minorEastAsia" w:hAnsi="Times New Roman"/>
                <w:bCs/>
                <w:snapToGrid w:val="0"/>
                <w:color w:val="000000" w:themeColor="text1"/>
                <w:sz w:val="21"/>
                <w:szCs w:val="21"/>
                <w:vertAlign w:val="subscript"/>
              </w:rPr>
              <w:t>3</w:t>
            </w:r>
            <w:r w:rsidRPr="008A2411">
              <w:rPr>
                <w:rFonts w:ascii="Times New Roman" w:eastAsiaTheme="minorEastAsia" w:hAnsi="Times New Roman"/>
                <w:bCs/>
                <w:snapToGrid w:val="0"/>
                <w:color w:val="000000" w:themeColor="text1"/>
                <w:sz w:val="21"/>
                <w:szCs w:val="21"/>
              </w:rPr>
              <w:t>）</w:t>
            </w:r>
          </w:p>
        </w:tc>
        <w:tc>
          <w:tcPr>
            <w:tcW w:w="928" w:type="pct"/>
            <w:tcBorders>
              <w:top w:val="single" w:sz="4" w:space="0" w:color="auto"/>
              <w:left w:val="single" w:sz="4" w:space="0" w:color="auto"/>
              <w:bottom w:val="single" w:sz="4" w:space="0" w:color="auto"/>
              <w:right w:val="single" w:sz="4" w:space="0" w:color="auto"/>
            </w:tcBorders>
            <w:vAlign w:val="center"/>
          </w:tcPr>
          <w:p w14:paraId="5A8518C9" w14:textId="77777777" w:rsidR="00B0005F" w:rsidRPr="008A2411" w:rsidRDefault="00000000">
            <w:pPr>
              <w:pStyle w:val="afffffe"/>
              <w:jc w:val="center"/>
              <w:rPr>
                <w:rFonts w:ascii="Times New Roman" w:eastAsiaTheme="minorEastAsia" w:hAnsi="Times New Roman"/>
                <w:bCs/>
                <w:snapToGrid w:val="0"/>
                <w:color w:val="000000" w:themeColor="text1"/>
                <w:sz w:val="21"/>
                <w:szCs w:val="21"/>
              </w:rPr>
            </w:pPr>
            <w:r w:rsidRPr="008A2411">
              <w:rPr>
                <w:rFonts w:ascii="Times New Roman" w:eastAsiaTheme="minorEastAsia" w:hAnsi="Times New Roman"/>
                <w:bCs/>
                <w:snapToGrid w:val="0"/>
                <w:color w:val="000000" w:themeColor="text1"/>
                <w:sz w:val="21"/>
                <w:szCs w:val="21"/>
              </w:rPr>
              <w:t>轻度危害（</w:t>
            </w:r>
            <w:r w:rsidRPr="008A2411">
              <w:rPr>
                <w:rFonts w:ascii="Times New Roman" w:eastAsiaTheme="minorEastAsia" w:hAnsi="Times New Roman"/>
                <w:bCs/>
                <w:snapToGrid w:val="0"/>
                <w:color w:val="000000" w:themeColor="text1"/>
                <w:sz w:val="21"/>
                <w:szCs w:val="21"/>
              </w:rPr>
              <w:t>P</w:t>
            </w:r>
            <w:r w:rsidRPr="008A2411">
              <w:rPr>
                <w:rFonts w:ascii="Times New Roman" w:eastAsiaTheme="minorEastAsia" w:hAnsi="Times New Roman"/>
                <w:bCs/>
                <w:snapToGrid w:val="0"/>
                <w:color w:val="000000" w:themeColor="text1"/>
                <w:sz w:val="21"/>
                <w:szCs w:val="21"/>
                <w:vertAlign w:val="subscript"/>
              </w:rPr>
              <w:t>4</w:t>
            </w:r>
            <w:r w:rsidRPr="008A2411">
              <w:rPr>
                <w:rFonts w:ascii="Times New Roman" w:eastAsiaTheme="minorEastAsia" w:hAnsi="Times New Roman"/>
                <w:bCs/>
                <w:snapToGrid w:val="0"/>
                <w:color w:val="000000" w:themeColor="text1"/>
                <w:sz w:val="21"/>
                <w:szCs w:val="21"/>
              </w:rPr>
              <w:t>）</w:t>
            </w:r>
          </w:p>
        </w:tc>
      </w:tr>
      <w:tr w:rsidR="008A2411" w:rsidRPr="008A2411" w14:paraId="3AD4C6E1" w14:textId="77777777">
        <w:trPr>
          <w:jc w:val="center"/>
        </w:trPr>
        <w:tc>
          <w:tcPr>
            <w:tcW w:w="1287" w:type="pct"/>
            <w:tcBorders>
              <w:top w:val="single" w:sz="4" w:space="0" w:color="auto"/>
              <w:left w:val="single" w:sz="4" w:space="0" w:color="auto"/>
              <w:bottom w:val="single" w:sz="4" w:space="0" w:color="auto"/>
              <w:right w:val="single" w:sz="4" w:space="0" w:color="auto"/>
            </w:tcBorders>
            <w:vAlign w:val="center"/>
          </w:tcPr>
          <w:p w14:paraId="1BF949BF" w14:textId="77777777" w:rsidR="00B0005F" w:rsidRPr="008A2411" w:rsidRDefault="00000000">
            <w:pPr>
              <w:pStyle w:val="afffffe"/>
              <w:jc w:val="center"/>
              <w:rPr>
                <w:rFonts w:ascii="Times New Roman" w:eastAsiaTheme="minorEastAsia" w:hAnsi="Times New Roman"/>
                <w:bCs/>
                <w:snapToGrid w:val="0"/>
                <w:color w:val="000000" w:themeColor="text1"/>
                <w:sz w:val="21"/>
                <w:szCs w:val="21"/>
              </w:rPr>
            </w:pPr>
            <w:r w:rsidRPr="008A2411">
              <w:rPr>
                <w:rFonts w:ascii="Times New Roman" w:eastAsiaTheme="minorEastAsia" w:hAnsi="Times New Roman"/>
                <w:bCs/>
                <w:snapToGrid w:val="0"/>
                <w:color w:val="000000" w:themeColor="text1"/>
                <w:sz w:val="21"/>
                <w:szCs w:val="21"/>
              </w:rPr>
              <w:t>环境高度敏感区（</w:t>
            </w:r>
            <w:r w:rsidRPr="008A2411">
              <w:rPr>
                <w:rFonts w:ascii="Times New Roman" w:eastAsiaTheme="minorEastAsia" w:hAnsi="Times New Roman"/>
                <w:bCs/>
                <w:snapToGrid w:val="0"/>
                <w:color w:val="000000" w:themeColor="text1"/>
                <w:sz w:val="21"/>
                <w:szCs w:val="21"/>
              </w:rPr>
              <w:t>E</w:t>
            </w:r>
            <w:r w:rsidRPr="008A2411">
              <w:rPr>
                <w:rFonts w:ascii="Times New Roman" w:eastAsiaTheme="minorEastAsia" w:hAnsi="Times New Roman"/>
                <w:bCs/>
                <w:snapToGrid w:val="0"/>
                <w:color w:val="000000" w:themeColor="text1"/>
                <w:sz w:val="21"/>
                <w:szCs w:val="21"/>
                <w:vertAlign w:val="subscript"/>
              </w:rPr>
              <w:t>1</w:t>
            </w:r>
            <w:r w:rsidRPr="008A2411">
              <w:rPr>
                <w:rFonts w:ascii="Times New Roman" w:eastAsiaTheme="minorEastAsia" w:hAnsi="Times New Roman"/>
                <w:bCs/>
                <w:snapToGrid w:val="0"/>
                <w:color w:val="000000" w:themeColor="text1"/>
                <w:sz w:val="21"/>
                <w:szCs w:val="21"/>
              </w:rPr>
              <w:t>）</w:t>
            </w:r>
          </w:p>
        </w:tc>
        <w:tc>
          <w:tcPr>
            <w:tcW w:w="928" w:type="pct"/>
            <w:tcBorders>
              <w:top w:val="single" w:sz="4" w:space="0" w:color="auto"/>
              <w:left w:val="single" w:sz="4" w:space="0" w:color="auto"/>
              <w:bottom w:val="single" w:sz="4" w:space="0" w:color="auto"/>
              <w:right w:val="single" w:sz="4" w:space="0" w:color="auto"/>
            </w:tcBorders>
            <w:vAlign w:val="center"/>
          </w:tcPr>
          <w:p w14:paraId="458EE127" w14:textId="77777777" w:rsidR="00B0005F" w:rsidRPr="008A2411" w:rsidRDefault="00000000">
            <w:pPr>
              <w:pStyle w:val="afffffe"/>
              <w:jc w:val="center"/>
              <w:rPr>
                <w:rFonts w:ascii="Times New Roman" w:eastAsiaTheme="minorEastAsia" w:hAnsi="Times New Roman"/>
                <w:bCs/>
                <w:snapToGrid w:val="0"/>
                <w:color w:val="000000" w:themeColor="text1"/>
                <w:sz w:val="21"/>
                <w:szCs w:val="21"/>
              </w:rPr>
            </w:pPr>
            <w:r w:rsidRPr="008A2411">
              <w:rPr>
                <w:rFonts w:ascii="Times New Roman" w:eastAsiaTheme="minorEastAsia" w:hAnsi="Times New Roman"/>
                <w:bCs/>
                <w:snapToGrid w:val="0"/>
                <w:color w:val="000000" w:themeColor="text1"/>
                <w:sz w:val="21"/>
                <w:szCs w:val="21"/>
              </w:rPr>
              <w:t>Ⅳ</w:t>
            </w:r>
            <w:r w:rsidRPr="008A2411">
              <w:rPr>
                <w:rFonts w:ascii="Times New Roman" w:eastAsiaTheme="minorEastAsia" w:hAnsi="Times New Roman"/>
                <w:bCs/>
                <w:snapToGrid w:val="0"/>
                <w:color w:val="000000" w:themeColor="text1"/>
                <w:sz w:val="21"/>
                <w:szCs w:val="21"/>
                <w:vertAlign w:val="superscript"/>
              </w:rPr>
              <w:t>+</w:t>
            </w:r>
          </w:p>
        </w:tc>
        <w:tc>
          <w:tcPr>
            <w:tcW w:w="928" w:type="pct"/>
            <w:tcBorders>
              <w:top w:val="single" w:sz="4" w:space="0" w:color="auto"/>
              <w:left w:val="single" w:sz="4" w:space="0" w:color="auto"/>
              <w:bottom w:val="single" w:sz="4" w:space="0" w:color="auto"/>
              <w:right w:val="single" w:sz="4" w:space="0" w:color="auto"/>
            </w:tcBorders>
            <w:vAlign w:val="center"/>
          </w:tcPr>
          <w:p w14:paraId="15607AEC" w14:textId="77777777" w:rsidR="00B0005F" w:rsidRPr="008A2411" w:rsidRDefault="00000000">
            <w:pPr>
              <w:pStyle w:val="afffffe"/>
              <w:jc w:val="center"/>
              <w:rPr>
                <w:rFonts w:ascii="Times New Roman" w:eastAsiaTheme="minorEastAsia" w:hAnsi="Times New Roman"/>
                <w:bCs/>
                <w:snapToGrid w:val="0"/>
                <w:color w:val="000000" w:themeColor="text1"/>
                <w:sz w:val="21"/>
                <w:szCs w:val="21"/>
              </w:rPr>
            </w:pPr>
            <w:r w:rsidRPr="008A2411">
              <w:rPr>
                <w:rFonts w:ascii="Times New Roman" w:eastAsiaTheme="minorEastAsia" w:hAnsi="Times New Roman"/>
                <w:bCs/>
                <w:snapToGrid w:val="0"/>
                <w:color w:val="000000" w:themeColor="text1"/>
                <w:sz w:val="21"/>
                <w:szCs w:val="21"/>
              </w:rPr>
              <w:t>Ⅳ</w:t>
            </w:r>
          </w:p>
        </w:tc>
        <w:tc>
          <w:tcPr>
            <w:tcW w:w="928" w:type="pct"/>
            <w:tcBorders>
              <w:top w:val="single" w:sz="4" w:space="0" w:color="auto"/>
              <w:left w:val="single" w:sz="4" w:space="0" w:color="auto"/>
              <w:bottom w:val="single" w:sz="4" w:space="0" w:color="auto"/>
              <w:right w:val="single" w:sz="4" w:space="0" w:color="auto"/>
            </w:tcBorders>
            <w:vAlign w:val="center"/>
          </w:tcPr>
          <w:p w14:paraId="31587CD6" w14:textId="77777777" w:rsidR="00B0005F" w:rsidRPr="008A2411" w:rsidRDefault="00000000">
            <w:pPr>
              <w:pStyle w:val="afffffe"/>
              <w:jc w:val="center"/>
              <w:rPr>
                <w:rFonts w:ascii="Times New Roman" w:eastAsiaTheme="minorEastAsia" w:hAnsi="Times New Roman"/>
                <w:bCs/>
                <w:snapToGrid w:val="0"/>
                <w:color w:val="000000" w:themeColor="text1"/>
                <w:sz w:val="21"/>
                <w:szCs w:val="21"/>
              </w:rPr>
            </w:pPr>
            <w:r w:rsidRPr="008A2411">
              <w:rPr>
                <w:rFonts w:ascii="Times New Roman" w:eastAsiaTheme="minorEastAsia" w:hAnsi="Times New Roman"/>
                <w:bCs/>
                <w:snapToGrid w:val="0"/>
                <w:color w:val="000000" w:themeColor="text1"/>
                <w:sz w:val="21"/>
                <w:szCs w:val="21"/>
              </w:rPr>
              <w:t>Ⅲ</w:t>
            </w:r>
          </w:p>
        </w:tc>
        <w:tc>
          <w:tcPr>
            <w:tcW w:w="928" w:type="pct"/>
            <w:tcBorders>
              <w:top w:val="single" w:sz="4" w:space="0" w:color="auto"/>
              <w:left w:val="single" w:sz="4" w:space="0" w:color="auto"/>
              <w:bottom w:val="single" w:sz="4" w:space="0" w:color="auto"/>
              <w:right w:val="single" w:sz="4" w:space="0" w:color="auto"/>
            </w:tcBorders>
            <w:vAlign w:val="center"/>
          </w:tcPr>
          <w:p w14:paraId="2AB9F410" w14:textId="77777777" w:rsidR="00B0005F" w:rsidRPr="008A2411" w:rsidRDefault="00000000">
            <w:pPr>
              <w:pStyle w:val="afffffe"/>
              <w:jc w:val="center"/>
              <w:rPr>
                <w:rFonts w:ascii="Times New Roman" w:eastAsiaTheme="minorEastAsia" w:hAnsi="Times New Roman"/>
                <w:bCs/>
                <w:snapToGrid w:val="0"/>
                <w:color w:val="000000" w:themeColor="text1"/>
                <w:sz w:val="21"/>
                <w:szCs w:val="21"/>
              </w:rPr>
            </w:pPr>
            <w:r w:rsidRPr="008A2411">
              <w:rPr>
                <w:rFonts w:ascii="Times New Roman" w:eastAsiaTheme="minorEastAsia" w:hAnsi="Times New Roman"/>
                <w:bCs/>
                <w:snapToGrid w:val="0"/>
                <w:color w:val="000000" w:themeColor="text1"/>
                <w:sz w:val="21"/>
                <w:szCs w:val="21"/>
              </w:rPr>
              <w:t>Ⅲ</w:t>
            </w:r>
          </w:p>
        </w:tc>
      </w:tr>
      <w:tr w:rsidR="008A2411" w:rsidRPr="008A2411" w14:paraId="1E37B83F" w14:textId="77777777">
        <w:trPr>
          <w:jc w:val="center"/>
        </w:trPr>
        <w:tc>
          <w:tcPr>
            <w:tcW w:w="1287" w:type="pct"/>
            <w:tcBorders>
              <w:top w:val="single" w:sz="4" w:space="0" w:color="auto"/>
              <w:left w:val="single" w:sz="4" w:space="0" w:color="auto"/>
              <w:bottom w:val="single" w:sz="4" w:space="0" w:color="auto"/>
              <w:right w:val="single" w:sz="4" w:space="0" w:color="auto"/>
            </w:tcBorders>
            <w:vAlign w:val="center"/>
          </w:tcPr>
          <w:p w14:paraId="0FDE8101" w14:textId="77777777" w:rsidR="00B0005F" w:rsidRPr="008A2411" w:rsidRDefault="00000000">
            <w:pPr>
              <w:pStyle w:val="afffffe"/>
              <w:jc w:val="center"/>
              <w:rPr>
                <w:rFonts w:ascii="Times New Roman" w:eastAsiaTheme="minorEastAsia" w:hAnsi="Times New Roman"/>
                <w:bCs/>
                <w:snapToGrid w:val="0"/>
                <w:color w:val="000000" w:themeColor="text1"/>
                <w:sz w:val="21"/>
                <w:szCs w:val="21"/>
              </w:rPr>
            </w:pPr>
            <w:r w:rsidRPr="008A2411">
              <w:rPr>
                <w:rFonts w:ascii="Times New Roman" w:eastAsiaTheme="minorEastAsia" w:hAnsi="Times New Roman"/>
                <w:bCs/>
                <w:snapToGrid w:val="0"/>
                <w:color w:val="000000" w:themeColor="text1"/>
                <w:sz w:val="21"/>
                <w:szCs w:val="21"/>
              </w:rPr>
              <w:t>环境中度敏感区（</w:t>
            </w:r>
            <w:r w:rsidRPr="008A2411">
              <w:rPr>
                <w:rFonts w:ascii="Times New Roman" w:eastAsiaTheme="minorEastAsia" w:hAnsi="Times New Roman"/>
                <w:bCs/>
                <w:snapToGrid w:val="0"/>
                <w:color w:val="000000" w:themeColor="text1"/>
                <w:sz w:val="21"/>
                <w:szCs w:val="21"/>
              </w:rPr>
              <w:t>E</w:t>
            </w:r>
            <w:r w:rsidRPr="008A2411">
              <w:rPr>
                <w:rFonts w:ascii="Times New Roman" w:eastAsiaTheme="minorEastAsia" w:hAnsi="Times New Roman"/>
                <w:bCs/>
                <w:snapToGrid w:val="0"/>
                <w:color w:val="000000" w:themeColor="text1"/>
                <w:sz w:val="21"/>
                <w:szCs w:val="21"/>
                <w:vertAlign w:val="subscript"/>
              </w:rPr>
              <w:t>2</w:t>
            </w:r>
            <w:r w:rsidRPr="008A2411">
              <w:rPr>
                <w:rFonts w:ascii="Times New Roman" w:eastAsiaTheme="minorEastAsia" w:hAnsi="Times New Roman"/>
                <w:bCs/>
                <w:snapToGrid w:val="0"/>
                <w:color w:val="000000" w:themeColor="text1"/>
                <w:sz w:val="21"/>
                <w:szCs w:val="21"/>
              </w:rPr>
              <w:t>）</w:t>
            </w:r>
          </w:p>
        </w:tc>
        <w:tc>
          <w:tcPr>
            <w:tcW w:w="928" w:type="pct"/>
            <w:tcBorders>
              <w:top w:val="single" w:sz="4" w:space="0" w:color="auto"/>
              <w:left w:val="single" w:sz="4" w:space="0" w:color="auto"/>
              <w:bottom w:val="single" w:sz="4" w:space="0" w:color="auto"/>
              <w:right w:val="single" w:sz="4" w:space="0" w:color="auto"/>
            </w:tcBorders>
            <w:vAlign w:val="center"/>
          </w:tcPr>
          <w:p w14:paraId="6607BFFA" w14:textId="77777777" w:rsidR="00B0005F" w:rsidRPr="008A2411" w:rsidRDefault="00000000">
            <w:pPr>
              <w:pStyle w:val="afffffe"/>
              <w:jc w:val="center"/>
              <w:rPr>
                <w:rFonts w:ascii="Times New Roman" w:eastAsiaTheme="minorEastAsia" w:hAnsi="Times New Roman"/>
                <w:bCs/>
                <w:snapToGrid w:val="0"/>
                <w:color w:val="000000" w:themeColor="text1"/>
                <w:sz w:val="21"/>
                <w:szCs w:val="21"/>
              </w:rPr>
            </w:pPr>
            <w:r w:rsidRPr="008A2411">
              <w:rPr>
                <w:rFonts w:ascii="Times New Roman" w:eastAsiaTheme="minorEastAsia" w:hAnsi="Times New Roman"/>
                <w:bCs/>
                <w:snapToGrid w:val="0"/>
                <w:color w:val="000000" w:themeColor="text1"/>
                <w:sz w:val="21"/>
                <w:szCs w:val="21"/>
              </w:rPr>
              <w:t>Ⅳ</w:t>
            </w:r>
          </w:p>
        </w:tc>
        <w:tc>
          <w:tcPr>
            <w:tcW w:w="928" w:type="pct"/>
            <w:tcBorders>
              <w:top w:val="single" w:sz="4" w:space="0" w:color="auto"/>
              <w:left w:val="single" w:sz="4" w:space="0" w:color="auto"/>
              <w:bottom w:val="single" w:sz="4" w:space="0" w:color="auto"/>
              <w:right w:val="single" w:sz="4" w:space="0" w:color="auto"/>
            </w:tcBorders>
            <w:vAlign w:val="center"/>
          </w:tcPr>
          <w:p w14:paraId="525CD800" w14:textId="77777777" w:rsidR="00B0005F" w:rsidRPr="008A2411" w:rsidRDefault="00000000">
            <w:pPr>
              <w:pStyle w:val="afffffe"/>
              <w:jc w:val="center"/>
              <w:rPr>
                <w:rFonts w:ascii="Times New Roman" w:eastAsiaTheme="minorEastAsia" w:hAnsi="Times New Roman"/>
                <w:bCs/>
                <w:snapToGrid w:val="0"/>
                <w:color w:val="000000" w:themeColor="text1"/>
                <w:sz w:val="21"/>
                <w:szCs w:val="21"/>
              </w:rPr>
            </w:pPr>
            <w:r w:rsidRPr="008A2411">
              <w:rPr>
                <w:rFonts w:ascii="Times New Roman" w:eastAsiaTheme="minorEastAsia" w:hAnsi="Times New Roman"/>
                <w:bCs/>
                <w:snapToGrid w:val="0"/>
                <w:color w:val="000000" w:themeColor="text1"/>
                <w:sz w:val="21"/>
                <w:szCs w:val="21"/>
              </w:rPr>
              <w:t>Ⅲ</w:t>
            </w:r>
          </w:p>
        </w:tc>
        <w:tc>
          <w:tcPr>
            <w:tcW w:w="928" w:type="pct"/>
            <w:tcBorders>
              <w:top w:val="single" w:sz="4" w:space="0" w:color="auto"/>
              <w:left w:val="single" w:sz="4" w:space="0" w:color="auto"/>
              <w:bottom w:val="single" w:sz="4" w:space="0" w:color="auto"/>
              <w:right w:val="single" w:sz="4" w:space="0" w:color="auto"/>
            </w:tcBorders>
            <w:vAlign w:val="center"/>
          </w:tcPr>
          <w:p w14:paraId="4ED74D58" w14:textId="77777777" w:rsidR="00B0005F" w:rsidRPr="008A2411" w:rsidRDefault="00000000">
            <w:pPr>
              <w:pStyle w:val="afffffe"/>
              <w:jc w:val="center"/>
              <w:rPr>
                <w:rFonts w:ascii="Times New Roman" w:eastAsiaTheme="minorEastAsia" w:hAnsi="Times New Roman"/>
                <w:bCs/>
                <w:snapToGrid w:val="0"/>
                <w:color w:val="000000" w:themeColor="text1"/>
                <w:sz w:val="21"/>
                <w:szCs w:val="21"/>
              </w:rPr>
            </w:pPr>
            <w:r w:rsidRPr="008A2411">
              <w:rPr>
                <w:rFonts w:ascii="Times New Roman" w:eastAsiaTheme="minorEastAsia" w:hAnsi="Times New Roman"/>
                <w:bCs/>
                <w:snapToGrid w:val="0"/>
                <w:color w:val="000000" w:themeColor="text1"/>
                <w:sz w:val="21"/>
                <w:szCs w:val="21"/>
              </w:rPr>
              <w:t>Ⅲ</w:t>
            </w:r>
          </w:p>
        </w:tc>
        <w:tc>
          <w:tcPr>
            <w:tcW w:w="928" w:type="pct"/>
            <w:tcBorders>
              <w:top w:val="single" w:sz="4" w:space="0" w:color="auto"/>
              <w:left w:val="single" w:sz="4" w:space="0" w:color="auto"/>
              <w:bottom w:val="single" w:sz="4" w:space="0" w:color="auto"/>
              <w:right w:val="single" w:sz="4" w:space="0" w:color="auto"/>
            </w:tcBorders>
            <w:vAlign w:val="center"/>
          </w:tcPr>
          <w:p w14:paraId="34BEFE8A" w14:textId="77777777" w:rsidR="00B0005F" w:rsidRPr="008A2411" w:rsidRDefault="00000000">
            <w:pPr>
              <w:pStyle w:val="afffffe"/>
              <w:jc w:val="center"/>
              <w:rPr>
                <w:rFonts w:ascii="Times New Roman" w:eastAsiaTheme="minorEastAsia" w:hAnsi="Times New Roman"/>
                <w:bCs/>
                <w:snapToGrid w:val="0"/>
                <w:color w:val="000000" w:themeColor="text1"/>
                <w:sz w:val="21"/>
                <w:szCs w:val="21"/>
              </w:rPr>
            </w:pPr>
            <w:r w:rsidRPr="008A2411">
              <w:rPr>
                <w:rFonts w:ascii="Times New Roman" w:eastAsiaTheme="minorEastAsia" w:hAnsi="Times New Roman"/>
                <w:bCs/>
                <w:snapToGrid w:val="0"/>
                <w:color w:val="000000" w:themeColor="text1"/>
                <w:sz w:val="21"/>
                <w:szCs w:val="21"/>
              </w:rPr>
              <w:t>Ⅱ</w:t>
            </w:r>
          </w:p>
        </w:tc>
      </w:tr>
      <w:tr w:rsidR="008A2411" w:rsidRPr="008A2411" w14:paraId="777BC8C4" w14:textId="77777777">
        <w:trPr>
          <w:jc w:val="center"/>
        </w:trPr>
        <w:tc>
          <w:tcPr>
            <w:tcW w:w="1287" w:type="pct"/>
            <w:tcBorders>
              <w:top w:val="single" w:sz="4" w:space="0" w:color="auto"/>
              <w:left w:val="single" w:sz="4" w:space="0" w:color="auto"/>
              <w:bottom w:val="single" w:sz="4" w:space="0" w:color="auto"/>
              <w:right w:val="single" w:sz="4" w:space="0" w:color="auto"/>
            </w:tcBorders>
            <w:vAlign w:val="center"/>
          </w:tcPr>
          <w:p w14:paraId="5AA400A2" w14:textId="77777777" w:rsidR="00B0005F" w:rsidRPr="008A2411" w:rsidRDefault="00000000">
            <w:pPr>
              <w:pStyle w:val="afffffe"/>
              <w:jc w:val="center"/>
              <w:rPr>
                <w:rFonts w:ascii="Times New Roman" w:eastAsiaTheme="minorEastAsia" w:hAnsi="Times New Roman"/>
                <w:bCs/>
                <w:snapToGrid w:val="0"/>
                <w:color w:val="000000" w:themeColor="text1"/>
                <w:sz w:val="21"/>
                <w:szCs w:val="21"/>
              </w:rPr>
            </w:pPr>
            <w:r w:rsidRPr="008A2411">
              <w:rPr>
                <w:rFonts w:ascii="Times New Roman" w:eastAsiaTheme="minorEastAsia" w:hAnsi="Times New Roman"/>
                <w:bCs/>
                <w:snapToGrid w:val="0"/>
                <w:color w:val="000000" w:themeColor="text1"/>
                <w:sz w:val="21"/>
                <w:szCs w:val="21"/>
              </w:rPr>
              <w:t>环境低度敏感区（</w:t>
            </w:r>
            <w:r w:rsidRPr="008A2411">
              <w:rPr>
                <w:rFonts w:ascii="Times New Roman" w:eastAsiaTheme="minorEastAsia" w:hAnsi="Times New Roman"/>
                <w:bCs/>
                <w:snapToGrid w:val="0"/>
                <w:color w:val="000000" w:themeColor="text1"/>
                <w:sz w:val="21"/>
                <w:szCs w:val="21"/>
              </w:rPr>
              <w:t>E</w:t>
            </w:r>
            <w:r w:rsidRPr="008A2411">
              <w:rPr>
                <w:rFonts w:ascii="Times New Roman" w:eastAsiaTheme="minorEastAsia" w:hAnsi="Times New Roman"/>
                <w:bCs/>
                <w:snapToGrid w:val="0"/>
                <w:color w:val="000000" w:themeColor="text1"/>
                <w:sz w:val="21"/>
                <w:szCs w:val="21"/>
                <w:vertAlign w:val="subscript"/>
              </w:rPr>
              <w:t>3</w:t>
            </w:r>
            <w:r w:rsidRPr="008A2411">
              <w:rPr>
                <w:rFonts w:ascii="Times New Roman" w:eastAsiaTheme="minorEastAsia" w:hAnsi="Times New Roman"/>
                <w:bCs/>
                <w:snapToGrid w:val="0"/>
                <w:color w:val="000000" w:themeColor="text1"/>
                <w:sz w:val="21"/>
                <w:szCs w:val="21"/>
              </w:rPr>
              <w:t>）</w:t>
            </w:r>
          </w:p>
        </w:tc>
        <w:tc>
          <w:tcPr>
            <w:tcW w:w="928" w:type="pct"/>
            <w:tcBorders>
              <w:top w:val="single" w:sz="4" w:space="0" w:color="auto"/>
              <w:left w:val="single" w:sz="4" w:space="0" w:color="auto"/>
              <w:bottom w:val="single" w:sz="4" w:space="0" w:color="auto"/>
              <w:right w:val="single" w:sz="4" w:space="0" w:color="auto"/>
            </w:tcBorders>
            <w:vAlign w:val="center"/>
          </w:tcPr>
          <w:p w14:paraId="60B92615" w14:textId="77777777" w:rsidR="00B0005F" w:rsidRPr="008A2411" w:rsidRDefault="00000000">
            <w:pPr>
              <w:pStyle w:val="afffffe"/>
              <w:jc w:val="center"/>
              <w:rPr>
                <w:rFonts w:ascii="Times New Roman" w:eastAsiaTheme="minorEastAsia" w:hAnsi="Times New Roman"/>
                <w:bCs/>
                <w:snapToGrid w:val="0"/>
                <w:color w:val="000000" w:themeColor="text1"/>
                <w:sz w:val="21"/>
                <w:szCs w:val="21"/>
              </w:rPr>
            </w:pPr>
            <w:r w:rsidRPr="008A2411">
              <w:rPr>
                <w:rFonts w:ascii="Times New Roman" w:eastAsiaTheme="minorEastAsia" w:hAnsi="Times New Roman"/>
                <w:bCs/>
                <w:snapToGrid w:val="0"/>
                <w:color w:val="000000" w:themeColor="text1"/>
                <w:sz w:val="21"/>
                <w:szCs w:val="21"/>
              </w:rPr>
              <w:t>Ⅲ</w:t>
            </w:r>
          </w:p>
        </w:tc>
        <w:tc>
          <w:tcPr>
            <w:tcW w:w="928" w:type="pct"/>
            <w:tcBorders>
              <w:top w:val="single" w:sz="4" w:space="0" w:color="auto"/>
              <w:left w:val="single" w:sz="4" w:space="0" w:color="auto"/>
              <w:bottom w:val="single" w:sz="4" w:space="0" w:color="auto"/>
              <w:right w:val="single" w:sz="4" w:space="0" w:color="auto"/>
            </w:tcBorders>
            <w:vAlign w:val="center"/>
          </w:tcPr>
          <w:p w14:paraId="39F6EEA9" w14:textId="77777777" w:rsidR="00B0005F" w:rsidRPr="008A2411" w:rsidRDefault="00000000">
            <w:pPr>
              <w:pStyle w:val="afffffe"/>
              <w:jc w:val="center"/>
              <w:rPr>
                <w:rFonts w:ascii="Times New Roman" w:eastAsiaTheme="minorEastAsia" w:hAnsi="Times New Roman"/>
                <w:bCs/>
                <w:snapToGrid w:val="0"/>
                <w:color w:val="000000" w:themeColor="text1"/>
                <w:sz w:val="21"/>
                <w:szCs w:val="21"/>
              </w:rPr>
            </w:pPr>
            <w:r w:rsidRPr="008A2411">
              <w:rPr>
                <w:rFonts w:ascii="Times New Roman" w:eastAsiaTheme="minorEastAsia" w:hAnsi="Times New Roman"/>
                <w:bCs/>
                <w:snapToGrid w:val="0"/>
                <w:color w:val="000000" w:themeColor="text1"/>
                <w:sz w:val="21"/>
                <w:szCs w:val="21"/>
              </w:rPr>
              <w:t>Ⅲ</w:t>
            </w:r>
          </w:p>
        </w:tc>
        <w:tc>
          <w:tcPr>
            <w:tcW w:w="928" w:type="pct"/>
            <w:tcBorders>
              <w:top w:val="single" w:sz="4" w:space="0" w:color="auto"/>
              <w:left w:val="single" w:sz="4" w:space="0" w:color="auto"/>
              <w:bottom w:val="single" w:sz="4" w:space="0" w:color="auto"/>
              <w:right w:val="single" w:sz="4" w:space="0" w:color="auto"/>
            </w:tcBorders>
            <w:vAlign w:val="center"/>
          </w:tcPr>
          <w:p w14:paraId="512EACF9" w14:textId="77777777" w:rsidR="00B0005F" w:rsidRPr="008A2411" w:rsidRDefault="00000000">
            <w:pPr>
              <w:pStyle w:val="afffffe"/>
              <w:jc w:val="center"/>
              <w:rPr>
                <w:rFonts w:ascii="Times New Roman" w:eastAsiaTheme="minorEastAsia" w:hAnsi="Times New Roman"/>
                <w:bCs/>
                <w:snapToGrid w:val="0"/>
                <w:color w:val="000000" w:themeColor="text1"/>
                <w:sz w:val="21"/>
                <w:szCs w:val="21"/>
              </w:rPr>
            </w:pPr>
            <w:r w:rsidRPr="008A2411">
              <w:rPr>
                <w:rFonts w:ascii="Times New Roman" w:eastAsiaTheme="minorEastAsia" w:hAnsi="Times New Roman"/>
                <w:bCs/>
                <w:snapToGrid w:val="0"/>
                <w:color w:val="000000" w:themeColor="text1"/>
                <w:sz w:val="21"/>
                <w:szCs w:val="21"/>
              </w:rPr>
              <w:t>Ⅱ</w:t>
            </w:r>
          </w:p>
        </w:tc>
        <w:tc>
          <w:tcPr>
            <w:tcW w:w="928" w:type="pct"/>
            <w:tcBorders>
              <w:top w:val="single" w:sz="4" w:space="0" w:color="auto"/>
              <w:left w:val="single" w:sz="4" w:space="0" w:color="auto"/>
              <w:bottom w:val="single" w:sz="4" w:space="0" w:color="auto"/>
              <w:right w:val="single" w:sz="4" w:space="0" w:color="auto"/>
            </w:tcBorders>
            <w:vAlign w:val="center"/>
          </w:tcPr>
          <w:p w14:paraId="06AEB5A9" w14:textId="77777777" w:rsidR="00B0005F" w:rsidRPr="008A2411" w:rsidRDefault="00000000">
            <w:pPr>
              <w:pStyle w:val="afffffe"/>
              <w:jc w:val="center"/>
              <w:rPr>
                <w:rFonts w:ascii="Times New Roman" w:eastAsiaTheme="minorEastAsia" w:hAnsi="Times New Roman"/>
                <w:bCs/>
                <w:snapToGrid w:val="0"/>
                <w:color w:val="000000" w:themeColor="text1"/>
                <w:sz w:val="21"/>
                <w:szCs w:val="21"/>
              </w:rPr>
            </w:pPr>
            <w:r w:rsidRPr="008A2411">
              <w:rPr>
                <w:rFonts w:ascii="Times New Roman" w:eastAsiaTheme="minorEastAsia" w:hAnsi="Times New Roman"/>
                <w:bCs/>
                <w:snapToGrid w:val="0"/>
                <w:color w:val="000000" w:themeColor="text1"/>
                <w:sz w:val="21"/>
                <w:szCs w:val="21"/>
              </w:rPr>
              <w:t>Ⅰ</w:t>
            </w:r>
          </w:p>
        </w:tc>
      </w:tr>
      <w:tr w:rsidR="008A2411" w:rsidRPr="008A2411" w14:paraId="2E4214CE" w14:textId="77777777">
        <w:trPr>
          <w:jc w:val="center"/>
        </w:trPr>
        <w:tc>
          <w:tcPr>
            <w:tcW w:w="5000" w:type="pct"/>
            <w:gridSpan w:val="5"/>
            <w:tcBorders>
              <w:top w:val="single" w:sz="4" w:space="0" w:color="auto"/>
              <w:left w:val="single" w:sz="4" w:space="0" w:color="auto"/>
              <w:bottom w:val="single" w:sz="4" w:space="0" w:color="auto"/>
              <w:right w:val="single" w:sz="4" w:space="0" w:color="auto"/>
            </w:tcBorders>
            <w:vAlign w:val="center"/>
          </w:tcPr>
          <w:p w14:paraId="62D20621" w14:textId="77777777" w:rsidR="00B0005F" w:rsidRPr="008A2411" w:rsidRDefault="00000000">
            <w:pPr>
              <w:pStyle w:val="afffffe"/>
              <w:jc w:val="center"/>
              <w:rPr>
                <w:rFonts w:ascii="Times New Roman" w:eastAsiaTheme="minorEastAsia" w:hAnsi="Times New Roman"/>
                <w:bCs/>
                <w:snapToGrid w:val="0"/>
                <w:color w:val="000000" w:themeColor="text1"/>
                <w:sz w:val="21"/>
                <w:szCs w:val="21"/>
              </w:rPr>
            </w:pPr>
            <w:r w:rsidRPr="008A2411">
              <w:rPr>
                <w:rFonts w:ascii="Times New Roman" w:eastAsiaTheme="minorEastAsia" w:hAnsi="Times New Roman"/>
                <w:bCs/>
                <w:snapToGrid w:val="0"/>
                <w:color w:val="000000" w:themeColor="text1"/>
                <w:sz w:val="21"/>
                <w:szCs w:val="21"/>
              </w:rPr>
              <w:t>注：</w:t>
            </w:r>
            <w:r w:rsidRPr="008A2411">
              <w:rPr>
                <w:rFonts w:ascii="Times New Roman" w:eastAsiaTheme="minorEastAsia" w:hAnsi="Times New Roman"/>
                <w:bCs/>
                <w:snapToGrid w:val="0"/>
                <w:color w:val="000000" w:themeColor="text1"/>
                <w:sz w:val="21"/>
                <w:szCs w:val="21"/>
              </w:rPr>
              <w:t>Ⅳ</w:t>
            </w:r>
            <w:r w:rsidRPr="008A2411">
              <w:rPr>
                <w:rFonts w:ascii="Times New Roman" w:eastAsiaTheme="minorEastAsia" w:hAnsi="Times New Roman"/>
                <w:bCs/>
                <w:snapToGrid w:val="0"/>
                <w:color w:val="000000" w:themeColor="text1"/>
                <w:sz w:val="21"/>
                <w:szCs w:val="21"/>
                <w:vertAlign w:val="superscript"/>
              </w:rPr>
              <w:t>+</w:t>
            </w:r>
            <w:r w:rsidRPr="008A2411">
              <w:rPr>
                <w:rFonts w:ascii="Times New Roman" w:eastAsiaTheme="minorEastAsia" w:hAnsi="Times New Roman"/>
                <w:bCs/>
                <w:snapToGrid w:val="0"/>
                <w:color w:val="000000" w:themeColor="text1"/>
                <w:sz w:val="21"/>
                <w:szCs w:val="21"/>
              </w:rPr>
              <w:t>为极高环境风险。</w:t>
            </w:r>
          </w:p>
        </w:tc>
      </w:tr>
    </w:tbl>
    <w:p w14:paraId="3824DD22" w14:textId="77777777" w:rsidR="00B0005F" w:rsidRPr="008A2411" w:rsidRDefault="00000000">
      <w:pPr>
        <w:pStyle w:val="affffffffffffffffffff6"/>
        <w:snapToGrid/>
        <w:outlineLvl w:val="2"/>
        <w:rPr>
          <w:rFonts w:ascii="Times New Roman"/>
          <w:b/>
          <w:color w:val="000000" w:themeColor="text1"/>
          <w:sz w:val="24"/>
          <w:szCs w:val="24"/>
          <w:lang w:bidi="en-US"/>
        </w:rPr>
      </w:pPr>
      <w:r w:rsidRPr="008A2411">
        <w:rPr>
          <w:rFonts w:ascii="Times New Roman"/>
          <w:b/>
          <w:color w:val="000000" w:themeColor="text1"/>
          <w:sz w:val="24"/>
          <w:szCs w:val="24"/>
          <w:lang w:bidi="en-US"/>
        </w:rPr>
        <w:t>6.3.2  P</w:t>
      </w:r>
      <w:r w:rsidRPr="008A2411">
        <w:rPr>
          <w:rFonts w:ascii="Times New Roman"/>
          <w:b/>
          <w:color w:val="000000" w:themeColor="text1"/>
          <w:sz w:val="24"/>
          <w:szCs w:val="24"/>
          <w:lang w:bidi="en-US"/>
        </w:rPr>
        <w:t>的分级确定</w:t>
      </w:r>
    </w:p>
    <w:p w14:paraId="794420F6" w14:textId="77777777" w:rsidR="00B0005F" w:rsidRPr="008A2411" w:rsidRDefault="00000000">
      <w:pPr>
        <w:adjustRightInd w:val="0"/>
        <w:spacing w:line="360" w:lineRule="auto"/>
        <w:ind w:firstLineChars="200" w:firstLine="480"/>
        <w:rPr>
          <w:rFonts w:ascii="Times New Roman"/>
          <w:bCs/>
          <w:color w:val="000000" w:themeColor="text1"/>
          <w:lang w:val="zh-CN"/>
        </w:rPr>
      </w:pPr>
      <w:r w:rsidRPr="008A2411">
        <w:rPr>
          <w:rFonts w:ascii="Times New Roman"/>
          <w:bCs/>
          <w:color w:val="000000" w:themeColor="text1"/>
          <w:lang w:val="zh-CN"/>
        </w:rPr>
        <w:t>（</w:t>
      </w:r>
      <w:r w:rsidRPr="008A2411">
        <w:rPr>
          <w:rFonts w:ascii="Times New Roman"/>
          <w:bCs/>
          <w:color w:val="000000" w:themeColor="text1"/>
          <w:lang w:val="zh-CN"/>
        </w:rPr>
        <w:t>1</w:t>
      </w:r>
      <w:r w:rsidRPr="008A2411">
        <w:rPr>
          <w:rFonts w:ascii="Times New Roman"/>
          <w:bCs/>
          <w:color w:val="000000" w:themeColor="text1"/>
          <w:lang w:val="zh-CN"/>
        </w:rPr>
        <w:t>）危险物质数量与临界量的比值（</w:t>
      </w:r>
      <w:r w:rsidRPr="008A2411">
        <w:rPr>
          <w:rFonts w:ascii="Times New Roman"/>
          <w:bCs/>
          <w:color w:val="000000" w:themeColor="text1"/>
          <w:lang w:val="zh-CN"/>
        </w:rPr>
        <w:t>Q</w:t>
      </w:r>
      <w:r w:rsidRPr="008A2411">
        <w:rPr>
          <w:rFonts w:ascii="Times New Roman"/>
          <w:bCs/>
          <w:color w:val="000000" w:themeColor="text1"/>
          <w:lang w:val="zh-CN"/>
        </w:rPr>
        <w:t>）</w:t>
      </w:r>
    </w:p>
    <w:p w14:paraId="45B185BD" w14:textId="77777777" w:rsidR="00B0005F" w:rsidRPr="008A2411" w:rsidRDefault="00000000">
      <w:pPr>
        <w:adjustRightInd w:val="0"/>
        <w:spacing w:line="360" w:lineRule="auto"/>
        <w:ind w:firstLineChars="200" w:firstLine="480"/>
        <w:rPr>
          <w:rFonts w:ascii="Times New Roman"/>
          <w:bCs/>
          <w:color w:val="000000" w:themeColor="text1"/>
          <w:lang w:val="zh-CN"/>
        </w:rPr>
      </w:pPr>
      <w:r w:rsidRPr="008A2411">
        <w:rPr>
          <w:rFonts w:ascii="Times New Roman"/>
          <w:bCs/>
          <w:color w:val="000000" w:themeColor="text1"/>
          <w:lang w:val="zh-CN"/>
        </w:rPr>
        <w:t>分析建设项目生产、使用、储存过程中涉及的有毒有害、易燃易爆物质，参见</w:t>
      </w:r>
      <w:r w:rsidRPr="008A2411">
        <w:rPr>
          <w:rFonts w:ascii="Times New Roman"/>
          <w:bCs/>
          <w:color w:val="000000" w:themeColor="text1"/>
          <w:lang w:val="zh-CN"/>
        </w:rPr>
        <w:t>HJ 169-2018</w:t>
      </w:r>
      <w:r w:rsidRPr="008A2411">
        <w:rPr>
          <w:rFonts w:ascii="Times New Roman"/>
          <w:bCs/>
          <w:color w:val="000000" w:themeColor="text1"/>
          <w:lang w:val="zh-CN"/>
        </w:rPr>
        <w:t>中附录</w:t>
      </w:r>
      <w:r w:rsidRPr="008A2411">
        <w:rPr>
          <w:rFonts w:ascii="Times New Roman"/>
          <w:bCs/>
          <w:color w:val="000000" w:themeColor="text1"/>
          <w:lang w:val="zh-CN"/>
        </w:rPr>
        <w:t>B</w:t>
      </w:r>
      <w:r w:rsidRPr="008A2411">
        <w:rPr>
          <w:rFonts w:ascii="Times New Roman"/>
          <w:bCs/>
          <w:color w:val="000000" w:themeColor="text1"/>
          <w:lang w:val="zh-CN"/>
        </w:rPr>
        <w:t>确定危险物质的临界量，并参照附录</w:t>
      </w:r>
      <w:r w:rsidRPr="008A2411">
        <w:rPr>
          <w:rFonts w:ascii="Times New Roman"/>
          <w:bCs/>
          <w:color w:val="000000" w:themeColor="text1"/>
          <w:lang w:val="zh-CN"/>
        </w:rPr>
        <w:t>C</w:t>
      </w:r>
      <w:r w:rsidRPr="008A2411">
        <w:rPr>
          <w:rFonts w:ascii="Times New Roman"/>
          <w:bCs/>
          <w:color w:val="000000" w:themeColor="text1"/>
          <w:lang w:val="zh-CN"/>
        </w:rPr>
        <w:t>进行判定。</w:t>
      </w:r>
    </w:p>
    <w:p w14:paraId="46646D9D" w14:textId="77777777" w:rsidR="00B0005F" w:rsidRPr="008A2411" w:rsidRDefault="00000000">
      <w:pPr>
        <w:adjustRightInd w:val="0"/>
        <w:spacing w:line="360" w:lineRule="auto"/>
        <w:ind w:firstLineChars="200" w:firstLine="480"/>
        <w:rPr>
          <w:rFonts w:ascii="Times New Roman"/>
          <w:bCs/>
          <w:color w:val="000000" w:themeColor="text1"/>
          <w:lang w:val="zh-CN"/>
        </w:rPr>
      </w:pPr>
      <w:r w:rsidRPr="008A2411">
        <w:rPr>
          <w:rFonts w:ascii="Times New Roman"/>
          <w:bCs/>
          <w:color w:val="000000" w:themeColor="text1"/>
          <w:lang w:val="zh-CN"/>
        </w:rPr>
        <w:t>①</w:t>
      </w:r>
      <w:r w:rsidRPr="008A2411">
        <w:rPr>
          <w:rFonts w:ascii="Times New Roman"/>
          <w:bCs/>
          <w:color w:val="000000" w:themeColor="text1"/>
          <w:lang w:val="zh-CN"/>
        </w:rPr>
        <w:t>当企业只涉及一种风险物质时，该物质的数量与其临界量比值，即为</w:t>
      </w:r>
      <w:r w:rsidRPr="008A2411">
        <w:rPr>
          <w:rFonts w:ascii="Times New Roman"/>
          <w:bCs/>
          <w:color w:val="000000" w:themeColor="text1"/>
          <w:lang w:val="zh-CN"/>
        </w:rPr>
        <w:t>Q</w:t>
      </w:r>
      <w:r w:rsidRPr="008A2411">
        <w:rPr>
          <w:rFonts w:ascii="Times New Roman"/>
          <w:bCs/>
          <w:color w:val="000000" w:themeColor="text1"/>
          <w:lang w:val="zh-CN"/>
        </w:rPr>
        <w:t>。</w:t>
      </w:r>
    </w:p>
    <w:p w14:paraId="15CE0498" w14:textId="77777777" w:rsidR="00B0005F" w:rsidRPr="008A2411" w:rsidRDefault="00000000">
      <w:pPr>
        <w:adjustRightInd w:val="0"/>
        <w:spacing w:line="360" w:lineRule="auto"/>
        <w:ind w:firstLineChars="200" w:firstLine="480"/>
        <w:rPr>
          <w:rFonts w:ascii="Times New Roman"/>
          <w:bCs/>
          <w:color w:val="000000" w:themeColor="text1"/>
          <w:lang w:val="zh-CN"/>
        </w:rPr>
      </w:pPr>
      <w:r w:rsidRPr="008A2411">
        <w:rPr>
          <w:rFonts w:ascii="Times New Roman"/>
          <w:bCs/>
          <w:color w:val="000000" w:themeColor="text1"/>
          <w:lang w:val="zh-CN"/>
        </w:rPr>
        <w:t>②</w:t>
      </w:r>
      <w:r w:rsidRPr="008A2411">
        <w:rPr>
          <w:rFonts w:ascii="Times New Roman"/>
          <w:bCs/>
          <w:color w:val="000000" w:themeColor="text1"/>
          <w:lang w:val="zh-CN"/>
        </w:rPr>
        <w:t>当企业存在多种风险物质时，则按下式计算：</w:t>
      </w:r>
    </w:p>
    <w:p w14:paraId="1B92E58E" w14:textId="77777777" w:rsidR="00B0005F" w:rsidRPr="008A2411" w:rsidRDefault="00000000">
      <w:pPr>
        <w:pStyle w:val="-5"/>
        <w:ind w:firstLine="480"/>
        <w:jc w:val="center"/>
        <w:rPr>
          <w:rFonts w:ascii="Times New Roman"/>
          <w:bCs/>
          <w:color w:val="000000" w:themeColor="text1"/>
          <w:vertAlign w:val="subscript"/>
        </w:rPr>
      </w:pPr>
      <w:r w:rsidRPr="008A2411">
        <w:rPr>
          <w:rFonts w:ascii="Times New Roman"/>
          <w:bCs/>
          <w:color w:val="000000" w:themeColor="text1"/>
        </w:rPr>
        <w:t>Q=q</w:t>
      </w:r>
      <w:r w:rsidRPr="008A2411">
        <w:rPr>
          <w:rFonts w:ascii="Times New Roman"/>
          <w:bCs/>
          <w:color w:val="000000" w:themeColor="text1"/>
          <w:vertAlign w:val="subscript"/>
        </w:rPr>
        <w:t>1</w:t>
      </w:r>
      <w:r w:rsidRPr="008A2411">
        <w:rPr>
          <w:rFonts w:ascii="Times New Roman"/>
          <w:bCs/>
          <w:color w:val="000000" w:themeColor="text1"/>
        </w:rPr>
        <w:t>/Q</w:t>
      </w:r>
      <w:r w:rsidRPr="008A2411">
        <w:rPr>
          <w:rFonts w:ascii="Times New Roman"/>
          <w:bCs/>
          <w:color w:val="000000" w:themeColor="text1"/>
          <w:vertAlign w:val="subscript"/>
        </w:rPr>
        <w:t>1</w:t>
      </w:r>
      <w:r w:rsidRPr="008A2411">
        <w:rPr>
          <w:rFonts w:ascii="Times New Roman"/>
          <w:bCs/>
          <w:color w:val="000000" w:themeColor="text1"/>
        </w:rPr>
        <w:t>+q</w:t>
      </w:r>
      <w:r w:rsidRPr="008A2411">
        <w:rPr>
          <w:rFonts w:ascii="Times New Roman"/>
          <w:bCs/>
          <w:color w:val="000000" w:themeColor="text1"/>
          <w:vertAlign w:val="subscript"/>
        </w:rPr>
        <w:t>2</w:t>
      </w:r>
      <w:r w:rsidRPr="008A2411">
        <w:rPr>
          <w:rFonts w:ascii="Times New Roman"/>
          <w:bCs/>
          <w:color w:val="000000" w:themeColor="text1"/>
        </w:rPr>
        <w:t>/Q</w:t>
      </w:r>
      <w:r w:rsidRPr="008A2411">
        <w:rPr>
          <w:rFonts w:ascii="Times New Roman"/>
          <w:bCs/>
          <w:color w:val="000000" w:themeColor="text1"/>
          <w:vertAlign w:val="subscript"/>
        </w:rPr>
        <w:t>2</w:t>
      </w:r>
      <w:r w:rsidRPr="008A2411">
        <w:rPr>
          <w:rFonts w:ascii="Times New Roman"/>
          <w:bCs/>
          <w:color w:val="000000" w:themeColor="text1"/>
        </w:rPr>
        <w:t>+</w:t>
      </w:r>
      <w:r w:rsidRPr="008A2411">
        <w:rPr>
          <w:rFonts w:ascii="Times New Roman"/>
          <w:bCs/>
          <w:color w:val="000000" w:themeColor="text1"/>
          <w:spacing w:val="-4"/>
        </w:rPr>
        <w:t>...</w:t>
      </w:r>
      <w:r w:rsidRPr="008A2411">
        <w:rPr>
          <w:rFonts w:ascii="Times New Roman"/>
          <w:bCs/>
          <w:color w:val="000000" w:themeColor="text1"/>
        </w:rPr>
        <w:t>+q</w:t>
      </w:r>
      <w:r w:rsidRPr="008A2411">
        <w:rPr>
          <w:rFonts w:ascii="Times New Roman"/>
          <w:bCs/>
          <w:color w:val="000000" w:themeColor="text1"/>
          <w:vertAlign w:val="subscript"/>
        </w:rPr>
        <w:t>n</w:t>
      </w:r>
      <w:r w:rsidRPr="008A2411">
        <w:rPr>
          <w:rFonts w:ascii="Times New Roman"/>
          <w:bCs/>
          <w:color w:val="000000" w:themeColor="text1"/>
        </w:rPr>
        <w:t>/Q</w:t>
      </w:r>
      <w:r w:rsidRPr="008A2411">
        <w:rPr>
          <w:rFonts w:ascii="Times New Roman"/>
          <w:bCs/>
          <w:color w:val="000000" w:themeColor="text1"/>
          <w:vertAlign w:val="subscript"/>
        </w:rPr>
        <w:t>n</w:t>
      </w:r>
    </w:p>
    <w:p w14:paraId="6D7D441C" w14:textId="77777777" w:rsidR="00B0005F" w:rsidRPr="008A2411" w:rsidRDefault="00000000">
      <w:pPr>
        <w:pStyle w:val="-5"/>
        <w:ind w:firstLine="464"/>
        <w:rPr>
          <w:rFonts w:ascii="Times New Roman"/>
          <w:bCs/>
          <w:color w:val="000000" w:themeColor="text1"/>
          <w:spacing w:val="-4"/>
        </w:rPr>
      </w:pPr>
      <w:r w:rsidRPr="008A2411">
        <w:rPr>
          <w:rFonts w:ascii="Times New Roman"/>
          <w:bCs/>
          <w:color w:val="000000" w:themeColor="text1"/>
          <w:spacing w:val="-4"/>
        </w:rPr>
        <w:t>式中：</w:t>
      </w:r>
      <w:r w:rsidRPr="008A2411">
        <w:rPr>
          <w:rFonts w:ascii="Times New Roman"/>
          <w:bCs/>
          <w:color w:val="000000" w:themeColor="text1"/>
          <w:spacing w:val="-4"/>
        </w:rPr>
        <w:t>q</w:t>
      </w:r>
      <w:r w:rsidRPr="008A2411">
        <w:rPr>
          <w:rFonts w:ascii="Times New Roman"/>
          <w:bCs/>
          <w:color w:val="000000" w:themeColor="text1"/>
          <w:spacing w:val="-4"/>
          <w:vertAlign w:val="subscript"/>
        </w:rPr>
        <w:t>1</w:t>
      </w:r>
      <w:r w:rsidRPr="008A2411">
        <w:rPr>
          <w:rFonts w:ascii="Times New Roman"/>
          <w:bCs/>
          <w:color w:val="000000" w:themeColor="text1"/>
          <w:spacing w:val="-4"/>
        </w:rPr>
        <w:t>，</w:t>
      </w:r>
      <w:r w:rsidRPr="008A2411">
        <w:rPr>
          <w:rFonts w:ascii="Times New Roman"/>
          <w:bCs/>
          <w:color w:val="000000" w:themeColor="text1"/>
          <w:spacing w:val="-4"/>
        </w:rPr>
        <w:t>q</w:t>
      </w:r>
      <w:r w:rsidRPr="008A2411">
        <w:rPr>
          <w:rFonts w:ascii="Times New Roman"/>
          <w:bCs/>
          <w:color w:val="000000" w:themeColor="text1"/>
          <w:spacing w:val="-4"/>
          <w:vertAlign w:val="subscript"/>
        </w:rPr>
        <w:t>2</w:t>
      </w:r>
      <w:r w:rsidRPr="008A2411">
        <w:rPr>
          <w:rFonts w:ascii="Times New Roman"/>
          <w:bCs/>
          <w:color w:val="000000" w:themeColor="text1"/>
          <w:spacing w:val="-4"/>
        </w:rPr>
        <w:t>，</w:t>
      </w:r>
      <w:r w:rsidRPr="008A2411">
        <w:rPr>
          <w:rFonts w:ascii="Times New Roman"/>
          <w:bCs/>
          <w:color w:val="000000" w:themeColor="text1"/>
          <w:spacing w:val="-4"/>
        </w:rPr>
        <w:t>.</w:t>
      </w:r>
      <w:proofErr w:type="gramStart"/>
      <w:r w:rsidRPr="008A2411">
        <w:rPr>
          <w:rFonts w:ascii="Times New Roman"/>
          <w:bCs/>
          <w:color w:val="000000" w:themeColor="text1"/>
          <w:spacing w:val="-4"/>
        </w:rPr>
        <w:t>..</w:t>
      </w:r>
      <w:proofErr w:type="gramEnd"/>
      <w:r w:rsidRPr="008A2411">
        <w:rPr>
          <w:rFonts w:ascii="Times New Roman"/>
          <w:bCs/>
          <w:color w:val="000000" w:themeColor="text1"/>
          <w:spacing w:val="-4"/>
        </w:rPr>
        <w:t>，</w:t>
      </w:r>
      <w:r w:rsidRPr="008A2411">
        <w:rPr>
          <w:rFonts w:ascii="Times New Roman"/>
          <w:bCs/>
          <w:color w:val="000000" w:themeColor="text1"/>
          <w:spacing w:val="-4"/>
        </w:rPr>
        <w:t>q</w:t>
      </w:r>
      <w:r w:rsidRPr="008A2411">
        <w:rPr>
          <w:rFonts w:ascii="Times New Roman"/>
          <w:bCs/>
          <w:color w:val="000000" w:themeColor="text1"/>
          <w:spacing w:val="-4"/>
          <w:vertAlign w:val="subscript"/>
        </w:rPr>
        <w:t>n</w:t>
      </w:r>
      <w:r w:rsidRPr="008A2411">
        <w:rPr>
          <w:rFonts w:ascii="Times New Roman"/>
          <w:bCs/>
          <w:color w:val="000000" w:themeColor="text1"/>
          <w:spacing w:val="-4"/>
        </w:rPr>
        <w:t>——</w:t>
      </w:r>
      <w:r w:rsidRPr="008A2411">
        <w:rPr>
          <w:rFonts w:ascii="Times New Roman"/>
          <w:bCs/>
          <w:color w:val="000000" w:themeColor="text1"/>
          <w:spacing w:val="-4"/>
        </w:rPr>
        <w:t>每种风险物质的存在量，</w:t>
      </w:r>
      <w:r w:rsidRPr="008A2411">
        <w:rPr>
          <w:rFonts w:ascii="Times New Roman"/>
          <w:bCs/>
          <w:color w:val="000000" w:themeColor="text1"/>
          <w:spacing w:val="-4"/>
        </w:rPr>
        <w:t>t</w:t>
      </w:r>
      <w:r w:rsidRPr="008A2411">
        <w:rPr>
          <w:rFonts w:ascii="Times New Roman"/>
          <w:bCs/>
          <w:color w:val="000000" w:themeColor="text1"/>
          <w:spacing w:val="-4"/>
        </w:rPr>
        <w:t>；</w:t>
      </w:r>
    </w:p>
    <w:p w14:paraId="79AAE9F8" w14:textId="77777777" w:rsidR="00B0005F" w:rsidRPr="008A2411" w:rsidRDefault="00000000">
      <w:pPr>
        <w:pStyle w:val="-5"/>
        <w:ind w:firstLineChars="450" w:firstLine="1080"/>
        <w:rPr>
          <w:rFonts w:ascii="Times New Roman"/>
          <w:bCs/>
          <w:color w:val="000000" w:themeColor="text1"/>
        </w:rPr>
      </w:pPr>
      <w:r w:rsidRPr="008A2411">
        <w:rPr>
          <w:rFonts w:ascii="Times New Roman"/>
          <w:bCs/>
          <w:color w:val="000000" w:themeColor="text1"/>
        </w:rPr>
        <w:t>Q</w:t>
      </w:r>
      <w:r w:rsidRPr="008A2411">
        <w:rPr>
          <w:rFonts w:ascii="Times New Roman"/>
          <w:bCs/>
          <w:color w:val="000000" w:themeColor="text1"/>
          <w:vertAlign w:val="subscript"/>
        </w:rPr>
        <w:t>1</w:t>
      </w:r>
      <w:r w:rsidRPr="008A2411">
        <w:rPr>
          <w:rFonts w:ascii="Times New Roman"/>
          <w:bCs/>
          <w:color w:val="000000" w:themeColor="text1"/>
        </w:rPr>
        <w:t>，</w:t>
      </w:r>
      <w:r w:rsidRPr="008A2411">
        <w:rPr>
          <w:rFonts w:ascii="Times New Roman"/>
          <w:bCs/>
          <w:color w:val="000000" w:themeColor="text1"/>
        </w:rPr>
        <w:t>Q</w:t>
      </w:r>
      <w:r w:rsidRPr="008A2411">
        <w:rPr>
          <w:rFonts w:ascii="Times New Roman"/>
          <w:bCs/>
          <w:color w:val="000000" w:themeColor="text1"/>
          <w:vertAlign w:val="subscript"/>
        </w:rPr>
        <w:t>2</w:t>
      </w:r>
      <w:r w:rsidRPr="008A2411">
        <w:rPr>
          <w:rFonts w:ascii="Times New Roman"/>
          <w:bCs/>
          <w:color w:val="000000" w:themeColor="text1"/>
        </w:rPr>
        <w:t>，</w:t>
      </w:r>
      <w:r w:rsidRPr="008A2411">
        <w:rPr>
          <w:rFonts w:ascii="Times New Roman"/>
          <w:bCs/>
          <w:color w:val="000000" w:themeColor="text1"/>
        </w:rPr>
        <w:t>.</w:t>
      </w:r>
      <w:proofErr w:type="gramStart"/>
      <w:r w:rsidRPr="008A2411">
        <w:rPr>
          <w:rFonts w:ascii="Times New Roman"/>
          <w:bCs/>
          <w:color w:val="000000" w:themeColor="text1"/>
        </w:rPr>
        <w:t>..</w:t>
      </w:r>
      <w:proofErr w:type="gramEnd"/>
      <w:r w:rsidRPr="008A2411">
        <w:rPr>
          <w:rFonts w:ascii="Times New Roman"/>
          <w:bCs/>
          <w:color w:val="000000" w:themeColor="text1"/>
        </w:rPr>
        <w:t>，</w:t>
      </w:r>
      <w:r w:rsidRPr="008A2411">
        <w:rPr>
          <w:rFonts w:ascii="Times New Roman"/>
          <w:bCs/>
          <w:color w:val="000000" w:themeColor="text1"/>
        </w:rPr>
        <w:t>Q</w:t>
      </w:r>
      <w:r w:rsidRPr="008A2411">
        <w:rPr>
          <w:rFonts w:ascii="Times New Roman"/>
          <w:bCs/>
          <w:color w:val="000000" w:themeColor="text1"/>
          <w:vertAlign w:val="subscript"/>
        </w:rPr>
        <w:t>n</w:t>
      </w:r>
      <w:r w:rsidRPr="008A2411">
        <w:rPr>
          <w:rFonts w:ascii="Times New Roman"/>
          <w:bCs/>
          <w:color w:val="000000" w:themeColor="text1"/>
        </w:rPr>
        <w:t>——</w:t>
      </w:r>
      <w:r w:rsidRPr="008A2411">
        <w:rPr>
          <w:rFonts w:ascii="Times New Roman"/>
          <w:bCs/>
          <w:color w:val="000000" w:themeColor="text1"/>
        </w:rPr>
        <w:t>每种风险物质的临界量，</w:t>
      </w:r>
      <w:r w:rsidRPr="008A2411">
        <w:rPr>
          <w:rFonts w:ascii="Times New Roman"/>
          <w:bCs/>
          <w:color w:val="000000" w:themeColor="text1"/>
        </w:rPr>
        <w:t>t</w:t>
      </w:r>
      <w:r w:rsidRPr="008A2411">
        <w:rPr>
          <w:rFonts w:ascii="Times New Roman"/>
          <w:bCs/>
          <w:color w:val="000000" w:themeColor="text1"/>
        </w:rPr>
        <w:t>。</w:t>
      </w:r>
    </w:p>
    <w:p w14:paraId="2CDEBC6A" w14:textId="77777777" w:rsidR="00B0005F" w:rsidRPr="008A2411" w:rsidRDefault="00000000">
      <w:pPr>
        <w:pStyle w:val="-5"/>
        <w:ind w:firstLine="480"/>
        <w:rPr>
          <w:rFonts w:ascii="Times New Roman"/>
          <w:bCs/>
          <w:snapToGrid w:val="0"/>
          <w:color w:val="000000" w:themeColor="text1"/>
        </w:rPr>
      </w:pPr>
      <w:r w:rsidRPr="008A2411">
        <w:rPr>
          <w:rFonts w:ascii="Times New Roman"/>
          <w:bCs/>
          <w:snapToGrid w:val="0"/>
          <w:color w:val="000000" w:themeColor="text1"/>
        </w:rPr>
        <w:lastRenderedPageBreak/>
        <w:t>当</w:t>
      </w:r>
      <w:r w:rsidRPr="008A2411">
        <w:rPr>
          <w:rFonts w:ascii="Times New Roman"/>
          <w:bCs/>
          <w:snapToGrid w:val="0"/>
          <w:color w:val="000000" w:themeColor="text1"/>
        </w:rPr>
        <w:t>Q</w:t>
      </w:r>
      <w:r w:rsidRPr="008A2411">
        <w:rPr>
          <w:rFonts w:ascii="Times New Roman"/>
          <w:bCs/>
          <w:snapToGrid w:val="0"/>
          <w:color w:val="000000" w:themeColor="text1"/>
        </w:rPr>
        <w:t>＜</w:t>
      </w:r>
      <w:r w:rsidRPr="008A2411">
        <w:rPr>
          <w:rFonts w:ascii="Times New Roman"/>
          <w:bCs/>
          <w:snapToGrid w:val="0"/>
          <w:color w:val="000000" w:themeColor="text1"/>
        </w:rPr>
        <w:t>1</w:t>
      </w:r>
      <w:r w:rsidRPr="008A2411">
        <w:rPr>
          <w:rFonts w:ascii="Times New Roman"/>
          <w:bCs/>
          <w:snapToGrid w:val="0"/>
          <w:color w:val="000000" w:themeColor="text1"/>
        </w:rPr>
        <w:t>时，本项目环境风险潜势为</w:t>
      </w:r>
      <w:r w:rsidRPr="008A2411">
        <w:rPr>
          <w:rFonts w:ascii="Times New Roman"/>
          <w:bCs/>
          <w:snapToGrid w:val="0"/>
          <w:color w:val="000000" w:themeColor="text1"/>
        </w:rPr>
        <w:t>Ⅰ</w:t>
      </w:r>
      <w:r w:rsidRPr="008A2411">
        <w:rPr>
          <w:rFonts w:ascii="Times New Roman"/>
          <w:bCs/>
          <w:snapToGrid w:val="0"/>
          <w:color w:val="000000" w:themeColor="text1"/>
        </w:rPr>
        <w:t>级。</w:t>
      </w:r>
    </w:p>
    <w:p w14:paraId="77EF08F1" w14:textId="77777777" w:rsidR="00B0005F" w:rsidRPr="008A2411" w:rsidRDefault="00000000">
      <w:pPr>
        <w:adjustRightInd w:val="0"/>
        <w:spacing w:line="360" w:lineRule="auto"/>
        <w:ind w:firstLineChars="200" w:firstLine="480"/>
        <w:rPr>
          <w:rFonts w:ascii="Times New Roman"/>
          <w:bCs/>
          <w:color w:val="000000" w:themeColor="text1"/>
          <w:lang w:val="zh-CN"/>
        </w:rPr>
      </w:pPr>
      <w:r w:rsidRPr="008A2411">
        <w:rPr>
          <w:rFonts w:ascii="Times New Roman"/>
          <w:bCs/>
          <w:color w:val="000000" w:themeColor="text1"/>
          <w:lang w:val="zh-CN"/>
        </w:rPr>
        <w:t>当</w:t>
      </w:r>
      <w:r w:rsidRPr="008A2411">
        <w:rPr>
          <w:rFonts w:ascii="Times New Roman"/>
          <w:bCs/>
          <w:color w:val="000000" w:themeColor="text1"/>
          <w:lang w:val="zh-CN"/>
        </w:rPr>
        <w:t>Q≥1</w:t>
      </w:r>
      <w:r w:rsidRPr="008A2411">
        <w:rPr>
          <w:rFonts w:ascii="Times New Roman"/>
          <w:bCs/>
          <w:color w:val="000000" w:themeColor="text1"/>
          <w:lang w:val="zh-CN"/>
        </w:rPr>
        <w:t>时，将</w:t>
      </w:r>
      <w:r w:rsidRPr="008A2411">
        <w:rPr>
          <w:rFonts w:ascii="Times New Roman"/>
          <w:bCs/>
          <w:color w:val="000000" w:themeColor="text1"/>
          <w:lang w:val="zh-CN"/>
        </w:rPr>
        <w:t>Q</w:t>
      </w:r>
      <w:r w:rsidRPr="008A2411">
        <w:rPr>
          <w:rFonts w:ascii="Times New Roman"/>
          <w:bCs/>
          <w:color w:val="000000" w:themeColor="text1"/>
          <w:lang w:val="zh-CN"/>
        </w:rPr>
        <w:t>值划分为：（</w:t>
      </w:r>
      <w:r w:rsidRPr="008A2411">
        <w:rPr>
          <w:rFonts w:ascii="Times New Roman"/>
          <w:bCs/>
          <w:color w:val="000000" w:themeColor="text1"/>
          <w:lang w:val="zh-CN"/>
        </w:rPr>
        <w:t>1</w:t>
      </w:r>
      <w:r w:rsidRPr="008A2411">
        <w:rPr>
          <w:rFonts w:ascii="Times New Roman"/>
          <w:bCs/>
          <w:color w:val="000000" w:themeColor="text1"/>
          <w:lang w:val="zh-CN"/>
        </w:rPr>
        <w:t>）</w:t>
      </w:r>
      <w:r w:rsidRPr="008A2411">
        <w:rPr>
          <w:rFonts w:ascii="Times New Roman"/>
          <w:bCs/>
          <w:color w:val="000000" w:themeColor="text1"/>
          <w:lang w:val="zh-CN"/>
        </w:rPr>
        <w:t>1≤Q</w:t>
      </w:r>
      <w:r w:rsidRPr="008A2411">
        <w:rPr>
          <w:rFonts w:ascii="Times New Roman"/>
          <w:bCs/>
          <w:color w:val="000000" w:themeColor="text1"/>
          <w:lang w:val="zh-CN"/>
        </w:rPr>
        <w:t>＜</w:t>
      </w:r>
      <w:r w:rsidRPr="008A2411">
        <w:rPr>
          <w:rFonts w:ascii="Times New Roman"/>
          <w:bCs/>
          <w:color w:val="000000" w:themeColor="text1"/>
          <w:lang w:val="zh-CN"/>
        </w:rPr>
        <w:t>10</w:t>
      </w:r>
      <w:r w:rsidRPr="008A2411">
        <w:rPr>
          <w:rFonts w:ascii="Times New Roman"/>
          <w:bCs/>
          <w:color w:val="000000" w:themeColor="text1"/>
          <w:lang w:val="zh-CN"/>
        </w:rPr>
        <w:t>；（</w:t>
      </w:r>
      <w:r w:rsidRPr="008A2411">
        <w:rPr>
          <w:rFonts w:ascii="Times New Roman"/>
          <w:bCs/>
          <w:color w:val="000000" w:themeColor="text1"/>
          <w:lang w:val="zh-CN"/>
        </w:rPr>
        <w:t>2</w:t>
      </w:r>
      <w:r w:rsidRPr="008A2411">
        <w:rPr>
          <w:rFonts w:ascii="Times New Roman"/>
          <w:bCs/>
          <w:color w:val="000000" w:themeColor="text1"/>
          <w:lang w:val="zh-CN"/>
        </w:rPr>
        <w:t>）</w:t>
      </w:r>
      <w:r w:rsidRPr="008A2411">
        <w:rPr>
          <w:rFonts w:ascii="Times New Roman"/>
          <w:bCs/>
          <w:color w:val="000000" w:themeColor="text1"/>
          <w:lang w:val="zh-CN"/>
        </w:rPr>
        <w:t>10≤Q</w:t>
      </w:r>
      <w:r w:rsidRPr="008A2411">
        <w:rPr>
          <w:rFonts w:ascii="Times New Roman"/>
          <w:bCs/>
          <w:color w:val="000000" w:themeColor="text1"/>
          <w:lang w:val="zh-CN"/>
        </w:rPr>
        <w:t>＜</w:t>
      </w:r>
      <w:r w:rsidRPr="008A2411">
        <w:rPr>
          <w:rFonts w:ascii="Times New Roman"/>
          <w:bCs/>
          <w:color w:val="000000" w:themeColor="text1"/>
          <w:lang w:val="zh-CN"/>
        </w:rPr>
        <w:t>100</w:t>
      </w:r>
      <w:r w:rsidRPr="008A2411">
        <w:rPr>
          <w:rFonts w:ascii="Times New Roman"/>
          <w:bCs/>
          <w:color w:val="000000" w:themeColor="text1"/>
          <w:lang w:val="zh-CN"/>
        </w:rPr>
        <w:t>；（</w:t>
      </w:r>
      <w:r w:rsidRPr="008A2411">
        <w:rPr>
          <w:rFonts w:ascii="Times New Roman"/>
          <w:bCs/>
          <w:color w:val="000000" w:themeColor="text1"/>
          <w:lang w:val="zh-CN"/>
        </w:rPr>
        <w:t>3</w:t>
      </w:r>
      <w:r w:rsidRPr="008A2411">
        <w:rPr>
          <w:rFonts w:ascii="Times New Roman"/>
          <w:bCs/>
          <w:color w:val="000000" w:themeColor="text1"/>
          <w:lang w:val="zh-CN"/>
        </w:rPr>
        <w:t>）</w:t>
      </w:r>
      <w:r w:rsidRPr="008A2411">
        <w:rPr>
          <w:rFonts w:ascii="Times New Roman"/>
          <w:bCs/>
          <w:color w:val="000000" w:themeColor="text1"/>
          <w:lang w:val="zh-CN"/>
        </w:rPr>
        <w:t>Q≥100</w:t>
      </w:r>
      <w:r w:rsidRPr="008A2411">
        <w:rPr>
          <w:rFonts w:ascii="Times New Roman"/>
          <w:bCs/>
          <w:color w:val="000000" w:themeColor="text1"/>
          <w:lang w:val="zh-CN"/>
        </w:rPr>
        <w:t>。</w:t>
      </w:r>
    </w:p>
    <w:p w14:paraId="28370EF9" w14:textId="63107F04" w:rsidR="00B0005F" w:rsidRPr="008A2411" w:rsidRDefault="00000000">
      <w:pPr>
        <w:adjustRightInd w:val="0"/>
        <w:spacing w:line="360" w:lineRule="auto"/>
        <w:ind w:firstLineChars="200" w:firstLine="480"/>
        <w:rPr>
          <w:rFonts w:ascii="Times New Roman"/>
          <w:bCs/>
          <w:color w:val="000000" w:themeColor="text1"/>
        </w:rPr>
      </w:pPr>
      <w:r w:rsidRPr="008A2411">
        <w:rPr>
          <w:rFonts w:ascii="Times New Roman"/>
          <w:bCs/>
          <w:color w:val="000000" w:themeColor="text1"/>
        </w:rPr>
        <w:t>根据《建设项目环境风险评价技术导则》（</w:t>
      </w:r>
      <w:r w:rsidRPr="008A2411">
        <w:rPr>
          <w:rFonts w:ascii="Times New Roman"/>
          <w:bCs/>
          <w:color w:val="000000" w:themeColor="text1"/>
        </w:rPr>
        <w:t>HJ/T 169-2018</w:t>
      </w:r>
      <w:r w:rsidRPr="008A2411">
        <w:rPr>
          <w:rFonts w:ascii="Times New Roman"/>
          <w:bCs/>
          <w:color w:val="000000" w:themeColor="text1"/>
        </w:rPr>
        <w:t>）附录</w:t>
      </w:r>
      <w:r w:rsidRPr="008A2411">
        <w:rPr>
          <w:rFonts w:ascii="Times New Roman"/>
          <w:bCs/>
          <w:color w:val="000000" w:themeColor="text1"/>
        </w:rPr>
        <w:t>B</w:t>
      </w:r>
      <w:r w:rsidRPr="008A2411">
        <w:rPr>
          <w:rFonts w:ascii="Times New Roman"/>
          <w:bCs/>
          <w:color w:val="000000" w:themeColor="text1"/>
        </w:rPr>
        <w:t>，甲烷、导热油</w:t>
      </w:r>
      <w:r w:rsidR="009340DD">
        <w:rPr>
          <w:rFonts w:ascii="Times New Roman" w:hint="eastAsia"/>
          <w:bCs/>
          <w:color w:val="000000" w:themeColor="text1"/>
        </w:rPr>
        <w:t>、丙烷</w:t>
      </w:r>
      <w:r w:rsidR="00466772">
        <w:rPr>
          <w:rFonts w:ascii="Times New Roman" w:hint="eastAsia"/>
          <w:bCs/>
          <w:color w:val="000000" w:themeColor="text1"/>
        </w:rPr>
        <w:t>、乙烯、异戊烷</w:t>
      </w:r>
      <w:r w:rsidRPr="008A2411">
        <w:rPr>
          <w:rFonts w:ascii="Times New Roman"/>
          <w:bCs/>
          <w:color w:val="000000" w:themeColor="text1"/>
        </w:rPr>
        <w:t>属于突发环境事件风险物质，</w:t>
      </w:r>
      <w:r w:rsidRPr="008A2411">
        <w:rPr>
          <w:rFonts w:ascii="Times New Roman"/>
          <w:bCs/>
          <w:color w:val="000000" w:themeColor="text1"/>
        </w:rPr>
        <w:t>CAS</w:t>
      </w:r>
      <w:r w:rsidRPr="008A2411">
        <w:rPr>
          <w:rFonts w:ascii="Times New Roman"/>
          <w:bCs/>
          <w:color w:val="000000" w:themeColor="text1"/>
        </w:rPr>
        <w:t>号分别为</w:t>
      </w:r>
      <w:r w:rsidRPr="008A2411">
        <w:rPr>
          <w:rFonts w:ascii="Times New Roman"/>
          <w:bCs/>
          <w:color w:val="000000" w:themeColor="text1"/>
        </w:rPr>
        <w:t>74-82-8</w:t>
      </w:r>
      <w:r w:rsidRPr="008A2411">
        <w:rPr>
          <w:rFonts w:ascii="Times New Roman"/>
          <w:bCs/>
          <w:color w:val="000000" w:themeColor="text1"/>
        </w:rPr>
        <w:t>、</w:t>
      </w:r>
      <w:r w:rsidRPr="008A2411">
        <w:rPr>
          <w:rFonts w:ascii="Times New Roman"/>
          <w:bCs/>
          <w:color w:val="000000" w:themeColor="text1"/>
        </w:rPr>
        <w:t>/</w:t>
      </w:r>
      <w:r w:rsidR="009340DD">
        <w:rPr>
          <w:rFonts w:ascii="Times New Roman" w:hint="eastAsia"/>
          <w:bCs/>
          <w:color w:val="000000" w:themeColor="text1"/>
        </w:rPr>
        <w:t>、</w:t>
      </w:r>
      <w:r w:rsidR="009340DD">
        <w:t>74-98-6</w:t>
      </w:r>
      <w:r w:rsidR="009340DD">
        <w:rPr>
          <w:rFonts w:hint="eastAsia"/>
        </w:rPr>
        <w:t>、</w:t>
      </w:r>
      <w:r w:rsidR="009340DD">
        <w:t>74-85-1</w:t>
      </w:r>
      <w:r w:rsidR="009340DD">
        <w:rPr>
          <w:rFonts w:hint="eastAsia"/>
        </w:rPr>
        <w:t>、</w:t>
      </w:r>
      <w:r w:rsidR="00466772">
        <w:rPr>
          <w:rFonts w:hint="eastAsia"/>
        </w:rPr>
        <w:t>/</w:t>
      </w:r>
      <w:r w:rsidRPr="008A2411">
        <w:rPr>
          <w:rFonts w:ascii="Times New Roman"/>
          <w:bCs/>
          <w:color w:val="000000" w:themeColor="text1"/>
        </w:rPr>
        <w:t>，其临界量分别为</w:t>
      </w:r>
      <w:r w:rsidRPr="008A2411">
        <w:rPr>
          <w:rFonts w:ascii="Times New Roman"/>
          <w:bCs/>
          <w:color w:val="000000" w:themeColor="text1"/>
        </w:rPr>
        <w:t>10t</w:t>
      </w:r>
      <w:r w:rsidRPr="008A2411">
        <w:rPr>
          <w:rFonts w:ascii="Times New Roman"/>
          <w:bCs/>
          <w:color w:val="000000" w:themeColor="text1"/>
        </w:rPr>
        <w:t>、</w:t>
      </w:r>
      <w:r w:rsidRPr="008A2411">
        <w:rPr>
          <w:rFonts w:ascii="Times New Roman"/>
          <w:bCs/>
          <w:color w:val="000000" w:themeColor="text1"/>
        </w:rPr>
        <w:t>2500t</w:t>
      </w:r>
      <w:r w:rsidR="00466772">
        <w:rPr>
          <w:rFonts w:ascii="Times New Roman" w:hint="eastAsia"/>
          <w:bCs/>
          <w:color w:val="000000" w:themeColor="text1"/>
        </w:rPr>
        <w:t>、</w:t>
      </w:r>
      <w:r w:rsidR="00466772" w:rsidRPr="008A2411">
        <w:rPr>
          <w:rFonts w:ascii="Times New Roman"/>
          <w:bCs/>
          <w:color w:val="000000" w:themeColor="text1"/>
        </w:rPr>
        <w:t>10t</w:t>
      </w:r>
      <w:r w:rsidR="00466772" w:rsidRPr="008A2411">
        <w:rPr>
          <w:rFonts w:ascii="Times New Roman"/>
          <w:bCs/>
          <w:color w:val="000000" w:themeColor="text1"/>
        </w:rPr>
        <w:t>、</w:t>
      </w:r>
      <w:r w:rsidR="00466772" w:rsidRPr="008A2411">
        <w:rPr>
          <w:rFonts w:ascii="Times New Roman"/>
          <w:bCs/>
          <w:color w:val="000000" w:themeColor="text1"/>
        </w:rPr>
        <w:t>10t</w:t>
      </w:r>
      <w:r w:rsidRPr="008A2411">
        <w:rPr>
          <w:rFonts w:ascii="Times New Roman"/>
          <w:bCs/>
          <w:color w:val="000000" w:themeColor="text1"/>
        </w:rPr>
        <w:t>；</w:t>
      </w:r>
      <w:r w:rsidRPr="008A2411">
        <w:rPr>
          <w:rFonts w:ascii="Times New Roman"/>
          <w:bCs/>
          <w:color w:val="000000" w:themeColor="text1"/>
          <w:lang w:val="zh-CN"/>
        </w:rPr>
        <w:t>根据计算，本项目涉及的危险物质于临界量比值见表</w:t>
      </w:r>
      <w:r w:rsidRPr="008A2411">
        <w:rPr>
          <w:rFonts w:ascii="Times New Roman"/>
          <w:bCs/>
          <w:color w:val="000000" w:themeColor="text1"/>
        </w:rPr>
        <w:t>6.3-2</w:t>
      </w:r>
      <w:r w:rsidRPr="008A2411">
        <w:rPr>
          <w:rFonts w:ascii="Times New Roman"/>
          <w:bCs/>
          <w:color w:val="000000" w:themeColor="text1"/>
          <w:lang w:val="zh-CN"/>
        </w:rPr>
        <w:t>。</w:t>
      </w:r>
    </w:p>
    <w:p w14:paraId="14212EB4" w14:textId="77777777" w:rsidR="00B0005F" w:rsidRPr="008A2411" w:rsidRDefault="00000000">
      <w:pPr>
        <w:pStyle w:val="afffffff9"/>
        <w:spacing w:line="240" w:lineRule="auto"/>
        <w:ind w:firstLineChars="0" w:firstLine="0"/>
        <w:jc w:val="center"/>
        <w:rPr>
          <w:rFonts w:ascii="Times New Roman" w:eastAsia="黑体" w:hAnsi="Times New Roman"/>
          <w:bCs/>
          <w:color w:val="000000" w:themeColor="text1"/>
        </w:rPr>
      </w:pPr>
      <w:r w:rsidRPr="008A2411">
        <w:rPr>
          <w:rFonts w:ascii="Times New Roman" w:eastAsia="黑体" w:hAnsi="Times New Roman"/>
          <w:bCs/>
          <w:color w:val="000000" w:themeColor="text1"/>
        </w:rPr>
        <w:t>表</w:t>
      </w:r>
      <w:r w:rsidRPr="008A2411">
        <w:rPr>
          <w:rFonts w:ascii="Times New Roman" w:eastAsia="黑体" w:hAnsi="Times New Roman"/>
          <w:bCs/>
          <w:color w:val="000000" w:themeColor="text1"/>
        </w:rPr>
        <w:t xml:space="preserve">6.3-2  </w:t>
      </w:r>
      <w:r w:rsidRPr="008A2411">
        <w:rPr>
          <w:rFonts w:ascii="Times New Roman" w:eastAsia="黑体" w:hAnsi="Times New Roman"/>
          <w:bCs/>
          <w:color w:val="000000" w:themeColor="text1"/>
        </w:rPr>
        <w:t>危险物质数量与临界量比值表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2"/>
        <w:gridCol w:w="1723"/>
        <w:gridCol w:w="2057"/>
        <w:gridCol w:w="1960"/>
        <w:gridCol w:w="1960"/>
      </w:tblGrid>
      <w:tr w:rsidR="00466772" w:rsidRPr="008A2411" w14:paraId="74131643" w14:textId="77777777" w:rsidTr="00466772">
        <w:trPr>
          <w:jc w:val="center"/>
        </w:trPr>
        <w:tc>
          <w:tcPr>
            <w:tcW w:w="482" w:type="pct"/>
            <w:tcBorders>
              <w:top w:val="single" w:sz="4" w:space="0" w:color="auto"/>
              <w:left w:val="single" w:sz="4" w:space="0" w:color="auto"/>
              <w:bottom w:val="single" w:sz="4" w:space="0" w:color="auto"/>
              <w:right w:val="single" w:sz="4" w:space="0" w:color="auto"/>
            </w:tcBorders>
            <w:vAlign w:val="center"/>
          </w:tcPr>
          <w:p w14:paraId="58097D17" w14:textId="77777777" w:rsidR="00466772" w:rsidRPr="008A2411" w:rsidRDefault="00466772">
            <w:pPr>
              <w:jc w:val="center"/>
              <w:rPr>
                <w:rFonts w:ascii="Times New Roman"/>
                <w:bCs/>
                <w:color w:val="000000" w:themeColor="text1"/>
                <w:sz w:val="21"/>
                <w:szCs w:val="21"/>
              </w:rPr>
            </w:pPr>
            <w:r w:rsidRPr="008A2411">
              <w:rPr>
                <w:rFonts w:ascii="Times New Roman"/>
                <w:bCs/>
                <w:color w:val="000000" w:themeColor="text1"/>
                <w:sz w:val="21"/>
                <w:szCs w:val="21"/>
              </w:rPr>
              <w:t>序号</w:t>
            </w:r>
          </w:p>
        </w:tc>
        <w:tc>
          <w:tcPr>
            <w:tcW w:w="1011" w:type="pct"/>
            <w:tcBorders>
              <w:top w:val="single" w:sz="4" w:space="0" w:color="auto"/>
              <w:left w:val="single" w:sz="4" w:space="0" w:color="auto"/>
              <w:bottom w:val="single" w:sz="4" w:space="0" w:color="auto"/>
              <w:right w:val="single" w:sz="4" w:space="0" w:color="auto"/>
            </w:tcBorders>
            <w:vAlign w:val="center"/>
          </w:tcPr>
          <w:p w14:paraId="7F10C30D" w14:textId="77777777" w:rsidR="00466772" w:rsidRPr="008A2411" w:rsidRDefault="00466772">
            <w:pPr>
              <w:jc w:val="center"/>
              <w:rPr>
                <w:rFonts w:ascii="Times New Roman"/>
                <w:bCs/>
                <w:color w:val="000000" w:themeColor="text1"/>
                <w:sz w:val="21"/>
                <w:szCs w:val="21"/>
              </w:rPr>
            </w:pPr>
            <w:r w:rsidRPr="008A2411">
              <w:rPr>
                <w:rFonts w:ascii="Times New Roman"/>
                <w:bCs/>
                <w:color w:val="000000" w:themeColor="text1"/>
                <w:sz w:val="21"/>
                <w:szCs w:val="21"/>
              </w:rPr>
              <w:t>物质名称</w:t>
            </w:r>
          </w:p>
        </w:tc>
        <w:tc>
          <w:tcPr>
            <w:tcW w:w="1207" w:type="pct"/>
            <w:tcBorders>
              <w:top w:val="single" w:sz="4" w:space="0" w:color="auto"/>
              <w:left w:val="single" w:sz="4" w:space="0" w:color="auto"/>
              <w:bottom w:val="single" w:sz="4" w:space="0" w:color="auto"/>
              <w:right w:val="single" w:sz="4" w:space="0" w:color="auto"/>
            </w:tcBorders>
            <w:vAlign w:val="center"/>
          </w:tcPr>
          <w:p w14:paraId="4117D8E9" w14:textId="77777777" w:rsidR="00466772" w:rsidRPr="008A2411" w:rsidRDefault="00466772">
            <w:pPr>
              <w:jc w:val="center"/>
              <w:rPr>
                <w:rFonts w:ascii="Times New Roman"/>
                <w:bCs/>
                <w:color w:val="000000" w:themeColor="text1"/>
                <w:sz w:val="21"/>
                <w:szCs w:val="21"/>
              </w:rPr>
            </w:pPr>
            <w:r w:rsidRPr="008A2411">
              <w:rPr>
                <w:rFonts w:ascii="Times New Roman"/>
                <w:bCs/>
                <w:color w:val="000000" w:themeColor="text1"/>
                <w:sz w:val="21"/>
                <w:szCs w:val="21"/>
              </w:rPr>
              <w:t>最大储存量（</w:t>
            </w:r>
            <w:r w:rsidRPr="008A2411">
              <w:rPr>
                <w:rFonts w:ascii="Times New Roman"/>
                <w:bCs/>
                <w:color w:val="000000" w:themeColor="text1"/>
                <w:sz w:val="21"/>
                <w:szCs w:val="21"/>
              </w:rPr>
              <w:t>q</w:t>
            </w:r>
            <w:r w:rsidRPr="008A2411">
              <w:rPr>
                <w:rFonts w:ascii="Times New Roman"/>
                <w:bCs/>
                <w:color w:val="000000" w:themeColor="text1"/>
                <w:sz w:val="21"/>
                <w:szCs w:val="21"/>
              </w:rPr>
              <w:t>）</w:t>
            </w:r>
          </w:p>
        </w:tc>
        <w:tc>
          <w:tcPr>
            <w:tcW w:w="1150" w:type="pct"/>
            <w:tcBorders>
              <w:top w:val="single" w:sz="4" w:space="0" w:color="auto"/>
              <w:left w:val="single" w:sz="4" w:space="0" w:color="auto"/>
              <w:bottom w:val="single" w:sz="4" w:space="0" w:color="auto"/>
              <w:right w:val="single" w:sz="4" w:space="0" w:color="auto"/>
            </w:tcBorders>
            <w:vAlign w:val="center"/>
          </w:tcPr>
          <w:p w14:paraId="4AE940FB" w14:textId="77777777" w:rsidR="00466772" w:rsidRPr="008A2411" w:rsidRDefault="00466772">
            <w:pPr>
              <w:jc w:val="center"/>
              <w:rPr>
                <w:rFonts w:ascii="Times New Roman"/>
                <w:bCs/>
                <w:color w:val="000000" w:themeColor="text1"/>
                <w:sz w:val="21"/>
                <w:szCs w:val="21"/>
              </w:rPr>
            </w:pPr>
            <w:r w:rsidRPr="008A2411">
              <w:rPr>
                <w:rFonts w:ascii="Times New Roman"/>
                <w:bCs/>
                <w:color w:val="000000" w:themeColor="text1"/>
                <w:sz w:val="21"/>
                <w:szCs w:val="21"/>
              </w:rPr>
              <w:t>临界量（</w:t>
            </w:r>
            <w:r w:rsidRPr="008A2411">
              <w:rPr>
                <w:rFonts w:ascii="Times New Roman"/>
                <w:bCs/>
                <w:color w:val="000000" w:themeColor="text1"/>
                <w:sz w:val="21"/>
                <w:szCs w:val="21"/>
              </w:rPr>
              <w:t>Q</w:t>
            </w:r>
            <w:r w:rsidRPr="008A2411">
              <w:rPr>
                <w:rFonts w:ascii="Times New Roman"/>
                <w:bCs/>
                <w:color w:val="000000" w:themeColor="text1"/>
                <w:sz w:val="21"/>
                <w:szCs w:val="21"/>
              </w:rPr>
              <w:t>）</w:t>
            </w:r>
          </w:p>
        </w:tc>
        <w:tc>
          <w:tcPr>
            <w:tcW w:w="1150" w:type="pct"/>
            <w:tcBorders>
              <w:top w:val="single" w:sz="4" w:space="0" w:color="auto"/>
              <w:left w:val="single" w:sz="4" w:space="0" w:color="auto"/>
              <w:bottom w:val="single" w:sz="4" w:space="0" w:color="auto"/>
              <w:right w:val="single" w:sz="4" w:space="0" w:color="auto"/>
            </w:tcBorders>
            <w:vAlign w:val="center"/>
          </w:tcPr>
          <w:p w14:paraId="716EAAF5" w14:textId="77777777" w:rsidR="00466772" w:rsidRPr="008A2411" w:rsidRDefault="00466772">
            <w:pPr>
              <w:jc w:val="center"/>
              <w:rPr>
                <w:rFonts w:ascii="Times New Roman"/>
                <w:bCs/>
                <w:color w:val="000000" w:themeColor="text1"/>
                <w:sz w:val="21"/>
                <w:szCs w:val="21"/>
              </w:rPr>
            </w:pPr>
            <w:r w:rsidRPr="008A2411">
              <w:rPr>
                <w:rFonts w:ascii="Times New Roman"/>
                <w:bCs/>
                <w:color w:val="000000" w:themeColor="text1"/>
                <w:sz w:val="21"/>
                <w:szCs w:val="21"/>
              </w:rPr>
              <w:t>比值（</w:t>
            </w:r>
            <w:r w:rsidRPr="008A2411">
              <w:rPr>
                <w:rFonts w:ascii="Times New Roman"/>
                <w:bCs/>
                <w:color w:val="000000" w:themeColor="text1"/>
                <w:sz w:val="21"/>
                <w:szCs w:val="21"/>
              </w:rPr>
              <w:t>Q</w:t>
            </w:r>
            <w:r w:rsidRPr="008A2411">
              <w:rPr>
                <w:rFonts w:ascii="Times New Roman"/>
                <w:bCs/>
                <w:color w:val="000000" w:themeColor="text1"/>
                <w:sz w:val="21"/>
                <w:szCs w:val="21"/>
              </w:rPr>
              <w:t>）</w:t>
            </w:r>
          </w:p>
        </w:tc>
      </w:tr>
      <w:tr w:rsidR="00466772" w:rsidRPr="008A2411" w14:paraId="6EAAA8D8" w14:textId="77777777" w:rsidTr="00466772">
        <w:trPr>
          <w:jc w:val="center"/>
        </w:trPr>
        <w:tc>
          <w:tcPr>
            <w:tcW w:w="482" w:type="pct"/>
            <w:tcBorders>
              <w:top w:val="single" w:sz="4" w:space="0" w:color="auto"/>
              <w:left w:val="single" w:sz="4" w:space="0" w:color="auto"/>
              <w:bottom w:val="single" w:sz="4" w:space="0" w:color="auto"/>
              <w:right w:val="single" w:sz="4" w:space="0" w:color="auto"/>
            </w:tcBorders>
            <w:vAlign w:val="center"/>
          </w:tcPr>
          <w:p w14:paraId="1B49EDF2" w14:textId="77777777" w:rsidR="00466772" w:rsidRPr="008A2411" w:rsidRDefault="00466772">
            <w:pPr>
              <w:jc w:val="center"/>
              <w:rPr>
                <w:rFonts w:ascii="Times New Roman"/>
                <w:bCs/>
                <w:color w:val="000000" w:themeColor="text1"/>
                <w:sz w:val="21"/>
                <w:szCs w:val="21"/>
              </w:rPr>
            </w:pPr>
            <w:r w:rsidRPr="008A2411">
              <w:rPr>
                <w:rFonts w:ascii="Times New Roman"/>
                <w:bCs/>
                <w:color w:val="000000" w:themeColor="text1"/>
                <w:sz w:val="21"/>
                <w:szCs w:val="21"/>
              </w:rPr>
              <w:t>1</w:t>
            </w:r>
          </w:p>
        </w:tc>
        <w:tc>
          <w:tcPr>
            <w:tcW w:w="1011" w:type="pct"/>
            <w:tcBorders>
              <w:top w:val="single" w:sz="4" w:space="0" w:color="auto"/>
              <w:left w:val="single" w:sz="4" w:space="0" w:color="auto"/>
              <w:bottom w:val="single" w:sz="4" w:space="0" w:color="auto"/>
              <w:right w:val="single" w:sz="4" w:space="0" w:color="auto"/>
            </w:tcBorders>
            <w:vAlign w:val="center"/>
          </w:tcPr>
          <w:p w14:paraId="7E3A1C13" w14:textId="77777777" w:rsidR="00466772" w:rsidRPr="008A2411" w:rsidRDefault="00466772">
            <w:pPr>
              <w:jc w:val="center"/>
              <w:rPr>
                <w:rFonts w:ascii="Times New Roman"/>
                <w:bCs/>
                <w:color w:val="000000" w:themeColor="text1"/>
                <w:sz w:val="21"/>
                <w:szCs w:val="21"/>
              </w:rPr>
            </w:pPr>
            <w:r w:rsidRPr="008A2411">
              <w:rPr>
                <w:rFonts w:ascii="Times New Roman"/>
                <w:bCs/>
                <w:color w:val="000000" w:themeColor="text1"/>
                <w:sz w:val="21"/>
                <w:szCs w:val="21"/>
              </w:rPr>
              <w:t>甲烷</w:t>
            </w:r>
          </w:p>
        </w:tc>
        <w:tc>
          <w:tcPr>
            <w:tcW w:w="1207" w:type="pct"/>
            <w:tcBorders>
              <w:top w:val="single" w:sz="4" w:space="0" w:color="auto"/>
              <w:left w:val="single" w:sz="4" w:space="0" w:color="auto"/>
              <w:bottom w:val="single" w:sz="4" w:space="0" w:color="auto"/>
              <w:right w:val="single" w:sz="4" w:space="0" w:color="auto"/>
            </w:tcBorders>
            <w:vAlign w:val="center"/>
          </w:tcPr>
          <w:p w14:paraId="165409D4" w14:textId="77777777" w:rsidR="00466772" w:rsidRPr="008A2411" w:rsidRDefault="00466772">
            <w:pPr>
              <w:jc w:val="center"/>
              <w:rPr>
                <w:rFonts w:ascii="Times New Roman"/>
                <w:bCs/>
                <w:color w:val="000000" w:themeColor="text1"/>
                <w:sz w:val="21"/>
                <w:szCs w:val="21"/>
              </w:rPr>
            </w:pPr>
            <w:r w:rsidRPr="008A2411">
              <w:rPr>
                <w:rFonts w:ascii="Times New Roman"/>
                <w:bCs/>
                <w:color w:val="000000" w:themeColor="text1"/>
                <w:sz w:val="21"/>
                <w:szCs w:val="21"/>
              </w:rPr>
              <w:t>8530t</w:t>
            </w:r>
          </w:p>
        </w:tc>
        <w:tc>
          <w:tcPr>
            <w:tcW w:w="1150" w:type="pct"/>
            <w:tcBorders>
              <w:top w:val="single" w:sz="4" w:space="0" w:color="auto"/>
              <w:left w:val="single" w:sz="4" w:space="0" w:color="auto"/>
              <w:bottom w:val="single" w:sz="4" w:space="0" w:color="auto"/>
              <w:right w:val="single" w:sz="4" w:space="0" w:color="auto"/>
            </w:tcBorders>
            <w:vAlign w:val="center"/>
          </w:tcPr>
          <w:p w14:paraId="5F104CED" w14:textId="77777777" w:rsidR="00466772" w:rsidRPr="008A2411" w:rsidRDefault="00466772">
            <w:pPr>
              <w:jc w:val="center"/>
              <w:rPr>
                <w:rFonts w:ascii="Times New Roman"/>
                <w:bCs/>
                <w:color w:val="000000" w:themeColor="text1"/>
                <w:sz w:val="21"/>
                <w:szCs w:val="21"/>
              </w:rPr>
            </w:pPr>
            <w:r w:rsidRPr="008A2411">
              <w:rPr>
                <w:rFonts w:ascii="Times New Roman"/>
                <w:bCs/>
                <w:color w:val="000000" w:themeColor="text1"/>
                <w:sz w:val="21"/>
                <w:szCs w:val="21"/>
              </w:rPr>
              <w:t>10t</w:t>
            </w:r>
          </w:p>
        </w:tc>
        <w:tc>
          <w:tcPr>
            <w:tcW w:w="1150" w:type="pct"/>
            <w:tcBorders>
              <w:top w:val="single" w:sz="4" w:space="0" w:color="auto"/>
              <w:left w:val="single" w:sz="4" w:space="0" w:color="auto"/>
              <w:bottom w:val="single" w:sz="4" w:space="0" w:color="auto"/>
              <w:right w:val="single" w:sz="4" w:space="0" w:color="auto"/>
            </w:tcBorders>
            <w:vAlign w:val="center"/>
          </w:tcPr>
          <w:p w14:paraId="0F63FDB0" w14:textId="77777777" w:rsidR="00466772" w:rsidRPr="008A2411" w:rsidRDefault="00466772">
            <w:pPr>
              <w:jc w:val="center"/>
              <w:rPr>
                <w:rFonts w:ascii="Times New Roman"/>
                <w:bCs/>
                <w:color w:val="000000" w:themeColor="text1"/>
                <w:sz w:val="21"/>
                <w:szCs w:val="21"/>
              </w:rPr>
            </w:pPr>
            <w:r w:rsidRPr="008A2411">
              <w:rPr>
                <w:rFonts w:ascii="Times New Roman"/>
                <w:bCs/>
                <w:color w:val="000000" w:themeColor="text1"/>
                <w:sz w:val="21"/>
                <w:szCs w:val="21"/>
              </w:rPr>
              <w:t>853</w:t>
            </w:r>
          </w:p>
        </w:tc>
      </w:tr>
      <w:tr w:rsidR="00466772" w:rsidRPr="008A2411" w14:paraId="363F5EBE" w14:textId="77777777" w:rsidTr="00466772">
        <w:trPr>
          <w:jc w:val="center"/>
        </w:trPr>
        <w:tc>
          <w:tcPr>
            <w:tcW w:w="482" w:type="pct"/>
            <w:tcBorders>
              <w:top w:val="single" w:sz="4" w:space="0" w:color="auto"/>
              <w:left w:val="single" w:sz="4" w:space="0" w:color="auto"/>
              <w:bottom w:val="single" w:sz="4" w:space="0" w:color="auto"/>
              <w:right w:val="single" w:sz="4" w:space="0" w:color="auto"/>
            </w:tcBorders>
            <w:vAlign w:val="center"/>
          </w:tcPr>
          <w:p w14:paraId="241C476E" w14:textId="77777777" w:rsidR="00466772" w:rsidRPr="008A2411" w:rsidRDefault="00466772">
            <w:pPr>
              <w:jc w:val="center"/>
              <w:rPr>
                <w:rFonts w:ascii="Times New Roman"/>
                <w:bCs/>
                <w:color w:val="000000" w:themeColor="text1"/>
                <w:sz w:val="21"/>
                <w:szCs w:val="21"/>
              </w:rPr>
            </w:pPr>
            <w:r w:rsidRPr="008A2411">
              <w:rPr>
                <w:rFonts w:ascii="Times New Roman"/>
                <w:bCs/>
                <w:color w:val="000000" w:themeColor="text1"/>
                <w:sz w:val="21"/>
                <w:szCs w:val="21"/>
              </w:rPr>
              <w:t>2</w:t>
            </w:r>
          </w:p>
        </w:tc>
        <w:tc>
          <w:tcPr>
            <w:tcW w:w="1011" w:type="pct"/>
            <w:tcBorders>
              <w:top w:val="single" w:sz="4" w:space="0" w:color="auto"/>
              <w:left w:val="single" w:sz="4" w:space="0" w:color="auto"/>
              <w:bottom w:val="single" w:sz="4" w:space="0" w:color="auto"/>
              <w:right w:val="single" w:sz="4" w:space="0" w:color="auto"/>
            </w:tcBorders>
            <w:vAlign w:val="center"/>
          </w:tcPr>
          <w:p w14:paraId="6BECFC3C" w14:textId="77777777" w:rsidR="00466772" w:rsidRPr="008A2411" w:rsidRDefault="00466772">
            <w:pPr>
              <w:jc w:val="center"/>
              <w:rPr>
                <w:rFonts w:ascii="Times New Roman"/>
                <w:bCs/>
                <w:color w:val="000000" w:themeColor="text1"/>
                <w:sz w:val="21"/>
                <w:szCs w:val="21"/>
              </w:rPr>
            </w:pPr>
            <w:r w:rsidRPr="008A2411">
              <w:rPr>
                <w:rFonts w:ascii="Times New Roman"/>
                <w:bCs/>
                <w:color w:val="000000" w:themeColor="text1"/>
                <w:sz w:val="21"/>
                <w:szCs w:val="21"/>
              </w:rPr>
              <w:t>导热油</w:t>
            </w:r>
          </w:p>
        </w:tc>
        <w:tc>
          <w:tcPr>
            <w:tcW w:w="1207" w:type="pct"/>
            <w:tcBorders>
              <w:top w:val="single" w:sz="4" w:space="0" w:color="auto"/>
              <w:left w:val="single" w:sz="4" w:space="0" w:color="auto"/>
              <w:bottom w:val="single" w:sz="4" w:space="0" w:color="auto"/>
              <w:right w:val="single" w:sz="4" w:space="0" w:color="auto"/>
            </w:tcBorders>
            <w:vAlign w:val="center"/>
          </w:tcPr>
          <w:p w14:paraId="7D956941" w14:textId="77777777" w:rsidR="00466772" w:rsidRPr="008A2411" w:rsidRDefault="00466772">
            <w:pPr>
              <w:jc w:val="center"/>
              <w:rPr>
                <w:rFonts w:ascii="Times New Roman"/>
                <w:bCs/>
                <w:color w:val="000000" w:themeColor="text1"/>
                <w:sz w:val="21"/>
                <w:szCs w:val="21"/>
              </w:rPr>
            </w:pPr>
            <w:r w:rsidRPr="008A2411">
              <w:rPr>
                <w:rFonts w:ascii="Times New Roman"/>
                <w:bCs/>
                <w:color w:val="000000" w:themeColor="text1"/>
                <w:sz w:val="21"/>
                <w:szCs w:val="21"/>
              </w:rPr>
              <w:t>30t</w:t>
            </w:r>
          </w:p>
        </w:tc>
        <w:tc>
          <w:tcPr>
            <w:tcW w:w="1150" w:type="pct"/>
            <w:tcBorders>
              <w:top w:val="single" w:sz="4" w:space="0" w:color="auto"/>
              <w:left w:val="single" w:sz="4" w:space="0" w:color="auto"/>
              <w:bottom w:val="single" w:sz="4" w:space="0" w:color="auto"/>
              <w:right w:val="single" w:sz="4" w:space="0" w:color="auto"/>
            </w:tcBorders>
            <w:vAlign w:val="center"/>
          </w:tcPr>
          <w:p w14:paraId="67F3CC56" w14:textId="77777777" w:rsidR="00466772" w:rsidRPr="008A2411" w:rsidRDefault="00466772">
            <w:pPr>
              <w:jc w:val="center"/>
              <w:rPr>
                <w:rFonts w:ascii="Times New Roman"/>
                <w:bCs/>
                <w:color w:val="000000" w:themeColor="text1"/>
                <w:sz w:val="21"/>
                <w:szCs w:val="21"/>
              </w:rPr>
            </w:pPr>
            <w:r w:rsidRPr="008A2411">
              <w:rPr>
                <w:rFonts w:ascii="Times New Roman"/>
                <w:bCs/>
                <w:color w:val="000000" w:themeColor="text1"/>
                <w:sz w:val="21"/>
                <w:szCs w:val="21"/>
              </w:rPr>
              <w:t>2500t</w:t>
            </w:r>
          </w:p>
        </w:tc>
        <w:tc>
          <w:tcPr>
            <w:tcW w:w="1150" w:type="pct"/>
            <w:tcBorders>
              <w:top w:val="single" w:sz="4" w:space="0" w:color="auto"/>
              <w:left w:val="single" w:sz="4" w:space="0" w:color="auto"/>
              <w:bottom w:val="single" w:sz="4" w:space="0" w:color="auto"/>
              <w:right w:val="single" w:sz="4" w:space="0" w:color="auto"/>
            </w:tcBorders>
            <w:vAlign w:val="center"/>
          </w:tcPr>
          <w:p w14:paraId="0EF2E479" w14:textId="77777777" w:rsidR="00466772" w:rsidRPr="008A2411" w:rsidRDefault="00466772">
            <w:pPr>
              <w:jc w:val="center"/>
              <w:rPr>
                <w:rFonts w:ascii="Times New Roman"/>
                <w:bCs/>
                <w:color w:val="000000" w:themeColor="text1"/>
                <w:sz w:val="21"/>
                <w:szCs w:val="21"/>
              </w:rPr>
            </w:pPr>
            <w:r w:rsidRPr="008A2411">
              <w:rPr>
                <w:rFonts w:ascii="Times New Roman"/>
                <w:bCs/>
                <w:color w:val="000000" w:themeColor="text1"/>
                <w:sz w:val="21"/>
                <w:szCs w:val="21"/>
              </w:rPr>
              <w:t>0.012</w:t>
            </w:r>
          </w:p>
        </w:tc>
      </w:tr>
      <w:tr w:rsidR="00466772" w:rsidRPr="008A2411" w14:paraId="0158842A" w14:textId="77777777" w:rsidTr="00466772">
        <w:trPr>
          <w:jc w:val="center"/>
        </w:trPr>
        <w:tc>
          <w:tcPr>
            <w:tcW w:w="482" w:type="pct"/>
            <w:tcBorders>
              <w:top w:val="single" w:sz="4" w:space="0" w:color="auto"/>
              <w:left w:val="single" w:sz="4" w:space="0" w:color="auto"/>
              <w:bottom w:val="single" w:sz="4" w:space="0" w:color="auto"/>
              <w:right w:val="single" w:sz="4" w:space="0" w:color="auto"/>
            </w:tcBorders>
            <w:vAlign w:val="center"/>
          </w:tcPr>
          <w:p w14:paraId="33475594" w14:textId="3BD2FBBA" w:rsidR="00466772" w:rsidRPr="008A2411" w:rsidRDefault="00466772" w:rsidP="009340DD">
            <w:pPr>
              <w:jc w:val="center"/>
              <w:rPr>
                <w:rFonts w:ascii="Times New Roman"/>
                <w:bCs/>
                <w:color w:val="000000" w:themeColor="text1"/>
                <w:sz w:val="21"/>
                <w:szCs w:val="21"/>
              </w:rPr>
            </w:pPr>
            <w:r>
              <w:rPr>
                <w:rFonts w:ascii="Times New Roman" w:hint="eastAsia"/>
                <w:bCs/>
                <w:color w:val="000000" w:themeColor="text1"/>
                <w:sz w:val="21"/>
                <w:szCs w:val="21"/>
              </w:rPr>
              <w:t>3</w:t>
            </w:r>
          </w:p>
        </w:tc>
        <w:tc>
          <w:tcPr>
            <w:tcW w:w="1011" w:type="pct"/>
            <w:tcBorders>
              <w:top w:val="single" w:sz="4" w:space="0" w:color="auto"/>
              <w:left w:val="single" w:sz="4" w:space="0" w:color="auto"/>
              <w:bottom w:val="single" w:sz="4" w:space="0" w:color="auto"/>
              <w:right w:val="single" w:sz="4" w:space="0" w:color="auto"/>
            </w:tcBorders>
            <w:vAlign w:val="center"/>
          </w:tcPr>
          <w:p w14:paraId="52AAF052" w14:textId="199AF30B" w:rsidR="00466772" w:rsidRPr="008A2411" w:rsidRDefault="00466772" w:rsidP="009340DD">
            <w:pPr>
              <w:jc w:val="center"/>
              <w:rPr>
                <w:rFonts w:ascii="Times New Roman"/>
                <w:bCs/>
                <w:color w:val="000000" w:themeColor="text1"/>
                <w:sz w:val="21"/>
                <w:szCs w:val="21"/>
              </w:rPr>
            </w:pPr>
            <w:r>
              <w:rPr>
                <w:rFonts w:ascii="Times New Roman" w:hint="eastAsia"/>
                <w:bCs/>
                <w:color w:val="000000" w:themeColor="text1"/>
                <w:sz w:val="21"/>
                <w:szCs w:val="21"/>
              </w:rPr>
              <w:t>丙烷</w:t>
            </w:r>
          </w:p>
        </w:tc>
        <w:tc>
          <w:tcPr>
            <w:tcW w:w="1207" w:type="pct"/>
            <w:tcBorders>
              <w:top w:val="single" w:sz="4" w:space="0" w:color="auto"/>
              <w:left w:val="single" w:sz="4" w:space="0" w:color="auto"/>
              <w:bottom w:val="single" w:sz="4" w:space="0" w:color="auto"/>
              <w:right w:val="single" w:sz="4" w:space="0" w:color="auto"/>
            </w:tcBorders>
            <w:vAlign w:val="bottom"/>
          </w:tcPr>
          <w:p w14:paraId="02D266AA" w14:textId="3B2E8D26" w:rsidR="00466772" w:rsidRPr="008A2411" w:rsidRDefault="00466772" w:rsidP="009340DD">
            <w:pPr>
              <w:jc w:val="center"/>
              <w:rPr>
                <w:rFonts w:ascii="Times New Roman"/>
                <w:bCs/>
                <w:color w:val="000000" w:themeColor="text1"/>
                <w:sz w:val="21"/>
                <w:szCs w:val="21"/>
              </w:rPr>
            </w:pPr>
            <w:r w:rsidRPr="00466772">
              <w:rPr>
                <w:rFonts w:ascii="Times New Roman" w:hint="eastAsia"/>
                <w:bCs/>
                <w:color w:val="000000" w:themeColor="text1"/>
                <w:sz w:val="21"/>
                <w:szCs w:val="21"/>
              </w:rPr>
              <w:t>6</w:t>
            </w:r>
            <w:r w:rsidRPr="00466772">
              <w:rPr>
                <w:rFonts w:ascii="Times New Roman"/>
                <w:bCs/>
                <w:color w:val="000000" w:themeColor="text1"/>
                <w:sz w:val="21"/>
                <w:szCs w:val="21"/>
              </w:rPr>
              <w:t>t</w:t>
            </w:r>
          </w:p>
        </w:tc>
        <w:tc>
          <w:tcPr>
            <w:tcW w:w="1150" w:type="pct"/>
            <w:tcBorders>
              <w:top w:val="single" w:sz="4" w:space="0" w:color="auto"/>
              <w:left w:val="single" w:sz="4" w:space="0" w:color="auto"/>
              <w:bottom w:val="single" w:sz="4" w:space="0" w:color="auto"/>
              <w:right w:val="single" w:sz="4" w:space="0" w:color="auto"/>
            </w:tcBorders>
            <w:vAlign w:val="center"/>
          </w:tcPr>
          <w:p w14:paraId="5CB9384F" w14:textId="634F6F13" w:rsidR="00466772" w:rsidRPr="008A2411" w:rsidRDefault="00466772" w:rsidP="009340DD">
            <w:pPr>
              <w:jc w:val="center"/>
              <w:rPr>
                <w:rFonts w:ascii="Times New Roman"/>
                <w:bCs/>
                <w:color w:val="000000" w:themeColor="text1"/>
                <w:sz w:val="21"/>
                <w:szCs w:val="21"/>
              </w:rPr>
            </w:pPr>
            <w:r w:rsidRPr="00466772">
              <w:rPr>
                <w:rFonts w:ascii="Times New Roman"/>
                <w:bCs/>
                <w:color w:val="000000" w:themeColor="text1"/>
                <w:sz w:val="21"/>
                <w:szCs w:val="21"/>
              </w:rPr>
              <w:t>10</w:t>
            </w:r>
            <w:r w:rsidRPr="00466772">
              <w:rPr>
                <w:rFonts w:ascii="Times New Roman"/>
                <w:bCs/>
                <w:color w:val="000000" w:themeColor="text1"/>
                <w:sz w:val="21"/>
                <w:szCs w:val="21"/>
              </w:rPr>
              <w:t>t</w:t>
            </w:r>
          </w:p>
        </w:tc>
        <w:tc>
          <w:tcPr>
            <w:tcW w:w="1150" w:type="pct"/>
            <w:tcBorders>
              <w:top w:val="single" w:sz="4" w:space="0" w:color="auto"/>
              <w:left w:val="single" w:sz="4" w:space="0" w:color="auto"/>
              <w:bottom w:val="single" w:sz="4" w:space="0" w:color="auto"/>
              <w:right w:val="single" w:sz="4" w:space="0" w:color="auto"/>
            </w:tcBorders>
            <w:vAlign w:val="center"/>
          </w:tcPr>
          <w:p w14:paraId="48B22384" w14:textId="21DC1C2C" w:rsidR="00466772" w:rsidRPr="008A2411" w:rsidRDefault="00466772" w:rsidP="009340DD">
            <w:pPr>
              <w:jc w:val="center"/>
              <w:rPr>
                <w:rFonts w:ascii="Times New Roman"/>
                <w:bCs/>
                <w:color w:val="000000" w:themeColor="text1"/>
                <w:sz w:val="21"/>
                <w:szCs w:val="21"/>
              </w:rPr>
            </w:pPr>
            <w:r>
              <w:rPr>
                <w:rFonts w:ascii="Times New Roman" w:hint="eastAsia"/>
                <w:bCs/>
                <w:color w:val="000000" w:themeColor="text1"/>
                <w:sz w:val="21"/>
                <w:szCs w:val="21"/>
              </w:rPr>
              <w:t>0.6</w:t>
            </w:r>
          </w:p>
        </w:tc>
      </w:tr>
      <w:tr w:rsidR="00466772" w:rsidRPr="008A2411" w14:paraId="44EAC645" w14:textId="77777777" w:rsidTr="00466772">
        <w:trPr>
          <w:jc w:val="center"/>
        </w:trPr>
        <w:tc>
          <w:tcPr>
            <w:tcW w:w="482" w:type="pct"/>
            <w:tcBorders>
              <w:top w:val="single" w:sz="4" w:space="0" w:color="auto"/>
              <w:left w:val="single" w:sz="4" w:space="0" w:color="auto"/>
              <w:bottom w:val="single" w:sz="4" w:space="0" w:color="auto"/>
              <w:right w:val="single" w:sz="4" w:space="0" w:color="auto"/>
            </w:tcBorders>
            <w:vAlign w:val="center"/>
          </w:tcPr>
          <w:p w14:paraId="72838DC7" w14:textId="7DC52246" w:rsidR="00466772" w:rsidRDefault="00466772" w:rsidP="009340DD">
            <w:pPr>
              <w:jc w:val="center"/>
              <w:rPr>
                <w:rFonts w:ascii="Times New Roman" w:hint="eastAsia"/>
                <w:bCs/>
                <w:color w:val="000000" w:themeColor="text1"/>
                <w:sz w:val="21"/>
                <w:szCs w:val="21"/>
              </w:rPr>
            </w:pPr>
            <w:r>
              <w:rPr>
                <w:rFonts w:ascii="Times New Roman" w:hint="eastAsia"/>
                <w:bCs/>
                <w:color w:val="000000" w:themeColor="text1"/>
                <w:sz w:val="21"/>
                <w:szCs w:val="21"/>
              </w:rPr>
              <w:t>4</w:t>
            </w:r>
          </w:p>
        </w:tc>
        <w:tc>
          <w:tcPr>
            <w:tcW w:w="1011" w:type="pct"/>
            <w:tcBorders>
              <w:top w:val="single" w:sz="4" w:space="0" w:color="auto"/>
              <w:left w:val="single" w:sz="4" w:space="0" w:color="auto"/>
              <w:bottom w:val="single" w:sz="4" w:space="0" w:color="auto"/>
              <w:right w:val="single" w:sz="4" w:space="0" w:color="auto"/>
            </w:tcBorders>
            <w:vAlign w:val="center"/>
          </w:tcPr>
          <w:p w14:paraId="3BE30F3E" w14:textId="4EEC9BB5" w:rsidR="00466772" w:rsidRDefault="00466772" w:rsidP="009340DD">
            <w:pPr>
              <w:jc w:val="center"/>
              <w:rPr>
                <w:rFonts w:ascii="Times New Roman" w:hint="eastAsia"/>
                <w:bCs/>
                <w:color w:val="000000" w:themeColor="text1"/>
                <w:sz w:val="21"/>
                <w:szCs w:val="21"/>
              </w:rPr>
            </w:pPr>
            <w:r w:rsidRPr="008A2411">
              <w:rPr>
                <w:rFonts w:ascii="Times New Roman" w:eastAsiaTheme="minorEastAsia"/>
                <w:color w:val="000000" w:themeColor="text1"/>
                <w:sz w:val="21"/>
                <w:szCs w:val="21"/>
                <w:lang w:bidi="ar"/>
              </w:rPr>
              <w:t>乙烯</w:t>
            </w:r>
          </w:p>
        </w:tc>
        <w:tc>
          <w:tcPr>
            <w:tcW w:w="1207" w:type="pct"/>
            <w:tcBorders>
              <w:top w:val="single" w:sz="4" w:space="0" w:color="auto"/>
              <w:left w:val="single" w:sz="4" w:space="0" w:color="auto"/>
              <w:bottom w:val="single" w:sz="4" w:space="0" w:color="auto"/>
              <w:right w:val="single" w:sz="4" w:space="0" w:color="auto"/>
            </w:tcBorders>
            <w:vAlign w:val="bottom"/>
          </w:tcPr>
          <w:p w14:paraId="10CC926C" w14:textId="36A8E7F7" w:rsidR="00466772" w:rsidRPr="008A2411" w:rsidRDefault="00466772" w:rsidP="009340DD">
            <w:pPr>
              <w:jc w:val="center"/>
              <w:rPr>
                <w:rFonts w:ascii="Times New Roman"/>
                <w:bCs/>
                <w:color w:val="000000" w:themeColor="text1"/>
                <w:sz w:val="21"/>
                <w:szCs w:val="21"/>
              </w:rPr>
            </w:pPr>
            <w:r w:rsidRPr="00466772">
              <w:rPr>
                <w:rFonts w:ascii="Times New Roman" w:hint="eastAsia"/>
                <w:bCs/>
                <w:color w:val="000000" w:themeColor="text1"/>
                <w:sz w:val="21"/>
                <w:szCs w:val="21"/>
              </w:rPr>
              <w:t>10</w:t>
            </w:r>
            <w:r w:rsidRPr="00466772">
              <w:rPr>
                <w:rFonts w:ascii="Times New Roman"/>
                <w:bCs/>
                <w:color w:val="000000" w:themeColor="text1"/>
                <w:sz w:val="21"/>
                <w:szCs w:val="21"/>
              </w:rPr>
              <w:t>t</w:t>
            </w:r>
          </w:p>
        </w:tc>
        <w:tc>
          <w:tcPr>
            <w:tcW w:w="1150" w:type="pct"/>
            <w:tcBorders>
              <w:top w:val="single" w:sz="4" w:space="0" w:color="auto"/>
              <w:left w:val="single" w:sz="4" w:space="0" w:color="auto"/>
              <w:bottom w:val="single" w:sz="4" w:space="0" w:color="auto"/>
              <w:right w:val="single" w:sz="4" w:space="0" w:color="auto"/>
            </w:tcBorders>
            <w:vAlign w:val="center"/>
          </w:tcPr>
          <w:p w14:paraId="1319E4FF" w14:textId="79650D9B" w:rsidR="00466772" w:rsidRPr="008A2411" w:rsidRDefault="00466772" w:rsidP="009340DD">
            <w:pPr>
              <w:jc w:val="center"/>
              <w:rPr>
                <w:rFonts w:ascii="Times New Roman"/>
                <w:bCs/>
                <w:color w:val="000000" w:themeColor="text1"/>
                <w:sz w:val="21"/>
                <w:szCs w:val="21"/>
              </w:rPr>
            </w:pPr>
            <w:r>
              <w:rPr>
                <w:rFonts w:ascii="Times New Roman" w:hint="eastAsia"/>
                <w:bCs/>
                <w:color w:val="000000" w:themeColor="text1"/>
                <w:sz w:val="21"/>
                <w:szCs w:val="21"/>
              </w:rPr>
              <w:t>10</w:t>
            </w:r>
            <w:r>
              <w:rPr>
                <w:rFonts w:ascii="Times New Roman"/>
                <w:bCs/>
                <w:color w:val="000000" w:themeColor="text1"/>
                <w:sz w:val="21"/>
                <w:szCs w:val="21"/>
              </w:rPr>
              <w:t>t</w:t>
            </w:r>
          </w:p>
        </w:tc>
        <w:tc>
          <w:tcPr>
            <w:tcW w:w="1150" w:type="pct"/>
            <w:tcBorders>
              <w:top w:val="single" w:sz="4" w:space="0" w:color="auto"/>
              <w:left w:val="single" w:sz="4" w:space="0" w:color="auto"/>
              <w:bottom w:val="single" w:sz="4" w:space="0" w:color="auto"/>
              <w:right w:val="single" w:sz="4" w:space="0" w:color="auto"/>
            </w:tcBorders>
            <w:vAlign w:val="center"/>
          </w:tcPr>
          <w:p w14:paraId="6372C11C" w14:textId="14317A03" w:rsidR="00466772" w:rsidRPr="008A2411" w:rsidRDefault="00466772" w:rsidP="009340DD">
            <w:pPr>
              <w:jc w:val="center"/>
              <w:rPr>
                <w:rFonts w:ascii="Times New Roman"/>
                <w:bCs/>
                <w:color w:val="000000" w:themeColor="text1"/>
                <w:sz w:val="21"/>
                <w:szCs w:val="21"/>
              </w:rPr>
            </w:pPr>
            <w:r>
              <w:rPr>
                <w:rFonts w:ascii="Times New Roman" w:hint="eastAsia"/>
                <w:bCs/>
                <w:color w:val="000000" w:themeColor="text1"/>
                <w:sz w:val="21"/>
                <w:szCs w:val="21"/>
              </w:rPr>
              <w:t>1</w:t>
            </w:r>
          </w:p>
        </w:tc>
      </w:tr>
      <w:tr w:rsidR="00466772" w:rsidRPr="008A2411" w14:paraId="754D1FDD" w14:textId="77777777" w:rsidTr="00466772">
        <w:trPr>
          <w:jc w:val="center"/>
        </w:trPr>
        <w:tc>
          <w:tcPr>
            <w:tcW w:w="482" w:type="pct"/>
            <w:tcBorders>
              <w:top w:val="single" w:sz="4" w:space="0" w:color="auto"/>
              <w:left w:val="single" w:sz="4" w:space="0" w:color="auto"/>
              <w:bottom w:val="single" w:sz="4" w:space="0" w:color="auto"/>
              <w:right w:val="single" w:sz="4" w:space="0" w:color="auto"/>
            </w:tcBorders>
            <w:vAlign w:val="center"/>
          </w:tcPr>
          <w:p w14:paraId="0B825EE5" w14:textId="363AB9B5" w:rsidR="00466772" w:rsidRDefault="00466772" w:rsidP="009340DD">
            <w:pPr>
              <w:jc w:val="center"/>
              <w:rPr>
                <w:rFonts w:ascii="Times New Roman" w:hint="eastAsia"/>
                <w:bCs/>
                <w:color w:val="000000" w:themeColor="text1"/>
                <w:sz w:val="21"/>
                <w:szCs w:val="21"/>
              </w:rPr>
            </w:pPr>
            <w:r>
              <w:rPr>
                <w:rFonts w:ascii="Times New Roman" w:hint="eastAsia"/>
                <w:bCs/>
                <w:color w:val="000000" w:themeColor="text1"/>
                <w:sz w:val="21"/>
                <w:szCs w:val="21"/>
              </w:rPr>
              <w:t>5</w:t>
            </w:r>
          </w:p>
        </w:tc>
        <w:tc>
          <w:tcPr>
            <w:tcW w:w="1011" w:type="pct"/>
            <w:tcBorders>
              <w:top w:val="single" w:sz="4" w:space="0" w:color="auto"/>
              <w:left w:val="single" w:sz="4" w:space="0" w:color="auto"/>
              <w:bottom w:val="single" w:sz="4" w:space="0" w:color="auto"/>
              <w:right w:val="single" w:sz="4" w:space="0" w:color="auto"/>
            </w:tcBorders>
            <w:vAlign w:val="center"/>
          </w:tcPr>
          <w:p w14:paraId="237F3F0D" w14:textId="661E5F4B" w:rsidR="00466772" w:rsidRDefault="00466772" w:rsidP="009340DD">
            <w:pPr>
              <w:jc w:val="center"/>
              <w:rPr>
                <w:rFonts w:ascii="Times New Roman" w:hint="eastAsia"/>
                <w:bCs/>
                <w:color w:val="000000" w:themeColor="text1"/>
                <w:sz w:val="21"/>
                <w:szCs w:val="21"/>
              </w:rPr>
            </w:pPr>
            <w:r w:rsidRPr="008A2411">
              <w:rPr>
                <w:rFonts w:ascii="Times New Roman" w:eastAsiaTheme="minorEastAsia"/>
                <w:color w:val="000000" w:themeColor="text1"/>
                <w:sz w:val="21"/>
                <w:szCs w:val="21"/>
                <w:lang w:bidi="ar"/>
              </w:rPr>
              <w:t>异戊烷</w:t>
            </w:r>
          </w:p>
        </w:tc>
        <w:tc>
          <w:tcPr>
            <w:tcW w:w="1207" w:type="pct"/>
            <w:tcBorders>
              <w:top w:val="single" w:sz="4" w:space="0" w:color="auto"/>
              <w:left w:val="single" w:sz="4" w:space="0" w:color="auto"/>
              <w:bottom w:val="single" w:sz="4" w:space="0" w:color="auto"/>
              <w:right w:val="single" w:sz="4" w:space="0" w:color="auto"/>
            </w:tcBorders>
            <w:vAlign w:val="bottom"/>
          </w:tcPr>
          <w:p w14:paraId="63A2909D" w14:textId="565C3B8F" w:rsidR="00466772" w:rsidRPr="008A2411" w:rsidRDefault="00466772" w:rsidP="009340DD">
            <w:pPr>
              <w:jc w:val="center"/>
              <w:rPr>
                <w:rFonts w:ascii="Times New Roman"/>
                <w:bCs/>
                <w:color w:val="000000" w:themeColor="text1"/>
                <w:sz w:val="21"/>
                <w:szCs w:val="21"/>
              </w:rPr>
            </w:pPr>
            <w:r w:rsidRPr="00466772">
              <w:rPr>
                <w:rFonts w:ascii="Times New Roman" w:hint="eastAsia"/>
                <w:bCs/>
                <w:color w:val="000000" w:themeColor="text1"/>
                <w:sz w:val="21"/>
                <w:szCs w:val="21"/>
              </w:rPr>
              <w:t>6t</w:t>
            </w:r>
          </w:p>
        </w:tc>
        <w:tc>
          <w:tcPr>
            <w:tcW w:w="1150" w:type="pct"/>
            <w:tcBorders>
              <w:top w:val="single" w:sz="4" w:space="0" w:color="auto"/>
              <w:left w:val="single" w:sz="4" w:space="0" w:color="auto"/>
              <w:bottom w:val="single" w:sz="4" w:space="0" w:color="auto"/>
              <w:right w:val="single" w:sz="4" w:space="0" w:color="auto"/>
            </w:tcBorders>
            <w:vAlign w:val="center"/>
          </w:tcPr>
          <w:p w14:paraId="6E92CE65" w14:textId="34C7EE1E" w:rsidR="00466772" w:rsidRPr="008A2411" w:rsidRDefault="00466772" w:rsidP="009340DD">
            <w:pPr>
              <w:jc w:val="center"/>
              <w:rPr>
                <w:rFonts w:ascii="Times New Roman"/>
                <w:bCs/>
                <w:color w:val="000000" w:themeColor="text1"/>
                <w:sz w:val="21"/>
                <w:szCs w:val="21"/>
              </w:rPr>
            </w:pPr>
            <w:r>
              <w:rPr>
                <w:rFonts w:ascii="Times New Roman" w:hint="eastAsia"/>
                <w:bCs/>
                <w:color w:val="000000" w:themeColor="text1"/>
                <w:sz w:val="21"/>
                <w:szCs w:val="21"/>
              </w:rPr>
              <w:t>10</w:t>
            </w:r>
            <w:r>
              <w:rPr>
                <w:rFonts w:ascii="Times New Roman"/>
                <w:bCs/>
                <w:color w:val="000000" w:themeColor="text1"/>
                <w:sz w:val="21"/>
                <w:szCs w:val="21"/>
              </w:rPr>
              <w:t>t</w:t>
            </w:r>
          </w:p>
        </w:tc>
        <w:tc>
          <w:tcPr>
            <w:tcW w:w="1150" w:type="pct"/>
            <w:tcBorders>
              <w:top w:val="single" w:sz="4" w:space="0" w:color="auto"/>
              <w:left w:val="single" w:sz="4" w:space="0" w:color="auto"/>
              <w:bottom w:val="single" w:sz="4" w:space="0" w:color="auto"/>
              <w:right w:val="single" w:sz="4" w:space="0" w:color="auto"/>
            </w:tcBorders>
            <w:vAlign w:val="center"/>
          </w:tcPr>
          <w:p w14:paraId="1104E018" w14:textId="4EDD67CC" w:rsidR="00466772" w:rsidRPr="008A2411" w:rsidRDefault="00466772" w:rsidP="009340DD">
            <w:pPr>
              <w:jc w:val="center"/>
              <w:rPr>
                <w:rFonts w:ascii="Times New Roman"/>
                <w:bCs/>
                <w:color w:val="000000" w:themeColor="text1"/>
                <w:sz w:val="21"/>
                <w:szCs w:val="21"/>
              </w:rPr>
            </w:pPr>
            <w:r>
              <w:rPr>
                <w:rFonts w:ascii="Times New Roman" w:hint="eastAsia"/>
                <w:bCs/>
                <w:color w:val="000000" w:themeColor="text1"/>
                <w:sz w:val="21"/>
                <w:szCs w:val="21"/>
              </w:rPr>
              <w:t>0.6</w:t>
            </w:r>
          </w:p>
        </w:tc>
      </w:tr>
      <w:tr w:rsidR="00466772" w:rsidRPr="008A2411" w14:paraId="3044FC41" w14:textId="77777777" w:rsidTr="00466772">
        <w:trPr>
          <w:jc w:val="center"/>
        </w:trPr>
        <w:tc>
          <w:tcPr>
            <w:tcW w:w="482" w:type="pct"/>
            <w:tcBorders>
              <w:top w:val="single" w:sz="4" w:space="0" w:color="auto"/>
              <w:left w:val="single" w:sz="4" w:space="0" w:color="auto"/>
              <w:bottom w:val="single" w:sz="4" w:space="0" w:color="auto"/>
              <w:right w:val="single" w:sz="4" w:space="0" w:color="auto"/>
            </w:tcBorders>
            <w:vAlign w:val="center"/>
          </w:tcPr>
          <w:p w14:paraId="38227FD5" w14:textId="77777777" w:rsidR="00466772" w:rsidRPr="008A2411" w:rsidRDefault="00466772">
            <w:pPr>
              <w:jc w:val="center"/>
              <w:rPr>
                <w:rFonts w:ascii="Times New Roman"/>
                <w:bCs/>
                <w:color w:val="000000" w:themeColor="text1"/>
                <w:sz w:val="21"/>
                <w:szCs w:val="21"/>
              </w:rPr>
            </w:pPr>
            <w:r w:rsidRPr="008A2411">
              <w:rPr>
                <w:rFonts w:ascii="Times New Roman"/>
                <w:bCs/>
                <w:color w:val="000000" w:themeColor="text1"/>
                <w:sz w:val="21"/>
                <w:szCs w:val="21"/>
              </w:rPr>
              <w:t>合计</w:t>
            </w:r>
          </w:p>
        </w:tc>
        <w:tc>
          <w:tcPr>
            <w:tcW w:w="1011" w:type="pct"/>
            <w:tcBorders>
              <w:top w:val="single" w:sz="4" w:space="0" w:color="auto"/>
              <w:left w:val="single" w:sz="4" w:space="0" w:color="auto"/>
              <w:bottom w:val="single" w:sz="4" w:space="0" w:color="auto"/>
              <w:right w:val="single" w:sz="4" w:space="0" w:color="auto"/>
            </w:tcBorders>
            <w:vAlign w:val="center"/>
          </w:tcPr>
          <w:p w14:paraId="1E8EDBEF" w14:textId="77777777" w:rsidR="00466772" w:rsidRPr="008A2411" w:rsidRDefault="00466772">
            <w:pPr>
              <w:jc w:val="center"/>
              <w:rPr>
                <w:rFonts w:ascii="Times New Roman"/>
                <w:bCs/>
                <w:color w:val="000000" w:themeColor="text1"/>
                <w:sz w:val="21"/>
                <w:szCs w:val="21"/>
              </w:rPr>
            </w:pPr>
            <w:r w:rsidRPr="008A2411">
              <w:rPr>
                <w:rFonts w:ascii="Times New Roman"/>
                <w:bCs/>
                <w:color w:val="000000" w:themeColor="text1"/>
                <w:sz w:val="21"/>
                <w:szCs w:val="21"/>
              </w:rPr>
              <w:t>/</w:t>
            </w:r>
          </w:p>
        </w:tc>
        <w:tc>
          <w:tcPr>
            <w:tcW w:w="1207" w:type="pct"/>
            <w:tcBorders>
              <w:top w:val="single" w:sz="4" w:space="0" w:color="auto"/>
              <w:left w:val="single" w:sz="4" w:space="0" w:color="auto"/>
              <w:bottom w:val="single" w:sz="4" w:space="0" w:color="auto"/>
              <w:right w:val="single" w:sz="4" w:space="0" w:color="auto"/>
            </w:tcBorders>
            <w:vAlign w:val="center"/>
          </w:tcPr>
          <w:p w14:paraId="0A2662C7" w14:textId="77777777" w:rsidR="00466772" w:rsidRPr="008A2411" w:rsidRDefault="00466772">
            <w:pPr>
              <w:jc w:val="center"/>
              <w:rPr>
                <w:rFonts w:ascii="Times New Roman"/>
                <w:bCs/>
                <w:color w:val="000000" w:themeColor="text1"/>
                <w:sz w:val="21"/>
                <w:szCs w:val="21"/>
              </w:rPr>
            </w:pPr>
            <w:r w:rsidRPr="008A2411">
              <w:rPr>
                <w:rFonts w:ascii="Times New Roman"/>
                <w:bCs/>
                <w:color w:val="000000" w:themeColor="text1"/>
                <w:sz w:val="21"/>
                <w:szCs w:val="21"/>
              </w:rPr>
              <w:t>/</w:t>
            </w:r>
          </w:p>
        </w:tc>
        <w:tc>
          <w:tcPr>
            <w:tcW w:w="1150" w:type="pct"/>
            <w:tcBorders>
              <w:top w:val="single" w:sz="4" w:space="0" w:color="auto"/>
              <w:left w:val="single" w:sz="4" w:space="0" w:color="auto"/>
              <w:bottom w:val="single" w:sz="4" w:space="0" w:color="auto"/>
              <w:right w:val="single" w:sz="4" w:space="0" w:color="auto"/>
            </w:tcBorders>
            <w:vAlign w:val="center"/>
          </w:tcPr>
          <w:p w14:paraId="7DA82370" w14:textId="77777777" w:rsidR="00466772" w:rsidRPr="008A2411" w:rsidRDefault="00466772">
            <w:pPr>
              <w:jc w:val="center"/>
              <w:rPr>
                <w:rFonts w:ascii="Times New Roman"/>
                <w:bCs/>
                <w:color w:val="000000" w:themeColor="text1"/>
                <w:sz w:val="21"/>
                <w:szCs w:val="21"/>
              </w:rPr>
            </w:pPr>
            <w:r w:rsidRPr="008A2411">
              <w:rPr>
                <w:rFonts w:ascii="Times New Roman"/>
                <w:bCs/>
                <w:color w:val="000000" w:themeColor="text1"/>
                <w:sz w:val="21"/>
                <w:szCs w:val="21"/>
              </w:rPr>
              <w:t>/</w:t>
            </w:r>
          </w:p>
        </w:tc>
        <w:tc>
          <w:tcPr>
            <w:tcW w:w="1150" w:type="pct"/>
            <w:tcBorders>
              <w:top w:val="single" w:sz="4" w:space="0" w:color="auto"/>
              <w:left w:val="single" w:sz="4" w:space="0" w:color="auto"/>
              <w:bottom w:val="single" w:sz="4" w:space="0" w:color="auto"/>
              <w:right w:val="single" w:sz="4" w:space="0" w:color="auto"/>
            </w:tcBorders>
            <w:vAlign w:val="center"/>
          </w:tcPr>
          <w:p w14:paraId="366473E7" w14:textId="29A524C5" w:rsidR="00466772" w:rsidRPr="00466772" w:rsidRDefault="00466772" w:rsidP="00466772">
            <w:pPr>
              <w:widowControl/>
              <w:jc w:val="center"/>
              <w:rPr>
                <w:rFonts w:ascii="Times New Roman" w:hint="eastAsia"/>
                <w:bCs/>
                <w:color w:val="000000" w:themeColor="text1"/>
                <w:sz w:val="21"/>
                <w:szCs w:val="21"/>
              </w:rPr>
            </w:pPr>
            <w:r w:rsidRPr="00466772">
              <w:rPr>
                <w:rFonts w:ascii="Times New Roman" w:hint="eastAsia"/>
                <w:bCs/>
                <w:color w:val="000000" w:themeColor="text1"/>
                <w:sz w:val="21"/>
                <w:szCs w:val="21"/>
              </w:rPr>
              <w:t>855.212</w:t>
            </w:r>
          </w:p>
        </w:tc>
      </w:tr>
    </w:tbl>
    <w:p w14:paraId="618E2480" w14:textId="574FD822" w:rsidR="00B0005F" w:rsidRPr="008A2411" w:rsidRDefault="00000000">
      <w:pPr>
        <w:adjustRightInd w:val="0"/>
        <w:spacing w:line="360" w:lineRule="auto"/>
        <w:ind w:firstLineChars="200" w:firstLine="480"/>
        <w:rPr>
          <w:rFonts w:ascii="Times New Roman"/>
          <w:bCs/>
          <w:color w:val="000000" w:themeColor="text1"/>
          <w:lang w:val="zh-CN"/>
        </w:rPr>
      </w:pPr>
      <w:r w:rsidRPr="008A2411">
        <w:rPr>
          <w:rFonts w:ascii="Times New Roman"/>
          <w:bCs/>
          <w:color w:val="000000" w:themeColor="text1"/>
          <w:lang w:val="zh-CN"/>
        </w:rPr>
        <w:t>由上表可知，本项目危险物质最大储存量于临界量的比值之和</w:t>
      </w:r>
      <w:r w:rsidRPr="008A2411">
        <w:rPr>
          <w:rFonts w:ascii="Times New Roman"/>
          <w:bCs/>
          <w:color w:val="000000" w:themeColor="text1"/>
          <w:lang w:val="zh-CN"/>
        </w:rPr>
        <w:t>Q≈</w:t>
      </w:r>
      <w:r w:rsidR="00466772">
        <w:rPr>
          <w:rFonts w:ascii="Times New Roman"/>
          <w:bCs/>
          <w:color w:val="000000" w:themeColor="text1"/>
        </w:rPr>
        <w:t>855.212</w:t>
      </w:r>
      <w:r w:rsidRPr="008A2411">
        <w:rPr>
          <w:rFonts w:ascii="Times New Roman"/>
          <w:bCs/>
          <w:color w:val="000000" w:themeColor="text1"/>
          <w:lang w:val="zh-CN"/>
        </w:rPr>
        <w:t>＞</w:t>
      </w:r>
      <w:r w:rsidRPr="008A2411">
        <w:rPr>
          <w:rFonts w:ascii="Times New Roman"/>
          <w:bCs/>
          <w:color w:val="000000" w:themeColor="text1"/>
          <w:lang w:val="zh-CN"/>
        </w:rPr>
        <w:t>1</w:t>
      </w:r>
      <w:r w:rsidRPr="008A2411">
        <w:rPr>
          <w:rFonts w:ascii="Times New Roman"/>
          <w:bCs/>
          <w:color w:val="000000" w:themeColor="text1"/>
        </w:rPr>
        <w:t>00</w:t>
      </w:r>
      <w:r w:rsidRPr="008A2411">
        <w:rPr>
          <w:rFonts w:ascii="Times New Roman"/>
          <w:bCs/>
          <w:color w:val="000000" w:themeColor="text1"/>
          <w:lang w:val="zh-CN"/>
        </w:rPr>
        <w:t>。</w:t>
      </w:r>
    </w:p>
    <w:p w14:paraId="251B2901" w14:textId="77777777" w:rsidR="00B0005F" w:rsidRPr="008A2411" w:rsidRDefault="00000000">
      <w:pPr>
        <w:adjustRightInd w:val="0"/>
        <w:spacing w:line="360" w:lineRule="auto"/>
        <w:ind w:firstLineChars="200" w:firstLine="480"/>
        <w:rPr>
          <w:rFonts w:ascii="Times New Roman"/>
          <w:bCs/>
          <w:color w:val="000000" w:themeColor="text1"/>
          <w:lang w:val="zh-CN"/>
        </w:rPr>
      </w:pPr>
      <w:r w:rsidRPr="008A2411">
        <w:rPr>
          <w:rFonts w:ascii="Times New Roman"/>
          <w:bCs/>
          <w:color w:val="000000" w:themeColor="text1"/>
          <w:lang w:val="zh-CN"/>
        </w:rPr>
        <w:t>（</w:t>
      </w:r>
      <w:r w:rsidRPr="008A2411">
        <w:rPr>
          <w:rFonts w:ascii="Times New Roman"/>
          <w:bCs/>
          <w:color w:val="000000" w:themeColor="text1"/>
          <w:lang w:val="zh-CN"/>
        </w:rPr>
        <w:t>2</w:t>
      </w:r>
      <w:r w:rsidRPr="008A2411">
        <w:rPr>
          <w:rFonts w:ascii="Times New Roman"/>
          <w:bCs/>
          <w:color w:val="000000" w:themeColor="text1"/>
          <w:lang w:val="zh-CN"/>
        </w:rPr>
        <w:t>）行业及生产工艺（</w:t>
      </w:r>
      <w:r w:rsidRPr="008A2411">
        <w:rPr>
          <w:rFonts w:ascii="Times New Roman"/>
          <w:bCs/>
          <w:color w:val="000000" w:themeColor="text1"/>
          <w:lang w:val="zh-CN"/>
        </w:rPr>
        <w:t>M</w:t>
      </w:r>
      <w:r w:rsidRPr="008A2411">
        <w:rPr>
          <w:rFonts w:ascii="Times New Roman"/>
          <w:bCs/>
          <w:color w:val="000000" w:themeColor="text1"/>
          <w:lang w:val="zh-CN"/>
        </w:rPr>
        <w:t>）</w:t>
      </w:r>
    </w:p>
    <w:p w14:paraId="1E00D16C" w14:textId="77777777" w:rsidR="00B0005F" w:rsidRPr="008A2411" w:rsidRDefault="00000000">
      <w:pPr>
        <w:adjustRightInd w:val="0"/>
        <w:spacing w:line="360" w:lineRule="auto"/>
        <w:ind w:firstLineChars="200" w:firstLine="480"/>
        <w:rPr>
          <w:rFonts w:ascii="Times New Roman"/>
          <w:bCs/>
          <w:color w:val="000000" w:themeColor="text1"/>
          <w:lang w:val="zh-CN"/>
        </w:rPr>
      </w:pPr>
      <w:r w:rsidRPr="008A2411">
        <w:rPr>
          <w:rFonts w:ascii="Times New Roman"/>
          <w:bCs/>
          <w:color w:val="000000" w:themeColor="text1"/>
        </w:rPr>
        <w:t>本项目属于</w:t>
      </w:r>
      <w:r w:rsidRPr="008A2411">
        <w:rPr>
          <w:rFonts w:ascii="Times New Roman" w:hint="eastAsia"/>
          <w:bCs/>
          <w:color w:val="000000" w:themeColor="text1"/>
        </w:rPr>
        <w:t>“</w:t>
      </w:r>
      <w:r w:rsidRPr="008A2411">
        <w:rPr>
          <w:rFonts w:ascii="Times New Roman"/>
          <w:bCs/>
          <w:color w:val="000000" w:themeColor="text1"/>
        </w:rPr>
        <w:t>石油天然气</w:t>
      </w:r>
      <w:r w:rsidRPr="008A2411">
        <w:rPr>
          <w:rFonts w:ascii="Times New Roman" w:hint="eastAsia"/>
          <w:bCs/>
          <w:color w:val="000000" w:themeColor="text1"/>
        </w:rPr>
        <w:t>”</w:t>
      </w:r>
      <w:r w:rsidRPr="008A2411">
        <w:rPr>
          <w:rFonts w:ascii="Times New Roman"/>
          <w:bCs/>
          <w:color w:val="000000" w:themeColor="text1"/>
        </w:rPr>
        <w:t>中</w:t>
      </w:r>
      <w:r w:rsidRPr="008A2411">
        <w:rPr>
          <w:rFonts w:ascii="Times New Roman" w:hint="eastAsia"/>
          <w:bCs/>
          <w:color w:val="000000" w:themeColor="text1"/>
        </w:rPr>
        <w:t>“</w:t>
      </w:r>
      <w:r w:rsidRPr="008A2411">
        <w:rPr>
          <w:rFonts w:ascii="Times New Roman"/>
          <w:bCs/>
          <w:color w:val="000000" w:themeColor="text1"/>
        </w:rPr>
        <w:t>天然气净化</w:t>
      </w:r>
      <w:r w:rsidRPr="008A2411">
        <w:rPr>
          <w:rFonts w:ascii="Times New Roman" w:hint="eastAsia"/>
          <w:bCs/>
          <w:color w:val="000000" w:themeColor="text1"/>
        </w:rPr>
        <w:t>”</w:t>
      </w:r>
      <w:r w:rsidRPr="008A2411">
        <w:rPr>
          <w:rFonts w:ascii="Times New Roman"/>
          <w:bCs/>
          <w:color w:val="000000" w:themeColor="text1"/>
        </w:rPr>
        <w:t>，不涉及重点监管危险化工工艺。本项目</w:t>
      </w:r>
      <w:r w:rsidRPr="008A2411">
        <w:rPr>
          <w:rFonts w:ascii="Times New Roman"/>
          <w:bCs/>
          <w:color w:val="000000" w:themeColor="text1"/>
        </w:rPr>
        <w:t>M</w:t>
      </w:r>
      <w:r w:rsidRPr="008A2411">
        <w:rPr>
          <w:rFonts w:ascii="Times New Roman"/>
          <w:bCs/>
          <w:color w:val="000000" w:themeColor="text1"/>
        </w:rPr>
        <w:t>值</w:t>
      </w:r>
      <w:proofErr w:type="gramStart"/>
      <w:r w:rsidRPr="008A2411">
        <w:rPr>
          <w:rFonts w:ascii="Times New Roman"/>
          <w:bCs/>
          <w:color w:val="000000" w:themeColor="text1"/>
        </w:rPr>
        <w:t>确定见</w:t>
      </w:r>
      <w:proofErr w:type="gramEnd"/>
      <w:r w:rsidRPr="008A2411">
        <w:rPr>
          <w:rFonts w:ascii="Times New Roman"/>
          <w:bCs/>
          <w:color w:val="000000" w:themeColor="text1"/>
        </w:rPr>
        <w:t>下表。</w:t>
      </w:r>
    </w:p>
    <w:p w14:paraId="206EEFB5" w14:textId="77777777" w:rsidR="00B0005F" w:rsidRPr="008A2411" w:rsidRDefault="00000000">
      <w:pPr>
        <w:pStyle w:val="afffffff9"/>
        <w:spacing w:line="240" w:lineRule="auto"/>
        <w:ind w:firstLineChars="0" w:firstLine="0"/>
        <w:jc w:val="center"/>
        <w:rPr>
          <w:rFonts w:ascii="Times New Roman" w:eastAsia="黑体" w:hAnsi="Times New Roman"/>
          <w:bCs/>
          <w:color w:val="000000" w:themeColor="text1"/>
        </w:rPr>
      </w:pPr>
      <w:r w:rsidRPr="008A2411">
        <w:rPr>
          <w:rFonts w:ascii="Times New Roman" w:eastAsia="黑体" w:hAnsi="Times New Roman"/>
          <w:bCs/>
          <w:color w:val="000000" w:themeColor="text1"/>
        </w:rPr>
        <w:t>表</w:t>
      </w:r>
      <w:r w:rsidRPr="008A2411">
        <w:rPr>
          <w:rFonts w:ascii="Times New Roman" w:eastAsia="黑体" w:hAnsi="Times New Roman"/>
          <w:bCs/>
          <w:color w:val="000000" w:themeColor="text1"/>
        </w:rPr>
        <w:t xml:space="preserve">6.3-3  </w:t>
      </w:r>
      <w:r w:rsidRPr="008A2411">
        <w:rPr>
          <w:rFonts w:ascii="Times New Roman" w:eastAsia="黑体" w:hAnsi="Times New Roman"/>
          <w:bCs/>
          <w:color w:val="000000" w:themeColor="text1"/>
        </w:rPr>
        <w:t>本项目</w:t>
      </w:r>
      <w:r w:rsidRPr="008A2411">
        <w:rPr>
          <w:rFonts w:ascii="Times New Roman" w:eastAsia="黑体" w:hAnsi="Times New Roman"/>
          <w:bCs/>
          <w:color w:val="000000" w:themeColor="text1"/>
        </w:rPr>
        <w:t>M</w:t>
      </w:r>
      <w:r w:rsidRPr="008A2411">
        <w:rPr>
          <w:rFonts w:ascii="Times New Roman" w:eastAsia="黑体" w:hAnsi="Times New Roman"/>
          <w:bCs/>
          <w:color w:val="000000" w:themeColor="text1"/>
        </w:rPr>
        <w:t>值确定表</w:t>
      </w:r>
    </w:p>
    <w:tbl>
      <w:tblPr>
        <w:tblW w:w="503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173"/>
        <w:gridCol w:w="3898"/>
        <w:gridCol w:w="918"/>
        <w:gridCol w:w="1530"/>
        <w:gridCol w:w="860"/>
      </w:tblGrid>
      <w:tr w:rsidR="008A2411" w:rsidRPr="008A2411" w14:paraId="6AC1818B" w14:textId="77777777">
        <w:trPr>
          <w:jc w:val="center"/>
        </w:trPr>
        <w:tc>
          <w:tcPr>
            <w:tcW w:w="700" w:type="pct"/>
            <w:vMerge w:val="restart"/>
            <w:vAlign w:val="center"/>
          </w:tcPr>
          <w:p w14:paraId="5AEEB391"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行业</w:t>
            </w:r>
          </w:p>
        </w:tc>
        <w:tc>
          <w:tcPr>
            <w:tcW w:w="2326" w:type="pct"/>
            <w:vMerge w:val="restart"/>
            <w:vAlign w:val="center"/>
          </w:tcPr>
          <w:p w14:paraId="126BA017"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评估依据</w:t>
            </w:r>
          </w:p>
        </w:tc>
        <w:tc>
          <w:tcPr>
            <w:tcW w:w="548" w:type="pct"/>
            <w:vMerge w:val="restart"/>
            <w:vAlign w:val="center"/>
          </w:tcPr>
          <w:p w14:paraId="45E940BC"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分值</w:t>
            </w:r>
          </w:p>
        </w:tc>
        <w:tc>
          <w:tcPr>
            <w:tcW w:w="1426" w:type="pct"/>
            <w:gridSpan w:val="2"/>
            <w:vAlign w:val="center"/>
          </w:tcPr>
          <w:p w14:paraId="206556D9"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本项目情况</w:t>
            </w:r>
          </w:p>
        </w:tc>
      </w:tr>
      <w:tr w:rsidR="008A2411" w:rsidRPr="008A2411" w14:paraId="520B5D21" w14:textId="77777777">
        <w:trPr>
          <w:jc w:val="center"/>
        </w:trPr>
        <w:tc>
          <w:tcPr>
            <w:tcW w:w="700" w:type="pct"/>
            <w:vMerge/>
            <w:vAlign w:val="center"/>
          </w:tcPr>
          <w:p w14:paraId="1C93B2FA" w14:textId="77777777" w:rsidR="00B0005F" w:rsidRPr="008A2411" w:rsidRDefault="00B0005F">
            <w:pPr>
              <w:jc w:val="center"/>
              <w:rPr>
                <w:rFonts w:ascii="Times New Roman"/>
                <w:bCs/>
                <w:color w:val="000000" w:themeColor="text1"/>
                <w:sz w:val="21"/>
                <w:szCs w:val="21"/>
              </w:rPr>
            </w:pPr>
          </w:p>
        </w:tc>
        <w:tc>
          <w:tcPr>
            <w:tcW w:w="2326" w:type="pct"/>
            <w:vMerge/>
            <w:vAlign w:val="center"/>
          </w:tcPr>
          <w:p w14:paraId="6945CF80" w14:textId="77777777" w:rsidR="00B0005F" w:rsidRPr="008A2411" w:rsidRDefault="00B0005F">
            <w:pPr>
              <w:jc w:val="center"/>
              <w:rPr>
                <w:rFonts w:ascii="Times New Roman"/>
                <w:bCs/>
                <w:color w:val="000000" w:themeColor="text1"/>
                <w:sz w:val="21"/>
                <w:szCs w:val="21"/>
              </w:rPr>
            </w:pPr>
          </w:p>
        </w:tc>
        <w:tc>
          <w:tcPr>
            <w:tcW w:w="548" w:type="pct"/>
            <w:vMerge/>
            <w:vAlign w:val="center"/>
          </w:tcPr>
          <w:p w14:paraId="3636418F" w14:textId="77777777" w:rsidR="00B0005F" w:rsidRPr="008A2411" w:rsidRDefault="00B0005F">
            <w:pPr>
              <w:jc w:val="center"/>
              <w:rPr>
                <w:rFonts w:ascii="Times New Roman"/>
                <w:bCs/>
                <w:color w:val="000000" w:themeColor="text1"/>
                <w:sz w:val="21"/>
                <w:szCs w:val="21"/>
              </w:rPr>
            </w:pPr>
          </w:p>
        </w:tc>
        <w:tc>
          <w:tcPr>
            <w:tcW w:w="913" w:type="pct"/>
            <w:vAlign w:val="center"/>
          </w:tcPr>
          <w:p w14:paraId="5A7DDF8B"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涉及内容</w:t>
            </w:r>
          </w:p>
        </w:tc>
        <w:tc>
          <w:tcPr>
            <w:tcW w:w="513" w:type="pct"/>
            <w:vAlign w:val="center"/>
          </w:tcPr>
          <w:p w14:paraId="29F5B41C"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分值</w:t>
            </w:r>
          </w:p>
        </w:tc>
      </w:tr>
      <w:tr w:rsidR="008A2411" w:rsidRPr="008A2411" w14:paraId="671541C3" w14:textId="77777777">
        <w:trPr>
          <w:jc w:val="center"/>
        </w:trPr>
        <w:tc>
          <w:tcPr>
            <w:tcW w:w="700" w:type="pct"/>
            <w:vMerge w:val="restart"/>
            <w:vAlign w:val="center"/>
          </w:tcPr>
          <w:p w14:paraId="1900955B"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石化、化工、医药、轻工、化纤、有色冶炼等</w:t>
            </w:r>
          </w:p>
        </w:tc>
        <w:tc>
          <w:tcPr>
            <w:tcW w:w="2326" w:type="pct"/>
            <w:vAlign w:val="center"/>
          </w:tcPr>
          <w:p w14:paraId="466E79C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涉及光气及光气化反应、电解工艺（氯碱）、氯化工艺、硝化工艺、合成氨工艺、裂解（裂化）工艺、氟化工艺、加氢工艺、重氮化工艺、氧化工艺、胺基化工艺、磺化工艺、聚合工艺、烷基化工艺、新型煤化工工艺、电石生产工艺、偶氮化工艺</w:t>
            </w:r>
          </w:p>
        </w:tc>
        <w:tc>
          <w:tcPr>
            <w:tcW w:w="548" w:type="pct"/>
            <w:vAlign w:val="center"/>
          </w:tcPr>
          <w:p w14:paraId="1742D09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10/</w:t>
            </w:r>
            <w:r w:rsidRPr="008A2411">
              <w:rPr>
                <w:rFonts w:ascii="Times New Roman"/>
                <w:bCs/>
                <w:color w:val="000000" w:themeColor="text1"/>
                <w:sz w:val="21"/>
                <w:szCs w:val="21"/>
              </w:rPr>
              <w:t>套</w:t>
            </w:r>
          </w:p>
        </w:tc>
        <w:tc>
          <w:tcPr>
            <w:tcW w:w="913" w:type="pct"/>
            <w:vAlign w:val="center"/>
          </w:tcPr>
          <w:p w14:paraId="7947F52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不涉及</w:t>
            </w:r>
          </w:p>
        </w:tc>
        <w:tc>
          <w:tcPr>
            <w:tcW w:w="513" w:type="pct"/>
            <w:vAlign w:val="center"/>
          </w:tcPr>
          <w:p w14:paraId="5894FF5C"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r>
      <w:tr w:rsidR="008A2411" w:rsidRPr="008A2411" w14:paraId="11EF4BAD" w14:textId="77777777">
        <w:trPr>
          <w:jc w:val="center"/>
        </w:trPr>
        <w:tc>
          <w:tcPr>
            <w:tcW w:w="700" w:type="pct"/>
            <w:vMerge/>
            <w:vAlign w:val="center"/>
          </w:tcPr>
          <w:p w14:paraId="3588D1C6" w14:textId="77777777" w:rsidR="00B0005F" w:rsidRPr="008A2411" w:rsidRDefault="00B0005F">
            <w:pPr>
              <w:jc w:val="center"/>
              <w:rPr>
                <w:rFonts w:ascii="Times New Roman"/>
                <w:bCs/>
                <w:color w:val="000000" w:themeColor="text1"/>
                <w:sz w:val="21"/>
                <w:szCs w:val="21"/>
              </w:rPr>
            </w:pPr>
          </w:p>
        </w:tc>
        <w:tc>
          <w:tcPr>
            <w:tcW w:w="2326" w:type="pct"/>
            <w:vAlign w:val="center"/>
          </w:tcPr>
          <w:p w14:paraId="5CE45D0A"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无机酸制酸工艺、焦化工艺</w:t>
            </w:r>
          </w:p>
        </w:tc>
        <w:tc>
          <w:tcPr>
            <w:tcW w:w="548" w:type="pct"/>
            <w:vAlign w:val="center"/>
          </w:tcPr>
          <w:p w14:paraId="3FD226B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5/</w:t>
            </w:r>
            <w:r w:rsidRPr="008A2411">
              <w:rPr>
                <w:rFonts w:ascii="Times New Roman"/>
                <w:bCs/>
                <w:color w:val="000000" w:themeColor="text1"/>
                <w:sz w:val="21"/>
                <w:szCs w:val="21"/>
              </w:rPr>
              <w:t>套</w:t>
            </w:r>
          </w:p>
        </w:tc>
        <w:tc>
          <w:tcPr>
            <w:tcW w:w="913" w:type="pct"/>
            <w:vAlign w:val="center"/>
          </w:tcPr>
          <w:p w14:paraId="7C252641"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不涉及</w:t>
            </w:r>
          </w:p>
        </w:tc>
        <w:tc>
          <w:tcPr>
            <w:tcW w:w="513" w:type="pct"/>
            <w:vAlign w:val="center"/>
          </w:tcPr>
          <w:p w14:paraId="383986A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r>
      <w:tr w:rsidR="008A2411" w:rsidRPr="008A2411" w14:paraId="553E092A" w14:textId="77777777">
        <w:trPr>
          <w:jc w:val="center"/>
        </w:trPr>
        <w:tc>
          <w:tcPr>
            <w:tcW w:w="700" w:type="pct"/>
            <w:vMerge/>
            <w:vAlign w:val="center"/>
          </w:tcPr>
          <w:p w14:paraId="2436D642" w14:textId="77777777" w:rsidR="00B0005F" w:rsidRPr="008A2411" w:rsidRDefault="00B0005F">
            <w:pPr>
              <w:jc w:val="center"/>
              <w:rPr>
                <w:rFonts w:ascii="Times New Roman"/>
                <w:bCs/>
                <w:color w:val="000000" w:themeColor="text1"/>
                <w:sz w:val="21"/>
                <w:szCs w:val="21"/>
              </w:rPr>
            </w:pPr>
          </w:p>
        </w:tc>
        <w:tc>
          <w:tcPr>
            <w:tcW w:w="2326" w:type="pct"/>
            <w:vAlign w:val="center"/>
          </w:tcPr>
          <w:p w14:paraId="66C6747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其他高温或高压、且涉及危险物质的工艺过程</w:t>
            </w:r>
            <w:r w:rsidRPr="008A2411">
              <w:rPr>
                <w:rFonts w:ascii="Times New Roman"/>
                <w:bCs/>
                <w:color w:val="000000" w:themeColor="text1"/>
                <w:sz w:val="21"/>
                <w:szCs w:val="21"/>
                <w:vertAlign w:val="superscript"/>
              </w:rPr>
              <w:t>a</w:t>
            </w:r>
            <w:r w:rsidRPr="008A2411">
              <w:rPr>
                <w:rFonts w:ascii="Times New Roman"/>
                <w:bCs/>
                <w:color w:val="000000" w:themeColor="text1"/>
                <w:sz w:val="21"/>
                <w:szCs w:val="21"/>
              </w:rPr>
              <w:t>、危险物质储存罐区</w:t>
            </w:r>
          </w:p>
        </w:tc>
        <w:tc>
          <w:tcPr>
            <w:tcW w:w="548" w:type="pct"/>
            <w:vAlign w:val="center"/>
          </w:tcPr>
          <w:p w14:paraId="666F1F4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5/</w:t>
            </w:r>
            <w:r w:rsidRPr="008A2411">
              <w:rPr>
                <w:rFonts w:ascii="Times New Roman"/>
                <w:bCs/>
                <w:color w:val="000000" w:themeColor="text1"/>
                <w:sz w:val="21"/>
                <w:szCs w:val="21"/>
              </w:rPr>
              <w:t>套（罐区）</w:t>
            </w:r>
          </w:p>
        </w:tc>
        <w:tc>
          <w:tcPr>
            <w:tcW w:w="913" w:type="pct"/>
            <w:vAlign w:val="center"/>
          </w:tcPr>
          <w:p w14:paraId="500F87B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不涉及</w:t>
            </w:r>
          </w:p>
        </w:tc>
        <w:tc>
          <w:tcPr>
            <w:tcW w:w="513" w:type="pct"/>
            <w:vAlign w:val="center"/>
          </w:tcPr>
          <w:p w14:paraId="7ED53AC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r>
      <w:tr w:rsidR="008A2411" w:rsidRPr="008A2411" w14:paraId="1D69A6DE" w14:textId="77777777">
        <w:trPr>
          <w:jc w:val="center"/>
        </w:trPr>
        <w:tc>
          <w:tcPr>
            <w:tcW w:w="700" w:type="pct"/>
            <w:vAlign w:val="center"/>
          </w:tcPr>
          <w:p w14:paraId="47F274BD"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管道、码头</w:t>
            </w:r>
            <w:r w:rsidRPr="008A2411">
              <w:rPr>
                <w:rFonts w:ascii="Times New Roman"/>
                <w:bCs/>
                <w:color w:val="000000" w:themeColor="text1"/>
                <w:sz w:val="21"/>
                <w:szCs w:val="21"/>
              </w:rPr>
              <w:t>/</w:t>
            </w:r>
            <w:r w:rsidRPr="008A2411">
              <w:rPr>
                <w:rFonts w:ascii="Times New Roman"/>
                <w:bCs/>
                <w:color w:val="000000" w:themeColor="text1"/>
                <w:sz w:val="21"/>
                <w:szCs w:val="21"/>
              </w:rPr>
              <w:t>港口等</w:t>
            </w:r>
          </w:p>
        </w:tc>
        <w:tc>
          <w:tcPr>
            <w:tcW w:w="2326" w:type="pct"/>
            <w:vAlign w:val="center"/>
          </w:tcPr>
          <w:p w14:paraId="3B754064"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涉及危险物质管道运输项目、港口</w:t>
            </w:r>
            <w:r w:rsidRPr="008A2411">
              <w:rPr>
                <w:rFonts w:ascii="Times New Roman"/>
                <w:bCs/>
                <w:color w:val="000000" w:themeColor="text1"/>
                <w:sz w:val="21"/>
                <w:szCs w:val="21"/>
              </w:rPr>
              <w:t>/</w:t>
            </w:r>
            <w:r w:rsidRPr="008A2411">
              <w:rPr>
                <w:rFonts w:ascii="Times New Roman"/>
                <w:bCs/>
                <w:color w:val="000000" w:themeColor="text1"/>
                <w:sz w:val="21"/>
                <w:szCs w:val="21"/>
              </w:rPr>
              <w:t>码头等</w:t>
            </w:r>
          </w:p>
        </w:tc>
        <w:tc>
          <w:tcPr>
            <w:tcW w:w="548" w:type="pct"/>
            <w:vAlign w:val="center"/>
          </w:tcPr>
          <w:p w14:paraId="1C340BFB"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10</w:t>
            </w:r>
          </w:p>
        </w:tc>
        <w:tc>
          <w:tcPr>
            <w:tcW w:w="913" w:type="pct"/>
            <w:vAlign w:val="center"/>
          </w:tcPr>
          <w:p w14:paraId="13BC52E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不涉及</w:t>
            </w:r>
          </w:p>
        </w:tc>
        <w:tc>
          <w:tcPr>
            <w:tcW w:w="513" w:type="pct"/>
            <w:vAlign w:val="center"/>
          </w:tcPr>
          <w:p w14:paraId="3AC4728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w:t>
            </w:r>
          </w:p>
        </w:tc>
      </w:tr>
      <w:tr w:rsidR="008A2411" w:rsidRPr="008A2411" w14:paraId="01A3AF6D" w14:textId="77777777">
        <w:trPr>
          <w:jc w:val="center"/>
        </w:trPr>
        <w:tc>
          <w:tcPr>
            <w:tcW w:w="700" w:type="pct"/>
            <w:vAlign w:val="center"/>
          </w:tcPr>
          <w:p w14:paraId="79334A9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石油天然气</w:t>
            </w:r>
          </w:p>
        </w:tc>
        <w:tc>
          <w:tcPr>
            <w:tcW w:w="2326" w:type="pct"/>
            <w:vAlign w:val="center"/>
          </w:tcPr>
          <w:p w14:paraId="3FC2838A"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石油、天然气、页岩气开采（含净化），气库（不含加气站的气库），油库（不含加气站的油库）、油气管线</w:t>
            </w:r>
            <w:r w:rsidRPr="008A2411">
              <w:rPr>
                <w:rFonts w:ascii="Times New Roman"/>
                <w:bCs/>
                <w:color w:val="000000" w:themeColor="text1"/>
                <w:sz w:val="21"/>
                <w:szCs w:val="21"/>
              </w:rPr>
              <w:t>b</w:t>
            </w:r>
            <w:r w:rsidRPr="008A2411">
              <w:rPr>
                <w:rFonts w:ascii="Times New Roman"/>
                <w:bCs/>
                <w:color w:val="000000" w:themeColor="text1"/>
                <w:sz w:val="21"/>
                <w:szCs w:val="21"/>
              </w:rPr>
              <w:t>（不含城镇燃气管线）</w:t>
            </w:r>
          </w:p>
        </w:tc>
        <w:tc>
          <w:tcPr>
            <w:tcW w:w="548" w:type="pct"/>
            <w:vAlign w:val="center"/>
          </w:tcPr>
          <w:p w14:paraId="243D0D97"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10</w:t>
            </w:r>
          </w:p>
        </w:tc>
        <w:tc>
          <w:tcPr>
            <w:tcW w:w="913" w:type="pct"/>
            <w:vAlign w:val="center"/>
          </w:tcPr>
          <w:p w14:paraId="553F262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天然气净化及液化</w:t>
            </w:r>
          </w:p>
        </w:tc>
        <w:tc>
          <w:tcPr>
            <w:tcW w:w="513" w:type="pct"/>
            <w:vAlign w:val="center"/>
          </w:tcPr>
          <w:p w14:paraId="72A6BCB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10</w:t>
            </w:r>
          </w:p>
        </w:tc>
      </w:tr>
      <w:tr w:rsidR="008A2411" w:rsidRPr="008A2411" w14:paraId="15CAA715" w14:textId="77777777">
        <w:trPr>
          <w:jc w:val="center"/>
        </w:trPr>
        <w:tc>
          <w:tcPr>
            <w:tcW w:w="700" w:type="pct"/>
            <w:vAlign w:val="center"/>
          </w:tcPr>
          <w:p w14:paraId="7F8D995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其他</w:t>
            </w:r>
          </w:p>
        </w:tc>
        <w:tc>
          <w:tcPr>
            <w:tcW w:w="2326" w:type="pct"/>
            <w:vAlign w:val="center"/>
          </w:tcPr>
          <w:p w14:paraId="7641DB3A"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涉及危险物质使用、贮存的项目</w:t>
            </w:r>
          </w:p>
        </w:tc>
        <w:tc>
          <w:tcPr>
            <w:tcW w:w="548" w:type="pct"/>
            <w:vAlign w:val="center"/>
          </w:tcPr>
          <w:p w14:paraId="57844644"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5</w:t>
            </w:r>
          </w:p>
        </w:tc>
        <w:tc>
          <w:tcPr>
            <w:tcW w:w="913" w:type="pct"/>
            <w:vAlign w:val="center"/>
          </w:tcPr>
          <w:p w14:paraId="088884D6"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液化天然气储存</w:t>
            </w:r>
          </w:p>
        </w:tc>
        <w:tc>
          <w:tcPr>
            <w:tcW w:w="513" w:type="pct"/>
            <w:vAlign w:val="center"/>
          </w:tcPr>
          <w:p w14:paraId="785CA8F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5</w:t>
            </w:r>
          </w:p>
        </w:tc>
      </w:tr>
      <w:tr w:rsidR="008A2411" w:rsidRPr="008A2411" w14:paraId="057CE83D" w14:textId="77777777">
        <w:trPr>
          <w:jc w:val="center"/>
        </w:trPr>
        <w:tc>
          <w:tcPr>
            <w:tcW w:w="4487" w:type="pct"/>
            <w:gridSpan w:val="4"/>
            <w:vAlign w:val="center"/>
          </w:tcPr>
          <w:p w14:paraId="1A788FA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合计</w:t>
            </w:r>
          </w:p>
        </w:tc>
        <w:tc>
          <w:tcPr>
            <w:tcW w:w="513" w:type="pct"/>
            <w:vAlign w:val="center"/>
          </w:tcPr>
          <w:p w14:paraId="1E2B7D91" w14:textId="777AECD8"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w:t>
            </w:r>
            <w:r w:rsidR="00E316F0" w:rsidRPr="008A2411">
              <w:rPr>
                <w:rFonts w:ascii="Times New Roman" w:hint="eastAsia"/>
                <w:bCs/>
                <w:color w:val="000000" w:themeColor="text1"/>
                <w:sz w:val="21"/>
                <w:szCs w:val="21"/>
              </w:rPr>
              <w:t>5</w:t>
            </w:r>
          </w:p>
        </w:tc>
      </w:tr>
      <w:tr w:rsidR="008A2411" w:rsidRPr="008A2411" w14:paraId="12D05598" w14:textId="77777777">
        <w:trPr>
          <w:jc w:val="center"/>
        </w:trPr>
        <w:tc>
          <w:tcPr>
            <w:tcW w:w="5000" w:type="pct"/>
            <w:gridSpan w:val="5"/>
            <w:vAlign w:val="center"/>
          </w:tcPr>
          <w:p w14:paraId="23E6275B" w14:textId="77777777" w:rsidR="00B0005F" w:rsidRPr="008A2411" w:rsidRDefault="00000000">
            <w:pPr>
              <w:pStyle w:val="a9"/>
              <w:kinsoku w:val="0"/>
              <w:overflowPunct w:val="0"/>
              <w:spacing w:line="211" w:lineRule="exact"/>
              <w:ind w:right="237"/>
              <w:jc w:val="left"/>
              <w:rPr>
                <w:rFonts w:ascii="Times New Roman"/>
                <w:color w:val="000000" w:themeColor="text1"/>
                <w:szCs w:val="21"/>
              </w:rPr>
            </w:pPr>
            <w:r w:rsidRPr="008A2411">
              <w:rPr>
                <w:rFonts w:ascii="Times New Roman"/>
                <w:color w:val="000000" w:themeColor="text1"/>
                <w:szCs w:val="21"/>
              </w:rPr>
              <w:t>a</w:t>
            </w:r>
            <w:r w:rsidRPr="008A2411">
              <w:rPr>
                <w:rFonts w:ascii="Times New Roman"/>
                <w:color w:val="000000" w:themeColor="text1"/>
                <w:szCs w:val="21"/>
              </w:rPr>
              <w:t>：高温指工艺温度</w:t>
            </w:r>
            <w:r w:rsidRPr="008A2411">
              <w:rPr>
                <w:rFonts w:ascii="Times New Roman"/>
                <w:color w:val="000000" w:themeColor="text1"/>
                <w:szCs w:val="21"/>
              </w:rPr>
              <w:t>≥300℃</w:t>
            </w:r>
            <w:r w:rsidRPr="008A2411">
              <w:rPr>
                <w:rFonts w:ascii="Times New Roman"/>
                <w:color w:val="000000" w:themeColor="text1"/>
                <w:szCs w:val="21"/>
              </w:rPr>
              <w:t>，高压指压力容器的设计压力（</w:t>
            </w:r>
            <w:r w:rsidRPr="008A2411">
              <w:rPr>
                <w:rFonts w:ascii="Times New Roman"/>
                <w:color w:val="000000" w:themeColor="text1"/>
                <w:szCs w:val="21"/>
              </w:rPr>
              <w:t>P</w:t>
            </w:r>
            <w:r w:rsidRPr="008A2411">
              <w:rPr>
                <w:rFonts w:ascii="Times New Roman"/>
                <w:color w:val="000000" w:themeColor="text1"/>
                <w:szCs w:val="21"/>
              </w:rPr>
              <w:t>）</w:t>
            </w:r>
            <w:r w:rsidRPr="008A2411">
              <w:rPr>
                <w:rFonts w:ascii="Times New Roman"/>
                <w:color w:val="000000" w:themeColor="text1"/>
                <w:szCs w:val="21"/>
              </w:rPr>
              <w:t>≥10.0MPa</w:t>
            </w:r>
            <w:r w:rsidRPr="008A2411">
              <w:rPr>
                <w:rFonts w:ascii="Times New Roman"/>
                <w:color w:val="000000" w:themeColor="text1"/>
                <w:szCs w:val="21"/>
              </w:rPr>
              <w:t>；</w:t>
            </w:r>
          </w:p>
          <w:p w14:paraId="4F809491" w14:textId="77777777" w:rsidR="00B0005F" w:rsidRPr="008A2411" w:rsidRDefault="00000000">
            <w:pPr>
              <w:jc w:val="left"/>
              <w:rPr>
                <w:rFonts w:ascii="Times New Roman"/>
                <w:bCs/>
                <w:color w:val="000000" w:themeColor="text1"/>
                <w:sz w:val="21"/>
                <w:szCs w:val="21"/>
              </w:rPr>
            </w:pPr>
            <w:r w:rsidRPr="008A2411">
              <w:rPr>
                <w:rFonts w:ascii="Times New Roman"/>
                <w:color w:val="000000" w:themeColor="text1"/>
                <w:sz w:val="21"/>
                <w:szCs w:val="21"/>
              </w:rPr>
              <w:t>b</w:t>
            </w:r>
            <w:r w:rsidRPr="008A2411">
              <w:rPr>
                <w:rFonts w:ascii="Times New Roman"/>
                <w:color w:val="000000" w:themeColor="text1"/>
                <w:sz w:val="21"/>
                <w:szCs w:val="21"/>
              </w:rPr>
              <w:t>：长输管道运输项目应按站场、管线分段进行评价。</w:t>
            </w:r>
          </w:p>
        </w:tc>
      </w:tr>
    </w:tbl>
    <w:p w14:paraId="5D7076AB" w14:textId="1011F4E9" w:rsidR="00B0005F" w:rsidRPr="008A2411" w:rsidRDefault="00000000">
      <w:pPr>
        <w:adjustRightInd w:val="0"/>
        <w:spacing w:line="360" w:lineRule="auto"/>
        <w:ind w:firstLineChars="200" w:firstLine="480"/>
        <w:rPr>
          <w:rFonts w:ascii="Times New Roman"/>
          <w:bCs/>
          <w:color w:val="000000" w:themeColor="text1"/>
          <w:lang w:val="zh-CN"/>
        </w:rPr>
      </w:pPr>
      <w:r w:rsidRPr="008A2411">
        <w:rPr>
          <w:rFonts w:ascii="Times New Roman"/>
          <w:bCs/>
          <w:color w:val="000000" w:themeColor="text1"/>
        </w:rPr>
        <w:t>根据《建设项目环境风险评价技术导则》（</w:t>
      </w:r>
      <w:r w:rsidRPr="008A2411">
        <w:rPr>
          <w:rFonts w:ascii="Times New Roman"/>
          <w:bCs/>
          <w:color w:val="000000" w:themeColor="text1"/>
        </w:rPr>
        <w:t>HJ 169-2018</w:t>
      </w:r>
      <w:r w:rsidRPr="008A2411">
        <w:rPr>
          <w:rFonts w:ascii="Times New Roman"/>
          <w:bCs/>
          <w:color w:val="000000" w:themeColor="text1"/>
        </w:rPr>
        <w:t>）附录</w:t>
      </w:r>
      <w:r w:rsidRPr="008A2411">
        <w:rPr>
          <w:rFonts w:ascii="Times New Roman"/>
          <w:bCs/>
          <w:color w:val="000000" w:themeColor="text1"/>
        </w:rPr>
        <w:t>C</w:t>
      </w:r>
      <w:r w:rsidRPr="008A2411">
        <w:rPr>
          <w:rFonts w:ascii="Times New Roman"/>
          <w:bCs/>
          <w:color w:val="000000" w:themeColor="text1"/>
        </w:rPr>
        <w:t>中表</w:t>
      </w:r>
      <w:r w:rsidRPr="008A2411">
        <w:rPr>
          <w:rFonts w:ascii="Times New Roman"/>
          <w:bCs/>
          <w:color w:val="000000" w:themeColor="text1"/>
        </w:rPr>
        <w:t>C.1</w:t>
      </w:r>
      <w:r w:rsidRPr="008A2411">
        <w:rPr>
          <w:rFonts w:ascii="Times New Roman"/>
          <w:bCs/>
          <w:color w:val="000000" w:themeColor="text1"/>
        </w:rPr>
        <w:lastRenderedPageBreak/>
        <w:t>计算结果，本项目行业及生产工艺（</w:t>
      </w:r>
      <w:r w:rsidRPr="008A2411">
        <w:rPr>
          <w:rFonts w:ascii="Times New Roman"/>
          <w:bCs/>
          <w:color w:val="000000" w:themeColor="text1"/>
        </w:rPr>
        <w:t>M</w:t>
      </w:r>
      <w:r w:rsidRPr="008A2411">
        <w:rPr>
          <w:rFonts w:ascii="Times New Roman"/>
          <w:bCs/>
          <w:color w:val="000000" w:themeColor="text1"/>
        </w:rPr>
        <w:t>）值为</w:t>
      </w:r>
      <w:r w:rsidRPr="008A2411">
        <w:rPr>
          <w:rFonts w:ascii="Times New Roman"/>
          <w:bCs/>
          <w:color w:val="000000" w:themeColor="text1"/>
        </w:rPr>
        <w:t>1</w:t>
      </w:r>
      <w:r w:rsidR="00AF7136" w:rsidRPr="008A2411">
        <w:rPr>
          <w:rFonts w:ascii="Times New Roman" w:hint="eastAsia"/>
          <w:bCs/>
          <w:color w:val="000000" w:themeColor="text1"/>
        </w:rPr>
        <w:t>0</w:t>
      </w:r>
      <w:r w:rsidRPr="008A2411">
        <w:rPr>
          <w:rFonts w:ascii="Times New Roman"/>
          <w:bCs/>
          <w:color w:val="000000" w:themeColor="text1"/>
        </w:rPr>
        <w:t>，属于</w:t>
      </w:r>
      <w:r w:rsidRPr="008A2411">
        <w:rPr>
          <w:rFonts w:ascii="Times New Roman"/>
          <w:bCs/>
          <w:color w:val="000000" w:themeColor="text1"/>
        </w:rPr>
        <w:t>M</w:t>
      </w:r>
      <w:r w:rsidR="00E316F0" w:rsidRPr="008A2411">
        <w:rPr>
          <w:rFonts w:ascii="Times New Roman" w:hint="eastAsia"/>
          <w:bCs/>
          <w:color w:val="000000" w:themeColor="text1"/>
        </w:rPr>
        <w:t>2</w:t>
      </w:r>
      <w:r w:rsidRPr="008A2411">
        <w:rPr>
          <w:rFonts w:ascii="Times New Roman"/>
          <w:bCs/>
          <w:color w:val="000000" w:themeColor="text1"/>
        </w:rPr>
        <w:t>（</w:t>
      </w:r>
      <w:r w:rsidR="00E316F0" w:rsidRPr="008A2411">
        <w:rPr>
          <w:rFonts w:ascii="Times New Roman" w:hint="eastAsia"/>
          <w:bCs/>
          <w:color w:val="000000" w:themeColor="text1"/>
        </w:rPr>
        <w:t>10</w:t>
      </w:r>
      <w:r w:rsidRPr="008A2411">
        <w:rPr>
          <w:rFonts w:ascii="Times New Roman"/>
          <w:bCs/>
          <w:color w:val="000000" w:themeColor="text1"/>
        </w:rPr>
        <w:t>＜</w:t>
      </w:r>
      <w:r w:rsidRPr="008A2411">
        <w:rPr>
          <w:rFonts w:ascii="Times New Roman"/>
          <w:bCs/>
          <w:color w:val="000000" w:themeColor="text1"/>
        </w:rPr>
        <w:t>M≤</w:t>
      </w:r>
      <w:r w:rsidR="00E316F0" w:rsidRPr="008A2411">
        <w:rPr>
          <w:rFonts w:ascii="Times New Roman" w:hint="eastAsia"/>
          <w:bCs/>
          <w:color w:val="000000" w:themeColor="text1"/>
        </w:rPr>
        <w:t>2</w:t>
      </w:r>
      <w:r w:rsidRPr="008A2411">
        <w:rPr>
          <w:rFonts w:ascii="Times New Roman"/>
          <w:bCs/>
          <w:color w:val="000000" w:themeColor="text1"/>
        </w:rPr>
        <w:t>0</w:t>
      </w:r>
      <w:r w:rsidRPr="008A2411">
        <w:rPr>
          <w:rFonts w:ascii="Times New Roman"/>
          <w:bCs/>
          <w:color w:val="000000" w:themeColor="text1"/>
        </w:rPr>
        <w:t>）等级。</w:t>
      </w:r>
    </w:p>
    <w:p w14:paraId="1D91DE46" w14:textId="77777777" w:rsidR="00B0005F" w:rsidRPr="008A2411" w:rsidRDefault="00000000">
      <w:pPr>
        <w:adjustRightInd w:val="0"/>
        <w:spacing w:line="360" w:lineRule="auto"/>
        <w:ind w:firstLineChars="200" w:firstLine="480"/>
        <w:rPr>
          <w:rFonts w:ascii="Times New Roman"/>
          <w:bCs/>
          <w:color w:val="000000" w:themeColor="text1"/>
          <w:lang w:val="zh-CN"/>
        </w:rPr>
      </w:pPr>
      <w:r w:rsidRPr="008A2411">
        <w:rPr>
          <w:rFonts w:ascii="Times New Roman"/>
          <w:bCs/>
          <w:color w:val="000000" w:themeColor="text1"/>
          <w:lang w:val="zh-CN"/>
        </w:rPr>
        <w:t>（</w:t>
      </w:r>
      <w:r w:rsidRPr="008A2411">
        <w:rPr>
          <w:rFonts w:ascii="Times New Roman"/>
          <w:bCs/>
          <w:color w:val="000000" w:themeColor="text1"/>
          <w:lang w:val="zh-CN"/>
        </w:rPr>
        <w:t>3</w:t>
      </w:r>
      <w:r w:rsidRPr="008A2411">
        <w:rPr>
          <w:rFonts w:ascii="Times New Roman"/>
          <w:bCs/>
          <w:color w:val="000000" w:themeColor="text1"/>
          <w:lang w:val="zh-CN"/>
        </w:rPr>
        <w:t>）</w:t>
      </w:r>
      <w:r w:rsidRPr="008A2411">
        <w:rPr>
          <w:rFonts w:ascii="Times New Roman"/>
          <w:bCs/>
          <w:color w:val="000000" w:themeColor="text1"/>
          <w:lang w:val="zh-CN"/>
        </w:rPr>
        <w:t>P</w:t>
      </w:r>
      <w:r w:rsidRPr="008A2411">
        <w:rPr>
          <w:rFonts w:ascii="Times New Roman"/>
          <w:bCs/>
          <w:color w:val="000000" w:themeColor="text1"/>
          <w:lang w:val="zh-CN"/>
        </w:rPr>
        <w:t>值的确定</w:t>
      </w:r>
    </w:p>
    <w:p w14:paraId="0008DF14" w14:textId="1C991CE9" w:rsidR="00B0005F" w:rsidRPr="008A2411" w:rsidRDefault="00000000">
      <w:pPr>
        <w:adjustRightInd w:val="0"/>
        <w:spacing w:line="360" w:lineRule="auto"/>
        <w:ind w:firstLineChars="200" w:firstLine="480"/>
        <w:rPr>
          <w:rFonts w:ascii="Times New Roman"/>
          <w:bCs/>
          <w:color w:val="000000" w:themeColor="text1"/>
          <w:lang w:val="zh-CN"/>
        </w:rPr>
      </w:pPr>
      <w:r w:rsidRPr="008A2411">
        <w:rPr>
          <w:rFonts w:ascii="Times New Roman"/>
          <w:bCs/>
          <w:color w:val="000000" w:themeColor="text1"/>
        </w:rPr>
        <w:t>根据《建设项目环境风险评价技术导则》（</w:t>
      </w:r>
      <w:r w:rsidRPr="008A2411">
        <w:rPr>
          <w:rFonts w:ascii="Times New Roman"/>
          <w:bCs/>
          <w:color w:val="000000" w:themeColor="text1"/>
        </w:rPr>
        <w:t>HJ 169</w:t>
      </w:r>
      <w:r w:rsidRPr="008A2411">
        <w:rPr>
          <w:rFonts w:ascii="Times New Roman"/>
          <w:bCs/>
          <w:color w:val="000000" w:themeColor="text1"/>
        </w:rPr>
        <w:t>－</w:t>
      </w:r>
      <w:r w:rsidRPr="008A2411">
        <w:rPr>
          <w:rFonts w:ascii="Times New Roman"/>
          <w:bCs/>
          <w:color w:val="000000" w:themeColor="text1"/>
        </w:rPr>
        <w:t>2018</w:t>
      </w:r>
      <w:r w:rsidRPr="008A2411">
        <w:rPr>
          <w:rFonts w:ascii="Times New Roman"/>
          <w:bCs/>
          <w:color w:val="000000" w:themeColor="text1"/>
        </w:rPr>
        <w:t>）附录</w:t>
      </w:r>
      <w:r w:rsidRPr="008A2411">
        <w:rPr>
          <w:rFonts w:ascii="Times New Roman"/>
          <w:bCs/>
          <w:color w:val="000000" w:themeColor="text1"/>
        </w:rPr>
        <w:t>C</w:t>
      </w:r>
      <w:r w:rsidRPr="008A2411">
        <w:rPr>
          <w:rFonts w:ascii="Times New Roman"/>
          <w:bCs/>
          <w:color w:val="000000" w:themeColor="text1"/>
        </w:rPr>
        <w:t>中</w:t>
      </w:r>
      <w:r w:rsidRPr="008A2411">
        <w:rPr>
          <w:rFonts w:ascii="Times New Roman"/>
          <w:bCs/>
          <w:color w:val="000000" w:themeColor="text1"/>
        </w:rPr>
        <w:t>P</w:t>
      </w:r>
      <w:r w:rsidRPr="008A2411">
        <w:rPr>
          <w:rFonts w:ascii="Times New Roman"/>
          <w:bCs/>
          <w:color w:val="000000" w:themeColor="text1"/>
        </w:rPr>
        <w:t>的确定依据，项目危险物质及工艺系统危害性（</w:t>
      </w:r>
      <w:r w:rsidRPr="008A2411">
        <w:rPr>
          <w:rFonts w:ascii="Times New Roman"/>
          <w:bCs/>
          <w:color w:val="000000" w:themeColor="text1"/>
        </w:rPr>
        <w:t>P</w:t>
      </w:r>
      <w:r w:rsidRPr="008A2411">
        <w:rPr>
          <w:rFonts w:ascii="Times New Roman"/>
          <w:bCs/>
          <w:color w:val="000000" w:themeColor="text1"/>
        </w:rPr>
        <w:t>）的等级</w:t>
      </w:r>
      <w:r w:rsidRPr="008A2411">
        <w:rPr>
          <w:rFonts w:ascii="Times New Roman"/>
          <w:bCs/>
          <w:color w:val="000000" w:themeColor="text1"/>
        </w:rPr>
        <w:t>P</w:t>
      </w:r>
      <w:r w:rsidR="00E316F0" w:rsidRPr="008A2411">
        <w:rPr>
          <w:rFonts w:ascii="Times New Roman" w:hint="eastAsia"/>
          <w:bCs/>
          <w:color w:val="000000" w:themeColor="text1"/>
        </w:rPr>
        <w:t>1</w:t>
      </w:r>
      <w:r w:rsidRPr="008A2411">
        <w:rPr>
          <w:rFonts w:ascii="Times New Roman"/>
          <w:bCs/>
          <w:color w:val="000000" w:themeColor="text1"/>
        </w:rPr>
        <w:t>。</w:t>
      </w:r>
    </w:p>
    <w:p w14:paraId="6F62A5DB" w14:textId="77777777" w:rsidR="00B0005F" w:rsidRPr="008A2411" w:rsidRDefault="00000000">
      <w:pPr>
        <w:pStyle w:val="afffffff9"/>
        <w:spacing w:line="240" w:lineRule="auto"/>
        <w:ind w:firstLineChars="0" w:firstLine="0"/>
        <w:jc w:val="center"/>
        <w:rPr>
          <w:rFonts w:ascii="Times New Roman" w:eastAsia="黑体" w:hAnsi="Times New Roman"/>
          <w:bCs/>
          <w:color w:val="000000" w:themeColor="text1"/>
        </w:rPr>
      </w:pPr>
      <w:r w:rsidRPr="008A2411">
        <w:rPr>
          <w:rFonts w:ascii="Times New Roman" w:eastAsia="黑体" w:hAnsi="Times New Roman"/>
          <w:bCs/>
          <w:color w:val="000000" w:themeColor="text1"/>
        </w:rPr>
        <w:t>表</w:t>
      </w:r>
      <w:r w:rsidRPr="008A2411">
        <w:rPr>
          <w:rFonts w:ascii="Times New Roman" w:eastAsia="黑体" w:hAnsi="Times New Roman"/>
          <w:bCs/>
          <w:color w:val="000000" w:themeColor="text1"/>
        </w:rPr>
        <w:t xml:space="preserve">6.3-4  </w:t>
      </w:r>
      <w:r w:rsidRPr="008A2411">
        <w:rPr>
          <w:rFonts w:ascii="Times New Roman" w:eastAsia="黑体" w:hAnsi="Times New Roman"/>
          <w:bCs/>
          <w:color w:val="000000" w:themeColor="text1"/>
        </w:rPr>
        <w:t>本项目危险物质及工艺系统危害性等级判断</w:t>
      </w:r>
    </w:p>
    <w:tbl>
      <w:tblPr>
        <w:tblW w:w="851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282"/>
        <w:gridCol w:w="1107"/>
        <w:gridCol w:w="1711"/>
        <w:gridCol w:w="1709"/>
        <w:gridCol w:w="1708"/>
      </w:tblGrid>
      <w:tr w:rsidR="008A2411" w:rsidRPr="008A2411" w14:paraId="1B8FB588" w14:textId="77777777">
        <w:trPr>
          <w:trHeight w:hRule="exact" w:val="302"/>
          <w:jc w:val="center"/>
        </w:trPr>
        <w:tc>
          <w:tcPr>
            <w:tcW w:w="2282" w:type="dxa"/>
            <w:vMerge w:val="restart"/>
          </w:tcPr>
          <w:p w14:paraId="3681A71D"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危险物质数量与临界量的比值（</w:t>
            </w:r>
            <w:r w:rsidRPr="008A2411">
              <w:rPr>
                <w:rFonts w:ascii="Times New Roman"/>
                <w:bCs/>
                <w:color w:val="000000" w:themeColor="text1"/>
                <w:sz w:val="21"/>
                <w:szCs w:val="21"/>
              </w:rPr>
              <w:t>Q</w:t>
            </w:r>
            <w:r w:rsidRPr="008A2411">
              <w:rPr>
                <w:rFonts w:ascii="Times New Roman"/>
                <w:bCs/>
                <w:color w:val="000000" w:themeColor="text1"/>
                <w:sz w:val="21"/>
                <w:szCs w:val="21"/>
              </w:rPr>
              <w:t>）</w:t>
            </w:r>
          </w:p>
        </w:tc>
        <w:tc>
          <w:tcPr>
            <w:tcW w:w="6235" w:type="dxa"/>
            <w:gridSpan w:val="4"/>
          </w:tcPr>
          <w:p w14:paraId="26F4E206"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行业及生产工艺（</w:t>
            </w:r>
            <w:r w:rsidRPr="008A2411">
              <w:rPr>
                <w:rFonts w:ascii="Times New Roman"/>
                <w:bCs/>
                <w:color w:val="000000" w:themeColor="text1"/>
                <w:sz w:val="21"/>
                <w:szCs w:val="21"/>
              </w:rPr>
              <w:t>M</w:t>
            </w:r>
            <w:r w:rsidRPr="008A2411">
              <w:rPr>
                <w:rFonts w:ascii="Times New Roman"/>
                <w:bCs/>
                <w:color w:val="000000" w:themeColor="text1"/>
                <w:sz w:val="21"/>
                <w:szCs w:val="21"/>
              </w:rPr>
              <w:t>）</w:t>
            </w:r>
          </w:p>
        </w:tc>
      </w:tr>
      <w:tr w:rsidR="008A2411" w:rsidRPr="008A2411" w14:paraId="60BB77EB" w14:textId="77777777">
        <w:trPr>
          <w:trHeight w:hRule="exact" w:val="295"/>
          <w:jc w:val="center"/>
        </w:trPr>
        <w:tc>
          <w:tcPr>
            <w:tcW w:w="2282" w:type="dxa"/>
            <w:vMerge/>
          </w:tcPr>
          <w:p w14:paraId="7333E278" w14:textId="77777777" w:rsidR="00B0005F" w:rsidRPr="008A2411" w:rsidRDefault="00B0005F">
            <w:pPr>
              <w:jc w:val="center"/>
              <w:rPr>
                <w:rFonts w:ascii="Times New Roman"/>
                <w:bCs/>
                <w:color w:val="000000" w:themeColor="text1"/>
                <w:sz w:val="21"/>
                <w:szCs w:val="21"/>
              </w:rPr>
            </w:pPr>
          </w:p>
        </w:tc>
        <w:tc>
          <w:tcPr>
            <w:tcW w:w="1107" w:type="dxa"/>
          </w:tcPr>
          <w:p w14:paraId="2883FB0C"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M1</w:t>
            </w:r>
          </w:p>
        </w:tc>
        <w:tc>
          <w:tcPr>
            <w:tcW w:w="1711" w:type="dxa"/>
          </w:tcPr>
          <w:p w14:paraId="6A42D319"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M2</w:t>
            </w:r>
          </w:p>
        </w:tc>
        <w:tc>
          <w:tcPr>
            <w:tcW w:w="1709" w:type="dxa"/>
          </w:tcPr>
          <w:p w14:paraId="20A95AD3"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M3</w:t>
            </w:r>
          </w:p>
        </w:tc>
        <w:tc>
          <w:tcPr>
            <w:tcW w:w="1708" w:type="dxa"/>
          </w:tcPr>
          <w:p w14:paraId="1C0E03FB"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M4</w:t>
            </w:r>
          </w:p>
        </w:tc>
      </w:tr>
      <w:tr w:rsidR="008A2411" w:rsidRPr="008A2411" w14:paraId="3DBD5944" w14:textId="77777777">
        <w:trPr>
          <w:trHeight w:hRule="exact" w:val="322"/>
          <w:jc w:val="center"/>
        </w:trPr>
        <w:tc>
          <w:tcPr>
            <w:tcW w:w="2282" w:type="dxa"/>
          </w:tcPr>
          <w:p w14:paraId="12F45401"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shd w:val="pct15" w:color="auto" w:fill="FFFFFF"/>
              </w:rPr>
              <w:t>Q≥100</w:t>
            </w:r>
          </w:p>
        </w:tc>
        <w:tc>
          <w:tcPr>
            <w:tcW w:w="1107" w:type="dxa"/>
          </w:tcPr>
          <w:p w14:paraId="424777D7"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P1</w:t>
            </w:r>
          </w:p>
        </w:tc>
        <w:tc>
          <w:tcPr>
            <w:tcW w:w="1711" w:type="dxa"/>
          </w:tcPr>
          <w:p w14:paraId="4ACD45E7"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shd w:val="pct15" w:color="auto" w:fill="FFFFFF"/>
              </w:rPr>
              <w:t>P1</w:t>
            </w:r>
          </w:p>
        </w:tc>
        <w:tc>
          <w:tcPr>
            <w:tcW w:w="1709" w:type="dxa"/>
          </w:tcPr>
          <w:p w14:paraId="3FFF7DB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P2</w:t>
            </w:r>
          </w:p>
        </w:tc>
        <w:tc>
          <w:tcPr>
            <w:tcW w:w="1708" w:type="dxa"/>
          </w:tcPr>
          <w:p w14:paraId="4787BF29"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P3</w:t>
            </w:r>
          </w:p>
        </w:tc>
      </w:tr>
      <w:tr w:rsidR="008A2411" w:rsidRPr="008A2411" w14:paraId="553D8227" w14:textId="77777777">
        <w:trPr>
          <w:trHeight w:hRule="exact" w:val="322"/>
          <w:jc w:val="center"/>
        </w:trPr>
        <w:tc>
          <w:tcPr>
            <w:tcW w:w="2282" w:type="dxa"/>
          </w:tcPr>
          <w:p w14:paraId="24166996"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10≤Q</w:t>
            </w:r>
            <w:r w:rsidRPr="008A2411">
              <w:rPr>
                <w:rFonts w:ascii="Times New Roman"/>
                <w:bCs/>
                <w:color w:val="000000" w:themeColor="text1"/>
                <w:sz w:val="21"/>
                <w:szCs w:val="21"/>
              </w:rPr>
              <w:t>＜</w:t>
            </w:r>
            <w:r w:rsidRPr="008A2411">
              <w:rPr>
                <w:rFonts w:ascii="Times New Roman"/>
                <w:bCs/>
                <w:color w:val="000000" w:themeColor="text1"/>
                <w:sz w:val="21"/>
                <w:szCs w:val="21"/>
              </w:rPr>
              <w:t>100</w:t>
            </w:r>
          </w:p>
        </w:tc>
        <w:tc>
          <w:tcPr>
            <w:tcW w:w="1107" w:type="dxa"/>
          </w:tcPr>
          <w:p w14:paraId="0ADD57D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P1</w:t>
            </w:r>
          </w:p>
        </w:tc>
        <w:tc>
          <w:tcPr>
            <w:tcW w:w="1711" w:type="dxa"/>
          </w:tcPr>
          <w:p w14:paraId="687F9D5B"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P2</w:t>
            </w:r>
          </w:p>
        </w:tc>
        <w:tc>
          <w:tcPr>
            <w:tcW w:w="1709" w:type="dxa"/>
          </w:tcPr>
          <w:p w14:paraId="02C4AC7D"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P3</w:t>
            </w:r>
          </w:p>
        </w:tc>
        <w:tc>
          <w:tcPr>
            <w:tcW w:w="1708" w:type="dxa"/>
          </w:tcPr>
          <w:p w14:paraId="4E19F7A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P4</w:t>
            </w:r>
          </w:p>
        </w:tc>
      </w:tr>
      <w:tr w:rsidR="008A2411" w:rsidRPr="008A2411" w14:paraId="3917903C" w14:textId="77777777">
        <w:trPr>
          <w:trHeight w:hRule="exact" w:val="324"/>
          <w:jc w:val="center"/>
        </w:trPr>
        <w:tc>
          <w:tcPr>
            <w:tcW w:w="2282" w:type="dxa"/>
          </w:tcPr>
          <w:p w14:paraId="33B6F88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1≤Q</w:t>
            </w:r>
            <w:r w:rsidRPr="008A2411">
              <w:rPr>
                <w:rFonts w:ascii="Times New Roman"/>
                <w:bCs/>
                <w:color w:val="000000" w:themeColor="text1"/>
                <w:sz w:val="21"/>
                <w:szCs w:val="21"/>
              </w:rPr>
              <w:t>＜</w:t>
            </w:r>
            <w:r w:rsidRPr="008A2411">
              <w:rPr>
                <w:rFonts w:ascii="Times New Roman"/>
                <w:bCs/>
                <w:color w:val="000000" w:themeColor="text1"/>
                <w:sz w:val="21"/>
                <w:szCs w:val="21"/>
              </w:rPr>
              <w:t>10</w:t>
            </w:r>
          </w:p>
        </w:tc>
        <w:tc>
          <w:tcPr>
            <w:tcW w:w="1107" w:type="dxa"/>
          </w:tcPr>
          <w:p w14:paraId="0D68E4C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P2</w:t>
            </w:r>
          </w:p>
        </w:tc>
        <w:tc>
          <w:tcPr>
            <w:tcW w:w="1711" w:type="dxa"/>
          </w:tcPr>
          <w:p w14:paraId="0C1E683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P3</w:t>
            </w:r>
          </w:p>
        </w:tc>
        <w:tc>
          <w:tcPr>
            <w:tcW w:w="1709" w:type="dxa"/>
          </w:tcPr>
          <w:p w14:paraId="058FB981"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P4</w:t>
            </w:r>
          </w:p>
        </w:tc>
        <w:tc>
          <w:tcPr>
            <w:tcW w:w="1708" w:type="dxa"/>
          </w:tcPr>
          <w:p w14:paraId="75CC48F3"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P4</w:t>
            </w:r>
          </w:p>
        </w:tc>
      </w:tr>
    </w:tbl>
    <w:p w14:paraId="58050E4F" w14:textId="77777777" w:rsidR="00B0005F" w:rsidRPr="008A2411" w:rsidRDefault="00000000">
      <w:pPr>
        <w:pStyle w:val="affffffffffffffffffff6"/>
        <w:snapToGrid/>
        <w:outlineLvl w:val="2"/>
        <w:rPr>
          <w:rFonts w:ascii="Times New Roman"/>
          <w:b/>
          <w:color w:val="000000" w:themeColor="text1"/>
          <w:sz w:val="24"/>
          <w:szCs w:val="24"/>
          <w:lang w:bidi="en-US"/>
        </w:rPr>
      </w:pPr>
      <w:r w:rsidRPr="008A2411">
        <w:rPr>
          <w:rFonts w:ascii="Times New Roman"/>
          <w:b/>
          <w:color w:val="000000" w:themeColor="text1"/>
          <w:sz w:val="24"/>
          <w:szCs w:val="24"/>
          <w:lang w:bidi="en-US"/>
        </w:rPr>
        <w:t>6.3.3</w:t>
      </w:r>
      <w:r w:rsidRPr="008A2411">
        <w:rPr>
          <w:rFonts w:ascii="Times New Roman"/>
          <w:b/>
          <w:color w:val="000000" w:themeColor="text1"/>
          <w:sz w:val="24"/>
          <w:szCs w:val="24"/>
          <w:lang w:bidi="en-US"/>
        </w:rPr>
        <w:t>环境敏感程度（</w:t>
      </w:r>
      <w:r w:rsidRPr="008A2411">
        <w:rPr>
          <w:rFonts w:ascii="Times New Roman"/>
          <w:b/>
          <w:color w:val="000000" w:themeColor="text1"/>
          <w:sz w:val="24"/>
          <w:szCs w:val="24"/>
          <w:lang w:bidi="en-US"/>
        </w:rPr>
        <w:t>E</w:t>
      </w:r>
      <w:r w:rsidRPr="008A2411">
        <w:rPr>
          <w:rFonts w:ascii="Times New Roman"/>
          <w:b/>
          <w:color w:val="000000" w:themeColor="text1"/>
          <w:sz w:val="24"/>
          <w:szCs w:val="24"/>
          <w:lang w:bidi="en-US"/>
        </w:rPr>
        <w:t>）的确定</w:t>
      </w:r>
    </w:p>
    <w:p w14:paraId="5502D599" w14:textId="77777777" w:rsidR="00B0005F" w:rsidRPr="008A2411" w:rsidRDefault="00000000">
      <w:pPr>
        <w:adjustRightInd w:val="0"/>
        <w:spacing w:line="360" w:lineRule="auto"/>
        <w:ind w:firstLineChars="200" w:firstLine="482"/>
        <w:rPr>
          <w:rFonts w:ascii="Times New Roman"/>
          <w:bCs/>
          <w:color w:val="000000" w:themeColor="text1"/>
        </w:rPr>
      </w:pPr>
      <w:r w:rsidRPr="008A2411">
        <w:rPr>
          <w:rFonts w:ascii="Times New Roman"/>
          <w:b/>
          <w:bCs/>
          <w:color w:val="000000" w:themeColor="text1"/>
        </w:rPr>
        <w:t>1</w:t>
      </w:r>
      <w:r w:rsidRPr="008A2411">
        <w:rPr>
          <w:rFonts w:ascii="Times New Roman"/>
          <w:b/>
          <w:bCs/>
          <w:color w:val="000000" w:themeColor="text1"/>
        </w:rPr>
        <w:t>、大气环境</w:t>
      </w:r>
    </w:p>
    <w:p w14:paraId="68C933CF" w14:textId="77777777" w:rsidR="00B0005F" w:rsidRPr="008A2411" w:rsidRDefault="00000000">
      <w:pPr>
        <w:widowControl/>
        <w:adjustRightInd w:val="0"/>
        <w:snapToGrid w:val="0"/>
        <w:spacing w:line="360" w:lineRule="auto"/>
        <w:ind w:firstLineChars="200" w:firstLine="480"/>
        <w:jc w:val="left"/>
        <w:rPr>
          <w:rFonts w:ascii="Times New Roman"/>
          <w:bCs/>
          <w:color w:val="000000" w:themeColor="text1"/>
        </w:rPr>
      </w:pPr>
      <w:r w:rsidRPr="008A2411">
        <w:rPr>
          <w:rFonts w:ascii="Times New Roman"/>
          <w:bCs/>
          <w:color w:val="000000" w:themeColor="text1"/>
        </w:rPr>
        <w:t>周边</w:t>
      </w:r>
      <w:r w:rsidRPr="008A2411">
        <w:rPr>
          <w:rFonts w:ascii="Times New Roman"/>
          <w:bCs/>
          <w:color w:val="000000" w:themeColor="text1"/>
        </w:rPr>
        <w:t>5km</w:t>
      </w:r>
      <w:r w:rsidRPr="008A2411">
        <w:rPr>
          <w:rFonts w:ascii="Times New Roman"/>
          <w:bCs/>
          <w:color w:val="000000" w:themeColor="text1"/>
        </w:rPr>
        <w:t>范围内居住区、医疗卫生、文化教育、科研、行政办公等机构人口总数大于</w:t>
      </w:r>
      <w:r w:rsidRPr="008A2411">
        <w:rPr>
          <w:rFonts w:ascii="Times New Roman"/>
          <w:bCs/>
          <w:color w:val="000000" w:themeColor="text1"/>
        </w:rPr>
        <w:t>1</w:t>
      </w:r>
      <w:r w:rsidRPr="008A2411">
        <w:rPr>
          <w:rFonts w:ascii="Times New Roman"/>
          <w:bCs/>
          <w:color w:val="000000" w:themeColor="text1"/>
        </w:rPr>
        <w:t>万人，小于</w:t>
      </w:r>
      <w:r w:rsidRPr="008A2411">
        <w:rPr>
          <w:rFonts w:ascii="Times New Roman"/>
          <w:bCs/>
          <w:color w:val="000000" w:themeColor="text1"/>
        </w:rPr>
        <w:t>5</w:t>
      </w:r>
      <w:r w:rsidRPr="008A2411">
        <w:rPr>
          <w:rFonts w:ascii="Times New Roman"/>
          <w:bCs/>
          <w:color w:val="000000" w:themeColor="text1"/>
        </w:rPr>
        <w:t>万人；无其他需要特殊保护的地区；周边</w:t>
      </w:r>
      <w:r w:rsidRPr="008A2411">
        <w:rPr>
          <w:rFonts w:ascii="Times New Roman"/>
          <w:bCs/>
          <w:color w:val="000000" w:themeColor="text1"/>
        </w:rPr>
        <w:t>500m</w:t>
      </w:r>
      <w:r w:rsidRPr="008A2411">
        <w:rPr>
          <w:rFonts w:ascii="Times New Roman"/>
          <w:bCs/>
          <w:color w:val="000000" w:themeColor="text1"/>
        </w:rPr>
        <w:t>范围内人口总数为小于</w:t>
      </w:r>
      <w:r w:rsidRPr="008A2411">
        <w:rPr>
          <w:rFonts w:ascii="Times New Roman"/>
          <w:bCs/>
          <w:color w:val="000000" w:themeColor="text1"/>
        </w:rPr>
        <w:t>500</w:t>
      </w:r>
      <w:r w:rsidRPr="008A2411">
        <w:rPr>
          <w:rFonts w:ascii="Times New Roman"/>
          <w:bCs/>
          <w:color w:val="000000" w:themeColor="text1"/>
        </w:rPr>
        <w:t>人。根据《建设项目环境风险评价技术导则》（</w:t>
      </w:r>
      <w:r w:rsidRPr="008A2411">
        <w:rPr>
          <w:rFonts w:ascii="Times New Roman"/>
          <w:bCs/>
          <w:color w:val="000000" w:themeColor="text1"/>
        </w:rPr>
        <w:t>HJ 169</w:t>
      </w:r>
      <w:r w:rsidRPr="008A2411">
        <w:rPr>
          <w:rFonts w:ascii="Times New Roman"/>
          <w:bCs/>
          <w:color w:val="000000" w:themeColor="text1"/>
        </w:rPr>
        <w:t>－</w:t>
      </w:r>
      <w:r w:rsidRPr="008A2411">
        <w:rPr>
          <w:rFonts w:ascii="Times New Roman"/>
          <w:bCs/>
          <w:color w:val="000000" w:themeColor="text1"/>
        </w:rPr>
        <w:t>2018</w:t>
      </w:r>
      <w:r w:rsidRPr="008A2411">
        <w:rPr>
          <w:rFonts w:ascii="Times New Roman"/>
          <w:bCs/>
          <w:color w:val="000000" w:themeColor="text1"/>
        </w:rPr>
        <w:t>）附录</w:t>
      </w:r>
      <w:r w:rsidRPr="008A2411">
        <w:rPr>
          <w:rFonts w:ascii="Times New Roman"/>
          <w:bCs/>
          <w:color w:val="000000" w:themeColor="text1"/>
        </w:rPr>
        <w:t>D</w:t>
      </w:r>
      <w:r w:rsidRPr="008A2411">
        <w:rPr>
          <w:rFonts w:ascii="Times New Roman"/>
          <w:bCs/>
          <w:color w:val="000000" w:themeColor="text1"/>
        </w:rPr>
        <w:t>，项目大气环境敏感程度为环境高度敏感区（</w:t>
      </w:r>
      <w:r w:rsidRPr="008A2411">
        <w:rPr>
          <w:rFonts w:ascii="Times New Roman"/>
          <w:bCs/>
          <w:color w:val="000000" w:themeColor="text1"/>
        </w:rPr>
        <w:t>E2</w:t>
      </w:r>
      <w:r w:rsidRPr="008A2411">
        <w:rPr>
          <w:rFonts w:ascii="Times New Roman"/>
          <w:bCs/>
          <w:color w:val="000000" w:themeColor="text1"/>
        </w:rPr>
        <w:t>）。</w:t>
      </w:r>
    </w:p>
    <w:p w14:paraId="09D57541" w14:textId="77777777" w:rsidR="00B0005F" w:rsidRPr="008A2411" w:rsidRDefault="00000000">
      <w:pPr>
        <w:adjustRightInd w:val="0"/>
        <w:spacing w:line="360" w:lineRule="auto"/>
        <w:ind w:firstLineChars="200" w:firstLine="482"/>
        <w:rPr>
          <w:rFonts w:ascii="Times New Roman"/>
          <w:b/>
          <w:bCs/>
          <w:color w:val="000000" w:themeColor="text1"/>
        </w:rPr>
      </w:pPr>
      <w:r w:rsidRPr="008A2411">
        <w:rPr>
          <w:rFonts w:ascii="Times New Roman"/>
          <w:b/>
          <w:bCs/>
          <w:color w:val="000000" w:themeColor="text1"/>
        </w:rPr>
        <w:t>2</w:t>
      </w:r>
      <w:r w:rsidRPr="008A2411">
        <w:rPr>
          <w:rFonts w:ascii="Times New Roman"/>
          <w:b/>
          <w:bCs/>
          <w:color w:val="000000" w:themeColor="text1"/>
        </w:rPr>
        <w:t>、地表水环境</w:t>
      </w:r>
    </w:p>
    <w:p w14:paraId="5CFFE50D" w14:textId="77777777" w:rsidR="00B0005F" w:rsidRPr="008A2411" w:rsidRDefault="00000000">
      <w:pPr>
        <w:widowControl/>
        <w:adjustRightInd w:val="0"/>
        <w:snapToGrid w:val="0"/>
        <w:spacing w:line="360" w:lineRule="auto"/>
        <w:ind w:firstLineChars="200" w:firstLine="480"/>
        <w:jc w:val="left"/>
        <w:rPr>
          <w:rFonts w:ascii="Times New Roman"/>
          <w:bCs/>
          <w:color w:val="000000" w:themeColor="text1"/>
        </w:rPr>
      </w:pPr>
      <w:r w:rsidRPr="008A2411">
        <w:rPr>
          <w:rFonts w:ascii="Times New Roman"/>
          <w:bCs/>
          <w:color w:val="000000" w:themeColor="text1"/>
        </w:rPr>
        <w:t>本项目废水不外排，发生风险事故后，危险物质可能进入西侧</w:t>
      </w:r>
      <w:r w:rsidRPr="008A2411">
        <w:rPr>
          <w:rFonts w:ascii="Times New Roman"/>
          <w:bCs/>
          <w:color w:val="000000" w:themeColor="text1"/>
        </w:rPr>
        <w:t>251m</w:t>
      </w:r>
      <w:r w:rsidRPr="008A2411">
        <w:rPr>
          <w:rFonts w:ascii="Times New Roman"/>
          <w:bCs/>
          <w:color w:val="000000" w:themeColor="text1"/>
        </w:rPr>
        <w:t>处后巴河，后巴河在项目下游约</w:t>
      </w:r>
      <w:r w:rsidRPr="008A2411">
        <w:rPr>
          <w:rFonts w:ascii="Times New Roman"/>
          <w:bCs/>
          <w:color w:val="000000" w:themeColor="text1"/>
        </w:rPr>
        <w:t>5.6km</w:t>
      </w:r>
      <w:r w:rsidRPr="008A2411">
        <w:rPr>
          <w:rFonts w:ascii="Times New Roman"/>
          <w:bCs/>
          <w:color w:val="000000" w:themeColor="text1"/>
        </w:rPr>
        <w:t>处汇入后河，区域地表水环境功能为</w:t>
      </w:r>
      <w:r w:rsidRPr="008A2411">
        <w:rPr>
          <w:rFonts w:ascii="Times New Roman"/>
          <w:bCs/>
          <w:color w:val="000000" w:themeColor="text1"/>
        </w:rPr>
        <w:t>Ⅲ</w:t>
      </w:r>
      <w:r w:rsidRPr="008A2411">
        <w:rPr>
          <w:rFonts w:ascii="Times New Roman"/>
          <w:bCs/>
          <w:color w:val="000000" w:themeColor="text1"/>
        </w:rPr>
        <w:t>类水体，因此地表水环境敏感特征为</w:t>
      </w:r>
      <w:r w:rsidRPr="008A2411">
        <w:rPr>
          <w:rFonts w:ascii="Times New Roman"/>
          <w:bCs/>
          <w:color w:val="000000" w:themeColor="text1"/>
        </w:rPr>
        <w:t>F2</w:t>
      </w:r>
      <w:r w:rsidRPr="008A2411">
        <w:rPr>
          <w:rFonts w:ascii="Times New Roman"/>
          <w:bCs/>
          <w:color w:val="000000" w:themeColor="text1"/>
        </w:rPr>
        <w:t>，并且排放点下游</w:t>
      </w:r>
      <w:r w:rsidRPr="008A2411">
        <w:rPr>
          <w:rFonts w:ascii="Times New Roman"/>
          <w:bCs/>
          <w:color w:val="000000" w:themeColor="text1"/>
        </w:rPr>
        <w:t>5.6km</w:t>
      </w:r>
      <w:r w:rsidRPr="008A2411">
        <w:rPr>
          <w:rFonts w:ascii="Times New Roman"/>
          <w:bCs/>
          <w:color w:val="000000" w:themeColor="text1"/>
        </w:rPr>
        <w:t>处的汇入点为水产种质资源保护区，环境敏感目标分级为</w:t>
      </w:r>
      <w:r w:rsidRPr="008A2411">
        <w:rPr>
          <w:rFonts w:ascii="Times New Roman"/>
          <w:bCs/>
          <w:color w:val="000000" w:themeColor="text1"/>
        </w:rPr>
        <w:t>S1</w:t>
      </w:r>
      <w:r w:rsidRPr="008A2411">
        <w:rPr>
          <w:rFonts w:ascii="Times New Roman"/>
          <w:bCs/>
          <w:color w:val="000000" w:themeColor="text1"/>
        </w:rPr>
        <w:t>。根据《建设项目环境风险评价技术导则》（</w:t>
      </w:r>
      <w:r w:rsidRPr="008A2411">
        <w:rPr>
          <w:rFonts w:ascii="Times New Roman"/>
          <w:bCs/>
          <w:color w:val="000000" w:themeColor="text1"/>
        </w:rPr>
        <w:t>HJ 169</w:t>
      </w:r>
      <w:r w:rsidRPr="008A2411">
        <w:rPr>
          <w:rFonts w:ascii="Times New Roman"/>
          <w:bCs/>
          <w:color w:val="000000" w:themeColor="text1"/>
        </w:rPr>
        <w:t>－</w:t>
      </w:r>
      <w:r w:rsidRPr="008A2411">
        <w:rPr>
          <w:rFonts w:ascii="Times New Roman"/>
          <w:bCs/>
          <w:color w:val="000000" w:themeColor="text1"/>
        </w:rPr>
        <w:t>2018</w:t>
      </w:r>
      <w:r w:rsidRPr="008A2411">
        <w:rPr>
          <w:rFonts w:ascii="Times New Roman"/>
          <w:bCs/>
          <w:color w:val="000000" w:themeColor="text1"/>
        </w:rPr>
        <w:t>）附录</w:t>
      </w:r>
      <w:r w:rsidRPr="008A2411">
        <w:rPr>
          <w:rFonts w:ascii="Times New Roman"/>
          <w:bCs/>
          <w:color w:val="000000" w:themeColor="text1"/>
        </w:rPr>
        <w:t>D</w:t>
      </w:r>
      <w:r w:rsidRPr="008A2411">
        <w:rPr>
          <w:rFonts w:ascii="Times New Roman"/>
          <w:bCs/>
          <w:color w:val="000000" w:themeColor="text1"/>
        </w:rPr>
        <w:t>，项目地表水环境敏感程度为环境中度敏感区（</w:t>
      </w:r>
      <w:r w:rsidRPr="008A2411">
        <w:rPr>
          <w:rFonts w:ascii="Times New Roman"/>
          <w:bCs/>
          <w:color w:val="000000" w:themeColor="text1"/>
        </w:rPr>
        <w:t>E1</w:t>
      </w:r>
      <w:r w:rsidRPr="008A2411">
        <w:rPr>
          <w:rFonts w:ascii="Times New Roman"/>
          <w:bCs/>
          <w:color w:val="000000" w:themeColor="text1"/>
        </w:rPr>
        <w:t>）。</w:t>
      </w:r>
    </w:p>
    <w:p w14:paraId="60030487" w14:textId="77777777" w:rsidR="00B0005F" w:rsidRPr="008A2411" w:rsidRDefault="00000000">
      <w:pPr>
        <w:adjustRightInd w:val="0"/>
        <w:spacing w:line="360" w:lineRule="auto"/>
        <w:ind w:firstLineChars="200" w:firstLine="482"/>
        <w:rPr>
          <w:rFonts w:ascii="Times New Roman"/>
          <w:b/>
          <w:bCs/>
          <w:color w:val="000000" w:themeColor="text1"/>
        </w:rPr>
      </w:pPr>
      <w:r w:rsidRPr="008A2411">
        <w:rPr>
          <w:rFonts w:ascii="Times New Roman"/>
          <w:b/>
          <w:bCs/>
          <w:color w:val="000000" w:themeColor="text1"/>
        </w:rPr>
        <w:t>3</w:t>
      </w:r>
      <w:r w:rsidRPr="008A2411">
        <w:rPr>
          <w:rFonts w:ascii="Times New Roman"/>
          <w:b/>
          <w:bCs/>
          <w:color w:val="000000" w:themeColor="text1"/>
        </w:rPr>
        <w:t>、地下水环境</w:t>
      </w:r>
    </w:p>
    <w:p w14:paraId="6ED1A2F4" w14:textId="77777777" w:rsidR="00B0005F" w:rsidRPr="008A2411" w:rsidRDefault="00000000">
      <w:pPr>
        <w:adjustRightInd w:val="0"/>
        <w:spacing w:line="360" w:lineRule="auto"/>
        <w:ind w:firstLineChars="200" w:firstLine="480"/>
        <w:rPr>
          <w:rFonts w:ascii="Times New Roman"/>
          <w:bCs/>
          <w:color w:val="000000" w:themeColor="text1"/>
        </w:rPr>
      </w:pPr>
      <w:r w:rsidRPr="008A2411">
        <w:rPr>
          <w:rFonts w:ascii="Times New Roman"/>
          <w:bCs/>
          <w:color w:val="000000" w:themeColor="text1"/>
        </w:rPr>
        <w:t>本项目所在区域地下水敏感程度为较敏感（</w:t>
      </w:r>
      <w:r w:rsidRPr="008A2411">
        <w:rPr>
          <w:rFonts w:ascii="Times New Roman"/>
          <w:bCs/>
          <w:color w:val="000000" w:themeColor="text1"/>
        </w:rPr>
        <w:t>G2</w:t>
      </w:r>
      <w:r w:rsidRPr="008A2411">
        <w:rPr>
          <w:rFonts w:ascii="Times New Roman"/>
          <w:bCs/>
          <w:color w:val="000000" w:themeColor="text1"/>
        </w:rPr>
        <w:t>），包气带防污性能分级为</w:t>
      </w:r>
      <w:r w:rsidRPr="008A2411">
        <w:rPr>
          <w:rFonts w:ascii="Times New Roman"/>
          <w:bCs/>
          <w:color w:val="000000" w:themeColor="text1"/>
        </w:rPr>
        <w:t>Mb≥1.0m</w:t>
      </w:r>
      <w:r w:rsidRPr="008A2411">
        <w:rPr>
          <w:rFonts w:ascii="Times New Roman"/>
          <w:bCs/>
          <w:color w:val="000000" w:themeColor="text1"/>
        </w:rPr>
        <w:t>，</w:t>
      </w:r>
      <w:r w:rsidRPr="008A2411">
        <w:rPr>
          <w:rFonts w:ascii="Times New Roman"/>
          <w:bCs/>
          <w:color w:val="000000" w:themeColor="text1"/>
        </w:rPr>
        <w:t>1×10</w:t>
      </w:r>
      <w:r w:rsidRPr="008A2411">
        <w:rPr>
          <w:rFonts w:ascii="Times New Roman"/>
          <w:bCs/>
          <w:color w:val="000000" w:themeColor="text1"/>
          <w:vertAlign w:val="superscript"/>
        </w:rPr>
        <w:t>-6</w:t>
      </w:r>
      <w:r w:rsidRPr="008A2411">
        <w:rPr>
          <w:rFonts w:ascii="Times New Roman"/>
          <w:bCs/>
          <w:color w:val="000000" w:themeColor="text1"/>
        </w:rPr>
        <w:t>cm/s≤K≤1×10</w:t>
      </w:r>
      <w:r w:rsidRPr="008A2411">
        <w:rPr>
          <w:rFonts w:ascii="Times New Roman"/>
          <w:bCs/>
          <w:color w:val="000000" w:themeColor="text1"/>
          <w:vertAlign w:val="superscript"/>
        </w:rPr>
        <w:t>-4</w:t>
      </w:r>
      <w:r w:rsidRPr="008A2411">
        <w:rPr>
          <w:rFonts w:ascii="Times New Roman"/>
          <w:bCs/>
          <w:color w:val="000000" w:themeColor="text1"/>
        </w:rPr>
        <w:t>cm/s</w:t>
      </w:r>
      <w:r w:rsidRPr="008A2411">
        <w:rPr>
          <w:rFonts w:ascii="Times New Roman"/>
          <w:bCs/>
          <w:color w:val="000000" w:themeColor="text1"/>
        </w:rPr>
        <w:t>，且分布连续、稳定（</w:t>
      </w:r>
      <w:r w:rsidRPr="008A2411">
        <w:rPr>
          <w:rFonts w:ascii="Times New Roman"/>
          <w:bCs/>
          <w:color w:val="000000" w:themeColor="text1"/>
        </w:rPr>
        <w:t>D2</w:t>
      </w:r>
      <w:r w:rsidRPr="008A2411">
        <w:rPr>
          <w:rFonts w:ascii="Times New Roman"/>
          <w:bCs/>
          <w:color w:val="000000" w:themeColor="text1"/>
        </w:rPr>
        <w:t>）。根据《建设项目环境风险评价技术导则》（</w:t>
      </w:r>
      <w:r w:rsidRPr="008A2411">
        <w:rPr>
          <w:rFonts w:ascii="Times New Roman"/>
          <w:bCs/>
          <w:color w:val="000000" w:themeColor="text1"/>
        </w:rPr>
        <w:t>HJ 169</w:t>
      </w:r>
      <w:r w:rsidRPr="008A2411">
        <w:rPr>
          <w:rFonts w:ascii="Times New Roman"/>
          <w:bCs/>
          <w:color w:val="000000" w:themeColor="text1"/>
        </w:rPr>
        <w:t>－</w:t>
      </w:r>
      <w:r w:rsidRPr="008A2411">
        <w:rPr>
          <w:rFonts w:ascii="Times New Roman"/>
          <w:bCs/>
          <w:color w:val="000000" w:themeColor="text1"/>
        </w:rPr>
        <w:t>2018</w:t>
      </w:r>
      <w:r w:rsidRPr="008A2411">
        <w:rPr>
          <w:rFonts w:ascii="Times New Roman"/>
          <w:bCs/>
          <w:color w:val="000000" w:themeColor="text1"/>
        </w:rPr>
        <w:t>）附录</w:t>
      </w:r>
      <w:r w:rsidRPr="008A2411">
        <w:rPr>
          <w:rFonts w:ascii="Times New Roman"/>
          <w:bCs/>
          <w:color w:val="000000" w:themeColor="text1"/>
        </w:rPr>
        <w:t>D</w:t>
      </w:r>
      <w:r w:rsidRPr="008A2411">
        <w:rPr>
          <w:rFonts w:ascii="Times New Roman"/>
          <w:bCs/>
          <w:color w:val="000000" w:themeColor="text1"/>
        </w:rPr>
        <w:t>，项目地下水环境敏感程度为环境中度敏感区（</w:t>
      </w:r>
      <w:r w:rsidRPr="008A2411">
        <w:rPr>
          <w:rFonts w:ascii="Times New Roman"/>
          <w:bCs/>
          <w:color w:val="000000" w:themeColor="text1"/>
        </w:rPr>
        <w:t>E2</w:t>
      </w:r>
      <w:r w:rsidRPr="008A2411">
        <w:rPr>
          <w:rFonts w:ascii="Times New Roman"/>
          <w:bCs/>
          <w:color w:val="000000" w:themeColor="text1"/>
        </w:rPr>
        <w:t>）。</w:t>
      </w:r>
    </w:p>
    <w:p w14:paraId="7B656AC4" w14:textId="77777777" w:rsidR="00B0005F" w:rsidRPr="008A2411" w:rsidRDefault="00000000">
      <w:pPr>
        <w:pStyle w:val="afffffff9"/>
        <w:spacing w:line="240" w:lineRule="auto"/>
        <w:ind w:firstLineChars="0" w:firstLine="0"/>
        <w:jc w:val="center"/>
        <w:rPr>
          <w:rFonts w:ascii="Times New Roman" w:eastAsia="黑体" w:hAnsi="Times New Roman"/>
          <w:bCs/>
          <w:color w:val="000000" w:themeColor="text1"/>
        </w:rPr>
      </w:pPr>
      <w:r w:rsidRPr="008A2411">
        <w:rPr>
          <w:rFonts w:ascii="Times New Roman" w:eastAsia="黑体" w:hAnsi="Times New Roman"/>
          <w:bCs/>
          <w:color w:val="000000" w:themeColor="text1"/>
        </w:rPr>
        <w:t>表</w:t>
      </w:r>
      <w:r w:rsidRPr="008A2411">
        <w:rPr>
          <w:rFonts w:ascii="Times New Roman" w:eastAsia="黑体" w:hAnsi="Times New Roman"/>
          <w:bCs/>
          <w:color w:val="000000" w:themeColor="text1"/>
        </w:rPr>
        <w:t xml:space="preserve">6.3-5  </w:t>
      </w:r>
      <w:r w:rsidRPr="008A2411">
        <w:rPr>
          <w:rFonts w:ascii="Times New Roman" w:eastAsia="黑体" w:hAnsi="Times New Roman"/>
          <w:bCs/>
          <w:color w:val="000000" w:themeColor="text1"/>
        </w:rPr>
        <w:t>本项目环境敏感特征表</w:t>
      </w:r>
    </w:p>
    <w:tbl>
      <w:tblPr>
        <w:tblW w:w="505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511"/>
        <w:gridCol w:w="459"/>
        <w:gridCol w:w="1702"/>
        <w:gridCol w:w="1127"/>
        <w:gridCol w:w="1519"/>
        <w:gridCol w:w="1596"/>
        <w:gridCol w:w="1497"/>
      </w:tblGrid>
      <w:tr w:rsidR="008A2411" w:rsidRPr="008A2411" w14:paraId="03EC7559" w14:textId="77777777">
        <w:trPr>
          <w:jc w:val="center"/>
        </w:trPr>
        <w:tc>
          <w:tcPr>
            <w:tcW w:w="0" w:type="auto"/>
            <w:vAlign w:val="center"/>
          </w:tcPr>
          <w:p w14:paraId="7CBDD26B"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类别</w:t>
            </w:r>
          </w:p>
        </w:tc>
        <w:tc>
          <w:tcPr>
            <w:tcW w:w="0" w:type="auto"/>
            <w:gridSpan w:val="6"/>
            <w:vAlign w:val="center"/>
          </w:tcPr>
          <w:p w14:paraId="193E3E6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环境敏感特征</w:t>
            </w:r>
          </w:p>
        </w:tc>
      </w:tr>
      <w:tr w:rsidR="008A2411" w:rsidRPr="008A2411" w14:paraId="6166E491" w14:textId="77777777">
        <w:trPr>
          <w:jc w:val="center"/>
        </w:trPr>
        <w:tc>
          <w:tcPr>
            <w:tcW w:w="0" w:type="auto"/>
            <w:vMerge w:val="restart"/>
            <w:vAlign w:val="center"/>
          </w:tcPr>
          <w:p w14:paraId="215E83D7"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环境空气</w:t>
            </w:r>
          </w:p>
        </w:tc>
        <w:tc>
          <w:tcPr>
            <w:tcW w:w="0" w:type="auto"/>
            <w:gridSpan w:val="6"/>
            <w:vAlign w:val="center"/>
          </w:tcPr>
          <w:p w14:paraId="41F4A4E6"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厂址周边</w:t>
            </w:r>
            <w:r w:rsidRPr="008A2411">
              <w:rPr>
                <w:rFonts w:ascii="Times New Roman"/>
                <w:bCs/>
                <w:color w:val="000000" w:themeColor="text1"/>
                <w:sz w:val="21"/>
                <w:szCs w:val="21"/>
              </w:rPr>
              <w:t>5km</w:t>
            </w:r>
            <w:r w:rsidRPr="008A2411">
              <w:rPr>
                <w:rFonts w:ascii="Times New Roman"/>
                <w:bCs/>
                <w:color w:val="000000" w:themeColor="text1"/>
                <w:sz w:val="21"/>
                <w:szCs w:val="21"/>
              </w:rPr>
              <w:t>范围内</w:t>
            </w:r>
          </w:p>
        </w:tc>
      </w:tr>
      <w:tr w:rsidR="008A2411" w:rsidRPr="008A2411" w14:paraId="706D612A" w14:textId="77777777">
        <w:trPr>
          <w:jc w:val="center"/>
        </w:trPr>
        <w:tc>
          <w:tcPr>
            <w:tcW w:w="0" w:type="auto"/>
            <w:vMerge/>
            <w:textDirection w:val="tbRl"/>
            <w:vAlign w:val="center"/>
          </w:tcPr>
          <w:p w14:paraId="435B86C9" w14:textId="77777777" w:rsidR="00B0005F" w:rsidRPr="008A2411" w:rsidRDefault="00B0005F">
            <w:pPr>
              <w:jc w:val="center"/>
              <w:rPr>
                <w:rFonts w:ascii="Times New Roman"/>
                <w:bCs/>
                <w:color w:val="000000" w:themeColor="text1"/>
                <w:sz w:val="21"/>
                <w:szCs w:val="21"/>
              </w:rPr>
            </w:pPr>
          </w:p>
        </w:tc>
        <w:tc>
          <w:tcPr>
            <w:tcW w:w="273" w:type="pct"/>
            <w:vAlign w:val="center"/>
          </w:tcPr>
          <w:p w14:paraId="294EAD61"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序号</w:t>
            </w:r>
          </w:p>
        </w:tc>
        <w:tc>
          <w:tcPr>
            <w:tcW w:w="1012" w:type="pct"/>
            <w:vAlign w:val="center"/>
          </w:tcPr>
          <w:p w14:paraId="4A5E2C5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敏感目标名称</w:t>
            </w:r>
          </w:p>
        </w:tc>
        <w:tc>
          <w:tcPr>
            <w:tcW w:w="670" w:type="pct"/>
            <w:vAlign w:val="center"/>
          </w:tcPr>
          <w:p w14:paraId="19D7F819"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相对方位</w:t>
            </w:r>
          </w:p>
        </w:tc>
        <w:tc>
          <w:tcPr>
            <w:tcW w:w="903" w:type="pct"/>
            <w:vAlign w:val="center"/>
          </w:tcPr>
          <w:p w14:paraId="0D559F8B"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距离</w:t>
            </w:r>
            <w:r w:rsidRPr="008A2411">
              <w:rPr>
                <w:rFonts w:ascii="Times New Roman"/>
                <w:bCs/>
                <w:color w:val="000000" w:themeColor="text1"/>
                <w:sz w:val="21"/>
                <w:szCs w:val="21"/>
              </w:rPr>
              <w:t>/m</w:t>
            </w:r>
          </w:p>
        </w:tc>
        <w:tc>
          <w:tcPr>
            <w:tcW w:w="947" w:type="pct"/>
            <w:vAlign w:val="center"/>
          </w:tcPr>
          <w:p w14:paraId="28D63D69"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属性</w:t>
            </w:r>
          </w:p>
        </w:tc>
        <w:tc>
          <w:tcPr>
            <w:tcW w:w="890" w:type="pct"/>
            <w:vAlign w:val="center"/>
          </w:tcPr>
          <w:p w14:paraId="3DFEBB8A"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人口数</w:t>
            </w:r>
          </w:p>
        </w:tc>
      </w:tr>
      <w:tr w:rsidR="008A2411" w:rsidRPr="008A2411" w14:paraId="4C513828" w14:textId="77777777">
        <w:trPr>
          <w:jc w:val="center"/>
        </w:trPr>
        <w:tc>
          <w:tcPr>
            <w:tcW w:w="0" w:type="auto"/>
            <w:vMerge/>
            <w:textDirection w:val="tbRl"/>
            <w:vAlign w:val="center"/>
          </w:tcPr>
          <w:p w14:paraId="2F3585C4" w14:textId="77777777" w:rsidR="00B0005F" w:rsidRPr="008A2411" w:rsidRDefault="00B0005F">
            <w:pPr>
              <w:jc w:val="center"/>
              <w:rPr>
                <w:rFonts w:ascii="Times New Roman"/>
                <w:bCs/>
                <w:color w:val="000000" w:themeColor="text1"/>
                <w:sz w:val="21"/>
                <w:szCs w:val="21"/>
              </w:rPr>
            </w:pPr>
          </w:p>
        </w:tc>
        <w:tc>
          <w:tcPr>
            <w:tcW w:w="273" w:type="pct"/>
            <w:vAlign w:val="center"/>
          </w:tcPr>
          <w:p w14:paraId="33596D4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w:t>
            </w:r>
          </w:p>
        </w:tc>
        <w:tc>
          <w:tcPr>
            <w:tcW w:w="1012" w:type="pct"/>
            <w:vAlign w:val="center"/>
          </w:tcPr>
          <w:p w14:paraId="08C1CB55"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杏树村居民</w:t>
            </w:r>
          </w:p>
        </w:tc>
        <w:tc>
          <w:tcPr>
            <w:tcW w:w="670" w:type="pct"/>
            <w:vAlign w:val="center"/>
          </w:tcPr>
          <w:p w14:paraId="0DA23880"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西北</w:t>
            </w:r>
          </w:p>
        </w:tc>
        <w:tc>
          <w:tcPr>
            <w:tcW w:w="903" w:type="pct"/>
            <w:vAlign w:val="center"/>
          </w:tcPr>
          <w:p w14:paraId="235E37F4"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699~750</w:t>
            </w:r>
          </w:p>
        </w:tc>
        <w:tc>
          <w:tcPr>
            <w:tcW w:w="947" w:type="pct"/>
            <w:vAlign w:val="center"/>
          </w:tcPr>
          <w:p w14:paraId="709560FB"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居住区</w:t>
            </w:r>
          </w:p>
        </w:tc>
        <w:tc>
          <w:tcPr>
            <w:tcW w:w="890" w:type="pct"/>
            <w:vAlign w:val="center"/>
          </w:tcPr>
          <w:p w14:paraId="2DB6791E"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3</w:t>
            </w:r>
            <w:r w:rsidRPr="008A2411">
              <w:rPr>
                <w:rFonts w:ascii="Times New Roman"/>
                <w:color w:val="000000" w:themeColor="text1"/>
                <w:sz w:val="21"/>
                <w:szCs w:val="21"/>
              </w:rPr>
              <w:t>户</w:t>
            </w:r>
            <w:r w:rsidRPr="008A2411">
              <w:rPr>
                <w:rFonts w:ascii="Times New Roman"/>
                <w:color w:val="000000" w:themeColor="text1"/>
                <w:sz w:val="21"/>
                <w:szCs w:val="21"/>
              </w:rPr>
              <w:t>12</w:t>
            </w:r>
            <w:r w:rsidRPr="008A2411">
              <w:rPr>
                <w:rFonts w:ascii="Times New Roman"/>
                <w:color w:val="000000" w:themeColor="text1"/>
                <w:sz w:val="21"/>
                <w:szCs w:val="21"/>
              </w:rPr>
              <w:t>人</w:t>
            </w:r>
          </w:p>
        </w:tc>
      </w:tr>
      <w:tr w:rsidR="008A2411" w:rsidRPr="008A2411" w14:paraId="64836E4B" w14:textId="77777777">
        <w:trPr>
          <w:jc w:val="center"/>
        </w:trPr>
        <w:tc>
          <w:tcPr>
            <w:tcW w:w="0" w:type="auto"/>
            <w:vMerge/>
            <w:textDirection w:val="tbRl"/>
            <w:vAlign w:val="center"/>
          </w:tcPr>
          <w:p w14:paraId="62E44293" w14:textId="77777777" w:rsidR="00B0005F" w:rsidRPr="008A2411" w:rsidRDefault="00B0005F">
            <w:pPr>
              <w:jc w:val="center"/>
              <w:rPr>
                <w:rFonts w:ascii="Times New Roman"/>
                <w:bCs/>
                <w:color w:val="000000" w:themeColor="text1"/>
                <w:sz w:val="21"/>
                <w:szCs w:val="21"/>
              </w:rPr>
            </w:pPr>
          </w:p>
        </w:tc>
        <w:tc>
          <w:tcPr>
            <w:tcW w:w="273" w:type="pct"/>
            <w:vAlign w:val="center"/>
          </w:tcPr>
          <w:p w14:paraId="69DAFEC1"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2</w:t>
            </w:r>
          </w:p>
        </w:tc>
        <w:tc>
          <w:tcPr>
            <w:tcW w:w="1012" w:type="pct"/>
            <w:vAlign w:val="center"/>
          </w:tcPr>
          <w:p w14:paraId="116C2DE6"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杏树村居民</w:t>
            </w:r>
          </w:p>
        </w:tc>
        <w:tc>
          <w:tcPr>
            <w:tcW w:w="670" w:type="pct"/>
            <w:vAlign w:val="center"/>
          </w:tcPr>
          <w:p w14:paraId="7E2986B9"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西北</w:t>
            </w:r>
          </w:p>
        </w:tc>
        <w:tc>
          <w:tcPr>
            <w:tcW w:w="903" w:type="pct"/>
            <w:vAlign w:val="center"/>
          </w:tcPr>
          <w:p w14:paraId="1A2273ED"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819~960</w:t>
            </w:r>
          </w:p>
        </w:tc>
        <w:tc>
          <w:tcPr>
            <w:tcW w:w="947" w:type="pct"/>
            <w:vAlign w:val="center"/>
          </w:tcPr>
          <w:p w14:paraId="36C6035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居住区</w:t>
            </w:r>
          </w:p>
        </w:tc>
        <w:tc>
          <w:tcPr>
            <w:tcW w:w="890" w:type="pct"/>
            <w:vAlign w:val="center"/>
          </w:tcPr>
          <w:p w14:paraId="657C16CC"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9</w:t>
            </w:r>
            <w:r w:rsidRPr="008A2411">
              <w:rPr>
                <w:rFonts w:ascii="Times New Roman"/>
                <w:color w:val="000000" w:themeColor="text1"/>
                <w:sz w:val="21"/>
                <w:szCs w:val="21"/>
              </w:rPr>
              <w:t>户</w:t>
            </w:r>
            <w:r w:rsidRPr="008A2411">
              <w:rPr>
                <w:rFonts w:ascii="Times New Roman"/>
                <w:color w:val="000000" w:themeColor="text1"/>
                <w:sz w:val="21"/>
                <w:szCs w:val="21"/>
              </w:rPr>
              <w:t>35</w:t>
            </w:r>
            <w:r w:rsidRPr="008A2411">
              <w:rPr>
                <w:rFonts w:ascii="Times New Roman"/>
                <w:color w:val="000000" w:themeColor="text1"/>
                <w:sz w:val="21"/>
                <w:szCs w:val="21"/>
              </w:rPr>
              <w:t>人</w:t>
            </w:r>
          </w:p>
        </w:tc>
      </w:tr>
      <w:tr w:rsidR="008A2411" w:rsidRPr="008A2411" w14:paraId="50E8CEBA" w14:textId="77777777">
        <w:trPr>
          <w:jc w:val="center"/>
        </w:trPr>
        <w:tc>
          <w:tcPr>
            <w:tcW w:w="0" w:type="auto"/>
            <w:vMerge/>
            <w:textDirection w:val="tbRl"/>
            <w:vAlign w:val="center"/>
          </w:tcPr>
          <w:p w14:paraId="212B1973" w14:textId="77777777" w:rsidR="00B0005F" w:rsidRPr="008A2411" w:rsidRDefault="00B0005F">
            <w:pPr>
              <w:jc w:val="center"/>
              <w:rPr>
                <w:rFonts w:ascii="Times New Roman"/>
                <w:bCs/>
                <w:color w:val="000000" w:themeColor="text1"/>
                <w:sz w:val="21"/>
                <w:szCs w:val="21"/>
              </w:rPr>
            </w:pPr>
          </w:p>
        </w:tc>
        <w:tc>
          <w:tcPr>
            <w:tcW w:w="273" w:type="pct"/>
            <w:vAlign w:val="center"/>
          </w:tcPr>
          <w:p w14:paraId="0D7C2154"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3</w:t>
            </w:r>
          </w:p>
        </w:tc>
        <w:tc>
          <w:tcPr>
            <w:tcW w:w="1012" w:type="pct"/>
            <w:vAlign w:val="center"/>
          </w:tcPr>
          <w:p w14:paraId="6E17511B"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杏树村居民</w:t>
            </w:r>
          </w:p>
        </w:tc>
        <w:tc>
          <w:tcPr>
            <w:tcW w:w="670" w:type="pct"/>
            <w:vAlign w:val="center"/>
          </w:tcPr>
          <w:p w14:paraId="0F8F5E7D"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西北</w:t>
            </w:r>
          </w:p>
        </w:tc>
        <w:tc>
          <w:tcPr>
            <w:tcW w:w="903" w:type="pct"/>
            <w:vAlign w:val="center"/>
          </w:tcPr>
          <w:p w14:paraId="0A28A79F"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1048~1160</w:t>
            </w:r>
          </w:p>
        </w:tc>
        <w:tc>
          <w:tcPr>
            <w:tcW w:w="947" w:type="pct"/>
            <w:vAlign w:val="center"/>
          </w:tcPr>
          <w:p w14:paraId="54B339C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居住区</w:t>
            </w:r>
          </w:p>
        </w:tc>
        <w:tc>
          <w:tcPr>
            <w:tcW w:w="890" w:type="pct"/>
            <w:vAlign w:val="center"/>
          </w:tcPr>
          <w:p w14:paraId="7ABD72C4"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10</w:t>
            </w:r>
            <w:r w:rsidRPr="008A2411">
              <w:rPr>
                <w:rFonts w:ascii="Times New Roman"/>
                <w:color w:val="000000" w:themeColor="text1"/>
                <w:sz w:val="21"/>
                <w:szCs w:val="21"/>
              </w:rPr>
              <w:t>户</w:t>
            </w:r>
            <w:r w:rsidRPr="008A2411">
              <w:rPr>
                <w:rFonts w:ascii="Times New Roman"/>
                <w:color w:val="000000" w:themeColor="text1"/>
                <w:sz w:val="21"/>
                <w:szCs w:val="21"/>
              </w:rPr>
              <w:t>39</w:t>
            </w:r>
            <w:r w:rsidRPr="008A2411">
              <w:rPr>
                <w:rFonts w:ascii="Times New Roman"/>
                <w:color w:val="000000" w:themeColor="text1"/>
                <w:sz w:val="21"/>
                <w:szCs w:val="21"/>
              </w:rPr>
              <w:t>人</w:t>
            </w:r>
          </w:p>
        </w:tc>
      </w:tr>
      <w:tr w:rsidR="008A2411" w:rsidRPr="008A2411" w14:paraId="2F6C4466" w14:textId="77777777">
        <w:trPr>
          <w:jc w:val="center"/>
        </w:trPr>
        <w:tc>
          <w:tcPr>
            <w:tcW w:w="0" w:type="auto"/>
            <w:vMerge/>
            <w:textDirection w:val="tbRl"/>
            <w:vAlign w:val="center"/>
          </w:tcPr>
          <w:p w14:paraId="0E4F836D" w14:textId="77777777" w:rsidR="00B0005F" w:rsidRPr="008A2411" w:rsidRDefault="00B0005F">
            <w:pPr>
              <w:jc w:val="center"/>
              <w:rPr>
                <w:rFonts w:ascii="Times New Roman"/>
                <w:bCs/>
                <w:color w:val="000000" w:themeColor="text1"/>
                <w:sz w:val="21"/>
                <w:szCs w:val="21"/>
              </w:rPr>
            </w:pPr>
          </w:p>
        </w:tc>
        <w:tc>
          <w:tcPr>
            <w:tcW w:w="273" w:type="pct"/>
            <w:vAlign w:val="center"/>
          </w:tcPr>
          <w:p w14:paraId="1B719583"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4</w:t>
            </w:r>
          </w:p>
        </w:tc>
        <w:tc>
          <w:tcPr>
            <w:tcW w:w="1012" w:type="pct"/>
            <w:vAlign w:val="center"/>
          </w:tcPr>
          <w:p w14:paraId="6F817CCE"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杏树村居民</w:t>
            </w:r>
          </w:p>
        </w:tc>
        <w:tc>
          <w:tcPr>
            <w:tcW w:w="670" w:type="pct"/>
            <w:vAlign w:val="center"/>
          </w:tcPr>
          <w:p w14:paraId="559DF035"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北</w:t>
            </w:r>
          </w:p>
        </w:tc>
        <w:tc>
          <w:tcPr>
            <w:tcW w:w="903" w:type="pct"/>
            <w:vAlign w:val="center"/>
          </w:tcPr>
          <w:p w14:paraId="27150762"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756~793</w:t>
            </w:r>
          </w:p>
        </w:tc>
        <w:tc>
          <w:tcPr>
            <w:tcW w:w="947" w:type="pct"/>
            <w:vAlign w:val="center"/>
          </w:tcPr>
          <w:p w14:paraId="6CC9042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居住区</w:t>
            </w:r>
          </w:p>
        </w:tc>
        <w:tc>
          <w:tcPr>
            <w:tcW w:w="890" w:type="pct"/>
            <w:vAlign w:val="center"/>
          </w:tcPr>
          <w:p w14:paraId="76B240C9"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2</w:t>
            </w:r>
            <w:r w:rsidRPr="008A2411">
              <w:rPr>
                <w:rFonts w:ascii="Times New Roman"/>
                <w:color w:val="000000" w:themeColor="text1"/>
                <w:sz w:val="21"/>
                <w:szCs w:val="21"/>
              </w:rPr>
              <w:t>户</w:t>
            </w:r>
            <w:r w:rsidRPr="008A2411">
              <w:rPr>
                <w:rFonts w:ascii="Times New Roman"/>
                <w:color w:val="000000" w:themeColor="text1"/>
                <w:sz w:val="21"/>
                <w:szCs w:val="21"/>
              </w:rPr>
              <w:t>8</w:t>
            </w:r>
            <w:r w:rsidRPr="008A2411">
              <w:rPr>
                <w:rFonts w:ascii="Times New Roman"/>
                <w:color w:val="000000" w:themeColor="text1"/>
                <w:sz w:val="21"/>
                <w:szCs w:val="21"/>
              </w:rPr>
              <w:t>人</w:t>
            </w:r>
          </w:p>
        </w:tc>
      </w:tr>
      <w:tr w:rsidR="008A2411" w:rsidRPr="008A2411" w14:paraId="6C821092" w14:textId="77777777">
        <w:trPr>
          <w:jc w:val="center"/>
        </w:trPr>
        <w:tc>
          <w:tcPr>
            <w:tcW w:w="0" w:type="auto"/>
            <w:vMerge/>
            <w:textDirection w:val="tbRl"/>
            <w:vAlign w:val="center"/>
          </w:tcPr>
          <w:p w14:paraId="6788CDC0" w14:textId="77777777" w:rsidR="00B0005F" w:rsidRPr="008A2411" w:rsidRDefault="00B0005F">
            <w:pPr>
              <w:jc w:val="center"/>
              <w:rPr>
                <w:rFonts w:ascii="Times New Roman"/>
                <w:bCs/>
                <w:color w:val="000000" w:themeColor="text1"/>
                <w:sz w:val="21"/>
                <w:szCs w:val="21"/>
              </w:rPr>
            </w:pPr>
          </w:p>
        </w:tc>
        <w:tc>
          <w:tcPr>
            <w:tcW w:w="273" w:type="pct"/>
            <w:vAlign w:val="center"/>
          </w:tcPr>
          <w:p w14:paraId="064A30A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5</w:t>
            </w:r>
          </w:p>
        </w:tc>
        <w:tc>
          <w:tcPr>
            <w:tcW w:w="1012" w:type="pct"/>
            <w:vAlign w:val="center"/>
          </w:tcPr>
          <w:p w14:paraId="6738E103"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杏树村陶家</w:t>
            </w:r>
            <w:proofErr w:type="gramStart"/>
            <w:r w:rsidRPr="008A2411">
              <w:rPr>
                <w:rFonts w:ascii="Times New Roman"/>
                <w:color w:val="000000" w:themeColor="text1"/>
                <w:sz w:val="21"/>
                <w:szCs w:val="21"/>
              </w:rPr>
              <w:t>沟居民</w:t>
            </w:r>
            <w:proofErr w:type="gramEnd"/>
          </w:p>
        </w:tc>
        <w:tc>
          <w:tcPr>
            <w:tcW w:w="670" w:type="pct"/>
            <w:vAlign w:val="center"/>
          </w:tcPr>
          <w:p w14:paraId="0C1D1D57"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北</w:t>
            </w:r>
          </w:p>
        </w:tc>
        <w:tc>
          <w:tcPr>
            <w:tcW w:w="903" w:type="pct"/>
            <w:vAlign w:val="center"/>
          </w:tcPr>
          <w:p w14:paraId="53FB3FA3"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944~1100</w:t>
            </w:r>
          </w:p>
        </w:tc>
        <w:tc>
          <w:tcPr>
            <w:tcW w:w="947" w:type="pct"/>
            <w:vAlign w:val="center"/>
          </w:tcPr>
          <w:p w14:paraId="68C5306C"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居住区</w:t>
            </w:r>
          </w:p>
        </w:tc>
        <w:tc>
          <w:tcPr>
            <w:tcW w:w="890" w:type="pct"/>
            <w:vAlign w:val="center"/>
          </w:tcPr>
          <w:p w14:paraId="6FDF81C3"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5</w:t>
            </w:r>
            <w:r w:rsidRPr="008A2411">
              <w:rPr>
                <w:rFonts w:ascii="Times New Roman"/>
                <w:color w:val="000000" w:themeColor="text1"/>
                <w:sz w:val="21"/>
                <w:szCs w:val="21"/>
              </w:rPr>
              <w:t>户</w:t>
            </w:r>
            <w:r w:rsidRPr="008A2411">
              <w:rPr>
                <w:rFonts w:ascii="Times New Roman"/>
                <w:color w:val="000000" w:themeColor="text1"/>
                <w:sz w:val="21"/>
                <w:szCs w:val="21"/>
              </w:rPr>
              <w:t>28</w:t>
            </w:r>
            <w:r w:rsidRPr="008A2411">
              <w:rPr>
                <w:rFonts w:ascii="Times New Roman"/>
                <w:color w:val="000000" w:themeColor="text1"/>
                <w:sz w:val="21"/>
                <w:szCs w:val="21"/>
              </w:rPr>
              <w:t>人</w:t>
            </w:r>
          </w:p>
        </w:tc>
      </w:tr>
      <w:tr w:rsidR="008A2411" w:rsidRPr="008A2411" w14:paraId="0BFD7C1B" w14:textId="77777777">
        <w:trPr>
          <w:jc w:val="center"/>
        </w:trPr>
        <w:tc>
          <w:tcPr>
            <w:tcW w:w="0" w:type="auto"/>
            <w:vMerge/>
            <w:textDirection w:val="tbRl"/>
            <w:vAlign w:val="center"/>
          </w:tcPr>
          <w:p w14:paraId="54C29F42" w14:textId="77777777" w:rsidR="00B0005F" w:rsidRPr="008A2411" w:rsidRDefault="00B0005F">
            <w:pPr>
              <w:jc w:val="center"/>
              <w:rPr>
                <w:rFonts w:ascii="Times New Roman"/>
                <w:bCs/>
                <w:color w:val="000000" w:themeColor="text1"/>
                <w:sz w:val="21"/>
                <w:szCs w:val="21"/>
              </w:rPr>
            </w:pPr>
          </w:p>
        </w:tc>
        <w:tc>
          <w:tcPr>
            <w:tcW w:w="273" w:type="pct"/>
            <w:vAlign w:val="center"/>
          </w:tcPr>
          <w:p w14:paraId="4964884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6</w:t>
            </w:r>
          </w:p>
        </w:tc>
        <w:tc>
          <w:tcPr>
            <w:tcW w:w="1012" w:type="pct"/>
            <w:vAlign w:val="center"/>
          </w:tcPr>
          <w:p w14:paraId="30CE16AB"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杏树村窑厂</w:t>
            </w:r>
            <w:proofErr w:type="gramStart"/>
            <w:r w:rsidRPr="008A2411">
              <w:rPr>
                <w:rFonts w:ascii="Times New Roman"/>
                <w:color w:val="000000" w:themeColor="text1"/>
                <w:sz w:val="21"/>
                <w:szCs w:val="21"/>
              </w:rPr>
              <w:t>梁居民</w:t>
            </w:r>
            <w:proofErr w:type="gramEnd"/>
          </w:p>
        </w:tc>
        <w:tc>
          <w:tcPr>
            <w:tcW w:w="670" w:type="pct"/>
            <w:vAlign w:val="center"/>
          </w:tcPr>
          <w:p w14:paraId="6D485B09"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西</w:t>
            </w:r>
          </w:p>
        </w:tc>
        <w:tc>
          <w:tcPr>
            <w:tcW w:w="903" w:type="pct"/>
            <w:vAlign w:val="center"/>
          </w:tcPr>
          <w:p w14:paraId="0BD95BF6"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1120~1860</w:t>
            </w:r>
          </w:p>
        </w:tc>
        <w:tc>
          <w:tcPr>
            <w:tcW w:w="947" w:type="pct"/>
            <w:vAlign w:val="center"/>
          </w:tcPr>
          <w:p w14:paraId="2CA9B13A"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居住区</w:t>
            </w:r>
          </w:p>
        </w:tc>
        <w:tc>
          <w:tcPr>
            <w:tcW w:w="890" w:type="pct"/>
            <w:vAlign w:val="center"/>
          </w:tcPr>
          <w:p w14:paraId="0500D524"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18</w:t>
            </w:r>
            <w:r w:rsidRPr="008A2411">
              <w:rPr>
                <w:rFonts w:ascii="Times New Roman"/>
                <w:color w:val="000000" w:themeColor="text1"/>
                <w:sz w:val="21"/>
                <w:szCs w:val="21"/>
              </w:rPr>
              <w:t>户</w:t>
            </w:r>
            <w:r w:rsidRPr="008A2411">
              <w:rPr>
                <w:rFonts w:ascii="Times New Roman"/>
                <w:color w:val="000000" w:themeColor="text1"/>
                <w:sz w:val="21"/>
                <w:szCs w:val="21"/>
              </w:rPr>
              <w:t>90</w:t>
            </w:r>
            <w:r w:rsidRPr="008A2411">
              <w:rPr>
                <w:rFonts w:ascii="Times New Roman"/>
                <w:color w:val="000000" w:themeColor="text1"/>
                <w:sz w:val="21"/>
                <w:szCs w:val="21"/>
              </w:rPr>
              <w:t>人</w:t>
            </w:r>
          </w:p>
        </w:tc>
      </w:tr>
      <w:tr w:rsidR="008A2411" w:rsidRPr="008A2411" w14:paraId="14FA3A99" w14:textId="77777777">
        <w:trPr>
          <w:jc w:val="center"/>
        </w:trPr>
        <w:tc>
          <w:tcPr>
            <w:tcW w:w="0" w:type="auto"/>
            <w:vMerge/>
            <w:textDirection w:val="tbRl"/>
            <w:vAlign w:val="center"/>
          </w:tcPr>
          <w:p w14:paraId="168EC9DD" w14:textId="77777777" w:rsidR="00B0005F" w:rsidRPr="008A2411" w:rsidRDefault="00B0005F">
            <w:pPr>
              <w:jc w:val="center"/>
              <w:rPr>
                <w:rFonts w:ascii="Times New Roman"/>
                <w:bCs/>
                <w:color w:val="000000" w:themeColor="text1"/>
                <w:sz w:val="21"/>
                <w:szCs w:val="21"/>
              </w:rPr>
            </w:pPr>
          </w:p>
        </w:tc>
        <w:tc>
          <w:tcPr>
            <w:tcW w:w="273" w:type="pct"/>
            <w:vAlign w:val="center"/>
          </w:tcPr>
          <w:p w14:paraId="7EE2E3A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7</w:t>
            </w:r>
          </w:p>
        </w:tc>
        <w:tc>
          <w:tcPr>
            <w:tcW w:w="1012" w:type="pct"/>
            <w:vAlign w:val="center"/>
          </w:tcPr>
          <w:p w14:paraId="61443244"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杏树村居民</w:t>
            </w:r>
          </w:p>
        </w:tc>
        <w:tc>
          <w:tcPr>
            <w:tcW w:w="670" w:type="pct"/>
            <w:vAlign w:val="center"/>
          </w:tcPr>
          <w:p w14:paraId="10494854"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西北</w:t>
            </w:r>
          </w:p>
        </w:tc>
        <w:tc>
          <w:tcPr>
            <w:tcW w:w="903" w:type="pct"/>
            <w:vAlign w:val="center"/>
          </w:tcPr>
          <w:p w14:paraId="66686806"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1509~2500</w:t>
            </w:r>
          </w:p>
        </w:tc>
        <w:tc>
          <w:tcPr>
            <w:tcW w:w="947" w:type="pct"/>
            <w:vAlign w:val="center"/>
          </w:tcPr>
          <w:p w14:paraId="4E6BA02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居住区</w:t>
            </w:r>
          </w:p>
        </w:tc>
        <w:tc>
          <w:tcPr>
            <w:tcW w:w="890" w:type="pct"/>
            <w:vAlign w:val="center"/>
          </w:tcPr>
          <w:p w14:paraId="11EB8FD9"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27</w:t>
            </w:r>
            <w:r w:rsidRPr="008A2411">
              <w:rPr>
                <w:rFonts w:ascii="Times New Roman"/>
                <w:color w:val="000000" w:themeColor="text1"/>
                <w:sz w:val="21"/>
                <w:szCs w:val="21"/>
              </w:rPr>
              <w:t>户</w:t>
            </w:r>
            <w:r w:rsidRPr="008A2411">
              <w:rPr>
                <w:rFonts w:ascii="Times New Roman"/>
                <w:color w:val="000000" w:themeColor="text1"/>
                <w:sz w:val="21"/>
                <w:szCs w:val="21"/>
              </w:rPr>
              <w:t>113</w:t>
            </w:r>
            <w:r w:rsidRPr="008A2411">
              <w:rPr>
                <w:rFonts w:ascii="Times New Roman"/>
                <w:color w:val="000000" w:themeColor="text1"/>
                <w:sz w:val="21"/>
                <w:szCs w:val="21"/>
              </w:rPr>
              <w:t>人</w:t>
            </w:r>
          </w:p>
        </w:tc>
      </w:tr>
      <w:tr w:rsidR="008A2411" w:rsidRPr="008A2411" w14:paraId="3D68C7DE" w14:textId="77777777">
        <w:trPr>
          <w:jc w:val="center"/>
        </w:trPr>
        <w:tc>
          <w:tcPr>
            <w:tcW w:w="0" w:type="auto"/>
            <w:vMerge/>
            <w:textDirection w:val="tbRl"/>
            <w:vAlign w:val="center"/>
          </w:tcPr>
          <w:p w14:paraId="5EA6ACFD" w14:textId="77777777" w:rsidR="00B0005F" w:rsidRPr="008A2411" w:rsidRDefault="00B0005F">
            <w:pPr>
              <w:jc w:val="center"/>
              <w:rPr>
                <w:rFonts w:ascii="Times New Roman"/>
                <w:bCs/>
                <w:color w:val="000000" w:themeColor="text1"/>
                <w:sz w:val="21"/>
                <w:szCs w:val="21"/>
              </w:rPr>
            </w:pPr>
          </w:p>
        </w:tc>
        <w:tc>
          <w:tcPr>
            <w:tcW w:w="273" w:type="pct"/>
            <w:vAlign w:val="center"/>
          </w:tcPr>
          <w:p w14:paraId="3B474299"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8</w:t>
            </w:r>
          </w:p>
        </w:tc>
        <w:tc>
          <w:tcPr>
            <w:tcW w:w="1012" w:type="pct"/>
            <w:vAlign w:val="center"/>
          </w:tcPr>
          <w:p w14:paraId="37D2B582"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鲤鱼村居民</w:t>
            </w:r>
          </w:p>
        </w:tc>
        <w:tc>
          <w:tcPr>
            <w:tcW w:w="670" w:type="pct"/>
            <w:vAlign w:val="center"/>
          </w:tcPr>
          <w:p w14:paraId="298A1279"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北</w:t>
            </w:r>
          </w:p>
        </w:tc>
        <w:tc>
          <w:tcPr>
            <w:tcW w:w="903" w:type="pct"/>
            <w:vAlign w:val="center"/>
          </w:tcPr>
          <w:p w14:paraId="30F3620E"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1990~2500</w:t>
            </w:r>
          </w:p>
        </w:tc>
        <w:tc>
          <w:tcPr>
            <w:tcW w:w="947" w:type="pct"/>
            <w:vAlign w:val="center"/>
          </w:tcPr>
          <w:p w14:paraId="04059279"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居住区</w:t>
            </w:r>
          </w:p>
        </w:tc>
        <w:tc>
          <w:tcPr>
            <w:tcW w:w="890" w:type="pct"/>
            <w:vAlign w:val="center"/>
          </w:tcPr>
          <w:p w14:paraId="64D0E833"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32</w:t>
            </w:r>
            <w:r w:rsidRPr="008A2411">
              <w:rPr>
                <w:rFonts w:ascii="Times New Roman"/>
                <w:color w:val="000000" w:themeColor="text1"/>
                <w:sz w:val="21"/>
                <w:szCs w:val="21"/>
              </w:rPr>
              <w:t>户</w:t>
            </w:r>
            <w:r w:rsidRPr="008A2411">
              <w:rPr>
                <w:rFonts w:ascii="Times New Roman"/>
                <w:color w:val="000000" w:themeColor="text1"/>
                <w:sz w:val="21"/>
                <w:szCs w:val="21"/>
              </w:rPr>
              <w:t>122</w:t>
            </w:r>
            <w:r w:rsidRPr="008A2411">
              <w:rPr>
                <w:rFonts w:ascii="Times New Roman"/>
                <w:color w:val="000000" w:themeColor="text1"/>
                <w:sz w:val="21"/>
                <w:szCs w:val="21"/>
              </w:rPr>
              <w:t>人</w:t>
            </w:r>
          </w:p>
        </w:tc>
      </w:tr>
      <w:tr w:rsidR="008A2411" w:rsidRPr="008A2411" w14:paraId="7CAACC24" w14:textId="77777777">
        <w:trPr>
          <w:jc w:val="center"/>
        </w:trPr>
        <w:tc>
          <w:tcPr>
            <w:tcW w:w="0" w:type="auto"/>
            <w:vMerge/>
            <w:textDirection w:val="tbRl"/>
            <w:vAlign w:val="center"/>
          </w:tcPr>
          <w:p w14:paraId="77C8533B" w14:textId="77777777" w:rsidR="00B0005F" w:rsidRPr="008A2411" w:rsidRDefault="00B0005F">
            <w:pPr>
              <w:jc w:val="center"/>
              <w:rPr>
                <w:rFonts w:ascii="Times New Roman"/>
                <w:bCs/>
                <w:color w:val="000000" w:themeColor="text1"/>
                <w:sz w:val="21"/>
                <w:szCs w:val="21"/>
              </w:rPr>
            </w:pPr>
          </w:p>
        </w:tc>
        <w:tc>
          <w:tcPr>
            <w:tcW w:w="273" w:type="pct"/>
            <w:vAlign w:val="center"/>
          </w:tcPr>
          <w:p w14:paraId="5B2DF87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9</w:t>
            </w:r>
          </w:p>
        </w:tc>
        <w:tc>
          <w:tcPr>
            <w:tcW w:w="1012" w:type="pct"/>
            <w:vAlign w:val="center"/>
          </w:tcPr>
          <w:p w14:paraId="0DA2CF92"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汤家</w:t>
            </w:r>
            <w:proofErr w:type="gramStart"/>
            <w:r w:rsidRPr="008A2411">
              <w:rPr>
                <w:rFonts w:ascii="Times New Roman"/>
                <w:color w:val="000000" w:themeColor="text1"/>
                <w:sz w:val="21"/>
                <w:szCs w:val="21"/>
              </w:rPr>
              <w:t>沟居民</w:t>
            </w:r>
            <w:proofErr w:type="gramEnd"/>
          </w:p>
        </w:tc>
        <w:tc>
          <w:tcPr>
            <w:tcW w:w="670" w:type="pct"/>
            <w:vAlign w:val="center"/>
          </w:tcPr>
          <w:p w14:paraId="3A01C6B1"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东北</w:t>
            </w:r>
          </w:p>
        </w:tc>
        <w:tc>
          <w:tcPr>
            <w:tcW w:w="903" w:type="pct"/>
            <w:vAlign w:val="center"/>
          </w:tcPr>
          <w:p w14:paraId="7130460B"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1280~1740</w:t>
            </w:r>
          </w:p>
        </w:tc>
        <w:tc>
          <w:tcPr>
            <w:tcW w:w="947" w:type="pct"/>
            <w:vAlign w:val="center"/>
          </w:tcPr>
          <w:p w14:paraId="63FC1AB7"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居住区</w:t>
            </w:r>
          </w:p>
        </w:tc>
        <w:tc>
          <w:tcPr>
            <w:tcW w:w="890" w:type="pct"/>
            <w:vAlign w:val="center"/>
          </w:tcPr>
          <w:p w14:paraId="5999CF19"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6</w:t>
            </w:r>
            <w:r w:rsidRPr="008A2411">
              <w:rPr>
                <w:rFonts w:ascii="Times New Roman"/>
                <w:color w:val="000000" w:themeColor="text1"/>
                <w:sz w:val="21"/>
                <w:szCs w:val="21"/>
              </w:rPr>
              <w:t>户</w:t>
            </w:r>
            <w:r w:rsidRPr="008A2411">
              <w:rPr>
                <w:rFonts w:ascii="Times New Roman"/>
                <w:color w:val="000000" w:themeColor="text1"/>
                <w:sz w:val="21"/>
                <w:szCs w:val="21"/>
              </w:rPr>
              <w:t>25</w:t>
            </w:r>
            <w:r w:rsidRPr="008A2411">
              <w:rPr>
                <w:rFonts w:ascii="Times New Roman"/>
                <w:color w:val="000000" w:themeColor="text1"/>
                <w:sz w:val="21"/>
                <w:szCs w:val="21"/>
              </w:rPr>
              <w:t>人</w:t>
            </w:r>
          </w:p>
        </w:tc>
      </w:tr>
      <w:tr w:rsidR="008A2411" w:rsidRPr="008A2411" w14:paraId="2EBB9565" w14:textId="77777777">
        <w:trPr>
          <w:jc w:val="center"/>
        </w:trPr>
        <w:tc>
          <w:tcPr>
            <w:tcW w:w="0" w:type="auto"/>
            <w:vMerge/>
            <w:textDirection w:val="tbRl"/>
            <w:vAlign w:val="center"/>
          </w:tcPr>
          <w:p w14:paraId="3F668E05" w14:textId="77777777" w:rsidR="00B0005F" w:rsidRPr="008A2411" w:rsidRDefault="00B0005F">
            <w:pPr>
              <w:jc w:val="center"/>
              <w:rPr>
                <w:rFonts w:ascii="Times New Roman"/>
                <w:bCs/>
                <w:color w:val="000000" w:themeColor="text1"/>
                <w:sz w:val="21"/>
                <w:szCs w:val="21"/>
              </w:rPr>
            </w:pPr>
          </w:p>
        </w:tc>
        <w:tc>
          <w:tcPr>
            <w:tcW w:w="273" w:type="pct"/>
            <w:vAlign w:val="center"/>
          </w:tcPr>
          <w:p w14:paraId="5C6322EB"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10</w:t>
            </w:r>
          </w:p>
        </w:tc>
        <w:tc>
          <w:tcPr>
            <w:tcW w:w="1012" w:type="pct"/>
            <w:vAlign w:val="center"/>
          </w:tcPr>
          <w:p w14:paraId="623F67B0"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陈家</w:t>
            </w:r>
            <w:proofErr w:type="gramStart"/>
            <w:r w:rsidRPr="008A2411">
              <w:rPr>
                <w:rFonts w:ascii="Times New Roman"/>
                <w:color w:val="000000" w:themeColor="text1"/>
                <w:sz w:val="21"/>
                <w:szCs w:val="21"/>
              </w:rPr>
              <w:t>湾居民</w:t>
            </w:r>
            <w:proofErr w:type="gramEnd"/>
          </w:p>
        </w:tc>
        <w:tc>
          <w:tcPr>
            <w:tcW w:w="670" w:type="pct"/>
            <w:vAlign w:val="center"/>
          </w:tcPr>
          <w:p w14:paraId="3579AE5E"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东</w:t>
            </w:r>
          </w:p>
        </w:tc>
        <w:tc>
          <w:tcPr>
            <w:tcW w:w="903" w:type="pct"/>
            <w:vAlign w:val="center"/>
          </w:tcPr>
          <w:p w14:paraId="1823276A"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291~766</w:t>
            </w:r>
          </w:p>
        </w:tc>
        <w:tc>
          <w:tcPr>
            <w:tcW w:w="947" w:type="pct"/>
            <w:vAlign w:val="center"/>
          </w:tcPr>
          <w:p w14:paraId="17ABCA21"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居住区</w:t>
            </w:r>
          </w:p>
        </w:tc>
        <w:tc>
          <w:tcPr>
            <w:tcW w:w="890" w:type="pct"/>
            <w:vAlign w:val="center"/>
          </w:tcPr>
          <w:p w14:paraId="34760571"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14</w:t>
            </w:r>
            <w:r w:rsidRPr="008A2411">
              <w:rPr>
                <w:rFonts w:ascii="Times New Roman"/>
                <w:color w:val="000000" w:themeColor="text1"/>
                <w:sz w:val="21"/>
                <w:szCs w:val="21"/>
              </w:rPr>
              <w:t>户</w:t>
            </w:r>
            <w:r w:rsidRPr="008A2411">
              <w:rPr>
                <w:rFonts w:ascii="Times New Roman"/>
                <w:color w:val="000000" w:themeColor="text1"/>
                <w:sz w:val="21"/>
                <w:szCs w:val="21"/>
              </w:rPr>
              <w:t>52</w:t>
            </w:r>
            <w:r w:rsidRPr="008A2411">
              <w:rPr>
                <w:rFonts w:ascii="Times New Roman"/>
                <w:color w:val="000000" w:themeColor="text1"/>
                <w:sz w:val="21"/>
                <w:szCs w:val="21"/>
              </w:rPr>
              <w:t>人</w:t>
            </w:r>
          </w:p>
        </w:tc>
      </w:tr>
      <w:tr w:rsidR="008A2411" w:rsidRPr="008A2411" w14:paraId="51642B38" w14:textId="77777777">
        <w:trPr>
          <w:jc w:val="center"/>
        </w:trPr>
        <w:tc>
          <w:tcPr>
            <w:tcW w:w="0" w:type="auto"/>
            <w:vMerge/>
            <w:textDirection w:val="tbRl"/>
            <w:vAlign w:val="center"/>
          </w:tcPr>
          <w:p w14:paraId="6D5F1942" w14:textId="77777777" w:rsidR="00B0005F" w:rsidRPr="008A2411" w:rsidRDefault="00B0005F">
            <w:pPr>
              <w:jc w:val="center"/>
              <w:rPr>
                <w:rFonts w:ascii="Times New Roman"/>
                <w:bCs/>
                <w:color w:val="000000" w:themeColor="text1"/>
                <w:sz w:val="21"/>
                <w:szCs w:val="21"/>
              </w:rPr>
            </w:pPr>
          </w:p>
        </w:tc>
        <w:tc>
          <w:tcPr>
            <w:tcW w:w="273" w:type="pct"/>
            <w:vAlign w:val="center"/>
          </w:tcPr>
          <w:p w14:paraId="7458E37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11</w:t>
            </w:r>
          </w:p>
        </w:tc>
        <w:tc>
          <w:tcPr>
            <w:tcW w:w="1012" w:type="pct"/>
            <w:vAlign w:val="center"/>
          </w:tcPr>
          <w:p w14:paraId="111A90F7"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严家</w:t>
            </w:r>
            <w:proofErr w:type="gramStart"/>
            <w:r w:rsidRPr="008A2411">
              <w:rPr>
                <w:rFonts w:ascii="Times New Roman"/>
                <w:color w:val="000000" w:themeColor="text1"/>
                <w:sz w:val="21"/>
                <w:szCs w:val="21"/>
              </w:rPr>
              <w:t>坪居民</w:t>
            </w:r>
            <w:proofErr w:type="gramEnd"/>
          </w:p>
        </w:tc>
        <w:tc>
          <w:tcPr>
            <w:tcW w:w="670" w:type="pct"/>
            <w:vAlign w:val="center"/>
          </w:tcPr>
          <w:p w14:paraId="433813A5"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南</w:t>
            </w:r>
          </w:p>
        </w:tc>
        <w:tc>
          <w:tcPr>
            <w:tcW w:w="903" w:type="pct"/>
            <w:vAlign w:val="center"/>
          </w:tcPr>
          <w:p w14:paraId="59567875"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253~400</w:t>
            </w:r>
          </w:p>
        </w:tc>
        <w:tc>
          <w:tcPr>
            <w:tcW w:w="947" w:type="pct"/>
            <w:vAlign w:val="center"/>
          </w:tcPr>
          <w:p w14:paraId="65580056"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居住区</w:t>
            </w:r>
          </w:p>
        </w:tc>
        <w:tc>
          <w:tcPr>
            <w:tcW w:w="890" w:type="pct"/>
            <w:vAlign w:val="center"/>
          </w:tcPr>
          <w:p w14:paraId="7C11C94B"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4</w:t>
            </w:r>
            <w:r w:rsidRPr="008A2411">
              <w:rPr>
                <w:rFonts w:ascii="Times New Roman"/>
                <w:color w:val="000000" w:themeColor="text1"/>
                <w:sz w:val="21"/>
                <w:szCs w:val="21"/>
              </w:rPr>
              <w:t>户</w:t>
            </w:r>
            <w:r w:rsidRPr="008A2411">
              <w:rPr>
                <w:rFonts w:ascii="Times New Roman"/>
                <w:color w:val="000000" w:themeColor="text1"/>
                <w:sz w:val="21"/>
                <w:szCs w:val="21"/>
              </w:rPr>
              <w:t>12</w:t>
            </w:r>
            <w:r w:rsidRPr="008A2411">
              <w:rPr>
                <w:rFonts w:ascii="Times New Roman"/>
                <w:color w:val="000000" w:themeColor="text1"/>
                <w:sz w:val="21"/>
                <w:szCs w:val="21"/>
              </w:rPr>
              <w:t>人</w:t>
            </w:r>
          </w:p>
        </w:tc>
      </w:tr>
      <w:tr w:rsidR="008A2411" w:rsidRPr="008A2411" w14:paraId="07B5FE6C" w14:textId="77777777">
        <w:trPr>
          <w:jc w:val="center"/>
        </w:trPr>
        <w:tc>
          <w:tcPr>
            <w:tcW w:w="0" w:type="auto"/>
            <w:vMerge/>
            <w:textDirection w:val="tbRl"/>
            <w:vAlign w:val="center"/>
          </w:tcPr>
          <w:p w14:paraId="0ADAEF9E" w14:textId="77777777" w:rsidR="00B0005F" w:rsidRPr="008A2411" w:rsidRDefault="00B0005F">
            <w:pPr>
              <w:jc w:val="center"/>
              <w:rPr>
                <w:rFonts w:ascii="Times New Roman"/>
                <w:bCs/>
                <w:color w:val="000000" w:themeColor="text1"/>
                <w:sz w:val="21"/>
                <w:szCs w:val="21"/>
              </w:rPr>
            </w:pPr>
          </w:p>
        </w:tc>
        <w:tc>
          <w:tcPr>
            <w:tcW w:w="273" w:type="pct"/>
            <w:vAlign w:val="center"/>
          </w:tcPr>
          <w:p w14:paraId="0C2745E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12</w:t>
            </w:r>
          </w:p>
        </w:tc>
        <w:tc>
          <w:tcPr>
            <w:tcW w:w="1012" w:type="pct"/>
            <w:vAlign w:val="center"/>
          </w:tcPr>
          <w:p w14:paraId="59B2AAE1"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土主镇居民</w:t>
            </w:r>
          </w:p>
        </w:tc>
        <w:tc>
          <w:tcPr>
            <w:tcW w:w="670" w:type="pct"/>
            <w:vAlign w:val="center"/>
          </w:tcPr>
          <w:p w14:paraId="36525766"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东南</w:t>
            </w:r>
          </w:p>
        </w:tc>
        <w:tc>
          <w:tcPr>
            <w:tcW w:w="903" w:type="pct"/>
            <w:vAlign w:val="center"/>
          </w:tcPr>
          <w:p w14:paraId="0FEFBFD8"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909~2500</w:t>
            </w:r>
          </w:p>
        </w:tc>
        <w:tc>
          <w:tcPr>
            <w:tcW w:w="947" w:type="pct"/>
            <w:vAlign w:val="center"/>
          </w:tcPr>
          <w:p w14:paraId="7B9F887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居住区</w:t>
            </w:r>
          </w:p>
        </w:tc>
        <w:tc>
          <w:tcPr>
            <w:tcW w:w="890" w:type="pct"/>
            <w:vAlign w:val="center"/>
          </w:tcPr>
          <w:p w14:paraId="324477D5"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约</w:t>
            </w:r>
            <w:r w:rsidRPr="008A2411">
              <w:rPr>
                <w:rFonts w:ascii="Times New Roman"/>
                <w:color w:val="000000" w:themeColor="text1"/>
                <w:sz w:val="21"/>
                <w:szCs w:val="21"/>
              </w:rPr>
              <w:t>400</w:t>
            </w:r>
            <w:r w:rsidRPr="008A2411">
              <w:rPr>
                <w:rFonts w:ascii="Times New Roman"/>
                <w:color w:val="000000" w:themeColor="text1"/>
                <w:sz w:val="21"/>
                <w:szCs w:val="21"/>
              </w:rPr>
              <w:t>户，</w:t>
            </w:r>
            <w:r w:rsidRPr="008A2411">
              <w:rPr>
                <w:rFonts w:ascii="Times New Roman"/>
                <w:color w:val="000000" w:themeColor="text1"/>
                <w:sz w:val="21"/>
                <w:szCs w:val="21"/>
              </w:rPr>
              <w:t>8000</w:t>
            </w:r>
            <w:r w:rsidRPr="008A2411">
              <w:rPr>
                <w:rFonts w:ascii="Times New Roman"/>
                <w:color w:val="000000" w:themeColor="text1"/>
                <w:sz w:val="21"/>
                <w:szCs w:val="21"/>
              </w:rPr>
              <w:t>人</w:t>
            </w:r>
          </w:p>
        </w:tc>
      </w:tr>
      <w:tr w:rsidR="008A2411" w:rsidRPr="008A2411" w14:paraId="32D8DF68" w14:textId="77777777">
        <w:trPr>
          <w:jc w:val="center"/>
        </w:trPr>
        <w:tc>
          <w:tcPr>
            <w:tcW w:w="0" w:type="auto"/>
            <w:vMerge/>
            <w:textDirection w:val="tbRl"/>
            <w:vAlign w:val="center"/>
          </w:tcPr>
          <w:p w14:paraId="6BEE391E" w14:textId="77777777" w:rsidR="00B0005F" w:rsidRPr="008A2411" w:rsidRDefault="00B0005F">
            <w:pPr>
              <w:jc w:val="center"/>
              <w:rPr>
                <w:rFonts w:ascii="Times New Roman"/>
                <w:bCs/>
                <w:color w:val="000000" w:themeColor="text1"/>
                <w:sz w:val="21"/>
                <w:szCs w:val="21"/>
              </w:rPr>
            </w:pPr>
          </w:p>
        </w:tc>
        <w:tc>
          <w:tcPr>
            <w:tcW w:w="273" w:type="pct"/>
            <w:vAlign w:val="center"/>
          </w:tcPr>
          <w:p w14:paraId="2D12237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13</w:t>
            </w:r>
          </w:p>
        </w:tc>
        <w:tc>
          <w:tcPr>
            <w:tcW w:w="1012" w:type="pct"/>
            <w:vAlign w:val="center"/>
          </w:tcPr>
          <w:p w14:paraId="2BE777E7"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双树村居民</w:t>
            </w:r>
          </w:p>
        </w:tc>
        <w:tc>
          <w:tcPr>
            <w:tcW w:w="670" w:type="pct"/>
            <w:vAlign w:val="center"/>
          </w:tcPr>
          <w:p w14:paraId="69EFB36E"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西南</w:t>
            </w:r>
          </w:p>
        </w:tc>
        <w:tc>
          <w:tcPr>
            <w:tcW w:w="903" w:type="pct"/>
            <w:vAlign w:val="center"/>
          </w:tcPr>
          <w:p w14:paraId="2BC36CFC"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401~600</w:t>
            </w:r>
          </w:p>
        </w:tc>
        <w:tc>
          <w:tcPr>
            <w:tcW w:w="947" w:type="pct"/>
            <w:vAlign w:val="center"/>
          </w:tcPr>
          <w:p w14:paraId="0338DA37"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居住区</w:t>
            </w:r>
          </w:p>
        </w:tc>
        <w:tc>
          <w:tcPr>
            <w:tcW w:w="890" w:type="pct"/>
            <w:vAlign w:val="center"/>
          </w:tcPr>
          <w:p w14:paraId="37181B37"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2</w:t>
            </w:r>
            <w:r w:rsidRPr="008A2411">
              <w:rPr>
                <w:rFonts w:ascii="Times New Roman"/>
                <w:color w:val="000000" w:themeColor="text1"/>
                <w:sz w:val="21"/>
                <w:szCs w:val="21"/>
              </w:rPr>
              <w:t>户</w:t>
            </w:r>
            <w:r w:rsidRPr="008A2411">
              <w:rPr>
                <w:rFonts w:ascii="Times New Roman"/>
                <w:color w:val="000000" w:themeColor="text1"/>
                <w:sz w:val="21"/>
                <w:szCs w:val="21"/>
              </w:rPr>
              <w:t>8</w:t>
            </w:r>
            <w:r w:rsidRPr="008A2411">
              <w:rPr>
                <w:rFonts w:ascii="Times New Roman"/>
                <w:color w:val="000000" w:themeColor="text1"/>
                <w:sz w:val="21"/>
                <w:szCs w:val="21"/>
              </w:rPr>
              <w:t>人</w:t>
            </w:r>
          </w:p>
        </w:tc>
      </w:tr>
      <w:tr w:rsidR="008A2411" w:rsidRPr="008A2411" w14:paraId="30169FE7" w14:textId="77777777">
        <w:trPr>
          <w:jc w:val="center"/>
        </w:trPr>
        <w:tc>
          <w:tcPr>
            <w:tcW w:w="0" w:type="auto"/>
            <w:vMerge/>
            <w:textDirection w:val="tbRl"/>
            <w:vAlign w:val="center"/>
          </w:tcPr>
          <w:p w14:paraId="44FF5BC4" w14:textId="77777777" w:rsidR="00B0005F" w:rsidRPr="008A2411" w:rsidRDefault="00B0005F">
            <w:pPr>
              <w:jc w:val="center"/>
              <w:rPr>
                <w:rFonts w:ascii="Times New Roman"/>
                <w:bCs/>
                <w:color w:val="000000" w:themeColor="text1"/>
                <w:sz w:val="21"/>
                <w:szCs w:val="21"/>
              </w:rPr>
            </w:pPr>
          </w:p>
        </w:tc>
        <w:tc>
          <w:tcPr>
            <w:tcW w:w="273" w:type="pct"/>
            <w:vAlign w:val="center"/>
          </w:tcPr>
          <w:p w14:paraId="137056E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14</w:t>
            </w:r>
          </w:p>
        </w:tc>
        <w:tc>
          <w:tcPr>
            <w:tcW w:w="1012" w:type="pct"/>
            <w:vAlign w:val="center"/>
          </w:tcPr>
          <w:p w14:paraId="57C1C60F"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双树村居民</w:t>
            </w:r>
          </w:p>
        </w:tc>
        <w:tc>
          <w:tcPr>
            <w:tcW w:w="670" w:type="pct"/>
            <w:vAlign w:val="center"/>
          </w:tcPr>
          <w:p w14:paraId="3FD822DD"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西南</w:t>
            </w:r>
          </w:p>
        </w:tc>
        <w:tc>
          <w:tcPr>
            <w:tcW w:w="903" w:type="pct"/>
            <w:vAlign w:val="center"/>
          </w:tcPr>
          <w:p w14:paraId="61BE43F6"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1256~2500</w:t>
            </w:r>
          </w:p>
        </w:tc>
        <w:tc>
          <w:tcPr>
            <w:tcW w:w="947" w:type="pct"/>
            <w:vAlign w:val="center"/>
          </w:tcPr>
          <w:p w14:paraId="5B421FBD"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居住区</w:t>
            </w:r>
          </w:p>
        </w:tc>
        <w:tc>
          <w:tcPr>
            <w:tcW w:w="890" w:type="pct"/>
            <w:vAlign w:val="center"/>
          </w:tcPr>
          <w:p w14:paraId="12C87AAB"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90</w:t>
            </w:r>
            <w:r w:rsidRPr="008A2411">
              <w:rPr>
                <w:rFonts w:ascii="Times New Roman"/>
                <w:color w:val="000000" w:themeColor="text1"/>
                <w:sz w:val="21"/>
                <w:szCs w:val="21"/>
              </w:rPr>
              <w:t>户</w:t>
            </w:r>
            <w:r w:rsidRPr="008A2411">
              <w:rPr>
                <w:rFonts w:ascii="Times New Roman"/>
                <w:color w:val="000000" w:themeColor="text1"/>
                <w:sz w:val="21"/>
                <w:szCs w:val="21"/>
              </w:rPr>
              <w:t>350</w:t>
            </w:r>
            <w:r w:rsidRPr="008A2411">
              <w:rPr>
                <w:rFonts w:ascii="Times New Roman"/>
                <w:color w:val="000000" w:themeColor="text1"/>
                <w:sz w:val="21"/>
                <w:szCs w:val="21"/>
              </w:rPr>
              <w:t>人</w:t>
            </w:r>
          </w:p>
        </w:tc>
      </w:tr>
      <w:tr w:rsidR="008A2411" w:rsidRPr="008A2411" w14:paraId="6E050BEA" w14:textId="77777777">
        <w:trPr>
          <w:jc w:val="center"/>
        </w:trPr>
        <w:tc>
          <w:tcPr>
            <w:tcW w:w="0" w:type="auto"/>
            <w:vMerge/>
            <w:textDirection w:val="tbRl"/>
            <w:vAlign w:val="center"/>
          </w:tcPr>
          <w:p w14:paraId="6F013A15" w14:textId="77777777" w:rsidR="00B0005F" w:rsidRPr="008A2411" w:rsidRDefault="00B0005F">
            <w:pPr>
              <w:jc w:val="center"/>
              <w:rPr>
                <w:rFonts w:ascii="Times New Roman"/>
                <w:bCs/>
                <w:color w:val="000000" w:themeColor="text1"/>
                <w:sz w:val="21"/>
                <w:szCs w:val="21"/>
              </w:rPr>
            </w:pPr>
          </w:p>
        </w:tc>
        <w:tc>
          <w:tcPr>
            <w:tcW w:w="273" w:type="pct"/>
            <w:vAlign w:val="center"/>
          </w:tcPr>
          <w:p w14:paraId="1D1E1751"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15</w:t>
            </w:r>
          </w:p>
        </w:tc>
        <w:tc>
          <w:tcPr>
            <w:tcW w:w="1012" w:type="pct"/>
            <w:vAlign w:val="center"/>
          </w:tcPr>
          <w:p w14:paraId="26713041"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双树村居民</w:t>
            </w:r>
          </w:p>
        </w:tc>
        <w:tc>
          <w:tcPr>
            <w:tcW w:w="670" w:type="pct"/>
            <w:vAlign w:val="center"/>
          </w:tcPr>
          <w:p w14:paraId="5F54FF6F"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南</w:t>
            </w:r>
          </w:p>
        </w:tc>
        <w:tc>
          <w:tcPr>
            <w:tcW w:w="903" w:type="pct"/>
            <w:vAlign w:val="center"/>
          </w:tcPr>
          <w:p w14:paraId="5AD82CA6"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1478~2500</w:t>
            </w:r>
          </w:p>
        </w:tc>
        <w:tc>
          <w:tcPr>
            <w:tcW w:w="947" w:type="pct"/>
            <w:vAlign w:val="center"/>
          </w:tcPr>
          <w:p w14:paraId="3235C8A7"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居住区</w:t>
            </w:r>
          </w:p>
        </w:tc>
        <w:tc>
          <w:tcPr>
            <w:tcW w:w="890" w:type="pct"/>
            <w:vAlign w:val="center"/>
          </w:tcPr>
          <w:p w14:paraId="545F7B2B"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25</w:t>
            </w:r>
            <w:r w:rsidRPr="008A2411">
              <w:rPr>
                <w:rFonts w:ascii="Times New Roman"/>
                <w:color w:val="000000" w:themeColor="text1"/>
                <w:sz w:val="21"/>
                <w:szCs w:val="21"/>
              </w:rPr>
              <w:t>户</w:t>
            </w:r>
            <w:r w:rsidRPr="008A2411">
              <w:rPr>
                <w:rFonts w:ascii="Times New Roman"/>
                <w:color w:val="000000" w:themeColor="text1"/>
                <w:sz w:val="21"/>
                <w:szCs w:val="21"/>
              </w:rPr>
              <w:t>90</w:t>
            </w:r>
            <w:r w:rsidRPr="008A2411">
              <w:rPr>
                <w:rFonts w:ascii="Times New Roman"/>
                <w:color w:val="000000" w:themeColor="text1"/>
                <w:sz w:val="21"/>
                <w:szCs w:val="21"/>
              </w:rPr>
              <w:t>人</w:t>
            </w:r>
          </w:p>
        </w:tc>
      </w:tr>
      <w:tr w:rsidR="008A2411" w:rsidRPr="008A2411" w14:paraId="646C4E4A" w14:textId="77777777">
        <w:trPr>
          <w:trHeight w:val="182"/>
          <w:jc w:val="center"/>
        </w:trPr>
        <w:tc>
          <w:tcPr>
            <w:tcW w:w="0" w:type="auto"/>
            <w:vMerge/>
            <w:textDirection w:val="tbRl"/>
            <w:vAlign w:val="center"/>
          </w:tcPr>
          <w:p w14:paraId="52A71468" w14:textId="77777777" w:rsidR="00B0005F" w:rsidRPr="008A2411" w:rsidRDefault="00B0005F">
            <w:pPr>
              <w:jc w:val="center"/>
              <w:rPr>
                <w:rFonts w:ascii="Times New Roman"/>
                <w:bCs/>
                <w:color w:val="000000" w:themeColor="text1"/>
                <w:sz w:val="21"/>
                <w:szCs w:val="21"/>
              </w:rPr>
            </w:pPr>
          </w:p>
        </w:tc>
        <w:tc>
          <w:tcPr>
            <w:tcW w:w="273" w:type="pct"/>
            <w:vAlign w:val="center"/>
          </w:tcPr>
          <w:p w14:paraId="6EC6B21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16</w:t>
            </w:r>
          </w:p>
        </w:tc>
        <w:tc>
          <w:tcPr>
            <w:tcW w:w="1012" w:type="pct"/>
            <w:vAlign w:val="center"/>
          </w:tcPr>
          <w:p w14:paraId="57AC2F05"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双树村居民</w:t>
            </w:r>
          </w:p>
        </w:tc>
        <w:tc>
          <w:tcPr>
            <w:tcW w:w="670" w:type="pct"/>
            <w:vAlign w:val="center"/>
          </w:tcPr>
          <w:p w14:paraId="0394B20E"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西北</w:t>
            </w:r>
          </w:p>
        </w:tc>
        <w:tc>
          <w:tcPr>
            <w:tcW w:w="903" w:type="pct"/>
            <w:vAlign w:val="center"/>
          </w:tcPr>
          <w:p w14:paraId="7A7F716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699~750</w:t>
            </w:r>
          </w:p>
        </w:tc>
        <w:tc>
          <w:tcPr>
            <w:tcW w:w="947" w:type="pct"/>
            <w:vAlign w:val="center"/>
          </w:tcPr>
          <w:p w14:paraId="062DECE9"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居住区</w:t>
            </w:r>
          </w:p>
        </w:tc>
        <w:tc>
          <w:tcPr>
            <w:tcW w:w="890" w:type="pct"/>
            <w:vAlign w:val="center"/>
          </w:tcPr>
          <w:p w14:paraId="2AE6698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3</w:t>
            </w:r>
            <w:r w:rsidRPr="008A2411">
              <w:rPr>
                <w:rFonts w:ascii="Times New Roman"/>
                <w:color w:val="000000" w:themeColor="text1"/>
                <w:sz w:val="21"/>
                <w:szCs w:val="21"/>
              </w:rPr>
              <w:t>户</w:t>
            </w:r>
            <w:r w:rsidRPr="008A2411">
              <w:rPr>
                <w:rFonts w:ascii="Times New Roman"/>
                <w:color w:val="000000" w:themeColor="text1"/>
                <w:sz w:val="21"/>
                <w:szCs w:val="21"/>
              </w:rPr>
              <w:t>12</w:t>
            </w:r>
            <w:r w:rsidRPr="008A2411">
              <w:rPr>
                <w:rFonts w:ascii="Times New Roman"/>
                <w:color w:val="000000" w:themeColor="text1"/>
                <w:sz w:val="21"/>
                <w:szCs w:val="21"/>
              </w:rPr>
              <w:t>人</w:t>
            </w:r>
          </w:p>
        </w:tc>
      </w:tr>
      <w:tr w:rsidR="008A2411" w:rsidRPr="008A2411" w14:paraId="1E8E47C0" w14:textId="77777777">
        <w:trPr>
          <w:jc w:val="center"/>
        </w:trPr>
        <w:tc>
          <w:tcPr>
            <w:tcW w:w="0" w:type="auto"/>
            <w:vMerge/>
            <w:textDirection w:val="tbRl"/>
            <w:vAlign w:val="center"/>
          </w:tcPr>
          <w:p w14:paraId="2A0467B1" w14:textId="77777777" w:rsidR="00B0005F" w:rsidRPr="008A2411" w:rsidRDefault="00B0005F">
            <w:pPr>
              <w:jc w:val="center"/>
              <w:rPr>
                <w:rFonts w:ascii="Times New Roman"/>
                <w:bCs/>
                <w:color w:val="000000" w:themeColor="text1"/>
                <w:sz w:val="21"/>
                <w:szCs w:val="21"/>
              </w:rPr>
            </w:pPr>
          </w:p>
        </w:tc>
        <w:tc>
          <w:tcPr>
            <w:tcW w:w="273" w:type="pct"/>
            <w:vAlign w:val="center"/>
          </w:tcPr>
          <w:p w14:paraId="060ABFFB"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17</w:t>
            </w:r>
          </w:p>
        </w:tc>
        <w:tc>
          <w:tcPr>
            <w:tcW w:w="1012" w:type="pct"/>
            <w:vAlign w:val="center"/>
          </w:tcPr>
          <w:p w14:paraId="6573A904"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胡家</w:t>
            </w:r>
            <w:proofErr w:type="gramStart"/>
            <w:r w:rsidRPr="008A2411">
              <w:rPr>
                <w:rFonts w:ascii="Times New Roman"/>
                <w:color w:val="000000" w:themeColor="text1"/>
                <w:sz w:val="21"/>
                <w:szCs w:val="21"/>
              </w:rPr>
              <w:t>镇滑山存</w:t>
            </w:r>
            <w:proofErr w:type="gramEnd"/>
          </w:p>
        </w:tc>
        <w:tc>
          <w:tcPr>
            <w:tcW w:w="670" w:type="pct"/>
            <w:vAlign w:val="center"/>
          </w:tcPr>
          <w:p w14:paraId="2127FE6F"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西北侧</w:t>
            </w:r>
          </w:p>
        </w:tc>
        <w:tc>
          <w:tcPr>
            <w:tcW w:w="903" w:type="pct"/>
            <w:vAlign w:val="center"/>
          </w:tcPr>
          <w:p w14:paraId="1658A518"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4180~5000</w:t>
            </w:r>
          </w:p>
        </w:tc>
        <w:tc>
          <w:tcPr>
            <w:tcW w:w="947" w:type="pct"/>
            <w:vAlign w:val="center"/>
          </w:tcPr>
          <w:p w14:paraId="61C2491B"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居住区</w:t>
            </w:r>
          </w:p>
        </w:tc>
        <w:tc>
          <w:tcPr>
            <w:tcW w:w="890" w:type="pct"/>
            <w:vAlign w:val="center"/>
          </w:tcPr>
          <w:p w14:paraId="757B844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210</w:t>
            </w:r>
            <w:r w:rsidRPr="008A2411">
              <w:rPr>
                <w:rFonts w:ascii="Times New Roman"/>
                <w:bCs/>
                <w:color w:val="000000" w:themeColor="text1"/>
                <w:sz w:val="21"/>
                <w:szCs w:val="21"/>
              </w:rPr>
              <w:t>户</w:t>
            </w:r>
            <w:r w:rsidRPr="008A2411">
              <w:rPr>
                <w:rFonts w:ascii="Times New Roman"/>
                <w:bCs/>
                <w:color w:val="000000" w:themeColor="text1"/>
                <w:sz w:val="21"/>
                <w:szCs w:val="21"/>
              </w:rPr>
              <w:t>860</w:t>
            </w:r>
            <w:r w:rsidRPr="008A2411">
              <w:rPr>
                <w:rFonts w:ascii="Times New Roman"/>
                <w:bCs/>
                <w:color w:val="000000" w:themeColor="text1"/>
                <w:sz w:val="21"/>
                <w:szCs w:val="21"/>
              </w:rPr>
              <w:t>人</w:t>
            </w:r>
          </w:p>
        </w:tc>
      </w:tr>
      <w:tr w:rsidR="008A2411" w:rsidRPr="008A2411" w14:paraId="41F92252" w14:textId="77777777">
        <w:trPr>
          <w:trHeight w:val="222"/>
          <w:jc w:val="center"/>
        </w:trPr>
        <w:tc>
          <w:tcPr>
            <w:tcW w:w="0" w:type="auto"/>
            <w:vMerge/>
            <w:textDirection w:val="tbRl"/>
            <w:vAlign w:val="center"/>
          </w:tcPr>
          <w:p w14:paraId="53634DD1" w14:textId="77777777" w:rsidR="00B0005F" w:rsidRPr="008A2411" w:rsidRDefault="00B0005F">
            <w:pPr>
              <w:jc w:val="center"/>
              <w:rPr>
                <w:rFonts w:ascii="Times New Roman"/>
                <w:bCs/>
                <w:color w:val="000000" w:themeColor="text1"/>
                <w:sz w:val="21"/>
                <w:szCs w:val="21"/>
              </w:rPr>
            </w:pPr>
          </w:p>
        </w:tc>
        <w:tc>
          <w:tcPr>
            <w:tcW w:w="273" w:type="pct"/>
            <w:vAlign w:val="center"/>
          </w:tcPr>
          <w:p w14:paraId="23AD2631"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18</w:t>
            </w:r>
          </w:p>
        </w:tc>
        <w:tc>
          <w:tcPr>
            <w:tcW w:w="1012" w:type="pct"/>
            <w:vAlign w:val="center"/>
          </w:tcPr>
          <w:p w14:paraId="449EE26B"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双河镇双树村</w:t>
            </w:r>
          </w:p>
        </w:tc>
        <w:tc>
          <w:tcPr>
            <w:tcW w:w="670" w:type="pct"/>
            <w:vAlign w:val="center"/>
          </w:tcPr>
          <w:p w14:paraId="1E60FAB0"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西侧</w:t>
            </w:r>
          </w:p>
        </w:tc>
        <w:tc>
          <w:tcPr>
            <w:tcW w:w="903" w:type="pct"/>
            <w:vAlign w:val="center"/>
          </w:tcPr>
          <w:p w14:paraId="097E0749"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2500~5000</w:t>
            </w:r>
          </w:p>
        </w:tc>
        <w:tc>
          <w:tcPr>
            <w:tcW w:w="947" w:type="pct"/>
            <w:vAlign w:val="center"/>
          </w:tcPr>
          <w:p w14:paraId="42EA2AB9"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居住区</w:t>
            </w:r>
          </w:p>
        </w:tc>
        <w:tc>
          <w:tcPr>
            <w:tcW w:w="890" w:type="pct"/>
            <w:vAlign w:val="center"/>
          </w:tcPr>
          <w:p w14:paraId="2C75E5A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180</w:t>
            </w:r>
            <w:r w:rsidRPr="008A2411">
              <w:rPr>
                <w:rFonts w:ascii="Times New Roman"/>
                <w:bCs/>
                <w:color w:val="000000" w:themeColor="text1"/>
                <w:sz w:val="21"/>
                <w:szCs w:val="21"/>
              </w:rPr>
              <w:t>户</w:t>
            </w:r>
            <w:r w:rsidRPr="008A2411">
              <w:rPr>
                <w:rFonts w:ascii="Times New Roman"/>
                <w:bCs/>
                <w:color w:val="000000" w:themeColor="text1"/>
                <w:sz w:val="21"/>
                <w:szCs w:val="21"/>
              </w:rPr>
              <w:t>640</w:t>
            </w:r>
            <w:r w:rsidRPr="008A2411">
              <w:rPr>
                <w:rFonts w:ascii="Times New Roman"/>
                <w:bCs/>
                <w:color w:val="000000" w:themeColor="text1"/>
                <w:sz w:val="21"/>
                <w:szCs w:val="21"/>
              </w:rPr>
              <w:t>人</w:t>
            </w:r>
          </w:p>
        </w:tc>
      </w:tr>
      <w:tr w:rsidR="008A2411" w:rsidRPr="008A2411" w14:paraId="0F45CD14" w14:textId="77777777">
        <w:trPr>
          <w:trHeight w:val="222"/>
          <w:jc w:val="center"/>
        </w:trPr>
        <w:tc>
          <w:tcPr>
            <w:tcW w:w="0" w:type="auto"/>
            <w:vMerge/>
            <w:textDirection w:val="tbRl"/>
            <w:vAlign w:val="center"/>
          </w:tcPr>
          <w:p w14:paraId="0DA68307" w14:textId="77777777" w:rsidR="00B0005F" w:rsidRPr="008A2411" w:rsidRDefault="00B0005F">
            <w:pPr>
              <w:jc w:val="center"/>
              <w:rPr>
                <w:rFonts w:ascii="Times New Roman"/>
                <w:bCs/>
                <w:color w:val="000000" w:themeColor="text1"/>
                <w:sz w:val="21"/>
                <w:szCs w:val="21"/>
              </w:rPr>
            </w:pPr>
          </w:p>
        </w:tc>
        <w:tc>
          <w:tcPr>
            <w:tcW w:w="273" w:type="pct"/>
            <w:vAlign w:val="center"/>
          </w:tcPr>
          <w:p w14:paraId="47FD51D9"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19</w:t>
            </w:r>
          </w:p>
        </w:tc>
        <w:tc>
          <w:tcPr>
            <w:tcW w:w="1012" w:type="pct"/>
            <w:vAlign w:val="center"/>
          </w:tcPr>
          <w:p w14:paraId="5C39D569" w14:textId="77777777" w:rsidR="00B0005F" w:rsidRPr="008A2411" w:rsidRDefault="00000000">
            <w:pPr>
              <w:jc w:val="center"/>
              <w:rPr>
                <w:rFonts w:ascii="Times New Roman"/>
                <w:color w:val="000000" w:themeColor="text1"/>
                <w:sz w:val="21"/>
                <w:szCs w:val="21"/>
              </w:rPr>
            </w:pPr>
            <w:proofErr w:type="gramStart"/>
            <w:r w:rsidRPr="008A2411">
              <w:rPr>
                <w:rFonts w:ascii="Times New Roman"/>
                <w:color w:val="000000" w:themeColor="text1"/>
                <w:sz w:val="21"/>
                <w:szCs w:val="21"/>
              </w:rPr>
              <w:t>柳池乡</w:t>
            </w:r>
            <w:proofErr w:type="gramEnd"/>
            <w:r w:rsidRPr="008A2411">
              <w:rPr>
                <w:rFonts w:ascii="Times New Roman"/>
                <w:color w:val="000000" w:themeColor="text1"/>
                <w:sz w:val="21"/>
                <w:szCs w:val="21"/>
              </w:rPr>
              <w:t>蟠龙村</w:t>
            </w:r>
          </w:p>
        </w:tc>
        <w:tc>
          <w:tcPr>
            <w:tcW w:w="670" w:type="pct"/>
            <w:vAlign w:val="center"/>
          </w:tcPr>
          <w:p w14:paraId="31BD065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南侧</w:t>
            </w:r>
          </w:p>
        </w:tc>
        <w:tc>
          <w:tcPr>
            <w:tcW w:w="903" w:type="pct"/>
            <w:vAlign w:val="center"/>
          </w:tcPr>
          <w:p w14:paraId="3BA938B5"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2500~5000</w:t>
            </w:r>
          </w:p>
        </w:tc>
        <w:tc>
          <w:tcPr>
            <w:tcW w:w="947" w:type="pct"/>
            <w:vAlign w:val="center"/>
          </w:tcPr>
          <w:p w14:paraId="65F15051"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居住区</w:t>
            </w:r>
          </w:p>
        </w:tc>
        <w:tc>
          <w:tcPr>
            <w:tcW w:w="890" w:type="pct"/>
            <w:vAlign w:val="center"/>
          </w:tcPr>
          <w:p w14:paraId="75A32816"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120</w:t>
            </w:r>
            <w:r w:rsidRPr="008A2411">
              <w:rPr>
                <w:rFonts w:ascii="Times New Roman"/>
                <w:bCs/>
                <w:color w:val="000000" w:themeColor="text1"/>
                <w:sz w:val="21"/>
                <w:szCs w:val="21"/>
              </w:rPr>
              <w:t>户</w:t>
            </w:r>
            <w:r w:rsidRPr="008A2411">
              <w:rPr>
                <w:rFonts w:ascii="Times New Roman"/>
                <w:bCs/>
                <w:color w:val="000000" w:themeColor="text1"/>
                <w:sz w:val="21"/>
                <w:szCs w:val="21"/>
              </w:rPr>
              <w:t>420</w:t>
            </w:r>
            <w:r w:rsidRPr="008A2411">
              <w:rPr>
                <w:rFonts w:ascii="Times New Roman"/>
                <w:bCs/>
                <w:color w:val="000000" w:themeColor="text1"/>
                <w:sz w:val="21"/>
                <w:szCs w:val="21"/>
              </w:rPr>
              <w:t>人</w:t>
            </w:r>
          </w:p>
        </w:tc>
      </w:tr>
      <w:tr w:rsidR="008A2411" w:rsidRPr="008A2411" w14:paraId="3CE82114" w14:textId="77777777">
        <w:trPr>
          <w:trHeight w:val="222"/>
          <w:jc w:val="center"/>
        </w:trPr>
        <w:tc>
          <w:tcPr>
            <w:tcW w:w="0" w:type="auto"/>
            <w:vMerge/>
            <w:textDirection w:val="tbRl"/>
            <w:vAlign w:val="center"/>
          </w:tcPr>
          <w:p w14:paraId="03D94020" w14:textId="77777777" w:rsidR="00B0005F" w:rsidRPr="008A2411" w:rsidRDefault="00B0005F">
            <w:pPr>
              <w:jc w:val="center"/>
              <w:rPr>
                <w:rFonts w:ascii="Times New Roman"/>
                <w:bCs/>
                <w:color w:val="000000" w:themeColor="text1"/>
                <w:sz w:val="21"/>
                <w:szCs w:val="21"/>
              </w:rPr>
            </w:pPr>
          </w:p>
        </w:tc>
        <w:tc>
          <w:tcPr>
            <w:tcW w:w="273" w:type="pct"/>
            <w:vAlign w:val="center"/>
          </w:tcPr>
          <w:p w14:paraId="407DC68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20</w:t>
            </w:r>
          </w:p>
        </w:tc>
        <w:tc>
          <w:tcPr>
            <w:tcW w:w="1012" w:type="pct"/>
            <w:vAlign w:val="center"/>
          </w:tcPr>
          <w:p w14:paraId="3435AD5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土主镇河溪村</w:t>
            </w:r>
          </w:p>
        </w:tc>
        <w:tc>
          <w:tcPr>
            <w:tcW w:w="670" w:type="pct"/>
            <w:vAlign w:val="center"/>
          </w:tcPr>
          <w:p w14:paraId="0A46BD7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东南</w:t>
            </w:r>
          </w:p>
        </w:tc>
        <w:tc>
          <w:tcPr>
            <w:tcW w:w="903" w:type="pct"/>
            <w:vAlign w:val="center"/>
          </w:tcPr>
          <w:p w14:paraId="56DF4B2E"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2500~5000</w:t>
            </w:r>
          </w:p>
        </w:tc>
        <w:tc>
          <w:tcPr>
            <w:tcW w:w="947" w:type="pct"/>
            <w:vAlign w:val="center"/>
          </w:tcPr>
          <w:p w14:paraId="4F541274"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居住区</w:t>
            </w:r>
          </w:p>
        </w:tc>
        <w:tc>
          <w:tcPr>
            <w:tcW w:w="890" w:type="pct"/>
            <w:vAlign w:val="center"/>
          </w:tcPr>
          <w:p w14:paraId="6754D7C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160</w:t>
            </w:r>
            <w:r w:rsidRPr="008A2411">
              <w:rPr>
                <w:rFonts w:ascii="Times New Roman"/>
                <w:bCs/>
                <w:color w:val="000000" w:themeColor="text1"/>
                <w:sz w:val="21"/>
                <w:szCs w:val="21"/>
              </w:rPr>
              <w:t>户</w:t>
            </w:r>
            <w:r w:rsidRPr="008A2411">
              <w:rPr>
                <w:rFonts w:ascii="Times New Roman"/>
                <w:bCs/>
                <w:color w:val="000000" w:themeColor="text1"/>
                <w:sz w:val="21"/>
                <w:szCs w:val="21"/>
              </w:rPr>
              <w:t>590</w:t>
            </w:r>
            <w:r w:rsidRPr="008A2411">
              <w:rPr>
                <w:rFonts w:ascii="Times New Roman"/>
                <w:bCs/>
                <w:color w:val="000000" w:themeColor="text1"/>
                <w:sz w:val="21"/>
                <w:szCs w:val="21"/>
              </w:rPr>
              <w:t>人</w:t>
            </w:r>
          </w:p>
        </w:tc>
      </w:tr>
      <w:tr w:rsidR="008A2411" w:rsidRPr="008A2411" w14:paraId="2F76E133" w14:textId="77777777">
        <w:trPr>
          <w:trHeight w:val="222"/>
          <w:jc w:val="center"/>
        </w:trPr>
        <w:tc>
          <w:tcPr>
            <w:tcW w:w="0" w:type="auto"/>
            <w:vMerge/>
            <w:textDirection w:val="tbRl"/>
            <w:vAlign w:val="center"/>
          </w:tcPr>
          <w:p w14:paraId="3049BFED" w14:textId="77777777" w:rsidR="00B0005F" w:rsidRPr="008A2411" w:rsidRDefault="00B0005F">
            <w:pPr>
              <w:jc w:val="center"/>
              <w:rPr>
                <w:rFonts w:ascii="Times New Roman"/>
                <w:bCs/>
                <w:color w:val="000000" w:themeColor="text1"/>
                <w:sz w:val="21"/>
                <w:szCs w:val="21"/>
              </w:rPr>
            </w:pPr>
          </w:p>
        </w:tc>
        <w:tc>
          <w:tcPr>
            <w:tcW w:w="273" w:type="pct"/>
            <w:vAlign w:val="center"/>
          </w:tcPr>
          <w:p w14:paraId="1854C1C3"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21</w:t>
            </w:r>
          </w:p>
        </w:tc>
        <w:tc>
          <w:tcPr>
            <w:tcW w:w="1012" w:type="pct"/>
            <w:vAlign w:val="center"/>
          </w:tcPr>
          <w:p w14:paraId="069A2771" w14:textId="77777777" w:rsidR="00B0005F" w:rsidRPr="008A2411" w:rsidRDefault="00000000">
            <w:pPr>
              <w:jc w:val="center"/>
              <w:rPr>
                <w:rFonts w:ascii="Times New Roman"/>
                <w:color w:val="000000" w:themeColor="text1"/>
                <w:sz w:val="21"/>
                <w:szCs w:val="21"/>
              </w:rPr>
            </w:pPr>
            <w:proofErr w:type="gramStart"/>
            <w:r w:rsidRPr="008A2411">
              <w:rPr>
                <w:rFonts w:ascii="Times New Roman"/>
                <w:color w:val="000000" w:themeColor="text1"/>
                <w:sz w:val="21"/>
                <w:szCs w:val="21"/>
              </w:rPr>
              <w:t>铜坎社区</w:t>
            </w:r>
            <w:proofErr w:type="gramEnd"/>
          </w:p>
        </w:tc>
        <w:tc>
          <w:tcPr>
            <w:tcW w:w="670" w:type="pct"/>
            <w:vAlign w:val="center"/>
          </w:tcPr>
          <w:p w14:paraId="62E7C61B"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东侧</w:t>
            </w:r>
          </w:p>
        </w:tc>
        <w:tc>
          <w:tcPr>
            <w:tcW w:w="903" w:type="pct"/>
            <w:vAlign w:val="center"/>
          </w:tcPr>
          <w:p w14:paraId="70A7F284"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2500~5000</w:t>
            </w:r>
          </w:p>
        </w:tc>
        <w:tc>
          <w:tcPr>
            <w:tcW w:w="947" w:type="pct"/>
            <w:vAlign w:val="center"/>
          </w:tcPr>
          <w:p w14:paraId="760FA3B1"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居住区</w:t>
            </w:r>
          </w:p>
        </w:tc>
        <w:tc>
          <w:tcPr>
            <w:tcW w:w="890" w:type="pct"/>
            <w:vAlign w:val="center"/>
          </w:tcPr>
          <w:p w14:paraId="5107B35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350</w:t>
            </w:r>
            <w:r w:rsidRPr="008A2411">
              <w:rPr>
                <w:rFonts w:ascii="Times New Roman"/>
                <w:bCs/>
                <w:color w:val="000000" w:themeColor="text1"/>
                <w:sz w:val="21"/>
                <w:szCs w:val="21"/>
              </w:rPr>
              <w:t>户</w:t>
            </w:r>
            <w:r w:rsidRPr="008A2411">
              <w:rPr>
                <w:rFonts w:ascii="Times New Roman"/>
                <w:bCs/>
                <w:color w:val="000000" w:themeColor="text1"/>
                <w:sz w:val="21"/>
                <w:szCs w:val="21"/>
              </w:rPr>
              <w:t>990</w:t>
            </w:r>
            <w:r w:rsidRPr="008A2411">
              <w:rPr>
                <w:rFonts w:ascii="Times New Roman"/>
                <w:bCs/>
                <w:color w:val="000000" w:themeColor="text1"/>
                <w:sz w:val="21"/>
                <w:szCs w:val="21"/>
              </w:rPr>
              <w:t>人</w:t>
            </w:r>
          </w:p>
        </w:tc>
      </w:tr>
      <w:tr w:rsidR="008A2411" w:rsidRPr="008A2411" w14:paraId="29B9BC75" w14:textId="77777777">
        <w:trPr>
          <w:trHeight w:val="222"/>
          <w:jc w:val="center"/>
        </w:trPr>
        <w:tc>
          <w:tcPr>
            <w:tcW w:w="0" w:type="auto"/>
            <w:vMerge/>
            <w:textDirection w:val="tbRl"/>
            <w:vAlign w:val="center"/>
          </w:tcPr>
          <w:p w14:paraId="7EAA32E5" w14:textId="77777777" w:rsidR="00B0005F" w:rsidRPr="008A2411" w:rsidRDefault="00B0005F">
            <w:pPr>
              <w:jc w:val="center"/>
              <w:rPr>
                <w:rFonts w:ascii="Times New Roman"/>
                <w:bCs/>
                <w:color w:val="000000" w:themeColor="text1"/>
                <w:sz w:val="21"/>
                <w:szCs w:val="21"/>
              </w:rPr>
            </w:pPr>
          </w:p>
        </w:tc>
        <w:tc>
          <w:tcPr>
            <w:tcW w:w="273" w:type="pct"/>
            <w:vAlign w:val="center"/>
          </w:tcPr>
          <w:p w14:paraId="626F856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22</w:t>
            </w:r>
          </w:p>
        </w:tc>
        <w:tc>
          <w:tcPr>
            <w:tcW w:w="1012" w:type="pct"/>
            <w:vAlign w:val="center"/>
          </w:tcPr>
          <w:p w14:paraId="6B5ED21B" w14:textId="77777777" w:rsidR="00B0005F" w:rsidRPr="008A2411" w:rsidRDefault="00000000">
            <w:pPr>
              <w:jc w:val="center"/>
              <w:rPr>
                <w:rFonts w:ascii="Times New Roman"/>
                <w:color w:val="000000" w:themeColor="text1"/>
                <w:sz w:val="21"/>
                <w:szCs w:val="21"/>
              </w:rPr>
            </w:pPr>
            <w:proofErr w:type="gramStart"/>
            <w:r w:rsidRPr="008A2411">
              <w:rPr>
                <w:rFonts w:ascii="Times New Roman"/>
                <w:color w:val="000000" w:themeColor="text1"/>
                <w:sz w:val="21"/>
                <w:szCs w:val="21"/>
              </w:rPr>
              <w:t>跳河村</w:t>
            </w:r>
            <w:proofErr w:type="gramEnd"/>
          </w:p>
        </w:tc>
        <w:tc>
          <w:tcPr>
            <w:tcW w:w="670" w:type="pct"/>
            <w:vAlign w:val="center"/>
          </w:tcPr>
          <w:p w14:paraId="2FAF4D65"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东北侧</w:t>
            </w:r>
          </w:p>
        </w:tc>
        <w:tc>
          <w:tcPr>
            <w:tcW w:w="903" w:type="pct"/>
            <w:vAlign w:val="center"/>
          </w:tcPr>
          <w:p w14:paraId="7338F1A2"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2500~5000</w:t>
            </w:r>
          </w:p>
        </w:tc>
        <w:tc>
          <w:tcPr>
            <w:tcW w:w="947" w:type="pct"/>
            <w:vAlign w:val="center"/>
          </w:tcPr>
          <w:p w14:paraId="6A9ABACD"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居住区</w:t>
            </w:r>
          </w:p>
        </w:tc>
        <w:tc>
          <w:tcPr>
            <w:tcW w:w="890" w:type="pct"/>
            <w:vAlign w:val="center"/>
          </w:tcPr>
          <w:p w14:paraId="4CFD3A7D"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120</w:t>
            </w:r>
            <w:r w:rsidRPr="008A2411">
              <w:rPr>
                <w:rFonts w:ascii="Times New Roman"/>
                <w:bCs/>
                <w:color w:val="000000" w:themeColor="text1"/>
                <w:sz w:val="21"/>
                <w:szCs w:val="21"/>
              </w:rPr>
              <w:t>户</w:t>
            </w:r>
            <w:r w:rsidRPr="008A2411">
              <w:rPr>
                <w:rFonts w:ascii="Times New Roman"/>
                <w:bCs/>
                <w:color w:val="000000" w:themeColor="text1"/>
                <w:sz w:val="21"/>
                <w:szCs w:val="21"/>
              </w:rPr>
              <w:t>420</w:t>
            </w:r>
            <w:r w:rsidRPr="008A2411">
              <w:rPr>
                <w:rFonts w:ascii="Times New Roman"/>
                <w:bCs/>
                <w:color w:val="000000" w:themeColor="text1"/>
                <w:sz w:val="21"/>
                <w:szCs w:val="21"/>
              </w:rPr>
              <w:t>人</w:t>
            </w:r>
          </w:p>
        </w:tc>
      </w:tr>
      <w:tr w:rsidR="008A2411" w:rsidRPr="008A2411" w14:paraId="24DCFC76" w14:textId="77777777">
        <w:trPr>
          <w:jc w:val="center"/>
        </w:trPr>
        <w:tc>
          <w:tcPr>
            <w:tcW w:w="0" w:type="auto"/>
            <w:vMerge/>
            <w:textDirection w:val="tbRl"/>
            <w:vAlign w:val="center"/>
          </w:tcPr>
          <w:p w14:paraId="557F8F52" w14:textId="77777777" w:rsidR="00B0005F" w:rsidRPr="008A2411" w:rsidRDefault="00B0005F">
            <w:pPr>
              <w:jc w:val="center"/>
              <w:rPr>
                <w:rFonts w:ascii="Times New Roman"/>
                <w:bCs/>
                <w:color w:val="000000" w:themeColor="text1"/>
                <w:sz w:val="21"/>
                <w:szCs w:val="21"/>
              </w:rPr>
            </w:pPr>
          </w:p>
        </w:tc>
        <w:tc>
          <w:tcPr>
            <w:tcW w:w="273" w:type="pct"/>
            <w:vAlign w:val="center"/>
          </w:tcPr>
          <w:p w14:paraId="19AA2D2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23</w:t>
            </w:r>
          </w:p>
        </w:tc>
        <w:tc>
          <w:tcPr>
            <w:tcW w:w="1012" w:type="pct"/>
            <w:vAlign w:val="center"/>
          </w:tcPr>
          <w:p w14:paraId="3094293C"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双河镇东风小学</w:t>
            </w:r>
          </w:p>
        </w:tc>
        <w:tc>
          <w:tcPr>
            <w:tcW w:w="670" w:type="pct"/>
            <w:vAlign w:val="center"/>
          </w:tcPr>
          <w:p w14:paraId="3EFEAF60"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西侧</w:t>
            </w:r>
          </w:p>
        </w:tc>
        <w:tc>
          <w:tcPr>
            <w:tcW w:w="903" w:type="pct"/>
            <w:vAlign w:val="center"/>
          </w:tcPr>
          <w:p w14:paraId="4B9AC1C7"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3200</w:t>
            </w:r>
          </w:p>
        </w:tc>
        <w:tc>
          <w:tcPr>
            <w:tcW w:w="947" w:type="pct"/>
            <w:vAlign w:val="center"/>
          </w:tcPr>
          <w:p w14:paraId="0B08C936"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学校</w:t>
            </w:r>
          </w:p>
        </w:tc>
        <w:tc>
          <w:tcPr>
            <w:tcW w:w="890" w:type="pct"/>
            <w:vAlign w:val="center"/>
          </w:tcPr>
          <w:p w14:paraId="6B1BCEE4"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师生约</w:t>
            </w:r>
            <w:r w:rsidRPr="008A2411">
              <w:rPr>
                <w:rFonts w:ascii="Times New Roman"/>
                <w:bCs/>
                <w:color w:val="000000" w:themeColor="text1"/>
                <w:sz w:val="21"/>
                <w:szCs w:val="21"/>
              </w:rPr>
              <w:t>600</w:t>
            </w:r>
            <w:r w:rsidRPr="008A2411">
              <w:rPr>
                <w:rFonts w:ascii="Times New Roman"/>
                <w:bCs/>
                <w:color w:val="000000" w:themeColor="text1"/>
                <w:sz w:val="21"/>
                <w:szCs w:val="21"/>
              </w:rPr>
              <w:t>人</w:t>
            </w:r>
          </w:p>
        </w:tc>
      </w:tr>
      <w:tr w:rsidR="008A2411" w:rsidRPr="008A2411" w14:paraId="1FF22CAD" w14:textId="77777777">
        <w:trPr>
          <w:jc w:val="center"/>
        </w:trPr>
        <w:tc>
          <w:tcPr>
            <w:tcW w:w="0" w:type="auto"/>
            <w:vMerge/>
            <w:textDirection w:val="tbRl"/>
            <w:vAlign w:val="center"/>
          </w:tcPr>
          <w:p w14:paraId="4CCE099E" w14:textId="77777777" w:rsidR="00B0005F" w:rsidRPr="008A2411" w:rsidRDefault="00B0005F">
            <w:pPr>
              <w:jc w:val="center"/>
              <w:rPr>
                <w:rFonts w:ascii="Times New Roman"/>
                <w:bCs/>
                <w:color w:val="000000" w:themeColor="text1"/>
                <w:sz w:val="21"/>
                <w:szCs w:val="21"/>
              </w:rPr>
            </w:pPr>
          </w:p>
        </w:tc>
        <w:tc>
          <w:tcPr>
            <w:tcW w:w="273" w:type="pct"/>
            <w:vAlign w:val="center"/>
          </w:tcPr>
          <w:p w14:paraId="1753C89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24</w:t>
            </w:r>
          </w:p>
        </w:tc>
        <w:tc>
          <w:tcPr>
            <w:tcW w:w="1012" w:type="pct"/>
            <w:vAlign w:val="center"/>
          </w:tcPr>
          <w:p w14:paraId="0442382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土主镇河溪小学</w:t>
            </w:r>
          </w:p>
        </w:tc>
        <w:tc>
          <w:tcPr>
            <w:tcW w:w="670" w:type="pct"/>
            <w:vAlign w:val="center"/>
          </w:tcPr>
          <w:p w14:paraId="7B71AD1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东南侧</w:t>
            </w:r>
          </w:p>
        </w:tc>
        <w:tc>
          <w:tcPr>
            <w:tcW w:w="903" w:type="pct"/>
            <w:vAlign w:val="center"/>
          </w:tcPr>
          <w:p w14:paraId="530B86DB"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3230</w:t>
            </w:r>
          </w:p>
        </w:tc>
        <w:tc>
          <w:tcPr>
            <w:tcW w:w="947" w:type="pct"/>
            <w:vAlign w:val="center"/>
          </w:tcPr>
          <w:p w14:paraId="7C415E7D"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学校</w:t>
            </w:r>
          </w:p>
        </w:tc>
        <w:tc>
          <w:tcPr>
            <w:tcW w:w="890" w:type="pct"/>
            <w:vAlign w:val="center"/>
          </w:tcPr>
          <w:p w14:paraId="72D2E6E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师生约</w:t>
            </w:r>
            <w:r w:rsidRPr="008A2411">
              <w:rPr>
                <w:rFonts w:ascii="Times New Roman"/>
                <w:bCs/>
                <w:color w:val="000000" w:themeColor="text1"/>
                <w:sz w:val="21"/>
                <w:szCs w:val="21"/>
              </w:rPr>
              <w:t>500</w:t>
            </w:r>
            <w:r w:rsidRPr="008A2411">
              <w:rPr>
                <w:rFonts w:ascii="Times New Roman"/>
                <w:bCs/>
                <w:color w:val="000000" w:themeColor="text1"/>
                <w:sz w:val="21"/>
                <w:szCs w:val="21"/>
              </w:rPr>
              <w:t>人</w:t>
            </w:r>
          </w:p>
        </w:tc>
      </w:tr>
      <w:tr w:rsidR="008A2411" w:rsidRPr="008A2411" w14:paraId="45EABBFA" w14:textId="77777777">
        <w:trPr>
          <w:jc w:val="center"/>
        </w:trPr>
        <w:tc>
          <w:tcPr>
            <w:tcW w:w="0" w:type="auto"/>
            <w:vMerge/>
            <w:textDirection w:val="tbRl"/>
            <w:vAlign w:val="center"/>
          </w:tcPr>
          <w:p w14:paraId="28A8B833" w14:textId="77777777" w:rsidR="00B0005F" w:rsidRPr="008A2411" w:rsidRDefault="00B0005F">
            <w:pPr>
              <w:jc w:val="center"/>
              <w:rPr>
                <w:rFonts w:ascii="Times New Roman"/>
                <w:bCs/>
                <w:color w:val="000000" w:themeColor="text1"/>
                <w:sz w:val="21"/>
                <w:szCs w:val="21"/>
              </w:rPr>
            </w:pPr>
          </w:p>
        </w:tc>
        <w:tc>
          <w:tcPr>
            <w:tcW w:w="273" w:type="pct"/>
            <w:vAlign w:val="center"/>
          </w:tcPr>
          <w:p w14:paraId="6BAF3DB6"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25</w:t>
            </w:r>
          </w:p>
        </w:tc>
        <w:tc>
          <w:tcPr>
            <w:tcW w:w="1012" w:type="pct"/>
            <w:vAlign w:val="center"/>
          </w:tcPr>
          <w:p w14:paraId="3CDF705E" w14:textId="77777777" w:rsidR="00B0005F" w:rsidRPr="008A2411" w:rsidRDefault="00000000">
            <w:pPr>
              <w:jc w:val="center"/>
              <w:rPr>
                <w:rFonts w:ascii="Times New Roman"/>
                <w:color w:val="000000" w:themeColor="text1"/>
                <w:sz w:val="21"/>
                <w:szCs w:val="21"/>
              </w:rPr>
            </w:pPr>
            <w:proofErr w:type="gramStart"/>
            <w:r w:rsidRPr="008A2411">
              <w:rPr>
                <w:rFonts w:ascii="Times New Roman"/>
                <w:color w:val="000000" w:themeColor="text1"/>
                <w:sz w:val="21"/>
                <w:szCs w:val="21"/>
              </w:rPr>
              <w:t>柳池小学</w:t>
            </w:r>
            <w:proofErr w:type="gramEnd"/>
          </w:p>
        </w:tc>
        <w:tc>
          <w:tcPr>
            <w:tcW w:w="670" w:type="pct"/>
            <w:vAlign w:val="center"/>
          </w:tcPr>
          <w:p w14:paraId="62E6ACB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东南侧</w:t>
            </w:r>
          </w:p>
        </w:tc>
        <w:tc>
          <w:tcPr>
            <w:tcW w:w="903" w:type="pct"/>
            <w:vAlign w:val="center"/>
          </w:tcPr>
          <w:p w14:paraId="467D289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4460</w:t>
            </w:r>
          </w:p>
        </w:tc>
        <w:tc>
          <w:tcPr>
            <w:tcW w:w="947" w:type="pct"/>
            <w:vAlign w:val="center"/>
          </w:tcPr>
          <w:p w14:paraId="4A8B44E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学校</w:t>
            </w:r>
          </w:p>
        </w:tc>
        <w:tc>
          <w:tcPr>
            <w:tcW w:w="890" w:type="pct"/>
            <w:vAlign w:val="center"/>
          </w:tcPr>
          <w:p w14:paraId="5BE04603"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师生约</w:t>
            </w:r>
            <w:r w:rsidRPr="008A2411">
              <w:rPr>
                <w:rFonts w:ascii="Times New Roman"/>
                <w:bCs/>
                <w:color w:val="000000" w:themeColor="text1"/>
                <w:sz w:val="21"/>
                <w:szCs w:val="21"/>
              </w:rPr>
              <w:t>500</w:t>
            </w:r>
            <w:r w:rsidRPr="008A2411">
              <w:rPr>
                <w:rFonts w:ascii="Times New Roman"/>
                <w:bCs/>
                <w:color w:val="000000" w:themeColor="text1"/>
                <w:sz w:val="21"/>
                <w:szCs w:val="21"/>
              </w:rPr>
              <w:t>人</w:t>
            </w:r>
          </w:p>
        </w:tc>
      </w:tr>
      <w:tr w:rsidR="008A2411" w:rsidRPr="008A2411" w14:paraId="1B82057B" w14:textId="77777777">
        <w:trPr>
          <w:jc w:val="center"/>
        </w:trPr>
        <w:tc>
          <w:tcPr>
            <w:tcW w:w="0" w:type="auto"/>
            <w:vMerge/>
            <w:textDirection w:val="tbRl"/>
            <w:vAlign w:val="center"/>
          </w:tcPr>
          <w:p w14:paraId="593A4C52" w14:textId="77777777" w:rsidR="00B0005F" w:rsidRPr="008A2411" w:rsidRDefault="00B0005F">
            <w:pPr>
              <w:jc w:val="center"/>
              <w:rPr>
                <w:rFonts w:ascii="Times New Roman"/>
                <w:bCs/>
                <w:color w:val="000000" w:themeColor="text1"/>
                <w:sz w:val="21"/>
                <w:szCs w:val="21"/>
              </w:rPr>
            </w:pPr>
          </w:p>
        </w:tc>
        <w:tc>
          <w:tcPr>
            <w:tcW w:w="273" w:type="pct"/>
            <w:vAlign w:val="center"/>
          </w:tcPr>
          <w:p w14:paraId="2C8ED236"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26</w:t>
            </w:r>
          </w:p>
        </w:tc>
        <w:tc>
          <w:tcPr>
            <w:tcW w:w="1012" w:type="pct"/>
            <w:vAlign w:val="center"/>
          </w:tcPr>
          <w:p w14:paraId="7E233515"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宣汉普光学校</w:t>
            </w:r>
          </w:p>
        </w:tc>
        <w:tc>
          <w:tcPr>
            <w:tcW w:w="670" w:type="pct"/>
            <w:vAlign w:val="center"/>
          </w:tcPr>
          <w:p w14:paraId="27B8742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东南侧</w:t>
            </w:r>
          </w:p>
        </w:tc>
        <w:tc>
          <w:tcPr>
            <w:tcW w:w="903" w:type="pct"/>
            <w:vAlign w:val="center"/>
          </w:tcPr>
          <w:p w14:paraId="6A4D741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1570</w:t>
            </w:r>
          </w:p>
        </w:tc>
        <w:tc>
          <w:tcPr>
            <w:tcW w:w="947" w:type="pct"/>
            <w:vAlign w:val="center"/>
          </w:tcPr>
          <w:p w14:paraId="386C0B86"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学校</w:t>
            </w:r>
          </w:p>
        </w:tc>
        <w:tc>
          <w:tcPr>
            <w:tcW w:w="890" w:type="pct"/>
            <w:vAlign w:val="center"/>
          </w:tcPr>
          <w:p w14:paraId="2402D3B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师生约</w:t>
            </w:r>
            <w:r w:rsidRPr="008A2411">
              <w:rPr>
                <w:rFonts w:ascii="Times New Roman"/>
                <w:bCs/>
                <w:color w:val="000000" w:themeColor="text1"/>
                <w:sz w:val="21"/>
                <w:szCs w:val="21"/>
              </w:rPr>
              <w:t>800</w:t>
            </w:r>
            <w:r w:rsidRPr="008A2411">
              <w:rPr>
                <w:rFonts w:ascii="Times New Roman"/>
                <w:bCs/>
                <w:color w:val="000000" w:themeColor="text1"/>
                <w:sz w:val="21"/>
                <w:szCs w:val="21"/>
              </w:rPr>
              <w:t>人</w:t>
            </w:r>
          </w:p>
        </w:tc>
      </w:tr>
      <w:tr w:rsidR="008A2411" w:rsidRPr="008A2411" w14:paraId="46AF8313" w14:textId="77777777">
        <w:trPr>
          <w:jc w:val="center"/>
        </w:trPr>
        <w:tc>
          <w:tcPr>
            <w:tcW w:w="0" w:type="auto"/>
            <w:vMerge/>
            <w:textDirection w:val="tbRl"/>
            <w:vAlign w:val="center"/>
          </w:tcPr>
          <w:p w14:paraId="6618F0E9" w14:textId="77777777" w:rsidR="00B0005F" w:rsidRPr="008A2411" w:rsidRDefault="00B0005F">
            <w:pPr>
              <w:jc w:val="center"/>
              <w:rPr>
                <w:rFonts w:ascii="Times New Roman"/>
                <w:bCs/>
                <w:color w:val="000000" w:themeColor="text1"/>
                <w:sz w:val="21"/>
                <w:szCs w:val="21"/>
              </w:rPr>
            </w:pPr>
          </w:p>
        </w:tc>
        <w:tc>
          <w:tcPr>
            <w:tcW w:w="273" w:type="pct"/>
            <w:vAlign w:val="center"/>
          </w:tcPr>
          <w:p w14:paraId="65DF017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27</w:t>
            </w:r>
          </w:p>
        </w:tc>
        <w:tc>
          <w:tcPr>
            <w:tcW w:w="1012" w:type="pct"/>
            <w:vAlign w:val="center"/>
          </w:tcPr>
          <w:p w14:paraId="3747545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土</w:t>
            </w:r>
            <w:proofErr w:type="gramStart"/>
            <w:r w:rsidRPr="008A2411">
              <w:rPr>
                <w:rFonts w:ascii="Times New Roman"/>
                <w:color w:val="000000" w:themeColor="text1"/>
                <w:sz w:val="21"/>
                <w:szCs w:val="21"/>
              </w:rPr>
              <w:t>主渔坝</w:t>
            </w:r>
            <w:proofErr w:type="gramEnd"/>
            <w:r w:rsidRPr="008A2411">
              <w:rPr>
                <w:rFonts w:ascii="Times New Roman"/>
                <w:color w:val="000000" w:themeColor="text1"/>
                <w:sz w:val="21"/>
                <w:szCs w:val="21"/>
              </w:rPr>
              <w:t>小学</w:t>
            </w:r>
          </w:p>
        </w:tc>
        <w:tc>
          <w:tcPr>
            <w:tcW w:w="670" w:type="pct"/>
            <w:vAlign w:val="center"/>
          </w:tcPr>
          <w:p w14:paraId="467B9D5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东北</w:t>
            </w:r>
          </w:p>
        </w:tc>
        <w:tc>
          <w:tcPr>
            <w:tcW w:w="903" w:type="pct"/>
            <w:vAlign w:val="center"/>
          </w:tcPr>
          <w:p w14:paraId="0F4F151B"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1900</w:t>
            </w:r>
          </w:p>
        </w:tc>
        <w:tc>
          <w:tcPr>
            <w:tcW w:w="947" w:type="pct"/>
            <w:vAlign w:val="center"/>
          </w:tcPr>
          <w:p w14:paraId="67E956C4"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学校</w:t>
            </w:r>
          </w:p>
        </w:tc>
        <w:tc>
          <w:tcPr>
            <w:tcW w:w="890" w:type="pct"/>
            <w:vAlign w:val="center"/>
          </w:tcPr>
          <w:p w14:paraId="7DB2929D"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师生约</w:t>
            </w:r>
            <w:r w:rsidRPr="008A2411">
              <w:rPr>
                <w:rFonts w:ascii="Times New Roman"/>
                <w:bCs/>
                <w:color w:val="000000" w:themeColor="text1"/>
                <w:sz w:val="21"/>
                <w:szCs w:val="21"/>
              </w:rPr>
              <w:t>400</w:t>
            </w:r>
            <w:r w:rsidRPr="008A2411">
              <w:rPr>
                <w:rFonts w:ascii="Times New Roman"/>
                <w:bCs/>
                <w:color w:val="000000" w:themeColor="text1"/>
                <w:sz w:val="21"/>
                <w:szCs w:val="21"/>
              </w:rPr>
              <w:t>人</w:t>
            </w:r>
          </w:p>
        </w:tc>
      </w:tr>
      <w:tr w:rsidR="008A2411" w:rsidRPr="008A2411" w14:paraId="7FBF45EA" w14:textId="77777777">
        <w:trPr>
          <w:jc w:val="center"/>
        </w:trPr>
        <w:tc>
          <w:tcPr>
            <w:tcW w:w="0" w:type="auto"/>
            <w:vMerge/>
            <w:textDirection w:val="tbRl"/>
            <w:vAlign w:val="center"/>
          </w:tcPr>
          <w:p w14:paraId="56445B6C" w14:textId="77777777" w:rsidR="00B0005F" w:rsidRPr="008A2411" w:rsidRDefault="00B0005F">
            <w:pPr>
              <w:jc w:val="center"/>
              <w:rPr>
                <w:rFonts w:ascii="Times New Roman"/>
                <w:bCs/>
                <w:color w:val="000000" w:themeColor="text1"/>
                <w:sz w:val="21"/>
                <w:szCs w:val="21"/>
              </w:rPr>
            </w:pPr>
          </w:p>
        </w:tc>
        <w:tc>
          <w:tcPr>
            <w:tcW w:w="273" w:type="pct"/>
            <w:vAlign w:val="center"/>
          </w:tcPr>
          <w:p w14:paraId="1774312D"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28</w:t>
            </w:r>
          </w:p>
        </w:tc>
        <w:tc>
          <w:tcPr>
            <w:tcW w:w="1012" w:type="pct"/>
            <w:vAlign w:val="center"/>
          </w:tcPr>
          <w:p w14:paraId="5F8F574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宣汉县人民医院（土主分院）</w:t>
            </w:r>
          </w:p>
        </w:tc>
        <w:tc>
          <w:tcPr>
            <w:tcW w:w="670" w:type="pct"/>
            <w:vAlign w:val="center"/>
          </w:tcPr>
          <w:p w14:paraId="19130C2B"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东侧</w:t>
            </w:r>
          </w:p>
        </w:tc>
        <w:tc>
          <w:tcPr>
            <w:tcW w:w="903" w:type="pct"/>
            <w:vAlign w:val="center"/>
          </w:tcPr>
          <w:p w14:paraId="0AC67FE7"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1480</w:t>
            </w:r>
          </w:p>
        </w:tc>
        <w:tc>
          <w:tcPr>
            <w:tcW w:w="947" w:type="pct"/>
            <w:vAlign w:val="center"/>
          </w:tcPr>
          <w:p w14:paraId="7C256FD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医院</w:t>
            </w:r>
          </w:p>
        </w:tc>
        <w:tc>
          <w:tcPr>
            <w:tcW w:w="890" w:type="pct"/>
            <w:vAlign w:val="center"/>
          </w:tcPr>
          <w:p w14:paraId="433FC041"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约</w:t>
            </w:r>
            <w:r w:rsidRPr="008A2411">
              <w:rPr>
                <w:rFonts w:ascii="Times New Roman"/>
                <w:bCs/>
                <w:color w:val="000000" w:themeColor="text1"/>
                <w:sz w:val="21"/>
                <w:szCs w:val="21"/>
              </w:rPr>
              <w:t>400</w:t>
            </w:r>
            <w:r w:rsidRPr="008A2411">
              <w:rPr>
                <w:rFonts w:ascii="Times New Roman"/>
                <w:bCs/>
                <w:color w:val="000000" w:themeColor="text1"/>
                <w:sz w:val="21"/>
                <w:szCs w:val="21"/>
              </w:rPr>
              <w:t>人</w:t>
            </w:r>
          </w:p>
        </w:tc>
      </w:tr>
      <w:tr w:rsidR="008A2411" w:rsidRPr="008A2411" w14:paraId="6135840E" w14:textId="77777777">
        <w:trPr>
          <w:jc w:val="center"/>
        </w:trPr>
        <w:tc>
          <w:tcPr>
            <w:tcW w:w="0" w:type="auto"/>
            <w:vMerge/>
            <w:vAlign w:val="center"/>
          </w:tcPr>
          <w:p w14:paraId="67EA2D13" w14:textId="77777777" w:rsidR="00B0005F" w:rsidRPr="008A2411" w:rsidRDefault="00B0005F">
            <w:pPr>
              <w:jc w:val="center"/>
              <w:rPr>
                <w:rFonts w:ascii="Times New Roman"/>
                <w:bCs/>
                <w:color w:val="000000" w:themeColor="text1"/>
                <w:sz w:val="21"/>
                <w:szCs w:val="21"/>
              </w:rPr>
            </w:pPr>
          </w:p>
        </w:tc>
        <w:tc>
          <w:tcPr>
            <w:tcW w:w="3807" w:type="pct"/>
            <w:gridSpan w:val="5"/>
            <w:vAlign w:val="center"/>
          </w:tcPr>
          <w:p w14:paraId="1DD0108A"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大气环境敏感程度</w:t>
            </w:r>
            <w:r w:rsidRPr="008A2411">
              <w:rPr>
                <w:rFonts w:ascii="Times New Roman"/>
                <w:bCs/>
                <w:color w:val="000000" w:themeColor="text1"/>
                <w:sz w:val="21"/>
                <w:szCs w:val="21"/>
              </w:rPr>
              <w:t>E</w:t>
            </w:r>
            <w:r w:rsidRPr="008A2411">
              <w:rPr>
                <w:rFonts w:ascii="Times New Roman"/>
                <w:bCs/>
                <w:color w:val="000000" w:themeColor="text1"/>
                <w:sz w:val="21"/>
                <w:szCs w:val="21"/>
              </w:rPr>
              <w:t>值</w:t>
            </w:r>
          </w:p>
        </w:tc>
        <w:tc>
          <w:tcPr>
            <w:tcW w:w="890" w:type="pct"/>
            <w:vAlign w:val="center"/>
          </w:tcPr>
          <w:p w14:paraId="5217416B"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E2</w:t>
            </w:r>
          </w:p>
        </w:tc>
      </w:tr>
      <w:tr w:rsidR="008A2411" w:rsidRPr="008A2411" w14:paraId="124B15EB" w14:textId="77777777">
        <w:trPr>
          <w:jc w:val="center"/>
        </w:trPr>
        <w:tc>
          <w:tcPr>
            <w:tcW w:w="0" w:type="auto"/>
            <w:vMerge w:val="restart"/>
            <w:vAlign w:val="center"/>
          </w:tcPr>
          <w:p w14:paraId="5D17F349"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地表水</w:t>
            </w:r>
          </w:p>
        </w:tc>
        <w:tc>
          <w:tcPr>
            <w:tcW w:w="0" w:type="auto"/>
            <w:gridSpan w:val="6"/>
            <w:vAlign w:val="center"/>
          </w:tcPr>
          <w:p w14:paraId="7ADD2E6D"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受纳水体</w:t>
            </w:r>
          </w:p>
        </w:tc>
      </w:tr>
      <w:tr w:rsidR="008A2411" w:rsidRPr="008A2411" w14:paraId="64FC99EE" w14:textId="77777777">
        <w:trPr>
          <w:jc w:val="center"/>
        </w:trPr>
        <w:tc>
          <w:tcPr>
            <w:tcW w:w="0" w:type="auto"/>
            <w:vMerge/>
            <w:vAlign w:val="center"/>
          </w:tcPr>
          <w:p w14:paraId="659497D5" w14:textId="77777777" w:rsidR="00B0005F" w:rsidRPr="008A2411" w:rsidRDefault="00B0005F">
            <w:pPr>
              <w:jc w:val="center"/>
              <w:rPr>
                <w:rFonts w:ascii="Times New Roman"/>
                <w:bCs/>
                <w:color w:val="000000" w:themeColor="text1"/>
                <w:sz w:val="21"/>
                <w:szCs w:val="21"/>
              </w:rPr>
            </w:pPr>
          </w:p>
        </w:tc>
        <w:tc>
          <w:tcPr>
            <w:tcW w:w="273" w:type="pct"/>
            <w:vAlign w:val="center"/>
          </w:tcPr>
          <w:p w14:paraId="1091C0D1"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序号</w:t>
            </w:r>
          </w:p>
        </w:tc>
        <w:tc>
          <w:tcPr>
            <w:tcW w:w="1012" w:type="pct"/>
            <w:vAlign w:val="center"/>
          </w:tcPr>
          <w:p w14:paraId="429EBDC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受纳水体名称</w:t>
            </w:r>
          </w:p>
        </w:tc>
        <w:tc>
          <w:tcPr>
            <w:tcW w:w="1573" w:type="pct"/>
            <w:gridSpan w:val="2"/>
            <w:vAlign w:val="center"/>
          </w:tcPr>
          <w:p w14:paraId="5EE29F4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排放点水域环境功能</w:t>
            </w:r>
          </w:p>
        </w:tc>
        <w:tc>
          <w:tcPr>
            <w:tcW w:w="1838" w:type="pct"/>
            <w:gridSpan w:val="2"/>
            <w:vAlign w:val="center"/>
          </w:tcPr>
          <w:p w14:paraId="370564E6"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24h</w:t>
            </w:r>
            <w:r w:rsidRPr="008A2411">
              <w:rPr>
                <w:rFonts w:ascii="Times New Roman"/>
                <w:bCs/>
                <w:color w:val="000000" w:themeColor="text1"/>
                <w:sz w:val="21"/>
                <w:szCs w:val="21"/>
              </w:rPr>
              <w:t>内流经范围</w:t>
            </w:r>
            <w:r w:rsidRPr="008A2411">
              <w:rPr>
                <w:rFonts w:ascii="Times New Roman"/>
                <w:bCs/>
                <w:color w:val="000000" w:themeColor="text1"/>
                <w:sz w:val="21"/>
                <w:szCs w:val="21"/>
              </w:rPr>
              <w:t>/km</w:t>
            </w:r>
          </w:p>
        </w:tc>
      </w:tr>
      <w:tr w:rsidR="008A2411" w:rsidRPr="008A2411" w14:paraId="28F3677B" w14:textId="77777777">
        <w:trPr>
          <w:jc w:val="center"/>
        </w:trPr>
        <w:tc>
          <w:tcPr>
            <w:tcW w:w="0" w:type="auto"/>
            <w:vMerge/>
            <w:vAlign w:val="center"/>
          </w:tcPr>
          <w:p w14:paraId="49AA1926" w14:textId="77777777" w:rsidR="00B0005F" w:rsidRPr="008A2411" w:rsidRDefault="00B0005F">
            <w:pPr>
              <w:jc w:val="center"/>
              <w:rPr>
                <w:rFonts w:ascii="Times New Roman"/>
                <w:bCs/>
                <w:color w:val="000000" w:themeColor="text1"/>
                <w:sz w:val="21"/>
                <w:szCs w:val="21"/>
              </w:rPr>
            </w:pPr>
          </w:p>
        </w:tc>
        <w:tc>
          <w:tcPr>
            <w:tcW w:w="273" w:type="pct"/>
            <w:vAlign w:val="center"/>
          </w:tcPr>
          <w:p w14:paraId="1D93B0E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w:t>
            </w:r>
          </w:p>
        </w:tc>
        <w:tc>
          <w:tcPr>
            <w:tcW w:w="1012" w:type="pct"/>
            <w:vAlign w:val="center"/>
          </w:tcPr>
          <w:p w14:paraId="45F66F8D"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后巴河、后河（发生事故时，危险物质可能泄漏水体）</w:t>
            </w:r>
          </w:p>
        </w:tc>
        <w:tc>
          <w:tcPr>
            <w:tcW w:w="1573" w:type="pct"/>
            <w:gridSpan w:val="2"/>
            <w:vAlign w:val="center"/>
          </w:tcPr>
          <w:p w14:paraId="1A2241B3"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III</w:t>
            </w:r>
            <w:r w:rsidRPr="008A2411">
              <w:rPr>
                <w:rFonts w:ascii="Times New Roman"/>
                <w:bCs/>
                <w:color w:val="000000" w:themeColor="text1"/>
                <w:sz w:val="21"/>
                <w:szCs w:val="21"/>
              </w:rPr>
              <w:t>类</w:t>
            </w:r>
          </w:p>
        </w:tc>
        <w:tc>
          <w:tcPr>
            <w:tcW w:w="1838" w:type="pct"/>
            <w:gridSpan w:val="2"/>
            <w:vAlign w:val="center"/>
          </w:tcPr>
          <w:p w14:paraId="2F3F42D3"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w:t>
            </w:r>
          </w:p>
        </w:tc>
      </w:tr>
      <w:tr w:rsidR="008A2411" w:rsidRPr="008A2411" w14:paraId="3568DA41" w14:textId="77777777">
        <w:trPr>
          <w:jc w:val="center"/>
        </w:trPr>
        <w:tc>
          <w:tcPr>
            <w:tcW w:w="0" w:type="auto"/>
            <w:vMerge/>
            <w:vAlign w:val="center"/>
          </w:tcPr>
          <w:p w14:paraId="1CD59075" w14:textId="77777777" w:rsidR="00B0005F" w:rsidRPr="008A2411" w:rsidRDefault="00B0005F">
            <w:pPr>
              <w:jc w:val="center"/>
              <w:rPr>
                <w:rFonts w:ascii="Times New Roman"/>
                <w:bCs/>
                <w:color w:val="000000" w:themeColor="text1"/>
                <w:sz w:val="21"/>
                <w:szCs w:val="21"/>
              </w:rPr>
            </w:pPr>
          </w:p>
        </w:tc>
        <w:tc>
          <w:tcPr>
            <w:tcW w:w="0" w:type="auto"/>
            <w:gridSpan w:val="6"/>
            <w:vAlign w:val="center"/>
          </w:tcPr>
          <w:p w14:paraId="4813A9E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内陆水体排放点下游</w:t>
            </w:r>
            <w:r w:rsidRPr="008A2411">
              <w:rPr>
                <w:rFonts w:ascii="Times New Roman"/>
                <w:bCs/>
                <w:color w:val="000000" w:themeColor="text1"/>
                <w:sz w:val="21"/>
                <w:szCs w:val="21"/>
              </w:rPr>
              <w:t>10km</w:t>
            </w:r>
            <w:r w:rsidRPr="008A2411">
              <w:rPr>
                <w:rFonts w:ascii="Times New Roman"/>
                <w:bCs/>
                <w:color w:val="000000" w:themeColor="text1"/>
                <w:sz w:val="21"/>
                <w:szCs w:val="21"/>
              </w:rPr>
              <w:t>（近岸海域一个潮周期最大水平距离两倍）范围内敏感标为：后河特有鱼类国家级水产种质资源保护区</w:t>
            </w:r>
          </w:p>
        </w:tc>
      </w:tr>
      <w:tr w:rsidR="008A2411" w:rsidRPr="008A2411" w14:paraId="293D280C" w14:textId="77777777">
        <w:trPr>
          <w:jc w:val="center"/>
        </w:trPr>
        <w:tc>
          <w:tcPr>
            <w:tcW w:w="0" w:type="auto"/>
            <w:vMerge/>
            <w:vAlign w:val="center"/>
          </w:tcPr>
          <w:p w14:paraId="1289CE53" w14:textId="77777777" w:rsidR="00B0005F" w:rsidRPr="008A2411" w:rsidRDefault="00B0005F">
            <w:pPr>
              <w:jc w:val="center"/>
              <w:rPr>
                <w:rFonts w:ascii="Times New Roman"/>
                <w:bCs/>
                <w:color w:val="000000" w:themeColor="text1"/>
                <w:sz w:val="21"/>
                <w:szCs w:val="21"/>
              </w:rPr>
            </w:pPr>
          </w:p>
        </w:tc>
        <w:tc>
          <w:tcPr>
            <w:tcW w:w="3807" w:type="pct"/>
            <w:gridSpan w:val="5"/>
            <w:vAlign w:val="center"/>
          </w:tcPr>
          <w:p w14:paraId="4BBD106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地表水环境敏感程度</w:t>
            </w:r>
            <w:r w:rsidRPr="008A2411">
              <w:rPr>
                <w:rFonts w:ascii="Times New Roman"/>
                <w:bCs/>
                <w:color w:val="000000" w:themeColor="text1"/>
                <w:sz w:val="21"/>
                <w:szCs w:val="21"/>
              </w:rPr>
              <w:t>E</w:t>
            </w:r>
            <w:r w:rsidRPr="008A2411">
              <w:rPr>
                <w:rFonts w:ascii="Times New Roman"/>
                <w:bCs/>
                <w:color w:val="000000" w:themeColor="text1"/>
                <w:sz w:val="21"/>
                <w:szCs w:val="21"/>
              </w:rPr>
              <w:t>值</w:t>
            </w:r>
          </w:p>
        </w:tc>
        <w:tc>
          <w:tcPr>
            <w:tcW w:w="890" w:type="pct"/>
            <w:vAlign w:val="center"/>
          </w:tcPr>
          <w:p w14:paraId="2F2B3FD9"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E1</w:t>
            </w:r>
          </w:p>
        </w:tc>
      </w:tr>
      <w:tr w:rsidR="008A2411" w:rsidRPr="008A2411" w14:paraId="36ECE17A" w14:textId="77777777">
        <w:trPr>
          <w:jc w:val="center"/>
        </w:trPr>
        <w:tc>
          <w:tcPr>
            <w:tcW w:w="0" w:type="auto"/>
            <w:vMerge w:val="restart"/>
            <w:vAlign w:val="center"/>
          </w:tcPr>
          <w:p w14:paraId="2A362163"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地下水</w:t>
            </w:r>
          </w:p>
        </w:tc>
        <w:tc>
          <w:tcPr>
            <w:tcW w:w="273" w:type="pct"/>
            <w:vAlign w:val="center"/>
          </w:tcPr>
          <w:p w14:paraId="79ABA25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序号</w:t>
            </w:r>
          </w:p>
        </w:tc>
        <w:tc>
          <w:tcPr>
            <w:tcW w:w="1012" w:type="pct"/>
            <w:vAlign w:val="center"/>
          </w:tcPr>
          <w:p w14:paraId="487EBE9D"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环境敏感区名称</w:t>
            </w:r>
          </w:p>
        </w:tc>
        <w:tc>
          <w:tcPr>
            <w:tcW w:w="670" w:type="pct"/>
            <w:vAlign w:val="center"/>
          </w:tcPr>
          <w:p w14:paraId="41636813"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环境敏感特征</w:t>
            </w:r>
          </w:p>
        </w:tc>
        <w:tc>
          <w:tcPr>
            <w:tcW w:w="903" w:type="pct"/>
            <w:vAlign w:val="center"/>
          </w:tcPr>
          <w:p w14:paraId="1D9C6EFB"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水质目标</w:t>
            </w:r>
          </w:p>
        </w:tc>
        <w:tc>
          <w:tcPr>
            <w:tcW w:w="947" w:type="pct"/>
            <w:vAlign w:val="center"/>
          </w:tcPr>
          <w:p w14:paraId="155A5101"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包气带防污性能</w:t>
            </w:r>
          </w:p>
        </w:tc>
        <w:tc>
          <w:tcPr>
            <w:tcW w:w="890" w:type="pct"/>
            <w:vAlign w:val="center"/>
          </w:tcPr>
          <w:p w14:paraId="44E2413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与下游厂界距离</w:t>
            </w:r>
            <w:r w:rsidRPr="008A2411">
              <w:rPr>
                <w:rFonts w:ascii="Times New Roman"/>
                <w:bCs/>
                <w:color w:val="000000" w:themeColor="text1"/>
                <w:sz w:val="21"/>
                <w:szCs w:val="21"/>
              </w:rPr>
              <w:t>/m</w:t>
            </w:r>
          </w:p>
        </w:tc>
      </w:tr>
      <w:tr w:rsidR="008A2411" w:rsidRPr="008A2411" w14:paraId="34C2AC00" w14:textId="77777777">
        <w:trPr>
          <w:jc w:val="center"/>
        </w:trPr>
        <w:tc>
          <w:tcPr>
            <w:tcW w:w="0" w:type="auto"/>
            <w:vMerge/>
            <w:vAlign w:val="center"/>
          </w:tcPr>
          <w:p w14:paraId="3892E0E2" w14:textId="77777777" w:rsidR="00B0005F" w:rsidRPr="008A2411" w:rsidRDefault="00B0005F">
            <w:pPr>
              <w:jc w:val="center"/>
              <w:rPr>
                <w:rFonts w:ascii="Times New Roman"/>
                <w:bCs/>
                <w:color w:val="000000" w:themeColor="text1"/>
                <w:sz w:val="21"/>
                <w:szCs w:val="21"/>
              </w:rPr>
            </w:pPr>
          </w:p>
        </w:tc>
        <w:tc>
          <w:tcPr>
            <w:tcW w:w="273" w:type="pct"/>
            <w:vAlign w:val="center"/>
          </w:tcPr>
          <w:p w14:paraId="75CA1697"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w:t>
            </w:r>
          </w:p>
        </w:tc>
        <w:tc>
          <w:tcPr>
            <w:tcW w:w="1012" w:type="pct"/>
            <w:vAlign w:val="center"/>
          </w:tcPr>
          <w:p w14:paraId="64D18C8C"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地下水评价范围</w:t>
            </w:r>
          </w:p>
        </w:tc>
        <w:tc>
          <w:tcPr>
            <w:tcW w:w="670" w:type="pct"/>
            <w:vAlign w:val="center"/>
          </w:tcPr>
          <w:p w14:paraId="5609D41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G2</w:t>
            </w:r>
          </w:p>
        </w:tc>
        <w:tc>
          <w:tcPr>
            <w:tcW w:w="903" w:type="pct"/>
            <w:vAlign w:val="center"/>
          </w:tcPr>
          <w:p w14:paraId="521957A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GB/T14848-2017</w:t>
            </w:r>
            <w:proofErr w:type="gramStart"/>
            <w:r w:rsidRPr="008A2411">
              <w:rPr>
                <w:rFonts w:ascii="Times New Roman"/>
                <w:bCs/>
                <w:color w:val="000000" w:themeColor="text1"/>
                <w:sz w:val="21"/>
                <w:szCs w:val="21"/>
              </w:rPr>
              <w:t>三</w:t>
            </w:r>
            <w:proofErr w:type="gramEnd"/>
            <w:r w:rsidRPr="008A2411">
              <w:rPr>
                <w:rFonts w:ascii="Times New Roman"/>
                <w:bCs/>
                <w:color w:val="000000" w:themeColor="text1"/>
                <w:sz w:val="21"/>
                <w:szCs w:val="21"/>
              </w:rPr>
              <w:t>类</w:t>
            </w:r>
          </w:p>
        </w:tc>
        <w:tc>
          <w:tcPr>
            <w:tcW w:w="947" w:type="pct"/>
            <w:vAlign w:val="center"/>
          </w:tcPr>
          <w:p w14:paraId="3144ACD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D2</w:t>
            </w:r>
          </w:p>
        </w:tc>
        <w:tc>
          <w:tcPr>
            <w:tcW w:w="890" w:type="pct"/>
            <w:vAlign w:val="center"/>
          </w:tcPr>
          <w:p w14:paraId="32A666C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w:t>
            </w:r>
          </w:p>
        </w:tc>
      </w:tr>
      <w:tr w:rsidR="008A2411" w:rsidRPr="008A2411" w14:paraId="3DBC9D93" w14:textId="77777777">
        <w:trPr>
          <w:jc w:val="center"/>
        </w:trPr>
        <w:tc>
          <w:tcPr>
            <w:tcW w:w="0" w:type="auto"/>
            <w:vMerge/>
            <w:vAlign w:val="center"/>
          </w:tcPr>
          <w:p w14:paraId="2B4D5A90" w14:textId="77777777" w:rsidR="00B0005F" w:rsidRPr="008A2411" w:rsidRDefault="00B0005F">
            <w:pPr>
              <w:jc w:val="center"/>
              <w:rPr>
                <w:rFonts w:ascii="Times New Roman"/>
                <w:bCs/>
                <w:color w:val="000000" w:themeColor="text1"/>
                <w:sz w:val="21"/>
                <w:szCs w:val="21"/>
              </w:rPr>
            </w:pPr>
          </w:p>
        </w:tc>
        <w:tc>
          <w:tcPr>
            <w:tcW w:w="3807" w:type="pct"/>
            <w:gridSpan w:val="5"/>
            <w:vAlign w:val="center"/>
          </w:tcPr>
          <w:p w14:paraId="519802A1"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地下水环境敏感程度</w:t>
            </w:r>
            <w:r w:rsidRPr="008A2411">
              <w:rPr>
                <w:rFonts w:ascii="Times New Roman"/>
                <w:bCs/>
                <w:color w:val="000000" w:themeColor="text1"/>
                <w:sz w:val="21"/>
                <w:szCs w:val="21"/>
              </w:rPr>
              <w:t>E</w:t>
            </w:r>
            <w:r w:rsidRPr="008A2411">
              <w:rPr>
                <w:rFonts w:ascii="Times New Roman"/>
                <w:bCs/>
                <w:color w:val="000000" w:themeColor="text1"/>
                <w:sz w:val="21"/>
                <w:szCs w:val="21"/>
              </w:rPr>
              <w:t>值</w:t>
            </w:r>
          </w:p>
        </w:tc>
        <w:tc>
          <w:tcPr>
            <w:tcW w:w="890" w:type="pct"/>
            <w:vAlign w:val="center"/>
          </w:tcPr>
          <w:p w14:paraId="4FA9BCCB"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E2</w:t>
            </w:r>
          </w:p>
        </w:tc>
      </w:tr>
    </w:tbl>
    <w:p w14:paraId="07F5E47A" w14:textId="77777777" w:rsidR="00B0005F" w:rsidRPr="008A2411" w:rsidRDefault="00000000">
      <w:pPr>
        <w:pStyle w:val="affffffffffffffffffff6"/>
        <w:snapToGrid/>
        <w:outlineLvl w:val="2"/>
        <w:rPr>
          <w:rFonts w:ascii="Times New Roman"/>
          <w:b/>
          <w:color w:val="000000" w:themeColor="text1"/>
          <w:sz w:val="24"/>
          <w:szCs w:val="24"/>
          <w:lang w:bidi="en-US"/>
        </w:rPr>
      </w:pPr>
      <w:r w:rsidRPr="008A2411">
        <w:rPr>
          <w:rFonts w:ascii="Times New Roman"/>
          <w:b/>
          <w:color w:val="000000" w:themeColor="text1"/>
          <w:sz w:val="24"/>
          <w:szCs w:val="24"/>
          <w:lang w:bidi="en-US"/>
        </w:rPr>
        <w:t>6.3.4</w:t>
      </w:r>
      <w:r w:rsidRPr="008A2411">
        <w:rPr>
          <w:rFonts w:ascii="Times New Roman"/>
          <w:b/>
          <w:color w:val="000000" w:themeColor="text1"/>
          <w:sz w:val="24"/>
          <w:szCs w:val="24"/>
          <w:lang w:bidi="en-US"/>
        </w:rPr>
        <w:t>风险潜势划分</w:t>
      </w:r>
    </w:p>
    <w:p w14:paraId="7F4AC826" w14:textId="77777777" w:rsidR="00B0005F" w:rsidRPr="008A2411" w:rsidRDefault="00000000">
      <w:pPr>
        <w:adjustRightInd w:val="0"/>
        <w:spacing w:line="360" w:lineRule="auto"/>
        <w:ind w:firstLineChars="200" w:firstLine="480"/>
        <w:rPr>
          <w:rFonts w:ascii="Times New Roman"/>
          <w:bCs/>
          <w:color w:val="000000" w:themeColor="text1"/>
        </w:rPr>
      </w:pPr>
      <w:r w:rsidRPr="008A2411">
        <w:rPr>
          <w:rFonts w:ascii="Times New Roman"/>
          <w:bCs/>
          <w:color w:val="000000" w:themeColor="text1"/>
        </w:rPr>
        <w:t>综上，本项目各环境要素环境敏感程度分级及根据导则要求的环境风险潜势划分情况见下表。</w:t>
      </w:r>
    </w:p>
    <w:p w14:paraId="72ED63F8" w14:textId="77777777" w:rsidR="00B0005F" w:rsidRPr="008A2411" w:rsidRDefault="00000000">
      <w:pPr>
        <w:pStyle w:val="afffffff9"/>
        <w:spacing w:line="240" w:lineRule="auto"/>
        <w:ind w:firstLineChars="0" w:firstLine="0"/>
        <w:jc w:val="center"/>
        <w:rPr>
          <w:rFonts w:ascii="Times New Roman" w:eastAsia="黑体" w:hAnsi="Times New Roman"/>
          <w:bCs/>
          <w:color w:val="000000" w:themeColor="text1"/>
        </w:rPr>
      </w:pPr>
      <w:r w:rsidRPr="008A2411">
        <w:rPr>
          <w:rFonts w:ascii="Times New Roman" w:eastAsia="黑体" w:hAnsi="Times New Roman"/>
          <w:bCs/>
          <w:color w:val="000000" w:themeColor="text1"/>
        </w:rPr>
        <w:t>表</w:t>
      </w:r>
      <w:r w:rsidRPr="008A2411">
        <w:rPr>
          <w:rFonts w:ascii="Times New Roman" w:eastAsia="黑体" w:hAnsi="Times New Roman"/>
          <w:bCs/>
          <w:color w:val="000000" w:themeColor="text1"/>
        </w:rPr>
        <w:t xml:space="preserve">6.3-6  </w:t>
      </w:r>
      <w:r w:rsidRPr="008A2411">
        <w:rPr>
          <w:rFonts w:ascii="Times New Roman" w:eastAsia="黑体" w:hAnsi="Times New Roman"/>
          <w:bCs/>
          <w:color w:val="000000" w:themeColor="text1"/>
        </w:rPr>
        <w:t>本项目环境风险潜势表</w:t>
      </w:r>
    </w:p>
    <w:tbl>
      <w:tblPr>
        <w:tblW w:w="86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540"/>
        <w:gridCol w:w="1416"/>
        <w:gridCol w:w="994"/>
        <w:gridCol w:w="849"/>
        <w:gridCol w:w="1832"/>
      </w:tblGrid>
      <w:tr w:rsidR="008A2411" w:rsidRPr="008A2411" w14:paraId="0D617C39" w14:textId="77777777">
        <w:trPr>
          <w:jc w:val="center"/>
        </w:trPr>
        <w:tc>
          <w:tcPr>
            <w:tcW w:w="3540" w:type="dxa"/>
            <w:vAlign w:val="center"/>
          </w:tcPr>
          <w:p w14:paraId="49B6B5FA"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环境要素</w:t>
            </w:r>
          </w:p>
        </w:tc>
        <w:tc>
          <w:tcPr>
            <w:tcW w:w="1416" w:type="dxa"/>
            <w:vAlign w:val="center"/>
          </w:tcPr>
          <w:p w14:paraId="0170187B"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大气环境</w:t>
            </w:r>
          </w:p>
        </w:tc>
        <w:tc>
          <w:tcPr>
            <w:tcW w:w="994" w:type="dxa"/>
            <w:vAlign w:val="center"/>
          </w:tcPr>
          <w:p w14:paraId="4467E64C"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地表水环境</w:t>
            </w:r>
          </w:p>
        </w:tc>
        <w:tc>
          <w:tcPr>
            <w:tcW w:w="849" w:type="dxa"/>
            <w:vAlign w:val="center"/>
          </w:tcPr>
          <w:p w14:paraId="60FAD39D"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地下水环境</w:t>
            </w:r>
          </w:p>
        </w:tc>
        <w:tc>
          <w:tcPr>
            <w:tcW w:w="1832" w:type="dxa"/>
            <w:vAlign w:val="center"/>
          </w:tcPr>
          <w:p w14:paraId="119529D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本项目环境风险</w:t>
            </w:r>
          </w:p>
          <w:p w14:paraId="22721377"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潜势综合等级</w:t>
            </w:r>
          </w:p>
        </w:tc>
      </w:tr>
      <w:tr w:rsidR="008A2411" w:rsidRPr="008A2411" w14:paraId="6D5123FF" w14:textId="77777777">
        <w:trPr>
          <w:jc w:val="center"/>
        </w:trPr>
        <w:tc>
          <w:tcPr>
            <w:tcW w:w="3540" w:type="dxa"/>
            <w:vAlign w:val="center"/>
          </w:tcPr>
          <w:p w14:paraId="6FE74ED3"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lastRenderedPageBreak/>
              <w:t>危险物质及工艺系统危险性（</w:t>
            </w:r>
            <w:r w:rsidRPr="008A2411">
              <w:rPr>
                <w:rFonts w:ascii="Times New Roman"/>
                <w:bCs/>
                <w:color w:val="000000" w:themeColor="text1"/>
                <w:sz w:val="21"/>
                <w:szCs w:val="21"/>
              </w:rPr>
              <w:t>P</w:t>
            </w:r>
            <w:r w:rsidRPr="008A2411">
              <w:rPr>
                <w:rFonts w:ascii="Times New Roman"/>
                <w:bCs/>
                <w:color w:val="000000" w:themeColor="text1"/>
                <w:sz w:val="21"/>
                <w:szCs w:val="21"/>
              </w:rPr>
              <w:t>）</w:t>
            </w:r>
          </w:p>
        </w:tc>
        <w:tc>
          <w:tcPr>
            <w:tcW w:w="5091" w:type="dxa"/>
            <w:gridSpan w:val="4"/>
            <w:vAlign w:val="center"/>
          </w:tcPr>
          <w:p w14:paraId="17C7F6BB" w14:textId="732A059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P</w:t>
            </w:r>
            <w:r w:rsidR="00E316F0" w:rsidRPr="008A2411">
              <w:rPr>
                <w:rFonts w:ascii="Times New Roman" w:hint="eastAsia"/>
                <w:bCs/>
                <w:color w:val="000000" w:themeColor="text1"/>
                <w:sz w:val="21"/>
                <w:szCs w:val="21"/>
              </w:rPr>
              <w:t>1</w:t>
            </w:r>
          </w:p>
        </w:tc>
      </w:tr>
      <w:tr w:rsidR="008A2411" w:rsidRPr="008A2411" w14:paraId="40BD3DF8" w14:textId="77777777">
        <w:trPr>
          <w:jc w:val="center"/>
        </w:trPr>
        <w:tc>
          <w:tcPr>
            <w:tcW w:w="3540" w:type="dxa"/>
            <w:vAlign w:val="center"/>
          </w:tcPr>
          <w:p w14:paraId="5CDED317"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敏感度（</w:t>
            </w:r>
            <w:r w:rsidRPr="008A2411">
              <w:rPr>
                <w:rFonts w:ascii="Times New Roman"/>
                <w:bCs/>
                <w:color w:val="000000" w:themeColor="text1"/>
                <w:sz w:val="21"/>
                <w:szCs w:val="21"/>
              </w:rPr>
              <w:t>E</w:t>
            </w:r>
            <w:r w:rsidRPr="008A2411">
              <w:rPr>
                <w:rFonts w:ascii="Times New Roman"/>
                <w:bCs/>
                <w:color w:val="000000" w:themeColor="text1"/>
                <w:sz w:val="21"/>
                <w:szCs w:val="21"/>
              </w:rPr>
              <w:t>）</w:t>
            </w:r>
          </w:p>
        </w:tc>
        <w:tc>
          <w:tcPr>
            <w:tcW w:w="1416" w:type="dxa"/>
            <w:vAlign w:val="center"/>
          </w:tcPr>
          <w:p w14:paraId="6B54F11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E2</w:t>
            </w:r>
          </w:p>
        </w:tc>
        <w:tc>
          <w:tcPr>
            <w:tcW w:w="994" w:type="dxa"/>
            <w:vAlign w:val="center"/>
          </w:tcPr>
          <w:p w14:paraId="34B21A7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E1</w:t>
            </w:r>
          </w:p>
        </w:tc>
        <w:tc>
          <w:tcPr>
            <w:tcW w:w="849" w:type="dxa"/>
            <w:vAlign w:val="center"/>
          </w:tcPr>
          <w:p w14:paraId="2FADD45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E2</w:t>
            </w:r>
          </w:p>
        </w:tc>
        <w:tc>
          <w:tcPr>
            <w:tcW w:w="1832" w:type="dxa"/>
            <w:vAlign w:val="center"/>
          </w:tcPr>
          <w:p w14:paraId="3AB805A4"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E1</w:t>
            </w:r>
          </w:p>
        </w:tc>
      </w:tr>
      <w:tr w:rsidR="008A2411" w:rsidRPr="008A2411" w14:paraId="6CAC638D" w14:textId="77777777">
        <w:trPr>
          <w:jc w:val="center"/>
        </w:trPr>
        <w:tc>
          <w:tcPr>
            <w:tcW w:w="3540" w:type="dxa"/>
            <w:vAlign w:val="center"/>
          </w:tcPr>
          <w:p w14:paraId="36FF215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环境风险潜势</w:t>
            </w:r>
          </w:p>
        </w:tc>
        <w:tc>
          <w:tcPr>
            <w:tcW w:w="1416" w:type="dxa"/>
            <w:vAlign w:val="center"/>
          </w:tcPr>
          <w:p w14:paraId="74AE128A" w14:textId="77777777" w:rsidR="00B0005F" w:rsidRPr="008A2411" w:rsidRDefault="00000000">
            <w:pPr>
              <w:jc w:val="center"/>
              <w:rPr>
                <w:rFonts w:ascii="Times New Roman"/>
                <w:bCs/>
                <w:color w:val="000000" w:themeColor="text1"/>
                <w:sz w:val="21"/>
                <w:szCs w:val="21"/>
              </w:rPr>
            </w:pPr>
            <w:r w:rsidRPr="008A2411">
              <w:rPr>
                <w:rFonts w:ascii="Times New Roman" w:eastAsiaTheme="minorEastAsia"/>
                <w:bCs/>
                <w:snapToGrid w:val="0"/>
                <w:color w:val="000000" w:themeColor="text1"/>
                <w:sz w:val="21"/>
                <w:szCs w:val="21"/>
              </w:rPr>
              <w:t>Ⅳ</w:t>
            </w:r>
          </w:p>
        </w:tc>
        <w:tc>
          <w:tcPr>
            <w:tcW w:w="994" w:type="dxa"/>
            <w:vAlign w:val="center"/>
          </w:tcPr>
          <w:p w14:paraId="550A2A79" w14:textId="77777777" w:rsidR="00B0005F" w:rsidRPr="008A2411" w:rsidRDefault="00000000">
            <w:pPr>
              <w:jc w:val="center"/>
              <w:rPr>
                <w:rFonts w:ascii="Times New Roman"/>
                <w:bCs/>
                <w:color w:val="000000" w:themeColor="text1"/>
                <w:sz w:val="21"/>
                <w:szCs w:val="21"/>
              </w:rPr>
            </w:pPr>
            <w:r w:rsidRPr="008A2411">
              <w:rPr>
                <w:rFonts w:ascii="Times New Roman" w:eastAsiaTheme="minorEastAsia"/>
                <w:bCs/>
                <w:snapToGrid w:val="0"/>
                <w:color w:val="000000" w:themeColor="text1"/>
                <w:sz w:val="21"/>
                <w:szCs w:val="21"/>
              </w:rPr>
              <w:t>Ⅳ</w:t>
            </w:r>
            <w:r w:rsidRPr="008A2411">
              <w:rPr>
                <w:rFonts w:ascii="Times New Roman" w:eastAsiaTheme="minorEastAsia"/>
                <w:bCs/>
                <w:snapToGrid w:val="0"/>
                <w:color w:val="000000" w:themeColor="text1"/>
                <w:sz w:val="21"/>
                <w:szCs w:val="21"/>
                <w:vertAlign w:val="superscript"/>
              </w:rPr>
              <w:t>+</w:t>
            </w:r>
          </w:p>
        </w:tc>
        <w:tc>
          <w:tcPr>
            <w:tcW w:w="849" w:type="dxa"/>
            <w:vAlign w:val="center"/>
          </w:tcPr>
          <w:p w14:paraId="020C44FE" w14:textId="77777777" w:rsidR="00B0005F" w:rsidRPr="008A2411" w:rsidRDefault="00000000">
            <w:pPr>
              <w:jc w:val="center"/>
              <w:rPr>
                <w:rFonts w:ascii="Times New Roman"/>
                <w:bCs/>
                <w:color w:val="000000" w:themeColor="text1"/>
                <w:sz w:val="21"/>
                <w:szCs w:val="21"/>
              </w:rPr>
            </w:pPr>
            <w:r w:rsidRPr="008A2411">
              <w:rPr>
                <w:rFonts w:ascii="Times New Roman" w:eastAsiaTheme="minorEastAsia"/>
                <w:bCs/>
                <w:snapToGrid w:val="0"/>
                <w:color w:val="000000" w:themeColor="text1"/>
                <w:sz w:val="21"/>
                <w:szCs w:val="21"/>
              </w:rPr>
              <w:t>Ⅳ</w:t>
            </w:r>
          </w:p>
        </w:tc>
        <w:tc>
          <w:tcPr>
            <w:tcW w:w="1832" w:type="dxa"/>
            <w:vAlign w:val="center"/>
          </w:tcPr>
          <w:p w14:paraId="2BBF805E" w14:textId="77777777" w:rsidR="00B0005F" w:rsidRPr="008A2411" w:rsidRDefault="00000000">
            <w:pPr>
              <w:jc w:val="center"/>
              <w:rPr>
                <w:rFonts w:ascii="Times New Roman"/>
                <w:bCs/>
                <w:color w:val="000000" w:themeColor="text1"/>
                <w:sz w:val="21"/>
                <w:szCs w:val="21"/>
              </w:rPr>
            </w:pPr>
            <w:r w:rsidRPr="008A2411">
              <w:rPr>
                <w:rFonts w:ascii="Times New Roman" w:eastAsiaTheme="minorEastAsia"/>
                <w:bCs/>
                <w:snapToGrid w:val="0"/>
                <w:color w:val="000000" w:themeColor="text1"/>
                <w:sz w:val="21"/>
                <w:szCs w:val="21"/>
              </w:rPr>
              <w:t>Ⅳ</w:t>
            </w:r>
            <w:r w:rsidRPr="008A2411">
              <w:rPr>
                <w:rFonts w:ascii="Times New Roman" w:eastAsiaTheme="minorEastAsia"/>
                <w:bCs/>
                <w:snapToGrid w:val="0"/>
                <w:color w:val="000000" w:themeColor="text1"/>
                <w:sz w:val="21"/>
                <w:szCs w:val="21"/>
                <w:vertAlign w:val="superscript"/>
              </w:rPr>
              <w:t>+</w:t>
            </w:r>
          </w:p>
        </w:tc>
      </w:tr>
      <w:tr w:rsidR="008A2411" w:rsidRPr="008A2411" w14:paraId="78731209" w14:textId="77777777">
        <w:trPr>
          <w:jc w:val="center"/>
        </w:trPr>
        <w:tc>
          <w:tcPr>
            <w:tcW w:w="8631" w:type="dxa"/>
            <w:gridSpan w:val="5"/>
            <w:vAlign w:val="center"/>
          </w:tcPr>
          <w:p w14:paraId="2C73FB0E" w14:textId="77777777" w:rsidR="00B0005F" w:rsidRPr="008A2411" w:rsidRDefault="00000000">
            <w:pPr>
              <w:rPr>
                <w:rFonts w:ascii="Times New Roman"/>
                <w:bCs/>
                <w:color w:val="000000" w:themeColor="text1"/>
                <w:sz w:val="21"/>
                <w:szCs w:val="21"/>
              </w:rPr>
            </w:pPr>
            <w:r w:rsidRPr="008A2411">
              <w:rPr>
                <w:rFonts w:ascii="Times New Roman"/>
                <w:bCs/>
                <w:color w:val="000000" w:themeColor="text1"/>
                <w:sz w:val="21"/>
                <w:szCs w:val="21"/>
              </w:rPr>
              <w:t>备注：建设项目环境风险潜势综合等级取各要素等级相对高值。</w:t>
            </w:r>
          </w:p>
        </w:tc>
      </w:tr>
    </w:tbl>
    <w:p w14:paraId="7187EE2F" w14:textId="77777777" w:rsidR="00B0005F" w:rsidRPr="008A2411" w:rsidRDefault="00000000">
      <w:pPr>
        <w:pStyle w:val="affffffffffffffffffff6"/>
        <w:snapToGrid/>
        <w:outlineLvl w:val="1"/>
        <w:rPr>
          <w:rFonts w:ascii="Times New Roman"/>
          <w:bCs/>
          <w:color w:val="000000" w:themeColor="text1"/>
          <w:sz w:val="28"/>
          <w:szCs w:val="28"/>
          <w:lang w:bidi="en-US"/>
        </w:rPr>
      </w:pPr>
      <w:bookmarkStart w:id="507" w:name="_Toc109170775"/>
      <w:r w:rsidRPr="008A2411">
        <w:rPr>
          <w:rFonts w:ascii="Times New Roman"/>
          <w:bCs/>
          <w:color w:val="000000" w:themeColor="text1"/>
          <w:sz w:val="28"/>
          <w:szCs w:val="28"/>
          <w:lang w:bidi="en-US"/>
        </w:rPr>
        <w:t>6.4</w:t>
      </w:r>
      <w:r w:rsidRPr="008A2411">
        <w:rPr>
          <w:rFonts w:ascii="Times New Roman"/>
          <w:bCs/>
          <w:color w:val="000000" w:themeColor="text1"/>
          <w:sz w:val="28"/>
          <w:szCs w:val="28"/>
          <w:lang w:bidi="en-US"/>
        </w:rPr>
        <w:t>环境风险评价等级、范围</w:t>
      </w:r>
      <w:bookmarkEnd w:id="507"/>
    </w:p>
    <w:p w14:paraId="06C9784A" w14:textId="77777777" w:rsidR="00B0005F" w:rsidRPr="008A2411" w:rsidRDefault="00000000">
      <w:pPr>
        <w:pStyle w:val="affffffffffffffffffff6"/>
        <w:snapToGrid/>
        <w:outlineLvl w:val="2"/>
        <w:rPr>
          <w:rFonts w:ascii="Times New Roman"/>
          <w:b/>
          <w:color w:val="000000" w:themeColor="text1"/>
          <w:sz w:val="24"/>
          <w:szCs w:val="24"/>
          <w:lang w:bidi="en-US"/>
        </w:rPr>
      </w:pPr>
      <w:r w:rsidRPr="008A2411">
        <w:rPr>
          <w:rFonts w:ascii="Times New Roman"/>
          <w:b/>
          <w:color w:val="000000" w:themeColor="text1"/>
          <w:sz w:val="24"/>
          <w:szCs w:val="24"/>
          <w:lang w:bidi="en-US"/>
        </w:rPr>
        <w:t>6.4.1</w:t>
      </w:r>
      <w:r w:rsidRPr="008A2411">
        <w:rPr>
          <w:rFonts w:ascii="Times New Roman"/>
          <w:b/>
          <w:color w:val="000000" w:themeColor="text1"/>
          <w:sz w:val="24"/>
          <w:szCs w:val="24"/>
          <w:lang w:bidi="en-US"/>
        </w:rPr>
        <w:t>项目风险评价等级</w:t>
      </w:r>
    </w:p>
    <w:p w14:paraId="7A18620E" w14:textId="77777777" w:rsidR="00B0005F" w:rsidRPr="008A2411" w:rsidRDefault="00000000">
      <w:pPr>
        <w:adjustRightInd w:val="0"/>
        <w:spacing w:line="360" w:lineRule="auto"/>
        <w:ind w:firstLineChars="200" w:firstLine="480"/>
        <w:rPr>
          <w:rFonts w:ascii="Times New Roman"/>
          <w:bCs/>
          <w:color w:val="000000" w:themeColor="text1"/>
        </w:rPr>
      </w:pPr>
      <w:r w:rsidRPr="008A2411">
        <w:rPr>
          <w:rFonts w:ascii="Times New Roman"/>
          <w:bCs/>
          <w:color w:val="000000" w:themeColor="text1"/>
        </w:rPr>
        <w:t>按照《建设项目环境风险评价技术导则》（</w:t>
      </w:r>
      <w:r w:rsidRPr="008A2411">
        <w:rPr>
          <w:rFonts w:ascii="Times New Roman"/>
          <w:bCs/>
          <w:color w:val="000000" w:themeColor="text1"/>
        </w:rPr>
        <w:t>HJ 169-2018</w:t>
      </w:r>
      <w:r w:rsidRPr="008A2411">
        <w:rPr>
          <w:rFonts w:ascii="Times New Roman"/>
          <w:bCs/>
          <w:color w:val="000000" w:themeColor="text1"/>
        </w:rPr>
        <w:t>）中的有关规定，项目风险评价等级如下表。</w:t>
      </w:r>
    </w:p>
    <w:p w14:paraId="1476B59D" w14:textId="77777777" w:rsidR="00B0005F" w:rsidRPr="008A2411" w:rsidRDefault="00000000">
      <w:pPr>
        <w:pStyle w:val="afffffff9"/>
        <w:spacing w:line="240" w:lineRule="auto"/>
        <w:ind w:firstLineChars="0" w:firstLine="0"/>
        <w:jc w:val="center"/>
        <w:rPr>
          <w:rFonts w:ascii="Times New Roman" w:eastAsia="黑体" w:hAnsi="Times New Roman"/>
          <w:bCs/>
          <w:color w:val="000000" w:themeColor="text1"/>
        </w:rPr>
      </w:pPr>
      <w:r w:rsidRPr="008A2411">
        <w:rPr>
          <w:rFonts w:ascii="Times New Roman" w:eastAsia="黑体" w:hAnsi="Times New Roman"/>
          <w:bCs/>
          <w:color w:val="000000" w:themeColor="text1"/>
        </w:rPr>
        <w:t>表</w:t>
      </w:r>
      <w:r w:rsidRPr="008A2411">
        <w:rPr>
          <w:rFonts w:ascii="Times New Roman" w:eastAsia="黑体" w:hAnsi="Times New Roman"/>
          <w:bCs/>
          <w:color w:val="000000" w:themeColor="text1"/>
        </w:rPr>
        <w:t xml:space="preserve">6.4-1  </w:t>
      </w:r>
      <w:r w:rsidRPr="008A2411">
        <w:rPr>
          <w:rFonts w:ascii="Times New Roman" w:eastAsia="黑体" w:hAnsi="Times New Roman"/>
          <w:bCs/>
          <w:color w:val="000000" w:themeColor="text1"/>
        </w:rPr>
        <w:t>项目评价等级划分情况表</w:t>
      </w:r>
    </w:p>
    <w:tbl>
      <w:tblPr>
        <w:tblStyle w:val="affff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0"/>
        <w:gridCol w:w="1717"/>
        <w:gridCol w:w="1701"/>
        <w:gridCol w:w="1702"/>
        <w:gridCol w:w="1702"/>
      </w:tblGrid>
      <w:tr w:rsidR="008A2411" w:rsidRPr="008A2411" w14:paraId="32D87513" w14:textId="77777777">
        <w:tc>
          <w:tcPr>
            <w:tcW w:w="1800" w:type="dxa"/>
            <w:vAlign w:val="center"/>
          </w:tcPr>
          <w:p w14:paraId="29220BB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环境风险潜势</w:t>
            </w:r>
          </w:p>
        </w:tc>
        <w:tc>
          <w:tcPr>
            <w:tcW w:w="1800" w:type="dxa"/>
            <w:vAlign w:val="center"/>
          </w:tcPr>
          <w:p w14:paraId="1A278654"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Ⅳ</w:t>
            </w:r>
            <w:r w:rsidRPr="008A2411">
              <w:rPr>
                <w:rFonts w:ascii="Times New Roman"/>
                <w:bCs/>
                <w:color w:val="000000" w:themeColor="text1"/>
                <w:sz w:val="21"/>
                <w:szCs w:val="21"/>
              </w:rPr>
              <w:t>、</w:t>
            </w:r>
            <w:r w:rsidRPr="008A2411">
              <w:rPr>
                <w:rFonts w:ascii="Times New Roman"/>
                <w:bCs/>
                <w:color w:val="000000" w:themeColor="text1"/>
                <w:sz w:val="21"/>
                <w:szCs w:val="21"/>
              </w:rPr>
              <w:t>Ⅳ+</w:t>
            </w:r>
          </w:p>
        </w:tc>
        <w:tc>
          <w:tcPr>
            <w:tcW w:w="1800" w:type="dxa"/>
            <w:vAlign w:val="center"/>
          </w:tcPr>
          <w:p w14:paraId="7959161C"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Ⅲ</w:t>
            </w:r>
          </w:p>
        </w:tc>
        <w:tc>
          <w:tcPr>
            <w:tcW w:w="1801" w:type="dxa"/>
            <w:vAlign w:val="center"/>
          </w:tcPr>
          <w:p w14:paraId="69B228F4"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Ⅱ</w:t>
            </w:r>
          </w:p>
        </w:tc>
        <w:tc>
          <w:tcPr>
            <w:tcW w:w="1801" w:type="dxa"/>
            <w:vAlign w:val="center"/>
          </w:tcPr>
          <w:p w14:paraId="72DA1159"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Ⅰ</w:t>
            </w:r>
          </w:p>
        </w:tc>
      </w:tr>
      <w:tr w:rsidR="008A2411" w:rsidRPr="008A2411" w14:paraId="562BD8A0" w14:textId="77777777">
        <w:tc>
          <w:tcPr>
            <w:tcW w:w="1800" w:type="dxa"/>
            <w:vAlign w:val="center"/>
          </w:tcPr>
          <w:p w14:paraId="3510298D"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评价工作等级</w:t>
            </w:r>
          </w:p>
        </w:tc>
        <w:tc>
          <w:tcPr>
            <w:tcW w:w="1800" w:type="dxa"/>
            <w:vAlign w:val="center"/>
          </w:tcPr>
          <w:p w14:paraId="4816E349" w14:textId="77777777" w:rsidR="00B0005F" w:rsidRPr="008A2411" w:rsidRDefault="00000000">
            <w:pPr>
              <w:jc w:val="center"/>
              <w:rPr>
                <w:rFonts w:ascii="Times New Roman"/>
                <w:bCs/>
                <w:color w:val="000000" w:themeColor="text1"/>
                <w:sz w:val="21"/>
                <w:szCs w:val="21"/>
              </w:rPr>
            </w:pPr>
            <w:proofErr w:type="gramStart"/>
            <w:r w:rsidRPr="008A2411">
              <w:rPr>
                <w:rFonts w:ascii="Times New Roman"/>
                <w:bCs/>
                <w:color w:val="000000" w:themeColor="text1"/>
                <w:sz w:val="21"/>
                <w:szCs w:val="21"/>
              </w:rPr>
              <w:t>一</w:t>
            </w:r>
            <w:proofErr w:type="gramEnd"/>
          </w:p>
        </w:tc>
        <w:tc>
          <w:tcPr>
            <w:tcW w:w="1800" w:type="dxa"/>
            <w:vAlign w:val="center"/>
          </w:tcPr>
          <w:p w14:paraId="311A31ED"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二</w:t>
            </w:r>
          </w:p>
        </w:tc>
        <w:tc>
          <w:tcPr>
            <w:tcW w:w="1801" w:type="dxa"/>
            <w:vAlign w:val="center"/>
          </w:tcPr>
          <w:p w14:paraId="54FA12BC"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三</w:t>
            </w:r>
          </w:p>
        </w:tc>
        <w:tc>
          <w:tcPr>
            <w:tcW w:w="1801" w:type="dxa"/>
            <w:vAlign w:val="center"/>
          </w:tcPr>
          <w:p w14:paraId="18AD94A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简单分析</w:t>
            </w:r>
          </w:p>
        </w:tc>
      </w:tr>
    </w:tbl>
    <w:p w14:paraId="6B2260CB" w14:textId="77777777" w:rsidR="00B0005F" w:rsidRPr="008A2411" w:rsidRDefault="00000000">
      <w:pPr>
        <w:adjustRightInd w:val="0"/>
        <w:spacing w:line="360" w:lineRule="auto"/>
        <w:ind w:firstLineChars="200" w:firstLine="480"/>
        <w:rPr>
          <w:rFonts w:ascii="Times New Roman"/>
          <w:bCs/>
          <w:color w:val="000000" w:themeColor="text1"/>
        </w:rPr>
      </w:pPr>
      <w:r w:rsidRPr="008A2411">
        <w:rPr>
          <w:rFonts w:ascii="Times New Roman"/>
          <w:bCs/>
          <w:color w:val="000000" w:themeColor="text1"/>
        </w:rPr>
        <w:t>由此可见，本项目环境风险评价等级为一级，其中大气环境风险评价工作等级为一级、地下水环境风险评价工作等级为一级、地表水环境风险评价工作等级为一级。</w:t>
      </w:r>
    </w:p>
    <w:p w14:paraId="20E83074" w14:textId="77777777" w:rsidR="00B0005F" w:rsidRPr="008A2411" w:rsidRDefault="00000000">
      <w:pPr>
        <w:adjustRightInd w:val="0"/>
        <w:spacing w:line="360" w:lineRule="auto"/>
        <w:ind w:firstLineChars="200" w:firstLine="480"/>
        <w:rPr>
          <w:rFonts w:ascii="Times New Roman"/>
          <w:bCs/>
          <w:color w:val="000000" w:themeColor="text1"/>
        </w:rPr>
      </w:pPr>
      <w:r w:rsidRPr="008A2411">
        <w:rPr>
          <w:rFonts w:ascii="Times New Roman"/>
          <w:bCs/>
          <w:color w:val="000000" w:themeColor="text1"/>
        </w:rPr>
        <w:t>本次评价根据各个环境要素及项目环境风险潜势综合等级情况，</w:t>
      </w:r>
      <w:proofErr w:type="gramStart"/>
      <w:r w:rsidRPr="008A2411">
        <w:rPr>
          <w:rFonts w:ascii="Times New Roman"/>
          <w:bCs/>
          <w:color w:val="000000" w:themeColor="text1"/>
        </w:rPr>
        <w:t>按导则</w:t>
      </w:r>
      <w:proofErr w:type="gramEnd"/>
      <w:r w:rsidRPr="008A2411">
        <w:rPr>
          <w:rFonts w:ascii="Times New Roman"/>
          <w:bCs/>
          <w:color w:val="000000" w:themeColor="text1"/>
        </w:rPr>
        <w:t>要求确定评价等级及工作内容见下表。</w:t>
      </w:r>
    </w:p>
    <w:p w14:paraId="06978A6A" w14:textId="77777777" w:rsidR="00B0005F" w:rsidRPr="008A2411" w:rsidRDefault="00000000">
      <w:pPr>
        <w:pStyle w:val="afffffff9"/>
        <w:spacing w:line="240" w:lineRule="auto"/>
        <w:ind w:firstLineChars="0" w:firstLine="0"/>
        <w:jc w:val="center"/>
        <w:rPr>
          <w:rFonts w:ascii="Times New Roman" w:eastAsia="黑体" w:hAnsi="Times New Roman"/>
          <w:bCs/>
          <w:color w:val="000000" w:themeColor="text1"/>
        </w:rPr>
      </w:pPr>
      <w:r w:rsidRPr="008A2411">
        <w:rPr>
          <w:rFonts w:ascii="Times New Roman" w:eastAsia="黑体" w:hAnsi="Times New Roman"/>
          <w:bCs/>
          <w:color w:val="000000" w:themeColor="text1"/>
        </w:rPr>
        <w:t>表</w:t>
      </w:r>
      <w:r w:rsidRPr="008A2411">
        <w:rPr>
          <w:rFonts w:ascii="Times New Roman" w:eastAsia="黑体" w:hAnsi="Times New Roman"/>
          <w:bCs/>
          <w:color w:val="000000" w:themeColor="text1"/>
        </w:rPr>
        <w:t xml:space="preserve">6.4-1  </w:t>
      </w:r>
      <w:r w:rsidRPr="008A2411">
        <w:rPr>
          <w:rFonts w:ascii="Times New Roman" w:eastAsia="黑体" w:hAnsi="Times New Roman"/>
          <w:bCs/>
          <w:color w:val="000000" w:themeColor="text1"/>
        </w:rPr>
        <w:t>项目各环境要素及项目综合环境风险评价等级划分情况及工作内容</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227"/>
        <w:gridCol w:w="2926"/>
        <w:gridCol w:w="1469"/>
        <w:gridCol w:w="1711"/>
        <w:gridCol w:w="983"/>
      </w:tblGrid>
      <w:tr w:rsidR="008A2411" w:rsidRPr="008A2411" w14:paraId="08C1CED8" w14:textId="77777777">
        <w:trPr>
          <w:jc w:val="center"/>
        </w:trPr>
        <w:tc>
          <w:tcPr>
            <w:tcW w:w="738" w:type="pct"/>
            <w:vAlign w:val="center"/>
          </w:tcPr>
          <w:p w14:paraId="7EA5C7CA"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环境要素</w:t>
            </w:r>
          </w:p>
        </w:tc>
        <w:tc>
          <w:tcPr>
            <w:tcW w:w="1759" w:type="pct"/>
            <w:vAlign w:val="center"/>
          </w:tcPr>
          <w:p w14:paraId="38EE94E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大气环境</w:t>
            </w:r>
          </w:p>
        </w:tc>
        <w:tc>
          <w:tcPr>
            <w:tcW w:w="883" w:type="pct"/>
            <w:vAlign w:val="center"/>
          </w:tcPr>
          <w:p w14:paraId="33D454BD"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地表水环境</w:t>
            </w:r>
          </w:p>
        </w:tc>
        <w:tc>
          <w:tcPr>
            <w:tcW w:w="1029" w:type="pct"/>
            <w:vAlign w:val="center"/>
          </w:tcPr>
          <w:p w14:paraId="73C3AE2C"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地下水环境</w:t>
            </w:r>
          </w:p>
        </w:tc>
        <w:tc>
          <w:tcPr>
            <w:tcW w:w="591" w:type="pct"/>
            <w:vAlign w:val="center"/>
          </w:tcPr>
          <w:p w14:paraId="34FDD42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项目综合评价等级</w:t>
            </w:r>
          </w:p>
        </w:tc>
      </w:tr>
      <w:tr w:rsidR="008A2411" w:rsidRPr="008A2411" w14:paraId="3D609138" w14:textId="77777777">
        <w:trPr>
          <w:jc w:val="center"/>
        </w:trPr>
        <w:tc>
          <w:tcPr>
            <w:tcW w:w="738" w:type="pct"/>
            <w:vAlign w:val="center"/>
          </w:tcPr>
          <w:p w14:paraId="0E28D7B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环境潜势</w:t>
            </w:r>
          </w:p>
        </w:tc>
        <w:tc>
          <w:tcPr>
            <w:tcW w:w="3094" w:type="dxa"/>
            <w:vAlign w:val="center"/>
          </w:tcPr>
          <w:p w14:paraId="4FE73CA6" w14:textId="77777777" w:rsidR="00B0005F" w:rsidRPr="008A2411" w:rsidRDefault="00000000">
            <w:pPr>
              <w:jc w:val="center"/>
              <w:rPr>
                <w:rFonts w:ascii="Times New Roman"/>
                <w:bCs/>
                <w:color w:val="000000" w:themeColor="text1"/>
                <w:sz w:val="21"/>
                <w:szCs w:val="21"/>
              </w:rPr>
            </w:pPr>
            <w:r w:rsidRPr="008A2411">
              <w:rPr>
                <w:rFonts w:ascii="Times New Roman" w:eastAsiaTheme="minorEastAsia"/>
                <w:bCs/>
                <w:snapToGrid w:val="0"/>
                <w:color w:val="000000" w:themeColor="text1"/>
                <w:sz w:val="21"/>
                <w:szCs w:val="21"/>
              </w:rPr>
              <w:t>Ⅳ</w:t>
            </w:r>
          </w:p>
        </w:tc>
        <w:tc>
          <w:tcPr>
            <w:tcW w:w="1553" w:type="dxa"/>
            <w:vAlign w:val="center"/>
          </w:tcPr>
          <w:p w14:paraId="750E919B" w14:textId="77777777" w:rsidR="00B0005F" w:rsidRPr="008A2411" w:rsidRDefault="00000000">
            <w:pPr>
              <w:jc w:val="center"/>
              <w:rPr>
                <w:rFonts w:ascii="Times New Roman"/>
                <w:bCs/>
                <w:color w:val="000000" w:themeColor="text1"/>
                <w:sz w:val="21"/>
                <w:szCs w:val="21"/>
              </w:rPr>
            </w:pPr>
            <w:r w:rsidRPr="008A2411">
              <w:rPr>
                <w:rFonts w:ascii="Times New Roman" w:eastAsiaTheme="minorEastAsia"/>
                <w:bCs/>
                <w:snapToGrid w:val="0"/>
                <w:color w:val="000000" w:themeColor="text1"/>
                <w:sz w:val="21"/>
                <w:szCs w:val="21"/>
              </w:rPr>
              <w:t>Ⅳ</w:t>
            </w:r>
            <w:r w:rsidRPr="008A2411">
              <w:rPr>
                <w:rFonts w:ascii="Times New Roman" w:eastAsiaTheme="minorEastAsia"/>
                <w:bCs/>
                <w:snapToGrid w:val="0"/>
                <w:color w:val="000000" w:themeColor="text1"/>
                <w:sz w:val="21"/>
                <w:szCs w:val="21"/>
                <w:vertAlign w:val="superscript"/>
              </w:rPr>
              <w:t>+</w:t>
            </w:r>
          </w:p>
        </w:tc>
        <w:tc>
          <w:tcPr>
            <w:tcW w:w="1810" w:type="dxa"/>
            <w:vAlign w:val="center"/>
          </w:tcPr>
          <w:p w14:paraId="4AF4D753" w14:textId="77777777" w:rsidR="00B0005F" w:rsidRPr="008A2411" w:rsidRDefault="00000000">
            <w:pPr>
              <w:jc w:val="center"/>
              <w:rPr>
                <w:rFonts w:ascii="Times New Roman"/>
                <w:bCs/>
                <w:color w:val="000000" w:themeColor="text1"/>
                <w:sz w:val="21"/>
                <w:szCs w:val="21"/>
              </w:rPr>
            </w:pPr>
            <w:r w:rsidRPr="008A2411">
              <w:rPr>
                <w:rFonts w:ascii="Times New Roman" w:eastAsiaTheme="minorEastAsia"/>
                <w:bCs/>
                <w:snapToGrid w:val="0"/>
                <w:color w:val="000000" w:themeColor="text1"/>
                <w:sz w:val="21"/>
                <w:szCs w:val="21"/>
              </w:rPr>
              <w:t>Ⅳ</w:t>
            </w:r>
          </w:p>
        </w:tc>
        <w:tc>
          <w:tcPr>
            <w:tcW w:w="1041" w:type="dxa"/>
            <w:vAlign w:val="center"/>
          </w:tcPr>
          <w:p w14:paraId="2DF57A46" w14:textId="77777777" w:rsidR="00B0005F" w:rsidRPr="008A2411" w:rsidRDefault="00000000">
            <w:pPr>
              <w:jc w:val="center"/>
              <w:rPr>
                <w:rFonts w:ascii="Times New Roman"/>
                <w:bCs/>
                <w:color w:val="000000" w:themeColor="text1"/>
                <w:sz w:val="21"/>
                <w:szCs w:val="21"/>
              </w:rPr>
            </w:pPr>
            <w:r w:rsidRPr="008A2411">
              <w:rPr>
                <w:rFonts w:ascii="Times New Roman" w:eastAsiaTheme="minorEastAsia"/>
                <w:bCs/>
                <w:snapToGrid w:val="0"/>
                <w:color w:val="000000" w:themeColor="text1"/>
                <w:sz w:val="21"/>
                <w:szCs w:val="21"/>
              </w:rPr>
              <w:t>Ⅳ</w:t>
            </w:r>
            <w:r w:rsidRPr="008A2411">
              <w:rPr>
                <w:rFonts w:ascii="Times New Roman" w:eastAsiaTheme="minorEastAsia"/>
                <w:bCs/>
                <w:snapToGrid w:val="0"/>
                <w:color w:val="000000" w:themeColor="text1"/>
                <w:sz w:val="21"/>
                <w:szCs w:val="21"/>
                <w:vertAlign w:val="superscript"/>
              </w:rPr>
              <w:t>+</w:t>
            </w:r>
          </w:p>
        </w:tc>
      </w:tr>
      <w:tr w:rsidR="008A2411" w:rsidRPr="008A2411" w14:paraId="4B9FAE67" w14:textId="77777777">
        <w:trPr>
          <w:jc w:val="center"/>
        </w:trPr>
        <w:tc>
          <w:tcPr>
            <w:tcW w:w="738" w:type="pct"/>
            <w:vAlign w:val="center"/>
          </w:tcPr>
          <w:p w14:paraId="3CAFD741"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环境风险工作评价等级</w:t>
            </w:r>
          </w:p>
        </w:tc>
        <w:tc>
          <w:tcPr>
            <w:tcW w:w="1759" w:type="pct"/>
            <w:vAlign w:val="center"/>
          </w:tcPr>
          <w:p w14:paraId="40E19E26"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一级</w:t>
            </w:r>
          </w:p>
        </w:tc>
        <w:tc>
          <w:tcPr>
            <w:tcW w:w="883" w:type="pct"/>
            <w:vAlign w:val="center"/>
          </w:tcPr>
          <w:p w14:paraId="2A7CE0DD"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一级</w:t>
            </w:r>
          </w:p>
        </w:tc>
        <w:tc>
          <w:tcPr>
            <w:tcW w:w="1029" w:type="pct"/>
            <w:vAlign w:val="center"/>
          </w:tcPr>
          <w:p w14:paraId="13CB3596"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一级</w:t>
            </w:r>
          </w:p>
        </w:tc>
        <w:tc>
          <w:tcPr>
            <w:tcW w:w="591" w:type="pct"/>
            <w:vAlign w:val="center"/>
          </w:tcPr>
          <w:p w14:paraId="75D370EA"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一级</w:t>
            </w:r>
          </w:p>
        </w:tc>
      </w:tr>
      <w:tr w:rsidR="008A2411" w:rsidRPr="008A2411" w14:paraId="171E5FD4" w14:textId="77777777">
        <w:trPr>
          <w:trHeight w:val="2234"/>
          <w:jc w:val="center"/>
        </w:trPr>
        <w:tc>
          <w:tcPr>
            <w:tcW w:w="738" w:type="pct"/>
            <w:vAlign w:val="center"/>
          </w:tcPr>
          <w:p w14:paraId="47F286C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工作内容</w:t>
            </w:r>
          </w:p>
        </w:tc>
        <w:tc>
          <w:tcPr>
            <w:tcW w:w="1759" w:type="pct"/>
            <w:vAlign w:val="center"/>
          </w:tcPr>
          <w:p w14:paraId="3E284BB7"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选取最不利气象条件进行分析预测，给出风险事故情形下危险物质释放可能造成的大气环境影响范围与程度</w:t>
            </w:r>
          </w:p>
        </w:tc>
        <w:tc>
          <w:tcPr>
            <w:tcW w:w="883" w:type="pct"/>
            <w:vAlign w:val="center"/>
          </w:tcPr>
          <w:p w14:paraId="2AED8EC3"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预测地表水环境风险，给出风险事故情境下可能造成的影响范围与程度</w:t>
            </w:r>
          </w:p>
        </w:tc>
        <w:tc>
          <w:tcPr>
            <w:tcW w:w="1029" w:type="pct"/>
            <w:vAlign w:val="center"/>
          </w:tcPr>
          <w:p w14:paraId="768A9C2A"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预测地下水环境风险，给出风险事故情境下可能造成的影响范围与程度</w:t>
            </w:r>
          </w:p>
        </w:tc>
        <w:tc>
          <w:tcPr>
            <w:tcW w:w="591" w:type="pct"/>
            <w:vAlign w:val="center"/>
          </w:tcPr>
          <w:p w14:paraId="3E95E27B"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w:t>
            </w:r>
          </w:p>
        </w:tc>
      </w:tr>
    </w:tbl>
    <w:p w14:paraId="034F0503" w14:textId="77777777" w:rsidR="00B0005F" w:rsidRPr="008A2411" w:rsidRDefault="00000000">
      <w:pPr>
        <w:pStyle w:val="affffffffffffffffffff6"/>
        <w:snapToGrid/>
        <w:outlineLvl w:val="2"/>
        <w:rPr>
          <w:rFonts w:ascii="Times New Roman"/>
          <w:b/>
          <w:color w:val="000000" w:themeColor="text1"/>
          <w:sz w:val="24"/>
          <w:szCs w:val="24"/>
          <w:lang w:bidi="en-US"/>
        </w:rPr>
      </w:pPr>
      <w:r w:rsidRPr="008A2411">
        <w:rPr>
          <w:rFonts w:ascii="Times New Roman"/>
          <w:b/>
          <w:color w:val="000000" w:themeColor="text1"/>
          <w:sz w:val="24"/>
          <w:szCs w:val="24"/>
          <w:lang w:bidi="en-US"/>
        </w:rPr>
        <w:t>6.4.2</w:t>
      </w:r>
      <w:r w:rsidRPr="008A2411">
        <w:rPr>
          <w:rFonts w:ascii="Times New Roman"/>
          <w:b/>
          <w:color w:val="000000" w:themeColor="text1"/>
          <w:sz w:val="24"/>
          <w:szCs w:val="24"/>
          <w:lang w:bidi="en-US"/>
        </w:rPr>
        <w:t>项目风险评价范围</w:t>
      </w:r>
    </w:p>
    <w:p w14:paraId="097FF206" w14:textId="77777777" w:rsidR="00B0005F" w:rsidRPr="008A2411" w:rsidRDefault="00000000">
      <w:pPr>
        <w:adjustRightInd w:val="0"/>
        <w:spacing w:line="360" w:lineRule="auto"/>
        <w:ind w:firstLineChars="200" w:firstLine="480"/>
        <w:rPr>
          <w:rFonts w:ascii="Times New Roman"/>
          <w:bCs/>
          <w:color w:val="000000" w:themeColor="text1"/>
        </w:rPr>
      </w:pPr>
      <w:r w:rsidRPr="008A2411">
        <w:rPr>
          <w:rFonts w:ascii="Times New Roman"/>
          <w:bCs/>
          <w:color w:val="000000" w:themeColor="text1"/>
        </w:rPr>
        <w:t>根据《建设项目环境风险评价技术导则》（</w:t>
      </w:r>
      <w:r w:rsidRPr="008A2411">
        <w:rPr>
          <w:rFonts w:ascii="Times New Roman"/>
          <w:bCs/>
          <w:color w:val="000000" w:themeColor="text1"/>
        </w:rPr>
        <w:t>HJ169-2018</w:t>
      </w:r>
      <w:r w:rsidRPr="008A2411">
        <w:rPr>
          <w:rFonts w:ascii="Times New Roman"/>
          <w:bCs/>
          <w:color w:val="000000" w:themeColor="text1"/>
        </w:rPr>
        <w:t>）的规定，本项目大气环境风险评价范围为距离项目厂界</w:t>
      </w:r>
      <w:r w:rsidRPr="008A2411">
        <w:rPr>
          <w:rFonts w:ascii="Times New Roman"/>
          <w:bCs/>
          <w:color w:val="000000" w:themeColor="text1"/>
        </w:rPr>
        <w:t>5km</w:t>
      </w:r>
      <w:r w:rsidRPr="008A2411">
        <w:rPr>
          <w:rFonts w:ascii="Times New Roman"/>
          <w:bCs/>
          <w:color w:val="000000" w:themeColor="text1"/>
        </w:rPr>
        <w:t>的范围；地表水环境风险评价范围为项目所在地河流下游</w:t>
      </w:r>
      <w:r w:rsidRPr="008A2411">
        <w:rPr>
          <w:rFonts w:ascii="Times New Roman"/>
          <w:bCs/>
          <w:color w:val="000000" w:themeColor="text1"/>
        </w:rPr>
        <w:t>10km</w:t>
      </w:r>
      <w:r w:rsidRPr="008A2411">
        <w:rPr>
          <w:rFonts w:ascii="Times New Roman"/>
          <w:bCs/>
          <w:color w:val="000000" w:themeColor="text1"/>
        </w:rPr>
        <w:t>范围、地下水环境风险评价范围为区域水文地质单元。</w:t>
      </w:r>
    </w:p>
    <w:p w14:paraId="0C7490EC" w14:textId="77777777" w:rsidR="00B0005F" w:rsidRPr="008A2411" w:rsidRDefault="00000000">
      <w:pPr>
        <w:pStyle w:val="affffffffffffffffffff6"/>
        <w:snapToGrid/>
        <w:outlineLvl w:val="2"/>
        <w:rPr>
          <w:rFonts w:ascii="Times New Roman"/>
          <w:b/>
          <w:color w:val="000000" w:themeColor="text1"/>
          <w:sz w:val="24"/>
          <w:szCs w:val="24"/>
          <w:lang w:bidi="en-US"/>
        </w:rPr>
      </w:pPr>
      <w:r w:rsidRPr="008A2411">
        <w:rPr>
          <w:rFonts w:ascii="Times New Roman"/>
          <w:b/>
          <w:color w:val="000000" w:themeColor="text1"/>
          <w:sz w:val="24"/>
          <w:szCs w:val="24"/>
          <w:lang w:bidi="en-US"/>
        </w:rPr>
        <w:t>6.4.3</w:t>
      </w:r>
      <w:r w:rsidRPr="008A2411">
        <w:rPr>
          <w:rFonts w:ascii="Times New Roman"/>
          <w:b/>
          <w:color w:val="000000" w:themeColor="text1"/>
          <w:sz w:val="24"/>
          <w:szCs w:val="24"/>
          <w:lang w:bidi="en-US"/>
        </w:rPr>
        <w:t>项目风险敏感目标</w:t>
      </w:r>
    </w:p>
    <w:p w14:paraId="6EE875CE"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根据本项目环境风险评价范围，根据现场调查，评价范围内主要的环境敏感</w:t>
      </w:r>
      <w:r w:rsidRPr="008A2411">
        <w:rPr>
          <w:rFonts w:ascii="Times New Roman"/>
          <w:bCs/>
          <w:color w:val="000000" w:themeColor="text1"/>
        </w:rPr>
        <w:t xml:space="preserve"> </w:t>
      </w:r>
      <w:r w:rsidRPr="008A2411">
        <w:rPr>
          <w:rFonts w:ascii="Times New Roman"/>
          <w:bCs/>
          <w:color w:val="000000" w:themeColor="text1"/>
        </w:rPr>
        <w:t>目标分布情况见下表。</w:t>
      </w:r>
    </w:p>
    <w:p w14:paraId="66FC46BD" w14:textId="77777777" w:rsidR="00B0005F" w:rsidRPr="008A2411" w:rsidRDefault="00000000">
      <w:pPr>
        <w:pStyle w:val="afffffff9"/>
        <w:spacing w:line="240" w:lineRule="auto"/>
        <w:ind w:firstLineChars="0" w:firstLine="0"/>
        <w:jc w:val="center"/>
        <w:rPr>
          <w:rFonts w:ascii="Times New Roman" w:eastAsia="黑体" w:hAnsi="Times New Roman"/>
          <w:bCs/>
          <w:color w:val="000000" w:themeColor="text1"/>
        </w:rPr>
      </w:pPr>
      <w:r w:rsidRPr="008A2411">
        <w:rPr>
          <w:rFonts w:ascii="Times New Roman" w:eastAsia="黑体" w:hAnsi="Times New Roman"/>
          <w:bCs/>
          <w:color w:val="000000" w:themeColor="text1"/>
        </w:rPr>
        <w:t>表</w:t>
      </w:r>
      <w:r w:rsidRPr="008A2411">
        <w:rPr>
          <w:rFonts w:ascii="Times New Roman" w:eastAsia="黑体" w:hAnsi="Times New Roman"/>
          <w:bCs/>
          <w:color w:val="000000" w:themeColor="text1"/>
        </w:rPr>
        <w:t xml:space="preserve">6.4-2  </w:t>
      </w:r>
      <w:r w:rsidRPr="008A2411">
        <w:rPr>
          <w:rFonts w:ascii="Times New Roman" w:eastAsia="黑体" w:hAnsi="Times New Roman"/>
          <w:bCs/>
          <w:color w:val="000000" w:themeColor="text1"/>
        </w:rPr>
        <w:t>评价范围内环境敏感目标分布情况一览表</w:t>
      </w:r>
    </w:p>
    <w:tbl>
      <w:tblPr>
        <w:tblW w:w="506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63"/>
        <w:gridCol w:w="372"/>
        <w:gridCol w:w="1343"/>
        <w:gridCol w:w="937"/>
        <w:gridCol w:w="969"/>
        <w:gridCol w:w="934"/>
        <w:gridCol w:w="1303"/>
        <w:gridCol w:w="2105"/>
      </w:tblGrid>
      <w:tr w:rsidR="008A2411" w:rsidRPr="008A2411" w14:paraId="0C933BE5" w14:textId="77777777">
        <w:trPr>
          <w:jc w:val="center"/>
        </w:trPr>
        <w:tc>
          <w:tcPr>
            <w:tcW w:w="0" w:type="auto"/>
            <w:vMerge w:val="restart"/>
            <w:vAlign w:val="center"/>
          </w:tcPr>
          <w:p w14:paraId="7732B0FA" w14:textId="77777777" w:rsidR="00B0005F" w:rsidRPr="008A2411" w:rsidRDefault="00000000">
            <w:pPr>
              <w:jc w:val="center"/>
              <w:rPr>
                <w:rFonts w:ascii="Times New Roman"/>
                <w:bCs/>
                <w:color w:val="000000" w:themeColor="text1"/>
                <w:sz w:val="21"/>
                <w:szCs w:val="21"/>
              </w:rPr>
            </w:pPr>
            <w:bookmarkStart w:id="508" w:name="_Hlk91793200"/>
            <w:r w:rsidRPr="008A2411">
              <w:rPr>
                <w:rFonts w:ascii="Times New Roman"/>
                <w:bCs/>
                <w:color w:val="000000" w:themeColor="text1"/>
                <w:sz w:val="21"/>
                <w:szCs w:val="21"/>
              </w:rPr>
              <w:lastRenderedPageBreak/>
              <w:t>保护要素</w:t>
            </w:r>
          </w:p>
        </w:tc>
        <w:tc>
          <w:tcPr>
            <w:tcW w:w="221" w:type="pct"/>
            <w:vMerge w:val="restart"/>
            <w:vAlign w:val="center"/>
          </w:tcPr>
          <w:p w14:paraId="6EBC4B5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序号</w:t>
            </w:r>
          </w:p>
        </w:tc>
        <w:tc>
          <w:tcPr>
            <w:tcW w:w="797" w:type="pct"/>
            <w:vMerge w:val="restart"/>
            <w:vAlign w:val="center"/>
          </w:tcPr>
          <w:p w14:paraId="48A472B9"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名称</w:t>
            </w:r>
          </w:p>
        </w:tc>
        <w:tc>
          <w:tcPr>
            <w:tcW w:w="1131" w:type="pct"/>
            <w:gridSpan w:val="2"/>
            <w:vAlign w:val="center"/>
          </w:tcPr>
          <w:p w14:paraId="67D1FCB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与项目相对位置</w:t>
            </w:r>
          </w:p>
        </w:tc>
        <w:tc>
          <w:tcPr>
            <w:tcW w:w="554" w:type="pct"/>
            <w:vMerge w:val="restart"/>
            <w:vAlign w:val="center"/>
          </w:tcPr>
          <w:p w14:paraId="7DDA078C"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属性</w:t>
            </w:r>
          </w:p>
        </w:tc>
        <w:tc>
          <w:tcPr>
            <w:tcW w:w="772" w:type="pct"/>
            <w:vMerge w:val="restart"/>
            <w:vAlign w:val="center"/>
          </w:tcPr>
          <w:p w14:paraId="30606FBC"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人口数</w:t>
            </w:r>
          </w:p>
        </w:tc>
        <w:tc>
          <w:tcPr>
            <w:tcW w:w="1249" w:type="pct"/>
            <w:vMerge w:val="restart"/>
            <w:vAlign w:val="center"/>
          </w:tcPr>
          <w:p w14:paraId="7EAB4C18"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环境功能</w:t>
            </w:r>
          </w:p>
        </w:tc>
      </w:tr>
      <w:tr w:rsidR="008A2411" w:rsidRPr="008A2411" w14:paraId="43689420" w14:textId="77777777">
        <w:trPr>
          <w:jc w:val="center"/>
        </w:trPr>
        <w:tc>
          <w:tcPr>
            <w:tcW w:w="0" w:type="auto"/>
            <w:vMerge/>
            <w:vAlign w:val="center"/>
          </w:tcPr>
          <w:p w14:paraId="076D6762" w14:textId="77777777" w:rsidR="00B0005F" w:rsidRPr="008A2411" w:rsidRDefault="00B0005F">
            <w:pPr>
              <w:jc w:val="center"/>
              <w:rPr>
                <w:rFonts w:ascii="Times New Roman"/>
                <w:bCs/>
                <w:color w:val="000000" w:themeColor="text1"/>
                <w:sz w:val="21"/>
                <w:szCs w:val="21"/>
              </w:rPr>
            </w:pPr>
          </w:p>
        </w:tc>
        <w:tc>
          <w:tcPr>
            <w:tcW w:w="221" w:type="pct"/>
            <w:vMerge/>
            <w:vAlign w:val="center"/>
          </w:tcPr>
          <w:p w14:paraId="0B23CE02" w14:textId="77777777" w:rsidR="00B0005F" w:rsidRPr="008A2411" w:rsidRDefault="00B0005F">
            <w:pPr>
              <w:jc w:val="center"/>
              <w:rPr>
                <w:rFonts w:ascii="Times New Roman"/>
                <w:bCs/>
                <w:color w:val="000000" w:themeColor="text1"/>
                <w:sz w:val="21"/>
                <w:szCs w:val="21"/>
              </w:rPr>
            </w:pPr>
          </w:p>
        </w:tc>
        <w:tc>
          <w:tcPr>
            <w:tcW w:w="797" w:type="pct"/>
            <w:vMerge/>
            <w:vAlign w:val="center"/>
          </w:tcPr>
          <w:p w14:paraId="77A2C710" w14:textId="77777777" w:rsidR="00B0005F" w:rsidRPr="008A2411" w:rsidRDefault="00B0005F">
            <w:pPr>
              <w:jc w:val="center"/>
              <w:rPr>
                <w:rFonts w:ascii="Times New Roman"/>
                <w:bCs/>
                <w:color w:val="000000" w:themeColor="text1"/>
                <w:sz w:val="21"/>
                <w:szCs w:val="21"/>
              </w:rPr>
            </w:pPr>
          </w:p>
        </w:tc>
        <w:tc>
          <w:tcPr>
            <w:tcW w:w="556" w:type="pct"/>
            <w:vAlign w:val="center"/>
          </w:tcPr>
          <w:p w14:paraId="3ABBB4B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方位</w:t>
            </w:r>
          </w:p>
        </w:tc>
        <w:tc>
          <w:tcPr>
            <w:tcW w:w="575" w:type="pct"/>
            <w:vAlign w:val="center"/>
          </w:tcPr>
          <w:p w14:paraId="4E0F91CA"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与厂界距离</w:t>
            </w:r>
            <w:r w:rsidRPr="008A2411">
              <w:rPr>
                <w:rFonts w:ascii="Times New Roman"/>
                <w:bCs/>
                <w:color w:val="000000" w:themeColor="text1"/>
                <w:sz w:val="21"/>
                <w:szCs w:val="21"/>
              </w:rPr>
              <w:t>/m</w:t>
            </w:r>
          </w:p>
        </w:tc>
        <w:tc>
          <w:tcPr>
            <w:tcW w:w="554" w:type="pct"/>
            <w:vMerge/>
            <w:vAlign w:val="center"/>
          </w:tcPr>
          <w:p w14:paraId="4658C1A8" w14:textId="77777777" w:rsidR="00B0005F" w:rsidRPr="008A2411" w:rsidRDefault="00B0005F">
            <w:pPr>
              <w:jc w:val="center"/>
              <w:rPr>
                <w:rFonts w:ascii="Times New Roman"/>
                <w:bCs/>
                <w:color w:val="000000" w:themeColor="text1"/>
                <w:sz w:val="21"/>
                <w:szCs w:val="21"/>
              </w:rPr>
            </w:pPr>
          </w:p>
        </w:tc>
        <w:tc>
          <w:tcPr>
            <w:tcW w:w="772" w:type="pct"/>
            <w:vMerge/>
            <w:vAlign w:val="center"/>
          </w:tcPr>
          <w:p w14:paraId="560A2A9D" w14:textId="77777777" w:rsidR="00B0005F" w:rsidRPr="008A2411" w:rsidRDefault="00B0005F">
            <w:pPr>
              <w:jc w:val="center"/>
              <w:rPr>
                <w:rFonts w:ascii="Times New Roman"/>
                <w:bCs/>
                <w:color w:val="000000" w:themeColor="text1"/>
                <w:sz w:val="21"/>
                <w:szCs w:val="21"/>
              </w:rPr>
            </w:pPr>
          </w:p>
        </w:tc>
        <w:tc>
          <w:tcPr>
            <w:tcW w:w="1249" w:type="pct"/>
            <w:vMerge/>
            <w:vAlign w:val="center"/>
          </w:tcPr>
          <w:p w14:paraId="5F11A80B" w14:textId="77777777" w:rsidR="00B0005F" w:rsidRPr="008A2411" w:rsidRDefault="00B0005F">
            <w:pPr>
              <w:jc w:val="center"/>
              <w:rPr>
                <w:rFonts w:ascii="Times New Roman"/>
                <w:bCs/>
                <w:color w:val="000000" w:themeColor="text1"/>
                <w:sz w:val="21"/>
                <w:szCs w:val="21"/>
              </w:rPr>
            </w:pPr>
          </w:p>
        </w:tc>
      </w:tr>
      <w:tr w:rsidR="008A2411" w:rsidRPr="008A2411" w14:paraId="083DDDB6" w14:textId="77777777">
        <w:trPr>
          <w:jc w:val="center"/>
        </w:trPr>
        <w:tc>
          <w:tcPr>
            <w:tcW w:w="274" w:type="pct"/>
            <w:vMerge w:val="restart"/>
            <w:vAlign w:val="center"/>
          </w:tcPr>
          <w:p w14:paraId="1E07593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大气环境</w:t>
            </w:r>
          </w:p>
        </w:tc>
        <w:tc>
          <w:tcPr>
            <w:tcW w:w="221" w:type="pct"/>
            <w:vAlign w:val="center"/>
          </w:tcPr>
          <w:p w14:paraId="1AF607F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w:t>
            </w:r>
          </w:p>
        </w:tc>
        <w:tc>
          <w:tcPr>
            <w:tcW w:w="797" w:type="pct"/>
            <w:vAlign w:val="center"/>
          </w:tcPr>
          <w:p w14:paraId="6B9C7408"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杏树村居民</w:t>
            </w:r>
          </w:p>
        </w:tc>
        <w:tc>
          <w:tcPr>
            <w:tcW w:w="556" w:type="pct"/>
            <w:vAlign w:val="center"/>
          </w:tcPr>
          <w:p w14:paraId="6C1C46EC"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西北</w:t>
            </w:r>
          </w:p>
        </w:tc>
        <w:tc>
          <w:tcPr>
            <w:tcW w:w="575" w:type="pct"/>
            <w:vAlign w:val="center"/>
          </w:tcPr>
          <w:p w14:paraId="13D9BADB"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699~750</w:t>
            </w:r>
          </w:p>
        </w:tc>
        <w:tc>
          <w:tcPr>
            <w:tcW w:w="554" w:type="pct"/>
            <w:vAlign w:val="center"/>
          </w:tcPr>
          <w:p w14:paraId="22E2256C"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居住区</w:t>
            </w:r>
          </w:p>
        </w:tc>
        <w:tc>
          <w:tcPr>
            <w:tcW w:w="772" w:type="pct"/>
            <w:vAlign w:val="center"/>
          </w:tcPr>
          <w:p w14:paraId="58C26D1C"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3</w:t>
            </w:r>
            <w:r w:rsidRPr="008A2411">
              <w:rPr>
                <w:rFonts w:ascii="Times New Roman"/>
                <w:color w:val="000000" w:themeColor="text1"/>
                <w:sz w:val="21"/>
                <w:szCs w:val="21"/>
              </w:rPr>
              <w:t>户</w:t>
            </w:r>
            <w:r w:rsidRPr="008A2411">
              <w:rPr>
                <w:rFonts w:ascii="Times New Roman"/>
                <w:color w:val="000000" w:themeColor="text1"/>
                <w:sz w:val="21"/>
                <w:szCs w:val="21"/>
              </w:rPr>
              <w:t>12</w:t>
            </w:r>
            <w:r w:rsidRPr="008A2411">
              <w:rPr>
                <w:rFonts w:ascii="Times New Roman"/>
                <w:color w:val="000000" w:themeColor="text1"/>
                <w:sz w:val="21"/>
                <w:szCs w:val="21"/>
              </w:rPr>
              <w:t>人</w:t>
            </w:r>
          </w:p>
        </w:tc>
        <w:tc>
          <w:tcPr>
            <w:tcW w:w="1249" w:type="pct"/>
            <w:vMerge w:val="restart"/>
            <w:vAlign w:val="center"/>
          </w:tcPr>
          <w:p w14:paraId="35E0B2F3"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《环境空气质量标准》（</w:t>
            </w:r>
            <w:r w:rsidRPr="008A2411">
              <w:rPr>
                <w:rFonts w:ascii="Times New Roman"/>
                <w:bCs/>
                <w:color w:val="000000" w:themeColor="text1"/>
                <w:sz w:val="21"/>
                <w:szCs w:val="21"/>
              </w:rPr>
              <w:t>GB3095-2012</w:t>
            </w:r>
            <w:r w:rsidRPr="008A2411">
              <w:rPr>
                <w:rFonts w:ascii="Times New Roman"/>
                <w:bCs/>
                <w:color w:val="000000" w:themeColor="text1"/>
                <w:sz w:val="21"/>
                <w:szCs w:val="21"/>
              </w:rPr>
              <w:t>）二级标准</w:t>
            </w:r>
          </w:p>
        </w:tc>
      </w:tr>
      <w:tr w:rsidR="008A2411" w:rsidRPr="008A2411" w14:paraId="169EFC4E" w14:textId="77777777">
        <w:trPr>
          <w:jc w:val="center"/>
        </w:trPr>
        <w:tc>
          <w:tcPr>
            <w:tcW w:w="274" w:type="pct"/>
            <w:vMerge/>
            <w:textDirection w:val="tbRl"/>
            <w:vAlign w:val="center"/>
          </w:tcPr>
          <w:p w14:paraId="486F42E4" w14:textId="77777777" w:rsidR="00B0005F" w:rsidRPr="008A2411" w:rsidRDefault="00B0005F">
            <w:pPr>
              <w:jc w:val="center"/>
              <w:rPr>
                <w:rFonts w:ascii="Times New Roman"/>
                <w:bCs/>
                <w:color w:val="000000" w:themeColor="text1"/>
                <w:sz w:val="21"/>
                <w:szCs w:val="21"/>
              </w:rPr>
            </w:pPr>
          </w:p>
        </w:tc>
        <w:tc>
          <w:tcPr>
            <w:tcW w:w="221" w:type="pct"/>
            <w:vAlign w:val="center"/>
          </w:tcPr>
          <w:p w14:paraId="6F66125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2</w:t>
            </w:r>
          </w:p>
        </w:tc>
        <w:tc>
          <w:tcPr>
            <w:tcW w:w="797" w:type="pct"/>
            <w:vAlign w:val="center"/>
          </w:tcPr>
          <w:p w14:paraId="39DBB5C8"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杏树村居民</w:t>
            </w:r>
          </w:p>
        </w:tc>
        <w:tc>
          <w:tcPr>
            <w:tcW w:w="556" w:type="pct"/>
            <w:vAlign w:val="center"/>
          </w:tcPr>
          <w:p w14:paraId="3CD98975"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西北</w:t>
            </w:r>
          </w:p>
        </w:tc>
        <w:tc>
          <w:tcPr>
            <w:tcW w:w="575" w:type="pct"/>
            <w:vAlign w:val="center"/>
          </w:tcPr>
          <w:p w14:paraId="007B1224"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819~960</w:t>
            </w:r>
          </w:p>
        </w:tc>
        <w:tc>
          <w:tcPr>
            <w:tcW w:w="554" w:type="pct"/>
            <w:vAlign w:val="center"/>
          </w:tcPr>
          <w:p w14:paraId="0C73B13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居住区</w:t>
            </w:r>
          </w:p>
        </w:tc>
        <w:tc>
          <w:tcPr>
            <w:tcW w:w="772" w:type="pct"/>
            <w:vAlign w:val="center"/>
          </w:tcPr>
          <w:p w14:paraId="4D6359E9"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9</w:t>
            </w:r>
            <w:r w:rsidRPr="008A2411">
              <w:rPr>
                <w:rFonts w:ascii="Times New Roman"/>
                <w:color w:val="000000" w:themeColor="text1"/>
                <w:sz w:val="21"/>
                <w:szCs w:val="21"/>
              </w:rPr>
              <w:t>户</w:t>
            </w:r>
            <w:r w:rsidRPr="008A2411">
              <w:rPr>
                <w:rFonts w:ascii="Times New Roman"/>
                <w:color w:val="000000" w:themeColor="text1"/>
                <w:sz w:val="21"/>
                <w:szCs w:val="21"/>
              </w:rPr>
              <w:t>35</w:t>
            </w:r>
            <w:r w:rsidRPr="008A2411">
              <w:rPr>
                <w:rFonts w:ascii="Times New Roman"/>
                <w:color w:val="000000" w:themeColor="text1"/>
                <w:sz w:val="21"/>
                <w:szCs w:val="21"/>
              </w:rPr>
              <w:t>人</w:t>
            </w:r>
          </w:p>
        </w:tc>
        <w:tc>
          <w:tcPr>
            <w:tcW w:w="1249" w:type="pct"/>
            <w:vMerge/>
            <w:vAlign w:val="center"/>
          </w:tcPr>
          <w:p w14:paraId="777D226F" w14:textId="77777777" w:rsidR="00B0005F" w:rsidRPr="008A2411" w:rsidRDefault="00B0005F">
            <w:pPr>
              <w:jc w:val="center"/>
              <w:rPr>
                <w:rFonts w:ascii="Times New Roman"/>
                <w:bCs/>
                <w:color w:val="000000" w:themeColor="text1"/>
                <w:sz w:val="21"/>
                <w:szCs w:val="21"/>
              </w:rPr>
            </w:pPr>
          </w:p>
        </w:tc>
      </w:tr>
      <w:tr w:rsidR="008A2411" w:rsidRPr="008A2411" w14:paraId="69E59F91" w14:textId="77777777">
        <w:trPr>
          <w:jc w:val="center"/>
        </w:trPr>
        <w:tc>
          <w:tcPr>
            <w:tcW w:w="274" w:type="pct"/>
            <w:vMerge/>
            <w:textDirection w:val="tbRl"/>
            <w:vAlign w:val="center"/>
          </w:tcPr>
          <w:p w14:paraId="6C41F91A" w14:textId="77777777" w:rsidR="00B0005F" w:rsidRPr="008A2411" w:rsidRDefault="00B0005F">
            <w:pPr>
              <w:jc w:val="center"/>
              <w:rPr>
                <w:rFonts w:ascii="Times New Roman"/>
                <w:bCs/>
                <w:color w:val="000000" w:themeColor="text1"/>
                <w:sz w:val="21"/>
                <w:szCs w:val="21"/>
              </w:rPr>
            </w:pPr>
          </w:p>
        </w:tc>
        <w:tc>
          <w:tcPr>
            <w:tcW w:w="221" w:type="pct"/>
            <w:vAlign w:val="center"/>
          </w:tcPr>
          <w:p w14:paraId="39FE4033"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3</w:t>
            </w:r>
          </w:p>
        </w:tc>
        <w:tc>
          <w:tcPr>
            <w:tcW w:w="797" w:type="pct"/>
            <w:vAlign w:val="center"/>
          </w:tcPr>
          <w:p w14:paraId="69F1B1C7"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杏树村居民</w:t>
            </w:r>
          </w:p>
        </w:tc>
        <w:tc>
          <w:tcPr>
            <w:tcW w:w="556" w:type="pct"/>
            <w:vAlign w:val="center"/>
          </w:tcPr>
          <w:p w14:paraId="783E038B"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西北</w:t>
            </w:r>
          </w:p>
        </w:tc>
        <w:tc>
          <w:tcPr>
            <w:tcW w:w="575" w:type="pct"/>
            <w:vAlign w:val="center"/>
          </w:tcPr>
          <w:p w14:paraId="7E1AED0B"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1048~1160</w:t>
            </w:r>
          </w:p>
        </w:tc>
        <w:tc>
          <w:tcPr>
            <w:tcW w:w="554" w:type="pct"/>
            <w:vAlign w:val="center"/>
          </w:tcPr>
          <w:p w14:paraId="6A04C17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居住区</w:t>
            </w:r>
          </w:p>
        </w:tc>
        <w:tc>
          <w:tcPr>
            <w:tcW w:w="772" w:type="pct"/>
            <w:vAlign w:val="center"/>
          </w:tcPr>
          <w:p w14:paraId="537E1565"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10</w:t>
            </w:r>
            <w:r w:rsidRPr="008A2411">
              <w:rPr>
                <w:rFonts w:ascii="Times New Roman"/>
                <w:color w:val="000000" w:themeColor="text1"/>
                <w:sz w:val="21"/>
                <w:szCs w:val="21"/>
              </w:rPr>
              <w:t>户</w:t>
            </w:r>
            <w:r w:rsidRPr="008A2411">
              <w:rPr>
                <w:rFonts w:ascii="Times New Roman"/>
                <w:color w:val="000000" w:themeColor="text1"/>
                <w:sz w:val="21"/>
                <w:szCs w:val="21"/>
              </w:rPr>
              <w:t>39</w:t>
            </w:r>
            <w:r w:rsidRPr="008A2411">
              <w:rPr>
                <w:rFonts w:ascii="Times New Roman"/>
                <w:color w:val="000000" w:themeColor="text1"/>
                <w:sz w:val="21"/>
                <w:szCs w:val="21"/>
              </w:rPr>
              <w:t>人</w:t>
            </w:r>
          </w:p>
        </w:tc>
        <w:tc>
          <w:tcPr>
            <w:tcW w:w="1249" w:type="pct"/>
            <w:vMerge/>
            <w:vAlign w:val="center"/>
          </w:tcPr>
          <w:p w14:paraId="27079B82" w14:textId="77777777" w:rsidR="00B0005F" w:rsidRPr="008A2411" w:rsidRDefault="00B0005F">
            <w:pPr>
              <w:jc w:val="center"/>
              <w:rPr>
                <w:rFonts w:ascii="Times New Roman"/>
                <w:color w:val="000000" w:themeColor="text1"/>
                <w:sz w:val="21"/>
                <w:szCs w:val="21"/>
              </w:rPr>
            </w:pPr>
          </w:p>
        </w:tc>
      </w:tr>
      <w:tr w:rsidR="008A2411" w:rsidRPr="008A2411" w14:paraId="37A09C74" w14:textId="77777777">
        <w:trPr>
          <w:jc w:val="center"/>
        </w:trPr>
        <w:tc>
          <w:tcPr>
            <w:tcW w:w="274" w:type="pct"/>
            <w:vMerge/>
            <w:textDirection w:val="tbRl"/>
            <w:vAlign w:val="center"/>
          </w:tcPr>
          <w:p w14:paraId="2927799C" w14:textId="77777777" w:rsidR="00B0005F" w:rsidRPr="008A2411" w:rsidRDefault="00B0005F">
            <w:pPr>
              <w:jc w:val="center"/>
              <w:rPr>
                <w:rFonts w:ascii="Times New Roman"/>
                <w:bCs/>
                <w:color w:val="000000" w:themeColor="text1"/>
                <w:sz w:val="21"/>
                <w:szCs w:val="21"/>
              </w:rPr>
            </w:pPr>
          </w:p>
        </w:tc>
        <w:tc>
          <w:tcPr>
            <w:tcW w:w="221" w:type="pct"/>
            <w:vAlign w:val="center"/>
          </w:tcPr>
          <w:p w14:paraId="6A7119C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4</w:t>
            </w:r>
          </w:p>
        </w:tc>
        <w:tc>
          <w:tcPr>
            <w:tcW w:w="797" w:type="pct"/>
            <w:vAlign w:val="center"/>
          </w:tcPr>
          <w:p w14:paraId="0FF6EBC5"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杏树村居民</w:t>
            </w:r>
          </w:p>
        </w:tc>
        <w:tc>
          <w:tcPr>
            <w:tcW w:w="556" w:type="pct"/>
            <w:vAlign w:val="center"/>
          </w:tcPr>
          <w:p w14:paraId="0EBF9D71"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北</w:t>
            </w:r>
          </w:p>
        </w:tc>
        <w:tc>
          <w:tcPr>
            <w:tcW w:w="575" w:type="pct"/>
            <w:vAlign w:val="center"/>
          </w:tcPr>
          <w:p w14:paraId="6807A65B"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756~793</w:t>
            </w:r>
          </w:p>
        </w:tc>
        <w:tc>
          <w:tcPr>
            <w:tcW w:w="554" w:type="pct"/>
            <w:vAlign w:val="center"/>
          </w:tcPr>
          <w:p w14:paraId="0885D4A4"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居住区</w:t>
            </w:r>
          </w:p>
        </w:tc>
        <w:tc>
          <w:tcPr>
            <w:tcW w:w="772" w:type="pct"/>
            <w:vAlign w:val="center"/>
          </w:tcPr>
          <w:p w14:paraId="113B5A6B"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2</w:t>
            </w:r>
            <w:r w:rsidRPr="008A2411">
              <w:rPr>
                <w:rFonts w:ascii="Times New Roman"/>
                <w:color w:val="000000" w:themeColor="text1"/>
                <w:sz w:val="21"/>
                <w:szCs w:val="21"/>
              </w:rPr>
              <w:t>户</w:t>
            </w:r>
            <w:r w:rsidRPr="008A2411">
              <w:rPr>
                <w:rFonts w:ascii="Times New Roman"/>
                <w:color w:val="000000" w:themeColor="text1"/>
                <w:sz w:val="21"/>
                <w:szCs w:val="21"/>
              </w:rPr>
              <w:t>8</w:t>
            </w:r>
            <w:r w:rsidRPr="008A2411">
              <w:rPr>
                <w:rFonts w:ascii="Times New Roman"/>
                <w:color w:val="000000" w:themeColor="text1"/>
                <w:sz w:val="21"/>
                <w:szCs w:val="21"/>
              </w:rPr>
              <w:t>人</w:t>
            </w:r>
          </w:p>
        </w:tc>
        <w:tc>
          <w:tcPr>
            <w:tcW w:w="1249" w:type="pct"/>
            <w:vMerge/>
            <w:vAlign w:val="center"/>
          </w:tcPr>
          <w:p w14:paraId="2D086F3F" w14:textId="77777777" w:rsidR="00B0005F" w:rsidRPr="008A2411" w:rsidRDefault="00B0005F">
            <w:pPr>
              <w:jc w:val="center"/>
              <w:rPr>
                <w:rFonts w:ascii="Times New Roman"/>
                <w:color w:val="000000" w:themeColor="text1"/>
                <w:sz w:val="21"/>
                <w:szCs w:val="21"/>
              </w:rPr>
            </w:pPr>
          </w:p>
        </w:tc>
      </w:tr>
      <w:tr w:rsidR="008A2411" w:rsidRPr="008A2411" w14:paraId="5017346A" w14:textId="77777777">
        <w:trPr>
          <w:jc w:val="center"/>
        </w:trPr>
        <w:tc>
          <w:tcPr>
            <w:tcW w:w="274" w:type="pct"/>
            <w:vMerge/>
            <w:textDirection w:val="tbRl"/>
            <w:vAlign w:val="center"/>
          </w:tcPr>
          <w:p w14:paraId="279EDC71" w14:textId="77777777" w:rsidR="00B0005F" w:rsidRPr="008A2411" w:rsidRDefault="00B0005F">
            <w:pPr>
              <w:jc w:val="center"/>
              <w:rPr>
                <w:rFonts w:ascii="Times New Roman"/>
                <w:bCs/>
                <w:color w:val="000000" w:themeColor="text1"/>
                <w:sz w:val="21"/>
                <w:szCs w:val="21"/>
              </w:rPr>
            </w:pPr>
          </w:p>
        </w:tc>
        <w:tc>
          <w:tcPr>
            <w:tcW w:w="221" w:type="pct"/>
            <w:vAlign w:val="center"/>
          </w:tcPr>
          <w:p w14:paraId="147BADC6"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5</w:t>
            </w:r>
          </w:p>
        </w:tc>
        <w:tc>
          <w:tcPr>
            <w:tcW w:w="797" w:type="pct"/>
            <w:vAlign w:val="center"/>
          </w:tcPr>
          <w:p w14:paraId="67C64CC9"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杏树村陶家</w:t>
            </w:r>
            <w:proofErr w:type="gramStart"/>
            <w:r w:rsidRPr="008A2411">
              <w:rPr>
                <w:rFonts w:ascii="Times New Roman"/>
                <w:color w:val="000000" w:themeColor="text1"/>
                <w:sz w:val="21"/>
                <w:szCs w:val="21"/>
              </w:rPr>
              <w:t>沟居民</w:t>
            </w:r>
            <w:proofErr w:type="gramEnd"/>
          </w:p>
        </w:tc>
        <w:tc>
          <w:tcPr>
            <w:tcW w:w="556" w:type="pct"/>
            <w:vAlign w:val="center"/>
          </w:tcPr>
          <w:p w14:paraId="3D7C9C47"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北</w:t>
            </w:r>
          </w:p>
        </w:tc>
        <w:tc>
          <w:tcPr>
            <w:tcW w:w="575" w:type="pct"/>
            <w:vAlign w:val="center"/>
          </w:tcPr>
          <w:p w14:paraId="708420CA"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944~1100</w:t>
            </w:r>
          </w:p>
        </w:tc>
        <w:tc>
          <w:tcPr>
            <w:tcW w:w="554" w:type="pct"/>
            <w:vAlign w:val="center"/>
          </w:tcPr>
          <w:p w14:paraId="17EACCC9"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居住区</w:t>
            </w:r>
          </w:p>
        </w:tc>
        <w:tc>
          <w:tcPr>
            <w:tcW w:w="772" w:type="pct"/>
            <w:vAlign w:val="center"/>
          </w:tcPr>
          <w:p w14:paraId="25BF07F9"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5</w:t>
            </w:r>
            <w:r w:rsidRPr="008A2411">
              <w:rPr>
                <w:rFonts w:ascii="Times New Roman"/>
                <w:color w:val="000000" w:themeColor="text1"/>
                <w:sz w:val="21"/>
                <w:szCs w:val="21"/>
              </w:rPr>
              <w:t>户</w:t>
            </w:r>
            <w:r w:rsidRPr="008A2411">
              <w:rPr>
                <w:rFonts w:ascii="Times New Roman"/>
                <w:color w:val="000000" w:themeColor="text1"/>
                <w:sz w:val="21"/>
                <w:szCs w:val="21"/>
              </w:rPr>
              <w:t>28</w:t>
            </w:r>
            <w:r w:rsidRPr="008A2411">
              <w:rPr>
                <w:rFonts w:ascii="Times New Roman"/>
                <w:color w:val="000000" w:themeColor="text1"/>
                <w:sz w:val="21"/>
                <w:szCs w:val="21"/>
              </w:rPr>
              <w:t>人</w:t>
            </w:r>
          </w:p>
        </w:tc>
        <w:tc>
          <w:tcPr>
            <w:tcW w:w="1249" w:type="pct"/>
            <w:vMerge/>
            <w:vAlign w:val="center"/>
          </w:tcPr>
          <w:p w14:paraId="2CA1A3D7" w14:textId="77777777" w:rsidR="00B0005F" w:rsidRPr="008A2411" w:rsidRDefault="00B0005F">
            <w:pPr>
              <w:jc w:val="center"/>
              <w:rPr>
                <w:rFonts w:ascii="Times New Roman"/>
                <w:color w:val="000000" w:themeColor="text1"/>
                <w:sz w:val="21"/>
                <w:szCs w:val="21"/>
              </w:rPr>
            </w:pPr>
          </w:p>
        </w:tc>
      </w:tr>
      <w:tr w:rsidR="008A2411" w:rsidRPr="008A2411" w14:paraId="75778864" w14:textId="77777777">
        <w:trPr>
          <w:jc w:val="center"/>
        </w:trPr>
        <w:tc>
          <w:tcPr>
            <w:tcW w:w="274" w:type="pct"/>
            <w:vMerge/>
            <w:textDirection w:val="tbRl"/>
            <w:vAlign w:val="center"/>
          </w:tcPr>
          <w:p w14:paraId="2542A106" w14:textId="77777777" w:rsidR="00B0005F" w:rsidRPr="008A2411" w:rsidRDefault="00B0005F">
            <w:pPr>
              <w:jc w:val="center"/>
              <w:rPr>
                <w:rFonts w:ascii="Times New Roman"/>
                <w:bCs/>
                <w:color w:val="000000" w:themeColor="text1"/>
                <w:sz w:val="21"/>
                <w:szCs w:val="21"/>
              </w:rPr>
            </w:pPr>
          </w:p>
        </w:tc>
        <w:tc>
          <w:tcPr>
            <w:tcW w:w="221" w:type="pct"/>
            <w:vAlign w:val="center"/>
          </w:tcPr>
          <w:p w14:paraId="082826D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6</w:t>
            </w:r>
          </w:p>
        </w:tc>
        <w:tc>
          <w:tcPr>
            <w:tcW w:w="797" w:type="pct"/>
            <w:vAlign w:val="center"/>
          </w:tcPr>
          <w:p w14:paraId="0766E0C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杏树村窑厂</w:t>
            </w:r>
            <w:proofErr w:type="gramStart"/>
            <w:r w:rsidRPr="008A2411">
              <w:rPr>
                <w:rFonts w:ascii="Times New Roman"/>
                <w:color w:val="000000" w:themeColor="text1"/>
                <w:sz w:val="21"/>
                <w:szCs w:val="21"/>
              </w:rPr>
              <w:t>梁居民</w:t>
            </w:r>
            <w:proofErr w:type="gramEnd"/>
          </w:p>
        </w:tc>
        <w:tc>
          <w:tcPr>
            <w:tcW w:w="556" w:type="pct"/>
            <w:vAlign w:val="center"/>
          </w:tcPr>
          <w:p w14:paraId="10C9B72B"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西</w:t>
            </w:r>
          </w:p>
        </w:tc>
        <w:tc>
          <w:tcPr>
            <w:tcW w:w="575" w:type="pct"/>
            <w:vAlign w:val="center"/>
          </w:tcPr>
          <w:p w14:paraId="258498AE"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1120~1860</w:t>
            </w:r>
          </w:p>
        </w:tc>
        <w:tc>
          <w:tcPr>
            <w:tcW w:w="554" w:type="pct"/>
            <w:vAlign w:val="center"/>
          </w:tcPr>
          <w:p w14:paraId="6AE21D8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居住区</w:t>
            </w:r>
          </w:p>
        </w:tc>
        <w:tc>
          <w:tcPr>
            <w:tcW w:w="772" w:type="pct"/>
            <w:vAlign w:val="center"/>
          </w:tcPr>
          <w:p w14:paraId="7F94C25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18</w:t>
            </w:r>
            <w:r w:rsidRPr="008A2411">
              <w:rPr>
                <w:rFonts w:ascii="Times New Roman"/>
                <w:color w:val="000000" w:themeColor="text1"/>
                <w:sz w:val="21"/>
                <w:szCs w:val="21"/>
              </w:rPr>
              <w:t>户</w:t>
            </w:r>
            <w:r w:rsidRPr="008A2411">
              <w:rPr>
                <w:rFonts w:ascii="Times New Roman"/>
                <w:color w:val="000000" w:themeColor="text1"/>
                <w:sz w:val="21"/>
                <w:szCs w:val="21"/>
              </w:rPr>
              <w:t>90</w:t>
            </w:r>
            <w:r w:rsidRPr="008A2411">
              <w:rPr>
                <w:rFonts w:ascii="Times New Roman"/>
                <w:color w:val="000000" w:themeColor="text1"/>
                <w:sz w:val="21"/>
                <w:szCs w:val="21"/>
              </w:rPr>
              <w:t>人</w:t>
            </w:r>
          </w:p>
        </w:tc>
        <w:tc>
          <w:tcPr>
            <w:tcW w:w="1249" w:type="pct"/>
            <w:vMerge/>
            <w:vAlign w:val="center"/>
          </w:tcPr>
          <w:p w14:paraId="08EFE02B" w14:textId="77777777" w:rsidR="00B0005F" w:rsidRPr="008A2411" w:rsidRDefault="00B0005F">
            <w:pPr>
              <w:jc w:val="center"/>
              <w:rPr>
                <w:rFonts w:ascii="Times New Roman"/>
                <w:color w:val="000000" w:themeColor="text1"/>
                <w:sz w:val="21"/>
                <w:szCs w:val="21"/>
              </w:rPr>
            </w:pPr>
          </w:p>
        </w:tc>
      </w:tr>
      <w:tr w:rsidR="008A2411" w:rsidRPr="008A2411" w14:paraId="62DB8004" w14:textId="77777777">
        <w:trPr>
          <w:jc w:val="center"/>
        </w:trPr>
        <w:tc>
          <w:tcPr>
            <w:tcW w:w="274" w:type="pct"/>
            <w:vMerge/>
            <w:textDirection w:val="tbRl"/>
            <w:vAlign w:val="center"/>
          </w:tcPr>
          <w:p w14:paraId="05B85C11" w14:textId="77777777" w:rsidR="00B0005F" w:rsidRPr="008A2411" w:rsidRDefault="00B0005F">
            <w:pPr>
              <w:jc w:val="center"/>
              <w:rPr>
                <w:rFonts w:ascii="Times New Roman"/>
                <w:bCs/>
                <w:color w:val="000000" w:themeColor="text1"/>
                <w:sz w:val="21"/>
                <w:szCs w:val="21"/>
              </w:rPr>
            </w:pPr>
          </w:p>
        </w:tc>
        <w:tc>
          <w:tcPr>
            <w:tcW w:w="221" w:type="pct"/>
            <w:vAlign w:val="center"/>
          </w:tcPr>
          <w:p w14:paraId="0CB0B5D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7</w:t>
            </w:r>
          </w:p>
        </w:tc>
        <w:tc>
          <w:tcPr>
            <w:tcW w:w="797" w:type="pct"/>
            <w:vAlign w:val="center"/>
          </w:tcPr>
          <w:p w14:paraId="723CE5C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杏树村居民</w:t>
            </w:r>
          </w:p>
        </w:tc>
        <w:tc>
          <w:tcPr>
            <w:tcW w:w="556" w:type="pct"/>
            <w:vAlign w:val="center"/>
          </w:tcPr>
          <w:p w14:paraId="2546DF21"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西北</w:t>
            </w:r>
          </w:p>
        </w:tc>
        <w:tc>
          <w:tcPr>
            <w:tcW w:w="575" w:type="pct"/>
            <w:vAlign w:val="center"/>
          </w:tcPr>
          <w:p w14:paraId="2AEAA984"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1509~2500</w:t>
            </w:r>
          </w:p>
        </w:tc>
        <w:tc>
          <w:tcPr>
            <w:tcW w:w="554" w:type="pct"/>
            <w:vAlign w:val="center"/>
          </w:tcPr>
          <w:p w14:paraId="0775ED1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居住区</w:t>
            </w:r>
          </w:p>
        </w:tc>
        <w:tc>
          <w:tcPr>
            <w:tcW w:w="772" w:type="pct"/>
            <w:vAlign w:val="center"/>
          </w:tcPr>
          <w:p w14:paraId="521577C7"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27</w:t>
            </w:r>
            <w:r w:rsidRPr="008A2411">
              <w:rPr>
                <w:rFonts w:ascii="Times New Roman"/>
                <w:color w:val="000000" w:themeColor="text1"/>
                <w:sz w:val="21"/>
                <w:szCs w:val="21"/>
              </w:rPr>
              <w:t>户</w:t>
            </w:r>
            <w:r w:rsidRPr="008A2411">
              <w:rPr>
                <w:rFonts w:ascii="Times New Roman"/>
                <w:color w:val="000000" w:themeColor="text1"/>
                <w:sz w:val="21"/>
                <w:szCs w:val="21"/>
              </w:rPr>
              <w:t>113</w:t>
            </w:r>
            <w:r w:rsidRPr="008A2411">
              <w:rPr>
                <w:rFonts w:ascii="Times New Roman"/>
                <w:color w:val="000000" w:themeColor="text1"/>
                <w:sz w:val="21"/>
                <w:szCs w:val="21"/>
              </w:rPr>
              <w:t>人</w:t>
            </w:r>
          </w:p>
        </w:tc>
        <w:tc>
          <w:tcPr>
            <w:tcW w:w="1249" w:type="pct"/>
            <w:vMerge/>
            <w:vAlign w:val="center"/>
          </w:tcPr>
          <w:p w14:paraId="1CA0E0C4" w14:textId="77777777" w:rsidR="00B0005F" w:rsidRPr="008A2411" w:rsidRDefault="00B0005F">
            <w:pPr>
              <w:jc w:val="center"/>
              <w:rPr>
                <w:rFonts w:ascii="Times New Roman"/>
                <w:color w:val="000000" w:themeColor="text1"/>
                <w:sz w:val="21"/>
                <w:szCs w:val="21"/>
              </w:rPr>
            </w:pPr>
          </w:p>
        </w:tc>
      </w:tr>
      <w:tr w:rsidR="008A2411" w:rsidRPr="008A2411" w14:paraId="5FA0286D" w14:textId="77777777">
        <w:trPr>
          <w:jc w:val="center"/>
        </w:trPr>
        <w:tc>
          <w:tcPr>
            <w:tcW w:w="274" w:type="pct"/>
            <w:vMerge/>
            <w:textDirection w:val="tbRl"/>
            <w:vAlign w:val="center"/>
          </w:tcPr>
          <w:p w14:paraId="19CAF7DE" w14:textId="77777777" w:rsidR="00B0005F" w:rsidRPr="008A2411" w:rsidRDefault="00B0005F">
            <w:pPr>
              <w:jc w:val="center"/>
              <w:rPr>
                <w:rFonts w:ascii="Times New Roman"/>
                <w:bCs/>
                <w:color w:val="000000" w:themeColor="text1"/>
                <w:sz w:val="21"/>
                <w:szCs w:val="21"/>
              </w:rPr>
            </w:pPr>
          </w:p>
        </w:tc>
        <w:tc>
          <w:tcPr>
            <w:tcW w:w="221" w:type="pct"/>
            <w:vAlign w:val="center"/>
          </w:tcPr>
          <w:p w14:paraId="1A93AE0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8</w:t>
            </w:r>
          </w:p>
        </w:tc>
        <w:tc>
          <w:tcPr>
            <w:tcW w:w="797" w:type="pct"/>
            <w:vAlign w:val="center"/>
          </w:tcPr>
          <w:p w14:paraId="2E882D1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鲤鱼村居民</w:t>
            </w:r>
          </w:p>
        </w:tc>
        <w:tc>
          <w:tcPr>
            <w:tcW w:w="556" w:type="pct"/>
            <w:vAlign w:val="center"/>
          </w:tcPr>
          <w:p w14:paraId="3936B06F"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北</w:t>
            </w:r>
          </w:p>
        </w:tc>
        <w:tc>
          <w:tcPr>
            <w:tcW w:w="575" w:type="pct"/>
            <w:vAlign w:val="center"/>
          </w:tcPr>
          <w:p w14:paraId="021B6D71"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1990~2500</w:t>
            </w:r>
          </w:p>
        </w:tc>
        <w:tc>
          <w:tcPr>
            <w:tcW w:w="554" w:type="pct"/>
            <w:vAlign w:val="center"/>
          </w:tcPr>
          <w:p w14:paraId="714236BA"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居住区</w:t>
            </w:r>
          </w:p>
        </w:tc>
        <w:tc>
          <w:tcPr>
            <w:tcW w:w="772" w:type="pct"/>
            <w:vAlign w:val="center"/>
          </w:tcPr>
          <w:p w14:paraId="143A83F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32</w:t>
            </w:r>
            <w:r w:rsidRPr="008A2411">
              <w:rPr>
                <w:rFonts w:ascii="Times New Roman"/>
                <w:color w:val="000000" w:themeColor="text1"/>
                <w:sz w:val="21"/>
                <w:szCs w:val="21"/>
              </w:rPr>
              <w:t>户</w:t>
            </w:r>
            <w:r w:rsidRPr="008A2411">
              <w:rPr>
                <w:rFonts w:ascii="Times New Roman"/>
                <w:color w:val="000000" w:themeColor="text1"/>
                <w:sz w:val="21"/>
                <w:szCs w:val="21"/>
              </w:rPr>
              <w:t>122</w:t>
            </w:r>
            <w:r w:rsidRPr="008A2411">
              <w:rPr>
                <w:rFonts w:ascii="Times New Roman"/>
                <w:color w:val="000000" w:themeColor="text1"/>
                <w:sz w:val="21"/>
                <w:szCs w:val="21"/>
              </w:rPr>
              <w:t>人</w:t>
            </w:r>
          </w:p>
        </w:tc>
        <w:tc>
          <w:tcPr>
            <w:tcW w:w="1249" w:type="pct"/>
            <w:vMerge/>
            <w:vAlign w:val="center"/>
          </w:tcPr>
          <w:p w14:paraId="23E692F3" w14:textId="77777777" w:rsidR="00B0005F" w:rsidRPr="008A2411" w:rsidRDefault="00B0005F">
            <w:pPr>
              <w:jc w:val="center"/>
              <w:rPr>
                <w:rFonts w:ascii="Times New Roman"/>
                <w:color w:val="000000" w:themeColor="text1"/>
                <w:sz w:val="21"/>
                <w:szCs w:val="21"/>
              </w:rPr>
            </w:pPr>
          </w:p>
        </w:tc>
      </w:tr>
      <w:tr w:rsidR="008A2411" w:rsidRPr="008A2411" w14:paraId="0117C91A" w14:textId="77777777">
        <w:trPr>
          <w:jc w:val="center"/>
        </w:trPr>
        <w:tc>
          <w:tcPr>
            <w:tcW w:w="274" w:type="pct"/>
            <w:vMerge/>
            <w:textDirection w:val="tbRl"/>
            <w:vAlign w:val="center"/>
          </w:tcPr>
          <w:p w14:paraId="1E3BC7A0" w14:textId="77777777" w:rsidR="00B0005F" w:rsidRPr="008A2411" w:rsidRDefault="00B0005F">
            <w:pPr>
              <w:jc w:val="center"/>
              <w:rPr>
                <w:rFonts w:ascii="Times New Roman"/>
                <w:bCs/>
                <w:color w:val="000000" w:themeColor="text1"/>
                <w:sz w:val="21"/>
                <w:szCs w:val="21"/>
              </w:rPr>
            </w:pPr>
          </w:p>
        </w:tc>
        <w:tc>
          <w:tcPr>
            <w:tcW w:w="221" w:type="pct"/>
            <w:vAlign w:val="center"/>
          </w:tcPr>
          <w:p w14:paraId="7665F96C"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9</w:t>
            </w:r>
          </w:p>
        </w:tc>
        <w:tc>
          <w:tcPr>
            <w:tcW w:w="797" w:type="pct"/>
            <w:vAlign w:val="center"/>
          </w:tcPr>
          <w:p w14:paraId="411E9C32"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汤家</w:t>
            </w:r>
            <w:proofErr w:type="gramStart"/>
            <w:r w:rsidRPr="008A2411">
              <w:rPr>
                <w:rFonts w:ascii="Times New Roman"/>
                <w:color w:val="000000" w:themeColor="text1"/>
                <w:sz w:val="21"/>
                <w:szCs w:val="21"/>
              </w:rPr>
              <w:t>沟居民</w:t>
            </w:r>
            <w:proofErr w:type="gramEnd"/>
          </w:p>
        </w:tc>
        <w:tc>
          <w:tcPr>
            <w:tcW w:w="556" w:type="pct"/>
            <w:vAlign w:val="center"/>
          </w:tcPr>
          <w:p w14:paraId="4E5AFCA9"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东北</w:t>
            </w:r>
          </w:p>
        </w:tc>
        <w:tc>
          <w:tcPr>
            <w:tcW w:w="575" w:type="pct"/>
            <w:vAlign w:val="center"/>
          </w:tcPr>
          <w:p w14:paraId="139BB8B6"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1280~1740</w:t>
            </w:r>
          </w:p>
        </w:tc>
        <w:tc>
          <w:tcPr>
            <w:tcW w:w="554" w:type="pct"/>
            <w:vAlign w:val="center"/>
          </w:tcPr>
          <w:p w14:paraId="5809E55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居住区</w:t>
            </w:r>
          </w:p>
        </w:tc>
        <w:tc>
          <w:tcPr>
            <w:tcW w:w="772" w:type="pct"/>
            <w:vAlign w:val="center"/>
          </w:tcPr>
          <w:p w14:paraId="0EB163C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6</w:t>
            </w:r>
            <w:r w:rsidRPr="008A2411">
              <w:rPr>
                <w:rFonts w:ascii="Times New Roman"/>
                <w:color w:val="000000" w:themeColor="text1"/>
                <w:sz w:val="21"/>
                <w:szCs w:val="21"/>
              </w:rPr>
              <w:t>户</w:t>
            </w:r>
            <w:r w:rsidRPr="008A2411">
              <w:rPr>
                <w:rFonts w:ascii="Times New Roman"/>
                <w:color w:val="000000" w:themeColor="text1"/>
                <w:sz w:val="21"/>
                <w:szCs w:val="21"/>
              </w:rPr>
              <w:t>25</w:t>
            </w:r>
            <w:r w:rsidRPr="008A2411">
              <w:rPr>
                <w:rFonts w:ascii="Times New Roman"/>
                <w:color w:val="000000" w:themeColor="text1"/>
                <w:sz w:val="21"/>
                <w:szCs w:val="21"/>
              </w:rPr>
              <w:t>人</w:t>
            </w:r>
          </w:p>
        </w:tc>
        <w:tc>
          <w:tcPr>
            <w:tcW w:w="1249" w:type="pct"/>
            <w:vMerge/>
            <w:vAlign w:val="center"/>
          </w:tcPr>
          <w:p w14:paraId="464C885A" w14:textId="77777777" w:rsidR="00B0005F" w:rsidRPr="008A2411" w:rsidRDefault="00B0005F">
            <w:pPr>
              <w:jc w:val="center"/>
              <w:rPr>
                <w:rFonts w:ascii="Times New Roman"/>
                <w:color w:val="000000" w:themeColor="text1"/>
                <w:sz w:val="21"/>
                <w:szCs w:val="21"/>
              </w:rPr>
            </w:pPr>
          </w:p>
        </w:tc>
      </w:tr>
      <w:tr w:rsidR="008A2411" w:rsidRPr="008A2411" w14:paraId="18B18DA4" w14:textId="77777777">
        <w:trPr>
          <w:jc w:val="center"/>
        </w:trPr>
        <w:tc>
          <w:tcPr>
            <w:tcW w:w="274" w:type="pct"/>
            <w:vMerge/>
            <w:textDirection w:val="tbRl"/>
            <w:vAlign w:val="center"/>
          </w:tcPr>
          <w:p w14:paraId="088AAD36" w14:textId="77777777" w:rsidR="00B0005F" w:rsidRPr="008A2411" w:rsidRDefault="00B0005F">
            <w:pPr>
              <w:jc w:val="center"/>
              <w:rPr>
                <w:rFonts w:ascii="Times New Roman"/>
                <w:bCs/>
                <w:color w:val="000000" w:themeColor="text1"/>
                <w:sz w:val="21"/>
                <w:szCs w:val="21"/>
              </w:rPr>
            </w:pPr>
          </w:p>
        </w:tc>
        <w:tc>
          <w:tcPr>
            <w:tcW w:w="221" w:type="pct"/>
            <w:vAlign w:val="center"/>
          </w:tcPr>
          <w:p w14:paraId="4B239E06"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10</w:t>
            </w:r>
          </w:p>
        </w:tc>
        <w:tc>
          <w:tcPr>
            <w:tcW w:w="797" w:type="pct"/>
            <w:vAlign w:val="center"/>
          </w:tcPr>
          <w:p w14:paraId="3072345E"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陈家</w:t>
            </w:r>
            <w:proofErr w:type="gramStart"/>
            <w:r w:rsidRPr="008A2411">
              <w:rPr>
                <w:rFonts w:ascii="Times New Roman"/>
                <w:color w:val="000000" w:themeColor="text1"/>
                <w:sz w:val="21"/>
                <w:szCs w:val="21"/>
              </w:rPr>
              <w:t>湾居民</w:t>
            </w:r>
            <w:proofErr w:type="gramEnd"/>
          </w:p>
        </w:tc>
        <w:tc>
          <w:tcPr>
            <w:tcW w:w="556" w:type="pct"/>
            <w:vAlign w:val="center"/>
          </w:tcPr>
          <w:p w14:paraId="284FD6C3"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东</w:t>
            </w:r>
          </w:p>
        </w:tc>
        <w:tc>
          <w:tcPr>
            <w:tcW w:w="575" w:type="pct"/>
            <w:vAlign w:val="center"/>
          </w:tcPr>
          <w:p w14:paraId="19EEBDCD"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291~766</w:t>
            </w:r>
          </w:p>
        </w:tc>
        <w:tc>
          <w:tcPr>
            <w:tcW w:w="554" w:type="pct"/>
            <w:vAlign w:val="center"/>
          </w:tcPr>
          <w:p w14:paraId="76F4157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居住区</w:t>
            </w:r>
          </w:p>
        </w:tc>
        <w:tc>
          <w:tcPr>
            <w:tcW w:w="772" w:type="pct"/>
            <w:vAlign w:val="center"/>
          </w:tcPr>
          <w:p w14:paraId="0CE89F0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14</w:t>
            </w:r>
            <w:r w:rsidRPr="008A2411">
              <w:rPr>
                <w:rFonts w:ascii="Times New Roman"/>
                <w:color w:val="000000" w:themeColor="text1"/>
                <w:sz w:val="21"/>
                <w:szCs w:val="21"/>
              </w:rPr>
              <w:t>户</w:t>
            </w:r>
            <w:r w:rsidRPr="008A2411">
              <w:rPr>
                <w:rFonts w:ascii="Times New Roman"/>
                <w:color w:val="000000" w:themeColor="text1"/>
                <w:sz w:val="21"/>
                <w:szCs w:val="21"/>
              </w:rPr>
              <w:t>52</w:t>
            </w:r>
            <w:r w:rsidRPr="008A2411">
              <w:rPr>
                <w:rFonts w:ascii="Times New Roman"/>
                <w:color w:val="000000" w:themeColor="text1"/>
                <w:sz w:val="21"/>
                <w:szCs w:val="21"/>
              </w:rPr>
              <w:t>人</w:t>
            </w:r>
          </w:p>
        </w:tc>
        <w:tc>
          <w:tcPr>
            <w:tcW w:w="1249" w:type="pct"/>
            <w:vMerge/>
            <w:vAlign w:val="center"/>
          </w:tcPr>
          <w:p w14:paraId="532A4BFA" w14:textId="77777777" w:rsidR="00B0005F" w:rsidRPr="008A2411" w:rsidRDefault="00B0005F">
            <w:pPr>
              <w:jc w:val="center"/>
              <w:rPr>
                <w:rFonts w:ascii="Times New Roman"/>
                <w:color w:val="000000" w:themeColor="text1"/>
                <w:sz w:val="21"/>
                <w:szCs w:val="21"/>
              </w:rPr>
            </w:pPr>
          </w:p>
        </w:tc>
      </w:tr>
      <w:tr w:rsidR="008A2411" w:rsidRPr="008A2411" w14:paraId="641BC1AB" w14:textId="77777777">
        <w:trPr>
          <w:jc w:val="center"/>
        </w:trPr>
        <w:tc>
          <w:tcPr>
            <w:tcW w:w="274" w:type="pct"/>
            <w:vMerge/>
            <w:textDirection w:val="tbRl"/>
            <w:vAlign w:val="center"/>
          </w:tcPr>
          <w:p w14:paraId="6E937B8E" w14:textId="77777777" w:rsidR="00B0005F" w:rsidRPr="008A2411" w:rsidRDefault="00B0005F">
            <w:pPr>
              <w:jc w:val="center"/>
              <w:rPr>
                <w:rFonts w:ascii="Times New Roman"/>
                <w:bCs/>
                <w:color w:val="000000" w:themeColor="text1"/>
                <w:sz w:val="21"/>
                <w:szCs w:val="21"/>
              </w:rPr>
            </w:pPr>
          </w:p>
        </w:tc>
        <w:tc>
          <w:tcPr>
            <w:tcW w:w="221" w:type="pct"/>
            <w:vAlign w:val="center"/>
          </w:tcPr>
          <w:p w14:paraId="2AF7F28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11</w:t>
            </w:r>
          </w:p>
        </w:tc>
        <w:tc>
          <w:tcPr>
            <w:tcW w:w="797" w:type="pct"/>
            <w:vAlign w:val="center"/>
          </w:tcPr>
          <w:p w14:paraId="051F9C94"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严家</w:t>
            </w:r>
            <w:proofErr w:type="gramStart"/>
            <w:r w:rsidRPr="008A2411">
              <w:rPr>
                <w:rFonts w:ascii="Times New Roman"/>
                <w:color w:val="000000" w:themeColor="text1"/>
                <w:sz w:val="21"/>
                <w:szCs w:val="21"/>
              </w:rPr>
              <w:t>坪居民</w:t>
            </w:r>
            <w:proofErr w:type="gramEnd"/>
          </w:p>
        </w:tc>
        <w:tc>
          <w:tcPr>
            <w:tcW w:w="556" w:type="pct"/>
            <w:vAlign w:val="center"/>
          </w:tcPr>
          <w:p w14:paraId="28C69F73"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南</w:t>
            </w:r>
          </w:p>
        </w:tc>
        <w:tc>
          <w:tcPr>
            <w:tcW w:w="575" w:type="pct"/>
            <w:vAlign w:val="center"/>
          </w:tcPr>
          <w:p w14:paraId="66DFD5C4"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253~400</w:t>
            </w:r>
          </w:p>
        </w:tc>
        <w:tc>
          <w:tcPr>
            <w:tcW w:w="554" w:type="pct"/>
            <w:vAlign w:val="center"/>
          </w:tcPr>
          <w:p w14:paraId="3418BBFC"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居住区</w:t>
            </w:r>
          </w:p>
        </w:tc>
        <w:tc>
          <w:tcPr>
            <w:tcW w:w="772" w:type="pct"/>
            <w:vAlign w:val="center"/>
          </w:tcPr>
          <w:p w14:paraId="33F08F1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4</w:t>
            </w:r>
            <w:r w:rsidRPr="008A2411">
              <w:rPr>
                <w:rFonts w:ascii="Times New Roman"/>
                <w:color w:val="000000" w:themeColor="text1"/>
                <w:sz w:val="21"/>
                <w:szCs w:val="21"/>
              </w:rPr>
              <w:t>户</w:t>
            </w:r>
            <w:r w:rsidRPr="008A2411">
              <w:rPr>
                <w:rFonts w:ascii="Times New Roman"/>
                <w:color w:val="000000" w:themeColor="text1"/>
                <w:sz w:val="21"/>
                <w:szCs w:val="21"/>
              </w:rPr>
              <w:t>12</w:t>
            </w:r>
            <w:r w:rsidRPr="008A2411">
              <w:rPr>
                <w:rFonts w:ascii="Times New Roman"/>
                <w:color w:val="000000" w:themeColor="text1"/>
                <w:sz w:val="21"/>
                <w:szCs w:val="21"/>
              </w:rPr>
              <w:t>人</w:t>
            </w:r>
          </w:p>
        </w:tc>
        <w:tc>
          <w:tcPr>
            <w:tcW w:w="1249" w:type="pct"/>
            <w:vMerge/>
            <w:vAlign w:val="center"/>
          </w:tcPr>
          <w:p w14:paraId="2EADFEFB" w14:textId="77777777" w:rsidR="00B0005F" w:rsidRPr="008A2411" w:rsidRDefault="00B0005F">
            <w:pPr>
              <w:jc w:val="center"/>
              <w:rPr>
                <w:rFonts w:ascii="Times New Roman"/>
                <w:color w:val="000000" w:themeColor="text1"/>
                <w:sz w:val="21"/>
                <w:szCs w:val="21"/>
              </w:rPr>
            </w:pPr>
          </w:p>
        </w:tc>
      </w:tr>
      <w:tr w:rsidR="008A2411" w:rsidRPr="008A2411" w14:paraId="5F291FF8" w14:textId="77777777">
        <w:trPr>
          <w:jc w:val="center"/>
        </w:trPr>
        <w:tc>
          <w:tcPr>
            <w:tcW w:w="274" w:type="pct"/>
            <w:vMerge/>
            <w:textDirection w:val="tbRl"/>
            <w:vAlign w:val="center"/>
          </w:tcPr>
          <w:p w14:paraId="17E198D6" w14:textId="77777777" w:rsidR="00B0005F" w:rsidRPr="008A2411" w:rsidRDefault="00B0005F">
            <w:pPr>
              <w:jc w:val="center"/>
              <w:rPr>
                <w:rFonts w:ascii="Times New Roman"/>
                <w:bCs/>
                <w:color w:val="000000" w:themeColor="text1"/>
                <w:sz w:val="21"/>
                <w:szCs w:val="21"/>
              </w:rPr>
            </w:pPr>
          </w:p>
        </w:tc>
        <w:tc>
          <w:tcPr>
            <w:tcW w:w="221" w:type="pct"/>
            <w:vAlign w:val="center"/>
          </w:tcPr>
          <w:p w14:paraId="44B109C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12</w:t>
            </w:r>
          </w:p>
        </w:tc>
        <w:tc>
          <w:tcPr>
            <w:tcW w:w="797" w:type="pct"/>
            <w:vAlign w:val="center"/>
          </w:tcPr>
          <w:p w14:paraId="56D2094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土主镇居民</w:t>
            </w:r>
          </w:p>
        </w:tc>
        <w:tc>
          <w:tcPr>
            <w:tcW w:w="556" w:type="pct"/>
            <w:vAlign w:val="center"/>
          </w:tcPr>
          <w:p w14:paraId="52BB3379"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东南</w:t>
            </w:r>
          </w:p>
        </w:tc>
        <w:tc>
          <w:tcPr>
            <w:tcW w:w="575" w:type="pct"/>
            <w:vAlign w:val="center"/>
          </w:tcPr>
          <w:p w14:paraId="72B28FC2"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909~2500</w:t>
            </w:r>
          </w:p>
        </w:tc>
        <w:tc>
          <w:tcPr>
            <w:tcW w:w="554" w:type="pct"/>
            <w:vAlign w:val="center"/>
          </w:tcPr>
          <w:p w14:paraId="4741E76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居住区</w:t>
            </w:r>
          </w:p>
        </w:tc>
        <w:tc>
          <w:tcPr>
            <w:tcW w:w="772" w:type="pct"/>
            <w:vAlign w:val="center"/>
          </w:tcPr>
          <w:p w14:paraId="46576A35"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约</w:t>
            </w:r>
            <w:r w:rsidRPr="008A2411">
              <w:rPr>
                <w:rFonts w:ascii="Times New Roman"/>
                <w:color w:val="000000" w:themeColor="text1"/>
                <w:sz w:val="21"/>
                <w:szCs w:val="21"/>
              </w:rPr>
              <w:t>400</w:t>
            </w:r>
            <w:r w:rsidRPr="008A2411">
              <w:rPr>
                <w:rFonts w:ascii="Times New Roman"/>
                <w:color w:val="000000" w:themeColor="text1"/>
                <w:sz w:val="21"/>
                <w:szCs w:val="21"/>
              </w:rPr>
              <w:t>户，</w:t>
            </w:r>
            <w:r w:rsidRPr="008A2411">
              <w:rPr>
                <w:rFonts w:ascii="Times New Roman"/>
                <w:color w:val="000000" w:themeColor="text1"/>
                <w:sz w:val="21"/>
                <w:szCs w:val="21"/>
              </w:rPr>
              <w:t>8000</w:t>
            </w:r>
            <w:r w:rsidRPr="008A2411">
              <w:rPr>
                <w:rFonts w:ascii="Times New Roman"/>
                <w:color w:val="000000" w:themeColor="text1"/>
                <w:sz w:val="21"/>
                <w:szCs w:val="21"/>
              </w:rPr>
              <w:t>人</w:t>
            </w:r>
          </w:p>
        </w:tc>
        <w:tc>
          <w:tcPr>
            <w:tcW w:w="1249" w:type="pct"/>
            <w:vMerge/>
            <w:vAlign w:val="center"/>
          </w:tcPr>
          <w:p w14:paraId="22923C89" w14:textId="77777777" w:rsidR="00B0005F" w:rsidRPr="008A2411" w:rsidRDefault="00B0005F">
            <w:pPr>
              <w:jc w:val="center"/>
              <w:rPr>
                <w:rFonts w:ascii="Times New Roman"/>
                <w:color w:val="000000" w:themeColor="text1"/>
                <w:sz w:val="21"/>
                <w:szCs w:val="21"/>
              </w:rPr>
            </w:pPr>
          </w:p>
        </w:tc>
      </w:tr>
      <w:tr w:rsidR="008A2411" w:rsidRPr="008A2411" w14:paraId="07629291" w14:textId="77777777">
        <w:trPr>
          <w:jc w:val="center"/>
        </w:trPr>
        <w:tc>
          <w:tcPr>
            <w:tcW w:w="274" w:type="pct"/>
            <w:vMerge/>
            <w:textDirection w:val="tbRl"/>
            <w:vAlign w:val="center"/>
          </w:tcPr>
          <w:p w14:paraId="47BC62E2" w14:textId="77777777" w:rsidR="00B0005F" w:rsidRPr="008A2411" w:rsidRDefault="00B0005F">
            <w:pPr>
              <w:jc w:val="center"/>
              <w:rPr>
                <w:rFonts w:ascii="Times New Roman"/>
                <w:bCs/>
                <w:color w:val="000000" w:themeColor="text1"/>
                <w:sz w:val="21"/>
                <w:szCs w:val="21"/>
              </w:rPr>
            </w:pPr>
          </w:p>
        </w:tc>
        <w:tc>
          <w:tcPr>
            <w:tcW w:w="221" w:type="pct"/>
            <w:vAlign w:val="center"/>
          </w:tcPr>
          <w:p w14:paraId="212A404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13</w:t>
            </w:r>
          </w:p>
        </w:tc>
        <w:tc>
          <w:tcPr>
            <w:tcW w:w="797" w:type="pct"/>
            <w:vAlign w:val="center"/>
          </w:tcPr>
          <w:p w14:paraId="6CEFFABE"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双树村居民</w:t>
            </w:r>
          </w:p>
        </w:tc>
        <w:tc>
          <w:tcPr>
            <w:tcW w:w="556" w:type="pct"/>
            <w:vAlign w:val="center"/>
          </w:tcPr>
          <w:p w14:paraId="4D7331E6"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西南</w:t>
            </w:r>
          </w:p>
        </w:tc>
        <w:tc>
          <w:tcPr>
            <w:tcW w:w="575" w:type="pct"/>
            <w:vAlign w:val="center"/>
          </w:tcPr>
          <w:p w14:paraId="574E2D87"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401~600</w:t>
            </w:r>
          </w:p>
        </w:tc>
        <w:tc>
          <w:tcPr>
            <w:tcW w:w="554" w:type="pct"/>
            <w:vAlign w:val="center"/>
          </w:tcPr>
          <w:p w14:paraId="6D35803D"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居住区</w:t>
            </w:r>
          </w:p>
        </w:tc>
        <w:tc>
          <w:tcPr>
            <w:tcW w:w="772" w:type="pct"/>
            <w:vAlign w:val="center"/>
          </w:tcPr>
          <w:p w14:paraId="38858917"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w:t>
            </w:r>
            <w:r w:rsidRPr="008A2411">
              <w:rPr>
                <w:rFonts w:ascii="Times New Roman"/>
                <w:color w:val="000000" w:themeColor="text1"/>
                <w:sz w:val="21"/>
                <w:szCs w:val="21"/>
              </w:rPr>
              <w:t>户</w:t>
            </w:r>
            <w:r w:rsidRPr="008A2411">
              <w:rPr>
                <w:rFonts w:ascii="Times New Roman"/>
                <w:color w:val="000000" w:themeColor="text1"/>
                <w:sz w:val="21"/>
                <w:szCs w:val="21"/>
              </w:rPr>
              <w:t>8</w:t>
            </w:r>
            <w:r w:rsidRPr="008A2411">
              <w:rPr>
                <w:rFonts w:ascii="Times New Roman"/>
                <w:color w:val="000000" w:themeColor="text1"/>
                <w:sz w:val="21"/>
                <w:szCs w:val="21"/>
              </w:rPr>
              <w:t>人</w:t>
            </w:r>
          </w:p>
        </w:tc>
        <w:tc>
          <w:tcPr>
            <w:tcW w:w="1249" w:type="pct"/>
            <w:vMerge/>
            <w:vAlign w:val="center"/>
          </w:tcPr>
          <w:p w14:paraId="75E9049B" w14:textId="77777777" w:rsidR="00B0005F" w:rsidRPr="008A2411" w:rsidRDefault="00B0005F">
            <w:pPr>
              <w:jc w:val="center"/>
              <w:rPr>
                <w:rFonts w:ascii="Times New Roman"/>
                <w:color w:val="000000" w:themeColor="text1"/>
                <w:sz w:val="21"/>
                <w:szCs w:val="21"/>
              </w:rPr>
            </w:pPr>
          </w:p>
        </w:tc>
      </w:tr>
      <w:tr w:rsidR="008A2411" w:rsidRPr="008A2411" w14:paraId="556EB137" w14:textId="77777777">
        <w:trPr>
          <w:jc w:val="center"/>
        </w:trPr>
        <w:tc>
          <w:tcPr>
            <w:tcW w:w="274" w:type="pct"/>
            <w:vMerge/>
            <w:textDirection w:val="tbRl"/>
            <w:vAlign w:val="center"/>
          </w:tcPr>
          <w:p w14:paraId="6B9D79A6" w14:textId="77777777" w:rsidR="00B0005F" w:rsidRPr="008A2411" w:rsidRDefault="00B0005F">
            <w:pPr>
              <w:jc w:val="center"/>
              <w:rPr>
                <w:rFonts w:ascii="Times New Roman"/>
                <w:bCs/>
                <w:color w:val="000000" w:themeColor="text1"/>
                <w:sz w:val="21"/>
                <w:szCs w:val="21"/>
              </w:rPr>
            </w:pPr>
          </w:p>
        </w:tc>
        <w:tc>
          <w:tcPr>
            <w:tcW w:w="221" w:type="pct"/>
            <w:vAlign w:val="center"/>
          </w:tcPr>
          <w:p w14:paraId="1350BF4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14</w:t>
            </w:r>
          </w:p>
        </w:tc>
        <w:tc>
          <w:tcPr>
            <w:tcW w:w="797" w:type="pct"/>
            <w:vAlign w:val="center"/>
          </w:tcPr>
          <w:p w14:paraId="1BC5F47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双树村居民</w:t>
            </w:r>
          </w:p>
        </w:tc>
        <w:tc>
          <w:tcPr>
            <w:tcW w:w="556" w:type="pct"/>
            <w:vAlign w:val="center"/>
          </w:tcPr>
          <w:p w14:paraId="14401029"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西南</w:t>
            </w:r>
          </w:p>
        </w:tc>
        <w:tc>
          <w:tcPr>
            <w:tcW w:w="575" w:type="pct"/>
            <w:vAlign w:val="center"/>
          </w:tcPr>
          <w:p w14:paraId="78B8BEB2"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1256~2500</w:t>
            </w:r>
          </w:p>
        </w:tc>
        <w:tc>
          <w:tcPr>
            <w:tcW w:w="554" w:type="pct"/>
            <w:vAlign w:val="center"/>
          </w:tcPr>
          <w:p w14:paraId="6278AFA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居住区</w:t>
            </w:r>
          </w:p>
        </w:tc>
        <w:tc>
          <w:tcPr>
            <w:tcW w:w="772" w:type="pct"/>
            <w:vAlign w:val="center"/>
          </w:tcPr>
          <w:p w14:paraId="4AF725E2"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90</w:t>
            </w:r>
            <w:r w:rsidRPr="008A2411">
              <w:rPr>
                <w:rFonts w:ascii="Times New Roman"/>
                <w:color w:val="000000" w:themeColor="text1"/>
                <w:sz w:val="21"/>
                <w:szCs w:val="21"/>
              </w:rPr>
              <w:t>户</w:t>
            </w:r>
            <w:r w:rsidRPr="008A2411">
              <w:rPr>
                <w:rFonts w:ascii="Times New Roman"/>
                <w:color w:val="000000" w:themeColor="text1"/>
                <w:sz w:val="21"/>
                <w:szCs w:val="21"/>
              </w:rPr>
              <w:t>350</w:t>
            </w:r>
            <w:r w:rsidRPr="008A2411">
              <w:rPr>
                <w:rFonts w:ascii="Times New Roman"/>
                <w:color w:val="000000" w:themeColor="text1"/>
                <w:sz w:val="21"/>
                <w:szCs w:val="21"/>
              </w:rPr>
              <w:t>人</w:t>
            </w:r>
          </w:p>
        </w:tc>
        <w:tc>
          <w:tcPr>
            <w:tcW w:w="1249" w:type="pct"/>
            <w:vMerge/>
            <w:vAlign w:val="center"/>
          </w:tcPr>
          <w:p w14:paraId="067519E2" w14:textId="77777777" w:rsidR="00B0005F" w:rsidRPr="008A2411" w:rsidRDefault="00B0005F">
            <w:pPr>
              <w:jc w:val="center"/>
              <w:rPr>
                <w:rFonts w:ascii="Times New Roman"/>
                <w:color w:val="000000" w:themeColor="text1"/>
                <w:sz w:val="21"/>
                <w:szCs w:val="21"/>
              </w:rPr>
            </w:pPr>
          </w:p>
        </w:tc>
      </w:tr>
      <w:tr w:rsidR="008A2411" w:rsidRPr="008A2411" w14:paraId="18217C44" w14:textId="77777777">
        <w:trPr>
          <w:jc w:val="center"/>
        </w:trPr>
        <w:tc>
          <w:tcPr>
            <w:tcW w:w="274" w:type="pct"/>
            <w:vMerge/>
            <w:textDirection w:val="tbRl"/>
            <w:vAlign w:val="center"/>
          </w:tcPr>
          <w:p w14:paraId="12917B14" w14:textId="77777777" w:rsidR="00B0005F" w:rsidRPr="008A2411" w:rsidRDefault="00B0005F">
            <w:pPr>
              <w:jc w:val="center"/>
              <w:rPr>
                <w:rFonts w:ascii="Times New Roman"/>
                <w:bCs/>
                <w:color w:val="000000" w:themeColor="text1"/>
                <w:sz w:val="21"/>
                <w:szCs w:val="21"/>
              </w:rPr>
            </w:pPr>
          </w:p>
        </w:tc>
        <w:tc>
          <w:tcPr>
            <w:tcW w:w="221" w:type="pct"/>
            <w:vAlign w:val="center"/>
          </w:tcPr>
          <w:p w14:paraId="722B578C"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15</w:t>
            </w:r>
          </w:p>
        </w:tc>
        <w:tc>
          <w:tcPr>
            <w:tcW w:w="797" w:type="pct"/>
            <w:vAlign w:val="center"/>
          </w:tcPr>
          <w:p w14:paraId="03CA994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双树村居民</w:t>
            </w:r>
          </w:p>
        </w:tc>
        <w:tc>
          <w:tcPr>
            <w:tcW w:w="556" w:type="pct"/>
            <w:vAlign w:val="center"/>
          </w:tcPr>
          <w:p w14:paraId="0E675014"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南</w:t>
            </w:r>
          </w:p>
        </w:tc>
        <w:tc>
          <w:tcPr>
            <w:tcW w:w="575" w:type="pct"/>
            <w:vAlign w:val="center"/>
          </w:tcPr>
          <w:p w14:paraId="2C77B87A"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1478~2500</w:t>
            </w:r>
          </w:p>
        </w:tc>
        <w:tc>
          <w:tcPr>
            <w:tcW w:w="554" w:type="pct"/>
            <w:vAlign w:val="center"/>
          </w:tcPr>
          <w:p w14:paraId="07ECF66B"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居住区</w:t>
            </w:r>
          </w:p>
        </w:tc>
        <w:tc>
          <w:tcPr>
            <w:tcW w:w="772" w:type="pct"/>
            <w:vAlign w:val="center"/>
          </w:tcPr>
          <w:p w14:paraId="28B60F0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25</w:t>
            </w:r>
            <w:r w:rsidRPr="008A2411">
              <w:rPr>
                <w:rFonts w:ascii="Times New Roman"/>
                <w:color w:val="000000" w:themeColor="text1"/>
                <w:sz w:val="21"/>
                <w:szCs w:val="21"/>
              </w:rPr>
              <w:t>户</w:t>
            </w:r>
            <w:r w:rsidRPr="008A2411">
              <w:rPr>
                <w:rFonts w:ascii="Times New Roman"/>
                <w:color w:val="000000" w:themeColor="text1"/>
                <w:sz w:val="21"/>
                <w:szCs w:val="21"/>
              </w:rPr>
              <w:t>90</w:t>
            </w:r>
            <w:r w:rsidRPr="008A2411">
              <w:rPr>
                <w:rFonts w:ascii="Times New Roman"/>
                <w:color w:val="000000" w:themeColor="text1"/>
                <w:sz w:val="21"/>
                <w:szCs w:val="21"/>
              </w:rPr>
              <w:t>人</w:t>
            </w:r>
          </w:p>
        </w:tc>
        <w:tc>
          <w:tcPr>
            <w:tcW w:w="1249" w:type="pct"/>
            <w:vMerge/>
            <w:vAlign w:val="center"/>
          </w:tcPr>
          <w:p w14:paraId="6B6B8D88" w14:textId="77777777" w:rsidR="00B0005F" w:rsidRPr="008A2411" w:rsidRDefault="00B0005F">
            <w:pPr>
              <w:jc w:val="center"/>
              <w:rPr>
                <w:rFonts w:ascii="Times New Roman"/>
                <w:color w:val="000000" w:themeColor="text1"/>
                <w:sz w:val="21"/>
                <w:szCs w:val="21"/>
              </w:rPr>
            </w:pPr>
          </w:p>
        </w:tc>
      </w:tr>
      <w:tr w:rsidR="008A2411" w:rsidRPr="008A2411" w14:paraId="3606C1E7" w14:textId="77777777">
        <w:trPr>
          <w:jc w:val="center"/>
        </w:trPr>
        <w:tc>
          <w:tcPr>
            <w:tcW w:w="274" w:type="pct"/>
            <w:vMerge/>
            <w:textDirection w:val="tbRl"/>
            <w:vAlign w:val="center"/>
          </w:tcPr>
          <w:p w14:paraId="57A8F8DF" w14:textId="77777777" w:rsidR="00B0005F" w:rsidRPr="008A2411" w:rsidRDefault="00B0005F">
            <w:pPr>
              <w:jc w:val="center"/>
              <w:rPr>
                <w:rFonts w:ascii="Times New Roman"/>
                <w:bCs/>
                <w:color w:val="000000" w:themeColor="text1"/>
                <w:sz w:val="21"/>
                <w:szCs w:val="21"/>
              </w:rPr>
            </w:pPr>
          </w:p>
        </w:tc>
        <w:tc>
          <w:tcPr>
            <w:tcW w:w="221" w:type="pct"/>
            <w:vAlign w:val="center"/>
          </w:tcPr>
          <w:p w14:paraId="0860576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16</w:t>
            </w:r>
          </w:p>
        </w:tc>
        <w:tc>
          <w:tcPr>
            <w:tcW w:w="797" w:type="pct"/>
            <w:vAlign w:val="center"/>
          </w:tcPr>
          <w:p w14:paraId="7305124E"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双树村居民</w:t>
            </w:r>
          </w:p>
        </w:tc>
        <w:tc>
          <w:tcPr>
            <w:tcW w:w="556" w:type="pct"/>
            <w:vAlign w:val="center"/>
          </w:tcPr>
          <w:p w14:paraId="249C3405"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西北</w:t>
            </w:r>
          </w:p>
        </w:tc>
        <w:tc>
          <w:tcPr>
            <w:tcW w:w="575" w:type="pct"/>
            <w:vAlign w:val="center"/>
          </w:tcPr>
          <w:p w14:paraId="17847D0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699~750</w:t>
            </w:r>
          </w:p>
        </w:tc>
        <w:tc>
          <w:tcPr>
            <w:tcW w:w="554" w:type="pct"/>
            <w:vAlign w:val="center"/>
          </w:tcPr>
          <w:p w14:paraId="50BE68BD"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居住区</w:t>
            </w:r>
          </w:p>
        </w:tc>
        <w:tc>
          <w:tcPr>
            <w:tcW w:w="772" w:type="pct"/>
            <w:vAlign w:val="center"/>
          </w:tcPr>
          <w:p w14:paraId="33C4EEA8"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3</w:t>
            </w:r>
            <w:r w:rsidRPr="008A2411">
              <w:rPr>
                <w:rFonts w:ascii="Times New Roman"/>
                <w:color w:val="000000" w:themeColor="text1"/>
                <w:sz w:val="21"/>
                <w:szCs w:val="21"/>
              </w:rPr>
              <w:t>户</w:t>
            </w:r>
            <w:r w:rsidRPr="008A2411">
              <w:rPr>
                <w:rFonts w:ascii="Times New Roman"/>
                <w:color w:val="000000" w:themeColor="text1"/>
                <w:sz w:val="21"/>
                <w:szCs w:val="21"/>
              </w:rPr>
              <w:t>12</w:t>
            </w:r>
            <w:r w:rsidRPr="008A2411">
              <w:rPr>
                <w:rFonts w:ascii="Times New Roman"/>
                <w:color w:val="000000" w:themeColor="text1"/>
                <w:sz w:val="21"/>
                <w:szCs w:val="21"/>
              </w:rPr>
              <w:t>人</w:t>
            </w:r>
          </w:p>
        </w:tc>
        <w:tc>
          <w:tcPr>
            <w:tcW w:w="1249" w:type="pct"/>
            <w:vMerge/>
            <w:vAlign w:val="center"/>
          </w:tcPr>
          <w:p w14:paraId="25046E43" w14:textId="77777777" w:rsidR="00B0005F" w:rsidRPr="008A2411" w:rsidRDefault="00B0005F">
            <w:pPr>
              <w:jc w:val="center"/>
              <w:rPr>
                <w:rFonts w:ascii="Times New Roman"/>
                <w:color w:val="000000" w:themeColor="text1"/>
                <w:sz w:val="21"/>
                <w:szCs w:val="21"/>
              </w:rPr>
            </w:pPr>
          </w:p>
        </w:tc>
      </w:tr>
      <w:tr w:rsidR="008A2411" w:rsidRPr="008A2411" w14:paraId="7F4D631A" w14:textId="77777777">
        <w:trPr>
          <w:jc w:val="center"/>
        </w:trPr>
        <w:tc>
          <w:tcPr>
            <w:tcW w:w="274" w:type="pct"/>
            <w:vMerge/>
            <w:textDirection w:val="tbRl"/>
            <w:vAlign w:val="center"/>
          </w:tcPr>
          <w:p w14:paraId="3C499249" w14:textId="77777777" w:rsidR="00B0005F" w:rsidRPr="008A2411" w:rsidRDefault="00B0005F">
            <w:pPr>
              <w:jc w:val="center"/>
              <w:rPr>
                <w:rFonts w:ascii="Times New Roman"/>
                <w:bCs/>
                <w:color w:val="000000" w:themeColor="text1"/>
                <w:sz w:val="21"/>
                <w:szCs w:val="21"/>
              </w:rPr>
            </w:pPr>
          </w:p>
        </w:tc>
        <w:tc>
          <w:tcPr>
            <w:tcW w:w="221" w:type="pct"/>
            <w:vAlign w:val="center"/>
          </w:tcPr>
          <w:p w14:paraId="6D7DCC6A"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17</w:t>
            </w:r>
          </w:p>
        </w:tc>
        <w:tc>
          <w:tcPr>
            <w:tcW w:w="797" w:type="pct"/>
            <w:vAlign w:val="center"/>
          </w:tcPr>
          <w:p w14:paraId="0E17ECCE"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胡家</w:t>
            </w:r>
            <w:proofErr w:type="gramStart"/>
            <w:r w:rsidRPr="008A2411">
              <w:rPr>
                <w:rFonts w:ascii="Times New Roman"/>
                <w:color w:val="000000" w:themeColor="text1"/>
                <w:sz w:val="21"/>
                <w:szCs w:val="21"/>
              </w:rPr>
              <w:t>镇滑山存</w:t>
            </w:r>
            <w:proofErr w:type="gramEnd"/>
          </w:p>
        </w:tc>
        <w:tc>
          <w:tcPr>
            <w:tcW w:w="556" w:type="pct"/>
            <w:vAlign w:val="center"/>
          </w:tcPr>
          <w:p w14:paraId="46E45CB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西北侧</w:t>
            </w:r>
          </w:p>
        </w:tc>
        <w:tc>
          <w:tcPr>
            <w:tcW w:w="575" w:type="pct"/>
            <w:vAlign w:val="center"/>
          </w:tcPr>
          <w:p w14:paraId="41C50BE7"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4180~5000</w:t>
            </w:r>
          </w:p>
        </w:tc>
        <w:tc>
          <w:tcPr>
            <w:tcW w:w="554" w:type="pct"/>
            <w:vAlign w:val="center"/>
          </w:tcPr>
          <w:p w14:paraId="3F6684B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居住区</w:t>
            </w:r>
          </w:p>
        </w:tc>
        <w:tc>
          <w:tcPr>
            <w:tcW w:w="772" w:type="pct"/>
            <w:vAlign w:val="center"/>
          </w:tcPr>
          <w:p w14:paraId="5AFD6A1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210</w:t>
            </w:r>
            <w:r w:rsidRPr="008A2411">
              <w:rPr>
                <w:rFonts w:ascii="Times New Roman"/>
                <w:bCs/>
                <w:color w:val="000000" w:themeColor="text1"/>
                <w:sz w:val="21"/>
                <w:szCs w:val="21"/>
              </w:rPr>
              <w:t>户</w:t>
            </w:r>
            <w:r w:rsidRPr="008A2411">
              <w:rPr>
                <w:rFonts w:ascii="Times New Roman"/>
                <w:bCs/>
                <w:color w:val="000000" w:themeColor="text1"/>
                <w:sz w:val="21"/>
                <w:szCs w:val="21"/>
              </w:rPr>
              <w:t>860</w:t>
            </w:r>
            <w:r w:rsidRPr="008A2411">
              <w:rPr>
                <w:rFonts w:ascii="Times New Roman"/>
                <w:bCs/>
                <w:color w:val="000000" w:themeColor="text1"/>
                <w:sz w:val="21"/>
                <w:szCs w:val="21"/>
              </w:rPr>
              <w:t>人</w:t>
            </w:r>
          </w:p>
        </w:tc>
        <w:tc>
          <w:tcPr>
            <w:tcW w:w="1249" w:type="pct"/>
            <w:vMerge/>
            <w:vAlign w:val="center"/>
          </w:tcPr>
          <w:p w14:paraId="46DBF4DB" w14:textId="77777777" w:rsidR="00B0005F" w:rsidRPr="008A2411" w:rsidRDefault="00B0005F">
            <w:pPr>
              <w:jc w:val="center"/>
              <w:rPr>
                <w:rFonts w:ascii="Times New Roman"/>
                <w:color w:val="000000" w:themeColor="text1"/>
                <w:sz w:val="21"/>
                <w:szCs w:val="21"/>
              </w:rPr>
            </w:pPr>
          </w:p>
        </w:tc>
      </w:tr>
      <w:tr w:rsidR="008A2411" w:rsidRPr="008A2411" w14:paraId="0BC36771" w14:textId="77777777">
        <w:trPr>
          <w:jc w:val="center"/>
        </w:trPr>
        <w:tc>
          <w:tcPr>
            <w:tcW w:w="274" w:type="pct"/>
            <w:vMerge/>
            <w:textDirection w:val="tbRl"/>
            <w:vAlign w:val="center"/>
          </w:tcPr>
          <w:p w14:paraId="56DFCBB6" w14:textId="77777777" w:rsidR="00B0005F" w:rsidRPr="008A2411" w:rsidRDefault="00B0005F">
            <w:pPr>
              <w:jc w:val="center"/>
              <w:rPr>
                <w:rFonts w:ascii="Times New Roman"/>
                <w:bCs/>
                <w:color w:val="000000" w:themeColor="text1"/>
                <w:sz w:val="21"/>
                <w:szCs w:val="21"/>
              </w:rPr>
            </w:pPr>
          </w:p>
        </w:tc>
        <w:tc>
          <w:tcPr>
            <w:tcW w:w="221" w:type="pct"/>
            <w:vAlign w:val="center"/>
          </w:tcPr>
          <w:p w14:paraId="6296FB47"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18</w:t>
            </w:r>
          </w:p>
        </w:tc>
        <w:tc>
          <w:tcPr>
            <w:tcW w:w="797" w:type="pct"/>
            <w:vAlign w:val="center"/>
          </w:tcPr>
          <w:p w14:paraId="5532BDC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双河镇双树村</w:t>
            </w:r>
          </w:p>
        </w:tc>
        <w:tc>
          <w:tcPr>
            <w:tcW w:w="556" w:type="pct"/>
            <w:vAlign w:val="center"/>
          </w:tcPr>
          <w:p w14:paraId="16A7D6E9"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西侧</w:t>
            </w:r>
          </w:p>
        </w:tc>
        <w:tc>
          <w:tcPr>
            <w:tcW w:w="575" w:type="pct"/>
            <w:vAlign w:val="center"/>
          </w:tcPr>
          <w:p w14:paraId="3FEC6B08"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2500~5000</w:t>
            </w:r>
          </w:p>
        </w:tc>
        <w:tc>
          <w:tcPr>
            <w:tcW w:w="554" w:type="pct"/>
            <w:vAlign w:val="center"/>
          </w:tcPr>
          <w:p w14:paraId="6BD2E93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居住区</w:t>
            </w:r>
          </w:p>
        </w:tc>
        <w:tc>
          <w:tcPr>
            <w:tcW w:w="772" w:type="pct"/>
            <w:vAlign w:val="center"/>
          </w:tcPr>
          <w:p w14:paraId="1549147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180</w:t>
            </w:r>
            <w:r w:rsidRPr="008A2411">
              <w:rPr>
                <w:rFonts w:ascii="Times New Roman"/>
                <w:bCs/>
                <w:color w:val="000000" w:themeColor="text1"/>
                <w:sz w:val="21"/>
                <w:szCs w:val="21"/>
              </w:rPr>
              <w:t>户</w:t>
            </w:r>
            <w:r w:rsidRPr="008A2411">
              <w:rPr>
                <w:rFonts w:ascii="Times New Roman"/>
                <w:bCs/>
                <w:color w:val="000000" w:themeColor="text1"/>
                <w:sz w:val="21"/>
                <w:szCs w:val="21"/>
              </w:rPr>
              <w:t>640</w:t>
            </w:r>
            <w:r w:rsidRPr="008A2411">
              <w:rPr>
                <w:rFonts w:ascii="Times New Roman"/>
                <w:bCs/>
                <w:color w:val="000000" w:themeColor="text1"/>
                <w:sz w:val="21"/>
                <w:szCs w:val="21"/>
              </w:rPr>
              <w:t>人</w:t>
            </w:r>
          </w:p>
        </w:tc>
        <w:tc>
          <w:tcPr>
            <w:tcW w:w="1249" w:type="pct"/>
            <w:vMerge/>
            <w:vAlign w:val="center"/>
          </w:tcPr>
          <w:p w14:paraId="2FA2988F" w14:textId="77777777" w:rsidR="00B0005F" w:rsidRPr="008A2411" w:rsidRDefault="00B0005F">
            <w:pPr>
              <w:jc w:val="center"/>
              <w:rPr>
                <w:rFonts w:ascii="Times New Roman"/>
                <w:bCs/>
                <w:color w:val="000000" w:themeColor="text1"/>
                <w:sz w:val="21"/>
                <w:szCs w:val="21"/>
              </w:rPr>
            </w:pPr>
          </w:p>
        </w:tc>
      </w:tr>
      <w:tr w:rsidR="008A2411" w:rsidRPr="008A2411" w14:paraId="499713CD" w14:textId="77777777">
        <w:trPr>
          <w:jc w:val="center"/>
        </w:trPr>
        <w:tc>
          <w:tcPr>
            <w:tcW w:w="274" w:type="pct"/>
            <w:vMerge/>
            <w:textDirection w:val="tbRl"/>
            <w:vAlign w:val="center"/>
          </w:tcPr>
          <w:p w14:paraId="62640415" w14:textId="77777777" w:rsidR="00B0005F" w:rsidRPr="008A2411" w:rsidRDefault="00B0005F">
            <w:pPr>
              <w:jc w:val="center"/>
              <w:rPr>
                <w:rFonts w:ascii="Times New Roman"/>
                <w:bCs/>
                <w:color w:val="000000" w:themeColor="text1"/>
                <w:sz w:val="21"/>
                <w:szCs w:val="21"/>
              </w:rPr>
            </w:pPr>
          </w:p>
        </w:tc>
        <w:tc>
          <w:tcPr>
            <w:tcW w:w="221" w:type="pct"/>
            <w:vAlign w:val="center"/>
          </w:tcPr>
          <w:p w14:paraId="31FD9603"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19</w:t>
            </w:r>
          </w:p>
        </w:tc>
        <w:tc>
          <w:tcPr>
            <w:tcW w:w="797" w:type="pct"/>
            <w:vAlign w:val="center"/>
          </w:tcPr>
          <w:p w14:paraId="6870B8A5" w14:textId="77777777" w:rsidR="00B0005F" w:rsidRPr="008A2411" w:rsidRDefault="00000000">
            <w:pPr>
              <w:jc w:val="center"/>
              <w:rPr>
                <w:rFonts w:ascii="Times New Roman"/>
                <w:color w:val="000000" w:themeColor="text1"/>
                <w:sz w:val="21"/>
                <w:szCs w:val="21"/>
              </w:rPr>
            </w:pPr>
            <w:proofErr w:type="gramStart"/>
            <w:r w:rsidRPr="008A2411">
              <w:rPr>
                <w:rFonts w:ascii="Times New Roman"/>
                <w:color w:val="000000" w:themeColor="text1"/>
                <w:sz w:val="21"/>
                <w:szCs w:val="21"/>
              </w:rPr>
              <w:t>柳池乡</w:t>
            </w:r>
            <w:proofErr w:type="gramEnd"/>
            <w:r w:rsidRPr="008A2411">
              <w:rPr>
                <w:rFonts w:ascii="Times New Roman"/>
                <w:color w:val="000000" w:themeColor="text1"/>
                <w:sz w:val="21"/>
                <w:szCs w:val="21"/>
              </w:rPr>
              <w:t>蟠龙村</w:t>
            </w:r>
          </w:p>
        </w:tc>
        <w:tc>
          <w:tcPr>
            <w:tcW w:w="556" w:type="pct"/>
            <w:vAlign w:val="center"/>
          </w:tcPr>
          <w:p w14:paraId="47687DB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南侧</w:t>
            </w:r>
          </w:p>
        </w:tc>
        <w:tc>
          <w:tcPr>
            <w:tcW w:w="575" w:type="pct"/>
            <w:vAlign w:val="center"/>
          </w:tcPr>
          <w:p w14:paraId="0EAAAA6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2500~5000</w:t>
            </w:r>
          </w:p>
        </w:tc>
        <w:tc>
          <w:tcPr>
            <w:tcW w:w="554" w:type="pct"/>
            <w:vAlign w:val="center"/>
          </w:tcPr>
          <w:p w14:paraId="4458B0C6"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居住区</w:t>
            </w:r>
          </w:p>
        </w:tc>
        <w:tc>
          <w:tcPr>
            <w:tcW w:w="772" w:type="pct"/>
            <w:vAlign w:val="center"/>
          </w:tcPr>
          <w:p w14:paraId="198276F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120</w:t>
            </w:r>
            <w:r w:rsidRPr="008A2411">
              <w:rPr>
                <w:rFonts w:ascii="Times New Roman"/>
                <w:bCs/>
                <w:color w:val="000000" w:themeColor="text1"/>
                <w:sz w:val="21"/>
                <w:szCs w:val="21"/>
              </w:rPr>
              <w:t>户</w:t>
            </w:r>
            <w:r w:rsidRPr="008A2411">
              <w:rPr>
                <w:rFonts w:ascii="Times New Roman"/>
                <w:bCs/>
                <w:color w:val="000000" w:themeColor="text1"/>
                <w:sz w:val="21"/>
                <w:szCs w:val="21"/>
              </w:rPr>
              <w:t>420</w:t>
            </w:r>
            <w:r w:rsidRPr="008A2411">
              <w:rPr>
                <w:rFonts w:ascii="Times New Roman"/>
                <w:bCs/>
                <w:color w:val="000000" w:themeColor="text1"/>
                <w:sz w:val="21"/>
                <w:szCs w:val="21"/>
              </w:rPr>
              <w:t>人</w:t>
            </w:r>
          </w:p>
        </w:tc>
        <w:tc>
          <w:tcPr>
            <w:tcW w:w="1249" w:type="pct"/>
            <w:vMerge/>
            <w:vAlign w:val="center"/>
          </w:tcPr>
          <w:p w14:paraId="3D1AD62B" w14:textId="77777777" w:rsidR="00B0005F" w:rsidRPr="008A2411" w:rsidRDefault="00B0005F">
            <w:pPr>
              <w:jc w:val="center"/>
              <w:rPr>
                <w:rFonts w:ascii="Times New Roman"/>
                <w:bCs/>
                <w:color w:val="000000" w:themeColor="text1"/>
                <w:sz w:val="21"/>
                <w:szCs w:val="21"/>
              </w:rPr>
            </w:pPr>
          </w:p>
        </w:tc>
      </w:tr>
      <w:tr w:rsidR="008A2411" w:rsidRPr="008A2411" w14:paraId="7656C2B6" w14:textId="77777777">
        <w:trPr>
          <w:jc w:val="center"/>
        </w:trPr>
        <w:tc>
          <w:tcPr>
            <w:tcW w:w="274" w:type="pct"/>
            <w:vMerge/>
            <w:textDirection w:val="tbRl"/>
            <w:vAlign w:val="center"/>
          </w:tcPr>
          <w:p w14:paraId="43DF73B1" w14:textId="77777777" w:rsidR="00B0005F" w:rsidRPr="008A2411" w:rsidRDefault="00B0005F">
            <w:pPr>
              <w:jc w:val="center"/>
              <w:rPr>
                <w:rFonts w:ascii="Times New Roman"/>
                <w:bCs/>
                <w:color w:val="000000" w:themeColor="text1"/>
                <w:sz w:val="21"/>
                <w:szCs w:val="21"/>
              </w:rPr>
            </w:pPr>
          </w:p>
        </w:tc>
        <w:tc>
          <w:tcPr>
            <w:tcW w:w="221" w:type="pct"/>
            <w:vAlign w:val="center"/>
          </w:tcPr>
          <w:p w14:paraId="6E662D6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20</w:t>
            </w:r>
          </w:p>
        </w:tc>
        <w:tc>
          <w:tcPr>
            <w:tcW w:w="797" w:type="pct"/>
            <w:vAlign w:val="center"/>
          </w:tcPr>
          <w:p w14:paraId="60E9D6E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土主镇河溪村</w:t>
            </w:r>
          </w:p>
        </w:tc>
        <w:tc>
          <w:tcPr>
            <w:tcW w:w="556" w:type="pct"/>
            <w:vAlign w:val="center"/>
          </w:tcPr>
          <w:p w14:paraId="05E59B1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东南</w:t>
            </w:r>
          </w:p>
        </w:tc>
        <w:tc>
          <w:tcPr>
            <w:tcW w:w="575" w:type="pct"/>
            <w:vAlign w:val="center"/>
          </w:tcPr>
          <w:p w14:paraId="547C301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2500~5000</w:t>
            </w:r>
          </w:p>
        </w:tc>
        <w:tc>
          <w:tcPr>
            <w:tcW w:w="554" w:type="pct"/>
            <w:vAlign w:val="center"/>
          </w:tcPr>
          <w:p w14:paraId="3B4D3DD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居住区</w:t>
            </w:r>
          </w:p>
        </w:tc>
        <w:tc>
          <w:tcPr>
            <w:tcW w:w="772" w:type="pct"/>
            <w:vAlign w:val="center"/>
          </w:tcPr>
          <w:p w14:paraId="1D4B35E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160</w:t>
            </w:r>
            <w:r w:rsidRPr="008A2411">
              <w:rPr>
                <w:rFonts w:ascii="Times New Roman"/>
                <w:bCs/>
                <w:color w:val="000000" w:themeColor="text1"/>
                <w:sz w:val="21"/>
                <w:szCs w:val="21"/>
              </w:rPr>
              <w:t>户</w:t>
            </w:r>
            <w:r w:rsidRPr="008A2411">
              <w:rPr>
                <w:rFonts w:ascii="Times New Roman"/>
                <w:bCs/>
                <w:color w:val="000000" w:themeColor="text1"/>
                <w:sz w:val="21"/>
                <w:szCs w:val="21"/>
              </w:rPr>
              <w:t>590</w:t>
            </w:r>
            <w:r w:rsidRPr="008A2411">
              <w:rPr>
                <w:rFonts w:ascii="Times New Roman"/>
                <w:bCs/>
                <w:color w:val="000000" w:themeColor="text1"/>
                <w:sz w:val="21"/>
                <w:szCs w:val="21"/>
              </w:rPr>
              <w:t>人</w:t>
            </w:r>
          </w:p>
        </w:tc>
        <w:tc>
          <w:tcPr>
            <w:tcW w:w="1249" w:type="pct"/>
            <w:vMerge/>
            <w:vAlign w:val="center"/>
          </w:tcPr>
          <w:p w14:paraId="695ED679" w14:textId="77777777" w:rsidR="00B0005F" w:rsidRPr="008A2411" w:rsidRDefault="00B0005F">
            <w:pPr>
              <w:jc w:val="center"/>
              <w:rPr>
                <w:rFonts w:ascii="Times New Roman"/>
                <w:bCs/>
                <w:color w:val="000000" w:themeColor="text1"/>
                <w:sz w:val="21"/>
                <w:szCs w:val="21"/>
              </w:rPr>
            </w:pPr>
          </w:p>
        </w:tc>
      </w:tr>
      <w:tr w:rsidR="008A2411" w:rsidRPr="008A2411" w14:paraId="26DCA6F0" w14:textId="77777777">
        <w:trPr>
          <w:jc w:val="center"/>
        </w:trPr>
        <w:tc>
          <w:tcPr>
            <w:tcW w:w="274" w:type="pct"/>
            <w:vMerge/>
            <w:textDirection w:val="tbRl"/>
            <w:vAlign w:val="center"/>
          </w:tcPr>
          <w:p w14:paraId="7978A963" w14:textId="77777777" w:rsidR="00B0005F" w:rsidRPr="008A2411" w:rsidRDefault="00B0005F">
            <w:pPr>
              <w:jc w:val="center"/>
              <w:rPr>
                <w:rFonts w:ascii="Times New Roman"/>
                <w:bCs/>
                <w:color w:val="000000" w:themeColor="text1"/>
                <w:sz w:val="21"/>
                <w:szCs w:val="21"/>
              </w:rPr>
            </w:pPr>
          </w:p>
        </w:tc>
        <w:tc>
          <w:tcPr>
            <w:tcW w:w="221" w:type="pct"/>
            <w:vAlign w:val="center"/>
          </w:tcPr>
          <w:p w14:paraId="2507431D"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21</w:t>
            </w:r>
          </w:p>
        </w:tc>
        <w:tc>
          <w:tcPr>
            <w:tcW w:w="797" w:type="pct"/>
            <w:vAlign w:val="center"/>
          </w:tcPr>
          <w:p w14:paraId="22A664A9" w14:textId="77777777" w:rsidR="00B0005F" w:rsidRPr="008A2411" w:rsidRDefault="00000000">
            <w:pPr>
              <w:jc w:val="center"/>
              <w:rPr>
                <w:rFonts w:ascii="Times New Roman"/>
                <w:color w:val="000000" w:themeColor="text1"/>
                <w:sz w:val="21"/>
                <w:szCs w:val="21"/>
              </w:rPr>
            </w:pPr>
            <w:proofErr w:type="gramStart"/>
            <w:r w:rsidRPr="008A2411">
              <w:rPr>
                <w:rFonts w:ascii="Times New Roman"/>
                <w:color w:val="000000" w:themeColor="text1"/>
                <w:sz w:val="21"/>
                <w:szCs w:val="21"/>
              </w:rPr>
              <w:t>铜坎社区</w:t>
            </w:r>
            <w:proofErr w:type="gramEnd"/>
          </w:p>
        </w:tc>
        <w:tc>
          <w:tcPr>
            <w:tcW w:w="556" w:type="pct"/>
            <w:vAlign w:val="center"/>
          </w:tcPr>
          <w:p w14:paraId="647078EA"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东侧</w:t>
            </w:r>
          </w:p>
        </w:tc>
        <w:tc>
          <w:tcPr>
            <w:tcW w:w="575" w:type="pct"/>
            <w:vAlign w:val="center"/>
          </w:tcPr>
          <w:p w14:paraId="49DB9AD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2500~5000</w:t>
            </w:r>
          </w:p>
        </w:tc>
        <w:tc>
          <w:tcPr>
            <w:tcW w:w="554" w:type="pct"/>
            <w:vAlign w:val="center"/>
          </w:tcPr>
          <w:p w14:paraId="08CF672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居住区</w:t>
            </w:r>
          </w:p>
        </w:tc>
        <w:tc>
          <w:tcPr>
            <w:tcW w:w="772" w:type="pct"/>
            <w:vAlign w:val="center"/>
          </w:tcPr>
          <w:p w14:paraId="17B3DB4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350</w:t>
            </w:r>
            <w:r w:rsidRPr="008A2411">
              <w:rPr>
                <w:rFonts w:ascii="Times New Roman"/>
                <w:bCs/>
                <w:color w:val="000000" w:themeColor="text1"/>
                <w:sz w:val="21"/>
                <w:szCs w:val="21"/>
              </w:rPr>
              <w:t>户</w:t>
            </w:r>
            <w:r w:rsidRPr="008A2411">
              <w:rPr>
                <w:rFonts w:ascii="Times New Roman"/>
                <w:bCs/>
                <w:color w:val="000000" w:themeColor="text1"/>
                <w:sz w:val="21"/>
                <w:szCs w:val="21"/>
              </w:rPr>
              <w:t>990</w:t>
            </w:r>
            <w:r w:rsidRPr="008A2411">
              <w:rPr>
                <w:rFonts w:ascii="Times New Roman"/>
                <w:bCs/>
                <w:color w:val="000000" w:themeColor="text1"/>
                <w:sz w:val="21"/>
                <w:szCs w:val="21"/>
              </w:rPr>
              <w:t>人</w:t>
            </w:r>
          </w:p>
        </w:tc>
        <w:tc>
          <w:tcPr>
            <w:tcW w:w="1249" w:type="pct"/>
            <w:vMerge/>
            <w:vAlign w:val="center"/>
          </w:tcPr>
          <w:p w14:paraId="69EF92B9" w14:textId="77777777" w:rsidR="00B0005F" w:rsidRPr="008A2411" w:rsidRDefault="00B0005F">
            <w:pPr>
              <w:jc w:val="center"/>
              <w:rPr>
                <w:rFonts w:ascii="Times New Roman"/>
                <w:bCs/>
                <w:color w:val="000000" w:themeColor="text1"/>
                <w:sz w:val="21"/>
                <w:szCs w:val="21"/>
              </w:rPr>
            </w:pPr>
          </w:p>
        </w:tc>
      </w:tr>
      <w:tr w:rsidR="008A2411" w:rsidRPr="008A2411" w14:paraId="1A6A955A" w14:textId="77777777">
        <w:trPr>
          <w:jc w:val="center"/>
        </w:trPr>
        <w:tc>
          <w:tcPr>
            <w:tcW w:w="274" w:type="pct"/>
            <w:vMerge/>
            <w:textDirection w:val="tbRl"/>
            <w:vAlign w:val="center"/>
          </w:tcPr>
          <w:p w14:paraId="79FD15F5" w14:textId="77777777" w:rsidR="00B0005F" w:rsidRPr="008A2411" w:rsidRDefault="00B0005F">
            <w:pPr>
              <w:jc w:val="center"/>
              <w:rPr>
                <w:rFonts w:ascii="Times New Roman"/>
                <w:bCs/>
                <w:color w:val="000000" w:themeColor="text1"/>
                <w:sz w:val="21"/>
                <w:szCs w:val="21"/>
              </w:rPr>
            </w:pPr>
          </w:p>
        </w:tc>
        <w:tc>
          <w:tcPr>
            <w:tcW w:w="221" w:type="pct"/>
            <w:vAlign w:val="center"/>
          </w:tcPr>
          <w:p w14:paraId="7D4050DC"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22</w:t>
            </w:r>
          </w:p>
        </w:tc>
        <w:tc>
          <w:tcPr>
            <w:tcW w:w="797" w:type="pct"/>
            <w:vAlign w:val="center"/>
          </w:tcPr>
          <w:p w14:paraId="276B07AD" w14:textId="77777777" w:rsidR="00B0005F" w:rsidRPr="008A2411" w:rsidRDefault="00000000">
            <w:pPr>
              <w:jc w:val="center"/>
              <w:rPr>
                <w:rFonts w:ascii="Times New Roman"/>
                <w:color w:val="000000" w:themeColor="text1"/>
                <w:sz w:val="21"/>
                <w:szCs w:val="21"/>
              </w:rPr>
            </w:pPr>
            <w:proofErr w:type="gramStart"/>
            <w:r w:rsidRPr="008A2411">
              <w:rPr>
                <w:rFonts w:ascii="Times New Roman"/>
                <w:color w:val="000000" w:themeColor="text1"/>
                <w:sz w:val="21"/>
                <w:szCs w:val="21"/>
              </w:rPr>
              <w:t>跳河村</w:t>
            </w:r>
            <w:proofErr w:type="gramEnd"/>
          </w:p>
        </w:tc>
        <w:tc>
          <w:tcPr>
            <w:tcW w:w="556" w:type="pct"/>
            <w:vAlign w:val="center"/>
          </w:tcPr>
          <w:p w14:paraId="5012462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东北侧</w:t>
            </w:r>
          </w:p>
        </w:tc>
        <w:tc>
          <w:tcPr>
            <w:tcW w:w="575" w:type="pct"/>
            <w:vAlign w:val="center"/>
          </w:tcPr>
          <w:p w14:paraId="6819F286"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2500~5000</w:t>
            </w:r>
          </w:p>
        </w:tc>
        <w:tc>
          <w:tcPr>
            <w:tcW w:w="554" w:type="pct"/>
            <w:vAlign w:val="center"/>
          </w:tcPr>
          <w:p w14:paraId="4679ECE6"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居住区</w:t>
            </w:r>
          </w:p>
        </w:tc>
        <w:tc>
          <w:tcPr>
            <w:tcW w:w="772" w:type="pct"/>
            <w:vAlign w:val="center"/>
          </w:tcPr>
          <w:p w14:paraId="4E8214D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120</w:t>
            </w:r>
            <w:r w:rsidRPr="008A2411">
              <w:rPr>
                <w:rFonts w:ascii="Times New Roman"/>
                <w:bCs/>
                <w:color w:val="000000" w:themeColor="text1"/>
                <w:sz w:val="21"/>
                <w:szCs w:val="21"/>
              </w:rPr>
              <w:t>户</w:t>
            </w:r>
            <w:r w:rsidRPr="008A2411">
              <w:rPr>
                <w:rFonts w:ascii="Times New Roman"/>
                <w:bCs/>
                <w:color w:val="000000" w:themeColor="text1"/>
                <w:sz w:val="21"/>
                <w:szCs w:val="21"/>
              </w:rPr>
              <w:t>420</w:t>
            </w:r>
            <w:r w:rsidRPr="008A2411">
              <w:rPr>
                <w:rFonts w:ascii="Times New Roman"/>
                <w:bCs/>
                <w:color w:val="000000" w:themeColor="text1"/>
                <w:sz w:val="21"/>
                <w:szCs w:val="21"/>
              </w:rPr>
              <w:t>人</w:t>
            </w:r>
          </w:p>
        </w:tc>
        <w:tc>
          <w:tcPr>
            <w:tcW w:w="1249" w:type="pct"/>
            <w:vMerge/>
            <w:vAlign w:val="center"/>
          </w:tcPr>
          <w:p w14:paraId="6F65408F" w14:textId="77777777" w:rsidR="00B0005F" w:rsidRPr="008A2411" w:rsidRDefault="00B0005F">
            <w:pPr>
              <w:jc w:val="center"/>
              <w:rPr>
                <w:rFonts w:ascii="Times New Roman"/>
                <w:bCs/>
                <w:color w:val="000000" w:themeColor="text1"/>
                <w:sz w:val="21"/>
                <w:szCs w:val="21"/>
              </w:rPr>
            </w:pPr>
          </w:p>
        </w:tc>
      </w:tr>
      <w:tr w:rsidR="008A2411" w:rsidRPr="008A2411" w14:paraId="1EBE6744" w14:textId="77777777">
        <w:trPr>
          <w:jc w:val="center"/>
        </w:trPr>
        <w:tc>
          <w:tcPr>
            <w:tcW w:w="274" w:type="pct"/>
            <w:vMerge/>
            <w:textDirection w:val="tbRl"/>
            <w:vAlign w:val="center"/>
          </w:tcPr>
          <w:p w14:paraId="05F06AA7" w14:textId="77777777" w:rsidR="00B0005F" w:rsidRPr="008A2411" w:rsidRDefault="00B0005F">
            <w:pPr>
              <w:jc w:val="center"/>
              <w:rPr>
                <w:rFonts w:ascii="Times New Roman"/>
                <w:bCs/>
                <w:color w:val="000000" w:themeColor="text1"/>
                <w:sz w:val="21"/>
                <w:szCs w:val="21"/>
              </w:rPr>
            </w:pPr>
          </w:p>
        </w:tc>
        <w:tc>
          <w:tcPr>
            <w:tcW w:w="221" w:type="pct"/>
            <w:vAlign w:val="center"/>
          </w:tcPr>
          <w:p w14:paraId="73382AA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23</w:t>
            </w:r>
          </w:p>
        </w:tc>
        <w:tc>
          <w:tcPr>
            <w:tcW w:w="797" w:type="pct"/>
            <w:vAlign w:val="center"/>
          </w:tcPr>
          <w:p w14:paraId="4CCA673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双河镇东风小学</w:t>
            </w:r>
          </w:p>
        </w:tc>
        <w:tc>
          <w:tcPr>
            <w:tcW w:w="556" w:type="pct"/>
            <w:vAlign w:val="center"/>
          </w:tcPr>
          <w:p w14:paraId="0BE7B67B"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西侧</w:t>
            </w:r>
          </w:p>
        </w:tc>
        <w:tc>
          <w:tcPr>
            <w:tcW w:w="575" w:type="pct"/>
            <w:vAlign w:val="center"/>
          </w:tcPr>
          <w:p w14:paraId="535030F3"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3200</w:t>
            </w:r>
          </w:p>
        </w:tc>
        <w:tc>
          <w:tcPr>
            <w:tcW w:w="554" w:type="pct"/>
            <w:vAlign w:val="center"/>
          </w:tcPr>
          <w:p w14:paraId="4672B0D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学校</w:t>
            </w:r>
          </w:p>
        </w:tc>
        <w:tc>
          <w:tcPr>
            <w:tcW w:w="772" w:type="pct"/>
            <w:vAlign w:val="center"/>
          </w:tcPr>
          <w:p w14:paraId="38F63A43"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师生约</w:t>
            </w:r>
            <w:r w:rsidRPr="008A2411">
              <w:rPr>
                <w:rFonts w:ascii="Times New Roman"/>
                <w:bCs/>
                <w:color w:val="000000" w:themeColor="text1"/>
                <w:sz w:val="21"/>
                <w:szCs w:val="21"/>
              </w:rPr>
              <w:t>600</w:t>
            </w:r>
            <w:r w:rsidRPr="008A2411">
              <w:rPr>
                <w:rFonts w:ascii="Times New Roman"/>
                <w:bCs/>
                <w:color w:val="000000" w:themeColor="text1"/>
                <w:sz w:val="21"/>
                <w:szCs w:val="21"/>
              </w:rPr>
              <w:t>人</w:t>
            </w:r>
          </w:p>
        </w:tc>
        <w:tc>
          <w:tcPr>
            <w:tcW w:w="1249" w:type="pct"/>
            <w:vMerge/>
            <w:vAlign w:val="center"/>
          </w:tcPr>
          <w:p w14:paraId="5925EB3D" w14:textId="77777777" w:rsidR="00B0005F" w:rsidRPr="008A2411" w:rsidRDefault="00B0005F">
            <w:pPr>
              <w:jc w:val="center"/>
              <w:rPr>
                <w:rFonts w:ascii="Times New Roman"/>
                <w:bCs/>
                <w:color w:val="000000" w:themeColor="text1"/>
                <w:sz w:val="21"/>
                <w:szCs w:val="21"/>
              </w:rPr>
            </w:pPr>
          </w:p>
        </w:tc>
      </w:tr>
      <w:tr w:rsidR="008A2411" w:rsidRPr="008A2411" w14:paraId="2B367B03" w14:textId="77777777">
        <w:trPr>
          <w:jc w:val="center"/>
        </w:trPr>
        <w:tc>
          <w:tcPr>
            <w:tcW w:w="274" w:type="pct"/>
            <w:vMerge/>
            <w:textDirection w:val="tbRl"/>
            <w:vAlign w:val="center"/>
          </w:tcPr>
          <w:p w14:paraId="098C68F5" w14:textId="77777777" w:rsidR="00B0005F" w:rsidRPr="008A2411" w:rsidRDefault="00B0005F">
            <w:pPr>
              <w:jc w:val="center"/>
              <w:rPr>
                <w:rFonts w:ascii="Times New Roman"/>
                <w:bCs/>
                <w:color w:val="000000" w:themeColor="text1"/>
                <w:sz w:val="21"/>
                <w:szCs w:val="21"/>
              </w:rPr>
            </w:pPr>
          </w:p>
        </w:tc>
        <w:tc>
          <w:tcPr>
            <w:tcW w:w="221" w:type="pct"/>
            <w:vAlign w:val="center"/>
          </w:tcPr>
          <w:p w14:paraId="6AA33CE4"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24</w:t>
            </w:r>
          </w:p>
        </w:tc>
        <w:tc>
          <w:tcPr>
            <w:tcW w:w="797" w:type="pct"/>
            <w:vAlign w:val="center"/>
          </w:tcPr>
          <w:p w14:paraId="1363F862"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土主镇河溪小学</w:t>
            </w:r>
          </w:p>
        </w:tc>
        <w:tc>
          <w:tcPr>
            <w:tcW w:w="556" w:type="pct"/>
            <w:vAlign w:val="center"/>
          </w:tcPr>
          <w:p w14:paraId="7D3C7D3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东南侧</w:t>
            </w:r>
          </w:p>
        </w:tc>
        <w:tc>
          <w:tcPr>
            <w:tcW w:w="575" w:type="pct"/>
            <w:vAlign w:val="center"/>
          </w:tcPr>
          <w:p w14:paraId="149DDC3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3230</w:t>
            </w:r>
          </w:p>
        </w:tc>
        <w:tc>
          <w:tcPr>
            <w:tcW w:w="554" w:type="pct"/>
            <w:vAlign w:val="center"/>
          </w:tcPr>
          <w:p w14:paraId="0714F27C"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学校</w:t>
            </w:r>
          </w:p>
        </w:tc>
        <w:tc>
          <w:tcPr>
            <w:tcW w:w="772" w:type="pct"/>
            <w:vAlign w:val="center"/>
          </w:tcPr>
          <w:p w14:paraId="49A738B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师生约</w:t>
            </w:r>
            <w:r w:rsidRPr="008A2411">
              <w:rPr>
                <w:rFonts w:ascii="Times New Roman"/>
                <w:bCs/>
                <w:color w:val="000000" w:themeColor="text1"/>
                <w:sz w:val="21"/>
                <w:szCs w:val="21"/>
              </w:rPr>
              <w:t>500</w:t>
            </w:r>
            <w:r w:rsidRPr="008A2411">
              <w:rPr>
                <w:rFonts w:ascii="Times New Roman"/>
                <w:bCs/>
                <w:color w:val="000000" w:themeColor="text1"/>
                <w:sz w:val="21"/>
                <w:szCs w:val="21"/>
              </w:rPr>
              <w:t>人</w:t>
            </w:r>
          </w:p>
        </w:tc>
        <w:tc>
          <w:tcPr>
            <w:tcW w:w="1249" w:type="pct"/>
            <w:vMerge/>
            <w:vAlign w:val="center"/>
          </w:tcPr>
          <w:p w14:paraId="2F38A59E" w14:textId="77777777" w:rsidR="00B0005F" w:rsidRPr="008A2411" w:rsidRDefault="00B0005F">
            <w:pPr>
              <w:jc w:val="center"/>
              <w:rPr>
                <w:rFonts w:ascii="Times New Roman"/>
                <w:bCs/>
                <w:color w:val="000000" w:themeColor="text1"/>
                <w:sz w:val="21"/>
                <w:szCs w:val="21"/>
              </w:rPr>
            </w:pPr>
          </w:p>
        </w:tc>
      </w:tr>
      <w:tr w:rsidR="008A2411" w:rsidRPr="008A2411" w14:paraId="3B3ED00D" w14:textId="77777777">
        <w:trPr>
          <w:jc w:val="center"/>
        </w:trPr>
        <w:tc>
          <w:tcPr>
            <w:tcW w:w="274" w:type="pct"/>
            <w:vMerge/>
            <w:textDirection w:val="tbRl"/>
            <w:vAlign w:val="center"/>
          </w:tcPr>
          <w:p w14:paraId="6419E90C" w14:textId="77777777" w:rsidR="00B0005F" w:rsidRPr="008A2411" w:rsidRDefault="00B0005F">
            <w:pPr>
              <w:jc w:val="center"/>
              <w:rPr>
                <w:rFonts w:ascii="Times New Roman"/>
                <w:bCs/>
                <w:color w:val="000000" w:themeColor="text1"/>
                <w:sz w:val="21"/>
                <w:szCs w:val="21"/>
              </w:rPr>
            </w:pPr>
          </w:p>
        </w:tc>
        <w:tc>
          <w:tcPr>
            <w:tcW w:w="221" w:type="pct"/>
            <w:vAlign w:val="center"/>
          </w:tcPr>
          <w:p w14:paraId="510E4BB9"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25</w:t>
            </w:r>
          </w:p>
        </w:tc>
        <w:tc>
          <w:tcPr>
            <w:tcW w:w="797" w:type="pct"/>
            <w:vAlign w:val="center"/>
          </w:tcPr>
          <w:p w14:paraId="2C7BD44C" w14:textId="77777777" w:rsidR="00B0005F" w:rsidRPr="008A2411" w:rsidRDefault="00000000">
            <w:pPr>
              <w:jc w:val="center"/>
              <w:rPr>
                <w:rFonts w:ascii="Times New Roman"/>
                <w:color w:val="000000" w:themeColor="text1"/>
                <w:sz w:val="21"/>
                <w:szCs w:val="21"/>
              </w:rPr>
            </w:pPr>
            <w:proofErr w:type="gramStart"/>
            <w:r w:rsidRPr="008A2411">
              <w:rPr>
                <w:rFonts w:ascii="Times New Roman"/>
                <w:color w:val="000000" w:themeColor="text1"/>
                <w:sz w:val="21"/>
                <w:szCs w:val="21"/>
              </w:rPr>
              <w:t>柳池小学</w:t>
            </w:r>
            <w:proofErr w:type="gramEnd"/>
          </w:p>
        </w:tc>
        <w:tc>
          <w:tcPr>
            <w:tcW w:w="556" w:type="pct"/>
            <w:vAlign w:val="center"/>
          </w:tcPr>
          <w:p w14:paraId="258C2427"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东南侧</w:t>
            </w:r>
          </w:p>
        </w:tc>
        <w:tc>
          <w:tcPr>
            <w:tcW w:w="575" w:type="pct"/>
            <w:vAlign w:val="center"/>
          </w:tcPr>
          <w:p w14:paraId="0C53BD05"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4460</w:t>
            </w:r>
          </w:p>
        </w:tc>
        <w:tc>
          <w:tcPr>
            <w:tcW w:w="554" w:type="pct"/>
            <w:vAlign w:val="center"/>
          </w:tcPr>
          <w:p w14:paraId="03871BEC"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学校</w:t>
            </w:r>
          </w:p>
        </w:tc>
        <w:tc>
          <w:tcPr>
            <w:tcW w:w="772" w:type="pct"/>
            <w:vAlign w:val="center"/>
          </w:tcPr>
          <w:p w14:paraId="7146DB9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师生约</w:t>
            </w:r>
            <w:r w:rsidRPr="008A2411">
              <w:rPr>
                <w:rFonts w:ascii="Times New Roman"/>
                <w:bCs/>
                <w:color w:val="000000" w:themeColor="text1"/>
                <w:sz w:val="21"/>
                <w:szCs w:val="21"/>
              </w:rPr>
              <w:t>500</w:t>
            </w:r>
            <w:r w:rsidRPr="008A2411">
              <w:rPr>
                <w:rFonts w:ascii="Times New Roman"/>
                <w:bCs/>
                <w:color w:val="000000" w:themeColor="text1"/>
                <w:sz w:val="21"/>
                <w:szCs w:val="21"/>
              </w:rPr>
              <w:t>人</w:t>
            </w:r>
          </w:p>
        </w:tc>
        <w:tc>
          <w:tcPr>
            <w:tcW w:w="1249" w:type="pct"/>
            <w:vMerge/>
            <w:vAlign w:val="center"/>
          </w:tcPr>
          <w:p w14:paraId="4662114F" w14:textId="77777777" w:rsidR="00B0005F" w:rsidRPr="008A2411" w:rsidRDefault="00B0005F">
            <w:pPr>
              <w:jc w:val="center"/>
              <w:rPr>
                <w:rFonts w:ascii="Times New Roman"/>
                <w:bCs/>
                <w:color w:val="000000" w:themeColor="text1"/>
                <w:sz w:val="21"/>
                <w:szCs w:val="21"/>
              </w:rPr>
            </w:pPr>
          </w:p>
        </w:tc>
      </w:tr>
      <w:tr w:rsidR="008A2411" w:rsidRPr="008A2411" w14:paraId="1A516BA4" w14:textId="77777777">
        <w:trPr>
          <w:jc w:val="center"/>
        </w:trPr>
        <w:tc>
          <w:tcPr>
            <w:tcW w:w="274" w:type="pct"/>
            <w:vMerge/>
            <w:textDirection w:val="tbRl"/>
            <w:vAlign w:val="center"/>
          </w:tcPr>
          <w:p w14:paraId="73C06015" w14:textId="77777777" w:rsidR="00B0005F" w:rsidRPr="008A2411" w:rsidRDefault="00B0005F">
            <w:pPr>
              <w:jc w:val="center"/>
              <w:rPr>
                <w:rFonts w:ascii="Times New Roman"/>
                <w:bCs/>
                <w:color w:val="000000" w:themeColor="text1"/>
                <w:sz w:val="21"/>
                <w:szCs w:val="21"/>
              </w:rPr>
            </w:pPr>
          </w:p>
        </w:tc>
        <w:tc>
          <w:tcPr>
            <w:tcW w:w="221" w:type="pct"/>
            <w:vAlign w:val="center"/>
          </w:tcPr>
          <w:p w14:paraId="3632EBE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26</w:t>
            </w:r>
          </w:p>
        </w:tc>
        <w:tc>
          <w:tcPr>
            <w:tcW w:w="797" w:type="pct"/>
            <w:vAlign w:val="center"/>
          </w:tcPr>
          <w:p w14:paraId="5A90FAD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宣汉普光学校</w:t>
            </w:r>
          </w:p>
        </w:tc>
        <w:tc>
          <w:tcPr>
            <w:tcW w:w="556" w:type="pct"/>
            <w:vAlign w:val="center"/>
          </w:tcPr>
          <w:p w14:paraId="06F523D1"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东南侧</w:t>
            </w:r>
          </w:p>
        </w:tc>
        <w:tc>
          <w:tcPr>
            <w:tcW w:w="575" w:type="pct"/>
            <w:vAlign w:val="center"/>
          </w:tcPr>
          <w:p w14:paraId="056BC47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1570</w:t>
            </w:r>
          </w:p>
        </w:tc>
        <w:tc>
          <w:tcPr>
            <w:tcW w:w="554" w:type="pct"/>
            <w:vAlign w:val="center"/>
          </w:tcPr>
          <w:p w14:paraId="125DFF2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学校</w:t>
            </w:r>
          </w:p>
        </w:tc>
        <w:tc>
          <w:tcPr>
            <w:tcW w:w="772" w:type="pct"/>
            <w:vAlign w:val="center"/>
          </w:tcPr>
          <w:p w14:paraId="3B1130F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师生约</w:t>
            </w:r>
            <w:r w:rsidRPr="008A2411">
              <w:rPr>
                <w:rFonts w:ascii="Times New Roman"/>
                <w:bCs/>
                <w:color w:val="000000" w:themeColor="text1"/>
                <w:sz w:val="21"/>
                <w:szCs w:val="21"/>
              </w:rPr>
              <w:t>800</w:t>
            </w:r>
            <w:r w:rsidRPr="008A2411">
              <w:rPr>
                <w:rFonts w:ascii="Times New Roman"/>
                <w:bCs/>
                <w:color w:val="000000" w:themeColor="text1"/>
                <w:sz w:val="21"/>
                <w:szCs w:val="21"/>
              </w:rPr>
              <w:t>人</w:t>
            </w:r>
          </w:p>
        </w:tc>
        <w:tc>
          <w:tcPr>
            <w:tcW w:w="1249" w:type="pct"/>
            <w:vMerge/>
            <w:vAlign w:val="center"/>
          </w:tcPr>
          <w:p w14:paraId="1D8F3783" w14:textId="77777777" w:rsidR="00B0005F" w:rsidRPr="008A2411" w:rsidRDefault="00B0005F">
            <w:pPr>
              <w:jc w:val="center"/>
              <w:rPr>
                <w:rFonts w:ascii="Times New Roman"/>
                <w:bCs/>
                <w:color w:val="000000" w:themeColor="text1"/>
                <w:sz w:val="21"/>
                <w:szCs w:val="21"/>
              </w:rPr>
            </w:pPr>
          </w:p>
        </w:tc>
      </w:tr>
      <w:tr w:rsidR="008A2411" w:rsidRPr="008A2411" w14:paraId="28661456" w14:textId="77777777">
        <w:trPr>
          <w:jc w:val="center"/>
        </w:trPr>
        <w:tc>
          <w:tcPr>
            <w:tcW w:w="274" w:type="pct"/>
            <w:vMerge/>
            <w:textDirection w:val="tbRl"/>
            <w:vAlign w:val="center"/>
          </w:tcPr>
          <w:p w14:paraId="409B3E42" w14:textId="77777777" w:rsidR="00B0005F" w:rsidRPr="008A2411" w:rsidRDefault="00B0005F">
            <w:pPr>
              <w:jc w:val="center"/>
              <w:rPr>
                <w:rFonts w:ascii="Times New Roman"/>
                <w:bCs/>
                <w:color w:val="000000" w:themeColor="text1"/>
                <w:sz w:val="21"/>
                <w:szCs w:val="21"/>
              </w:rPr>
            </w:pPr>
          </w:p>
        </w:tc>
        <w:tc>
          <w:tcPr>
            <w:tcW w:w="221" w:type="pct"/>
            <w:vAlign w:val="center"/>
          </w:tcPr>
          <w:p w14:paraId="1EB02EFD"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27</w:t>
            </w:r>
          </w:p>
        </w:tc>
        <w:tc>
          <w:tcPr>
            <w:tcW w:w="797" w:type="pct"/>
            <w:vAlign w:val="center"/>
          </w:tcPr>
          <w:p w14:paraId="68075E8C"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土</w:t>
            </w:r>
            <w:proofErr w:type="gramStart"/>
            <w:r w:rsidRPr="008A2411">
              <w:rPr>
                <w:rFonts w:ascii="Times New Roman"/>
                <w:color w:val="000000" w:themeColor="text1"/>
                <w:sz w:val="21"/>
                <w:szCs w:val="21"/>
              </w:rPr>
              <w:t>主渔坝</w:t>
            </w:r>
            <w:proofErr w:type="gramEnd"/>
            <w:r w:rsidRPr="008A2411">
              <w:rPr>
                <w:rFonts w:ascii="Times New Roman"/>
                <w:color w:val="000000" w:themeColor="text1"/>
                <w:sz w:val="21"/>
                <w:szCs w:val="21"/>
              </w:rPr>
              <w:t>小学</w:t>
            </w:r>
          </w:p>
        </w:tc>
        <w:tc>
          <w:tcPr>
            <w:tcW w:w="556" w:type="pct"/>
            <w:vAlign w:val="center"/>
          </w:tcPr>
          <w:p w14:paraId="7DC31B5D"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东北</w:t>
            </w:r>
          </w:p>
        </w:tc>
        <w:tc>
          <w:tcPr>
            <w:tcW w:w="575" w:type="pct"/>
            <w:vAlign w:val="center"/>
          </w:tcPr>
          <w:p w14:paraId="40FDBE5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1900</w:t>
            </w:r>
          </w:p>
        </w:tc>
        <w:tc>
          <w:tcPr>
            <w:tcW w:w="554" w:type="pct"/>
            <w:vAlign w:val="center"/>
          </w:tcPr>
          <w:p w14:paraId="617AE2E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学校</w:t>
            </w:r>
          </w:p>
        </w:tc>
        <w:tc>
          <w:tcPr>
            <w:tcW w:w="772" w:type="pct"/>
            <w:vAlign w:val="center"/>
          </w:tcPr>
          <w:p w14:paraId="425F513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师生约</w:t>
            </w:r>
            <w:r w:rsidRPr="008A2411">
              <w:rPr>
                <w:rFonts w:ascii="Times New Roman"/>
                <w:bCs/>
                <w:color w:val="000000" w:themeColor="text1"/>
                <w:sz w:val="21"/>
                <w:szCs w:val="21"/>
              </w:rPr>
              <w:t>400</w:t>
            </w:r>
            <w:r w:rsidRPr="008A2411">
              <w:rPr>
                <w:rFonts w:ascii="Times New Roman"/>
                <w:bCs/>
                <w:color w:val="000000" w:themeColor="text1"/>
                <w:sz w:val="21"/>
                <w:szCs w:val="21"/>
              </w:rPr>
              <w:t>人</w:t>
            </w:r>
          </w:p>
        </w:tc>
        <w:tc>
          <w:tcPr>
            <w:tcW w:w="1249" w:type="pct"/>
            <w:vMerge/>
            <w:vAlign w:val="center"/>
          </w:tcPr>
          <w:p w14:paraId="5DBCA07F" w14:textId="77777777" w:rsidR="00B0005F" w:rsidRPr="008A2411" w:rsidRDefault="00B0005F">
            <w:pPr>
              <w:jc w:val="center"/>
              <w:rPr>
                <w:rFonts w:ascii="Times New Roman"/>
                <w:bCs/>
                <w:color w:val="000000" w:themeColor="text1"/>
                <w:sz w:val="21"/>
                <w:szCs w:val="21"/>
              </w:rPr>
            </w:pPr>
          </w:p>
        </w:tc>
      </w:tr>
      <w:tr w:rsidR="008A2411" w:rsidRPr="008A2411" w14:paraId="7BDBEC87" w14:textId="77777777">
        <w:trPr>
          <w:jc w:val="center"/>
        </w:trPr>
        <w:tc>
          <w:tcPr>
            <w:tcW w:w="274" w:type="pct"/>
            <w:vMerge/>
            <w:textDirection w:val="tbRl"/>
            <w:vAlign w:val="center"/>
          </w:tcPr>
          <w:p w14:paraId="6F26E5CE" w14:textId="77777777" w:rsidR="00B0005F" w:rsidRPr="008A2411" w:rsidRDefault="00B0005F">
            <w:pPr>
              <w:jc w:val="center"/>
              <w:rPr>
                <w:rFonts w:ascii="Times New Roman"/>
                <w:bCs/>
                <w:color w:val="000000" w:themeColor="text1"/>
                <w:sz w:val="21"/>
                <w:szCs w:val="21"/>
              </w:rPr>
            </w:pPr>
          </w:p>
        </w:tc>
        <w:tc>
          <w:tcPr>
            <w:tcW w:w="221" w:type="pct"/>
            <w:vAlign w:val="center"/>
          </w:tcPr>
          <w:p w14:paraId="424B036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28</w:t>
            </w:r>
          </w:p>
        </w:tc>
        <w:tc>
          <w:tcPr>
            <w:tcW w:w="797" w:type="pct"/>
            <w:vAlign w:val="center"/>
          </w:tcPr>
          <w:p w14:paraId="52CD574F"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宣汉县人民医院（土主分院）</w:t>
            </w:r>
          </w:p>
        </w:tc>
        <w:tc>
          <w:tcPr>
            <w:tcW w:w="556" w:type="pct"/>
            <w:vAlign w:val="center"/>
          </w:tcPr>
          <w:p w14:paraId="2A9B5EF2"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东侧</w:t>
            </w:r>
          </w:p>
        </w:tc>
        <w:tc>
          <w:tcPr>
            <w:tcW w:w="575" w:type="pct"/>
            <w:vAlign w:val="center"/>
          </w:tcPr>
          <w:p w14:paraId="25963D50" w14:textId="77777777" w:rsidR="00B0005F" w:rsidRPr="008A2411" w:rsidRDefault="00000000">
            <w:pPr>
              <w:jc w:val="center"/>
              <w:rPr>
                <w:rFonts w:ascii="Times New Roman"/>
                <w:color w:val="000000" w:themeColor="text1"/>
                <w:sz w:val="21"/>
                <w:szCs w:val="21"/>
              </w:rPr>
            </w:pPr>
            <w:r w:rsidRPr="008A2411">
              <w:rPr>
                <w:rFonts w:ascii="Times New Roman"/>
                <w:color w:val="000000" w:themeColor="text1"/>
                <w:sz w:val="21"/>
                <w:szCs w:val="21"/>
              </w:rPr>
              <w:t>1480</w:t>
            </w:r>
          </w:p>
        </w:tc>
        <w:tc>
          <w:tcPr>
            <w:tcW w:w="554" w:type="pct"/>
            <w:vAlign w:val="center"/>
          </w:tcPr>
          <w:p w14:paraId="0FBADFE9"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医院</w:t>
            </w:r>
          </w:p>
        </w:tc>
        <w:tc>
          <w:tcPr>
            <w:tcW w:w="772" w:type="pct"/>
            <w:vAlign w:val="center"/>
          </w:tcPr>
          <w:p w14:paraId="0F2CA9D1"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约</w:t>
            </w:r>
            <w:r w:rsidRPr="008A2411">
              <w:rPr>
                <w:rFonts w:ascii="Times New Roman"/>
                <w:bCs/>
                <w:color w:val="000000" w:themeColor="text1"/>
                <w:sz w:val="21"/>
                <w:szCs w:val="21"/>
              </w:rPr>
              <w:t>400</w:t>
            </w:r>
            <w:r w:rsidRPr="008A2411">
              <w:rPr>
                <w:rFonts w:ascii="Times New Roman"/>
                <w:bCs/>
                <w:color w:val="000000" w:themeColor="text1"/>
                <w:sz w:val="21"/>
                <w:szCs w:val="21"/>
              </w:rPr>
              <w:t>人</w:t>
            </w:r>
          </w:p>
        </w:tc>
        <w:tc>
          <w:tcPr>
            <w:tcW w:w="1249" w:type="pct"/>
            <w:vMerge/>
            <w:vAlign w:val="center"/>
          </w:tcPr>
          <w:p w14:paraId="3F7B64EF" w14:textId="77777777" w:rsidR="00B0005F" w:rsidRPr="008A2411" w:rsidRDefault="00B0005F">
            <w:pPr>
              <w:jc w:val="center"/>
              <w:rPr>
                <w:rFonts w:ascii="Times New Roman"/>
                <w:bCs/>
                <w:color w:val="000000" w:themeColor="text1"/>
                <w:sz w:val="21"/>
                <w:szCs w:val="21"/>
              </w:rPr>
            </w:pPr>
          </w:p>
        </w:tc>
      </w:tr>
      <w:tr w:rsidR="008A2411" w:rsidRPr="008A2411" w14:paraId="6FED6177" w14:textId="77777777">
        <w:trPr>
          <w:jc w:val="center"/>
        </w:trPr>
        <w:tc>
          <w:tcPr>
            <w:tcW w:w="274" w:type="pct"/>
            <w:vMerge w:val="restart"/>
            <w:vAlign w:val="center"/>
          </w:tcPr>
          <w:p w14:paraId="3F0DF0BA"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地表水环境</w:t>
            </w:r>
          </w:p>
        </w:tc>
        <w:tc>
          <w:tcPr>
            <w:tcW w:w="1018" w:type="pct"/>
            <w:gridSpan w:val="2"/>
            <w:vAlign w:val="center"/>
          </w:tcPr>
          <w:p w14:paraId="14D8E8D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后巴河、后河</w:t>
            </w:r>
          </w:p>
        </w:tc>
        <w:tc>
          <w:tcPr>
            <w:tcW w:w="1131" w:type="pct"/>
            <w:gridSpan w:val="2"/>
            <w:vAlign w:val="center"/>
          </w:tcPr>
          <w:p w14:paraId="606833D9"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厂界东侧</w:t>
            </w:r>
            <w:r w:rsidRPr="008A2411">
              <w:rPr>
                <w:rFonts w:ascii="Times New Roman"/>
                <w:bCs/>
                <w:color w:val="000000" w:themeColor="text1"/>
                <w:sz w:val="21"/>
                <w:szCs w:val="21"/>
              </w:rPr>
              <w:t>664m</w:t>
            </w:r>
            <w:r w:rsidRPr="008A2411">
              <w:rPr>
                <w:rFonts w:ascii="Times New Roman"/>
                <w:bCs/>
                <w:color w:val="000000" w:themeColor="text1"/>
                <w:sz w:val="21"/>
                <w:szCs w:val="21"/>
              </w:rPr>
              <w:t>后巴河，并在下游</w:t>
            </w:r>
            <w:r w:rsidRPr="008A2411">
              <w:rPr>
                <w:rFonts w:ascii="Times New Roman"/>
                <w:bCs/>
                <w:color w:val="000000" w:themeColor="text1"/>
                <w:sz w:val="21"/>
                <w:szCs w:val="21"/>
              </w:rPr>
              <w:t>5.6km</w:t>
            </w:r>
            <w:r w:rsidRPr="008A2411">
              <w:rPr>
                <w:rFonts w:ascii="Times New Roman"/>
                <w:bCs/>
                <w:color w:val="000000" w:themeColor="text1"/>
                <w:sz w:val="21"/>
                <w:szCs w:val="21"/>
              </w:rPr>
              <w:t>处汇入后河</w:t>
            </w:r>
          </w:p>
        </w:tc>
        <w:tc>
          <w:tcPr>
            <w:tcW w:w="1326" w:type="pct"/>
            <w:gridSpan w:val="2"/>
            <w:vAlign w:val="center"/>
          </w:tcPr>
          <w:p w14:paraId="189A0631"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w:t>
            </w:r>
          </w:p>
        </w:tc>
        <w:tc>
          <w:tcPr>
            <w:tcW w:w="1249" w:type="pct"/>
            <w:vMerge w:val="restart"/>
            <w:vAlign w:val="center"/>
          </w:tcPr>
          <w:p w14:paraId="67EC5107"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《地表水环境质量标准》（</w:t>
            </w:r>
            <w:r w:rsidRPr="008A2411">
              <w:rPr>
                <w:rFonts w:ascii="Times New Roman"/>
                <w:bCs/>
                <w:color w:val="000000" w:themeColor="text1"/>
                <w:sz w:val="21"/>
                <w:szCs w:val="21"/>
              </w:rPr>
              <w:t>GB3838-2002</w:t>
            </w:r>
            <w:r w:rsidRPr="008A2411">
              <w:rPr>
                <w:rFonts w:ascii="Times New Roman"/>
                <w:bCs/>
                <w:color w:val="000000" w:themeColor="text1"/>
                <w:sz w:val="21"/>
                <w:szCs w:val="21"/>
              </w:rPr>
              <w:t>）</w:t>
            </w:r>
            <w:r w:rsidRPr="008A2411">
              <w:rPr>
                <w:rFonts w:ascii="Times New Roman"/>
                <w:bCs/>
                <w:color w:val="000000" w:themeColor="text1"/>
                <w:sz w:val="21"/>
                <w:szCs w:val="21"/>
              </w:rPr>
              <w:t>III</w:t>
            </w:r>
            <w:r w:rsidRPr="008A2411">
              <w:rPr>
                <w:rFonts w:ascii="Times New Roman"/>
                <w:bCs/>
                <w:color w:val="000000" w:themeColor="text1"/>
                <w:sz w:val="21"/>
                <w:szCs w:val="21"/>
              </w:rPr>
              <w:t>类标准</w:t>
            </w:r>
          </w:p>
        </w:tc>
      </w:tr>
      <w:tr w:rsidR="008A2411" w:rsidRPr="008A2411" w14:paraId="676116CE" w14:textId="77777777">
        <w:trPr>
          <w:jc w:val="center"/>
        </w:trPr>
        <w:tc>
          <w:tcPr>
            <w:tcW w:w="274" w:type="pct"/>
            <w:vMerge/>
            <w:vAlign w:val="center"/>
          </w:tcPr>
          <w:p w14:paraId="00C10FF7" w14:textId="77777777" w:rsidR="00B0005F" w:rsidRPr="008A2411" w:rsidRDefault="00B0005F">
            <w:pPr>
              <w:jc w:val="center"/>
              <w:rPr>
                <w:rFonts w:ascii="Times New Roman"/>
                <w:bCs/>
                <w:color w:val="000000" w:themeColor="text1"/>
                <w:sz w:val="21"/>
                <w:szCs w:val="21"/>
              </w:rPr>
            </w:pPr>
          </w:p>
        </w:tc>
        <w:tc>
          <w:tcPr>
            <w:tcW w:w="1018" w:type="pct"/>
            <w:gridSpan w:val="2"/>
            <w:vAlign w:val="center"/>
          </w:tcPr>
          <w:p w14:paraId="098E226B"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rPr>
              <w:t>后河特有鱼类国家级水产种质资源保护区</w:t>
            </w:r>
          </w:p>
        </w:tc>
        <w:tc>
          <w:tcPr>
            <w:tcW w:w="1131" w:type="pct"/>
            <w:gridSpan w:val="2"/>
            <w:vAlign w:val="center"/>
          </w:tcPr>
          <w:p w14:paraId="2CCB1261"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后河特有鱼类国家级水产种质资源保护区</w:t>
            </w:r>
            <w:r w:rsidRPr="008A2411">
              <w:rPr>
                <w:rFonts w:ascii="Times New Roman" w:hint="eastAsia"/>
                <w:bCs/>
                <w:color w:val="000000" w:themeColor="text1"/>
                <w:sz w:val="21"/>
                <w:szCs w:val="21"/>
              </w:rPr>
              <w:t>位于本项目东侧，直线</w:t>
            </w:r>
            <w:r w:rsidRPr="008A2411">
              <w:rPr>
                <w:rFonts w:ascii="Times New Roman"/>
                <w:bCs/>
                <w:color w:val="000000" w:themeColor="text1"/>
                <w:sz w:val="21"/>
                <w:szCs w:val="21"/>
              </w:rPr>
              <w:t>距离为</w:t>
            </w:r>
            <w:r w:rsidRPr="008A2411">
              <w:rPr>
                <w:rFonts w:ascii="Times New Roman"/>
                <w:bCs/>
                <w:color w:val="000000" w:themeColor="text1"/>
                <w:sz w:val="21"/>
                <w:szCs w:val="21"/>
              </w:rPr>
              <w:t>5.6km</w:t>
            </w:r>
          </w:p>
        </w:tc>
        <w:tc>
          <w:tcPr>
            <w:tcW w:w="1326" w:type="pct"/>
            <w:gridSpan w:val="2"/>
            <w:vAlign w:val="center"/>
          </w:tcPr>
          <w:p w14:paraId="058CD85D"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主要保护对象为</w:t>
            </w:r>
            <w:proofErr w:type="gramStart"/>
            <w:r w:rsidRPr="008A2411">
              <w:rPr>
                <w:rFonts w:ascii="Times New Roman"/>
                <w:bCs/>
                <w:color w:val="000000" w:themeColor="text1"/>
                <w:sz w:val="21"/>
                <w:szCs w:val="21"/>
              </w:rPr>
              <w:t>岩原鲤</w:t>
            </w:r>
            <w:proofErr w:type="gramEnd"/>
            <w:r w:rsidRPr="008A2411">
              <w:rPr>
                <w:rFonts w:ascii="Times New Roman"/>
                <w:bCs/>
                <w:color w:val="000000" w:themeColor="text1"/>
                <w:sz w:val="21"/>
                <w:szCs w:val="21"/>
              </w:rPr>
              <w:t>、南方大口</w:t>
            </w:r>
            <w:proofErr w:type="gramStart"/>
            <w:r w:rsidRPr="008A2411">
              <w:rPr>
                <w:rFonts w:ascii="Times New Roman"/>
                <w:bCs/>
                <w:color w:val="000000" w:themeColor="text1"/>
                <w:sz w:val="21"/>
                <w:szCs w:val="21"/>
              </w:rPr>
              <w:t>鲶</w:t>
            </w:r>
            <w:proofErr w:type="gramEnd"/>
            <w:r w:rsidRPr="008A2411">
              <w:rPr>
                <w:rFonts w:ascii="Times New Roman"/>
                <w:bCs/>
                <w:color w:val="000000" w:themeColor="text1"/>
                <w:sz w:val="21"/>
                <w:szCs w:val="21"/>
              </w:rPr>
              <w:t>、黄</w:t>
            </w:r>
            <w:proofErr w:type="gramStart"/>
            <w:r w:rsidRPr="008A2411">
              <w:rPr>
                <w:rFonts w:ascii="Times New Roman"/>
                <w:bCs/>
                <w:color w:val="000000" w:themeColor="text1"/>
                <w:sz w:val="21"/>
                <w:szCs w:val="21"/>
              </w:rPr>
              <w:t>颡</w:t>
            </w:r>
            <w:proofErr w:type="gramEnd"/>
            <w:r w:rsidRPr="008A2411">
              <w:rPr>
                <w:rFonts w:ascii="Times New Roman"/>
                <w:bCs/>
                <w:color w:val="000000" w:themeColor="text1"/>
                <w:sz w:val="21"/>
                <w:szCs w:val="21"/>
              </w:rPr>
              <w:t>鱼、华</w:t>
            </w:r>
            <w:proofErr w:type="gramStart"/>
            <w:r w:rsidRPr="008A2411">
              <w:rPr>
                <w:rFonts w:ascii="Times New Roman"/>
                <w:bCs/>
                <w:color w:val="000000" w:themeColor="text1"/>
                <w:sz w:val="21"/>
                <w:szCs w:val="21"/>
              </w:rPr>
              <w:t>鲮</w:t>
            </w:r>
            <w:proofErr w:type="gramEnd"/>
            <w:r w:rsidRPr="008A2411">
              <w:rPr>
                <w:rFonts w:ascii="Times New Roman"/>
                <w:bCs/>
                <w:color w:val="000000" w:themeColor="text1"/>
                <w:sz w:val="21"/>
                <w:szCs w:val="21"/>
              </w:rPr>
              <w:t>、中华鳖、中华倒刺鲃、白缘鰑等名贵野生水生动物</w:t>
            </w:r>
          </w:p>
        </w:tc>
        <w:tc>
          <w:tcPr>
            <w:tcW w:w="1249" w:type="pct"/>
            <w:vMerge/>
            <w:vAlign w:val="center"/>
          </w:tcPr>
          <w:p w14:paraId="07551DB3" w14:textId="77777777" w:rsidR="00B0005F" w:rsidRPr="008A2411" w:rsidRDefault="00B0005F">
            <w:pPr>
              <w:jc w:val="center"/>
              <w:rPr>
                <w:rFonts w:ascii="Times New Roman"/>
                <w:bCs/>
                <w:color w:val="000000" w:themeColor="text1"/>
                <w:sz w:val="21"/>
                <w:szCs w:val="21"/>
              </w:rPr>
            </w:pPr>
          </w:p>
        </w:tc>
      </w:tr>
      <w:tr w:rsidR="008A2411" w:rsidRPr="008A2411" w14:paraId="2B8DAF8C" w14:textId="77777777">
        <w:trPr>
          <w:jc w:val="center"/>
        </w:trPr>
        <w:tc>
          <w:tcPr>
            <w:tcW w:w="0" w:type="auto"/>
            <w:vAlign w:val="center"/>
          </w:tcPr>
          <w:p w14:paraId="12B4DCE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地下水环境</w:t>
            </w:r>
          </w:p>
        </w:tc>
        <w:tc>
          <w:tcPr>
            <w:tcW w:w="3476" w:type="pct"/>
            <w:gridSpan w:val="6"/>
            <w:vAlign w:val="center"/>
          </w:tcPr>
          <w:p w14:paraId="3F8C4A76" w14:textId="77777777" w:rsidR="00B0005F" w:rsidRPr="008A2411" w:rsidRDefault="00000000">
            <w:pPr>
              <w:jc w:val="center"/>
              <w:rPr>
                <w:rFonts w:ascii="Times New Roman"/>
                <w:bCs/>
                <w:color w:val="000000" w:themeColor="text1"/>
                <w:sz w:val="21"/>
                <w:szCs w:val="21"/>
              </w:rPr>
            </w:pPr>
            <w:r w:rsidRPr="008A2411">
              <w:rPr>
                <w:rFonts w:ascii="Times New Roman"/>
                <w:color w:val="000000" w:themeColor="text1"/>
                <w:sz w:val="21"/>
                <w:szCs w:val="21"/>
              </w:rPr>
              <w:t>项目周边居民水井（含周边地下水）</w:t>
            </w:r>
          </w:p>
        </w:tc>
        <w:tc>
          <w:tcPr>
            <w:tcW w:w="1249" w:type="pct"/>
            <w:vAlign w:val="center"/>
          </w:tcPr>
          <w:p w14:paraId="04116CF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《地下水质量标准》（</w:t>
            </w:r>
            <w:r w:rsidRPr="008A2411">
              <w:rPr>
                <w:rFonts w:ascii="Times New Roman"/>
                <w:bCs/>
                <w:color w:val="000000" w:themeColor="text1"/>
                <w:sz w:val="21"/>
                <w:szCs w:val="21"/>
              </w:rPr>
              <w:t>GB/T 14848-2017</w:t>
            </w:r>
            <w:r w:rsidRPr="008A2411">
              <w:rPr>
                <w:rFonts w:ascii="Times New Roman"/>
                <w:bCs/>
                <w:color w:val="000000" w:themeColor="text1"/>
                <w:sz w:val="21"/>
                <w:szCs w:val="21"/>
              </w:rPr>
              <w:t>）</w:t>
            </w:r>
            <w:r w:rsidRPr="008A2411">
              <w:rPr>
                <w:rFonts w:ascii="Times New Roman"/>
                <w:bCs/>
                <w:color w:val="000000" w:themeColor="text1"/>
                <w:sz w:val="21"/>
                <w:szCs w:val="21"/>
              </w:rPr>
              <w:t>Ⅲ</w:t>
            </w:r>
            <w:r w:rsidRPr="008A2411">
              <w:rPr>
                <w:rFonts w:ascii="Times New Roman"/>
                <w:bCs/>
                <w:color w:val="000000" w:themeColor="text1"/>
                <w:sz w:val="21"/>
                <w:szCs w:val="21"/>
              </w:rPr>
              <w:t>类标准</w:t>
            </w:r>
          </w:p>
        </w:tc>
      </w:tr>
    </w:tbl>
    <w:p w14:paraId="75945EB4" w14:textId="77777777" w:rsidR="00B0005F" w:rsidRPr="008A2411" w:rsidRDefault="00000000">
      <w:pPr>
        <w:pStyle w:val="affffffffffffffffffff6"/>
        <w:snapToGrid/>
        <w:outlineLvl w:val="1"/>
        <w:rPr>
          <w:rFonts w:ascii="Times New Roman"/>
          <w:bCs/>
          <w:color w:val="000000" w:themeColor="text1"/>
          <w:sz w:val="28"/>
          <w:szCs w:val="28"/>
          <w:lang w:bidi="en-US"/>
        </w:rPr>
      </w:pPr>
      <w:bookmarkStart w:id="509" w:name="_Toc109170776"/>
      <w:bookmarkEnd w:id="508"/>
      <w:r w:rsidRPr="008A2411">
        <w:rPr>
          <w:rFonts w:ascii="Times New Roman"/>
          <w:bCs/>
          <w:color w:val="000000" w:themeColor="text1"/>
          <w:sz w:val="28"/>
          <w:szCs w:val="28"/>
          <w:lang w:bidi="en-US"/>
        </w:rPr>
        <w:t>6.5</w:t>
      </w:r>
      <w:r w:rsidRPr="008A2411">
        <w:rPr>
          <w:rFonts w:ascii="Times New Roman"/>
          <w:bCs/>
          <w:color w:val="000000" w:themeColor="text1"/>
          <w:sz w:val="28"/>
          <w:szCs w:val="28"/>
          <w:lang w:bidi="en-US"/>
        </w:rPr>
        <w:t>环境风险识别</w:t>
      </w:r>
      <w:bookmarkEnd w:id="509"/>
    </w:p>
    <w:p w14:paraId="58021F38"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lastRenderedPageBreak/>
        <w:t>本项目存在一定的安全危险因素，风险防范是企业安全生产的前提和保障，</w:t>
      </w:r>
      <w:proofErr w:type="gramStart"/>
      <w:r w:rsidRPr="008A2411">
        <w:rPr>
          <w:rFonts w:ascii="Times New Roman"/>
          <w:bCs/>
          <w:color w:val="000000" w:themeColor="text1"/>
        </w:rPr>
        <w:t>本评价</w:t>
      </w:r>
      <w:proofErr w:type="gramEnd"/>
      <w:r w:rsidRPr="008A2411">
        <w:rPr>
          <w:rFonts w:ascii="Times New Roman"/>
          <w:bCs/>
          <w:color w:val="000000" w:themeColor="text1"/>
        </w:rPr>
        <w:t>将对本项目涉及的有毒、有害化学品的使用及储运等过程中可能发生的潜在危险进行分析，以找出主要危险环节，认识危险程度，从而针对性地采取预防和应急措施，尽可能将风险可能性和危害程度降至最低。</w:t>
      </w:r>
    </w:p>
    <w:p w14:paraId="64747CAF"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风险识别主要包括物质危险性识别、生产系统危险性识别和危险物质向环境转移的途径识别等。</w:t>
      </w:r>
    </w:p>
    <w:p w14:paraId="63E04181" w14:textId="77777777" w:rsidR="00B0005F" w:rsidRPr="008A2411" w:rsidRDefault="00000000">
      <w:pPr>
        <w:pStyle w:val="affffffffffffffffffff6"/>
        <w:snapToGrid/>
        <w:outlineLvl w:val="2"/>
        <w:rPr>
          <w:rFonts w:ascii="Times New Roman"/>
          <w:b/>
          <w:color w:val="000000" w:themeColor="text1"/>
          <w:sz w:val="24"/>
          <w:szCs w:val="24"/>
          <w:lang w:bidi="en-US"/>
        </w:rPr>
      </w:pPr>
      <w:r w:rsidRPr="008A2411">
        <w:rPr>
          <w:rFonts w:ascii="Times New Roman"/>
          <w:b/>
          <w:color w:val="000000" w:themeColor="text1"/>
          <w:sz w:val="24"/>
          <w:szCs w:val="24"/>
          <w:lang w:bidi="en-US"/>
        </w:rPr>
        <w:t>6.5.1</w:t>
      </w:r>
      <w:r w:rsidRPr="008A2411">
        <w:rPr>
          <w:rFonts w:ascii="Times New Roman"/>
          <w:b/>
          <w:color w:val="000000" w:themeColor="text1"/>
          <w:sz w:val="24"/>
          <w:szCs w:val="24"/>
          <w:lang w:bidi="en-US"/>
        </w:rPr>
        <w:t>物质危险性识别</w:t>
      </w:r>
    </w:p>
    <w:p w14:paraId="2D3DDC56"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根据本项目建设内容，本项目主要产品为液化天然气。通过对本项目生产中主要原辅材料及分布情况、生产工艺特点进行分析，主要危险物质为甲烷、导热油等，本项目化学品危险特性如下。</w:t>
      </w:r>
    </w:p>
    <w:p w14:paraId="393AAD5A"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1</w:t>
      </w:r>
      <w:r w:rsidRPr="008A2411">
        <w:rPr>
          <w:rFonts w:ascii="Times New Roman"/>
          <w:bCs/>
          <w:color w:val="000000" w:themeColor="text1"/>
        </w:rPr>
        <w:t>）天然气</w:t>
      </w:r>
    </w:p>
    <w:p w14:paraId="1B1934EF"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天然气属甲类易燃、易爆气体，与空气混合形成爆炸性混合物，遇明火极易燃烧爆炸，在相对密闭空间内有窒息危险。天然气中各主要</w:t>
      </w:r>
      <w:proofErr w:type="gramStart"/>
      <w:r w:rsidRPr="008A2411">
        <w:rPr>
          <w:rFonts w:ascii="Times New Roman"/>
          <w:bCs/>
          <w:color w:val="000000" w:themeColor="text1"/>
        </w:rPr>
        <w:t>烃</w:t>
      </w:r>
      <w:proofErr w:type="gramEnd"/>
      <w:r w:rsidRPr="008A2411">
        <w:rPr>
          <w:rFonts w:ascii="Times New Roman"/>
          <w:bCs/>
          <w:color w:val="000000" w:themeColor="text1"/>
        </w:rPr>
        <w:t>组分基本性质见表</w:t>
      </w:r>
      <w:r w:rsidRPr="008A2411">
        <w:rPr>
          <w:rFonts w:ascii="Times New Roman"/>
          <w:bCs/>
          <w:color w:val="000000" w:themeColor="text1"/>
        </w:rPr>
        <w:t>9.5-1</w:t>
      </w:r>
      <w:r w:rsidRPr="008A2411">
        <w:rPr>
          <w:rFonts w:ascii="Times New Roman"/>
          <w:bCs/>
          <w:color w:val="000000" w:themeColor="text1"/>
        </w:rPr>
        <w:t>。</w:t>
      </w:r>
    </w:p>
    <w:p w14:paraId="31106322"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根据《石油天然气工程设计防火规范》（</w:t>
      </w:r>
      <w:r w:rsidRPr="008A2411">
        <w:rPr>
          <w:rFonts w:ascii="Times New Roman"/>
          <w:bCs/>
          <w:color w:val="000000" w:themeColor="text1"/>
        </w:rPr>
        <w:t>GB50183-2004</w:t>
      </w:r>
      <w:r w:rsidRPr="008A2411">
        <w:rPr>
          <w:rFonts w:ascii="Times New Roman"/>
          <w:bCs/>
          <w:color w:val="000000" w:themeColor="text1"/>
        </w:rPr>
        <w:t>）对石油天然气火灾危险性分类：天然气生产属于甲</w:t>
      </w:r>
      <w:r w:rsidRPr="008A2411">
        <w:rPr>
          <w:rFonts w:ascii="Times New Roman"/>
          <w:bCs/>
          <w:color w:val="000000" w:themeColor="text1"/>
        </w:rPr>
        <w:t>B</w:t>
      </w:r>
      <w:r w:rsidRPr="008A2411">
        <w:rPr>
          <w:rFonts w:ascii="Times New Roman"/>
          <w:bCs/>
          <w:color w:val="000000" w:themeColor="text1"/>
        </w:rPr>
        <w:t>类火灾危险性。作为主要</w:t>
      </w:r>
      <w:proofErr w:type="gramStart"/>
      <w:r w:rsidRPr="008A2411">
        <w:rPr>
          <w:rFonts w:ascii="Times New Roman"/>
          <w:bCs/>
          <w:color w:val="000000" w:themeColor="text1"/>
        </w:rPr>
        <w:t>烃</w:t>
      </w:r>
      <w:proofErr w:type="gramEnd"/>
      <w:r w:rsidRPr="008A2411">
        <w:rPr>
          <w:rFonts w:ascii="Times New Roman"/>
          <w:bCs/>
          <w:color w:val="000000" w:themeColor="text1"/>
        </w:rPr>
        <w:t>组份的甲烷属于《化学品分类和危险性公示</w:t>
      </w:r>
      <w:r w:rsidRPr="008A2411">
        <w:rPr>
          <w:rFonts w:ascii="Times New Roman"/>
          <w:bCs/>
          <w:color w:val="000000" w:themeColor="text1"/>
        </w:rPr>
        <w:t xml:space="preserve"> </w:t>
      </w:r>
      <w:r w:rsidRPr="008A2411">
        <w:rPr>
          <w:rFonts w:ascii="Times New Roman"/>
          <w:bCs/>
          <w:color w:val="000000" w:themeColor="text1"/>
        </w:rPr>
        <w:t>通则》（</w:t>
      </w:r>
      <w:r w:rsidRPr="008A2411">
        <w:rPr>
          <w:rFonts w:ascii="Times New Roman"/>
          <w:bCs/>
          <w:color w:val="000000" w:themeColor="text1"/>
        </w:rPr>
        <w:t>GB13690-2009</w:t>
      </w:r>
      <w:r w:rsidRPr="008A2411">
        <w:rPr>
          <w:rFonts w:ascii="Times New Roman"/>
          <w:bCs/>
          <w:color w:val="000000" w:themeColor="text1"/>
        </w:rPr>
        <w:t>）中的气相爆炸物质，在爆炸极限范围</w:t>
      </w:r>
      <w:proofErr w:type="gramStart"/>
      <w:r w:rsidRPr="008A2411">
        <w:rPr>
          <w:rFonts w:ascii="Times New Roman"/>
          <w:bCs/>
          <w:color w:val="000000" w:themeColor="text1"/>
        </w:rPr>
        <w:t>内遇点火源</w:t>
      </w:r>
      <w:proofErr w:type="gramEnd"/>
      <w:r w:rsidRPr="008A2411">
        <w:rPr>
          <w:rFonts w:ascii="Times New Roman"/>
          <w:bCs/>
          <w:color w:val="000000" w:themeColor="text1"/>
        </w:rPr>
        <w:t>可引起爆炸。</w:t>
      </w:r>
    </w:p>
    <w:p w14:paraId="5CB7CC91" w14:textId="77777777" w:rsidR="00B0005F" w:rsidRPr="008A2411" w:rsidRDefault="00000000">
      <w:pPr>
        <w:pStyle w:val="afffffff9"/>
        <w:spacing w:line="240" w:lineRule="auto"/>
        <w:ind w:firstLineChars="0" w:firstLine="0"/>
        <w:jc w:val="center"/>
        <w:rPr>
          <w:rFonts w:ascii="Times New Roman" w:eastAsia="黑体" w:hAnsi="Times New Roman"/>
          <w:bCs/>
          <w:color w:val="000000" w:themeColor="text1"/>
        </w:rPr>
      </w:pPr>
      <w:r w:rsidRPr="008A2411">
        <w:rPr>
          <w:rFonts w:ascii="Times New Roman" w:eastAsia="黑体" w:hAnsi="Times New Roman"/>
          <w:bCs/>
          <w:color w:val="000000" w:themeColor="text1"/>
        </w:rPr>
        <w:t>表</w:t>
      </w:r>
      <w:r w:rsidRPr="008A2411">
        <w:rPr>
          <w:rFonts w:ascii="Times New Roman" w:eastAsia="黑体" w:hAnsi="Times New Roman"/>
          <w:bCs/>
          <w:color w:val="000000" w:themeColor="text1"/>
        </w:rPr>
        <w:t xml:space="preserve">6.5-1  </w:t>
      </w:r>
      <w:r w:rsidRPr="008A2411">
        <w:rPr>
          <w:rFonts w:ascii="Times New Roman" w:eastAsia="黑体" w:hAnsi="Times New Roman"/>
          <w:bCs/>
          <w:color w:val="000000" w:themeColor="text1"/>
        </w:rPr>
        <w:t>天然气中各主要</w:t>
      </w:r>
      <w:proofErr w:type="gramStart"/>
      <w:r w:rsidRPr="008A2411">
        <w:rPr>
          <w:rFonts w:ascii="Times New Roman" w:eastAsia="黑体" w:hAnsi="Times New Roman"/>
          <w:bCs/>
          <w:color w:val="000000" w:themeColor="text1"/>
        </w:rPr>
        <w:t>烃</w:t>
      </w:r>
      <w:proofErr w:type="gramEnd"/>
      <w:r w:rsidRPr="008A2411">
        <w:rPr>
          <w:rFonts w:ascii="Times New Roman" w:eastAsia="黑体" w:hAnsi="Times New Roman"/>
          <w:bCs/>
          <w:color w:val="000000" w:themeColor="text1"/>
        </w:rPr>
        <w:t>组分基本性质</w:t>
      </w:r>
    </w:p>
    <w:tbl>
      <w:tblPr>
        <w:tblW w:w="0" w:type="auto"/>
        <w:jc w:val="center"/>
        <w:tblBorders>
          <w:top w:val="single" w:sz="12" w:space="0" w:color="auto"/>
          <w:bottom w:val="single" w:sz="12" w:space="0" w:color="auto"/>
          <w:insideH w:val="single" w:sz="4" w:space="0" w:color="auto"/>
          <w:insideV w:val="single" w:sz="4" w:space="0" w:color="auto"/>
        </w:tblBorders>
        <w:tblLayout w:type="fixed"/>
        <w:tblLook w:val="04A0" w:firstRow="1" w:lastRow="0" w:firstColumn="1" w:lastColumn="0" w:noHBand="0" w:noVBand="1"/>
      </w:tblPr>
      <w:tblGrid>
        <w:gridCol w:w="3259"/>
        <w:gridCol w:w="1023"/>
        <w:gridCol w:w="830"/>
        <w:gridCol w:w="846"/>
        <w:gridCol w:w="1011"/>
        <w:gridCol w:w="1103"/>
        <w:gridCol w:w="1044"/>
      </w:tblGrid>
      <w:tr w:rsidR="008A2411" w:rsidRPr="008A2411" w14:paraId="77402BFE" w14:textId="77777777">
        <w:trPr>
          <w:cantSplit/>
          <w:tblHeader/>
          <w:jc w:val="center"/>
        </w:trPr>
        <w:tc>
          <w:tcPr>
            <w:tcW w:w="3259" w:type="dxa"/>
            <w:vMerge w:val="restart"/>
            <w:tcBorders>
              <w:top w:val="single" w:sz="4" w:space="0" w:color="auto"/>
              <w:left w:val="single" w:sz="4" w:space="0" w:color="auto"/>
              <w:bottom w:val="single" w:sz="4" w:space="0" w:color="auto"/>
              <w:right w:val="single" w:sz="4" w:space="0" w:color="auto"/>
              <w:tl2br w:val="single" w:sz="4" w:space="0" w:color="auto"/>
            </w:tcBorders>
          </w:tcPr>
          <w:p w14:paraId="122FBFE1"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 xml:space="preserve">       </w:t>
            </w:r>
            <w:r w:rsidRPr="008A2411">
              <w:rPr>
                <w:rFonts w:ascii="Times New Roman" w:hAnsi="Times New Roman" w:cs="Times New Roman"/>
                <w:color w:val="000000" w:themeColor="text1"/>
                <w:sz w:val="21"/>
              </w:rPr>
              <w:t>组份</w:t>
            </w:r>
          </w:p>
          <w:p w14:paraId="4CE0CF1D"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项目</w:t>
            </w:r>
          </w:p>
        </w:tc>
        <w:tc>
          <w:tcPr>
            <w:tcW w:w="1023" w:type="dxa"/>
            <w:tcBorders>
              <w:top w:val="single" w:sz="4" w:space="0" w:color="auto"/>
              <w:left w:val="single" w:sz="4" w:space="0" w:color="auto"/>
              <w:bottom w:val="single" w:sz="4" w:space="0" w:color="auto"/>
              <w:right w:val="single" w:sz="4" w:space="0" w:color="auto"/>
            </w:tcBorders>
            <w:vAlign w:val="center"/>
          </w:tcPr>
          <w:p w14:paraId="67766419"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甲烷</w:t>
            </w:r>
          </w:p>
        </w:tc>
        <w:tc>
          <w:tcPr>
            <w:tcW w:w="830" w:type="dxa"/>
            <w:tcBorders>
              <w:top w:val="single" w:sz="4" w:space="0" w:color="auto"/>
              <w:left w:val="single" w:sz="4" w:space="0" w:color="auto"/>
              <w:bottom w:val="single" w:sz="4" w:space="0" w:color="auto"/>
              <w:right w:val="single" w:sz="4" w:space="0" w:color="auto"/>
            </w:tcBorders>
            <w:vAlign w:val="center"/>
          </w:tcPr>
          <w:p w14:paraId="43EB07BF"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乙烷</w:t>
            </w:r>
          </w:p>
        </w:tc>
        <w:tc>
          <w:tcPr>
            <w:tcW w:w="846" w:type="dxa"/>
            <w:tcBorders>
              <w:top w:val="single" w:sz="4" w:space="0" w:color="auto"/>
              <w:left w:val="single" w:sz="4" w:space="0" w:color="auto"/>
              <w:bottom w:val="single" w:sz="4" w:space="0" w:color="auto"/>
              <w:right w:val="single" w:sz="4" w:space="0" w:color="auto"/>
            </w:tcBorders>
            <w:vAlign w:val="center"/>
          </w:tcPr>
          <w:p w14:paraId="2A94FD1C"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丙烷</w:t>
            </w:r>
          </w:p>
        </w:tc>
        <w:tc>
          <w:tcPr>
            <w:tcW w:w="1011" w:type="dxa"/>
            <w:tcBorders>
              <w:top w:val="single" w:sz="4" w:space="0" w:color="auto"/>
              <w:left w:val="single" w:sz="4" w:space="0" w:color="auto"/>
              <w:bottom w:val="single" w:sz="4" w:space="0" w:color="auto"/>
              <w:right w:val="single" w:sz="4" w:space="0" w:color="auto"/>
            </w:tcBorders>
            <w:vAlign w:val="center"/>
          </w:tcPr>
          <w:p w14:paraId="30BEE308"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正丁烷</w:t>
            </w:r>
          </w:p>
        </w:tc>
        <w:tc>
          <w:tcPr>
            <w:tcW w:w="1103" w:type="dxa"/>
            <w:tcBorders>
              <w:top w:val="single" w:sz="4" w:space="0" w:color="auto"/>
              <w:left w:val="single" w:sz="4" w:space="0" w:color="auto"/>
              <w:bottom w:val="single" w:sz="4" w:space="0" w:color="auto"/>
              <w:right w:val="single" w:sz="4" w:space="0" w:color="auto"/>
            </w:tcBorders>
            <w:vAlign w:val="center"/>
          </w:tcPr>
          <w:p w14:paraId="261864CD"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异丁烷</w:t>
            </w:r>
          </w:p>
        </w:tc>
        <w:tc>
          <w:tcPr>
            <w:tcW w:w="1044" w:type="dxa"/>
            <w:tcBorders>
              <w:top w:val="single" w:sz="4" w:space="0" w:color="auto"/>
              <w:left w:val="single" w:sz="4" w:space="0" w:color="auto"/>
              <w:bottom w:val="single" w:sz="4" w:space="0" w:color="auto"/>
              <w:right w:val="single" w:sz="4" w:space="0" w:color="auto"/>
            </w:tcBorders>
            <w:vAlign w:val="center"/>
          </w:tcPr>
          <w:p w14:paraId="10DFDD79"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其它</w:t>
            </w:r>
          </w:p>
        </w:tc>
      </w:tr>
      <w:tr w:rsidR="008A2411" w:rsidRPr="008A2411" w14:paraId="09CC0CB4" w14:textId="77777777">
        <w:trPr>
          <w:cantSplit/>
          <w:tblHeader/>
          <w:jc w:val="center"/>
        </w:trPr>
        <w:tc>
          <w:tcPr>
            <w:tcW w:w="3259" w:type="dxa"/>
            <w:vMerge/>
            <w:tcBorders>
              <w:top w:val="single" w:sz="4" w:space="0" w:color="auto"/>
              <w:left w:val="single" w:sz="4" w:space="0" w:color="auto"/>
              <w:bottom w:val="single" w:sz="4" w:space="0" w:color="auto"/>
              <w:right w:val="single" w:sz="4" w:space="0" w:color="auto"/>
              <w:tl2br w:val="single" w:sz="4" w:space="0" w:color="auto"/>
            </w:tcBorders>
          </w:tcPr>
          <w:p w14:paraId="73E4A296" w14:textId="77777777" w:rsidR="00B0005F" w:rsidRPr="008A2411" w:rsidRDefault="00B0005F">
            <w:pPr>
              <w:pStyle w:val="afffffffffffff1"/>
              <w:ind w:left="0" w:right="0"/>
              <w:rPr>
                <w:rFonts w:ascii="Times New Roman" w:hAnsi="Times New Roman" w:cs="Times New Roman"/>
                <w:color w:val="000000" w:themeColor="text1"/>
                <w:sz w:val="21"/>
              </w:rPr>
            </w:pPr>
          </w:p>
        </w:tc>
        <w:tc>
          <w:tcPr>
            <w:tcW w:w="1023" w:type="dxa"/>
            <w:tcBorders>
              <w:top w:val="single" w:sz="4" w:space="0" w:color="auto"/>
              <w:left w:val="single" w:sz="4" w:space="0" w:color="auto"/>
              <w:bottom w:val="single" w:sz="4" w:space="0" w:color="auto"/>
              <w:right w:val="single" w:sz="4" w:space="0" w:color="auto"/>
            </w:tcBorders>
          </w:tcPr>
          <w:p w14:paraId="253E4350"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CH</w:t>
            </w:r>
            <w:r w:rsidRPr="008A2411">
              <w:rPr>
                <w:rFonts w:ascii="Times New Roman" w:hAnsi="Times New Roman" w:cs="Times New Roman"/>
                <w:color w:val="000000" w:themeColor="text1"/>
                <w:sz w:val="21"/>
                <w:vertAlign w:val="subscript"/>
              </w:rPr>
              <w:t>4</w:t>
            </w:r>
          </w:p>
        </w:tc>
        <w:tc>
          <w:tcPr>
            <w:tcW w:w="830" w:type="dxa"/>
            <w:tcBorders>
              <w:top w:val="single" w:sz="4" w:space="0" w:color="auto"/>
              <w:left w:val="single" w:sz="4" w:space="0" w:color="auto"/>
              <w:bottom w:val="single" w:sz="4" w:space="0" w:color="auto"/>
              <w:right w:val="single" w:sz="4" w:space="0" w:color="auto"/>
            </w:tcBorders>
          </w:tcPr>
          <w:p w14:paraId="60A9206A"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C</w:t>
            </w:r>
            <w:r w:rsidRPr="008A2411">
              <w:rPr>
                <w:rFonts w:ascii="Times New Roman" w:hAnsi="Times New Roman" w:cs="Times New Roman"/>
                <w:color w:val="000000" w:themeColor="text1"/>
                <w:sz w:val="21"/>
                <w:vertAlign w:val="subscript"/>
              </w:rPr>
              <w:t>2</w:t>
            </w:r>
            <w:r w:rsidRPr="008A2411">
              <w:rPr>
                <w:rFonts w:ascii="Times New Roman" w:hAnsi="Times New Roman" w:cs="Times New Roman"/>
                <w:color w:val="000000" w:themeColor="text1"/>
                <w:sz w:val="21"/>
              </w:rPr>
              <w:t>H</w:t>
            </w:r>
            <w:r w:rsidRPr="008A2411">
              <w:rPr>
                <w:rFonts w:ascii="Times New Roman" w:hAnsi="Times New Roman" w:cs="Times New Roman"/>
                <w:color w:val="000000" w:themeColor="text1"/>
                <w:sz w:val="21"/>
                <w:vertAlign w:val="subscript"/>
              </w:rPr>
              <w:t>6</w:t>
            </w:r>
          </w:p>
        </w:tc>
        <w:tc>
          <w:tcPr>
            <w:tcW w:w="846" w:type="dxa"/>
            <w:tcBorders>
              <w:top w:val="single" w:sz="4" w:space="0" w:color="auto"/>
              <w:left w:val="single" w:sz="4" w:space="0" w:color="auto"/>
              <w:bottom w:val="single" w:sz="4" w:space="0" w:color="auto"/>
              <w:right w:val="single" w:sz="4" w:space="0" w:color="auto"/>
            </w:tcBorders>
          </w:tcPr>
          <w:p w14:paraId="534D5FDE"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C</w:t>
            </w:r>
            <w:r w:rsidRPr="008A2411">
              <w:rPr>
                <w:rFonts w:ascii="Times New Roman" w:hAnsi="Times New Roman" w:cs="Times New Roman"/>
                <w:color w:val="000000" w:themeColor="text1"/>
                <w:sz w:val="21"/>
                <w:vertAlign w:val="subscript"/>
              </w:rPr>
              <w:t>3</w:t>
            </w:r>
            <w:r w:rsidRPr="008A2411">
              <w:rPr>
                <w:rFonts w:ascii="Times New Roman" w:hAnsi="Times New Roman" w:cs="Times New Roman"/>
                <w:color w:val="000000" w:themeColor="text1"/>
                <w:sz w:val="21"/>
              </w:rPr>
              <w:t>H</w:t>
            </w:r>
            <w:r w:rsidRPr="008A2411">
              <w:rPr>
                <w:rFonts w:ascii="Times New Roman" w:hAnsi="Times New Roman" w:cs="Times New Roman"/>
                <w:color w:val="000000" w:themeColor="text1"/>
                <w:sz w:val="21"/>
                <w:vertAlign w:val="subscript"/>
              </w:rPr>
              <w:t>8</w:t>
            </w:r>
          </w:p>
        </w:tc>
        <w:tc>
          <w:tcPr>
            <w:tcW w:w="1011" w:type="dxa"/>
            <w:tcBorders>
              <w:top w:val="single" w:sz="4" w:space="0" w:color="auto"/>
              <w:left w:val="single" w:sz="4" w:space="0" w:color="auto"/>
              <w:bottom w:val="single" w:sz="4" w:space="0" w:color="auto"/>
              <w:right w:val="single" w:sz="4" w:space="0" w:color="auto"/>
            </w:tcBorders>
          </w:tcPr>
          <w:p w14:paraId="5A63ADED"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C</w:t>
            </w:r>
            <w:r w:rsidRPr="008A2411">
              <w:rPr>
                <w:rFonts w:ascii="Times New Roman" w:hAnsi="Times New Roman" w:cs="Times New Roman"/>
                <w:color w:val="000000" w:themeColor="text1"/>
                <w:sz w:val="21"/>
                <w:vertAlign w:val="subscript"/>
              </w:rPr>
              <w:t>4</w:t>
            </w:r>
            <w:r w:rsidRPr="008A2411">
              <w:rPr>
                <w:rFonts w:ascii="Times New Roman" w:hAnsi="Times New Roman" w:cs="Times New Roman"/>
                <w:color w:val="000000" w:themeColor="text1"/>
                <w:sz w:val="21"/>
              </w:rPr>
              <w:t>H</w:t>
            </w:r>
            <w:r w:rsidRPr="008A2411">
              <w:rPr>
                <w:rFonts w:ascii="Times New Roman" w:hAnsi="Times New Roman" w:cs="Times New Roman"/>
                <w:color w:val="000000" w:themeColor="text1"/>
                <w:sz w:val="21"/>
                <w:vertAlign w:val="subscript"/>
              </w:rPr>
              <w:t>10</w:t>
            </w:r>
          </w:p>
        </w:tc>
        <w:tc>
          <w:tcPr>
            <w:tcW w:w="1103" w:type="dxa"/>
            <w:tcBorders>
              <w:top w:val="single" w:sz="4" w:space="0" w:color="auto"/>
              <w:left w:val="single" w:sz="4" w:space="0" w:color="auto"/>
              <w:bottom w:val="single" w:sz="4" w:space="0" w:color="auto"/>
              <w:right w:val="single" w:sz="4" w:space="0" w:color="auto"/>
            </w:tcBorders>
          </w:tcPr>
          <w:p w14:paraId="3D14349D"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i-C</w:t>
            </w:r>
            <w:r w:rsidRPr="008A2411">
              <w:rPr>
                <w:rFonts w:ascii="Times New Roman" w:hAnsi="Times New Roman" w:cs="Times New Roman"/>
                <w:color w:val="000000" w:themeColor="text1"/>
                <w:sz w:val="21"/>
                <w:vertAlign w:val="subscript"/>
              </w:rPr>
              <w:t>4</w:t>
            </w:r>
            <w:r w:rsidRPr="008A2411">
              <w:rPr>
                <w:rFonts w:ascii="Times New Roman" w:hAnsi="Times New Roman" w:cs="Times New Roman"/>
                <w:color w:val="000000" w:themeColor="text1"/>
                <w:sz w:val="21"/>
              </w:rPr>
              <w:t>H</w:t>
            </w:r>
            <w:r w:rsidRPr="008A2411">
              <w:rPr>
                <w:rFonts w:ascii="Times New Roman" w:hAnsi="Times New Roman" w:cs="Times New Roman"/>
                <w:color w:val="000000" w:themeColor="text1"/>
                <w:sz w:val="21"/>
                <w:vertAlign w:val="subscript"/>
              </w:rPr>
              <w:t>10</w:t>
            </w:r>
          </w:p>
        </w:tc>
        <w:tc>
          <w:tcPr>
            <w:tcW w:w="1044" w:type="dxa"/>
            <w:tcBorders>
              <w:top w:val="single" w:sz="4" w:space="0" w:color="auto"/>
              <w:left w:val="single" w:sz="4" w:space="0" w:color="auto"/>
              <w:bottom w:val="single" w:sz="4" w:space="0" w:color="auto"/>
              <w:right w:val="single" w:sz="4" w:space="0" w:color="auto"/>
            </w:tcBorders>
          </w:tcPr>
          <w:p w14:paraId="4B334ADE"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C</w:t>
            </w:r>
            <w:r w:rsidRPr="008A2411">
              <w:rPr>
                <w:rFonts w:ascii="Times New Roman" w:hAnsi="Times New Roman" w:cs="Times New Roman"/>
                <w:color w:val="000000" w:themeColor="text1"/>
                <w:sz w:val="21"/>
                <w:vertAlign w:val="subscript"/>
              </w:rPr>
              <w:t>5</w:t>
            </w:r>
            <w:r w:rsidRPr="008A2411">
              <w:rPr>
                <w:rFonts w:ascii="Times New Roman" w:hAnsi="Times New Roman" w:cs="Times New Roman"/>
                <w:color w:val="000000" w:themeColor="text1"/>
                <w:sz w:val="21"/>
              </w:rPr>
              <w:t>-C</w:t>
            </w:r>
            <w:r w:rsidRPr="008A2411">
              <w:rPr>
                <w:rFonts w:ascii="Times New Roman" w:hAnsi="Times New Roman" w:cs="Times New Roman"/>
                <w:color w:val="000000" w:themeColor="text1"/>
                <w:sz w:val="21"/>
                <w:vertAlign w:val="subscript"/>
              </w:rPr>
              <w:t>11</w:t>
            </w:r>
          </w:p>
        </w:tc>
      </w:tr>
      <w:tr w:rsidR="008A2411" w:rsidRPr="008A2411" w14:paraId="77A245F9" w14:textId="77777777">
        <w:trPr>
          <w:cantSplit/>
          <w:jc w:val="center"/>
        </w:trPr>
        <w:tc>
          <w:tcPr>
            <w:tcW w:w="3259" w:type="dxa"/>
            <w:tcBorders>
              <w:top w:val="single" w:sz="4" w:space="0" w:color="auto"/>
              <w:left w:val="single" w:sz="4" w:space="0" w:color="auto"/>
              <w:bottom w:val="single" w:sz="4" w:space="0" w:color="auto"/>
              <w:right w:val="single" w:sz="4" w:space="0" w:color="auto"/>
            </w:tcBorders>
            <w:vAlign w:val="center"/>
          </w:tcPr>
          <w:p w14:paraId="74101800"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密度</w:t>
            </w:r>
            <w:r w:rsidRPr="008A2411">
              <w:rPr>
                <w:rFonts w:ascii="Times New Roman" w:hAnsi="Times New Roman" w:cs="Times New Roman"/>
                <w:color w:val="000000" w:themeColor="text1"/>
                <w:sz w:val="21"/>
              </w:rPr>
              <w:t>(kg/m</w:t>
            </w:r>
            <w:r w:rsidRPr="008A2411">
              <w:rPr>
                <w:rFonts w:ascii="Times New Roman" w:hAnsi="Times New Roman" w:cs="Times New Roman"/>
                <w:color w:val="000000" w:themeColor="text1"/>
                <w:sz w:val="21"/>
                <w:vertAlign w:val="superscript"/>
              </w:rPr>
              <w:t>3</w:t>
            </w:r>
            <w:r w:rsidRPr="008A2411">
              <w:rPr>
                <w:rFonts w:ascii="Times New Roman" w:hAnsi="Times New Roman" w:cs="Times New Roman"/>
                <w:color w:val="000000" w:themeColor="text1"/>
                <w:sz w:val="21"/>
              </w:rPr>
              <w:t>)</w:t>
            </w:r>
          </w:p>
        </w:tc>
        <w:tc>
          <w:tcPr>
            <w:tcW w:w="1023" w:type="dxa"/>
            <w:tcBorders>
              <w:top w:val="single" w:sz="4" w:space="0" w:color="auto"/>
              <w:left w:val="single" w:sz="4" w:space="0" w:color="auto"/>
              <w:bottom w:val="single" w:sz="4" w:space="0" w:color="auto"/>
              <w:right w:val="single" w:sz="4" w:space="0" w:color="auto"/>
            </w:tcBorders>
            <w:vAlign w:val="center"/>
          </w:tcPr>
          <w:p w14:paraId="2875A433"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0.72</w:t>
            </w:r>
          </w:p>
        </w:tc>
        <w:tc>
          <w:tcPr>
            <w:tcW w:w="830" w:type="dxa"/>
            <w:tcBorders>
              <w:top w:val="single" w:sz="4" w:space="0" w:color="auto"/>
              <w:left w:val="single" w:sz="4" w:space="0" w:color="auto"/>
              <w:bottom w:val="single" w:sz="4" w:space="0" w:color="auto"/>
              <w:right w:val="single" w:sz="4" w:space="0" w:color="auto"/>
            </w:tcBorders>
            <w:vAlign w:val="center"/>
          </w:tcPr>
          <w:p w14:paraId="4428F718"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1.36</w:t>
            </w:r>
          </w:p>
        </w:tc>
        <w:tc>
          <w:tcPr>
            <w:tcW w:w="846" w:type="dxa"/>
            <w:tcBorders>
              <w:top w:val="single" w:sz="4" w:space="0" w:color="auto"/>
              <w:left w:val="single" w:sz="4" w:space="0" w:color="auto"/>
              <w:bottom w:val="single" w:sz="4" w:space="0" w:color="auto"/>
              <w:right w:val="single" w:sz="4" w:space="0" w:color="auto"/>
            </w:tcBorders>
            <w:vAlign w:val="center"/>
          </w:tcPr>
          <w:p w14:paraId="729C20E4"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2.01</w:t>
            </w:r>
          </w:p>
        </w:tc>
        <w:tc>
          <w:tcPr>
            <w:tcW w:w="1011" w:type="dxa"/>
            <w:tcBorders>
              <w:top w:val="single" w:sz="4" w:space="0" w:color="auto"/>
              <w:left w:val="single" w:sz="4" w:space="0" w:color="auto"/>
              <w:bottom w:val="single" w:sz="4" w:space="0" w:color="auto"/>
              <w:right w:val="single" w:sz="4" w:space="0" w:color="auto"/>
            </w:tcBorders>
            <w:vAlign w:val="center"/>
          </w:tcPr>
          <w:p w14:paraId="6AA6CE7A"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2.71</w:t>
            </w:r>
          </w:p>
        </w:tc>
        <w:tc>
          <w:tcPr>
            <w:tcW w:w="1103" w:type="dxa"/>
            <w:tcBorders>
              <w:top w:val="single" w:sz="4" w:space="0" w:color="auto"/>
              <w:left w:val="single" w:sz="4" w:space="0" w:color="auto"/>
              <w:bottom w:val="single" w:sz="4" w:space="0" w:color="auto"/>
              <w:right w:val="single" w:sz="4" w:space="0" w:color="auto"/>
            </w:tcBorders>
            <w:vAlign w:val="center"/>
          </w:tcPr>
          <w:p w14:paraId="1C4BFDB5"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2.71</w:t>
            </w:r>
          </w:p>
        </w:tc>
        <w:tc>
          <w:tcPr>
            <w:tcW w:w="1044" w:type="dxa"/>
            <w:tcBorders>
              <w:top w:val="single" w:sz="4" w:space="0" w:color="auto"/>
              <w:left w:val="single" w:sz="4" w:space="0" w:color="auto"/>
              <w:bottom w:val="single" w:sz="4" w:space="0" w:color="auto"/>
              <w:right w:val="single" w:sz="4" w:space="0" w:color="auto"/>
            </w:tcBorders>
            <w:vAlign w:val="center"/>
          </w:tcPr>
          <w:p w14:paraId="2A50C4FF"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3.45</w:t>
            </w:r>
          </w:p>
        </w:tc>
      </w:tr>
      <w:tr w:rsidR="008A2411" w:rsidRPr="008A2411" w14:paraId="06B7194A" w14:textId="77777777">
        <w:trPr>
          <w:cantSplit/>
          <w:jc w:val="center"/>
        </w:trPr>
        <w:tc>
          <w:tcPr>
            <w:tcW w:w="3259" w:type="dxa"/>
            <w:tcBorders>
              <w:top w:val="single" w:sz="4" w:space="0" w:color="auto"/>
              <w:left w:val="single" w:sz="4" w:space="0" w:color="auto"/>
              <w:bottom w:val="single" w:sz="4" w:space="0" w:color="auto"/>
              <w:right w:val="single" w:sz="4" w:space="0" w:color="auto"/>
            </w:tcBorders>
            <w:vAlign w:val="center"/>
          </w:tcPr>
          <w:p w14:paraId="27634B68"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爆炸上限</w:t>
            </w:r>
            <w:r w:rsidRPr="008A2411">
              <w:rPr>
                <w:rFonts w:ascii="Times New Roman" w:hAnsi="Times New Roman" w:cs="Times New Roman"/>
                <w:color w:val="000000" w:themeColor="text1"/>
                <w:sz w:val="21"/>
              </w:rPr>
              <w:t xml:space="preserve"> %(V)</w:t>
            </w:r>
          </w:p>
        </w:tc>
        <w:tc>
          <w:tcPr>
            <w:tcW w:w="1023" w:type="dxa"/>
            <w:tcBorders>
              <w:top w:val="single" w:sz="4" w:space="0" w:color="auto"/>
              <w:left w:val="single" w:sz="4" w:space="0" w:color="auto"/>
              <w:bottom w:val="single" w:sz="4" w:space="0" w:color="auto"/>
              <w:right w:val="single" w:sz="4" w:space="0" w:color="auto"/>
            </w:tcBorders>
            <w:vAlign w:val="center"/>
          </w:tcPr>
          <w:p w14:paraId="2750A8A1"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5.0</w:t>
            </w:r>
          </w:p>
        </w:tc>
        <w:tc>
          <w:tcPr>
            <w:tcW w:w="830" w:type="dxa"/>
            <w:tcBorders>
              <w:top w:val="single" w:sz="4" w:space="0" w:color="auto"/>
              <w:left w:val="single" w:sz="4" w:space="0" w:color="auto"/>
              <w:bottom w:val="single" w:sz="4" w:space="0" w:color="auto"/>
              <w:right w:val="single" w:sz="4" w:space="0" w:color="auto"/>
            </w:tcBorders>
            <w:vAlign w:val="center"/>
          </w:tcPr>
          <w:p w14:paraId="5C61E5C7"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2.9</w:t>
            </w:r>
          </w:p>
        </w:tc>
        <w:tc>
          <w:tcPr>
            <w:tcW w:w="846" w:type="dxa"/>
            <w:tcBorders>
              <w:top w:val="single" w:sz="4" w:space="0" w:color="auto"/>
              <w:left w:val="single" w:sz="4" w:space="0" w:color="auto"/>
              <w:bottom w:val="single" w:sz="4" w:space="0" w:color="auto"/>
              <w:right w:val="single" w:sz="4" w:space="0" w:color="auto"/>
            </w:tcBorders>
            <w:vAlign w:val="center"/>
          </w:tcPr>
          <w:p w14:paraId="32B8F376"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2.1</w:t>
            </w:r>
          </w:p>
        </w:tc>
        <w:tc>
          <w:tcPr>
            <w:tcW w:w="1011" w:type="dxa"/>
            <w:tcBorders>
              <w:top w:val="single" w:sz="4" w:space="0" w:color="auto"/>
              <w:left w:val="single" w:sz="4" w:space="0" w:color="auto"/>
              <w:bottom w:val="single" w:sz="4" w:space="0" w:color="auto"/>
              <w:right w:val="single" w:sz="4" w:space="0" w:color="auto"/>
            </w:tcBorders>
            <w:vAlign w:val="center"/>
          </w:tcPr>
          <w:p w14:paraId="7C60CC7B"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1.8</w:t>
            </w:r>
          </w:p>
        </w:tc>
        <w:tc>
          <w:tcPr>
            <w:tcW w:w="1103" w:type="dxa"/>
            <w:tcBorders>
              <w:top w:val="single" w:sz="4" w:space="0" w:color="auto"/>
              <w:left w:val="single" w:sz="4" w:space="0" w:color="auto"/>
              <w:bottom w:val="single" w:sz="4" w:space="0" w:color="auto"/>
              <w:right w:val="single" w:sz="4" w:space="0" w:color="auto"/>
            </w:tcBorders>
            <w:vAlign w:val="center"/>
          </w:tcPr>
          <w:p w14:paraId="289189FD"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1.8</w:t>
            </w:r>
          </w:p>
        </w:tc>
        <w:tc>
          <w:tcPr>
            <w:tcW w:w="1044" w:type="dxa"/>
            <w:tcBorders>
              <w:top w:val="single" w:sz="4" w:space="0" w:color="auto"/>
              <w:left w:val="single" w:sz="4" w:space="0" w:color="auto"/>
              <w:bottom w:val="single" w:sz="4" w:space="0" w:color="auto"/>
              <w:right w:val="single" w:sz="4" w:space="0" w:color="auto"/>
            </w:tcBorders>
            <w:vAlign w:val="center"/>
          </w:tcPr>
          <w:p w14:paraId="726779C3"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1.4</w:t>
            </w:r>
          </w:p>
        </w:tc>
      </w:tr>
      <w:tr w:rsidR="008A2411" w:rsidRPr="008A2411" w14:paraId="34CC1F15" w14:textId="77777777">
        <w:trPr>
          <w:cantSplit/>
          <w:jc w:val="center"/>
        </w:trPr>
        <w:tc>
          <w:tcPr>
            <w:tcW w:w="3259" w:type="dxa"/>
            <w:tcBorders>
              <w:top w:val="single" w:sz="4" w:space="0" w:color="auto"/>
              <w:left w:val="single" w:sz="4" w:space="0" w:color="auto"/>
              <w:bottom w:val="single" w:sz="4" w:space="0" w:color="auto"/>
              <w:right w:val="single" w:sz="4" w:space="0" w:color="auto"/>
            </w:tcBorders>
            <w:vAlign w:val="center"/>
          </w:tcPr>
          <w:p w14:paraId="3951F1A4"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爆炸下限</w:t>
            </w:r>
            <w:r w:rsidRPr="008A2411">
              <w:rPr>
                <w:rFonts w:ascii="Times New Roman" w:hAnsi="Times New Roman" w:cs="Times New Roman"/>
                <w:color w:val="000000" w:themeColor="text1"/>
                <w:sz w:val="21"/>
              </w:rPr>
              <w:t xml:space="preserve"> %(V)</w:t>
            </w:r>
          </w:p>
        </w:tc>
        <w:tc>
          <w:tcPr>
            <w:tcW w:w="1023" w:type="dxa"/>
            <w:tcBorders>
              <w:top w:val="single" w:sz="4" w:space="0" w:color="auto"/>
              <w:left w:val="single" w:sz="4" w:space="0" w:color="auto"/>
              <w:bottom w:val="single" w:sz="4" w:space="0" w:color="auto"/>
              <w:right w:val="single" w:sz="4" w:space="0" w:color="auto"/>
            </w:tcBorders>
            <w:vAlign w:val="center"/>
          </w:tcPr>
          <w:p w14:paraId="17AFFE8A"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15.0</w:t>
            </w:r>
          </w:p>
        </w:tc>
        <w:tc>
          <w:tcPr>
            <w:tcW w:w="830" w:type="dxa"/>
            <w:tcBorders>
              <w:top w:val="single" w:sz="4" w:space="0" w:color="auto"/>
              <w:left w:val="single" w:sz="4" w:space="0" w:color="auto"/>
              <w:bottom w:val="single" w:sz="4" w:space="0" w:color="auto"/>
              <w:right w:val="single" w:sz="4" w:space="0" w:color="auto"/>
            </w:tcBorders>
            <w:vAlign w:val="center"/>
          </w:tcPr>
          <w:p w14:paraId="55C4C56E"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13.0</w:t>
            </w:r>
          </w:p>
        </w:tc>
        <w:tc>
          <w:tcPr>
            <w:tcW w:w="846" w:type="dxa"/>
            <w:tcBorders>
              <w:top w:val="single" w:sz="4" w:space="0" w:color="auto"/>
              <w:left w:val="single" w:sz="4" w:space="0" w:color="auto"/>
              <w:bottom w:val="single" w:sz="4" w:space="0" w:color="auto"/>
              <w:right w:val="single" w:sz="4" w:space="0" w:color="auto"/>
            </w:tcBorders>
            <w:vAlign w:val="center"/>
          </w:tcPr>
          <w:p w14:paraId="78D6E9DE"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9.5</w:t>
            </w:r>
          </w:p>
        </w:tc>
        <w:tc>
          <w:tcPr>
            <w:tcW w:w="1011" w:type="dxa"/>
            <w:tcBorders>
              <w:top w:val="single" w:sz="4" w:space="0" w:color="auto"/>
              <w:left w:val="single" w:sz="4" w:space="0" w:color="auto"/>
              <w:bottom w:val="single" w:sz="4" w:space="0" w:color="auto"/>
              <w:right w:val="single" w:sz="4" w:space="0" w:color="auto"/>
            </w:tcBorders>
            <w:vAlign w:val="center"/>
          </w:tcPr>
          <w:p w14:paraId="67D6F2D7"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8.4</w:t>
            </w:r>
          </w:p>
        </w:tc>
        <w:tc>
          <w:tcPr>
            <w:tcW w:w="1103" w:type="dxa"/>
            <w:tcBorders>
              <w:top w:val="single" w:sz="4" w:space="0" w:color="auto"/>
              <w:left w:val="single" w:sz="4" w:space="0" w:color="auto"/>
              <w:bottom w:val="single" w:sz="4" w:space="0" w:color="auto"/>
              <w:right w:val="single" w:sz="4" w:space="0" w:color="auto"/>
            </w:tcBorders>
            <w:vAlign w:val="center"/>
          </w:tcPr>
          <w:p w14:paraId="3C2F126C"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8.4</w:t>
            </w:r>
          </w:p>
        </w:tc>
        <w:tc>
          <w:tcPr>
            <w:tcW w:w="1044" w:type="dxa"/>
            <w:tcBorders>
              <w:top w:val="single" w:sz="4" w:space="0" w:color="auto"/>
              <w:left w:val="single" w:sz="4" w:space="0" w:color="auto"/>
              <w:bottom w:val="single" w:sz="4" w:space="0" w:color="auto"/>
              <w:right w:val="single" w:sz="4" w:space="0" w:color="auto"/>
            </w:tcBorders>
            <w:vAlign w:val="center"/>
          </w:tcPr>
          <w:p w14:paraId="74E29DC9"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8.3</w:t>
            </w:r>
          </w:p>
        </w:tc>
      </w:tr>
      <w:tr w:rsidR="008A2411" w:rsidRPr="008A2411" w14:paraId="75FB5D5C" w14:textId="77777777">
        <w:trPr>
          <w:cantSplit/>
          <w:jc w:val="center"/>
        </w:trPr>
        <w:tc>
          <w:tcPr>
            <w:tcW w:w="3259" w:type="dxa"/>
            <w:tcBorders>
              <w:top w:val="single" w:sz="4" w:space="0" w:color="auto"/>
              <w:left w:val="single" w:sz="4" w:space="0" w:color="auto"/>
              <w:bottom w:val="single" w:sz="4" w:space="0" w:color="auto"/>
              <w:right w:val="single" w:sz="4" w:space="0" w:color="auto"/>
            </w:tcBorders>
            <w:vAlign w:val="center"/>
          </w:tcPr>
          <w:p w14:paraId="15D1343C"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自燃点</w:t>
            </w:r>
            <w:r w:rsidRPr="008A2411">
              <w:rPr>
                <w:rFonts w:ascii="Times New Roman" w:hAnsi="Times New Roman" w:cs="Times New Roman"/>
                <w:color w:val="000000" w:themeColor="text1"/>
                <w:sz w:val="21"/>
              </w:rPr>
              <w:t>(℃)</w:t>
            </w:r>
          </w:p>
        </w:tc>
        <w:tc>
          <w:tcPr>
            <w:tcW w:w="1023" w:type="dxa"/>
            <w:tcBorders>
              <w:top w:val="single" w:sz="4" w:space="0" w:color="auto"/>
              <w:left w:val="single" w:sz="4" w:space="0" w:color="auto"/>
              <w:bottom w:val="single" w:sz="4" w:space="0" w:color="auto"/>
              <w:right w:val="single" w:sz="4" w:space="0" w:color="auto"/>
            </w:tcBorders>
            <w:vAlign w:val="center"/>
          </w:tcPr>
          <w:p w14:paraId="15CD9FD7"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538</w:t>
            </w:r>
          </w:p>
        </w:tc>
        <w:tc>
          <w:tcPr>
            <w:tcW w:w="830" w:type="dxa"/>
            <w:tcBorders>
              <w:top w:val="single" w:sz="4" w:space="0" w:color="auto"/>
              <w:left w:val="single" w:sz="4" w:space="0" w:color="auto"/>
              <w:bottom w:val="single" w:sz="4" w:space="0" w:color="auto"/>
              <w:right w:val="single" w:sz="4" w:space="0" w:color="auto"/>
            </w:tcBorders>
            <w:vAlign w:val="center"/>
          </w:tcPr>
          <w:p w14:paraId="0C79BDDF"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530</w:t>
            </w:r>
          </w:p>
        </w:tc>
        <w:tc>
          <w:tcPr>
            <w:tcW w:w="846" w:type="dxa"/>
            <w:tcBorders>
              <w:top w:val="single" w:sz="4" w:space="0" w:color="auto"/>
              <w:left w:val="single" w:sz="4" w:space="0" w:color="auto"/>
              <w:bottom w:val="single" w:sz="4" w:space="0" w:color="auto"/>
              <w:right w:val="single" w:sz="4" w:space="0" w:color="auto"/>
            </w:tcBorders>
            <w:vAlign w:val="center"/>
          </w:tcPr>
          <w:p w14:paraId="3575C16B"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510</w:t>
            </w:r>
          </w:p>
        </w:tc>
        <w:tc>
          <w:tcPr>
            <w:tcW w:w="1011" w:type="dxa"/>
            <w:tcBorders>
              <w:top w:val="single" w:sz="4" w:space="0" w:color="auto"/>
              <w:left w:val="single" w:sz="4" w:space="0" w:color="auto"/>
              <w:bottom w:val="single" w:sz="4" w:space="0" w:color="auto"/>
              <w:right w:val="single" w:sz="4" w:space="0" w:color="auto"/>
            </w:tcBorders>
            <w:vAlign w:val="center"/>
          </w:tcPr>
          <w:p w14:paraId="018A0290"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490</w:t>
            </w:r>
          </w:p>
        </w:tc>
        <w:tc>
          <w:tcPr>
            <w:tcW w:w="1103" w:type="dxa"/>
            <w:tcBorders>
              <w:top w:val="single" w:sz="4" w:space="0" w:color="auto"/>
              <w:left w:val="single" w:sz="4" w:space="0" w:color="auto"/>
              <w:bottom w:val="single" w:sz="4" w:space="0" w:color="auto"/>
              <w:right w:val="single" w:sz="4" w:space="0" w:color="auto"/>
            </w:tcBorders>
            <w:vAlign w:val="center"/>
          </w:tcPr>
          <w:p w14:paraId="2690F5E0"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w:t>
            </w:r>
          </w:p>
        </w:tc>
        <w:tc>
          <w:tcPr>
            <w:tcW w:w="1044" w:type="dxa"/>
            <w:tcBorders>
              <w:top w:val="single" w:sz="4" w:space="0" w:color="auto"/>
              <w:left w:val="single" w:sz="4" w:space="0" w:color="auto"/>
              <w:bottom w:val="single" w:sz="4" w:space="0" w:color="auto"/>
              <w:right w:val="single" w:sz="4" w:space="0" w:color="auto"/>
            </w:tcBorders>
            <w:vAlign w:val="center"/>
          </w:tcPr>
          <w:p w14:paraId="2235689F"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w:t>
            </w:r>
          </w:p>
        </w:tc>
      </w:tr>
      <w:tr w:rsidR="008A2411" w:rsidRPr="008A2411" w14:paraId="442E66E9" w14:textId="77777777">
        <w:trPr>
          <w:cantSplit/>
          <w:jc w:val="center"/>
        </w:trPr>
        <w:tc>
          <w:tcPr>
            <w:tcW w:w="3259" w:type="dxa"/>
            <w:tcBorders>
              <w:top w:val="single" w:sz="4" w:space="0" w:color="auto"/>
              <w:left w:val="single" w:sz="4" w:space="0" w:color="auto"/>
              <w:bottom w:val="single" w:sz="4" w:space="0" w:color="auto"/>
              <w:right w:val="single" w:sz="4" w:space="0" w:color="auto"/>
            </w:tcBorders>
            <w:vAlign w:val="center"/>
          </w:tcPr>
          <w:p w14:paraId="47398074"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理论燃烧温度</w:t>
            </w:r>
            <w:r w:rsidRPr="008A2411">
              <w:rPr>
                <w:rFonts w:ascii="Times New Roman" w:hAnsi="Times New Roman" w:cs="Times New Roman"/>
                <w:color w:val="000000" w:themeColor="text1"/>
                <w:sz w:val="21"/>
              </w:rPr>
              <w:t>(℃)</w:t>
            </w:r>
          </w:p>
        </w:tc>
        <w:tc>
          <w:tcPr>
            <w:tcW w:w="1023" w:type="dxa"/>
            <w:tcBorders>
              <w:top w:val="single" w:sz="4" w:space="0" w:color="auto"/>
              <w:left w:val="single" w:sz="4" w:space="0" w:color="auto"/>
              <w:bottom w:val="single" w:sz="4" w:space="0" w:color="auto"/>
              <w:right w:val="single" w:sz="4" w:space="0" w:color="auto"/>
            </w:tcBorders>
            <w:vAlign w:val="center"/>
          </w:tcPr>
          <w:p w14:paraId="0401C546"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1830</w:t>
            </w:r>
          </w:p>
        </w:tc>
        <w:tc>
          <w:tcPr>
            <w:tcW w:w="830" w:type="dxa"/>
            <w:tcBorders>
              <w:top w:val="single" w:sz="4" w:space="0" w:color="auto"/>
              <w:left w:val="single" w:sz="4" w:space="0" w:color="auto"/>
              <w:bottom w:val="single" w:sz="4" w:space="0" w:color="auto"/>
              <w:right w:val="single" w:sz="4" w:space="0" w:color="auto"/>
            </w:tcBorders>
            <w:vAlign w:val="center"/>
          </w:tcPr>
          <w:p w14:paraId="52F9CDD1"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2020</w:t>
            </w:r>
          </w:p>
        </w:tc>
        <w:tc>
          <w:tcPr>
            <w:tcW w:w="846" w:type="dxa"/>
            <w:tcBorders>
              <w:top w:val="single" w:sz="4" w:space="0" w:color="auto"/>
              <w:left w:val="single" w:sz="4" w:space="0" w:color="auto"/>
              <w:bottom w:val="single" w:sz="4" w:space="0" w:color="auto"/>
              <w:right w:val="single" w:sz="4" w:space="0" w:color="auto"/>
            </w:tcBorders>
            <w:vAlign w:val="center"/>
          </w:tcPr>
          <w:p w14:paraId="5459BE64"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2043</w:t>
            </w:r>
          </w:p>
        </w:tc>
        <w:tc>
          <w:tcPr>
            <w:tcW w:w="1011" w:type="dxa"/>
            <w:tcBorders>
              <w:top w:val="single" w:sz="4" w:space="0" w:color="auto"/>
              <w:left w:val="single" w:sz="4" w:space="0" w:color="auto"/>
              <w:bottom w:val="single" w:sz="4" w:space="0" w:color="auto"/>
              <w:right w:val="single" w:sz="4" w:space="0" w:color="auto"/>
            </w:tcBorders>
            <w:vAlign w:val="center"/>
          </w:tcPr>
          <w:p w14:paraId="11E9D8A6"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2057</w:t>
            </w:r>
          </w:p>
        </w:tc>
        <w:tc>
          <w:tcPr>
            <w:tcW w:w="1103" w:type="dxa"/>
            <w:tcBorders>
              <w:top w:val="single" w:sz="4" w:space="0" w:color="auto"/>
              <w:left w:val="single" w:sz="4" w:space="0" w:color="auto"/>
              <w:bottom w:val="single" w:sz="4" w:space="0" w:color="auto"/>
              <w:right w:val="single" w:sz="4" w:space="0" w:color="auto"/>
            </w:tcBorders>
            <w:vAlign w:val="center"/>
          </w:tcPr>
          <w:p w14:paraId="5329155F"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2057</w:t>
            </w:r>
          </w:p>
        </w:tc>
        <w:tc>
          <w:tcPr>
            <w:tcW w:w="1044" w:type="dxa"/>
            <w:tcBorders>
              <w:top w:val="single" w:sz="4" w:space="0" w:color="auto"/>
              <w:left w:val="single" w:sz="4" w:space="0" w:color="auto"/>
              <w:bottom w:val="single" w:sz="4" w:space="0" w:color="auto"/>
              <w:right w:val="single" w:sz="4" w:space="0" w:color="auto"/>
            </w:tcBorders>
            <w:vAlign w:val="center"/>
          </w:tcPr>
          <w:p w14:paraId="6A25B8C6"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w:t>
            </w:r>
          </w:p>
        </w:tc>
      </w:tr>
      <w:tr w:rsidR="008A2411" w:rsidRPr="008A2411" w14:paraId="0FA27799" w14:textId="77777777">
        <w:trPr>
          <w:cantSplit/>
          <w:jc w:val="center"/>
        </w:trPr>
        <w:tc>
          <w:tcPr>
            <w:tcW w:w="3259" w:type="dxa"/>
            <w:tcBorders>
              <w:top w:val="single" w:sz="4" w:space="0" w:color="auto"/>
              <w:left w:val="single" w:sz="4" w:space="0" w:color="auto"/>
              <w:bottom w:val="single" w:sz="4" w:space="0" w:color="auto"/>
              <w:right w:val="single" w:sz="4" w:space="0" w:color="auto"/>
            </w:tcBorders>
            <w:vAlign w:val="center"/>
          </w:tcPr>
          <w:p w14:paraId="432ED076"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燃烧</w:t>
            </w:r>
            <w:r w:rsidRPr="008A2411">
              <w:rPr>
                <w:rFonts w:ascii="Times New Roman" w:hAnsi="Times New Roman" w:cs="Times New Roman"/>
                <w:color w:val="000000" w:themeColor="text1"/>
                <w:sz w:val="21"/>
              </w:rPr>
              <w:t>1m</w:t>
            </w:r>
            <w:r w:rsidRPr="008A2411">
              <w:rPr>
                <w:rFonts w:ascii="Times New Roman" w:hAnsi="Times New Roman" w:cs="Times New Roman"/>
                <w:color w:val="000000" w:themeColor="text1"/>
                <w:sz w:val="21"/>
                <w:vertAlign w:val="superscript"/>
              </w:rPr>
              <w:t>3</w:t>
            </w:r>
            <w:proofErr w:type="gramStart"/>
            <w:r w:rsidRPr="008A2411">
              <w:rPr>
                <w:rFonts w:ascii="Times New Roman" w:hAnsi="Times New Roman" w:cs="Times New Roman"/>
                <w:color w:val="000000" w:themeColor="text1"/>
                <w:sz w:val="21"/>
              </w:rPr>
              <w:t>气需空气</w:t>
            </w:r>
            <w:proofErr w:type="gramEnd"/>
            <w:r w:rsidRPr="008A2411">
              <w:rPr>
                <w:rFonts w:ascii="Times New Roman" w:hAnsi="Times New Roman" w:cs="Times New Roman"/>
                <w:color w:val="000000" w:themeColor="text1"/>
                <w:sz w:val="21"/>
              </w:rPr>
              <w:t>量</w:t>
            </w:r>
            <w:r w:rsidRPr="008A2411">
              <w:rPr>
                <w:rFonts w:ascii="Times New Roman" w:hAnsi="Times New Roman" w:cs="Times New Roman"/>
                <w:color w:val="000000" w:themeColor="text1"/>
                <w:sz w:val="21"/>
              </w:rPr>
              <w:t>(m</w:t>
            </w:r>
            <w:r w:rsidRPr="008A2411">
              <w:rPr>
                <w:rFonts w:ascii="Times New Roman" w:hAnsi="Times New Roman" w:cs="Times New Roman"/>
                <w:color w:val="000000" w:themeColor="text1"/>
                <w:sz w:val="21"/>
                <w:vertAlign w:val="superscript"/>
              </w:rPr>
              <w:t>3</w:t>
            </w:r>
            <w:r w:rsidRPr="008A2411">
              <w:rPr>
                <w:rFonts w:ascii="Times New Roman" w:hAnsi="Times New Roman" w:cs="Times New Roman"/>
                <w:color w:val="000000" w:themeColor="text1"/>
                <w:sz w:val="21"/>
              </w:rPr>
              <w:t>)</w:t>
            </w:r>
          </w:p>
        </w:tc>
        <w:tc>
          <w:tcPr>
            <w:tcW w:w="1023" w:type="dxa"/>
            <w:tcBorders>
              <w:top w:val="single" w:sz="4" w:space="0" w:color="auto"/>
              <w:left w:val="single" w:sz="4" w:space="0" w:color="auto"/>
              <w:bottom w:val="single" w:sz="4" w:space="0" w:color="auto"/>
              <w:right w:val="single" w:sz="4" w:space="0" w:color="auto"/>
            </w:tcBorders>
            <w:vAlign w:val="center"/>
          </w:tcPr>
          <w:p w14:paraId="76001435"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9.54</w:t>
            </w:r>
          </w:p>
        </w:tc>
        <w:tc>
          <w:tcPr>
            <w:tcW w:w="830" w:type="dxa"/>
            <w:tcBorders>
              <w:top w:val="single" w:sz="4" w:space="0" w:color="auto"/>
              <w:left w:val="single" w:sz="4" w:space="0" w:color="auto"/>
              <w:bottom w:val="single" w:sz="4" w:space="0" w:color="auto"/>
              <w:right w:val="single" w:sz="4" w:space="0" w:color="auto"/>
            </w:tcBorders>
            <w:vAlign w:val="center"/>
          </w:tcPr>
          <w:p w14:paraId="7C14312F"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16.7</w:t>
            </w:r>
          </w:p>
        </w:tc>
        <w:tc>
          <w:tcPr>
            <w:tcW w:w="846" w:type="dxa"/>
            <w:tcBorders>
              <w:top w:val="single" w:sz="4" w:space="0" w:color="auto"/>
              <w:left w:val="single" w:sz="4" w:space="0" w:color="auto"/>
              <w:bottom w:val="single" w:sz="4" w:space="0" w:color="auto"/>
              <w:right w:val="single" w:sz="4" w:space="0" w:color="auto"/>
            </w:tcBorders>
            <w:vAlign w:val="center"/>
          </w:tcPr>
          <w:p w14:paraId="2DAFC2B3"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23.9</w:t>
            </w:r>
          </w:p>
        </w:tc>
        <w:tc>
          <w:tcPr>
            <w:tcW w:w="1011" w:type="dxa"/>
            <w:tcBorders>
              <w:top w:val="single" w:sz="4" w:space="0" w:color="auto"/>
              <w:left w:val="single" w:sz="4" w:space="0" w:color="auto"/>
              <w:bottom w:val="single" w:sz="4" w:space="0" w:color="auto"/>
              <w:right w:val="single" w:sz="4" w:space="0" w:color="auto"/>
            </w:tcBorders>
            <w:vAlign w:val="center"/>
          </w:tcPr>
          <w:p w14:paraId="4ACD12C9"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31.02</w:t>
            </w:r>
          </w:p>
        </w:tc>
        <w:tc>
          <w:tcPr>
            <w:tcW w:w="1103" w:type="dxa"/>
            <w:tcBorders>
              <w:top w:val="single" w:sz="4" w:space="0" w:color="auto"/>
              <w:left w:val="single" w:sz="4" w:space="0" w:color="auto"/>
              <w:bottom w:val="single" w:sz="4" w:space="0" w:color="auto"/>
              <w:right w:val="single" w:sz="4" w:space="0" w:color="auto"/>
            </w:tcBorders>
            <w:vAlign w:val="center"/>
          </w:tcPr>
          <w:p w14:paraId="385686FB"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31.02</w:t>
            </w:r>
          </w:p>
        </w:tc>
        <w:tc>
          <w:tcPr>
            <w:tcW w:w="1044" w:type="dxa"/>
            <w:tcBorders>
              <w:top w:val="single" w:sz="4" w:space="0" w:color="auto"/>
              <w:left w:val="single" w:sz="4" w:space="0" w:color="auto"/>
              <w:bottom w:val="single" w:sz="4" w:space="0" w:color="auto"/>
              <w:right w:val="single" w:sz="4" w:space="0" w:color="auto"/>
            </w:tcBorders>
            <w:vAlign w:val="center"/>
          </w:tcPr>
          <w:p w14:paraId="6A851C7B"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38.18</w:t>
            </w:r>
          </w:p>
        </w:tc>
      </w:tr>
      <w:tr w:rsidR="008A2411" w:rsidRPr="008A2411" w14:paraId="7903AA26" w14:textId="77777777">
        <w:trPr>
          <w:cantSplit/>
          <w:jc w:val="center"/>
        </w:trPr>
        <w:tc>
          <w:tcPr>
            <w:tcW w:w="3259" w:type="dxa"/>
            <w:tcBorders>
              <w:top w:val="single" w:sz="4" w:space="0" w:color="auto"/>
              <w:left w:val="single" w:sz="4" w:space="0" w:color="auto"/>
              <w:bottom w:val="single" w:sz="4" w:space="0" w:color="auto"/>
              <w:right w:val="single" w:sz="4" w:space="0" w:color="auto"/>
            </w:tcBorders>
            <w:vAlign w:val="center"/>
          </w:tcPr>
          <w:p w14:paraId="66D2E50C"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最大火焰传播速度</w:t>
            </w:r>
            <w:r w:rsidRPr="008A2411">
              <w:rPr>
                <w:rFonts w:ascii="Times New Roman" w:hAnsi="Times New Roman" w:cs="Times New Roman"/>
                <w:color w:val="000000" w:themeColor="text1"/>
                <w:sz w:val="21"/>
              </w:rPr>
              <w:t>(m/s)</w:t>
            </w:r>
          </w:p>
        </w:tc>
        <w:tc>
          <w:tcPr>
            <w:tcW w:w="1023" w:type="dxa"/>
            <w:tcBorders>
              <w:top w:val="single" w:sz="4" w:space="0" w:color="auto"/>
              <w:left w:val="single" w:sz="4" w:space="0" w:color="auto"/>
              <w:bottom w:val="single" w:sz="4" w:space="0" w:color="auto"/>
              <w:right w:val="single" w:sz="4" w:space="0" w:color="auto"/>
            </w:tcBorders>
            <w:vAlign w:val="center"/>
          </w:tcPr>
          <w:p w14:paraId="43A9ED9A"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0.67</w:t>
            </w:r>
          </w:p>
        </w:tc>
        <w:tc>
          <w:tcPr>
            <w:tcW w:w="830" w:type="dxa"/>
            <w:tcBorders>
              <w:top w:val="single" w:sz="4" w:space="0" w:color="auto"/>
              <w:left w:val="single" w:sz="4" w:space="0" w:color="auto"/>
              <w:bottom w:val="single" w:sz="4" w:space="0" w:color="auto"/>
              <w:right w:val="single" w:sz="4" w:space="0" w:color="auto"/>
            </w:tcBorders>
            <w:vAlign w:val="center"/>
          </w:tcPr>
          <w:p w14:paraId="690D0A87"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0.86</w:t>
            </w:r>
          </w:p>
        </w:tc>
        <w:tc>
          <w:tcPr>
            <w:tcW w:w="846" w:type="dxa"/>
            <w:tcBorders>
              <w:top w:val="single" w:sz="4" w:space="0" w:color="auto"/>
              <w:left w:val="single" w:sz="4" w:space="0" w:color="auto"/>
              <w:bottom w:val="single" w:sz="4" w:space="0" w:color="auto"/>
              <w:right w:val="single" w:sz="4" w:space="0" w:color="auto"/>
            </w:tcBorders>
            <w:vAlign w:val="center"/>
          </w:tcPr>
          <w:p w14:paraId="3459D83A"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0.82</w:t>
            </w:r>
          </w:p>
        </w:tc>
        <w:tc>
          <w:tcPr>
            <w:tcW w:w="1011" w:type="dxa"/>
            <w:tcBorders>
              <w:top w:val="single" w:sz="4" w:space="0" w:color="auto"/>
              <w:left w:val="single" w:sz="4" w:space="0" w:color="auto"/>
              <w:bottom w:val="single" w:sz="4" w:space="0" w:color="auto"/>
              <w:right w:val="single" w:sz="4" w:space="0" w:color="auto"/>
            </w:tcBorders>
            <w:vAlign w:val="center"/>
          </w:tcPr>
          <w:p w14:paraId="75C8F438"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0.82</w:t>
            </w:r>
          </w:p>
        </w:tc>
        <w:tc>
          <w:tcPr>
            <w:tcW w:w="1103" w:type="dxa"/>
            <w:tcBorders>
              <w:top w:val="single" w:sz="4" w:space="0" w:color="auto"/>
              <w:left w:val="single" w:sz="4" w:space="0" w:color="auto"/>
              <w:bottom w:val="single" w:sz="4" w:space="0" w:color="auto"/>
              <w:right w:val="single" w:sz="4" w:space="0" w:color="auto"/>
            </w:tcBorders>
            <w:vAlign w:val="center"/>
          </w:tcPr>
          <w:p w14:paraId="394E0FAA"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w:t>
            </w:r>
          </w:p>
        </w:tc>
        <w:tc>
          <w:tcPr>
            <w:tcW w:w="1044" w:type="dxa"/>
            <w:tcBorders>
              <w:top w:val="single" w:sz="4" w:space="0" w:color="auto"/>
              <w:left w:val="single" w:sz="4" w:space="0" w:color="auto"/>
              <w:bottom w:val="single" w:sz="4" w:space="0" w:color="auto"/>
              <w:right w:val="single" w:sz="4" w:space="0" w:color="auto"/>
            </w:tcBorders>
            <w:vAlign w:val="center"/>
          </w:tcPr>
          <w:p w14:paraId="02BBC866" w14:textId="77777777" w:rsidR="00B0005F" w:rsidRPr="008A2411" w:rsidRDefault="00000000">
            <w:pPr>
              <w:pStyle w:val="afffffffffffff1"/>
              <w:ind w:left="0" w:right="0"/>
              <w:rPr>
                <w:rFonts w:ascii="Times New Roman" w:hAnsi="Times New Roman" w:cs="Times New Roman"/>
                <w:color w:val="000000" w:themeColor="text1"/>
                <w:sz w:val="21"/>
              </w:rPr>
            </w:pPr>
            <w:r w:rsidRPr="008A2411">
              <w:rPr>
                <w:rFonts w:ascii="Times New Roman" w:hAnsi="Times New Roman" w:cs="Times New Roman"/>
                <w:color w:val="000000" w:themeColor="text1"/>
                <w:sz w:val="21"/>
              </w:rPr>
              <w:t>/</w:t>
            </w:r>
          </w:p>
        </w:tc>
      </w:tr>
    </w:tbl>
    <w:p w14:paraId="1CA35D62"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2</w:t>
      </w:r>
      <w:r w:rsidRPr="008A2411">
        <w:rPr>
          <w:rFonts w:ascii="Times New Roman"/>
          <w:bCs/>
          <w:color w:val="000000" w:themeColor="text1"/>
        </w:rPr>
        <w:t>）甲烷</w:t>
      </w:r>
    </w:p>
    <w:p w14:paraId="42424075" w14:textId="77777777" w:rsidR="00B0005F" w:rsidRPr="008A2411" w:rsidRDefault="00000000">
      <w:pPr>
        <w:pStyle w:val="afffffff9"/>
        <w:spacing w:line="240" w:lineRule="auto"/>
        <w:ind w:firstLineChars="0" w:firstLine="0"/>
        <w:jc w:val="center"/>
        <w:rPr>
          <w:rFonts w:ascii="Times New Roman" w:eastAsia="黑体" w:hAnsi="Times New Roman"/>
          <w:bCs/>
          <w:color w:val="000000" w:themeColor="text1"/>
        </w:rPr>
      </w:pPr>
      <w:r w:rsidRPr="008A2411">
        <w:rPr>
          <w:rFonts w:ascii="Times New Roman" w:eastAsia="黑体" w:hAnsi="Times New Roman"/>
          <w:bCs/>
          <w:color w:val="000000" w:themeColor="text1"/>
        </w:rPr>
        <w:t>表</w:t>
      </w:r>
      <w:r w:rsidRPr="008A2411">
        <w:rPr>
          <w:rFonts w:ascii="Times New Roman" w:eastAsia="黑体" w:hAnsi="Times New Roman"/>
          <w:bCs/>
          <w:color w:val="000000" w:themeColor="text1"/>
        </w:rPr>
        <w:t xml:space="preserve">6.5-3  </w:t>
      </w:r>
      <w:r w:rsidRPr="008A2411">
        <w:rPr>
          <w:rFonts w:ascii="Times New Roman" w:eastAsia="黑体" w:hAnsi="Times New Roman"/>
          <w:bCs/>
          <w:color w:val="000000" w:themeColor="text1"/>
        </w:rPr>
        <w:t>甲烷危险、有害特性表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1638"/>
        <w:gridCol w:w="1764"/>
        <w:gridCol w:w="1916"/>
        <w:gridCol w:w="101"/>
        <w:gridCol w:w="2286"/>
      </w:tblGrid>
      <w:tr w:rsidR="008A2411" w:rsidRPr="008A2411" w14:paraId="42FABCA5" w14:textId="77777777">
        <w:trPr>
          <w:cantSplit/>
          <w:trHeight w:val="340"/>
          <w:jc w:val="center"/>
        </w:trPr>
        <w:tc>
          <w:tcPr>
            <w:tcW w:w="480" w:type="pct"/>
            <w:vMerge w:val="restart"/>
            <w:vAlign w:val="center"/>
          </w:tcPr>
          <w:p w14:paraId="02AFA9C4"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标识</w:t>
            </w:r>
          </w:p>
        </w:tc>
        <w:tc>
          <w:tcPr>
            <w:tcW w:w="961" w:type="pct"/>
            <w:vAlign w:val="center"/>
          </w:tcPr>
          <w:p w14:paraId="28106ED7"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中文名</w:t>
            </w:r>
          </w:p>
        </w:tc>
        <w:tc>
          <w:tcPr>
            <w:tcW w:w="1035" w:type="pct"/>
            <w:vAlign w:val="center"/>
          </w:tcPr>
          <w:p w14:paraId="1978EF26"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甲烷</w:t>
            </w:r>
          </w:p>
        </w:tc>
        <w:tc>
          <w:tcPr>
            <w:tcW w:w="1124" w:type="pct"/>
            <w:vAlign w:val="center"/>
          </w:tcPr>
          <w:p w14:paraId="4F7B426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英文名</w:t>
            </w:r>
          </w:p>
        </w:tc>
        <w:tc>
          <w:tcPr>
            <w:tcW w:w="1400" w:type="pct"/>
            <w:gridSpan w:val="2"/>
            <w:vAlign w:val="center"/>
          </w:tcPr>
          <w:p w14:paraId="46AF025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Methane</w:t>
            </w:r>
          </w:p>
        </w:tc>
      </w:tr>
      <w:tr w:rsidR="008A2411" w:rsidRPr="008A2411" w14:paraId="040B186B" w14:textId="77777777">
        <w:trPr>
          <w:cantSplit/>
          <w:trHeight w:val="340"/>
          <w:jc w:val="center"/>
        </w:trPr>
        <w:tc>
          <w:tcPr>
            <w:tcW w:w="480" w:type="pct"/>
            <w:vMerge/>
            <w:vAlign w:val="center"/>
          </w:tcPr>
          <w:p w14:paraId="2823E062" w14:textId="77777777" w:rsidR="00B0005F" w:rsidRPr="008A2411" w:rsidRDefault="00B0005F">
            <w:pPr>
              <w:jc w:val="center"/>
              <w:rPr>
                <w:rFonts w:ascii="Times New Roman"/>
                <w:bCs/>
                <w:color w:val="000000" w:themeColor="text1"/>
                <w:sz w:val="21"/>
                <w:szCs w:val="21"/>
              </w:rPr>
            </w:pPr>
          </w:p>
        </w:tc>
        <w:tc>
          <w:tcPr>
            <w:tcW w:w="961" w:type="pct"/>
            <w:vAlign w:val="center"/>
          </w:tcPr>
          <w:p w14:paraId="0363CC4C"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化学式</w:t>
            </w:r>
          </w:p>
        </w:tc>
        <w:tc>
          <w:tcPr>
            <w:tcW w:w="1035" w:type="pct"/>
            <w:vAlign w:val="center"/>
          </w:tcPr>
          <w:p w14:paraId="26A1380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CH4</w:t>
            </w:r>
          </w:p>
        </w:tc>
        <w:tc>
          <w:tcPr>
            <w:tcW w:w="1124" w:type="pct"/>
            <w:vAlign w:val="center"/>
          </w:tcPr>
          <w:p w14:paraId="11EF5C2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分子量</w:t>
            </w:r>
          </w:p>
        </w:tc>
        <w:tc>
          <w:tcPr>
            <w:tcW w:w="1400" w:type="pct"/>
            <w:gridSpan w:val="2"/>
            <w:vAlign w:val="center"/>
          </w:tcPr>
          <w:p w14:paraId="26AE33E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16.04</w:t>
            </w:r>
          </w:p>
        </w:tc>
      </w:tr>
      <w:tr w:rsidR="008A2411" w:rsidRPr="008A2411" w14:paraId="568C77AF" w14:textId="77777777">
        <w:trPr>
          <w:cantSplit/>
          <w:trHeight w:val="340"/>
          <w:jc w:val="center"/>
        </w:trPr>
        <w:tc>
          <w:tcPr>
            <w:tcW w:w="480" w:type="pct"/>
            <w:vMerge/>
            <w:vAlign w:val="center"/>
          </w:tcPr>
          <w:p w14:paraId="38B46403" w14:textId="77777777" w:rsidR="00B0005F" w:rsidRPr="008A2411" w:rsidRDefault="00B0005F">
            <w:pPr>
              <w:jc w:val="center"/>
              <w:rPr>
                <w:rFonts w:ascii="Times New Roman"/>
                <w:bCs/>
                <w:color w:val="000000" w:themeColor="text1"/>
                <w:sz w:val="21"/>
                <w:szCs w:val="21"/>
              </w:rPr>
            </w:pPr>
          </w:p>
        </w:tc>
        <w:tc>
          <w:tcPr>
            <w:tcW w:w="961" w:type="pct"/>
            <w:vAlign w:val="center"/>
          </w:tcPr>
          <w:p w14:paraId="7B6DA83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ICSC</w:t>
            </w:r>
            <w:r w:rsidRPr="008A2411">
              <w:rPr>
                <w:rFonts w:ascii="Times New Roman"/>
                <w:bCs/>
                <w:color w:val="000000" w:themeColor="text1"/>
                <w:sz w:val="21"/>
                <w:szCs w:val="21"/>
              </w:rPr>
              <w:t>编号</w:t>
            </w:r>
          </w:p>
        </w:tc>
        <w:tc>
          <w:tcPr>
            <w:tcW w:w="1035" w:type="pct"/>
            <w:vAlign w:val="center"/>
          </w:tcPr>
          <w:p w14:paraId="38DA6F97"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0291</w:t>
            </w:r>
          </w:p>
        </w:tc>
        <w:tc>
          <w:tcPr>
            <w:tcW w:w="1124" w:type="pct"/>
            <w:vAlign w:val="center"/>
          </w:tcPr>
          <w:p w14:paraId="2EF7BD36"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IMDG</w:t>
            </w:r>
            <w:r w:rsidRPr="008A2411">
              <w:rPr>
                <w:rFonts w:ascii="Times New Roman"/>
                <w:bCs/>
                <w:color w:val="000000" w:themeColor="text1"/>
                <w:sz w:val="21"/>
                <w:szCs w:val="21"/>
              </w:rPr>
              <w:t>规则页码</w:t>
            </w:r>
          </w:p>
        </w:tc>
        <w:tc>
          <w:tcPr>
            <w:tcW w:w="1400" w:type="pct"/>
            <w:gridSpan w:val="2"/>
            <w:vAlign w:val="center"/>
          </w:tcPr>
          <w:p w14:paraId="712293C9"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2156</w:t>
            </w:r>
          </w:p>
        </w:tc>
      </w:tr>
      <w:tr w:rsidR="008A2411" w:rsidRPr="008A2411" w14:paraId="76E418C0" w14:textId="77777777">
        <w:trPr>
          <w:cantSplit/>
          <w:trHeight w:val="340"/>
          <w:jc w:val="center"/>
        </w:trPr>
        <w:tc>
          <w:tcPr>
            <w:tcW w:w="480" w:type="pct"/>
            <w:vMerge/>
            <w:vAlign w:val="center"/>
          </w:tcPr>
          <w:p w14:paraId="65D8638B" w14:textId="77777777" w:rsidR="00B0005F" w:rsidRPr="008A2411" w:rsidRDefault="00B0005F">
            <w:pPr>
              <w:jc w:val="center"/>
              <w:rPr>
                <w:rFonts w:ascii="Times New Roman"/>
                <w:bCs/>
                <w:color w:val="000000" w:themeColor="text1"/>
                <w:sz w:val="21"/>
                <w:szCs w:val="21"/>
              </w:rPr>
            </w:pPr>
          </w:p>
        </w:tc>
        <w:tc>
          <w:tcPr>
            <w:tcW w:w="961" w:type="pct"/>
            <w:vAlign w:val="center"/>
          </w:tcPr>
          <w:p w14:paraId="396FA5B6"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CAS</w:t>
            </w:r>
            <w:r w:rsidRPr="008A2411">
              <w:rPr>
                <w:rFonts w:ascii="Times New Roman"/>
                <w:bCs/>
                <w:color w:val="000000" w:themeColor="text1"/>
                <w:sz w:val="21"/>
                <w:szCs w:val="21"/>
              </w:rPr>
              <w:t>号</w:t>
            </w:r>
          </w:p>
        </w:tc>
        <w:tc>
          <w:tcPr>
            <w:tcW w:w="1035" w:type="pct"/>
            <w:vAlign w:val="center"/>
          </w:tcPr>
          <w:p w14:paraId="0B35054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74-82-8</w:t>
            </w:r>
          </w:p>
        </w:tc>
        <w:tc>
          <w:tcPr>
            <w:tcW w:w="1124" w:type="pct"/>
            <w:vAlign w:val="center"/>
          </w:tcPr>
          <w:p w14:paraId="0C17ECDB"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RTECS</w:t>
            </w:r>
            <w:r w:rsidRPr="008A2411">
              <w:rPr>
                <w:rFonts w:ascii="Times New Roman"/>
                <w:bCs/>
                <w:color w:val="000000" w:themeColor="text1"/>
                <w:sz w:val="21"/>
                <w:szCs w:val="21"/>
              </w:rPr>
              <w:t>号</w:t>
            </w:r>
          </w:p>
        </w:tc>
        <w:tc>
          <w:tcPr>
            <w:tcW w:w="1400" w:type="pct"/>
            <w:gridSpan w:val="2"/>
            <w:vAlign w:val="center"/>
          </w:tcPr>
          <w:p w14:paraId="0CE6374C"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PA1490000</w:t>
            </w:r>
          </w:p>
        </w:tc>
      </w:tr>
      <w:tr w:rsidR="008A2411" w:rsidRPr="008A2411" w14:paraId="55133161" w14:textId="77777777">
        <w:trPr>
          <w:cantSplit/>
          <w:trHeight w:val="340"/>
          <w:jc w:val="center"/>
        </w:trPr>
        <w:tc>
          <w:tcPr>
            <w:tcW w:w="480" w:type="pct"/>
            <w:vMerge/>
            <w:vAlign w:val="center"/>
          </w:tcPr>
          <w:p w14:paraId="27967C28" w14:textId="77777777" w:rsidR="00B0005F" w:rsidRPr="008A2411" w:rsidRDefault="00B0005F">
            <w:pPr>
              <w:jc w:val="center"/>
              <w:rPr>
                <w:rFonts w:ascii="Times New Roman"/>
                <w:bCs/>
                <w:color w:val="000000" w:themeColor="text1"/>
                <w:sz w:val="21"/>
                <w:szCs w:val="21"/>
              </w:rPr>
            </w:pPr>
          </w:p>
        </w:tc>
        <w:tc>
          <w:tcPr>
            <w:tcW w:w="961" w:type="pct"/>
            <w:vAlign w:val="center"/>
          </w:tcPr>
          <w:p w14:paraId="5325CE7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UN</w:t>
            </w:r>
            <w:r w:rsidRPr="008A2411">
              <w:rPr>
                <w:rFonts w:ascii="Times New Roman"/>
                <w:bCs/>
                <w:color w:val="000000" w:themeColor="text1"/>
                <w:sz w:val="21"/>
                <w:szCs w:val="21"/>
              </w:rPr>
              <w:t>编号</w:t>
            </w:r>
          </w:p>
        </w:tc>
        <w:tc>
          <w:tcPr>
            <w:tcW w:w="1035" w:type="pct"/>
            <w:vAlign w:val="center"/>
          </w:tcPr>
          <w:p w14:paraId="6C6F87F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1971</w:t>
            </w:r>
          </w:p>
        </w:tc>
        <w:tc>
          <w:tcPr>
            <w:tcW w:w="1124" w:type="pct"/>
            <w:vAlign w:val="center"/>
          </w:tcPr>
          <w:p w14:paraId="0DBF366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危险货物编号</w:t>
            </w:r>
          </w:p>
        </w:tc>
        <w:tc>
          <w:tcPr>
            <w:tcW w:w="1400" w:type="pct"/>
            <w:gridSpan w:val="2"/>
            <w:vAlign w:val="center"/>
          </w:tcPr>
          <w:p w14:paraId="7B966E5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21007</w:t>
            </w:r>
          </w:p>
        </w:tc>
      </w:tr>
      <w:tr w:rsidR="008A2411" w:rsidRPr="008A2411" w14:paraId="04DA49EF" w14:textId="77777777">
        <w:trPr>
          <w:cantSplit/>
          <w:trHeight w:val="340"/>
          <w:jc w:val="center"/>
        </w:trPr>
        <w:tc>
          <w:tcPr>
            <w:tcW w:w="480" w:type="pct"/>
            <w:vMerge/>
            <w:vAlign w:val="center"/>
          </w:tcPr>
          <w:p w14:paraId="5C5A3E2A" w14:textId="77777777" w:rsidR="00B0005F" w:rsidRPr="008A2411" w:rsidRDefault="00B0005F">
            <w:pPr>
              <w:jc w:val="center"/>
              <w:rPr>
                <w:rFonts w:ascii="Times New Roman"/>
                <w:bCs/>
                <w:color w:val="000000" w:themeColor="text1"/>
                <w:sz w:val="21"/>
                <w:szCs w:val="21"/>
              </w:rPr>
            </w:pPr>
          </w:p>
        </w:tc>
        <w:tc>
          <w:tcPr>
            <w:tcW w:w="961" w:type="pct"/>
            <w:vAlign w:val="center"/>
          </w:tcPr>
          <w:p w14:paraId="0D0FA8A1"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EC</w:t>
            </w:r>
            <w:r w:rsidRPr="008A2411">
              <w:rPr>
                <w:rFonts w:ascii="Times New Roman"/>
                <w:bCs/>
                <w:color w:val="000000" w:themeColor="text1"/>
                <w:sz w:val="21"/>
                <w:szCs w:val="21"/>
              </w:rPr>
              <w:t>编号</w:t>
            </w:r>
          </w:p>
        </w:tc>
        <w:tc>
          <w:tcPr>
            <w:tcW w:w="1035" w:type="pct"/>
            <w:vAlign w:val="center"/>
          </w:tcPr>
          <w:p w14:paraId="2CC4D406"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601-001-00-4</w:t>
            </w:r>
          </w:p>
        </w:tc>
        <w:tc>
          <w:tcPr>
            <w:tcW w:w="1124" w:type="pct"/>
            <w:vAlign w:val="center"/>
          </w:tcPr>
          <w:p w14:paraId="1606B21D" w14:textId="77777777" w:rsidR="00B0005F" w:rsidRPr="008A2411" w:rsidRDefault="00B0005F">
            <w:pPr>
              <w:jc w:val="center"/>
              <w:rPr>
                <w:rFonts w:ascii="Times New Roman"/>
                <w:bCs/>
                <w:color w:val="000000" w:themeColor="text1"/>
                <w:sz w:val="21"/>
                <w:szCs w:val="21"/>
              </w:rPr>
            </w:pPr>
          </w:p>
        </w:tc>
        <w:tc>
          <w:tcPr>
            <w:tcW w:w="1400" w:type="pct"/>
            <w:gridSpan w:val="2"/>
            <w:vAlign w:val="center"/>
          </w:tcPr>
          <w:p w14:paraId="19EBC466" w14:textId="77777777" w:rsidR="00B0005F" w:rsidRPr="008A2411" w:rsidRDefault="00B0005F">
            <w:pPr>
              <w:jc w:val="center"/>
              <w:rPr>
                <w:rFonts w:ascii="Times New Roman"/>
                <w:bCs/>
                <w:color w:val="000000" w:themeColor="text1"/>
                <w:sz w:val="21"/>
                <w:szCs w:val="21"/>
              </w:rPr>
            </w:pPr>
          </w:p>
        </w:tc>
      </w:tr>
      <w:tr w:rsidR="008A2411" w:rsidRPr="008A2411" w14:paraId="7AD95C31" w14:textId="77777777">
        <w:trPr>
          <w:cantSplit/>
          <w:trHeight w:val="340"/>
          <w:jc w:val="center"/>
        </w:trPr>
        <w:tc>
          <w:tcPr>
            <w:tcW w:w="480" w:type="pct"/>
            <w:vMerge w:val="restart"/>
            <w:vAlign w:val="center"/>
          </w:tcPr>
          <w:p w14:paraId="4553173D"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理化</w:t>
            </w:r>
          </w:p>
          <w:p w14:paraId="1FAF489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性质</w:t>
            </w:r>
          </w:p>
        </w:tc>
        <w:tc>
          <w:tcPr>
            <w:tcW w:w="961" w:type="pct"/>
            <w:vAlign w:val="center"/>
          </w:tcPr>
          <w:p w14:paraId="2280A2F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外观与性状</w:t>
            </w:r>
          </w:p>
        </w:tc>
        <w:tc>
          <w:tcPr>
            <w:tcW w:w="3559" w:type="pct"/>
            <w:gridSpan w:val="4"/>
            <w:vAlign w:val="center"/>
          </w:tcPr>
          <w:p w14:paraId="3BF9D7D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无色无臭气体。</w:t>
            </w:r>
          </w:p>
        </w:tc>
      </w:tr>
      <w:tr w:rsidR="008A2411" w:rsidRPr="008A2411" w14:paraId="59636C1E" w14:textId="77777777">
        <w:trPr>
          <w:cantSplit/>
          <w:trHeight w:val="340"/>
          <w:jc w:val="center"/>
        </w:trPr>
        <w:tc>
          <w:tcPr>
            <w:tcW w:w="480" w:type="pct"/>
            <w:vMerge/>
            <w:vAlign w:val="center"/>
          </w:tcPr>
          <w:p w14:paraId="7FB2B9E2" w14:textId="77777777" w:rsidR="00B0005F" w:rsidRPr="008A2411" w:rsidRDefault="00B0005F">
            <w:pPr>
              <w:jc w:val="center"/>
              <w:rPr>
                <w:rFonts w:ascii="Times New Roman"/>
                <w:bCs/>
                <w:color w:val="000000" w:themeColor="text1"/>
                <w:sz w:val="21"/>
                <w:szCs w:val="21"/>
              </w:rPr>
            </w:pPr>
          </w:p>
        </w:tc>
        <w:tc>
          <w:tcPr>
            <w:tcW w:w="961" w:type="pct"/>
            <w:vAlign w:val="center"/>
          </w:tcPr>
          <w:p w14:paraId="06921D7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溶解性</w:t>
            </w:r>
          </w:p>
        </w:tc>
        <w:tc>
          <w:tcPr>
            <w:tcW w:w="3559" w:type="pct"/>
            <w:gridSpan w:val="4"/>
            <w:vAlign w:val="center"/>
          </w:tcPr>
          <w:p w14:paraId="2E82577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微溶于水，溶于乙醇、乙醚</w:t>
            </w:r>
            <w:r w:rsidRPr="008A2411">
              <w:rPr>
                <w:rFonts w:ascii="Times New Roman"/>
                <w:bCs/>
                <w:color w:val="000000" w:themeColor="text1"/>
                <w:sz w:val="21"/>
                <w:szCs w:val="21"/>
              </w:rPr>
              <w:t>.</w:t>
            </w:r>
          </w:p>
        </w:tc>
      </w:tr>
      <w:tr w:rsidR="008A2411" w:rsidRPr="008A2411" w14:paraId="5AB8A2C6" w14:textId="77777777">
        <w:trPr>
          <w:cantSplit/>
          <w:trHeight w:val="340"/>
          <w:jc w:val="center"/>
        </w:trPr>
        <w:tc>
          <w:tcPr>
            <w:tcW w:w="480" w:type="pct"/>
            <w:vMerge/>
            <w:vAlign w:val="center"/>
          </w:tcPr>
          <w:p w14:paraId="56379197" w14:textId="77777777" w:rsidR="00B0005F" w:rsidRPr="008A2411" w:rsidRDefault="00B0005F">
            <w:pPr>
              <w:jc w:val="center"/>
              <w:rPr>
                <w:rFonts w:ascii="Times New Roman"/>
                <w:bCs/>
                <w:color w:val="000000" w:themeColor="text1"/>
                <w:sz w:val="21"/>
                <w:szCs w:val="21"/>
              </w:rPr>
            </w:pPr>
          </w:p>
        </w:tc>
        <w:tc>
          <w:tcPr>
            <w:tcW w:w="961" w:type="pct"/>
            <w:vAlign w:val="center"/>
          </w:tcPr>
          <w:p w14:paraId="2CD92DC4"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主要用途</w:t>
            </w:r>
          </w:p>
        </w:tc>
        <w:tc>
          <w:tcPr>
            <w:tcW w:w="3559" w:type="pct"/>
            <w:gridSpan w:val="4"/>
            <w:vAlign w:val="center"/>
          </w:tcPr>
          <w:p w14:paraId="22BD7EDD"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用作燃料和用于炭黑、氢、乙炔、甲醛等的制造。</w:t>
            </w:r>
          </w:p>
        </w:tc>
      </w:tr>
      <w:tr w:rsidR="008A2411" w:rsidRPr="008A2411" w14:paraId="6C6760BC" w14:textId="77777777">
        <w:trPr>
          <w:cantSplit/>
          <w:trHeight w:val="340"/>
          <w:jc w:val="center"/>
        </w:trPr>
        <w:tc>
          <w:tcPr>
            <w:tcW w:w="480" w:type="pct"/>
            <w:vMerge/>
            <w:vAlign w:val="center"/>
          </w:tcPr>
          <w:p w14:paraId="7849727F" w14:textId="77777777" w:rsidR="00B0005F" w:rsidRPr="008A2411" w:rsidRDefault="00B0005F">
            <w:pPr>
              <w:jc w:val="center"/>
              <w:rPr>
                <w:rFonts w:ascii="Times New Roman"/>
                <w:bCs/>
                <w:color w:val="000000" w:themeColor="text1"/>
                <w:sz w:val="21"/>
                <w:szCs w:val="21"/>
              </w:rPr>
            </w:pPr>
          </w:p>
        </w:tc>
        <w:tc>
          <w:tcPr>
            <w:tcW w:w="961" w:type="pct"/>
            <w:vAlign w:val="center"/>
          </w:tcPr>
          <w:p w14:paraId="34BA79E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熔点</w:t>
            </w:r>
            <w:r w:rsidRPr="008A2411">
              <w:rPr>
                <w:rFonts w:ascii="Times New Roman"/>
                <w:bCs/>
                <w:color w:val="000000" w:themeColor="text1"/>
                <w:sz w:val="21"/>
                <w:szCs w:val="21"/>
              </w:rPr>
              <w:t>(℃</w:t>
            </w:r>
            <w:r w:rsidRPr="008A2411">
              <w:rPr>
                <w:rFonts w:ascii="Times New Roman"/>
                <w:bCs/>
                <w:color w:val="000000" w:themeColor="text1"/>
                <w:sz w:val="21"/>
                <w:szCs w:val="21"/>
              </w:rPr>
              <w:t>）</w:t>
            </w:r>
          </w:p>
        </w:tc>
        <w:tc>
          <w:tcPr>
            <w:tcW w:w="1035" w:type="pct"/>
            <w:vAlign w:val="center"/>
          </w:tcPr>
          <w:p w14:paraId="70E39836"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-182.5</w:t>
            </w:r>
          </w:p>
        </w:tc>
        <w:tc>
          <w:tcPr>
            <w:tcW w:w="1183" w:type="pct"/>
            <w:gridSpan w:val="2"/>
            <w:vAlign w:val="center"/>
          </w:tcPr>
          <w:p w14:paraId="66535523"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相对密度</w:t>
            </w:r>
            <w:r w:rsidRPr="008A2411">
              <w:rPr>
                <w:rFonts w:ascii="Times New Roman"/>
                <w:bCs/>
                <w:color w:val="000000" w:themeColor="text1"/>
                <w:sz w:val="21"/>
                <w:szCs w:val="21"/>
              </w:rPr>
              <w:t>(</w:t>
            </w:r>
            <w:r w:rsidRPr="008A2411">
              <w:rPr>
                <w:rFonts w:ascii="Times New Roman"/>
                <w:bCs/>
                <w:color w:val="000000" w:themeColor="text1"/>
                <w:sz w:val="21"/>
                <w:szCs w:val="21"/>
              </w:rPr>
              <w:t>水</w:t>
            </w:r>
            <w:r w:rsidRPr="008A2411">
              <w:rPr>
                <w:rFonts w:ascii="Times New Roman"/>
                <w:bCs/>
                <w:color w:val="000000" w:themeColor="text1"/>
                <w:sz w:val="21"/>
                <w:szCs w:val="21"/>
              </w:rPr>
              <w:t>=1</w:t>
            </w:r>
            <w:r w:rsidRPr="008A2411">
              <w:rPr>
                <w:rFonts w:ascii="Times New Roman"/>
                <w:bCs/>
                <w:color w:val="000000" w:themeColor="text1"/>
                <w:sz w:val="21"/>
                <w:szCs w:val="21"/>
              </w:rPr>
              <w:t>）</w:t>
            </w:r>
          </w:p>
        </w:tc>
        <w:tc>
          <w:tcPr>
            <w:tcW w:w="1341" w:type="pct"/>
            <w:vAlign w:val="center"/>
          </w:tcPr>
          <w:p w14:paraId="25F613E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0.42/-164℃</w:t>
            </w:r>
          </w:p>
        </w:tc>
      </w:tr>
      <w:tr w:rsidR="008A2411" w:rsidRPr="008A2411" w14:paraId="2051F43B" w14:textId="77777777">
        <w:trPr>
          <w:cantSplit/>
          <w:trHeight w:val="340"/>
          <w:jc w:val="center"/>
        </w:trPr>
        <w:tc>
          <w:tcPr>
            <w:tcW w:w="480" w:type="pct"/>
            <w:vMerge/>
            <w:vAlign w:val="center"/>
          </w:tcPr>
          <w:p w14:paraId="54F6ECE1" w14:textId="77777777" w:rsidR="00B0005F" w:rsidRPr="008A2411" w:rsidRDefault="00B0005F">
            <w:pPr>
              <w:jc w:val="center"/>
              <w:rPr>
                <w:rFonts w:ascii="Times New Roman"/>
                <w:bCs/>
                <w:color w:val="000000" w:themeColor="text1"/>
                <w:sz w:val="21"/>
                <w:szCs w:val="21"/>
              </w:rPr>
            </w:pPr>
          </w:p>
        </w:tc>
        <w:tc>
          <w:tcPr>
            <w:tcW w:w="961" w:type="pct"/>
            <w:vAlign w:val="center"/>
          </w:tcPr>
          <w:p w14:paraId="1FEA52D3"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沸点</w:t>
            </w:r>
            <w:r w:rsidRPr="008A2411">
              <w:rPr>
                <w:rFonts w:ascii="Times New Roman"/>
                <w:bCs/>
                <w:color w:val="000000" w:themeColor="text1"/>
                <w:sz w:val="21"/>
                <w:szCs w:val="21"/>
              </w:rPr>
              <w:t>(℃</w:t>
            </w:r>
            <w:r w:rsidRPr="008A2411">
              <w:rPr>
                <w:rFonts w:ascii="Times New Roman"/>
                <w:bCs/>
                <w:color w:val="000000" w:themeColor="text1"/>
                <w:sz w:val="21"/>
                <w:szCs w:val="21"/>
              </w:rPr>
              <w:t>）</w:t>
            </w:r>
          </w:p>
        </w:tc>
        <w:tc>
          <w:tcPr>
            <w:tcW w:w="1035" w:type="pct"/>
            <w:vAlign w:val="center"/>
          </w:tcPr>
          <w:p w14:paraId="7B782F6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-161.5</w:t>
            </w:r>
          </w:p>
        </w:tc>
        <w:tc>
          <w:tcPr>
            <w:tcW w:w="1183" w:type="pct"/>
            <w:gridSpan w:val="2"/>
            <w:vAlign w:val="center"/>
          </w:tcPr>
          <w:p w14:paraId="4CBEAE6C"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相对密度</w:t>
            </w:r>
            <w:r w:rsidRPr="008A2411">
              <w:rPr>
                <w:rFonts w:ascii="Times New Roman"/>
                <w:bCs/>
                <w:color w:val="000000" w:themeColor="text1"/>
                <w:sz w:val="21"/>
                <w:szCs w:val="21"/>
              </w:rPr>
              <w:t>(</w:t>
            </w:r>
            <w:r w:rsidRPr="008A2411">
              <w:rPr>
                <w:rFonts w:ascii="Times New Roman"/>
                <w:bCs/>
                <w:color w:val="000000" w:themeColor="text1"/>
                <w:sz w:val="21"/>
                <w:szCs w:val="21"/>
              </w:rPr>
              <w:t>空气</w:t>
            </w:r>
            <w:r w:rsidRPr="008A2411">
              <w:rPr>
                <w:rFonts w:ascii="Times New Roman"/>
                <w:bCs/>
                <w:color w:val="000000" w:themeColor="text1"/>
                <w:sz w:val="21"/>
                <w:szCs w:val="21"/>
              </w:rPr>
              <w:t>=1</w:t>
            </w:r>
            <w:r w:rsidRPr="008A2411">
              <w:rPr>
                <w:rFonts w:ascii="Times New Roman"/>
                <w:bCs/>
                <w:color w:val="000000" w:themeColor="text1"/>
                <w:sz w:val="21"/>
                <w:szCs w:val="21"/>
              </w:rPr>
              <w:t>）</w:t>
            </w:r>
          </w:p>
        </w:tc>
        <w:tc>
          <w:tcPr>
            <w:tcW w:w="1341" w:type="pct"/>
            <w:vAlign w:val="center"/>
          </w:tcPr>
          <w:p w14:paraId="4A364DC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0.55</w:t>
            </w:r>
          </w:p>
        </w:tc>
      </w:tr>
      <w:tr w:rsidR="008A2411" w:rsidRPr="008A2411" w14:paraId="269337AC" w14:textId="77777777">
        <w:trPr>
          <w:cantSplit/>
          <w:trHeight w:val="340"/>
          <w:jc w:val="center"/>
        </w:trPr>
        <w:tc>
          <w:tcPr>
            <w:tcW w:w="480" w:type="pct"/>
            <w:vMerge/>
            <w:vAlign w:val="center"/>
          </w:tcPr>
          <w:p w14:paraId="03132C5E" w14:textId="77777777" w:rsidR="00B0005F" w:rsidRPr="008A2411" w:rsidRDefault="00B0005F">
            <w:pPr>
              <w:jc w:val="center"/>
              <w:rPr>
                <w:rFonts w:ascii="Times New Roman"/>
                <w:bCs/>
                <w:color w:val="000000" w:themeColor="text1"/>
                <w:sz w:val="21"/>
                <w:szCs w:val="21"/>
              </w:rPr>
            </w:pPr>
          </w:p>
        </w:tc>
        <w:tc>
          <w:tcPr>
            <w:tcW w:w="961" w:type="pct"/>
            <w:vAlign w:val="center"/>
          </w:tcPr>
          <w:p w14:paraId="1199B6B7"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饱和蒸汽压</w:t>
            </w:r>
            <w:r w:rsidRPr="008A2411">
              <w:rPr>
                <w:rFonts w:ascii="Times New Roman"/>
                <w:bCs/>
                <w:color w:val="000000" w:themeColor="text1"/>
                <w:sz w:val="21"/>
                <w:szCs w:val="21"/>
              </w:rPr>
              <w:t>(kpa</w:t>
            </w:r>
            <w:r w:rsidRPr="008A2411">
              <w:rPr>
                <w:rFonts w:ascii="Times New Roman"/>
                <w:bCs/>
                <w:color w:val="000000" w:themeColor="text1"/>
                <w:sz w:val="21"/>
                <w:szCs w:val="21"/>
              </w:rPr>
              <w:t>）</w:t>
            </w:r>
          </w:p>
        </w:tc>
        <w:tc>
          <w:tcPr>
            <w:tcW w:w="2218" w:type="pct"/>
            <w:gridSpan w:val="3"/>
            <w:vAlign w:val="center"/>
          </w:tcPr>
          <w:p w14:paraId="51035689"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53.32(-168.8℃</w:t>
            </w:r>
            <w:r w:rsidRPr="008A2411">
              <w:rPr>
                <w:rFonts w:ascii="Times New Roman"/>
                <w:bCs/>
                <w:color w:val="000000" w:themeColor="text1"/>
                <w:sz w:val="21"/>
                <w:szCs w:val="21"/>
              </w:rPr>
              <w:t>）</w:t>
            </w:r>
          </w:p>
        </w:tc>
        <w:tc>
          <w:tcPr>
            <w:tcW w:w="1341" w:type="pct"/>
            <w:vAlign w:val="center"/>
          </w:tcPr>
          <w:p w14:paraId="081B9E43" w14:textId="77777777" w:rsidR="00B0005F" w:rsidRPr="008A2411" w:rsidRDefault="00B0005F">
            <w:pPr>
              <w:jc w:val="center"/>
              <w:rPr>
                <w:rFonts w:ascii="Times New Roman"/>
                <w:bCs/>
                <w:color w:val="000000" w:themeColor="text1"/>
                <w:sz w:val="21"/>
                <w:szCs w:val="21"/>
              </w:rPr>
            </w:pPr>
          </w:p>
        </w:tc>
      </w:tr>
      <w:tr w:rsidR="008A2411" w:rsidRPr="008A2411" w14:paraId="13F3E0FF" w14:textId="77777777">
        <w:trPr>
          <w:cantSplit/>
          <w:trHeight w:val="340"/>
          <w:jc w:val="center"/>
        </w:trPr>
        <w:tc>
          <w:tcPr>
            <w:tcW w:w="480" w:type="pct"/>
            <w:vMerge/>
            <w:vAlign w:val="center"/>
          </w:tcPr>
          <w:p w14:paraId="78CB9853" w14:textId="77777777" w:rsidR="00B0005F" w:rsidRPr="008A2411" w:rsidRDefault="00B0005F">
            <w:pPr>
              <w:jc w:val="center"/>
              <w:rPr>
                <w:rFonts w:ascii="Times New Roman"/>
                <w:bCs/>
                <w:color w:val="000000" w:themeColor="text1"/>
                <w:sz w:val="21"/>
                <w:szCs w:val="21"/>
              </w:rPr>
            </w:pPr>
          </w:p>
        </w:tc>
        <w:tc>
          <w:tcPr>
            <w:tcW w:w="961" w:type="pct"/>
            <w:vAlign w:val="center"/>
          </w:tcPr>
          <w:p w14:paraId="359F960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临界温度</w:t>
            </w:r>
            <w:r w:rsidRPr="008A2411">
              <w:rPr>
                <w:rFonts w:ascii="Times New Roman"/>
                <w:bCs/>
                <w:color w:val="000000" w:themeColor="text1"/>
                <w:sz w:val="21"/>
                <w:szCs w:val="21"/>
              </w:rPr>
              <w:t>(℃</w:t>
            </w:r>
            <w:r w:rsidRPr="008A2411">
              <w:rPr>
                <w:rFonts w:ascii="Times New Roman"/>
                <w:bCs/>
                <w:color w:val="000000" w:themeColor="text1"/>
                <w:sz w:val="21"/>
                <w:szCs w:val="21"/>
              </w:rPr>
              <w:t>）</w:t>
            </w:r>
          </w:p>
        </w:tc>
        <w:tc>
          <w:tcPr>
            <w:tcW w:w="1035" w:type="pct"/>
            <w:vAlign w:val="center"/>
          </w:tcPr>
          <w:p w14:paraId="464A3C91"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-82.6</w:t>
            </w:r>
          </w:p>
        </w:tc>
        <w:tc>
          <w:tcPr>
            <w:tcW w:w="1183" w:type="pct"/>
            <w:gridSpan w:val="2"/>
            <w:vAlign w:val="center"/>
          </w:tcPr>
          <w:p w14:paraId="290253DB"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临界压力</w:t>
            </w:r>
            <w:r w:rsidRPr="008A2411">
              <w:rPr>
                <w:rFonts w:ascii="Times New Roman"/>
                <w:bCs/>
                <w:color w:val="000000" w:themeColor="text1"/>
                <w:sz w:val="21"/>
                <w:szCs w:val="21"/>
              </w:rPr>
              <w:t>(Mpa</w:t>
            </w:r>
            <w:r w:rsidRPr="008A2411">
              <w:rPr>
                <w:rFonts w:ascii="Times New Roman"/>
                <w:bCs/>
                <w:color w:val="000000" w:themeColor="text1"/>
                <w:sz w:val="21"/>
                <w:szCs w:val="21"/>
              </w:rPr>
              <w:t>）</w:t>
            </w:r>
          </w:p>
        </w:tc>
        <w:tc>
          <w:tcPr>
            <w:tcW w:w="1341" w:type="pct"/>
            <w:vAlign w:val="center"/>
          </w:tcPr>
          <w:p w14:paraId="5957AF7B"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4.59</w:t>
            </w:r>
          </w:p>
        </w:tc>
      </w:tr>
      <w:tr w:rsidR="008A2411" w:rsidRPr="008A2411" w14:paraId="2E89239C" w14:textId="77777777">
        <w:trPr>
          <w:cantSplit/>
          <w:trHeight w:val="340"/>
          <w:jc w:val="center"/>
        </w:trPr>
        <w:tc>
          <w:tcPr>
            <w:tcW w:w="480" w:type="pct"/>
            <w:vMerge/>
            <w:vAlign w:val="center"/>
          </w:tcPr>
          <w:p w14:paraId="0E0B4BEA" w14:textId="77777777" w:rsidR="00B0005F" w:rsidRPr="008A2411" w:rsidRDefault="00B0005F">
            <w:pPr>
              <w:jc w:val="center"/>
              <w:rPr>
                <w:rFonts w:ascii="Times New Roman"/>
                <w:bCs/>
                <w:color w:val="000000" w:themeColor="text1"/>
                <w:sz w:val="21"/>
                <w:szCs w:val="21"/>
              </w:rPr>
            </w:pPr>
          </w:p>
        </w:tc>
        <w:tc>
          <w:tcPr>
            <w:tcW w:w="961" w:type="pct"/>
            <w:vAlign w:val="center"/>
          </w:tcPr>
          <w:p w14:paraId="626C091A"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燃烧热</w:t>
            </w:r>
            <w:r w:rsidRPr="008A2411">
              <w:rPr>
                <w:rFonts w:ascii="Times New Roman"/>
                <w:bCs/>
                <w:color w:val="000000" w:themeColor="text1"/>
                <w:sz w:val="21"/>
                <w:szCs w:val="21"/>
              </w:rPr>
              <w:t>(KJ/mol</w:t>
            </w:r>
            <w:r w:rsidRPr="008A2411">
              <w:rPr>
                <w:rFonts w:ascii="Times New Roman"/>
                <w:bCs/>
                <w:color w:val="000000" w:themeColor="text1"/>
                <w:sz w:val="21"/>
                <w:szCs w:val="21"/>
              </w:rPr>
              <w:t>）</w:t>
            </w:r>
          </w:p>
        </w:tc>
        <w:tc>
          <w:tcPr>
            <w:tcW w:w="1035" w:type="pct"/>
            <w:vAlign w:val="center"/>
          </w:tcPr>
          <w:p w14:paraId="65A61404"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889.5</w:t>
            </w:r>
          </w:p>
        </w:tc>
        <w:tc>
          <w:tcPr>
            <w:tcW w:w="1183" w:type="pct"/>
            <w:gridSpan w:val="2"/>
            <w:vAlign w:val="center"/>
          </w:tcPr>
          <w:p w14:paraId="2F5ADB09"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最小引燃能量</w:t>
            </w:r>
            <w:r w:rsidRPr="008A2411">
              <w:rPr>
                <w:rFonts w:ascii="Times New Roman"/>
                <w:bCs/>
                <w:color w:val="000000" w:themeColor="text1"/>
                <w:sz w:val="21"/>
                <w:szCs w:val="21"/>
              </w:rPr>
              <w:t>(mJ</w:t>
            </w:r>
            <w:r w:rsidRPr="008A2411">
              <w:rPr>
                <w:rFonts w:ascii="Times New Roman"/>
                <w:bCs/>
                <w:color w:val="000000" w:themeColor="text1"/>
                <w:sz w:val="21"/>
                <w:szCs w:val="21"/>
              </w:rPr>
              <w:t>）</w:t>
            </w:r>
          </w:p>
        </w:tc>
        <w:tc>
          <w:tcPr>
            <w:tcW w:w="1341" w:type="pct"/>
            <w:vAlign w:val="center"/>
          </w:tcPr>
          <w:p w14:paraId="4B91AC3B"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0.28</w:t>
            </w:r>
          </w:p>
        </w:tc>
      </w:tr>
      <w:tr w:rsidR="008A2411" w:rsidRPr="008A2411" w14:paraId="6109819A" w14:textId="77777777">
        <w:trPr>
          <w:cantSplit/>
          <w:trHeight w:val="340"/>
          <w:jc w:val="center"/>
        </w:trPr>
        <w:tc>
          <w:tcPr>
            <w:tcW w:w="480" w:type="pct"/>
            <w:vMerge w:val="restart"/>
            <w:vAlign w:val="center"/>
          </w:tcPr>
          <w:p w14:paraId="5E27D8C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毒性</w:t>
            </w:r>
          </w:p>
          <w:p w14:paraId="39B46AF1"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及健</w:t>
            </w:r>
          </w:p>
          <w:p w14:paraId="597763C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康危</w:t>
            </w:r>
          </w:p>
          <w:p w14:paraId="543CE83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害</w:t>
            </w:r>
          </w:p>
        </w:tc>
        <w:tc>
          <w:tcPr>
            <w:tcW w:w="961" w:type="pct"/>
            <w:vMerge w:val="restart"/>
            <w:vAlign w:val="center"/>
          </w:tcPr>
          <w:p w14:paraId="3FA68FE1"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接触限值</w:t>
            </w:r>
          </w:p>
        </w:tc>
        <w:tc>
          <w:tcPr>
            <w:tcW w:w="1035" w:type="pct"/>
            <w:vAlign w:val="center"/>
          </w:tcPr>
          <w:p w14:paraId="73EA8027"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中国</w:t>
            </w:r>
            <w:r w:rsidRPr="008A2411">
              <w:rPr>
                <w:rFonts w:ascii="Times New Roman"/>
                <w:bCs/>
                <w:color w:val="000000" w:themeColor="text1"/>
                <w:sz w:val="21"/>
                <w:szCs w:val="21"/>
              </w:rPr>
              <w:t>MAC</w:t>
            </w:r>
          </w:p>
        </w:tc>
        <w:tc>
          <w:tcPr>
            <w:tcW w:w="2524" w:type="pct"/>
            <w:gridSpan w:val="3"/>
            <w:vAlign w:val="center"/>
          </w:tcPr>
          <w:p w14:paraId="06435B1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未制定标准</w:t>
            </w:r>
          </w:p>
        </w:tc>
      </w:tr>
      <w:tr w:rsidR="008A2411" w:rsidRPr="008A2411" w14:paraId="34E02211" w14:textId="77777777">
        <w:trPr>
          <w:cantSplit/>
          <w:trHeight w:val="340"/>
          <w:jc w:val="center"/>
        </w:trPr>
        <w:tc>
          <w:tcPr>
            <w:tcW w:w="480" w:type="pct"/>
            <w:vMerge/>
            <w:vAlign w:val="center"/>
          </w:tcPr>
          <w:p w14:paraId="44BDD666" w14:textId="77777777" w:rsidR="00B0005F" w:rsidRPr="008A2411" w:rsidRDefault="00B0005F">
            <w:pPr>
              <w:jc w:val="center"/>
              <w:rPr>
                <w:rFonts w:ascii="Times New Roman"/>
                <w:bCs/>
                <w:color w:val="000000" w:themeColor="text1"/>
                <w:sz w:val="21"/>
                <w:szCs w:val="21"/>
              </w:rPr>
            </w:pPr>
          </w:p>
        </w:tc>
        <w:tc>
          <w:tcPr>
            <w:tcW w:w="961" w:type="pct"/>
            <w:vMerge/>
            <w:vAlign w:val="center"/>
          </w:tcPr>
          <w:p w14:paraId="41D6DEA5" w14:textId="77777777" w:rsidR="00B0005F" w:rsidRPr="008A2411" w:rsidRDefault="00B0005F">
            <w:pPr>
              <w:jc w:val="center"/>
              <w:rPr>
                <w:rFonts w:ascii="Times New Roman"/>
                <w:bCs/>
                <w:color w:val="000000" w:themeColor="text1"/>
                <w:sz w:val="21"/>
                <w:szCs w:val="21"/>
              </w:rPr>
            </w:pPr>
          </w:p>
        </w:tc>
        <w:tc>
          <w:tcPr>
            <w:tcW w:w="1035" w:type="pct"/>
            <w:vAlign w:val="center"/>
          </w:tcPr>
          <w:p w14:paraId="6B2846B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前苏联</w:t>
            </w:r>
            <w:r w:rsidRPr="008A2411">
              <w:rPr>
                <w:rFonts w:ascii="Times New Roman"/>
                <w:bCs/>
                <w:color w:val="000000" w:themeColor="text1"/>
                <w:sz w:val="21"/>
                <w:szCs w:val="21"/>
              </w:rPr>
              <w:t>MAC</w:t>
            </w:r>
          </w:p>
        </w:tc>
        <w:tc>
          <w:tcPr>
            <w:tcW w:w="2524" w:type="pct"/>
            <w:gridSpan w:val="3"/>
            <w:vAlign w:val="center"/>
          </w:tcPr>
          <w:p w14:paraId="032EC8F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300mg/m3</w:t>
            </w:r>
          </w:p>
        </w:tc>
      </w:tr>
      <w:tr w:rsidR="008A2411" w:rsidRPr="008A2411" w14:paraId="7093EFA9" w14:textId="77777777">
        <w:trPr>
          <w:cantSplit/>
          <w:trHeight w:val="340"/>
          <w:jc w:val="center"/>
        </w:trPr>
        <w:tc>
          <w:tcPr>
            <w:tcW w:w="480" w:type="pct"/>
            <w:vMerge/>
            <w:vAlign w:val="center"/>
          </w:tcPr>
          <w:p w14:paraId="1587AF76" w14:textId="77777777" w:rsidR="00B0005F" w:rsidRPr="008A2411" w:rsidRDefault="00B0005F">
            <w:pPr>
              <w:jc w:val="center"/>
              <w:rPr>
                <w:rFonts w:ascii="Times New Roman"/>
                <w:bCs/>
                <w:color w:val="000000" w:themeColor="text1"/>
                <w:sz w:val="21"/>
                <w:szCs w:val="21"/>
              </w:rPr>
            </w:pPr>
          </w:p>
        </w:tc>
        <w:tc>
          <w:tcPr>
            <w:tcW w:w="961" w:type="pct"/>
            <w:vMerge/>
            <w:vAlign w:val="center"/>
          </w:tcPr>
          <w:p w14:paraId="1162FEB6" w14:textId="77777777" w:rsidR="00B0005F" w:rsidRPr="008A2411" w:rsidRDefault="00B0005F">
            <w:pPr>
              <w:jc w:val="center"/>
              <w:rPr>
                <w:rFonts w:ascii="Times New Roman"/>
                <w:bCs/>
                <w:color w:val="000000" w:themeColor="text1"/>
                <w:sz w:val="21"/>
                <w:szCs w:val="21"/>
              </w:rPr>
            </w:pPr>
          </w:p>
        </w:tc>
        <w:tc>
          <w:tcPr>
            <w:tcW w:w="1035" w:type="pct"/>
            <w:vAlign w:val="center"/>
          </w:tcPr>
          <w:p w14:paraId="1DD2527A"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美国</w:t>
            </w:r>
            <w:r w:rsidRPr="008A2411">
              <w:rPr>
                <w:rFonts w:ascii="Times New Roman"/>
                <w:bCs/>
                <w:color w:val="000000" w:themeColor="text1"/>
                <w:sz w:val="21"/>
                <w:szCs w:val="21"/>
              </w:rPr>
              <w:t>TWA</w:t>
            </w:r>
          </w:p>
        </w:tc>
        <w:tc>
          <w:tcPr>
            <w:tcW w:w="2524" w:type="pct"/>
            <w:gridSpan w:val="3"/>
            <w:vAlign w:val="center"/>
          </w:tcPr>
          <w:p w14:paraId="28B2DB4D"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ACGIH</w:t>
            </w:r>
            <w:r w:rsidRPr="008A2411">
              <w:rPr>
                <w:rFonts w:ascii="Times New Roman"/>
                <w:bCs/>
                <w:color w:val="000000" w:themeColor="text1"/>
                <w:sz w:val="21"/>
                <w:szCs w:val="21"/>
              </w:rPr>
              <w:t>窒息性气体</w:t>
            </w:r>
          </w:p>
        </w:tc>
      </w:tr>
      <w:tr w:rsidR="008A2411" w:rsidRPr="008A2411" w14:paraId="2383EF8A" w14:textId="77777777">
        <w:trPr>
          <w:cantSplit/>
          <w:trHeight w:val="340"/>
          <w:jc w:val="center"/>
        </w:trPr>
        <w:tc>
          <w:tcPr>
            <w:tcW w:w="480" w:type="pct"/>
            <w:vMerge/>
            <w:vAlign w:val="center"/>
          </w:tcPr>
          <w:p w14:paraId="765E2CAA" w14:textId="77777777" w:rsidR="00B0005F" w:rsidRPr="008A2411" w:rsidRDefault="00B0005F">
            <w:pPr>
              <w:jc w:val="center"/>
              <w:rPr>
                <w:rFonts w:ascii="Times New Roman"/>
                <w:bCs/>
                <w:color w:val="000000" w:themeColor="text1"/>
                <w:sz w:val="21"/>
                <w:szCs w:val="21"/>
              </w:rPr>
            </w:pPr>
          </w:p>
        </w:tc>
        <w:tc>
          <w:tcPr>
            <w:tcW w:w="961" w:type="pct"/>
            <w:vMerge/>
            <w:vAlign w:val="center"/>
          </w:tcPr>
          <w:p w14:paraId="15E462C8" w14:textId="77777777" w:rsidR="00B0005F" w:rsidRPr="008A2411" w:rsidRDefault="00B0005F">
            <w:pPr>
              <w:jc w:val="center"/>
              <w:rPr>
                <w:rFonts w:ascii="Times New Roman"/>
                <w:bCs/>
                <w:color w:val="000000" w:themeColor="text1"/>
                <w:sz w:val="21"/>
                <w:szCs w:val="21"/>
              </w:rPr>
            </w:pPr>
          </w:p>
        </w:tc>
        <w:tc>
          <w:tcPr>
            <w:tcW w:w="1035" w:type="pct"/>
            <w:vAlign w:val="center"/>
          </w:tcPr>
          <w:p w14:paraId="75AE513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美国</w:t>
            </w:r>
            <w:r w:rsidRPr="008A2411">
              <w:rPr>
                <w:rFonts w:ascii="Times New Roman"/>
                <w:bCs/>
                <w:color w:val="000000" w:themeColor="text1"/>
                <w:sz w:val="21"/>
                <w:szCs w:val="21"/>
              </w:rPr>
              <w:t>STEL</w:t>
            </w:r>
          </w:p>
        </w:tc>
        <w:tc>
          <w:tcPr>
            <w:tcW w:w="2524" w:type="pct"/>
            <w:gridSpan w:val="3"/>
            <w:vAlign w:val="center"/>
          </w:tcPr>
          <w:p w14:paraId="3B6EC4E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未制定标准</w:t>
            </w:r>
          </w:p>
        </w:tc>
      </w:tr>
      <w:tr w:rsidR="008A2411" w:rsidRPr="008A2411" w14:paraId="7FBE4729" w14:textId="77777777">
        <w:trPr>
          <w:cantSplit/>
          <w:trHeight w:val="340"/>
          <w:jc w:val="center"/>
        </w:trPr>
        <w:tc>
          <w:tcPr>
            <w:tcW w:w="480" w:type="pct"/>
            <w:vMerge/>
            <w:vAlign w:val="center"/>
          </w:tcPr>
          <w:p w14:paraId="17894805" w14:textId="77777777" w:rsidR="00B0005F" w:rsidRPr="008A2411" w:rsidRDefault="00B0005F">
            <w:pPr>
              <w:jc w:val="center"/>
              <w:rPr>
                <w:rFonts w:ascii="Times New Roman"/>
                <w:bCs/>
                <w:color w:val="000000" w:themeColor="text1"/>
                <w:sz w:val="21"/>
                <w:szCs w:val="21"/>
              </w:rPr>
            </w:pPr>
          </w:p>
        </w:tc>
        <w:tc>
          <w:tcPr>
            <w:tcW w:w="961" w:type="pct"/>
            <w:vAlign w:val="center"/>
          </w:tcPr>
          <w:p w14:paraId="089C94DA"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侵入途径</w:t>
            </w:r>
          </w:p>
        </w:tc>
        <w:tc>
          <w:tcPr>
            <w:tcW w:w="3559" w:type="pct"/>
            <w:gridSpan w:val="4"/>
            <w:vAlign w:val="center"/>
          </w:tcPr>
          <w:p w14:paraId="7A072909"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吸入</w:t>
            </w:r>
          </w:p>
        </w:tc>
      </w:tr>
      <w:tr w:rsidR="008A2411" w:rsidRPr="008A2411" w14:paraId="5DDE1FBE" w14:textId="77777777">
        <w:trPr>
          <w:cantSplit/>
          <w:trHeight w:val="340"/>
          <w:jc w:val="center"/>
        </w:trPr>
        <w:tc>
          <w:tcPr>
            <w:tcW w:w="480" w:type="pct"/>
            <w:vMerge/>
            <w:vAlign w:val="center"/>
          </w:tcPr>
          <w:p w14:paraId="41BCEAB4" w14:textId="77777777" w:rsidR="00B0005F" w:rsidRPr="008A2411" w:rsidRDefault="00B0005F">
            <w:pPr>
              <w:jc w:val="center"/>
              <w:rPr>
                <w:rFonts w:ascii="Times New Roman"/>
                <w:bCs/>
                <w:color w:val="000000" w:themeColor="text1"/>
                <w:sz w:val="21"/>
                <w:szCs w:val="21"/>
              </w:rPr>
            </w:pPr>
          </w:p>
        </w:tc>
        <w:tc>
          <w:tcPr>
            <w:tcW w:w="961" w:type="pct"/>
            <w:vAlign w:val="center"/>
          </w:tcPr>
          <w:p w14:paraId="0784CA2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健康危害</w:t>
            </w:r>
          </w:p>
        </w:tc>
        <w:tc>
          <w:tcPr>
            <w:tcW w:w="3559" w:type="pct"/>
            <w:gridSpan w:val="4"/>
            <w:vAlign w:val="center"/>
          </w:tcPr>
          <w:p w14:paraId="0C4B9D4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w:t>
            </w:r>
            <w:r w:rsidRPr="008A2411">
              <w:rPr>
                <w:rFonts w:ascii="Times New Roman"/>
                <w:bCs/>
                <w:color w:val="000000" w:themeColor="text1"/>
                <w:sz w:val="21"/>
                <w:szCs w:val="21"/>
              </w:rPr>
              <w:t>、当空气中甲烷浓度达</w:t>
            </w:r>
            <w:r w:rsidRPr="008A2411">
              <w:rPr>
                <w:rFonts w:ascii="Times New Roman"/>
                <w:bCs/>
                <w:color w:val="000000" w:themeColor="text1"/>
                <w:sz w:val="21"/>
                <w:szCs w:val="21"/>
              </w:rPr>
              <w:t>25—30%</w:t>
            </w:r>
            <w:r w:rsidRPr="008A2411">
              <w:rPr>
                <w:rFonts w:ascii="Times New Roman"/>
                <w:bCs/>
                <w:color w:val="000000" w:themeColor="text1"/>
                <w:sz w:val="21"/>
                <w:szCs w:val="21"/>
              </w:rPr>
              <w:t>时，可引起头痛、头晕、乏力、注意力不集中、呼吸和心跳加速、精细动作障碍等；</w:t>
            </w:r>
          </w:p>
          <w:p w14:paraId="4BDC4F61"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2</w:t>
            </w:r>
            <w:r w:rsidRPr="008A2411">
              <w:rPr>
                <w:rFonts w:ascii="Times New Roman"/>
                <w:bCs/>
                <w:color w:val="000000" w:themeColor="text1"/>
                <w:sz w:val="21"/>
                <w:szCs w:val="21"/>
              </w:rPr>
              <w:t>、当空气中甲烷浓度更高时，可能使人出现窒息、昏迷等</w:t>
            </w:r>
          </w:p>
        </w:tc>
      </w:tr>
      <w:tr w:rsidR="008A2411" w:rsidRPr="008A2411" w14:paraId="3750200C" w14:textId="77777777">
        <w:trPr>
          <w:cantSplit/>
          <w:trHeight w:val="340"/>
          <w:jc w:val="center"/>
        </w:trPr>
        <w:tc>
          <w:tcPr>
            <w:tcW w:w="480" w:type="pct"/>
            <w:vMerge w:val="restart"/>
            <w:vAlign w:val="center"/>
          </w:tcPr>
          <w:p w14:paraId="2D749E4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燃烧</w:t>
            </w:r>
          </w:p>
          <w:p w14:paraId="6DE8027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爆炸</w:t>
            </w:r>
          </w:p>
          <w:p w14:paraId="78B3B42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危险</w:t>
            </w:r>
          </w:p>
          <w:p w14:paraId="2112E7B4"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性</w:t>
            </w:r>
          </w:p>
        </w:tc>
        <w:tc>
          <w:tcPr>
            <w:tcW w:w="961" w:type="pct"/>
            <w:vAlign w:val="center"/>
          </w:tcPr>
          <w:p w14:paraId="6D4FAC6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燃烧性</w:t>
            </w:r>
          </w:p>
        </w:tc>
        <w:tc>
          <w:tcPr>
            <w:tcW w:w="1035" w:type="pct"/>
            <w:vAlign w:val="center"/>
          </w:tcPr>
          <w:p w14:paraId="24958DE3"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易燃</w:t>
            </w:r>
          </w:p>
        </w:tc>
        <w:tc>
          <w:tcPr>
            <w:tcW w:w="1183" w:type="pct"/>
            <w:gridSpan w:val="2"/>
            <w:vAlign w:val="center"/>
          </w:tcPr>
          <w:p w14:paraId="18710639"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建</w:t>
            </w:r>
            <w:proofErr w:type="gramStart"/>
            <w:r w:rsidRPr="008A2411">
              <w:rPr>
                <w:rFonts w:ascii="Times New Roman"/>
                <w:bCs/>
                <w:color w:val="000000" w:themeColor="text1"/>
                <w:sz w:val="21"/>
                <w:szCs w:val="21"/>
              </w:rPr>
              <w:t>规</w:t>
            </w:r>
            <w:proofErr w:type="gramEnd"/>
            <w:r w:rsidRPr="008A2411">
              <w:rPr>
                <w:rFonts w:ascii="Times New Roman"/>
                <w:bCs/>
                <w:color w:val="000000" w:themeColor="text1"/>
                <w:sz w:val="21"/>
                <w:szCs w:val="21"/>
              </w:rPr>
              <w:t>火险等级</w:t>
            </w:r>
          </w:p>
        </w:tc>
        <w:tc>
          <w:tcPr>
            <w:tcW w:w="1341" w:type="pct"/>
            <w:vAlign w:val="center"/>
          </w:tcPr>
          <w:p w14:paraId="43087A7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甲</w:t>
            </w:r>
          </w:p>
        </w:tc>
      </w:tr>
      <w:tr w:rsidR="008A2411" w:rsidRPr="008A2411" w14:paraId="12359294" w14:textId="77777777">
        <w:trPr>
          <w:cantSplit/>
          <w:trHeight w:val="340"/>
          <w:jc w:val="center"/>
        </w:trPr>
        <w:tc>
          <w:tcPr>
            <w:tcW w:w="480" w:type="pct"/>
            <w:vMerge/>
            <w:vAlign w:val="center"/>
          </w:tcPr>
          <w:p w14:paraId="17EA31E5" w14:textId="77777777" w:rsidR="00B0005F" w:rsidRPr="008A2411" w:rsidRDefault="00B0005F">
            <w:pPr>
              <w:jc w:val="center"/>
              <w:rPr>
                <w:rFonts w:ascii="Times New Roman"/>
                <w:bCs/>
                <w:color w:val="000000" w:themeColor="text1"/>
                <w:sz w:val="21"/>
                <w:szCs w:val="21"/>
              </w:rPr>
            </w:pPr>
          </w:p>
        </w:tc>
        <w:tc>
          <w:tcPr>
            <w:tcW w:w="961" w:type="pct"/>
            <w:vAlign w:val="center"/>
          </w:tcPr>
          <w:p w14:paraId="0E88E74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闪点</w:t>
            </w:r>
            <w:r w:rsidRPr="008A2411">
              <w:rPr>
                <w:rFonts w:ascii="Times New Roman"/>
                <w:bCs/>
                <w:color w:val="000000" w:themeColor="text1"/>
                <w:sz w:val="21"/>
                <w:szCs w:val="21"/>
              </w:rPr>
              <w:t>(℃</w:t>
            </w:r>
            <w:r w:rsidRPr="008A2411">
              <w:rPr>
                <w:rFonts w:ascii="Times New Roman"/>
                <w:bCs/>
                <w:color w:val="000000" w:themeColor="text1"/>
                <w:sz w:val="21"/>
                <w:szCs w:val="21"/>
              </w:rPr>
              <w:t>）</w:t>
            </w:r>
          </w:p>
        </w:tc>
        <w:tc>
          <w:tcPr>
            <w:tcW w:w="1035" w:type="pct"/>
            <w:vAlign w:val="center"/>
          </w:tcPr>
          <w:p w14:paraId="351C398C"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-188</w:t>
            </w:r>
          </w:p>
        </w:tc>
        <w:tc>
          <w:tcPr>
            <w:tcW w:w="1183" w:type="pct"/>
            <w:gridSpan w:val="2"/>
            <w:vAlign w:val="center"/>
          </w:tcPr>
          <w:p w14:paraId="16D88BA6"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爆炸下限</w:t>
            </w:r>
            <w:r w:rsidRPr="008A2411">
              <w:rPr>
                <w:rFonts w:ascii="Times New Roman"/>
                <w:bCs/>
                <w:color w:val="000000" w:themeColor="text1"/>
                <w:sz w:val="21"/>
                <w:szCs w:val="21"/>
              </w:rPr>
              <w:t>(v%</w:t>
            </w:r>
            <w:r w:rsidRPr="008A2411">
              <w:rPr>
                <w:rFonts w:ascii="Times New Roman"/>
                <w:bCs/>
                <w:color w:val="000000" w:themeColor="text1"/>
                <w:sz w:val="21"/>
                <w:szCs w:val="21"/>
              </w:rPr>
              <w:t>）</w:t>
            </w:r>
          </w:p>
        </w:tc>
        <w:tc>
          <w:tcPr>
            <w:tcW w:w="1341" w:type="pct"/>
            <w:vAlign w:val="center"/>
          </w:tcPr>
          <w:p w14:paraId="0C722657"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5</w:t>
            </w:r>
          </w:p>
        </w:tc>
      </w:tr>
      <w:tr w:rsidR="008A2411" w:rsidRPr="008A2411" w14:paraId="06159C9E" w14:textId="77777777">
        <w:trPr>
          <w:cantSplit/>
          <w:trHeight w:val="340"/>
          <w:jc w:val="center"/>
        </w:trPr>
        <w:tc>
          <w:tcPr>
            <w:tcW w:w="480" w:type="pct"/>
            <w:vMerge/>
            <w:vAlign w:val="center"/>
          </w:tcPr>
          <w:p w14:paraId="2C44E95F" w14:textId="77777777" w:rsidR="00B0005F" w:rsidRPr="008A2411" w:rsidRDefault="00B0005F">
            <w:pPr>
              <w:jc w:val="center"/>
              <w:rPr>
                <w:rFonts w:ascii="Times New Roman"/>
                <w:bCs/>
                <w:color w:val="000000" w:themeColor="text1"/>
                <w:sz w:val="21"/>
                <w:szCs w:val="21"/>
              </w:rPr>
            </w:pPr>
          </w:p>
        </w:tc>
        <w:tc>
          <w:tcPr>
            <w:tcW w:w="961" w:type="pct"/>
            <w:vAlign w:val="center"/>
          </w:tcPr>
          <w:p w14:paraId="6AB99E6D"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自然温度</w:t>
            </w:r>
            <w:r w:rsidRPr="008A2411">
              <w:rPr>
                <w:rFonts w:ascii="Times New Roman"/>
                <w:bCs/>
                <w:color w:val="000000" w:themeColor="text1"/>
                <w:sz w:val="21"/>
                <w:szCs w:val="21"/>
              </w:rPr>
              <w:t>(℃</w:t>
            </w:r>
            <w:r w:rsidRPr="008A2411">
              <w:rPr>
                <w:rFonts w:ascii="Times New Roman"/>
                <w:bCs/>
                <w:color w:val="000000" w:themeColor="text1"/>
                <w:sz w:val="21"/>
                <w:szCs w:val="21"/>
              </w:rPr>
              <w:t>）</w:t>
            </w:r>
          </w:p>
        </w:tc>
        <w:tc>
          <w:tcPr>
            <w:tcW w:w="1035" w:type="pct"/>
            <w:vAlign w:val="center"/>
          </w:tcPr>
          <w:p w14:paraId="6DFFAF49"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538</w:t>
            </w:r>
          </w:p>
        </w:tc>
        <w:tc>
          <w:tcPr>
            <w:tcW w:w="1183" w:type="pct"/>
            <w:gridSpan w:val="2"/>
            <w:vAlign w:val="center"/>
          </w:tcPr>
          <w:p w14:paraId="04F46EB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爆炸上限</w:t>
            </w:r>
            <w:r w:rsidRPr="008A2411">
              <w:rPr>
                <w:rFonts w:ascii="Times New Roman"/>
                <w:bCs/>
                <w:color w:val="000000" w:themeColor="text1"/>
                <w:sz w:val="21"/>
                <w:szCs w:val="21"/>
              </w:rPr>
              <w:t>(v%</w:t>
            </w:r>
            <w:r w:rsidRPr="008A2411">
              <w:rPr>
                <w:rFonts w:ascii="Times New Roman"/>
                <w:bCs/>
                <w:color w:val="000000" w:themeColor="text1"/>
                <w:sz w:val="21"/>
                <w:szCs w:val="21"/>
              </w:rPr>
              <w:t>）</w:t>
            </w:r>
          </w:p>
        </w:tc>
        <w:tc>
          <w:tcPr>
            <w:tcW w:w="1341" w:type="pct"/>
            <w:vAlign w:val="center"/>
          </w:tcPr>
          <w:p w14:paraId="3049462B"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15</w:t>
            </w:r>
          </w:p>
        </w:tc>
      </w:tr>
      <w:tr w:rsidR="008A2411" w:rsidRPr="008A2411" w14:paraId="578B4D0B" w14:textId="77777777">
        <w:trPr>
          <w:cantSplit/>
          <w:trHeight w:val="340"/>
          <w:jc w:val="center"/>
        </w:trPr>
        <w:tc>
          <w:tcPr>
            <w:tcW w:w="480" w:type="pct"/>
            <w:vMerge/>
            <w:vAlign w:val="center"/>
          </w:tcPr>
          <w:p w14:paraId="06260755" w14:textId="77777777" w:rsidR="00B0005F" w:rsidRPr="008A2411" w:rsidRDefault="00B0005F">
            <w:pPr>
              <w:jc w:val="center"/>
              <w:rPr>
                <w:rFonts w:ascii="Times New Roman"/>
                <w:bCs/>
                <w:color w:val="000000" w:themeColor="text1"/>
                <w:sz w:val="21"/>
                <w:szCs w:val="21"/>
              </w:rPr>
            </w:pPr>
          </w:p>
        </w:tc>
        <w:tc>
          <w:tcPr>
            <w:tcW w:w="961" w:type="pct"/>
            <w:vAlign w:val="center"/>
          </w:tcPr>
          <w:p w14:paraId="7BF4089D"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危险特性</w:t>
            </w:r>
          </w:p>
        </w:tc>
        <w:tc>
          <w:tcPr>
            <w:tcW w:w="3559" w:type="pct"/>
            <w:gridSpan w:val="4"/>
            <w:vAlign w:val="center"/>
          </w:tcPr>
          <w:p w14:paraId="5BFB6CD7"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w:t>
            </w:r>
            <w:r w:rsidRPr="008A2411">
              <w:rPr>
                <w:rFonts w:ascii="Times New Roman"/>
                <w:bCs/>
                <w:color w:val="000000" w:themeColor="text1"/>
                <w:sz w:val="21"/>
                <w:szCs w:val="21"/>
              </w:rPr>
              <w:t>、甲烷与空气混合能形成爆炸性混合物，当在爆炸极限范围内遇明火、高热能时引起燃烧爆炸。</w:t>
            </w:r>
            <w:r w:rsidRPr="008A2411">
              <w:rPr>
                <w:rFonts w:ascii="Times New Roman"/>
                <w:bCs/>
                <w:color w:val="000000" w:themeColor="text1"/>
                <w:sz w:val="21"/>
                <w:szCs w:val="21"/>
              </w:rPr>
              <w:t>2</w:t>
            </w:r>
            <w:r w:rsidRPr="008A2411">
              <w:rPr>
                <w:rFonts w:ascii="Times New Roman"/>
                <w:bCs/>
                <w:color w:val="000000" w:themeColor="text1"/>
                <w:sz w:val="21"/>
                <w:szCs w:val="21"/>
              </w:rPr>
              <w:t>、甲烷与氟、氯等能发生剧烈的化学反应。</w:t>
            </w:r>
            <w:r w:rsidRPr="008A2411">
              <w:rPr>
                <w:rFonts w:ascii="Times New Roman"/>
                <w:bCs/>
                <w:color w:val="000000" w:themeColor="text1"/>
                <w:sz w:val="21"/>
                <w:szCs w:val="21"/>
              </w:rPr>
              <w:t>3</w:t>
            </w:r>
            <w:r w:rsidRPr="008A2411">
              <w:rPr>
                <w:rFonts w:ascii="Times New Roman"/>
                <w:bCs/>
                <w:color w:val="000000" w:themeColor="text1"/>
                <w:sz w:val="21"/>
                <w:szCs w:val="21"/>
              </w:rPr>
              <w:t>、甲烷若遇高热，容器内压增大，有开裂和爆炸的危险</w:t>
            </w:r>
          </w:p>
        </w:tc>
      </w:tr>
      <w:tr w:rsidR="008A2411" w:rsidRPr="008A2411" w14:paraId="3D2136D7" w14:textId="77777777">
        <w:trPr>
          <w:cantSplit/>
          <w:trHeight w:val="340"/>
          <w:jc w:val="center"/>
        </w:trPr>
        <w:tc>
          <w:tcPr>
            <w:tcW w:w="480" w:type="pct"/>
            <w:vMerge/>
            <w:vAlign w:val="center"/>
          </w:tcPr>
          <w:p w14:paraId="16179024" w14:textId="77777777" w:rsidR="00B0005F" w:rsidRPr="008A2411" w:rsidRDefault="00B0005F">
            <w:pPr>
              <w:jc w:val="center"/>
              <w:rPr>
                <w:rFonts w:ascii="Times New Roman"/>
                <w:bCs/>
                <w:color w:val="000000" w:themeColor="text1"/>
                <w:sz w:val="21"/>
                <w:szCs w:val="21"/>
              </w:rPr>
            </w:pPr>
          </w:p>
        </w:tc>
        <w:tc>
          <w:tcPr>
            <w:tcW w:w="961" w:type="pct"/>
            <w:vAlign w:val="center"/>
          </w:tcPr>
          <w:p w14:paraId="2101733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稳定性</w:t>
            </w:r>
          </w:p>
        </w:tc>
        <w:tc>
          <w:tcPr>
            <w:tcW w:w="3559" w:type="pct"/>
            <w:gridSpan w:val="4"/>
            <w:vAlign w:val="center"/>
          </w:tcPr>
          <w:p w14:paraId="4FAD0EE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稳定</w:t>
            </w:r>
          </w:p>
        </w:tc>
      </w:tr>
      <w:tr w:rsidR="008A2411" w:rsidRPr="008A2411" w14:paraId="4932340C" w14:textId="77777777">
        <w:trPr>
          <w:cantSplit/>
          <w:trHeight w:val="340"/>
          <w:jc w:val="center"/>
        </w:trPr>
        <w:tc>
          <w:tcPr>
            <w:tcW w:w="480" w:type="pct"/>
            <w:vMerge/>
            <w:vAlign w:val="center"/>
          </w:tcPr>
          <w:p w14:paraId="3E41B32B" w14:textId="77777777" w:rsidR="00B0005F" w:rsidRPr="008A2411" w:rsidRDefault="00B0005F">
            <w:pPr>
              <w:jc w:val="center"/>
              <w:rPr>
                <w:rFonts w:ascii="Times New Roman"/>
                <w:bCs/>
                <w:color w:val="000000" w:themeColor="text1"/>
                <w:sz w:val="21"/>
                <w:szCs w:val="21"/>
              </w:rPr>
            </w:pPr>
          </w:p>
        </w:tc>
        <w:tc>
          <w:tcPr>
            <w:tcW w:w="961" w:type="pct"/>
            <w:vAlign w:val="center"/>
          </w:tcPr>
          <w:p w14:paraId="79834306"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聚合危害</w:t>
            </w:r>
          </w:p>
        </w:tc>
        <w:tc>
          <w:tcPr>
            <w:tcW w:w="3559" w:type="pct"/>
            <w:gridSpan w:val="4"/>
            <w:vAlign w:val="center"/>
          </w:tcPr>
          <w:p w14:paraId="3BAF252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不会出现聚合危害</w:t>
            </w:r>
          </w:p>
        </w:tc>
      </w:tr>
      <w:tr w:rsidR="008A2411" w:rsidRPr="008A2411" w14:paraId="114155F4" w14:textId="77777777">
        <w:trPr>
          <w:cantSplit/>
          <w:trHeight w:val="340"/>
          <w:jc w:val="center"/>
        </w:trPr>
        <w:tc>
          <w:tcPr>
            <w:tcW w:w="480" w:type="pct"/>
            <w:vMerge/>
            <w:vAlign w:val="center"/>
          </w:tcPr>
          <w:p w14:paraId="26037E23" w14:textId="77777777" w:rsidR="00B0005F" w:rsidRPr="008A2411" w:rsidRDefault="00B0005F">
            <w:pPr>
              <w:jc w:val="center"/>
              <w:rPr>
                <w:rFonts w:ascii="Times New Roman"/>
                <w:bCs/>
                <w:color w:val="000000" w:themeColor="text1"/>
                <w:sz w:val="21"/>
                <w:szCs w:val="21"/>
              </w:rPr>
            </w:pPr>
          </w:p>
        </w:tc>
        <w:tc>
          <w:tcPr>
            <w:tcW w:w="961" w:type="pct"/>
            <w:vAlign w:val="center"/>
          </w:tcPr>
          <w:p w14:paraId="6F0ACD0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禁忌物</w:t>
            </w:r>
          </w:p>
        </w:tc>
        <w:tc>
          <w:tcPr>
            <w:tcW w:w="3559" w:type="pct"/>
            <w:gridSpan w:val="4"/>
            <w:vAlign w:val="center"/>
          </w:tcPr>
          <w:p w14:paraId="0C681D86"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强氧化剂，如氟、氯等</w:t>
            </w:r>
          </w:p>
        </w:tc>
      </w:tr>
      <w:tr w:rsidR="008A2411" w:rsidRPr="008A2411" w14:paraId="1F847FF9" w14:textId="77777777">
        <w:trPr>
          <w:cantSplit/>
          <w:trHeight w:val="340"/>
          <w:jc w:val="center"/>
        </w:trPr>
        <w:tc>
          <w:tcPr>
            <w:tcW w:w="480" w:type="pct"/>
            <w:vMerge/>
            <w:vAlign w:val="center"/>
          </w:tcPr>
          <w:p w14:paraId="128B34EE" w14:textId="77777777" w:rsidR="00B0005F" w:rsidRPr="008A2411" w:rsidRDefault="00B0005F">
            <w:pPr>
              <w:jc w:val="center"/>
              <w:rPr>
                <w:rFonts w:ascii="Times New Roman"/>
                <w:bCs/>
                <w:color w:val="000000" w:themeColor="text1"/>
                <w:sz w:val="21"/>
                <w:szCs w:val="21"/>
              </w:rPr>
            </w:pPr>
          </w:p>
        </w:tc>
        <w:tc>
          <w:tcPr>
            <w:tcW w:w="961" w:type="pct"/>
            <w:vAlign w:val="center"/>
          </w:tcPr>
          <w:p w14:paraId="017A4649"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灭火方法</w:t>
            </w:r>
          </w:p>
        </w:tc>
        <w:tc>
          <w:tcPr>
            <w:tcW w:w="3559" w:type="pct"/>
            <w:gridSpan w:val="4"/>
            <w:vAlign w:val="center"/>
          </w:tcPr>
          <w:p w14:paraId="4AE71E5C"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w:t>
            </w:r>
            <w:r w:rsidRPr="008A2411">
              <w:rPr>
                <w:rFonts w:ascii="Times New Roman"/>
                <w:bCs/>
                <w:color w:val="000000" w:themeColor="text1"/>
                <w:sz w:val="21"/>
                <w:szCs w:val="21"/>
              </w:rPr>
              <w:t>、立即切断气源。</w:t>
            </w:r>
            <w:r w:rsidRPr="008A2411">
              <w:rPr>
                <w:rFonts w:ascii="Times New Roman"/>
                <w:bCs/>
                <w:color w:val="000000" w:themeColor="text1"/>
                <w:sz w:val="21"/>
                <w:szCs w:val="21"/>
              </w:rPr>
              <w:t>2</w:t>
            </w:r>
            <w:r w:rsidRPr="008A2411">
              <w:rPr>
                <w:rFonts w:ascii="Times New Roman"/>
                <w:bCs/>
                <w:color w:val="000000" w:themeColor="text1"/>
                <w:sz w:val="21"/>
                <w:szCs w:val="21"/>
              </w:rPr>
              <w:t>、若不能立即切断气源，则不允许熄灭正在燃烧的气体。</w:t>
            </w:r>
            <w:r w:rsidRPr="008A2411">
              <w:rPr>
                <w:rFonts w:ascii="Times New Roman"/>
                <w:bCs/>
                <w:color w:val="000000" w:themeColor="text1"/>
                <w:sz w:val="21"/>
                <w:szCs w:val="21"/>
              </w:rPr>
              <w:t>3</w:t>
            </w:r>
            <w:r w:rsidRPr="008A2411">
              <w:rPr>
                <w:rFonts w:ascii="Times New Roman"/>
                <w:bCs/>
                <w:color w:val="000000" w:themeColor="text1"/>
                <w:sz w:val="21"/>
                <w:szCs w:val="21"/>
              </w:rPr>
              <w:t>、喷水冷却容器，如果可能应将容器从火场移至空旷处。</w:t>
            </w:r>
            <w:r w:rsidRPr="008A2411">
              <w:rPr>
                <w:rFonts w:ascii="Times New Roman"/>
                <w:bCs/>
                <w:color w:val="000000" w:themeColor="text1"/>
                <w:sz w:val="21"/>
                <w:szCs w:val="21"/>
              </w:rPr>
              <w:t>4</w:t>
            </w:r>
            <w:r w:rsidRPr="008A2411">
              <w:rPr>
                <w:rFonts w:ascii="Times New Roman"/>
                <w:bCs/>
                <w:color w:val="000000" w:themeColor="text1"/>
                <w:sz w:val="21"/>
                <w:szCs w:val="21"/>
              </w:rPr>
              <w:t>、采用雾状水、泡沫灭火器和二氧化碳灭火器等</w:t>
            </w:r>
          </w:p>
        </w:tc>
      </w:tr>
      <w:tr w:rsidR="008A2411" w:rsidRPr="008A2411" w14:paraId="12FE8B18" w14:textId="77777777">
        <w:trPr>
          <w:cantSplit/>
          <w:trHeight w:val="340"/>
          <w:jc w:val="center"/>
        </w:trPr>
        <w:tc>
          <w:tcPr>
            <w:tcW w:w="480" w:type="pct"/>
            <w:vMerge w:val="restart"/>
            <w:vAlign w:val="center"/>
          </w:tcPr>
          <w:p w14:paraId="392E3C83"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包装</w:t>
            </w:r>
          </w:p>
          <w:p w14:paraId="3DD44B4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储运</w:t>
            </w:r>
          </w:p>
        </w:tc>
        <w:tc>
          <w:tcPr>
            <w:tcW w:w="961" w:type="pct"/>
            <w:vAlign w:val="center"/>
          </w:tcPr>
          <w:p w14:paraId="1457B20A"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危险性类别</w:t>
            </w:r>
          </w:p>
        </w:tc>
        <w:tc>
          <w:tcPr>
            <w:tcW w:w="3559" w:type="pct"/>
            <w:gridSpan w:val="4"/>
            <w:vAlign w:val="center"/>
          </w:tcPr>
          <w:p w14:paraId="0355F0AB"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第</w:t>
            </w:r>
            <w:r w:rsidRPr="008A2411">
              <w:rPr>
                <w:rFonts w:ascii="Times New Roman"/>
                <w:bCs/>
                <w:color w:val="000000" w:themeColor="text1"/>
                <w:sz w:val="21"/>
                <w:szCs w:val="21"/>
              </w:rPr>
              <w:t>2.1</w:t>
            </w:r>
            <w:r w:rsidRPr="008A2411">
              <w:rPr>
                <w:rFonts w:ascii="Times New Roman"/>
                <w:bCs/>
                <w:color w:val="000000" w:themeColor="text1"/>
                <w:sz w:val="21"/>
                <w:szCs w:val="21"/>
              </w:rPr>
              <w:t>类</w:t>
            </w:r>
            <w:r w:rsidRPr="008A2411">
              <w:rPr>
                <w:rFonts w:ascii="Times New Roman"/>
                <w:bCs/>
                <w:color w:val="000000" w:themeColor="text1"/>
                <w:sz w:val="21"/>
                <w:szCs w:val="21"/>
              </w:rPr>
              <w:t>(UN</w:t>
            </w:r>
            <w:r w:rsidRPr="008A2411">
              <w:rPr>
                <w:rFonts w:ascii="Times New Roman"/>
                <w:bCs/>
                <w:color w:val="000000" w:themeColor="text1"/>
                <w:sz w:val="21"/>
                <w:szCs w:val="21"/>
              </w:rPr>
              <w:t>类别）易燃气体</w:t>
            </w:r>
          </w:p>
        </w:tc>
      </w:tr>
      <w:tr w:rsidR="008A2411" w:rsidRPr="008A2411" w14:paraId="37846E82" w14:textId="77777777">
        <w:trPr>
          <w:cantSplit/>
          <w:trHeight w:val="340"/>
          <w:jc w:val="center"/>
        </w:trPr>
        <w:tc>
          <w:tcPr>
            <w:tcW w:w="480" w:type="pct"/>
            <w:vMerge/>
            <w:vAlign w:val="center"/>
          </w:tcPr>
          <w:p w14:paraId="4A2AC952" w14:textId="77777777" w:rsidR="00B0005F" w:rsidRPr="008A2411" w:rsidRDefault="00B0005F">
            <w:pPr>
              <w:jc w:val="center"/>
              <w:rPr>
                <w:rFonts w:ascii="Times New Roman"/>
                <w:bCs/>
                <w:color w:val="000000" w:themeColor="text1"/>
                <w:sz w:val="21"/>
                <w:szCs w:val="21"/>
              </w:rPr>
            </w:pPr>
          </w:p>
        </w:tc>
        <w:tc>
          <w:tcPr>
            <w:tcW w:w="961" w:type="pct"/>
            <w:vAlign w:val="center"/>
          </w:tcPr>
          <w:p w14:paraId="667A3211"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危险货物包装标志</w:t>
            </w:r>
          </w:p>
        </w:tc>
        <w:tc>
          <w:tcPr>
            <w:tcW w:w="3559" w:type="pct"/>
            <w:gridSpan w:val="4"/>
            <w:vAlign w:val="center"/>
          </w:tcPr>
          <w:p w14:paraId="78DFA9DD"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4</w:t>
            </w:r>
          </w:p>
        </w:tc>
      </w:tr>
      <w:tr w:rsidR="008A2411" w:rsidRPr="008A2411" w14:paraId="62E3F913" w14:textId="77777777">
        <w:trPr>
          <w:cantSplit/>
          <w:trHeight w:val="340"/>
          <w:jc w:val="center"/>
        </w:trPr>
        <w:tc>
          <w:tcPr>
            <w:tcW w:w="480" w:type="pct"/>
            <w:vAlign w:val="center"/>
          </w:tcPr>
          <w:p w14:paraId="6E90485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包装</w:t>
            </w:r>
          </w:p>
          <w:p w14:paraId="30352181"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储运</w:t>
            </w:r>
          </w:p>
        </w:tc>
        <w:tc>
          <w:tcPr>
            <w:tcW w:w="961" w:type="pct"/>
            <w:vAlign w:val="center"/>
          </w:tcPr>
          <w:p w14:paraId="0153265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储运注意事项</w:t>
            </w:r>
          </w:p>
        </w:tc>
        <w:tc>
          <w:tcPr>
            <w:tcW w:w="3559" w:type="pct"/>
            <w:gridSpan w:val="4"/>
            <w:vAlign w:val="center"/>
          </w:tcPr>
          <w:p w14:paraId="6DF1735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w:t>
            </w:r>
            <w:r w:rsidRPr="008A2411">
              <w:rPr>
                <w:rFonts w:ascii="Times New Roman"/>
                <w:bCs/>
                <w:color w:val="000000" w:themeColor="text1"/>
                <w:sz w:val="21"/>
                <w:szCs w:val="21"/>
              </w:rPr>
              <w:t>、储存于阴凉、通风的储存间内，且储存间内温度不宜超过</w:t>
            </w:r>
            <w:r w:rsidRPr="008A2411">
              <w:rPr>
                <w:rFonts w:ascii="Times New Roman"/>
                <w:bCs/>
                <w:color w:val="000000" w:themeColor="text1"/>
                <w:sz w:val="21"/>
                <w:szCs w:val="21"/>
              </w:rPr>
              <w:t>30℃</w:t>
            </w:r>
            <w:r w:rsidRPr="008A2411">
              <w:rPr>
                <w:rFonts w:ascii="Times New Roman"/>
                <w:bCs/>
                <w:color w:val="000000" w:themeColor="text1"/>
                <w:sz w:val="21"/>
                <w:szCs w:val="21"/>
              </w:rPr>
              <w:t>，储存间内的照明、通风设施应采用防爆型，开关设置于储存间外。</w:t>
            </w:r>
            <w:r w:rsidRPr="008A2411">
              <w:rPr>
                <w:rFonts w:ascii="Times New Roman"/>
                <w:bCs/>
                <w:color w:val="000000" w:themeColor="text1"/>
                <w:sz w:val="21"/>
                <w:szCs w:val="21"/>
              </w:rPr>
              <w:t>2</w:t>
            </w:r>
            <w:r w:rsidRPr="008A2411">
              <w:rPr>
                <w:rFonts w:ascii="Times New Roman"/>
                <w:bCs/>
                <w:color w:val="000000" w:themeColor="text1"/>
                <w:sz w:val="21"/>
                <w:szCs w:val="21"/>
              </w:rPr>
              <w:t>、罐储时，要有防火防爆措施，若为露天储罐夏季应有降温措施。</w:t>
            </w:r>
            <w:r w:rsidRPr="008A2411">
              <w:rPr>
                <w:rFonts w:ascii="Times New Roman"/>
                <w:bCs/>
                <w:color w:val="000000" w:themeColor="text1"/>
                <w:sz w:val="21"/>
                <w:szCs w:val="21"/>
              </w:rPr>
              <w:t>3</w:t>
            </w:r>
            <w:r w:rsidRPr="008A2411">
              <w:rPr>
                <w:rFonts w:ascii="Times New Roman"/>
                <w:bCs/>
                <w:color w:val="000000" w:themeColor="text1"/>
                <w:sz w:val="21"/>
                <w:szCs w:val="21"/>
              </w:rPr>
              <w:t>、储存间和储罐附近应配备相应品种和数量的消防器材。</w:t>
            </w:r>
            <w:r w:rsidRPr="008A2411">
              <w:rPr>
                <w:rFonts w:ascii="Times New Roman"/>
                <w:bCs/>
                <w:color w:val="000000" w:themeColor="text1"/>
                <w:sz w:val="21"/>
                <w:szCs w:val="21"/>
              </w:rPr>
              <w:t>4</w:t>
            </w:r>
            <w:r w:rsidRPr="008A2411">
              <w:rPr>
                <w:rFonts w:ascii="Times New Roman"/>
                <w:bCs/>
                <w:color w:val="000000" w:themeColor="text1"/>
                <w:sz w:val="21"/>
                <w:szCs w:val="21"/>
              </w:rPr>
              <w:t>、远离火种、热源，禁止使用易产生火花的机械设备和工具。</w:t>
            </w:r>
            <w:r w:rsidRPr="008A2411">
              <w:rPr>
                <w:rFonts w:ascii="Times New Roman"/>
                <w:bCs/>
                <w:color w:val="000000" w:themeColor="text1"/>
                <w:sz w:val="21"/>
                <w:szCs w:val="21"/>
              </w:rPr>
              <w:t>5</w:t>
            </w:r>
            <w:r w:rsidRPr="008A2411">
              <w:rPr>
                <w:rFonts w:ascii="Times New Roman"/>
                <w:bCs/>
                <w:color w:val="000000" w:themeColor="text1"/>
                <w:sz w:val="21"/>
                <w:szCs w:val="21"/>
              </w:rPr>
              <w:t>、防止阳光直射。</w:t>
            </w:r>
            <w:r w:rsidRPr="008A2411">
              <w:rPr>
                <w:rFonts w:ascii="Times New Roman"/>
                <w:bCs/>
                <w:color w:val="000000" w:themeColor="text1"/>
                <w:sz w:val="21"/>
                <w:szCs w:val="21"/>
              </w:rPr>
              <w:t>6</w:t>
            </w:r>
            <w:r w:rsidRPr="008A2411">
              <w:rPr>
                <w:rFonts w:ascii="Times New Roman"/>
                <w:bCs/>
                <w:color w:val="000000" w:themeColor="text1"/>
                <w:sz w:val="21"/>
                <w:szCs w:val="21"/>
              </w:rPr>
              <w:t>、与氧气、压缩空气、卤素</w:t>
            </w:r>
            <w:r w:rsidRPr="008A2411">
              <w:rPr>
                <w:rFonts w:ascii="Times New Roman"/>
                <w:bCs/>
                <w:color w:val="000000" w:themeColor="text1"/>
                <w:sz w:val="21"/>
                <w:szCs w:val="21"/>
              </w:rPr>
              <w:t>(</w:t>
            </w:r>
            <w:r w:rsidRPr="008A2411">
              <w:rPr>
                <w:rFonts w:ascii="Times New Roman"/>
                <w:bCs/>
                <w:color w:val="000000" w:themeColor="text1"/>
                <w:sz w:val="21"/>
                <w:szCs w:val="21"/>
              </w:rPr>
              <w:t>氟、氯、溴）等分开存放，切忌</w:t>
            </w:r>
            <w:proofErr w:type="gramStart"/>
            <w:r w:rsidRPr="008A2411">
              <w:rPr>
                <w:rFonts w:ascii="Times New Roman"/>
                <w:bCs/>
                <w:color w:val="000000" w:themeColor="text1"/>
                <w:sz w:val="21"/>
                <w:szCs w:val="21"/>
              </w:rPr>
              <w:t>混储混</w:t>
            </w:r>
            <w:proofErr w:type="gramEnd"/>
            <w:r w:rsidRPr="008A2411">
              <w:rPr>
                <w:rFonts w:ascii="Times New Roman"/>
                <w:bCs/>
                <w:color w:val="000000" w:themeColor="text1"/>
                <w:sz w:val="21"/>
                <w:szCs w:val="21"/>
              </w:rPr>
              <w:t>运。</w:t>
            </w:r>
            <w:r w:rsidRPr="008A2411">
              <w:rPr>
                <w:rFonts w:ascii="Times New Roman"/>
                <w:bCs/>
                <w:color w:val="000000" w:themeColor="text1"/>
                <w:sz w:val="21"/>
                <w:szCs w:val="21"/>
              </w:rPr>
              <w:t>7</w:t>
            </w:r>
            <w:r w:rsidRPr="008A2411">
              <w:rPr>
                <w:rFonts w:ascii="Times New Roman"/>
                <w:bCs/>
                <w:color w:val="000000" w:themeColor="text1"/>
                <w:sz w:val="21"/>
                <w:szCs w:val="21"/>
              </w:rPr>
              <w:t>、验收时应注意品名，注意验瓶日期，先进储存的先发用。</w:t>
            </w:r>
            <w:r w:rsidRPr="008A2411">
              <w:rPr>
                <w:rFonts w:ascii="Times New Roman"/>
                <w:bCs/>
                <w:color w:val="000000" w:themeColor="text1"/>
                <w:sz w:val="21"/>
                <w:szCs w:val="21"/>
              </w:rPr>
              <w:t>8</w:t>
            </w:r>
            <w:r w:rsidRPr="008A2411">
              <w:rPr>
                <w:rFonts w:ascii="Times New Roman"/>
                <w:bCs/>
                <w:color w:val="000000" w:themeColor="text1"/>
                <w:sz w:val="21"/>
                <w:szCs w:val="21"/>
              </w:rPr>
              <w:t>、搬运时轻装轻卸，防止钢瓶及附件破损</w:t>
            </w:r>
          </w:p>
        </w:tc>
      </w:tr>
      <w:tr w:rsidR="008A2411" w:rsidRPr="008A2411" w14:paraId="66571121" w14:textId="77777777">
        <w:trPr>
          <w:cantSplit/>
          <w:trHeight w:val="340"/>
          <w:jc w:val="center"/>
        </w:trPr>
        <w:tc>
          <w:tcPr>
            <w:tcW w:w="480" w:type="pct"/>
            <w:vMerge w:val="restart"/>
            <w:vAlign w:val="center"/>
          </w:tcPr>
          <w:p w14:paraId="5ED73321"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急救</w:t>
            </w:r>
          </w:p>
        </w:tc>
        <w:tc>
          <w:tcPr>
            <w:tcW w:w="961" w:type="pct"/>
            <w:vAlign w:val="center"/>
          </w:tcPr>
          <w:p w14:paraId="00D1620B"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皮肤接触</w:t>
            </w:r>
          </w:p>
        </w:tc>
        <w:tc>
          <w:tcPr>
            <w:tcW w:w="3559" w:type="pct"/>
            <w:gridSpan w:val="4"/>
            <w:vAlign w:val="center"/>
          </w:tcPr>
          <w:p w14:paraId="7BAAE66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若有冻伤，就医治疗</w:t>
            </w:r>
          </w:p>
        </w:tc>
      </w:tr>
      <w:tr w:rsidR="008A2411" w:rsidRPr="008A2411" w14:paraId="6110FD9A" w14:textId="77777777">
        <w:trPr>
          <w:cantSplit/>
          <w:trHeight w:val="340"/>
          <w:jc w:val="center"/>
        </w:trPr>
        <w:tc>
          <w:tcPr>
            <w:tcW w:w="480" w:type="pct"/>
            <w:vMerge/>
            <w:vAlign w:val="center"/>
          </w:tcPr>
          <w:p w14:paraId="35391E71" w14:textId="77777777" w:rsidR="00B0005F" w:rsidRPr="008A2411" w:rsidRDefault="00B0005F">
            <w:pPr>
              <w:jc w:val="center"/>
              <w:rPr>
                <w:rFonts w:ascii="Times New Roman"/>
                <w:bCs/>
                <w:color w:val="000000" w:themeColor="text1"/>
                <w:sz w:val="21"/>
                <w:szCs w:val="21"/>
              </w:rPr>
            </w:pPr>
          </w:p>
        </w:tc>
        <w:tc>
          <w:tcPr>
            <w:tcW w:w="961" w:type="pct"/>
            <w:vAlign w:val="center"/>
          </w:tcPr>
          <w:p w14:paraId="6B51ADC3"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吸入</w:t>
            </w:r>
          </w:p>
        </w:tc>
        <w:tc>
          <w:tcPr>
            <w:tcW w:w="3559" w:type="pct"/>
            <w:gridSpan w:val="4"/>
            <w:vAlign w:val="center"/>
          </w:tcPr>
          <w:p w14:paraId="37841471"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w:t>
            </w:r>
            <w:r w:rsidRPr="008A2411">
              <w:rPr>
                <w:rFonts w:ascii="Times New Roman"/>
                <w:bCs/>
                <w:color w:val="000000" w:themeColor="text1"/>
                <w:sz w:val="21"/>
                <w:szCs w:val="21"/>
              </w:rPr>
              <w:t>、迅速脱离现场至空气新鲜处。</w:t>
            </w:r>
            <w:r w:rsidRPr="008A2411">
              <w:rPr>
                <w:rFonts w:ascii="Times New Roman"/>
                <w:bCs/>
                <w:color w:val="000000" w:themeColor="text1"/>
                <w:sz w:val="21"/>
                <w:szCs w:val="21"/>
              </w:rPr>
              <w:t>2</w:t>
            </w:r>
            <w:r w:rsidRPr="008A2411">
              <w:rPr>
                <w:rFonts w:ascii="Times New Roman"/>
                <w:bCs/>
                <w:color w:val="000000" w:themeColor="text1"/>
                <w:sz w:val="21"/>
                <w:szCs w:val="21"/>
              </w:rPr>
              <w:t>、注意保暖，呼吸困难时给输氧。</w:t>
            </w:r>
            <w:r w:rsidRPr="008A2411">
              <w:rPr>
                <w:rFonts w:ascii="Times New Roman"/>
                <w:bCs/>
                <w:color w:val="000000" w:themeColor="text1"/>
                <w:sz w:val="21"/>
                <w:szCs w:val="21"/>
              </w:rPr>
              <w:t>3</w:t>
            </w:r>
            <w:r w:rsidRPr="008A2411">
              <w:rPr>
                <w:rFonts w:ascii="Times New Roman"/>
                <w:bCs/>
                <w:color w:val="000000" w:themeColor="text1"/>
                <w:sz w:val="21"/>
                <w:szCs w:val="21"/>
              </w:rPr>
              <w:t>、呼吸及心跳停止者立即进行人工呼吸和心脏按压术，并就医治疗</w:t>
            </w:r>
          </w:p>
        </w:tc>
      </w:tr>
      <w:tr w:rsidR="008A2411" w:rsidRPr="008A2411" w14:paraId="3517032B" w14:textId="77777777">
        <w:trPr>
          <w:cantSplit/>
          <w:trHeight w:val="340"/>
          <w:jc w:val="center"/>
        </w:trPr>
        <w:tc>
          <w:tcPr>
            <w:tcW w:w="480" w:type="pct"/>
            <w:vMerge w:val="restart"/>
            <w:vAlign w:val="center"/>
          </w:tcPr>
          <w:p w14:paraId="63DDF2E1"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防护</w:t>
            </w:r>
          </w:p>
          <w:p w14:paraId="54BB9E31"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措施</w:t>
            </w:r>
          </w:p>
        </w:tc>
        <w:tc>
          <w:tcPr>
            <w:tcW w:w="961" w:type="pct"/>
            <w:vAlign w:val="center"/>
          </w:tcPr>
          <w:p w14:paraId="3CB0B2B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工程控制</w:t>
            </w:r>
          </w:p>
        </w:tc>
        <w:tc>
          <w:tcPr>
            <w:tcW w:w="3559" w:type="pct"/>
            <w:gridSpan w:val="4"/>
            <w:vAlign w:val="center"/>
          </w:tcPr>
          <w:p w14:paraId="61C3F19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全面通风</w:t>
            </w:r>
          </w:p>
        </w:tc>
      </w:tr>
      <w:tr w:rsidR="008A2411" w:rsidRPr="008A2411" w14:paraId="1CBE0F06" w14:textId="77777777">
        <w:trPr>
          <w:cantSplit/>
          <w:trHeight w:val="340"/>
          <w:jc w:val="center"/>
        </w:trPr>
        <w:tc>
          <w:tcPr>
            <w:tcW w:w="480" w:type="pct"/>
            <w:vMerge/>
            <w:vAlign w:val="center"/>
          </w:tcPr>
          <w:p w14:paraId="4EE16B00" w14:textId="77777777" w:rsidR="00B0005F" w:rsidRPr="008A2411" w:rsidRDefault="00B0005F">
            <w:pPr>
              <w:jc w:val="center"/>
              <w:rPr>
                <w:rFonts w:ascii="Times New Roman"/>
                <w:bCs/>
                <w:color w:val="000000" w:themeColor="text1"/>
                <w:sz w:val="21"/>
                <w:szCs w:val="21"/>
              </w:rPr>
            </w:pPr>
          </w:p>
        </w:tc>
        <w:tc>
          <w:tcPr>
            <w:tcW w:w="961" w:type="pct"/>
            <w:vAlign w:val="center"/>
          </w:tcPr>
          <w:p w14:paraId="38D2CBCC"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呼吸系统防护</w:t>
            </w:r>
          </w:p>
        </w:tc>
        <w:tc>
          <w:tcPr>
            <w:tcW w:w="3559" w:type="pct"/>
            <w:gridSpan w:val="4"/>
            <w:vAlign w:val="center"/>
          </w:tcPr>
          <w:p w14:paraId="09E1211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一般不需要特殊防护，高浓度环境中，可佩带供气式呼吸器</w:t>
            </w:r>
          </w:p>
        </w:tc>
      </w:tr>
      <w:tr w:rsidR="008A2411" w:rsidRPr="008A2411" w14:paraId="6DCAAC51" w14:textId="77777777">
        <w:trPr>
          <w:cantSplit/>
          <w:trHeight w:val="340"/>
          <w:jc w:val="center"/>
        </w:trPr>
        <w:tc>
          <w:tcPr>
            <w:tcW w:w="480" w:type="pct"/>
            <w:vMerge/>
            <w:vAlign w:val="center"/>
          </w:tcPr>
          <w:p w14:paraId="42531319" w14:textId="77777777" w:rsidR="00B0005F" w:rsidRPr="008A2411" w:rsidRDefault="00B0005F">
            <w:pPr>
              <w:jc w:val="center"/>
              <w:rPr>
                <w:rFonts w:ascii="Times New Roman"/>
                <w:bCs/>
                <w:color w:val="000000" w:themeColor="text1"/>
                <w:sz w:val="21"/>
                <w:szCs w:val="21"/>
              </w:rPr>
            </w:pPr>
          </w:p>
        </w:tc>
        <w:tc>
          <w:tcPr>
            <w:tcW w:w="961" w:type="pct"/>
            <w:vAlign w:val="center"/>
          </w:tcPr>
          <w:p w14:paraId="08108F96"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眼睛防护</w:t>
            </w:r>
          </w:p>
        </w:tc>
        <w:tc>
          <w:tcPr>
            <w:tcW w:w="3559" w:type="pct"/>
            <w:gridSpan w:val="4"/>
            <w:vAlign w:val="center"/>
          </w:tcPr>
          <w:p w14:paraId="7E61176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一般不需要特殊防护，高浓度接触时可戴安全防护眼镜</w:t>
            </w:r>
          </w:p>
        </w:tc>
      </w:tr>
      <w:tr w:rsidR="008A2411" w:rsidRPr="008A2411" w14:paraId="53CB30DF" w14:textId="77777777">
        <w:trPr>
          <w:cantSplit/>
          <w:trHeight w:val="340"/>
          <w:jc w:val="center"/>
        </w:trPr>
        <w:tc>
          <w:tcPr>
            <w:tcW w:w="480" w:type="pct"/>
            <w:vMerge/>
            <w:vAlign w:val="center"/>
          </w:tcPr>
          <w:p w14:paraId="134195BE" w14:textId="77777777" w:rsidR="00B0005F" w:rsidRPr="008A2411" w:rsidRDefault="00B0005F">
            <w:pPr>
              <w:jc w:val="center"/>
              <w:rPr>
                <w:rFonts w:ascii="Times New Roman"/>
                <w:bCs/>
                <w:color w:val="000000" w:themeColor="text1"/>
                <w:sz w:val="21"/>
                <w:szCs w:val="21"/>
              </w:rPr>
            </w:pPr>
          </w:p>
        </w:tc>
        <w:tc>
          <w:tcPr>
            <w:tcW w:w="961" w:type="pct"/>
            <w:vAlign w:val="center"/>
          </w:tcPr>
          <w:p w14:paraId="561A464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手防护</w:t>
            </w:r>
          </w:p>
        </w:tc>
        <w:tc>
          <w:tcPr>
            <w:tcW w:w="3559" w:type="pct"/>
            <w:gridSpan w:val="4"/>
            <w:vAlign w:val="center"/>
          </w:tcPr>
          <w:p w14:paraId="49080596"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一般不需要特殊防护，高浓度接触可戴防护手套</w:t>
            </w:r>
          </w:p>
        </w:tc>
      </w:tr>
      <w:tr w:rsidR="008A2411" w:rsidRPr="008A2411" w14:paraId="2227F01B" w14:textId="77777777">
        <w:trPr>
          <w:cantSplit/>
          <w:trHeight w:val="340"/>
          <w:jc w:val="center"/>
        </w:trPr>
        <w:tc>
          <w:tcPr>
            <w:tcW w:w="480" w:type="pct"/>
            <w:vMerge/>
            <w:vAlign w:val="center"/>
          </w:tcPr>
          <w:p w14:paraId="351EABA3" w14:textId="77777777" w:rsidR="00B0005F" w:rsidRPr="008A2411" w:rsidRDefault="00B0005F">
            <w:pPr>
              <w:jc w:val="center"/>
              <w:rPr>
                <w:rFonts w:ascii="Times New Roman"/>
                <w:bCs/>
                <w:color w:val="000000" w:themeColor="text1"/>
                <w:sz w:val="21"/>
                <w:szCs w:val="21"/>
              </w:rPr>
            </w:pPr>
          </w:p>
        </w:tc>
        <w:tc>
          <w:tcPr>
            <w:tcW w:w="961" w:type="pct"/>
            <w:vAlign w:val="center"/>
          </w:tcPr>
          <w:p w14:paraId="74AB50C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其它</w:t>
            </w:r>
          </w:p>
        </w:tc>
        <w:tc>
          <w:tcPr>
            <w:tcW w:w="3559" w:type="pct"/>
            <w:gridSpan w:val="4"/>
            <w:vAlign w:val="center"/>
          </w:tcPr>
          <w:p w14:paraId="6B469D7C"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w:t>
            </w:r>
            <w:r w:rsidRPr="008A2411">
              <w:rPr>
                <w:rFonts w:ascii="Times New Roman"/>
                <w:bCs/>
                <w:color w:val="000000" w:themeColor="text1"/>
                <w:sz w:val="21"/>
                <w:szCs w:val="21"/>
              </w:rPr>
              <w:t>、工作现场严禁吸烟；</w:t>
            </w:r>
            <w:r w:rsidRPr="008A2411">
              <w:rPr>
                <w:rFonts w:ascii="Times New Roman"/>
                <w:bCs/>
                <w:color w:val="000000" w:themeColor="text1"/>
                <w:sz w:val="21"/>
                <w:szCs w:val="21"/>
              </w:rPr>
              <w:t>2</w:t>
            </w:r>
            <w:r w:rsidRPr="008A2411">
              <w:rPr>
                <w:rFonts w:ascii="Times New Roman"/>
                <w:bCs/>
                <w:color w:val="000000" w:themeColor="text1"/>
                <w:sz w:val="21"/>
                <w:szCs w:val="21"/>
              </w:rPr>
              <w:t>、避免长期反复接触；</w:t>
            </w:r>
          </w:p>
          <w:p w14:paraId="0F148B1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3</w:t>
            </w:r>
            <w:r w:rsidRPr="008A2411">
              <w:rPr>
                <w:rFonts w:ascii="Times New Roman"/>
                <w:bCs/>
                <w:color w:val="000000" w:themeColor="text1"/>
                <w:sz w:val="21"/>
                <w:szCs w:val="21"/>
              </w:rPr>
              <w:t>、进入罐区或其它高浓度区作业时</w:t>
            </w:r>
            <w:proofErr w:type="gramStart"/>
            <w:r w:rsidRPr="008A2411">
              <w:rPr>
                <w:rFonts w:ascii="Times New Roman"/>
                <w:bCs/>
                <w:color w:val="000000" w:themeColor="text1"/>
                <w:sz w:val="21"/>
                <w:szCs w:val="21"/>
              </w:rPr>
              <w:t>须有人</w:t>
            </w:r>
            <w:proofErr w:type="gramEnd"/>
            <w:r w:rsidRPr="008A2411">
              <w:rPr>
                <w:rFonts w:ascii="Times New Roman"/>
                <w:bCs/>
                <w:color w:val="000000" w:themeColor="text1"/>
                <w:sz w:val="21"/>
                <w:szCs w:val="21"/>
              </w:rPr>
              <w:t>监护</w:t>
            </w:r>
          </w:p>
        </w:tc>
      </w:tr>
      <w:tr w:rsidR="00B0005F" w:rsidRPr="008A2411" w14:paraId="678A4572" w14:textId="77777777">
        <w:trPr>
          <w:cantSplit/>
          <w:trHeight w:val="340"/>
          <w:jc w:val="center"/>
        </w:trPr>
        <w:tc>
          <w:tcPr>
            <w:tcW w:w="480" w:type="pct"/>
            <w:vAlign w:val="center"/>
          </w:tcPr>
          <w:p w14:paraId="713308FB"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泄漏</w:t>
            </w:r>
          </w:p>
          <w:p w14:paraId="4DEC88D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处理</w:t>
            </w:r>
          </w:p>
        </w:tc>
        <w:tc>
          <w:tcPr>
            <w:tcW w:w="4520" w:type="pct"/>
            <w:gridSpan w:val="5"/>
            <w:vAlign w:val="center"/>
          </w:tcPr>
          <w:p w14:paraId="064A32C4"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w:t>
            </w:r>
            <w:r w:rsidRPr="008A2411">
              <w:rPr>
                <w:rFonts w:ascii="Times New Roman"/>
                <w:bCs/>
                <w:color w:val="000000" w:themeColor="text1"/>
                <w:sz w:val="21"/>
                <w:szCs w:val="21"/>
              </w:rPr>
              <w:t>、切断气源，</w:t>
            </w:r>
            <w:proofErr w:type="gramStart"/>
            <w:r w:rsidRPr="008A2411">
              <w:rPr>
                <w:rFonts w:ascii="Times New Roman"/>
                <w:bCs/>
                <w:color w:val="000000" w:themeColor="text1"/>
                <w:sz w:val="21"/>
                <w:szCs w:val="21"/>
              </w:rPr>
              <w:t>喷雾状水稀释</w:t>
            </w:r>
            <w:proofErr w:type="gramEnd"/>
            <w:r w:rsidRPr="008A2411">
              <w:rPr>
                <w:rFonts w:ascii="Times New Roman"/>
                <w:bCs/>
                <w:color w:val="000000" w:themeColor="text1"/>
                <w:sz w:val="21"/>
                <w:szCs w:val="21"/>
              </w:rPr>
              <w:t>、降温，抽排</w:t>
            </w:r>
            <w:r w:rsidRPr="008A2411">
              <w:rPr>
                <w:rFonts w:ascii="Times New Roman"/>
                <w:bCs/>
                <w:color w:val="000000" w:themeColor="text1"/>
                <w:sz w:val="21"/>
                <w:szCs w:val="21"/>
              </w:rPr>
              <w:t>(</w:t>
            </w:r>
            <w:r w:rsidRPr="008A2411">
              <w:rPr>
                <w:rFonts w:ascii="Times New Roman"/>
                <w:bCs/>
                <w:color w:val="000000" w:themeColor="text1"/>
                <w:sz w:val="21"/>
                <w:szCs w:val="21"/>
              </w:rPr>
              <w:t>室内）或强力通风</w:t>
            </w:r>
            <w:r w:rsidRPr="008A2411">
              <w:rPr>
                <w:rFonts w:ascii="Times New Roman"/>
                <w:bCs/>
                <w:color w:val="000000" w:themeColor="text1"/>
                <w:sz w:val="21"/>
                <w:szCs w:val="21"/>
              </w:rPr>
              <w:t>(</w:t>
            </w:r>
            <w:r w:rsidRPr="008A2411">
              <w:rPr>
                <w:rFonts w:ascii="Times New Roman"/>
                <w:bCs/>
                <w:color w:val="000000" w:themeColor="text1"/>
                <w:sz w:val="21"/>
                <w:szCs w:val="21"/>
              </w:rPr>
              <w:t>室外）。</w:t>
            </w:r>
            <w:r w:rsidRPr="008A2411">
              <w:rPr>
                <w:rFonts w:ascii="Times New Roman"/>
                <w:bCs/>
                <w:color w:val="000000" w:themeColor="text1"/>
                <w:sz w:val="21"/>
                <w:szCs w:val="21"/>
              </w:rPr>
              <w:t>2</w:t>
            </w:r>
            <w:r w:rsidRPr="008A2411">
              <w:rPr>
                <w:rFonts w:ascii="Times New Roman"/>
                <w:bCs/>
                <w:color w:val="000000" w:themeColor="text1"/>
                <w:sz w:val="21"/>
                <w:szCs w:val="21"/>
              </w:rPr>
              <w:t>、切断火源，迅速撤离泄漏污染区人员至上风处，并隔离直至气体散尽。</w:t>
            </w:r>
            <w:r w:rsidRPr="008A2411">
              <w:rPr>
                <w:rFonts w:ascii="Times New Roman"/>
                <w:bCs/>
                <w:color w:val="000000" w:themeColor="text1"/>
                <w:sz w:val="21"/>
                <w:szCs w:val="21"/>
              </w:rPr>
              <w:t>3</w:t>
            </w:r>
            <w:r w:rsidRPr="008A2411">
              <w:rPr>
                <w:rFonts w:ascii="Times New Roman"/>
                <w:bCs/>
                <w:color w:val="000000" w:themeColor="text1"/>
                <w:sz w:val="21"/>
                <w:szCs w:val="21"/>
              </w:rPr>
              <w:t>、应急处理人员应戴自给式呼吸器，穿一般消防防护服。</w:t>
            </w:r>
            <w:r w:rsidRPr="008A2411">
              <w:rPr>
                <w:rFonts w:ascii="Times New Roman"/>
                <w:bCs/>
                <w:color w:val="000000" w:themeColor="text1"/>
                <w:sz w:val="21"/>
                <w:szCs w:val="21"/>
              </w:rPr>
              <w:t>4</w:t>
            </w:r>
            <w:r w:rsidRPr="008A2411">
              <w:rPr>
                <w:rFonts w:ascii="Times New Roman"/>
                <w:bCs/>
                <w:color w:val="000000" w:themeColor="text1"/>
                <w:sz w:val="21"/>
                <w:szCs w:val="21"/>
              </w:rPr>
              <w:t>、如有可能，应将漏出气用排风机送至空旷地方或装设适当喷头烧掉；也可以将漏气的容器移至空旷处，注意通风。</w:t>
            </w:r>
            <w:r w:rsidRPr="008A2411">
              <w:rPr>
                <w:rFonts w:ascii="Times New Roman"/>
                <w:bCs/>
                <w:color w:val="000000" w:themeColor="text1"/>
                <w:sz w:val="21"/>
                <w:szCs w:val="21"/>
              </w:rPr>
              <w:t>5</w:t>
            </w:r>
            <w:r w:rsidRPr="008A2411">
              <w:rPr>
                <w:rFonts w:ascii="Times New Roman"/>
                <w:bCs/>
                <w:color w:val="000000" w:themeColor="text1"/>
                <w:sz w:val="21"/>
                <w:szCs w:val="21"/>
              </w:rPr>
              <w:t>、漏气容器不能再用，且要经过技术处理以清除可能剩下的气休</w:t>
            </w:r>
          </w:p>
        </w:tc>
      </w:tr>
    </w:tbl>
    <w:p w14:paraId="3E9701C1" w14:textId="77777777" w:rsidR="00B0005F" w:rsidRPr="008A2411" w:rsidRDefault="00B0005F">
      <w:pPr>
        <w:pStyle w:val="L-"/>
        <w:rPr>
          <w:rFonts w:ascii="Times New Roman" w:cs="Times New Roman"/>
          <w:color w:val="000000" w:themeColor="text1"/>
        </w:rPr>
      </w:pPr>
    </w:p>
    <w:p w14:paraId="422B0CB3" w14:textId="77777777" w:rsidR="00B0005F" w:rsidRPr="008A2411" w:rsidRDefault="00000000">
      <w:pPr>
        <w:pStyle w:val="L-"/>
        <w:numPr>
          <w:ilvl w:val="0"/>
          <w:numId w:val="17"/>
        </w:numPr>
        <w:spacing w:line="360" w:lineRule="auto"/>
        <w:rPr>
          <w:rFonts w:ascii="Times New Roman" w:cs="Times New Roman"/>
          <w:color w:val="000000" w:themeColor="text1"/>
        </w:rPr>
      </w:pPr>
      <w:r w:rsidRPr="008A2411">
        <w:rPr>
          <w:rFonts w:ascii="Times New Roman" w:cs="Times New Roman"/>
          <w:color w:val="000000" w:themeColor="text1"/>
        </w:rPr>
        <w:t>导热油</w:t>
      </w:r>
    </w:p>
    <w:p w14:paraId="089302BA" w14:textId="77777777" w:rsidR="00B0005F" w:rsidRPr="008A2411" w:rsidRDefault="00000000">
      <w:pPr>
        <w:pStyle w:val="L-"/>
        <w:spacing w:line="360" w:lineRule="auto"/>
        <w:ind w:firstLineChars="200"/>
        <w:rPr>
          <w:rFonts w:ascii="Times New Roman" w:cs="Times New Roman"/>
          <w:color w:val="000000" w:themeColor="text1"/>
        </w:rPr>
      </w:pPr>
      <w:r w:rsidRPr="008A2411">
        <w:rPr>
          <w:rFonts w:ascii="Times New Roman" w:cs="Times New Roman"/>
          <w:color w:val="000000" w:themeColor="text1"/>
        </w:rPr>
        <w:t>导热油室温下外观为琥珀色液体，具备矿物油特性，初沸点即沸程＞</w:t>
      </w:r>
      <w:r w:rsidRPr="008A2411">
        <w:rPr>
          <w:rFonts w:ascii="Times New Roman" w:cs="Times New Roman"/>
          <w:color w:val="000000" w:themeColor="text1"/>
        </w:rPr>
        <w:t>280℃</w:t>
      </w:r>
      <w:r w:rsidRPr="008A2411">
        <w:rPr>
          <w:rFonts w:ascii="Times New Roman" w:cs="Times New Roman"/>
          <w:color w:val="000000" w:themeColor="text1"/>
        </w:rPr>
        <w:t>，闪点为</w:t>
      </w:r>
      <w:r w:rsidRPr="008A2411">
        <w:rPr>
          <w:rFonts w:ascii="Times New Roman" w:cs="Times New Roman"/>
          <w:color w:val="000000" w:themeColor="text1"/>
        </w:rPr>
        <w:t>216℃</w:t>
      </w:r>
      <w:r w:rsidRPr="008A2411">
        <w:rPr>
          <w:rFonts w:ascii="Times New Roman" w:cs="Times New Roman"/>
          <w:color w:val="000000" w:themeColor="text1"/>
        </w:rPr>
        <w:t>，燃烧上下极限为</w:t>
      </w:r>
      <w:r w:rsidRPr="008A2411">
        <w:rPr>
          <w:rFonts w:ascii="Times New Roman" w:cs="Times New Roman"/>
          <w:color w:val="000000" w:themeColor="text1"/>
        </w:rPr>
        <w:t>1%~10%</w:t>
      </w:r>
      <w:r w:rsidRPr="008A2411">
        <w:rPr>
          <w:rFonts w:ascii="Times New Roman" w:cs="Times New Roman"/>
          <w:color w:val="000000" w:themeColor="text1"/>
        </w:rPr>
        <w:t>，密度</w:t>
      </w:r>
      <w:r w:rsidRPr="008A2411">
        <w:rPr>
          <w:rFonts w:ascii="Times New Roman" w:cs="Times New Roman"/>
          <w:color w:val="000000" w:themeColor="text1"/>
        </w:rPr>
        <w:t>890kg/m</w:t>
      </w:r>
      <w:r w:rsidRPr="008A2411">
        <w:rPr>
          <w:rFonts w:ascii="Times New Roman" w:cs="Times New Roman"/>
          <w:color w:val="000000" w:themeColor="text1"/>
          <w:vertAlign w:val="superscript"/>
        </w:rPr>
        <w:t>3</w:t>
      </w:r>
      <w:r w:rsidRPr="008A2411">
        <w:rPr>
          <w:rFonts w:ascii="Times New Roman" w:cs="Times New Roman"/>
          <w:color w:val="000000" w:themeColor="text1"/>
        </w:rPr>
        <w:t>（</w:t>
      </w:r>
      <w:r w:rsidRPr="008A2411">
        <w:rPr>
          <w:rFonts w:ascii="Times New Roman" w:cs="Times New Roman"/>
          <w:color w:val="000000" w:themeColor="text1"/>
        </w:rPr>
        <w:t>20℃</w:t>
      </w:r>
      <w:r w:rsidRPr="008A2411">
        <w:rPr>
          <w:rFonts w:ascii="Times New Roman" w:cs="Times New Roman"/>
          <w:color w:val="000000" w:themeColor="text1"/>
        </w:rPr>
        <w:t>）。</w:t>
      </w:r>
    </w:p>
    <w:p w14:paraId="0ADC48EE" w14:textId="77777777" w:rsidR="00B0005F" w:rsidRPr="008A2411" w:rsidRDefault="00000000">
      <w:pPr>
        <w:pStyle w:val="afffffff9"/>
        <w:spacing w:line="240" w:lineRule="auto"/>
        <w:ind w:firstLineChars="0" w:firstLine="0"/>
        <w:jc w:val="center"/>
        <w:rPr>
          <w:rFonts w:ascii="Times New Roman" w:eastAsia="黑体" w:hAnsi="Times New Roman"/>
          <w:bCs/>
          <w:color w:val="000000" w:themeColor="text1"/>
        </w:rPr>
      </w:pPr>
      <w:r w:rsidRPr="008A2411">
        <w:rPr>
          <w:rFonts w:ascii="Times New Roman" w:eastAsia="黑体" w:hAnsi="Times New Roman"/>
          <w:bCs/>
          <w:color w:val="000000" w:themeColor="text1"/>
        </w:rPr>
        <w:t>表</w:t>
      </w:r>
      <w:r w:rsidRPr="008A2411">
        <w:rPr>
          <w:rFonts w:ascii="Times New Roman" w:eastAsia="黑体" w:hAnsi="Times New Roman"/>
          <w:bCs/>
          <w:color w:val="000000" w:themeColor="text1"/>
        </w:rPr>
        <w:t xml:space="preserve">6.5-2  </w:t>
      </w:r>
      <w:r w:rsidRPr="008A2411">
        <w:rPr>
          <w:rFonts w:ascii="Times New Roman" w:eastAsia="黑体" w:hAnsi="Times New Roman"/>
          <w:bCs/>
          <w:color w:val="000000" w:themeColor="text1"/>
        </w:rPr>
        <w:t>导热油理化性质及危险性情况表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4"/>
        <w:gridCol w:w="1638"/>
        <w:gridCol w:w="1762"/>
        <w:gridCol w:w="1916"/>
        <w:gridCol w:w="101"/>
        <w:gridCol w:w="2291"/>
      </w:tblGrid>
      <w:tr w:rsidR="008A2411" w:rsidRPr="008A2411" w14:paraId="5FB705FF" w14:textId="77777777">
        <w:trPr>
          <w:cantSplit/>
          <w:trHeight w:val="340"/>
          <w:jc w:val="center"/>
        </w:trPr>
        <w:tc>
          <w:tcPr>
            <w:tcW w:w="477" w:type="pct"/>
            <w:vAlign w:val="center"/>
          </w:tcPr>
          <w:p w14:paraId="3FE67E2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标识</w:t>
            </w:r>
          </w:p>
        </w:tc>
        <w:tc>
          <w:tcPr>
            <w:tcW w:w="961" w:type="pct"/>
            <w:vAlign w:val="center"/>
          </w:tcPr>
          <w:p w14:paraId="0882275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中文名</w:t>
            </w:r>
          </w:p>
        </w:tc>
        <w:tc>
          <w:tcPr>
            <w:tcW w:w="1034" w:type="pct"/>
            <w:vAlign w:val="center"/>
          </w:tcPr>
          <w:p w14:paraId="042AE1B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导热油</w:t>
            </w:r>
          </w:p>
        </w:tc>
        <w:tc>
          <w:tcPr>
            <w:tcW w:w="1124" w:type="pct"/>
            <w:vAlign w:val="center"/>
          </w:tcPr>
          <w:p w14:paraId="7C20C432" w14:textId="77777777" w:rsidR="00B0005F" w:rsidRPr="008A2411" w:rsidRDefault="00B0005F">
            <w:pPr>
              <w:jc w:val="center"/>
              <w:rPr>
                <w:rFonts w:ascii="Times New Roman"/>
                <w:bCs/>
                <w:color w:val="000000" w:themeColor="text1"/>
                <w:sz w:val="21"/>
                <w:szCs w:val="21"/>
              </w:rPr>
            </w:pPr>
          </w:p>
        </w:tc>
        <w:tc>
          <w:tcPr>
            <w:tcW w:w="1403" w:type="pct"/>
            <w:gridSpan w:val="2"/>
            <w:vAlign w:val="center"/>
          </w:tcPr>
          <w:p w14:paraId="1013B943" w14:textId="77777777" w:rsidR="00B0005F" w:rsidRPr="008A2411" w:rsidRDefault="00B0005F">
            <w:pPr>
              <w:jc w:val="center"/>
              <w:rPr>
                <w:rFonts w:ascii="Times New Roman"/>
                <w:bCs/>
                <w:color w:val="000000" w:themeColor="text1"/>
                <w:sz w:val="21"/>
                <w:szCs w:val="21"/>
              </w:rPr>
            </w:pPr>
          </w:p>
        </w:tc>
      </w:tr>
      <w:tr w:rsidR="008A2411" w:rsidRPr="008A2411" w14:paraId="555D248A" w14:textId="77777777">
        <w:trPr>
          <w:cantSplit/>
          <w:trHeight w:val="340"/>
          <w:jc w:val="center"/>
        </w:trPr>
        <w:tc>
          <w:tcPr>
            <w:tcW w:w="477" w:type="pct"/>
            <w:vMerge w:val="restart"/>
            <w:vAlign w:val="center"/>
          </w:tcPr>
          <w:p w14:paraId="0B6DEC7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理化</w:t>
            </w:r>
          </w:p>
          <w:p w14:paraId="131663FC"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性质</w:t>
            </w:r>
          </w:p>
        </w:tc>
        <w:tc>
          <w:tcPr>
            <w:tcW w:w="961" w:type="pct"/>
            <w:vAlign w:val="center"/>
          </w:tcPr>
          <w:p w14:paraId="5D067597"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外观与性状</w:t>
            </w:r>
          </w:p>
        </w:tc>
        <w:tc>
          <w:tcPr>
            <w:tcW w:w="3561" w:type="pct"/>
            <w:gridSpan w:val="4"/>
            <w:vAlign w:val="center"/>
          </w:tcPr>
          <w:p w14:paraId="5BDA00CA"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琥珀色液体</w:t>
            </w:r>
          </w:p>
        </w:tc>
      </w:tr>
      <w:tr w:rsidR="008A2411" w:rsidRPr="008A2411" w14:paraId="7B26766E" w14:textId="77777777">
        <w:trPr>
          <w:cantSplit/>
          <w:trHeight w:val="340"/>
          <w:jc w:val="center"/>
        </w:trPr>
        <w:tc>
          <w:tcPr>
            <w:tcW w:w="477" w:type="pct"/>
            <w:vMerge/>
            <w:vAlign w:val="center"/>
          </w:tcPr>
          <w:p w14:paraId="714FB632" w14:textId="77777777" w:rsidR="00B0005F" w:rsidRPr="008A2411" w:rsidRDefault="00B0005F">
            <w:pPr>
              <w:jc w:val="center"/>
              <w:rPr>
                <w:rFonts w:ascii="Times New Roman"/>
                <w:bCs/>
                <w:color w:val="000000" w:themeColor="text1"/>
                <w:sz w:val="21"/>
                <w:szCs w:val="21"/>
              </w:rPr>
            </w:pPr>
          </w:p>
        </w:tc>
        <w:tc>
          <w:tcPr>
            <w:tcW w:w="961" w:type="pct"/>
            <w:vAlign w:val="center"/>
          </w:tcPr>
          <w:p w14:paraId="1A0D83D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溶解性</w:t>
            </w:r>
          </w:p>
        </w:tc>
        <w:tc>
          <w:tcPr>
            <w:tcW w:w="3561" w:type="pct"/>
            <w:gridSpan w:val="4"/>
            <w:vAlign w:val="center"/>
          </w:tcPr>
          <w:p w14:paraId="13889E1D"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不溶于水</w:t>
            </w:r>
          </w:p>
        </w:tc>
      </w:tr>
      <w:tr w:rsidR="008A2411" w:rsidRPr="008A2411" w14:paraId="21CEA4D0" w14:textId="77777777">
        <w:trPr>
          <w:cantSplit/>
          <w:trHeight w:val="340"/>
          <w:jc w:val="center"/>
        </w:trPr>
        <w:tc>
          <w:tcPr>
            <w:tcW w:w="477" w:type="pct"/>
            <w:vMerge/>
            <w:vAlign w:val="center"/>
          </w:tcPr>
          <w:p w14:paraId="0D9A4723" w14:textId="77777777" w:rsidR="00B0005F" w:rsidRPr="008A2411" w:rsidRDefault="00B0005F">
            <w:pPr>
              <w:jc w:val="center"/>
              <w:rPr>
                <w:rFonts w:ascii="Times New Roman"/>
                <w:bCs/>
                <w:color w:val="000000" w:themeColor="text1"/>
                <w:sz w:val="21"/>
                <w:szCs w:val="21"/>
              </w:rPr>
            </w:pPr>
          </w:p>
        </w:tc>
        <w:tc>
          <w:tcPr>
            <w:tcW w:w="961" w:type="pct"/>
            <w:vAlign w:val="center"/>
          </w:tcPr>
          <w:p w14:paraId="72A7AFDA"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主要用途</w:t>
            </w:r>
          </w:p>
        </w:tc>
        <w:tc>
          <w:tcPr>
            <w:tcW w:w="3561" w:type="pct"/>
            <w:gridSpan w:val="4"/>
            <w:vAlign w:val="center"/>
          </w:tcPr>
          <w:p w14:paraId="2612297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用作工业油传热介质。</w:t>
            </w:r>
          </w:p>
        </w:tc>
      </w:tr>
      <w:tr w:rsidR="008A2411" w:rsidRPr="008A2411" w14:paraId="559B503A" w14:textId="77777777">
        <w:trPr>
          <w:cantSplit/>
          <w:trHeight w:val="340"/>
          <w:jc w:val="center"/>
        </w:trPr>
        <w:tc>
          <w:tcPr>
            <w:tcW w:w="477" w:type="pct"/>
            <w:vMerge/>
            <w:vAlign w:val="center"/>
          </w:tcPr>
          <w:p w14:paraId="0F957178" w14:textId="77777777" w:rsidR="00B0005F" w:rsidRPr="008A2411" w:rsidRDefault="00B0005F">
            <w:pPr>
              <w:jc w:val="center"/>
              <w:rPr>
                <w:rFonts w:ascii="Times New Roman"/>
                <w:bCs/>
                <w:color w:val="000000" w:themeColor="text1"/>
                <w:sz w:val="21"/>
                <w:szCs w:val="21"/>
              </w:rPr>
            </w:pPr>
          </w:p>
        </w:tc>
        <w:tc>
          <w:tcPr>
            <w:tcW w:w="961" w:type="pct"/>
            <w:vAlign w:val="center"/>
          </w:tcPr>
          <w:p w14:paraId="732EBB0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初沸点即沸程</w:t>
            </w:r>
            <w:r w:rsidRPr="008A2411">
              <w:rPr>
                <w:rFonts w:ascii="Times New Roman"/>
                <w:bCs/>
                <w:color w:val="000000" w:themeColor="text1"/>
                <w:sz w:val="21"/>
                <w:szCs w:val="21"/>
              </w:rPr>
              <w:t>(℃</w:t>
            </w:r>
            <w:r w:rsidRPr="008A2411">
              <w:rPr>
                <w:rFonts w:ascii="Times New Roman"/>
                <w:bCs/>
                <w:color w:val="000000" w:themeColor="text1"/>
                <w:sz w:val="21"/>
                <w:szCs w:val="21"/>
              </w:rPr>
              <w:t>）</w:t>
            </w:r>
          </w:p>
        </w:tc>
        <w:tc>
          <w:tcPr>
            <w:tcW w:w="1034" w:type="pct"/>
            <w:vAlign w:val="center"/>
          </w:tcPr>
          <w:p w14:paraId="62C9920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280</w:t>
            </w:r>
          </w:p>
        </w:tc>
        <w:tc>
          <w:tcPr>
            <w:tcW w:w="1183" w:type="pct"/>
            <w:gridSpan w:val="2"/>
            <w:vAlign w:val="center"/>
          </w:tcPr>
          <w:p w14:paraId="69F3B689"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相对密度</w:t>
            </w:r>
            <w:r w:rsidRPr="008A2411">
              <w:rPr>
                <w:rFonts w:ascii="Times New Roman"/>
                <w:bCs/>
                <w:color w:val="000000" w:themeColor="text1"/>
                <w:sz w:val="21"/>
                <w:szCs w:val="21"/>
              </w:rPr>
              <w:t>(</w:t>
            </w:r>
            <w:r w:rsidRPr="008A2411">
              <w:rPr>
                <w:rFonts w:ascii="Times New Roman"/>
                <w:bCs/>
                <w:color w:val="000000" w:themeColor="text1"/>
                <w:sz w:val="21"/>
                <w:szCs w:val="21"/>
              </w:rPr>
              <w:t>水</w:t>
            </w:r>
            <w:r w:rsidRPr="008A2411">
              <w:rPr>
                <w:rFonts w:ascii="Times New Roman"/>
                <w:bCs/>
                <w:color w:val="000000" w:themeColor="text1"/>
                <w:sz w:val="21"/>
                <w:szCs w:val="21"/>
              </w:rPr>
              <w:t>=1</w:t>
            </w:r>
            <w:r w:rsidRPr="008A2411">
              <w:rPr>
                <w:rFonts w:ascii="Times New Roman"/>
                <w:bCs/>
                <w:color w:val="000000" w:themeColor="text1"/>
                <w:sz w:val="21"/>
                <w:szCs w:val="21"/>
              </w:rPr>
              <w:t>）</w:t>
            </w:r>
          </w:p>
        </w:tc>
        <w:tc>
          <w:tcPr>
            <w:tcW w:w="1344" w:type="pct"/>
            <w:vAlign w:val="center"/>
          </w:tcPr>
          <w:p w14:paraId="45AE951D"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w:t>
            </w:r>
            <w:r w:rsidRPr="008A2411">
              <w:rPr>
                <w:rFonts w:ascii="Times New Roman"/>
                <w:bCs/>
                <w:color w:val="000000" w:themeColor="text1"/>
                <w:sz w:val="21"/>
                <w:szCs w:val="21"/>
              </w:rPr>
              <w:t>1</w:t>
            </w:r>
          </w:p>
        </w:tc>
      </w:tr>
      <w:tr w:rsidR="008A2411" w:rsidRPr="008A2411" w14:paraId="5B34A622" w14:textId="77777777">
        <w:trPr>
          <w:cantSplit/>
          <w:trHeight w:val="340"/>
          <w:jc w:val="center"/>
        </w:trPr>
        <w:tc>
          <w:tcPr>
            <w:tcW w:w="477" w:type="pct"/>
            <w:vMerge/>
            <w:vAlign w:val="center"/>
          </w:tcPr>
          <w:p w14:paraId="4261A0FB" w14:textId="77777777" w:rsidR="00B0005F" w:rsidRPr="008A2411" w:rsidRDefault="00B0005F">
            <w:pPr>
              <w:jc w:val="center"/>
              <w:rPr>
                <w:rFonts w:ascii="Times New Roman"/>
                <w:bCs/>
                <w:color w:val="000000" w:themeColor="text1"/>
                <w:sz w:val="21"/>
                <w:szCs w:val="21"/>
              </w:rPr>
            </w:pPr>
          </w:p>
        </w:tc>
        <w:tc>
          <w:tcPr>
            <w:tcW w:w="961" w:type="pct"/>
            <w:vAlign w:val="center"/>
          </w:tcPr>
          <w:p w14:paraId="366983D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闪点</w:t>
            </w:r>
            <w:r w:rsidRPr="008A2411">
              <w:rPr>
                <w:rFonts w:ascii="Times New Roman"/>
                <w:bCs/>
                <w:color w:val="000000" w:themeColor="text1"/>
                <w:sz w:val="21"/>
                <w:szCs w:val="21"/>
              </w:rPr>
              <w:t>(℃</w:t>
            </w:r>
            <w:r w:rsidRPr="008A2411">
              <w:rPr>
                <w:rFonts w:ascii="Times New Roman"/>
                <w:bCs/>
                <w:color w:val="000000" w:themeColor="text1"/>
                <w:sz w:val="21"/>
                <w:szCs w:val="21"/>
              </w:rPr>
              <w:t>）</w:t>
            </w:r>
          </w:p>
        </w:tc>
        <w:tc>
          <w:tcPr>
            <w:tcW w:w="1034" w:type="pct"/>
            <w:vAlign w:val="center"/>
          </w:tcPr>
          <w:p w14:paraId="08F3B3F6"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216</w:t>
            </w:r>
          </w:p>
        </w:tc>
        <w:tc>
          <w:tcPr>
            <w:tcW w:w="1183" w:type="pct"/>
            <w:gridSpan w:val="2"/>
            <w:vAlign w:val="center"/>
          </w:tcPr>
          <w:p w14:paraId="084BAA94"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密度</w:t>
            </w:r>
            <w:r w:rsidRPr="008A2411">
              <w:rPr>
                <w:rFonts w:ascii="Times New Roman"/>
                <w:color w:val="000000" w:themeColor="text1"/>
              </w:rPr>
              <w:t>kg/m</w:t>
            </w:r>
            <w:r w:rsidRPr="008A2411">
              <w:rPr>
                <w:rFonts w:ascii="Times New Roman"/>
                <w:color w:val="000000" w:themeColor="text1"/>
                <w:vertAlign w:val="superscript"/>
              </w:rPr>
              <w:t>3</w:t>
            </w:r>
          </w:p>
        </w:tc>
        <w:tc>
          <w:tcPr>
            <w:tcW w:w="1344" w:type="pct"/>
            <w:vAlign w:val="center"/>
          </w:tcPr>
          <w:p w14:paraId="59DBAAC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890</w:t>
            </w:r>
            <w:r w:rsidRPr="008A2411">
              <w:rPr>
                <w:rFonts w:ascii="Times New Roman"/>
                <w:bCs/>
                <w:color w:val="000000" w:themeColor="text1"/>
                <w:sz w:val="21"/>
                <w:szCs w:val="21"/>
              </w:rPr>
              <w:t>（</w:t>
            </w:r>
            <w:r w:rsidRPr="008A2411">
              <w:rPr>
                <w:rFonts w:ascii="Times New Roman"/>
                <w:bCs/>
                <w:color w:val="000000" w:themeColor="text1"/>
                <w:sz w:val="21"/>
                <w:szCs w:val="21"/>
              </w:rPr>
              <w:t>20℃</w:t>
            </w:r>
            <w:r w:rsidRPr="008A2411">
              <w:rPr>
                <w:rFonts w:ascii="Times New Roman"/>
                <w:bCs/>
                <w:color w:val="000000" w:themeColor="text1"/>
                <w:sz w:val="21"/>
                <w:szCs w:val="21"/>
              </w:rPr>
              <w:t>）</w:t>
            </w:r>
          </w:p>
        </w:tc>
      </w:tr>
      <w:tr w:rsidR="008A2411" w:rsidRPr="008A2411" w14:paraId="221D6800" w14:textId="77777777">
        <w:trPr>
          <w:cantSplit/>
          <w:trHeight w:val="990"/>
          <w:jc w:val="center"/>
        </w:trPr>
        <w:tc>
          <w:tcPr>
            <w:tcW w:w="477" w:type="pct"/>
            <w:vMerge w:val="restart"/>
            <w:vAlign w:val="center"/>
          </w:tcPr>
          <w:p w14:paraId="0DD64584"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毒性</w:t>
            </w:r>
          </w:p>
          <w:p w14:paraId="7035804A"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及健</w:t>
            </w:r>
          </w:p>
          <w:p w14:paraId="4F877E9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康危</w:t>
            </w:r>
          </w:p>
          <w:p w14:paraId="1C1002F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害</w:t>
            </w:r>
          </w:p>
        </w:tc>
        <w:tc>
          <w:tcPr>
            <w:tcW w:w="4522" w:type="pct"/>
            <w:gridSpan w:val="5"/>
            <w:vAlign w:val="center"/>
          </w:tcPr>
          <w:p w14:paraId="2D4E28E7"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在正常条件下使用不应会成为健康危险源；</w:t>
            </w:r>
          </w:p>
          <w:p w14:paraId="2A83ECBA"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长期接触或持续接触皮肤，而不适当清晰，可能会阻塞皮肤毛孔，导致油脂性粉刺</w:t>
            </w:r>
            <w:r w:rsidRPr="008A2411">
              <w:rPr>
                <w:rFonts w:ascii="Times New Roman"/>
                <w:bCs/>
                <w:color w:val="000000" w:themeColor="text1"/>
                <w:sz w:val="21"/>
                <w:szCs w:val="21"/>
              </w:rPr>
              <w:t>/</w:t>
            </w:r>
            <w:r w:rsidRPr="008A2411">
              <w:rPr>
                <w:rFonts w:ascii="Times New Roman"/>
                <w:bCs/>
                <w:color w:val="000000" w:themeColor="text1"/>
                <w:sz w:val="21"/>
                <w:szCs w:val="21"/>
              </w:rPr>
              <w:t>毛囊炎等疫病。</w:t>
            </w:r>
          </w:p>
        </w:tc>
      </w:tr>
      <w:tr w:rsidR="008A2411" w:rsidRPr="008A2411" w14:paraId="2E5CC1F1" w14:textId="77777777">
        <w:trPr>
          <w:cantSplit/>
          <w:trHeight w:val="340"/>
          <w:jc w:val="center"/>
        </w:trPr>
        <w:tc>
          <w:tcPr>
            <w:tcW w:w="477" w:type="pct"/>
            <w:vMerge w:val="restart"/>
            <w:vAlign w:val="center"/>
          </w:tcPr>
          <w:p w14:paraId="5D2B85F7"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燃烧</w:t>
            </w:r>
          </w:p>
          <w:p w14:paraId="69BF36E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爆炸</w:t>
            </w:r>
          </w:p>
          <w:p w14:paraId="67A97A5B"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危险</w:t>
            </w:r>
          </w:p>
          <w:p w14:paraId="6BC7D15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性</w:t>
            </w:r>
          </w:p>
        </w:tc>
        <w:tc>
          <w:tcPr>
            <w:tcW w:w="961" w:type="pct"/>
            <w:vAlign w:val="center"/>
          </w:tcPr>
          <w:p w14:paraId="6BB7FAF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燃烧性</w:t>
            </w:r>
          </w:p>
        </w:tc>
        <w:tc>
          <w:tcPr>
            <w:tcW w:w="1034" w:type="pct"/>
            <w:vAlign w:val="center"/>
          </w:tcPr>
          <w:p w14:paraId="0C2373E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未评为可燃物，但会燃烧</w:t>
            </w:r>
          </w:p>
        </w:tc>
        <w:tc>
          <w:tcPr>
            <w:tcW w:w="1183" w:type="pct"/>
            <w:gridSpan w:val="2"/>
            <w:vAlign w:val="center"/>
          </w:tcPr>
          <w:p w14:paraId="47232CBB"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建</w:t>
            </w:r>
            <w:proofErr w:type="gramStart"/>
            <w:r w:rsidRPr="008A2411">
              <w:rPr>
                <w:rFonts w:ascii="Times New Roman"/>
                <w:bCs/>
                <w:color w:val="000000" w:themeColor="text1"/>
                <w:sz w:val="21"/>
                <w:szCs w:val="21"/>
              </w:rPr>
              <w:t>规</w:t>
            </w:r>
            <w:proofErr w:type="gramEnd"/>
            <w:r w:rsidRPr="008A2411">
              <w:rPr>
                <w:rFonts w:ascii="Times New Roman"/>
                <w:bCs/>
                <w:color w:val="000000" w:themeColor="text1"/>
                <w:sz w:val="21"/>
                <w:szCs w:val="21"/>
              </w:rPr>
              <w:t>火险等级</w:t>
            </w:r>
          </w:p>
        </w:tc>
        <w:tc>
          <w:tcPr>
            <w:tcW w:w="1344" w:type="pct"/>
            <w:vAlign w:val="center"/>
          </w:tcPr>
          <w:p w14:paraId="2B77CF69"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丙</w:t>
            </w:r>
          </w:p>
        </w:tc>
      </w:tr>
      <w:tr w:rsidR="008A2411" w:rsidRPr="008A2411" w14:paraId="1F7FBA35" w14:textId="77777777">
        <w:trPr>
          <w:cantSplit/>
          <w:trHeight w:val="340"/>
          <w:jc w:val="center"/>
        </w:trPr>
        <w:tc>
          <w:tcPr>
            <w:tcW w:w="477" w:type="pct"/>
            <w:vMerge/>
            <w:vAlign w:val="center"/>
          </w:tcPr>
          <w:p w14:paraId="37890960" w14:textId="77777777" w:rsidR="00B0005F" w:rsidRPr="008A2411" w:rsidRDefault="00B0005F">
            <w:pPr>
              <w:jc w:val="center"/>
              <w:rPr>
                <w:rFonts w:ascii="Times New Roman"/>
                <w:bCs/>
                <w:color w:val="000000" w:themeColor="text1"/>
                <w:sz w:val="21"/>
                <w:szCs w:val="21"/>
              </w:rPr>
            </w:pPr>
          </w:p>
        </w:tc>
        <w:tc>
          <w:tcPr>
            <w:tcW w:w="961" w:type="pct"/>
            <w:vAlign w:val="center"/>
          </w:tcPr>
          <w:p w14:paraId="1F398503"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闪点</w:t>
            </w:r>
            <w:r w:rsidRPr="008A2411">
              <w:rPr>
                <w:rFonts w:ascii="Times New Roman"/>
                <w:bCs/>
                <w:color w:val="000000" w:themeColor="text1"/>
                <w:sz w:val="21"/>
                <w:szCs w:val="21"/>
              </w:rPr>
              <w:t>(℃</w:t>
            </w:r>
            <w:r w:rsidRPr="008A2411">
              <w:rPr>
                <w:rFonts w:ascii="Times New Roman"/>
                <w:bCs/>
                <w:color w:val="000000" w:themeColor="text1"/>
                <w:sz w:val="21"/>
                <w:szCs w:val="21"/>
              </w:rPr>
              <w:t>）</w:t>
            </w:r>
          </w:p>
        </w:tc>
        <w:tc>
          <w:tcPr>
            <w:tcW w:w="1034" w:type="pct"/>
            <w:vAlign w:val="center"/>
          </w:tcPr>
          <w:p w14:paraId="7CB0957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216</w:t>
            </w:r>
          </w:p>
        </w:tc>
        <w:tc>
          <w:tcPr>
            <w:tcW w:w="1183" w:type="pct"/>
            <w:gridSpan w:val="2"/>
            <w:vAlign w:val="center"/>
          </w:tcPr>
          <w:p w14:paraId="1D62B3C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爆炸下限</w:t>
            </w:r>
            <w:r w:rsidRPr="008A2411">
              <w:rPr>
                <w:rFonts w:ascii="Times New Roman"/>
                <w:bCs/>
                <w:color w:val="000000" w:themeColor="text1"/>
                <w:sz w:val="21"/>
                <w:szCs w:val="21"/>
              </w:rPr>
              <w:t>(v%</w:t>
            </w:r>
            <w:r w:rsidRPr="008A2411">
              <w:rPr>
                <w:rFonts w:ascii="Times New Roman"/>
                <w:bCs/>
                <w:color w:val="000000" w:themeColor="text1"/>
                <w:sz w:val="21"/>
                <w:szCs w:val="21"/>
              </w:rPr>
              <w:t>）</w:t>
            </w:r>
          </w:p>
        </w:tc>
        <w:tc>
          <w:tcPr>
            <w:tcW w:w="1344" w:type="pct"/>
            <w:vAlign w:val="center"/>
          </w:tcPr>
          <w:p w14:paraId="6E96852B"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w:t>
            </w:r>
          </w:p>
        </w:tc>
      </w:tr>
      <w:tr w:rsidR="008A2411" w:rsidRPr="008A2411" w14:paraId="5D562985" w14:textId="77777777">
        <w:trPr>
          <w:cantSplit/>
          <w:trHeight w:val="340"/>
          <w:jc w:val="center"/>
        </w:trPr>
        <w:tc>
          <w:tcPr>
            <w:tcW w:w="477" w:type="pct"/>
            <w:vMerge/>
            <w:vAlign w:val="center"/>
          </w:tcPr>
          <w:p w14:paraId="02175933" w14:textId="77777777" w:rsidR="00B0005F" w:rsidRPr="008A2411" w:rsidRDefault="00B0005F">
            <w:pPr>
              <w:jc w:val="center"/>
              <w:rPr>
                <w:rFonts w:ascii="Times New Roman"/>
                <w:bCs/>
                <w:color w:val="000000" w:themeColor="text1"/>
                <w:sz w:val="21"/>
                <w:szCs w:val="21"/>
              </w:rPr>
            </w:pPr>
          </w:p>
        </w:tc>
        <w:tc>
          <w:tcPr>
            <w:tcW w:w="961" w:type="pct"/>
            <w:vAlign w:val="center"/>
          </w:tcPr>
          <w:p w14:paraId="54C5BA1D"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自然温度</w:t>
            </w:r>
            <w:r w:rsidRPr="008A2411">
              <w:rPr>
                <w:rFonts w:ascii="Times New Roman"/>
                <w:bCs/>
                <w:color w:val="000000" w:themeColor="text1"/>
                <w:sz w:val="21"/>
                <w:szCs w:val="21"/>
              </w:rPr>
              <w:t>(℃</w:t>
            </w:r>
            <w:r w:rsidRPr="008A2411">
              <w:rPr>
                <w:rFonts w:ascii="Times New Roman"/>
                <w:bCs/>
                <w:color w:val="000000" w:themeColor="text1"/>
                <w:sz w:val="21"/>
                <w:szCs w:val="21"/>
              </w:rPr>
              <w:t>）</w:t>
            </w:r>
          </w:p>
        </w:tc>
        <w:tc>
          <w:tcPr>
            <w:tcW w:w="1034" w:type="pct"/>
            <w:vAlign w:val="center"/>
          </w:tcPr>
          <w:p w14:paraId="4081DA6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320</w:t>
            </w:r>
          </w:p>
        </w:tc>
        <w:tc>
          <w:tcPr>
            <w:tcW w:w="1183" w:type="pct"/>
            <w:gridSpan w:val="2"/>
            <w:vAlign w:val="center"/>
          </w:tcPr>
          <w:p w14:paraId="50A49987"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爆炸上限</w:t>
            </w:r>
            <w:r w:rsidRPr="008A2411">
              <w:rPr>
                <w:rFonts w:ascii="Times New Roman"/>
                <w:bCs/>
                <w:color w:val="000000" w:themeColor="text1"/>
                <w:sz w:val="21"/>
                <w:szCs w:val="21"/>
              </w:rPr>
              <w:t>(v%</w:t>
            </w:r>
            <w:r w:rsidRPr="008A2411">
              <w:rPr>
                <w:rFonts w:ascii="Times New Roman"/>
                <w:bCs/>
                <w:color w:val="000000" w:themeColor="text1"/>
                <w:sz w:val="21"/>
                <w:szCs w:val="21"/>
              </w:rPr>
              <w:t>）</w:t>
            </w:r>
          </w:p>
        </w:tc>
        <w:tc>
          <w:tcPr>
            <w:tcW w:w="1344" w:type="pct"/>
            <w:vAlign w:val="center"/>
          </w:tcPr>
          <w:p w14:paraId="55A2B066"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10</w:t>
            </w:r>
          </w:p>
        </w:tc>
      </w:tr>
      <w:tr w:rsidR="008A2411" w:rsidRPr="008A2411" w14:paraId="0E11F018" w14:textId="77777777">
        <w:trPr>
          <w:cantSplit/>
          <w:trHeight w:val="340"/>
          <w:jc w:val="center"/>
        </w:trPr>
        <w:tc>
          <w:tcPr>
            <w:tcW w:w="477" w:type="pct"/>
            <w:vMerge/>
            <w:vAlign w:val="center"/>
          </w:tcPr>
          <w:p w14:paraId="4D83C5CE" w14:textId="77777777" w:rsidR="00B0005F" w:rsidRPr="008A2411" w:rsidRDefault="00B0005F">
            <w:pPr>
              <w:jc w:val="center"/>
              <w:rPr>
                <w:rFonts w:ascii="Times New Roman"/>
                <w:bCs/>
                <w:color w:val="000000" w:themeColor="text1"/>
                <w:sz w:val="21"/>
                <w:szCs w:val="21"/>
              </w:rPr>
            </w:pPr>
          </w:p>
        </w:tc>
        <w:tc>
          <w:tcPr>
            <w:tcW w:w="961" w:type="pct"/>
            <w:vAlign w:val="center"/>
          </w:tcPr>
          <w:p w14:paraId="53485EA7"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危险特性</w:t>
            </w:r>
          </w:p>
        </w:tc>
        <w:tc>
          <w:tcPr>
            <w:tcW w:w="3561" w:type="pct"/>
            <w:gridSpan w:val="4"/>
            <w:vAlign w:val="center"/>
          </w:tcPr>
          <w:p w14:paraId="1A641F5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危险燃烧物品可能包括：</w:t>
            </w:r>
            <w:proofErr w:type="gramStart"/>
            <w:r w:rsidRPr="008A2411">
              <w:rPr>
                <w:rFonts w:ascii="Times New Roman"/>
                <w:bCs/>
                <w:color w:val="000000" w:themeColor="text1"/>
                <w:sz w:val="21"/>
                <w:szCs w:val="21"/>
              </w:rPr>
              <w:t>气载固体</w:t>
            </w:r>
            <w:proofErr w:type="gramEnd"/>
            <w:r w:rsidRPr="008A2411">
              <w:rPr>
                <w:rFonts w:ascii="Times New Roman"/>
                <w:bCs/>
                <w:color w:val="000000" w:themeColor="text1"/>
                <w:sz w:val="21"/>
                <w:szCs w:val="21"/>
              </w:rPr>
              <w:t>与液体微粒及气体（烟）的复杂混杂物。一氧化碳。未被识别其余有机物、无机化合物。</w:t>
            </w:r>
          </w:p>
        </w:tc>
      </w:tr>
      <w:tr w:rsidR="008A2411" w:rsidRPr="008A2411" w14:paraId="4B51F563" w14:textId="77777777">
        <w:trPr>
          <w:cantSplit/>
          <w:trHeight w:val="310"/>
          <w:jc w:val="center"/>
        </w:trPr>
        <w:tc>
          <w:tcPr>
            <w:tcW w:w="477" w:type="pct"/>
            <w:vMerge/>
            <w:vAlign w:val="center"/>
          </w:tcPr>
          <w:p w14:paraId="61348CC0" w14:textId="77777777" w:rsidR="00B0005F" w:rsidRPr="008A2411" w:rsidRDefault="00B0005F">
            <w:pPr>
              <w:jc w:val="center"/>
              <w:rPr>
                <w:rFonts w:ascii="Times New Roman"/>
                <w:bCs/>
                <w:color w:val="000000" w:themeColor="text1"/>
                <w:sz w:val="21"/>
                <w:szCs w:val="21"/>
              </w:rPr>
            </w:pPr>
          </w:p>
        </w:tc>
        <w:tc>
          <w:tcPr>
            <w:tcW w:w="961" w:type="pct"/>
            <w:vAlign w:val="center"/>
          </w:tcPr>
          <w:p w14:paraId="38089F41"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灭火方法</w:t>
            </w:r>
          </w:p>
        </w:tc>
        <w:tc>
          <w:tcPr>
            <w:tcW w:w="3561" w:type="pct"/>
            <w:gridSpan w:val="4"/>
            <w:vAlign w:val="center"/>
          </w:tcPr>
          <w:p w14:paraId="3DD263F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采用泡沫，雾状水、泡沫灭火器及二氧化碳灭火器等</w:t>
            </w:r>
          </w:p>
        </w:tc>
      </w:tr>
      <w:tr w:rsidR="008A2411" w:rsidRPr="008A2411" w14:paraId="1C6B8832" w14:textId="77777777">
        <w:trPr>
          <w:cantSplit/>
          <w:trHeight w:val="864"/>
          <w:jc w:val="center"/>
        </w:trPr>
        <w:tc>
          <w:tcPr>
            <w:tcW w:w="477" w:type="pct"/>
            <w:vAlign w:val="center"/>
          </w:tcPr>
          <w:p w14:paraId="223FBE11"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搬运</w:t>
            </w:r>
          </w:p>
        </w:tc>
        <w:tc>
          <w:tcPr>
            <w:tcW w:w="4522" w:type="pct"/>
            <w:gridSpan w:val="5"/>
            <w:vAlign w:val="center"/>
          </w:tcPr>
          <w:p w14:paraId="026B699F" w14:textId="77777777" w:rsidR="00B0005F" w:rsidRPr="008A2411" w:rsidRDefault="00000000">
            <w:pPr>
              <w:jc w:val="left"/>
              <w:rPr>
                <w:rFonts w:ascii="Times New Roman"/>
                <w:bCs/>
                <w:color w:val="000000" w:themeColor="text1"/>
                <w:sz w:val="21"/>
                <w:szCs w:val="21"/>
              </w:rPr>
            </w:pPr>
            <w:r w:rsidRPr="008A2411">
              <w:rPr>
                <w:rFonts w:ascii="Times New Roman"/>
                <w:bCs/>
                <w:color w:val="000000" w:themeColor="text1"/>
                <w:sz w:val="21"/>
                <w:szCs w:val="21"/>
              </w:rPr>
              <w:t>防范长远或连续与皮肤接触；</w:t>
            </w:r>
          </w:p>
          <w:p w14:paraId="6DBFAB43" w14:textId="77777777" w:rsidR="00B0005F" w:rsidRPr="008A2411" w:rsidRDefault="00000000">
            <w:pPr>
              <w:jc w:val="left"/>
              <w:rPr>
                <w:rFonts w:ascii="Times New Roman"/>
                <w:bCs/>
                <w:color w:val="000000" w:themeColor="text1"/>
                <w:sz w:val="21"/>
                <w:szCs w:val="21"/>
              </w:rPr>
            </w:pPr>
            <w:r w:rsidRPr="008A2411">
              <w:rPr>
                <w:rFonts w:ascii="Times New Roman"/>
                <w:bCs/>
                <w:color w:val="000000" w:themeColor="text1"/>
                <w:sz w:val="21"/>
                <w:szCs w:val="21"/>
              </w:rPr>
              <w:t>避开吸入其蒸汽和烟雾；</w:t>
            </w:r>
          </w:p>
          <w:p w14:paraId="6D1A1383" w14:textId="77777777" w:rsidR="00B0005F" w:rsidRPr="008A2411" w:rsidRDefault="00000000">
            <w:pPr>
              <w:jc w:val="left"/>
              <w:rPr>
                <w:rFonts w:ascii="Times New Roman"/>
                <w:bCs/>
                <w:color w:val="000000" w:themeColor="text1"/>
                <w:sz w:val="21"/>
                <w:szCs w:val="21"/>
              </w:rPr>
            </w:pPr>
            <w:r w:rsidRPr="008A2411">
              <w:rPr>
                <w:rFonts w:ascii="Times New Roman"/>
                <w:bCs/>
                <w:color w:val="000000" w:themeColor="text1"/>
                <w:sz w:val="21"/>
                <w:szCs w:val="21"/>
              </w:rPr>
              <w:t>卸载桶装产品，应穿保护靴，并使用合适的装卸工具</w:t>
            </w:r>
          </w:p>
        </w:tc>
      </w:tr>
      <w:tr w:rsidR="008A2411" w:rsidRPr="008A2411" w14:paraId="6D4E3EAD" w14:textId="77777777">
        <w:trPr>
          <w:cantSplit/>
          <w:trHeight w:val="340"/>
          <w:jc w:val="center"/>
        </w:trPr>
        <w:tc>
          <w:tcPr>
            <w:tcW w:w="477" w:type="pct"/>
            <w:vAlign w:val="center"/>
          </w:tcPr>
          <w:p w14:paraId="6454A687"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储存</w:t>
            </w:r>
          </w:p>
        </w:tc>
        <w:tc>
          <w:tcPr>
            <w:tcW w:w="4522" w:type="pct"/>
            <w:gridSpan w:val="5"/>
            <w:vAlign w:val="center"/>
          </w:tcPr>
          <w:p w14:paraId="1E85640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密闭容器，放在凉爽、通风优异的地方，使用合适加注标签及可封闭的容器。</w:t>
            </w:r>
          </w:p>
          <w:p w14:paraId="7E5A67D4"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储存温度：长远储存（</w:t>
            </w:r>
            <w:r w:rsidRPr="008A2411">
              <w:rPr>
                <w:rFonts w:ascii="Times New Roman"/>
                <w:bCs/>
                <w:color w:val="000000" w:themeColor="text1"/>
                <w:sz w:val="21"/>
                <w:szCs w:val="21"/>
              </w:rPr>
              <w:t>3</w:t>
            </w:r>
            <w:r w:rsidRPr="008A2411">
              <w:rPr>
                <w:rFonts w:ascii="Times New Roman"/>
                <w:bCs/>
                <w:color w:val="000000" w:themeColor="text1"/>
                <w:sz w:val="21"/>
                <w:szCs w:val="21"/>
              </w:rPr>
              <w:t>个月以上）</w:t>
            </w:r>
            <w:r w:rsidRPr="008A2411">
              <w:rPr>
                <w:rFonts w:ascii="Times New Roman"/>
                <w:bCs/>
                <w:color w:val="000000" w:themeColor="text1"/>
                <w:sz w:val="21"/>
                <w:szCs w:val="21"/>
              </w:rPr>
              <w:t>15~50</w:t>
            </w:r>
            <w:r w:rsidRPr="008A2411">
              <w:rPr>
                <w:rFonts w:ascii="Times New Roman"/>
                <w:bCs/>
                <w:color w:val="000000" w:themeColor="text1"/>
                <w:sz w:val="21"/>
                <w:szCs w:val="21"/>
              </w:rPr>
              <w:t>摄氏度；短期储存：</w:t>
            </w:r>
            <w:r w:rsidRPr="008A2411">
              <w:rPr>
                <w:rFonts w:ascii="Times New Roman"/>
                <w:bCs/>
                <w:color w:val="000000" w:themeColor="text1"/>
                <w:sz w:val="21"/>
                <w:szCs w:val="21"/>
              </w:rPr>
              <w:t>20~60℃</w:t>
            </w:r>
          </w:p>
        </w:tc>
      </w:tr>
      <w:tr w:rsidR="008A2411" w:rsidRPr="008A2411" w14:paraId="231BDC65" w14:textId="77777777">
        <w:trPr>
          <w:cantSplit/>
          <w:trHeight w:val="340"/>
          <w:jc w:val="center"/>
        </w:trPr>
        <w:tc>
          <w:tcPr>
            <w:tcW w:w="477" w:type="pct"/>
            <w:vMerge w:val="restart"/>
            <w:vAlign w:val="center"/>
          </w:tcPr>
          <w:p w14:paraId="6DC76D0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急救</w:t>
            </w:r>
          </w:p>
        </w:tc>
        <w:tc>
          <w:tcPr>
            <w:tcW w:w="961" w:type="pct"/>
            <w:vAlign w:val="center"/>
          </w:tcPr>
          <w:p w14:paraId="16AF95D1"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皮肤接触</w:t>
            </w:r>
          </w:p>
        </w:tc>
        <w:tc>
          <w:tcPr>
            <w:tcW w:w="3561" w:type="pct"/>
            <w:gridSpan w:val="4"/>
            <w:vAlign w:val="center"/>
          </w:tcPr>
          <w:p w14:paraId="691343C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脱去污染衣物。用水冲洗裸露的部位，并用肥皂水进行冲洗。如刺激连续，马上送往医院救治。</w:t>
            </w:r>
          </w:p>
        </w:tc>
      </w:tr>
      <w:tr w:rsidR="008A2411" w:rsidRPr="008A2411" w14:paraId="51E299AF" w14:textId="77777777">
        <w:trPr>
          <w:cantSplit/>
          <w:trHeight w:val="340"/>
          <w:jc w:val="center"/>
        </w:trPr>
        <w:tc>
          <w:tcPr>
            <w:tcW w:w="477" w:type="pct"/>
            <w:vMerge/>
            <w:vAlign w:val="center"/>
          </w:tcPr>
          <w:p w14:paraId="7EE2E3E2" w14:textId="77777777" w:rsidR="00B0005F" w:rsidRPr="008A2411" w:rsidRDefault="00B0005F">
            <w:pPr>
              <w:jc w:val="center"/>
              <w:rPr>
                <w:rFonts w:ascii="Times New Roman"/>
                <w:bCs/>
                <w:color w:val="000000" w:themeColor="text1"/>
                <w:sz w:val="21"/>
                <w:szCs w:val="21"/>
              </w:rPr>
            </w:pPr>
          </w:p>
        </w:tc>
        <w:tc>
          <w:tcPr>
            <w:tcW w:w="961" w:type="pct"/>
            <w:vAlign w:val="center"/>
          </w:tcPr>
          <w:p w14:paraId="614D431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吸入</w:t>
            </w:r>
          </w:p>
        </w:tc>
        <w:tc>
          <w:tcPr>
            <w:tcW w:w="3561" w:type="pct"/>
            <w:gridSpan w:val="4"/>
            <w:vAlign w:val="center"/>
          </w:tcPr>
          <w:p w14:paraId="6C13E26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若出线眩晕或反胃等现象，立即送往医院救治</w:t>
            </w:r>
          </w:p>
        </w:tc>
      </w:tr>
      <w:tr w:rsidR="008A2411" w:rsidRPr="008A2411" w14:paraId="01889D03" w14:textId="77777777">
        <w:trPr>
          <w:cantSplit/>
          <w:trHeight w:val="340"/>
          <w:jc w:val="center"/>
        </w:trPr>
        <w:tc>
          <w:tcPr>
            <w:tcW w:w="477" w:type="pct"/>
            <w:vMerge w:val="restart"/>
            <w:vAlign w:val="center"/>
          </w:tcPr>
          <w:p w14:paraId="7D2EB4F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防护</w:t>
            </w:r>
          </w:p>
          <w:p w14:paraId="03E2A67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措施</w:t>
            </w:r>
          </w:p>
        </w:tc>
        <w:tc>
          <w:tcPr>
            <w:tcW w:w="961" w:type="pct"/>
            <w:vAlign w:val="center"/>
          </w:tcPr>
          <w:p w14:paraId="291887E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工程控制</w:t>
            </w:r>
          </w:p>
        </w:tc>
        <w:tc>
          <w:tcPr>
            <w:tcW w:w="3561" w:type="pct"/>
            <w:gridSpan w:val="4"/>
            <w:vAlign w:val="center"/>
          </w:tcPr>
          <w:p w14:paraId="2D21B77A"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全面通风</w:t>
            </w:r>
          </w:p>
        </w:tc>
      </w:tr>
      <w:tr w:rsidR="008A2411" w:rsidRPr="008A2411" w14:paraId="5E33F963" w14:textId="77777777">
        <w:trPr>
          <w:cantSplit/>
          <w:trHeight w:val="340"/>
          <w:jc w:val="center"/>
        </w:trPr>
        <w:tc>
          <w:tcPr>
            <w:tcW w:w="477" w:type="pct"/>
            <w:vMerge/>
            <w:vAlign w:val="center"/>
          </w:tcPr>
          <w:p w14:paraId="70FC3FD3" w14:textId="77777777" w:rsidR="00B0005F" w:rsidRPr="008A2411" w:rsidRDefault="00B0005F">
            <w:pPr>
              <w:jc w:val="center"/>
              <w:rPr>
                <w:rFonts w:ascii="Times New Roman"/>
                <w:bCs/>
                <w:color w:val="000000" w:themeColor="text1"/>
                <w:sz w:val="21"/>
                <w:szCs w:val="21"/>
              </w:rPr>
            </w:pPr>
          </w:p>
        </w:tc>
        <w:tc>
          <w:tcPr>
            <w:tcW w:w="961" w:type="pct"/>
            <w:vAlign w:val="center"/>
          </w:tcPr>
          <w:p w14:paraId="1829634A"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呼吸系统防护</w:t>
            </w:r>
          </w:p>
        </w:tc>
        <w:tc>
          <w:tcPr>
            <w:tcW w:w="3561" w:type="pct"/>
            <w:gridSpan w:val="4"/>
            <w:vAlign w:val="center"/>
          </w:tcPr>
          <w:p w14:paraId="06D2C09D"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一般不需要特殊防护，高浓度环境中，可佩带供气式呼吸器</w:t>
            </w:r>
          </w:p>
        </w:tc>
      </w:tr>
      <w:tr w:rsidR="008A2411" w:rsidRPr="008A2411" w14:paraId="6901EA1C" w14:textId="77777777">
        <w:trPr>
          <w:cantSplit/>
          <w:trHeight w:val="340"/>
          <w:jc w:val="center"/>
        </w:trPr>
        <w:tc>
          <w:tcPr>
            <w:tcW w:w="477" w:type="pct"/>
            <w:vMerge/>
            <w:vAlign w:val="center"/>
          </w:tcPr>
          <w:p w14:paraId="0AF32735" w14:textId="77777777" w:rsidR="00B0005F" w:rsidRPr="008A2411" w:rsidRDefault="00B0005F">
            <w:pPr>
              <w:jc w:val="center"/>
              <w:rPr>
                <w:rFonts w:ascii="Times New Roman"/>
                <w:bCs/>
                <w:color w:val="000000" w:themeColor="text1"/>
                <w:sz w:val="21"/>
                <w:szCs w:val="21"/>
              </w:rPr>
            </w:pPr>
          </w:p>
        </w:tc>
        <w:tc>
          <w:tcPr>
            <w:tcW w:w="961" w:type="pct"/>
            <w:vAlign w:val="center"/>
          </w:tcPr>
          <w:p w14:paraId="2D33C05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眼睛防护</w:t>
            </w:r>
          </w:p>
        </w:tc>
        <w:tc>
          <w:tcPr>
            <w:tcW w:w="3561" w:type="pct"/>
            <w:gridSpan w:val="4"/>
            <w:vAlign w:val="center"/>
          </w:tcPr>
          <w:p w14:paraId="3567C51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一般不需要特殊防护，高浓度接触时可戴安全防护眼镜</w:t>
            </w:r>
          </w:p>
        </w:tc>
      </w:tr>
      <w:tr w:rsidR="008A2411" w:rsidRPr="008A2411" w14:paraId="0F3361EC" w14:textId="77777777">
        <w:trPr>
          <w:cantSplit/>
          <w:trHeight w:val="340"/>
          <w:jc w:val="center"/>
        </w:trPr>
        <w:tc>
          <w:tcPr>
            <w:tcW w:w="477" w:type="pct"/>
            <w:vMerge/>
            <w:vAlign w:val="center"/>
          </w:tcPr>
          <w:p w14:paraId="097F28B0" w14:textId="77777777" w:rsidR="00B0005F" w:rsidRPr="008A2411" w:rsidRDefault="00B0005F">
            <w:pPr>
              <w:jc w:val="center"/>
              <w:rPr>
                <w:rFonts w:ascii="Times New Roman"/>
                <w:bCs/>
                <w:color w:val="000000" w:themeColor="text1"/>
                <w:sz w:val="21"/>
                <w:szCs w:val="21"/>
              </w:rPr>
            </w:pPr>
          </w:p>
        </w:tc>
        <w:tc>
          <w:tcPr>
            <w:tcW w:w="961" w:type="pct"/>
            <w:vAlign w:val="center"/>
          </w:tcPr>
          <w:p w14:paraId="6E48ACB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手防护</w:t>
            </w:r>
          </w:p>
        </w:tc>
        <w:tc>
          <w:tcPr>
            <w:tcW w:w="3561" w:type="pct"/>
            <w:gridSpan w:val="4"/>
            <w:vAlign w:val="center"/>
          </w:tcPr>
          <w:p w14:paraId="7517054D"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一般不需要特殊防护，高浓度接触可戴防护手套</w:t>
            </w:r>
          </w:p>
        </w:tc>
      </w:tr>
      <w:tr w:rsidR="008A2411" w:rsidRPr="008A2411" w14:paraId="0706C69E" w14:textId="77777777">
        <w:trPr>
          <w:cantSplit/>
          <w:trHeight w:val="340"/>
          <w:jc w:val="center"/>
        </w:trPr>
        <w:tc>
          <w:tcPr>
            <w:tcW w:w="477" w:type="pct"/>
            <w:vMerge/>
            <w:vAlign w:val="center"/>
          </w:tcPr>
          <w:p w14:paraId="41405375" w14:textId="77777777" w:rsidR="00B0005F" w:rsidRPr="008A2411" w:rsidRDefault="00B0005F">
            <w:pPr>
              <w:jc w:val="center"/>
              <w:rPr>
                <w:rFonts w:ascii="Times New Roman"/>
                <w:bCs/>
                <w:color w:val="000000" w:themeColor="text1"/>
                <w:sz w:val="21"/>
                <w:szCs w:val="21"/>
              </w:rPr>
            </w:pPr>
          </w:p>
        </w:tc>
        <w:tc>
          <w:tcPr>
            <w:tcW w:w="961" w:type="pct"/>
            <w:vAlign w:val="center"/>
          </w:tcPr>
          <w:p w14:paraId="5BCE763C"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其它</w:t>
            </w:r>
          </w:p>
        </w:tc>
        <w:tc>
          <w:tcPr>
            <w:tcW w:w="3561" w:type="pct"/>
            <w:gridSpan w:val="4"/>
            <w:vAlign w:val="center"/>
          </w:tcPr>
          <w:p w14:paraId="1A9AC79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w:t>
            </w:r>
            <w:r w:rsidRPr="008A2411">
              <w:rPr>
                <w:rFonts w:ascii="Times New Roman"/>
                <w:bCs/>
                <w:color w:val="000000" w:themeColor="text1"/>
                <w:sz w:val="21"/>
                <w:szCs w:val="21"/>
              </w:rPr>
              <w:t>、工作现场严禁吸烟；</w:t>
            </w:r>
            <w:r w:rsidRPr="008A2411">
              <w:rPr>
                <w:rFonts w:ascii="Times New Roman"/>
                <w:bCs/>
                <w:color w:val="000000" w:themeColor="text1"/>
                <w:sz w:val="21"/>
                <w:szCs w:val="21"/>
              </w:rPr>
              <w:t>2</w:t>
            </w:r>
            <w:r w:rsidRPr="008A2411">
              <w:rPr>
                <w:rFonts w:ascii="Times New Roman"/>
                <w:bCs/>
                <w:color w:val="000000" w:themeColor="text1"/>
                <w:sz w:val="21"/>
                <w:szCs w:val="21"/>
              </w:rPr>
              <w:t>、避免长期反复接触；</w:t>
            </w:r>
          </w:p>
          <w:p w14:paraId="3EE8E0D9"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3</w:t>
            </w:r>
            <w:r w:rsidRPr="008A2411">
              <w:rPr>
                <w:rFonts w:ascii="Times New Roman"/>
                <w:bCs/>
                <w:color w:val="000000" w:themeColor="text1"/>
                <w:sz w:val="21"/>
                <w:szCs w:val="21"/>
              </w:rPr>
              <w:t>、进入罐区或其它高浓度区作业时</w:t>
            </w:r>
            <w:proofErr w:type="gramStart"/>
            <w:r w:rsidRPr="008A2411">
              <w:rPr>
                <w:rFonts w:ascii="Times New Roman"/>
                <w:bCs/>
                <w:color w:val="000000" w:themeColor="text1"/>
                <w:sz w:val="21"/>
                <w:szCs w:val="21"/>
              </w:rPr>
              <w:t>须有人</w:t>
            </w:r>
            <w:proofErr w:type="gramEnd"/>
            <w:r w:rsidRPr="008A2411">
              <w:rPr>
                <w:rFonts w:ascii="Times New Roman"/>
                <w:bCs/>
                <w:color w:val="000000" w:themeColor="text1"/>
                <w:sz w:val="21"/>
                <w:szCs w:val="21"/>
              </w:rPr>
              <w:t>监护</w:t>
            </w:r>
          </w:p>
        </w:tc>
      </w:tr>
      <w:tr w:rsidR="00B0005F" w:rsidRPr="008A2411" w14:paraId="1DA65A3C" w14:textId="77777777">
        <w:trPr>
          <w:cantSplit/>
          <w:trHeight w:val="340"/>
          <w:jc w:val="center"/>
        </w:trPr>
        <w:tc>
          <w:tcPr>
            <w:tcW w:w="477" w:type="pct"/>
            <w:vAlign w:val="center"/>
          </w:tcPr>
          <w:p w14:paraId="29FE5073"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泄漏</w:t>
            </w:r>
          </w:p>
          <w:p w14:paraId="1C611655"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处理</w:t>
            </w:r>
          </w:p>
        </w:tc>
        <w:tc>
          <w:tcPr>
            <w:tcW w:w="4522" w:type="pct"/>
            <w:gridSpan w:val="5"/>
            <w:vAlign w:val="center"/>
          </w:tcPr>
          <w:p w14:paraId="53A28A74"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w:t>
            </w:r>
            <w:r w:rsidRPr="008A2411">
              <w:rPr>
                <w:rFonts w:ascii="Times New Roman"/>
                <w:bCs/>
                <w:color w:val="000000" w:themeColor="text1"/>
                <w:sz w:val="21"/>
                <w:szCs w:val="21"/>
              </w:rPr>
              <w:t>、泄漏时用沙、泥土或其它适合的阻载物来防范扩散或进入排水沟、河流等；</w:t>
            </w:r>
          </w:p>
        </w:tc>
      </w:tr>
    </w:tbl>
    <w:p w14:paraId="11E07E53" w14:textId="77777777" w:rsidR="00B0005F" w:rsidRPr="008A2411" w:rsidRDefault="00B0005F">
      <w:pPr>
        <w:pStyle w:val="L-"/>
        <w:spacing w:line="360" w:lineRule="auto"/>
        <w:ind w:firstLine="0"/>
        <w:rPr>
          <w:rFonts w:ascii="Times New Roman" w:cs="Times New Roman"/>
          <w:color w:val="000000" w:themeColor="text1"/>
        </w:rPr>
      </w:pPr>
    </w:p>
    <w:p w14:paraId="78D27F5C" w14:textId="77777777" w:rsidR="00B0005F" w:rsidRPr="008A2411" w:rsidRDefault="00000000">
      <w:pPr>
        <w:pStyle w:val="affffffffffffffffffff6"/>
        <w:snapToGrid/>
        <w:outlineLvl w:val="2"/>
        <w:rPr>
          <w:rFonts w:ascii="Times New Roman"/>
          <w:b/>
          <w:color w:val="000000" w:themeColor="text1"/>
          <w:sz w:val="24"/>
          <w:szCs w:val="24"/>
          <w:lang w:bidi="en-US"/>
        </w:rPr>
      </w:pPr>
      <w:r w:rsidRPr="008A2411">
        <w:rPr>
          <w:rFonts w:ascii="Times New Roman"/>
          <w:b/>
          <w:color w:val="000000" w:themeColor="text1"/>
          <w:sz w:val="24"/>
          <w:szCs w:val="24"/>
          <w:lang w:bidi="en-US"/>
        </w:rPr>
        <w:t>6.5.2</w:t>
      </w:r>
      <w:r w:rsidRPr="008A2411">
        <w:rPr>
          <w:rFonts w:ascii="Times New Roman"/>
          <w:b/>
          <w:color w:val="000000" w:themeColor="text1"/>
          <w:sz w:val="24"/>
          <w:szCs w:val="24"/>
          <w:lang w:bidi="en-US"/>
        </w:rPr>
        <w:t>生产系统危险性识别</w:t>
      </w:r>
    </w:p>
    <w:p w14:paraId="3E6CF551"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生产设施风险识别包括主要生产装置、储运设施、公用工程和辅助生产设施以及环境保护设施等危险性识别。具体如下：</w:t>
      </w:r>
    </w:p>
    <w:p w14:paraId="750BF8DE" w14:textId="77777777" w:rsidR="00B0005F" w:rsidRPr="008A2411" w:rsidRDefault="00000000">
      <w:pPr>
        <w:spacing w:line="360" w:lineRule="auto"/>
        <w:ind w:firstLineChars="200" w:firstLine="482"/>
        <w:rPr>
          <w:rFonts w:ascii="Times New Roman"/>
          <w:b/>
          <w:color w:val="000000" w:themeColor="text1"/>
        </w:rPr>
      </w:pPr>
      <w:r w:rsidRPr="008A2411">
        <w:rPr>
          <w:rFonts w:ascii="Times New Roman"/>
          <w:b/>
          <w:color w:val="000000" w:themeColor="text1"/>
        </w:rPr>
        <w:t>1</w:t>
      </w:r>
      <w:r w:rsidRPr="008A2411">
        <w:rPr>
          <w:rFonts w:ascii="Times New Roman"/>
          <w:b/>
          <w:color w:val="000000" w:themeColor="text1"/>
        </w:rPr>
        <w:t>、生产设施风险识别</w:t>
      </w:r>
    </w:p>
    <w:p w14:paraId="1BE59C4A"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1</w:t>
      </w:r>
      <w:r w:rsidRPr="008A2411">
        <w:rPr>
          <w:rFonts w:ascii="Times New Roman"/>
          <w:bCs/>
          <w:color w:val="000000" w:themeColor="text1"/>
        </w:rPr>
        <w:t>）停水、停电</w:t>
      </w:r>
    </w:p>
    <w:p w14:paraId="52A98412"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本项目生产装置在天然气液化生产过程中的任意时刻，如发生停水、停电，均可自动停止运行。</w:t>
      </w:r>
    </w:p>
    <w:p w14:paraId="4C3C816D"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2</w:t>
      </w:r>
      <w:r w:rsidRPr="008A2411">
        <w:rPr>
          <w:rFonts w:ascii="Times New Roman"/>
          <w:bCs/>
          <w:color w:val="000000" w:themeColor="text1"/>
        </w:rPr>
        <w:t>）火灾、爆炸</w:t>
      </w:r>
    </w:p>
    <w:p w14:paraId="483E1919"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①</w:t>
      </w:r>
      <w:r w:rsidRPr="008A2411">
        <w:rPr>
          <w:rFonts w:ascii="Times New Roman"/>
          <w:bCs/>
          <w:color w:val="000000" w:themeColor="text1"/>
        </w:rPr>
        <w:t>待处理的原材料（天然气）为易燃物料，在储存等过程中，若因其逸出、泄漏造成积聚等，遇明火或激发能量，有引起火灾、爆炸的危险。</w:t>
      </w:r>
    </w:p>
    <w:p w14:paraId="1155C082" w14:textId="16BC0443"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②</w:t>
      </w:r>
      <w:r w:rsidRPr="008A2411">
        <w:rPr>
          <w:rFonts w:ascii="Times New Roman"/>
          <w:bCs/>
          <w:color w:val="000000" w:themeColor="text1"/>
        </w:rPr>
        <w:t>在</w:t>
      </w:r>
      <w:r w:rsidR="000F6A34" w:rsidRPr="008A2411">
        <w:rPr>
          <w:rFonts w:ascii="Times New Roman" w:hint="eastAsia"/>
          <w:bCs/>
          <w:color w:val="000000" w:themeColor="text1"/>
        </w:rPr>
        <w:t>装置</w:t>
      </w:r>
      <w:r w:rsidRPr="008A2411">
        <w:rPr>
          <w:rFonts w:ascii="Times New Roman"/>
          <w:bCs/>
          <w:color w:val="000000" w:themeColor="text1"/>
        </w:rPr>
        <w:t>区若遇明火或激发能量，有引起火灾、爆炸的危险。</w:t>
      </w:r>
    </w:p>
    <w:p w14:paraId="66CBEC0E"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③</w:t>
      </w:r>
      <w:r w:rsidRPr="008A2411">
        <w:rPr>
          <w:rFonts w:ascii="Times New Roman"/>
          <w:bCs/>
          <w:color w:val="000000" w:themeColor="text1"/>
        </w:rPr>
        <w:t>电气老化、绝缘破损、短路、私拉乱接、超负荷用电、过载、接线不规范、发热、电器使用管理不当等易引起电缆着火，若扑救不及时，有烧毁电器、仪表，使火灾蔓延的可能。</w:t>
      </w:r>
    </w:p>
    <w:p w14:paraId="382BB37F"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④</w:t>
      </w:r>
      <w:r w:rsidRPr="008A2411">
        <w:rPr>
          <w:rFonts w:ascii="Times New Roman"/>
          <w:bCs/>
          <w:color w:val="000000" w:themeColor="text1"/>
        </w:rPr>
        <w:t>因自然灾害（如雷电）等其它因素的影响，也有可能引起火灾、爆炸事故。</w:t>
      </w:r>
    </w:p>
    <w:p w14:paraId="7F91E3E1"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3</w:t>
      </w:r>
      <w:r w:rsidRPr="008A2411">
        <w:rPr>
          <w:rFonts w:ascii="Times New Roman"/>
          <w:bCs/>
          <w:color w:val="000000" w:themeColor="text1"/>
        </w:rPr>
        <w:t>）中毒、窒息</w:t>
      </w:r>
    </w:p>
    <w:p w14:paraId="1AE0194A"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发生火灾时产生的一氧化碳、二氧化碳、二氧化硫及其它有毒有害气体，可造成人员的二次伤害。</w:t>
      </w:r>
    </w:p>
    <w:p w14:paraId="2236EAC0"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4</w:t>
      </w:r>
      <w:r w:rsidRPr="008A2411">
        <w:rPr>
          <w:rFonts w:ascii="Times New Roman"/>
          <w:bCs/>
          <w:color w:val="000000" w:themeColor="text1"/>
        </w:rPr>
        <w:t>）废水处理设施非正常排放</w:t>
      </w:r>
    </w:p>
    <w:p w14:paraId="2FD88A70"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项目污水预处理单元环境风险主要包括污水管网的破裂、废水处理设施不正常运转。</w:t>
      </w:r>
    </w:p>
    <w:p w14:paraId="2143B77E"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①</w:t>
      </w:r>
      <w:r w:rsidRPr="008A2411">
        <w:rPr>
          <w:rFonts w:ascii="Times New Roman"/>
          <w:bCs/>
          <w:color w:val="000000" w:themeColor="text1"/>
        </w:rPr>
        <w:t>污水输送管网破裂</w:t>
      </w:r>
    </w:p>
    <w:p w14:paraId="3DE31738"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在污水处理的收集、输送及处理过程中需要管道，如遇不可抗拒之自然灾害</w:t>
      </w:r>
      <w:r w:rsidRPr="008A2411">
        <w:rPr>
          <w:rFonts w:ascii="Times New Roman"/>
          <w:bCs/>
          <w:color w:val="000000" w:themeColor="text1"/>
        </w:rPr>
        <w:lastRenderedPageBreak/>
        <w:t>（如地震、地面沉降等）原因，可能使管道破裂而废水溢流于附近地区和水域，造成严重的局部污染。此外，污水管网系统由于管道堵塞、破裂和接头处的破损，会造成大量废水外溢，污染地表水和地下水。</w:t>
      </w:r>
    </w:p>
    <w:p w14:paraId="4BFE8CE5"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②</w:t>
      </w:r>
      <w:r w:rsidRPr="008A2411">
        <w:rPr>
          <w:rFonts w:ascii="Times New Roman"/>
          <w:bCs/>
          <w:color w:val="000000" w:themeColor="text1"/>
        </w:rPr>
        <w:t>废水处理系统不正常运转，如设备故障等。出现设备故障的原因很多，如停电导致机器设备不能运转，污水处理设施、设计、施工等质量问题或养护不当，有故障的设备不能及时得到维修，日常保养不好等。</w:t>
      </w:r>
    </w:p>
    <w:p w14:paraId="7F7006F4"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5</w:t>
      </w:r>
      <w:r w:rsidRPr="008A2411">
        <w:rPr>
          <w:rFonts w:ascii="Times New Roman"/>
          <w:bCs/>
          <w:color w:val="000000" w:themeColor="text1"/>
        </w:rPr>
        <w:t>）生产过程中的风险事故情况</w:t>
      </w:r>
    </w:p>
    <w:p w14:paraId="07C7AFB6"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生产过程中发生的风险事故及其原因如下：</w:t>
      </w:r>
    </w:p>
    <w:p w14:paraId="12AC9058"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a</w:t>
      </w:r>
      <w:r w:rsidRPr="008A2411">
        <w:rPr>
          <w:rFonts w:ascii="Times New Roman"/>
          <w:bCs/>
          <w:color w:val="000000" w:themeColor="text1"/>
        </w:rPr>
        <w:t>．因操作不当所造成的风险事故；</w:t>
      </w:r>
    </w:p>
    <w:p w14:paraId="012A2E6E"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b</w:t>
      </w:r>
      <w:r w:rsidRPr="008A2411">
        <w:rPr>
          <w:rFonts w:ascii="Times New Roman"/>
          <w:bCs/>
          <w:color w:val="000000" w:themeColor="text1"/>
        </w:rPr>
        <w:t>．生产过程中发生火灾爆炸事故；</w:t>
      </w:r>
    </w:p>
    <w:p w14:paraId="4A43D6C0"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6</w:t>
      </w:r>
      <w:r w:rsidRPr="008A2411">
        <w:rPr>
          <w:rFonts w:ascii="Times New Roman"/>
          <w:bCs/>
          <w:color w:val="000000" w:themeColor="text1"/>
        </w:rPr>
        <w:t>）管理问题</w:t>
      </w:r>
    </w:p>
    <w:p w14:paraId="279264B6"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主要由于规章制度不全、安全设施配备不合格、事故防范意识薄弱、应急措施不够以及其他管理方面的问题或人为的原因间接造成环境污染。</w:t>
      </w:r>
    </w:p>
    <w:p w14:paraId="362E5AB5"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7</w:t>
      </w:r>
      <w:r w:rsidRPr="008A2411">
        <w:rPr>
          <w:rFonts w:ascii="Times New Roman"/>
          <w:bCs/>
          <w:color w:val="000000" w:themeColor="text1"/>
        </w:rPr>
        <w:t>）其它因素</w:t>
      </w:r>
    </w:p>
    <w:p w14:paraId="2B5A9B43"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可能引发事故风险的还有：</w:t>
      </w:r>
      <w:r w:rsidRPr="008A2411">
        <w:rPr>
          <w:rFonts w:ascii="Times New Roman"/>
          <w:bCs/>
          <w:color w:val="000000" w:themeColor="text1"/>
        </w:rPr>
        <w:t>①</w:t>
      </w:r>
      <w:r w:rsidRPr="008A2411">
        <w:rPr>
          <w:rFonts w:ascii="Times New Roman"/>
          <w:bCs/>
          <w:color w:val="000000" w:themeColor="text1"/>
        </w:rPr>
        <w:t>战争，</w:t>
      </w:r>
      <w:r w:rsidRPr="008A2411">
        <w:rPr>
          <w:rFonts w:ascii="Times New Roman"/>
          <w:bCs/>
          <w:color w:val="000000" w:themeColor="text1"/>
        </w:rPr>
        <w:t>②</w:t>
      </w:r>
      <w:r w:rsidRPr="008A2411">
        <w:rPr>
          <w:rFonts w:ascii="Times New Roman"/>
          <w:bCs/>
          <w:color w:val="000000" w:themeColor="text1"/>
        </w:rPr>
        <w:t>自然灾害，</w:t>
      </w:r>
      <w:r w:rsidRPr="008A2411">
        <w:rPr>
          <w:rFonts w:ascii="Times New Roman"/>
          <w:bCs/>
          <w:color w:val="000000" w:themeColor="text1"/>
        </w:rPr>
        <w:t>③</w:t>
      </w:r>
      <w:r w:rsidRPr="008A2411">
        <w:rPr>
          <w:rFonts w:ascii="Times New Roman"/>
          <w:bCs/>
          <w:color w:val="000000" w:themeColor="text1"/>
        </w:rPr>
        <w:t>人为破坏等因素。第一个因素为不可抗拒因素，后两个因素只要从设计和管理加强防范还是可以避免和减缓影响的。</w:t>
      </w:r>
    </w:p>
    <w:p w14:paraId="4E031415"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2</w:t>
      </w:r>
      <w:r w:rsidRPr="008A2411">
        <w:rPr>
          <w:rFonts w:ascii="Times New Roman"/>
          <w:bCs/>
          <w:color w:val="000000" w:themeColor="text1"/>
        </w:rPr>
        <w:t>、物料储运过程风险识别</w:t>
      </w:r>
    </w:p>
    <w:p w14:paraId="6726530D"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本项目天然气泄漏情形包括站场内部的管线或设备泄漏。可能存在天然气泄漏的设备主要为各类生产设备。本项目管线和设备破裂原因为内、外腐蚀作用，母体材料缺陷或焊口缺陷隐患，意外重大的机械损伤或地震、地陷、洪水等自然灾害破坏作用。管线或设备破裂会造成天然气泄漏，本项目原料天然气为经</w:t>
      </w:r>
      <w:proofErr w:type="gramStart"/>
      <w:r w:rsidRPr="008A2411">
        <w:rPr>
          <w:rFonts w:ascii="Times New Roman"/>
          <w:bCs/>
          <w:color w:val="000000" w:themeColor="text1"/>
        </w:rPr>
        <w:t>脱硫站净化</w:t>
      </w:r>
      <w:proofErr w:type="gramEnd"/>
      <w:r w:rsidRPr="008A2411">
        <w:rPr>
          <w:rFonts w:ascii="Times New Roman"/>
          <w:bCs/>
          <w:color w:val="000000" w:themeColor="text1"/>
        </w:rPr>
        <w:t>后的天然气、硫化氢含量极低，天然气泄漏对空气影响较小。</w:t>
      </w:r>
    </w:p>
    <w:p w14:paraId="444D095E"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3</w:t>
      </w:r>
      <w:r w:rsidRPr="008A2411">
        <w:rPr>
          <w:rFonts w:ascii="Times New Roman"/>
          <w:bCs/>
          <w:color w:val="000000" w:themeColor="text1"/>
        </w:rPr>
        <w:t>）贮存系统的风险识别</w:t>
      </w:r>
    </w:p>
    <w:p w14:paraId="5A6D2759"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项目仓库储存物料包装形式按物料性质分类，液体采用铁桶或塑料桶密封包装，固体主要采用塑料袋包装。</w:t>
      </w:r>
    </w:p>
    <w:p w14:paraId="288B771F"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3</w:t>
      </w:r>
      <w:r w:rsidRPr="008A2411">
        <w:rPr>
          <w:rFonts w:ascii="Times New Roman"/>
          <w:bCs/>
          <w:color w:val="000000" w:themeColor="text1"/>
        </w:rPr>
        <w:t>、公用工程风险识别</w:t>
      </w:r>
    </w:p>
    <w:p w14:paraId="0965A86C"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项目生产用的动力能源较多，如火源、电源、热源交织使用，这些动力能源如果设置不当或管理不善，便可直接成为火灾爆炸事故的引发源。</w:t>
      </w:r>
    </w:p>
    <w:p w14:paraId="1BFAE7A4"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当发生火灾时，项目给水设施发生故障，不能提供足量的消防用水用于储罐</w:t>
      </w:r>
      <w:r w:rsidRPr="008A2411">
        <w:rPr>
          <w:rFonts w:ascii="Times New Roman"/>
          <w:bCs/>
          <w:color w:val="000000" w:themeColor="text1"/>
        </w:rPr>
        <w:lastRenderedPageBreak/>
        <w:t>及装置的降温和灭火，会使火灾事故无法控制、扩大。此外，被污染的消防水不能及时有效的收集、处理，大量排出厂外，将造成污染的二次事故。</w:t>
      </w:r>
    </w:p>
    <w:p w14:paraId="03953F18"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电器设备若不按规程操作或设备本身质量问题，规格不符合要求，易引起触电伤害事故，甚至引发二次事故，造成中毒、燃烧、爆炸事故发生。</w:t>
      </w:r>
    </w:p>
    <w:p w14:paraId="0FA23E42" w14:textId="77777777" w:rsidR="00B0005F" w:rsidRPr="008A2411" w:rsidRDefault="00000000">
      <w:pPr>
        <w:pStyle w:val="affffffffffffffffffff6"/>
        <w:snapToGrid/>
        <w:outlineLvl w:val="2"/>
        <w:rPr>
          <w:rFonts w:ascii="Times New Roman"/>
          <w:b/>
          <w:color w:val="000000" w:themeColor="text1"/>
          <w:sz w:val="24"/>
          <w:szCs w:val="24"/>
          <w:lang w:bidi="en-US"/>
        </w:rPr>
      </w:pPr>
      <w:r w:rsidRPr="008A2411">
        <w:rPr>
          <w:rFonts w:ascii="Times New Roman"/>
          <w:b/>
          <w:color w:val="000000" w:themeColor="text1"/>
          <w:sz w:val="24"/>
          <w:szCs w:val="24"/>
          <w:lang w:bidi="en-US"/>
        </w:rPr>
        <w:t>6.5.3</w:t>
      </w:r>
      <w:r w:rsidRPr="008A2411">
        <w:rPr>
          <w:rFonts w:ascii="Times New Roman"/>
          <w:b/>
          <w:color w:val="000000" w:themeColor="text1"/>
          <w:sz w:val="24"/>
          <w:szCs w:val="24"/>
          <w:lang w:bidi="en-US"/>
        </w:rPr>
        <w:t>危险物质向环境转移的途径识别</w:t>
      </w:r>
    </w:p>
    <w:p w14:paraId="5E3B28D7"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本项目工程建设和生产过程中潜在的环境风险因素包括站场、管道腐蚀穿孔和开裂等造成天然气泄漏、污水管道泄漏事故等风险。</w:t>
      </w:r>
    </w:p>
    <w:p w14:paraId="1E9AA928"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1</w:t>
      </w:r>
      <w:r w:rsidRPr="008A2411">
        <w:rPr>
          <w:rFonts w:ascii="Times New Roman"/>
          <w:bCs/>
          <w:color w:val="000000" w:themeColor="text1"/>
        </w:rPr>
        <w:t>）站场、管道泄漏</w:t>
      </w:r>
    </w:p>
    <w:p w14:paraId="2E583056"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站场运行中需要重点关注管道、压力容器因窜气、超压和腐蚀引发的潜在危险。站场单元危险有害因素分析见下表。</w:t>
      </w:r>
    </w:p>
    <w:p w14:paraId="08430DB1" w14:textId="77777777" w:rsidR="00B0005F" w:rsidRPr="008A2411" w:rsidRDefault="00000000">
      <w:pPr>
        <w:pStyle w:val="afffffff9"/>
        <w:spacing w:line="240" w:lineRule="auto"/>
        <w:ind w:firstLineChars="0" w:firstLine="0"/>
        <w:jc w:val="center"/>
        <w:rPr>
          <w:rFonts w:ascii="Times New Roman" w:eastAsia="黑体" w:hAnsi="Times New Roman"/>
          <w:bCs/>
          <w:color w:val="000000" w:themeColor="text1"/>
        </w:rPr>
      </w:pPr>
      <w:r w:rsidRPr="008A2411">
        <w:rPr>
          <w:rFonts w:ascii="Times New Roman" w:eastAsia="黑体" w:hAnsi="Times New Roman"/>
          <w:bCs/>
          <w:color w:val="000000" w:themeColor="text1"/>
        </w:rPr>
        <w:t>表</w:t>
      </w:r>
      <w:r w:rsidRPr="008A2411">
        <w:rPr>
          <w:rFonts w:ascii="Times New Roman" w:eastAsia="黑体" w:hAnsi="Times New Roman"/>
          <w:bCs/>
          <w:color w:val="000000" w:themeColor="text1"/>
        </w:rPr>
        <w:t xml:space="preserve">6.5-6  </w:t>
      </w:r>
      <w:r w:rsidRPr="008A2411">
        <w:rPr>
          <w:rFonts w:ascii="Times New Roman" w:eastAsia="黑体" w:hAnsi="Times New Roman"/>
          <w:bCs/>
          <w:color w:val="000000" w:themeColor="text1"/>
        </w:rPr>
        <w:t>天然气站场危险有害因素分析</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firstRow="1" w:lastRow="0" w:firstColumn="1" w:lastColumn="0" w:noHBand="0" w:noVBand="1"/>
      </w:tblPr>
      <w:tblGrid>
        <w:gridCol w:w="1203"/>
        <w:gridCol w:w="2362"/>
        <w:gridCol w:w="2491"/>
        <w:gridCol w:w="2364"/>
      </w:tblGrid>
      <w:tr w:rsidR="008A2411" w:rsidRPr="008A2411" w14:paraId="322F104F" w14:textId="77777777">
        <w:trPr>
          <w:cantSplit/>
          <w:trHeight w:val="340"/>
          <w:tblHeader/>
          <w:jc w:val="center"/>
        </w:trPr>
        <w:tc>
          <w:tcPr>
            <w:tcW w:w="2117" w:type="pct"/>
            <w:gridSpan w:val="2"/>
            <w:vAlign w:val="center"/>
          </w:tcPr>
          <w:p w14:paraId="0F70E67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分类</w:t>
            </w:r>
          </w:p>
        </w:tc>
        <w:tc>
          <w:tcPr>
            <w:tcW w:w="1478" w:type="pct"/>
            <w:vAlign w:val="center"/>
          </w:tcPr>
          <w:p w14:paraId="7947232C"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主要原因</w:t>
            </w:r>
          </w:p>
        </w:tc>
        <w:tc>
          <w:tcPr>
            <w:tcW w:w="1403" w:type="pct"/>
            <w:vAlign w:val="center"/>
          </w:tcPr>
          <w:p w14:paraId="391D400D"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主要危险、有害性</w:t>
            </w:r>
          </w:p>
        </w:tc>
      </w:tr>
      <w:tr w:rsidR="008A2411" w:rsidRPr="008A2411" w14:paraId="1DFD67A4" w14:textId="77777777">
        <w:trPr>
          <w:cantSplit/>
          <w:trHeight w:val="340"/>
          <w:jc w:val="center"/>
        </w:trPr>
        <w:tc>
          <w:tcPr>
            <w:tcW w:w="715" w:type="pct"/>
            <w:vMerge w:val="restart"/>
            <w:vAlign w:val="center"/>
          </w:tcPr>
          <w:p w14:paraId="52917B84"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窜气及超压</w:t>
            </w:r>
          </w:p>
        </w:tc>
        <w:tc>
          <w:tcPr>
            <w:tcW w:w="1402" w:type="pct"/>
            <w:vAlign w:val="center"/>
          </w:tcPr>
          <w:p w14:paraId="323C687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节流阀</w:t>
            </w:r>
          </w:p>
        </w:tc>
        <w:tc>
          <w:tcPr>
            <w:tcW w:w="1478" w:type="pct"/>
            <w:vAlign w:val="center"/>
          </w:tcPr>
          <w:p w14:paraId="5280A48D"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失效或压差过大</w:t>
            </w:r>
          </w:p>
        </w:tc>
        <w:tc>
          <w:tcPr>
            <w:tcW w:w="1403" w:type="pct"/>
            <w:vAlign w:val="center"/>
          </w:tcPr>
          <w:p w14:paraId="2C3590B6"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火灾，其他爆炸，容器爆炸，中毒和窒息，灼烫</w:t>
            </w:r>
          </w:p>
        </w:tc>
      </w:tr>
      <w:tr w:rsidR="008A2411" w:rsidRPr="008A2411" w14:paraId="28666414" w14:textId="77777777">
        <w:trPr>
          <w:cantSplit/>
          <w:trHeight w:val="340"/>
          <w:jc w:val="center"/>
        </w:trPr>
        <w:tc>
          <w:tcPr>
            <w:tcW w:w="715" w:type="pct"/>
            <w:vMerge/>
            <w:vAlign w:val="center"/>
          </w:tcPr>
          <w:p w14:paraId="1D7DCA09" w14:textId="77777777" w:rsidR="00B0005F" w:rsidRPr="008A2411" w:rsidRDefault="00B0005F">
            <w:pPr>
              <w:jc w:val="center"/>
              <w:rPr>
                <w:rFonts w:ascii="Times New Roman"/>
                <w:bCs/>
                <w:color w:val="000000" w:themeColor="text1"/>
                <w:sz w:val="21"/>
                <w:szCs w:val="21"/>
              </w:rPr>
            </w:pPr>
          </w:p>
        </w:tc>
        <w:tc>
          <w:tcPr>
            <w:tcW w:w="1402" w:type="pct"/>
            <w:vMerge w:val="restart"/>
            <w:vAlign w:val="center"/>
          </w:tcPr>
          <w:p w14:paraId="7DBC6B5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吸收塔与</w:t>
            </w:r>
            <w:proofErr w:type="gramStart"/>
            <w:r w:rsidRPr="008A2411">
              <w:rPr>
                <w:rFonts w:ascii="Times New Roman"/>
                <w:bCs/>
                <w:color w:val="000000" w:themeColor="text1"/>
                <w:sz w:val="21"/>
                <w:szCs w:val="21"/>
              </w:rPr>
              <w:t>闪蒸罐间</w:t>
            </w:r>
            <w:proofErr w:type="gramEnd"/>
          </w:p>
        </w:tc>
        <w:tc>
          <w:tcPr>
            <w:tcW w:w="1478" w:type="pct"/>
            <w:vAlign w:val="center"/>
          </w:tcPr>
          <w:p w14:paraId="40700CE1"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吸收塔液位过低</w:t>
            </w:r>
          </w:p>
        </w:tc>
        <w:tc>
          <w:tcPr>
            <w:tcW w:w="1403" w:type="pct"/>
            <w:vMerge w:val="restart"/>
            <w:vAlign w:val="center"/>
          </w:tcPr>
          <w:p w14:paraId="25AAE6D6"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吸收塔、闪蒸罐、再生塔发生火灾、爆炸事故等</w:t>
            </w:r>
          </w:p>
        </w:tc>
      </w:tr>
      <w:tr w:rsidR="008A2411" w:rsidRPr="008A2411" w14:paraId="2FB1C195" w14:textId="77777777">
        <w:trPr>
          <w:cantSplit/>
          <w:trHeight w:val="340"/>
          <w:jc w:val="center"/>
        </w:trPr>
        <w:tc>
          <w:tcPr>
            <w:tcW w:w="715" w:type="pct"/>
            <w:vMerge/>
            <w:vAlign w:val="center"/>
          </w:tcPr>
          <w:p w14:paraId="7B1A1FEA" w14:textId="77777777" w:rsidR="00B0005F" w:rsidRPr="008A2411" w:rsidRDefault="00B0005F">
            <w:pPr>
              <w:jc w:val="center"/>
              <w:rPr>
                <w:rFonts w:ascii="Times New Roman"/>
                <w:bCs/>
                <w:color w:val="000000" w:themeColor="text1"/>
                <w:sz w:val="21"/>
                <w:szCs w:val="21"/>
              </w:rPr>
            </w:pPr>
          </w:p>
        </w:tc>
        <w:tc>
          <w:tcPr>
            <w:tcW w:w="1402" w:type="pct"/>
            <w:vMerge/>
            <w:vAlign w:val="center"/>
          </w:tcPr>
          <w:p w14:paraId="34474D3E" w14:textId="77777777" w:rsidR="00B0005F" w:rsidRPr="008A2411" w:rsidRDefault="00B0005F">
            <w:pPr>
              <w:jc w:val="center"/>
              <w:rPr>
                <w:rFonts w:ascii="Times New Roman"/>
                <w:bCs/>
                <w:color w:val="000000" w:themeColor="text1"/>
                <w:sz w:val="21"/>
                <w:szCs w:val="21"/>
              </w:rPr>
            </w:pPr>
          </w:p>
        </w:tc>
        <w:tc>
          <w:tcPr>
            <w:tcW w:w="1478" w:type="pct"/>
            <w:vAlign w:val="center"/>
          </w:tcPr>
          <w:p w14:paraId="2E6B197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设备间</w:t>
            </w:r>
            <w:proofErr w:type="gramStart"/>
            <w:r w:rsidRPr="008A2411">
              <w:rPr>
                <w:rFonts w:ascii="Times New Roman"/>
                <w:bCs/>
                <w:color w:val="000000" w:themeColor="text1"/>
                <w:sz w:val="21"/>
                <w:szCs w:val="21"/>
              </w:rPr>
              <w:t>联锁</w:t>
            </w:r>
            <w:proofErr w:type="gramEnd"/>
            <w:r w:rsidRPr="008A2411">
              <w:rPr>
                <w:rFonts w:ascii="Times New Roman"/>
                <w:bCs/>
                <w:color w:val="000000" w:themeColor="text1"/>
                <w:sz w:val="21"/>
                <w:szCs w:val="21"/>
              </w:rPr>
              <w:t>阀损坏</w:t>
            </w:r>
          </w:p>
        </w:tc>
        <w:tc>
          <w:tcPr>
            <w:tcW w:w="1403" w:type="pct"/>
            <w:vMerge/>
            <w:vAlign w:val="center"/>
          </w:tcPr>
          <w:p w14:paraId="5DBCD12E" w14:textId="77777777" w:rsidR="00B0005F" w:rsidRPr="008A2411" w:rsidRDefault="00B0005F">
            <w:pPr>
              <w:jc w:val="center"/>
              <w:rPr>
                <w:rFonts w:ascii="Times New Roman"/>
                <w:bCs/>
                <w:color w:val="000000" w:themeColor="text1"/>
                <w:sz w:val="21"/>
                <w:szCs w:val="21"/>
              </w:rPr>
            </w:pPr>
          </w:p>
        </w:tc>
      </w:tr>
      <w:tr w:rsidR="008A2411" w:rsidRPr="008A2411" w14:paraId="0B1A2909" w14:textId="77777777">
        <w:trPr>
          <w:cantSplit/>
          <w:trHeight w:val="340"/>
          <w:jc w:val="center"/>
        </w:trPr>
        <w:tc>
          <w:tcPr>
            <w:tcW w:w="715" w:type="pct"/>
            <w:vMerge/>
            <w:vAlign w:val="center"/>
          </w:tcPr>
          <w:p w14:paraId="515C2BDF" w14:textId="77777777" w:rsidR="00B0005F" w:rsidRPr="008A2411" w:rsidRDefault="00B0005F">
            <w:pPr>
              <w:jc w:val="center"/>
              <w:rPr>
                <w:rFonts w:ascii="Times New Roman"/>
                <w:bCs/>
                <w:color w:val="000000" w:themeColor="text1"/>
                <w:sz w:val="21"/>
                <w:szCs w:val="21"/>
              </w:rPr>
            </w:pPr>
          </w:p>
        </w:tc>
        <w:tc>
          <w:tcPr>
            <w:tcW w:w="1402" w:type="pct"/>
            <w:vMerge/>
            <w:vAlign w:val="center"/>
          </w:tcPr>
          <w:p w14:paraId="580BF36F" w14:textId="77777777" w:rsidR="00B0005F" w:rsidRPr="008A2411" w:rsidRDefault="00B0005F">
            <w:pPr>
              <w:jc w:val="center"/>
              <w:rPr>
                <w:rFonts w:ascii="Times New Roman"/>
                <w:bCs/>
                <w:color w:val="000000" w:themeColor="text1"/>
                <w:sz w:val="21"/>
                <w:szCs w:val="21"/>
              </w:rPr>
            </w:pPr>
          </w:p>
        </w:tc>
        <w:tc>
          <w:tcPr>
            <w:tcW w:w="1478" w:type="pct"/>
            <w:vAlign w:val="center"/>
          </w:tcPr>
          <w:p w14:paraId="5D86D8F7" w14:textId="77777777" w:rsidR="00B0005F" w:rsidRPr="008A2411" w:rsidRDefault="00000000">
            <w:pPr>
              <w:jc w:val="center"/>
              <w:rPr>
                <w:rFonts w:ascii="Times New Roman"/>
                <w:bCs/>
                <w:color w:val="000000" w:themeColor="text1"/>
                <w:sz w:val="21"/>
                <w:szCs w:val="21"/>
              </w:rPr>
            </w:pPr>
            <w:proofErr w:type="gramStart"/>
            <w:r w:rsidRPr="008A2411">
              <w:rPr>
                <w:rFonts w:ascii="Times New Roman"/>
                <w:bCs/>
                <w:color w:val="000000" w:themeColor="text1"/>
                <w:sz w:val="21"/>
                <w:szCs w:val="21"/>
              </w:rPr>
              <w:t>联锁</w:t>
            </w:r>
            <w:proofErr w:type="gramEnd"/>
            <w:r w:rsidRPr="008A2411">
              <w:rPr>
                <w:rFonts w:ascii="Times New Roman"/>
                <w:bCs/>
                <w:color w:val="000000" w:themeColor="text1"/>
                <w:sz w:val="21"/>
                <w:szCs w:val="21"/>
              </w:rPr>
              <w:t>阀无气源</w:t>
            </w:r>
          </w:p>
        </w:tc>
        <w:tc>
          <w:tcPr>
            <w:tcW w:w="1403" w:type="pct"/>
            <w:vMerge/>
            <w:vAlign w:val="center"/>
          </w:tcPr>
          <w:p w14:paraId="193E6E4C" w14:textId="77777777" w:rsidR="00B0005F" w:rsidRPr="008A2411" w:rsidRDefault="00B0005F">
            <w:pPr>
              <w:jc w:val="center"/>
              <w:rPr>
                <w:rFonts w:ascii="Times New Roman"/>
                <w:bCs/>
                <w:color w:val="000000" w:themeColor="text1"/>
                <w:sz w:val="21"/>
                <w:szCs w:val="21"/>
              </w:rPr>
            </w:pPr>
          </w:p>
        </w:tc>
      </w:tr>
      <w:tr w:rsidR="008A2411" w:rsidRPr="008A2411" w14:paraId="3E09B67A" w14:textId="77777777">
        <w:trPr>
          <w:cantSplit/>
          <w:trHeight w:val="340"/>
          <w:jc w:val="center"/>
        </w:trPr>
        <w:tc>
          <w:tcPr>
            <w:tcW w:w="715" w:type="pct"/>
            <w:vMerge/>
            <w:vAlign w:val="center"/>
          </w:tcPr>
          <w:p w14:paraId="05A5066E" w14:textId="77777777" w:rsidR="00B0005F" w:rsidRPr="008A2411" w:rsidRDefault="00B0005F">
            <w:pPr>
              <w:jc w:val="center"/>
              <w:rPr>
                <w:rFonts w:ascii="Times New Roman"/>
                <w:bCs/>
                <w:color w:val="000000" w:themeColor="text1"/>
                <w:sz w:val="21"/>
                <w:szCs w:val="21"/>
              </w:rPr>
            </w:pPr>
          </w:p>
        </w:tc>
        <w:tc>
          <w:tcPr>
            <w:tcW w:w="1402" w:type="pct"/>
            <w:vMerge w:val="restart"/>
            <w:vAlign w:val="center"/>
          </w:tcPr>
          <w:p w14:paraId="26F45A5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闪蒸罐与</w:t>
            </w:r>
            <w:proofErr w:type="gramStart"/>
            <w:r w:rsidRPr="008A2411">
              <w:rPr>
                <w:rFonts w:ascii="Times New Roman"/>
                <w:bCs/>
                <w:color w:val="000000" w:themeColor="text1"/>
                <w:sz w:val="21"/>
                <w:szCs w:val="21"/>
              </w:rPr>
              <w:t>胺液再生塔间</w:t>
            </w:r>
            <w:proofErr w:type="gramEnd"/>
          </w:p>
        </w:tc>
        <w:tc>
          <w:tcPr>
            <w:tcW w:w="1478" w:type="pct"/>
            <w:vAlign w:val="center"/>
          </w:tcPr>
          <w:p w14:paraId="073B88AA" w14:textId="77777777" w:rsidR="00B0005F" w:rsidRPr="008A2411" w:rsidRDefault="00000000">
            <w:pPr>
              <w:jc w:val="center"/>
              <w:rPr>
                <w:rFonts w:ascii="Times New Roman"/>
                <w:bCs/>
                <w:color w:val="000000" w:themeColor="text1"/>
                <w:sz w:val="21"/>
                <w:szCs w:val="21"/>
              </w:rPr>
            </w:pPr>
            <w:proofErr w:type="gramStart"/>
            <w:r w:rsidRPr="008A2411">
              <w:rPr>
                <w:rFonts w:ascii="Times New Roman"/>
                <w:bCs/>
                <w:color w:val="000000" w:themeColor="text1"/>
                <w:sz w:val="21"/>
                <w:szCs w:val="21"/>
              </w:rPr>
              <w:t>闪蒸罐液位</w:t>
            </w:r>
            <w:proofErr w:type="gramEnd"/>
            <w:r w:rsidRPr="008A2411">
              <w:rPr>
                <w:rFonts w:ascii="Times New Roman"/>
                <w:bCs/>
                <w:color w:val="000000" w:themeColor="text1"/>
                <w:sz w:val="21"/>
                <w:szCs w:val="21"/>
              </w:rPr>
              <w:t>过低</w:t>
            </w:r>
          </w:p>
        </w:tc>
        <w:tc>
          <w:tcPr>
            <w:tcW w:w="1403" w:type="pct"/>
            <w:vMerge/>
            <w:vAlign w:val="center"/>
          </w:tcPr>
          <w:p w14:paraId="11F6A44C" w14:textId="77777777" w:rsidR="00B0005F" w:rsidRPr="008A2411" w:rsidRDefault="00B0005F">
            <w:pPr>
              <w:jc w:val="center"/>
              <w:rPr>
                <w:rFonts w:ascii="Times New Roman"/>
                <w:bCs/>
                <w:color w:val="000000" w:themeColor="text1"/>
                <w:sz w:val="21"/>
                <w:szCs w:val="21"/>
              </w:rPr>
            </w:pPr>
          </w:p>
        </w:tc>
      </w:tr>
      <w:tr w:rsidR="008A2411" w:rsidRPr="008A2411" w14:paraId="419F3A27" w14:textId="77777777">
        <w:trPr>
          <w:cantSplit/>
          <w:trHeight w:val="340"/>
          <w:jc w:val="center"/>
        </w:trPr>
        <w:tc>
          <w:tcPr>
            <w:tcW w:w="715" w:type="pct"/>
            <w:vMerge/>
            <w:vAlign w:val="center"/>
          </w:tcPr>
          <w:p w14:paraId="15AA2902" w14:textId="77777777" w:rsidR="00B0005F" w:rsidRPr="008A2411" w:rsidRDefault="00B0005F">
            <w:pPr>
              <w:jc w:val="center"/>
              <w:rPr>
                <w:rFonts w:ascii="Times New Roman"/>
                <w:bCs/>
                <w:color w:val="000000" w:themeColor="text1"/>
                <w:sz w:val="21"/>
                <w:szCs w:val="21"/>
              </w:rPr>
            </w:pPr>
          </w:p>
        </w:tc>
        <w:tc>
          <w:tcPr>
            <w:tcW w:w="1402" w:type="pct"/>
            <w:vMerge/>
            <w:vAlign w:val="center"/>
          </w:tcPr>
          <w:p w14:paraId="3BF3FE87" w14:textId="77777777" w:rsidR="00B0005F" w:rsidRPr="008A2411" w:rsidRDefault="00B0005F">
            <w:pPr>
              <w:jc w:val="center"/>
              <w:rPr>
                <w:rFonts w:ascii="Times New Roman"/>
                <w:bCs/>
                <w:color w:val="000000" w:themeColor="text1"/>
                <w:sz w:val="21"/>
                <w:szCs w:val="21"/>
              </w:rPr>
            </w:pPr>
          </w:p>
        </w:tc>
        <w:tc>
          <w:tcPr>
            <w:tcW w:w="1478" w:type="pct"/>
            <w:vAlign w:val="center"/>
          </w:tcPr>
          <w:p w14:paraId="1A7861DA" w14:textId="77777777" w:rsidR="00B0005F" w:rsidRPr="008A2411" w:rsidRDefault="00000000">
            <w:pPr>
              <w:jc w:val="center"/>
              <w:rPr>
                <w:rFonts w:ascii="Times New Roman"/>
                <w:bCs/>
                <w:color w:val="000000" w:themeColor="text1"/>
                <w:sz w:val="21"/>
                <w:szCs w:val="21"/>
              </w:rPr>
            </w:pPr>
            <w:proofErr w:type="gramStart"/>
            <w:r w:rsidRPr="008A2411">
              <w:rPr>
                <w:rFonts w:ascii="Times New Roman"/>
                <w:bCs/>
                <w:color w:val="000000" w:themeColor="text1"/>
                <w:sz w:val="21"/>
                <w:szCs w:val="21"/>
              </w:rPr>
              <w:t>闪蒸罐液位</w:t>
            </w:r>
            <w:proofErr w:type="gramEnd"/>
            <w:r w:rsidRPr="008A2411">
              <w:rPr>
                <w:rFonts w:ascii="Times New Roman"/>
                <w:bCs/>
                <w:color w:val="000000" w:themeColor="text1"/>
                <w:sz w:val="21"/>
                <w:szCs w:val="21"/>
              </w:rPr>
              <w:t>暴涨</w:t>
            </w:r>
          </w:p>
        </w:tc>
        <w:tc>
          <w:tcPr>
            <w:tcW w:w="1403" w:type="pct"/>
            <w:vMerge/>
            <w:vAlign w:val="center"/>
          </w:tcPr>
          <w:p w14:paraId="174EB5C0" w14:textId="77777777" w:rsidR="00B0005F" w:rsidRPr="008A2411" w:rsidRDefault="00B0005F">
            <w:pPr>
              <w:jc w:val="center"/>
              <w:rPr>
                <w:rFonts w:ascii="Times New Roman"/>
                <w:bCs/>
                <w:color w:val="000000" w:themeColor="text1"/>
                <w:sz w:val="21"/>
                <w:szCs w:val="21"/>
              </w:rPr>
            </w:pPr>
          </w:p>
        </w:tc>
      </w:tr>
      <w:tr w:rsidR="008A2411" w:rsidRPr="008A2411" w14:paraId="118D31CC" w14:textId="77777777">
        <w:trPr>
          <w:cantSplit/>
          <w:trHeight w:val="340"/>
          <w:jc w:val="center"/>
        </w:trPr>
        <w:tc>
          <w:tcPr>
            <w:tcW w:w="715" w:type="pct"/>
            <w:vMerge w:val="restart"/>
            <w:vAlign w:val="center"/>
          </w:tcPr>
          <w:p w14:paraId="1486B4E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腐蚀泄漏</w:t>
            </w:r>
          </w:p>
        </w:tc>
        <w:tc>
          <w:tcPr>
            <w:tcW w:w="1402" w:type="pct"/>
            <w:vAlign w:val="center"/>
          </w:tcPr>
          <w:p w14:paraId="0ED5AC87"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原料气管线</w:t>
            </w:r>
          </w:p>
        </w:tc>
        <w:tc>
          <w:tcPr>
            <w:tcW w:w="1478" w:type="pct"/>
            <w:vMerge w:val="restart"/>
            <w:vAlign w:val="center"/>
          </w:tcPr>
          <w:p w14:paraId="36485E8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二氧化碳、物料水等的腐蚀而造成泄漏</w:t>
            </w:r>
          </w:p>
        </w:tc>
        <w:tc>
          <w:tcPr>
            <w:tcW w:w="1403" w:type="pct"/>
            <w:vMerge w:val="restart"/>
            <w:vAlign w:val="center"/>
          </w:tcPr>
          <w:p w14:paraId="115F56A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泄漏的原料天然气、液化生产富液、未液化生产闪蒸气均可能引发泄漏，进而引发火灾，其他爆炸等</w:t>
            </w:r>
          </w:p>
        </w:tc>
      </w:tr>
      <w:tr w:rsidR="008A2411" w:rsidRPr="008A2411" w14:paraId="3ABD2B62" w14:textId="77777777">
        <w:trPr>
          <w:cantSplit/>
          <w:trHeight w:val="340"/>
          <w:jc w:val="center"/>
        </w:trPr>
        <w:tc>
          <w:tcPr>
            <w:tcW w:w="715" w:type="pct"/>
            <w:vMerge/>
            <w:vAlign w:val="center"/>
          </w:tcPr>
          <w:p w14:paraId="70BC17C1" w14:textId="77777777" w:rsidR="00B0005F" w:rsidRPr="008A2411" w:rsidRDefault="00B0005F">
            <w:pPr>
              <w:jc w:val="center"/>
              <w:rPr>
                <w:rFonts w:ascii="Times New Roman"/>
                <w:bCs/>
                <w:color w:val="000000" w:themeColor="text1"/>
                <w:sz w:val="21"/>
                <w:szCs w:val="21"/>
              </w:rPr>
            </w:pPr>
          </w:p>
        </w:tc>
        <w:tc>
          <w:tcPr>
            <w:tcW w:w="1402" w:type="pct"/>
            <w:vAlign w:val="center"/>
          </w:tcPr>
          <w:p w14:paraId="7AE82D3D"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分离器</w:t>
            </w:r>
          </w:p>
        </w:tc>
        <w:tc>
          <w:tcPr>
            <w:tcW w:w="1478" w:type="pct"/>
            <w:vMerge/>
            <w:vAlign w:val="center"/>
          </w:tcPr>
          <w:p w14:paraId="381C6D2E" w14:textId="77777777" w:rsidR="00B0005F" w:rsidRPr="008A2411" w:rsidRDefault="00B0005F">
            <w:pPr>
              <w:pStyle w:val="afffffffffffff1"/>
              <w:rPr>
                <w:rFonts w:ascii="Times New Roman" w:hAnsi="Times New Roman" w:cs="Times New Roman"/>
                <w:color w:val="000000" w:themeColor="text1"/>
              </w:rPr>
            </w:pPr>
          </w:p>
        </w:tc>
        <w:tc>
          <w:tcPr>
            <w:tcW w:w="1403" w:type="pct"/>
            <w:vMerge/>
            <w:vAlign w:val="center"/>
          </w:tcPr>
          <w:p w14:paraId="35954678" w14:textId="77777777" w:rsidR="00B0005F" w:rsidRPr="008A2411" w:rsidRDefault="00B0005F">
            <w:pPr>
              <w:pStyle w:val="afffffffffffff1"/>
              <w:rPr>
                <w:rFonts w:ascii="Times New Roman" w:hAnsi="Times New Roman" w:cs="Times New Roman"/>
                <w:color w:val="000000" w:themeColor="text1"/>
              </w:rPr>
            </w:pPr>
          </w:p>
        </w:tc>
      </w:tr>
      <w:tr w:rsidR="008A2411" w:rsidRPr="008A2411" w14:paraId="785101F2" w14:textId="77777777">
        <w:trPr>
          <w:cantSplit/>
          <w:trHeight w:val="340"/>
          <w:jc w:val="center"/>
        </w:trPr>
        <w:tc>
          <w:tcPr>
            <w:tcW w:w="715" w:type="pct"/>
            <w:vMerge/>
            <w:vAlign w:val="center"/>
          </w:tcPr>
          <w:p w14:paraId="06361483" w14:textId="77777777" w:rsidR="00B0005F" w:rsidRPr="008A2411" w:rsidRDefault="00B0005F">
            <w:pPr>
              <w:jc w:val="center"/>
              <w:rPr>
                <w:rFonts w:ascii="Times New Roman"/>
                <w:bCs/>
                <w:color w:val="000000" w:themeColor="text1"/>
                <w:sz w:val="21"/>
                <w:szCs w:val="21"/>
              </w:rPr>
            </w:pPr>
          </w:p>
        </w:tc>
        <w:tc>
          <w:tcPr>
            <w:tcW w:w="1402" w:type="pct"/>
            <w:vAlign w:val="center"/>
          </w:tcPr>
          <w:p w14:paraId="63BDAB1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吸收塔</w:t>
            </w:r>
          </w:p>
        </w:tc>
        <w:tc>
          <w:tcPr>
            <w:tcW w:w="1478" w:type="pct"/>
            <w:vMerge/>
            <w:vAlign w:val="center"/>
          </w:tcPr>
          <w:p w14:paraId="7E5AB3AD" w14:textId="77777777" w:rsidR="00B0005F" w:rsidRPr="008A2411" w:rsidRDefault="00B0005F">
            <w:pPr>
              <w:pStyle w:val="afffffffffffff1"/>
              <w:rPr>
                <w:rFonts w:ascii="Times New Roman" w:hAnsi="Times New Roman" w:cs="Times New Roman"/>
                <w:color w:val="000000" w:themeColor="text1"/>
              </w:rPr>
            </w:pPr>
          </w:p>
        </w:tc>
        <w:tc>
          <w:tcPr>
            <w:tcW w:w="1403" w:type="pct"/>
            <w:vMerge/>
            <w:vAlign w:val="center"/>
          </w:tcPr>
          <w:p w14:paraId="78ABF7DE" w14:textId="77777777" w:rsidR="00B0005F" w:rsidRPr="008A2411" w:rsidRDefault="00B0005F">
            <w:pPr>
              <w:pStyle w:val="afffffffffffff1"/>
              <w:rPr>
                <w:rFonts w:ascii="Times New Roman" w:hAnsi="Times New Roman" w:cs="Times New Roman"/>
                <w:color w:val="000000" w:themeColor="text1"/>
              </w:rPr>
            </w:pPr>
          </w:p>
        </w:tc>
      </w:tr>
      <w:tr w:rsidR="008A2411" w:rsidRPr="008A2411" w14:paraId="718562C6" w14:textId="77777777">
        <w:trPr>
          <w:cantSplit/>
          <w:trHeight w:val="340"/>
          <w:jc w:val="center"/>
        </w:trPr>
        <w:tc>
          <w:tcPr>
            <w:tcW w:w="715" w:type="pct"/>
            <w:vMerge/>
            <w:vAlign w:val="center"/>
          </w:tcPr>
          <w:p w14:paraId="56C49C52" w14:textId="77777777" w:rsidR="00B0005F" w:rsidRPr="008A2411" w:rsidRDefault="00B0005F">
            <w:pPr>
              <w:jc w:val="center"/>
              <w:rPr>
                <w:rFonts w:ascii="Times New Roman"/>
                <w:bCs/>
                <w:color w:val="000000" w:themeColor="text1"/>
                <w:sz w:val="21"/>
                <w:szCs w:val="21"/>
              </w:rPr>
            </w:pPr>
          </w:p>
        </w:tc>
        <w:tc>
          <w:tcPr>
            <w:tcW w:w="1402" w:type="pct"/>
            <w:vAlign w:val="center"/>
          </w:tcPr>
          <w:p w14:paraId="4FADD5EC"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脱水塔</w:t>
            </w:r>
          </w:p>
        </w:tc>
        <w:tc>
          <w:tcPr>
            <w:tcW w:w="1478" w:type="pct"/>
            <w:vMerge/>
            <w:vAlign w:val="center"/>
          </w:tcPr>
          <w:p w14:paraId="5AF49A4C" w14:textId="77777777" w:rsidR="00B0005F" w:rsidRPr="008A2411" w:rsidRDefault="00B0005F">
            <w:pPr>
              <w:pStyle w:val="afffffffffffff1"/>
              <w:rPr>
                <w:rFonts w:ascii="Times New Roman" w:hAnsi="Times New Roman" w:cs="Times New Roman"/>
                <w:color w:val="000000" w:themeColor="text1"/>
              </w:rPr>
            </w:pPr>
          </w:p>
        </w:tc>
        <w:tc>
          <w:tcPr>
            <w:tcW w:w="1403" w:type="pct"/>
            <w:vMerge/>
            <w:vAlign w:val="center"/>
          </w:tcPr>
          <w:p w14:paraId="74D02E19" w14:textId="77777777" w:rsidR="00B0005F" w:rsidRPr="008A2411" w:rsidRDefault="00B0005F">
            <w:pPr>
              <w:pStyle w:val="afffffffffffff1"/>
              <w:rPr>
                <w:rFonts w:ascii="Times New Roman" w:hAnsi="Times New Roman" w:cs="Times New Roman"/>
                <w:color w:val="000000" w:themeColor="text1"/>
              </w:rPr>
            </w:pPr>
          </w:p>
        </w:tc>
      </w:tr>
      <w:tr w:rsidR="008A2411" w:rsidRPr="008A2411" w14:paraId="614AE7E6" w14:textId="77777777">
        <w:trPr>
          <w:cantSplit/>
          <w:trHeight w:val="340"/>
          <w:jc w:val="center"/>
        </w:trPr>
        <w:tc>
          <w:tcPr>
            <w:tcW w:w="715" w:type="pct"/>
            <w:vMerge/>
            <w:vAlign w:val="center"/>
          </w:tcPr>
          <w:p w14:paraId="252B4323" w14:textId="77777777" w:rsidR="00B0005F" w:rsidRPr="008A2411" w:rsidRDefault="00B0005F">
            <w:pPr>
              <w:jc w:val="center"/>
              <w:rPr>
                <w:rFonts w:ascii="Times New Roman"/>
                <w:bCs/>
                <w:color w:val="000000" w:themeColor="text1"/>
                <w:sz w:val="21"/>
                <w:szCs w:val="21"/>
              </w:rPr>
            </w:pPr>
          </w:p>
        </w:tc>
        <w:tc>
          <w:tcPr>
            <w:tcW w:w="1402" w:type="pct"/>
            <w:vAlign w:val="center"/>
          </w:tcPr>
          <w:p w14:paraId="07BB5D46" w14:textId="77777777" w:rsidR="00B0005F" w:rsidRPr="008A2411" w:rsidRDefault="00000000">
            <w:pPr>
              <w:jc w:val="center"/>
              <w:rPr>
                <w:rFonts w:ascii="Times New Roman"/>
                <w:bCs/>
                <w:color w:val="000000" w:themeColor="text1"/>
                <w:sz w:val="21"/>
                <w:szCs w:val="21"/>
              </w:rPr>
            </w:pPr>
            <w:proofErr w:type="gramStart"/>
            <w:r w:rsidRPr="008A2411">
              <w:rPr>
                <w:rFonts w:ascii="Times New Roman"/>
                <w:bCs/>
                <w:color w:val="000000" w:themeColor="text1"/>
                <w:sz w:val="21"/>
                <w:szCs w:val="21"/>
              </w:rPr>
              <w:t>脱汞塔</w:t>
            </w:r>
            <w:proofErr w:type="gramEnd"/>
          </w:p>
        </w:tc>
        <w:tc>
          <w:tcPr>
            <w:tcW w:w="1478" w:type="pct"/>
            <w:vMerge/>
            <w:vAlign w:val="center"/>
          </w:tcPr>
          <w:p w14:paraId="39F60BD0" w14:textId="77777777" w:rsidR="00B0005F" w:rsidRPr="008A2411" w:rsidRDefault="00B0005F">
            <w:pPr>
              <w:pStyle w:val="afffffffffffff1"/>
              <w:rPr>
                <w:rFonts w:ascii="Times New Roman" w:hAnsi="Times New Roman" w:cs="Times New Roman"/>
                <w:color w:val="000000" w:themeColor="text1"/>
              </w:rPr>
            </w:pPr>
          </w:p>
        </w:tc>
        <w:tc>
          <w:tcPr>
            <w:tcW w:w="1403" w:type="pct"/>
            <w:vMerge/>
            <w:vAlign w:val="center"/>
          </w:tcPr>
          <w:p w14:paraId="2F300C0C" w14:textId="77777777" w:rsidR="00B0005F" w:rsidRPr="008A2411" w:rsidRDefault="00B0005F">
            <w:pPr>
              <w:pStyle w:val="afffffffffffff1"/>
              <w:rPr>
                <w:rFonts w:ascii="Times New Roman" w:hAnsi="Times New Roman" w:cs="Times New Roman"/>
                <w:color w:val="000000" w:themeColor="text1"/>
              </w:rPr>
            </w:pPr>
          </w:p>
        </w:tc>
      </w:tr>
      <w:tr w:rsidR="008A2411" w:rsidRPr="008A2411" w14:paraId="32DEB60F" w14:textId="77777777">
        <w:trPr>
          <w:cantSplit/>
          <w:trHeight w:val="340"/>
          <w:jc w:val="center"/>
        </w:trPr>
        <w:tc>
          <w:tcPr>
            <w:tcW w:w="715" w:type="pct"/>
            <w:vMerge/>
            <w:vAlign w:val="center"/>
          </w:tcPr>
          <w:p w14:paraId="11AF3D99" w14:textId="77777777" w:rsidR="00B0005F" w:rsidRPr="008A2411" w:rsidRDefault="00B0005F">
            <w:pPr>
              <w:jc w:val="center"/>
              <w:rPr>
                <w:rFonts w:ascii="Times New Roman"/>
                <w:bCs/>
                <w:color w:val="000000" w:themeColor="text1"/>
                <w:sz w:val="21"/>
                <w:szCs w:val="21"/>
              </w:rPr>
            </w:pPr>
          </w:p>
        </w:tc>
        <w:tc>
          <w:tcPr>
            <w:tcW w:w="1402" w:type="pct"/>
            <w:vAlign w:val="center"/>
          </w:tcPr>
          <w:p w14:paraId="0ADABE4C" w14:textId="77777777" w:rsidR="00B0005F" w:rsidRPr="008A2411" w:rsidRDefault="00000000">
            <w:pPr>
              <w:jc w:val="center"/>
              <w:rPr>
                <w:rFonts w:ascii="Times New Roman"/>
                <w:bCs/>
                <w:color w:val="000000" w:themeColor="text1"/>
                <w:sz w:val="21"/>
                <w:szCs w:val="21"/>
              </w:rPr>
            </w:pPr>
            <w:proofErr w:type="gramStart"/>
            <w:r w:rsidRPr="008A2411">
              <w:rPr>
                <w:rFonts w:ascii="Times New Roman"/>
                <w:bCs/>
                <w:color w:val="000000" w:themeColor="text1"/>
                <w:sz w:val="21"/>
                <w:szCs w:val="21"/>
              </w:rPr>
              <w:t>液化冷箱</w:t>
            </w:r>
            <w:proofErr w:type="gramEnd"/>
          </w:p>
        </w:tc>
        <w:tc>
          <w:tcPr>
            <w:tcW w:w="1478" w:type="pct"/>
            <w:vMerge/>
            <w:vAlign w:val="center"/>
          </w:tcPr>
          <w:p w14:paraId="04C3276E" w14:textId="77777777" w:rsidR="00B0005F" w:rsidRPr="008A2411" w:rsidRDefault="00B0005F">
            <w:pPr>
              <w:pStyle w:val="afffffffffffff1"/>
              <w:rPr>
                <w:rFonts w:ascii="Times New Roman" w:hAnsi="Times New Roman" w:cs="Times New Roman"/>
                <w:color w:val="000000" w:themeColor="text1"/>
              </w:rPr>
            </w:pPr>
          </w:p>
        </w:tc>
        <w:tc>
          <w:tcPr>
            <w:tcW w:w="1403" w:type="pct"/>
            <w:vMerge/>
            <w:vAlign w:val="center"/>
          </w:tcPr>
          <w:p w14:paraId="4DCC54D1" w14:textId="77777777" w:rsidR="00B0005F" w:rsidRPr="008A2411" w:rsidRDefault="00B0005F">
            <w:pPr>
              <w:pStyle w:val="afffffffffffff1"/>
              <w:rPr>
                <w:rFonts w:ascii="Times New Roman" w:hAnsi="Times New Roman" w:cs="Times New Roman"/>
                <w:color w:val="000000" w:themeColor="text1"/>
              </w:rPr>
            </w:pPr>
          </w:p>
        </w:tc>
      </w:tr>
      <w:tr w:rsidR="008A2411" w:rsidRPr="008A2411" w14:paraId="7B5E91AC" w14:textId="77777777">
        <w:trPr>
          <w:cantSplit/>
          <w:trHeight w:val="340"/>
          <w:jc w:val="center"/>
        </w:trPr>
        <w:tc>
          <w:tcPr>
            <w:tcW w:w="715" w:type="pct"/>
            <w:vMerge/>
            <w:vAlign w:val="center"/>
          </w:tcPr>
          <w:p w14:paraId="24FB3903" w14:textId="77777777" w:rsidR="00B0005F" w:rsidRPr="008A2411" w:rsidRDefault="00B0005F">
            <w:pPr>
              <w:jc w:val="center"/>
              <w:rPr>
                <w:rFonts w:ascii="Times New Roman"/>
                <w:bCs/>
                <w:color w:val="000000" w:themeColor="text1"/>
                <w:sz w:val="21"/>
                <w:szCs w:val="21"/>
              </w:rPr>
            </w:pPr>
          </w:p>
        </w:tc>
        <w:tc>
          <w:tcPr>
            <w:tcW w:w="1402" w:type="pct"/>
            <w:vAlign w:val="center"/>
          </w:tcPr>
          <w:p w14:paraId="54C70094"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LNG</w:t>
            </w:r>
            <w:r w:rsidRPr="008A2411">
              <w:rPr>
                <w:rFonts w:ascii="Times New Roman"/>
                <w:bCs/>
                <w:color w:val="000000" w:themeColor="text1"/>
                <w:sz w:val="21"/>
                <w:szCs w:val="21"/>
              </w:rPr>
              <w:t>储罐</w:t>
            </w:r>
          </w:p>
        </w:tc>
        <w:tc>
          <w:tcPr>
            <w:tcW w:w="1478" w:type="pct"/>
            <w:vMerge/>
            <w:vAlign w:val="center"/>
          </w:tcPr>
          <w:p w14:paraId="716E1B75" w14:textId="77777777" w:rsidR="00B0005F" w:rsidRPr="008A2411" w:rsidRDefault="00B0005F">
            <w:pPr>
              <w:pStyle w:val="afffffffffffff1"/>
              <w:rPr>
                <w:rFonts w:ascii="Times New Roman" w:hAnsi="Times New Roman" w:cs="Times New Roman"/>
                <w:color w:val="000000" w:themeColor="text1"/>
              </w:rPr>
            </w:pPr>
          </w:p>
        </w:tc>
        <w:tc>
          <w:tcPr>
            <w:tcW w:w="1403" w:type="pct"/>
            <w:vMerge/>
            <w:vAlign w:val="center"/>
          </w:tcPr>
          <w:p w14:paraId="282054B6" w14:textId="77777777" w:rsidR="00B0005F" w:rsidRPr="008A2411" w:rsidRDefault="00B0005F">
            <w:pPr>
              <w:pStyle w:val="afffffffffffff1"/>
              <w:rPr>
                <w:rFonts w:ascii="Times New Roman" w:hAnsi="Times New Roman" w:cs="Times New Roman"/>
                <w:color w:val="000000" w:themeColor="text1"/>
              </w:rPr>
            </w:pPr>
          </w:p>
        </w:tc>
      </w:tr>
      <w:tr w:rsidR="008A2411" w:rsidRPr="008A2411" w14:paraId="2D4EEFF2" w14:textId="77777777">
        <w:trPr>
          <w:cantSplit/>
          <w:trHeight w:val="340"/>
          <w:jc w:val="center"/>
        </w:trPr>
        <w:tc>
          <w:tcPr>
            <w:tcW w:w="715" w:type="pct"/>
            <w:vMerge/>
            <w:vAlign w:val="center"/>
          </w:tcPr>
          <w:p w14:paraId="76075F3A" w14:textId="77777777" w:rsidR="00B0005F" w:rsidRPr="008A2411" w:rsidRDefault="00B0005F">
            <w:pPr>
              <w:jc w:val="center"/>
              <w:rPr>
                <w:rFonts w:ascii="Times New Roman"/>
                <w:bCs/>
                <w:color w:val="000000" w:themeColor="text1"/>
                <w:sz w:val="21"/>
                <w:szCs w:val="21"/>
              </w:rPr>
            </w:pPr>
          </w:p>
        </w:tc>
        <w:tc>
          <w:tcPr>
            <w:tcW w:w="1402" w:type="pct"/>
            <w:vAlign w:val="center"/>
          </w:tcPr>
          <w:p w14:paraId="13DD3C11"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焊缝</w:t>
            </w:r>
          </w:p>
        </w:tc>
        <w:tc>
          <w:tcPr>
            <w:tcW w:w="1478" w:type="pct"/>
            <w:vMerge/>
            <w:vAlign w:val="center"/>
          </w:tcPr>
          <w:p w14:paraId="295625BA" w14:textId="77777777" w:rsidR="00B0005F" w:rsidRPr="008A2411" w:rsidRDefault="00B0005F">
            <w:pPr>
              <w:pStyle w:val="afffffffffffff1"/>
              <w:rPr>
                <w:rFonts w:ascii="Times New Roman" w:hAnsi="Times New Roman" w:cs="Times New Roman"/>
                <w:color w:val="000000" w:themeColor="text1"/>
              </w:rPr>
            </w:pPr>
          </w:p>
        </w:tc>
        <w:tc>
          <w:tcPr>
            <w:tcW w:w="1403" w:type="pct"/>
            <w:vMerge/>
            <w:vAlign w:val="center"/>
          </w:tcPr>
          <w:p w14:paraId="68F22A55" w14:textId="77777777" w:rsidR="00B0005F" w:rsidRPr="008A2411" w:rsidRDefault="00B0005F">
            <w:pPr>
              <w:pStyle w:val="afffffffffffff1"/>
              <w:rPr>
                <w:rFonts w:ascii="Times New Roman" w:hAnsi="Times New Roman" w:cs="Times New Roman"/>
                <w:color w:val="000000" w:themeColor="text1"/>
              </w:rPr>
            </w:pPr>
          </w:p>
        </w:tc>
      </w:tr>
      <w:tr w:rsidR="008A2411" w:rsidRPr="008A2411" w14:paraId="676C7C16" w14:textId="77777777">
        <w:trPr>
          <w:cantSplit/>
          <w:trHeight w:val="340"/>
          <w:jc w:val="center"/>
        </w:trPr>
        <w:tc>
          <w:tcPr>
            <w:tcW w:w="715" w:type="pct"/>
            <w:vMerge/>
            <w:vAlign w:val="center"/>
          </w:tcPr>
          <w:p w14:paraId="4857F46D" w14:textId="77777777" w:rsidR="00B0005F" w:rsidRPr="008A2411" w:rsidRDefault="00B0005F">
            <w:pPr>
              <w:jc w:val="center"/>
              <w:rPr>
                <w:rFonts w:ascii="Times New Roman"/>
                <w:bCs/>
                <w:color w:val="000000" w:themeColor="text1"/>
                <w:sz w:val="21"/>
                <w:szCs w:val="21"/>
              </w:rPr>
            </w:pPr>
          </w:p>
        </w:tc>
        <w:tc>
          <w:tcPr>
            <w:tcW w:w="1402" w:type="pct"/>
            <w:vAlign w:val="center"/>
          </w:tcPr>
          <w:p w14:paraId="7148C77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接头、垫圈</w:t>
            </w:r>
          </w:p>
        </w:tc>
        <w:tc>
          <w:tcPr>
            <w:tcW w:w="1478" w:type="pct"/>
            <w:vMerge/>
            <w:vAlign w:val="center"/>
          </w:tcPr>
          <w:p w14:paraId="1018560E" w14:textId="77777777" w:rsidR="00B0005F" w:rsidRPr="008A2411" w:rsidRDefault="00B0005F">
            <w:pPr>
              <w:pStyle w:val="afffffffffffff1"/>
              <w:rPr>
                <w:rFonts w:ascii="Times New Roman" w:hAnsi="Times New Roman" w:cs="Times New Roman"/>
                <w:color w:val="000000" w:themeColor="text1"/>
              </w:rPr>
            </w:pPr>
          </w:p>
        </w:tc>
        <w:tc>
          <w:tcPr>
            <w:tcW w:w="1403" w:type="pct"/>
            <w:vMerge/>
            <w:vAlign w:val="center"/>
          </w:tcPr>
          <w:p w14:paraId="10AA1175" w14:textId="77777777" w:rsidR="00B0005F" w:rsidRPr="008A2411" w:rsidRDefault="00B0005F">
            <w:pPr>
              <w:pStyle w:val="afffffffffffff1"/>
              <w:rPr>
                <w:rFonts w:ascii="Times New Roman" w:hAnsi="Times New Roman" w:cs="Times New Roman"/>
                <w:color w:val="000000" w:themeColor="text1"/>
              </w:rPr>
            </w:pPr>
          </w:p>
        </w:tc>
      </w:tr>
      <w:tr w:rsidR="008A2411" w:rsidRPr="008A2411" w14:paraId="6D481E84" w14:textId="77777777">
        <w:trPr>
          <w:cantSplit/>
          <w:trHeight w:val="340"/>
          <w:jc w:val="center"/>
        </w:trPr>
        <w:tc>
          <w:tcPr>
            <w:tcW w:w="715" w:type="pct"/>
            <w:vMerge/>
            <w:vAlign w:val="center"/>
          </w:tcPr>
          <w:p w14:paraId="47E135E1" w14:textId="77777777" w:rsidR="00B0005F" w:rsidRPr="008A2411" w:rsidRDefault="00B0005F">
            <w:pPr>
              <w:jc w:val="center"/>
              <w:rPr>
                <w:rFonts w:ascii="Times New Roman"/>
                <w:bCs/>
                <w:color w:val="000000" w:themeColor="text1"/>
                <w:sz w:val="21"/>
                <w:szCs w:val="21"/>
              </w:rPr>
            </w:pPr>
          </w:p>
        </w:tc>
        <w:tc>
          <w:tcPr>
            <w:tcW w:w="1402" w:type="pct"/>
            <w:vAlign w:val="center"/>
          </w:tcPr>
          <w:p w14:paraId="25DCC31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仪表、阀门</w:t>
            </w:r>
          </w:p>
        </w:tc>
        <w:tc>
          <w:tcPr>
            <w:tcW w:w="1478" w:type="pct"/>
            <w:vMerge/>
            <w:vAlign w:val="center"/>
          </w:tcPr>
          <w:p w14:paraId="21344436" w14:textId="77777777" w:rsidR="00B0005F" w:rsidRPr="008A2411" w:rsidRDefault="00B0005F">
            <w:pPr>
              <w:pStyle w:val="afffffffffffff1"/>
              <w:rPr>
                <w:rFonts w:ascii="Times New Roman" w:hAnsi="Times New Roman" w:cs="Times New Roman"/>
                <w:color w:val="000000" w:themeColor="text1"/>
              </w:rPr>
            </w:pPr>
          </w:p>
        </w:tc>
        <w:tc>
          <w:tcPr>
            <w:tcW w:w="1403" w:type="pct"/>
            <w:vMerge/>
            <w:vAlign w:val="center"/>
          </w:tcPr>
          <w:p w14:paraId="6D2987B5" w14:textId="77777777" w:rsidR="00B0005F" w:rsidRPr="008A2411" w:rsidRDefault="00B0005F">
            <w:pPr>
              <w:pStyle w:val="afffffffffffff1"/>
              <w:rPr>
                <w:rFonts w:ascii="Times New Roman" w:hAnsi="Times New Roman" w:cs="Times New Roman"/>
                <w:color w:val="000000" w:themeColor="text1"/>
              </w:rPr>
            </w:pPr>
          </w:p>
        </w:tc>
      </w:tr>
    </w:tbl>
    <w:p w14:paraId="02C7A039"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综上分析，本次环</w:t>
      </w:r>
      <w:proofErr w:type="gramStart"/>
      <w:r w:rsidRPr="008A2411">
        <w:rPr>
          <w:rFonts w:ascii="Times New Roman"/>
          <w:bCs/>
          <w:color w:val="000000" w:themeColor="text1"/>
        </w:rPr>
        <w:t>评主要</w:t>
      </w:r>
      <w:proofErr w:type="gramEnd"/>
      <w:r w:rsidRPr="008A2411">
        <w:rPr>
          <w:rFonts w:ascii="Times New Roman"/>
          <w:bCs/>
          <w:color w:val="000000" w:themeColor="text1"/>
        </w:rPr>
        <w:t>预测泄漏事故甲烷窒息的环境风险影响和火灾事故产生的一氧化碳的影响，给出其影响范围。泄漏事故树见下图。</w:t>
      </w:r>
    </w:p>
    <w:p w14:paraId="3F5A5E55" w14:textId="77777777" w:rsidR="00B0005F" w:rsidRPr="008A2411" w:rsidRDefault="00000000">
      <w:pPr>
        <w:spacing w:line="360" w:lineRule="auto"/>
        <w:jc w:val="center"/>
        <w:rPr>
          <w:rFonts w:ascii="Times New Roman"/>
          <w:bCs/>
          <w:color w:val="000000" w:themeColor="text1"/>
        </w:rPr>
      </w:pPr>
      <w:r w:rsidRPr="008A2411">
        <w:rPr>
          <w:rFonts w:ascii="Times New Roman"/>
          <w:noProof/>
          <w:color w:val="000000" w:themeColor="text1"/>
        </w:rPr>
        <w:lastRenderedPageBreak/>
        <w:drawing>
          <wp:inline distT="0" distB="0" distL="0" distR="0" wp14:anchorId="29B26BF7" wp14:editId="3CE4A8F0">
            <wp:extent cx="4448810" cy="4837430"/>
            <wp:effectExtent l="0" t="0" r="1270" b="8890"/>
            <wp:docPr id="1031" name="图片 28"/>
            <wp:cNvGraphicFramePr/>
            <a:graphic xmlns:a="http://schemas.openxmlformats.org/drawingml/2006/main">
              <a:graphicData uri="http://schemas.openxmlformats.org/drawingml/2006/picture">
                <pic:pic xmlns:pic="http://schemas.openxmlformats.org/drawingml/2006/picture">
                  <pic:nvPicPr>
                    <pic:cNvPr id="1031" name="图片 28"/>
                    <pic:cNvPicPr/>
                  </pic:nvPicPr>
                  <pic:blipFill>
                    <a:blip r:embed="rId98" cstate="print">
                      <a:extLst>
                        <a:ext uri="{28A0092B-C50C-407E-A947-70E740481C1C}">
                          <a14:useLocalDpi xmlns:a14="http://schemas.microsoft.com/office/drawing/2010/main" val="0"/>
                        </a:ext>
                      </a:extLst>
                    </a:blip>
                    <a:srcRect/>
                    <a:stretch>
                      <a:fillRect/>
                    </a:stretch>
                  </pic:blipFill>
                  <pic:spPr>
                    <a:xfrm>
                      <a:off x="0" y="0"/>
                      <a:ext cx="4448810" cy="4837430"/>
                    </a:xfrm>
                    <a:prstGeom prst="rect">
                      <a:avLst/>
                    </a:prstGeom>
                    <a:ln>
                      <a:noFill/>
                    </a:ln>
                  </pic:spPr>
                </pic:pic>
              </a:graphicData>
            </a:graphic>
          </wp:inline>
        </w:drawing>
      </w:r>
    </w:p>
    <w:p w14:paraId="08E1C27E" w14:textId="77777777" w:rsidR="00B0005F" w:rsidRPr="008A2411" w:rsidRDefault="00000000">
      <w:pPr>
        <w:pStyle w:val="afffffff9"/>
        <w:spacing w:line="240" w:lineRule="auto"/>
        <w:ind w:firstLineChars="0" w:firstLine="0"/>
        <w:jc w:val="center"/>
        <w:rPr>
          <w:rFonts w:ascii="Times New Roman" w:eastAsia="黑体" w:hAnsi="Times New Roman"/>
          <w:bCs/>
          <w:color w:val="000000" w:themeColor="text1"/>
        </w:rPr>
      </w:pPr>
      <w:r w:rsidRPr="008A2411">
        <w:rPr>
          <w:rFonts w:ascii="Times New Roman" w:eastAsia="黑体" w:hAnsi="Times New Roman"/>
          <w:bCs/>
          <w:color w:val="000000" w:themeColor="text1"/>
        </w:rPr>
        <w:t>图</w:t>
      </w:r>
      <w:r w:rsidRPr="008A2411">
        <w:rPr>
          <w:rFonts w:ascii="Times New Roman" w:eastAsia="黑体" w:hAnsi="Times New Roman"/>
          <w:bCs/>
          <w:color w:val="000000" w:themeColor="text1"/>
        </w:rPr>
        <w:t xml:space="preserve">6.5-1  </w:t>
      </w:r>
      <w:r w:rsidRPr="008A2411">
        <w:rPr>
          <w:rFonts w:ascii="Times New Roman" w:eastAsia="黑体" w:hAnsi="Times New Roman"/>
          <w:bCs/>
          <w:color w:val="000000" w:themeColor="text1"/>
        </w:rPr>
        <w:t>天然气泄漏事故树</w:t>
      </w:r>
    </w:p>
    <w:p w14:paraId="57EF1D8F"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4</w:t>
      </w:r>
      <w:r w:rsidRPr="008A2411">
        <w:rPr>
          <w:rFonts w:ascii="Times New Roman"/>
          <w:bCs/>
          <w:color w:val="000000" w:themeColor="text1"/>
        </w:rPr>
        <w:t>）事故放空</w:t>
      </w:r>
    </w:p>
    <w:p w14:paraId="0B4DE339"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发生管道事故时，上游管道截断阀关断，需时</w:t>
      </w:r>
      <w:r w:rsidRPr="008A2411">
        <w:rPr>
          <w:rFonts w:ascii="Times New Roman"/>
          <w:bCs/>
          <w:color w:val="000000" w:themeColor="text1"/>
        </w:rPr>
        <w:t>30s</w:t>
      </w:r>
      <w:r w:rsidRPr="008A2411">
        <w:rPr>
          <w:rFonts w:ascii="Times New Roman"/>
          <w:bCs/>
          <w:color w:val="000000" w:themeColor="text1"/>
        </w:rPr>
        <w:t>左右，关断后上游管段内残余气体引至最近的集气站放空，放空量仅为</w:t>
      </w:r>
      <w:r w:rsidRPr="008A2411">
        <w:rPr>
          <w:rFonts w:ascii="Times New Roman"/>
          <w:bCs/>
          <w:color w:val="000000" w:themeColor="text1"/>
        </w:rPr>
        <w:t>30s</w:t>
      </w:r>
      <w:r w:rsidRPr="008A2411">
        <w:rPr>
          <w:rFonts w:ascii="Times New Roman"/>
          <w:bCs/>
          <w:color w:val="000000" w:themeColor="text1"/>
        </w:rPr>
        <w:t>流量和在线量，相对较少。</w:t>
      </w:r>
    </w:p>
    <w:p w14:paraId="4612C73E"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当站场出现系统波动或大面积停电时，可能对原料气进行点火放空。根据本项目可</w:t>
      </w:r>
      <w:proofErr w:type="gramStart"/>
      <w:r w:rsidRPr="008A2411">
        <w:rPr>
          <w:rFonts w:ascii="Times New Roman"/>
          <w:bCs/>
          <w:color w:val="000000" w:themeColor="text1"/>
        </w:rPr>
        <w:t>研</w:t>
      </w:r>
      <w:proofErr w:type="gramEnd"/>
      <w:r w:rsidRPr="008A2411">
        <w:rPr>
          <w:rFonts w:ascii="Times New Roman"/>
          <w:bCs/>
          <w:color w:val="000000" w:themeColor="text1"/>
        </w:rPr>
        <w:t>，本项目在站场设置一套高压放空火炬系统。</w:t>
      </w:r>
    </w:p>
    <w:p w14:paraId="59725E94"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5</w:t>
      </w:r>
      <w:r w:rsidRPr="008A2411">
        <w:rPr>
          <w:rFonts w:ascii="Times New Roman"/>
          <w:bCs/>
          <w:color w:val="000000" w:themeColor="text1"/>
        </w:rPr>
        <w:t>）辅助生产设施及公用工程</w:t>
      </w:r>
    </w:p>
    <w:p w14:paraId="13A3316E"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辅助生产设施和公用工程中的危险有害因素情况见下表。</w:t>
      </w:r>
    </w:p>
    <w:p w14:paraId="76ABFE62" w14:textId="77777777" w:rsidR="00B0005F" w:rsidRPr="008A2411" w:rsidRDefault="00000000">
      <w:pPr>
        <w:pStyle w:val="afffffff9"/>
        <w:spacing w:line="240" w:lineRule="auto"/>
        <w:ind w:firstLineChars="0" w:firstLine="0"/>
        <w:jc w:val="center"/>
        <w:rPr>
          <w:rFonts w:ascii="Times New Roman" w:eastAsia="黑体" w:hAnsi="Times New Roman"/>
          <w:bCs/>
          <w:color w:val="000000" w:themeColor="text1"/>
        </w:rPr>
      </w:pPr>
      <w:r w:rsidRPr="008A2411">
        <w:rPr>
          <w:rFonts w:ascii="Times New Roman" w:eastAsia="黑体" w:hAnsi="Times New Roman"/>
          <w:bCs/>
          <w:color w:val="000000" w:themeColor="text1"/>
        </w:rPr>
        <w:t>表</w:t>
      </w:r>
      <w:r w:rsidRPr="008A2411">
        <w:rPr>
          <w:rFonts w:ascii="Times New Roman" w:eastAsia="黑体" w:hAnsi="Times New Roman"/>
          <w:bCs/>
          <w:color w:val="000000" w:themeColor="text1"/>
        </w:rPr>
        <w:t xml:space="preserve">6.5-8  </w:t>
      </w:r>
      <w:r w:rsidRPr="008A2411">
        <w:rPr>
          <w:rFonts w:ascii="Times New Roman" w:eastAsia="黑体" w:hAnsi="Times New Roman"/>
          <w:bCs/>
          <w:color w:val="000000" w:themeColor="text1"/>
        </w:rPr>
        <w:t>辅助生产设施和公用工程中的危险有害因素</w:t>
      </w:r>
    </w:p>
    <w:tbl>
      <w:tblPr>
        <w:tblW w:w="502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01"/>
        <w:gridCol w:w="6557"/>
      </w:tblGrid>
      <w:tr w:rsidR="008A2411" w:rsidRPr="008A2411" w14:paraId="2AD0CF10" w14:textId="77777777">
        <w:trPr>
          <w:cantSplit/>
          <w:trHeight w:val="134"/>
          <w:jc w:val="center"/>
        </w:trPr>
        <w:tc>
          <w:tcPr>
            <w:tcW w:w="1169" w:type="pct"/>
            <w:vAlign w:val="center"/>
          </w:tcPr>
          <w:p w14:paraId="3F4AE2F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公用工程辅助设施</w:t>
            </w:r>
          </w:p>
        </w:tc>
        <w:tc>
          <w:tcPr>
            <w:tcW w:w="3830" w:type="pct"/>
            <w:vAlign w:val="center"/>
          </w:tcPr>
          <w:p w14:paraId="36F331F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主要危险、有害因素</w:t>
            </w:r>
          </w:p>
        </w:tc>
      </w:tr>
      <w:tr w:rsidR="008A2411" w:rsidRPr="008A2411" w14:paraId="66053332" w14:textId="77777777">
        <w:trPr>
          <w:cantSplit/>
          <w:trHeight w:val="134"/>
          <w:jc w:val="center"/>
        </w:trPr>
        <w:tc>
          <w:tcPr>
            <w:tcW w:w="1169" w:type="pct"/>
            <w:vMerge w:val="restart"/>
            <w:vAlign w:val="center"/>
          </w:tcPr>
          <w:p w14:paraId="27A455BB"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火炬及放空系统</w:t>
            </w:r>
          </w:p>
        </w:tc>
        <w:tc>
          <w:tcPr>
            <w:tcW w:w="3830" w:type="pct"/>
            <w:vAlign w:val="center"/>
          </w:tcPr>
          <w:p w14:paraId="6679B442"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w:t>
            </w:r>
            <w:r w:rsidRPr="008A2411">
              <w:rPr>
                <w:rFonts w:ascii="Times New Roman"/>
                <w:bCs/>
                <w:color w:val="000000" w:themeColor="text1"/>
                <w:sz w:val="21"/>
                <w:szCs w:val="21"/>
              </w:rPr>
              <w:t>、放空的管线水击事故。</w:t>
            </w:r>
          </w:p>
        </w:tc>
      </w:tr>
      <w:tr w:rsidR="008A2411" w:rsidRPr="008A2411" w14:paraId="7F1DDBCC" w14:textId="77777777">
        <w:trPr>
          <w:cantSplit/>
          <w:trHeight w:val="134"/>
          <w:jc w:val="center"/>
        </w:trPr>
        <w:tc>
          <w:tcPr>
            <w:tcW w:w="1169" w:type="pct"/>
            <w:vMerge/>
            <w:vAlign w:val="center"/>
          </w:tcPr>
          <w:p w14:paraId="708A0297" w14:textId="77777777" w:rsidR="00B0005F" w:rsidRPr="008A2411" w:rsidRDefault="00B0005F">
            <w:pPr>
              <w:jc w:val="center"/>
              <w:rPr>
                <w:rFonts w:ascii="Times New Roman"/>
                <w:bCs/>
                <w:color w:val="000000" w:themeColor="text1"/>
                <w:sz w:val="21"/>
                <w:szCs w:val="21"/>
              </w:rPr>
            </w:pPr>
          </w:p>
        </w:tc>
        <w:tc>
          <w:tcPr>
            <w:tcW w:w="3830" w:type="pct"/>
            <w:vAlign w:val="center"/>
          </w:tcPr>
          <w:p w14:paraId="79925D9A"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2</w:t>
            </w:r>
            <w:r w:rsidRPr="008A2411">
              <w:rPr>
                <w:rFonts w:ascii="Times New Roman"/>
                <w:bCs/>
                <w:color w:val="000000" w:themeColor="text1"/>
                <w:sz w:val="21"/>
                <w:szCs w:val="21"/>
              </w:rPr>
              <w:t>、放空火炬热辐射危害、噪声危害。</w:t>
            </w:r>
          </w:p>
        </w:tc>
      </w:tr>
      <w:tr w:rsidR="008A2411" w:rsidRPr="008A2411" w14:paraId="67C5E374" w14:textId="77777777">
        <w:trPr>
          <w:cantSplit/>
          <w:trHeight w:val="134"/>
          <w:jc w:val="center"/>
        </w:trPr>
        <w:tc>
          <w:tcPr>
            <w:tcW w:w="1169" w:type="pct"/>
            <w:vMerge/>
            <w:vAlign w:val="center"/>
          </w:tcPr>
          <w:p w14:paraId="37860EE1" w14:textId="77777777" w:rsidR="00B0005F" w:rsidRPr="008A2411" w:rsidRDefault="00B0005F">
            <w:pPr>
              <w:jc w:val="center"/>
              <w:rPr>
                <w:rFonts w:ascii="Times New Roman"/>
                <w:bCs/>
                <w:color w:val="000000" w:themeColor="text1"/>
                <w:sz w:val="21"/>
                <w:szCs w:val="21"/>
              </w:rPr>
            </w:pPr>
          </w:p>
        </w:tc>
        <w:tc>
          <w:tcPr>
            <w:tcW w:w="3830" w:type="pct"/>
            <w:vAlign w:val="center"/>
          </w:tcPr>
          <w:p w14:paraId="2CF5ABA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3</w:t>
            </w:r>
            <w:r w:rsidRPr="008A2411">
              <w:rPr>
                <w:rFonts w:ascii="Times New Roman"/>
                <w:bCs/>
                <w:color w:val="000000" w:themeColor="text1"/>
                <w:sz w:val="21"/>
                <w:szCs w:val="21"/>
              </w:rPr>
              <w:t>、放空火炬未点燃造成的人员中毒等潜在危害。</w:t>
            </w:r>
          </w:p>
        </w:tc>
      </w:tr>
      <w:tr w:rsidR="008A2411" w:rsidRPr="008A2411" w14:paraId="2DBC1874" w14:textId="77777777">
        <w:trPr>
          <w:cantSplit/>
          <w:trHeight w:val="134"/>
          <w:jc w:val="center"/>
        </w:trPr>
        <w:tc>
          <w:tcPr>
            <w:tcW w:w="1169" w:type="pct"/>
            <w:vMerge w:val="restart"/>
            <w:vAlign w:val="center"/>
          </w:tcPr>
          <w:p w14:paraId="2DB3BA2D"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供电系统</w:t>
            </w:r>
          </w:p>
        </w:tc>
        <w:tc>
          <w:tcPr>
            <w:tcW w:w="3830" w:type="pct"/>
            <w:vAlign w:val="center"/>
          </w:tcPr>
          <w:p w14:paraId="62FA0C7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w:t>
            </w:r>
            <w:r w:rsidRPr="008A2411">
              <w:rPr>
                <w:rFonts w:ascii="Times New Roman"/>
                <w:bCs/>
                <w:color w:val="000000" w:themeColor="text1"/>
                <w:sz w:val="21"/>
                <w:szCs w:val="21"/>
              </w:rPr>
              <w:t>、电源</w:t>
            </w:r>
            <w:proofErr w:type="gramStart"/>
            <w:r w:rsidRPr="008A2411">
              <w:rPr>
                <w:rFonts w:ascii="Times New Roman"/>
                <w:bCs/>
                <w:color w:val="000000" w:themeColor="text1"/>
                <w:sz w:val="21"/>
                <w:szCs w:val="21"/>
              </w:rPr>
              <w:t>进线柜遭雷击</w:t>
            </w:r>
            <w:proofErr w:type="gramEnd"/>
            <w:r w:rsidRPr="008A2411">
              <w:rPr>
                <w:rFonts w:ascii="Times New Roman"/>
                <w:bCs/>
                <w:color w:val="000000" w:themeColor="text1"/>
                <w:sz w:val="21"/>
                <w:szCs w:val="21"/>
              </w:rPr>
              <w:t>。</w:t>
            </w:r>
          </w:p>
        </w:tc>
      </w:tr>
      <w:tr w:rsidR="008A2411" w:rsidRPr="008A2411" w14:paraId="2C1C1265" w14:textId="77777777">
        <w:trPr>
          <w:cantSplit/>
          <w:trHeight w:val="134"/>
          <w:jc w:val="center"/>
        </w:trPr>
        <w:tc>
          <w:tcPr>
            <w:tcW w:w="1169" w:type="pct"/>
            <w:vMerge/>
            <w:vAlign w:val="center"/>
          </w:tcPr>
          <w:p w14:paraId="2402E5F8" w14:textId="77777777" w:rsidR="00B0005F" w:rsidRPr="008A2411" w:rsidRDefault="00B0005F">
            <w:pPr>
              <w:jc w:val="center"/>
              <w:rPr>
                <w:rFonts w:ascii="Times New Roman"/>
                <w:bCs/>
                <w:color w:val="000000" w:themeColor="text1"/>
                <w:sz w:val="21"/>
                <w:szCs w:val="21"/>
              </w:rPr>
            </w:pPr>
          </w:p>
        </w:tc>
        <w:tc>
          <w:tcPr>
            <w:tcW w:w="3830" w:type="pct"/>
            <w:vAlign w:val="center"/>
          </w:tcPr>
          <w:p w14:paraId="1E3D2E0B"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2</w:t>
            </w:r>
            <w:r w:rsidRPr="008A2411">
              <w:rPr>
                <w:rFonts w:ascii="Times New Roman"/>
                <w:bCs/>
                <w:color w:val="000000" w:themeColor="text1"/>
                <w:sz w:val="21"/>
                <w:szCs w:val="21"/>
              </w:rPr>
              <w:t>、站用变压器跌落保险打火放电。</w:t>
            </w:r>
          </w:p>
        </w:tc>
      </w:tr>
      <w:tr w:rsidR="008A2411" w:rsidRPr="008A2411" w14:paraId="0C2B48E0" w14:textId="77777777">
        <w:trPr>
          <w:cantSplit/>
          <w:trHeight w:val="137"/>
          <w:jc w:val="center"/>
        </w:trPr>
        <w:tc>
          <w:tcPr>
            <w:tcW w:w="1169" w:type="pct"/>
            <w:vMerge/>
            <w:vAlign w:val="center"/>
          </w:tcPr>
          <w:p w14:paraId="4BFA8196" w14:textId="77777777" w:rsidR="00B0005F" w:rsidRPr="008A2411" w:rsidRDefault="00B0005F">
            <w:pPr>
              <w:jc w:val="center"/>
              <w:rPr>
                <w:rFonts w:ascii="Times New Roman"/>
                <w:bCs/>
                <w:color w:val="000000" w:themeColor="text1"/>
                <w:sz w:val="21"/>
                <w:szCs w:val="21"/>
              </w:rPr>
            </w:pPr>
          </w:p>
        </w:tc>
        <w:tc>
          <w:tcPr>
            <w:tcW w:w="3830" w:type="pct"/>
            <w:vAlign w:val="center"/>
          </w:tcPr>
          <w:p w14:paraId="644A299D"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3</w:t>
            </w:r>
            <w:r w:rsidRPr="008A2411">
              <w:rPr>
                <w:rFonts w:ascii="Times New Roman"/>
                <w:bCs/>
                <w:color w:val="000000" w:themeColor="text1"/>
                <w:sz w:val="21"/>
                <w:szCs w:val="21"/>
              </w:rPr>
              <w:t>、</w:t>
            </w:r>
            <w:r w:rsidRPr="008A2411">
              <w:rPr>
                <w:rFonts w:ascii="Times New Roman"/>
                <w:bCs/>
                <w:color w:val="000000" w:themeColor="text1"/>
                <w:sz w:val="21"/>
                <w:szCs w:val="21"/>
              </w:rPr>
              <w:t>10KV</w:t>
            </w:r>
            <w:r w:rsidRPr="008A2411">
              <w:rPr>
                <w:rFonts w:ascii="Times New Roman"/>
                <w:bCs/>
                <w:color w:val="000000" w:themeColor="text1"/>
                <w:sz w:val="21"/>
                <w:szCs w:val="21"/>
              </w:rPr>
              <w:t>开闭所瞬间失电。</w:t>
            </w:r>
          </w:p>
        </w:tc>
      </w:tr>
    </w:tbl>
    <w:p w14:paraId="73976EDF"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lastRenderedPageBreak/>
        <w:t>（</w:t>
      </w:r>
      <w:r w:rsidRPr="008A2411">
        <w:rPr>
          <w:rFonts w:ascii="Times New Roman"/>
          <w:bCs/>
          <w:color w:val="000000" w:themeColor="text1"/>
        </w:rPr>
        <w:t>6</w:t>
      </w:r>
      <w:r w:rsidRPr="008A2411">
        <w:rPr>
          <w:rFonts w:ascii="Times New Roman"/>
          <w:bCs/>
          <w:color w:val="000000" w:themeColor="text1"/>
        </w:rPr>
        <w:t>）开、停工和检修期的危险、有害因素</w:t>
      </w:r>
    </w:p>
    <w:p w14:paraId="13855561"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据调查和咨询，站场事故往往发生在开、停工和检修期间，特别是有限空间作业时的中毒事故。</w:t>
      </w:r>
    </w:p>
    <w:p w14:paraId="7D292128"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开工时由于设备制造缺陷或现场焊接施工缺陷，出现阀门、法兰、焊缝等部位泄漏或破裂，导致天然气泄漏释放，引起人员窒息或燃烧爆炸事故。由于装置内存留</w:t>
      </w:r>
      <w:proofErr w:type="gramStart"/>
      <w:r w:rsidRPr="008A2411">
        <w:rPr>
          <w:rFonts w:ascii="Times New Roman"/>
          <w:bCs/>
          <w:color w:val="000000" w:themeColor="text1"/>
        </w:rPr>
        <w:t>的垢物和</w:t>
      </w:r>
      <w:proofErr w:type="gramEnd"/>
      <w:r w:rsidRPr="008A2411">
        <w:rPr>
          <w:rFonts w:ascii="Times New Roman"/>
          <w:bCs/>
          <w:color w:val="000000" w:themeColor="text1"/>
        </w:rPr>
        <w:t>腐蚀产物中会含有甲烷气体，如果装置停产检修前吹扫、置换不彻底，或检修部位与有毒介质隔离不好，均可能造成检修人员在有限空间内中毒或窒息。</w:t>
      </w:r>
    </w:p>
    <w:p w14:paraId="2DEA0134" w14:textId="77777777" w:rsidR="00B0005F" w:rsidRPr="008A2411" w:rsidRDefault="00000000">
      <w:pPr>
        <w:pStyle w:val="affffffffffffffffffff6"/>
        <w:snapToGrid/>
        <w:outlineLvl w:val="2"/>
        <w:rPr>
          <w:rFonts w:ascii="Times New Roman"/>
          <w:b/>
          <w:color w:val="000000" w:themeColor="text1"/>
          <w:sz w:val="24"/>
          <w:szCs w:val="24"/>
          <w:lang w:bidi="en-US"/>
        </w:rPr>
      </w:pPr>
      <w:r w:rsidRPr="008A2411">
        <w:rPr>
          <w:rFonts w:ascii="Times New Roman"/>
          <w:b/>
          <w:color w:val="000000" w:themeColor="text1"/>
          <w:sz w:val="24"/>
          <w:szCs w:val="24"/>
          <w:lang w:bidi="en-US"/>
        </w:rPr>
        <w:t>6.5.4</w:t>
      </w:r>
      <w:r w:rsidRPr="008A2411">
        <w:rPr>
          <w:rFonts w:ascii="Times New Roman"/>
          <w:b/>
          <w:color w:val="000000" w:themeColor="text1"/>
          <w:sz w:val="24"/>
          <w:szCs w:val="24"/>
          <w:lang w:bidi="en-US"/>
        </w:rPr>
        <w:t>环境风险识别结果</w:t>
      </w:r>
    </w:p>
    <w:p w14:paraId="053D0388"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根据对本项目物质危险性识别、生产系统危险性识别和危险物质向环境转移的途径识别结果，本项目环境风险识别结果见下表。</w:t>
      </w:r>
    </w:p>
    <w:p w14:paraId="10BD3181" w14:textId="77777777" w:rsidR="00B0005F" w:rsidRPr="008A2411" w:rsidRDefault="00000000">
      <w:pPr>
        <w:pStyle w:val="afffffff9"/>
        <w:spacing w:line="240" w:lineRule="auto"/>
        <w:ind w:firstLineChars="0" w:firstLine="0"/>
        <w:jc w:val="center"/>
        <w:rPr>
          <w:rFonts w:ascii="Times New Roman" w:eastAsia="黑体" w:hAnsi="Times New Roman"/>
          <w:bCs/>
          <w:color w:val="000000" w:themeColor="text1"/>
        </w:rPr>
      </w:pPr>
      <w:r w:rsidRPr="008A2411">
        <w:rPr>
          <w:rFonts w:ascii="Times New Roman" w:eastAsia="黑体" w:hAnsi="Times New Roman"/>
          <w:bCs/>
          <w:color w:val="000000" w:themeColor="text1"/>
        </w:rPr>
        <w:t>表</w:t>
      </w:r>
      <w:r w:rsidRPr="008A2411">
        <w:rPr>
          <w:rFonts w:ascii="Times New Roman" w:eastAsia="黑体" w:hAnsi="Times New Roman"/>
          <w:bCs/>
          <w:color w:val="000000" w:themeColor="text1"/>
        </w:rPr>
        <w:t xml:space="preserve">6.5-9  </w:t>
      </w:r>
      <w:r w:rsidRPr="008A2411">
        <w:rPr>
          <w:rFonts w:ascii="Times New Roman" w:eastAsia="黑体" w:hAnsi="Times New Roman"/>
          <w:bCs/>
          <w:color w:val="000000" w:themeColor="text1"/>
        </w:rPr>
        <w:t>项目环境风险识别结果一览表</w:t>
      </w:r>
    </w:p>
    <w:tbl>
      <w:tblPr>
        <w:tblW w:w="503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343"/>
        <w:gridCol w:w="789"/>
        <w:gridCol w:w="1507"/>
        <w:gridCol w:w="985"/>
        <w:gridCol w:w="1199"/>
        <w:gridCol w:w="1839"/>
        <w:gridCol w:w="1712"/>
      </w:tblGrid>
      <w:tr w:rsidR="008A2411" w:rsidRPr="008A2411" w14:paraId="4319CA49" w14:textId="77777777">
        <w:trPr>
          <w:trHeight w:val="340"/>
          <w:jc w:val="center"/>
        </w:trPr>
        <w:tc>
          <w:tcPr>
            <w:tcW w:w="205" w:type="pct"/>
            <w:vAlign w:val="center"/>
          </w:tcPr>
          <w:p w14:paraId="4520E513"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序号</w:t>
            </w:r>
          </w:p>
        </w:tc>
        <w:tc>
          <w:tcPr>
            <w:tcW w:w="471" w:type="pct"/>
            <w:vAlign w:val="center"/>
          </w:tcPr>
          <w:p w14:paraId="1A00E11F"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危险单元</w:t>
            </w:r>
          </w:p>
        </w:tc>
        <w:tc>
          <w:tcPr>
            <w:tcW w:w="899" w:type="pct"/>
            <w:vAlign w:val="center"/>
          </w:tcPr>
          <w:p w14:paraId="2EC92639"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风险源</w:t>
            </w:r>
          </w:p>
        </w:tc>
        <w:tc>
          <w:tcPr>
            <w:tcW w:w="588" w:type="pct"/>
            <w:vAlign w:val="center"/>
          </w:tcPr>
          <w:p w14:paraId="75CC28E1"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主要危险物质</w:t>
            </w:r>
          </w:p>
        </w:tc>
        <w:tc>
          <w:tcPr>
            <w:tcW w:w="716" w:type="pct"/>
            <w:vAlign w:val="center"/>
          </w:tcPr>
          <w:p w14:paraId="34492737"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环境风险事故类型</w:t>
            </w:r>
          </w:p>
        </w:tc>
        <w:tc>
          <w:tcPr>
            <w:tcW w:w="1097" w:type="pct"/>
            <w:vAlign w:val="center"/>
          </w:tcPr>
          <w:p w14:paraId="75723CF9"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环境影响途径</w:t>
            </w:r>
          </w:p>
        </w:tc>
        <w:tc>
          <w:tcPr>
            <w:tcW w:w="1021" w:type="pct"/>
            <w:vAlign w:val="center"/>
          </w:tcPr>
          <w:p w14:paraId="3A9A0E0D"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可能受影响的环境敏感目标</w:t>
            </w:r>
          </w:p>
        </w:tc>
      </w:tr>
      <w:tr w:rsidR="008A2411" w:rsidRPr="008A2411" w14:paraId="56FBCA6F" w14:textId="77777777">
        <w:trPr>
          <w:trHeight w:val="944"/>
          <w:jc w:val="center"/>
        </w:trPr>
        <w:tc>
          <w:tcPr>
            <w:tcW w:w="205" w:type="pct"/>
            <w:vAlign w:val="center"/>
          </w:tcPr>
          <w:p w14:paraId="4F7229E3"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1</w:t>
            </w:r>
          </w:p>
        </w:tc>
        <w:tc>
          <w:tcPr>
            <w:tcW w:w="471" w:type="pct"/>
            <w:vAlign w:val="center"/>
          </w:tcPr>
          <w:p w14:paraId="69BDBB5C"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生产装置</w:t>
            </w:r>
          </w:p>
        </w:tc>
        <w:tc>
          <w:tcPr>
            <w:tcW w:w="899" w:type="pct"/>
            <w:vAlign w:val="center"/>
          </w:tcPr>
          <w:p w14:paraId="2EC9A6B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天然气净化、液化生产区</w:t>
            </w:r>
            <w:r w:rsidRPr="008A2411">
              <w:rPr>
                <w:rFonts w:ascii="Times New Roman" w:hint="eastAsia"/>
                <w:bCs/>
                <w:color w:val="000000" w:themeColor="text1"/>
                <w:sz w:val="21"/>
                <w:szCs w:val="21"/>
              </w:rPr>
              <w:t>、液化天然气储存区</w:t>
            </w:r>
          </w:p>
        </w:tc>
        <w:tc>
          <w:tcPr>
            <w:tcW w:w="588" w:type="pct"/>
            <w:vAlign w:val="center"/>
          </w:tcPr>
          <w:p w14:paraId="090DA2B6"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天然气</w:t>
            </w:r>
          </w:p>
        </w:tc>
        <w:tc>
          <w:tcPr>
            <w:tcW w:w="716" w:type="pct"/>
            <w:vAlign w:val="center"/>
          </w:tcPr>
          <w:p w14:paraId="6B27C6A1"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泄漏、火灾、爆炸</w:t>
            </w:r>
          </w:p>
        </w:tc>
        <w:tc>
          <w:tcPr>
            <w:tcW w:w="1097" w:type="pct"/>
            <w:vAlign w:val="center"/>
          </w:tcPr>
          <w:p w14:paraId="6FFBF643"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大气、地表水、地下水、土壤</w:t>
            </w:r>
          </w:p>
        </w:tc>
        <w:tc>
          <w:tcPr>
            <w:tcW w:w="1021" w:type="pct"/>
            <w:vAlign w:val="center"/>
          </w:tcPr>
          <w:p w14:paraId="30235836"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周边居民、土壤、地表水地下水</w:t>
            </w:r>
          </w:p>
        </w:tc>
      </w:tr>
      <w:tr w:rsidR="008A2411" w:rsidRPr="008A2411" w14:paraId="1DE4AEB5" w14:textId="77777777">
        <w:trPr>
          <w:trHeight w:val="340"/>
          <w:jc w:val="center"/>
        </w:trPr>
        <w:tc>
          <w:tcPr>
            <w:tcW w:w="205" w:type="pct"/>
            <w:vAlign w:val="center"/>
          </w:tcPr>
          <w:p w14:paraId="1491F4B8"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2</w:t>
            </w:r>
          </w:p>
        </w:tc>
        <w:tc>
          <w:tcPr>
            <w:tcW w:w="471" w:type="pct"/>
            <w:vAlign w:val="center"/>
          </w:tcPr>
          <w:p w14:paraId="3E65FC01"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运输系统</w:t>
            </w:r>
          </w:p>
        </w:tc>
        <w:tc>
          <w:tcPr>
            <w:tcW w:w="899" w:type="pct"/>
            <w:vAlign w:val="center"/>
          </w:tcPr>
          <w:p w14:paraId="69817EF0"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厂区外运输车辆</w:t>
            </w:r>
          </w:p>
        </w:tc>
        <w:tc>
          <w:tcPr>
            <w:tcW w:w="588" w:type="pct"/>
            <w:vAlign w:val="center"/>
          </w:tcPr>
          <w:p w14:paraId="27EFAF74"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天然气、药剂</w:t>
            </w:r>
          </w:p>
        </w:tc>
        <w:tc>
          <w:tcPr>
            <w:tcW w:w="716" w:type="pct"/>
            <w:vAlign w:val="center"/>
          </w:tcPr>
          <w:p w14:paraId="312ACF0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泄漏、火灾、爆炸</w:t>
            </w:r>
          </w:p>
        </w:tc>
        <w:tc>
          <w:tcPr>
            <w:tcW w:w="1097" w:type="pct"/>
            <w:vAlign w:val="center"/>
          </w:tcPr>
          <w:p w14:paraId="525624BA"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大气、地表水、地下水、土壤</w:t>
            </w:r>
          </w:p>
        </w:tc>
        <w:tc>
          <w:tcPr>
            <w:tcW w:w="1021" w:type="pct"/>
            <w:vAlign w:val="center"/>
          </w:tcPr>
          <w:p w14:paraId="4DCBC8D7"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周边居民、土壤、地表水、地下水</w:t>
            </w:r>
          </w:p>
        </w:tc>
      </w:tr>
      <w:tr w:rsidR="008A2411" w:rsidRPr="008A2411" w14:paraId="647E1FD0" w14:textId="77777777">
        <w:trPr>
          <w:trHeight w:val="377"/>
          <w:jc w:val="center"/>
        </w:trPr>
        <w:tc>
          <w:tcPr>
            <w:tcW w:w="205" w:type="pct"/>
            <w:vAlign w:val="center"/>
          </w:tcPr>
          <w:p w14:paraId="690F1DFC"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3</w:t>
            </w:r>
          </w:p>
        </w:tc>
        <w:tc>
          <w:tcPr>
            <w:tcW w:w="471" w:type="pct"/>
            <w:vAlign w:val="center"/>
          </w:tcPr>
          <w:p w14:paraId="03FE2A49"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污染控制系统</w:t>
            </w:r>
          </w:p>
        </w:tc>
        <w:tc>
          <w:tcPr>
            <w:tcW w:w="899" w:type="pct"/>
            <w:vAlign w:val="center"/>
          </w:tcPr>
          <w:p w14:paraId="48A8EEE9"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废水处理系统</w:t>
            </w:r>
          </w:p>
        </w:tc>
        <w:tc>
          <w:tcPr>
            <w:tcW w:w="588" w:type="pct"/>
            <w:vAlign w:val="center"/>
          </w:tcPr>
          <w:p w14:paraId="13E249EC"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废水</w:t>
            </w:r>
          </w:p>
        </w:tc>
        <w:tc>
          <w:tcPr>
            <w:tcW w:w="716" w:type="pct"/>
            <w:vAlign w:val="center"/>
          </w:tcPr>
          <w:p w14:paraId="6B3A9E13"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泄漏</w:t>
            </w:r>
          </w:p>
        </w:tc>
        <w:tc>
          <w:tcPr>
            <w:tcW w:w="1097" w:type="pct"/>
            <w:vAlign w:val="center"/>
          </w:tcPr>
          <w:p w14:paraId="42CF39B6"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大气、地表水、地下水</w:t>
            </w:r>
          </w:p>
        </w:tc>
        <w:tc>
          <w:tcPr>
            <w:tcW w:w="1021" w:type="pct"/>
            <w:vAlign w:val="center"/>
          </w:tcPr>
          <w:p w14:paraId="22E5C9DE" w14:textId="77777777" w:rsidR="00B0005F" w:rsidRPr="008A2411" w:rsidRDefault="00000000">
            <w:pPr>
              <w:jc w:val="center"/>
              <w:rPr>
                <w:rFonts w:ascii="Times New Roman"/>
                <w:bCs/>
                <w:color w:val="000000" w:themeColor="text1"/>
                <w:sz w:val="21"/>
                <w:szCs w:val="21"/>
              </w:rPr>
            </w:pPr>
            <w:r w:rsidRPr="008A2411">
              <w:rPr>
                <w:rFonts w:ascii="Times New Roman"/>
                <w:bCs/>
                <w:color w:val="000000" w:themeColor="text1"/>
                <w:sz w:val="21"/>
                <w:szCs w:val="21"/>
              </w:rPr>
              <w:t>周边居民、土壤、地表水、地下水</w:t>
            </w:r>
          </w:p>
        </w:tc>
      </w:tr>
    </w:tbl>
    <w:p w14:paraId="55976A6B" w14:textId="77777777" w:rsidR="00B0005F" w:rsidRPr="008A2411" w:rsidRDefault="00000000">
      <w:pPr>
        <w:pStyle w:val="affffffffffffffffffff6"/>
        <w:snapToGrid/>
        <w:outlineLvl w:val="1"/>
        <w:rPr>
          <w:rFonts w:ascii="Times New Roman"/>
          <w:bCs/>
          <w:color w:val="000000" w:themeColor="text1"/>
          <w:sz w:val="28"/>
          <w:szCs w:val="28"/>
          <w:lang w:bidi="en-US"/>
        </w:rPr>
      </w:pPr>
      <w:bookmarkStart w:id="510" w:name="_Toc469780875"/>
      <w:bookmarkStart w:id="511" w:name="_Toc109170777"/>
      <w:r w:rsidRPr="008A2411">
        <w:rPr>
          <w:rFonts w:ascii="Times New Roman"/>
          <w:bCs/>
          <w:color w:val="000000" w:themeColor="text1"/>
          <w:sz w:val="28"/>
          <w:szCs w:val="28"/>
          <w:lang w:bidi="en-US"/>
        </w:rPr>
        <w:t>6.6</w:t>
      </w:r>
      <w:bookmarkEnd w:id="510"/>
      <w:r w:rsidRPr="008A2411">
        <w:rPr>
          <w:rFonts w:ascii="Times New Roman"/>
          <w:bCs/>
          <w:color w:val="000000" w:themeColor="text1"/>
          <w:sz w:val="28"/>
          <w:szCs w:val="28"/>
          <w:lang w:bidi="en-US"/>
        </w:rPr>
        <w:t>风险事故情形分析</w:t>
      </w:r>
      <w:bookmarkEnd w:id="511"/>
    </w:p>
    <w:p w14:paraId="2CDA6E61" w14:textId="77777777" w:rsidR="00B0005F" w:rsidRPr="008A2411" w:rsidRDefault="00000000">
      <w:pPr>
        <w:pStyle w:val="affffffffffffffffffff6"/>
        <w:snapToGrid/>
        <w:outlineLvl w:val="2"/>
        <w:rPr>
          <w:rFonts w:ascii="Times New Roman"/>
          <w:b/>
          <w:color w:val="000000" w:themeColor="text1"/>
          <w:sz w:val="24"/>
          <w:szCs w:val="24"/>
          <w:lang w:bidi="en-US"/>
        </w:rPr>
      </w:pPr>
      <w:r w:rsidRPr="008A2411">
        <w:rPr>
          <w:rFonts w:ascii="Times New Roman"/>
          <w:b/>
          <w:color w:val="000000" w:themeColor="text1"/>
          <w:sz w:val="24"/>
          <w:szCs w:val="24"/>
          <w:lang w:bidi="en-US"/>
        </w:rPr>
        <w:t>6.6.1</w:t>
      </w:r>
      <w:r w:rsidRPr="008A2411">
        <w:rPr>
          <w:rFonts w:ascii="Times New Roman"/>
          <w:b/>
          <w:color w:val="000000" w:themeColor="text1"/>
          <w:sz w:val="24"/>
          <w:szCs w:val="24"/>
          <w:lang w:bidi="en-US"/>
        </w:rPr>
        <w:t>风险事故初筛</w:t>
      </w:r>
    </w:p>
    <w:p w14:paraId="52C93B1B"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对于事故情形的筛选，往往采用综合考虑了事故后果及事故发生几率的矩阵，见表</w:t>
      </w:r>
      <w:r w:rsidRPr="008A2411">
        <w:rPr>
          <w:rFonts w:ascii="Times New Roman"/>
          <w:bCs/>
          <w:color w:val="000000" w:themeColor="text1"/>
        </w:rPr>
        <w:t>6.6-1</w:t>
      </w:r>
      <w:r w:rsidRPr="008A2411">
        <w:rPr>
          <w:rFonts w:ascii="Times New Roman"/>
          <w:bCs/>
          <w:color w:val="000000" w:themeColor="text1"/>
        </w:rPr>
        <w:t>。不同颜色代表了事件的接受程度，其中绿色代表了事故风险相对影响较低，采取管理措施，不断改进即可实现风险管控；黄色代表了事故风险程度中等，需要采取风险削减措施方能实现风险管控，也是后果预测应予以关注的情形；红色代表了事故风险程度高，风险不能承受。</w:t>
      </w:r>
    </w:p>
    <w:p w14:paraId="0CED59AC" w14:textId="77777777" w:rsidR="00B0005F" w:rsidRPr="008A2411" w:rsidRDefault="00000000">
      <w:pPr>
        <w:pStyle w:val="WJ0"/>
        <w:spacing w:line="240" w:lineRule="auto"/>
        <w:rPr>
          <w:rFonts w:ascii="Times New Roman" w:hAnsi="Times New Roman"/>
          <w:color w:val="000000" w:themeColor="text1"/>
        </w:rPr>
      </w:pPr>
      <w:r w:rsidRPr="008A2411">
        <w:rPr>
          <w:rFonts w:ascii="Times New Roman" w:hAnsi="Times New Roman"/>
          <w:color w:val="000000" w:themeColor="text1"/>
        </w:rPr>
        <w:t>表</w:t>
      </w:r>
      <w:r w:rsidRPr="008A2411">
        <w:rPr>
          <w:rFonts w:ascii="Times New Roman" w:hAnsi="Times New Roman"/>
          <w:color w:val="000000" w:themeColor="text1"/>
        </w:rPr>
        <w:t xml:space="preserve">6.6-1  </w:t>
      </w:r>
      <w:r w:rsidRPr="008A2411">
        <w:rPr>
          <w:rFonts w:ascii="Times New Roman" w:hAnsi="Times New Roman"/>
          <w:color w:val="000000" w:themeColor="text1"/>
        </w:rPr>
        <w:t>矩阵法风险评价表</w:t>
      </w:r>
    </w:p>
    <w:tbl>
      <w:tblPr>
        <w:tblStyle w:val="affff9"/>
        <w:tblW w:w="0" w:type="auto"/>
        <w:tblLook w:val="04A0" w:firstRow="1" w:lastRow="0" w:firstColumn="1" w:lastColumn="0" w:noHBand="0" w:noVBand="1"/>
      </w:tblPr>
      <w:tblGrid>
        <w:gridCol w:w="852"/>
        <w:gridCol w:w="852"/>
        <w:gridCol w:w="852"/>
        <w:gridCol w:w="852"/>
        <w:gridCol w:w="852"/>
        <w:gridCol w:w="852"/>
        <w:gridCol w:w="852"/>
        <w:gridCol w:w="852"/>
        <w:gridCol w:w="853"/>
        <w:gridCol w:w="853"/>
      </w:tblGrid>
      <w:tr w:rsidR="008A2411" w:rsidRPr="008A2411" w14:paraId="5EFD9204" w14:textId="77777777">
        <w:tc>
          <w:tcPr>
            <w:tcW w:w="852" w:type="dxa"/>
            <w:vMerge w:val="restart"/>
            <w:vAlign w:val="center"/>
          </w:tcPr>
          <w:p w14:paraId="0895CD51"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严重级别</w:t>
            </w:r>
          </w:p>
        </w:tc>
        <w:tc>
          <w:tcPr>
            <w:tcW w:w="3408" w:type="dxa"/>
            <w:gridSpan w:val="4"/>
            <w:vMerge w:val="restart"/>
            <w:vAlign w:val="center"/>
          </w:tcPr>
          <w:p w14:paraId="75F247E2"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后果</w:t>
            </w:r>
          </w:p>
        </w:tc>
        <w:tc>
          <w:tcPr>
            <w:tcW w:w="4262" w:type="dxa"/>
            <w:gridSpan w:val="5"/>
            <w:vAlign w:val="center"/>
          </w:tcPr>
          <w:p w14:paraId="6ABC906D"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事故发生几率</w:t>
            </w:r>
          </w:p>
        </w:tc>
      </w:tr>
      <w:tr w:rsidR="008A2411" w:rsidRPr="008A2411" w14:paraId="06ED07BA" w14:textId="77777777">
        <w:tc>
          <w:tcPr>
            <w:tcW w:w="852" w:type="dxa"/>
            <w:vMerge/>
            <w:vAlign w:val="center"/>
          </w:tcPr>
          <w:p w14:paraId="40D79D49" w14:textId="77777777" w:rsidR="00B0005F" w:rsidRPr="008A2411" w:rsidRDefault="00B0005F">
            <w:pPr>
              <w:pStyle w:val="WJ5"/>
              <w:rPr>
                <w:rFonts w:ascii="Times New Roman" w:hAnsi="Times New Roman"/>
                <w:color w:val="000000" w:themeColor="text1"/>
              </w:rPr>
            </w:pPr>
          </w:p>
        </w:tc>
        <w:tc>
          <w:tcPr>
            <w:tcW w:w="3408" w:type="dxa"/>
            <w:gridSpan w:val="4"/>
            <w:vMerge/>
            <w:vAlign w:val="center"/>
          </w:tcPr>
          <w:p w14:paraId="2AB9E0B3" w14:textId="77777777" w:rsidR="00B0005F" w:rsidRPr="008A2411" w:rsidRDefault="00B0005F">
            <w:pPr>
              <w:pStyle w:val="WJ5"/>
              <w:rPr>
                <w:rFonts w:ascii="Times New Roman" w:hAnsi="Times New Roman"/>
                <w:color w:val="000000" w:themeColor="text1"/>
              </w:rPr>
            </w:pPr>
          </w:p>
        </w:tc>
        <w:tc>
          <w:tcPr>
            <w:tcW w:w="852" w:type="dxa"/>
            <w:vAlign w:val="center"/>
          </w:tcPr>
          <w:p w14:paraId="37EDEB13"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A</w:t>
            </w:r>
          </w:p>
        </w:tc>
        <w:tc>
          <w:tcPr>
            <w:tcW w:w="852" w:type="dxa"/>
            <w:vAlign w:val="center"/>
          </w:tcPr>
          <w:p w14:paraId="3D600CA6"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B</w:t>
            </w:r>
          </w:p>
        </w:tc>
        <w:tc>
          <w:tcPr>
            <w:tcW w:w="852" w:type="dxa"/>
            <w:vAlign w:val="center"/>
          </w:tcPr>
          <w:p w14:paraId="28D2007E"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C</w:t>
            </w:r>
          </w:p>
        </w:tc>
        <w:tc>
          <w:tcPr>
            <w:tcW w:w="853" w:type="dxa"/>
            <w:vAlign w:val="center"/>
          </w:tcPr>
          <w:p w14:paraId="1B69A07E"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D</w:t>
            </w:r>
          </w:p>
        </w:tc>
        <w:tc>
          <w:tcPr>
            <w:tcW w:w="853" w:type="dxa"/>
            <w:vAlign w:val="center"/>
          </w:tcPr>
          <w:p w14:paraId="3E3EB686"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E</w:t>
            </w:r>
          </w:p>
        </w:tc>
      </w:tr>
      <w:tr w:rsidR="008A2411" w:rsidRPr="008A2411" w14:paraId="41F8DD45" w14:textId="77777777">
        <w:tc>
          <w:tcPr>
            <w:tcW w:w="852" w:type="dxa"/>
            <w:vMerge/>
            <w:vAlign w:val="center"/>
          </w:tcPr>
          <w:p w14:paraId="4E4E2444" w14:textId="77777777" w:rsidR="00B0005F" w:rsidRPr="008A2411" w:rsidRDefault="00B0005F">
            <w:pPr>
              <w:pStyle w:val="WJ5"/>
              <w:rPr>
                <w:rFonts w:ascii="Times New Roman" w:hAnsi="Times New Roman"/>
                <w:color w:val="000000" w:themeColor="text1"/>
              </w:rPr>
            </w:pPr>
          </w:p>
        </w:tc>
        <w:tc>
          <w:tcPr>
            <w:tcW w:w="852" w:type="dxa"/>
            <w:vAlign w:val="center"/>
          </w:tcPr>
          <w:p w14:paraId="26D2194D"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人员</w:t>
            </w:r>
          </w:p>
        </w:tc>
        <w:tc>
          <w:tcPr>
            <w:tcW w:w="852" w:type="dxa"/>
            <w:vAlign w:val="center"/>
          </w:tcPr>
          <w:p w14:paraId="65215538"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财产</w:t>
            </w:r>
          </w:p>
        </w:tc>
        <w:tc>
          <w:tcPr>
            <w:tcW w:w="852" w:type="dxa"/>
            <w:vAlign w:val="center"/>
          </w:tcPr>
          <w:p w14:paraId="4ACF32AA"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环境</w:t>
            </w:r>
          </w:p>
        </w:tc>
        <w:tc>
          <w:tcPr>
            <w:tcW w:w="852" w:type="dxa"/>
            <w:vAlign w:val="center"/>
          </w:tcPr>
          <w:p w14:paraId="09D77E20"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声誉</w:t>
            </w:r>
          </w:p>
        </w:tc>
        <w:tc>
          <w:tcPr>
            <w:tcW w:w="852" w:type="dxa"/>
            <w:tcBorders>
              <w:bottom w:val="single" w:sz="4" w:space="0" w:color="auto"/>
            </w:tcBorders>
            <w:vAlign w:val="center"/>
          </w:tcPr>
          <w:p w14:paraId="2B0E475A"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在工业界未听说</w:t>
            </w:r>
          </w:p>
        </w:tc>
        <w:tc>
          <w:tcPr>
            <w:tcW w:w="852" w:type="dxa"/>
            <w:tcBorders>
              <w:bottom w:val="single" w:sz="4" w:space="0" w:color="auto"/>
            </w:tcBorders>
            <w:vAlign w:val="center"/>
          </w:tcPr>
          <w:p w14:paraId="5DD4043C"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在工业界发生过</w:t>
            </w:r>
          </w:p>
        </w:tc>
        <w:tc>
          <w:tcPr>
            <w:tcW w:w="852" w:type="dxa"/>
            <w:tcBorders>
              <w:bottom w:val="single" w:sz="4" w:space="0" w:color="auto"/>
            </w:tcBorders>
            <w:vAlign w:val="center"/>
          </w:tcPr>
          <w:p w14:paraId="29B36902"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在作业队发生过</w:t>
            </w:r>
          </w:p>
        </w:tc>
        <w:tc>
          <w:tcPr>
            <w:tcW w:w="853" w:type="dxa"/>
            <w:tcBorders>
              <w:bottom w:val="single" w:sz="4" w:space="0" w:color="auto"/>
            </w:tcBorders>
            <w:vAlign w:val="center"/>
          </w:tcPr>
          <w:p w14:paraId="62D04B30"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每年在作业队发生多次</w:t>
            </w:r>
          </w:p>
        </w:tc>
        <w:tc>
          <w:tcPr>
            <w:tcW w:w="853" w:type="dxa"/>
            <w:tcBorders>
              <w:bottom w:val="single" w:sz="4" w:space="0" w:color="auto"/>
            </w:tcBorders>
            <w:vAlign w:val="center"/>
          </w:tcPr>
          <w:p w14:paraId="6BE16BFE"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每年在所在地发生多次</w:t>
            </w:r>
          </w:p>
        </w:tc>
      </w:tr>
      <w:tr w:rsidR="008A2411" w:rsidRPr="008A2411" w14:paraId="10EB4218" w14:textId="77777777">
        <w:tc>
          <w:tcPr>
            <w:tcW w:w="852" w:type="dxa"/>
            <w:vAlign w:val="center"/>
          </w:tcPr>
          <w:p w14:paraId="034D6C6C"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lastRenderedPageBreak/>
              <w:t>0</w:t>
            </w:r>
          </w:p>
        </w:tc>
        <w:tc>
          <w:tcPr>
            <w:tcW w:w="852" w:type="dxa"/>
            <w:vAlign w:val="center"/>
          </w:tcPr>
          <w:p w14:paraId="4C45223B"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无伤</w:t>
            </w:r>
          </w:p>
        </w:tc>
        <w:tc>
          <w:tcPr>
            <w:tcW w:w="852" w:type="dxa"/>
            <w:vAlign w:val="center"/>
          </w:tcPr>
          <w:p w14:paraId="133F17B7"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无损坏</w:t>
            </w:r>
          </w:p>
        </w:tc>
        <w:tc>
          <w:tcPr>
            <w:tcW w:w="852" w:type="dxa"/>
            <w:vAlign w:val="center"/>
          </w:tcPr>
          <w:p w14:paraId="767D8FA2"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无影响</w:t>
            </w:r>
          </w:p>
        </w:tc>
        <w:tc>
          <w:tcPr>
            <w:tcW w:w="852" w:type="dxa"/>
            <w:vAlign w:val="center"/>
          </w:tcPr>
          <w:p w14:paraId="49FC36FB"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无影响</w:t>
            </w:r>
          </w:p>
        </w:tc>
        <w:tc>
          <w:tcPr>
            <w:tcW w:w="4262" w:type="dxa"/>
            <w:gridSpan w:val="5"/>
            <w:vMerge w:val="restart"/>
            <w:shd w:val="clear" w:color="auto" w:fill="00FF00"/>
            <w:vAlign w:val="center"/>
          </w:tcPr>
          <w:p w14:paraId="6BD62235"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一级、加强</w:t>
            </w:r>
          </w:p>
        </w:tc>
      </w:tr>
      <w:tr w:rsidR="008A2411" w:rsidRPr="008A2411" w14:paraId="208889ED" w14:textId="77777777">
        <w:tc>
          <w:tcPr>
            <w:tcW w:w="852" w:type="dxa"/>
            <w:vAlign w:val="center"/>
          </w:tcPr>
          <w:p w14:paraId="2C53497E"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1</w:t>
            </w:r>
          </w:p>
        </w:tc>
        <w:tc>
          <w:tcPr>
            <w:tcW w:w="852" w:type="dxa"/>
            <w:vAlign w:val="center"/>
          </w:tcPr>
          <w:p w14:paraId="12373826"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轻微</w:t>
            </w:r>
          </w:p>
        </w:tc>
        <w:tc>
          <w:tcPr>
            <w:tcW w:w="852" w:type="dxa"/>
            <w:vAlign w:val="center"/>
          </w:tcPr>
          <w:p w14:paraId="6B71C752"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轻微</w:t>
            </w:r>
          </w:p>
        </w:tc>
        <w:tc>
          <w:tcPr>
            <w:tcW w:w="852" w:type="dxa"/>
            <w:vAlign w:val="center"/>
          </w:tcPr>
          <w:p w14:paraId="06F87381"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轻微</w:t>
            </w:r>
          </w:p>
        </w:tc>
        <w:tc>
          <w:tcPr>
            <w:tcW w:w="852" w:type="dxa"/>
            <w:vAlign w:val="center"/>
          </w:tcPr>
          <w:p w14:paraId="0473BFC2"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轻微</w:t>
            </w:r>
          </w:p>
        </w:tc>
        <w:tc>
          <w:tcPr>
            <w:tcW w:w="4262" w:type="dxa"/>
            <w:gridSpan w:val="5"/>
            <w:vMerge/>
            <w:shd w:val="clear" w:color="auto" w:fill="00FF00"/>
            <w:vAlign w:val="center"/>
          </w:tcPr>
          <w:p w14:paraId="6790292D" w14:textId="77777777" w:rsidR="00B0005F" w:rsidRPr="008A2411" w:rsidRDefault="00B0005F">
            <w:pPr>
              <w:pStyle w:val="WJ5"/>
              <w:rPr>
                <w:rFonts w:ascii="Times New Roman" w:hAnsi="Times New Roman"/>
                <w:color w:val="000000" w:themeColor="text1"/>
              </w:rPr>
            </w:pPr>
          </w:p>
        </w:tc>
      </w:tr>
      <w:tr w:rsidR="008A2411" w:rsidRPr="008A2411" w14:paraId="10E2993F" w14:textId="77777777">
        <w:tc>
          <w:tcPr>
            <w:tcW w:w="852" w:type="dxa"/>
            <w:vAlign w:val="center"/>
          </w:tcPr>
          <w:p w14:paraId="31201620"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2</w:t>
            </w:r>
          </w:p>
        </w:tc>
        <w:tc>
          <w:tcPr>
            <w:tcW w:w="852" w:type="dxa"/>
            <w:vAlign w:val="center"/>
          </w:tcPr>
          <w:p w14:paraId="36FD98FA"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小伤</w:t>
            </w:r>
          </w:p>
        </w:tc>
        <w:tc>
          <w:tcPr>
            <w:tcW w:w="852" w:type="dxa"/>
            <w:vAlign w:val="center"/>
          </w:tcPr>
          <w:p w14:paraId="39E27002"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小损坏</w:t>
            </w:r>
          </w:p>
        </w:tc>
        <w:tc>
          <w:tcPr>
            <w:tcW w:w="852" w:type="dxa"/>
            <w:vAlign w:val="center"/>
          </w:tcPr>
          <w:p w14:paraId="3EEFD79D"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小影响</w:t>
            </w:r>
          </w:p>
        </w:tc>
        <w:tc>
          <w:tcPr>
            <w:tcW w:w="852" w:type="dxa"/>
            <w:vAlign w:val="center"/>
          </w:tcPr>
          <w:p w14:paraId="122F888A"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有限</w:t>
            </w:r>
          </w:p>
        </w:tc>
        <w:tc>
          <w:tcPr>
            <w:tcW w:w="2556" w:type="dxa"/>
            <w:gridSpan w:val="3"/>
            <w:shd w:val="clear" w:color="auto" w:fill="00FF00"/>
            <w:vAlign w:val="center"/>
          </w:tcPr>
          <w:p w14:paraId="4495DC31"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管理</w:t>
            </w:r>
          </w:p>
        </w:tc>
        <w:tc>
          <w:tcPr>
            <w:tcW w:w="1706" w:type="dxa"/>
            <w:gridSpan w:val="2"/>
            <w:shd w:val="clear" w:color="auto" w:fill="FFFF00"/>
            <w:vAlign w:val="center"/>
          </w:tcPr>
          <w:p w14:paraId="442D1745"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二级、引入</w:t>
            </w:r>
          </w:p>
        </w:tc>
      </w:tr>
      <w:tr w:rsidR="008A2411" w:rsidRPr="008A2411" w14:paraId="08671779" w14:textId="77777777">
        <w:tc>
          <w:tcPr>
            <w:tcW w:w="852" w:type="dxa"/>
            <w:vAlign w:val="center"/>
          </w:tcPr>
          <w:p w14:paraId="601DBDEE"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3</w:t>
            </w:r>
          </w:p>
        </w:tc>
        <w:tc>
          <w:tcPr>
            <w:tcW w:w="852" w:type="dxa"/>
            <w:vAlign w:val="center"/>
          </w:tcPr>
          <w:p w14:paraId="700C4E91"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重伤</w:t>
            </w:r>
          </w:p>
        </w:tc>
        <w:tc>
          <w:tcPr>
            <w:tcW w:w="852" w:type="dxa"/>
            <w:vAlign w:val="center"/>
          </w:tcPr>
          <w:p w14:paraId="232EFB3A"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局部</w:t>
            </w:r>
          </w:p>
        </w:tc>
        <w:tc>
          <w:tcPr>
            <w:tcW w:w="852" w:type="dxa"/>
            <w:vAlign w:val="center"/>
          </w:tcPr>
          <w:p w14:paraId="5C689EEF"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局部</w:t>
            </w:r>
          </w:p>
        </w:tc>
        <w:tc>
          <w:tcPr>
            <w:tcW w:w="852" w:type="dxa"/>
            <w:vAlign w:val="center"/>
          </w:tcPr>
          <w:p w14:paraId="34A61FE0"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很大</w:t>
            </w:r>
          </w:p>
        </w:tc>
        <w:tc>
          <w:tcPr>
            <w:tcW w:w="1704" w:type="dxa"/>
            <w:gridSpan w:val="2"/>
            <w:shd w:val="clear" w:color="auto" w:fill="00FF00"/>
            <w:vAlign w:val="center"/>
          </w:tcPr>
          <w:p w14:paraId="6421A12D"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不断</w:t>
            </w:r>
          </w:p>
        </w:tc>
        <w:tc>
          <w:tcPr>
            <w:tcW w:w="1705" w:type="dxa"/>
            <w:gridSpan w:val="2"/>
            <w:shd w:val="clear" w:color="auto" w:fill="FFFF00"/>
            <w:vAlign w:val="center"/>
          </w:tcPr>
          <w:p w14:paraId="79311C27"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风险</w:t>
            </w:r>
          </w:p>
        </w:tc>
        <w:tc>
          <w:tcPr>
            <w:tcW w:w="853" w:type="dxa"/>
            <w:shd w:val="clear" w:color="auto" w:fill="FF0000"/>
            <w:vAlign w:val="center"/>
          </w:tcPr>
          <w:p w14:paraId="6C11F814"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三级</w:t>
            </w:r>
          </w:p>
        </w:tc>
      </w:tr>
      <w:tr w:rsidR="008A2411" w:rsidRPr="008A2411" w14:paraId="6E541F1D" w14:textId="77777777">
        <w:tc>
          <w:tcPr>
            <w:tcW w:w="852" w:type="dxa"/>
            <w:vAlign w:val="center"/>
          </w:tcPr>
          <w:p w14:paraId="75FC2856"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4</w:t>
            </w:r>
          </w:p>
        </w:tc>
        <w:tc>
          <w:tcPr>
            <w:tcW w:w="852" w:type="dxa"/>
            <w:vAlign w:val="center"/>
          </w:tcPr>
          <w:p w14:paraId="65A471F6"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一人死</w:t>
            </w:r>
          </w:p>
        </w:tc>
        <w:tc>
          <w:tcPr>
            <w:tcW w:w="852" w:type="dxa"/>
            <w:vAlign w:val="center"/>
          </w:tcPr>
          <w:p w14:paraId="70B4DAFB"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重大</w:t>
            </w:r>
          </w:p>
        </w:tc>
        <w:tc>
          <w:tcPr>
            <w:tcW w:w="852" w:type="dxa"/>
            <w:vAlign w:val="center"/>
          </w:tcPr>
          <w:p w14:paraId="6541CF9C"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重大</w:t>
            </w:r>
          </w:p>
        </w:tc>
        <w:tc>
          <w:tcPr>
            <w:tcW w:w="852" w:type="dxa"/>
            <w:vAlign w:val="center"/>
          </w:tcPr>
          <w:p w14:paraId="28C67A66"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全国</w:t>
            </w:r>
          </w:p>
        </w:tc>
        <w:tc>
          <w:tcPr>
            <w:tcW w:w="852" w:type="dxa"/>
            <w:shd w:val="clear" w:color="auto" w:fill="00FF00"/>
            <w:vAlign w:val="center"/>
          </w:tcPr>
          <w:p w14:paraId="61527604"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改进</w:t>
            </w:r>
          </w:p>
        </w:tc>
        <w:tc>
          <w:tcPr>
            <w:tcW w:w="1704" w:type="dxa"/>
            <w:gridSpan w:val="2"/>
            <w:shd w:val="clear" w:color="auto" w:fill="FFFF00"/>
            <w:vAlign w:val="center"/>
          </w:tcPr>
          <w:p w14:paraId="338664ED"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削减</w:t>
            </w:r>
          </w:p>
        </w:tc>
        <w:tc>
          <w:tcPr>
            <w:tcW w:w="1706" w:type="dxa"/>
            <w:gridSpan w:val="2"/>
            <w:shd w:val="clear" w:color="auto" w:fill="FF0000"/>
            <w:vAlign w:val="center"/>
          </w:tcPr>
          <w:p w14:paraId="45DA9A09"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不能</w:t>
            </w:r>
          </w:p>
        </w:tc>
      </w:tr>
      <w:tr w:rsidR="008A2411" w:rsidRPr="008A2411" w14:paraId="74236BAA" w14:textId="77777777">
        <w:tc>
          <w:tcPr>
            <w:tcW w:w="852" w:type="dxa"/>
            <w:vAlign w:val="center"/>
          </w:tcPr>
          <w:p w14:paraId="2C3A7F31"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5</w:t>
            </w:r>
          </w:p>
        </w:tc>
        <w:tc>
          <w:tcPr>
            <w:tcW w:w="852" w:type="dxa"/>
            <w:vAlign w:val="center"/>
          </w:tcPr>
          <w:p w14:paraId="5B2E44C1"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多人死</w:t>
            </w:r>
          </w:p>
        </w:tc>
        <w:tc>
          <w:tcPr>
            <w:tcW w:w="852" w:type="dxa"/>
            <w:vAlign w:val="center"/>
          </w:tcPr>
          <w:p w14:paraId="191084AB"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特大</w:t>
            </w:r>
          </w:p>
        </w:tc>
        <w:tc>
          <w:tcPr>
            <w:tcW w:w="852" w:type="dxa"/>
            <w:vAlign w:val="center"/>
          </w:tcPr>
          <w:p w14:paraId="29BE64D2"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巨大</w:t>
            </w:r>
          </w:p>
        </w:tc>
        <w:tc>
          <w:tcPr>
            <w:tcW w:w="852" w:type="dxa"/>
            <w:vAlign w:val="center"/>
          </w:tcPr>
          <w:p w14:paraId="082E97D2"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国际</w:t>
            </w:r>
          </w:p>
        </w:tc>
        <w:tc>
          <w:tcPr>
            <w:tcW w:w="1704" w:type="dxa"/>
            <w:gridSpan w:val="2"/>
            <w:shd w:val="clear" w:color="auto" w:fill="FFFF00"/>
            <w:vAlign w:val="center"/>
          </w:tcPr>
          <w:p w14:paraId="7E830A5C"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措施</w:t>
            </w:r>
          </w:p>
        </w:tc>
        <w:tc>
          <w:tcPr>
            <w:tcW w:w="2558" w:type="dxa"/>
            <w:gridSpan w:val="3"/>
            <w:shd w:val="clear" w:color="auto" w:fill="FF0000"/>
            <w:vAlign w:val="center"/>
          </w:tcPr>
          <w:p w14:paraId="043158AC"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承受</w:t>
            </w:r>
          </w:p>
        </w:tc>
      </w:tr>
    </w:tbl>
    <w:p w14:paraId="0DE646E8"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结合本项目的生产活动，分析主要环境风险因素，对比矩阵法风险评价表，确定环境风险大小如下表：</w:t>
      </w:r>
    </w:p>
    <w:p w14:paraId="563AE65B" w14:textId="77777777" w:rsidR="00B0005F" w:rsidRPr="008A2411" w:rsidRDefault="00000000">
      <w:pPr>
        <w:pStyle w:val="WJ0"/>
        <w:spacing w:line="240" w:lineRule="auto"/>
        <w:rPr>
          <w:rFonts w:ascii="Times New Roman" w:hAnsi="Times New Roman"/>
          <w:color w:val="000000" w:themeColor="text1"/>
        </w:rPr>
      </w:pPr>
      <w:r w:rsidRPr="008A2411">
        <w:rPr>
          <w:rFonts w:ascii="Times New Roman" w:hAnsi="Times New Roman"/>
          <w:color w:val="000000" w:themeColor="text1"/>
        </w:rPr>
        <w:t>表</w:t>
      </w:r>
      <w:r w:rsidRPr="008A2411">
        <w:rPr>
          <w:rFonts w:ascii="Times New Roman" w:hAnsi="Times New Roman"/>
          <w:color w:val="000000" w:themeColor="text1"/>
        </w:rPr>
        <w:t xml:space="preserve">9.6-2  </w:t>
      </w:r>
      <w:r w:rsidRPr="008A2411">
        <w:rPr>
          <w:rFonts w:ascii="Times New Roman" w:hAnsi="Times New Roman"/>
          <w:color w:val="000000" w:themeColor="text1"/>
        </w:rPr>
        <w:t>环境风险的排序分析结果</w:t>
      </w:r>
    </w:p>
    <w:tbl>
      <w:tblPr>
        <w:tblW w:w="906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50"/>
        <w:gridCol w:w="1406"/>
        <w:gridCol w:w="1669"/>
        <w:gridCol w:w="992"/>
        <w:gridCol w:w="3415"/>
        <w:gridCol w:w="831"/>
      </w:tblGrid>
      <w:tr w:rsidR="008A2411" w:rsidRPr="008A2411" w14:paraId="65294BB4" w14:textId="77777777">
        <w:trPr>
          <w:cantSplit/>
          <w:trHeight w:val="90"/>
          <w:tblHeader/>
          <w:jc w:val="center"/>
        </w:trPr>
        <w:tc>
          <w:tcPr>
            <w:tcW w:w="750" w:type="dxa"/>
            <w:vAlign w:val="center"/>
          </w:tcPr>
          <w:p w14:paraId="2CA4141E"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序号</w:t>
            </w:r>
          </w:p>
        </w:tc>
        <w:tc>
          <w:tcPr>
            <w:tcW w:w="1406" w:type="dxa"/>
            <w:vAlign w:val="center"/>
          </w:tcPr>
          <w:p w14:paraId="2DA47B52"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风险源</w:t>
            </w:r>
          </w:p>
        </w:tc>
        <w:tc>
          <w:tcPr>
            <w:tcW w:w="1669" w:type="dxa"/>
            <w:vAlign w:val="center"/>
          </w:tcPr>
          <w:p w14:paraId="1A1BCA04"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危险单元</w:t>
            </w:r>
          </w:p>
        </w:tc>
        <w:tc>
          <w:tcPr>
            <w:tcW w:w="992" w:type="dxa"/>
            <w:vAlign w:val="center"/>
          </w:tcPr>
          <w:p w14:paraId="3721AB09"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危险物质</w:t>
            </w:r>
          </w:p>
        </w:tc>
        <w:tc>
          <w:tcPr>
            <w:tcW w:w="3415" w:type="dxa"/>
            <w:vAlign w:val="center"/>
          </w:tcPr>
          <w:p w14:paraId="21AB38DC"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影响途径</w:t>
            </w:r>
          </w:p>
        </w:tc>
        <w:tc>
          <w:tcPr>
            <w:tcW w:w="831" w:type="dxa"/>
            <w:vAlign w:val="center"/>
          </w:tcPr>
          <w:p w14:paraId="40B1196D"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风险大小</w:t>
            </w:r>
          </w:p>
        </w:tc>
      </w:tr>
      <w:tr w:rsidR="008A2411" w:rsidRPr="008A2411" w14:paraId="653062A7" w14:textId="77777777">
        <w:trPr>
          <w:cantSplit/>
          <w:trHeight w:val="90"/>
          <w:jc w:val="center"/>
        </w:trPr>
        <w:tc>
          <w:tcPr>
            <w:tcW w:w="750" w:type="dxa"/>
            <w:vAlign w:val="center"/>
          </w:tcPr>
          <w:p w14:paraId="7C4A21D0"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1</w:t>
            </w:r>
          </w:p>
        </w:tc>
        <w:tc>
          <w:tcPr>
            <w:tcW w:w="1406" w:type="dxa"/>
            <w:vAlign w:val="center"/>
          </w:tcPr>
          <w:p w14:paraId="43001835"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站场设备、</w:t>
            </w:r>
            <w:r w:rsidRPr="008A2411">
              <w:rPr>
                <w:rFonts w:ascii="Times New Roman" w:hAnsi="Times New Roman" w:hint="eastAsia"/>
                <w:color w:val="000000" w:themeColor="text1"/>
              </w:rPr>
              <w:t>储罐、</w:t>
            </w:r>
            <w:r w:rsidRPr="008A2411">
              <w:rPr>
                <w:rFonts w:ascii="Times New Roman" w:hAnsi="Times New Roman"/>
                <w:color w:val="000000" w:themeColor="text1"/>
              </w:rPr>
              <w:t>管道设施泄漏</w:t>
            </w:r>
          </w:p>
        </w:tc>
        <w:tc>
          <w:tcPr>
            <w:tcW w:w="1669" w:type="dxa"/>
            <w:vAlign w:val="center"/>
          </w:tcPr>
          <w:p w14:paraId="75AD759A"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净化及液化生产单元</w:t>
            </w:r>
            <w:r w:rsidRPr="008A2411">
              <w:rPr>
                <w:rFonts w:ascii="Times New Roman" w:hAnsi="Times New Roman" w:hint="eastAsia"/>
                <w:color w:val="000000" w:themeColor="text1"/>
              </w:rPr>
              <w:t>、液化天然气储罐单元</w:t>
            </w:r>
          </w:p>
        </w:tc>
        <w:tc>
          <w:tcPr>
            <w:tcW w:w="992" w:type="dxa"/>
            <w:vAlign w:val="center"/>
          </w:tcPr>
          <w:p w14:paraId="1A8598AC"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天然气</w:t>
            </w:r>
          </w:p>
        </w:tc>
        <w:tc>
          <w:tcPr>
            <w:tcW w:w="3415" w:type="dxa"/>
            <w:vAlign w:val="center"/>
          </w:tcPr>
          <w:p w14:paraId="123EBE8D"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泄漏的甲烷污染大气环境</w:t>
            </w:r>
          </w:p>
        </w:tc>
        <w:tc>
          <w:tcPr>
            <w:tcW w:w="831" w:type="dxa"/>
            <w:vAlign w:val="center"/>
          </w:tcPr>
          <w:p w14:paraId="0C20E651" w14:textId="77777777" w:rsidR="00B0005F" w:rsidRPr="008A2411" w:rsidRDefault="00000000">
            <w:pPr>
              <w:pStyle w:val="WJ5"/>
              <w:spacing w:line="240" w:lineRule="auto"/>
              <w:rPr>
                <w:rFonts w:ascii="Times New Roman" w:hAnsi="Times New Roman"/>
                <w:b/>
                <w:bCs w:val="0"/>
                <w:color w:val="000000" w:themeColor="text1"/>
              </w:rPr>
            </w:pPr>
            <w:r w:rsidRPr="008A2411">
              <w:rPr>
                <w:rFonts w:ascii="Times New Roman" w:hAnsi="Times New Roman"/>
                <w:b/>
                <w:bCs w:val="0"/>
                <w:color w:val="000000" w:themeColor="text1"/>
              </w:rPr>
              <w:t>B4</w:t>
            </w:r>
          </w:p>
        </w:tc>
      </w:tr>
      <w:tr w:rsidR="008A2411" w:rsidRPr="008A2411" w14:paraId="3CB579AA" w14:textId="77777777">
        <w:trPr>
          <w:cantSplit/>
          <w:trHeight w:val="90"/>
          <w:jc w:val="center"/>
        </w:trPr>
        <w:tc>
          <w:tcPr>
            <w:tcW w:w="750" w:type="dxa"/>
            <w:vAlign w:val="center"/>
          </w:tcPr>
          <w:p w14:paraId="0C458779"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2</w:t>
            </w:r>
          </w:p>
        </w:tc>
        <w:tc>
          <w:tcPr>
            <w:tcW w:w="1406" w:type="dxa"/>
            <w:vAlign w:val="center"/>
          </w:tcPr>
          <w:p w14:paraId="626AE886"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污水处理单元</w:t>
            </w:r>
          </w:p>
        </w:tc>
        <w:tc>
          <w:tcPr>
            <w:tcW w:w="1669" w:type="dxa"/>
            <w:vAlign w:val="center"/>
          </w:tcPr>
          <w:p w14:paraId="3A674608"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污水处理单元</w:t>
            </w:r>
          </w:p>
        </w:tc>
        <w:tc>
          <w:tcPr>
            <w:tcW w:w="992" w:type="dxa"/>
            <w:vAlign w:val="center"/>
          </w:tcPr>
          <w:p w14:paraId="26F66338"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污水</w:t>
            </w:r>
          </w:p>
        </w:tc>
        <w:tc>
          <w:tcPr>
            <w:tcW w:w="3415" w:type="dxa"/>
            <w:vAlign w:val="center"/>
          </w:tcPr>
          <w:p w14:paraId="55492BAA"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各类污水池渗漏污染地下水环境</w:t>
            </w:r>
          </w:p>
        </w:tc>
        <w:tc>
          <w:tcPr>
            <w:tcW w:w="831" w:type="dxa"/>
            <w:vAlign w:val="center"/>
          </w:tcPr>
          <w:p w14:paraId="731D0E2B" w14:textId="77777777" w:rsidR="00B0005F" w:rsidRPr="008A2411" w:rsidRDefault="00000000">
            <w:pPr>
              <w:pStyle w:val="WJ5"/>
              <w:spacing w:line="240" w:lineRule="auto"/>
              <w:rPr>
                <w:rFonts w:ascii="Times New Roman" w:hAnsi="Times New Roman"/>
                <w:b/>
                <w:bCs w:val="0"/>
                <w:color w:val="000000" w:themeColor="text1"/>
              </w:rPr>
            </w:pPr>
            <w:r w:rsidRPr="008A2411">
              <w:rPr>
                <w:rFonts w:ascii="Times New Roman" w:hAnsi="Times New Roman"/>
                <w:b/>
                <w:bCs w:val="0"/>
                <w:color w:val="000000" w:themeColor="text1"/>
              </w:rPr>
              <w:t>C3</w:t>
            </w:r>
          </w:p>
        </w:tc>
      </w:tr>
      <w:tr w:rsidR="008A2411" w:rsidRPr="008A2411" w14:paraId="19D5448F" w14:textId="77777777">
        <w:trPr>
          <w:cantSplit/>
          <w:trHeight w:val="514"/>
          <w:jc w:val="center"/>
        </w:trPr>
        <w:tc>
          <w:tcPr>
            <w:tcW w:w="750" w:type="dxa"/>
            <w:vMerge w:val="restart"/>
            <w:vAlign w:val="center"/>
          </w:tcPr>
          <w:p w14:paraId="190933EB"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3</w:t>
            </w:r>
          </w:p>
        </w:tc>
        <w:tc>
          <w:tcPr>
            <w:tcW w:w="1406" w:type="dxa"/>
            <w:vMerge w:val="restart"/>
            <w:vAlign w:val="center"/>
          </w:tcPr>
          <w:p w14:paraId="11198AF3"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伴生</w:t>
            </w:r>
            <w:r w:rsidRPr="008A2411">
              <w:rPr>
                <w:rFonts w:ascii="Times New Roman" w:hAnsi="Times New Roman"/>
                <w:color w:val="000000" w:themeColor="text1"/>
              </w:rPr>
              <w:t>/</w:t>
            </w:r>
            <w:proofErr w:type="gramStart"/>
            <w:r w:rsidRPr="008A2411">
              <w:rPr>
                <w:rFonts w:ascii="Times New Roman" w:hAnsi="Times New Roman"/>
                <w:color w:val="000000" w:themeColor="text1"/>
              </w:rPr>
              <w:t>次生事故</w:t>
            </w:r>
            <w:proofErr w:type="gramEnd"/>
          </w:p>
        </w:tc>
        <w:tc>
          <w:tcPr>
            <w:tcW w:w="1669" w:type="dxa"/>
            <w:vAlign w:val="center"/>
          </w:tcPr>
          <w:p w14:paraId="1BF4582F"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站场</w:t>
            </w:r>
          </w:p>
        </w:tc>
        <w:tc>
          <w:tcPr>
            <w:tcW w:w="992" w:type="dxa"/>
            <w:vAlign w:val="center"/>
          </w:tcPr>
          <w:p w14:paraId="07E7B6A1"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天然气</w:t>
            </w:r>
          </w:p>
        </w:tc>
        <w:tc>
          <w:tcPr>
            <w:tcW w:w="3415" w:type="dxa"/>
            <w:vAlign w:val="center"/>
          </w:tcPr>
          <w:p w14:paraId="5F55F0C3"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火灾导致天然气燃烧生成的一氧化碳污染大气环境</w:t>
            </w:r>
          </w:p>
        </w:tc>
        <w:tc>
          <w:tcPr>
            <w:tcW w:w="831" w:type="dxa"/>
            <w:vAlign w:val="center"/>
          </w:tcPr>
          <w:p w14:paraId="7F026478"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B3</w:t>
            </w:r>
          </w:p>
        </w:tc>
      </w:tr>
      <w:tr w:rsidR="008A2411" w:rsidRPr="008A2411" w14:paraId="1C661744" w14:textId="77777777">
        <w:trPr>
          <w:cantSplit/>
          <w:jc w:val="center"/>
        </w:trPr>
        <w:tc>
          <w:tcPr>
            <w:tcW w:w="750" w:type="dxa"/>
            <w:vMerge/>
            <w:vAlign w:val="center"/>
          </w:tcPr>
          <w:p w14:paraId="25B3EA42" w14:textId="77777777" w:rsidR="00B0005F" w:rsidRPr="008A2411" w:rsidRDefault="00B0005F">
            <w:pPr>
              <w:pStyle w:val="WJ5"/>
              <w:spacing w:line="240" w:lineRule="auto"/>
              <w:rPr>
                <w:rFonts w:ascii="Times New Roman" w:hAnsi="Times New Roman"/>
                <w:color w:val="000000" w:themeColor="text1"/>
              </w:rPr>
            </w:pPr>
          </w:p>
        </w:tc>
        <w:tc>
          <w:tcPr>
            <w:tcW w:w="1406" w:type="dxa"/>
            <w:vMerge/>
            <w:vAlign w:val="center"/>
          </w:tcPr>
          <w:p w14:paraId="022EA452" w14:textId="77777777" w:rsidR="00B0005F" w:rsidRPr="008A2411" w:rsidRDefault="00B0005F">
            <w:pPr>
              <w:pStyle w:val="WJ5"/>
              <w:spacing w:line="240" w:lineRule="auto"/>
              <w:rPr>
                <w:rFonts w:ascii="Times New Roman" w:hAnsi="Times New Roman"/>
                <w:color w:val="000000" w:themeColor="text1"/>
              </w:rPr>
            </w:pPr>
          </w:p>
        </w:tc>
        <w:tc>
          <w:tcPr>
            <w:tcW w:w="1669" w:type="dxa"/>
            <w:vAlign w:val="center"/>
          </w:tcPr>
          <w:p w14:paraId="5262960F"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站场</w:t>
            </w:r>
          </w:p>
        </w:tc>
        <w:tc>
          <w:tcPr>
            <w:tcW w:w="992" w:type="dxa"/>
            <w:vAlign w:val="center"/>
          </w:tcPr>
          <w:p w14:paraId="2B23A71A"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雨水、事故废水及消防废水</w:t>
            </w:r>
          </w:p>
        </w:tc>
        <w:tc>
          <w:tcPr>
            <w:tcW w:w="3415" w:type="dxa"/>
            <w:vAlign w:val="center"/>
          </w:tcPr>
          <w:p w14:paraId="11CE5F46"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火灾导致消防废水外溢污染地表水环境</w:t>
            </w:r>
          </w:p>
        </w:tc>
        <w:tc>
          <w:tcPr>
            <w:tcW w:w="831" w:type="dxa"/>
            <w:vAlign w:val="center"/>
          </w:tcPr>
          <w:p w14:paraId="3529B734" w14:textId="77777777" w:rsidR="00B0005F" w:rsidRPr="008A2411" w:rsidRDefault="00000000">
            <w:pPr>
              <w:pStyle w:val="WJ5"/>
              <w:spacing w:line="240" w:lineRule="auto"/>
              <w:rPr>
                <w:rFonts w:ascii="Times New Roman" w:hAnsi="Times New Roman"/>
                <w:b/>
                <w:bCs w:val="0"/>
                <w:color w:val="000000" w:themeColor="text1"/>
              </w:rPr>
            </w:pPr>
            <w:r w:rsidRPr="008A2411">
              <w:rPr>
                <w:rFonts w:ascii="Times New Roman" w:hAnsi="Times New Roman"/>
                <w:b/>
                <w:bCs w:val="0"/>
                <w:color w:val="000000" w:themeColor="text1"/>
              </w:rPr>
              <w:t>B4</w:t>
            </w:r>
          </w:p>
        </w:tc>
      </w:tr>
    </w:tbl>
    <w:p w14:paraId="13974939"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由上表可知，环境风险评价为</w:t>
      </w:r>
      <w:r w:rsidRPr="008A2411">
        <w:rPr>
          <w:rFonts w:ascii="Times New Roman"/>
          <w:bCs/>
          <w:color w:val="000000" w:themeColor="text1"/>
        </w:rPr>
        <w:t>B3</w:t>
      </w:r>
      <w:r w:rsidRPr="008A2411">
        <w:rPr>
          <w:rFonts w:ascii="Times New Roman"/>
          <w:bCs/>
          <w:color w:val="000000" w:themeColor="text1"/>
        </w:rPr>
        <w:t>以上（即风险程度中等，黄色区域）更严重的事故符合对风险事故情形的设定原则，即为类型</w:t>
      </w:r>
      <w:r w:rsidRPr="008A2411">
        <w:rPr>
          <w:rFonts w:ascii="Times New Roman"/>
          <w:bCs/>
          <w:color w:val="000000" w:themeColor="text1"/>
        </w:rPr>
        <w:t>1</w:t>
      </w:r>
      <w:r w:rsidRPr="008A2411">
        <w:rPr>
          <w:rFonts w:ascii="Times New Roman"/>
          <w:bCs/>
          <w:color w:val="000000" w:themeColor="text1"/>
        </w:rPr>
        <w:t>、</w:t>
      </w:r>
      <w:r w:rsidRPr="008A2411">
        <w:rPr>
          <w:rFonts w:ascii="Times New Roman"/>
          <w:bCs/>
          <w:color w:val="000000" w:themeColor="text1"/>
        </w:rPr>
        <w:t>3</w:t>
      </w:r>
      <w:r w:rsidRPr="008A2411">
        <w:rPr>
          <w:rFonts w:ascii="Times New Roman"/>
          <w:bCs/>
          <w:color w:val="000000" w:themeColor="text1"/>
        </w:rPr>
        <w:t>和</w:t>
      </w:r>
      <w:r w:rsidRPr="008A2411">
        <w:rPr>
          <w:rFonts w:ascii="Times New Roman"/>
          <w:bCs/>
          <w:color w:val="000000" w:themeColor="text1"/>
        </w:rPr>
        <w:t>5</w:t>
      </w:r>
      <w:r w:rsidRPr="008A2411">
        <w:rPr>
          <w:rFonts w:ascii="Times New Roman"/>
          <w:bCs/>
          <w:color w:val="000000" w:themeColor="text1"/>
        </w:rPr>
        <w:t>。具有环境危害方面的代表性。</w:t>
      </w:r>
    </w:p>
    <w:p w14:paraId="2DE0C80E" w14:textId="77777777" w:rsidR="00B0005F" w:rsidRPr="008A2411" w:rsidRDefault="00000000">
      <w:pPr>
        <w:pStyle w:val="affffffffffffffffffff6"/>
        <w:snapToGrid/>
        <w:outlineLvl w:val="2"/>
        <w:rPr>
          <w:rFonts w:ascii="Times New Roman"/>
          <w:b/>
          <w:color w:val="000000" w:themeColor="text1"/>
          <w:sz w:val="24"/>
          <w:szCs w:val="24"/>
          <w:lang w:bidi="en-US"/>
        </w:rPr>
      </w:pPr>
      <w:bookmarkStart w:id="512" w:name="_Toc77691225"/>
      <w:r w:rsidRPr="008A2411">
        <w:rPr>
          <w:rFonts w:ascii="Times New Roman"/>
          <w:b/>
          <w:color w:val="000000" w:themeColor="text1"/>
          <w:sz w:val="24"/>
          <w:szCs w:val="24"/>
          <w:lang w:bidi="en-US"/>
        </w:rPr>
        <w:t>6.6.2</w:t>
      </w:r>
      <w:r w:rsidRPr="008A2411">
        <w:rPr>
          <w:rFonts w:ascii="Times New Roman"/>
          <w:b/>
          <w:color w:val="000000" w:themeColor="text1"/>
          <w:sz w:val="24"/>
          <w:szCs w:val="24"/>
          <w:lang w:bidi="en-US"/>
        </w:rPr>
        <w:t>风险事故概率初筛</w:t>
      </w:r>
      <w:bookmarkEnd w:id="512"/>
    </w:p>
    <w:p w14:paraId="23678B58"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依据《建设项目环境风险评价技术导则》（</w:t>
      </w:r>
      <w:r w:rsidRPr="008A2411">
        <w:rPr>
          <w:rFonts w:ascii="Times New Roman"/>
          <w:bCs/>
          <w:color w:val="000000" w:themeColor="text1"/>
        </w:rPr>
        <w:t>HJ169-2018</w:t>
      </w:r>
      <w:r w:rsidRPr="008A2411">
        <w:rPr>
          <w:rFonts w:ascii="Times New Roman"/>
          <w:bCs/>
          <w:color w:val="000000" w:themeColor="text1"/>
        </w:rPr>
        <w:t>）附录</w:t>
      </w:r>
      <w:r w:rsidRPr="008A2411">
        <w:rPr>
          <w:rFonts w:ascii="Times New Roman"/>
          <w:bCs/>
          <w:color w:val="000000" w:themeColor="text1"/>
        </w:rPr>
        <w:t>E</w:t>
      </w:r>
      <w:r w:rsidRPr="008A2411">
        <w:rPr>
          <w:rFonts w:ascii="Times New Roman"/>
          <w:bCs/>
          <w:color w:val="000000" w:themeColor="text1"/>
        </w:rPr>
        <w:t>，泄漏事故概率见下表。</w:t>
      </w:r>
    </w:p>
    <w:p w14:paraId="565962AB" w14:textId="77777777" w:rsidR="00B0005F" w:rsidRPr="008A2411" w:rsidRDefault="00000000">
      <w:pPr>
        <w:pStyle w:val="afffffff9"/>
        <w:spacing w:line="240" w:lineRule="auto"/>
        <w:ind w:firstLineChars="0" w:firstLine="0"/>
        <w:jc w:val="center"/>
        <w:rPr>
          <w:rFonts w:ascii="Times New Roman" w:eastAsia="黑体" w:hAnsi="Times New Roman"/>
          <w:bCs/>
          <w:color w:val="000000" w:themeColor="text1"/>
        </w:rPr>
      </w:pPr>
      <w:r w:rsidRPr="008A2411">
        <w:rPr>
          <w:rFonts w:ascii="Times New Roman" w:eastAsia="黑体" w:hAnsi="Times New Roman"/>
          <w:bCs/>
          <w:color w:val="000000" w:themeColor="text1"/>
        </w:rPr>
        <w:t>表</w:t>
      </w:r>
      <w:r w:rsidRPr="008A2411">
        <w:rPr>
          <w:rFonts w:ascii="Times New Roman" w:eastAsia="黑体" w:hAnsi="Times New Roman"/>
          <w:bCs/>
          <w:color w:val="000000" w:themeColor="text1"/>
        </w:rPr>
        <w:t xml:space="preserve">6.6-3  </w:t>
      </w:r>
      <w:r w:rsidRPr="008A2411">
        <w:rPr>
          <w:rFonts w:ascii="Times New Roman" w:eastAsia="黑体" w:hAnsi="Times New Roman"/>
          <w:bCs/>
          <w:color w:val="000000" w:themeColor="text1"/>
        </w:rPr>
        <w:t>泄漏模式及频率筛选结果一览表</w:t>
      </w:r>
    </w:p>
    <w:tbl>
      <w:tblPr>
        <w:tblW w:w="91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92"/>
        <w:gridCol w:w="3995"/>
        <w:gridCol w:w="2029"/>
      </w:tblGrid>
      <w:tr w:rsidR="008A2411" w:rsidRPr="008A2411" w14:paraId="610C11E0" w14:textId="77777777">
        <w:trPr>
          <w:cantSplit/>
          <w:trHeight w:val="425"/>
          <w:tblHeader/>
          <w:jc w:val="center"/>
        </w:trPr>
        <w:tc>
          <w:tcPr>
            <w:tcW w:w="3092" w:type="dxa"/>
            <w:vAlign w:val="center"/>
          </w:tcPr>
          <w:p w14:paraId="3E2B20B3"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部件类型</w:t>
            </w:r>
          </w:p>
        </w:tc>
        <w:tc>
          <w:tcPr>
            <w:tcW w:w="3995" w:type="dxa"/>
            <w:vAlign w:val="center"/>
          </w:tcPr>
          <w:p w14:paraId="1792400E"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泄漏模式</w:t>
            </w:r>
          </w:p>
        </w:tc>
        <w:tc>
          <w:tcPr>
            <w:tcW w:w="2029" w:type="dxa"/>
            <w:vAlign w:val="center"/>
          </w:tcPr>
          <w:p w14:paraId="60B0286F"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泄漏频率</w:t>
            </w:r>
          </w:p>
        </w:tc>
      </w:tr>
      <w:tr w:rsidR="008A2411" w:rsidRPr="008A2411" w14:paraId="780A8F83" w14:textId="77777777">
        <w:trPr>
          <w:cantSplit/>
          <w:trHeight w:val="322"/>
          <w:jc w:val="center"/>
        </w:trPr>
        <w:tc>
          <w:tcPr>
            <w:tcW w:w="3092" w:type="dxa"/>
            <w:vMerge w:val="restart"/>
            <w:vAlign w:val="center"/>
          </w:tcPr>
          <w:p w14:paraId="27169944"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反应器</w:t>
            </w:r>
            <w:r w:rsidRPr="008A2411">
              <w:rPr>
                <w:rFonts w:ascii="Times New Roman" w:hAnsi="Times New Roman"/>
                <w:color w:val="000000" w:themeColor="text1"/>
              </w:rPr>
              <w:t>/</w:t>
            </w:r>
            <w:r w:rsidRPr="008A2411">
              <w:rPr>
                <w:rFonts w:ascii="Times New Roman" w:hAnsi="Times New Roman"/>
                <w:color w:val="000000" w:themeColor="text1"/>
              </w:rPr>
              <w:t>工艺储罐</w:t>
            </w:r>
            <w:r w:rsidRPr="008A2411">
              <w:rPr>
                <w:rFonts w:ascii="Times New Roman" w:hAnsi="Times New Roman"/>
                <w:color w:val="000000" w:themeColor="text1"/>
              </w:rPr>
              <w:t>/</w:t>
            </w:r>
            <w:r w:rsidRPr="008A2411">
              <w:rPr>
                <w:rFonts w:ascii="Times New Roman" w:hAnsi="Times New Roman"/>
                <w:color w:val="000000" w:themeColor="text1"/>
              </w:rPr>
              <w:t>气体储罐</w:t>
            </w:r>
            <w:r w:rsidRPr="008A2411">
              <w:rPr>
                <w:rFonts w:ascii="Times New Roman" w:hAnsi="Times New Roman"/>
                <w:color w:val="000000" w:themeColor="text1"/>
              </w:rPr>
              <w:t>/</w:t>
            </w:r>
            <w:r w:rsidRPr="008A2411">
              <w:rPr>
                <w:rFonts w:ascii="Times New Roman" w:hAnsi="Times New Roman"/>
                <w:color w:val="000000" w:themeColor="text1"/>
              </w:rPr>
              <w:t>塔器</w:t>
            </w:r>
          </w:p>
        </w:tc>
        <w:tc>
          <w:tcPr>
            <w:tcW w:w="3995" w:type="dxa"/>
            <w:vAlign w:val="center"/>
          </w:tcPr>
          <w:p w14:paraId="290285D8"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泄漏孔径为</w:t>
            </w:r>
            <w:r w:rsidRPr="008A2411">
              <w:rPr>
                <w:rFonts w:ascii="Times New Roman" w:hAnsi="Times New Roman"/>
                <w:color w:val="000000" w:themeColor="text1"/>
              </w:rPr>
              <w:t>10mm</w:t>
            </w:r>
            <w:r w:rsidRPr="008A2411">
              <w:rPr>
                <w:rFonts w:ascii="Times New Roman" w:hAnsi="Times New Roman"/>
                <w:color w:val="000000" w:themeColor="text1"/>
              </w:rPr>
              <w:t>孔径</w:t>
            </w:r>
          </w:p>
        </w:tc>
        <w:tc>
          <w:tcPr>
            <w:tcW w:w="2029" w:type="dxa"/>
            <w:vAlign w:val="center"/>
          </w:tcPr>
          <w:p w14:paraId="60D57586"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1.00×10</w:t>
            </w:r>
            <w:r w:rsidRPr="008A2411">
              <w:rPr>
                <w:rFonts w:ascii="Times New Roman" w:hAnsi="Times New Roman"/>
                <w:color w:val="000000" w:themeColor="text1"/>
                <w:vertAlign w:val="superscript"/>
              </w:rPr>
              <w:t>-4</w:t>
            </w:r>
            <w:r w:rsidRPr="008A2411">
              <w:rPr>
                <w:rFonts w:ascii="Times New Roman" w:hAnsi="Times New Roman"/>
                <w:color w:val="000000" w:themeColor="text1"/>
              </w:rPr>
              <w:t>/</w:t>
            </w:r>
            <w:r w:rsidRPr="008A2411">
              <w:rPr>
                <w:rFonts w:ascii="Times New Roman" w:hAnsi="Times New Roman"/>
                <w:color w:val="000000" w:themeColor="text1"/>
              </w:rPr>
              <w:t>年</w:t>
            </w:r>
          </w:p>
        </w:tc>
      </w:tr>
      <w:tr w:rsidR="008A2411" w:rsidRPr="008A2411" w14:paraId="7B6581BA" w14:textId="77777777">
        <w:trPr>
          <w:cantSplit/>
          <w:trHeight w:val="323"/>
          <w:jc w:val="center"/>
        </w:trPr>
        <w:tc>
          <w:tcPr>
            <w:tcW w:w="3092" w:type="dxa"/>
            <w:vMerge/>
            <w:vAlign w:val="center"/>
          </w:tcPr>
          <w:p w14:paraId="48307BC4" w14:textId="77777777" w:rsidR="00B0005F" w:rsidRPr="008A2411" w:rsidRDefault="00B0005F">
            <w:pPr>
              <w:pStyle w:val="WJ5"/>
              <w:spacing w:line="240" w:lineRule="auto"/>
              <w:rPr>
                <w:rFonts w:ascii="Times New Roman" w:hAnsi="Times New Roman"/>
                <w:color w:val="000000" w:themeColor="text1"/>
              </w:rPr>
            </w:pPr>
          </w:p>
        </w:tc>
        <w:tc>
          <w:tcPr>
            <w:tcW w:w="3995" w:type="dxa"/>
            <w:vAlign w:val="center"/>
          </w:tcPr>
          <w:p w14:paraId="0708ECB1"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10min</w:t>
            </w:r>
            <w:r w:rsidRPr="008A2411">
              <w:rPr>
                <w:rFonts w:ascii="Times New Roman" w:hAnsi="Times New Roman"/>
                <w:color w:val="000000" w:themeColor="text1"/>
              </w:rPr>
              <w:t>内储罐泄漏完</w:t>
            </w:r>
          </w:p>
        </w:tc>
        <w:tc>
          <w:tcPr>
            <w:tcW w:w="2029" w:type="dxa"/>
            <w:vAlign w:val="center"/>
          </w:tcPr>
          <w:p w14:paraId="7C6CF7A5"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5.00×10</w:t>
            </w:r>
            <w:r w:rsidRPr="008A2411">
              <w:rPr>
                <w:rFonts w:ascii="Times New Roman" w:hAnsi="Times New Roman"/>
                <w:color w:val="000000" w:themeColor="text1"/>
                <w:vertAlign w:val="superscript"/>
              </w:rPr>
              <w:t>-6</w:t>
            </w:r>
            <w:r w:rsidRPr="008A2411">
              <w:rPr>
                <w:rFonts w:ascii="Times New Roman" w:hAnsi="Times New Roman"/>
                <w:color w:val="000000" w:themeColor="text1"/>
              </w:rPr>
              <w:t>/</w:t>
            </w:r>
            <w:r w:rsidRPr="008A2411">
              <w:rPr>
                <w:rFonts w:ascii="Times New Roman" w:hAnsi="Times New Roman"/>
                <w:color w:val="000000" w:themeColor="text1"/>
              </w:rPr>
              <w:t>年</w:t>
            </w:r>
          </w:p>
        </w:tc>
      </w:tr>
      <w:tr w:rsidR="008A2411" w:rsidRPr="008A2411" w14:paraId="2A8AF361" w14:textId="77777777">
        <w:trPr>
          <w:cantSplit/>
          <w:trHeight w:val="322"/>
          <w:jc w:val="center"/>
        </w:trPr>
        <w:tc>
          <w:tcPr>
            <w:tcW w:w="3092" w:type="dxa"/>
            <w:vMerge/>
            <w:vAlign w:val="center"/>
          </w:tcPr>
          <w:p w14:paraId="002EC877" w14:textId="77777777" w:rsidR="00B0005F" w:rsidRPr="008A2411" w:rsidRDefault="00B0005F">
            <w:pPr>
              <w:pStyle w:val="WJ5"/>
              <w:spacing w:line="240" w:lineRule="auto"/>
              <w:rPr>
                <w:rFonts w:ascii="Times New Roman" w:hAnsi="Times New Roman"/>
                <w:color w:val="000000" w:themeColor="text1"/>
              </w:rPr>
            </w:pPr>
          </w:p>
        </w:tc>
        <w:tc>
          <w:tcPr>
            <w:tcW w:w="3995" w:type="dxa"/>
            <w:vAlign w:val="center"/>
          </w:tcPr>
          <w:p w14:paraId="1DCD3581"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储罐全破裂</w:t>
            </w:r>
          </w:p>
        </w:tc>
        <w:tc>
          <w:tcPr>
            <w:tcW w:w="2029" w:type="dxa"/>
            <w:vAlign w:val="center"/>
          </w:tcPr>
          <w:p w14:paraId="648A5926"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5.00×10</w:t>
            </w:r>
            <w:r w:rsidRPr="008A2411">
              <w:rPr>
                <w:rFonts w:ascii="Times New Roman" w:hAnsi="Times New Roman"/>
                <w:color w:val="000000" w:themeColor="text1"/>
                <w:vertAlign w:val="superscript"/>
              </w:rPr>
              <w:t>-6</w:t>
            </w:r>
            <w:r w:rsidRPr="008A2411">
              <w:rPr>
                <w:rFonts w:ascii="Times New Roman" w:hAnsi="Times New Roman"/>
                <w:color w:val="000000" w:themeColor="text1"/>
              </w:rPr>
              <w:t>/</w:t>
            </w:r>
            <w:r w:rsidRPr="008A2411">
              <w:rPr>
                <w:rFonts w:ascii="Times New Roman" w:hAnsi="Times New Roman"/>
                <w:color w:val="000000" w:themeColor="text1"/>
              </w:rPr>
              <w:t>年</w:t>
            </w:r>
          </w:p>
        </w:tc>
      </w:tr>
      <w:tr w:rsidR="008A2411" w:rsidRPr="008A2411" w14:paraId="144A6AA8" w14:textId="77777777">
        <w:trPr>
          <w:cantSplit/>
          <w:trHeight w:val="322"/>
          <w:jc w:val="center"/>
        </w:trPr>
        <w:tc>
          <w:tcPr>
            <w:tcW w:w="3092" w:type="dxa"/>
            <w:vMerge w:val="restart"/>
            <w:vAlign w:val="center"/>
          </w:tcPr>
          <w:p w14:paraId="2FA78B48"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常压单包容储罐</w:t>
            </w:r>
          </w:p>
        </w:tc>
        <w:tc>
          <w:tcPr>
            <w:tcW w:w="3995" w:type="dxa"/>
            <w:vAlign w:val="center"/>
          </w:tcPr>
          <w:p w14:paraId="49972817"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泄漏孔径为</w:t>
            </w:r>
            <w:r w:rsidRPr="008A2411">
              <w:rPr>
                <w:rFonts w:ascii="Times New Roman" w:hAnsi="Times New Roman"/>
                <w:color w:val="000000" w:themeColor="text1"/>
              </w:rPr>
              <w:t>10mm</w:t>
            </w:r>
            <w:r w:rsidRPr="008A2411">
              <w:rPr>
                <w:rFonts w:ascii="Times New Roman" w:hAnsi="Times New Roman"/>
                <w:color w:val="000000" w:themeColor="text1"/>
              </w:rPr>
              <w:t>孔径</w:t>
            </w:r>
          </w:p>
        </w:tc>
        <w:tc>
          <w:tcPr>
            <w:tcW w:w="2029" w:type="dxa"/>
            <w:vAlign w:val="center"/>
          </w:tcPr>
          <w:p w14:paraId="46E9D984"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1.00×10</w:t>
            </w:r>
            <w:r w:rsidRPr="008A2411">
              <w:rPr>
                <w:rFonts w:ascii="Times New Roman" w:hAnsi="Times New Roman"/>
                <w:color w:val="000000" w:themeColor="text1"/>
                <w:vertAlign w:val="superscript"/>
              </w:rPr>
              <w:t>-4</w:t>
            </w:r>
            <w:r w:rsidRPr="008A2411">
              <w:rPr>
                <w:rFonts w:ascii="Times New Roman" w:hAnsi="Times New Roman"/>
                <w:color w:val="000000" w:themeColor="text1"/>
              </w:rPr>
              <w:t>/</w:t>
            </w:r>
            <w:r w:rsidRPr="008A2411">
              <w:rPr>
                <w:rFonts w:ascii="Times New Roman" w:hAnsi="Times New Roman"/>
                <w:color w:val="000000" w:themeColor="text1"/>
              </w:rPr>
              <w:t>年</w:t>
            </w:r>
          </w:p>
        </w:tc>
      </w:tr>
      <w:tr w:rsidR="008A2411" w:rsidRPr="008A2411" w14:paraId="3C02ADA7" w14:textId="77777777">
        <w:trPr>
          <w:cantSplit/>
          <w:trHeight w:val="323"/>
          <w:jc w:val="center"/>
        </w:trPr>
        <w:tc>
          <w:tcPr>
            <w:tcW w:w="3092" w:type="dxa"/>
            <w:vMerge/>
            <w:vAlign w:val="center"/>
          </w:tcPr>
          <w:p w14:paraId="05EA705F" w14:textId="77777777" w:rsidR="00B0005F" w:rsidRPr="008A2411" w:rsidRDefault="00B0005F">
            <w:pPr>
              <w:pStyle w:val="WJ5"/>
              <w:spacing w:line="240" w:lineRule="auto"/>
              <w:rPr>
                <w:rFonts w:ascii="Times New Roman" w:hAnsi="Times New Roman"/>
                <w:color w:val="000000" w:themeColor="text1"/>
              </w:rPr>
            </w:pPr>
          </w:p>
        </w:tc>
        <w:tc>
          <w:tcPr>
            <w:tcW w:w="3995" w:type="dxa"/>
            <w:vAlign w:val="center"/>
          </w:tcPr>
          <w:p w14:paraId="0DE5AEFA"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10min</w:t>
            </w:r>
            <w:r w:rsidRPr="008A2411">
              <w:rPr>
                <w:rFonts w:ascii="Times New Roman" w:hAnsi="Times New Roman"/>
                <w:color w:val="000000" w:themeColor="text1"/>
              </w:rPr>
              <w:t>内储罐泄漏完</w:t>
            </w:r>
          </w:p>
        </w:tc>
        <w:tc>
          <w:tcPr>
            <w:tcW w:w="2029" w:type="dxa"/>
            <w:vAlign w:val="center"/>
          </w:tcPr>
          <w:p w14:paraId="3F7664B8"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5.00×10</w:t>
            </w:r>
            <w:r w:rsidRPr="008A2411">
              <w:rPr>
                <w:rFonts w:ascii="Times New Roman" w:hAnsi="Times New Roman"/>
                <w:color w:val="000000" w:themeColor="text1"/>
                <w:vertAlign w:val="superscript"/>
              </w:rPr>
              <w:t>-6</w:t>
            </w:r>
            <w:r w:rsidRPr="008A2411">
              <w:rPr>
                <w:rFonts w:ascii="Times New Roman" w:hAnsi="Times New Roman"/>
                <w:color w:val="000000" w:themeColor="text1"/>
              </w:rPr>
              <w:t>/</w:t>
            </w:r>
            <w:r w:rsidRPr="008A2411">
              <w:rPr>
                <w:rFonts w:ascii="Times New Roman" w:hAnsi="Times New Roman"/>
                <w:color w:val="000000" w:themeColor="text1"/>
              </w:rPr>
              <w:t>年</w:t>
            </w:r>
          </w:p>
        </w:tc>
      </w:tr>
      <w:tr w:rsidR="008A2411" w:rsidRPr="008A2411" w14:paraId="7BE456D7" w14:textId="77777777">
        <w:trPr>
          <w:cantSplit/>
          <w:trHeight w:val="322"/>
          <w:jc w:val="center"/>
        </w:trPr>
        <w:tc>
          <w:tcPr>
            <w:tcW w:w="3092" w:type="dxa"/>
            <w:vMerge/>
            <w:vAlign w:val="center"/>
          </w:tcPr>
          <w:p w14:paraId="4DCCAC18" w14:textId="77777777" w:rsidR="00B0005F" w:rsidRPr="008A2411" w:rsidRDefault="00B0005F">
            <w:pPr>
              <w:pStyle w:val="WJ5"/>
              <w:spacing w:line="240" w:lineRule="auto"/>
              <w:rPr>
                <w:rFonts w:ascii="Times New Roman" w:hAnsi="Times New Roman"/>
                <w:color w:val="000000" w:themeColor="text1"/>
              </w:rPr>
            </w:pPr>
          </w:p>
        </w:tc>
        <w:tc>
          <w:tcPr>
            <w:tcW w:w="3995" w:type="dxa"/>
            <w:vAlign w:val="center"/>
          </w:tcPr>
          <w:p w14:paraId="3FF2F90C"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储罐全破裂</w:t>
            </w:r>
          </w:p>
        </w:tc>
        <w:tc>
          <w:tcPr>
            <w:tcW w:w="2029" w:type="dxa"/>
            <w:vAlign w:val="center"/>
          </w:tcPr>
          <w:p w14:paraId="67492383"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5.00×10</w:t>
            </w:r>
            <w:r w:rsidRPr="008A2411">
              <w:rPr>
                <w:rFonts w:ascii="Times New Roman" w:hAnsi="Times New Roman"/>
                <w:color w:val="000000" w:themeColor="text1"/>
                <w:vertAlign w:val="superscript"/>
              </w:rPr>
              <w:t>-6</w:t>
            </w:r>
            <w:r w:rsidRPr="008A2411">
              <w:rPr>
                <w:rFonts w:ascii="Times New Roman" w:hAnsi="Times New Roman"/>
                <w:color w:val="000000" w:themeColor="text1"/>
              </w:rPr>
              <w:t>/</w:t>
            </w:r>
            <w:r w:rsidRPr="008A2411">
              <w:rPr>
                <w:rFonts w:ascii="Times New Roman" w:hAnsi="Times New Roman"/>
                <w:color w:val="000000" w:themeColor="text1"/>
              </w:rPr>
              <w:t>年</w:t>
            </w:r>
          </w:p>
        </w:tc>
      </w:tr>
      <w:tr w:rsidR="008A2411" w:rsidRPr="008A2411" w14:paraId="0004B0D7" w14:textId="77777777">
        <w:trPr>
          <w:cantSplit/>
          <w:trHeight w:val="322"/>
          <w:jc w:val="center"/>
        </w:trPr>
        <w:tc>
          <w:tcPr>
            <w:tcW w:w="3092" w:type="dxa"/>
            <w:vMerge w:val="restart"/>
            <w:vAlign w:val="center"/>
          </w:tcPr>
          <w:p w14:paraId="01E478C9" w14:textId="77777777" w:rsidR="00B0005F" w:rsidRPr="008A2411" w:rsidRDefault="00000000">
            <w:pPr>
              <w:pStyle w:val="WJ5"/>
              <w:spacing w:line="240" w:lineRule="auto"/>
              <w:rPr>
                <w:rFonts w:ascii="Times New Roman" w:hAnsi="Times New Roman"/>
                <w:color w:val="000000" w:themeColor="text1"/>
              </w:rPr>
            </w:pPr>
            <w:proofErr w:type="gramStart"/>
            <w:r w:rsidRPr="008A2411">
              <w:rPr>
                <w:rFonts w:ascii="Times New Roman" w:hAnsi="Times New Roman"/>
                <w:color w:val="000000" w:themeColor="text1"/>
              </w:rPr>
              <w:t>常压双</w:t>
            </w:r>
            <w:proofErr w:type="gramEnd"/>
            <w:r w:rsidRPr="008A2411">
              <w:rPr>
                <w:rFonts w:ascii="Times New Roman" w:hAnsi="Times New Roman"/>
                <w:color w:val="000000" w:themeColor="text1"/>
              </w:rPr>
              <w:t>包容储罐</w:t>
            </w:r>
          </w:p>
        </w:tc>
        <w:tc>
          <w:tcPr>
            <w:tcW w:w="3995" w:type="dxa"/>
            <w:vAlign w:val="center"/>
          </w:tcPr>
          <w:p w14:paraId="34FA621B"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泄漏孔径为</w:t>
            </w:r>
            <w:r w:rsidRPr="008A2411">
              <w:rPr>
                <w:rFonts w:ascii="Times New Roman" w:hAnsi="Times New Roman"/>
                <w:color w:val="000000" w:themeColor="text1"/>
              </w:rPr>
              <w:t>10mm</w:t>
            </w:r>
            <w:r w:rsidRPr="008A2411">
              <w:rPr>
                <w:rFonts w:ascii="Times New Roman" w:hAnsi="Times New Roman"/>
                <w:color w:val="000000" w:themeColor="text1"/>
              </w:rPr>
              <w:t>孔径</w:t>
            </w:r>
          </w:p>
        </w:tc>
        <w:tc>
          <w:tcPr>
            <w:tcW w:w="2029" w:type="dxa"/>
            <w:vAlign w:val="center"/>
          </w:tcPr>
          <w:p w14:paraId="04926A4D"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1.00×10</w:t>
            </w:r>
            <w:r w:rsidRPr="008A2411">
              <w:rPr>
                <w:rFonts w:ascii="Times New Roman" w:hAnsi="Times New Roman"/>
                <w:color w:val="000000" w:themeColor="text1"/>
                <w:vertAlign w:val="superscript"/>
              </w:rPr>
              <w:t>-4</w:t>
            </w:r>
            <w:r w:rsidRPr="008A2411">
              <w:rPr>
                <w:rFonts w:ascii="Times New Roman" w:hAnsi="Times New Roman"/>
                <w:color w:val="000000" w:themeColor="text1"/>
              </w:rPr>
              <w:t>/</w:t>
            </w:r>
            <w:r w:rsidRPr="008A2411">
              <w:rPr>
                <w:rFonts w:ascii="Times New Roman" w:hAnsi="Times New Roman"/>
                <w:color w:val="000000" w:themeColor="text1"/>
              </w:rPr>
              <w:t>年</w:t>
            </w:r>
          </w:p>
        </w:tc>
      </w:tr>
      <w:tr w:rsidR="008A2411" w:rsidRPr="008A2411" w14:paraId="72AB9BDA" w14:textId="77777777">
        <w:trPr>
          <w:cantSplit/>
          <w:trHeight w:val="323"/>
          <w:jc w:val="center"/>
        </w:trPr>
        <w:tc>
          <w:tcPr>
            <w:tcW w:w="3092" w:type="dxa"/>
            <w:vMerge/>
            <w:vAlign w:val="center"/>
          </w:tcPr>
          <w:p w14:paraId="4F00E9AB" w14:textId="77777777" w:rsidR="00B0005F" w:rsidRPr="008A2411" w:rsidRDefault="00B0005F">
            <w:pPr>
              <w:pStyle w:val="WJ5"/>
              <w:spacing w:line="240" w:lineRule="auto"/>
              <w:rPr>
                <w:rFonts w:ascii="Times New Roman" w:hAnsi="Times New Roman"/>
                <w:color w:val="000000" w:themeColor="text1"/>
              </w:rPr>
            </w:pPr>
          </w:p>
        </w:tc>
        <w:tc>
          <w:tcPr>
            <w:tcW w:w="3995" w:type="dxa"/>
            <w:vAlign w:val="center"/>
          </w:tcPr>
          <w:p w14:paraId="71111C7C"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10min</w:t>
            </w:r>
            <w:r w:rsidRPr="008A2411">
              <w:rPr>
                <w:rFonts w:ascii="Times New Roman" w:hAnsi="Times New Roman"/>
                <w:color w:val="000000" w:themeColor="text1"/>
              </w:rPr>
              <w:t>内储罐泄漏完</w:t>
            </w:r>
          </w:p>
        </w:tc>
        <w:tc>
          <w:tcPr>
            <w:tcW w:w="2029" w:type="dxa"/>
            <w:vAlign w:val="center"/>
          </w:tcPr>
          <w:p w14:paraId="387EC72B"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1.25×10</w:t>
            </w:r>
            <w:r w:rsidRPr="008A2411">
              <w:rPr>
                <w:rFonts w:ascii="Times New Roman" w:hAnsi="Times New Roman"/>
                <w:color w:val="000000" w:themeColor="text1"/>
                <w:vertAlign w:val="superscript"/>
              </w:rPr>
              <w:t>-8</w:t>
            </w:r>
            <w:r w:rsidRPr="008A2411">
              <w:rPr>
                <w:rFonts w:ascii="Times New Roman" w:hAnsi="Times New Roman"/>
                <w:color w:val="000000" w:themeColor="text1"/>
              </w:rPr>
              <w:t>/</w:t>
            </w:r>
            <w:r w:rsidRPr="008A2411">
              <w:rPr>
                <w:rFonts w:ascii="Times New Roman" w:hAnsi="Times New Roman"/>
                <w:color w:val="000000" w:themeColor="text1"/>
              </w:rPr>
              <w:t>年</w:t>
            </w:r>
          </w:p>
        </w:tc>
      </w:tr>
      <w:tr w:rsidR="008A2411" w:rsidRPr="008A2411" w14:paraId="1B7D0563" w14:textId="77777777">
        <w:trPr>
          <w:cantSplit/>
          <w:trHeight w:val="322"/>
          <w:jc w:val="center"/>
        </w:trPr>
        <w:tc>
          <w:tcPr>
            <w:tcW w:w="3092" w:type="dxa"/>
            <w:vMerge/>
            <w:vAlign w:val="center"/>
          </w:tcPr>
          <w:p w14:paraId="3C86F53A" w14:textId="77777777" w:rsidR="00B0005F" w:rsidRPr="008A2411" w:rsidRDefault="00B0005F">
            <w:pPr>
              <w:pStyle w:val="WJ5"/>
              <w:spacing w:line="240" w:lineRule="auto"/>
              <w:rPr>
                <w:rFonts w:ascii="Times New Roman" w:hAnsi="Times New Roman"/>
                <w:color w:val="000000" w:themeColor="text1"/>
              </w:rPr>
            </w:pPr>
          </w:p>
        </w:tc>
        <w:tc>
          <w:tcPr>
            <w:tcW w:w="3995" w:type="dxa"/>
            <w:vAlign w:val="center"/>
          </w:tcPr>
          <w:p w14:paraId="207A95CD"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储罐全破裂</w:t>
            </w:r>
          </w:p>
        </w:tc>
        <w:tc>
          <w:tcPr>
            <w:tcW w:w="2029" w:type="dxa"/>
            <w:vAlign w:val="center"/>
          </w:tcPr>
          <w:p w14:paraId="19D1AA3F"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1.25×10</w:t>
            </w:r>
            <w:r w:rsidRPr="008A2411">
              <w:rPr>
                <w:rFonts w:ascii="Times New Roman" w:hAnsi="Times New Roman"/>
                <w:color w:val="000000" w:themeColor="text1"/>
                <w:vertAlign w:val="superscript"/>
              </w:rPr>
              <w:t>-8</w:t>
            </w:r>
            <w:r w:rsidRPr="008A2411">
              <w:rPr>
                <w:rFonts w:ascii="Times New Roman" w:hAnsi="Times New Roman"/>
                <w:color w:val="000000" w:themeColor="text1"/>
              </w:rPr>
              <w:t>/</w:t>
            </w:r>
            <w:r w:rsidRPr="008A2411">
              <w:rPr>
                <w:rFonts w:ascii="Times New Roman" w:hAnsi="Times New Roman"/>
                <w:color w:val="000000" w:themeColor="text1"/>
              </w:rPr>
              <w:t>年</w:t>
            </w:r>
          </w:p>
        </w:tc>
      </w:tr>
      <w:tr w:rsidR="008A2411" w:rsidRPr="008A2411" w14:paraId="3C381663" w14:textId="77777777">
        <w:trPr>
          <w:cantSplit/>
          <w:trHeight w:val="323"/>
          <w:jc w:val="center"/>
        </w:trPr>
        <w:tc>
          <w:tcPr>
            <w:tcW w:w="3092" w:type="dxa"/>
            <w:vAlign w:val="center"/>
          </w:tcPr>
          <w:p w14:paraId="264459EB" w14:textId="77777777" w:rsidR="00B0005F" w:rsidRPr="008A2411" w:rsidRDefault="00000000">
            <w:pPr>
              <w:pStyle w:val="WJ5"/>
              <w:spacing w:line="240" w:lineRule="auto"/>
              <w:rPr>
                <w:rFonts w:ascii="Times New Roman" w:hAnsi="Times New Roman"/>
                <w:color w:val="000000" w:themeColor="text1"/>
              </w:rPr>
            </w:pPr>
            <w:proofErr w:type="gramStart"/>
            <w:r w:rsidRPr="008A2411">
              <w:rPr>
                <w:rFonts w:ascii="Times New Roman" w:hAnsi="Times New Roman"/>
                <w:color w:val="000000" w:themeColor="text1"/>
              </w:rPr>
              <w:t>常压全</w:t>
            </w:r>
            <w:proofErr w:type="gramEnd"/>
            <w:r w:rsidRPr="008A2411">
              <w:rPr>
                <w:rFonts w:ascii="Times New Roman" w:hAnsi="Times New Roman"/>
                <w:color w:val="000000" w:themeColor="text1"/>
              </w:rPr>
              <w:t>包容储罐</w:t>
            </w:r>
          </w:p>
        </w:tc>
        <w:tc>
          <w:tcPr>
            <w:tcW w:w="3995" w:type="dxa"/>
            <w:vAlign w:val="center"/>
          </w:tcPr>
          <w:p w14:paraId="273A53A1"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储罐全破裂</w:t>
            </w:r>
          </w:p>
        </w:tc>
        <w:tc>
          <w:tcPr>
            <w:tcW w:w="2029" w:type="dxa"/>
            <w:vAlign w:val="center"/>
          </w:tcPr>
          <w:p w14:paraId="03A7175E"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1.00×10</w:t>
            </w:r>
            <w:r w:rsidRPr="008A2411">
              <w:rPr>
                <w:rFonts w:ascii="Times New Roman" w:hAnsi="Times New Roman"/>
                <w:color w:val="000000" w:themeColor="text1"/>
                <w:vertAlign w:val="superscript"/>
              </w:rPr>
              <w:t>-8</w:t>
            </w:r>
            <w:r w:rsidRPr="008A2411">
              <w:rPr>
                <w:rFonts w:ascii="Times New Roman" w:hAnsi="Times New Roman"/>
                <w:color w:val="000000" w:themeColor="text1"/>
              </w:rPr>
              <w:t>/</w:t>
            </w:r>
            <w:r w:rsidRPr="008A2411">
              <w:rPr>
                <w:rFonts w:ascii="Times New Roman" w:hAnsi="Times New Roman"/>
                <w:color w:val="000000" w:themeColor="text1"/>
              </w:rPr>
              <w:t>年</w:t>
            </w:r>
          </w:p>
        </w:tc>
      </w:tr>
      <w:tr w:rsidR="008A2411" w:rsidRPr="008A2411" w14:paraId="5986BD36" w14:textId="77777777">
        <w:trPr>
          <w:cantSplit/>
          <w:trHeight w:val="300"/>
          <w:jc w:val="center"/>
        </w:trPr>
        <w:tc>
          <w:tcPr>
            <w:tcW w:w="3092" w:type="dxa"/>
            <w:vMerge w:val="restart"/>
            <w:vAlign w:val="center"/>
          </w:tcPr>
          <w:p w14:paraId="4EBFB85E"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lastRenderedPageBreak/>
              <w:t>内径</w:t>
            </w:r>
            <w:r w:rsidRPr="008A2411">
              <w:rPr>
                <w:rFonts w:ascii="Times New Roman" w:hAnsi="Times New Roman"/>
                <w:color w:val="000000" w:themeColor="text1"/>
              </w:rPr>
              <w:t>≤75mm</w:t>
            </w:r>
            <w:r w:rsidRPr="008A2411">
              <w:rPr>
                <w:rFonts w:ascii="Times New Roman" w:hAnsi="Times New Roman"/>
                <w:color w:val="000000" w:themeColor="text1"/>
              </w:rPr>
              <w:t>的管道</w:t>
            </w:r>
          </w:p>
        </w:tc>
        <w:tc>
          <w:tcPr>
            <w:tcW w:w="3995" w:type="dxa"/>
            <w:vAlign w:val="center"/>
          </w:tcPr>
          <w:p w14:paraId="2C10D746"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泄漏孔径为</w:t>
            </w:r>
            <w:r w:rsidRPr="008A2411">
              <w:rPr>
                <w:rFonts w:ascii="Times New Roman" w:hAnsi="Times New Roman"/>
                <w:color w:val="000000" w:themeColor="text1"/>
              </w:rPr>
              <w:t>10%</w:t>
            </w:r>
            <w:r w:rsidRPr="008A2411">
              <w:rPr>
                <w:rFonts w:ascii="Times New Roman" w:hAnsi="Times New Roman"/>
                <w:color w:val="000000" w:themeColor="text1"/>
              </w:rPr>
              <w:t>孔径</w:t>
            </w:r>
          </w:p>
        </w:tc>
        <w:tc>
          <w:tcPr>
            <w:tcW w:w="2029" w:type="dxa"/>
            <w:vAlign w:val="center"/>
          </w:tcPr>
          <w:p w14:paraId="1D1F6C34"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5.00×10</w:t>
            </w:r>
            <w:r w:rsidRPr="008A2411">
              <w:rPr>
                <w:rFonts w:ascii="Times New Roman" w:hAnsi="Times New Roman"/>
                <w:color w:val="000000" w:themeColor="text1"/>
                <w:vertAlign w:val="superscript"/>
              </w:rPr>
              <w:t>-6</w:t>
            </w:r>
            <w:r w:rsidRPr="008A2411">
              <w:rPr>
                <w:rFonts w:ascii="Times New Roman" w:hAnsi="Times New Roman"/>
                <w:color w:val="000000" w:themeColor="text1"/>
              </w:rPr>
              <w:t>（</w:t>
            </w:r>
            <w:r w:rsidRPr="008A2411">
              <w:rPr>
                <w:rFonts w:ascii="Times New Roman" w:hAnsi="Times New Roman"/>
                <w:color w:val="000000" w:themeColor="text1"/>
              </w:rPr>
              <w:t>m/</w:t>
            </w:r>
            <w:r w:rsidRPr="008A2411">
              <w:rPr>
                <w:rFonts w:ascii="Times New Roman" w:hAnsi="Times New Roman"/>
                <w:color w:val="000000" w:themeColor="text1"/>
              </w:rPr>
              <w:t>年）</w:t>
            </w:r>
          </w:p>
        </w:tc>
      </w:tr>
      <w:tr w:rsidR="008A2411" w:rsidRPr="008A2411" w14:paraId="32EE3F77" w14:textId="77777777">
        <w:trPr>
          <w:cantSplit/>
          <w:trHeight w:val="301"/>
          <w:jc w:val="center"/>
        </w:trPr>
        <w:tc>
          <w:tcPr>
            <w:tcW w:w="3092" w:type="dxa"/>
            <w:vMerge/>
            <w:vAlign w:val="center"/>
          </w:tcPr>
          <w:p w14:paraId="2115B4E8" w14:textId="77777777" w:rsidR="00B0005F" w:rsidRPr="008A2411" w:rsidRDefault="00B0005F">
            <w:pPr>
              <w:pStyle w:val="WJ5"/>
              <w:spacing w:line="240" w:lineRule="auto"/>
              <w:rPr>
                <w:rFonts w:ascii="Times New Roman" w:hAnsi="Times New Roman"/>
                <w:color w:val="000000" w:themeColor="text1"/>
              </w:rPr>
            </w:pPr>
          </w:p>
        </w:tc>
        <w:tc>
          <w:tcPr>
            <w:tcW w:w="3995" w:type="dxa"/>
            <w:vAlign w:val="center"/>
          </w:tcPr>
          <w:p w14:paraId="58C9FE86"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全管径泄漏</w:t>
            </w:r>
          </w:p>
        </w:tc>
        <w:tc>
          <w:tcPr>
            <w:tcW w:w="2029" w:type="dxa"/>
            <w:vAlign w:val="center"/>
          </w:tcPr>
          <w:p w14:paraId="58363724"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1.00×10</w:t>
            </w:r>
            <w:r w:rsidRPr="008A2411">
              <w:rPr>
                <w:rFonts w:ascii="Times New Roman" w:hAnsi="Times New Roman"/>
                <w:color w:val="000000" w:themeColor="text1"/>
                <w:vertAlign w:val="superscript"/>
              </w:rPr>
              <w:t>-6</w:t>
            </w:r>
            <w:r w:rsidRPr="008A2411">
              <w:rPr>
                <w:rFonts w:ascii="Times New Roman" w:hAnsi="Times New Roman"/>
                <w:color w:val="000000" w:themeColor="text1"/>
              </w:rPr>
              <w:t>（</w:t>
            </w:r>
            <w:r w:rsidRPr="008A2411">
              <w:rPr>
                <w:rFonts w:ascii="Times New Roman" w:hAnsi="Times New Roman"/>
                <w:color w:val="000000" w:themeColor="text1"/>
              </w:rPr>
              <w:t>m/</w:t>
            </w:r>
            <w:r w:rsidRPr="008A2411">
              <w:rPr>
                <w:rFonts w:ascii="Times New Roman" w:hAnsi="Times New Roman"/>
                <w:color w:val="000000" w:themeColor="text1"/>
              </w:rPr>
              <w:t>年）</w:t>
            </w:r>
          </w:p>
        </w:tc>
      </w:tr>
      <w:tr w:rsidR="008A2411" w:rsidRPr="008A2411" w14:paraId="338045BB" w14:textId="77777777">
        <w:trPr>
          <w:cantSplit/>
          <w:trHeight w:val="301"/>
          <w:jc w:val="center"/>
        </w:trPr>
        <w:tc>
          <w:tcPr>
            <w:tcW w:w="3092" w:type="dxa"/>
            <w:vMerge w:val="restart"/>
            <w:vAlign w:val="center"/>
          </w:tcPr>
          <w:p w14:paraId="79057478"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75mm&lt;</w:t>
            </w:r>
            <w:r w:rsidRPr="008A2411">
              <w:rPr>
                <w:rFonts w:ascii="Times New Roman" w:hAnsi="Times New Roman"/>
                <w:color w:val="000000" w:themeColor="text1"/>
              </w:rPr>
              <w:t>内径</w:t>
            </w:r>
            <w:r w:rsidRPr="008A2411">
              <w:rPr>
                <w:rFonts w:ascii="Times New Roman" w:hAnsi="Times New Roman"/>
                <w:color w:val="000000" w:themeColor="text1"/>
              </w:rPr>
              <w:t>≤150mm</w:t>
            </w:r>
            <w:r w:rsidRPr="008A2411">
              <w:rPr>
                <w:rFonts w:ascii="Times New Roman" w:hAnsi="Times New Roman"/>
                <w:color w:val="000000" w:themeColor="text1"/>
              </w:rPr>
              <w:t>的管道</w:t>
            </w:r>
          </w:p>
        </w:tc>
        <w:tc>
          <w:tcPr>
            <w:tcW w:w="3995" w:type="dxa"/>
            <w:vAlign w:val="center"/>
          </w:tcPr>
          <w:p w14:paraId="6152214B"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泄漏孔径为</w:t>
            </w:r>
            <w:r w:rsidRPr="008A2411">
              <w:rPr>
                <w:rFonts w:ascii="Times New Roman" w:hAnsi="Times New Roman"/>
                <w:color w:val="000000" w:themeColor="text1"/>
              </w:rPr>
              <w:t>10%</w:t>
            </w:r>
            <w:r w:rsidRPr="008A2411">
              <w:rPr>
                <w:rFonts w:ascii="Times New Roman" w:hAnsi="Times New Roman"/>
                <w:color w:val="000000" w:themeColor="text1"/>
              </w:rPr>
              <w:t>孔径</w:t>
            </w:r>
          </w:p>
        </w:tc>
        <w:tc>
          <w:tcPr>
            <w:tcW w:w="2029" w:type="dxa"/>
            <w:vAlign w:val="center"/>
          </w:tcPr>
          <w:p w14:paraId="26D42446"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2.00×10</w:t>
            </w:r>
            <w:r w:rsidRPr="008A2411">
              <w:rPr>
                <w:rFonts w:ascii="Times New Roman" w:hAnsi="Times New Roman"/>
                <w:color w:val="000000" w:themeColor="text1"/>
                <w:vertAlign w:val="superscript"/>
              </w:rPr>
              <w:t>-6</w:t>
            </w:r>
            <w:r w:rsidRPr="008A2411">
              <w:rPr>
                <w:rFonts w:ascii="Times New Roman" w:hAnsi="Times New Roman"/>
                <w:color w:val="000000" w:themeColor="text1"/>
              </w:rPr>
              <w:t>（</w:t>
            </w:r>
            <w:r w:rsidRPr="008A2411">
              <w:rPr>
                <w:rFonts w:ascii="Times New Roman" w:hAnsi="Times New Roman"/>
                <w:color w:val="000000" w:themeColor="text1"/>
              </w:rPr>
              <w:t>m/</w:t>
            </w:r>
            <w:r w:rsidRPr="008A2411">
              <w:rPr>
                <w:rFonts w:ascii="Times New Roman" w:hAnsi="Times New Roman"/>
                <w:color w:val="000000" w:themeColor="text1"/>
              </w:rPr>
              <w:t>年）</w:t>
            </w:r>
          </w:p>
        </w:tc>
      </w:tr>
      <w:tr w:rsidR="008A2411" w:rsidRPr="008A2411" w14:paraId="61AF2929" w14:textId="77777777">
        <w:trPr>
          <w:cantSplit/>
          <w:trHeight w:val="301"/>
          <w:jc w:val="center"/>
        </w:trPr>
        <w:tc>
          <w:tcPr>
            <w:tcW w:w="3092" w:type="dxa"/>
            <w:vMerge/>
            <w:vAlign w:val="center"/>
          </w:tcPr>
          <w:p w14:paraId="5AFFE887" w14:textId="77777777" w:rsidR="00B0005F" w:rsidRPr="008A2411" w:rsidRDefault="00B0005F">
            <w:pPr>
              <w:pStyle w:val="WJ5"/>
              <w:spacing w:line="240" w:lineRule="auto"/>
              <w:rPr>
                <w:rFonts w:ascii="Times New Roman" w:hAnsi="Times New Roman"/>
                <w:color w:val="000000" w:themeColor="text1"/>
              </w:rPr>
            </w:pPr>
          </w:p>
        </w:tc>
        <w:tc>
          <w:tcPr>
            <w:tcW w:w="3995" w:type="dxa"/>
            <w:vAlign w:val="center"/>
          </w:tcPr>
          <w:p w14:paraId="26887BD4"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全管径泄漏</w:t>
            </w:r>
          </w:p>
        </w:tc>
        <w:tc>
          <w:tcPr>
            <w:tcW w:w="2029" w:type="dxa"/>
            <w:vAlign w:val="center"/>
          </w:tcPr>
          <w:p w14:paraId="5D03465C"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3.00×10</w:t>
            </w:r>
            <w:r w:rsidRPr="008A2411">
              <w:rPr>
                <w:rFonts w:ascii="Times New Roman" w:hAnsi="Times New Roman"/>
                <w:color w:val="000000" w:themeColor="text1"/>
                <w:vertAlign w:val="superscript"/>
              </w:rPr>
              <w:t>-7</w:t>
            </w:r>
            <w:r w:rsidRPr="008A2411">
              <w:rPr>
                <w:rFonts w:ascii="Times New Roman" w:hAnsi="Times New Roman"/>
                <w:color w:val="000000" w:themeColor="text1"/>
              </w:rPr>
              <w:t>（</w:t>
            </w:r>
            <w:r w:rsidRPr="008A2411">
              <w:rPr>
                <w:rFonts w:ascii="Times New Roman" w:hAnsi="Times New Roman"/>
                <w:color w:val="000000" w:themeColor="text1"/>
              </w:rPr>
              <w:t>m/</w:t>
            </w:r>
            <w:r w:rsidRPr="008A2411">
              <w:rPr>
                <w:rFonts w:ascii="Times New Roman" w:hAnsi="Times New Roman"/>
                <w:color w:val="000000" w:themeColor="text1"/>
              </w:rPr>
              <w:t>年）</w:t>
            </w:r>
          </w:p>
        </w:tc>
      </w:tr>
      <w:tr w:rsidR="008A2411" w:rsidRPr="008A2411" w14:paraId="247FBA1C" w14:textId="77777777">
        <w:trPr>
          <w:cantSplit/>
          <w:trHeight w:val="301"/>
          <w:jc w:val="center"/>
        </w:trPr>
        <w:tc>
          <w:tcPr>
            <w:tcW w:w="3092" w:type="dxa"/>
            <w:vMerge w:val="restart"/>
            <w:vAlign w:val="center"/>
          </w:tcPr>
          <w:p w14:paraId="17CAFFC2"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内径</w:t>
            </w:r>
            <w:r w:rsidRPr="008A2411">
              <w:rPr>
                <w:rFonts w:ascii="Times New Roman" w:hAnsi="Times New Roman"/>
                <w:color w:val="000000" w:themeColor="text1"/>
              </w:rPr>
              <w:t>&gt;150mm</w:t>
            </w:r>
            <w:r w:rsidRPr="008A2411">
              <w:rPr>
                <w:rFonts w:ascii="Times New Roman" w:hAnsi="Times New Roman"/>
                <w:color w:val="000000" w:themeColor="text1"/>
              </w:rPr>
              <w:t>的管道</w:t>
            </w:r>
          </w:p>
        </w:tc>
        <w:tc>
          <w:tcPr>
            <w:tcW w:w="3995" w:type="dxa"/>
            <w:vAlign w:val="center"/>
          </w:tcPr>
          <w:p w14:paraId="61C28499"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泄漏孔径为</w:t>
            </w:r>
            <w:r w:rsidRPr="008A2411">
              <w:rPr>
                <w:rFonts w:ascii="Times New Roman" w:hAnsi="Times New Roman"/>
                <w:color w:val="000000" w:themeColor="text1"/>
              </w:rPr>
              <w:t>10%</w:t>
            </w:r>
            <w:r w:rsidRPr="008A2411">
              <w:rPr>
                <w:rFonts w:ascii="Times New Roman" w:hAnsi="Times New Roman"/>
                <w:color w:val="000000" w:themeColor="text1"/>
              </w:rPr>
              <w:t>孔径（最大</w:t>
            </w:r>
            <w:r w:rsidRPr="008A2411">
              <w:rPr>
                <w:rFonts w:ascii="Times New Roman" w:hAnsi="Times New Roman"/>
                <w:color w:val="000000" w:themeColor="text1"/>
              </w:rPr>
              <w:t>50mm</w:t>
            </w:r>
            <w:r w:rsidRPr="008A2411">
              <w:rPr>
                <w:rFonts w:ascii="Times New Roman" w:hAnsi="Times New Roman"/>
                <w:color w:val="000000" w:themeColor="text1"/>
              </w:rPr>
              <w:t>）</w:t>
            </w:r>
          </w:p>
        </w:tc>
        <w:tc>
          <w:tcPr>
            <w:tcW w:w="2029" w:type="dxa"/>
            <w:vAlign w:val="center"/>
          </w:tcPr>
          <w:p w14:paraId="7E65DA96"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2.40×10</w:t>
            </w:r>
            <w:r w:rsidRPr="008A2411">
              <w:rPr>
                <w:rFonts w:ascii="Times New Roman" w:hAnsi="Times New Roman"/>
                <w:color w:val="000000" w:themeColor="text1"/>
                <w:vertAlign w:val="superscript"/>
              </w:rPr>
              <w:t>-6</w:t>
            </w:r>
            <w:r w:rsidRPr="008A2411">
              <w:rPr>
                <w:rFonts w:ascii="Times New Roman" w:hAnsi="Times New Roman"/>
                <w:color w:val="000000" w:themeColor="text1"/>
              </w:rPr>
              <w:t>（</w:t>
            </w:r>
            <w:r w:rsidRPr="008A2411">
              <w:rPr>
                <w:rFonts w:ascii="Times New Roman" w:hAnsi="Times New Roman"/>
                <w:color w:val="000000" w:themeColor="text1"/>
              </w:rPr>
              <w:t>m/</w:t>
            </w:r>
            <w:r w:rsidRPr="008A2411">
              <w:rPr>
                <w:rFonts w:ascii="Times New Roman" w:hAnsi="Times New Roman"/>
                <w:color w:val="000000" w:themeColor="text1"/>
              </w:rPr>
              <w:t>年）</w:t>
            </w:r>
          </w:p>
        </w:tc>
      </w:tr>
      <w:tr w:rsidR="008A2411" w:rsidRPr="008A2411" w14:paraId="135B217A" w14:textId="77777777">
        <w:trPr>
          <w:cantSplit/>
          <w:trHeight w:val="301"/>
          <w:jc w:val="center"/>
        </w:trPr>
        <w:tc>
          <w:tcPr>
            <w:tcW w:w="3092" w:type="dxa"/>
            <w:vMerge/>
            <w:vAlign w:val="center"/>
          </w:tcPr>
          <w:p w14:paraId="53138356" w14:textId="77777777" w:rsidR="00B0005F" w:rsidRPr="008A2411" w:rsidRDefault="00B0005F">
            <w:pPr>
              <w:pStyle w:val="WJ5"/>
              <w:spacing w:line="240" w:lineRule="auto"/>
              <w:rPr>
                <w:rFonts w:ascii="Times New Roman" w:hAnsi="Times New Roman"/>
                <w:color w:val="000000" w:themeColor="text1"/>
              </w:rPr>
            </w:pPr>
          </w:p>
        </w:tc>
        <w:tc>
          <w:tcPr>
            <w:tcW w:w="3995" w:type="dxa"/>
            <w:vAlign w:val="center"/>
          </w:tcPr>
          <w:p w14:paraId="2EA258CE"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全管径泄漏</w:t>
            </w:r>
          </w:p>
        </w:tc>
        <w:tc>
          <w:tcPr>
            <w:tcW w:w="2029" w:type="dxa"/>
            <w:vAlign w:val="center"/>
          </w:tcPr>
          <w:p w14:paraId="25359328"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1.00×10</w:t>
            </w:r>
            <w:r w:rsidRPr="008A2411">
              <w:rPr>
                <w:rFonts w:ascii="Times New Roman" w:hAnsi="Times New Roman"/>
                <w:color w:val="000000" w:themeColor="text1"/>
                <w:vertAlign w:val="superscript"/>
              </w:rPr>
              <w:t>-7</w:t>
            </w:r>
            <w:r w:rsidRPr="008A2411">
              <w:rPr>
                <w:rFonts w:ascii="Times New Roman" w:hAnsi="Times New Roman"/>
                <w:color w:val="000000" w:themeColor="text1"/>
              </w:rPr>
              <w:t>（</w:t>
            </w:r>
            <w:r w:rsidRPr="008A2411">
              <w:rPr>
                <w:rFonts w:ascii="Times New Roman" w:hAnsi="Times New Roman"/>
                <w:color w:val="000000" w:themeColor="text1"/>
              </w:rPr>
              <w:t>m/</w:t>
            </w:r>
            <w:r w:rsidRPr="008A2411">
              <w:rPr>
                <w:rFonts w:ascii="Times New Roman" w:hAnsi="Times New Roman"/>
                <w:color w:val="000000" w:themeColor="text1"/>
              </w:rPr>
              <w:t>年）</w:t>
            </w:r>
          </w:p>
        </w:tc>
      </w:tr>
      <w:tr w:rsidR="008A2411" w:rsidRPr="008A2411" w14:paraId="53029807" w14:textId="77777777">
        <w:trPr>
          <w:cantSplit/>
          <w:jc w:val="center"/>
        </w:trPr>
        <w:tc>
          <w:tcPr>
            <w:tcW w:w="3092" w:type="dxa"/>
            <w:vMerge w:val="restart"/>
            <w:vAlign w:val="center"/>
          </w:tcPr>
          <w:p w14:paraId="2A2004C9"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泵体和压缩机</w:t>
            </w:r>
          </w:p>
        </w:tc>
        <w:tc>
          <w:tcPr>
            <w:tcW w:w="3995" w:type="dxa"/>
            <w:vAlign w:val="center"/>
          </w:tcPr>
          <w:p w14:paraId="29646717"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泵体和压缩机最大连接管泄漏孔径为</w:t>
            </w:r>
            <w:r w:rsidRPr="008A2411">
              <w:rPr>
                <w:rFonts w:ascii="Times New Roman" w:hAnsi="Times New Roman"/>
                <w:color w:val="000000" w:themeColor="text1"/>
              </w:rPr>
              <w:t>10%</w:t>
            </w:r>
            <w:r w:rsidRPr="008A2411">
              <w:rPr>
                <w:rFonts w:ascii="Times New Roman" w:hAnsi="Times New Roman"/>
                <w:color w:val="000000" w:themeColor="text1"/>
              </w:rPr>
              <w:t>孔径（最大</w:t>
            </w:r>
            <w:r w:rsidRPr="008A2411">
              <w:rPr>
                <w:rFonts w:ascii="Times New Roman" w:hAnsi="Times New Roman"/>
                <w:color w:val="000000" w:themeColor="text1"/>
              </w:rPr>
              <w:t>50mm</w:t>
            </w:r>
            <w:r w:rsidRPr="008A2411">
              <w:rPr>
                <w:rFonts w:ascii="Times New Roman" w:hAnsi="Times New Roman"/>
                <w:color w:val="000000" w:themeColor="text1"/>
              </w:rPr>
              <w:t>）</w:t>
            </w:r>
          </w:p>
        </w:tc>
        <w:tc>
          <w:tcPr>
            <w:tcW w:w="2029" w:type="dxa"/>
            <w:vAlign w:val="center"/>
          </w:tcPr>
          <w:p w14:paraId="0BD3AF8E"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5.00×10</w:t>
            </w:r>
            <w:r w:rsidRPr="008A2411">
              <w:rPr>
                <w:rFonts w:ascii="Times New Roman" w:hAnsi="Times New Roman"/>
                <w:color w:val="000000" w:themeColor="text1"/>
                <w:vertAlign w:val="superscript"/>
              </w:rPr>
              <w:t>-4</w:t>
            </w:r>
            <w:r w:rsidRPr="008A2411">
              <w:rPr>
                <w:rFonts w:ascii="Times New Roman" w:hAnsi="Times New Roman"/>
                <w:color w:val="000000" w:themeColor="text1"/>
              </w:rPr>
              <w:t>/</w:t>
            </w:r>
            <w:r w:rsidRPr="008A2411">
              <w:rPr>
                <w:rFonts w:ascii="Times New Roman" w:hAnsi="Times New Roman"/>
                <w:color w:val="000000" w:themeColor="text1"/>
              </w:rPr>
              <w:t>年</w:t>
            </w:r>
          </w:p>
        </w:tc>
      </w:tr>
      <w:tr w:rsidR="008A2411" w:rsidRPr="008A2411" w14:paraId="28229DEA" w14:textId="77777777">
        <w:trPr>
          <w:cantSplit/>
          <w:jc w:val="center"/>
        </w:trPr>
        <w:tc>
          <w:tcPr>
            <w:tcW w:w="3092" w:type="dxa"/>
            <w:vMerge/>
            <w:vAlign w:val="center"/>
          </w:tcPr>
          <w:p w14:paraId="258F1C49" w14:textId="77777777" w:rsidR="00B0005F" w:rsidRPr="008A2411" w:rsidRDefault="00B0005F">
            <w:pPr>
              <w:pStyle w:val="WJ5"/>
              <w:spacing w:line="240" w:lineRule="auto"/>
              <w:rPr>
                <w:rFonts w:ascii="Times New Roman" w:hAnsi="Times New Roman"/>
                <w:color w:val="000000" w:themeColor="text1"/>
              </w:rPr>
            </w:pPr>
          </w:p>
        </w:tc>
        <w:tc>
          <w:tcPr>
            <w:tcW w:w="3995" w:type="dxa"/>
            <w:vAlign w:val="center"/>
          </w:tcPr>
          <w:p w14:paraId="7E3CEAE4"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体和压缩机最大连接管全管径泄漏</w:t>
            </w:r>
          </w:p>
        </w:tc>
        <w:tc>
          <w:tcPr>
            <w:tcW w:w="2029" w:type="dxa"/>
            <w:vAlign w:val="center"/>
          </w:tcPr>
          <w:p w14:paraId="020C2CE2"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1.00×10</w:t>
            </w:r>
            <w:r w:rsidRPr="008A2411">
              <w:rPr>
                <w:rFonts w:ascii="Times New Roman" w:hAnsi="Times New Roman"/>
                <w:color w:val="000000" w:themeColor="text1"/>
                <w:vertAlign w:val="superscript"/>
              </w:rPr>
              <w:t>-4</w:t>
            </w:r>
            <w:r w:rsidRPr="008A2411">
              <w:rPr>
                <w:rFonts w:ascii="Times New Roman" w:hAnsi="Times New Roman"/>
                <w:color w:val="000000" w:themeColor="text1"/>
              </w:rPr>
              <w:t>/</w:t>
            </w:r>
            <w:r w:rsidRPr="008A2411">
              <w:rPr>
                <w:rFonts w:ascii="Times New Roman" w:hAnsi="Times New Roman"/>
                <w:color w:val="000000" w:themeColor="text1"/>
              </w:rPr>
              <w:t>年</w:t>
            </w:r>
          </w:p>
        </w:tc>
      </w:tr>
      <w:tr w:rsidR="008A2411" w:rsidRPr="008A2411" w14:paraId="0B68D367" w14:textId="77777777">
        <w:trPr>
          <w:cantSplit/>
          <w:jc w:val="center"/>
        </w:trPr>
        <w:tc>
          <w:tcPr>
            <w:tcW w:w="3092" w:type="dxa"/>
            <w:vMerge w:val="restart"/>
            <w:vAlign w:val="center"/>
          </w:tcPr>
          <w:p w14:paraId="5310DC3F"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装卸臂</w:t>
            </w:r>
          </w:p>
        </w:tc>
        <w:tc>
          <w:tcPr>
            <w:tcW w:w="3995" w:type="dxa"/>
            <w:vAlign w:val="center"/>
          </w:tcPr>
          <w:p w14:paraId="48DE3D3F"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装卸臂连接管泄漏孔径为</w:t>
            </w:r>
            <w:r w:rsidRPr="008A2411">
              <w:rPr>
                <w:rFonts w:ascii="Times New Roman" w:hAnsi="Times New Roman"/>
                <w:color w:val="000000" w:themeColor="text1"/>
              </w:rPr>
              <w:t>10%</w:t>
            </w:r>
            <w:r w:rsidRPr="008A2411">
              <w:rPr>
                <w:rFonts w:ascii="Times New Roman" w:hAnsi="Times New Roman"/>
                <w:color w:val="000000" w:themeColor="text1"/>
              </w:rPr>
              <w:t>孔径（最大</w:t>
            </w:r>
            <w:r w:rsidRPr="008A2411">
              <w:rPr>
                <w:rFonts w:ascii="Times New Roman" w:hAnsi="Times New Roman"/>
                <w:color w:val="000000" w:themeColor="text1"/>
              </w:rPr>
              <w:t>50mm</w:t>
            </w:r>
            <w:r w:rsidRPr="008A2411">
              <w:rPr>
                <w:rFonts w:ascii="Times New Roman" w:hAnsi="Times New Roman"/>
                <w:color w:val="000000" w:themeColor="text1"/>
              </w:rPr>
              <w:t>）</w:t>
            </w:r>
          </w:p>
        </w:tc>
        <w:tc>
          <w:tcPr>
            <w:tcW w:w="2029" w:type="dxa"/>
            <w:vAlign w:val="center"/>
          </w:tcPr>
          <w:p w14:paraId="10E063FE"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3.00×10</w:t>
            </w:r>
            <w:r w:rsidRPr="008A2411">
              <w:rPr>
                <w:rFonts w:ascii="Times New Roman" w:hAnsi="Times New Roman"/>
                <w:color w:val="000000" w:themeColor="text1"/>
                <w:vertAlign w:val="superscript"/>
              </w:rPr>
              <w:t>-7</w:t>
            </w:r>
            <w:r w:rsidRPr="008A2411">
              <w:rPr>
                <w:rFonts w:ascii="Times New Roman" w:hAnsi="Times New Roman"/>
                <w:color w:val="000000" w:themeColor="text1"/>
              </w:rPr>
              <w:t>/</w:t>
            </w:r>
            <w:r w:rsidRPr="008A2411">
              <w:rPr>
                <w:rFonts w:ascii="Times New Roman" w:hAnsi="Times New Roman"/>
                <w:color w:val="000000" w:themeColor="text1"/>
              </w:rPr>
              <w:t>小时</w:t>
            </w:r>
          </w:p>
        </w:tc>
      </w:tr>
      <w:tr w:rsidR="008A2411" w:rsidRPr="008A2411" w14:paraId="50ACCDD9" w14:textId="77777777">
        <w:trPr>
          <w:cantSplit/>
          <w:jc w:val="center"/>
        </w:trPr>
        <w:tc>
          <w:tcPr>
            <w:tcW w:w="3092" w:type="dxa"/>
            <w:vMerge/>
            <w:vAlign w:val="center"/>
          </w:tcPr>
          <w:p w14:paraId="4F82DEDF" w14:textId="77777777" w:rsidR="00B0005F" w:rsidRPr="008A2411" w:rsidRDefault="00B0005F">
            <w:pPr>
              <w:pStyle w:val="WJ5"/>
              <w:spacing w:line="240" w:lineRule="auto"/>
              <w:rPr>
                <w:rFonts w:ascii="Times New Roman" w:hAnsi="Times New Roman"/>
                <w:color w:val="000000" w:themeColor="text1"/>
              </w:rPr>
            </w:pPr>
          </w:p>
        </w:tc>
        <w:tc>
          <w:tcPr>
            <w:tcW w:w="3995" w:type="dxa"/>
            <w:vAlign w:val="center"/>
          </w:tcPr>
          <w:p w14:paraId="6AAD03A6"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装卸臂全管径泄漏</w:t>
            </w:r>
          </w:p>
        </w:tc>
        <w:tc>
          <w:tcPr>
            <w:tcW w:w="2029" w:type="dxa"/>
            <w:vAlign w:val="center"/>
          </w:tcPr>
          <w:p w14:paraId="0A71F410"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3.00×10</w:t>
            </w:r>
            <w:r w:rsidRPr="008A2411">
              <w:rPr>
                <w:rFonts w:ascii="Times New Roman" w:hAnsi="Times New Roman"/>
                <w:color w:val="000000" w:themeColor="text1"/>
                <w:vertAlign w:val="superscript"/>
              </w:rPr>
              <w:t>-8</w:t>
            </w:r>
            <w:r w:rsidRPr="008A2411">
              <w:rPr>
                <w:rFonts w:ascii="Times New Roman" w:hAnsi="Times New Roman"/>
                <w:color w:val="000000" w:themeColor="text1"/>
              </w:rPr>
              <w:t>/</w:t>
            </w:r>
            <w:r w:rsidRPr="008A2411">
              <w:rPr>
                <w:rFonts w:ascii="Times New Roman" w:hAnsi="Times New Roman"/>
                <w:color w:val="000000" w:themeColor="text1"/>
              </w:rPr>
              <w:t>小时</w:t>
            </w:r>
          </w:p>
        </w:tc>
      </w:tr>
      <w:tr w:rsidR="008A2411" w:rsidRPr="008A2411" w14:paraId="749D8AA8" w14:textId="77777777">
        <w:trPr>
          <w:cantSplit/>
          <w:jc w:val="center"/>
        </w:trPr>
        <w:tc>
          <w:tcPr>
            <w:tcW w:w="3092" w:type="dxa"/>
            <w:vMerge w:val="restart"/>
            <w:vAlign w:val="center"/>
          </w:tcPr>
          <w:p w14:paraId="1061D4FA"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装卸软管</w:t>
            </w:r>
          </w:p>
        </w:tc>
        <w:tc>
          <w:tcPr>
            <w:tcW w:w="3995" w:type="dxa"/>
            <w:vAlign w:val="center"/>
          </w:tcPr>
          <w:p w14:paraId="143437D1"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装卸软管连接管泄漏孔径为</w:t>
            </w:r>
            <w:r w:rsidRPr="008A2411">
              <w:rPr>
                <w:rFonts w:ascii="Times New Roman" w:hAnsi="Times New Roman"/>
                <w:color w:val="000000" w:themeColor="text1"/>
              </w:rPr>
              <w:t>10%</w:t>
            </w:r>
            <w:r w:rsidRPr="008A2411">
              <w:rPr>
                <w:rFonts w:ascii="Times New Roman" w:hAnsi="Times New Roman"/>
                <w:color w:val="000000" w:themeColor="text1"/>
              </w:rPr>
              <w:t>孔径（最大</w:t>
            </w:r>
            <w:r w:rsidRPr="008A2411">
              <w:rPr>
                <w:rFonts w:ascii="Times New Roman" w:hAnsi="Times New Roman"/>
                <w:color w:val="000000" w:themeColor="text1"/>
              </w:rPr>
              <w:t>50mm</w:t>
            </w:r>
            <w:r w:rsidRPr="008A2411">
              <w:rPr>
                <w:rFonts w:ascii="Times New Roman" w:hAnsi="Times New Roman"/>
                <w:color w:val="000000" w:themeColor="text1"/>
              </w:rPr>
              <w:t>）</w:t>
            </w:r>
          </w:p>
        </w:tc>
        <w:tc>
          <w:tcPr>
            <w:tcW w:w="2029" w:type="dxa"/>
            <w:vAlign w:val="center"/>
          </w:tcPr>
          <w:p w14:paraId="324DFADC"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4.00×10</w:t>
            </w:r>
            <w:r w:rsidRPr="008A2411">
              <w:rPr>
                <w:rFonts w:ascii="Times New Roman" w:hAnsi="Times New Roman"/>
                <w:color w:val="000000" w:themeColor="text1"/>
                <w:vertAlign w:val="superscript"/>
              </w:rPr>
              <w:t>-5</w:t>
            </w:r>
            <w:r w:rsidRPr="008A2411">
              <w:rPr>
                <w:rFonts w:ascii="Times New Roman" w:hAnsi="Times New Roman"/>
                <w:color w:val="000000" w:themeColor="text1"/>
              </w:rPr>
              <w:t>/</w:t>
            </w:r>
            <w:r w:rsidRPr="008A2411">
              <w:rPr>
                <w:rFonts w:ascii="Times New Roman" w:hAnsi="Times New Roman"/>
                <w:color w:val="000000" w:themeColor="text1"/>
              </w:rPr>
              <w:t>小时</w:t>
            </w:r>
          </w:p>
        </w:tc>
      </w:tr>
      <w:tr w:rsidR="008A2411" w:rsidRPr="008A2411" w14:paraId="25970B53" w14:textId="77777777">
        <w:trPr>
          <w:cantSplit/>
          <w:jc w:val="center"/>
        </w:trPr>
        <w:tc>
          <w:tcPr>
            <w:tcW w:w="3092" w:type="dxa"/>
            <w:vMerge/>
            <w:vAlign w:val="center"/>
          </w:tcPr>
          <w:p w14:paraId="5ADD4CD6" w14:textId="77777777" w:rsidR="00B0005F" w:rsidRPr="008A2411" w:rsidRDefault="00B0005F">
            <w:pPr>
              <w:pStyle w:val="WJ5"/>
              <w:spacing w:line="240" w:lineRule="auto"/>
              <w:rPr>
                <w:rFonts w:ascii="Times New Roman" w:hAnsi="Times New Roman"/>
                <w:color w:val="000000" w:themeColor="text1"/>
              </w:rPr>
            </w:pPr>
          </w:p>
        </w:tc>
        <w:tc>
          <w:tcPr>
            <w:tcW w:w="3995" w:type="dxa"/>
            <w:vAlign w:val="center"/>
          </w:tcPr>
          <w:p w14:paraId="76D986AE"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装卸软管全管径泄漏</w:t>
            </w:r>
          </w:p>
        </w:tc>
        <w:tc>
          <w:tcPr>
            <w:tcW w:w="2029" w:type="dxa"/>
            <w:vAlign w:val="center"/>
          </w:tcPr>
          <w:p w14:paraId="1210B25B"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4.00×10</w:t>
            </w:r>
            <w:r w:rsidRPr="008A2411">
              <w:rPr>
                <w:rFonts w:ascii="Times New Roman" w:hAnsi="Times New Roman"/>
                <w:color w:val="000000" w:themeColor="text1"/>
                <w:vertAlign w:val="superscript"/>
              </w:rPr>
              <w:t>-6</w:t>
            </w:r>
            <w:r w:rsidRPr="008A2411">
              <w:rPr>
                <w:rFonts w:ascii="Times New Roman" w:hAnsi="Times New Roman"/>
                <w:color w:val="000000" w:themeColor="text1"/>
              </w:rPr>
              <w:t>/</w:t>
            </w:r>
            <w:r w:rsidRPr="008A2411">
              <w:rPr>
                <w:rFonts w:ascii="Times New Roman" w:hAnsi="Times New Roman"/>
                <w:color w:val="000000" w:themeColor="text1"/>
              </w:rPr>
              <w:t>小时</w:t>
            </w:r>
          </w:p>
        </w:tc>
      </w:tr>
    </w:tbl>
    <w:p w14:paraId="2E9A46D2"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依据《建设项目环境风险评价技术导则》（</w:t>
      </w:r>
      <w:r w:rsidRPr="008A2411">
        <w:rPr>
          <w:rFonts w:ascii="Times New Roman"/>
          <w:bCs/>
          <w:color w:val="000000" w:themeColor="text1"/>
        </w:rPr>
        <w:t>HJ169-2018</w:t>
      </w:r>
      <w:r w:rsidRPr="008A2411">
        <w:rPr>
          <w:rFonts w:ascii="Times New Roman"/>
          <w:bCs/>
          <w:color w:val="000000" w:themeColor="text1"/>
        </w:rPr>
        <w:t>），发生频率小于</w:t>
      </w:r>
      <w:r w:rsidRPr="008A2411">
        <w:rPr>
          <w:rFonts w:ascii="Times New Roman"/>
          <w:bCs/>
          <w:color w:val="000000" w:themeColor="text1"/>
        </w:rPr>
        <w:t>10</w:t>
      </w:r>
      <w:r w:rsidRPr="008A2411">
        <w:rPr>
          <w:rFonts w:ascii="Times New Roman"/>
          <w:bCs/>
          <w:color w:val="000000" w:themeColor="text1"/>
          <w:vertAlign w:val="superscript"/>
        </w:rPr>
        <w:t>-6</w:t>
      </w:r>
      <w:r w:rsidRPr="008A2411">
        <w:rPr>
          <w:rFonts w:ascii="Times New Roman"/>
          <w:bCs/>
          <w:color w:val="000000" w:themeColor="text1"/>
        </w:rPr>
        <w:t>/</w:t>
      </w:r>
      <w:r w:rsidRPr="008A2411">
        <w:rPr>
          <w:rFonts w:ascii="Times New Roman"/>
          <w:bCs/>
          <w:color w:val="000000" w:themeColor="text1"/>
        </w:rPr>
        <w:t>年的事件是极小概率事件，可作为代表性事故情形中最大可信事故设定的参考。</w:t>
      </w:r>
    </w:p>
    <w:p w14:paraId="6F9BADB1" w14:textId="77777777" w:rsidR="00B0005F" w:rsidRPr="008A2411" w:rsidRDefault="00000000">
      <w:pPr>
        <w:spacing w:line="360" w:lineRule="auto"/>
        <w:ind w:firstLineChars="200" w:firstLine="482"/>
        <w:rPr>
          <w:rFonts w:ascii="Times New Roman"/>
          <w:bCs/>
          <w:color w:val="000000" w:themeColor="text1"/>
        </w:rPr>
      </w:pPr>
      <w:r w:rsidRPr="008A2411">
        <w:rPr>
          <w:rFonts w:ascii="Times New Roman" w:hint="eastAsia"/>
          <w:b/>
          <w:color w:val="000000" w:themeColor="text1"/>
        </w:rPr>
        <w:t>根据可</w:t>
      </w:r>
      <w:proofErr w:type="gramStart"/>
      <w:r w:rsidRPr="008A2411">
        <w:rPr>
          <w:rFonts w:ascii="Times New Roman" w:hint="eastAsia"/>
          <w:b/>
          <w:color w:val="000000" w:themeColor="text1"/>
        </w:rPr>
        <w:t>研</w:t>
      </w:r>
      <w:proofErr w:type="gramEnd"/>
      <w:r w:rsidRPr="008A2411">
        <w:rPr>
          <w:rFonts w:ascii="Times New Roman" w:hint="eastAsia"/>
          <w:b/>
          <w:color w:val="000000" w:themeColor="text1"/>
        </w:rPr>
        <w:t>设计方案及设计单位核实，本项目液化天然气储罐</w:t>
      </w:r>
      <w:proofErr w:type="gramStart"/>
      <w:r w:rsidRPr="008A2411">
        <w:rPr>
          <w:rFonts w:ascii="Times New Roman"/>
          <w:b/>
          <w:color w:val="000000" w:themeColor="text1"/>
        </w:rPr>
        <w:t>常压全</w:t>
      </w:r>
      <w:proofErr w:type="gramEnd"/>
      <w:r w:rsidRPr="008A2411">
        <w:rPr>
          <w:rFonts w:ascii="Times New Roman"/>
          <w:b/>
          <w:color w:val="000000" w:themeColor="text1"/>
        </w:rPr>
        <w:t>包容储罐</w:t>
      </w:r>
      <w:r w:rsidRPr="008A2411">
        <w:rPr>
          <w:rFonts w:ascii="Times New Roman" w:hint="eastAsia"/>
          <w:b/>
          <w:color w:val="000000" w:themeColor="text1"/>
        </w:rPr>
        <w:t>，</w:t>
      </w:r>
      <w:r w:rsidRPr="008A2411">
        <w:rPr>
          <w:rFonts w:ascii="Times New Roman"/>
          <w:b/>
          <w:color w:val="000000" w:themeColor="text1"/>
        </w:rPr>
        <w:t>储罐全破裂</w:t>
      </w:r>
      <w:r w:rsidRPr="008A2411">
        <w:rPr>
          <w:rFonts w:ascii="Times New Roman" w:hint="eastAsia"/>
          <w:b/>
          <w:color w:val="000000" w:themeColor="text1"/>
        </w:rPr>
        <w:t>事故概率为</w:t>
      </w:r>
      <w:r w:rsidRPr="008A2411">
        <w:rPr>
          <w:rFonts w:ascii="Times New Roman"/>
          <w:b/>
          <w:color w:val="000000" w:themeColor="text1"/>
        </w:rPr>
        <w:t>1.00×10</w:t>
      </w:r>
      <w:r w:rsidRPr="008A2411">
        <w:rPr>
          <w:rFonts w:ascii="Times New Roman"/>
          <w:b/>
          <w:color w:val="000000" w:themeColor="text1"/>
          <w:vertAlign w:val="superscript"/>
        </w:rPr>
        <w:t>-8</w:t>
      </w:r>
      <w:r w:rsidRPr="008A2411">
        <w:rPr>
          <w:rFonts w:ascii="Times New Roman"/>
          <w:b/>
          <w:color w:val="000000" w:themeColor="text1"/>
        </w:rPr>
        <w:t>/</w:t>
      </w:r>
      <w:r w:rsidRPr="008A2411">
        <w:rPr>
          <w:rFonts w:ascii="Times New Roman"/>
          <w:b/>
          <w:color w:val="000000" w:themeColor="text1"/>
        </w:rPr>
        <w:t>年</w:t>
      </w:r>
      <w:r w:rsidRPr="008A2411">
        <w:rPr>
          <w:rFonts w:ascii="Times New Roman" w:hint="eastAsia"/>
          <w:b/>
          <w:color w:val="000000" w:themeColor="text1"/>
        </w:rPr>
        <w:t>，概率极小。因此，根据导则规定中规定的原则：“设定的风险事故情形发生可能性应处于合理的区间，并与经济计划发展相适应。一般而言，</w:t>
      </w:r>
      <w:r w:rsidRPr="008A2411">
        <w:rPr>
          <w:rFonts w:ascii="Times New Roman"/>
          <w:b/>
          <w:color w:val="000000" w:themeColor="text1"/>
        </w:rPr>
        <w:t>发生频率小于</w:t>
      </w:r>
      <w:r w:rsidRPr="008A2411">
        <w:rPr>
          <w:rFonts w:ascii="Times New Roman"/>
          <w:b/>
          <w:color w:val="000000" w:themeColor="text1"/>
        </w:rPr>
        <w:t>10</w:t>
      </w:r>
      <w:r w:rsidRPr="008A2411">
        <w:rPr>
          <w:rFonts w:ascii="Times New Roman"/>
          <w:b/>
          <w:color w:val="000000" w:themeColor="text1"/>
          <w:vertAlign w:val="superscript"/>
        </w:rPr>
        <w:t>-6</w:t>
      </w:r>
      <w:r w:rsidRPr="008A2411">
        <w:rPr>
          <w:rFonts w:ascii="Times New Roman"/>
          <w:b/>
          <w:color w:val="000000" w:themeColor="text1"/>
        </w:rPr>
        <w:t>/</w:t>
      </w:r>
      <w:r w:rsidRPr="008A2411">
        <w:rPr>
          <w:rFonts w:ascii="Times New Roman"/>
          <w:b/>
          <w:color w:val="000000" w:themeColor="text1"/>
        </w:rPr>
        <w:t>年的事件是极小概率事件，可作为代表性事故情形中最大可信事故设定的参考</w:t>
      </w:r>
      <w:r w:rsidRPr="008A2411">
        <w:rPr>
          <w:rFonts w:ascii="Times New Roman" w:hint="eastAsia"/>
          <w:b/>
          <w:color w:val="000000" w:themeColor="text1"/>
        </w:rPr>
        <w:t>。”本次评价选择</w:t>
      </w:r>
      <w:r w:rsidRPr="008A2411">
        <w:rPr>
          <w:rFonts w:ascii="Times New Roman"/>
          <w:b/>
          <w:color w:val="000000" w:themeColor="text1"/>
        </w:rPr>
        <w:t>站场塔器泄漏（即塔器连接管道处泄漏），</w:t>
      </w:r>
      <w:r w:rsidRPr="008A2411">
        <w:rPr>
          <w:rFonts w:ascii="Times New Roman"/>
          <w:bCs/>
          <w:color w:val="000000" w:themeColor="text1"/>
        </w:rPr>
        <w:t>管线泄漏等</w:t>
      </w:r>
      <w:r w:rsidRPr="008A2411">
        <w:rPr>
          <w:rFonts w:ascii="Times New Roman" w:hint="eastAsia"/>
          <w:bCs/>
          <w:color w:val="000000" w:themeColor="text1"/>
        </w:rPr>
        <w:t>作为最大可信事故设定。</w:t>
      </w:r>
      <w:r w:rsidRPr="008A2411">
        <w:rPr>
          <w:rFonts w:ascii="Times New Roman"/>
          <w:bCs/>
          <w:color w:val="000000" w:themeColor="text1"/>
        </w:rPr>
        <w:t>结合上表，最大可信事故均是全管径泄漏（概率才能达到</w:t>
      </w:r>
      <w:r w:rsidRPr="008A2411">
        <w:rPr>
          <w:rFonts w:ascii="Times New Roman"/>
          <w:bCs/>
          <w:color w:val="000000" w:themeColor="text1"/>
        </w:rPr>
        <w:t>10</w:t>
      </w:r>
      <w:r w:rsidRPr="008A2411">
        <w:rPr>
          <w:rFonts w:ascii="Times New Roman"/>
          <w:bCs/>
          <w:color w:val="000000" w:themeColor="text1"/>
          <w:vertAlign w:val="superscript"/>
        </w:rPr>
        <w:t>-7</w:t>
      </w:r>
      <w:r w:rsidRPr="008A2411">
        <w:rPr>
          <w:rFonts w:ascii="Times New Roman"/>
          <w:bCs/>
          <w:color w:val="000000" w:themeColor="text1"/>
        </w:rPr>
        <w:t>/</w:t>
      </w:r>
      <w:r w:rsidRPr="008A2411">
        <w:rPr>
          <w:rFonts w:ascii="Times New Roman"/>
          <w:bCs/>
          <w:color w:val="000000" w:themeColor="text1"/>
        </w:rPr>
        <w:t>年）。</w:t>
      </w:r>
    </w:p>
    <w:p w14:paraId="79EC02AD" w14:textId="77777777" w:rsidR="00B0005F" w:rsidRPr="008A2411" w:rsidRDefault="00000000">
      <w:pPr>
        <w:pStyle w:val="afffffff9"/>
        <w:spacing w:line="240" w:lineRule="auto"/>
        <w:ind w:firstLineChars="0" w:firstLine="0"/>
        <w:jc w:val="center"/>
        <w:rPr>
          <w:rFonts w:ascii="Times New Roman" w:eastAsia="黑体" w:hAnsi="Times New Roman"/>
          <w:bCs/>
          <w:color w:val="000000" w:themeColor="text1"/>
        </w:rPr>
      </w:pPr>
      <w:r w:rsidRPr="008A2411">
        <w:rPr>
          <w:rFonts w:ascii="Times New Roman" w:eastAsia="黑体" w:hAnsi="Times New Roman"/>
          <w:bCs/>
          <w:color w:val="000000" w:themeColor="text1"/>
        </w:rPr>
        <w:t>表</w:t>
      </w:r>
      <w:r w:rsidRPr="008A2411">
        <w:rPr>
          <w:rFonts w:ascii="Times New Roman" w:eastAsia="黑体" w:hAnsi="Times New Roman"/>
          <w:bCs/>
          <w:color w:val="000000" w:themeColor="text1"/>
        </w:rPr>
        <w:t xml:space="preserve">6.6-4  </w:t>
      </w:r>
      <w:r w:rsidRPr="008A2411">
        <w:rPr>
          <w:rFonts w:ascii="Times New Roman" w:eastAsia="黑体" w:hAnsi="Times New Roman"/>
          <w:bCs/>
          <w:color w:val="000000" w:themeColor="text1"/>
        </w:rPr>
        <w:t>泄漏模式及频率筛选结果一览表</w:t>
      </w:r>
    </w:p>
    <w:tbl>
      <w:tblPr>
        <w:tblW w:w="499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605"/>
        <w:gridCol w:w="2005"/>
        <w:gridCol w:w="2363"/>
        <w:gridCol w:w="2360"/>
      </w:tblGrid>
      <w:tr w:rsidR="008A2411" w:rsidRPr="008A2411" w14:paraId="3F4FFE7A" w14:textId="77777777">
        <w:trPr>
          <w:trHeight w:val="300"/>
          <w:jc w:val="center"/>
        </w:trPr>
        <w:tc>
          <w:tcPr>
            <w:tcW w:w="963" w:type="pct"/>
            <w:shd w:val="clear" w:color="auto" w:fill="FFFFFF"/>
            <w:tcMar>
              <w:top w:w="15" w:type="dxa"/>
              <w:left w:w="15" w:type="dxa"/>
              <w:right w:w="15" w:type="dxa"/>
            </w:tcMar>
            <w:vAlign w:val="center"/>
          </w:tcPr>
          <w:p w14:paraId="6E2FB25D" w14:textId="77777777" w:rsidR="00B0005F" w:rsidRPr="008A2411" w:rsidRDefault="00000000">
            <w:pPr>
              <w:pStyle w:val="WJ5"/>
              <w:spacing w:line="240" w:lineRule="auto"/>
              <w:rPr>
                <w:rFonts w:ascii="Times New Roman" w:hAnsi="Times New Roman"/>
                <w:color w:val="000000" w:themeColor="text1"/>
              </w:rPr>
            </w:pPr>
            <w:bookmarkStart w:id="513" w:name="_Hlk85200146"/>
            <w:r w:rsidRPr="008A2411">
              <w:rPr>
                <w:rFonts w:ascii="Times New Roman" w:hAnsi="Times New Roman"/>
                <w:color w:val="000000" w:themeColor="text1"/>
              </w:rPr>
              <w:t>装置单元</w:t>
            </w:r>
          </w:p>
        </w:tc>
        <w:tc>
          <w:tcPr>
            <w:tcW w:w="1203" w:type="pct"/>
            <w:shd w:val="clear" w:color="auto" w:fill="FFFFFF"/>
            <w:tcMar>
              <w:top w:w="15" w:type="dxa"/>
              <w:left w:w="15" w:type="dxa"/>
              <w:right w:w="15" w:type="dxa"/>
            </w:tcMar>
            <w:vAlign w:val="center"/>
          </w:tcPr>
          <w:p w14:paraId="36DA7C04"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管线</w:t>
            </w:r>
          </w:p>
        </w:tc>
        <w:tc>
          <w:tcPr>
            <w:tcW w:w="1417" w:type="pct"/>
            <w:shd w:val="clear" w:color="auto" w:fill="FFFFFF"/>
            <w:tcMar>
              <w:top w:w="15" w:type="dxa"/>
              <w:left w:w="15" w:type="dxa"/>
              <w:right w:w="15" w:type="dxa"/>
            </w:tcMar>
            <w:vAlign w:val="center"/>
          </w:tcPr>
          <w:p w14:paraId="76D48462"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液化生产</w:t>
            </w:r>
          </w:p>
        </w:tc>
        <w:tc>
          <w:tcPr>
            <w:tcW w:w="1415" w:type="pct"/>
            <w:shd w:val="clear" w:color="auto" w:fill="FFFFFF"/>
            <w:tcMar>
              <w:top w:w="15" w:type="dxa"/>
              <w:left w:w="15" w:type="dxa"/>
              <w:right w:w="15" w:type="dxa"/>
            </w:tcMar>
            <w:vAlign w:val="center"/>
          </w:tcPr>
          <w:p w14:paraId="51E7A91F"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污水处理单元</w:t>
            </w:r>
          </w:p>
        </w:tc>
      </w:tr>
      <w:tr w:rsidR="008A2411" w:rsidRPr="008A2411" w14:paraId="4463A208" w14:textId="77777777">
        <w:trPr>
          <w:trHeight w:val="44"/>
          <w:jc w:val="center"/>
        </w:trPr>
        <w:tc>
          <w:tcPr>
            <w:tcW w:w="963" w:type="pct"/>
            <w:shd w:val="clear" w:color="auto" w:fill="FFFFFF"/>
            <w:tcMar>
              <w:top w:w="15" w:type="dxa"/>
              <w:left w:w="15" w:type="dxa"/>
              <w:right w:w="15" w:type="dxa"/>
            </w:tcMar>
            <w:vAlign w:val="center"/>
          </w:tcPr>
          <w:p w14:paraId="7AE25D97"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装置</w:t>
            </w:r>
            <w:r w:rsidRPr="008A2411">
              <w:rPr>
                <w:rFonts w:ascii="Times New Roman" w:hAnsi="Times New Roman"/>
                <w:color w:val="000000" w:themeColor="text1"/>
              </w:rPr>
              <w:t>/</w:t>
            </w:r>
            <w:r w:rsidRPr="008A2411">
              <w:rPr>
                <w:rFonts w:ascii="Times New Roman" w:hAnsi="Times New Roman"/>
                <w:color w:val="000000" w:themeColor="text1"/>
              </w:rPr>
              <w:t>管线</w:t>
            </w:r>
          </w:p>
        </w:tc>
        <w:tc>
          <w:tcPr>
            <w:tcW w:w="1203" w:type="pct"/>
            <w:shd w:val="clear" w:color="auto" w:fill="FFFFFF"/>
            <w:tcMar>
              <w:top w:w="15" w:type="dxa"/>
              <w:left w:w="15" w:type="dxa"/>
              <w:right w:w="15" w:type="dxa"/>
            </w:tcMar>
            <w:vAlign w:val="center"/>
          </w:tcPr>
          <w:p w14:paraId="592D70CD"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管道泄漏</w:t>
            </w:r>
          </w:p>
        </w:tc>
        <w:tc>
          <w:tcPr>
            <w:tcW w:w="1417" w:type="pct"/>
            <w:shd w:val="clear" w:color="auto" w:fill="FFFFFF"/>
            <w:tcMar>
              <w:top w:w="15" w:type="dxa"/>
              <w:left w:w="15" w:type="dxa"/>
              <w:right w:w="15" w:type="dxa"/>
            </w:tcMar>
            <w:vAlign w:val="center"/>
          </w:tcPr>
          <w:p w14:paraId="3F4D478F"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吸收塔</w:t>
            </w:r>
          </w:p>
        </w:tc>
        <w:tc>
          <w:tcPr>
            <w:tcW w:w="1415" w:type="pct"/>
            <w:shd w:val="clear" w:color="auto" w:fill="FFFFFF"/>
            <w:tcMar>
              <w:top w:w="15" w:type="dxa"/>
              <w:left w:w="15" w:type="dxa"/>
              <w:right w:w="15" w:type="dxa"/>
            </w:tcMar>
            <w:vAlign w:val="center"/>
          </w:tcPr>
          <w:p w14:paraId="12BEFFAF"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污水处理单元</w:t>
            </w:r>
          </w:p>
        </w:tc>
      </w:tr>
      <w:tr w:rsidR="008A2411" w:rsidRPr="008A2411" w14:paraId="61069695" w14:textId="77777777">
        <w:trPr>
          <w:trHeight w:val="35"/>
          <w:jc w:val="center"/>
        </w:trPr>
        <w:tc>
          <w:tcPr>
            <w:tcW w:w="963" w:type="pct"/>
            <w:shd w:val="clear" w:color="auto" w:fill="FFFFFF"/>
            <w:tcMar>
              <w:top w:w="15" w:type="dxa"/>
              <w:left w:w="15" w:type="dxa"/>
              <w:right w:w="15" w:type="dxa"/>
            </w:tcMar>
            <w:vAlign w:val="center"/>
          </w:tcPr>
          <w:p w14:paraId="3D4BF55B"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泄漏点位置</w:t>
            </w:r>
          </w:p>
        </w:tc>
        <w:tc>
          <w:tcPr>
            <w:tcW w:w="1203" w:type="pct"/>
            <w:shd w:val="clear" w:color="auto" w:fill="FFFFFF"/>
            <w:tcMar>
              <w:top w:w="15" w:type="dxa"/>
              <w:left w:w="15" w:type="dxa"/>
              <w:right w:w="15" w:type="dxa"/>
            </w:tcMar>
            <w:vAlign w:val="center"/>
          </w:tcPr>
          <w:p w14:paraId="261085D8"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横切面</w:t>
            </w:r>
          </w:p>
        </w:tc>
        <w:tc>
          <w:tcPr>
            <w:tcW w:w="1417" w:type="pct"/>
            <w:shd w:val="clear" w:color="auto" w:fill="FFFFFF"/>
            <w:tcMar>
              <w:top w:w="15" w:type="dxa"/>
              <w:left w:w="15" w:type="dxa"/>
              <w:right w:w="15" w:type="dxa"/>
            </w:tcMar>
            <w:vAlign w:val="center"/>
          </w:tcPr>
          <w:p w14:paraId="62EB6484"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管线连接处</w:t>
            </w:r>
          </w:p>
        </w:tc>
        <w:tc>
          <w:tcPr>
            <w:tcW w:w="1415" w:type="pct"/>
            <w:vMerge w:val="restart"/>
            <w:shd w:val="clear" w:color="auto" w:fill="FFFFFF"/>
            <w:tcMar>
              <w:top w:w="15" w:type="dxa"/>
              <w:left w:w="15" w:type="dxa"/>
              <w:right w:w="15" w:type="dxa"/>
            </w:tcMar>
            <w:vAlign w:val="center"/>
          </w:tcPr>
          <w:p w14:paraId="7B7C0CDE"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见地下水专项</w:t>
            </w:r>
          </w:p>
        </w:tc>
      </w:tr>
      <w:tr w:rsidR="008A2411" w:rsidRPr="008A2411" w14:paraId="0B52D762" w14:textId="77777777">
        <w:trPr>
          <w:trHeight w:val="35"/>
          <w:jc w:val="center"/>
        </w:trPr>
        <w:tc>
          <w:tcPr>
            <w:tcW w:w="963" w:type="pct"/>
            <w:shd w:val="clear" w:color="auto" w:fill="FFFFFF"/>
            <w:tcMar>
              <w:top w:w="15" w:type="dxa"/>
              <w:left w:w="15" w:type="dxa"/>
              <w:right w:w="15" w:type="dxa"/>
            </w:tcMar>
            <w:vAlign w:val="center"/>
          </w:tcPr>
          <w:p w14:paraId="54CBCEBC"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管线直径（</w:t>
            </w:r>
            <w:r w:rsidRPr="008A2411">
              <w:rPr>
                <w:rFonts w:ascii="Times New Roman" w:hAnsi="Times New Roman"/>
                <w:color w:val="000000" w:themeColor="text1"/>
              </w:rPr>
              <w:t>mm</w:t>
            </w:r>
            <w:r w:rsidRPr="008A2411">
              <w:rPr>
                <w:rFonts w:ascii="Times New Roman" w:hAnsi="Times New Roman"/>
                <w:color w:val="000000" w:themeColor="text1"/>
              </w:rPr>
              <w:t>）</w:t>
            </w:r>
          </w:p>
        </w:tc>
        <w:tc>
          <w:tcPr>
            <w:tcW w:w="1203" w:type="pct"/>
            <w:shd w:val="clear" w:color="auto" w:fill="FFFFFF"/>
            <w:tcMar>
              <w:top w:w="15" w:type="dxa"/>
              <w:left w:w="15" w:type="dxa"/>
              <w:right w:w="15" w:type="dxa"/>
            </w:tcMar>
            <w:vAlign w:val="center"/>
          </w:tcPr>
          <w:p w14:paraId="29C6DEC3"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150</w:t>
            </w:r>
          </w:p>
        </w:tc>
        <w:tc>
          <w:tcPr>
            <w:tcW w:w="1417" w:type="pct"/>
            <w:shd w:val="clear" w:color="auto" w:fill="FFFFFF"/>
            <w:tcMar>
              <w:top w:w="15" w:type="dxa"/>
              <w:left w:w="15" w:type="dxa"/>
              <w:right w:w="15" w:type="dxa"/>
            </w:tcMar>
            <w:vAlign w:val="center"/>
          </w:tcPr>
          <w:p w14:paraId="4D5C97DC"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100</w:t>
            </w:r>
          </w:p>
        </w:tc>
        <w:tc>
          <w:tcPr>
            <w:tcW w:w="1415" w:type="pct"/>
            <w:vMerge/>
            <w:shd w:val="clear" w:color="auto" w:fill="FFFFFF"/>
            <w:tcMar>
              <w:top w:w="15" w:type="dxa"/>
              <w:left w:w="15" w:type="dxa"/>
              <w:right w:w="15" w:type="dxa"/>
            </w:tcMar>
            <w:vAlign w:val="center"/>
          </w:tcPr>
          <w:p w14:paraId="743AB586" w14:textId="77777777" w:rsidR="00B0005F" w:rsidRPr="008A2411" w:rsidRDefault="00B0005F">
            <w:pPr>
              <w:pStyle w:val="WJ5"/>
              <w:spacing w:line="240" w:lineRule="auto"/>
              <w:rPr>
                <w:rFonts w:ascii="Times New Roman" w:hAnsi="Times New Roman"/>
                <w:color w:val="000000" w:themeColor="text1"/>
              </w:rPr>
            </w:pPr>
          </w:p>
        </w:tc>
      </w:tr>
      <w:tr w:rsidR="008A2411" w:rsidRPr="008A2411" w14:paraId="1E5AE09A" w14:textId="77777777">
        <w:trPr>
          <w:trHeight w:val="35"/>
          <w:jc w:val="center"/>
        </w:trPr>
        <w:tc>
          <w:tcPr>
            <w:tcW w:w="963" w:type="pct"/>
            <w:tcMar>
              <w:top w:w="15" w:type="dxa"/>
              <w:left w:w="15" w:type="dxa"/>
              <w:right w:w="15" w:type="dxa"/>
            </w:tcMar>
            <w:vAlign w:val="center"/>
          </w:tcPr>
          <w:p w14:paraId="041D8E44"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泄漏频率</w:t>
            </w:r>
          </w:p>
        </w:tc>
        <w:tc>
          <w:tcPr>
            <w:tcW w:w="1203" w:type="pct"/>
            <w:tcMar>
              <w:top w:w="15" w:type="dxa"/>
              <w:left w:w="15" w:type="dxa"/>
              <w:right w:w="15" w:type="dxa"/>
            </w:tcMar>
            <w:vAlign w:val="center"/>
          </w:tcPr>
          <w:p w14:paraId="7CE77B00"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1.00×10</w:t>
            </w:r>
            <w:r w:rsidRPr="008A2411">
              <w:rPr>
                <w:rFonts w:ascii="Times New Roman" w:hAnsi="Times New Roman"/>
                <w:color w:val="000000" w:themeColor="text1"/>
                <w:vertAlign w:val="superscript"/>
              </w:rPr>
              <w:t>-7</w:t>
            </w:r>
            <w:r w:rsidRPr="008A2411">
              <w:rPr>
                <w:rFonts w:ascii="Times New Roman" w:hAnsi="Times New Roman"/>
                <w:color w:val="000000" w:themeColor="text1"/>
              </w:rPr>
              <w:t>（</w:t>
            </w:r>
            <w:r w:rsidRPr="008A2411">
              <w:rPr>
                <w:rFonts w:ascii="Times New Roman" w:hAnsi="Times New Roman"/>
                <w:color w:val="000000" w:themeColor="text1"/>
              </w:rPr>
              <w:t>m/</w:t>
            </w:r>
            <w:r w:rsidRPr="008A2411">
              <w:rPr>
                <w:rFonts w:ascii="Times New Roman" w:hAnsi="Times New Roman"/>
                <w:color w:val="000000" w:themeColor="text1"/>
              </w:rPr>
              <w:t>年）</w:t>
            </w:r>
          </w:p>
        </w:tc>
        <w:tc>
          <w:tcPr>
            <w:tcW w:w="1417" w:type="pct"/>
            <w:tcMar>
              <w:top w:w="15" w:type="dxa"/>
              <w:left w:w="15" w:type="dxa"/>
              <w:right w:w="15" w:type="dxa"/>
            </w:tcMar>
            <w:vAlign w:val="center"/>
          </w:tcPr>
          <w:p w14:paraId="5766A6F6"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1.00×10</w:t>
            </w:r>
            <w:r w:rsidRPr="008A2411">
              <w:rPr>
                <w:rFonts w:ascii="Times New Roman" w:hAnsi="Times New Roman"/>
                <w:color w:val="000000" w:themeColor="text1"/>
                <w:vertAlign w:val="superscript"/>
              </w:rPr>
              <w:t>-7</w:t>
            </w:r>
            <w:r w:rsidRPr="008A2411">
              <w:rPr>
                <w:rFonts w:ascii="Times New Roman" w:hAnsi="Times New Roman"/>
                <w:color w:val="000000" w:themeColor="text1"/>
              </w:rPr>
              <w:t>（</w:t>
            </w:r>
            <w:r w:rsidRPr="008A2411">
              <w:rPr>
                <w:rFonts w:ascii="Times New Roman" w:hAnsi="Times New Roman"/>
                <w:color w:val="000000" w:themeColor="text1"/>
              </w:rPr>
              <w:t>m/</w:t>
            </w:r>
            <w:r w:rsidRPr="008A2411">
              <w:rPr>
                <w:rFonts w:ascii="Times New Roman" w:hAnsi="Times New Roman"/>
                <w:color w:val="000000" w:themeColor="text1"/>
              </w:rPr>
              <w:t>年）</w:t>
            </w:r>
          </w:p>
        </w:tc>
        <w:tc>
          <w:tcPr>
            <w:tcW w:w="1415" w:type="pct"/>
            <w:tcMar>
              <w:top w:w="15" w:type="dxa"/>
              <w:left w:w="15" w:type="dxa"/>
              <w:right w:w="15" w:type="dxa"/>
            </w:tcMar>
            <w:vAlign w:val="center"/>
          </w:tcPr>
          <w:p w14:paraId="181FFDDE"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1.00×10</w:t>
            </w:r>
            <w:r w:rsidRPr="008A2411">
              <w:rPr>
                <w:rFonts w:ascii="Times New Roman" w:hAnsi="Times New Roman"/>
                <w:color w:val="000000" w:themeColor="text1"/>
                <w:vertAlign w:val="superscript"/>
              </w:rPr>
              <w:t>-7</w:t>
            </w:r>
            <w:r w:rsidRPr="008A2411">
              <w:rPr>
                <w:rFonts w:ascii="Times New Roman" w:hAnsi="Times New Roman"/>
                <w:color w:val="000000" w:themeColor="text1"/>
              </w:rPr>
              <w:t>（</w:t>
            </w:r>
            <w:r w:rsidRPr="008A2411">
              <w:rPr>
                <w:rFonts w:ascii="Times New Roman" w:hAnsi="Times New Roman"/>
                <w:color w:val="000000" w:themeColor="text1"/>
              </w:rPr>
              <w:t>m/</w:t>
            </w:r>
            <w:r w:rsidRPr="008A2411">
              <w:rPr>
                <w:rFonts w:ascii="Times New Roman" w:hAnsi="Times New Roman"/>
                <w:color w:val="000000" w:themeColor="text1"/>
              </w:rPr>
              <w:t>年）</w:t>
            </w:r>
          </w:p>
        </w:tc>
      </w:tr>
      <w:tr w:rsidR="008A2411" w:rsidRPr="008A2411" w14:paraId="5DC60B48" w14:textId="77777777">
        <w:trPr>
          <w:trHeight w:val="285"/>
          <w:jc w:val="center"/>
        </w:trPr>
        <w:tc>
          <w:tcPr>
            <w:tcW w:w="963" w:type="pct"/>
            <w:shd w:val="clear" w:color="auto" w:fill="FFFFFF"/>
            <w:tcMar>
              <w:top w:w="15" w:type="dxa"/>
              <w:left w:w="15" w:type="dxa"/>
              <w:right w:w="15" w:type="dxa"/>
            </w:tcMar>
            <w:vAlign w:val="center"/>
          </w:tcPr>
          <w:p w14:paraId="1F673B34"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泄漏模式</w:t>
            </w:r>
          </w:p>
        </w:tc>
        <w:tc>
          <w:tcPr>
            <w:tcW w:w="1203" w:type="pct"/>
            <w:tcMar>
              <w:top w:w="15" w:type="dxa"/>
              <w:left w:w="15" w:type="dxa"/>
              <w:right w:w="15" w:type="dxa"/>
            </w:tcMar>
            <w:vAlign w:val="center"/>
          </w:tcPr>
          <w:p w14:paraId="565709C3"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全管径泄漏</w:t>
            </w:r>
          </w:p>
        </w:tc>
        <w:tc>
          <w:tcPr>
            <w:tcW w:w="1417" w:type="pct"/>
            <w:tcMar>
              <w:top w:w="15" w:type="dxa"/>
              <w:left w:w="15" w:type="dxa"/>
              <w:right w:w="15" w:type="dxa"/>
            </w:tcMar>
            <w:vAlign w:val="center"/>
          </w:tcPr>
          <w:p w14:paraId="641E6FCE"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全管径泄漏</w:t>
            </w:r>
          </w:p>
        </w:tc>
        <w:tc>
          <w:tcPr>
            <w:tcW w:w="1415" w:type="pct"/>
            <w:vMerge w:val="restart"/>
            <w:tcMar>
              <w:top w:w="15" w:type="dxa"/>
              <w:left w:w="15" w:type="dxa"/>
              <w:right w:w="15" w:type="dxa"/>
            </w:tcMar>
            <w:vAlign w:val="center"/>
          </w:tcPr>
          <w:p w14:paraId="7EB4163D"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见地下水专项</w:t>
            </w:r>
          </w:p>
        </w:tc>
      </w:tr>
      <w:tr w:rsidR="008A2411" w:rsidRPr="008A2411" w14:paraId="79D806A8" w14:textId="77777777">
        <w:trPr>
          <w:trHeight w:val="285"/>
          <w:jc w:val="center"/>
        </w:trPr>
        <w:tc>
          <w:tcPr>
            <w:tcW w:w="963" w:type="pct"/>
            <w:shd w:val="clear" w:color="auto" w:fill="auto"/>
            <w:tcMar>
              <w:top w:w="15" w:type="dxa"/>
              <w:left w:w="15" w:type="dxa"/>
              <w:right w:w="15" w:type="dxa"/>
            </w:tcMar>
            <w:vAlign w:val="center"/>
          </w:tcPr>
          <w:p w14:paraId="11ABC35E" w14:textId="43B7C75F"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泄漏尺寸</w:t>
            </w:r>
            <w:r w:rsidR="000F6A34" w:rsidRPr="008A2411">
              <w:rPr>
                <w:rFonts w:ascii="Times New Roman" w:hAnsi="Times New Roman"/>
                <w:color w:val="000000" w:themeColor="text1"/>
              </w:rPr>
              <w:t>（</w:t>
            </w:r>
            <w:r w:rsidR="000F6A34" w:rsidRPr="008A2411">
              <w:rPr>
                <w:rFonts w:ascii="Times New Roman" w:hAnsi="Times New Roman"/>
                <w:color w:val="000000" w:themeColor="text1"/>
              </w:rPr>
              <w:t>mm</w:t>
            </w:r>
            <w:r w:rsidR="000F6A34" w:rsidRPr="008A2411">
              <w:rPr>
                <w:rFonts w:ascii="Times New Roman" w:hAnsi="Times New Roman"/>
                <w:color w:val="000000" w:themeColor="text1"/>
              </w:rPr>
              <w:t>）</w:t>
            </w:r>
          </w:p>
        </w:tc>
        <w:tc>
          <w:tcPr>
            <w:tcW w:w="1203" w:type="pct"/>
            <w:shd w:val="clear" w:color="auto" w:fill="FFFFFF"/>
            <w:tcMar>
              <w:top w:w="15" w:type="dxa"/>
              <w:left w:w="15" w:type="dxa"/>
              <w:right w:w="15" w:type="dxa"/>
            </w:tcMar>
            <w:vAlign w:val="center"/>
          </w:tcPr>
          <w:p w14:paraId="1B017ADC"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150</w:t>
            </w:r>
          </w:p>
        </w:tc>
        <w:tc>
          <w:tcPr>
            <w:tcW w:w="1417" w:type="pct"/>
            <w:shd w:val="clear" w:color="auto" w:fill="FFFFFF"/>
            <w:tcMar>
              <w:top w:w="15" w:type="dxa"/>
              <w:left w:w="15" w:type="dxa"/>
              <w:right w:w="15" w:type="dxa"/>
            </w:tcMar>
            <w:vAlign w:val="center"/>
          </w:tcPr>
          <w:p w14:paraId="22D2FA2E"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100</w:t>
            </w:r>
          </w:p>
        </w:tc>
        <w:tc>
          <w:tcPr>
            <w:tcW w:w="1415" w:type="pct"/>
            <w:vMerge/>
            <w:shd w:val="clear" w:color="auto" w:fill="FFFFFF"/>
            <w:tcMar>
              <w:top w:w="15" w:type="dxa"/>
              <w:left w:w="15" w:type="dxa"/>
              <w:right w:w="15" w:type="dxa"/>
            </w:tcMar>
            <w:vAlign w:val="center"/>
          </w:tcPr>
          <w:p w14:paraId="12D4694A" w14:textId="77777777" w:rsidR="00B0005F" w:rsidRPr="008A2411" w:rsidRDefault="00B0005F">
            <w:pPr>
              <w:pStyle w:val="WJ5"/>
              <w:spacing w:line="240" w:lineRule="auto"/>
              <w:rPr>
                <w:rFonts w:ascii="Times New Roman" w:hAnsi="Times New Roman"/>
                <w:color w:val="000000" w:themeColor="text1"/>
              </w:rPr>
            </w:pPr>
          </w:p>
        </w:tc>
      </w:tr>
      <w:bookmarkEnd w:id="513"/>
    </w:tbl>
    <w:p w14:paraId="6F8465DF" w14:textId="77777777" w:rsidR="00B0005F" w:rsidRPr="008A2411" w:rsidRDefault="00B0005F">
      <w:pPr>
        <w:spacing w:line="360" w:lineRule="auto"/>
        <w:rPr>
          <w:rFonts w:ascii="Times New Roman"/>
          <w:bCs/>
          <w:color w:val="000000" w:themeColor="text1"/>
        </w:rPr>
      </w:pPr>
    </w:p>
    <w:p w14:paraId="45450C2E" w14:textId="77777777" w:rsidR="00B0005F" w:rsidRPr="008A2411" w:rsidRDefault="00000000">
      <w:pPr>
        <w:pStyle w:val="affffffffffffffffffff6"/>
        <w:snapToGrid/>
        <w:outlineLvl w:val="2"/>
        <w:rPr>
          <w:rFonts w:ascii="Times New Roman"/>
          <w:b/>
          <w:color w:val="000000" w:themeColor="text1"/>
          <w:sz w:val="24"/>
          <w:szCs w:val="24"/>
          <w:lang w:bidi="en-US"/>
        </w:rPr>
      </w:pPr>
      <w:r w:rsidRPr="008A2411">
        <w:rPr>
          <w:rFonts w:ascii="Times New Roman"/>
          <w:b/>
          <w:color w:val="000000" w:themeColor="text1"/>
          <w:sz w:val="24"/>
          <w:szCs w:val="24"/>
          <w:lang w:bidi="en-US"/>
        </w:rPr>
        <w:t xml:space="preserve">6.6.3 </w:t>
      </w:r>
      <w:r w:rsidRPr="008A2411">
        <w:rPr>
          <w:rFonts w:ascii="Times New Roman"/>
          <w:b/>
          <w:color w:val="000000" w:themeColor="text1"/>
          <w:sz w:val="24"/>
          <w:szCs w:val="24"/>
          <w:lang w:bidi="en-US"/>
        </w:rPr>
        <w:t>风险事故情形设定</w:t>
      </w:r>
    </w:p>
    <w:p w14:paraId="04F11768"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1</w:t>
      </w:r>
      <w:r w:rsidRPr="008A2411">
        <w:rPr>
          <w:rFonts w:ascii="Times New Roman"/>
          <w:bCs/>
          <w:color w:val="000000" w:themeColor="text1"/>
        </w:rPr>
        <w:t>）站场原料天然气泄漏事故</w:t>
      </w:r>
    </w:p>
    <w:p w14:paraId="301BAA54"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当站场内原料天然气出现事故泄漏时，工艺参数超出正常工况范围，紧急关</w:t>
      </w:r>
      <w:r w:rsidRPr="008A2411">
        <w:rPr>
          <w:rFonts w:ascii="Times New Roman"/>
          <w:bCs/>
          <w:color w:val="000000" w:themeColor="text1"/>
        </w:rPr>
        <w:lastRenderedPageBreak/>
        <w:t>断系统（</w:t>
      </w:r>
      <w:r w:rsidRPr="008A2411">
        <w:rPr>
          <w:rFonts w:ascii="Times New Roman"/>
          <w:bCs/>
          <w:color w:val="000000" w:themeColor="text1"/>
        </w:rPr>
        <w:t>ESD</w:t>
      </w:r>
      <w:r w:rsidRPr="008A2411">
        <w:rPr>
          <w:rFonts w:ascii="Times New Roman"/>
          <w:bCs/>
          <w:color w:val="000000" w:themeColor="text1"/>
        </w:rPr>
        <w:t>）会立刻采取</w:t>
      </w:r>
      <w:proofErr w:type="gramStart"/>
      <w:r w:rsidRPr="008A2411">
        <w:rPr>
          <w:rFonts w:ascii="Times New Roman"/>
          <w:bCs/>
          <w:color w:val="000000" w:themeColor="text1"/>
        </w:rPr>
        <w:t>联锁</w:t>
      </w:r>
      <w:proofErr w:type="gramEnd"/>
      <w:r w:rsidRPr="008A2411">
        <w:rPr>
          <w:rFonts w:ascii="Times New Roman"/>
          <w:bCs/>
          <w:color w:val="000000" w:themeColor="text1"/>
        </w:rPr>
        <w:t>保护措施，如紧急关断阀门、开启放空阀等，截断气源，控制和减少事故的发生。考虑</w:t>
      </w:r>
      <w:proofErr w:type="gramStart"/>
      <w:r w:rsidRPr="008A2411">
        <w:rPr>
          <w:rFonts w:ascii="Times New Roman"/>
          <w:bCs/>
          <w:color w:val="000000" w:themeColor="text1"/>
        </w:rPr>
        <w:t>联锁</w:t>
      </w:r>
      <w:proofErr w:type="gramEnd"/>
      <w:r w:rsidRPr="008A2411">
        <w:rPr>
          <w:rFonts w:ascii="Times New Roman"/>
          <w:bCs/>
          <w:color w:val="000000" w:themeColor="text1"/>
        </w:rPr>
        <w:t>系统反应滞后事故，确定危险性最大</w:t>
      </w:r>
      <w:r w:rsidRPr="008A2411">
        <w:rPr>
          <w:rFonts w:ascii="Times New Roman" w:hint="eastAsia"/>
          <w:bCs/>
          <w:color w:val="000000" w:themeColor="text1"/>
        </w:rPr>
        <w:t>天然气净化</w:t>
      </w:r>
      <w:r w:rsidRPr="008A2411">
        <w:rPr>
          <w:rFonts w:ascii="Times New Roman"/>
          <w:bCs/>
          <w:color w:val="000000" w:themeColor="text1"/>
        </w:rPr>
        <w:t>生产单元源强。</w:t>
      </w:r>
    </w:p>
    <w:p w14:paraId="30621F2D"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站场发生泄漏事故，装置的工艺参数如压力、温度和流量会发生突变，现场设置的报警器也会迅速报警，装置将随即自动</w:t>
      </w:r>
      <w:proofErr w:type="gramStart"/>
      <w:r w:rsidRPr="008A2411">
        <w:rPr>
          <w:rFonts w:ascii="Times New Roman"/>
          <w:bCs/>
          <w:color w:val="000000" w:themeColor="text1"/>
        </w:rPr>
        <w:t>联锁</w:t>
      </w:r>
      <w:proofErr w:type="gramEnd"/>
      <w:r w:rsidRPr="008A2411">
        <w:rPr>
          <w:rFonts w:ascii="Times New Roman"/>
          <w:bCs/>
          <w:color w:val="000000" w:themeColor="text1"/>
        </w:rPr>
        <w:t>切断泄漏源头，根据经验，通常</w:t>
      </w:r>
      <w:r w:rsidRPr="008A2411">
        <w:rPr>
          <w:rFonts w:ascii="Times New Roman" w:hint="eastAsia"/>
          <w:bCs/>
          <w:color w:val="000000" w:themeColor="text1"/>
        </w:rPr>
        <w:t>15</w:t>
      </w:r>
      <w:r w:rsidRPr="008A2411">
        <w:rPr>
          <w:rFonts w:ascii="Times New Roman"/>
          <w:bCs/>
          <w:color w:val="000000" w:themeColor="text1"/>
        </w:rPr>
        <w:t>秒可完成切断工作。站场设备连接的最大管线管</w:t>
      </w:r>
      <w:proofErr w:type="gramStart"/>
      <w:r w:rsidRPr="008A2411">
        <w:rPr>
          <w:rFonts w:ascii="Times New Roman"/>
          <w:bCs/>
          <w:color w:val="000000" w:themeColor="text1"/>
        </w:rPr>
        <w:t>径</w:t>
      </w:r>
      <w:proofErr w:type="gramEnd"/>
      <w:r w:rsidRPr="008A2411">
        <w:rPr>
          <w:rFonts w:ascii="Times New Roman"/>
          <w:bCs/>
          <w:color w:val="000000" w:themeColor="text1"/>
        </w:rPr>
        <w:t>100mm</w:t>
      </w:r>
      <w:r w:rsidRPr="008A2411">
        <w:rPr>
          <w:rFonts w:ascii="Times New Roman"/>
          <w:bCs/>
          <w:color w:val="000000" w:themeColor="text1"/>
        </w:rPr>
        <w:t>，按照最不利考虑，泄漏管径取</w:t>
      </w:r>
      <w:r w:rsidRPr="008A2411">
        <w:rPr>
          <w:rFonts w:ascii="Times New Roman"/>
          <w:bCs/>
          <w:color w:val="000000" w:themeColor="text1"/>
        </w:rPr>
        <w:t>100mm</w:t>
      </w:r>
      <w:r w:rsidRPr="008A2411">
        <w:rPr>
          <w:rFonts w:ascii="Times New Roman"/>
          <w:bCs/>
          <w:color w:val="000000" w:themeColor="text1"/>
        </w:rPr>
        <w:t>。</w:t>
      </w:r>
    </w:p>
    <w:p w14:paraId="3F52BFD7"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2</w:t>
      </w:r>
      <w:r w:rsidRPr="008A2411">
        <w:rPr>
          <w:rFonts w:ascii="Times New Roman"/>
          <w:bCs/>
          <w:color w:val="000000" w:themeColor="text1"/>
        </w:rPr>
        <w:t>）污水处理站或脱硫塔泄漏事故</w:t>
      </w:r>
    </w:p>
    <w:p w14:paraId="64966150"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根据本次环评地下水影响评价，污水处理站或脱硫塔发生泄漏事故，污染物会对污水管道沿线居民的地下水用水安全产生威胁。具体分析见地下水环境评价章节。</w:t>
      </w:r>
    </w:p>
    <w:p w14:paraId="78201B77"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3</w:t>
      </w:r>
      <w:r w:rsidRPr="008A2411">
        <w:rPr>
          <w:rFonts w:ascii="Times New Roman"/>
          <w:bCs/>
          <w:color w:val="000000" w:themeColor="text1"/>
        </w:rPr>
        <w:t>）事故废水排放源强分析</w:t>
      </w:r>
    </w:p>
    <w:p w14:paraId="02CAA988"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本项目一旦发生火灾等事故，主要采用干粉、泡沫灭火剂和水；且烃类燃烧分解后产生</w:t>
      </w:r>
      <w:r w:rsidRPr="008A2411">
        <w:rPr>
          <w:rFonts w:ascii="Times New Roman"/>
          <w:bCs/>
          <w:color w:val="000000" w:themeColor="text1"/>
        </w:rPr>
        <w:t>CO</w:t>
      </w:r>
      <w:r w:rsidRPr="008A2411">
        <w:rPr>
          <w:rFonts w:ascii="Times New Roman"/>
          <w:bCs/>
          <w:color w:val="000000" w:themeColor="text1"/>
          <w:vertAlign w:val="subscript"/>
        </w:rPr>
        <w:t>2</w:t>
      </w:r>
      <w:r w:rsidRPr="008A2411">
        <w:rPr>
          <w:rFonts w:ascii="Times New Roman"/>
          <w:bCs/>
          <w:color w:val="000000" w:themeColor="text1"/>
        </w:rPr>
        <w:t>和水，</w:t>
      </w:r>
      <w:r w:rsidRPr="008A2411">
        <w:rPr>
          <w:rFonts w:ascii="Times New Roman"/>
          <w:bCs/>
          <w:color w:val="000000" w:themeColor="text1"/>
        </w:rPr>
        <w:t>SO</w:t>
      </w:r>
      <w:r w:rsidRPr="008A2411">
        <w:rPr>
          <w:rFonts w:ascii="Times New Roman"/>
          <w:bCs/>
          <w:color w:val="000000" w:themeColor="text1"/>
          <w:vertAlign w:val="subscript"/>
        </w:rPr>
        <w:t xml:space="preserve">2 </w:t>
      </w:r>
      <w:r w:rsidRPr="008A2411">
        <w:rPr>
          <w:rFonts w:ascii="Times New Roman"/>
          <w:bCs/>
          <w:color w:val="000000" w:themeColor="text1"/>
        </w:rPr>
        <w:t>和</w:t>
      </w:r>
      <w:r w:rsidRPr="008A2411">
        <w:rPr>
          <w:rFonts w:ascii="Times New Roman"/>
          <w:bCs/>
          <w:color w:val="000000" w:themeColor="text1"/>
        </w:rPr>
        <w:t>H</w:t>
      </w:r>
      <w:r w:rsidRPr="008A2411">
        <w:rPr>
          <w:rFonts w:ascii="Times New Roman"/>
          <w:bCs/>
          <w:color w:val="000000" w:themeColor="text1"/>
          <w:vertAlign w:val="subscript"/>
        </w:rPr>
        <w:t>2</w:t>
      </w:r>
      <w:r w:rsidRPr="008A2411">
        <w:rPr>
          <w:rFonts w:ascii="Times New Roman"/>
          <w:bCs/>
          <w:color w:val="000000" w:themeColor="text1"/>
        </w:rPr>
        <w:t>S</w:t>
      </w:r>
      <w:r w:rsidRPr="008A2411">
        <w:rPr>
          <w:rFonts w:ascii="Times New Roman"/>
          <w:bCs/>
          <w:color w:val="000000" w:themeColor="text1"/>
          <w:vertAlign w:val="subscript"/>
        </w:rPr>
        <w:t xml:space="preserve"> </w:t>
      </w:r>
      <w:r w:rsidRPr="008A2411">
        <w:rPr>
          <w:rFonts w:ascii="Times New Roman"/>
          <w:bCs/>
          <w:color w:val="000000" w:themeColor="text1"/>
        </w:rPr>
        <w:t>溶解后为硫酸盐和硫化物，毒性大大降低。</w:t>
      </w:r>
    </w:p>
    <w:p w14:paraId="33D67F47"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由于发生事故的随机性、不可预测性，发生事故有可能正处于降雨时段，故该期间内关键生产装置区、储罐区等地方的雨水将受污染，亦必须将其收集和处置。</w:t>
      </w:r>
    </w:p>
    <w:p w14:paraId="46DD9B77" w14:textId="77777777" w:rsidR="00B0005F" w:rsidRPr="008A2411" w:rsidRDefault="00000000">
      <w:pPr>
        <w:pStyle w:val="affffffffffffffffffff6"/>
        <w:snapToGrid/>
        <w:outlineLvl w:val="2"/>
        <w:rPr>
          <w:rFonts w:ascii="Times New Roman"/>
          <w:b/>
          <w:color w:val="000000" w:themeColor="text1"/>
          <w:sz w:val="24"/>
          <w:szCs w:val="24"/>
          <w:lang w:bidi="en-US"/>
        </w:rPr>
      </w:pPr>
      <w:r w:rsidRPr="008A2411">
        <w:rPr>
          <w:rFonts w:ascii="Times New Roman"/>
          <w:b/>
          <w:color w:val="000000" w:themeColor="text1"/>
          <w:sz w:val="24"/>
          <w:szCs w:val="24"/>
          <w:lang w:bidi="en-US"/>
        </w:rPr>
        <w:t>6.6.4</w:t>
      </w:r>
      <w:r w:rsidRPr="008A2411">
        <w:rPr>
          <w:rFonts w:ascii="Times New Roman"/>
          <w:b/>
          <w:color w:val="000000" w:themeColor="text1"/>
          <w:sz w:val="24"/>
          <w:szCs w:val="24"/>
          <w:lang w:bidi="en-US"/>
        </w:rPr>
        <w:t>风险</w:t>
      </w:r>
      <w:proofErr w:type="gramStart"/>
      <w:r w:rsidRPr="008A2411">
        <w:rPr>
          <w:rFonts w:ascii="Times New Roman"/>
          <w:b/>
          <w:color w:val="000000" w:themeColor="text1"/>
          <w:sz w:val="24"/>
          <w:szCs w:val="24"/>
          <w:lang w:bidi="en-US"/>
        </w:rPr>
        <w:t>事故源项分析</w:t>
      </w:r>
      <w:proofErr w:type="gramEnd"/>
    </w:p>
    <w:p w14:paraId="3EA1F873"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1</w:t>
      </w:r>
      <w:r w:rsidRPr="008A2411">
        <w:rPr>
          <w:rFonts w:ascii="Times New Roman"/>
          <w:bCs/>
          <w:color w:val="000000" w:themeColor="text1"/>
        </w:rPr>
        <w:t>）</w:t>
      </w:r>
      <w:proofErr w:type="gramStart"/>
      <w:r w:rsidRPr="008A2411">
        <w:rPr>
          <w:rFonts w:ascii="Times New Roman"/>
          <w:bCs/>
          <w:color w:val="000000" w:themeColor="text1"/>
        </w:rPr>
        <w:t>大气源项分析</w:t>
      </w:r>
      <w:proofErr w:type="gramEnd"/>
    </w:p>
    <w:p w14:paraId="66C533E9"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站场内原料天然气泄漏事故情景考虑为各生产设备之间管线等破损或断裂，直径考虑为</w:t>
      </w:r>
      <w:r w:rsidRPr="008A2411">
        <w:rPr>
          <w:rFonts w:ascii="Times New Roman"/>
          <w:bCs/>
          <w:color w:val="000000" w:themeColor="text1"/>
        </w:rPr>
        <w:t>100mm</w:t>
      </w:r>
      <w:r w:rsidRPr="008A2411">
        <w:rPr>
          <w:rFonts w:ascii="Times New Roman"/>
          <w:bCs/>
          <w:color w:val="000000" w:themeColor="text1"/>
        </w:rPr>
        <w:t>，根据《建设项目环境风险评价技术导则》（</w:t>
      </w:r>
      <w:r w:rsidRPr="008A2411">
        <w:rPr>
          <w:rFonts w:ascii="Times New Roman"/>
          <w:bCs/>
          <w:color w:val="000000" w:themeColor="text1"/>
        </w:rPr>
        <w:t>HJ169-2018</w:t>
      </w:r>
      <w:r w:rsidRPr="008A2411">
        <w:rPr>
          <w:rFonts w:ascii="Times New Roman"/>
          <w:bCs/>
          <w:color w:val="000000" w:themeColor="text1"/>
        </w:rPr>
        <w:t>）附录</w:t>
      </w:r>
      <w:r w:rsidRPr="008A2411">
        <w:rPr>
          <w:rFonts w:ascii="Times New Roman"/>
          <w:bCs/>
          <w:color w:val="000000" w:themeColor="text1"/>
        </w:rPr>
        <w:t>F</w:t>
      </w:r>
      <w:r w:rsidRPr="008A2411">
        <w:rPr>
          <w:rFonts w:ascii="Times New Roman"/>
          <w:bCs/>
          <w:color w:val="000000" w:themeColor="text1"/>
        </w:rPr>
        <w:t>中有关气体的泄漏公式计算天然气初始泄漏速率。气体泄漏速度</w:t>
      </w:r>
      <w:r w:rsidRPr="008A2411">
        <w:rPr>
          <w:rFonts w:ascii="Times New Roman"/>
          <w:bCs/>
          <w:color w:val="000000" w:themeColor="text1"/>
        </w:rPr>
        <w:t>Q</w:t>
      </w:r>
      <w:r w:rsidRPr="008A2411">
        <w:rPr>
          <w:rFonts w:ascii="Times New Roman"/>
          <w:bCs/>
          <w:color w:val="000000" w:themeColor="text1"/>
          <w:vertAlign w:val="subscript"/>
        </w:rPr>
        <w:t>G</w:t>
      </w:r>
      <w:r w:rsidRPr="008A2411">
        <w:rPr>
          <w:rFonts w:ascii="Times New Roman"/>
          <w:bCs/>
          <w:color w:val="000000" w:themeColor="text1"/>
        </w:rPr>
        <w:t>按下式计算：</w:t>
      </w:r>
    </w:p>
    <w:p w14:paraId="674FC2BE" w14:textId="77777777" w:rsidR="00B0005F" w:rsidRPr="008A2411" w:rsidRDefault="00000000">
      <w:pPr>
        <w:spacing w:line="360" w:lineRule="auto"/>
        <w:ind w:firstLineChars="200" w:firstLine="480"/>
        <w:rPr>
          <w:rFonts w:ascii="Times New Roman"/>
          <w:bCs/>
          <w:color w:val="000000" w:themeColor="text1"/>
        </w:rPr>
      </w:pPr>
      <m:oMathPara>
        <m:oMath>
          <m:sSub>
            <m:sSubPr>
              <m:ctrlPr>
                <w:rPr>
                  <w:rFonts w:ascii="Cambria Math" w:hAnsi="Cambria Math"/>
                  <w:bCs/>
                  <w:i/>
                  <w:color w:val="000000" w:themeColor="text1"/>
                </w:rPr>
              </m:ctrlPr>
            </m:sSubPr>
            <m:e>
              <m:r>
                <w:rPr>
                  <w:rFonts w:ascii="Cambria Math" w:hAnsi="Cambria Math"/>
                  <w:color w:val="000000" w:themeColor="text1"/>
                </w:rPr>
                <m:t>Q</m:t>
              </m:r>
            </m:e>
            <m:sub>
              <m:r>
                <w:rPr>
                  <w:rFonts w:ascii="Cambria Math" w:hAnsi="Cambria Math"/>
                  <w:color w:val="000000" w:themeColor="text1"/>
                </w:rPr>
                <m:t>G</m:t>
              </m:r>
            </m:sub>
          </m:sSub>
          <m:r>
            <w:rPr>
              <w:rFonts w:ascii="Cambria Math" w:hAnsi="Cambria Math"/>
              <w:color w:val="000000" w:themeColor="text1"/>
            </w:rPr>
            <m:t>=Y</m:t>
          </m:r>
          <m:sSub>
            <m:sSubPr>
              <m:ctrlPr>
                <w:rPr>
                  <w:rFonts w:ascii="Cambria Math" w:hAnsi="Cambria Math"/>
                  <w:bCs/>
                  <w:i/>
                  <w:color w:val="000000" w:themeColor="text1"/>
                </w:rPr>
              </m:ctrlPr>
            </m:sSubPr>
            <m:e>
              <m:r>
                <w:rPr>
                  <w:rFonts w:ascii="Cambria Math" w:hAnsi="Cambria Math"/>
                  <w:color w:val="000000" w:themeColor="text1"/>
                </w:rPr>
                <m:t>C</m:t>
              </m:r>
            </m:e>
            <m:sub>
              <m:r>
                <w:rPr>
                  <w:rFonts w:ascii="Cambria Math" w:hAnsi="Cambria Math"/>
                  <w:color w:val="000000" w:themeColor="text1"/>
                </w:rPr>
                <m:t>d</m:t>
              </m:r>
            </m:sub>
          </m:sSub>
          <m:r>
            <w:rPr>
              <w:rFonts w:ascii="Cambria Math" w:hAnsi="Cambria Math"/>
              <w:color w:val="000000" w:themeColor="text1"/>
            </w:rPr>
            <m:t>AP</m:t>
          </m:r>
          <m:rad>
            <m:radPr>
              <m:degHide m:val="1"/>
              <m:ctrlPr>
                <w:rPr>
                  <w:rFonts w:ascii="Cambria Math" w:hAnsi="Cambria Math"/>
                  <w:bCs/>
                  <w:i/>
                  <w:color w:val="000000" w:themeColor="text1"/>
                </w:rPr>
              </m:ctrlPr>
            </m:radPr>
            <m:deg/>
            <m:e>
              <m:f>
                <m:fPr>
                  <m:ctrlPr>
                    <w:rPr>
                      <w:rFonts w:ascii="Cambria Math" w:hAnsi="Cambria Math"/>
                      <w:bCs/>
                      <w:i/>
                      <w:color w:val="000000" w:themeColor="text1"/>
                    </w:rPr>
                  </m:ctrlPr>
                </m:fPr>
                <m:num>
                  <m:r>
                    <w:rPr>
                      <w:rFonts w:ascii="Cambria Math" w:hAnsi="Cambria Math"/>
                      <w:color w:val="000000" w:themeColor="text1"/>
                    </w:rPr>
                    <m:t>Mk</m:t>
                  </m:r>
                </m:num>
                <m:den>
                  <m:r>
                    <w:rPr>
                      <w:rFonts w:ascii="Cambria Math" w:hAnsi="Cambria Math"/>
                      <w:color w:val="000000" w:themeColor="text1"/>
                    </w:rPr>
                    <m:t>R</m:t>
                  </m:r>
                  <m:sSub>
                    <m:sSubPr>
                      <m:ctrlPr>
                        <w:rPr>
                          <w:rFonts w:ascii="Cambria Math" w:hAnsi="Cambria Math"/>
                          <w:bCs/>
                          <w:i/>
                          <w:color w:val="000000" w:themeColor="text1"/>
                        </w:rPr>
                      </m:ctrlPr>
                    </m:sSubPr>
                    <m:e>
                      <m:r>
                        <w:rPr>
                          <w:rFonts w:ascii="Cambria Math" w:hAnsi="Cambria Math"/>
                          <w:color w:val="000000" w:themeColor="text1"/>
                        </w:rPr>
                        <m:t>T</m:t>
                      </m:r>
                    </m:e>
                    <m:sub>
                      <m:r>
                        <w:rPr>
                          <w:rFonts w:ascii="Cambria Math" w:hAnsi="Cambria Math"/>
                          <w:color w:val="000000" w:themeColor="text1"/>
                        </w:rPr>
                        <m:t>G</m:t>
                      </m:r>
                    </m:sub>
                  </m:sSub>
                </m:den>
              </m:f>
              <m:sSup>
                <m:sSupPr>
                  <m:ctrlPr>
                    <w:rPr>
                      <w:rFonts w:ascii="Cambria Math" w:hAnsi="Cambria Math"/>
                      <w:bCs/>
                      <w:i/>
                      <w:color w:val="000000" w:themeColor="text1"/>
                    </w:rPr>
                  </m:ctrlPr>
                </m:sSupPr>
                <m:e>
                  <m:d>
                    <m:dPr>
                      <m:ctrlPr>
                        <w:rPr>
                          <w:rFonts w:ascii="Cambria Math" w:hAnsi="Cambria Math"/>
                          <w:bCs/>
                          <w:i/>
                          <w:color w:val="000000" w:themeColor="text1"/>
                        </w:rPr>
                      </m:ctrlPr>
                    </m:dPr>
                    <m:e>
                      <m:f>
                        <m:fPr>
                          <m:ctrlPr>
                            <w:rPr>
                              <w:rFonts w:ascii="Cambria Math" w:hAnsi="Cambria Math"/>
                              <w:bCs/>
                              <w:i/>
                              <w:color w:val="000000" w:themeColor="text1"/>
                            </w:rPr>
                          </m:ctrlPr>
                        </m:fPr>
                        <m:num>
                          <m:r>
                            <w:rPr>
                              <w:rFonts w:ascii="Cambria Math" w:hAnsi="Cambria Math"/>
                              <w:color w:val="000000" w:themeColor="text1"/>
                            </w:rPr>
                            <m:t>2</m:t>
                          </m:r>
                        </m:num>
                        <m:den>
                          <m:r>
                            <w:rPr>
                              <w:rFonts w:ascii="Cambria Math" w:hAnsi="Cambria Math"/>
                              <w:color w:val="000000" w:themeColor="text1"/>
                            </w:rPr>
                            <m:t>k+1</m:t>
                          </m:r>
                        </m:den>
                      </m:f>
                    </m:e>
                  </m:d>
                </m:e>
                <m:sup>
                  <m:f>
                    <m:fPr>
                      <m:ctrlPr>
                        <w:rPr>
                          <w:rFonts w:ascii="Cambria Math" w:hAnsi="Cambria Math"/>
                          <w:bCs/>
                          <w:i/>
                          <w:color w:val="000000" w:themeColor="text1"/>
                        </w:rPr>
                      </m:ctrlPr>
                    </m:fPr>
                    <m:num>
                      <m:r>
                        <w:rPr>
                          <w:rFonts w:ascii="Cambria Math" w:hAnsi="Cambria Math"/>
                          <w:color w:val="000000" w:themeColor="text1"/>
                        </w:rPr>
                        <m:t>k+1</m:t>
                      </m:r>
                    </m:num>
                    <m:den>
                      <m:r>
                        <w:rPr>
                          <w:rFonts w:ascii="Cambria Math" w:hAnsi="Cambria Math"/>
                          <w:color w:val="000000" w:themeColor="text1"/>
                        </w:rPr>
                        <m:t>k-1</m:t>
                      </m:r>
                    </m:den>
                  </m:f>
                </m:sup>
              </m:sSup>
            </m:e>
          </m:rad>
        </m:oMath>
      </m:oMathPara>
    </w:p>
    <w:p w14:paraId="4DD8DD20"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式中：</w:t>
      </w:r>
      <w:r w:rsidRPr="008A2411">
        <w:rPr>
          <w:rFonts w:ascii="Times New Roman"/>
          <w:bCs/>
          <w:color w:val="000000" w:themeColor="text1"/>
        </w:rPr>
        <w:t>Q</w:t>
      </w:r>
      <w:r w:rsidRPr="008A2411">
        <w:rPr>
          <w:rFonts w:ascii="Times New Roman"/>
          <w:bCs/>
          <w:color w:val="000000" w:themeColor="text1"/>
          <w:vertAlign w:val="subscript"/>
        </w:rPr>
        <w:t>G</w:t>
      </w:r>
      <w:r w:rsidRPr="008A2411">
        <w:rPr>
          <w:rFonts w:ascii="Times New Roman"/>
          <w:bCs/>
          <w:color w:val="000000" w:themeColor="text1"/>
        </w:rPr>
        <w:t>——</w:t>
      </w:r>
      <w:r w:rsidRPr="008A2411">
        <w:rPr>
          <w:rFonts w:ascii="Times New Roman"/>
          <w:bCs/>
          <w:color w:val="000000" w:themeColor="text1"/>
        </w:rPr>
        <w:t>气体泄漏速度，</w:t>
      </w:r>
      <w:r w:rsidRPr="008A2411">
        <w:rPr>
          <w:rFonts w:ascii="Times New Roman"/>
          <w:bCs/>
          <w:color w:val="000000" w:themeColor="text1"/>
        </w:rPr>
        <w:t>kg/s</w:t>
      </w:r>
      <w:r w:rsidRPr="008A2411">
        <w:rPr>
          <w:rFonts w:ascii="Times New Roman"/>
          <w:bCs/>
          <w:color w:val="000000" w:themeColor="text1"/>
        </w:rPr>
        <w:t>；</w:t>
      </w:r>
    </w:p>
    <w:p w14:paraId="13A7F0F1"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C</w:t>
      </w:r>
      <w:r w:rsidRPr="008A2411">
        <w:rPr>
          <w:rFonts w:ascii="Times New Roman"/>
          <w:bCs/>
          <w:color w:val="000000" w:themeColor="text1"/>
          <w:vertAlign w:val="subscript"/>
        </w:rPr>
        <w:t>d</w:t>
      </w:r>
      <w:r w:rsidRPr="008A2411">
        <w:rPr>
          <w:rFonts w:ascii="Times New Roman"/>
          <w:bCs/>
          <w:color w:val="000000" w:themeColor="text1"/>
        </w:rPr>
        <w:t>——</w:t>
      </w:r>
      <w:r w:rsidRPr="008A2411">
        <w:rPr>
          <w:rFonts w:ascii="Times New Roman"/>
          <w:bCs/>
          <w:color w:val="000000" w:themeColor="text1"/>
        </w:rPr>
        <w:t>气体泄漏系数，当裂口形状为圆形时取</w:t>
      </w:r>
      <w:r w:rsidRPr="008A2411">
        <w:rPr>
          <w:rFonts w:ascii="Times New Roman"/>
          <w:bCs/>
          <w:color w:val="000000" w:themeColor="text1"/>
        </w:rPr>
        <w:t>1.00</w:t>
      </w:r>
      <w:r w:rsidRPr="008A2411">
        <w:rPr>
          <w:rFonts w:ascii="Times New Roman"/>
          <w:bCs/>
          <w:color w:val="000000" w:themeColor="text1"/>
        </w:rPr>
        <w:t>；</w:t>
      </w:r>
    </w:p>
    <w:p w14:paraId="2CD2F8A3"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A——</w:t>
      </w:r>
      <w:r w:rsidRPr="008A2411">
        <w:rPr>
          <w:rFonts w:ascii="Times New Roman"/>
          <w:bCs/>
          <w:color w:val="000000" w:themeColor="text1"/>
        </w:rPr>
        <w:t>裂口面积，</w:t>
      </w:r>
      <w:r w:rsidRPr="008A2411">
        <w:rPr>
          <w:rFonts w:ascii="Times New Roman"/>
          <w:bCs/>
          <w:color w:val="000000" w:themeColor="text1"/>
        </w:rPr>
        <w:t>m</w:t>
      </w:r>
      <w:r w:rsidRPr="008A2411">
        <w:rPr>
          <w:rFonts w:ascii="Times New Roman"/>
          <w:bCs/>
          <w:color w:val="000000" w:themeColor="text1"/>
          <w:vertAlign w:val="superscript"/>
        </w:rPr>
        <w:t>2</w:t>
      </w:r>
      <w:r w:rsidRPr="008A2411">
        <w:rPr>
          <w:rFonts w:ascii="Times New Roman"/>
          <w:bCs/>
          <w:color w:val="000000" w:themeColor="text1"/>
        </w:rPr>
        <w:t>，假设管道全部断裂；</w:t>
      </w:r>
    </w:p>
    <w:p w14:paraId="349949B3"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P——</w:t>
      </w:r>
      <w:r w:rsidRPr="008A2411">
        <w:rPr>
          <w:rFonts w:ascii="Times New Roman"/>
          <w:bCs/>
          <w:color w:val="000000" w:themeColor="text1"/>
        </w:rPr>
        <w:t>容器压力，</w:t>
      </w:r>
      <w:r w:rsidRPr="008A2411">
        <w:rPr>
          <w:rFonts w:ascii="Times New Roman"/>
          <w:bCs/>
          <w:color w:val="000000" w:themeColor="text1"/>
        </w:rPr>
        <w:t>Pa</w:t>
      </w:r>
      <w:r w:rsidRPr="008A2411">
        <w:rPr>
          <w:rFonts w:ascii="Times New Roman"/>
          <w:bCs/>
          <w:color w:val="000000" w:themeColor="text1"/>
        </w:rPr>
        <w:t>；</w:t>
      </w:r>
    </w:p>
    <w:p w14:paraId="77AD329D"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M——</w:t>
      </w:r>
      <w:r w:rsidRPr="008A2411">
        <w:rPr>
          <w:rFonts w:ascii="Times New Roman"/>
          <w:bCs/>
          <w:color w:val="000000" w:themeColor="text1"/>
        </w:rPr>
        <w:t>分子量，主要成分是甲烷；</w:t>
      </w:r>
    </w:p>
    <w:p w14:paraId="4A7BA207"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lastRenderedPageBreak/>
        <w:t>R——</w:t>
      </w:r>
      <w:r w:rsidRPr="008A2411">
        <w:rPr>
          <w:rFonts w:ascii="Times New Roman"/>
          <w:bCs/>
          <w:color w:val="000000" w:themeColor="text1"/>
        </w:rPr>
        <w:t>气体常数，</w:t>
      </w:r>
      <w:r w:rsidRPr="008A2411">
        <w:rPr>
          <w:rFonts w:ascii="Times New Roman"/>
          <w:bCs/>
          <w:color w:val="000000" w:themeColor="text1"/>
        </w:rPr>
        <w:t>J/</w:t>
      </w:r>
      <w:r w:rsidRPr="008A2411">
        <w:rPr>
          <w:rFonts w:ascii="Times New Roman"/>
          <w:bCs/>
          <w:color w:val="000000" w:themeColor="text1"/>
        </w:rPr>
        <w:t>（</w:t>
      </w:r>
      <w:r w:rsidRPr="008A2411">
        <w:rPr>
          <w:rFonts w:ascii="Times New Roman"/>
          <w:bCs/>
          <w:color w:val="000000" w:themeColor="text1"/>
        </w:rPr>
        <w:t>mol·k</w:t>
      </w:r>
      <w:r w:rsidRPr="008A2411">
        <w:rPr>
          <w:rFonts w:ascii="Times New Roman"/>
          <w:bCs/>
          <w:color w:val="000000" w:themeColor="text1"/>
        </w:rPr>
        <w:t>）；</w:t>
      </w:r>
    </w:p>
    <w:p w14:paraId="0403BD17"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T</w:t>
      </w:r>
      <w:r w:rsidRPr="008A2411">
        <w:rPr>
          <w:rFonts w:ascii="Times New Roman"/>
          <w:bCs/>
          <w:color w:val="000000" w:themeColor="text1"/>
          <w:vertAlign w:val="subscript"/>
        </w:rPr>
        <w:t>G</w:t>
      </w:r>
      <w:r w:rsidRPr="008A2411">
        <w:rPr>
          <w:rFonts w:ascii="Times New Roman"/>
          <w:bCs/>
          <w:color w:val="000000" w:themeColor="text1"/>
        </w:rPr>
        <w:t>——</w:t>
      </w:r>
      <w:r w:rsidRPr="008A2411">
        <w:rPr>
          <w:rFonts w:ascii="Times New Roman"/>
          <w:bCs/>
          <w:color w:val="000000" w:themeColor="text1"/>
        </w:rPr>
        <w:t>气体温度，</w:t>
      </w:r>
      <w:r w:rsidRPr="008A2411">
        <w:rPr>
          <w:rFonts w:ascii="Times New Roman"/>
          <w:bCs/>
          <w:color w:val="000000" w:themeColor="text1"/>
        </w:rPr>
        <w:t>K</w:t>
      </w:r>
      <w:r w:rsidRPr="008A2411">
        <w:rPr>
          <w:rFonts w:ascii="Times New Roman"/>
          <w:bCs/>
          <w:color w:val="000000" w:themeColor="text1"/>
        </w:rPr>
        <w:t>；</w:t>
      </w:r>
    </w:p>
    <w:p w14:paraId="1E79C6F7"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Y——</w:t>
      </w:r>
      <w:r w:rsidRPr="008A2411">
        <w:rPr>
          <w:rFonts w:ascii="Times New Roman"/>
          <w:bCs/>
          <w:color w:val="000000" w:themeColor="text1"/>
        </w:rPr>
        <w:t>流出系数；临界流，</w:t>
      </w:r>
      <w:r w:rsidRPr="008A2411">
        <w:rPr>
          <w:rFonts w:ascii="Times New Roman"/>
          <w:bCs/>
          <w:color w:val="000000" w:themeColor="text1"/>
        </w:rPr>
        <w:t>Y=1.0</w:t>
      </w:r>
      <w:r w:rsidRPr="008A2411">
        <w:rPr>
          <w:rFonts w:ascii="Times New Roman"/>
          <w:bCs/>
          <w:color w:val="000000" w:themeColor="text1"/>
        </w:rPr>
        <w:t>；</w:t>
      </w:r>
    </w:p>
    <w:p w14:paraId="40D2C0A1"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k——</w:t>
      </w:r>
      <w:r w:rsidRPr="008A2411">
        <w:rPr>
          <w:rFonts w:ascii="Times New Roman"/>
          <w:bCs/>
          <w:color w:val="000000" w:themeColor="text1"/>
        </w:rPr>
        <w:t>气体的绝热指数（热容比）。</w:t>
      </w:r>
    </w:p>
    <w:p w14:paraId="7034C497" w14:textId="0528F28C" w:rsidR="00B0005F" w:rsidRPr="008A2411" w:rsidRDefault="00000000">
      <w:pPr>
        <w:spacing w:line="360" w:lineRule="auto"/>
        <w:ind w:firstLineChars="200" w:firstLine="480"/>
        <w:rPr>
          <w:rFonts w:ascii="Times New Roman"/>
          <w:bCs/>
          <w:color w:val="000000" w:themeColor="text1"/>
        </w:rPr>
      </w:pPr>
      <w:proofErr w:type="gramStart"/>
      <w:r w:rsidRPr="008A2411">
        <w:rPr>
          <w:rFonts w:ascii="Times New Roman"/>
          <w:bCs/>
          <w:color w:val="000000" w:themeColor="text1"/>
        </w:rPr>
        <w:t>本评价</w:t>
      </w:r>
      <w:proofErr w:type="gramEnd"/>
      <w:r w:rsidRPr="008A2411">
        <w:rPr>
          <w:rFonts w:ascii="Times New Roman"/>
          <w:bCs/>
          <w:color w:val="000000" w:themeColor="text1"/>
        </w:rPr>
        <w:t>设定在事故状态下</w:t>
      </w:r>
      <w:r w:rsidR="00AB2E38" w:rsidRPr="008A2411">
        <w:rPr>
          <w:rFonts w:ascii="Times New Roman" w:hint="eastAsia"/>
          <w:bCs/>
          <w:color w:val="000000" w:themeColor="text1"/>
        </w:rPr>
        <w:t>增压后的原料气与</w:t>
      </w:r>
      <w:r w:rsidRPr="008A2411">
        <w:rPr>
          <w:rFonts w:ascii="Times New Roman"/>
          <w:bCs/>
          <w:color w:val="000000" w:themeColor="text1"/>
        </w:rPr>
        <w:t>天然气吸收塔连接管线全管径断裂，天然气吸收塔管线两端截断</w:t>
      </w:r>
      <w:proofErr w:type="gramStart"/>
      <w:r w:rsidRPr="008A2411">
        <w:rPr>
          <w:rFonts w:ascii="Times New Roman"/>
          <w:bCs/>
          <w:color w:val="000000" w:themeColor="text1"/>
        </w:rPr>
        <w:t>阀立即</w:t>
      </w:r>
      <w:proofErr w:type="gramEnd"/>
      <w:r w:rsidRPr="008A2411">
        <w:rPr>
          <w:rFonts w:ascii="Times New Roman"/>
          <w:bCs/>
          <w:color w:val="000000" w:themeColor="text1"/>
        </w:rPr>
        <w:t>启动，关闭完成时间为</w:t>
      </w:r>
      <w:r w:rsidRPr="008A2411">
        <w:rPr>
          <w:rFonts w:ascii="Times New Roman"/>
          <w:bCs/>
          <w:color w:val="000000" w:themeColor="text1"/>
        </w:rPr>
        <w:t>15s</w:t>
      </w:r>
      <w:r w:rsidRPr="008A2411">
        <w:rPr>
          <w:rFonts w:ascii="Times New Roman"/>
          <w:bCs/>
          <w:color w:val="000000" w:themeColor="text1"/>
        </w:rPr>
        <w:t>，吸收塔内天然气存量较小，</w:t>
      </w:r>
      <w:r w:rsidRPr="008A2411">
        <w:rPr>
          <w:rFonts w:ascii="Times New Roman"/>
          <w:color w:val="000000" w:themeColor="text1"/>
        </w:rPr>
        <w:t>切断后天然气吸收塔设计</w:t>
      </w:r>
      <w:r w:rsidR="00AB2E38" w:rsidRPr="008A2411">
        <w:rPr>
          <w:rFonts w:ascii="Times New Roman"/>
          <w:color w:val="000000" w:themeColor="text1"/>
        </w:rPr>
        <w:t>泄漏</w:t>
      </w:r>
      <w:r w:rsidRPr="008A2411">
        <w:rPr>
          <w:rFonts w:ascii="Times New Roman"/>
          <w:color w:val="000000" w:themeColor="text1"/>
        </w:rPr>
        <w:t>时间为</w:t>
      </w:r>
      <w:r w:rsidRPr="008A2411">
        <w:rPr>
          <w:rFonts w:ascii="Times New Roman"/>
          <w:color w:val="000000" w:themeColor="text1"/>
        </w:rPr>
        <w:t>5S</w:t>
      </w:r>
      <w:r w:rsidRPr="008A2411">
        <w:rPr>
          <w:rFonts w:ascii="Times New Roman"/>
          <w:bCs/>
          <w:color w:val="000000" w:themeColor="text1"/>
        </w:rPr>
        <w:t>。</w:t>
      </w:r>
      <w:r w:rsidRPr="008A2411">
        <w:rPr>
          <w:rFonts w:ascii="Times New Roman"/>
          <w:color w:val="000000" w:themeColor="text1"/>
        </w:rPr>
        <w:t>总</w:t>
      </w:r>
      <w:r w:rsidR="00AB2E38" w:rsidRPr="008A2411">
        <w:rPr>
          <w:rFonts w:ascii="Times New Roman"/>
          <w:color w:val="000000" w:themeColor="text1"/>
        </w:rPr>
        <w:t>泄漏</w:t>
      </w:r>
      <w:proofErr w:type="gramStart"/>
      <w:r w:rsidRPr="008A2411">
        <w:rPr>
          <w:rFonts w:ascii="Times New Roman"/>
          <w:color w:val="000000" w:themeColor="text1"/>
        </w:rPr>
        <w:t>时长按</w:t>
      </w:r>
      <w:proofErr w:type="gramEnd"/>
      <w:r w:rsidRPr="008A2411">
        <w:rPr>
          <w:rFonts w:ascii="Times New Roman"/>
          <w:color w:val="000000" w:themeColor="text1"/>
        </w:rPr>
        <w:t>20S</w:t>
      </w:r>
      <w:r w:rsidRPr="008A2411">
        <w:rPr>
          <w:rFonts w:ascii="Times New Roman"/>
          <w:bCs/>
          <w:color w:val="000000" w:themeColor="text1"/>
        </w:rPr>
        <w:t>计算。运用气体泄漏速率公式计算天然气泄漏量，具体见下表。</w:t>
      </w:r>
    </w:p>
    <w:p w14:paraId="3366C879" w14:textId="77777777" w:rsidR="00B0005F" w:rsidRPr="008A2411" w:rsidRDefault="00000000">
      <w:pPr>
        <w:pStyle w:val="WJ0"/>
        <w:spacing w:line="240" w:lineRule="auto"/>
        <w:rPr>
          <w:rFonts w:ascii="Times New Roman" w:hAnsi="Times New Roman"/>
          <w:color w:val="000000" w:themeColor="text1"/>
        </w:rPr>
      </w:pPr>
      <w:r w:rsidRPr="008A2411">
        <w:rPr>
          <w:rFonts w:ascii="Times New Roman" w:hAnsi="Times New Roman"/>
          <w:color w:val="000000" w:themeColor="text1"/>
        </w:rPr>
        <w:t>表</w:t>
      </w:r>
      <w:r w:rsidRPr="008A2411">
        <w:rPr>
          <w:rFonts w:ascii="Times New Roman" w:hAnsi="Times New Roman"/>
          <w:color w:val="000000" w:themeColor="text1"/>
        </w:rPr>
        <w:t xml:space="preserve">6.6-5  </w:t>
      </w:r>
      <w:r w:rsidRPr="008A2411">
        <w:rPr>
          <w:rFonts w:ascii="Times New Roman" w:hAnsi="Times New Roman"/>
          <w:color w:val="000000" w:themeColor="text1"/>
        </w:rPr>
        <w:t>截断</w:t>
      </w:r>
      <w:proofErr w:type="gramStart"/>
      <w:r w:rsidRPr="008A2411">
        <w:rPr>
          <w:rFonts w:ascii="Times New Roman" w:hAnsi="Times New Roman"/>
          <w:color w:val="000000" w:themeColor="text1"/>
        </w:rPr>
        <w:t>阀启动</w:t>
      </w:r>
      <w:proofErr w:type="gramEnd"/>
      <w:r w:rsidRPr="008A2411">
        <w:rPr>
          <w:rFonts w:ascii="Times New Roman" w:hAnsi="Times New Roman"/>
          <w:color w:val="000000" w:themeColor="text1"/>
        </w:rPr>
        <w:t>前站场天然气泄漏速率</w:t>
      </w:r>
    </w:p>
    <w:tbl>
      <w:tblPr>
        <w:tblStyle w:val="affff9"/>
        <w:tblW w:w="5000" w:type="pct"/>
        <w:tblLayout w:type="fixed"/>
        <w:tblLook w:val="04A0" w:firstRow="1" w:lastRow="0" w:firstColumn="1" w:lastColumn="0" w:noHBand="0" w:noVBand="1"/>
      </w:tblPr>
      <w:tblGrid>
        <w:gridCol w:w="1501"/>
        <w:gridCol w:w="940"/>
        <w:gridCol w:w="937"/>
        <w:gridCol w:w="537"/>
        <w:gridCol w:w="671"/>
        <w:gridCol w:w="940"/>
        <w:gridCol w:w="937"/>
        <w:gridCol w:w="537"/>
        <w:gridCol w:w="609"/>
        <w:gridCol w:w="753"/>
      </w:tblGrid>
      <w:tr w:rsidR="008A2411" w:rsidRPr="008A2411" w14:paraId="1860EFD1" w14:textId="77777777">
        <w:trPr>
          <w:trHeight w:val="454"/>
        </w:trPr>
        <w:tc>
          <w:tcPr>
            <w:tcW w:w="896" w:type="pct"/>
            <w:tcMar>
              <w:left w:w="28" w:type="dxa"/>
              <w:right w:w="28" w:type="dxa"/>
            </w:tcMar>
            <w:vAlign w:val="center"/>
          </w:tcPr>
          <w:p w14:paraId="092587ED"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装置</w:t>
            </w:r>
          </w:p>
        </w:tc>
        <w:tc>
          <w:tcPr>
            <w:tcW w:w="562" w:type="pct"/>
            <w:tcMar>
              <w:left w:w="28" w:type="dxa"/>
              <w:right w:w="28" w:type="dxa"/>
            </w:tcMar>
            <w:vAlign w:val="center"/>
          </w:tcPr>
          <w:p w14:paraId="7FDC4AE3"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P/Pa</w:t>
            </w:r>
          </w:p>
        </w:tc>
        <w:tc>
          <w:tcPr>
            <w:tcW w:w="560" w:type="pct"/>
            <w:tcMar>
              <w:left w:w="28" w:type="dxa"/>
              <w:right w:w="28" w:type="dxa"/>
            </w:tcMar>
            <w:vAlign w:val="center"/>
          </w:tcPr>
          <w:p w14:paraId="3220433B"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P0/Pa</w:t>
            </w:r>
          </w:p>
        </w:tc>
        <w:tc>
          <w:tcPr>
            <w:tcW w:w="321" w:type="pct"/>
            <w:tcMar>
              <w:left w:w="28" w:type="dxa"/>
              <w:right w:w="28" w:type="dxa"/>
            </w:tcMar>
            <w:vAlign w:val="center"/>
          </w:tcPr>
          <w:p w14:paraId="1AC006DA"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Cd</w:t>
            </w:r>
          </w:p>
        </w:tc>
        <w:tc>
          <w:tcPr>
            <w:tcW w:w="401" w:type="pct"/>
            <w:tcMar>
              <w:left w:w="28" w:type="dxa"/>
              <w:right w:w="28" w:type="dxa"/>
            </w:tcMar>
            <w:vAlign w:val="center"/>
          </w:tcPr>
          <w:p w14:paraId="53D3998F"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A/m</w:t>
            </w:r>
            <w:r w:rsidRPr="008A2411">
              <w:rPr>
                <w:rFonts w:ascii="Times New Roman" w:hAnsi="Times New Roman"/>
                <w:color w:val="000000" w:themeColor="text1"/>
                <w:vertAlign w:val="superscript"/>
              </w:rPr>
              <w:t>2</w:t>
            </w:r>
          </w:p>
        </w:tc>
        <w:tc>
          <w:tcPr>
            <w:tcW w:w="562" w:type="pct"/>
            <w:tcMar>
              <w:left w:w="28" w:type="dxa"/>
              <w:right w:w="28" w:type="dxa"/>
            </w:tcMar>
            <w:vAlign w:val="center"/>
          </w:tcPr>
          <w:p w14:paraId="77B6DDE9"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M/</w:t>
            </w:r>
            <w:r w:rsidRPr="008A2411">
              <w:rPr>
                <w:rFonts w:ascii="Times New Roman" w:hAnsi="Times New Roman"/>
                <w:color w:val="000000" w:themeColor="text1"/>
              </w:rPr>
              <w:t>（</w:t>
            </w:r>
            <w:r w:rsidRPr="008A2411">
              <w:rPr>
                <w:rFonts w:ascii="Times New Roman" w:hAnsi="Times New Roman"/>
                <w:color w:val="000000" w:themeColor="text1"/>
              </w:rPr>
              <w:t>kg/mol</w:t>
            </w:r>
            <w:r w:rsidRPr="008A2411">
              <w:rPr>
                <w:rFonts w:ascii="Times New Roman" w:hAnsi="Times New Roman"/>
                <w:color w:val="000000" w:themeColor="text1"/>
              </w:rPr>
              <w:t>）</w:t>
            </w:r>
          </w:p>
        </w:tc>
        <w:tc>
          <w:tcPr>
            <w:tcW w:w="560" w:type="pct"/>
            <w:tcMar>
              <w:left w:w="28" w:type="dxa"/>
              <w:right w:w="28" w:type="dxa"/>
            </w:tcMar>
            <w:vAlign w:val="center"/>
          </w:tcPr>
          <w:p w14:paraId="3D6C211E"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R/</w:t>
            </w:r>
            <w:r w:rsidRPr="008A2411">
              <w:rPr>
                <w:rFonts w:ascii="Times New Roman" w:hAnsi="Times New Roman"/>
                <w:color w:val="000000" w:themeColor="text1"/>
              </w:rPr>
              <w:t>（</w:t>
            </w:r>
            <w:r w:rsidRPr="008A2411">
              <w:rPr>
                <w:rFonts w:ascii="Times New Roman" w:hAnsi="Times New Roman"/>
                <w:color w:val="000000" w:themeColor="text1"/>
              </w:rPr>
              <w:t>J/</w:t>
            </w:r>
            <w:r w:rsidRPr="008A2411">
              <w:rPr>
                <w:rFonts w:ascii="Times New Roman" w:hAnsi="Times New Roman"/>
                <w:color w:val="000000" w:themeColor="text1"/>
              </w:rPr>
              <w:t>（</w:t>
            </w:r>
            <w:r w:rsidRPr="008A2411">
              <w:rPr>
                <w:rFonts w:ascii="Times New Roman" w:hAnsi="Times New Roman"/>
                <w:color w:val="000000" w:themeColor="text1"/>
              </w:rPr>
              <w:t>mol•k</w:t>
            </w:r>
            <w:r w:rsidRPr="008A2411">
              <w:rPr>
                <w:rFonts w:ascii="Times New Roman" w:hAnsi="Times New Roman"/>
                <w:color w:val="000000" w:themeColor="text1"/>
              </w:rPr>
              <w:t>））</w:t>
            </w:r>
          </w:p>
        </w:tc>
        <w:tc>
          <w:tcPr>
            <w:tcW w:w="321" w:type="pct"/>
            <w:tcMar>
              <w:left w:w="28" w:type="dxa"/>
              <w:right w:w="28" w:type="dxa"/>
            </w:tcMar>
            <w:vAlign w:val="center"/>
          </w:tcPr>
          <w:p w14:paraId="783F3DE8"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T</w:t>
            </w:r>
            <w:r w:rsidRPr="008A2411">
              <w:rPr>
                <w:rFonts w:ascii="Times New Roman" w:hAnsi="Times New Roman"/>
                <w:color w:val="000000" w:themeColor="text1"/>
                <w:vertAlign w:val="subscript"/>
              </w:rPr>
              <w:t>G</w:t>
            </w:r>
            <w:r w:rsidRPr="008A2411">
              <w:rPr>
                <w:rFonts w:ascii="Times New Roman" w:hAnsi="Times New Roman"/>
                <w:color w:val="000000" w:themeColor="text1"/>
              </w:rPr>
              <w:t>/K</w:t>
            </w:r>
          </w:p>
        </w:tc>
        <w:tc>
          <w:tcPr>
            <w:tcW w:w="364" w:type="pct"/>
            <w:tcMar>
              <w:left w:w="28" w:type="dxa"/>
              <w:right w:w="28" w:type="dxa"/>
            </w:tcMar>
            <w:vAlign w:val="center"/>
          </w:tcPr>
          <w:p w14:paraId="2D36EE76"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К</w:t>
            </w:r>
          </w:p>
        </w:tc>
        <w:tc>
          <w:tcPr>
            <w:tcW w:w="450" w:type="pct"/>
            <w:tcMar>
              <w:left w:w="28" w:type="dxa"/>
              <w:right w:w="28" w:type="dxa"/>
            </w:tcMar>
            <w:vAlign w:val="center"/>
          </w:tcPr>
          <w:p w14:paraId="2F66DE0A"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Q</w:t>
            </w:r>
            <w:r w:rsidRPr="008A2411">
              <w:rPr>
                <w:rFonts w:ascii="Times New Roman" w:hAnsi="Times New Roman"/>
                <w:color w:val="000000" w:themeColor="text1"/>
                <w:vertAlign w:val="subscript"/>
              </w:rPr>
              <w:t>G</w:t>
            </w:r>
            <w:r w:rsidRPr="008A2411">
              <w:rPr>
                <w:rFonts w:ascii="Times New Roman" w:hAnsi="Times New Roman"/>
                <w:color w:val="000000" w:themeColor="text1"/>
              </w:rPr>
              <w:t>/</w:t>
            </w:r>
            <w:r w:rsidRPr="008A2411">
              <w:rPr>
                <w:rFonts w:ascii="Times New Roman" w:hAnsi="Times New Roman"/>
                <w:color w:val="000000" w:themeColor="text1"/>
              </w:rPr>
              <w:t>（</w:t>
            </w:r>
            <w:r w:rsidRPr="008A2411">
              <w:rPr>
                <w:rFonts w:ascii="Times New Roman" w:hAnsi="Times New Roman"/>
                <w:color w:val="000000" w:themeColor="text1"/>
              </w:rPr>
              <w:t>kg/s</w:t>
            </w:r>
            <w:r w:rsidRPr="008A2411">
              <w:rPr>
                <w:rFonts w:ascii="Times New Roman" w:hAnsi="Times New Roman"/>
                <w:color w:val="000000" w:themeColor="text1"/>
              </w:rPr>
              <w:t>）</w:t>
            </w:r>
          </w:p>
        </w:tc>
      </w:tr>
      <w:tr w:rsidR="008A2411" w:rsidRPr="008A2411" w14:paraId="2FBC8788" w14:textId="77777777">
        <w:trPr>
          <w:trHeight w:val="454"/>
        </w:trPr>
        <w:tc>
          <w:tcPr>
            <w:tcW w:w="896" w:type="pct"/>
            <w:tcMar>
              <w:left w:w="28" w:type="dxa"/>
              <w:right w:w="28" w:type="dxa"/>
            </w:tcMar>
            <w:vAlign w:val="center"/>
          </w:tcPr>
          <w:p w14:paraId="59DCD1A8"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吸收塔装置</w:t>
            </w:r>
          </w:p>
        </w:tc>
        <w:tc>
          <w:tcPr>
            <w:tcW w:w="562" w:type="pct"/>
            <w:tcMar>
              <w:left w:w="28" w:type="dxa"/>
              <w:right w:w="28" w:type="dxa"/>
            </w:tcMar>
            <w:vAlign w:val="center"/>
          </w:tcPr>
          <w:p w14:paraId="076404BC"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5.5×10</w:t>
            </w:r>
            <w:r w:rsidRPr="008A2411">
              <w:rPr>
                <w:rFonts w:ascii="Times New Roman" w:hAnsi="Times New Roman"/>
                <w:color w:val="000000" w:themeColor="text1"/>
                <w:vertAlign w:val="superscript"/>
              </w:rPr>
              <w:t>6</w:t>
            </w:r>
          </w:p>
        </w:tc>
        <w:tc>
          <w:tcPr>
            <w:tcW w:w="560" w:type="pct"/>
            <w:tcMar>
              <w:left w:w="28" w:type="dxa"/>
              <w:right w:w="28" w:type="dxa"/>
            </w:tcMar>
            <w:vAlign w:val="center"/>
          </w:tcPr>
          <w:p w14:paraId="23164696"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101325</w:t>
            </w:r>
          </w:p>
        </w:tc>
        <w:tc>
          <w:tcPr>
            <w:tcW w:w="321" w:type="pct"/>
            <w:tcMar>
              <w:left w:w="28" w:type="dxa"/>
              <w:right w:w="28" w:type="dxa"/>
            </w:tcMar>
            <w:vAlign w:val="center"/>
          </w:tcPr>
          <w:p w14:paraId="289EBB5D"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1</w:t>
            </w:r>
          </w:p>
        </w:tc>
        <w:tc>
          <w:tcPr>
            <w:tcW w:w="401" w:type="pct"/>
            <w:tcMar>
              <w:left w:w="28" w:type="dxa"/>
              <w:right w:w="28" w:type="dxa"/>
            </w:tcMar>
            <w:vAlign w:val="center"/>
          </w:tcPr>
          <w:p w14:paraId="6C86B493"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0.0079</w:t>
            </w:r>
          </w:p>
        </w:tc>
        <w:tc>
          <w:tcPr>
            <w:tcW w:w="562" w:type="pct"/>
            <w:tcMar>
              <w:left w:w="28" w:type="dxa"/>
              <w:right w:w="28" w:type="dxa"/>
            </w:tcMar>
            <w:vAlign w:val="center"/>
          </w:tcPr>
          <w:p w14:paraId="06CA6AC9"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0.02</w:t>
            </w:r>
          </w:p>
        </w:tc>
        <w:tc>
          <w:tcPr>
            <w:tcW w:w="560" w:type="pct"/>
            <w:tcMar>
              <w:left w:w="28" w:type="dxa"/>
              <w:right w:w="28" w:type="dxa"/>
            </w:tcMar>
            <w:vAlign w:val="center"/>
          </w:tcPr>
          <w:p w14:paraId="1E6F4C68"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8.314</w:t>
            </w:r>
          </w:p>
        </w:tc>
        <w:tc>
          <w:tcPr>
            <w:tcW w:w="321" w:type="pct"/>
            <w:tcMar>
              <w:left w:w="28" w:type="dxa"/>
              <w:right w:w="28" w:type="dxa"/>
            </w:tcMar>
            <w:vAlign w:val="center"/>
          </w:tcPr>
          <w:p w14:paraId="2ED2EBC7"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326</w:t>
            </w:r>
          </w:p>
        </w:tc>
        <w:tc>
          <w:tcPr>
            <w:tcW w:w="364" w:type="pct"/>
            <w:tcMar>
              <w:left w:w="28" w:type="dxa"/>
              <w:right w:w="28" w:type="dxa"/>
            </w:tcMar>
            <w:vAlign w:val="center"/>
          </w:tcPr>
          <w:p w14:paraId="6CABFB65"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1.314</w:t>
            </w:r>
          </w:p>
        </w:tc>
        <w:tc>
          <w:tcPr>
            <w:tcW w:w="450" w:type="pct"/>
            <w:tcMar>
              <w:left w:w="28" w:type="dxa"/>
              <w:right w:w="28" w:type="dxa"/>
            </w:tcMar>
            <w:vAlign w:val="center"/>
          </w:tcPr>
          <w:p w14:paraId="1CD8442F"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8.48</w:t>
            </w:r>
          </w:p>
        </w:tc>
      </w:tr>
    </w:tbl>
    <w:p w14:paraId="6EA838AE" w14:textId="31A3827B"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综上，站场内原料天然气泄漏事故的</w:t>
      </w:r>
      <w:r w:rsidR="00AB2E38" w:rsidRPr="008A2411">
        <w:rPr>
          <w:rFonts w:ascii="Times New Roman"/>
          <w:bCs/>
          <w:color w:val="000000" w:themeColor="text1"/>
        </w:rPr>
        <w:t>泄漏</w:t>
      </w:r>
      <w:proofErr w:type="gramStart"/>
      <w:r w:rsidRPr="008A2411">
        <w:rPr>
          <w:rFonts w:ascii="Times New Roman"/>
          <w:bCs/>
          <w:color w:val="000000" w:themeColor="text1"/>
        </w:rPr>
        <w:t>时长按</w:t>
      </w:r>
      <w:proofErr w:type="gramEnd"/>
      <w:r w:rsidRPr="008A2411">
        <w:rPr>
          <w:rFonts w:ascii="Times New Roman"/>
          <w:bCs/>
          <w:color w:val="000000" w:themeColor="text1"/>
        </w:rPr>
        <w:t>20s</w:t>
      </w:r>
      <w:r w:rsidRPr="008A2411">
        <w:rPr>
          <w:rFonts w:ascii="Times New Roman"/>
          <w:bCs/>
          <w:color w:val="000000" w:themeColor="text1"/>
        </w:rPr>
        <w:t>计，</w:t>
      </w:r>
      <w:r w:rsidR="00AB2E38" w:rsidRPr="008A2411">
        <w:rPr>
          <w:rFonts w:ascii="Times New Roman"/>
          <w:bCs/>
          <w:color w:val="000000" w:themeColor="text1"/>
        </w:rPr>
        <w:t>泄漏</w:t>
      </w:r>
      <w:r w:rsidRPr="008A2411">
        <w:rPr>
          <w:rFonts w:ascii="Times New Roman"/>
          <w:bCs/>
          <w:color w:val="000000" w:themeColor="text1"/>
        </w:rPr>
        <w:t>速率按</w:t>
      </w:r>
      <w:r w:rsidRPr="008A2411">
        <w:rPr>
          <w:rFonts w:ascii="Times New Roman"/>
          <w:bCs/>
          <w:color w:val="000000" w:themeColor="text1"/>
        </w:rPr>
        <w:t>8.48kg/s</w:t>
      </w:r>
      <w:r w:rsidRPr="008A2411">
        <w:rPr>
          <w:rFonts w:ascii="Times New Roman"/>
          <w:bCs/>
          <w:color w:val="000000" w:themeColor="text1"/>
        </w:rPr>
        <w:t>计。</w:t>
      </w:r>
    </w:p>
    <w:p w14:paraId="469367F7" w14:textId="77777777" w:rsidR="00B0005F" w:rsidRPr="008A2411" w:rsidRDefault="00000000">
      <w:pPr>
        <w:pStyle w:val="WJ0"/>
        <w:spacing w:line="240" w:lineRule="auto"/>
        <w:rPr>
          <w:rFonts w:ascii="Times New Roman" w:hAnsi="Times New Roman"/>
          <w:color w:val="000000" w:themeColor="text1"/>
        </w:rPr>
      </w:pPr>
      <w:r w:rsidRPr="008A2411">
        <w:rPr>
          <w:rFonts w:ascii="Times New Roman" w:hAnsi="Times New Roman"/>
          <w:color w:val="000000" w:themeColor="text1"/>
        </w:rPr>
        <w:t>表</w:t>
      </w:r>
      <w:r w:rsidRPr="008A2411">
        <w:rPr>
          <w:rFonts w:ascii="Times New Roman" w:hAnsi="Times New Roman"/>
          <w:color w:val="000000" w:themeColor="text1"/>
        </w:rPr>
        <w:t xml:space="preserve">6.6-6  </w:t>
      </w:r>
      <w:r w:rsidRPr="008A2411">
        <w:rPr>
          <w:rFonts w:ascii="Times New Roman" w:hAnsi="Times New Roman"/>
          <w:color w:val="000000" w:themeColor="text1"/>
        </w:rPr>
        <w:t>站场原料天然气泄漏事故</w:t>
      </w:r>
      <w:r w:rsidRPr="008A2411">
        <w:rPr>
          <w:rFonts w:ascii="Times New Roman" w:hAnsi="Times New Roman"/>
          <w:color w:val="000000" w:themeColor="text1"/>
        </w:rPr>
        <w:t>CH</w:t>
      </w:r>
      <w:r w:rsidRPr="008A2411">
        <w:rPr>
          <w:rFonts w:ascii="Times New Roman" w:hAnsi="Times New Roman"/>
          <w:color w:val="000000" w:themeColor="text1"/>
          <w:vertAlign w:val="subscript"/>
        </w:rPr>
        <w:t>4</w:t>
      </w:r>
      <w:r w:rsidRPr="008A2411">
        <w:rPr>
          <w:rFonts w:ascii="Times New Roman" w:hAnsi="Times New Roman"/>
          <w:color w:val="000000" w:themeColor="text1"/>
        </w:rPr>
        <w:t>泄漏事故排放源项</w:t>
      </w:r>
    </w:p>
    <w:tbl>
      <w:tblPr>
        <w:tblStyle w:val="affff9"/>
        <w:tblW w:w="5000" w:type="pct"/>
        <w:jc w:val="center"/>
        <w:tblLook w:val="04A0" w:firstRow="1" w:lastRow="0" w:firstColumn="1" w:lastColumn="0" w:noHBand="0" w:noVBand="1"/>
      </w:tblPr>
      <w:tblGrid>
        <w:gridCol w:w="503"/>
        <w:gridCol w:w="1079"/>
        <w:gridCol w:w="1208"/>
        <w:gridCol w:w="1998"/>
        <w:gridCol w:w="990"/>
        <w:gridCol w:w="1277"/>
        <w:gridCol w:w="1467"/>
      </w:tblGrid>
      <w:tr w:rsidR="008A2411" w:rsidRPr="008A2411" w14:paraId="68CBC2AC" w14:textId="77777777">
        <w:trPr>
          <w:jc w:val="center"/>
        </w:trPr>
        <w:tc>
          <w:tcPr>
            <w:tcW w:w="295" w:type="pct"/>
            <w:vAlign w:val="center"/>
          </w:tcPr>
          <w:p w14:paraId="20085935"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序号</w:t>
            </w:r>
          </w:p>
        </w:tc>
        <w:tc>
          <w:tcPr>
            <w:tcW w:w="633" w:type="pct"/>
            <w:vAlign w:val="center"/>
          </w:tcPr>
          <w:p w14:paraId="7B52FDFF"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站场</w:t>
            </w:r>
          </w:p>
        </w:tc>
        <w:tc>
          <w:tcPr>
            <w:tcW w:w="709" w:type="pct"/>
            <w:vAlign w:val="center"/>
          </w:tcPr>
          <w:p w14:paraId="39E7253C" w14:textId="452AC726"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切断前</w:t>
            </w:r>
            <w:r w:rsidR="00AB2E38" w:rsidRPr="008A2411">
              <w:rPr>
                <w:rFonts w:ascii="Times New Roman" w:hAnsi="Times New Roman"/>
                <w:color w:val="000000" w:themeColor="text1"/>
              </w:rPr>
              <w:t>泄漏</w:t>
            </w:r>
            <w:r w:rsidRPr="008A2411">
              <w:rPr>
                <w:rFonts w:ascii="Times New Roman" w:hAnsi="Times New Roman"/>
                <w:color w:val="000000" w:themeColor="text1"/>
              </w:rPr>
              <w:t>时间（</w:t>
            </w:r>
            <w:r w:rsidRPr="008A2411">
              <w:rPr>
                <w:rFonts w:ascii="Times New Roman" w:hAnsi="Times New Roman"/>
                <w:color w:val="000000" w:themeColor="text1"/>
              </w:rPr>
              <w:t>s</w:t>
            </w:r>
            <w:r w:rsidRPr="008A2411">
              <w:rPr>
                <w:rFonts w:ascii="Times New Roman" w:hAnsi="Times New Roman"/>
                <w:color w:val="000000" w:themeColor="text1"/>
              </w:rPr>
              <w:t>）</w:t>
            </w:r>
          </w:p>
        </w:tc>
        <w:tc>
          <w:tcPr>
            <w:tcW w:w="1172" w:type="pct"/>
            <w:vAlign w:val="center"/>
          </w:tcPr>
          <w:p w14:paraId="738C438A" w14:textId="0F417B64"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切断后天然气吸收塔设计</w:t>
            </w:r>
            <w:r w:rsidR="00AB2E38" w:rsidRPr="008A2411">
              <w:rPr>
                <w:rFonts w:ascii="Times New Roman" w:hAnsi="Times New Roman"/>
                <w:color w:val="000000" w:themeColor="text1"/>
              </w:rPr>
              <w:t>泄漏</w:t>
            </w:r>
            <w:r w:rsidRPr="008A2411">
              <w:rPr>
                <w:rFonts w:ascii="Times New Roman" w:hAnsi="Times New Roman"/>
                <w:color w:val="000000" w:themeColor="text1"/>
              </w:rPr>
              <w:t>时间</w:t>
            </w:r>
          </w:p>
        </w:tc>
        <w:tc>
          <w:tcPr>
            <w:tcW w:w="581" w:type="pct"/>
            <w:vAlign w:val="center"/>
          </w:tcPr>
          <w:p w14:paraId="3682CB71" w14:textId="2869CB21"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总</w:t>
            </w:r>
            <w:r w:rsidR="00AB2E38" w:rsidRPr="008A2411">
              <w:rPr>
                <w:rFonts w:ascii="Times New Roman" w:hAnsi="Times New Roman"/>
                <w:color w:val="000000" w:themeColor="text1"/>
              </w:rPr>
              <w:t>泄漏</w:t>
            </w:r>
            <w:r w:rsidRPr="008A2411">
              <w:rPr>
                <w:rFonts w:ascii="Times New Roman" w:hAnsi="Times New Roman"/>
                <w:color w:val="000000" w:themeColor="text1"/>
              </w:rPr>
              <w:t>时长（</w:t>
            </w:r>
            <w:r w:rsidRPr="008A2411">
              <w:rPr>
                <w:rFonts w:ascii="Times New Roman" w:hAnsi="Times New Roman"/>
                <w:color w:val="000000" w:themeColor="text1"/>
              </w:rPr>
              <w:t>s</w:t>
            </w:r>
            <w:r w:rsidRPr="008A2411">
              <w:rPr>
                <w:rFonts w:ascii="Times New Roman" w:hAnsi="Times New Roman"/>
                <w:color w:val="000000" w:themeColor="text1"/>
              </w:rPr>
              <w:t>）</w:t>
            </w:r>
          </w:p>
        </w:tc>
        <w:tc>
          <w:tcPr>
            <w:tcW w:w="749" w:type="pct"/>
            <w:vAlign w:val="center"/>
          </w:tcPr>
          <w:p w14:paraId="52C370BC" w14:textId="5D089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CH</w:t>
            </w:r>
            <w:r w:rsidRPr="008A2411">
              <w:rPr>
                <w:rFonts w:ascii="Times New Roman" w:hAnsi="Times New Roman"/>
                <w:color w:val="000000" w:themeColor="text1"/>
                <w:vertAlign w:val="subscript"/>
              </w:rPr>
              <w:t>4</w:t>
            </w:r>
            <w:r w:rsidR="00AB2E38" w:rsidRPr="008A2411">
              <w:rPr>
                <w:rFonts w:ascii="Times New Roman" w:hAnsi="Times New Roman"/>
                <w:color w:val="000000" w:themeColor="text1"/>
              </w:rPr>
              <w:t>泄漏</w:t>
            </w:r>
            <w:r w:rsidRPr="008A2411">
              <w:rPr>
                <w:rFonts w:ascii="Times New Roman" w:hAnsi="Times New Roman"/>
                <w:color w:val="000000" w:themeColor="text1"/>
              </w:rPr>
              <w:t>速率（</w:t>
            </w:r>
            <w:r w:rsidRPr="008A2411">
              <w:rPr>
                <w:rFonts w:ascii="Times New Roman" w:hAnsi="Times New Roman"/>
                <w:color w:val="000000" w:themeColor="text1"/>
              </w:rPr>
              <w:t>kg/s</w:t>
            </w:r>
            <w:r w:rsidRPr="008A2411">
              <w:rPr>
                <w:rFonts w:ascii="Times New Roman" w:hAnsi="Times New Roman"/>
                <w:color w:val="000000" w:themeColor="text1"/>
              </w:rPr>
              <w:t>）</w:t>
            </w:r>
          </w:p>
        </w:tc>
        <w:tc>
          <w:tcPr>
            <w:tcW w:w="861" w:type="pct"/>
            <w:vAlign w:val="center"/>
          </w:tcPr>
          <w:p w14:paraId="2EC8CF77"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CH</w:t>
            </w:r>
            <w:r w:rsidRPr="008A2411">
              <w:rPr>
                <w:rFonts w:ascii="Times New Roman" w:hAnsi="Times New Roman"/>
                <w:color w:val="000000" w:themeColor="text1"/>
                <w:vertAlign w:val="subscript"/>
              </w:rPr>
              <w:t>4</w:t>
            </w:r>
            <w:r w:rsidRPr="008A2411">
              <w:rPr>
                <w:rFonts w:ascii="Times New Roman" w:hAnsi="Times New Roman"/>
                <w:color w:val="000000" w:themeColor="text1"/>
              </w:rPr>
              <w:t>泄漏量（</w:t>
            </w:r>
            <w:r w:rsidRPr="008A2411">
              <w:rPr>
                <w:rFonts w:ascii="Times New Roman" w:hAnsi="Times New Roman"/>
                <w:color w:val="000000" w:themeColor="text1"/>
              </w:rPr>
              <w:t>kg</w:t>
            </w:r>
            <w:r w:rsidRPr="008A2411">
              <w:rPr>
                <w:rFonts w:ascii="Times New Roman" w:hAnsi="Times New Roman"/>
                <w:color w:val="000000" w:themeColor="text1"/>
              </w:rPr>
              <w:t>）</w:t>
            </w:r>
          </w:p>
        </w:tc>
      </w:tr>
      <w:tr w:rsidR="00B0005F" w:rsidRPr="008A2411" w14:paraId="5A9E2ABF" w14:textId="77777777">
        <w:trPr>
          <w:jc w:val="center"/>
        </w:trPr>
        <w:tc>
          <w:tcPr>
            <w:tcW w:w="295" w:type="pct"/>
            <w:vAlign w:val="center"/>
          </w:tcPr>
          <w:p w14:paraId="6BF83465"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1</w:t>
            </w:r>
          </w:p>
        </w:tc>
        <w:tc>
          <w:tcPr>
            <w:tcW w:w="633" w:type="pct"/>
            <w:vAlign w:val="center"/>
          </w:tcPr>
          <w:p w14:paraId="2BFF06D2"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吸收塔装置</w:t>
            </w:r>
          </w:p>
        </w:tc>
        <w:tc>
          <w:tcPr>
            <w:tcW w:w="1208" w:type="dxa"/>
            <w:vAlign w:val="center"/>
          </w:tcPr>
          <w:p w14:paraId="71B57124"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15</w:t>
            </w:r>
          </w:p>
        </w:tc>
        <w:tc>
          <w:tcPr>
            <w:tcW w:w="1998" w:type="dxa"/>
            <w:vAlign w:val="center"/>
          </w:tcPr>
          <w:p w14:paraId="58C25D86"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5</w:t>
            </w:r>
          </w:p>
        </w:tc>
        <w:tc>
          <w:tcPr>
            <w:tcW w:w="990" w:type="dxa"/>
            <w:vAlign w:val="center"/>
          </w:tcPr>
          <w:p w14:paraId="338AC9CD"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20</w:t>
            </w:r>
          </w:p>
        </w:tc>
        <w:tc>
          <w:tcPr>
            <w:tcW w:w="1277" w:type="dxa"/>
            <w:vAlign w:val="center"/>
          </w:tcPr>
          <w:p w14:paraId="6E6C9B6E"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8.48</w:t>
            </w:r>
          </w:p>
        </w:tc>
        <w:tc>
          <w:tcPr>
            <w:tcW w:w="1467" w:type="dxa"/>
            <w:vAlign w:val="center"/>
          </w:tcPr>
          <w:p w14:paraId="5793C29F"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169.6</w:t>
            </w:r>
          </w:p>
        </w:tc>
      </w:tr>
    </w:tbl>
    <w:p w14:paraId="00DACB31" w14:textId="77777777" w:rsidR="00B0005F" w:rsidRPr="008A2411" w:rsidRDefault="00B0005F">
      <w:pPr>
        <w:adjustRightInd w:val="0"/>
        <w:snapToGrid w:val="0"/>
        <w:spacing w:line="360" w:lineRule="auto"/>
        <w:ind w:firstLineChars="200" w:firstLine="480"/>
        <w:rPr>
          <w:rFonts w:ascii="Times New Roman"/>
          <w:bCs/>
          <w:color w:val="000000" w:themeColor="text1"/>
        </w:rPr>
      </w:pPr>
    </w:p>
    <w:p w14:paraId="64B1B632" w14:textId="77777777" w:rsidR="00B0005F" w:rsidRPr="008A2411" w:rsidRDefault="00000000">
      <w:pPr>
        <w:widowControl/>
        <w:adjustRightInd w:val="0"/>
        <w:snapToGrid w:val="0"/>
        <w:spacing w:line="360" w:lineRule="auto"/>
        <w:ind w:firstLineChars="200" w:firstLine="480"/>
        <w:rPr>
          <w:rFonts w:ascii="Times New Roman"/>
          <w:color w:val="000000" w:themeColor="text1"/>
          <w:szCs w:val="24"/>
        </w:rPr>
      </w:pPr>
      <w:r w:rsidRPr="008A2411">
        <w:rPr>
          <w:rFonts w:ascii="Times New Roman"/>
          <w:bCs/>
          <w:color w:val="000000" w:themeColor="text1"/>
        </w:rPr>
        <w:t>在天然气泄漏并发生火灾事故时，次生污染物</w:t>
      </w:r>
      <w:r w:rsidRPr="008A2411">
        <w:rPr>
          <w:rFonts w:ascii="Times New Roman"/>
          <w:bCs/>
          <w:color w:val="000000" w:themeColor="text1"/>
        </w:rPr>
        <w:t>CO</w:t>
      </w:r>
      <w:r w:rsidRPr="008A2411">
        <w:rPr>
          <w:rFonts w:ascii="Times New Roman"/>
          <w:bCs/>
          <w:color w:val="000000" w:themeColor="text1"/>
        </w:rPr>
        <w:t>的产生速率</w:t>
      </w:r>
      <w:r w:rsidRPr="008A2411">
        <w:rPr>
          <w:rFonts w:ascii="Times New Roman"/>
          <w:color w:val="000000" w:themeColor="text1"/>
          <w:szCs w:val="24"/>
        </w:rPr>
        <w:t>计算方法如下：</w:t>
      </w:r>
    </w:p>
    <w:p w14:paraId="10A77A21" w14:textId="77777777" w:rsidR="00B0005F" w:rsidRPr="008A2411" w:rsidRDefault="00000000">
      <w:pPr>
        <w:widowControl/>
        <w:adjustRightInd w:val="0"/>
        <w:snapToGrid w:val="0"/>
        <w:spacing w:line="360" w:lineRule="auto"/>
        <w:ind w:firstLineChars="200" w:firstLine="480"/>
        <w:jc w:val="center"/>
        <w:rPr>
          <w:rFonts w:ascii="Times New Roman"/>
          <w:color w:val="000000" w:themeColor="text1"/>
          <w:szCs w:val="24"/>
        </w:rPr>
      </w:pPr>
      <w:r w:rsidRPr="008A2411">
        <w:rPr>
          <w:rFonts w:ascii="Times New Roman"/>
          <w:color w:val="000000" w:themeColor="text1"/>
          <w:szCs w:val="24"/>
        </w:rPr>
        <w:t>G</w:t>
      </w:r>
      <w:r w:rsidRPr="008A2411">
        <w:rPr>
          <w:rFonts w:ascii="Times New Roman"/>
          <w:color w:val="000000" w:themeColor="text1"/>
          <w:szCs w:val="24"/>
          <w:vertAlign w:val="subscript"/>
        </w:rPr>
        <w:t>co</w:t>
      </w:r>
      <w:r w:rsidRPr="008A2411">
        <w:rPr>
          <w:rFonts w:ascii="Times New Roman"/>
          <w:color w:val="000000" w:themeColor="text1"/>
          <w:szCs w:val="24"/>
        </w:rPr>
        <w:t>=2330·q·C·Q</w:t>
      </w:r>
    </w:p>
    <w:p w14:paraId="0404FA64" w14:textId="77777777" w:rsidR="00B0005F" w:rsidRPr="008A2411" w:rsidRDefault="00000000">
      <w:pPr>
        <w:widowControl/>
        <w:adjustRightInd w:val="0"/>
        <w:snapToGrid w:val="0"/>
        <w:spacing w:line="360" w:lineRule="auto"/>
        <w:ind w:firstLineChars="200" w:firstLine="520"/>
        <w:rPr>
          <w:rFonts w:ascii="Times New Roman"/>
          <w:snapToGrid w:val="0"/>
          <w:color w:val="000000" w:themeColor="text1"/>
          <w:spacing w:val="10"/>
          <w:szCs w:val="24"/>
        </w:rPr>
      </w:pPr>
      <w:r w:rsidRPr="008A2411">
        <w:rPr>
          <w:rFonts w:ascii="Times New Roman"/>
          <w:snapToGrid w:val="0"/>
          <w:color w:val="000000" w:themeColor="text1"/>
          <w:spacing w:val="10"/>
          <w:szCs w:val="24"/>
        </w:rPr>
        <w:t>式中：</w:t>
      </w:r>
      <w:r w:rsidRPr="008A2411">
        <w:rPr>
          <w:rFonts w:ascii="Times New Roman"/>
          <w:snapToGrid w:val="0"/>
          <w:color w:val="000000" w:themeColor="text1"/>
          <w:spacing w:val="10"/>
          <w:szCs w:val="24"/>
        </w:rPr>
        <w:t>G</w:t>
      </w:r>
      <w:r w:rsidRPr="008A2411">
        <w:rPr>
          <w:rFonts w:ascii="Times New Roman"/>
          <w:snapToGrid w:val="0"/>
          <w:color w:val="000000" w:themeColor="text1"/>
          <w:spacing w:val="10"/>
          <w:szCs w:val="24"/>
          <w:vertAlign w:val="subscript"/>
        </w:rPr>
        <w:t>co</w:t>
      </w:r>
      <w:r w:rsidRPr="008A2411">
        <w:rPr>
          <w:rFonts w:ascii="Times New Roman"/>
          <w:snapToGrid w:val="0"/>
          <w:color w:val="000000" w:themeColor="text1"/>
          <w:spacing w:val="10"/>
          <w:szCs w:val="24"/>
        </w:rPr>
        <w:t>—CO</w:t>
      </w:r>
      <w:r w:rsidRPr="008A2411">
        <w:rPr>
          <w:rFonts w:ascii="Times New Roman"/>
          <w:snapToGrid w:val="0"/>
          <w:color w:val="000000" w:themeColor="text1"/>
          <w:spacing w:val="10"/>
          <w:szCs w:val="24"/>
        </w:rPr>
        <w:t>的产生量，</w:t>
      </w:r>
      <w:r w:rsidRPr="008A2411">
        <w:rPr>
          <w:rFonts w:ascii="Times New Roman"/>
          <w:snapToGrid w:val="0"/>
          <w:color w:val="000000" w:themeColor="text1"/>
          <w:spacing w:val="10"/>
          <w:szCs w:val="24"/>
        </w:rPr>
        <w:t>kg/h</w:t>
      </w:r>
      <w:r w:rsidRPr="008A2411">
        <w:rPr>
          <w:rFonts w:ascii="Times New Roman"/>
          <w:snapToGrid w:val="0"/>
          <w:color w:val="000000" w:themeColor="text1"/>
          <w:spacing w:val="10"/>
          <w:szCs w:val="24"/>
        </w:rPr>
        <w:t>；</w:t>
      </w:r>
    </w:p>
    <w:p w14:paraId="4E067CDC" w14:textId="77777777" w:rsidR="00B0005F" w:rsidRPr="008A2411" w:rsidRDefault="00000000">
      <w:pPr>
        <w:widowControl/>
        <w:adjustRightInd w:val="0"/>
        <w:snapToGrid w:val="0"/>
        <w:spacing w:line="360" w:lineRule="auto"/>
        <w:ind w:firstLineChars="490" w:firstLine="1274"/>
        <w:rPr>
          <w:rFonts w:ascii="Times New Roman"/>
          <w:snapToGrid w:val="0"/>
          <w:color w:val="000000" w:themeColor="text1"/>
          <w:spacing w:val="10"/>
          <w:szCs w:val="24"/>
        </w:rPr>
      </w:pPr>
      <w:r w:rsidRPr="008A2411">
        <w:rPr>
          <w:rFonts w:ascii="Times New Roman"/>
          <w:snapToGrid w:val="0"/>
          <w:color w:val="000000" w:themeColor="text1"/>
          <w:spacing w:val="10"/>
          <w:szCs w:val="24"/>
        </w:rPr>
        <w:t>C—</w:t>
      </w:r>
      <w:r w:rsidRPr="008A2411">
        <w:rPr>
          <w:rFonts w:ascii="Times New Roman"/>
          <w:snapToGrid w:val="0"/>
          <w:color w:val="000000" w:themeColor="text1"/>
          <w:spacing w:val="10"/>
          <w:szCs w:val="24"/>
        </w:rPr>
        <w:t>天然气中碳的质量百分比含量，取</w:t>
      </w:r>
      <w:r w:rsidRPr="008A2411">
        <w:rPr>
          <w:rFonts w:ascii="Times New Roman"/>
          <w:snapToGrid w:val="0"/>
          <w:color w:val="000000" w:themeColor="text1"/>
          <w:spacing w:val="10"/>
          <w:szCs w:val="24"/>
        </w:rPr>
        <w:t>86%</w:t>
      </w:r>
      <w:r w:rsidRPr="008A2411">
        <w:rPr>
          <w:rFonts w:ascii="Times New Roman"/>
          <w:snapToGrid w:val="0"/>
          <w:color w:val="000000" w:themeColor="text1"/>
          <w:spacing w:val="10"/>
          <w:szCs w:val="24"/>
        </w:rPr>
        <w:t>；</w:t>
      </w:r>
    </w:p>
    <w:p w14:paraId="69F0D60B" w14:textId="77777777" w:rsidR="00B0005F" w:rsidRPr="008A2411" w:rsidRDefault="00000000">
      <w:pPr>
        <w:widowControl/>
        <w:adjustRightInd w:val="0"/>
        <w:snapToGrid w:val="0"/>
        <w:spacing w:line="360" w:lineRule="auto"/>
        <w:ind w:firstLineChars="490" w:firstLine="1274"/>
        <w:rPr>
          <w:rFonts w:ascii="Times New Roman"/>
          <w:snapToGrid w:val="0"/>
          <w:color w:val="000000" w:themeColor="text1"/>
          <w:spacing w:val="10"/>
          <w:szCs w:val="24"/>
        </w:rPr>
      </w:pPr>
      <w:r w:rsidRPr="008A2411">
        <w:rPr>
          <w:rFonts w:ascii="Times New Roman"/>
          <w:snapToGrid w:val="0"/>
          <w:color w:val="000000" w:themeColor="text1"/>
          <w:spacing w:val="10"/>
          <w:szCs w:val="24"/>
        </w:rPr>
        <w:t>q—</w:t>
      </w:r>
      <w:r w:rsidRPr="008A2411">
        <w:rPr>
          <w:rFonts w:ascii="Times New Roman"/>
          <w:snapToGrid w:val="0"/>
          <w:color w:val="000000" w:themeColor="text1"/>
          <w:spacing w:val="10"/>
          <w:szCs w:val="24"/>
        </w:rPr>
        <w:t>天然气中</w:t>
      </w:r>
      <w:proofErr w:type="gramStart"/>
      <w:r w:rsidRPr="008A2411">
        <w:rPr>
          <w:rFonts w:ascii="Times New Roman"/>
          <w:snapToGrid w:val="0"/>
          <w:color w:val="000000" w:themeColor="text1"/>
          <w:spacing w:val="10"/>
          <w:szCs w:val="24"/>
        </w:rPr>
        <w:t>中</w:t>
      </w:r>
      <w:proofErr w:type="gramEnd"/>
      <w:r w:rsidRPr="008A2411">
        <w:rPr>
          <w:rFonts w:ascii="Times New Roman"/>
          <w:snapToGrid w:val="0"/>
          <w:color w:val="000000" w:themeColor="text1"/>
          <w:spacing w:val="10"/>
          <w:szCs w:val="24"/>
        </w:rPr>
        <w:t>碳的化学不完全燃烧值，一般为</w:t>
      </w:r>
      <w:r w:rsidRPr="008A2411">
        <w:rPr>
          <w:rFonts w:ascii="Times New Roman"/>
          <w:snapToGrid w:val="0"/>
          <w:color w:val="000000" w:themeColor="text1"/>
          <w:spacing w:val="10"/>
          <w:szCs w:val="24"/>
        </w:rPr>
        <w:t>1.5%~6%</w:t>
      </w:r>
      <w:r w:rsidRPr="008A2411">
        <w:rPr>
          <w:rFonts w:ascii="Times New Roman"/>
          <w:snapToGrid w:val="0"/>
          <w:color w:val="000000" w:themeColor="text1"/>
          <w:spacing w:val="10"/>
          <w:szCs w:val="24"/>
        </w:rPr>
        <w:t>，本次评价折中取</w:t>
      </w:r>
      <w:r w:rsidRPr="008A2411">
        <w:rPr>
          <w:rFonts w:ascii="Times New Roman"/>
          <w:snapToGrid w:val="0"/>
          <w:color w:val="000000" w:themeColor="text1"/>
          <w:spacing w:val="10"/>
          <w:szCs w:val="24"/>
        </w:rPr>
        <w:t>3%</w:t>
      </w:r>
      <w:r w:rsidRPr="008A2411">
        <w:rPr>
          <w:rFonts w:ascii="Times New Roman"/>
          <w:snapToGrid w:val="0"/>
          <w:color w:val="000000" w:themeColor="text1"/>
          <w:spacing w:val="10"/>
          <w:szCs w:val="24"/>
        </w:rPr>
        <w:t>；</w:t>
      </w:r>
    </w:p>
    <w:p w14:paraId="575040D5" w14:textId="45A36440" w:rsidR="00B0005F" w:rsidRPr="008A2411" w:rsidRDefault="00000000">
      <w:pPr>
        <w:widowControl/>
        <w:adjustRightInd w:val="0"/>
        <w:snapToGrid w:val="0"/>
        <w:spacing w:line="360" w:lineRule="auto"/>
        <w:ind w:firstLineChars="490" w:firstLine="1274"/>
        <w:rPr>
          <w:rFonts w:ascii="Times New Roman"/>
          <w:snapToGrid w:val="0"/>
          <w:color w:val="000000" w:themeColor="text1"/>
          <w:spacing w:val="10"/>
          <w:szCs w:val="24"/>
        </w:rPr>
      </w:pPr>
      <w:r w:rsidRPr="008A2411">
        <w:rPr>
          <w:rFonts w:ascii="Times New Roman"/>
          <w:snapToGrid w:val="0"/>
          <w:color w:val="000000" w:themeColor="text1"/>
          <w:spacing w:val="10"/>
          <w:szCs w:val="24"/>
        </w:rPr>
        <w:t>Q—</w:t>
      </w:r>
      <w:r w:rsidRPr="008A2411">
        <w:rPr>
          <w:rFonts w:ascii="Times New Roman"/>
          <w:snapToGrid w:val="0"/>
          <w:color w:val="000000" w:themeColor="text1"/>
          <w:spacing w:val="10"/>
          <w:szCs w:val="24"/>
        </w:rPr>
        <w:t>参与燃烧的物质量（</w:t>
      </w:r>
      <w:r w:rsidRPr="008A2411">
        <w:rPr>
          <w:rFonts w:ascii="Times New Roman"/>
          <w:snapToGrid w:val="0"/>
          <w:color w:val="000000" w:themeColor="text1"/>
          <w:spacing w:val="10"/>
          <w:szCs w:val="24"/>
        </w:rPr>
        <w:t>t/h</w:t>
      </w:r>
      <w:r w:rsidRPr="008A2411">
        <w:rPr>
          <w:rFonts w:ascii="Times New Roman"/>
          <w:snapToGrid w:val="0"/>
          <w:color w:val="000000" w:themeColor="text1"/>
          <w:spacing w:val="10"/>
          <w:szCs w:val="24"/>
        </w:rPr>
        <w:t>），本项目为</w:t>
      </w:r>
      <w:r w:rsidRPr="008A2411">
        <w:rPr>
          <w:rFonts w:ascii="Times New Roman" w:hint="eastAsia"/>
          <w:snapToGrid w:val="0"/>
          <w:color w:val="000000" w:themeColor="text1"/>
          <w:spacing w:val="10"/>
          <w:szCs w:val="24"/>
        </w:rPr>
        <w:t>3</w:t>
      </w:r>
      <w:r w:rsidR="000124BA" w:rsidRPr="008A2411">
        <w:rPr>
          <w:rFonts w:ascii="Times New Roman" w:hint="eastAsia"/>
          <w:snapToGrid w:val="0"/>
          <w:color w:val="000000" w:themeColor="text1"/>
          <w:spacing w:val="10"/>
          <w:szCs w:val="24"/>
        </w:rPr>
        <w:t>0.</w:t>
      </w:r>
      <w:r w:rsidRPr="008A2411">
        <w:rPr>
          <w:rFonts w:ascii="Times New Roman" w:hint="eastAsia"/>
          <w:snapToGrid w:val="0"/>
          <w:color w:val="000000" w:themeColor="text1"/>
          <w:spacing w:val="10"/>
          <w:szCs w:val="24"/>
        </w:rPr>
        <w:t>528</w:t>
      </w:r>
      <w:r w:rsidRPr="008A2411">
        <w:rPr>
          <w:rFonts w:ascii="Times New Roman"/>
          <w:snapToGrid w:val="0"/>
          <w:color w:val="000000" w:themeColor="text1"/>
          <w:spacing w:val="10"/>
          <w:szCs w:val="24"/>
        </w:rPr>
        <w:t>t/h</w:t>
      </w:r>
      <w:r w:rsidRPr="008A2411">
        <w:rPr>
          <w:rFonts w:ascii="Times New Roman"/>
          <w:snapToGrid w:val="0"/>
          <w:color w:val="000000" w:themeColor="text1"/>
          <w:spacing w:val="10"/>
          <w:szCs w:val="24"/>
        </w:rPr>
        <w:t>。</w:t>
      </w:r>
    </w:p>
    <w:p w14:paraId="2D26A386" w14:textId="77777777" w:rsidR="00B0005F" w:rsidRPr="008A2411" w:rsidRDefault="00000000">
      <w:pPr>
        <w:widowControl/>
        <w:adjustRightInd w:val="0"/>
        <w:snapToGrid w:val="0"/>
        <w:spacing w:line="360" w:lineRule="auto"/>
        <w:rPr>
          <w:rFonts w:ascii="Times New Roman"/>
          <w:snapToGrid w:val="0"/>
          <w:color w:val="000000" w:themeColor="text1"/>
          <w:spacing w:val="10"/>
          <w:szCs w:val="24"/>
        </w:rPr>
      </w:pPr>
      <w:r w:rsidRPr="008A2411">
        <w:rPr>
          <w:rFonts w:ascii="Times New Roman"/>
          <w:snapToGrid w:val="0"/>
          <w:color w:val="000000" w:themeColor="text1"/>
          <w:spacing w:val="10"/>
          <w:szCs w:val="24"/>
        </w:rPr>
        <w:t>据此，核算出火灾事故</w:t>
      </w:r>
      <w:r w:rsidRPr="008A2411">
        <w:rPr>
          <w:rFonts w:ascii="Times New Roman"/>
          <w:snapToGrid w:val="0"/>
          <w:color w:val="000000" w:themeColor="text1"/>
          <w:spacing w:val="10"/>
          <w:szCs w:val="24"/>
        </w:rPr>
        <w:t>CO</w:t>
      </w:r>
      <w:r w:rsidRPr="008A2411">
        <w:rPr>
          <w:rFonts w:ascii="Times New Roman"/>
          <w:snapToGrid w:val="0"/>
          <w:color w:val="000000" w:themeColor="text1"/>
          <w:spacing w:val="10"/>
          <w:szCs w:val="24"/>
        </w:rPr>
        <w:t>产生速率为</w:t>
      </w:r>
      <w:r w:rsidRPr="008A2411">
        <w:rPr>
          <w:rFonts w:ascii="Times New Roman"/>
          <w:snapToGrid w:val="0"/>
          <w:color w:val="000000" w:themeColor="text1"/>
          <w:spacing w:val="10"/>
          <w:szCs w:val="24"/>
        </w:rPr>
        <w:t>1835.16kg/h</w:t>
      </w:r>
      <w:r w:rsidRPr="008A2411">
        <w:rPr>
          <w:rFonts w:ascii="Times New Roman"/>
          <w:snapToGrid w:val="0"/>
          <w:color w:val="000000" w:themeColor="text1"/>
          <w:spacing w:val="10"/>
          <w:szCs w:val="24"/>
        </w:rPr>
        <w:t>（</w:t>
      </w:r>
      <w:r w:rsidRPr="008A2411">
        <w:rPr>
          <w:rFonts w:ascii="Times New Roman"/>
          <w:snapToGrid w:val="0"/>
          <w:color w:val="000000" w:themeColor="text1"/>
          <w:spacing w:val="10"/>
          <w:szCs w:val="24"/>
        </w:rPr>
        <w:t>0.509kg/s</w:t>
      </w:r>
      <w:r w:rsidRPr="008A2411">
        <w:rPr>
          <w:rFonts w:ascii="Times New Roman"/>
          <w:snapToGrid w:val="0"/>
          <w:color w:val="000000" w:themeColor="text1"/>
          <w:spacing w:val="10"/>
          <w:szCs w:val="24"/>
        </w:rPr>
        <w:t>）。</w:t>
      </w:r>
    </w:p>
    <w:p w14:paraId="3E5C28E4" w14:textId="77777777" w:rsidR="00B0005F" w:rsidRPr="008A2411" w:rsidRDefault="00000000">
      <w:pPr>
        <w:adjustRightInd w:val="0"/>
        <w:snapToGrid w:val="0"/>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2</w:t>
      </w:r>
      <w:r w:rsidRPr="008A2411">
        <w:rPr>
          <w:rFonts w:ascii="Times New Roman"/>
          <w:bCs/>
          <w:color w:val="000000" w:themeColor="text1"/>
        </w:rPr>
        <w:t>）地下水源项分析</w:t>
      </w:r>
    </w:p>
    <w:p w14:paraId="70998B2A" w14:textId="77777777" w:rsidR="00B0005F" w:rsidRPr="008A2411" w:rsidRDefault="00000000">
      <w:pPr>
        <w:adjustRightInd w:val="0"/>
        <w:snapToGrid w:val="0"/>
        <w:spacing w:line="360" w:lineRule="auto"/>
        <w:ind w:firstLineChars="200" w:firstLine="480"/>
        <w:rPr>
          <w:rFonts w:ascii="Times New Roman"/>
          <w:bCs/>
          <w:color w:val="000000" w:themeColor="text1"/>
        </w:rPr>
      </w:pPr>
      <w:r w:rsidRPr="008A2411">
        <w:rPr>
          <w:rFonts w:ascii="Times New Roman"/>
          <w:bCs/>
          <w:color w:val="000000" w:themeColor="text1"/>
        </w:rPr>
        <w:t>根据本次环评地下水影响评价，污水处理站或脱硫塔发生泄漏事故，污染物会对污水管道沿线居民的地下水用水安全产生威胁。具体分析见地下水环境评价</w:t>
      </w:r>
      <w:r w:rsidRPr="008A2411">
        <w:rPr>
          <w:rFonts w:ascii="Times New Roman"/>
          <w:bCs/>
          <w:color w:val="000000" w:themeColor="text1"/>
        </w:rPr>
        <w:lastRenderedPageBreak/>
        <w:t>章节。</w:t>
      </w:r>
    </w:p>
    <w:p w14:paraId="4D7CD061" w14:textId="77777777" w:rsidR="00B0005F" w:rsidRPr="008A2411" w:rsidRDefault="00000000">
      <w:pPr>
        <w:adjustRightInd w:val="0"/>
        <w:snapToGrid w:val="0"/>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3</w:t>
      </w:r>
      <w:r w:rsidRPr="008A2411">
        <w:rPr>
          <w:rFonts w:ascii="Times New Roman"/>
          <w:bCs/>
          <w:color w:val="000000" w:themeColor="text1"/>
        </w:rPr>
        <w:t>）地表水源项分析</w:t>
      </w:r>
    </w:p>
    <w:p w14:paraId="4852F879" w14:textId="77777777" w:rsidR="00B0005F" w:rsidRPr="008A2411" w:rsidRDefault="00000000">
      <w:pPr>
        <w:adjustRightInd w:val="0"/>
        <w:snapToGrid w:val="0"/>
        <w:spacing w:line="360" w:lineRule="auto"/>
        <w:ind w:firstLineChars="200" w:firstLine="480"/>
        <w:rPr>
          <w:rFonts w:ascii="Times New Roman"/>
          <w:color w:val="000000" w:themeColor="text1"/>
        </w:rPr>
      </w:pPr>
      <w:r w:rsidRPr="008A2411">
        <w:rPr>
          <w:rFonts w:ascii="Times New Roman"/>
          <w:bCs/>
          <w:color w:val="000000" w:themeColor="text1"/>
        </w:rPr>
        <w:t>本项目站场位于后巴河旁，其位于项目东侧</w:t>
      </w:r>
      <w:r w:rsidRPr="008A2411">
        <w:rPr>
          <w:rFonts w:ascii="Times New Roman"/>
          <w:bCs/>
          <w:color w:val="000000" w:themeColor="text1"/>
        </w:rPr>
        <w:t>664m</w:t>
      </w:r>
      <w:r w:rsidRPr="008A2411">
        <w:rPr>
          <w:rFonts w:ascii="Times New Roman"/>
          <w:bCs/>
          <w:color w:val="000000" w:themeColor="text1"/>
        </w:rPr>
        <w:t>处。运营期假设发生</w:t>
      </w:r>
      <w:r w:rsidRPr="008A2411">
        <w:rPr>
          <w:rFonts w:ascii="Times New Roman"/>
          <w:color w:val="000000" w:themeColor="text1"/>
        </w:rPr>
        <w:t>塔体存在漏点或管道破损发生泄漏，导致吸收塔内所有</w:t>
      </w:r>
      <w:r w:rsidRPr="008A2411">
        <w:rPr>
          <w:rFonts w:ascii="Times New Roman"/>
          <w:color w:val="000000" w:themeColor="text1"/>
        </w:rPr>
        <w:t>MDEA</w:t>
      </w:r>
      <w:r w:rsidRPr="008A2411">
        <w:rPr>
          <w:rFonts w:ascii="Times New Roman"/>
          <w:color w:val="000000" w:themeColor="text1"/>
        </w:rPr>
        <w:t>溶液泄漏至南侧后巴河支流，进入吸收溶液全部进入后巴河，本次评价泄漏量保守按吸收塔内溶液最大在线量</w:t>
      </w:r>
      <w:r w:rsidRPr="008A2411">
        <w:rPr>
          <w:rFonts w:ascii="Times New Roman"/>
          <w:color w:val="000000" w:themeColor="text1"/>
        </w:rPr>
        <w:t>11.73t</w:t>
      </w:r>
      <w:r w:rsidRPr="008A2411">
        <w:rPr>
          <w:rFonts w:ascii="Times New Roman"/>
          <w:color w:val="000000" w:themeColor="text1"/>
        </w:rPr>
        <w:t>全部进入后巴河，</w:t>
      </w:r>
      <w:r w:rsidRPr="008A2411">
        <w:rPr>
          <w:rFonts w:ascii="Times New Roman"/>
          <w:color w:val="000000" w:themeColor="text1"/>
        </w:rPr>
        <w:t>MDEA</w:t>
      </w:r>
      <w:r w:rsidRPr="008A2411">
        <w:rPr>
          <w:rFonts w:ascii="Times New Roman"/>
          <w:color w:val="000000" w:themeColor="text1"/>
        </w:rPr>
        <w:t>为有机溶剂，选取典型污染因子</w:t>
      </w:r>
      <w:r w:rsidRPr="008A2411">
        <w:rPr>
          <w:rFonts w:ascii="Times New Roman"/>
          <w:color w:val="000000" w:themeColor="text1"/>
        </w:rPr>
        <w:t>CODMn</w:t>
      </w:r>
      <w:r w:rsidRPr="008A2411">
        <w:rPr>
          <w:rFonts w:ascii="Times New Roman"/>
          <w:color w:val="000000" w:themeColor="text1"/>
        </w:rPr>
        <w:t>（</w:t>
      </w:r>
      <w:r w:rsidRPr="008A2411">
        <w:rPr>
          <w:rFonts w:ascii="Times New Roman"/>
          <w:color w:val="000000" w:themeColor="text1"/>
        </w:rPr>
        <w:t>MDEA</w:t>
      </w:r>
      <w:r w:rsidRPr="008A2411">
        <w:rPr>
          <w:rFonts w:ascii="Times New Roman"/>
          <w:color w:val="000000" w:themeColor="text1"/>
        </w:rPr>
        <w:t>折算）作为预测因子。</w:t>
      </w:r>
    </w:p>
    <w:p w14:paraId="2024F3B5" w14:textId="77777777" w:rsidR="00B0005F" w:rsidRPr="008A2411" w:rsidRDefault="00000000">
      <w:pPr>
        <w:pStyle w:val="affffffffffffffffffff6"/>
        <w:outlineLvl w:val="2"/>
        <w:rPr>
          <w:rFonts w:ascii="Times New Roman"/>
          <w:b/>
          <w:color w:val="000000" w:themeColor="text1"/>
          <w:sz w:val="24"/>
          <w:szCs w:val="24"/>
          <w:lang w:bidi="en-US"/>
        </w:rPr>
      </w:pPr>
      <w:r w:rsidRPr="008A2411">
        <w:rPr>
          <w:rFonts w:ascii="Times New Roman"/>
          <w:b/>
          <w:color w:val="000000" w:themeColor="text1"/>
          <w:sz w:val="24"/>
          <w:szCs w:val="24"/>
          <w:lang w:bidi="en-US"/>
        </w:rPr>
        <w:t>6.6.5</w:t>
      </w:r>
      <w:r w:rsidRPr="008A2411">
        <w:rPr>
          <w:rFonts w:ascii="Times New Roman"/>
          <w:b/>
          <w:color w:val="000000" w:themeColor="text1"/>
          <w:sz w:val="24"/>
          <w:szCs w:val="24"/>
          <w:lang w:bidi="en-US"/>
        </w:rPr>
        <w:t>事故发生的环境影响</w:t>
      </w:r>
    </w:p>
    <w:p w14:paraId="44A62997" w14:textId="77777777" w:rsidR="00B0005F" w:rsidRPr="008A2411" w:rsidRDefault="00000000">
      <w:pPr>
        <w:adjustRightInd w:val="0"/>
        <w:snapToGrid w:val="0"/>
        <w:spacing w:line="360" w:lineRule="auto"/>
        <w:ind w:firstLineChars="200" w:firstLine="480"/>
        <w:rPr>
          <w:rFonts w:ascii="Times New Roman"/>
          <w:bCs/>
          <w:color w:val="000000" w:themeColor="text1"/>
        </w:rPr>
      </w:pPr>
      <w:r w:rsidRPr="008A2411">
        <w:rPr>
          <w:rFonts w:ascii="Times New Roman"/>
          <w:bCs/>
          <w:color w:val="000000" w:themeColor="text1"/>
        </w:rPr>
        <w:t>综上分析，本次风险评价设定的风险事故情形源强见下表：</w:t>
      </w:r>
    </w:p>
    <w:p w14:paraId="35966098" w14:textId="77777777" w:rsidR="00B0005F" w:rsidRPr="008A2411" w:rsidRDefault="00000000">
      <w:pPr>
        <w:pStyle w:val="WJ0"/>
        <w:spacing w:line="240" w:lineRule="auto"/>
        <w:rPr>
          <w:rFonts w:ascii="Times New Roman" w:hAnsi="Times New Roman"/>
          <w:color w:val="000000" w:themeColor="text1"/>
        </w:rPr>
      </w:pPr>
      <w:r w:rsidRPr="008A2411">
        <w:rPr>
          <w:rFonts w:ascii="Times New Roman" w:hAnsi="Times New Roman"/>
          <w:color w:val="000000" w:themeColor="text1"/>
        </w:rPr>
        <w:t>表</w:t>
      </w:r>
      <w:r w:rsidRPr="008A2411">
        <w:rPr>
          <w:rFonts w:ascii="Times New Roman" w:hAnsi="Times New Roman"/>
          <w:color w:val="000000" w:themeColor="text1"/>
        </w:rPr>
        <w:t xml:space="preserve">6.6-8  </w:t>
      </w:r>
      <w:r w:rsidRPr="008A2411">
        <w:rPr>
          <w:rFonts w:ascii="Times New Roman" w:hAnsi="Times New Roman"/>
          <w:color w:val="000000" w:themeColor="text1"/>
        </w:rPr>
        <w:t>风险事故情形源强一览表</w:t>
      </w:r>
    </w:p>
    <w:tbl>
      <w:tblPr>
        <w:tblW w:w="502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337"/>
        <w:gridCol w:w="895"/>
        <w:gridCol w:w="912"/>
        <w:gridCol w:w="430"/>
        <w:gridCol w:w="487"/>
        <w:gridCol w:w="781"/>
        <w:gridCol w:w="658"/>
        <w:gridCol w:w="574"/>
        <w:gridCol w:w="574"/>
        <w:gridCol w:w="658"/>
        <w:gridCol w:w="578"/>
        <w:gridCol w:w="744"/>
        <w:gridCol w:w="731"/>
      </w:tblGrid>
      <w:tr w:rsidR="008A2411" w:rsidRPr="008A2411" w14:paraId="2EED8200" w14:textId="77777777">
        <w:trPr>
          <w:trHeight w:val="803"/>
          <w:tblHeader/>
          <w:jc w:val="center"/>
        </w:trPr>
        <w:tc>
          <w:tcPr>
            <w:tcW w:w="205" w:type="pct"/>
            <w:vAlign w:val="center"/>
          </w:tcPr>
          <w:p w14:paraId="65047FC8"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序号</w:t>
            </w:r>
          </w:p>
        </w:tc>
        <w:tc>
          <w:tcPr>
            <w:tcW w:w="538" w:type="pct"/>
            <w:vAlign w:val="center"/>
          </w:tcPr>
          <w:p w14:paraId="78A71051"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风险事故情景描述</w:t>
            </w:r>
          </w:p>
        </w:tc>
        <w:tc>
          <w:tcPr>
            <w:tcW w:w="548" w:type="pct"/>
            <w:vAlign w:val="center"/>
          </w:tcPr>
          <w:p w14:paraId="3C29EC83"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危险单位</w:t>
            </w:r>
          </w:p>
        </w:tc>
        <w:tc>
          <w:tcPr>
            <w:tcW w:w="245" w:type="pct"/>
            <w:vAlign w:val="center"/>
          </w:tcPr>
          <w:p w14:paraId="2F632573"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危险物质</w:t>
            </w:r>
          </w:p>
        </w:tc>
        <w:tc>
          <w:tcPr>
            <w:tcW w:w="295" w:type="pct"/>
            <w:vAlign w:val="center"/>
          </w:tcPr>
          <w:p w14:paraId="09A067AD"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影响途径</w:t>
            </w:r>
          </w:p>
        </w:tc>
        <w:tc>
          <w:tcPr>
            <w:tcW w:w="443" w:type="pct"/>
            <w:vAlign w:val="center"/>
          </w:tcPr>
          <w:p w14:paraId="69B6027B"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释放或泄漏速率</w:t>
            </w:r>
            <w:r w:rsidRPr="008A2411">
              <w:rPr>
                <w:rFonts w:ascii="Times New Roman" w:hAnsi="Times New Roman"/>
                <w:color w:val="000000" w:themeColor="text1"/>
              </w:rPr>
              <w:t>/</w:t>
            </w:r>
            <w:r w:rsidRPr="008A2411">
              <w:rPr>
                <w:rFonts w:ascii="Times New Roman" w:hAnsi="Times New Roman"/>
                <w:color w:val="000000" w:themeColor="text1"/>
              </w:rPr>
              <w:t>（</w:t>
            </w:r>
            <w:r w:rsidRPr="008A2411">
              <w:rPr>
                <w:rFonts w:ascii="Times New Roman" w:hAnsi="Times New Roman"/>
                <w:color w:val="000000" w:themeColor="text1"/>
              </w:rPr>
              <w:t>kg/s</w:t>
            </w:r>
            <w:r w:rsidRPr="008A2411">
              <w:rPr>
                <w:rFonts w:ascii="Times New Roman" w:hAnsi="Times New Roman"/>
                <w:color w:val="000000" w:themeColor="text1"/>
              </w:rPr>
              <w:t>）</w:t>
            </w:r>
          </w:p>
        </w:tc>
        <w:tc>
          <w:tcPr>
            <w:tcW w:w="396" w:type="pct"/>
            <w:vAlign w:val="center"/>
          </w:tcPr>
          <w:p w14:paraId="068A1017"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释放或泄漏时间</w:t>
            </w:r>
            <w:r w:rsidRPr="008A2411">
              <w:rPr>
                <w:rFonts w:ascii="Times New Roman" w:hAnsi="Times New Roman"/>
                <w:color w:val="000000" w:themeColor="text1"/>
              </w:rPr>
              <w:t>/min</w:t>
            </w:r>
          </w:p>
        </w:tc>
        <w:tc>
          <w:tcPr>
            <w:tcW w:w="346" w:type="pct"/>
            <w:vAlign w:val="center"/>
          </w:tcPr>
          <w:p w14:paraId="7997E8F1"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最大释放或泄漏量</w:t>
            </w:r>
            <w:r w:rsidRPr="008A2411">
              <w:rPr>
                <w:rFonts w:ascii="Times New Roman" w:hAnsi="Times New Roman"/>
                <w:color w:val="000000" w:themeColor="text1"/>
              </w:rPr>
              <w:t>/kg</w:t>
            </w:r>
          </w:p>
        </w:tc>
        <w:tc>
          <w:tcPr>
            <w:tcW w:w="346" w:type="pct"/>
            <w:vAlign w:val="center"/>
          </w:tcPr>
          <w:p w14:paraId="53D0544B"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泄漏液体蒸发量</w:t>
            </w:r>
            <w:r w:rsidRPr="008A2411">
              <w:rPr>
                <w:rFonts w:ascii="Times New Roman" w:hAnsi="Times New Roman"/>
                <w:color w:val="000000" w:themeColor="text1"/>
              </w:rPr>
              <w:t>/kg</w:t>
            </w:r>
          </w:p>
        </w:tc>
        <w:tc>
          <w:tcPr>
            <w:tcW w:w="396" w:type="pct"/>
            <w:vAlign w:val="center"/>
          </w:tcPr>
          <w:p w14:paraId="7A3EAD11"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火灾爆炸事故有毒有害物质释放量</w:t>
            </w:r>
            <w:r w:rsidRPr="008A2411">
              <w:rPr>
                <w:rFonts w:ascii="Times New Roman" w:hAnsi="Times New Roman"/>
                <w:color w:val="000000" w:themeColor="text1"/>
              </w:rPr>
              <w:t>/kg</w:t>
            </w:r>
          </w:p>
        </w:tc>
        <w:tc>
          <w:tcPr>
            <w:tcW w:w="348" w:type="pct"/>
            <w:vAlign w:val="center"/>
          </w:tcPr>
          <w:p w14:paraId="51824DA0"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火灾伴生</w:t>
            </w:r>
            <w:r w:rsidRPr="008A2411">
              <w:rPr>
                <w:rFonts w:ascii="Times New Roman" w:hAnsi="Times New Roman"/>
                <w:color w:val="000000" w:themeColor="text1"/>
              </w:rPr>
              <w:t>/</w:t>
            </w:r>
            <w:r w:rsidRPr="008A2411">
              <w:rPr>
                <w:rFonts w:ascii="Times New Roman" w:hAnsi="Times New Roman"/>
                <w:color w:val="000000" w:themeColor="text1"/>
              </w:rPr>
              <w:t>次生污染物产生量</w:t>
            </w:r>
            <w:r w:rsidRPr="008A2411">
              <w:rPr>
                <w:rFonts w:ascii="Times New Roman" w:hAnsi="Times New Roman"/>
                <w:color w:val="000000" w:themeColor="text1"/>
              </w:rPr>
              <w:t>/kg</w:t>
            </w:r>
          </w:p>
        </w:tc>
        <w:tc>
          <w:tcPr>
            <w:tcW w:w="447" w:type="pct"/>
            <w:vAlign w:val="center"/>
          </w:tcPr>
          <w:p w14:paraId="0EE8D50F"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物料经破损的防渗结构进入地下水环境量</w:t>
            </w:r>
            <w:r w:rsidRPr="008A2411">
              <w:rPr>
                <w:rFonts w:ascii="Times New Roman" w:hAnsi="Times New Roman"/>
                <w:color w:val="000000" w:themeColor="text1"/>
              </w:rPr>
              <w:t>/kg</w:t>
            </w:r>
          </w:p>
        </w:tc>
        <w:tc>
          <w:tcPr>
            <w:tcW w:w="439" w:type="pct"/>
            <w:vAlign w:val="center"/>
          </w:tcPr>
          <w:p w14:paraId="15426370"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泄漏物质经雨水管道进入地表水环境</w:t>
            </w:r>
            <w:r w:rsidRPr="008A2411">
              <w:rPr>
                <w:rFonts w:ascii="Times New Roman" w:hAnsi="Times New Roman"/>
                <w:color w:val="000000" w:themeColor="text1"/>
              </w:rPr>
              <w:t>/kg</w:t>
            </w:r>
          </w:p>
        </w:tc>
      </w:tr>
      <w:tr w:rsidR="008A2411" w:rsidRPr="008A2411" w14:paraId="202D2B9F" w14:textId="77777777">
        <w:trPr>
          <w:trHeight w:val="340"/>
          <w:jc w:val="center"/>
        </w:trPr>
        <w:tc>
          <w:tcPr>
            <w:tcW w:w="205" w:type="pct"/>
            <w:vMerge w:val="restart"/>
            <w:vAlign w:val="center"/>
          </w:tcPr>
          <w:p w14:paraId="68A10A52"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1</w:t>
            </w:r>
          </w:p>
        </w:tc>
        <w:tc>
          <w:tcPr>
            <w:tcW w:w="538" w:type="pct"/>
            <w:vMerge w:val="restart"/>
            <w:vAlign w:val="center"/>
          </w:tcPr>
          <w:p w14:paraId="0515E135" w14:textId="48AAFAAE"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生产装置区</w:t>
            </w:r>
            <w:r w:rsidR="00AB2E38" w:rsidRPr="008A2411">
              <w:rPr>
                <w:rFonts w:ascii="Times New Roman" w:hAnsi="Times New Roman"/>
                <w:color w:val="000000" w:themeColor="text1"/>
              </w:rPr>
              <w:t>泄漏</w:t>
            </w:r>
          </w:p>
        </w:tc>
        <w:tc>
          <w:tcPr>
            <w:tcW w:w="548" w:type="pct"/>
            <w:vMerge w:val="restart"/>
            <w:vAlign w:val="center"/>
          </w:tcPr>
          <w:p w14:paraId="336D5392"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吸收塔</w:t>
            </w:r>
          </w:p>
        </w:tc>
        <w:tc>
          <w:tcPr>
            <w:tcW w:w="245" w:type="pct"/>
            <w:vAlign w:val="center"/>
          </w:tcPr>
          <w:p w14:paraId="042BCD0D"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CH</w:t>
            </w:r>
            <w:r w:rsidRPr="008A2411">
              <w:rPr>
                <w:rFonts w:ascii="Times New Roman" w:hAnsi="Times New Roman"/>
                <w:color w:val="000000" w:themeColor="text1"/>
                <w:vertAlign w:val="subscript"/>
              </w:rPr>
              <w:t>4</w:t>
            </w:r>
          </w:p>
        </w:tc>
        <w:tc>
          <w:tcPr>
            <w:tcW w:w="295" w:type="pct"/>
            <w:vAlign w:val="center"/>
          </w:tcPr>
          <w:p w14:paraId="1F662A5D"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大气</w:t>
            </w:r>
          </w:p>
        </w:tc>
        <w:tc>
          <w:tcPr>
            <w:tcW w:w="443" w:type="pct"/>
            <w:vAlign w:val="center"/>
          </w:tcPr>
          <w:p w14:paraId="2D7405EE"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8.48</w:t>
            </w:r>
          </w:p>
        </w:tc>
        <w:tc>
          <w:tcPr>
            <w:tcW w:w="396" w:type="pct"/>
            <w:vAlign w:val="center"/>
          </w:tcPr>
          <w:p w14:paraId="571454A0"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0.33</w:t>
            </w:r>
          </w:p>
        </w:tc>
        <w:tc>
          <w:tcPr>
            <w:tcW w:w="346" w:type="pct"/>
            <w:vAlign w:val="center"/>
          </w:tcPr>
          <w:p w14:paraId="41FF5DCF"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169.6</w:t>
            </w:r>
          </w:p>
        </w:tc>
        <w:tc>
          <w:tcPr>
            <w:tcW w:w="346" w:type="pct"/>
            <w:vAlign w:val="center"/>
          </w:tcPr>
          <w:p w14:paraId="7CBEA650"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w:t>
            </w:r>
          </w:p>
        </w:tc>
        <w:tc>
          <w:tcPr>
            <w:tcW w:w="396" w:type="pct"/>
            <w:vAlign w:val="center"/>
          </w:tcPr>
          <w:p w14:paraId="38FF3C48"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w:t>
            </w:r>
          </w:p>
        </w:tc>
        <w:tc>
          <w:tcPr>
            <w:tcW w:w="348" w:type="pct"/>
            <w:vAlign w:val="center"/>
          </w:tcPr>
          <w:p w14:paraId="32B85B51"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w:t>
            </w:r>
          </w:p>
        </w:tc>
        <w:tc>
          <w:tcPr>
            <w:tcW w:w="447" w:type="pct"/>
            <w:vAlign w:val="center"/>
          </w:tcPr>
          <w:p w14:paraId="6593FF00"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w:t>
            </w:r>
          </w:p>
        </w:tc>
        <w:tc>
          <w:tcPr>
            <w:tcW w:w="439" w:type="pct"/>
            <w:vAlign w:val="center"/>
          </w:tcPr>
          <w:p w14:paraId="79AA9543"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w:t>
            </w:r>
          </w:p>
        </w:tc>
      </w:tr>
      <w:tr w:rsidR="008A2411" w:rsidRPr="008A2411" w14:paraId="5F375A6F" w14:textId="77777777">
        <w:trPr>
          <w:trHeight w:val="340"/>
          <w:jc w:val="center"/>
        </w:trPr>
        <w:tc>
          <w:tcPr>
            <w:tcW w:w="205" w:type="pct"/>
            <w:vMerge/>
            <w:vAlign w:val="center"/>
          </w:tcPr>
          <w:p w14:paraId="7FEF2509" w14:textId="77777777" w:rsidR="00B0005F" w:rsidRPr="008A2411" w:rsidRDefault="00B0005F">
            <w:pPr>
              <w:pStyle w:val="WJ5"/>
              <w:spacing w:line="240" w:lineRule="auto"/>
              <w:rPr>
                <w:rFonts w:ascii="Times New Roman" w:hAnsi="Times New Roman"/>
                <w:color w:val="000000" w:themeColor="text1"/>
              </w:rPr>
            </w:pPr>
          </w:p>
        </w:tc>
        <w:tc>
          <w:tcPr>
            <w:tcW w:w="538" w:type="pct"/>
            <w:vMerge/>
            <w:vAlign w:val="center"/>
          </w:tcPr>
          <w:p w14:paraId="146CC5E7" w14:textId="77777777" w:rsidR="00B0005F" w:rsidRPr="008A2411" w:rsidRDefault="00B0005F">
            <w:pPr>
              <w:pStyle w:val="WJ5"/>
              <w:spacing w:line="240" w:lineRule="auto"/>
              <w:rPr>
                <w:rFonts w:ascii="Times New Roman" w:hAnsi="Times New Roman"/>
                <w:color w:val="000000" w:themeColor="text1"/>
              </w:rPr>
            </w:pPr>
          </w:p>
        </w:tc>
        <w:tc>
          <w:tcPr>
            <w:tcW w:w="548" w:type="pct"/>
            <w:vMerge/>
            <w:vAlign w:val="center"/>
          </w:tcPr>
          <w:p w14:paraId="2BF0FDAB" w14:textId="77777777" w:rsidR="00B0005F" w:rsidRPr="008A2411" w:rsidRDefault="00B0005F">
            <w:pPr>
              <w:pStyle w:val="WJ5"/>
              <w:spacing w:line="240" w:lineRule="auto"/>
              <w:rPr>
                <w:rFonts w:ascii="Times New Roman" w:hAnsi="Times New Roman"/>
                <w:color w:val="000000" w:themeColor="text1"/>
              </w:rPr>
            </w:pPr>
          </w:p>
        </w:tc>
        <w:tc>
          <w:tcPr>
            <w:tcW w:w="245" w:type="pct"/>
            <w:vAlign w:val="center"/>
          </w:tcPr>
          <w:p w14:paraId="57405F4A"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CO</w:t>
            </w:r>
            <w:r w:rsidRPr="008A2411">
              <w:rPr>
                <w:rFonts w:ascii="Times New Roman" w:hAnsi="Times New Roman"/>
                <w:color w:val="000000" w:themeColor="text1"/>
              </w:rPr>
              <w:t>（火灾事故）</w:t>
            </w:r>
          </w:p>
        </w:tc>
        <w:tc>
          <w:tcPr>
            <w:tcW w:w="295" w:type="pct"/>
            <w:vAlign w:val="center"/>
          </w:tcPr>
          <w:p w14:paraId="5B946F60"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大气</w:t>
            </w:r>
          </w:p>
        </w:tc>
        <w:tc>
          <w:tcPr>
            <w:tcW w:w="443" w:type="pct"/>
            <w:vAlign w:val="center"/>
          </w:tcPr>
          <w:p w14:paraId="68819961"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0.509</w:t>
            </w:r>
          </w:p>
        </w:tc>
        <w:tc>
          <w:tcPr>
            <w:tcW w:w="396" w:type="pct"/>
            <w:vAlign w:val="center"/>
          </w:tcPr>
          <w:p w14:paraId="4EE60078"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0.33</w:t>
            </w:r>
          </w:p>
        </w:tc>
        <w:tc>
          <w:tcPr>
            <w:tcW w:w="346" w:type="pct"/>
            <w:vAlign w:val="center"/>
          </w:tcPr>
          <w:p w14:paraId="68ACDA73"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10.09</w:t>
            </w:r>
          </w:p>
        </w:tc>
        <w:tc>
          <w:tcPr>
            <w:tcW w:w="346" w:type="pct"/>
            <w:vAlign w:val="center"/>
          </w:tcPr>
          <w:p w14:paraId="4A456C55"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w:t>
            </w:r>
          </w:p>
        </w:tc>
        <w:tc>
          <w:tcPr>
            <w:tcW w:w="396" w:type="pct"/>
            <w:vAlign w:val="center"/>
          </w:tcPr>
          <w:p w14:paraId="6459CAB3"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w:t>
            </w:r>
          </w:p>
        </w:tc>
        <w:tc>
          <w:tcPr>
            <w:tcW w:w="348" w:type="pct"/>
            <w:vAlign w:val="center"/>
          </w:tcPr>
          <w:p w14:paraId="63C21C5A"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w:t>
            </w:r>
          </w:p>
        </w:tc>
        <w:tc>
          <w:tcPr>
            <w:tcW w:w="447" w:type="pct"/>
            <w:vAlign w:val="center"/>
          </w:tcPr>
          <w:p w14:paraId="28C6950B"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w:t>
            </w:r>
          </w:p>
        </w:tc>
        <w:tc>
          <w:tcPr>
            <w:tcW w:w="439" w:type="pct"/>
            <w:vAlign w:val="center"/>
          </w:tcPr>
          <w:p w14:paraId="6550937F"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w:t>
            </w:r>
          </w:p>
        </w:tc>
      </w:tr>
      <w:tr w:rsidR="008A2411" w:rsidRPr="008A2411" w14:paraId="098C2AAD" w14:textId="77777777">
        <w:trPr>
          <w:trHeight w:val="340"/>
          <w:jc w:val="center"/>
        </w:trPr>
        <w:tc>
          <w:tcPr>
            <w:tcW w:w="205" w:type="pct"/>
            <w:vAlign w:val="center"/>
          </w:tcPr>
          <w:p w14:paraId="6995325B"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2</w:t>
            </w:r>
          </w:p>
        </w:tc>
        <w:tc>
          <w:tcPr>
            <w:tcW w:w="538" w:type="pct"/>
            <w:vAlign w:val="center"/>
          </w:tcPr>
          <w:p w14:paraId="1BB9CBB1"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装置泄漏事故</w:t>
            </w:r>
          </w:p>
        </w:tc>
        <w:tc>
          <w:tcPr>
            <w:tcW w:w="548" w:type="pct"/>
            <w:vAlign w:val="center"/>
          </w:tcPr>
          <w:p w14:paraId="41C7F7BA"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吸收塔</w:t>
            </w:r>
          </w:p>
        </w:tc>
        <w:tc>
          <w:tcPr>
            <w:tcW w:w="245" w:type="pct"/>
            <w:vAlign w:val="center"/>
          </w:tcPr>
          <w:p w14:paraId="2F777DC7"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w:t>
            </w:r>
          </w:p>
        </w:tc>
        <w:tc>
          <w:tcPr>
            <w:tcW w:w="295" w:type="pct"/>
            <w:vAlign w:val="center"/>
          </w:tcPr>
          <w:p w14:paraId="162101A7"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地表水</w:t>
            </w:r>
          </w:p>
        </w:tc>
        <w:tc>
          <w:tcPr>
            <w:tcW w:w="443" w:type="pct"/>
            <w:vAlign w:val="center"/>
          </w:tcPr>
          <w:p w14:paraId="0B492CA7"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0.013</w:t>
            </w:r>
          </w:p>
        </w:tc>
        <w:tc>
          <w:tcPr>
            <w:tcW w:w="396" w:type="pct"/>
            <w:vAlign w:val="center"/>
          </w:tcPr>
          <w:p w14:paraId="1142B300"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15</w:t>
            </w:r>
          </w:p>
        </w:tc>
        <w:tc>
          <w:tcPr>
            <w:tcW w:w="346" w:type="pct"/>
            <w:vAlign w:val="center"/>
          </w:tcPr>
          <w:p w14:paraId="46D9C08B"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1173</w:t>
            </w:r>
          </w:p>
        </w:tc>
        <w:tc>
          <w:tcPr>
            <w:tcW w:w="346" w:type="pct"/>
            <w:vAlign w:val="center"/>
          </w:tcPr>
          <w:p w14:paraId="2ABC8185"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w:t>
            </w:r>
          </w:p>
        </w:tc>
        <w:tc>
          <w:tcPr>
            <w:tcW w:w="396" w:type="pct"/>
            <w:vAlign w:val="center"/>
          </w:tcPr>
          <w:p w14:paraId="1CC189CF"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w:t>
            </w:r>
          </w:p>
        </w:tc>
        <w:tc>
          <w:tcPr>
            <w:tcW w:w="348" w:type="pct"/>
            <w:vAlign w:val="center"/>
          </w:tcPr>
          <w:p w14:paraId="47D09068"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w:t>
            </w:r>
          </w:p>
        </w:tc>
        <w:tc>
          <w:tcPr>
            <w:tcW w:w="447" w:type="pct"/>
            <w:vAlign w:val="center"/>
          </w:tcPr>
          <w:p w14:paraId="2740C731"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w:t>
            </w:r>
          </w:p>
        </w:tc>
        <w:tc>
          <w:tcPr>
            <w:tcW w:w="439" w:type="pct"/>
            <w:vAlign w:val="center"/>
          </w:tcPr>
          <w:p w14:paraId="7B265B5E"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1173</w:t>
            </w:r>
          </w:p>
        </w:tc>
      </w:tr>
      <w:tr w:rsidR="008A2411" w:rsidRPr="008A2411" w14:paraId="42445187" w14:textId="77777777">
        <w:trPr>
          <w:trHeight w:val="340"/>
          <w:jc w:val="center"/>
        </w:trPr>
        <w:tc>
          <w:tcPr>
            <w:tcW w:w="205" w:type="pct"/>
            <w:vAlign w:val="center"/>
          </w:tcPr>
          <w:p w14:paraId="614DD655"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3</w:t>
            </w:r>
          </w:p>
        </w:tc>
        <w:tc>
          <w:tcPr>
            <w:tcW w:w="538" w:type="pct"/>
            <w:vAlign w:val="center"/>
          </w:tcPr>
          <w:p w14:paraId="02247085"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装置泄漏事故</w:t>
            </w:r>
          </w:p>
        </w:tc>
        <w:tc>
          <w:tcPr>
            <w:tcW w:w="548" w:type="pct"/>
            <w:vAlign w:val="center"/>
          </w:tcPr>
          <w:p w14:paraId="4AFD5889"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bCs w:val="0"/>
                <w:color w:val="000000" w:themeColor="text1"/>
              </w:rPr>
              <w:t>污水处理站或吸收塔</w:t>
            </w:r>
          </w:p>
        </w:tc>
        <w:tc>
          <w:tcPr>
            <w:tcW w:w="245" w:type="pct"/>
            <w:vAlign w:val="center"/>
          </w:tcPr>
          <w:p w14:paraId="743A5EC7"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w:t>
            </w:r>
          </w:p>
        </w:tc>
        <w:tc>
          <w:tcPr>
            <w:tcW w:w="295" w:type="pct"/>
            <w:vAlign w:val="center"/>
          </w:tcPr>
          <w:p w14:paraId="7E52F56B"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地下水</w:t>
            </w:r>
          </w:p>
        </w:tc>
        <w:tc>
          <w:tcPr>
            <w:tcW w:w="443" w:type="pct"/>
          </w:tcPr>
          <w:p w14:paraId="4F9E1743"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w:t>
            </w:r>
          </w:p>
        </w:tc>
        <w:tc>
          <w:tcPr>
            <w:tcW w:w="396" w:type="pct"/>
          </w:tcPr>
          <w:p w14:paraId="7EEF35E2"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w:t>
            </w:r>
          </w:p>
        </w:tc>
        <w:tc>
          <w:tcPr>
            <w:tcW w:w="346" w:type="pct"/>
          </w:tcPr>
          <w:p w14:paraId="39F3296B"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w:t>
            </w:r>
          </w:p>
        </w:tc>
        <w:tc>
          <w:tcPr>
            <w:tcW w:w="346" w:type="pct"/>
          </w:tcPr>
          <w:p w14:paraId="4088D3B3"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w:t>
            </w:r>
          </w:p>
        </w:tc>
        <w:tc>
          <w:tcPr>
            <w:tcW w:w="396" w:type="pct"/>
          </w:tcPr>
          <w:p w14:paraId="5C2E4E18"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w:t>
            </w:r>
          </w:p>
        </w:tc>
        <w:tc>
          <w:tcPr>
            <w:tcW w:w="348" w:type="pct"/>
          </w:tcPr>
          <w:p w14:paraId="7776E746"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w:t>
            </w:r>
          </w:p>
        </w:tc>
        <w:tc>
          <w:tcPr>
            <w:tcW w:w="447" w:type="pct"/>
          </w:tcPr>
          <w:p w14:paraId="27937299"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w:t>
            </w:r>
          </w:p>
        </w:tc>
        <w:tc>
          <w:tcPr>
            <w:tcW w:w="439" w:type="pct"/>
            <w:vAlign w:val="center"/>
          </w:tcPr>
          <w:p w14:paraId="5EA02F52"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w:t>
            </w:r>
          </w:p>
        </w:tc>
      </w:tr>
    </w:tbl>
    <w:p w14:paraId="51F881BB" w14:textId="77777777" w:rsidR="00B0005F" w:rsidRPr="008A2411" w:rsidRDefault="00000000">
      <w:pPr>
        <w:pStyle w:val="affffffffffffffffffff6"/>
        <w:snapToGrid/>
        <w:outlineLvl w:val="1"/>
        <w:rPr>
          <w:rFonts w:ascii="Times New Roman"/>
          <w:bCs/>
          <w:color w:val="000000" w:themeColor="text1"/>
          <w:sz w:val="28"/>
          <w:szCs w:val="28"/>
          <w:lang w:bidi="en-US"/>
        </w:rPr>
      </w:pPr>
      <w:bookmarkStart w:id="514" w:name="_Toc75096626"/>
      <w:bookmarkStart w:id="515" w:name="_Toc84606487"/>
      <w:bookmarkStart w:id="516" w:name="_Toc75094530"/>
      <w:bookmarkStart w:id="517" w:name="_Toc109170778"/>
      <w:r w:rsidRPr="008A2411">
        <w:rPr>
          <w:rFonts w:ascii="Times New Roman"/>
          <w:bCs/>
          <w:color w:val="000000" w:themeColor="text1"/>
          <w:sz w:val="28"/>
          <w:szCs w:val="28"/>
          <w:lang w:bidi="en-US"/>
        </w:rPr>
        <w:t>6.7</w:t>
      </w:r>
      <w:r w:rsidRPr="008A2411">
        <w:rPr>
          <w:rFonts w:ascii="Times New Roman"/>
          <w:bCs/>
          <w:color w:val="000000" w:themeColor="text1"/>
          <w:sz w:val="28"/>
          <w:szCs w:val="28"/>
          <w:lang w:bidi="en-US"/>
        </w:rPr>
        <w:t>大气环境风险预测与评价</w:t>
      </w:r>
      <w:bookmarkEnd w:id="514"/>
      <w:bookmarkEnd w:id="515"/>
      <w:bookmarkEnd w:id="516"/>
      <w:bookmarkEnd w:id="517"/>
    </w:p>
    <w:p w14:paraId="1EE78D8A" w14:textId="77777777" w:rsidR="00B0005F" w:rsidRPr="008A2411" w:rsidRDefault="00000000">
      <w:pPr>
        <w:pStyle w:val="affffffffffffffffffff6"/>
        <w:snapToGrid/>
        <w:outlineLvl w:val="2"/>
        <w:rPr>
          <w:rFonts w:ascii="Times New Roman"/>
          <w:b/>
          <w:color w:val="000000" w:themeColor="text1"/>
          <w:sz w:val="24"/>
          <w:szCs w:val="24"/>
          <w:lang w:bidi="en-US"/>
        </w:rPr>
      </w:pPr>
      <w:r w:rsidRPr="008A2411">
        <w:rPr>
          <w:rFonts w:ascii="Times New Roman"/>
          <w:b/>
          <w:color w:val="000000" w:themeColor="text1"/>
          <w:sz w:val="24"/>
          <w:szCs w:val="24"/>
          <w:lang w:bidi="en-US"/>
        </w:rPr>
        <w:t>6.7.1</w:t>
      </w:r>
      <w:r w:rsidRPr="008A2411">
        <w:rPr>
          <w:rFonts w:ascii="Times New Roman"/>
          <w:b/>
          <w:color w:val="000000" w:themeColor="text1"/>
          <w:sz w:val="24"/>
          <w:szCs w:val="24"/>
          <w:lang w:bidi="en-US"/>
        </w:rPr>
        <w:t>预测模式</w:t>
      </w:r>
    </w:p>
    <w:p w14:paraId="342DB49C"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大气环境风险后果预测主要采用导则推荐的</w:t>
      </w:r>
      <w:r w:rsidRPr="008A2411">
        <w:rPr>
          <w:rFonts w:ascii="Times New Roman"/>
          <w:bCs/>
          <w:color w:val="000000" w:themeColor="text1"/>
        </w:rPr>
        <w:t>AFTOX</w:t>
      </w:r>
      <w:r w:rsidRPr="008A2411">
        <w:rPr>
          <w:rFonts w:ascii="Times New Roman"/>
          <w:bCs/>
          <w:color w:val="000000" w:themeColor="text1"/>
        </w:rPr>
        <w:t>模型。本次评价根据《建设项目环境风险评价技术导则》（</w:t>
      </w:r>
      <w:r w:rsidRPr="008A2411">
        <w:rPr>
          <w:rFonts w:ascii="Times New Roman"/>
          <w:bCs/>
          <w:color w:val="000000" w:themeColor="text1"/>
        </w:rPr>
        <w:t>HJ 169-2018</w:t>
      </w:r>
      <w:r w:rsidRPr="008A2411">
        <w:rPr>
          <w:rFonts w:ascii="Times New Roman"/>
          <w:bCs/>
          <w:color w:val="000000" w:themeColor="text1"/>
        </w:rPr>
        <w:t>），判定连续排放还是瞬时排放，可以通过对比排放时间</w:t>
      </w:r>
      <w:r w:rsidRPr="008A2411">
        <w:rPr>
          <w:rFonts w:ascii="Times New Roman"/>
          <w:bCs/>
          <w:i/>
          <w:iCs/>
          <w:color w:val="000000" w:themeColor="text1"/>
        </w:rPr>
        <w:t>T</w:t>
      </w:r>
      <w:r w:rsidRPr="008A2411">
        <w:rPr>
          <w:rFonts w:ascii="Times New Roman"/>
          <w:bCs/>
          <w:i/>
          <w:iCs/>
          <w:color w:val="000000" w:themeColor="text1"/>
          <w:vertAlign w:val="subscript"/>
        </w:rPr>
        <w:t>d</w:t>
      </w:r>
      <w:r w:rsidRPr="008A2411">
        <w:rPr>
          <w:rFonts w:ascii="Times New Roman"/>
          <w:bCs/>
          <w:color w:val="000000" w:themeColor="text1"/>
        </w:rPr>
        <w:t>和污染物到达最近的受体点（网格点或敏感点）的时间</w:t>
      </w:r>
      <w:r w:rsidRPr="008A2411">
        <w:rPr>
          <w:rFonts w:ascii="Times New Roman"/>
          <w:bCs/>
          <w:color w:val="000000" w:themeColor="text1"/>
        </w:rPr>
        <w:t>T</w:t>
      </w:r>
      <w:r w:rsidRPr="008A2411">
        <w:rPr>
          <w:rFonts w:ascii="Times New Roman"/>
          <w:bCs/>
          <w:color w:val="000000" w:themeColor="text1"/>
        </w:rPr>
        <w:t>确定。</w:t>
      </w:r>
    </w:p>
    <w:p w14:paraId="58769777" w14:textId="77777777" w:rsidR="00B0005F" w:rsidRPr="008A2411" w:rsidRDefault="00000000">
      <w:pPr>
        <w:spacing w:line="360" w:lineRule="auto"/>
        <w:ind w:firstLineChars="200" w:firstLine="480"/>
        <w:jc w:val="center"/>
        <w:rPr>
          <w:rFonts w:ascii="Times New Roman"/>
          <w:bCs/>
          <w:color w:val="000000" w:themeColor="text1"/>
        </w:rPr>
      </w:pPr>
      <w:r w:rsidRPr="008A2411">
        <w:rPr>
          <w:rFonts w:ascii="Times New Roman"/>
          <w:bCs/>
          <w:i/>
          <w:iCs/>
          <w:color w:val="000000" w:themeColor="text1"/>
        </w:rPr>
        <w:t>T</w:t>
      </w:r>
      <w:r w:rsidRPr="008A2411">
        <w:rPr>
          <w:rFonts w:ascii="Times New Roman"/>
          <w:bCs/>
          <w:color w:val="000000" w:themeColor="text1"/>
        </w:rPr>
        <w:t>=</w:t>
      </w:r>
      <w:r w:rsidRPr="008A2411">
        <w:rPr>
          <w:rFonts w:ascii="Times New Roman"/>
          <w:bCs/>
          <w:i/>
          <w:iCs/>
          <w:color w:val="000000" w:themeColor="text1"/>
        </w:rPr>
        <w:t>2X/U</w:t>
      </w:r>
      <w:r w:rsidRPr="008A2411">
        <w:rPr>
          <w:rFonts w:ascii="Times New Roman"/>
          <w:bCs/>
          <w:i/>
          <w:iCs/>
          <w:color w:val="000000" w:themeColor="text1"/>
          <w:vertAlign w:val="subscript"/>
        </w:rPr>
        <w:t>r</w:t>
      </w:r>
    </w:p>
    <w:p w14:paraId="589DA56B"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式中</w:t>
      </w:r>
      <w:r w:rsidRPr="008A2411">
        <w:rPr>
          <w:rFonts w:ascii="Times New Roman"/>
          <w:bCs/>
          <w:i/>
          <w:iCs/>
          <w:color w:val="000000" w:themeColor="text1"/>
        </w:rPr>
        <w:t>X</w:t>
      </w:r>
      <w:r w:rsidRPr="008A2411">
        <w:rPr>
          <w:rFonts w:ascii="Times New Roman"/>
          <w:bCs/>
          <w:color w:val="000000" w:themeColor="text1"/>
        </w:rPr>
        <w:t>——</w:t>
      </w:r>
      <w:r w:rsidRPr="008A2411">
        <w:rPr>
          <w:rFonts w:ascii="Times New Roman"/>
          <w:bCs/>
          <w:color w:val="000000" w:themeColor="text1"/>
        </w:rPr>
        <w:t>事故发生地与计算点的距离，</w:t>
      </w:r>
      <w:r w:rsidRPr="008A2411">
        <w:rPr>
          <w:rFonts w:ascii="Times New Roman"/>
          <w:bCs/>
          <w:color w:val="000000" w:themeColor="text1"/>
        </w:rPr>
        <w:t>m</w:t>
      </w:r>
      <w:r w:rsidRPr="008A2411">
        <w:rPr>
          <w:rFonts w:ascii="Times New Roman"/>
          <w:bCs/>
          <w:color w:val="000000" w:themeColor="text1"/>
        </w:rPr>
        <w:t>。本项目保守考虑，选取厂区周边较为集中居民点（土主镇场镇）作为该距离，即</w:t>
      </w:r>
      <w:r w:rsidRPr="008A2411">
        <w:rPr>
          <w:rFonts w:ascii="Times New Roman"/>
          <w:bCs/>
          <w:color w:val="000000" w:themeColor="text1"/>
        </w:rPr>
        <w:t>1400m</w:t>
      </w:r>
      <w:r w:rsidRPr="008A2411">
        <w:rPr>
          <w:rFonts w:ascii="Times New Roman"/>
          <w:bCs/>
          <w:color w:val="000000" w:themeColor="text1"/>
        </w:rPr>
        <w:t>。</w:t>
      </w:r>
    </w:p>
    <w:p w14:paraId="32DFD702"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i/>
          <w:iCs/>
          <w:color w:val="000000" w:themeColor="text1"/>
        </w:rPr>
        <w:t>U</w:t>
      </w:r>
      <w:r w:rsidRPr="008A2411">
        <w:rPr>
          <w:rFonts w:ascii="Times New Roman"/>
          <w:bCs/>
          <w:i/>
          <w:iCs/>
          <w:color w:val="000000" w:themeColor="text1"/>
          <w:vertAlign w:val="subscript"/>
        </w:rPr>
        <w:t>r</w:t>
      </w:r>
      <w:r w:rsidRPr="008A2411">
        <w:rPr>
          <w:rFonts w:ascii="Times New Roman"/>
          <w:bCs/>
          <w:color w:val="000000" w:themeColor="text1"/>
        </w:rPr>
        <w:t>——10m</w:t>
      </w:r>
      <w:r w:rsidRPr="008A2411">
        <w:rPr>
          <w:rFonts w:ascii="Times New Roman"/>
          <w:bCs/>
          <w:color w:val="000000" w:themeColor="text1"/>
        </w:rPr>
        <w:t>高处风速，</w:t>
      </w:r>
      <w:r w:rsidRPr="008A2411">
        <w:rPr>
          <w:rFonts w:ascii="Times New Roman"/>
          <w:bCs/>
          <w:color w:val="000000" w:themeColor="text1"/>
        </w:rPr>
        <w:t>m/s</w:t>
      </w:r>
      <w:r w:rsidRPr="008A2411">
        <w:rPr>
          <w:rFonts w:ascii="Times New Roman"/>
          <w:bCs/>
          <w:color w:val="000000" w:themeColor="text1"/>
        </w:rPr>
        <w:t>。假设风速风向在</w:t>
      </w:r>
      <w:r w:rsidRPr="008A2411">
        <w:rPr>
          <w:rFonts w:ascii="Times New Roman"/>
          <w:bCs/>
          <w:i/>
          <w:iCs/>
          <w:color w:val="000000" w:themeColor="text1"/>
        </w:rPr>
        <w:t>T</w:t>
      </w:r>
      <w:r w:rsidRPr="008A2411">
        <w:rPr>
          <w:rFonts w:ascii="Times New Roman"/>
          <w:bCs/>
          <w:color w:val="000000" w:themeColor="text1"/>
        </w:rPr>
        <w:t>时间段内保持不变。本项目</w:t>
      </w:r>
      <w:r w:rsidRPr="008A2411">
        <w:rPr>
          <w:rFonts w:ascii="Times New Roman"/>
          <w:bCs/>
          <w:color w:val="000000" w:themeColor="text1"/>
        </w:rPr>
        <w:lastRenderedPageBreak/>
        <w:t>最不利气象条件取</w:t>
      </w:r>
      <w:r w:rsidRPr="008A2411">
        <w:rPr>
          <w:rFonts w:ascii="Times New Roman"/>
          <w:bCs/>
          <w:color w:val="000000" w:themeColor="text1"/>
        </w:rPr>
        <w:t>1.5m/s</w:t>
      </w:r>
      <w:r w:rsidRPr="008A2411">
        <w:rPr>
          <w:rFonts w:ascii="Times New Roman"/>
          <w:bCs/>
          <w:color w:val="000000" w:themeColor="text1"/>
        </w:rPr>
        <w:t>。</w:t>
      </w:r>
    </w:p>
    <w:p w14:paraId="50483919"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当</w:t>
      </w:r>
      <w:r w:rsidRPr="008A2411">
        <w:rPr>
          <w:rFonts w:ascii="Times New Roman"/>
          <w:bCs/>
          <w:i/>
          <w:iCs/>
          <w:color w:val="000000" w:themeColor="text1"/>
        </w:rPr>
        <w:t>T</w:t>
      </w:r>
      <w:r w:rsidRPr="008A2411">
        <w:rPr>
          <w:rFonts w:ascii="Times New Roman"/>
          <w:bCs/>
          <w:i/>
          <w:iCs/>
          <w:color w:val="000000" w:themeColor="text1"/>
          <w:vertAlign w:val="subscript"/>
        </w:rPr>
        <w:t>d</w:t>
      </w:r>
      <w:r w:rsidRPr="008A2411">
        <w:rPr>
          <w:rFonts w:ascii="Times New Roman"/>
          <w:bCs/>
          <w:color w:val="000000" w:themeColor="text1"/>
        </w:rPr>
        <w:t>＞</w:t>
      </w:r>
      <w:r w:rsidRPr="008A2411">
        <w:rPr>
          <w:rFonts w:ascii="Times New Roman"/>
          <w:bCs/>
          <w:i/>
          <w:iCs/>
          <w:color w:val="000000" w:themeColor="text1"/>
        </w:rPr>
        <w:t>T</w:t>
      </w:r>
      <w:r w:rsidRPr="008A2411">
        <w:rPr>
          <w:rFonts w:ascii="Times New Roman"/>
          <w:bCs/>
          <w:color w:val="000000" w:themeColor="text1"/>
        </w:rPr>
        <w:t>时，可被认为是连续排放的；当</w:t>
      </w:r>
      <w:r w:rsidRPr="008A2411">
        <w:rPr>
          <w:rFonts w:ascii="Times New Roman"/>
          <w:bCs/>
          <w:i/>
          <w:iCs/>
          <w:color w:val="000000" w:themeColor="text1"/>
        </w:rPr>
        <w:t>T</w:t>
      </w:r>
      <w:r w:rsidRPr="008A2411">
        <w:rPr>
          <w:rFonts w:ascii="Times New Roman"/>
          <w:bCs/>
          <w:i/>
          <w:iCs/>
          <w:color w:val="000000" w:themeColor="text1"/>
          <w:vertAlign w:val="subscript"/>
        </w:rPr>
        <w:t>d</w:t>
      </w:r>
      <w:r w:rsidRPr="008A2411">
        <w:rPr>
          <w:rFonts w:ascii="Times New Roman"/>
          <w:bCs/>
          <w:color w:val="000000" w:themeColor="text1"/>
        </w:rPr>
        <w:t>≤</w:t>
      </w:r>
      <w:r w:rsidRPr="008A2411">
        <w:rPr>
          <w:rFonts w:ascii="Times New Roman"/>
          <w:bCs/>
          <w:i/>
          <w:iCs/>
          <w:color w:val="000000" w:themeColor="text1"/>
        </w:rPr>
        <w:t>T</w:t>
      </w:r>
      <w:r w:rsidRPr="008A2411">
        <w:rPr>
          <w:rFonts w:ascii="Times New Roman"/>
          <w:bCs/>
          <w:color w:val="000000" w:themeColor="text1"/>
        </w:rPr>
        <w:t>时，可被认为是瞬时排放的。</w:t>
      </w:r>
    </w:p>
    <w:p w14:paraId="7DC357F5"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经计算可得</w:t>
      </w:r>
      <w:r w:rsidRPr="008A2411">
        <w:rPr>
          <w:rFonts w:ascii="Times New Roman"/>
          <w:bCs/>
          <w:i/>
          <w:iCs/>
          <w:color w:val="000000" w:themeColor="text1"/>
        </w:rPr>
        <w:t>T</w:t>
      </w:r>
      <w:r w:rsidRPr="008A2411">
        <w:rPr>
          <w:rFonts w:ascii="Times New Roman"/>
          <w:bCs/>
          <w:color w:val="000000" w:themeColor="text1"/>
        </w:rPr>
        <w:t>=1866s</w:t>
      </w:r>
      <w:r w:rsidRPr="008A2411">
        <w:rPr>
          <w:rFonts w:ascii="Times New Roman"/>
          <w:bCs/>
          <w:color w:val="000000" w:themeColor="text1"/>
        </w:rPr>
        <w:t>（最不利气象条件）；</w:t>
      </w:r>
    </w:p>
    <w:p w14:paraId="4A125714"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站场原料天然气泄漏</w:t>
      </w:r>
      <w:r w:rsidRPr="008A2411">
        <w:rPr>
          <w:rFonts w:ascii="Times New Roman"/>
          <w:bCs/>
          <w:color w:val="000000" w:themeColor="text1"/>
        </w:rPr>
        <w:t>CH</w:t>
      </w:r>
      <w:r w:rsidRPr="008A2411">
        <w:rPr>
          <w:rFonts w:ascii="Times New Roman"/>
          <w:bCs/>
          <w:color w:val="000000" w:themeColor="text1"/>
          <w:vertAlign w:val="subscript"/>
        </w:rPr>
        <w:t>4</w:t>
      </w:r>
      <w:r w:rsidRPr="008A2411">
        <w:rPr>
          <w:rFonts w:ascii="Times New Roman"/>
          <w:bCs/>
          <w:color w:val="000000" w:themeColor="text1"/>
        </w:rPr>
        <w:t>时间最长为</w:t>
      </w:r>
      <w:r w:rsidRPr="008A2411">
        <w:rPr>
          <w:rFonts w:ascii="Times New Roman"/>
          <w:bCs/>
          <w:color w:val="000000" w:themeColor="text1"/>
        </w:rPr>
        <w:t>20s</w:t>
      </w:r>
      <w:r w:rsidRPr="008A2411">
        <w:rPr>
          <w:rFonts w:ascii="Times New Roman"/>
          <w:bCs/>
          <w:color w:val="000000" w:themeColor="text1"/>
        </w:rPr>
        <w:t>，为瞬时排放；</w:t>
      </w:r>
    </w:p>
    <w:p w14:paraId="3CA36485" w14:textId="77777777" w:rsidR="00B0005F" w:rsidRPr="008A2411" w:rsidRDefault="00000000">
      <w:pPr>
        <w:spacing w:line="360" w:lineRule="auto"/>
        <w:ind w:firstLineChars="200" w:firstLine="482"/>
        <w:rPr>
          <w:rFonts w:ascii="Times New Roman"/>
          <w:bCs/>
          <w:color w:val="000000" w:themeColor="text1"/>
        </w:rPr>
      </w:pPr>
      <w:r w:rsidRPr="008A2411">
        <w:rPr>
          <w:rFonts w:ascii="Times New Roman"/>
          <w:b/>
          <w:bCs/>
          <w:color w:val="000000" w:themeColor="text1"/>
        </w:rPr>
        <w:t>根据《建设项目环境风险评价技术导则》（</w:t>
      </w:r>
      <w:r w:rsidRPr="008A2411">
        <w:rPr>
          <w:rFonts w:ascii="Times New Roman"/>
          <w:b/>
          <w:bCs/>
          <w:color w:val="000000" w:themeColor="text1"/>
        </w:rPr>
        <w:t>HJ 169-2018</w:t>
      </w:r>
      <w:r w:rsidRPr="008A2411">
        <w:rPr>
          <w:rFonts w:ascii="Times New Roman"/>
          <w:b/>
          <w:bCs/>
          <w:color w:val="000000" w:themeColor="text1"/>
        </w:rPr>
        <w:t>）相应要求判定后，扩散计算建议采用</w:t>
      </w:r>
      <w:r w:rsidRPr="008A2411">
        <w:rPr>
          <w:rFonts w:ascii="Times New Roman"/>
          <w:b/>
          <w:bCs/>
          <w:color w:val="000000" w:themeColor="text1"/>
        </w:rPr>
        <w:t>AFTOX</w:t>
      </w:r>
      <w:r w:rsidRPr="008A2411">
        <w:rPr>
          <w:rFonts w:ascii="Times New Roman"/>
          <w:b/>
          <w:bCs/>
          <w:color w:val="000000" w:themeColor="text1"/>
        </w:rPr>
        <w:t>模式。</w:t>
      </w:r>
    </w:p>
    <w:p w14:paraId="63541C61" w14:textId="77777777" w:rsidR="00B0005F" w:rsidRPr="008A2411" w:rsidRDefault="00000000">
      <w:pPr>
        <w:pStyle w:val="affffffffffffffffffff6"/>
        <w:snapToGrid/>
        <w:outlineLvl w:val="2"/>
        <w:rPr>
          <w:rFonts w:ascii="Times New Roman"/>
          <w:b/>
          <w:color w:val="000000" w:themeColor="text1"/>
          <w:sz w:val="24"/>
          <w:szCs w:val="24"/>
          <w:lang w:bidi="en-US"/>
        </w:rPr>
      </w:pPr>
      <w:r w:rsidRPr="008A2411">
        <w:rPr>
          <w:rFonts w:ascii="Times New Roman"/>
          <w:b/>
          <w:color w:val="000000" w:themeColor="text1"/>
          <w:sz w:val="24"/>
          <w:szCs w:val="24"/>
          <w:lang w:bidi="en-US"/>
        </w:rPr>
        <w:t>6.7.2</w:t>
      </w:r>
      <w:r w:rsidRPr="008A2411">
        <w:rPr>
          <w:rFonts w:ascii="Times New Roman"/>
          <w:b/>
          <w:color w:val="000000" w:themeColor="text1"/>
          <w:sz w:val="24"/>
          <w:szCs w:val="24"/>
          <w:lang w:bidi="en-US"/>
        </w:rPr>
        <w:t>预测范围及计算点</w:t>
      </w:r>
    </w:p>
    <w:p w14:paraId="2CD19BD1"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预测范围站场运营期取事故源（保守考虑以厂界为边界）</w:t>
      </w:r>
      <w:r w:rsidRPr="008A2411">
        <w:rPr>
          <w:rFonts w:ascii="Times New Roman"/>
          <w:bCs/>
          <w:color w:val="000000" w:themeColor="text1"/>
        </w:rPr>
        <w:t>5km</w:t>
      </w:r>
      <w:r w:rsidRPr="008A2411">
        <w:rPr>
          <w:rFonts w:ascii="Times New Roman"/>
          <w:bCs/>
          <w:color w:val="000000" w:themeColor="text1"/>
        </w:rPr>
        <w:t>范围的范围，间距设置为</w:t>
      </w:r>
      <w:r w:rsidRPr="008A2411">
        <w:rPr>
          <w:rFonts w:ascii="Times New Roman"/>
          <w:bCs/>
          <w:color w:val="000000" w:themeColor="text1"/>
        </w:rPr>
        <w:t>50m</w:t>
      </w:r>
      <w:r w:rsidRPr="008A2411">
        <w:rPr>
          <w:rFonts w:ascii="Times New Roman"/>
          <w:bCs/>
          <w:color w:val="000000" w:themeColor="text1"/>
        </w:rPr>
        <w:t>。</w:t>
      </w:r>
    </w:p>
    <w:p w14:paraId="00536DF5" w14:textId="77777777" w:rsidR="00B0005F" w:rsidRPr="008A2411" w:rsidRDefault="00000000">
      <w:pPr>
        <w:pStyle w:val="affffffffffffffffffff6"/>
        <w:snapToGrid/>
        <w:outlineLvl w:val="2"/>
        <w:rPr>
          <w:rFonts w:ascii="Times New Roman"/>
          <w:b/>
          <w:color w:val="000000" w:themeColor="text1"/>
          <w:sz w:val="24"/>
          <w:szCs w:val="24"/>
          <w:lang w:bidi="en-US"/>
        </w:rPr>
      </w:pPr>
      <w:r w:rsidRPr="008A2411">
        <w:rPr>
          <w:rFonts w:ascii="Times New Roman"/>
          <w:b/>
          <w:color w:val="000000" w:themeColor="text1"/>
          <w:sz w:val="24"/>
          <w:szCs w:val="24"/>
          <w:lang w:bidi="en-US"/>
        </w:rPr>
        <w:t>6.7.3</w:t>
      </w:r>
      <w:r w:rsidRPr="008A2411">
        <w:rPr>
          <w:rFonts w:ascii="Times New Roman"/>
          <w:b/>
          <w:color w:val="000000" w:themeColor="text1"/>
          <w:sz w:val="24"/>
          <w:szCs w:val="24"/>
          <w:lang w:bidi="en-US"/>
        </w:rPr>
        <w:t>预测气象参数</w:t>
      </w:r>
    </w:p>
    <w:p w14:paraId="1BADF8FE"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最不利气象：采用《建设项目项目环境风险评价技术导则》（</w:t>
      </w:r>
      <w:r w:rsidRPr="008A2411">
        <w:rPr>
          <w:rFonts w:ascii="Times New Roman"/>
          <w:bCs/>
          <w:color w:val="000000" w:themeColor="text1"/>
        </w:rPr>
        <w:t>HJ169-2018</w:t>
      </w:r>
      <w:r w:rsidRPr="008A2411">
        <w:rPr>
          <w:rFonts w:ascii="Times New Roman"/>
          <w:bCs/>
          <w:color w:val="000000" w:themeColor="text1"/>
        </w:rPr>
        <w:t>）中规定的最不利气象条件：</w:t>
      </w:r>
      <w:r w:rsidRPr="008A2411">
        <w:rPr>
          <w:rFonts w:ascii="Times New Roman"/>
          <w:bCs/>
          <w:color w:val="000000" w:themeColor="text1"/>
        </w:rPr>
        <w:t>F</w:t>
      </w:r>
      <w:r w:rsidRPr="008A2411">
        <w:rPr>
          <w:rFonts w:ascii="Times New Roman"/>
          <w:bCs/>
          <w:color w:val="000000" w:themeColor="text1"/>
        </w:rPr>
        <w:t>类稳定度，</w:t>
      </w:r>
      <w:r w:rsidRPr="008A2411">
        <w:rPr>
          <w:rFonts w:ascii="Times New Roman"/>
          <w:bCs/>
          <w:color w:val="000000" w:themeColor="text1"/>
        </w:rPr>
        <w:t>1.5m/s</w:t>
      </w:r>
      <w:r w:rsidRPr="008A2411">
        <w:rPr>
          <w:rFonts w:ascii="Times New Roman"/>
          <w:bCs/>
          <w:color w:val="000000" w:themeColor="text1"/>
        </w:rPr>
        <w:t>风速，温度</w:t>
      </w:r>
      <w:r w:rsidRPr="008A2411">
        <w:rPr>
          <w:rFonts w:ascii="Times New Roman"/>
          <w:bCs/>
          <w:color w:val="000000" w:themeColor="text1"/>
        </w:rPr>
        <w:t>25℃</w:t>
      </w:r>
      <w:r w:rsidRPr="008A2411">
        <w:rPr>
          <w:rFonts w:ascii="Times New Roman"/>
          <w:bCs/>
          <w:color w:val="000000" w:themeColor="text1"/>
        </w:rPr>
        <w:t>，相对湿度</w:t>
      </w:r>
      <w:r w:rsidRPr="008A2411">
        <w:rPr>
          <w:rFonts w:ascii="Times New Roman"/>
          <w:bCs/>
          <w:color w:val="000000" w:themeColor="text1"/>
        </w:rPr>
        <w:t>50%</w:t>
      </w:r>
      <w:r w:rsidRPr="008A2411">
        <w:rPr>
          <w:rFonts w:ascii="Times New Roman"/>
          <w:bCs/>
          <w:color w:val="000000" w:themeColor="text1"/>
        </w:rPr>
        <w:t>。</w:t>
      </w:r>
    </w:p>
    <w:p w14:paraId="7C35E976" w14:textId="77777777" w:rsidR="00B0005F" w:rsidRPr="008A2411" w:rsidRDefault="00000000">
      <w:pPr>
        <w:pStyle w:val="affffffffffffffffffff6"/>
        <w:snapToGrid/>
        <w:outlineLvl w:val="2"/>
        <w:rPr>
          <w:rFonts w:ascii="Times New Roman"/>
          <w:b/>
          <w:color w:val="000000" w:themeColor="text1"/>
          <w:sz w:val="24"/>
          <w:szCs w:val="24"/>
          <w:lang w:bidi="en-US"/>
        </w:rPr>
      </w:pPr>
      <w:r w:rsidRPr="008A2411">
        <w:rPr>
          <w:rFonts w:ascii="Times New Roman"/>
          <w:b/>
          <w:color w:val="000000" w:themeColor="text1"/>
          <w:sz w:val="24"/>
          <w:szCs w:val="24"/>
          <w:lang w:bidi="en-US"/>
        </w:rPr>
        <w:t>6.7.4</w:t>
      </w:r>
      <w:r w:rsidRPr="008A2411">
        <w:rPr>
          <w:rFonts w:ascii="Times New Roman"/>
          <w:b/>
          <w:color w:val="000000" w:themeColor="text1"/>
          <w:sz w:val="24"/>
          <w:szCs w:val="24"/>
          <w:lang w:bidi="en-US"/>
        </w:rPr>
        <w:t>大气毒性终点浓度值选取</w:t>
      </w:r>
    </w:p>
    <w:p w14:paraId="3B4A3D24"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大气毒性终点浓度即为预测评价标准，根据《建设项目环境风险评价技术导则》（</w:t>
      </w:r>
      <w:r w:rsidRPr="008A2411">
        <w:rPr>
          <w:rFonts w:ascii="Times New Roman"/>
          <w:bCs/>
          <w:color w:val="000000" w:themeColor="text1"/>
        </w:rPr>
        <w:t>HJ169-2018</w:t>
      </w:r>
      <w:r w:rsidRPr="008A2411">
        <w:rPr>
          <w:rFonts w:ascii="Times New Roman"/>
          <w:bCs/>
          <w:color w:val="000000" w:themeColor="text1"/>
        </w:rPr>
        <w:t>）附录</w:t>
      </w:r>
      <w:r w:rsidRPr="008A2411">
        <w:rPr>
          <w:rFonts w:ascii="Times New Roman"/>
          <w:bCs/>
          <w:color w:val="000000" w:themeColor="text1"/>
        </w:rPr>
        <w:t>H</w:t>
      </w:r>
      <w:r w:rsidRPr="008A2411">
        <w:rPr>
          <w:rFonts w:ascii="Times New Roman"/>
          <w:bCs/>
          <w:color w:val="000000" w:themeColor="text1"/>
        </w:rPr>
        <w:t>，确定危险物质大气毒性终点</w:t>
      </w:r>
      <w:proofErr w:type="gramStart"/>
      <w:r w:rsidRPr="008A2411">
        <w:rPr>
          <w:rFonts w:ascii="Times New Roman"/>
          <w:bCs/>
          <w:color w:val="000000" w:themeColor="text1"/>
        </w:rPr>
        <w:t>浓度值见下表</w:t>
      </w:r>
      <w:proofErr w:type="gramEnd"/>
      <w:r w:rsidRPr="008A2411">
        <w:rPr>
          <w:rFonts w:ascii="Times New Roman"/>
          <w:bCs/>
          <w:color w:val="000000" w:themeColor="text1"/>
        </w:rPr>
        <w:t>。</w:t>
      </w:r>
    </w:p>
    <w:p w14:paraId="2A186FDC" w14:textId="77777777" w:rsidR="00B0005F" w:rsidRPr="008A2411" w:rsidRDefault="00000000">
      <w:pPr>
        <w:pStyle w:val="WJ0"/>
        <w:spacing w:line="240" w:lineRule="auto"/>
        <w:rPr>
          <w:rFonts w:ascii="Times New Roman" w:hAnsi="Times New Roman"/>
          <w:color w:val="000000" w:themeColor="text1"/>
        </w:rPr>
      </w:pPr>
      <w:r w:rsidRPr="008A2411">
        <w:rPr>
          <w:rFonts w:ascii="Times New Roman" w:hAnsi="Times New Roman"/>
          <w:color w:val="000000" w:themeColor="text1"/>
        </w:rPr>
        <w:t>表</w:t>
      </w:r>
      <w:r w:rsidRPr="008A2411">
        <w:rPr>
          <w:rFonts w:ascii="Times New Roman" w:hAnsi="Times New Roman"/>
          <w:color w:val="000000" w:themeColor="text1"/>
        </w:rPr>
        <w:t xml:space="preserve">6.7-1  </w:t>
      </w:r>
      <w:r w:rsidRPr="008A2411">
        <w:rPr>
          <w:rFonts w:ascii="Times New Roman" w:hAnsi="Times New Roman"/>
          <w:color w:val="000000" w:themeColor="text1"/>
        </w:rPr>
        <w:t>危险物质大气毒性终点浓度值一览表</w:t>
      </w:r>
    </w:p>
    <w:tbl>
      <w:tblPr>
        <w:tblStyle w:val="affff9"/>
        <w:tblW w:w="0" w:type="auto"/>
        <w:jc w:val="center"/>
        <w:tblLook w:val="04A0" w:firstRow="1" w:lastRow="0" w:firstColumn="1" w:lastColumn="0" w:noHBand="0" w:noVBand="1"/>
      </w:tblPr>
      <w:tblGrid>
        <w:gridCol w:w="2765"/>
        <w:gridCol w:w="2765"/>
        <w:gridCol w:w="2766"/>
      </w:tblGrid>
      <w:tr w:rsidR="008A2411" w:rsidRPr="008A2411" w14:paraId="0989DFAC" w14:textId="77777777">
        <w:trPr>
          <w:trHeight w:val="340"/>
          <w:tblHeader/>
          <w:jc w:val="center"/>
        </w:trPr>
        <w:tc>
          <w:tcPr>
            <w:tcW w:w="2765" w:type="dxa"/>
            <w:vAlign w:val="center"/>
          </w:tcPr>
          <w:p w14:paraId="06882657"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物质</w:t>
            </w:r>
          </w:p>
        </w:tc>
        <w:tc>
          <w:tcPr>
            <w:tcW w:w="2765" w:type="dxa"/>
            <w:vAlign w:val="center"/>
          </w:tcPr>
          <w:p w14:paraId="30337BCC"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项目</w:t>
            </w:r>
          </w:p>
        </w:tc>
        <w:tc>
          <w:tcPr>
            <w:tcW w:w="2766" w:type="dxa"/>
            <w:vAlign w:val="center"/>
          </w:tcPr>
          <w:p w14:paraId="422110AF"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浓度</w:t>
            </w:r>
            <w:r w:rsidRPr="008A2411">
              <w:rPr>
                <w:rFonts w:ascii="Times New Roman" w:hAnsi="Times New Roman"/>
                <w:color w:val="000000" w:themeColor="text1"/>
              </w:rPr>
              <w:t>/</w:t>
            </w:r>
            <w:r w:rsidRPr="008A2411">
              <w:rPr>
                <w:rFonts w:ascii="Times New Roman" w:hAnsi="Times New Roman"/>
                <w:color w:val="000000" w:themeColor="text1"/>
              </w:rPr>
              <w:t>（</w:t>
            </w:r>
            <w:r w:rsidRPr="008A2411">
              <w:rPr>
                <w:rFonts w:ascii="Times New Roman" w:hAnsi="Times New Roman"/>
                <w:color w:val="000000" w:themeColor="text1"/>
              </w:rPr>
              <w:t>mg/m</w:t>
            </w:r>
            <w:r w:rsidRPr="008A2411">
              <w:rPr>
                <w:rFonts w:ascii="Times New Roman" w:hAnsi="Times New Roman"/>
                <w:color w:val="000000" w:themeColor="text1"/>
                <w:vertAlign w:val="superscript"/>
              </w:rPr>
              <w:t>3</w:t>
            </w:r>
            <w:r w:rsidRPr="008A2411">
              <w:rPr>
                <w:rFonts w:ascii="Times New Roman" w:hAnsi="Times New Roman"/>
                <w:color w:val="000000" w:themeColor="text1"/>
              </w:rPr>
              <w:t>）</w:t>
            </w:r>
          </w:p>
        </w:tc>
      </w:tr>
      <w:tr w:rsidR="008A2411" w:rsidRPr="008A2411" w14:paraId="2B3C8DCA" w14:textId="77777777">
        <w:trPr>
          <w:trHeight w:val="340"/>
          <w:jc w:val="center"/>
        </w:trPr>
        <w:tc>
          <w:tcPr>
            <w:tcW w:w="2765" w:type="dxa"/>
            <w:vMerge w:val="restart"/>
            <w:vAlign w:val="center"/>
          </w:tcPr>
          <w:p w14:paraId="095671A6"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CH</w:t>
            </w:r>
            <w:r w:rsidRPr="008A2411">
              <w:rPr>
                <w:rFonts w:ascii="Times New Roman" w:hAnsi="Times New Roman"/>
                <w:color w:val="000000" w:themeColor="text1"/>
                <w:vertAlign w:val="subscript"/>
              </w:rPr>
              <w:t>4</w:t>
            </w:r>
          </w:p>
        </w:tc>
        <w:tc>
          <w:tcPr>
            <w:tcW w:w="2765" w:type="dxa"/>
            <w:vAlign w:val="center"/>
          </w:tcPr>
          <w:p w14:paraId="5452AE91"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毒性终点浓度</w:t>
            </w:r>
            <w:r w:rsidRPr="008A2411">
              <w:rPr>
                <w:rFonts w:ascii="Times New Roman" w:hAnsi="Times New Roman"/>
                <w:color w:val="000000" w:themeColor="text1"/>
              </w:rPr>
              <w:t>-1</w:t>
            </w:r>
          </w:p>
        </w:tc>
        <w:tc>
          <w:tcPr>
            <w:tcW w:w="2766" w:type="dxa"/>
            <w:vAlign w:val="center"/>
          </w:tcPr>
          <w:p w14:paraId="02FFD289"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260000</w:t>
            </w:r>
          </w:p>
        </w:tc>
      </w:tr>
      <w:tr w:rsidR="008A2411" w:rsidRPr="008A2411" w14:paraId="27CA54A2" w14:textId="77777777">
        <w:trPr>
          <w:trHeight w:val="340"/>
          <w:jc w:val="center"/>
        </w:trPr>
        <w:tc>
          <w:tcPr>
            <w:tcW w:w="2765" w:type="dxa"/>
            <w:vMerge/>
            <w:vAlign w:val="center"/>
          </w:tcPr>
          <w:p w14:paraId="4D1844D1" w14:textId="77777777" w:rsidR="00B0005F" w:rsidRPr="008A2411" w:rsidRDefault="00B0005F">
            <w:pPr>
              <w:pStyle w:val="WJ5"/>
              <w:rPr>
                <w:rFonts w:ascii="Times New Roman" w:hAnsi="Times New Roman"/>
                <w:color w:val="000000" w:themeColor="text1"/>
              </w:rPr>
            </w:pPr>
          </w:p>
        </w:tc>
        <w:tc>
          <w:tcPr>
            <w:tcW w:w="2765" w:type="dxa"/>
            <w:vAlign w:val="center"/>
          </w:tcPr>
          <w:p w14:paraId="3714ECE1"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毒性终点浓度</w:t>
            </w:r>
            <w:r w:rsidRPr="008A2411">
              <w:rPr>
                <w:rFonts w:ascii="Times New Roman" w:hAnsi="Times New Roman"/>
                <w:color w:val="000000" w:themeColor="text1"/>
              </w:rPr>
              <w:t>-2</w:t>
            </w:r>
          </w:p>
        </w:tc>
        <w:tc>
          <w:tcPr>
            <w:tcW w:w="2766" w:type="dxa"/>
            <w:vAlign w:val="center"/>
          </w:tcPr>
          <w:p w14:paraId="38D03D3E"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150000</w:t>
            </w:r>
          </w:p>
        </w:tc>
      </w:tr>
      <w:tr w:rsidR="008A2411" w:rsidRPr="008A2411" w14:paraId="16AF7D6B" w14:textId="77777777">
        <w:trPr>
          <w:trHeight w:val="340"/>
          <w:jc w:val="center"/>
        </w:trPr>
        <w:tc>
          <w:tcPr>
            <w:tcW w:w="2765" w:type="dxa"/>
            <w:vMerge w:val="restart"/>
            <w:vAlign w:val="center"/>
          </w:tcPr>
          <w:p w14:paraId="181D8DEA"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CO</w:t>
            </w:r>
          </w:p>
        </w:tc>
        <w:tc>
          <w:tcPr>
            <w:tcW w:w="2765" w:type="dxa"/>
            <w:vAlign w:val="center"/>
          </w:tcPr>
          <w:p w14:paraId="40DA134A"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毒性终点浓度</w:t>
            </w:r>
            <w:r w:rsidRPr="008A2411">
              <w:rPr>
                <w:rFonts w:ascii="Times New Roman" w:hAnsi="Times New Roman"/>
                <w:color w:val="000000" w:themeColor="text1"/>
              </w:rPr>
              <w:t>-1</w:t>
            </w:r>
          </w:p>
        </w:tc>
        <w:tc>
          <w:tcPr>
            <w:tcW w:w="2766" w:type="dxa"/>
            <w:vAlign w:val="center"/>
          </w:tcPr>
          <w:p w14:paraId="0922CA17"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380</w:t>
            </w:r>
          </w:p>
        </w:tc>
      </w:tr>
      <w:tr w:rsidR="008A2411" w:rsidRPr="008A2411" w14:paraId="0913F64E" w14:textId="77777777">
        <w:trPr>
          <w:trHeight w:val="340"/>
          <w:jc w:val="center"/>
        </w:trPr>
        <w:tc>
          <w:tcPr>
            <w:tcW w:w="2765" w:type="dxa"/>
            <w:vMerge/>
            <w:vAlign w:val="center"/>
          </w:tcPr>
          <w:p w14:paraId="656B3A06" w14:textId="77777777" w:rsidR="00B0005F" w:rsidRPr="008A2411" w:rsidRDefault="00B0005F">
            <w:pPr>
              <w:pStyle w:val="WJ5"/>
              <w:rPr>
                <w:rFonts w:ascii="Times New Roman" w:hAnsi="Times New Roman"/>
                <w:color w:val="000000" w:themeColor="text1"/>
              </w:rPr>
            </w:pPr>
          </w:p>
        </w:tc>
        <w:tc>
          <w:tcPr>
            <w:tcW w:w="2765" w:type="dxa"/>
            <w:vAlign w:val="center"/>
          </w:tcPr>
          <w:p w14:paraId="5D9DF54F"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毒性终点浓度</w:t>
            </w:r>
            <w:r w:rsidRPr="008A2411">
              <w:rPr>
                <w:rFonts w:ascii="Times New Roman" w:hAnsi="Times New Roman"/>
                <w:color w:val="000000" w:themeColor="text1"/>
              </w:rPr>
              <w:t>-2</w:t>
            </w:r>
          </w:p>
        </w:tc>
        <w:tc>
          <w:tcPr>
            <w:tcW w:w="2766" w:type="dxa"/>
            <w:vAlign w:val="center"/>
          </w:tcPr>
          <w:p w14:paraId="0FD8BE94"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95</w:t>
            </w:r>
          </w:p>
        </w:tc>
      </w:tr>
    </w:tbl>
    <w:p w14:paraId="5DDCCD33" w14:textId="77777777" w:rsidR="00B0005F" w:rsidRPr="008A2411" w:rsidRDefault="00000000">
      <w:pPr>
        <w:pStyle w:val="affffffffffffffffffff6"/>
        <w:snapToGrid/>
        <w:outlineLvl w:val="2"/>
        <w:rPr>
          <w:rFonts w:ascii="Times New Roman"/>
          <w:b/>
          <w:color w:val="000000" w:themeColor="text1"/>
          <w:sz w:val="24"/>
          <w:szCs w:val="24"/>
          <w:lang w:bidi="en-US"/>
        </w:rPr>
      </w:pPr>
      <w:r w:rsidRPr="008A2411">
        <w:rPr>
          <w:rFonts w:ascii="Times New Roman"/>
          <w:b/>
          <w:color w:val="000000" w:themeColor="text1"/>
          <w:sz w:val="24"/>
          <w:szCs w:val="24"/>
          <w:lang w:bidi="en-US"/>
        </w:rPr>
        <w:t xml:space="preserve">6.7.5 </w:t>
      </w:r>
      <w:r w:rsidRPr="008A2411">
        <w:rPr>
          <w:rFonts w:ascii="Times New Roman"/>
          <w:b/>
          <w:color w:val="000000" w:themeColor="text1"/>
          <w:sz w:val="24"/>
          <w:szCs w:val="24"/>
          <w:lang w:bidi="en-US"/>
        </w:rPr>
        <w:t>预测结果</w:t>
      </w:r>
    </w:p>
    <w:p w14:paraId="7AB90693"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按照《建设项目环境风险评价技术导则》（</w:t>
      </w:r>
      <w:r w:rsidRPr="008A2411">
        <w:rPr>
          <w:rFonts w:ascii="Times New Roman"/>
          <w:bCs/>
          <w:color w:val="000000" w:themeColor="text1"/>
        </w:rPr>
        <w:t>HJ169-2018</w:t>
      </w:r>
      <w:r w:rsidRPr="008A2411">
        <w:rPr>
          <w:rFonts w:ascii="Times New Roman"/>
          <w:bCs/>
          <w:color w:val="000000" w:themeColor="text1"/>
        </w:rPr>
        <w:t>）的要求，选取最不利气象条件进行后果预测。依据最大可信事故源强的分析，利用风险预测模型，具体预测参数选取为：环境地表粗糙度</w:t>
      </w:r>
      <w:r w:rsidRPr="008A2411">
        <w:rPr>
          <w:rFonts w:ascii="Times New Roman"/>
          <w:bCs/>
          <w:color w:val="000000" w:themeColor="text1"/>
        </w:rPr>
        <w:t>25cm</w:t>
      </w:r>
      <w:r w:rsidRPr="008A2411">
        <w:rPr>
          <w:rFonts w:ascii="Times New Roman"/>
          <w:bCs/>
          <w:color w:val="000000" w:themeColor="text1"/>
        </w:rPr>
        <w:t>、水平喷射、排放时长为</w:t>
      </w:r>
      <w:r w:rsidRPr="008A2411">
        <w:rPr>
          <w:rFonts w:ascii="Times New Roman"/>
          <w:bCs/>
          <w:color w:val="000000" w:themeColor="text1"/>
        </w:rPr>
        <w:t>20s</w:t>
      </w:r>
      <w:r w:rsidRPr="008A2411">
        <w:rPr>
          <w:rFonts w:ascii="Times New Roman"/>
          <w:bCs/>
          <w:color w:val="000000" w:themeColor="text1"/>
        </w:rPr>
        <w:t>、</w:t>
      </w:r>
      <w:r w:rsidRPr="008A2411">
        <w:rPr>
          <w:rFonts w:ascii="Times New Roman"/>
          <w:color w:val="000000" w:themeColor="text1"/>
        </w:rPr>
        <w:t>CH</w:t>
      </w:r>
      <w:r w:rsidRPr="008A2411">
        <w:rPr>
          <w:rFonts w:ascii="Times New Roman"/>
          <w:color w:val="000000" w:themeColor="text1"/>
          <w:vertAlign w:val="subscript"/>
        </w:rPr>
        <w:t>4</w:t>
      </w:r>
      <w:r w:rsidRPr="008A2411">
        <w:rPr>
          <w:rFonts w:ascii="Times New Roman"/>
          <w:bCs/>
          <w:color w:val="000000" w:themeColor="text1"/>
        </w:rPr>
        <w:t>产生速率为</w:t>
      </w:r>
      <w:r w:rsidRPr="008A2411">
        <w:rPr>
          <w:rFonts w:ascii="Times New Roman"/>
          <w:bCs/>
          <w:color w:val="000000" w:themeColor="text1"/>
        </w:rPr>
        <w:t>183.5kg/s</w:t>
      </w:r>
      <w:r w:rsidRPr="008A2411">
        <w:rPr>
          <w:rFonts w:ascii="Times New Roman"/>
          <w:bCs/>
          <w:color w:val="000000" w:themeColor="text1"/>
        </w:rPr>
        <w:t>、初始气团温度为</w:t>
      </w:r>
      <w:r w:rsidRPr="008A2411">
        <w:rPr>
          <w:rFonts w:ascii="Times New Roman"/>
          <w:bCs/>
          <w:color w:val="000000" w:themeColor="text1"/>
        </w:rPr>
        <w:t>25℃</w:t>
      </w:r>
      <w:r w:rsidRPr="008A2411">
        <w:rPr>
          <w:rFonts w:ascii="Times New Roman"/>
          <w:bCs/>
          <w:color w:val="000000" w:themeColor="text1"/>
        </w:rPr>
        <w:t>、源高度为</w:t>
      </w:r>
      <w:r w:rsidRPr="008A2411">
        <w:rPr>
          <w:rFonts w:ascii="Times New Roman"/>
          <w:bCs/>
          <w:color w:val="000000" w:themeColor="text1"/>
        </w:rPr>
        <w:t>5m</w:t>
      </w:r>
      <w:r w:rsidRPr="008A2411">
        <w:rPr>
          <w:rFonts w:ascii="Times New Roman"/>
          <w:bCs/>
          <w:color w:val="000000" w:themeColor="text1"/>
        </w:rPr>
        <w:t>。</w:t>
      </w:r>
    </w:p>
    <w:p w14:paraId="273E2892"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1</w:t>
      </w:r>
      <w:r w:rsidRPr="008A2411">
        <w:rPr>
          <w:rFonts w:ascii="Times New Roman"/>
          <w:bCs/>
          <w:color w:val="000000" w:themeColor="text1"/>
        </w:rPr>
        <w:t>）天然气泄漏污染物预测</w:t>
      </w:r>
    </w:p>
    <w:p w14:paraId="16A72390"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根据预测参数及预测模型，装置区天然气泄漏事故的预测结果如下表</w:t>
      </w:r>
      <w:r w:rsidRPr="008A2411">
        <w:rPr>
          <w:rFonts w:ascii="Times New Roman"/>
          <w:bCs/>
          <w:color w:val="000000" w:themeColor="text1"/>
        </w:rPr>
        <w:t>6.7-4</w:t>
      </w:r>
      <w:r w:rsidRPr="008A2411">
        <w:rPr>
          <w:rFonts w:ascii="Times New Roman"/>
          <w:bCs/>
          <w:color w:val="000000" w:themeColor="text1"/>
        </w:rPr>
        <w:t>所示：</w:t>
      </w:r>
    </w:p>
    <w:p w14:paraId="250BF978" w14:textId="77777777" w:rsidR="00B0005F" w:rsidRPr="008A2411" w:rsidRDefault="00000000">
      <w:pPr>
        <w:pStyle w:val="WJ0"/>
        <w:spacing w:line="240" w:lineRule="auto"/>
        <w:rPr>
          <w:rFonts w:ascii="Times New Roman" w:hAnsi="Times New Roman"/>
          <w:color w:val="000000" w:themeColor="text1"/>
        </w:rPr>
      </w:pPr>
      <w:r w:rsidRPr="008A2411">
        <w:rPr>
          <w:rFonts w:ascii="Times New Roman" w:hAnsi="Times New Roman"/>
          <w:color w:val="000000" w:themeColor="text1"/>
        </w:rPr>
        <w:t>表</w:t>
      </w:r>
      <w:r w:rsidRPr="008A2411">
        <w:rPr>
          <w:rFonts w:ascii="Times New Roman" w:hAnsi="Times New Roman"/>
          <w:color w:val="000000" w:themeColor="text1"/>
        </w:rPr>
        <w:t xml:space="preserve">6.7-4  </w:t>
      </w:r>
      <w:r w:rsidRPr="008A2411">
        <w:rPr>
          <w:rFonts w:ascii="Times New Roman" w:hAnsi="Times New Roman"/>
          <w:color w:val="000000" w:themeColor="text1"/>
        </w:rPr>
        <w:t>生产装置区最不利气象条件</w:t>
      </w:r>
      <w:proofErr w:type="gramStart"/>
      <w:r w:rsidRPr="008A2411">
        <w:rPr>
          <w:rFonts w:ascii="Times New Roman" w:hAnsi="Times New Roman"/>
          <w:color w:val="000000" w:themeColor="text1"/>
        </w:rPr>
        <w:t>下原料</w:t>
      </w:r>
      <w:proofErr w:type="gramEnd"/>
      <w:r w:rsidRPr="008A2411">
        <w:rPr>
          <w:rFonts w:ascii="Times New Roman" w:hAnsi="Times New Roman"/>
          <w:color w:val="000000" w:themeColor="text1"/>
        </w:rPr>
        <w:t>天然气泄漏事故预测结果</w:t>
      </w:r>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12"/>
        <w:gridCol w:w="2757"/>
        <w:gridCol w:w="2748"/>
      </w:tblGrid>
      <w:tr w:rsidR="008A2411" w:rsidRPr="008A2411" w14:paraId="0A46DC6B" w14:textId="77777777">
        <w:trPr>
          <w:trHeight w:val="288"/>
        </w:trPr>
        <w:tc>
          <w:tcPr>
            <w:tcW w:w="1768" w:type="pct"/>
            <w:shd w:val="clear" w:color="auto" w:fill="auto"/>
            <w:noWrap/>
            <w:vAlign w:val="center"/>
          </w:tcPr>
          <w:p w14:paraId="576E463C" w14:textId="77777777" w:rsidR="00B0005F" w:rsidRPr="008A2411" w:rsidRDefault="00000000">
            <w:pPr>
              <w:widowControl/>
              <w:adjustRightInd w:val="0"/>
              <w:snapToGrid w:val="0"/>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下风向距离</w:t>
            </w:r>
            <w:r w:rsidRPr="008A2411">
              <w:rPr>
                <w:rFonts w:ascii="Times New Roman"/>
                <w:color w:val="000000" w:themeColor="text1"/>
                <w:sz w:val="21"/>
                <w:szCs w:val="21"/>
                <w:lang w:bidi="ar"/>
              </w:rPr>
              <w:t xml:space="preserve"> (m)</w:t>
            </w:r>
          </w:p>
        </w:tc>
        <w:tc>
          <w:tcPr>
            <w:tcW w:w="1618" w:type="pct"/>
            <w:shd w:val="clear" w:color="auto" w:fill="auto"/>
            <w:noWrap/>
            <w:vAlign w:val="center"/>
          </w:tcPr>
          <w:p w14:paraId="3C895D3D" w14:textId="77777777" w:rsidR="00B0005F" w:rsidRPr="008A2411" w:rsidRDefault="00000000">
            <w:pPr>
              <w:widowControl/>
              <w:adjustRightInd w:val="0"/>
              <w:snapToGrid w:val="0"/>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浓度出现时间</w:t>
            </w:r>
            <w:r w:rsidRPr="008A2411">
              <w:rPr>
                <w:rFonts w:ascii="Times New Roman"/>
                <w:color w:val="000000" w:themeColor="text1"/>
                <w:sz w:val="21"/>
                <w:szCs w:val="21"/>
                <w:lang w:bidi="ar"/>
              </w:rPr>
              <w:t>(min)</w:t>
            </w:r>
          </w:p>
        </w:tc>
        <w:tc>
          <w:tcPr>
            <w:tcW w:w="1612" w:type="pct"/>
            <w:shd w:val="clear" w:color="auto" w:fill="auto"/>
            <w:noWrap/>
            <w:vAlign w:val="center"/>
          </w:tcPr>
          <w:p w14:paraId="7CCAC725" w14:textId="77777777" w:rsidR="00B0005F" w:rsidRPr="008A2411" w:rsidRDefault="00000000">
            <w:pPr>
              <w:widowControl/>
              <w:adjustRightInd w:val="0"/>
              <w:snapToGrid w:val="0"/>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高峰浓度</w:t>
            </w:r>
            <w:r w:rsidRPr="008A2411">
              <w:rPr>
                <w:rFonts w:ascii="Times New Roman"/>
                <w:color w:val="000000" w:themeColor="text1"/>
                <w:sz w:val="21"/>
                <w:szCs w:val="21"/>
                <w:lang w:bidi="ar"/>
              </w:rPr>
              <w:t xml:space="preserve"> (mg/m</w:t>
            </w:r>
            <w:r w:rsidRPr="008A2411">
              <w:rPr>
                <w:rFonts w:ascii="Times New Roman"/>
                <w:color w:val="000000" w:themeColor="text1"/>
                <w:sz w:val="21"/>
                <w:szCs w:val="21"/>
                <w:vertAlign w:val="superscript"/>
                <w:lang w:bidi="ar"/>
              </w:rPr>
              <w:t>3</w:t>
            </w:r>
            <w:r w:rsidRPr="008A2411">
              <w:rPr>
                <w:rFonts w:ascii="Times New Roman"/>
                <w:color w:val="000000" w:themeColor="text1"/>
                <w:sz w:val="21"/>
                <w:szCs w:val="21"/>
                <w:lang w:bidi="ar"/>
              </w:rPr>
              <w:t>)</w:t>
            </w:r>
          </w:p>
        </w:tc>
      </w:tr>
      <w:tr w:rsidR="008A2411" w:rsidRPr="008A2411" w14:paraId="2206B5D2" w14:textId="77777777">
        <w:trPr>
          <w:trHeight w:val="288"/>
        </w:trPr>
        <w:tc>
          <w:tcPr>
            <w:tcW w:w="1768" w:type="pct"/>
            <w:shd w:val="clear" w:color="auto" w:fill="auto"/>
            <w:noWrap/>
            <w:vAlign w:val="center"/>
          </w:tcPr>
          <w:p w14:paraId="5B829FA7" w14:textId="77777777" w:rsidR="00B0005F" w:rsidRPr="008A2411" w:rsidRDefault="00000000">
            <w:pPr>
              <w:widowControl/>
              <w:adjustRightInd w:val="0"/>
              <w:snapToGrid w:val="0"/>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10.00</w:t>
            </w:r>
          </w:p>
        </w:tc>
        <w:tc>
          <w:tcPr>
            <w:tcW w:w="1618" w:type="pct"/>
            <w:shd w:val="clear" w:color="auto" w:fill="auto"/>
            <w:noWrap/>
            <w:vAlign w:val="center"/>
          </w:tcPr>
          <w:p w14:paraId="3D33BF02" w14:textId="77777777" w:rsidR="00B0005F" w:rsidRPr="008A2411" w:rsidRDefault="00000000">
            <w:pPr>
              <w:widowControl/>
              <w:adjustRightInd w:val="0"/>
              <w:snapToGrid w:val="0"/>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0.11</w:t>
            </w:r>
          </w:p>
        </w:tc>
        <w:tc>
          <w:tcPr>
            <w:tcW w:w="1612" w:type="pct"/>
            <w:shd w:val="clear" w:color="auto" w:fill="auto"/>
            <w:noWrap/>
            <w:vAlign w:val="center"/>
          </w:tcPr>
          <w:p w14:paraId="05337471" w14:textId="77777777" w:rsidR="00B0005F" w:rsidRPr="008A2411" w:rsidRDefault="00000000">
            <w:pPr>
              <w:widowControl/>
              <w:adjustRightInd w:val="0"/>
              <w:snapToGrid w:val="0"/>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 xml:space="preserve">0.00 </w:t>
            </w:r>
          </w:p>
        </w:tc>
      </w:tr>
      <w:tr w:rsidR="008A2411" w:rsidRPr="008A2411" w14:paraId="1806D85F" w14:textId="77777777">
        <w:trPr>
          <w:trHeight w:val="288"/>
        </w:trPr>
        <w:tc>
          <w:tcPr>
            <w:tcW w:w="1768" w:type="pct"/>
            <w:shd w:val="clear" w:color="auto" w:fill="auto"/>
            <w:noWrap/>
            <w:vAlign w:val="center"/>
          </w:tcPr>
          <w:p w14:paraId="7679F78D" w14:textId="77777777" w:rsidR="00B0005F" w:rsidRPr="008A2411" w:rsidRDefault="00000000">
            <w:pPr>
              <w:widowControl/>
              <w:adjustRightInd w:val="0"/>
              <w:snapToGrid w:val="0"/>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lastRenderedPageBreak/>
              <w:t>60.00</w:t>
            </w:r>
          </w:p>
        </w:tc>
        <w:tc>
          <w:tcPr>
            <w:tcW w:w="1618" w:type="pct"/>
            <w:shd w:val="clear" w:color="auto" w:fill="auto"/>
            <w:noWrap/>
            <w:vAlign w:val="center"/>
          </w:tcPr>
          <w:p w14:paraId="401ADA41" w14:textId="77777777" w:rsidR="00B0005F" w:rsidRPr="008A2411" w:rsidRDefault="00000000">
            <w:pPr>
              <w:widowControl/>
              <w:adjustRightInd w:val="0"/>
              <w:snapToGrid w:val="0"/>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0.67</w:t>
            </w:r>
          </w:p>
        </w:tc>
        <w:tc>
          <w:tcPr>
            <w:tcW w:w="1612" w:type="pct"/>
            <w:shd w:val="clear" w:color="auto" w:fill="auto"/>
            <w:noWrap/>
            <w:vAlign w:val="center"/>
          </w:tcPr>
          <w:p w14:paraId="6133B72B" w14:textId="77777777" w:rsidR="00B0005F" w:rsidRPr="008A2411" w:rsidRDefault="00000000">
            <w:pPr>
              <w:widowControl/>
              <w:adjustRightInd w:val="0"/>
              <w:snapToGrid w:val="0"/>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 xml:space="preserve">49168.00 </w:t>
            </w:r>
          </w:p>
        </w:tc>
      </w:tr>
      <w:tr w:rsidR="008A2411" w:rsidRPr="008A2411" w14:paraId="419EE039" w14:textId="77777777">
        <w:trPr>
          <w:trHeight w:val="288"/>
        </w:trPr>
        <w:tc>
          <w:tcPr>
            <w:tcW w:w="1768" w:type="pct"/>
            <w:shd w:val="clear" w:color="auto" w:fill="auto"/>
            <w:noWrap/>
            <w:vAlign w:val="center"/>
          </w:tcPr>
          <w:p w14:paraId="59A76FA1" w14:textId="77777777" w:rsidR="00B0005F" w:rsidRPr="008A2411" w:rsidRDefault="00000000">
            <w:pPr>
              <w:widowControl/>
              <w:adjustRightInd w:val="0"/>
              <w:snapToGrid w:val="0"/>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110.00</w:t>
            </w:r>
          </w:p>
        </w:tc>
        <w:tc>
          <w:tcPr>
            <w:tcW w:w="1618" w:type="pct"/>
            <w:shd w:val="clear" w:color="auto" w:fill="auto"/>
            <w:noWrap/>
            <w:vAlign w:val="center"/>
          </w:tcPr>
          <w:p w14:paraId="07725965" w14:textId="77777777" w:rsidR="00B0005F" w:rsidRPr="008A2411" w:rsidRDefault="00000000">
            <w:pPr>
              <w:widowControl/>
              <w:adjustRightInd w:val="0"/>
              <w:snapToGrid w:val="0"/>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1.22</w:t>
            </w:r>
          </w:p>
        </w:tc>
        <w:tc>
          <w:tcPr>
            <w:tcW w:w="1612" w:type="pct"/>
            <w:shd w:val="clear" w:color="auto" w:fill="auto"/>
            <w:noWrap/>
            <w:vAlign w:val="center"/>
          </w:tcPr>
          <w:p w14:paraId="48DC2C5E" w14:textId="77777777" w:rsidR="00B0005F" w:rsidRPr="008A2411" w:rsidRDefault="00000000">
            <w:pPr>
              <w:widowControl/>
              <w:adjustRightInd w:val="0"/>
              <w:snapToGrid w:val="0"/>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 xml:space="preserve">67012.00 </w:t>
            </w:r>
          </w:p>
        </w:tc>
      </w:tr>
      <w:tr w:rsidR="008A2411" w:rsidRPr="008A2411" w14:paraId="4981AE51" w14:textId="77777777">
        <w:trPr>
          <w:trHeight w:val="288"/>
        </w:trPr>
        <w:tc>
          <w:tcPr>
            <w:tcW w:w="1768" w:type="pct"/>
            <w:shd w:val="clear" w:color="auto" w:fill="auto"/>
            <w:noWrap/>
            <w:vAlign w:val="center"/>
          </w:tcPr>
          <w:p w14:paraId="070CCEE4" w14:textId="77777777" w:rsidR="00B0005F" w:rsidRPr="008A2411" w:rsidRDefault="00000000">
            <w:pPr>
              <w:widowControl/>
              <w:adjustRightInd w:val="0"/>
              <w:snapToGrid w:val="0"/>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160.00</w:t>
            </w:r>
          </w:p>
        </w:tc>
        <w:tc>
          <w:tcPr>
            <w:tcW w:w="1618" w:type="pct"/>
            <w:shd w:val="clear" w:color="auto" w:fill="auto"/>
            <w:noWrap/>
            <w:vAlign w:val="center"/>
          </w:tcPr>
          <w:p w14:paraId="1169AEB0" w14:textId="77777777" w:rsidR="00B0005F" w:rsidRPr="008A2411" w:rsidRDefault="00000000">
            <w:pPr>
              <w:widowControl/>
              <w:adjustRightInd w:val="0"/>
              <w:snapToGrid w:val="0"/>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1.78</w:t>
            </w:r>
          </w:p>
        </w:tc>
        <w:tc>
          <w:tcPr>
            <w:tcW w:w="1612" w:type="pct"/>
            <w:shd w:val="clear" w:color="auto" w:fill="auto"/>
            <w:noWrap/>
            <w:vAlign w:val="center"/>
          </w:tcPr>
          <w:p w14:paraId="1E5F4FB6" w14:textId="77777777" w:rsidR="00B0005F" w:rsidRPr="008A2411" w:rsidRDefault="00000000">
            <w:pPr>
              <w:widowControl/>
              <w:adjustRightInd w:val="0"/>
              <w:snapToGrid w:val="0"/>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 xml:space="preserve">53579.00 </w:t>
            </w:r>
          </w:p>
        </w:tc>
      </w:tr>
      <w:tr w:rsidR="008A2411" w:rsidRPr="008A2411" w14:paraId="0716B85B" w14:textId="77777777">
        <w:trPr>
          <w:trHeight w:val="288"/>
        </w:trPr>
        <w:tc>
          <w:tcPr>
            <w:tcW w:w="1768" w:type="pct"/>
            <w:shd w:val="clear" w:color="auto" w:fill="auto"/>
            <w:noWrap/>
            <w:vAlign w:val="center"/>
          </w:tcPr>
          <w:p w14:paraId="0F0931EB" w14:textId="77777777" w:rsidR="00B0005F" w:rsidRPr="008A2411" w:rsidRDefault="00000000">
            <w:pPr>
              <w:widowControl/>
              <w:adjustRightInd w:val="0"/>
              <w:snapToGrid w:val="0"/>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210.00</w:t>
            </w:r>
          </w:p>
        </w:tc>
        <w:tc>
          <w:tcPr>
            <w:tcW w:w="1618" w:type="pct"/>
            <w:shd w:val="clear" w:color="auto" w:fill="auto"/>
            <w:noWrap/>
            <w:vAlign w:val="center"/>
          </w:tcPr>
          <w:p w14:paraId="6ECCCBB3" w14:textId="77777777" w:rsidR="00B0005F" w:rsidRPr="008A2411" w:rsidRDefault="00000000">
            <w:pPr>
              <w:widowControl/>
              <w:adjustRightInd w:val="0"/>
              <w:snapToGrid w:val="0"/>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2.33</w:t>
            </w:r>
          </w:p>
        </w:tc>
        <w:tc>
          <w:tcPr>
            <w:tcW w:w="1612" w:type="pct"/>
            <w:shd w:val="clear" w:color="auto" w:fill="auto"/>
            <w:noWrap/>
            <w:vAlign w:val="center"/>
          </w:tcPr>
          <w:p w14:paraId="41AF8F3C" w14:textId="77777777" w:rsidR="00B0005F" w:rsidRPr="008A2411" w:rsidRDefault="00000000">
            <w:pPr>
              <w:widowControl/>
              <w:adjustRightInd w:val="0"/>
              <w:snapToGrid w:val="0"/>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 xml:space="preserve">42622.00 </w:t>
            </w:r>
          </w:p>
        </w:tc>
      </w:tr>
      <w:tr w:rsidR="008A2411" w:rsidRPr="008A2411" w14:paraId="320A0CBD" w14:textId="77777777">
        <w:trPr>
          <w:trHeight w:val="288"/>
        </w:trPr>
        <w:tc>
          <w:tcPr>
            <w:tcW w:w="1768" w:type="pct"/>
            <w:shd w:val="clear" w:color="auto" w:fill="auto"/>
            <w:noWrap/>
            <w:vAlign w:val="center"/>
          </w:tcPr>
          <w:p w14:paraId="0DAB4072" w14:textId="77777777" w:rsidR="00B0005F" w:rsidRPr="008A2411" w:rsidRDefault="00000000">
            <w:pPr>
              <w:widowControl/>
              <w:adjustRightInd w:val="0"/>
              <w:snapToGrid w:val="0"/>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310.00</w:t>
            </w:r>
          </w:p>
        </w:tc>
        <w:tc>
          <w:tcPr>
            <w:tcW w:w="1618" w:type="pct"/>
            <w:shd w:val="clear" w:color="auto" w:fill="auto"/>
            <w:noWrap/>
            <w:vAlign w:val="center"/>
          </w:tcPr>
          <w:p w14:paraId="7DD41087" w14:textId="77777777" w:rsidR="00B0005F" w:rsidRPr="008A2411" w:rsidRDefault="00000000">
            <w:pPr>
              <w:widowControl/>
              <w:adjustRightInd w:val="0"/>
              <w:snapToGrid w:val="0"/>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3.44</w:t>
            </w:r>
          </w:p>
        </w:tc>
        <w:tc>
          <w:tcPr>
            <w:tcW w:w="1612" w:type="pct"/>
            <w:shd w:val="clear" w:color="auto" w:fill="auto"/>
            <w:noWrap/>
            <w:vAlign w:val="center"/>
          </w:tcPr>
          <w:p w14:paraId="4B8B174F" w14:textId="77777777" w:rsidR="00B0005F" w:rsidRPr="008A2411" w:rsidRDefault="00000000">
            <w:pPr>
              <w:widowControl/>
              <w:adjustRightInd w:val="0"/>
              <w:snapToGrid w:val="0"/>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 xml:space="preserve">28565.00 </w:t>
            </w:r>
          </w:p>
        </w:tc>
      </w:tr>
      <w:tr w:rsidR="008A2411" w:rsidRPr="008A2411" w14:paraId="1579B645" w14:textId="77777777">
        <w:trPr>
          <w:trHeight w:val="288"/>
        </w:trPr>
        <w:tc>
          <w:tcPr>
            <w:tcW w:w="1768" w:type="pct"/>
            <w:shd w:val="clear" w:color="auto" w:fill="auto"/>
            <w:noWrap/>
            <w:vAlign w:val="center"/>
          </w:tcPr>
          <w:p w14:paraId="46977CBC" w14:textId="77777777" w:rsidR="00B0005F" w:rsidRPr="008A2411" w:rsidRDefault="00000000">
            <w:pPr>
              <w:widowControl/>
              <w:adjustRightInd w:val="0"/>
              <w:snapToGrid w:val="0"/>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410.00</w:t>
            </w:r>
          </w:p>
        </w:tc>
        <w:tc>
          <w:tcPr>
            <w:tcW w:w="1618" w:type="pct"/>
            <w:shd w:val="clear" w:color="auto" w:fill="auto"/>
            <w:noWrap/>
            <w:vAlign w:val="center"/>
          </w:tcPr>
          <w:p w14:paraId="3C991C7A" w14:textId="77777777" w:rsidR="00B0005F" w:rsidRPr="008A2411" w:rsidRDefault="00000000">
            <w:pPr>
              <w:widowControl/>
              <w:adjustRightInd w:val="0"/>
              <w:snapToGrid w:val="0"/>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4.56</w:t>
            </w:r>
          </w:p>
        </w:tc>
        <w:tc>
          <w:tcPr>
            <w:tcW w:w="1612" w:type="pct"/>
            <w:shd w:val="clear" w:color="auto" w:fill="auto"/>
            <w:noWrap/>
            <w:vAlign w:val="center"/>
          </w:tcPr>
          <w:p w14:paraId="58E6488A" w14:textId="77777777" w:rsidR="00B0005F" w:rsidRPr="008A2411" w:rsidRDefault="00000000">
            <w:pPr>
              <w:widowControl/>
              <w:adjustRightInd w:val="0"/>
              <w:snapToGrid w:val="0"/>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 xml:space="preserve">20265.00 </w:t>
            </w:r>
          </w:p>
        </w:tc>
      </w:tr>
      <w:tr w:rsidR="008A2411" w:rsidRPr="008A2411" w14:paraId="1EE3B2DA" w14:textId="77777777">
        <w:trPr>
          <w:trHeight w:val="288"/>
        </w:trPr>
        <w:tc>
          <w:tcPr>
            <w:tcW w:w="1768" w:type="pct"/>
            <w:shd w:val="clear" w:color="auto" w:fill="auto"/>
            <w:noWrap/>
            <w:vAlign w:val="center"/>
          </w:tcPr>
          <w:p w14:paraId="79522A43" w14:textId="77777777" w:rsidR="00B0005F" w:rsidRPr="008A2411" w:rsidRDefault="00000000">
            <w:pPr>
              <w:widowControl/>
              <w:adjustRightInd w:val="0"/>
              <w:snapToGrid w:val="0"/>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510.00</w:t>
            </w:r>
          </w:p>
        </w:tc>
        <w:tc>
          <w:tcPr>
            <w:tcW w:w="1618" w:type="pct"/>
            <w:shd w:val="clear" w:color="auto" w:fill="auto"/>
            <w:noWrap/>
            <w:vAlign w:val="center"/>
          </w:tcPr>
          <w:p w14:paraId="602C4B31" w14:textId="77777777" w:rsidR="00B0005F" w:rsidRPr="008A2411" w:rsidRDefault="00000000">
            <w:pPr>
              <w:widowControl/>
              <w:adjustRightInd w:val="0"/>
              <w:snapToGrid w:val="0"/>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5.67</w:t>
            </w:r>
          </w:p>
        </w:tc>
        <w:tc>
          <w:tcPr>
            <w:tcW w:w="1612" w:type="pct"/>
            <w:shd w:val="clear" w:color="auto" w:fill="auto"/>
            <w:noWrap/>
            <w:vAlign w:val="center"/>
          </w:tcPr>
          <w:p w14:paraId="1E4D8493" w14:textId="77777777" w:rsidR="00B0005F" w:rsidRPr="008A2411" w:rsidRDefault="00000000">
            <w:pPr>
              <w:widowControl/>
              <w:adjustRightInd w:val="0"/>
              <w:snapToGrid w:val="0"/>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 xml:space="preserve">15050.00 </w:t>
            </w:r>
          </w:p>
        </w:tc>
      </w:tr>
      <w:tr w:rsidR="008A2411" w:rsidRPr="008A2411" w14:paraId="377F31F2" w14:textId="77777777">
        <w:trPr>
          <w:trHeight w:val="288"/>
        </w:trPr>
        <w:tc>
          <w:tcPr>
            <w:tcW w:w="1768" w:type="pct"/>
            <w:shd w:val="clear" w:color="auto" w:fill="auto"/>
            <w:noWrap/>
            <w:vAlign w:val="center"/>
          </w:tcPr>
          <w:p w14:paraId="2051188F" w14:textId="77777777" w:rsidR="00B0005F" w:rsidRPr="008A2411" w:rsidRDefault="00000000">
            <w:pPr>
              <w:widowControl/>
              <w:adjustRightInd w:val="0"/>
              <w:snapToGrid w:val="0"/>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610.00</w:t>
            </w:r>
          </w:p>
        </w:tc>
        <w:tc>
          <w:tcPr>
            <w:tcW w:w="1618" w:type="pct"/>
            <w:shd w:val="clear" w:color="auto" w:fill="auto"/>
            <w:noWrap/>
            <w:vAlign w:val="center"/>
          </w:tcPr>
          <w:p w14:paraId="6227E4BD" w14:textId="77777777" w:rsidR="00B0005F" w:rsidRPr="008A2411" w:rsidRDefault="00000000">
            <w:pPr>
              <w:widowControl/>
              <w:adjustRightInd w:val="0"/>
              <w:snapToGrid w:val="0"/>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6.78</w:t>
            </w:r>
          </w:p>
        </w:tc>
        <w:tc>
          <w:tcPr>
            <w:tcW w:w="1612" w:type="pct"/>
            <w:shd w:val="clear" w:color="auto" w:fill="auto"/>
            <w:noWrap/>
            <w:vAlign w:val="center"/>
          </w:tcPr>
          <w:p w14:paraId="2F7F08BE" w14:textId="77777777" w:rsidR="00B0005F" w:rsidRPr="008A2411" w:rsidRDefault="00000000">
            <w:pPr>
              <w:widowControl/>
              <w:adjustRightInd w:val="0"/>
              <w:snapToGrid w:val="0"/>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 xml:space="preserve">11592.00 </w:t>
            </w:r>
          </w:p>
        </w:tc>
      </w:tr>
      <w:tr w:rsidR="008A2411" w:rsidRPr="008A2411" w14:paraId="0D3E2B37" w14:textId="77777777">
        <w:trPr>
          <w:trHeight w:val="288"/>
        </w:trPr>
        <w:tc>
          <w:tcPr>
            <w:tcW w:w="1768" w:type="pct"/>
            <w:shd w:val="clear" w:color="auto" w:fill="auto"/>
            <w:noWrap/>
            <w:vAlign w:val="center"/>
          </w:tcPr>
          <w:p w14:paraId="25ABF159" w14:textId="77777777" w:rsidR="00B0005F" w:rsidRPr="008A2411" w:rsidRDefault="00000000">
            <w:pPr>
              <w:widowControl/>
              <w:adjustRightInd w:val="0"/>
              <w:snapToGrid w:val="0"/>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710.00</w:t>
            </w:r>
          </w:p>
        </w:tc>
        <w:tc>
          <w:tcPr>
            <w:tcW w:w="1618" w:type="pct"/>
            <w:shd w:val="clear" w:color="auto" w:fill="auto"/>
            <w:noWrap/>
            <w:vAlign w:val="center"/>
          </w:tcPr>
          <w:p w14:paraId="5056B467" w14:textId="77777777" w:rsidR="00B0005F" w:rsidRPr="008A2411" w:rsidRDefault="00000000">
            <w:pPr>
              <w:widowControl/>
              <w:adjustRightInd w:val="0"/>
              <w:snapToGrid w:val="0"/>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7.89</w:t>
            </w:r>
          </w:p>
        </w:tc>
        <w:tc>
          <w:tcPr>
            <w:tcW w:w="1612" w:type="pct"/>
            <w:shd w:val="clear" w:color="auto" w:fill="auto"/>
            <w:noWrap/>
            <w:vAlign w:val="center"/>
          </w:tcPr>
          <w:p w14:paraId="2953C1CA" w14:textId="77777777" w:rsidR="00B0005F" w:rsidRPr="008A2411" w:rsidRDefault="00000000">
            <w:pPr>
              <w:widowControl/>
              <w:adjustRightInd w:val="0"/>
              <w:snapToGrid w:val="0"/>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 xml:space="preserve">9181.50 </w:t>
            </w:r>
          </w:p>
        </w:tc>
      </w:tr>
      <w:tr w:rsidR="008A2411" w:rsidRPr="008A2411" w14:paraId="155F6F8C" w14:textId="77777777">
        <w:trPr>
          <w:trHeight w:val="288"/>
        </w:trPr>
        <w:tc>
          <w:tcPr>
            <w:tcW w:w="1768" w:type="pct"/>
            <w:shd w:val="clear" w:color="auto" w:fill="auto"/>
            <w:noWrap/>
            <w:vAlign w:val="center"/>
          </w:tcPr>
          <w:p w14:paraId="250CA5BD" w14:textId="77777777" w:rsidR="00B0005F" w:rsidRPr="008A2411" w:rsidRDefault="00000000">
            <w:pPr>
              <w:widowControl/>
              <w:adjustRightInd w:val="0"/>
              <w:snapToGrid w:val="0"/>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810.00</w:t>
            </w:r>
          </w:p>
        </w:tc>
        <w:tc>
          <w:tcPr>
            <w:tcW w:w="1618" w:type="pct"/>
            <w:shd w:val="clear" w:color="auto" w:fill="auto"/>
            <w:noWrap/>
            <w:vAlign w:val="center"/>
          </w:tcPr>
          <w:p w14:paraId="713F0572" w14:textId="77777777" w:rsidR="00B0005F" w:rsidRPr="008A2411" w:rsidRDefault="00000000">
            <w:pPr>
              <w:widowControl/>
              <w:adjustRightInd w:val="0"/>
              <w:snapToGrid w:val="0"/>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9.00</w:t>
            </w:r>
          </w:p>
        </w:tc>
        <w:tc>
          <w:tcPr>
            <w:tcW w:w="1612" w:type="pct"/>
            <w:shd w:val="clear" w:color="auto" w:fill="auto"/>
            <w:noWrap/>
            <w:vAlign w:val="center"/>
          </w:tcPr>
          <w:p w14:paraId="19C0D2B0" w14:textId="77777777" w:rsidR="00B0005F" w:rsidRPr="008A2411" w:rsidRDefault="00000000">
            <w:pPr>
              <w:widowControl/>
              <w:adjustRightInd w:val="0"/>
              <w:snapToGrid w:val="0"/>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 xml:space="preserve">7426.20 </w:t>
            </w:r>
          </w:p>
        </w:tc>
      </w:tr>
      <w:tr w:rsidR="008A2411" w:rsidRPr="008A2411" w14:paraId="0810CF8A" w14:textId="77777777">
        <w:trPr>
          <w:trHeight w:val="288"/>
        </w:trPr>
        <w:tc>
          <w:tcPr>
            <w:tcW w:w="1768" w:type="pct"/>
            <w:shd w:val="clear" w:color="auto" w:fill="auto"/>
            <w:noWrap/>
            <w:vAlign w:val="center"/>
          </w:tcPr>
          <w:p w14:paraId="09471DE3" w14:textId="77777777" w:rsidR="00B0005F" w:rsidRPr="008A2411" w:rsidRDefault="00000000">
            <w:pPr>
              <w:widowControl/>
              <w:adjustRightInd w:val="0"/>
              <w:snapToGrid w:val="0"/>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910.00</w:t>
            </w:r>
          </w:p>
        </w:tc>
        <w:tc>
          <w:tcPr>
            <w:tcW w:w="1618" w:type="pct"/>
            <w:shd w:val="clear" w:color="auto" w:fill="auto"/>
            <w:noWrap/>
            <w:vAlign w:val="center"/>
          </w:tcPr>
          <w:p w14:paraId="085240A5" w14:textId="77777777" w:rsidR="00B0005F" w:rsidRPr="008A2411" w:rsidRDefault="00000000">
            <w:pPr>
              <w:widowControl/>
              <w:adjustRightInd w:val="0"/>
              <w:snapToGrid w:val="0"/>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10.11</w:t>
            </w:r>
          </w:p>
        </w:tc>
        <w:tc>
          <w:tcPr>
            <w:tcW w:w="1612" w:type="pct"/>
            <w:shd w:val="clear" w:color="auto" w:fill="auto"/>
            <w:noWrap/>
            <w:vAlign w:val="center"/>
          </w:tcPr>
          <w:p w14:paraId="5686AFBD" w14:textId="77777777" w:rsidR="00B0005F" w:rsidRPr="008A2411" w:rsidRDefault="00000000">
            <w:pPr>
              <w:widowControl/>
              <w:adjustRightInd w:val="0"/>
              <w:snapToGrid w:val="0"/>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 xml:space="preserve">6103.40 </w:t>
            </w:r>
          </w:p>
        </w:tc>
      </w:tr>
      <w:tr w:rsidR="008A2411" w:rsidRPr="008A2411" w14:paraId="2D812F2A" w14:textId="77777777">
        <w:trPr>
          <w:trHeight w:val="288"/>
        </w:trPr>
        <w:tc>
          <w:tcPr>
            <w:tcW w:w="1768" w:type="pct"/>
            <w:shd w:val="clear" w:color="auto" w:fill="auto"/>
            <w:noWrap/>
            <w:vAlign w:val="center"/>
          </w:tcPr>
          <w:p w14:paraId="07F68780" w14:textId="77777777" w:rsidR="00B0005F" w:rsidRPr="008A2411" w:rsidRDefault="00000000">
            <w:pPr>
              <w:widowControl/>
              <w:adjustRightInd w:val="0"/>
              <w:snapToGrid w:val="0"/>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1010.00</w:t>
            </w:r>
          </w:p>
        </w:tc>
        <w:tc>
          <w:tcPr>
            <w:tcW w:w="1618" w:type="pct"/>
            <w:shd w:val="clear" w:color="auto" w:fill="auto"/>
            <w:noWrap/>
            <w:vAlign w:val="center"/>
          </w:tcPr>
          <w:p w14:paraId="17B8ECFB" w14:textId="77777777" w:rsidR="00B0005F" w:rsidRPr="008A2411" w:rsidRDefault="00000000">
            <w:pPr>
              <w:widowControl/>
              <w:adjustRightInd w:val="0"/>
              <w:snapToGrid w:val="0"/>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11.22</w:t>
            </w:r>
          </w:p>
        </w:tc>
        <w:tc>
          <w:tcPr>
            <w:tcW w:w="1612" w:type="pct"/>
            <w:shd w:val="clear" w:color="auto" w:fill="auto"/>
            <w:noWrap/>
            <w:vAlign w:val="center"/>
          </w:tcPr>
          <w:p w14:paraId="2C68047E" w14:textId="77777777" w:rsidR="00B0005F" w:rsidRPr="008A2411" w:rsidRDefault="00000000">
            <w:pPr>
              <w:widowControl/>
              <w:adjustRightInd w:val="0"/>
              <w:snapToGrid w:val="0"/>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 xml:space="preserve">5080.50 </w:t>
            </w:r>
          </w:p>
        </w:tc>
      </w:tr>
      <w:tr w:rsidR="008A2411" w:rsidRPr="008A2411" w14:paraId="134F4CD0" w14:textId="77777777">
        <w:trPr>
          <w:trHeight w:val="288"/>
        </w:trPr>
        <w:tc>
          <w:tcPr>
            <w:tcW w:w="1768" w:type="pct"/>
            <w:shd w:val="clear" w:color="auto" w:fill="auto"/>
            <w:noWrap/>
            <w:vAlign w:val="center"/>
          </w:tcPr>
          <w:p w14:paraId="4FFB2C7B" w14:textId="77777777" w:rsidR="00B0005F" w:rsidRPr="008A2411" w:rsidRDefault="00000000">
            <w:pPr>
              <w:widowControl/>
              <w:adjustRightInd w:val="0"/>
              <w:snapToGrid w:val="0"/>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1510.00</w:t>
            </w:r>
          </w:p>
        </w:tc>
        <w:tc>
          <w:tcPr>
            <w:tcW w:w="1618" w:type="pct"/>
            <w:shd w:val="clear" w:color="auto" w:fill="auto"/>
            <w:noWrap/>
            <w:vAlign w:val="center"/>
          </w:tcPr>
          <w:p w14:paraId="71E65CCC" w14:textId="77777777" w:rsidR="00B0005F" w:rsidRPr="008A2411" w:rsidRDefault="00000000">
            <w:pPr>
              <w:widowControl/>
              <w:adjustRightInd w:val="0"/>
              <w:snapToGrid w:val="0"/>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16.78</w:t>
            </w:r>
          </w:p>
        </w:tc>
        <w:tc>
          <w:tcPr>
            <w:tcW w:w="1612" w:type="pct"/>
            <w:shd w:val="clear" w:color="auto" w:fill="auto"/>
            <w:noWrap/>
            <w:vAlign w:val="center"/>
          </w:tcPr>
          <w:p w14:paraId="2D82F074" w14:textId="77777777" w:rsidR="00B0005F" w:rsidRPr="008A2411" w:rsidRDefault="00000000">
            <w:pPr>
              <w:widowControl/>
              <w:adjustRightInd w:val="0"/>
              <w:snapToGrid w:val="0"/>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 xml:space="preserve">2364.40 </w:t>
            </w:r>
          </w:p>
        </w:tc>
      </w:tr>
      <w:tr w:rsidR="008A2411" w:rsidRPr="008A2411" w14:paraId="181F7A1E" w14:textId="77777777">
        <w:trPr>
          <w:trHeight w:val="288"/>
        </w:trPr>
        <w:tc>
          <w:tcPr>
            <w:tcW w:w="1768" w:type="pct"/>
            <w:shd w:val="clear" w:color="auto" w:fill="auto"/>
            <w:noWrap/>
            <w:vAlign w:val="center"/>
          </w:tcPr>
          <w:p w14:paraId="644283A7" w14:textId="77777777" w:rsidR="00B0005F" w:rsidRPr="008A2411" w:rsidRDefault="00000000">
            <w:pPr>
              <w:widowControl/>
              <w:adjustRightInd w:val="0"/>
              <w:snapToGrid w:val="0"/>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2010.00</w:t>
            </w:r>
          </w:p>
        </w:tc>
        <w:tc>
          <w:tcPr>
            <w:tcW w:w="1618" w:type="pct"/>
            <w:shd w:val="clear" w:color="auto" w:fill="auto"/>
            <w:noWrap/>
            <w:vAlign w:val="center"/>
          </w:tcPr>
          <w:p w14:paraId="66C1916E" w14:textId="77777777" w:rsidR="00B0005F" w:rsidRPr="008A2411" w:rsidRDefault="00000000">
            <w:pPr>
              <w:widowControl/>
              <w:adjustRightInd w:val="0"/>
              <w:snapToGrid w:val="0"/>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22.33</w:t>
            </w:r>
          </w:p>
        </w:tc>
        <w:tc>
          <w:tcPr>
            <w:tcW w:w="1612" w:type="pct"/>
            <w:shd w:val="clear" w:color="auto" w:fill="auto"/>
            <w:noWrap/>
            <w:vAlign w:val="center"/>
          </w:tcPr>
          <w:p w14:paraId="2AF51B27" w14:textId="77777777" w:rsidR="00B0005F" w:rsidRPr="008A2411" w:rsidRDefault="00000000">
            <w:pPr>
              <w:widowControl/>
              <w:adjustRightInd w:val="0"/>
              <w:snapToGrid w:val="0"/>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 xml:space="preserve">1393.60 </w:t>
            </w:r>
          </w:p>
        </w:tc>
      </w:tr>
      <w:tr w:rsidR="008A2411" w:rsidRPr="008A2411" w14:paraId="6E670961" w14:textId="77777777">
        <w:trPr>
          <w:trHeight w:val="288"/>
        </w:trPr>
        <w:tc>
          <w:tcPr>
            <w:tcW w:w="1768" w:type="pct"/>
            <w:shd w:val="clear" w:color="auto" w:fill="auto"/>
            <w:noWrap/>
            <w:vAlign w:val="center"/>
          </w:tcPr>
          <w:p w14:paraId="0A9C874D" w14:textId="77777777" w:rsidR="00B0005F" w:rsidRPr="008A2411" w:rsidRDefault="00000000">
            <w:pPr>
              <w:widowControl/>
              <w:adjustRightInd w:val="0"/>
              <w:snapToGrid w:val="0"/>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3010.00</w:t>
            </w:r>
          </w:p>
        </w:tc>
        <w:tc>
          <w:tcPr>
            <w:tcW w:w="1618" w:type="pct"/>
            <w:shd w:val="clear" w:color="auto" w:fill="auto"/>
            <w:noWrap/>
            <w:vAlign w:val="center"/>
          </w:tcPr>
          <w:p w14:paraId="31FF4381" w14:textId="77777777" w:rsidR="00B0005F" w:rsidRPr="008A2411" w:rsidRDefault="00000000">
            <w:pPr>
              <w:widowControl/>
              <w:adjustRightInd w:val="0"/>
              <w:snapToGrid w:val="0"/>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33.44</w:t>
            </w:r>
          </w:p>
        </w:tc>
        <w:tc>
          <w:tcPr>
            <w:tcW w:w="1612" w:type="pct"/>
            <w:shd w:val="clear" w:color="auto" w:fill="auto"/>
            <w:noWrap/>
            <w:vAlign w:val="center"/>
          </w:tcPr>
          <w:p w14:paraId="28CD7DFD" w14:textId="77777777" w:rsidR="00B0005F" w:rsidRPr="008A2411" w:rsidRDefault="00000000">
            <w:pPr>
              <w:widowControl/>
              <w:adjustRightInd w:val="0"/>
              <w:snapToGrid w:val="0"/>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 xml:space="preserve">622.70 </w:t>
            </w:r>
          </w:p>
        </w:tc>
      </w:tr>
      <w:tr w:rsidR="008A2411" w:rsidRPr="008A2411" w14:paraId="6190EC0F" w14:textId="77777777">
        <w:trPr>
          <w:trHeight w:val="288"/>
        </w:trPr>
        <w:tc>
          <w:tcPr>
            <w:tcW w:w="1768" w:type="pct"/>
            <w:shd w:val="clear" w:color="auto" w:fill="auto"/>
            <w:noWrap/>
            <w:vAlign w:val="center"/>
          </w:tcPr>
          <w:p w14:paraId="01DFD078" w14:textId="77777777" w:rsidR="00B0005F" w:rsidRPr="008A2411" w:rsidRDefault="00000000">
            <w:pPr>
              <w:widowControl/>
              <w:adjustRightInd w:val="0"/>
              <w:snapToGrid w:val="0"/>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4010.00</w:t>
            </w:r>
          </w:p>
        </w:tc>
        <w:tc>
          <w:tcPr>
            <w:tcW w:w="1618" w:type="pct"/>
            <w:shd w:val="clear" w:color="auto" w:fill="auto"/>
            <w:noWrap/>
            <w:vAlign w:val="center"/>
          </w:tcPr>
          <w:p w14:paraId="024D3363" w14:textId="77777777" w:rsidR="00B0005F" w:rsidRPr="008A2411" w:rsidRDefault="00000000">
            <w:pPr>
              <w:widowControl/>
              <w:adjustRightInd w:val="0"/>
              <w:snapToGrid w:val="0"/>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44.56</w:t>
            </w:r>
          </w:p>
        </w:tc>
        <w:tc>
          <w:tcPr>
            <w:tcW w:w="1612" w:type="pct"/>
            <w:shd w:val="clear" w:color="auto" w:fill="auto"/>
            <w:noWrap/>
            <w:vAlign w:val="center"/>
          </w:tcPr>
          <w:p w14:paraId="66B8FB63" w14:textId="77777777" w:rsidR="00B0005F" w:rsidRPr="008A2411" w:rsidRDefault="00000000">
            <w:pPr>
              <w:widowControl/>
              <w:adjustRightInd w:val="0"/>
              <w:snapToGrid w:val="0"/>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 xml:space="preserve">341.58 </w:t>
            </w:r>
          </w:p>
        </w:tc>
      </w:tr>
      <w:tr w:rsidR="00B0005F" w:rsidRPr="008A2411" w14:paraId="4E2BA2B1" w14:textId="77777777">
        <w:trPr>
          <w:trHeight w:val="288"/>
        </w:trPr>
        <w:tc>
          <w:tcPr>
            <w:tcW w:w="1768" w:type="pct"/>
            <w:shd w:val="clear" w:color="auto" w:fill="auto"/>
            <w:noWrap/>
            <w:vAlign w:val="center"/>
          </w:tcPr>
          <w:p w14:paraId="0FBCF19D" w14:textId="77777777" w:rsidR="00B0005F" w:rsidRPr="008A2411" w:rsidRDefault="00000000">
            <w:pPr>
              <w:widowControl/>
              <w:adjustRightInd w:val="0"/>
              <w:snapToGrid w:val="0"/>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 xml:space="preserve">5010.00 </w:t>
            </w:r>
          </w:p>
        </w:tc>
        <w:tc>
          <w:tcPr>
            <w:tcW w:w="1618" w:type="pct"/>
            <w:shd w:val="clear" w:color="auto" w:fill="auto"/>
            <w:noWrap/>
            <w:vAlign w:val="center"/>
          </w:tcPr>
          <w:p w14:paraId="5E8DD8AB" w14:textId="77777777" w:rsidR="00B0005F" w:rsidRPr="008A2411" w:rsidRDefault="00000000">
            <w:pPr>
              <w:widowControl/>
              <w:adjustRightInd w:val="0"/>
              <w:snapToGrid w:val="0"/>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55.11</w:t>
            </w:r>
          </w:p>
        </w:tc>
        <w:tc>
          <w:tcPr>
            <w:tcW w:w="1612" w:type="pct"/>
            <w:shd w:val="clear" w:color="auto" w:fill="auto"/>
            <w:noWrap/>
            <w:vAlign w:val="center"/>
          </w:tcPr>
          <w:p w14:paraId="02BE00A6" w14:textId="77777777" w:rsidR="00B0005F" w:rsidRPr="008A2411" w:rsidRDefault="00000000">
            <w:pPr>
              <w:widowControl/>
              <w:adjustRightInd w:val="0"/>
              <w:snapToGrid w:val="0"/>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 xml:space="preserve">216.75 </w:t>
            </w:r>
          </w:p>
        </w:tc>
      </w:tr>
    </w:tbl>
    <w:p w14:paraId="7B0D3797" w14:textId="77777777" w:rsidR="00B0005F" w:rsidRPr="008A2411" w:rsidRDefault="00B0005F">
      <w:pPr>
        <w:pStyle w:val="TOC2"/>
        <w:rPr>
          <w:rFonts w:ascii="Times New Roman" w:hAnsi="Times New Roman" w:cs="Times New Roman"/>
          <w:bCs/>
          <w:color w:val="000000" w:themeColor="text1"/>
        </w:rPr>
      </w:pPr>
    </w:p>
    <w:p w14:paraId="451AA426" w14:textId="77777777" w:rsidR="00B0005F" w:rsidRPr="008A2411" w:rsidRDefault="00000000">
      <w:pPr>
        <w:adjustRightInd w:val="0"/>
        <w:snapToGrid w:val="0"/>
        <w:spacing w:line="360" w:lineRule="auto"/>
        <w:ind w:firstLineChars="200" w:firstLine="480"/>
        <w:rPr>
          <w:rFonts w:ascii="Times New Roman"/>
          <w:bCs/>
          <w:color w:val="000000" w:themeColor="text1"/>
          <w:szCs w:val="24"/>
        </w:rPr>
      </w:pPr>
      <w:r w:rsidRPr="008A2411">
        <w:rPr>
          <w:rFonts w:ascii="Times New Roman"/>
          <w:color w:val="000000" w:themeColor="text1"/>
          <w:szCs w:val="24"/>
        </w:rPr>
        <w:t>根据预测结果，最不利气象条件情况下，</w:t>
      </w:r>
      <w:r w:rsidRPr="008A2411">
        <w:rPr>
          <w:rFonts w:ascii="Times New Roman"/>
          <w:color w:val="000000" w:themeColor="text1"/>
          <w:szCs w:val="24"/>
        </w:rPr>
        <w:t>SLAB</w:t>
      </w:r>
      <w:r w:rsidRPr="008A2411">
        <w:rPr>
          <w:rFonts w:ascii="Times New Roman"/>
          <w:color w:val="000000" w:themeColor="text1"/>
          <w:szCs w:val="24"/>
        </w:rPr>
        <w:t>模式预测结果：生产装置</w:t>
      </w:r>
      <w:proofErr w:type="gramStart"/>
      <w:r w:rsidRPr="008A2411">
        <w:rPr>
          <w:rFonts w:ascii="Times New Roman"/>
          <w:color w:val="000000" w:themeColor="text1"/>
          <w:szCs w:val="24"/>
        </w:rPr>
        <w:t>区原料</w:t>
      </w:r>
      <w:proofErr w:type="gramEnd"/>
      <w:r w:rsidRPr="008A2411">
        <w:rPr>
          <w:rFonts w:ascii="Times New Roman"/>
          <w:color w:val="000000" w:themeColor="text1"/>
          <w:szCs w:val="24"/>
        </w:rPr>
        <w:t>天然气泄漏事故生产装置</w:t>
      </w:r>
      <w:proofErr w:type="gramStart"/>
      <w:r w:rsidRPr="008A2411">
        <w:rPr>
          <w:rFonts w:ascii="Times New Roman"/>
          <w:color w:val="000000" w:themeColor="text1"/>
          <w:szCs w:val="24"/>
        </w:rPr>
        <w:t>区原料</w:t>
      </w:r>
      <w:proofErr w:type="gramEnd"/>
      <w:r w:rsidRPr="008A2411">
        <w:rPr>
          <w:rFonts w:ascii="Times New Roman"/>
          <w:color w:val="000000" w:themeColor="text1"/>
          <w:szCs w:val="24"/>
        </w:rPr>
        <w:t>天然气泄漏事故（未发生火灾）下风向未有超过毒性终点浓度</w:t>
      </w:r>
      <w:r w:rsidRPr="008A2411">
        <w:rPr>
          <w:rFonts w:ascii="Times New Roman"/>
          <w:color w:val="000000" w:themeColor="text1"/>
          <w:szCs w:val="24"/>
        </w:rPr>
        <w:t>-1</w:t>
      </w:r>
      <w:r w:rsidRPr="008A2411">
        <w:rPr>
          <w:rFonts w:ascii="Times New Roman"/>
          <w:color w:val="000000" w:themeColor="text1"/>
          <w:szCs w:val="24"/>
        </w:rPr>
        <w:t>（</w:t>
      </w:r>
      <w:r w:rsidRPr="008A2411">
        <w:rPr>
          <w:rFonts w:ascii="Times New Roman"/>
          <w:color w:val="000000" w:themeColor="text1"/>
          <w:szCs w:val="24"/>
        </w:rPr>
        <w:t>260000</w:t>
      </w:r>
      <w:r w:rsidRPr="008A2411">
        <w:rPr>
          <w:rFonts w:ascii="Times New Roman"/>
          <w:color w:val="000000" w:themeColor="text1"/>
          <w:szCs w:val="24"/>
          <w:lang w:bidi="ar"/>
        </w:rPr>
        <w:t>mg/m</w:t>
      </w:r>
      <w:r w:rsidRPr="008A2411">
        <w:rPr>
          <w:rFonts w:ascii="Times New Roman"/>
          <w:color w:val="000000" w:themeColor="text1"/>
          <w:szCs w:val="24"/>
          <w:vertAlign w:val="superscript"/>
          <w:lang w:bidi="ar"/>
        </w:rPr>
        <w:t>3</w:t>
      </w:r>
      <w:r w:rsidRPr="008A2411">
        <w:rPr>
          <w:rFonts w:ascii="Times New Roman"/>
          <w:color w:val="000000" w:themeColor="text1"/>
          <w:szCs w:val="24"/>
          <w:lang w:bidi="ar"/>
        </w:rPr>
        <w:t>）</w:t>
      </w:r>
      <w:r w:rsidRPr="008A2411">
        <w:rPr>
          <w:rFonts w:ascii="Times New Roman"/>
          <w:color w:val="000000" w:themeColor="text1"/>
          <w:szCs w:val="24"/>
        </w:rPr>
        <w:t>、毒性终点浓度</w:t>
      </w:r>
      <w:r w:rsidRPr="008A2411">
        <w:rPr>
          <w:rFonts w:ascii="Times New Roman"/>
          <w:color w:val="000000" w:themeColor="text1"/>
          <w:szCs w:val="24"/>
        </w:rPr>
        <w:t>-2</w:t>
      </w:r>
      <w:r w:rsidRPr="008A2411">
        <w:rPr>
          <w:rFonts w:ascii="Times New Roman"/>
          <w:color w:val="000000" w:themeColor="text1"/>
          <w:szCs w:val="24"/>
        </w:rPr>
        <w:t>（</w:t>
      </w:r>
      <w:r w:rsidRPr="008A2411">
        <w:rPr>
          <w:rFonts w:ascii="Times New Roman"/>
          <w:color w:val="000000" w:themeColor="text1"/>
          <w:szCs w:val="24"/>
        </w:rPr>
        <w:t>150000</w:t>
      </w:r>
      <w:r w:rsidRPr="008A2411">
        <w:rPr>
          <w:rFonts w:ascii="Times New Roman"/>
          <w:color w:val="000000" w:themeColor="text1"/>
          <w:szCs w:val="24"/>
          <w:lang w:bidi="ar"/>
        </w:rPr>
        <w:t>mg/m</w:t>
      </w:r>
      <w:r w:rsidRPr="008A2411">
        <w:rPr>
          <w:rFonts w:ascii="Times New Roman"/>
          <w:color w:val="000000" w:themeColor="text1"/>
          <w:szCs w:val="24"/>
          <w:vertAlign w:val="superscript"/>
          <w:lang w:bidi="ar"/>
        </w:rPr>
        <w:t>3</w:t>
      </w:r>
      <w:r w:rsidRPr="008A2411">
        <w:rPr>
          <w:rFonts w:ascii="Times New Roman"/>
          <w:color w:val="000000" w:themeColor="text1"/>
          <w:szCs w:val="24"/>
          <w:lang w:bidi="ar"/>
        </w:rPr>
        <w:t>），表明该类事故对周边环境影响较小。</w:t>
      </w:r>
    </w:p>
    <w:p w14:paraId="2A182F3B"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2</w:t>
      </w:r>
      <w:r w:rsidRPr="008A2411">
        <w:rPr>
          <w:rFonts w:ascii="Times New Roman"/>
          <w:bCs/>
          <w:color w:val="000000" w:themeColor="text1"/>
        </w:rPr>
        <w:t>）天然气泄漏污染物并发生火灾事故预测</w:t>
      </w:r>
    </w:p>
    <w:p w14:paraId="7CD8B3B6"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根据预测参数及预测模型，装置区天然气泄漏事故，并印发火灾，次生污染物</w:t>
      </w:r>
      <w:r w:rsidRPr="008A2411">
        <w:rPr>
          <w:rFonts w:ascii="Times New Roman"/>
          <w:bCs/>
          <w:color w:val="000000" w:themeColor="text1"/>
        </w:rPr>
        <w:t>CO</w:t>
      </w:r>
      <w:r w:rsidRPr="008A2411">
        <w:rPr>
          <w:rFonts w:ascii="Times New Roman"/>
          <w:bCs/>
          <w:color w:val="000000" w:themeColor="text1"/>
        </w:rPr>
        <w:t>的预测结果如下表</w:t>
      </w:r>
      <w:r w:rsidRPr="008A2411">
        <w:rPr>
          <w:rFonts w:ascii="Times New Roman"/>
          <w:bCs/>
          <w:color w:val="000000" w:themeColor="text1"/>
        </w:rPr>
        <w:t>6.7-5</w:t>
      </w:r>
      <w:r w:rsidRPr="008A2411">
        <w:rPr>
          <w:rFonts w:ascii="Times New Roman"/>
          <w:bCs/>
          <w:color w:val="000000" w:themeColor="text1"/>
        </w:rPr>
        <w:t>所示：</w:t>
      </w:r>
    </w:p>
    <w:p w14:paraId="20733FAF" w14:textId="77777777" w:rsidR="00B0005F" w:rsidRPr="008A2411" w:rsidRDefault="00000000">
      <w:pPr>
        <w:pStyle w:val="WJ0"/>
        <w:spacing w:line="240" w:lineRule="auto"/>
        <w:rPr>
          <w:rFonts w:ascii="Times New Roman" w:hAnsi="Times New Roman"/>
          <w:color w:val="000000" w:themeColor="text1"/>
        </w:rPr>
      </w:pPr>
      <w:r w:rsidRPr="008A2411">
        <w:rPr>
          <w:rFonts w:ascii="Times New Roman" w:hAnsi="Times New Roman"/>
          <w:color w:val="000000" w:themeColor="text1"/>
        </w:rPr>
        <w:t>表</w:t>
      </w:r>
      <w:r w:rsidRPr="008A2411">
        <w:rPr>
          <w:rFonts w:ascii="Times New Roman" w:hAnsi="Times New Roman"/>
          <w:color w:val="000000" w:themeColor="text1"/>
        </w:rPr>
        <w:t xml:space="preserve">6.7-5  </w:t>
      </w:r>
      <w:r w:rsidRPr="008A2411">
        <w:rPr>
          <w:rFonts w:ascii="Times New Roman" w:hAnsi="Times New Roman"/>
          <w:color w:val="000000" w:themeColor="text1"/>
        </w:rPr>
        <w:t>生产装置区最不利气象条件</w:t>
      </w:r>
      <w:proofErr w:type="gramStart"/>
      <w:r w:rsidRPr="008A2411">
        <w:rPr>
          <w:rFonts w:ascii="Times New Roman" w:hAnsi="Times New Roman"/>
          <w:color w:val="000000" w:themeColor="text1"/>
        </w:rPr>
        <w:t>下原料</w:t>
      </w:r>
      <w:proofErr w:type="gramEnd"/>
      <w:r w:rsidRPr="008A2411">
        <w:rPr>
          <w:rFonts w:ascii="Times New Roman" w:hAnsi="Times New Roman"/>
          <w:color w:val="000000" w:themeColor="text1"/>
        </w:rPr>
        <w:t>天然气泄漏事故引发火灾产生的次生</w:t>
      </w:r>
      <w:r w:rsidRPr="008A2411">
        <w:rPr>
          <w:rFonts w:ascii="Times New Roman" w:hAnsi="Times New Roman"/>
          <w:color w:val="000000" w:themeColor="text1"/>
        </w:rPr>
        <w:t>CO</w:t>
      </w:r>
      <w:r w:rsidRPr="008A2411">
        <w:rPr>
          <w:rFonts w:ascii="Times New Roman" w:hAnsi="Times New Roman"/>
          <w:color w:val="000000" w:themeColor="text1"/>
        </w:rPr>
        <w:t>预测结果</w:t>
      </w:r>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98"/>
        <w:gridCol w:w="2930"/>
        <w:gridCol w:w="2889"/>
      </w:tblGrid>
      <w:tr w:rsidR="008A2411" w:rsidRPr="008A2411" w14:paraId="04B3EF7D" w14:textId="77777777">
        <w:trPr>
          <w:trHeight w:val="288"/>
        </w:trPr>
        <w:tc>
          <w:tcPr>
            <w:tcW w:w="1766" w:type="pct"/>
            <w:shd w:val="clear" w:color="auto" w:fill="auto"/>
            <w:noWrap/>
            <w:vAlign w:val="center"/>
          </w:tcPr>
          <w:p w14:paraId="54936407"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下风向距离</w:t>
            </w:r>
            <w:r w:rsidRPr="008A2411">
              <w:rPr>
                <w:rFonts w:ascii="Times New Roman"/>
                <w:color w:val="000000" w:themeColor="text1"/>
                <w:sz w:val="21"/>
                <w:szCs w:val="21"/>
                <w:lang w:bidi="ar"/>
              </w:rPr>
              <w:t xml:space="preserve"> (m)</w:t>
            </w:r>
          </w:p>
        </w:tc>
        <w:tc>
          <w:tcPr>
            <w:tcW w:w="1628" w:type="pct"/>
            <w:shd w:val="clear" w:color="auto" w:fill="auto"/>
            <w:noWrap/>
            <w:vAlign w:val="center"/>
          </w:tcPr>
          <w:p w14:paraId="35713331"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浓度出现时间</w:t>
            </w:r>
            <w:r w:rsidRPr="008A2411">
              <w:rPr>
                <w:rFonts w:ascii="Times New Roman"/>
                <w:color w:val="000000" w:themeColor="text1"/>
                <w:sz w:val="21"/>
                <w:szCs w:val="21"/>
                <w:lang w:bidi="ar"/>
              </w:rPr>
              <w:t>(min)</w:t>
            </w:r>
          </w:p>
        </w:tc>
        <w:tc>
          <w:tcPr>
            <w:tcW w:w="1605" w:type="pct"/>
            <w:shd w:val="clear" w:color="auto" w:fill="auto"/>
            <w:noWrap/>
            <w:vAlign w:val="center"/>
          </w:tcPr>
          <w:p w14:paraId="52C5AE13"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高峰浓度</w:t>
            </w:r>
            <w:r w:rsidRPr="008A2411">
              <w:rPr>
                <w:rFonts w:ascii="Times New Roman"/>
                <w:color w:val="000000" w:themeColor="text1"/>
                <w:sz w:val="21"/>
                <w:szCs w:val="21"/>
                <w:lang w:bidi="ar"/>
              </w:rPr>
              <w:t xml:space="preserve"> (mg/m</w:t>
            </w:r>
            <w:r w:rsidRPr="008A2411">
              <w:rPr>
                <w:rFonts w:ascii="Times New Roman"/>
                <w:color w:val="000000" w:themeColor="text1"/>
                <w:sz w:val="21"/>
                <w:szCs w:val="21"/>
                <w:vertAlign w:val="superscript"/>
                <w:lang w:bidi="ar"/>
              </w:rPr>
              <w:t>3</w:t>
            </w:r>
            <w:r w:rsidRPr="008A2411">
              <w:rPr>
                <w:rFonts w:ascii="Times New Roman"/>
                <w:color w:val="000000" w:themeColor="text1"/>
                <w:sz w:val="21"/>
                <w:szCs w:val="21"/>
                <w:lang w:bidi="ar"/>
              </w:rPr>
              <w:t>)</w:t>
            </w:r>
          </w:p>
        </w:tc>
      </w:tr>
      <w:tr w:rsidR="008A2411" w:rsidRPr="008A2411" w14:paraId="75257B2C" w14:textId="77777777">
        <w:trPr>
          <w:trHeight w:val="288"/>
        </w:trPr>
        <w:tc>
          <w:tcPr>
            <w:tcW w:w="1766" w:type="pct"/>
            <w:shd w:val="clear" w:color="auto" w:fill="auto"/>
            <w:noWrap/>
            <w:vAlign w:val="center"/>
          </w:tcPr>
          <w:p w14:paraId="05F7470F"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10.00</w:t>
            </w:r>
          </w:p>
        </w:tc>
        <w:tc>
          <w:tcPr>
            <w:tcW w:w="1628" w:type="pct"/>
            <w:shd w:val="clear" w:color="auto" w:fill="auto"/>
            <w:noWrap/>
            <w:vAlign w:val="center"/>
          </w:tcPr>
          <w:p w14:paraId="7A6DCA36"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0.08</w:t>
            </w:r>
          </w:p>
        </w:tc>
        <w:tc>
          <w:tcPr>
            <w:tcW w:w="2889" w:type="dxa"/>
            <w:shd w:val="clear" w:color="auto" w:fill="auto"/>
            <w:noWrap/>
            <w:vAlign w:val="center"/>
          </w:tcPr>
          <w:p w14:paraId="60F3698F"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8.76</w:t>
            </w:r>
          </w:p>
        </w:tc>
      </w:tr>
      <w:tr w:rsidR="008A2411" w:rsidRPr="008A2411" w14:paraId="1615C03E" w14:textId="77777777">
        <w:trPr>
          <w:trHeight w:val="288"/>
        </w:trPr>
        <w:tc>
          <w:tcPr>
            <w:tcW w:w="1766" w:type="pct"/>
            <w:shd w:val="clear" w:color="auto" w:fill="auto"/>
            <w:noWrap/>
            <w:vAlign w:val="center"/>
          </w:tcPr>
          <w:p w14:paraId="39F33A3A"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60.00</w:t>
            </w:r>
          </w:p>
        </w:tc>
        <w:tc>
          <w:tcPr>
            <w:tcW w:w="1628" w:type="pct"/>
            <w:shd w:val="clear" w:color="auto" w:fill="auto"/>
            <w:noWrap/>
            <w:vAlign w:val="center"/>
          </w:tcPr>
          <w:p w14:paraId="430D84A2"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0.50</w:t>
            </w:r>
          </w:p>
        </w:tc>
        <w:tc>
          <w:tcPr>
            <w:tcW w:w="2889" w:type="dxa"/>
            <w:shd w:val="clear" w:color="auto" w:fill="auto"/>
            <w:noWrap/>
            <w:vAlign w:val="center"/>
          </w:tcPr>
          <w:p w14:paraId="78A61237"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3216.90</w:t>
            </w:r>
          </w:p>
        </w:tc>
      </w:tr>
      <w:tr w:rsidR="008A2411" w:rsidRPr="008A2411" w14:paraId="35BAC929" w14:textId="77777777">
        <w:trPr>
          <w:trHeight w:val="288"/>
        </w:trPr>
        <w:tc>
          <w:tcPr>
            <w:tcW w:w="1766" w:type="pct"/>
            <w:shd w:val="clear" w:color="auto" w:fill="auto"/>
            <w:noWrap/>
            <w:vAlign w:val="center"/>
          </w:tcPr>
          <w:p w14:paraId="5B7CD287"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110.00</w:t>
            </w:r>
          </w:p>
        </w:tc>
        <w:tc>
          <w:tcPr>
            <w:tcW w:w="1628" w:type="pct"/>
            <w:shd w:val="clear" w:color="auto" w:fill="auto"/>
            <w:noWrap/>
            <w:vAlign w:val="center"/>
          </w:tcPr>
          <w:p w14:paraId="5EA5743C"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0.92</w:t>
            </w:r>
          </w:p>
        </w:tc>
        <w:tc>
          <w:tcPr>
            <w:tcW w:w="2889" w:type="dxa"/>
            <w:shd w:val="clear" w:color="auto" w:fill="auto"/>
            <w:noWrap/>
            <w:vAlign w:val="center"/>
          </w:tcPr>
          <w:p w14:paraId="0C6910EB"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1698.10</w:t>
            </w:r>
          </w:p>
        </w:tc>
      </w:tr>
      <w:tr w:rsidR="008A2411" w:rsidRPr="008A2411" w14:paraId="3094D856" w14:textId="77777777">
        <w:trPr>
          <w:trHeight w:val="288"/>
        </w:trPr>
        <w:tc>
          <w:tcPr>
            <w:tcW w:w="1766" w:type="pct"/>
            <w:shd w:val="clear" w:color="auto" w:fill="auto"/>
            <w:noWrap/>
            <w:vAlign w:val="center"/>
          </w:tcPr>
          <w:p w14:paraId="59C3EFCD"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160.00</w:t>
            </w:r>
          </w:p>
        </w:tc>
        <w:tc>
          <w:tcPr>
            <w:tcW w:w="1628" w:type="pct"/>
            <w:shd w:val="clear" w:color="auto" w:fill="auto"/>
            <w:noWrap/>
            <w:vAlign w:val="center"/>
          </w:tcPr>
          <w:p w14:paraId="4CD3775E"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1.33</w:t>
            </w:r>
          </w:p>
        </w:tc>
        <w:tc>
          <w:tcPr>
            <w:tcW w:w="2889" w:type="dxa"/>
            <w:shd w:val="clear" w:color="auto" w:fill="auto"/>
            <w:noWrap/>
            <w:vAlign w:val="center"/>
          </w:tcPr>
          <w:p w14:paraId="67974091"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1043.30</w:t>
            </w:r>
          </w:p>
        </w:tc>
      </w:tr>
      <w:tr w:rsidR="008A2411" w:rsidRPr="008A2411" w14:paraId="2FE1D25C" w14:textId="77777777">
        <w:trPr>
          <w:trHeight w:val="288"/>
        </w:trPr>
        <w:tc>
          <w:tcPr>
            <w:tcW w:w="1766" w:type="pct"/>
            <w:shd w:val="clear" w:color="auto" w:fill="auto"/>
            <w:noWrap/>
            <w:vAlign w:val="center"/>
          </w:tcPr>
          <w:p w14:paraId="593C3707"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210.00</w:t>
            </w:r>
          </w:p>
        </w:tc>
        <w:tc>
          <w:tcPr>
            <w:tcW w:w="1628" w:type="pct"/>
            <w:shd w:val="clear" w:color="auto" w:fill="auto"/>
            <w:noWrap/>
            <w:vAlign w:val="center"/>
          </w:tcPr>
          <w:p w14:paraId="7617F4EF"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1.75</w:t>
            </w:r>
          </w:p>
        </w:tc>
        <w:tc>
          <w:tcPr>
            <w:tcW w:w="2889" w:type="dxa"/>
            <w:shd w:val="clear" w:color="auto" w:fill="auto"/>
            <w:noWrap/>
            <w:vAlign w:val="center"/>
          </w:tcPr>
          <w:p w14:paraId="101C7C86"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701.08</w:t>
            </w:r>
          </w:p>
        </w:tc>
      </w:tr>
      <w:tr w:rsidR="008A2411" w:rsidRPr="008A2411" w14:paraId="4DFA6A7F" w14:textId="77777777">
        <w:trPr>
          <w:trHeight w:val="288"/>
        </w:trPr>
        <w:tc>
          <w:tcPr>
            <w:tcW w:w="1766" w:type="pct"/>
            <w:shd w:val="clear" w:color="auto" w:fill="auto"/>
            <w:noWrap/>
            <w:vAlign w:val="center"/>
          </w:tcPr>
          <w:p w14:paraId="054FD750" w14:textId="77777777" w:rsidR="00B0005F" w:rsidRPr="008A2411" w:rsidRDefault="00000000">
            <w:pPr>
              <w:widowControl/>
              <w:jc w:val="center"/>
              <w:textAlignment w:val="center"/>
              <w:rPr>
                <w:rFonts w:ascii="Times New Roman"/>
                <w:color w:val="000000" w:themeColor="text1"/>
                <w:sz w:val="21"/>
                <w:szCs w:val="21"/>
                <w:shd w:val="clear" w:color="FFFFFF" w:fill="D9D9D9"/>
                <w:lang w:bidi="ar"/>
              </w:rPr>
            </w:pPr>
            <w:r w:rsidRPr="008A2411">
              <w:rPr>
                <w:rFonts w:ascii="Times New Roman"/>
                <w:color w:val="000000" w:themeColor="text1"/>
                <w:sz w:val="21"/>
                <w:szCs w:val="21"/>
                <w:shd w:val="clear" w:color="FFFFFF" w:fill="D9D9D9"/>
                <w:lang w:bidi="ar"/>
              </w:rPr>
              <w:t>260.00</w:t>
            </w:r>
          </w:p>
        </w:tc>
        <w:tc>
          <w:tcPr>
            <w:tcW w:w="1628" w:type="pct"/>
            <w:shd w:val="clear" w:color="auto" w:fill="auto"/>
            <w:noWrap/>
            <w:vAlign w:val="center"/>
          </w:tcPr>
          <w:p w14:paraId="6303BAE7" w14:textId="77777777" w:rsidR="00B0005F" w:rsidRPr="008A2411" w:rsidRDefault="00000000">
            <w:pPr>
              <w:widowControl/>
              <w:jc w:val="center"/>
              <w:textAlignment w:val="center"/>
              <w:rPr>
                <w:rFonts w:ascii="Times New Roman"/>
                <w:color w:val="000000" w:themeColor="text1"/>
                <w:sz w:val="21"/>
                <w:szCs w:val="21"/>
                <w:shd w:val="clear" w:color="FFFFFF" w:fill="D9D9D9"/>
                <w:lang w:bidi="ar"/>
              </w:rPr>
            </w:pPr>
            <w:r w:rsidRPr="008A2411">
              <w:rPr>
                <w:rFonts w:ascii="Times New Roman"/>
                <w:color w:val="000000" w:themeColor="text1"/>
                <w:sz w:val="21"/>
                <w:szCs w:val="21"/>
                <w:shd w:val="clear" w:color="FFFFFF" w:fill="D9D9D9"/>
                <w:lang w:bidi="ar"/>
              </w:rPr>
              <w:t>2.17</w:t>
            </w:r>
          </w:p>
        </w:tc>
        <w:tc>
          <w:tcPr>
            <w:tcW w:w="1605" w:type="pct"/>
            <w:shd w:val="clear" w:color="auto" w:fill="auto"/>
            <w:noWrap/>
            <w:vAlign w:val="center"/>
          </w:tcPr>
          <w:p w14:paraId="21261B84"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shd w:val="clear" w:color="FFFFFF" w:fill="D9D9D9"/>
                <w:lang w:bidi="ar"/>
              </w:rPr>
              <w:t>380.00</w:t>
            </w:r>
            <w:r w:rsidRPr="008A2411">
              <w:rPr>
                <w:rFonts w:ascii="Times New Roman"/>
                <w:color w:val="000000" w:themeColor="text1"/>
                <w:sz w:val="21"/>
                <w:szCs w:val="21"/>
                <w:shd w:val="clear" w:color="FFFFFF" w:fill="D9D9D9"/>
                <w:lang w:bidi="ar"/>
              </w:rPr>
              <w:t>（毒性终点浓度</w:t>
            </w:r>
            <w:r w:rsidRPr="008A2411">
              <w:rPr>
                <w:rFonts w:ascii="Times New Roman"/>
                <w:color w:val="000000" w:themeColor="text1"/>
                <w:sz w:val="21"/>
                <w:szCs w:val="21"/>
                <w:shd w:val="clear" w:color="FFFFFF" w:fill="D9D9D9"/>
                <w:lang w:bidi="ar"/>
              </w:rPr>
              <w:t>-1</w:t>
            </w:r>
            <w:r w:rsidRPr="008A2411">
              <w:rPr>
                <w:rFonts w:ascii="Times New Roman"/>
                <w:color w:val="000000" w:themeColor="text1"/>
                <w:sz w:val="21"/>
                <w:szCs w:val="21"/>
                <w:shd w:val="clear" w:color="FFFFFF" w:fill="D9D9D9"/>
                <w:lang w:bidi="ar"/>
              </w:rPr>
              <w:t>）</w:t>
            </w:r>
          </w:p>
        </w:tc>
      </w:tr>
      <w:tr w:rsidR="008A2411" w:rsidRPr="008A2411" w14:paraId="6745666E" w14:textId="77777777">
        <w:trPr>
          <w:trHeight w:val="288"/>
        </w:trPr>
        <w:tc>
          <w:tcPr>
            <w:tcW w:w="1766" w:type="pct"/>
            <w:shd w:val="clear" w:color="auto" w:fill="auto"/>
            <w:noWrap/>
            <w:vAlign w:val="center"/>
          </w:tcPr>
          <w:p w14:paraId="1AD47849"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310.00</w:t>
            </w:r>
          </w:p>
        </w:tc>
        <w:tc>
          <w:tcPr>
            <w:tcW w:w="1628" w:type="pct"/>
            <w:shd w:val="clear" w:color="auto" w:fill="auto"/>
            <w:noWrap/>
            <w:vAlign w:val="center"/>
          </w:tcPr>
          <w:p w14:paraId="64173C71"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2.58</w:t>
            </w:r>
          </w:p>
        </w:tc>
        <w:tc>
          <w:tcPr>
            <w:tcW w:w="2889" w:type="dxa"/>
            <w:shd w:val="clear" w:color="auto" w:fill="auto"/>
            <w:noWrap/>
            <w:vAlign w:val="center"/>
          </w:tcPr>
          <w:p w14:paraId="6A76B688"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379.59</w:t>
            </w:r>
          </w:p>
        </w:tc>
      </w:tr>
      <w:tr w:rsidR="008A2411" w:rsidRPr="008A2411" w14:paraId="14D174F3" w14:textId="77777777">
        <w:trPr>
          <w:trHeight w:val="288"/>
        </w:trPr>
        <w:tc>
          <w:tcPr>
            <w:tcW w:w="1766" w:type="pct"/>
            <w:shd w:val="clear" w:color="auto" w:fill="auto"/>
            <w:noWrap/>
            <w:vAlign w:val="center"/>
          </w:tcPr>
          <w:p w14:paraId="6C7780CB"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410.00</w:t>
            </w:r>
          </w:p>
        </w:tc>
        <w:tc>
          <w:tcPr>
            <w:tcW w:w="1628" w:type="pct"/>
            <w:shd w:val="clear" w:color="auto" w:fill="auto"/>
            <w:noWrap/>
            <w:vAlign w:val="center"/>
          </w:tcPr>
          <w:p w14:paraId="3F94EF19"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3.42</w:t>
            </w:r>
          </w:p>
        </w:tc>
        <w:tc>
          <w:tcPr>
            <w:tcW w:w="2889" w:type="dxa"/>
            <w:shd w:val="clear" w:color="auto" w:fill="auto"/>
            <w:noWrap/>
            <w:vAlign w:val="center"/>
          </w:tcPr>
          <w:p w14:paraId="4FA55597"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238.52</w:t>
            </w:r>
          </w:p>
        </w:tc>
      </w:tr>
      <w:tr w:rsidR="008A2411" w:rsidRPr="008A2411" w14:paraId="14204C5F" w14:textId="77777777">
        <w:trPr>
          <w:trHeight w:val="288"/>
        </w:trPr>
        <w:tc>
          <w:tcPr>
            <w:tcW w:w="1766" w:type="pct"/>
            <w:shd w:val="clear" w:color="auto" w:fill="auto"/>
            <w:noWrap/>
            <w:vAlign w:val="center"/>
          </w:tcPr>
          <w:p w14:paraId="428041C1"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510.00</w:t>
            </w:r>
          </w:p>
        </w:tc>
        <w:tc>
          <w:tcPr>
            <w:tcW w:w="1628" w:type="pct"/>
            <w:shd w:val="clear" w:color="auto" w:fill="auto"/>
            <w:noWrap/>
            <w:vAlign w:val="center"/>
          </w:tcPr>
          <w:p w14:paraId="4D675AC9"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4.25</w:t>
            </w:r>
          </w:p>
        </w:tc>
        <w:tc>
          <w:tcPr>
            <w:tcW w:w="2889" w:type="dxa"/>
            <w:shd w:val="clear" w:color="auto" w:fill="auto"/>
            <w:noWrap/>
            <w:vAlign w:val="center"/>
          </w:tcPr>
          <w:p w14:paraId="1112AA6A"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162.86</w:t>
            </w:r>
          </w:p>
        </w:tc>
      </w:tr>
      <w:tr w:rsidR="008A2411" w:rsidRPr="008A2411" w14:paraId="2C40213D" w14:textId="77777777">
        <w:trPr>
          <w:trHeight w:val="288"/>
        </w:trPr>
        <w:tc>
          <w:tcPr>
            <w:tcW w:w="1766" w:type="pct"/>
            <w:shd w:val="clear" w:color="auto" w:fill="auto"/>
            <w:noWrap/>
            <w:vAlign w:val="center"/>
          </w:tcPr>
          <w:p w14:paraId="361EA444"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610.00</w:t>
            </w:r>
          </w:p>
        </w:tc>
        <w:tc>
          <w:tcPr>
            <w:tcW w:w="1628" w:type="pct"/>
            <w:shd w:val="clear" w:color="auto" w:fill="auto"/>
            <w:noWrap/>
            <w:vAlign w:val="center"/>
          </w:tcPr>
          <w:p w14:paraId="509090AE"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5.08</w:t>
            </w:r>
          </w:p>
        </w:tc>
        <w:tc>
          <w:tcPr>
            <w:tcW w:w="2889" w:type="dxa"/>
            <w:shd w:val="clear" w:color="auto" w:fill="auto"/>
            <w:noWrap/>
            <w:vAlign w:val="center"/>
          </w:tcPr>
          <w:p w14:paraId="550B4418"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116.95</w:t>
            </w:r>
          </w:p>
        </w:tc>
      </w:tr>
      <w:tr w:rsidR="008A2411" w:rsidRPr="008A2411" w14:paraId="3AFB9752" w14:textId="77777777">
        <w:trPr>
          <w:trHeight w:val="288"/>
        </w:trPr>
        <w:tc>
          <w:tcPr>
            <w:tcW w:w="1766" w:type="pct"/>
            <w:shd w:val="clear" w:color="auto" w:fill="auto"/>
            <w:noWrap/>
            <w:vAlign w:val="center"/>
          </w:tcPr>
          <w:p w14:paraId="3347F6CE" w14:textId="77777777" w:rsidR="00B0005F" w:rsidRPr="008A2411" w:rsidRDefault="00000000">
            <w:pPr>
              <w:widowControl/>
              <w:jc w:val="center"/>
              <w:textAlignment w:val="center"/>
              <w:rPr>
                <w:rFonts w:ascii="Times New Roman"/>
                <w:color w:val="000000" w:themeColor="text1"/>
                <w:sz w:val="21"/>
                <w:szCs w:val="21"/>
                <w:shd w:val="clear" w:color="FFFFFF" w:fill="D9D9D9"/>
                <w:lang w:bidi="ar"/>
              </w:rPr>
            </w:pPr>
            <w:r w:rsidRPr="008A2411">
              <w:rPr>
                <w:rFonts w:ascii="Times New Roman"/>
                <w:color w:val="000000" w:themeColor="text1"/>
                <w:sz w:val="21"/>
                <w:szCs w:val="21"/>
                <w:shd w:val="clear" w:color="FFFFFF" w:fill="D9D9D9"/>
                <w:lang w:bidi="ar"/>
              </w:rPr>
              <w:t>660.00</w:t>
            </w:r>
          </w:p>
        </w:tc>
        <w:tc>
          <w:tcPr>
            <w:tcW w:w="1628" w:type="pct"/>
            <w:shd w:val="clear" w:color="auto" w:fill="auto"/>
            <w:noWrap/>
            <w:vAlign w:val="center"/>
          </w:tcPr>
          <w:p w14:paraId="6AD407E9" w14:textId="77777777" w:rsidR="00B0005F" w:rsidRPr="008A2411" w:rsidRDefault="00000000">
            <w:pPr>
              <w:widowControl/>
              <w:jc w:val="center"/>
              <w:textAlignment w:val="center"/>
              <w:rPr>
                <w:rFonts w:ascii="Times New Roman"/>
                <w:color w:val="000000" w:themeColor="text1"/>
                <w:sz w:val="21"/>
                <w:szCs w:val="21"/>
                <w:shd w:val="clear" w:color="FFFFFF" w:fill="D9D9D9"/>
                <w:lang w:bidi="ar"/>
              </w:rPr>
            </w:pPr>
            <w:r w:rsidRPr="008A2411">
              <w:rPr>
                <w:rFonts w:ascii="Times New Roman"/>
                <w:color w:val="000000" w:themeColor="text1"/>
                <w:sz w:val="21"/>
                <w:szCs w:val="21"/>
                <w:shd w:val="clear" w:color="FFFFFF" w:fill="D9D9D9"/>
                <w:lang w:bidi="ar"/>
              </w:rPr>
              <w:t>5.5</w:t>
            </w:r>
          </w:p>
        </w:tc>
        <w:tc>
          <w:tcPr>
            <w:tcW w:w="1605" w:type="pct"/>
            <w:shd w:val="clear" w:color="auto" w:fill="auto"/>
            <w:noWrap/>
            <w:vAlign w:val="center"/>
          </w:tcPr>
          <w:p w14:paraId="634075FF"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shd w:val="clear" w:color="FFFFFF" w:fill="D9D9D9"/>
                <w:lang w:bidi="ar"/>
              </w:rPr>
              <w:t>95.0</w:t>
            </w:r>
            <w:r w:rsidRPr="008A2411">
              <w:rPr>
                <w:rFonts w:ascii="Times New Roman"/>
                <w:color w:val="000000" w:themeColor="text1"/>
                <w:sz w:val="21"/>
                <w:szCs w:val="21"/>
                <w:shd w:val="clear" w:color="FFFFFF" w:fill="D9D9D9"/>
                <w:lang w:bidi="ar"/>
              </w:rPr>
              <w:t>（毒性终点浓度</w:t>
            </w:r>
            <w:r w:rsidRPr="008A2411">
              <w:rPr>
                <w:rFonts w:ascii="Times New Roman"/>
                <w:color w:val="000000" w:themeColor="text1"/>
                <w:sz w:val="21"/>
                <w:szCs w:val="21"/>
                <w:shd w:val="clear" w:color="FFFFFF" w:fill="D9D9D9"/>
                <w:lang w:bidi="ar"/>
              </w:rPr>
              <w:t>-2</w:t>
            </w:r>
            <w:r w:rsidRPr="008A2411">
              <w:rPr>
                <w:rFonts w:ascii="Times New Roman"/>
                <w:color w:val="000000" w:themeColor="text1"/>
                <w:sz w:val="21"/>
                <w:szCs w:val="21"/>
                <w:shd w:val="clear" w:color="FFFFFF" w:fill="D9D9D9"/>
                <w:lang w:bidi="ar"/>
              </w:rPr>
              <w:t>）</w:t>
            </w:r>
          </w:p>
        </w:tc>
      </w:tr>
      <w:tr w:rsidR="008A2411" w:rsidRPr="008A2411" w14:paraId="607FC814" w14:textId="77777777">
        <w:trPr>
          <w:trHeight w:val="288"/>
        </w:trPr>
        <w:tc>
          <w:tcPr>
            <w:tcW w:w="1766" w:type="pct"/>
            <w:shd w:val="clear" w:color="auto" w:fill="auto"/>
            <w:noWrap/>
            <w:vAlign w:val="center"/>
          </w:tcPr>
          <w:p w14:paraId="60E8FCE7"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710.00</w:t>
            </w:r>
          </w:p>
        </w:tc>
        <w:tc>
          <w:tcPr>
            <w:tcW w:w="2930" w:type="dxa"/>
            <w:shd w:val="clear" w:color="auto" w:fill="auto"/>
            <w:noWrap/>
            <w:vAlign w:val="center"/>
          </w:tcPr>
          <w:p w14:paraId="653B1B22"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5.92</w:t>
            </w:r>
          </w:p>
        </w:tc>
        <w:tc>
          <w:tcPr>
            <w:tcW w:w="2889" w:type="dxa"/>
            <w:shd w:val="clear" w:color="auto" w:fill="auto"/>
            <w:noWrap/>
            <w:vAlign w:val="center"/>
          </w:tcPr>
          <w:p w14:paraId="278CD2CD"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86.98</w:t>
            </w:r>
          </w:p>
        </w:tc>
      </w:tr>
      <w:tr w:rsidR="008A2411" w:rsidRPr="008A2411" w14:paraId="0EB83663" w14:textId="77777777">
        <w:trPr>
          <w:trHeight w:val="288"/>
        </w:trPr>
        <w:tc>
          <w:tcPr>
            <w:tcW w:w="1766" w:type="pct"/>
            <w:shd w:val="clear" w:color="auto" w:fill="auto"/>
            <w:noWrap/>
            <w:vAlign w:val="center"/>
          </w:tcPr>
          <w:p w14:paraId="212B9DA8"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810.00</w:t>
            </w:r>
          </w:p>
        </w:tc>
        <w:tc>
          <w:tcPr>
            <w:tcW w:w="2930" w:type="dxa"/>
            <w:shd w:val="clear" w:color="auto" w:fill="auto"/>
            <w:noWrap/>
            <w:vAlign w:val="center"/>
          </w:tcPr>
          <w:p w14:paraId="214BE936"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6.75</w:t>
            </w:r>
          </w:p>
        </w:tc>
        <w:tc>
          <w:tcPr>
            <w:tcW w:w="2889" w:type="dxa"/>
            <w:shd w:val="clear" w:color="auto" w:fill="auto"/>
            <w:noWrap/>
            <w:vAlign w:val="center"/>
          </w:tcPr>
          <w:p w14:paraId="783E726A"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66.47</w:t>
            </w:r>
          </w:p>
        </w:tc>
      </w:tr>
      <w:tr w:rsidR="008A2411" w:rsidRPr="008A2411" w14:paraId="1979C587" w14:textId="77777777">
        <w:trPr>
          <w:trHeight w:val="288"/>
        </w:trPr>
        <w:tc>
          <w:tcPr>
            <w:tcW w:w="1766" w:type="pct"/>
            <w:shd w:val="clear" w:color="auto" w:fill="auto"/>
            <w:noWrap/>
            <w:vAlign w:val="center"/>
          </w:tcPr>
          <w:p w14:paraId="4C0B1A67"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910.00</w:t>
            </w:r>
          </w:p>
        </w:tc>
        <w:tc>
          <w:tcPr>
            <w:tcW w:w="2930" w:type="dxa"/>
            <w:shd w:val="clear" w:color="auto" w:fill="auto"/>
            <w:noWrap/>
            <w:vAlign w:val="center"/>
          </w:tcPr>
          <w:p w14:paraId="6100C239"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7.58</w:t>
            </w:r>
          </w:p>
        </w:tc>
        <w:tc>
          <w:tcPr>
            <w:tcW w:w="2889" w:type="dxa"/>
            <w:shd w:val="clear" w:color="auto" w:fill="auto"/>
            <w:noWrap/>
            <w:vAlign w:val="center"/>
          </w:tcPr>
          <w:p w14:paraId="7527F89E"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51.96</w:t>
            </w:r>
          </w:p>
        </w:tc>
      </w:tr>
      <w:tr w:rsidR="008A2411" w:rsidRPr="008A2411" w14:paraId="5B7D2033" w14:textId="77777777">
        <w:trPr>
          <w:trHeight w:val="288"/>
        </w:trPr>
        <w:tc>
          <w:tcPr>
            <w:tcW w:w="1766" w:type="pct"/>
            <w:shd w:val="clear" w:color="auto" w:fill="auto"/>
            <w:noWrap/>
            <w:vAlign w:val="center"/>
          </w:tcPr>
          <w:p w14:paraId="6F9B96E5"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lastRenderedPageBreak/>
              <w:t>1010.00</w:t>
            </w:r>
          </w:p>
        </w:tc>
        <w:tc>
          <w:tcPr>
            <w:tcW w:w="2930" w:type="dxa"/>
            <w:shd w:val="clear" w:color="auto" w:fill="auto"/>
            <w:noWrap/>
            <w:vAlign w:val="center"/>
          </w:tcPr>
          <w:p w14:paraId="3EF8BAA4"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8.42</w:t>
            </w:r>
          </w:p>
        </w:tc>
        <w:tc>
          <w:tcPr>
            <w:tcW w:w="2889" w:type="dxa"/>
            <w:shd w:val="clear" w:color="auto" w:fill="auto"/>
            <w:noWrap/>
            <w:vAlign w:val="center"/>
          </w:tcPr>
          <w:p w14:paraId="671CEB56"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41.40</w:t>
            </w:r>
          </w:p>
        </w:tc>
      </w:tr>
      <w:tr w:rsidR="008A2411" w:rsidRPr="008A2411" w14:paraId="1972F424" w14:textId="77777777">
        <w:trPr>
          <w:trHeight w:val="288"/>
        </w:trPr>
        <w:tc>
          <w:tcPr>
            <w:tcW w:w="1766" w:type="pct"/>
            <w:shd w:val="clear" w:color="auto" w:fill="auto"/>
            <w:noWrap/>
            <w:vAlign w:val="center"/>
          </w:tcPr>
          <w:p w14:paraId="6A493C30"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1510.00</w:t>
            </w:r>
          </w:p>
        </w:tc>
        <w:tc>
          <w:tcPr>
            <w:tcW w:w="2930" w:type="dxa"/>
            <w:shd w:val="clear" w:color="auto" w:fill="auto"/>
            <w:noWrap/>
            <w:vAlign w:val="center"/>
          </w:tcPr>
          <w:p w14:paraId="1696DA5A"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12.58</w:t>
            </w:r>
          </w:p>
        </w:tc>
        <w:tc>
          <w:tcPr>
            <w:tcW w:w="2889" w:type="dxa"/>
            <w:shd w:val="clear" w:color="auto" w:fill="auto"/>
            <w:noWrap/>
            <w:vAlign w:val="center"/>
          </w:tcPr>
          <w:p w14:paraId="34436B2A"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16.71</w:t>
            </w:r>
          </w:p>
        </w:tc>
      </w:tr>
      <w:tr w:rsidR="008A2411" w:rsidRPr="008A2411" w14:paraId="11AD8484" w14:textId="77777777">
        <w:trPr>
          <w:trHeight w:val="288"/>
        </w:trPr>
        <w:tc>
          <w:tcPr>
            <w:tcW w:w="1766" w:type="pct"/>
            <w:shd w:val="clear" w:color="auto" w:fill="auto"/>
            <w:noWrap/>
            <w:vAlign w:val="center"/>
          </w:tcPr>
          <w:p w14:paraId="6A0CC04C"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2010.00</w:t>
            </w:r>
          </w:p>
        </w:tc>
        <w:tc>
          <w:tcPr>
            <w:tcW w:w="2930" w:type="dxa"/>
            <w:shd w:val="clear" w:color="auto" w:fill="auto"/>
            <w:noWrap/>
            <w:vAlign w:val="center"/>
          </w:tcPr>
          <w:p w14:paraId="063A1ECC"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16.75</w:t>
            </w:r>
          </w:p>
        </w:tc>
        <w:tc>
          <w:tcPr>
            <w:tcW w:w="2889" w:type="dxa"/>
            <w:shd w:val="clear" w:color="auto" w:fill="auto"/>
            <w:noWrap/>
            <w:vAlign w:val="center"/>
          </w:tcPr>
          <w:p w14:paraId="7EBC1CE5"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9.22</w:t>
            </w:r>
          </w:p>
        </w:tc>
      </w:tr>
      <w:tr w:rsidR="008A2411" w:rsidRPr="008A2411" w14:paraId="2FD3DD9E" w14:textId="77777777">
        <w:trPr>
          <w:trHeight w:val="288"/>
        </w:trPr>
        <w:tc>
          <w:tcPr>
            <w:tcW w:w="1766" w:type="pct"/>
            <w:shd w:val="clear" w:color="auto" w:fill="auto"/>
            <w:noWrap/>
            <w:vAlign w:val="center"/>
          </w:tcPr>
          <w:p w14:paraId="48C1713A"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3010.00</w:t>
            </w:r>
          </w:p>
        </w:tc>
        <w:tc>
          <w:tcPr>
            <w:tcW w:w="2930" w:type="dxa"/>
            <w:shd w:val="clear" w:color="auto" w:fill="auto"/>
            <w:noWrap/>
            <w:vAlign w:val="center"/>
          </w:tcPr>
          <w:p w14:paraId="40219D87"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25.08</w:t>
            </w:r>
          </w:p>
        </w:tc>
        <w:tc>
          <w:tcPr>
            <w:tcW w:w="2889" w:type="dxa"/>
            <w:shd w:val="clear" w:color="auto" w:fill="auto"/>
            <w:noWrap/>
            <w:vAlign w:val="center"/>
          </w:tcPr>
          <w:p w14:paraId="64A52D9D"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3.88</w:t>
            </w:r>
          </w:p>
        </w:tc>
      </w:tr>
      <w:tr w:rsidR="008A2411" w:rsidRPr="008A2411" w14:paraId="61AF3953" w14:textId="77777777">
        <w:trPr>
          <w:trHeight w:val="288"/>
        </w:trPr>
        <w:tc>
          <w:tcPr>
            <w:tcW w:w="1766" w:type="pct"/>
            <w:shd w:val="clear" w:color="auto" w:fill="auto"/>
            <w:noWrap/>
            <w:vAlign w:val="center"/>
          </w:tcPr>
          <w:p w14:paraId="6DE9BA5B"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4010.00</w:t>
            </w:r>
          </w:p>
        </w:tc>
        <w:tc>
          <w:tcPr>
            <w:tcW w:w="2930" w:type="dxa"/>
            <w:shd w:val="clear" w:color="auto" w:fill="auto"/>
            <w:noWrap/>
            <w:vAlign w:val="center"/>
          </w:tcPr>
          <w:p w14:paraId="3A9F2B99"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33.42</w:t>
            </w:r>
          </w:p>
        </w:tc>
        <w:tc>
          <w:tcPr>
            <w:tcW w:w="2889" w:type="dxa"/>
            <w:shd w:val="clear" w:color="auto" w:fill="auto"/>
            <w:noWrap/>
            <w:vAlign w:val="center"/>
          </w:tcPr>
          <w:p w14:paraId="07584DD9"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2.07</w:t>
            </w:r>
          </w:p>
        </w:tc>
      </w:tr>
      <w:tr w:rsidR="008A2411" w:rsidRPr="008A2411" w14:paraId="5BCC5DAD" w14:textId="77777777">
        <w:trPr>
          <w:trHeight w:val="288"/>
        </w:trPr>
        <w:tc>
          <w:tcPr>
            <w:tcW w:w="1766" w:type="pct"/>
            <w:shd w:val="clear" w:color="auto" w:fill="auto"/>
            <w:noWrap/>
            <w:vAlign w:val="center"/>
          </w:tcPr>
          <w:p w14:paraId="1A370789"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4960.00</w:t>
            </w:r>
          </w:p>
        </w:tc>
        <w:tc>
          <w:tcPr>
            <w:tcW w:w="2930" w:type="dxa"/>
            <w:shd w:val="clear" w:color="auto" w:fill="auto"/>
            <w:noWrap/>
            <w:vAlign w:val="center"/>
          </w:tcPr>
          <w:p w14:paraId="4C28D934"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41.75</w:t>
            </w:r>
          </w:p>
        </w:tc>
        <w:tc>
          <w:tcPr>
            <w:tcW w:w="2889" w:type="dxa"/>
            <w:shd w:val="clear" w:color="auto" w:fill="auto"/>
            <w:noWrap/>
            <w:vAlign w:val="center"/>
          </w:tcPr>
          <w:p w14:paraId="56216FD7"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1.27</w:t>
            </w:r>
          </w:p>
        </w:tc>
      </w:tr>
    </w:tbl>
    <w:p w14:paraId="4A329621" w14:textId="16B144F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生产装置</w:t>
      </w:r>
      <w:proofErr w:type="gramStart"/>
      <w:r w:rsidRPr="008A2411">
        <w:rPr>
          <w:rFonts w:ascii="Times New Roman"/>
          <w:bCs/>
          <w:color w:val="000000" w:themeColor="text1"/>
        </w:rPr>
        <w:t>区原料</w:t>
      </w:r>
      <w:proofErr w:type="gramEnd"/>
      <w:r w:rsidRPr="008A2411">
        <w:rPr>
          <w:rFonts w:ascii="Times New Roman"/>
          <w:bCs/>
          <w:color w:val="000000" w:themeColor="text1"/>
        </w:rPr>
        <w:t>天然气泄漏事故发生后，在引发火灾的情形下，在</w:t>
      </w:r>
      <w:r w:rsidRPr="008A2411">
        <w:rPr>
          <w:rFonts w:ascii="Times New Roman"/>
          <w:color w:val="000000" w:themeColor="text1"/>
        </w:rPr>
        <w:t>最不利气象条件下，在下风向</w:t>
      </w:r>
      <w:r w:rsidRPr="008A2411">
        <w:rPr>
          <w:rFonts w:ascii="Times New Roman"/>
          <w:color w:val="000000" w:themeColor="text1"/>
        </w:rPr>
        <w:t>260m</w:t>
      </w:r>
      <w:r w:rsidRPr="008A2411">
        <w:rPr>
          <w:rFonts w:ascii="Times New Roman"/>
          <w:color w:val="000000" w:themeColor="text1"/>
        </w:rPr>
        <w:t>处，约有</w:t>
      </w:r>
      <w:r w:rsidRPr="008A2411">
        <w:rPr>
          <w:rFonts w:ascii="Times New Roman"/>
          <w:color w:val="000000" w:themeColor="text1"/>
        </w:rPr>
        <w:t>2.17minCO</w:t>
      </w:r>
      <w:r w:rsidRPr="008A2411">
        <w:rPr>
          <w:rFonts w:ascii="Times New Roman"/>
          <w:color w:val="000000" w:themeColor="text1"/>
        </w:rPr>
        <w:t>浓度超过毒性终点浓度</w:t>
      </w:r>
      <w:r w:rsidRPr="008A2411">
        <w:rPr>
          <w:rFonts w:ascii="Times New Roman"/>
          <w:color w:val="000000" w:themeColor="text1"/>
        </w:rPr>
        <w:t>-1</w:t>
      </w:r>
      <w:r w:rsidRPr="008A2411">
        <w:rPr>
          <w:rFonts w:ascii="Times New Roman"/>
          <w:color w:val="000000" w:themeColor="text1"/>
        </w:rPr>
        <w:t>，在下风向</w:t>
      </w:r>
      <w:r w:rsidRPr="008A2411">
        <w:rPr>
          <w:rFonts w:ascii="Times New Roman"/>
          <w:color w:val="000000" w:themeColor="text1"/>
        </w:rPr>
        <w:t>660</w:t>
      </w:r>
      <w:r w:rsidRPr="008A2411">
        <w:rPr>
          <w:rFonts w:ascii="Times New Roman"/>
          <w:color w:val="000000" w:themeColor="text1"/>
        </w:rPr>
        <w:t>处，约有</w:t>
      </w:r>
      <w:r w:rsidRPr="008A2411">
        <w:rPr>
          <w:rFonts w:ascii="Times New Roman"/>
          <w:color w:val="000000" w:themeColor="text1"/>
        </w:rPr>
        <w:t>5.</w:t>
      </w:r>
      <w:r w:rsidRPr="008A2411">
        <w:rPr>
          <w:rFonts w:ascii="Times New Roman"/>
          <w:color w:val="000000" w:themeColor="text1"/>
        </w:rPr>
        <w:t>。</w:t>
      </w:r>
      <w:r w:rsidRPr="008A2411">
        <w:rPr>
          <w:rFonts w:ascii="Times New Roman"/>
          <w:color w:val="000000" w:themeColor="text1"/>
        </w:rPr>
        <w:t>5min</w:t>
      </w:r>
      <w:r w:rsidRPr="008A2411">
        <w:rPr>
          <w:rFonts w:ascii="Times New Roman"/>
          <w:color w:val="000000" w:themeColor="text1"/>
        </w:rPr>
        <w:t>时间</w:t>
      </w:r>
      <w:r w:rsidR="00866283" w:rsidRPr="008A2411">
        <w:rPr>
          <w:rFonts w:ascii="Times New Roman" w:hint="eastAsia"/>
          <w:color w:val="000000" w:themeColor="text1"/>
        </w:rPr>
        <w:t>达到</w:t>
      </w:r>
      <w:r w:rsidRPr="008A2411">
        <w:rPr>
          <w:rFonts w:ascii="Times New Roman"/>
          <w:color w:val="000000" w:themeColor="text1"/>
        </w:rPr>
        <w:t>毒性终点浓度</w:t>
      </w:r>
      <w:r w:rsidRPr="008A2411">
        <w:rPr>
          <w:rFonts w:ascii="Times New Roman"/>
          <w:color w:val="000000" w:themeColor="text1"/>
        </w:rPr>
        <w:t>-2</w:t>
      </w:r>
      <w:r w:rsidRPr="008A2411">
        <w:rPr>
          <w:rFonts w:ascii="Times New Roman"/>
          <w:color w:val="000000" w:themeColor="text1"/>
        </w:rPr>
        <w:t>。</w:t>
      </w:r>
    </w:p>
    <w:p w14:paraId="11B6597E"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color w:val="000000" w:themeColor="text1"/>
        </w:rPr>
        <w:t>毒性终点浓度</w:t>
      </w:r>
      <w:r w:rsidRPr="008A2411">
        <w:rPr>
          <w:rFonts w:ascii="Times New Roman"/>
          <w:color w:val="000000" w:themeColor="text1"/>
        </w:rPr>
        <w:t>-1</w:t>
      </w:r>
      <w:r w:rsidRPr="008A2411">
        <w:rPr>
          <w:rFonts w:ascii="Times New Roman"/>
          <w:color w:val="000000" w:themeColor="text1"/>
        </w:rPr>
        <w:t>、毒性终点浓度</w:t>
      </w:r>
      <w:r w:rsidRPr="008A2411">
        <w:rPr>
          <w:rFonts w:ascii="Times New Roman"/>
          <w:color w:val="000000" w:themeColor="text1"/>
        </w:rPr>
        <w:t>-2</w:t>
      </w:r>
      <w:r w:rsidRPr="008A2411">
        <w:rPr>
          <w:rFonts w:ascii="Times New Roman"/>
          <w:color w:val="000000" w:themeColor="text1"/>
        </w:rPr>
        <w:t>范围的居民在发生风险事故后若不及时撤离会对人身健康造成一定的影响（特别是距离事故点较近的居民），因此建设单位应在运营</w:t>
      </w:r>
      <w:proofErr w:type="gramStart"/>
      <w:r w:rsidRPr="008A2411">
        <w:rPr>
          <w:rFonts w:ascii="Times New Roman"/>
          <w:color w:val="000000" w:themeColor="text1"/>
        </w:rPr>
        <w:t>期加强</w:t>
      </w:r>
      <w:proofErr w:type="gramEnd"/>
      <w:r w:rsidRPr="008A2411">
        <w:rPr>
          <w:rFonts w:ascii="Times New Roman"/>
          <w:color w:val="000000" w:themeColor="text1"/>
        </w:rPr>
        <w:t>对该范围内居民点的宣传，编制应急预案，制定撤离路线，加强应急演练，收集周边居民信息及联系方式，</w:t>
      </w:r>
      <w:r w:rsidRPr="008A2411">
        <w:rPr>
          <w:rFonts w:ascii="Times New Roman"/>
          <w:bCs/>
          <w:color w:val="000000" w:themeColor="text1"/>
        </w:rPr>
        <w:t>并在站场存档，当该站场发生生产装置</w:t>
      </w:r>
      <w:proofErr w:type="gramStart"/>
      <w:r w:rsidRPr="008A2411">
        <w:rPr>
          <w:rFonts w:ascii="Times New Roman"/>
          <w:bCs/>
          <w:color w:val="000000" w:themeColor="text1"/>
        </w:rPr>
        <w:t>区原料</w:t>
      </w:r>
      <w:proofErr w:type="gramEnd"/>
      <w:r w:rsidRPr="008A2411">
        <w:rPr>
          <w:rFonts w:ascii="Times New Roman"/>
          <w:bCs/>
          <w:color w:val="000000" w:themeColor="text1"/>
        </w:rPr>
        <w:t>天然气泄漏风险事故时，立即电话通知村组紧急联系人，告知可能存在的环境风险及</w:t>
      </w:r>
      <w:r w:rsidRPr="008A2411">
        <w:rPr>
          <w:rFonts w:ascii="Times New Roman"/>
          <w:color w:val="000000" w:themeColor="text1"/>
        </w:rPr>
        <w:t>紧急情况下的</w:t>
      </w:r>
      <w:r w:rsidRPr="008A2411">
        <w:rPr>
          <w:rFonts w:ascii="Times New Roman"/>
          <w:bCs/>
          <w:color w:val="000000" w:themeColor="text1"/>
        </w:rPr>
        <w:t>疏散要求，及时撤离至安全区域</w:t>
      </w:r>
      <w:r w:rsidRPr="008A2411">
        <w:rPr>
          <w:rFonts w:ascii="Times New Roman"/>
          <w:color w:val="000000" w:themeColor="text1"/>
        </w:rPr>
        <w:t>，确保事故发生后该范围内的所有居民均能收到警告，并根据事先宣传的撤离路线及时进行撤离。</w:t>
      </w:r>
    </w:p>
    <w:p w14:paraId="1B93E0A9" w14:textId="77777777" w:rsidR="00B0005F" w:rsidRPr="008A2411" w:rsidRDefault="00000000">
      <w:pPr>
        <w:pStyle w:val="affffffffffffffffffff6"/>
        <w:snapToGrid/>
        <w:outlineLvl w:val="1"/>
        <w:rPr>
          <w:rFonts w:ascii="Times New Roman"/>
          <w:bCs/>
          <w:color w:val="000000" w:themeColor="text1"/>
          <w:sz w:val="28"/>
          <w:szCs w:val="28"/>
          <w:lang w:bidi="en-US"/>
        </w:rPr>
      </w:pPr>
      <w:bookmarkStart w:id="518" w:name="_Toc75094531"/>
      <w:bookmarkStart w:id="519" w:name="_Toc84606488"/>
      <w:bookmarkStart w:id="520" w:name="_Toc75096627"/>
      <w:bookmarkStart w:id="521" w:name="_Toc109170779"/>
      <w:r w:rsidRPr="008A2411">
        <w:rPr>
          <w:rFonts w:ascii="Times New Roman"/>
          <w:bCs/>
          <w:color w:val="000000" w:themeColor="text1"/>
          <w:sz w:val="28"/>
          <w:szCs w:val="28"/>
          <w:lang w:bidi="en-US"/>
        </w:rPr>
        <w:t>6.8</w:t>
      </w:r>
      <w:r w:rsidRPr="008A2411">
        <w:rPr>
          <w:rFonts w:ascii="Times New Roman"/>
          <w:bCs/>
          <w:color w:val="000000" w:themeColor="text1"/>
          <w:sz w:val="28"/>
          <w:szCs w:val="28"/>
          <w:lang w:bidi="en-US"/>
        </w:rPr>
        <w:t>地下水环境风险预测与评价</w:t>
      </w:r>
      <w:bookmarkEnd w:id="518"/>
      <w:bookmarkEnd w:id="519"/>
      <w:bookmarkEnd w:id="520"/>
      <w:bookmarkEnd w:id="521"/>
    </w:p>
    <w:p w14:paraId="131E7B7B"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根据导则要求，地下水环境风险一级评价</w:t>
      </w:r>
      <w:proofErr w:type="gramStart"/>
      <w:r w:rsidRPr="008A2411">
        <w:rPr>
          <w:rFonts w:ascii="Times New Roman"/>
          <w:bCs/>
          <w:color w:val="000000" w:themeColor="text1"/>
        </w:rPr>
        <w:t>预测科</w:t>
      </w:r>
      <w:proofErr w:type="gramEnd"/>
      <w:r w:rsidRPr="008A2411">
        <w:rPr>
          <w:rFonts w:ascii="Times New Roman"/>
          <w:bCs/>
          <w:color w:val="000000" w:themeColor="text1"/>
        </w:rPr>
        <w:t>采用解析法和数值法，本次地下水环境影响评价采用数值法进行地下水环境影响预测。相关参数按照《环境影响评价技术导则地下水环境》（</w:t>
      </w:r>
      <w:r w:rsidRPr="008A2411">
        <w:rPr>
          <w:rFonts w:ascii="Times New Roman"/>
          <w:bCs/>
          <w:color w:val="000000" w:themeColor="text1"/>
        </w:rPr>
        <w:t>HJ610-2016</w:t>
      </w:r>
      <w:r w:rsidRPr="008A2411">
        <w:rPr>
          <w:rFonts w:ascii="Times New Roman"/>
          <w:bCs/>
          <w:color w:val="000000" w:themeColor="text1"/>
        </w:rPr>
        <w:t>）进行确定。</w:t>
      </w:r>
    </w:p>
    <w:p w14:paraId="1373C71F"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本项目采取了分区防渗措施，风险事故情景与</w:t>
      </w:r>
      <w:r w:rsidRPr="008A2411">
        <w:rPr>
          <w:rFonts w:ascii="Times New Roman" w:hint="eastAsia"/>
          <w:bCs/>
          <w:color w:val="000000" w:themeColor="text1"/>
        </w:rPr>
        <w:t>“</w:t>
      </w:r>
      <w:r w:rsidRPr="008A2411">
        <w:rPr>
          <w:rFonts w:ascii="Times New Roman"/>
          <w:bCs/>
          <w:color w:val="000000" w:themeColor="text1"/>
        </w:rPr>
        <w:t>5.2.3</w:t>
      </w:r>
      <w:r w:rsidRPr="008A2411">
        <w:rPr>
          <w:rFonts w:ascii="Times New Roman"/>
          <w:bCs/>
          <w:color w:val="000000" w:themeColor="text1"/>
        </w:rPr>
        <w:t>地下水影响预测与评价</w:t>
      </w:r>
      <w:r w:rsidRPr="008A2411">
        <w:rPr>
          <w:rFonts w:ascii="Times New Roman" w:hint="eastAsia"/>
          <w:bCs/>
          <w:color w:val="000000" w:themeColor="text1"/>
        </w:rPr>
        <w:t>”</w:t>
      </w:r>
      <w:r w:rsidRPr="008A2411">
        <w:rPr>
          <w:rFonts w:ascii="Times New Roman"/>
          <w:bCs/>
          <w:color w:val="000000" w:themeColor="text1"/>
        </w:rPr>
        <w:t>情景一致，地下水环境风险部分参照前文</w:t>
      </w:r>
      <w:r w:rsidRPr="008A2411">
        <w:rPr>
          <w:rFonts w:ascii="Times New Roman" w:hint="eastAsia"/>
          <w:bCs/>
          <w:color w:val="000000" w:themeColor="text1"/>
        </w:rPr>
        <w:t>“</w:t>
      </w:r>
      <w:r w:rsidRPr="008A2411">
        <w:rPr>
          <w:rFonts w:ascii="Times New Roman"/>
          <w:bCs/>
          <w:color w:val="000000" w:themeColor="text1"/>
        </w:rPr>
        <w:t>5.2.3</w:t>
      </w:r>
      <w:r w:rsidRPr="008A2411">
        <w:rPr>
          <w:rFonts w:ascii="Times New Roman"/>
          <w:bCs/>
          <w:color w:val="000000" w:themeColor="text1"/>
        </w:rPr>
        <w:t>地下水影响预测与评价</w:t>
      </w:r>
      <w:r w:rsidRPr="008A2411">
        <w:rPr>
          <w:rFonts w:ascii="Times New Roman" w:hint="eastAsia"/>
          <w:bCs/>
          <w:color w:val="000000" w:themeColor="text1"/>
        </w:rPr>
        <w:t>”</w:t>
      </w:r>
      <w:r w:rsidRPr="008A2411">
        <w:rPr>
          <w:rFonts w:ascii="Times New Roman"/>
          <w:bCs/>
          <w:color w:val="000000" w:themeColor="text1"/>
        </w:rPr>
        <w:t>章节影响预测内容，在此不再进行赘述。</w:t>
      </w:r>
    </w:p>
    <w:p w14:paraId="5BAAB4E5" w14:textId="77777777" w:rsidR="00B0005F" w:rsidRPr="008A2411" w:rsidRDefault="00000000">
      <w:pPr>
        <w:pStyle w:val="affffffffffffffffffff6"/>
        <w:snapToGrid/>
        <w:outlineLvl w:val="1"/>
        <w:rPr>
          <w:rFonts w:ascii="Times New Roman"/>
          <w:bCs/>
          <w:color w:val="000000" w:themeColor="text1"/>
          <w:sz w:val="28"/>
          <w:szCs w:val="28"/>
          <w:lang w:bidi="en-US"/>
        </w:rPr>
      </w:pPr>
      <w:bookmarkStart w:id="522" w:name="_Toc84606489"/>
      <w:bookmarkStart w:id="523" w:name="_Toc75094532"/>
      <w:bookmarkStart w:id="524" w:name="_Toc75096628"/>
      <w:bookmarkStart w:id="525" w:name="_Toc109170780"/>
      <w:r w:rsidRPr="008A2411">
        <w:rPr>
          <w:rFonts w:ascii="Times New Roman"/>
          <w:bCs/>
          <w:color w:val="000000" w:themeColor="text1"/>
          <w:sz w:val="28"/>
          <w:szCs w:val="28"/>
          <w:lang w:bidi="en-US"/>
        </w:rPr>
        <w:t>6.9</w:t>
      </w:r>
      <w:r w:rsidRPr="008A2411">
        <w:rPr>
          <w:rFonts w:ascii="Times New Roman"/>
          <w:bCs/>
          <w:color w:val="000000" w:themeColor="text1"/>
          <w:sz w:val="28"/>
          <w:szCs w:val="28"/>
          <w:lang w:bidi="en-US"/>
        </w:rPr>
        <w:t>地表水环境风险预测与评价</w:t>
      </w:r>
      <w:bookmarkEnd w:id="522"/>
      <w:bookmarkEnd w:id="523"/>
      <w:bookmarkEnd w:id="524"/>
      <w:bookmarkEnd w:id="525"/>
    </w:p>
    <w:p w14:paraId="3EEA9DB7" w14:textId="77777777" w:rsidR="00B0005F" w:rsidRPr="008A2411" w:rsidRDefault="00000000">
      <w:pPr>
        <w:pStyle w:val="L-"/>
        <w:spacing w:line="360" w:lineRule="auto"/>
        <w:ind w:firstLineChars="200"/>
        <w:rPr>
          <w:rFonts w:ascii="Times New Roman" w:cs="Times New Roman"/>
          <w:color w:val="000000" w:themeColor="text1"/>
        </w:rPr>
      </w:pPr>
      <w:r w:rsidRPr="008A2411">
        <w:rPr>
          <w:rFonts w:ascii="Times New Roman" w:cs="Times New Roman"/>
          <w:color w:val="000000" w:themeColor="text1"/>
        </w:rPr>
        <w:t>根据《水域纳污能力计算规程》（</w:t>
      </w:r>
      <w:r w:rsidRPr="008A2411">
        <w:rPr>
          <w:rFonts w:ascii="Times New Roman" w:cs="Times New Roman"/>
          <w:color w:val="000000" w:themeColor="text1"/>
        </w:rPr>
        <w:t>SL348-2010</w:t>
      </w:r>
      <w:r w:rsidRPr="008A2411">
        <w:rPr>
          <w:rFonts w:ascii="Times New Roman" w:cs="Times New Roman"/>
          <w:color w:val="000000" w:themeColor="text1"/>
        </w:rPr>
        <w:t>），</w:t>
      </w:r>
      <w:r w:rsidRPr="008A2411">
        <w:rPr>
          <w:rFonts w:ascii="Times New Roman" w:cs="Times New Roman"/>
          <w:bCs/>
          <w:color w:val="000000" w:themeColor="text1"/>
        </w:rPr>
        <w:t>后巴</w:t>
      </w:r>
      <w:proofErr w:type="gramStart"/>
      <w:r w:rsidRPr="008A2411">
        <w:rPr>
          <w:rFonts w:ascii="Times New Roman" w:cs="Times New Roman"/>
          <w:bCs/>
          <w:color w:val="000000" w:themeColor="text1"/>
        </w:rPr>
        <w:t>河</w:t>
      </w:r>
      <w:r w:rsidRPr="008A2411">
        <w:rPr>
          <w:rFonts w:ascii="Times New Roman" w:cs="Times New Roman"/>
          <w:color w:val="000000" w:themeColor="text1"/>
        </w:rPr>
        <w:t>平均</w:t>
      </w:r>
      <w:proofErr w:type="gramEnd"/>
      <w:r w:rsidRPr="008A2411">
        <w:rPr>
          <w:rFonts w:ascii="Times New Roman" w:cs="Times New Roman"/>
          <w:color w:val="000000" w:themeColor="text1"/>
        </w:rPr>
        <w:t>流量约</w:t>
      </w:r>
      <w:r w:rsidRPr="008A2411">
        <w:rPr>
          <w:rFonts w:ascii="Times New Roman" w:cs="Times New Roman"/>
          <w:color w:val="000000" w:themeColor="text1"/>
        </w:rPr>
        <w:t>Q=1m</w:t>
      </w:r>
      <w:r w:rsidRPr="008A2411">
        <w:rPr>
          <w:rFonts w:ascii="Times New Roman" w:cs="Times New Roman"/>
          <w:color w:val="000000" w:themeColor="text1"/>
          <w:vertAlign w:val="superscript"/>
        </w:rPr>
        <w:t>3</w:t>
      </w:r>
      <w:r w:rsidRPr="008A2411">
        <w:rPr>
          <w:rFonts w:ascii="Times New Roman" w:cs="Times New Roman"/>
          <w:color w:val="000000" w:themeColor="text1"/>
        </w:rPr>
        <w:t>/s</w:t>
      </w:r>
      <w:r w:rsidRPr="008A2411">
        <w:rPr>
          <w:rFonts w:ascii="Times New Roman" w:cs="Times New Roman"/>
          <w:color w:val="000000" w:themeColor="text1"/>
        </w:rPr>
        <w:t>，属小型河流。根据事故情形分析，在发生站场泄漏事故后，废水首先进入</w:t>
      </w:r>
      <w:r w:rsidRPr="008A2411">
        <w:rPr>
          <w:rFonts w:ascii="Times New Roman" w:cs="Times New Roman"/>
          <w:bCs/>
          <w:color w:val="000000" w:themeColor="text1"/>
        </w:rPr>
        <w:t>后巴河</w:t>
      </w:r>
      <w:r w:rsidRPr="008A2411">
        <w:rPr>
          <w:rFonts w:ascii="Times New Roman" w:cs="Times New Roman"/>
          <w:color w:val="000000" w:themeColor="text1"/>
        </w:rPr>
        <w:t>，在与其完全混合后排入下游</w:t>
      </w:r>
      <w:r w:rsidRPr="008A2411">
        <w:rPr>
          <w:rFonts w:ascii="Times New Roman" w:cs="Times New Roman"/>
          <w:color w:val="000000" w:themeColor="text1"/>
        </w:rPr>
        <w:t>5.6km</w:t>
      </w:r>
      <w:r w:rsidRPr="008A2411">
        <w:rPr>
          <w:rFonts w:ascii="Times New Roman" w:cs="Times New Roman"/>
          <w:color w:val="000000" w:themeColor="text1"/>
        </w:rPr>
        <w:t>处的后河。由于</w:t>
      </w:r>
      <w:r w:rsidRPr="008A2411">
        <w:rPr>
          <w:rFonts w:ascii="Times New Roman" w:cs="Times New Roman"/>
          <w:bCs/>
          <w:color w:val="000000" w:themeColor="text1"/>
        </w:rPr>
        <w:t>后巴河</w:t>
      </w:r>
      <w:r w:rsidRPr="008A2411">
        <w:rPr>
          <w:rFonts w:ascii="Times New Roman" w:cs="Times New Roman"/>
          <w:color w:val="000000" w:themeColor="text1"/>
        </w:rPr>
        <w:t>河流较为顺直、水流均匀且事故排污时常约</w:t>
      </w:r>
      <w:r w:rsidRPr="008A2411">
        <w:rPr>
          <w:rFonts w:ascii="Times New Roman" w:cs="Times New Roman"/>
          <w:color w:val="000000" w:themeColor="text1"/>
        </w:rPr>
        <w:t>30min</w:t>
      </w:r>
      <w:r w:rsidRPr="008A2411">
        <w:rPr>
          <w:rFonts w:ascii="Times New Roman" w:cs="Times New Roman"/>
          <w:color w:val="000000" w:themeColor="text1"/>
        </w:rPr>
        <w:t>。因此，根据《环境影响评价技术导则地表水环境》（</w:t>
      </w:r>
      <w:r w:rsidRPr="008A2411">
        <w:rPr>
          <w:rFonts w:ascii="Times New Roman" w:cs="Times New Roman"/>
          <w:color w:val="000000" w:themeColor="text1"/>
        </w:rPr>
        <w:t>HJ2.3-2018</w:t>
      </w:r>
      <w:r w:rsidRPr="008A2411">
        <w:rPr>
          <w:rFonts w:ascii="Times New Roman" w:cs="Times New Roman"/>
          <w:color w:val="000000" w:themeColor="text1"/>
        </w:rPr>
        <w:t>），可采用河流一维解析模式中的对管道泄漏废水进入</w:t>
      </w:r>
      <w:r w:rsidRPr="008A2411">
        <w:rPr>
          <w:rFonts w:ascii="Times New Roman" w:cs="Times New Roman"/>
          <w:bCs/>
          <w:color w:val="000000" w:themeColor="text1"/>
        </w:rPr>
        <w:t>后巴河</w:t>
      </w:r>
      <w:r w:rsidRPr="008A2411">
        <w:rPr>
          <w:rFonts w:ascii="Times New Roman" w:cs="Times New Roman"/>
          <w:color w:val="000000" w:themeColor="text1"/>
        </w:rPr>
        <w:t>的事故状态下，预测分析其对</w:t>
      </w:r>
      <w:r w:rsidRPr="008A2411">
        <w:rPr>
          <w:rFonts w:ascii="Times New Roman" w:cs="Times New Roman"/>
          <w:bCs/>
          <w:color w:val="000000" w:themeColor="text1"/>
        </w:rPr>
        <w:t>后巴</w:t>
      </w:r>
      <w:proofErr w:type="gramStart"/>
      <w:r w:rsidRPr="008A2411">
        <w:rPr>
          <w:rFonts w:ascii="Times New Roman" w:cs="Times New Roman"/>
          <w:bCs/>
          <w:color w:val="000000" w:themeColor="text1"/>
        </w:rPr>
        <w:t>河</w:t>
      </w:r>
      <w:r w:rsidRPr="008A2411">
        <w:rPr>
          <w:rFonts w:ascii="Times New Roman" w:cs="Times New Roman"/>
          <w:color w:val="000000" w:themeColor="text1"/>
        </w:rPr>
        <w:t>造成</w:t>
      </w:r>
      <w:proofErr w:type="gramEnd"/>
      <w:r w:rsidRPr="008A2411">
        <w:rPr>
          <w:rFonts w:ascii="Times New Roman" w:cs="Times New Roman"/>
          <w:color w:val="000000" w:themeColor="text1"/>
        </w:rPr>
        <w:t>的水质影响结果。其主要预测参数如下：</w:t>
      </w:r>
    </w:p>
    <w:p w14:paraId="49B15E3B" w14:textId="77777777" w:rsidR="00B0005F" w:rsidRPr="008A2411" w:rsidRDefault="00000000">
      <w:pPr>
        <w:pStyle w:val="WJ0"/>
        <w:spacing w:line="240" w:lineRule="auto"/>
        <w:rPr>
          <w:rFonts w:ascii="Times New Roman" w:hAnsi="Times New Roman"/>
          <w:color w:val="000000" w:themeColor="text1"/>
        </w:rPr>
      </w:pPr>
      <w:r w:rsidRPr="008A2411">
        <w:rPr>
          <w:rFonts w:ascii="Times New Roman" w:hAnsi="Times New Roman"/>
          <w:color w:val="000000" w:themeColor="text1"/>
        </w:rPr>
        <w:t>表</w:t>
      </w:r>
      <w:r w:rsidRPr="008A2411">
        <w:rPr>
          <w:rFonts w:ascii="Times New Roman" w:hAnsi="Times New Roman"/>
          <w:color w:val="000000" w:themeColor="text1"/>
        </w:rPr>
        <w:t>6.9-1</w:t>
      </w:r>
      <w:r w:rsidRPr="008A2411">
        <w:rPr>
          <w:rFonts w:ascii="Times New Roman" w:hAnsi="Times New Roman"/>
          <w:color w:val="000000" w:themeColor="text1"/>
        </w:rPr>
        <w:t>事故污染物源强</w:t>
      </w:r>
    </w:p>
    <w:tbl>
      <w:tblPr>
        <w:tblStyle w:val="affff9"/>
        <w:tblW w:w="5000" w:type="pct"/>
        <w:tblLayout w:type="fixed"/>
        <w:tblLook w:val="04A0" w:firstRow="1" w:lastRow="0" w:firstColumn="1" w:lastColumn="0" w:noHBand="0" w:noVBand="1"/>
      </w:tblPr>
      <w:tblGrid>
        <w:gridCol w:w="755"/>
        <w:gridCol w:w="1531"/>
        <w:gridCol w:w="1227"/>
        <w:gridCol w:w="1781"/>
        <w:gridCol w:w="1177"/>
        <w:gridCol w:w="1891"/>
      </w:tblGrid>
      <w:tr w:rsidR="008A2411" w:rsidRPr="008A2411" w14:paraId="0B477914" w14:textId="77777777">
        <w:trPr>
          <w:trHeight w:val="340"/>
        </w:trPr>
        <w:tc>
          <w:tcPr>
            <w:tcW w:w="1366" w:type="pct"/>
            <w:gridSpan w:val="2"/>
            <w:tcMar>
              <w:left w:w="28" w:type="dxa"/>
              <w:right w:w="28" w:type="dxa"/>
            </w:tcMar>
            <w:vAlign w:val="center"/>
          </w:tcPr>
          <w:p w14:paraId="3478D4BA" w14:textId="77777777" w:rsidR="00B0005F" w:rsidRPr="008A2411" w:rsidRDefault="00000000" w:rsidP="00284FF9">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后巴河</w:t>
            </w:r>
          </w:p>
        </w:tc>
        <w:tc>
          <w:tcPr>
            <w:tcW w:w="1798" w:type="pct"/>
            <w:gridSpan w:val="2"/>
            <w:tcMar>
              <w:left w:w="28" w:type="dxa"/>
              <w:right w:w="28" w:type="dxa"/>
            </w:tcMar>
            <w:vAlign w:val="center"/>
          </w:tcPr>
          <w:p w14:paraId="1A85AE80" w14:textId="77777777" w:rsidR="00B0005F" w:rsidRPr="008A2411" w:rsidRDefault="00000000" w:rsidP="00284FF9">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废水事故排污情况</w:t>
            </w:r>
          </w:p>
        </w:tc>
        <w:tc>
          <w:tcPr>
            <w:tcW w:w="1835" w:type="pct"/>
            <w:gridSpan w:val="2"/>
            <w:tcMar>
              <w:left w:w="28" w:type="dxa"/>
              <w:right w:w="28" w:type="dxa"/>
            </w:tcMar>
            <w:vAlign w:val="center"/>
          </w:tcPr>
          <w:p w14:paraId="1584308E" w14:textId="77777777" w:rsidR="00B0005F" w:rsidRPr="008A2411" w:rsidRDefault="00000000" w:rsidP="00284FF9">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完全混合后</w:t>
            </w:r>
          </w:p>
        </w:tc>
      </w:tr>
      <w:tr w:rsidR="008A2411" w:rsidRPr="008A2411" w14:paraId="3D493657" w14:textId="77777777">
        <w:trPr>
          <w:trHeight w:val="340"/>
        </w:trPr>
        <w:tc>
          <w:tcPr>
            <w:tcW w:w="451" w:type="pct"/>
            <w:vMerge w:val="restart"/>
            <w:tcMar>
              <w:left w:w="28" w:type="dxa"/>
              <w:right w:w="28" w:type="dxa"/>
            </w:tcMar>
            <w:vAlign w:val="center"/>
          </w:tcPr>
          <w:p w14:paraId="4FFC9E4D" w14:textId="77777777" w:rsidR="00B0005F" w:rsidRPr="008A2411" w:rsidRDefault="00000000" w:rsidP="00284FF9">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lastRenderedPageBreak/>
              <w:t>流量（</w:t>
            </w:r>
            <w:r w:rsidRPr="008A2411">
              <w:rPr>
                <w:rFonts w:ascii="Times New Roman"/>
                <w:color w:val="000000" w:themeColor="text1"/>
                <w:sz w:val="21"/>
                <w:szCs w:val="21"/>
                <w:lang w:bidi="ar"/>
              </w:rPr>
              <w:t>m</w:t>
            </w:r>
            <w:r w:rsidRPr="008A2411">
              <w:rPr>
                <w:rFonts w:ascii="Times New Roman"/>
                <w:color w:val="000000" w:themeColor="text1"/>
                <w:sz w:val="21"/>
                <w:szCs w:val="21"/>
                <w:vertAlign w:val="superscript"/>
                <w:lang w:bidi="ar"/>
              </w:rPr>
              <w:t>3</w:t>
            </w:r>
            <w:r w:rsidRPr="008A2411">
              <w:rPr>
                <w:rFonts w:ascii="Times New Roman"/>
                <w:color w:val="000000" w:themeColor="text1"/>
                <w:sz w:val="21"/>
                <w:szCs w:val="21"/>
                <w:lang w:bidi="ar"/>
              </w:rPr>
              <w:t>/s</w:t>
            </w:r>
            <w:r w:rsidRPr="008A2411">
              <w:rPr>
                <w:rFonts w:ascii="Times New Roman"/>
                <w:color w:val="000000" w:themeColor="text1"/>
                <w:sz w:val="21"/>
                <w:szCs w:val="21"/>
                <w:lang w:bidi="ar"/>
              </w:rPr>
              <w:t>）</w:t>
            </w:r>
          </w:p>
        </w:tc>
        <w:tc>
          <w:tcPr>
            <w:tcW w:w="914" w:type="pct"/>
            <w:tcMar>
              <w:left w:w="28" w:type="dxa"/>
              <w:right w:w="28" w:type="dxa"/>
            </w:tcMar>
            <w:vAlign w:val="center"/>
          </w:tcPr>
          <w:p w14:paraId="2951C5FE" w14:textId="77777777" w:rsidR="00B0005F" w:rsidRPr="008A2411" w:rsidRDefault="00000000" w:rsidP="00284FF9">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本底浓度（</w:t>
            </w:r>
            <w:r w:rsidRPr="008A2411">
              <w:rPr>
                <w:rFonts w:ascii="Times New Roman"/>
                <w:color w:val="000000" w:themeColor="text1"/>
                <w:sz w:val="21"/>
                <w:szCs w:val="21"/>
                <w:lang w:bidi="ar"/>
              </w:rPr>
              <w:t>mg/L</w:t>
            </w:r>
            <w:r w:rsidRPr="008A2411">
              <w:rPr>
                <w:rFonts w:ascii="Times New Roman"/>
                <w:color w:val="000000" w:themeColor="text1"/>
                <w:sz w:val="21"/>
                <w:szCs w:val="21"/>
                <w:lang w:bidi="ar"/>
              </w:rPr>
              <w:t>）</w:t>
            </w:r>
          </w:p>
        </w:tc>
        <w:tc>
          <w:tcPr>
            <w:tcW w:w="733" w:type="pct"/>
            <w:vMerge w:val="restart"/>
            <w:tcMar>
              <w:left w:w="28" w:type="dxa"/>
              <w:right w:w="28" w:type="dxa"/>
            </w:tcMar>
            <w:vAlign w:val="center"/>
          </w:tcPr>
          <w:p w14:paraId="412568D5" w14:textId="77777777" w:rsidR="00B0005F" w:rsidRPr="008A2411" w:rsidRDefault="00000000" w:rsidP="00284FF9">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废水排放量（</w:t>
            </w:r>
            <w:r w:rsidRPr="008A2411">
              <w:rPr>
                <w:rFonts w:ascii="Times New Roman"/>
                <w:color w:val="000000" w:themeColor="text1"/>
                <w:sz w:val="21"/>
                <w:szCs w:val="21"/>
                <w:lang w:bidi="ar"/>
              </w:rPr>
              <w:t>m</w:t>
            </w:r>
            <w:r w:rsidRPr="008A2411">
              <w:rPr>
                <w:rFonts w:ascii="Times New Roman"/>
                <w:color w:val="000000" w:themeColor="text1"/>
                <w:sz w:val="21"/>
                <w:szCs w:val="21"/>
                <w:vertAlign w:val="superscript"/>
                <w:lang w:bidi="ar"/>
              </w:rPr>
              <w:t>3</w:t>
            </w:r>
            <w:r w:rsidRPr="008A2411">
              <w:rPr>
                <w:rFonts w:ascii="Times New Roman"/>
                <w:color w:val="000000" w:themeColor="text1"/>
                <w:sz w:val="21"/>
                <w:szCs w:val="21"/>
                <w:lang w:bidi="ar"/>
              </w:rPr>
              <w:t>/s</w:t>
            </w:r>
            <w:r w:rsidRPr="008A2411">
              <w:rPr>
                <w:rFonts w:ascii="Times New Roman"/>
                <w:color w:val="000000" w:themeColor="text1"/>
                <w:sz w:val="21"/>
                <w:szCs w:val="21"/>
                <w:lang w:bidi="ar"/>
              </w:rPr>
              <w:t>）</w:t>
            </w:r>
          </w:p>
        </w:tc>
        <w:tc>
          <w:tcPr>
            <w:tcW w:w="1064" w:type="pct"/>
            <w:tcMar>
              <w:left w:w="28" w:type="dxa"/>
              <w:right w:w="28" w:type="dxa"/>
            </w:tcMar>
            <w:vAlign w:val="center"/>
          </w:tcPr>
          <w:p w14:paraId="533378C3" w14:textId="77777777" w:rsidR="00B0005F" w:rsidRPr="008A2411" w:rsidRDefault="00000000" w:rsidP="00284FF9">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污染因子</w:t>
            </w:r>
            <w:r w:rsidRPr="008A2411">
              <w:rPr>
                <w:rFonts w:ascii="Times New Roman"/>
                <w:color w:val="000000" w:themeColor="text1"/>
                <w:sz w:val="21"/>
                <w:szCs w:val="21"/>
                <w:lang w:bidi="ar"/>
              </w:rPr>
              <w:t>/</w:t>
            </w:r>
            <w:r w:rsidRPr="008A2411">
              <w:rPr>
                <w:rFonts w:ascii="Times New Roman"/>
                <w:color w:val="000000" w:themeColor="text1"/>
                <w:sz w:val="21"/>
                <w:szCs w:val="21"/>
                <w:lang w:bidi="ar"/>
              </w:rPr>
              <w:t>（</w:t>
            </w:r>
            <w:r w:rsidRPr="008A2411">
              <w:rPr>
                <w:rFonts w:ascii="Times New Roman"/>
                <w:color w:val="000000" w:themeColor="text1"/>
                <w:sz w:val="21"/>
                <w:szCs w:val="21"/>
                <w:lang w:bidi="ar"/>
              </w:rPr>
              <w:t>mg/L</w:t>
            </w:r>
            <w:r w:rsidRPr="008A2411">
              <w:rPr>
                <w:rFonts w:ascii="Times New Roman"/>
                <w:color w:val="000000" w:themeColor="text1"/>
                <w:sz w:val="21"/>
                <w:szCs w:val="21"/>
                <w:lang w:bidi="ar"/>
              </w:rPr>
              <w:t>）</w:t>
            </w:r>
          </w:p>
        </w:tc>
        <w:tc>
          <w:tcPr>
            <w:tcW w:w="704" w:type="pct"/>
            <w:vMerge w:val="restart"/>
            <w:tcMar>
              <w:left w:w="28" w:type="dxa"/>
              <w:right w:w="28" w:type="dxa"/>
            </w:tcMar>
            <w:vAlign w:val="center"/>
          </w:tcPr>
          <w:p w14:paraId="78ACB252" w14:textId="77777777" w:rsidR="00B0005F" w:rsidRPr="008A2411" w:rsidRDefault="00000000" w:rsidP="00284FF9">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污水流量（</w:t>
            </w:r>
            <w:r w:rsidRPr="008A2411">
              <w:rPr>
                <w:rFonts w:ascii="Times New Roman"/>
                <w:color w:val="000000" w:themeColor="text1"/>
                <w:sz w:val="21"/>
                <w:szCs w:val="21"/>
                <w:lang w:bidi="ar"/>
              </w:rPr>
              <w:t>m</w:t>
            </w:r>
            <w:r w:rsidRPr="008A2411">
              <w:rPr>
                <w:rFonts w:ascii="Times New Roman"/>
                <w:color w:val="000000" w:themeColor="text1"/>
                <w:sz w:val="21"/>
                <w:szCs w:val="21"/>
                <w:vertAlign w:val="superscript"/>
                <w:lang w:bidi="ar"/>
              </w:rPr>
              <w:t>3</w:t>
            </w:r>
            <w:r w:rsidRPr="008A2411">
              <w:rPr>
                <w:rFonts w:ascii="Times New Roman"/>
                <w:color w:val="000000" w:themeColor="text1"/>
                <w:sz w:val="21"/>
                <w:szCs w:val="21"/>
                <w:lang w:bidi="ar"/>
              </w:rPr>
              <w:t>/s</w:t>
            </w:r>
            <w:r w:rsidRPr="008A2411">
              <w:rPr>
                <w:rFonts w:ascii="Times New Roman"/>
                <w:color w:val="000000" w:themeColor="text1"/>
                <w:sz w:val="21"/>
                <w:szCs w:val="21"/>
                <w:lang w:bidi="ar"/>
              </w:rPr>
              <w:t>）</w:t>
            </w:r>
          </w:p>
        </w:tc>
        <w:tc>
          <w:tcPr>
            <w:tcW w:w="1131" w:type="pct"/>
            <w:tcMar>
              <w:left w:w="28" w:type="dxa"/>
              <w:right w:w="28" w:type="dxa"/>
            </w:tcMar>
            <w:vAlign w:val="center"/>
          </w:tcPr>
          <w:p w14:paraId="1441D9B2" w14:textId="77777777" w:rsidR="00B0005F" w:rsidRPr="008A2411" w:rsidRDefault="00000000" w:rsidP="00284FF9">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污染因子</w:t>
            </w:r>
            <w:r w:rsidRPr="008A2411">
              <w:rPr>
                <w:rFonts w:ascii="Times New Roman"/>
                <w:color w:val="000000" w:themeColor="text1"/>
                <w:sz w:val="21"/>
                <w:szCs w:val="21"/>
                <w:lang w:bidi="ar"/>
              </w:rPr>
              <w:t>/</w:t>
            </w:r>
            <w:r w:rsidRPr="008A2411">
              <w:rPr>
                <w:rFonts w:ascii="Times New Roman"/>
                <w:color w:val="000000" w:themeColor="text1"/>
                <w:sz w:val="21"/>
                <w:szCs w:val="21"/>
                <w:lang w:bidi="ar"/>
              </w:rPr>
              <w:t>（</w:t>
            </w:r>
            <w:r w:rsidRPr="008A2411">
              <w:rPr>
                <w:rFonts w:ascii="Times New Roman"/>
                <w:color w:val="000000" w:themeColor="text1"/>
                <w:sz w:val="21"/>
                <w:szCs w:val="21"/>
                <w:lang w:bidi="ar"/>
              </w:rPr>
              <w:t>mg/L</w:t>
            </w:r>
            <w:r w:rsidRPr="008A2411">
              <w:rPr>
                <w:rFonts w:ascii="Times New Roman"/>
                <w:color w:val="000000" w:themeColor="text1"/>
                <w:sz w:val="21"/>
                <w:szCs w:val="21"/>
                <w:lang w:bidi="ar"/>
              </w:rPr>
              <w:t>）</w:t>
            </w:r>
          </w:p>
        </w:tc>
      </w:tr>
      <w:tr w:rsidR="008A2411" w:rsidRPr="008A2411" w14:paraId="6D98DE04" w14:textId="77777777">
        <w:trPr>
          <w:trHeight w:val="340"/>
        </w:trPr>
        <w:tc>
          <w:tcPr>
            <w:tcW w:w="451" w:type="pct"/>
            <w:vMerge/>
            <w:tcMar>
              <w:left w:w="28" w:type="dxa"/>
              <w:right w:w="28" w:type="dxa"/>
            </w:tcMar>
            <w:vAlign w:val="center"/>
          </w:tcPr>
          <w:p w14:paraId="3CB675AE" w14:textId="77777777" w:rsidR="00B0005F" w:rsidRPr="008A2411" w:rsidRDefault="00B0005F" w:rsidP="00284FF9">
            <w:pPr>
              <w:widowControl/>
              <w:jc w:val="center"/>
              <w:textAlignment w:val="center"/>
              <w:rPr>
                <w:rFonts w:ascii="Times New Roman"/>
                <w:color w:val="000000" w:themeColor="text1"/>
                <w:sz w:val="21"/>
                <w:szCs w:val="21"/>
                <w:lang w:bidi="ar"/>
              </w:rPr>
            </w:pPr>
          </w:p>
        </w:tc>
        <w:tc>
          <w:tcPr>
            <w:tcW w:w="914" w:type="pct"/>
            <w:tcMar>
              <w:left w:w="28" w:type="dxa"/>
              <w:right w:w="28" w:type="dxa"/>
            </w:tcMar>
            <w:vAlign w:val="center"/>
          </w:tcPr>
          <w:p w14:paraId="3ECD7864" w14:textId="77777777" w:rsidR="00B0005F" w:rsidRPr="008A2411" w:rsidRDefault="00000000" w:rsidP="00284FF9">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COD</w:t>
            </w:r>
          </w:p>
        </w:tc>
        <w:tc>
          <w:tcPr>
            <w:tcW w:w="733" w:type="pct"/>
            <w:vMerge/>
            <w:tcMar>
              <w:left w:w="28" w:type="dxa"/>
              <w:right w:w="28" w:type="dxa"/>
            </w:tcMar>
            <w:vAlign w:val="center"/>
          </w:tcPr>
          <w:p w14:paraId="6B90688C" w14:textId="77777777" w:rsidR="00B0005F" w:rsidRPr="008A2411" w:rsidRDefault="00B0005F" w:rsidP="00284FF9">
            <w:pPr>
              <w:widowControl/>
              <w:jc w:val="center"/>
              <w:textAlignment w:val="center"/>
              <w:rPr>
                <w:rFonts w:ascii="Times New Roman"/>
                <w:color w:val="000000" w:themeColor="text1"/>
                <w:sz w:val="21"/>
                <w:szCs w:val="21"/>
                <w:lang w:bidi="ar"/>
              </w:rPr>
            </w:pPr>
          </w:p>
        </w:tc>
        <w:tc>
          <w:tcPr>
            <w:tcW w:w="1064" w:type="pct"/>
            <w:tcMar>
              <w:left w:w="28" w:type="dxa"/>
              <w:right w:w="28" w:type="dxa"/>
            </w:tcMar>
            <w:vAlign w:val="center"/>
          </w:tcPr>
          <w:p w14:paraId="1E07A2FF" w14:textId="77777777" w:rsidR="00B0005F" w:rsidRPr="008A2411" w:rsidRDefault="00000000" w:rsidP="00284FF9">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COD</w:t>
            </w:r>
          </w:p>
        </w:tc>
        <w:tc>
          <w:tcPr>
            <w:tcW w:w="704" w:type="pct"/>
            <w:vMerge/>
            <w:tcMar>
              <w:left w:w="28" w:type="dxa"/>
              <w:right w:w="28" w:type="dxa"/>
            </w:tcMar>
            <w:vAlign w:val="center"/>
          </w:tcPr>
          <w:p w14:paraId="2604C5EA" w14:textId="77777777" w:rsidR="00B0005F" w:rsidRPr="008A2411" w:rsidRDefault="00B0005F" w:rsidP="00284FF9">
            <w:pPr>
              <w:widowControl/>
              <w:jc w:val="center"/>
              <w:textAlignment w:val="center"/>
              <w:rPr>
                <w:rFonts w:ascii="Times New Roman"/>
                <w:color w:val="000000" w:themeColor="text1"/>
                <w:sz w:val="21"/>
                <w:szCs w:val="21"/>
                <w:lang w:bidi="ar"/>
              </w:rPr>
            </w:pPr>
          </w:p>
        </w:tc>
        <w:tc>
          <w:tcPr>
            <w:tcW w:w="1131" w:type="pct"/>
            <w:tcMar>
              <w:left w:w="28" w:type="dxa"/>
              <w:right w:w="28" w:type="dxa"/>
            </w:tcMar>
            <w:vAlign w:val="center"/>
          </w:tcPr>
          <w:p w14:paraId="20295B1B" w14:textId="77777777" w:rsidR="00B0005F" w:rsidRPr="008A2411" w:rsidRDefault="00000000" w:rsidP="00284FF9">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COD</w:t>
            </w:r>
          </w:p>
        </w:tc>
      </w:tr>
      <w:tr w:rsidR="008A2411" w:rsidRPr="008A2411" w14:paraId="718892F2" w14:textId="77777777">
        <w:trPr>
          <w:trHeight w:val="340"/>
        </w:trPr>
        <w:tc>
          <w:tcPr>
            <w:tcW w:w="451" w:type="pct"/>
            <w:tcMar>
              <w:left w:w="28" w:type="dxa"/>
              <w:right w:w="28" w:type="dxa"/>
            </w:tcMar>
            <w:vAlign w:val="center"/>
          </w:tcPr>
          <w:p w14:paraId="1C8A3D09" w14:textId="77777777" w:rsidR="00B0005F" w:rsidRPr="008A2411" w:rsidRDefault="00000000" w:rsidP="00284FF9">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1</w:t>
            </w:r>
          </w:p>
        </w:tc>
        <w:tc>
          <w:tcPr>
            <w:tcW w:w="914" w:type="pct"/>
            <w:tcMar>
              <w:left w:w="28" w:type="dxa"/>
              <w:right w:w="28" w:type="dxa"/>
            </w:tcMar>
            <w:vAlign w:val="center"/>
          </w:tcPr>
          <w:p w14:paraId="7E54463A" w14:textId="77777777" w:rsidR="00B0005F" w:rsidRPr="008A2411" w:rsidRDefault="00000000" w:rsidP="00284FF9">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19</w:t>
            </w:r>
          </w:p>
        </w:tc>
        <w:tc>
          <w:tcPr>
            <w:tcW w:w="733" w:type="pct"/>
            <w:tcMar>
              <w:left w:w="28" w:type="dxa"/>
              <w:right w:w="28" w:type="dxa"/>
            </w:tcMar>
            <w:vAlign w:val="center"/>
          </w:tcPr>
          <w:p w14:paraId="0217159C" w14:textId="77777777" w:rsidR="00B0005F" w:rsidRPr="008A2411" w:rsidRDefault="00000000" w:rsidP="00284FF9">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0.013</w:t>
            </w:r>
          </w:p>
        </w:tc>
        <w:tc>
          <w:tcPr>
            <w:tcW w:w="1064" w:type="pct"/>
            <w:tcMar>
              <w:left w:w="28" w:type="dxa"/>
              <w:right w:w="28" w:type="dxa"/>
            </w:tcMar>
            <w:vAlign w:val="center"/>
          </w:tcPr>
          <w:p w14:paraId="4AA4C2EF" w14:textId="77777777" w:rsidR="00B0005F" w:rsidRPr="008A2411" w:rsidRDefault="00000000" w:rsidP="00284FF9">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234600</w:t>
            </w:r>
          </w:p>
        </w:tc>
        <w:tc>
          <w:tcPr>
            <w:tcW w:w="704" w:type="pct"/>
            <w:tcMar>
              <w:left w:w="28" w:type="dxa"/>
              <w:right w:w="28" w:type="dxa"/>
            </w:tcMar>
            <w:vAlign w:val="center"/>
          </w:tcPr>
          <w:p w14:paraId="2DD72CAF" w14:textId="77777777" w:rsidR="00B0005F" w:rsidRPr="008A2411" w:rsidRDefault="00000000" w:rsidP="00284FF9">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1.013</w:t>
            </w:r>
          </w:p>
        </w:tc>
        <w:tc>
          <w:tcPr>
            <w:tcW w:w="1131" w:type="pct"/>
            <w:tcMar>
              <w:left w:w="28" w:type="dxa"/>
              <w:right w:w="28" w:type="dxa"/>
            </w:tcMar>
            <w:vAlign w:val="center"/>
          </w:tcPr>
          <w:p w14:paraId="32DA0899" w14:textId="77777777" w:rsidR="00B0005F" w:rsidRPr="008A2411" w:rsidRDefault="00000000" w:rsidP="00284FF9">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234600</w:t>
            </w:r>
          </w:p>
        </w:tc>
      </w:tr>
    </w:tbl>
    <w:p w14:paraId="1F7A450D" w14:textId="77777777" w:rsidR="00B0005F" w:rsidRPr="008A2411" w:rsidRDefault="00000000">
      <w:pPr>
        <w:pStyle w:val="WJ0"/>
        <w:spacing w:line="240" w:lineRule="auto"/>
        <w:rPr>
          <w:rFonts w:ascii="Times New Roman" w:hAnsi="Times New Roman"/>
          <w:color w:val="000000" w:themeColor="text1"/>
        </w:rPr>
      </w:pPr>
      <w:r w:rsidRPr="008A2411">
        <w:rPr>
          <w:rFonts w:ascii="Times New Roman" w:hAnsi="Times New Roman"/>
          <w:color w:val="000000" w:themeColor="text1"/>
        </w:rPr>
        <w:t>表</w:t>
      </w:r>
      <w:r w:rsidRPr="008A2411">
        <w:rPr>
          <w:rFonts w:ascii="Times New Roman" w:hAnsi="Times New Roman"/>
          <w:color w:val="000000" w:themeColor="text1"/>
        </w:rPr>
        <w:t>6.9-2</w:t>
      </w:r>
      <w:r w:rsidRPr="008A2411">
        <w:rPr>
          <w:rFonts w:ascii="Times New Roman" w:hAnsi="Times New Roman"/>
          <w:color w:val="000000" w:themeColor="text1"/>
        </w:rPr>
        <w:t>预测参数表</w:t>
      </w:r>
    </w:p>
    <w:tbl>
      <w:tblPr>
        <w:tblStyle w:val="affff9"/>
        <w:tblW w:w="4997" w:type="pct"/>
        <w:jc w:val="center"/>
        <w:tblLook w:val="04A0" w:firstRow="1" w:lastRow="0" w:firstColumn="1" w:lastColumn="0" w:noHBand="0" w:noVBand="1"/>
      </w:tblPr>
      <w:tblGrid>
        <w:gridCol w:w="585"/>
        <w:gridCol w:w="1723"/>
        <w:gridCol w:w="1213"/>
        <w:gridCol w:w="1715"/>
        <w:gridCol w:w="1253"/>
        <w:gridCol w:w="850"/>
        <w:gridCol w:w="1018"/>
      </w:tblGrid>
      <w:tr w:rsidR="008A2411" w:rsidRPr="008A2411" w14:paraId="4883F1AD" w14:textId="77777777">
        <w:trPr>
          <w:trHeight w:val="286"/>
          <w:jc w:val="center"/>
        </w:trPr>
        <w:tc>
          <w:tcPr>
            <w:tcW w:w="357" w:type="pct"/>
            <w:vMerge w:val="restart"/>
            <w:tcMar>
              <w:left w:w="28" w:type="dxa"/>
              <w:right w:w="28" w:type="dxa"/>
            </w:tcMar>
            <w:vAlign w:val="center"/>
          </w:tcPr>
          <w:p w14:paraId="30B7D65F" w14:textId="77777777" w:rsidR="00B0005F" w:rsidRPr="008A2411" w:rsidRDefault="00000000" w:rsidP="00284FF9">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Q</w:t>
            </w:r>
            <w:r w:rsidRPr="008A2411">
              <w:rPr>
                <w:rFonts w:ascii="Times New Roman"/>
                <w:color w:val="000000" w:themeColor="text1"/>
                <w:sz w:val="21"/>
                <w:szCs w:val="21"/>
                <w:vertAlign w:val="subscript"/>
                <w:lang w:bidi="ar"/>
              </w:rPr>
              <w:t>h</w:t>
            </w:r>
            <w:r w:rsidRPr="008A2411">
              <w:rPr>
                <w:rFonts w:ascii="Times New Roman"/>
                <w:color w:val="000000" w:themeColor="text1"/>
                <w:sz w:val="21"/>
                <w:szCs w:val="21"/>
                <w:lang w:bidi="ar"/>
              </w:rPr>
              <w:t>河水流量</w:t>
            </w:r>
            <w:r w:rsidRPr="008A2411">
              <w:rPr>
                <w:rFonts w:ascii="Times New Roman"/>
                <w:color w:val="000000" w:themeColor="text1"/>
                <w:sz w:val="21"/>
                <w:szCs w:val="21"/>
                <w:lang w:bidi="ar"/>
              </w:rPr>
              <w:t>/m</w:t>
            </w:r>
            <w:r w:rsidRPr="008A2411">
              <w:rPr>
                <w:rFonts w:ascii="Times New Roman"/>
                <w:color w:val="000000" w:themeColor="text1"/>
                <w:sz w:val="21"/>
                <w:szCs w:val="21"/>
                <w:vertAlign w:val="superscript"/>
                <w:lang w:bidi="ar"/>
              </w:rPr>
              <w:t>3</w:t>
            </w:r>
            <w:r w:rsidRPr="008A2411">
              <w:rPr>
                <w:rFonts w:ascii="Times New Roman"/>
                <w:color w:val="000000" w:themeColor="text1"/>
                <w:sz w:val="21"/>
                <w:szCs w:val="21"/>
                <w:lang w:bidi="ar"/>
              </w:rPr>
              <w:t>/s</w:t>
            </w:r>
          </w:p>
        </w:tc>
        <w:tc>
          <w:tcPr>
            <w:tcW w:w="1037" w:type="pct"/>
            <w:tcMar>
              <w:left w:w="28" w:type="dxa"/>
              <w:right w:w="28" w:type="dxa"/>
            </w:tcMar>
            <w:vAlign w:val="center"/>
          </w:tcPr>
          <w:p w14:paraId="17A7BB67" w14:textId="77777777" w:rsidR="00B0005F" w:rsidRPr="008A2411" w:rsidRDefault="00000000" w:rsidP="00284FF9">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C</w:t>
            </w:r>
            <w:r w:rsidRPr="008A2411">
              <w:rPr>
                <w:rFonts w:ascii="Times New Roman"/>
                <w:color w:val="000000" w:themeColor="text1"/>
                <w:sz w:val="21"/>
                <w:szCs w:val="21"/>
                <w:vertAlign w:val="subscript"/>
                <w:lang w:bidi="ar"/>
              </w:rPr>
              <w:t>h</w:t>
            </w:r>
            <w:r w:rsidRPr="008A2411">
              <w:rPr>
                <w:rFonts w:ascii="Times New Roman"/>
                <w:color w:val="000000" w:themeColor="text1"/>
                <w:sz w:val="21"/>
                <w:szCs w:val="21"/>
                <w:lang w:bidi="ar"/>
              </w:rPr>
              <w:t>本底浓度</w:t>
            </w:r>
            <w:r w:rsidRPr="008A2411">
              <w:rPr>
                <w:rFonts w:ascii="Times New Roman"/>
                <w:color w:val="000000" w:themeColor="text1"/>
                <w:sz w:val="21"/>
                <w:szCs w:val="21"/>
                <w:lang w:bidi="ar"/>
              </w:rPr>
              <w:t>/( mg/L)</w:t>
            </w:r>
          </w:p>
        </w:tc>
        <w:tc>
          <w:tcPr>
            <w:tcW w:w="732" w:type="pct"/>
            <w:vMerge w:val="restart"/>
            <w:tcMar>
              <w:left w:w="28" w:type="dxa"/>
              <w:right w:w="28" w:type="dxa"/>
            </w:tcMar>
            <w:vAlign w:val="center"/>
          </w:tcPr>
          <w:p w14:paraId="18CD1D6F" w14:textId="77777777" w:rsidR="00B0005F" w:rsidRPr="008A2411" w:rsidRDefault="00000000" w:rsidP="00284FF9">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Q</w:t>
            </w:r>
            <w:r w:rsidRPr="008A2411">
              <w:rPr>
                <w:rFonts w:ascii="Times New Roman"/>
                <w:color w:val="000000" w:themeColor="text1"/>
                <w:sz w:val="21"/>
                <w:szCs w:val="21"/>
                <w:vertAlign w:val="subscript"/>
                <w:lang w:bidi="ar"/>
              </w:rPr>
              <w:t>p</w:t>
            </w:r>
            <w:r w:rsidRPr="008A2411">
              <w:rPr>
                <w:rFonts w:ascii="Times New Roman"/>
                <w:color w:val="000000" w:themeColor="text1"/>
                <w:sz w:val="21"/>
                <w:szCs w:val="21"/>
                <w:lang w:bidi="ar"/>
              </w:rPr>
              <w:t>污水流量（与后巴</w:t>
            </w:r>
            <w:proofErr w:type="gramStart"/>
            <w:r w:rsidRPr="008A2411">
              <w:rPr>
                <w:rFonts w:ascii="Times New Roman"/>
                <w:color w:val="000000" w:themeColor="text1"/>
                <w:sz w:val="21"/>
                <w:szCs w:val="21"/>
                <w:lang w:bidi="ar"/>
              </w:rPr>
              <w:t>河完全</w:t>
            </w:r>
            <w:proofErr w:type="gramEnd"/>
            <w:r w:rsidRPr="008A2411">
              <w:rPr>
                <w:rFonts w:ascii="Times New Roman"/>
                <w:color w:val="000000" w:themeColor="text1"/>
                <w:sz w:val="21"/>
                <w:szCs w:val="21"/>
                <w:lang w:bidi="ar"/>
              </w:rPr>
              <w:t>混合后）</w:t>
            </w:r>
            <w:r w:rsidRPr="008A2411">
              <w:rPr>
                <w:rFonts w:ascii="Times New Roman"/>
                <w:color w:val="000000" w:themeColor="text1"/>
                <w:sz w:val="21"/>
                <w:szCs w:val="21"/>
                <w:lang w:bidi="ar"/>
              </w:rPr>
              <w:t>/(m</w:t>
            </w:r>
            <w:r w:rsidRPr="008A2411">
              <w:rPr>
                <w:rFonts w:ascii="Times New Roman"/>
                <w:color w:val="000000" w:themeColor="text1"/>
                <w:sz w:val="21"/>
                <w:szCs w:val="21"/>
                <w:vertAlign w:val="superscript"/>
                <w:lang w:bidi="ar"/>
              </w:rPr>
              <w:t>3</w:t>
            </w:r>
            <w:r w:rsidRPr="008A2411">
              <w:rPr>
                <w:rFonts w:ascii="Times New Roman"/>
                <w:color w:val="000000" w:themeColor="text1"/>
                <w:sz w:val="21"/>
                <w:szCs w:val="21"/>
                <w:lang w:bidi="ar"/>
              </w:rPr>
              <w:t>/s)</w:t>
            </w:r>
          </w:p>
        </w:tc>
        <w:tc>
          <w:tcPr>
            <w:tcW w:w="1032" w:type="pct"/>
            <w:tcMar>
              <w:left w:w="28" w:type="dxa"/>
              <w:right w:w="28" w:type="dxa"/>
            </w:tcMar>
            <w:vAlign w:val="center"/>
          </w:tcPr>
          <w:p w14:paraId="0FEEFBF3" w14:textId="77777777" w:rsidR="00B0005F" w:rsidRPr="008A2411" w:rsidRDefault="00000000" w:rsidP="00284FF9">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C</w:t>
            </w:r>
            <w:r w:rsidRPr="008A2411">
              <w:rPr>
                <w:rFonts w:ascii="Times New Roman"/>
                <w:color w:val="000000" w:themeColor="text1"/>
                <w:sz w:val="21"/>
                <w:szCs w:val="21"/>
                <w:vertAlign w:val="subscript"/>
                <w:lang w:bidi="ar"/>
              </w:rPr>
              <w:t>p</w:t>
            </w:r>
            <w:r w:rsidRPr="008A2411">
              <w:rPr>
                <w:rFonts w:ascii="Times New Roman"/>
                <w:color w:val="000000" w:themeColor="text1"/>
                <w:sz w:val="21"/>
                <w:szCs w:val="21"/>
                <w:lang w:bidi="ar"/>
              </w:rPr>
              <w:t>污水浓度（与后巴</w:t>
            </w:r>
            <w:proofErr w:type="gramStart"/>
            <w:r w:rsidRPr="008A2411">
              <w:rPr>
                <w:rFonts w:ascii="Times New Roman"/>
                <w:color w:val="000000" w:themeColor="text1"/>
                <w:sz w:val="21"/>
                <w:szCs w:val="21"/>
                <w:lang w:bidi="ar"/>
              </w:rPr>
              <w:t>河完全</w:t>
            </w:r>
            <w:proofErr w:type="gramEnd"/>
            <w:r w:rsidRPr="008A2411">
              <w:rPr>
                <w:rFonts w:ascii="Times New Roman"/>
                <w:color w:val="000000" w:themeColor="text1"/>
                <w:sz w:val="21"/>
                <w:szCs w:val="21"/>
                <w:lang w:bidi="ar"/>
              </w:rPr>
              <w:t>混合后）</w:t>
            </w:r>
            <w:r w:rsidRPr="008A2411">
              <w:rPr>
                <w:rFonts w:ascii="Times New Roman"/>
                <w:color w:val="000000" w:themeColor="text1"/>
                <w:sz w:val="21"/>
                <w:szCs w:val="21"/>
                <w:lang w:bidi="ar"/>
              </w:rPr>
              <w:t>/</w:t>
            </w:r>
            <w:r w:rsidRPr="008A2411">
              <w:rPr>
                <w:rFonts w:ascii="Times New Roman"/>
                <w:color w:val="000000" w:themeColor="text1"/>
                <w:sz w:val="21"/>
                <w:szCs w:val="21"/>
                <w:lang w:bidi="ar"/>
              </w:rPr>
              <w:t>（</w:t>
            </w:r>
            <w:r w:rsidRPr="008A2411">
              <w:rPr>
                <w:rFonts w:ascii="Times New Roman"/>
                <w:color w:val="000000" w:themeColor="text1"/>
                <w:sz w:val="21"/>
                <w:szCs w:val="21"/>
                <w:lang w:bidi="ar"/>
              </w:rPr>
              <w:t>mg/L</w:t>
            </w:r>
            <w:r w:rsidRPr="008A2411">
              <w:rPr>
                <w:rFonts w:ascii="Times New Roman"/>
                <w:color w:val="000000" w:themeColor="text1"/>
                <w:sz w:val="21"/>
                <w:szCs w:val="21"/>
                <w:lang w:bidi="ar"/>
              </w:rPr>
              <w:t>）</w:t>
            </w:r>
          </w:p>
        </w:tc>
        <w:tc>
          <w:tcPr>
            <w:tcW w:w="756" w:type="pct"/>
            <w:vMerge w:val="restart"/>
            <w:tcMar>
              <w:left w:w="28" w:type="dxa"/>
              <w:right w:w="28" w:type="dxa"/>
            </w:tcMar>
            <w:vAlign w:val="center"/>
          </w:tcPr>
          <w:p w14:paraId="5E445DD6" w14:textId="77777777" w:rsidR="00B0005F" w:rsidRPr="008A2411" w:rsidRDefault="00000000" w:rsidP="00284FF9">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河水流速</w:t>
            </w:r>
            <w:r w:rsidRPr="008A2411">
              <w:rPr>
                <w:rFonts w:ascii="Times New Roman"/>
                <w:color w:val="000000" w:themeColor="text1"/>
                <w:sz w:val="21"/>
                <w:szCs w:val="21"/>
                <w:lang w:bidi="ar"/>
              </w:rPr>
              <w:t>/</w:t>
            </w:r>
            <w:r w:rsidRPr="008A2411">
              <w:rPr>
                <w:rFonts w:ascii="Times New Roman"/>
                <w:color w:val="000000" w:themeColor="text1"/>
                <w:sz w:val="21"/>
                <w:szCs w:val="21"/>
                <w:lang w:bidi="ar"/>
              </w:rPr>
              <w:t>（</w:t>
            </w:r>
            <w:r w:rsidRPr="008A2411">
              <w:rPr>
                <w:rFonts w:ascii="Times New Roman"/>
                <w:color w:val="000000" w:themeColor="text1"/>
                <w:sz w:val="21"/>
                <w:szCs w:val="21"/>
                <w:lang w:bidi="ar"/>
              </w:rPr>
              <w:t>m/s)</w:t>
            </w:r>
          </w:p>
        </w:tc>
        <w:tc>
          <w:tcPr>
            <w:tcW w:w="466" w:type="pct"/>
            <w:vMerge w:val="restart"/>
            <w:tcMar>
              <w:left w:w="28" w:type="dxa"/>
              <w:right w:w="28" w:type="dxa"/>
            </w:tcMar>
            <w:vAlign w:val="center"/>
          </w:tcPr>
          <w:p w14:paraId="7FD0BC4C" w14:textId="77777777" w:rsidR="00B0005F" w:rsidRPr="008A2411" w:rsidRDefault="00000000" w:rsidP="00284FF9">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混合系数</w:t>
            </w:r>
            <w:r w:rsidRPr="008A2411">
              <w:rPr>
                <w:rFonts w:ascii="Times New Roman"/>
                <w:color w:val="000000" w:themeColor="text1"/>
                <w:sz w:val="21"/>
                <w:szCs w:val="21"/>
                <w:lang w:bidi="ar"/>
              </w:rPr>
              <w:t>/</w:t>
            </w:r>
            <w:r w:rsidRPr="008A2411">
              <w:rPr>
                <w:rFonts w:ascii="Times New Roman"/>
                <w:color w:val="000000" w:themeColor="text1"/>
                <w:sz w:val="21"/>
                <w:szCs w:val="21"/>
                <w:lang w:bidi="ar"/>
              </w:rPr>
              <w:t>（</w:t>
            </w:r>
            <w:r w:rsidRPr="008A2411">
              <w:rPr>
                <w:rFonts w:ascii="Times New Roman"/>
                <w:color w:val="000000" w:themeColor="text1"/>
                <w:sz w:val="21"/>
                <w:szCs w:val="21"/>
                <w:lang w:bidi="ar"/>
              </w:rPr>
              <w:t>m</w:t>
            </w:r>
            <w:r w:rsidRPr="008A2411">
              <w:rPr>
                <w:rFonts w:ascii="Times New Roman"/>
                <w:color w:val="000000" w:themeColor="text1"/>
                <w:sz w:val="21"/>
                <w:szCs w:val="21"/>
                <w:vertAlign w:val="superscript"/>
                <w:lang w:bidi="ar"/>
              </w:rPr>
              <w:t>2</w:t>
            </w:r>
            <w:r w:rsidRPr="008A2411">
              <w:rPr>
                <w:rFonts w:ascii="Times New Roman"/>
                <w:color w:val="000000" w:themeColor="text1"/>
                <w:sz w:val="21"/>
                <w:szCs w:val="21"/>
                <w:lang w:bidi="ar"/>
              </w:rPr>
              <w:t>/s</w:t>
            </w:r>
            <w:r w:rsidRPr="008A2411">
              <w:rPr>
                <w:rFonts w:ascii="Times New Roman"/>
                <w:color w:val="000000" w:themeColor="text1"/>
                <w:sz w:val="21"/>
                <w:szCs w:val="21"/>
                <w:lang w:bidi="ar"/>
              </w:rPr>
              <w:t>）</w:t>
            </w:r>
          </w:p>
        </w:tc>
        <w:tc>
          <w:tcPr>
            <w:tcW w:w="616" w:type="pct"/>
            <w:vMerge w:val="restart"/>
            <w:tcMar>
              <w:left w:w="28" w:type="dxa"/>
              <w:right w:w="28" w:type="dxa"/>
            </w:tcMar>
            <w:vAlign w:val="center"/>
          </w:tcPr>
          <w:p w14:paraId="05D49C7C" w14:textId="77777777" w:rsidR="00B0005F" w:rsidRPr="008A2411" w:rsidRDefault="00000000" w:rsidP="00284FF9">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降解系数</w:t>
            </w:r>
            <w:r w:rsidRPr="008A2411">
              <w:rPr>
                <w:rFonts w:ascii="Times New Roman"/>
                <w:color w:val="000000" w:themeColor="text1"/>
                <w:sz w:val="21"/>
                <w:szCs w:val="21"/>
                <w:lang w:bidi="ar"/>
              </w:rPr>
              <w:t>/</w:t>
            </w:r>
            <w:r w:rsidRPr="008A2411">
              <w:rPr>
                <w:rFonts w:ascii="Times New Roman"/>
                <w:color w:val="000000" w:themeColor="text1"/>
                <w:sz w:val="21"/>
                <w:szCs w:val="21"/>
                <w:lang w:bidi="ar"/>
              </w:rPr>
              <w:t>（</w:t>
            </w:r>
            <w:r w:rsidRPr="008A2411">
              <w:rPr>
                <w:rFonts w:ascii="Times New Roman"/>
                <w:color w:val="000000" w:themeColor="text1"/>
                <w:sz w:val="21"/>
                <w:szCs w:val="21"/>
                <w:lang w:bidi="ar"/>
              </w:rPr>
              <w:t>1/d</w:t>
            </w:r>
            <w:r w:rsidRPr="008A2411">
              <w:rPr>
                <w:rFonts w:ascii="Times New Roman"/>
                <w:color w:val="000000" w:themeColor="text1"/>
                <w:sz w:val="21"/>
                <w:szCs w:val="21"/>
                <w:lang w:bidi="ar"/>
              </w:rPr>
              <w:t>）</w:t>
            </w:r>
          </w:p>
        </w:tc>
      </w:tr>
      <w:tr w:rsidR="008A2411" w:rsidRPr="008A2411" w14:paraId="7E248060" w14:textId="77777777">
        <w:trPr>
          <w:trHeight w:val="190"/>
          <w:jc w:val="center"/>
        </w:trPr>
        <w:tc>
          <w:tcPr>
            <w:tcW w:w="357" w:type="pct"/>
            <w:vMerge/>
            <w:tcMar>
              <w:left w:w="28" w:type="dxa"/>
              <w:right w:w="28" w:type="dxa"/>
            </w:tcMar>
            <w:vAlign w:val="center"/>
          </w:tcPr>
          <w:p w14:paraId="08DB4F45" w14:textId="77777777" w:rsidR="00B0005F" w:rsidRPr="008A2411" w:rsidRDefault="00B0005F" w:rsidP="00284FF9">
            <w:pPr>
              <w:widowControl/>
              <w:jc w:val="center"/>
              <w:textAlignment w:val="center"/>
              <w:rPr>
                <w:rFonts w:ascii="Times New Roman"/>
                <w:color w:val="000000" w:themeColor="text1"/>
                <w:sz w:val="21"/>
                <w:szCs w:val="21"/>
                <w:lang w:bidi="ar"/>
              </w:rPr>
            </w:pPr>
          </w:p>
        </w:tc>
        <w:tc>
          <w:tcPr>
            <w:tcW w:w="1037" w:type="pct"/>
            <w:tcMar>
              <w:left w:w="28" w:type="dxa"/>
              <w:right w:w="28" w:type="dxa"/>
            </w:tcMar>
            <w:vAlign w:val="center"/>
          </w:tcPr>
          <w:p w14:paraId="607CC03D" w14:textId="77777777" w:rsidR="00B0005F" w:rsidRPr="008A2411" w:rsidRDefault="00000000" w:rsidP="00284FF9">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COD</w:t>
            </w:r>
          </w:p>
        </w:tc>
        <w:tc>
          <w:tcPr>
            <w:tcW w:w="732" w:type="pct"/>
            <w:vMerge/>
            <w:tcMar>
              <w:left w:w="28" w:type="dxa"/>
              <w:right w:w="28" w:type="dxa"/>
            </w:tcMar>
            <w:vAlign w:val="center"/>
          </w:tcPr>
          <w:p w14:paraId="2CE7CA84" w14:textId="77777777" w:rsidR="00B0005F" w:rsidRPr="008A2411" w:rsidRDefault="00B0005F" w:rsidP="00284FF9">
            <w:pPr>
              <w:widowControl/>
              <w:jc w:val="center"/>
              <w:textAlignment w:val="center"/>
              <w:rPr>
                <w:rFonts w:ascii="Times New Roman"/>
                <w:color w:val="000000" w:themeColor="text1"/>
                <w:sz w:val="21"/>
                <w:szCs w:val="21"/>
                <w:lang w:bidi="ar"/>
              </w:rPr>
            </w:pPr>
          </w:p>
        </w:tc>
        <w:tc>
          <w:tcPr>
            <w:tcW w:w="1032" w:type="pct"/>
            <w:tcMar>
              <w:left w:w="28" w:type="dxa"/>
              <w:right w:w="28" w:type="dxa"/>
            </w:tcMar>
            <w:vAlign w:val="center"/>
          </w:tcPr>
          <w:p w14:paraId="5350E213" w14:textId="77777777" w:rsidR="00B0005F" w:rsidRPr="008A2411" w:rsidRDefault="00000000" w:rsidP="00284FF9">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COD</w:t>
            </w:r>
          </w:p>
        </w:tc>
        <w:tc>
          <w:tcPr>
            <w:tcW w:w="756" w:type="pct"/>
            <w:vMerge/>
            <w:tcMar>
              <w:left w:w="28" w:type="dxa"/>
              <w:right w:w="28" w:type="dxa"/>
            </w:tcMar>
            <w:vAlign w:val="center"/>
          </w:tcPr>
          <w:p w14:paraId="60FDCE9D" w14:textId="77777777" w:rsidR="00B0005F" w:rsidRPr="008A2411" w:rsidRDefault="00B0005F" w:rsidP="00284FF9">
            <w:pPr>
              <w:widowControl/>
              <w:jc w:val="center"/>
              <w:textAlignment w:val="center"/>
              <w:rPr>
                <w:rFonts w:ascii="Times New Roman"/>
                <w:color w:val="000000" w:themeColor="text1"/>
                <w:sz w:val="21"/>
                <w:szCs w:val="21"/>
                <w:lang w:bidi="ar"/>
              </w:rPr>
            </w:pPr>
          </w:p>
        </w:tc>
        <w:tc>
          <w:tcPr>
            <w:tcW w:w="466" w:type="pct"/>
            <w:vMerge/>
            <w:tcMar>
              <w:left w:w="28" w:type="dxa"/>
              <w:right w:w="28" w:type="dxa"/>
            </w:tcMar>
            <w:vAlign w:val="center"/>
          </w:tcPr>
          <w:p w14:paraId="03EC4377" w14:textId="77777777" w:rsidR="00B0005F" w:rsidRPr="008A2411" w:rsidRDefault="00B0005F" w:rsidP="00284FF9">
            <w:pPr>
              <w:widowControl/>
              <w:jc w:val="center"/>
              <w:textAlignment w:val="center"/>
              <w:rPr>
                <w:rFonts w:ascii="Times New Roman"/>
                <w:color w:val="000000" w:themeColor="text1"/>
                <w:sz w:val="21"/>
                <w:szCs w:val="21"/>
                <w:lang w:bidi="ar"/>
              </w:rPr>
            </w:pPr>
          </w:p>
        </w:tc>
        <w:tc>
          <w:tcPr>
            <w:tcW w:w="616" w:type="pct"/>
            <w:vMerge/>
            <w:tcMar>
              <w:left w:w="28" w:type="dxa"/>
              <w:right w:w="28" w:type="dxa"/>
            </w:tcMar>
            <w:vAlign w:val="center"/>
          </w:tcPr>
          <w:p w14:paraId="19E4EB53" w14:textId="77777777" w:rsidR="00B0005F" w:rsidRPr="008A2411" w:rsidRDefault="00B0005F" w:rsidP="00284FF9">
            <w:pPr>
              <w:widowControl/>
              <w:jc w:val="center"/>
              <w:textAlignment w:val="center"/>
              <w:rPr>
                <w:rFonts w:ascii="Times New Roman"/>
                <w:color w:val="000000" w:themeColor="text1"/>
                <w:sz w:val="21"/>
                <w:szCs w:val="21"/>
                <w:lang w:bidi="ar"/>
              </w:rPr>
            </w:pPr>
          </w:p>
        </w:tc>
      </w:tr>
      <w:tr w:rsidR="008A2411" w:rsidRPr="008A2411" w14:paraId="1F4ED5BF" w14:textId="77777777">
        <w:trPr>
          <w:trHeight w:val="490"/>
          <w:jc w:val="center"/>
        </w:trPr>
        <w:tc>
          <w:tcPr>
            <w:tcW w:w="357" w:type="pct"/>
            <w:tcMar>
              <w:left w:w="28" w:type="dxa"/>
              <w:right w:w="28" w:type="dxa"/>
            </w:tcMar>
            <w:vAlign w:val="center"/>
          </w:tcPr>
          <w:p w14:paraId="595DF00A" w14:textId="77777777" w:rsidR="00B0005F" w:rsidRPr="008A2411" w:rsidRDefault="00000000" w:rsidP="00284FF9">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1</w:t>
            </w:r>
          </w:p>
        </w:tc>
        <w:tc>
          <w:tcPr>
            <w:tcW w:w="1037" w:type="pct"/>
            <w:tcMar>
              <w:left w:w="28" w:type="dxa"/>
              <w:right w:w="28" w:type="dxa"/>
            </w:tcMar>
            <w:vAlign w:val="center"/>
          </w:tcPr>
          <w:p w14:paraId="03CE9191" w14:textId="77777777" w:rsidR="00B0005F" w:rsidRPr="008A2411" w:rsidRDefault="00000000" w:rsidP="00284FF9">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19</w:t>
            </w:r>
          </w:p>
        </w:tc>
        <w:tc>
          <w:tcPr>
            <w:tcW w:w="732" w:type="pct"/>
            <w:tcMar>
              <w:left w:w="28" w:type="dxa"/>
              <w:right w:w="28" w:type="dxa"/>
            </w:tcMar>
            <w:vAlign w:val="center"/>
          </w:tcPr>
          <w:p w14:paraId="26B32AAA" w14:textId="77777777" w:rsidR="00B0005F" w:rsidRPr="008A2411" w:rsidRDefault="00000000" w:rsidP="00284FF9">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1.011</w:t>
            </w:r>
          </w:p>
        </w:tc>
        <w:tc>
          <w:tcPr>
            <w:tcW w:w="1032" w:type="pct"/>
            <w:tcMar>
              <w:left w:w="28" w:type="dxa"/>
              <w:right w:w="28" w:type="dxa"/>
            </w:tcMar>
            <w:vAlign w:val="center"/>
          </w:tcPr>
          <w:p w14:paraId="42787E12" w14:textId="77777777" w:rsidR="00B0005F" w:rsidRPr="008A2411" w:rsidRDefault="00000000" w:rsidP="00284FF9">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234600</w:t>
            </w:r>
          </w:p>
        </w:tc>
        <w:tc>
          <w:tcPr>
            <w:tcW w:w="756" w:type="pct"/>
            <w:tcMar>
              <w:left w:w="28" w:type="dxa"/>
              <w:right w:w="28" w:type="dxa"/>
            </w:tcMar>
            <w:vAlign w:val="center"/>
          </w:tcPr>
          <w:p w14:paraId="238948DD" w14:textId="77777777" w:rsidR="00B0005F" w:rsidRPr="008A2411" w:rsidRDefault="00000000" w:rsidP="00284FF9">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0.18</w:t>
            </w:r>
          </w:p>
        </w:tc>
        <w:tc>
          <w:tcPr>
            <w:tcW w:w="466" w:type="pct"/>
            <w:tcMar>
              <w:left w:w="28" w:type="dxa"/>
              <w:right w:w="28" w:type="dxa"/>
            </w:tcMar>
            <w:vAlign w:val="center"/>
          </w:tcPr>
          <w:p w14:paraId="64BD1555" w14:textId="77777777" w:rsidR="00B0005F" w:rsidRPr="008A2411" w:rsidRDefault="00000000" w:rsidP="00284FF9">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5</w:t>
            </w:r>
          </w:p>
        </w:tc>
        <w:tc>
          <w:tcPr>
            <w:tcW w:w="616" w:type="pct"/>
            <w:tcMar>
              <w:left w:w="28" w:type="dxa"/>
              <w:right w:w="28" w:type="dxa"/>
            </w:tcMar>
            <w:vAlign w:val="center"/>
          </w:tcPr>
          <w:p w14:paraId="44E84FEB" w14:textId="77777777" w:rsidR="00B0005F" w:rsidRPr="008A2411" w:rsidRDefault="00000000" w:rsidP="00284FF9">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COD</w:t>
            </w:r>
            <w:r w:rsidRPr="008A2411">
              <w:rPr>
                <w:rFonts w:ascii="Times New Roman"/>
                <w:color w:val="000000" w:themeColor="text1"/>
                <w:sz w:val="21"/>
                <w:szCs w:val="21"/>
                <w:lang w:bidi="ar"/>
              </w:rPr>
              <w:t>（</w:t>
            </w:r>
            <w:r w:rsidRPr="008A2411">
              <w:rPr>
                <w:rFonts w:ascii="Times New Roman"/>
                <w:color w:val="000000" w:themeColor="text1"/>
                <w:sz w:val="21"/>
                <w:szCs w:val="21"/>
                <w:lang w:bidi="ar"/>
              </w:rPr>
              <w:t>0.2</w:t>
            </w:r>
            <w:r w:rsidRPr="008A2411">
              <w:rPr>
                <w:rFonts w:ascii="Times New Roman"/>
                <w:color w:val="000000" w:themeColor="text1"/>
                <w:sz w:val="21"/>
                <w:szCs w:val="21"/>
                <w:lang w:bidi="ar"/>
              </w:rPr>
              <w:t>）；</w:t>
            </w:r>
          </w:p>
        </w:tc>
      </w:tr>
    </w:tbl>
    <w:p w14:paraId="2E6ABF07" w14:textId="77777777" w:rsidR="00B0005F" w:rsidRPr="008A2411" w:rsidRDefault="00000000">
      <w:pPr>
        <w:pStyle w:val="a9"/>
        <w:ind w:right="295"/>
        <w:rPr>
          <w:rFonts w:ascii="Times New Roman" w:eastAsia="黑体"/>
          <w:color w:val="000000" w:themeColor="text1"/>
          <w:kern w:val="0"/>
          <w:szCs w:val="20"/>
        </w:rPr>
      </w:pPr>
      <w:r w:rsidRPr="008A2411">
        <w:rPr>
          <w:rFonts w:ascii="Times New Roman" w:eastAsia="黑体"/>
          <w:color w:val="000000" w:themeColor="text1"/>
          <w:kern w:val="0"/>
          <w:szCs w:val="20"/>
        </w:rPr>
        <w:t>注：后巴河水质中</w:t>
      </w:r>
      <w:r w:rsidRPr="008A2411">
        <w:rPr>
          <w:rFonts w:ascii="Times New Roman" w:eastAsia="黑体"/>
          <w:color w:val="000000" w:themeColor="text1"/>
          <w:kern w:val="0"/>
          <w:szCs w:val="20"/>
        </w:rPr>
        <w:t>COD</w:t>
      </w:r>
      <w:r w:rsidRPr="008A2411">
        <w:rPr>
          <w:rFonts w:ascii="Times New Roman" w:eastAsia="黑体"/>
          <w:color w:val="000000" w:themeColor="text1"/>
          <w:kern w:val="0"/>
          <w:szCs w:val="20"/>
        </w:rPr>
        <w:t>数据来自</w:t>
      </w:r>
      <w:r w:rsidRPr="008A2411">
        <w:rPr>
          <w:rFonts w:ascii="Times New Roman" w:eastAsia="黑体" w:hint="eastAsia"/>
          <w:color w:val="000000" w:themeColor="text1"/>
          <w:kern w:val="0"/>
          <w:szCs w:val="20"/>
        </w:rPr>
        <w:t>“</w:t>
      </w:r>
      <w:r w:rsidRPr="008A2411">
        <w:rPr>
          <w:rFonts w:ascii="Times New Roman" w:eastAsia="黑体"/>
          <w:color w:val="000000" w:themeColor="text1"/>
          <w:kern w:val="0"/>
          <w:szCs w:val="20"/>
        </w:rPr>
        <w:t>四川达州普光经济开发区发展规划环境影响报告书</w:t>
      </w:r>
      <w:r w:rsidRPr="008A2411">
        <w:rPr>
          <w:rFonts w:ascii="Times New Roman" w:eastAsia="黑体" w:hint="eastAsia"/>
          <w:color w:val="000000" w:themeColor="text1"/>
          <w:kern w:val="0"/>
          <w:szCs w:val="20"/>
        </w:rPr>
        <w:t>”</w:t>
      </w:r>
      <w:r w:rsidRPr="008A2411">
        <w:rPr>
          <w:rFonts w:ascii="Times New Roman" w:eastAsia="黑体"/>
          <w:color w:val="000000" w:themeColor="text1"/>
          <w:kern w:val="0"/>
          <w:szCs w:val="20"/>
        </w:rPr>
        <w:t>中的监测数据</w:t>
      </w:r>
    </w:p>
    <w:p w14:paraId="502F43B0" w14:textId="77777777" w:rsidR="00B0005F" w:rsidRPr="008A2411" w:rsidRDefault="00000000">
      <w:pPr>
        <w:pStyle w:val="WJ0"/>
        <w:spacing w:line="360" w:lineRule="auto"/>
        <w:ind w:firstLineChars="200" w:firstLine="480"/>
        <w:jc w:val="both"/>
        <w:rPr>
          <w:rFonts w:ascii="Times New Roman" w:eastAsia="宋体" w:hAnsi="Times New Roman"/>
          <w:color w:val="000000" w:themeColor="text1"/>
          <w:szCs w:val="27"/>
          <w:shd w:val="clear" w:color="auto" w:fill="FFFFFF"/>
        </w:rPr>
      </w:pPr>
      <w:r w:rsidRPr="008A2411">
        <w:rPr>
          <w:rFonts w:ascii="Times New Roman" w:eastAsia="宋体" w:hAnsi="Times New Roman"/>
          <w:color w:val="000000" w:themeColor="text1"/>
          <w:szCs w:val="27"/>
          <w:shd w:val="clear" w:color="auto" w:fill="FFFFFF"/>
        </w:rPr>
        <w:t>预测结果如下表</w:t>
      </w:r>
      <w:r w:rsidRPr="008A2411">
        <w:rPr>
          <w:rFonts w:ascii="Times New Roman" w:eastAsia="宋体" w:hAnsi="Times New Roman"/>
          <w:color w:val="000000" w:themeColor="text1"/>
          <w:szCs w:val="27"/>
          <w:shd w:val="clear" w:color="auto" w:fill="FFFFFF"/>
        </w:rPr>
        <w:t>6.9-3</w:t>
      </w:r>
      <w:r w:rsidRPr="008A2411">
        <w:rPr>
          <w:rFonts w:ascii="Times New Roman" w:eastAsia="宋体" w:hAnsi="Times New Roman"/>
          <w:color w:val="000000" w:themeColor="text1"/>
          <w:szCs w:val="27"/>
          <w:shd w:val="clear" w:color="auto" w:fill="FFFFFF"/>
        </w:rPr>
        <w:t>所示：</w:t>
      </w:r>
    </w:p>
    <w:p w14:paraId="4044901A" w14:textId="77777777" w:rsidR="00B0005F" w:rsidRPr="008A2411" w:rsidRDefault="00000000">
      <w:pPr>
        <w:pStyle w:val="WJ0"/>
        <w:spacing w:line="240" w:lineRule="auto"/>
        <w:rPr>
          <w:rFonts w:ascii="Times New Roman" w:hAnsi="Times New Roman"/>
          <w:color w:val="000000" w:themeColor="text1"/>
        </w:rPr>
      </w:pPr>
      <w:r w:rsidRPr="008A2411">
        <w:rPr>
          <w:rFonts w:ascii="Times New Roman" w:hAnsi="Times New Roman"/>
          <w:color w:val="000000" w:themeColor="text1"/>
        </w:rPr>
        <w:t>表</w:t>
      </w:r>
      <w:r w:rsidRPr="008A2411">
        <w:rPr>
          <w:rFonts w:ascii="Times New Roman" w:hAnsi="Times New Roman"/>
          <w:color w:val="000000" w:themeColor="text1"/>
        </w:rPr>
        <w:t xml:space="preserve">6.9-3  </w:t>
      </w:r>
      <w:r w:rsidRPr="008A2411">
        <w:rPr>
          <w:rFonts w:ascii="Times New Roman" w:hAnsi="Times New Roman"/>
          <w:color w:val="000000" w:themeColor="text1"/>
        </w:rPr>
        <w:t>事故状态下</w:t>
      </w:r>
      <w:r w:rsidRPr="008A2411">
        <w:rPr>
          <w:rFonts w:ascii="Times New Roman" w:hAnsi="Times New Roman" w:hint="eastAsia"/>
          <w:color w:val="000000" w:themeColor="text1"/>
        </w:rPr>
        <w:t>COD</w:t>
      </w:r>
      <w:r w:rsidRPr="008A2411">
        <w:rPr>
          <w:rFonts w:ascii="Times New Roman" w:hAnsi="Times New Roman"/>
          <w:color w:val="000000" w:themeColor="text1"/>
        </w:rPr>
        <w:t>一维基本模式间断排放源计算结果表（</w:t>
      </w:r>
      <w:r w:rsidRPr="008A2411">
        <w:rPr>
          <w:rFonts w:ascii="Times New Roman" w:hAnsi="Times New Roman"/>
          <w:color w:val="000000" w:themeColor="text1"/>
        </w:rPr>
        <w:t>X</w:t>
      </w:r>
      <w:r w:rsidRPr="008A2411">
        <w:rPr>
          <w:rFonts w:ascii="Times New Roman" w:hAnsi="Times New Roman"/>
          <w:color w:val="000000" w:themeColor="text1"/>
        </w:rPr>
        <w:t>：单位</w:t>
      </w:r>
      <w:r w:rsidRPr="008A2411">
        <w:rPr>
          <w:rFonts w:ascii="Times New Roman" w:hAnsi="Times New Roman"/>
          <w:color w:val="000000" w:themeColor="text1"/>
        </w:rPr>
        <w:t>m</w:t>
      </w:r>
      <w:r w:rsidRPr="008A2411">
        <w:rPr>
          <w:rFonts w:ascii="Times New Roman" w:hAnsi="Times New Roman"/>
          <w:color w:val="000000" w:themeColor="text1"/>
        </w:rPr>
        <w:t>；</w:t>
      </w:r>
      <w:r w:rsidRPr="008A2411">
        <w:rPr>
          <w:rFonts w:ascii="Times New Roman" w:hAnsi="Times New Roman"/>
          <w:color w:val="000000" w:themeColor="text1"/>
        </w:rPr>
        <w:t>c/t</w:t>
      </w:r>
      <w:r w:rsidRPr="008A2411">
        <w:rPr>
          <w:rFonts w:ascii="Times New Roman" w:hAnsi="Times New Roman"/>
          <w:color w:val="000000" w:themeColor="text1"/>
        </w:rPr>
        <w:t>单位：</w:t>
      </w:r>
      <w:r w:rsidRPr="008A2411">
        <w:rPr>
          <w:rFonts w:ascii="Times New Roman" w:hAnsi="Times New Roman"/>
          <w:color w:val="000000" w:themeColor="text1"/>
        </w:rPr>
        <w:t>s</w:t>
      </w:r>
      <w:r w:rsidRPr="008A2411">
        <w:rPr>
          <w:rFonts w:ascii="Times New Roman" w:hAnsi="Times New Roman"/>
          <w:color w:val="000000" w:themeColor="text1"/>
        </w:rPr>
        <w:t>）</w:t>
      </w:r>
    </w:p>
    <w:tbl>
      <w:tblPr>
        <w:tblW w:w="5086" w:type="pct"/>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2"/>
        <w:gridCol w:w="427"/>
        <w:gridCol w:w="1004"/>
        <w:gridCol w:w="1003"/>
        <w:gridCol w:w="1003"/>
        <w:gridCol w:w="898"/>
        <w:gridCol w:w="898"/>
        <w:gridCol w:w="898"/>
        <w:gridCol w:w="898"/>
        <w:gridCol w:w="898"/>
      </w:tblGrid>
      <w:tr w:rsidR="008A2411" w:rsidRPr="008A2411" w14:paraId="12B9A62F" w14:textId="77777777">
        <w:trPr>
          <w:trHeight w:val="288"/>
        </w:trPr>
        <w:tc>
          <w:tcPr>
            <w:tcW w:w="504" w:type="pct"/>
            <w:shd w:val="clear" w:color="auto" w:fill="auto"/>
            <w:noWrap/>
            <w:vAlign w:val="center"/>
          </w:tcPr>
          <w:p w14:paraId="21591522"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X\c/t</w:t>
            </w:r>
          </w:p>
        </w:tc>
        <w:tc>
          <w:tcPr>
            <w:tcW w:w="242" w:type="pct"/>
            <w:shd w:val="clear" w:color="auto" w:fill="auto"/>
            <w:noWrap/>
            <w:vAlign w:val="center"/>
          </w:tcPr>
          <w:p w14:paraId="718C6B1A"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0</w:t>
            </w:r>
          </w:p>
        </w:tc>
        <w:tc>
          <w:tcPr>
            <w:tcW w:w="568" w:type="pct"/>
            <w:shd w:val="clear" w:color="auto" w:fill="auto"/>
            <w:noWrap/>
            <w:vAlign w:val="center"/>
          </w:tcPr>
          <w:p w14:paraId="32F5B5AA"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3600</w:t>
            </w:r>
          </w:p>
        </w:tc>
        <w:tc>
          <w:tcPr>
            <w:tcW w:w="568" w:type="pct"/>
            <w:shd w:val="clear" w:color="auto" w:fill="auto"/>
            <w:noWrap/>
            <w:vAlign w:val="center"/>
          </w:tcPr>
          <w:p w14:paraId="1746FFEB"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7200</w:t>
            </w:r>
          </w:p>
        </w:tc>
        <w:tc>
          <w:tcPr>
            <w:tcW w:w="568" w:type="pct"/>
            <w:shd w:val="clear" w:color="auto" w:fill="auto"/>
            <w:noWrap/>
            <w:vAlign w:val="center"/>
          </w:tcPr>
          <w:p w14:paraId="19D4A6F3"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18000</w:t>
            </w:r>
          </w:p>
        </w:tc>
        <w:tc>
          <w:tcPr>
            <w:tcW w:w="509" w:type="pct"/>
            <w:shd w:val="clear" w:color="auto" w:fill="auto"/>
            <w:noWrap/>
            <w:vAlign w:val="center"/>
          </w:tcPr>
          <w:p w14:paraId="0E15842F"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36000</w:t>
            </w:r>
          </w:p>
        </w:tc>
        <w:tc>
          <w:tcPr>
            <w:tcW w:w="509" w:type="pct"/>
            <w:shd w:val="clear" w:color="auto" w:fill="auto"/>
            <w:noWrap/>
            <w:vAlign w:val="center"/>
          </w:tcPr>
          <w:p w14:paraId="6A7CB29F"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50400</w:t>
            </w:r>
          </w:p>
        </w:tc>
        <w:tc>
          <w:tcPr>
            <w:tcW w:w="509" w:type="pct"/>
            <w:shd w:val="clear" w:color="auto" w:fill="auto"/>
            <w:noWrap/>
            <w:vAlign w:val="center"/>
          </w:tcPr>
          <w:p w14:paraId="4CDD7CC4"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54000</w:t>
            </w:r>
          </w:p>
        </w:tc>
        <w:tc>
          <w:tcPr>
            <w:tcW w:w="509" w:type="pct"/>
            <w:shd w:val="clear" w:color="auto" w:fill="auto"/>
            <w:noWrap/>
            <w:vAlign w:val="center"/>
          </w:tcPr>
          <w:p w14:paraId="68084078"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57600</w:t>
            </w:r>
          </w:p>
        </w:tc>
        <w:tc>
          <w:tcPr>
            <w:tcW w:w="509" w:type="pct"/>
            <w:shd w:val="clear" w:color="auto" w:fill="auto"/>
            <w:noWrap/>
            <w:vAlign w:val="center"/>
          </w:tcPr>
          <w:p w14:paraId="1F9E308F"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60000</w:t>
            </w:r>
          </w:p>
        </w:tc>
      </w:tr>
      <w:tr w:rsidR="008A2411" w:rsidRPr="008A2411" w14:paraId="6458943F" w14:textId="77777777">
        <w:trPr>
          <w:trHeight w:val="288"/>
        </w:trPr>
        <w:tc>
          <w:tcPr>
            <w:tcW w:w="504" w:type="pct"/>
            <w:shd w:val="clear" w:color="auto" w:fill="auto"/>
            <w:noWrap/>
            <w:vAlign w:val="center"/>
          </w:tcPr>
          <w:p w14:paraId="77291071"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10</w:t>
            </w:r>
          </w:p>
        </w:tc>
        <w:tc>
          <w:tcPr>
            <w:tcW w:w="242" w:type="pct"/>
            <w:shd w:val="clear" w:color="auto" w:fill="auto"/>
            <w:noWrap/>
            <w:vAlign w:val="center"/>
          </w:tcPr>
          <w:p w14:paraId="7D68C82B"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19</w:t>
            </w:r>
          </w:p>
        </w:tc>
        <w:tc>
          <w:tcPr>
            <w:tcW w:w="568" w:type="pct"/>
            <w:shd w:val="clear" w:color="auto" w:fill="auto"/>
            <w:noWrap/>
            <w:vAlign w:val="center"/>
          </w:tcPr>
          <w:p w14:paraId="37D4030C"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16.9146</w:t>
            </w:r>
          </w:p>
        </w:tc>
        <w:tc>
          <w:tcPr>
            <w:tcW w:w="568" w:type="pct"/>
            <w:shd w:val="clear" w:color="auto" w:fill="auto"/>
            <w:noWrap/>
            <w:vAlign w:val="center"/>
          </w:tcPr>
          <w:p w14:paraId="5B85ACB6"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14.7974</w:t>
            </w:r>
          </w:p>
        </w:tc>
        <w:tc>
          <w:tcPr>
            <w:tcW w:w="568" w:type="pct"/>
            <w:shd w:val="clear" w:color="auto" w:fill="auto"/>
            <w:noWrap/>
            <w:vAlign w:val="center"/>
          </w:tcPr>
          <w:p w14:paraId="323FBBA7"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10.17</w:t>
            </w:r>
          </w:p>
        </w:tc>
        <w:tc>
          <w:tcPr>
            <w:tcW w:w="509" w:type="pct"/>
            <w:shd w:val="clear" w:color="auto" w:fill="auto"/>
            <w:noWrap/>
            <w:vAlign w:val="center"/>
          </w:tcPr>
          <w:p w14:paraId="520EC0F8"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5.4436</w:t>
            </w:r>
          </w:p>
        </w:tc>
        <w:tc>
          <w:tcPr>
            <w:tcW w:w="509" w:type="pct"/>
            <w:shd w:val="clear" w:color="auto" w:fill="auto"/>
            <w:noWrap/>
            <w:vAlign w:val="center"/>
          </w:tcPr>
          <w:p w14:paraId="1B0DD8FD"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3.3017</w:t>
            </w:r>
          </w:p>
        </w:tc>
        <w:tc>
          <w:tcPr>
            <w:tcW w:w="509" w:type="pct"/>
            <w:shd w:val="clear" w:color="auto" w:fill="auto"/>
            <w:noWrap/>
            <w:vAlign w:val="center"/>
          </w:tcPr>
          <w:p w14:paraId="7D4A3527"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2.9137</w:t>
            </w:r>
          </w:p>
        </w:tc>
        <w:tc>
          <w:tcPr>
            <w:tcW w:w="509" w:type="pct"/>
            <w:shd w:val="clear" w:color="auto" w:fill="auto"/>
            <w:noWrap/>
            <w:vAlign w:val="center"/>
          </w:tcPr>
          <w:p w14:paraId="22E611CE"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2.5714</w:t>
            </w:r>
          </w:p>
        </w:tc>
        <w:tc>
          <w:tcPr>
            <w:tcW w:w="509" w:type="pct"/>
            <w:shd w:val="clear" w:color="auto" w:fill="auto"/>
            <w:noWrap/>
            <w:vAlign w:val="center"/>
          </w:tcPr>
          <w:p w14:paraId="6F45D065"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2.3658</w:t>
            </w:r>
          </w:p>
        </w:tc>
      </w:tr>
      <w:tr w:rsidR="008A2411" w:rsidRPr="008A2411" w14:paraId="646F279A" w14:textId="77777777">
        <w:trPr>
          <w:trHeight w:val="288"/>
        </w:trPr>
        <w:tc>
          <w:tcPr>
            <w:tcW w:w="504" w:type="pct"/>
            <w:shd w:val="clear" w:color="auto" w:fill="auto"/>
            <w:noWrap/>
            <w:vAlign w:val="center"/>
          </w:tcPr>
          <w:p w14:paraId="353C21E9"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110</w:t>
            </w:r>
          </w:p>
        </w:tc>
        <w:tc>
          <w:tcPr>
            <w:tcW w:w="242" w:type="pct"/>
            <w:shd w:val="clear" w:color="auto" w:fill="auto"/>
            <w:noWrap/>
            <w:vAlign w:val="center"/>
          </w:tcPr>
          <w:p w14:paraId="5EEDA622"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19</w:t>
            </w:r>
          </w:p>
        </w:tc>
        <w:tc>
          <w:tcPr>
            <w:tcW w:w="568" w:type="pct"/>
            <w:shd w:val="clear" w:color="auto" w:fill="auto"/>
            <w:noWrap/>
            <w:vAlign w:val="center"/>
          </w:tcPr>
          <w:p w14:paraId="5E0B52EC"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24.7762</w:t>
            </w:r>
          </w:p>
        </w:tc>
        <w:tc>
          <w:tcPr>
            <w:tcW w:w="568" w:type="pct"/>
            <w:shd w:val="clear" w:color="auto" w:fill="auto"/>
            <w:noWrap/>
            <w:vAlign w:val="center"/>
          </w:tcPr>
          <w:p w14:paraId="73790923"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14.8061</w:t>
            </w:r>
          </w:p>
        </w:tc>
        <w:tc>
          <w:tcPr>
            <w:tcW w:w="568" w:type="pct"/>
            <w:shd w:val="clear" w:color="auto" w:fill="auto"/>
            <w:noWrap/>
            <w:vAlign w:val="center"/>
          </w:tcPr>
          <w:p w14:paraId="05608904"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10.17</w:t>
            </w:r>
          </w:p>
        </w:tc>
        <w:tc>
          <w:tcPr>
            <w:tcW w:w="509" w:type="pct"/>
            <w:shd w:val="clear" w:color="auto" w:fill="auto"/>
            <w:noWrap/>
            <w:vAlign w:val="center"/>
          </w:tcPr>
          <w:p w14:paraId="63751752"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5.4436</w:t>
            </w:r>
          </w:p>
        </w:tc>
        <w:tc>
          <w:tcPr>
            <w:tcW w:w="509" w:type="pct"/>
            <w:shd w:val="clear" w:color="auto" w:fill="auto"/>
            <w:noWrap/>
            <w:vAlign w:val="center"/>
          </w:tcPr>
          <w:p w14:paraId="1E0C9FD3"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3.3017</w:t>
            </w:r>
          </w:p>
        </w:tc>
        <w:tc>
          <w:tcPr>
            <w:tcW w:w="509" w:type="pct"/>
            <w:shd w:val="clear" w:color="auto" w:fill="auto"/>
            <w:noWrap/>
            <w:vAlign w:val="center"/>
          </w:tcPr>
          <w:p w14:paraId="655C1EDE"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2.9137</w:t>
            </w:r>
          </w:p>
        </w:tc>
        <w:tc>
          <w:tcPr>
            <w:tcW w:w="509" w:type="pct"/>
            <w:shd w:val="clear" w:color="auto" w:fill="auto"/>
            <w:noWrap/>
            <w:vAlign w:val="center"/>
          </w:tcPr>
          <w:p w14:paraId="1A1913DA"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2.5714</w:t>
            </w:r>
          </w:p>
        </w:tc>
        <w:tc>
          <w:tcPr>
            <w:tcW w:w="509" w:type="pct"/>
            <w:shd w:val="clear" w:color="auto" w:fill="auto"/>
            <w:noWrap/>
            <w:vAlign w:val="center"/>
          </w:tcPr>
          <w:p w14:paraId="4F1B4692"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2.3658</w:t>
            </w:r>
          </w:p>
        </w:tc>
      </w:tr>
      <w:tr w:rsidR="008A2411" w:rsidRPr="008A2411" w14:paraId="38C1B87A" w14:textId="77777777">
        <w:trPr>
          <w:trHeight w:val="288"/>
        </w:trPr>
        <w:tc>
          <w:tcPr>
            <w:tcW w:w="504" w:type="pct"/>
            <w:shd w:val="clear" w:color="auto" w:fill="auto"/>
            <w:noWrap/>
            <w:vAlign w:val="center"/>
          </w:tcPr>
          <w:p w14:paraId="174F339D"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210</w:t>
            </w:r>
          </w:p>
        </w:tc>
        <w:tc>
          <w:tcPr>
            <w:tcW w:w="242" w:type="pct"/>
            <w:shd w:val="clear" w:color="auto" w:fill="auto"/>
            <w:noWrap/>
            <w:vAlign w:val="center"/>
          </w:tcPr>
          <w:p w14:paraId="547BBA64"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19</w:t>
            </w:r>
          </w:p>
        </w:tc>
        <w:tc>
          <w:tcPr>
            <w:tcW w:w="568" w:type="pct"/>
            <w:shd w:val="clear" w:color="auto" w:fill="auto"/>
            <w:noWrap/>
            <w:vAlign w:val="center"/>
          </w:tcPr>
          <w:p w14:paraId="29AA7C8D"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70.9775</w:t>
            </w:r>
          </w:p>
        </w:tc>
        <w:tc>
          <w:tcPr>
            <w:tcW w:w="568" w:type="pct"/>
            <w:shd w:val="clear" w:color="auto" w:fill="auto"/>
            <w:noWrap/>
            <w:vAlign w:val="center"/>
          </w:tcPr>
          <w:p w14:paraId="0C78E81F"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14.8354</w:t>
            </w:r>
          </w:p>
        </w:tc>
        <w:tc>
          <w:tcPr>
            <w:tcW w:w="568" w:type="pct"/>
            <w:shd w:val="clear" w:color="auto" w:fill="auto"/>
            <w:noWrap/>
            <w:vAlign w:val="center"/>
          </w:tcPr>
          <w:p w14:paraId="156D97E6"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10.17</w:t>
            </w:r>
          </w:p>
        </w:tc>
        <w:tc>
          <w:tcPr>
            <w:tcW w:w="509" w:type="pct"/>
            <w:shd w:val="clear" w:color="auto" w:fill="auto"/>
            <w:noWrap/>
            <w:vAlign w:val="center"/>
          </w:tcPr>
          <w:p w14:paraId="28691398"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5.4436</w:t>
            </w:r>
          </w:p>
        </w:tc>
        <w:tc>
          <w:tcPr>
            <w:tcW w:w="509" w:type="pct"/>
            <w:shd w:val="clear" w:color="auto" w:fill="auto"/>
            <w:noWrap/>
            <w:vAlign w:val="center"/>
          </w:tcPr>
          <w:p w14:paraId="62217B2B"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3.3017</w:t>
            </w:r>
          </w:p>
        </w:tc>
        <w:tc>
          <w:tcPr>
            <w:tcW w:w="509" w:type="pct"/>
            <w:shd w:val="clear" w:color="auto" w:fill="auto"/>
            <w:noWrap/>
            <w:vAlign w:val="center"/>
          </w:tcPr>
          <w:p w14:paraId="397F0F5E"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2.9137</w:t>
            </w:r>
          </w:p>
        </w:tc>
        <w:tc>
          <w:tcPr>
            <w:tcW w:w="509" w:type="pct"/>
            <w:shd w:val="clear" w:color="auto" w:fill="auto"/>
            <w:noWrap/>
            <w:vAlign w:val="center"/>
          </w:tcPr>
          <w:p w14:paraId="5A7D4E75"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2.5714</w:t>
            </w:r>
          </w:p>
        </w:tc>
        <w:tc>
          <w:tcPr>
            <w:tcW w:w="509" w:type="pct"/>
            <w:shd w:val="clear" w:color="auto" w:fill="auto"/>
            <w:noWrap/>
            <w:vAlign w:val="center"/>
          </w:tcPr>
          <w:p w14:paraId="1437B905"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2.3658</w:t>
            </w:r>
          </w:p>
        </w:tc>
      </w:tr>
      <w:tr w:rsidR="008A2411" w:rsidRPr="008A2411" w14:paraId="1CF63672" w14:textId="77777777">
        <w:trPr>
          <w:trHeight w:val="288"/>
        </w:trPr>
        <w:tc>
          <w:tcPr>
            <w:tcW w:w="504" w:type="pct"/>
            <w:shd w:val="clear" w:color="auto" w:fill="auto"/>
            <w:noWrap/>
            <w:vAlign w:val="center"/>
          </w:tcPr>
          <w:p w14:paraId="7ACEFAFB"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310</w:t>
            </w:r>
          </w:p>
        </w:tc>
        <w:tc>
          <w:tcPr>
            <w:tcW w:w="242" w:type="pct"/>
            <w:shd w:val="clear" w:color="auto" w:fill="auto"/>
            <w:noWrap/>
            <w:vAlign w:val="center"/>
          </w:tcPr>
          <w:p w14:paraId="717F6724"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19</w:t>
            </w:r>
          </w:p>
        </w:tc>
        <w:tc>
          <w:tcPr>
            <w:tcW w:w="568" w:type="pct"/>
            <w:shd w:val="clear" w:color="auto" w:fill="auto"/>
            <w:noWrap/>
            <w:vAlign w:val="center"/>
          </w:tcPr>
          <w:p w14:paraId="3FA4C8F0"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221.6977</w:t>
            </w:r>
          </w:p>
        </w:tc>
        <w:tc>
          <w:tcPr>
            <w:tcW w:w="568" w:type="pct"/>
            <w:shd w:val="clear" w:color="auto" w:fill="auto"/>
            <w:noWrap/>
            <w:vAlign w:val="center"/>
          </w:tcPr>
          <w:p w14:paraId="2FBD7894"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15.7484</w:t>
            </w:r>
          </w:p>
        </w:tc>
        <w:tc>
          <w:tcPr>
            <w:tcW w:w="568" w:type="pct"/>
            <w:shd w:val="clear" w:color="auto" w:fill="auto"/>
            <w:noWrap/>
            <w:vAlign w:val="center"/>
          </w:tcPr>
          <w:p w14:paraId="12C793FE"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10.17</w:t>
            </w:r>
          </w:p>
        </w:tc>
        <w:tc>
          <w:tcPr>
            <w:tcW w:w="509" w:type="pct"/>
            <w:shd w:val="clear" w:color="auto" w:fill="auto"/>
            <w:noWrap/>
            <w:vAlign w:val="center"/>
          </w:tcPr>
          <w:p w14:paraId="0D854308"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5.4436</w:t>
            </w:r>
          </w:p>
        </w:tc>
        <w:tc>
          <w:tcPr>
            <w:tcW w:w="509" w:type="pct"/>
            <w:shd w:val="clear" w:color="auto" w:fill="auto"/>
            <w:noWrap/>
            <w:vAlign w:val="center"/>
          </w:tcPr>
          <w:p w14:paraId="4C692F85"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3.3017</w:t>
            </w:r>
          </w:p>
        </w:tc>
        <w:tc>
          <w:tcPr>
            <w:tcW w:w="509" w:type="pct"/>
            <w:shd w:val="clear" w:color="auto" w:fill="auto"/>
            <w:noWrap/>
            <w:vAlign w:val="center"/>
          </w:tcPr>
          <w:p w14:paraId="7A50E232"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2.9137</w:t>
            </w:r>
          </w:p>
        </w:tc>
        <w:tc>
          <w:tcPr>
            <w:tcW w:w="509" w:type="pct"/>
            <w:shd w:val="clear" w:color="auto" w:fill="auto"/>
            <w:noWrap/>
            <w:vAlign w:val="center"/>
          </w:tcPr>
          <w:p w14:paraId="0C02930D"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2.5714</w:t>
            </w:r>
          </w:p>
        </w:tc>
        <w:tc>
          <w:tcPr>
            <w:tcW w:w="509" w:type="pct"/>
            <w:shd w:val="clear" w:color="auto" w:fill="auto"/>
            <w:noWrap/>
            <w:vAlign w:val="center"/>
          </w:tcPr>
          <w:p w14:paraId="59D00900"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2.3658</w:t>
            </w:r>
          </w:p>
        </w:tc>
      </w:tr>
      <w:tr w:rsidR="008A2411" w:rsidRPr="008A2411" w14:paraId="71899C5D" w14:textId="77777777">
        <w:trPr>
          <w:trHeight w:val="288"/>
        </w:trPr>
        <w:tc>
          <w:tcPr>
            <w:tcW w:w="504" w:type="pct"/>
            <w:shd w:val="clear" w:color="auto" w:fill="auto"/>
            <w:noWrap/>
            <w:vAlign w:val="center"/>
          </w:tcPr>
          <w:p w14:paraId="2C93670B"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410</w:t>
            </w:r>
          </w:p>
        </w:tc>
        <w:tc>
          <w:tcPr>
            <w:tcW w:w="242" w:type="pct"/>
            <w:shd w:val="clear" w:color="auto" w:fill="auto"/>
            <w:noWrap/>
            <w:vAlign w:val="center"/>
          </w:tcPr>
          <w:p w14:paraId="2DE4CA3E"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19</w:t>
            </w:r>
          </w:p>
        </w:tc>
        <w:tc>
          <w:tcPr>
            <w:tcW w:w="568" w:type="pct"/>
            <w:shd w:val="clear" w:color="auto" w:fill="auto"/>
            <w:noWrap/>
            <w:vAlign w:val="center"/>
          </w:tcPr>
          <w:p w14:paraId="3D2F7DAC"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357.7813</w:t>
            </w:r>
          </w:p>
        </w:tc>
        <w:tc>
          <w:tcPr>
            <w:tcW w:w="568" w:type="pct"/>
            <w:shd w:val="clear" w:color="auto" w:fill="auto"/>
            <w:noWrap/>
            <w:vAlign w:val="center"/>
          </w:tcPr>
          <w:p w14:paraId="61F4FE75"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18.3627</w:t>
            </w:r>
          </w:p>
        </w:tc>
        <w:tc>
          <w:tcPr>
            <w:tcW w:w="568" w:type="pct"/>
            <w:shd w:val="clear" w:color="auto" w:fill="auto"/>
            <w:noWrap/>
            <w:vAlign w:val="center"/>
          </w:tcPr>
          <w:p w14:paraId="0ED2B994"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10.17</w:t>
            </w:r>
          </w:p>
        </w:tc>
        <w:tc>
          <w:tcPr>
            <w:tcW w:w="509" w:type="pct"/>
            <w:shd w:val="clear" w:color="auto" w:fill="auto"/>
            <w:noWrap/>
            <w:vAlign w:val="center"/>
          </w:tcPr>
          <w:p w14:paraId="45262BE5"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5.4436</w:t>
            </w:r>
          </w:p>
        </w:tc>
        <w:tc>
          <w:tcPr>
            <w:tcW w:w="509" w:type="pct"/>
            <w:shd w:val="clear" w:color="auto" w:fill="auto"/>
            <w:noWrap/>
            <w:vAlign w:val="center"/>
          </w:tcPr>
          <w:p w14:paraId="646ED4D1"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3.3017</w:t>
            </w:r>
          </w:p>
        </w:tc>
        <w:tc>
          <w:tcPr>
            <w:tcW w:w="509" w:type="pct"/>
            <w:shd w:val="clear" w:color="auto" w:fill="auto"/>
            <w:noWrap/>
            <w:vAlign w:val="center"/>
          </w:tcPr>
          <w:p w14:paraId="0AE753F5"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2.9137</w:t>
            </w:r>
          </w:p>
        </w:tc>
        <w:tc>
          <w:tcPr>
            <w:tcW w:w="509" w:type="pct"/>
            <w:shd w:val="clear" w:color="auto" w:fill="auto"/>
            <w:noWrap/>
            <w:vAlign w:val="center"/>
          </w:tcPr>
          <w:p w14:paraId="678CA569"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2.5714</w:t>
            </w:r>
          </w:p>
        </w:tc>
        <w:tc>
          <w:tcPr>
            <w:tcW w:w="509" w:type="pct"/>
            <w:shd w:val="clear" w:color="auto" w:fill="auto"/>
            <w:noWrap/>
            <w:vAlign w:val="center"/>
          </w:tcPr>
          <w:p w14:paraId="19B28AF5"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2.3658</w:t>
            </w:r>
          </w:p>
        </w:tc>
      </w:tr>
      <w:tr w:rsidR="008A2411" w:rsidRPr="008A2411" w14:paraId="6A5422BE" w14:textId="77777777">
        <w:trPr>
          <w:trHeight w:val="288"/>
        </w:trPr>
        <w:tc>
          <w:tcPr>
            <w:tcW w:w="504" w:type="pct"/>
            <w:shd w:val="clear" w:color="auto" w:fill="auto"/>
            <w:noWrap/>
            <w:vAlign w:val="center"/>
          </w:tcPr>
          <w:p w14:paraId="474080F0"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510</w:t>
            </w:r>
          </w:p>
        </w:tc>
        <w:tc>
          <w:tcPr>
            <w:tcW w:w="242" w:type="pct"/>
            <w:shd w:val="clear" w:color="auto" w:fill="auto"/>
            <w:noWrap/>
            <w:vAlign w:val="center"/>
          </w:tcPr>
          <w:p w14:paraId="109F596C"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19</w:t>
            </w:r>
          </w:p>
        </w:tc>
        <w:tc>
          <w:tcPr>
            <w:tcW w:w="568" w:type="pct"/>
            <w:shd w:val="clear" w:color="auto" w:fill="auto"/>
            <w:noWrap/>
            <w:vAlign w:val="center"/>
          </w:tcPr>
          <w:p w14:paraId="4C363CBB"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898.6968</w:t>
            </w:r>
          </w:p>
        </w:tc>
        <w:tc>
          <w:tcPr>
            <w:tcW w:w="568" w:type="pct"/>
            <w:shd w:val="clear" w:color="auto" w:fill="auto"/>
            <w:noWrap/>
            <w:vAlign w:val="center"/>
          </w:tcPr>
          <w:p w14:paraId="57C4AA20"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26.2538</w:t>
            </w:r>
          </w:p>
        </w:tc>
        <w:tc>
          <w:tcPr>
            <w:tcW w:w="568" w:type="pct"/>
            <w:shd w:val="clear" w:color="auto" w:fill="auto"/>
            <w:noWrap/>
            <w:vAlign w:val="center"/>
          </w:tcPr>
          <w:p w14:paraId="2EBF5F73"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10.17</w:t>
            </w:r>
          </w:p>
        </w:tc>
        <w:tc>
          <w:tcPr>
            <w:tcW w:w="509" w:type="pct"/>
            <w:shd w:val="clear" w:color="auto" w:fill="auto"/>
            <w:noWrap/>
            <w:vAlign w:val="center"/>
          </w:tcPr>
          <w:p w14:paraId="7EBD7FBD"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5.4436</w:t>
            </w:r>
          </w:p>
        </w:tc>
        <w:tc>
          <w:tcPr>
            <w:tcW w:w="509" w:type="pct"/>
            <w:shd w:val="clear" w:color="auto" w:fill="auto"/>
            <w:noWrap/>
            <w:vAlign w:val="center"/>
          </w:tcPr>
          <w:p w14:paraId="46DA6202"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3.3017</w:t>
            </w:r>
          </w:p>
        </w:tc>
        <w:tc>
          <w:tcPr>
            <w:tcW w:w="509" w:type="pct"/>
            <w:shd w:val="clear" w:color="auto" w:fill="auto"/>
            <w:noWrap/>
            <w:vAlign w:val="center"/>
          </w:tcPr>
          <w:p w14:paraId="42EEB361"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2.9137</w:t>
            </w:r>
          </w:p>
        </w:tc>
        <w:tc>
          <w:tcPr>
            <w:tcW w:w="509" w:type="pct"/>
            <w:shd w:val="clear" w:color="auto" w:fill="auto"/>
            <w:noWrap/>
            <w:vAlign w:val="center"/>
          </w:tcPr>
          <w:p w14:paraId="5A64631C"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2.5714</w:t>
            </w:r>
          </w:p>
        </w:tc>
        <w:tc>
          <w:tcPr>
            <w:tcW w:w="509" w:type="pct"/>
            <w:shd w:val="clear" w:color="auto" w:fill="auto"/>
            <w:noWrap/>
            <w:vAlign w:val="center"/>
          </w:tcPr>
          <w:p w14:paraId="583AFEF7"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2.3658</w:t>
            </w:r>
          </w:p>
        </w:tc>
      </w:tr>
      <w:tr w:rsidR="008A2411" w:rsidRPr="008A2411" w14:paraId="0152BC2B" w14:textId="77777777">
        <w:trPr>
          <w:trHeight w:val="288"/>
        </w:trPr>
        <w:tc>
          <w:tcPr>
            <w:tcW w:w="504" w:type="pct"/>
            <w:shd w:val="clear" w:color="auto" w:fill="auto"/>
            <w:noWrap/>
            <w:vAlign w:val="center"/>
          </w:tcPr>
          <w:p w14:paraId="38C5CB22"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610</w:t>
            </w:r>
          </w:p>
        </w:tc>
        <w:tc>
          <w:tcPr>
            <w:tcW w:w="242" w:type="pct"/>
            <w:shd w:val="clear" w:color="auto" w:fill="auto"/>
            <w:noWrap/>
            <w:vAlign w:val="center"/>
          </w:tcPr>
          <w:p w14:paraId="170EB7B6"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19</w:t>
            </w:r>
          </w:p>
        </w:tc>
        <w:tc>
          <w:tcPr>
            <w:tcW w:w="568" w:type="pct"/>
            <w:shd w:val="clear" w:color="auto" w:fill="auto"/>
            <w:noWrap/>
            <w:vAlign w:val="center"/>
          </w:tcPr>
          <w:p w14:paraId="2AAA8B39"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977.4463</w:t>
            </w:r>
          </w:p>
        </w:tc>
        <w:tc>
          <w:tcPr>
            <w:tcW w:w="568" w:type="pct"/>
            <w:shd w:val="clear" w:color="auto" w:fill="auto"/>
            <w:noWrap/>
            <w:vAlign w:val="center"/>
          </w:tcPr>
          <w:p w14:paraId="6BABD5D5"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46.3802</w:t>
            </w:r>
          </w:p>
        </w:tc>
        <w:tc>
          <w:tcPr>
            <w:tcW w:w="568" w:type="pct"/>
            <w:shd w:val="clear" w:color="auto" w:fill="auto"/>
            <w:noWrap/>
            <w:vAlign w:val="center"/>
          </w:tcPr>
          <w:p w14:paraId="3A373B33"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10.17</w:t>
            </w:r>
          </w:p>
        </w:tc>
        <w:tc>
          <w:tcPr>
            <w:tcW w:w="509" w:type="pct"/>
            <w:shd w:val="clear" w:color="auto" w:fill="auto"/>
            <w:noWrap/>
            <w:vAlign w:val="center"/>
          </w:tcPr>
          <w:p w14:paraId="73E6DFE0"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5.4436</w:t>
            </w:r>
          </w:p>
        </w:tc>
        <w:tc>
          <w:tcPr>
            <w:tcW w:w="509" w:type="pct"/>
            <w:shd w:val="clear" w:color="auto" w:fill="auto"/>
            <w:noWrap/>
            <w:vAlign w:val="center"/>
          </w:tcPr>
          <w:p w14:paraId="7B279818"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3.3017</w:t>
            </w:r>
          </w:p>
        </w:tc>
        <w:tc>
          <w:tcPr>
            <w:tcW w:w="509" w:type="pct"/>
            <w:shd w:val="clear" w:color="auto" w:fill="auto"/>
            <w:noWrap/>
            <w:vAlign w:val="center"/>
          </w:tcPr>
          <w:p w14:paraId="3902DD82"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2.9137</w:t>
            </w:r>
          </w:p>
        </w:tc>
        <w:tc>
          <w:tcPr>
            <w:tcW w:w="509" w:type="pct"/>
            <w:shd w:val="clear" w:color="auto" w:fill="auto"/>
            <w:noWrap/>
            <w:vAlign w:val="center"/>
          </w:tcPr>
          <w:p w14:paraId="3DF8A9C1"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2.5714</w:t>
            </w:r>
          </w:p>
        </w:tc>
        <w:tc>
          <w:tcPr>
            <w:tcW w:w="509" w:type="pct"/>
            <w:shd w:val="clear" w:color="auto" w:fill="auto"/>
            <w:noWrap/>
            <w:vAlign w:val="center"/>
          </w:tcPr>
          <w:p w14:paraId="07952FAD"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2.3658</w:t>
            </w:r>
          </w:p>
        </w:tc>
      </w:tr>
      <w:tr w:rsidR="008A2411" w:rsidRPr="008A2411" w14:paraId="1E439CE3" w14:textId="77777777">
        <w:trPr>
          <w:trHeight w:val="288"/>
        </w:trPr>
        <w:tc>
          <w:tcPr>
            <w:tcW w:w="504" w:type="pct"/>
            <w:shd w:val="clear" w:color="auto" w:fill="auto"/>
            <w:noWrap/>
            <w:vAlign w:val="center"/>
          </w:tcPr>
          <w:p w14:paraId="5E097990"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710</w:t>
            </w:r>
          </w:p>
        </w:tc>
        <w:tc>
          <w:tcPr>
            <w:tcW w:w="242" w:type="pct"/>
            <w:shd w:val="clear" w:color="auto" w:fill="auto"/>
            <w:noWrap/>
            <w:vAlign w:val="center"/>
          </w:tcPr>
          <w:p w14:paraId="2C896F25"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19</w:t>
            </w:r>
          </w:p>
        </w:tc>
        <w:tc>
          <w:tcPr>
            <w:tcW w:w="568" w:type="pct"/>
            <w:shd w:val="clear" w:color="auto" w:fill="auto"/>
            <w:noWrap/>
            <w:vAlign w:val="center"/>
          </w:tcPr>
          <w:p w14:paraId="2F79979D"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789.8663</w:t>
            </w:r>
          </w:p>
        </w:tc>
        <w:tc>
          <w:tcPr>
            <w:tcW w:w="568" w:type="pct"/>
            <w:shd w:val="clear" w:color="auto" w:fill="auto"/>
            <w:noWrap/>
            <w:vAlign w:val="center"/>
          </w:tcPr>
          <w:p w14:paraId="66BA2C36"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89.5632</w:t>
            </w:r>
          </w:p>
        </w:tc>
        <w:tc>
          <w:tcPr>
            <w:tcW w:w="568" w:type="pct"/>
            <w:shd w:val="clear" w:color="auto" w:fill="auto"/>
            <w:noWrap/>
            <w:vAlign w:val="center"/>
          </w:tcPr>
          <w:p w14:paraId="0F3F0D14"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10.17</w:t>
            </w:r>
          </w:p>
        </w:tc>
        <w:tc>
          <w:tcPr>
            <w:tcW w:w="509" w:type="pct"/>
            <w:shd w:val="clear" w:color="auto" w:fill="auto"/>
            <w:noWrap/>
            <w:vAlign w:val="center"/>
          </w:tcPr>
          <w:p w14:paraId="00E57C9B"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5.4436</w:t>
            </w:r>
          </w:p>
        </w:tc>
        <w:tc>
          <w:tcPr>
            <w:tcW w:w="509" w:type="pct"/>
            <w:shd w:val="clear" w:color="auto" w:fill="auto"/>
            <w:noWrap/>
            <w:vAlign w:val="center"/>
          </w:tcPr>
          <w:p w14:paraId="7EE9EC98"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3.3017</w:t>
            </w:r>
          </w:p>
        </w:tc>
        <w:tc>
          <w:tcPr>
            <w:tcW w:w="509" w:type="pct"/>
            <w:shd w:val="clear" w:color="auto" w:fill="auto"/>
            <w:noWrap/>
            <w:vAlign w:val="center"/>
          </w:tcPr>
          <w:p w14:paraId="6F267C74"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2.9137</w:t>
            </w:r>
          </w:p>
        </w:tc>
        <w:tc>
          <w:tcPr>
            <w:tcW w:w="509" w:type="pct"/>
            <w:shd w:val="clear" w:color="auto" w:fill="auto"/>
            <w:noWrap/>
            <w:vAlign w:val="center"/>
          </w:tcPr>
          <w:p w14:paraId="32814F79"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2.5714</w:t>
            </w:r>
          </w:p>
        </w:tc>
        <w:tc>
          <w:tcPr>
            <w:tcW w:w="509" w:type="pct"/>
            <w:shd w:val="clear" w:color="auto" w:fill="auto"/>
            <w:noWrap/>
            <w:vAlign w:val="center"/>
          </w:tcPr>
          <w:p w14:paraId="25D2AD00"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2.3658</w:t>
            </w:r>
          </w:p>
        </w:tc>
      </w:tr>
      <w:tr w:rsidR="008A2411" w:rsidRPr="008A2411" w14:paraId="46B7B29B" w14:textId="77777777">
        <w:trPr>
          <w:trHeight w:val="288"/>
        </w:trPr>
        <w:tc>
          <w:tcPr>
            <w:tcW w:w="504" w:type="pct"/>
            <w:shd w:val="clear" w:color="auto" w:fill="auto"/>
            <w:noWrap/>
            <w:vAlign w:val="center"/>
          </w:tcPr>
          <w:p w14:paraId="22E679AC"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810</w:t>
            </w:r>
          </w:p>
        </w:tc>
        <w:tc>
          <w:tcPr>
            <w:tcW w:w="242" w:type="pct"/>
            <w:shd w:val="clear" w:color="auto" w:fill="auto"/>
            <w:noWrap/>
            <w:vAlign w:val="center"/>
          </w:tcPr>
          <w:p w14:paraId="7ED680B7"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19</w:t>
            </w:r>
          </w:p>
        </w:tc>
        <w:tc>
          <w:tcPr>
            <w:tcW w:w="568" w:type="pct"/>
            <w:shd w:val="clear" w:color="auto" w:fill="auto"/>
            <w:noWrap/>
            <w:vAlign w:val="center"/>
          </w:tcPr>
          <w:p w14:paraId="0614E665"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482.3795</w:t>
            </w:r>
          </w:p>
        </w:tc>
        <w:tc>
          <w:tcPr>
            <w:tcW w:w="568" w:type="pct"/>
            <w:shd w:val="clear" w:color="auto" w:fill="auto"/>
            <w:noWrap/>
            <w:vAlign w:val="center"/>
          </w:tcPr>
          <w:p w14:paraId="6AD7522F"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166.9274</w:t>
            </w:r>
          </w:p>
        </w:tc>
        <w:tc>
          <w:tcPr>
            <w:tcW w:w="568" w:type="pct"/>
            <w:shd w:val="clear" w:color="auto" w:fill="auto"/>
            <w:noWrap/>
            <w:vAlign w:val="center"/>
          </w:tcPr>
          <w:p w14:paraId="6178B654"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10.17</w:t>
            </w:r>
          </w:p>
        </w:tc>
        <w:tc>
          <w:tcPr>
            <w:tcW w:w="509" w:type="pct"/>
            <w:shd w:val="clear" w:color="auto" w:fill="auto"/>
            <w:noWrap/>
            <w:vAlign w:val="center"/>
          </w:tcPr>
          <w:p w14:paraId="6EF7AC06"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5.4436</w:t>
            </w:r>
          </w:p>
        </w:tc>
        <w:tc>
          <w:tcPr>
            <w:tcW w:w="509" w:type="pct"/>
            <w:shd w:val="clear" w:color="auto" w:fill="auto"/>
            <w:noWrap/>
            <w:vAlign w:val="center"/>
          </w:tcPr>
          <w:p w14:paraId="2E8F5785"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3.3017</w:t>
            </w:r>
          </w:p>
        </w:tc>
        <w:tc>
          <w:tcPr>
            <w:tcW w:w="509" w:type="pct"/>
            <w:shd w:val="clear" w:color="auto" w:fill="auto"/>
            <w:noWrap/>
            <w:vAlign w:val="center"/>
          </w:tcPr>
          <w:p w14:paraId="4C1D4E2D"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2.9137</w:t>
            </w:r>
          </w:p>
        </w:tc>
        <w:tc>
          <w:tcPr>
            <w:tcW w:w="509" w:type="pct"/>
            <w:shd w:val="clear" w:color="auto" w:fill="auto"/>
            <w:noWrap/>
            <w:vAlign w:val="center"/>
          </w:tcPr>
          <w:p w14:paraId="1B4CEB6B"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2.5714</w:t>
            </w:r>
          </w:p>
        </w:tc>
        <w:tc>
          <w:tcPr>
            <w:tcW w:w="509" w:type="pct"/>
            <w:shd w:val="clear" w:color="auto" w:fill="auto"/>
            <w:noWrap/>
            <w:vAlign w:val="center"/>
          </w:tcPr>
          <w:p w14:paraId="70F01DE4"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2.3658</w:t>
            </w:r>
          </w:p>
        </w:tc>
      </w:tr>
      <w:tr w:rsidR="008A2411" w:rsidRPr="008A2411" w14:paraId="5842277A" w14:textId="77777777">
        <w:trPr>
          <w:trHeight w:val="288"/>
        </w:trPr>
        <w:tc>
          <w:tcPr>
            <w:tcW w:w="504" w:type="pct"/>
            <w:shd w:val="clear" w:color="auto" w:fill="auto"/>
            <w:noWrap/>
            <w:vAlign w:val="center"/>
          </w:tcPr>
          <w:p w14:paraId="104BCB0A"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910</w:t>
            </w:r>
          </w:p>
        </w:tc>
        <w:tc>
          <w:tcPr>
            <w:tcW w:w="242" w:type="pct"/>
            <w:shd w:val="clear" w:color="auto" w:fill="auto"/>
            <w:noWrap/>
            <w:vAlign w:val="center"/>
          </w:tcPr>
          <w:p w14:paraId="46B8F33B"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19</w:t>
            </w:r>
          </w:p>
        </w:tc>
        <w:tc>
          <w:tcPr>
            <w:tcW w:w="568" w:type="pct"/>
            <w:shd w:val="clear" w:color="auto" w:fill="auto"/>
            <w:noWrap/>
            <w:vAlign w:val="center"/>
          </w:tcPr>
          <w:p w14:paraId="40580BE7"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229.1204</w:t>
            </w:r>
          </w:p>
        </w:tc>
        <w:tc>
          <w:tcPr>
            <w:tcW w:w="568" w:type="pct"/>
            <w:shd w:val="clear" w:color="auto" w:fill="auto"/>
            <w:noWrap/>
            <w:vAlign w:val="center"/>
          </w:tcPr>
          <w:p w14:paraId="0CCD8539"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281.1234</w:t>
            </w:r>
          </w:p>
        </w:tc>
        <w:tc>
          <w:tcPr>
            <w:tcW w:w="568" w:type="pct"/>
            <w:shd w:val="clear" w:color="auto" w:fill="auto"/>
            <w:noWrap/>
            <w:vAlign w:val="center"/>
          </w:tcPr>
          <w:p w14:paraId="437C8930"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10.1701</w:t>
            </w:r>
          </w:p>
        </w:tc>
        <w:tc>
          <w:tcPr>
            <w:tcW w:w="509" w:type="pct"/>
            <w:shd w:val="clear" w:color="auto" w:fill="auto"/>
            <w:noWrap/>
            <w:vAlign w:val="center"/>
          </w:tcPr>
          <w:p w14:paraId="1BA7DA18"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5.4436</w:t>
            </w:r>
          </w:p>
        </w:tc>
        <w:tc>
          <w:tcPr>
            <w:tcW w:w="509" w:type="pct"/>
            <w:shd w:val="clear" w:color="auto" w:fill="auto"/>
            <w:noWrap/>
            <w:vAlign w:val="center"/>
          </w:tcPr>
          <w:p w14:paraId="11669487"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3.3017</w:t>
            </w:r>
          </w:p>
        </w:tc>
        <w:tc>
          <w:tcPr>
            <w:tcW w:w="509" w:type="pct"/>
            <w:shd w:val="clear" w:color="auto" w:fill="auto"/>
            <w:noWrap/>
            <w:vAlign w:val="center"/>
          </w:tcPr>
          <w:p w14:paraId="275CAF4C"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2.9137</w:t>
            </w:r>
          </w:p>
        </w:tc>
        <w:tc>
          <w:tcPr>
            <w:tcW w:w="509" w:type="pct"/>
            <w:shd w:val="clear" w:color="auto" w:fill="auto"/>
            <w:noWrap/>
            <w:vAlign w:val="center"/>
          </w:tcPr>
          <w:p w14:paraId="29BDCF8D"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2.5714</w:t>
            </w:r>
          </w:p>
        </w:tc>
        <w:tc>
          <w:tcPr>
            <w:tcW w:w="509" w:type="pct"/>
            <w:shd w:val="clear" w:color="auto" w:fill="auto"/>
            <w:noWrap/>
            <w:vAlign w:val="center"/>
          </w:tcPr>
          <w:p w14:paraId="71D01F00"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2.3658</w:t>
            </w:r>
          </w:p>
        </w:tc>
      </w:tr>
      <w:tr w:rsidR="008A2411" w:rsidRPr="008A2411" w14:paraId="3EC07232" w14:textId="77777777">
        <w:trPr>
          <w:trHeight w:val="288"/>
        </w:trPr>
        <w:tc>
          <w:tcPr>
            <w:tcW w:w="504" w:type="pct"/>
            <w:shd w:val="clear" w:color="auto" w:fill="auto"/>
            <w:noWrap/>
            <w:vAlign w:val="center"/>
          </w:tcPr>
          <w:p w14:paraId="7CF1637C"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1010</w:t>
            </w:r>
          </w:p>
        </w:tc>
        <w:tc>
          <w:tcPr>
            <w:tcW w:w="242" w:type="pct"/>
            <w:shd w:val="clear" w:color="auto" w:fill="auto"/>
            <w:noWrap/>
            <w:vAlign w:val="center"/>
          </w:tcPr>
          <w:p w14:paraId="53828907"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19</w:t>
            </w:r>
          </w:p>
        </w:tc>
        <w:tc>
          <w:tcPr>
            <w:tcW w:w="568" w:type="pct"/>
            <w:shd w:val="clear" w:color="auto" w:fill="auto"/>
            <w:noWrap/>
            <w:vAlign w:val="center"/>
          </w:tcPr>
          <w:p w14:paraId="51CFAA7B"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90.7774</w:t>
            </w:r>
          </w:p>
        </w:tc>
        <w:tc>
          <w:tcPr>
            <w:tcW w:w="568" w:type="pct"/>
            <w:shd w:val="clear" w:color="auto" w:fill="auto"/>
            <w:noWrap/>
            <w:vAlign w:val="center"/>
          </w:tcPr>
          <w:p w14:paraId="26CC21D4"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416.37</w:t>
            </w:r>
          </w:p>
        </w:tc>
        <w:tc>
          <w:tcPr>
            <w:tcW w:w="568" w:type="pct"/>
            <w:shd w:val="clear" w:color="auto" w:fill="auto"/>
            <w:noWrap/>
            <w:vAlign w:val="center"/>
          </w:tcPr>
          <w:p w14:paraId="003A8023"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10.1703</w:t>
            </w:r>
          </w:p>
        </w:tc>
        <w:tc>
          <w:tcPr>
            <w:tcW w:w="509" w:type="pct"/>
            <w:shd w:val="clear" w:color="auto" w:fill="auto"/>
            <w:noWrap/>
            <w:vAlign w:val="center"/>
          </w:tcPr>
          <w:p w14:paraId="5F526214"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5.4436</w:t>
            </w:r>
          </w:p>
        </w:tc>
        <w:tc>
          <w:tcPr>
            <w:tcW w:w="509" w:type="pct"/>
            <w:shd w:val="clear" w:color="auto" w:fill="auto"/>
            <w:noWrap/>
            <w:vAlign w:val="center"/>
          </w:tcPr>
          <w:p w14:paraId="76898F47"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3.3017</w:t>
            </w:r>
          </w:p>
        </w:tc>
        <w:tc>
          <w:tcPr>
            <w:tcW w:w="509" w:type="pct"/>
            <w:shd w:val="clear" w:color="auto" w:fill="auto"/>
            <w:noWrap/>
            <w:vAlign w:val="center"/>
          </w:tcPr>
          <w:p w14:paraId="164A823E"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2.9137</w:t>
            </w:r>
          </w:p>
        </w:tc>
        <w:tc>
          <w:tcPr>
            <w:tcW w:w="509" w:type="pct"/>
            <w:shd w:val="clear" w:color="auto" w:fill="auto"/>
            <w:noWrap/>
            <w:vAlign w:val="center"/>
          </w:tcPr>
          <w:p w14:paraId="43734A48"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2.5714</w:t>
            </w:r>
          </w:p>
        </w:tc>
        <w:tc>
          <w:tcPr>
            <w:tcW w:w="509" w:type="pct"/>
            <w:shd w:val="clear" w:color="auto" w:fill="auto"/>
            <w:noWrap/>
            <w:vAlign w:val="center"/>
          </w:tcPr>
          <w:p w14:paraId="38F58A1E"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2.3658</w:t>
            </w:r>
          </w:p>
        </w:tc>
      </w:tr>
      <w:tr w:rsidR="008A2411" w:rsidRPr="008A2411" w14:paraId="2C02779B" w14:textId="77777777">
        <w:trPr>
          <w:trHeight w:val="288"/>
        </w:trPr>
        <w:tc>
          <w:tcPr>
            <w:tcW w:w="504" w:type="pct"/>
            <w:shd w:val="clear" w:color="auto" w:fill="auto"/>
            <w:noWrap/>
            <w:vAlign w:val="center"/>
          </w:tcPr>
          <w:p w14:paraId="77E9C512"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1110</w:t>
            </w:r>
          </w:p>
        </w:tc>
        <w:tc>
          <w:tcPr>
            <w:tcW w:w="242" w:type="pct"/>
            <w:shd w:val="clear" w:color="auto" w:fill="auto"/>
            <w:noWrap/>
            <w:vAlign w:val="center"/>
          </w:tcPr>
          <w:p w14:paraId="5E3A4CBB"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19</w:t>
            </w:r>
          </w:p>
        </w:tc>
        <w:tc>
          <w:tcPr>
            <w:tcW w:w="568" w:type="pct"/>
            <w:shd w:val="clear" w:color="auto" w:fill="auto"/>
            <w:noWrap/>
            <w:vAlign w:val="center"/>
          </w:tcPr>
          <w:p w14:paraId="7D9E923F"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36.5889</w:t>
            </w:r>
          </w:p>
        </w:tc>
        <w:tc>
          <w:tcPr>
            <w:tcW w:w="568" w:type="pct"/>
            <w:shd w:val="clear" w:color="auto" w:fill="auto"/>
            <w:noWrap/>
            <w:vAlign w:val="center"/>
          </w:tcPr>
          <w:p w14:paraId="475D85CE"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536.9048</w:t>
            </w:r>
          </w:p>
        </w:tc>
        <w:tc>
          <w:tcPr>
            <w:tcW w:w="568" w:type="pct"/>
            <w:shd w:val="clear" w:color="auto" w:fill="auto"/>
            <w:noWrap/>
            <w:vAlign w:val="center"/>
          </w:tcPr>
          <w:p w14:paraId="69E300AE"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10.1711</w:t>
            </w:r>
          </w:p>
        </w:tc>
        <w:tc>
          <w:tcPr>
            <w:tcW w:w="509" w:type="pct"/>
            <w:shd w:val="clear" w:color="auto" w:fill="auto"/>
            <w:noWrap/>
            <w:vAlign w:val="center"/>
          </w:tcPr>
          <w:p w14:paraId="449E130A"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5.4436</w:t>
            </w:r>
          </w:p>
        </w:tc>
        <w:tc>
          <w:tcPr>
            <w:tcW w:w="509" w:type="pct"/>
            <w:shd w:val="clear" w:color="auto" w:fill="auto"/>
            <w:noWrap/>
            <w:vAlign w:val="center"/>
          </w:tcPr>
          <w:p w14:paraId="7F4D3BD3"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3.3017</w:t>
            </w:r>
          </w:p>
        </w:tc>
        <w:tc>
          <w:tcPr>
            <w:tcW w:w="509" w:type="pct"/>
            <w:shd w:val="clear" w:color="auto" w:fill="auto"/>
            <w:noWrap/>
            <w:vAlign w:val="center"/>
          </w:tcPr>
          <w:p w14:paraId="50FCFBA5"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2.9137</w:t>
            </w:r>
          </w:p>
        </w:tc>
        <w:tc>
          <w:tcPr>
            <w:tcW w:w="509" w:type="pct"/>
            <w:shd w:val="clear" w:color="auto" w:fill="auto"/>
            <w:noWrap/>
            <w:vAlign w:val="center"/>
          </w:tcPr>
          <w:p w14:paraId="144EDBA9"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2.5714</w:t>
            </w:r>
          </w:p>
        </w:tc>
        <w:tc>
          <w:tcPr>
            <w:tcW w:w="509" w:type="pct"/>
            <w:shd w:val="clear" w:color="auto" w:fill="auto"/>
            <w:noWrap/>
            <w:vAlign w:val="center"/>
          </w:tcPr>
          <w:p w14:paraId="304D9965"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2.3658</w:t>
            </w:r>
          </w:p>
        </w:tc>
      </w:tr>
      <w:tr w:rsidR="008A2411" w:rsidRPr="008A2411" w14:paraId="24149EF4" w14:textId="77777777">
        <w:trPr>
          <w:trHeight w:val="288"/>
        </w:trPr>
        <w:tc>
          <w:tcPr>
            <w:tcW w:w="504" w:type="pct"/>
            <w:shd w:val="clear" w:color="auto" w:fill="auto"/>
            <w:noWrap/>
            <w:vAlign w:val="center"/>
          </w:tcPr>
          <w:p w14:paraId="75B34CD2"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1210</w:t>
            </w:r>
          </w:p>
        </w:tc>
        <w:tc>
          <w:tcPr>
            <w:tcW w:w="242" w:type="pct"/>
            <w:shd w:val="clear" w:color="auto" w:fill="auto"/>
            <w:noWrap/>
            <w:vAlign w:val="center"/>
          </w:tcPr>
          <w:p w14:paraId="7A971A7B"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19</w:t>
            </w:r>
          </w:p>
        </w:tc>
        <w:tc>
          <w:tcPr>
            <w:tcW w:w="568" w:type="pct"/>
            <w:shd w:val="clear" w:color="auto" w:fill="auto"/>
            <w:noWrap/>
            <w:vAlign w:val="center"/>
          </w:tcPr>
          <w:p w14:paraId="11DFED2D"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20.8556</w:t>
            </w:r>
          </w:p>
        </w:tc>
        <w:tc>
          <w:tcPr>
            <w:tcW w:w="568" w:type="pct"/>
            <w:shd w:val="clear" w:color="auto" w:fill="auto"/>
            <w:noWrap/>
            <w:vAlign w:val="center"/>
          </w:tcPr>
          <w:p w14:paraId="569AA100"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600.8361</w:t>
            </w:r>
          </w:p>
        </w:tc>
        <w:tc>
          <w:tcPr>
            <w:tcW w:w="568" w:type="pct"/>
            <w:shd w:val="clear" w:color="auto" w:fill="auto"/>
            <w:noWrap/>
            <w:vAlign w:val="center"/>
          </w:tcPr>
          <w:p w14:paraId="051F6C0C"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10.1737</w:t>
            </w:r>
          </w:p>
        </w:tc>
        <w:tc>
          <w:tcPr>
            <w:tcW w:w="509" w:type="pct"/>
            <w:shd w:val="clear" w:color="auto" w:fill="auto"/>
            <w:noWrap/>
            <w:vAlign w:val="center"/>
          </w:tcPr>
          <w:p w14:paraId="2180C32E"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5.4436</w:t>
            </w:r>
          </w:p>
        </w:tc>
        <w:tc>
          <w:tcPr>
            <w:tcW w:w="509" w:type="pct"/>
            <w:shd w:val="clear" w:color="auto" w:fill="auto"/>
            <w:noWrap/>
            <w:vAlign w:val="center"/>
          </w:tcPr>
          <w:p w14:paraId="63CC85BD"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3.3017</w:t>
            </w:r>
          </w:p>
        </w:tc>
        <w:tc>
          <w:tcPr>
            <w:tcW w:w="509" w:type="pct"/>
            <w:shd w:val="clear" w:color="auto" w:fill="auto"/>
            <w:noWrap/>
            <w:vAlign w:val="center"/>
          </w:tcPr>
          <w:p w14:paraId="38338F2F"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2.9137</w:t>
            </w:r>
          </w:p>
        </w:tc>
        <w:tc>
          <w:tcPr>
            <w:tcW w:w="509" w:type="pct"/>
            <w:shd w:val="clear" w:color="auto" w:fill="auto"/>
            <w:noWrap/>
            <w:vAlign w:val="center"/>
          </w:tcPr>
          <w:p w14:paraId="2D08CAA7"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2.5714</w:t>
            </w:r>
          </w:p>
        </w:tc>
        <w:tc>
          <w:tcPr>
            <w:tcW w:w="509" w:type="pct"/>
            <w:shd w:val="clear" w:color="auto" w:fill="auto"/>
            <w:noWrap/>
            <w:vAlign w:val="center"/>
          </w:tcPr>
          <w:p w14:paraId="45533492"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2.3658</w:t>
            </w:r>
          </w:p>
        </w:tc>
      </w:tr>
      <w:tr w:rsidR="008A2411" w:rsidRPr="008A2411" w14:paraId="6FA1FE2F" w14:textId="77777777">
        <w:trPr>
          <w:trHeight w:val="288"/>
        </w:trPr>
        <w:tc>
          <w:tcPr>
            <w:tcW w:w="504" w:type="pct"/>
            <w:shd w:val="clear" w:color="auto" w:fill="auto"/>
            <w:noWrap/>
            <w:vAlign w:val="center"/>
          </w:tcPr>
          <w:p w14:paraId="4622CF48"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1310</w:t>
            </w:r>
          </w:p>
        </w:tc>
        <w:tc>
          <w:tcPr>
            <w:tcW w:w="242" w:type="pct"/>
            <w:shd w:val="clear" w:color="auto" w:fill="auto"/>
            <w:noWrap/>
            <w:vAlign w:val="center"/>
          </w:tcPr>
          <w:p w14:paraId="4076D26D"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19</w:t>
            </w:r>
          </w:p>
        </w:tc>
        <w:tc>
          <w:tcPr>
            <w:tcW w:w="568" w:type="pct"/>
            <w:shd w:val="clear" w:color="auto" w:fill="auto"/>
            <w:noWrap/>
            <w:vAlign w:val="center"/>
          </w:tcPr>
          <w:p w14:paraId="29736E33"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17.4167</w:t>
            </w:r>
          </w:p>
        </w:tc>
        <w:tc>
          <w:tcPr>
            <w:tcW w:w="568" w:type="pct"/>
            <w:shd w:val="clear" w:color="auto" w:fill="auto"/>
            <w:noWrap/>
            <w:vAlign w:val="center"/>
          </w:tcPr>
          <w:p w14:paraId="4C5762C2"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583.4117</w:t>
            </w:r>
          </w:p>
        </w:tc>
        <w:tc>
          <w:tcPr>
            <w:tcW w:w="568" w:type="pct"/>
            <w:shd w:val="clear" w:color="auto" w:fill="auto"/>
            <w:noWrap/>
            <w:vAlign w:val="center"/>
          </w:tcPr>
          <w:p w14:paraId="4F748A36"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10.1814</w:t>
            </w:r>
          </w:p>
        </w:tc>
        <w:tc>
          <w:tcPr>
            <w:tcW w:w="509" w:type="pct"/>
            <w:shd w:val="clear" w:color="auto" w:fill="auto"/>
            <w:noWrap/>
            <w:vAlign w:val="center"/>
          </w:tcPr>
          <w:p w14:paraId="44E71C5F"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5.4436</w:t>
            </w:r>
          </w:p>
        </w:tc>
        <w:tc>
          <w:tcPr>
            <w:tcW w:w="509" w:type="pct"/>
            <w:shd w:val="clear" w:color="auto" w:fill="auto"/>
            <w:noWrap/>
            <w:vAlign w:val="center"/>
          </w:tcPr>
          <w:p w14:paraId="713851C9"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3.3017</w:t>
            </w:r>
          </w:p>
        </w:tc>
        <w:tc>
          <w:tcPr>
            <w:tcW w:w="509" w:type="pct"/>
            <w:shd w:val="clear" w:color="auto" w:fill="auto"/>
            <w:noWrap/>
            <w:vAlign w:val="center"/>
          </w:tcPr>
          <w:p w14:paraId="18A66DBB"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2.9137</w:t>
            </w:r>
          </w:p>
        </w:tc>
        <w:tc>
          <w:tcPr>
            <w:tcW w:w="509" w:type="pct"/>
            <w:shd w:val="clear" w:color="auto" w:fill="auto"/>
            <w:noWrap/>
            <w:vAlign w:val="center"/>
          </w:tcPr>
          <w:p w14:paraId="43CC4D04"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2.5714</w:t>
            </w:r>
          </w:p>
        </w:tc>
        <w:tc>
          <w:tcPr>
            <w:tcW w:w="509" w:type="pct"/>
            <w:shd w:val="clear" w:color="auto" w:fill="auto"/>
            <w:noWrap/>
            <w:vAlign w:val="center"/>
          </w:tcPr>
          <w:p w14:paraId="0FB36122"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2.3658</w:t>
            </w:r>
          </w:p>
        </w:tc>
      </w:tr>
      <w:tr w:rsidR="008A2411" w:rsidRPr="008A2411" w14:paraId="1EE30B4C" w14:textId="77777777">
        <w:trPr>
          <w:trHeight w:val="288"/>
        </w:trPr>
        <w:tc>
          <w:tcPr>
            <w:tcW w:w="504" w:type="pct"/>
            <w:shd w:val="clear" w:color="auto" w:fill="auto"/>
            <w:noWrap/>
            <w:vAlign w:val="center"/>
          </w:tcPr>
          <w:p w14:paraId="34A1510E"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1410</w:t>
            </w:r>
          </w:p>
        </w:tc>
        <w:tc>
          <w:tcPr>
            <w:tcW w:w="242" w:type="pct"/>
            <w:shd w:val="clear" w:color="auto" w:fill="auto"/>
            <w:noWrap/>
            <w:vAlign w:val="center"/>
          </w:tcPr>
          <w:p w14:paraId="2BAF42DB"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19</w:t>
            </w:r>
          </w:p>
        </w:tc>
        <w:tc>
          <w:tcPr>
            <w:tcW w:w="568" w:type="pct"/>
            <w:shd w:val="clear" w:color="auto" w:fill="auto"/>
            <w:noWrap/>
            <w:vAlign w:val="center"/>
          </w:tcPr>
          <w:p w14:paraId="7DA48AF2"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16.8467</w:t>
            </w:r>
          </w:p>
        </w:tc>
        <w:tc>
          <w:tcPr>
            <w:tcW w:w="568" w:type="pct"/>
            <w:shd w:val="clear" w:color="auto" w:fill="auto"/>
            <w:noWrap/>
            <w:vAlign w:val="center"/>
          </w:tcPr>
          <w:p w14:paraId="2C735961"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492.3354</w:t>
            </w:r>
          </w:p>
        </w:tc>
        <w:tc>
          <w:tcPr>
            <w:tcW w:w="568" w:type="pct"/>
            <w:shd w:val="clear" w:color="auto" w:fill="auto"/>
            <w:noWrap/>
            <w:vAlign w:val="center"/>
          </w:tcPr>
          <w:p w14:paraId="6038B4A1"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10.2021</w:t>
            </w:r>
          </w:p>
        </w:tc>
        <w:tc>
          <w:tcPr>
            <w:tcW w:w="509" w:type="pct"/>
            <w:shd w:val="clear" w:color="auto" w:fill="auto"/>
            <w:noWrap/>
            <w:vAlign w:val="center"/>
          </w:tcPr>
          <w:p w14:paraId="7A766EE2"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5.4436</w:t>
            </w:r>
          </w:p>
        </w:tc>
        <w:tc>
          <w:tcPr>
            <w:tcW w:w="509" w:type="pct"/>
            <w:shd w:val="clear" w:color="auto" w:fill="auto"/>
            <w:noWrap/>
            <w:vAlign w:val="center"/>
          </w:tcPr>
          <w:p w14:paraId="2C88D19C"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3.3017</w:t>
            </w:r>
          </w:p>
        </w:tc>
        <w:tc>
          <w:tcPr>
            <w:tcW w:w="509" w:type="pct"/>
            <w:shd w:val="clear" w:color="auto" w:fill="auto"/>
            <w:noWrap/>
            <w:vAlign w:val="center"/>
          </w:tcPr>
          <w:p w14:paraId="17DE0ABE"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2.9137</w:t>
            </w:r>
          </w:p>
        </w:tc>
        <w:tc>
          <w:tcPr>
            <w:tcW w:w="509" w:type="pct"/>
            <w:shd w:val="clear" w:color="auto" w:fill="auto"/>
            <w:noWrap/>
            <w:vAlign w:val="center"/>
          </w:tcPr>
          <w:p w14:paraId="3C4ECFEC"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2.5714</w:t>
            </w:r>
          </w:p>
        </w:tc>
        <w:tc>
          <w:tcPr>
            <w:tcW w:w="509" w:type="pct"/>
            <w:shd w:val="clear" w:color="auto" w:fill="auto"/>
            <w:noWrap/>
            <w:vAlign w:val="center"/>
          </w:tcPr>
          <w:p w14:paraId="368B73B7"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2.3658</w:t>
            </w:r>
          </w:p>
        </w:tc>
      </w:tr>
      <w:tr w:rsidR="008A2411" w:rsidRPr="008A2411" w14:paraId="3FE8D07D" w14:textId="77777777">
        <w:trPr>
          <w:trHeight w:val="288"/>
        </w:trPr>
        <w:tc>
          <w:tcPr>
            <w:tcW w:w="504" w:type="pct"/>
            <w:shd w:val="clear" w:color="auto" w:fill="auto"/>
            <w:noWrap/>
            <w:vAlign w:val="center"/>
          </w:tcPr>
          <w:p w14:paraId="073537F5"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1510</w:t>
            </w:r>
          </w:p>
        </w:tc>
        <w:tc>
          <w:tcPr>
            <w:tcW w:w="242" w:type="pct"/>
            <w:shd w:val="clear" w:color="auto" w:fill="auto"/>
            <w:noWrap/>
            <w:vAlign w:val="center"/>
          </w:tcPr>
          <w:p w14:paraId="1FB06136"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19</w:t>
            </w:r>
          </w:p>
        </w:tc>
        <w:tc>
          <w:tcPr>
            <w:tcW w:w="568" w:type="pct"/>
            <w:shd w:val="clear" w:color="auto" w:fill="auto"/>
            <w:noWrap/>
            <w:vAlign w:val="center"/>
          </w:tcPr>
          <w:p w14:paraId="4C8E18BA"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16.7748</w:t>
            </w:r>
          </w:p>
        </w:tc>
        <w:tc>
          <w:tcPr>
            <w:tcW w:w="568" w:type="pct"/>
            <w:shd w:val="clear" w:color="auto" w:fill="auto"/>
            <w:noWrap/>
            <w:vAlign w:val="center"/>
          </w:tcPr>
          <w:p w14:paraId="025775AF"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362.3979</w:t>
            </w:r>
          </w:p>
        </w:tc>
        <w:tc>
          <w:tcPr>
            <w:tcW w:w="568" w:type="pct"/>
            <w:shd w:val="clear" w:color="auto" w:fill="auto"/>
            <w:noWrap/>
            <w:vAlign w:val="center"/>
          </w:tcPr>
          <w:p w14:paraId="704A7371"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10.2559</w:t>
            </w:r>
          </w:p>
        </w:tc>
        <w:tc>
          <w:tcPr>
            <w:tcW w:w="509" w:type="pct"/>
            <w:shd w:val="clear" w:color="auto" w:fill="auto"/>
            <w:noWrap/>
            <w:vAlign w:val="center"/>
          </w:tcPr>
          <w:p w14:paraId="733BB115"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5.4436</w:t>
            </w:r>
          </w:p>
        </w:tc>
        <w:tc>
          <w:tcPr>
            <w:tcW w:w="509" w:type="pct"/>
            <w:shd w:val="clear" w:color="auto" w:fill="auto"/>
            <w:noWrap/>
            <w:vAlign w:val="center"/>
          </w:tcPr>
          <w:p w14:paraId="54056D49"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3.3017</w:t>
            </w:r>
          </w:p>
        </w:tc>
        <w:tc>
          <w:tcPr>
            <w:tcW w:w="509" w:type="pct"/>
            <w:shd w:val="clear" w:color="auto" w:fill="auto"/>
            <w:noWrap/>
            <w:vAlign w:val="center"/>
          </w:tcPr>
          <w:p w14:paraId="6F3E70B1"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2.9137</w:t>
            </w:r>
          </w:p>
        </w:tc>
        <w:tc>
          <w:tcPr>
            <w:tcW w:w="509" w:type="pct"/>
            <w:shd w:val="clear" w:color="auto" w:fill="auto"/>
            <w:noWrap/>
            <w:vAlign w:val="center"/>
          </w:tcPr>
          <w:p w14:paraId="49763B13"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2.5714</w:t>
            </w:r>
          </w:p>
        </w:tc>
        <w:tc>
          <w:tcPr>
            <w:tcW w:w="509" w:type="pct"/>
            <w:shd w:val="clear" w:color="auto" w:fill="auto"/>
            <w:noWrap/>
            <w:vAlign w:val="center"/>
          </w:tcPr>
          <w:p w14:paraId="57C51CA5"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2.3658</w:t>
            </w:r>
          </w:p>
        </w:tc>
      </w:tr>
      <w:tr w:rsidR="008A2411" w:rsidRPr="008A2411" w14:paraId="646F7902" w14:textId="77777777">
        <w:trPr>
          <w:trHeight w:val="288"/>
        </w:trPr>
        <w:tc>
          <w:tcPr>
            <w:tcW w:w="504" w:type="pct"/>
            <w:shd w:val="clear" w:color="auto" w:fill="auto"/>
            <w:noWrap/>
            <w:vAlign w:val="center"/>
          </w:tcPr>
          <w:p w14:paraId="6193307D"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2010</w:t>
            </w:r>
          </w:p>
        </w:tc>
        <w:tc>
          <w:tcPr>
            <w:tcW w:w="242" w:type="pct"/>
            <w:shd w:val="clear" w:color="auto" w:fill="auto"/>
            <w:noWrap/>
            <w:vAlign w:val="center"/>
          </w:tcPr>
          <w:p w14:paraId="66B80685"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19</w:t>
            </w:r>
          </w:p>
        </w:tc>
        <w:tc>
          <w:tcPr>
            <w:tcW w:w="568" w:type="pct"/>
            <w:shd w:val="clear" w:color="auto" w:fill="auto"/>
            <w:noWrap/>
            <w:vAlign w:val="center"/>
          </w:tcPr>
          <w:p w14:paraId="3CDF17B9"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16.7674</w:t>
            </w:r>
          </w:p>
        </w:tc>
        <w:tc>
          <w:tcPr>
            <w:tcW w:w="568" w:type="pct"/>
            <w:shd w:val="clear" w:color="auto" w:fill="auto"/>
            <w:noWrap/>
            <w:vAlign w:val="center"/>
          </w:tcPr>
          <w:p w14:paraId="559DF444"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23.4886</w:t>
            </w:r>
          </w:p>
        </w:tc>
        <w:tc>
          <w:tcPr>
            <w:tcW w:w="568" w:type="pct"/>
            <w:shd w:val="clear" w:color="auto" w:fill="auto"/>
            <w:noWrap/>
            <w:vAlign w:val="center"/>
          </w:tcPr>
          <w:p w14:paraId="27B0A94D"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15.1745</w:t>
            </w:r>
          </w:p>
        </w:tc>
        <w:tc>
          <w:tcPr>
            <w:tcW w:w="509" w:type="pct"/>
            <w:shd w:val="clear" w:color="auto" w:fill="auto"/>
            <w:noWrap/>
            <w:vAlign w:val="center"/>
          </w:tcPr>
          <w:p w14:paraId="3F5BA539"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5.4436</w:t>
            </w:r>
          </w:p>
        </w:tc>
        <w:tc>
          <w:tcPr>
            <w:tcW w:w="509" w:type="pct"/>
            <w:shd w:val="clear" w:color="auto" w:fill="auto"/>
            <w:noWrap/>
            <w:vAlign w:val="center"/>
          </w:tcPr>
          <w:p w14:paraId="39DE42AA"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3.3017</w:t>
            </w:r>
          </w:p>
        </w:tc>
        <w:tc>
          <w:tcPr>
            <w:tcW w:w="509" w:type="pct"/>
            <w:shd w:val="clear" w:color="auto" w:fill="auto"/>
            <w:noWrap/>
            <w:vAlign w:val="center"/>
          </w:tcPr>
          <w:p w14:paraId="1EB04E20"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2.9137</w:t>
            </w:r>
          </w:p>
        </w:tc>
        <w:tc>
          <w:tcPr>
            <w:tcW w:w="509" w:type="pct"/>
            <w:shd w:val="clear" w:color="auto" w:fill="auto"/>
            <w:noWrap/>
            <w:vAlign w:val="center"/>
          </w:tcPr>
          <w:p w14:paraId="6CB1D759"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2.5714</w:t>
            </w:r>
          </w:p>
        </w:tc>
        <w:tc>
          <w:tcPr>
            <w:tcW w:w="509" w:type="pct"/>
            <w:shd w:val="clear" w:color="auto" w:fill="auto"/>
            <w:noWrap/>
            <w:vAlign w:val="center"/>
          </w:tcPr>
          <w:p w14:paraId="7D9F543C"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2.3658</w:t>
            </w:r>
          </w:p>
        </w:tc>
      </w:tr>
      <w:tr w:rsidR="008A2411" w:rsidRPr="008A2411" w14:paraId="5575D849" w14:textId="77777777">
        <w:trPr>
          <w:trHeight w:val="288"/>
        </w:trPr>
        <w:tc>
          <w:tcPr>
            <w:tcW w:w="504" w:type="pct"/>
            <w:shd w:val="clear" w:color="auto" w:fill="auto"/>
            <w:noWrap/>
            <w:vAlign w:val="center"/>
          </w:tcPr>
          <w:p w14:paraId="23821B45"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3010</w:t>
            </w:r>
          </w:p>
        </w:tc>
        <w:tc>
          <w:tcPr>
            <w:tcW w:w="242" w:type="pct"/>
            <w:shd w:val="clear" w:color="auto" w:fill="auto"/>
            <w:noWrap/>
            <w:vAlign w:val="center"/>
          </w:tcPr>
          <w:p w14:paraId="515CDBDD"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19</w:t>
            </w:r>
          </w:p>
        </w:tc>
        <w:tc>
          <w:tcPr>
            <w:tcW w:w="568" w:type="pct"/>
            <w:shd w:val="clear" w:color="auto" w:fill="auto"/>
            <w:noWrap/>
            <w:vAlign w:val="center"/>
          </w:tcPr>
          <w:p w14:paraId="726B9728"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16.7674</w:t>
            </w:r>
          </w:p>
        </w:tc>
        <w:tc>
          <w:tcPr>
            <w:tcW w:w="568" w:type="pct"/>
            <w:shd w:val="clear" w:color="auto" w:fill="auto"/>
            <w:noWrap/>
            <w:vAlign w:val="center"/>
          </w:tcPr>
          <w:p w14:paraId="2492CCA0"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14.7972</w:t>
            </w:r>
          </w:p>
        </w:tc>
        <w:tc>
          <w:tcPr>
            <w:tcW w:w="568" w:type="pct"/>
            <w:shd w:val="clear" w:color="auto" w:fill="auto"/>
            <w:noWrap/>
            <w:vAlign w:val="center"/>
          </w:tcPr>
          <w:p w14:paraId="2EC0C99A"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242.0364</w:t>
            </w:r>
          </w:p>
        </w:tc>
        <w:tc>
          <w:tcPr>
            <w:tcW w:w="509" w:type="pct"/>
            <w:shd w:val="clear" w:color="auto" w:fill="auto"/>
            <w:noWrap/>
            <w:vAlign w:val="center"/>
          </w:tcPr>
          <w:p w14:paraId="3502EA9E"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5.4436</w:t>
            </w:r>
          </w:p>
        </w:tc>
        <w:tc>
          <w:tcPr>
            <w:tcW w:w="509" w:type="pct"/>
            <w:shd w:val="clear" w:color="auto" w:fill="auto"/>
            <w:noWrap/>
            <w:vAlign w:val="center"/>
          </w:tcPr>
          <w:p w14:paraId="4BEF88CA"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3.3017</w:t>
            </w:r>
          </w:p>
        </w:tc>
        <w:tc>
          <w:tcPr>
            <w:tcW w:w="509" w:type="pct"/>
            <w:shd w:val="clear" w:color="auto" w:fill="auto"/>
            <w:noWrap/>
            <w:vAlign w:val="center"/>
          </w:tcPr>
          <w:p w14:paraId="3F5F7B9C"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2.9137</w:t>
            </w:r>
          </w:p>
        </w:tc>
        <w:tc>
          <w:tcPr>
            <w:tcW w:w="509" w:type="pct"/>
            <w:shd w:val="clear" w:color="auto" w:fill="auto"/>
            <w:noWrap/>
            <w:vAlign w:val="center"/>
          </w:tcPr>
          <w:p w14:paraId="4D15DB6D"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2.5714</w:t>
            </w:r>
          </w:p>
        </w:tc>
        <w:tc>
          <w:tcPr>
            <w:tcW w:w="509" w:type="pct"/>
            <w:shd w:val="clear" w:color="auto" w:fill="auto"/>
            <w:noWrap/>
            <w:vAlign w:val="center"/>
          </w:tcPr>
          <w:p w14:paraId="5A8FB093"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2.3658</w:t>
            </w:r>
          </w:p>
        </w:tc>
      </w:tr>
      <w:tr w:rsidR="008A2411" w:rsidRPr="008A2411" w14:paraId="056D2724" w14:textId="77777777">
        <w:trPr>
          <w:trHeight w:val="288"/>
        </w:trPr>
        <w:tc>
          <w:tcPr>
            <w:tcW w:w="504" w:type="pct"/>
            <w:shd w:val="clear" w:color="auto" w:fill="auto"/>
            <w:noWrap/>
            <w:vAlign w:val="center"/>
          </w:tcPr>
          <w:p w14:paraId="24F73D0A"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4010</w:t>
            </w:r>
          </w:p>
        </w:tc>
        <w:tc>
          <w:tcPr>
            <w:tcW w:w="242" w:type="pct"/>
            <w:shd w:val="clear" w:color="auto" w:fill="auto"/>
            <w:noWrap/>
            <w:vAlign w:val="center"/>
          </w:tcPr>
          <w:p w14:paraId="3BED7E47"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19</w:t>
            </w:r>
          </w:p>
        </w:tc>
        <w:tc>
          <w:tcPr>
            <w:tcW w:w="568" w:type="pct"/>
            <w:shd w:val="clear" w:color="auto" w:fill="auto"/>
            <w:noWrap/>
            <w:vAlign w:val="center"/>
          </w:tcPr>
          <w:p w14:paraId="211234E0"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16.7674</w:t>
            </w:r>
          </w:p>
        </w:tc>
        <w:tc>
          <w:tcPr>
            <w:tcW w:w="568" w:type="pct"/>
            <w:shd w:val="clear" w:color="auto" w:fill="auto"/>
            <w:noWrap/>
            <w:vAlign w:val="center"/>
          </w:tcPr>
          <w:p w14:paraId="52832900"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14.7972</w:t>
            </w:r>
          </w:p>
        </w:tc>
        <w:tc>
          <w:tcPr>
            <w:tcW w:w="568" w:type="pct"/>
            <w:shd w:val="clear" w:color="auto" w:fill="auto"/>
            <w:noWrap/>
            <w:vAlign w:val="center"/>
          </w:tcPr>
          <w:p w14:paraId="0CC8C49D"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47.3632</w:t>
            </w:r>
          </w:p>
        </w:tc>
        <w:tc>
          <w:tcPr>
            <w:tcW w:w="509" w:type="pct"/>
            <w:shd w:val="clear" w:color="auto" w:fill="auto"/>
            <w:noWrap/>
            <w:vAlign w:val="center"/>
          </w:tcPr>
          <w:p w14:paraId="0D2B65D3"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5.4699</w:t>
            </w:r>
          </w:p>
        </w:tc>
        <w:tc>
          <w:tcPr>
            <w:tcW w:w="509" w:type="pct"/>
            <w:shd w:val="clear" w:color="auto" w:fill="auto"/>
            <w:noWrap/>
            <w:vAlign w:val="center"/>
          </w:tcPr>
          <w:p w14:paraId="54EDF843"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3.3017</w:t>
            </w:r>
          </w:p>
        </w:tc>
        <w:tc>
          <w:tcPr>
            <w:tcW w:w="509" w:type="pct"/>
            <w:shd w:val="clear" w:color="auto" w:fill="auto"/>
            <w:noWrap/>
            <w:vAlign w:val="center"/>
          </w:tcPr>
          <w:p w14:paraId="485A0D6A"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2.9137</w:t>
            </w:r>
          </w:p>
        </w:tc>
        <w:tc>
          <w:tcPr>
            <w:tcW w:w="509" w:type="pct"/>
            <w:shd w:val="clear" w:color="auto" w:fill="auto"/>
            <w:noWrap/>
            <w:vAlign w:val="center"/>
          </w:tcPr>
          <w:p w14:paraId="41C164A3"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2.5714</w:t>
            </w:r>
          </w:p>
        </w:tc>
        <w:tc>
          <w:tcPr>
            <w:tcW w:w="509" w:type="pct"/>
            <w:shd w:val="clear" w:color="auto" w:fill="auto"/>
            <w:noWrap/>
            <w:vAlign w:val="center"/>
          </w:tcPr>
          <w:p w14:paraId="333EA5D8"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2.3658</w:t>
            </w:r>
          </w:p>
        </w:tc>
      </w:tr>
      <w:tr w:rsidR="008A2411" w:rsidRPr="008A2411" w14:paraId="0C995CD9" w14:textId="77777777">
        <w:trPr>
          <w:trHeight w:val="288"/>
        </w:trPr>
        <w:tc>
          <w:tcPr>
            <w:tcW w:w="504" w:type="pct"/>
            <w:shd w:val="clear" w:color="auto" w:fill="auto"/>
            <w:noWrap/>
            <w:vAlign w:val="center"/>
          </w:tcPr>
          <w:p w14:paraId="4783311F"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5010</w:t>
            </w:r>
          </w:p>
        </w:tc>
        <w:tc>
          <w:tcPr>
            <w:tcW w:w="242" w:type="pct"/>
            <w:shd w:val="clear" w:color="auto" w:fill="auto"/>
            <w:noWrap/>
            <w:vAlign w:val="center"/>
          </w:tcPr>
          <w:p w14:paraId="0F005013"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19</w:t>
            </w:r>
          </w:p>
        </w:tc>
        <w:tc>
          <w:tcPr>
            <w:tcW w:w="568" w:type="pct"/>
            <w:shd w:val="clear" w:color="auto" w:fill="auto"/>
            <w:noWrap/>
            <w:vAlign w:val="center"/>
          </w:tcPr>
          <w:p w14:paraId="1A0CAC44"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16.7674</w:t>
            </w:r>
          </w:p>
        </w:tc>
        <w:tc>
          <w:tcPr>
            <w:tcW w:w="568" w:type="pct"/>
            <w:shd w:val="clear" w:color="auto" w:fill="auto"/>
            <w:noWrap/>
            <w:vAlign w:val="center"/>
          </w:tcPr>
          <w:p w14:paraId="73396B7E"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14.7972</w:t>
            </w:r>
          </w:p>
        </w:tc>
        <w:tc>
          <w:tcPr>
            <w:tcW w:w="568" w:type="pct"/>
            <w:shd w:val="clear" w:color="auto" w:fill="auto"/>
            <w:noWrap/>
            <w:vAlign w:val="center"/>
          </w:tcPr>
          <w:p w14:paraId="7CDDA2DA"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10.1922</w:t>
            </w:r>
          </w:p>
        </w:tc>
        <w:tc>
          <w:tcPr>
            <w:tcW w:w="509" w:type="pct"/>
            <w:shd w:val="clear" w:color="auto" w:fill="auto"/>
            <w:noWrap/>
            <w:vAlign w:val="center"/>
          </w:tcPr>
          <w:p w14:paraId="5DBD7C8E"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11.1699</w:t>
            </w:r>
          </w:p>
        </w:tc>
        <w:tc>
          <w:tcPr>
            <w:tcW w:w="509" w:type="pct"/>
            <w:shd w:val="clear" w:color="auto" w:fill="auto"/>
            <w:noWrap/>
            <w:vAlign w:val="center"/>
          </w:tcPr>
          <w:p w14:paraId="49603B10"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3.3017</w:t>
            </w:r>
          </w:p>
        </w:tc>
        <w:tc>
          <w:tcPr>
            <w:tcW w:w="509" w:type="pct"/>
            <w:shd w:val="clear" w:color="auto" w:fill="auto"/>
            <w:noWrap/>
            <w:vAlign w:val="center"/>
          </w:tcPr>
          <w:p w14:paraId="0BC6A8BC"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2.9137</w:t>
            </w:r>
          </w:p>
        </w:tc>
        <w:tc>
          <w:tcPr>
            <w:tcW w:w="509" w:type="pct"/>
            <w:shd w:val="clear" w:color="auto" w:fill="auto"/>
            <w:noWrap/>
            <w:vAlign w:val="center"/>
          </w:tcPr>
          <w:p w14:paraId="5F43F88E"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2.5714</w:t>
            </w:r>
          </w:p>
        </w:tc>
        <w:tc>
          <w:tcPr>
            <w:tcW w:w="509" w:type="pct"/>
            <w:shd w:val="clear" w:color="auto" w:fill="auto"/>
            <w:noWrap/>
            <w:vAlign w:val="center"/>
          </w:tcPr>
          <w:p w14:paraId="4DA34BA2"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2.3658</w:t>
            </w:r>
          </w:p>
        </w:tc>
      </w:tr>
      <w:tr w:rsidR="008A2411" w:rsidRPr="008A2411" w14:paraId="475FBB99" w14:textId="77777777">
        <w:trPr>
          <w:trHeight w:val="288"/>
        </w:trPr>
        <w:tc>
          <w:tcPr>
            <w:tcW w:w="504" w:type="pct"/>
            <w:shd w:val="clear" w:color="auto" w:fill="auto"/>
            <w:noWrap/>
            <w:vAlign w:val="center"/>
          </w:tcPr>
          <w:p w14:paraId="728B9FE2"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6010</w:t>
            </w:r>
          </w:p>
        </w:tc>
        <w:tc>
          <w:tcPr>
            <w:tcW w:w="242" w:type="pct"/>
            <w:shd w:val="clear" w:color="auto" w:fill="auto"/>
            <w:noWrap/>
            <w:vAlign w:val="center"/>
          </w:tcPr>
          <w:p w14:paraId="7181A400"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19</w:t>
            </w:r>
          </w:p>
        </w:tc>
        <w:tc>
          <w:tcPr>
            <w:tcW w:w="568" w:type="pct"/>
            <w:shd w:val="clear" w:color="auto" w:fill="auto"/>
            <w:noWrap/>
            <w:vAlign w:val="center"/>
          </w:tcPr>
          <w:p w14:paraId="157D7A6E"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16.7674</w:t>
            </w:r>
          </w:p>
        </w:tc>
        <w:tc>
          <w:tcPr>
            <w:tcW w:w="568" w:type="pct"/>
            <w:shd w:val="clear" w:color="auto" w:fill="auto"/>
            <w:noWrap/>
            <w:vAlign w:val="center"/>
          </w:tcPr>
          <w:p w14:paraId="09CE8D21"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14.7972</w:t>
            </w:r>
          </w:p>
        </w:tc>
        <w:tc>
          <w:tcPr>
            <w:tcW w:w="568" w:type="pct"/>
            <w:shd w:val="clear" w:color="auto" w:fill="auto"/>
            <w:noWrap/>
            <w:vAlign w:val="center"/>
          </w:tcPr>
          <w:p w14:paraId="5408E32F"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10.17</w:t>
            </w:r>
          </w:p>
        </w:tc>
        <w:tc>
          <w:tcPr>
            <w:tcW w:w="509" w:type="pct"/>
            <w:shd w:val="clear" w:color="auto" w:fill="auto"/>
            <w:noWrap/>
            <w:vAlign w:val="center"/>
          </w:tcPr>
          <w:p w14:paraId="740064C0"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80.2383</w:t>
            </w:r>
          </w:p>
        </w:tc>
        <w:tc>
          <w:tcPr>
            <w:tcW w:w="509" w:type="pct"/>
            <w:shd w:val="clear" w:color="auto" w:fill="auto"/>
            <w:noWrap/>
            <w:vAlign w:val="center"/>
          </w:tcPr>
          <w:p w14:paraId="4E26226B"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3.3075</w:t>
            </w:r>
          </w:p>
        </w:tc>
        <w:tc>
          <w:tcPr>
            <w:tcW w:w="509" w:type="pct"/>
            <w:shd w:val="clear" w:color="auto" w:fill="auto"/>
            <w:noWrap/>
            <w:vAlign w:val="center"/>
          </w:tcPr>
          <w:p w14:paraId="280348B3"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2.9139</w:t>
            </w:r>
          </w:p>
        </w:tc>
        <w:tc>
          <w:tcPr>
            <w:tcW w:w="509" w:type="pct"/>
            <w:shd w:val="clear" w:color="auto" w:fill="auto"/>
            <w:noWrap/>
            <w:vAlign w:val="center"/>
          </w:tcPr>
          <w:p w14:paraId="2108CF19"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2.5714</w:t>
            </w:r>
          </w:p>
        </w:tc>
        <w:tc>
          <w:tcPr>
            <w:tcW w:w="509" w:type="pct"/>
            <w:shd w:val="clear" w:color="auto" w:fill="auto"/>
            <w:noWrap/>
            <w:vAlign w:val="center"/>
          </w:tcPr>
          <w:p w14:paraId="69FDC447"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2.3658</w:t>
            </w:r>
          </w:p>
        </w:tc>
      </w:tr>
      <w:tr w:rsidR="008A2411" w:rsidRPr="008A2411" w14:paraId="57075461" w14:textId="77777777">
        <w:trPr>
          <w:trHeight w:val="288"/>
        </w:trPr>
        <w:tc>
          <w:tcPr>
            <w:tcW w:w="504" w:type="pct"/>
            <w:shd w:val="clear" w:color="auto" w:fill="auto"/>
            <w:noWrap/>
            <w:vAlign w:val="center"/>
          </w:tcPr>
          <w:p w14:paraId="3EACB453"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7010</w:t>
            </w:r>
          </w:p>
        </w:tc>
        <w:tc>
          <w:tcPr>
            <w:tcW w:w="242" w:type="pct"/>
            <w:shd w:val="clear" w:color="auto" w:fill="auto"/>
            <w:noWrap/>
            <w:vAlign w:val="center"/>
          </w:tcPr>
          <w:p w14:paraId="028EA288"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19</w:t>
            </w:r>
          </w:p>
        </w:tc>
        <w:tc>
          <w:tcPr>
            <w:tcW w:w="568" w:type="pct"/>
            <w:shd w:val="clear" w:color="auto" w:fill="auto"/>
            <w:noWrap/>
            <w:vAlign w:val="center"/>
          </w:tcPr>
          <w:p w14:paraId="34FDEEBC"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16.7674</w:t>
            </w:r>
          </w:p>
        </w:tc>
        <w:tc>
          <w:tcPr>
            <w:tcW w:w="568" w:type="pct"/>
            <w:shd w:val="clear" w:color="auto" w:fill="auto"/>
            <w:noWrap/>
            <w:vAlign w:val="center"/>
          </w:tcPr>
          <w:p w14:paraId="0CBC660A"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14.7972</w:t>
            </w:r>
          </w:p>
        </w:tc>
        <w:tc>
          <w:tcPr>
            <w:tcW w:w="568" w:type="pct"/>
            <w:shd w:val="clear" w:color="auto" w:fill="auto"/>
            <w:noWrap/>
            <w:vAlign w:val="center"/>
          </w:tcPr>
          <w:p w14:paraId="32A3398B"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10.17</w:t>
            </w:r>
          </w:p>
        </w:tc>
        <w:tc>
          <w:tcPr>
            <w:tcW w:w="509" w:type="pct"/>
            <w:shd w:val="clear" w:color="auto" w:fill="auto"/>
            <w:noWrap/>
            <w:vAlign w:val="center"/>
          </w:tcPr>
          <w:p w14:paraId="3AE34DE8"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64.516</w:t>
            </w:r>
          </w:p>
        </w:tc>
        <w:tc>
          <w:tcPr>
            <w:tcW w:w="509" w:type="pct"/>
            <w:shd w:val="clear" w:color="auto" w:fill="auto"/>
            <w:noWrap/>
            <w:vAlign w:val="center"/>
          </w:tcPr>
          <w:p w14:paraId="3D3090E7"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4.1702</w:t>
            </w:r>
          </w:p>
        </w:tc>
        <w:tc>
          <w:tcPr>
            <w:tcW w:w="509" w:type="pct"/>
            <w:shd w:val="clear" w:color="auto" w:fill="auto"/>
            <w:noWrap/>
            <w:vAlign w:val="center"/>
          </w:tcPr>
          <w:p w14:paraId="0B33BCAC"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2.9716</w:t>
            </w:r>
          </w:p>
        </w:tc>
        <w:tc>
          <w:tcPr>
            <w:tcW w:w="509" w:type="pct"/>
            <w:shd w:val="clear" w:color="auto" w:fill="auto"/>
            <w:noWrap/>
            <w:vAlign w:val="center"/>
          </w:tcPr>
          <w:p w14:paraId="5AD9C24A"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2.5739</w:t>
            </w:r>
          </w:p>
        </w:tc>
        <w:tc>
          <w:tcPr>
            <w:tcW w:w="509" w:type="pct"/>
            <w:shd w:val="clear" w:color="auto" w:fill="auto"/>
            <w:noWrap/>
            <w:vAlign w:val="center"/>
          </w:tcPr>
          <w:p w14:paraId="6EFF6660"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2.3661</w:t>
            </w:r>
          </w:p>
        </w:tc>
      </w:tr>
      <w:tr w:rsidR="008A2411" w:rsidRPr="008A2411" w14:paraId="1D5CABA7" w14:textId="77777777">
        <w:trPr>
          <w:trHeight w:val="288"/>
        </w:trPr>
        <w:tc>
          <w:tcPr>
            <w:tcW w:w="504" w:type="pct"/>
            <w:shd w:val="clear" w:color="auto" w:fill="auto"/>
            <w:noWrap/>
            <w:vAlign w:val="center"/>
          </w:tcPr>
          <w:p w14:paraId="4F3CEF78"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lastRenderedPageBreak/>
              <w:t>8010</w:t>
            </w:r>
          </w:p>
        </w:tc>
        <w:tc>
          <w:tcPr>
            <w:tcW w:w="242" w:type="pct"/>
            <w:shd w:val="clear" w:color="auto" w:fill="auto"/>
            <w:noWrap/>
            <w:vAlign w:val="center"/>
          </w:tcPr>
          <w:p w14:paraId="6FBBAD73"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19</w:t>
            </w:r>
          </w:p>
        </w:tc>
        <w:tc>
          <w:tcPr>
            <w:tcW w:w="568" w:type="pct"/>
            <w:shd w:val="clear" w:color="auto" w:fill="auto"/>
            <w:noWrap/>
            <w:vAlign w:val="center"/>
          </w:tcPr>
          <w:p w14:paraId="0DFA1356"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16.7674</w:t>
            </w:r>
          </w:p>
        </w:tc>
        <w:tc>
          <w:tcPr>
            <w:tcW w:w="568" w:type="pct"/>
            <w:shd w:val="clear" w:color="auto" w:fill="auto"/>
            <w:noWrap/>
            <w:vAlign w:val="center"/>
          </w:tcPr>
          <w:p w14:paraId="4DC475C6"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14.7972</w:t>
            </w:r>
          </w:p>
        </w:tc>
        <w:tc>
          <w:tcPr>
            <w:tcW w:w="568" w:type="pct"/>
            <w:shd w:val="clear" w:color="auto" w:fill="auto"/>
            <w:noWrap/>
            <w:vAlign w:val="center"/>
          </w:tcPr>
          <w:p w14:paraId="04E71B3A"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10.17</w:t>
            </w:r>
          </w:p>
        </w:tc>
        <w:tc>
          <w:tcPr>
            <w:tcW w:w="509" w:type="pct"/>
            <w:shd w:val="clear" w:color="auto" w:fill="auto"/>
            <w:noWrap/>
            <w:vAlign w:val="center"/>
          </w:tcPr>
          <w:p w14:paraId="310C41EF"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8.2903</w:t>
            </w:r>
          </w:p>
        </w:tc>
        <w:tc>
          <w:tcPr>
            <w:tcW w:w="509" w:type="pct"/>
            <w:shd w:val="clear" w:color="auto" w:fill="auto"/>
            <w:noWrap/>
            <w:vAlign w:val="center"/>
          </w:tcPr>
          <w:p w14:paraId="3E4A3AB3"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20.9916</w:t>
            </w:r>
          </w:p>
        </w:tc>
        <w:tc>
          <w:tcPr>
            <w:tcW w:w="509" w:type="pct"/>
            <w:shd w:val="clear" w:color="auto" w:fill="auto"/>
            <w:noWrap/>
            <w:vAlign w:val="center"/>
          </w:tcPr>
          <w:p w14:paraId="40BACCCE"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6.1434</w:t>
            </w:r>
          </w:p>
        </w:tc>
        <w:tc>
          <w:tcPr>
            <w:tcW w:w="509" w:type="pct"/>
            <w:shd w:val="clear" w:color="auto" w:fill="auto"/>
            <w:noWrap/>
            <w:vAlign w:val="center"/>
          </w:tcPr>
          <w:p w14:paraId="594FC444"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2.9156</w:t>
            </w:r>
          </w:p>
        </w:tc>
        <w:tc>
          <w:tcPr>
            <w:tcW w:w="509" w:type="pct"/>
            <w:shd w:val="clear" w:color="auto" w:fill="auto"/>
            <w:noWrap/>
            <w:vAlign w:val="center"/>
          </w:tcPr>
          <w:p w14:paraId="64293ED7"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2.426</w:t>
            </w:r>
          </w:p>
        </w:tc>
      </w:tr>
      <w:tr w:rsidR="008A2411" w:rsidRPr="008A2411" w14:paraId="025854C8" w14:textId="77777777">
        <w:trPr>
          <w:trHeight w:val="288"/>
        </w:trPr>
        <w:tc>
          <w:tcPr>
            <w:tcW w:w="504" w:type="pct"/>
            <w:shd w:val="clear" w:color="auto" w:fill="auto"/>
            <w:noWrap/>
            <w:vAlign w:val="center"/>
          </w:tcPr>
          <w:p w14:paraId="0731EE94"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9010</w:t>
            </w:r>
          </w:p>
        </w:tc>
        <w:tc>
          <w:tcPr>
            <w:tcW w:w="242" w:type="pct"/>
            <w:shd w:val="clear" w:color="auto" w:fill="auto"/>
            <w:noWrap/>
            <w:vAlign w:val="center"/>
          </w:tcPr>
          <w:p w14:paraId="219A4D21"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19</w:t>
            </w:r>
          </w:p>
        </w:tc>
        <w:tc>
          <w:tcPr>
            <w:tcW w:w="568" w:type="pct"/>
            <w:shd w:val="clear" w:color="auto" w:fill="auto"/>
            <w:noWrap/>
            <w:vAlign w:val="center"/>
          </w:tcPr>
          <w:p w14:paraId="378DA8A8"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16.7674</w:t>
            </w:r>
          </w:p>
        </w:tc>
        <w:tc>
          <w:tcPr>
            <w:tcW w:w="568" w:type="pct"/>
            <w:shd w:val="clear" w:color="auto" w:fill="auto"/>
            <w:noWrap/>
            <w:vAlign w:val="center"/>
          </w:tcPr>
          <w:p w14:paraId="508BFB50"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14.7972</w:t>
            </w:r>
          </w:p>
        </w:tc>
        <w:tc>
          <w:tcPr>
            <w:tcW w:w="568" w:type="pct"/>
            <w:shd w:val="clear" w:color="auto" w:fill="auto"/>
            <w:noWrap/>
            <w:vAlign w:val="center"/>
          </w:tcPr>
          <w:p w14:paraId="25351471"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10.17</w:t>
            </w:r>
          </w:p>
        </w:tc>
        <w:tc>
          <w:tcPr>
            <w:tcW w:w="509" w:type="pct"/>
            <w:shd w:val="clear" w:color="auto" w:fill="auto"/>
            <w:noWrap/>
            <w:vAlign w:val="center"/>
          </w:tcPr>
          <w:p w14:paraId="005DE781"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5.452</w:t>
            </w:r>
          </w:p>
        </w:tc>
        <w:tc>
          <w:tcPr>
            <w:tcW w:w="509" w:type="pct"/>
            <w:shd w:val="clear" w:color="auto" w:fill="auto"/>
            <w:noWrap/>
            <w:vAlign w:val="center"/>
          </w:tcPr>
          <w:p w14:paraId="2D86F909"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52.0827</w:t>
            </w:r>
          </w:p>
        </w:tc>
        <w:tc>
          <w:tcPr>
            <w:tcW w:w="509" w:type="pct"/>
            <w:shd w:val="clear" w:color="auto" w:fill="auto"/>
            <w:noWrap/>
            <w:vAlign w:val="center"/>
          </w:tcPr>
          <w:p w14:paraId="2E0C9874"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30.7689</w:t>
            </w:r>
          </w:p>
        </w:tc>
        <w:tc>
          <w:tcPr>
            <w:tcW w:w="509" w:type="pct"/>
            <w:shd w:val="clear" w:color="auto" w:fill="auto"/>
            <w:noWrap/>
            <w:vAlign w:val="center"/>
          </w:tcPr>
          <w:p w14:paraId="34415543"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10.6218</w:t>
            </w:r>
          </w:p>
        </w:tc>
        <w:tc>
          <w:tcPr>
            <w:tcW w:w="509" w:type="pct"/>
            <w:shd w:val="clear" w:color="auto" w:fill="auto"/>
            <w:noWrap/>
            <w:vAlign w:val="center"/>
          </w:tcPr>
          <w:p w14:paraId="4970AAE1"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4.9274</w:t>
            </w:r>
          </w:p>
        </w:tc>
      </w:tr>
      <w:tr w:rsidR="008A2411" w:rsidRPr="008A2411" w14:paraId="6F8BCD0F" w14:textId="77777777">
        <w:trPr>
          <w:trHeight w:val="288"/>
        </w:trPr>
        <w:tc>
          <w:tcPr>
            <w:tcW w:w="504" w:type="pct"/>
            <w:shd w:val="clear" w:color="auto" w:fill="auto"/>
            <w:noWrap/>
            <w:vAlign w:val="center"/>
          </w:tcPr>
          <w:p w14:paraId="11B9245F"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10010</w:t>
            </w:r>
          </w:p>
        </w:tc>
        <w:tc>
          <w:tcPr>
            <w:tcW w:w="242" w:type="pct"/>
            <w:shd w:val="clear" w:color="auto" w:fill="auto"/>
            <w:noWrap/>
            <w:vAlign w:val="center"/>
          </w:tcPr>
          <w:p w14:paraId="06B50E55"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19</w:t>
            </w:r>
          </w:p>
        </w:tc>
        <w:tc>
          <w:tcPr>
            <w:tcW w:w="568" w:type="pct"/>
            <w:shd w:val="clear" w:color="auto" w:fill="auto"/>
            <w:noWrap/>
            <w:vAlign w:val="center"/>
          </w:tcPr>
          <w:p w14:paraId="6AF397BC"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16.7674</w:t>
            </w:r>
          </w:p>
        </w:tc>
        <w:tc>
          <w:tcPr>
            <w:tcW w:w="568" w:type="pct"/>
            <w:shd w:val="clear" w:color="auto" w:fill="auto"/>
            <w:noWrap/>
            <w:vAlign w:val="center"/>
          </w:tcPr>
          <w:p w14:paraId="1E1104BB"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14.7972</w:t>
            </w:r>
          </w:p>
        </w:tc>
        <w:tc>
          <w:tcPr>
            <w:tcW w:w="568" w:type="pct"/>
            <w:shd w:val="clear" w:color="auto" w:fill="auto"/>
            <w:noWrap/>
            <w:vAlign w:val="center"/>
          </w:tcPr>
          <w:p w14:paraId="0DEF301C"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10.17</w:t>
            </w:r>
          </w:p>
        </w:tc>
        <w:tc>
          <w:tcPr>
            <w:tcW w:w="509" w:type="pct"/>
            <w:shd w:val="clear" w:color="auto" w:fill="auto"/>
            <w:noWrap/>
            <w:vAlign w:val="center"/>
          </w:tcPr>
          <w:p w14:paraId="2C15622A"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5.4436</w:t>
            </w:r>
          </w:p>
        </w:tc>
        <w:tc>
          <w:tcPr>
            <w:tcW w:w="509" w:type="pct"/>
            <w:shd w:val="clear" w:color="auto" w:fill="auto"/>
            <w:noWrap/>
            <w:vAlign w:val="center"/>
          </w:tcPr>
          <w:p w14:paraId="4B639D61"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21.5711</w:t>
            </w:r>
          </w:p>
        </w:tc>
        <w:tc>
          <w:tcPr>
            <w:tcW w:w="509" w:type="pct"/>
            <w:shd w:val="clear" w:color="auto" w:fill="auto"/>
            <w:noWrap/>
            <w:vAlign w:val="center"/>
          </w:tcPr>
          <w:p w14:paraId="47996DF3"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40.1544</w:t>
            </w:r>
          </w:p>
        </w:tc>
        <w:tc>
          <w:tcPr>
            <w:tcW w:w="509" w:type="pct"/>
            <w:shd w:val="clear" w:color="auto" w:fill="auto"/>
            <w:noWrap/>
            <w:vAlign w:val="center"/>
          </w:tcPr>
          <w:p w14:paraId="641BE9B4"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35.3461</w:t>
            </w:r>
          </w:p>
        </w:tc>
        <w:tc>
          <w:tcPr>
            <w:tcW w:w="509" w:type="pct"/>
            <w:shd w:val="clear" w:color="auto" w:fill="auto"/>
            <w:noWrap/>
            <w:vAlign w:val="center"/>
          </w:tcPr>
          <w:p w14:paraId="1DE183D9"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22.7074</w:t>
            </w:r>
          </w:p>
        </w:tc>
      </w:tr>
      <w:tr w:rsidR="008A2411" w:rsidRPr="008A2411" w14:paraId="1048C941" w14:textId="77777777">
        <w:trPr>
          <w:trHeight w:val="288"/>
        </w:trPr>
        <w:tc>
          <w:tcPr>
            <w:tcW w:w="504" w:type="pct"/>
            <w:shd w:val="clear" w:color="auto" w:fill="auto"/>
            <w:noWrap/>
            <w:vAlign w:val="center"/>
          </w:tcPr>
          <w:p w14:paraId="61469F40"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11010</w:t>
            </w:r>
          </w:p>
        </w:tc>
        <w:tc>
          <w:tcPr>
            <w:tcW w:w="242" w:type="pct"/>
            <w:shd w:val="clear" w:color="auto" w:fill="auto"/>
            <w:noWrap/>
            <w:vAlign w:val="center"/>
          </w:tcPr>
          <w:p w14:paraId="6D583C2E"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19</w:t>
            </w:r>
          </w:p>
        </w:tc>
        <w:tc>
          <w:tcPr>
            <w:tcW w:w="568" w:type="pct"/>
            <w:shd w:val="clear" w:color="auto" w:fill="auto"/>
            <w:noWrap/>
            <w:vAlign w:val="center"/>
          </w:tcPr>
          <w:p w14:paraId="6D099A0F"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16.7674</w:t>
            </w:r>
          </w:p>
        </w:tc>
        <w:tc>
          <w:tcPr>
            <w:tcW w:w="568" w:type="pct"/>
            <w:shd w:val="clear" w:color="auto" w:fill="auto"/>
            <w:noWrap/>
            <w:vAlign w:val="center"/>
          </w:tcPr>
          <w:p w14:paraId="24681A47"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14.7972</w:t>
            </w:r>
          </w:p>
        </w:tc>
        <w:tc>
          <w:tcPr>
            <w:tcW w:w="568" w:type="pct"/>
            <w:shd w:val="clear" w:color="auto" w:fill="auto"/>
            <w:noWrap/>
            <w:vAlign w:val="center"/>
          </w:tcPr>
          <w:p w14:paraId="48C4CDC4"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10.17</w:t>
            </w:r>
          </w:p>
        </w:tc>
        <w:tc>
          <w:tcPr>
            <w:tcW w:w="509" w:type="pct"/>
            <w:shd w:val="clear" w:color="auto" w:fill="auto"/>
            <w:noWrap/>
            <w:vAlign w:val="center"/>
          </w:tcPr>
          <w:p w14:paraId="4116A5FB"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5.4436</w:t>
            </w:r>
          </w:p>
        </w:tc>
        <w:tc>
          <w:tcPr>
            <w:tcW w:w="509" w:type="pct"/>
            <w:shd w:val="clear" w:color="auto" w:fill="auto"/>
            <w:noWrap/>
            <w:vAlign w:val="center"/>
          </w:tcPr>
          <w:p w14:paraId="1CEA567E"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4.2341</w:t>
            </w:r>
          </w:p>
        </w:tc>
        <w:tc>
          <w:tcPr>
            <w:tcW w:w="509" w:type="pct"/>
            <w:shd w:val="clear" w:color="auto" w:fill="auto"/>
            <w:noWrap/>
            <w:vAlign w:val="center"/>
          </w:tcPr>
          <w:p w14:paraId="6504DE1D"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10.6517</w:t>
            </w:r>
          </w:p>
        </w:tc>
        <w:tc>
          <w:tcPr>
            <w:tcW w:w="509" w:type="pct"/>
            <w:shd w:val="clear" w:color="auto" w:fill="auto"/>
            <w:noWrap/>
            <w:vAlign w:val="center"/>
          </w:tcPr>
          <w:p w14:paraId="06C9DD2C"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25.847</w:t>
            </w:r>
          </w:p>
        </w:tc>
        <w:tc>
          <w:tcPr>
            <w:tcW w:w="509" w:type="pct"/>
            <w:shd w:val="clear" w:color="auto" w:fill="auto"/>
            <w:noWrap/>
            <w:vAlign w:val="center"/>
          </w:tcPr>
          <w:p w14:paraId="0936A446"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32.5693</w:t>
            </w:r>
          </w:p>
        </w:tc>
      </w:tr>
      <w:tr w:rsidR="008A2411" w:rsidRPr="008A2411" w14:paraId="1631FDA5" w14:textId="77777777">
        <w:trPr>
          <w:trHeight w:val="288"/>
        </w:trPr>
        <w:tc>
          <w:tcPr>
            <w:tcW w:w="504" w:type="pct"/>
            <w:shd w:val="clear" w:color="auto" w:fill="auto"/>
            <w:noWrap/>
            <w:vAlign w:val="center"/>
          </w:tcPr>
          <w:p w14:paraId="535D8274"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12000</w:t>
            </w:r>
          </w:p>
        </w:tc>
        <w:tc>
          <w:tcPr>
            <w:tcW w:w="242" w:type="pct"/>
            <w:shd w:val="clear" w:color="auto" w:fill="auto"/>
            <w:noWrap/>
            <w:vAlign w:val="center"/>
          </w:tcPr>
          <w:p w14:paraId="45626CB0"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19</w:t>
            </w:r>
          </w:p>
        </w:tc>
        <w:tc>
          <w:tcPr>
            <w:tcW w:w="568" w:type="pct"/>
            <w:shd w:val="clear" w:color="auto" w:fill="auto"/>
            <w:noWrap/>
            <w:vAlign w:val="center"/>
          </w:tcPr>
          <w:p w14:paraId="6BF07FE4"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16.7674</w:t>
            </w:r>
          </w:p>
        </w:tc>
        <w:tc>
          <w:tcPr>
            <w:tcW w:w="568" w:type="pct"/>
            <w:shd w:val="clear" w:color="auto" w:fill="auto"/>
            <w:noWrap/>
            <w:vAlign w:val="center"/>
          </w:tcPr>
          <w:p w14:paraId="04673383"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14.7972</w:t>
            </w:r>
          </w:p>
        </w:tc>
        <w:tc>
          <w:tcPr>
            <w:tcW w:w="568" w:type="pct"/>
            <w:shd w:val="clear" w:color="auto" w:fill="auto"/>
            <w:noWrap/>
            <w:vAlign w:val="center"/>
          </w:tcPr>
          <w:p w14:paraId="062FC870"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10.17</w:t>
            </w:r>
          </w:p>
        </w:tc>
        <w:tc>
          <w:tcPr>
            <w:tcW w:w="509" w:type="pct"/>
            <w:shd w:val="clear" w:color="auto" w:fill="auto"/>
            <w:noWrap/>
            <w:vAlign w:val="center"/>
          </w:tcPr>
          <w:p w14:paraId="72292BBA"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5.4436</w:t>
            </w:r>
          </w:p>
        </w:tc>
        <w:tc>
          <w:tcPr>
            <w:tcW w:w="509" w:type="pct"/>
            <w:shd w:val="clear" w:color="auto" w:fill="auto"/>
            <w:noWrap/>
            <w:vAlign w:val="center"/>
          </w:tcPr>
          <w:p w14:paraId="307F83DE"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3.3086</w:t>
            </w:r>
          </w:p>
        </w:tc>
        <w:tc>
          <w:tcPr>
            <w:tcW w:w="509" w:type="pct"/>
            <w:shd w:val="clear" w:color="auto" w:fill="auto"/>
            <w:noWrap/>
            <w:vAlign w:val="center"/>
          </w:tcPr>
          <w:p w14:paraId="26F2BAE2"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3.1754</w:t>
            </w:r>
          </w:p>
        </w:tc>
        <w:tc>
          <w:tcPr>
            <w:tcW w:w="509" w:type="pct"/>
            <w:shd w:val="clear" w:color="auto" w:fill="auto"/>
            <w:noWrap/>
            <w:vAlign w:val="center"/>
          </w:tcPr>
          <w:p w14:paraId="48F844C5"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5.5476</w:t>
            </w:r>
          </w:p>
        </w:tc>
        <w:tc>
          <w:tcPr>
            <w:tcW w:w="509" w:type="pct"/>
            <w:shd w:val="clear" w:color="auto" w:fill="auto"/>
            <w:noWrap/>
            <w:vAlign w:val="center"/>
          </w:tcPr>
          <w:p w14:paraId="77731D25" w14:textId="77777777" w:rsidR="00B0005F" w:rsidRPr="008A2411" w:rsidRDefault="00000000">
            <w:pPr>
              <w:widowControl/>
              <w:jc w:val="center"/>
              <w:textAlignment w:val="center"/>
              <w:rPr>
                <w:rFonts w:ascii="Times New Roman"/>
                <w:color w:val="000000" w:themeColor="text1"/>
                <w:sz w:val="21"/>
                <w:szCs w:val="21"/>
              </w:rPr>
            </w:pPr>
            <w:r w:rsidRPr="008A2411">
              <w:rPr>
                <w:rFonts w:ascii="Times New Roman"/>
                <w:color w:val="000000" w:themeColor="text1"/>
                <w:sz w:val="21"/>
                <w:szCs w:val="21"/>
                <w:lang w:bidi="ar"/>
              </w:rPr>
              <w:t>10.9463</w:t>
            </w:r>
          </w:p>
        </w:tc>
      </w:tr>
    </w:tbl>
    <w:p w14:paraId="16DC5752" w14:textId="77777777" w:rsidR="00B0005F" w:rsidRPr="008A2411" w:rsidRDefault="00B0005F">
      <w:pPr>
        <w:pStyle w:val="a9"/>
        <w:ind w:right="295"/>
        <w:rPr>
          <w:rFonts w:ascii="Times New Roman" w:eastAsia="黑体"/>
          <w:color w:val="000000" w:themeColor="text1"/>
          <w:kern w:val="0"/>
          <w:szCs w:val="20"/>
        </w:rPr>
      </w:pPr>
    </w:p>
    <w:p w14:paraId="1E0E96FE" w14:textId="77777777" w:rsidR="00B0005F" w:rsidRPr="008A2411" w:rsidRDefault="00000000">
      <w:pPr>
        <w:pStyle w:val="a9"/>
        <w:ind w:right="295"/>
        <w:rPr>
          <w:rFonts w:ascii="Times New Roman" w:eastAsia="黑体"/>
          <w:color w:val="000000" w:themeColor="text1"/>
          <w:kern w:val="0"/>
          <w:szCs w:val="20"/>
        </w:rPr>
      </w:pPr>
      <w:r w:rsidRPr="008A2411">
        <w:rPr>
          <w:rFonts w:ascii="Times New Roman" w:eastAsia="黑体"/>
          <w:noProof/>
          <w:color w:val="000000" w:themeColor="text1"/>
          <w:kern w:val="0"/>
          <w:szCs w:val="20"/>
        </w:rPr>
        <w:drawing>
          <wp:inline distT="0" distB="0" distL="114300" distR="114300" wp14:anchorId="2B31E099" wp14:editId="33820627">
            <wp:extent cx="5219700" cy="3086735"/>
            <wp:effectExtent l="0" t="0" r="7620" b="6985"/>
            <wp:docPr id="487" name="图片 487" descr="16522487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7" name="图片 487" descr="1652248711(1)"/>
                    <pic:cNvPicPr>
                      <a:picLocks noChangeAspect="1"/>
                    </pic:cNvPicPr>
                  </pic:nvPicPr>
                  <pic:blipFill>
                    <a:blip r:embed="rId99"/>
                    <a:stretch>
                      <a:fillRect/>
                    </a:stretch>
                  </pic:blipFill>
                  <pic:spPr>
                    <a:xfrm>
                      <a:off x="0" y="0"/>
                      <a:ext cx="5219700" cy="3086735"/>
                    </a:xfrm>
                    <a:prstGeom prst="rect">
                      <a:avLst/>
                    </a:prstGeom>
                  </pic:spPr>
                </pic:pic>
              </a:graphicData>
            </a:graphic>
          </wp:inline>
        </w:drawing>
      </w:r>
    </w:p>
    <w:p w14:paraId="30C35C93" w14:textId="77777777" w:rsidR="00B0005F" w:rsidRPr="008A2411" w:rsidRDefault="00000000">
      <w:pPr>
        <w:pStyle w:val="WJ0"/>
        <w:spacing w:line="240" w:lineRule="auto"/>
        <w:rPr>
          <w:rFonts w:ascii="Times New Roman" w:hAnsi="Times New Roman"/>
          <w:color w:val="000000" w:themeColor="text1"/>
        </w:rPr>
      </w:pPr>
      <w:r w:rsidRPr="008A2411">
        <w:rPr>
          <w:rFonts w:ascii="Times New Roman" w:hAnsi="Times New Roman"/>
          <w:color w:val="000000" w:themeColor="text1"/>
        </w:rPr>
        <w:t>图</w:t>
      </w:r>
      <w:r w:rsidRPr="008A2411">
        <w:rPr>
          <w:rFonts w:ascii="Times New Roman" w:hAnsi="Times New Roman"/>
          <w:color w:val="000000" w:themeColor="text1"/>
        </w:rPr>
        <w:t>6.9-1</w:t>
      </w:r>
      <w:r w:rsidRPr="008A2411">
        <w:rPr>
          <w:rFonts w:ascii="Times New Roman" w:hAnsi="Times New Roman"/>
          <w:color w:val="000000" w:themeColor="text1"/>
        </w:rPr>
        <w:t>事故状态下</w:t>
      </w:r>
      <w:r w:rsidRPr="008A2411">
        <w:rPr>
          <w:rFonts w:ascii="Times New Roman" w:hAnsi="Times New Roman"/>
          <w:color w:val="000000" w:themeColor="text1"/>
        </w:rPr>
        <w:t>COD</w:t>
      </w:r>
      <w:r w:rsidRPr="008A2411">
        <w:rPr>
          <w:rFonts w:ascii="Times New Roman" w:hAnsi="Times New Roman"/>
          <w:color w:val="000000" w:themeColor="text1"/>
        </w:rPr>
        <w:t>一维基本模式间断排放源计算结果图</w:t>
      </w:r>
    </w:p>
    <w:p w14:paraId="51C3461F" w14:textId="77777777" w:rsidR="00B0005F" w:rsidRPr="008A2411" w:rsidRDefault="00B0005F">
      <w:pPr>
        <w:pStyle w:val="L-"/>
        <w:spacing w:line="360" w:lineRule="auto"/>
        <w:ind w:firstLineChars="200"/>
        <w:rPr>
          <w:rFonts w:ascii="Times New Roman" w:cs="Times New Roman"/>
          <w:color w:val="000000" w:themeColor="text1"/>
        </w:rPr>
      </w:pPr>
    </w:p>
    <w:p w14:paraId="4B66017B" w14:textId="0C8F2559" w:rsidR="00B0005F" w:rsidRPr="008A2411" w:rsidRDefault="00000000">
      <w:pPr>
        <w:pStyle w:val="L-"/>
        <w:spacing w:line="360" w:lineRule="auto"/>
        <w:ind w:firstLineChars="200"/>
        <w:rPr>
          <w:rFonts w:ascii="Times New Roman" w:cs="Times New Roman"/>
          <w:color w:val="000000" w:themeColor="text1"/>
        </w:rPr>
      </w:pPr>
      <w:r w:rsidRPr="008A2411">
        <w:rPr>
          <w:rFonts w:ascii="Times New Roman" w:cs="Times New Roman"/>
          <w:color w:val="000000" w:themeColor="text1"/>
        </w:rPr>
        <w:t>通过预测分析可知，在发生污染事故后，在上述预测情景下，下游污染</w:t>
      </w:r>
      <w:proofErr w:type="gramStart"/>
      <w:r w:rsidRPr="008A2411">
        <w:rPr>
          <w:rFonts w:ascii="Times New Roman" w:cs="Times New Roman"/>
          <w:color w:val="000000" w:themeColor="text1"/>
        </w:rPr>
        <w:t>带中心</w:t>
      </w:r>
      <w:proofErr w:type="gramEnd"/>
      <w:r w:rsidRPr="008A2411">
        <w:rPr>
          <w:rFonts w:ascii="Times New Roman" w:cs="Times New Roman"/>
          <w:color w:val="000000" w:themeColor="text1"/>
        </w:rPr>
        <w:t>COD</w:t>
      </w:r>
      <w:r w:rsidRPr="008A2411">
        <w:rPr>
          <w:rFonts w:ascii="Times New Roman" w:cs="Times New Roman"/>
          <w:color w:val="000000" w:themeColor="text1"/>
        </w:rPr>
        <w:t>浓度最大贡献值为</w:t>
      </w:r>
      <w:r w:rsidRPr="008A2411">
        <w:rPr>
          <w:rFonts w:ascii="Times New Roman" w:cs="Times New Roman"/>
          <w:color w:val="000000" w:themeColor="text1"/>
        </w:rPr>
        <w:t>977.4mg/L</w:t>
      </w:r>
      <w:r w:rsidRPr="008A2411">
        <w:rPr>
          <w:rFonts w:ascii="Times New Roman" w:cs="Times New Roman"/>
          <w:color w:val="000000" w:themeColor="text1"/>
        </w:rPr>
        <w:t>（对应距离为下游</w:t>
      </w:r>
      <w:r w:rsidRPr="008A2411">
        <w:rPr>
          <w:rFonts w:ascii="Times New Roman" w:cs="Times New Roman"/>
          <w:color w:val="000000" w:themeColor="text1"/>
        </w:rPr>
        <w:t>110m</w:t>
      </w:r>
      <w:r w:rsidRPr="008A2411">
        <w:rPr>
          <w:rFonts w:ascii="Times New Roman" w:cs="Times New Roman"/>
          <w:color w:val="000000" w:themeColor="text1"/>
        </w:rPr>
        <w:t>，事故</w:t>
      </w:r>
      <w:r w:rsidR="00AB2E38" w:rsidRPr="008A2411">
        <w:rPr>
          <w:rFonts w:ascii="Times New Roman" w:cs="Times New Roman"/>
          <w:color w:val="000000" w:themeColor="text1"/>
        </w:rPr>
        <w:t>泄漏</w:t>
      </w:r>
      <w:r w:rsidRPr="008A2411">
        <w:rPr>
          <w:rFonts w:ascii="Times New Roman" w:cs="Times New Roman"/>
          <w:color w:val="000000" w:themeColor="text1"/>
        </w:rPr>
        <w:t>2000s</w:t>
      </w:r>
      <w:r w:rsidRPr="008A2411">
        <w:rPr>
          <w:rFonts w:ascii="Times New Roman" w:cs="Times New Roman"/>
          <w:color w:val="000000" w:themeColor="text1"/>
        </w:rPr>
        <w:t>后）。预测点下游</w:t>
      </w:r>
      <w:r w:rsidRPr="008A2411">
        <w:rPr>
          <w:rFonts w:ascii="Times New Roman" w:cs="Times New Roman"/>
          <w:color w:val="000000" w:themeColor="text1"/>
        </w:rPr>
        <w:t>11.6km</w:t>
      </w:r>
      <w:r w:rsidRPr="008A2411">
        <w:rPr>
          <w:rFonts w:ascii="Times New Roman" w:cs="Times New Roman"/>
          <w:color w:val="000000" w:themeColor="text1"/>
        </w:rPr>
        <w:t>外污染物</w:t>
      </w:r>
      <w:r w:rsidRPr="008A2411">
        <w:rPr>
          <w:rFonts w:ascii="Times New Roman" w:cs="Times New Roman"/>
          <w:color w:val="000000" w:themeColor="text1"/>
        </w:rPr>
        <w:t>COD</w:t>
      </w:r>
      <w:r w:rsidRPr="008A2411">
        <w:rPr>
          <w:rFonts w:ascii="Times New Roman" w:cs="Times New Roman"/>
          <w:color w:val="000000" w:themeColor="text1"/>
        </w:rPr>
        <w:t>浓度值满足《地表水环境质量标准》（</w:t>
      </w:r>
      <w:r w:rsidRPr="008A2411">
        <w:rPr>
          <w:rFonts w:ascii="Times New Roman" w:cs="Times New Roman"/>
          <w:color w:val="000000" w:themeColor="text1"/>
        </w:rPr>
        <w:t>GB3838-2002</w:t>
      </w:r>
      <w:r w:rsidRPr="008A2411">
        <w:rPr>
          <w:rFonts w:ascii="Times New Roman" w:cs="Times New Roman"/>
          <w:color w:val="000000" w:themeColor="text1"/>
        </w:rPr>
        <w:t>）中的</w:t>
      </w:r>
      <w:r w:rsidRPr="008A2411">
        <w:rPr>
          <w:rFonts w:ascii="Times New Roman" w:cs="Times New Roman"/>
          <w:color w:val="000000" w:themeColor="text1"/>
        </w:rPr>
        <w:t>Ⅲ</w:t>
      </w:r>
      <w:r w:rsidRPr="008A2411">
        <w:rPr>
          <w:rFonts w:ascii="Times New Roman" w:cs="Times New Roman"/>
          <w:color w:val="000000" w:themeColor="text1"/>
        </w:rPr>
        <w:t>类标准限制要求，对应的预测时限为事故</w:t>
      </w:r>
      <w:r w:rsidR="00AB2E38" w:rsidRPr="008A2411">
        <w:rPr>
          <w:rFonts w:ascii="Times New Roman" w:cs="Times New Roman"/>
          <w:color w:val="000000" w:themeColor="text1"/>
        </w:rPr>
        <w:t>泄漏</w:t>
      </w:r>
      <w:r w:rsidRPr="008A2411">
        <w:rPr>
          <w:rFonts w:ascii="Times New Roman" w:cs="Times New Roman"/>
          <w:color w:val="000000" w:themeColor="text1"/>
        </w:rPr>
        <w:t>68400s</w:t>
      </w:r>
      <w:r w:rsidRPr="008A2411">
        <w:rPr>
          <w:rFonts w:ascii="Times New Roman" w:cs="Times New Roman"/>
          <w:color w:val="000000" w:themeColor="text1"/>
        </w:rPr>
        <w:t>。表明事故状态下废水泄漏将对泄漏点下游地表水环境质量造成一定的污染影响，且在泄漏点下游</w:t>
      </w:r>
      <w:r w:rsidRPr="008A2411">
        <w:rPr>
          <w:rFonts w:ascii="Times New Roman" w:cs="Times New Roman"/>
          <w:color w:val="000000" w:themeColor="text1"/>
        </w:rPr>
        <w:t>5.6km</w:t>
      </w:r>
      <w:r w:rsidRPr="008A2411">
        <w:rPr>
          <w:rFonts w:ascii="Times New Roman" w:cs="Times New Roman"/>
          <w:color w:val="000000" w:themeColor="text1"/>
        </w:rPr>
        <w:t>处，泄漏物质汇入后河，因此，在发生</w:t>
      </w:r>
      <w:r w:rsidRPr="008A2411">
        <w:rPr>
          <w:rFonts w:ascii="Times New Roman" w:cs="Times New Roman" w:hint="eastAsia"/>
          <w:color w:val="000000" w:themeColor="text1"/>
        </w:rPr>
        <w:t>吸收</w:t>
      </w:r>
      <w:r w:rsidRPr="008A2411">
        <w:rPr>
          <w:rFonts w:ascii="Times New Roman" w:cs="Times New Roman"/>
          <w:color w:val="000000" w:themeColor="text1"/>
        </w:rPr>
        <w:t>塔内泄漏事故，并导致溶液泄漏全部进入后巴河后，会导致下游</w:t>
      </w:r>
      <w:r w:rsidRPr="008A2411">
        <w:rPr>
          <w:rFonts w:ascii="Times New Roman" w:cs="Times New Roman"/>
          <w:color w:val="000000" w:themeColor="text1"/>
        </w:rPr>
        <w:t>5.6km</w:t>
      </w:r>
      <w:r w:rsidRPr="008A2411">
        <w:rPr>
          <w:rFonts w:ascii="Times New Roman" w:cs="Times New Roman"/>
          <w:color w:val="000000" w:themeColor="text1"/>
        </w:rPr>
        <w:t>处的后河汇入点出线一定程度的水质超标影响。</w:t>
      </w:r>
    </w:p>
    <w:p w14:paraId="2353ACF1" w14:textId="77777777" w:rsidR="00B0005F" w:rsidRPr="008A2411" w:rsidRDefault="00000000">
      <w:pPr>
        <w:pStyle w:val="aff"/>
        <w:adjustRightInd w:val="0"/>
        <w:snapToGrid w:val="0"/>
        <w:spacing w:line="360" w:lineRule="auto"/>
        <w:ind w:firstLineChars="200" w:firstLine="482"/>
        <w:rPr>
          <w:rFonts w:ascii="Times New Roman"/>
          <w:b/>
          <w:bCs/>
          <w:color w:val="000000" w:themeColor="text1"/>
        </w:rPr>
      </w:pPr>
      <w:r w:rsidRPr="008A2411">
        <w:rPr>
          <w:rFonts w:ascii="Times New Roman"/>
          <w:b/>
          <w:bCs/>
          <w:color w:val="000000" w:themeColor="text1"/>
        </w:rPr>
        <w:t>因此，建议建设单位必须严格落实场内各事故池</w:t>
      </w:r>
      <w:r w:rsidRPr="008A2411">
        <w:rPr>
          <w:rFonts w:ascii="Times New Roman" w:hint="eastAsia"/>
          <w:b/>
          <w:bCs/>
          <w:color w:val="000000" w:themeColor="text1"/>
        </w:rPr>
        <w:t>、装置区围堰</w:t>
      </w:r>
      <w:r w:rsidRPr="008A2411">
        <w:rPr>
          <w:rFonts w:ascii="Times New Roman"/>
          <w:b/>
          <w:bCs/>
          <w:color w:val="000000" w:themeColor="text1"/>
        </w:rPr>
        <w:t>与</w:t>
      </w:r>
      <w:r w:rsidRPr="008A2411">
        <w:rPr>
          <w:rFonts w:ascii="Times New Roman" w:hint="eastAsia"/>
          <w:b/>
          <w:bCs/>
          <w:color w:val="000000" w:themeColor="text1"/>
        </w:rPr>
        <w:t>厂区排放口的截断装置</w:t>
      </w:r>
      <w:r w:rsidRPr="008A2411">
        <w:rPr>
          <w:rFonts w:ascii="Times New Roman"/>
          <w:b/>
          <w:bCs/>
          <w:color w:val="000000" w:themeColor="text1"/>
        </w:rPr>
        <w:t>的建设，运营</w:t>
      </w:r>
      <w:proofErr w:type="gramStart"/>
      <w:r w:rsidRPr="008A2411">
        <w:rPr>
          <w:rFonts w:ascii="Times New Roman"/>
          <w:b/>
          <w:bCs/>
          <w:color w:val="000000" w:themeColor="text1"/>
        </w:rPr>
        <w:t>期加强</w:t>
      </w:r>
      <w:proofErr w:type="gramEnd"/>
      <w:r w:rsidRPr="008A2411">
        <w:rPr>
          <w:rFonts w:ascii="Times New Roman"/>
          <w:b/>
          <w:bCs/>
          <w:color w:val="000000" w:themeColor="text1"/>
        </w:rPr>
        <w:t>管理，确保发生风险事故时各类废水可通过</w:t>
      </w:r>
      <w:proofErr w:type="gramStart"/>
      <w:r w:rsidRPr="008A2411">
        <w:rPr>
          <w:rFonts w:ascii="Times New Roman"/>
          <w:b/>
          <w:bCs/>
          <w:color w:val="000000" w:themeColor="text1"/>
        </w:rPr>
        <w:lastRenderedPageBreak/>
        <w:t>截</w:t>
      </w:r>
      <w:proofErr w:type="gramEnd"/>
      <w:r w:rsidRPr="008A2411">
        <w:rPr>
          <w:rFonts w:ascii="Times New Roman"/>
          <w:b/>
          <w:bCs/>
          <w:color w:val="000000" w:themeColor="text1"/>
        </w:rPr>
        <w:t>排水沟进入事故池，杜绝泄漏溶液或废水流入后巴河，尽量降低事故状态下对周边地表水环境的影响。</w:t>
      </w:r>
    </w:p>
    <w:p w14:paraId="5C1E6A8C" w14:textId="77777777" w:rsidR="00B0005F" w:rsidRPr="008A2411" w:rsidRDefault="00000000">
      <w:pPr>
        <w:pStyle w:val="affffffffffffffffffff6"/>
        <w:snapToGrid/>
        <w:outlineLvl w:val="1"/>
        <w:rPr>
          <w:rFonts w:ascii="Times New Roman"/>
          <w:bCs/>
          <w:color w:val="000000" w:themeColor="text1"/>
          <w:sz w:val="28"/>
          <w:szCs w:val="28"/>
          <w:lang w:bidi="en-US"/>
        </w:rPr>
      </w:pPr>
      <w:bookmarkStart w:id="526" w:name="_Toc84606490"/>
      <w:bookmarkStart w:id="527" w:name="_Toc109170781"/>
      <w:r w:rsidRPr="008A2411">
        <w:rPr>
          <w:rFonts w:ascii="Times New Roman"/>
          <w:bCs/>
          <w:color w:val="000000" w:themeColor="text1"/>
          <w:sz w:val="28"/>
          <w:szCs w:val="28"/>
          <w:lang w:bidi="en-US"/>
        </w:rPr>
        <w:t>6.10</w:t>
      </w:r>
      <w:bookmarkStart w:id="528" w:name="_Toc468142936"/>
      <w:bookmarkStart w:id="529" w:name="_Toc444087542"/>
      <w:bookmarkStart w:id="530" w:name="_Toc445424535"/>
      <w:bookmarkStart w:id="531" w:name="_Toc469780874"/>
      <w:r w:rsidRPr="008A2411">
        <w:rPr>
          <w:rFonts w:ascii="Times New Roman"/>
          <w:bCs/>
          <w:color w:val="000000" w:themeColor="text1"/>
          <w:sz w:val="28"/>
          <w:szCs w:val="28"/>
          <w:lang w:bidi="en-US"/>
        </w:rPr>
        <w:t>其他环境风险分析</w:t>
      </w:r>
      <w:bookmarkEnd w:id="528"/>
      <w:bookmarkEnd w:id="529"/>
      <w:bookmarkEnd w:id="530"/>
      <w:bookmarkEnd w:id="531"/>
      <w:r w:rsidRPr="008A2411">
        <w:rPr>
          <w:rFonts w:ascii="Times New Roman"/>
          <w:bCs/>
          <w:color w:val="000000" w:themeColor="text1"/>
          <w:sz w:val="28"/>
          <w:szCs w:val="28"/>
          <w:lang w:bidi="en-US"/>
        </w:rPr>
        <w:t>与评价</w:t>
      </w:r>
      <w:bookmarkEnd w:id="526"/>
      <w:bookmarkEnd w:id="527"/>
    </w:p>
    <w:p w14:paraId="15EA6443" w14:textId="77777777" w:rsidR="00B0005F" w:rsidRPr="008A2411" w:rsidRDefault="00000000">
      <w:pPr>
        <w:pStyle w:val="affffffffffffffffffff6"/>
        <w:snapToGrid/>
        <w:outlineLvl w:val="2"/>
        <w:rPr>
          <w:rFonts w:ascii="Times New Roman"/>
          <w:b/>
          <w:color w:val="000000" w:themeColor="text1"/>
          <w:sz w:val="24"/>
          <w:szCs w:val="24"/>
          <w:lang w:bidi="en-US"/>
        </w:rPr>
      </w:pPr>
      <w:r w:rsidRPr="008A2411">
        <w:rPr>
          <w:rFonts w:ascii="Times New Roman"/>
          <w:b/>
          <w:color w:val="000000" w:themeColor="text1"/>
          <w:sz w:val="24"/>
          <w:szCs w:val="24"/>
          <w:lang w:bidi="en-US"/>
        </w:rPr>
        <w:t>6.10.1</w:t>
      </w:r>
      <w:r w:rsidRPr="008A2411">
        <w:rPr>
          <w:rFonts w:ascii="Times New Roman"/>
          <w:b/>
          <w:color w:val="000000" w:themeColor="text1"/>
          <w:sz w:val="24"/>
          <w:szCs w:val="24"/>
          <w:lang w:bidi="en-US"/>
        </w:rPr>
        <w:t>液体泄漏事故影响分析与评价</w:t>
      </w:r>
    </w:p>
    <w:p w14:paraId="5C152B4A"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根据站场平面布置，主要环境风险影响为装置区溶液及废水泄漏。</w:t>
      </w:r>
    </w:p>
    <w:p w14:paraId="332AA4A1"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本项目主要生产装置、废水处理区等辅助设施均设置在地质稳定的混凝土基础上，装置区地面均采取了重点防渗措施，并对溶剂储罐设置了防渗围堰，厂界四周设置了闭环沟。本项目生产装置采用模块化设计，</w:t>
      </w:r>
      <w:proofErr w:type="gramStart"/>
      <w:r w:rsidRPr="008A2411">
        <w:rPr>
          <w:rFonts w:ascii="Times New Roman"/>
          <w:bCs/>
          <w:color w:val="000000" w:themeColor="text1"/>
        </w:rPr>
        <w:t>橇</w:t>
      </w:r>
      <w:proofErr w:type="gramEnd"/>
      <w:r w:rsidRPr="008A2411">
        <w:rPr>
          <w:rFonts w:ascii="Times New Roman"/>
          <w:bCs/>
          <w:color w:val="000000" w:themeColor="text1"/>
        </w:rPr>
        <w:t>装装置均在工厂内检验合格后整体运至站场进行组装，验收合格后方可投入使用，发生大量泄漏的几率很小，一般情况管道阀门泄漏和少量跑冒</w:t>
      </w:r>
      <w:proofErr w:type="gramStart"/>
      <w:r w:rsidRPr="008A2411">
        <w:rPr>
          <w:rFonts w:ascii="Times New Roman"/>
          <w:bCs/>
          <w:color w:val="000000" w:themeColor="text1"/>
        </w:rPr>
        <w:t>漏滴均收集</w:t>
      </w:r>
      <w:proofErr w:type="gramEnd"/>
      <w:r w:rsidRPr="008A2411">
        <w:rPr>
          <w:rFonts w:ascii="Times New Roman"/>
          <w:bCs/>
          <w:color w:val="000000" w:themeColor="text1"/>
        </w:rPr>
        <w:t>在装置地面的围堰内，最终流入污水池中。本项目设有生产污水池，主要用于收集脱盐水系统排水、锅炉排水、外循环系统排水等环境影响相对较小的废水，装置区地面围堰收集的废水均可通过地形坡度自流进入生产污水池。</w:t>
      </w:r>
    </w:p>
    <w:p w14:paraId="05FA79CD"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根据工程分析，事故应急池容积能够满足单个设备全部泄漏的事故应急严要求。本项目要求，本项目运行期间应及时转运生产污水池中的废水，确保生产污水池剩余容积能够满足生产的需求，事故应急池应</w:t>
      </w:r>
      <w:proofErr w:type="gramStart"/>
      <w:r w:rsidRPr="008A2411">
        <w:rPr>
          <w:rFonts w:ascii="Times New Roman"/>
          <w:bCs/>
          <w:color w:val="000000" w:themeColor="text1"/>
        </w:rPr>
        <w:t>处于常空状态</w:t>
      </w:r>
      <w:proofErr w:type="gramEnd"/>
      <w:r w:rsidRPr="008A2411">
        <w:rPr>
          <w:rFonts w:ascii="Times New Roman"/>
          <w:bCs/>
          <w:color w:val="000000" w:themeColor="text1"/>
        </w:rPr>
        <w:t>。</w:t>
      </w:r>
    </w:p>
    <w:p w14:paraId="751F619F"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本项目单个装置均在进场前完成了修造和检验，仅在现场进行拼装连接，因此发生大量泄漏的机率很小，一旦产生液体泄漏，且生产污水池、事故应急池、厂界排水沟不足以收集事故废水量时，根据周边地势，事故废水将流到站场外的水渠、流入站场周边的耕地，对耕地土壤和地下水造成污染，造成经济影响。</w:t>
      </w:r>
    </w:p>
    <w:p w14:paraId="4FF0FAC9"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风险事故状态下，大量泄漏的污染物通过土壤渗入地下或直接进入浅层地下水含水层，呈点状或块状污染潜水。随着源强浓度的降低，扩散速度缓慢。发生大量泄漏并已发生外溢污染事故时，站场人员应立即启动环境风险事故应急预案，通知下游居民，立即开展对泄漏场地及下游的环境监测，根据监测结果可采取挖除受污染土壤等措施，控制污染物进入环境的量，降低事故污染源强，减小影响范围，对已受影响的农户采取经济赔偿，购买桶装水等方式进行补救。</w:t>
      </w:r>
    </w:p>
    <w:p w14:paraId="6AD1CBC1" w14:textId="77777777" w:rsidR="00B0005F" w:rsidRPr="008A2411" w:rsidRDefault="00000000">
      <w:pPr>
        <w:pStyle w:val="affffffffffffffffffff6"/>
        <w:snapToGrid/>
        <w:outlineLvl w:val="2"/>
        <w:rPr>
          <w:rFonts w:ascii="Times New Roman"/>
          <w:b/>
          <w:color w:val="000000" w:themeColor="text1"/>
          <w:sz w:val="24"/>
          <w:szCs w:val="24"/>
          <w:lang w:bidi="en-US"/>
        </w:rPr>
      </w:pPr>
      <w:r w:rsidRPr="008A2411">
        <w:rPr>
          <w:rFonts w:ascii="Times New Roman"/>
          <w:b/>
          <w:color w:val="000000" w:themeColor="text1"/>
          <w:sz w:val="24"/>
          <w:szCs w:val="24"/>
          <w:lang w:bidi="en-US"/>
        </w:rPr>
        <w:t>6.10.2</w:t>
      </w:r>
      <w:r w:rsidRPr="008A2411">
        <w:rPr>
          <w:rFonts w:ascii="Times New Roman"/>
          <w:b/>
          <w:color w:val="000000" w:themeColor="text1"/>
          <w:sz w:val="24"/>
          <w:szCs w:val="24"/>
          <w:lang w:bidi="en-US"/>
        </w:rPr>
        <w:t>事故废水影响分析与评价</w:t>
      </w:r>
    </w:p>
    <w:p w14:paraId="0D82AA0C"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环境安全的第一层防控网，防止污染雨水和轻微事故泄漏造成的环境污染。</w:t>
      </w:r>
    </w:p>
    <w:p w14:paraId="68C23672"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二级防控措施，在每个井场设置事故水池，切断污染物与外部的通道、导入污水处理系统，将污染控制在厂内，防止重大事故泄漏物料和污染消防水造成的</w:t>
      </w:r>
      <w:r w:rsidRPr="008A2411">
        <w:rPr>
          <w:rFonts w:ascii="Times New Roman"/>
          <w:bCs/>
          <w:color w:val="000000" w:themeColor="text1"/>
        </w:rPr>
        <w:lastRenderedPageBreak/>
        <w:t>环境污染。</w:t>
      </w:r>
    </w:p>
    <w:p w14:paraId="7DAF9411"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当发生火灾、爆炸等事故时所有污水将进入事故水池，足够容纳一次消防事故排水，能够确保废水不会直接进入地表水环境。因此，本项目在发生火灾、爆炸等事故时不会有污水进入外环境。</w:t>
      </w:r>
    </w:p>
    <w:p w14:paraId="53D05C84"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事故结束后，站场事故废水直接</w:t>
      </w:r>
      <w:proofErr w:type="gramStart"/>
      <w:r w:rsidRPr="008A2411">
        <w:rPr>
          <w:rFonts w:ascii="Times New Roman"/>
          <w:bCs/>
          <w:color w:val="000000" w:themeColor="text1"/>
        </w:rPr>
        <w:t>送配套</w:t>
      </w:r>
      <w:proofErr w:type="gramEnd"/>
      <w:r w:rsidRPr="008A2411">
        <w:rPr>
          <w:rFonts w:ascii="Times New Roman"/>
          <w:bCs/>
          <w:color w:val="000000" w:themeColor="text1"/>
        </w:rPr>
        <w:t>的污水处理站处理。如果污水处理站处理能力不足的情况下，应及时调集罐车拉运至宣汉县普光工业园区污水处理厂进行处理。</w:t>
      </w:r>
    </w:p>
    <w:p w14:paraId="7B7A1608" w14:textId="77777777" w:rsidR="00B0005F" w:rsidRPr="008A2411" w:rsidRDefault="00000000">
      <w:pPr>
        <w:pStyle w:val="affffffffffffffffffff6"/>
        <w:snapToGrid/>
        <w:outlineLvl w:val="1"/>
        <w:rPr>
          <w:rFonts w:ascii="Times New Roman"/>
          <w:bCs/>
          <w:color w:val="000000" w:themeColor="text1"/>
          <w:sz w:val="28"/>
          <w:szCs w:val="28"/>
          <w:lang w:bidi="en-US"/>
        </w:rPr>
      </w:pPr>
      <w:bookmarkStart w:id="532" w:name="_Toc84606491"/>
      <w:bookmarkStart w:id="533" w:name="_Toc75096630"/>
      <w:bookmarkStart w:id="534" w:name="_Toc75094534"/>
      <w:bookmarkStart w:id="535" w:name="_Toc109170782"/>
      <w:r w:rsidRPr="008A2411">
        <w:rPr>
          <w:rFonts w:ascii="Times New Roman"/>
          <w:bCs/>
          <w:color w:val="000000" w:themeColor="text1"/>
          <w:sz w:val="28"/>
          <w:szCs w:val="28"/>
          <w:lang w:bidi="en-US"/>
        </w:rPr>
        <w:t>6.11</w:t>
      </w:r>
      <w:r w:rsidRPr="008A2411">
        <w:rPr>
          <w:rFonts w:ascii="Times New Roman"/>
          <w:bCs/>
          <w:color w:val="000000" w:themeColor="text1"/>
          <w:sz w:val="28"/>
          <w:szCs w:val="28"/>
          <w:lang w:bidi="en-US"/>
        </w:rPr>
        <w:t>环境风险管理及防范措施</w:t>
      </w:r>
      <w:bookmarkEnd w:id="532"/>
      <w:bookmarkEnd w:id="533"/>
      <w:bookmarkEnd w:id="534"/>
      <w:bookmarkEnd w:id="535"/>
    </w:p>
    <w:p w14:paraId="15AC2832" w14:textId="77777777" w:rsidR="00B0005F" w:rsidRPr="008A2411" w:rsidRDefault="00000000">
      <w:pPr>
        <w:pStyle w:val="affffffffffffffffffff6"/>
        <w:snapToGrid/>
        <w:outlineLvl w:val="2"/>
        <w:rPr>
          <w:rFonts w:ascii="Times New Roman"/>
          <w:b/>
          <w:color w:val="000000" w:themeColor="text1"/>
          <w:sz w:val="24"/>
          <w:szCs w:val="24"/>
          <w:lang w:bidi="en-US"/>
        </w:rPr>
      </w:pPr>
      <w:r w:rsidRPr="008A2411">
        <w:rPr>
          <w:rFonts w:ascii="Times New Roman"/>
          <w:b/>
          <w:color w:val="000000" w:themeColor="text1"/>
          <w:sz w:val="24"/>
          <w:szCs w:val="24"/>
          <w:lang w:bidi="en-US"/>
        </w:rPr>
        <w:t>6.11.1</w:t>
      </w:r>
      <w:r w:rsidRPr="008A2411">
        <w:rPr>
          <w:rFonts w:ascii="Times New Roman"/>
          <w:b/>
          <w:color w:val="000000" w:themeColor="text1"/>
          <w:sz w:val="24"/>
          <w:szCs w:val="24"/>
          <w:lang w:bidi="en-US"/>
        </w:rPr>
        <w:t>风险管理措施</w:t>
      </w:r>
    </w:p>
    <w:p w14:paraId="088EC03D"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在项目设计、施工和生产过程中，应严格按照</w:t>
      </w:r>
      <w:r w:rsidRPr="008A2411">
        <w:rPr>
          <w:rFonts w:ascii="Times New Roman"/>
          <w:bCs/>
          <w:color w:val="000000" w:themeColor="text1"/>
        </w:rPr>
        <w:t>HSE</w:t>
      </w:r>
      <w:r w:rsidRPr="008A2411">
        <w:rPr>
          <w:rFonts w:ascii="Times New Roman"/>
          <w:bCs/>
          <w:color w:val="000000" w:themeColor="text1"/>
        </w:rPr>
        <w:t>管理体系进行操作，包括：</w:t>
      </w:r>
    </w:p>
    <w:p w14:paraId="67718EDE"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1</w:t>
      </w:r>
      <w:r w:rsidRPr="008A2411">
        <w:rPr>
          <w:rFonts w:ascii="Times New Roman"/>
          <w:bCs/>
          <w:color w:val="000000" w:themeColor="text1"/>
        </w:rPr>
        <w:t>）严格执行国家安全卫生标准规范及相关的法律法规，在进行地面开发建设的同时，对安全、防火、防爆、劳动保护等方面进行综合考虑；</w:t>
      </w:r>
    </w:p>
    <w:p w14:paraId="0A82C905"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2</w:t>
      </w:r>
      <w:r w:rsidRPr="008A2411">
        <w:rPr>
          <w:rFonts w:ascii="Times New Roman"/>
          <w:bCs/>
          <w:color w:val="000000" w:themeColor="text1"/>
        </w:rPr>
        <w:t>）制定安全生产方针、政策、计划和各种规范，完善安全管理制度和安全操作规程，建立健全环境管理体系和监测体系，完善各种规章制度标准；</w:t>
      </w:r>
    </w:p>
    <w:p w14:paraId="56668DA5"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3</w:t>
      </w:r>
      <w:r w:rsidRPr="008A2411">
        <w:rPr>
          <w:rFonts w:ascii="Times New Roman"/>
          <w:bCs/>
          <w:color w:val="000000" w:themeColor="text1"/>
        </w:rPr>
        <w:t>）对施工单位及个人定期进行环保安全教育，增强职工的环保意识和安全意识；</w:t>
      </w:r>
    </w:p>
    <w:p w14:paraId="3754E210"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4</w:t>
      </w:r>
      <w:r w:rsidRPr="008A2411">
        <w:rPr>
          <w:rFonts w:ascii="Times New Roman"/>
          <w:bCs/>
          <w:color w:val="000000" w:themeColor="text1"/>
        </w:rPr>
        <w:t>）在施工过程、选材等环节严守质量关，加强技术工人的培训，提高操作水平；</w:t>
      </w:r>
    </w:p>
    <w:p w14:paraId="4E714199"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5</w:t>
      </w:r>
      <w:r w:rsidRPr="008A2411">
        <w:rPr>
          <w:rFonts w:ascii="Times New Roman"/>
          <w:bCs/>
          <w:color w:val="000000" w:themeColor="text1"/>
        </w:rPr>
        <w:t>）在作业前进行隐患分析评估，制定切实可行的措施计划，在作业过程中严格监督检查，定期考核，从源头上解决安全隐患问题；</w:t>
      </w:r>
    </w:p>
    <w:p w14:paraId="69EE76DA"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6</w:t>
      </w:r>
      <w:r w:rsidRPr="008A2411">
        <w:rPr>
          <w:rFonts w:ascii="Times New Roman"/>
          <w:bCs/>
          <w:color w:val="000000" w:themeColor="text1"/>
        </w:rPr>
        <w:t>）风险管理是一个动态、循环的过程，应对不断变化的风险进行评价，并对相应安全维护措施做出调整。</w:t>
      </w:r>
    </w:p>
    <w:p w14:paraId="7C527517" w14:textId="77777777" w:rsidR="00B0005F" w:rsidRPr="008A2411" w:rsidRDefault="00000000">
      <w:pPr>
        <w:pStyle w:val="affffffffffffffffffff6"/>
        <w:snapToGrid/>
        <w:outlineLvl w:val="2"/>
        <w:rPr>
          <w:rFonts w:ascii="Times New Roman"/>
          <w:b/>
          <w:color w:val="000000" w:themeColor="text1"/>
          <w:sz w:val="24"/>
          <w:szCs w:val="24"/>
          <w:lang w:bidi="en-US"/>
        </w:rPr>
      </w:pPr>
      <w:r w:rsidRPr="008A2411">
        <w:rPr>
          <w:rFonts w:ascii="Times New Roman"/>
          <w:b/>
          <w:color w:val="000000" w:themeColor="text1"/>
          <w:sz w:val="24"/>
          <w:szCs w:val="24"/>
          <w:lang w:bidi="en-US"/>
        </w:rPr>
        <w:t>6.11.2</w:t>
      </w:r>
      <w:r w:rsidRPr="008A2411">
        <w:rPr>
          <w:rFonts w:ascii="Times New Roman"/>
          <w:b/>
          <w:color w:val="000000" w:themeColor="text1"/>
          <w:sz w:val="24"/>
          <w:szCs w:val="24"/>
          <w:lang w:bidi="en-US"/>
        </w:rPr>
        <w:t>风险防范措施</w:t>
      </w:r>
    </w:p>
    <w:p w14:paraId="0262E2C7" w14:textId="77777777" w:rsidR="00B0005F" w:rsidRPr="008A2411" w:rsidRDefault="00000000">
      <w:pPr>
        <w:spacing w:line="360" w:lineRule="auto"/>
        <w:ind w:firstLineChars="200" w:firstLine="482"/>
        <w:outlineLvl w:val="3"/>
        <w:rPr>
          <w:rFonts w:ascii="Times New Roman"/>
          <w:b/>
          <w:bCs/>
          <w:color w:val="000000" w:themeColor="text1"/>
        </w:rPr>
      </w:pPr>
      <w:r w:rsidRPr="008A2411">
        <w:rPr>
          <w:rFonts w:ascii="Times New Roman"/>
          <w:b/>
          <w:bCs/>
          <w:color w:val="000000" w:themeColor="text1"/>
        </w:rPr>
        <w:t>6.11.2.1</w:t>
      </w:r>
      <w:r w:rsidRPr="008A2411">
        <w:rPr>
          <w:rFonts w:ascii="Times New Roman"/>
          <w:b/>
          <w:bCs/>
          <w:color w:val="000000" w:themeColor="text1"/>
        </w:rPr>
        <w:t>站场部分</w:t>
      </w:r>
    </w:p>
    <w:p w14:paraId="26A2A3AB"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1</w:t>
      </w:r>
      <w:r w:rsidRPr="008A2411">
        <w:rPr>
          <w:rFonts w:ascii="Times New Roman"/>
          <w:bCs/>
          <w:color w:val="000000" w:themeColor="text1"/>
        </w:rPr>
        <w:t>）工艺设计</w:t>
      </w:r>
    </w:p>
    <w:p w14:paraId="486D9384"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1</w:t>
      </w:r>
      <w:r w:rsidRPr="008A2411">
        <w:rPr>
          <w:rFonts w:ascii="Times New Roman"/>
          <w:bCs/>
          <w:color w:val="000000" w:themeColor="text1"/>
        </w:rPr>
        <w:t>）压力设备的强度设计应满足运行工况变化的要求，</w:t>
      </w:r>
      <w:proofErr w:type="gramStart"/>
      <w:r w:rsidRPr="008A2411">
        <w:rPr>
          <w:rFonts w:ascii="Times New Roman"/>
          <w:bCs/>
          <w:color w:val="000000" w:themeColor="text1"/>
        </w:rPr>
        <w:t>宜设置</w:t>
      </w:r>
      <w:proofErr w:type="gramEnd"/>
      <w:r w:rsidRPr="008A2411">
        <w:rPr>
          <w:rFonts w:ascii="Times New Roman"/>
          <w:bCs/>
          <w:color w:val="000000" w:themeColor="text1"/>
        </w:rPr>
        <w:t>气体的限量、限压设施。进、出站管线必须设置截断阀，截断阀的位置应与工艺装置区保持一定距离，确保在紧急情况下便于接近和操作。</w:t>
      </w:r>
    </w:p>
    <w:p w14:paraId="2EC108DE"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2</w:t>
      </w:r>
      <w:r w:rsidRPr="008A2411">
        <w:rPr>
          <w:rFonts w:ascii="Times New Roman"/>
          <w:bCs/>
          <w:color w:val="000000" w:themeColor="text1"/>
        </w:rPr>
        <w:t>）站场配备足够数量的正压式空气呼吸器及与空气呼吸器气瓶压力相应的</w:t>
      </w:r>
      <w:r w:rsidRPr="008A2411">
        <w:rPr>
          <w:rFonts w:ascii="Times New Roman"/>
          <w:bCs/>
          <w:color w:val="000000" w:themeColor="text1"/>
        </w:rPr>
        <w:lastRenderedPageBreak/>
        <w:t>空气压缩机。</w:t>
      </w:r>
    </w:p>
    <w:p w14:paraId="3E7E054A"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3</w:t>
      </w:r>
      <w:r w:rsidRPr="008A2411">
        <w:rPr>
          <w:rFonts w:ascii="Times New Roman"/>
          <w:bCs/>
          <w:color w:val="000000" w:themeColor="text1"/>
        </w:rPr>
        <w:t>）站场内设有安全泄放系统，当系统出现超压时，通过设在系统中的安全阀或手动放空阀，自动或手动放空。</w:t>
      </w:r>
    </w:p>
    <w:p w14:paraId="039DBD28"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4</w:t>
      </w:r>
      <w:r w:rsidRPr="008A2411">
        <w:rPr>
          <w:rFonts w:ascii="Times New Roman"/>
          <w:bCs/>
          <w:color w:val="000000" w:themeColor="text1"/>
        </w:rPr>
        <w:t>）站场发生泄漏事故，装置紧急关断系统（</w:t>
      </w:r>
      <w:r w:rsidRPr="008A2411">
        <w:rPr>
          <w:rFonts w:ascii="Times New Roman"/>
          <w:bCs/>
          <w:color w:val="000000" w:themeColor="text1"/>
        </w:rPr>
        <w:t>ESD</w:t>
      </w:r>
      <w:r w:rsidRPr="008A2411">
        <w:rPr>
          <w:rFonts w:ascii="Times New Roman"/>
          <w:bCs/>
          <w:color w:val="000000" w:themeColor="text1"/>
        </w:rPr>
        <w:t>）响应到完成</w:t>
      </w:r>
      <w:proofErr w:type="gramStart"/>
      <w:r w:rsidRPr="008A2411">
        <w:rPr>
          <w:rFonts w:ascii="Times New Roman"/>
          <w:bCs/>
          <w:color w:val="000000" w:themeColor="text1"/>
        </w:rPr>
        <w:t>联锁</w:t>
      </w:r>
      <w:proofErr w:type="gramEnd"/>
      <w:r w:rsidRPr="008A2411">
        <w:rPr>
          <w:rFonts w:ascii="Times New Roman"/>
          <w:bCs/>
          <w:color w:val="000000" w:themeColor="text1"/>
        </w:rPr>
        <w:t>关闭控制在</w:t>
      </w:r>
      <w:r w:rsidRPr="008A2411">
        <w:rPr>
          <w:rFonts w:ascii="Times New Roman"/>
          <w:bCs/>
          <w:color w:val="000000" w:themeColor="text1"/>
        </w:rPr>
        <w:t>15s</w:t>
      </w:r>
      <w:r w:rsidRPr="008A2411">
        <w:rPr>
          <w:rFonts w:ascii="Times New Roman"/>
          <w:bCs/>
          <w:color w:val="000000" w:themeColor="text1"/>
        </w:rPr>
        <w:t>以内</w:t>
      </w:r>
      <w:r w:rsidRPr="008A2411">
        <w:rPr>
          <w:rFonts w:ascii="Times New Roman" w:hint="eastAsia"/>
          <w:bCs/>
          <w:color w:val="000000" w:themeColor="text1"/>
        </w:rPr>
        <w:t>。</w:t>
      </w:r>
    </w:p>
    <w:p w14:paraId="556E4FC4"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hint="eastAsia"/>
          <w:bCs/>
          <w:color w:val="000000" w:themeColor="text1"/>
        </w:rPr>
        <w:t>5</w:t>
      </w:r>
      <w:r w:rsidRPr="008A2411">
        <w:rPr>
          <w:rFonts w:ascii="Times New Roman" w:hint="eastAsia"/>
          <w:bCs/>
          <w:color w:val="000000" w:themeColor="text1"/>
        </w:rPr>
        <w:t>）站场设置泄漏检测装置，以便发生泄漏事故后，能够及时发生。</w:t>
      </w:r>
    </w:p>
    <w:p w14:paraId="03F700CD"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2</w:t>
      </w:r>
      <w:r w:rsidRPr="008A2411">
        <w:rPr>
          <w:rFonts w:ascii="Times New Roman"/>
          <w:bCs/>
          <w:color w:val="000000" w:themeColor="text1"/>
        </w:rPr>
        <w:t>）站场总平面布置</w:t>
      </w:r>
    </w:p>
    <w:p w14:paraId="35E66FD8"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1</w:t>
      </w:r>
      <w:r w:rsidRPr="008A2411">
        <w:rPr>
          <w:rFonts w:ascii="Times New Roman"/>
          <w:bCs/>
          <w:color w:val="000000" w:themeColor="text1"/>
        </w:rPr>
        <w:t>）放空火炬</w:t>
      </w:r>
      <w:proofErr w:type="gramStart"/>
      <w:r w:rsidRPr="008A2411">
        <w:rPr>
          <w:rFonts w:ascii="Times New Roman"/>
          <w:bCs/>
          <w:color w:val="000000" w:themeColor="text1"/>
        </w:rPr>
        <w:t>宜位于</w:t>
      </w:r>
      <w:proofErr w:type="gramEnd"/>
      <w:r w:rsidRPr="008A2411">
        <w:rPr>
          <w:rFonts w:ascii="Times New Roman"/>
          <w:bCs/>
          <w:color w:val="000000" w:themeColor="text1"/>
        </w:rPr>
        <w:t>天然气站场生产区最小频率风向的上风侧，且宜布置在站场外地势较高处；站内的各建构筑物之间以及与站外建构筑物之间的防火间距应符合现行国家标准《建筑设计防火规范》的有关规定。站内建筑物的耐火等级不应低于现行国家标准《建筑设计防火规范》</w:t>
      </w:r>
      <w:r w:rsidRPr="008A2411">
        <w:rPr>
          <w:rFonts w:ascii="Times New Roman" w:hint="eastAsia"/>
          <w:bCs/>
          <w:color w:val="000000" w:themeColor="text1"/>
        </w:rPr>
        <w:t>“</w:t>
      </w:r>
      <w:r w:rsidRPr="008A2411">
        <w:rPr>
          <w:rFonts w:ascii="Times New Roman"/>
          <w:bCs/>
          <w:color w:val="000000" w:themeColor="text1"/>
        </w:rPr>
        <w:t>二级</w:t>
      </w:r>
      <w:r w:rsidRPr="008A2411">
        <w:rPr>
          <w:rFonts w:ascii="Times New Roman" w:hint="eastAsia"/>
          <w:bCs/>
          <w:color w:val="000000" w:themeColor="text1"/>
        </w:rPr>
        <w:t>”</w:t>
      </w:r>
      <w:r w:rsidRPr="008A2411">
        <w:rPr>
          <w:rFonts w:ascii="Times New Roman"/>
          <w:bCs/>
          <w:color w:val="000000" w:themeColor="text1"/>
        </w:rPr>
        <w:t>的规定。</w:t>
      </w:r>
    </w:p>
    <w:p w14:paraId="645D9439"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2</w:t>
      </w:r>
      <w:r w:rsidRPr="008A2411">
        <w:rPr>
          <w:rFonts w:ascii="Times New Roman"/>
          <w:bCs/>
          <w:color w:val="000000" w:themeColor="text1"/>
        </w:rPr>
        <w:t>）站场紧急切断阀应与工艺装置区保持一定距离，确保在紧急情况下便于接近和操作，并应具备手动操作功能。站场内可设</w:t>
      </w:r>
      <w:proofErr w:type="gramStart"/>
      <w:r w:rsidRPr="008A2411">
        <w:rPr>
          <w:rFonts w:ascii="Times New Roman"/>
          <w:bCs/>
          <w:color w:val="000000" w:themeColor="text1"/>
        </w:rPr>
        <w:t>尽头式</w:t>
      </w:r>
      <w:proofErr w:type="gramEnd"/>
      <w:r w:rsidRPr="008A2411">
        <w:rPr>
          <w:rFonts w:ascii="Times New Roman"/>
          <w:bCs/>
          <w:color w:val="000000" w:themeColor="text1"/>
        </w:rPr>
        <w:t>消防车道。</w:t>
      </w:r>
    </w:p>
    <w:p w14:paraId="750C37FA"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3</w:t>
      </w:r>
      <w:r w:rsidRPr="008A2411">
        <w:rPr>
          <w:rFonts w:ascii="Times New Roman"/>
          <w:bCs/>
          <w:color w:val="000000" w:themeColor="text1"/>
        </w:rPr>
        <w:t>）本项目建成后应送当地规划部门备案，确保站内工艺设施的安全距离。</w:t>
      </w:r>
    </w:p>
    <w:p w14:paraId="70CC79E3"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4</w:t>
      </w:r>
      <w:r w:rsidRPr="008A2411">
        <w:rPr>
          <w:rFonts w:ascii="Times New Roman"/>
          <w:bCs/>
          <w:color w:val="000000" w:themeColor="text1"/>
        </w:rPr>
        <w:t>）参照本项目事故模拟结果，把站场周围可能受事故影响的人群纳入应急体，编制详细应急救援方案，有针对地进行宣传，并定期演练。</w:t>
      </w:r>
    </w:p>
    <w:p w14:paraId="6F6CF445"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3</w:t>
      </w:r>
      <w:r w:rsidRPr="008A2411">
        <w:rPr>
          <w:rFonts w:ascii="Times New Roman"/>
          <w:bCs/>
          <w:color w:val="000000" w:themeColor="text1"/>
        </w:rPr>
        <w:t>）安全色、安全标志</w:t>
      </w:r>
    </w:p>
    <w:p w14:paraId="41E3F02E"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1</w:t>
      </w:r>
      <w:r w:rsidRPr="008A2411">
        <w:rPr>
          <w:rFonts w:ascii="Times New Roman"/>
          <w:bCs/>
          <w:color w:val="000000" w:themeColor="text1"/>
        </w:rPr>
        <w:t>）</w:t>
      </w:r>
      <w:proofErr w:type="gramStart"/>
      <w:r w:rsidRPr="008A2411">
        <w:rPr>
          <w:rFonts w:ascii="Times New Roman"/>
          <w:bCs/>
          <w:color w:val="000000" w:themeColor="text1"/>
        </w:rPr>
        <w:t>凡容易</w:t>
      </w:r>
      <w:proofErr w:type="gramEnd"/>
      <w:r w:rsidRPr="008A2411">
        <w:rPr>
          <w:rFonts w:ascii="Times New Roman"/>
          <w:bCs/>
          <w:color w:val="000000" w:themeColor="text1"/>
        </w:rPr>
        <w:t>发生事故及生命安全的场所和设备以及需要提醒操作人员注意的地点，均应设置安全标志，并按《安全标志》规范要求进行设置。</w:t>
      </w:r>
    </w:p>
    <w:p w14:paraId="6081EAF4"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2</w:t>
      </w:r>
      <w:r w:rsidRPr="008A2411">
        <w:rPr>
          <w:rFonts w:ascii="Times New Roman"/>
          <w:bCs/>
          <w:color w:val="000000" w:themeColor="text1"/>
        </w:rPr>
        <w:t>）凡需要迅速发现并引起注意以防发生事故的场所、部位均应涂安全色。安全色应按《安全色》、《安全色使用导则》规范要求选用。</w:t>
      </w:r>
    </w:p>
    <w:p w14:paraId="731F6F19"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3</w:t>
      </w:r>
      <w:r w:rsidRPr="008A2411">
        <w:rPr>
          <w:rFonts w:ascii="Times New Roman"/>
          <w:bCs/>
          <w:color w:val="000000" w:themeColor="text1"/>
        </w:rPr>
        <w:t>）生产场所与作业点的紧急通道和出入口均应设置明显的标志和指示箭头。如</w:t>
      </w:r>
      <w:r w:rsidRPr="008A2411">
        <w:rPr>
          <w:rFonts w:ascii="Times New Roman" w:hint="eastAsia"/>
          <w:bCs/>
          <w:color w:val="000000" w:themeColor="text1"/>
        </w:rPr>
        <w:t>“</w:t>
      </w:r>
      <w:r w:rsidRPr="008A2411">
        <w:rPr>
          <w:rFonts w:ascii="Times New Roman"/>
          <w:bCs/>
          <w:color w:val="000000" w:themeColor="text1"/>
        </w:rPr>
        <w:t>硫化氢作业区</w:t>
      </w:r>
      <w:r w:rsidRPr="008A2411">
        <w:rPr>
          <w:rFonts w:ascii="Times New Roman"/>
          <w:bCs/>
          <w:color w:val="000000" w:themeColor="text1"/>
        </w:rPr>
        <w:t>—</w:t>
      </w:r>
      <w:r w:rsidRPr="008A2411">
        <w:rPr>
          <w:rFonts w:ascii="Times New Roman"/>
          <w:bCs/>
          <w:color w:val="000000" w:themeColor="text1"/>
        </w:rPr>
        <w:t>只有监测仪显示为安全时才能进入</w:t>
      </w:r>
      <w:r w:rsidRPr="008A2411">
        <w:rPr>
          <w:rFonts w:ascii="Times New Roman" w:hint="eastAsia"/>
          <w:bCs/>
          <w:color w:val="000000" w:themeColor="text1"/>
        </w:rPr>
        <w:t>”</w:t>
      </w:r>
      <w:r w:rsidRPr="008A2411">
        <w:rPr>
          <w:rFonts w:ascii="Times New Roman"/>
          <w:bCs/>
          <w:color w:val="000000" w:themeColor="text1"/>
        </w:rPr>
        <w:t>，</w:t>
      </w:r>
      <w:r w:rsidRPr="008A2411">
        <w:rPr>
          <w:rFonts w:ascii="Times New Roman" w:hint="eastAsia"/>
          <w:bCs/>
          <w:color w:val="000000" w:themeColor="text1"/>
        </w:rPr>
        <w:t>“</w:t>
      </w:r>
      <w:r w:rsidRPr="008A2411">
        <w:rPr>
          <w:rFonts w:ascii="Times New Roman"/>
          <w:bCs/>
          <w:color w:val="000000" w:themeColor="text1"/>
        </w:rPr>
        <w:t>此线内必须佩戴呼吸保护设备</w:t>
      </w:r>
      <w:r w:rsidRPr="008A2411">
        <w:rPr>
          <w:rFonts w:ascii="Times New Roman" w:hint="eastAsia"/>
          <w:bCs/>
          <w:color w:val="000000" w:themeColor="text1"/>
        </w:rPr>
        <w:t>”</w:t>
      </w:r>
      <w:r w:rsidRPr="008A2411">
        <w:rPr>
          <w:rFonts w:ascii="Times New Roman"/>
          <w:bCs/>
          <w:color w:val="000000" w:themeColor="text1"/>
        </w:rPr>
        <w:t>等清晰的警示标志。站场周围设置明显的安全警示标牌，给附近居民宣传可能性危险、危害及安全注意事项。</w:t>
      </w:r>
    </w:p>
    <w:p w14:paraId="17F617D5"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4</w:t>
      </w:r>
      <w:r w:rsidRPr="008A2411">
        <w:rPr>
          <w:rFonts w:ascii="Times New Roman"/>
          <w:bCs/>
          <w:color w:val="000000" w:themeColor="text1"/>
        </w:rPr>
        <w:t>）在进入生产区和厂区内应设置明显的禁止烟火的安全警句。</w:t>
      </w:r>
    </w:p>
    <w:p w14:paraId="56FD02B2" w14:textId="77777777" w:rsidR="00B0005F" w:rsidRPr="008A2411" w:rsidRDefault="00000000">
      <w:pPr>
        <w:spacing w:line="360" w:lineRule="auto"/>
        <w:ind w:firstLineChars="200" w:firstLine="482"/>
        <w:outlineLvl w:val="3"/>
        <w:rPr>
          <w:rFonts w:ascii="Times New Roman"/>
          <w:b/>
          <w:bCs/>
          <w:color w:val="000000" w:themeColor="text1"/>
        </w:rPr>
      </w:pPr>
      <w:r w:rsidRPr="008A2411">
        <w:rPr>
          <w:rFonts w:ascii="Times New Roman"/>
          <w:b/>
          <w:bCs/>
          <w:color w:val="000000" w:themeColor="text1"/>
        </w:rPr>
        <w:t>6.11.2.3</w:t>
      </w:r>
      <w:r w:rsidRPr="008A2411">
        <w:rPr>
          <w:rFonts w:ascii="Times New Roman"/>
          <w:b/>
          <w:bCs/>
          <w:color w:val="000000" w:themeColor="text1"/>
        </w:rPr>
        <w:t>火炬系统</w:t>
      </w:r>
    </w:p>
    <w:p w14:paraId="435D48F8"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1</w:t>
      </w:r>
      <w:r w:rsidRPr="008A2411">
        <w:rPr>
          <w:rFonts w:ascii="Times New Roman"/>
          <w:bCs/>
          <w:color w:val="000000" w:themeColor="text1"/>
        </w:rPr>
        <w:t>）如果因检修需要，要打开放空火炬始端的阀件或连接法兰时，应事先将放空管线用</w:t>
      </w:r>
      <w:r w:rsidRPr="008A2411">
        <w:rPr>
          <w:rFonts w:ascii="Times New Roman"/>
          <w:bCs/>
          <w:color w:val="000000" w:themeColor="text1"/>
        </w:rPr>
        <w:t>N</w:t>
      </w:r>
      <w:r w:rsidRPr="008A2411">
        <w:rPr>
          <w:rFonts w:ascii="Times New Roman"/>
          <w:bCs/>
          <w:color w:val="000000" w:themeColor="text1"/>
          <w:vertAlign w:val="subscript"/>
        </w:rPr>
        <w:t>2</w:t>
      </w:r>
      <w:r w:rsidRPr="008A2411">
        <w:rPr>
          <w:rFonts w:ascii="Times New Roman"/>
          <w:bCs/>
          <w:color w:val="000000" w:themeColor="text1"/>
        </w:rPr>
        <w:t>置换，以防管内可燃气中混入空气。</w:t>
      </w:r>
    </w:p>
    <w:p w14:paraId="6CC537EB"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2</w:t>
      </w:r>
      <w:r w:rsidRPr="008A2411">
        <w:rPr>
          <w:rFonts w:ascii="Times New Roman"/>
          <w:bCs/>
          <w:color w:val="000000" w:themeColor="text1"/>
        </w:rPr>
        <w:t>）火炬凝</w:t>
      </w:r>
      <w:proofErr w:type="gramStart"/>
      <w:r w:rsidRPr="008A2411">
        <w:rPr>
          <w:rFonts w:ascii="Times New Roman"/>
          <w:bCs/>
          <w:color w:val="000000" w:themeColor="text1"/>
        </w:rPr>
        <w:t>液必须</w:t>
      </w:r>
      <w:proofErr w:type="gramEnd"/>
      <w:r w:rsidRPr="008A2411">
        <w:rPr>
          <w:rFonts w:ascii="Times New Roman"/>
          <w:bCs/>
          <w:color w:val="000000" w:themeColor="text1"/>
        </w:rPr>
        <w:t>密闭排放。应增加低压放空系统分</w:t>
      </w:r>
      <w:proofErr w:type="gramStart"/>
      <w:r w:rsidRPr="008A2411">
        <w:rPr>
          <w:rFonts w:ascii="Times New Roman"/>
          <w:bCs/>
          <w:color w:val="000000" w:themeColor="text1"/>
        </w:rPr>
        <w:t>液罐液位</w:t>
      </w:r>
      <w:proofErr w:type="gramEnd"/>
      <w:r w:rsidRPr="008A2411">
        <w:rPr>
          <w:rFonts w:ascii="Times New Roman"/>
          <w:bCs/>
          <w:color w:val="000000" w:themeColor="text1"/>
        </w:rPr>
        <w:t>过高检测设</w:t>
      </w:r>
      <w:r w:rsidRPr="008A2411">
        <w:rPr>
          <w:rFonts w:ascii="Times New Roman"/>
          <w:bCs/>
          <w:color w:val="000000" w:themeColor="text1"/>
        </w:rPr>
        <w:lastRenderedPageBreak/>
        <w:t>施，此罐液位过高可能导致低</w:t>
      </w:r>
      <w:proofErr w:type="gramStart"/>
      <w:r w:rsidRPr="008A2411">
        <w:rPr>
          <w:rFonts w:ascii="Times New Roman"/>
          <w:bCs/>
          <w:color w:val="000000" w:themeColor="text1"/>
        </w:rPr>
        <w:t>压气放</w:t>
      </w:r>
      <w:proofErr w:type="gramEnd"/>
      <w:r w:rsidRPr="008A2411">
        <w:rPr>
          <w:rFonts w:ascii="Times New Roman"/>
          <w:bCs/>
          <w:color w:val="000000" w:themeColor="text1"/>
        </w:rPr>
        <w:t>不出去或</w:t>
      </w:r>
      <w:r w:rsidRPr="008A2411">
        <w:rPr>
          <w:rFonts w:ascii="Times New Roman" w:hint="eastAsia"/>
          <w:bCs/>
          <w:color w:val="000000" w:themeColor="text1"/>
        </w:rPr>
        <w:t>“</w:t>
      </w:r>
      <w:r w:rsidRPr="008A2411">
        <w:rPr>
          <w:rFonts w:ascii="Times New Roman"/>
          <w:bCs/>
          <w:color w:val="000000" w:themeColor="text1"/>
        </w:rPr>
        <w:t>水击</w:t>
      </w:r>
      <w:r w:rsidRPr="008A2411">
        <w:rPr>
          <w:rFonts w:ascii="Times New Roman" w:hint="eastAsia"/>
          <w:bCs/>
          <w:color w:val="000000" w:themeColor="text1"/>
        </w:rPr>
        <w:t>”</w:t>
      </w:r>
      <w:r w:rsidRPr="008A2411">
        <w:rPr>
          <w:rFonts w:ascii="Times New Roman"/>
          <w:bCs/>
          <w:color w:val="000000" w:themeColor="text1"/>
        </w:rPr>
        <w:t>现象发生。</w:t>
      </w:r>
    </w:p>
    <w:p w14:paraId="64FF2CCD"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3</w:t>
      </w:r>
      <w:r w:rsidRPr="008A2411">
        <w:rPr>
          <w:rFonts w:ascii="Times New Roman"/>
          <w:bCs/>
          <w:color w:val="000000" w:themeColor="text1"/>
        </w:rPr>
        <w:t>）火炬放空气体入口的凝液分离器分离出来的液体含有各类杂质和腐蚀产物，如果送到酸性水气提装置后可能随酸水带入循环水系统，造成循环水质变差，要单独进行处理。</w:t>
      </w:r>
    </w:p>
    <w:p w14:paraId="2C66AD2F"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4</w:t>
      </w:r>
      <w:r w:rsidRPr="008A2411">
        <w:rPr>
          <w:rFonts w:ascii="Times New Roman"/>
          <w:bCs/>
          <w:color w:val="000000" w:themeColor="text1"/>
        </w:rPr>
        <w:t>）建议对紧急放空点火后二氧化硫的扩散进行模拟，并配备二氧化硫浓度监测设备，对监测方法、监测点的选择等问题进行研究。</w:t>
      </w:r>
    </w:p>
    <w:p w14:paraId="7A0EAF73"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5</w:t>
      </w:r>
      <w:r w:rsidRPr="008A2411">
        <w:rPr>
          <w:rFonts w:ascii="Times New Roman"/>
          <w:bCs/>
          <w:color w:val="000000" w:themeColor="text1"/>
        </w:rPr>
        <w:t>）火炬排放能力设计，要考虑当紧急大面积停电时的排放，尤其是提高供电可靠性。</w:t>
      </w:r>
    </w:p>
    <w:p w14:paraId="206DC4A4" w14:textId="77777777" w:rsidR="00B0005F" w:rsidRPr="008A2411" w:rsidRDefault="00000000">
      <w:pPr>
        <w:spacing w:line="360" w:lineRule="auto"/>
        <w:ind w:firstLineChars="200" w:firstLine="482"/>
        <w:outlineLvl w:val="3"/>
        <w:rPr>
          <w:rFonts w:ascii="Times New Roman"/>
          <w:b/>
          <w:bCs/>
          <w:color w:val="000000" w:themeColor="text1"/>
        </w:rPr>
      </w:pPr>
      <w:r w:rsidRPr="008A2411">
        <w:rPr>
          <w:rFonts w:ascii="Times New Roman"/>
          <w:b/>
          <w:bCs/>
          <w:color w:val="000000" w:themeColor="text1"/>
        </w:rPr>
        <w:t>6.11.2.4</w:t>
      </w:r>
      <w:r w:rsidRPr="008A2411">
        <w:rPr>
          <w:rFonts w:ascii="Times New Roman"/>
          <w:b/>
          <w:bCs/>
          <w:color w:val="000000" w:themeColor="text1"/>
        </w:rPr>
        <w:t>压力容器</w:t>
      </w:r>
    </w:p>
    <w:p w14:paraId="2E1D96C7"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压力容器必须严格遵守《特种设备安全监察条例》、《压力容器安全技术监察规程》，操作人员应由有资质的部门考核发证，持证上岗。并重点要求如下：</w:t>
      </w:r>
    </w:p>
    <w:p w14:paraId="402E29E8"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1</w:t>
      </w:r>
      <w:r w:rsidRPr="008A2411">
        <w:rPr>
          <w:rFonts w:ascii="Times New Roman"/>
          <w:bCs/>
          <w:color w:val="000000" w:themeColor="text1"/>
        </w:rPr>
        <w:t>）各种压力容器安全阀应定期进行校验和排放试验。</w:t>
      </w:r>
    </w:p>
    <w:p w14:paraId="460A8C69"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2</w:t>
      </w:r>
      <w:r w:rsidRPr="008A2411">
        <w:rPr>
          <w:rFonts w:ascii="Times New Roman"/>
          <w:bCs/>
          <w:color w:val="000000" w:themeColor="text1"/>
        </w:rPr>
        <w:t>）运行中的压力容器及其安全附件（如安全阀、排污阀、监视表计、</w:t>
      </w:r>
      <w:proofErr w:type="gramStart"/>
      <w:r w:rsidRPr="008A2411">
        <w:rPr>
          <w:rFonts w:ascii="Times New Roman"/>
          <w:bCs/>
          <w:color w:val="000000" w:themeColor="text1"/>
        </w:rPr>
        <w:t>联锁</w:t>
      </w:r>
      <w:proofErr w:type="gramEnd"/>
      <w:r w:rsidRPr="008A2411">
        <w:rPr>
          <w:rFonts w:ascii="Times New Roman"/>
          <w:bCs/>
          <w:color w:val="000000" w:themeColor="text1"/>
        </w:rPr>
        <w:t>、自动装置等）应处于正常工作状态。</w:t>
      </w:r>
    </w:p>
    <w:p w14:paraId="1DB97DE6"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3</w:t>
      </w:r>
      <w:r w:rsidRPr="008A2411">
        <w:rPr>
          <w:rFonts w:ascii="Times New Roman"/>
          <w:bCs/>
          <w:color w:val="000000" w:themeColor="text1"/>
        </w:rPr>
        <w:t>）压力容器内部有压力时，严禁进行任何修理或紧固工作。</w:t>
      </w:r>
    </w:p>
    <w:p w14:paraId="701FADA7"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4</w:t>
      </w:r>
      <w:r w:rsidRPr="008A2411">
        <w:rPr>
          <w:rFonts w:ascii="Times New Roman"/>
          <w:bCs/>
          <w:color w:val="000000" w:themeColor="text1"/>
        </w:rPr>
        <w:t>）压力容器上使用的压力表，应列为计量强制检验表计，按规定周期进行强检。</w:t>
      </w:r>
    </w:p>
    <w:p w14:paraId="0A55DC5A"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5</w:t>
      </w:r>
      <w:r w:rsidRPr="008A2411">
        <w:rPr>
          <w:rFonts w:ascii="Times New Roman"/>
          <w:bCs/>
          <w:color w:val="000000" w:themeColor="text1"/>
        </w:rPr>
        <w:t>）压力容器应结合设备、系统检修，按照《压力容器安全技术监察规程》等规定，实行定期检验制度。</w:t>
      </w:r>
    </w:p>
    <w:p w14:paraId="1AF325C4" w14:textId="77777777" w:rsidR="00B0005F" w:rsidRPr="008A2411" w:rsidRDefault="00000000">
      <w:pPr>
        <w:spacing w:line="360" w:lineRule="auto"/>
        <w:ind w:firstLineChars="200" w:firstLine="482"/>
        <w:outlineLvl w:val="3"/>
        <w:rPr>
          <w:rFonts w:ascii="Times New Roman"/>
          <w:b/>
          <w:bCs/>
          <w:color w:val="000000" w:themeColor="text1"/>
        </w:rPr>
      </w:pPr>
      <w:r w:rsidRPr="008A2411">
        <w:rPr>
          <w:rFonts w:ascii="Times New Roman"/>
          <w:b/>
          <w:bCs/>
          <w:color w:val="000000" w:themeColor="text1"/>
        </w:rPr>
        <w:t>6.11.2.5</w:t>
      </w:r>
      <w:r w:rsidRPr="008A2411">
        <w:rPr>
          <w:rFonts w:ascii="Times New Roman"/>
          <w:b/>
          <w:bCs/>
          <w:color w:val="000000" w:themeColor="text1"/>
        </w:rPr>
        <w:t>消防</w:t>
      </w:r>
    </w:p>
    <w:p w14:paraId="7CFC8519"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1</w:t>
      </w:r>
      <w:r w:rsidRPr="008A2411">
        <w:rPr>
          <w:rFonts w:ascii="Times New Roman"/>
          <w:bCs/>
          <w:color w:val="000000" w:themeColor="text1"/>
        </w:rPr>
        <w:t>）应对消防报警系统内的各消防报警设施加强维护和管理，定时对其灵敏度进行测试，确保能够真正发挥报警作用。</w:t>
      </w:r>
    </w:p>
    <w:p w14:paraId="7E8B196C"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2</w:t>
      </w:r>
      <w:r w:rsidRPr="008A2411">
        <w:rPr>
          <w:rFonts w:ascii="Times New Roman"/>
          <w:bCs/>
          <w:color w:val="000000" w:themeColor="text1"/>
        </w:rPr>
        <w:t>）可燃气体探测报警器等电气装置应具备相应的防爆等级。</w:t>
      </w:r>
    </w:p>
    <w:p w14:paraId="395B427D"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3</w:t>
      </w:r>
      <w:r w:rsidRPr="008A2411">
        <w:rPr>
          <w:rFonts w:ascii="Times New Roman"/>
          <w:bCs/>
          <w:color w:val="000000" w:themeColor="text1"/>
        </w:rPr>
        <w:t>）固定式消防水炮喷嘴应设置带直流</w:t>
      </w:r>
      <w:r w:rsidRPr="008A2411">
        <w:rPr>
          <w:rFonts w:ascii="Times New Roman"/>
          <w:bCs/>
          <w:color w:val="000000" w:themeColor="text1"/>
        </w:rPr>
        <w:t>-</w:t>
      </w:r>
      <w:r w:rsidRPr="008A2411">
        <w:rPr>
          <w:rFonts w:ascii="Times New Roman"/>
          <w:bCs/>
          <w:color w:val="000000" w:themeColor="text1"/>
        </w:rPr>
        <w:t>水雾的两用喷头，以起到消防冷却设备和掩护灭火人员的作用。</w:t>
      </w:r>
    </w:p>
    <w:p w14:paraId="7D1291CB"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4</w:t>
      </w:r>
      <w:r w:rsidRPr="008A2411">
        <w:rPr>
          <w:rFonts w:ascii="Times New Roman"/>
          <w:bCs/>
          <w:color w:val="000000" w:themeColor="text1"/>
        </w:rPr>
        <w:t>）对存在硫化氢的设备、管道，排污口应设喷水冷却设施。</w:t>
      </w:r>
    </w:p>
    <w:p w14:paraId="4C701786" w14:textId="77777777" w:rsidR="00B0005F" w:rsidRPr="008A2411" w:rsidRDefault="00000000">
      <w:pPr>
        <w:spacing w:line="360" w:lineRule="auto"/>
        <w:ind w:firstLineChars="200" w:firstLine="482"/>
        <w:outlineLvl w:val="3"/>
        <w:rPr>
          <w:rFonts w:ascii="Times New Roman"/>
          <w:b/>
          <w:bCs/>
          <w:color w:val="000000" w:themeColor="text1"/>
        </w:rPr>
      </w:pPr>
      <w:r w:rsidRPr="008A2411">
        <w:rPr>
          <w:rFonts w:ascii="Times New Roman"/>
          <w:b/>
          <w:bCs/>
          <w:color w:val="000000" w:themeColor="text1"/>
        </w:rPr>
        <w:t>6.11.2.6</w:t>
      </w:r>
      <w:r w:rsidRPr="008A2411">
        <w:rPr>
          <w:rFonts w:ascii="Times New Roman"/>
          <w:b/>
          <w:bCs/>
          <w:color w:val="000000" w:themeColor="text1"/>
        </w:rPr>
        <w:t>安全管理要求</w:t>
      </w:r>
    </w:p>
    <w:p w14:paraId="03435669"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1</w:t>
      </w:r>
      <w:r w:rsidRPr="008A2411">
        <w:rPr>
          <w:rFonts w:ascii="Times New Roman"/>
          <w:bCs/>
          <w:color w:val="000000" w:themeColor="text1"/>
        </w:rPr>
        <w:t>）工程建设</w:t>
      </w:r>
    </w:p>
    <w:p w14:paraId="4956AEBE"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1</w:t>
      </w:r>
      <w:r w:rsidRPr="008A2411">
        <w:rPr>
          <w:rFonts w:ascii="Times New Roman"/>
          <w:bCs/>
          <w:color w:val="000000" w:themeColor="text1"/>
        </w:rPr>
        <w:t>）要求工程施工和安装单位及人员有相应的资格，制定并执行安全施工方案。</w:t>
      </w:r>
    </w:p>
    <w:p w14:paraId="1D7A9C80"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lastRenderedPageBreak/>
        <w:t>严格实行工程监理制，对建设过程进行包括安全在内的监督管理。严格按国家的有关规范进行质量检查和验收，保证安全生产设计得以全面落实。</w:t>
      </w:r>
    </w:p>
    <w:p w14:paraId="03D28D15"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2</w:t>
      </w:r>
      <w:r w:rsidRPr="008A2411">
        <w:rPr>
          <w:rFonts w:ascii="Times New Roman"/>
          <w:bCs/>
          <w:color w:val="000000" w:themeColor="text1"/>
        </w:rPr>
        <w:t>）加强</w:t>
      </w:r>
      <w:r w:rsidRPr="008A2411">
        <w:rPr>
          <w:rFonts w:ascii="Times New Roman" w:hint="eastAsia"/>
          <w:bCs/>
          <w:color w:val="000000" w:themeColor="text1"/>
        </w:rPr>
        <w:t>“</w:t>
      </w:r>
      <w:r w:rsidRPr="008A2411">
        <w:rPr>
          <w:rFonts w:ascii="Times New Roman"/>
          <w:bCs/>
          <w:color w:val="000000" w:themeColor="text1"/>
        </w:rPr>
        <w:t>三同时</w:t>
      </w:r>
      <w:r w:rsidRPr="008A2411">
        <w:rPr>
          <w:rFonts w:ascii="Times New Roman" w:hint="eastAsia"/>
          <w:bCs/>
          <w:color w:val="000000" w:themeColor="text1"/>
        </w:rPr>
        <w:t>”</w:t>
      </w:r>
      <w:r w:rsidRPr="008A2411">
        <w:rPr>
          <w:rFonts w:ascii="Times New Roman"/>
          <w:bCs/>
          <w:color w:val="000000" w:themeColor="text1"/>
        </w:rPr>
        <w:t>管理。在进行主体工程施工的同时，必须同时进行安全、卫生、环保、消防设施的施工，确保配套设施完善。</w:t>
      </w:r>
    </w:p>
    <w:p w14:paraId="3F7B030B"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2</w:t>
      </w:r>
      <w:r w:rsidRPr="008A2411">
        <w:rPr>
          <w:rFonts w:ascii="Times New Roman"/>
          <w:bCs/>
          <w:color w:val="000000" w:themeColor="text1"/>
        </w:rPr>
        <w:t>）操作运行</w:t>
      </w:r>
    </w:p>
    <w:p w14:paraId="6D30A179"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1</w:t>
      </w:r>
      <w:r w:rsidRPr="008A2411">
        <w:rPr>
          <w:rFonts w:ascii="Times New Roman"/>
          <w:bCs/>
          <w:color w:val="000000" w:themeColor="text1"/>
        </w:rPr>
        <w:t>）天然气系统的正确操作和正常运行是安全生产的首要条件。本项目除在设计上对安全生产提供了有力的保障，在操作运行方面也要求工作人员必须进行岗前专业培训，严格执行安全生产操作规程，进行安全性专业维护和保养，对安全设备（安全阀、检漏仪等）进行定期校验，确保安全生产。</w:t>
      </w:r>
    </w:p>
    <w:p w14:paraId="7DAF8F0C"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hint="eastAsia"/>
          <w:bCs/>
          <w:color w:val="000000" w:themeColor="text1"/>
        </w:rPr>
        <w:t>2</w:t>
      </w:r>
      <w:r w:rsidRPr="008A2411">
        <w:rPr>
          <w:rFonts w:ascii="Times New Roman"/>
          <w:bCs/>
          <w:color w:val="000000" w:themeColor="text1"/>
        </w:rPr>
        <w:t>）严格贯彻执行工艺操作规程和安全操作规程、严格控制工艺参数、做好开停车及检修工作。</w:t>
      </w:r>
    </w:p>
    <w:p w14:paraId="530FB55F"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hint="eastAsia"/>
          <w:bCs/>
          <w:color w:val="000000" w:themeColor="text1"/>
        </w:rPr>
        <w:t>3</w:t>
      </w:r>
      <w:r w:rsidRPr="008A2411">
        <w:rPr>
          <w:rFonts w:ascii="Times New Roman"/>
          <w:bCs/>
          <w:color w:val="000000" w:themeColor="text1"/>
        </w:rPr>
        <w:t>）现场操作人员操作时应严格按操作手册执行，关键设备的操作步骤应挂牌到实际操作现场，并应有严格的操作记录，每日的操作记录应有档案可查并报送上级主管部门。</w:t>
      </w:r>
    </w:p>
    <w:p w14:paraId="1CADDAA6"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3</w:t>
      </w:r>
      <w:r w:rsidRPr="008A2411">
        <w:rPr>
          <w:rFonts w:ascii="Times New Roman"/>
          <w:bCs/>
          <w:color w:val="000000" w:themeColor="text1"/>
        </w:rPr>
        <w:t>）管理制度</w:t>
      </w:r>
    </w:p>
    <w:p w14:paraId="54A9E3AD"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1</w:t>
      </w:r>
      <w:r w:rsidRPr="008A2411">
        <w:rPr>
          <w:rFonts w:ascii="Times New Roman"/>
          <w:bCs/>
          <w:color w:val="000000" w:themeColor="text1"/>
        </w:rPr>
        <w:t>）制定严格的防火、防爆制度，定期对生产人员进行安全教育，组织安全队伍，建立安全监督机制，进行安全考核等。电工作业、电焊作业、压力容器操作作业人员必须按照《特种作业人员安全技术考核管理制度规则》规定进行安全教育和安全技术培训，考试合格后，方可持证上岗。</w:t>
      </w:r>
    </w:p>
    <w:p w14:paraId="149047BB"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2</w:t>
      </w:r>
      <w:r w:rsidRPr="008A2411">
        <w:rPr>
          <w:rFonts w:ascii="Times New Roman"/>
          <w:bCs/>
          <w:color w:val="000000" w:themeColor="text1"/>
        </w:rPr>
        <w:t>）加强火源管理。需动火作业前应严格按规定办理动火许可证；加强流动火源的管理，生产区内严禁吸烟。</w:t>
      </w:r>
    </w:p>
    <w:p w14:paraId="7E1C8947"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3</w:t>
      </w:r>
      <w:r w:rsidRPr="008A2411">
        <w:rPr>
          <w:rFonts w:ascii="Times New Roman"/>
          <w:bCs/>
          <w:color w:val="000000" w:themeColor="text1"/>
        </w:rPr>
        <w:t>）进一步建立健全安全生产责任制和安全管理制度。根据国家《安全生产法》的有关要求并结合自身的生产特点和岗位设置情况，建立安全生产责任制。根据国家的在安全生产方面的法律法规和要求，进一步健全安全生产管理制度，使公司的安全工作作到有法可依、有章可寻，促进安全文明生产。</w:t>
      </w:r>
    </w:p>
    <w:p w14:paraId="27CB5969"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hint="eastAsia"/>
          <w:bCs/>
          <w:color w:val="000000" w:themeColor="text1"/>
        </w:rPr>
        <w:t>4</w:t>
      </w:r>
      <w:r w:rsidRPr="008A2411">
        <w:rPr>
          <w:rFonts w:ascii="Times New Roman"/>
          <w:bCs/>
          <w:color w:val="000000" w:themeColor="text1"/>
        </w:rPr>
        <w:t>）定期清管，排除管内的积水和污物，以减轻管道内腐蚀。每三年进行管道壁厚的测量，对严重管壁减薄的管段，及时维修更换，避免爆管事故发生；每半年检查管道安全保护系统（如安全阀、放空系统等），使管道在超压时能够得到安全处理，使危害影响范围减小到最低程度。</w:t>
      </w:r>
    </w:p>
    <w:p w14:paraId="3F31EB49"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hint="eastAsia"/>
          <w:bCs/>
          <w:color w:val="000000" w:themeColor="text1"/>
        </w:rPr>
        <w:t>5</w:t>
      </w:r>
      <w:r w:rsidRPr="008A2411">
        <w:rPr>
          <w:rFonts w:ascii="Times New Roman"/>
          <w:bCs/>
          <w:color w:val="000000" w:themeColor="text1"/>
        </w:rPr>
        <w:t>）定期开展管道腐蚀检测评价，特别是裂纹腐蚀检测评价，确保工程设施</w:t>
      </w:r>
      <w:r w:rsidRPr="008A2411">
        <w:rPr>
          <w:rFonts w:ascii="Times New Roman"/>
          <w:bCs/>
          <w:color w:val="000000" w:themeColor="text1"/>
        </w:rPr>
        <w:lastRenderedPageBreak/>
        <w:t>在腐蚀泄漏事故发生前能及时发现、整改。</w:t>
      </w:r>
    </w:p>
    <w:p w14:paraId="791C16B3"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4</w:t>
      </w:r>
      <w:r w:rsidRPr="008A2411">
        <w:rPr>
          <w:rFonts w:ascii="Times New Roman"/>
          <w:bCs/>
          <w:color w:val="000000" w:themeColor="text1"/>
        </w:rPr>
        <w:t>）事故应急处理对策措施</w:t>
      </w:r>
    </w:p>
    <w:p w14:paraId="459FC04C"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本项目天然气输送管道输送的天然气易燃易爆有毒物质，有火灾、爆炸、泄漏的重大风险，因此，业主也应根据本项目的危险性特点和国家法律法规的要求，制定生产安全事故应急救援预案。预案的编制应符合《安全生产事故预案编制导则》的要求。预案编制完成后，建设单位应在建设项目投用后，组织进行事故预的演练和演习，以检验事故预案的可行性和可操作性。</w:t>
      </w:r>
    </w:p>
    <w:p w14:paraId="1CA0F369"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5</w:t>
      </w:r>
      <w:r w:rsidRPr="008A2411">
        <w:rPr>
          <w:rFonts w:ascii="Times New Roman"/>
          <w:bCs/>
          <w:color w:val="000000" w:themeColor="text1"/>
        </w:rPr>
        <w:t>）抢险与抢修</w:t>
      </w:r>
    </w:p>
    <w:p w14:paraId="65A6C7C7"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当发生事故时，为了不使事故扩大，防止二次灾害的发生，要求及时抢险和抢修。必须对各种险情进行事故前预测，并有针对性演练，做到遇险不乱，才能化险为夷。应保证抢险队伍的素质，并能全天候出动，力求尽早最好地恢复安全生产；同时，遇险时应及时与当地消防部门联系，以获得有力支持。</w:t>
      </w:r>
    </w:p>
    <w:p w14:paraId="4A4B05D1" w14:textId="77777777" w:rsidR="00B0005F" w:rsidRPr="008A2411" w:rsidRDefault="00000000">
      <w:pPr>
        <w:spacing w:line="360" w:lineRule="auto"/>
        <w:ind w:firstLineChars="200" w:firstLine="482"/>
        <w:outlineLvl w:val="3"/>
        <w:rPr>
          <w:rFonts w:ascii="Times New Roman"/>
          <w:b/>
          <w:bCs/>
          <w:color w:val="000000" w:themeColor="text1"/>
        </w:rPr>
      </w:pPr>
      <w:r w:rsidRPr="008A2411">
        <w:rPr>
          <w:rFonts w:ascii="Times New Roman"/>
          <w:b/>
          <w:bCs/>
          <w:color w:val="000000" w:themeColor="text1"/>
        </w:rPr>
        <w:t>6.11.2.7</w:t>
      </w:r>
      <w:r w:rsidRPr="008A2411">
        <w:rPr>
          <w:rFonts w:ascii="Times New Roman"/>
          <w:b/>
          <w:bCs/>
          <w:color w:val="000000" w:themeColor="text1"/>
        </w:rPr>
        <w:t>事故状态下废水防范措施</w:t>
      </w:r>
    </w:p>
    <w:p w14:paraId="3B2B0BAD"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本项目一旦发生火灾等事故，由于发生事故的随机性、不可预测性，发生事故有可能正处于降雨时段，故该期间内关键生产装置区、储罐区等地方的雨水将受污染，亦必须将其收集和处置。当发生火灾、爆炸等事故时所有污水将进入事故水池。</w:t>
      </w:r>
    </w:p>
    <w:p w14:paraId="7D6BC323"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当发生火灾、爆炸等事故时所有污水将进入事故水池，足够容纳一次消防事故排水，不会直接进入地表水环境。因此，本项目在发生火灾、爆炸等事故时不会有污水进入外环境。</w:t>
      </w:r>
    </w:p>
    <w:p w14:paraId="2A2A0702"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事故结束后事故废水直接送污水处理站进行深度处理后回用。如果污水处理站处理能力不足的情况下，应及时调集罐车拉运至宣汉县普光工业园区污水处理厂进行处理。</w:t>
      </w:r>
    </w:p>
    <w:p w14:paraId="295BA3C8" w14:textId="77777777" w:rsidR="00B0005F" w:rsidRPr="008A2411" w:rsidRDefault="00000000">
      <w:pPr>
        <w:spacing w:line="360" w:lineRule="auto"/>
        <w:ind w:firstLineChars="200" w:firstLine="482"/>
        <w:outlineLvl w:val="3"/>
        <w:rPr>
          <w:rFonts w:ascii="Times New Roman"/>
          <w:b/>
          <w:bCs/>
          <w:color w:val="000000" w:themeColor="text1"/>
        </w:rPr>
      </w:pPr>
      <w:r w:rsidRPr="008A2411">
        <w:rPr>
          <w:rFonts w:ascii="Times New Roman"/>
          <w:b/>
          <w:bCs/>
          <w:color w:val="000000" w:themeColor="text1"/>
        </w:rPr>
        <w:t>6.11.2.8</w:t>
      </w:r>
      <w:r w:rsidRPr="008A2411">
        <w:rPr>
          <w:rFonts w:ascii="Times New Roman"/>
          <w:b/>
          <w:bCs/>
          <w:color w:val="000000" w:themeColor="text1"/>
        </w:rPr>
        <w:t>环境风险管理</w:t>
      </w:r>
    </w:p>
    <w:p w14:paraId="3BA6F125"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针对风险事故，结合行业作业规范，公司设置有专职安全环保管理人员。把安全、环境管理纳入生产管理的各个环节。为防止事故的发生起到非常积极的作用。</w:t>
      </w:r>
    </w:p>
    <w:p w14:paraId="0E7DE8D8"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分公司应急领导小组负责分公司范围内所有重、特大事故的应急管理。发生重大事故，各专业应急小组进行应急指挥、调度、抢险、施救、现场调查、恢复生产等工作，分公司应急领导小组协调有关工作。</w:t>
      </w:r>
    </w:p>
    <w:p w14:paraId="0F5A5620"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lastRenderedPageBreak/>
        <w:t>对特大事故，分公司应急领导小组直接负责事故现场指挥、调度、抢险、施救恢复生产，并会同地方政府、总公司开展事故调查等工作。</w:t>
      </w:r>
    </w:p>
    <w:p w14:paraId="17A6D12F" w14:textId="77777777" w:rsidR="00B0005F" w:rsidRPr="008A2411" w:rsidRDefault="00000000">
      <w:pPr>
        <w:spacing w:line="360" w:lineRule="auto"/>
        <w:ind w:firstLineChars="200" w:firstLine="482"/>
        <w:outlineLvl w:val="3"/>
        <w:rPr>
          <w:rFonts w:ascii="Times New Roman"/>
          <w:b/>
          <w:bCs/>
          <w:color w:val="000000" w:themeColor="text1"/>
        </w:rPr>
      </w:pPr>
      <w:bookmarkStart w:id="536" w:name="_Toc75094535"/>
      <w:bookmarkStart w:id="537" w:name="_Toc75096631"/>
      <w:r w:rsidRPr="008A2411">
        <w:rPr>
          <w:rFonts w:ascii="Times New Roman"/>
          <w:b/>
          <w:bCs/>
          <w:color w:val="000000" w:themeColor="text1"/>
        </w:rPr>
        <w:t>6.11.2.9</w:t>
      </w:r>
      <w:r w:rsidRPr="008A2411">
        <w:rPr>
          <w:rFonts w:ascii="Times New Roman"/>
          <w:b/>
          <w:bCs/>
          <w:color w:val="000000" w:themeColor="text1"/>
        </w:rPr>
        <w:t>风险防范措施汇总</w:t>
      </w:r>
      <w:bookmarkEnd w:id="536"/>
      <w:bookmarkEnd w:id="537"/>
    </w:p>
    <w:p w14:paraId="75B3BD74"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本项目风险防范措施汇总见表</w:t>
      </w:r>
      <w:r w:rsidRPr="008A2411">
        <w:rPr>
          <w:rFonts w:ascii="Times New Roman"/>
          <w:bCs/>
          <w:color w:val="000000" w:themeColor="text1"/>
        </w:rPr>
        <w:t>6.11-1</w:t>
      </w:r>
      <w:r w:rsidRPr="008A2411">
        <w:rPr>
          <w:rFonts w:ascii="Times New Roman"/>
          <w:bCs/>
          <w:color w:val="000000" w:themeColor="text1"/>
        </w:rPr>
        <w:t>、表</w:t>
      </w:r>
      <w:r w:rsidRPr="008A2411">
        <w:rPr>
          <w:rFonts w:ascii="Times New Roman"/>
          <w:bCs/>
          <w:color w:val="000000" w:themeColor="text1"/>
        </w:rPr>
        <w:t>6.11-2</w:t>
      </w:r>
      <w:r w:rsidRPr="008A2411">
        <w:rPr>
          <w:rFonts w:ascii="Times New Roman"/>
          <w:bCs/>
          <w:color w:val="000000" w:themeColor="text1"/>
        </w:rPr>
        <w:t>。</w:t>
      </w:r>
    </w:p>
    <w:p w14:paraId="0B7812FD" w14:textId="77777777" w:rsidR="00B0005F" w:rsidRPr="008A2411" w:rsidRDefault="00000000">
      <w:pPr>
        <w:pStyle w:val="WJ0"/>
        <w:spacing w:line="240" w:lineRule="auto"/>
        <w:rPr>
          <w:rFonts w:ascii="Times New Roman" w:hAnsi="Times New Roman"/>
          <w:color w:val="000000" w:themeColor="text1"/>
        </w:rPr>
      </w:pPr>
      <w:r w:rsidRPr="008A2411">
        <w:rPr>
          <w:rFonts w:ascii="Times New Roman" w:hAnsi="Times New Roman"/>
          <w:color w:val="000000" w:themeColor="text1"/>
        </w:rPr>
        <w:t>表</w:t>
      </w:r>
      <w:r w:rsidRPr="008A2411">
        <w:rPr>
          <w:rFonts w:ascii="Times New Roman" w:hAnsi="Times New Roman"/>
          <w:color w:val="000000" w:themeColor="text1"/>
        </w:rPr>
        <w:t>6.11-1</w:t>
      </w:r>
      <w:r w:rsidRPr="008A2411">
        <w:rPr>
          <w:rFonts w:ascii="Times New Roman" w:hAnsi="Times New Roman"/>
          <w:color w:val="000000" w:themeColor="text1"/>
        </w:rPr>
        <w:t>风险防范设施一览表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6"/>
        <w:gridCol w:w="2551"/>
        <w:gridCol w:w="1040"/>
        <w:gridCol w:w="803"/>
        <w:gridCol w:w="2695"/>
        <w:gridCol w:w="757"/>
      </w:tblGrid>
      <w:tr w:rsidR="008A2411" w:rsidRPr="008A2411" w14:paraId="7D9CE9EF" w14:textId="77777777">
        <w:trPr>
          <w:trHeight w:val="340"/>
          <w:tblHeader/>
          <w:jc w:val="center"/>
        </w:trPr>
        <w:tc>
          <w:tcPr>
            <w:tcW w:w="397" w:type="pct"/>
            <w:vAlign w:val="center"/>
          </w:tcPr>
          <w:p w14:paraId="187D3387"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序号</w:t>
            </w:r>
          </w:p>
        </w:tc>
        <w:tc>
          <w:tcPr>
            <w:tcW w:w="1497" w:type="pct"/>
            <w:vAlign w:val="center"/>
          </w:tcPr>
          <w:p w14:paraId="162E7DB0"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设施名称</w:t>
            </w:r>
          </w:p>
        </w:tc>
        <w:tc>
          <w:tcPr>
            <w:tcW w:w="610" w:type="pct"/>
            <w:vAlign w:val="center"/>
          </w:tcPr>
          <w:p w14:paraId="109892E5"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投资</w:t>
            </w:r>
          </w:p>
        </w:tc>
        <w:tc>
          <w:tcPr>
            <w:tcW w:w="471" w:type="pct"/>
            <w:vAlign w:val="center"/>
          </w:tcPr>
          <w:p w14:paraId="48481962"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序号</w:t>
            </w:r>
          </w:p>
        </w:tc>
        <w:tc>
          <w:tcPr>
            <w:tcW w:w="1581" w:type="pct"/>
            <w:vAlign w:val="center"/>
          </w:tcPr>
          <w:p w14:paraId="1102954D"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设施名称</w:t>
            </w:r>
          </w:p>
        </w:tc>
        <w:tc>
          <w:tcPr>
            <w:tcW w:w="444" w:type="pct"/>
            <w:vAlign w:val="center"/>
          </w:tcPr>
          <w:p w14:paraId="2B267681"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投资</w:t>
            </w:r>
          </w:p>
        </w:tc>
      </w:tr>
      <w:tr w:rsidR="008A2411" w:rsidRPr="008A2411" w14:paraId="5120DDAA" w14:textId="77777777">
        <w:trPr>
          <w:trHeight w:val="340"/>
          <w:tblHeader/>
          <w:jc w:val="center"/>
        </w:trPr>
        <w:tc>
          <w:tcPr>
            <w:tcW w:w="397" w:type="pct"/>
            <w:vAlign w:val="center"/>
          </w:tcPr>
          <w:p w14:paraId="07C76313"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1</w:t>
            </w:r>
          </w:p>
        </w:tc>
        <w:tc>
          <w:tcPr>
            <w:tcW w:w="1497" w:type="pct"/>
            <w:vAlign w:val="center"/>
          </w:tcPr>
          <w:p w14:paraId="07307D17"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站场放空系统</w:t>
            </w:r>
          </w:p>
        </w:tc>
        <w:tc>
          <w:tcPr>
            <w:tcW w:w="610" w:type="pct"/>
            <w:vMerge w:val="restart"/>
            <w:vAlign w:val="center"/>
          </w:tcPr>
          <w:p w14:paraId="6A3B7CC5"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计入工程投资</w:t>
            </w:r>
          </w:p>
        </w:tc>
        <w:tc>
          <w:tcPr>
            <w:tcW w:w="471" w:type="pct"/>
            <w:vAlign w:val="center"/>
          </w:tcPr>
          <w:p w14:paraId="072E9239"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11</w:t>
            </w:r>
          </w:p>
        </w:tc>
        <w:tc>
          <w:tcPr>
            <w:tcW w:w="1581" w:type="pct"/>
            <w:vAlign w:val="center"/>
          </w:tcPr>
          <w:p w14:paraId="20AC4377"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防静电设施</w:t>
            </w:r>
          </w:p>
        </w:tc>
        <w:tc>
          <w:tcPr>
            <w:tcW w:w="444" w:type="pct"/>
            <w:vMerge w:val="restart"/>
            <w:vAlign w:val="center"/>
          </w:tcPr>
          <w:p w14:paraId="0BA4ECE6"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计入工程投资</w:t>
            </w:r>
          </w:p>
        </w:tc>
      </w:tr>
      <w:tr w:rsidR="008A2411" w:rsidRPr="008A2411" w14:paraId="0CB83193" w14:textId="77777777">
        <w:trPr>
          <w:trHeight w:val="340"/>
          <w:tblHeader/>
          <w:jc w:val="center"/>
        </w:trPr>
        <w:tc>
          <w:tcPr>
            <w:tcW w:w="397" w:type="pct"/>
            <w:vAlign w:val="center"/>
          </w:tcPr>
          <w:p w14:paraId="74E49FBE"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2</w:t>
            </w:r>
          </w:p>
        </w:tc>
        <w:tc>
          <w:tcPr>
            <w:tcW w:w="1497" w:type="pct"/>
            <w:vAlign w:val="center"/>
          </w:tcPr>
          <w:p w14:paraId="01D125D4"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在线式可燃气体报警仪</w:t>
            </w:r>
          </w:p>
        </w:tc>
        <w:tc>
          <w:tcPr>
            <w:tcW w:w="610" w:type="pct"/>
            <w:vMerge/>
            <w:vAlign w:val="center"/>
          </w:tcPr>
          <w:p w14:paraId="4FA4D569" w14:textId="77777777" w:rsidR="00B0005F" w:rsidRPr="008A2411" w:rsidRDefault="00B0005F">
            <w:pPr>
              <w:pStyle w:val="WJ5"/>
              <w:rPr>
                <w:rFonts w:ascii="Times New Roman" w:hAnsi="Times New Roman"/>
                <w:color w:val="000000" w:themeColor="text1"/>
              </w:rPr>
            </w:pPr>
          </w:p>
        </w:tc>
        <w:tc>
          <w:tcPr>
            <w:tcW w:w="471" w:type="pct"/>
            <w:vAlign w:val="center"/>
          </w:tcPr>
          <w:p w14:paraId="019BFB1C"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12</w:t>
            </w:r>
          </w:p>
        </w:tc>
        <w:tc>
          <w:tcPr>
            <w:tcW w:w="1581" w:type="pct"/>
            <w:vAlign w:val="center"/>
          </w:tcPr>
          <w:p w14:paraId="57FD231C"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灭火器材、砂池等</w:t>
            </w:r>
          </w:p>
        </w:tc>
        <w:tc>
          <w:tcPr>
            <w:tcW w:w="444" w:type="pct"/>
            <w:vMerge/>
            <w:vAlign w:val="center"/>
          </w:tcPr>
          <w:p w14:paraId="2538BD05" w14:textId="77777777" w:rsidR="00B0005F" w:rsidRPr="008A2411" w:rsidRDefault="00B0005F">
            <w:pPr>
              <w:pStyle w:val="WJ5"/>
              <w:rPr>
                <w:rFonts w:ascii="Times New Roman" w:hAnsi="Times New Roman"/>
                <w:color w:val="000000" w:themeColor="text1"/>
              </w:rPr>
            </w:pPr>
          </w:p>
        </w:tc>
      </w:tr>
      <w:tr w:rsidR="008A2411" w:rsidRPr="008A2411" w14:paraId="23A97ACC" w14:textId="77777777">
        <w:trPr>
          <w:trHeight w:val="340"/>
          <w:tblHeader/>
          <w:jc w:val="center"/>
        </w:trPr>
        <w:tc>
          <w:tcPr>
            <w:tcW w:w="397" w:type="pct"/>
            <w:vAlign w:val="center"/>
          </w:tcPr>
          <w:p w14:paraId="11529631"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3</w:t>
            </w:r>
          </w:p>
        </w:tc>
        <w:tc>
          <w:tcPr>
            <w:tcW w:w="1497" w:type="pct"/>
            <w:vAlign w:val="center"/>
          </w:tcPr>
          <w:p w14:paraId="28589BB6"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便携式可燃气体检测仪</w:t>
            </w:r>
          </w:p>
        </w:tc>
        <w:tc>
          <w:tcPr>
            <w:tcW w:w="610" w:type="pct"/>
            <w:vMerge/>
            <w:vAlign w:val="center"/>
          </w:tcPr>
          <w:p w14:paraId="6A5A5AA6" w14:textId="77777777" w:rsidR="00B0005F" w:rsidRPr="008A2411" w:rsidRDefault="00B0005F">
            <w:pPr>
              <w:pStyle w:val="WJ5"/>
              <w:rPr>
                <w:rFonts w:ascii="Times New Roman" w:hAnsi="Times New Roman"/>
                <w:color w:val="000000" w:themeColor="text1"/>
              </w:rPr>
            </w:pPr>
          </w:p>
        </w:tc>
        <w:tc>
          <w:tcPr>
            <w:tcW w:w="471" w:type="pct"/>
            <w:vAlign w:val="center"/>
          </w:tcPr>
          <w:p w14:paraId="275481BA"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13</w:t>
            </w:r>
          </w:p>
        </w:tc>
        <w:tc>
          <w:tcPr>
            <w:tcW w:w="1581" w:type="pct"/>
            <w:vAlign w:val="center"/>
          </w:tcPr>
          <w:p w14:paraId="700173DD"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风向标、警示标志</w:t>
            </w:r>
          </w:p>
        </w:tc>
        <w:tc>
          <w:tcPr>
            <w:tcW w:w="444" w:type="pct"/>
            <w:vMerge/>
            <w:vAlign w:val="center"/>
          </w:tcPr>
          <w:p w14:paraId="02C6E771" w14:textId="77777777" w:rsidR="00B0005F" w:rsidRPr="008A2411" w:rsidRDefault="00B0005F">
            <w:pPr>
              <w:pStyle w:val="WJ5"/>
              <w:rPr>
                <w:rFonts w:ascii="Times New Roman" w:hAnsi="Times New Roman"/>
                <w:color w:val="000000" w:themeColor="text1"/>
              </w:rPr>
            </w:pPr>
          </w:p>
        </w:tc>
      </w:tr>
      <w:tr w:rsidR="008A2411" w:rsidRPr="008A2411" w14:paraId="0158CFFC" w14:textId="77777777">
        <w:trPr>
          <w:trHeight w:val="340"/>
          <w:tblHeader/>
          <w:jc w:val="center"/>
        </w:trPr>
        <w:tc>
          <w:tcPr>
            <w:tcW w:w="397" w:type="pct"/>
            <w:vAlign w:val="center"/>
          </w:tcPr>
          <w:p w14:paraId="37D8A60D"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4</w:t>
            </w:r>
          </w:p>
        </w:tc>
        <w:tc>
          <w:tcPr>
            <w:tcW w:w="1497" w:type="pct"/>
            <w:vAlign w:val="center"/>
          </w:tcPr>
          <w:p w14:paraId="0D670536"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紧急连锁装置</w:t>
            </w:r>
          </w:p>
        </w:tc>
        <w:tc>
          <w:tcPr>
            <w:tcW w:w="610" w:type="pct"/>
            <w:vMerge/>
            <w:vAlign w:val="center"/>
          </w:tcPr>
          <w:p w14:paraId="443F9CD8" w14:textId="77777777" w:rsidR="00B0005F" w:rsidRPr="008A2411" w:rsidRDefault="00B0005F">
            <w:pPr>
              <w:pStyle w:val="WJ5"/>
              <w:rPr>
                <w:rFonts w:ascii="Times New Roman" w:hAnsi="Times New Roman"/>
                <w:color w:val="000000" w:themeColor="text1"/>
              </w:rPr>
            </w:pPr>
          </w:p>
        </w:tc>
        <w:tc>
          <w:tcPr>
            <w:tcW w:w="471" w:type="pct"/>
            <w:vAlign w:val="center"/>
          </w:tcPr>
          <w:p w14:paraId="5770D519"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14</w:t>
            </w:r>
          </w:p>
        </w:tc>
        <w:tc>
          <w:tcPr>
            <w:tcW w:w="1581" w:type="pct"/>
            <w:vAlign w:val="center"/>
          </w:tcPr>
          <w:p w14:paraId="1EABF6A0"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管线紧急自动截断系统</w:t>
            </w:r>
          </w:p>
        </w:tc>
        <w:tc>
          <w:tcPr>
            <w:tcW w:w="444" w:type="pct"/>
            <w:vMerge/>
            <w:vAlign w:val="center"/>
          </w:tcPr>
          <w:p w14:paraId="46212A19" w14:textId="77777777" w:rsidR="00B0005F" w:rsidRPr="008A2411" w:rsidRDefault="00B0005F">
            <w:pPr>
              <w:pStyle w:val="WJ5"/>
              <w:rPr>
                <w:rFonts w:ascii="Times New Roman" w:hAnsi="Times New Roman"/>
                <w:color w:val="000000" w:themeColor="text1"/>
              </w:rPr>
            </w:pPr>
          </w:p>
        </w:tc>
      </w:tr>
      <w:tr w:rsidR="008A2411" w:rsidRPr="008A2411" w14:paraId="4AF90F73" w14:textId="77777777">
        <w:trPr>
          <w:trHeight w:val="340"/>
          <w:tblHeader/>
          <w:jc w:val="center"/>
        </w:trPr>
        <w:tc>
          <w:tcPr>
            <w:tcW w:w="397" w:type="pct"/>
            <w:vAlign w:val="center"/>
          </w:tcPr>
          <w:p w14:paraId="472FB44A"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5</w:t>
            </w:r>
          </w:p>
        </w:tc>
        <w:tc>
          <w:tcPr>
            <w:tcW w:w="1497" w:type="pct"/>
            <w:vAlign w:val="center"/>
          </w:tcPr>
          <w:p w14:paraId="0C244823"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防爆电气设备</w:t>
            </w:r>
          </w:p>
        </w:tc>
        <w:tc>
          <w:tcPr>
            <w:tcW w:w="610" w:type="pct"/>
            <w:vMerge/>
            <w:vAlign w:val="center"/>
          </w:tcPr>
          <w:p w14:paraId="66F03011" w14:textId="77777777" w:rsidR="00B0005F" w:rsidRPr="008A2411" w:rsidRDefault="00B0005F">
            <w:pPr>
              <w:pStyle w:val="WJ5"/>
              <w:rPr>
                <w:rFonts w:ascii="Times New Roman" w:hAnsi="Times New Roman"/>
                <w:color w:val="000000" w:themeColor="text1"/>
              </w:rPr>
            </w:pPr>
          </w:p>
        </w:tc>
        <w:tc>
          <w:tcPr>
            <w:tcW w:w="471" w:type="pct"/>
            <w:vAlign w:val="center"/>
          </w:tcPr>
          <w:p w14:paraId="2770F5B6"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15</w:t>
            </w:r>
          </w:p>
        </w:tc>
        <w:tc>
          <w:tcPr>
            <w:tcW w:w="1581" w:type="pct"/>
            <w:vAlign w:val="center"/>
          </w:tcPr>
          <w:p w14:paraId="338F126C"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管线警示标志</w:t>
            </w:r>
          </w:p>
        </w:tc>
        <w:tc>
          <w:tcPr>
            <w:tcW w:w="444" w:type="pct"/>
            <w:vMerge/>
            <w:vAlign w:val="center"/>
          </w:tcPr>
          <w:p w14:paraId="12C281C5" w14:textId="77777777" w:rsidR="00B0005F" w:rsidRPr="008A2411" w:rsidRDefault="00B0005F">
            <w:pPr>
              <w:pStyle w:val="WJ5"/>
              <w:rPr>
                <w:rFonts w:ascii="Times New Roman" w:hAnsi="Times New Roman"/>
                <w:color w:val="000000" w:themeColor="text1"/>
              </w:rPr>
            </w:pPr>
          </w:p>
        </w:tc>
      </w:tr>
      <w:tr w:rsidR="008A2411" w:rsidRPr="008A2411" w14:paraId="478F59F7" w14:textId="77777777">
        <w:trPr>
          <w:trHeight w:val="340"/>
          <w:tblHeader/>
          <w:jc w:val="center"/>
        </w:trPr>
        <w:tc>
          <w:tcPr>
            <w:tcW w:w="397" w:type="pct"/>
            <w:vAlign w:val="center"/>
          </w:tcPr>
          <w:p w14:paraId="4FD2810C"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6</w:t>
            </w:r>
          </w:p>
        </w:tc>
        <w:tc>
          <w:tcPr>
            <w:tcW w:w="1497" w:type="pct"/>
            <w:vAlign w:val="center"/>
          </w:tcPr>
          <w:p w14:paraId="59AD9422"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防爆自动控制系统</w:t>
            </w:r>
          </w:p>
        </w:tc>
        <w:tc>
          <w:tcPr>
            <w:tcW w:w="610" w:type="pct"/>
            <w:vMerge/>
            <w:vAlign w:val="center"/>
          </w:tcPr>
          <w:p w14:paraId="7318AFF8" w14:textId="77777777" w:rsidR="00B0005F" w:rsidRPr="008A2411" w:rsidRDefault="00B0005F">
            <w:pPr>
              <w:pStyle w:val="WJ5"/>
              <w:rPr>
                <w:rFonts w:ascii="Times New Roman" w:hAnsi="Times New Roman"/>
                <w:color w:val="000000" w:themeColor="text1"/>
              </w:rPr>
            </w:pPr>
          </w:p>
        </w:tc>
        <w:tc>
          <w:tcPr>
            <w:tcW w:w="471" w:type="pct"/>
            <w:vAlign w:val="center"/>
          </w:tcPr>
          <w:p w14:paraId="1523B236"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16</w:t>
            </w:r>
          </w:p>
        </w:tc>
        <w:tc>
          <w:tcPr>
            <w:tcW w:w="1581" w:type="pct"/>
            <w:vAlign w:val="center"/>
          </w:tcPr>
          <w:p w14:paraId="15787180"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护坡、堡坎等</w:t>
            </w:r>
          </w:p>
        </w:tc>
        <w:tc>
          <w:tcPr>
            <w:tcW w:w="444" w:type="pct"/>
            <w:vMerge/>
            <w:vAlign w:val="center"/>
          </w:tcPr>
          <w:p w14:paraId="48A6F199" w14:textId="77777777" w:rsidR="00B0005F" w:rsidRPr="008A2411" w:rsidRDefault="00B0005F">
            <w:pPr>
              <w:pStyle w:val="WJ5"/>
              <w:rPr>
                <w:rFonts w:ascii="Times New Roman" w:hAnsi="Times New Roman"/>
                <w:color w:val="000000" w:themeColor="text1"/>
              </w:rPr>
            </w:pPr>
          </w:p>
        </w:tc>
      </w:tr>
      <w:tr w:rsidR="008A2411" w:rsidRPr="008A2411" w14:paraId="28476A94" w14:textId="77777777">
        <w:trPr>
          <w:trHeight w:val="340"/>
          <w:tblHeader/>
          <w:jc w:val="center"/>
        </w:trPr>
        <w:tc>
          <w:tcPr>
            <w:tcW w:w="397" w:type="pct"/>
            <w:vAlign w:val="center"/>
          </w:tcPr>
          <w:p w14:paraId="617B3B56"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7</w:t>
            </w:r>
          </w:p>
        </w:tc>
        <w:tc>
          <w:tcPr>
            <w:tcW w:w="1497" w:type="pct"/>
            <w:vAlign w:val="center"/>
          </w:tcPr>
          <w:p w14:paraId="4FA02D94"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在线式</w:t>
            </w:r>
            <w:r w:rsidRPr="008A2411">
              <w:rPr>
                <w:rFonts w:ascii="Times New Roman" w:hAnsi="Times New Roman"/>
                <w:color w:val="000000" w:themeColor="text1"/>
              </w:rPr>
              <w:t>UPS</w:t>
            </w:r>
            <w:r w:rsidRPr="008A2411">
              <w:rPr>
                <w:rFonts w:ascii="Times New Roman" w:hAnsi="Times New Roman"/>
                <w:color w:val="000000" w:themeColor="text1"/>
              </w:rPr>
              <w:t>应急电源</w:t>
            </w:r>
          </w:p>
        </w:tc>
        <w:tc>
          <w:tcPr>
            <w:tcW w:w="610" w:type="pct"/>
            <w:vMerge/>
            <w:vAlign w:val="center"/>
          </w:tcPr>
          <w:p w14:paraId="4F0170B7" w14:textId="77777777" w:rsidR="00B0005F" w:rsidRPr="008A2411" w:rsidRDefault="00B0005F">
            <w:pPr>
              <w:pStyle w:val="WJ5"/>
              <w:rPr>
                <w:rFonts w:ascii="Times New Roman" w:hAnsi="Times New Roman"/>
                <w:color w:val="000000" w:themeColor="text1"/>
              </w:rPr>
            </w:pPr>
          </w:p>
        </w:tc>
        <w:tc>
          <w:tcPr>
            <w:tcW w:w="471" w:type="pct"/>
            <w:vAlign w:val="center"/>
          </w:tcPr>
          <w:p w14:paraId="054DF02E"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17</w:t>
            </w:r>
          </w:p>
        </w:tc>
        <w:tc>
          <w:tcPr>
            <w:tcW w:w="1581" w:type="pct"/>
            <w:vAlign w:val="center"/>
          </w:tcPr>
          <w:p w14:paraId="1A03C411"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高音喇叭、公路</w:t>
            </w:r>
          </w:p>
        </w:tc>
        <w:tc>
          <w:tcPr>
            <w:tcW w:w="444" w:type="pct"/>
            <w:vMerge/>
            <w:vAlign w:val="center"/>
          </w:tcPr>
          <w:p w14:paraId="1D85923A" w14:textId="77777777" w:rsidR="00B0005F" w:rsidRPr="008A2411" w:rsidRDefault="00B0005F">
            <w:pPr>
              <w:pStyle w:val="WJ5"/>
              <w:rPr>
                <w:rFonts w:ascii="Times New Roman" w:hAnsi="Times New Roman"/>
                <w:color w:val="000000" w:themeColor="text1"/>
              </w:rPr>
            </w:pPr>
          </w:p>
        </w:tc>
      </w:tr>
      <w:tr w:rsidR="008A2411" w:rsidRPr="008A2411" w14:paraId="373779BF" w14:textId="77777777">
        <w:trPr>
          <w:trHeight w:val="340"/>
          <w:tblHeader/>
          <w:jc w:val="center"/>
        </w:trPr>
        <w:tc>
          <w:tcPr>
            <w:tcW w:w="397" w:type="pct"/>
            <w:vAlign w:val="center"/>
          </w:tcPr>
          <w:p w14:paraId="56D06962"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8</w:t>
            </w:r>
          </w:p>
        </w:tc>
        <w:tc>
          <w:tcPr>
            <w:tcW w:w="1497" w:type="pct"/>
            <w:vAlign w:val="center"/>
          </w:tcPr>
          <w:p w14:paraId="1467C898"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应急照明</w:t>
            </w:r>
          </w:p>
        </w:tc>
        <w:tc>
          <w:tcPr>
            <w:tcW w:w="610" w:type="pct"/>
            <w:vMerge/>
            <w:vAlign w:val="center"/>
          </w:tcPr>
          <w:p w14:paraId="6C872996" w14:textId="77777777" w:rsidR="00B0005F" w:rsidRPr="008A2411" w:rsidRDefault="00B0005F">
            <w:pPr>
              <w:pStyle w:val="WJ5"/>
              <w:rPr>
                <w:rFonts w:ascii="Times New Roman" w:hAnsi="Times New Roman"/>
                <w:color w:val="000000" w:themeColor="text1"/>
              </w:rPr>
            </w:pPr>
          </w:p>
        </w:tc>
        <w:tc>
          <w:tcPr>
            <w:tcW w:w="471" w:type="pct"/>
            <w:vAlign w:val="center"/>
          </w:tcPr>
          <w:p w14:paraId="18534C71"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18</w:t>
            </w:r>
          </w:p>
        </w:tc>
        <w:tc>
          <w:tcPr>
            <w:tcW w:w="1581" w:type="pct"/>
            <w:vAlign w:val="center"/>
          </w:tcPr>
          <w:p w14:paraId="4EA842B9"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管道三层</w:t>
            </w:r>
            <w:r w:rsidRPr="008A2411">
              <w:rPr>
                <w:rFonts w:ascii="Times New Roman" w:hAnsi="Times New Roman"/>
                <w:color w:val="000000" w:themeColor="text1"/>
              </w:rPr>
              <w:t>PE</w:t>
            </w:r>
            <w:r w:rsidRPr="008A2411">
              <w:rPr>
                <w:rFonts w:ascii="Times New Roman" w:hAnsi="Times New Roman"/>
                <w:color w:val="000000" w:themeColor="text1"/>
              </w:rPr>
              <w:t>加强级防腐</w:t>
            </w:r>
          </w:p>
        </w:tc>
        <w:tc>
          <w:tcPr>
            <w:tcW w:w="444" w:type="pct"/>
            <w:vMerge/>
            <w:vAlign w:val="center"/>
          </w:tcPr>
          <w:p w14:paraId="28148B79" w14:textId="77777777" w:rsidR="00B0005F" w:rsidRPr="008A2411" w:rsidRDefault="00B0005F">
            <w:pPr>
              <w:pStyle w:val="WJ5"/>
              <w:rPr>
                <w:rFonts w:ascii="Times New Roman" w:hAnsi="Times New Roman"/>
                <w:color w:val="000000" w:themeColor="text1"/>
              </w:rPr>
            </w:pPr>
          </w:p>
        </w:tc>
      </w:tr>
      <w:tr w:rsidR="008A2411" w:rsidRPr="008A2411" w14:paraId="7786BF37" w14:textId="77777777">
        <w:trPr>
          <w:trHeight w:val="340"/>
          <w:tblHeader/>
          <w:jc w:val="center"/>
        </w:trPr>
        <w:tc>
          <w:tcPr>
            <w:tcW w:w="397" w:type="pct"/>
            <w:vAlign w:val="center"/>
          </w:tcPr>
          <w:p w14:paraId="66467797"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9</w:t>
            </w:r>
          </w:p>
        </w:tc>
        <w:tc>
          <w:tcPr>
            <w:tcW w:w="1497" w:type="pct"/>
            <w:vAlign w:val="center"/>
          </w:tcPr>
          <w:p w14:paraId="3866C894"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避雷及防雷设施</w:t>
            </w:r>
          </w:p>
        </w:tc>
        <w:tc>
          <w:tcPr>
            <w:tcW w:w="610" w:type="pct"/>
            <w:vMerge/>
            <w:vAlign w:val="center"/>
          </w:tcPr>
          <w:p w14:paraId="5A299EBF" w14:textId="77777777" w:rsidR="00B0005F" w:rsidRPr="008A2411" w:rsidRDefault="00B0005F">
            <w:pPr>
              <w:pStyle w:val="WJ5"/>
              <w:rPr>
                <w:rFonts w:ascii="Times New Roman" w:hAnsi="Times New Roman"/>
                <w:color w:val="000000" w:themeColor="text1"/>
              </w:rPr>
            </w:pPr>
          </w:p>
        </w:tc>
        <w:tc>
          <w:tcPr>
            <w:tcW w:w="471" w:type="pct"/>
            <w:vAlign w:val="center"/>
          </w:tcPr>
          <w:p w14:paraId="09BBDC15"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19</w:t>
            </w:r>
          </w:p>
        </w:tc>
        <w:tc>
          <w:tcPr>
            <w:tcW w:w="1581" w:type="pct"/>
            <w:vAlign w:val="center"/>
          </w:tcPr>
          <w:p w14:paraId="06F6CB2D"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公路穿越套管保护</w:t>
            </w:r>
          </w:p>
        </w:tc>
        <w:tc>
          <w:tcPr>
            <w:tcW w:w="444" w:type="pct"/>
            <w:vMerge/>
            <w:vAlign w:val="center"/>
          </w:tcPr>
          <w:p w14:paraId="44DD4401" w14:textId="77777777" w:rsidR="00B0005F" w:rsidRPr="008A2411" w:rsidRDefault="00B0005F">
            <w:pPr>
              <w:pStyle w:val="WJ5"/>
              <w:rPr>
                <w:rFonts w:ascii="Times New Roman" w:hAnsi="Times New Roman"/>
                <w:color w:val="000000" w:themeColor="text1"/>
              </w:rPr>
            </w:pPr>
          </w:p>
        </w:tc>
      </w:tr>
      <w:tr w:rsidR="008A2411" w:rsidRPr="008A2411" w14:paraId="09FF9047" w14:textId="77777777">
        <w:trPr>
          <w:trHeight w:val="340"/>
          <w:tblHeader/>
          <w:jc w:val="center"/>
        </w:trPr>
        <w:tc>
          <w:tcPr>
            <w:tcW w:w="397" w:type="pct"/>
            <w:vAlign w:val="center"/>
          </w:tcPr>
          <w:p w14:paraId="07628D8E"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10</w:t>
            </w:r>
          </w:p>
        </w:tc>
        <w:tc>
          <w:tcPr>
            <w:tcW w:w="1497" w:type="pct"/>
            <w:vAlign w:val="center"/>
          </w:tcPr>
          <w:p w14:paraId="6ADD3BB4"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空气呼吸器</w:t>
            </w:r>
          </w:p>
        </w:tc>
        <w:tc>
          <w:tcPr>
            <w:tcW w:w="610" w:type="pct"/>
            <w:vMerge/>
            <w:vAlign w:val="center"/>
          </w:tcPr>
          <w:p w14:paraId="44484E4B" w14:textId="77777777" w:rsidR="00B0005F" w:rsidRPr="008A2411" w:rsidRDefault="00B0005F">
            <w:pPr>
              <w:pStyle w:val="WJ5"/>
              <w:rPr>
                <w:rFonts w:ascii="Times New Roman" w:hAnsi="Times New Roman"/>
                <w:color w:val="000000" w:themeColor="text1"/>
              </w:rPr>
            </w:pPr>
          </w:p>
        </w:tc>
        <w:tc>
          <w:tcPr>
            <w:tcW w:w="471" w:type="pct"/>
            <w:vAlign w:val="center"/>
          </w:tcPr>
          <w:p w14:paraId="24F06E49"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20</w:t>
            </w:r>
          </w:p>
        </w:tc>
        <w:tc>
          <w:tcPr>
            <w:tcW w:w="1581" w:type="pct"/>
            <w:vAlign w:val="center"/>
          </w:tcPr>
          <w:p w14:paraId="36C3B498"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《应急响应程序》</w:t>
            </w:r>
          </w:p>
        </w:tc>
        <w:tc>
          <w:tcPr>
            <w:tcW w:w="444" w:type="pct"/>
            <w:vAlign w:val="center"/>
          </w:tcPr>
          <w:p w14:paraId="0CF40F67" w14:textId="77777777" w:rsidR="00B0005F" w:rsidRPr="008A2411" w:rsidRDefault="00B0005F">
            <w:pPr>
              <w:pStyle w:val="WJ5"/>
              <w:rPr>
                <w:rFonts w:ascii="Times New Roman" w:hAnsi="Times New Roman"/>
                <w:color w:val="000000" w:themeColor="text1"/>
              </w:rPr>
            </w:pPr>
          </w:p>
        </w:tc>
      </w:tr>
    </w:tbl>
    <w:p w14:paraId="2C4EAD90" w14:textId="77777777" w:rsidR="00B0005F" w:rsidRPr="008A2411" w:rsidRDefault="00000000">
      <w:pPr>
        <w:pStyle w:val="WJ0"/>
        <w:spacing w:line="240" w:lineRule="auto"/>
        <w:rPr>
          <w:rFonts w:ascii="Times New Roman" w:hAnsi="Times New Roman"/>
          <w:color w:val="000000" w:themeColor="text1"/>
        </w:rPr>
      </w:pPr>
      <w:r w:rsidRPr="008A2411">
        <w:rPr>
          <w:rFonts w:ascii="Times New Roman" w:hAnsi="Times New Roman"/>
          <w:color w:val="000000" w:themeColor="text1"/>
        </w:rPr>
        <w:t>表</w:t>
      </w:r>
      <w:r w:rsidRPr="008A2411">
        <w:rPr>
          <w:rFonts w:ascii="Times New Roman" w:hAnsi="Times New Roman"/>
          <w:color w:val="000000" w:themeColor="text1"/>
        </w:rPr>
        <w:t>6.11-2</w:t>
      </w:r>
      <w:r w:rsidRPr="008A2411">
        <w:rPr>
          <w:rFonts w:ascii="Times New Roman" w:hAnsi="Times New Roman"/>
          <w:color w:val="000000" w:themeColor="text1"/>
        </w:rPr>
        <w:t>风险应急措施投资一览表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6"/>
        <w:gridCol w:w="5799"/>
        <w:gridCol w:w="723"/>
        <w:gridCol w:w="1324"/>
      </w:tblGrid>
      <w:tr w:rsidR="008A2411" w:rsidRPr="008A2411" w14:paraId="1C777007" w14:textId="77777777">
        <w:trPr>
          <w:trHeight w:val="340"/>
          <w:jc w:val="center"/>
        </w:trPr>
        <w:tc>
          <w:tcPr>
            <w:tcW w:w="396" w:type="pct"/>
            <w:vAlign w:val="center"/>
          </w:tcPr>
          <w:p w14:paraId="616548E0"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序号</w:t>
            </w:r>
          </w:p>
        </w:tc>
        <w:tc>
          <w:tcPr>
            <w:tcW w:w="3401" w:type="pct"/>
            <w:vAlign w:val="center"/>
          </w:tcPr>
          <w:p w14:paraId="05A991DF"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主要风险防范措施</w:t>
            </w:r>
          </w:p>
        </w:tc>
        <w:tc>
          <w:tcPr>
            <w:tcW w:w="424" w:type="pct"/>
            <w:vAlign w:val="center"/>
          </w:tcPr>
          <w:p w14:paraId="554DB8FB"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数量</w:t>
            </w:r>
          </w:p>
        </w:tc>
        <w:tc>
          <w:tcPr>
            <w:tcW w:w="777" w:type="pct"/>
            <w:vAlign w:val="center"/>
          </w:tcPr>
          <w:p w14:paraId="21BE4C07"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投资（万元）</w:t>
            </w:r>
          </w:p>
        </w:tc>
      </w:tr>
      <w:tr w:rsidR="008A2411" w:rsidRPr="008A2411" w14:paraId="327D99A8" w14:textId="77777777">
        <w:trPr>
          <w:trHeight w:val="340"/>
          <w:jc w:val="center"/>
        </w:trPr>
        <w:tc>
          <w:tcPr>
            <w:tcW w:w="396" w:type="pct"/>
            <w:vAlign w:val="center"/>
          </w:tcPr>
          <w:p w14:paraId="2D117AF6"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1</w:t>
            </w:r>
          </w:p>
        </w:tc>
        <w:tc>
          <w:tcPr>
            <w:tcW w:w="3401" w:type="pct"/>
            <w:vAlign w:val="center"/>
          </w:tcPr>
          <w:p w14:paraId="12A6EE9C"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在线式、便携式可燃气体检测仪，紧急连锁装置、防爆电气设备、防爆自动控制系统、在线式</w:t>
            </w:r>
            <w:r w:rsidRPr="008A2411">
              <w:rPr>
                <w:rFonts w:ascii="Times New Roman" w:hAnsi="Times New Roman"/>
                <w:color w:val="000000" w:themeColor="text1"/>
              </w:rPr>
              <w:t>UPS</w:t>
            </w:r>
            <w:r w:rsidRPr="008A2411">
              <w:rPr>
                <w:rFonts w:ascii="Times New Roman" w:hAnsi="Times New Roman"/>
                <w:color w:val="000000" w:themeColor="text1"/>
              </w:rPr>
              <w:t>应急电源、应急照明、避雷及防雷设施、防静电设施、灭火器材、砂池等、风向标、警示标志、管线紧急自动截断系</w:t>
            </w:r>
          </w:p>
        </w:tc>
        <w:tc>
          <w:tcPr>
            <w:tcW w:w="424" w:type="pct"/>
            <w:vAlign w:val="center"/>
          </w:tcPr>
          <w:p w14:paraId="291C95D7"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w:t>
            </w:r>
          </w:p>
        </w:tc>
        <w:tc>
          <w:tcPr>
            <w:tcW w:w="777" w:type="pct"/>
            <w:vMerge w:val="restart"/>
            <w:vAlign w:val="center"/>
          </w:tcPr>
          <w:p w14:paraId="48AD114D"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纳入主体工程</w:t>
            </w:r>
          </w:p>
        </w:tc>
      </w:tr>
      <w:tr w:rsidR="008A2411" w:rsidRPr="008A2411" w14:paraId="6E769C86" w14:textId="77777777">
        <w:trPr>
          <w:trHeight w:val="340"/>
          <w:jc w:val="center"/>
        </w:trPr>
        <w:tc>
          <w:tcPr>
            <w:tcW w:w="396" w:type="pct"/>
            <w:vAlign w:val="center"/>
          </w:tcPr>
          <w:p w14:paraId="177C7DFA"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2</w:t>
            </w:r>
          </w:p>
        </w:tc>
        <w:tc>
          <w:tcPr>
            <w:tcW w:w="3401" w:type="pct"/>
            <w:vAlign w:val="center"/>
          </w:tcPr>
          <w:p w14:paraId="1DF99F49"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雨水</w:t>
            </w:r>
            <w:proofErr w:type="gramStart"/>
            <w:r w:rsidRPr="008A2411">
              <w:rPr>
                <w:rFonts w:ascii="Times New Roman" w:hAnsi="Times New Roman"/>
                <w:color w:val="000000" w:themeColor="text1"/>
              </w:rPr>
              <w:t>监控池兼事故</w:t>
            </w:r>
            <w:proofErr w:type="gramEnd"/>
            <w:r w:rsidRPr="008A2411">
              <w:rPr>
                <w:rFonts w:ascii="Times New Roman" w:hAnsi="Times New Roman"/>
                <w:color w:val="000000" w:themeColor="text1"/>
              </w:rPr>
              <w:t>池</w:t>
            </w:r>
            <w:r w:rsidRPr="008A2411">
              <w:rPr>
                <w:rFonts w:ascii="Times New Roman" w:hAnsi="Times New Roman" w:hint="eastAsia"/>
                <w:color w:val="000000" w:themeColor="text1"/>
              </w:rPr>
              <w:t>(800m</w:t>
            </w:r>
            <w:r w:rsidRPr="008A2411">
              <w:rPr>
                <w:rFonts w:ascii="Times New Roman" w:hAnsi="Times New Roman" w:hint="eastAsia"/>
                <w:color w:val="000000" w:themeColor="text1"/>
                <w:vertAlign w:val="superscript"/>
              </w:rPr>
              <w:t>3</w:t>
            </w:r>
            <w:r w:rsidRPr="008A2411">
              <w:rPr>
                <w:rFonts w:ascii="Times New Roman" w:hAnsi="Times New Roman" w:hint="eastAsia"/>
                <w:color w:val="000000" w:themeColor="text1"/>
              </w:rPr>
              <w:t>）</w:t>
            </w:r>
          </w:p>
        </w:tc>
        <w:tc>
          <w:tcPr>
            <w:tcW w:w="424" w:type="pct"/>
            <w:vAlign w:val="center"/>
          </w:tcPr>
          <w:p w14:paraId="0C608798"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1</w:t>
            </w:r>
            <w:r w:rsidRPr="008A2411">
              <w:rPr>
                <w:rFonts w:ascii="Times New Roman" w:hAnsi="Times New Roman"/>
                <w:color w:val="000000" w:themeColor="text1"/>
              </w:rPr>
              <w:t>座</w:t>
            </w:r>
          </w:p>
        </w:tc>
        <w:tc>
          <w:tcPr>
            <w:tcW w:w="777" w:type="pct"/>
            <w:vMerge/>
            <w:vAlign w:val="center"/>
          </w:tcPr>
          <w:p w14:paraId="6E3E7E0D" w14:textId="77777777" w:rsidR="00B0005F" w:rsidRPr="008A2411" w:rsidRDefault="00B0005F">
            <w:pPr>
              <w:pStyle w:val="WJ5"/>
              <w:rPr>
                <w:rFonts w:ascii="Times New Roman" w:hAnsi="Times New Roman"/>
                <w:color w:val="000000" w:themeColor="text1"/>
              </w:rPr>
            </w:pPr>
          </w:p>
        </w:tc>
      </w:tr>
      <w:tr w:rsidR="008A2411" w:rsidRPr="008A2411" w14:paraId="03107715" w14:textId="77777777">
        <w:trPr>
          <w:trHeight w:val="340"/>
          <w:jc w:val="center"/>
        </w:trPr>
        <w:tc>
          <w:tcPr>
            <w:tcW w:w="396" w:type="pct"/>
            <w:vAlign w:val="center"/>
          </w:tcPr>
          <w:p w14:paraId="575FBEC8"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3</w:t>
            </w:r>
          </w:p>
        </w:tc>
        <w:tc>
          <w:tcPr>
            <w:tcW w:w="3401" w:type="pct"/>
            <w:vAlign w:val="center"/>
          </w:tcPr>
          <w:p w14:paraId="0F26F379"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应急救援站</w:t>
            </w:r>
          </w:p>
        </w:tc>
        <w:tc>
          <w:tcPr>
            <w:tcW w:w="424" w:type="pct"/>
            <w:vAlign w:val="center"/>
          </w:tcPr>
          <w:p w14:paraId="64572340"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1</w:t>
            </w:r>
            <w:r w:rsidRPr="008A2411">
              <w:rPr>
                <w:rFonts w:ascii="Times New Roman" w:hAnsi="Times New Roman"/>
                <w:color w:val="000000" w:themeColor="text1"/>
              </w:rPr>
              <w:t>个</w:t>
            </w:r>
          </w:p>
        </w:tc>
        <w:tc>
          <w:tcPr>
            <w:tcW w:w="777" w:type="pct"/>
            <w:vMerge/>
            <w:vAlign w:val="center"/>
          </w:tcPr>
          <w:p w14:paraId="7DF03439" w14:textId="77777777" w:rsidR="00B0005F" w:rsidRPr="008A2411" w:rsidRDefault="00B0005F">
            <w:pPr>
              <w:pStyle w:val="WJ5"/>
              <w:rPr>
                <w:rFonts w:ascii="Times New Roman" w:hAnsi="Times New Roman"/>
                <w:color w:val="000000" w:themeColor="text1"/>
              </w:rPr>
            </w:pPr>
          </w:p>
        </w:tc>
      </w:tr>
      <w:tr w:rsidR="008A2411" w:rsidRPr="008A2411" w14:paraId="625F3805" w14:textId="77777777">
        <w:trPr>
          <w:trHeight w:val="340"/>
          <w:jc w:val="center"/>
        </w:trPr>
        <w:tc>
          <w:tcPr>
            <w:tcW w:w="396" w:type="pct"/>
            <w:vAlign w:val="center"/>
          </w:tcPr>
          <w:p w14:paraId="29B50439"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4</w:t>
            </w:r>
          </w:p>
        </w:tc>
        <w:tc>
          <w:tcPr>
            <w:tcW w:w="3401" w:type="pct"/>
            <w:vAlign w:val="center"/>
          </w:tcPr>
          <w:p w14:paraId="206FBCE7"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应急预案编制及演练</w:t>
            </w:r>
          </w:p>
        </w:tc>
        <w:tc>
          <w:tcPr>
            <w:tcW w:w="424" w:type="pct"/>
            <w:vAlign w:val="center"/>
          </w:tcPr>
          <w:p w14:paraId="79AEAB41"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w:t>
            </w:r>
          </w:p>
        </w:tc>
        <w:tc>
          <w:tcPr>
            <w:tcW w:w="777" w:type="pct"/>
            <w:vMerge/>
            <w:vAlign w:val="center"/>
          </w:tcPr>
          <w:p w14:paraId="3CECC570" w14:textId="77777777" w:rsidR="00B0005F" w:rsidRPr="008A2411" w:rsidRDefault="00B0005F">
            <w:pPr>
              <w:pStyle w:val="WJ5"/>
              <w:rPr>
                <w:rFonts w:ascii="Times New Roman" w:hAnsi="Times New Roman"/>
                <w:color w:val="000000" w:themeColor="text1"/>
              </w:rPr>
            </w:pPr>
          </w:p>
        </w:tc>
      </w:tr>
      <w:tr w:rsidR="008A2411" w:rsidRPr="008A2411" w14:paraId="0C55E544" w14:textId="77777777">
        <w:trPr>
          <w:trHeight w:val="340"/>
          <w:jc w:val="center"/>
        </w:trPr>
        <w:tc>
          <w:tcPr>
            <w:tcW w:w="396" w:type="pct"/>
            <w:vAlign w:val="center"/>
          </w:tcPr>
          <w:p w14:paraId="79F50BF4"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5</w:t>
            </w:r>
          </w:p>
        </w:tc>
        <w:tc>
          <w:tcPr>
            <w:tcW w:w="3401" w:type="pct"/>
            <w:vAlign w:val="center"/>
          </w:tcPr>
          <w:p w14:paraId="48D87E4F"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应急报警系统，覆盖整个应急区域</w:t>
            </w:r>
          </w:p>
        </w:tc>
        <w:tc>
          <w:tcPr>
            <w:tcW w:w="424" w:type="pct"/>
            <w:vAlign w:val="center"/>
          </w:tcPr>
          <w:p w14:paraId="3472817B" w14:textId="77777777" w:rsidR="00B0005F" w:rsidRPr="008A2411" w:rsidRDefault="00000000">
            <w:pPr>
              <w:pStyle w:val="WJ5"/>
              <w:rPr>
                <w:rFonts w:ascii="Times New Roman" w:hAnsi="Times New Roman"/>
                <w:color w:val="000000" w:themeColor="text1"/>
              </w:rPr>
            </w:pPr>
            <w:r w:rsidRPr="008A2411">
              <w:rPr>
                <w:rFonts w:ascii="Times New Roman" w:hAnsi="Times New Roman"/>
                <w:color w:val="000000" w:themeColor="text1"/>
              </w:rPr>
              <w:t>/</w:t>
            </w:r>
          </w:p>
        </w:tc>
        <w:tc>
          <w:tcPr>
            <w:tcW w:w="777" w:type="pct"/>
            <w:vMerge/>
            <w:vAlign w:val="center"/>
          </w:tcPr>
          <w:p w14:paraId="27DE0AED" w14:textId="77777777" w:rsidR="00B0005F" w:rsidRPr="008A2411" w:rsidRDefault="00B0005F">
            <w:pPr>
              <w:pStyle w:val="WJ5"/>
              <w:rPr>
                <w:rFonts w:ascii="Times New Roman" w:hAnsi="Times New Roman"/>
                <w:color w:val="000000" w:themeColor="text1"/>
              </w:rPr>
            </w:pPr>
          </w:p>
        </w:tc>
      </w:tr>
      <w:tr w:rsidR="008A2411" w:rsidRPr="008A2411" w14:paraId="27D91B80" w14:textId="77777777">
        <w:trPr>
          <w:trHeight w:val="340"/>
          <w:jc w:val="center"/>
        </w:trPr>
        <w:tc>
          <w:tcPr>
            <w:tcW w:w="396" w:type="pct"/>
            <w:vAlign w:val="center"/>
          </w:tcPr>
          <w:p w14:paraId="564919E6" w14:textId="77777777" w:rsidR="00B0005F" w:rsidRPr="008A2411" w:rsidRDefault="00000000">
            <w:pPr>
              <w:pStyle w:val="WJ5"/>
              <w:rPr>
                <w:rFonts w:ascii="Times New Roman" w:hAnsi="Times New Roman"/>
                <w:color w:val="000000" w:themeColor="text1"/>
              </w:rPr>
            </w:pPr>
            <w:r w:rsidRPr="008A2411">
              <w:rPr>
                <w:rFonts w:ascii="Times New Roman" w:hAnsi="Times New Roman" w:hint="eastAsia"/>
                <w:color w:val="000000" w:themeColor="text1"/>
              </w:rPr>
              <w:t>6</w:t>
            </w:r>
          </w:p>
        </w:tc>
        <w:tc>
          <w:tcPr>
            <w:tcW w:w="3401" w:type="pct"/>
            <w:vAlign w:val="center"/>
          </w:tcPr>
          <w:p w14:paraId="4D736F3C" w14:textId="77777777" w:rsidR="00B0005F" w:rsidRPr="008A2411" w:rsidRDefault="00000000">
            <w:pPr>
              <w:pStyle w:val="WJ5"/>
              <w:rPr>
                <w:rFonts w:ascii="Times New Roman" w:hAnsi="Times New Roman"/>
                <w:color w:val="000000" w:themeColor="text1"/>
              </w:rPr>
            </w:pPr>
            <w:r w:rsidRPr="008A2411">
              <w:rPr>
                <w:rFonts w:ascii="Times New Roman" w:hAnsi="Times New Roman" w:hint="eastAsia"/>
                <w:color w:val="000000" w:themeColor="text1"/>
              </w:rPr>
              <w:t>工艺装置区围堰</w:t>
            </w:r>
            <w:r w:rsidRPr="008A2411">
              <w:rPr>
                <w:rFonts w:ascii="Times New Roman" w:hAnsi="Times New Roman" w:hint="eastAsia"/>
                <w:color w:val="000000" w:themeColor="text1"/>
              </w:rPr>
              <w:t>+</w:t>
            </w:r>
            <w:r w:rsidRPr="008A2411">
              <w:rPr>
                <w:rFonts w:ascii="Times New Roman" w:hAnsi="Times New Roman" w:hint="eastAsia"/>
                <w:color w:val="000000" w:themeColor="text1"/>
              </w:rPr>
              <w:t>厂区排放口的截断装置</w:t>
            </w:r>
          </w:p>
        </w:tc>
        <w:tc>
          <w:tcPr>
            <w:tcW w:w="424" w:type="pct"/>
            <w:vAlign w:val="center"/>
          </w:tcPr>
          <w:p w14:paraId="607F331A" w14:textId="77777777" w:rsidR="00B0005F" w:rsidRPr="008A2411" w:rsidRDefault="00000000">
            <w:pPr>
              <w:pStyle w:val="WJ5"/>
              <w:rPr>
                <w:rFonts w:ascii="Times New Roman" w:hAnsi="Times New Roman"/>
                <w:color w:val="000000" w:themeColor="text1"/>
              </w:rPr>
            </w:pPr>
            <w:r w:rsidRPr="008A2411">
              <w:rPr>
                <w:rFonts w:ascii="Times New Roman" w:hAnsi="Times New Roman" w:hint="eastAsia"/>
                <w:color w:val="000000" w:themeColor="text1"/>
              </w:rPr>
              <w:t>/</w:t>
            </w:r>
          </w:p>
        </w:tc>
        <w:tc>
          <w:tcPr>
            <w:tcW w:w="777" w:type="pct"/>
            <w:vMerge/>
            <w:vAlign w:val="center"/>
          </w:tcPr>
          <w:p w14:paraId="0AD85247" w14:textId="77777777" w:rsidR="00B0005F" w:rsidRPr="008A2411" w:rsidRDefault="00B0005F">
            <w:pPr>
              <w:pStyle w:val="WJ5"/>
              <w:rPr>
                <w:rFonts w:ascii="Times New Roman" w:hAnsi="Times New Roman"/>
                <w:color w:val="000000" w:themeColor="text1"/>
              </w:rPr>
            </w:pPr>
          </w:p>
        </w:tc>
      </w:tr>
    </w:tbl>
    <w:p w14:paraId="4F00CFB2" w14:textId="77777777" w:rsidR="00B0005F" w:rsidRPr="008A2411" w:rsidRDefault="00000000">
      <w:pPr>
        <w:pStyle w:val="affffffffffffffffffff6"/>
        <w:snapToGrid/>
        <w:outlineLvl w:val="2"/>
        <w:rPr>
          <w:rFonts w:ascii="Times New Roman"/>
          <w:b/>
          <w:color w:val="000000" w:themeColor="text1"/>
          <w:sz w:val="24"/>
          <w:szCs w:val="24"/>
          <w:lang w:bidi="en-US"/>
        </w:rPr>
      </w:pPr>
      <w:r w:rsidRPr="008A2411">
        <w:rPr>
          <w:rFonts w:ascii="Times New Roman"/>
          <w:b/>
          <w:color w:val="000000" w:themeColor="text1"/>
          <w:sz w:val="24"/>
          <w:szCs w:val="24"/>
          <w:lang w:bidi="en-US"/>
        </w:rPr>
        <w:t>6.11.3</w:t>
      </w:r>
      <w:r w:rsidRPr="008A2411">
        <w:rPr>
          <w:rFonts w:ascii="Times New Roman"/>
          <w:b/>
          <w:color w:val="000000" w:themeColor="text1"/>
          <w:sz w:val="24"/>
          <w:szCs w:val="24"/>
          <w:lang w:bidi="en-US"/>
        </w:rPr>
        <w:t>风险消减措施</w:t>
      </w:r>
    </w:p>
    <w:p w14:paraId="6D2CC377"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1</w:t>
      </w:r>
      <w:r w:rsidRPr="008A2411">
        <w:rPr>
          <w:rFonts w:ascii="Times New Roman"/>
          <w:bCs/>
          <w:color w:val="000000" w:themeColor="text1"/>
        </w:rPr>
        <w:t>）事故放空风险削减措施</w:t>
      </w:r>
    </w:p>
    <w:p w14:paraId="6953AA55"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2</w:t>
      </w:r>
      <w:r w:rsidRPr="008A2411">
        <w:rPr>
          <w:rFonts w:ascii="Times New Roman"/>
          <w:bCs/>
          <w:color w:val="000000" w:themeColor="text1"/>
        </w:rPr>
        <w:t>）停运系列的气体首先在管路中保压处理，然后再排向高压火炬排放系统，减少了原料气的放空量；</w:t>
      </w:r>
    </w:p>
    <w:p w14:paraId="49BA73B1"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2</w:t>
      </w:r>
      <w:r w:rsidRPr="008A2411">
        <w:rPr>
          <w:rFonts w:ascii="Times New Roman"/>
          <w:bCs/>
          <w:color w:val="000000" w:themeColor="text1"/>
        </w:rPr>
        <w:t>）加强设备的维护保养工作，特别是电气设施的维护保养，减少了设备故障或电力故障出现几率，从而降低了原料气的事故几率；</w:t>
      </w:r>
    </w:p>
    <w:p w14:paraId="10F52DF6"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3</w:t>
      </w:r>
      <w:r w:rsidRPr="008A2411">
        <w:rPr>
          <w:rFonts w:ascii="Times New Roman"/>
          <w:bCs/>
          <w:color w:val="000000" w:themeColor="text1"/>
        </w:rPr>
        <w:t>）为了确保工程上游工艺装置及放空火炬本身的安全，火炬筒顶部设置流体密封，其密封气采用氮气，高、低压放空火炬设有长明灯，并采用先进的点火</w:t>
      </w:r>
      <w:r w:rsidRPr="008A2411">
        <w:rPr>
          <w:rFonts w:ascii="Times New Roman"/>
          <w:bCs/>
          <w:color w:val="000000" w:themeColor="text1"/>
        </w:rPr>
        <w:lastRenderedPageBreak/>
        <w:t>和控制系统，可实现操作室远程点火和现场就地点火，避免出现火炬未点燃的事故放空情况。</w:t>
      </w:r>
    </w:p>
    <w:p w14:paraId="28F0F5FC"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2</w:t>
      </w:r>
      <w:r w:rsidRPr="008A2411">
        <w:rPr>
          <w:rFonts w:ascii="Times New Roman"/>
          <w:bCs/>
          <w:color w:val="000000" w:themeColor="text1"/>
        </w:rPr>
        <w:t>）水环境风险削减措施</w:t>
      </w:r>
    </w:p>
    <w:p w14:paraId="3F198031"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当发生物料水泄漏时，为削减物料水事故排放的风险，本项目应采取以下措施：</w:t>
      </w:r>
    </w:p>
    <w:p w14:paraId="5057A1C1"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1</w:t>
      </w:r>
      <w:r w:rsidRPr="008A2411">
        <w:rPr>
          <w:rFonts w:ascii="Times New Roman"/>
          <w:bCs/>
          <w:color w:val="000000" w:themeColor="text1"/>
        </w:rPr>
        <w:t>）工艺区设置防渗基础，并在工艺区四周修建围堰，以收集风险事故下的物料废水。</w:t>
      </w:r>
    </w:p>
    <w:p w14:paraId="4CE54DAB"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2</w:t>
      </w:r>
      <w:r w:rsidRPr="008A2411">
        <w:rPr>
          <w:rFonts w:ascii="Times New Roman"/>
          <w:bCs/>
          <w:color w:val="000000" w:themeColor="text1"/>
        </w:rPr>
        <w:t>）建设事故应急池，将工艺区围堰与废水池相连，确保物料水能被有效收集于事故应急池中；</w:t>
      </w:r>
    </w:p>
    <w:p w14:paraId="13E169D2"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3</w:t>
      </w:r>
      <w:r w:rsidRPr="008A2411">
        <w:rPr>
          <w:rFonts w:ascii="Times New Roman"/>
          <w:bCs/>
          <w:color w:val="000000" w:themeColor="text1"/>
        </w:rPr>
        <w:t>）加强污水池的运行管理和维护，及时清运污水池中的含</w:t>
      </w:r>
      <w:r w:rsidRPr="008A2411">
        <w:rPr>
          <w:rFonts w:ascii="Times New Roman"/>
          <w:bCs/>
          <w:color w:val="000000" w:themeColor="text1"/>
        </w:rPr>
        <w:t>H</w:t>
      </w:r>
      <w:r w:rsidRPr="008A2411">
        <w:rPr>
          <w:rFonts w:ascii="Times New Roman"/>
          <w:bCs/>
          <w:color w:val="000000" w:themeColor="text1"/>
          <w:vertAlign w:val="subscript"/>
        </w:rPr>
        <w:t>2</w:t>
      </w:r>
      <w:r w:rsidRPr="008A2411">
        <w:rPr>
          <w:rFonts w:ascii="Times New Roman"/>
          <w:bCs/>
          <w:color w:val="000000" w:themeColor="text1"/>
        </w:rPr>
        <w:t>S</w:t>
      </w:r>
      <w:r w:rsidRPr="008A2411">
        <w:rPr>
          <w:rFonts w:ascii="Times New Roman"/>
          <w:bCs/>
          <w:color w:val="000000" w:themeColor="text1"/>
        </w:rPr>
        <w:t>污水，确保这些设施运行正常；</w:t>
      </w:r>
    </w:p>
    <w:p w14:paraId="49A568D1"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4</w:t>
      </w:r>
      <w:r w:rsidRPr="008A2411">
        <w:rPr>
          <w:rFonts w:ascii="Times New Roman"/>
          <w:bCs/>
          <w:color w:val="000000" w:themeColor="text1"/>
        </w:rPr>
        <w:t>）加强安全事故管理及设备检修，加强工艺区装置泄漏事故的隐患排查工作；</w:t>
      </w:r>
    </w:p>
    <w:p w14:paraId="69B2F75C"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5</w:t>
      </w:r>
      <w:r w:rsidRPr="008A2411">
        <w:rPr>
          <w:rFonts w:ascii="Times New Roman"/>
          <w:bCs/>
          <w:color w:val="000000" w:themeColor="text1"/>
        </w:rPr>
        <w:t>）在厂区的总图布置上，应考虑污水池防洪措施，当发生洪水灾害时，应立即关闭库房和装置区围堰，尽量避免各种原辅材料和废水泄漏进入水体而对周围环境造成污染。</w:t>
      </w:r>
    </w:p>
    <w:p w14:paraId="11C871AC"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3</w:t>
      </w:r>
      <w:r w:rsidRPr="008A2411">
        <w:rPr>
          <w:rFonts w:ascii="Times New Roman"/>
          <w:bCs/>
          <w:color w:val="000000" w:themeColor="text1"/>
        </w:rPr>
        <w:t>）装置大修安全措施</w:t>
      </w:r>
    </w:p>
    <w:p w14:paraId="51BD8084"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1</w:t>
      </w:r>
      <w:r w:rsidRPr="008A2411">
        <w:rPr>
          <w:rFonts w:ascii="Times New Roman"/>
          <w:bCs/>
          <w:color w:val="000000" w:themeColor="text1"/>
        </w:rPr>
        <w:t>）停产安全措施</w:t>
      </w:r>
    </w:p>
    <w:p w14:paraId="6DF82829"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溶液热循环，直至溶液中</w:t>
      </w:r>
      <w:r w:rsidRPr="008A2411">
        <w:rPr>
          <w:rFonts w:ascii="Times New Roman"/>
          <w:bCs/>
          <w:color w:val="000000" w:themeColor="text1"/>
        </w:rPr>
        <w:t>H</w:t>
      </w:r>
      <w:r w:rsidRPr="008A2411">
        <w:rPr>
          <w:rFonts w:ascii="Times New Roman"/>
          <w:bCs/>
          <w:color w:val="000000" w:themeColor="text1"/>
          <w:vertAlign w:val="subscript"/>
        </w:rPr>
        <w:t>2</w:t>
      </w:r>
      <w:r w:rsidRPr="008A2411">
        <w:rPr>
          <w:rFonts w:ascii="Times New Roman"/>
          <w:bCs/>
          <w:color w:val="000000" w:themeColor="text1"/>
        </w:rPr>
        <w:t>S&lt;0.5g/L</w:t>
      </w:r>
      <w:r w:rsidRPr="008A2411">
        <w:rPr>
          <w:rFonts w:ascii="Times New Roman"/>
          <w:bCs/>
          <w:color w:val="000000" w:themeColor="text1"/>
        </w:rPr>
        <w:t>时方能回收。</w:t>
      </w:r>
    </w:p>
    <w:p w14:paraId="64298F6C"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装置泄压率控制在</w:t>
      </w:r>
      <w:r w:rsidRPr="008A2411">
        <w:rPr>
          <w:rFonts w:ascii="Times New Roman"/>
          <w:bCs/>
          <w:color w:val="000000" w:themeColor="text1"/>
        </w:rPr>
        <w:t>0.3Mpa/min</w:t>
      </w:r>
      <w:r w:rsidRPr="008A2411">
        <w:rPr>
          <w:rFonts w:ascii="Times New Roman"/>
          <w:bCs/>
          <w:color w:val="000000" w:themeColor="text1"/>
        </w:rPr>
        <w:t>以下，泄压前应将湿净化气分离器、放空酸气分离罐中积水排尽。用</w:t>
      </w:r>
      <w:r w:rsidRPr="008A2411">
        <w:rPr>
          <w:rFonts w:ascii="Times New Roman"/>
          <w:bCs/>
          <w:color w:val="000000" w:themeColor="text1"/>
        </w:rPr>
        <w:t>N</w:t>
      </w:r>
      <w:r w:rsidRPr="008A2411">
        <w:rPr>
          <w:rFonts w:ascii="Times New Roman"/>
          <w:bCs/>
          <w:color w:val="000000" w:themeColor="text1"/>
          <w:vertAlign w:val="subscript"/>
        </w:rPr>
        <w:t>2</w:t>
      </w:r>
      <w:r w:rsidRPr="008A2411">
        <w:rPr>
          <w:rFonts w:ascii="Times New Roman"/>
          <w:bCs/>
          <w:color w:val="000000" w:themeColor="text1"/>
        </w:rPr>
        <w:t>置换，确保液化生产、硫回收各系统内</w:t>
      </w:r>
      <w:r w:rsidRPr="008A2411">
        <w:rPr>
          <w:rFonts w:ascii="Times New Roman"/>
          <w:bCs/>
          <w:color w:val="000000" w:themeColor="text1"/>
        </w:rPr>
        <w:t>CH</w:t>
      </w:r>
      <w:r w:rsidRPr="008A2411">
        <w:rPr>
          <w:rFonts w:ascii="Times New Roman"/>
          <w:bCs/>
          <w:color w:val="000000" w:themeColor="text1"/>
          <w:vertAlign w:val="subscript"/>
        </w:rPr>
        <w:t>4</w:t>
      </w:r>
      <w:r w:rsidRPr="008A2411">
        <w:rPr>
          <w:rFonts w:ascii="Times New Roman"/>
          <w:bCs/>
          <w:color w:val="000000" w:themeColor="text1"/>
        </w:rPr>
        <w:t>&lt;1%</w:t>
      </w:r>
      <w:r w:rsidRPr="008A2411">
        <w:rPr>
          <w:rFonts w:ascii="Times New Roman"/>
          <w:bCs/>
          <w:color w:val="000000" w:themeColor="text1"/>
        </w:rPr>
        <w:t>、</w:t>
      </w:r>
      <w:r w:rsidRPr="008A2411">
        <w:rPr>
          <w:rFonts w:ascii="Times New Roman"/>
          <w:bCs/>
          <w:color w:val="000000" w:themeColor="text1"/>
        </w:rPr>
        <w:t>H</w:t>
      </w:r>
      <w:r w:rsidRPr="008A2411">
        <w:rPr>
          <w:rFonts w:ascii="Times New Roman"/>
          <w:bCs/>
          <w:color w:val="000000" w:themeColor="text1"/>
          <w:vertAlign w:val="subscript"/>
        </w:rPr>
        <w:t>2</w:t>
      </w:r>
      <w:r w:rsidRPr="008A2411">
        <w:rPr>
          <w:rFonts w:ascii="Times New Roman"/>
          <w:bCs/>
          <w:color w:val="000000" w:themeColor="text1"/>
        </w:rPr>
        <w:t>S&lt;10mg/m</w:t>
      </w:r>
      <w:r w:rsidRPr="008A2411">
        <w:rPr>
          <w:rFonts w:ascii="Times New Roman"/>
          <w:bCs/>
          <w:color w:val="000000" w:themeColor="text1"/>
          <w:vertAlign w:val="superscript"/>
        </w:rPr>
        <w:t>3</w:t>
      </w:r>
      <w:r w:rsidRPr="008A2411">
        <w:rPr>
          <w:rFonts w:ascii="Times New Roman"/>
          <w:bCs/>
          <w:color w:val="000000" w:themeColor="text1"/>
        </w:rPr>
        <w:t>、</w:t>
      </w:r>
      <w:r w:rsidRPr="008A2411">
        <w:rPr>
          <w:rFonts w:ascii="Times New Roman"/>
          <w:bCs/>
          <w:color w:val="000000" w:themeColor="text1"/>
        </w:rPr>
        <w:t>SO</w:t>
      </w:r>
      <w:r w:rsidRPr="008A2411">
        <w:rPr>
          <w:rFonts w:ascii="Times New Roman"/>
          <w:bCs/>
          <w:color w:val="000000" w:themeColor="text1"/>
          <w:vertAlign w:val="subscript"/>
        </w:rPr>
        <w:t>2</w:t>
      </w:r>
      <w:r w:rsidRPr="008A2411">
        <w:rPr>
          <w:rFonts w:ascii="Times New Roman"/>
          <w:bCs/>
          <w:color w:val="000000" w:themeColor="text1"/>
        </w:rPr>
        <w:t>&lt;15mg/m</w:t>
      </w:r>
      <w:r w:rsidRPr="008A2411">
        <w:rPr>
          <w:rFonts w:ascii="Times New Roman"/>
          <w:bCs/>
          <w:color w:val="000000" w:themeColor="text1"/>
          <w:vertAlign w:val="superscript"/>
        </w:rPr>
        <w:t>3</w:t>
      </w:r>
      <w:r w:rsidRPr="008A2411">
        <w:rPr>
          <w:rFonts w:ascii="Times New Roman"/>
          <w:bCs/>
          <w:color w:val="000000" w:themeColor="text1"/>
        </w:rPr>
        <w:t>。空气吹扫，确保液化生产、硫回收各系统</w:t>
      </w:r>
      <w:r w:rsidRPr="008A2411">
        <w:rPr>
          <w:rFonts w:ascii="Times New Roman"/>
          <w:bCs/>
          <w:color w:val="000000" w:themeColor="text1"/>
        </w:rPr>
        <w:t>O</w:t>
      </w:r>
      <w:r w:rsidRPr="008A2411">
        <w:rPr>
          <w:rFonts w:ascii="Times New Roman"/>
          <w:bCs/>
          <w:color w:val="000000" w:themeColor="text1"/>
          <w:vertAlign w:val="subscript"/>
        </w:rPr>
        <w:t>2</w:t>
      </w:r>
      <w:r w:rsidRPr="008A2411">
        <w:rPr>
          <w:rFonts w:ascii="Times New Roman"/>
          <w:bCs/>
          <w:color w:val="000000" w:themeColor="text1"/>
        </w:rPr>
        <w:t>&gt;18%</w:t>
      </w:r>
      <w:r w:rsidRPr="008A2411">
        <w:rPr>
          <w:rFonts w:ascii="Times New Roman"/>
          <w:bCs/>
          <w:color w:val="000000" w:themeColor="text1"/>
        </w:rPr>
        <w:t>。</w:t>
      </w:r>
    </w:p>
    <w:p w14:paraId="29701D0B"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停产时发现设备内超温或硫化铁自燃，应用</w:t>
      </w:r>
      <w:r w:rsidRPr="008A2411">
        <w:rPr>
          <w:rFonts w:ascii="Times New Roman"/>
          <w:bCs/>
          <w:color w:val="000000" w:themeColor="text1"/>
        </w:rPr>
        <w:t>N</w:t>
      </w:r>
      <w:r w:rsidRPr="008A2411">
        <w:rPr>
          <w:rFonts w:ascii="Times New Roman"/>
          <w:bCs/>
          <w:color w:val="000000" w:themeColor="text1"/>
          <w:vertAlign w:val="subscript"/>
        </w:rPr>
        <w:t>2</w:t>
      </w:r>
      <w:r w:rsidRPr="008A2411">
        <w:rPr>
          <w:rFonts w:ascii="Times New Roman"/>
          <w:bCs/>
          <w:color w:val="000000" w:themeColor="text1"/>
        </w:rPr>
        <w:t>降温或灭火或隔离，超温严重则停止吹扫。装置停运后，关安全阀前后截止阀，断动力电。</w:t>
      </w:r>
    </w:p>
    <w:p w14:paraId="4D16FDAC"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2</w:t>
      </w:r>
      <w:r w:rsidRPr="008A2411">
        <w:rPr>
          <w:rFonts w:ascii="Times New Roman"/>
          <w:bCs/>
          <w:color w:val="000000" w:themeColor="text1"/>
        </w:rPr>
        <w:t>）大修过程安全措施</w:t>
      </w:r>
    </w:p>
    <w:p w14:paraId="060E7EB0"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大修人员要严格执行《作业指导书》和《应急预案》。</w:t>
      </w:r>
    </w:p>
    <w:p w14:paraId="751ED92F"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拆卸、安装各检修设备时，必须经各单元负责人确认、同意，禁止使用规格、性能不明的材料，禁止超负荷起重，禁止闲人进入作业现场。</w:t>
      </w:r>
    </w:p>
    <w:p w14:paraId="3B7EE991"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动火必须严格履行动火手续，乙炔与氧气瓶间距离</w:t>
      </w:r>
      <w:r w:rsidRPr="008A2411">
        <w:rPr>
          <w:rFonts w:ascii="Times New Roman"/>
          <w:bCs/>
          <w:color w:val="000000" w:themeColor="text1"/>
        </w:rPr>
        <w:t>&gt;5m</w:t>
      </w:r>
      <w:r w:rsidRPr="008A2411">
        <w:rPr>
          <w:rFonts w:ascii="Times New Roman"/>
          <w:bCs/>
          <w:color w:val="000000" w:themeColor="text1"/>
        </w:rPr>
        <w:t>；电气设备、线路检修及现场线路的架设，必须由电工进行。</w:t>
      </w:r>
    </w:p>
    <w:p w14:paraId="0ED34582"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lastRenderedPageBreak/>
        <w:t>进入有限空间作业必须执行《进入有限空间作业安全预案》。</w:t>
      </w:r>
    </w:p>
    <w:p w14:paraId="5A1E39EE"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严禁酒后作业，作业人员必须戴安全帽、穿工作服及防静电鞋，登</w:t>
      </w:r>
      <w:r w:rsidRPr="008A2411">
        <w:rPr>
          <w:rFonts w:ascii="Times New Roman"/>
          <w:bCs/>
          <w:color w:val="000000" w:themeColor="text1"/>
        </w:rPr>
        <w:t>2m</w:t>
      </w:r>
      <w:r w:rsidRPr="008A2411">
        <w:rPr>
          <w:rFonts w:ascii="Times New Roman"/>
          <w:bCs/>
          <w:color w:val="000000" w:themeColor="text1"/>
        </w:rPr>
        <w:t>以上拴安全带、背工具包，多层作业应设安全网，平台必须设护栏。现场配有值班医生、急救药品和车辆。</w:t>
      </w:r>
    </w:p>
    <w:p w14:paraId="54A15805"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3</w:t>
      </w:r>
      <w:r w:rsidRPr="008A2411">
        <w:rPr>
          <w:rFonts w:ascii="Times New Roman"/>
          <w:bCs/>
          <w:color w:val="000000" w:themeColor="text1"/>
        </w:rPr>
        <w:t>）开工安全措施</w:t>
      </w:r>
    </w:p>
    <w:p w14:paraId="4CBA9B9F"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N</w:t>
      </w:r>
      <w:r w:rsidRPr="008A2411">
        <w:rPr>
          <w:rFonts w:ascii="Times New Roman"/>
          <w:bCs/>
          <w:color w:val="000000" w:themeColor="text1"/>
          <w:vertAlign w:val="subscript"/>
        </w:rPr>
        <w:t>2</w:t>
      </w:r>
      <w:r w:rsidRPr="008A2411">
        <w:rPr>
          <w:rFonts w:ascii="Times New Roman"/>
          <w:bCs/>
          <w:color w:val="000000" w:themeColor="text1"/>
        </w:rPr>
        <w:t>置换，确保液化生产、硫回收各系统内</w:t>
      </w:r>
      <w:r w:rsidRPr="008A2411">
        <w:rPr>
          <w:rFonts w:ascii="Times New Roman"/>
          <w:bCs/>
          <w:color w:val="000000" w:themeColor="text1"/>
        </w:rPr>
        <w:t>O</w:t>
      </w:r>
      <w:r w:rsidRPr="008A2411">
        <w:rPr>
          <w:rFonts w:ascii="Times New Roman"/>
          <w:bCs/>
          <w:color w:val="000000" w:themeColor="text1"/>
          <w:vertAlign w:val="subscript"/>
        </w:rPr>
        <w:t>2</w:t>
      </w:r>
      <w:r w:rsidRPr="008A2411">
        <w:rPr>
          <w:rFonts w:ascii="Times New Roman"/>
          <w:bCs/>
          <w:color w:val="000000" w:themeColor="text1"/>
        </w:rPr>
        <w:t>&lt;3%</w:t>
      </w:r>
      <w:r w:rsidRPr="008A2411">
        <w:rPr>
          <w:rFonts w:ascii="Times New Roman"/>
          <w:bCs/>
          <w:color w:val="000000" w:themeColor="text1"/>
        </w:rPr>
        <w:t>，方能进行下一步程序。</w:t>
      </w:r>
    </w:p>
    <w:p w14:paraId="2DF0FA81"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控制装置建压速度</w:t>
      </w:r>
      <w:r w:rsidRPr="008A2411">
        <w:rPr>
          <w:rFonts w:ascii="Times New Roman"/>
          <w:bCs/>
          <w:color w:val="000000" w:themeColor="text1"/>
        </w:rPr>
        <w:t>&lt;0.3Mpa/min</w:t>
      </w:r>
      <w:r w:rsidRPr="008A2411">
        <w:rPr>
          <w:rFonts w:ascii="Times New Roman"/>
          <w:bCs/>
          <w:color w:val="000000" w:themeColor="text1"/>
        </w:rPr>
        <w:t>。必须对装置进行气密性试验；硫回收系统开产前用空气试漏。</w:t>
      </w:r>
    </w:p>
    <w:p w14:paraId="10C6F53E" w14:textId="77777777" w:rsidR="00B0005F" w:rsidRPr="008A2411" w:rsidRDefault="00000000">
      <w:pPr>
        <w:pStyle w:val="affffffffffffffffffff6"/>
        <w:snapToGrid/>
        <w:outlineLvl w:val="1"/>
        <w:rPr>
          <w:rFonts w:ascii="Times New Roman"/>
          <w:bCs/>
          <w:color w:val="000000" w:themeColor="text1"/>
          <w:sz w:val="28"/>
          <w:szCs w:val="28"/>
          <w:lang w:bidi="en-US"/>
        </w:rPr>
      </w:pPr>
      <w:bookmarkStart w:id="538" w:name="_Toc84606492"/>
      <w:bookmarkStart w:id="539" w:name="_Toc75094536"/>
      <w:bookmarkStart w:id="540" w:name="_Toc75096632"/>
      <w:bookmarkStart w:id="541" w:name="_Toc109170783"/>
      <w:r w:rsidRPr="008A2411">
        <w:rPr>
          <w:rFonts w:ascii="Times New Roman"/>
          <w:bCs/>
          <w:color w:val="000000" w:themeColor="text1"/>
          <w:sz w:val="28"/>
          <w:szCs w:val="28"/>
          <w:lang w:bidi="en-US"/>
        </w:rPr>
        <w:t>6.12</w:t>
      </w:r>
      <w:r w:rsidRPr="008A2411">
        <w:rPr>
          <w:rFonts w:ascii="Times New Roman"/>
          <w:bCs/>
          <w:color w:val="000000" w:themeColor="text1"/>
          <w:sz w:val="28"/>
          <w:szCs w:val="28"/>
          <w:lang w:bidi="en-US"/>
        </w:rPr>
        <w:t>环境风险应急预案</w:t>
      </w:r>
      <w:bookmarkEnd w:id="538"/>
      <w:bookmarkEnd w:id="539"/>
      <w:bookmarkEnd w:id="540"/>
      <w:bookmarkEnd w:id="541"/>
    </w:p>
    <w:p w14:paraId="3BBAFEDA" w14:textId="77777777" w:rsidR="00B0005F" w:rsidRPr="008A2411" w:rsidRDefault="00000000">
      <w:pPr>
        <w:pStyle w:val="affffffffffffffffffff6"/>
        <w:snapToGrid/>
        <w:outlineLvl w:val="2"/>
        <w:rPr>
          <w:rFonts w:ascii="Times New Roman"/>
          <w:b/>
          <w:color w:val="000000" w:themeColor="text1"/>
          <w:sz w:val="24"/>
          <w:szCs w:val="24"/>
          <w:lang w:bidi="en-US"/>
        </w:rPr>
      </w:pPr>
      <w:r w:rsidRPr="008A2411">
        <w:rPr>
          <w:rFonts w:ascii="Times New Roman"/>
          <w:b/>
          <w:color w:val="000000" w:themeColor="text1"/>
          <w:sz w:val="24"/>
          <w:szCs w:val="24"/>
          <w:lang w:bidi="en-US"/>
        </w:rPr>
        <w:t>6.12.1</w:t>
      </w:r>
      <w:r w:rsidRPr="008A2411">
        <w:rPr>
          <w:rFonts w:ascii="Times New Roman"/>
          <w:b/>
          <w:color w:val="000000" w:themeColor="text1"/>
          <w:sz w:val="24"/>
          <w:szCs w:val="24"/>
          <w:lang w:bidi="en-US"/>
        </w:rPr>
        <w:t>适用范围</w:t>
      </w:r>
    </w:p>
    <w:p w14:paraId="0FCFB4EF"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本项目的应急计划区主要包括以下几类：</w:t>
      </w:r>
    </w:p>
    <w:p w14:paraId="2E5CF018"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1</w:t>
      </w:r>
      <w:r w:rsidRPr="008A2411">
        <w:rPr>
          <w:rFonts w:ascii="Times New Roman"/>
          <w:bCs/>
          <w:color w:val="000000" w:themeColor="text1"/>
        </w:rPr>
        <w:t>）本项目的重大危险源：天然气净化、液化生产站场；</w:t>
      </w:r>
    </w:p>
    <w:p w14:paraId="3E739632"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2</w:t>
      </w:r>
      <w:r w:rsidRPr="008A2411">
        <w:rPr>
          <w:rFonts w:ascii="Times New Roman"/>
          <w:bCs/>
          <w:color w:val="000000" w:themeColor="text1"/>
        </w:rPr>
        <w:t>）相关配套的环保设施：污水处理站；</w:t>
      </w:r>
    </w:p>
    <w:p w14:paraId="7355CEF5"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w:t>
      </w:r>
      <w:r w:rsidRPr="008A2411">
        <w:rPr>
          <w:rFonts w:ascii="Times New Roman"/>
          <w:bCs/>
          <w:color w:val="000000" w:themeColor="text1"/>
        </w:rPr>
        <w:t>3</w:t>
      </w:r>
      <w:r w:rsidRPr="008A2411">
        <w:rPr>
          <w:rFonts w:ascii="Times New Roman"/>
          <w:bCs/>
          <w:color w:val="000000" w:themeColor="text1"/>
        </w:rPr>
        <w:t>）项目环境保护目标：周边的村庄居民、建设项目附近地表水及地下水。</w:t>
      </w:r>
    </w:p>
    <w:p w14:paraId="3DF18231" w14:textId="77777777" w:rsidR="00B0005F" w:rsidRPr="008A2411" w:rsidRDefault="00000000">
      <w:pPr>
        <w:pStyle w:val="affffffffffffffffffff6"/>
        <w:snapToGrid/>
        <w:outlineLvl w:val="2"/>
        <w:rPr>
          <w:rFonts w:ascii="Times New Roman"/>
          <w:b/>
          <w:color w:val="000000" w:themeColor="text1"/>
          <w:sz w:val="24"/>
          <w:szCs w:val="24"/>
          <w:lang w:bidi="en-US"/>
        </w:rPr>
      </w:pPr>
      <w:r w:rsidRPr="008A2411">
        <w:rPr>
          <w:rFonts w:ascii="Times New Roman"/>
          <w:b/>
          <w:color w:val="000000" w:themeColor="text1"/>
          <w:sz w:val="24"/>
          <w:szCs w:val="24"/>
          <w:lang w:bidi="en-US"/>
        </w:rPr>
        <w:t>6.12.2</w:t>
      </w:r>
      <w:r w:rsidRPr="008A2411">
        <w:rPr>
          <w:rFonts w:ascii="Times New Roman"/>
          <w:b/>
          <w:color w:val="000000" w:themeColor="text1"/>
          <w:sz w:val="24"/>
          <w:szCs w:val="24"/>
          <w:lang w:bidi="en-US"/>
        </w:rPr>
        <w:t>应急预案内容及要求</w:t>
      </w:r>
    </w:p>
    <w:p w14:paraId="751C6EEF"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重大事故可能造成人员的严重伤害或丧生和引起财产的损失，它一般要求厂外紧急服务部门帮助进行有效地处理。事故应急预案的总目标是：将紧急事故局部化，若可能并予以消除；尽量缩小事故对人和财产的影响。</w:t>
      </w:r>
    </w:p>
    <w:p w14:paraId="5ED8BE8F"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事故应急救援预案应由管理和操作人员针对装置的具体情况进行编写，针对可能出现较大事故，应该制定相应的事故应急预案。</w:t>
      </w:r>
    </w:p>
    <w:p w14:paraId="3C1357FB" w14:textId="77777777" w:rsidR="00B0005F" w:rsidRPr="008A2411" w:rsidRDefault="00B0005F">
      <w:pPr>
        <w:pStyle w:val="WJ0"/>
        <w:spacing w:line="240" w:lineRule="auto"/>
        <w:rPr>
          <w:rFonts w:ascii="Times New Roman" w:hAnsi="Times New Roman"/>
          <w:color w:val="000000" w:themeColor="text1"/>
        </w:rPr>
      </w:pPr>
    </w:p>
    <w:p w14:paraId="4D22FE77" w14:textId="77777777" w:rsidR="00B0005F" w:rsidRPr="008A2411" w:rsidRDefault="00000000">
      <w:pPr>
        <w:pStyle w:val="WJ0"/>
        <w:spacing w:line="240" w:lineRule="auto"/>
        <w:rPr>
          <w:rFonts w:ascii="Times New Roman" w:hAnsi="Times New Roman"/>
          <w:color w:val="000000" w:themeColor="text1"/>
        </w:rPr>
      </w:pPr>
      <w:r w:rsidRPr="008A2411">
        <w:rPr>
          <w:rFonts w:ascii="Times New Roman" w:hAnsi="Times New Roman"/>
          <w:color w:val="000000" w:themeColor="text1"/>
        </w:rPr>
        <w:t>表</w:t>
      </w:r>
      <w:r w:rsidRPr="008A2411">
        <w:rPr>
          <w:rFonts w:ascii="Times New Roman" w:hAnsi="Times New Roman"/>
          <w:color w:val="000000" w:themeColor="text1"/>
        </w:rPr>
        <w:t>6.12-1</w:t>
      </w:r>
      <w:r w:rsidRPr="008A2411">
        <w:rPr>
          <w:rFonts w:ascii="Times New Roman" w:hAnsi="Times New Roman"/>
          <w:color w:val="000000" w:themeColor="text1"/>
        </w:rPr>
        <w:t>环境风险的突发性事故应急预案</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0"/>
        <w:gridCol w:w="2320"/>
        <w:gridCol w:w="5512"/>
      </w:tblGrid>
      <w:tr w:rsidR="008A2411" w:rsidRPr="008A2411" w14:paraId="47FADC5D" w14:textId="77777777">
        <w:trPr>
          <w:trHeight w:val="340"/>
          <w:tblHeader/>
          <w:jc w:val="center"/>
        </w:trPr>
        <w:tc>
          <w:tcPr>
            <w:tcW w:w="405" w:type="pct"/>
            <w:vAlign w:val="center"/>
          </w:tcPr>
          <w:p w14:paraId="5289039B"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序号</w:t>
            </w:r>
          </w:p>
        </w:tc>
        <w:tc>
          <w:tcPr>
            <w:tcW w:w="1361" w:type="pct"/>
            <w:vAlign w:val="center"/>
          </w:tcPr>
          <w:p w14:paraId="6D5C2C1F"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项目</w:t>
            </w:r>
          </w:p>
        </w:tc>
        <w:tc>
          <w:tcPr>
            <w:tcW w:w="3234" w:type="pct"/>
            <w:vAlign w:val="center"/>
          </w:tcPr>
          <w:p w14:paraId="041580CD"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内容及要求</w:t>
            </w:r>
          </w:p>
        </w:tc>
      </w:tr>
      <w:tr w:rsidR="008A2411" w:rsidRPr="008A2411" w14:paraId="36519834" w14:textId="77777777">
        <w:trPr>
          <w:trHeight w:val="340"/>
          <w:jc w:val="center"/>
        </w:trPr>
        <w:tc>
          <w:tcPr>
            <w:tcW w:w="405" w:type="pct"/>
            <w:vAlign w:val="center"/>
          </w:tcPr>
          <w:p w14:paraId="7DE4B5D8"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1</w:t>
            </w:r>
          </w:p>
        </w:tc>
        <w:tc>
          <w:tcPr>
            <w:tcW w:w="1361" w:type="pct"/>
            <w:vAlign w:val="center"/>
          </w:tcPr>
          <w:p w14:paraId="4A212C69"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总则</w:t>
            </w:r>
          </w:p>
        </w:tc>
        <w:tc>
          <w:tcPr>
            <w:tcW w:w="3234" w:type="pct"/>
            <w:vAlign w:val="center"/>
          </w:tcPr>
          <w:p w14:paraId="75B1853E" w14:textId="77777777" w:rsidR="00B0005F" w:rsidRPr="008A2411" w:rsidRDefault="00B0005F">
            <w:pPr>
              <w:pStyle w:val="WJ5"/>
              <w:spacing w:line="240" w:lineRule="auto"/>
              <w:rPr>
                <w:rFonts w:ascii="Times New Roman" w:hAnsi="Times New Roman"/>
                <w:color w:val="000000" w:themeColor="text1"/>
              </w:rPr>
            </w:pPr>
          </w:p>
        </w:tc>
      </w:tr>
      <w:tr w:rsidR="008A2411" w:rsidRPr="008A2411" w14:paraId="5B5A7CF2" w14:textId="77777777">
        <w:trPr>
          <w:trHeight w:val="340"/>
          <w:jc w:val="center"/>
        </w:trPr>
        <w:tc>
          <w:tcPr>
            <w:tcW w:w="405" w:type="pct"/>
            <w:vAlign w:val="center"/>
          </w:tcPr>
          <w:p w14:paraId="7348E651"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2</w:t>
            </w:r>
          </w:p>
        </w:tc>
        <w:tc>
          <w:tcPr>
            <w:tcW w:w="1361" w:type="pct"/>
            <w:vAlign w:val="center"/>
          </w:tcPr>
          <w:p w14:paraId="4EB8B30D"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危险</w:t>
            </w:r>
            <w:proofErr w:type="gramStart"/>
            <w:r w:rsidRPr="008A2411">
              <w:rPr>
                <w:rFonts w:ascii="Times New Roman" w:hAnsi="Times New Roman"/>
                <w:color w:val="000000" w:themeColor="text1"/>
              </w:rPr>
              <w:t>源情况</w:t>
            </w:r>
            <w:proofErr w:type="gramEnd"/>
          </w:p>
        </w:tc>
        <w:tc>
          <w:tcPr>
            <w:tcW w:w="3234" w:type="pct"/>
            <w:vAlign w:val="center"/>
          </w:tcPr>
          <w:p w14:paraId="1EB9DCDB"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详细说明危险源类型、数量、及其分布</w:t>
            </w:r>
          </w:p>
        </w:tc>
      </w:tr>
      <w:tr w:rsidR="008A2411" w:rsidRPr="008A2411" w14:paraId="342AF9B8" w14:textId="77777777">
        <w:trPr>
          <w:trHeight w:val="340"/>
          <w:jc w:val="center"/>
        </w:trPr>
        <w:tc>
          <w:tcPr>
            <w:tcW w:w="405" w:type="pct"/>
            <w:vAlign w:val="center"/>
          </w:tcPr>
          <w:p w14:paraId="39784361"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3</w:t>
            </w:r>
          </w:p>
        </w:tc>
        <w:tc>
          <w:tcPr>
            <w:tcW w:w="1361" w:type="pct"/>
            <w:vAlign w:val="center"/>
          </w:tcPr>
          <w:p w14:paraId="55BDB68E"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应急计划区</w:t>
            </w:r>
          </w:p>
        </w:tc>
        <w:tc>
          <w:tcPr>
            <w:tcW w:w="3234" w:type="pct"/>
            <w:vAlign w:val="center"/>
          </w:tcPr>
          <w:p w14:paraId="6A114903"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危险目标：装置区以及邻近地区</w:t>
            </w:r>
          </w:p>
        </w:tc>
      </w:tr>
      <w:tr w:rsidR="008A2411" w:rsidRPr="008A2411" w14:paraId="0189E466" w14:textId="77777777">
        <w:trPr>
          <w:trHeight w:val="340"/>
          <w:jc w:val="center"/>
        </w:trPr>
        <w:tc>
          <w:tcPr>
            <w:tcW w:w="405" w:type="pct"/>
            <w:vAlign w:val="center"/>
          </w:tcPr>
          <w:p w14:paraId="6FBAC475"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4</w:t>
            </w:r>
          </w:p>
        </w:tc>
        <w:tc>
          <w:tcPr>
            <w:tcW w:w="1361" w:type="pct"/>
            <w:vAlign w:val="center"/>
          </w:tcPr>
          <w:p w14:paraId="6B0FBAAE"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应急组织机构、人员</w:t>
            </w:r>
          </w:p>
        </w:tc>
        <w:tc>
          <w:tcPr>
            <w:tcW w:w="3234" w:type="pct"/>
            <w:vAlign w:val="center"/>
          </w:tcPr>
          <w:p w14:paraId="5579A0EB"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工厂：厂指挥部</w:t>
            </w:r>
            <w:r w:rsidRPr="008A2411">
              <w:rPr>
                <w:rFonts w:ascii="Times New Roman" w:hAnsi="Times New Roman"/>
                <w:color w:val="000000" w:themeColor="text1"/>
              </w:rPr>
              <w:t>--</w:t>
            </w:r>
            <w:r w:rsidRPr="008A2411">
              <w:rPr>
                <w:rFonts w:ascii="Times New Roman" w:hAnsi="Times New Roman"/>
                <w:color w:val="000000" w:themeColor="text1"/>
              </w:rPr>
              <w:t>负责现场全面指挥</w:t>
            </w:r>
          </w:p>
          <w:p w14:paraId="361F2D04"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专业救援队伍</w:t>
            </w:r>
            <w:r w:rsidRPr="008A2411">
              <w:rPr>
                <w:rFonts w:ascii="Times New Roman" w:hAnsi="Times New Roman"/>
                <w:color w:val="000000" w:themeColor="text1"/>
              </w:rPr>
              <w:t>--</w:t>
            </w:r>
            <w:r w:rsidRPr="008A2411">
              <w:rPr>
                <w:rFonts w:ascii="Times New Roman" w:hAnsi="Times New Roman"/>
                <w:color w:val="000000" w:themeColor="text1"/>
              </w:rPr>
              <w:t>负责事故控制、救援和善后处理</w:t>
            </w:r>
          </w:p>
          <w:p w14:paraId="650EBD88"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地区：地区指挥部</w:t>
            </w:r>
            <w:r w:rsidRPr="008A2411">
              <w:rPr>
                <w:rFonts w:ascii="Times New Roman" w:hAnsi="Times New Roman"/>
                <w:color w:val="000000" w:themeColor="text1"/>
              </w:rPr>
              <w:t>——</w:t>
            </w:r>
            <w:r w:rsidRPr="008A2411">
              <w:rPr>
                <w:rFonts w:ascii="Times New Roman" w:hAnsi="Times New Roman"/>
                <w:color w:val="000000" w:themeColor="text1"/>
              </w:rPr>
              <w:t>负责工厂附近地区全面指挥，救援、管制和疏散，专业救援队伍一负责对工厂专业救援队伍的支援</w:t>
            </w:r>
          </w:p>
        </w:tc>
      </w:tr>
      <w:tr w:rsidR="008A2411" w:rsidRPr="008A2411" w14:paraId="7B17E9FA" w14:textId="77777777">
        <w:trPr>
          <w:trHeight w:val="340"/>
          <w:jc w:val="center"/>
        </w:trPr>
        <w:tc>
          <w:tcPr>
            <w:tcW w:w="405" w:type="pct"/>
            <w:vAlign w:val="center"/>
          </w:tcPr>
          <w:p w14:paraId="220BD64D"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5</w:t>
            </w:r>
          </w:p>
        </w:tc>
        <w:tc>
          <w:tcPr>
            <w:tcW w:w="1361" w:type="pct"/>
            <w:vAlign w:val="center"/>
          </w:tcPr>
          <w:p w14:paraId="3B29191F"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应急状态分类应急响应程序</w:t>
            </w:r>
          </w:p>
        </w:tc>
        <w:tc>
          <w:tcPr>
            <w:tcW w:w="3234" w:type="pct"/>
            <w:vAlign w:val="center"/>
          </w:tcPr>
          <w:p w14:paraId="32B594BD"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规定环境风险事故的级别及相应的应急状态分类，以此制定相应的应急响应程序</w:t>
            </w:r>
          </w:p>
        </w:tc>
      </w:tr>
      <w:tr w:rsidR="008A2411" w:rsidRPr="008A2411" w14:paraId="46AF2ED9" w14:textId="77777777">
        <w:trPr>
          <w:trHeight w:val="340"/>
          <w:jc w:val="center"/>
        </w:trPr>
        <w:tc>
          <w:tcPr>
            <w:tcW w:w="405" w:type="pct"/>
            <w:vAlign w:val="center"/>
          </w:tcPr>
          <w:p w14:paraId="5F781B6C"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6</w:t>
            </w:r>
          </w:p>
        </w:tc>
        <w:tc>
          <w:tcPr>
            <w:tcW w:w="1361" w:type="pct"/>
            <w:vAlign w:val="center"/>
          </w:tcPr>
          <w:p w14:paraId="1DC0E4F7"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应急救援保障</w:t>
            </w:r>
          </w:p>
        </w:tc>
        <w:tc>
          <w:tcPr>
            <w:tcW w:w="3234" w:type="pct"/>
            <w:vAlign w:val="center"/>
          </w:tcPr>
          <w:p w14:paraId="0C1C8C55"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生产装置区：防火灾、爆炸、中毒事故的应急设施、设备与材料，主要为消防器材、消防服、毒气防护设施等；</w:t>
            </w:r>
          </w:p>
          <w:p w14:paraId="3E405FFC"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lastRenderedPageBreak/>
              <w:t>邻近地区：烧伤、中毒人员急救所用的一些药品、器材。</w:t>
            </w:r>
          </w:p>
        </w:tc>
      </w:tr>
      <w:tr w:rsidR="008A2411" w:rsidRPr="008A2411" w14:paraId="24A8159A" w14:textId="77777777">
        <w:trPr>
          <w:trHeight w:val="340"/>
          <w:jc w:val="center"/>
        </w:trPr>
        <w:tc>
          <w:tcPr>
            <w:tcW w:w="405" w:type="pct"/>
            <w:vAlign w:val="center"/>
          </w:tcPr>
          <w:p w14:paraId="49A50EAD"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lastRenderedPageBreak/>
              <w:t>7</w:t>
            </w:r>
          </w:p>
        </w:tc>
        <w:tc>
          <w:tcPr>
            <w:tcW w:w="1361" w:type="pct"/>
            <w:vAlign w:val="center"/>
          </w:tcPr>
          <w:p w14:paraId="5C30E680"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报警、应急通讯</w:t>
            </w:r>
          </w:p>
          <w:p w14:paraId="5B07ACAB"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通告与交通</w:t>
            </w:r>
          </w:p>
        </w:tc>
        <w:tc>
          <w:tcPr>
            <w:tcW w:w="3234" w:type="pct"/>
            <w:vAlign w:val="center"/>
          </w:tcPr>
          <w:p w14:paraId="5077F2BD"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规定应急状态下的报警通讯方式、通告方式和交通保障、管制等事项</w:t>
            </w:r>
          </w:p>
        </w:tc>
      </w:tr>
      <w:tr w:rsidR="008A2411" w:rsidRPr="008A2411" w14:paraId="6F1214C4" w14:textId="77777777">
        <w:trPr>
          <w:trHeight w:val="340"/>
          <w:jc w:val="center"/>
        </w:trPr>
        <w:tc>
          <w:tcPr>
            <w:tcW w:w="405" w:type="pct"/>
            <w:vAlign w:val="center"/>
          </w:tcPr>
          <w:p w14:paraId="5F517FB9"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8</w:t>
            </w:r>
          </w:p>
        </w:tc>
        <w:tc>
          <w:tcPr>
            <w:tcW w:w="1361" w:type="pct"/>
            <w:vAlign w:val="center"/>
          </w:tcPr>
          <w:p w14:paraId="549DC0AF"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应急环境监测、抢险、救援及控制措施</w:t>
            </w:r>
          </w:p>
        </w:tc>
        <w:tc>
          <w:tcPr>
            <w:tcW w:w="3234" w:type="pct"/>
            <w:vAlign w:val="center"/>
          </w:tcPr>
          <w:p w14:paraId="42F5E9AB"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由专业人员对环境风险事故现场进行应急监测，对事故性质、严重程度等所造成的环境危害后果进行评估，为指挥部门提供决策依据</w:t>
            </w:r>
          </w:p>
        </w:tc>
      </w:tr>
      <w:tr w:rsidR="008A2411" w:rsidRPr="008A2411" w14:paraId="11585BF4" w14:textId="77777777">
        <w:trPr>
          <w:trHeight w:val="340"/>
          <w:jc w:val="center"/>
        </w:trPr>
        <w:tc>
          <w:tcPr>
            <w:tcW w:w="405" w:type="pct"/>
            <w:vAlign w:val="center"/>
          </w:tcPr>
          <w:p w14:paraId="23B3A6A1"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9</w:t>
            </w:r>
          </w:p>
        </w:tc>
        <w:tc>
          <w:tcPr>
            <w:tcW w:w="1361" w:type="pct"/>
            <w:vAlign w:val="center"/>
          </w:tcPr>
          <w:p w14:paraId="3E0C390B"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应急检测、防护措施、清除泄漏措施和器材</w:t>
            </w:r>
          </w:p>
        </w:tc>
        <w:tc>
          <w:tcPr>
            <w:tcW w:w="3234" w:type="pct"/>
            <w:vAlign w:val="center"/>
          </w:tcPr>
          <w:p w14:paraId="75F52A91"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事故现场：控制事故发展，防止扩大、蔓延及连锁反应；清除现场泄漏物，降低危害；配备相应的设施器材</w:t>
            </w:r>
          </w:p>
          <w:p w14:paraId="596EF921"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邻近地区：控制防火区域、毒气泄漏扩散区域，控制和消除环境污染的措施，配备相应的设备</w:t>
            </w:r>
          </w:p>
        </w:tc>
      </w:tr>
      <w:tr w:rsidR="008A2411" w:rsidRPr="008A2411" w14:paraId="0F67135B" w14:textId="77777777">
        <w:trPr>
          <w:trHeight w:val="340"/>
          <w:jc w:val="center"/>
        </w:trPr>
        <w:tc>
          <w:tcPr>
            <w:tcW w:w="405" w:type="pct"/>
            <w:vAlign w:val="center"/>
          </w:tcPr>
          <w:p w14:paraId="05CC67E0"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10</w:t>
            </w:r>
          </w:p>
        </w:tc>
        <w:tc>
          <w:tcPr>
            <w:tcW w:w="1361" w:type="pct"/>
            <w:vAlign w:val="center"/>
          </w:tcPr>
          <w:p w14:paraId="0DB9B3C0"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人员紧急撤离、疏散，应急剂量控制、撤离组织计划</w:t>
            </w:r>
          </w:p>
        </w:tc>
        <w:tc>
          <w:tcPr>
            <w:tcW w:w="3234" w:type="pct"/>
            <w:vAlign w:val="center"/>
          </w:tcPr>
          <w:p w14:paraId="28318925"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事故现场、工厂邻近区、受事故影响的区域人员及公众对有毒有害物质应急剂量控制规定，制定紧急撤离组织计划和救护，医疗救护与公众健康。根据厂内风向标，判断事故气体扩散的方向，制定逃生路线。</w:t>
            </w:r>
          </w:p>
        </w:tc>
      </w:tr>
      <w:tr w:rsidR="008A2411" w:rsidRPr="008A2411" w14:paraId="5FC6E775" w14:textId="77777777">
        <w:trPr>
          <w:trHeight w:val="340"/>
          <w:jc w:val="center"/>
        </w:trPr>
        <w:tc>
          <w:tcPr>
            <w:tcW w:w="405" w:type="pct"/>
            <w:vAlign w:val="center"/>
          </w:tcPr>
          <w:p w14:paraId="005E4568"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11</w:t>
            </w:r>
          </w:p>
        </w:tc>
        <w:tc>
          <w:tcPr>
            <w:tcW w:w="1361" w:type="pct"/>
            <w:vAlign w:val="center"/>
          </w:tcPr>
          <w:p w14:paraId="3B9954DD"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事故应急救援关闭程序与恢复措施</w:t>
            </w:r>
          </w:p>
        </w:tc>
        <w:tc>
          <w:tcPr>
            <w:tcW w:w="3234" w:type="pct"/>
            <w:vAlign w:val="center"/>
          </w:tcPr>
          <w:p w14:paraId="045970F7"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事故现场：规定应急状态终止秩序；事故现场善后处理，恢复生产措施；</w:t>
            </w:r>
          </w:p>
          <w:p w14:paraId="764F6AF3"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邻近地区：解除事故警戒、公众返回和善后恢复措施</w:t>
            </w:r>
          </w:p>
        </w:tc>
      </w:tr>
      <w:tr w:rsidR="008A2411" w:rsidRPr="008A2411" w14:paraId="73AE3E22" w14:textId="77777777">
        <w:trPr>
          <w:trHeight w:val="340"/>
          <w:jc w:val="center"/>
        </w:trPr>
        <w:tc>
          <w:tcPr>
            <w:tcW w:w="405" w:type="pct"/>
            <w:vAlign w:val="center"/>
          </w:tcPr>
          <w:p w14:paraId="6CAA6505"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12</w:t>
            </w:r>
          </w:p>
        </w:tc>
        <w:tc>
          <w:tcPr>
            <w:tcW w:w="1361" w:type="pct"/>
            <w:vAlign w:val="center"/>
          </w:tcPr>
          <w:p w14:paraId="5FF251C6"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人员培训与演习</w:t>
            </w:r>
          </w:p>
        </w:tc>
        <w:tc>
          <w:tcPr>
            <w:tcW w:w="3234" w:type="pct"/>
            <w:vAlign w:val="center"/>
          </w:tcPr>
          <w:p w14:paraId="6E37F491"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应急计划制定后，平时安排事故处理人员进行相关知识培训进行事故应急处理演习；对工厂工人进行安全教育</w:t>
            </w:r>
          </w:p>
        </w:tc>
      </w:tr>
      <w:tr w:rsidR="008A2411" w:rsidRPr="008A2411" w14:paraId="42CE914E" w14:textId="77777777">
        <w:trPr>
          <w:trHeight w:val="340"/>
          <w:jc w:val="center"/>
        </w:trPr>
        <w:tc>
          <w:tcPr>
            <w:tcW w:w="405" w:type="pct"/>
            <w:vAlign w:val="center"/>
          </w:tcPr>
          <w:p w14:paraId="7E928812"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13</w:t>
            </w:r>
          </w:p>
        </w:tc>
        <w:tc>
          <w:tcPr>
            <w:tcW w:w="1361" w:type="pct"/>
            <w:vAlign w:val="center"/>
          </w:tcPr>
          <w:p w14:paraId="567B2621"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公众教育和信息发布</w:t>
            </w:r>
          </w:p>
        </w:tc>
        <w:tc>
          <w:tcPr>
            <w:tcW w:w="3234" w:type="pct"/>
            <w:vAlign w:val="center"/>
          </w:tcPr>
          <w:p w14:paraId="4D72A91D"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对邻近地区公众开展环境风险事故预防教育、应急知识培训、明确告知各级应急机构联系人及联系方式并定期发布相关信息</w:t>
            </w:r>
          </w:p>
        </w:tc>
      </w:tr>
      <w:tr w:rsidR="008A2411" w:rsidRPr="008A2411" w14:paraId="4D015F2F" w14:textId="77777777">
        <w:trPr>
          <w:trHeight w:val="340"/>
          <w:jc w:val="center"/>
        </w:trPr>
        <w:tc>
          <w:tcPr>
            <w:tcW w:w="405" w:type="pct"/>
            <w:vAlign w:val="center"/>
          </w:tcPr>
          <w:p w14:paraId="09A93A07"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14</w:t>
            </w:r>
          </w:p>
        </w:tc>
        <w:tc>
          <w:tcPr>
            <w:tcW w:w="1361" w:type="pct"/>
            <w:vAlign w:val="center"/>
          </w:tcPr>
          <w:p w14:paraId="3C23C61B"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记录和报告</w:t>
            </w:r>
          </w:p>
        </w:tc>
        <w:tc>
          <w:tcPr>
            <w:tcW w:w="3234" w:type="pct"/>
            <w:vAlign w:val="center"/>
          </w:tcPr>
          <w:p w14:paraId="4373D00D"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设应急事故专门记录，建立档案和报告制度，设专门部门负责管理</w:t>
            </w:r>
          </w:p>
        </w:tc>
      </w:tr>
      <w:tr w:rsidR="008A2411" w:rsidRPr="008A2411" w14:paraId="4CAC422D" w14:textId="77777777">
        <w:trPr>
          <w:trHeight w:val="340"/>
          <w:jc w:val="center"/>
        </w:trPr>
        <w:tc>
          <w:tcPr>
            <w:tcW w:w="405" w:type="pct"/>
            <w:vAlign w:val="center"/>
          </w:tcPr>
          <w:p w14:paraId="48AD6D75"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15</w:t>
            </w:r>
          </w:p>
        </w:tc>
        <w:tc>
          <w:tcPr>
            <w:tcW w:w="1361" w:type="pct"/>
            <w:vAlign w:val="center"/>
          </w:tcPr>
          <w:p w14:paraId="404D041C"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附件</w:t>
            </w:r>
          </w:p>
        </w:tc>
        <w:tc>
          <w:tcPr>
            <w:tcW w:w="3234" w:type="pct"/>
            <w:vAlign w:val="center"/>
          </w:tcPr>
          <w:p w14:paraId="65A38182"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准备并形成环境风险事故应急处理有关的附件材料</w:t>
            </w:r>
          </w:p>
        </w:tc>
      </w:tr>
    </w:tbl>
    <w:p w14:paraId="07738C0C"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结合本项目的特点，营运中一旦发生事故，则要根据具体情况采取应急措施，如切断泄漏源、气源、火源，控制事故扩大，立即报警；采取遏制泄漏物进入环境的紧急措施等。这就需要项目在实际生产过程中，建立相应的事故应急预案。本项目按要求编制完成了应急预案并在生态环境主管部门备案，并根据需要编制有危险废物专项应急预案并在地方备案。</w:t>
      </w:r>
    </w:p>
    <w:p w14:paraId="76D057B6" w14:textId="77777777" w:rsidR="00B0005F" w:rsidRPr="008A2411" w:rsidRDefault="00000000">
      <w:pPr>
        <w:pStyle w:val="affffffffffffffffffff6"/>
        <w:snapToGrid/>
        <w:outlineLvl w:val="2"/>
        <w:rPr>
          <w:rFonts w:ascii="Times New Roman"/>
          <w:b/>
          <w:color w:val="000000" w:themeColor="text1"/>
          <w:sz w:val="24"/>
          <w:szCs w:val="24"/>
          <w:lang w:bidi="en-US"/>
        </w:rPr>
      </w:pPr>
      <w:r w:rsidRPr="008A2411">
        <w:rPr>
          <w:rFonts w:ascii="Times New Roman"/>
          <w:b/>
          <w:color w:val="000000" w:themeColor="text1"/>
          <w:sz w:val="24"/>
          <w:szCs w:val="24"/>
          <w:lang w:bidi="en-US"/>
        </w:rPr>
        <w:t>6.12.3</w:t>
      </w:r>
      <w:r w:rsidRPr="008A2411">
        <w:rPr>
          <w:rFonts w:ascii="Times New Roman"/>
          <w:b/>
          <w:color w:val="000000" w:themeColor="text1"/>
          <w:sz w:val="24"/>
          <w:szCs w:val="24"/>
          <w:lang w:bidi="en-US"/>
        </w:rPr>
        <w:t>应急监测</w:t>
      </w:r>
    </w:p>
    <w:p w14:paraId="31C1D987"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一旦发生事故，应联系专业监测人员立即开展应急现场监测，跟踪事故状态。针对本项目的具体特点，按不同事故类型，制定各类事故应急环境监测预案，包括污染源监测、场界环境质量监测和场外环境质量监测三类。应急监测资源依托第三方监测公司</w:t>
      </w:r>
      <w:r w:rsidRPr="008A2411">
        <w:rPr>
          <w:rFonts w:ascii="Times New Roman"/>
          <w:bCs/>
          <w:color w:val="000000" w:themeColor="text1"/>
        </w:rPr>
        <w:t>.</w:t>
      </w:r>
    </w:p>
    <w:p w14:paraId="74C2E5FC"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事故应急救援指挥部门可根据突发事件性质、污染物的扩散速度和事发地风向、风速或水深、流速等气象和水文特征，根据《突然环境事件应急监测技术规范》（</w:t>
      </w:r>
      <w:r w:rsidRPr="008A2411">
        <w:rPr>
          <w:rFonts w:ascii="Times New Roman"/>
          <w:bCs/>
          <w:color w:val="000000" w:themeColor="text1"/>
        </w:rPr>
        <w:t>HJ589-2010</w:t>
      </w:r>
      <w:r w:rsidRPr="008A2411">
        <w:rPr>
          <w:rFonts w:ascii="Times New Roman"/>
          <w:bCs/>
          <w:color w:val="000000" w:themeColor="text1"/>
        </w:rPr>
        <w:t>）中的相关要求确定需要监测的环境要素、监测项目、监测频率、监测布点等。具体可参考表</w:t>
      </w:r>
      <w:r w:rsidRPr="008A2411">
        <w:rPr>
          <w:rFonts w:ascii="Times New Roman"/>
          <w:bCs/>
          <w:color w:val="000000" w:themeColor="text1"/>
        </w:rPr>
        <w:t>6.12-2</w:t>
      </w:r>
      <w:r w:rsidRPr="008A2411">
        <w:rPr>
          <w:rFonts w:ascii="Times New Roman"/>
          <w:bCs/>
          <w:color w:val="000000" w:themeColor="text1"/>
        </w:rPr>
        <w:t>。</w:t>
      </w:r>
    </w:p>
    <w:p w14:paraId="73FDDB7F" w14:textId="77777777" w:rsidR="00B0005F" w:rsidRPr="008A2411" w:rsidRDefault="00000000">
      <w:pPr>
        <w:pStyle w:val="affff3"/>
        <w:adjustRightInd w:val="0"/>
        <w:snapToGrid w:val="0"/>
        <w:spacing w:beforeLines="50" w:before="120" w:afterLines="50" w:after="120"/>
        <w:outlineLvl w:val="9"/>
        <w:rPr>
          <w:rFonts w:ascii="Times New Roman" w:eastAsia="黑体" w:hAnsi="Times New Roman" w:cs="Times New Roman"/>
          <w:b w:val="0"/>
          <w:color w:val="000000" w:themeColor="text1"/>
          <w:sz w:val="24"/>
          <w:lang w:val="zh-CN"/>
        </w:rPr>
      </w:pPr>
      <w:bookmarkStart w:id="542" w:name="_Toc329"/>
      <w:bookmarkStart w:id="543" w:name="_Toc6282"/>
      <w:bookmarkStart w:id="544" w:name="_Toc13159"/>
      <w:bookmarkStart w:id="545" w:name="_Toc21145"/>
      <w:bookmarkStart w:id="546" w:name="_Toc27777"/>
      <w:r w:rsidRPr="008A2411">
        <w:rPr>
          <w:rFonts w:ascii="Times New Roman" w:eastAsia="黑体" w:hAnsi="Times New Roman" w:cs="Times New Roman"/>
          <w:b w:val="0"/>
          <w:color w:val="000000" w:themeColor="text1"/>
          <w:sz w:val="24"/>
          <w:lang w:val="zh-CN"/>
        </w:rPr>
        <w:lastRenderedPageBreak/>
        <w:t>表</w:t>
      </w:r>
      <w:r w:rsidRPr="008A2411">
        <w:rPr>
          <w:rFonts w:ascii="Times New Roman" w:eastAsia="黑体" w:hAnsi="Times New Roman" w:cs="Times New Roman"/>
          <w:b w:val="0"/>
          <w:color w:val="000000" w:themeColor="text1"/>
          <w:sz w:val="24"/>
          <w:lang w:val="zh-CN"/>
        </w:rPr>
        <w:t>6.12-2</w:t>
      </w:r>
      <w:r w:rsidRPr="008A2411">
        <w:rPr>
          <w:rFonts w:ascii="Times New Roman" w:eastAsia="黑体" w:hAnsi="Times New Roman" w:cs="Times New Roman"/>
          <w:b w:val="0"/>
          <w:color w:val="000000" w:themeColor="text1"/>
          <w:sz w:val="24"/>
          <w:lang w:val="zh-CN"/>
        </w:rPr>
        <w:t>应急监测方案</w:t>
      </w:r>
      <w:bookmarkEnd w:id="542"/>
      <w:bookmarkEnd w:id="543"/>
      <w:bookmarkEnd w:id="544"/>
      <w:bookmarkEnd w:id="545"/>
      <w:bookmarkEnd w:id="546"/>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9"/>
        <w:gridCol w:w="1403"/>
        <w:gridCol w:w="753"/>
        <w:gridCol w:w="2870"/>
        <w:gridCol w:w="1120"/>
        <w:gridCol w:w="847"/>
      </w:tblGrid>
      <w:tr w:rsidR="008A2411" w:rsidRPr="008A2411" w14:paraId="40B322BF" w14:textId="77777777">
        <w:trPr>
          <w:cantSplit/>
          <w:jc w:val="center"/>
        </w:trPr>
        <w:tc>
          <w:tcPr>
            <w:tcW w:w="897" w:type="pct"/>
            <w:vMerge w:val="restart"/>
            <w:vAlign w:val="center"/>
          </w:tcPr>
          <w:p w14:paraId="6CDA8727" w14:textId="77777777" w:rsidR="00B0005F" w:rsidRPr="008A2411" w:rsidRDefault="00000000">
            <w:pPr>
              <w:pStyle w:val="afffffffffffff1"/>
              <w:widowControl w:val="0"/>
              <w:adjustRightInd w:val="0"/>
              <w:snapToGrid w:val="0"/>
              <w:ind w:left="0" w:right="0"/>
              <w:rPr>
                <w:rFonts w:ascii="Times New Roman" w:hAnsi="Times New Roman" w:cs="Times New Roman"/>
                <w:snapToGrid/>
                <w:color w:val="000000" w:themeColor="text1"/>
                <w:spacing w:val="0"/>
                <w:sz w:val="21"/>
                <w:szCs w:val="18"/>
              </w:rPr>
            </w:pPr>
            <w:r w:rsidRPr="008A2411">
              <w:rPr>
                <w:rFonts w:ascii="Times New Roman" w:hAnsi="Times New Roman" w:cs="Times New Roman"/>
                <w:snapToGrid/>
                <w:color w:val="000000" w:themeColor="text1"/>
                <w:spacing w:val="0"/>
                <w:sz w:val="21"/>
                <w:szCs w:val="18"/>
              </w:rPr>
              <w:t>事故类型</w:t>
            </w:r>
          </w:p>
        </w:tc>
        <w:tc>
          <w:tcPr>
            <w:tcW w:w="4103" w:type="pct"/>
            <w:gridSpan w:val="5"/>
            <w:vAlign w:val="center"/>
          </w:tcPr>
          <w:p w14:paraId="167FD24A" w14:textId="77777777" w:rsidR="00B0005F" w:rsidRPr="008A2411" w:rsidRDefault="00000000">
            <w:pPr>
              <w:pStyle w:val="afffffffffffff1"/>
              <w:widowControl w:val="0"/>
              <w:adjustRightInd w:val="0"/>
              <w:snapToGrid w:val="0"/>
              <w:ind w:left="0" w:right="0"/>
              <w:rPr>
                <w:rFonts w:ascii="Times New Roman" w:hAnsi="Times New Roman" w:cs="Times New Roman"/>
                <w:snapToGrid/>
                <w:color w:val="000000" w:themeColor="text1"/>
                <w:spacing w:val="0"/>
                <w:sz w:val="21"/>
                <w:szCs w:val="18"/>
              </w:rPr>
            </w:pPr>
            <w:r w:rsidRPr="008A2411">
              <w:rPr>
                <w:rFonts w:ascii="Times New Roman" w:hAnsi="Times New Roman" w:cs="Times New Roman"/>
                <w:snapToGrid/>
                <w:color w:val="000000" w:themeColor="text1"/>
                <w:spacing w:val="0"/>
                <w:sz w:val="21"/>
                <w:szCs w:val="18"/>
              </w:rPr>
              <w:t>监测方案</w:t>
            </w:r>
          </w:p>
        </w:tc>
      </w:tr>
      <w:tr w:rsidR="008A2411" w:rsidRPr="008A2411" w14:paraId="35808B78" w14:textId="77777777">
        <w:trPr>
          <w:cantSplit/>
          <w:jc w:val="center"/>
        </w:trPr>
        <w:tc>
          <w:tcPr>
            <w:tcW w:w="897" w:type="pct"/>
            <w:vMerge/>
            <w:vAlign w:val="center"/>
          </w:tcPr>
          <w:p w14:paraId="3348C644" w14:textId="77777777" w:rsidR="00B0005F" w:rsidRPr="008A2411" w:rsidRDefault="00B0005F">
            <w:pPr>
              <w:pStyle w:val="afffffffffffff1"/>
              <w:widowControl w:val="0"/>
              <w:adjustRightInd w:val="0"/>
              <w:snapToGrid w:val="0"/>
              <w:ind w:left="0" w:right="0"/>
              <w:rPr>
                <w:rFonts w:ascii="Times New Roman" w:hAnsi="Times New Roman" w:cs="Times New Roman"/>
                <w:snapToGrid/>
                <w:color w:val="000000" w:themeColor="text1"/>
                <w:spacing w:val="0"/>
                <w:sz w:val="21"/>
                <w:szCs w:val="18"/>
              </w:rPr>
            </w:pPr>
          </w:p>
        </w:tc>
        <w:tc>
          <w:tcPr>
            <w:tcW w:w="823" w:type="pct"/>
            <w:vAlign w:val="center"/>
          </w:tcPr>
          <w:p w14:paraId="09EAE01F" w14:textId="77777777" w:rsidR="00B0005F" w:rsidRPr="008A2411" w:rsidRDefault="00000000">
            <w:pPr>
              <w:pStyle w:val="afffffffffffff1"/>
              <w:widowControl w:val="0"/>
              <w:adjustRightInd w:val="0"/>
              <w:snapToGrid w:val="0"/>
              <w:ind w:left="0" w:right="0"/>
              <w:rPr>
                <w:rFonts w:ascii="Times New Roman" w:hAnsi="Times New Roman" w:cs="Times New Roman"/>
                <w:snapToGrid/>
                <w:color w:val="000000" w:themeColor="text1"/>
                <w:spacing w:val="0"/>
                <w:sz w:val="21"/>
                <w:szCs w:val="18"/>
              </w:rPr>
            </w:pPr>
            <w:r w:rsidRPr="008A2411">
              <w:rPr>
                <w:rFonts w:ascii="Times New Roman" w:hAnsi="Times New Roman" w:cs="Times New Roman"/>
                <w:snapToGrid/>
                <w:color w:val="000000" w:themeColor="text1"/>
                <w:spacing w:val="0"/>
                <w:sz w:val="21"/>
                <w:szCs w:val="18"/>
              </w:rPr>
              <w:t>监测指标</w:t>
            </w:r>
          </w:p>
        </w:tc>
        <w:tc>
          <w:tcPr>
            <w:tcW w:w="442" w:type="pct"/>
            <w:vAlign w:val="center"/>
          </w:tcPr>
          <w:p w14:paraId="12A4A855" w14:textId="77777777" w:rsidR="00B0005F" w:rsidRPr="008A2411" w:rsidRDefault="00000000">
            <w:pPr>
              <w:pStyle w:val="afffffffffffff1"/>
              <w:widowControl w:val="0"/>
              <w:adjustRightInd w:val="0"/>
              <w:snapToGrid w:val="0"/>
              <w:ind w:left="0" w:right="0"/>
              <w:rPr>
                <w:rFonts w:ascii="Times New Roman" w:hAnsi="Times New Roman" w:cs="Times New Roman"/>
                <w:snapToGrid/>
                <w:color w:val="000000" w:themeColor="text1"/>
                <w:spacing w:val="0"/>
                <w:sz w:val="21"/>
                <w:szCs w:val="18"/>
              </w:rPr>
            </w:pPr>
            <w:r w:rsidRPr="008A2411">
              <w:rPr>
                <w:rFonts w:ascii="Times New Roman" w:hAnsi="Times New Roman" w:cs="Times New Roman"/>
                <w:snapToGrid/>
                <w:color w:val="000000" w:themeColor="text1"/>
                <w:spacing w:val="0"/>
                <w:sz w:val="21"/>
                <w:szCs w:val="18"/>
              </w:rPr>
              <w:t>时间</w:t>
            </w:r>
          </w:p>
          <w:p w14:paraId="51DA78A7" w14:textId="77777777" w:rsidR="00B0005F" w:rsidRPr="008A2411" w:rsidRDefault="00000000">
            <w:pPr>
              <w:pStyle w:val="afffffffffffff1"/>
              <w:widowControl w:val="0"/>
              <w:adjustRightInd w:val="0"/>
              <w:snapToGrid w:val="0"/>
              <w:ind w:left="0" w:right="0"/>
              <w:rPr>
                <w:rFonts w:ascii="Times New Roman" w:hAnsi="Times New Roman" w:cs="Times New Roman"/>
                <w:snapToGrid/>
                <w:color w:val="000000" w:themeColor="text1"/>
                <w:spacing w:val="0"/>
                <w:sz w:val="21"/>
                <w:szCs w:val="18"/>
              </w:rPr>
            </w:pPr>
            <w:r w:rsidRPr="008A2411">
              <w:rPr>
                <w:rFonts w:ascii="Times New Roman" w:hAnsi="Times New Roman" w:cs="Times New Roman"/>
                <w:snapToGrid/>
                <w:color w:val="000000" w:themeColor="text1"/>
                <w:spacing w:val="0"/>
                <w:sz w:val="21"/>
                <w:szCs w:val="18"/>
              </w:rPr>
              <w:t>间隔</w:t>
            </w:r>
          </w:p>
        </w:tc>
        <w:tc>
          <w:tcPr>
            <w:tcW w:w="1684" w:type="pct"/>
            <w:vAlign w:val="center"/>
          </w:tcPr>
          <w:p w14:paraId="45538C37" w14:textId="77777777" w:rsidR="00B0005F" w:rsidRPr="008A2411" w:rsidRDefault="00000000">
            <w:pPr>
              <w:pStyle w:val="afffffffffffff1"/>
              <w:widowControl w:val="0"/>
              <w:adjustRightInd w:val="0"/>
              <w:snapToGrid w:val="0"/>
              <w:ind w:left="0" w:right="0"/>
              <w:rPr>
                <w:rFonts w:ascii="Times New Roman" w:hAnsi="Times New Roman" w:cs="Times New Roman"/>
                <w:snapToGrid/>
                <w:color w:val="000000" w:themeColor="text1"/>
                <w:spacing w:val="0"/>
                <w:sz w:val="21"/>
                <w:szCs w:val="18"/>
              </w:rPr>
            </w:pPr>
            <w:r w:rsidRPr="008A2411">
              <w:rPr>
                <w:rFonts w:ascii="Times New Roman" w:hAnsi="Times New Roman" w:cs="Times New Roman"/>
                <w:snapToGrid/>
                <w:color w:val="000000" w:themeColor="text1"/>
                <w:spacing w:val="0"/>
                <w:sz w:val="21"/>
                <w:szCs w:val="18"/>
              </w:rPr>
              <w:t>监测点位布设</w:t>
            </w:r>
          </w:p>
        </w:tc>
        <w:tc>
          <w:tcPr>
            <w:tcW w:w="657" w:type="pct"/>
            <w:vAlign w:val="center"/>
          </w:tcPr>
          <w:p w14:paraId="3136E2E3" w14:textId="77777777" w:rsidR="00B0005F" w:rsidRPr="008A2411" w:rsidRDefault="00000000">
            <w:pPr>
              <w:pStyle w:val="afffffffffffff1"/>
              <w:widowControl w:val="0"/>
              <w:adjustRightInd w:val="0"/>
              <w:snapToGrid w:val="0"/>
              <w:ind w:left="0" w:right="0"/>
              <w:rPr>
                <w:rFonts w:ascii="Times New Roman" w:hAnsi="Times New Roman" w:cs="Times New Roman"/>
                <w:snapToGrid/>
                <w:color w:val="000000" w:themeColor="text1"/>
                <w:spacing w:val="0"/>
                <w:sz w:val="21"/>
                <w:szCs w:val="18"/>
              </w:rPr>
            </w:pPr>
            <w:r w:rsidRPr="008A2411">
              <w:rPr>
                <w:rFonts w:ascii="Times New Roman" w:hAnsi="Times New Roman" w:cs="Times New Roman"/>
                <w:snapToGrid/>
                <w:color w:val="000000" w:themeColor="text1"/>
                <w:spacing w:val="0"/>
                <w:sz w:val="21"/>
                <w:szCs w:val="18"/>
              </w:rPr>
              <w:t>检测方法</w:t>
            </w:r>
          </w:p>
        </w:tc>
        <w:tc>
          <w:tcPr>
            <w:tcW w:w="499" w:type="pct"/>
            <w:vAlign w:val="center"/>
          </w:tcPr>
          <w:p w14:paraId="21AAEE31" w14:textId="77777777" w:rsidR="00B0005F" w:rsidRPr="008A2411" w:rsidRDefault="00000000">
            <w:pPr>
              <w:pStyle w:val="afffffffffffff1"/>
              <w:widowControl w:val="0"/>
              <w:adjustRightInd w:val="0"/>
              <w:snapToGrid w:val="0"/>
              <w:ind w:left="0" w:right="0"/>
              <w:rPr>
                <w:rFonts w:ascii="Times New Roman" w:hAnsi="Times New Roman" w:cs="Times New Roman"/>
                <w:snapToGrid/>
                <w:color w:val="000000" w:themeColor="text1"/>
                <w:spacing w:val="0"/>
                <w:sz w:val="21"/>
                <w:szCs w:val="18"/>
              </w:rPr>
            </w:pPr>
            <w:r w:rsidRPr="008A2411">
              <w:rPr>
                <w:rFonts w:ascii="Times New Roman" w:hAnsi="Times New Roman" w:cs="Times New Roman"/>
                <w:snapToGrid/>
                <w:color w:val="000000" w:themeColor="text1"/>
                <w:spacing w:val="0"/>
                <w:sz w:val="21"/>
                <w:szCs w:val="18"/>
              </w:rPr>
              <w:t>备注</w:t>
            </w:r>
          </w:p>
        </w:tc>
      </w:tr>
      <w:tr w:rsidR="008A2411" w:rsidRPr="008A2411" w14:paraId="5985E283" w14:textId="77777777">
        <w:trPr>
          <w:cantSplit/>
          <w:jc w:val="center"/>
        </w:trPr>
        <w:tc>
          <w:tcPr>
            <w:tcW w:w="897" w:type="pct"/>
            <w:vAlign w:val="center"/>
          </w:tcPr>
          <w:p w14:paraId="1F7340E1" w14:textId="77777777" w:rsidR="00B0005F" w:rsidRPr="008A2411" w:rsidRDefault="00000000">
            <w:pPr>
              <w:pStyle w:val="afffffffffffff1"/>
              <w:widowControl w:val="0"/>
              <w:adjustRightInd w:val="0"/>
              <w:snapToGrid w:val="0"/>
              <w:ind w:left="0" w:right="0"/>
              <w:rPr>
                <w:rFonts w:ascii="Times New Roman" w:hAnsi="Times New Roman" w:cs="Times New Roman"/>
                <w:snapToGrid/>
                <w:color w:val="000000" w:themeColor="text1"/>
                <w:spacing w:val="0"/>
                <w:sz w:val="21"/>
                <w:szCs w:val="18"/>
              </w:rPr>
            </w:pPr>
            <w:r w:rsidRPr="008A2411">
              <w:rPr>
                <w:rFonts w:ascii="Times New Roman" w:hAnsi="Times New Roman" w:cs="Times New Roman"/>
                <w:snapToGrid/>
                <w:color w:val="000000" w:themeColor="text1"/>
                <w:spacing w:val="0"/>
                <w:sz w:val="21"/>
                <w:szCs w:val="18"/>
              </w:rPr>
              <w:t>火灾、爆炸及其次生环境污染</w:t>
            </w:r>
          </w:p>
        </w:tc>
        <w:tc>
          <w:tcPr>
            <w:tcW w:w="823" w:type="pct"/>
            <w:vAlign w:val="center"/>
          </w:tcPr>
          <w:p w14:paraId="238CB9C1" w14:textId="77777777" w:rsidR="00B0005F" w:rsidRPr="008A2411" w:rsidRDefault="00000000">
            <w:pPr>
              <w:pStyle w:val="afffffffffffff1"/>
              <w:widowControl w:val="0"/>
              <w:adjustRightInd w:val="0"/>
              <w:snapToGrid w:val="0"/>
              <w:ind w:left="0" w:right="0"/>
              <w:rPr>
                <w:rFonts w:ascii="Times New Roman" w:hAnsi="Times New Roman" w:cs="Times New Roman"/>
                <w:snapToGrid/>
                <w:color w:val="000000" w:themeColor="text1"/>
                <w:spacing w:val="0"/>
                <w:sz w:val="21"/>
                <w:szCs w:val="18"/>
              </w:rPr>
            </w:pPr>
            <w:r w:rsidRPr="008A2411">
              <w:rPr>
                <w:rFonts w:ascii="Times New Roman" w:hAnsi="Times New Roman" w:cs="Times New Roman"/>
                <w:snapToGrid/>
                <w:color w:val="000000" w:themeColor="text1"/>
                <w:spacing w:val="0"/>
                <w:sz w:val="21"/>
                <w:szCs w:val="18"/>
              </w:rPr>
              <w:t>SO2</w:t>
            </w:r>
            <w:r w:rsidRPr="008A2411">
              <w:rPr>
                <w:rFonts w:ascii="Times New Roman" w:hAnsi="Times New Roman" w:cs="Times New Roman"/>
                <w:snapToGrid/>
                <w:color w:val="000000" w:themeColor="text1"/>
                <w:spacing w:val="0"/>
                <w:sz w:val="21"/>
                <w:szCs w:val="18"/>
              </w:rPr>
              <w:t>浓度，</w:t>
            </w:r>
          </w:p>
          <w:p w14:paraId="68BED590" w14:textId="77777777" w:rsidR="00B0005F" w:rsidRPr="008A2411" w:rsidRDefault="00000000">
            <w:pPr>
              <w:pStyle w:val="afffffffffffff1"/>
              <w:widowControl w:val="0"/>
              <w:adjustRightInd w:val="0"/>
              <w:snapToGrid w:val="0"/>
              <w:ind w:left="0" w:right="0"/>
              <w:rPr>
                <w:rFonts w:ascii="Times New Roman" w:hAnsi="Times New Roman" w:cs="Times New Roman"/>
                <w:snapToGrid/>
                <w:color w:val="000000" w:themeColor="text1"/>
                <w:spacing w:val="0"/>
                <w:sz w:val="21"/>
                <w:szCs w:val="18"/>
              </w:rPr>
            </w:pPr>
            <w:r w:rsidRPr="008A2411">
              <w:rPr>
                <w:rFonts w:ascii="Times New Roman" w:hAnsi="Times New Roman" w:cs="Times New Roman"/>
                <w:snapToGrid/>
                <w:color w:val="000000" w:themeColor="text1"/>
                <w:spacing w:val="0"/>
                <w:sz w:val="21"/>
                <w:szCs w:val="18"/>
              </w:rPr>
              <w:t>风向、风速</w:t>
            </w:r>
          </w:p>
        </w:tc>
        <w:tc>
          <w:tcPr>
            <w:tcW w:w="442" w:type="pct"/>
            <w:vAlign w:val="center"/>
          </w:tcPr>
          <w:p w14:paraId="7C13D4D8" w14:textId="77777777" w:rsidR="00B0005F" w:rsidRPr="008A2411" w:rsidRDefault="00000000">
            <w:pPr>
              <w:pStyle w:val="afffffffffffff1"/>
              <w:widowControl w:val="0"/>
              <w:adjustRightInd w:val="0"/>
              <w:snapToGrid w:val="0"/>
              <w:ind w:left="0" w:right="0"/>
              <w:rPr>
                <w:rFonts w:ascii="Times New Roman" w:hAnsi="Times New Roman" w:cs="Times New Roman"/>
                <w:snapToGrid/>
                <w:color w:val="000000" w:themeColor="text1"/>
                <w:spacing w:val="0"/>
                <w:sz w:val="21"/>
                <w:szCs w:val="18"/>
              </w:rPr>
            </w:pPr>
            <w:r w:rsidRPr="008A2411">
              <w:rPr>
                <w:rFonts w:ascii="Times New Roman" w:hAnsi="Times New Roman" w:cs="Times New Roman"/>
                <w:snapToGrid/>
                <w:color w:val="000000" w:themeColor="text1"/>
                <w:spacing w:val="0"/>
                <w:sz w:val="21"/>
                <w:szCs w:val="18"/>
              </w:rPr>
              <w:t>30min</w:t>
            </w:r>
          </w:p>
        </w:tc>
        <w:tc>
          <w:tcPr>
            <w:tcW w:w="1684" w:type="pct"/>
            <w:vAlign w:val="center"/>
          </w:tcPr>
          <w:p w14:paraId="1FD95303" w14:textId="77777777" w:rsidR="00B0005F" w:rsidRPr="008A2411" w:rsidRDefault="00000000">
            <w:pPr>
              <w:pStyle w:val="afffffffffffff1"/>
              <w:widowControl w:val="0"/>
              <w:adjustRightInd w:val="0"/>
              <w:snapToGrid w:val="0"/>
              <w:ind w:left="0" w:right="0"/>
              <w:rPr>
                <w:rFonts w:ascii="Times New Roman" w:hAnsi="Times New Roman" w:cs="Times New Roman"/>
                <w:snapToGrid/>
                <w:color w:val="000000" w:themeColor="text1"/>
                <w:spacing w:val="0"/>
                <w:sz w:val="21"/>
                <w:szCs w:val="18"/>
              </w:rPr>
            </w:pPr>
            <w:r w:rsidRPr="008A2411">
              <w:rPr>
                <w:rFonts w:ascii="Times New Roman" w:hAnsi="Times New Roman" w:cs="Times New Roman"/>
                <w:snapToGrid/>
                <w:color w:val="000000" w:themeColor="text1"/>
                <w:spacing w:val="0"/>
                <w:sz w:val="21"/>
                <w:szCs w:val="18"/>
              </w:rPr>
              <w:t>主导风向结合环境保护敏感点进行布设，一般为</w:t>
            </w:r>
            <w:r w:rsidRPr="008A2411">
              <w:rPr>
                <w:rFonts w:ascii="Times New Roman" w:hAnsi="Times New Roman" w:cs="Times New Roman"/>
                <w:snapToGrid/>
                <w:color w:val="000000" w:themeColor="text1"/>
                <w:spacing w:val="0"/>
                <w:sz w:val="21"/>
                <w:szCs w:val="18"/>
              </w:rPr>
              <w:t>6</w:t>
            </w:r>
            <w:r w:rsidRPr="008A2411">
              <w:rPr>
                <w:rFonts w:ascii="Times New Roman" w:hAnsi="Times New Roman" w:cs="Times New Roman"/>
                <w:snapToGrid/>
                <w:color w:val="000000" w:themeColor="text1"/>
                <w:spacing w:val="0"/>
                <w:sz w:val="21"/>
                <w:szCs w:val="18"/>
              </w:rPr>
              <w:t>到</w:t>
            </w:r>
            <w:r w:rsidRPr="008A2411">
              <w:rPr>
                <w:rFonts w:ascii="Times New Roman" w:hAnsi="Times New Roman" w:cs="Times New Roman"/>
                <w:snapToGrid/>
                <w:color w:val="000000" w:themeColor="text1"/>
                <w:spacing w:val="0"/>
                <w:sz w:val="21"/>
                <w:szCs w:val="18"/>
              </w:rPr>
              <w:t>8</w:t>
            </w:r>
            <w:r w:rsidRPr="008A2411">
              <w:rPr>
                <w:rFonts w:ascii="Times New Roman" w:hAnsi="Times New Roman" w:cs="Times New Roman"/>
                <w:snapToGrid/>
                <w:color w:val="000000" w:themeColor="text1"/>
                <w:spacing w:val="0"/>
                <w:sz w:val="21"/>
                <w:szCs w:val="18"/>
              </w:rPr>
              <w:t>个点位</w:t>
            </w:r>
          </w:p>
        </w:tc>
        <w:tc>
          <w:tcPr>
            <w:tcW w:w="657" w:type="pct"/>
            <w:vAlign w:val="center"/>
          </w:tcPr>
          <w:p w14:paraId="6F526D55" w14:textId="77777777" w:rsidR="00B0005F" w:rsidRPr="008A2411" w:rsidRDefault="00000000">
            <w:pPr>
              <w:pStyle w:val="afffffffffffff1"/>
              <w:widowControl w:val="0"/>
              <w:adjustRightInd w:val="0"/>
              <w:snapToGrid w:val="0"/>
              <w:ind w:left="0" w:right="0"/>
              <w:rPr>
                <w:rFonts w:ascii="Times New Roman" w:hAnsi="Times New Roman" w:cs="Times New Roman"/>
                <w:snapToGrid/>
                <w:color w:val="000000" w:themeColor="text1"/>
                <w:spacing w:val="0"/>
                <w:sz w:val="21"/>
                <w:szCs w:val="18"/>
              </w:rPr>
            </w:pPr>
            <w:r w:rsidRPr="008A2411">
              <w:rPr>
                <w:rFonts w:ascii="Times New Roman" w:hAnsi="Times New Roman" w:cs="Times New Roman"/>
                <w:snapToGrid/>
                <w:color w:val="000000" w:themeColor="text1"/>
                <w:spacing w:val="0"/>
                <w:sz w:val="21"/>
                <w:szCs w:val="18"/>
              </w:rPr>
              <w:t>便携式气体检测仪</w:t>
            </w:r>
          </w:p>
        </w:tc>
        <w:tc>
          <w:tcPr>
            <w:tcW w:w="499" w:type="pct"/>
            <w:vAlign w:val="center"/>
          </w:tcPr>
          <w:p w14:paraId="48394E83" w14:textId="77777777" w:rsidR="00B0005F" w:rsidRPr="008A2411" w:rsidRDefault="00000000">
            <w:pPr>
              <w:pStyle w:val="afffffffffffff1"/>
              <w:widowControl w:val="0"/>
              <w:adjustRightInd w:val="0"/>
              <w:snapToGrid w:val="0"/>
              <w:ind w:left="0" w:right="0"/>
              <w:rPr>
                <w:rFonts w:ascii="Times New Roman" w:hAnsi="Times New Roman" w:cs="Times New Roman"/>
                <w:snapToGrid/>
                <w:color w:val="000000" w:themeColor="text1"/>
                <w:spacing w:val="0"/>
                <w:sz w:val="21"/>
                <w:szCs w:val="18"/>
              </w:rPr>
            </w:pPr>
            <w:r w:rsidRPr="008A2411">
              <w:rPr>
                <w:rFonts w:ascii="Times New Roman" w:hAnsi="Times New Roman" w:cs="Times New Roman"/>
                <w:snapToGrid/>
                <w:color w:val="000000" w:themeColor="text1"/>
                <w:spacing w:val="0"/>
                <w:sz w:val="21"/>
                <w:szCs w:val="18"/>
              </w:rPr>
              <w:t>大气监测</w:t>
            </w:r>
          </w:p>
        </w:tc>
      </w:tr>
      <w:tr w:rsidR="008A2411" w:rsidRPr="008A2411" w14:paraId="2BF98518" w14:textId="77777777">
        <w:trPr>
          <w:cantSplit/>
          <w:jc w:val="center"/>
        </w:trPr>
        <w:tc>
          <w:tcPr>
            <w:tcW w:w="897" w:type="pct"/>
            <w:vAlign w:val="center"/>
          </w:tcPr>
          <w:p w14:paraId="004F9D27" w14:textId="77777777" w:rsidR="00B0005F" w:rsidRPr="008A2411" w:rsidRDefault="00000000">
            <w:pPr>
              <w:pStyle w:val="afffffffffffff1"/>
              <w:widowControl w:val="0"/>
              <w:adjustRightInd w:val="0"/>
              <w:snapToGrid w:val="0"/>
              <w:ind w:left="0" w:right="0"/>
              <w:rPr>
                <w:rFonts w:ascii="Times New Roman" w:hAnsi="Times New Roman" w:cs="Times New Roman"/>
                <w:snapToGrid/>
                <w:color w:val="000000" w:themeColor="text1"/>
                <w:spacing w:val="0"/>
                <w:sz w:val="21"/>
                <w:szCs w:val="18"/>
              </w:rPr>
            </w:pPr>
            <w:r w:rsidRPr="008A2411">
              <w:rPr>
                <w:rFonts w:ascii="Times New Roman" w:hAnsi="Times New Roman" w:cs="Times New Roman"/>
                <w:snapToGrid/>
                <w:color w:val="000000" w:themeColor="text1"/>
                <w:spacing w:val="0"/>
                <w:sz w:val="21"/>
                <w:szCs w:val="18"/>
              </w:rPr>
              <w:t>爆炸及其次生环境污染、废水泄漏</w:t>
            </w:r>
          </w:p>
        </w:tc>
        <w:tc>
          <w:tcPr>
            <w:tcW w:w="823" w:type="pct"/>
            <w:vAlign w:val="center"/>
          </w:tcPr>
          <w:p w14:paraId="094C8151" w14:textId="77777777" w:rsidR="00B0005F" w:rsidRPr="008A2411" w:rsidRDefault="00000000">
            <w:pPr>
              <w:pStyle w:val="afffffffffffff1"/>
              <w:widowControl w:val="0"/>
              <w:adjustRightInd w:val="0"/>
              <w:snapToGrid w:val="0"/>
              <w:ind w:left="0" w:right="0"/>
              <w:rPr>
                <w:rFonts w:ascii="Times New Roman" w:hAnsi="Times New Roman" w:cs="Times New Roman"/>
                <w:snapToGrid/>
                <w:color w:val="000000" w:themeColor="text1"/>
                <w:spacing w:val="0"/>
                <w:sz w:val="21"/>
                <w:szCs w:val="18"/>
              </w:rPr>
            </w:pPr>
            <w:r w:rsidRPr="008A2411">
              <w:rPr>
                <w:rFonts w:ascii="Times New Roman" w:hAnsi="Times New Roman" w:cs="Times New Roman"/>
                <w:snapToGrid/>
                <w:color w:val="000000" w:themeColor="text1"/>
                <w:spacing w:val="0"/>
                <w:sz w:val="21"/>
                <w:szCs w:val="18"/>
              </w:rPr>
              <w:t>pH</w:t>
            </w:r>
            <w:r w:rsidRPr="008A2411">
              <w:rPr>
                <w:rFonts w:ascii="Times New Roman" w:hAnsi="Times New Roman" w:cs="Times New Roman"/>
                <w:snapToGrid/>
                <w:color w:val="000000" w:themeColor="text1"/>
                <w:spacing w:val="0"/>
                <w:sz w:val="21"/>
                <w:szCs w:val="18"/>
              </w:rPr>
              <w:t>、</w:t>
            </w:r>
            <w:r w:rsidRPr="008A2411">
              <w:rPr>
                <w:rFonts w:ascii="Times New Roman" w:hAnsi="Times New Roman" w:cs="Times New Roman"/>
                <w:snapToGrid/>
                <w:color w:val="000000" w:themeColor="text1"/>
                <w:spacing w:val="0"/>
                <w:sz w:val="21"/>
                <w:szCs w:val="18"/>
              </w:rPr>
              <w:t>COD</w:t>
            </w:r>
            <w:r w:rsidRPr="008A2411">
              <w:rPr>
                <w:rFonts w:ascii="Times New Roman" w:hAnsi="Times New Roman" w:cs="Times New Roman"/>
                <w:snapToGrid/>
                <w:color w:val="000000" w:themeColor="text1"/>
                <w:spacing w:val="0"/>
                <w:sz w:val="21"/>
                <w:szCs w:val="18"/>
              </w:rPr>
              <w:t>、</w:t>
            </w:r>
            <w:r w:rsidRPr="008A2411">
              <w:rPr>
                <w:rFonts w:ascii="Times New Roman" w:hAnsi="Times New Roman" w:cs="Times New Roman"/>
                <w:snapToGrid/>
                <w:color w:val="000000" w:themeColor="text1"/>
                <w:spacing w:val="0"/>
                <w:sz w:val="21"/>
                <w:szCs w:val="18"/>
              </w:rPr>
              <w:t>Cl-</w:t>
            </w:r>
            <w:r w:rsidRPr="008A2411">
              <w:rPr>
                <w:rFonts w:ascii="Times New Roman" w:hAnsi="Times New Roman" w:cs="Times New Roman"/>
                <w:snapToGrid/>
                <w:color w:val="000000" w:themeColor="text1"/>
                <w:spacing w:val="0"/>
                <w:sz w:val="21"/>
                <w:szCs w:val="18"/>
              </w:rPr>
              <w:t>、</w:t>
            </w:r>
            <w:r w:rsidRPr="008A2411">
              <w:rPr>
                <w:rFonts w:ascii="Times New Roman" w:hAnsi="Times New Roman" w:cs="Times New Roman"/>
                <w:snapToGrid/>
                <w:color w:val="000000" w:themeColor="text1"/>
                <w:spacing w:val="0"/>
                <w:sz w:val="21"/>
                <w:szCs w:val="18"/>
              </w:rPr>
              <w:t>SS</w:t>
            </w:r>
            <w:r w:rsidRPr="008A2411">
              <w:rPr>
                <w:rFonts w:ascii="Times New Roman" w:hAnsi="Times New Roman" w:cs="Times New Roman"/>
                <w:snapToGrid/>
                <w:color w:val="000000" w:themeColor="text1"/>
                <w:spacing w:val="0"/>
                <w:sz w:val="21"/>
                <w:szCs w:val="18"/>
              </w:rPr>
              <w:t>、石油类</w:t>
            </w:r>
          </w:p>
        </w:tc>
        <w:tc>
          <w:tcPr>
            <w:tcW w:w="442" w:type="pct"/>
            <w:vAlign w:val="center"/>
          </w:tcPr>
          <w:p w14:paraId="5709B0FB" w14:textId="77777777" w:rsidR="00B0005F" w:rsidRPr="008A2411" w:rsidRDefault="00000000">
            <w:pPr>
              <w:pStyle w:val="afffffffffffff1"/>
              <w:widowControl w:val="0"/>
              <w:adjustRightInd w:val="0"/>
              <w:snapToGrid w:val="0"/>
              <w:ind w:left="0" w:right="0"/>
              <w:rPr>
                <w:rFonts w:ascii="Times New Roman" w:hAnsi="Times New Roman" w:cs="Times New Roman"/>
                <w:snapToGrid/>
                <w:color w:val="000000" w:themeColor="text1"/>
                <w:spacing w:val="0"/>
                <w:sz w:val="21"/>
                <w:szCs w:val="18"/>
              </w:rPr>
            </w:pPr>
            <w:r w:rsidRPr="008A2411">
              <w:rPr>
                <w:rFonts w:ascii="Times New Roman" w:hAnsi="Times New Roman" w:cs="Times New Roman"/>
                <w:snapToGrid/>
                <w:color w:val="000000" w:themeColor="text1"/>
                <w:spacing w:val="0"/>
                <w:sz w:val="21"/>
                <w:szCs w:val="18"/>
              </w:rPr>
              <w:t>2h</w:t>
            </w:r>
          </w:p>
        </w:tc>
        <w:tc>
          <w:tcPr>
            <w:tcW w:w="1684" w:type="pct"/>
            <w:vAlign w:val="center"/>
          </w:tcPr>
          <w:p w14:paraId="29D76A03" w14:textId="77777777" w:rsidR="00B0005F" w:rsidRPr="008A2411" w:rsidRDefault="00000000">
            <w:pPr>
              <w:pStyle w:val="afffffffffffff1"/>
              <w:widowControl w:val="0"/>
              <w:adjustRightInd w:val="0"/>
              <w:snapToGrid w:val="0"/>
              <w:ind w:left="0" w:right="0"/>
              <w:rPr>
                <w:rFonts w:ascii="Times New Roman" w:hAnsi="Times New Roman" w:cs="Times New Roman"/>
                <w:snapToGrid/>
                <w:color w:val="000000" w:themeColor="text1"/>
                <w:spacing w:val="0"/>
                <w:sz w:val="21"/>
                <w:szCs w:val="18"/>
              </w:rPr>
            </w:pPr>
            <w:r w:rsidRPr="008A2411">
              <w:rPr>
                <w:rFonts w:ascii="Times New Roman" w:hAnsi="Times New Roman" w:cs="Times New Roman"/>
                <w:snapToGrid/>
                <w:color w:val="000000" w:themeColor="text1"/>
                <w:spacing w:val="0"/>
                <w:sz w:val="21"/>
                <w:szCs w:val="18"/>
              </w:rPr>
              <w:t>根据事故发生地点分别在上游设</w:t>
            </w:r>
            <w:r w:rsidRPr="008A2411">
              <w:rPr>
                <w:rFonts w:ascii="Times New Roman" w:hAnsi="Times New Roman" w:cs="Times New Roman"/>
                <w:snapToGrid/>
                <w:color w:val="000000" w:themeColor="text1"/>
                <w:spacing w:val="0"/>
                <w:sz w:val="21"/>
                <w:szCs w:val="18"/>
              </w:rPr>
              <w:t>1</w:t>
            </w:r>
            <w:r w:rsidRPr="008A2411">
              <w:rPr>
                <w:rFonts w:ascii="Times New Roman" w:hAnsi="Times New Roman" w:cs="Times New Roman"/>
                <w:snapToGrid/>
                <w:color w:val="000000" w:themeColor="text1"/>
                <w:spacing w:val="0"/>
                <w:sz w:val="21"/>
                <w:szCs w:val="18"/>
              </w:rPr>
              <w:t>个对照断面，下游布设</w:t>
            </w:r>
            <w:r w:rsidRPr="008A2411">
              <w:rPr>
                <w:rFonts w:ascii="Times New Roman" w:hAnsi="Times New Roman" w:cs="Times New Roman"/>
                <w:snapToGrid/>
                <w:color w:val="000000" w:themeColor="text1"/>
                <w:spacing w:val="0"/>
                <w:sz w:val="21"/>
                <w:szCs w:val="18"/>
              </w:rPr>
              <w:t>3</w:t>
            </w:r>
            <w:r w:rsidRPr="008A2411">
              <w:rPr>
                <w:rFonts w:ascii="Times New Roman" w:hAnsi="Times New Roman" w:cs="Times New Roman"/>
                <w:snapToGrid/>
                <w:color w:val="000000" w:themeColor="text1"/>
                <w:spacing w:val="0"/>
                <w:sz w:val="21"/>
                <w:szCs w:val="18"/>
              </w:rPr>
              <w:t>～</w:t>
            </w:r>
            <w:r w:rsidRPr="008A2411">
              <w:rPr>
                <w:rFonts w:ascii="Times New Roman" w:hAnsi="Times New Roman" w:cs="Times New Roman"/>
                <w:snapToGrid/>
                <w:color w:val="000000" w:themeColor="text1"/>
                <w:spacing w:val="0"/>
                <w:sz w:val="21"/>
                <w:szCs w:val="18"/>
              </w:rPr>
              <w:t>4</w:t>
            </w:r>
            <w:r w:rsidRPr="008A2411">
              <w:rPr>
                <w:rFonts w:ascii="Times New Roman" w:hAnsi="Times New Roman" w:cs="Times New Roman"/>
                <w:snapToGrid/>
                <w:color w:val="000000" w:themeColor="text1"/>
                <w:spacing w:val="0"/>
                <w:sz w:val="21"/>
                <w:szCs w:val="18"/>
              </w:rPr>
              <w:t>个监测断面（包括控制断面与消减断面），下游饮用水取水口必须设置监测断面</w:t>
            </w:r>
          </w:p>
        </w:tc>
        <w:tc>
          <w:tcPr>
            <w:tcW w:w="657" w:type="pct"/>
            <w:vAlign w:val="center"/>
          </w:tcPr>
          <w:p w14:paraId="480AC1AB" w14:textId="77777777" w:rsidR="00B0005F" w:rsidRPr="008A2411" w:rsidRDefault="00000000">
            <w:pPr>
              <w:pStyle w:val="afffffffffffff1"/>
              <w:widowControl w:val="0"/>
              <w:adjustRightInd w:val="0"/>
              <w:snapToGrid w:val="0"/>
              <w:ind w:left="0" w:right="0"/>
              <w:rPr>
                <w:rFonts w:ascii="Times New Roman" w:hAnsi="Times New Roman" w:cs="Times New Roman"/>
                <w:snapToGrid/>
                <w:color w:val="000000" w:themeColor="text1"/>
                <w:spacing w:val="0"/>
                <w:sz w:val="21"/>
                <w:szCs w:val="18"/>
              </w:rPr>
            </w:pPr>
            <w:r w:rsidRPr="008A2411">
              <w:rPr>
                <w:rFonts w:ascii="Times New Roman" w:hAnsi="Times New Roman" w:cs="Times New Roman"/>
                <w:snapToGrid/>
                <w:color w:val="000000" w:themeColor="text1"/>
                <w:spacing w:val="0"/>
                <w:sz w:val="21"/>
                <w:szCs w:val="18"/>
              </w:rPr>
              <w:t>便携式综合水质分析仪</w:t>
            </w:r>
          </w:p>
        </w:tc>
        <w:tc>
          <w:tcPr>
            <w:tcW w:w="499" w:type="pct"/>
            <w:vAlign w:val="center"/>
          </w:tcPr>
          <w:p w14:paraId="5FB48906" w14:textId="77777777" w:rsidR="00B0005F" w:rsidRPr="008A2411" w:rsidRDefault="00000000">
            <w:pPr>
              <w:pStyle w:val="afffffffffffff1"/>
              <w:widowControl w:val="0"/>
              <w:adjustRightInd w:val="0"/>
              <w:snapToGrid w:val="0"/>
              <w:ind w:left="0" w:right="0"/>
              <w:rPr>
                <w:rFonts w:ascii="Times New Roman" w:hAnsi="Times New Roman" w:cs="Times New Roman"/>
                <w:snapToGrid/>
                <w:color w:val="000000" w:themeColor="text1"/>
                <w:spacing w:val="0"/>
                <w:sz w:val="21"/>
                <w:szCs w:val="18"/>
              </w:rPr>
            </w:pPr>
            <w:r w:rsidRPr="008A2411">
              <w:rPr>
                <w:rFonts w:ascii="Times New Roman" w:hAnsi="Times New Roman" w:cs="Times New Roman"/>
                <w:snapToGrid/>
                <w:color w:val="000000" w:themeColor="text1"/>
                <w:spacing w:val="0"/>
                <w:sz w:val="21"/>
                <w:szCs w:val="18"/>
              </w:rPr>
              <w:t>地表水监测</w:t>
            </w:r>
          </w:p>
        </w:tc>
      </w:tr>
    </w:tbl>
    <w:p w14:paraId="1E73C25C"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另外，出现水污染事件时，应急</w:t>
      </w:r>
      <w:proofErr w:type="gramStart"/>
      <w:r w:rsidRPr="008A2411">
        <w:rPr>
          <w:rFonts w:ascii="Times New Roman"/>
          <w:bCs/>
          <w:color w:val="000000" w:themeColor="text1"/>
        </w:rPr>
        <w:t>监测组</w:t>
      </w:r>
      <w:proofErr w:type="gramEnd"/>
      <w:r w:rsidRPr="008A2411">
        <w:rPr>
          <w:rFonts w:ascii="Times New Roman"/>
          <w:bCs/>
          <w:color w:val="000000" w:themeColor="text1"/>
        </w:rPr>
        <w:t>应立即组织相关单位对各级排放口（包括事故池排水口和雨水排水口）</w:t>
      </w:r>
      <w:proofErr w:type="gramStart"/>
      <w:r w:rsidRPr="008A2411">
        <w:rPr>
          <w:rFonts w:ascii="Times New Roman"/>
          <w:bCs/>
          <w:color w:val="000000" w:themeColor="text1"/>
        </w:rPr>
        <w:t>就特征</w:t>
      </w:r>
      <w:proofErr w:type="gramEnd"/>
      <w:r w:rsidRPr="008A2411">
        <w:rPr>
          <w:rFonts w:ascii="Times New Roman"/>
          <w:bCs/>
          <w:color w:val="000000" w:themeColor="text1"/>
        </w:rPr>
        <w:t>污染物进行监测，并及时报告应急指挥部采取相关措施。</w:t>
      </w:r>
    </w:p>
    <w:p w14:paraId="59F418B0" w14:textId="77777777" w:rsidR="00B0005F" w:rsidRPr="008A2411" w:rsidRDefault="00000000">
      <w:pPr>
        <w:pStyle w:val="affffffffffffffffffff6"/>
        <w:snapToGrid/>
        <w:outlineLvl w:val="1"/>
        <w:rPr>
          <w:rFonts w:ascii="Times New Roman"/>
          <w:bCs/>
          <w:color w:val="000000" w:themeColor="text1"/>
          <w:sz w:val="28"/>
          <w:szCs w:val="28"/>
          <w:lang w:bidi="en-US"/>
        </w:rPr>
      </w:pPr>
      <w:bookmarkStart w:id="547" w:name="_Toc84606493"/>
      <w:bookmarkStart w:id="548" w:name="_Toc109170784"/>
      <w:r w:rsidRPr="008A2411">
        <w:rPr>
          <w:rFonts w:ascii="Times New Roman"/>
          <w:bCs/>
          <w:color w:val="000000" w:themeColor="text1"/>
          <w:sz w:val="28"/>
          <w:szCs w:val="28"/>
          <w:lang w:bidi="en-US"/>
        </w:rPr>
        <w:t>6.13</w:t>
      </w:r>
      <w:r w:rsidRPr="008A2411">
        <w:rPr>
          <w:rFonts w:ascii="Times New Roman"/>
          <w:bCs/>
          <w:color w:val="000000" w:themeColor="text1"/>
          <w:sz w:val="28"/>
          <w:szCs w:val="28"/>
          <w:lang w:bidi="en-US"/>
        </w:rPr>
        <w:t>环境风险评价结论与建议</w:t>
      </w:r>
      <w:bookmarkEnd w:id="547"/>
      <w:bookmarkEnd w:id="548"/>
    </w:p>
    <w:p w14:paraId="04640CE8" w14:textId="77777777" w:rsidR="00B0005F" w:rsidRPr="008A2411" w:rsidRDefault="00000000">
      <w:pPr>
        <w:spacing w:line="360" w:lineRule="auto"/>
        <w:ind w:firstLineChars="200" w:firstLine="480"/>
        <w:rPr>
          <w:rFonts w:ascii="Times New Roman"/>
          <w:bCs/>
          <w:color w:val="000000" w:themeColor="text1"/>
        </w:rPr>
      </w:pPr>
      <w:r w:rsidRPr="008A2411">
        <w:rPr>
          <w:rFonts w:ascii="Times New Roman"/>
          <w:bCs/>
          <w:color w:val="000000" w:themeColor="text1"/>
        </w:rPr>
        <w:t>针对各种风险事故，项目设置有风险控制措施、制定有风险处置措施、应急处置预案、救援疏散方案，建立有应急警报系统、应急指挥系统、消防系统等，并配备有在线式可燃气体报警仪、便携式可燃气体检测仪、紧急连锁装置等，并对主要装置区进行分区防渗处理，且设置事故池。在发生风险事故时，自动控制系统能及时截断上游气源，并保证应急处置预案、措施及救援疏散方案能有效落实后，项目的环境风险可控。</w:t>
      </w:r>
    </w:p>
    <w:p w14:paraId="1F71AD65" w14:textId="77777777" w:rsidR="00B0005F" w:rsidRPr="008A2411" w:rsidRDefault="00B0005F">
      <w:pPr>
        <w:pStyle w:val="p0"/>
        <w:adjustRightInd w:val="0"/>
        <w:spacing w:line="360" w:lineRule="auto"/>
        <w:outlineLvl w:val="0"/>
        <w:rPr>
          <w:rFonts w:eastAsia="黑体"/>
          <w:bCs/>
          <w:color w:val="000000" w:themeColor="text1"/>
          <w:sz w:val="30"/>
          <w:szCs w:val="30"/>
          <w:lang w:bidi="en-US"/>
        </w:rPr>
        <w:sectPr w:rsidR="00B0005F" w:rsidRPr="008A2411">
          <w:headerReference w:type="default" r:id="rId100"/>
          <w:footerReference w:type="default" r:id="rId101"/>
          <w:pgSz w:w="11906" w:h="16838"/>
          <w:pgMar w:top="1440" w:right="1800" w:bottom="1440" w:left="1800" w:header="851" w:footer="851" w:gutter="0"/>
          <w:pgNumType w:chapStyle="1"/>
          <w:cols w:space="720"/>
          <w:docGrid w:linePitch="326"/>
        </w:sectPr>
      </w:pPr>
    </w:p>
    <w:p w14:paraId="6715AF04" w14:textId="77777777" w:rsidR="00B0005F" w:rsidRPr="008A2411" w:rsidRDefault="00000000">
      <w:pPr>
        <w:pStyle w:val="11"/>
        <w:numPr>
          <w:ilvl w:val="0"/>
          <w:numId w:val="0"/>
        </w:numPr>
        <w:snapToGrid w:val="0"/>
        <w:spacing w:before="0" w:afterLines="0" w:after="0" w:line="360" w:lineRule="auto"/>
        <w:jc w:val="center"/>
        <w:rPr>
          <w:rFonts w:ascii="Times New Roman" w:eastAsia="宋体"/>
          <w:color w:val="000000" w:themeColor="text1"/>
        </w:rPr>
      </w:pPr>
      <w:bookmarkStart w:id="549" w:name="_Toc469780897"/>
      <w:bookmarkStart w:id="550" w:name="_Toc501057881"/>
      <w:bookmarkStart w:id="551" w:name="_Toc19108259"/>
      <w:bookmarkStart w:id="552" w:name="_Toc24731"/>
      <w:bookmarkStart w:id="553" w:name="_Toc6689"/>
      <w:bookmarkStart w:id="554" w:name="_Toc109170785"/>
      <w:bookmarkStart w:id="555" w:name="_Toc405905389"/>
      <w:bookmarkStart w:id="556" w:name="_Toc451355427"/>
      <w:bookmarkStart w:id="557" w:name="_Toc405214322"/>
      <w:bookmarkStart w:id="558" w:name="_Toc422906931"/>
      <w:bookmarkStart w:id="559" w:name="_Toc405904573"/>
      <w:bookmarkStart w:id="560" w:name="_Toc405904917"/>
      <w:bookmarkStart w:id="561" w:name="_Toc319852987"/>
      <w:bookmarkStart w:id="562" w:name="_Toc312870428"/>
      <w:bookmarkStart w:id="563" w:name="_Toc251939906"/>
      <w:bookmarkStart w:id="564" w:name="_Toc79661174"/>
      <w:bookmarkStart w:id="565" w:name="_Toc93425718"/>
      <w:bookmarkStart w:id="566" w:name="_Toc128178313"/>
      <w:bookmarkStart w:id="567" w:name="_Toc128178401"/>
      <w:bookmarkStart w:id="568" w:name="_Toc91609889"/>
      <w:bookmarkStart w:id="569" w:name="_Toc79661171"/>
      <w:bookmarkStart w:id="570" w:name="_Toc282444097"/>
      <w:bookmarkStart w:id="571" w:name="_Toc130316100"/>
      <w:bookmarkStart w:id="572" w:name="_Toc127891748"/>
      <w:bookmarkStart w:id="573" w:name="_Toc282444093"/>
      <w:bookmarkStart w:id="574" w:name="_Toc130316006"/>
      <w:bookmarkStart w:id="575" w:name="_Toc93425721"/>
      <w:bookmarkStart w:id="576" w:name="_Toc251939911"/>
      <w:bookmarkStart w:id="577" w:name="_Toc117874771"/>
      <w:bookmarkStart w:id="578" w:name="_Toc130316009"/>
      <w:bookmarkStart w:id="579" w:name="_Toc113700833"/>
      <w:bookmarkStart w:id="580" w:name="_Toc91609826"/>
      <w:bookmarkStart w:id="581" w:name="_Toc128178310"/>
      <w:bookmarkStart w:id="582" w:name="_Toc79661236"/>
      <w:bookmarkStart w:id="583" w:name="_Toc113700832"/>
      <w:bookmarkStart w:id="584" w:name="_Toc282809611"/>
      <w:bookmarkStart w:id="585" w:name="_Toc117874745"/>
      <w:bookmarkStart w:id="586" w:name="_Toc251939915"/>
      <w:bookmarkStart w:id="587" w:name="_Toc91609823"/>
      <w:bookmarkStart w:id="588" w:name="_Toc127891751"/>
      <w:bookmarkStart w:id="589" w:name="_Toc281859662"/>
      <w:bookmarkStart w:id="590" w:name="_Toc117874744"/>
      <w:bookmarkStart w:id="591" w:name="_Toc113700867"/>
      <w:bookmarkStart w:id="592" w:name="_Toc283047207"/>
      <w:bookmarkStart w:id="593" w:name="_Toc127891838"/>
      <w:bookmarkStart w:id="594" w:name="_Toc93425783"/>
      <w:bookmarkEnd w:id="549"/>
      <w:r w:rsidRPr="008A2411">
        <w:rPr>
          <w:rFonts w:ascii="Times New Roman" w:eastAsia="宋体"/>
          <w:color w:val="000000" w:themeColor="text1"/>
        </w:rPr>
        <w:lastRenderedPageBreak/>
        <w:t>第七章</w:t>
      </w:r>
      <w:r w:rsidRPr="008A2411">
        <w:rPr>
          <w:rFonts w:ascii="Times New Roman" w:eastAsia="宋体"/>
          <w:color w:val="000000" w:themeColor="text1"/>
        </w:rPr>
        <w:t xml:space="preserve"> </w:t>
      </w:r>
      <w:r w:rsidRPr="008A2411">
        <w:rPr>
          <w:rFonts w:ascii="Times New Roman" w:eastAsia="宋体" w:hint="eastAsia"/>
          <w:color w:val="000000" w:themeColor="text1"/>
        </w:rPr>
        <w:t>环境保护措施及其可行性论</w:t>
      </w:r>
      <w:r w:rsidRPr="008A2411">
        <w:rPr>
          <w:rFonts w:ascii="Times New Roman" w:eastAsia="宋体"/>
          <w:color w:val="000000" w:themeColor="text1"/>
        </w:rPr>
        <w:t>证</w:t>
      </w:r>
      <w:bookmarkEnd w:id="550"/>
      <w:bookmarkEnd w:id="551"/>
      <w:bookmarkEnd w:id="552"/>
      <w:bookmarkEnd w:id="553"/>
      <w:bookmarkEnd w:id="554"/>
    </w:p>
    <w:p w14:paraId="45E8168D" w14:textId="77777777" w:rsidR="00B0005F" w:rsidRPr="008A2411" w:rsidRDefault="00B0005F">
      <w:pPr>
        <w:pStyle w:val="afffffffffffffffffff4"/>
        <w:numPr>
          <w:ilvl w:val="0"/>
          <w:numId w:val="18"/>
        </w:numPr>
        <w:adjustRightInd w:val="0"/>
        <w:snapToGrid w:val="0"/>
        <w:spacing w:line="480" w:lineRule="exact"/>
        <w:contextualSpacing w:val="0"/>
        <w:jc w:val="both"/>
        <w:outlineLvl w:val="1"/>
        <w:rPr>
          <w:rFonts w:ascii="Times New Roman" w:eastAsia="黑体" w:hAnsi="Times New Roman"/>
          <w:bCs/>
          <w:vanish/>
          <w:color w:val="000000" w:themeColor="text1"/>
          <w:sz w:val="28"/>
          <w:szCs w:val="28"/>
          <w:lang w:eastAsia="zh-CN"/>
        </w:rPr>
      </w:pPr>
      <w:bookmarkStart w:id="595" w:name="_Toc108365956"/>
      <w:bookmarkStart w:id="596" w:name="_Toc109170697"/>
      <w:bookmarkStart w:id="597" w:name="_Toc109170786"/>
      <w:bookmarkEnd w:id="595"/>
      <w:bookmarkEnd w:id="596"/>
      <w:bookmarkEnd w:id="597"/>
    </w:p>
    <w:p w14:paraId="73B600DA" w14:textId="77777777" w:rsidR="00B0005F" w:rsidRPr="008A2411" w:rsidRDefault="00000000">
      <w:pPr>
        <w:pStyle w:val="WJ3"/>
        <w:outlineLvl w:val="1"/>
        <w:rPr>
          <w:rFonts w:ascii="Times New Roman" w:hAnsi="Times New Roman"/>
          <w:b w:val="0"/>
          <w:bCs/>
          <w:color w:val="000000" w:themeColor="text1"/>
          <w:sz w:val="28"/>
          <w:szCs w:val="28"/>
        </w:rPr>
      </w:pPr>
      <w:bookmarkStart w:id="598" w:name="_Toc319852988"/>
      <w:bookmarkStart w:id="599" w:name="_Toc405214323"/>
      <w:bookmarkStart w:id="600" w:name="_Toc312870429"/>
      <w:bookmarkStart w:id="601" w:name="_Toc422906932"/>
      <w:bookmarkStart w:id="602" w:name="_Toc405904574"/>
      <w:bookmarkStart w:id="603" w:name="_Toc405905390"/>
      <w:bookmarkStart w:id="604" w:name="_Toc405904918"/>
      <w:bookmarkStart w:id="605" w:name="_Toc109170787"/>
      <w:bookmarkEnd w:id="555"/>
      <w:bookmarkEnd w:id="556"/>
      <w:bookmarkEnd w:id="557"/>
      <w:bookmarkEnd w:id="558"/>
      <w:bookmarkEnd w:id="559"/>
      <w:bookmarkEnd w:id="560"/>
      <w:bookmarkEnd w:id="561"/>
      <w:bookmarkEnd w:id="562"/>
      <w:r w:rsidRPr="008A2411">
        <w:rPr>
          <w:rFonts w:ascii="Times New Roman" w:hAnsi="Times New Roman"/>
          <w:b w:val="0"/>
          <w:bCs/>
          <w:color w:val="000000" w:themeColor="text1"/>
          <w:sz w:val="28"/>
          <w:szCs w:val="28"/>
        </w:rPr>
        <w:t xml:space="preserve">7.1 </w:t>
      </w:r>
      <w:r w:rsidRPr="008A2411">
        <w:rPr>
          <w:rFonts w:ascii="Times New Roman" w:hAnsi="Times New Roman"/>
          <w:b w:val="0"/>
          <w:bCs/>
          <w:color w:val="000000" w:themeColor="text1"/>
          <w:sz w:val="28"/>
          <w:szCs w:val="28"/>
        </w:rPr>
        <w:t>大气污染防治措施</w:t>
      </w:r>
      <w:bookmarkEnd w:id="598"/>
      <w:bookmarkEnd w:id="599"/>
      <w:bookmarkEnd w:id="600"/>
      <w:bookmarkEnd w:id="601"/>
      <w:bookmarkEnd w:id="602"/>
      <w:bookmarkEnd w:id="603"/>
      <w:bookmarkEnd w:id="604"/>
      <w:bookmarkEnd w:id="605"/>
    </w:p>
    <w:p w14:paraId="284B9F09" w14:textId="77777777" w:rsidR="00B0005F" w:rsidRPr="008A2411" w:rsidRDefault="00000000">
      <w:pPr>
        <w:pStyle w:val="WJ"/>
        <w:ind w:firstLineChars="0" w:firstLine="0"/>
        <w:outlineLvl w:val="2"/>
        <w:rPr>
          <w:rFonts w:ascii="Times New Roman" w:eastAsia="黑体" w:hAnsi="Times New Roman"/>
          <w:b/>
          <w:color w:val="000000" w:themeColor="text1"/>
          <w:kern w:val="0"/>
          <w:lang w:bidi="en-US"/>
        </w:rPr>
      </w:pPr>
      <w:r w:rsidRPr="008A2411">
        <w:rPr>
          <w:rFonts w:ascii="Times New Roman" w:eastAsia="黑体" w:hAnsi="Times New Roman"/>
          <w:b/>
          <w:color w:val="000000" w:themeColor="text1"/>
          <w:kern w:val="0"/>
          <w:lang w:bidi="en-US"/>
        </w:rPr>
        <w:t xml:space="preserve">7.1.1 </w:t>
      </w:r>
      <w:r w:rsidRPr="008A2411">
        <w:rPr>
          <w:rFonts w:ascii="Times New Roman" w:eastAsia="黑体" w:hAnsi="Times New Roman"/>
          <w:b/>
          <w:color w:val="000000" w:themeColor="text1"/>
          <w:kern w:val="0"/>
          <w:lang w:bidi="en-US"/>
        </w:rPr>
        <w:t>施工期大气污染防治措施可行性分析</w:t>
      </w:r>
    </w:p>
    <w:p w14:paraId="7820EF36"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项目施工期环境空气污染物主要来自施工扬尘、施工机械尾气。施工扬尘为土石方开挖，材料运输、卸放、拌和等过程中产生的，主要污染物为</w:t>
      </w:r>
      <w:r w:rsidRPr="008A2411">
        <w:rPr>
          <w:rFonts w:ascii="Times New Roman" w:hAnsi="Times New Roman"/>
          <w:color w:val="000000" w:themeColor="text1"/>
        </w:rPr>
        <w:t>TSP</w:t>
      </w:r>
      <w:r w:rsidRPr="008A2411">
        <w:rPr>
          <w:rFonts w:ascii="Times New Roman" w:hAnsi="Times New Roman"/>
          <w:color w:val="000000" w:themeColor="text1"/>
        </w:rPr>
        <w:t>，采取了洒水防尘措施后影响较小；施工机械尾气为燃油发电机、施工机械排放尾气，主要污染物为</w:t>
      </w:r>
      <w:r w:rsidRPr="008A2411">
        <w:rPr>
          <w:rFonts w:ascii="Times New Roman" w:hAnsi="Times New Roman"/>
          <w:color w:val="000000" w:themeColor="text1"/>
        </w:rPr>
        <w:t>NOx</w:t>
      </w:r>
      <w:r w:rsidRPr="008A2411">
        <w:rPr>
          <w:rFonts w:ascii="Times New Roman" w:hAnsi="Times New Roman"/>
          <w:color w:val="000000" w:themeColor="text1"/>
        </w:rPr>
        <w:t>和</w:t>
      </w:r>
      <w:r w:rsidRPr="008A2411">
        <w:rPr>
          <w:rFonts w:ascii="Times New Roman" w:hAnsi="Times New Roman"/>
          <w:color w:val="000000" w:themeColor="text1"/>
        </w:rPr>
        <w:t>CO</w:t>
      </w:r>
      <w:r w:rsidRPr="008A2411">
        <w:rPr>
          <w:rFonts w:ascii="Times New Roman" w:hAnsi="Times New Roman"/>
          <w:color w:val="000000" w:themeColor="text1"/>
        </w:rPr>
        <w:t>。施工现场进行合理化管理，统一堆放材料，设置专门库房堆放水泥，尽量减少搬运环节，搬运时轻举轻放，防止包装袋破裂。施工现场设置围栏或部分围栏，缩小施工扬尘的扩散范围。保持运输车辆完好，不过满装载，尽量采取遮盖、密闭措施，减少沿程抛洒。</w:t>
      </w:r>
    </w:p>
    <w:p w14:paraId="2285EDBE"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施工现场所设混凝土搅拌设施必须采取防尘措施。全面落实施工工地扬尘控制措施，土方、沙、石料运输时禁止超载，必须封盖严密，避免沿途洒落；施工场地洒水抑尘，出施工场地车辆进行全面冲洗；及时清运施工废弃物，暂时不能清运的应采取覆盖措施；大风天气下暂停土方开挖，采取覆盖堆料、湿润等措施。施工过程中，严禁将废弃的建筑材料作为燃料燃烧。施工完毕后及时清理施工场地，进行迹地恢复。</w:t>
      </w:r>
      <w:r w:rsidRPr="008A2411">
        <w:rPr>
          <w:rFonts w:ascii="Times New Roman" w:hAnsi="Times New Roman" w:hint="eastAsia"/>
          <w:color w:val="000000" w:themeColor="text1"/>
        </w:rPr>
        <w:t>此外，</w:t>
      </w:r>
      <w:r w:rsidRPr="008A2411">
        <w:rPr>
          <w:rFonts w:ascii="Times New Roman" w:hAnsi="Times New Roman"/>
          <w:color w:val="000000" w:themeColor="text1"/>
          <w:lang w:bidi="en-US"/>
        </w:rPr>
        <w:t>施工单位要做到文明施工，</w:t>
      </w:r>
      <w:r w:rsidRPr="008A2411">
        <w:rPr>
          <w:rFonts w:ascii="Times New Roman" w:hAnsi="Times New Roman" w:hint="eastAsia"/>
          <w:color w:val="000000" w:themeColor="text1"/>
          <w:lang w:bidi="en-US"/>
        </w:rPr>
        <w:t>施工严格按照“六必须、六不准”要求施工，同时施工场地设置围挡、施工围墙设置连续式喷雾降尘、裸露表土及物料遮盖。</w:t>
      </w:r>
    </w:p>
    <w:p w14:paraId="06FE6712"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建筑施工单位在施工工地应当设置硬质密闭围挡，并</w:t>
      </w:r>
      <w:proofErr w:type="gramStart"/>
      <w:r w:rsidRPr="008A2411">
        <w:rPr>
          <w:rFonts w:ascii="Times New Roman" w:hAnsi="Times New Roman"/>
          <w:color w:val="000000" w:themeColor="text1"/>
        </w:rPr>
        <w:t>采取抑尘降尘</w:t>
      </w:r>
      <w:proofErr w:type="gramEnd"/>
      <w:r w:rsidRPr="008A2411">
        <w:rPr>
          <w:rFonts w:ascii="Times New Roman" w:hAnsi="Times New Roman"/>
          <w:color w:val="000000" w:themeColor="text1"/>
        </w:rPr>
        <w:t>措施；建筑土方、工程渣土等建筑垃圾应当及时清运，在场地内堆存的应当密闭遮盖；运输矿石（粉）、</w:t>
      </w:r>
      <w:r w:rsidRPr="008A2411">
        <w:rPr>
          <w:rFonts w:ascii="Times New Roman" w:hAnsi="Times New Roman"/>
          <w:color w:val="000000" w:themeColor="text1"/>
        </w:rPr>
        <w:t xml:space="preserve"> </w:t>
      </w:r>
      <w:r w:rsidRPr="008A2411">
        <w:rPr>
          <w:rFonts w:ascii="Times New Roman" w:hAnsi="Times New Roman"/>
          <w:color w:val="000000" w:themeColor="text1"/>
        </w:rPr>
        <w:t>垃圾、渣土、砂石、</w:t>
      </w:r>
      <w:r w:rsidRPr="008A2411">
        <w:rPr>
          <w:rFonts w:ascii="Times New Roman" w:hAnsi="Times New Roman"/>
          <w:color w:val="000000" w:themeColor="text1"/>
        </w:rPr>
        <w:t xml:space="preserve"> </w:t>
      </w:r>
      <w:r w:rsidRPr="008A2411">
        <w:rPr>
          <w:rFonts w:ascii="Times New Roman" w:hAnsi="Times New Roman"/>
          <w:color w:val="000000" w:themeColor="text1"/>
        </w:rPr>
        <w:t>土方等散装、粉状、流体物料的，应当使用符合条件的车辆，密闭运输。</w:t>
      </w:r>
    </w:p>
    <w:p w14:paraId="68C4D73B"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通过以上有效的管理措施，可降低扬尘</w:t>
      </w:r>
      <w:r w:rsidRPr="008A2411">
        <w:rPr>
          <w:rFonts w:ascii="Times New Roman" w:hAnsi="Times New Roman"/>
          <w:color w:val="000000" w:themeColor="text1"/>
        </w:rPr>
        <w:t>50</w:t>
      </w:r>
      <w:r w:rsidRPr="008A2411">
        <w:rPr>
          <w:rFonts w:ascii="Times New Roman" w:hAnsi="Times New Roman"/>
          <w:color w:val="000000" w:themeColor="text1"/>
        </w:rPr>
        <w:t>～</w:t>
      </w:r>
      <w:r w:rsidRPr="008A2411">
        <w:rPr>
          <w:rFonts w:ascii="Times New Roman" w:hAnsi="Times New Roman"/>
          <w:color w:val="000000" w:themeColor="text1"/>
        </w:rPr>
        <w:t>70%</w:t>
      </w:r>
      <w:r w:rsidRPr="008A2411">
        <w:rPr>
          <w:rFonts w:ascii="Times New Roman" w:hAnsi="Times New Roman"/>
          <w:color w:val="000000" w:themeColor="text1"/>
        </w:rPr>
        <w:t>，大大减少对环境的影响。措施有效可行。</w:t>
      </w:r>
    </w:p>
    <w:p w14:paraId="6281ED64" w14:textId="77777777" w:rsidR="00B0005F" w:rsidRPr="008A2411" w:rsidRDefault="00000000">
      <w:pPr>
        <w:pStyle w:val="WJ"/>
        <w:ind w:firstLineChars="0" w:firstLine="0"/>
        <w:outlineLvl w:val="2"/>
        <w:rPr>
          <w:rFonts w:ascii="Times New Roman" w:eastAsia="黑体" w:hAnsi="Times New Roman"/>
          <w:b/>
          <w:color w:val="000000" w:themeColor="text1"/>
          <w:kern w:val="0"/>
          <w:lang w:bidi="en-US"/>
        </w:rPr>
      </w:pPr>
      <w:r w:rsidRPr="008A2411">
        <w:rPr>
          <w:rFonts w:ascii="Times New Roman" w:eastAsia="黑体" w:hAnsi="Times New Roman"/>
          <w:b/>
          <w:color w:val="000000" w:themeColor="text1"/>
          <w:kern w:val="0"/>
          <w:lang w:bidi="en-US"/>
        </w:rPr>
        <w:t xml:space="preserve">7.1.2 </w:t>
      </w:r>
      <w:r w:rsidRPr="008A2411">
        <w:rPr>
          <w:rFonts w:ascii="Times New Roman" w:eastAsia="黑体" w:hAnsi="Times New Roman"/>
          <w:b/>
          <w:color w:val="000000" w:themeColor="text1"/>
          <w:kern w:val="0"/>
          <w:lang w:bidi="en-US"/>
        </w:rPr>
        <w:t>运营期大气污染防治措施可行性分析</w:t>
      </w:r>
    </w:p>
    <w:p w14:paraId="2D7CF1F1" w14:textId="77777777" w:rsidR="00B0005F" w:rsidRPr="008A2411" w:rsidRDefault="00000000">
      <w:pPr>
        <w:pStyle w:val="WJ"/>
        <w:rPr>
          <w:rFonts w:ascii="Times New Roman" w:hAnsi="Times New Roman"/>
          <w:color w:val="000000" w:themeColor="text1"/>
        </w:rPr>
      </w:pPr>
      <w:bookmarkStart w:id="606" w:name="OLE_LINK47"/>
      <w:r w:rsidRPr="008A2411">
        <w:rPr>
          <w:rFonts w:ascii="Times New Roman" w:hAnsi="Times New Roman"/>
          <w:color w:val="000000" w:themeColor="text1"/>
        </w:rPr>
        <w:t>一、正常排放</w:t>
      </w:r>
    </w:p>
    <w:p w14:paraId="2D5A7182" w14:textId="77777777" w:rsidR="00B0005F" w:rsidRPr="008A2411" w:rsidRDefault="00000000">
      <w:pPr>
        <w:pStyle w:val="WJ"/>
        <w:rPr>
          <w:rFonts w:ascii="Times New Roman" w:hAnsi="Times New Roman"/>
          <w:color w:val="000000" w:themeColor="text1"/>
          <w:spacing w:val="2"/>
          <w:szCs w:val="21"/>
        </w:rPr>
      </w:pPr>
      <w:r w:rsidRPr="008A2411">
        <w:rPr>
          <w:rFonts w:ascii="Times New Roman" w:hAnsi="Times New Roman"/>
          <w:color w:val="000000" w:themeColor="text1"/>
        </w:rPr>
        <w:t>项目</w:t>
      </w:r>
      <w:r w:rsidRPr="008A2411">
        <w:rPr>
          <w:rFonts w:ascii="Times New Roman" w:hAnsi="Times New Roman"/>
          <w:color w:val="000000" w:themeColor="text1"/>
          <w:spacing w:val="2"/>
          <w:szCs w:val="21"/>
        </w:rPr>
        <w:t>采用先进的工艺及设备，设备设计密闭率高，大幅降低无组织排放量和事故排放几率。</w:t>
      </w:r>
      <w:r w:rsidRPr="008A2411">
        <w:rPr>
          <w:rFonts w:ascii="Times New Roman" w:hAnsi="Times New Roman"/>
          <w:color w:val="000000" w:themeColor="text1"/>
        </w:rPr>
        <w:t>运营期的废气主要为长明火炬燃烧废气，导热油炉燃烧废气、</w:t>
      </w:r>
      <w:r w:rsidRPr="008A2411">
        <w:rPr>
          <w:rFonts w:ascii="Times New Roman" w:hAnsi="Times New Roman"/>
          <w:color w:val="000000" w:themeColor="text1"/>
        </w:rPr>
        <w:lastRenderedPageBreak/>
        <w:t>脱硫塔排放废气及生活设施燃烧烟气等</w:t>
      </w:r>
      <w:bookmarkEnd w:id="606"/>
      <w:r w:rsidRPr="008A2411">
        <w:rPr>
          <w:rFonts w:ascii="Times New Roman" w:hAnsi="Times New Roman"/>
          <w:color w:val="000000" w:themeColor="text1"/>
          <w:spacing w:val="2"/>
          <w:szCs w:val="21"/>
        </w:rPr>
        <w:t>。</w:t>
      </w:r>
    </w:p>
    <w:p w14:paraId="6FBF70EE" w14:textId="27750C2D" w:rsidR="00B0005F" w:rsidRPr="008A2411" w:rsidRDefault="00000000" w:rsidP="008A2411">
      <w:pPr>
        <w:pStyle w:val="WJ"/>
        <w:rPr>
          <w:rFonts w:ascii="Times New Roman" w:hAnsi="Times New Roman"/>
          <w:color w:val="000000" w:themeColor="text1"/>
        </w:rPr>
      </w:pPr>
      <w:r w:rsidRPr="008A2411">
        <w:rPr>
          <w:rFonts w:ascii="Times New Roman" w:hAnsi="Times New Roman"/>
          <w:color w:val="000000" w:themeColor="text1"/>
        </w:rPr>
        <w:t>长明火炬、导热油炉均采用项目自产的净化</w:t>
      </w:r>
      <w:proofErr w:type="gramStart"/>
      <w:r w:rsidRPr="008A2411">
        <w:rPr>
          <w:rFonts w:ascii="Times New Roman" w:hAnsi="Times New Roman"/>
          <w:color w:val="000000" w:themeColor="text1"/>
        </w:rPr>
        <w:t>气作为</w:t>
      </w:r>
      <w:proofErr w:type="gramEnd"/>
      <w:r w:rsidRPr="008A2411">
        <w:rPr>
          <w:rFonts w:ascii="Times New Roman" w:hAnsi="Times New Roman"/>
          <w:color w:val="000000" w:themeColor="text1"/>
        </w:rPr>
        <w:t>燃料，净化</w:t>
      </w:r>
      <w:r w:rsidR="008A2411">
        <w:rPr>
          <w:rFonts w:ascii="Times New Roman" w:hAnsi="Times New Roman" w:hint="eastAsia"/>
          <w:color w:val="000000" w:themeColor="text1"/>
        </w:rPr>
        <w:t>气中</w:t>
      </w:r>
      <w:r w:rsidRPr="008A2411">
        <w:rPr>
          <w:rFonts w:ascii="Times New Roman" w:hAnsi="Times New Roman"/>
          <w:color w:val="000000" w:themeColor="text1"/>
        </w:rPr>
        <w:t>H</w:t>
      </w:r>
      <w:r w:rsidRPr="008A2411">
        <w:rPr>
          <w:rFonts w:ascii="Times New Roman" w:hAnsi="Times New Roman"/>
          <w:color w:val="000000" w:themeColor="text1"/>
          <w:vertAlign w:val="subscript"/>
        </w:rPr>
        <w:t>2</w:t>
      </w:r>
      <w:r w:rsidRPr="008A2411">
        <w:rPr>
          <w:rFonts w:ascii="Times New Roman" w:hAnsi="Times New Roman"/>
          <w:color w:val="000000" w:themeColor="text1"/>
        </w:rPr>
        <w:t>S≤5mg/m³</w:t>
      </w:r>
      <w:r w:rsidRPr="008A2411">
        <w:rPr>
          <w:rFonts w:ascii="Times New Roman" w:hAnsi="Times New Roman"/>
          <w:color w:val="000000" w:themeColor="text1"/>
        </w:rPr>
        <w:t>，有机硫</w:t>
      </w:r>
      <w:r w:rsidRPr="008A2411">
        <w:rPr>
          <w:rFonts w:ascii="Times New Roman" w:hAnsi="Times New Roman"/>
          <w:color w:val="000000" w:themeColor="text1"/>
        </w:rPr>
        <w:t>≤20mg/m³</w:t>
      </w:r>
      <w:r w:rsidRPr="008A2411">
        <w:rPr>
          <w:rFonts w:ascii="Times New Roman" w:hAnsi="Times New Roman"/>
          <w:color w:val="000000" w:themeColor="text1"/>
        </w:rPr>
        <w:t>，硫含量达到一类天然气指标，其燃烧后产物主要为</w:t>
      </w:r>
      <w:r w:rsidRPr="008A2411">
        <w:rPr>
          <w:rFonts w:ascii="Times New Roman" w:hAnsi="Times New Roman"/>
          <w:color w:val="000000" w:themeColor="text1"/>
        </w:rPr>
        <w:t>CO</w:t>
      </w:r>
      <w:r w:rsidRPr="008A2411">
        <w:rPr>
          <w:rFonts w:ascii="Times New Roman" w:hAnsi="Times New Roman"/>
          <w:color w:val="000000" w:themeColor="text1"/>
          <w:vertAlign w:val="subscript"/>
        </w:rPr>
        <w:t>2</w:t>
      </w:r>
      <w:r w:rsidRPr="008A2411">
        <w:rPr>
          <w:rFonts w:ascii="Times New Roman" w:hAnsi="Times New Roman"/>
          <w:color w:val="000000" w:themeColor="text1"/>
        </w:rPr>
        <w:t>和</w:t>
      </w:r>
      <w:r w:rsidRPr="008A2411">
        <w:rPr>
          <w:rFonts w:ascii="Times New Roman" w:hAnsi="Times New Roman"/>
          <w:color w:val="000000" w:themeColor="text1"/>
        </w:rPr>
        <w:t>H</w:t>
      </w:r>
      <w:r w:rsidRPr="008A2411">
        <w:rPr>
          <w:rFonts w:ascii="Times New Roman" w:hAnsi="Times New Roman"/>
          <w:color w:val="000000" w:themeColor="text1"/>
          <w:vertAlign w:val="subscript"/>
        </w:rPr>
        <w:t>2</w:t>
      </w:r>
      <w:r w:rsidRPr="008A2411">
        <w:rPr>
          <w:rFonts w:ascii="Times New Roman" w:hAnsi="Times New Roman"/>
          <w:color w:val="000000" w:themeColor="text1"/>
        </w:rPr>
        <w:t>O</w:t>
      </w:r>
      <w:r w:rsidRPr="008A2411">
        <w:rPr>
          <w:rFonts w:ascii="Times New Roman" w:hAnsi="Times New Roman"/>
          <w:color w:val="000000" w:themeColor="text1"/>
        </w:rPr>
        <w:t>及少量</w:t>
      </w:r>
      <w:r w:rsidRPr="008A2411">
        <w:rPr>
          <w:rFonts w:ascii="Times New Roman" w:hAnsi="Times New Roman"/>
          <w:color w:val="000000" w:themeColor="text1"/>
        </w:rPr>
        <w:t>NO</w:t>
      </w:r>
      <w:r w:rsidRPr="008A2411">
        <w:rPr>
          <w:rFonts w:ascii="Times New Roman" w:hAnsi="Times New Roman"/>
          <w:color w:val="000000" w:themeColor="text1"/>
          <w:vertAlign w:val="subscript"/>
        </w:rPr>
        <w:t>x</w:t>
      </w:r>
      <w:r w:rsidRPr="008A2411">
        <w:rPr>
          <w:rFonts w:ascii="Times New Roman" w:hAnsi="Times New Roman"/>
          <w:color w:val="000000" w:themeColor="text1"/>
        </w:rPr>
        <w:t>、</w:t>
      </w:r>
      <w:r w:rsidRPr="008A2411">
        <w:rPr>
          <w:rFonts w:ascii="Times New Roman" w:hAnsi="Times New Roman"/>
          <w:color w:val="000000" w:themeColor="text1"/>
        </w:rPr>
        <w:t>SO</w:t>
      </w:r>
      <w:r w:rsidRPr="008A2411">
        <w:rPr>
          <w:rFonts w:ascii="Times New Roman" w:hAnsi="Times New Roman"/>
          <w:color w:val="000000" w:themeColor="text1"/>
          <w:vertAlign w:val="subscript"/>
        </w:rPr>
        <w:t>2</w:t>
      </w:r>
      <w:r w:rsidRPr="008A2411">
        <w:rPr>
          <w:rFonts w:ascii="Times New Roman" w:hAnsi="Times New Roman"/>
          <w:color w:val="000000" w:themeColor="text1"/>
        </w:rPr>
        <w:t>，通过设备</w:t>
      </w:r>
      <w:proofErr w:type="gramStart"/>
      <w:r w:rsidRPr="008A2411">
        <w:rPr>
          <w:rFonts w:ascii="Times New Roman" w:hAnsi="Times New Roman"/>
          <w:color w:val="000000" w:themeColor="text1"/>
        </w:rPr>
        <w:t>自带排气筒</w:t>
      </w:r>
      <w:proofErr w:type="gramEnd"/>
      <w:r w:rsidRPr="008A2411">
        <w:rPr>
          <w:rFonts w:ascii="Times New Roman" w:hAnsi="Times New Roman"/>
          <w:color w:val="000000" w:themeColor="text1"/>
        </w:rPr>
        <w:t>可直接达标排放。对环境影响较小。</w:t>
      </w:r>
    </w:p>
    <w:p w14:paraId="1E5C5964"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脱硫塔废气</w:t>
      </w:r>
      <w:proofErr w:type="gramStart"/>
      <w:r w:rsidRPr="008A2411">
        <w:rPr>
          <w:rFonts w:ascii="Times New Roman" w:hAnsi="Times New Roman"/>
          <w:color w:val="000000" w:themeColor="text1"/>
        </w:rPr>
        <w:t>源自胺液再生</w:t>
      </w:r>
      <w:proofErr w:type="gramEnd"/>
      <w:r w:rsidRPr="008A2411">
        <w:rPr>
          <w:rFonts w:ascii="Times New Roman" w:hAnsi="Times New Roman"/>
          <w:color w:val="000000" w:themeColor="text1"/>
        </w:rPr>
        <w:t>塔再生过程中产生的</w:t>
      </w:r>
      <w:proofErr w:type="gramStart"/>
      <w:r w:rsidRPr="008A2411">
        <w:rPr>
          <w:rFonts w:ascii="Times New Roman" w:hAnsi="Times New Roman"/>
          <w:color w:val="000000" w:themeColor="text1"/>
        </w:rPr>
        <w:t>不</w:t>
      </w:r>
      <w:proofErr w:type="gramEnd"/>
      <w:r w:rsidRPr="008A2411">
        <w:rPr>
          <w:rFonts w:ascii="Times New Roman" w:hAnsi="Times New Roman"/>
          <w:color w:val="000000" w:themeColor="text1"/>
        </w:rPr>
        <w:t>凝气，</w:t>
      </w:r>
      <w:r w:rsidRPr="008A2411">
        <w:rPr>
          <w:rFonts w:ascii="Times New Roman" w:hAnsi="Times New Roman"/>
          <w:color w:val="000000" w:themeColor="text1"/>
          <w:spacing w:val="-2"/>
        </w:rPr>
        <w:t>为含</w:t>
      </w:r>
      <w:r w:rsidRPr="008A2411">
        <w:rPr>
          <w:rFonts w:ascii="Times New Roman" w:hAnsi="Times New Roman"/>
          <w:color w:val="000000" w:themeColor="text1"/>
          <w:spacing w:val="-2"/>
        </w:rPr>
        <w:t>CO</w:t>
      </w:r>
      <w:r w:rsidRPr="008A2411">
        <w:rPr>
          <w:rFonts w:ascii="Times New Roman" w:hAnsi="Times New Roman"/>
          <w:color w:val="000000" w:themeColor="text1"/>
          <w:spacing w:val="-2"/>
          <w:vertAlign w:val="subscript"/>
        </w:rPr>
        <w:t>2</w:t>
      </w:r>
      <w:r w:rsidRPr="008A2411">
        <w:rPr>
          <w:rFonts w:ascii="Times New Roman" w:hAnsi="Times New Roman"/>
          <w:color w:val="000000" w:themeColor="text1"/>
          <w:spacing w:val="-2"/>
        </w:rPr>
        <w:t>及</w:t>
      </w:r>
      <w:r w:rsidRPr="008A2411">
        <w:rPr>
          <w:rFonts w:ascii="Times New Roman" w:hAnsi="Times New Roman"/>
          <w:color w:val="000000" w:themeColor="text1"/>
          <w:spacing w:val="-2"/>
        </w:rPr>
        <w:t>H</w:t>
      </w:r>
      <w:r w:rsidRPr="008A2411">
        <w:rPr>
          <w:rFonts w:ascii="Times New Roman" w:hAnsi="Times New Roman"/>
          <w:color w:val="000000" w:themeColor="text1"/>
          <w:spacing w:val="-2"/>
          <w:vertAlign w:val="subscript"/>
        </w:rPr>
        <w:t>2</w:t>
      </w:r>
      <w:r w:rsidRPr="008A2411">
        <w:rPr>
          <w:rFonts w:ascii="Times New Roman" w:hAnsi="Times New Roman"/>
          <w:color w:val="000000" w:themeColor="text1"/>
          <w:spacing w:val="-2"/>
        </w:rPr>
        <w:t>S</w:t>
      </w:r>
      <w:r w:rsidRPr="008A2411">
        <w:rPr>
          <w:rFonts w:ascii="Times New Roman" w:hAnsi="Times New Roman"/>
          <w:color w:val="000000" w:themeColor="text1"/>
          <w:spacing w:val="-2"/>
        </w:rPr>
        <w:t>的酸性气体，由于本项目</w:t>
      </w:r>
      <w:proofErr w:type="gramStart"/>
      <w:r w:rsidRPr="008A2411">
        <w:rPr>
          <w:rFonts w:ascii="Times New Roman" w:hAnsi="Times New Roman"/>
          <w:color w:val="000000" w:themeColor="text1"/>
          <w:spacing w:val="-2"/>
        </w:rPr>
        <w:t>原料气硫含量</w:t>
      </w:r>
      <w:proofErr w:type="gramEnd"/>
      <w:r w:rsidRPr="008A2411">
        <w:rPr>
          <w:rFonts w:ascii="Times New Roman" w:hAnsi="Times New Roman"/>
          <w:color w:val="000000" w:themeColor="text1"/>
          <w:spacing w:val="-2"/>
        </w:rPr>
        <w:t>较低</w:t>
      </w:r>
      <w:r w:rsidRPr="008A2411">
        <w:rPr>
          <w:rFonts w:ascii="Times New Roman" w:hAnsi="Times New Roman"/>
          <w:bCs/>
          <w:color w:val="000000" w:themeColor="text1"/>
          <w:spacing w:val="-2"/>
        </w:rPr>
        <w:t>（见附件天然气测试报告）</w:t>
      </w:r>
      <w:r w:rsidRPr="008A2411">
        <w:rPr>
          <w:rFonts w:ascii="Times New Roman" w:hAnsi="Times New Roman"/>
          <w:color w:val="000000" w:themeColor="text1"/>
        </w:rPr>
        <w:t>，在脱硫塔内部设置活性炭吸附设施对废气进行净化</w:t>
      </w:r>
      <w:bookmarkStart w:id="607" w:name="OLE_LINK95"/>
      <w:bookmarkStart w:id="608" w:name="OLE_LINK116"/>
      <w:r w:rsidRPr="008A2411">
        <w:rPr>
          <w:rFonts w:ascii="Times New Roman" w:hAnsi="Times New Roman"/>
          <w:color w:val="000000" w:themeColor="text1"/>
        </w:rPr>
        <w:t>。</w:t>
      </w:r>
      <w:r w:rsidRPr="008A2411">
        <w:rPr>
          <w:rFonts w:ascii="Times New Roman" w:hAnsi="Times New Roman" w:hint="eastAsia"/>
          <w:color w:val="000000" w:themeColor="text1"/>
        </w:rPr>
        <w:t>改性</w:t>
      </w:r>
      <w:r w:rsidRPr="008A2411">
        <w:rPr>
          <w:rFonts w:ascii="Times New Roman" w:hAnsi="Times New Roman"/>
          <w:color w:val="000000" w:themeColor="text1"/>
        </w:rPr>
        <w:t>活性炭装置能将</w:t>
      </w:r>
      <w:r w:rsidRPr="008A2411">
        <w:rPr>
          <w:rFonts w:ascii="Times New Roman" w:hAnsi="Times New Roman"/>
          <w:color w:val="000000" w:themeColor="text1"/>
        </w:rPr>
        <w:t>H</w:t>
      </w:r>
      <w:r w:rsidRPr="008A2411">
        <w:rPr>
          <w:rFonts w:ascii="Times New Roman" w:hAnsi="Times New Roman"/>
          <w:color w:val="000000" w:themeColor="text1"/>
          <w:vertAlign w:val="subscript"/>
        </w:rPr>
        <w:t>2</w:t>
      </w:r>
      <w:r w:rsidRPr="008A2411">
        <w:rPr>
          <w:rFonts w:ascii="Times New Roman" w:hAnsi="Times New Roman"/>
          <w:color w:val="000000" w:themeColor="text1"/>
        </w:rPr>
        <w:t>S</w:t>
      </w:r>
      <w:r w:rsidRPr="008A2411">
        <w:rPr>
          <w:rFonts w:ascii="Times New Roman" w:hAnsi="Times New Roman"/>
          <w:color w:val="000000" w:themeColor="text1"/>
        </w:rPr>
        <w:t>等含硫物质吸附或沉积于活性炭微孔上，并且能在活性炭微孔表面上进行氧化反应，转化为</w:t>
      </w:r>
      <w:r w:rsidRPr="008A2411">
        <w:rPr>
          <w:rFonts w:ascii="Times New Roman" w:hAnsi="Times New Roman"/>
          <w:color w:val="000000" w:themeColor="text1"/>
        </w:rPr>
        <w:t>S</w:t>
      </w:r>
      <w:r w:rsidRPr="008A2411">
        <w:rPr>
          <w:rFonts w:ascii="Times New Roman" w:hAnsi="Times New Roman"/>
          <w:color w:val="000000" w:themeColor="text1"/>
        </w:rPr>
        <w:t>单质，从而使有机硫化合物得以脱除。根据目前大量的工业应用表明，普通活性炭具有优良吸附性能和催化活性，不仅是</w:t>
      </w:r>
      <w:r w:rsidRPr="008A2411">
        <w:rPr>
          <w:rFonts w:ascii="Times New Roman" w:hAnsi="Times New Roman"/>
          <w:color w:val="000000" w:themeColor="text1"/>
        </w:rPr>
        <w:t>H</w:t>
      </w:r>
      <w:r w:rsidRPr="008A2411">
        <w:rPr>
          <w:rFonts w:ascii="Times New Roman" w:hAnsi="Times New Roman"/>
          <w:color w:val="000000" w:themeColor="text1"/>
          <w:vertAlign w:val="subscript"/>
        </w:rPr>
        <w:t>2</w:t>
      </w:r>
      <w:r w:rsidRPr="008A2411">
        <w:rPr>
          <w:rFonts w:ascii="Times New Roman" w:hAnsi="Times New Roman"/>
          <w:color w:val="000000" w:themeColor="text1"/>
        </w:rPr>
        <w:t>S</w:t>
      </w:r>
      <w:r w:rsidRPr="008A2411">
        <w:rPr>
          <w:rFonts w:ascii="Times New Roman" w:hAnsi="Times New Roman"/>
          <w:color w:val="000000" w:themeColor="text1"/>
        </w:rPr>
        <w:t>的高效液化生产剂，而且对脱除有机硫等其它含硫物质亦都相当有效，在常温下反应便可迅速进行。通过对普通活性炭进行改性，将提高活性炭选择性吸附性能、对</w:t>
      </w:r>
      <w:r w:rsidRPr="008A2411">
        <w:rPr>
          <w:rFonts w:ascii="Times New Roman" w:hAnsi="Times New Roman"/>
          <w:color w:val="000000" w:themeColor="text1"/>
        </w:rPr>
        <w:t>H</w:t>
      </w:r>
      <w:r w:rsidRPr="008A2411">
        <w:rPr>
          <w:rFonts w:ascii="Times New Roman" w:hAnsi="Times New Roman"/>
          <w:color w:val="000000" w:themeColor="text1"/>
          <w:vertAlign w:val="subscript"/>
        </w:rPr>
        <w:t>2</w:t>
      </w:r>
      <w:r w:rsidRPr="008A2411">
        <w:rPr>
          <w:rFonts w:ascii="Times New Roman" w:hAnsi="Times New Roman"/>
          <w:color w:val="000000" w:themeColor="text1"/>
        </w:rPr>
        <w:t>S</w:t>
      </w:r>
      <w:r w:rsidRPr="008A2411">
        <w:rPr>
          <w:rFonts w:ascii="Times New Roman" w:hAnsi="Times New Roman"/>
          <w:color w:val="000000" w:themeColor="text1"/>
        </w:rPr>
        <w:t>及其它含硫物质的催化氧化性能和催化转化性能，使</w:t>
      </w:r>
      <w:r w:rsidRPr="008A2411">
        <w:rPr>
          <w:rFonts w:ascii="Times New Roman" w:hAnsi="Times New Roman"/>
          <w:color w:val="000000" w:themeColor="text1"/>
        </w:rPr>
        <w:t>H</w:t>
      </w:r>
      <w:r w:rsidRPr="008A2411">
        <w:rPr>
          <w:rFonts w:ascii="Times New Roman" w:hAnsi="Times New Roman"/>
          <w:color w:val="000000" w:themeColor="text1"/>
          <w:vertAlign w:val="subscript"/>
        </w:rPr>
        <w:t>2</w:t>
      </w:r>
      <w:r w:rsidRPr="008A2411">
        <w:rPr>
          <w:rFonts w:ascii="Times New Roman" w:hAnsi="Times New Roman"/>
          <w:color w:val="000000" w:themeColor="text1"/>
        </w:rPr>
        <w:t>S</w:t>
      </w:r>
      <w:r w:rsidRPr="008A2411">
        <w:rPr>
          <w:rFonts w:ascii="Times New Roman" w:hAnsi="Times New Roman"/>
          <w:color w:val="000000" w:themeColor="text1"/>
        </w:rPr>
        <w:t>及其它含硫物质的脱除效果明显提高。</w:t>
      </w:r>
    </w:p>
    <w:p w14:paraId="7F75F5F2" w14:textId="77777777" w:rsidR="00B0005F" w:rsidRPr="008A2411" w:rsidRDefault="00000000">
      <w:pPr>
        <w:pStyle w:val="WJ"/>
        <w:ind w:firstLine="488"/>
        <w:rPr>
          <w:rFonts w:ascii="Times New Roman" w:hAnsi="Times New Roman"/>
          <w:color w:val="000000" w:themeColor="text1"/>
        </w:rPr>
      </w:pPr>
      <w:r w:rsidRPr="008A2411">
        <w:rPr>
          <w:rFonts w:ascii="Times New Roman" w:hAnsi="Times New Roman"/>
          <w:color w:val="000000" w:themeColor="text1"/>
          <w:spacing w:val="2"/>
          <w:szCs w:val="21"/>
        </w:rPr>
        <w:t>综上，本项目采用活性炭吸附处理含</w:t>
      </w:r>
      <w:r w:rsidRPr="008A2411">
        <w:rPr>
          <w:rFonts w:ascii="Times New Roman" w:hAnsi="Times New Roman"/>
          <w:color w:val="000000" w:themeColor="text1"/>
          <w:spacing w:val="2"/>
          <w:szCs w:val="21"/>
        </w:rPr>
        <w:t>H</w:t>
      </w:r>
      <w:r w:rsidRPr="008A2411">
        <w:rPr>
          <w:rFonts w:ascii="Times New Roman" w:hAnsi="Times New Roman"/>
          <w:color w:val="000000" w:themeColor="text1"/>
          <w:spacing w:val="2"/>
          <w:szCs w:val="21"/>
          <w:vertAlign w:val="subscript"/>
        </w:rPr>
        <w:t>2</w:t>
      </w:r>
      <w:r w:rsidRPr="008A2411">
        <w:rPr>
          <w:rFonts w:ascii="Times New Roman" w:hAnsi="Times New Roman"/>
          <w:color w:val="000000" w:themeColor="text1"/>
          <w:spacing w:val="2"/>
          <w:szCs w:val="21"/>
        </w:rPr>
        <w:t>S</w:t>
      </w:r>
      <w:r w:rsidRPr="008A2411">
        <w:rPr>
          <w:rFonts w:ascii="Times New Roman" w:hAnsi="Times New Roman"/>
          <w:color w:val="000000" w:themeColor="text1"/>
          <w:spacing w:val="2"/>
          <w:szCs w:val="21"/>
        </w:rPr>
        <w:t>废气是可行的。</w:t>
      </w:r>
      <w:r w:rsidRPr="008A2411">
        <w:rPr>
          <w:rFonts w:ascii="Times New Roman" w:hAnsi="Times New Roman"/>
          <w:color w:val="000000" w:themeColor="text1"/>
        </w:rPr>
        <w:t>随着吸附时间的延续，活性炭的吸附能力将下降，其有效部分将越来越薄，当活性炭全部达到饱和时，活性炭被穿透。为确保装置处理效率，当活性炭饱和度达到</w:t>
      </w:r>
      <w:r w:rsidRPr="008A2411">
        <w:rPr>
          <w:rFonts w:ascii="Times New Roman" w:hAnsi="Times New Roman"/>
          <w:color w:val="000000" w:themeColor="text1"/>
        </w:rPr>
        <w:t>80%</w:t>
      </w:r>
      <w:r w:rsidRPr="008A2411">
        <w:rPr>
          <w:rFonts w:ascii="Times New Roman" w:hAnsi="Times New Roman"/>
          <w:color w:val="000000" w:themeColor="text1"/>
        </w:rPr>
        <w:t>时对活性炭进行更替，更换的废活性炭作为危险废物，交由资质单位处置。</w:t>
      </w:r>
    </w:p>
    <w:bookmarkEnd w:id="607"/>
    <w:bookmarkEnd w:id="608"/>
    <w:p w14:paraId="6B695141" w14:textId="77777777" w:rsidR="00B0005F" w:rsidRPr="008A2411" w:rsidRDefault="00000000">
      <w:pPr>
        <w:pStyle w:val="WJ"/>
        <w:ind w:firstLine="488"/>
        <w:rPr>
          <w:rFonts w:ascii="Times New Roman" w:hAnsi="Times New Roman"/>
          <w:color w:val="000000" w:themeColor="text1"/>
          <w:spacing w:val="2"/>
          <w:szCs w:val="21"/>
        </w:rPr>
      </w:pPr>
      <w:r w:rsidRPr="008A2411">
        <w:rPr>
          <w:rFonts w:ascii="Times New Roman" w:hAnsi="Times New Roman"/>
          <w:color w:val="000000" w:themeColor="text1"/>
          <w:spacing w:val="2"/>
          <w:szCs w:val="21"/>
        </w:rPr>
        <w:t>二、停工排放</w:t>
      </w:r>
    </w:p>
    <w:p w14:paraId="425F0CB2" w14:textId="77777777" w:rsidR="00B0005F" w:rsidRPr="008A2411" w:rsidRDefault="00000000">
      <w:pPr>
        <w:pStyle w:val="WJ"/>
        <w:ind w:firstLine="488"/>
        <w:rPr>
          <w:rFonts w:ascii="Times New Roman" w:hAnsi="Times New Roman"/>
          <w:color w:val="000000" w:themeColor="text1"/>
          <w:spacing w:val="2"/>
          <w:szCs w:val="21"/>
        </w:rPr>
      </w:pPr>
      <w:r w:rsidRPr="008A2411">
        <w:rPr>
          <w:rFonts w:ascii="Times New Roman" w:hAnsi="Times New Roman"/>
          <w:color w:val="000000" w:themeColor="text1"/>
          <w:spacing w:val="2"/>
          <w:szCs w:val="21"/>
        </w:rPr>
        <w:t>当工厂停工检修时，切断上游气源，对液化生产等装置内的残余气体切换至厂内放空系统逐步密闭排放至放空火炬燃烧后排入大气。</w:t>
      </w:r>
    </w:p>
    <w:p w14:paraId="5376D9A9" w14:textId="77777777" w:rsidR="00B0005F" w:rsidRPr="008A2411" w:rsidRDefault="00000000">
      <w:pPr>
        <w:pStyle w:val="WJ"/>
        <w:ind w:firstLine="488"/>
        <w:rPr>
          <w:rFonts w:ascii="Times New Roman" w:hAnsi="Times New Roman"/>
          <w:color w:val="000000" w:themeColor="text1"/>
          <w:spacing w:val="2"/>
          <w:szCs w:val="21"/>
        </w:rPr>
      </w:pPr>
      <w:r w:rsidRPr="008A2411">
        <w:rPr>
          <w:rFonts w:ascii="Times New Roman" w:hAnsi="Times New Roman"/>
          <w:color w:val="000000" w:themeColor="text1"/>
          <w:spacing w:val="2"/>
          <w:szCs w:val="21"/>
        </w:rPr>
        <w:t>三、事故排放</w:t>
      </w:r>
    </w:p>
    <w:p w14:paraId="11890FCC" w14:textId="77777777" w:rsidR="00B0005F" w:rsidRPr="008A2411" w:rsidRDefault="00000000">
      <w:pPr>
        <w:pStyle w:val="WJ"/>
        <w:ind w:firstLine="488"/>
        <w:rPr>
          <w:rFonts w:ascii="Times New Roman" w:hAnsi="Times New Roman"/>
          <w:color w:val="000000" w:themeColor="text1"/>
          <w:spacing w:val="2"/>
          <w:szCs w:val="21"/>
        </w:rPr>
      </w:pPr>
      <w:r w:rsidRPr="008A2411">
        <w:rPr>
          <w:rFonts w:ascii="Times New Roman" w:hAnsi="Times New Roman"/>
          <w:color w:val="000000" w:themeColor="text1"/>
          <w:spacing w:val="2"/>
          <w:szCs w:val="21"/>
        </w:rPr>
        <w:t>由于工厂停电、设备故障或操作失误等原因可能导致紧急放空，易对环境造成污染。通过采用先进的集散型控制系统（</w:t>
      </w:r>
      <w:r w:rsidRPr="008A2411">
        <w:rPr>
          <w:rFonts w:ascii="Times New Roman" w:hAnsi="Times New Roman"/>
          <w:color w:val="000000" w:themeColor="text1"/>
          <w:spacing w:val="2"/>
          <w:szCs w:val="21"/>
        </w:rPr>
        <w:t>DCS</w:t>
      </w:r>
      <w:r w:rsidRPr="008A2411">
        <w:rPr>
          <w:rFonts w:ascii="Times New Roman" w:hAnsi="Times New Roman"/>
          <w:color w:val="000000" w:themeColor="text1"/>
          <w:spacing w:val="2"/>
          <w:szCs w:val="21"/>
        </w:rPr>
        <w:t>），对全站进行集中控制，将非正常排放可能性降低到最低程度。当发生非正常排放时，自动控制系统立即切断上游气源，尽可能减少排放气量，并将安全阀等排放气通过放空系统密闭引至放空火炬燃烧后排放，火炬采用先进的点火和控制系统，可实现操作室远程点火和现场就地点火，放空火炬</w:t>
      </w:r>
      <w:proofErr w:type="gramStart"/>
      <w:r w:rsidRPr="008A2411">
        <w:rPr>
          <w:rFonts w:ascii="Times New Roman" w:hAnsi="Times New Roman"/>
          <w:color w:val="000000" w:themeColor="text1"/>
          <w:spacing w:val="2"/>
          <w:szCs w:val="21"/>
        </w:rPr>
        <w:t>橇</w:t>
      </w:r>
      <w:proofErr w:type="gramEnd"/>
      <w:r w:rsidRPr="008A2411">
        <w:rPr>
          <w:rFonts w:ascii="Times New Roman" w:hAnsi="Times New Roman"/>
          <w:color w:val="000000" w:themeColor="text1"/>
          <w:spacing w:val="2"/>
          <w:szCs w:val="21"/>
        </w:rPr>
        <w:t>配一套高空点火器和一套地面点火器，从而减轻对环境的污染。</w:t>
      </w:r>
    </w:p>
    <w:p w14:paraId="522FD20F" w14:textId="77777777" w:rsidR="00B0005F" w:rsidRPr="008A2411" w:rsidRDefault="00000000">
      <w:pPr>
        <w:pStyle w:val="WJ"/>
        <w:rPr>
          <w:rFonts w:ascii="Times New Roman" w:hAnsi="Times New Roman"/>
          <w:color w:val="000000" w:themeColor="text1"/>
          <w:spacing w:val="2"/>
          <w:szCs w:val="21"/>
        </w:rPr>
      </w:pPr>
      <w:r w:rsidRPr="008A2411">
        <w:rPr>
          <w:rFonts w:ascii="Times New Roman" w:hAnsi="Times New Roman"/>
          <w:color w:val="000000" w:themeColor="text1"/>
        </w:rPr>
        <w:lastRenderedPageBreak/>
        <w:t>通过上述分析，本项目拟采取的大气污染防治措施均能有效降低废气对周围大气环境质量的影响，使废气做到达标排放，不对大气环境质量造成污染影响，采用的技术先进可靠，广泛应用于天然气站场的废气治理，因此</w:t>
      </w:r>
      <w:proofErr w:type="gramStart"/>
      <w:r w:rsidRPr="008A2411">
        <w:rPr>
          <w:rFonts w:ascii="Times New Roman" w:hAnsi="Times New Roman"/>
          <w:color w:val="000000" w:themeColor="text1"/>
        </w:rPr>
        <w:t>该污染</w:t>
      </w:r>
      <w:proofErr w:type="gramEnd"/>
      <w:r w:rsidRPr="008A2411">
        <w:rPr>
          <w:rFonts w:ascii="Times New Roman" w:hAnsi="Times New Roman"/>
          <w:color w:val="000000" w:themeColor="text1"/>
        </w:rPr>
        <w:t>防治措</w:t>
      </w:r>
      <w:r w:rsidRPr="008A2411">
        <w:rPr>
          <w:rFonts w:ascii="Times New Roman" w:hAnsi="Times New Roman"/>
          <w:color w:val="000000" w:themeColor="text1"/>
          <w:spacing w:val="2"/>
          <w:szCs w:val="21"/>
        </w:rPr>
        <w:t>施是可行的。</w:t>
      </w:r>
    </w:p>
    <w:p w14:paraId="0F9A7832" w14:textId="77777777" w:rsidR="00B0005F" w:rsidRPr="008A2411" w:rsidRDefault="00000000">
      <w:pPr>
        <w:pStyle w:val="WJ"/>
        <w:ind w:firstLine="488"/>
        <w:rPr>
          <w:rFonts w:ascii="Times New Roman" w:hAnsi="Times New Roman"/>
          <w:color w:val="000000" w:themeColor="text1"/>
          <w:spacing w:val="2"/>
          <w:szCs w:val="21"/>
        </w:rPr>
      </w:pPr>
      <w:r w:rsidRPr="008A2411">
        <w:rPr>
          <w:rFonts w:ascii="Times New Roman" w:hAnsi="Times New Roman"/>
          <w:color w:val="000000" w:themeColor="text1"/>
          <w:spacing w:val="2"/>
          <w:szCs w:val="21"/>
        </w:rPr>
        <w:t>四、无组织废气控制措施</w:t>
      </w:r>
    </w:p>
    <w:p w14:paraId="3401DB79" w14:textId="77777777" w:rsidR="00B0005F" w:rsidRPr="008A2411" w:rsidRDefault="00000000">
      <w:pPr>
        <w:pStyle w:val="WJ"/>
        <w:ind w:firstLine="488"/>
        <w:rPr>
          <w:rFonts w:ascii="Times New Roman" w:hAnsi="Times New Roman"/>
          <w:color w:val="000000" w:themeColor="text1"/>
          <w:spacing w:val="2"/>
          <w:szCs w:val="21"/>
        </w:rPr>
      </w:pPr>
      <w:r w:rsidRPr="008A2411">
        <w:rPr>
          <w:rFonts w:ascii="Times New Roman" w:hAnsi="Times New Roman"/>
          <w:color w:val="000000" w:themeColor="text1"/>
          <w:spacing w:val="2"/>
          <w:szCs w:val="21"/>
        </w:rPr>
        <w:t>本项目工艺中采用的阀门、设备等均采用密封性能好的设备；并加强设备与集气管线的环境管理，经常检查各密封部位及阀门阀杆处的气体泄漏情况，发现问题及时处理，严格控制无组织排放；</w:t>
      </w:r>
    </w:p>
    <w:p w14:paraId="464D8B78" w14:textId="77777777" w:rsidR="00B0005F" w:rsidRPr="008A2411" w:rsidRDefault="00000000">
      <w:pPr>
        <w:pStyle w:val="WJ"/>
        <w:ind w:firstLine="482"/>
        <w:rPr>
          <w:rFonts w:ascii="Times New Roman" w:hAnsi="Times New Roman"/>
          <w:b/>
          <w:bCs/>
          <w:color w:val="000000" w:themeColor="text1"/>
          <w:spacing w:val="2"/>
          <w:szCs w:val="21"/>
        </w:rPr>
      </w:pPr>
      <w:r w:rsidRPr="008A2411">
        <w:rPr>
          <w:rFonts w:ascii="Times New Roman" w:hAnsi="Times New Roman" w:hint="eastAsia"/>
          <w:b/>
          <w:bCs/>
          <w:color w:val="000000" w:themeColor="text1"/>
        </w:rPr>
        <w:t>综上所述，本</w:t>
      </w:r>
      <w:r w:rsidRPr="008A2411">
        <w:rPr>
          <w:rFonts w:ascii="Times New Roman" w:hAnsi="Times New Roman"/>
          <w:b/>
          <w:bCs/>
          <w:color w:val="000000" w:themeColor="text1"/>
        </w:rPr>
        <w:t>项目采用的无组织控制措施技术先进可靠，广泛应用于天然气液化生产站场的废气治理，减少了无组织废气的排放，且变为有组织排放</w:t>
      </w:r>
      <w:r w:rsidRPr="008A2411">
        <w:rPr>
          <w:rFonts w:ascii="Times New Roman" w:hAnsi="Times New Roman" w:hint="eastAsia"/>
          <w:b/>
          <w:bCs/>
          <w:color w:val="000000" w:themeColor="text1"/>
        </w:rPr>
        <w:t>，该类废气防治技术从技术角度合理可行。同时该类技术和装置市场应用广泛，价格合理，从经济角度上合理。</w:t>
      </w:r>
      <w:r w:rsidRPr="008A2411">
        <w:rPr>
          <w:rFonts w:ascii="Times New Roman" w:hAnsi="Times New Roman"/>
          <w:b/>
          <w:bCs/>
          <w:color w:val="000000" w:themeColor="text1"/>
        </w:rPr>
        <w:t>因此</w:t>
      </w:r>
      <w:proofErr w:type="gramStart"/>
      <w:r w:rsidRPr="008A2411">
        <w:rPr>
          <w:rFonts w:ascii="Times New Roman" w:hAnsi="Times New Roman"/>
          <w:b/>
          <w:bCs/>
          <w:color w:val="000000" w:themeColor="text1"/>
        </w:rPr>
        <w:t>该污染</w:t>
      </w:r>
      <w:proofErr w:type="gramEnd"/>
      <w:r w:rsidRPr="008A2411">
        <w:rPr>
          <w:rFonts w:ascii="Times New Roman" w:hAnsi="Times New Roman"/>
          <w:b/>
          <w:bCs/>
          <w:color w:val="000000" w:themeColor="text1"/>
        </w:rPr>
        <w:t>防治措</w:t>
      </w:r>
      <w:r w:rsidRPr="008A2411">
        <w:rPr>
          <w:rFonts w:ascii="Times New Roman" w:hAnsi="Times New Roman"/>
          <w:b/>
          <w:bCs/>
          <w:color w:val="000000" w:themeColor="text1"/>
          <w:spacing w:val="2"/>
          <w:szCs w:val="21"/>
        </w:rPr>
        <w:t>施是可行的。</w:t>
      </w:r>
    </w:p>
    <w:p w14:paraId="27EC649E" w14:textId="77777777" w:rsidR="00B0005F" w:rsidRPr="008A2411" w:rsidRDefault="00000000">
      <w:pPr>
        <w:pStyle w:val="WJ3"/>
        <w:outlineLvl w:val="1"/>
        <w:rPr>
          <w:rFonts w:ascii="Times New Roman" w:hAnsi="Times New Roman"/>
          <w:b w:val="0"/>
          <w:bCs/>
          <w:color w:val="000000" w:themeColor="text1"/>
          <w:sz w:val="28"/>
          <w:szCs w:val="28"/>
        </w:rPr>
      </w:pPr>
      <w:bookmarkStart w:id="609" w:name="_Toc405904919"/>
      <w:bookmarkStart w:id="610" w:name="_Toc405905391"/>
      <w:bookmarkStart w:id="611" w:name="_Toc422906933"/>
      <w:bookmarkStart w:id="612" w:name="_Toc405904575"/>
      <w:bookmarkStart w:id="613" w:name="_Toc319852989"/>
      <w:bookmarkStart w:id="614" w:name="_Toc312870430"/>
      <w:bookmarkStart w:id="615" w:name="_Toc405214324"/>
      <w:bookmarkStart w:id="616" w:name="_Toc109170788"/>
      <w:r w:rsidRPr="008A2411">
        <w:rPr>
          <w:rFonts w:ascii="Times New Roman" w:hAnsi="Times New Roman"/>
          <w:b w:val="0"/>
          <w:bCs/>
          <w:color w:val="000000" w:themeColor="text1"/>
          <w:sz w:val="28"/>
          <w:szCs w:val="28"/>
        </w:rPr>
        <w:t xml:space="preserve">7.2 </w:t>
      </w:r>
      <w:r w:rsidRPr="008A2411">
        <w:rPr>
          <w:rFonts w:ascii="Times New Roman" w:hAnsi="Times New Roman"/>
          <w:b w:val="0"/>
          <w:bCs/>
          <w:color w:val="000000" w:themeColor="text1"/>
          <w:sz w:val="28"/>
          <w:szCs w:val="28"/>
        </w:rPr>
        <w:t>废水污染防治措施</w:t>
      </w:r>
      <w:bookmarkEnd w:id="609"/>
      <w:bookmarkEnd w:id="610"/>
      <w:bookmarkEnd w:id="611"/>
      <w:bookmarkEnd w:id="612"/>
      <w:bookmarkEnd w:id="613"/>
      <w:bookmarkEnd w:id="614"/>
      <w:bookmarkEnd w:id="615"/>
      <w:bookmarkEnd w:id="616"/>
    </w:p>
    <w:p w14:paraId="32DCDC10" w14:textId="77777777" w:rsidR="00B0005F" w:rsidRPr="008A2411" w:rsidRDefault="00000000">
      <w:pPr>
        <w:pStyle w:val="WJ"/>
        <w:ind w:firstLineChars="0" w:firstLine="0"/>
        <w:outlineLvl w:val="2"/>
        <w:rPr>
          <w:rFonts w:ascii="Times New Roman" w:eastAsia="黑体" w:hAnsi="Times New Roman"/>
          <w:b/>
          <w:color w:val="000000" w:themeColor="text1"/>
          <w:kern w:val="0"/>
          <w:lang w:bidi="en-US"/>
        </w:rPr>
      </w:pPr>
      <w:r w:rsidRPr="008A2411">
        <w:rPr>
          <w:rFonts w:ascii="Times New Roman" w:eastAsia="黑体" w:hAnsi="Times New Roman"/>
          <w:b/>
          <w:color w:val="000000" w:themeColor="text1"/>
          <w:kern w:val="0"/>
          <w:lang w:bidi="en-US"/>
        </w:rPr>
        <w:t xml:space="preserve">7.2.1 </w:t>
      </w:r>
      <w:r w:rsidRPr="008A2411">
        <w:rPr>
          <w:rFonts w:ascii="Times New Roman" w:eastAsia="黑体" w:hAnsi="Times New Roman"/>
          <w:b/>
          <w:color w:val="000000" w:themeColor="text1"/>
          <w:kern w:val="0"/>
          <w:lang w:bidi="en-US"/>
        </w:rPr>
        <w:t>施工期</w:t>
      </w:r>
    </w:p>
    <w:p w14:paraId="5DF32368"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本项目施工作业时间短，施工人员约</w:t>
      </w:r>
      <w:r w:rsidRPr="008A2411">
        <w:rPr>
          <w:rFonts w:ascii="Times New Roman" w:hAnsi="Times New Roman" w:hint="eastAsia"/>
          <w:color w:val="000000" w:themeColor="text1"/>
        </w:rPr>
        <w:t>10</w:t>
      </w:r>
      <w:r w:rsidRPr="008A2411">
        <w:rPr>
          <w:rFonts w:ascii="Times New Roman" w:hAnsi="Times New Roman"/>
          <w:color w:val="000000" w:themeColor="text1"/>
        </w:rPr>
        <w:t>0</w:t>
      </w:r>
      <w:r w:rsidRPr="008A2411">
        <w:rPr>
          <w:rFonts w:ascii="Times New Roman" w:hAnsi="Times New Roman"/>
          <w:color w:val="000000" w:themeColor="text1"/>
        </w:rPr>
        <w:t>人，日排放生活污水约为</w:t>
      </w:r>
      <w:r w:rsidRPr="008A2411">
        <w:rPr>
          <w:rFonts w:ascii="Times New Roman" w:hAnsi="Times New Roman" w:hint="eastAsia"/>
          <w:color w:val="000000" w:themeColor="text1"/>
        </w:rPr>
        <w:t>6.8</w:t>
      </w:r>
      <w:r w:rsidRPr="008A2411">
        <w:rPr>
          <w:rFonts w:ascii="Times New Roman" w:hAnsi="Times New Roman"/>
          <w:color w:val="000000" w:themeColor="text1"/>
        </w:rPr>
        <w:t>m</w:t>
      </w:r>
      <w:r w:rsidRPr="008A2411">
        <w:rPr>
          <w:rFonts w:ascii="Times New Roman" w:hAnsi="Times New Roman"/>
          <w:color w:val="000000" w:themeColor="text1"/>
          <w:vertAlign w:val="superscript"/>
        </w:rPr>
        <w:t>3</w:t>
      </w:r>
      <w:r w:rsidRPr="008A2411">
        <w:rPr>
          <w:rFonts w:ascii="Times New Roman" w:hAnsi="Times New Roman"/>
          <w:color w:val="000000" w:themeColor="text1"/>
        </w:rPr>
        <w:t>/d</w:t>
      </w:r>
      <w:r w:rsidRPr="008A2411">
        <w:rPr>
          <w:rFonts w:ascii="Times New Roman" w:hAnsi="Times New Roman"/>
          <w:color w:val="000000" w:themeColor="text1"/>
        </w:rPr>
        <w:t>，由于施工人员均在地方乡镇食宿，故生活污水</w:t>
      </w:r>
      <w:r w:rsidRPr="008A2411">
        <w:rPr>
          <w:rFonts w:ascii="Times New Roman" w:hAnsi="Times New Roman"/>
          <w:color w:val="000000" w:themeColor="text1"/>
          <w:lang w:bidi="en-US"/>
        </w:rPr>
        <w:t>由乡镇已有设施收集后作为农肥使用</w:t>
      </w:r>
    </w:p>
    <w:p w14:paraId="53A24591"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综上所述，项目施工期不会对周围地表水环境质量造成污染，故其施工废水污染防治措施是可行的。</w:t>
      </w:r>
    </w:p>
    <w:p w14:paraId="13539E06" w14:textId="77777777" w:rsidR="00B0005F" w:rsidRPr="008A2411" w:rsidRDefault="00000000">
      <w:pPr>
        <w:pStyle w:val="WJ"/>
        <w:ind w:firstLineChars="0" w:firstLine="0"/>
        <w:outlineLvl w:val="2"/>
        <w:rPr>
          <w:rFonts w:ascii="Times New Roman" w:eastAsia="黑体" w:hAnsi="Times New Roman"/>
          <w:b/>
          <w:color w:val="000000" w:themeColor="text1"/>
          <w:kern w:val="0"/>
          <w:lang w:bidi="en-US"/>
        </w:rPr>
      </w:pPr>
      <w:r w:rsidRPr="008A2411">
        <w:rPr>
          <w:rFonts w:ascii="Times New Roman" w:eastAsia="黑体" w:hAnsi="Times New Roman"/>
          <w:b/>
          <w:color w:val="000000" w:themeColor="text1"/>
          <w:kern w:val="0"/>
          <w:lang w:bidi="en-US"/>
        </w:rPr>
        <w:t xml:space="preserve">7.2.2 </w:t>
      </w:r>
      <w:r w:rsidRPr="008A2411">
        <w:rPr>
          <w:rFonts w:ascii="Times New Roman" w:eastAsia="黑体" w:hAnsi="Times New Roman"/>
          <w:b/>
          <w:color w:val="000000" w:themeColor="text1"/>
          <w:kern w:val="0"/>
          <w:lang w:bidi="en-US"/>
        </w:rPr>
        <w:t>运营期</w:t>
      </w:r>
    </w:p>
    <w:p w14:paraId="09E21790"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一、运营期废水产生、收集及处置情况</w:t>
      </w:r>
    </w:p>
    <w:p w14:paraId="41AE9873" w14:textId="77777777" w:rsidR="00B0005F" w:rsidRPr="008A2411" w:rsidRDefault="00000000">
      <w:pPr>
        <w:pStyle w:val="WJ"/>
        <w:rPr>
          <w:rFonts w:ascii="Times New Roman" w:hAnsi="Times New Roman"/>
          <w:bCs/>
          <w:color w:val="000000" w:themeColor="text1"/>
        </w:rPr>
      </w:pPr>
      <w:r w:rsidRPr="008A2411">
        <w:rPr>
          <w:rFonts w:ascii="Times New Roman" w:hAnsi="Times New Roman"/>
          <w:bCs/>
          <w:color w:val="000000" w:themeColor="text1"/>
        </w:rPr>
        <w:t>根据工程分析可知，</w:t>
      </w:r>
      <w:r w:rsidRPr="008A2411">
        <w:rPr>
          <w:rFonts w:ascii="Times New Roman" w:hAnsi="Times New Roman"/>
          <w:color w:val="000000" w:themeColor="text1"/>
        </w:rPr>
        <w:t>本项目运营期产生的生产废水主要包括进口过滤分离器废水、冷却器产生的凝液、脱盐间排水及软化水装置排水及值守人员产生的生活污水，以及初期雨水，</w:t>
      </w:r>
      <w:r w:rsidRPr="008A2411">
        <w:rPr>
          <w:rFonts w:ascii="Times New Roman" w:hAnsi="Times New Roman"/>
          <w:bCs/>
          <w:color w:val="000000" w:themeColor="text1"/>
        </w:rPr>
        <w:t>具体情况见下表：</w:t>
      </w:r>
    </w:p>
    <w:p w14:paraId="621B42E6" w14:textId="77777777" w:rsidR="00B0005F" w:rsidRPr="008A2411" w:rsidRDefault="00000000">
      <w:pPr>
        <w:jc w:val="center"/>
        <w:rPr>
          <w:rFonts w:ascii="Times New Roman"/>
          <w:b/>
          <w:color w:val="000000" w:themeColor="text1"/>
        </w:rPr>
      </w:pPr>
      <w:r w:rsidRPr="008A2411">
        <w:rPr>
          <w:rFonts w:ascii="Times New Roman"/>
          <w:b/>
          <w:color w:val="000000" w:themeColor="text1"/>
        </w:rPr>
        <w:t>表</w:t>
      </w:r>
      <w:r w:rsidRPr="008A2411">
        <w:rPr>
          <w:rFonts w:ascii="Times New Roman"/>
          <w:b/>
          <w:color w:val="000000" w:themeColor="text1"/>
        </w:rPr>
        <w:t xml:space="preserve">7.2-1  </w:t>
      </w:r>
      <w:r w:rsidRPr="008A2411">
        <w:rPr>
          <w:rFonts w:ascii="Times New Roman"/>
          <w:b/>
          <w:color w:val="000000" w:themeColor="text1"/>
        </w:rPr>
        <w:t>工程的废水产生情况表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4"/>
        <w:gridCol w:w="828"/>
        <w:gridCol w:w="1512"/>
        <w:gridCol w:w="2333"/>
        <w:gridCol w:w="2096"/>
        <w:gridCol w:w="1115"/>
      </w:tblGrid>
      <w:tr w:rsidR="008A2411" w:rsidRPr="008A2411" w14:paraId="335E5F12" w14:textId="77777777">
        <w:tc>
          <w:tcPr>
            <w:tcW w:w="377" w:type="pct"/>
            <w:shd w:val="clear" w:color="auto" w:fill="auto"/>
            <w:vAlign w:val="center"/>
          </w:tcPr>
          <w:p w14:paraId="4AE26A90" w14:textId="77777777" w:rsidR="00B0005F" w:rsidRPr="008A2411" w:rsidRDefault="00000000">
            <w:pPr>
              <w:spacing w:line="280" w:lineRule="exact"/>
              <w:jc w:val="center"/>
              <w:rPr>
                <w:rFonts w:ascii="Times New Roman"/>
                <w:b/>
                <w:color w:val="000000" w:themeColor="text1"/>
                <w:sz w:val="21"/>
                <w:szCs w:val="21"/>
              </w:rPr>
            </w:pPr>
            <w:r w:rsidRPr="008A2411">
              <w:rPr>
                <w:rFonts w:ascii="Times New Roman"/>
                <w:b/>
                <w:color w:val="000000" w:themeColor="text1"/>
                <w:sz w:val="21"/>
                <w:szCs w:val="21"/>
              </w:rPr>
              <w:t>装置名称</w:t>
            </w:r>
          </w:p>
        </w:tc>
        <w:tc>
          <w:tcPr>
            <w:tcW w:w="485" w:type="pct"/>
            <w:shd w:val="clear" w:color="auto" w:fill="auto"/>
            <w:vAlign w:val="center"/>
          </w:tcPr>
          <w:p w14:paraId="6B1EFD90" w14:textId="77777777" w:rsidR="00B0005F" w:rsidRPr="008A2411" w:rsidRDefault="00000000">
            <w:pPr>
              <w:spacing w:line="280" w:lineRule="exact"/>
              <w:jc w:val="center"/>
              <w:rPr>
                <w:rFonts w:ascii="Times New Roman"/>
                <w:b/>
                <w:color w:val="000000" w:themeColor="text1"/>
                <w:sz w:val="21"/>
                <w:szCs w:val="21"/>
              </w:rPr>
            </w:pPr>
            <w:r w:rsidRPr="008A2411">
              <w:rPr>
                <w:rFonts w:ascii="Times New Roman"/>
                <w:b/>
                <w:color w:val="000000" w:themeColor="text1"/>
                <w:sz w:val="21"/>
                <w:szCs w:val="21"/>
              </w:rPr>
              <w:t>编号</w:t>
            </w:r>
          </w:p>
        </w:tc>
        <w:tc>
          <w:tcPr>
            <w:tcW w:w="886" w:type="pct"/>
            <w:shd w:val="clear" w:color="auto" w:fill="auto"/>
            <w:vAlign w:val="center"/>
          </w:tcPr>
          <w:p w14:paraId="1EF262B1" w14:textId="77777777" w:rsidR="00B0005F" w:rsidRPr="008A2411" w:rsidRDefault="00000000">
            <w:pPr>
              <w:spacing w:line="280" w:lineRule="exact"/>
              <w:jc w:val="center"/>
              <w:rPr>
                <w:rFonts w:ascii="Times New Roman"/>
                <w:b/>
                <w:color w:val="000000" w:themeColor="text1"/>
                <w:sz w:val="21"/>
                <w:szCs w:val="21"/>
              </w:rPr>
            </w:pPr>
            <w:r w:rsidRPr="008A2411">
              <w:rPr>
                <w:rFonts w:ascii="Times New Roman"/>
                <w:b/>
                <w:color w:val="000000" w:themeColor="text1"/>
                <w:sz w:val="21"/>
                <w:szCs w:val="21"/>
              </w:rPr>
              <w:t>废水名称</w:t>
            </w:r>
          </w:p>
        </w:tc>
        <w:tc>
          <w:tcPr>
            <w:tcW w:w="1367" w:type="pct"/>
            <w:shd w:val="clear" w:color="auto" w:fill="auto"/>
            <w:vAlign w:val="center"/>
          </w:tcPr>
          <w:p w14:paraId="53C0F0FF" w14:textId="77777777" w:rsidR="00B0005F" w:rsidRPr="008A2411" w:rsidRDefault="00000000">
            <w:pPr>
              <w:spacing w:line="280" w:lineRule="exact"/>
              <w:jc w:val="center"/>
              <w:rPr>
                <w:rFonts w:ascii="Times New Roman"/>
                <w:b/>
                <w:color w:val="000000" w:themeColor="text1"/>
                <w:sz w:val="21"/>
                <w:szCs w:val="21"/>
              </w:rPr>
            </w:pPr>
            <w:r w:rsidRPr="008A2411">
              <w:rPr>
                <w:rFonts w:ascii="Times New Roman"/>
                <w:b/>
                <w:color w:val="000000" w:themeColor="text1"/>
                <w:sz w:val="21"/>
                <w:szCs w:val="21"/>
              </w:rPr>
              <w:t>产生情况</w:t>
            </w:r>
          </w:p>
        </w:tc>
        <w:tc>
          <w:tcPr>
            <w:tcW w:w="1229" w:type="pct"/>
            <w:shd w:val="clear" w:color="auto" w:fill="auto"/>
            <w:vAlign w:val="center"/>
          </w:tcPr>
          <w:p w14:paraId="5853107A" w14:textId="77777777" w:rsidR="00B0005F" w:rsidRPr="008A2411" w:rsidRDefault="00000000">
            <w:pPr>
              <w:spacing w:line="280" w:lineRule="exact"/>
              <w:jc w:val="center"/>
              <w:rPr>
                <w:rFonts w:ascii="Times New Roman"/>
                <w:b/>
                <w:color w:val="000000" w:themeColor="text1"/>
                <w:sz w:val="21"/>
                <w:szCs w:val="21"/>
              </w:rPr>
            </w:pPr>
            <w:r w:rsidRPr="008A2411">
              <w:rPr>
                <w:rFonts w:ascii="Times New Roman"/>
                <w:b/>
                <w:color w:val="000000" w:themeColor="text1"/>
                <w:sz w:val="21"/>
                <w:szCs w:val="21"/>
              </w:rPr>
              <w:t>治理措施</w:t>
            </w:r>
          </w:p>
        </w:tc>
        <w:tc>
          <w:tcPr>
            <w:tcW w:w="654" w:type="pct"/>
            <w:shd w:val="clear" w:color="auto" w:fill="auto"/>
            <w:vAlign w:val="center"/>
          </w:tcPr>
          <w:p w14:paraId="05AC0592" w14:textId="77777777" w:rsidR="00B0005F" w:rsidRPr="008A2411" w:rsidRDefault="00000000">
            <w:pPr>
              <w:spacing w:line="280" w:lineRule="exact"/>
              <w:jc w:val="center"/>
              <w:rPr>
                <w:rFonts w:ascii="Times New Roman"/>
                <w:b/>
                <w:color w:val="000000" w:themeColor="text1"/>
                <w:sz w:val="21"/>
                <w:szCs w:val="21"/>
              </w:rPr>
            </w:pPr>
            <w:r w:rsidRPr="008A2411">
              <w:rPr>
                <w:rFonts w:ascii="Times New Roman"/>
                <w:b/>
                <w:color w:val="000000" w:themeColor="text1"/>
                <w:sz w:val="21"/>
                <w:szCs w:val="21"/>
              </w:rPr>
              <w:t>排放情况</w:t>
            </w:r>
          </w:p>
        </w:tc>
      </w:tr>
      <w:tr w:rsidR="008A2411" w:rsidRPr="008A2411" w14:paraId="716A0DB1" w14:textId="77777777">
        <w:trPr>
          <w:trHeight w:val="90"/>
        </w:trPr>
        <w:tc>
          <w:tcPr>
            <w:tcW w:w="377" w:type="pct"/>
            <w:vMerge w:val="restart"/>
            <w:shd w:val="clear" w:color="auto" w:fill="auto"/>
            <w:vAlign w:val="center"/>
          </w:tcPr>
          <w:p w14:paraId="467215BF"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工艺装置</w:t>
            </w:r>
          </w:p>
        </w:tc>
        <w:tc>
          <w:tcPr>
            <w:tcW w:w="485" w:type="pct"/>
            <w:shd w:val="clear" w:color="auto" w:fill="auto"/>
            <w:vAlign w:val="center"/>
          </w:tcPr>
          <w:p w14:paraId="21B922EB"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W</w:t>
            </w:r>
            <w:r w:rsidRPr="008A2411">
              <w:rPr>
                <w:rFonts w:ascii="Times New Roman"/>
                <w:color w:val="000000" w:themeColor="text1"/>
                <w:sz w:val="21"/>
                <w:szCs w:val="21"/>
                <w:vertAlign w:val="subscript"/>
              </w:rPr>
              <w:t>1</w:t>
            </w:r>
          </w:p>
        </w:tc>
        <w:tc>
          <w:tcPr>
            <w:tcW w:w="886" w:type="pct"/>
            <w:shd w:val="clear" w:color="auto" w:fill="auto"/>
            <w:vAlign w:val="center"/>
          </w:tcPr>
          <w:p w14:paraId="567D65BD"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进口分离器废水</w:t>
            </w:r>
          </w:p>
        </w:tc>
        <w:tc>
          <w:tcPr>
            <w:tcW w:w="1367" w:type="pct"/>
            <w:shd w:val="clear" w:color="auto" w:fill="auto"/>
            <w:vAlign w:val="center"/>
          </w:tcPr>
          <w:p w14:paraId="23B4F1BB"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连续；</w:t>
            </w:r>
            <w:r w:rsidRPr="008A2411">
              <w:rPr>
                <w:rFonts w:ascii="Times New Roman"/>
                <w:color w:val="000000" w:themeColor="text1"/>
                <w:sz w:val="21"/>
                <w:szCs w:val="21"/>
              </w:rPr>
              <w:t>0.2m</w:t>
            </w:r>
            <w:r w:rsidRPr="008A2411">
              <w:rPr>
                <w:rFonts w:ascii="Times New Roman"/>
                <w:color w:val="000000" w:themeColor="text1"/>
                <w:sz w:val="21"/>
                <w:szCs w:val="21"/>
                <w:vertAlign w:val="superscript"/>
              </w:rPr>
              <w:t>3</w:t>
            </w:r>
            <w:r w:rsidRPr="008A2411">
              <w:rPr>
                <w:rFonts w:ascii="Times New Roman"/>
                <w:color w:val="000000" w:themeColor="text1"/>
                <w:sz w:val="21"/>
                <w:szCs w:val="21"/>
              </w:rPr>
              <w:t>/d</w:t>
            </w:r>
          </w:p>
          <w:p w14:paraId="6FAA6640"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CODcr</w:t>
            </w:r>
            <w:r w:rsidRPr="008A2411">
              <w:rPr>
                <w:rFonts w:ascii="Times New Roman"/>
                <w:color w:val="000000" w:themeColor="text1"/>
                <w:sz w:val="21"/>
                <w:szCs w:val="21"/>
              </w:rPr>
              <w:t>：</w:t>
            </w:r>
            <w:r w:rsidRPr="008A2411">
              <w:rPr>
                <w:rFonts w:ascii="Times New Roman"/>
                <w:color w:val="000000" w:themeColor="text1"/>
                <w:sz w:val="21"/>
                <w:szCs w:val="21"/>
              </w:rPr>
              <w:t>350mg/L</w:t>
            </w:r>
          </w:p>
          <w:p w14:paraId="7721A4DA"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SS</w:t>
            </w:r>
            <w:r w:rsidRPr="008A2411">
              <w:rPr>
                <w:rFonts w:ascii="Times New Roman"/>
                <w:color w:val="000000" w:themeColor="text1"/>
                <w:sz w:val="21"/>
                <w:szCs w:val="21"/>
              </w:rPr>
              <w:t>：</w:t>
            </w:r>
            <w:r w:rsidRPr="008A2411">
              <w:rPr>
                <w:rFonts w:ascii="Times New Roman"/>
                <w:color w:val="000000" w:themeColor="text1"/>
                <w:sz w:val="21"/>
                <w:szCs w:val="21"/>
              </w:rPr>
              <w:t>100mg/L</w:t>
            </w:r>
          </w:p>
          <w:p w14:paraId="60BE25EC"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石油类：</w:t>
            </w:r>
            <w:r w:rsidRPr="008A2411">
              <w:rPr>
                <w:rFonts w:ascii="Times New Roman"/>
                <w:color w:val="000000" w:themeColor="text1"/>
                <w:sz w:val="21"/>
                <w:szCs w:val="21"/>
              </w:rPr>
              <w:t>10</w:t>
            </w:r>
            <w:r w:rsidRPr="008A2411">
              <w:rPr>
                <w:rFonts w:ascii="Times New Roman"/>
                <w:color w:val="000000" w:themeColor="text1"/>
                <w:sz w:val="21"/>
                <w:szCs w:val="21"/>
              </w:rPr>
              <w:t>～</w:t>
            </w:r>
            <w:r w:rsidRPr="008A2411">
              <w:rPr>
                <w:rFonts w:ascii="Times New Roman"/>
                <w:color w:val="000000" w:themeColor="text1"/>
                <w:sz w:val="21"/>
                <w:szCs w:val="21"/>
              </w:rPr>
              <w:t>100mg/L</w:t>
            </w:r>
          </w:p>
        </w:tc>
        <w:tc>
          <w:tcPr>
            <w:tcW w:w="1229" w:type="pct"/>
            <w:vMerge w:val="restart"/>
            <w:shd w:val="clear" w:color="auto" w:fill="auto"/>
            <w:vAlign w:val="center"/>
          </w:tcPr>
          <w:p w14:paraId="79C1A9C5"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排入厂区污水处理站预处理达到《污水综合排放标准》</w:t>
            </w:r>
            <w:r w:rsidRPr="008A2411">
              <w:rPr>
                <w:rFonts w:ascii="Times New Roman"/>
                <w:color w:val="000000" w:themeColor="text1"/>
                <w:sz w:val="21"/>
                <w:szCs w:val="21"/>
              </w:rPr>
              <w:t>GB8978-1996</w:t>
            </w:r>
            <w:proofErr w:type="gramStart"/>
            <w:r w:rsidRPr="008A2411">
              <w:rPr>
                <w:rFonts w:ascii="Times New Roman"/>
                <w:color w:val="000000" w:themeColor="text1"/>
                <w:sz w:val="21"/>
                <w:szCs w:val="21"/>
              </w:rPr>
              <w:t>三</w:t>
            </w:r>
            <w:proofErr w:type="gramEnd"/>
            <w:r w:rsidRPr="008A2411">
              <w:rPr>
                <w:rFonts w:ascii="Times New Roman"/>
                <w:color w:val="000000" w:themeColor="text1"/>
                <w:sz w:val="21"/>
                <w:szCs w:val="21"/>
              </w:rPr>
              <w:t>级标</w:t>
            </w:r>
            <w:r w:rsidRPr="008A2411">
              <w:rPr>
                <w:rFonts w:ascii="Times New Roman"/>
                <w:color w:val="000000" w:themeColor="text1"/>
                <w:sz w:val="21"/>
                <w:szCs w:val="21"/>
              </w:rPr>
              <w:lastRenderedPageBreak/>
              <w:t>准，排入园区污水处理厂</w:t>
            </w:r>
          </w:p>
        </w:tc>
        <w:tc>
          <w:tcPr>
            <w:tcW w:w="654" w:type="pct"/>
            <w:vMerge w:val="restart"/>
            <w:shd w:val="clear" w:color="auto" w:fill="auto"/>
            <w:vAlign w:val="center"/>
          </w:tcPr>
          <w:p w14:paraId="159ADF02" w14:textId="77777777" w:rsidR="00B0005F" w:rsidRPr="008A2411" w:rsidRDefault="00000000">
            <w:pPr>
              <w:spacing w:line="280" w:lineRule="exact"/>
              <w:rPr>
                <w:rFonts w:ascii="Times New Roman"/>
                <w:color w:val="000000" w:themeColor="text1"/>
                <w:sz w:val="21"/>
                <w:szCs w:val="21"/>
              </w:rPr>
            </w:pPr>
            <w:r w:rsidRPr="008A2411">
              <w:rPr>
                <w:rFonts w:ascii="Times New Roman"/>
                <w:color w:val="000000" w:themeColor="text1"/>
                <w:sz w:val="21"/>
                <w:szCs w:val="21"/>
              </w:rPr>
              <w:lastRenderedPageBreak/>
              <w:t>排入园区管网</w:t>
            </w:r>
          </w:p>
        </w:tc>
      </w:tr>
      <w:tr w:rsidR="008A2411" w:rsidRPr="008A2411" w14:paraId="5157F178" w14:textId="77777777">
        <w:trPr>
          <w:trHeight w:val="1020"/>
        </w:trPr>
        <w:tc>
          <w:tcPr>
            <w:tcW w:w="377" w:type="pct"/>
            <w:vMerge/>
            <w:shd w:val="clear" w:color="auto" w:fill="auto"/>
            <w:vAlign w:val="center"/>
          </w:tcPr>
          <w:p w14:paraId="0C9C2176" w14:textId="77777777" w:rsidR="00B0005F" w:rsidRPr="008A2411" w:rsidRDefault="00B0005F">
            <w:pPr>
              <w:spacing w:line="280" w:lineRule="exact"/>
              <w:jc w:val="center"/>
              <w:rPr>
                <w:rFonts w:ascii="Times New Roman"/>
                <w:color w:val="000000" w:themeColor="text1"/>
                <w:sz w:val="21"/>
                <w:szCs w:val="21"/>
              </w:rPr>
            </w:pPr>
          </w:p>
        </w:tc>
        <w:tc>
          <w:tcPr>
            <w:tcW w:w="485" w:type="pct"/>
            <w:shd w:val="clear" w:color="auto" w:fill="auto"/>
            <w:vAlign w:val="center"/>
          </w:tcPr>
          <w:p w14:paraId="5CBC5D8B"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W</w:t>
            </w:r>
            <w:r w:rsidRPr="008A2411">
              <w:rPr>
                <w:rFonts w:ascii="Times New Roman"/>
                <w:color w:val="000000" w:themeColor="text1"/>
                <w:sz w:val="21"/>
                <w:szCs w:val="21"/>
                <w:vertAlign w:val="subscript"/>
              </w:rPr>
              <w:t>2</w:t>
            </w:r>
          </w:p>
        </w:tc>
        <w:tc>
          <w:tcPr>
            <w:tcW w:w="886" w:type="pct"/>
            <w:shd w:val="clear" w:color="auto" w:fill="auto"/>
            <w:vAlign w:val="center"/>
          </w:tcPr>
          <w:p w14:paraId="415D87BF"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kern w:val="2"/>
                <w:sz w:val="21"/>
                <w:szCs w:val="21"/>
              </w:rPr>
              <w:t>脱水再生器冷却器凝液</w:t>
            </w:r>
          </w:p>
        </w:tc>
        <w:tc>
          <w:tcPr>
            <w:tcW w:w="1367" w:type="pct"/>
            <w:shd w:val="clear" w:color="auto" w:fill="auto"/>
            <w:vAlign w:val="center"/>
          </w:tcPr>
          <w:p w14:paraId="3C2D7398"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连续；</w:t>
            </w:r>
            <w:r w:rsidRPr="008A2411">
              <w:rPr>
                <w:rFonts w:ascii="Times New Roman"/>
                <w:color w:val="000000" w:themeColor="text1"/>
                <w:sz w:val="21"/>
                <w:szCs w:val="21"/>
              </w:rPr>
              <w:t>1.2m</w:t>
            </w:r>
            <w:r w:rsidRPr="008A2411">
              <w:rPr>
                <w:rFonts w:ascii="Times New Roman"/>
                <w:color w:val="000000" w:themeColor="text1"/>
                <w:sz w:val="21"/>
                <w:szCs w:val="21"/>
                <w:vertAlign w:val="superscript"/>
              </w:rPr>
              <w:t>3</w:t>
            </w:r>
            <w:r w:rsidRPr="008A2411">
              <w:rPr>
                <w:rFonts w:ascii="Times New Roman"/>
                <w:color w:val="000000" w:themeColor="text1"/>
                <w:sz w:val="21"/>
                <w:szCs w:val="21"/>
              </w:rPr>
              <w:t>/d</w:t>
            </w:r>
          </w:p>
          <w:p w14:paraId="36B85374"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CODcr</w:t>
            </w:r>
            <w:r w:rsidRPr="008A2411">
              <w:rPr>
                <w:rFonts w:ascii="Times New Roman"/>
                <w:color w:val="000000" w:themeColor="text1"/>
                <w:sz w:val="21"/>
                <w:szCs w:val="21"/>
              </w:rPr>
              <w:t>：</w:t>
            </w:r>
            <w:r w:rsidRPr="008A2411">
              <w:rPr>
                <w:rFonts w:ascii="Times New Roman"/>
                <w:color w:val="000000" w:themeColor="text1"/>
                <w:sz w:val="21"/>
                <w:szCs w:val="21"/>
              </w:rPr>
              <w:t>350mg/L</w:t>
            </w:r>
          </w:p>
          <w:p w14:paraId="58665CAF"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石油类：</w:t>
            </w:r>
            <w:r w:rsidRPr="008A2411">
              <w:rPr>
                <w:rFonts w:ascii="Times New Roman"/>
                <w:color w:val="000000" w:themeColor="text1"/>
                <w:sz w:val="21"/>
                <w:szCs w:val="21"/>
              </w:rPr>
              <w:t>10</w:t>
            </w:r>
            <w:r w:rsidRPr="008A2411">
              <w:rPr>
                <w:rFonts w:ascii="Times New Roman"/>
                <w:color w:val="000000" w:themeColor="text1"/>
                <w:sz w:val="21"/>
                <w:szCs w:val="21"/>
              </w:rPr>
              <w:t>～</w:t>
            </w:r>
            <w:r w:rsidRPr="008A2411">
              <w:rPr>
                <w:rFonts w:ascii="Times New Roman"/>
                <w:color w:val="000000" w:themeColor="text1"/>
                <w:sz w:val="21"/>
                <w:szCs w:val="21"/>
              </w:rPr>
              <w:t>100mg/L</w:t>
            </w:r>
          </w:p>
        </w:tc>
        <w:tc>
          <w:tcPr>
            <w:tcW w:w="1229" w:type="pct"/>
            <w:vMerge/>
            <w:shd w:val="clear" w:color="auto" w:fill="auto"/>
            <w:vAlign w:val="center"/>
          </w:tcPr>
          <w:p w14:paraId="69FE93B7" w14:textId="77777777" w:rsidR="00B0005F" w:rsidRPr="008A2411" w:rsidRDefault="00B0005F">
            <w:pPr>
              <w:spacing w:line="280" w:lineRule="exact"/>
              <w:jc w:val="center"/>
              <w:rPr>
                <w:rFonts w:ascii="Times New Roman"/>
                <w:color w:val="000000" w:themeColor="text1"/>
                <w:sz w:val="21"/>
                <w:szCs w:val="21"/>
              </w:rPr>
            </w:pPr>
          </w:p>
        </w:tc>
        <w:tc>
          <w:tcPr>
            <w:tcW w:w="654" w:type="pct"/>
            <w:vMerge/>
            <w:shd w:val="clear" w:color="auto" w:fill="auto"/>
            <w:vAlign w:val="center"/>
          </w:tcPr>
          <w:p w14:paraId="6675D421" w14:textId="77777777" w:rsidR="00B0005F" w:rsidRPr="008A2411" w:rsidRDefault="00B0005F">
            <w:pPr>
              <w:spacing w:line="280" w:lineRule="exact"/>
              <w:rPr>
                <w:rFonts w:ascii="Times New Roman"/>
                <w:color w:val="000000" w:themeColor="text1"/>
                <w:sz w:val="21"/>
                <w:szCs w:val="21"/>
              </w:rPr>
            </w:pPr>
          </w:p>
        </w:tc>
      </w:tr>
      <w:tr w:rsidR="008A2411" w:rsidRPr="008A2411" w14:paraId="554263FA" w14:textId="77777777">
        <w:trPr>
          <w:trHeight w:val="1020"/>
        </w:trPr>
        <w:tc>
          <w:tcPr>
            <w:tcW w:w="377" w:type="pct"/>
            <w:shd w:val="clear" w:color="auto" w:fill="auto"/>
            <w:vAlign w:val="center"/>
          </w:tcPr>
          <w:p w14:paraId="35D76F9F"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脱盐水间</w:t>
            </w:r>
          </w:p>
        </w:tc>
        <w:tc>
          <w:tcPr>
            <w:tcW w:w="485" w:type="pct"/>
            <w:shd w:val="clear" w:color="auto" w:fill="auto"/>
            <w:vAlign w:val="center"/>
          </w:tcPr>
          <w:p w14:paraId="24E1F73D"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W</w:t>
            </w:r>
            <w:r w:rsidRPr="008A2411">
              <w:rPr>
                <w:rFonts w:ascii="Times New Roman"/>
                <w:color w:val="000000" w:themeColor="text1"/>
                <w:sz w:val="21"/>
                <w:szCs w:val="21"/>
                <w:vertAlign w:val="subscript"/>
              </w:rPr>
              <w:t>3</w:t>
            </w:r>
          </w:p>
        </w:tc>
        <w:tc>
          <w:tcPr>
            <w:tcW w:w="886" w:type="pct"/>
            <w:shd w:val="clear" w:color="auto" w:fill="auto"/>
            <w:vAlign w:val="center"/>
          </w:tcPr>
          <w:p w14:paraId="0BD695C9" w14:textId="77777777" w:rsidR="00B0005F" w:rsidRPr="008A2411" w:rsidRDefault="00000000">
            <w:pPr>
              <w:spacing w:line="280" w:lineRule="exact"/>
              <w:jc w:val="center"/>
              <w:rPr>
                <w:rFonts w:ascii="Times New Roman"/>
                <w:color w:val="000000" w:themeColor="text1"/>
                <w:kern w:val="2"/>
                <w:sz w:val="21"/>
                <w:szCs w:val="21"/>
              </w:rPr>
            </w:pPr>
            <w:r w:rsidRPr="008A2411">
              <w:rPr>
                <w:rFonts w:ascii="Times New Roman"/>
                <w:color w:val="000000" w:themeColor="text1"/>
                <w:kern w:val="2"/>
                <w:sz w:val="21"/>
                <w:szCs w:val="21"/>
              </w:rPr>
              <w:t>脱盐水装置排水</w:t>
            </w:r>
          </w:p>
        </w:tc>
        <w:tc>
          <w:tcPr>
            <w:tcW w:w="1367" w:type="pct"/>
            <w:shd w:val="clear" w:color="auto" w:fill="auto"/>
            <w:vAlign w:val="center"/>
          </w:tcPr>
          <w:p w14:paraId="423D0375"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连续；</w:t>
            </w:r>
            <w:r w:rsidRPr="008A2411">
              <w:rPr>
                <w:rFonts w:ascii="Times New Roman"/>
                <w:color w:val="000000" w:themeColor="text1"/>
                <w:sz w:val="21"/>
                <w:szCs w:val="21"/>
              </w:rPr>
              <w:t>80.8m</w:t>
            </w:r>
            <w:r w:rsidRPr="008A2411">
              <w:rPr>
                <w:rFonts w:ascii="Times New Roman"/>
                <w:color w:val="000000" w:themeColor="text1"/>
                <w:sz w:val="21"/>
                <w:szCs w:val="21"/>
                <w:vertAlign w:val="superscript"/>
              </w:rPr>
              <w:t>3</w:t>
            </w:r>
            <w:r w:rsidRPr="008A2411">
              <w:rPr>
                <w:rFonts w:ascii="Times New Roman"/>
                <w:color w:val="000000" w:themeColor="text1"/>
                <w:sz w:val="21"/>
                <w:szCs w:val="21"/>
              </w:rPr>
              <w:t>/d</w:t>
            </w:r>
          </w:p>
          <w:p w14:paraId="39BA6543"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总矿化度</w:t>
            </w:r>
            <w:r w:rsidRPr="008A2411">
              <w:rPr>
                <w:rFonts w:ascii="Times New Roman"/>
                <w:color w:val="000000" w:themeColor="text1"/>
                <w:sz w:val="21"/>
                <w:szCs w:val="21"/>
              </w:rPr>
              <w:t>600</w:t>
            </w:r>
            <w:r w:rsidRPr="008A2411">
              <w:rPr>
                <w:rFonts w:ascii="Times New Roman"/>
                <w:color w:val="000000" w:themeColor="text1"/>
                <w:sz w:val="21"/>
                <w:szCs w:val="21"/>
              </w:rPr>
              <w:t>～</w:t>
            </w:r>
            <w:r w:rsidRPr="008A2411">
              <w:rPr>
                <w:rFonts w:ascii="Times New Roman"/>
                <w:color w:val="000000" w:themeColor="text1"/>
                <w:sz w:val="21"/>
                <w:szCs w:val="21"/>
              </w:rPr>
              <w:t>900mg/l</w:t>
            </w:r>
            <w:r w:rsidRPr="008A2411">
              <w:rPr>
                <w:rFonts w:ascii="Times New Roman"/>
                <w:color w:val="000000" w:themeColor="text1"/>
                <w:sz w:val="21"/>
                <w:szCs w:val="21"/>
              </w:rPr>
              <w:t>，</w:t>
            </w:r>
            <w:r w:rsidRPr="008A2411">
              <w:rPr>
                <w:rFonts w:ascii="Times New Roman"/>
                <w:color w:val="000000" w:themeColor="text1"/>
                <w:sz w:val="21"/>
                <w:szCs w:val="21"/>
              </w:rPr>
              <w:t>pH</w:t>
            </w:r>
            <w:r w:rsidRPr="008A2411">
              <w:rPr>
                <w:rFonts w:ascii="Times New Roman"/>
                <w:color w:val="000000" w:themeColor="text1"/>
                <w:sz w:val="21"/>
                <w:szCs w:val="21"/>
              </w:rPr>
              <w:t>值</w:t>
            </w:r>
            <w:r w:rsidRPr="008A2411">
              <w:rPr>
                <w:rFonts w:ascii="Times New Roman"/>
                <w:color w:val="000000" w:themeColor="text1"/>
                <w:sz w:val="21"/>
                <w:szCs w:val="21"/>
              </w:rPr>
              <w:t>6.5</w:t>
            </w:r>
            <w:r w:rsidRPr="008A2411">
              <w:rPr>
                <w:rFonts w:ascii="Times New Roman"/>
                <w:color w:val="000000" w:themeColor="text1"/>
                <w:sz w:val="21"/>
                <w:szCs w:val="21"/>
              </w:rPr>
              <w:t>～</w:t>
            </w:r>
            <w:r w:rsidRPr="008A2411">
              <w:rPr>
                <w:rFonts w:ascii="Times New Roman"/>
                <w:color w:val="000000" w:themeColor="text1"/>
                <w:sz w:val="21"/>
                <w:szCs w:val="21"/>
              </w:rPr>
              <w:t>7.5</w:t>
            </w:r>
          </w:p>
        </w:tc>
        <w:tc>
          <w:tcPr>
            <w:tcW w:w="1229" w:type="pct"/>
            <w:vMerge w:val="restart"/>
            <w:shd w:val="clear" w:color="auto" w:fill="auto"/>
            <w:vAlign w:val="center"/>
          </w:tcPr>
          <w:p w14:paraId="3ECB994D"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水质满足《污水综合排放标准》</w:t>
            </w:r>
            <w:r w:rsidRPr="008A2411">
              <w:rPr>
                <w:rFonts w:ascii="Times New Roman"/>
                <w:color w:val="000000" w:themeColor="text1"/>
                <w:sz w:val="21"/>
                <w:szCs w:val="21"/>
              </w:rPr>
              <w:t>GB8978-1996</w:t>
            </w:r>
            <w:proofErr w:type="gramStart"/>
            <w:r w:rsidRPr="008A2411">
              <w:rPr>
                <w:rFonts w:ascii="Times New Roman"/>
                <w:color w:val="000000" w:themeColor="text1"/>
                <w:sz w:val="21"/>
                <w:szCs w:val="21"/>
              </w:rPr>
              <w:t>三</w:t>
            </w:r>
            <w:proofErr w:type="gramEnd"/>
            <w:r w:rsidRPr="008A2411">
              <w:rPr>
                <w:rFonts w:ascii="Times New Roman"/>
                <w:color w:val="000000" w:themeColor="text1"/>
                <w:sz w:val="21"/>
                <w:szCs w:val="21"/>
              </w:rPr>
              <w:t>级标准，直接排入管区管网</w:t>
            </w:r>
          </w:p>
        </w:tc>
        <w:tc>
          <w:tcPr>
            <w:tcW w:w="654" w:type="pct"/>
            <w:vMerge/>
            <w:shd w:val="clear" w:color="auto" w:fill="auto"/>
            <w:vAlign w:val="center"/>
          </w:tcPr>
          <w:p w14:paraId="23C4F046" w14:textId="77777777" w:rsidR="00B0005F" w:rsidRPr="008A2411" w:rsidRDefault="00B0005F">
            <w:pPr>
              <w:spacing w:line="280" w:lineRule="exact"/>
              <w:rPr>
                <w:rFonts w:ascii="Times New Roman"/>
                <w:color w:val="000000" w:themeColor="text1"/>
                <w:sz w:val="21"/>
                <w:szCs w:val="21"/>
              </w:rPr>
            </w:pPr>
          </w:p>
        </w:tc>
      </w:tr>
      <w:tr w:rsidR="008A2411" w:rsidRPr="008A2411" w14:paraId="4EE2C9DB" w14:textId="77777777">
        <w:trPr>
          <w:trHeight w:val="1020"/>
        </w:trPr>
        <w:tc>
          <w:tcPr>
            <w:tcW w:w="377" w:type="pct"/>
            <w:shd w:val="clear" w:color="auto" w:fill="auto"/>
            <w:vAlign w:val="center"/>
          </w:tcPr>
          <w:p w14:paraId="6F0250A6"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软化水装置排水</w:t>
            </w:r>
          </w:p>
        </w:tc>
        <w:tc>
          <w:tcPr>
            <w:tcW w:w="485" w:type="pct"/>
            <w:shd w:val="clear" w:color="auto" w:fill="auto"/>
            <w:vAlign w:val="center"/>
          </w:tcPr>
          <w:p w14:paraId="46DCE08C"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W</w:t>
            </w:r>
            <w:r w:rsidRPr="008A2411">
              <w:rPr>
                <w:rFonts w:ascii="Times New Roman"/>
                <w:color w:val="000000" w:themeColor="text1"/>
                <w:sz w:val="21"/>
                <w:szCs w:val="21"/>
                <w:vertAlign w:val="subscript"/>
              </w:rPr>
              <w:t>4</w:t>
            </w:r>
          </w:p>
        </w:tc>
        <w:tc>
          <w:tcPr>
            <w:tcW w:w="886" w:type="pct"/>
            <w:shd w:val="clear" w:color="auto" w:fill="auto"/>
            <w:vAlign w:val="center"/>
          </w:tcPr>
          <w:p w14:paraId="229F3899" w14:textId="77777777" w:rsidR="00B0005F" w:rsidRPr="008A2411" w:rsidRDefault="00000000">
            <w:pPr>
              <w:spacing w:line="280" w:lineRule="exact"/>
              <w:jc w:val="center"/>
              <w:rPr>
                <w:rFonts w:ascii="Times New Roman"/>
                <w:color w:val="000000" w:themeColor="text1"/>
                <w:kern w:val="2"/>
                <w:sz w:val="21"/>
                <w:szCs w:val="21"/>
              </w:rPr>
            </w:pPr>
            <w:r w:rsidRPr="008A2411">
              <w:rPr>
                <w:rFonts w:ascii="Times New Roman"/>
                <w:color w:val="000000" w:themeColor="text1"/>
                <w:sz w:val="21"/>
                <w:szCs w:val="21"/>
              </w:rPr>
              <w:t>软化水装置</w:t>
            </w:r>
          </w:p>
        </w:tc>
        <w:tc>
          <w:tcPr>
            <w:tcW w:w="1367" w:type="pct"/>
            <w:shd w:val="clear" w:color="auto" w:fill="auto"/>
            <w:vAlign w:val="center"/>
          </w:tcPr>
          <w:p w14:paraId="514B01F9" w14:textId="77777777" w:rsidR="00B0005F" w:rsidRPr="008A2411" w:rsidRDefault="00000000">
            <w:pPr>
              <w:spacing w:line="280" w:lineRule="exact"/>
              <w:rPr>
                <w:rFonts w:ascii="Times New Roman"/>
                <w:color w:val="000000" w:themeColor="text1"/>
                <w:sz w:val="21"/>
                <w:szCs w:val="21"/>
              </w:rPr>
            </w:pPr>
            <w:r w:rsidRPr="008A2411">
              <w:rPr>
                <w:rFonts w:ascii="Times New Roman"/>
                <w:color w:val="000000" w:themeColor="text1"/>
                <w:sz w:val="21"/>
                <w:szCs w:val="21"/>
              </w:rPr>
              <w:t>连续；</w:t>
            </w:r>
            <w:r w:rsidRPr="008A2411">
              <w:rPr>
                <w:rFonts w:ascii="Times New Roman"/>
                <w:color w:val="000000" w:themeColor="text1"/>
                <w:sz w:val="21"/>
                <w:szCs w:val="21"/>
              </w:rPr>
              <w:t>312m</w:t>
            </w:r>
            <w:r w:rsidRPr="008A2411">
              <w:rPr>
                <w:rFonts w:ascii="Times New Roman"/>
                <w:color w:val="000000" w:themeColor="text1"/>
                <w:sz w:val="21"/>
                <w:szCs w:val="21"/>
                <w:vertAlign w:val="superscript"/>
              </w:rPr>
              <w:t>3</w:t>
            </w:r>
            <w:r w:rsidRPr="008A2411">
              <w:rPr>
                <w:rFonts w:ascii="Times New Roman"/>
                <w:color w:val="000000" w:themeColor="text1"/>
                <w:sz w:val="21"/>
                <w:szCs w:val="21"/>
              </w:rPr>
              <w:t>/d</w:t>
            </w:r>
          </w:p>
          <w:p w14:paraId="459796BB" w14:textId="77777777" w:rsidR="00B0005F" w:rsidRPr="008A2411" w:rsidRDefault="00000000">
            <w:pPr>
              <w:spacing w:line="280" w:lineRule="exact"/>
              <w:rPr>
                <w:rFonts w:ascii="Times New Roman"/>
                <w:color w:val="000000" w:themeColor="text1"/>
                <w:sz w:val="21"/>
                <w:szCs w:val="21"/>
              </w:rPr>
            </w:pPr>
            <w:r w:rsidRPr="008A2411">
              <w:rPr>
                <w:rFonts w:ascii="Times New Roman"/>
                <w:color w:val="000000" w:themeColor="text1"/>
                <w:kern w:val="2"/>
                <w:sz w:val="21"/>
                <w:szCs w:val="21"/>
              </w:rPr>
              <w:t>Cl</w:t>
            </w:r>
            <w:r w:rsidRPr="008A2411">
              <w:rPr>
                <w:rFonts w:ascii="Times New Roman"/>
                <w:color w:val="000000" w:themeColor="text1"/>
                <w:kern w:val="2"/>
                <w:sz w:val="21"/>
                <w:szCs w:val="21"/>
                <w:vertAlign w:val="superscript"/>
              </w:rPr>
              <w:t>-</w:t>
            </w:r>
            <w:r w:rsidRPr="008A2411">
              <w:rPr>
                <w:rFonts w:ascii="Times New Roman"/>
                <w:color w:val="000000" w:themeColor="text1"/>
                <w:kern w:val="2"/>
                <w:sz w:val="21"/>
                <w:szCs w:val="21"/>
              </w:rPr>
              <w:t>及</w:t>
            </w:r>
            <w:r w:rsidRPr="008A2411">
              <w:rPr>
                <w:rFonts w:ascii="Times New Roman"/>
                <w:color w:val="000000" w:themeColor="text1"/>
                <w:kern w:val="2"/>
                <w:sz w:val="21"/>
                <w:szCs w:val="21"/>
              </w:rPr>
              <w:t>Ca</w:t>
            </w:r>
            <w:r w:rsidRPr="008A2411">
              <w:rPr>
                <w:rFonts w:ascii="Times New Roman"/>
                <w:color w:val="000000" w:themeColor="text1"/>
                <w:kern w:val="2"/>
                <w:sz w:val="21"/>
                <w:szCs w:val="21"/>
                <w:vertAlign w:val="superscript"/>
              </w:rPr>
              <w:t>2+</w:t>
            </w:r>
            <w:r w:rsidRPr="008A2411">
              <w:rPr>
                <w:rFonts w:ascii="Times New Roman"/>
                <w:color w:val="000000" w:themeColor="text1"/>
                <w:kern w:val="2"/>
                <w:sz w:val="21"/>
                <w:szCs w:val="21"/>
              </w:rPr>
              <w:t>、</w:t>
            </w:r>
            <w:r w:rsidRPr="008A2411">
              <w:rPr>
                <w:rFonts w:ascii="Times New Roman"/>
                <w:color w:val="000000" w:themeColor="text1"/>
                <w:kern w:val="2"/>
                <w:sz w:val="21"/>
                <w:szCs w:val="21"/>
              </w:rPr>
              <w:t>Mg</w:t>
            </w:r>
            <w:r w:rsidRPr="008A2411">
              <w:rPr>
                <w:rFonts w:ascii="Times New Roman"/>
                <w:color w:val="000000" w:themeColor="text1"/>
                <w:kern w:val="2"/>
                <w:sz w:val="21"/>
                <w:szCs w:val="21"/>
                <w:vertAlign w:val="superscript"/>
              </w:rPr>
              <w:t>2+</w:t>
            </w:r>
            <w:r w:rsidRPr="008A2411">
              <w:rPr>
                <w:rFonts w:ascii="Times New Roman"/>
                <w:color w:val="000000" w:themeColor="text1"/>
                <w:kern w:val="2"/>
                <w:sz w:val="21"/>
                <w:szCs w:val="21"/>
              </w:rPr>
              <w:t>等可溶性物质</w:t>
            </w:r>
          </w:p>
        </w:tc>
        <w:tc>
          <w:tcPr>
            <w:tcW w:w="1229" w:type="pct"/>
            <w:vMerge/>
            <w:shd w:val="clear" w:color="auto" w:fill="auto"/>
            <w:vAlign w:val="center"/>
          </w:tcPr>
          <w:p w14:paraId="637E65A3" w14:textId="77777777" w:rsidR="00B0005F" w:rsidRPr="008A2411" w:rsidRDefault="00B0005F">
            <w:pPr>
              <w:spacing w:line="280" w:lineRule="exact"/>
              <w:jc w:val="center"/>
              <w:rPr>
                <w:rFonts w:ascii="Times New Roman"/>
                <w:color w:val="000000" w:themeColor="text1"/>
                <w:sz w:val="21"/>
                <w:szCs w:val="21"/>
              </w:rPr>
            </w:pPr>
          </w:p>
        </w:tc>
        <w:tc>
          <w:tcPr>
            <w:tcW w:w="654" w:type="pct"/>
            <w:vMerge/>
            <w:shd w:val="clear" w:color="auto" w:fill="auto"/>
            <w:vAlign w:val="center"/>
          </w:tcPr>
          <w:p w14:paraId="030E1907" w14:textId="77777777" w:rsidR="00B0005F" w:rsidRPr="008A2411" w:rsidRDefault="00B0005F">
            <w:pPr>
              <w:spacing w:line="280" w:lineRule="exact"/>
              <w:rPr>
                <w:rFonts w:ascii="Times New Roman"/>
                <w:color w:val="000000" w:themeColor="text1"/>
                <w:sz w:val="21"/>
                <w:szCs w:val="21"/>
              </w:rPr>
            </w:pPr>
          </w:p>
        </w:tc>
      </w:tr>
      <w:tr w:rsidR="008A2411" w:rsidRPr="008A2411" w14:paraId="16871B92" w14:textId="77777777">
        <w:tc>
          <w:tcPr>
            <w:tcW w:w="377" w:type="pct"/>
            <w:shd w:val="clear" w:color="auto" w:fill="auto"/>
            <w:vAlign w:val="center"/>
          </w:tcPr>
          <w:p w14:paraId="6D66A5C2" w14:textId="77777777" w:rsidR="00B0005F" w:rsidRPr="008A2411" w:rsidRDefault="00000000">
            <w:pPr>
              <w:pStyle w:val="aff9"/>
              <w:spacing w:line="280" w:lineRule="exact"/>
              <w:ind w:leftChars="-50" w:left="-120" w:rightChars="-50" w:right="-120" w:firstLine="13"/>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办公生活</w:t>
            </w:r>
          </w:p>
        </w:tc>
        <w:tc>
          <w:tcPr>
            <w:tcW w:w="485" w:type="pct"/>
            <w:shd w:val="clear" w:color="auto" w:fill="auto"/>
            <w:vAlign w:val="center"/>
          </w:tcPr>
          <w:p w14:paraId="15F1F419" w14:textId="77777777" w:rsidR="00B0005F" w:rsidRPr="008A2411" w:rsidRDefault="00000000">
            <w:pPr>
              <w:pStyle w:val="aff9"/>
              <w:spacing w:line="280" w:lineRule="exact"/>
              <w:ind w:leftChars="-50" w:left="-120" w:rightChars="-50" w:right="-120" w:firstLine="13"/>
              <w:jc w:val="center"/>
              <w:rPr>
                <w:rFonts w:ascii="Times New Roman" w:hAnsi="Times New Roman" w:cs="Times New Roman"/>
                <w:color w:val="000000" w:themeColor="text1"/>
                <w:sz w:val="21"/>
                <w:szCs w:val="21"/>
              </w:rPr>
            </w:pPr>
            <w:r w:rsidRPr="008A2411">
              <w:rPr>
                <w:rFonts w:ascii="Times New Roman" w:hAnsi="Times New Roman" w:cs="Times New Roman"/>
                <w:color w:val="000000" w:themeColor="text1"/>
                <w:sz w:val="21"/>
                <w:szCs w:val="21"/>
              </w:rPr>
              <w:t>W</w:t>
            </w:r>
            <w:r w:rsidRPr="008A2411">
              <w:rPr>
                <w:rFonts w:ascii="Times New Roman" w:hAnsi="Times New Roman" w:cs="Times New Roman"/>
                <w:color w:val="000000" w:themeColor="text1"/>
                <w:sz w:val="21"/>
                <w:szCs w:val="21"/>
                <w:vertAlign w:val="subscript"/>
              </w:rPr>
              <w:t>5</w:t>
            </w:r>
          </w:p>
        </w:tc>
        <w:tc>
          <w:tcPr>
            <w:tcW w:w="886" w:type="pct"/>
            <w:shd w:val="clear" w:color="auto" w:fill="auto"/>
            <w:vAlign w:val="center"/>
          </w:tcPr>
          <w:p w14:paraId="7E2E16DB" w14:textId="77777777" w:rsidR="00B0005F" w:rsidRPr="008A2411" w:rsidRDefault="00000000">
            <w:pPr>
              <w:pStyle w:val="aff9"/>
              <w:spacing w:line="280" w:lineRule="exact"/>
              <w:ind w:leftChars="-50" w:left="-120" w:rightChars="-50" w:right="-120" w:firstLine="13"/>
              <w:jc w:val="center"/>
              <w:rPr>
                <w:rFonts w:ascii="Times New Roman" w:hAnsi="Times New Roman" w:cs="Times New Roman"/>
                <w:color w:val="000000" w:themeColor="text1"/>
                <w:sz w:val="21"/>
                <w:szCs w:val="21"/>
              </w:rPr>
            </w:pPr>
            <w:r w:rsidRPr="008A2411">
              <w:rPr>
                <w:rFonts w:ascii="Times New Roman" w:hAnsi="Times New Roman" w:cs="Times New Roman"/>
                <w:color w:val="000000" w:themeColor="text1"/>
                <w:sz w:val="21"/>
                <w:szCs w:val="21"/>
              </w:rPr>
              <w:t>生活污水</w:t>
            </w:r>
          </w:p>
        </w:tc>
        <w:tc>
          <w:tcPr>
            <w:tcW w:w="1367" w:type="pct"/>
            <w:shd w:val="clear" w:color="auto" w:fill="auto"/>
            <w:vAlign w:val="center"/>
          </w:tcPr>
          <w:p w14:paraId="492FBD1B" w14:textId="5D82C9D6" w:rsidR="00B0005F" w:rsidRPr="008A2411" w:rsidRDefault="00000000">
            <w:pPr>
              <w:spacing w:line="280" w:lineRule="exact"/>
              <w:rPr>
                <w:rFonts w:ascii="Times New Roman"/>
                <w:color w:val="000000" w:themeColor="text1"/>
                <w:sz w:val="21"/>
                <w:szCs w:val="21"/>
              </w:rPr>
            </w:pPr>
            <w:r w:rsidRPr="008A2411">
              <w:rPr>
                <w:rFonts w:ascii="Times New Roman"/>
                <w:color w:val="000000" w:themeColor="text1"/>
                <w:sz w:val="21"/>
                <w:szCs w:val="21"/>
              </w:rPr>
              <w:t>间断；</w:t>
            </w:r>
            <w:r w:rsidR="00AD4824" w:rsidRPr="008A2411">
              <w:rPr>
                <w:rFonts w:ascii="Times New Roman" w:hint="eastAsia"/>
                <w:color w:val="000000" w:themeColor="text1"/>
                <w:sz w:val="21"/>
                <w:szCs w:val="21"/>
              </w:rPr>
              <w:t>10.25</w:t>
            </w:r>
            <w:r w:rsidRPr="008A2411">
              <w:rPr>
                <w:rFonts w:ascii="Times New Roman"/>
                <w:color w:val="000000" w:themeColor="text1"/>
                <w:sz w:val="21"/>
                <w:szCs w:val="21"/>
              </w:rPr>
              <w:t>m</w:t>
            </w:r>
            <w:r w:rsidRPr="008A2411">
              <w:rPr>
                <w:rFonts w:ascii="Times New Roman"/>
                <w:color w:val="000000" w:themeColor="text1"/>
                <w:sz w:val="21"/>
                <w:szCs w:val="21"/>
                <w:vertAlign w:val="superscript"/>
              </w:rPr>
              <w:t>3</w:t>
            </w:r>
            <w:r w:rsidRPr="008A2411">
              <w:rPr>
                <w:rFonts w:ascii="Times New Roman"/>
                <w:color w:val="000000" w:themeColor="text1"/>
                <w:sz w:val="21"/>
                <w:szCs w:val="21"/>
              </w:rPr>
              <w:t>/d</w:t>
            </w:r>
          </w:p>
          <w:p w14:paraId="47767DDD" w14:textId="77777777" w:rsidR="00B0005F" w:rsidRPr="008A2411" w:rsidRDefault="00000000">
            <w:pPr>
              <w:spacing w:line="280" w:lineRule="exact"/>
              <w:rPr>
                <w:rFonts w:ascii="Times New Roman"/>
                <w:color w:val="000000" w:themeColor="text1"/>
                <w:sz w:val="21"/>
                <w:szCs w:val="21"/>
              </w:rPr>
            </w:pPr>
            <w:r w:rsidRPr="008A2411">
              <w:rPr>
                <w:rFonts w:ascii="Times New Roman"/>
                <w:color w:val="000000" w:themeColor="text1"/>
                <w:sz w:val="21"/>
                <w:szCs w:val="21"/>
              </w:rPr>
              <w:t>CODCr</w:t>
            </w:r>
            <w:r w:rsidRPr="008A2411">
              <w:rPr>
                <w:rFonts w:ascii="Times New Roman"/>
                <w:color w:val="000000" w:themeColor="text1"/>
                <w:sz w:val="21"/>
                <w:szCs w:val="21"/>
              </w:rPr>
              <w:t>：</w:t>
            </w:r>
            <w:r w:rsidRPr="008A2411">
              <w:rPr>
                <w:rFonts w:ascii="Times New Roman"/>
                <w:color w:val="000000" w:themeColor="text1"/>
                <w:sz w:val="21"/>
                <w:szCs w:val="21"/>
              </w:rPr>
              <w:t>350mg/L</w:t>
            </w:r>
          </w:p>
          <w:p w14:paraId="27C764F3" w14:textId="77777777" w:rsidR="00B0005F" w:rsidRPr="008A2411" w:rsidRDefault="00000000">
            <w:pPr>
              <w:spacing w:line="280" w:lineRule="exact"/>
              <w:rPr>
                <w:rFonts w:ascii="Times New Roman"/>
                <w:color w:val="000000" w:themeColor="text1"/>
                <w:sz w:val="21"/>
                <w:szCs w:val="21"/>
              </w:rPr>
            </w:pPr>
            <w:r w:rsidRPr="008A2411">
              <w:rPr>
                <w:rFonts w:ascii="Times New Roman"/>
                <w:color w:val="000000" w:themeColor="text1"/>
                <w:sz w:val="21"/>
                <w:szCs w:val="21"/>
              </w:rPr>
              <w:t>NH</w:t>
            </w:r>
            <w:r w:rsidRPr="008A2411">
              <w:rPr>
                <w:rFonts w:ascii="Times New Roman"/>
                <w:color w:val="000000" w:themeColor="text1"/>
                <w:sz w:val="21"/>
                <w:szCs w:val="21"/>
                <w:vertAlign w:val="subscript"/>
              </w:rPr>
              <w:t>3</w:t>
            </w:r>
            <w:r w:rsidRPr="008A2411">
              <w:rPr>
                <w:rFonts w:ascii="Times New Roman"/>
                <w:color w:val="000000" w:themeColor="text1"/>
                <w:sz w:val="21"/>
                <w:szCs w:val="21"/>
              </w:rPr>
              <w:t>-N</w:t>
            </w:r>
            <w:r w:rsidRPr="008A2411">
              <w:rPr>
                <w:rFonts w:ascii="Times New Roman"/>
                <w:color w:val="000000" w:themeColor="text1"/>
                <w:sz w:val="21"/>
                <w:szCs w:val="21"/>
              </w:rPr>
              <w:t>：</w:t>
            </w:r>
            <w:r w:rsidRPr="008A2411">
              <w:rPr>
                <w:rFonts w:ascii="Times New Roman" w:hint="eastAsia"/>
                <w:color w:val="000000" w:themeColor="text1"/>
                <w:sz w:val="21"/>
                <w:szCs w:val="21"/>
              </w:rPr>
              <w:t>4</w:t>
            </w:r>
            <w:r w:rsidRPr="008A2411">
              <w:rPr>
                <w:rFonts w:ascii="Times New Roman"/>
                <w:color w:val="000000" w:themeColor="text1"/>
                <w:sz w:val="21"/>
                <w:szCs w:val="21"/>
              </w:rPr>
              <w:t>5mg/L</w:t>
            </w:r>
          </w:p>
        </w:tc>
        <w:tc>
          <w:tcPr>
            <w:tcW w:w="1229" w:type="pct"/>
            <w:shd w:val="clear" w:color="auto" w:fill="auto"/>
            <w:vAlign w:val="center"/>
          </w:tcPr>
          <w:p w14:paraId="277873B4"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由厂区污水管网排入厂区污水处理站预处理达到《污水综合排放标准》</w:t>
            </w:r>
            <w:r w:rsidRPr="008A2411">
              <w:rPr>
                <w:rFonts w:ascii="Times New Roman"/>
                <w:color w:val="000000" w:themeColor="text1"/>
                <w:sz w:val="21"/>
                <w:szCs w:val="21"/>
              </w:rPr>
              <w:t>GB8978-1996</w:t>
            </w:r>
            <w:proofErr w:type="gramStart"/>
            <w:r w:rsidRPr="008A2411">
              <w:rPr>
                <w:rFonts w:ascii="Times New Roman"/>
                <w:color w:val="000000" w:themeColor="text1"/>
                <w:sz w:val="21"/>
                <w:szCs w:val="21"/>
              </w:rPr>
              <w:t>三</w:t>
            </w:r>
            <w:proofErr w:type="gramEnd"/>
            <w:r w:rsidRPr="008A2411">
              <w:rPr>
                <w:rFonts w:ascii="Times New Roman"/>
                <w:color w:val="000000" w:themeColor="text1"/>
                <w:sz w:val="21"/>
                <w:szCs w:val="21"/>
              </w:rPr>
              <w:t>级标准，排入园区污水处理厂</w:t>
            </w:r>
          </w:p>
        </w:tc>
        <w:tc>
          <w:tcPr>
            <w:tcW w:w="654" w:type="pct"/>
            <w:vMerge/>
            <w:shd w:val="clear" w:color="auto" w:fill="auto"/>
            <w:vAlign w:val="center"/>
          </w:tcPr>
          <w:p w14:paraId="52FB876C" w14:textId="77777777" w:rsidR="00B0005F" w:rsidRPr="008A2411" w:rsidRDefault="00B0005F">
            <w:pPr>
              <w:spacing w:line="280" w:lineRule="exact"/>
              <w:rPr>
                <w:rFonts w:ascii="Times New Roman"/>
                <w:color w:val="000000" w:themeColor="text1"/>
                <w:sz w:val="21"/>
                <w:szCs w:val="21"/>
              </w:rPr>
            </w:pPr>
          </w:p>
        </w:tc>
      </w:tr>
      <w:tr w:rsidR="008A2411" w:rsidRPr="008A2411" w14:paraId="09EB497F" w14:textId="77777777">
        <w:tc>
          <w:tcPr>
            <w:tcW w:w="377" w:type="pct"/>
            <w:shd w:val="clear" w:color="auto" w:fill="auto"/>
            <w:vAlign w:val="center"/>
          </w:tcPr>
          <w:p w14:paraId="583961A4" w14:textId="77777777" w:rsidR="00B0005F" w:rsidRPr="008A2411" w:rsidRDefault="00000000">
            <w:pPr>
              <w:pStyle w:val="aff9"/>
              <w:spacing w:line="280" w:lineRule="exact"/>
              <w:ind w:leftChars="-50" w:left="-120" w:rightChars="-50" w:right="-120" w:firstLine="13"/>
              <w:jc w:val="center"/>
              <w:rPr>
                <w:rFonts w:ascii="Times New Roman" w:eastAsia="宋体" w:hAnsi="Times New Roman" w:cs="Times New Roman"/>
                <w:color w:val="000000" w:themeColor="text1"/>
                <w:sz w:val="21"/>
                <w:szCs w:val="21"/>
              </w:rPr>
            </w:pPr>
            <w:r w:rsidRPr="008A2411">
              <w:rPr>
                <w:rFonts w:ascii="Times New Roman" w:eastAsia="宋体" w:hAnsi="Times New Roman" w:cs="Times New Roman"/>
                <w:color w:val="000000" w:themeColor="text1"/>
                <w:sz w:val="21"/>
                <w:szCs w:val="21"/>
              </w:rPr>
              <w:t>初期雨水</w:t>
            </w:r>
          </w:p>
        </w:tc>
        <w:tc>
          <w:tcPr>
            <w:tcW w:w="485" w:type="pct"/>
            <w:shd w:val="clear" w:color="auto" w:fill="auto"/>
            <w:vAlign w:val="center"/>
          </w:tcPr>
          <w:p w14:paraId="2C63B3DC" w14:textId="77777777" w:rsidR="00B0005F" w:rsidRPr="008A2411" w:rsidRDefault="00000000">
            <w:pPr>
              <w:pStyle w:val="aff9"/>
              <w:spacing w:line="280" w:lineRule="exact"/>
              <w:ind w:leftChars="-50" w:left="-120" w:rightChars="-50" w:right="-120" w:firstLine="13"/>
              <w:jc w:val="center"/>
              <w:rPr>
                <w:rFonts w:ascii="Times New Roman" w:hAnsi="Times New Roman" w:cs="Times New Roman"/>
                <w:color w:val="000000" w:themeColor="text1"/>
                <w:sz w:val="21"/>
                <w:szCs w:val="21"/>
              </w:rPr>
            </w:pPr>
            <w:r w:rsidRPr="008A2411">
              <w:rPr>
                <w:rFonts w:ascii="Times New Roman" w:hAnsi="Times New Roman" w:cs="Times New Roman"/>
                <w:color w:val="000000" w:themeColor="text1"/>
                <w:sz w:val="21"/>
                <w:szCs w:val="21"/>
              </w:rPr>
              <w:t>/</w:t>
            </w:r>
          </w:p>
        </w:tc>
        <w:tc>
          <w:tcPr>
            <w:tcW w:w="886" w:type="pct"/>
            <w:shd w:val="clear" w:color="auto" w:fill="auto"/>
            <w:vAlign w:val="center"/>
          </w:tcPr>
          <w:p w14:paraId="07F7CC40" w14:textId="77777777" w:rsidR="00B0005F" w:rsidRPr="008A2411" w:rsidRDefault="00000000">
            <w:pPr>
              <w:pStyle w:val="aff9"/>
              <w:spacing w:line="280" w:lineRule="exact"/>
              <w:ind w:leftChars="-50" w:left="-120" w:rightChars="-50" w:right="-120" w:firstLine="13"/>
              <w:jc w:val="center"/>
              <w:rPr>
                <w:rFonts w:ascii="Times New Roman" w:hAnsi="Times New Roman" w:cs="Times New Roman"/>
                <w:color w:val="000000" w:themeColor="text1"/>
                <w:sz w:val="21"/>
                <w:szCs w:val="21"/>
              </w:rPr>
            </w:pPr>
            <w:r w:rsidRPr="008A2411">
              <w:rPr>
                <w:rFonts w:ascii="Times New Roman" w:hAnsi="Times New Roman" w:cs="Times New Roman"/>
                <w:color w:val="000000" w:themeColor="text1"/>
                <w:sz w:val="21"/>
                <w:szCs w:val="21"/>
              </w:rPr>
              <w:t>初期雨水</w:t>
            </w:r>
          </w:p>
        </w:tc>
        <w:tc>
          <w:tcPr>
            <w:tcW w:w="1367" w:type="pct"/>
            <w:shd w:val="clear" w:color="auto" w:fill="auto"/>
            <w:vAlign w:val="center"/>
          </w:tcPr>
          <w:p w14:paraId="4863781C" w14:textId="77777777" w:rsidR="00B0005F" w:rsidRPr="008A2411" w:rsidRDefault="00000000">
            <w:pPr>
              <w:spacing w:line="280" w:lineRule="exact"/>
              <w:rPr>
                <w:rFonts w:ascii="Times New Roman"/>
                <w:color w:val="000000" w:themeColor="text1"/>
                <w:sz w:val="21"/>
                <w:szCs w:val="21"/>
              </w:rPr>
            </w:pPr>
            <w:r w:rsidRPr="008A2411">
              <w:rPr>
                <w:rFonts w:ascii="Times New Roman"/>
                <w:color w:val="000000" w:themeColor="text1"/>
                <w:sz w:val="21"/>
                <w:szCs w:val="21"/>
              </w:rPr>
              <w:t>间断；</w:t>
            </w:r>
            <w:r w:rsidRPr="008A2411">
              <w:rPr>
                <w:rFonts w:ascii="Times New Roman"/>
                <w:color w:val="000000" w:themeColor="text1"/>
                <w:sz w:val="21"/>
                <w:szCs w:val="21"/>
              </w:rPr>
              <w:t>178.2m</w:t>
            </w:r>
            <w:r w:rsidRPr="008A2411">
              <w:rPr>
                <w:rFonts w:ascii="Times New Roman"/>
                <w:color w:val="000000" w:themeColor="text1"/>
                <w:sz w:val="21"/>
                <w:szCs w:val="21"/>
                <w:vertAlign w:val="superscript"/>
              </w:rPr>
              <w:t>3</w:t>
            </w:r>
            <w:r w:rsidRPr="008A2411">
              <w:rPr>
                <w:rFonts w:ascii="Times New Roman"/>
                <w:color w:val="000000" w:themeColor="text1"/>
                <w:sz w:val="21"/>
                <w:szCs w:val="21"/>
              </w:rPr>
              <w:t>/</w:t>
            </w:r>
            <w:r w:rsidRPr="008A2411">
              <w:rPr>
                <w:rFonts w:ascii="Times New Roman"/>
                <w:color w:val="000000" w:themeColor="text1"/>
                <w:sz w:val="21"/>
                <w:szCs w:val="21"/>
              </w:rPr>
              <w:t>次</w:t>
            </w:r>
          </w:p>
          <w:p w14:paraId="2B03A13D"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CODcr</w:t>
            </w:r>
            <w:r w:rsidRPr="008A2411">
              <w:rPr>
                <w:rFonts w:ascii="Times New Roman"/>
                <w:color w:val="000000" w:themeColor="text1"/>
                <w:sz w:val="21"/>
                <w:szCs w:val="21"/>
              </w:rPr>
              <w:t>、</w:t>
            </w:r>
            <w:r w:rsidRPr="008A2411">
              <w:rPr>
                <w:rFonts w:ascii="Times New Roman"/>
                <w:color w:val="000000" w:themeColor="text1"/>
                <w:sz w:val="21"/>
                <w:szCs w:val="21"/>
              </w:rPr>
              <w:t>SS</w:t>
            </w:r>
            <w:r w:rsidRPr="008A2411">
              <w:rPr>
                <w:rFonts w:ascii="Times New Roman"/>
                <w:color w:val="000000" w:themeColor="text1"/>
                <w:sz w:val="21"/>
                <w:szCs w:val="21"/>
              </w:rPr>
              <w:t>、石油类等</w:t>
            </w:r>
          </w:p>
          <w:p w14:paraId="454D7D8C" w14:textId="77777777" w:rsidR="00B0005F" w:rsidRPr="008A2411" w:rsidRDefault="00B0005F">
            <w:pPr>
              <w:spacing w:line="280" w:lineRule="exact"/>
              <w:rPr>
                <w:rFonts w:ascii="Times New Roman"/>
                <w:color w:val="000000" w:themeColor="text1"/>
                <w:sz w:val="21"/>
                <w:szCs w:val="21"/>
              </w:rPr>
            </w:pPr>
          </w:p>
        </w:tc>
        <w:tc>
          <w:tcPr>
            <w:tcW w:w="1229" w:type="pct"/>
            <w:shd w:val="clear" w:color="auto" w:fill="auto"/>
            <w:vAlign w:val="center"/>
          </w:tcPr>
          <w:p w14:paraId="48D63C46" w14:textId="77777777" w:rsidR="00B0005F" w:rsidRPr="008A2411" w:rsidRDefault="00000000">
            <w:pPr>
              <w:spacing w:line="280" w:lineRule="exact"/>
              <w:jc w:val="center"/>
              <w:rPr>
                <w:rFonts w:ascii="Times New Roman"/>
                <w:color w:val="000000" w:themeColor="text1"/>
                <w:sz w:val="21"/>
                <w:szCs w:val="21"/>
              </w:rPr>
            </w:pPr>
            <w:r w:rsidRPr="008A2411">
              <w:rPr>
                <w:rFonts w:ascii="Times New Roman"/>
                <w:color w:val="000000" w:themeColor="text1"/>
                <w:sz w:val="21"/>
                <w:szCs w:val="21"/>
              </w:rPr>
              <w:t>由事故应急池收集，</w:t>
            </w:r>
            <w:r w:rsidRPr="008A2411">
              <w:rPr>
                <w:rFonts w:ascii="Times New Roman" w:hint="eastAsia"/>
                <w:color w:val="000000" w:themeColor="text1"/>
                <w:sz w:val="21"/>
                <w:szCs w:val="21"/>
              </w:rPr>
              <w:t>经沉淀处理后</w:t>
            </w:r>
            <w:r w:rsidRPr="008A2411">
              <w:rPr>
                <w:rFonts w:ascii="Times New Roman"/>
                <w:color w:val="000000" w:themeColor="text1"/>
                <w:sz w:val="21"/>
                <w:szCs w:val="21"/>
              </w:rPr>
              <w:t>排入厂区污水处理站预处理达到《污水综合排放标准》</w:t>
            </w:r>
            <w:r w:rsidRPr="008A2411">
              <w:rPr>
                <w:rFonts w:ascii="Times New Roman"/>
                <w:color w:val="000000" w:themeColor="text1"/>
                <w:sz w:val="21"/>
                <w:szCs w:val="21"/>
              </w:rPr>
              <w:t>GB8978-1996</w:t>
            </w:r>
            <w:proofErr w:type="gramStart"/>
            <w:r w:rsidRPr="008A2411">
              <w:rPr>
                <w:rFonts w:ascii="Times New Roman"/>
                <w:color w:val="000000" w:themeColor="text1"/>
                <w:sz w:val="21"/>
                <w:szCs w:val="21"/>
              </w:rPr>
              <w:t>三</w:t>
            </w:r>
            <w:proofErr w:type="gramEnd"/>
            <w:r w:rsidRPr="008A2411">
              <w:rPr>
                <w:rFonts w:ascii="Times New Roman"/>
                <w:color w:val="000000" w:themeColor="text1"/>
                <w:sz w:val="21"/>
                <w:szCs w:val="21"/>
              </w:rPr>
              <w:t>级标准，排入园区污水处理厂</w:t>
            </w:r>
          </w:p>
        </w:tc>
        <w:tc>
          <w:tcPr>
            <w:tcW w:w="654" w:type="pct"/>
            <w:vMerge/>
            <w:shd w:val="clear" w:color="auto" w:fill="auto"/>
            <w:vAlign w:val="center"/>
          </w:tcPr>
          <w:p w14:paraId="5DD33028" w14:textId="77777777" w:rsidR="00B0005F" w:rsidRPr="008A2411" w:rsidRDefault="00B0005F">
            <w:pPr>
              <w:spacing w:line="280" w:lineRule="exact"/>
              <w:rPr>
                <w:rFonts w:ascii="Times New Roman"/>
                <w:color w:val="000000" w:themeColor="text1"/>
                <w:sz w:val="21"/>
                <w:szCs w:val="21"/>
              </w:rPr>
            </w:pPr>
          </w:p>
        </w:tc>
      </w:tr>
    </w:tbl>
    <w:p w14:paraId="226F543F"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由上表可知，本项目产生的生产废水除水质较为清洁的脱盐水间排水及软化水装置排水排入园区管网外，</w:t>
      </w:r>
      <w:proofErr w:type="gramStart"/>
      <w:r w:rsidRPr="008A2411">
        <w:rPr>
          <w:rFonts w:ascii="Times New Roman" w:hAnsi="Times New Roman"/>
          <w:color w:val="000000" w:themeColor="text1"/>
        </w:rPr>
        <w:t>其余生产</w:t>
      </w:r>
      <w:proofErr w:type="gramEnd"/>
      <w:r w:rsidRPr="008A2411">
        <w:rPr>
          <w:rFonts w:ascii="Times New Roman" w:hAnsi="Times New Roman"/>
          <w:color w:val="000000" w:themeColor="text1"/>
        </w:rPr>
        <w:t>及生活废水需排入园区污水处理站预处理达到《污水综合排放标准》</w:t>
      </w:r>
      <w:r w:rsidRPr="008A2411">
        <w:rPr>
          <w:rFonts w:ascii="Times New Roman" w:hAnsi="Times New Roman"/>
          <w:color w:val="000000" w:themeColor="text1"/>
        </w:rPr>
        <w:t>GB8978-1996</w:t>
      </w:r>
      <w:proofErr w:type="gramStart"/>
      <w:r w:rsidRPr="008A2411">
        <w:rPr>
          <w:rFonts w:ascii="Times New Roman" w:hAnsi="Times New Roman"/>
          <w:color w:val="000000" w:themeColor="text1"/>
        </w:rPr>
        <w:t>三</w:t>
      </w:r>
      <w:proofErr w:type="gramEnd"/>
      <w:r w:rsidRPr="008A2411">
        <w:rPr>
          <w:rFonts w:ascii="Times New Roman" w:hAnsi="Times New Roman"/>
          <w:color w:val="000000" w:themeColor="text1"/>
        </w:rPr>
        <w:t>级标准，排入园区污水处理厂，最终由宣汉县普光工业园区污水处理厂处理达标后排放。通过加强管理，确保污水预处理系统能够有效运营，确保污水能够做到稳定处理和排放，能够满足各类废水的处置要求。</w:t>
      </w:r>
    </w:p>
    <w:p w14:paraId="23FFB6D3"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二、清污分流</w:t>
      </w:r>
    </w:p>
    <w:p w14:paraId="24159080" w14:textId="77777777" w:rsidR="00B0005F" w:rsidRPr="008A2411" w:rsidRDefault="00000000">
      <w:pPr>
        <w:spacing w:line="360" w:lineRule="auto"/>
        <w:ind w:firstLineChars="200" w:firstLine="480"/>
        <w:rPr>
          <w:rFonts w:ascii="Times New Roman"/>
          <w:color w:val="000000" w:themeColor="text1"/>
        </w:rPr>
      </w:pPr>
      <w:r w:rsidRPr="008A2411">
        <w:rPr>
          <w:rFonts w:ascii="Times New Roman"/>
          <w:color w:val="000000" w:themeColor="text1"/>
        </w:rPr>
        <w:t>根据</w:t>
      </w:r>
      <w:r w:rsidRPr="008A2411">
        <w:rPr>
          <w:rFonts w:ascii="Times New Roman" w:hint="eastAsia"/>
          <w:color w:val="000000" w:themeColor="text1"/>
        </w:rPr>
        <w:t>“</w:t>
      </w:r>
      <w:r w:rsidRPr="008A2411">
        <w:rPr>
          <w:rFonts w:ascii="Times New Roman"/>
          <w:color w:val="000000" w:themeColor="text1"/>
        </w:rPr>
        <w:t>雨污分流、污</w:t>
      </w:r>
      <w:proofErr w:type="gramStart"/>
      <w:r w:rsidRPr="008A2411">
        <w:rPr>
          <w:rFonts w:ascii="Times New Roman"/>
          <w:color w:val="000000" w:themeColor="text1"/>
        </w:rPr>
        <w:t>污</w:t>
      </w:r>
      <w:proofErr w:type="gramEnd"/>
      <w:r w:rsidRPr="008A2411">
        <w:rPr>
          <w:rFonts w:ascii="Times New Roman"/>
          <w:color w:val="000000" w:themeColor="text1"/>
        </w:rPr>
        <w:t>分流、集中治污、污水回用</w:t>
      </w:r>
      <w:r w:rsidRPr="008A2411">
        <w:rPr>
          <w:rFonts w:ascii="Times New Roman" w:hint="eastAsia"/>
          <w:color w:val="000000" w:themeColor="text1"/>
        </w:rPr>
        <w:t>”</w:t>
      </w:r>
      <w:r w:rsidRPr="008A2411">
        <w:rPr>
          <w:rFonts w:ascii="Times New Roman"/>
          <w:color w:val="000000" w:themeColor="text1"/>
        </w:rPr>
        <w:t>的原则，将项目的排水划分为生产污水排水系统、雨水排水系统及生活污水排水系统。站场外雨水经厂界</w:t>
      </w:r>
      <w:proofErr w:type="gramStart"/>
      <w:r w:rsidRPr="008A2411">
        <w:rPr>
          <w:rFonts w:ascii="Times New Roman"/>
          <w:color w:val="000000" w:themeColor="text1"/>
        </w:rPr>
        <w:t>截</w:t>
      </w:r>
      <w:proofErr w:type="gramEnd"/>
      <w:r w:rsidRPr="008A2411">
        <w:rPr>
          <w:rFonts w:ascii="Times New Roman"/>
          <w:color w:val="000000" w:themeColor="text1"/>
        </w:rPr>
        <w:t>排雨沟排出场外，场地内的初期雨水经由装置区围堰收集后排入污水预处理系统中，最终宣汉县普光工业园区污水处理厂处理达标后排放。事故状态下，</w:t>
      </w:r>
      <w:r w:rsidRPr="008A2411">
        <w:rPr>
          <w:rFonts w:ascii="Times New Roman" w:hint="eastAsia"/>
          <w:color w:val="000000" w:themeColor="text1"/>
        </w:rPr>
        <w:t>事故废水包括装置区事故污水泄漏量（</w:t>
      </w:r>
      <w:r w:rsidRPr="008A2411">
        <w:rPr>
          <w:rFonts w:ascii="Times New Roman" w:hint="eastAsia"/>
          <w:color w:val="000000" w:themeColor="text1"/>
        </w:rPr>
        <w:t>V1</w:t>
      </w:r>
      <w:r w:rsidRPr="008A2411">
        <w:rPr>
          <w:rFonts w:ascii="Times New Roman" w:hint="eastAsia"/>
          <w:color w:val="000000" w:themeColor="text1"/>
        </w:rPr>
        <w:t>），事故状态下消防废水量（</w:t>
      </w:r>
      <w:r w:rsidRPr="008A2411">
        <w:rPr>
          <w:rFonts w:ascii="Times New Roman" w:hint="eastAsia"/>
          <w:color w:val="000000" w:themeColor="text1"/>
        </w:rPr>
        <w:t>V2</w:t>
      </w:r>
      <w:r w:rsidRPr="008A2411">
        <w:rPr>
          <w:rFonts w:ascii="Times New Roman" w:hint="eastAsia"/>
          <w:color w:val="000000" w:themeColor="text1"/>
        </w:rPr>
        <w:t>），其中</w:t>
      </w:r>
      <w:r w:rsidRPr="008A2411">
        <w:rPr>
          <w:rFonts w:ascii="Times New Roman"/>
          <w:color w:val="000000" w:themeColor="text1"/>
        </w:rPr>
        <w:t>装置区事故污水泄漏排放量按照</w:t>
      </w:r>
      <w:r w:rsidRPr="008A2411">
        <w:rPr>
          <w:rFonts w:ascii="Times New Roman"/>
          <w:color w:val="000000" w:themeColor="text1"/>
        </w:rPr>
        <w:t>1</w:t>
      </w:r>
      <w:r w:rsidRPr="008A2411">
        <w:rPr>
          <w:rFonts w:ascii="Times New Roman"/>
          <w:color w:val="000000" w:themeColor="text1"/>
        </w:rPr>
        <w:t>座吸收塔（约</w:t>
      </w:r>
      <w:r w:rsidRPr="008A2411">
        <w:rPr>
          <w:rFonts w:ascii="Times New Roman"/>
          <w:color w:val="000000" w:themeColor="text1"/>
        </w:rPr>
        <w:t>30m</w:t>
      </w:r>
      <w:r w:rsidRPr="008A2411">
        <w:rPr>
          <w:rFonts w:ascii="Times New Roman"/>
          <w:color w:val="000000" w:themeColor="text1"/>
          <w:vertAlign w:val="superscript"/>
        </w:rPr>
        <w:t>3</w:t>
      </w:r>
      <w:r w:rsidRPr="008A2411">
        <w:rPr>
          <w:rFonts w:ascii="Times New Roman"/>
          <w:color w:val="000000" w:themeColor="text1"/>
        </w:rPr>
        <w:t>液）和</w:t>
      </w:r>
      <w:r w:rsidRPr="008A2411">
        <w:rPr>
          <w:rFonts w:ascii="Times New Roman"/>
          <w:color w:val="000000" w:themeColor="text1"/>
        </w:rPr>
        <w:t>1</w:t>
      </w:r>
      <w:r w:rsidRPr="008A2411">
        <w:rPr>
          <w:rFonts w:ascii="Times New Roman"/>
          <w:color w:val="000000" w:themeColor="text1"/>
        </w:rPr>
        <w:t>座再生塔（约</w:t>
      </w:r>
      <w:r w:rsidRPr="008A2411">
        <w:rPr>
          <w:rFonts w:ascii="Times New Roman"/>
          <w:color w:val="000000" w:themeColor="text1"/>
        </w:rPr>
        <w:t>30m</w:t>
      </w:r>
      <w:r w:rsidRPr="008A2411">
        <w:rPr>
          <w:rFonts w:ascii="Times New Roman"/>
          <w:color w:val="000000" w:themeColor="text1"/>
          <w:vertAlign w:val="superscript"/>
        </w:rPr>
        <w:t>3</w:t>
      </w:r>
      <w:r w:rsidRPr="008A2411">
        <w:rPr>
          <w:rFonts w:ascii="Times New Roman"/>
          <w:color w:val="000000" w:themeColor="text1"/>
        </w:rPr>
        <w:t>液）同时泄漏考虑，共约</w:t>
      </w:r>
      <w:r w:rsidRPr="008A2411">
        <w:rPr>
          <w:rFonts w:ascii="Times New Roman" w:hint="eastAsia"/>
          <w:color w:val="000000" w:themeColor="text1"/>
        </w:rPr>
        <w:t>V1=</w:t>
      </w:r>
      <w:r w:rsidRPr="008A2411">
        <w:rPr>
          <w:rFonts w:ascii="Times New Roman"/>
          <w:color w:val="000000" w:themeColor="text1"/>
        </w:rPr>
        <w:t>60m</w:t>
      </w:r>
      <w:r w:rsidRPr="008A2411">
        <w:rPr>
          <w:rFonts w:ascii="Times New Roman"/>
          <w:color w:val="000000" w:themeColor="text1"/>
          <w:vertAlign w:val="superscript"/>
        </w:rPr>
        <w:t>3</w:t>
      </w:r>
      <w:r w:rsidRPr="008A2411">
        <w:rPr>
          <w:rFonts w:ascii="Times New Roman"/>
          <w:color w:val="000000" w:themeColor="text1"/>
        </w:rPr>
        <w:t>液</w:t>
      </w:r>
      <w:bookmarkStart w:id="617" w:name="_Hlk536174641"/>
      <w:r w:rsidRPr="008A2411">
        <w:rPr>
          <w:rFonts w:ascii="Times New Roman" w:hint="eastAsia"/>
          <w:color w:val="000000" w:themeColor="text1"/>
        </w:rPr>
        <w:t>；其消防设计流量为</w:t>
      </w:r>
      <w:r w:rsidRPr="008A2411">
        <w:rPr>
          <w:rFonts w:ascii="Times New Roman" w:hint="eastAsia"/>
          <w:color w:val="000000" w:themeColor="text1"/>
        </w:rPr>
        <w:t>45L/s</w:t>
      </w:r>
      <w:r w:rsidRPr="008A2411">
        <w:rPr>
          <w:rFonts w:ascii="Times New Roman" w:hint="eastAsia"/>
          <w:color w:val="000000" w:themeColor="text1"/>
        </w:rPr>
        <w:t>，火灾延续</w:t>
      </w:r>
      <w:r w:rsidRPr="008A2411">
        <w:rPr>
          <w:rFonts w:ascii="Times New Roman" w:hint="eastAsia"/>
          <w:color w:val="000000" w:themeColor="text1"/>
        </w:rPr>
        <w:lastRenderedPageBreak/>
        <w:t>时间</w:t>
      </w:r>
      <w:r w:rsidRPr="008A2411">
        <w:rPr>
          <w:rFonts w:ascii="Times New Roman" w:hint="eastAsia"/>
          <w:color w:val="000000" w:themeColor="text1"/>
        </w:rPr>
        <w:t>3</w:t>
      </w:r>
      <w:r w:rsidRPr="008A2411">
        <w:rPr>
          <w:rFonts w:ascii="Times New Roman" w:hint="eastAsia"/>
          <w:color w:val="000000" w:themeColor="text1"/>
        </w:rPr>
        <w:t>小时，</w:t>
      </w:r>
      <w:proofErr w:type="gramStart"/>
      <w:r w:rsidRPr="008A2411">
        <w:rPr>
          <w:rFonts w:ascii="Times New Roman" w:hint="eastAsia"/>
          <w:color w:val="000000" w:themeColor="text1"/>
        </w:rPr>
        <w:t>事故消防</w:t>
      </w:r>
      <w:proofErr w:type="gramEnd"/>
      <w:r w:rsidRPr="008A2411">
        <w:rPr>
          <w:rFonts w:ascii="Times New Roman" w:hint="eastAsia"/>
          <w:color w:val="000000" w:themeColor="text1"/>
        </w:rPr>
        <w:t>水量为</w:t>
      </w:r>
      <w:r w:rsidRPr="008A2411">
        <w:rPr>
          <w:rFonts w:ascii="Times New Roman" w:hint="eastAsia"/>
          <w:color w:val="000000" w:themeColor="text1"/>
        </w:rPr>
        <w:t>V2=486</w:t>
      </w:r>
      <w:r w:rsidRPr="008A2411">
        <w:rPr>
          <w:rFonts w:ascii="Times New Roman"/>
          <w:color w:val="000000" w:themeColor="text1"/>
        </w:rPr>
        <w:t>m</w:t>
      </w:r>
      <w:r w:rsidRPr="008A2411">
        <w:rPr>
          <w:rFonts w:ascii="Times New Roman"/>
          <w:color w:val="000000" w:themeColor="text1"/>
          <w:vertAlign w:val="superscript"/>
        </w:rPr>
        <w:t>3</w:t>
      </w:r>
      <w:r w:rsidRPr="008A2411">
        <w:rPr>
          <w:rFonts w:ascii="Times New Roman" w:hint="eastAsia"/>
          <w:color w:val="000000" w:themeColor="text1"/>
        </w:rPr>
        <w:t>。因此，事故废水量为</w:t>
      </w:r>
      <w:r w:rsidRPr="008A2411">
        <w:rPr>
          <w:rFonts w:ascii="Times New Roman" w:hint="eastAsia"/>
          <w:color w:val="000000" w:themeColor="text1"/>
        </w:rPr>
        <w:t>V=V1+V2=546m</w:t>
      </w:r>
      <w:r w:rsidRPr="008A2411">
        <w:rPr>
          <w:rFonts w:ascii="Times New Roman" w:hint="eastAsia"/>
          <w:color w:val="000000" w:themeColor="text1"/>
          <w:vertAlign w:val="superscript"/>
        </w:rPr>
        <w:t>3</w:t>
      </w:r>
      <w:r w:rsidRPr="008A2411">
        <w:rPr>
          <w:rFonts w:ascii="Times New Roman" w:hint="eastAsia"/>
          <w:color w:val="000000" w:themeColor="text1"/>
        </w:rPr>
        <w:t>。此外，</w:t>
      </w:r>
      <w:r w:rsidRPr="008A2411">
        <w:rPr>
          <w:rFonts w:ascii="Times New Roman"/>
          <w:color w:val="000000" w:themeColor="text1"/>
        </w:rPr>
        <w:t>根据《石油化工企业给水排水系统设计规范》</w:t>
      </w:r>
      <w:r w:rsidRPr="008A2411">
        <w:rPr>
          <w:rFonts w:ascii="Times New Roman"/>
          <w:color w:val="000000" w:themeColor="text1"/>
        </w:rPr>
        <w:t>SH3015</w:t>
      </w:r>
      <w:r w:rsidRPr="008A2411">
        <w:rPr>
          <w:rFonts w:ascii="Times New Roman"/>
          <w:color w:val="000000" w:themeColor="text1"/>
        </w:rPr>
        <w:t>中关于设计排水量的计算规定，工艺装置区的总面积为</w:t>
      </w:r>
      <w:r w:rsidRPr="008A2411">
        <w:rPr>
          <w:rFonts w:ascii="Times New Roman"/>
          <w:color w:val="000000" w:themeColor="text1"/>
          <w:szCs w:val="24"/>
        </w:rPr>
        <w:t>5940</w:t>
      </w:r>
      <w:r w:rsidRPr="008A2411">
        <w:rPr>
          <w:rFonts w:ascii="Times New Roman"/>
          <w:color w:val="000000" w:themeColor="text1"/>
        </w:rPr>
        <w:t>m</w:t>
      </w:r>
      <w:r w:rsidRPr="008A2411">
        <w:rPr>
          <w:rFonts w:ascii="Times New Roman"/>
          <w:color w:val="000000" w:themeColor="text1"/>
          <w:vertAlign w:val="superscript"/>
        </w:rPr>
        <w:t>2</w:t>
      </w:r>
      <w:r w:rsidRPr="008A2411">
        <w:rPr>
          <w:rFonts w:ascii="Times New Roman"/>
          <w:color w:val="000000" w:themeColor="text1"/>
        </w:rPr>
        <w:t>，考虑收集站内工艺装置区范围内</w:t>
      </w:r>
      <w:r w:rsidRPr="008A2411">
        <w:rPr>
          <w:rFonts w:ascii="Times New Roman"/>
          <w:color w:val="000000" w:themeColor="text1"/>
        </w:rPr>
        <w:t>30mm</w:t>
      </w:r>
      <w:r w:rsidRPr="008A2411">
        <w:rPr>
          <w:rFonts w:ascii="Times New Roman"/>
          <w:color w:val="000000" w:themeColor="text1"/>
        </w:rPr>
        <w:t>厚的降水量，作为一次污染雨水量，计算得收集雨水量</w:t>
      </w:r>
      <w:r w:rsidRPr="008A2411">
        <w:rPr>
          <w:rFonts w:ascii="Times New Roman"/>
          <w:color w:val="000000" w:themeColor="text1"/>
        </w:rPr>
        <w:t>178.2m</w:t>
      </w:r>
      <w:r w:rsidRPr="008A2411">
        <w:rPr>
          <w:rFonts w:ascii="Times New Roman"/>
          <w:color w:val="000000" w:themeColor="text1"/>
          <w:vertAlign w:val="superscript"/>
        </w:rPr>
        <w:t>3</w:t>
      </w:r>
      <w:r w:rsidRPr="008A2411">
        <w:rPr>
          <w:rFonts w:ascii="Times New Roman"/>
          <w:color w:val="000000" w:themeColor="text1"/>
        </w:rPr>
        <w:t>。</w:t>
      </w:r>
      <w:r w:rsidRPr="008A2411">
        <w:rPr>
          <w:rFonts w:ascii="Times New Roman" w:hint="eastAsia"/>
          <w:color w:val="000000" w:themeColor="text1"/>
        </w:rPr>
        <w:t>项目事故废水及初期雨水总量为</w:t>
      </w:r>
      <w:r w:rsidRPr="008A2411">
        <w:rPr>
          <w:rFonts w:ascii="Times New Roman" w:hint="eastAsia"/>
          <w:color w:val="000000" w:themeColor="text1"/>
        </w:rPr>
        <w:t>724.2</w:t>
      </w:r>
      <w:r w:rsidRPr="008A2411">
        <w:rPr>
          <w:rFonts w:ascii="Times New Roman"/>
          <w:color w:val="000000" w:themeColor="text1"/>
        </w:rPr>
        <w:t>m</w:t>
      </w:r>
      <w:r w:rsidRPr="008A2411">
        <w:rPr>
          <w:rFonts w:ascii="Times New Roman"/>
          <w:color w:val="000000" w:themeColor="text1"/>
          <w:vertAlign w:val="superscript"/>
        </w:rPr>
        <w:t>3</w:t>
      </w:r>
      <w:r w:rsidRPr="008A2411">
        <w:rPr>
          <w:rFonts w:ascii="Times New Roman" w:hint="eastAsia"/>
          <w:color w:val="000000" w:themeColor="text1"/>
        </w:rPr>
        <w:t>。</w:t>
      </w:r>
    </w:p>
    <w:p w14:paraId="6A553BCA" w14:textId="77777777" w:rsidR="00B0005F" w:rsidRPr="008A2411" w:rsidRDefault="00000000">
      <w:pPr>
        <w:spacing w:line="360" w:lineRule="auto"/>
        <w:ind w:firstLineChars="200" w:firstLine="480"/>
        <w:rPr>
          <w:rFonts w:ascii="Times New Roman"/>
          <w:color w:val="000000" w:themeColor="text1"/>
        </w:rPr>
      </w:pPr>
      <w:r w:rsidRPr="008A2411">
        <w:rPr>
          <w:rFonts w:ascii="Times New Roman" w:hint="eastAsia"/>
          <w:color w:val="000000" w:themeColor="text1"/>
        </w:rPr>
        <w:t>由此可见，本项目</w:t>
      </w:r>
      <w:r w:rsidRPr="008A2411">
        <w:rPr>
          <w:rFonts w:ascii="Times New Roman"/>
          <w:color w:val="000000" w:themeColor="text1"/>
        </w:rPr>
        <w:t>新建事故水池，有效容积</w:t>
      </w:r>
      <w:r w:rsidRPr="008A2411">
        <w:rPr>
          <w:rFonts w:ascii="Times New Roman" w:hint="eastAsia"/>
          <w:color w:val="000000" w:themeColor="text1"/>
        </w:rPr>
        <w:t>8</w:t>
      </w:r>
      <w:r w:rsidRPr="008A2411">
        <w:rPr>
          <w:rFonts w:ascii="Times New Roman"/>
          <w:color w:val="000000" w:themeColor="text1"/>
        </w:rPr>
        <w:t>00m</w:t>
      </w:r>
      <w:r w:rsidRPr="008A2411">
        <w:rPr>
          <w:rFonts w:ascii="Times New Roman"/>
          <w:color w:val="000000" w:themeColor="text1"/>
          <w:vertAlign w:val="superscript"/>
        </w:rPr>
        <w:t>3</w:t>
      </w:r>
      <w:r w:rsidRPr="008A2411">
        <w:rPr>
          <w:rFonts w:ascii="Times New Roman"/>
          <w:color w:val="000000" w:themeColor="text1"/>
        </w:rPr>
        <w:t>，该类废水</w:t>
      </w:r>
      <w:r w:rsidRPr="008A2411">
        <w:rPr>
          <w:rFonts w:ascii="Times New Roman" w:hint="eastAsia"/>
          <w:color w:val="000000" w:themeColor="text1"/>
        </w:rPr>
        <w:t>（事故泄漏污水、消防废水及初期雨水）</w:t>
      </w:r>
      <w:r w:rsidRPr="008A2411">
        <w:rPr>
          <w:rFonts w:ascii="Times New Roman"/>
          <w:color w:val="000000" w:themeColor="text1"/>
        </w:rPr>
        <w:t>通过站内工艺区周围的围堰收集，最终汇入事故水池由此可见，项目设置的事故水池的容积满足要求。</w:t>
      </w:r>
      <w:bookmarkEnd w:id="617"/>
      <w:r w:rsidRPr="008A2411">
        <w:rPr>
          <w:rFonts w:ascii="Times New Roman"/>
          <w:color w:val="000000" w:themeColor="text1"/>
        </w:rPr>
        <w:t>初期雨水及事故废水的处置可行。</w:t>
      </w:r>
      <w:r w:rsidRPr="008A2411">
        <w:rPr>
          <w:rFonts w:ascii="Times New Roman"/>
          <w:bCs/>
          <w:color w:val="000000" w:themeColor="text1"/>
        </w:rPr>
        <w:t>通过上述措施可有效收集、排泄场地雨水，做到雨污分流、清污分流，</w:t>
      </w:r>
      <w:r w:rsidRPr="008A2411">
        <w:rPr>
          <w:rFonts w:ascii="Times New Roman"/>
          <w:color w:val="000000" w:themeColor="text1"/>
        </w:rPr>
        <w:t>不会对区域环境造成影响。</w:t>
      </w:r>
    </w:p>
    <w:p w14:paraId="62E3A48C" w14:textId="77777777" w:rsidR="00B0005F" w:rsidRPr="008A2411" w:rsidRDefault="00000000">
      <w:pPr>
        <w:pStyle w:val="WJ"/>
        <w:adjustRightInd w:val="0"/>
        <w:snapToGrid w:val="0"/>
        <w:spacing w:line="360" w:lineRule="auto"/>
        <w:rPr>
          <w:rFonts w:ascii="Times New Roman" w:hAnsi="Times New Roman"/>
          <w:color w:val="000000" w:themeColor="text1"/>
        </w:rPr>
      </w:pPr>
      <w:bookmarkStart w:id="618" w:name="OLE_LINK172"/>
      <w:r w:rsidRPr="008A2411">
        <w:rPr>
          <w:rFonts w:ascii="Times New Roman" w:hAnsi="Times New Roman"/>
          <w:color w:val="000000" w:themeColor="text1"/>
        </w:rPr>
        <w:t>三、生活污水</w:t>
      </w:r>
    </w:p>
    <w:p w14:paraId="522C8BD7"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运营期站场生活污水由厂区污水处理站收集处理，排入园区污水处理厂，最终由宣汉县普光工业园区污水处理厂处理达标后排放。</w:t>
      </w:r>
    </w:p>
    <w:bookmarkEnd w:id="618"/>
    <w:p w14:paraId="11FD900C" w14:textId="77777777" w:rsidR="00B0005F" w:rsidRPr="008A2411" w:rsidRDefault="00000000">
      <w:pPr>
        <w:pStyle w:val="WJ"/>
        <w:adjustRightInd w:val="0"/>
        <w:snapToGrid w:val="0"/>
        <w:spacing w:line="360" w:lineRule="auto"/>
        <w:ind w:firstLineChars="0" w:firstLine="0"/>
        <w:rPr>
          <w:rFonts w:ascii="Times New Roman" w:eastAsia="黑体" w:hAnsi="Times New Roman"/>
          <w:color w:val="000000" w:themeColor="text1"/>
        </w:rPr>
      </w:pPr>
      <w:r w:rsidRPr="008A2411">
        <w:rPr>
          <w:rFonts w:ascii="Times New Roman" w:eastAsia="黑体" w:hAnsi="Times New Roman"/>
          <w:color w:val="000000" w:themeColor="text1"/>
        </w:rPr>
        <w:t>7.2.3</w:t>
      </w:r>
      <w:r w:rsidRPr="008A2411">
        <w:rPr>
          <w:rFonts w:ascii="Times New Roman" w:eastAsia="黑体" w:hAnsi="Times New Roman"/>
          <w:color w:val="000000" w:themeColor="text1"/>
        </w:rPr>
        <w:t>拟采取的废水污染防治措施的可行性分析</w:t>
      </w:r>
    </w:p>
    <w:p w14:paraId="478BE723"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1</w:t>
      </w:r>
      <w:r w:rsidRPr="008A2411">
        <w:rPr>
          <w:rFonts w:ascii="Times New Roman" w:hAnsi="Times New Roman"/>
          <w:color w:val="000000" w:themeColor="text1"/>
        </w:rPr>
        <w:t>）厂区污水处理措施的可行性分析</w:t>
      </w:r>
    </w:p>
    <w:p w14:paraId="5D2F0E31" w14:textId="77777777" w:rsidR="00B0005F" w:rsidRPr="008A2411" w:rsidRDefault="00000000">
      <w:pPr>
        <w:pStyle w:val="WJ"/>
        <w:adjustRightInd w:val="0"/>
        <w:snapToGrid w:val="0"/>
        <w:spacing w:line="360" w:lineRule="auto"/>
        <w:rPr>
          <w:rFonts w:ascii="Times New Roman" w:hAnsi="Times New Roman"/>
          <w:color w:val="000000" w:themeColor="text1"/>
          <w:kern w:val="0"/>
        </w:rPr>
      </w:pPr>
      <w:r w:rsidRPr="008A2411">
        <w:rPr>
          <w:rFonts w:ascii="Times New Roman" w:hAnsi="Times New Roman"/>
          <w:color w:val="000000" w:themeColor="text1"/>
        </w:rPr>
        <w:t>1</w:t>
      </w:r>
      <w:r w:rsidRPr="008A2411">
        <w:rPr>
          <w:rFonts w:ascii="Times New Roman" w:hAnsi="Times New Roman"/>
          <w:color w:val="000000" w:themeColor="text1"/>
        </w:rPr>
        <w:t>）</w:t>
      </w:r>
      <w:r w:rsidRPr="008A2411">
        <w:rPr>
          <w:rFonts w:ascii="Times New Roman" w:hAnsi="Times New Roman"/>
          <w:color w:val="000000" w:themeColor="text1"/>
          <w:kern w:val="0"/>
        </w:rPr>
        <w:t>厂区污水处理系统情况介绍</w:t>
      </w:r>
    </w:p>
    <w:p w14:paraId="71405DE4" w14:textId="77777777" w:rsidR="00B0005F" w:rsidRPr="008A2411" w:rsidRDefault="00000000">
      <w:pPr>
        <w:adjustRightInd w:val="0"/>
        <w:snapToGrid w:val="0"/>
        <w:spacing w:line="360" w:lineRule="auto"/>
        <w:ind w:firstLineChars="200" w:firstLine="480"/>
        <w:rPr>
          <w:rFonts w:ascii="Times New Roman"/>
          <w:color w:val="000000" w:themeColor="text1"/>
        </w:rPr>
      </w:pPr>
      <w:r w:rsidRPr="008A2411">
        <w:rPr>
          <w:rFonts w:ascii="Times New Roman"/>
          <w:color w:val="000000" w:themeColor="text1"/>
        </w:rPr>
        <w:t>根据项目废水排放特点，其水质中</w:t>
      </w:r>
      <w:r w:rsidRPr="008A2411">
        <w:rPr>
          <w:rFonts w:ascii="Times New Roman"/>
          <w:color w:val="000000" w:themeColor="text1"/>
        </w:rPr>
        <w:t>SS≤400mg/L</w:t>
      </w:r>
      <w:r w:rsidRPr="008A2411">
        <w:rPr>
          <w:rFonts w:ascii="Times New Roman"/>
          <w:color w:val="000000" w:themeColor="text1"/>
        </w:rPr>
        <w:t>、</w:t>
      </w:r>
      <w:r w:rsidRPr="008A2411">
        <w:rPr>
          <w:rFonts w:ascii="Times New Roman"/>
          <w:color w:val="000000" w:themeColor="text1"/>
        </w:rPr>
        <w:t xml:space="preserve"> COD≤350mg/L</w:t>
      </w:r>
      <w:r w:rsidRPr="008A2411">
        <w:rPr>
          <w:rFonts w:ascii="Times New Roman"/>
          <w:color w:val="000000" w:themeColor="text1"/>
        </w:rPr>
        <w:t>、氨氮</w:t>
      </w:r>
      <w:r w:rsidRPr="008A2411">
        <w:rPr>
          <w:rFonts w:ascii="Times New Roman"/>
          <w:color w:val="000000" w:themeColor="text1"/>
        </w:rPr>
        <w:t>≤25mg/L</w:t>
      </w:r>
      <w:r w:rsidRPr="008A2411">
        <w:rPr>
          <w:rFonts w:ascii="Times New Roman"/>
          <w:color w:val="000000" w:themeColor="text1"/>
        </w:rPr>
        <w:t>、总磷</w:t>
      </w:r>
      <w:r w:rsidRPr="008A2411">
        <w:rPr>
          <w:rFonts w:ascii="Times New Roman"/>
          <w:color w:val="000000" w:themeColor="text1"/>
        </w:rPr>
        <w:t>≤2.0mg/L</w:t>
      </w:r>
      <w:r w:rsidRPr="008A2411">
        <w:rPr>
          <w:rFonts w:ascii="Times New Roman"/>
          <w:color w:val="000000" w:themeColor="text1"/>
        </w:rPr>
        <w:t>，从经济、实用、稳定达标等方面考虑，根据生活废水成功案例废水处理系统拟选用生物处理</w:t>
      </w:r>
      <w:r w:rsidRPr="008A2411">
        <w:rPr>
          <w:rFonts w:ascii="Times New Roman"/>
          <w:color w:val="000000" w:themeColor="text1"/>
        </w:rPr>
        <w:t>+</w:t>
      </w:r>
      <w:r w:rsidRPr="008A2411">
        <w:rPr>
          <w:rFonts w:ascii="Times New Roman"/>
          <w:color w:val="000000" w:themeColor="text1"/>
        </w:rPr>
        <w:t>过滤系统。其主要工艺流程如下图</w:t>
      </w:r>
      <w:r w:rsidRPr="008A2411">
        <w:rPr>
          <w:rFonts w:ascii="Times New Roman"/>
          <w:color w:val="000000" w:themeColor="text1"/>
        </w:rPr>
        <w:t>5.2-1</w:t>
      </w:r>
      <w:r w:rsidRPr="008A2411">
        <w:rPr>
          <w:rFonts w:ascii="Times New Roman"/>
          <w:color w:val="000000" w:themeColor="text1"/>
        </w:rPr>
        <w:t>。</w:t>
      </w:r>
    </w:p>
    <w:p w14:paraId="4D5EE9D7" w14:textId="77777777" w:rsidR="00B0005F" w:rsidRPr="008A2411" w:rsidRDefault="00000000">
      <w:pPr>
        <w:widowControl/>
        <w:jc w:val="center"/>
        <w:rPr>
          <w:rFonts w:ascii="Times New Roman"/>
          <w:color w:val="000000" w:themeColor="text1"/>
        </w:rPr>
      </w:pPr>
      <w:r w:rsidRPr="008A2411">
        <w:rPr>
          <w:rFonts w:ascii="Times New Roman"/>
          <w:noProof/>
          <w:color w:val="000000" w:themeColor="text1"/>
          <w:szCs w:val="24"/>
          <w:lang w:bidi="ar"/>
        </w:rPr>
        <w:lastRenderedPageBreak/>
        <w:drawing>
          <wp:inline distT="0" distB="0" distL="114300" distR="114300" wp14:anchorId="1E32E554" wp14:editId="21949538">
            <wp:extent cx="4810760" cy="6497955"/>
            <wp:effectExtent l="0" t="0" r="5080" b="9525"/>
            <wp:docPr id="14" name="图片 1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IMG_256"/>
                    <pic:cNvPicPr>
                      <a:picLocks noChangeAspect="1"/>
                    </pic:cNvPicPr>
                  </pic:nvPicPr>
                  <pic:blipFill>
                    <a:blip r:embed="rId102"/>
                    <a:stretch>
                      <a:fillRect/>
                    </a:stretch>
                  </pic:blipFill>
                  <pic:spPr>
                    <a:xfrm>
                      <a:off x="0" y="0"/>
                      <a:ext cx="4810760" cy="6497955"/>
                    </a:xfrm>
                    <a:prstGeom prst="rect">
                      <a:avLst/>
                    </a:prstGeom>
                    <a:noFill/>
                    <a:ln w="9525">
                      <a:noFill/>
                    </a:ln>
                  </pic:spPr>
                </pic:pic>
              </a:graphicData>
            </a:graphic>
          </wp:inline>
        </w:drawing>
      </w:r>
    </w:p>
    <w:p w14:paraId="4D3DBA3E" w14:textId="77777777" w:rsidR="00B0005F" w:rsidRPr="008A2411" w:rsidRDefault="00000000">
      <w:pPr>
        <w:adjustRightInd w:val="0"/>
        <w:snapToGrid w:val="0"/>
        <w:spacing w:line="360" w:lineRule="auto"/>
        <w:jc w:val="center"/>
        <w:rPr>
          <w:rFonts w:ascii="Times New Roman" w:eastAsia="黑体"/>
          <w:color w:val="000000" w:themeColor="text1"/>
          <w:sz w:val="21"/>
          <w:szCs w:val="21"/>
        </w:rPr>
      </w:pPr>
      <w:r w:rsidRPr="008A2411">
        <w:rPr>
          <w:rFonts w:ascii="Times New Roman" w:eastAsia="黑体"/>
          <w:color w:val="000000" w:themeColor="text1"/>
          <w:sz w:val="21"/>
          <w:szCs w:val="21"/>
        </w:rPr>
        <w:t>图</w:t>
      </w:r>
      <w:r w:rsidRPr="008A2411">
        <w:rPr>
          <w:rFonts w:ascii="Times New Roman" w:eastAsia="黑体"/>
          <w:color w:val="000000" w:themeColor="text1"/>
          <w:sz w:val="21"/>
          <w:szCs w:val="21"/>
        </w:rPr>
        <w:t xml:space="preserve">5.2-1  </w:t>
      </w:r>
      <w:r w:rsidRPr="008A2411">
        <w:rPr>
          <w:rFonts w:ascii="Times New Roman" w:eastAsia="黑体"/>
          <w:color w:val="000000" w:themeColor="text1"/>
          <w:sz w:val="21"/>
          <w:szCs w:val="21"/>
        </w:rPr>
        <w:t>项目污水预处理系统工艺流程图</w:t>
      </w:r>
    </w:p>
    <w:p w14:paraId="541EADE5" w14:textId="77777777" w:rsidR="00B0005F" w:rsidRPr="008A2411" w:rsidRDefault="00000000">
      <w:pPr>
        <w:adjustRightInd w:val="0"/>
        <w:snapToGrid w:val="0"/>
        <w:spacing w:line="360" w:lineRule="auto"/>
        <w:jc w:val="left"/>
        <w:rPr>
          <w:rFonts w:ascii="Times New Roman" w:eastAsiaTheme="minorEastAsia"/>
          <w:b/>
          <w:bCs/>
          <w:color w:val="000000" w:themeColor="text1"/>
        </w:rPr>
      </w:pPr>
      <w:r w:rsidRPr="008A2411">
        <w:rPr>
          <w:rFonts w:ascii="Times New Roman" w:eastAsiaTheme="minorEastAsia"/>
          <w:b/>
          <w:bCs/>
          <w:color w:val="000000" w:themeColor="text1"/>
        </w:rPr>
        <w:t>工艺说明：</w:t>
      </w:r>
    </w:p>
    <w:p w14:paraId="38020E12" w14:textId="77777777" w:rsidR="00B0005F" w:rsidRPr="008A2411" w:rsidRDefault="00000000">
      <w:pPr>
        <w:adjustRightInd w:val="0"/>
        <w:snapToGrid w:val="0"/>
        <w:spacing w:line="360" w:lineRule="auto"/>
        <w:ind w:firstLineChars="200" w:firstLine="482"/>
        <w:jc w:val="left"/>
        <w:rPr>
          <w:rFonts w:ascii="Times New Roman" w:eastAsiaTheme="minorEastAsia"/>
          <w:color w:val="000000" w:themeColor="text1"/>
        </w:rPr>
      </w:pPr>
      <w:r w:rsidRPr="008A2411">
        <w:rPr>
          <w:rFonts w:ascii="Times New Roman" w:eastAsiaTheme="minorEastAsia"/>
          <w:b/>
          <w:bCs/>
          <w:color w:val="000000" w:themeColor="text1"/>
        </w:rPr>
        <w:t>格栅井：</w:t>
      </w:r>
      <w:r w:rsidRPr="008A2411">
        <w:rPr>
          <w:rFonts w:ascii="Times New Roman" w:eastAsiaTheme="minorEastAsia"/>
          <w:color w:val="000000" w:themeColor="text1"/>
        </w:rPr>
        <w:t>生活污水流至格栅，</w:t>
      </w:r>
      <w:proofErr w:type="gramStart"/>
      <w:r w:rsidRPr="008A2411">
        <w:rPr>
          <w:rFonts w:ascii="Times New Roman" w:eastAsiaTheme="minorEastAsia"/>
          <w:color w:val="000000" w:themeColor="text1"/>
        </w:rPr>
        <w:t>不</w:t>
      </w:r>
      <w:proofErr w:type="gramEnd"/>
      <w:r w:rsidRPr="008A2411">
        <w:rPr>
          <w:rFonts w:ascii="Times New Roman" w:eastAsiaTheme="minorEastAsia"/>
          <w:color w:val="000000" w:themeColor="text1"/>
        </w:rPr>
        <w:t>亲水性上浮物及杂物由格栅拦截人工清除后进入污水收集池，在收集池内设空气进行定期搅拌，防止细小颗粒沉降；污水在收集池内充分混合后进入水解酸化池，在水解酸化池反应器内进行缺氧反应，将缺氧反应控制在水解酸化阶段，由大分子转化为小分子</w:t>
      </w:r>
      <w:r w:rsidRPr="008A2411">
        <w:rPr>
          <w:rFonts w:ascii="Times New Roman" w:eastAsiaTheme="minorEastAsia"/>
          <w:color w:val="000000" w:themeColor="text1"/>
        </w:rPr>
        <w:t>;</w:t>
      </w:r>
      <w:r w:rsidRPr="008A2411">
        <w:rPr>
          <w:rFonts w:ascii="Times New Roman" w:eastAsiaTheme="minorEastAsia"/>
          <w:color w:val="000000" w:themeColor="text1"/>
        </w:rPr>
        <w:t>进入后段生物接触氧化</w:t>
      </w:r>
      <w:proofErr w:type="gramStart"/>
      <w:r w:rsidRPr="008A2411">
        <w:rPr>
          <w:rFonts w:ascii="Times New Roman" w:eastAsiaTheme="minorEastAsia"/>
          <w:color w:val="000000" w:themeColor="text1"/>
        </w:rPr>
        <w:t>池处理</w:t>
      </w:r>
      <w:proofErr w:type="gramEnd"/>
      <w:r w:rsidRPr="008A2411">
        <w:rPr>
          <w:rFonts w:ascii="Times New Roman" w:eastAsiaTheme="minorEastAsia"/>
          <w:color w:val="000000" w:themeColor="text1"/>
        </w:rPr>
        <w:t>,</w:t>
      </w:r>
      <w:r w:rsidRPr="008A2411">
        <w:rPr>
          <w:rFonts w:ascii="Times New Roman" w:eastAsiaTheme="minorEastAsia"/>
          <w:color w:val="000000" w:themeColor="text1"/>
        </w:rPr>
        <w:t>该</w:t>
      </w:r>
      <w:proofErr w:type="gramStart"/>
      <w:r w:rsidRPr="008A2411">
        <w:rPr>
          <w:rFonts w:ascii="Times New Roman" w:eastAsiaTheme="minorEastAsia"/>
          <w:color w:val="000000" w:themeColor="text1"/>
        </w:rPr>
        <w:t>池具有</w:t>
      </w:r>
      <w:proofErr w:type="gramEnd"/>
      <w:r w:rsidRPr="008A2411">
        <w:rPr>
          <w:rFonts w:ascii="Times New Roman" w:eastAsiaTheme="minorEastAsia"/>
          <w:color w:val="000000" w:themeColor="text1"/>
        </w:rPr>
        <w:t>多功能</w:t>
      </w:r>
      <w:r w:rsidRPr="008A2411">
        <w:rPr>
          <w:rFonts w:ascii="Times New Roman" w:eastAsiaTheme="minorEastAsia"/>
          <w:color w:val="000000" w:themeColor="text1"/>
        </w:rPr>
        <w:t>,</w:t>
      </w:r>
      <w:r w:rsidRPr="008A2411">
        <w:rPr>
          <w:rFonts w:ascii="Times New Roman" w:eastAsiaTheme="minorEastAsia"/>
          <w:color w:val="000000" w:themeColor="text1"/>
        </w:rPr>
        <w:t>是由共附于生物滤材上微生物将水中有机污染物吸附、消化、分解方式处理去除，突出优点是抑制</w:t>
      </w:r>
      <w:proofErr w:type="gramStart"/>
      <w:r w:rsidRPr="008A2411">
        <w:rPr>
          <w:rFonts w:ascii="Times New Roman" w:eastAsiaTheme="minorEastAsia"/>
          <w:color w:val="000000" w:themeColor="text1"/>
        </w:rPr>
        <w:t>丝壮菌</w:t>
      </w:r>
      <w:proofErr w:type="gramEnd"/>
      <w:r w:rsidRPr="008A2411">
        <w:rPr>
          <w:rFonts w:ascii="Times New Roman" w:eastAsiaTheme="minorEastAsia"/>
          <w:color w:val="000000" w:themeColor="text1"/>
        </w:rPr>
        <w:t>大量繁殖，不会出现污泥膨胀</w:t>
      </w:r>
      <w:r w:rsidRPr="008A2411">
        <w:rPr>
          <w:rFonts w:ascii="Times New Roman" w:eastAsiaTheme="minorEastAsia"/>
          <w:color w:val="000000" w:themeColor="text1"/>
        </w:rPr>
        <w:lastRenderedPageBreak/>
        <w:t>现象。经过生物作用后进入生物沉淀池，在沉淀池内以稳流方式提供静态环境进行固液分离。上清液溢流进入清水池，通过</w:t>
      </w:r>
      <w:r w:rsidRPr="008A2411">
        <w:rPr>
          <w:rFonts w:ascii="Times New Roman" w:eastAsiaTheme="minorEastAsia"/>
          <w:color w:val="000000" w:themeColor="text1"/>
        </w:rPr>
        <w:t>TF</w:t>
      </w:r>
      <w:r w:rsidRPr="008A2411">
        <w:rPr>
          <w:rFonts w:ascii="Times New Roman" w:eastAsiaTheme="minorEastAsia"/>
          <w:color w:val="000000" w:themeColor="text1"/>
        </w:rPr>
        <w:t>超滤作用再进入活性炭吸附去除残余的有机物，然后消毒回用。</w:t>
      </w:r>
    </w:p>
    <w:p w14:paraId="41E2A740" w14:textId="77777777" w:rsidR="00B0005F" w:rsidRPr="008A2411" w:rsidRDefault="00000000">
      <w:pPr>
        <w:adjustRightInd w:val="0"/>
        <w:snapToGrid w:val="0"/>
        <w:spacing w:line="360" w:lineRule="auto"/>
        <w:ind w:firstLineChars="200" w:firstLine="482"/>
        <w:jc w:val="left"/>
        <w:rPr>
          <w:rFonts w:ascii="Times New Roman" w:eastAsiaTheme="minorEastAsia"/>
          <w:color w:val="000000" w:themeColor="text1"/>
        </w:rPr>
      </w:pPr>
      <w:r w:rsidRPr="008A2411">
        <w:rPr>
          <w:rFonts w:ascii="Times New Roman" w:eastAsiaTheme="minorEastAsia"/>
          <w:b/>
          <w:bCs/>
          <w:color w:val="000000" w:themeColor="text1"/>
        </w:rPr>
        <w:t>水解酸化池：</w:t>
      </w:r>
      <w:r w:rsidRPr="008A2411">
        <w:rPr>
          <w:rFonts w:ascii="Times New Roman" w:eastAsiaTheme="minorEastAsia"/>
          <w:color w:val="000000" w:themeColor="text1"/>
        </w:rPr>
        <w:t>水解酸化主要是利用微生物的水解菌和产酸</w:t>
      </w:r>
      <w:proofErr w:type="gramStart"/>
      <w:r w:rsidRPr="008A2411">
        <w:rPr>
          <w:rFonts w:ascii="Times New Roman" w:eastAsiaTheme="minorEastAsia"/>
          <w:color w:val="000000" w:themeColor="text1"/>
        </w:rPr>
        <w:t>菌</w:t>
      </w:r>
      <w:proofErr w:type="gramEnd"/>
      <w:r w:rsidRPr="008A2411">
        <w:rPr>
          <w:rFonts w:ascii="Times New Roman" w:eastAsiaTheme="minorEastAsia"/>
          <w:color w:val="000000" w:themeColor="text1"/>
        </w:rPr>
        <w:t>完成水解、酸化两个阶段，通过释放微生物细胞外自由酶或连接在细胞外壁上的固定酶来完成生物催化氧化反应，将大分子有机物裂解为小分子及其水溶物，进一步提高废水好氧作用效果，同时也可以降解部分表面活性剂。</w:t>
      </w:r>
    </w:p>
    <w:p w14:paraId="2F370C81" w14:textId="77777777" w:rsidR="00B0005F" w:rsidRPr="008A2411" w:rsidRDefault="00000000">
      <w:pPr>
        <w:adjustRightInd w:val="0"/>
        <w:snapToGrid w:val="0"/>
        <w:spacing w:line="360" w:lineRule="auto"/>
        <w:ind w:firstLineChars="200" w:firstLine="482"/>
        <w:jc w:val="left"/>
        <w:rPr>
          <w:rFonts w:ascii="Times New Roman" w:eastAsiaTheme="minorEastAsia"/>
          <w:color w:val="000000" w:themeColor="text1"/>
        </w:rPr>
      </w:pPr>
      <w:r w:rsidRPr="008A2411">
        <w:rPr>
          <w:rFonts w:ascii="Times New Roman" w:eastAsiaTheme="minorEastAsia"/>
          <w:b/>
          <w:bCs/>
          <w:color w:val="000000" w:themeColor="text1"/>
        </w:rPr>
        <w:t>生物接触氧化池：</w:t>
      </w:r>
      <w:proofErr w:type="gramStart"/>
      <w:r w:rsidRPr="008A2411">
        <w:rPr>
          <w:rFonts w:ascii="Times New Roman" w:eastAsiaTheme="minorEastAsia"/>
          <w:color w:val="000000" w:themeColor="text1"/>
        </w:rPr>
        <w:t>生物接解氧</w:t>
      </w:r>
      <w:proofErr w:type="gramEnd"/>
      <w:r w:rsidRPr="008A2411">
        <w:rPr>
          <w:rFonts w:ascii="Times New Roman" w:eastAsiaTheme="minorEastAsia"/>
          <w:color w:val="000000" w:themeColor="text1"/>
        </w:rPr>
        <w:t>化法是介于活性污泥法和生物滤池之间的生物膜法工艺；池内设有生物填料，它是微生物的栖息场地。部分微生物以生物膜的形式固着生长在填料的表面，部分则是絮状悬浮生长在水中。生物接触氧化法中微生物所需的氧通过鼓风曝气系统供给。利用细菌得新陈代谢分解有机物，当生物膜生长至一定的厚度时，微生物将由缺氧而进行厌氧代谢，造成老化生物膜的脱落，并促成新的生物膜的生长。</w:t>
      </w:r>
    </w:p>
    <w:p w14:paraId="6DE78AED" w14:textId="77777777" w:rsidR="00B0005F" w:rsidRPr="008A2411" w:rsidRDefault="00000000">
      <w:pPr>
        <w:adjustRightInd w:val="0"/>
        <w:snapToGrid w:val="0"/>
        <w:spacing w:line="360" w:lineRule="auto"/>
        <w:ind w:firstLineChars="200" w:firstLine="482"/>
        <w:jc w:val="left"/>
        <w:rPr>
          <w:rFonts w:ascii="Times New Roman" w:eastAsiaTheme="minorEastAsia"/>
          <w:color w:val="000000" w:themeColor="text1"/>
        </w:rPr>
      </w:pPr>
      <w:r w:rsidRPr="008A2411">
        <w:rPr>
          <w:rFonts w:ascii="Times New Roman" w:eastAsiaTheme="minorEastAsia"/>
          <w:b/>
          <w:bCs/>
          <w:color w:val="000000" w:themeColor="text1"/>
        </w:rPr>
        <w:t>TF</w:t>
      </w:r>
      <w:r w:rsidRPr="008A2411">
        <w:rPr>
          <w:rFonts w:ascii="Times New Roman" w:eastAsiaTheme="minorEastAsia"/>
          <w:b/>
          <w:bCs/>
          <w:color w:val="000000" w:themeColor="text1"/>
        </w:rPr>
        <w:t>超滤系统：</w:t>
      </w:r>
      <w:r w:rsidRPr="008A2411">
        <w:rPr>
          <w:rFonts w:ascii="Times New Roman" w:eastAsiaTheme="minorEastAsia"/>
          <w:color w:val="000000" w:themeColor="text1"/>
        </w:rPr>
        <w:t>TF-MEMBRANE</w:t>
      </w:r>
      <w:r w:rsidRPr="008A2411">
        <w:rPr>
          <w:rFonts w:ascii="Times New Roman" w:eastAsiaTheme="minorEastAsia"/>
          <w:color w:val="000000" w:themeColor="text1"/>
        </w:rPr>
        <w:t>超滤膜是融合了外压式中空纤维</w:t>
      </w:r>
      <w:r w:rsidRPr="008A2411">
        <w:rPr>
          <w:rFonts w:ascii="Times New Roman" w:eastAsiaTheme="minorEastAsia"/>
          <w:color w:val="000000" w:themeColor="text1"/>
        </w:rPr>
        <w:t>(UF)</w:t>
      </w:r>
      <w:r w:rsidRPr="008A2411">
        <w:rPr>
          <w:rFonts w:ascii="Times New Roman" w:eastAsiaTheme="minorEastAsia"/>
          <w:color w:val="000000" w:themeColor="text1"/>
        </w:rPr>
        <w:t>膜及管式</w:t>
      </w:r>
      <w:proofErr w:type="gramStart"/>
      <w:r w:rsidRPr="008A2411">
        <w:rPr>
          <w:rFonts w:ascii="Times New Roman" w:eastAsiaTheme="minorEastAsia"/>
          <w:color w:val="000000" w:themeColor="text1"/>
        </w:rPr>
        <w:t>浓缩膜于一体</w:t>
      </w:r>
      <w:proofErr w:type="gramEnd"/>
      <w:r w:rsidRPr="008A2411">
        <w:rPr>
          <w:rFonts w:ascii="Times New Roman" w:eastAsiaTheme="minorEastAsia"/>
          <w:color w:val="000000" w:themeColor="text1"/>
        </w:rPr>
        <w:t>的最新过滤，它可将原水浓缩到</w:t>
      </w:r>
      <w:r w:rsidRPr="008A2411">
        <w:rPr>
          <w:rFonts w:ascii="Times New Roman" w:eastAsiaTheme="minorEastAsia"/>
          <w:color w:val="000000" w:themeColor="text1"/>
        </w:rPr>
        <w:t>10000(NTU)</w:t>
      </w:r>
      <w:r w:rsidRPr="008A2411">
        <w:rPr>
          <w:rFonts w:ascii="Times New Roman" w:eastAsiaTheme="minorEastAsia"/>
          <w:color w:val="000000" w:themeColor="text1"/>
        </w:rPr>
        <w:t>以上。</w:t>
      </w:r>
      <w:r w:rsidRPr="008A2411">
        <w:rPr>
          <w:rFonts w:ascii="Times New Roman" w:eastAsiaTheme="minorEastAsia"/>
          <w:color w:val="000000" w:themeColor="text1"/>
        </w:rPr>
        <w:t>TF-MEMBRANE</w:t>
      </w:r>
      <w:r w:rsidRPr="008A2411">
        <w:rPr>
          <w:rFonts w:ascii="Times New Roman" w:eastAsiaTheme="minorEastAsia"/>
          <w:color w:val="000000" w:themeColor="text1"/>
        </w:rPr>
        <w:t>超滤膜可根据不同的原水水源随意更换不同膜材质，不同膜面积的膜丝。其内</w:t>
      </w:r>
      <w:proofErr w:type="gramStart"/>
      <w:r w:rsidRPr="008A2411">
        <w:rPr>
          <w:rFonts w:ascii="Times New Roman" w:eastAsiaTheme="minorEastAsia"/>
          <w:color w:val="000000" w:themeColor="text1"/>
        </w:rPr>
        <w:t>胆</w:t>
      </w:r>
      <w:proofErr w:type="gramEnd"/>
      <w:r w:rsidRPr="008A2411">
        <w:rPr>
          <w:rFonts w:ascii="Times New Roman" w:eastAsiaTheme="minorEastAsia"/>
          <w:color w:val="000000" w:themeColor="text1"/>
        </w:rPr>
        <w:t>滤膜为可更换式，可实现单独更换内胆滤膜及离壳浸泡或清洗的动作，无需将膜壳更换丢弃，充分实现环保节能的新领域。传统的中空纤维</w:t>
      </w:r>
      <w:r w:rsidRPr="008A2411">
        <w:rPr>
          <w:rFonts w:ascii="Times New Roman" w:eastAsiaTheme="minorEastAsia"/>
          <w:color w:val="000000" w:themeColor="text1"/>
        </w:rPr>
        <w:t>(UF)</w:t>
      </w:r>
      <w:r w:rsidRPr="008A2411">
        <w:rPr>
          <w:rFonts w:ascii="Times New Roman" w:eastAsiaTheme="minorEastAsia"/>
          <w:color w:val="000000" w:themeColor="text1"/>
        </w:rPr>
        <w:t>膜因膜壳内</w:t>
      </w:r>
      <w:proofErr w:type="gramStart"/>
      <w:r w:rsidRPr="008A2411">
        <w:rPr>
          <w:rFonts w:ascii="Times New Roman" w:eastAsiaTheme="minorEastAsia"/>
          <w:color w:val="000000" w:themeColor="text1"/>
        </w:rPr>
        <w:t>的膜丝被</w:t>
      </w:r>
      <w:proofErr w:type="gramEnd"/>
      <w:r w:rsidRPr="008A2411">
        <w:rPr>
          <w:rFonts w:ascii="Times New Roman" w:eastAsiaTheme="minorEastAsia"/>
          <w:color w:val="000000" w:themeColor="text1"/>
        </w:rPr>
        <w:t>固定</w:t>
      </w:r>
      <w:proofErr w:type="gramStart"/>
      <w:r w:rsidRPr="008A2411">
        <w:rPr>
          <w:rFonts w:ascii="Times New Roman" w:eastAsiaTheme="minorEastAsia"/>
          <w:color w:val="000000" w:themeColor="text1"/>
        </w:rPr>
        <w:t>封装于膜壳</w:t>
      </w:r>
      <w:proofErr w:type="gramEnd"/>
      <w:r w:rsidRPr="008A2411">
        <w:rPr>
          <w:rFonts w:ascii="Times New Roman" w:eastAsiaTheme="minorEastAsia"/>
          <w:color w:val="000000" w:themeColor="text1"/>
        </w:rPr>
        <w:t>两端，膜壳内膜丝因数量多，</w:t>
      </w:r>
      <w:proofErr w:type="gramStart"/>
      <w:r w:rsidRPr="008A2411">
        <w:rPr>
          <w:rFonts w:ascii="Times New Roman" w:eastAsiaTheme="minorEastAsia"/>
          <w:color w:val="000000" w:themeColor="text1"/>
        </w:rPr>
        <w:t>膜丝与膜丝</w:t>
      </w:r>
      <w:proofErr w:type="gramEnd"/>
      <w:r w:rsidRPr="008A2411">
        <w:rPr>
          <w:rFonts w:ascii="Times New Roman" w:eastAsiaTheme="minorEastAsia"/>
          <w:color w:val="000000" w:themeColor="text1"/>
        </w:rPr>
        <w:t>容易纠结、篡位、沾</w:t>
      </w:r>
      <w:proofErr w:type="gramStart"/>
      <w:r w:rsidRPr="008A2411">
        <w:rPr>
          <w:rFonts w:ascii="Times New Roman" w:eastAsiaTheme="minorEastAsia"/>
          <w:color w:val="000000" w:themeColor="text1"/>
        </w:rPr>
        <w:t>黏</w:t>
      </w:r>
      <w:proofErr w:type="gramEnd"/>
      <w:r w:rsidRPr="008A2411">
        <w:rPr>
          <w:rFonts w:ascii="Times New Roman" w:eastAsiaTheme="minorEastAsia"/>
          <w:color w:val="000000" w:themeColor="text1"/>
        </w:rPr>
        <w:t>、杂乱、造成过多的无效膜丝。当在反洗时因上述因素，反洗困难，污物不易排出；更换式的内胆滤膜内有优越的均布多孔排污口，可充分发挥良好的排污效果，且能将各个膜丝束排列均匀，使</w:t>
      </w:r>
      <w:proofErr w:type="gramStart"/>
      <w:r w:rsidRPr="008A2411">
        <w:rPr>
          <w:rFonts w:ascii="Times New Roman" w:eastAsiaTheme="minorEastAsia"/>
          <w:color w:val="000000" w:themeColor="text1"/>
        </w:rPr>
        <w:t>其膜丝</w:t>
      </w:r>
      <w:proofErr w:type="gramEnd"/>
      <w:r w:rsidRPr="008A2411">
        <w:rPr>
          <w:rFonts w:ascii="Times New Roman" w:eastAsiaTheme="minorEastAsia"/>
          <w:color w:val="000000" w:themeColor="text1"/>
        </w:rPr>
        <w:t>不打结不篡位，污物不容易沾</w:t>
      </w:r>
      <w:proofErr w:type="gramStart"/>
      <w:r w:rsidRPr="008A2411">
        <w:rPr>
          <w:rFonts w:ascii="Times New Roman" w:eastAsiaTheme="minorEastAsia"/>
          <w:color w:val="000000" w:themeColor="text1"/>
        </w:rPr>
        <w:t>黏</w:t>
      </w:r>
      <w:proofErr w:type="gramEnd"/>
      <w:r w:rsidRPr="008A2411">
        <w:rPr>
          <w:rFonts w:ascii="Times New Roman" w:eastAsiaTheme="minorEastAsia"/>
          <w:color w:val="000000" w:themeColor="text1"/>
        </w:rPr>
        <w:t>，即可延长过滤时间，且反洗速度快又彻底，大块污物</w:t>
      </w:r>
      <w:r w:rsidRPr="008A2411">
        <w:rPr>
          <w:rFonts w:ascii="Times New Roman" w:eastAsiaTheme="minorEastAsia"/>
          <w:color w:val="000000" w:themeColor="text1"/>
        </w:rPr>
        <w:t>(</w:t>
      </w:r>
      <w:r w:rsidRPr="008A2411">
        <w:rPr>
          <w:rFonts w:ascii="Times New Roman" w:eastAsiaTheme="minorEastAsia"/>
          <w:color w:val="000000" w:themeColor="text1"/>
        </w:rPr>
        <w:t>泥</w:t>
      </w:r>
      <w:r w:rsidRPr="008A2411">
        <w:rPr>
          <w:rFonts w:ascii="Times New Roman" w:eastAsiaTheme="minorEastAsia"/>
          <w:color w:val="000000" w:themeColor="text1"/>
        </w:rPr>
        <w:t>)</w:t>
      </w:r>
      <w:r w:rsidRPr="008A2411">
        <w:rPr>
          <w:rFonts w:ascii="Times New Roman" w:eastAsiaTheme="minorEastAsia"/>
          <w:color w:val="000000" w:themeColor="text1"/>
        </w:rPr>
        <w:t>的排出效果好。</w:t>
      </w:r>
    </w:p>
    <w:p w14:paraId="66C98CAC" w14:textId="77777777" w:rsidR="00B0005F" w:rsidRPr="008A2411" w:rsidRDefault="00000000">
      <w:pPr>
        <w:adjustRightInd w:val="0"/>
        <w:snapToGrid w:val="0"/>
        <w:spacing w:line="360" w:lineRule="auto"/>
        <w:ind w:firstLineChars="200" w:firstLine="482"/>
        <w:jc w:val="left"/>
        <w:rPr>
          <w:rFonts w:ascii="Times New Roman" w:eastAsiaTheme="minorEastAsia"/>
          <w:color w:val="000000" w:themeColor="text1"/>
        </w:rPr>
      </w:pPr>
      <w:r w:rsidRPr="008A2411">
        <w:rPr>
          <w:rFonts w:ascii="Times New Roman" w:eastAsiaTheme="minorEastAsia"/>
          <w:b/>
          <w:bCs/>
          <w:color w:val="000000" w:themeColor="text1"/>
        </w:rPr>
        <w:t>活性炭过滤器：</w:t>
      </w:r>
      <w:r w:rsidRPr="008A2411">
        <w:rPr>
          <w:rFonts w:ascii="Times New Roman" w:eastAsiaTheme="minorEastAsia"/>
          <w:color w:val="000000" w:themeColor="text1"/>
        </w:rPr>
        <w:t>活性炭是一种主要由含碳材料制成的外观呈黑色，内部孔隙结构发达、比表面积大、吸附能力强的一类微晶质碳素材料。活性炭自身独特的孔隙结构材料，内部微孔结构发达，是一种优良的吸附剂。活性炭工艺在水处理领域中占有相当重要的地位，是水深度处理中不可缺少的工艺，它所具有的某些特殊功效是其它水处理工艺所无法替代的。可去除水中部分由铁、锰及植物分解生成物或有机污染物等所形成的色度，可去除嗅味及氧化性，去除残余的</w:t>
      </w:r>
      <w:r w:rsidRPr="008A2411">
        <w:rPr>
          <w:rFonts w:ascii="Times New Roman" w:eastAsiaTheme="minorEastAsia"/>
          <w:color w:val="000000" w:themeColor="text1"/>
        </w:rPr>
        <w:t>COD</w:t>
      </w:r>
      <w:r w:rsidRPr="008A2411">
        <w:rPr>
          <w:rFonts w:ascii="Times New Roman" w:eastAsiaTheme="minorEastAsia"/>
          <w:color w:val="000000" w:themeColor="text1"/>
        </w:rPr>
        <w:t>。</w:t>
      </w:r>
      <w:r w:rsidRPr="008A2411">
        <w:rPr>
          <w:rFonts w:ascii="Times New Roman" w:eastAsiaTheme="minorEastAsia"/>
          <w:color w:val="000000" w:themeColor="text1"/>
        </w:rPr>
        <w:lastRenderedPageBreak/>
        <w:t>为保证系统设备稳定运行、出水水质及出水流量、故障排除、反洗等稳定因素，该系统配置</w:t>
      </w:r>
      <w:r w:rsidRPr="008A2411">
        <w:rPr>
          <w:rFonts w:ascii="Times New Roman" w:eastAsiaTheme="minorEastAsia"/>
          <w:color w:val="000000" w:themeColor="text1"/>
        </w:rPr>
        <w:t>1</w:t>
      </w:r>
      <w:r w:rsidRPr="008A2411">
        <w:rPr>
          <w:rFonts w:ascii="Times New Roman" w:eastAsiaTheme="minorEastAsia"/>
          <w:color w:val="000000" w:themeColor="text1"/>
        </w:rPr>
        <w:t>台活性炭过滤器，过滤器内填精制果壳型活性炭，在正常工作情况时，正常流速</w:t>
      </w:r>
      <w:r w:rsidRPr="008A2411">
        <w:rPr>
          <w:rFonts w:ascii="Times New Roman" w:eastAsiaTheme="minorEastAsia"/>
          <w:color w:val="000000" w:themeColor="text1"/>
        </w:rPr>
        <w:t>8-12m/h</w:t>
      </w:r>
      <w:r w:rsidRPr="008A2411">
        <w:rPr>
          <w:rFonts w:ascii="Times New Roman" w:eastAsiaTheme="minorEastAsia"/>
          <w:color w:val="000000" w:themeColor="text1"/>
        </w:rPr>
        <w:t>。</w:t>
      </w:r>
    </w:p>
    <w:p w14:paraId="5D2695F3" w14:textId="77777777" w:rsidR="00B0005F" w:rsidRPr="008A2411" w:rsidRDefault="00000000">
      <w:pPr>
        <w:adjustRightInd w:val="0"/>
        <w:snapToGrid w:val="0"/>
        <w:spacing w:line="360" w:lineRule="auto"/>
        <w:ind w:firstLineChars="200" w:firstLine="480"/>
        <w:rPr>
          <w:rFonts w:ascii="Times New Roman"/>
          <w:color w:val="000000" w:themeColor="text1"/>
          <w:szCs w:val="24"/>
        </w:rPr>
      </w:pPr>
      <w:r w:rsidRPr="008A2411">
        <w:rPr>
          <w:rFonts w:ascii="Times New Roman"/>
          <w:color w:val="000000" w:themeColor="text1"/>
          <w:szCs w:val="24"/>
        </w:rPr>
        <w:t>2</w:t>
      </w:r>
      <w:r w:rsidRPr="008A2411">
        <w:rPr>
          <w:rFonts w:ascii="Times New Roman"/>
          <w:color w:val="000000" w:themeColor="text1"/>
          <w:szCs w:val="24"/>
        </w:rPr>
        <w:t>）厂区污水处理设施的可行性分析</w:t>
      </w:r>
    </w:p>
    <w:p w14:paraId="2C536199" w14:textId="77777777" w:rsidR="00B0005F" w:rsidRPr="008A2411" w:rsidRDefault="00000000">
      <w:pPr>
        <w:spacing w:line="360" w:lineRule="auto"/>
        <w:ind w:firstLineChars="200" w:firstLine="480"/>
        <w:jc w:val="left"/>
        <w:rPr>
          <w:rFonts w:ascii="Times New Roman"/>
          <w:color w:val="000000" w:themeColor="text1"/>
        </w:rPr>
      </w:pPr>
      <w:r w:rsidRPr="008A2411">
        <w:rPr>
          <w:rFonts w:ascii="Times New Roman"/>
          <w:color w:val="000000" w:themeColor="text1"/>
          <w:szCs w:val="24"/>
        </w:rPr>
        <w:t>根据设计方案，项目设计出水水质</w:t>
      </w:r>
      <w:r w:rsidRPr="008A2411">
        <w:rPr>
          <w:rFonts w:ascii="Times New Roman"/>
          <w:color w:val="000000" w:themeColor="text1"/>
        </w:rPr>
        <w:t>《污水综合排放标准》（</w:t>
      </w:r>
      <w:r w:rsidRPr="008A2411">
        <w:rPr>
          <w:rFonts w:ascii="Times New Roman"/>
          <w:color w:val="000000" w:themeColor="text1"/>
        </w:rPr>
        <w:t>GB8978-1996</w:t>
      </w:r>
      <w:r w:rsidRPr="008A2411">
        <w:rPr>
          <w:rFonts w:ascii="Times New Roman"/>
          <w:color w:val="000000" w:themeColor="text1"/>
        </w:rPr>
        <w:t>）表</w:t>
      </w:r>
      <w:r w:rsidRPr="008A2411">
        <w:rPr>
          <w:rFonts w:ascii="Times New Roman"/>
          <w:color w:val="000000" w:themeColor="text1"/>
        </w:rPr>
        <w:t>4</w:t>
      </w:r>
      <w:proofErr w:type="gramStart"/>
      <w:r w:rsidRPr="008A2411">
        <w:rPr>
          <w:rFonts w:ascii="Times New Roman"/>
          <w:color w:val="000000" w:themeColor="text1"/>
        </w:rPr>
        <w:t>三</w:t>
      </w:r>
      <w:proofErr w:type="gramEnd"/>
      <w:r w:rsidRPr="008A2411">
        <w:rPr>
          <w:rFonts w:ascii="Times New Roman"/>
          <w:color w:val="000000" w:themeColor="text1"/>
        </w:rPr>
        <w:t>级标准</w:t>
      </w:r>
      <w:r w:rsidRPr="008A2411">
        <w:rPr>
          <w:rFonts w:ascii="Times New Roman"/>
          <w:color w:val="000000" w:themeColor="text1"/>
        </w:rPr>
        <w:t>(</w:t>
      </w:r>
      <w:r w:rsidRPr="008A2411">
        <w:rPr>
          <w:rFonts w:ascii="Times New Roman"/>
          <w:color w:val="000000" w:themeColor="text1"/>
        </w:rPr>
        <w:t>单位：</w:t>
      </w:r>
      <w:r w:rsidRPr="008A2411">
        <w:rPr>
          <w:rFonts w:ascii="Times New Roman"/>
          <w:color w:val="000000" w:themeColor="text1"/>
        </w:rPr>
        <w:t>mg/l)</w:t>
      </w:r>
      <w:r w:rsidRPr="008A2411">
        <w:rPr>
          <w:rFonts w:ascii="Times New Roman"/>
          <w:color w:val="000000" w:themeColor="text1"/>
        </w:rPr>
        <w:t>，能够满足园区的纳管要求，且该处理工艺为较成熟的生化法处理工艺，能够满足水质处理稳定达标排放的要求，因此，本项目自建污水预处理系统的措施可行。</w:t>
      </w:r>
    </w:p>
    <w:p w14:paraId="7D6AA690" w14:textId="77777777" w:rsidR="00B0005F" w:rsidRPr="008A2411" w:rsidRDefault="00000000">
      <w:pPr>
        <w:adjustRightInd w:val="0"/>
        <w:snapToGrid w:val="0"/>
        <w:spacing w:line="360" w:lineRule="auto"/>
        <w:rPr>
          <w:rFonts w:ascii="Times New Roman"/>
          <w:color w:val="000000" w:themeColor="text1"/>
        </w:rPr>
      </w:pPr>
      <w:r w:rsidRPr="008A2411">
        <w:rPr>
          <w:rFonts w:ascii="Times New Roman"/>
          <w:color w:val="000000" w:themeColor="text1"/>
        </w:rPr>
        <w:t>（</w:t>
      </w:r>
      <w:r w:rsidRPr="008A2411">
        <w:rPr>
          <w:rFonts w:ascii="Times New Roman"/>
          <w:color w:val="000000" w:themeColor="text1"/>
        </w:rPr>
        <w:t>2</w:t>
      </w:r>
      <w:r w:rsidRPr="008A2411">
        <w:rPr>
          <w:rFonts w:ascii="Times New Roman"/>
          <w:color w:val="000000" w:themeColor="text1"/>
        </w:rPr>
        <w:t>）排入园区管网的依托可行性分析</w:t>
      </w:r>
    </w:p>
    <w:p w14:paraId="7F84EBA7" w14:textId="77777777" w:rsidR="00B0005F" w:rsidRPr="008A2411" w:rsidRDefault="00000000">
      <w:pPr>
        <w:adjustRightInd w:val="0"/>
        <w:snapToGrid w:val="0"/>
        <w:spacing w:line="360" w:lineRule="auto"/>
        <w:ind w:firstLineChars="200" w:firstLine="480"/>
        <w:rPr>
          <w:rFonts w:ascii="Times New Roman"/>
          <w:color w:val="000000" w:themeColor="text1"/>
          <w:szCs w:val="24"/>
        </w:rPr>
      </w:pPr>
      <w:r w:rsidRPr="008A2411">
        <w:rPr>
          <w:rFonts w:ascii="Times New Roman"/>
          <w:color w:val="000000" w:themeColor="text1"/>
          <w:szCs w:val="24"/>
        </w:rPr>
        <w:t>1</w:t>
      </w:r>
      <w:r w:rsidRPr="008A2411">
        <w:rPr>
          <w:rFonts w:ascii="Times New Roman"/>
          <w:color w:val="000000" w:themeColor="text1"/>
          <w:szCs w:val="24"/>
        </w:rPr>
        <w:t>）宣汉县普光工业园区污水处理厂现状</w:t>
      </w:r>
    </w:p>
    <w:p w14:paraId="295163ED" w14:textId="77777777" w:rsidR="00B0005F" w:rsidRPr="008A2411" w:rsidRDefault="00000000">
      <w:pPr>
        <w:adjustRightInd w:val="0"/>
        <w:snapToGrid w:val="0"/>
        <w:spacing w:line="360" w:lineRule="auto"/>
        <w:ind w:firstLineChars="200" w:firstLine="480"/>
        <w:rPr>
          <w:rFonts w:ascii="Times New Roman"/>
          <w:color w:val="000000" w:themeColor="text1"/>
          <w:szCs w:val="24"/>
        </w:rPr>
      </w:pPr>
      <w:r w:rsidRPr="008A2411">
        <w:rPr>
          <w:rFonts w:ascii="Times New Roman"/>
          <w:color w:val="000000" w:themeColor="text1"/>
          <w:szCs w:val="24"/>
        </w:rPr>
        <w:t>宣汉县普光工业园区污水处理厂位于宣汉县土主镇石人村的普光经济开发区普</w:t>
      </w:r>
      <w:proofErr w:type="gramStart"/>
      <w:r w:rsidRPr="008A2411">
        <w:rPr>
          <w:rFonts w:ascii="Times New Roman"/>
          <w:color w:val="000000" w:themeColor="text1"/>
          <w:szCs w:val="24"/>
        </w:rPr>
        <w:t>光功能</w:t>
      </w:r>
      <w:proofErr w:type="gramEnd"/>
      <w:r w:rsidRPr="008A2411">
        <w:rPr>
          <w:rFonts w:ascii="Times New Roman"/>
          <w:color w:val="000000" w:themeColor="text1"/>
          <w:szCs w:val="24"/>
        </w:rPr>
        <w:t>区内。该污水处理厂于</w:t>
      </w:r>
      <w:r w:rsidRPr="008A2411">
        <w:rPr>
          <w:rFonts w:ascii="Times New Roman"/>
          <w:color w:val="000000" w:themeColor="text1"/>
          <w:szCs w:val="24"/>
          <w:lang w:bidi="ar"/>
        </w:rPr>
        <w:t>2013</w:t>
      </w:r>
      <w:r w:rsidRPr="008A2411">
        <w:rPr>
          <w:rFonts w:ascii="Times New Roman"/>
          <w:color w:val="000000" w:themeColor="text1"/>
          <w:szCs w:val="24"/>
          <w:lang w:bidi="ar"/>
        </w:rPr>
        <w:t>年</w:t>
      </w:r>
      <w:r w:rsidRPr="008A2411">
        <w:rPr>
          <w:rFonts w:ascii="Times New Roman"/>
          <w:color w:val="000000" w:themeColor="text1"/>
          <w:szCs w:val="24"/>
          <w:lang w:bidi="ar"/>
        </w:rPr>
        <w:t>5</w:t>
      </w:r>
      <w:r w:rsidRPr="008A2411">
        <w:rPr>
          <w:rFonts w:ascii="Times New Roman"/>
          <w:color w:val="000000" w:themeColor="text1"/>
          <w:szCs w:val="24"/>
          <w:lang w:bidi="ar"/>
        </w:rPr>
        <w:t>月西南交通大学完成了《宣汉县普光工业园区污水处理厂工程项目环境影响报告书》的编制，</w:t>
      </w:r>
      <w:r w:rsidRPr="008A2411">
        <w:rPr>
          <w:rFonts w:ascii="Times New Roman"/>
          <w:color w:val="000000" w:themeColor="text1"/>
          <w:szCs w:val="24"/>
          <w:lang w:bidi="ar"/>
        </w:rPr>
        <w:t>2013</w:t>
      </w:r>
      <w:r w:rsidRPr="008A2411">
        <w:rPr>
          <w:rFonts w:ascii="Times New Roman"/>
          <w:color w:val="000000" w:themeColor="text1"/>
          <w:szCs w:val="24"/>
          <w:lang w:bidi="ar"/>
        </w:rPr>
        <w:t>年月</w:t>
      </w:r>
      <w:r w:rsidRPr="008A2411">
        <w:rPr>
          <w:rFonts w:ascii="Times New Roman"/>
          <w:color w:val="000000" w:themeColor="text1"/>
          <w:szCs w:val="24"/>
          <w:lang w:bidi="ar"/>
        </w:rPr>
        <w:t>6</w:t>
      </w:r>
      <w:r w:rsidRPr="008A2411">
        <w:rPr>
          <w:rFonts w:ascii="Times New Roman"/>
          <w:color w:val="000000" w:themeColor="text1"/>
          <w:szCs w:val="24"/>
          <w:lang w:bidi="ar"/>
        </w:rPr>
        <w:t>月</w:t>
      </w:r>
      <w:r w:rsidRPr="008A2411">
        <w:rPr>
          <w:rFonts w:ascii="Times New Roman"/>
          <w:color w:val="000000" w:themeColor="text1"/>
          <w:szCs w:val="24"/>
          <w:lang w:bidi="ar"/>
        </w:rPr>
        <w:t>17</w:t>
      </w:r>
      <w:r w:rsidRPr="008A2411">
        <w:rPr>
          <w:rFonts w:ascii="Times New Roman"/>
          <w:color w:val="000000" w:themeColor="text1"/>
          <w:szCs w:val="24"/>
          <w:lang w:bidi="ar"/>
        </w:rPr>
        <w:t>日宣汉县环境保护局以</w:t>
      </w:r>
      <w:r w:rsidRPr="008A2411">
        <w:rPr>
          <w:rFonts w:ascii="Times New Roman" w:hint="eastAsia"/>
          <w:color w:val="000000" w:themeColor="text1"/>
          <w:szCs w:val="24"/>
          <w:lang w:bidi="ar"/>
        </w:rPr>
        <w:t>“</w:t>
      </w:r>
      <w:r w:rsidRPr="008A2411">
        <w:rPr>
          <w:rFonts w:ascii="Times New Roman"/>
          <w:color w:val="000000" w:themeColor="text1"/>
          <w:szCs w:val="24"/>
          <w:lang w:bidi="ar"/>
        </w:rPr>
        <w:t>宣环审</w:t>
      </w:r>
      <w:r w:rsidRPr="008A2411">
        <w:rPr>
          <w:rFonts w:ascii="Times New Roman"/>
          <w:color w:val="000000" w:themeColor="text1"/>
          <w:szCs w:val="24"/>
          <w:lang w:bidi="ar"/>
        </w:rPr>
        <w:t>[2013]45</w:t>
      </w:r>
      <w:r w:rsidRPr="008A2411">
        <w:rPr>
          <w:rFonts w:ascii="Times New Roman"/>
          <w:color w:val="000000" w:themeColor="text1"/>
          <w:szCs w:val="24"/>
          <w:lang w:bidi="ar"/>
        </w:rPr>
        <w:t>号</w:t>
      </w:r>
      <w:r w:rsidRPr="008A2411">
        <w:rPr>
          <w:rFonts w:ascii="Times New Roman" w:hint="eastAsia"/>
          <w:color w:val="000000" w:themeColor="text1"/>
          <w:szCs w:val="24"/>
          <w:lang w:bidi="ar"/>
        </w:rPr>
        <w:t>”</w:t>
      </w:r>
      <w:r w:rsidRPr="008A2411">
        <w:rPr>
          <w:rFonts w:ascii="Times New Roman"/>
          <w:color w:val="000000" w:themeColor="text1"/>
          <w:szCs w:val="24"/>
          <w:lang w:bidi="ar"/>
        </w:rPr>
        <w:t>对该环评报书进行了批复。该厂于</w:t>
      </w:r>
      <w:r w:rsidRPr="008A2411">
        <w:rPr>
          <w:rFonts w:ascii="Times New Roman"/>
          <w:color w:val="000000" w:themeColor="text1"/>
          <w:szCs w:val="24"/>
          <w:lang w:bidi="ar"/>
        </w:rPr>
        <w:t>2014</w:t>
      </w:r>
      <w:r w:rsidRPr="008A2411">
        <w:rPr>
          <w:rFonts w:ascii="Times New Roman"/>
          <w:color w:val="000000" w:themeColor="text1"/>
          <w:szCs w:val="24"/>
          <w:lang w:bidi="ar"/>
        </w:rPr>
        <w:t>年</w:t>
      </w:r>
      <w:r w:rsidRPr="008A2411">
        <w:rPr>
          <w:rFonts w:ascii="Times New Roman"/>
          <w:color w:val="000000" w:themeColor="text1"/>
          <w:szCs w:val="24"/>
          <w:lang w:bidi="ar"/>
        </w:rPr>
        <w:t>5</w:t>
      </w:r>
      <w:r w:rsidRPr="008A2411">
        <w:rPr>
          <w:rFonts w:ascii="Times New Roman"/>
          <w:color w:val="000000" w:themeColor="text1"/>
          <w:szCs w:val="24"/>
          <w:lang w:bidi="ar"/>
        </w:rPr>
        <w:t>月开始建设，厂区于</w:t>
      </w:r>
      <w:r w:rsidRPr="008A2411">
        <w:rPr>
          <w:rFonts w:ascii="Times New Roman"/>
          <w:color w:val="000000" w:themeColor="text1"/>
          <w:szCs w:val="24"/>
          <w:lang w:bidi="ar"/>
        </w:rPr>
        <w:t>2018</w:t>
      </w:r>
      <w:r w:rsidRPr="008A2411">
        <w:rPr>
          <w:rFonts w:ascii="Times New Roman"/>
          <w:color w:val="000000" w:themeColor="text1"/>
          <w:szCs w:val="24"/>
          <w:lang w:bidi="ar"/>
        </w:rPr>
        <w:t>年</w:t>
      </w:r>
      <w:r w:rsidRPr="008A2411">
        <w:rPr>
          <w:rFonts w:ascii="Times New Roman"/>
          <w:color w:val="000000" w:themeColor="text1"/>
          <w:szCs w:val="24"/>
          <w:lang w:bidi="ar"/>
        </w:rPr>
        <w:t>4</w:t>
      </w:r>
      <w:r w:rsidRPr="008A2411">
        <w:rPr>
          <w:rFonts w:ascii="Times New Roman"/>
          <w:color w:val="000000" w:themeColor="text1"/>
          <w:szCs w:val="24"/>
          <w:lang w:bidi="ar"/>
        </w:rPr>
        <w:t>月开始建设，项目整体于</w:t>
      </w:r>
      <w:r w:rsidRPr="008A2411">
        <w:rPr>
          <w:rFonts w:ascii="Times New Roman"/>
          <w:color w:val="000000" w:themeColor="text1"/>
          <w:szCs w:val="24"/>
          <w:lang w:bidi="ar"/>
        </w:rPr>
        <w:t>2020</w:t>
      </w:r>
      <w:r w:rsidRPr="008A2411">
        <w:rPr>
          <w:rFonts w:ascii="Times New Roman"/>
          <w:color w:val="000000" w:themeColor="text1"/>
          <w:szCs w:val="24"/>
          <w:lang w:bidi="ar"/>
        </w:rPr>
        <w:t>年</w:t>
      </w:r>
      <w:r w:rsidRPr="008A2411">
        <w:rPr>
          <w:rFonts w:ascii="Times New Roman"/>
          <w:color w:val="000000" w:themeColor="text1"/>
          <w:szCs w:val="24"/>
          <w:lang w:bidi="ar"/>
        </w:rPr>
        <w:t>9</w:t>
      </w:r>
      <w:r w:rsidRPr="008A2411">
        <w:rPr>
          <w:rFonts w:ascii="Times New Roman"/>
          <w:color w:val="000000" w:themeColor="text1"/>
          <w:szCs w:val="24"/>
          <w:lang w:bidi="ar"/>
        </w:rPr>
        <w:t>月建设完成，于</w:t>
      </w:r>
      <w:r w:rsidRPr="008A2411">
        <w:rPr>
          <w:rFonts w:ascii="Times New Roman"/>
          <w:color w:val="000000" w:themeColor="text1"/>
          <w:szCs w:val="24"/>
          <w:lang w:bidi="ar"/>
        </w:rPr>
        <w:t>2021</w:t>
      </w:r>
      <w:r w:rsidRPr="008A2411">
        <w:rPr>
          <w:rFonts w:ascii="Times New Roman"/>
          <w:color w:val="000000" w:themeColor="text1"/>
          <w:szCs w:val="24"/>
          <w:lang w:bidi="ar"/>
        </w:rPr>
        <w:t>年</w:t>
      </w:r>
      <w:r w:rsidRPr="008A2411">
        <w:rPr>
          <w:rFonts w:ascii="Times New Roman"/>
          <w:color w:val="000000" w:themeColor="text1"/>
          <w:szCs w:val="24"/>
          <w:lang w:bidi="ar"/>
        </w:rPr>
        <w:t>4</w:t>
      </w:r>
      <w:r w:rsidRPr="008A2411">
        <w:rPr>
          <w:rFonts w:ascii="Times New Roman"/>
          <w:color w:val="000000" w:themeColor="text1"/>
          <w:szCs w:val="24"/>
          <w:lang w:bidi="ar"/>
        </w:rPr>
        <w:t>月正式投入生产。目前实际建设</w:t>
      </w:r>
      <w:r w:rsidRPr="008A2411">
        <w:rPr>
          <w:rFonts w:ascii="Times New Roman"/>
          <w:color w:val="000000" w:themeColor="text1"/>
          <w:szCs w:val="24"/>
        </w:rPr>
        <w:t>规模为</w:t>
      </w:r>
      <w:r w:rsidRPr="008A2411">
        <w:rPr>
          <w:rFonts w:ascii="Times New Roman"/>
          <w:color w:val="000000" w:themeColor="text1"/>
          <w:szCs w:val="24"/>
        </w:rPr>
        <w:t>2000m</w:t>
      </w:r>
      <w:r w:rsidRPr="008A2411">
        <w:rPr>
          <w:rFonts w:ascii="Times New Roman"/>
          <w:color w:val="000000" w:themeColor="text1"/>
          <w:szCs w:val="24"/>
          <w:vertAlign w:val="superscript"/>
        </w:rPr>
        <w:t>3</w:t>
      </w:r>
      <w:r w:rsidRPr="008A2411">
        <w:rPr>
          <w:rFonts w:ascii="Times New Roman"/>
          <w:color w:val="000000" w:themeColor="text1"/>
          <w:szCs w:val="24"/>
        </w:rPr>
        <w:t>/d</w:t>
      </w:r>
      <w:r w:rsidRPr="008A2411">
        <w:rPr>
          <w:rFonts w:ascii="Times New Roman"/>
          <w:color w:val="000000" w:themeColor="text1"/>
          <w:szCs w:val="24"/>
        </w:rPr>
        <w:t>。</w:t>
      </w:r>
    </w:p>
    <w:p w14:paraId="3273311F" w14:textId="77777777" w:rsidR="00B0005F" w:rsidRPr="008A2411" w:rsidRDefault="00000000">
      <w:pPr>
        <w:adjustRightInd w:val="0"/>
        <w:snapToGrid w:val="0"/>
        <w:spacing w:line="360" w:lineRule="auto"/>
        <w:ind w:firstLineChars="200" w:firstLine="480"/>
        <w:rPr>
          <w:rFonts w:ascii="Times New Roman"/>
          <w:color w:val="000000" w:themeColor="text1"/>
          <w:szCs w:val="24"/>
        </w:rPr>
      </w:pPr>
      <w:r w:rsidRPr="008A2411">
        <w:rPr>
          <w:rFonts w:ascii="Times New Roman"/>
          <w:color w:val="000000" w:themeColor="text1"/>
          <w:szCs w:val="24"/>
        </w:rPr>
        <w:t>2</w:t>
      </w:r>
      <w:r w:rsidRPr="008A2411">
        <w:rPr>
          <w:rFonts w:ascii="Times New Roman"/>
          <w:color w:val="000000" w:themeColor="text1"/>
          <w:szCs w:val="24"/>
        </w:rPr>
        <w:t>）水处理工艺</w:t>
      </w:r>
    </w:p>
    <w:p w14:paraId="08304AAE" w14:textId="77777777" w:rsidR="00B0005F" w:rsidRPr="008A2411" w:rsidRDefault="00000000">
      <w:pPr>
        <w:widowControl/>
        <w:adjustRightInd w:val="0"/>
        <w:snapToGrid w:val="0"/>
        <w:spacing w:line="360" w:lineRule="auto"/>
        <w:ind w:firstLineChars="200" w:firstLine="480"/>
        <w:rPr>
          <w:rFonts w:ascii="Times New Roman"/>
          <w:color w:val="000000" w:themeColor="text1"/>
          <w:szCs w:val="24"/>
          <w:lang w:bidi="ar"/>
        </w:rPr>
      </w:pPr>
      <w:r w:rsidRPr="008A2411">
        <w:rPr>
          <w:rFonts w:ascii="Times New Roman"/>
          <w:color w:val="000000" w:themeColor="text1"/>
          <w:szCs w:val="24"/>
          <w:lang w:bidi="ar"/>
        </w:rPr>
        <w:t>工业园区污水通过格栅去除污水中纸屑及漂浮物等，防止堵塞后续处理设备和设施，</w:t>
      </w:r>
      <w:proofErr w:type="gramStart"/>
      <w:r w:rsidRPr="008A2411">
        <w:rPr>
          <w:rFonts w:ascii="Times New Roman"/>
          <w:color w:val="000000" w:themeColor="text1"/>
          <w:szCs w:val="24"/>
          <w:lang w:bidi="ar"/>
        </w:rPr>
        <w:t>产生栅渣定期</w:t>
      </w:r>
      <w:proofErr w:type="gramEnd"/>
      <w:r w:rsidRPr="008A2411">
        <w:rPr>
          <w:rFonts w:ascii="Times New Roman"/>
          <w:color w:val="000000" w:themeColor="text1"/>
          <w:szCs w:val="24"/>
          <w:lang w:bidi="ar"/>
        </w:rPr>
        <w:t>清理外运处理，然后污水自流流至旋流沉砂池，通过旋流沉砂池对污水进行水量调节及水质均匀，有利用保证后续生化处理系统稳定运行，确保达标排放，在旋流沉砂池内安装污水提升泵，将污水提升至厌氧缺氧池，在厌氧缺氧池中与好氧消化的回流混合液进行充分混合，在缺氧环境下进行生物脱氮，以去除污水中的氨氮，为了提高处理效果，缺氧池出水自流进入好氧接触氧化池，在好氧接触氧化池内布置了生物填料，好氧微生物附着在上面生长、繁殖，从而达到消耗水中污染物，曝气方式采用曝气器曝气</w:t>
      </w:r>
      <w:r w:rsidRPr="008A2411">
        <w:rPr>
          <w:rFonts w:ascii="Times New Roman"/>
          <w:color w:val="000000" w:themeColor="text1"/>
          <w:szCs w:val="24"/>
          <w:lang w:bidi="ar"/>
        </w:rPr>
        <w:t xml:space="preserve"> </w:t>
      </w:r>
      <w:r w:rsidRPr="008A2411">
        <w:rPr>
          <w:rFonts w:ascii="Times New Roman"/>
          <w:color w:val="000000" w:themeColor="text1"/>
          <w:szCs w:val="24"/>
          <w:lang w:bidi="ar"/>
        </w:rPr>
        <w:t>充氧，在有氧的情况下，借助好氧微生物</w:t>
      </w:r>
      <w:r w:rsidRPr="008A2411">
        <w:rPr>
          <w:rFonts w:ascii="Times New Roman"/>
          <w:color w:val="000000" w:themeColor="text1"/>
          <w:szCs w:val="24"/>
          <w:lang w:bidi="ar"/>
        </w:rPr>
        <w:t>(</w:t>
      </w:r>
      <w:r w:rsidRPr="008A2411">
        <w:rPr>
          <w:rFonts w:ascii="Times New Roman"/>
          <w:color w:val="000000" w:themeColor="text1"/>
          <w:szCs w:val="24"/>
          <w:lang w:bidi="ar"/>
        </w:rPr>
        <w:t>主要是好氧菌及兼性菌，包括兼性微生物</w:t>
      </w:r>
      <w:r w:rsidRPr="008A2411">
        <w:rPr>
          <w:rFonts w:ascii="Times New Roman"/>
          <w:color w:val="000000" w:themeColor="text1"/>
          <w:szCs w:val="24"/>
          <w:lang w:bidi="ar"/>
        </w:rPr>
        <w:t>)</w:t>
      </w:r>
      <w:r w:rsidRPr="008A2411">
        <w:rPr>
          <w:rFonts w:ascii="Times New Roman"/>
          <w:color w:val="000000" w:themeColor="text1"/>
          <w:szCs w:val="24"/>
          <w:lang w:bidi="ar"/>
        </w:rPr>
        <w:t>的生长繁殖，</w:t>
      </w:r>
      <w:proofErr w:type="gramStart"/>
      <w:r w:rsidRPr="008A2411">
        <w:rPr>
          <w:rFonts w:ascii="Times New Roman"/>
          <w:color w:val="000000" w:themeColor="text1"/>
          <w:szCs w:val="24"/>
          <w:lang w:bidi="ar"/>
        </w:rPr>
        <w:t>经好氧处理</w:t>
      </w:r>
      <w:proofErr w:type="gramEnd"/>
      <w:r w:rsidRPr="008A2411">
        <w:rPr>
          <w:rFonts w:ascii="Times New Roman"/>
          <w:color w:val="000000" w:themeColor="text1"/>
          <w:szCs w:val="24"/>
          <w:lang w:bidi="ar"/>
        </w:rPr>
        <w:t>后的水自流进入</w:t>
      </w:r>
      <w:proofErr w:type="gramStart"/>
      <w:r w:rsidRPr="008A2411">
        <w:rPr>
          <w:rFonts w:ascii="Times New Roman"/>
          <w:color w:val="000000" w:themeColor="text1"/>
          <w:szCs w:val="24"/>
          <w:lang w:bidi="ar"/>
        </w:rPr>
        <w:t>二沉池</w:t>
      </w:r>
      <w:proofErr w:type="gramEnd"/>
      <w:r w:rsidRPr="008A2411">
        <w:rPr>
          <w:rFonts w:ascii="Times New Roman"/>
          <w:color w:val="000000" w:themeColor="text1"/>
          <w:szCs w:val="24"/>
          <w:lang w:bidi="ar"/>
        </w:rPr>
        <w:t>，在该池中进行泥水分离。</w:t>
      </w:r>
      <w:proofErr w:type="gramStart"/>
      <w:r w:rsidRPr="008A2411">
        <w:rPr>
          <w:rFonts w:ascii="Times New Roman"/>
          <w:color w:val="000000" w:themeColor="text1"/>
          <w:szCs w:val="24"/>
          <w:lang w:bidi="ar"/>
        </w:rPr>
        <w:t>二沉池采用竖</w:t>
      </w:r>
      <w:proofErr w:type="gramEnd"/>
      <w:r w:rsidRPr="008A2411">
        <w:rPr>
          <w:rFonts w:ascii="Times New Roman"/>
          <w:color w:val="000000" w:themeColor="text1"/>
          <w:szCs w:val="24"/>
          <w:lang w:bidi="ar"/>
        </w:rPr>
        <w:t>流式沉淀池，池内安装中心导流筒，采用中心进水，四周溢流水方式，进入中间水池，经中间水池处理的水进入</w:t>
      </w:r>
      <w:r w:rsidRPr="008A2411">
        <w:rPr>
          <w:rFonts w:ascii="Times New Roman"/>
          <w:color w:val="000000" w:themeColor="text1"/>
          <w:szCs w:val="24"/>
        </w:rPr>
        <w:t>滤布滤池</w:t>
      </w:r>
      <w:r w:rsidRPr="008A2411">
        <w:rPr>
          <w:rFonts w:ascii="Times New Roman"/>
          <w:color w:val="000000" w:themeColor="text1"/>
          <w:szCs w:val="24"/>
          <w:lang w:bidi="ar"/>
        </w:rPr>
        <w:t>，</w:t>
      </w:r>
      <w:r w:rsidRPr="008A2411">
        <w:rPr>
          <w:rFonts w:ascii="Times New Roman"/>
          <w:color w:val="000000" w:themeColor="text1"/>
          <w:szCs w:val="24"/>
        </w:rPr>
        <w:t>滤布滤池采用</w:t>
      </w:r>
      <w:r w:rsidRPr="008A2411">
        <w:rPr>
          <w:rFonts w:ascii="Times New Roman"/>
          <w:color w:val="000000" w:themeColor="text1"/>
          <w:szCs w:val="24"/>
        </w:rPr>
        <w:t>DA863</w:t>
      </w:r>
      <w:r w:rsidRPr="008A2411">
        <w:rPr>
          <w:rFonts w:ascii="Times New Roman"/>
          <w:color w:val="000000" w:themeColor="text1"/>
          <w:szCs w:val="24"/>
        </w:rPr>
        <w:t>彗星式滤料，小阻力配水系统，</w:t>
      </w:r>
      <w:proofErr w:type="gramStart"/>
      <w:r w:rsidRPr="008A2411">
        <w:rPr>
          <w:rFonts w:ascii="Times New Roman"/>
          <w:color w:val="000000" w:themeColor="text1"/>
          <w:szCs w:val="24"/>
        </w:rPr>
        <w:t>气水</w:t>
      </w:r>
      <w:proofErr w:type="gramEnd"/>
      <w:r w:rsidRPr="008A2411">
        <w:rPr>
          <w:rFonts w:ascii="Times New Roman"/>
          <w:color w:val="000000" w:themeColor="text1"/>
          <w:szCs w:val="24"/>
        </w:rPr>
        <w:t>反冲洗，恒水位或变水位过滤方式。</w:t>
      </w:r>
      <w:r w:rsidRPr="008A2411">
        <w:rPr>
          <w:rFonts w:ascii="Times New Roman"/>
          <w:color w:val="000000" w:themeColor="text1"/>
          <w:szCs w:val="24"/>
          <w:lang w:bidi="ar"/>
        </w:rPr>
        <w:t>剩余污泥排至污泥池，净化</w:t>
      </w:r>
      <w:r w:rsidRPr="008A2411">
        <w:rPr>
          <w:rFonts w:ascii="Times New Roman"/>
          <w:color w:val="000000" w:themeColor="text1"/>
          <w:szCs w:val="24"/>
          <w:lang w:bidi="ar"/>
        </w:rPr>
        <w:lastRenderedPageBreak/>
        <w:t>后</w:t>
      </w:r>
      <w:proofErr w:type="gramStart"/>
      <w:r w:rsidRPr="008A2411">
        <w:rPr>
          <w:rFonts w:ascii="Times New Roman"/>
          <w:color w:val="000000" w:themeColor="text1"/>
          <w:szCs w:val="24"/>
          <w:lang w:bidi="ar"/>
        </w:rPr>
        <w:t>水经紫外</w:t>
      </w:r>
      <w:proofErr w:type="gramEnd"/>
      <w:r w:rsidRPr="008A2411">
        <w:rPr>
          <w:rFonts w:ascii="Times New Roman"/>
          <w:color w:val="000000" w:themeColor="text1"/>
          <w:szCs w:val="24"/>
          <w:lang w:bidi="ar"/>
        </w:rPr>
        <w:t>消毒处理后实现达到排放标准。通过以上工艺净化处理后最终达标排放至后河。</w:t>
      </w:r>
      <w:r w:rsidRPr="008A2411">
        <w:rPr>
          <w:rFonts w:ascii="Times New Roman"/>
          <w:color w:val="000000" w:themeColor="text1"/>
          <w:szCs w:val="24"/>
          <w:lang w:bidi="ar"/>
        </w:rPr>
        <w:t xml:space="preserve"> </w:t>
      </w:r>
    </w:p>
    <w:p w14:paraId="3FADB593" w14:textId="77777777" w:rsidR="00B0005F" w:rsidRPr="008A2411" w:rsidRDefault="00000000">
      <w:pPr>
        <w:widowControl/>
        <w:adjustRightInd w:val="0"/>
        <w:snapToGrid w:val="0"/>
        <w:spacing w:line="360" w:lineRule="auto"/>
        <w:ind w:firstLineChars="200" w:firstLine="480"/>
        <w:jc w:val="left"/>
        <w:rPr>
          <w:rFonts w:ascii="Times New Roman"/>
          <w:color w:val="000000" w:themeColor="text1"/>
          <w:szCs w:val="24"/>
          <w:lang w:bidi="ar"/>
        </w:rPr>
      </w:pPr>
      <w:r w:rsidRPr="008A2411">
        <w:rPr>
          <w:rFonts w:ascii="Times New Roman"/>
          <w:color w:val="000000" w:themeColor="text1"/>
          <w:szCs w:val="24"/>
          <w:lang w:bidi="ar"/>
        </w:rPr>
        <w:t>污泥处理：</w:t>
      </w:r>
      <w:proofErr w:type="gramStart"/>
      <w:r w:rsidRPr="008A2411">
        <w:rPr>
          <w:rFonts w:ascii="Times New Roman"/>
          <w:color w:val="000000" w:themeColor="text1"/>
          <w:szCs w:val="24"/>
          <w:lang w:bidi="ar"/>
        </w:rPr>
        <w:t>二沉池</w:t>
      </w:r>
      <w:proofErr w:type="gramEnd"/>
      <w:r w:rsidRPr="008A2411">
        <w:rPr>
          <w:rFonts w:ascii="Times New Roman"/>
          <w:color w:val="000000" w:themeColor="text1"/>
          <w:szCs w:val="24"/>
          <w:lang w:bidi="ar"/>
        </w:rPr>
        <w:t>沉淀下来的生化污泥，一部分用于补充接触氧化池内流失的污泥，另一部分剩余污泥则排放至污泥池进行贮存。</w:t>
      </w:r>
      <w:r w:rsidRPr="008A2411">
        <w:rPr>
          <w:rFonts w:ascii="Times New Roman"/>
          <w:color w:val="000000" w:themeColor="text1"/>
          <w:szCs w:val="24"/>
          <w:lang w:bidi="ar"/>
        </w:rPr>
        <w:t xml:space="preserve"> </w:t>
      </w:r>
    </w:p>
    <w:p w14:paraId="061BA35F" w14:textId="77777777" w:rsidR="00B0005F" w:rsidRPr="008A2411" w:rsidRDefault="00000000">
      <w:pPr>
        <w:adjustRightInd w:val="0"/>
        <w:snapToGrid w:val="0"/>
        <w:spacing w:line="360" w:lineRule="auto"/>
        <w:ind w:firstLineChars="200" w:firstLine="480"/>
        <w:rPr>
          <w:rFonts w:ascii="Times New Roman"/>
          <w:snapToGrid w:val="0"/>
          <w:color w:val="000000" w:themeColor="text1"/>
          <w:szCs w:val="24"/>
          <w:lang w:val="zh-CN"/>
        </w:rPr>
      </w:pPr>
      <w:r w:rsidRPr="008A2411">
        <w:rPr>
          <w:rFonts w:ascii="Times New Roman"/>
          <w:color w:val="000000" w:themeColor="text1"/>
          <w:szCs w:val="24"/>
          <w:lang w:bidi="ar"/>
        </w:rPr>
        <w:t>消毒工艺：</w:t>
      </w:r>
      <w:r w:rsidRPr="008A2411">
        <w:rPr>
          <w:rFonts w:ascii="Times New Roman"/>
          <w:snapToGrid w:val="0"/>
          <w:color w:val="000000" w:themeColor="text1"/>
          <w:szCs w:val="24"/>
          <w:lang w:val="zh-CN"/>
        </w:rPr>
        <w:t>采用紫外线消毒管。</w:t>
      </w:r>
    </w:p>
    <w:p w14:paraId="6D571441" w14:textId="77777777" w:rsidR="00B0005F" w:rsidRPr="008A2411" w:rsidRDefault="00000000">
      <w:pPr>
        <w:widowControl/>
        <w:adjustRightInd w:val="0"/>
        <w:snapToGrid w:val="0"/>
        <w:spacing w:line="360" w:lineRule="auto"/>
        <w:ind w:firstLineChars="200" w:firstLine="480"/>
        <w:jc w:val="left"/>
        <w:rPr>
          <w:rFonts w:ascii="Times New Roman"/>
          <w:color w:val="000000" w:themeColor="text1"/>
          <w:szCs w:val="24"/>
          <w:lang w:bidi="ar"/>
        </w:rPr>
      </w:pPr>
      <w:r w:rsidRPr="008A2411">
        <w:rPr>
          <w:rFonts w:ascii="Times New Roman"/>
          <w:color w:val="000000" w:themeColor="text1"/>
          <w:szCs w:val="24"/>
          <w:lang w:bidi="ar"/>
        </w:rPr>
        <w:t>污泥处置：厂内污泥暂存于污泥浓缩池内，污泥暂存池作防腐、防渗处理；污泥及时外运，做到</w:t>
      </w:r>
      <w:r w:rsidRPr="008A2411">
        <w:rPr>
          <w:rFonts w:ascii="Times New Roman" w:hint="eastAsia"/>
          <w:color w:val="000000" w:themeColor="text1"/>
          <w:szCs w:val="24"/>
          <w:lang w:bidi="ar"/>
        </w:rPr>
        <w:t>“</w:t>
      </w:r>
      <w:r w:rsidRPr="008A2411">
        <w:rPr>
          <w:rFonts w:ascii="Times New Roman"/>
          <w:color w:val="000000" w:themeColor="text1"/>
          <w:szCs w:val="24"/>
          <w:lang w:bidi="ar"/>
        </w:rPr>
        <w:t>日产日清</w:t>
      </w:r>
      <w:r w:rsidRPr="008A2411">
        <w:rPr>
          <w:rFonts w:ascii="Times New Roman" w:hint="eastAsia"/>
          <w:color w:val="000000" w:themeColor="text1"/>
          <w:szCs w:val="24"/>
          <w:lang w:bidi="ar"/>
        </w:rPr>
        <w:t>”</w:t>
      </w:r>
      <w:r w:rsidRPr="008A2411">
        <w:rPr>
          <w:rFonts w:ascii="Times New Roman"/>
          <w:color w:val="000000" w:themeColor="text1"/>
          <w:szCs w:val="24"/>
          <w:lang w:bidi="ar"/>
        </w:rPr>
        <w:t>，通过浓缩脱水干化后的污泥，由污水处理厂配置的污泥专用运输车运输至宣汉县城市生活垃圾卫生填埋场填埋处。</w:t>
      </w:r>
    </w:p>
    <w:p w14:paraId="40B0E9EA" w14:textId="77777777" w:rsidR="00B0005F" w:rsidRPr="008A2411" w:rsidRDefault="00000000">
      <w:pPr>
        <w:adjustRightInd w:val="0"/>
        <w:snapToGrid w:val="0"/>
        <w:spacing w:line="360" w:lineRule="auto"/>
        <w:ind w:firstLineChars="200" w:firstLine="480"/>
        <w:rPr>
          <w:rFonts w:ascii="Times New Roman"/>
          <w:color w:val="000000" w:themeColor="text1"/>
          <w:szCs w:val="24"/>
        </w:rPr>
      </w:pPr>
      <w:r w:rsidRPr="008A2411">
        <w:rPr>
          <w:rFonts w:ascii="Times New Roman"/>
          <w:color w:val="000000" w:themeColor="text1"/>
          <w:szCs w:val="24"/>
        </w:rPr>
        <w:t>宣汉县普光工业园区污水处理厂废水处理工艺流程见下图。</w:t>
      </w:r>
    </w:p>
    <w:p w14:paraId="5E0A89DA" w14:textId="77777777" w:rsidR="00B0005F" w:rsidRPr="008A2411" w:rsidRDefault="00000000">
      <w:pPr>
        <w:pStyle w:val="TOC2"/>
        <w:rPr>
          <w:rFonts w:ascii="Times New Roman" w:hAnsi="Times New Roman" w:cs="Times New Roman"/>
          <w:color w:val="000000" w:themeColor="text1"/>
        </w:rPr>
      </w:pPr>
      <w:r w:rsidRPr="008A2411">
        <w:rPr>
          <w:rFonts w:ascii="Times New Roman" w:hAnsi="Times New Roman" w:cs="Times New Roman"/>
          <w:noProof/>
          <w:color w:val="000000" w:themeColor="text1"/>
        </w:rPr>
        <w:drawing>
          <wp:inline distT="0" distB="0" distL="114300" distR="114300" wp14:anchorId="5C2D46AE" wp14:editId="4FFD6A09">
            <wp:extent cx="5274310" cy="3157220"/>
            <wp:effectExtent l="0" t="0" r="13970" b="12700"/>
            <wp:docPr id="9"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23"/>
                    <pic:cNvPicPr>
                      <a:picLocks noChangeAspect="1"/>
                    </pic:cNvPicPr>
                  </pic:nvPicPr>
                  <pic:blipFill>
                    <a:blip r:embed="rId103"/>
                    <a:srcRect t="1778"/>
                    <a:stretch>
                      <a:fillRect/>
                    </a:stretch>
                  </pic:blipFill>
                  <pic:spPr>
                    <a:xfrm>
                      <a:off x="0" y="0"/>
                      <a:ext cx="5274310" cy="3157220"/>
                    </a:xfrm>
                    <a:prstGeom prst="rect">
                      <a:avLst/>
                    </a:prstGeom>
                    <a:noFill/>
                    <a:ln>
                      <a:noFill/>
                    </a:ln>
                  </pic:spPr>
                </pic:pic>
              </a:graphicData>
            </a:graphic>
          </wp:inline>
        </w:drawing>
      </w:r>
    </w:p>
    <w:p w14:paraId="555753D9" w14:textId="77777777" w:rsidR="00B0005F" w:rsidRPr="008A2411" w:rsidRDefault="00000000">
      <w:pPr>
        <w:adjustRightInd w:val="0"/>
        <w:snapToGrid w:val="0"/>
        <w:spacing w:line="360" w:lineRule="auto"/>
        <w:jc w:val="center"/>
        <w:rPr>
          <w:rFonts w:ascii="Times New Roman" w:eastAsia="黑体"/>
          <w:color w:val="000000" w:themeColor="text1"/>
          <w:sz w:val="21"/>
          <w:szCs w:val="21"/>
        </w:rPr>
      </w:pPr>
      <w:r w:rsidRPr="008A2411">
        <w:rPr>
          <w:rFonts w:ascii="Times New Roman" w:eastAsia="黑体"/>
          <w:color w:val="000000" w:themeColor="text1"/>
          <w:sz w:val="21"/>
          <w:szCs w:val="21"/>
        </w:rPr>
        <w:t>图</w:t>
      </w:r>
      <w:r w:rsidRPr="008A2411">
        <w:rPr>
          <w:rFonts w:ascii="Times New Roman" w:eastAsia="黑体"/>
          <w:color w:val="000000" w:themeColor="text1"/>
          <w:sz w:val="21"/>
          <w:szCs w:val="21"/>
        </w:rPr>
        <w:t xml:space="preserve">5.2-1  </w:t>
      </w:r>
      <w:r w:rsidRPr="008A2411">
        <w:rPr>
          <w:rFonts w:ascii="Times New Roman" w:eastAsia="黑体"/>
          <w:color w:val="000000" w:themeColor="text1"/>
          <w:sz w:val="21"/>
          <w:szCs w:val="21"/>
        </w:rPr>
        <w:t>宣汉县普光工业园区污水处理厂废水处理工艺流程图</w:t>
      </w:r>
    </w:p>
    <w:p w14:paraId="12389C01" w14:textId="77777777" w:rsidR="00B0005F" w:rsidRPr="008A2411" w:rsidRDefault="00B0005F">
      <w:pPr>
        <w:pStyle w:val="TOC2"/>
        <w:rPr>
          <w:rFonts w:ascii="Times New Roman" w:eastAsia="黑体" w:hAnsi="Times New Roman" w:cs="Times New Roman"/>
          <w:bCs/>
          <w:color w:val="000000" w:themeColor="text1"/>
          <w:sz w:val="18"/>
          <w:szCs w:val="18"/>
        </w:rPr>
      </w:pPr>
    </w:p>
    <w:p w14:paraId="20C5829F" w14:textId="77777777" w:rsidR="00B0005F" w:rsidRPr="008A2411" w:rsidRDefault="00000000">
      <w:pPr>
        <w:adjustRightInd w:val="0"/>
        <w:snapToGrid w:val="0"/>
        <w:spacing w:line="360" w:lineRule="auto"/>
        <w:ind w:firstLineChars="200" w:firstLine="480"/>
        <w:rPr>
          <w:rFonts w:ascii="Times New Roman" w:eastAsia="黑体"/>
          <w:bCs/>
          <w:color w:val="000000" w:themeColor="text1"/>
          <w:sz w:val="18"/>
          <w:szCs w:val="18"/>
        </w:rPr>
      </w:pPr>
      <w:r w:rsidRPr="008A2411">
        <w:rPr>
          <w:rFonts w:ascii="Times New Roman"/>
          <w:color w:val="000000" w:themeColor="text1"/>
          <w:szCs w:val="21"/>
        </w:rPr>
        <w:t>3</w:t>
      </w:r>
      <w:r w:rsidRPr="008A2411">
        <w:rPr>
          <w:rFonts w:ascii="Times New Roman"/>
          <w:color w:val="000000" w:themeColor="text1"/>
          <w:szCs w:val="21"/>
        </w:rPr>
        <w:t>）依托可行性分析</w:t>
      </w:r>
    </w:p>
    <w:p w14:paraId="5430C056" w14:textId="77777777" w:rsidR="00B0005F" w:rsidRPr="008A2411" w:rsidRDefault="00000000">
      <w:pPr>
        <w:adjustRightInd w:val="0"/>
        <w:snapToGrid w:val="0"/>
        <w:spacing w:line="360" w:lineRule="auto"/>
        <w:ind w:firstLineChars="200" w:firstLine="480"/>
        <w:rPr>
          <w:color w:val="000000" w:themeColor="text1"/>
        </w:rPr>
      </w:pPr>
      <w:r w:rsidRPr="008A2411">
        <w:rPr>
          <w:rFonts w:ascii="Times New Roman"/>
          <w:color w:val="000000" w:themeColor="text1"/>
        </w:rPr>
        <w:t>根据</w:t>
      </w:r>
      <w:r w:rsidRPr="008A2411">
        <w:rPr>
          <w:rFonts w:ascii="Times New Roman" w:hint="eastAsia"/>
          <w:color w:val="000000" w:themeColor="text1"/>
        </w:rPr>
        <w:t>宣汉县环境保护局出具了《关于宣汉县普光工业园区污水处理厂工程项目环境影响报告书的批复》（</w:t>
      </w:r>
      <w:proofErr w:type="gramStart"/>
      <w:r w:rsidRPr="008A2411">
        <w:rPr>
          <w:rFonts w:ascii="Times New Roman" w:hint="eastAsia"/>
          <w:color w:val="000000" w:themeColor="text1"/>
        </w:rPr>
        <w:t>宣环审</w:t>
      </w:r>
      <w:proofErr w:type="gramEnd"/>
      <w:r w:rsidRPr="008A2411">
        <w:rPr>
          <w:rFonts w:ascii="Times New Roman"/>
          <w:color w:val="000000" w:themeColor="text1"/>
        </w:rPr>
        <w:t>[2013]45</w:t>
      </w:r>
      <w:r w:rsidRPr="008A2411">
        <w:rPr>
          <w:rFonts w:ascii="Times New Roman" w:hint="eastAsia"/>
          <w:color w:val="000000" w:themeColor="text1"/>
        </w:rPr>
        <w:t>号）及“</w:t>
      </w:r>
      <w:r w:rsidRPr="008A2411">
        <w:rPr>
          <w:rFonts w:ascii="Times New Roman"/>
          <w:color w:val="000000" w:themeColor="text1"/>
        </w:rPr>
        <w:t>宣汉县普光工业园区污水处理厂技改项目竣工环境保护验收意见</w:t>
      </w:r>
      <w:r w:rsidRPr="008A2411">
        <w:rPr>
          <w:rFonts w:ascii="Times New Roman" w:hint="eastAsia"/>
          <w:color w:val="000000" w:themeColor="text1"/>
        </w:rPr>
        <w:t>”</w:t>
      </w:r>
      <w:r w:rsidRPr="008A2411">
        <w:rPr>
          <w:rFonts w:ascii="Times New Roman"/>
          <w:color w:val="000000" w:themeColor="text1"/>
        </w:rPr>
        <w:t>（</w:t>
      </w:r>
      <w:r w:rsidRPr="008A2411">
        <w:rPr>
          <w:rFonts w:ascii="Times New Roman"/>
          <w:color w:val="000000" w:themeColor="text1"/>
        </w:rPr>
        <w:t>2021</w:t>
      </w:r>
      <w:r w:rsidRPr="008A2411">
        <w:rPr>
          <w:rFonts w:ascii="Times New Roman"/>
          <w:color w:val="000000" w:themeColor="text1"/>
        </w:rPr>
        <w:t>年</w:t>
      </w:r>
      <w:r w:rsidRPr="008A2411">
        <w:rPr>
          <w:rFonts w:ascii="Times New Roman"/>
          <w:color w:val="000000" w:themeColor="text1"/>
        </w:rPr>
        <w:t>8</w:t>
      </w:r>
      <w:r w:rsidRPr="008A2411">
        <w:rPr>
          <w:rFonts w:ascii="Times New Roman"/>
          <w:color w:val="000000" w:themeColor="text1"/>
        </w:rPr>
        <w:t>月</w:t>
      </w:r>
      <w:r w:rsidRPr="008A2411">
        <w:rPr>
          <w:rFonts w:ascii="Times New Roman"/>
          <w:color w:val="000000" w:themeColor="text1"/>
        </w:rPr>
        <w:t>9</w:t>
      </w:r>
      <w:r w:rsidRPr="008A2411">
        <w:rPr>
          <w:rFonts w:ascii="Times New Roman"/>
          <w:color w:val="000000" w:themeColor="text1"/>
        </w:rPr>
        <w:t>日），宣汉县普光工业园区污水处理厂</w:t>
      </w:r>
      <w:r w:rsidRPr="008A2411">
        <w:rPr>
          <w:rFonts w:ascii="Times New Roman" w:hint="eastAsia"/>
          <w:color w:val="000000" w:themeColor="text1"/>
        </w:rPr>
        <w:t>设计规模为</w:t>
      </w:r>
      <w:r w:rsidRPr="008A2411">
        <w:rPr>
          <w:rFonts w:ascii="Times New Roman"/>
          <w:color w:val="000000" w:themeColor="text1"/>
          <w:szCs w:val="24"/>
          <w:lang w:bidi="ar"/>
        </w:rPr>
        <w:t>1.0</w:t>
      </w:r>
      <w:r w:rsidRPr="008A2411">
        <w:rPr>
          <w:rFonts w:hAnsi="宋体" w:cs="宋体" w:hint="eastAsia"/>
          <w:color w:val="000000" w:themeColor="text1"/>
          <w:szCs w:val="24"/>
          <w:lang w:bidi="ar"/>
        </w:rPr>
        <w:t>万</w:t>
      </w:r>
      <w:r w:rsidRPr="008A2411">
        <w:rPr>
          <w:rFonts w:ascii="Times New Roman"/>
          <w:color w:val="000000" w:themeColor="text1"/>
          <w:szCs w:val="24"/>
          <w:lang w:bidi="ar"/>
        </w:rPr>
        <w:t>m</w:t>
      </w:r>
      <w:r w:rsidRPr="008A2411">
        <w:rPr>
          <w:rFonts w:ascii="Times New Roman" w:hint="eastAsia"/>
          <w:color w:val="000000" w:themeColor="text1"/>
          <w:szCs w:val="24"/>
          <w:vertAlign w:val="superscript"/>
          <w:lang w:bidi="ar"/>
        </w:rPr>
        <w:t>3</w:t>
      </w:r>
      <w:r w:rsidRPr="008A2411">
        <w:rPr>
          <w:rFonts w:ascii="Times New Roman"/>
          <w:color w:val="000000" w:themeColor="text1"/>
          <w:szCs w:val="24"/>
          <w:lang w:bidi="ar"/>
        </w:rPr>
        <w:t>/d</w:t>
      </w:r>
      <w:r w:rsidRPr="008A2411">
        <w:rPr>
          <w:rFonts w:ascii="Times New Roman" w:hint="eastAsia"/>
          <w:color w:val="000000" w:themeColor="text1"/>
          <w:szCs w:val="24"/>
          <w:lang w:bidi="ar"/>
        </w:rPr>
        <w:t>，目前实际</w:t>
      </w:r>
      <w:r w:rsidRPr="008A2411">
        <w:rPr>
          <w:rFonts w:ascii="Times New Roman"/>
          <w:color w:val="000000" w:themeColor="text1"/>
        </w:rPr>
        <w:t>处理废水规模为</w:t>
      </w:r>
      <w:r w:rsidRPr="008A2411">
        <w:rPr>
          <w:rFonts w:ascii="Times New Roman"/>
          <w:color w:val="000000" w:themeColor="text1"/>
        </w:rPr>
        <w:t>2000m</w:t>
      </w:r>
      <w:r w:rsidRPr="008A2411">
        <w:rPr>
          <w:rFonts w:ascii="Times New Roman"/>
          <w:color w:val="000000" w:themeColor="text1"/>
          <w:vertAlign w:val="superscript"/>
        </w:rPr>
        <w:t>3</w:t>
      </w:r>
      <w:r w:rsidRPr="008A2411">
        <w:rPr>
          <w:rFonts w:ascii="Times New Roman"/>
          <w:color w:val="000000" w:themeColor="text1"/>
        </w:rPr>
        <w:t>/d</w:t>
      </w:r>
      <w:r w:rsidRPr="008A2411">
        <w:rPr>
          <w:rFonts w:ascii="Times New Roman"/>
          <w:color w:val="000000" w:themeColor="text1"/>
        </w:rPr>
        <w:t>，专门针对园区企业所产污水进行处理，现富余能力充足。</w:t>
      </w:r>
    </w:p>
    <w:p w14:paraId="6D4F9462" w14:textId="77777777" w:rsidR="00B0005F" w:rsidRPr="008A2411" w:rsidRDefault="00000000">
      <w:pPr>
        <w:adjustRightInd w:val="0"/>
        <w:snapToGrid w:val="0"/>
        <w:spacing w:line="360" w:lineRule="auto"/>
        <w:ind w:firstLineChars="200" w:firstLine="480"/>
        <w:rPr>
          <w:rFonts w:ascii="Times New Roman"/>
          <w:color w:val="000000" w:themeColor="text1"/>
        </w:rPr>
      </w:pPr>
      <w:r w:rsidRPr="008A2411">
        <w:rPr>
          <w:rFonts w:ascii="Times New Roman"/>
          <w:color w:val="000000" w:themeColor="text1"/>
        </w:rPr>
        <w:t>本项目日产废水量约为</w:t>
      </w:r>
      <w:r w:rsidRPr="008A2411">
        <w:rPr>
          <w:rFonts w:ascii="Times New Roman"/>
          <w:color w:val="000000" w:themeColor="text1"/>
        </w:rPr>
        <w:t>406.26m</w:t>
      </w:r>
      <w:r w:rsidRPr="008A2411">
        <w:rPr>
          <w:rFonts w:ascii="Times New Roman"/>
          <w:color w:val="000000" w:themeColor="text1"/>
          <w:vertAlign w:val="superscript"/>
        </w:rPr>
        <w:t>3</w:t>
      </w:r>
      <w:r w:rsidRPr="008A2411">
        <w:rPr>
          <w:rFonts w:ascii="Times New Roman"/>
          <w:color w:val="000000" w:themeColor="text1"/>
        </w:rPr>
        <w:t>/d</w:t>
      </w:r>
      <w:r w:rsidRPr="008A2411">
        <w:rPr>
          <w:rFonts w:ascii="Times New Roman"/>
          <w:color w:val="000000" w:themeColor="text1"/>
        </w:rPr>
        <w:t>，</w:t>
      </w:r>
      <w:r w:rsidRPr="008A2411">
        <w:rPr>
          <w:rFonts w:ascii="Times New Roman" w:hint="eastAsia"/>
          <w:color w:val="000000" w:themeColor="text1"/>
        </w:rPr>
        <w:t>占现状污水处理厂处理规模的</w:t>
      </w:r>
      <w:r w:rsidRPr="008A2411">
        <w:rPr>
          <w:rFonts w:ascii="Times New Roman" w:hint="eastAsia"/>
          <w:color w:val="000000" w:themeColor="text1"/>
        </w:rPr>
        <w:t>20.3%</w:t>
      </w:r>
      <w:r w:rsidRPr="008A2411">
        <w:rPr>
          <w:rFonts w:ascii="Times New Roman" w:hint="eastAsia"/>
          <w:color w:val="000000" w:themeColor="text1"/>
        </w:rPr>
        <w:t>，</w:t>
      </w:r>
      <w:proofErr w:type="gramStart"/>
      <w:r w:rsidRPr="008A2411">
        <w:rPr>
          <w:rFonts w:ascii="Times New Roman" w:hint="eastAsia"/>
          <w:color w:val="000000" w:themeColor="text1"/>
        </w:rPr>
        <w:t>占比较</w:t>
      </w:r>
      <w:proofErr w:type="gramEnd"/>
      <w:r w:rsidRPr="008A2411">
        <w:rPr>
          <w:rFonts w:ascii="Times New Roman" w:hint="eastAsia"/>
          <w:color w:val="000000" w:themeColor="text1"/>
        </w:rPr>
        <w:t>小，且</w:t>
      </w:r>
      <w:r w:rsidRPr="008A2411">
        <w:rPr>
          <w:rFonts w:ascii="Times New Roman"/>
          <w:color w:val="000000" w:themeColor="text1"/>
        </w:rPr>
        <w:t>小于宣汉县普光工业园区污水处理厂富余处理能力</w:t>
      </w:r>
      <w:r w:rsidRPr="008A2411">
        <w:rPr>
          <w:rFonts w:ascii="Times New Roman" w:hint="eastAsia"/>
          <w:color w:val="000000" w:themeColor="text1"/>
        </w:rPr>
        <w:t>，后期污水处理厂扩建后，将有更多富余能力</w:t>
      </w:r>
      <w:r w:rsidRPr="008A2411">
        <w:rPr>
          <w:rFonts w:ascii="Times New Roman"/>
          <w:color w:val="000000" w:themeColor="text1"/>
        </w:rPr>
        <w:t>。由此可见，宣汉县普光工业园区污水处理厂处理</w:t>
      </w:r>
      <w:r w:rsidRPr="008A2411">
        <w:rPr>
          <w:rFonts w:ascii="Times New Roman"/>
          <w:color w:val="000000" w:themeColor="text1"/>
        </w:rPr>
        <w:lastRenderedPageBreak/>
        <w:t>能力完全能够收纳本项目产生的生产废水。</w:t>
      </w:r>
    </w:p>
    <w:p w14:paraId="20FC5815" w14:textId="77777777" w:rsidR="00B0005F" w:rsidRPr="008A2411" w:rsidRDefault="00000000">
      <w:pPr>
        <w:adjustRightInd w:val="0"/>
        <w:snapToGrid w:val="0"/>
        <w:spacing w:line="360" w:lineRule="auto"/>
        <w:ind w:firstLineChars="200" w:firstLine="480"/>
        <w:rPr>
          <w:rFonts w:ascii="Times New Roman"/>
          <w:color w:val="000000" w:themeColor="text1"/>
        </w:rPr>
      </w:pPr>
      <w:bookmarkStart w:id="619" w:name="_Toc319852990"/>
      <w:bookmarkStart w:id="620" w:name="_Toc312870433"/>
      <w:r w:rsidRPr="008A2411">
        <w:rPr>
          <w:rFonts w:ascii="Times New Roman"/>
          <w:color w:val="000000" w:themeColor="text1"/>
        </w:rPr>
        <w:t>由此可见，运营期生活污水经集中收集后</w:t>
      </w:r>
      <w:r w:rsidRPr="008A2411">
        <w:rPr>
          <w:rFonts w:ascii="Times New Roman" w:hint="eastAsia"/>
          <w:color w:val="000000" w:themeColor="text1"/>
        </w:rPr>
        <w:t>进入园区污水处理厂</w:t>
      </w:r>
      <w:r w:rsidRPr="008A2411">
        <w:rPr>
          <w:rFonts w:ascii="Times New Roman"/>
          <w:color w:val="000000" w:themeColor="text1"/>
        </w:rPr>
        <w:t>，不外排，采用该方式处理生活污水处置措施可行。</w:t>
      </w:r>
    </w:p>
    <w:p w14:paraId="0BCBE770" w14:textId="77777777" w:rsidR="00B0005F" w:rsidRPr="008A2411" w:rsidRDefault="00000000">
      <w:pPr>
        <w:pStyle w:val="WJ3"/>
        <w:outlineLvl w:val="1"/>
        <w:rPr>
          <w:rFonts w:ascii="Times New Roman" w:hAnsi="Times New Roman"/>
          <w:b w:val="0"/>
          <w:bCs/>
          <w:color w:val="000000" w:themeColor="text1"/>
          <w:sz w:val="28"/>
          <w:szCs w:val="28"/>
        </w:rPr>
      </w:pPr>
      <w:bookmarkStart w:id="621" w:name="_Toc422906934"/>
      <w:bookmarkStart w:id="622" w:name="_Toc405214325"/>
      <w:bookmarkStart w:id="623" w:name="_Toc405905392"/>
      <w:bookmarkStart w:id="624" w:name="_Toc405904920"/>
      <w:bookmarkStart w:id="625" w:name="_Toc405904576"/>
      <w:bookmarkStart w:id="626" w:name="_Toc109170789"/>
      <w:r w:rsidRPr="008A2411">
        <w:rPr>
          <w:rFonts w:ascii="Times New Roman" w:hAnsi="Times New Roman"/>
          <w:b w:val="0"/>
          <w:bCs/>
          <w:color w:val="000000" w:themeColor="text1"/>
          <w:sz w:val="28"/>
          <w:szCs w:val="28"/>
        </w:rPr>
        <w:t xml:space="preserve">7.3 </w:t>
      </w:r>
      <w:r w:rsidRPr="008A2411">
        <w:rPr>
          <w:rFonts w:ascii="Times New Roman" w:hAnsi="Times New Roman"/>
          <w:b w:val="0"/>
          <w:bCs/>
          <w:color w:val="000000" w:themeColor="text1"/>
          <w:sz w:val="28"/>
          <w:szCs w:val="28"/>
        </w:rPr>
        <w:t>噪声污染防治措施</w:t>
      </w:r>
      <w:bookmarkEnd w:id="619"/>
      <w:bookmarkEnd w:id="620"/>
      <w:bookmarkEnd w:id="621"/>
      <w:bookmarkEnd w:id="622"/>
      <w:bookmarkEnd w:id="623"/>
      <w:bookmarkEnd w:id="624"/>
      <w:bookmarkEnd w:id="625"/>
      <w:bookmarkEnd w:id="626"/>
    </w:p>
    <w:p w14:paraId="287A63F1" w14:textId="77777777" w:rsidR="00B0005F" w:rsidRPr="008A2411" w:rsidRDefault="00000000">
      <w:pPr>
        <w:pStyle w:val="WJ"/>
        <w:ind w:firstLineChars="0" w:firstLine="0"/>
        <w:outlineLvl w:val="2"/>
        <w:rPr>
          <w:rFonts w:ascii="Times New Roman" w:eastAsia="黑体" w:hAnsi="Times New Roman"/>
          <w:b/>
          <w:color w:val="000000" w:themeColor="text1"/>
          <w:kern w:val="0"/>
          <w:lang w:bidi="en-US"/>
        </w:rPr>
      </w:pPr>
      <w:r w:rsidRPr="008A2411">
        <w:rPr>
          <w:rFonts w:ascii="Times New Roman" w:eastAsia="黑体" w:hAnsi="Times New Roman"/>
          <w:b/>
          <w:color w:val="000000" w:themeColor="text1"/>
          <w:kern w:val="0"/>
          <w:lang w:bidi="en-US"/>
        </w:rPr>
        <w:t xml:space="preserve">7.3.1 </w:t>
      </w:r>
      <w:r w:rsidRPr="008A2411">
        <w:rPr>
          <w:rFonts w:ascii="Times New Roman" w:eastAsia="黑体" w:hAnsi="Times New Roman"/>
          <w:b/>
          <w:color w:val="000000" w:themeColor="text1"/>
          <w:kern w:val="0"/>
          <w:lang w:bidi="en-US"/>
        </w:rPr>
        <w:t>施工期</w:t>
      </w:r>
    </w:p>
    <w:p w14:paraId="7A58ED7D"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施工期噪声源主要来自施工作业机械，如柴油机、挖掘机、电焊机等，其强度在</w:t>
      </w:r>
      <w:r w:rsidRPr="008A2411">
        <w:rPr>
          <w:rFonts w:ascii="Times New Roman" w:hAnsi="Times New Roman"/>
          <w:color w:val="000000" w:themeColor="text1"/>
        </w:rPr>
        <w:t>85—100dB</w:t>
      </w:r>
      <w:r w:rsidRPr="008A2411">
        <w:rPr>
          <w:rFonts w:ascii="Times New Roman" w:hAnsi="Times New Roman"/>
          <w:color w:val="000000" w:themeColor="text1"/>
        </w:rPr>
        <w:t>（</w:t>
      </w:r>
      <w:r w:rsidRPr="008A2411">
        <w:rPr>
          <w:rFonts w:ascii="Times New Roman" w:hAnsi="Times New Roman"/>
          <w:color w:val="000000" w:themeColor="text1"/>
        </w:rPr>
        <w:t>A</w:t>
      </w:r>
      <w:r w:rsidRPr="008A2411">
        <w:rPr>
          <w:rFonts w:ascii="Times New Roman" w:hAnsi="Times New Roman"/>
          <w:color w:val="000000" w:themeColor="text1"/>
        </w:rPr>
        <w:t>）。施工期拟采取如下噪声防治措施：</w:t>
      </w:r>
    </w:p>
    <w:p w14:paraId="409BC58D"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1</w:t>
      </w:r>
      <w:r w:rsidRPr="008A2411">
        <w:rPr>
          <w:rFonts w:ascii="Times New Roman" w:hAnsi="Times New Roman"/>
          <w:color w:val="000000" w:themeColor="text1"/>
        </w:rPr>
        <w:t>）合理安排施工时间，在制定施工计划时，尽可能避免大量高噪声设备同时施工及夜间施工。</w:t>
      </w:r>
    </w:p>
    <w:p w14:paraId="32F696DA"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2</w:t>
      </w:r>
      <w:r w:rsidRPr="008A2411">
        <w:rPr>
          <w:rFonts w:ascii="Times New Roman" w:hAnsi="Times New Roman"/>
          <w:color w:val="000000" w:themeColor="text1"/>
        </w:rPr>
        <w:t>）合理布局施工现场，避免在同一地点安排大量动力机械设备，以免局部声级过高。</w:t>
      </w:r>
    </w:p>
    <w:p w14:paraId="390600DD"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3</w:t>
      </w:r>
      <w:r w:rsidRPr="008A2411">
        <w:rPr>
          <w:rFonts w:ascii="Times New Roman" w:hAnsi="Times New Roman"/>
          <w:color w:val="000000" w:themeColor="text1"/>
        </w:rPr>
        <w:t>）建立临时声障，在施工过程中可根据情况适当建立单面声障。</w:t>
      </w:r>
    </w:p>
    <w:p w14:paraId="365BE5B1"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4</w:t>
      </w:r>
      <w:r w:rsidRPr="008A2411">
        <w:rPr>
          <w:rFonts w:ascii="Times New Roman" w:hAnsi="Times New Roman"/>
          <w:color w:val="000000" w:themeColor="text1"/>
        </w:rPr>
        <w:t>）施工车辆路过村镇时，减速行驶，禁止鸣笛。</w:t>
      </w:r>
    </w:p>
    <w:p w14:paraId="7E87951C" w14:textId="77777777" w:rsidR="00B0005F" w:rsidRPr="008A2411" w:rsidRDefault="00000000">
      <w:pPr>
        <w:adjustRightInd w:val="0"/>
        <w:spacing w:line="360" w:lineRule="auto"/>
        <w:ind w:firstLineChars="200" w:firstLine="480"/>
        <w:rPr>
          <w:rFonts w:ascii="Times New Roman"/>
          <w:color w:val="000000" w:themeColor="text1"/>
          <w:kern w:val="2"/>
          <w:szCs w:val="24"/>
        </w:rPr>
      </w:pPr>
      <w:r w:rsidRPr="008A2411">
        <w:rPr>
          <w:rFonts w:ascii="Times New Roman"/>
          <w:color w:val="000000" w:themeColor="text1"/>
          <w:kern w:val="2"/>
          <w:szCs w:val="24"/>
        </w:rPr>
        <w:t>根据工程分析，项目施工期拟采取措施，合理安排作业时间，加强管理，能最大限度的减少对环境的影响，避免施工噪声扰民而影响周围居民休息。因此其措施可行。</w:t>
      </w:r>
    </w:p>
    <w:p w14:paraId="32703CE6" w14:textId="77777777" w:rsidR="00B0005F" w:rsidRPr="008A2411" w:rsidRDefault="00000000">
      <w:pPr>
        <w:pStyle w:val="WJ"/>
        <w:adjustRightInd w:val="0"/>
        <w:spacing w:line="360" w:lineRule="auto"/>
        <w:ind w:firstLineChars="0" w:firstLine="0"/>
        <w:outlineLvl w:val="2"/>
        <w:rPr>
          <w:rFonts w:ascii="Times New Roman" w:eastAsia="黑体" w:hAnsi="Times New Roman"/>
          <w:b/>
          <w:color w:val="000000" w:themeColor="text1"/>
          <w:kern w:val="0"/>
          <w:lang w:bidi="en-US"/>
        </w:rPr>
      </w:pPr>
      <w:r w:rsidRPr="008A2411">
        <w:rPr>
          <w:rFonts w:ascii="Times New Roman" w:eastAsia="黑体" w:hAnsi="Times New Roman"/>
          <w:b/>
          <w:color w:val="000000" w:themeColor="text1"/>
          <w:kern w:val="0"/>
          <w:lang w:bidi="en-US"/>
        </w:rPr>
        <w:t xml:space="preserve">7.3.2 </w:t>
      </w:r>
      <w:r w:rsidRPr="008A2411">
        <w:rPr>
          <w:rFonts w:ascii="Times New Roman" w:eastAsia="黑体" w:hAnsi="Times New Roman"/>
          <w:b/>
          <w:color w:val="000000" w:themeColor="text1"/>
          <w:kern w:val="0"/>
          <w:lang w:bidi="en-US"/>
        </w:rPr>
        <w:t>运营期</w:t>
      </w:r>
    </w:p>
    <w:p w14:paraId="16DD026C" w14:textId="77777777" w:rsidR="00B0005F" w:rsidRPr="008A2411" w:rsidRDefault="00000000">
      <w:pPr>
        <w:pStyle w:val="WJ"/>
        <w:adjustRightInd w:val="0"/>
        <w:snapToGrid w:val="0"/>
        <w:spacing w:line="360" w:lineRule="auto"/>
        <w:rPr>
          <w:rFonts w:ascii="Times New Roman" w:hAnsi="Times New Roman"/>
          <w:b/>
          <w:color w:val="000000" w:themeColor="text1"/>
        </w:rPr>
      </w:pPr>
      <w:r w:rsidRPr="008A2411">
        <w:rPr>
          <w:rFonts w:ascii="Times New Roman" w:hAnsi="Times New Roman"/>
          <w:color w:val="000000" w:themeColor="text1"/>
        </w:rPr>
        <w:t>本项目在正常情况下产生的噪声主要来自鼓风机、各种机泵等，针对上述噪声，项目采取的主要降噪措施如下：</w:t>
      </w:r>
    </w:p>
    <w:p w14:paraId="37B2ABEC"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1</w:t>
      </w:r>
      <w:r w:rsidRPr="008A2411">
        <w:rPr>
          <w:rFonts w:ascii="Times New Roman" w:hAnsi="Times New Roman"/>
          <w:color w:val="000000" w:themeColor="text1"/>
        </w:rPr>
        <w:t>）装置的噪声主要来自动力设备、节流设备，动力设备及节流设备采用尽可能选用高性能低噪声设备，并在管路设计中采取消声措施。</w:t>
      </w:r>
    </w:p>
    <w:p w14:paraId="5C7A4989"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2</w:t>
      </w:r>
      <w:r w:rsidRPr="008A2411">
        <w:rPr>
          <w:rFonts w:ascii="Times New Roman" w:hAnsi="Times New Roman"/>
          <w:color w:val="000000" w:themeColor="text1"/>
        </w:rPr>
        <w:t>）对产生噪声的场所，为了防止噪声对操作人员的损害，一方面在装置上配有隔音罩等，另一方面给操作人员配备耳机。</w:t>
      </w:r>
    </w:p>
    <w:p w14:paraId="5A63ED93"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3</w:t>
      </w:r>
      <w:r w:rsidRPr="008A2411">
        <w:rPr>
          <w:rFonts w:ascii="Times New Roman" w:hAnsi="Times New Roman"/>
          <w:color w:val="000000" w:themeColor="text1"/>
        </w:rPr>
        <w:t>）选用高性能的设备，只须操作人员定时巡检，无需现场值守，最大限度降低噪声对操作人员的伤害。</w:t>
      </w:r>
    </w:p>
    <w:p w14:paraId="469E1451"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4</w:t>
      </w:r>
      <w:r w:rsidRPr="008A2411">
        <w:rPr>
          <w:rFonts w:ascii="Times New Roman" w:hAnsi="Times New Roman"/>
          <w:color w:val="000000" w:themeColor="text1"/>
        </w:rPr>
        <w:t>）变压器采用低噪声节能型产品，使噪声水平控制在规定的范围内。</w:t>
      </w:r>
    </w:p>
    <w:p w14:paraId="397E4131"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5</w:t>
      </w:r>
      <w:r w:rsidRPr="008A2411">
        <w:rPr>
          <w:rFonts w:ascii="Times New Roman" w:hAnsi="Times New Roman"/>
          <w:color w:val="000000" w:themeColor="text1"/>
        </w:rPr>
        <w:t>）对于</w:t>
      </w:r>
      <w:proofErr w:type="gramStart"/>
      <w:r w:rsidRPr="008A2411">
        <w:rPr>
          <w:rFonts w:ascii="Times New Roman" w:hAnsi="Times New Roman"/>
          <w:color w:val="000000" w:themeColor="text1"/>
        </w:rPr>
        <w:t>声源强较大</w:t>
      </w:r>
      <w:proofErr w:type="gramEnd"/>
      <w:r w:rsidRPr="008A2411">
        <w:rPr>
          <w:rFonts w:ascii="Times New Roman" w:hAnsi="Times New Roman"/>
          <w:color w:val="000000" w:themeColor="text1"/>
        </w:rPr>
        <w:t>的机泵类设备布置集中的区域设置隔声、减震措施。</w:t>
      </w:r>
    </w:p>
    <w:p w14:paraId="3B97BF81"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通过以上措施可以有效降低运营期噪声，</w:t>
      </w:r>
      <w:r w:rsidRPr="008A2411">
        <w:rPr>
          <w:rFonts w:ascii="Times New Roman" w:hAnsi="Times New Roman"/>
          <w:color w:val="000000" w:themeColor="text1"/>
          <w:kern w:val="0"/>
        </w:rPr>
        <w:t>根据预测，项目正常运行时，厂界噪声满足</w:t>
      </w:r>
      <w:r w:rsidRPr="008A2411">
        <w:rPr>
          <w:rFonts w:ascii="Times New Roman" w:hAnsi="Times New Roman"/>
          <w:color w:val="000000" w:themeColor="text1"/>
        </w:rPr>
        <w:t>《工业企业厂界环境噪声排放标准》（</w:t>
      </w:r>
      <w:r w:rsidRPr="008A2411">
        <w:rPr>
          <w:rFonts w:ascii="Times New Roman" w:hAnsi="Times New Roman"/>
          <w:color w:val="000000" w:themeColor="text1"/>
        </w:rPr>
        <w:t>GB 12348-2008</w:t>
      </w:r>
      <w:r w:rsidRPr="008A2411">
        <w:rPr>
          <w:rFonts w:ascii="Times New Roman" w:hAnsi="Times New Roman"/>
          <w:color w:val="000000" w:themeColor="text1"/>
        </w:rPr>
        <w:t>）</w:t>
      </w:r>
      <w:r w:rsidRPr="008A2411">
        <w:rPr>
          <w:rFonts w:ascii="Times New Roman" w:hAnsi="Times New Roman"/>
          <w:color w:val="000000" w:themeColor="text1"/>
        </w:rPr>
        <w:t>3</w:t>
      </w:r>
      <w:r w:rsidRPr="008A2411">
        <w:rPr>
          <w:rFonts w:ascii="Times New Roman" w:hAnsi="Times New Roman"/>
          <w:color w:val="000000" w:themeColor="text1"/>
        </w:rPr>
        <w:t>类声环境功</w:t>
      </w:r>
      <w:r w:rsidRPr="008A2411">
        <w:rPr>
          <w:rFonts w:ascii="Times New Roman" w:hAnsi="Times New Roman"/>
          <w:color w:val="000000" w:themeColor="text1"/>
        </w:rPr>
        <w:lastRenderedPageBreak/>
        <w:t>能区厂界环境噪声排放限值；</w:t>
      </w:r>
      <w:proofErr w:type="gramStart"/>
      <w:r w:rsidRPr="008A2411">
        <w:rPr>
          <w:rFonts w:ascii="Times New Roman" w:hAnsi="Times New Roman"/>
          <w:color w:val="000000" w:themeColor="text1"/>
        </w:rPr>
        <w:t>周边声</w:t>
      </w:r>
      <w:proofErr w:type="gramEnd"/>
      <w:r w:rsidRPr="008A2411">
        <w:rPr>
          <w:rFonts w:ascii="Times New Roman" w:hAnsi="Times New Roman"/>
          <w:color w:val="000000" w:themeColor="text1"/>
        </w:rPr>
        <w:t>环境敏感目标处的噪声预测值满足《声环境质量标准》（</w:t>
      </w:r>
      <w:r w:rsidRPr="008A2411">
        <w:rPr>
          <w:rFonts w:ascii="Times New Roman" w:hAnsi="Times New Roman"/>
          <w:color w:val="000000" w:themeColor="text1"/>
        </w:rPr>
        <w:t>GB3096-2008</w:t>
      </w:r>
      <w:r w:rsidRPr="008A2411">
        <w:rPr>
          <w:rFonts w:ascii="Times New Roman" w:hAnsi="Times New Roman"/>
          <w:color w:val="000000" w:themeColor="text1"/>
        </w:rPr>
        <w:t>）</w:t>
      </w:r>
      <w:r w:rsidRPr="008A2411">
        <w:rPr>
          <w:rFonts w:ascii="Times New Roman" w:hAnsi="Times New Roman"/>
          <w:color w:val="000000" w:themeColor="text1"/>
        </w:rPr>
        <w:t>3</w:t>
      </w:r>
      <w:r w:rsidRPr="008A2411">
        <w:rPr>
          <w:rFonts w:ascii="Times New Roman" w:hAnsi="Times New Roman"/>
          <w:color w:val="000000" w:themeColor="text1"/>
        </w:rPr>
        <w:t>类标准。不会改变</w:t>
      </w:r>
      <w:proofErr w:type="gramStart"/>
      <w:r w:rsidRPr="008A2411">
        <w:rPr>
          <w:rFonts w:ascii="Times New Roman" w:hAnsi="Times New Roman"/>
          <w:color w:val="000000" w:themeColor="text1"/>
        </w:rPr>
        <w:t>周围声</w:t>
      </w:r>
      <w:proofErr w:type="gramEnd"/>
      <w:r w:rsidRPr="008A2411">
        <w:rPr>
          <w:rFonts w:ascii="Times New Roman" w:hAnsi="Times New Roman"/>
          <w:color w:val="000000" w:themeColor="text1"/>
        </w:rPr>
        <w:t>环境敏感目标的环境噪声功能，对声环境敏感目标的噪声影响较小。由此可见，项目采取的噪声防治措施可有效避免因噪声影响，措施可行。</w:t>
      </w:r>
      <w:bookmarkStart w:id="627" w:name="OLE_LINK202"/>
    </w:p>
    <w:p w14:paraId="479A9560" w14:textId="77777777" w:rsidR="00B0005F" w:rsidRPr="008A2411" w:rsidRDefault="00000000">
      <w:pPr>
        <w:pStyle w:val="WJ3"/>
        <w:outlineLvl w:val="1"/>
        <w:rPr>
          <w:rFonts w:ascii="Times New Roman" w:hAnsi="Times New Roman"/>
          <w:b w:val="0"/>
          <w:bCs/>
          <w:color w:val="000000" w:themeColor="text1"/>
          <w:sz w:val="28"/>
          <w:szCs w:val="28"/>
        </w:rPr>
      </w:pPr>
      <w:bookmarkStart w:id="628" w:name="_Toc312870434"/>
      <w:bookmarkStart w:id="629" w:name="_Toc422906935"/>
      <w:bookmarkStart w:id="630" w:name="_Toc405904921"/>
      <w:bookmarkStart w:id="631" w:name="_Toc405214326"/>
      <w:bookmarkStart w:id="632" w:name="_Toc319852991"/>
      <w:bookmarkStart w:id="633" w:name="_Toc405904577"/>
      <w:bookmarkStart w:id="634" w:name="_Toc405905393"/>
      <w:bookmarkStart w:id="635" w:name="_Toc109170790"/>
      <w:bookmarkEnd w:id="627"/>
      <w:r w:rsidRPr="008A2411">
        <w:rPr>
          <w:rFonts w:ascii="Times New Roman" w:hAnsi="Times New Roman"/>
          <w:b w:val="0"/>
          <w:bCs/>
          <w:color w:val="000000" w:themeColor="text1"/>
          <w:sz w:val="28"/>
          <w:szCs w:val="28"/>
        </w:rPr>
        <w:t>7.4</w:t>
      </w:r>
      <w:bookmarkEnd w:id="628"/>
      <w:r w:rsidRPr="008A2411">
        <w:rPr>
          <w:rFonts w:ascii="Times New Roman" w:hAnsi="Times New Roman"/>
          <w:b w:val="0"/>
          <w:bCs/>
          <w:color w:val="000000" w:themeColor="text1"/>
          <w:sz w:val="28"/>
          <w:szCs w:val="28"/>
        </w:rPr>
        <w:t xml:space="preserve"> </w:t>
      </w:r>
      <w:r w:rsidRPr="008A2411">
        <w:rPr>
          <w:rFonts w:ascii="Times New Roman" w:hAnsi="Times New Roman"/>
          <w:b w:val="0"/>
          <w:bCs/>
          <w:color w:val="000000" w:themeColor="text1"/>
          <w:sz w:val="28"/>
          <w:szCs w:val="28"/>
        </w:rPr>
        <w:t>固体废物污染防治措施</w:t>
      </w:r>
      <w:bookmarkEnd w:id="629"/>
      <w:bookmarkEnd w:id="630"/>
      <w:bookmarkEnd w:id="631"/>
      <w:bookmarkEnd w:id="632"/>
      <w:bookmarkEnd w:id="633"/>
      <w:bookmarkEnd w:id="634"/>
      <w:bookmarkEnd w:id="635"/>
    </w:p>
    <w:p w14:paraId="106151BB" w14:textId="77777777" w:rsidR="00B0005F" w:rsidRPr="008A2411" w:rsidRDefault="00000000">
      <w:pPr>
        <w:pStyle w:val="WJ"/>
        <w:ind w:firstLineChars="0" w:firstLine="0"/>
        <w:outlineLvl w:val="2"/>
        <w:rPr>
          <w:rFonts w:ascii="Times New Roman" w:eastAsia="黑体" w:hAnsi="Times New Roman"/>
          <w:b/>
          <w:color w:val="000000" w:themeColor="text1"/>
          <w:kern w:val="0"/>
          <w:lang w:bidi="en-US"/>
        </w:rPr>
      </w:pPr>
      <w:r w:rsidRPr="008A2411">
        <w:rPr>
          <w:rFonts w:ascii="Times New Roman" w:eastAsia="黑体" w:hAnsi="Times New Roman"/>
          <w:b/>
          <w:color w:val="000000" w:themeColor="text1"/>
          <w:kern w:val="0"/>
          <w:lang w:bidi="en-US"/>
        </w:rPr>
        <w:t xml:space="preserve">7.4.1 </w:t>
      </w:r>
      <w:r w:rsidRPr="008A2411">
        <w:rPr>
          <w:rFonts w:ascii="Times New Roman" w:eastAsia="黑体" w:hAnsi="Times New Roman"/>
          <w:b/>
          <w:color w:val="000000" w:themeColor="text1"/>
          <w:kern w:val="0"/>
          <w:lang w:bidi="en-US"/>
        </w:rPr>
        <w:t>施工期</w:t>
      </w:r>
    </w:p>
    <w:p w14:paraId="00891BD9" w14:textId="77777777" w:rsidR="00B0005F" w:rsidRPr="008A2411" w:rsidRDefault="00000000">
      <w:pPr>
        <w:pStyle w:val="WJ"/>
        <w:rPr>
          <w:rFonts w:ascii="Times New Roman" w:hAnsi="Times New Roman"/>
          <w:b/>
          <w:color w:val="000000" w:themeColor="text1"/>
        </w:rPr>
      </w:pPr>
      <w:r w:rsidRPr="008A2411">
        <w:rPr>
          <w:rFonts w:ascii="Times New Roman" w:hAnsi="Times New Roman"/>
          <w:color w:val="000000" w:themeColor="text1"/>
          <w:kern w:val="28"/>
          <w:szCs w:val="28"/>
        </w:rPr>
        <w:t>施工期固体废物主要为基础施工产生的弃渣，施工人员的</w:t>
      </w:r>
      <w:r w:rsidRPr="008A2411">
        <w:rPr>
          <w:rFonts w:ascii="Times New Roman" w:hAnsi="Times New Roman"/>
          <w:color w:val="000000" w:themeColor="text1"/>
        </w:rPr>
        <w:t>生活垃圾等。</w:t>
      </w:r>
    </w:p>
    <w:p w14:paraId="26FE0E0E"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1</w:t>
      </w:r>
      <w:r w:rsidRPr="008A2411">
        <w:rPr>
          <w:rFonts w:ascii="Times New Roman" w:hAnsi="Times New Roman"/>
          <w:color w:val="000000" w:themeColor="text1"/>
        </w:rPr>
        <w:t>）基础施工</w:t>
      </w:r>
    </w:p>
    <w:p w14:paraId="7B6DE7BB"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本项目土石方工程能基本做到土石方平衡，无弃土产生。项目基础施工工程量小，弃渣少，建筑弃渣统一收集后待后续综合利用。</w:t>
      </w:r>
    </w:p>
    <w:p w14:paraId="425FE290"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2</w:t>
      </w:r>
      <w:r w:rsidRPr="008A2411">
        <w:rPr>
          <w:rFonts w:ascii="Times New Roman" w:hAnsi="Times New Roman"/>
          <w:color w:val="000000" w:themeColor="text1"/>
        </w:rPr>
        <w:t>）施工人员生活垃圾</w:t>
      </w:r>
    </w:p>
    <w:p w14:paraId="738386A6" w14:textId="77777777" w:rsidR="00B0005F" w:rsidRPr="008A2411" w:rsidRDefault="00000000">
      <w:pPr>
        <w:pStyle w:val="WJ"/>
        <w:rPr>
          <w:rFonts w:ascii="Times New Roman" w:hAnsi="Times New Roman"/>
          <w:color w:val="000000" w:themeColor="text1"/>
          <w:kern w:val="28"/>
          <w:szCs w:val="28"/>
        </w:rPr>
      </w:pPr>
      <w:r w:rsidRPr="008A2411">
        <w:rPr>
          <w:rFonts w:ascii="Times New Roman" w:hAnsi="Times New Roman"/>
          <w:color w:val="000000" w:themeColor="text1"/>
          <w:kern w:val="28"/>
          <w:szCs w:val="28"/>
        </w:rPr>
        <w:t>本项目施工期施工人员主要为当地民工，不集中安排食宿，产生的生活垃圾较少。生活垃圾定点收集后由环卫部门处理。</w:t>
      </w:r>
    </w:p>
    <w:p w14:paraId="17D1946E"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项目施工期土石方通过优化利用后能达到挖填方量基本平衡，施工人员生活垃圾由环卫部门定点收集后处理，均不会对周围环境造成影响，其措施可行。</w:t>
      </w:r>
    </w:p>
    <w:p w14:paraId="5E37F8D4" w14:textId="77777777" w:rsidR="00B0005F" w:rsidRPr="008A2411" w:rsidRDefault="00000000">
      <w:pPr>
        <w:pStyle w:val="WJ"/>
        <w:ind w:firstLineChars="0" w:firstLine="0"/>
        <w:outlineLvl w:val="2"/>
        <w:rPr>
          <w:rFonts w:ascii="Times New Roman" w:eastAsia="黑体" w:hAnsi="Times New Roman"/>
          <w:b/>
          <w:color w:val="000000" w:themeColor="text1"/>
          <w:kern w:val="0"/>
          <w:lang w:bidi="en-US"/>
        </w:rPr>
      </w:pPr>
      <w:r w:rsidRPr="008A2411">
        <w:rPr>
          <w:rFonts w:ascii="Times New Roman" w:eastAsia="黑体" w:hAnsi="Times New Roman"/>
          <w:b/>
          <w:color w:val="000000" w:themeColor="text1"/>
          <w:kern w:val="0"/>
          <w:lang w:bidi="en-US"/>
        </w:rPr>
        <w:t xml:space="preserve">7.4.2 </w:t>
      </w:r>
      <w:r w:rsidRPr="008A2411">
        <w:rPr>
          <w:rFonts w:ascii="Times New Roman" w:eastAsia="黑体" w:hAnsi="Times New Roman"/>
          <w:b/>
          <w:color w:val="000000" w:themeColor="text1"/>
          <w:kern w:val="0"/>
          <w:lang w:bidi="en-US"/>
        </w:rPr>
        <w:t>运营期</w:t>
      </w:r>
    </w:p>
    <w:p w14:paraId="2451D80D" w14:textId="77777777" w:rsidR="00B0005F" w:rsidRPr="008A2411" w:rsidRDefault="00000000">
      <w:pPr>
        <w:adjustRightInd w:val="0"/>
        <w:snapToGrid w:val="0"/>
        <w:spacing w:line="360" w:lineRule="auto"/>
        <w:ind w:firstLine="482"/>
        <w:rPr>
          <w:rFonts w:ascii="Times New Roman"/>
          <w:color w:val="000000" w:themeColor="text1"/>
          <w:szCs w:val="24"/>
        </w:rPr>
      </w:pPr>
      <w:r w:rsidRPr="008A2411">
        <w:rPr>
          <w:rFonts w:ascii="Times New Roman"/>
          <w:color w:val="000000" w:themeColor="text1"/>
        </w:rPr>
        <w:t>工程运营期产生的一般固</w:t>
      </w:r>
      <w:proofErr w:type="gramStart"/>
      <w:r w:rsidRPr="008A2411">
        <w:rPr>
          <w:rFonts w:ascii="Times New Roman"/>
          <w:color w:val="000000" w:themeColor="text1"/>
        </w:rPr>
        <w:t>废主要</w:t>
      </w:r>
      <w:proofErr w:type="gramEnd"/>
      <w:r w:rsidRPr="008A2411">
        <w:rPr>
          <w:rFonts w:ascii="Times New Roman"/>
          <w:color w:val="000000" w:themeColor="text1"/>
        </w:rPr>
        <w:t>包括</w:t>
      </w:r>
      <w:r w:rsidRPr="008A2411">
        <w:rPr>
          <w:rFonts w:ascii="Times New Roman"/>
          <w:color w:val="000000" w:themeColor="text1"/>
          <w:szCs w:val="24"/>
        </w:rPr>
        <w:t>污水处理站污泥和员工办公生活垃圾；危险废物主要包括</w:t>
      </w:r>
      <w:r w:rsidRPr="008A2411">
        <w:rPr>
          <w:rFonts w:ascii="Times New Roman"/>
          <w:color w:val="000000" w:themeColor="text1"/>
        </w:rPr>
        <w:t>废分子筛、废油、废活性炭、化验间残液及过滤装置滤渣等。</w:t>
      </w:r>
    </w:p>
    <w:p w14:paraId="72DA27F0" w14:textId="77777777" w:rsidR="00B0005F" w:rsidRPr="008A2411" w:rsidRDefault="00000000">
      <w:pPr>
        <w:pStyle w:val="WJ"/>
        <w:adjustRightInd w:val="0"/>
        <w:snapToGrid w:val="0"/>
        <w:spacing w:line="360" w:lineRule="auto"/>
        <w:ind w:firstLineChars="0" w:firstLine="0"/>
        <w:outlineLvl w:val="2"/>
        <w:rPr>
          <w:rFonts w:ascii="Times New Roman" w:eastAsia="黑体" w:hAnsi="Times New Roman"/>
          <w:b/>
          <w:color w:val="000000" w:themeColor="text1"/>
          <w:kern w:val="0"/>
          <w:lang w:bidi="en-US"/>
        </w:rPr>
      </w:pPr>
      <w:r w:rsidRPr="008A2411">
        <w:rPr>
          <w:rFonts w:ascii="Times New Roman" w:eastAsia="黑体" w:hAnsi="Times New Roman"/>
          <w:b/>
          <w:color w:val="000000" w:themeColor="text1"/>
          <w:kern w:val="0"/>
          <w:lang w:bidi="en-US"/>
        </w:rPr>
        <w:t xml:space="preserve">7.4.3 </w:t>
      </w:r>
      <w:r w:rsidRPr="008A2411">
        <w:rPr>
          <w:rFonts w:ascii="Times New Roman" w:eastAsia="黑体" w:hAnsi="Times New Roman"/>
          <w:b/>
          <w:color w:val="000000" w:themeColor="text1"/>
          <w:kern w:val="0"/>
          <w:lang w:bidi="en-US"/>
        </w:rPr>
        <w:t>拟采取的固体废物污染防治措施的可行性分析</w:t>
      </w:r>
    </w:p>
    <w:p w14:paraId="363B0B63" w14:textId="0BCB807E" w:rsidR="00B0005F" w:rsidRPr="008A2411" w:rsidRDefault="00000000">
      <w:pPr>
        <w:pStyle w:val="WJ"/>
        <w:adjustRightInd w:val="0"/>
        <w:snapToGrid w:val="0"/>
        <w:spacing w:line="360" w:lineRule="auto"/>
        <w:rPr>
          <w:rFonts w:ascii="Times New Roman" w:hAnsi="Times New Roman"/>
          <w:color w:val="000000" w:themeColor="text1"/>
        </w:rPr>
      </w:pPr>
      <w:bookmarkStart w:id="636" w:name="_Toc312870435"/>
      <w:bookmarkStart w:id="637" w:name="_Toc319852992"/>
      <w:r w:rsidRPr="008A2411">
        <w:rPr>
          <w:rFonts w:ascii="Times New Roman" w:hAnsi="Times New Roman"/>
          <w:color w:val="000000" w:themeColor="text1"/>
        </w:rPr>
        <w:t>工程运营期产生的固</w:t>
      </w:r>
      <w:proofErr w:type="gramStart"/>
      <w:r w:rsidRPr="008A2411">
        <w:rPr>
          <w:rFonts w:ascii="Times New Roman" w:hAnsi="Times New Roman"/>
          <w:color w:val="000000" w:themeColor="text1"/>
        </w:rPr>
        <w:t>废主要</w:t>
      </w:r>
      <w:proofErr w:type="gramEnd"/>
      <w:r w:rsidRPr="008A2411">
        <w:rPr>
          <w:rFonts w:ascii="Times New Roman" w:hAnsi="Times New Roman"/>
          <w:color w:val="000000" w:themeColor="text1"/>
        </w:rPr>
        <w:t>是</w:t>
      </w:r>
      <w:r w:rsidRPr="008A2411">
        <w:rPr>
          <w:rFonts w:ascii="Times New Roman" w:hAnsi="Times New Roman"/>
          <w:bCs/>
          <w:color w:val="000000" w:themeColor="text1"/>
        </w:rPr>
        <w:t>污水处理系统污泥、</w:t>
      </w:r>
      <w:r w:rsidRPr="008A2411">
        <w:rPr>
          <w:rFonts w:ascii="Times New Roman" w:hint="eastAsia"/>
          <w:color w:val="000000" w:themeColor="text1"/>
        </w:rPr>
        <w:t>废制氮装置废过滤器、</w:t>
      </w:r>
      <w:r w:rsidRPr="008A2411">
        <w:rPr>
          <w:rFonts w:ascii="Times New Roman" w:hAnsi="Times New Roman"/>
          <w:color w:val="000000" w:themeColor="text1"/>
        </w:rPr>
        <w:t>值守人员产生的生活垃圾、废分子筛、废油、废活性炭、化验间残液及过滤装置滤渣。其中，一般固废为污水系统污泥产生量为</w:t>
      </w:r>
      <w:r w:rsidRPr="008A2411">
        <w:rPr>
          <w:rFonts w:ascii="Times New Roman" w:hAnsi="Times New Roman"/>
          <w:color w:val="000000" w:themeColor="text1"/>
        </w:rPr>
        <w:t>0.2t/d</w:t>
      </w:r>
      <w:r w:rsidRPr="008A2411">
        <w:rPr>
          <w:rFonts w:ascii="Times New Roman" w:hAnsi="Times New Roman"/>
          <w:color w:val="000000" w:themeColor="text1"/>
        </w:rPr>
        <w:t>（约</w:t>
      </w:r>
      <w:r w:rsidRPr="008A2411">
        <w:rPr>
          <w:rFonts w:ascii="Times New Roman" w:hAnsi="Times New Roman"/>
          <w:color w:val="000000" w:themeColor="text1"/>
        </w:rPr>
        <w:t>73t/a</w:t>
      </w:r>
      <w:r w:rsidRPr="008A2411">
        <w:rPr>
          <w:rFonts w:ascii="Times New Roman" w:hAnsi="Times New Roman"/>
          <w:color w:val="000000" w:themeColor="text1"/>
        </w:rPr>
        <w:t>），</w:t>
      </w:r>
      <w:proofErr w:type="gramStart"/>
      <w:r w:rsidRPr="008A2411">
        <w:rPr>
          <w:rFonts w:ascii="Times New Roman" w:hAnsi="Times New Roman"/>
          <w:color w:val="000000" w:themeColor="text1"/>
        </w:rPr>
        <w:t>送城市</w:t>
      </w:r>
      <w:proofErr w:type="gramEnd"/>
      <w:r w:rsidRPr="008A2411">
        <w:rPr>
          <w:rFonts w:ascii="Times New Roman" w:hAnsi="Times New Roman"/>
          <w:color w:val="000000" w:themeColor="text1"/>
        </w:rPr>
        <w:t>生活垃圾填埋场处理；</w:t>
      </w:r>
      <w:r w:rsidRPr="008A2411">
        <w:rPr>
          <w:rFonts w:ascii="Times New Roman" w:hint="eastAsia"/>
          <w:color w:val="000000" w:themeColor="text1"/>
        </w:rPr>
        <w:t>废制氮装置废过滤器</w:t>
      </w:r>
      <w:r w:rsidRPr="008A2411">
        <w:rPr>
          <w:rFonts w:ascii="Times New Roman" w:hAnsi="Times New Roman"/>
          <w:color w:val="000000" w:themeColor="text1"/>
        </w:rPr>
        <w:t>生量为</w:t>
      </w:r>
      <w:r w:rsidRPr="008A2411">
        <w:rPr>
          <w:rFonts w:ascii="Times New Roman" w:hAnsi="Times New Roman"/>
          <w:color w:val="000000" w:themeColor="text1"/>
        </w:rPr>
        <w:t>0.</w:t>
      </w:r>
      <w:r w:rsidRPr="008A2411">
        <w:rPr>
          <w:rFonts w:ascii="Times New Roman" w:hAnsi="Times New Roman" w:hint="eastAsia"/>
          <w:color w:val="000000" w:themeColor="text1"/>
        </w:rPr>
        <w:t>1</w:t>
      </w:r>
      <w:r w:rsidRPr="008A2411">
        <w:rPr>
          <w:rFonts w:ascii="Times New Roman" w:hAnsi="Times New Roman"/>
          <w:color w:val="000000" w:themeColor="text1"/>
        </w:rPr>
        <w:t>t/a</w:t>
      </w:r>
      <w:r w:rsidRPr="008A2411">
        <w:rPr>
          <w:rFonts w:ascii="Times New Roman" w:hAnsi="Times New Roman" w:hint="eastAsia"/>
          <w:color w:val="000000" w:themeColor="text1"/>
        </w:rPr>
        <w:t>，在更换时交由供货厂商回收；</w:t>
      </w:r>
      <w:r w:rsidRPr="008A2411">
        <w:rPr>
          <w:rFonts w:ascii="Times New Roman" w:hAnsi="Times New Roman"/>
          <w:color w:val="000000" w:themeColor="text1"/>
        </w:rPr>
        <w:t>生活垃圾产生量为</w:t>
      </w:r>
      <w:r w:rsidRPr="008A2411">
        <w:rPr>
          <w:rFonts w:ascii="Times New Roman" w:hAnsi="Times New Roman"/>
          <w:color w:val="000000" w:themeColor="text1"/>
        </w:rPr>
        <w:t>0.335t/d</w:t>
      </w:r>
      <w:r w:rsidRPr="008A2411">
        <w:rPr>
          <w:rFonts w:ascii="Times New Roman" w:hAnsi="Times New Roman"/>
          <w:color w:val="000000" w:themeColor="text1"/>
        </w:rPr>
        <w:t>（约</w:t>
      </w:r>
      <w:r w:rsidR="001B5753" w:rsidRPr="008A2411">
        <w:rPr>
          <w:rFonts w:ascii="Times New Roman" w:hAnsi="Times New Roman" w:hint="eastAsia"/>
          <w:color w:val="000000" w:themeColor="text1"/>
        </w:rPr>
        <w:t>110.5</w:t>
      </w:r>
      <w:r w:rsidRPr="008A2411">
        <w:rPr>
          <w:rFonts w:ascii="Times New Roman" w:hAnsi="Times New Roman"/>
          <w:color w:val="000000" w:themeColor="text1"/>
        </w:rPr>
        <w:t>t/a</w:t>
      </w:r>
      <w:r w:rsidRPr="008A2411">
        <w:rPr>
          <w:rFonts w:ascii="Times New Roman" w:hAnsi="Times New Roman"/>
          <w:color w:val="000000" w:themeColor="text1"/>
        </w:rPr>
        <w:t>），由当地环卫部门统一收集处理；危险废物包括废分子筛产生量为</w:t>
      </w:r>
      <w:r w:rsidRPr="008A2411">
        <w:rPr>
          <w:rFonts w:ascii="Times New Roman" w:hAnsi="Times New Roman"/>
          <w:color w:val="000000" w:themeColor="text1"/>
        </w:rPr>
        <w:t>3t/a</w:t>
      </w:r>
      <w:r w:rsidRPr="008A2411">
        <w:rPr>
          <w:rFonts w:ascii="Times New Roman" w:hAnsi="Times New Roman"/>
          <w:color w:val="000000" w:themeColor="text1"/>
        </w:rPr>
        <w:t>，干燥塔脱水再生单元含油废液产生量</w:t>
      </w:r>
      <w:r w:rsidRPr="008A2411">
        <w:rPr>
          <w:rFonts w:ascii="Times New Roman" w:hAnsi="Times New Roman"/>
          <w:color w:val="000000" w:themeColor="text1"/>
        </w:rPr>
        <w:t>3.2t/a</w:t>
      </w:r>
      <w:r w:rsidRPr="008A2411">
        <w:rPr>
          <w:rFonts w:ascii="Times New Roman" w:hAnsi="Times New Roman"/>
          <w:color w:val="000000" w:themeColor="text1"/>
        </w:rPr>
        <w:t>，设备检修废油产生量为</w:t>
      </w:r>
      <w:r w:rsidRPr="008A2411">
        <w:rPr>
          <w:rFonts w:ascii="Times New Roman" w:hAnsi="Times New Roman"/>
          <w:color w:val="000000" w:themeColor="text1"/>
        </w:rPr>
        <w:t>2t/a</w:t>
      </w:r>
      <w:r w:rsidRPr="008A2411">
        <w:rPr>
          <w:rFonts w:ascii="Times New Roman" w:hAnsi="Times New Roman"/>
          <w:color w:val="000000" w:themeColor="text1"/>
        </w:rPr>
        <w:t>，生产装置区液化生产单元、脱碳单元、脱汞单元和脱重烃单元产生的废活性炭为</w:t>
      </w:r>
      <w:r w:rsidR="002A582A" w:rsidRPr="008A2411">
        <w:rPr>
          <w:rFonts w:ascii="Times New Roman" w:hAnsi="Times New Roman" w:hint="eastAsia"/>
          <w:color w:val="000000" w:themeColor="text1"/>
        </w:rPr>
        <w:t>1</w:t>
      </w:r>
      <w:r w:rsidRPr="008A2411">
        <w:rPr>
          <w:rFonts w:ascii="Times New Roman" w:hAnsi="Times New Roman"/>
          <w:color w:val="000000" w:themeColor="text1"/>
        </w:rPr>
        <w:t>0t/a</w:t>
      </w:r>
      <w:r w:rsidRPr="008A2411">
        <w:rPr>
          <w:rFonts w:ascii="Times New Roman" w:hAnsi="Times New Roman"/>
          <w:color w:val="000000" w:themeColor="text1"/>
        </w:rPr>
        <w:t>，化验间废液产生量约</w:t>
      </w:r>
      <w:r w:rsidRPr="008A2411">
        <w:rPr>
          <w:rFonts w:ascii="Times New Roman" w:hAnsi="Times New Roman"/>
          <w:color w:val="000000" w:themeColor="text1"/>
        </w:rPr>
        <w:t>0.02t/a</w:t>
      </w:r>
      <w:r w:rsidRPr="008A2411">
        <w:rPr>
          <w:rFonts w:ascii="Times New Roman" w:hAnsi="Times New Roman"/>
          <w:color w:val="000000" w:themeColor="text1"/>
        </w:rPr>
        <w:t>（由废液收集桶收集），进口过滤器、溶液过滤器、净化气过滤器、重烃过滤器等过滤杂质产生量为</w:t>
      </w:r>
      <w:r w:rsidRPr="008A2411">
        <w:rPr>
          <w:rFonts w:ascii="Times New Roman" w:hAnsi="Times New Roman"/>
          <w:color w:val="000000" w:themeColor="text1"/>
        </w:rPr>
        <w:t>0.67t/a</w:t>
      </w:r>
      <w:r w:rsidR="0077462A" w:rsidRPr="008A2411">
        <w:rPr>
          <w:rFonts w:ascii="Times New Roman" w:hAnsi="Times New Roman" w:hint="eastAsia"/>
          <w:color w:val="000000" w:themeColor="text1"/>
        </w:rPr>
        <w:t>，更换导热油时废导热</w:t>
      </w:r>
      <w:proofErr w:type="gramStart"/>
      <w:r w:rsidR="0077462A" w:rsidRPr="008A2411">
        <w:rPr>
          <w:rFonts w:ascii="Times New Roman" w:hAnsi="Times New Roman" w:hint="eastAsia"/>
          <w:color w:val="000000" w:themeColor="text1"/>
        </w:rPr>
        <w:t>油产生</w:t>
      </w:r>
      <w:proofErr w:type="gramEnd"/>
      <w:r w:rsidR="0077462A" w:rsidRPr="008A2411">
        <w:rPr>
          <w:rFonts w:ascii="Times New Roman" w:hAnsi="Times New Roman" w:hint="eastAsia"/>
          <w:color w:val="000000" w:themeColor="text1"/>
        </w:rPr>
        <w:t>量为</w:t>
      </w:r>
      <w:r w:rsidR="00237F5D">
        <w:rPr>
          <w:rFonts w:ascii="Times New Roman" w:hAnsi="Times New Roman"/>
          <w:color w:val="000000" w:themeColor="text1"/>
        </w:rPr>
        <w:t>12.5</w:t>
      </w:r>
      <w:r w:rsidR="0077462A" w:rsidRPr="008A2411">
        <w:rPr>
          <w:rFonts w:ascii="Times New Roman" w:hAnsi="Times New Roman"/>
          <w:color w:val="000000" w:themeColor="text1"/>
        </w:rPr>
        <w:t>t/a</w:t>
      </w:r>
      <w:r w:rsidRPr="008A2411">
        <w:rPr>
          <w:rFonts w:ascii="Times New Roman" w:hAnsi="Times New Roman"/>
          <w:color w:val="000000" w:themeColor="text1"/>
        </w:rPr>
        <w:t>。上述危险废物</w:t>
      </w:r>
      <w:proofErr w:type="gramStart"/>
      <w:r w:rsidRPr="008A2411">
        <w:rPr>
          <w:rFonts w:ascii="Times New Roman" w:hAnsi="Times New Roman"/>
          <w:color w:val="000000" w:themeColor="text1"/>
        </w:rPr>
        <w:t>存于危废</w:t>
      </w:r>
      <w:r w:rsidRPr="008A2411">
        <w:rPr>
          <w:rFonts w:ascii="Times New Roman" w:hAnsi="Times New Roman"/>
          <w:color w:val="000000" w:themeColor="text1"/>
        </w:rPr>
        <w:lastRenderedPageBreak/>
        <w:t>暂存</w:t>
      </w:r>
      <w:proofErr w:type="gramEnd"/>
      <w:r w:rsidRPr="008A2411">
        <w:rPr>
          <w:rFonts w:ascii="Times New Roman" w:hAnsi="Times New Roman"/>
          <w:color w:val="000000" w:themeColor="text1"/>
        </w:rPr>
        <w:t>间，交有资质单位处置</w:t>
      </w:r>
      <w:r w:rsidRPr="008A2411">
        <w:rPr>
          <w:rFonts w:ascii="Times New Roman" w:hAnsi="Times New Roman" w:hint="eastAsia"/>
          <w:color w:val="000000" w:themeColor="text1"/>
        </w:rPr>
        <w:t>。</w:t>
      </w:r>
    </w:p>
    <w:p w14:paraId="2C1AD94E"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项目设置了危险废物暂存间，暂存间</w:t>
      </w:r>
      <w:proofErr w:type="gramStart"/>
      <w:r w:rsidRPr="008A2411">
        <w:rPr>
          <w:rFonts w:ascii="Times New Roman" w:hAnsi="Times New Roman"/>
          <w:color w:val="000000" w:themeColor="text1"/>
        </w:rPr>
        <w:t>内危险</w:t>
      </w:r>
      <w:proofErr w:type="gramEnd"/>
      <w:r w:rsidRPr="008A2411">
        <w:rPr>
          <w:rFonts w:ascii="Times New Roman" w:hAnsi="Times New Roman"/>
          <w:color w:val="000000" w:themeColor="text1"/>
        </w:rPr>
        <w:t>废物分类存放，并做好了</w:t>
      </w:r>
      <w:r w:rsidRPr="008A2411">
        <w:rPr>
          <w:rFonts w:ascii="Times New Roman" w:hAnsi="Times New Roman" w:hint="eastAsia"/>
          <w:color w:val="000000" w:themeColor="text1"/>
        </w:rPr>
        <w:t>“</w:t>
      </w:r>
      <w:r w:rsidRPr="008A2411">
        <w:rPr>
          <w:rFonts w:ascii="Times New Roman" w:hAnsi="Times New Roman"/>
          <w:color w:val="000000" w:themeColor="text1"/>
        </w:rPr>
        <w:t>防雨、防渗、防流失</w:t>
      </w:r>
      <w:r w:rsidRPr="008A2411">
        <w:rPr>
          <w:rFonts w:ascii="Times New Roman" w:hAnsi="Times New Roman" w:hint="eastAsia"/>
          <w:color w:val="000000" w:themeColor="text1"/>
        </w:rPr>
        <w:t>”</w:t>
      </w:r>
      <w:r w:rsidRPr="008A2411">
        <w:rPr>
          <w:rFonts w:ascii="Times New Roman" w:hAnsi="Times New Roman"/>
          <w:color w:val="000000" w:themeColor="text1"/>
        </w:rPr>
        <w:t>措施，并按规范设置了危险废物标识标牌。</w:t>
      </w:r>
    </w:p>
    <w:p w14:paraId="1D0F5822"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由此可见，项目产生的固体废物均分类收集，妥善处置，不会造成二次污染。</w:t>
      </w:r>
    </w:p>
    <w:p w14:paraId="70B4DF2C" w14:textId="77777777" w:rsidR="00B0005F" w:rsidRPr="008A2411" w:rsidRDefault="00000000">
      <w:pPr>
        <w:pStyle w:val="WJ"/>
        <w:adjustRightInd w:val="0"/>
        <w:snapToGrid w:val="0"/>
        <w:spacing w:line="360" w:lineRule="auto"/>
        <w:rPr>
          <w:rFonts w:ascii="Times New Roman" w:hAnsi="Times New Roman"/>
          <w:color w:val="000000" w:themeColor="text1"/>
        </w:rPr>
      </w:pPr>
      <w:bookmarkStart w:id="638" w:name="_Toc162428741"/>
      <w:bookmarkStart w:id="639" w:name="_Toc119661394"/>
      <w:bookmarkStart w:id="640" w:name="_Toc132616394"/>
      <w:bookmarkStart w:id="641" w:name="_Toc142238955"/>
      <w:r w:rsidRPr="008A2411">
        <w:rPr>
          <w:rFonts w:ascii="Times New Roman" w:hAnsi="Times New Roman"/>
          <w:color w:val="000000" w:themeColor="text1"/>
        </w:rPr>
        <w:t>为避免生产过程中产生的危险废物对环境的危害，建议采取以下措施：</w:t>
      </w:r>
    </w:p>
    <w:bookmarkEnd w:id="638"/>
    <w:bookmarkEnd w:id="639"/>
    <w:bookmarkEnd w:id="640"/>
    <w:bookmarkEnd w:id="641"/>
    <w:p w14:paraId="65E29E7B"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1</w:t>
      </w:r>
      <w:r w:rsidRPr="008A2411">
        <w:rPr>
          <w:rFonts w:ascii="Times New Roman" w:hAnsi="Times New Roman"/>
          <w:color w:val="000000" w:themeColor="text1"/>
        </w:rPr>
        <w:t>、管理制度</w:t>
      </w:r>
    </w:p>
    <w:p w14:paraId="41E6CC7E"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1</w:t>
      </w:r>
      <w:r w:rsidRPr="008A2411">
        <w:rPr>
          <w:rFonts w:ascii="Times New Roman" w:hAnsi="Times New Roman"/>
          <w:color w:val="000000" w:themeColor="text1"/>
        </w:rPr>
        <w:t>）建设单位应按照国家有关规定制定并报送危险废物管理计划、意外事故的防范措施和应急预案，完善申报登记手续。</w:t>
      </w:r>
    </w:p>
    <w:p w14:paraId="4E3FE89F"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2</w:t>
      </w:r>
      <w:r w:rsidRPr="008A2411">
        <w:rPr>
          <w:rFonts w:ascii="Times New Roman" w:hAnsi="Times New Roman"/>
          <w:color w:val="000000" w:themeColor="text1"/>
        </w:rPr>
        <w:t>）建立规划的危险废物管理计划制度，建立危险</w:t>
      </w:r>
      <w:proofErr w:type="gramStart"/>
      <w:r w:rsidRPr="008A2411">
        <w:rPr>
          <w:rFonts w:ascii="Times New Roman" w:hAnsi="Times New Roman"/>
          <w:color w:val="000000" w:themeColor="text1"/>
        </w:rPr>
        <w:t>废物台</w:t>
      </w:r>
      <w:proofErr w:type="gramEnd"/>
      <w:r w:rsidRPr="008A2411">
        <w:rPr>
          <w:rFonts w:ascii="Times New Roman" w:hAnsi="Times New Roman"/>
          <w:color w:val="000000" w:themeColor="text1"/>
        </w:rPr>
        <w:t>帐，如实记载产生危险废物的种类、数量、利用、贮存、处置、流向等信息。</w:t>
      </w:r>
    </w:p>
    <w:p w14:paraId="04CBF65B"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3</w:t>
      </w:r>
      <w:r w:rsidRPr="008A2411">
        <w:rPr>
          <w:rFonts w:ascii="Times New Roman" w:hAnsi="Times New Roman"/>
          <w:color w:val="000000" w:themeColor="text1"/>
        </w:rPr>
        <w:t>）应将危险废物提供或者委托给有经营许可证的单位从事收集、贮存、利用、处置的经营活动。</w:t>
      </w:r>
    </w:p>
    <w:p w14:paraId="1FB6A554"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4</w:t>
      </w:r>
      <w:r w:rsidRPr="008A2411">
        <w:rPr>
          <w:rFonts w:ascii="Times New Roman" w:hAnsi="Times New Roman"/>
          <w:color w:val="000000" w:themeColor="text1"/>
        </w:rPr>
        <w:t>）跨行政区域转移危险废物的，应按照《危险废物转移联单管理办法》依法报批。</w:t>
      </w:r>
    </w:p>
    <w:p w14:paraId="3CF137B2"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5</w:t>
      </w:r>
      <w:r w:rsidRPr="008A2411">
        <w:rPr>
          <w:rFonts w:ascii="Times New Roman" w:hAnsi="Times New Roman"/>
          <w:color w:val="000000" w:themeColor="text1"/>
        </w:rPr>
        <w:t>）对危险废物的容器和包装物以及收集、贮存、运输危险废物的设施、场所，必须设置危险废物识别标志。危险废物贮存、处置场的警告图形符号样式见《环境保护图形标志</w:t>
      </w:r>
      <w:r w:rsidRPr="008A2411">
        <w:rPr>
          <w:rFonts w:ascii="Times New Roman" w:hAnsi="Times New Roman"/>
          <w:color w:val="000000" w:themeColor="text1"/>
        </w:rPr>
        <w:t>--</w:t>
      </w:r>
      <w:r w:rsidRPr="008A2411">
        <w:rPr>
          <w:rFonts w:ascii="Times New Roman" w:hAnsi="Times New Roman"/>
          <w:color w:val="000000" w:themeColor="text1"/>
        </w:rPr>
        <w:t>固体废物贮存（处置）场》（</w:t>
      </w:r>
      <w:r w:rsidRPr="008A2411">
        <w:rPr>
          <w:rFonts w:ascii="Times New Roman" w:hAnsi="Times New Roman" w:hint="eastAsia"/>
          <w:color w:val="000000" w:themeColor="text1"/>
        </w:rPr>
        <w:t>GB15562.2-2020</w:t>
      </w:r>
      <w:r w:rsidRPr="008A2411">
        <w:rPr>
          <w:rFonts w:ascii="Times New Roman" w:hAnsi="Times New Roman"/>
          <w:color w:val="000000" w:themeColor="text1"/>
        </w:rPr>
        <w:t>）。盛装危险废物的容器必须粘贴的标签样式见《危险废物贮存污染控制标准》（</w:t>
      </w:r>
      <w:r w:rsidRPr="008A2411">
        <w:rPr>
          <w:rFonts w:ascii="Times New Roman" w:hAnsi="Times New Roman"/>
          <w:color w:val="000000" w:themeColor="text1"/>
        </w:rPr>
        <w:t>GB18597-2001</w:t>
      </w:r>
      <w:r w:rsidRPr="008A2411">
        <w:rPr>
          <w:rFonts w:ascii="Times New Roman" w:hAnsi="Times New Roman"/>
          <w:color w:val="000000" w:themeColor="text1"/>
        </w:rPr>
        <w:t>）。</w:t>
      </w:r>
    </w:p>
    <w:p w14:paraId="0CF279A4"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6</w:t>
      </w:r>
      <w:r w:rsidRPr="008A2411">
        <w:rPr>
          <w:rFonts w:ascii="Times New Roman" w:hAnsi="Times New Roman"/>
          <w:color w:val="000000" w:themeColor="text1"/>
        </w:rPr>
        <w:t>）贮存危险废物必须采取符合国家环境保护标准的防护措施，并不得超过一年；禁止将危险废物混入非危险废物中贮存；禁止混合收集、贮存、运输、处置性质不相容而未经安全性处置的危险废物。</w:t>
      </w:r>
    </w:p>
    <w:p w14:paraId="4D31311D"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2</w:t>
      </w:r>
      <w:r w:rsidRPr="008A2411">
        <w:rPr>
          <w:rFonts w:ascii="Times New Roman" w:hAnsi="Times New Roman"/>
          <w:color w:val="000000" w:themeColor="text1"/>
        </w:rPr>
        <w:t>、危险废物贮存场所的具体要求</w:t>
      </w:r>
    </w:p>
    <w:p w14:paraId="733609A3"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1</w:t>
      </w:r>
      <w:r w:rsidRPr="008A2411">
        <w:rPr>
          <w:rFonts w:ascii="Times New Roman" w:hAnsi="Times New Roman"/>
          <w:color w:val="000000" w:themeColor="text1"/>
        </w:rPr>
        <w:t>）危险固废暂存场所的应设置按照《危险废物贮存污染控制标准》（</w:t>
      </w:r>
      <w:r w:rsidRPr="008A2411">
        <w:rPr>
          <w:rFonts w:ascii="Times New Roman" w:hAnsi="Times New Roman"/>
          <w:color w:val="000000" w:themeColor="text1"/>
        </w:rPr>
        <w:t>GB18597-2001</w:t>
      </w:r>
      <w:r w:rsidRPr="008A2411">
        <w:rPr>
          <w:rFonts w:ascii="Times New Roman" w:hAnsi="Times New Roman"/>
          <w:color w:val="000000" w:themeColor="text1"/>
        </w:rPr>
        <w:t>）要求进行；一般工业固暂存场所的设置</w:t>
      </w:r>
      <w:r w:rsidRPr="008A2411">
        <w:rPr>
          <w:rFonts w:ascii="Times New Roman" w:hAnsi="Times New Roman" w:hint="eastAsia"/>
          <w:color w:val="000000" w:themeColor="text1"/>
        </w:rPr>
        <w:t>参照</w:t>
      </w:r>
      <w:r w:rsidRPr="008A2411">
        <w:rPr>
          <w:rFonts w:ascii="Times New Roman" w:hAnsi="Times New Roman"/>
          <w:color w:val="000000" w:themeColor="text1"/>
        </w:rPr>
        <w:t>《</w:t>
      </w:r>
      <w:r w:rsidRPr="008A2411">
        <w:rPr>
          <w:rFonts w:ascii="Times New Roman" w:hint="eastAsia"/>
          <w:color w:val="000000" w:themeColor="text1"/>
        </w:rPr>
        <w:t>一般工业固体废物贮存和填埋污染控制标准</w:t>
      </w:r>
      <w:r w:rsidRPr="008A2411">
        <w:rPr>
          <w:rFonts w:ascii="Times New Roman" w:hAnsi="Times New Roman"/>
          <w:color w:val="000000" w:themeColor="text1"/>
        </w:rPr>
        <w:t>》（</w:t>
      </w:r>
      <w:r w:rsidRPr="008A2411">
        <w:rPr>
          <w:rFonts w:ascii="Times New Roman" w:hAnsi="Times New Roman"/>
          <w:color w:val="000000" w:themeColor="text1"/>
        </w:rPr>
        <w:t>GB18599-2020</w:t>
      </w:r>
      <w:r w:rsidRPr="008A2411">
        <w:rPr>
          <w:rFonts w:ascii="Times New Roman" w:hAnsi="Times New Roman"/>
          <w:color w:val="000000" w:themeColor="text1"/>
        </w:rPr>
        <w:t>）要求进行建设。</w:t>
      </w:r>
    </w:p>
    <w:p w14:paraId="7B1CA5D3"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2</w:t>
      </w:r>
      <w:r w:rsidRPr="008A2411">
        <w:rPr>
          <w:rFonts w:ascii="Times New Roman" w:hAnsi="Times New Roman"/>
          <w:color w:val="000000" w:themeColor="text1"/>
        </w:rPr>
        <w:t>）项目</w:t>
      </w:r>
      <w:proofErr w:type="gramStart"/>
      <w:r w:rsidRPr="008A2411">
        <w:rPr>
          <w:rFonts w:ascii="Times New Roman" w:hAnsi="Times New Roman"/>
          <w:color w:val="000000" w:themeColor="text1"/>
        </w:rPr>
        <w:t>固废应分类</w:t>
      </w:r>
      <w:proofErr w:type="gramEnd"/>
      <w:r w:rsidRPr="008A2411">
        <w:rPr>
          <w:rFonts w:ascii="Times New Roman" w:hAnsi="Times New Roman"/>
          <w:color w:val="000000" w:themeColor="text1"/>
        </w:rPr>
        <w:t>收集、分类存放在专用的容器中，盛放挥发固废的容器加盖，防止有机废气挥发溢出。堆放废物的地坪要符合防腐防渗要求，且堆场应安装雨蓬，避免产生渗透、雨水淋溶及大风吹扬等二次污染，应能满足防风、防雨、防晒等要求。并应有专人看管，做好防盗工作；临时堆场上方应设置防雨</w:t>
      </w:r>
      <w:r w:rsidRPr="008A2411">
        <w:rPr>
          <w:rFonts w:ascii="Times New Roman" w:hAnsi="Times New Roman"/>
          <w:color w:val="000000" w:themeColor="text1"/>
        </w:rPr>
        <w:lastRenderedPageBreak/>
        <w:t>顶棚，四周砌有矮墙，防止污染环境。原则上应设置封闭式库房，库房地面应硬化，严禁</w:t>
      </w:r>
      <w:proofErr w:type="gramStart"/>
      <w:r w:rsidRPr="008A2411">
        <w:rPr>
          <w:rFonts w:ascii="Times New Roman" w:hAnsi="Times New Roman"/>
          <w:color w:val="000000" w:themeColor="text1"/>
        </w:rPr>
        <w:t>裸</w:t>
      </w:r>
      <w:proofErr w:type="gramEnd"/>
      <w:r w:rsidRPr="008A2411">
        <w:rPr>
          <w:rFonts w:ascii="Times New Roman" w:hAnsi="Times New Roman"/>
          <w:color w:val="000000" w:themeColor="text1"/>
        </w:rPr>
        <w:t>土堆放。</w:t>
      </w:r>
    </w:p>
    <w:p w14:paraId="15129A59"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3</w:t>
      </w:r>
      <w:r w:rsidRPr="008A2411">
        <w:rPr>
          <w:rFonts w:ascii="Times New Roman" w:hAnsi="Times New Roman"/>
          <w:color w:val="000000" w:themeColor="text1"/>
        </w:rPr>
        <w:t>）危险废物贮存场所应单独设置，不得与其他物料贮存场所混合使用，并</w:t>
      </w:r>
      <w:proofErr w:type="gramStart"/>
      <w:r w:rsidRPr="008A2411">
        <w:rPr>
          <w:rFonts w:ascii="Times New Roman" w:hAnsi="Times New Roman"/>
          <w:color w:val="000000" w:themeColor="text1"/>
        </w:rPr>
        <w:t>须设置</w:t>
      </w:r>
      <w:proofErr w:type="gramEnd"/>
      <w:r w:rsidRPr="008A2411">
        <w:rPr>
          <w:rFonts w:ascii="Times New Roman" w:hAnsi="Times New Roman"/>
          <w:color w:val="000000" w:themeColor="text1"/>
        </w:rPr>
        <w:t>危险废物识别标志。其贮存容量不得小于危险废物月产生量。</w:t>
      </w:r>
    </w:p>
    <w:p w14:paraId="05B80434"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4</w:t>
      </w:r>
      <w:r w:rsidRPr="008A2411">
        <w:rPr>
          <w:rFonts w:ascii="Times New Roman" w:hAnsi="Times New Roman"/>
          <w:color w:val="000000" w:themeColor="text1"/>
        </w:rPr>
        <w:t>）</w:t>
      </w:r>
      <w:proofErr w:type="gramStart"/>
      <w:r w:rsidRPr="008A2411">
        <w:rPr>
          <w:rFonts w:ascii="Times New Roman" w:hAnsi="Times New Roman"/>
          <w:color w:val="000000" w:themeColor="text1"/>
        </w:rPr>
        <w:t>固废委外</w:t>
      </w:r>
      <w:proofErr w:type="gramEnd"/>
      <w:r w:rsidRPr="008A2411">
        <w:rPr>
          <w:rFonts w:ascii="Times New Roman" w:hAnsi="Times New Roman"/>
          <w:color w:val="000000" w:themeColor="text1"/>
        </w:rPr>
        <w:t>处理时应由专用车进行运输，并做好密闭措施，防止污染。</w:t>
      </w:r>
    </w:p>
    <w:p w14:paraId="7F85F762"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5</w:t>
      </w:r>
      <w:r w:rsidRPr="008A2411">
        <w:rPr>
          <w:rFonts w:ascii="Times New Roman" w:hAnsi="Times New Roman"/>
          <w:color w:val="000000" w:themeColor="text1"/>
        </w:rPr>
        <w:t>）不相容的危险废物须分别贮存或存放于不渗透间隔分开的区域内。对于含水率高的危险废物，其贮存边缘应设置围堰，并配有渗滤液收集装置。</w:t>
      </w:r>
    </w:p>
    <w:p w14:paraId="51706928"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6</w:t>
      </w:r>
      <w:r w:rsidRPr="008A2411">
        <w:rPr>
          <w:rFonts w:ascii="Times New Roman" w:hAnsi="Times New Roman"/>
          <w:color w:val="000000" w:themeColor="text1"/>
        </w:rPr>
        <w:t>）固态危险废物须采用包装袋或密闭容器收集，半液态、液态危险废物须采用密闭容器收集。</w:t>
      </w:r>
    </w:p>
    <w:p w14:paraId="607EF56D" w14:textId="77777777" w:rsidR="00B0005F" w:rsidRPr="008A2411" w:rsidRDefault="00000000">
      <w:pPr>
        <w:adjustRightInd w:val="0"/>
        <w:snapToGrid w:val="0"/>
        <w:spacing w:line="360" w:lineRule="auto"/>
        <w:ind w:firstLineChars="200" w:firstLine="480"/>
        <w:rPr>
          <w:rFonts w:ascii="Times New Roman"/>
          <w:color w:val="000000" w:themeColor="text1"/>
        </w:rPr>
      </w:pPr>
      <w:r w:rsidRPr="008A2411">
        <w:rPr>
          <w:rFonts w:ascii="Times New Roman"/>
          <w:color w:val="000000" w:themeColor="text1"/>
        </w:rPr>
        <w:t>综上所述，建设项目产生的固废分类处理存放，不被风吹、雨淋，专人看管，专车运输，全厂固废实现</w:t>
      </w:r>
      <w:proofErr w:type="gramStart"/>
      <w:r w:rsidRPr="008A2411">
        <w:rPr>
          <w:rFonts w:ascii="Times New Roman" w:hint="eastAsia"/>
          <w:color w:val="000000" w:themeColor="text1"/>
        </w:rPr>
        <w:t>“</w:t>
      </w:r>
      <w:proofErr w:type="gramEnd"/>
      <w:r w:rsidRPr="008A2411">
        <w:rPr>
          <w:rFonts w:ascii="Times New Roman"/>
          <w:color w:val="000000" w:themeColor="text1"/>
        </w:rPr>
        <w:t>零</w:t>
      </w:r>
      <w:r w:rsidRPr="008A2411">
        <w:rPr>
          <w:rFonts w:ascii="Times New Roman" w:hint="eastAsia"/>
          <w:color w:val="000000" w:themeColor="text1"/>
        </w:rPr>
        <w:t>“</w:t>
      </w:r>
      <w:r w:rsidRPr="008A2411">
        <w:rPr>
          <w:rFonts w:ascii="Times New Roman"/>
          <w:color w:val="000000" w:themeColor="text1"/>
        </w:rPr>
        <w:t>排放，对环境不会产生二次污染；固废环境保护措施可行。</w:t>
      </w:r>
    </w:p>
    <w:p w14:paraId="019A44E5" w14:textId="77777777" w:rsidR="00B0005F" w:rsidRPr="008A2411" w:rsidRDefault="00000000">
      <w:pPr>
        <w:pStyle w:val="WJ3"/>
        <w:spacing w:line="360" w:lineRule="auto"/>
        <w:outlineLvl w:val="1"/>
        <w:rPr>
          <w:rFonts w:ascii="Times New Roman" w:hAnsi="Times New Roman"/>
          <w:b w:val="0"/>
          <w:bCs/>
          <w:color w:val="000000" w:themeColor="text1"/>
          <w:sz w:val="28"/>
          <w:szCs w:val="28"/>
        </w:rPr>
      </w:pPr>
      <w:bookmarkStart w:id="642" w:name="_Toc109170791"/>
      <w:r w:rsidRPr="008A2411">
        <w:rPr>
          <w:rFonts w:ascii="Times New Roman" w:hAnsi="Times New Roman"/>
          <w:b w:val="0"/>
          <w:bCs/>
          <w:color w:val="000000" w:themeColor="text1"/>
          <w:sz w:val="28"/>
          <w:szCs w:val="28"/>
        </w:rPr>
        <w:t>7.5</w:t>
      </w:r>
      <w:bookmarkEnd w:id="636"/>
      <w:r w:rsidRPr="008A2411">
        <w:rPr>
          <w:rFonts w:ascii="Times New Roman" w:hAnsi="Times New Roman"/>
          <w:b w:val="0"/>
          <w:bCs/>
          <w:color w:val="000000" w:themeColor="text1"/>
          <w:sz w:val="28"/>
          <w:szCs w:val="28"/>
        </w:rPr>
        <w:t xml:space="preserve"> </w:t>
      </w:r>
      <w:r w:rsidRPr="008A2411">
        <w:rPr>
          <w:rFonts w:ascii="Times New Roman" w:hAnsi="Times New Roman"/>
          <w:b w:val="0"/>
          <w:bCs/>
          <w:color w:val="000000" w:themeColor="text1"/>
          <w:sz w:val="28"/>
          <w:szCs w:val="28"/>
        </w:rPr>
        <w:t>地下水环境保护措施</w:t>
      </w:r>
      <w:bookmarkEnd w:id="637"/>
      <w:bookmarkEnd w:id="642"/>
      <w:r w:rsidRPr="008A2411">
        <w:rPr>
          <w:rFonts w:ascii="Times New Roman" w:hAnsi="Times New Roman"/>
          <w:b w:val="0"/>
          <w:bCs/>
          <w:color w:val="000000" w:themeColor="text1"/>
          <w:sz w:val="28"/>
          <w:szCs w:val="28"/>
        </w:rPr>
        <w:t xml:space="preserve"> </w:t>
      </w:r>
    </w:p>
    <w:p w14:paraId="1651C70E" w14:textId="77777777" w:rsidR="00B0005F" w:rsidRPr="008A2411" w:rsidRDefault="00000000">
      <w:pPr>
        <w:pStyle w:val="WJ"/>
        <w:adjustRightInd w:val="0"/>
        <w:snapToGrid w:val="0"/>
        <w:spacing w:line="360" w:lineRule="auto"/>
        <w:ind w:firstLineChars="0" w:firstLine="0"/>
        <w:outlineLvl w:val="2"/>
        <w:rPr>
          <w:rFonts w:ascii="Times New Roman" w:eastAsia="黑体" w:hAnsi="Times New Roman"/>
          <w:b/>
          <w:color w:val="000000" w:themeColor="text1"/>
          <w:kern w:val="0"/>
          <w:lang w:bidi="en-US"/>
        </w:rPr>
      </w:pPr>
      <w:r w:rsidRPr="008A2411">
        <w:rPr>
          <w:rFonts w:ascii="Times New Roman" w:eastAsia="黑体" w:hAnsi="Times New Roman"/>
          <w:b/>
          <w:color w:val="000000" w:themeColor="text1"/>
          <w:kern w:val="0"/>
          <w:lang w:bidi="en-US"/>
        </w:rPr>
        <w:t xml:space="preserve">7.5.1 </w:t>
      </w:r>
      <w:r w:rsidRPr="008A2411">
        <w:rPr>
          <w:rFonts w:ascii="Times New Roman" w:eastAsia="黑体" w:hAnsi="Times New Roman"/>
          <w:b/>
          <w:color w:val="000000" w:themeColor="text1"/>
          <w:kern w:val="0"/>
          <w:lang w:bidi="en-US"/>
        </w:rPr>
        <w:t>施工期</w:t>
      </w:r>
    </w:p>
    <w:p w14:paraId="5A4E30F6"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项目站场主要通过合理安排施工计划、施工程序，加强施工废水及生活污水的收集与处置，以减小本项目施工期对地下水环境的影响程度和影响范围。</w:t>
      </w:r>
    </w:p>
    <w:p w14:paraId="04B940A6"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项目施工期通过合理安排施工计划、施工程序，加强施工废水及生活污水的收集与处置，其措施可行。</w:t>
      </w:r>
    </w:p>
    <w:p w14:paraId="51F1D20E" w14:textId="77777777" w:rsidR="00B0005F" w:rsidRPr="008A2411" w:rsidRDefault="00000000">
      <w:pPr>
        <w:pStyle w:val="WJ"/>
        <w:adjustRightInd w:val="0"/>
        <w:snapToGrid w:val="0"/>
        <w:spacing w:line="360" w:lineRule="auto"/>
        <w:ind w:firstLineChars="0" w:firstLine="0"/>
        <w:outlineLvl w:val="2"/>
        <w:rPr>
          <w:rFonts w:ascii="Times New Roman" w:eastAsia="黑体" w:hAnsi="Times New Roman"/>
          <w:b/>
          <w:color w:val="000000" w:themeColor="text1"/>
          <w:kern w:val="0"/>
          <w:lang w:bidi="en-US"/>
        </w:rPr>
      </w:pPr>
      <w:r w:rsidRPr="008A2411">
        <w:rPr>
          <w:rFonts w:ascii="Times New Roman" w:eastAsia="黑体" w:hAnsi="Times New Roman"/>
          <w:b/>
          <w:color w:val="000000" w:themeColor="text1"/>
          <w:kern w:val="0"/>
          <w:lang w:bidi="en-US"/>
        </w:rPr>
        <w:t xml:space="preserve">7.5.2 </w:t>
      </w:r>
      <w:r w:rsidRPr="008A2411">
        <w:rPr>
          <w:rFonts w:ascii="Times New Roman" w:eastAsia="黑体" w:hAnsi="Times New Roman"/>
          <w:b/>
          <w:color w:val="000000" w:themeColor="text1"/>
          <w:kern w:val="0"/>
          <w:lang w:bidi="en-US"/>
        </w:rPr>
        <w:t>运营期</w:t>
      </w:r>
    </w:p>
    <w:p w14:paraId="4514544D"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项目运营期为减小对地下水环境的影响，项目采取的主要措施如下：</w:t>
      </w:r>
    </w:p>
    <w:p w14:paraId="37F2F96C"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1</w:t>
      </w:r>
      <w:r w:rsidRPr="008A2411">
        <w:rPr>
          <w:rFonts w:ascii="Times New Roman" w:hAnsi="Times New Roman"/>
          <w:color w:val="000000" w:themeColor="text1"/>
        </w:rPr>
        <w:t>）运营期采取分区防渗措施，有效防止地下水污染。根据项目生产特点，将危险废物暂存库、原料气分离过滤单元、脱酸单元、脱汞单元、脱水单元、脱重烃单元、导热油炉区域、</w:t>
      </w:r>
      <w:r w:rsidRPr="008A2411">
        <w:rPr>
          <w:rFonts w:ascii="Times New Roman" w:hAnsi="Times New Roman"/>
          <w:color w:val="000000" w:themeColor="text1"/>
          <w:szCs w:val="21"/>
        </w:rPr>
        <w:t>污水处理站、</w:t>
      </w:r>
      <w:r w:rsidRPr="008A2411">
        <w:rPr>
          <w:rFonts w:ascii="Times New Roman" w:hAnsi="Times New Roman"/>
          <w:color w:val="000000" w:themeColor="text1"/>
        </w:rPr>
        <w:t>事故水池等设为重点防渗区，，其防渗层的防渗性能不低于</w:t>
      </w:r>
      <w:r w:rsidRPr="008A2411">
        <w:rPr>
          <w:rFonts w:ascii="Times New Roman" w:hAnsi="Times New Roman"/>
          <w:color w:val="000000" w:themeColor="text1"/>
        </w:rPr>
        <w:t>6.0m</w:t>
      </w:r>
      <w:r w:rsidRPr="008A2411">
        <w:rPr>
          <w:rFonts w:ascii="Times New Roman" w:hAnsi="Times New Roman"/>
          <w:color w:val="000000" w:themeColor="text1"/>
        </w:rPr>
        <w:t>厚渗透系数为</w:t>
      </w:r>
      <w:r w:rsidRPr="008A2411">
        <w:rPr>
          <w:rFonts w:ascii="Times New Roman" w:hAnsi="Times New Roman"/>
          <w:color w:val="000000" w:themeColor="text1"/>
        </w:rPr>
        <w:t>1.0×10</w:t>
      </w:r>
      <w:r w:rsidRPr="008A2411">
        <w:rPr>
          <w:rFonts w:ascii="Times New Roman" w:hAnsi="Times New Roman"/>
          <w:color w:val="000000" w:themeColor="text1"/>
          <w:vertAlign w:val="superscript"/>
        </w:rPr>
        <w:t>-7</w:t>
      </w:r>
      <w:r w:rsidRPr="008A2411">
        <w:rPr>
          <w:rFonts w:ascii="Times New Roman" w:hAnsi="Times New Roman"/>
          <w:color w:val="000000" w:themeColor="text1"/>
        </w:rPr>
        <w:t>cm/s</w:t>
      </w:r>
      <w:r w:rsidRPr="008A2411">
        <w:rPr>
          <w:rFonts w:ascii="Times New Roman" w:hAnsi="Times New Roman"/>
          <w:color w:val="000000" w:themeColor="text1"/>
        </w:rPr>
        <w:t>的黏土层的防渗性能；</w:t>
      </w:r>
      <w:proofErr w:type="gramStart"/>
      <w:r w:rsidRPr="008A2411">
        <w:rPr>
          <w:rFonts w:ascii="Times New Roman" w:hAnsi="Times New Roman"/>
          <w:color w:val="000000" w:themeColor="text1"/>
        </w:rPr>
        <w:t>空压及</w:t>
      </w:r>
      <w:proofErr w:type="gramEnd"/>
      <w:r w:rsidRPr="008A2411">
        <w:rPr>
          <w:rFonts w:ascii="Times New Roman" w:hAnsi="Times New Roman"/>
          <w:color w:val="000000" w:themeColor="text1"/>
        </w:rPr>
        <w:t>水处理站、分析化验及器材间设置为一般防渗区，其防渗层的防渗性能不低于</w:t>
      </w:r>
      <w:r w:rsidRPr="008A2411">
        <w:rPr>
          <w:rFonts w:ascii="Times New Roman" w:hAnsi="Times New Roman"/>
          <w:color w:val="000000" w:themeColor="text1"/>
        </w:rPr>
        <w:t>1.5m</w:t>
      </w:r>
      <w:r w:rsidRPr="008A2411">
        <w:rPr>
          <w:rFonts w:ascii="Times New Roman" w:hAnsi="Times New Roman"/>
          <w:color w:val="000000" w:themeColor="text1"/>
        </w:rPr>
        <w:t>厚渗透系数为</w:t>
      </w:r>
      <w:r w:rsidRPr="008A2411">
        <w:rPr>
          <w:rFonts w:ascii="Times New Roman" w:hAnsi="Times New Roman"/>
          <w:color w:val="000000" w:themeColor="text1"/>
        </w:rPr>
        <w:t>1.0×10</w:t>
      </w:r>
      <w:r w:rsidRPr="008A2411">
        <w:rPr>
          <w:rFonts w:ascii="Times New Roman" w:hAnsi="Times New Roman"/>
          <w:color w:val="000000" w:themeColor="text1"/>
          <w:vertAlign w:val="superscript"/>
        </w:rPr>
        <w:t>-7</w:t>
      </w:r>
      <w:r w:rsidRPr="008A2411">
        <w:rPr>
          <w:rFonts w:ascii="Times New Roman" w:hAnsi="Times New Roman"/>
          <w:color w:val="000000" w:themeColor="text1"/>
        </w:rPr>
        <w:t>cm/s</w:t>
      </w:r>
      <w:r w:rsidRPr="008A2411">
        <w:rPr>
          <w:rFonts w:ascii="Times New Roman" w:hAnsi="Times New Roman"/>
          <w:color w:val="000000" w:themeColor="text1"/>
        </w:rPr>
        <w:t>的黏土层的防渗性能；供水、供电、循环水系统区、氮气制备、</w:t>
      </w:r>
      <w:r w:rsidRPr="008A2411">
        <w:rPr>
          <w:rFonts w:ascii="Times New Roman" w:hAnsi="Times New Roman"/>
          <w:color w:val="000000" w:themeColor="text1"/>
        </w:rPr>
        <w:t>LNG</w:t>
      </w:r>
      <w:r w:rsidRPr="008A2411">
        <w:rPr>
          <w:rFonts w:ascii="Times New Roman" w:hAnsi="Times New Roman"/>
          <w:color w:val="000000" w:themeColor="text1"/>
        </w:rPr>
        <w:t>加注区、</w:t>
      </w:r>
      <w:r w:rsidRPr="008A2411">
        <w:rPr>
          <w:rFonts w:ascii="Times New Roman" w:hAnsi="Times New Roman"/>
          <w:color w:val="000000" w:themeColor="text1"/>
        </w:rPr>
        <w:t>LNG</w:t>
      </w:r>
      <w:r w:rsidRPr="008A2411">
        <w:rPr>
          <w:rFonts w:ascii="Times New Roman" w:hAnsi="Times New Roman"/>
          <w:color w:val="000000" w:themeColor="text1"/>
        </w:rPr>
        <w:t>装车站、办公及生活设施等无持续产生地下水污染物的水力条件或不产生地下水污染物，可采取简单地面硬化。</w:t>
      </w:r>
    </w:p>
    <w:p w14:paraId="7F5769D7"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2</w:t>
      </w:r>
      <w:r w:rsidRPr="008A2411">
        <w:rPr>
          <w:rFonts w:ascii="Times New Roman" w:hAnsi="Times New Roman"/>
          <w:color w:val="000000" w:themeColor="text1"/>
        </w:rPr>
        <w:t>）</w:t>
      </w:r>
      <w:r w:rsidRPr="008A2411">
        <w:rPr>
          <w:rFonts w:ascii="Times New Roman" w:hAnsi="Times New Roman"/>
          <w:color w:val="000000" w:themeColor="text1"/>
          <w:kern w:val="0"/>
        </w:rPr>
        <w:t>加强本项目生产线及污水处理区管路的检修，避免生产工艺过程中溶液的漏滴</w:t>
      </w:r>
      <w:r w:rsidRPr="008A2411">
        <w:rPr>
          <w:rFonts w:ascii="Times New Roman" w:hAnsi="Times New Roman"/>
          <w:color w:val="000000" w:themeColor="text1"/>
        </w:rPr>
        <w:t>。</w:t>
      </w:r>
    </w:p>
    <w:p w14:paraId="5784537E" w14:textId="77777777" w:rsidR="00B0005F" w:rsidRPr="008A2411" w:rsidRDefault="00000000">
      <w:pPr>
        <w:adjustRightInd w:val="0"/>
        <w:snapToGrid w:val="0"/>
        <w:spacing w:line="360" w:lineRule="auto"/>
        <w:ind w:firstLineChars="200" w:firstLine="480"/>
        <w:rPr>
          <w:rFonts w:ascii="Times New Roman"/>
          <w:color w:val="000000" w:themeColor="text1"/>
        </w:rPr>
      </w:pPr>
      <w:r w:rsidRPr="008A2411">
        <w:rPr>
          <w:rFonts w:ascii="Times New Roman"/>
          <w:color w:val="000000" w:themeColor="text1"/>
        </w:rPr>
        <w:lastRenderedPageBreak/>
        <w:t>（</w:t>
      </w:r>
      <w:r w:rsidRPr="008A2411">
        <w:rPr>
          <w:rFonts w:ascii="Times New Roman"/>
          <w:color w:val="000000" w:themeColor="text1"/>
        </w:rPr>
        <w:t>3</w:t>
      </w:r>
      <w:r w:rsidRPr="008A2411">
        <w:rPr>
          <w:rFonts w:ascii="Times New Roman"/>
          <w:color w:val="000000" w:themeColor="text1"/>
        </w:rPr>
        <w:t>）本项目导热油炉及主工艺罐体构筑物下方除按要求设置防渗措施外，还须在池体、罐体附近设置围堰</w:t>
      </w:r>
      <w:r w:rsidRPr="008A2411">
        <w:rPr>
          <w:rFonts w:ascii="Times New Roman"/>
          <w:color w:val="000000" w:themeColor="text1"/>
        </w:rPr>
        <w:t>+</w:t>
      </w:r>
      <w:r w:rsidRPr="008A2411">
        <w:rPr>
          <w:rFonts w:ascii="Times New Roman"/>
          <w:color w:val="000000" w:themeColor="text1"/>
        </w:rPr>
        <w:t>收集槽，</w:t>
      </w:r>
      <w:r w:rsidRPr="008A2411">
        <w:rPr>
          <w:rFonts w:ascii="Times New Roman"/>
          <w:color w:val="000000" w:themeColor="text1"/>
          <w:lang w:val="zh-CN"/>
        </w:rPr>
        <w:t>出现泄漏情况能及时收集污水至事故池；</w:t>
      </w:r>
    </w:p>
    <w:p w14:paraId="0A83E251"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4</w:t>
      </w:r>
      <w:r w:rsidRPr="008A2411">
        <w:rPr>
          <w:rFonts w:ascii="Times New Roman" w:hAnsi="Times New Roman"/>
          <w:color w:val="000000" w:themeColor="text1"/>
        </w:rPr>
        <w:t>）</w:t>
      </w:r>
      <w:r w:rsidRPr="008A2411">
        <w:rPr>
          <w:rFonts w:ascii="Times New Roman" w:hAnsi="Times New Roman"/>
          <w:color w:val="000000" w:themeColor="text1"/>
          <w:kern w:val="0"/>
        </w:rPr>
        <w:t>生产区四周设置封闭排污沟，同时避免雨污混排，并设置</w:t>
      </w:r>
      <w:r w:rsidRPr="008A2411">
        <w:rPr>
          <w:rFonts w:ascii="Times New Roman" w:hAnsi="Times New Roman"/>
          <w:color w:val="000000" w:themeColor="text1"/>
        </w:rPr>
        <w:t>雨水收集池</w:t>
      </w:r>
      <w:r w:rsidRPr="008A2411">
        <w:rPr>
          <w:rFonts w:ascii="Times New Roman" w:hAnsi="Times New Roman"/>
          <w:color w:val="000000" w:themeColor="text1"/>
          <w:kern w:val="0"/>
        </w:rPr>
        <w:t>，实行</w:t>
      </w:r>
      <w:r w:rsidRPr="008A2411">
        <w:rPr>
          <w:rFonts w:ascii="Times New Roman" w:hAnsi="Times New Roman" w:hint="eastAsia"/>
          <w:color w:val="000000" w:themeColor="text1"/>
          <w:kern w:val="0"/>
        </w:rPr>
        <w:t>“</w:t>
      </w:r>
      <w:r w:rsidRPr="008A2411">
        <w:rPr>
          <w:rFonts w:ascii="Times New Roman" w:hAnsi="Times New Roman"/>
          <w:color w:val="000000" w:themeColor="text1"/>
          <w:kern w:val="0"/>
        </w:rPr>
        <w:t>清污分流</w:t>
      </w:r>
      <w:r w:rsidRPr="008A2411">
        <w:rPr>
          <w:rFonts w:ascii="Times New Roman" w:hAnsi="Times New Roman" w:hint="eastAsia"/>
          <w:color w:val="000000" w:themeColor="text1"/>
          <w:kern w:val="0"/>
        </w:rPr>
        <w:t>”</w:t>
      </w:r>
      <w:r w:rsidRPr="008A2411">
        <w:rPr>
          <w:rFonts w:ascii="Times New Roman" w:hAnsi="Times New Roman"/>
          <w:color w:val="000000" w:themeColor="text1"/>
        </w:rPr>
        <w:t>。</w:t>
      </w:r>
    </w:p>
    <w:p w14:paraId="008DF33A"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5</w:t>
      </w:r>
      <w:r w:rsidRPr="008A2411">
        <w:rPr>
          <w:rFonts w:ascii="Times New Roman" w:hAnsi="Times New Roman"/>
          <w:color w:val="000000" w:themeColor="text1"/>
        </w:rPr>
        <w:t>）本项目物料输送管道、反应塔</w:t>
      </w:r>
      <w:r w:rsidRPr="008A2411">
        <w:rPr>
          <w:rFonts w:ascii="Times New Roman" w:hAnsi="Times New Roman" w:hint="eastAsia"/>
          <w:color w:val="000000" w:themeColor="text1"/>
        </w:rPr>
        <w:t>等</w:t>
      </w:r>
      <w:r w:rsidRPr="008A2411">
        <w:rPr>
          <w:rFonts w:ascii="Times New Roman" w:hAnsi="Times New Roman"/>
          <w:color w:val="000000" w:themeColor="text1"/>
        </w:rPr>
        <w:t>应尽量悬空于地表修建，</w:t>
      </w:r>
      <w:proofErr w:type="gramStart"/>
      <w:r w:rsidRPr="008A2411">
        <w:rPr>
          <w:rFonts w:ascii="Times New Roman" w:hAnsi="Times New Roman"/>
          <w:color w:val="000000" w:themeColor="text1"/>
        </w:rPr>
        <w:t>满足产污构筑物</w:t>
      </w:r>
      <w:proofErr w:type="gramEnd"/>
      <w:r w:rsidRPr="008A2411">
        <w:rPr>
          <w:rFonts w:ascii="Times New Roman" w:hAnsi="Times New Roman"/>
          <w:color w:val="000000" w:themeColor="text1"/>
        </w:rPr>
        <w:t>可视化设置要求。以便在项目运行过程中及时</w:t>
      </w:r>
      <w:proofErr w:type="gramStart"/>
      <w:r w:rsidRPr="008A2411">
        <w:rPr>
          <w:rFonts w:ascii="Times New Roman" w:hAnsi="Times New Roman"/>
          <w:color w:val="000000" w:themeColor="text1"/>
        </w:rPr>
        <w:t>发现产污构筑物</w:t>
      </w:r>
      <w:proofErr w:type="gramEnd"/>
      <w:r w:rsidRPr="008A2411">
        <w:rPr>
          <w:rFonts w:ascii="Times New Roman" w:hAnsi="Times New Roman"/>
          <w:color w:val="000000" w:themeColor="text1"/>
        </w:rPr>
        <w:t>破损、泄漏，采取相应处置措施，最大限度降低项目运行过程中的环境风险。</w:t>
      </w:r>
    </w:p>
    <w:p w14:paraId="60B8BB94"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 xml:space="preserve">7.2.5.3  </w:t>
      </w:r>
      <w:r w:rsidRPr="008A2411">
        <w:rPr>
          <w:rFonts w:ascii="Times New Roman" w:hAnsi="Times New Roman"/>
          <w:color w:val="000000" w:themeColor="text1"/>
        </w:rPr>
        <w:t>拟采取的地下水保护措施的可行性分析</w:t>
      </w:r>
    </w:p>
    <w:p w14:paraId="2A010FDC"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项目运营期通过加强管理，采用拟用措施后，大幅度减少了污水泄漏事故的发生，且项目采取的分区防渗措施，能有效减轻风险状态下物料水及废水对地下水产生影响的可能。因此项目拟采取的地下水保护措施可行。</w:t>
      </w:r>
    </w:p>
    <w:p w14:paraId="05CA29DE" w14:textId="77777777" w:rsidR="00B0005F" w:rsidRPr="008A2411" w:rsidRDefault="00000000">
      <w:pPr>
        <w:pStyle w:val="WJ2"/>
        <w:rPr>
          <w:rFonts w:ascii="Times New Roman" w:hAnsi="Times New Roman"/>
          <w:color w:val="000000" w:themeColor="text1"/>
        </w:rPr>
      </w:pPr>
      <w:bookmarkStart w:id="643" w:name="_Toc451355428"/>
      <w:bookmarkStart w:id="644" w:name="_Toc405904922"/>
      <w:bookmarkStart w:id="645" w:name="_Toc319852993"/>
      <w:bookmarkStart w:id="646" w:name="_Toc405214327"/>
      <w:bookmarkStart w:id="647" w:name="_Toc405905394"/>
      <w:bookmarkStart w:id="648" w:name="_Toc422906936"/>
      <w:bookmarkStart w:id="649" w:name="_Toc405904578"/>
      <w:bookmarkStart w:id="650" w:name="_Toc109170792"/>
      <w:r w:rsidRPr="008A2411">
        <w:rPr>
          <w:rFonts w:ascii="Times New Roman" w:hAnsi="Times New Roman"/>
          <w:color w:val="000000" w:themeColor="text1"/>
        </w:rPr>
        <w:t>7.6</w:t>
      </w:r>
      <w:r w:rsidRPr="008A2411">
        <w:rPr>
          <w:rFonts w:ascii="Times New Roman" w:hAnsi="Times New Roman"/>
          <w:color w:val="000000" w:themeColor="text1"/>
        </w:rPr>
        <w:t>生态保护措施</w:t>
      </w:r>
      <w:bookmarkEnd w:id="643"/>
      <w:bookmarkEnd w:id="644"/>
      <w:bookmarkEnd w:id="645"/>
      <w:bookmarkEnd w:id="646"/>
      <w:bookmarkEnd w:id="647"/>
      <w:bookmarkEnd w:id="648"/>
      <w:bookmarkEnd w:id="649"/>
      <w:bookmarkEnd w:id="650"/>
    </w:p>
    <w:p w14:paraId="37B4CCF1" w14:textId="77777777" w:rsidR="00B0005F" w:rsidRPr="008A2411" w:rsidRDefault="00000000">
      <w:pPr>
        <w:pStyle w:val="WJ3"/>
        <w:rPr>
          <w:rFonts w:ascii="Times New Roman" w:hAnsi="Times New Roman"/>
          <w:color w:val="000000" w:themeColor="text1"/>
        </w:rPr>
      </w:pPr>
      <w:r w:rsidRPr="008A2411">
        <w:rPr>
          <w:rFonts w:ascii="Times New Roman" w:hAnsi="Times New Roman"/>
          <w:color w:val="000000" w:themeColor="text1"/>
        </w:rPr>
        <w:t xml:space="preserve">7.6.1 </w:t>
      </w:r>
      <w:r w:rsidRPr="008A2411">
        <w:rPr>
          <w:rFonts w:ascii="Times New Roman" w:hAnsi="Times New Roman"/>
          <w:color w:val="000000" w:themeColor="text1"/>
        </w:rPr>
        <w:t>施工期负面生态影响的避免措施及可行性分析</w:t>
      </w:r>
    </w:p>
    <w:p w14:paraId="2E27023C"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在施工活动中，要采取少占地、少破坏植被的原则，管线施工所开挖的土方及时回填，精心组织施工，合理布置施工场地，尽量减少施工范围，各种施工活动应严格控制在施工区域内，尽可能不破坏现有地表植被和土壤。故施工期的生态防止措施可行。</w:t>
      </w:r>
    </w:p>
    <w:p w14:paraId="298D729E" w14:textId="77777777" w:rsidR="00B0005F" w:rsidRPr="008A2411" w:rsidRDefault="00000000">
      <w:pPr>
        <w:pStyle w:val="WJ3"/>
        <w:rPr>
          <w:rFonts w:ascii="Times New Roman" w:hAnsi="Times New Roman"/>
          <w:color w:val="000000" w:themeColor="text1"/>
        </w:rPr>
      </w:pPr>
      <w:r w:rsidRPr="008A2411">
        <w:rPr>
          <w:rFonts w:ascii="Times New Roman" w:hAnsi="Times New Roman"/>
          <w:color w:val="000000" w:themeColor="text1"/>
        </w:rPr>
        <w:t xml:space="preserve">7.6.2 </w:t>
      </w:r>
      <w:r w:rsidRPr="008A2411">
        <w:rPr>
          <w:rFonts w:ascii="Times New Roman" w:hAnsi="Times New Roman"/>
          <w:color w:val="000000" w:themeColor="text1"/>
        </w:rPr>
        <w:t>运营期负面生态影响的消减措施及可行性分析</w:t>
      </w:r>
    </w:p>
    <w:p w14:paraId="3272E16E"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1</w:t>
      </w:r>
      <w:r w:rsidRPr="008A2411">
        <w:rPr>
          <w:rFonts w:ascii="Times New Roman" w:hAnsi="Times New Roman"/>
          <w:color w:val="000000" w:themeColor="text1"/>
        </w:rPr>
        <w:t>）对植被影响的消减措施及可行性分析</w:t>
      </w:r>
    </w:p>
    <w:p w14:paraId="7C3EFE1E"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本项目在正常运营及事故放空时均会产生一定量的</w:t>
      </w:r>
      <w:r w:rsidRPr="008A2411">
        <w:rPr>
          <w:rFonts w:ascii="Times New Roman" w:hAnsi="Times New Roman"/>
          <w:color w:val="000000" w:themeColor="text1"/>
        </w:rPr>
        <w:t>SO</w:t>
      </w:r>
      <w:r w:rsidRPr="008A2411">
        <w:rPr>
          <w:rFonts w:ascii="Times New Roman" w:hAnsi="Times New Roman"/>
          <w:color w:val="000000" w:themeColor="text1"/>
          <w:vertAlign w:val="subscript"/>
        </w:rPr>
        <w:t>2</w:t>
      </w:r>
      <w:r w:rsidRPr="008A2411">
        <w:rPr>
          <w:rFonts w:ascii="Times New Roman" w:hAnsi="Times New Roman"/>
          <w:color w:val="000000" w:themeColor="text1"/>
        </w:rPr>
        <w:t>。结合影响分析，项目正常运营时产生的</w:t>
      </w:r>
      <w:r w:rsidRPr="008A2411">
        <w:rPr>
          <w:rFonts w:ascii="Times New Roman" w:hAnsi="Times New Roman"/>
          <w:color w:val="000000" w:themeColor="text1"/>
        </w:rPr>
        <w:t>SO</w:t>
      </w:r>
      <w:r w:rsidRPr="008A2411">
        <w:rPr>
          <w:rFonts w:ascii="Times New Roman" w:hAnsi="Times New Roman"/>
          <w:color w:val="000000" w:themeColor="text1"/>
          <w:vertAlign w:val="subscript"/>
        </w:rPr>
        <w:t>2</w:t>
      </w:r>
      <w:r w:rsidRPr="008A2411">
        <w:rPr>
          <w:rFonts w:ascii="Times New Roman" w:hAnsi="Times New Roman"/>
          <w:color w:val="000000" w:themeColor="text1"/>
        </w:rPr>
        <w:t>浓度较小，在落实上述措施后，事故放空时对周围植被影响较小，其措施可行。</w:t>
      </w:r>
    </w:p>
    <w:p w14:paraId="17A7B7D7"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2</w:t>
      </w:r>
      <w:r w:rsidRPr="008A2411">
        <w:rPr>
          <w:rFonts w:ascii="Times New Roman" w:hAnsi="Times New Roman"/>
          <w:color w:val="000000" w:themeColor="text1"/>
        </w:rPr>
        <w:t>）对动物影响的减缓措施及可行性分析</w:t>
      </w:r>
    </w:p>
    <w:p w14:paraId="18447F29"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本项目站址拟建地为农村环境，周边主要动物为居民自养家畜。针对于各类污染及环境风险，项目采取了相应的措施，发生污染物及风险事故时对周边家畜的影较小。</w:t>
      </w:r>
    </w:p>
    <w:p w14:paraId="16CF0962"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由此可见，项目采取的生态减缓措施可行。</w:t>
      </w:r>
    </w:p>
    <w:p w14:paraId="1FA7C500" w14:textId="77777777" w:rsidR="00B0005F" w:rsidRPr="008A2411" w:rsidRDefault="00000000">
      <w:pPr>
        <w:pStyle w:val="WJ2"/>
        <w:rPr>
          <w:rFonts w:ascii="Times New Roman" w:hAnsi="Times New Roman"/>
          <w:color w:val="000000" w:themeColor="text1"/>
        </w:rPr>
      </w:pPr>
      <w:bookmarkStart w:id="651" w:name="_Toc451355429"/>
      <w:bookmarkStart w:id="652" w:name="_Toc405905395"/>
      <w:bookmarkStart w:id="653" w:name="_Toc422906937"/>
      <w:bookmarkStart w:id="654" w:name="_Toc405904579"/>
      <w:bookmarkStart w:id="655" w:name="_Toc405904923"/>
      <w:bookmarkStart w:id="656" w:name="_Toc109170793"/>
      <w:r w:rsidRPr="008A2411">
        <w:rPr>
          <w:rFonts w:ascii="Times New Roman" w:hAnsi="Times New Roman"/>
          <w:color w:val="000000" w:themeColor="text1"/>
        </w:rPr>
        <w:t>7.7</w:t>
      </w:r>
      <w:r w:rsidRPr="008A2411">
        <w:rPr>
          <w:rFonts w:ascii="Times New Roman" w:hAnsi="Times New Roman"/>
          <w:color w:val="000000" w:themeColor="text1"/>
        </w:rPr>
        <w:t>环境风险防范措施及应急措施</w:t>
      </w:r>
      <w:bookmarkEnd w:id="651"/>
      <w:bookmarkEnd w:id="652"/>
      <w:bookmarkEnd w:id="653"/>
      <w:bookmarkEnd w:id="654"/>
      <w:bookmarkEnd w:id="655"/>
      <w:bookmarkEnd w:id="656"/>
    </w:p>
    <w:p w14:paraId="6CA80E82" w14:textId="164F7467" w:rsidR="0077462A" w:rsidRPr="008A2411" w:rsidRDefault="0077462A" w:rsidP="0077462A">
      <w:pPr>
        <w:pStyle w:val="WJ"/>
        <w:adjustRightInd w:val="0"/>
        <w:snapToGrid w:val="0"/>
        <w:spacing w:line="360" w:lineRule="auto"/>
        <w:rPr>
          <w:rFonts w:ascii="Times New Roman" w:hAnsi="Times New Roman"/>
          <w:color w:val="000000" w:themeColor="text1"/>
        </w:rPr>
      </w:pPr>
      <w:r w:rsidRPr="008A2411">
        <w:rPr>
          <w:rFonts w:ascii="Times New Roman" w:hAnsi="Times New Roman" w:hint="eastAsia"/>
          <w:color w:val="000000" w:themeColor="text1"/>
        </w:rPr>
        <w:lastRenderedPageBreak/>
        <w:t>（</w:t>
      </w:r>
      <w:r w:rsidRPr="008A2411">
        <w:rPr>
          <w:rFonts w:ascii="Times New Roman" w:hAnsi="Times New Roman" w:hint="eastAsia"/>
          <w:color w:val="000000" w:themeColor="text1"/>
        </w:rPr>
        <w:t>1</w:t>
      </w:r>
      <w:r w:rsidRPr="008A2411">
        <w:rPr>
          <w:rFonts w:ascii="Times New Roman" w:hAnsi="Times New Roman" w:hint="eastAsia"/>
          <w:color w:val="000000" w:themeColor="text1"/>
        </w:rPr>
        <w:t>）</w:t>
      </w:r>
      <w:r w:rsidRPr="008A2411">
        <w:rPr>
          <w:rFonts w:ascii="Times New Roman" w:hAnsi="Times New Roman"/>
          <w:color w:val="000000" w:themeColor="text1"/>
        </w:rPr>
        <w:t>编制应急预案，适时培训、演练；工艺装置区及废水罐区设置围堰，地面防渗处理，事故池兼做初期雨水收集池，预留足够的容积。提交应急预案和应急培训、演练的相关报告</w:t>
      </w:r>
      <w:r w:rsidRPr="008A2411">
        <w:rPr>
          <w:rFonts w:ascii="Times New Roman" w:hAnsi="Times New Roman" w:hint="eastAsia"/>
          <w:color w:val="000000" w:themeColor="text1"/>
        </w:rPr>
        <w:t>；</w:t>
      </w:r>
    </w:p>
    <w:p w14:paraId="0131562F" w14:textId="1ECDBEC9" w:rsidR="0077462A" w:rsidRPr="008A2411" w:rsidRDefault="0077462A" w:rsidP="0077462A">
      <w:pPr>
        <w:adjustRightInd w:val="0"/>
        <w:snapToGrid w:val="0"/>
        <w:spacing w:line="360" w:lineRule="auto"/>
        <w:ind w:firstLine="200"/>
        <w:rPr>
          <w:rFonts w:ascii="Times New Roman"/>
          <w:color w:val="000000" w:themeColor="text1"/>
          <w:kern w:val="2"/>
          <w:szCs w:val="24"/>
        </w:rPr>
      </w:pPr>
      <w:r w:rsidRPr="008A2411">
        <w:rPr>
          <w:rFonts w:ascii="Times New Roman" w:hint="eastAsia"/>
          <w:color w:val="000000" w:themeColor="text1"/>
          <w:kern w:val="2"/>
          <w:szCs w:val="24"/>
        </w:rPr>
        <w:t>（</w:t>
      </w:r>
      <w:r w:rsidRPr="008A2411">
        <w:rPr>
          <w:rFonts w:ascii="Times New Roman" w:hint="eastAsia"/>
          <w:color w:val="000000" w:themeColor="text1"/>
          <w:kern w:val="2"/>
          <w:szCs w:val="24"/>
        </w:rPr>
        <w:t>2</w:t>
      </w:r>
      <w:r w:rsidRPr="008A2411">
        <w:rPr>
          <w:rFonts w:ascii="Times New Roman" w:hint="eastAsia"/>
          <w:color w:val="000000" w:themeColor="text1"/>
          <w:kern w:val="2"/>
          <w:szCs w:val="24"/>
        </w:rPr>
        <w:t>）厂区设置</w:t>
      </w:r>
      <w:r w:rsidRPr="008A2411">
        <w:rPr>
          <w:rFonts w:ascii="Times New Roman"/>
          <w:color w:val="000000" w:themeColor="text1"/>
          <w:kern w:val="2"/>
          <w:szCs w:val="24"/>
        </w:rPr>
        <w:t>在线式、便携式可燃气体检测仪，紧急连锁装置、防爆电气设备、防爆自动控制系统、在线式</w:t>
      </w:r>
      <w:r w:rsidRPr="008A2411">
        <w:rPr>
          <w:rFonts w:ascii="Times New Roman"/>
          <w:color w:val="000000" w:themeColor="text1"/>
          <w:kern w:val="2"/>
          <w:szCs w:val="24"/>
        </w:rPr>
        <w:t>UPS</w:t>
      </w:r>
      <w:r w:rsidRPr="008A2411">
        <w:rPr>
          <w:rFonts w:ascii="Times New Roman"/>
          <w:color w:val="000000" w:themeColor="text1"/>
          <w:kern w:val="2"/>
          <w:szCs w:val="24"/>
        </w:rPr>
        <w:t>应急电源、应急照明、避雷及防雷设施、防静电设施、灭火器材、砂池等、风向标、警示标志、管线紧急自动截断系</w:t>
      </w:r>
      <w:r w:rsidRPr="008A2411">
        <w:rPr>
          <w:rFonts w:ascii="Times New Roman" w:hint="eastAsia"/>
          <w:color w:val="000000" w:themeColor="text1"/>
          <w:kern w:val="2"/>
          <w:szCs w:val="24"/>
        </w:rPr>
        <w:t>统。设置</w:t>
      </w:r>
      <w:r w:rsidRPr="008A2411">
        <w:rPr>
          <w:rFonts w:ascii="Times New Roman"/>
          <w:color w:val="000000" w:themeColor="text1"/>
          <w:kern w:val="2"/>
          <w:szCs w:val="24"/>
        </w:rPr>
        <w:t>雨水</w:t>
      </w:r>
      <w:proofErr w:type="gramStart"/>
      <w:r w:rsidRPr="008A2411">
        <w:rPr>
          <w:rFonts w:ascii="Times New Roman"/>
          <w:color w:val="000000" w:themeColor="text1"/>
          <w:kern w:val="2"/>
          <w:szCs w:val="24"/>
        </w:rPr>
        <w:t>监控池兼事故</w:t>
      </w:r>
      <w:proofErr w:type="gramEnd"/>
      <w:r w:rsidRPr="008A2411">
        <w:rPr>
          <w:rFonts w:ascii="Times New Roman"/>
          <w:color w:val="000000" w:themeColor="text1"/>
          <w:kern w:val="2"/>
          <w:szCs w:val="24"/>
        </w:rPr>
        <w:t>池</w:t>
      </w:r>
      <w:r w:rsidRPr="008A2411">
        <w:rPr>
          <w:rFonts w:ascii="Times New Roman" w:hint="eastAsia"/>
          <w:color w:val="000000" w:themeColor="text1"/>
          <w:kern w:val="2"/>
          <w:szCs w:val="24"/>
        </w:rPr>
        <w:t>(800m3</w:t>
      </w:r>
      <w:r w:rsidRPr="008A2411">
        <w:rPr>
          <w:rFonts w:ascii="Times New Roman" w:hint="eastAsia"/>
          <w:color w:val="000000" w:themeColor="text1"/>
          <w:kern w:val="2"/>
          <w:szCs w:val="24"/>
        </w:rPr>
        <w:t>），建设</w:t>
      </w:r>
      <w:r w:rsidRPr="008A2411">
        <w:rPr>
          <w:rFonts w:ascii="Times New Roman"/>
          <w:color w:val="000000" w:themeColor="text1"/>
          <w:kern w:val="2"/>
          <w:szCs w:val="24"/>
        </w:rPr>
        <w:t>应急救援站</w:t>
      </w:r>
      <w:r w:rsidRPr="008A2411">
        <w:rPr>
          <w:rFonts w:ascii="Times New Roman" w:hint="eastAsia"/>
          <w:color w:val="000000" w:themeColor="text1"/>
          <w:kern w:val="2"/>
          <w:szCs w:val="24"/>
        </w:rPr>
        <w:t>，设置</w:t>
      </w:r>
      <w:r w:rsidRPr="008A2411">
        <w:rPr>
          <w:rFonts w:ascii="Times New Roman"/>
          <w:color w:val="000000" w:themeColor="text1"/>
          <w:kern w:val="2"/>
          <w:szCs w:val="24"/>
        </w:rPr>
        <w:t>应急报警系统，覆盖整个应急区域</w:t>
      </w:r>
    </w:p>
    <w:p w14:paraId="023D6706" w14:textId="2BF7EE51" w:rsidR="00B0005F" w:rsidRPr="008A2411" w:rsidRDefault="00000000" w:rsidP="0077462A">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w:t>
      </w:r>
      <w:r w:rsidR="0077462A" w:rsidRPr="008A2411">
        <w:rPr>
          <w:rFonts w:ascii="Times New Roman" w:hAnsi="Times New Roman" w:hint="eastAsia"/>
          <w:color w:val="000000" w:themeColor="text1"/>
        </w:rPr>
        <w:t>3</w:t>
      </w:r>
      <w:r w:rsidRPr="008A2411">
        <w:rPr>
          <w:rFonts w:ascii="Times New Roman" w:hAnsi="Times New Roman"/>
          <w:color w:val="000000" w:themeColor="text1"/>
        </w:rPr>
        <w:t>）当站场内天然气出现事故泄漏时，装置的</w:t>
      </w:r>
      <w:proofErr w:type="gramStart"/>
      <w:r w:rsidRPr="008A2411">
        <w:rPr>
          <w:rFonts w:ascii="Times New Roman" w:hAnsi="Times New Roman"/>
          <w:color w:val="000000" w:themeColor="text1"/>
        </w:rPr>
        <w:t>联锁</w:t>
      </w:r>
      <w:proofErr w:type="gramEnd"/>
      <w:r w:rsidRPr="008A2411">
        <w:rPr>
          <w:rFonts w:ascii="Times New Roman" w:hAnsi="Times New Roman"/>
          <w:color w:val="000000" w:themeColor="text1"/>
        </w:rPr>
        <w:t>系统将自动切断装置的进口和出口，截断气源，控制事故。</w:t>
      </w:r>
    </w:p>
    <w:p w14:paraId="08A5F260" w14:textId="4B9A238E" w:rsidR="00B0005F" w:rsidRPr="008A2411" w:rsidRDefault="00000000" w:rsidP="0077462A">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w:t>
      </w:r>
      <w:r w:rsidR="0077462A" w:rsidRPr="008A2411">
        <w:rPr>
          <w:rFonts w:ascii="Times New Roman" w:hAnsi="Times New Roman" w:hint="eastAsia"/>
          <w:color w:val="000000" w:themeColor="text1"/>
        </w:rPr>
        <w:t>4</w:t>
      </w:r>
      <w:r w:rsidRPr="008A2411">
        <w:rPr>
          <w:rFonts w:ascii="Times New Roman" w:hAnsi="Times New Roman"/>
          <w:color w:val="000000" w:themeColor="text1"/>
        </w:rPr>
        <w:t>）站场出现系统故障、大面积停电时，放空的天然气通过放空火炬燃烧后排放，为保证及时点火，放空火炬配备了灵敏的自动点火装置。</w:t>
      </w:r>
    </w:p>
    <w:p w14:paraId="61501242" w14:textId="4D28B50D" w:rsidR="00B0005F" w:rsidRPr="008A2411" w:rsidRDefault="00000000" w:rsidP="0077462A">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w:t>
      </w:r>
      <w:r w:rsidR="0077462A" w:rsidRPr="008A2411">
        <w:rPr>
          <w:rFonts w:ascii="Times New Roman" w:hAnsi="Times New Roman" w:hint="eastAsia"/>
          <w:color w:val="000000" w:themeColor="text1"/>
        </w:rPr>
        <w:t>5</w:t>
      </w:r>
      <w:r w:rsidRPr="008A2411">
        <w:rPr>
          <w:rFonts w:ascii="Times New Roman" w:hAnsi="Times New Roman"/>
          <w:color w:val="000000" w:themeColor="text1"/>
        </w:rPr>
        <w:t>）站场出现事故废水时，站场污水处理场设置的出水监控在线监测仪器将立即报警，站内按要求进行防渗处理，且对工艺区周围设置围堰，能保证事故状态下的物料水收集。</w:t>
      </w:r>
    </w:p>
    <w:p w14:paraId="57D96673" w14:textId="52473D9E" w:rsidR="00B0005F" w:rsidRPr="008A2411" w:rsidRDefault="00000000" w:rsidP="0077462A">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w:t>
      </w:r>
      <w:r w:rsidR="0077462A" w:rsidRPr="008A2411">
        <w:rPr>
          <w:rFonts w:ascii="Times New Roman" w:hAnsi="Times New Roman" w:hint="eastAsia"/>
          <w:color w:val="000000" w:themeColor="text1"/>
        </w:rPr>
        <w:t>6</w:t>
      </w:r>
      <w:r w:rsidRPr="008A2411">
        <w:rPr>
          <w:rFonts w:ascii="Times New Roman" w:hAnsi="Times New Roman"/>
          <w:color w:val="000000" w:themeColor="text1"/>
        </w:rPr>
        <w:t>）当发生天然气站场天然气泄漏事故时，及时关闭其进出口阀，开启其放空阀泄压，同时向调度室汇报，通知开发停止向厂供气。一旦发生中毒事故，马上通告调度派救护车立即进入生产区，同时抢救人员戴好防毒面具，把中毒者救出现场，移至通风良好处，对呼吸及心跳停止者，立刻做人工呼吸，直至恢复正常或救护车到来。根据事故可能危害的范围设置警戒，人员疏散路线朝泄漏处上风向。</w:t>
      </w:r>
    </w:p>
    <w:p w14:paraId="4A3C3DB1" w14:textId="77777777" w:rsidR="00B0005F" w:rsidRPr="008A2411" w:rsidRDefault="00000000" w:rsidP="0077462A">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项目环境风险的防范和应急措施有效，风险可接受。</w:t>
      </w:r>
    </w:p>
    <w:p w14:paraId="15F21BE2" w14:textId="77777777" w:rsidR="00B0005F" w:rsidRPr="008A2411" w:rsidRDefault="00000000">
      <w:pPr>
        <w:pStyle w:val="WJ2"/>
        <w:rPr>
          <w:rFonts w:ascii="Times New Roman" w:hAnsi="Times New Roman"/>
          <w:color w:val="000000" w:themeColor="text1"/>
        </w:rPr>
      </w:pPr>
      <w:bookmarkStart w:id="657" w:name="_Toc422906938"/>
      <w:bookmarkStart w:id="658" w:name="_Toc405905396"/>
      <w:bookmarkStart w:id="659" w:name="_Toc405904924"/>
      <w:bookmarkStart w:id="660" w:name="_Toc405904580"/>
      <w:bookmarkStart w:id="661" w:name="_Toc405214328"/>
      <w:bookmarkStart w:id="662" w:name="_Toc451355430"/>
      <w:bookmarkStart w:id="663" w:name="_Toc109170794"/>
      <w:bookmarkStart w:id="664" w:name="_Toc319852996"/>
      <w:r w:rsidRPr="008A2411">
        <w:rPr>
          <w:rFonts w:ascii="Times New Roman" w:hAnsi="Times New Roman"/>
          <w:color w:val="000000" w:themeColor="text1"/>
        </w:rPr>
        <w:t>7.8</w:t>
      </w:r>
      <w:r w:rsidRPr="008A2411">
        <w:rPr>
          <w:rFonts w:ascii="Times New Roman" w:hAnsi="Times New Roman"/>
          <w:color w:val="000000" w:themeColor="text1"/>
        </w:rPr>
        <w:t>环保投资</w:t>
      </w:r>
      <w:bookmarkEnd w:id="657"/>
      <w:bookmarkEnd w:id="658"/>
      <w:bookmarkEnd w:id="659"/>
      <w:bookmarkEnd w:id="660"/>
      <w:bookmarkEnd w:id="661"/>
      <w:bookmarkEnd w:id="662"/>
      <w:bookmarkEnd w:id="663"/>
    </w:p>
    <w:bookmarkEnd w:id="664"/>
    <w:p w14:paraId="04246441"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根据</w:t>
      </w:r>
      <w:r w:rsidRPr="008A2411">
        <w:rPr>
          <w:rFonts w:ascii="Times New Roman" w:hAnsi="Times New Roman"/>
          <w:color w:val="000000" w:themeColor="text1"/>
        </w:rPr>
        <w:t xml:space="preserve"> </w:t>
      </w:r>
      <w:r w:rsidRPr="008A2411">
        <w:rPr>
          <w:rFonts w:ascii="Times New Roman" w:hAnsi="Times New Roman" w:hint="eastAsia"/>
          <w:color w:val="000000" w:themeColor="text1"/>
        </w:rPr>
        <w:t>“</w:t>
      </w:r>
      <w:r w:rsidRPr="008A2411">
        <w:rPr>
          <w:rFonts w:ascii="Times New Roman" w:hAnsi="Times New Roman"/>
          <w:color w:val="000000" w:themeColor="text1"/>
        </w:rPr>
        <w:t>三同时</w:t>
      </w:r>
      <w:r w:rsidRPr="008A2411">
        <w:rPr>
          <w:rFonts w:ascii="Times New Roman" w:hAnsi="Times New Roman" w:hint="eastAsia"/>
          <w:color w:val="000000" w:themeColor="text1"/>
        </w:rPr>
        <w:t>”</w:t>
      </w:r>
      <w:r w:rsidRPr="008A2411">
        <w:rPr>
          <w:rFonts w:ascii="Times New Roman" w:hAnsi="Times New Roman"/>
          <w:color w:val="000000" w:themeColor="text1"/>
        </w:rPr>
        <w:t>要求，本项目环保措施投资费用为下表所述：</w:t>
      </w:r>
    </w:p>
    <w:p w14:paraId="0326B91B" w14:textId="77777777" w:rsidR="00B0005F" w:rsidRPr="008A2411" w:rsidRDefault="00000000">
      <w:pPr>
        <w:pStyle w:val="WJ0"/>
        <w:rPr>
          <w:rFonts w:ascii="Times New Roman" w:hAnsi="Times New Roman"/>
          <w:color w:val="000000" w:themeColor="text1"/>
        </w:rPr>
      </w:pPr>
      <w:r w:rsidRPr="008A2411">
        <w:rPr>
          <w:rFonts w:ascii="Times New Roman" w:hAnsi="Times New Roman"/>
          <w:color w:val="000000" w:themeColor="text1"/>
        </w:rPr>
        <w:t>表</w:t>
      </w:r>
      <w:r w:rsidRPr="008A2411">
        <w:rPr>
          <w:rFonts w:ascii="Times New Roman" w:hAnsi="Times New Roman" w:hint="eastAsia"/>
          <w:color w:val="000000" w:themeColor="text1"/>
        </w:rPr>
        <w:t>7.8</w:t>
      </w:r>
      <w:r w:rsidRPr="008A2411">
        <w:rPr>
          <w:rFonts w:ascii="Times New Roman" w:hAnsi="Times New Roman"/>
          <w:color w:val="000000" w:themeColor="text1"/>
        </w:rPr>
        <w:t xml:space="preserve">-1 </w:t>
      </w:r>
      <w:r w:rsidRPr="008A2411">
        <w:rPr>
          <w:rFonts w:ascii="Times New Roman" w:hAnsi="Times New Roman"/>
          <w:color w:val="000000" w:themeColor="text1"/>
        </w:rPr>
        <w:t>环保投资估算表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
        <w:gridCol w:w="321"/>
        <w:gridCol w:w="2191"/>
        <w:gridCol w:w="4713"/>
        <w:gridCol w:w="792"/>
      </w:tblGrid>
      <w:tr w:rsidR="008A2411" w:rsidRPr="008A2411" w14:paraId="7C8726DF" w14:textId="77777777">
        <w:trPr>
          <w:cantSplit/>
          <w:trHeight w:val="340"/>
          <w:tblHeader/>
        </w:trPr>
        <w:tc>
          <w:tcPr>
            <w:tcW w:w="210" w:type="pct"/>
            <w:tcMar>
              <w:left w:w="28" w:type="dxa"/>
              <w:right w:w="28" w:type="dxa"/>
            </w:tcMar>
            <w:vAlign w:val="center"/>
          </w:tcPr>
          <w:p w14:paraId="7F97E9B7"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环境</w:t>
            </w:r>
          </w:p>
          <w:p w14:paraId="01EE186F"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要素</w:t>
            </w:r>
          </w:p>
        </w:tc>
        <w:tc>
          <w:tcPr>
            <w:tcW w:w="192" w:type="pct"/>
            <w:tcMar>
              <w:left w:w="28" w:type="dxa"/>
              <w:right w:w="28" w:type="dxa"/>
            </w:tcMar>
            <w:vAlign w:val="center"/>
          </w:tcPr>
          <w:p w14:paraId="262C039D"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工期</w:t>
            </w:r>
          </w:p>
        </w:tc>
        <w:tc>
          <w:tcPr>
            <w:tcW w:w="1309" w:type="pct"/>
            <w:tcMar>
              <w:left w:w="28" w:type="dxa"/>
              <w:right w:w="28" w:type="dxa"/>
            </w:tcMar>
            <w:vAlign w:val="center"/>
          </w:tcPr>
          <w:p w14:paraId="019354BD"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污染物</w:t>
            </w:r>
          </w:p>
        </w:tc>
        <w:tc>
          <w:tcPr>
            <w:tcW w:w="2816" w:type="pct"/>
            <w:tcMar>
              <w:left w:w="28" w:type="dxa"/>
              <w:right w:w="28" w:type="dxa"/>
            </w:tcMar>
            <w:vAlign w:val="center"/>
          </w:tcPr>
          <w:p w14:paraId="0C2691B5"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采取的措施</w:t>
            </w:r>
          </w:p>
        </w:tc>
        <w:tc>
          <w:tcPr>
            <w:tcW w:w="473" w:type="pct"/>
            <w:tcMar>
              <w:left w:w="28" w:type="dxa"/>
              <w:right w:w="28" w:type="dxa"/>
            </w:tcMar>
            <w:vAlign w:val="center"/>
          </w:tcPr>
          <w:p w14:paraId="3EB08554"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环保投资</w:t>
            </w:r>
          </w:p>
          <w:p w14:paraId="14F7ABD1"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（万元）</w:t>
            </w:r>
          </w:p>
        </w:tc>
      </w:tr>
      <w:tr w:rsidR="008A2411" w:rsidRPr="008A2411" w14:paraId="0469E2C6" w14:textId="77777777">
        <w:trPr>
          <w:cantSplit/>
          <w:trHeight w:val="340"/>
        </w:trPr>
        <w:tc>
          <w:tcPr>
            <w:tcW w:w="210" w:type="pct"/>
            <w:vMerge w:val="restart"/>
            <w:tcMar>
              <w:left w:w="28" w:type="dxa"/>
              <w:right w:w="28" w:type="dxa"/>
            </w:tcMar>
            <w:vAlign w:val="center"/>
          </w:tcPr>
          <w:p w14:paraId="67EB30D2"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废气</w:t>
            </w:r>
          </w:p>
        </w:tc>
        <w:tc>
          <w:tcPr>
            <w:tcW w:w="192" w:type="pct"/>
            <w:vMerge w:val="restart"/>
            <w:tcMar>
              <w:left w:w="28" w:type="dxa"/>
              <w:right w:w="28" w:type="dxa"/>
            </w:tcMar>
            <w:vAlign w:val="center"/>
          </w:tcPr>
          <w:p w14:paraId="44BCD336"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施工期</w:t>
            </w:r>
          </w:p>
        </w:tc>
        <w:tc>
          <w:tcPr>
            <w:tcW w:w="1309" w:type="pct"/>
            <w:vMerge w:val="restart"/>
            <w:tcMar>
              <w:left w:w="28" w:type="dxa"/>
              <w:right w:w="28" w:type="dxa"/>
            </w:tcMar>
            <w:vAlign w:val="center"/>
          </w:tcPr>
          <w:p w14:paraId="1AFFA02D"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施工扬尘</w:t>
            </w:r>
          </w:p>
        </w:tc>
        <w:tc>
          <w:tcPr>
            <w:tcW w:w="2816" w:type="pct"/>
            <w:tcMar>
              <w:left w:w="28" w:type="dxa"/>
              <w:right w:w="28" w:type="dxa"/>
            </w:tcMar>
            <w:vAlign w:val="center"/>
          </w:tcPr>
          <w:p w14:paraId="5BB0A4DB"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加强对机械、车辆的维修保养</w:t>
            </w:r>
            <w:r w:rsidRPr="008A2411">
              <w:rPr>
                <w:rFonts w:ascii="Times New Roman" w:hint="eastAsia"/>
                <w:color w:val="000000" w:themeColor="text1"/>
                <w:kern w:val="2"/>
                <w:sz w:val="21"/>
                <w:szCs w:val="21"/>
              </w:rPr>
              <w:t>，</w:t>
            </w:r>
            <w:r w:rsidRPr="008A2411">
              <w:rPr>
                <w:rFonts w:ascii="Times New Roman"/>
                <w:color w:val="000000" w:themeColor="text1"/>
                <w:kern w:val="2"/>
                <w:sz w:val="21"/>
                <w:szCs w:val="21"/>
              </w:rPr>
              <w:t>施工场地、围栏</w:t>
            </w:r>
            <w:r w:rsidRPr="008A2411">
              <w:rPr>
                <w:rFonts w:ascii="Times New Roman"/>
                <w:color w:val="000000" w:themeColor="text1"/>
                <w:kern w:val="2"/>
                <w:sz w:val="21"/>
                <w:szCs w:val="21"/>
              </w:rPr>
              <w:t xml:space="preserve"> </w:t>
            </w:r>
          </w:p>
        </w:tc>
        <w:tc>
          <w:tcPr>
            <w:tcW w:w="473" w:type="pct"/>
            <w:tcMar>
              <w:left w:w="28" w:type="dxa"/>
              <w:right w:w="28" w:type="dxa"/>
            </w:tcMar>
            <w:vAlign w:val="center"/>
          </w:tcPr>
          <w:p w14:paraId="22B13C7A"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sz w:val="21"/>
                <w:szCs w:val="21"/>
              </w:rPr>
              <w:t>25</w:t>
            </w:r>
          </w:p>
        </w:tc>
      </w:tr>
      <w:tr w:rsidR="008A2411" w:rsidRPr="008A2411" w14:paraId="01F3D2FB" w14:textId="77777777">
        <w:trPr>
          <w:cantSplit/>
          <w:trHeight w:val="340"/>
        </w:trPr>
        <w:tc>
          <w:tcPr>
            <w:tcW w:w="210" w:type="pct"/>
            <w:vMerge/>
            <w:tcMar>
              <w:left w:w="28" w:type="dxa"/>
              <w:right w:w="28" w:type="dxa"/>
            </w:tcMar>
            <w:vAlign w:val="center"/>
          </w:tcPr>
          <w:p w14:paraId="6D2D8039" w14:textId="77777777" w:rsidR="00B0005F" w:rsidRPr="008A2411" w:rsidRDefault="00B0005F">
            <w:pPr>
              <w:adjustRightInd w:val="0"/>
              <w:snapToGrid w:val="0"/>
              <w:jc w:val="center"/>
              <w:rPr>
                <w:rFonts w:ascii="Times New Roman"/>
                <w:color w:val="000000" w:themeColor="text1"/>
                <w:kern w:val="2"/>
                <w:sz w:val="21"/>
                <w:szCs w:val="21"/>
              </w:rPr>
            </w:pPr>
          </w:p>
        </w:tc>
        <w:tc>
          <w:tcPr>
            <w:tcW w:w="192" w:type="pct"/>
            <w:vMerge/>
            <w:tcMar>
              <w:left w:w="28" w:type="dxa"/>
              <w:right w:w="28" w:type="dxa"/>
            </w:tcMar>
            <w:vAlign w:val="center"/>
          </w:tcPr>
          <w:p w14:paraId="059CF0B0" w14:textId="77777777" w:rsidR="00B0005F" w:rsidRPr="008A2411" w:rsidRDefault="00B0005F">
            <w:pPr>
              <w:adjustRightInd w:val="0"/>
              <w:snapToGrid w:val="0"/>
              <w:jc w:val="center"/>
              <w:rPr>
                <w:rFonts w:ascii="Times New Roman"/>
                <w:color w:val="000000" w:themeColor="text1"/>
                <w:kern w:val="2"/>
                <w:sz w:val="21"/>
                <w:szCs w:val="21"/>
              </w:rPr>
            </w:pPr>
          </w:p>
        </w:tc>
        <w:tc>
          <w:tcPr>
            <w:tcW w:w="1309" w:type="pct"/>
            <w:vMerge/>
            <w:tcMar>
              <w:left w:w="28" w:type="dxa"/>
              <w:right w:w="28" w:type="dxa"/>
            </w:tcMar>
            <w:vAlign w:val="center"/>
          </w:tcPr>
          <w:p w14:paraId="70CA4BA7" w14:textId="77777777" w:rsidR="00B0005F" w:rsidRPr="008A2411" w:rsidRDefault="00B0005F">
            <w:pPr>
              <w:adjustRightInd w:val="0"/>
              <w:snapToGrid w:val="0"/>
              <w:jc w:val="center"/>
              <w:rPr>
                <w:rFonts w:ascii="Times New Roman"/>
                <w:color w:val="000000" w:themeColor="text1"/>
                <w:kern w:val="2"/>
                <w:sz w:val="21"/>
                <w:szCs w:val="21"/>
              </w:rPr>
            </w:pPr>
          </w:p>
        </w:tc>
        <w:tc>
          <w:tcPr>
            <w:tcW w:w="2816" w:type="pct"/>
            <w:tcMar>
              <w:left w:w="28" w:type="dxa"/>
              <w:right w:w="28" w:type="dxa"/>
            </w:tcMar>
            <w:vAlign w:val="center"/>
          </w:tcPr>
          <w:p w14:paraId="1BC53CF5"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定期洒水抑尘，</w:t>
            </w:r>
            <w:r w:rsidRPr="008A2411">
              <w:rPr>
                <w:rFonts w:ascii="Times New Roman" w:hint="eastAsia"/>
                <w:color w:val="000000" w:themeColor="text1"/>
                <w:kern w:val="2"/>
                <w:sz w:val="21"/>
                <w:szCs w:val="21"/>
              </w:rPr>
              <w:t>设置喷雾降尘装置</w:t>
            </w:r>
          </w:p>
        </w:tc>
        <w:tc>
          <w:tcPr>
            <w:tcW w:w="473" w:type="pct"/>
            <w:tcMar>
              <w:left w:w="28" w:type="dxa"/>
              <w:right w:w="28" w:type="dxa"/>
            </w:tcMar>
            <w:vAlign w:val="center"/>
          </w:tcPr>
          <w:p w14:paraId="78C03D12"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sz w:val="21"/>
                <w:szCs w:val="21"/>
              </w:rPr>
              <w:t>5</w:t>
            </w:r>
          </w:p>
        </w:tc>
      </w:tr>
      <w:tr w:rsidR="008A2411" w:rsidRPr="008A2411" w14:paraId="58D6C6EC" w14:textId="77777777">
        <w:trPr>
          <w:cantSplit/>
          <w:trHeight w:val="340"/>
        </w:trPr>
        <w:tc>
          <w:tcPr>
            <w:tcW w:w="210" w:type="pct"/>
            <w:vMerge/>
            <w:tcMar>
              <w:left w:w="28" w:type="dxa"/>
              <w:right w:w="28" w:type="dxa"/>
            </w:tcMar>
            <w:vAlign w:val="center"/>
          </w:tcPr>
          <w:p w14:paraId="01F188FB" w14:textId="77777777" w:rsidR="00B0005F" w:rsidRPr="008A2411" w:rsidRDefault="00B0005F">
            <w:pPr>
              <w:adjustRightInd w:val="0"/>
              <w:snapToGrid w:val="0"/>
              <w:jc w:val="center"/>
              <w:rPr>
                <w:rFonts w:ascii="Times New Roman"/>
                <w:color w:val="000000" w:themeColor="text1"/>
                <w:kern w:val="2"/>
                <w:sz w:val="21"/>
                <w:szCs w:val="21"/>
              </w:rPr>
            </w:pPr>
          </w:p>
        </w:tc>
        <w:tc>
          <w:tcPr>
            <w:tcW w:w="192" w:type="pct"/>
            <w:vMerge/>
            <w:tcMar>
              <w:left w:w="28" w:type="dxa"/>
              <w:right w:w="28" w:type="dxa"/>
            </w:tcMar>
            <w:vAlign w:val="center"/>
          </w:tcPr>
          <w:p w14:paraId="2A20B597" w14:textId="77777777" w:rsidR="00B0005F" w:rsidRPr="008A2411" w:rsidRDefault="00B0005F">
            <w:pPr>
              <w:adjustRightInd w:val="0"/>
              <w:snapToGrid w:val="0"/>
              <w:jc w:val="center"/>
              <w:rPr>
                <w:rFonts w:ascii="Times New Roman"/>
                <w:color w:val="000000" w:themeColor="text1"/>
                <w:kern w:val="2"/>
                <w:sz w:val="21"/>
                <w:szCs w:val="21"/>
              </w:rPr>
            </w:pPr>
          </w:p>
        </w:tc>
        <w:tc>
          <w:tcPr>
            <w:tcW w:w="1309" w:type="pct"/>
            <w:vMerge/>
            <w:tcMar>
              <w:left w:w="28" w:type="dxa"/>
              <w:right w:w="28" w:type="dxa"/>
            </w:tcMar>
            <w:vAlign w:val="center"/>
          </w:tcPr>
          <w:p w14:paraId="43E3395E" w14:textId="77777777" w:rsidR="00B0005F" w:rsidRPr="008A2411" w:rsidRDefault="00B0005F">
            <w:pPr>
              <w:adjustRightInd w:val="0"/>
              <w:snapToGrid w:val="0"/>
              <w:jc w:val="center"/>
              <w:rPr>
                <w:rFonts w:ascii="Times New Roman"/>
                <w:color w:val="000000" w:themeColor="text1"/>
                <w:kern w:val="2"/>
                <w:sz w:val="21"/>
                <w:szCs w:val="21"/>
              </w:rPr>
            </w:pPr>
          </w:p>
        </w:tc>
        <w:tc>
          <w:tcPr>
            <w:tcW w:w="2816" w:type="pct"/>
            <w:tcMar>
              <w:left w:w="28" w:type="dxa"/>
              <w:right w:w="28" w:type="dxa"/>
            </w:tcMar>
            <w:vAlign w:val="center"/>
          </w:tcPr>
          <w:p w14:paraId="7F1CA356"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蓬布遮盖建筑材料</w:t>
            </w:r>
          </w:p>
        </w:tc>
        <w:tc>
          <w:tcPr>
            <w:tcW w:w="473" w:type="pct"/>
            <w:tcMar>
              <w:left w:w="28" w:type="dxa"/>
              <w:right w:w="28" w:type="dxa"/>
            </w:tcMar>
            <w:vAlign w:val="center"/>
          </w:tcPr>
          <w:p w14:paraId="08B3126E"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sz w:val="21"/>
                <w:szCs w:val="21"/>
              </w:rPr>
              <w:t>4</w:t>
            </w:r>
          </w:p>
        </w:tc>
      </w:tr>
      <w:tr w:rsidR="008A2411" w:rsidRPr="008A2411" w14:paraId="713D3FFC" w14:textId="77777777">
        <w:trPr>
          <w:cantSplit/>
          <w:trHeight w:val="340"/>
        </w:trPr>
        <w:tc>
          <w:tcPr>
            <w:tcW w:w="210" w:type="pct"/>
            <w:vMerge/>
            <w:tcMar>
              <w:left w:w="28" w:type="dxa"/>
              <w:right w:w="28" w:type="dxa"/>
            </w:tcMar>
            <w:vAlign w:val="center"/>
          </w:tcPr>
          <w:p w14:paraId="429A3815" w14:textId="77777777" w:rsidR="00B0005F" w:rsidRPr="008A2411" w:rsidRDefault="00B0005F">
            <w:pPr>
              <w:adjustRightInd w:val="0"/>
              <w:snapToGrid w:val="0"/>
              <w:jc w:val="center"/>
              <w:rPr>
                <w:rFonts w:ascii="Times New Roman"/>
                <w:color w:val="000000" w:themeColor="text1"/>
                <w:kern w:val="2"/>
                <w:sz w:val="21"/>
                <w:szCs w:val="21"/>
              </w:rPr>
            </w:pPr>
          </w:p>
        </w:tc>
        <w:tc>
          <w:tcPr>
            <w:tcW w:w="192" w:type="pct"/>
            <w:vMerge w:val="restart"/>
            <w:tcMar>
              <w:left w:w="28" w:type="dxa"/>
              <w:right w:w="28" w:type="dxa"/>
            </w:tcMar>
            <w:vAlign w:val="center"/>
          </w:tcPr>
          <w:p w14:paraId="31664A22"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运营期</w:t>
            </w:r>
          </w:p>
        </w:tc>
        <w:tc>
          <w:tcPr>
            <w:tcW w:w="1309" w:type="pct"/>
            <w:tcMar>
              <w:left w:w="28" w:type="dxa"/>
              <w:right w:w="28" w:type="dxa"/>
            </w:tcMar>
            <w:vAlign w:val="center"/>
          </w:tcPr>
          <w:p w14:paraId="3C36BF49"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hint="eastAsia"/>
                <w:color w:val="000000" w:themeColor="text1"/>
                <w:kern w:val="2"/>
                <w:sz w:val="21"/>
                <w:szCs w:val="21"/>
              </w:rPr>
              <w:t>导热油炉</w:t>
            </w:r>
            <w:r w:rsidRPr="008A2411">
              <w:rPr>
                <w:rFonts w:ascii="Times New Roman"/>
                <w:color w:val="000000" w:themeColor="text1"/>
                <w:kern w:val="2"/>
                <w:sz w:val="21"/>
                <w:szCs w:val="21"/>
              </w:rPr>
              <w:t>烟气</w:t>
            </w:r>
          </w:p>
        </w:tc>
        <w:tc>
          <w:tcPr>
            <w:tcW w:w="2816" w:type="pct"/>
            <w:tcMar>
              <w:left w:w="28" w:type="dxa"/>
              <w:right w:w="28" w:type="dxa"/>
            </w:tcMar>
            <w:vAlign w:val="center"/>
          </w:tcPr>
          <w:p w14:paraId="1B55318F"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采用合格燃气，</w:t>
            </w:r>
            <w:r w:rsidRPr="008A2411">
              <w:rPr>
                <w:rFonts w:ascii="Times New Roman" w:hint="eastAsia"/>
                <w:color w:val="000000" w:themeColor="text1"/>
                <w:kern w:val="2"/>
                <w:sz w:val="21"/>
                <w:szCs w:val="21"/>
              </w:rPr>
              <w:t>设置</w:t>
            </w:r>
            <w:r w:rsidRPr="008A2411">
              <w:rPr>
                <w:rFonts w:ascii="Times New Roman" w:hint="eastAsia"/>
                <w:color w:val="000000" w:themeColor="text1"/>
                <w:kern w:val="2"/>
                <w:sz w:val="21"/>
                <w:szCs w:val="21"/>
              </w:rPr>
              <w:t>15m</w:t>
            </w:r>
            <w:r w:rsidRPr="008A2411">
              <w:rPr>
                <w:rFonts w:ascii="Times New Roman" w:hint="eastAsia"/>
                <w:color w:val="000000" w:themeColor="text1"/>
                <w:kern w:val="2"/>
                <w:sz w:val="21"/>
                <w:szCs w:val="21"/>
              </w:rPr>
              <w:t>高</w:t>
            </w:r>
            <w:r w:rsidRPr="008A2411">
              <w:rPr>
                <w:rFonts w:ascii="Times New Roman"/>
                <w:color w:val="000000" w:themeColor="text1"/>
                <w:kern w:val="2"/>
                <w:sz w:val="21"/>
                <w:szCs w:val="21"/>
              </w:rPr>
              <w:t>排气筒排放</w:t>
            </w:r>
          </w:p>
        </w:tc>
        <w:tc>
          <w:tcPr>
            <w:tcW w:w="473" w:type="pct"/>
            <w:tcMar>
              <w:left w:w="28" w:type="dxa"/>
              <w:right w:w="28" w:type="dxa"/>
            </w:tcMar>
            <w:vAlign w:val="center"/>
          </w:tcPr>
          <w:p w14:paraId="2E5AECDA"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sz w:val="21"/>
                <w:szCs w:val="21"/>
              </w:rPr>
              <w:t>5</w:t>
            </w:r>
          </w:p>
        </w:tc>
      </w:tr>
      <w:tr w:rsidR="008A2411" w:rsidRPr="008A2411" w14:paraId="3A302FF6" w14:textId="77777777">
        <w:trPr>
          <w:cantSplit/>
          <w:trHeight w:val="340"/>
        </w:trPr>
        <w:tc>
          <w:tcPr>
            <w:tcW w:w="210" w:type="pct"/>
            <w:vMerge/>
            <w:tcMar>
              <w:left w:w="28" w:type="dxa"/>
              <w:right w:w="28" w:type="dxa"/>
            </w:tcMar>
            <w:vAlign w:val="center"/>
          </w:tcPr>
          <w:p w14:paraId="55CC89C0" w14:textId="77777777" w:rsidR="00B0005F" w:rsidRPr="008A2411" w:rsidRDefault="00B0005F">
            <w:pPr>
              <w:adjustRightInd w:val="0"/>
              <w:snapToGrid w:val="0"/>
              <w:jc w:val="center"/>
              <w:rPr>
                <w:rFonts w:ascii="Times New Roman"/>
                <w:color w:val="000000" w:themeColor="text1"/>
                <w:kern w:val="2"/>
                <w:sz w:val="21"/>
                <w:szCs w:val="21"/>
              </w:rPr>
            </w:pPr>
          </w:p>
        </w:tc>
        <w:tc>
          <w:tcPr>
            <w:tcW w:w="192" w:type="pct"/>
            <w:vMerge/>
            <w:tcMar>
              <w:left w:w="28" w:type="dxa"/>
              <w:right w:w="28" w:type="dxa"/>
            </w:tcMar>
            <w:vAlign w:val="center"/>
          </w:tcPr>
          <w:p w14:paraId="22CD7779" w14:textId="77777777" w:rsidR="00B0005F" w:rsidRPr="008A2411" w:rsidRDefault="00B0005F">
            <w:pPr>
              <w:adjustRightInd w:val="0"/>
              <w:snapToGrid w:val="0"/>
              <w:jc w:val="center"/>
              <w:rPr>
                <w:rFonts w:ascii="Times New Roman"/>
                <w:color w:val="000000" w:themeColor="text1"/>
                <w:kern w:val="2"/>
                <w:sz w:val="21"/>
                <w:szCs w:val="21"/>
              </w:rPr>
            </w:pPr>
          </w:p>
        </w:tc>
        <w:tc>
          <w:tcPr>
            <w:tcW w:w="1309" w:type="pct"/>
            <w:tcMar>
              <w:left w:w="28" w:type="dxa"/>
              <w:right w:w="28" w:type="dxa"/>
            </w:tcMar>
            <w:vAlign w:val="center"/>
          </w:tcPr>
          <w:p w14:paraId="3F6D25F0"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脱硫塔</w:t>
            </w:r>
            <w:r w:rsidRPr="008A2411">
              <w:rPr>
                <w:rFonts w:ascii="Times New Roman" w:hint="eastAsia"/>
                <w:color w:val="000000" w:themeColor="text1"/>
                <w:kern w:val="2"/>
                <w:sz w:val="21"/>
                <w:szCs w:val="21"/>
              </w:rPr>
              <w:t>废气</w:t>
            </w:r>
          </w:p>
        </w:tc>
        <w:tc>
          <w:tcPr>
            <w:tcW w:w="2816" w:type="pct"/>
            <w:tcMar>
              <w:left w:w="28" w:type="dxa"/>
              <w:right w:w="28" w:type="dxa"/>
            </w:tcMar>
            <w:vAlign w:val="center"/>
          </w:tcPr>
          <w:p w14:paraId="59553EE1"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活性炭吸附装置</w:t>
            </w:r>
            <w:r w:rsidRPr="008A2411">
              <w:rPr>
                <w:rFonts w:ascii="Times New Roman" w:hint="eastAsia"/>
                <w:color w:val="000000" w:themeColor="text1"/>
                <w:kern w:val="2"/>
                <w:sz w:val="21"/>
                <w:szCs w:val="21"/>
              </w:rPr>
              <w:t>+15m</w:t>
            </w:r>
            <w:r w:rsidRPr="008A2411">
              <w:rPr>
                <w:rFonts w:ascii="Times New Roman" w:hint="eastAsia"/>
                <w:color w:val="000000" w:themeColor="text1"/>
                <w:kern w:val="2"/>
                <w:sz w:val="21"/>
                <w:szCs w:val="21"/>
              </w:rPr>
              <w:t>排气筒</w:t>
            </w:r>
          </w:p>
        </w:tc>
        <w:tc>
          <w:tcPr>
            <w:tcW w:w="473" w:type="pct"/>
            <w:tcMar>
              <w:left w:w="28" w:type="dxa"/>
              <w:right w:w="28" w:type="dxa"/>
            </w:tcMar>
            <w:vAlign w:val="center"/>
          </w:tcPr>
          <w:p w14:paraId="365A1DA6"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sz w:val="21"/>
                <w:szCs w:val="21"/>
              </w:rPr>
              <w:t>6</w:t>
            </w:r>
          </w:p>
        </w:tc>
      </w:tr>
      <w:tr w:rsidR="008A2411" w:rsidRPr="008A2411" w14:paraId="5A935F30" w14:textId="77777777">
        <w:trPr>
          <w:cantSplit/>
          <w:trHeight w:val="340"/>
        </w:trPr>
        <w:tc>
          <w:tcPr>
            <w:tcW w:w="210" w:type="pct"/>
            <w:vMerge w:val="restart"/>
            <w:tcMar>
              <w:left w:w="28" w:type="dxa"/>
              <w:right w:w="28" w:type="dxa"/>
            </w:tcMar>
            <w:vAlign w:val="center"/>
          </w:tcPr>
          <w:p w14:paraId="65ACD538"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废水</w:t>
            </w:r>
          </w:p>
        </w:tc>
        <w:tc>
          <w:tcPr>
            <w:tcW w:w="192" w:type="pct"/>
            <w:vMerge w:val="restart"/>
            <w:tcMar>
              <w:left w:w="28" w:type="dxa"/>
              <w:right w:w="28" w:type="dxa"/>
            </w:tcMar>
            <w:vAlign w:val="center"/>
          </w:tcPr>
          <w:p w14:paraId="327CB1EA"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施工期</w:t>
            </w:r>
          </w:p>
        </w:tc>
        <w:tc>
          <w:tcPr>
            <w:tcW w:w="1309" w:type="pct"/>
            <w:tcMar>
              <w:left w:w="28" w:type="dxa"/>
              <w:right w:w="28" w:type="dxa"/>
            </w:tcMar>
            <w:vAlign w:val="center"/>
          </w:tcPr>
          <w:p w14:paraId="74C23F69"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hint="eastAsia"/>
                <w:color w:val="000000" w:themeColor="text1"/>
                <w:kern w:val="2"/>
                <w:sz w:val="21"/>
                <w:szCs w:val="21"/>
              </w:rPr>
              <w:t>施工废水</w:t>
            </w:r>
          </w:p>
        </w:tc>
        <w:tc>
          <w:tcPr>
            <w:tcW w:w="2816" w:type="pct"/>
            <w:tcMar>
              <w:left w:w="28" w:type="dxa"/>
              <w:right w:w="28" w:type="dxa"/>
            </w:tcMar>
            <w:vAlign w:val="center"/>
          </w:tcPr>
          <w:p w14:paraId="5B07A471"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修建简易沉淀池，施工废水经沉淀处理后循环使用</w:t>
            </w:r>
          </w:p>
        </w:tc>
        <w:tc>
          <w:tcPr>
            <w:tcW w:w="473" w:type="pct"/>
            <w:tcMar>
              <w:left w:w="28" w:type="dxa"/>
              <w:right w:w="28" w:type="dxa"/>
            </w:tcMar>
            <w:vAlign w:val="center"/>
          </w:tcPr>
          <w:p w14:paraId="4F3C6249"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sz w:val="21"/>
                <w:szCs w:val="21"/>
              </w:rPr>
              <w:t>3</w:t>
            </w:r>
          </w:p>
        </w:tc>
      </w:tr>
      <w:tr w:rsidR="008A2411" w:rsidRPr="008A2411" w14:paraId="0CF6CAA7" w14:textId="77777777">
        <w:trPr>
          <w:cantSplit/>
          <w:trHeight w:val="340"/>
        </w:trPr>
        <w:tc>
          <w:tcPr>
            <w:tcW w:w="210" w:type="pct"/>
            <w:vMerge/>
            <w:tcMar>
              <w:left w:w="28" w:type="dxa"/>
              <w:right w:w="28" w:type="dxa"/>
            </w:tcMar>
            <w:vAlign w:val="center"/>
          </w:tcPr>
          <w:p w14:paraId="62B79804" w14:textId="77777777" w:rsidR="00B0005F" w:rsidRPr="008A2411" w:rsidRDefault="00B0005F">
            <w:pPr>
              <w:adjustRightInd w:val="0"/>
              <w:snapToGrid w:val="0"/>
              <w:jc w:val="center"/>
              <w:rPr>
                <w:rFonts w:ascii="Times New Roman"/>
                <w:color w:val="000000" w:themeColor="text1"/>
                <w:kern w:val="2"/>
                <w:sz w:val="21"/>
                <w:szCs w:val="21"/>
              </w:rPr>
            </w:pPr>
          </w:p>
        </w:tc>
        <w:tc>
          <w:tcPr>
            <w:tcW w:w="192" w:type="pct"/>
            <w:vMerge/>
            <w:tcMar>
              <w:left w:w="28" w:type="dxa"/>
              <w:right w:w="28" w:type="dxa"/>
            </w:tcMar>
            <w:vAlign w:val="center"/>
          </w:tcPr>
          <w:p w14:paraId="384FBAA7" w14:textId="77777777" w:rsidR="00B0005F" w:rsidRPr="008A2411" w:rsidRDefault="00B0005F">
            <w:pPr>
              <w:adjustRightInd w:val="0"/>
              <w:snapToGrid w:val="0"/>
              <w:jc w:val="center"/>
              <w:rPr>
                <w:rFonts w:ascii="Times New Roman"/>
                <w:color w:val="000000" w:themeColor="text1"/>
                <w:kern w:val="2"/>
                <w:sz w:val="21"/>
                <w:szCs w:val="21"/>
              </w:rPr>
            </w:pPr>
          </w:p>
        </w:tc>
        <w:tc>
          <w:tcPr>
            <w:tcW w:w="1309" w:type="pct"/>
            <w:tcMar>
              <w:left w:w="28" w:type="dxa"/>
              <w:right w:w="28" w:type="dxa"/>
            </w:tcMar>
            <w:vAlign w:val="center"/>
          </w:tcPr>
          <w:p w14:paraId="65B87367"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生活污水</w:t>
            </w:r>
          </w:p>
        </w:tc>
        <w:tc>
          <w:tcPr>
            <w:tcW w:w="2816" w:type="pct"/>
            <w:tcMar>
              <w:left w:w="28" w:type="dxa"/>
              <w:right w:w="28" w:type="dxa"/>
            </w:tcMar>
            <w:vAlign w:val="center"/>
          </w:tcPr>
          <w:p w14:paraId="70303558"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hint="eastAsia"/>
                <w:color w:val="000000" w:themeColor="text1"/>
                <w:sz w:val="21"/>
                <w:szCs w:val="21"/>
                <w:lang w:bidi="en-US"/>
              </w:rPr>
              <w:t>依托周边</w:t>
            </w:r>
            <w:r w:rsidRPr="008A2411">
              <w:rPr>
                <w:rFonts w:ascii="Times New Roman"/>
                <w:color w:val="000000" w:themeColor="text1"/>
                <w:sz w:val="21"/>
                <w:szCs w:val="21"/>
                <w:lang w:bidi="en-US"/>
              </w:rPr>
              <w:t>已建的卫生厕所收集后用作农肥</w:t>
            </w:r>
          </w:p>
        </w:tc>
        <w:tc>
          <w:tcPr>
            <w:tcW w:w="473" w:type="pct"/>
            <w:tcMar>
              <w:left w:w="28" w:type="dxa"/>
              <w:right w:w="28" w:type="dxa"/>
            </w:tcMar>
            <w:vAlign w:val="center"/>
          </w:tcPr>
          <w:p w14:paraId="047B65A3"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sz w:val="21"/>
                <w:szCs w:val="21"/>
              </w:rPr>
              <w:t>0.5</w:t>
            </w:r>
          </w:p>
        </w:tc>
      </w:tr>
      <w:tr w:rsidR="008A2411" w:rsidRPr="008A2411" w14:paraId="48F01437" w14:textId="77777777">
        <w:trPr>
          <w:cantSplit/>
          <w:trHeight w:val="340"/>
        </w:trPr>
        <w:tc>
          <w:tcPr>
            <w:tcW w:w="210" w:type="pct"/>
            <w:vMerge/>
            <w:tcMar>
              <w:left w:w="28" w:type="dxa"/>
              <w:right w:w="28" w:type="dxa"/>
            </w:tcMar>
            <w:vAlign w:val="center"/>
          </w:tcPr>
          <w:p w14:paraId="72C91120" w14:textId="77777777" w:rsidR="00B0005F" w:rsidRPr="008A2411" w:rsidRDefault="00B0005F">
            <w:pPr>
              <w:adjustRightInd w:val="0"/>
              <w:snapToGrid w:val="0"/>
              <w:jc w:val="center"/>
              <w:rPr>
                <w:rFonts w:ascii="Times New Roman"/>
                <w:color w:val="000000" w:themeColor="text1"/>
                <w:kern w:val="2"/>
                <w:sz w:val="21"/>
                <w:szCs w:val="21"/>
              </w:rPr>
            </w:pPr>
          </w:p>
        </w:tc>
        <w:tc>
          <w:tcPr>
            <w:tcW w:w="192" w:type="pct"/>
            <w:vMerge w:val="restart"/>
            <w:tcMar>
              <w:left w:w="28" w:type="dxa"/>
              <w:right w:w="28" w:type="dxa"/>
            </w:tcMar>
            <w:vAlign w:val="center"/>
          </w:tcPr>
          <w:p w14:paraId="26A2FC20"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运营期</w:t>
            </w:r>
          </w:p>
        </w:tc>
        <w:tc>
          <w:tcPr>
            <w:tcW w:w="1309" w:type="pct"/>
            <w:tcMar>
              <w:left w:w="28" w:type="dxa"/>
              <w:right w:w="28" w:type="dxa"/>
            </w:tcMar>
            <w:vAlign w:val="center"/>
          </w:tcPr>
          <w:p w14:paraId="55AF2912"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hint="eastAsia"/>
                <w:color w:val="000000" w:themeColor="text1"/>
                <w:kern w:val="2"/>
                <w:sz w:val="21"/>
                <w:szCs w:val="21"/>
              </w:rPr>
              <w:t>进口分离器废水</w:t>
            </w:r>
          </w:p>
        </w:tc>
        <w:tc>
          <w:tcPr>
            <w:tcW w:w="2816" w:type="pct"/>
            <w:vMerge w:val="restart"/>
            <w:tcMar>
              <w:left w:w="28" w:type="dxa"/>
              <w:right w:w="28" w:type="dxa"/>
            </w:tcMar>
            <w:vAlign w:val="center"/>
          </w:tcPr>
          <w:p w14:paraId="3BC78263"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spacing w:val="-2"/>
                <w:sz w:val="21"/>
                <w:szCs w:val="21"/>
              </w:rPr>
              <w:t>新建</w:t>
            </w:r>
            <w:r w:rsidRPr="008A2411">
              <w:rPr>
                <w:rFonts w:ascii="Times New Roman"/>
                <w:color w:val="000000" w:themeColor="text1"/>
                <w:spacing w:val="-2"/>
                <w:sz w:val="21"/>
                <w:szCs w:val="21"/>
              </w:rPr>
              <w:t>15m</w:t>
            </w:r>
            <w:r w:rsidRPr="008A2411">
              <w:rPr>
                <w:rFonts w:ascii="Times New Roman"/>
                <w:color w:val="000000" w:themeColor="text1"/>
                <w:spacing w:val="-2"/>
                <w:sz w:val="21"/>
                <w:szCs w:val="21"/>
                <w:vertAlign w:val="superscript"/>
              </w:rPr>
              <w:t>3</w:t>
            </w:r>
            <w:r w:rsidRPr="008A2411">
              <w:rPr>
                <w:rFonts w:ascii="Times New Roman"/>
                <w:color w:val="000000" w:themeColor="text1"/>
                <w:spacing w:val="-2"/>
                <w:sz w:val="21"/>
                <w:szCs w:val="21"/>
              </w:rPr>
              <w:t>/d</w:t>
            </w:r>
            <w:r w:rsidRPr="008A2411">
              <w:rPr>
                <w:rFonts w:ascii="Times New Roman"/>
                <w:color w:val="000000" w:themeColor="text1"/>
                <w:spacing w:val="-2"/>
                <w:sz w:val="21"/>
                <w:szCs w:val="21"/>
              </w:rPr>
              <w:t>的废水处理站，采用</w:t>
            </w:r>
            <w:r w:rsidRPr="008A2411">
              <w:rPr>
                <w:rFonts w:ascii="Times New Roman" w:hint="eastAsia"/>
                <w:color w:val="000000" w:themeColor="text1"/>
                <w:spacing w:val="-2"/>
                <w:sz w:val="21"/>
                <w:szCs w:val="21"/>
              </w:rPr>
              <w:t>“</w:t>
            </w:r>
            <w:r w:rsidRPr="008A2411">
              <w:rPr>
                <w:rFonts w:ascii="Times New Roman"/>
                <w:color w:val="000000" w:themeColor="text1"/>
                <w:spacing w:val="-2"/>
                <w:sz w:val="21"/>
                <w:szCs w:val="21"/>
              </w:rPr>
              <w:t>二级生化</w:t>
            </w:r>
            <w:r w:rsidRPr="008A2411">
              <w:rPr>
                <w:rFonts w:ascii="Times New Roman"/>
                <w:color w:val="000000" w:themeColor="text1"/>
                <w:spacing w:val="-2"/>
                <w:sz w:val="21"/>
                <w:szCs w:val="21"/>
              </w:rPr>
              <w:t>+TF</w:t>
            </w:r>
            <w:r w:rsidRPr="008A2411">
              <w:rPr>
                <w:rFonts w:ascii="Times New Roman"/>
                <w:color w:val="000000" w:themeColor="text1"/>
                <w:spacing w:val="-2"/>
                <w:sz w:val="21"/>
                <w:szCs w:val="21"/>
              </w:rPr>
              <w:t>超滤</w:t>
            </w:r>
            <w:r w:rsidRPr="008A2411">
              <w:rPr>
                <w:rFonts w:ascii="Times New Roman" w:hint="eastAsia"/>
                <w:color w:val="000000" w:themeColor="text1"/>
                <w:spacing w:val="-2"/>
                <w:sz w:val="21"/>
                <w:szCs w:val="21"/>
              </w:rPr>
              <w:t>”</w:t>
            </w:r>
            <w:r w:rsidRPr="008A2411">
              <w:rPr>
                <w:rFonts w:ascii="Times New Roman"/>
                <w:color w:val="000000" w:themeColor="text1"/>
                <w:spacing w:val="-2"/>
                <w:sz w:val="21"/>
                <w:szCs w:val="21"/>
              </w:rPr>
              <w:t>工艺预处理，</w:t>
            </w:r>
            <w:r w:rsidRPr="008A2411">
              <w:rPr>
                <w:rFonts w:ascii="Times New Roman" w:hint="eastAsia"/>
                <w:color w:val="000000" w:themeColor="text1"/>
                <w:spacing w:val="-2"/>
                <w:sz w:val="21"/>
                <w:szCs w:val="21"/>
              </w:rPr>
              <w:t>最终</w:t>
            </w:r>
            <w:r w:rsidRPr="008A2411">
              <w:rPr>
                <w:rFonts w:ascii="Times New Roman"/>
                <w:color w:val="000000" w:themeColor="text1"/>
                <w:spacing w:val="-2"/>
                <w:sz w:val="21"/>
                <w:szCs w:val="21"/>
              </w:rPr>
              <w:t>排入园区管网；</w:t>
            </w:r>
          </w:p>
        </w:tc>
        <w:tc>
          <w:tcPr>
            <w:tcW w:w="473" w:type="pct"/>
            <w:vMerge w:val="restart"/>
            <w:tcMar>
              <w:left w:w="28" w:type="dxa"/>
              <w:right w:w="28" w:type="dxa"/>
            </w:tcMar>
            <w:vAlign w:val="center"/>
          </w:tcPr>
          <w:p w14:paraId="6FE1EA8D"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hint="eastAsia"/>
                <w:color w:val="000000" w:themeColor="text1"/>
                <w:kern w:val="2"/>
                <w:sz w:val="21"/>
                <w:szCs w:val="21"/>
              </w:rPr>
              <w:t>50</w:t>
            </w:r>
          </w:p>
        </w:tc>
      </w:tr>
      <w:tr w:rsidR="008A2411" w:rsidRPr="008A2411" w14:paraId="15AE26D6" w14:textId="77777777">
        <w:trPr>
          <w:cantSplit/>
          <w:trHeight w:val="340"/>
        </w:trPr>
        <w:tc>
          <w:tcPr>
            <w:tcW w:w="210" w:type="pct"/>
            <w:vMerge/>
            <w:tcMar>
              <w:left w:w="28" w:type="dxa"/>
              <w:right w:w="28" w:type="dxa"/>
            </w:tcMar>
            <w:vAlign w:val="center"/>
          </w:tcPr>
          <w:p w14:paraId="3D445886" w14:textId="77777777" w:rsidR="00B0005F" w:rsidRPr="008A2411" w:rsidRDefault="00B0005F">
            <w:pPr>
              <w:adjustRightInd w:val="0"/>
              <w:snapToGrid w:val="0"/>
              <w:jc w:val="center"/>
              <w:rPr>
                <w:rFonts w:ascii="Times New Roman"/>
                <w:color w:val="000000" w:themeColor="text1"/>
                <w:kern w:val="2"/>
                <w:sz w:val="21"/>
                <w:szCs w:val="21"/>
              </w:rPr>
            </w:pPr>
          </w:p>
        </w:tc>
        <w:tc>
          <w:tcPr>
            <w:tcW w:w="192" w:type="pct"/>
            <w:vMerge/>
            <w:tcMar>
              <w:left w:w="28" w:type="dxa"/>
              <w:right w:w="28" w:type="dxa"/>
            </w:tcMar>
            <w:vAlign w:val="center"/>
          </w:tcPr>
          <w:p w14:paraId="0204DEA8" w14:textId="77777777" w:rsidR="00B0005F" w:rsidRPr="008A2411" w:rsidRDefault="00B0005F">
            <w:pPr>
              <w:adjustRightInd w:val="0"/>
              <w:snapToGrid w:val="0"/>
              <w:jc w:val="center"/>
              <w:rPr>
                <w:rFonts w:ascii="Times New Roman"/>
                <w:color w:val="000000" w:themeColor="text1"/>
                <w:kern w:val="2"/>
                <w:sz w:val="21"/>
                <w:szCs w:val="21"/>
              </w:rPr>
            </w:pPr>
          </w:p>
        </w:tc>
        <w:tc>
          <w:tcPr>
            <w:tcW w:w="1309" w:type="pct"/>
            <w:tcMar>
              <w:left w:w="28" w:type="dxa"/>
              <w:right w:w="28" w:type="dxa"/>
            </w:tcMar>
            <w:vAlign w:val="center"/>
          </w:tcPr>
          <w:p w14:paraId="0FDE7B92"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hint="eastAsia"/>
                <w:color w:val="000000" w:themeColor="text1"/>
                <w:kern w:val="2"/>
                <w:sz w:val="21"/>
                <w:szCs w:val="21"/>
              </w:rPr>
              <w:t>脱水再生器冷却器凝液</w:t>
            </w:r>
          </w:p>
        </w:tc>
        <w:tc>
          <w:tcPr>
            <w:tcW w:w="2816" w:type="pct"/>
            <w:vMerge/>
            <w:tcMar>
              <w:left w:w="28" w:type="dxa"/>
              <w:right w:w="28" w:type="dxa"/>
            </w:tcMar>
            <w:vAlign w:val="center"/>
          </w:tcPr>
          <w:p w14:paraId="65374DC8" w14:textId="77777777" w:rsidR="00B0005F" w:rsidRPr="008A2411" w:rsidRDefault="00B0005F">
            <w:pPr>
              <w:adjustRightInd w:val="0"/>
              <w:snapToGrid w:val="0"/>
              <w:jc w:val="center"/>
              <w:rPr>
                <w:rFonts w:ascii="Times New Roman"/>
                <w:color w:val="000000" w:themeColor="text1"/>
                <w:kern w:val="2"/>
                <w:sz w:val="21"/>
                <w:szCs w:val="21"/>
              </w:rPr>
            </w:pPr>
          </w:p>
        </w:tc>
        <w:tc>
          <w:tcPr>
            <w:tcW w:w="473" w:type="pct"/>
            <w:vMerge/>
            <w:tcMar>
              <w:left w:w="28" w:type="dxa"/>
              <w:right w:w="28" w:type="dxa"/>
            </w:tcMar>
            <w:vAlign w:val="center"/>
          </w:tcPr>
          <w:p w14:paraId="15AFD5EA" w14:textId="77777777" w:rsidR="00B0005F" w:rsidRPr="008A2411" w:rsidRDefault="00B0005F">
            <w:pPr>
              <w:adjustRightInd w:val="0"/>
              <w:snapToGrid w:val="0"/>
              <w:jc w:val="center"/>
              <w:rPr>
                <w:rFonts w:ascii="Times New Roman"/>
                <w:color w:val="000000" w:themeColor="text1"/>
                <w:kern w:val="2"/>
                <w:sz w:val="21"/>
                <w:szCs w:val="21"/>
              </w:rPr>
            </w:pPr>
          </w:p>
        </w:tc>
      </w:tr>
      <w:tr w:rsidR="008A2411" w:rsidRPr="008A2411" w14:paraId="392AF423" w14:textId="77777777">
        <w:trPr>
          <w:cantSplit/>
          <w:trHeight w:val="340"/>
        </w:trPr>
        <w:tc>
          <w:tcPr>
            <w:tcW w:w="210" w:type="pct"/>
            <w:vMerge/>
            <w:tcMar>
              <w:left w:w="28" w:type="dxa"/>
              <w:right w:w="28" w:type="dxa"/>
            </w:tcMar>
            <w:vAlign w:val="center"/>
          </w:tcPr>
          <w:p w14:paraId="55149564" w14:textId="77777777" w:rsidR="00B0005F" w:rsidRPr="008A2411" w:rsidRDefault="00B0005F">
            <w:pPr>
              <w:adjustRightInd w:val="0"/>
              <w:snapToGrid w:val="0"/>
              <w:jc w:val="center"/>
              <w:rPr>
                <w:rFonts w:ascii="Times New Roman"/>
                <w:color w:val="000000" w:themeColor="text1"/>
                <w:kern w:val="2"/>
                <w:sz w:val="21"/>
                <w:szCs w:val="21"/>
              </w:rPr>
            </w:pPr>
          </w:p>
        </w:tc>
        <w:tc>
          <w:tcPr>
            <w:tcW w:w="192" w:type="pct"/>
            <w:vMerge/>
            <w:tcMar>
              <w:left w:w="28" w:type="dxa"/>
              <w:right w:w="28" w:type="dxa"/>
            </w:tcMar>
            <w:vAlign w:val="center"/>
          </w:tcPr>
          <w:p w14:paraId="11B3F945" w14:textId="77777777" w:rsidR="00B0005F" w:rsidRPr="008A2411" w:rsidRDefault="00B0005F">
            <w:pPr>
              <w:adjustRightInd w:val="0"/>
              <w:snapToGrid w:val="0"/>
              <w:jc w:val="center"/>
              <w:rPr>
                <w:rFonts w:ascii="Times New Roman"/>
                <w:color w:val="000000" w:themeColor="text1"/>
                <w:kern w:val="2"/>
                <w:sz w:val="21"/>
                <w:szCs w:val="21"/>
              </w:rPr>
            </w:pPr>
          </w:p>
        </w:tc>
        <w:tc>
          <w:tcPr>
            <w:tcW w:w="1309" w:type="pct"/>
            <w:tcMar>
              <w:left w:w="28" w:type="dxa"/>
              <w:right w:w="28" w:type="dxa"/>
            </w:tcMar>
            <w:vAlign w:val="center"/>
          </w:tcPr>
          <w:p w14:paraId="406E7AAC"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hint="eastAsia"/>
                <w:color w:val="000000" w:themeColor="text1"/>
                <w:kern w:val="2"/>
                <w:sz w:val="21"/>
                <w:szCs w:val="21"/>
              </w:rPr>
              <w:t>生活污水</w:t>
            </w:r>
          </w:p>
        </w:tc>
        <w:tc>
          <w:tcPr>
            <w:tcW w:w="2816" w:type="pct"/>
            <w:vMerge/>
            <w:tcMar>
              <w:left w:w="28" w:type="dxa"/>
              <w:right w:w="28" w:type="dxa"/>
            </w:tcMar>
            <w:vAlign w:val="center"/>
          </w:tcPr>
          <w:p w14:paraId="6964F192" w14:textId="77777777" w:rsidR="00B0005F" w:rsidRPr="008A2411" w:rsidRDefault="00B0005F">
            <w:pPr>
              <w:adjustRightInd w:val="0"/>
              <w:snapToGrid w:val="0"/>
              <w:jc w:val="center"/>
              <w:rPr>
                <w:rFonts w:ascii="Times New Roman"/>
                <w:color w:val="000000" w:themeColor="text1"/>
                <w:kern w:val="2"/>
                <w:sz w:val="21"/>
                <w:szCs w:val="21"/>
              </w:rPr>
            </w:pPr>
          </w:p>
        </w:tc>
        <w:tc>
          <w:tcPr>
            <w:tcW w:w="473" w:type="pct"/>
            <w:vMerge/>
            <w:tcMar>
              <w:left w:w="28" w:type="dxa"/>
              <w:right w:w="28" w:type="dxa"/>
            </w:tcMar>
            <w:vAlign w:val="center"/>
          </w:tcPr>
          <w:p w14:paraId="60946D1E" w14:textId="77777777" w:rsidR="00B0005F" w:rsidRPr="008A2411" w:rsidRDefault="00B0005F">
            <w:pPr>
              <w:adjustRightInd w:val="0"/>
              <w:snapToGrid w:val="0"/>
              <w:jc w:val="center"/>
              <w:rPr>
                <w:rFonts w:ascii="Times New Roman"/>
                <w:color w:val="000000" w:themeColor="text1"/>
                <w:kern w:val="2"/>
                <w:sz w:val="21"/>
                <w:szCs w:val="21"/>
              </w:rPr>
            </w:pPr>
          </w:p>
        </w:tc>
      </w:tr>
      <w:tr w:rsidR="008A2411" w:rsidRPr="008A2411" w14:paraId="3B3738A5" w14:textId="77777777">
        <w:trPr>
          <w:cantSplit/>
          <w:trHeight w:val="340"/>
        </w:trPr>
        <w:tc>
          <w:tcPr>
            <w:tcW w:w="210" w:type="pct"/>
            <w:vMerge/>
            <w:tcMar>
              <w:left w:w="28" w:type="dxa"/>
              <w:right w:w="28" w:type="dxa"/>
            </w:tcMar>
            <w:vAlign w:val="center"/>
          </w:tcPr>
          <w:p w14:paraId="3FE4AD32" w14:textId="77777777" w:rsidR="00B0005F" w:rsidRPr="008A2411" w:rsidRDefault="00B0005F">
            <w:pPr>
              <w:adjustRightInd w:val="0"/>
              <w:snapToGrid w:val="0"/>
              <w:jc w:val="center"/>
              <w:rPr>
                <w:rFonts w:ascii="Times New Roman"/>
                <w:color w:val="000000" w:themeColor="text1"/>
                <w:kern w:val="2"/>
                <w:sz w:val="21"/>
                <w:szCs w:val="21"/>
              </w:rPr>
            </w:pPr>
          </w:p>
        </w:tc>
        <w:tc>
          <w:tcPr>
            <w:tcW w:w="192" w:type="pct"/>
            <w:vMerge/>
            <w:tcMar>
              <w:left w:w="28" w:type="dxa"/>
              <w:right w:w="28" w:type="dxa"/>
            </w:tcMar>
            <w:vAlign w:val="center"/>
          </w:tcPr>
          <w:p w14:paraId="42D51FC5" w14:textId="77777777" w:rsidR="00B0005F" w:rsidRPr="008A2411" w:rsidRDefault="00B0005F">
            <w:pPr>
              <w:adjustRightInd w:val="0"/>
              <w:snapToGrid w:val="0"/>
              <w:jc w:val="center"/>
              <w:rPr>
                <w:rFonts w:ascii="Times New Roman"/>
                <w:color w:val="000000" w:themeColor="text1"/>
                <w:kern w:val="2"/>
                <w:sz w:val="21"/>
                <w:szCs w:val="21"/>
              </w:rPr>
            </w:pPr>
          </w:p>
        </w:tc>
        <w:tc>
          <w:tcPr>
            <w:tcW w:w="1309" w:type="pct"/>
            <w:tcMar>
              <w:left w:w="28" w:type="dxa"/>
              <w:right w:w="28" w:type="dxa"/>
            </w:tcMar>
            <w:vAlign w:val="center"/>
          </w:tcPr>
          <w:p w14:paraId="0530A2C9"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hint="eastAsia"/>
                <w:color w:val="000000" w:themeColor="text1"/>
                <w:kern w:val="2"/>
                <w:sz w:val="21"/>
                <w:szCs w:val="21"/>
              </w:rPr>
              <w:t>脱盐水装置及软水装置排水</w:t>
            </w:r>
          </w:p>
        </w:tc>
        <w:tc>
          <w:tcPr>
            <w:tcW w:w="2816" w:type="pct"/>
            <w:tcMar>
              <w:left w:w="28" w:type="dxa"/>
              <w:right w:w="28" w:type="dxa"/>
            </w:tcMar>
            <w:vAlign w:val="center"/>
          </w:tcPr>
          <w:p w14:paraId="35E1A0CF"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sz w:val="21"/>
                <w:szCs w:val="21"/>
              </w:rPr>
              <w:t>直接排入管区管网</w:t>
            </w:r>
          </w:p>
        </w:tc>
        <w:tc>
          <w:tcPr>
            <w:tcW w:w="473" w:type="pct"/>
            <w:tcMar>
              <w:left w:w="28" w:type="dxa"/>
              <w:right w:w="28" w:type="dxa"/>
            </w:tcMar>
            <w:vAlign w:val="center"/>
          </w:tcPr>
          <w:p w14:paraId="2BE2E9FC"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hint="eastAsia"/>
                <w:color w:val="000000" w:themeColor="text1"/>
                <w:kern w:val="2"/>
                <w:sz w:val="21"/>
                <w:szCs w:val="21"/>
              </w:rPr>
              <w:t>/</w:t>
            </w:r>
          </w:p>
        </w:tc>
      </w:tr>
      <w:tr w:rsidR="008A2411" w:rsidRPr="008A2411" w14:paraId="3B0E5FD6" w14:textId="77777777">
        <w:trPr>
          <w:cantSplit/>
          <w:trHeight w:val="340"/>
        </w:trPr>
        <w:tc>
          <w:tcPr>
            <w:tcW w:w="210" w:type="pct"/>
            <w:vMerge/>
            <w:tcMar>
              <w:left w:w="28" w:type="dxa"/>
              <w:right w:w="28" w:type="dxa"/>
            </w:tcMar>
            <w:vAlign w:val="center"/>
          </w:tcPr>
          <w:p w14:paraId="5084F273" w14:textId="77777777" w:rsidR="00B0005F" w:rsidRPr="008A2411" w:rsidRDefault="00B0005F">
            <w:pPr>
              <w:adjustRightInd w:val="0"/>
              <w:snapToGrid w:val="0"/>
              <w:jc w:val="center"/>
              <w:rPr>
                <w:rFonts w:ascii="Times New Roman"/>
                <w:color w:val="000000" w:themeColor="text1"/>
                <w:kern w:val="2"/>
                <w:sz w:val="21"/>
                <w:szCs w:val="21"/>
              </w:rPr>
            </w:pPr>
          </w:p>
        </w:tc>
        <w:tc>
          <w:tcPr>
            <w:tcW w:w="192" w:type="pct"/>
            <w:vMerge/>
            <w:tcMar>
              <w:left w:w="28" w:type="dxa"/>
              <w:right w:w="28" w:type="dxa"/>
            </w:tcMar>
            <w:vAlign w:val="center"/>
          </w:tcPr>
          <w:p w14:paraId="1755FDD2" w14:textId="77777777" w:rsidR="00B0005F" w:rsidRPr="008A2411" w:rsidRDefault="00B0005F">
            <w:pPr>
              <w:adjustRightInd w:val="0"/>
              <w:snapToGrid w:val="0"/>
              <w:jc w:val="center"/>
              <w:rPr>
                <w:rFonts w:ascii="Times New Roman"/>
                <w:color w:val="000000" w:themeColor="text1"/>
                <w:kern w:val="2"/>
                <w:sz w:val="21"/>
                <w:szCs w:val="21"/>
              </w:rPr>
            </w:pPr>
          </w:p>
        </w:tc>
        <w:tc>
          <w:tcPr>
            <w:tcW w:w="1309" w:type="pct"/>
            <w:tcMar>
              <w:left w:w="28" w:type="dxa"/>
              <w:right w:w="28" w:type="dxa"/>
            </w:tcMar>
            <w:vAlign w:val="center"/>
          </w:tcPr>
          <w:p w14:paraId="58F7252C"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初期雨水</w:t>
            </w:r>
          </w:p>
        </w:tc>
        <w:tc>
          <w:tcPr>
            <w:tcW w:w="2816" w:type="pct"/>
            <w:tcMar>
              <w:left w:w="28" w:type="dxa"/>
              <w:right w:w="28" w:type="dxa"/>
            </w:tcMar>
            <w:vAlign w:val="center"/>
          </w:tcPr>
          <w:p w14:paraId="1C59F88E"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事故</w:t>
            </w:r>
            <w:proofErr w:type="gramStart"/>
            <w:r w:rsidRPr="008A2411">
              <w:rPr>
                <w:rFonts w:ascii="Times New Roman"/>
                <w:color w:val="000000" w:themeColor="text1"/>
                <w:kern w:val="2"/>
                <w:sz w:val="21"/>
                <w:szCs w:val="21"/>
              </w:rPr>
              <w:t>池兼初期</w:t>
            </w:r>
            <w:proofErr w:type="gramEnd"/>
            <w:r w:rsidRPr="008A2411">
              <w:rPr>
                <w:rFonts w:ascii="Times New Roman"/>
                <w:color w:val="000000" w:themeColor="text1"/>
                <w:kern w:val="2"/>
                <w:sz w:val="21"/>
                <w:szCs w:val="21"/>
              </w:rPr>
              <w:t>雨水收集池（</w:t>
            </w:r>
            <w:r w:rsidRPr="008A2411">
              <w:rPr>
                <w:rFonts w:ascii="Times New Roman" w:hint="eastAsia"/>
                <w:color w:val="000000" w:themeColor="text1"/>
                <w:kern w:val="2"/>
                <w:sz w:val="21"/>
                <w:szCs w:val="21"/>
              </w:rPr>
              <w:t>8</w:t>
            </w:r>
            <w:r w:rsidRPr="008A2411">
              <w:rPr>
                <w:rFonts w:ascii="Times New Roman"/>
                <w:color w:val="000000" w:themeColor="text1"/>
                <w:kern w:val="2"/>
                <w:sz w:val="21"/>
                <w:szCs w:val="21"/>
              </w:rPr>
              <w:t>00m³</w:t>
            </w:r>
            <w:r w:rsidRPr="008A2411">
              <w:rPr>
                <w:rFonts w:ascii="Times New Roman"/>
                <w:color w:val="000000" w:themeColor="text1"/>
                <w:kern w:val="2"/>
                <w:sz w:val="21"/>
                <w:szCs w:val="21"/>
              </w:rPr>
              <w:t>）</w:t>
            </w:r>
          </w:p>
        </w:tc>
        <w:tc>
          <w:tcPr>
            <w:tcW w:w="473" w:type="pct"/>
            <w:tcMar>
              <w:left w:w="28" w:type="dxa"/>
              <w:right w:w="28" w:type="dxa"/>
            </w:tcMar>
            <w:vAlign w:val="center"/>
          </w:tcPr>
          <w:p w14:paraId="42A124D2"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sz w:val="21"/>
                <w:szCs w:val="21"/>
              </w:rPr>
              <w:t>18</w:t>
            </w:r>
          </w:p>
        </w:tc>
      </w:tr>
      <w:tr w:rsidR="008A2411" w:rsidRPr="008A2411" w14:paraId="1B8BC47F" w14:textId="77777777">
        <w:trPr>
          <w:cantSplit/>
          <w:trHeight w:val="340"/>
        </w:trPr>
        <w:tc>
          <w:tcPr>
            <w:tcW w:w="210" w:type="pct"/>
            <w:vMerge w:val="restart"/>
            <w:tcMar>
              <w:left w:w="28" w:type="dxa"/>
              <w:right w:w="28" w:type="dxa"/>
            </w:tcMar>
            <w:vAlign w:val="center"/>
          </w:tcPr>
          <w:p w14:paraId="317F5C86"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固废</w:t>
            </w:r>
          </w:p>
        </w:tc>
        <w:tc>
          <w:tcPr>
            <w:tcW w:w="192" w:type="pct"/>
            <w:vMerge w:val="restart"/>
            <w:tcMar>
              <w:left w:w="28" w:type="dxa"/>
              <w:right w:w="28" w:type="dxa"/>
            </w:tcMar>
            <w:vAlign w:val="center"/>
          </w:tcPr>
          <w:p w14:paraId="7E0D5AF7"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施工期</w:t>
            </w:r>
          </w:p>
        </w:tc>
        <w:tc>
          <w:tcPr>
            <w:tcW w:w="1309" w:type="pct"/>
            <w:tcMar>
              <w:left w:w="28" w:type="dxa"/>
              <w:right w:w="28" w:type="dxa"/>
            </w:tcMar>
            <w:vAlign w:val="center"/>
          </w:tcPr>
          <w:p w14:paraId="6167B136"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建筑垃圾和施工废料</w:t>
            </w:r>
          </w:p>
        </w:tc>
        <w:tc>
          <w:tcPr>
            <w:tcW w:w="2816" w:type="pct"/>
            <w:tcMar>
              <w:left w:w="28" w:type="dxa"/>
              <w:right w:w="28" w:type="dxa"/>
            </w:tcMar>
            <w:vAlign w:val="center"/>
          </w:tcPr>
          <w:p w14:paraId="62064BA4"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sz w:val="21"/>
                <w:szCs w:val="21"/>
                <w:lang w:bidi="en-US"/>
              </w:rPr>
              <w:t>安装工程产生的</w:t>
            </w:r>
            <w:proofErr w:type="gramStart"/>
            <w:r w:rsidRPr="008A2411">
              <w:rPr>
                <w:rFonts w:ascii="Times New Roman"/>
                <w:color w:val="000000" w:themeColor="text1"/>
                <w:sz w:val="21"/>
                <w:szCs w:val="21"/>
                <w:lang w:bidi="en-US"/>
              </w:rPr>
              <w:t>废材料</w:t>
            </w:r>
            <w:proofErr w:type="gramEnd"/>
            <w:r w:rsidRPr="008A2411">
              <w:rPr>
                <w:rFonts w:ascii="Times New Roman"/>
                <w:color w:val="000000" w:themeColor="text1"/>
                <w:sz w:val="21"/>
                <w:szCs w:val="21"/>
                <w:lang w:bidi="en-US"/>
              </w:rPr>
              <w:t>由材料供货商进行统一回收；建筑垃圾定期就近送往建筑垃圾处理场处理</w:t>
            </w:r>
          </w:p>
        </w:tc>
        <w:tc>
          <w:tcPr>
            <w:tcW w:w="473" w:type="pct"/>
            <w:tcMar>
              <w:left w:w="28" w:type="dxa"/>
              <w:right w:w="28" w:type="dxa"/>
            </w:tcMar>
            <w:vAlign w:val="center"/>
          </w:tcPr>
          <w:p w14:paraId="2690C96B"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sz w:val="21"/>
                <w:szCs w:val="21"/>
              </w:rPr>
              <w:t>4</w:t>
            </w:r>
          </w:p>
        </w:tc>
      </w:tr>
      <w:tr w:rsidR="008A2411" w:rsidRPr="008A2411" w14:paraId="7A35C06C" w14:textId="77777777">
        <w:trPr>
          <w:cantSplit/>
          <w:trHeight w:val="340"/>
        </w:trPr>
        <w:tc>
          <w:tcPr>
            <w:tcW w:w="210" w:type="pct"/>
            <w:vMerge/>
            <w:tcMar>
              <w:left w:w="28" w:type="dxa"/>
              <w:right w:w="28" w:type="dxa"/>
            </w:tcMar>
            <w:vAlign w:val="center"/>
          </w:tcPr>
          <w:p w14:paraId="5BFDFF92" w14:textId="77777777" w:rsidR="00B0005F" w:rsidRPr="008A2411" w:rsidRDefault="00B0005F">
            <w:pPr>
              <w:adjustRightInd w:val="0"/>
              <w:snapToGrid w:val="0"/>
              <w:jc w:val="center"/>
              <w:rPr>
                <w:rFonts w:ascii="Times New Roman"/>
                <w:color w:val="000000" w:themeColor="text1"/>
                <w:kern w:val="2"/>
                <w:sz w:val="21"/>
                <w:szCs w:val="21"/>
              </w:rPr>
            </w:pPr>
          </w:p>
        </w:tc>
        <w:tc>
          <w:tcPr>
            <w:tcW w:w="192" w:type="pct"/>
            <w:vMerge/>
            <w:tcMar>
              <w:left w:w="28" w:type="dxa"/>
              <w:right w:w="28" w:type="dxa"/>
            </w:tcMar>
            <w:vAlign w:val="center"/>
          </w:tcPr>
          <w:p w14:paraId="3A427029" w14:textId="77777777" w:rsidR="00B0005F" w:rsidRPr="008A2411" w:rsidRDefault="00B0005F">
            <w:pPr>
              <w:adjustRightInd w:val="0"/>
              <w:snapToGrid w:val="0"/>
              <w:jc w:val="center"/>
              <w:rPr>
                <w:rFonts w:ascii="Times New Roman"/>
                <w:color w:val="000000" w:themeColor="text1"/>
                <w:kern w:val="2"/>
                <w:sz w:val="21"/>
                <w:szCs w:val="21"/>
              </w:rPr>
            </w:pPr>
          </w:p>
        </w:tc>
        <w:tc>
          <w:tcPr>
            <w:tcW w:w="1309" w:type="pct"/>
            <w:tcMar>
              <w:left w:w="28" w:type="dxa"/>
              <w:right w:w="28" w:type="dxa"/>
            </w:tcMar>
            <w:vAlign w:val="center"/>
          </w:tcPr>
          <w:p w14:paraId="21D5B2DB"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生活垃圾</w:t>
            </w:r>
          </w:p>
        </w:tc>
        <w:tc>
          <w:tcPr>
            <w:tcW w:w="2816" w:type="pct"/>
            <w:tcMar>
              <w:left w:w="28" w:type="dxa"/>
              <w:right w:w="28" w:type="dxa"/>
            </w:tcMar>
            <w:vAlign w:val="center"/>
          </w:tcPr>
          <w:p w14:paraId="1E3B4CDC"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生活垃圾收集桶收集，运至当地环卫部门处理</w:t>
            </w:r>
          </w:p>
        </w:tc>
        <w:tc>
          <w:tcPr>
            <w:tcW w:w="473" w:type="pct"/>
            <w:tcMar>
              <w:left w:w="28" w:type="dxa"/>
              <w:right w:w="28" w:type="dxa"/>
            </w:tcMar>
            <w:vAlign w:val="center"/>
          </w:tcPr>
          <w:p w14:paraId="64004A78"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sz w:val="21"/>
                <w:szCs w:val="21"/>
              </w:rPr>
              <w:t>3</w:t>
            </w:r>
          </w:p>
        </w:tc>
      </w:tr>
      <w:tr w:rsidR="008A2411" w:rsidRPr="008A2411" w14:paraId="3939E677" w14:textId="77777777">
        <w:trPr>
          <w:cantSplit/>
          <w:trHeight w:val="340"/>
        </w:trPr>
        <w:tc>
          <w:tcPr>
            <w:tcW w:w="210" w:type="pct"/>
            <w:vMerge/>
            <w:tcMar>
              <w:left w:w="28" w:type="dxa"/>
              <w:right w:w="28" w:type="dxa"/>
            </w:tcMar>
            <w:vAlign w:val="center"/>
          </w:tcPr>
          <w:p w14:paraId="7B23DF79" w14:textId="77777777" w:rsidR="00B0005F" w:rsidRPr="008A2411" w:rsidRDefault="00B0005F">
            <w:pPr>
              <w:adjustRightInd w:val="0"/>
              <w:snapToGrid w:val="0"/>
              <w:jc w:val="center"/>
              <w:rPr>
                <w:rFonts w:ascii="Times New Roman"/>
                <w:color w:val="000000" w:themeColor="text1"/>
                <w:kern w:val="2"/>
                <w:sz w:val="21"/>
                <w:szCs w:val="21"/>
              </w:rPr>
            </w:pPr>
          </w:p>
        </w:tc>
        <w:tc>
          <w:tcPr>
            <w:tcW w:w="192" w:type="pct"/>
            <w:vMerge w:val="restart"/>
            <w:tcMar>
              <w:left w:w="28" w:type="dxa"/>
              <w:right w:w="28" w:type="dxa"/>
            </w:tcMar>
            <w:vAlign w:val="center"/>
          </w:tcPr>
          <w:p w14:paraId="2A41290F"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运营期</w:t>
            </w:r>
          </w:p>
        </w:tc>
        <w:tc>
          <w:tcPr>
            <w:tcW w:w="1309" w:type="pct"/>
            <w:tcMar>
              <w:left w:w="28" w:type="dxa"/>
              <w:right w:w="28" w:type="dxa"/>
            </w:tcMar>
            <w:vAlign w:val="center"/>
          </w:tcPr>
          <w:p w14:paraId="20D0E0EB"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lang w:val="zh-CN"/>
              </w:rPr>
              <w:t>污水处理站</w:t>
            </w:r>
            <w:r w:rsidRPr="008A2411">
              <w:rPr>
                <w:rFonts w:ascii="Times New Roman" w:hint="eastAsia"/>
                <w:color w:val="000000" w:themeColor="text1"/>
                <w:kern w:val="2"/>
                <w:sz w:val="21"/>
                <w:szCs w:val="21"/>
                <w:lang w:val="zh-CN"/>
              </w:rPr>
              <w:t>污泥</w:t>
            </w:r>
          </w:p>
        </w:tc>
        <w:tc>
          <w:tcPr>
            <w:tcW w:w="2816" w:type="pct"/>
            <w:tcMar>
              <w:left w:w="28" w:type="dxa"/>
              <w:right w:w="28" w:type="dxa"/>
            </w:tcMar>
            <w:vAlign w:val="center"/>
          </w:tcPr>
          <w:p w14:paraId="08516141" w14:textId="77777777" w:rsidR="00B0005F" w:rsidRPr="008A2411" w:rsidRDefault="00000000">
            <w:pPr>
              <w:adjustRightInd w:val="0"/>
              <w:snapToGrid w:val="0"/>
              <w:jc w:val="center"/>
              <w:rPr>
                <w:rFonts w:ascii="Times New Roman"/>
                <w:color w:val="000000" w:themeColor="text1"/>
                <w:kern w:val="2"/>
                <w:sz w:val="21"/>
                <w:szCs w:val="21"/>
              </w:rPr>
            </w:pPr>
            <w:proofErr w:type="gramStart"/>
            <w:r w:rsidRPr="008A2411">
              <w:rPr>
                <w:rFonts w:ascii="Times New Roman"/>
                <w:color w:val="000000" w:themeColor="text1"/>
                <w:kern w:val="2"/>
                <w:sz w:val="21"/>
                <w:szCs w:val="21"/>
              </w:rPr>
              <w:t>送城市</w:t>
            </w:r>
            <w:proofErr w:type="gramEnd"/>
            <w:r w:rsidRPr="008A2411">
              <w:rPr>
                <w:rFonts w:ascii="Times New Roman"/>
                <w:color w:val="000000" w:themeColor="text1"/>
                <w:kern w:val="2"/>
                <w:sz w:val="21"/>
                <w:szCs w:val="21"/>
              </w:rPr>
              <w:t>生活垃圾填埋场处理</w:t>
            </w:r>
          </w:p>
        </w:tc>
        <w:tc>
          <w:tcPr>
            <w:tcW w:w="473" w:type="pct"/>
            <w:tcMar>
              <w:left w:w="28" w:type="dxa"/>
              <w:right w:w="28" w:type="dxa"/>
            </w:tcMar>
            <w:vAlign w:val="center"/>
          </w:tcPr>
          <w:p w14:paraId="430F3390"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sz w:val="21"/>
                <w:szCs w:val="21"/>
              </w:rPr>
              <w:t>3</w:t>
            </w:r>
          </w:p>
        </w:tc>
      </w:tr>
      <w:tr w:rsidR="008A2411" w:rsidRPr="008A2411" w14:paraId="1257DB10" w14:textId="77777777">
        <w:trPr>
          <w:cantSplit/>
          <w:trHeight w:val="340"/>
        </w:trPr>
        <w:tc>
          <w:tcPr>
            <w:tcW w:w="210" w:type="pct"/>
            <w:vMerge/>
            <w:tcMar>
              <w:left w:w="28" w:type="dxa"/>
              <w:right w:w="28" w:type="dxa"/>
            </w:tcMar>
            <w:vAlign w:val="center"/>
          </w:tcPr>
          <w:p w14:paraId="7D4B442F" w14:textId="77777777" w:rsidR="00B0005F" w:rsidRPr="008A2411" w:rsidRDefault="00B0005F">
            <w:pPr>
              <w:adjustRightInd w:val="0"/>
              <w:snapToGrid w:val="0"/>
              <w:jc w:val="center"/>
              <w:rPr>
                <w:rFonts w:ascii="Times New Roman"/>
                <w:color w:val="000000" w:themeColor="text1"/>
                <w:kern w:val="2"/>
                <w:sz w:val="21"/>
                <w:szCs w:val="21"/>
              </w:rPr>
            </w:pPr>
          </w:p>
        </w:tc>
        <w:tc>
          <w:tcPr>
            <w:tcW w:w="192" w:type="pct"/>
            <w:vMerge/>
            <w:tcMar>
              <w:left w:w="28" w:type="dxa"/>
              <w:right w:w="28" w:type="dxa"/>
            </w:tcMar>
            <w:vAlign w:val="center"/>
          </w:tcPr>
          <w:p w14:paraId="4B83C0ED" w14:textId="77777777" w:rsidR="00B0005F" w:rsidRPr="008A2411" w:rsidRDefault="00B0005F">
            <w:pPr>
              <w:adjustRightInd w:val="0"/>
              <w:snapToGrid w:val="0"/>
              <w:jc w:val="center"/>
              <w:rPr>
                <w:rFonts w:ascii="Times New Roman"/>
                <w:color w:val="000000" w:themeColor="text1"/>
                <w:kern w:val="2"/>
                <w:sz w:val="21"/>
                <w:szCs w:val="21"/>
              </w:rPr>
            </w:pPr>
          </w:p>
        </w:tc>
        <w:tc>
          <w:tcPr>
            <w:tcW w:w="1309" w:type="pct"/>
            <w:tcMar>
              <w:left w:w="28" w:type="dxa"/>
              <w:right w:w="28" w:type="dxa"/>
            </w:tcMar>
            <w:vAlign w:val="center"/>
          </w:tcPr>
          <w:p w14:paraId="188D15B3"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员工办公生活</w:t>
            </w:r>
          </w:p>
        </w:tc>
        <w:tc>
          <w:tcPr>
            <w:tcW w:w="2816" w:type="pct"/>
            <w:tcMar>
              <w:left w:w="28" w:type="dxa"/>
              <w:right w:w="28" w:type="dxa"/>
            </w:tcMar>
            <w:vAlign w:val="center"/>
          </w:tcPr>
          <w:p w14:paraId="77862015"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sz w:val="21"/>
                <w:szCs w:val="21"/>
              </w:rPr>
              <w:t>由当地环卫部门统一收集处理</w:t>
            </w:r>
          </w:p>
        </w:tc>
        <w:tc>
          <w:tcPr>
            <w:tcW w:w="473" w:type="pct"/>
            <w:tcMar>
              <w:left w:w="28" w:type="dxa"/>
              <w:right w:w="28" w:type="dxa"/>
            </w:tcMar>
            <w:vAlign w:val="center"/>
          </w:tcPr>
          <w:p w14:paraId="6F89BE56"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sz w:val="21"/>
                <w:szCs w:val="21"/>
              </w:rPr>
              <w:t>2</w:t>
            </w:r>
          </w:p>
        </w:tc>
      </w:tr>
      <w:tr w:rsidR="008A2411" w:rsidRPr="008A2411" w14:paraId="7D2599A0" w14:textId="77777777">
        <w:trPr>
          <w:cantSplit/>
          <w:trHeight w:val="340"/>
        </w:trPr>
        <w:tc>
          <w:tcPr>
            <w:tcW w:w="210" w:type="pct"/>
            <w:vMerge/>
            <w:tcMar>
              <w:left w:w="28" w:type="dxa"/>
              <w:right w:w="28" w:type="dxa"/>
            </w:tcMar>
            <w:vAlign w:val="center"/>
          </w:tcPr>
          <w:p w14:paraId="4F7BA4FE" w14:textId="77777777" w:rsidR="00B0005F" w:rsidRPr="008A2411" w:rsidRDefault="00B0005F">
            <w:pPr>
              <w:adjustRightInd w:val="0"/>
              <w:snapToGrid w:val="0"/>
              <w:jc w:val="center"/>
              <w:rPr>
                <w:rFonts w:ascii="Times New Roman"/>
                <w:color w:val="000000" w:themeColor="text1"/>
                <w:kern w:val="2"/>
                <w:sz w:val="21"/>
                <w:szCs w:val="21"/>
              </w:rPr>
            </w:pPr>
          </w:p>
        </w:tc>
        <w:tc>
          <w:tcPr>
            <w:tcW w:w="192" w:type="pct"/>
            <w:vMerge/>
            <w:tcMar>
              <w:left w:w="28" w:type="dxa"/>
              <w:right w:w="28" w:type="dxa"/>
            </w:tcMar>
            <w:vAlign w:val="center"/>
          </w:tcPr>
          <w:p w14:paraId="5575763E" w14:textId="77777777" w:rsidR="00B0005F" w:rsidRPr="008A2411" w:rsidRDefault="00B0005F">
            <w:pPr>
              <w:adjustRightInd w:val="0"/>
              <w:snapToGrid w:val="0"/>
              <w:jc w:val="center"/>
              <w:rPr>
                <w:rFonts w:ascii="Times New Roman"/>
                <w:color w:val="000000" w:themeColor="text1"/>
                <w:kern w:val="2"/>
                <w:sz w:val="21"/>
                <w:szCs w:val="21"/>
              </w:rPr>
            </w:pPr>
          </w:p>
        </w:tc>
        <w:tc>
          <w:tcPr>
            <w:tcW w:w="1309" w:type="pct"/>
            <w:tcMar>
              <w:left w:w="28" w:type="dxa"/>
              <w:right w:w="28" w:type="dxa"/>
            </w:tcMar>
            <w:vAlign w:val="center"/>
          </w:tcPr>
          <w:p w14:paraId="16461DCA"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hint="eastAsia"/>
                <w:color w:val="000000" w:themeColor="text1"/>
                <w:kern w:val="2"/>
                <w:sz w:val="21"/>
                <w:szCs w:val="21"/>
              </w:rPr>
              <w:t>制氮装置废过滤器</w:t>
            </w:r>
          </w:p>
        </w:tc>
        <w:tc>
          <w:tcPr>
            <w:tcW w:w="2816" w:type="pct"/>
            <w:tcMar>
              <w:left w:w="28" w:type="dxa"/>
              <w:right w:w="28" w:type="dxa"/>
            </w:tcMar>
            <w:vAlign w:val="center"/>
          </w:tcPr>
          <w:p w14:paraId="1AF18C20"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hint="eastAsia"/>
                <w:color w:val="000000" w:themeColor="text1"/>
                <w:sz w:val="21"/>
                <w:szCs w:val="21"/>
              </w:rPr>
              <w:t>交由供货厂商回收</w:t>
            </w:r>
          </w:p>
        </w:tc>
        <w:tc>
          <w:tcPr>
            <w:tcW w:w="473" w:type="pct"/>
            <w:tcMar>
              <w:left w:w="28" w:type="dxa"/>
              <w:right w:w="28" w:type="dxa"/>
            </w:tcMar>
            <w:vAlign w:val="center"/>
          </w:tcPr>
          <w:p w14:paraId="3F9974E0"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sz w:val="21"/>
                <w:szCs w:val="21"/>
              </w:rPr>
              <w:t>0.5</w:t>
            </w:r>
          </w:p>
        </w:tc>
      </w:tr>
      <w:tr w:rsidR="008A2411" w:rsidRPr="008A2411" w14:paraId="29A00D36" w14:textId="77777777">
        <w:trPr>
          <w:cantSplit/>
          <w:trHeight w:val="340"/>
        </w:trPr>
        <w:tc>
          <w:tcPr>
            <w:tcW w:w="210" w:type="pct"/>
            <w:vMerge/>
            <w:tcMar>
              <w:left w:w="28" w:type="dxa"/>
              <w:right w:w="28" w:type="dxa"/>
            </w:tcMar>
            <w:vAlign w:val="center"/>
          </w:tcPr>
          <w:p w14:paraId="268390AE" w14:textId="77777777" w:rsidR="00B0005F" w:rsidRPr="008A2411" w:rsidRDefault="00B0005F">
            <w:pPr>
              <w:adjustRightInd w:val="0"/>
              <w:snapToGrid w:val="0"/>
              <w:jc w:val="center"/>
              <w:rPr>
                <w:rFonts w:ascii="Times New Roman"/>
                <w:color w:val="000000" w:themeColor="text1"/>
                <w:kern w:val="2"/>
                <w:sz w:val="21"/>
                <w:szCs w:val="21"/>
              </w:rPr>
            </w:pPr>
          </w:p>
        </w:tc>
        <w:tc>
          <w:tcPr>
            <w:tcW w:w="192" w:type="pct"/>
            <w:vMerge/>
            <w:tcMar>
              <w:left w:w="28" w:type="dxa"/>
              <w:right w:w="28" w:type="dxa"/>
            </w:tcMar>
            <w:vAlign w:val="center"/>
          </w:tcPr>
          <w:p w14:paraId="205218F0" w14:textId="77777777" w:rsidR="00B0005F" w:rsidRPr="008A2411" w:rsidRDefault="00B0005F">
            <w:pPr>
              <w:adjustRightInd w:val="0"/>
              <w:snapToGrid w:val="0"/>
              <w:jc w:val="center"/>
              <w:rPr>
                <w:rFonts w:ascii="Times New Roman"/>
                <w:color w:val="000000" w:themeColor="text1"/>
                <w:kern w:val="2"/>
                <w:sz w:val="21"/>
                <w:szCs w:val="21"/>
              </w:rPr>
            </w:pPr>
          </w:p>
        </w:tc>
        <w:tc>
          <w:tcPr>
            <w:tcW w:w="1309" w:type="pct"/>
            <w:tcMar>
              <w:left w:w="28" w:type="dxa"/>
              <w:right w:w="28" w:type="dxa"/>
            </w:tcMar>
            <w:vAlign w:val="center"/>
          </w:tcPr>
          <w:p w14:paraId="08936BBC"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生产装置区干燥塔脱水单元</w:t>
            </w:r>
          </w:p>
        </w:tc>
        <w:tc>
          <w:tcPr>
            <w:tcW w:w="2816" w:type="pct"/>
            <w:vMerge w:val="restart"/>
            <w:tcMar>
              <w:left w:w="28" w:type="dxa"/>
              <w:right w:w="28" w:type="dxa"/>
            </w:tcMar>
            <w:vAlign w:val="center"/>
          </w:tcPr>
          <w:p w14:paraId="1A98B5C9"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hint="eastAsia"/>
                <w:color w:val="000000" w:themeColor="text1"/>
                <w:kern w:val="2"/>
                <w:sz w:val="21"/>
                <w:szCs w:val="21"/>
              </w:rPr>
              <w:t>修建危险废物暂存间，将各类危险废物分类</w:t>
            </w:r>
            <w:proofErr w:type="gramStart"/>
            <w:r w:rsidRPr="008A2411">
              <w:rPr>
                <w:rFonts w:ascii="Times New Roman"/>
                <w:color w:val="000000" w:themeColor="text1"/>
                <w:kern w:val="2"/>
                <w:sz w:val="21"/>
                <w:szCs w:val="21"/>
              </w:rPr>
              <w:t>存于危废暂存</w:t>
            </w:r>
            <w:proofErr w:type="gramEnd"/>
            <w:r w:rsidRPr="008A2411">
              <w:rPr>
                <w:rFonts w:ascii="Times New Roman"/>
                <w:color w:val="000000" w:themeColor="text1"/>
                <w:kern w:val="2"/>
                <w:sz w:val="21"/>
                <w:szCs w:val="21"/>
              </w:rPr>
              <w:t>间，</w:t>
            </w:r>
            <w:r w:rsidRPr="008A2411">
              <w:rPr>
                <w:rFonts w:ascii="Times New Roman" w:hint="eastAsia"/>
                <w:color w:val="000000" w:themeColor="text1"/>
                <w:kern w:val="2"/>
                <w:sz w:val="21"/>
                <w:szCs w:val="21"/>
              </w:rPr>
              <w:t>并</w:t>
            </w:r>
            <w:r w:rsidRPr="008A2411">
              <w:rPr>
                <w:rFonts w:ascii="Times New Roman"/>
                <w:color w:val="000000" w:themeColor="text1"/>
                <w:kern w:val="2"/>
                <w:sz w:val="21"/>
                <w:szCs w:val="21"/>
              </w:rPr>
              <w:t>交有资质单位处置</w:t>
            </w:r>
            <w:r w:rsidRPr="008A2411">
              <w:rPr>
                <w:rFonts w:ascii="Times New Roman"/>
                <w:color w:val="000000" w:themeColor="text1"/>
                <w:sz w:val="21"/>
                <w:szCs w:val="21"/>
              </w:rPr>
              <w:t>。</w:t>
            </w:r>
          </w:p>
          <w:p w14:paraId="6F82931E" w14:textId="77777777" w:rsidR="00B0005F" w:rsidRPr="008A2411" w:rsidRDefault="00B0005F">
            <w:pPr>
              <w:adjustRightInd w:val="0"/>
              <w:snapToGrid w:val="0"/>
              <w:jc w:val="center"/>
              <w:rPr>
                <w:rFonts w:ascii="Times New Roman"/>
                <w:color w:val="000000" w:themeColor="text1"/>
                <w:kern w:val="2"/>
                <w:sz w:val="21"/>
                <w:szCs w:val="21"/>
              </w:rPr>
            </w:pPr>
          </w:p>
        </w:tc>
        <w:tc>
          <w:tcPr>
            <w:tcW w:w="473" w:type="pct"/>
            <w:vMerge w:val="restart"/>
            <w:tcMar>
              <w:left w:w="28" w:type="dxa"/>
              <w:right w:w="28" w:type="dxa"/>
            </w:tcMar>
            <w:vAlign w:val="center"/>
          </w:tcPr>
          <w:p w14:paraId="7F52E174"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hint="eastAsia"/>
                <w:color w:val="000000" w:themeColor="text1"/>
                <w:kern w:val="2"/>
                <w:sz w:val="21"/>
                <w:szCs w:val="21"/>
              </w:rPr>
              <w:t>190</w:t>
            </w:r>
          </w:p>
        </w:tc>
      </w:tr>
      <w:tr w:rsidR="008A2411" w:rsidRPr="008A2411" w14:paraId="2D6E355E" w14:textId="77777777">
        <w:trPr>
          <w:cantSplit/>
          <w:trHeight w:val="340"/>
        </w:trPr>
        <w:tc>
          <w:tcPr>
            <w:tcW w:w="210" w:type="pct"/>
            <w:vMerge/>
            <w:tcMar>
              <w:left w:w="28" w:type="dxa"/>
              <w:right w:w="28" w:type="dxa"/>
            </w:tcMar>
            <w:vAlign w:val="center"/>
          </w:tcPr>
          <w:p w14:paraId="7C27A402" w14:textId="77777777" w:rsidR="00B0005F" w:rsidRPr="008A2411" w:rsidRDefault="00B0005F">
            <w:pPr>
              <w:adjustRightInd w:val="0"/>
              <w:snapToGrid w:val="0"/>
              <w:jc w:val="center"/>
              <w:rPr>
                <w:rFonts w:ascii="Times New Roman"/>
                <w:color w:val="000000" w:themeColor="text1"/>
                <w:kern w:val="2"/>
                <w:sz w:val="21"/>
                <w:szCs w:val="21"/>
              </w:rPr>
            </w:pPr>
          </w:p>
        </w:tc>
        <w:tc>
          <w:tcPr>
            <w:tcW w:w="192" w:type="pct"/>
            <w:vMerge/>
            <w:tcMar>
              <w:left w:w="28" w:type="dxa"/>
              <w:right w:w="28" w:type="dxa"/>
            </w:tcMar>
            <w:vAlign w:val="center"/>
          </w:tcPr>
          <w:p w14:paraId="17CBE74D" w14:textId="77777777" w:rsidR="00B0005F" w:rsidRPr="008A2411" w:rsidRDefault="00B0005F">
            <w:pPr>
              <w:adjustRightInd w:val="0"/>
              <w:snapToGrid w:val="0"/>
              <w:jc w:val="center"/>
              <w:rPr>
                <w:rFonts w:ascii="Times New Roman"/>
                <w:color w:val="000000" w:themeColor="text1"/>
                <w:kern w:val="2"/>
                <w:sz w:val="21"/>
                <w:szCs w:val="21"/>
              </w:rPr>
            </w:pPr>
          </w:p>
        </w:tc>
        <w:tc>
          <w:tcPr>
            <w:tcW w:w="1309" w:type="pct"/>
            <w:tcMar>
              <w:left w:w="28" w:type="dxa"/>
              <w:right w:w="28" w:type="dxa"/>
            </w:tcMar>
            <w:vAlign w:val="center"/>
          </w:tcPr>
          <w:p w14:paraId="04753125"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生产装置区干燥塔脱水再生单元</w:t>
            </w:r>
          </w:p>
        </w:tc>
        <w:tc>
          <w:tcPr>
            <w:tcW w:w="2816" w:type="pct"/>
            <w:vMerge/>
            <w:tcMar>
              <w:left w:w="28" w:type="dxa"/>
              <w:right w:w="28" w:type="dxa"/>
            </w:tcMar>
            <w:vAlign w:val="center"/>
          </w:tcPr>
          <w:p w14:paraId="1EEB0673" w14:textId="77777777" w:rsidR="00B0005F" w:rsidRPr="008A2411" w:rsidRDefault="00B0005F">
            <w:pPr>
              <w:adjustRightInd w:val="0"/>
              <w:snapToGrid w:val="0"/>
              <w:jc w:val="center"/>
              <w:rPr>
                <w:rFonts w:ascii="Times New Roman"/>
                <w:color w:val="000000" w:themeColor="text1"/>
                <w:kern w:val="2"/>
                <w:sz w:val="21"/>
                <w:szCs w:val="21"/>
              </w:rPr>
            </w:pPr>
          </w:p>
        </w:tc>
        <w:tc>
          <w:tcPr>
            <w:tcW w:w="473" w:type="pct"/>
            <w:vMerge/>
            <w:tcMar>
              <w:left w:w="28" w:type="dxa"/>
              <w:right w:w="28" w:type="dxa"/>
            </w:tcMar>
            <w:vAlign w:val="center"/>
          </w:tcPr>
          <w:p w14:paraId="3963317C" w14:textId="77777777" w:rsidR="00B0005F" w:rsidRPr="008A2411" w:rsidRDefault="00B0005F">
            <w:pPr>
              <w:adjustRightInd w:val="0"/>
              <w:snapToGrid w:val="0"/>
              <w:jc w:val="center"/>
              <w:rPr>
                <w:rFonts w:ascii="Times New Roman"/>
                <w:color w:val="000000" w:themeColor="text1"/>
                <w:kern w:val="2"/>
                <w:sz w:val="21"/>
                <w:szCs w:val="21"/>
              </w:rPr>
            </w:pPr>
          </w:p>
        </w:tc>
      </w:tr>
      <w:tr w:rsidR="008A2411" w:rsidRPr="008A2411" w14:paraId="5FB9A461" w14:textId="77777777">
        <w:trPr>
          <w:cantSplit/>
          <w:trHeight w:val="340"/>
        </w:trPr>
        <w:tc>
          <w:tcPr>
            <w:tcW w:w="210" w:type="pct"/>
            <w:vMerge/>
            <w:tcMar>
              <w:left w:w="28" w:type="dxa"/>
              <w:right w:w="28" w:type="dxa"/>
            </w:tcMar>
            <w:vAlign w:val="center"/>
          </w:tcPr>
          <w:p w14:paraId="78023063" w14:textId="77777777" w:rsidR="00B0005F" w:rsidRPr="008A2411" w:rsidRDefault="00B0005F">
            <w:pPr>
              <w:adjustRightInd w:val="0"/>
              <w:snapToGrid w:val="0"/>
              <w:jc w:val="center"/>
              <w:rPr>
                <w:rFonts w:ascii="Times New Roman"/>
                <w:color w:val="000000" w:themeColor="text1"/>
                <w:kern w:val="2"/>
                <w:sz w:val="21"/>
                <w:szCs w:val="21"/>
              </w:rPr>
            </w:pPr>
          </w:p>
        </w:tc>
        <w:tc>
          <w:tcPr>
            <w:tcW w:w="192" w:type="pct"/>
            <w:vMerge/>
            <w:tcMar>
              <w:left w:w="28" w:type="dxa"/>
              <w:right w:w="28" w:type="dxa"/>
            </w:tcMar>
            <w:vAlign w:val="center"/>
          </w:tcPr>
          <w:p w14:paraId="07072C9F" w14:textId="77777777" w:rsidR="00B0005F" w:rsidRPr="008A2411" w:rsidRDefault="00B0005F">
            <w:pPr>
              <w:adjustRightInd w:val="0"/>
              <w:snapToGrid w:val="0"/>
              <w:jc w:val="center"/>
              <w:rPr>
                <w:rFonts w:ascii="Times New Roman"/>
                <w:color w:val="000000" w:themeColor="text1"/>
                <w:kern w:val="2"/>
                <w:sz w:val="21"/>
                <w:szCs w:val="21"/>
              </w:rPr>
            </w:pPr>
          </w:p>
        </w:tc>
        <w:tc>
          <w:tcPr>
            <w:tcW w:w="1309" w:type="pct"/>
            <w:tcMar>
              <w:left w:w="28" w:type="dxa"/>
              <w:right w:w="28" w:type="dxa"/>
            </w:tcMar>
            <w:vAlign w:val="center"/>
          </w:tcPr>
          <w:p w14:paraId="39477D8B"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设备检修</w:t>
            </w:r>
            <w:r w:rsidRPr="008A2411">
              <w:rPr>
                <w:rFonts w:ascii="Times New Roman" w:hint="eastAsia"/>
                <w:color w:val="000000" w:themeColor="text1"/>
                <w:kern w:val="2"/>
                <w:sz w:val="21"/>
                <w:szCs w:val="21"/>
              </w:rPr>
              <w:t>废油</w:t>
            </w:r>
          </w:p>
        </w:tc>
        <w:tc>
          <w:tcPr>
            <w:tcW w:w="2816" w:type="pct"/>
            <w:vMerge/>
            <w:tcMar>
              <w:left w:w="28" w:type="dxa"/>
              <w:right w:w="28" w:type="dxa"/>
            </w:tcMar>
            <w:vAlign w:val="center"/>
          </w:tcPr>
          <w:p w14:paraId="06A816AA" w14:textId="77777777" w:rsidR="00B0005F" w:rsidRPr="008A2411" w:rsidRDefault="00B0005F">
            <w:pPr>
              <w:adjustRightInd w:val="0"/>
              <w:snapToGrid w:val="0"/>
              <w:jc w:val="center"/>
              <w:rPr>
                <w:rFonts w:ascii="Times New Roman"/>
                <w:color w:val="000000" w:themeColor="text1"/>
                <w:kern w:val="2"/>
                <w:sz w:val="21"/>
                <w:szCs w:val="21"/>
              </w:rPr>
            </w:pPr>
          </w:p>
        </w:tc>
        <w:tc>
          <w:tcPr>
            <w:tcW w:w="473" w:type="pct"/>
            <w:vMerge/>
            <w:tcMar>
              <w:left w:w="28" w:type="dxa"/>
              <w:right w:w="28" w:type="dxa"/>
            </w:tcMar>
            <w:vAlign w:val="center"/>
          </w:tcPr>
          <w:p w14:paraId="797A3113" w14:textId="77777777" w:rsidR="00B0005F" w:rsidRPr="008A2411" w:rsidRDefault="00B0005F">
            <w:pPr>
              <w:adjustRightInd w:val="0"/>
              <w:snapToGrid w:val="0"/>
              <w:jc w:val="center"/>
              <w:rPr>
                <w:rFonts w:ascii="Times New Roman"/>
                <w:color w:val="000000" w:themeColor="text1"/>
                <w:kern w:val="2"/>
                <w:sz w:val="21"/>
                <w:szCs w:val="21"/>
              </w:rPr>
            </w:pPr>
          </w:p>
        </w:tc>
      </w:tr>
      <w:tr w:rsidR="008A2411" w:rsidRPr="008A2411" w14:paraId="23AC8DBD" w14:textId="77777777">
        <w:trPr>
          <w:cantSplit/>
          <w:trHeight w:val="340"/>
        </w:trPr>
        <w:tc>
          <w:tcPr>
            <w:tcW w:w="210" w:type="pct"/>
            <w:vMerge/>
            <w:tcMar>
              <w:left w:w="28" w:type="dxa"/>
              <w:right w:w="28" w:type="dxa"/>
            </w:tcMar>
            <w:vAlign w:val="center"/>
          </w:tcPr>
          <w:p w14:paraId="6FE40E74" w14:textId="77777777" w:rsidR="00B0005F" w:rsidRPr="008A2411" w:rsidRDefault="00B0005F">
            <w:pPr>
              <w:adjustRightInd w:val="0"/>
              <w:snapToGrid w:val="0"/>
              <w:jc w:val="center"/>
              <w:rPr>
                <w:rFonts w:ascii="Times New Roman"/>
                <w:color w:val="000000" w:themeColor="text1"/>
                <w:kern w:val="2"/>
                <w:sz w:val="21"/>
                <w:szCs w:val="21"/>
              </w:rPr>
            </w:pPr>
          </w:p>
        </w:tc>
        <w:tc>
          <w:tcPr>
            <w:tcW w:w="192" w:type="pct"/>
            <w:vMerge/>
            <w:tcMar>
              <w:left w:w="28" w:type="dxa"/>
              <w:right w:w="28" w:type="dxa"/>
            </w:tcMar>
            <w:vAlign w:val="center"/>
          </w:tcPr>
          <w:p w14:paraId="1B0B6397" w14:textId="77777777" w:rsidR="00B0005F" w:rsidRPr="008A2411" w:rsidRDefault="00B0005F">
            <w:pPr>
              <w:adjustRightInd w:val="0"/>
              <w:snapToGrid w:val="0"/>
              <w:jc w:val="center"/>
              <w:rPr>
                <w:rFonts w:ascii="Times New Roman"/>
                <w:color w:val="000000" w:themeColor="text1"/>
                <w:kern w:val="2"/>
                <w:sz w:val="21"/>
                <w:szCs w:val="21"/>
              </w:rPr>
            </w:pPr>
          </w:p>
        </w:tc>
        <w:tc>
          <w:tcPr>
            <w:tcW w:w="1309" w:type="pct"/>
            <w:tcMar>
              <w:left w:w="28" w:type="dxa"/>
              <w:right w:w="28" w:type="dxa"/>
            </w:tcMar>
            <w:vAlign w:val="center"/>
          </w:tcPr>
          <w:p w14:paraId="1EF85D9E"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生产装置区脱硫单元、脱碳单元、脱汞单元和脱重烃单元</w:t>
            </w:r>
            <w:r w:rsidRPr="008A2411">
              <w:rPr>
                <w:rFonts w:ascii="Times New Roman" w:hint="eastAsia"/>
                <w:color w:val="000000" w:themeColor="text1"/>
                <w:kern w:val="2"/>
                <w:sz w:val="21"/>
                <w:szCs w:val="21"/>
              </w:rPr>
              <w:t>废活性炭</w:t>
            </w:r>
          </w:p>
        </w:tc>
        <w:tc>
          <w:tcPr>
            <w:tcW w:w="2816" w:type="pct"/>
            <w:vMerge/>
            <w:tcMar>
              <w:left w:w="28" w:type="dxa"/>
              <w:right w:w="28" w:type="dxa"/>
            </w:tcMar>
            <w:vAlign w:val="center"/>
          </w:tcPr>
          <w:p w14:paraId="392C2DFF" w14:textId="77777777" w:rsidR="00B0005F" w:rsidRPr="008A2411" w:rsidRDefault="00B0005F">
            <w:pPr>
              <w:adjustRightInd w:val="0"/>
              <w:snapToGrid w:val="0"/>
              <w:jc w:val="center"/>
              <w:rPr>
                <w:rFonts w:ascii="Times New Roman"/>
                <w:color w:val="000000" w:themeColor="text1"/>
                <w:kern w:val="2"/>
                <w:sz w:val="21"/>
                <w:szCs w:val="21"/>
              </w:rPr>
            </w:pPr>
          </w:p>
        </w:tc>
        <w:tc>
          <w:tcPr>
            <w:tcW w:w="473" w:type="pct"/>
            <w:vMerge/>
            <w:tcMar>
              <w:left w:w="28" w:type="dxa"/>
              <w:right w:w="28" w:type="dxa"/>
            </w:tcMar>
            <w:vAlign w:val="center"/>
          </w:tcPr>
          <w:p w14:paraId="6EED60EE" w14:textId="77777777" w:rsidR="00B0005F" w:rsidRPr="008A2411" w:rsidRDefault="00B0005F">
            <w:pPr>
              <w:adjustRightInd w:val="0"/>
              <w:snapToGrid w:val="0"/>
              <w:jc w:val="center"/>
              <w:rPr>
                <w:rFonts w:ascii="Times New Roman"/>
                <w:color w:val="000000" w:themeColor="text1"/>
                <w:kern w:val="2"/>
                <w:sz w:val="21"/>
                <w:szCs w:val="21"/>
              </w:rPr>
            </w:pPr>
          </w:p>
        </w:tc>
      </w:tr>
      <w:tr w:rsidR="008A2411" w:rsidRPr="008A2411" w14:paraId="10FB792F" w14:textId="77777777">
        <w:trPr>
          <w:cantSplit/>
          <w:trHeight w:val="340"/>
        </w:trPr>
        <w:tc>
          <w:tcPr>
            <w:tcW w:w="210" w:type="pct"/>
            <w:vMerge/>
            <w:tcMar>
              <w:left w:w="28" w:type="dxa"/>
              <w:right w:w="28" w:type="dxa"/>
            </w:tcMar>
            <w:vAlign w:val="center"/>
          </w:tcPr>
          <w:p w14:paraId="2DC64821" w14:textId="77777777" w:rsidR="00B0005F" w:rsidRPr="008A2411" w:rsidRDefault="00B0005F">
            <w:pPr>
              <w:adjustRightInd w:val="0"/>
              <w:snapToGrid w:val="0"/>
              <w:jc w:val="center"/>
              <w:rPr>
                <w:rFonts w:ascii="Times New Roman"/>
                <w:color w:val="000000" w:themeColor="text1"/>
                <w:kern w:val="2"/>
                <w:sz w:val="21"/>
                <w:szCs w:val="21"/>
              </w:rPr>
            </w:pPr>
          </w:p>
        </w:tc>
        <w:tc>
          <w:tcPr>
            <w:tcW w:w="192" w:type="pct"/>
            <w:vMerge/>
            <w:tcMar>
              <w:left w:w="28" w:type="dxa"/>
              <w:right w:w="28" w:type="dxa"/>
            </w:tcMar>
            <w:vAlign w:val="center"/>
          </w:tcPr>
          <w:p w14:paraId="2AC9E3DF" w14:textId="77777777" w:rsidR="00B0005F" w:rsidRPr="008A2411" w:rsidRDefault="00B0005F">
            <w:pPr>
              <w:adjustRightInd w:val="0"/>
              <w:snapToGrid w:val="0"/>
              <w:jc w:val="center"/>
              <w:rPr>
                <w:rFonts w:ascii="Times New Roman"/>
                <w:color w:val="000000" w:themeColor="text1"/>
                <w:kern w:val="2"/>
                <w:sz w:val="21"/>
                <w:szCs w:val="21"/>
              </w:rPr>
            </w:pPr>
          </w:p>
        </w:tc>
        <w:tc>
          <w:tcPr>
            <w:tcW w:w="1309" w:type="pct"/>
            <w:tcMar>
              <w:left w:w="28" w:type="dxa"/>
              <w:right w:w="28" w:type="dxa"/>
            </w:tcMar>
            <w:vAlign w:val="center"/>
          </w:tcPr>
          <w:p w14:paraId="1E37993C"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进口过滤器、溶液过滤器、净化气过滤器、重烃过滤器等过滤杂质</w:t>
            </w:r>
          </w:p>
        </w:tc>
        <w:tc>
          <w:tcPr>
            <w:tcW w:w="2816" w:type="pct"/>
            <w:vMerge/>
            <w:tcMar>
              <w:left w:w="28" w:type="dxa"/>
              <w:right w:w="28" w:type="dxa"/>
            </w:tcMar>
            <w:vAlign w:val="center"/>
          </w:tcPr>
          <w:p w14:paraId="55FE679D" w14:textId="77777777" w:rsidR="00B0005F" w:rsidRPr="008A2411" w:rsidRDefault="00B0005F">
            <w:pPr>
              <w:adjustRightInd w:val="0"/>
              <w:snapToGrid w:val="0"/>
              <w:jc w:val="center"/>
              <w:rPr>
                <w:rFonts w:ascii="Times New Roman"/>
                <w:color w:val="000000" w:themeColor="text1"/>
                <w:kern w:val="2"/>
                <w:sz w:val="21"/>
                <w:szCs w:val="21"/>
              </w:rPr>
            </w:pPr>
          </w:p>
        </w:tc>
        <w:tc>
          <w:tcPr>
            <w:tcW w:w="473" w:type="pct"/>
            <w:vMerge/>
            <w:tcMar>
              <w:left w:w="28" w:type="dxa"/>
              <w:right w:w="28" w:type="dxa"/>
            </w:tcMar>
            <w:vAlign w:val="center"/>
          </w:tcPr>
          <w:p w14:paraId="1BD9E38E" w14:textId="77777777" w:rsidR="00B0005F" w:rsidRPr="008A2411" w:rsidRDefault="00B0005F">
            <w:pPr>
              <w:adjustRightInd w:val="0"/>
              <w:snapToGrid w:val="0"/>
              <w:jc w:val="center"/>
              <w:rPr>
                <w:rFonts w:ascii="Times New Roman"/>
                <w:color w:val="000000" w:themeColor="text1"/>
                <w:kern w:val="2"/>
                <w:sz w:val="21"/>
                <w:szCs w:val="21"/>
              </w:rPr>
            </w:pPr>
          </w:p>
        </w:tc>
      </w:tr>
      <w:tr w:rsidR="008A2411" w:rsidRPr="008A2411" w14:paraId="50117A7B" w14:textId="77777777">
        <w:trPr>
          <w:cantSplit/>
          <w:trHeight w:val="340"/>
        </w:trPr>
        <w:tc>
          <w:tcPr>
            <w:tcW w:w="210" w:type="pct"/>
            <w:vMerge/>
            <w:tcMar>
              <w:left w:w="28" w:type="dxa"/>
              <w:right w:w="28" w:type="dxa"/>
            </w:tcMar>
            <w:vAlign w:val="center"/>
          </w:tcPr>
          <w:p w14:paraId="1A64B533" w14:textId="77777777" w:rsidR="00B0005F" w:rsidRPr="008A2411" w:rsidRDefault="00B0005F">
            <w:pPr>
              <w:adjustRightInd w:val="0"/>
              <w:snapToGrid w:val="0"/>
              <w:jc w:val="center"/>
              <w:rPr>
                <w:rFonts w:ascii="Times New Roman"/>
                <w:color w:val="000000" w:themeColor="text1"/>
                <w:kern w:val="2"/>
                <w:sz w:val="21"/>
                <w:szCs w:val="21"/>
              </w:rPr>
            </w:pPr>
          </w:p>
        </w:tc>
        <w:tc>
          <w:tcPr>
            <w:tcW w:w="192" w:type="pct"/>
            <w:vMerge/>
            <w:tcMar>
              <w:left w:w="28" w:type="dxa"/>
              <w:right w:w="28" w:type="dxa"/>
            </w:tcMar>
            <w:vAlign w:val="center"/>
          </w:tcPr>
          <w:p w14:paraId="2488370D" w14:textId="77777777" w:rsidR="00B0005F" w:rsidRPr="008A2411" w:rsidRDefault="00B0005F">
            <w:pPr>
              <w:adjustRightInd w:val="0"/>
              <w:snapToGrid w:val="0"/>
              <w:jc w:val="center"/>
              <w:rPr>
                <w:rFonts w:ascii="Times New Roman"/>
                <w:color w:val="000000" w:themeColor="text1"/>
                <w:kern w:val="2"/>
                <w:sz w:val="21"/>
                <w:szCs w:val="21"/>
              </w:rPr>
            </w:pPr>
          </w:p>
        </w:tc>
        <w:tc>
          <w:tcPr>
            <w:tcW w:w="1309" w:type="pct"/>
            <w:tcMar>
              <w:left w:w="28" w:type="dxa"/>
              <w:right w:w="28" w:type="dxa"/>
            </w:tcMar>
            <w:vAlign w:val="center"/>
          </w:tcPr>
          <w:p w14:paraId="18B4B92E"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sz w:val="21"/>
                <w:szCs w:val="21"/>
              </w:rPr>
              <w:t>化验室</w:t>
            </w:r>
            <w:r w:rsidRPr="008A2411">
              <w:rPr>
                <w:rFonts w:ascii="Times New Roman" w:hint="eastAsia"/>
                <w:color w:val="000000" w:themeColor="text1"/>
                <w:sz w:val="21"/>
                <w:szCs w:val="21"/>
              </w:rPr>
              <w:t>废液</w:t>
            </w:r>
          </w:p>
        </w:tc>
        <w:tc>
          <w:tcPr>
            <w:tcW w:w="2816" w:type="pct"/>
            <w:vMerge/>
            <w:tcMar>
              <w:left w:w="28" w:type="dxa"/>
              <w:right w:w="28" w:type="dxa"/>
            </w:tcMar>
            <w:vAlign w:val="center"/>
          </w:tcPr>
          <w:p w14:paraId="6830C9D0" w14:textId="77777777" w:rsidR="00B0005F" w:rsidRPr="008A2411" w:rsidRDefault="00B0005F">
            <w:pPr>
              <w:adjustRightInd w:val="0"/>
              <w:snapToGrid w:val="0"/>
              <w:jc w:val="center"/>
              <w:rPr>
                <w:rFonts w:ascii="Times New Roman"/>
                <w:color w:val="000000" w:themeColor="text1"/>
                <w:kern w:val="2"/>
                <w:sz w:val="21"/>
                <w:szCs w:val="21"/>
              </w:rPr>
            </w:pPr>
          </w:p>
        </w:tc>
        <w:tc>
          <w:tcPr>
            <w:tcW w:w="473" w:type="pct"/>
            <w:vMerge/>
            <w:tcMar>
              <w:left w:w="28" w:type="dxa"/>
              <w:right w:w="28" w:type="dxa"/>
            </w:tcMar>
            <w:vAlign w:val="center"/>
          </w:tcPr>
          <w:p w14:paraId="32BB21EE" w14:textId="77777777" w:rsidR="00B0005F" w:rsidRPr="008A2411" w:rsidRDefault="00B0005F">
            <w:pPr>
              <w:adjustRightInd w:val="0"/>
              <w:snapToGrid w:val="0"/>
              <w:jc w:val="center"/>
              <w:rPr>
                <w:rFonts w:ascii="Times New Roman"/>
                <w:color w:val="000000" w:themeColor="text1"/>
                <w:kern w:val="2"/>
                <w:sz w:val="21"/>
                <w:szCs w:val="21"/>
              </w:rPr>
            </w:pPr>
          </w:p>
        </w:tc>
      </w:tr>
      <w:tr w:rsidR="008A2411" w:rsidRPr="008A2411" w14:paraId="1F3413B9" w14:textId="77777777">
        <w:trPr>
          <w:cantSplit/>
          <w:trHeight w:val="340"/>
        </w:trPr>
        <w:tc>
          <w:tcPr>
            <w:tcW w:w="210" w:type="pct"/>
            <w:vMerge/>
            <w:tcMar>
              <w:left w:w="28" w:type="dxa"/>
              <w:right w:w="28" w:type="dxa"/>
            </w:tcMar>
            <w:vAlign w:val="center"/>
          </w:tcPr>
          <w:p w14:paraId="4994A46A" w14:textId="77777777" w:rsidR="00B0005F" w:rsidRPr="008A2411" w:rsidRDefault="00B0005F">
            <w:pPr>
              <w:adjustRightInd w:val="0"/>
              <w:snapToGrid w:val="0"/>
              <w:jc w:val="center"/>
              <w:rPr>
                <w:rFonts w:ascii="Times New Roman"/>
                <w:color w:val="000000" w:themeColor="text1"/>
                <w:kern w:val="2"/>
                <w:sz w:val="21"/>
                <w:szCs w:val="21"/>
              </w:rPr>
            </w:pPr>
          </w:p>
        </w:tc>
        <w:tc>
          <w:tcPr>
            <w:tcW w:w="192" w:type="pct"/>
            <w:vMerge/>
            <w:tcMar>
              <w:left w:w="28" w:type="dxa"/>
              <w:right w:w="28" w:type="dxa"/>
            </w:tcMar>
            <w:vAlign w:val="center"/>
          </w:tcPr>
          <w:p w14:paraId="66744747" w14:textId="77777777" w:rsidR="00B0005F" w:rsidRPr="008A2411" w:rsidRDefault="00B0005F">
            <w:pPr>
              <w:adjustRightInd w:val="0"/>
              <w:snapToGrid w:val="0"/>
              <w:jc w:val="center"/>
              <w:rPr>
                <w:rFonts w:ascii="Times New Roman"/>
                <w:color w:val="000000" w:themeColor="text1"/>
                <w:kern w:val="2"/>
                <w:sz w:val="21"/>
                <w:szCs w:val="21"/>
              </w:rPr>
            </w:pPr>
          </w:p>
        </w:tc>
        <w:tc>
          <w:tcPr>
            <w:tcW w:w="1309" w:type="pct"/>
            <w:tcMar>
              <w:left w:w="28" w:type="dxa"/>
              <w:right w:w="28" w:type="dxa"/>
            </w:tcMar>
            <w:vAlign w:val="center"/>
          </w:tcPr>
          <w:p w14:paraId="15DF67A8"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hint="eastAsia"/>
                <w:color w:val="000000" w:themeColor="text1"/>
                <w:sz w:val="21"/>
                <w:szCs w:val="21"/>
              </w:rPr>
              <w:t>导热油炉废导热油</w:t>
            </w:r>
          </w:p>
        </w:tc>
        <w:tc>
          <w:tcPr>
            <w:tcW w:w="2816" w:type="pct"/>
            <w:tcMar>
              <w:left w:w="28" w:type="dxa"/>
              <w:right w:w="28" w:type="dxa"/>
            </w:tcMar>
            <w:vAlign w:val="center"/>
          </w:tcPr>
          <w:p w14:paraId="36984AFC" w14:textId="301411BA" w:rsidR="00B0005F" w:rsidRPr="008A2411" w:rsidRDefault="004B4CD9">
            <w:pPr>
              <w:adjustRightInd w:val="0"/>
              <w:snapToGrid w:val="0"/>
              <w:jc w:val="center"/>
              <w:rPr>
                <w:rFonts w:ascii="Times New Roman"/>
                <w:color w:val="000000" w:themeColor="text1"/>
                <w:kern w:val="2"/>
                <w:sz w:val="21"/>
                <w:szCs w:val="21"/>
              </w:rPr>
            </w:pPr>
            <w:r w:rsidRPr="008A2411">
              <w:rPr>
                <w:rFonts w:ascii="Times New Roman" w:hint="eastAsia"/>
                <w:color w:val="000000" w:themeColor="text1"/>
                <w:sz w:val="21"/>
                <w:szCs w:val="21"/>
              </w:rPr>
              <w:t>交由资质单位处置</w:t>
            </w:r>
          </w:p>
        </w:tc>
        <w:tc>
          <w:tcPr>
            <w:tcW w:w="473" w:type="pct"/>
            <w:tcMar>
              <w:left w:w="28" w:type="dxa"/>
              <w:right w:w="28" w:type="dxa"/>
            </w:tcMar>
            <w:vAlign w:val="center"/>
          </w:tcPr>
          <w:p w14:paraId="7F37EAB5"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hint="eastAsia"/>
                <w:color w:val="000000" w:themeColor="text1"/>
                <w:kern w:val="2"/>
                <w:sz w:val="21"/>
                <w:szCs w:val="21"/>
              </w:rPr>
              <w:t>12</w:t>
            </w:r>
          </w:p>
        </w:tc>
      </w:tr>
      <w:tr w:rsidR="008A2411" w:rsidRPr="008A2411" w14:paraId="62CA0EBB" w14:textId="77777777">
        <w:trPr>
          <w:cantSplit/>
          <w:trHeight w:val="340"/>
        </w:trPr>
        <w:tc>
          <w:tcPr>
            <w:tcW w:w="210" w:type="pct"/>
            <w:tcMar>
              <w:left w:w="28" w:type="dxa"/>
              <w:right w:w="28" w:type="dxa"/>
            </w:tcMar>
            <w:vAlign w:val="center"/>
          </w:tcPr>
          <w:p w14:paraId="2BE55E53"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hint="eastAsia"/>
                <w:color w:val="000000" w:themeColor="text1"/>
                <w:kern w:val="2"/>
                <w:sz w:val="21"/>
                <w:szCs w:val="21"/>
              </w:rPr>
              <w:t>噪声</w:t>
            </w:r>
          </w:p>
        </w:tc>
        <w:tc>
          <w:tcPr>
            <w:tcW w:w="192" w:type="pct"/>
            <w:tcMar>
              <w:left w:w="28" w:type="dxa"/>
              <w:right w:w="28" w:type="dxa"/>
            </w:tcMar>
            <w:vAlign w:val="center"/>
          </w:tcPr>
          <w:p w14:paraId="19605FE2"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运营期</w:t>
            </w:r>
          </w:p>
        </w:tc>
        <w:tc>
          <w:tcPr>
            <w:tcW w:w="1309" w:type="pct"/>
            <w:tcMar>
              <w:left w:w="28" w:type="dxa"/>
              <w:right w:w="28" w:type="dxa"/>
            </w:tcMar>
            <w:vAlign w:val="center"/>
          </w:tcPr>
          <w:p w14:paraId="214B30C1"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hint="eastAsia"/>
                <w:color w:val="000000" w:themeColor="text1"/>
                <w:sz w:val="21"/>
                <w:szCs w:val="21"/>
              </w:rPr>
              <w:t>工艺装置区</w:t>
            </w:r>
          </w:p>
        </w:tc>
        <w:tc>
          <w:tcPr>
            <w:tcW w:w="2816" w:type="pct"/>
            <w:tcMar>
              <w:left w:w="28" w:type="dxa"/>
              <w:right w:w="28" w:type="dxa"/>
            </w:tcMar>
            <w:vAlign w:val="center"/>
          </w:tcPr>
          <w:p w14:paraId="5C9A12CF"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选用低噪设备，设置减振，优化工艺、合理布局等。</w:t>
            </w:r>
          </w:p>
        </w:tc>
        <w:tc>
          <w:tcPr>
            <w:tcW w:w="473" w:type="pct"/>
            <w:tcMar>
              <w:left w:w="28" w:type="dxa"/>
              <w:right w:w="28" w:type="dxa"/>
            </w:tcMar>
            <w:vAlign w:val="center"/>
          </w:tcPr>
          <w:p w14:paraId="1DD07FF8"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hint="eastAsia"/>
                <w:color w:val="000000" w:themeColor="text1"/>
                <w:kern w:val="2"/>
                <w:sz w:val="21"/>
                <w:szCs w:val="21"/>
              </w:rPr>
              <w:t>35</w:t>
            </w:r>
          </w:p>
        </w:tc>
      </w:tr>
      <w:tr w:rsidR="008A2411" w:rsidRPr="008A2411" w14:paraId="7AC8342C" w14:textId="77777777">
        <w:trPr>
          <w:cantSplit/>
          <w:trHeight w:val="340"/>
        </w:trPr>
        <w:tc>
          <w:tcPr>
            <w:tcW w:w="210" w:type="pct"/>
            <w:vMerge w:val="restart"/>
            <w:tcMar>
              <w:left w:w="28" w:type="dxa"/>
              <w:right w:w="28" w:type="dxa"/>
            </w:tcMar>
            <w:vAlign w:val="center"/>
          </w:tcPr>
          <w:p w14:paraId="7CA3FA44"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地下水及土壤</w:t>
            </w:r>
          </w:p>
        </w:tc>
        <w:tc>
          <w:tcPr>
            <w:tcW w:w="192" w:type="pct"/>
            <w:vMerge w:val="restart"/>
            <w:tcMar>
              <w:left w:w="28" w:type="dxa"/>
              <w:right w:w="28" w:type="dxa"/>
            </w:tcMar>
            <w:vAlign w:val="center"/>
          </w:tcPr>
          <w:p w14:paraId="39C4F6D8"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运营期</w:t>
            </w:r>
          </w:p>
        </w:tc>
        <w:tc>
          <w:tcPr>
            <w:tcW w:w="1309" w:type="pct"/>
            <w:vMerge w:val="restart"/>
            <w:tcMar>
              <w:left w:w="28" w:type="dxa"/>
              <w:right w:w="28" w:type="dxa"/>
            </w:tcMar>
            <w:vAlign w:val="center"/>
          </w:tcPr>
          <w:p w14:paraId="543E84EC"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kern w:val="2"/>
                <w:sz w:val="21"/>
                <w:szCs w:val="21"/>
              </w:rPr>
              <w:t>地下水及土壤污染防治</w:t>
            </w:r>
            <w:r w:rsidRPr="008A2411">
              <w:rPr>
                <w:rFonts w:ascii="Times New Roman" w:hint="eastAsia"/>
                <w:color w:val="000000" w:themeColor="text1"/>
                <w:kern w:val="2"/>
                <w:sz w:val="21"/>
                <w:szCs w:val="21"/>
              </w:rPr>
              <w:t>措施</w:t>
            </w:r>
          </w:p>
        </w:tc>
        <w:tc>
          <w:tcPr>
            <w:tcW w:w="2816" w:type="pct"/>
            <w:tcMar>
              <w:left w:w="28" w:type="dxa"/>
              <w:right w:w="28" w:type="dxa"/>
            </w:tcMar>
            <w:vAlign w:val="center"/>
          </w:tcPr>
          <w:p w14:paraId="7D7E445F"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布设</w:t>
            </w:r>
            <w:r w:rsidRPr="008A2411">
              <w:rPr>
                <w:rFonts w:ascii="Times New Roman"/>
                <w:color w:val="000000" w:themeColor="text1"/>
                <w:sz w:val="21"/>
                <w:szCs w:val="21"/>
              </w:rPr>
              <w:t>4</w:t>
            </w:r>
            <w:r w:rsidRPr="008A2411">
              <w:rPr>
                <w:rFonts w:ascii="Times New Roman"/>
                <w:color w:val="000000" w:themeColor="text1"/>
                <w:sz w:val="21"/>
                <w:szCs w:val="21"/>
              </w:rPr>
              <w:t>口监测井</w:t>
            </w:r>
            <w:r w:rsidRPr="008A2411">
              <w:rPr>
                <w:rFonts w:ascii="Times New Roman"/>
                <w:color w:val="000000" w:themeColor="text1"/>
                <w:sz w:val="21"/>
                <w:szCs w:val="21"/>
              </w:rPr>
              <w:t xml:space="preserve"> </w:t>
            </w:r>
          </w:p>
        </w:tc>
        <w:tc>
          <w:tcPr>
            <w:tcW w:w="473" w:type="pct"/>
            <w:tcMar>
              <w:left w:w="28" w:type="dxa"/>
              <w:right w:w="28" w:type="dxa"/>
            </w:tcMar>
            <w:vAlign w:val="center"/>
          </w:tcPr>
          <w:p w14:paraId="7011ED44"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sz w:val="21"/>
                <w:szCs w:val="21"/>
              </w:rPr>
              <w:t>9</w:t>
            </w:r>
          </w:p>
        </w:tc>
      </w:tr>
      <w:tr w:rsidR="008A2411" w:rsidRPr="008A2411" w14:paraId="0FC87D97" w14:textId="77777777">
        <w:trPr>
          <w:cantSplit/>
          <w:trHeight w:val="340"/>
        </w:trPr>
        <w:tc>
          <w:tcPr>
            <w:tcW w:w="210" w:type="pct"/>
            <w:vMerge/>
            <w:tcMar>
              <w:left w:w="28" w:type="dxa"/>
              <w:right w:w="28" w:type="dxa"/>
            </w:tcMar>
            <w:vAlign w:val="center"/>
          </w:tcPr>
          <w:p w14:paraId="6D868088" w14:textId="77777777" w:rsidR="00B0005F" w:rsidRPr="008A2411" w:rsidRDefault="00B0005F">
            <w:pPr>
              <w:adjustRightInd w:val="0"/>
              <w:snapToGrid w:val="0"/>
              <w:jc w:val="center"/>
              <w:rPr>
                <w:rFonts w:ascii="Times New Roman"/>
                <w:color w:val="000000" w:themeColor="text1"/>
                <w:kern w:val="2"/>
                <w:sz w:val="21"/>
                <w:szCs w:val="21"/>
              </w:rPr>
            </w:pPr>
          </w:p>
        </w:tc>
        <w:tc>
          <w:tcPr>
            <w:tcW w:w="192" w:type="pct"/>
            <w:vMerge/>
            <w:tcMar>
              <w:left w:w="28" w:type="dxa"/>
              <w:right w:w="28" w:type="dxa"/>
            </w:tcMar>
            <w:vAlign w:val="center"/>
          </w:tcPr>
          <w:p w14:paraId="5BFDC7AF" w14:textId="77777777" w:rsidR="00B0005F" w:rsidRPr="008A2411" w:rsidRDefault="00B0005F">
            <w:pPr>
              <w:adjustRightInd w:val="0"/>
              <w:snapToGrid w:val="0"/>
              <w:jc w:val="center"/>
              <w:rPr>
                <w:rFonts w:ascii="Times New Roman"/>
                <w:color w:val="000000" w:themeColor="text1"/>
                <w:kern w:val="2"/>
                <w:sz w:val="21"/>
                <w:szCs w:val="21"/>
              </w:rPr>
            </w:pPr>
          </w:p>
        </w:tc>
        <w:tc>
          <w:tcPr>
            <w:tcW w:w="1309" w:type="pct"/>
            <w:vMerge/>
            <w:tcMar>
              <w:left w:w="28" w:type="dxa"/>
              <w:right w:w="28" w:type="dxa"/>
            </w:tcMar>
            <w:vAlign w:val="center"/>
          </w:tcPr>
          <w:p w14:paraId="31E25C2B" w14:textId="77777777" w:rsidR="00B0005F" w:rsidRPr="008A2411" w:rsidRDefault="00B0005F">
            <w:pPr>
              <w:adjustRightInd w:val="0"/>
              <w:snapToGrid w:val="0"/>
              <w:jc w:val="center"/>
              <w:rPr>
                <w:rFonts w:ascii="Times New Roman"/>
                <w:color w:val="000000" w:themeColor="text1"/>
                <w:sz w:val="21"/>
                <w:szCs w:val="21"/>
              </w:rPr>
            </w:pPr>
          </w:p>
        </w:tc>
        <w:tc>
          <w:tcPr>
            <w:tcW w:w="2816" w:type="pct"/>
            <w:tcMar>
              <w:left w:w="28" w:type="dxa"/>
              <w:right w:w="28" w:type="dxa"/>
            </w:tcMar>
            <w:vAlign w:val="center"/>
          </w:tcPr>
          <w:p w14:paraId="53F69E0F"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水位、水质动态监测预留费（按</w:t>
            </w:r>
            <w:r w:rsidRPr="008A2411">
              <w:rPr>
                <w:rFonts w:ascii="Times New Roman"/>
                <w:color w:val="000000" w:themeColor="text1"/>
                <w:sz w:val="21"/>
                <w:szCs w:val="21"/>
              </w:rPr>
              <w:t>20a</w:t>
            </w:r>
            <w:r w:rsidRPr="008A2411">
              <w:rPr>
                <w:rFonts w:ascii="Times New Roman"/>
                <w:color w:val="000000" w:themeColor="text1"/>
                <w:sz w:val="21"/>
                <w:szCs w:val="21"/>
              </w:rPr>
              <w:t>计）</w:t>
            </w:r>
          </w:p>
        </w:tc>
        <w:tc>
          <w:tcPr>
            <w:tcW w:w="473" w:type="pct"/>
            <w:tcMar>
              <w:left w:w="28" w:type="dxa"/>
              <w:right w:w="28" w:type="dxa"/>
            </w:tcMar>
            <w:vAlign w:val="center"/>
          </w:tcPr>
          <w:p w14:paraId="371A8762"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hint="eastAsia"/>
                <w:color w:val="000000" w:themeColor="text1"/>
                <w:sz w:val="21"/>
                <w:szCs w:val="21"/>
              </w:rPr>
              <w:t>8</w:t>
            </w:r>
            <w:r w:rsidRPr="008A2411">
              <w:rPr>
                <w:rFonts w:ascii="Times New Roman"/>
                <w:color w:val="000000" w:themeColor="text1"/>
                <w:sz w:val="21"/>
                <w:szCs w:val="21"/>
              </w:rPr>
              <w:t>0</w:t>
            </w:r>
          </w:p>
        </w:tc>
      </w:tr>
      <w:tr w:rsidR="008A2411" w:rsidRPr="008A2411" w14:paraId="3601682C" w14:textId="77777777">
        <w:trPr>
          <w:cantSplit/>
          <w:trHeight w:val="340"/>
        </w:trPr>
        <w:tc>
          <w:tcPr>
            <w:tcW w:w="210" w:type="pct"/>
            <w:vMerge/>
            <w:tcMar>
              <w:left w:w="28" w:type="dxa"/>
              <w:right w:w="28" w:type="dxa"/>
            </w:tcMar>
            <w:vAlign w:val="center"/>
          </w:tcPr>
          <w:p w14:paraId="1986CC2B" w14:textId="77777777" w:rsidR="00B0005F" w:rsidRPr="008A2411" w:rsidRDefault="00B0005F">
            <w:pPr>
              <w:adjustRightInd w:val="0"/>
              <w:snapToGrid w:val="0"/>
              <w:jc w:val="center"/>
              <w:rPr>
                <w:rFonts w:ascii="Times New Roman"/>
                <w:color w:val="000000" w:themeColor="text1"/>
                <w:kern w:val="2"/>
                <w:sz w:val="21"/>
                <w:szCs w:val="21"/>
              </w:rPr>
            </w:pPr>
          </w:p>
        </w:tc>
        <w:tc>
          <w:tcPr>
            <w:tcW w:w="192" w:type="pct"/>
            <w:vMerge/>
            <w:tcMar>
              <w:left w:w="28" w:type="dxa"/>
              <w:right w:w="28" w:type="dxa"/>
            </w:tcMar>
            <w:vAlign w:val="center"/>
          </w:tcPr>
          <w:p w14:paraId="63535DF1" w14:textId="77777777" w:rsidR="00B0005F" w:rsidRPr="008A2411" w:rsidRDefault="00B0005F">
            <w:pPr>
              <w:adjustRightInd w:val="0"/>
              <w:snapToGrid w:val="0"/>
              <w:jc w:val="center"/>
              <w:rPr>
                <w:rFonts w:ascii="Times New Roman"/>
                <w:color w:val="000000" w:themeColor="text1"/>
                <w:kern w:val="2"/>
                <w:sz w:val="21"/>
                <w:szCs w:val="21"/>
              </w:rPr>
            </w:pPr>
          </w:p>
        </w:tc>
        <w:tc>
          <w:tcPr>
            <w:tcW w:w="1309" w:type="pct"/>
            <w:vMerge/>
            <w:tcMar>
              <w:left w:w="28" w:type="dxa"/>
              <w:right w:w="28" w:type="dxa"/>
            </w:tcMar>
            <w:vAlign w:val="center"/>
          </w:tcPr>
          <w:p w14:paraId="1047DBF7" w14:textId="77777777" w:rsidR="00B0005F" w:rsidRPr="008A2411" w:rsidRDefault="00B0005F">
            <w:pPr>
              <w:adjustRightInd w:val="0"/>
              <w:snapToGrid w:val="0"/>
              <w:jc w:val="center"/>
              <w:rPr>
                <w:rFonts w:ascii="Times New Roman"/>
                <w:color w:val="000000" w:themeColor="text1"/>
                <w:sz w:val="21"/>
                <w:szCs w:val="21"/>
              </w:rPr>
            </w:pPr>
          </w:p>
        </w:tc>
        <w:tc>
          <w:tcPr>
            <w:tcW w:w="2816" w:type="pct"/>
            <w:tcMar>
              <w:left w:w="28" w:type="dxa"/>
              <w:right w:w="28" w:type="dxa"/>
            </w:tcMar>
            <w:vAlign w:val="center"/>
          </w:tcPr>
          <w:p w14:paraId="2FCE5E69"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预留评价范围内分散饮用水源替代费用</w:t>
            </w:r>
          </w:p>
        </w:tc>
        <w:tc>
          <w:tcPr>
            <w:tcW w:w="473" w:type="pct"/>
            <w:tcMar>
              <w:left w:w="28" w:type="dxa"/>
              <w:right w:w="28" w:type="dxa"/>
            </w:tcMar>
            <w:vAlign w:val="center"/>
          </w:tcPr>
          <w:p w14:paraId="1B08A728"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hint="eastAsia"/>
                <w:color w:val="000000" w:themeColor="text1"/>
                <w:sz w:val="21"/>
                <w:szCs w:val="21"/>
              </w:rPr>
              <w:t>3</w:t>
            </w:r>
            <w:r w:rsidRPr="008A2411">
              <w:rPr>
                <w:rFonts w:ascii="Times New Roman"/>
                <w:color w:val="000000" w:themeColor="text1"/>
                <w:sz w:val="21"/>
                <w:szCs w:val="21"/>
              </w:rPr>
              <w:t>0</w:t>
            </w:r>
          </w:p>
        </w:tc>
      </w:tr>
      <w:tr w:rsidR="008A2411" w:rsidRPr="008A2411" w14:paraId="213D34F0" w14:textId="77777777">
        <w:trPr>
          <w:cantSplit/>
          <w:trHeight w:val="340"/>
        </w:trPr>
        <w:tc>
          <w:tcPr>
            <w:tcW w:w="210" w:type="pct"/>
            <w:vMerge/>
            <w:tcMar>
              <w:left w:w="28" w:type="dxa"/>
              <w:right w:w="28" w:type="dxa"/>
            </w:tcMar>
            <w:vAlign w:val="center"/>
          </w:tcPr>
          <w:p w14:paraId="6F063420" w14:textId="77777777" w:rsidR="00B0005F" w:rsidRPr="008A2411" w:rsidRDefault="00B0005F">
            <w:pPr>
              <w:adjustRightInd w:val="0"/>
              <w:snapToGrid w:val="0"/>
              <w:jc w:val="center"/>
              <w:rPr>
                <w:rFonts w:ascii="Times New Roman"/>
                <w:color w:val="000000" w:themeColor="text1"/>
                <w:kern w:val="2"/>
                <w:sz w:val="21"/>
                <w:szCs w:val="21"/>
              </w:rPr>
            </w:pPr>
          </w:p>
        </w:tc>
        <w:tc>
          <w:tcPr>
            <w:tcW w:w="192" w:type="pct"/>
            <w:vMerge/>
            <w:tcMar>
              <w:left w:w="28" w:type="dxa"/>
              <w:right w:w="28" w:type="dxa"/>
            </w:tcMar>
            <w:vAlign w:val="center"/>
          </w:tcPr>
          <w:p w14:paraId="5C0AAF27" w14:textId="77777777" w:rsidR="00B0005F" w:rsidRPr="008A2411" w:rsidRDefault="00B0005F">
            <w:pPr>
              <w:adjustRightInd w:val="0"/>
              <w:snapToGrid w:val="0"/>
              <w:jc w:val="center"/>
              <w:rPr>
                <w:rFonts w:ascii="Times New Roman"/>
                <w:color w:val="000000" w:themeColor="text1"/>
                <w:kern w:val="2"/>
                <w:sz w:val="21"/>
                <w:szCs w:val="21"/>
              </w:rPr>
            </w:pPr>
          </w:p>
        </w:tc>
        <w:tc>
          <w:tcPr>
            <w:tcW w:w="1309" w:type="pct"/>
            <w:vMerge/>
            <w:tcMar>
              <w:left w:w="28" w:type="dxa"/>
              <w:right w:w="28" w:type="dxa"/>
            </w:tcMar>
            <w:vAlign w:val="center"/>
          </w:tcPr>
          <w:p w14:paraId="20EE4B01" w14:textId="77777777" w:rsidR="00B0005F" w:rsidRPr="008A2411" w:rsidRDefault="00B0005F">
            <w:pPr>
              <w:adjustRightInd w:val="0"/>
              <w:snapToGrid w:val="0"/>
              <w:jc w:val="center"/>
              <w:rPr>
                <w:rFonts w:ascii="Times New Roman"/>
                <w:color w:val="000000" w:themeColor="text1"/>
                <w:sz w:val="21"/>
                <w:szCs w:val="21"/>
              </w:rPr>
            </w:pPr>
          </w:p>
        </w:tc>
        <w:tc>
          <w:tcPr>
            <w:tcW w:w="2816" w:type="pct"/>
            <w:tcMar>
              <w:left w:w="28" w:type="dxa"/>
              <w:right w:w="28" w:type="dxa"/>
            </w:tcMar>
            <w:vAlign w:val="center"/>
          </w:tcPr>
          <w:p w14:paraId="70C0250D"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参照本报告提出的</w:t>
            </w:r>
            <w:r w:rsidRPr="008A2411">
              <w:rPr>
                <w:rFonts w:ascii="Times New Roman" w:hint="eastAsia"/>
                <w:color w:val="000000" w:themeColor="text1"/>
                <w:sz w:val="21"/>
                <w:szCs w:val="21"/>
              </w:rPr>
              <w:t>“</w:t>
            </w:r>
            <w:r w:rsidRPr="008A2411">
              <w:rPr>
                <w:rFonts w:ascii="Times New Roman"/>
                <w:color w:val="000000" w:themeColor="text1"/>
                <w:sz w:val="21"/>
                <w:szCs w:val="21"/>
              </w:rPr>
              <w:t>地下水防渗措施</w:t>
            </w:r>
            <w:r w:rsidRPr="008A2411">
              <w:rPr>
                <w:rFonts w:ascii="Times New Roman" w:hint="eastAsia"/>
                <w:color w:val="000000" w:themeColor="text1"/>
                <w:sz w:val="21"/>
                <w:szCs w:val="21"/>
              </w:rPr>
              <w:t>”</w:t>
            </w:r>
            <w:r w:rsidRPr="008A2411">
              <w:rPr>
                <w:rFonts w:ascii="Times New Roman"/>
                <w:color w:val="000000" w:themeColor="text1"/>
                <w:sz w:val="21"/>
                <w:szCs w:val="21"/>
              </w:rPr>
              <w:t>要求，根据场地特性和项目特征，制定分区防渗</w:t>
            </w:r>
            <w:r w:rsidRPr="008A2411">
              <w:rPr>
                <w:rFonts w:ascii="Times New Roman" w:hint="eastAsia"/>
                <w:color w:val="000000" w:themeColor="text1"/>
                <w:sz w:val="21"/>
                <w:szCs w:val="21"/>
              </w:rPr>
              <w:t>措施</w:t>
            </w:r>
          </w:p>
        </w:tc>
        <w:tc>
          <w:tcPr>
            <w:tcW w:w="473" w:type="pct"/>
            <w:tcMar>
              <w:left w:w="28" w:type="dxa"/>
              <w:right w:w="28" w:type="dxa"/>
            </w:tcMar>
            <w:vAlign w:val="center"/>
          </w:tcPr>
          <w:p w14:paraId="165A4CB3"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hint="eastAsia"/>
                <w:color w:val="000000" w:themeColor="text1"/>
                <w:sz w:val="21"/>
                <w:szCs w:val="21"/>
              </w:rPr>
              <w:t>105</w:t>
            </w:r>
          </w:p>
        </w:tc>
      </w:tr>
      <w:tr w:rsidR="008A2411" w:rsidRPr="008A2411" w14:paraId="15C9DCD8" w14:textId="77777777">
        <w:trPr>
          <w:cantSplit/>
          <w:trHeight w:val="340"/>
        </w:trPr>
        <w:tc>
          <w:tcPr>
            <w:tcW w:w="210" w:type="pct"/>
            <w:vMerge/>
            <w:tcMar>
              <w:left w:w="28" w:type="dxa"/>
              <w:right w:w="28" w:type="dxa"/>
            </w:tcMar>
            <w:vAlign w:val="center"/>
          </w:tcPr>
          <w:p w14:paraId="4424A0B9" w14:textId="77777777" w:rsidR="00B0005F" w:rsidRPr="008A2411" w:rsidRDefault="00B0005F">
            <w:pPr>
              <w:adjustRightInd w:val="0"/>
              <w:snapToGrid w:val="0"/>
              <w:jc w:val="center"/>
              <w:rPr>
                <w:rFonts w:ascii="Times New Roman"/>
                <w:color w:val="000000" w:themeColor="text1"/>
                <w:kern w:val="2"/>
                <w:sz w:val="21"/>
                <w:szCs w:val="21"/>
              </w:rPr>
            </w:pPr>
          </w:p>
        </w:tc>
        <w:tc>
          <w:tcPr>
            <w:tcW w:w="192" w:type="pct"/>
            <w:vMerge/>
            <w:tcMar>
              <w:left w:w="28" w:type="dxa"/>
              <w:right w:w="28" w:type="dxa"/>
            </w:tcMar>
            <w:vAlign w:val="center"/>
          </w:tcPr>
          <w:p w14:paraId="4C36A243" w14:textId="77777777" w:rsidR="00B0005F" w:rsidRPr="008A2411" w:rsidRDefault="00B0005F">
            <w:pPr>
              <w:adjustRightInd w:val="0"/>
              <w:snapToGrid w:val="0"/>
              <w:jc w:val="center"/>
              <w:rPr>
                <w:rFonts w:ascii="Times New Roman"/>
                <w:color w:val="000000" w:themeColor="text1"/>
                <w:kern w:val="2"/>
                <w:sz w:val="21"/>
                <w:szCs w:val="21"/>
              </w:rPr>
            </w:pPr>
          </w:p>
        </w:tc>
        <w:tc>
          <w:tcPr>
            <w:tcW w:w="1309" w:type="pct"/>
            <w:vMerge/>
            <w:tcMar>
              <w:left w:w="28" w:type="dxa"/>
              <w:right w:w="28" w:type="dxa"/>
            </w:tcMar>
            <w:vAlign w:val="center"/>
          </w:tcPr>
          <w:p w14:paraId="66FBC200" w14:textId="77777777" w:rsidR="00B0005F" w:rsidRPr="008A2411" w:rsidRDefault="00B0005F">
            <w:pPr>
              <w:adjustRightInd w:val="0"/>
              <w:snapToGrid w:val="0"/>
              <w:jc w:val="center"/>
              <w:rPr>
                <w:rFonts w:ascii="Times New Roman"/>
                <w:color w:val="000000" w:themeColor="text1"/>
                <w:sz w:val="21"/>
                <w:szCs w:val="21"/>
              </w:rPr>
            </w:pPr>
          </w:p>
        </w:tc>
        <w:tc>
          <w:tcPr>
            <w:tcW w:w="2816" w:type="pct"/>
            <w:tcMar>
              <w:left w:w="28" w:type="dxa"/>
              <w:right w:w="28" w:type="dxa"/>
            </w:tcMar>
            <w:vAlign w:val="center"/>
          </w:tcPr>
          <w:p w14:paraId="634E55C9"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开展土壤跟踪监测</w:t>
            </w:r>
          </w:p>
        </w:tc>
        <w:tc>
          <w:tcPr>
            <w:tcW w:w="473" w:type="pct"/>
            <w:tcMar>
              <w:left w:w="28" w:type="dxa"/>
              <w:right w:w="28" w:type="dxa"/>
            </w:tcMar>
            <w:vAlign w:val="center"/>
          </w:tcPr>
          <w:p w14:paraId="4F3DED6A"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hint="eastAsia"/>
                <w:color w:val="000000" w:themeColor="text1"/>
                <w:sz w:val="21"/>
                <w:szCs w:val="21"/>
              </w:rPr>
              <w:t>43</w:t>
            </w:r>
          </w:p>
        </w:tc>
      </w:tr>
      <w:tr w:rsidR="008A2411" w:rsidRPr="008A2411" w14:paraId="12CBF77B" w14:textId="77777777">
        <w:trPr>
          <w:cantSplit/>
          <w:trHeight w:val="340"/>
        </w:trPr>
        <w:tc>
          <w:tcPr>
            <w:tcW w:w="210" w:type="pct"/>
            <w:vMerge w:val="restart"/>
            <w:tcMar>
              <w:left w:w="28" w:type="dxa"/>
              <w:right w:w="28" w:type="dxa"/>
            </w:tcMar>
            <w:vAlign w:val="center"/>
          </w:tcPr>
          <w:p w14:paraId="7C29FC11"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hint="eastAsia"/>
                <w:color w:val="000000" w:themeColor="text1"/>
                <w:kern w:val="2"/>
                <w:sz w:val="21"/>
                <w:szCs w:val="21"/>
              </w:rPr>
              <w:lastRenderedPageBreak/>
              <w:t>环境风险</w:t>
            </w:r>
          </w:p>
        </w:tc>
        <w:tc>
          <w:tcPr>
            <w:tcW w:w="192" w:type="pct"/>
            <w:vMerge w:val="restart"/>
            <w:tcMar>
              <w:left w:w="28" w:type="dxa"/>
              <w:right w:w="28" w:type="dxa"/>
            </w:tcMar>
            <w:vAlign w:val="center"/>
          </w:tcPr>
          <w:p w14:paraId="71B821D1"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运营期</w:t>
            </w:r>
          </w:p>
        </w:tc>
        <w:tc>
          <w:tcPr>
            <w:tcW w:w="1309" w:type="pct"/>
            <w:vMerge w:val="restart"/>
            <w:tcMar>
              <w:left w:w="28" w:type="dxa"/>
              <w:right w:w="28" w:type="dxa"/>
            </w:tcMar>
            <w:vAlign w:val="center"/>
          </w:tcPr>
          <w:p w14:paraId="3FF642B1"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风险防范</w:t>
            </w:r>
          </w:p>
        </w:tc>
        <w:tc>
          <w:tcPr>
            <w:tcW w:w="2816" w:type="pct"/>
            <w:tcMar>
              <w:left w:w="28" w:type="dxa"/>
              <w:right w:w="28" w:type="dxa"/>
            </w:tcMar>
            <w:vAlign w:val="center"/>
          </w:tcPr>
          <w:p w14:paraId="65694C34"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sz w:val="21"/>
                <w:szCs w:val="21"/>
              </w:rPr>
              <w:t>在线式、便携式可燃气体检测仪，紧急连锁装置、防爆电气设备、防爆自动控制系统、在线式</w:t>
            </w:r>
            <w:r w:rsidRPr="008A2411">
              <w:rPr>
                <w:rFonts w:ascii="Times New Roman"/>
                <w:color w:val="000000" w:themeColor="text1"/>
                <w:sz w:val="21"/>
                <w:szCs w:val="21"/>
              </w:rPr>
              <w:t>UPS</w:t>
            </w:r>
            <w:r w:rsidRPr="008A2411">
              <w:rPr>
                <w:rFonts w:ascii="Times New Roman"/>
                <w:color w:val="000000" w:themeColor="text1"/>
                <w:sz w:val="21"/>
                <w:szCs w:val="21"/>
              </w:rPr>
              <w:t>应急电源、应急照明、避雷及防雷设施、防静电设施、灭火器材、砂池等、风向标、警示标志、管线紧急自动截断系</w:t>
            </w:r>
            <w:r w:rsidRPr="008A2411">
              <w:rPr>
                <w:rFonts w:ascii="Times New Roman" w:hint="eastAsia"/>
                <w:color w:val="000000" w:themeColor="text1"/>
                <w:sz w:val="21"/>
                <w:szCs w:val="21"/>
              </w:rPr>
              <w:t>统</w:t>
            </w:r>
          </w:p>
        </w:tc>
        <w:tc>
          <w:tcPr>
            <w:tcW w:w="473" w:type="pct"/>
            <w:vMerge w:val="restart"/>
            <w:tcMar>
              <w:left w:w="28" w:type="dxa"/>
              <w:right w:w="28" w:type="dxa"/>
            </w:tcMar>
            <w:vAlign w:val="center"/>
          </w:tcPr>
          <w:p w14:paraId="139D40CF"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hint="eastAsia"/>
                <w:color w:val="000000" w:themeColor="text1"/>
                <w:kern w:val="2"/>
                <w:sz w:val="21"/>
                <w:szCs w:val="21"/>
              </w:rPr>
              <w:t>纳入工程投资</w:t>
            </w:r>
          </w:p>
        </w:tc>
      </w:tr>
      <w:tr w:rsidR="008A2411" w:rsidRPr="008A2411" w14:paraId="1862BE8B" w14:textId="77777777">
        <w:trPr>
          <w:cantSplit/>
          <w:trHeight w:val="340"/>
        </w:trPr>
        <w:tc>
          <w:tcPr>
            <w:tcW w:w="210" w:type="pct"/>
            <w:vMerge/>
            <w:tcMar>
              <w:left w:w="28" w:type="dxa"/>
              <w:right w:w="28" w:type="dxa"/>
            </w:tcMar>
            <w:vAlign w:val="center"/>
          </w:tcPr>
          <w:p w14:paraId="35E1D897" w14:textId="77777777" w:rsidR="00B0005F" w:rsidRPr="008A2411" w:rsidRDefault="00B0005F">
            <w:pPr>
              <w:adjustRightInd w:val="0"/>
              <w:snapToGrid w:val="0"/>
              <w:jc w:val="center"/>
              <w:rPr>
                <w:rFonts w:ascii="Times New Roman"/>
                <w:color w:val="000000" w:themeColor="text1"/>
                <w:kern w:val="2"/>
                <w:sz w:val="21"/>
                <w:szCs w:val="21"/>
              </w:rPr>
            </w:pPr>
          </w:p>
        </w:tc>
        <w:tc>
          <w:tcPr>
            <w:tcW w:w="192" w:type="pct"/>
            <w:vMerge/>
            <w:tcMar>
              <w:left w:w="28" w:type="dxa"/>
              <w:right w:w="28" w:type="dxa"/>
            </w:tcMar>
            <w:vAlign w:val="center"/>
          </w:tcPr>
          <w:p w14:paraId="343EE775" w14:textId="77777777" w:rsidR="00B0005F" w:rsidRPr="008A2411" w:rsidRDefault="00B0005F">
            <w:pPr>
              <w:adjustRightInd w:val="0"/>
              <w:snapToGrid w:val="0"/>
              <w:jc w:val="center"/>
              <w:rPr>
                <w:rFonts w:ascii="Times New Roman"/>
                <w:color w:val="000000" w:themeColor="text1"/>
                <w:kern w:val="2"/>
                <w:sz w:val="21"/>
                <w:szCs w:val="21"/>
              </w:rPr>
            </w:pPr>
          </w:p>
        </w:tc>
        <w:tc>
          <w:tcPr>
            <w:tcW w:w="1309" w:type="pct"/>
            <w:vMerge/>
            <w:tcMar>
              <w:left w:w="28" w:type="dxa"/>
              <w:right w:w="28" w:type="dxa"/>
            </w:tcMar>
            <w:vAlign w:val="center"/>
          </w:tcPr>
          <w:p w14:paraId="6C423BBB" w14:textId="77777777" w:rsidR="00B0005F" w:rsidRPr="008A2411" w:rsidRDefault="00B0005F">
            <w:pPr>
              <w:adjustRightInd w:val="0"/>
              <w:snapToGrid w:val="0"/>
              <w:jc w:val="center"/>
              <w:rPr>
                <w:rFonts w:ascii="Times New Roman"/>
                <w:color w:val="000000" w:themeColor="text1"/>
                <w:kern w:val="2"/>
                <w:sz w:val="21"/>
                <w:szCs w:val="21"/>
              </w:rPr>
            </w:pPr>
          </w:p>
        </w:tc>
        <w:tc>
          <w:tcPr>
            <w:tcW w:w="2816" w:type="pct"/>
            <w:tcMar>
              <w:left w:w="28" w:type="dxa"/>
              <w:right w:w="28" w:type="dxa"/>
            </w:tcMar>
            <w:vAlign w:val="center"/>
          </w:tcPr>
          <w:p w14:paraId="43FA7908"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sz w:val="21"/>
                <w:szCs w:val="21"/>
              </w:rPr>
              <w:t>雨水</w:t>
            </w:r>
            <w:proofErr w:type="gramStart"/>
            <w:r w:rsidRPr="008A2411">
              <w:rPr>
                <w:rFonts w:ascii="Times New Roman"/>
                <w:color w:val="000000" w:themeColor="text1"/>
                <w:sz w:val="21"/>
                <w:szCs w:val="21"/>
              </w:rPr>
              <w:t>监控池兼事故</w:t>
            </w:r>
            <w:proofErr w:type="gramEnd"/>
            <w:r w:rsidRPr="008A2411">
              <w:rPr>
                <w:rFonts w:ascii="Times New Roman"/>
                <w:color w:val="000000" w:themeColor="text1"/>
                <w:sz w:val="21"/>
                <w:szCs w:val="21"/>
              </w:rPr>
              <w:t>池</w:t>
            </w:r>
            <w:r w:rsidRPr="008A2411">
              <w:rPr>
                <w:rFonts w:ascii="Times New Roman" w:hint="eastAsia"/>
                <w:color w:val="000000" w:themeColor="text1"/>
                <w:sz w:val="21"/>
                <w:szCs w:val="21"/>
              </w:rPr>
              <w:t>(800m</w:t>
            </w:r>
            <w:r w:rsidRPr="008A2411">
              <w:rPr>
                <w:rFonts w:ascii="Times New Roman" w:hint="eastAsia"/>
                <w:color w:val="000000" w:themeColor="text1"/>
                <w:sz w:val="21"/>
                <w:szCs w:val="21"/>
                <w:vertAlign w:val="superscript"/>
              </w:rPr>
              <w:t>3</w:t>
            </w:r>
            <w:r w:rsidRPr="008A2411">
              <w:rPr>
                <w:rFonts w:ascii="Times New Roman" w:hint="eastAsia"/>
                <w:color w:val="000000" w:themeColor="text1"/>
                <w:sz w:val="21"/>
                <w:szCs w:val="21"/>
              </w:rPr>
              <w:t>）</w:t>
            </w:r>
          </w:p>
        </w:tc>
        <w:tc>
          <w:tcPr>
            <w:tcW w:w="473" w:type="pct"/>
            <w:vMerge/>
            <w:tcMar>
              <w:left w:w="28" w:type="dxa"/>
              <w:right w:w="28" w:type="dxa"/>
            </w:tcMar>
          </w:tcPr>
          <w:p w14:paraId="7B020ABC" w14:textId="77777777" w:rsidR="00B0005F" w:rsidRPr="008A2411" w:rsidRDefault="00B0005F">
            <w:pPr>
              <w:adjustRightInd w:val="0"/>
              <w:snapToGrid w:val="0"/>
              <w:jc w:val="center"/>
              <w:rPr>
                <w:rFonts w:ascii="Times New Roman"/>
                <w:color w:val="000000" w:themeColor="text1"/>
                <w:kern w:val="2"/>
                <w:sz w:val="21"/>
                <w:szCs w:val="21"/>
              </w:rPr>
            </w:pPr>
          </w:p>
        </w:tc>
      </w:tr>
      <w:tr w:rsidR="008A2411" w:rsidRPr="008A2411" w14:paraId="4649D7A9" w14:textId="77777777">
        <w:trPr>
          <w:cantSplit/>
          <w:trHeight w:val="340"/>
        </w:trPr>
        <w:tc>
          <w:tcPr>
            <w:tcW w:w="210" w:type="pct"/>
            <w:vMerge/>
            <w:tcMar>
              <w:left w:w="28" w:type="dxa"/>
              <w:right w:w="28" w:type="dxa"/>
            </w:tcMar>
            <w:vAlign w:val="center"/>
          </w:tcPr>
          <w:p w14:paraId="1F3491DF" w14:textId="77777777" w:rsidR="00B0005F" w:rsidRPr="008A2411" w:rsidRDefault="00B0005F">
            <w:pPr>
              <w:adjustRightInd w:val="0"/>
              <w:snapToGrid w:val="0"/>
              <w:jc w:val="center"/>
              <w:rPr>
                <w:rFonts w:ascii="Times New Roman"/>
                <w:color w:val="000000" w:themeColor="text1"/>
                <w:kern w:val="2"/>
                <w:sz w:val="21"/>
                <w:szCs w:val="21"/>
              </w:rPr>
            </w:pPr>
          </w:p>
        </w:tc>
        <w:tc>
          <w:tcPr>
            <w:tcW w:w="192" w:type="pct"/>
            <w:vMerge/>
            <w:tcMar>
              <w:left w:w="28" w:type="dxa"/>
              <w:right w:w="28" w:type="dxa"/>
            </w:tcMar>
            <w:vAlign w:val="center"/>
          </w:tcPr>
          <w:p w14:paraId="3ECCD468" w14:textId="77777777" w:rsidR="00B0005F" w:rsidRPr="008A2411" w:rsidRDefault="00B0005F">
            <w:pPr>
              <w:adjustRightInd w:val="0"/>
              <w:snapToGrid w:val="0"/>
              <w:jc w:val="center"/>
              <w:rPr>
                <w:rFonts w:ascii="Times New Roman"/>
                <w:color w:val="000000" w:themeColor="text1"/>
                <w:kern w:val="2"/>
                <w:sz w:val="21"/>
                <w:szCs w:val="21"/>
              </w:rPr>
            </w:pPr>
          </w:p>
        </w:tc>
        <w:tc>
          <w:tcPr>
            <w:tcW w:w="1309" w:type="pct"/>
            <w:vMerge/>
            <w:tcMar>
              <w:left w:w="28" w:type="dxa"/>
              <w:right w:w="28" w:type="dxa"/>
            </w:tcMar>
            <w:vAlign w:val="center"/>
          </w:tcPr>
          <w:p w14:paraId="52FD5CB1" w14:textId="77777777" w:rsidR="00B0005F" w:rsidRPr="008A2411" w:rsidRDefault="00B0005F">
            <w:pPr>
              <w:adjustRightInd w:val="0"/>
              <w:snapToGrid w:val="0"/>
              <w:jc w:val="center"/>
              <w:rPr>
                <w:rFonts w:ascii="Times New Roman"/>
                <w:color w:val="000000" w:themeColor="text1"/>
                <w:kern w:val="2"/>
                <w:sz w:val="21"/>
                <w:szCs w:val="21"/>
              </w:rPr>
            </w:pPr>
          </w:p>
        </w:tc>
        <w:tc>
          <w:tcPr>
            <w:tcW w:w="2816" w:type="pct"/>
            <w:tcMar>
              <w:left w:w="28" w:type="dxa"/>
              <w:right w:w="28" w:type="dxa"/>
            </w:tcMar>
            <w:vAlign w:val="center"/>
          </w:tcPr>
          <w:p w14:paraId="5CD9D401"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sz w:val="21"/>
                <w:szCs w:val="21"/>
              </w:rPr>
              <w:t>应急救援站</w:t>
            </w:r>
          </w:p>
        </w:tc>
        <w:tc>
          <w:tcPr>
            <w:tcW w:w="473" w:type="pct"/>
            <w:vMerge/>
            <w:tcMar>
              <w:left w:w="28" w:type="dxa"/>
              <w:right w:w="28" w:type="dxa"/>
            </w:tcMar>
          </w:tcPr>
          <w:p w14:paraId="2BA7252C" w14:textId="77777777" w:rsidR="00B0005F" w:rsidRPr="008A2411" w:rsidRDefault="00B0005F">
            <w:pPr>
              <w:adjustRightInd w:val="0"/>
              <w:snapToGrid w:val="0"/>
              <w:jc w:val="center"/>
              <w:rPr>
                <w:rFonts w:ascii="Times New Roman"/>
                <w:color w:val="000000" w:themeColor="text1"/>
                <w:kern w:val="2"/>
                <w:sz w:val="21"/>
                <w:szCs w:val="21"/>
              </w:rPr>
            </w:pPr>
          </w:p>
        </w:tc>
      </w:tr>
      <w:tr w:rsidR="008A2411" w:rsidRPr="008A2411" w14:paraId="69E0C7E9" w14:textId="77777777">
        <w:trPr>
          <w:cantSplit/>
          <w:trHeight w:val="340"/>
        </w:trPr>
        <w:tc>
          <w:tcPr>
            <w:tcW w:w="210" w:type="pct"/>
            <w:vMerge/>
            <w:tcMar>
              <w:left w:w="28" w:type="dxa"/>
              <w:right w:w="28" w:type="dxa"/>
            </w:tcMar>
            <w:vAlign w:val="center"/>
          </w:tcPr>
          <w:p w14:paraId="19E33D99" w14:textId="77777777" w:rsidR="00B0005F" w:rsidRPr="008A2411" w:rsidRDefault="00B0005F">
            <w:pPr>
              <w:adjustRightInd w:val="0"/>
              <w:snapToGrid w:val="0"/>
              <w:jc w:val="center"/>
              <w:rPr>
                <w:rFonts w:ascii="Times New Roman"/>
                <w:color w:val="000000" w:themeColor="text1"/>
                <w:kern w:val="2"/>
                <w:sz w:val="21"/>
                <w:szCs w:val="21"/>
              </w:rPr>
            </w:pPr>
          </w:p>
        </w:tc>
        <w:tc>
          <w:tcPr>
            <w:tcW w:w="192" w:type="pct"/>
            <w:vMerge/>
            <w:tcMar>
              <w:left w:w="28" w:type="dxa"/>
              <w:right w:w="28" w:type="dxa"/>
            </w:tcMar>
            <w:vAlign w:val="center"/>
          </w:tcPr>
          <w:p w14:paraId="3DBEC9D5" w14:textId="77777777" w:rsidR="00B0005F" w:rsidRPr="008A2411" w:rsidRDefault="00B0005F">
            <w:pPr>
              <w:adjustRightInd w:val="0"/>
              <w:snapToGrid w:val="0"/>
              <w:jc w:val="center"/>
              <w:rPr>
                <w:rFonts w:ascii="Times New Roman"/>
                <w:color w:val="000000" w:themeColor="text1"/>
                <w:kern w:val="2"/>
                <w:sz w:val="21"/>
                <w:szCs w:val="21"/>
              </w:rPr>
            </w:pPr>
          </w:p>
        </w:tc>
        <w:tc>
          <w:tcPr>
            <w:tcW w:w="1309" w:type="pct"/>
            <w:vMerge/>
            <w:tcMar>
              <w:left w:w="28" w:type="dxa"/>
              <w:right w:w="28" w:type="dxa"/>
            </w:tcMar>
            <w:vAlign w:val="center"/>
          </w:tcPr>
          <w:p w14:paraId="5B51D382" w14:textId="77777777" w:rsidR="00B0005F" w:rsidRPr="008A2411" w:rsidRDefault="00B0005F">
            <w:pPr>
              <w:adjustRightInd w:val="0"/>
              <w:snapToGrid w:val="0"/>
              <w:jc w:val="center"/>
              <w:rPr>
                <w:rFonts w:ascii="Times New Roman"/>
                <w:color w:val="000000" w:themeColor="text1"/>
                <w:kern w:val="2"/>
                <w:sz w:val="21"/>
                <w:szCs w:val="21"/>
              </w:rPr>
            </w:pPr>
          </w:p>
        </w:tc>
        <w:tc>
          <w:tcPr>
            <w:tcW w:w="2816" w:type="pct"/>
            <w:tcMar>
              <w:left w:w="28" w:type="dxa"/>
              <w:right w:w="28" w:type="dxa"/>
            </w:tcMar>
            <w:vAlign w:val="center"/>
          </w:tcPr>
          <w:p w14:paraId="6D2C07FA"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sz w:val="21"/>
                <w:szCs w:val="21"/>
              </w:rPr>
              <w:t>应急报警系统，覆盖整个应急区域</w:t>
            </w:r>
          </w:p>
        </w:tc>
        <w:tc>
          <w:tcPr>
            <w:tcW w:w="473" w:type="pct"/>
            <w:vMerge/>
            <w:tcMar>
              <w:left w:w="28" w:type="dxa"/>
              <w:right w:w="28" w:type="dxa"/>
            </w:tcMar>
          </w:tcPr>
          <w:p w14:paraId="4D3AF549" w14:textId="77777777" w:rsidR="00B0005F" w:rsidRPr="008A2411" w:rsidRDefault="00B0005F">
            <w:pPr>
              <w:adjustRightInd w:val="0"/>
              <w:snapToGrid w:val="0"/>
              <w:jc w:val="center"/>
              <w:rPr>
                <w:rFonts w:ascii="Times New Roman"/>
                <w:color w:val="000000" w:themeColor="text1"/>
                <w:kern w:val="2"/>
                <w:sz w:val="21"/>
                <w:szCs w:val="21"/>
              </w:rPr>
            </w:pPr>
          </w:p>
        </w:tc>
      </w:tr>
      <w:tr w:rsidR="008A2411" w:rsidRPr="008A2411" w14:paraId="045F6D55" w14:textId="77777777">
        <w:trPr>
          <w:cantSplit/>
          <w:trHeight w:val="340"/>
        </w:trPr>
        <w:tc>
          <w:tcPr>
            <w:tcW w:w="210" w:type="pct"/>
            <w:vMerge/>
            <w:tcMar>
              <w:left w:w="28" w:type="dxa"/>
              <w:right w:w="28" w:type="dxa"/>
            </w:tcMar>
            <w:vAlign w:val="center"/>
          </w:tcPr>
          <w:p w14:paraId="6F62200A" w14:textId="77777777" w:rsidR="00B0005F" w:rsidRPr="008A2411" w:rsidRDefault="00B0005F">
            <w:pPr>
              <w:adjustRightInd w:val="0"/>
              <w:snapToGrid w:val="0"/>
              <w:jc w:val="center"/>
              <w:rPr>
                <w:rFonts w:ascii="Times New Roman"/>
                <w:color w:val="000000" w:themeColor="text1"/>
                <w:kern w:val="2"/>
                <w:sz w:val="21"/>
                <w:szCs w:val="21"/>
              </w:rPr>
            </w:pPr>
          </w:p>
        </w:tc>
        <w:tc>
          <w:tcPr>
            <w:tcW w:w="192" w:type="pct"/>
            <w:vMerge/>
            <w:tcMar>
              <w:left w:w="28" w:type="dxa"/>
              <w:right w:w="28" w:type="dxa"/>
            </w:tcMar>
            <w:vAlign w:val="center"/>
          </w:tcPr>
          <w:p w14:paraId="22741D24" w14:textId="77777777" w:rsidR="00B0005F" w:rsidRPr="008A2411" w:rsidRDefault="00B0005F">
            <w:pPr>
              <w:adjustRightInd w:val="0"/>
              <w:snapToGrid w:val="0"/>
              <w:jc w:val="center"/>
              <w:rPr>
                <w:rFonts w:ascii="Times New Roman"/>
                <w:color w:val="000000" w:themeColor="text1"/>
                <w:kern w:val="2"/>
                <w:sz w:val="21"/>
                <w:szCs w:val="21"/>
              </w:rPr>
            </w:pPr>
          </w:p>
        </w:tc>
        <w:tc>
          <w:tcPr>
            <w:tcW w:w="1309" w:type="pct"/>
            <w:vMerge/>
            <w:tcMar>
              <w:left w:w="28" w:type="dxa"/>
              <w:right w:w="28" w:type="dxa"/>
            </w:tcMar>
            <w:vAlign w:val="center"/>
          </w:tcPr>
          <w:p w14:paraId="5B8EAB25" w14:textId="77777777" w:rsidR="00B0005F" w:rsidRPr="008A2411" w:rsidRDefault="00B0005F">
            <w:pPr>
              <w:adjustRightInd w:val="0"/>
              <w:snapToGrid w:val="0"/>
              <w:jc w:val="center"/>
              <w:rPr>
                <w:rFonts w:ascii="Times New Roman"/>
                <w:color w:val="000000" w:themeColor="text1"/>
                <w:kern w:val="2"/>
                <w:sz w:val="21"/>
                <w:szCs w:val="21"/>
              </w:rPr>
            </w:pPr>
          </w:p>
        </w:tc>
        <w:tc>
          <w:tcPr>
            <w:tcW w:w="2816" w:type="pct"/>
            <w:tcMar>
              <w:left w:w="28" w:type="dxa"/>
              <w:right w:w="28" w:type="dxa"/>
            </w:tcMar>
            <w:vAlign w:val="center"/>
          </w:tcPr>
          <w:p w14:paraId="0B4885B5"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hint="eastAsia"/>
                <w:color w:val="000000" w:themeColor="text1"/>
                <w:sz w:val="21"/>
                <w:szCs w:val="21"/>
              </w:rPr>
              <w:t>工艺装置区围堰</w:t>
            </w:r>
            <w:r w:rsidRPr="008A2411">
              <w:rPr>
                <w:rFonts w:ascii="Times New Roman" w:hint="eastAsia"/>
                <w:color w:val="000000" w:themeColor="text1"/>
                <w:sz w:val="21"/>
                <w:szCs w:val="21"/>
              </w:rPr>
              <w:t>+</w:t>
            </w:r>
            <w:r w:rsidRPr="008A2411">
              <w:rPr>
                <w:rFonts w:ascii="Times New Roman" w:hint="eastAsia"/>
                <w:color w:val="000000" w:themeColor="text1"/>
                <w:sz w:val="21"/>
                <w:szCs w:val="21"/>
              </w:rPr>
              <w:t>厂区排放口的截断装置</w:t>
            </w:r>
          </w:p>
        </w:tc>
        <w:tc>
          <w:tcPr>
            <w:tcW w:w="473" w:type="pct"/>
            <w:tcMar>
              <w:left w:w="28" w:type="dxa"/>
              <w:right w:w="28" w:type="dxa"/>
            </w:tcMar>
            <w:vAlign w:val="center"/>
          </w:tcPr>
          <w:p w14:paraId="783E2D5E"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hint="eastAsia"/>
                <w:color w:val="000000" w:themeColor="text1"/>
                <w:kern w:val="2"/>
                <w:sz w:val="21"/>
                <w:szCs w:val="21"/>
              </w:rPr>
              <w:t>65</w:t>
            </w:r>
          </w:p>
        </w:tc>
      </w:tr>
      <w:tr w:rsidR="008A2411" w:rsidRPr="008A2411" w14:paraId="28762DC2" w14:textId="77777777">
        <w:trPr>
          <w:cantSplit/>
          <w:trHeight w:val="340"/>
        </w:trPr>
        <w:tc>
          <w:tcPr>
            <w:tcW w:w="210" w:type="pct"/>
            <w:vMerge/>
            <w:tcMar>
              <w:left w:w="28" w:type="dxa"/>
              <w:right w:w="28" w:type="dxa"/>
            </w:tcMar>
            <w:vAlign w:val="center"/>
          </w:tcPr>
          <w:p w14:paraId="5BF204DC" w14:textId="77777777" w:rsidR="00B0005F" w:rsidRPr="008A2411" w:rsidRDefault="00B0005F">
            <w:pPr>
              <w:adjustRightInd w:val="0"/>
              <w:snapToGrid w:val="0"/>
              <w:jc w:val="center"/>
              <w:rPr>
                <w:rFonts w:ascii="Times New Roman"/>
                <w:color w:val="000000" w:themeColor="text1"/>
                <w:kern w:val="2"/>
                <w:sz w:val="21"/>
                <w:szCs w:val="21"/>
              </w:rPr>
            </w:pPr>
          </w:p>
        </w:tc>
        <w:tc>
          <w:tcPr>
            <w:tcW w:w="192" w:type="pct"/>
            <w:vMerge/>
            <w:tcMar>
              <w:left w:w="28" w:type="dxa"/>
              <w:right w:w="28" w:type="dxa"/>
            </w:tcMar>
            <w:vAlign w:val="center"/>
          </w:tcPr>
          <w:p w14:paraId="6EB1417D" w14:textId="77777777" w:rsidR="00B0005F" w:rsidRPr="008A2411" w:rsidRDefault="00B0005F">
            <w:pPr>
              <w:adjustRightInd w:val="0"/>
              <w:snapToGrid w:val="0"/>
              <w:jc w:val="center"/>
              <w:rPr>
                <w:rFonts w:ascii="Times New Roman"/>
                <w:color w:val="000000" w:themeColor="text1"/>
                <w:kern w:val="2"/>
                <w:sz w:val="21"/>
                <w:szCs w:val="21"/>
              </w:rPr>
            </w:pPr>
          </w:p>
        </w:tc>
        <w:tc>
          <w:tcPr>
            <w:tcW w:w="1309" w:type="pct"/>
            <w:vMerge/>
            <w:tcMar>
              <w:left w:w="28" w:type="dxa"/>
              <w:right w:w="28" w:type="dxa"/>
            </w:tcMar>
            <w:vAlign w:val="center"/>
          </w:tcPr>
          <w:p w14:paraId="212A42E3" w14:textId="77777777" w:rsidR="00B0005F" w:rsidRPr="008A2411" w:rsidRDefault="00B0005F">
            <w:pPr>
              <w:adjustRightInd w:val="0"/>
              <w:snapToGrid w:val="0"/>
              <w:jc w:val="center"/>
              <w:rPr>
                <w:rFonts w:ascii="Times New Roman"/>
                <w:color w:val="000000" w:themeColor="text1"/>
                <w:kern w:val="2"/>
                <w:sz w:val="21"/>
                <w:szCs w:val="21"/>
              </w:rPr>
            </w:pPr>
          </w:p>
        </w:tc>
        <w:tc>
          <w:tcPr>
            <w:tcW w:w="2816" w:type="pct"/>
            <w:tcMar>
              <w:left w:w="28" w:type="dxa"/>
              <w:right w:w="28" w:type="dxa"/>
            </w:tcMar>
            <w:vAlign w:val="center"/>
          </w:tcPr>
          <w:p w14:paraId="6D54B649"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设置</w:t>
            </w:r>
            <w:r w:rsidRPr="008A2411">
              <w:rPr>
                <w:rFonts w:ascii="Times New Roman"/>
                <w:color w:val="000000" w:themeColor="text1"/>
                <w:sz w:val="21"/>
                <w:szCs w:val="21"/>
              </w:rPr>
              <w:t>1</w:t>
            </w:r>
            <w:r w:rsidRPr="008A2411">
              <w:rPr>
                <w:rFonts w:ascii="Times New Roman"/>
                <w:color w:val="000000" w:themeColor="text1"/>
                <w:sz w:val="21"/>
                <w:szCs w:val="21"/>
              </w:rPr>
              <w:t>套长明火炬系统，配备多套点火方式</w:t>
            </w:r>
            <w:r w:rsidRPr="008A2411">
              <w:rPr>
                <w:rFonts w:ascii="Times New Roman" w:hint="eastAsia"/>
                <w:color w:val="000000" w:themeColor="text1"/>
                <w:sz w:val="21"/>
                <w:szCs w:val="21"/>
              </w:rPr>
              <w:t>，火炬系统高度</w:t>
            </w:r>
            <w:r w:rsidRPr="008A2411">
              <w:rPr>
                <w:rFonts w:ascii="Times New Roman" w:hint="eastAsia"/>
                <w:color w:val="000000" w:themeColor="text1"/>
                <w:sz w:val="21"/>
                <w:szCs w:val="21"/>
              </w:rPr>
              <w:t>30m</w:t>
            </w:r>
          </w:p>
        </w:tc>
        <w:tc>
          <w:tcPr>
            <w:tcW w:w="473" w:type="pct"/>
            <w:tcMar>
              <w:left w:w="28" w:type="dxa"/>
              <w:right w:w="28" w:type="dxa"/>
            </w:tcMar>
            <w:vAlign w:val="center"/>
          </w:tcPr>
          <w:p w14:paraId="65E1F4B8"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hint="eastAsia"/>
                <w:color w:val="000000" w:themeColor="text1"/>
                <w:kern w:val="2"/>
                <w:sz w:val="21"/>
                <w:szCs w:val="21"/>
              </w:rPr>
              <w:t>28</w:t>
            </w:r>
          </w:p>
        </w:tc>
      </w:tr>
      <w:tr w:rsidR="008A2411" w:rsidRPr="008A2411" w14:paraId="37471544" w14:textId="77777777">
        <w:trPr>
          <w:cantSplit/>
          <w:trHeight w:val="1245"/>
        </w:trPr>
        <w:tc>
          <w:tcPr>
            <w:tcW w:w="210" w:type="pct"/>
            <w:vMerge/>
            <w:tcMar>
              <w:left w:w="28" w:type="dxa"/>
              <w:right w:w="28" w:type="dxa"/>
            </w:tcMar>
            <w:vAlign w:val="center"/>
          </w:tcPr>
          <w:p w14:paraId="58C62911" w14:textId="77777777" w:rsidR="00B0005F" w:rsidRPr="008A2411" w:rsidRDefault="00B0005F">
            <w:pPr>
              <w:adjustRightInd w:val="0"/>
              <w:snapToGrid w:val="0"/>
              <w:jc w:val="center"/>
              <w:rPr>
                <w:rFonts w:ascii="Times New Roman"/>
                <w:color w:val="000000" w:themeColor="text1"/>
                <w:kern w:val="2"/>
                <w:sz w:val="21"/>
                <w:szCs w:val="21"/>
              </w:rPr>
            </w:pPr>
          </w:p>
        </w:tc>
        <w:tc>
          <w:tcPr>
            <w:tcW w:w="192" w:type="pct"/>
            <w:vMerge/>
            <w:tcMar>
              <w:left w:w="28" w:type="dxa"/>
              <w:right w:w="28" w:type="dxa"/>
            </w:tcMar>
            <w:vAlign w:val="center"/>
          </w:tcPr>
          <w:p w14:paraId="452256DA" w14:textId="77777777" w:rsidR="00B0005F" w:rsidRPr="008A2411" w:rsidRDefault="00B0005F">
            <w:pPr>
              <w:adjustRightInd w:val="0"/>
              <w:snapToGrid w:val="0"/>
              <w:jc w:val="center"/>
              <w:rPr>
                <w:rFonts w:ascii="Times New Roman"/>
                <w:color w:val="000000" w:themeColor="text1"/>
                <w:kern w:val="2"/>
                <w:sz w:val="21"/>
                <w:szCs w:val="21"/>
              </w:rPr>
            </w:pPr>
          </w:p>
        </w:tc>
        <w:tc>
          <w:tcPr>
            <w:tcW w:w="1309" w:type="pct"/>
            <w:tcMar>
              <w:left w:w="28" w:type="dxa"/>
              <w:right w:w="28" w:type="dxa"/>
            </w:tcMar>
            <w:vAlign w:val="center"/>
          </w:tcPr>
          <w:p w14:paraId="516AD5B1"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sz w:val="21"/>
                <w:szCs w:val="21"/>
              </w:rPr>
              <w:t>风险防范措施及应急预案</w:t>
            </w:r>
          </w:p>
        </w:tc>
        <w:tc>
          <w:tcPr>
            <w:tcW w:w="2816" w:type="pct"/>
            <w:tcMar>
              <w:left w:w="28" w:type="dxa"/>
              <w:right w:w="28" w:type="dxa"/>
            </w:tcMar>
            <w:vAlign w:val="center"/>
          </w:tcPr>
          <w:p w14:paraId="0A94C1BE"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编制应急预案，适时培训、演练；工艺装置区及废水罐区设置围堰，地面防渗处理，事故池兼做初期雨水收集池，预留足够的容积。提交应急预案和应急培训、演练的相关报告。</w:t>
            </w:r>
          </w:p>
        </w:tc>
        <w:tc>
          <w:tcPr>
            <w:tcW w:w="473" w:type="pct"/>
            <w:tcMar>
              <w:left w:w="28" w:type="dxa"/>
              <w:right w:w="28" w:type="dxa"/>
            </w:tcMar>
            <w:vAlign w:val="center"/>
          </w:tcPr>
          <w:p w14:paraId="07D952B8"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hint="eastAsia"/>
                <w:color w:val="000000" w:themeColor="text1"/>
                <w:kern w:val="2"/>
                <w:sz w:val="21"/>
                <w:szCs w:val="21"/>
              </w:rPr>
              <w:t>75</w:t>
            </w:r>
          </w:p>
        </w:tc>
      </w:tr>
      <w:tr w:rsidR="008A2411" w:rsidRPr="008A2411" w14:paraId="5CF9CA72" w14:textId="77777777">
        <w:trPr>
          <w:cantSplit/>
          <w:trHeight w:val="340"/>
        </w:trPr>
        <w:tc>
          <w:tcPr>
            <w:tcW w:w="210" w:type="pct"/>
            <w:vMerge w:val="restart"/>
            <w:tcMar>
              <w:left w:w="28" w:type="dxa"/>
              <w:right w:w="28" w:type="dxa"/>
            </w:tcMar>
            <w:vAlign w:val="center"/>
          </w:tcPr>
          <w:p w14:paraId="3D07A2ED"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生态</w:t>
            </w:r>
          </w:p>
        </w:tc>
        <w:tc>
          <w:tcPr>
            <w:tcW w:w="192" w:type="pct"/>
            <w:tcMar>
              <w:left w:w="28" w:type="dxa"/>
              <w:right w:w="28" w:type="dxa"/>
            </w:tcMar>
            <w:vAlign w:val="center"/>
          </w:tcPr>
          <w:p w14:paraId="6902340A"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施工期</w:t>
            </w:r>
          </w:p>
        </w:tc>
        <w:tc>
          <w:tcPr>
            <w:tcW w:w="1309" w:type="pct"/>
            <w:tcMar>
              <w:left w:w="28" w:type="dxa"/>
              <w:right w:w="28" w:type="dxa"/>
            </w:tcMar>
            <w:vAlign w:val="center"/>
          </w:tcPr>
          <w:p w14:paraId="14934A96"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hint="eastAsia"/>
                <w:color w:val="000000" w:themeColor="text1"/>
                <w:kern w:val="2"/>
                <w:sz w:val="21"/>
                <w:szCs w:val="21"/>
              </w:rPr>
              <w:t>生态及</w:t>
            </w:r>
            <w:r w:rsidRPr="008A2411">
              <w:rPr>
                <w:rFonts w:ascii="Times New Roman"/>
                <w:color w:val="000000" w:themeColor="text1"/>
                <w:kern w:val="2"/>
                <w:sz w:val="21"/>
                <w:szCs w:val="21"/>
              </w:rPr>
              <w:t>水土保持</w:t>
            </w:r>
            <w:r w:rsidRPr="008A2411">
              <w:rPr>
                <w:rFonts w:ascii="Times New Roman" w:hint="eastAsia"/>
                <w:color w:val="000000" w:themeColor="text1"/>
                <w:kern w:val="2"/>
                <w:sz w:val="21"/>
                <w:szCs w:val="21"/>
              </w:rPr>
              <w:t>措施</w:t>
            </w:r>
          </w:p>
        </w:tc>
        <w:tc>
          <w:tcPr>
            <w:tcW w:w="2816" w:type="pct"/>
            <w:tcMar>
              <w:left w:w="28" w:type="dxa"/>
              <w:right w:w="28" w:type="dxa"/>
            </w:tcMar>
            <w:vAlign w:val="center"/>
          </w:tcPr>
          <w:p w14:paraId="71A125FE"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对项新征用地范围的表土进行开挖保护，站场和道路应夯实地基并采用碎石硬化减少雨水冲刷；场地周围</w:t>
            </w:r>
            <w:proofErr w:type="gramStart"/>
            <w:r w:rsidRPr="008A2411">
              <w:rPr>
                <w:rFonts w:ascii="Times New Roman"/>
                <w:color w:val="000000" w:themeColor="text1"/>
                <w:sz w:val="21"/>
                <w:szCs w:val="21"/>
              </w:rPr>
              <w:t>修临时</w:t>
            </w:r>
            <w:proofErr w:type="gramEnd"/>
            <w:r w:rsidRPr="008A2411">
              <w:rPr>
                <w:rFonts w:ascii="Times New Roman"/>
                <w:color w:val="000000" w:themeColor="text1"/>
                <w:sz w:val="21"/>
                <w:szCs w:val="21"/>
              </w:rPr>
              <w:t>排水沟；临时表土堆放</w:t>
            </w:r>
            <w:proofErr w:type="gramStart"/>
            <w:r w:rsidRPr="008A2411">
              <w:rPr>
                <w:rFonts w:ascii="Times New Roman"/>
                <w:color w:val="000000" w:themeColor="text1"/>
                <w:sz w:val="21"/>
                <w:szCs w:val="21"/>
              </w:rPr>
              <w:t>场采取</w:t>
            </w:r>
            <w:proofErr w:type="gramEnd"/>
            <w:r w:rsidRPr="008A2411">
              <w:rPr>
                <w:rFonts w:ascii="Times New Roman"/>
                <w:color w:val="000000" w:themeColor="text1"/>
                <w:sz w:val="21"/>
                <w:szCs w:val="21"/>
              </w:rPr>
              <w:t>拦挡、压实等措施</w:t>
            </w:r>
          </w:p>
        </w:tc>
        <w:tc>
          <w:tcPr>
            <w:tcW w:w="473" w:type="pct"/>
            <w:tcMar>
              <w:left w:w="28" w:type="dxa"/>
              <w:right w:w="28" w:type="dxa"/>
            </w:tcMar>
            <w:vAlign w:val="center"/>
          </w:tcPr>
          <w:p w14:paraId="4E3B88BE"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hint="eastAsia"/>
                <w:color w:val="000000" w:themeColor="text1"/>
                <w:kern w:val="2"/>
                <w:sz w:val="21"/>
                <w:szCs w:val="21"/>
              </w:rPr>
              <w:t>45</w:t>
            </w:r>
          </w:p>
        </w:tc>
      </w:tr>
      <w:tr w:rsidR="008A2411" w:rsidRPr="008A2411" w14:paraId="5D034828" w14:textId="77777777">
        <w:trPr>
          <w:cantSplit/>
          <w:trHeight w:val="340"/>
        </w:trPr>
        <w:tc>
          <w:tcPr>
            <w:tcW w:w="210" w:type="pct"/>
            <w:vMerge/>
            <w:tcMar>
              <w:left w:w="28" w:type="dxa"/>
              <w:right w:w="28" w:type="dxa"/>
            </w:tcMar>
            <w:vAlign w:val="center"/>
          </w:tcPr>
          <w:p w14:paraId="75D8670E" w14:textId="77777777" w:rsidR="00B0005F" w:rsidRPr="008A2411" w:rsidRDefault="00B0005F">
            <w:pPr>
              <w:adjustRightInd w:val="0"/>
              <w:snapToGrid w:val="0"/>
              <w:jc w:val="center"/>
              <w:rPr>
                <w:rFonts w:ascii="Times New Roman"/>
                <w:color w:val="000000" w:themeColor="text1"/>
                <w:kern w:val="2"/>
                <w:sz w:val="21"/>
                <w:szCs w:val="21"/>
              </w:rPr>
            </w:pPr>
          </w:p>
        </w:tc>
        <w:tc>
          <w:tcPr>
            <w:tcW w:w="192" w:type="pct"/>
            <w:tcMar>
              <w:left w:w="28" w:type="dxa"/>
              <w:right w:w="28" w:type="dxa"/>
            </w:tcMar>
            <w:vAlign w:val="center"/>
          </w:tcPr>
          <w:p w14:paraId="09F676A8"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运营期</w:t>
            </w:r>
          </w:p>
        </w:tc>
        <w:tc>
          <w:tcPr>
            <w:tcW w:w="1309" w:type="pct"/>
            <w:tcMar>
              <w:left w:w="28" w:type="dxa"/>
              <w:right w:w="28" w:type="dxa"/>
            </w:tcMar>
            <w:vAlign w:val="center"/>
          </w:tcPr>
          <w:p w14:paraId="4F32B42B"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绿化</w:t>
            </w:r>
          </w:p>
        </w:tc>
        <w:tc>
          <w:tcPr>
            <w:tcW w:w="2816" w:type="pct"/>
            <w:tcMar>
              <w:left w:w="28" w:type="dxa"/>
              <w:right w:w="28" w:type="dxa"/>
            </w:tcMar>
            <w:vAlign w:val="center"/>
          </w:tcPr>
          <w:p w14:paraId="6736A4BE" w14:textId="77777777" w:rsidR="00B0005F" w:rsidRPr="008A2411" w:rsidRDefault="00000000">
            <w:pPr>
              <w:adjustRightInd w:val="0"/>
              <w:snapToGrid w:val="0"/>
              <w:jc w:val="center"/>
              <w:rPr>
                <w:rFonts w:ascii="Times New Roman"/>
                <w:color w:val="000000" w:themeColor="text1"/>
                <w:sz w:val="21"/>
                <w:szCs w:val="21"/>
              </w:rPr>
            </w:pPr>
            <w:r w:rsidRPr="008A2411">
              <w:rPr>
                <w:rFonts w:ascii="Times New Roman"/>
                <w:color w:val="000000" w:themeColor="text1"/>
                <w:sz w:val="21"/>
                <w:szCs w:val="21"/>
              </w:rPr>
              <w:t>厂区及周边绿化</w:t>
            </w:r>
          </w:p>
        </w:tc>
        <w:tc>
          <w:tcPr>
            <w:tcW w:w="473" w:type="pct"/>
            <w:tcMar>
              <w:left w:w="28" w:type="dxa"/>
              <w:right w:w="28" w:type="dxa"/>
            </w:tcMar>
            <w:vAlign w:val="center"/>
          </w:tcPr>
          <w:p w14:paraId="365B0609"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hint="eastAsia"/>
                <w:color w:val="000000" w:themeColor="text1"/>
                <w:kern w:val="2"/>
                <w:sz w:val="21"/>
                <w:szCs w:val="21"/>
              </w:rPr>
              <w:t>28</w:t>
            </w:r>
          </w:p>
        </w:tc>
      </w:tr>
      <w:tr w:rsidR="008A2411" w:rsidRPr="008A2411" w14:paraId="5AEBADA0" w14:textId="77777777">
        <w:trPr>
          <w:cantSplit/>
          <w:trHeight w:val="340"/>
        </w:trPr>
        <w:tc>
          <w:tcPr>
            <w:tcW w:w="4527" w:type="pct"/>
            <w:gridSpan w:val="4"/>
            <w:tcMar>
              <w:left w:w="28" w:type="dxa"/>
              <w:right w:w="28" w:type="dxa"/>
            </w:tcMar>
            <w:vAlign w:val="center"/>
          </w:tcPr>
          <w:p w14:paraId="61F40BE8"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color w:val="000000" w:themeColor="text1"/>
                <w:kern w:val="2"/>
                <w:sz w:val="21"/>
                <w:szCs w:val="21"/>
              </w:rPr>
              <w:t>合计</w:t>
            </w:r>
          </w:p>
        </w:tc>
        <w:tc>
          <w:tcPr>
            <w:tcW w:w="473" w:type="pct"/>
            <w:tcMar>
              <w:left w:w="28" w:type="dxa"/>
              <w:right w:w="28" w:type="dxa"/>
            </w:tcMar>
            <w:vAlign w:val="center"/>
          </w:tcPr>
          <w:p w14:paraId="6A79BA44" w14:textId="77777777" w:rsidR="00B0005F" w:rsidRPr="008A2411" w:rsidRDefault="00000000">
            <w:pPr>
              <w:adjustRightInd w:val="0"/>
              <w:snapToGrid w:val="0"/>
              <w:jc w:val="center"/>
              <w:rPr>
                <w:rFonts w:ascii="Times New Roman"/>
                <w:color w:val="000000" w:themeColor="text1"/>
                <w:kern w:val="2"/>
                <w:sz w:val="21"/>
                <w:szCs w:val="21"/>
              </w:rPr>
            </w:pPr>
            <w:r w:rsidRPr="008A2411">
              <w:rPr>
                <w:rFonts w:ascii="Times New Roman" w:hint="eastAsia"/>
                <w:color w:val="000000" w:themeColor="text1"/>
                <w:kern w:val="2"/>
                <w:sz w:val="21"/>
                <w:szCs w:val="21"/>
              </w:rPr>
              <w:t>874</w:t>
            </w:r>
          </w:p>
        </w:tc>
      </w:tr>
    </w:tbl>
    <w:p w14:paraId="1E70B4AF"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由上表可见：项目的环保投资约为</w:t>
      </w:r>
      <w:r w:rsidRPr="008A2411">
        <w:rPr>
          <w:rFonts w:ascii="Times New Roman" w:hAnsi="Times New Roman" w:hint="eastAsia"/>
          <w:color w:val="000000" w:themeColor="text1"/>
        </w:rPr>
        <w:t>874</w:t>
      </w:r>
      <w:r w:rsidRPr="008A2411">
        <w:rPr>
          <w:rFonts w:ascii="Times New Roman" w:hAnsi="Times New Roman" w:hint="eastAsia"/>
          <w:color w:val="000000" w:themeColor="text1"/>
        </w:rPr>
        <w:t>万元</w:t>
      </w:r>
      <w:r w:rsidRPr="008A2411">
        <w:rPr>
          <w:rFonts w:ascii="Times New Roman" w:hAnsi="Times New Roman"/>
          <w:color w:val="000000" w:themeColor="text1"/>
        </w:rPr>
        <w:t>人民币，占本项目总投资的比例为</w:t>
      </w:r>
      <w:r w:rsidRPr="008A2411">
        <w:rPr>
          <w:rFonts w:ascii="Times New Roman" w:hAnsi="Times New Roman" w:hint="eastAsia"/>
          <w:color w:val="000000" w:themeColor="text1"/>
        </w:rPr>
        <w:t>1.65%</w:t>
      </w:r>
      <w:r w:rsidRPr="008A2411">
        <w:rPr>
          <w:rFonts w:ascii="Times New Roman" w:hAnsi="Times New Roman"/>
          <w:color w:val="000000" w:themeColor="text1"/>
        </w:rPr>
        <w:t>。</w:t>
      </w:r>
    </w:p>
    <w:p w14:paraId="64D06414" w14:textId="77777777" w:rsidR="00B0005F" w:rsidRPr="008A2411" w:rsidRDefault="00B0005F">
      <w:pPr>
        <w:rPr>
          <w:rFonts w:ascii="Times New Roman"/>
          <w:color w:val="000000" w:themeColor="text1"/>
        </w:rPr>
      </w:pPr>
    </w:p>
    <w:p w14:paraId="299C508C" w14:textId="77777777" w:rsidR="00B0005F" w:rsidRPr="008A2411" w:rsidRDefault="00B0005F">
      <w:pPr>
        <w:pStyle w:val="WJ"/>
        <w:rPr>
          <w:rFonts w:ascii="Times New Roman" w:hAnsi="Times New Roman"/>
          <w:color w:val="000000" w:themeColor="text1"/>
        </w:rPr>
      </w:pPr>
    </w:p>
    <w:p w14:paraId="6CCAD94F" w14:textId="77777777" w:rsidR="00B0005F" w:rsidRPr="008A2411" w:rsidRDefault="00B0005F">
      <w:pPr>
        <w:rPr>
          <w:rFonts w:ascii="Times New Roman"/>
          <w:color w:val="000000" w:themeColor="text1"/>
        </w:rPr>
      </w:pPr>
    </w:p>
    <w:p w14:paraId="3CFF8C5B" w14:textId="77777777" w:rsidR="00B0005F" w:rsidRPr="008A2411" w:rsidRDefault="00000000">
      <w:pPr>
        <w:rPr>
          <w:rFonts w:ascii="Times New Roman"/>
          <w:color w:val="000000" w:themeColor="text1"/>
        </w:rPr>
      </w:pPr>
      <w:r w:rsidRPr="008A2411">
        <w:rPr>
          <w:rFonts w:ascii="Times New Roman"/>
          <w:color w:val="000000" w:themeColor="text1"/>
        </w:rPr>
        <w:br w:type="page"/>
      </w:r>
    </w:p>
    <w:p w14:paraId="670EAC04" w14:textId="77777777" w:rsidR="00B0005F" w:rsidRPr="008A2411" w:rsidRDefault="00000000">
      <w:pPr>
        <w:pStyle w:val="11"/>
        <w:numPr>
          <w:ilvl w:val="0"/>
          <w:numId w:val="0"/>
        </w:numPr>
        <w:spacing w:before="0" w:afterLines="0" w:after="0" w:line="360" w:lineRule="auto"/>
        <w:jc w:val="center"/>
        <w:rPr>
          <w:rFonts w:ascii="Times New Roman" w:eastAsia="宋体"/>
          <w:color w:val="000000" w:themeColor="text1"/>
        </w:rPr>
      </w:pPr>
      <w:bookmarkStart w:id="665" w:name="_Toc469780919"/>
      <w:bookmarkStart w:id="666" w:name="_Toc109170795"/>
      <w:bookmarkStart w:id="667" w:name="_Toc319853020"/>
      <w:bookmarkStart w:id="668" w:name="_Toc405214354"/>
      <w:bookmarkStart w:id="669" w:name="_Toc422906960"/>
      <w:bookmarkStart w:id="670" w:name="_Toc451355440"/>
      <w:bookmarkStart w:id="671" w:name="_Toc405905421"/>
      <w:bookmarkStart w:id="672" w:name="_Toc405904949"/>
      <w:bookmarkStart w:id="673" w:name="_Toc405904605"/>
      <w:bookmarkStart w:id="674" w:name="_Toc309912166"/>
      <w:bookmarkEnd w:id="665"/>
      <w:r w:rsidRPr="008A2411">
        <w:rPr>
          <w:rFonts w:ascii="Times New Roman" w:eastAsia="宋体"/>
          <w:color w:val="000000" w:themeColor="text1"/>
        </w:rPr>
        <w:lastRenderedPageBreak/>
        <w:t>第八章</w:t>
      </w:r>
      <w:r w:rsidRPr="008A2411">
        <w:rPr>
          <w:rFonts w:ascii="Times New Roman" w:eastAsia="宋体"/>
          <w:color w:val="000000" w:themeColor="text1"/>
        </w:rPr>
        <w:t xml:space="preserve">  </w:t>
      </w:r>
      <w:r w:rsidRPr="008A2411">
        <w:rPr>
          <w:rFonts w:ascii="Times New Roman" w:eastAsia="宋体"/>
          <w:color w:val="000000" w:themeColor="text1"/>
        </w:rPr>
        <w:t>环境影响经济损益分析</w:t>
      </w:r>
      <w:bookmarkEnd w:id="666"/>
    </w:p>
    <w:p w14:paraId="38E9FD87" w14:textId="77777777" w:rsidR="00B0005F" w:rsidRPr="008A2411" w:rsidRDefault="00B0005F">
      <w:pPr>
        <w:pStyle w:val="afffffffffffffffffff4"/>
        <w:numPr>
          <w:ilvl w:val="0"/>
          <w:numId w:val="18"/>
        </w:numPr>
        <w:adjustRightInd w:val="0"/>
        <w:snapToGrid w:val="0"/>
        <w:spacing w:line="480" w:lineRule="exact"/>
        <w:contextualSpacing w:val="0"/>
        <w:jc w:val="both"/>
        <w:outlineLvl w:val="1"/>
        <w:rPr>
          <w:rFonts w:ascii="Times New Roman" w:eastAsia="黑体" w:hAnsi="Times New Roman"/>
          <w:bCs/>
          <w:vanish/>
          <w:color w:val="000000" w:themeColor="text1"/>
          <w:sz w:val="28"/>
          <w:szCs w:val="28"/>
          <w:lang w:eastAsia="zh-CN"/>
        </w:rPr>
      </w:pPr>
      <w:bookmarkStart w:id="675" w:name="_Toc108365966"/>
      <w:bookmarkStart w:id="676" w:name="_Toc109170707"/>
      <w:bookmarkStart w:id="677" w:name="_Toc109170796"/>
      <w:bookmarkEnd w:id="675"/>
      <w:bookmarkEnd w:id="676"/>
      <w:bookmarkEnd w:id="677"/>
    </w:p>
    <w:p w14:paraId="03B0095A" w14:textId="77777777" w:rsidR="00B0005F" w:rsidRPr="008A2411" w:rsidRDefault="00000000">
      <w:pPr>
        <w:pStyle w:val="WJ2"/>
        <w:spacing w:line="360" w:lineRule="auto"/>
        <w:rPr>
          <w:rFonts w:ascii="Times New Roman" w:hAnsi="Times New Roman"/>
          <w:color w:val="000000" w:themeColor="text1"/>
        </w:rPr>
      </w:pPr>
      <w:bookmarkStart w:id="678" w:name="_Toc109170797"/>
      <w:r w:rsidRPr="008A2411">
        <w:rPr>
          <w:rFonts w:ascii="Times New Roman" w:hAnsi="Times New Roman"/>
          <w:color w:val="000000" w:themeColor="text1"/>
        </w:rPr>
        <w:t>8.1</w:t>
      </w:r>
      <w:r w:rsidRPr="008A2411">
        <w:rPr>
          <w:rFonts w:ascii="Times New Roman" w:hAnsi="Times New Roman"/>
          <w:color w:val="000000" w:themeColor="text1"/>
        </w:rPr>
        <w:t>项目经济效益分析</w:t>
      </w:r>
      <w:bookmarkEnd w:id="667"/>
      <w:bookmarkEnd w:id="668"/>
      <w:bookmarkEnd w:id="669"/>
      <w:bookmarkEnd w:id="670"/>
      <w:bookmarkEnd w:id="671"/>
      <w:bookmarkEnd w:id="672"/>
      <w:bookmarkEnd w:id="673"/>
      <w:bookmarkEnd w:id="678"/>
    </w:p>
    <w:p w14:paraId="136364FD" w14:textId="77777777" w:rsidR="00B0005F" w:rsidRPr="008A2411" w:rsidRDefault="00000000">
      <w:pPr>
        <w:pStyle w:val="WJ3"/>
        <w:spacing w:line="360" w:lineRule="auto"/>
        <w:rPr>
          <w:rFonts w:ascii="Times New Roman" w:hAnsi="Times New Roman"/>
          <w:color w:val="000000" w:themeColor="text1"/>
        </w:rPr>
      </w:pPr>
      <w:bookmarkStart w:id="679" w:name="_Toc405904606"/>
      <w:bookmarkStart w:id="680" w:name="_Toc405904950"/>
      <w:bookmarkStart w:id="681" w:name="_Toc405905422"/>
      <w:bookmarkStart w:id="682" w:name="_Toc405214355"/>
      <w:bookmarkStart w:id="683" w:name="_Toc422906961"/>
      <w:bookmarkStart w:id="684" w:name="_Toc319853021"/>
      <w:r w:rsidRPr="008A2411">
        <w:rPr>
          <w:rFonts w:ascii="Times New Roman" w:hAnsi="Times New Roman"/>
          <w:color w:val="000000" w:themeColor="text1"/>
        </w:rPr>
        <w:t>8.1.1</w:t>
      </w:r>
      <w:r w:rsidRPr="008A2411">
        <w:rPr>
          <w:rFonts w:ascii="Times New Roman" w:hAnsi="Times New Roman"/>
          <w:color w:val="000000" w:themeColor="text1"/>
        </w:rPr>
        <w:t>项目投资及运行成本</w:t>
      </w:r>
      <w:bookmarkEnd w:id="679"/>
      <w:bookmarkEnd w:id="680"/>
      <w:bookmarkEnd w:id="681"/>
      <w:bookmarkEnd w:id="682"/>
      <w:bookmarkEnd w:id="683"/>
      <w:bookmarkEnd w:id="684"/>
    </w:p>
    <w:p w14:paraId="67260697" w14:textId="77777777" w:rsidR="00B0005F" w:rsidRPr="008A2411" w:rsidRDefault="00000000">
      <w:pPr>
        <w:pStyle w:val="WJ"/>
        <w:adjustRightInd w:val="0"/>
        <w:snapToGrid w:val="0"/>
        <w:spacing w:line="360" w:lineRule="auto"/>
        <w:rPr>
          <w:rFonts w:ascii="Times New Roman" w:hAnsi="Times New Roman"/>
          <w:color w:val="000000" w:themeColor="text1"/>
          <w:shd w:val="pct10" w:color="auto" w:fill="FFFFFF"/>
        </w:rPr>
      </w:pPr>
      <w:r w:rsidRPr="008A2411">
        <w:rPr>
          <w:rFonts w:ascii="Times New Roman" w:hAnsi="Times New Roman"/>
          <w:color w:val="000000" w:themeColor="text1"/>
        </w:rPr>
        <w:t>本项目总投资为</w:t>
      </w:r>
      <w:r w:rsidRPr="008A2411">
        <w:rPr>
          <w:rFonts w:ascii="Times New Roman" w:hAnsi="Times New Roman"/>
          <w:color w:val="000000" w:themeColor="text1"/>
        </w:rPr>
        <w:t>53000</w:t>
      </w:r>
      <w:r w:rsidRPr="008A2411">
        <w:rPr>
          <w:rFonts w:ascii="Times New Roman" w:hAnsi="Times New Roman"/>
          <w:color w:val="000000" w:themeColor="text1"/>
        </w:rPr>
        <w:t>万元，总成本包括生产成本和期间费用（管理费用、财务费用、销售费用），按其中生产成本</w:t>
      </w:r>
      <w:r w:rsidRPr="008A2411">
        <w:rPr>
          <w:rFonts w:ascii="Times New Roman" w:hAnsi="Times New Roman"/>
          <w:color w:val="000000" w:themeColor="text1"/>
        </w:rPr>
        <w:t>178.9</w:t>
      </w:r>
      <w:r w:rsidRPr="008A2411">
        <w:rPr>
          <w:rFonts w:ascii="Times New Roman" w:hAnsi="Times New Roman"/>
          <w:color w:val="000000" w:themeColor="text1"/>
        </w:rPr>
        <w:t>万元</w:t>
      </w:r>
      <w:r w:rsidRPr="008A2411">
        <w:rPr>
          <w:rFonts w:ascii="Times New Roman" w:hAnsi="Times New Roman"/>
          <w:color w:val="000000" w:themeColor="text1"/>
        </w:rPr>
        <w:t>/d</w:t>
      </w:r>
      <w:r w:rsidRPr="008A2411">
        <w:rPr>
          <w:rFonts w:ascii="Times New Roman" w:hAnsi="Times New Roman"/>
          <w:color w:val="000000" w:themeColor="text1"/>
        </w:rPr>
        <w:t>，期间费用</w:t>
      </w:r>
      <w:r w:rsidRPr="008A2411">
        <w:rPr>
          <w:rFonts w:ascii="Times New Roman" w:hAnsi="Times New Roman"/>
          <w:color w:val="000000" w:themeColor="text1"/>
        </w:rPr>
        <w:t>10.7</w:t>
      </w:r>
      <w:r w:rsidRPr="008A2411">
        <w:rPr>
          <w:rFonts w:ascii="Times New Roman" w:hAnsi="Times New Roman"/>
          <w:color w:val="000000" w:themeColor="text1"/>
        </w:rPr>
        <w:t>万</w:t>
      </w:r>
      <w:r w:rsidRPr="008A2411">
        <w:rPr>
          <w:rFonts w:ascii="Times New Roman" w:hAnsi="Times New Roman"/>
          <w:color w:val="000000" w:themeColor="text1"/>
        </w:rPr>
        <w:t>/d</w:t>
      </w:r>
      <w:r w:rsidRPr="008A2411">
        <w:rPr>
          <w:rFonts w:ascii="Times New Roman" w:hAnsi="Times New Roman"/>
          <w:color w:val="000000" w:themeColor="text1"/>
        </w:rPr>
        <w:t>。</w:t>
      </w:r>
    </w:p>
    <w:p w14:paraId="38D7B00A" w14:textId="77777777" w:rsidR="00B0005F" w:rsidRPr="008A2411" w:rsidRDefault="00000000">
      <w:pPr>
        <w:pStyle w:val="WJ3"/>
        <w:spacing w:line="360" w:lineRule="auto"/>
        <w:rPr>
          <w:rFonts w:ascii="Times New Roman" w:hAnsi="Times New Roman"/>
          <w:color w:val="000000" w:themeColor="text1"/>
        </w:rPr>
      </w:pPr>
      <w:bookmarkStart w:id="685" w:name="_Toc319853022"/>
      <w:bookmarkStart w:id="686" w:name="_Toc405905423"/>
      <w:bookmarkStart w:id="687" w:name="_Toc405214356"/>
      <w:bookmarkStart w:id="688" w:name="_Toc422906962"/>
      <w:bookmarkStart w:id="689" w:name="_Toc405904951"/>
      <w:bookmarkStart w:id="690" w:name="_Toc405904607"/>
      <w:bookmarkEnd w:id="674"/>
      <w:r w:rsidRPr="008A2411">
        <w:rPr>
          <w:rFonts w:ascii="Times New Roman" w:hAnsi="Times New Roman"/>
          <w:color w:val="000000" w:themeColor="text1"/>
        </w:rPr>
        <w:t xml:space="preserve">8.1.2 </w:t>
      </w:r>
      <w:r w:rsidRPr="008A2411">
        <w:rPr>
          <w:rFonts w:ascii="Times New Roman" w:hAnsi="Times New Roman"/>
          <w:color w:val="000000" w:themeColor="text1"/>
        </w:rPr>
        <w:t>项目投资经济效益</w:t>
      </w:r>
      <w:bookmarkEnd w:id="685"/>
      <w:bookmarkEnd w:id="686"/>
      <w:bookmarkEnd w:id="687"/>
      <w:bookmarkEnd w:id="688"/>
      <w:bookmarkEnd w:id="689"/>
      <w:bookmarkEnd w:id="690"/>
    </w:p>
    <w:p w14:paraId="458939A9" w14:textId="77777777" w:rsidR="00B0005F" w:rsidRPr="008A2411" w:rsidRDefault="00000000">
      <w:pPr>
        <w:pStyle w:val="WJ"/>
        <w:adjustRightInd w:val="0"/>
        <w:snapToGrid w:val="0"/>
        <w:spacing w:line="360" w:lineRule="auto"/>
        <w:rPr>
          <w:rFonts w:ascii="Times New Roman" w:hAnsi="Times New Roman"/>
          <w:color w:val="000000" w:themeColor="text1"/>
        </w:rPr>
      </w:pPr>
      <w:bookmarkStart w:id="691" w:name="_Toc319853023"/>
      <w:r w:rsidRPr="008A2411">
        <w:rPr>
          <w:rFonts w:ascii="Times New Roman" w:hAnsi="Times New Roman"/>
          <w:color w:val="000000" w:themeColor="text1"/>
        </w:rPr>
        <w:t>（</w:t>
      </w:r>
      <w:r w:rsidRPr="008A2411">
        <w:rPr>
          <w:rFonts w:ascii="Times New Roman" w:hAnsi="Times New Roman"/>
          <w:color w:val="000000" w:themeColor="text1"/>
        </w:rPr>
        <w:t>1</w:t>
      </w:r>
      <w:r w:rsidRPr="008A2411">
        <w:rPr>
          <w:rFonts w:ascii="Times New Roman" w:hAnsi="Times New Roman"/>
          <w:color w:val="000000" w:themeColor="text1"/>
        </w:rPr>
        <w:t>）</w:t>
      </w:r>
      <w:r w:rsidRPr="008A2411">
        <w:rPr>
          <w:rFonts w:ascii="Times New Roman" w:hAnsi="Times New Roman"/>
          <w:color w:val="000000" w:themeColor="text1"/>
        </w:rPr>
        <w:t>LNG</w:t>
      </w:r>
      <w:r w:rsidRPr="008A2411">
        <w:rPr>
          <w:rFonts w:ascii="Times New Roman" w:hAnsi="Times New Roman"/>
          <w:color w:val="000000" w:themeColor="text1"/>
        </w:rPr>
        <w:t>销售价</w:t>
      </w:r>
    </w:p>
    <w:p w14:paraId="3C75F3EB"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根据公司市场情况，对外销售含税平均价</w:t>
      </w:r>
      <w:r w:rsidRPr="008A2411">
        <w:rPr>
          <w:rFonts w:ascii="Times New Roman" w:hAnsi="Times New Roman"/>
          <w:color w:val="000000" w:themeColor="text1"/>
        </w:rPr>
        <w:t>3150</w:t>
      </w:r>
      <w:r w:rsidRPr="008A2411">
        <w:rPr>
          <w:rFonts w:ascii="Times New Roman" w:hAnsi="Times New Roman"/>
          <w:color w:val="000000" w:themeColor="text1"/>
        </w:rPr>
        <w:t>元</w:t>
      </w:r>
      <w:r w:rsidRPr="008A2411">
        <w:rPr>
          <w:rFonts w:ascii="Times New Roman" w:hAnsi="Times New Roman"/>
          <w:color w:val="000000" w:themeColor="text1"/>
        </w:rPr>
        <w:t>/t</w:t>
      </w:r>
      <w:r w:rsidRPr="008A2411">
        <w:rPr>
          <w:rFonts w:ascii="Times New Roman" w:hAnsi="Times New Roman"/>
          <w:color w:val="000000" w:themeColor="text1"/>
        </w:rPr>
        <w:t>。</w:t>
      </w:r>
    </w:p>
    <w:p w14:paraId="141B4AF3"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2</w:t>
      </w:r>
      <w:r w:rsidRPr="008A2411">
        <w:rPr>
          <w:rFonts w:ascii="Times New Roman" w:hAnsi="Times New Roman"/>
          <w:color w:val="000000" w:themeColor="text1"/>
        </w:rPr>
        <w:t>）销售收入</w:t>
      </w:r>
    </w:p>
    <w:p w14:paraId="7617182D"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年营业收入</w:t>
      </w:r>
      <w:r w:rsidRPr="008A2411">
        <w:rPr>
          <w:rFonts w:ascii="Times New Roman" w:hAnsi="Times New Roman"/>
          <w:color w:val="000000" w:themeColor="text1"/>
        </w:rPr>
        <w:t>=</w:t>
      </w:r>
      <w:r w:rsidRPr="008A2411">
        <w:rPr>
          <w:rFonts w:ascii="Times New Roman" w:hAnsi="Times New Roman"/>
          <w:color w:val="000000" w:themeColor="text1"/>
        </w:rPr>
        <w:t>年</w:t>
      </w:r>
      <w:r w:rsidRPr="008A2411">
        <w:rPr>
          <w:rFonts w:ascii="Times New Roman" w:hAnsi="Times New Roman"/>
          <w:color w:val="000000" w:themeColor="text1"/>
        </w:rPr>
        <w:t>LNG</w:t>
      </w:r>
      <w:r w:rsidRPr="008A2411">
        <w:rPr>
          <w:rFonts w:ascii="Times New Roman" w:hAnsi="Times New Roman"/>
          <w:color w:val="000000" w:themeColor="text1"/>
        </w:rPr>
        <w:t>销售量</w:t>
      </w:r>
      <w:r w:rsidRPr="008A2411">
        <w:rPr>
          <w:rFonts w:ascii="Times New Roman" w:hAnsi="Times New Roman"/>
          <w:color w:val="000000" w:themeColor="text1"/>
        </w:rPr>
        <w:t>×LNG</w:t>
      </w:r>
      <w:r w:rsidRPr="008A2411">
        <w:rPr>
          <w:rFonts w:ascii="Times New Roman" w:hAnsi="Times New Roman"/>
          <w:color w:val="000000" w:themeColor="text1"/>
        </w:rPr>
        <w:t>销售价</w:t>
      </w:r>
      <w:r w:rsidRPr="008A2411">
        <w:rPr>
          <w:rFonts w:ascii="Times New Roman" w:hAnsi="Times New Roman"/>
          <w:color w:val="000000" w:themeColor="text1"/>
        </w:rPr>
        <w:t>=7245</w:t>
      </w:r>
      <w:r w:rsidRPr="008A2411">
        <w:rPr>
          <w:rFonts w:ascii="Times New Roman" w:hAnsi="Times New Roman"/>
          <w:color w:val="000000" w:themeColor="text1"/>
        </w:rPr>
        <w:t>万元。</w:t>
      </w:r>
    </w:p>
    <w:p w14:paraId="6F07769F" w14:textId="77777777" w:rsidR="00B0005F" w:rsidRPr="008A2411" w:rsidRDefault="00000000">
      <w:pPr>
        <w:pStyle w:val="WJ2"/>
        <w:spacing w:line="360" w:lineRule="auto"/>
        <w:rPr>
          <w:rFonts w:ascii="Times New Roman" w:hAnsi="Times New Roman"/>
          <w:color w:val="000000" w:themeColor="text1"/>
        </w:rPr>
      </w:pPr>
      <w:bookmarkStart w:id="692" w:name="_Toc451355441"/>
      <w:bookmarkStart w:id="693" w:name="_Toc405904952"/>
      <w:bookmarkStart w:id="694" w:name="_Toc422906963"/>
      <w:bookmarkStart w:id="695" w:name="_Toc405214357"/>
      <w:bookmarkStart w:id="696" w:name="_Toc405905424"/>
      <w:bookmarkStart w:id="697" w:name="_Toc405904608"/>
      <w:bookmarkStart w:id="698" w:name="_Toc319853024"/>
      <w:bookmarkStart w:id="699" w:name="_Toc109170798"/>
      <w:bookmarkEnd w:id="691"/>
      <w:r w:rsidRPr="008A2411">
        <w:rPr>
          <w:rFonts w:ascii="Times New Roman" w:hAnsi="Times New Roman"/>
          <w:color w:val="000000" w:themeColor="text1"/>
        </w:rPr>
        <w:t>8.2</w:t>
      </w:r>
      <w:r w:rsidRPr="008A2411">
        <w:rPr>
          <w:rFonts w:ascii="Times New Roman" w:hAnsi="Times New Roman"/>
          <w:color w:val="000000" w:themeColor="text1"/>
        </w:rPr>
        <w:t>项目环境效益分析</w:t>
      </w:r>
      <w:bookmarkEnd w:id="692"/>
      <w:bookmarkEnd w:id="693"/>
      <w:bookmarkEnd w:id="694"/>
      <w:bookmarkEnd w:id="695"/>
      <w:bookmarkEnd w:id="696"/>
      <w:bookmarkEnd w:id="697"/>
      <w:bookmarkEnd w:id="698"/>
      <w:bookmarkEnd w:id="699"/>
    </w:p>
    <w:p w14:paraId="0C5EB0C5" w14:textId="77777777" w:rsidR="00B0005F" w:rsidRPr="008A2411" w:rsidRDefault="00000000">
      <w:pPr>
        <w:adjustRightInd w:val="0"/>
        <w:snapToGrid w:val="0"/>
        <w:spacing w:line="360" w:lineRule="auto"/>
        <w:ind w:firstLineChars="200" w:firstLine="480"/>
        <w:rPr>
          <w:rFonts w:ascii="Times New Roman"/>
          <w:color w:val="000000" w:themeColor="text1"/>
          <w:kern w:val="2"/>
          <w:szCs w:val="24"/>
        </w:rPr>
      </w:pPr>
      <w:bookmarkStart w:id="700" w:name="_Toc405214360"/>
      <w:bookmarkStart w:id="701" w:name="_Toc319853027"/>
      <w:bookmarkStart w:id="702" w:name="_Toc405905427"/>
      <w:bookmarkStart w:id="703" w:name="_Toc451355442"/>
      <w:bookmarkStart w:id="704" w:name="_Toc422906966"/>
      <w:bookmarkStart w:id="705" w:name="_Toc405904611"/>
      <w:bookmarkStart w:id="706" w:name="_Toc405904955"/>
      <w:r w:rsidRPr="008A2411">
        <w:rPr>
          <w:rFonts w:ascii="Times New Roman"/>
          <w:color w:val="000000" w:themeColor="text1"/>
          <w:kern w:val="2"/>
          <w:szCs w:val="24"/>
        </w:rPr>
        <w:t>本项目通过环保治理后，在废气排放方面，对脱硫废气中的</w:t>
      </w:r>
      <w:r w:rsidRPr="008A2411">
        <w:rPr>
          <w:rFonts w:ascii="Times New Roman"/>
          <w:color w:val="000000" w:themeColor="text1"/>
          <w:kern w:val="2"/>
          <w:szCs w:val="24"/>
        </w:rPr>
        <w:t>H</w:t>
      </w:r>
      <w:r w:rsidRPr="008A2411">
        <w:rPr>
          <w:rFonts w:ascii="Times New Roman"/>
          <w:color w:val="000000" w:themeColor="text1"/>
          <w:kern w:val="2"/>
          <w:szCs w:val="24"/>
          <w:vertAlign w:val="subscript"/>
        </w:rPr>
        <w:t>2</w:t>
      </w:r>
      <w:r w:rsidRPr="008A2411">
        <w:rPr>
          <w:rFonts w:ascii="Times New Roman"/>
          <w:color w:val="000000" w:themeColor="text1"/>
          <w:kern w:val="2"/>
          <w:szCs w:val="24"/>
        </w:rPr>
        <w:t>S</w:t>
      </w:r>
      <w:r w:rsidRPr="008A2411">
        <w:rPr>
          <w:rFonts w:ascii="Times New Roman"/>
          <w:color w:val="000000" w:themeColor="text1"/>
          <w:kern w:val="2"/>
          <w:szCs w:val="24"/>
        </w:rPr>
        <w:t>等酸性气体进行了排放消减；在废水方面，厂区自建了污水处理系统，对生产及生活废水中的</w:t>
      </w:r>
      <w:r w:rsidRPr="008A2411">
        <w:rPr>
          <w:rFonts w:ascii="Times New Roman"/>
          <w:color w:val="000000" w:themeColor="text1"/>
          <w:kern w:val="2"/>
          <w:szCs w:val="24"/>
        </w:rPr>
        <w:t>COD</w:t>
      </w:r>
      <w:r w:rsidRPr="008A2411">
        <w:rPr>
          <w:rFonts w:ascii="Times New Roman"/>
          <w:color w:val="000000" w:themeColor="text1"/>
          <w:kern w:val="2"/>
          <w:szCs w:val="24"/>
        </w:rPr>
        <w:t>、氨氮等进行了大幅削减；在地下水、土壤污染防治方面，厂区设置了分区防渗设施，大大减小了各类设施、原辅材料、废物等对区域地下水和土壤造成的污染影响。因此，本项目对环境的效益显著。</w:t>
      </w:r>
    </w:p>
    <w:p w14:paraId="27B0248C" w14:textId="77777777" w:rsidR="00B0005F" w:rsidRPr="008A2411" w:rsidRDefault="00000000">
      <w:pPr>
        <w:pStyle w:val="WJ2"/>
        <w:spacing w:line="360" w:lineRule="auto"/>
        <w:rPr>
          <w:rFonts w:ascii="Times New Roman" w:hAnsi="Times New Roman"/>
          <w:color w:val="000000" w:themeColor="text1"/>
        </w:rPr>
      </w:pPr>
      <w:bookmarkStart w:id="707" w:name="_Toc109170799"/>
      <w:r w:rsidRPr="008A2411">
        <w:rPr>
          <w:rFonts w:ascii="Times New Roman" w:hAnsi="Times New Roman"/>
          <w:color w:val="000000" w:themeColor="text1"/>
        </w:rPr>
        <w:t>8.3</w:t>
      </w:r>
      <w:r w:rsidRPr="008A2411">
        <w:rPr>
          <w:rFonts w:ascii="Times New Roman" w:hAnsi="Times New Roman"/>
          <w:color w:val="000000" w:themeColor="text1"/>
        </w:rPr>
        <w:t>环境经济损益分析</w:t>
      </w:r>
      <w:bookmarkEnd w:id="707"/>
    </w:p>
    <w:p w14:paraId="2B76E46E" w14:textId="77777777" w:rsidR="00B0005F" w:rsidRPr="008A2411" w:rsidRDefault="00000000">
      <w:pPr>
        <w:pStyle w:val="WJ2"/>
        <w:spacing w:line="360" w:lineRule="auto"/>
        <w:ind w:firstLineChars="200" w:firstLine="480"/>
        <w:outlineLvl w:val="9"/>
        <w:rPr>
          <w:rFonts w:ascii="Times New Roman" w:eastAsia="宋体" w:hAnsi="Times New Roman"/>
          <w:bCs w:val="0"/>
          <w:color w:val="000000" w:themeColor="text1"/>
          <w:kern w:val="2"/>
          <w:sz w:val="24"/>
          <w:szCs w:val="24"/>
          <w:lang w:bidi="ar-SA"/>
        </w:rPr>
      </w:pPr>
      <w:bookmarkStart w:id="708" w:name="_Toc19550"/>
      <w:bookmarkStart w:id="709" w:name="_Toc11930"/>
      <w:bookmarkStart w:id="710" w:name="_Toc7996"/>
      <w:r w:rsidRPr="008A2411">
        <w:rPr>
          <w:rFonts w:ascii="Times New Roman" w:eastAsia="宋体" w:hAnsi="Times New Roman"/>
          <w:bCs w:val="0"/>
          <w:color w:val="000000" w:themeColor="text1"/>
          <w:kern w:val="2"/>
          <w:sz w:val="24"/>
          <w:szCs w:val="24"/>
          <w:lang w:bidi="ar-SA"/>
        </w:rPr>
        <w:t>本项目在</w:t>
      </w:r>
      <w:r w:rsidRPr="008A2411">
        <w:rPr>
          <w:rFonts w:ascii="Times New Roman" w:eastAsia="宋体" w:hAnsi="Times New Roman" w:hint="eastAsia"/>
          <w:bCs w:val="0"/>
          <w:color w:val="000000" w:themeColor="text1"/>
          <w:kern w:val="2"/>
          <w:sz w:val="24"/>
          <w:szCs w:val="24"/>
          <w:lang w:bidi="ar-SA"/>
        </w:rPr>
        <w:t>“</w:t>
      </w:r>
      <w:r w:rsidRPr="008A2411">
        <w:rPr>
          <w:rFonts w:ascii="Times New Roman" w:eastAsia="宋体" w:hAnsi="Times New Roman"/>
          <w:bCs w:val="0"/>
          <w:color w:val="000000" w:themeColor="text1"/>
          <w:kern w:val="2"/>
          <w:sz w:val="24"/>
          <w:szCs w:val="24"/>
          <w:lang w:bidi="ar-SA"/>
        </w:rPr>
        <w:t>三废</w:t>
      </w:r>
      <w:r w:rsidRPr="008A2411">
        <w:rPr>
          <w:rFonts w:ascii="Times New Roman" w:eastAsia="宋体" w:hAnsi="Times New Roman" w:hint="eastAsia"/>
          <w:bCs w:val="0"/>
          <w:color w:val="000000" w:themeColor="text1"/>
          <w:kern w:val="2"/>
          <w:sz w:val="24"/>
          <w:szCs w:val="24"/>
          <w:lang w:bidi="ar-SA"/>
        </w:rPr>
        <w:t>”</w:t>
      </w:r>
      <w:r w:rsidRPr="008A2411">
        <w:rPr>
          <w:rFonts w:ascii="Times New Roman" w:eastAsia="宋体" w:hAnsi="Times New Roman"/>
          <w:bCs w:val="0"/>
          <w:color w:val="000000" w:themeColor="text1"/>
          <w:kern w:val="2"/>
          <w:sz w:val="24"/>
          <w:szCs w:val="24"/>
          <w:lang w:bidi="ar-SA"/>
        </w:rPr>
        <w:t>治理过程中，突出了对主要污染源重点治理，资源的回收和综合利用，从而避免了污染物的超标排放，并有效利用了废渣，取得了一定的环境经济效益。企业投资</w:t>
      </w:r>
      <w:r w:rsidRPr="008A2411">
        <w:rPr>
          <w:rFonts w:ascii="Times New Roman" w:eastAsia="宋体" w:hAnsi="Times New Roman" w:hint="eastAsia"/>
          <w:bCs w:val="0"/>
          <w:color w:val="000000" w:themeColor="text1"/>
          <w:kern w:val="2"/>
          <w:sz w:val="24"/>
          <w:szCs w:val="24"/>
          <w:lang w:bidi="ar-SA"/>
        </w:rPr>
        <w:t>874</w:t>
      </w:r>
      <w:r w:rsidRPr="008A2411">
        <w:rPr>
          <w:rFonts w:ascii="Times New Roman" w:eastAsia="宋体" w:hAnsi="Times New Roman" w:hint="eastAsia"/>
          <w:bCs w:val="0"/>
          <w:color w:val="000000" w:themeColor="text1"/>
          <w:kern w:val="2"/>
          <w:sz w:val="24"/>
          <w:szCs w:val="24"/>
          <w:lang w:bidi="ar-SA"/>
        </w:rPr>
        <w:t>万元</w:t>
      </w:r>
      <w:r w:rsidRPr="008A2411">
        <w:rPr>
          <w:rFonts w:ascii="Times New Roman" w:eastAsia="宋体" w:hAnsi="Times New Roman"/>
          <w:bCs w:val="0"/>
          <w:color w:val="000000" w:themeColor="text1"/>
          <w:kern w:val="2"/>
          <w:sz w:val="24"/>
          <w:szCs w:val="24"/>
          <w:lang w:bidi="ar-SA"/>
        </w:rPr>
        <w:t>对废气、废水和噪声进行治理，虽然有一定的投入，但有较好环境收益，可减少每年的排污交费和回收物料等。因此，企业对污染源的治理，有较好的环境效益和经济效益。</w:t>
      </w:r>
      <w:bookmarkEnd w:id="708"/>
      <w:bookmarkEnd w:id="709"/>
      <w:bookmarkEnd w:id="710"/>
    </w:p>
    <w:p w14:paraId="0B261413" w14:textId="77777777" w:rsidR="00B0005F" w:rsidRPr="008A2411" w:rsidRDefault="00000000">
      <w:pPr>
        <w:pStyle w:val="WJ2"/>
        <w:spacing w:line="360" w:lineRule="auto"/>
        <w:rPr>
          <w:rFonts w:ascii="Times New Roman" w:hAnsi="Times New Roman"/>
          <w:color w:val="000000" w:themeColor="text1"/>
        </w:rPr>
      </w:pPr>
      <w:bookmarkStart w:id="711" w:name="_Toc109170800"/>
      <w:r w:rsidRPr="008A2411">
        <w:rPr>
          <w:rFonts w:ascii="Times New Roman" w:hAnsi="Times New Roman"/>
          <w:color w:val="000000" w:themeColor="text1"/>
        </w:rPr>
        <w:t>8.4</w:t>
      </w:r>
      <w:r w:rsidRPr="008A2411">
        <w:rPr>
          <w:rFonts w:ascii="Times New Roman" w:hAnsi="Times New Roman"/>
          <w:color w:val="000000" w:themeColor="text1"/>
        </w:rPr>
        <w:t>项目社会效益分析</w:t>
      </w:r>
      <w:bookmarkEnd w:id="700"/>
      <w:bookmarkEnd w:id="701"/>
      <w:bookmarkEnd w:id="702"/>
      <w:bookmarkEnd w:id="703"/>
      <w:bookmarkEnd w:id="704"/>
      <w:bookmarkEnd w:id="705"/>
      <w:bookmarkEnd w:id="706"/>
      <w:bookmarkEnd w:id="711"/>
    </w:p>
    <w:p w14:paraId="4EDCD4A6"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本项目的实施可在一定程度上促进中国石油天然气工业的发展，加速城市的气化进程，改善大气环境质量，促进西部地区的经济建设。同时，有利于改变目前不合理的燃料、原料结构，适应城市环保要求的提高和主业结构的调整，促进天然气化工及相关产业的发展，提高企业的经济效益，增加就业机会，加速区域经济的发展。</w:t>
      </w:r>
    </w:p>
    <w:p w14:paraId="08D6C38B"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 xml:space="preserve"> </w:t>
      </w:r>
      <w:r w:rsidRPr="008A2411">
        <w:rPr>
          <w:rFonts w:ascii="Times New Roman" w:hAnsi="Times New Roman"/>
          <w:color w:val="000000" w:themeColor="text1"/>
        </w:rPr>
        <w:t>因此，本项目的开发建设具有显著的社会效益。</w:t>
      </w:r>
    </w:p>
    <w:p w14:paraId="321859CE" w14:textId="77777777" w:rsidR="00B0005F" w:rsidRPr="008A2411" w:rsidRDefault="00000000">
      <w:pPr>
        <w:pStyle w:val="WJ2"/>
        <w:spacing w:line="360" w:lineRule="auto"/>
        <w:rPr>
          <w:rFonts w:ascii="Times New Roman" w:hAnsi="Times New Roman"/>
          <w:color w:val="000000" w:themeColor="text1"/>
        </w:rPr>
      </w:pPr>
      <w:bookmarkStart w:id="712" w:name="_Toc405904956"/>
      <w:bookmarkStart w:id="713" w:name="_Toc405904612"/>
      <w:bookmarkStart w:id="714" w:name="_Toc422906967"/>
      <w:bookmarkStart w:id="715" w:name="_Toc319853028"/>
      <w:bookmarkStart w:id="716" w:name="_Toc451355443"/>
      <w:bookmarkStart w:id="717" w:name="_Toc405214361"/>
      <w:bookmarkStart w:id="718" w:name="_Toc405905428"/>
      <w:bookmarkStart w:id="719" w:name="_Toc109170801"/>
      <w:r w:rsidRPr="008A2411">
        <w:rPr>
          <w:rFonts w:ascii="Times New Roman" w:hAnsi="Times New Roman"/>
          <w:color w:val="000000" w:themeColor="text1"/>
        </w:rPr>
        <w:lastRenderedPageBreak/>
        <w:t>8.5</w:t>
      </w:r>
      <w:r w:rsidRPr="008A2411">
        <w:rPr>
          <w:rFonts w:ascii="Times New Roman" w:hAnsi="Times New Roman"/>
          <w:color w:val="000000" w:themeColor="text1"/>
        </w:rPr>
        <w:t>小结</w:t>
      </w:r>
      <w:bookmarkEnd w:id="712"/>
      <w:bookmarkEnd w:id="713"/>
      <w:bookmarkEnd w:id="714"/>
      <w:bookmarkEnd w:id="715"/>
      <w:bookmarkEnd w:id="716"/>
      <w:bookmarkEnd w:id="717"/>
      <w:bookmarkEnd w:id="718"/>
      <w:bookmarkEnd w:id="719"/>
    </w:p>
    <w:p w14:paraId="6B39F10D"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szCs w:val="28"/>
        </w:rPr>
        <w:t>公司通过采取的环保措施能够取得良好的治理效果，很好地保护周围环境，做到了以较少的环保投资取得一定的环境效益，其环境效益、环境经济收益和社会效益显著</w:t>
      </w:r>
      <w:r w:rsidRPr="008A2411">
        <w:rPr>
          <w:rFonts w:ascii="Times New Roman" w:hAnsi="Times New Roman"/>
          <w:color w:val="000000" w:themeColor="text1"/>
        </w:rPr>
        <w:t>。</w:t>
      </w:r>
    </w:p>
    <w:p w14:paraId="28E168EC" w14:textId="77777777" w:rsidR="00B0005F" w:rsidRPr="008A2411" w:rsidRDefault="00000000">
      <w:pPr>
        <w:pStyle w:val="WJ"/>
        <w:adjustRightInd w:val="0"/>
        <w:snapToGrid w:val="0"/>
        <w:spacing w:line="360" w:lineRule="auto"/>
        <w:rPr>
          <w:rFonts w:ascii="Times New Roman" w:hAnsi="Times New Roman"/>
          <w:color w:val="000000" w:themeColor="text1"/>
          <w:spacing w:val="2"/>
        </w:rPr>
      </w:pPr>
      <w:r w:rsidRPr="008A2411">
        <w:rPr>
          <w:rFonts w:ascii="Times New Roman" w:hAnsi="Times New Roman"/>
          <w:color w:val="000000" w:themeColor="text1"/>
        </w:rPr>
        <w:t>本项目的建设在促进天然气化工及相关产业的发展，提高企业的经济效益，增加就业机会，提高民用气保证率，带动地区经济发展和增加项目区域居民收入，提高居民生活质量等方面具有重要的社会效益。</w:t>
      </w:r>
    </w:p>
    <w:p w14:paraId="6A830078"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由此可见，项目的建设实现了经济效益、社会效益和环境效益的统一。</w:t>
      </w:r>
    </w:p>
    <w:p w14:paraId="4B10066F" w14:textId="77777777" w:rsidR="00B0005F" w:rsidRPr="008A2411" w:rsidRDefault="00B0005F">
      <w:pPr>
        <w:pStyle w:val="WJ"/>
        <w:ind w:firstLine="643"/>
        <w:rPr>
          <w:rFonts w:ascii="Times New Roman" w:hAnsi="Times New Roman"/>
          <w:b/>
          <w:bCs/>
          <w:color w:val="000000" w:themeColor="text1"/>
          <w:kern w:val="44"/>
          <w:sz w:val="32"/>
        </w:rPr>
        <w:sectPr w:rsidR="00B0005F" w:rsidRPr="008A2411">
          <w:footerReference w:type="default" r:id="rId104"/>
          <w:pgSz w:w="11906" w:h="16838"/>
          <w:pgMar w:top="1440" w:right="1797" w:bottom="1440" w:left="1797" w:header="851" w:footer="851" w:gutter="0"/>
          <w:pgNumType w:chapStyle="1"/>
          <w:cols w:space="720"/>
          <w:docGrid w:linePitch="312"/>
        </w:sectPr>
      </w:pPr>
    </w:p>
    <w:p w14:paraId="40D39DA7" w14:textId="77777777" w:rsidR="00B0005F" w:rsidRPr="008A2411" w:rsidRDefault="00000000">
      <w:pPr>
        <w:pStyle w:val="aa"/>
        <w:adjustRightInd w:val="0"/>
        <w:snapToGrid w:val="0"/>
        <w:spacing w:line="360" w:lineRule="auto"/>
        <w:ind w:firstLine="0"/>
        <w:jc w:val="center"/>
        <w:outlineLvl w:val="0"/>
        <w:rPr>
          <w:rFonts w:ascii="Times New Roman"/>
          <w:b/>
          <w:bCs/>
          <w:color w:val="000000" w:themeColor="text1"/>
          <w:kern w:val="44"/>
          <w:sz w:val="32"/>
          <w:szCs w:val="24"/>
        </w:rPr>
      </w:pPr>
      <w:bookmarkStart w:id="720" w:name="_Toc487639820"/>
      <w:bookmarkStart w:id="721" w:name="_Toc19108267"/>
      <w:bookmarkStart w:id="722" w:name="_Toc487639933"/>
      <w:bookmarkStart w:id="723" w:name="_Toc31923"/>
      <w:bookmarkStart w:id="724" w:name="_Toc109170802"/>
      <w:r w:rsidRPr="008A2411">
        <w:rPr>
          <w:rFonts w:ascii="Times New Roman"/>
          <w:b/>
          <w:bCs/>
          <w:color w:val="000000" w:themeColor="text1"/>
          <w:kern w:val="44"/>
          <w:sz w:val="32"/>
          <w:szCs w:val="24"/>
        </w:rPr>
        <w:lastRenderedPageBreak/>
        <w:t>第九章</w:t>
      </w:r>
      <w:r w:rsidRPr="008A2411">
        <w:rPr>
          <w:rFonts w:ascii="Times New Roman"/>
          <w:b/>
          <w:bCs/>
          <w:color w:val="000000" w:themeColor="text1"/>
          <w:kern w:val="44"/>
          <w:sz w:val="32"/>
          <w:szCs w:val="24"/>
        </w:rPr>
        <w:t xml:space="preserve">  </w:t>
      </w:r>
      <w:r w:rsidRPr="008A2411">
        <w:rPr>
          <w:rFonts w:ascii="Times New Roman"/>
          <w:b/>
          <w:bCs/>
          <w:color w:val="000000" w:themeColor="text1"/>
          <w:kern w:val="44"/>
          <w:sz w:val="32"/>
          <w:szCs w:val="24"/>
        </w:rPr>
        <w:t>环境管理</w:t>
      </w:r>
      <w:bookmarkStart w:id="725" w:name="_Toc405905401"/>
      <w:bookmarkStart w:id="726" w:name="_Toc309912154"/>
      <w:bookmarkStart w:id="727" w:name="_Toc422906943"/>
      <w:bookmarkStart w:id="728" w:name="_Toc405904929"/>
      <w:bookmarkStart w:id="729" w:name="_Toc451355435"/>
      <w:bookmarkStart w:id="730" w:name="_Toc405904585"/>
      <w:bookmarkStart w:id="731" w:name="_Toc319853002"/>
      <w:bookmarkStart w:id="732" w:name="_Toc405214333"/>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720"/>
      <w:bookmarkEnd w:id="721"/>
      <w:bookmarkEnd w:id="722"/>
      <w:bookmarkEnd w:id="723"/>
      <w:r w:rsidRPr="008A2411">
        <w:rPr>
          <w:rFonts w:ascii="Times New Roman"/>
          <w:b/>
          <w:bCs/>
          <w:color w:val="000000" w:themeColor="text1"/>
          <w:kern w:val="44"/>
          <w:sz w:val="32"/>
          <w:szCs w:val="24"/>
        </w:rPr>
        <w:t>与监测计划</w:t>
      </w:r>
      <w:bookmarkEnd w:id="724"/>
    </w:p>
    <w:p w14:paraId="1153D488" w14:textId="77777777" w:rsidR="00B0005F" w:rsidRPr="008A2411" w:rsidRDefault="00000000">
      <w:pPr>
        <w:pStyle w:val="aa"/>
        <w:adjustRightInd w:val="0"/>
        <w:spacing w:line="360" w:lineRule="auto"/>
        <w:ind w:firstLineChars="200" w:firstLine="480"/>
        <w:rPr>
          <w:rFonts w:ascii="Times New Roman"/>
          <w:color w:val="000000" w:themeColor="text1"/>
          <w:szCs w:val="24"/>
        </w:rPr>
      </w:pPr>
      <w:r w:rsidRPr="008A2411">
        <w:rPr>
          <w:rFonts w:ascii="Times New Roman"/>
          <w:color w:val="000000" w:themeColor="text1"/>
          <w:szCs w:val="24"/>
        </w:rPr>
        <w:t>为了明确建设项目的健康、安全与环境保护方针及目标，加强对本项目的管理与监督，不断提高员工的健康水平，提高安全生产的保障水平，提高企业生产的环境保护水平，努力实现无事故、无伤害、无污染、无损失，建立科学有效的管理体制，落实各项环保和安全措施显得尤为重要。因此，本项目在施工期（包括测试放喷）均实施</w:t>
      </w:r>
      <w:r w:rsidRPr="008A2411">
        <w:rPr>
          <w:rFonts w:ascii="Times New Roman"/>
          <w:color w:val="000000" w:themeColor="text1"/>
          <w:szCs w:val="24"/>
        </w:rPr>
        <w:t>HSE</w:t>
      </w:r>
      <w:r w:rsidRPr="008A2411">
        <w:rPr>
          <w:rFonts w:ascii="Times New Roman"/>
          <w:color w:val="000000" w:themeColor="text1"/>
          <w:szCs w:val="24"/>
        </w:rPr>
        <w:t>管理模式。目前</w:t>
      </w:r>
      <w:r w:rsidRPr="008A2411">
        <w:rPr>
          <w:rFonts w:ascii="Times New Roman"/>
          <w:color w:val="000000" w:themeColor="text1"/>
          <w:szCs w:val="24"/>
        </w:rPr>
        <w:t>HSE</w:t>
      </w:r>
      <w:r w:rsidRPr="008A2411">
        <w:rPr>
          <w:rFonts w:ascii="Times New Roman"/>
          <w:color w:val="000000" w:themeColor="text1"/>
          <w:szCs w:val="24"/>
        </w:rPr>
        <w:t>管理体系在国内外石油行业中已取得了非常成功的经验。根</w:t>
      </w:r>
      <w:proofErr w:type="gramStart"/>
      <w:r w:rsidRPr="008A2411">
        <w:rPr>
          <w:rFonts w:ascii="Times New Roman"/>
          <w:color w:val="000000" w:themeColor="text1"/>
          <w:szCs w:val="24"/>
        </w:rPr>
        <w:t>椐</w:t>
      </w:r>
      <w:proofErr w:type="gramEnd"/>
      <w:r w:rsidRPr="008A2411">
        <w:rPr>
          <w:rFonts w:ascii="Times New Roman"/>
          <w:color w:val="000000" w:themeColor="text1"/>
          <w:szCs w:val="24"/>
        </w:rPr>
        <w:t>国家和地方有关的环境保护法规，针对项目的建设施工期和生产期特点提出如下</w:t>
      </w:r>
      <w:r w:rsidRPr="008A2411">
        <w:rPr>
          <w:rFonts w:ascii="Times New Roman"/>
          <w:color w:val="000000" w:themeColor="text1"/>
          <w:szCs w:val="24"/>
        </w:rPr>
        <w:t>HSE</w:t>
      </w:r>
      <w:r w:rsidRPr="008A2411">
        <w:rPr>
          <w:rFonts w:ascii="Times New Roman"/>
          <w:color w:val="000000" w:themeColor="text1"/>
          <w:szCs w:val="24"/>
        </w:rPr>
        <w:t>管理的建议或方法，以保证项目在建设和运营过程中的各项工作都受到有效的管理和监督。</w:t>
      </w:r>
      <w:bookmarkStart w:id="733" w:name="_Toc469780912"/>
      <w:bookmarkStart w:id="734" w:name="_Toc310341219"/>
      <w:bookmarkStart w:id="735" w:name="_Toc451355436"/>
      <w:bookmarkStart w:id="736" w:name="_Toc405214334"/>
      <w:bookmarkStart w:id="737" w:name="_Toc405904930"/>
      <w:bookmarkStart w:id="738" w:name="_Toc422906944"/>
      <w:bookmarkStart w:id="739" w:name="_Toc405905402"/>
      <w:bookmarkStart w:id="740" w:name="_Toc319853003"/>
      <w:bookmarkStart w:id="741" w:name="_Toc405904586"/>
      <w:bookmarkEnd w:id="725"/>
      <w:bookmarkEnd w:id="726"/>
      <w:bookmarkEnd w:id="727"/>
      <w:bookmarkEnd w:id="728"/>
      <w:bookmarkEnd w:id="729"/>
      <w:bookmarkEnd w:id="730"/>
      <w:bookmarkEnd w:id="731"/>
      <w:bookmarkEnd w:id="732"/>
      <w:bookmarkEnd w:id="733"/>
    </w:p>
    <w:p w14:paraId="580D161C" w14:textId="77777777" w:rsidR="00B0005F" w:rsidRPr="008A2411" w:rsidRDefault="00000000">
      <w:pPr>
        <w:pStyle w:val="WJ2"/>
        <w:snapToGrid/>
        <w:spacing w:line="360" w:lineRule="auto"/>
        <w:rPr>
          <w:rFonts w:ascii="Times New Roman" w:hAnsi="Times New Roman"/>
          <w:color w:val="000000" w:themeColor="text1"/>
        </w:rPr>
      </w:pPr>
      <w:bookmarkStart w:id="742" w:name="_Toc109170803"/>
      <w:r w:rsidRPr="008A2411">
        <w:rPr>
          <w:rFonts w:ascii="Times New Roman" w:hAnsi="Times New Roman"/>
          <w:color w:val="000000" w:themeColor="text1"/>
        </w:rPr>
        <w:t>9.1</w:t>
      </w:r>
      <w:r w:rsidRPr="008A2411">
        <w:rPr>
          <w:rFonts w:ascii="Times New Roman" w:hAnsi="Times New Roman"/>
          <w:color w:val="000000" w:themeColor="text1"/>
        </w:rPr>
        <w:t>建立</w:t>
      </w:r>
      <w:r w:rsidRPr="008A2411">
        <w:rPr>
          <w:rFonts w:ascii="Times New Roman" w:hAnsi="Times New Roman"/>
          <w:color w:val="000000" w:themeColor="text1"/>
        </w:rPr>
        <w:t>HSE</w:t>
      </w:r>
      <w:r w:rsidRPr="008A2411">
        <w:rPr>
          <w:rFonts w:ascii="Times New Roman" w:hAnsi="Times New Roman"/>
          <w:color w:val="000000" w:themeColor="text1"/>
        </w:rPr>
        <w:t>管理体系</w:t>
      </w:r>
      <w:bookmarkEnd w:id="742"/>
    </w:p>
    <w:p w14:paraId="09160C90" w14:textId="77777777" w:rsidR="00B0005F" w:rsidRPr="008A2411" w:rsidRDefault="00000000">
      <w:pPr>
        <w:pStyle w:val="L-"/>
        <w:adjustRightInd w:val="0"/>
        <w:spacing w:line="360" w:lineRule="auto"/>
        <w:ind w:firstLine="482"/>
        <w:rPr>
          <w:rFonts w:ascii="Times New Roman" w:cs="Times New Roman"/>
          <w:color w:val="000000" w:themeColor="text1"/>
          <w:kern w:val="2"/>
          <w:szCs w:val="24"/>
          <w:shd w:val="clear" w:color="auto" w:fill="auto"/>
        </w:rPr>
      </w:pPr>
      <w:r w:rsidRPr="008A2411">
        <w:rPr>
          <w:rFonts w:ascii="Times New Roman" w:cs="Times New Roman"/>
          <w:color w:val="000000" w:themeColor="text1"/>
          <w:kern w:val="2"/>
          <w:szCs w:val="24"/>
          <w:shd w:val="clear" w:color="auto" w:fill="auto"/>
        </w:rPr>
        <w:t>公司设置安全环保处，主要承担全公司的环保、安全管理、污染治理、对外协调等工作。公司应加强本部门的专职环境保护机构力量，为专职人员创造必要的工作条件和建立相应的工作制度。其专职环境监测工作人员至少应配备</w:t>
      </w:r>
      <w:r w:rsidRPr="008A2411">
        <w:rPr>
          <w:rFonts w:ascii="Times New Roman" w:cs="Times New Roman"/>
          <w:color w:val="000000" w:themeColor="text1"/>
          <w:kern w:val="2"/>
          <w:szCs w:val="24"/>
          <w:shd w:val="clear" w:color="auto" w:fill="auto"/>
        </w:rPr>
        <w:t>3</w:t>
      </w:r>
      <w:r w:rsidRPr="008A2411">
        <w:rPr>
          <w:rFonts w:ascii="Times New Roman" w:cs="Times New Roman"/>
          <w:color w:val="000000" w:themeColor="text1"/>
          <w:kern w:val="2"/>
          <w:szCs w:val="24"/>
          <w:shd w:val="clear" w:color="auto" w:fill="auto"/>
        </w:rPr>
        <w:t>人以上，应有一位领导管理该部门，</w:t>
      </w:r>
      <w:r w:rsidRPr="008A2411">
        <w:rPr>
          <w:rFonts w:ascii="Times New Roman" w:cs="Times New Roman"/>
          <w:color w:val="000000" w:themeColor="text1"/>
          <w:kern w:val="2"/>
          <w:szCs w:val="24"/>
          <w:shd w:val="clear" w:color="auto" w:fill="auto"/>
        </w:rPr>
        <w:t>HSE</w:t>
      </w:r>
      <w:r w:rsidRPr="008A2411">
        <w:rPr>
          <w:rFonts w:ascii="Times New Roman" w:cs="Times New Roman"/>
          <w:color w:val="000000" w:themeColor="text1"/>
          <w:kern w:val="2"/>
          <w:szCs w:val="24"/>
          <w:shd w:val="clear" w:color="auto" w:fill="auto"/>
        </w:rPr>
        <w:t>管理体系主要包括以下内容：</w:t>
      </w:r>
    </w:p>
    <w:p w14:paraId="2DECA25E" w14:textId="77777777" w:rsidR="00B0005F" w:rsidRPr="008A2411" w:rsidRDefault="00000000">
      <w:pPr>
        <w:pStyle w:val="L-"/>
        <w:adjustRightInd w:val="0"/>
        <w:spacing w:line="360" w:lineRule="auto"/>
        <w:ind w:firstLine="482"/>
        <w:rPr>
          <w:rFonts w:ascii="Times New Roman" w:cs="Times New Roman"/>
          <w:color w:val="000000" w:themeColor="text1"/>
          <w:kern w:val="2"/>
          <w:szCs w:val="24"/>
          <w:shd w:val="clear" w:color="auto" w:fill="auto"/>
        </w:rPr>
      </w:pPr>
      <w:r w:rsidRPr="008A2411">
        <w:rPr>
          <w:rFonts w:ascii="Times New Roman" w:cs="Times New Roman"/>
          <w:color w:val="000000" w:themeColor="text1"/>
          <w:kern w:val="2"/>
          <w:szCs w:val="24"/>
          <w:shd w:val="clear" w:color="auto" w:fill="auto"/>
        </w:rPr>
        <w:t>（</w:t>
      </w:r>
      <w:r w:rsidRPr="008A2411">
        <w:rPr>
          <w:rFonts w:ascii="Times New Roman" w:cs="Times New Roman"/>
          <w:color w:val="000000" w:themeColor="text1"/>
          <w:kern w:val="2"/>
          <w:szCs w:val="24"/>
          <w:shd w:val="clear" w:color="auto" w:fill="auto"/>
        </w:rPr>
        <w:t>1</w:t>
      </w:r>
      <w:r w:rsidRPr="008A2411">
        <w:rPr>
          <w:rFonts w:ascii="Times New Roman" w:cs="Times New Roman"/>
          <w:color w:val="000000" w:themeColor="text1"/>
          <w:kern w:val="2"/>
          <w:szCs w:val="24"/>
          <w:shd w:val="clear" w:color="auto" w:fill="auto"/>
        </w:rPr>
        <w:t>）领导、承诺和责任：提供健康、安全与环境承诺。依据国家、省（市）级地方政府的法律、法规、规定和资源条件，按照合法、可行的原则，向社会和员工提供公开、明确的承诺。为使企业承诺得到落实，公司制定从总经理到操作岗位的全体员工责任制度。</w:t>
      </w:r>
    </w:p>
    <w:p w14:paraId="6A1DB082" w14:textId="77777777" w:rsidR="00B0005F" w:rsidRPr="008A2411" w:rsidRDefault="00000000">
      <w:pPr>
        <w:pStyle w:val="L-"/>
        <w:adjustRightInd w:val="0"/>
        <w:spacing w:line="360" w:lineRule="auto"/>
        <w:ind w:firstLine="482"/>
        <w:rPr>
          <w:rFonts w:ascii="Times New Roman" w:cs="Times New Roman"/>
          <w:color w:val="000000" w:themeColor="text1"/>
          <w:kern w:val="2"/>
          <w:szCs w:val="24"/>
          <w:shd w:val="clear" w:color="auto" w:fill="auto"/>
        </w:rPr>
      </w:pPr>
      <w:r w:rsidRPr="008A2411">
        <w:rPr>
          <w:rFonts w:ascii="Times New Roman" w:cs="Times New Roman"/>
          <w:color w:val="000000" w:themeColor="text1"/>
          <w:kern w:val="2"/>
          <w:szCs w:val="24"/>
          <w:shd w:val="clear" w:color="auto" w:fill="auto"/>
        </w:rPr>
        <w:t>（</w:t>
      </w:r>
      <w:r w:rsidRPr="008A2411">
        <w:rPr>
          <w:rFonts w:ascii="Times New Roman" w:cs="Times New Roman"/>
          <w:color w:val="000000" w:themeColor="text1"/>
          <w:kern w:val="2"/>
          <w:szCs w:val="24"/>
          <w:shd w:val="clear" w:color="auto" w:fill="auto"/>
        </w:rPr>
        <w:t>2</w:t>
      </w:r>
      <w:r w:rsidRPr="008A2411">
        <w:rPr>
          <w:rFonts w:ascii="Times New Roman" w:cs="Times New Roman"/>
          <w:color w:val="000000" w:themeColor="text1"/>
          <w:kern w:val="2"/>
          <w:szCs w:val="24"/>
          <w:shd w:val="clear" w:color="auto" w:fill="auto"/>
        </w:rPr>
        <w:t>）体系的策划：根据对现行法律法规进行识别，结合公司风险识别评估结果，提出隐患排查治理目标和方案，使健康、安全与环境管理实现科学化、规范化管理，公司可策划并建立健康、安全与环境管理体系，依靠体系运行推动公司健康、安全与环境表现水平不断提高。</w:t>
      </w:r>
    </w:p>
    <w:p w14:paraId="10096C8E" w14:textId="77777777" w:rsidR="00B0005F" w:rsidRPr="008A2411" w:rsidRDefault="00000000">
      <w:pPr>
        <w:pStyle w:val="L-"/>
        <w:adjustRightInd w:val="0"/>
        <w:spacing w:line="360" w:lineRule="auto"/>
        <w:ind w:firstLine="482"/>
        <w:rPr>
          <w:rFonts w:ascii="Times New Roman" w:cs="Times New Roman"/>
          <w:color w:val="000000" w:themeColor="text1"/>
          <w:kern w:val="2"/>
          <w:szCs w:val="24"/>
          <w:shd w:val="clear" w:color="auto" w:fill="auto"/>
        </w:rPr>
      </w:pPr>
      <w:r w:rsidRPr="008A2411">
        <w:rPr>
          <w:rFonts w:ascii="Times New Roman" w:cs="Times New Roman"/>
          <w:color w:val="000000" w:themeColor="text1"/>
          <w:kern w:val="2"/>
          <w:szCs w:val="24"/>
          <w:shd w:val="clear" w:color="auto" w:fill="auto"/>
        </w:rPr>
        <w:t>（</w:t>
      </w:r>
      <w:r w:rsidRPr="008A2411">
        <w:rPr>
          <w:rFonts w:ascii="Times New Roman" w:cs="Times New Roman"/>
          <w:color w:val="000000" w:themeColor="text1"/>
          <w:kern w:val="2"/>
          <w:szCs w:val="24"/>
          <w:shd w:val="clear" w:color="auto" w:fill="auto"/>
        </w:rPr>
        <w:t>3</w:t>
      </w:r>
      <w:r w:rsidRPr="008A2411">
        <w:rPr>
          <w:rFonts w:ascii="Times New Roman" w:cs="Times New Roman"/>
          <w:color w:val="000000" w:themeColor="text1"/>
          <w:kern w:val="2"/>
          <w:szCs w:val="24"/>
          <w:shd w:val="clear" w:color="auto" w:fill="auto"/>
        </w:rPr>
        <w:t>）支持：以有效管</w:t>
      </w:r>
      <w:proofErr w:type="gramStart"/>
      <w:r w:rsidRPr="008A2411">
        <w:rPr>
          <w:rFonts w:ascii="Times New Roman" w:cs="Times New Roman"/>
          <w:color w:val="000000" w:themeColor="text1"/>
          <w:kern w:val="2"/>
          <w:szCs w:val="24"/>
          <w:shd w:val="clear" w:color="auto" w:fill="auto"/>
        </w:rPr>
        <w:t>控风险</w:t>
      </w:r>
      <w:proofErr w:type="gramEnd"/>
      <w:r w:rsidRPr="008A2411">
        <w:rPr>
          <w:rFonts w:ascii="Times New Roman" w:cs="Times New Roman"/>
          <w:color w:val="000000" w:themeColor="text1"/>
          <w:kern w:val="2"/>
          <w:szCs w:val="24"/>
          <w:shd w:val="clear" w:color="auto" w:fill="auto"/>
        </w:rPr>
        <w:t>为目标，保障</w:t>
      </w:r>
      <w:r w:rsidRPr="008A2411">
        <w:rPr>
          <w:rFonts w:ascii="Times New Roman" w:cs="Times New Roman"/>
          <w:color w:val="000000" w:themeColor="text1"/>
          <w:kern w:val="2"/>
          <w:szCs w:val="24"/>
          <w:shd w:val="clear" w:color="auto" w:fill="auto"/>
        </w:rPr>
        <w:t>HSE</w:t>
      </w:r>
      <w:r w:rsidRPr="008A2411">
        <w:rPr>
          <w:rFonts w:ascii="Times New Roman" w:cs="Times New Roman"/>
          <w:color w:val="000000" w:themeColor="text1"/>
          <w:kern w:val="2"/>
          <w:szCs w:val="24"/>
          <w:shd w:val="clear" w:color="auto" w:fill="auto"/>
        </w:rPr>
        <w:t>管理体系所需资源投入，提升员工意识和能力，保持良好的内外部沟通，为</w:t>
      </w:r>
      <w:r w:rsidRPr="008A2411">
        <w:rPr>
          <w:rFonts w:ascii="Times New Roman" w:cs="Times New Roman"/>
          <w:color w:val="000000" w:themeColor="text1"/>
          <w:kern w:val="2"/>
          <w:szCs w:val="24"/>
          <w:shd w:val="clear" w:color="auto" w:fill="auto"/>
        </w:rPr>
        <w:t>HSE</w:t>
      </w:r>
      <w:r w:rsidRPr="008A2411">
        <w:rPr>
          <w:rFonts w:ascii="Times New Roman" w:cs="Times New Roman"/>
          <w:color w:val="000000" w:themeColor="text1"/>
          <w:kern w:val="2"/>
          <w:szCs w:val="24"/>
          <w:shd w:val="clear" w:color="auto" w:fill="auto"/>
        </w:rPr>
        <w:t>管理体系运行提供有力支持。</w:t>
      </w:r>
    </w:p>
    <w:p w14:paraId="54964AB1" w14:textId="77777777" w:rsidR="00B0005F" w:rsidRPr="008A2411" w:rsidRDefault="00000000">
      <w:pPr>
        <w:pStyle w:val="L-"/>
        <w:adjustRightInd w:val="0"/>
        <w:spacing w:line="360" w:lineRule="auto"/>
        <w:ind w:firstLine="482"/>
        <w:rPr>
          <w:rFonts w:ascii="Times New Roman" w:cs="Times New Roman"/>
          <w:color w:val="000000" w:themeColor="text1"/>
          <w:kern w:val="2"/>
          <w:szCs w:val="24"/>
          <w:shd w:val="clear" w:color="auto" w:fill="auto"/>
        </w:rPr>
      </w:pPr>
      <w:r w:rsidRPr="008A2411">
        <w:rPr>
          <w:rFonts w:ascii="Times New Roman" w:cs="Times New Roman"/>
          <w:color w:val="000000" w:themeColor="text1"/>
          <w:kern w:val="2"/>
          <w:szCs w:val="24"/>
          <w:shd w:val="clear" w:color="auto" w:fill="auto"/>
        </w:rPr>
        <w:t>（</w:t>
      </w:r>
      <w:r w:rsidRPr="008A2411">
        <w:rPr>
          <w:rFonts w:ascii="Times New Roman" w:cs="Times New Roman"/>
          <w:color w:val="000000" w:themeColor="text1"/>
          <w:kern w:val="2"/>
          <w:szCs w:val="24"/>
          <w:shd w:val="clear" w:color="auto" w:fill="auto"/>
        </w:rPr>
        <w:t>4</w:t>
      </w:r>
      <w:r w:rsidRPr="008A2411">
        <w:rPr>
          <w:rFonts w:ascii="Times New Roman" w:cs="Times New Roman"/>
          <w:color w:val="000000" w:themeColor="text1"/>
          <w:kern w:val="2"/>
          <w:szCs w:val="24"/>
          <w:shd w:val="clear" w:color="auto" w:fill="auto"/>
        </w:rPr>
        <w:t>）运行过程管控：风险管控贯穿于生产经营全过程，通过完善管理制度和技术标准，严格执行管理流程，落实各方责任，确保风险可控受控。过程管控分为：建设项目管理、生产运行管理、设备设施管理、危险化学品储存管理、采购质量管理、承包商管理、施工作业管理、员工健康管理、公共安全管理、环境</w:t>
      </w:r>
      <w:r w:rsidRPr="008A2411">
        <w:rPr>
          <w:rFonts w:ascii="Times New Roman" w:cs="Times New Roman"/>
          <w:color w:val="000000" w:themeColor="text1"/>
          <w:kern w:val="2"/>
          <w:szCs w:val="24"/>
          <w:shd w:val="clear" w:color="auto" w:fill="auto"/>
        </w:rPr>
        <w:lastRenderedPageBreak/>
        <w:t>保护管理、现场标识管理、变更管理、应急管理、事故事件管理、基层管理等。</w:t>
      </w:r>
    </w:p>
    <w:p w14:paraId="24BC509A" w14:textId="77777777" w:rsidR="00B0005F" w:rsidRPr="008A2411" w:rsidRDefault="00000000">
      <w:pPr>
        <w:pStyle w:val="L-"/>
        <w:adjustRightInd w:val="0"/>
        <w:spacing w:line="360" w:lineRule="auto"/>
        <w:ind w:firstLine="482"/>
        <w:rPr>
          <w:rFonts w:ascii="Times New Roman" w:cs="Times New Roman"/>
          <w:color w:val="000000" w:themeColor="text1"/>
          <w:kern w:val="2"/>
          <w:szCs w:val="24"/>
          <w:shd w:val="clear" w:color="auto" w:fill="auto"/>
        </w:rPr>
      </w:pPr>
      <w:r w:rsidRPr="008A2411">
        <w:rPr>
          <w:rFonts w:ascii="Times New Roman" w:cs="Times New Roman"/>
          <w:color w:val="000000" w:themeColor="text1"/>
          <w:kern w:val="2"/>
          <w:szCs w:val="24"/>
          <w:shd w:val="clear" w:color="auto" w:fill="auto"/>
        </w:rPr>
        <w:t>（</w:t>
      </w:r>
      <w:r w:rsidRPr="008A2411">
        <w:rPr>
          <w:rFonts w:ascii="Times New Roman" w:cs="Times New Roman"/>
          <w:color w:val="000000" w:themeColor="text1"/>
          <w:kern w:val="2"/>
          <w:szCs w:val="24"/>
          <w:shd w:val="clear" w:color="auto" w:fill="auto"/>
        </w:rPr>
        <w:t>5</w:t>
      </w:r>
      <w:r w:rsidRPr="008A2411">
        <w:rPr>
          <w:rFonts w:ascii="Times New Roman" w:cs="Times New Roman"/>
          <w:color w:val="000000" w:themeColor="text1"/>
          <w:kern w:val="2"/>
          <w:szCs w:val="24"/>
          <w:shd w:val="clear" w:color="auto" w:fill="auto"/>
        </w:rPr>
        <w:t>）绩效评价：有效开展绩效监测、分析和评价，定期组织</w:t>
      </w:r>
      <w:r w:rsidRPr="008A2411">
        <w:rPr>
          <w:rFonts w:ascii="Times New Roman" w:cs="Times New Roman"/>
          <w:color w:val="000000" w:themeColor="text1"/>
          <w:kern w:val="2"/>
          <w:szCs w:val="24"/>
          <w:shd w:val="clear" w:color="auto" w:fill="auto"/>
        </w:rPr>
        <w:t>HSE</w:t>
      </w:r>
      <w:r w:rsidRPr="008A2411">
        <w:rPr>
          <w:rFonts w:ascii="Times New Roman" w:cs="Times New Roman"/>
          <w:color w:val="000000" w:themeColor="text1"/>
          <w:kern w:val="2"/>
          <w:szCs w:val="24"/>
          <w:shd w:val="clear" w:color="auto" w:fill="auto"/>
        </w:rPr>
        <w:t>管理体系审核和管理评审，把握规律，寻求不断改进的机会。</w:t>
      </w:r>
    </w:p>
    <w:p w14:paraId="676CF7CA" w14:textId="77777777" w:rsidR="00B0005F" w:rsidRPr="008A2411" w:rsidRDefault="00000000">
      <w:pPr>
        <w:pStyle w:val="L-"/>
        <w:adjustRightInd w:val="0"/>
        <w:spacing w:line="360" w:lineRule="auto"/>
        <w:ind w:firstLine="482"/>
        <w:rPr>
          <w:rFonts w:ascii="Times New Roman" w:cs="Times New Roman"/>
          <w:color w:val="000000" w:themeColor="text1"/>
          <w:kern w:val="2"/>
          <w:szCs w:val="24"/>
          <w:shd w:val="clear" w:color="auto" w:fill="auto"/>
        </w:rPr>
      </w:pPr>
      <w:r w:rsidRPr="008A2411">
        <w:rPr>
          <w:rFonts w:ascii="Times New Roman" w:cs="Times New Roman"/>
          <w:color w:val="000000" w:themeColor="text1"/>
          <w:kern w:val="2"/>
          <w:szCs w:val="24"/>
          <w:shd w:val="clear" w:color="auto" w:fill="auto"/>
        </w:rPr>
        <w:t>（</w:t>
      </w:r>
      <w:r w:rsidRPr="008A2411">
        <w:rPr>
          <w:rFonts w:ascii="Times New Roman" w:cs="Times New Roman"/>
          <w:color w:val="000000" w:themeColor="text1"/>
          <w:kern w:val="2"/>
          <w:szCs w:val="24"/>
          <w:shd w:val="clear" w:color="auto" w:fill="auto"/>
        </w:rPr>
        <w:t>6</w:t>
      </w:r>
      <w:r w:rsidRPr="008A2411">
        <w:rPr>
          <w:rFonts w:ascii="Times New Roman" w:cs="Times New Roman"/>
          <w:color w:val="000000" w:themeColor="text1"/>
          <w:kern w:val="2"/>
          <w:szCs w:val="24"/>
          <w:shd w:val="clear" w:color="auto" w:fill="auto"/>
        </w:rPr>
        <w:t>）改进：开展事故事件和不符合溯源分析，落实纠正措施，持续改进，不断提升</w:t>
      </w:r>
      <w:r w:rsidRPr="008A2411">
        <w:rPr>
          <w:rFonts w:ascii="Times New Roman" w:cs="Times New Roman"/>
          <w:color w:val="000000" w:themeColor="text1"/>
          <w:kern w:val="2"/>
          <w:szCs w:val="24"/>
          <w:shd w:val="clear" w:color="auto" w:fill="auto"/>
        </w:rPr>
        <w:t>HSE</w:t>
      </w:r>
      <w:r w:rsidRPr="008A2411">
        <w:rPr>
          <w:rFonts w:ascii="Times New Roman" w:cs="Times New Roman"/>
          <w:color w:val="000000" w:themeColor="text1"/>
          <w:kern w:val="2"/>
          <w:szCs w:val="24"/>
          <w:shd w:val="clear" w:color="auto" w:fill="auto"/>
        </w:rPr>
        <w:t>管理体系的适宜性、充分性和有效性。</w:t>
      </w:r>
    </w:p>
    <w:p w14:paraId="5A6AE409" w14:textId="77777777" w:rsidR="00B0005F" w:rsidRPr="008A2411" w:rsidRDefault="00000000">
      <w:pPr>
        <w:pStyle w:val="WJ2"/>
        <w:snapToGrid/>
        <w:spacing w:line="360" w:lineRule="auto"/>
        <w:rPr>
          <w:rFonts w:ascii="Times New Roman" w:hAnsi="Times New Roman"/>
          <w:color w:val="000000" w:themeColor="text1"/>
        </w:rPr>
      </w:pPr>
      <w:bookmarkStart w:id="743" w:name="_Toc422906954"/>
      <w:bookmarkStart w:id="744" w:name="_Toc405904942"/>
      <w:bookmarkStart w:id="745" w:name="_Toc319853016"/>
      <w:bookmarkStart w:id="746" w:name="_Toc405905414"/>
      <w:bookmarkStart w:id="747" w:name="_Toc405214347"/>
      <w:bookmarkStart w:id="748" w:name="_Toc405904598"/>
      <w:bookmarkStart w:id="749" w:name="_Toc109170804"/>
      <w:r w:rsidRPr="008A2411">
        <w:rPr>
          <w:rFonts w:ascii="Times New Roman" w:hAnsi="Times New Roman"/>
          <w:color w:val="000000" w:themeColor="text1"/>
        </w:rPr>
        <w:t>9.</w:t>
      </w:r>
      <w:bookmarkEnd w:id="743"/>
      <w:bookmarkEnd w:id="744"/>
      <w:bookmarkEnd w:id="745"/>
      <w:bookmarkEnd w:id="746"/>
      <w:bookmarkEnd w:id="747"/>
      <w:bookmarkEnd w:id="748"/>
      <w:r w:rsidRPr="008A2411">
        <w:rPr>
          <w:rFonts w:ascii="Times New Roman" w:hAnsi="Times New Roman"/>
          <w:color w:val="000000" w:themeColor="text1"/>
        </w:rPr>
        <w:t>2</w:t>
      </w:r>
      <w:r w:rsidRPr="008A2411">
        <w:rPr>
          <w:rFonts w:ascii="Times New Roman" w:hAnsi="Times New Roman"/>
          <w:color w:val="000000" w:themeColor="text1"/>
        </w:rPr>
        <w:t>施工期的</w:t>
      </w:r>
      <w:r w:rsidRPr="008A2411">
        <w:rPr>
          <w:rFonts w:ascii="Times New Roman" w:hAnsi="Times New Roman"/>
          <w:color w:val="000000" w:themeColor="text1"/>
        </w:rPr>
        <w:t>HSE</w:t>
      </w:r>
      <w:r w:rsidRPr="008A2411">
        <w:rPr>
          <w:rFonts w:ascii="Times New Roman" w:hAnsi="Times New Roman"/>
          <w:color w:val="000000" w:themeColor="text1"/>
        </w:rPr>
        <w:t>管理</w:t>
      </w:r>
      <w:bookmarkEnd w:id="749"/>
    </w:p>
    <w:p w14:paraId="51BB1D70" w14:textId="77777777" w:rsidR="00B0005F" w:rsidRPr="008A2411" w:rsidRDefault="00000000">
      <w:pPr>
        <w:pStyle w:val="L-3"/>
        <w:adjustRightInd w:val="0"/>
        <w:spacing w:before="0" w:after="0" w:line="360" w:lineRule="auto"/>
        <w:rPr>
          <w:rFonts w:ascii="Times New Roman"/>
          <w:color w:val="000000" w:themeColor="text1"/>
          <w:kern w:val="2"/>
          <w:sz w:val="24"/>
          <w:szCs w:val="24"/>
          <w:shd w:val="clear" w:color="auto" w:fill="FFFFFF"/>
          <w:lang w:bidi="ar-SA"/>
        </w:rPr>
      </w:pPr>
      <w:bookmarkStart w:id="750" w:name="_Toc519957253"/>
      <w:r w:rsidRPr="008A2411">
        <w:rPr>
          <w:rFonts w:ascii="Times New Roman"/>
          <w:color w:val="000000" w:themeColor="text1"/>
          <w:kern w:val="2"/>
          <w:sz w:val="24"/>
          <w:szCs w:val="24"/>
          <w:shd w:val="clear" w:color="auto" w:fill="FFFFFF"/>
          <w:lang w:bidi="ar-SA"/>
        </w:rPr>
        <w:t>9.2.1</w:t>
      </w:r>
      <w:r w:rsidRPr="008A2411">
        <w:rPr>
          <w:rFonts w:ascii="Times New Roman"/>
          <w:color w:val="000000" w:themeColor="text1"/>
          <w:kern w:val="2"/>
          <w:sz w:val="24"/>
          <w:szCs w:val="24"/>
          <w:shd w:val="clear" w:color="auto" w:fill="FFFFFF"/>
          <w:lang w:bidi="ar-SA"/>
        </w:rPr>
        <w:t>建立健全的管理机构</w:t>
      </w:r>
      <w:bookmarkEnd w:id="750"/>
    </w:p>
    <w:p w14:paraId="1265284F" w14:textId="77777777" w:rsidR="00B0005F" w:rsidRPr="008A2411" w:rsidRDefault="00000000">
      <w:pPr>
        <w:pStyle w:val="L-"/>
        <w:adjustRightInd w:val="0"/>
        <w:spacing w:line="360" w:lineRule="auto"/>
        <w:rPr>
          <w:rFonts w:ascii="Times New Roman" w:cs="Times New Roman"/>
          <w:color w:val="000000" w:themeColor="text1"/>
          <w:kern w:val="2"/>
          <w:szCs w:val="24"/>
        </w:rPr>
      </w:pPr>
      <w:r w:rsidRPr="008A2411">
        <w:rPr>
          <w:rFonts w:ascii="Times New Roman" w:cs="Times New Roman"/>
          <w:color w:val="000000" w:themeColor="text1"/>
          <w:kern w:val="2"/>
          <w:szCs w:val="24"/>
        </w:rPr>
        <w:t>本</w:t>
      </w:r>
      <w:proofErr w:type="gramStart"/>
      <w:r w:rsidRPr="008A2411">
        <w:rPr>
          <w:rFonts w:ascii="Times New Roman" w:cs="Times New Roman"/>
          <w:color w:val="000000" w:themeColor="text1"/>
          <w:kern w:val="2"/>
          <w:szCs w:val="24"/>
        </w:rPr>
        <w:t>项目项目</w:t>
      </w:r>
      <w:proofErr w:type="gramEnd"/>
      <w:r w:rsidRPr="008A2411">
        <w:rPr>
          <w:rFonts w:ascii="Times New Roman" w:cs="Times New Roman"/>
          <w:color w:val="000000" w:themeColor="text1"/>
          <w:kern w:val="2"/>
          <w:szCs w:val="24"/>
        </w:rPr>
        <w:t>部应成立</w:t>
      </w:r>
      <w:r w:rsidRPr="008A2411">
        <w:rPr>
          <w:rFonts w:ascii="Times New Roman" w:cs="Times New Roman"/>
          <w:color w:val="000000" w:themeColor="text1"/>
          <w:kern w:val="2"/>
          <w:szCs w:val="24"/>
        </w:rPr>
        <w:t>HSE</w:t>
      </w:r>
      <w:r w:rsidRPr="008A2411">
        <w:rPr>
          <w:rFonts w:ascii="Times New Roman" w:cs="Times New Roman"/>
          <w:color w:val="000000" w:themeColor="text1"/>
          <w:kern w:val="2"/>
          <w:szCs w:val="24"/>
        </w:rPr>
        <w:t>管理委员会负责施工作业</w:t>
      </w:r>
      <w:r w:rsidRPr="008A2411">
        <w:rPr>
          <w:rFonts w:ascii="Times New Roman" w:cs="Times New Roman"/>
          <w:color w:val="000000" w:themeColor="text1"/>
          <w:kern w:val="2"/>
          <w:szCs w:val="24"/>
        </w:rPr>
        <w:t>HSE</w:t>
      </w:r>
      <w:r w:rsidRPr="008A2411">
        <w:rPr>
          <w:rFonts w:ascii="Times New Roman" w:cs="Times New Roman"/>
          <w:color w:val="000000" w:themeColor="text1"/>
          <w:kern w:val="2"/>
          <w:szCs w:val="24"/>
        </w:rPr>
        <w:t>的贯彻执行，成员由经理、主管</w:t>
      </w:r>
      <w:r w:rsidRPr="008A2411">
        <w:rPr>
          <w:rFonts w:ascii="Times New Roman" w:cs="Times New Roman"/>
          <w:color w:val="000000" w:themeColor="text1"/>
          <w:kern w:val="2"/>
          <w:szCs w:val="24"/>
        </w:rPr>
        <w:t>HSE</w:t>
      </w:r>
      <w:r w:rsidRPr="008A2411">
        <w:rPr>
          <w:rFonts w:ascii="Times New Roman" w:cs="Times New Roman"/>
          <w:color w:val="000000" w:themeColor="text1"/>
          <w:kern w:val="2"/>
          <w:szCs w:val="24"/>
        </w:rPr>
        <w:t>副经理、</w:t>
      </w:r>
      <w:r w:rsidRPr="008A2411">
        <w:rPr>
          <w:rFonts w:ascii="Times New Roman" w:cs="Times New Roman"/>
          <w:color w:val="000000" w:themeColor="text1"/>
          <w:kern w:val="2"/>
          <w:szCs w:val="24"/>
        </w:rPr>
        <w:t>HSE</w:t>
      </w:r>
      <w:r w:rsidRPr="008A2411">
        <w:rPr>
          <w:rFonts w:ascii="Times New Roman" w:cs="Times New Roman"/>
          <w:color w:val="000000" w:themeColor="text1"/>
          <w:kern w:val="2"/>
          <w:szCs w:val="24"/>
        </w:rPr>
        <w:t>专职管理人员和各主要部门负责人组成。在日常管理中，建立二级</w:t>
      </w:r>
      <w:r w:rsidRPr="008A2411">
        <w:rPr>
          <w:rFonts w:ascii="Times New Roman" w:cs="Times New Roman"/>
          <w:color w:val="000000" w:themeColor="text1"/>
          <w:kern w:val="2"/>
          <w:szCs w:val="24"/>
        </w:rPr>
        <w:t>HSE</w:t>
      </w:r>
      <w:r w:rsidRPr="008A2411">
        <w:rPr>
          <w:rFonts w:ascii="Times New Roman" w:cs="Times New Roman"/>
          <w:color w:val="000000" w:themeColor="text1"/>
          <w:kern w:val="2"/>
          <w:szCs w:val="24"/>
        </w:rPr>
        <w:t>管理网络，在项目指挥部设</w:t>
      </w:r>
      <w:r w:rsidRPr="008A2411">
        <w:rPr>
          <w:rFonts w:ascii="Times New Roman" w:cs="Times New Roman"/>
          <w:color w:val="000000" w:themeColor="text1"/>
          <w:kern w:val="2"/>
          <w:szCs w:val="24"/>
        </w:rPr>
        <w:t>HSE</w:t>
      </w:r>
      <w:r w:rsidRPr="008A2411">
        <w:rPr>
          <w:rFonts w:ascii="Times New Roman" w:cs="Times New Roman"/>
          <w:color w:val="000000" w:themeColor="text1"/>
          <w:kern w:val="2"/>
          <w:szCs w:val="24"/>
        </w:rPr>
        <w:t>部，分别配备安全、健康和环境工程师，</w:t>
      </w:r>
      <w:proofErr w:type="gramStart"/>
      <w:r w:rsidRPr="008A2411">
        <w:rPr>
          <w:rFonts w:ascii="Times New Roman" w:cs="Times New Roman"/>
          <w:color w:val="000000" w:themeColor="text1"/>
          <w:kern w:val="2"/>
          <w:szCs w:val="24"/>
        </w:rPr>
        <w:t>分施工</w:t>
      </w:r>
      <w:proofErr w:type="gramEnd"/>
      <w:r w:rsidRPr="008A2411">
        <w:rPr>
          <w:rFonts w:ascii="Times New Roman" w:cs="Times New Roman"/>
          <w:color w:val="000000" w:themeColor="text1"/>
          <w:kern w:val="2"/>
          <w:szCs w:val="24"/>
        </w:rPr>
        <w:t>点配备</w:t>
      </w:r>
      <w:r w:rsidRPr="008A2411">
        <w:rPr>
          <w:rFonts w:ascii="Times New Roman" w:cs="Times New Roman"/>
          <w:color w:val="000000" w:themeColor="text1"/>
          <w:kern w:val="2"/>
          <w:szCs w:val="24"/>
        </w:rPr>
        <w:t>HSE</w:t>
      </w:r>
      <w:r w:rsidRPr="008A2411">
        <w:rPr>
          <w:rFonts w:ascii="Times New Roman" w:cs="Times New Roman"/>
          <w:color w:val="000000" w:themeColor="text1"/>
          <w:kern w:val="2"/>
          <w:szCs w:val="24"/>
        </w:rPr>
        <w:t>协调员，实行逐级负责制。由主管</w:t>
      </w:r>
      <w:r w:rsidRPr="008A2411">
        <w:rPr>
          <w:rFonts w:ascii="Times New Roman" w:cs="Times New Roman"/>
          <w:color w:val="000000" w:themeColor="text1"/>
          <w:kern w:val="2"/>
          <w:szCs w:val="24"/>
        </w:rPr>
        <w:t>HSE</w:t>
      </w:r>
      <w:r w:rsidRPr="008A2411">
        <w:rPr>
          <w:rFonts w:ascii="Times New Roman" w:cs="Times New Roman"/>
          <w:color w:val="000000" w:themeColor="text1"/>
          <w:kern w:val="2"/>
          <w:szCs w:val="24"/>
        </w:rPr>
        <w:t>副经理主持，项目指挥部负责具体工作实施，同时聘请数名</w:t>
      </w:r>
      <w:r w:rsidRPr="008A2411">
        <w:rPr>
          <w:rFonts w:ascii="Times New Roman" w:cs="Times New Roman"/>
          <w:color w:val="000000" w:themeColor="text1"/>
          <w:kern w:val="2"/>
          <w:szCs w:val="24"/>
        </w:rPr>
        <w:t>HSE</w:t>
      </w:r>
      <w:r w:rsidRPr="008A2411">
        <w:rPr>
          <w:rFonts w:ascii="Times New Roman" w:cs="Times New Roman"/>
          <w:color w:val="000000" w:themeColor="text1"/>
          <w:kern w:val="2"/>
          <w:szCs w:val="24"/>
        </w:rPr>
        <w:t>监督人员。</w:t>
      </w:r>
    </w:p>
    <w:p w14:paraId="4DC81146" w14:textId="77777777" w:rsidR="00B0005F" w:rsidRPr="008A2411" w:rsidRDefault="00000000">
      <w:pPr>
        <w:pStyle w:val="L-"/>
        <w:adjustRightInd w:val="0"/>
        <w:spacing w:line="360" w:lineRule="auto"/>
        <w:rPr>
          <w:rFonts w:ascii="Times New Roman" w:cs="Times New Roman"/>
          <w:color w:val="000000" w:themeColor="text1"/>
          <w:kern w:val="2"/>
          <w:szCs w:val="24"/>
        </w:rPr>
      </w:pPr>
      <w:r w:rsidRPr="008A2411">
        <w:rPr>
          <w:rFonts w:ascii="Times New Roman" w:cs="Times New Roman"/>
          <w:color w:val="000000" w:themeColor="text1"/>
          <w:kern w:val="2"/>
          <w:szCs w:val="24"/>
        </w:rPr>
        <w:t>为做好管理工作，应明确管理机构主要人员的职责。如项目经理，主要负责制定环境方针和环境目标，为环境管理方案的执行提供必要的支持和物质保障等；</w:t>
      </w:r>
      <w:r w:rsidRPr="008A2411">
        <w:rPr>
          <w:rFonts w:ascii="Times New Roman" w:cs="Times New Roman"/>
          <w:color w:val="000000" w:themeColor="text1"/>
          <w:kern w:val="2"/>
          <w:szCs w:val="24"/>
        </w:rPr>
        <w:t>HSE</w:t>
      </w:r>
      <w:r w:rsidRPr="008A2411">
        <w:rPr>
          <w:rFonts w:ascii="Times New Roman" w:cs="Times New Roman"/>
          <w:color w:val="000000" w:themeColor="text1"/>
          <w:kern w:val="2"/>
          <w:szCs w:val="24"/>
        </w:rPr>
        <w:t>经理则在环境管理中代表项目经理行使职权，监督《环境管理方案》的建立和实施等；项目部</w:t>
      </w:r>
      <w:r w:rsidRPr="008A2411">
        <w:rPr>
          <w:rFonts w:ascii="Times New Roman" w:cs="Times New Roman"/>
          <w:color w:val="000000" w:themeColor="text1"/>
          <w:kern w:val="2"/>
          <w:szCs w:val="24"/>
        </w:rPr>
        <w:t>HSE</w:t>
      </w:r>
      <w:r w:rsidRPr="008A2411">
        <w:rPr>
          <w:rFonts w:ascii="Times New Roman" w:cs="Times New Roman"/>
          <w:color w:val="000000" w:themeColor="text1"/>
          <w:kern w:val="2"/>
          <w:szCs w:val="24"/>
        </w:rPr>
        <w:t>人员，负责监督</w:t>
      </w:r>
      <w:r w:rsidRPr="008A2411">
        <w:rPr>
          <w:rFonts w:ascii="Times New Roman" w:cs="Times New Roman"/>
          <w:color w:val="000000" w:themeColor="text1"/>
          <w:kern w:val="2"/>
          <w:szCs w:val="24"/>
        </w:rPr>
        <w:t>HSE</w:t>
      </w:r>
      <w:r w:rsidRPr="008A2411">
        <w:rPr>
          <w:rFonts w:ascii="Times New Roman" w:cs="Times New Roman"/>
          <w:color w:val="000000" w:themeColor="text1"/>
          <w:kern w:val="2"/>
          <w:szCs w:val="24"/>
        </w:rPr>
        <w:t>标准、环境标准的贯彻实施，确保所有有关</w:t>
      </w:r>
      <w:r w:rsidRPr="008A2411">
        <w:rPr>
          <w:rFonts w:ascii="Times New Roman" w:cs="Times New Roman"/>
          <w:color w:val="000000" w:themeColor="text1"/>
          <w:kern w:val="2"/>
          <w:szCs w:val="24"/>
        </w:rPr>
        <w:t>HSE</w:t>
      </w:r>
      <w:r w:rsidRPr="008A2411">
        <w:rPr>
          <w:rFonts w:ascii="Times New Roman" w:cs="Times New Roman"/>
          <w:color w:val="000000" w:themeColor="text1"/>
          <w:kern w:val="2"/>
          <w:szCs w:val="24"/>
        </w:rPr>
        <w:t>方面的要求能正确、完全的执行等。</w:t>
      </w:r>
    </w:p>
    <w:p w14:paraId="0F4B9B93" w14:textId="77777777" w:rsidR="00B0005F" w:rsidRPr="008A2411" w:rsidRDefault="00000000">
      <w:pPr>
        <w:pStyle w:val="L-"/>
        <w:adjustRightInd w:val="0"/>
        <w:spacing w:line="360" w:lineRule="auto"/>
        <w:rPr>
          <w:rFonts w:ascii="Times New Roman" w:cs="Times New Roman"/>
          <w:color w:val="000000" w:themeColor="text1"/>
          <w:kern w:val="2"/>
          <w:szCs w:val="24"/>
        </w:rPr>
      </w:pPr>
      <w:r w:rsidRPr="008A2411">
        <w:rPr>
          <w:rFonts w:ascii="Times New Roman" w:cs="Times New Roman"/>
          <w:color w:val="000000" w:themeColor="text1"/>
          <w:kern w:val="2"/>
          <w:szCs w:val="24"/>
        </w:rPr>
        <w:t>HSE</w:t>
      </w:r>
      <w:r w:rsidRPr="008A2411">
        <w:rPr>
          <w:rFonts w:ascii="Times New Roman" w:cs="Times New Roman"/>
          <w:color w:val="000000" w:themeColor="text1"/>
          <w:kern w:val="2"/>
          <w:szCs w:val="24"/>
        </w:rPr>
        <w:t>机构在管理上的主要任务包括：负责制定施工作业的</w:t>
      </w:r>
      <w:r w:rsidRPr="008A2411">
        <w:rPr>
          <w:rFonts w:ascii="Times New Roman" w:cs="Times New Roman" w:hint="eastAsia"/>
          <w:color w:val="000000" w:themeColor="text1"/>
          <w:kern w:val="2"/>
          <w:szCs w:val="24"/>
        </w:rPr>
        <w:t>“</w:t>
      </w:r>
      <w:r w:rsidRPr="008A2411">
        <w:rPr>
          <w:rFonts w:ascii="Times New Roman" w:cs="Times New Roman"/>
          <w:color w:val="000000" w:themeColor="text1"/>
          <w:kern w:val="2"/>
          <w:szCs w:val="24"/>
        </w:rPr>
        <w:t>环境管理方案</w:t>
      </w:r>
      <w:r w:rsidRPr="008A2411">
        <w:rPr>
          <w:rFonts w:ascii="Times New Roman" w:cs="Times New Roman" w:hint="eastAsia"/>
          <w:color w:val="000000" w:themeColor="text1"/>
          <w:kern w:val="2"/>
          <w:szCs w:val="24"/>
        </w:rPr>
        <w:t>”</w:t>
      </w:r>
      <w:r w:rsidRPr="008A2411">
        <w:rPr>
          <w:rFonts w:ascii="Times New Roman" w:cs="Times New Roman"/>
          <w:color w:val="000000" w:themeColor="text1"/>
          <w:kern w:val="2"/>
          <w:szCs w:val="24"/>
        </w:rPr>
        <w:t>，制定发生事故的应急计划，监督各项环保措施的落实及环保工程的检查和预验收，负责协调与沿线环保、水利、土地等部门的关系，以及负责有关环保文件、技术资料的收集建档，监督管理承包商履行承包合同情况，监督管理施工作业进程。</w:t>
      </w:r>
    </w:p>
    <w:p w14:paraId="629C1484" w14:textId="77777777" w:rsidR="00B0005F" w:rsidRPr="008A2411" w:rsidRDefault="00000000">
      <w:pPr>
        <w:pStyle w:val="L-3"/>
        <w:adjustRightInd w:val="0"/>
        <w:spacing w:before="0" w:after="0" w:line="360" w:lineRule="auto"/>
        <w:rPr>
          <w:rFonts w:ascii="Times New Roman"/>
          <w:color w:val="000000" w:themeColor="text1"/>
          <w:kern w:val="2"/>
          <w:sz w:val="24"/>
          <w:szCs w:val="24"/>
          <w:shd w:val="clear" w:color="auto" w:fill="FFFFFF"/>
          <w:lang w:bidi="ar-SA"/>
        </w:rPr>
      </w:pPr>
      <w:bookmarkStart w:id="751" w:name="_Toc519957254"/>
      <w:r w:rsidRPr="008A2411">
        <w:rPr>
          <w:rFonts w:ascii="Times New Roman"/>
          <w:color w:val="000000" w:themeColor="text1"/>
          <w:kern w:val="2"/>
          <w:sz w:val="24"/>
          <w:szCs w:val="24"/>
          <w:shd w:val="clear" w:color="auto" w:fill="FFFFFF"/>
          <w:lang w:bidi="ar-SA"/>
        </w:rPr>
        <w:t>9.2.2</w:t>
      </w:r>
      <w:r w:rsidRPr="008A2411">
        <w:rPr>
          <w:rFonts w:ascii="Times New Roman"/>
          <w:color w:val="000000" w:themeColor="text1"/>
          <w:kern w:val="2"/>
          <w:sz w:val="24"/>
          <w:szCs w:val="24"/>
          <w:shd w:val="clear" w:color="auto" w:fill="FFFFFF"/>
          <w:lang w:bidi="ar-SA"/>
        </w:rPr>
        <w:t>加强工程承包方的管理</w:t>
      </w:r>
      <w:bookmarkEnd w:id="751"/>
    </w:p>
    <w:p w14:paraId="18CBFC0C" w14:textId="77777777" w:rsidR="00B0005F" w:rsidRPr="008A2411" w:rsidRDefault="00000000">
      <w:pPr>
        <w:pStyle w:val="L-"/>
        <w:adjustRightInd w:val="0"/>
        <w:spacing w:line="360" w:lineRule="auto"/>
        <w:rPr>
          <w:rFonts w:ascii="Times New Roman" w:cs="Times New Roman"/>
          <w:color w:val="000000" w:themeColor="text1"/>
          <w:kern w:val="2"/>
          <w:szCs w:val="24"/>
        </w:rPr>
      </w:pPr>
      <w:r w:rsidRPr="008A2411">
        <w:rPr>
          <w:rFonts w:ascii="Times New Roman" w:cs="Times New Roman"/>
          <w:color w:val="000000" w:themeColor="text1"/>
          <w:kern w:val="2"/>
          <w:szCs w:val="24"/>
        </w:rPr>
        <w:t>工程涉及到承包方，对他们管理的如何将直接关系到环境管理的好坏，为此，应加强以下几个方面的工作。</w:t>
      </w:r>
    </w:p>
    <w:p w14:paraId="64912802" w14:textId="77777777" w:rsidR="00B0005F" w:rsidRPr="008A2411" w:rsidRDefault="00000000">
      <w:pPr>
        <w:pStyle w:val="L-"/>
        <w:adjustRightInd w:val="0"/>
        <w:spacing w:line="360" w:lineRule="auto"/>
        <w:rPr>
          <w:rFonts w:ascii="Times New Roman" w:cs="Times New Roman"/>
          <w:color w:val="000000" w:themeColor="text1"/>
          <w:kern w:val="2"/>
          <w:szCs w:val="24"/>
        </w:rPr>
      </w:pPr>
      <w:r w:rsidRPr="008A2411">
        <w:rPr>
          <w:rFonts w:ascii="Times New Roman" w:cs="Times New Roman"/>
          <w:color w:val="000000" w:themeColor="text1"/>
          <w:kern w:val="2"/>
          <w:szCs w:val="24"/>
        </w:rPr>
        <w:t>（</w:t>
      </w:r>
      <w:r w:rsidRPr="008A2411">
        <w:rPr>
          <w:rFonts w:ascii="Times New Roman" w:cs="Times New Roman"/>
          <w:color w:val="000000" w:themeColor="text1"/>
          <w:kern w:val="2"/>
          <w:szCs w:val="24"/>
        </w:rPr>
        <w:t>1</w:t>
      </w:r>
      <w:r w:rsidRPr="008A2411">
        <w:rPr>
          <w:rFonts w:ascii="Times New Roman" w:cs="Times New Roman"/>
          <w:color w:val="000000" w:themeColor="text1"/>
          <w:kern w:val="2"/>
          <w:szCs w:val="24"/>
        </w:rPr>
        <w:t>）在承包方的选择上应优先选择那些环保管理水平高、环保业绩好的单位。</w:t>
      </w:r>
    </w:p>
    <w:p w14:paraId="2FB8B1CA" w14:textId="77777777" w:rsidR="00B0005F" w:rsidRPr="008A2411" w:rsidRDefault="00000000">
      <w:pPr>
        <w:pStyle w:val="L-"/>
        <w:adjustRightInd w:val="0"/>
        <w:spacing w:line="360" w:lineRule="auto"/>
        <w:rPr>
          <w:rFonts w:ascii="Times New Roman" w:cs="Times New Roman"/>
          <w:color w:val="000000" w:themeColor="text1"/>
          <w:kern w:val="2"/>
          <w:szCs w:val="24"/>
        </w:rPr>
      </w:pPr>
      <w:r w:rsidRPr="008A2411">
        <w:rPr>
          <w:rFonts w:ascii="Times New Roman" w:cs="Times New Roman"/>
          <w:color w:val="000000" w:themeColor="text1"/>
          <w:kern w:val="2"/>
          <w:szCs w:val="24"/>
        </w:rPr>
        <w:t>（</w:t>
      </w:r>
      <w:r w:rsidRPr="008A2411">
        <w:rPr>
          <w:rFonts w:ascii="Times New Roman" w:cs="Times New Roman"/>
          <w:color w:val="000000" w:themeColor="text1"/>
          <w:kern w:val="2"/>
          <w:szCs w:val="24"/>
        </w:rPr>
        <w:t>2</w:t>
      </w:r>
      <w:r w:rsidRPr="008A2411">
        <w:rPr>
          <w:rFonts w:ascii="Times New Roman" w:cs="Times New Roman"/>
          <w:color w:val="000000" w:themeColor="text1"/>
          <w:kern w:val="2"/>
          <w:szCs w:val="24"/>
        </w:rPr>
        <w:t>）在承包合同中应明确有关环境保护条款，根据施工作业合同中有关环保要求，分别制定各工种作业中环境保护的要求。如在施工中，要求在保证安全和顺利施工的情况下，尽量限制施工区的大小，减少对土地的征用及对植被、作</w:t>
      </w:r>
      <w:r w:rsidRPr="008A2411">
        <w:rPr>
          <w:rFonts w:ascii="Times New Roman" w:cs="Times New Roman"/>
          <w:color w:val="000000" w:themeColor="text1"/>
          <w:kern w:val="2"/>
          <w:szCs w:val="24"/>
        </w:rPr>
        <w:lastRenderedPageBreak/>
        <w:t>物的破坏，严格限制对施工区外的植被、作物的人为破坏，禁止猎杀野生动物；挖掘出的土石方的堆放要选择合适场所，不能堵塞自然排水通道，并修筑必要的</w:t>
      </w:r>
      <w:proofErr w:type="gramStart"/>
      <w:r w:rsidRPr="008A2411">
        <w:rPr>
          <w:rFonts w:ascii="Times New Roman" w:cs="Times New Roman"/>
          <w:color w:val="000000" w:themeColor="text1"/>
          <w:kern w:val="2"/>
          <w:szCs w:val="24"/>
        </w:rPr>
        <w:t>挡拦设施</w:t>
      </w:r>
      <w:proofErr w:type="gramEnd"/>
      <w:r w:rsidRPr="008A2411">
        <w:rPr>
          <w:rFonts w:ascii="Times New Roman" w:cs="Times New Roman"/>
          <w:color w:val="000000" w:themeColor="text1"/>
          <w:kern w:val="2"/>
          <w:szCs w:val="24"/>
        </w:rPr>
        <w:t>以防止水土流失；在车辆运输中，要事先确定路线，防止车辆油料及油料装运的泄漏等。将环保工作的好坏作为工程验收的标准之一。</w:t>
      </w:r>
    </w:p>
    <w:p w14:paraId="5B895CC9" w14:textId="77777777" w:rsidR="00B0005F" w:rsidRPr="008A2411" w:rsidRDefault="00000000">
      <w:pPr>
        <w:pStyle w:val="L-"/>
        <w:adjustRightInd w:val="0"/>
        <w:spacing w:line="360" w:lineRule="auto"/>
        <w:rPr>
          <w:rFonts w:ascii="Times New Roman" w:cs="Times New Roman"/>
          <w:color w:val="000000" w:themeColor="text1"/>
          <w:kern w:val="2"/>
          <w:szCs w:val="24"/>
        </w:rPr>
      </w:pPr>
      <w:r w:rsidRPr="008A2411">
        <w:rPr>
          <w:rFonts w:ascii="Times New Roman" w:cs="Times New Roman"/>
          <w:color w:val="000000" w:themeColor="text1"/>
          <w:kern w:val="2"/>
          <w:szCs w:val="24"/>
        </w:rPr>
        <w:t>（</w:t>
      </w:r>
      <w:r w:rsidRPr="008A2411">
        <w:rPr>
          <w:rFonts w:ascii="Times New Roman" w:cs="Times New Roman"/>
          <w:color w:val="000000" w:themeColor="text1"/>
          <w:kern w:val="2"/>
          <w:szCs w:val="24"/>
        </w:rPr>
        <w:t>3</w:t>
      </w:r>
      <w:r w:rsidRPr="008A2411">
        <w:rPr>
          <w:rFonts w:ascii="Times New Roman" w:cs="Times New Roman"/>
          <w:color w:val="000000" w:themeColor="text1"/>
          <w:kern w:val="2"/>
          <w:szCs w:val="24"/>
        </w:rPr>
        <w:t>）各承包方应按照项目部</w:t>
      </w:r>
      <w:r w:rsidRPr="008A2411">
        <w:rPr>
          <w:rFonts w:ascii="Times New Roman" w:cs="Times New Roman"/>
          <w:color w:val="000000" w:themeColor="text1"/>
          <w:kern w:val="2"/>
          <w:szCs w:val="24"/>
        </w:rPr>
        <w:t>HSE</w:t>
      </w:r>
      <w:r w:rsidRPr="008A2411">
        <w:rPr>
          <w:rFonts w:ascii="Times New Roman" w:cs="Times New Roman"/>
          <w:color w:val="000000" w:themeColor="text1"/>
          <w:kern w:val="2"/>
          <w:szCs w:val="24"/>
        </w:rPr>
        <w:t>体系要求，建立相应的</w:t>
      </w:r>
      <w:r w:rsidRPr="008A2411">
        <w:rPr>
          <w:rFonts w:ascii="Times New Roman" w:cs="Times New Roman"/>
          <w:color w:val="000000" w:themeColor="text1"/>
          <w:kern w:val="2"/>
          <w:szCs w:val="24"/>
        </w:rPr>
        <w:t>HSE</w:t>
      </w:r>
      <w:r w:rsidRPr="008A2411">
        <w:rPr>
          <w:rFonts w:ascii="Times New Roman" w:cs="Times New Roman"/>
          <w:color w:val="000000" w:themeColor="text1"/>
          <w:kern w:val="2"/>
          <w:szCs w:val="24"/>
        </w:rPr>
        <w:t>管理机构，明确人员、职责等。各承包方在施工之前，编制详细的</w:t>
      </w:r>
      <w:r w:rsidRPr="008A2411">
        <w:rPr>
          <w:rFonts w:ascii="Times New Roman" w:cs="Times New Roman" w:hint="eastAsia"/>
          <w:color w:val="000000" w:themeColor="text1"/>
          <w:kern w:val="2"/>
          <w:szCs w:val="24"/>
        </w:rPr>
        <w:t>“</w:t>
      </w:r>
      <w:r w:rsidRPr="008A2411">
        <w:rPr>
          <w:rFonts w:ascii="Times New Roman" w:cs="Times New Roman"/>
          <w:color w:val="000000" w:themeColor="text1"/>
          <w:kern w:val="2"/>
          <w:szCs w:val="24"/>
        </w:rPr>
        <w:t>环境管理方案</w:t>
      </w:r>
      <w:r w:rsidRPr="008A2411">
        <w:rPr>
          <w:rFonts w:ascii="Times New Roman" w:cs="Times New Roman" w:hint="eastAsia"/>
          <w:color w:val="000000" w:themeColor="text1"/>
          <w:kern w:val="2"/>
          <w:szCs w:val="24"/>
        </w:rPr>
        <w:t>”</w:t>
      </w:r>
      <w:r w:rsidRPr="008A2411">
        <w:rPr>
          <w:rFonts w:ascii="Times New Roman" w:cs="Times New Roman"/>
          <w:color w:val="000000" w:themeColor="text1"/>
          <w:kern w:val="2"/>
          <w:szCs w:val="24"/>
        </w:rPr>
        <w:t>，并连同施工计划一起呈报项目经理部以及有关的环保部门，批准后方可以开工。</w:t>
      </w:r>
    </w:p>
    <w:p w14:paraId="3FB97305" w14:textId="77777777" w:rsidR="00B0005F" w:rsidRPr="008A2411" w:rsidRDefault="00000000">
      <w:pPr>
        <w:pStyle w:val="L-3"/>
        <w:adjustRightInd w:val="0"/>
        <w:spacing w:before="0" w:after="0" w:line="360" w:lineRule="auto"/>
        <w:rPr>
          <w:rFonts w:ascii="Times New Roman"/>
          <w:color w:val="000000" w:themeColor="text1"/>
          <w:kern w:val="2"/>
          <w:sz w:val="24"/>
          <w:szCs w:val="24"/>
          <w:shd w:val="clear" w:color="auto" w:fill="FFFFFF"/>
          <w:lang w:bidi="ar-SA"/>
        </w:rPr>
      </w:pPr>
      <w:bookmarkStart w:id="752" w:name="_Toc519957255"/>
      <w:r w:rsidRPr="008A2411">
        <w:rPr>
          <w:rFonts w:ascii="Times New Roman"/>
          <w:color w:val="000000" w:themeColor="text1"/>
          <w:kern w:val="2"/>
          <w:sz w:val="24"/>
          <w:szCs w:val="24"/>
          <w:shd w:val="clear" w:color="auto" w:fill="FFFFFF"/>
          <w:lang w:bidi="ar-SA"/>
        </w:rPr>
        <w:t>9.2.3</w:t>
      </w:r>
      <w:r w:rsidRPr="008A2411">
        <w:rPr>
          <w:rFonts w:ascii="Times New Roman"/>
          <w:color w:val="000000" w:themeColor="text1"/>
          <w:kern w:val="2"/>
          <w:sz w:val="24"/>
          <w:szCs w:val="24"/>
          <w:shd w:val="clear" w:color="auto" w:fill="FFFFFF"/>
          <w:lang w:bidi="ar-SA"/>
        </w:rPr>
        <w:t>加强</w:t>
      </w:r>
      <w:r w:rsidRPr="008A2411">
        <w:rPr>
          <w:rFonts w:ascii="Times New Roman"/>
          <w:color w:val="000000" w:themeColor="text1"/>
          <w:kern w:val="2"/>
          <w:sz w:val="24"/>
          <w:szCs w:val="24"/>
          <w:shd w:val="clear" w:color="auto" w:fill="FFFFFF"/>
          <w:lang w:bidi="ar-SA"/>
        </w:rPr>
        <w:t>HSE</w:t>
      </w:r>
      <w:r w:rsidRPr="008A2411">
        <w:rPr>
          <w:rFonts w:ascii="Times New Roman"/>
          <w:color w:val="000000" w:themeColor="text1"/>
          <w:kern w:val="2"/>
          <w:sz w:val="24"/>
          <w:szCs w:val="24"/>
          <w:shd w:val="clear" w:color="auto" w:fill="FFFFFF"/>
          <w:lang w:bidi="ar-SA"/>
        </w:rPr>
        <w:t>培训</w:t>
      </w:r>
      <w:bookmarkEnd w:id="752"/>
    </w:p>
    <w:p w14:paraId="487E6527" w14:textId="77777777" w:rsidR="00B0005F" w:rsidRPr="008A2411" w:rsidRDefault="00000000">
      <w:pPr>
        <w:pStyle w:val="L-"/>
        <w:adjustRightInd w:val="0"/>
        <w:spacing w:line="360" w:lineRule="auto"/>
        <w:rPr>
          <w:rFonts w:ascii="Times New Roman" w:cs="Times New Roman"/>
          <w:color w:val="000000" w:themeColor="text1"/>
          <w:kern w:val="2"/>
          <w:szCs w:val="24"/>
        </w:rPr>
      </w:pPr>
      <w:r w:rsidRPr="008A2411">
        <w:rPr>
          <w:rFonts w:ascii="Times New Roman" w:cs="Times New Roman"/>
          <w:color w:val="000000" w:themeColor="text1"/>
          <w:kern w:val="2"/>
          <w:szCs w:val="24"/>
        </w:rPr>
        <w:t>在施工作业之前必须对全体施工人员进行</w:t>
      </w:r>
      <w:r w:rsidRPr="008A2411">
        <w:rPr>
          <w:rFonts w:ascii="Times New Roman" w:cs="Times New Roman"/>
          <w:color w:val="000000" w:themeColor="text1"/>
          <w:kern w:val="2"/>
          <w:szCs w:val="24"/>
        </w:rPr>
        <w:t>HSE</w:t>
      </w:r>
      <w:r w:rsidRPr="008A2411">
        <w:rPr>
          <w:rFonts w:ascii="Times New Roman" w:cs="Times New Roman"/>
          <w:color w:val="000000" w:themeColor="text1"/>
          <w:kern w:val="2"/>
          <w:szCs w:val="24"/>
        </w:rPr>
        <w:t>培训，包括环保知识、意识和能力的培训。</w:t>
      </w:r>
    </w:p>
    <w:p w14:paraId="33FB56F2" w14:textId="77777777" w:rsidR="00B0005F" w:rsidRPr="008A2411" w:rsidRDefault="00000000">
      <w:pPr>
        <w:pStyle w:val="L-"/>
        <w:adjustRightInd w:val="0"/>
        <w:spacing w:line="360" w:lineRule="auto"/>
        <w:rPr>
          <w:rFonts w:ascii="Times New Roman" w:cs="Times New Roman"/>
          <w:color w:val="000000" w:themeColor="text1"/>
          <w:kern w:val="2"/>
          <w:szCs w:val="24"/>
        </w:rPr>
      </w:pPr>
      <w:r w:rsidRPr="008A2411">
        <w:rPr>
          <w:rFonts w:ascii="Times New Roman" w:cs="Times New Roman"/>
          <w:color w:val="000000" w:themeColor="text1"/>
          <w:kern w:val="2"/>
          <w:szCs w:val="24"/>
        </w:rPr>
        <w:t>环保知识和意识的培训主要包括：了解国家和地方有关环境方面的法律、法规和标准；了解业主的环境方针、环境目标和要求；认识遵守有关环境管理规定的重要性，以及违反规定带来的后果等。</w:t>
      </w:r>
    </w:p>
    <w:p w14:paraId="4C434A38" w14:textId="77777777" w:rsidR="00B0005F" w:rsidRPr="008A2411" w:rsidRDefault="00000000">
      <w:pPr>
        <w:pStyle w:val="L-"/>
        <w:adjustRightInd w:val="0"/>
        <w:spacing w:line="360" w:lineRule="auto"/>
        <w:rPr>
          <w:rFonts w:ascii="Times New Roman" w:cs="Times New Roman"/>
          <w:color w:val="000000" w:themeColor="text1"/>
          <w:kern w:val="2"/>
          <w:szCs w:val="24"/>
        </w:rPr>
      </w:pPr>
      <w:r w:rsidRPr="008A2411">
        <w:rPr>
          <w:rFonts w:ascii="Times New Roman" w:cs="Times New Roman"/>
          <w:color w:val="000000" w:themeColor="text1"/>
          <w:kern w:val="2"/>
          <w:szCs w:val="24"/>
        </w:rPr>
        <w:t>环保能力的培训主要包括：保护动植物、地下水及地表水水源等的方法；减少和收集、处理固体废物的方法；管理、存放及处理危险物品的方法等。</w:t>
      </w:r>
    </w:p>
    <w:p w14:paraId="4C832B0C" w14:textId="77777777" w:rsidR="00B0005F" w:rsidRPr="008A2411" w:rsidRDefault="00000000">
      <w:pPr>
        <w:pStyle w:val="L-3"/>
        <w:adjustRightInd w:val="0"/>
        <w:spacing w:before="0" w:after="0" w:line="360" w:lineRule="auto"/>
        <w:rPr>
          <w:rFonts w:ascii="Times New Roman"/>
          <w:color w:val="000000" w:themeColor="text1"/>
          <w:kern w:val="2"/>
          <w:sz w:val="24"/>
          <w:szCs w:val="24"/>
          <w:shd w:val="clear" w:color="auto" w:fill="FFFFFF"/>
          <w:lang w:bidi="ar-SA"/>
        </w:rPr>
      </w:pPr>
      <w:bookmarkStart w:id="753" w:name="_Toc519957256"/>
      <w:r w:rsidRPr="008A2411">
        <w:rPr>
          <w:rFonts w:ascii="Times New Roman"/>
          <w:color w:val="000000" w:themeColor="text1"/>
          <w:kern w:val="2"/>
          <w:sz w:val="24"/>
          <w:szCs w:val="24"/>
          <w:shd w:val="clear" w:color="auto" w:fill="FFFFFF"/>
          <w:lang w:bidi="ar-SA"/>
        </w:rPr>
        <w:t>9.2.4</w:t>
      </w:r>
      <w:r w:rsidRPr="008A2411">
        <w:rPr>
          <w:rFonts w:ascii="Times New Roman"/>
          <w:color w:val="000000" w:themeColor="text1"/>
          <w:kern w:val="2"/>
          <w:sz w:val="24"/>
          <w:szCs w:val="24"/>
          <w:shd w:val="clear" w:color="auto" w:fill="FFFFFF"/>
          <w:lang w:bidi="ar-SA"/>
        </w:rPr>
        <w:t>实施环境管理制度</w:t>
      </w:r>
      <w:bookmarkEnd w:id="753"/>
    </w:p>
    <w:p w14:paraId="5F1749FE" w14:textId="77777777" w:rsidR="00B0005F" w:rsidRPr="008A2411" w:rsidRDefault="00000000">
      <w:pPr>
        <w:pStyle w:val="L-"/>
        <w:adjustRightInd w:val="0"/>
        <w:spacing w:line="360" w:lineRule="auto"/>
        <w:rPr>
          <w:rFonts w:ascii="Times New Roman" w:cs="Times New Roman"/>
          <w:color w:val="000000" w:themeColor="text1"/>
          <w:kern w:val="2"/>
          <w:szCs w:val="24"/>
        </w:rPr>
      </w:pPr>
      <w:r w:rsidRPr="008A2411">
        <w:rPr>
          <w:rFonts w:ascii="Times New Roman" w:cs="Times New Roman"/>
          <w:color w:val="000000" w:themeColor="text1"/>
          <w:kern w:val="2"/>
          <w:szCs w:val="24"/>
        </w:rPr>
        <w:t>环境管理即安排专人负责环境管理工作及环境法规和政策的执行情况进行监察和督促的整套措施和方法。其主要任务是落实工程施工期间的各项环境保护措施和方案。</w:t>
      </w:r>
    </w:p>
    <w:p w14:paraId="1B7E7EED" w14:textId="77777777" w:rsidR="00B0005F" w:rsidRPr="008A2411" w:rsidRDefault="00000000">
      <w:pPr>
        <w:pStyle w:val="L-"/>
        <w:adjustRightInd w:val="0"/>
        <w:spacing w:line="360" w:lineRule="auto"/>
        <w:rPr>
          <w:rFonts w:ascii="Times New Roman" w:cs="Times New Roman"/>
          <w:color w:val="000000" w:themeColor="text1"/>
          <w:kern w:val="2"/>
          <w:szCs w:val="24"/>
        </w:rPr>
      </w:pPr>
      <w:r w:rsidRPr="008A2411">
        <w:rPr>
          <w:rFonts w:ascii="Times New Roman" w:cs="Times New Roman"/>
          <w:color w:val="000000" w:themeColor="text1"/>
          <w:kern w:val="2"/>
          <w:szCs w:val="24"/>
        </w:rPr>
        <w:t>对环境管理人员提出以下要求：</w:t>
      </w:r>
    </w:p>
    <w:p w14:paraId="5ED801EB" w14:textId="77777777" w:rsidR="00B0005F" w:rsidRPr="008A2411" w:rsidRDefault="00000000">
      <w:pPr>
        <w:pStyle w:val="L-"/>
        <w:adjustRightInd w:val="0"/>
        <w:spacing w:line="360" w:lineRule="auto"/>
        <w:rPr>
          <w:rFonts w:ascii="Times New Roman" w:cs="Times New Roman"/>
          <w:color w:val="000000" w:themeColor="text1"/>
          <w:kern w:val="2"/>
          <w:szCs w:val="24"/>
        </w:rPr>
      </w:pPr>
      <w:r w:rsidRPr="008A2411">
        <w:rPr>
          <w:rFonts w:ascii="Times New Roman" w:cs="Times New Roman"/>
          <w:color w:val="000000" w:themeColor="text1"/>
          <w:kern w:val="2"/>
          <w:szCs w:val="24"/>
        </w:rPr>
        <w:t>（</w:t>
      </w:r>
      <w:r w:rsidRPr="008A2411">
        <w:rPr>
          <w:rFonts w:ascii="Times New Roman" w:cs="Times New Roman"/>
          <w:color w:val="000000" w:themeColor="text1"/>
          <w:kern w:val="2"/>
          <w:szCs w:val="24"/>
        </w:rPr>
        <w:t>1</w:t>
      </w:r>
      <w:r w:rsidRPr="008A2411">
        <w:rPr>
          <w:rFonts w:ascii="Times New Roman" w:cs="Times New Roman"/>
          <w:color w:val="000000" w:themeColor="text1"/>
          <w:kern w:val="2"/>
          <w:szCs w:val="24"/>
        </w:rPr>
        <w:t>）环境管理人员必须具备环保专业知识，精通国家环境法律、法规和政策，了解当地环保部门的要求和环境标准。</w:t>
      </w:r>
    </w:p>
    <w:p w14:paraId="1FCE7A93" w14:textId="77777777" w:rsidR="00B0005F" w:rsidRPr="008A2411" w:rsidRDefault="00000000">
      <w:pPr>
        <w:pStyle w:val="L-"/>
        <w:adjustRightInd w:val="0"/>
        <w:spacing w:line="360" w:lineRule="auto"/>
        <w:rPr>
          <w:rFonts w:ascii="Times New Roman" w:cs="Times New Roman"/>
          <w:color w:val="000000" w:themeColor="text1"/>
          <w:kern w:val="2"/>
          <w:szCs w:val="24"/>
        </w:rPr>
      </w:pPr>
      <w:r w:rsidRPr="008A2411">
        <w:rPr>
          <w:rFonts w:ascii="Times New Roman" w:cs="Times New Roman"/>
          <w:color w:val="000000" w:themeColor="text1"/>
          <w:kern w:val="2"/>
          <w:szCs w:val="24"/>
        </w:rPr>
        <w:t>（</w:t>
      </w:r>
      <w:r w:rsidRPr="008A2411">
        <w:rPr>
          <w:rFonts w:ascii="Times New Roman" w:cs="Times New Roman"/>
          <w:color w:val="000000" w:themeColor="text1"/>
          <w:kern w:val="2"/>
          <w:szCs w:val="24"/>
        </w:rPr>
        <w:t>2</w:t>
      </w:r>
      <w:r w:rsidRPr="008A2411">
        <w:rPr>
          <w:rFonts w:ascii="Times New Roman" w:cs="Times New Roman"/>
          <w:color w:val="000000" w:themeColor="text1"/>
          <w:kern w:val="2"/>
          <w:szCs w:val="24"/>
        </w:rPr>
        <w:t>）接受过</w:t>
      </w:r>
      <w:r w:rsidRPr="008A2411">
        <w:rPr>
          <w:rFonts w:ascii="Times New Roman" w:cs="Times New Roman"/>
          <w:color w:val="000000" w:themeColor="text1"/>
          <w:kern w:val="2"/>
          <w:szCs w:val="24"/>
        </w:rPr>
        <w:t>HSE</w:t>
      </w:r>
      <w:r w:rsidRPr="008A2411">
        <w:rPr>
          <w:rFonts w:ascii="Times New Roman" w:cs="Times New Roman"/>
          <w:color w:val="000000" w:themeColor="text1"/>
          <w:kern w:val="2"/>
          <w:szCs w:val="24"/>
        </w:rPr>
        <w:t>专门培训，有一定的工作资历和现场施工经验。</w:t>
      </w:r>
    </w:p>
    <w:p w14:paraId="4F4129F3" w14:textId="77777777" w:rsidR="00B0005F" w:rsidRPr="008A2411" w:rsidRDefault="00000000">
      <w:pPr>
        <w:pStyle w:val="L-"/>
        <w:adjustRightInd w:val="0"/>
        <w:spacing w:line="360" w:lineRule="auto"/>
        <w:rPr>
          <w:rFonts w:ascii="Times New Roman" w:cs="Times New Roman"/>
          <w:color w:val="000000" w:themeColor="text1"/>
          <w:kern w:val="2"/>
          <w:szCs w:val="24"/>
        </w:rPr>
      </w:pPr>
      <w:r w:rsidRPr="008A2411">
        <w:rPr>
          <w:rFonts w:ascii="Times New Roman" w:cs="Times New Roman"/>
          <w:color w:val="000000" w:themeColor="text1"/>
          <w:kern w:val="2"/>
          <w:szCs w:val="24"/>
        </w:rPr>
        <w:t>环境管理人员可分段对施工现场进行监督，其主要职责为：</w:t>
      </w:r>
    </w:p>
    <w:p w14:paraId="11F3333C" w14:textId="77777777" w:rsidR="00B0005F" w:rsidRPr="008A2411" w:rsidRDefault="00000000">
      <w:pPr>
        <w:pStyle w:val="L-"/>
        <w:adjustRightInd w:val="0"/>
        <w:spacing w:line="360" w:lineRule="auto"/>
        <w:rPr>
          <w:rFonts w:ascii="Times New Roman" w:cs="Times New Roman"/>
          <w:color w:val="000000" w:themeColor="text1"/>
          <w:kern w:val="2"/>
          <w:szCs w:val="24"/>
        </w:rPr>
      </w:pPr>
      <w:r w:rsidRPr="008A2411">
        <w:rPr>
          <w:rFonts w:ascii="Times New Roman" w:cs="Times New Roman"/>
          <w:color w:val="000000" w:themeColor="text1"/>
          <w:kern w:val="2"/>
          <w:szCs w:val="24"/>
        </w:rPr>
        <w:t>（</w:t>
      </w:r>
      <w:r w:rsidRPr="008A2411">
        <w:rPr>
          <w:rFonts w:ascii="Times New Roman" w:cs="Times New Roman"/>
          <w:color w:val="000000" w:themeColor="text1"/>
          <w:kern w:val="2"/>
          <w:szCs w:val="24"/>
        </w:rPr>
        <w:t>1</w:t>
      </w:r>
      <w:r w:rsidRPr="008A2411">
        <w:rPr>
          <w:rFonts w:ascii="Times New Roman" w:cs="Times New Roman"/>
          <w:color w:val="000000" w:themeColor="text1"/>
          <w:kern w:val="2"/>
          <w:szCs w:val="24"/>
        </w:rPr>
        <w:t>）监督施工现场对</w:t>
      </w:r>
      <w:r w:rsidRPr="008A2411">
        <w:rPr>
          <w:rFonts w:ascii="Times New Roman" w:cs="Times New Roman" w:hint="eastAsia"/>
          <w:color w:val="000000" w:themeColor="text1"/>
          <w:kern w:val="2"/>
          <w:szCs w:val="24"/>
        </w:rPr>
        <w:t>“</w:t>
      </w:r>
      <w:r w:rsidRPr="008A2411">
        <w:rPr>
          <w:rFonts w:ascii="Times New Roman" w:cs="Times New Roman"/>
          <w:color w:val="000000" w:themeColor="text1"/>
          <w:kern w:val="2"/>
          <w:szCs w:val="24"/>
        </w:rPr>
        <w:t>环境管理方案</w:t>
      </w:r>
      <w:r w:rsidRPr="008A2411">
        <w:rPr>
          <w:rFonts w:ascii="Times New Roman" w:cs="Times New Roman" w:hint="eastAsia"/>
          <w:color w:val="000000" w:themeColor="text1"/>
          <w:kern w:val="2"/>
          <w:szCs w:val="24"/>
        </w:rPr>
        <w:t>”</w:t>
      </w:r>
      <w:r w:rsidRPr="008A2411">
        <w:rPr>
          <w:rFonts w:ascii="Times New Roman" w:cs="Times New Roman"/>
          <w:color w:val="000000" w:themeColor="text1"/>
          <w:kern w:val="2"/>
          <w:szCs w:val="24"/>
        </w:rPr>
        <w:t>的落实情况。</w:t>
      </w:r>
    </w:p>
    <w:p w14:paraId="3A01441D" w14:textId="77777777" w:rsidR="00B0005F" w:rsidRPr="008A2411" w:rsidRDefault="00000000">
      <w:pPr>
        <w:pStyle w:val="L-"/>
        <w:adjustRightInd w:val="0"/>
        <w:spacing w:line="360" w:lineRule="auto"/>
        <w:rPr>
          <w:rFonts w:ascii="Times New Roman" w:cs="Times New Roman"/>
          <w:color w:val="000000" w:themeColor="text1"/>
          <w:kern w:val="2"/>
          <w:szCs w:val="24"/>
        </w:rPr>
      </w:pPr>
      <w:r w:rsidRPr="008A2411">
        <w:rPr>
          <w:rFonts w:ascii="Times New Roman" w:cs="Times New Roman"/>
          <w:color w:val="000000" w:themeColor="text1"/>
          <w:kern w:val="2"/>
          <w:szCs w:val="24"/>
        </w:rPr>
        <w:t>（</w:t>
      </w:r>
      <w:r w:rsidRPr="008A2411">
        <w:rPr>
          <w:rFonts w:ascii="Times New Roman" w:cs="Times New Roman"/>
          <w:color w:val="000000" w:themeColor="text1"/>
          <w:kern w:val="2"/>
          <w:szCs w:val="24"/>
        </w:rPr>
        <w:t>2</w:t>
      </w:r>
      <w:r w:rsidRPr="008A2411">
        <w:rPr>
          <w:rFonts w:ascii="Times New Roman" w:cs="Times New Roman"/>
          <w:color w:val="000000" w:themeColor="text1"/>
          <w:kern w:val="2"/>
          <w:szCs w:val="24"/>
        </w:rPr>
        <w:t>）及时向</w:t>
      </w:r>
      <w:r w:rsidRPr="008A2411">
        <w:rPr>
          <w:rFonts w:ascii="Times New Roman" w:cs="Times New Roman"/>
          <w:color w:val="000000" w:themeColor="text1"/>
          <w:kern w:val="2"/>
          <w:szCs w:val="24"/>
        </w:rPr>
        <w:t>HSE</w:t>
      </w:r>
      <w:r w:rsidRPr="008A2411">
        <w:rPr>
          <w:rFonts w:ascii="Times New Roman" w:cs="Times New Roman"/>
          <w:color w:val="000000" w:themeColor="text1"/>
          <w:kern w:val="2"/>
          <w:szCs w:val="24"/>
        </w:rPr>
        <w:t>负责人汇报环境管理现状，提出合理化建议。</w:t>
      </w:r>
    </w:p>
    <w:p w14:paraId="5D9ED2AB" w14:textId="77777777" w:rsidR="00B0005F" w:rsidRPr="008A2411" w:rsidRDefault="00000000">
      <w:pPr>
        <w:pStyle w:val="L-"/>
        <w:adjustRightInd w:val="0"/>
        <w:spacing w:line="360" w:lineRule="auto"/>
        <w:rPr>
          <w:rFonts w:ascii="Times New Roman" w:cs="Times New Roman"/>
          <w:color w:val="000000" w:themeColor="text1"/>
          <w:kern w:val="2"/>
          <w:szCs w:val="24"/>
        </w:rPr>
      </w:pPr>
      <w:r w:rsidRPr="008A2411">
        <w:rPr>
          <w:rFonts w:ascii="Times New Roman" w:cs="Times New Roman"/>
          <w:color w:val="000000" w:themeColor="text1"/>
          <w:kern w:val="2"/>
          <w:szCs w:val="24"/>
        </w:rPr>
        <w:t>（</w:t>
      </w:r>
      <w:r w:rsidRPr="008A2411">
        <w:rPr>
          <w:rFonts w:ascii="Times New Roman" w:cs="Times New Roman"/>
          <w:color w:val="000000" w:themeColor="text1"/>
          <w:kern w:val="2"/>
          <w:szCs w:val="24"/>
        </w:rPr>
        <w:t>3</w:t>
      </w:r>
      <w:r w:rsidRPr="008A2411">
        <w:rPr>
          <w:rFonts w:ascii="Times New Roman" w:cs="Times New Roman"/>
          <w:color w:val="000000" w:themeColor="text1"/>
          <w:kern w:val="2"/>
          <w:szCs w:val="24"/>
        </w:rPr>
        <w:t>）及时制止违反环境法规等给环境造成污染或后患的一切行为。对环境影响较大的行为进行处罚。</w:t>
      </w:r>
    </w:p>
    <w:p w14:paraId="3104C490" w14:textId="77777777" w:rsidR="00B0005F" w:rsidRPr="008A2411" w:rsidRDefault="00000000">
      <w:pPr>
        <w:pStyle w:val="L-"/>
        <w:adjustRightInd w:val="0"/>
        <w:spacing w:line="360" w:lineRule="auto"/>
        <w:rPr>
          <w:rFonts w:ascii="Times New Roman" w:cs="Times New Roman"/>
          <w:color w:val="000000" w:themeColor="text1"/>
          <w:kern w:val="2"/>
          <w:szCs w:val="24"/>
        </w:rPr>
      </w:pPr>
      <w:r w:rsidRPr="008A2411">
        <w:rPr>
          <w:rFonts w:ascii="Times New Roman" w:cs="Times New Roman"/>
          <w:color w:val="000000" w:themeColor="text1"/>
          <w:kern w:val="2"/>
          <w:szCs w:val="24"/>
        </w:rPr>
        <w:t>（</w:t>
      </w:r>
      <w:r w:rsidRPr="008A2411">
        <w:rPr>
          <w:rFonts w:ascii="Times New Roman" w:cs="Times New Roman"/>
          <w:color w:val="000000" w:themeColor="text1"/>
          <w:kern w:val="2"/>
          <w:szCs w:val="24"/>
        </w:rPr>
        <w:t>4</w:t>
      </w:r>
      <w:r w:rsidRPr="008A2411">
        <w:rPr>
          <w:rFonts w:ascii="Times New Roman" w:cs="Times New Roman"/>
          <w:color w:val="000000" w:themeColor="text1"/>
          <w:kern w:val="2"/>
          <w:szCs w:val="24"/>
        </w:rPr>
        <w:t>）协助</w:t>
      </w:r>
      <w:r w:rsidRPr="008A2411">
        <w:rPr>
          <w:rFonts w:ascii="Times New Roman" w:cs="Times New Roman"/>
          <w:color w:val="000000" w:themeColor="text1"/>
          <w:kern w:val="2"/>
          <w:szCs w:val="24"/>
        </w:rPr>
        <w:t>HSE</w:t>
      </w:r>
      <w:r w:rsidRPr="008A2411">
        <w:rPr>
          <w:rFonts w:ascii="Times New Roman" w:cs="Times New Roman"/>
          <w:color w:val="000000" w:themeColor="text1"/>
          <w:kern w:val="2"/>
          <w:szCs w:val="24"/>
        </w:rPr>
        <w:t>负责人宣传贯彻国家和当地政府有关环境方面的法律和法规。</w:t>
      </w:r>
    </w:p>
    <w:p w14:paraId="1EF58502" w14:textId="77777777" w:rsidR="00B0005F" w:rsidRPr="008A2411" w:rsidRDefault="00000000">
      <w:pPr>
        <w:pStyle w:val="L-"/>
        <w:adjustRightInd w:val="0"/>
        <w:spacing w:line="360" w:lineRule="auto"/>
        <w:rPr>
          <w:rFonts w:ascii="Times New Roman" w:cs="Times New Roman"/>
          <w:color w:val="000000" w:themeColor="text1"/>
          <w:kern w:val="2"/>
          <w:szCs w:val="24"/>
        </w:rPr>
      </w:pPr>
      <w:r w:rsidRPr="008A2411">
        <w:rPr>
          <w:rFonts w:ascii="Times New Roman" w:cs="Times New Roman"/>
          <w:color w:val="000000" w:themeColor="text1"/>
          <w:kern w:val="2"/>
          <w:szCs w:val="24"/>
        </w:rPr>
        <w:lastRenderedPageBreak/>
        <w:t>（</w:t>
      </w:r>
      <w:r w:rsidRPr="008A2411">
        <w:rPr>
          <w:rFonts w:ascii="Times New Roman" w:cs="Times New Roman"/>
          <w:color w:val="000000" w:themeColor="text1"/>
          <w:kern w:val="2"/>
          <w:szCs w:val="24"/>
        </w:rPr>
        <w:t>5</w:t>
      </w:r>
      <w:r w:rsidRPr="008A2411">
        <w:rPr>
          <w:rFonts w:ascii="Times New Roman" w:cs="Times New Roman"/>
          <w:color w:val="000000" w:themeColor="text1"/>
          <w:kern w:val="2"/>
          <w:szCs w:val="24"/>
        </w:rPr>
        <w:t>）对</w:t>
      </w:r>
      <w:r w:rsidRPr="008A2411">
        <w:rPr>
          <w:rFonts w:ascii="Times New Roman" w:cs="Times New Roman"/>
          <w:color w:val="000000" w:themeColor="text1"/>
          <w:kern w:val="2"/>
          <w:szCs w:val="24"/>
        </w:rPr>
        <w:t>HSE</w:t>
      </w:r>
      <w:r w:rsidRPr="008A2411">
        <w:rPr>
          <w:rFonts w:ascii="Times New Roman" w:cs="Times New Roman"/>
          <w:color w:val="000000" w:themeColor="text1"/>
          <w:kern w:val="2"/>
          <w:szCs w:val="24"/>
        </w:rPr>
        <w:t>工作的真实性、合法性、效益性进行审查，评价其责任，并提出改进意见。</w:t>
      </w:r>
    </w:p>
    <w:p w14:paraId="4BFC5626" w14:textId="77777777" w:rsidR="00B0005F" w:rsidRPr="008A2411" w:rsidRDefault="00000000">
      <w:pPr>
        <w:pStyle w:val="WJ3"/>
        <w:rPr>
          <w:rFonts w:ascii="Times New Roman" w:hAnsi="Times New Roman"/>
          <w:color w:val="000000" w:themeColor="text1"/>
        </w:rPr>
      </w:pPr>
      <w:bookmarkStart w:id="754" w:name="_Toc310341225"/>
      <w:bookmarkStart w:id="755" w:name="_Toc405904592"/>
      <w:bookmarkStart w:id="756" w:name="_Toc405905408"/>
      <w:bookmarkStart w:id="757" w:name="_Toc405904936"/>
      <w:bookmarkStart w:id="758" w:name="_Toc319853009"/>
      <w:bookmarkStart w:id="759" w:name="_Toc405214340"/>
      <w:bookmarkStart w:id="760" w:name="_Toc422906950"/>
      <w:r w:rsidRPr="008A2411">
        <w:rPr>
          <w:rFonts w:ascii="Times New Roman" w:hAnsi="Times New Roman"/>
          <w:color w:val="000000" w:themeColor="text1"/>
        </w:rPr>
        <w:t>9.2.5</w:t>
      </w:r>
      <w:r w:rsidRPr="008A2411">
        <w:rPr>
          <w:rFonts w:ascii="Times New Roman" w:hAnsi="Times New Roman"/>
          <w:color w:val="000000" w:themeColor="text1"/>
        </w:rPr>
        <w:t>制定紧急情况处理计划</w:t>
      </w:r>
      <w:bookmarkEnd w:id="754"/>
      <w:bookmarkEnd w:id="755"/>
      <w:bookmarkEnd w:id="756"/>
      <w:bookmarkEnd w:id="757"/>
      <w:bookmarkEnd w:id="758"/>
      <w:bookmarkEnd w:id="759"/>
      <w:bookmarkEnd w:id="760"/>
    </w:p>
    <w:p w14:paraId="2A81C107"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计划中要考虑施工中可能出现的紧急情况，明确紧急情况出现时的处理协调员、施工人员的责任、出现紧急情况后的恢复手段、应提交的报告等。</w:t>
      </w:r>
    </w:p>
    <w:p w14:paraId="4ED6FF7C" w14:textId="77777777" w:rsidR="00B0005F" w:rsidRPr="008A2411" w:rsidRDefault="00000000">
      <w:pPr>
        <w:pStyle w:val="WJ3"/>
        <w:rPr>
          <w:rFonts w:ascii="Times New Roman" w:hAnsi="Times New Roman"/>
          <w:color w:val="000000" w:themeColor="text1"/>
        </w:rPr>
      </w:pPr>
      <w:bookmarkStart w:id="761" w:name="_Toc422906951"/>
      <w:bookmarkStart w:id="762" w:name="_Toc310341226"/>
      <w:bookmarkStart w:id="763" w:name="_Toc405904593"/>
      <w:bookmarkStart w:id="764" w:name="_Toc319853010"/>
      <w:bookmarkStart w:id="765" w:name="_Toc405904937"/>
      <w:bookmarkStart w:id="766" w:name="_Toc405905409"/>
      <w:bookmarkStart w:id="767" w:name="_Toc405214341"/>
      <w:r w:rsidRPr="008A2411">
        <w:rPr>
          <w:rFonts w:ascii="Times New Roman" w:hAnsi="Times New Roman"/>
          <w:color w:val="000000" w:themeColor="text1"/>
        </w:rPr>
        <w:t>9.2.6</w:t>
      </w:r>
      <w:r w:rsidRPr="008A2411">
        <w:rPr>
          <w:rFonts w:ascii="Times New Roman" w:hAnsi="Times New Roman"/>
          <w:color w:val="000000" w:themeColor="text1"/>
        </w:rPr>
        <w:t>制定施工期的环境监测管理计划</w:t>
      </w:r>
      <w:bookmarkEnd w:id="761"/>
      <w:bookmarkEnd w:id="762"/>
      <w:bookmarkEnd w:id="763"/>
      <w:bookmarkEnd w:id="764"/>
      <w:bookmarkEnd w:id="765"/>
      <w:bookmarkEnd w:id="766"/>
      <w:bookmarkEnd w:id="767"/>
    </w:p>
    <w:p w14:paraId="29141F00"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施工期的环境监测包括对作业场所的控制监测和事故发生后的影响监测。主要监测对象有土壤、植被、施工作业废气、废水和噪声等。对作业场所的控制监测可视当地具体情况、当地环保部门要求等情况而定。对事故监测可根据事故性质、事故影响的大小等具体情况监测土壤、气、水。</w:t>
      </w:r>
    </w:p>
    <w:p w14:paraId="03F60C82" w14:textId="77777777" w:rsidR="00B0005F" w:rsidRPr="008A2411" w:rsidRDefault="00000000">
      <w:pPr>
        <w:pStyle w:val="WJ"/>
        <w:rPr>
          <w:rFonts w:ascii="Times New Roman" w:hAnsi="Times New Roman"/>
          <w:color w:val="000000" w:themeColor="text1"/>
        </w:rPr>
      </w:pPr>
      <w:r w:rsidRPr="008A2411">
        <w:rPr>
          <w:rFonts w:ascii="Times New Roman" w:hAnsi="Times New Roman"/>
          <w:color w:val="000000" w:themeColor="text1"/>
        </w:rPr>
        <w:t>施工期环境监测工作由</w:t>
      </w:r>
      <w:r w:rsidRPr="008A2411">
        <w:rPr>
          <w:rFonts w:ascii="Times New Roman" w:hAnsi="Times New Roman"/>
          <w:color w:val="000000" w:themeColor="text1"/>
        </w:rPr>
        <w:t>HSE</w:t>
      </w:r>
      <w:r w:rsidRPr="008A2411">
        <w:rPr>
          <w:rFonts w:ascii="Times New Roman" w:hAnsi="Times New Roman"/>
          <w:color w:val="000000" w:themeColor="text1"/>
        </w:rPr>
        <w:t>协调员负责组织完成，具体监测可委托具备监测资质和能力的环境监测机构完成。</w:t>
      </w:r>
    </w:p>
    <w:p w14:paraId="114A91F9" w14:textId="77777777" w:rsidR="00B0005F" w:rsidRPr="008A2411" w:rsidRDefault="00000000">
      <w:pPr>
        <w:pStyle w:val="WJ3"/>
        <w:rPr>
          <w:rFonts w:ascii="Times New Roman" w:hAnsi="Times New Roman"/>
          <w:color w:val="000000" w:themeColor="text1"/>
        </w:rPr>
      </w:pPr>
      <w:bookmarkStart w:id="768" w:name="_Toc319853011"/>
      <w:bookmarkStart w:id="769" w:name="_Toc405905410"/>
      <w:bookmarkStart w:id="770" w:name="_Toc405904594"/>
      <w:bookmarkStart w:id="771" w:name="_Toc422906952"/>
      <w:bookmarkStart w:id="772" w:name="_Toc310341227"/>
      <w:bookmarkStart w:id="773" w:name="_Toc405904938"/>
      <w:bookmarkStart w:id="774" w:name="_Toc405214342"/>
      <w:r w:rsidRPr="008A2411">
        <w:rPr>
          <w:rFonts w:ascii="Times New Roman" w:hAnsi="Times New Roman"/>
          <w:color w:val="000000" w:themeColor="text1"/>
        </w:rPr>
        <w:t>9.2.7</w:t>
      </w:r>
      <w:r w:rsidRPr="008A2411">
        <w:rPr>
          <w:rFonts w:ascii="Times New Roman" w:hAnsi="Times New Roman"/>
          <w:color w:val="000000" w:themeColor="text1"/>
        </w:rPr>
        <w:t>制定施工结束后的恢复计划</w:t>
      </w:r>
      <w:bookmarkEnd w:id="768"/>
      <w:bookmarkEnd w:id="769"/>
      <w:bookmarkEnd w:id="770"/>
      <w:bookmarkEnd w:id="771"/>
      <w:bookmarkEnd w:id="772"/>
      <w:bookmarkEnd w:id="773"/>
      <w:bookmarkEnd w:id="774"/>
    </w:p>
    <w:p w14:paraId="74CEC084"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在施工前必须制定恢复计划，主要包括：收集所有的施工材料废弃物和生活废弃物、填实污水坑并用土压实、尽量恢复施工区内的自然排水通道、营地拆除后不留废弃物品，并对现场作业环境和营地环境恢复情况进行回访等。</w:t>
      </w:r>
    </w:p>
    <w:p w14:paraId="3ABC7799" w14:textId="77777777" w:rsidR="00B0005F" w:rsidRPr="008A2411" w:rsidRDefault="00000000">
      <w:pPr>
        <w:pStyle w:val="WJ2"/>
        <w:snapToGrid/>
        <w:spacing w:line="360" w:lineRule="auto"/>
        <w:rPr>
          <w:rFonts w:ascii="Times New Roman" w:hAnsi="Times New Roman"/>
          <w:color w:val="000000" w:themeColor="text1"/>
        </w:rPr>
      </w:pPr>
      <w:bookmarkStart w:id="775" w:name="_Toc521153770"/>
      <w:bookmarkStart w:id="776" w:name="_Toc520074873"/>
      <w:bookmarkStart w:id="777" w:name="_Toc84606507"/>
      <w:bookmarkStart w:id="778" w:name="_Toc76972126"/>
      <w:bookmarkStart w:id="779" w:name="_Toc109170805"/>
      <w:bookmarkStart w:id="780" w:name="_Toc405904943"/>
      <w:bookmarkStart w:id="781" w:name="_Toc422906955"/>
      <w:bookmarkStart w:id="782" w:name="_Toc405214348"/>
      <w:bookmarkStart w:id="783" w:name="_Toc319853017"/>
      <w:bookmarkStart w:id="784" w:name="_Toc405904599"/>
      <w:bookmarkStart w:id="785" w:name="_Toc405905415"/>
      <w:r w:rsidRPr="008A2411">
        <w:rPr>
          <w:rFonts w:ascii="Times New Roman" w:hAnsi="Times New Roman"/>
          <w:color w:val="000000" w:themeColor="text1"/>
        </w:rPr>
        <w:t>9.3</w:t>
      </w:r>
      <w:r w:rsidRPr="008A2411">
        <w:rPr>
          <w:rFonts w:ascii="Times New Roman" w:hAnsi="Times New Roman"/>
          <w:color w:val="000000" w:themeColor="text1"/>
        </w:rPr>
        <w:t>运营期的环境管理</w:t>
      </w:r>
      <w:bookmarkEnd w:id="775"/>
      <w:bookmarkEnd w:id="776"/>
      <w:bookmarkEnd w:id="777"/>
      <w:bookmarkEnd w:id="778"/>
      <w:bookmarkEnd w:id="779"/>
    </w:p>
    <w:p w14:paraId="2F6C8EF3" w14:textId="77777777" w:rsidR="00E25B18" w:rsidRPr="008A2411" w:rsidRDefault="00000000" w:rsidP="00E25B18">
      <w:pPr>
        <w:pStyle w:val="L-"/>
        <w:adjustRightInd w:val="0"/>
        <w:spacing w:line="360" w:lineRule="auto"/>
        <w:rPr>
          <w:rFonts w:ascii="Times New Roman" w:cs="Times New Roman"/>
          <w:color w:val="000000" w:themeColor="text1"/>
          <w:kern w:val="2"/>
          <w:szCs w:val="24"/>
          <w:shd w:val="clear" w:color="auto" w:fill="auto"/>
        </w:rPr>
      </w:pPr>
      <w:r w:rsidRPr="008A2411">
        <w:rPr>
          <w:rFonts w:ascii="Times New Roman" w:cs="Times New Roman"/>
          <w:color w:val="000000" w:themeColor="text1"/>
          <w:kern w:val="2"/>
          <w:szCs w:val="24"/>
          <w:shd w:val="clear" w:color="auto" w:fill="auto"/>
        </w:rPr>
        <w:t>运营</w:t>
      </w:r>
      <w:proofErr w:type="gramStart"/>
      <w:r w:rsidRPr="008A2411">
        <w:rPr>
          <w:rFonts w:ascii="Times New Roman" w:cs="Times New Roman"/>
          <w:color w:val="000000" w:themeColor="text1"/>
          <w:kern w:val="2"/>
          <w:szCs w:val="24"/>
          <w:shd w:val="clear" w:color="auto" w:fill="auto"/>
        </w:rPr>
        <w:t>期实行</w:t>
      </w:r>
      <w:proofErr w:type="gramEnd"/>
      <w:r w:rsidRPr="008A2411">
        <w:rPr>
          <w:rFonts w:ascii="Times New Roman" w:cs="Times New Roman"/>
          <w:color w:val="000000" w:themeColor="text1"/>
          <w:kern w:val="2"/>
          <w:szCs w:val="24"/>
          <w:shd w:val="clear" w:color="auto" w:fill="auto"/>
        </w:rPr>
        <w:t>一体化管理，所有员工均竞聘上岗。管理直接到岗位，下设机关管理职能岗位和采气部、运行部、工程维护部三个基层单位，承担作业区生产经营、</w:t>
      </w:r>
      <w:r w:rsidRPr="008A2411">
        <w:rPr>
          <w:rFonts w:ascii="Times New Roman" w:cs="Times New Roman"/>
          <w:color w:val="000000" w:themeColor="text1"/>
          <w:kern w:val="2"/>
          <w:szCs w:val="24"/>
          <w:shd w:val="clear" w:color="auto" w:fill="auto"/>
        </w:rPr>
        <w:t>HSE</w:t>
      </w:r>
      <w:r w:rsidRPr="008A2411">
        <w:rPr>
          <w:rFonts w:ascii="Times New Roman" w:cs="Times New Roman"/>
          <w:color w:val="000000" w:themeColor="text1"/>
          <w:kern w:val="2"/>
          <w:szCs w:val="24"/>
          <w:shd w:val="clear" w:color="auto" w:fill="auto"/>
        </w:rPr>
        <w:t>管理、工程维护、后勤保障等工作。</w:t>
      </w:r>
      <w:bookmarkStart w:id="786" w:name="_Toc520074874"/>
      <w:bookmarkStart w:id="787" w:name="_Toc521153771"/>
      <w:bookmarkStart w:id="788" w:name="_Toc76972127"/>
      <w:bookmarkStart w:id="789" w:name="_Toc84606508"/>
    </w:p>
    <w:p w14:paraId="4F75522F" w14:textId="7E34173E" w:rsidR="00B0005F" w:rsidRPr="008A2411" w:rsidRDefault="00E25B18" w:rsidP="00E25B18">
      <w:pPr>
        <w:pStyle w:val="WJ2"/>
        <w:snapToGrid/>
        <w:spacing w:line="360" w:lineRule="auto"/>
        <w:rPr>
          <w:rFonts w:ascii="Times New Roman" w:hAnsi="Times New Roman"/>
          <w:color w:val="000000" w:themeColor="text1"/>
        </w:rPr>
      </w:pPr>
      <w:r w:rsidRPr="008A2411">
        <w:rPr>
          <w:rFonts w:ascii="Times New Roman" w:hAnsi="Times New Roman"/>
          <w:color w:val="000000" w:themeColor="text1"/>
        </w:rPr>
        <w:t>9.</w:t>
      </w:r>
      <w:r w:rsidRPr="008A2411">
        <w:rPr>
          <w:rFonts w:ascii="Times New Roman" w:hAnsi="Times New Roman" w:hint="eastAsia"/>
          <w:color w:val="000000" w:themeColor="text1"/>
        </w:rPr>
        <w:t>4</w:t>
      </w:r>
      <w:r w:rsidRPr="008A2411">
        <w:rPr>
          <w:rFonts w:ascii="Times New Roman" w:hAnsi="Times New Roman"/>
          <w:color w:val="000000" w:themeColor="text1"/>
        </w:rPr>
        <w:t>污染物排放清单及总量控制</w:t>
      </w:r>
      <w:bookmarkEnd w:id="786"/>
      <w:bookmarkEnd w:id="787"/>
      <w:bookmarkEnd w:id="788"/>
      <w:bookmarkEnd w:id="789"/>
    </w:p>
    <w:p w14:paraId="62DEBB80" w14:textId="77777777" w:rsidR="00B0005F" w:rsidRPr="008A2411" w:rsidRDefault="00000000">
      <w:pPr>
        <w:pStyle w:val="L-"/>
        <w:adjustRightInd w:val="0"/>
        <w:spacing w:line="360" w:lineRule="auto"/>
        <w:rPr>
          <w:rFonts w:ascii="Times New Roman" w:cs="Times New Roman"/>
          <w:color w:val="000000" w:themeColor="text1"/>
          <w:kern w:val="2"/>
          <w:szCs w:val="24"/>
          <w:shd w:val="clear" w:color="auto" w:fill="auto"/>
        </w:rPr>
      </w:pPr>
      <w:r w:rsidRPr="008A2411">
        <w:rPr>
          <w:rFonts w:ascii="Times New Roman" w:cs="Times New Roman"/>
          <w:color w:val="000000" w:themeColor="text1"/>
          <w:kern w:val="2"/>
          <w:szCs w:val="24"/>
          <w:shd w:val="clear" w:color="auto" w:fill="auto"/>
        </w:rPr>
        <w:t>（</w:t>
      </w:r>
      <w:r w:rsidRPr="008A2411">
        <w:rPr>
          <w:rFonts w:ascii="Times New Roman" w:cs="Times New Roman"/>
          <w:color w:val="000000" w:themeColor="text1"/>
          <w:kern w:val="2"/>
          <w:szCs w:val="24"/>
          <w:shd w:val="clear" w:color="auto" w:fill="auto"/>
        </w:rPr>
        <w:t>1</w:t>
      </w:r>
      <w:r w:rsidRPr="008A2411">
        <w:rPr>
          <w:rFonts w:ascii="Times New Roman" w:cs="Times New Roman"/>
          <w:color w:val="000000" w:themeColor="text1"/>
          <w:kern w:val="2"/>
          <w:szCs w:val="24"/>
          <w:shd w:val="clear" w:color="auto" w:fill="auto"/>
        </w:rPr>
        <w:t>）废气排放清单</w:t>
      </w:r>
    </w:p>
    <w:p w14:paraId="15CC02F5" w14:textId="46A17D72" w:rsidR="00B0005F" w:rsidRPr="008A2411" w:rsidRDefault="00000000">
      <w:pPr>
        <w:pStyle w:val="L-"/>
        <w:adjustRightInd w:val="0"/>
        <w:spacing w:line="360" w:lineRule="auto"/>
        <w:rPr>
          <w:rFonts w:ascii="Times New Roman" w:cs="Times New Roman"/>
          <w:color w:val="000000" w:themeColor="text1"/>
          <w:kern w:val="2"/>
          <w:szCs w:val="24"/>
          <w:shd w:val="clear" w:color="auto" w:fill="auto"/>
        </w:rPr>
      </w:pPr>
      <w:r w:rsidRPr="008A2411">
        <w:rPr>
          <w:rFonts w:ascii="Times New Roman" w:cs="Times New Roman"/>
          <w:color w:val="000000" w:themeColor="text1"/>
          <w:kern w:val="2"/>
          <w:szCs w:val="24"/>
          <w:shd w:val="clear" w:color="auto" w:fill="auto"/>
        </w:rPr>
        <w:t>本项目新增废气污染物排放量：</w:t>
      </w:r>
      <w:r w:rsidRPr="008A2411">
        <w:rPr>
          <w:rFonts w:ascii="Times New Roman" w:cs="Times New Roman"/>
          <w:color w:val="000000" w:themeColor="text1"/>
        </w:rPr>
        <w:t>SO</w:t>
      </w:r>
      <w:r w:rsidRPr="008A2411">
        <w:rPr>
          <w:rFonts w:ascii="Times New Roman" w:cs="Times New Roman"/>
          <w:color w:val="000000" w:themeColor="text1"/>
          <w:vertAlign w:val="subscript"/>
        </w:rPr>
        <w:t>2</w:t>
      </w:r>
      <w:r w:rsidRPr="008A2411">
        <w:rPr>
          <w:rFonts w:ascii="Times New Roman" w:cs="Times New Roman"/>
          <w:color w:val="000000" w:themeColor="text1"/>
        </w:rPr>
        <w:t>：</w:t>
      </w:r>
      <w:r w:rsidRPr="008A2411">
        <w:rPr>
          <w:rFonts w:ascii="Times New Roman" w:cs="Times New Roman"/>
          <w:color w:val="000000" w:themeColor="text1"/>
        </w:rPr>
        <w:t>0.086t/a</w:t>
      </w:r>
      <w:r w:rsidRPr="008A2411">
        <w:rPr>
          <w:rFonts w:ascii="Times New Roman" w:cs="Times New Roman"/>
          <w:color w:val="000000" w:themeColor="text1"/>
        </w:rPr>
        <w:t>、</w:t>
      </w:r>
      <w:r w:rsidRPr="008A2411">
        <w:rPr>
          <w:rFonts w:ascii="Times New Roman" w:cs="Times New Roman"/>
          <w:color w:val="000000" w:themeColor="text1"/>
        </w:rPr>
        <w:t>NOx</w:t>
      </w:r>
      <w:r w:rsidRPr="008A2411">
        <w:rPr>
          <w:rFonts w:ascii="Times New Roman" w:cs="Times New Roman"/>
          <w:color w:val="000000" w:themeColor="text1"/>
        </w:rPr>
        <w:t>：</w:t>
      </w:r>
      <w:r w:rsidRPr="008A2411">
        <w:rPr>
          <w:rFonts w:ascii="Times New Roman" w:cs="Times New Roman"/>
          <w:color w:val="000000" w:themeColor="text1"/>
        </w:rPr>
        <w:t>4.4112t/a</w:t>
      </w:r>
      <w:r w:rsidRPr="008A2411">
        <w:rPr>
          <w:rFonts w:ascii="Times New Roman" w:cs="Times New Roman"/>
          <w:color w:val="000000" w:themeColor="text1"/>
        </w:rPr>
        <w:t>、</w:t>
      </w:r>
      <w:r w:rsidR="00F243D6" w:rsidRPr="008A2411">
        <w:rPr>
          <w:rFonts w:ascii="Times New Roman" w:cs="Times New Roman"/>
          <w:color w:val="000000" w:themeColor="text1"/>
        </w:rPr>
        <w:t>NMHC</w:t>
      </w:r>
      <w:r w:rsidRPr="008A2411">
        <w:rPr>
          <w:rFonts w:ascii="Times New Roman" w:cs="Times New Roman"/>
          <w:color w:val="000000" w:themeColor="text1"/>
        </w:rPr>
        <w:t>：</w:t>
      </w:r>
      <w:r w:rsidRPr="008A2411">
        <w:rPr>
          <w:rFonts w:ascii="Times New Roman" w:cs="Times New Roman"/>
          <w:color w:val="000000" w:themeColor="text1"/>
        </w:rPr>
        <w:t>1.0069t/a</w:t>
      </w:r>
      <w:r w:rsidRPr="008A2411">
        <w:rPr>
          <w:rFonts w:ascii="Times New Roman" w:cs="Times New Roman"/>
          <w:color w:val="000000" w:themeColor="text1"/>
          <w:kern w:val="2"/>
          <w:szCs w:val="24"/>
          <w:shd w:val="clear" w:color="auto" w:fill="auto"/>
        </w:rPr>
        <w:t>。废气排放清单见表</w:t>
      </w:r>
      <w:r w:rsidRPr="008A2411">
        <w:rPr>
          <w:rFonts w:ascii="Times New Roman" w:cs="Times New Roman"/>
          <w:color w:val="000000" w:themeColor="text1"/>
          <w:kern w:val="2"/>
          <w:szCs w:val="24"/>
          <w:shd w:val="clear" w:color="auto" w:fill="auto"/>
        </w:rPr>
        <w:t>9.</w:t>
      </w:r>
      <w:r w:rsidRPr="008A2411">
        <w:rPr>
          <w:rFonts w:ascii="Times New Roman" w:cs="Times New Roman" w:hint="eastAsia"/>
          <w:color w:val="000000" w:themeColor="text1"/>
          <w:kern w:val="2"/>
          <w:szCs w:val="24"/>
          <w:shd w:val="clear" w:color="auto" w:fill="auto"/>
        </w:rPr>
        <w:t>4</w:t>
      </w:r>
      <w:r w:rsidRPr="008A2411">
        <w:rPr>
          <w:rFonts w:ascii="Times New Roman" w:cs="Times New Roman"/>
          <w:color w:val="000000" w:themeColor="text1"/>
          <w:kern w:val="2"/>
          <w:szCs w:val="24"/>
          <w:shd w:val="clear" w:color="auto" w:fill="auto"/>
        </w:rPr>
        <w:t>-1</w:t>
      </w:r>
      <w:r w:rsidRPr="008A2411">
        <w:rPr>
          <w:rFonts w:ascii="Times New Roman" w:cs="Times New Roman"/>
          <w:color w:val="000000" w:themeColor="text1"/>
          <w:kern w:val="2"/>
          <w:szCs w:val="24"/>
          <w:shd w:val="clear" w:color="auto" w:fill="auto"/>
        </w:rPr>
        <w:t>。</w:t>
      </w:r>
    </w:p>
    <w:p w14:paraId="0A20183D" w14:textId="77777777" w:rsidR="00B0005F" w:rsidRPr="008A2411" w:rsidRDefault="00000000">
      <w:pPr>
        <w:pStyle w:val="L-"/>
        <w:adjustRightInd w:val="0"/>
        <w:spacing w:line="360" w:lineRule="auto"/>
        <w:jc w:val="center"/>
        <w:rPr>
          <w:rFonts w:ascii="Times New Roman" w:eastAsia="黑体" w:cs="Times New Roman"/>
          <w:color w:val="000000" w:themeColor="text1"/>
          <w:szCs w:val="24"/>
          <w:shd w:val="clear" w:color="auto" w:fill="auto"/>
        </w:rPr>
      </w:pPr>
      <w:r w:rsidRPr="008A2411">
        <w:rPr>
          <w:rFonts w:ascii="Times New Roman" w:eastAsia="黑体" w:cs="Times New Roman"/>
          <w:color w:val="000000" w:themeColor="text1"/>
          <w:szCs w:val="24"/>
          <w:shd w:val="clear" w:color="auto" w:fill="auto"/>
          <w:lang w:val="zh-CN"/>
        </w:rPr>
        <w:t>表</w:t>
      </w:r>
      <w:r w:rsidRPr="008A2411">
        <w:rPr>
          <w:rFonts w:ascii="Times New Roman" w:eastAsia="黑体" w:cs="Times New Roman"/>
          <w:color w:val="000000" w:themeColor="text1"/>
          <w:szCs w:val="24"/>
          <w:shd w:val="clear" w:color="auto" w:fill="auto"/>
        </w:rPr>
        <w:t>9.</w:t>
      </w:r>
      <w:r w:rsidRPr="008A2411">
        <w:rPr>
          <w:rFonts w:ascii="Times New Roman" w:eastAsia="黑体" w:cs="Times New Roman" w:hint="eastAsia"/>
          <w:color w:val="000000" w:themeColor="text1"/>
          <w:szCs w:val="24"/>
          <w:shd w:val="clear" w:color="auto" w:fill="auto"/>
        </w:rPr>
        <w:t>4</w:t>
      </w:r>
      <w:r w:rsidRPr="008A2411">
        <w:rPr>
          <w:rFonts w:ascii="Times New Roman" w:eastAsia="黑体" w:cs="Times New Roman"/>
          <w:color w:val="000000" w:themeColor="text1"/>
          <w:szCs w:val="24"/>
          <w:shd w:val="clear" w:color="auto" w:fill="auto"/>
          <w:lang w:val="zh-CN"/>
        </w:rPr>
        <w:t>-1</w:t>
      </w:r>
      <w:r w:rsidRPr="008A2411">
        <w:rPr>
          <w:rFonts w:ascii="Times New Roman" w:eastAsia="黑体" w:cs="Times New Roman"/>
          <w:color w:val="000000" w:themeColor="text1"/>
          <w:szCs w:val="24"/>
          <w:shd w:val="clear" w:color="auto" w:fill="auto"/>
          <w:lang w:val="zh-CN"/>
        </w:rPr>
        <w:t>废气排放清单</w:t>
      </w:r>
    </w:p>
    <w:tbl>
      <w:tblPr>
        <w:tblW w:w="4998" w:type="pct"/>
        <w:tblBorders>
          <w:top w:val="single" w:sz="4" w:space="0" w:color="000000"/>
          <w:bottom w:val="single" w:sz="4" w:space="0" w:color="000000"/>
          <w:insideH w:val="single" w:sz="4" w:space="0" w:color="000000"/>
          <w:insideV w:val="single" w:sz="4" w:space="0" w:color="000000"/>
        </w:tblBorders>
        <w:tblLayout w:type="fixed"/>
        <w:tblLook w:val="04A0" w:firstRow="1" w:lastRow="0" w:firstColumn="1" w:lastColumn="0" w:noHBand="0" w:noVBand="1"/>
      </w:tblPr>
      <w:tblGrid>
        <w:gridCol w:w="426"/>
        <w:gridCol w:w="862"/>
        <w:gridCol w:w="2266"/>
        <w:gridCol w:w="1089"/>
        <w:gridCol w:w="904"/>
        <w:gridCol w:w="1124"/>
        <w:gridCol w:w="1008"/>
        <w:gridCol w:w="846"/>
      </w:tblGrid>
      <w:tr w:rsidR="008A2411" w:rsidRPr="008A2411" w14:paraId="25D7FB6D" w14:textId="77777777">
        <w:trPr>
          <w:tblHeader/>
        </w:trPr>
        <w:tc>
          <w:tcPr>
            <w:tcW w:w="754" w:type="pct"/>
            <w:gridSpan w:val="2"/>
            <w:tcBorders>
              <w:top w:val="single" w:sz="4" w:space="0" w:color="auto"/>
              <w:left w:val="single" w:sz="4" w:space="0" w:color="auto"/>
              <w:bottom w:val="single" w:sz="4" w:space="0" w:color="auto"/>
              <w:right w:val="single" w:sz="4" w:space="0" w:color="auto"/>
            </w:tcBorders>
            <w:vAlign w:val="center"/>
          </w:tcPr>
          <w:p w14:paraId="0C4E97BB"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污染源</w:t>
            </w:r>
          </w:p>
        </w:tc>
        <w:tc>
          <w:tcPr>
            <w:tcW w:w="1327" w:type="pct"/>
            <w:tcBorders>
              <w:top w:val="single" w:sz="4" w:space="0" w:color="auto"/>
              <w:left w:val="single" w:sz="4" w:space="0" w:color="auto"/>
              <w:bottom w:val="single" w:sz="4" w:space="0" w:color="auto"/>
              <w:right w:val="single" w:sz="4" w:space="0" w:color="auto"/>
            </w:tcBorders>
            <w:vAlign w:val="center"/>
          </w:tcPr>
          <w:p w14:paraId="3E1FA3EC"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排放标准及标准号</w:t>
            </w:r>
          </w:p>
        </w:tc>
        <w:tc>
          <w:tcPr>
            <w:tcW w:w="639" w:type="pct"/>
            <w:tcBorders>
              <w:top w:val="single" w:sz="4" w:space="0" w:color="auto"/>
              <w:left w:val="single" w:sz="4" w:space="0" w:color="auto"/>
              <w:bottom w:val="single" w:sz="4" w:space="0" w:color="auto"/>
              <w:right w:val="single" w:sz="4" w:space="0" w:color="auto"/>
            </w:tcBorders>
            <w:vAlign w:val="center"/>
          </w:tcPr>
          <w:p w14:paraId="5EE0570B"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污染因子</w:t>
            </w:r>
          </w:p>
        </w:tc>
        <w:tc>
          <w:tcPr>
            <w:tcW w:w="530" w:type="pct"/>
            <w:tcBorders>
              <w:top w:val="single" w:sz="4" w:space="0" w:color="auto"/>
              <w:left w:val="single" w:sz="4" w:space="0" w:color="auto"/>
              <w:bottom w:val="single" w:sz="4" w:space="0" w:color="auto"/>
              <w:right w:val="single" w:sz="4" w:space="0" w:color="auto"/>
            </w:tcBorders>
            <w:vAlign w:val="center"/>
          </w:tcPr>
          <w:p w14:paraId="5F7837AE"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排放口</w:t>
            </w:r>
          </w:p>
          <w:p w14:paraId="21FD03A0"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高度（</w:t>
            </w:r>
            <w:r w:rsidRPr="008A2411">
              <w:rPr>
                <w:rFonts w:ascii="Times New Roman" w:hAnsi="Times New Roman"/>
                <w:color w:val="000000" w:themeColor="text1"/>
              </w:rPr>
              <w:t>m</w:t>
            </w:r>
            <w:r w:rsidRPr="008A2411">
              <w:rPr>
                <w:rFonts w:ascii="Times New Roman" w:hAnsi="Times New Roman"/>
                <w:color w:val="000000" w:themeColor="text1"/>
              </w:rPr>
              <w:t>）</w:t>
            </w:r>
          </w:p>
        </w:tc>
        <w:tc>
          <w:tcPr>
            <w:tcW w:w="659" w:type="pct"/>
            <w:tcBorders>
              <w:top w:val="single" w:sz="4" w:space="0" w:color="auto"/>
              <w:left w:val="single" w:sz="4" w:space="0" w:color="auto"/>
              <w:bottom w:val="single" w:sz="4" w:space="0" w:color="auto"/>
              <w:right w:val="single" w:sz="4" w:space="0" w:color="auto"/>
            </w:tcBorders>
            <w:vAlign w:val="center"/>
          </w:tcPr>
          <w:p w14:paraId="0280DCCF"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排放浓度</w:t>
            </w:r>
          </w:p>
          <w:p w14:paraId="24A38FD9"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mg/m</w:t>
            </w:r>
            <w:r w:rsidRPr="008A2411">
              <w:rPr>
                <w:rFonts w:ascii="Times New Roman" w:hAnsi="Times New Roman"/>
                <w:color w:val="000000" w:themeColor="text1"/>
                <w:vertAlign w:val="superscript"/>
              </w:rPr>
              <w:t>3</w:t>
            </w:r>
            <w:r w:rsidRPr="008A2411">
              <w:rPr>
                <w:rFonts w:ascii="Times New Roman" w:hAnsi="Times New Roman"/>
                <w:color w:val="000000" w:themeColor="text1"/>
              </w:rPr>
              <w:t>）</w:t>
            </w:r>
          </w:p>
        </w:tc>
        <w:tc>
          <w:tcPr>
            <w:tcW w:w="591" w:type="pct"/>
            <w:tcBorders>
              <w:top w:val="single" w:sz="4" w:space="0" w:color="auto"/>
              <w:left w:val="single" w:sz="4" w:space="0" w:color="auto"/>
              <w:bottom w:val="single" w:sz="4" w:space="0" w:color="auto"/>
              <w:right w:val="single" w:sz="4" w:space="0" w:color="auto"/>
            </w:tcBorders>
            <w:vAlign w:val="center"/>
          </w:tcPr>
          <w:p w14:paraId="31D2367A"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排放速率</w:t>
            </w:r>
          </w:p>
          <w:p w14:paraId="6880AB1A"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kg/h</w:t>
            </w:r>
            <w:r w:rsidRPr="008A2411">
              <w:rPr>
                <w:rFonts w:ascii="Times New Roman" w:hAnsi="Times New Roman"/>
                <w:color w:val="000000" w:themeColor="text1"/>
              </w:rPr>
              <w:t>）</w:t>
            </w:r>
          </w:p>
        </w:tc>
        <w:tc>
          <w:tcPr>
            <w:tcW w:w="496" w:type="pct"/>
            <w:tcBorders>
              <w:top w:val="single" w:sz="4" w:space="0" w:color="auto"/>
              <w:left w:val="single" w:sz="4" w:space="0" w:color="auto"/>
              <w:bottom w:val="single" w:sz="4" w:space="0" w:color="auto"/>
              <w:right w:val="single" w:sz="4" w:space="0" w:color="auto"/>
            </w:tcBorders>
            <w:vAlign w:val="center"/>
          </w:tcPr>
          <w:p w14:paraId="2B30FAE9"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排放量</w:t>
            </w:r>
          </w:p>
          <w:p w14:paraId="111676CB"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t/a</w:t>
            </w:r>
            <w:r w:rsidRPr="008A2411">
              <w:rPr>
                <w:rFonts w:ascii="Times New Roman" w:hAnsi="Times New Roman"/>
                <w:color w:val="000000" w:themeColor="text1"/>
              </w:rPr>
              <w:t>）</w:t>
            </w:r>
          </w:p>
        </w:tc>
      </w:tr>
      <w:tr w:rsidR="008A2411" w:rsidRPr="008A2411" w14:paraId="0786A61A" w14:textId="77777777">
        <w:trPr>
          <w:trHeight w:val="653"/>
        </w:trPr>
        <w:tc>
          <w:tcPr>
            <w:tcW w:w="249" w:type="pct"/>
            <w:vMerge w:val="restart"/>
            <w:tcBorders>
              <w:top w:val="single" w:sz="4" w:space="0" w:color="auto"/>
              <w:left w:val="single" w:sz="4" w:space="0" w:color="auto"/>
              <w:bottom w:val="single" w:sz="4" w:space="0" w:color="auto"/>
              <w:right w:val="single" w:sz="4" w:space="0" w:color="auto"/>
            </w:tcBorders>
            <w:vAlign w:val="center"/>
          </w:tcPr>
          <w:p w14:paraId="69D5487B"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站场</w:t>
            </w:r>
          </w:p>
        </w:tc>
        <w:tc>
          <w:tcPr>
            <w:tcW w:w="504" w:type="pct"/>
            <w:vMerge w:val="restart"/>
            <w:tcBorders>
              <w:top w:val="single" w:sz="4" w:space="0" w:color="auto"/>
              <w:left w:val="single" w:sz="4" w:space="0" w:color="auto"/>
              <w:bottom w:val="single" w:sz="4" w:space="0" w:color="auto"/>
              <w:right w:val="single" w:sz="4" w:space="0" w:color="auto"/>
            </w:tcBorders>
            <w:vAlign w:val="center"/>
          </w:tcPr>
          <w:p w14:paraId="364A8641"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导热油炉</w:t>
            </w:r>
          </w:p>
        </w:tc>
        <w:tc>
          <w:tcPr>
            <w:tcW w:w="1327" w:type="pct"/>
            <w:vMerge w:val="restart"/>
            <w:tcBorders>
              <w:top w:val="single" w:sz="4" w:space="0" w:color="auto"/>
              <w:left w:val="single" w:sz="4" w:space="0" w:color="auto"/>
              <w:bottom w:val="single" w:sz="4" w:space="0" w:color="auto"/>
              <w:right w:val="single" w:sz="4" w:space="0" w:color="auto"/>
            </w:tcBorders>
            <w:vAlign w:val="center"/>
          </w:tcPr>
          <w:p w14:paraId="640D30D8"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《锅炉大气污染物排放标准》（</w:t>
            </w:r>
            <w:r w:rsidRPr="008A2411">
              <w:rPr>
                <w:rFonts w:ascii="Times New Roman" w:hAnsi="Times New Roman"/>
                <w:color w:val="000000" w:themeColor="text1"/>
              </w:rPr>
              <w:t>GB13271-2014</w:t>
            </w:r>
            <w:r w:rsidRPr="008A2411">
              <w:rPr>
                <w:rFonts w:ascii="Times New Roman" w:hAnsi="Times New Roman"/>
                <w:color w:val="000000" w:themeColor="text1"/>
              </w:rPr>
              <w:t>）表</w:t>
            </w:r>
            <w:r w:rsidRPr="008A2411">
              <w:rPr>
                <w:rFonts w:ascii="Times New Roman" w:hAnsi="Times New Roman"/>
                <w:color w:val="000000" w:themeColor="text1"/>
              </w:rPr>
              <w:t>2</w:t>
            </w:r>
            <w:r w:rsidRPr="008A2411">
              <w:rPr>
                <w:rFonts w:ascii="Times New Roman" w:hAnsi="Times New Roman"/>
                <w:color w:val="000000" w:themeColor="text1"/>
              </w:rPr>
              <w:t>中燃气锅炉的特殊排</w:t>
            </w:r>
            <w:r w:rsidRPr="008A2411">
              <w:rPr>
                <w:rFonts w:ascii="Times New Roman" w:hAnsi="Times New Roman"/>
                <w:color w:val="000000" w:themeColor="text1"/>
              </w:rPr>
              <w:lastRenderedPageBreak/>
              <w:t>放限值</w:t>
            </w:r>
          </w:p>
        </w:tc>
        <w:tc>
          <w:tcPr>
            <w:tcW w:w="639" w:type="pct"/>
            <w:tcBorders>
              <w:top w:val="single" w:sz="4" w:space="0" w:color="auto"/>
              <w:left w:val="single" w:sz="4" w:space="0" w:color="auto"/>
              <w:bottom w:val="single" w:sz="4" w:space="0" w:color="auto"/>
              <w:right w:val="single" w:sz="4" w:space="0" w:color="auto"/>
            </w:tcBorders>
            <w:vAlign w:val="center"/>
          </w:tcPr>
          <w:p w14:paraId="6917C860"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lastRenderedPageBreak/>
              <w:t>SO</w:t>
            </w:r>
            <w:r w:rsidRPr="008A2411">
              <w:rPr>
                <w:rFonts w:ascii="Times New Roman" w:hAnsi="Times New Roman"/>
                <w:color w:val="000000" w:themeColor="text1"/>
                <w:vertAlign w:val="subscript"/>
              </w:rPr>
              <w:t>2</w:t>
            </w:r>
          </w:p>
        </w:tc>
        <w:tc>
          <w:tcPr>
            <w:tcW w:w="530" w:type="pct"/>
            <w:vMerge w:val="restart"/>
            <w:tcBorders>
              <w:top w:val="single" w:sz="4" w:space="0" w:color="auto"/>
              <w:left w:val="single" w:sz="4" w:space="0" w:color="auto"/>
              <w:bottom w:val="single" w:sz="4" w:space="0" w:color="auto"/>
              <w:right w:val="single" w:sz="4" w:space="0" w:color="auto"/>
            </w:tcBorders>
            <w:vAlign w:val="center"/>
          </w:tcPr>
          <w:p w14:paraId="506EF905"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15</w:t>
            </w:r>
          </w:p>
        </w:tc>
        <w:tc>
          <w:tcPr>
            <w:tcW w:w="1125" w:type="dxa"/>
            <w:tcBorders>
              <w:top w:val="single" w:sz="4" w:space="0" w:color="auto"/>
              <w:left w:val="single" w:sz="4" w:space="0" w:color="auto"/>
              <w:bottom w:val="single" w:sz="4" w:space="0" w:color="auto"/>
              <w:right w:val="single" w:sz="4" w:space="0" w:color="auto"/>
            </w:tcBorders>
            <w:vAlign w:val="center"/>
          </w:tcPr>
          <w:p w14:paraId="4C540F1B" w14:textId="77777777" w:rsidR="00B0005F" w:rsidRPr="008A2411" w:rsidRDefault="00000000">
            <w:pPr>
              <w:widowControl/>
              <w:jc w:val="center"/>
              <w:textAlignment w:val="center"/>
              <w:rPr>
                <w:rFonts w:ascii="Times New Roman"/>
                <w:color w:val="000000" w:themeColor="text1"/>
              </w:rPr>
            </w:pPr>
            <w:r w:rsidRPr="008A2411">
              <w:rPr>
                <w:rFonts w:ascii="Times New Roman"/>
                <w:color w:val="000000" w:themeColor="text1"/>
                <w:sz w:val="21"/>
                <w:szCs w:val="21"/>
                <w:lang w:bidi="ar"/>
              </w:rPr>
              <w:t>1.35</w:t>
            </w:r>
          </w:p>
        </w:tc>
        <w:tc>
          <w:tcPr>
            <w:tcW w:w="1008" w:type="dxa"/>
            <w:tcBorders>
              <w:top w:val="single" w:sz="4" w:space="0" w:color="auto"/>
              <w:left w:val="single" w:sz="4" w:space="0" w:color="auto"/>
              <w:bottom w:val="single" w:sz="4" w:space="0" w:color="auto"/>
              <w:right w:val="single" w:sz="4" w:space="0" w:color="auto"/>
            </w:tcBorders>
            <w:vAlign w:val="center"/>
          </w:tcPr>
          <w:p w14:paraId="4FD453ED" w14:textId="77777777" w:rsidR="00B0005F" w:rsidRPr="008A2411" w:rsidRDefault="00000000">
            <w:pPr>
              <w:widowControl/>
              <w:jc w:val="center"/>
              <w:textAlignment w:val="center"/>
              <w:rPr>
                <w:rFonts w:ascii="Times New Roman"/>
                <w:color w:val="000000" w:themeColor="text1"/>
              </w:rPr>
            </w:pPr>
            <w:r w:rsidRPr="008A2411">
              <w:rPr>
                <w:rFonts w:ascii="Times New Roman"/>
                <w:color w:val="000000" w:themeColor="text1"/>
                <w:sz w:val="21"/>
                <w:szCs w:val="21"/>
                <w:lang w:bidi="ar"/>
              </w:rPr>
              <w:t>0.0102</w:t>
            </w:r>
          </w:p>
        </w:tc>
        <w:tc>
          <w:tcPr>
            <w:tcW w:w="846" w:type="dxa"/>
            <w:tcBorders>
              <w:top w:val="single" w:sz="4" w:space="0" w:color="auto"/>
              <w:left w:val="single" w:sz="4" w:space="0" w:color="auto"/>
              <w:bottom w:val="single" w:sz="4" w:space="0" w:color="auto"/>
              <w:right w:val="single" w:sz="4" w:space="0" w:color="auto"/>
            </w:tcBorders>
            <w:vAlign w:val="center"/>
          </w:tcPr>
          <w:p w14:paraId="1FA49220" w14:textId="77777777" w:rsidR="00B0005F" w:rsidRPr="008A2411" w:rsidRDefault="00000000">
            <w:pPr>
              <w:widowControl/>
              <w:jc w:val="center"/>
              <w:textAlignment w:val="center"/>
              <w:rPr>
                <w:rFonts w:ascii="Times New Roman"/>
                <w:color w:val="000000" w:themeColor="text1"/>
              </w:rPr>
            </w:pPr>
            <w:r w:rsidRPr="008A2411">
              <w:rPr>
                <w:rFonts w:ascii="Times New Roman"/>
                <w:color w:val="000000" w:themeColor="text1"/>
                <w:sz w:val="21"/>
                <w:szCs w:val="21"/>
                <w:lang w:bidi="ar"/>
              </w:rPr>
              <w:t>0.0816</w:t>
            </w:r>
          </w:p>
        </w:tc>
      </w:tr>
      <w:tr w:rsidR="008A2411" w:rsidRPr="008A2411" w14:paraId="731AD25A" w14:textId="77777777">
        <w:trPr>
          <w:trHeight w:val="261"/>
        </w:trPr>
        <w:tc>
          <w:tcPr>
            <w:tcW w:w="249" w:type="pct"/>
            <w:vMerge/>
            <w:tcBorders>
              <w:top w:val="single" w:sz="4" w:space="0" w:color="auto"/>
              <w:left w:val="single" w:sz="4" w:space="0" w:color="auto"/>
              <w:bottom w:val="single" w:sz="4" w:space="0" w:color="auto"/>
              <w:right w:val="single" w:sz="4" w:space="0" w:color="auto"/>
            </w:tcBorders>
            <w:vAlign w:val="center"/>
          </w:tcPr>
          <w:p w14:paraId="539EEA11" w14:textId="77777777" w:rsidR="00B0005F" w:rsidRPr="008A2411" w:rsidRDefault="00B0005F">
            <w:pPr>
              <w:pStyle w:val="WJ5"/>
              <w:spacing w:line="240" w:lineRule="auto"/>
              <w:rPr>
                <w:rFonts w:ascii="Times New Roman" w:hAnsi="Times New Roman"/>
                <w:color w:val="000000" w:themeColor="text1"/>
              </w:rPr>
            </w:pPr>
          </w:p>
        </w:tc>
        <w:tc>
          <w:tcPr>
            <w:tcW w:w="504" w:type="pct"/>
            <w:vMerge/>
            <w:tcBorders>
              <w:top w:val="single" w:sz="4" w:space="0" w:color="auto"/>
              <w:left w:val="single" w:sz="4" w:space="0" w:color="auto"/>
              <w:bottom w:val="single" w:sz="4" w:space="0" w:color="auto"/>
              <w:right w:val="single" w:sz="4" w:space="0" w:color="auto"/>
            </w:tcBorders>
            <w:vAlign w:val="center"/>
          </w:tcPr>
          <w:p w14:paraId="128677FA" w14:textId="77777777" w:rsidR="00B0005F" w:rsidRPr="008A2411" w:rsidRDefault="00B0005F">
            <w:pPr>
              <w:pStyle w:val="WJ5"/>
              <w:spacing w:line="240" w:lineRule="auto"/>
              <w:rPr>
                <w:rFonts w:ascii="Times New Roman" w:hAnsi="Times New Roman"/>
                <w:color w:val="000000" w:themeColor="text1"/>
              </w:rPr>
            </w:pPr>
          </w:p>
        </w:tc>
        <w:tc>
          <w:tcPr>
            <w:tcW w:w="1327" w:type="pct"/>
            <w:vMerge/>
            <w:tcBorders>
              <w:top w:val="single" w:sz="4" w:space="0" w:color="auto"/>
              <w:left w:val="single" w:sz="4" w:space="0" w:color="auto"/>
              <w:bottom w:val="single" w:sz="4" w:space="0" w:color="auto"/>
              <w:right w:val="single" w:sz="4" w:space="0" w:color="auto"/>
            </w:tcBorders>
            <w:vAlign w:val="center"/>
          </w:tcPr>
          <w:p w14:paraId="4BB57794" w14:textId="77777777" w:rsidR="00B0005F" w:rsidRPr="008A2411" w:rsidRDefault="00B0005F">
            <w:pPr>
              <w:pStyle w:val="WJ5"/>
              <w:spacing w:line="240" w:lineRule="auto"/>
              <w:rPr>
                <w:rFonts w:ascii="Times New Roman" w:hAnsi="Times New Roman"/>
                <w:color w:val="000000" w:themeColor="text1"/>
              </w:rPr>
            </w:pPr>
          </w:p>
        </w:tc>
        <w:tc>
          <w:tcPr>
            <w:tcW w:w="639" w:type="pct"/>
            <w:tcBorders>
              <w:top w:val="single" w:sz="4" w:space="0" w:color="auto"/>
              <w:left w:val="single" w:sz="4" w:space="0" w:color="auto"/>
              <w:bottom w:val="single" w:sz="4" w:space="0" w:color="auto"/>
              <w:right w:val="single" w:sz="4" w:space="0" w:color="auto"/>
            </w:tcBorders>
            <w:vAlign w:val="center"/>
          </w:tcPr>
          <w:p w14:paraId="0BB946BB"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NOx</w:t>
            </w:r>
          </w:p>
        </w:tc>
        <w:tc>
          <w:tcPr>
            <w:tcW w:w="530" w:type="pct"/>
            <w:vMerge/>
            <w:tcBorders>
              <w:top w:val="single" w:sz="4" w:space="0" w:color="auto"/>
              <w:left w:val="single" w:sz="4" w:space="0" w:color="auto"/>
              <w:bottom w:val="single" w:sz="4" w:space="0" w:color="auto"/>
              <w:right w:val="single" w:sz="4" w:space="0" w:color="auto"/>
            </w:tcBorders>
            <w:vAlign w:val="center"/>
          </w:tcPr>
          <w:p w14:paraId="5DDB1EDE" w14:textId="77777777" w:rsidR="00B0005F" w:rsidRPr="008A2411" w:rsidRDefault="00B0005F">
            <w:pPr>
              <w:pStyle w:val="WJ5"/>
              <w:spacing w:line="240" w:lineRule="auto"/>
              <w:rPr>
                <w:rFonts w:ascii="Times New Roman" w:hAnsi="Times New Roman"/>
                <w:color w:val="000000" w:themeColor="text1"/>
              </w:rPr>
            </w:pPr>
          </w:p>
        </w:tc>
        <w:tc>
          <w:tcPr>
            <w:tcW w:w="1125" w:type="dxa"/>
            <w:tcBorders>
              <w:top w:val="single" w:sz="4" w:space="0" w:color="auto"/>
              <w:left w:val="single" w:sz="4" w:space="0" w:color="auto"/>
              <w:bottom w:val="single" w:sz="4" w:space="0" w:color="auto"/>
              <w:right w:val="single" w:sz="4" w:space="0" w:color="auto"/>
            </w:tcBorders>
            <w:vAlign w:val="center"/>
          </w:tcPr>
          <w:p w14:paraId="3A3C078F" w14:textId="77777777" w:rsidR="00B0005F" w:rsidRPr="008A2411" w:rsidRDefault="00000000">
            <w:pPr>
              <w:widowControl/>
              <w:jc w:val="center"/>
              <w:textAlignment w:val="center"/>
              <w:rPr>
                <w:rFonts w:ascii="Times New Roman"/>
                <w:color w:val="000000" w:themeColor="text1"/>
              </w:rPr>
            </w:pPr>
            <w:r w:rsidRPr="008A2411">
              <w:rPr>
                <w:rFonts w:ascii="Times New Roman"/>
                <w:color w:val="000000" w:themeColor="text1"/>
                <w:sz w:val="21"/>
                <w:szCs w:val="21"/>
                <w:lang w:bidi="ar"/>
              </w:rPr>
              <w:t>64.68</w:t>
            </w:r>
          </w:p>
        </w:tc>
        <w:tc>
          <w:tcPr>
            <w:tcW w:w="1008" w:type="dxa"/>
            <w:tcBorders>
              <w:top w:val="single" w:sz="4" w:space="0" w:color="auto"/>
              <w:left w:val="single" w:sz="4" w:space="0" w:color="auto"/>
              <w:bottom w:val="single" w:sz="4" w:space="0" w:color="auto"/>
              <w:right w:val="single" w:sz="4" w:space="0" w:color="auto"/>
            </w:tcBorders>
            <w:vAlign w:val="center"/>
          </w:tcPr>
          <w:p w14:paraId="2BFADBC8" w14:textId="77777777" w:rsidR="00B0005F" w:rsidRPr="008A2411" w:rsidRDefault="00000000">
            <w:pPr>
              <w:widowControl/>
              <w:jc w:val="center"/>
              <w:textAlignment w:val="center"/>
              <w:rPr>
                <w:rFonts w:ascii="Times New Roman"/>
                <w:color w:val="000000" w:themeColor="text1"/>
              </w:rPr>
            </w:pPr>
            <w:r w:rsidRPr="008A2411">
              <w:rPr>
                <w:rFonts w:ascii="Times New Roman"/>
                <w:color w:val="000000" w:themeColor="text1"/>
                <w:sz w:val="21"/>
                <w:szCs w:val="21"/>
                <w:lang w:bidi="ar"/>
              </w:rPr>
              <w:t>0.4879</w:t>
            </w:r>
          </w:p>
        </w:tc>
        <w:tc>
          <w:tcPr>
            <w:tcW w:w="846" w:type="dxa"/>
            <w:tcBorders>
              <w:top w:val="single" w:sz="4" w:space="0" w:color="auto"/>
              <w:left w:val="single" w:sz="4" w:space="0" w:color="auto"/>
              <w:bottom w:val="single" w:sz="4" w:space="0" w:color="auto"/>
              <w:right w:val="single" w:sz="4" w:space="0" w:color="auto"/>
            </w:tcBorders>
            <w:vAlign w:val="center"/>
          </w:tcPr>
          <w:p w14:paraId="51CE5189" w14:textId="77777777" w:rsidR="00B0005F" w:rsidRPr="008A2411" w:rsidRDefault="00000000">
            <w:pPr>
              <w:widowControl/>
              <w:jc w:val="center"/>
              <w:textAlignment w:val="center"/>
              <w:rPr>
                <w:rFonts w:ascii="Times New Roman"/>
                <w:color w:val="000000" w:themeColor="text1"/>
              </w:rPr>
            </w:pPr>
            <w:r w:rsidRPr="008A2411">
              <w:rPr>
                <w:rFonts w:ascii="Times New Roman"/>
                <w:color w:val="000000" w:themeColor="text1"/>
                <w:sz w:val="21"/>
                <w:szCs w:val="21"/>
                <w:lang w:bidi="ar"/>
              </w:rPr>
              <w:t>3.9032</w:t>
            </w:r>
          </w:p>
        </w:tc>
      </w:tr>
      <w:tr w:rsidR="008A2411" w:rsidRPr="008A2411" w14:paraId="5F83C69E" w14:textId="77777777">
        <w:trPr>
          <w:trHeight w:val="371"/>
        </w:trPr>
        <w:tc>
          <w:tcPr>
            <w:tcW w:w="249" w:type="pct"/>
            <w:vMerge/>
            <w:tcBorders>
              <w:top w:val="single" w:sz="4" w:space="0" w:color="auto"/>
              <w:left w:val="single" w:sz="4" w:space="0" w:color="auto"/>
              <w:bottom w:val="single" w:sz="4" w:space="0" w:color="auto"/>
              <w:right w:val="single" w:sz="4" w:space="0" w:color="auto"/>
            </w:tcBorders>
            <w:vAlign w:val="center"/>
          </w:tcPr>
          <w:p w14:paraId="6704C1E0" w14:textId="77777777" w:rsidR="00B0005F" w:rsidRPr="008A2411" w:rsidRDefault="00B0005F">
            <w:pPr>
              <w:pStyle w:val="WJ5"/>
              <w:spacing w:line="240" w:lineRule="auto"/>
              <w:rPr>
                <w:rFonts w:ascii="Times New Roman" w:hAnsi="Times New Roman"/>
                <w:color w:val="000000" w:themeColor="text1"/>
              </w:rPr>
            </w:pPr>
          </w:p>
        </w:tc>
        <w:tc>
          <w:tcPr>
            <w:tcW w:w="504" w:type="pct"/>
            <w:vMerge w:val="restart"/>
            <w:tcBorders>
              <w:top w:val="single" w:sz="4" w:space="0" w:color="auto"/>
              <w:left w:val="single" w:sz="4" w:space="0" w:color="auto"/>
              <w:right w:val="single" w:sz="4" w:space="0" w:color="auto"/>
            </w:tcBorders>
            <w:vAlign w:val="center"/>
          </w:tcPr>
          <w:p w14:paraId="3C8E9FE4"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火炬长明火</w:t>
            </w:r>
          </w:p>
        </w:tc>
        <w:tc>
          <w:tcPr>
            <w:tcW w:w="1327" w:type="pct"/>
            <w:vMerge w:val="restart"/>
            <w:tcBorders>
              <w:top w:val="single" w:sz="4" w:space="0" w:color="auto"/>
              <w:left w:val="single" w:sz="4" w:space="0" w:color="auto"/>
              <w:right w:val="single" w:sz="4" w:space="0" w:color="auto"/>
            </w:tcBorders>
            <w:vAlign w:val="center"/>
          </w:tcPr>
          <w:p w14:paraId="4698CEC9"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《大气污染物综合排放标准》（</w:t>
            </w:r>
            <w:r w:rsidRPr="008A2411">
              <w:rPr>
                <w:rFonts w:ascii="Times New Roman" w:hAnsi="Times New Roman"/>
                <w:color w:val="000000" w:themeColor="text1"/>
              </w:rPr>
              <w:t>GB16297-1996</w:t>
            </w:r>
            <w:r w:rsidRPr="008A2411">
              <w:rPr>
                <w:rFonts w:ascii="Times New Roman" w:hAnsi="Times New Roman"/>
                <w:color w:val="000000" w:themeColor="text1"/>
              </w:rPr>
              <w:t>）</w:t>
            </w:r>
          </w:p>
        </w:tc>
        <w:tc>
          <w:tcPr>
            <w:tcW w:w="639" w:type="pct"/>
            <w:tcBorders>
              <w:top w:val="single" w:sz="4" w:space="0" w:color="auto"/>
              <w:left w:val="single" w:sz="4" w:space="0" w:color="auto"/>
              <w:bottom w:val="single" w:sz="4" w:space="0" w:color="auto"/>
              <w:right w:val="single" w:sz="4" w:space="0" w:color="auto"/>
            </w:tcBorders>
            <w:vAlign w:val="center"/>
          </w:tcPr>
          <w:p w14:paraId="6F41D081"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SO</w:t>
            </w:r>
            <w:r w:rsidRPr="008A2411">
              <w:rPr>
                <w:rFonts w:ascii="Times New Roman" w:hAnsi="Times New Roman"/>
                <w:color w:val="000000" w:themeColor="text1"/>
                <w:vertAlign w:val="subscript"/>
              </w:rPr>
              <w:t>2</w:t>
            </w:r>
          </w:p>
        </w:tc>
        <w:tc>
          <w:tcPr>
            <w:tcW w:w="530" w:type="pct"/>
            <w:vMerge w:val="restart"/>
            <w:tcBorders>
              <w:top w:val="single" w:sz="4" w:space="0" w:color="auto"/>
              <w:left w:val="single" w:sz="4" w:space="0" w:color="auto"/>
              <w:right w:val="single" w:sz="4" w:space="0" w:color="auto"/>
            </w:tcBorders>
            <w:vAlign w:val="center"/>
          </w:tcPr>
          <w:p w14:paraId="4AE8DCC0"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30</w:t>
            </w:r>
          </w:p>
        </w:tc>
        <w:tc>
          <w:tcPr>
            <w:tcW w:w="1125" w:type="dxa"/>
            <w:tcBorders>
              <w:top w:val="single" w:sz="4" w:space="0" w:color="auto"/>
              <w:left w:val="single" w:sz="4" w:space="0" w:color="auto"/>
              <w:bottom w:val="single" w:sz="4" w:space="0" w:color="auto"/>
              <w:right w:val="single" w:sz="4" w:space="0" w:color="auto"/>
            </w:tcBorders>
            <w:vAlign w:val="center"/>
          </w:tcPr>
          <w:p w14:paraId="62697D33" w14:textId="77777777" w:rsidR="00B0005F" w:rsidRPr="008A2411" w:rsidRDefault="00000000">
            <w:pPr>
              <w:widowControl/>
              <w:jc w:val="center"/>
              <w:textAlignment w:val="center"/>
              <w:rPr>
                <w:rFonts w:ascii="Times New Roman"/>
                <w:color w:val="000000" w:themeColor="text1"/>
              </w:rPr>
            </w:pPr>
            <w:r w:rsidRPr="008A2411">
              <w:rPr>
                <w:rFonts w:ascii="Times New Roman"/>
                <w:color w:val="000000" w:themeColor="text1"/>
                <w:sz w:val="21"/>
                <w:szCs w:val="21"/>
                <w:lang w:bidi="ar"/>
              </w:rPr>
              <w:t>1.35</w:t>
            </w:r>
          </w:p>
        </w:tc>
        <w:tc>
          <w:tcPr>
            <w:tcW w:w="1008" w:type="dxa"/>
            <w:tcBorders>
              <w:top w:val="single" w:sz="4" w:space="0" w:color="auto"/>
              <w:left w:val="single" w:sz="4" w:space="0" w:color="auto"/>
              <w:bottom w:val="single" w:sz="4" w:space="0" w:color="auto"/>
              <w:right w:val="single" w:sz="4" w:space="0" w:color="auto"/>
            </w:tcBorders>
            <w:vAlign w:val="center"/>
          </w:tcPr>
          <w:p w14:paraId="03F50A5D" w14:textId="77777777" w:rsidR="00B0005F" w:rsidRPr="008A2411" w:rsidRDefault="00000000">
            <w:pPr>
              <w:widowControl/>
              <w:jc w:val="center"/>
              <w:textAlignment w:val="center"/>
              <w:rPr>
                <w:rFonts w:ascii="Times New Roman"/>
                <w:color w:val="000000" w:themeColor="text1"/>
              </w:rPr>
            </w:pPr>
            <w:r w:rsidRPr="008A2411">
              <w:rPr>
                <w:rFonts w:ascii="Times New Roman"/>
                <w:color w:val="000000" w:themeColor="text1"/>
                <w:sz w:val="21"/>
                <w:szCs w:val="21"/>
                <w:lang w:bidi="ar"/>
              </w:rPr>
              <w:t>0.0006</w:t>
            </w:r>
          </w:p>
        </w:tc>
        <w:tc>
          <w:tcPr>
            <w:tcW w:w="846" w:type="dxa"/>
            <w:tcBorders>
              <w:top w:val="single" w:sz="4" w:space="0" w:color="auto"/>
              <w:left w:val="single" w:sz="4" w:space="0" w:color="auto"/>
              <w:bottom w:val="single" w:sz="4" w:space="0" w:color="auto"/>
              <w:right w:val="single" w:sz="4" w:space="0" w:color="auto"/>
            </w:tcBorders>
            <w:vAlign w:val="center"/>
          </w:tcPr>
          <w:p w14:paraId="6A9B366C" w14:textId="77777777" w:rsidR="00B0005F" w:rsidRPr="008A2411" w:rsidRDefault="00000000">
            <w:pPr>
              <w:widowControl/>
              <w:jc w:val="center"/>
              <w:textAlignment w:val="center"/>
              <w:rPr>
                <w:rFonts w:ascii="Times New Roman"/>
                <w:color w:val="000000" w:themeColor="text1"/>
              </w:rPr>
            </w:pPr>
            <w:r w:rsidRPr="008A2411">
              <w:rPr>
                <w:rFonts w:ascii="Times New Roman"/>
                <w:color w:val="000000" w:themeColor="text1"/>
                <w:sz w:val="21"/>
                <w:szCs w:val="21"/>
                <w:lang w:bidi="ar"/>
              </w:rPr>
              <w:t>0.0048</w:t>
            </w:r>
          </w:p>
        </w:tc>
      </w:tr>
      <w:tr w:rsidR="008A2411" w:rsidRPr="008A2411" w14:paraId="08AF48E3" w14:textId="77777777">
        <w:trPr>
          <w:trHeight w:val="83"/>
        </w:trPr>
        <w:tc>
          <w:tcPr>
            <w:tcW w:w="249" w:type="pct"/>
            <w:vMerge/>
            <w:tcBorders>
              <w:top w:val="single" w:sz="4" w:space="0" w:color="auto"/>
              <w:left w:val="single" w:sz="4" w:space="0" w:color="auto"/>
              <w:bottom w:val="single" w:sz="4" w:space="0" w:color="auto"/>
              <w:right w:val="single" w:sz="4" w:space="0" w:color="auto"/>
            </w:tcBorders>
            <w:vAlign w:val="center"/>
          </w:tcPr>
          <w:p w14:paraId="5D677F20" w14:textId="77777777" w:rsidR="00B0005F" w:rsidRPr="008A2411" w:rsidRDefault="00B0005F">
            <w:pPr>
              <w:pStyle w:val="WJ5"/>
              <w:spacing w:line="240" w:lineRule="auto"/>
              <w:rPr>
                <w:rFonts w:ascii="Times New Roman" w:hAnsi="Times New Roman"/>
                <w:color w:val="000000" w:themeColor="text1"/>
              </w:rPr>
            </w:pPr>
          </w:p>
        </w:tc>
        <w:tc>
          <w:tcPr>
            <w:tcW w:w="504" w:type="pct"/>
            <w:vMerge/>
            <w:tcBorders>
              <w:left w:val="single" w:sz="4" w:space="0" w:color="auto"/>
              <w:right w:val="single" w:sz="4" w:space="0" w:color="auto"/>
            </w:tcBorders>
            <w:vAlign w:val="center"/>
          </w:tcPr>
          <w:p w14:paraId="6684E5C2" w14:textId="77777777" w:rsidR="00B0005F" w:rsidRPr="008A2411" w:rsidRDefault="00B0005F">
            <w:pPr>
              <w:pStyle w:val="WJ5"/>
              <w:spacing w:line="240" w:lineRule="auto"/>
              <w:rPr>
                <w:rFonts w:ascii="Times New Roman" w:hAnsi="Times New Roman"/>
                <w:color w:val="000000" w:themeColor="text1"/>
              </w:rPr>
            </w:pPr>
          </w:p>
        </w:tc>
        <w:tc>
          <w:tcPr>
            <w:tcW w:w="1327" w:type="pct"/>
            <w:vMerge/>
            <w:tcBorders>
              <w:left w:val="single" w:sz="4" w:space="0" w:color="auto"/>
              <w:right w:val="single" w:sz="4" w:space="0" w:color="auto"/>
            </w:tcBorders>
            <w:vAlign w:val="center"/>
          </w:tcPr>
          <w:p w14:paraId="136F3C57" w14:textId="77777777" w:rsidR="00B0005F" w:rsidRPr="008A2411" w:rsidRDefault="00B0005F">
            <w:pPr>
              <w:pStyle w:val="WJ5"/>
              <w:spacing w:line="240" w:lineRule="auto"/>
              <w:rPr>
                <w:rFonts w:ascii="Times New Roman" w:hAnsi="Times New Roman"/>
                <w:color w:val="000000" w:themeColor="text1"/>
              </w:rPr>
            </w:pPr>
          </w:p>
        </w:tc>
        <w:tc>
          <w:tcPr>
            <w:tcW w:w="639" w:type="pct"/>
            <w:tcBorders>
              <w:top w:val="single" w:sz="4" w:space="0" w:color="auto"/>
              <w:left w:val="single" w:sz="4" w:space="0" w:color="auto"/>
              <w:bottom w:val="single" w:sz="4" w:space="0" w:color="auto"/>
              <w:right w:val="single" w:sz="4" w:space="0" w:color="auto"/>
            </w:tcBorders>
            <w:vAlign w:val="center"/>
          </w:tcPr>
          <w:p w14:paraId="2D6A888F"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NOx</w:t>
            </w:r>
          </w:p>
        </w:tc>
        <w:tc>
          <w:tcPr>
            <w:tcW w:w="530" w:type="pct"/>
            <w:vMerge/>
            <w:tcBorders>
              <w:left w:val="single" w:sz="4" w:space="0" w:color="auto"/>
              <w:right w:val="single" w:sz="4" w:space="0" w:color="auto"/>
            </w:tcBorders>
            <w:vAlign w:val="center"/>
          </w:tcPr>
          <w:p w14:paraId="6B059D34" w14:textId="77777777" w:rsidR="00B0005F" w:rsidRPr="008A2411" w:rsidRDefault="00B0005F">
            <w:pPr>
              <w:pStyle w:val="WJ5"/>
              <w:spacing w:line="240" w:lineRule="auto"/>
              <w:rPr>
                <w:rFonts w:ascii="Times New Roman" w:hAnsi="Times New Roman"/>
                <w:color w:val="000000" w:themeColor="text1"/>
              </w:rPr>
            </w:pPr>
          </w:p>
        </w:tc>
        <w:tc>
          <w:tcPr>
            <w:tcW w:w="1125" w:type="dxa"/>
            <w:tcBorders>
              <w:top w:val="single" w:sz="4" w:space="0" w:color="auto"/>
              <w:left w:val="single" w:sz="4" w:space="0" w:color="auto"/>
              <w:bottom w:val="single" w:sz="4" w:space="0" w:color="auto"/>
              <w:right w:val="single" w:sz="4" w:space="0" w:color="auto"/>
            </w:tcBorders>
            <w:vAlign w:val="center"/>
          </w:tcPr>
          <w:p w14:paraId="516CCA20" w14:textId="77777777" w:rsidR="00B0005F" w:rsidRPr="008A2411" w:rsidRDefault="00000000">
            <w:pPr>
              <w:widowControl/>
              <w:jc w:val="center"/>
              <w:textAlignment w:val="center"/>
              <w:rPr>
                <w:rFonts w:ascii="Times New Roman"/>
                <w:color w:val="000000" w:themeColor="text1"/>
              </w:rPr>
            </w:pPr>
            <w:r w:rsidRPr="008A2411">
              <w:rPr>
                <w:rFonts w:ascii="Times New Roman"/>
                <w:color w:val="000000" w:themeColor="text1"/>
                <w:sz w:val="21"/>
                <w:szCs w:val="21"/>
                <w:lang w:bidi="ar"/>
              </w:rPr>
              <w:t>147.3</w:t>
            </w:r>
          </w:p>
        </w:tc>
        <w:tc>
          <w:tcPr>
            <w:tcW w:w="1008" w:type="dxa"/>
            <w:tcBorders>
              <w:top w:val="single" w:sz="4" w:space="0" w:color="auto"/>
              <w:left w:val="single" w:sz="4" w:space="0" w:color="auto"/>
              <w:bottom w:val="single" w:sz="4" w:space="0" w:color="auto"/>
              <w:right w:val="single" w:sz="4" w:space="0" w:color="auto"/>
            </w:tcBorders>
            <w:vAlign w:val="center"/>
          </w:tcPr>
          <w:p w14:paraId="55931FBD" w14:textId="77777777" w:rsidR="00B0005F" w:rsidRPr="008A2411" w:rsidRDefault="00000000">
            <w:pPr>
              <w:widowControl/>
              <w:jc w:val="center"/>
              <w:textAlignment w:val="center"/>
              <w:rPr>
                <w:rFonts w:ascii="Times New Roman"/>
                <w:color w:val="000000" w:themeColor="text1"/>
              </w:rPr>
            </w:pPr>
            <w:r w:rsidRPr="008A2411">
              <w:rPr>
                <w:rFonts w:ascii="Times New Roman"/>
                <w:color w:val="000000" w:themeColor="text1"/>
                <w:sz w:val="21"/>
                <w:szCs w:val="21"/>
                <w:lang w:bidi="ar"/>
              </w:rPr>
              <w:t>0.0635</w:t>
            </w:r>
          </w:p>
        </w:tc>
        <w:tc>
          <w:tcPr>
            <w:tcW w:w="846" w:type="dxa"/>
            <w:tcBorders>
              <w:top w:val="single" w:sz="4" w:space="0" w:color="auto"/>
              <w:left w:val="single" w:sz="4" w:space="0" w:color="auto"/>
              <w:bottom w:val="single" w:sz="4" w:space="0" w:color="auto"/>
              <w:right w:val="single" w:sz="4" w:space="0" w:color="auto"/>
            </w:tcBorders>
            <w:vAlign w:val="center"/>
          </w:tcPr>
          <w:p w14:paraId="08358801" w14:textId="77777777" w:rsidR="00B0005F" w:rsidRPr="008A2411" w:rsidRDefault="00000000">
            <w:pPr>
              <w:widowControl/>
              <w:jc w:val="center"/>
              <w:textAlignment w:val="center"/>
              <w:rPr>
                <w:rFonts w:ascii="Times New Roman"/>
                <w:color w:val="000000" w:themeColor="text1"/>
              </w:rPr>
            </w:pPr>
            <w:r w:rsidRPr="008A2411">
              <w:rPr>
                <w:rFonts w:ascii="Times New Roman"/>
                <w:color w:val="000000" w:themeColor="text1"/>
                <w:sz w:val="21"/>
                <w:szCs w:val="21"/>
                <w:lang w:bidi="ar"/>
              </w:rPr>
              <w:t>0.508</w:t>
            </w:r>
          </w:p>
        </w:tc>
      </w:tr>
      <w:tr w:rsidR="008A2411" w:rsidRPr="008A2411" w14:paraId="43E85EFE" w14:textId="77777777">
        <w:trPr>
          <w:trHeight w:val="701"/>
        </w:trPr>
        <w:tc>
          <w:tcPr>
            <w:tcW w:w="249" w:type="pct"/>
            <w:vMerge/>
            <w:tcBorders>
              <w:top w:val="single" w:sz="4" w:space="0" w:color="auto"/>
              <w:left w:val="single" w:sz="4" w:space="0" w:color="auto"/>
              <w:bottom w:val="single" w:sz="4" w:space="0" w:color="auto"/>
              <w:right w:val="single" w:sz="4" w:space="0" w:color="auto"/>
            </w:tcBorders>
            <w:vAlign w:val="center"/>
          </w:tcPr>
          <w:p w14:paraId="478BDA9F" w14:textId="77777777" w:rsidR="00B0005F" w:rsidRPr="008A2411" w:rsidRDefault="00B0005F">
            <w:pPr>
              <w:pStyle w:val="WJ5"/>
              <w:spacing w:line="240" w:lineRule="auto"/>
              <w:rPr>
                <w:rFonts w:ascii="Times New Roman" w:hAnsi="Times New Roman"/>
                <w:color w:val="000000" w:themeColor="text1"/>
              </w:rPr>
            </w:pPr>
          </w:p>
        </w:tc>
        <w:tc>
          <w:tcPr>
            <w:tcW w:w="504" w:type="pct"/>
            <w:vMerge w:val="restart"/>
            <w:tcBorders>
              <w:left w:val="single" w:sz="4" w:space="0" w:color="auto"/>
              <w:right w:val="single" w:sz="4" w:space="0" w:color="auto"/>
            </w:tcBorders>
            <w:vAlign w:val="center"/>
          </w:tcPr>
          <w:p w14:paraId="5B4EDB67" w14:textId="77777777" w:rsidR="00B0005F" w:rsidRPr="008A2411" w:rsidRDefault="00000000">
            <w:pPr>
              <w:pStyle w:val="WJ5"/>
              <w:spacing w:line="240" w:lineRule="auto"/>
              <w:rPr>
                <w:rFonts w:ascii="Times New Roman" w:hAnsi="Times New Roman"/>
                <w:color w:val="000000" w:themeColor="text1"/>
              </w:rPr>
            </w:pPr>
            <w:proofErr w:type="gramStart"/>
            <w:r w:rsidRPr="008A2411">
              <w:rPr>
                <w:rFonts w:ascii="Times New Roman" w:hAnsi="Times New Roman"/>
                <w:color w:val="000000" w:themeColor="text1"/>
              </w:rPr>
              <w:t>脱硫塔排气筒</w:t>
            </w:r>
            <w:proofErr w:type="gramEnd"/>
          </w:p>
        </w:tc>
        <w:tc>
          <w:tcPr>
            <w:tcW w:w="1327" w:type="pct"/>
            <w:tcBorders>
              <w:left w:val="single" w:sz="4" w:space="0" w:color="auto"/>
              <w:right w:val="single" w:sz="4" w:space="0" w:color="auto"/>
            </w:tcBorders>
            <w:vAlign w:val="center"/>
          </w:tcPr>
          <w:p w14:paraId="7B43EFDB"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《恶臭污染物排放标准》（</w:t>
            </w:r>
            <w:r w:rsidRPr="008A2411">
              <w:rPr>
                <w:rFonts w:ascii="Times New Roman" w:hAnsi="Times New Roman"/>
                <w:color w:val="000000" w:themeColor="text1"/>
              </w:rPr>
              <w:t>GB14554-93</w:t>
            </w:r>
            <w:r w:rsidRPr="008A2411">
              <w:rPr>
                <w:rFonts w:ascii="Times New Roman" w:hAnsi="Times New Roman"/>
                <w:color w:val="000000" w:themeColor="text1"/>
              </w:rPr>
              <w:t>）</w:t>
            </w:r>
          </w:p>
        </w:tc>
        <w:tc>
          <w:tcPr>
            <w:tcW w:w="639" w:type="pct"/>
            <w:tcBorders>
              <w:top w:val="single" w:sz="4" w:space="0" w:color="auto"/>
              <w:left w:val="single" w:sz="4" w:space="0" w:color="auto"/>
              <w:bottom w:val="single" w:sz="4" w:space="0" w:color="auto"/>
              <w:right w:val="single" w:sz="4" w:space="0" w:color="auto"/>
            </w:tcBorders>
            <w:vAlign w:val="center"/>
          </w:tcPr>
          <w:p w14:paraId="7855A4E8"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H</w:t>
            </w:r>
            <w:r w:rsidRPr="008A2411">
              <w:rPr>
                <w:rFonts w:ascii="Times New Roman" w:hAnsi="Times New Roman"/>
                <w:color w:val="000000" w:themeColor="text1"/>
                <w:vertAlign w:val="subscript"/>
              </w:rPr>
              <w:t>2</w:t>
            </w:r>
            <w:r w:rsidRPr="008A2411">
              <w:rPr>
                <w:rFonts w:ascii="Times New Roman" w:hAnsi="Times New Roman"/>
                <w:color w:val="000000" w:themeColor="text1"/>
              </w:rPr>
              <w:t>S</w:t>
            </w:r>
          </w:p>
        </w:tc>
        <w:tc>
          <w:tcPr>
            <w:tcW w:w="530" w:type="pct"/>
            <w:tcBorders>
              <w:left w:val="single" w:sz="4" w:space="0" w:color="auto"/>
              <w:right w:val="single" w:sz="4" w:space="0" w:color="auto"/>
            </w:tcBorders>
            <w:vAlign w:val="center"/>
          </w:tcPr>
          <w:p w14:paraId="08A45E55"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15</w:t>
            </w:r>
          </w:p>
        </w:tc>
        <w:tc>
          <w:tcPr>
            <w:tcW w:w="1125" w:type="dxa"/>
            <w:tcBorders>
              <w:top w:val="single" w:sz="4" w:space="0" w:color="auto"/>
              <w:left w:val="single" w:sz="4" w:space="0" w:color="auto"/>
              <w:bottom w:val="single" w:sz="4" w:space="0" w:color="auto"/>
              <w:right w:val="single" w:sz="4" w:space="0" w:color="auto"/>
            </w:tcBorders>
            <w:vAlign w:val="center"/>
          </w:tcPr>
          <w:p w14:paraId="24C394B5" w14:textId="77777777" w:rsidR="00B0005F" w:rsidRPr="008A2411" w:rsidRDefault="00000000">
            <w:pPr>
              <w:widowControl/>
              <w:jc w:val="center"/>
              <w:textAlignment w:val="center"/>
              <w:rPr>
                <w:rFonts w:ascii="Times New Roman"/>
                <w:color w:val="000000" w:themeColor="text1"/>
              </w:rPr>
            </w:pPr>
            <w:r w:rsidRPr="008A2411">
              <w:rPr>
                <w:rFonts w:ascii="Times New Roman"/>
                <w:color w:val="000000" w:themeColor="text1"/>
                <w:sz w:val="21"/>
                <w:szCs w:val="21"/>
                <w:lang w:bidi="ar"/>
              </w:rPr>
              <w:t>0.25</w:t>
            </w:r>
          </w:p>
        </w:tc>
        <w:tc>
          <w:tcPr>
            <w:tcW w:w="1008" w:type="dxa"/>
            <w:tcBorders>
              <w:top w:val="single" w:sz="4" w:space="0" w:color="auto"/>
              <w:left w:val="single" w:sz="4" w:space="0" w:color="auto"/>
              <w:bottom w:val="single" w:sz="4" w:space="0" w:color="auto"/>
              <w:right w:val="single" w:sz="4" w:space="0" w:color="auto"/>
            </w:tcBorders>
            <w:vAlign w:val="center"/>
          </w:tcPr>
          <w:p w14:paraId="7E2CB592" w14:textId="77777777" w:rsidR="00B0005F" w:rsidRPr="008A2411" w:rsidRDefault="00000000">
            <w:pPr>
              <w:widowControl/>
              <w:jc w:val="center"/>
              <w:textAlignment w:val="center"/>
              <w:rPr>
                <w:rFonts w:ascii="Times New Roman"/>
                <w:color w:val="000000" w:themeColor="text1"/>
              </w:rPr>
            </w:pPr>
            <w:r w:rsidRPr="008A2411">
              <w:rPr>
                <w:rFonts w:ascii="Times New Roman"/>
                <w:color w:val="000000" w:themeColor="text1"/>
                <w:sz w:val="21"/>
                <w:szCs w:val="21"/>
                <w:lang w:bidi="ar"/>
              </w:rPr>
              <w:t>0.0015</w:t>
            </w:r>
          </w:p>
        </w:tc>
        <w:tc>
          <w:tcPr>
            <w:tcW w:w="846" w:type="dxa"/>
            <w:tcBorders>
              <w:top w:val="single" w:sz="4" w:space="0" w:color="auto"/>
              <w:left w:val="single" w:sz="4" w:space="0" w:color="auto"/>
              <w:bottom w:val="single" w:sz="4" w:space="0" w:color="auto"/>
              <w:right w:val="single" w:sz="4" w:space="0" w:color="auto"/>
            </w:tcBorders>
            <w:vAlign w:val="center"/>
          </w:tcPr>
          <w:p w14:paraId="143EAFBB" w14:textId="77777777" w:rsidR="00B0005F" w:rsidRPr="008A2411" w:rsidRDefault="00000000">
            <w:pPr>
              <w:widowControl/>
              <w:jc w:val="center"/>
              <w:textAlignment w:val="center"/>
              <w:rPr>
                <w:rFonts w:ascii="Times New Roman"/>
                <w:color w:val="000000" w:themeColor="text1"/>
              </w:rPr>
            </w:pPr>
            <w:r w:rsidRPr="008A2411">
              <w:rPr>
                <w:rFonts w:ascii="Times New Roman"/>
                <w:color w:val="000000" w:themeColor="text1"/>
                <w:sz w:val="21"/>
                <w:szCs w:val="21"/>
                <w:lang w:bidi="ar"/>
              </w:rPr>
              <w:t>0.012</w:t>
            </w:r>
          </w:p>
        </w:tc>
      </w:tr>
      <w:tr w:rsidR="008A2411" w:rsidRPr="008A2411" w14:paraId="1E88866E" w14:textId="77777777">
        <w:trPr>
          <w:trHeight w:val="701"/>
        </w:trPr>
        <w:tc>
          <w:tcPr>
            <w:tcW w:w="249" w:type="pct"/>
            <w:vMerge/>
            <w:tcBorders>
              <w:top w:val="single" w:sz="4" w:space="0" w:color="auto"/>
              <w:left w:val="single" w:sz="4" w:space="0" w:color="auto"/>
              <w:bottom w:val="single" w:sz="4" w:space="0" w:color="auto"/>
              <w:right w:val="single" w:sz="4" w:space="0" w:color="auto"/>
            </w:tcBorders>
            <w:vAlign w:val="center"/>
          </w:tcPr>
          <w:p w14:paraId="449109BE" w14:textId="77777777" w:rsidR="00B0005F" w:rsidRPr="008A2411" w:rsidRDefault="00B0005F">
            <w:pPr>
              <w:pStyle w:val="WJ5"/>
              <w:spacing w:line="240" w:lineRule="auto"/>
              <w:rPr>
                <w:rFonts w:ascii="Times New Roman" w:hAnsi="Times New Roman"/>
                <w:color w:val="000000" w:themeColor="text1"/>
              </w:rPr>
            </w:pPr>
          </w:p>
        </w:tc>
        <w:tc>
          <w:tcPr>
            <w:tcW w:w="504" w:type="pct"/>
            <w:vMerge/>
            <w:tcBorders>
              <w:left w:val="single" w:sz="4" w:space="0" w:color="auto"/>
              <w:right w:val="single" w:sz="4" w:space="0" w:color="auto"/>
            </w:tcBorders>
            <w:vAlign w:val="center"/>
          </w:tcPr>
          <w:p w14:paraId="0B2FA534" w14:textId="77777777" w:rsidR="00B0005F" w:rsidRPr="008A2411" w:rsidRDefault="00B0005F">
            <w:pPr>
              <w:pStyle w:val="WJ5"/>
              <w:spacing w:line="240" w:lineRule="auto"/>
              <w:rPr>
                <w:rFonts w:ascii="Times New Roman" w:hAnsi="Times New Roman"/>
                <w:color w:val="000000" w:themeColor="text1"/>
              </w:rPr>
            </w:pPr>
          </w:p>
        </w:tc>
        <w:tc>
          <w:tcPr>
            <w:tcW w:w="1327" w:type="pct"/>
            <w:tcBorders>
              <w:left w:val="single" w:sz="4" w:space="0" w:color="auto"/>
              <w:right w:val="single" w:sz="4" w:space="0" w:color="auto"/>
            </w:tcBorders>
            <w:vAlign w:val="center"/>
          </w:tcPr>
          <w:p w14:paraId="3DE173F0" w14:textId="6A8553C2" w:rsidR="00B0005F" w:rsidRPr="008A2411" w:rsidRDefault="00A7311D">
            <w:pPr>
              <w:pStyle w:val="WJ5"/>
              <w:spacing w:line="240" w:lineRule="auto"/>
              <w:rPr>
                <w:rFonts w:ascii="Times New Roman" w:hAnsi="Times New Roman"/>
                <w:color w:val="000000" w:themeColor="text1"/>
              </w:rPr>
            </w:pPr>
            <w:r w:rsidRPr="008A2411">
              <w:rPr>
                <w:rFonts w:ascii="Times New Roman"/>
                <w:color w:val="000000" w:themeColor="text1"/>
                <w:szCs w:val="24"/>
              </w:rPr>
              <w:t>《陆上石油天然气开采工业大气污染物排放标准》（</w:t>
            </w:r>
            <w:r w:rsidRPr="008A2411">
              <w:rPr>
                <w:rFonts w:ascii="Times New Roman"/>
                <w:color w:val="000000" w:themeColor="text1"/>
                <w:szCs w:val="24"/>
              </w:rPr>
              <w:t>GB 39728-2020</w:t>
            </w:r>
            <w:r w:rsidRPr="008A2411">
              <w:rPr>
                <w:rFonts w:ascii="Times New Roman"/>
                <w:color w:val="000000" w:themeColor="text1"/>
                <w:szCs w:val="24"/>
              </w:rPr>
              <w:t>）排放限值</w:t>
            </w:r>
          </w:p>
        </w:tc>
        <w:tc>
          <w:tcPr>
            <w:tcW w:w="639" w:type="pct"/>
            <w:tcBorders>
              <w:top w:val="single" w:sz="4" w:space="0" w:color="auto"/>
              <w:left w:val="single" w:sz="4" w:space="0" w:color="auto"/>
              <w:bottom w:val="single" w:sz="4" w:space="0" w:color="auto"/>
              <w:right w:val="single" w:sz="4" w:space="0" w:color="auto"/>
            </w:tcBorders>
            <w:vAlign w:val="center"/>
          </w:tcPr>
          <w:p w14:paraId="0EF69F03" w14:textId="1897E164" w:rsidR="00B0005F" w:rsidRPr="008A2411" w:rsidRDefault="00F243D6">
            <w:pPr>
              <w:pStyle w:val="WJ5"/>
              <w:spacing w:line="240" w:lineRule="auto"/>
              <w:rPr>
                <w:rFonts w:ascii="Times New Roman" w:hAnsi="Times New Roman"/>
                <w:color w:val="000000" w:themeColor="text1"/>
              </w:rPr>
            </w:pPr>
            <w:r w:rsidRPr="008A2411">
              <w:rPr>
                <w:rFonts w:ascii="Times New Roman" w:hAnsi="Times New Roman"/>
                <w:color w:val="000000" w:themeColor="text1"/>
              </w:rPr>
              <w:t>NMHC</w:t>
            </w:r>
          </w:p>
        </w:tc>
        <w:tc>
          <w:tcPr>
            <w:tcW w:w="530" w:type="pct"/>
            <w:tcBorders>
              <w:left w:val="single" w:sz="4" w:space="0" w:color="auto"/>
              <w:right w:val="single" w:sz="4" w:space="0" w:color="auto"/>
            </w:tcBorders>
            <w:vAlign w:val="center"/>
          </w:tcPr>
          <w:p w14:paraId="263EF4CF"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15</w:t>
            </w:r>
          </w:p>
        </w:tc>
        <w:tc>
          <w:tcPr>
            <w:tcW w:w="659" w:type="pct"/>
            <w:tcBorders>
              <w:top w:val="single" w:sz="4" w:space="0" w:color="auto"/>
              <w:left w:val="single" w:sz="4" w:space="0" w:color="auto"/>
              <w:bottom w:val="single" w:sz="4" w:space="0" w:color="auto"/>
              <w:right w:val="single" w:sz="4" w:space="0" w:color="auto"/>
            </w:tcBorders>
            <w:vAlign w:val="center"/>
          </w:tcPr>
          <w:p w14:paraId="58425DF3"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4.66</w:t>
            </w:r>
          </w:p>
        </w:tc>
        <w:tc>
          <w:tcPr>
            <w:tcW w:w="1008" w:type="dxa"/>
            <w:tcBorders>
              <w:top w:val="single" w:sz="4" w:space="0" w:color="auto"/>
              <w:left w:val="single" w:sz="4" w:space="0" w:color="auto"/>
              <w:bottom w:val="single" w:sz="4" w:space="0" w:color="auto"/>
              <w:right w:val="single" w:sz="4" w:space="0" w:color="auto"/>
            </w:tcBorders>
            <w:vAlign w:val="center"/>
          </w:tcPr>
          <w:p w14:paraId="051B0853" w14:textId="77777777" w:rsidR="00B0005F" w:rsidRPr="008A2411" w:rsidRDefault="00000000">
            <w:pPr>
              <w:widowControl/>
              <w:jc w:val="center"/>
              <w:textAlignment w:val="center"/>
              <w:rPr>
                <w:rFonts w:ascii="Times New Roman"/>
                <w:color w:val="000000" w:themeColor="text1"/>
              </w:rPr>
            </w:pPr>
            <w:r w:rsidRPr="008A2411">
              <w:rPr>
                <w:rFonts w:ascii="Times New Roman"/>
                <w:color w:val="000000" w:themeColor="text1"/>
                <w:sz w:val="21"/>
                <w:szCs w:val="21"/>
                <w:lang w:bidi="ar"/>
              </w:rPr>
              <w:t>0.028</w:t>
            </w:r>
          </w:p>
        </w:tc>
        <w:tc>
          <w:tcPr>
            <w:tcW w:w="846" w:type="dxa"/>
            <w:tcBorders>
              <w:top w:val="single" w:sz="4" w:space="0" w:color="auto"/>
              <w:left w:val="single" w:sz="4" w:space="0" w:color="auto"/>
              <w:bottom w:val="single" w:sz="4" w:space="0" w:color="auto"/>
              <w:right w:val="single" w:sz="4" w:space="0" w:color="auto"/>
            </w:tcBorders>
            <w:vAlign w:val="center"/>
          </w:tcPr>
          <w:p w14:paraId="791B11D8" w14:textId="77777777" w:rsidR="00B0005F" w:rsidRPr="008A2411" w:rsidRDefault="00000000">
            <w:pPr>
              <w:widowControl/>
              <w:jc w:val="center"/>
              <w:textAlignment w:val="center"/>
              <w:rPr>
                <w:rFonts w:ascii="Times New Roman"/>
                <w:color w:val="000000" w:themeColor="text1"/>
                <w:sz w:val="21"/>
                <w:szCs w:val="21"/>
                <w:lang w:bidi="ar"/>
              </w:rPr>
            </w:pPr>
            <w:r w:rsidRPr="008A2411">
              <w:rPr>
                <w:rFonts w:ascii="Times New Roman"/>
                <w:color w:val="000000" w:themeColor="text1"/>
                <w:sz w:val="21"/>
                <w:szCs w:val="21"/>
                <w:lang w:bidi="ar"/>
              </w:rPr>
              <w:t>0.224</w:t>
            </w:r>
          </w:p>
        </w:tc>
      </w:tr>
      <w:tr w:rsidR="008A2411" w:rsidRPr="008A2411" w14:paraId="4D2A4E6E" w14:textId="77777777">
        <w:trPr>
          <w:trHeight w:val="1058"/>
        </w:trPr>
        <w:tc>
          <w:tcPr>
            <w:tcW w:w="249" w:type="pct"/>
            <w:vMerge/>
            <w:tcBorders>
              <w:top w:val="single" w:sz="4" w:space="0" w:color="auto"/>
              <w:left w:val="single" w:sz="4" w:space="0" w:color="auto"/>
              <w:bottom w:val="single" w:sz="4" w:space="0" w:color="auto"/>
              <w:right w:val="single" w:sz="4" w:space="0" w:color="auto"/>
            </w:tcBorders>
            <w:vAlign w:val="center"/>
          </w:tcPr>
          <w:p w14:paraId="7699E048" w14:textId="77777777" w:rsidR="00B0005F" w:rsidRPr="008A2411" w:rsidRDefault="00B0005F">
            <w:pPr>
              <w:pStyle w:val="WJ5"/>
              <w:spacing w:line="240" w:lineRule="auto"/>
              <w:rPr>
                <w:rFonts w:ascii="Times New Roman" w:hAnsi="Times New Roman"/>
                <w:color w:val="000000" w:themeColor="text1"/>
              </w:rPr>
            </w:pPr>
          </w:p>
        </w:tc>
        <w:tc>
          <w:tcPr>
            <w:tcW w:w="504" w:type="pct"/>
            <w:tcBorders>
              <w:top w:val="single" w:sz="4" w:space="0" w:color="auto"/>
              <w:left w:val="single" w:sz="4" w:space="0" w:color="auto"/>
              <w:bottom w:val="single" w:sz="4" w:space="0" w:color="auto"/>
              <w:right w:val="single" w:sz="4" w:space="0" w:color="auto"/>
            </w:tcBorders>
            <w:vAlign w:val="center"/>
          </w:tcPr>
          <w:p w14:paraId="083E1E73"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无组织排放</w:t>
            </w:r>
          </w:p>
        </w:tc>
        <w:tc>
          <w:tcPr>
            <w:tcW w:w="1327" w:type="pct"/>
            <w:tcBorders>
              <w:top w:val="single" w:sz="4" w:space="0" w:color="auto"/>
              <w:left w:val="single" w:sz="4" w:space="0" w:color="auto"/>
              <w:right w:val="single" w:sz="4" w:space="0" w:color="auto"/>
            </w:tcBorders>
            <w:vAlign w:val="center"/>
          </w:tcPr>
          <w:p w14:paraId="5222D1A8" w14:textId="7781D839" w:rsidR="00B0005F" w:rsidRPr="008A2411" w:rsidRDefault="00A7311D">
            <w:pPr>
              <w:pStyle w:val="WJ5"/>
              <w:spacing w:line="240" w:lineRule="auto"/>
              <w:rPr>
                <w:rFonts w:ascii="Times New Roman" w:hAnsi="Times New Roman"/>
                <w:color w:val="000000" w:themeColor="text1"/>
              </w:rPr>
            </w:pPr>
            <w:r w:rsidRPr="008A2411">
              <w:rPr>
                <w:rFonts w:ascii="Times New Roman"/>
                <w:color w:val="000000" w:themeColor="text1"/>
                <w:szCs w:val="24"/>
              </w:rPr>
              <w:t>《陆上石油天然气开采工业大气污染物排放标准》（</w:t>
            </w:r>
            <w:r w:rsidRPr="008A2411">
              <w:rPr>
                <w:rFonts w:ascii="Times New Roman"/>
                <w:color w:val="000000" w:themeColor="text1"/>
                <w:szCs w:val="24"/>
              </w:rPr>
              <w:t>GB 39728-2020</w:t>
            </w:r>
            <w:r w:rsidRPr="008A2411">
              <w:rPr>
                <w:rFonts w:ascii="Times New Roman"/>
                <w:color w:val="000000" w:themeColor="text1"/>
                <w:szCs w:val="24"/>
              </w:rPr>
              <w:t>）排放限值</w:t>
            </w:r>
          </w:p>
        </w:tc>
        <w:tc>
          <w:tcPr>
            <w:tcW w:w="639" w:type="pct"/>
            <w:tcBorders>
              <w:top w:val="single" w:sz="4" w:space="0" w:color="auto"/>
              <w:left w:val="single" w:sz="4" w:space="0" w:color="auto"/>
              <w:right w:val="single" w:sz="4" w:space="0" w:color="auto"/>
            </w:tcBorders>
            <w:vAlign w:val="center"/>
          </w:tcPr>
          <w:p w14:paraId="3DEA1F28" w14:textId="6C9D6CD2" w:rsidR="00B0005F" w:rsidRPr="008A2411" w:rsidRDefault="00F243D6">
            <w:pPr>
              <w:pStyle w:val="WJ5"/>
              <w:spacing w:line="240" w:lineRule="auto"/>
              <w:rPr>
                <w:rFonts w:ascii="Times New Roman" w:hAnsi="Times New Roman"/>
                <w:color w:val="000000" w:themeColor="text1"/>
              </w:rPr>
            </w:pPr>
            <w:r w:rsidRPr="008A2411">
              <w:rPr>
                <w:rFonts w:ascii="Times New Roman" w:hAnsi="Times New Roman"/>
                <w:color w:val="000000" w:themeColor="text1"/>
              </w:rPr>
              <w:t>NMHC</w:t>
            </w:r>
          </w:p>
        </w:tc>
        <w:tc>
          <w:tcPr>
            <w:tcW w:w="530" w:type="pct"/>
            <w:tcBorders>
              <w:top w:val="single" w:sz="4" w:space="0" w:color="auto"/>
              <w:left w:val="single" w:sz="4" w:space="0" w:color="auto"/>
              <w:bottom w:val="single" w:sz="4" w:space="0" w:color="auto"/>
              <w:right w:val="single" w:sz="4" w:space="0" w:color="auto"/>
            </w:tcBorders>
            <w:vAlign w:val="center"/>
          </w:tcPr>
          <w:p w14:paraId="59BA2423"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w:t>
            </w:r>
          </w:p>
        </w:tc>
        <w:tc>
          <w:tcPr>
            <w:tcW w:w="659" w:type="pct"/>
            <w:tcBorders>
              <w:top w:val="single" w:sz="4" w:space="0" w:color="auto"/>
              <w:left w:val="single" w:sz="4" w:space="0" w:color="auto"/>
              <w:right w:val="single" w:sz="4" w:space="0" w:color="auto"/>
            </w:tcBorders>
            <w:vAlign w:val="center"/>
          </w:tcPr>
          <w:p w14:paraId="55092E0D"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w:t>
            </w:r>
          </w:p>
        </w:tc>
        <w:tc>
          <w:tcPr>
            <w:tcW w:w="591" w:type="pct"/>
            <w:tcBorders>
              <w:top w:val="single" w:sz="4" w:space="0" w:color="auto"/>
              <w:left w:val="single" w:sz="4" w:space="0" w:color="auto"/>
              <w:right w:val="single" w:sz="4" w:space="0" w:color="auto"/>
            </w:tcBorders>
            <w:vAlign w:val="center"/>
          </w:tcPr>
          <w:p w14:paraId="5C3892AB"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0.09786</w:t>
            </w:r>
          </w:p>
        </w:tc>
        <w:tc>
          <w:tcPr>
            <w:tcW w:w="846" w:type="dxa"/>
            <w:tcBorders>
              <w:top w:val="single" w:sz="4" w:space="0" w:color="auto"/>
              <w:left w:val="single" w:sz="4" w:space="0" w:color="auto"/>
              <w:bottom w:val="single" w:sz="4" w:space="0" w:color="auto"/>
              <w:right w:val="single" w:sz="4" w:space="0" w:color="auto"/>
            </w:tcBorders>
            <w:vAlign w:val="center"/>
          </w:tcPr>
          <w:p w14:paraId="015FA42F" w14:textId="77777777" w:rsidR="00B0005F" w:rsidRPr="008A2411" w:rsidRDefault="00000000">
            <w:pPr>
              <w:widowControl/>
              <w:jc w:val="center"/>
              <w:textAlignment w:val="center"/>
              <w:rPr>
                <w:rFonts w:ascii="Times New Roman"/>
                <w:color w:val="000000" w:themeColor="text1"/>
              </w:rPr>
            </w:pPr>
            <w:r w:rsidRPr="008A2411">
              <w:rPr>
                <w:rFonts w:ascii="Times New Roman"/>
                <w:color w:val="000000" w:themeColor="text1"/>
                <w:sz w:val="21"/>
                <w:szCs w:val="21"/>
                <w:lang w:bidi="ar"/>
              </w:rPr>
              <w:t>0.78288</w:t>
            </w:r>
          </w:p>
        </w:tc>
      </w:tr>
      <w:tr w:rsidR="008A2411" w:rsidRPr="008A2411" w14:paraId="44C60320" w14:textId="77777777">
        <w:trPr>
          <w:trHeight w:val="125"/>
        </w:trPr>
        <w:tc>
          <w:tcPr>
            <w:tcW w:w="2082" w:type="pct"/>
            <w:gridSpan w:val="3"/>
            <w:vMerge w:val="restart"/>
            <w:tcBorders>
              <w:top w:val="single" w:sz="4" w:space="0" w:color="auto"/>
              <w:left w:val="single" w:sz="4" w:space="0" w:color="auto"/>
              <w:right w:val="single" w:sz="4" w:space="0" w:color="auto"/>
            </w:tcBorders>
            <w:vAlign w:val="center"/>
          </w:tcPr>
          <w:p w14:paraId="6B0FA402"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合计</w:t>
            </w:r>
          </w:p>
        </w:tc>
        <w:tc>
          <w:tcPr>
            <w:tcW w:w="639" w:type="pct"/>
            <w:tcBorders>
              <w:top w:val="single" w:sz="4" w:space="0" w:color="auto"/>
              <w:left w:val="single" w:sz="4" w:space="0" w:color="auto"/>
              <w:bottom w:val="single" w:sz="4" w:space="0" w:color="auto"/>
              <w:right w:val="single" w:sz="4" w:space="0" w:color="auto"/>
            </w:tcBorders>
            <w:vAlign w:val="center"/>
          </w:tcPr>
          <w:p w14:paraId="5213C20F"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SO</w:t>
            </w:r>
            <w:r w:rsidRPr="008A2411">
              <w:rPr>
                <w:rFonts w:ascii="Times New Roman" w:hAnsi="Times New Roman"/>
                <w:color w:val="000000" w:themeColor="text1"/>
                <w:vertAlign w:val="subscript"/>
              </w:rPr>
              <w:t>2</w:t>
            </w:r>
          </w:p>
        </w:tc>
        <w:tc>
          <w:tcPr>
            <w:tcW w:w="530" w:type="pct"/>
            <w:tcBorders>
              <w:top w:val="single" w:sz="4" w:space="0" w:color="auto"/>
              <w:left w:val="single" w:sz="4" w:space="0" w:color="auto"/>
              <w:bottom w:val="single" w:sz="4" w:space="0" w:color="auto"/>
              <w:right w:val="single" w:sz="4" w:space="0" w:color="auto"/>
            </w:tcBorders>
            <w:vAlign w:val="center"/>
          </w:tcPr>
          <w:p w14:paraId="5B08917D" w14:textId="77777777" w:rsidR="00B0005F" w:rsidRPr="008A2411" w:rsidRDefault="00000000">
            <w:pPr>
              <w:jc w:val="center"/>
              <w:rPr>
                <w:rFonts w:ascii="Times New Roman"/>
                <w:color w:val="000000" w:themeColor="text1"/>
              </w:rPr>
            </w:pPr>
            <w:r w:rsidRPr="008A2411">
              <w:rPr>
                <w:rFonts w:ascii="Times New Roman"/>
                <w:color w:val="000000" w:themeColor="text1"/>
              </w:rPr>
              <w:t>/</w:t>
            </w:r>
          </w:p>
        </w:tc>
        <w:tc>
          <w:tcPr>
            <w:tcW w:w="659" w:type="pct"/>
            <w:tcBorders>
              <w:top w:val="single" w:sz="4" w:space="0" w:color="auto"/>
              <w:left w:val="single" w:sz="4" w:space="0" w:color="auto"/>
              <w:bottom w:val="single" w:sz="4" w:space="0" w:color="auto"/>
              <w:right w:val="single" w:sz="4" w:space="0" w:color="auto"/>
            </w:tcBorders>
            <w:vAlign w:val="center"/>
          </w:tcPr>
          <w:p w14:paraId="72C252A8" w14:textId="77777777" w:rsidR="00B0005F" w:rsidRPr="008A2411" w:rsidRDefault="00000000">
            <w:pPr>
              <w:jc w:val="center"/>
              <w:rPr>
                <w:rFonts w:ascii="Times New Roman"/>
                <w:color w:val="000000" w:themeColor="text1"/>
              </w:rPr>
            </w:pPr>
            <w:r w:rsidRPr="008A2411">
              <w:rPr>
                <w:rFonts w:ascii="Times New Roman"/>
                <w:color w:val="000000" w:themeColor="text1"/>
              </w:rPr>
              <w:t>/</w:t>
            </w:r>
          </w:p>
        </w:tc>
        <w:tc>
          <w:tcPr>
            <w:tcW w:w="591" w:type="pct"/>
            <w:tcBorders>
              <w:top w:val="single" w:sz="4" w:space="0" w:color="auto"/>
              <w:left w:val="single" w:sz="4" w:space="0" w:color="auto"/>
              <w:bottom w:val="single" w:sz="4" w:space="0" w:color="auto"/>
              <w:right w:val="single" w:sz="4" w:space="0" w:color="auto"/>
            </w:tcBorders>
            <w:vAlign w:val="center"/>
          </w:tcPr>
          <w:p w14:paraId="23E9E69A"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w:t>
            </w:r>
          </w:p>
        </w:tc>
        <w:tc>
          <w:tcPr>
            <w:tcW w:w="846" w:type="dxa"/>
            <w:tcBorders>
              <w:top w:val="single" w:sz="4" w:space="0" w:color="auto"/>
              <w:left w:val="single" w:sz="4" w:space="0" w:color="auto"/>
              <w:bottom w:val="single" w:sz="4" w:space="0" w:color="auto"/>
              <w:right w:val="single" w:sz="4" w:space="0" w:color="auto"/>
            </w:tcBorders>
            <w:vAlign w:val="center"/>
          </w:tcPr>
          <w:p w14:paraId="5F406741" w14:textId="77777777" w:rsidR="00B0005F" w:rsidRPr="008A2411" w:rsidRDefault="00000000">
            <w:pPr>
              <w:widowControl/>
              <w:jc w:val="center"/>
              <w:textAlignment w:val="center"/>
              <w:rPr>
                <w:rFonts w:ascii="Times New Roman"/>
                <w:color w:val="000000" w:themeColor="text1"/>
              </w:rPr>
            </w:pPr>
            <w:r w:rsidRPr="008A2411">
              <w:rPr>
                <w:rFonts w:ascii="Times New Roman"/>
                <w:color w:val="000000" w:themeColor="text1"/>
                <w:sz w:val="21"/>
                <w:szCs w:val="21"/>
                <w:lang w:bidi="ar"/>
              </w:rPr>
              <w:t>0.0864</w:t>
            </w:r>
          </w:p>
        </w:tc>
      </w:tr>
      <w:tr w:rsidR="008A2411" w:rsidRPr="008A2411" w14:paraId="0951AA37" w14:textId="77777777">
        <w:trPr>
          <w:trHeight w:val="125"/>
        </w:trPr>
        <w:tc>
          <w:tcPr>
            <w:tcW w:w="2082" w:type="pct"/>
            <w:gridSpan w:val="3"/>
            <w:vMerge/>
            <w:tcBorders>
              <w:left w:val="single" w:sz="4" w:space="0" w:color="auto"/>
              <w:right w:val="single" w:sz="4" w:space="0" w:color="auto"/>
            </w:tcBorders>
            <w:vAlign w:val="center"/>
          </w:tcPr>
          <w:p w14:paraId="7B72CCA5" w14:textId="77777777" w:rsidR="00B0005F" w:rsidRPr="008A2411" w:rsidRDefault="00B0005F">
            <w:pPr>
              <w:pStyle w:val="WJ5"/>
              <w:spacing w:line="240" w:lineRule="auto"/>
              <w:rPr>
                <w:rFonts w:ascii="Times New Roman" w:hAnsi="Times New Roman"/>
                <w:color w:val="000000" w:themeColor="text1"/>
              </w:rPr>
            </w:pPr>
          </w:p>
        </w:tc>
        <w:tc>
          <w:tcPr>
            <w:tcW w:w="639" w:type="pct"/>
            <w:tcBorders>
              <w:top w:val="single" w:sz="4" w:space="0" w:color="auto"/>
              <w:left w:val="single" w:sz="4" w:space="0" w:color="auto"/>
              <w:bottom w:val="single" w:sz="4" w:space="0" w:color="auto"/>
              <w:right w:val="single" w:sz="4" w:space="0" w:color="auto"/>
            </w:tcBorders>
            <w:vAlign w:val="center"/>
          </w:tcPr>
          <w:p w14:paraId="7E21D6F7"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NOx</w:t>
            </w:r>
          </w:p>
        </w:tc>
        <w:tc>
          <w:tcPr>
            <w:tcW w:w="530" w:type="pct"/>
            <w:tcBorders>
              <w:top w:val="single" w:sz="4" w:space="0" w:color="auto"/>
              <w:left w:val="single" w:sz="4" w:space="0" w:color="auto"/>
              <w:bottom w:val="single" w:sz="4" w:space="0" w:color="auto"/>
              <w:right w:val="single" w:sz="4" w:space="0" w:color="auto"/>
            </w:tcBorders>
            <w:vAlign w:val="center"/>
          </w:tcPr>
          <w:p w14:paraId="7340B9D6" w14:textId="77777777" w:rsidR="00B0005F" w:rsidRPr="008A2411" w:rsidRDefault="00000000">
            <w:pPr>
              <w:jc w:val="center"/>
              <w:rPr>
                <w:rFonts w:ascii="Times New Roman"/>
                <w:color w:val="000000" w:themeColor="text1"/>
              </w:rPr>
            </w:pPr>
            <w:r w:rsidRPr="008A2411">
              <w:rPr>
                <w:rFonts w:ascii="Times New Roman"/>
                <w:color w:val="000000" w:themeColor="text1"/>
              </w:rPr>
              <w:t>/</w:t>
            </w:r>
          </w:p>
        </w:tc>
        <w:tc>
          <w:tcPr>
            <w:tcW w:w="659" w:type="pct"/>
            <w:tcBorders>
              <w:top w:val="single" w:sz="4" w:space="0" w:color="auto"/>
              <w:left w:val="single" w:sz="4" w:space="0" w:color="auto"/>
              <w:bottom w:val="single" w:sz="4" w:space="0" w:color="auto"/>
              <w:right w:val="single" w:sz="4" w:space="0" w:color="auto"/>
            </w:tcBorders>
            <w:vAlign w:val="center"/>
          </w:tcPr>
          <w:p w14:paraId="15264D8B" w14:textId="77777777" w:rsidR="00B0005F" w:rsidRPr="008A2411" w:rsidRDefault="00000000">
            <w:pPr>
              <w:jc w:val="center"/>
              <w:rPr>
                <w:rFonts w:ascii="Times New Roman"/>
                <w:color w:val="000000" w:themeColor="text1"/>
              </w:rPr>
            </w:pPr>
            <w:r w:rsidRPr="008A2411">
              <w:rPr>
                <w:rFonts w:ascii="Times New Roman"/>
                <w:color w:val="000000" w:themeColor="text1"/>
              </w:rPr>
              <w:t>/</w:t>
            </w:r>
          </w:p>
        </w:tc>
        <w:tc>
          <w:tcPr>
            <w:tcW w:w="591" w:type="pct"/>
            <w:tcBorders>
              <w:top w:val="single" w:sz="4" w:space="0" w:color="auto"/>
              <w:left w:val="single" w:sz="4" w:space="0" w:color="auto"/>
              <w:bottom w:val="single" w:sz="4" w:space="0" w:color="auto"/>
              <w:right w:val="single" w:sz="4" w:space="0" w:color="auto"/>
            </w:tcBorders>
            <w:vAlign w:val="center"/>
          </w:tcPr>
          <w:p w14:paraId="79797847"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w:t>
            </w:r>
          </w:p>
        </w:tc>
        <w:tc>
          <w:tcPr>
            <w:tcW w:w="846" w:type="dxa"/>
            <w:tcBorders>
              <w:top w:val="single" w:sz="4" w:space="0" w:color="auto"/>
              <w:left w:val="single" w:sz="4" w:space="0" w:color="auto"/>
              <w:bottom w:val="single" w:sz="4" w:space="0" w:color="auto"/>
              <w:right w:val="single" w:sz="4" w:space="0" w:color="auto"/>
            </w:tcBorders>
            <w:vAlign w:val="center"/>
          </w:tcPr>
          <w:p w14:paraId="44083121" w14:textId="77777777" w:rsidR="00B0005F" w:rsidRPr="008A2411" w:rsidRDefault="00000000">
            <w:pPr>
              <w:widowControl/>
              <w:jc w:val="center"/>
              <w:textAlignment w:val="center"/>
              <w:rPr>
                <w:rFonts w:ascii="Times New Roman"/>
                <w:color w:val="000000" w:themeColor="text1"/>
              </w:rPr>
            </w:pPr>
            <w:r w:rsidRPr="008A2411">
              <w:rPr>
                <w:rFonts w:ascii="Times New Roman"/>
                <w:color w:val="000000" w:themeColor="text1"/>
                <w:sz w:val="21"/>
                <w:szCs w:val="21"/>
                <w:lang w:bidi="ar"/>
              </w:rPr>
              <w:t>4.4112</w:t>
            </w:r>
          </w:p>
        </w:tc>
      </w:tr>
      <w:tr w:rsidR="008A2411" w:rsidRPr="008A2411" w14:paraId="300598B3" w14:textId="77777777">
        <w:trPr>
          <w:trHeight w:val="125"/>
        </w:trPr>
        <w:tc>
          <w:tcPr>
            <w:tcW w:w="2082" w:type="pct"/>
            <w:gridSpan w:val="3"/>
            <w:vMerge/>
            <w:tcBorders>
              <w:left w:val="single" w:sz="4" w:space="0" w:color="auto"/>
              <w:right w:val="single" w:sz="4" w:space="0" w:color="auto"/>
            </w:tcBorders>
            <w:vAlign w:val="center"/>
          </w:tcPr>
          <w:p w14:paraId="1CFBB0B0" w14:textId="77777777" w:rsidR="00B0005F" w:rsidRPr="008A2411" w:rsidRDefault="00B0005F">
            <w:pPr>
              <w:pStyle w:val="WJ5"/>
              <w:spacing w:line="240" w:lineRule="auto"/>
              <w:rPr>
                <w:rFonts w:ascii="Times New Roman" w:hAnsi="Times New Roman"/>
                <w:color w:val="000000" w:themeColor="text1"/>
              </w:rPr>
            </w:pPr>
          </w:p>
        </w:tc>
        <w:tc>
          <w:tcPr>
            <w:tcW w:w="639" w:type="pct"/>
            <w:tcBorders>
              <w:top w:val="single" w:sz="4" w:space="0" w:color="auto"/>
              <w:left w:val="single" w:sz="4" w:space="0" w:color="auto"/>
              <w:bottom w:val="single" w:sz="4" w:space="0" w:color="auto"/>
              <w:right w:val="single" w:sz="4" w:space="0" w:color="auto"/>
            </w:tcBorders>
            <w:vAlign w:val="center"/>
          </w:tcPr>
          <w:p w14:paraId="7EB605F5"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H</w:t>
            </w:r>
            <w:r w:rsidRPr="008A2411">
              <w:rPr>
                <w:rFonts w:ascii="Times New Roman" w:hAnsi="Times New Roman"/>
                <w:color w:val="000000" w:themeColor="text1"/>
                <w:vertAlign w:val="subscript"/>
              </w:rPr>
              <w:t>2</w:t>
            </w:r>
            <w:r w:rsidRPr="008A2411">
              <w:rPr>
                <w:rFonts w:ascii="Times New Roman" w:hAnsi="Times New Roman"/>
                <w:color w:val="000000" w:themeColor="text1"/>
              </w:rPr>
              <w:t>S</w:t>
            </w:r>
          </w:p>
        </w:tc>
        <w:tc>
          <w:tcPr>
            <w:tcW w:w="530" w:type="pct"/>
            <w:tcBorders>
              <w:top w:val="single" w:sz="4" w:space="0" w:color="auto"/>
              <w:left w:val="single" w:sz="4" w:space="0" w:color="auto"/>
              <w:bottom w:val="single" w:sz="4" w:space="0" w:color="auto"/>
              <w:right w:val="single" w:sz="4" w:space="0" w:color="auto"/>
            </w:tcBorders>
            <w:vAlign w:val="center"/>
          </w:tcPr>
          <w:p w14:paraId="280F86C9" w14:textId="77777777" w:rsidR="00B0005F" w:rsidRPr="008A2411" w:rsidRDefault="00000000">
            <w:pPr>
              <w:jc w:val="center"/>
              <w:rPr>
                <w:rFonts w:ascii="Times New Roman"/>
                <w:color w:val="000000" w:themeColor="text1"/>
              </w:rPr>
            </w:pPr>
            <w:r w:rsidRPr="008A2411">
              <w:rPr>
                <w:rFonts w:ascii="Times New Roman"/>
                <w:color w:val="000000" w:themeColor="text1"/>
              </w:rPr>
              <w:t>/</w:t>
            </w:r>
          </w:p>
        </w:tc>
        <w:tc>
          <w:tcPr>
            <w:tcW w:w="659" w:type="pct"/>
            <w:tcBorders>
              <w:top w:val="single" w:sz="4" w:space="0" w:color="auto"/>
              <w:left w:val="single" w:sz="4" w:space="0" w:color="auto"/>
              <w:bottom w:val="single" w:sz="4" w:space="0" w:color="auto"/>
              <w:right w:val="single" w:sz="4" w:space="0" w:color="auto"/>
            </w:tcBorders>
            <w:vAlign w:val="center"/>
          </w:tcPr>
          <w:p w14:paraId="76B28D61" w14:textId="77777777" w:rsidR="00B0005F" w:rsidRPr="008A2411" w:rsidRDefault="00000000">
            <w:pPr>
              <w:jc w:val="center"/>
              <w:rPr>
                <w:rFonts w:ascii="Times New Roman"/>
                <w:color w:val="000000" w:themeColor="text1"/>
              </w:rPr>
            </w:pPr>
            <w:r w:rsidRPr="008A2411">
              <w:rPr>
                <w:rFonts w:ascii="Times New Roman"/>
                <w:color w:val="000000" w:themeColor="text1"/>
              </w:rPr>
              <w:t>/</w:t>
            </w:r>
          </w:p>
        </w:tc>
        <w:tc>
          <w:tcPr>
            <w:tcW w:w="591" w:type="pct"/>
            <w:tcBorders>
              <w:top w:val="single" w:sz="4" w:space="0" w:color="auto"/>
              <w:left w:val="single" w:sz="4" w:space="0" w:color="auto"/>
              <w:bottom w:val="single" w:sz="4" w:space="0" w:color="auto"/>
              <w:right w:val="single" w:sz="4" w:space="0" w:color="auto"/>
            </w:tcBorders>
            <w:vAlign w:val="center"/>
          </w:tcPr>
          <w:p w14:paraId="3AE6C391"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w:t>
            </w:r>
          </w:p>
        </w:tc>
        <w:tc>
          <w:tcPr>
            <w:tcW w:w="846" w:type="dxa"/>
            <w:tcBorders>
              <w:top w:val="single" w:sz="4" w:space="0" w:color="auto"/>
              <w:left w:val="single" w:sz="4" w:space="0" w:color="auto"/>
              <w:bottom w:val="single" w:sz="4" w:space="0" w:color="auto"/>
              <w:right w:val="single" w:sz="4" w:space="0" w:color="auto"/>
            </w:tcBorders>
            <w:vAlign w:val="center"/>
          </w:tcPr>
          <w:p w14:paraId="41E958EF" w14:textId="77777777" w:rsidR="00B0005F" w:rsidRPr="008A2411" w:rsidRDefault="00000000">
            <w:pPr>
              <w:widowControl/>
              <w:jc w:val="center"/>
              <w:textAlignment w:val="center"/>
              <w:rPr>
                <w:rFonts w:ascii="Times New Roman"/>
                <w:color w:val="000000" w:themeColor="text1"/>
              </w:rPr>
            </w:pPr>
            <w:r w:rsidRPr="008A2411">
              <w:rPr>
                <w:rFonts w:ascii="Times New Roman"/>
                <w:color w:val="000000" w:themeColor="text1"/>
                <w:sz w:val="21"/>
                <w:szCs w:val="21"/>
                <w:lang w:bidi="ar"/>
              </w:rPr>
              <w:t>0.012</w:t>
            </w:r>
          </w:p>
        </w:tc>
      </w:tr>
      <w:tr w:rsidR="00B0005F" w:rsidRPr="008A2411" w14:paraId="192BF0CB" w14:textId="77777777">
        <w:trPr>
          <w:trHeight w:val="125"/>
        </w:trPr>
        <w:tc>
          <w:tcPr>
            <w:tcW w:w="2082" w:type="pct"/>
            <w:gridSpan w:val="3"/>
            <w:vMerge/>
            <w:tcBorders>
              <w:left w:val="single" w:sz="4" w:space="0" w:color="auto"/>
              <w:bottom w:val="single" w:sz="4" w:space="0" w:color="auto"/>
              <w:right w:val="single" w:sz="4" w:space="0" w:color="auto"/>
            </w:tcBorders>
            <w:vAlign w:val="center"/>
          </w:tcPr>
          <w:p w14:paraId="61BFD6A1" w14:textId="77777777" w:rsidR="00B0005F" w:rsidRPr="008A2411" w:rsidRDefault="00B0005F">
            <w:pPr>
              <w:pStyle w:val="WJ5"/>
              <w:spacing w:line="240" w:lineRule="auto"/>
              <w:rPr>
                <w:rFonts w:ascii="Times New Roman" w:hAnsi="Times New Roman"/>
                <w:color w:val="000000" w:themeColor="text1"/>
              </w:rPr>
            </w:pPr>
          </w:p>
        </w:tc>
        <w:tc>
          <w:tcPr>
            <w:tcW w:w="639" w:type="pct"/>
            <w:tcBorders>
              <w:top w:val="single" w:sz="4" w:space="0" w:color="auto"/>
              <w:left w:val="single" w:sz="4" w:space="0" w:color="auto"/>
              <w:bottom w:val="single" w:sz="4" w:space="0" w:color="auto"/>
              <w:right w:val="single" w:sz="4" w:space="0" w:color="auto"/>
            </w:tcBorders>
            <w:vAlign w:val="center"/>
          </w:tcPr>
          <w:p w14:paraId="1799C2E5" w14:textId="4EEA1092" w:rsidR="00B0005F" w:rsidRPr="008A2411" w:rsidRDefault="00F243D6">
            <w:pPr>
              <w:pStyle w:val="WJ5"/>
              <w:spacing w:line="240" w:lineRule="auto"/>
              <w:rPr>
                <w:rFonts w:ascii="Times New Roman" w:hAnsi="Times New Roman"/>
                <w:color w:val="000000" w:themeColor="text1"/>
              </w:rPr>
            </w:pPr>
            <w:r w:rsidRPr="008A2411">
              <w:rPr>
                <w:rFonts w:ascii="Times New Roman" w:hAnsi="Times New Roman"/>
                <w:color w:val="000000" w:themeColor="text1"/>
              </w:rPr>
              <w:t>NMHC</w:t>
            </w:r>
          </w:p>
        </w:tc>
        <w:tc>
          <w:tcPr>
            <w:tcW w:w="530" w:type="pct"/>
            <w:tcBorders>
              <w:top w:val="single" w:sz="4" w:space="0" w:color="auto"/>
              <w:left w:val="single" w:sz="4" w:space="0" w:color="auto"/>
              <w:bottom w:val="single" w:sz="4" w:space="0" w:color="auto"/>
              <w:right w:val="single" w:sz="4" w:space="0" w:color="auto"/>
            </w:tcBorders>
            <w:vAlign w:val="center"/>
          </w:tcPr>
          <w:p w14:paraId="00D68DF5" w14:textId="77777777" w:rsidR="00B0005F" w:rsidRPr="008A2411" w:rsidRDefault="00000000">
            <w:pPr>
              <w:jc w:val="center"/>
              <w:rPr>
                <w:rFonts w:ascii="Times New Roman"/>
                <w:color w:val="000000" w:themeColor="text1"/>
              </w:rPr>
            </w:pPr>
            <w:r w:rsidRPr="008A2411">
              <w:rPr>
                <w:rFonts w:ascii="Times New Roman"/>
                <w:color w:val="000000" w:themeColor="text1"/>
              </w:rPr>
              <w:t>/</w:t>
            </w:r>
          </w:p>
        </w:tc>
        <w:tc>
          <w:tcPr>
            <w:tcW w:w="659" w:type="pct"/>
            <w:tcBorders>
              <w:top w:val="single" w:sz="4" w:space="0" w:color="auto"/>
              <w:left w:val="single" w:sz="4" w:space="0" w:color="auto"/>
              <w:bottom w:val="single" w:sz="4" w:space="0" w:color="auto"/>
              <w:right w:val="single" w:sz="4" w:space="0" w:color="auto"/>
            </w:tcBorders>
            <w:vAlign w:val="center"/>
          </w:tcPr>
          <w:p w14:paraId="42109D69" w14:textId="77777777" w:rsidR="00B0005F" w:rsidRPr="008A2411" w:rsidRDefault="00000000">
            <w:pPr>
              <w:jc w:val="center"/>
              <w:rPr>
                <w:rFonts w:ascii="Times New Roman"/>
                <w:color w:val="000000" w:themeColor="text1"/>
              </w:rPr>
            </w:pPr>
            <w:r w:rsidRPr="008A2411">
              <w:rPr>
                <w:rFonts w:ascii="Times New Roman"/>
                <w:color w:val="000000" w:themeColor="text1"/>
              </w:rPr>
              <w:t>/</w:t>
            </w:r>
          </w:p>
        </w:tc>
        <w:tc>
          <w:tcPr>
            <w:tcW w:w="591" w:type="pct"/>
            <w:tcBorders>
              <w:top w:val="single" w:sz="4" w:space="0" w:color="auto"/>
              <w:left w:val="single" w:sz="4" w:space="0" w:color="auto"/>
              <w:bottom w:val="single" w:sz="4" w:space="0" w:color="auto"/>
              <w:right w:val="single" w:sz="4" w:space="0" w:color="auto"/>
            </w:tcBorders>
            <w:vAlign w:val="center"/>
          </w:tcPr>
          <w:p w14:paraId="1273A1D6"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w:t>
            </w:r>
          </w:p>
        </w:tc>
        <w:tc>
          <w:tcPr>
            <w:tcW w:w="846" w:type="dxa"/>
            <w:tcBorders>
              <w:top w:val="single" w:sz="4" w:space="0" w:color="auto"/>
              <w:left w:val="single" w:sz="4" w:space="0" w:color="auto"/>
              <w:bottom w:val="single" w:sz="4" w:space="0" w:color="auto"/>
              <w:right w:val="single" w:sz="4" w:space="0" w:color="auto"/>
            </w:tcBorders>
            <w:vAlign w:val="center"/>
          </w:tcPr>
          <w:p w14:paraId="791441C4" w14:textId="77777777" w:rsidR="00B0005F" w:rsidRPr="008A2411" w:rsidRDefault="00000000">
            <w:pPr>
              <w:widowControl/>
              <w:jc w:val="center"/>
              <w:textAlignment w:val="center"/>
              <w:rPr>
                <w:rFonts w:ascii="Times New Roman"/>
                <w:color w:val="000000" w:themeColor="text1"/>
              </w:rPr>
            </w:pPr>
            <w:r w:rsidRPr="008A2411">
              <w:rPr>
                <w:rFonts w:ascii="Times New Roman"/>
                <w:color w:val="000000" w:themeColor="text1"/>
                <w:sz w:val="21"/>
                <w:szCs w:val="21"/>
                <w:lang w:bidi="ar"/>
              </w:rPr>
              <w:t>1.0069</w:t>
            </w:r>
          </w:p>
        </w:tc>
      </w:tr>
    </w:tbl>
    <w:p w14:paraId="45C16780" w14:textId="77777777" w:rsidR="00B0005F" w:rsidRPr="008A2411" w:rsidRDefault="00B0005F">
      <w:pPr>
        <w:pStyle w:val="L-"/>
        <w:adjustRightInd w:val="0"/>
        <w:spacing w:line="360" w:lineRule="auto"/>
        <w:rPr>
          <w:rFonts w:ascii="Times New Roman" w:cs="Times New Roman"/>
          <w:color w:val="000000" w:themeColor="text1"/>
        </w:rPr>
      </w:pPr>
    </w:p>
    <w:p w14:paraId="27AC657B" w14:textId="77777777" w:rsidR="00B0005F" w:rsidRPr="008A2411" w:rsidRDefault="00000000">
      <w:pPr>
        <w:pStyle w:val="L-"/>
        <w:adjustRightInd w:val="0"/>
        <w:spacing w:line="360" w:lineRule="auto"/>
        <w:rPr>
          <w:rFonts w:ascii="Times New Roman" w:cs="Times New Roman"/>
          <w:color w:val="000000" w:themeColor="text1"/>
        </w:rPr>
      </w:pPr>
      <w:r w:rsidRPr="008A2411">
        <w:rPr>
          <w:rFonts w:ascii="Times New Roman" w:cs="Times New Roman"/>
          <w:color w:val="000000" w:themeColor="text1"/>
        </w:rPr>
        <w:t>（</w:t>
      </w:r>
      <w:r w:rsidRPr="008A2411">
        <w:rPr>
          <w:rFonts w:ascii="Times New Roman" w:cs="Times New Roman"/>
          <w:color w:val="000000" w:themeColor="text1"/>
        </w:rPr>
        <w:t>2</w:t>
      </w:r>
      <w:r w:rsidRPr="008A2411">
        <w:rPr>
          <w:rFonts w:ascii="Times New Roman" w:cs="Times New Roman"/>
          <w:color w:val="000000" w:themeColor="text1"/>
        </w:rPr>
        <w:t>）废水排放清单</w:t>
      </w:r>
    </w:p>
    <w:p w14:paraId="1BBDDA35" w14:textId="77777777" w:rsidR="00B0005F" w:rsidRPr="008A2411" w:rsidRDefault="00000000">
      <w:pPr>
        <w:pStyle w:val="L-"/>
        <w:adjustRightInd w:val="0"/>
        <w:spacing w:line="360" w:lineRule="auto"/>
        <w:rPr>
          <w:rFonts w:ascii="Times New Roman" w:cs="Times New Roman"/>
          <w:color w:val="000000" w:themeColor="text1"/>
        </w:rPr>
      </w:pPr>
      <w:r w:rsidRPr="008A2411">
        <w:rPr>
          <w:rFonts w:ascii="Times New Roman" w:cs="Times New Roman"/>
          <w:color w:val="000000" w:themeColor="text1"/>
          <w:szCs w:val="24"/>
        </w:rPr>
        <w:t>本项目</w:t>
      </w:r>
      <w:r w:rsidRPr="008A2411">
        <w:rPr>
          <w:rFonts w:ascii="Times New Roman" w:cs="Times New Roman"/>
          <w:color w:val="000000" w:themeColor="text1"/>
          <w:kern w:val="2"/>
          <w:szCs w:val="24"/>
          <w:lang w:bidi="en-US"/>
        </w:rPr>
        <w:t>实施雨污分流、清污分流，地坪不用水冲洗，无地坪冲洗废水产生。</w:t>
      </w:r>
      <w:r w:rsidRPr="008A2411">
        <w:rPr>
          <w:rFonts w:ascii="Times New Roman" w:cs="Times New Roman"/>
          <w:color w:val="000000" w:themeColor="text1"/>
          <w:szCs w:val="24"/>
        </w:rPr>
        <w:t>营运期污水主要包括生产废水和生活污水。其中生产废水主要有进口过滤分离器废水、冷却器产生的凝液、脱盐间排水及软化水装置排水等。生活污水主要是值守人员产生的生活污水。此外，还有初降雨水</w:t>
      </w:r>
      <w:r w:rsidRPr="008A2411">
        <w:rPr>
          <w:rFonts w:ascii="Times New Roman" w:cs="Times New Roman"/>
          <w:color w:val="000000" w:themeColor="text1"/>
        </w:rPr>
        <w:t>。</w:t>
      </w:r>
    </w:p>
    <w:p w14:paraId="5D68D169" w14:textId="15C4BA10" w:rsidR="00B0005F" w:rsidRPr="008A2411" w:rsidRDefault="00000000">
      <w:pPr>
        <w:adjustRightInd w:val="0"/>
        <w:snapToGrid w:val="0"/>
        <w:spacing w:line="360" w:lineRule="auto"/>
        <w:ind w:firstLineChars="200" w:firstLine="480"/>
        <w:rPr>
          <w:rFonts w:ascii="Times New Roman"/>
          <w:color w:val="000000" w:themeColor="text1"/>
          <w:kern w:val="2"/>
          <w:szCs w:val="24"/>
        </w:rPr>
      </w:pPr>
      <w:r w:rsidRPr="008A2411">
        <w:rPr>
          <w:rFonts w:ascii="Times New Roman"/>
          <w:color w:val="000000" w:themeColor="text1"/>
          <w:kern w:val="2"/>
          <w:szCs w:val="24"/>
        </w:rPr>
        <w:t>经核算，本项目</w:t>
      </w:r>
      <w:r w:rsidRPr="008A2411">
        <w:rPr>
          <w:rFonts w:ascii="Times New Roman"/>
          <w:color w:val="000000" w:themeColor="text1"/>
          <w:szCs w:val="24"/>
        </w:rPr>
        <w:t>进口分离器废水产生量为</w:t>
      </w:r>
      <w:r w:rsidRPr="008A2411">
        <w:rPr>
          <w:rFonts w:ascii="Times New Roman"/>
          <w:color w:val="000000" w:themeColor="text1"/>
          <w:szCs w:val="24"/>
        </w:rPr>
        <w:t>0.2m</w:t>
      </w:r>
      <w:r w:rsidRPr="008A2411">
        <w:rPr>
          <w:rFonts w:ascii="Times New Roman"/>
          <w:color w:val="000000" w:themeColor="text1"/>
          <w:szCs w:val="24"/>
          <w:vertAlign w:val="superscript"/>
        </w:rPr>
        <w:t>3</w:t>
      </w:r>
      <w:r w:rsidRPr="008A2411">
        <w:rPr>
          <w:rFonts w:ascii="Times New Roman"/>
          <w:color w:val="000000" w:themeColor="text1"/>
          <w:szCs w:val="24"/>
        </w:rPr>
        <w:t>/d</w:t>
      </w:r>
      <w:r w:rsidRPr="008A2411">
        <w:rPr>
          <w:rFonts w:ascii="Times New Roman"/>
          <w:color w:val="000000" w:themeColor="text1"/>
          <w:szCs w:val="24"/>
        </w:rPr>
        <w:t>，</w:t>
      </w:r>
      <w:r w:rsidRPr="008A2411">
        <w:rPr>
          <w:rFonts w:ascii="Times New Roman"/>
          <w:color w:val="000000" w:themeColor="text1"/>
          <w:kern w:val="2"/>
          <w:szCs w:val="24"/>
        </w:rPr>
        <w:t>脱水再生器冷却器凝液</w:t>
      </w:r>
      <w:r w:rsidRPr="008A2411">
        <w:rPr>
          <w:rFonts w:ascii="Times New Roman"/>
          <w:color w:val="000000" w:themeColor="text1"/>
          <w:szCs w:val="24"/>
        </w:rPr>
        <w:t>产生量为</w:t>
      </w:r>
      <w:r w:rsidRPr="008A2411">
        <w:rPr>
          <w:rFonts w:ascii="Times New Roman"/>
          <w:color w:val="000000" w:themeColor="text1"/>
          <w:szCs w:val="24"/>
        </w:rPr>
        <w:t>1.2m</w:t>
      </w:r>
      <w:r w:rsidRPr="008A2411">
        <w:rPr>
          <w:rFonts w:ascii="Times New Roman"/>
          <w:color w:val="000000" w:themeColor="text1"/>
          <w:szCs w:val="24"/>
          <w:vertAlign w:val="superscript"/>
        </w:rPr>
        <w:t>3</w:t>
      </w:r>
      <w:r w:rsidRPr="008A2411">
        <w:rPr>
          <w:rFonts w:ascii="Times New Roman"/>
          <w:color w:val="000000" w:themeColor="text1"/>
          <w:szCs w:val="24"/>
        </w:rPr>
        <w:t>/d</w:t>
      </w:r>
      <w:r w:rsidRPr="008A2411">
        <w:rPr>
          <w:rFonts w:ascii="Times New Roman"/>
          <w:color w:val="000000" w:themeColor="text1"/>
          <w:szCs w:val="24"/>
        </w:rPr>
        <w:t>，</w:t>
      </w:r>
      <w:r w:rsidRPr="008A2411">
        <w:rPr>
          <w:rFonts w:ascii="Times New Roman"/>
          <w:color w:val="000000" w:themeColor="text1"/>
          <w:kern w:val="2"/>
          <w:szCs w:val="24"/>
        </w:rPr>
        <w:t>脱盐水装置排水</w:t>
      </w:r>
      <w:r w:rsidRPr="008A2411">
        <w:rPr>
          <w:rFonts w:ascii="Times New Roman"/>
          <w:color w:val="000000" w:themeColor="text1"/>
          <w:szCs w:val="24"/>
        </w:rPr>
        <w:t>产生量为</w:t>
      </w:r>
      <w:r w:rsidRPr="008A2411">
        <w:rPr>
          <w:rFonts w:ascii="Times New Roman"/>
          <w:color w:val="000000" w:themeColor="text1"/>
          <w:szCs w:val="24"/>
        </w:rPr>
        <w:t>80.7m</w:t>
      </w:r>
      <w:r w:rsidRPr="008A2411">
        <w:rPr>
          <w:rFonts w:ascii="Times New Roman"/>
          <w:color w:val="000000" w:themeColor="text1"/>
          <w:szCs w:val="24"/>
          <w:vertAlign w:val="superscript"/>
        </w:rPr>
        <w:t>3</w:t>
      </w:r>
      <w:r w:rsidRPr="008A2411">
        <w:rPr>
          <w:rFonts w:ascii="Times New Roman"/>
          <w:color w:val="000000" w:themeColor="text1"/>
          <w:szCs w:val="24"/>
        </w:rPr>
        <w:t>/d</w:t>
      </w:r>
      <w:r w:rsidRPr="008A2411">
        <w:rPr>
          <w:rFonts w:ascii="Times New Roman"/>
          <w:color w:val="000000" w:themeColor="text1"/>
          <w:szCs w:val="24"/>
        </w:rPr>
        <w:t>，</w:t>
      </w:r>
      <w:r w:rsidRPr="008A2411">
        <w:rPr>
          <w:rFonts w:ascii="Times New Roman"/>
          <w:color w:val="000000" w:themeColor="text1"/>
          <w:kern w:val="2"/>
          <w:szCs w:val="24"/>
        </w:rPr>
        <w:t>软化水装置排水量为</w:t>
      </w:r>
      <w:r w:rsidRPr="008A2411">
        <w:rPr>
          <w:rFonts w:ascii="Times New Roman"/>
          <w:color w:val="000000" w:themeColor="text1"/>
          <w:szCs w:val="24"/>
        </w:rPr>
        <w:t>312m</w:t>
      </w:r>
      <w:r w:rsidRPr="008A2411">
        <w:rPr>
          <w:rFonts w:ascii="Times New Roman"/>
          <w:color w:val="000000" w:themeColor="text1"/>
          <w:szCs w:val="24"/>
          <w:vertAlign w:val="superscript"/>
        </w:rPr>
        <w:t>3</w:t>
      </w:r>
      <w:r w:rsidRPr="008A2411">
        <w:rPr>
          <w:rFonts w:ascii="Times New Roman"/>
          <w:color w:val="000000" w:themeColor="text1"/>
          <w:szCs w:val="24"/>
        </w:rPr>
        <w:t>/d</w:t>
      </w:r>
      <w:r w:rsidRPr="008A2411">
        <w:rPr>
          <w:rFonts w:ascii="Times New Roman"/>
          <w:color w:val="000000" w:themeColor="text1"/>
          <w:szCs w:val="24"/>
        </w:rPr>
        <w:t>，生活污水产生量为</w:t>
      </w:r>
      <w:r w:rsidR="00AD4824" w:rsidRPr="008A2411">
        <w:rPr>
          <w:rFonts w:ascii="Times New Roman" w:hint="eastAsia"/>
          <w:color w:val="000000" w:themeColor="text1"/>
          <w:szCs w:val="24"/>
        </w:rPr>
        <w:t>10.25</w:t>
      </w:r>
      <w:r w:rsidRPr="008A2411">
        <w:rPr>
          <w:rFonts w:ascii="Times New Roman"/>
          <w:color w:val="000000" w:themeColor="text1"/>
          <w:szCs w:val="24"/>
        </w:rPr>
        <w:t>m</w:t>
      </w:r>
      <w:r w:rsidRPr="008A2411">
        <w:rPr>
          <w:rFonts w:ascii="Times New Roman"/>
          <w:color w:val="000000" w:themeColor="text1"/>
          <w:szCs w:val="24"/>
          <w:vertAlign w:val="superscript"/>
        </w:rPr>
        <w:t>3</w:t>
      </w:r>
      <w:r w:rsidRPr="008A2411">
        <w:rPr>
          <w:rFonts w:ascii="Times New Roman"/>
          <w:color w:val="000000" w:themeColor="text1"/>
          <w:szCs w:val="24"/>
        </w:rPr>
        <w:t>/d</w:t>
      </w:r>
      <w:r w:rsidRPr="008A2411">
        <w:rPr>
          <w:rFonts w:ascii="Times New Roman"/>
          <w:color w:val="000000" w:themeColor="text1"/>
          <w:szCs w:val="24"/>
        </w:rPr>
        <w:t>，上述废水合计产生量为</w:t>
      </w:r>
      <w:r w:rsidRPr="008A2411">
        <w:rPr>
          <w:rFonts w:ascii="Times New Roman"/>
          <w:color w:val="000000" w:themeColor="text1"/>
          <w:szCs w:val="24"/>
        </w:rPr>
        <w:t>406.16t/d</w:t>
      </w:r>
      <w:r w:rsidRPr="008A2411">
        <w:rPr>
          <w:rFonts w:ascii="Times New Roman"/>
          <w:color w:val="000000" w:themeColor="text1"/>
          <w:szCs w:val="24"/>
        </w:rPr>
        <w:t>。此外</w:t>
      </w:r>
      <w:r w:rsidRPr="008A2411">
        <w:rPr>
          <w:rFonts w:ascii="Times New Roman"/>
          <w:color w:val="000000" w:themeColor="text1"/>
          <w:sz w:val="21"/>
          <w:szCs w:val="21"/>
        </w:rPr>
        <w:t>，</w:t>
      </w:r>
      <w:r w:rsidRPr="008A2411">
        <w:rPr>
          <w:rFonts w:ascii="Times New Roman"/>
          <w:color w:val="000000" w:themeColor="text1"/>
          <w:kern w:val="2"/>
          <w:szCs w:val="24"/>
        </w:rPr>
        <w:t>初期雨水产生量约</w:t>
      </w:r>
      <w:r w:rsidRPr="008A2411">
        <w:rPr>
          <w:rFonts w:ascii="Times New Roman"/>
          <w:color w:val="000000" w:themeColor="text1"/>
          <w:szCs w:val="24"/>
        </w:rPr>
        <w:t>178.2m</w:t>
      </w:r>
      <w:r w:rsidRPr="008A2411">
        <w:rPr>
          <w:rFonts w:ascii="Times New Roman"/>
          <w:color w:val="000000" w:themeColor="text1"/>
          <w:szCs w:val="24"/>
          <w:vertAlign w:val="superscript"/>
        </w:rPr>
        <w:t>3</w:t>
      </w:r>
      <w:r w:rsidRPr="008A2411">
        <w:rPr>
          <w:rFonts w:ascii="Times New Roman"/>
          <w:color w:val="000000" w:themeColor="text1"/>
          <w:kern w:val="2"/>
          <w:szCs w:val="24"/>
        </w:rPr>
        <w:t>，上述废水均</w:t>
      </w:r>
      <w:r w:rsidRPr="008A2411">
        <w:rPr>
          <w:rFonts w:ascii="Times New Roman"/>
          <w:color w:val="000000" w:themeColor="text1"/>
        </w:rPr>
        <w:t>排入厂区污水处理系统，经处理达到《污水综合排放标准》</w:t>
      </w:r>
      <w:r w:rsidRPr="008A2411">
        <w:rPr>
          <w:rFonts w:ascii="Times New Roman"/>
          <w:color w:val="000000" w:themeColor="text1"/>
        </w:rPr>
        <w:t>GB8978-1996</w:t>
      </w:r>
      <w:proofErr w:type="gramStart"/>
      <w:r w:rsidRPr="008A2411">
        <w:rPr>
          <w:rFonts w:ascii="Times New Roman"/>
          <w:color w:val="000000" w:themeColor="text1"/>
        </w:rPr>
        <w:t>三</w:t>
      </w:r>
      <w:proofErr w:type="gramEnd"/>
      <w:r w:rsidRPr="008A2411">
        <w:rPr>
          <w:rFonts w:ascii="Times New Roman"/>
          <w:color w:val="000000" w:themeColor="text1"/>
        </w:rPr>
        <w:t>级标准，排入园区污水处理厂，最终由宣汉县普光工业园区污水处理厂处理达标后排放。</w:t>
      </w:r>
    </w:p>
    <w:p w14:paraId="19367ECA" w14:textId="77777777" w:rsidR="00B0005F" w:rsidRPr="008A2411" w:rsidRDefault="00000000">
      <w:pPr>
        <w:pStyle w:val="L-"/>
        <w:numPr>
          <w:ilvl w:val="0"/>
          <w:numId w:val="19"/>
        </w:numPr>
        <w:adjustRightInd w:val="0"/>
        <w:spacing w:line="360" w:lineRule="auto"/>
        <w:rPr>
          <w:rFonts w:ascii="Times New Roman" w:cs="Times New Roman"/>
          <w:color w:val="000000" w:themeColor="text1"/>
          <w:szCs w:val="20"/>
          <w:shd w:val="clear" w:color="auto" w:fill="auto"/>
        </w:rPr>
      </w:pPr>
      <w:r w:rsidRPr="008A2411">
        <w:rPr>
          <w:rFonts w:ascii="Times New Roman" w:cs="Times New Roman"/>
          <w:color w:val="000000" w:themeColor="text1"/>
          <w:szCs w:val="20"/>
          <w:shd w:val="clear" w:color="auto" w:fill="auto"/>
        </w:rPr>
        <w:t>固体废物排放清单</w:t>
      </w:r>
    </w:p>
    <w:p w14:paraId="5AAAD676"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本项目运营期产生的固</w:t>
      </w:r>
      <w:proofErr w:type="gramStart"/>
      <w:r w:rsidRPr="008A2411">
        <w:rPr>
          <w:rFonts w:ascii="Times New Roman" w:hAnsi="Times New Roman"/>
          <w:color w:val="000000" w:themeColor="text1"/>
        </w:rPr>
        <w:t>废主要</w:t>
      </w:r>
      <w:proofErr w:type="gramEnd"/>
      <w:r w:rsidRPr="008A2411">
        <w:rPr>
          <w:rFonts w:ascii="Times New Roman" w:hAnsi="Times New Roman"/>
          <w:color w:val="000000" w:themeColor="text1"/>
        </w:rPr>
        <w:t>包括废分子筛、废机油、脱水单元冷凝液在再生工段分期装置产生的含油废液废活性炭、化验间残液及过滤装置滤渣等，以及值守人员产生的生活垃圾。固废排放清单见表</w:t>
      </w:r>
      <w:r w:rsidRPr="008A2411">
        <w:rPr>
          <w:rFonts w:ascii="Times New Roman" w:hAnsi="Times New Roman"/>
          <w:color w:val="000000" w:themeColor="text1"/>
        </w:rPr>
        <w:t>9.3-2</w:t>
      </w:r>
      <w:r w:rsidRPr="008A2411">
        <w:rPr>
          <w:rFonts w:ascii="Times New Roman" w:hAnsi="Times New Roman"/>
          <w:color w:val="000000" w:themeColor="text1"/>
        </w:rPr>
        <w:t>。</w:t>
      </w:r>
    </w:p>
    <w:p w14:paraId="66F246DB" w14:textId="77777777" w:rsidR="00B0005F" w:rsidRPr="008A2411" w:rsidRDefault="00B0005F">
      <w:pPr>
        <w:pStyle w:val="affff3"/>
        <w:adjustRightInd w:val="0"/>
        <w:spacing w:before="0" w:after="0"/>
        <w:outlineLvl w:val="9"/>
        <w:rPr>
          <w:rFonts w:ascii="Times New Roman" w:eastAsia="黑体" w:hAnsi="Times New Roman" w:cs="Times New Roman"/>
          <w:b w:val="0"/>
          <w:bCs w:val="0"/>
          <w:color w:val="000000" w:themeColor="text1"/>
          <w:kern w:val="0"/>
          <w:sz w:val="24"/>
          <w:szCs w:val="24"/>
          <w:shd w:val="clear" w:color="auto" w:fill="FFFFFF"/>
          <w:lang w:val="zh-CN"/>
        </w:rPr>
      </w:pPr>
      <w:bookmarkStart w:id="790" w:name="_Toc22638"/>
      <w:bookmarkStart w:id="791" w:name="_Toc3837"/>
    </w:p>
    <w:p w14:paraId="77951F2A" w14:textId="77777777" w:rsidR="00B0005F" w:rsidRPr="008A2411" w:rsidRDefault="00000000">
      <w:pPr>
        <w:pStyle w:val="affff3"/>
        <w:adjustRightInd w:val="0"/>
        <w:spacing w:before="0" w:after="0"/>
        <w:outlineLvl w:val="9"/>
        <w:rPr>
          <w:rFonts w:ascii="Times New Roman" w:eastAsia="黑体" w:hAnsi="Times New Roman" w:cs="Times New Roman"/>
          <w:b w:val="0"/>
          <w:bCs w:val="0"/>
          <w:color w:val="000000" w:themeColor="text1"/>
          <w:kern w:val="0"/>
          <w:sz w:val="24"/>
          <w:szCs w:val="24"/>
          <w:shd w:val="clear" w:color="auto" w:fill="FFFFFF"/>
          <w:lang w:val="zh-CN"/>
        </w:rPr>
      </w:pPr>
      <w:bookmarkStart w:id="792" w:name="_Toc29590"/>
      <w:bookmarkStart w:id="793" w:name="_Toc29810"/>
      <w:r w:rsidRPr="008A2411">
        <w:rPr>
          <w:rFonts w:ascii="Times New Roman" w:eastAsia="黑体" w:hAnsi="Times New Roman" w:cs="Times New Roman"/>
          <w:b w:val="0"/>
          <w:bCs w:val="0"/>
          <w:color w:val="000000" w:themeColor="text1"/>
          <w:kern w:val="0"/>
          <w:sz w:val="24"/>
          <w:szCs w:val="24"/>
          <w:shd w:val="clear" w:color="auto" w:fill="FFFFFF"/>
          <w:lang w:val="zh-CN"/>
        </w:rPr>
        <w:lastRenderedPageBreak/>
        <w:t>表</w:t>
      </w:r>
      <w:r w:rsidRPr="008A2411">
        <w:rPr>
          <w:rFonts w:ascii="Times New Roman" w:eastAsia="黑体" w:hAnsi="Times New Roman" w:cs="Times New Roman"/>
          <w:b w:val="0"/>
          <w:bCs w:val="0"/>
          <w:color w:val="000000" w:themeColor="text1"/>
          <w:kern w:val="0"/>
          <w:sz w:val="24"/>
          <w:szCs w:val="24"/>
          <w:shd w:val="clear" w:color="auto" w:fill="FFFFFF"/>
        </w:rPr>
        <w:t>9.3</w:t>
      </w:r>
      <w:r w:rsidRPr="008A2411">
        <w:rPr>
          <w:rFonts w:ascii="Times New Roman" w:eastAsia="黑体" w:hAnsi="Times New Roman" w:cs="Times New Roman"/>
          <w:b w:val="0"/>
          <w:bCs w:val="0"/>
          <w:color w:val="000000" w:themeColor="text1"/>
          <w:kern w:val="0"/>
          <w:sz w:val="24"/>
          <w:szCs w:val="24"/>
          <w:shd w:val="clear" w:color="auto" w:fill="FFFFFF"/>
          <w:lang w:val="zh-CN"/>
        </w:rPr>
        <w:t>-2</w:t>
      </w:r>
      <w:r w:rsidRPr="008A2411">
        <w:rPr>
          <w:rFonts w:ascii="Times New Roman" w:eastAsia="黑体" w:hAnsi="Times New Roman" w:cs="Times New Roman"/>
          <w:b w:val="0"/>
          <w:bCs w:val="0"/>
          <w:color w:val="000000" w:themeColor="text1"/>
          <w:kern w:val="0"/>
          <w:sz w:val="24"/>
          <w:szCs w:val="24"/>
          <w:shd w:val="clear" w:color="auto" w:fill="FFFFFF"/>
          <w:lang w:val="zh-CN"/>
        </w:rPr>
        <w:t>固体废物排放清单</w:t>
      </w:r>
      <w:bookmarkEnd w:id="790"/>
      <w:bookmarkEnd w:id="791"/>
      <w:bookmarkEnd w:id="792"/>
      <w:bookmarkEnd w:id="793"/>
    </w:p>
    <w:tbl>
      <w:tblPr>
        <w:tblW w:w="7974" w:type="dxa"/>
        <w:jc w:val="center"/>
        <w:tblBorders>
          <w:top w:val="single" w:sz="4" w:space="0" w:color="auto"/>
          <w:left w:val="single" w:sz="4" w:space="0" w:color="auto"/>
          <w:bottom w:val="single" w:sz="4" w:space="0" w:color="auto"/>
          <w:right w:val="single" w:sz="4" w:space="0" w:color="auto"/>
          <w:insideH w:val="single" w:sz="2" w:space="0" w:color="auto"/>
          <w:insideV w:val="single" w:sz="2" w:space="0" w:color="auto"/>
        </w:tblBorders>
        <w:tblLayout w:type="fixed"/>
        <w:tblCellMar>
          <w:left w:w="28" w:type="dxa"/>
          <w:right w:w="28" w:type="dxa"/>
        </w:tblCellMar>
        <w:tblLook w:val="04A0" w:firstRow="1" w:lastRow="0" w:firstColumn="1" w:lastColumn="0" w:noHBand="0" w:noVBand="1"/>
      </w:tblPr>
      <w:tblGrid>
        <w:gridCol w:w="622"/>
        <w:gridCol w:w="1647"/>
        <w:gridCol w:w="992"/>
        <w:gridCol w:w="1129"/>
        <w:gridCol w:w="2025"/>
        <w:gridCol w:w="1559"/>
      </w:tblGrid>
      <w:tr w:rsidR="008A2411" w:rsidRPr="008A2411" w14:paraId="0EB8CE85" w14:textId="77777777" w:rsidTr="00DD53AE">
        <w:trPr>
          <w:trHeight w:val="454"/>
          <w:tblHeader/>
          <w:jc w:val="center"/>
        </w:trPr>
        <w:tc>
          <w:tcPr>
            <w:tcW w:w="622" w:type="dxa"/>
            <w:vAlign w:val="center"/>
          </w:tcPr>
          <w:p w14:paraId="058213E5" w14:textId="77777777" w:rsidR="00A7311D" w:rsidRPr="008A2411" w:rsidRDefault="00A7311D" w:rsidP="00DD53AE">
            <w:pPr>
              <w:jc w:val="center"/>
              <w:rPr>
                <w:rFonts w:ascii="Times New Roman"/>
                <w:b/>
                <w:color w:val="000000" w:themeColor="text1"/>
                <w:kern w:val="2"/>
                <w:sz w:val="21"/>
                <w:szCs w:val="21"/>
              </w:rPr>
            </w:pPr>
            <w:r w:rsidRPr="008A2411">
              <w:rPr>
                <w:rFonts w:ascii="Times New Roman"/>
                <w:b/>
                <w:color w:val="000000" w:themeColor="text1"/>
                <w:kern w:val="2"/>
                <w:sz w:val="21"/>
                <w:szCs w:val="21"/>
              </w:rPr>
              <w:t>序号</w:t>
            </w:r>
          </w:p>
        </w:tc>
        <w:tc>
          <w:tcPr>
            <w:tcW w:w="1647" w:type="dxa"/>
            <w:vAlign w:val="center"/>
          </w:tcPr>
          <w:p w14:paraId="6A41FBC6" w14:textId="77777777" w:rsidR="00A7311D" w:rsidRPr="008A2411" w:rsidRDefault="00A7311D" w:rsidP="00DD53AE">
            <w:pPr>
              <w:jc w:val="center"/>
              <w:rPr>
                <w:rFonts w:ascii="Times New Roman"/>
                <w:b/>
                <w:color w:val="000000" w:themeColor="text1"/>
                <w:kern w:val="2"/>
                <w:sz w:val="21"/>
                <w:szCs w:val="21"/>
              </w:rPr>
            </w:pPr>
            <w:r w:rsidRPr="008A2411">
              <w:rPr>
                <w:rFonts w:ascii="Times New Roman"/>
                <w:b/>
                <w:color w:val="000000" w:themeColor="text1"/>
                <w:kern w:val="2"/>
                <w:sz w:val="21"/>
                <w:szCs w:val="21"/>
              </w:rPr>
              <w:t>产生源</w:t>
            </w:r>
          </w:p>
        </w:tc>
        <w:tc>
          <w:tcPr>
            <w:tcW w:w="992" w:type="dxa"/>
            <w:vAlign w:val="center"/>
          </w:tcPr>
          <w:p w14:paraId="0064D4FE" w14:textId="77777777" w:rsidR="00A7311D" w:rsidRPr="008A2411" w:rsidRDefault="00A7311D" w:rsidP="00DD53AE">
            <w:pPr>
              <w:jc w:val="center"/>
              <w:rPr>
                <w:rFonts w:ascii="Times New Roman"/>
                <w:b/>
                <w:color w:val="000000" w:themeColor="text1"/>
                <w:kern w:val="2"/>
                <w:sz w:val="21"/>
                <w:szCs w:val="21"/>
              </w:rPr>
            </w:pPr>
            <w:r w:rsidRPr="008A2411">
              <w:rPr>
                <w:rFonts w:ascii="Times New Roman"/>
                <w:b/>
                <w:color w:val="000000" w:themeColor="text1"/>
                <w:kern w:val="2"/>
                <w:sz w:val="21"/>
                <w:szCs w:val="21"/>
              </w:rPr>
              <w:t>污染物</w:t>
            </w:r>
          </w:p>
        </w:tc>
        <w:tc>
          <w:tcPr>
            <w:tcW w:w="1129" w:type="dxa"/>
            <w:vAlign w:val="center"/>
          </w:tcPr>
          <w:p w14:paraId="374BC3A1" w14:textId="77777777" w:rsidR="00A7311D" w:rsidRPr="008A2411" w:rsidRDefault="00A7311D" w:rsidP="00DD53AE">
            <w:pPr>
              <w:jc w:val="center"/>
              <w:rPr>
                <w:rFonts w:ascii="Times New Roman"/>
                <w:b/>
                <w:color w:val="000000" w:themeColor="text1"/>
                <w:kern w:val="2"/>
                <w:sz w:val="21"/>
                <w:szCs w:val="21"/>
              </w:rPr>
            </w:pPr>
            <w:r w:rsidRPr="008A2411">
              <w:rPr>
                <w:rFonts w:ascii="Times New Roman"/>
                <w:b/>
                <w:color w:val="000000" w:themeColor="text1"/>
                <w:kern w:val="2"/>
                <w:sz w:val="21"/>
                <w:szCs w:val="21"/>
              </w:rPr>
              <w:t>年产生量</w:t>
            </w:r>
          </w:p>
        </w:tc>
        <w:tc>
          <w:tcPr>
            <w:tcW w:w="2025" w:type="dxa"/>
            <w:vAlign w:val="center"/>
          </w:tcPr>
          <w:p w14:paraId="709CC989" w14:textId="77777777" w:rsidR="00A7311D" w:rsidRPr="008A2411" w:rsidRDefault="00A7311D" w:rsidP="00DD53AE">
            <w:pPr>
              <w:jc w:val="center"/>
              <w:rPr>
                <w:rFonts w:ascii="Times New Roman"/>
                <w:b/>
                <w:color w:val="000000" w:themeColor="text1"/>
                <w:kern w:val="2"/>
                <w:sz w:val="21"/>
                <w:szCs w:val="21"/>
              </w:rPr>
            </w:pPr>
            <w:r w:rsidRPr="008A2411">
              <w:rPr>
                <w:rFonts w:ascii="Times New Roman"/>
                <w:b/>
                <w:color w:val="000000" w:themeColor="text1"/>
                <w:kern w:val="2"/>
                <w:sz w:val="21"/>
                <w:szCs w:val="21"/>
              </w:rPr>
              <w:t>固</w:t>
            </w:r>
            <w:proofErr w:type="gramStart"/>
            <w:r w:rsidRPr="008A2411">
              <w:rPr>
                <w:rFonts w:ascii="Times New Roman"/>
                <w:b/>
                <w:color w:val="000000" w:themeColor="text1"/>
                <w:kern w:val="2"/>
                <w:sz w:val="21"/>
                <w:szCs w:val="21"/>
              </w:rPr>
              <w:t>废性质</w:t>
            </w:r>
            <w:proofErr w:type="gramEnd"/>
          </w:p>
        </w:tc>
        <w:tc>
          <w:tcPr>
            <w:tcW w:w="1559" w:type="dxa"/>
            <w:vAlign w:val="center"/>
          </w:tcPr>
          <w:p w14:paraId="49EC7106" w14:textId="77777777" w:rsidR="00A7311D" w:rsidRPr="008A2411" w:rsidRDefault="00A7311D" w:rsidP="00DD53AE">
            <w:pPr>
              <w:jc w:val="center"/>
              <w:rPr>
                <w:rFonts w:ascii="Times New Roman"/>
                <w:b/>
                <w:color w:val="000000" w:themeColor="text1"/>
                <w:kern w:val="2"/>
                <w:sz w:val="21"/>
                <w:szCs w:val="21"/>
              </w:rPr>
            </w:pPr>
            <w:r w:rsidRPr="008A2411">
              <w:rPr>
                <w:rFonts w:ascii="Times New Roman"/>
                <w:b/>
                <w:color w:val="000000" w:themeColor="text1"/>
                <w:kern w:val="2"/>
                <w:sz w:val="21"/>
                <w:szCs w:val="21"/>
              </w:rPr>
              <w:t>治理措施</w:t>
            </w:r>
          </w:p>
        </w:tc>
      </w:tr>
      <w:tr w:rsidR="008A2411" w:rsidRPr="008A2411" w14:paraId="07B92956" w14:textId="77777777" w:rsidTr="00DD53AE">
        <w:trPr>
          <w:trHeight w:val="454"/>
          <w:jc w:val="center"/>
        </w:trPr>
        <w:tc>
          <w:tcPr>
            <w:tcW w:w="622" w:type="dxa"/>
            <w:vAlign w:val="center"/>
          </w:tcPr>
          <w:p w14:paraId="62D787E6" w14:textId="77777777" w:rsidR="00A7311D" w:rsidRPr="008A2411" w:rsidRDefault="00A7311D" w:rsidP="00DD53AE">
            <w:pPr>
              <w:jc w:val="center"/>
              <w:rPr>
                <w:rFonts w:ascii="Times New Roman"/>
                <w:color w:val="000000" w:themeColor="text1"/>
                <w:kern w:val="2"/>
                <w:sz w:val="21"/>
                <w:szCs w:val="21"/>
              </w:rPr>
            </w:pPr>
            <w:r w:rsidRPr="008A2411">
              <w:rPr>
                <w:rFonts w:ascii="Times New Roman"/>
                <w:color w:val="000000" w:themeColor="text1"/>
                <w:kern w:val="2"/>
                <w:sz w:val="21"/>
                <w:szCs w:val="21"/>
              </w:rPr>
              <w:t>1</w:t>
            </w:r>
          </w:p>
        </w:tc>
        <w:tc>
          <w:tcPr>
            <w:tcW w:w="1647" w:type="dxa"/>
            <w:vAlign w:val="center"/>
          </w:tcPr>
          <w:p w14:paraId="01857C9E" w14:textId="77777777" w:rsidR="00A7311D" w:rsidRPr="008A2411" w:rsidRDefault="00A7311D" w:rsidP="00DD53AE">
            <w:pPr>
              <w:jc w:val="center"/>
              <w:rPr>
                <w:rFonts w:ascii="Times New Roman"/>
                <w:color w:val="000000" w:themeColor="text1"/>
                <w:kern w:val="2"/>
                <w:sz w:val="21"/>
                <w:szCs w:val="21"/>
              </w:rPr>
            </w:pPr>
            <w:r w:rsidRPr="008A2411">
              <w:rPr>
                <w:rFonts w:ascii="Times New Roman"/>
                <w:color w:val="000000" w:themeColor="text1"/>
                <w:kern w:val="2"/>
                <w:sz w:val="21"/>
                <w:szCs w:val="21"/>
                <w:lang w:val="zh-CN"/>
              </w:rPr>
              <w:t>污水处理站</w:t>
            </w:r>
          </w:p>
        </w:tc>
        <w:tc>
          <w:tcPr>
            <w:tcW w:w="992" w:type="dxa"/>
            <w:vAlign w:val="center"/>
          </w:tcPr>
          <w:p w14:paraId="790A68C0" w14:textId="77777777" w:rsidR="00A7311D" w:rsidRPr="008A2411" w:rsidRDefault="00A7311D" w:rsidP="00DD53AE">
            <w:pPr>
              <w:autoSpaceDE w:val="0"/>
              <w:autoSpaceDN w:val="0"/>
              <w:jc w:val="center"/>
              <w:rPr>
                <w:rFonts w:ascii="Times New Roman"/>
                <w:color w:val="000000" w:themeColor="text1"/>
                <w:kern w:val="2"/>
                <w:sz w:val="21"/>
                <w:szCs w:val="21"/>
                <w:lang w:val="zh-CN"/>
              </w:rPr>
            </w:pPr>
            <w:r w:rsidRPr="008A2411">
              <w:rPr>
                <w:rFonts w:ascii="Times New Roman"/>
                <w:color w:val="000000" w:themeColor="text1"/>
                <w:kern w:val="2"/>
                <w:sz w:val="21"/>
                <w:szCs w:val="21"/>
                <w:lang w:val="zh-CN"/>
              </w:rPr>
              <w:t>污泥</w:t>
            </w:r>
          </w:p>
        </w:tc>
        <w:tc>
          <w:tcPr>
            <w:tcW w:w="1129" w:type="dxa"/>
            <w:vAlign w:val="center"/>
          </w:tcPr>
          <w:p w14:paraId="1F61862A" w14:textId="77777777" w:rsidR="00A7311D" w:rsidRPr="008A2411" w:rsidRDefault="00A7311D" w:rsidP="00DD53AE">
            <w:pPr>
              <w:jc w:val="center"/>
              <w:textAlignment w:val="baseline"/>
              <w:rPr>
                <w:rFonts w:ascii="Times New Roman"/>
                <w:color w:val="000000" w:themeColor="text1"/>
                <w:kern w:val="24"/>
                <w:sz w:val="21"/>
                <w:szCs w:val="21"/>
              </w:rPr>
            </w:pPr>
            <w:r w:rsidRPr="008A2411">
              <w:rPr>
                <w:rFonts w:ascii="Times New Roman"/>
                <w:color w:val="000000" w:themeColor="text1"/>
                <w:kern w:val="24"/>
                <w:sz w:val="21"/>
                <w:szCs w:val="21"/>
              </w:rPr>
              <w:t>73t/a</w:t>
            </w:r>
          </w:p>
        </w:tc>
        <w:tc>
          <w:tcPr>
            <w:tcW w:w="2025" w:type="dxa"/>
            <w:vMerge w:val="restart"/>
            <w:vAlign w:val="center"/>
          </w:tcPr>
          <w:p w14:paraId="7B64B45F" w14:textId="77777777" w:rsidR="00A7311D" w:rsidRPr="008A2411" w:rsidRDefault="00A7311D" w:rsidP="00DD53AE">
            <w:pPr>
              <w:jc w:val="center"/>
              <w:rPr>
                <w:rFonts w:ascii="Times New Roman"/>
                <w:color w:val="000000" w:themeColor="text1"/>
                <w:kern w:val="2"/>
                <w:sz w:val="21"/>
                <w:szCs w:val="21"/>
              </w:rPr>
            </w:pPr>
            <w:r w:rsidRPr="008A2411">
              <w:rPr>
                <w:rFonts w:ascii="Times New Roman"/>
                <w:color w:val="000000" w:themeColor="text1"/>
                <w:kern w:val="2"/>
                <w:sz w:val="21"/>
                <w:szCs w:val="21"/>
              </w:rPr>
              <w:t>一般固废</w:t>
            </w:r>
          </w:p>
        </w:tc>
        <w:tc>
          <w:tcPr>
            <w:tcW w:w="1559" w:type="dxa"/>
            <w:vAlign w:val="center"/>
          </w:tcPr>
          <w:p w14:paraId="6168ACC7" w14:textId="77777777" w:rsidR="00A7311D" w:rsidRPr="008A2411" w:rsidRDefault="00A7311D" w:rsidP="00DD53AE">
            <w:pPr>
              <w:jc w:val="center"/>
              <w:rPr>
                <w:rFonts w:ascii="Times New Roman"/>
                <w:color w:val="000000" w:themeColor="text1"/>
                <w:kern w:val="2"/>
                <w:sz w:val="21"/>
                <w:szCs w:val="21"/>
              </w:rPr>
            </w:pPr>
            <w:proofErr w:type="gramStart"/>
            <w:r w:rsidRPr="008A2411">
              <w:rPr>
                <w:rFonts w:ascii="Times New Roman"/>
                <w:color w:val="000000" w:themeColor="text1"/>
                <w:kern w:val="2"/>
                <w:sz w:val="21"/>
                <w:szCs w:val="21"/>
              </w:rPr>
              <w:t>送城市</w:t>
            </w:r>
            <w:proofErr w:type="gramEnd"/>
            <w:r w:rsidRPr="008A2411">
              <w:rPr>
                <w:rFonts w:ascii="Times New Roman"/>
                <w:color w:val="000000" w:themeColor="text1"/>
                <w:kern w:val="2"/>
                <w:sz w:val="21"/>
                <w:szCs w:val="21"/>
              </w:rPr>
              <w:t>生活垃圾填埋场处理</w:t>
            </w:r>
          </w:p>
        </w:tc>
      </w:tr>
      <w:tr w:rsidR="008A2411" w:rsidRPr="008A2411" w14:paraId="537DC50A" w14:textId="77777777" w:rsidTr="00DD53AE">
        <w:trPr>
          <w:trHeight w:val="454"/>
          <w:jc w:val="center"/>
        </w:trPr>
        <w:tc>
          <w:tcPr>
            <w:tcW w:w="622" w:type="dxa"/>
            <w:vAlign w:val="center"/>
          </w:tcPr>
          <w:p w14:paraId="65736FF4" w14:textId="77777777" w:rsidR="00A7311D" w:rsidRPr="008A2411" w:rsidRDefault="00A7311D" w:rsidP="00DD53AE">
            <w:pPr>
              <w:jc w:val="center"/>
              <w:rPr>
                <w:rFonts w:ascii="Times New Roman"/>
                <w:color w:val="000000" w:themeColor="text1"/>
                <w:kern w:val="2"/>
                <w:sz w:val="21"/>
                <w:szCs w:val="21"/>
              </w:rPr>
            </w:pPr>
            <w:r w:rsidRPr="008A2411">
              <w:rPr>
                <w:rFonts w:ascii="Times New Roman"/>
                <w:color w:val="000000" w:themeColor="text1"/>
                <w:kern w:val="2"/>
                <w:sz w:val="21"/>
                <w:szCs w:val="21"/>
              </w:rPr>
              <w:t>2</w:t>
            </w:r>
          </w:p>
        </w:tc>
        <w:tc>
          <w:tcPr>
            <w:tcW w:w="1647" w:type="dxa"/>
            <w:vAlign w:val="center"/>
          </w:tcPr>
          <w:p w14:paraId="189AC7D3" w14:textId="77777777" w:rsidR="00A7311D" w:rsidRPr="008A2411" w:rsidRDefault="00A7311D" w:rsidP="00DD53AE">
            <w:pPr>
              <w:jc w:val="center"/>
              <w:rPr>
                <w:rFonts w:ascii="Times New Roman"/>
                <w:color w:val="000000" w:themeColor="text1"/>
                <w:kern w:val="2"/>
                <w:sz w:val="21"/>
                <w:szCs w:val="21"/>
              </w:rPr>
            </w:pPr>
            <w:r w:rsidRPr="008A2411">
              <w:rPr>
                <w:rFonts w:ascii="Times New Roman"/>
                <w:color w:val="000000" w:themeColor="text1"/>
                <w:kern w:val="2"/>
                <w:sz w:val="21"/>
                <w:szCs w:val="21"/>
              </w:rPr>
              <w:t>员工办公生活</w:t>
            </w:r>
          </w:p>
        </w:tc>
        <w:tc>
          <w:tcPr>
            <w:tcW w:w="992" w:type="dxa"/>
            <w:vAlign w:val="center"/>
          </w:tcPr>
          <w:p w14:paraId="04F09783" w14:textId="77777777" w:rsidR="00A7311D" w:rsidRPr="008A2411" w:rsidRDefault="00A7311D" w:rsidP="00DD53AE">
            <w:pPr>
              <w:autoSpaceDE w:val="0"/>
              <w:autoSpaceDN w:val="0"/>
              <w:jc w:val="center"/>
              <w:rPr>
                <w:rFonts w:ascii="Times New Roman"/>
                <w:color w:val="000000" w:themeColor="text1"/>
                <w:kern w:val="2"/>
                <w:sz w:val="21"/>
                <w:szCs w:val="21"/>
                <w:lang w:val="zh-CN"/>
              </w:rPr>
            </w:pPr>
            <w:r w:rsidRPr="008A2411">
              <w:rPr>
                <w:rFonts w:ascii="Times New Roman"/>
                <w:color w:val="000000" w:themeColor="text1"/>
                <w:kern w:val="2"/>
                <w:sz w:val="21"/>
                <w:szCs w:val="21"/>
                <w:lang w:val="zh-CN"/>
              </w:rPr>
              <w:t>生活垃圾</w:t>
            </w:r>
          </w:p>
        </w:tc>
        <w:tc>
          <w:tcPr>
            <w:tcW w:w="1129" w:type="dxa"/>
            <w:vAlign w:val="center"/>
          </w:tcPr>
          <w:p w14:paraId="1CF1365D" w14:textId="7C4FC607" w:rsidR="00A7311D" w:rsidRPr="008A2411" w:rsidRDefault="00746AEE" w:rsidP="00DD53AE">
            <w:pPr>
              <w:jc w:val="center"/>
              <w:textAlignment w:val="baseline"/>
              <w:rPr>
                <w:rFonts w:ascii="Times New Roman"/>
                <w:color w:val="000000" w:themeColor="text1"/>
                <w:kern w:val="24"/>
                <w:sz w:val="21"/>
                <w:szCs w:val="21"/>
              </w:rPr>
            </w:pPr>
            <w:r>
              <w:rPr>
                <w:rFonts w:ascii="Times New Roman" w:hint="eastAsia"/>
                <w:color w:val="000000" w:themeColor="text1"/>
                <w:kern w:val="24"/>
                <w:sz w:val="21"/>
                <w:szCs w:val="21"/>
              </w:rPr>
              <w:t>110.5</w:t>
            </w:r>
            <w:r w:rsidR="00A7311D" w:rsidRPr="008A2411">
              <w:rPr>
                <w:rFonts w:ascii="Times New Roman"/>
                <w:color w:val="000000" w:themeColor="text1"/>
                <w:kern w:val="24"/>
                <w:sz w:val="21"/>
                <w:szCs w:val="21"/>
              </w:rPr>
              <w:t xml:space="preserve"> t/a</w:t>
            </w:r>
          </w:p>
        </w:tc>
        <w:tc>
          <w:tcPr>
            <w:tcW w:w="2025" w:type="dxa"/>
            <w:vMerge/>
            <w:vAlign w:val="center"/>
          </w:tcPr>
          <w:p w14:paraId="6CBF42FB" w14:textId="77777777" w:rsidR="00A7311D" w:rsidRPr="008A2411" w:rsidRDefault="00A7311D" w:rsidP="00DD53AE">
            <w:pPr>
              <w:jc w:val="center"/>
              <w:rPr>
                <w:rFonts w:ascii="Times New Roman"/>
                <w:color w:val="000000" w:themeColor="text1"/>
                <w:kern w:val="2"/>
                <w:sz w:val="21"/>
                <w:szCs w:val="21"/>
              </w:rPr>
            </w:pPr>
          </w:p>
        </w:tc>
        <w:tc>
          <w:tcPr>
            <w:tcW w:w="1559" w:type="dxa"/>
            <w:vAlign w:val="center"/>
          </w:tcPr>
          <w:p w14:paraId="0079960B" w14:textId="77777777" w:rsidR="00A7311D" w:rsidRPr="008A2411" w:rsidRDefault="00A7311D" w:rsidP="00DD53AE">
            <w:pPr>
              <w:jc w:val="center"/>
              <w:rPr>
                <w:rFonts w:ascii="Times New Roman"/>
                <w:color w:val="000000" w:themeColor="text1"/>
                <w:kern w:val="2"/>
                <w:sz w:val="21"/>
                <w:szCs w:val="21"/>
              </w:rPr>
            </w:pPr>
            <w:r w:rsidRPr="008A2411">
              <w:rPr>
                <w:rFonts w:ascii="Times New Roman"/>
                <w:color w:val="000000" w:themeColor="text1"/>
                <w:kern w:val="2"/>
                <w:sz w:val="21"/>
                <w:szCs w:val="21"/>
              </w:rPr>
              <w:t>由当地环卫部门统一收集处理</w:t>
            </w:r>
          </w:p>
        </w:tc>
      </w:tr>
      <w:tr w:rsidR="008A2411" w:rsidRPr="008A2411" w14:paraId="4DA112E1" w14:textId="77777777" w:rsidTr="00DD53AE">
        <w:trPr>
          <w:trHeight w:val="454"/>
          <w:jc w:val="center"/>
        </w:trPr>
        <w:tc>
          <w:tcPr>
            <w:tcW w:w="622" w:type="dxa"/>
            <w:vAlign w:val="center"/>
          </w:tcPr>
          <w:p w14:paraId="1AFCEE72" w14:textId="77777777" w:rsidR="00A7311D" w:rsidRPr="008A2411" w:rsidRDefault="00A7311D" w:rsidP="00DD53AE">
            <w:pPr>
              <w:jc w:val="center"/>
              <w:rPr>
                <w:rFonts w:ascii="Times New Roman"/>
                <w:color w:val="000000" w:themeColor="text1"/>
                <w:kern w:val="2"/>
                <w:sz w:val="21"/>
                <w:szCs w:val="21"/>
              </w:rPr>
            </w:pPr>
            <w:r w:rsidRPr="008A2411">
              <w:rPr>
                <w:rFonts w:ascii="Times New Roman" w:hint="eastAsia"/>
                <w:color w:val="000000" w:themeColor="text1"/>
                <w:kern w:val="2"/>
                <w:sz w:val="21"/>
                <w:szCs w:val="21"/>
              </w:rPr>
              <w:t>3</w:t>
            </w:r>
          </w:p>
        </w:tc>
        <w:tc>
          <w:tcPr>
            <w:tcW w:w="1647" w:type="dxa"/>
            <w:vAlign w:val="center"/>
          </w:tcPr>
          <w:p w14:paraId="74545A3C" w14:textId="77777777" w:rsidR="00A7311D" w:rsidRPr="008A2411" w:rsidRDefault="00A7311D" w:rsidP="00DD53AE">
            <w:pPr>
              <w:jc w:val="center"/>
              <w:rPr>
                <w:rFonts w:ascii="Times New Roman"/>
                <w:color w:val="000000" w:themeColor="text1"/>
                <w:kern w:val="2"/>
                <w:sz w:val="21"/>
                <w:szCs w:val="21"/>
              </w:rPr>
            </w:pPr>
            <w:r w:rsidRPr="008A2411">
              <w:rPr>
                <w:rFonts w:ascii="Times New Roman" w:hint="eastAsia"/>
                <w:color w:val="000000" w:themeColor="text1"/>
                <w:kern w:val="2"/>
                <w:sz w:val="21"/>
                <w:szCs w:val="21"/>
              </w:rPr>
              <w:t>制氮装置</w:t>
            </w:r>
          </w:p>
        </w:tc>
        <w:tc>
          <w:tcPr>
            <w:tcW w:w="992" w:type="dxa"/>
            <w:vAlign w:val="center"/>
          </w:tcPr>
          <w:p w14:paraId="6316B34B" w14:textId="77777777" w:rsidR="00A7311D" w:rsidRPr="008A2411" w:rsidRDefault="00A7311D" w:rsidP="00DD53AE">
            <w:pPr>
              <w:autoSpaceDE w:val="0"/>
              <w:autoSpaceDN w:val="0"/>
              <w:jc w:val="center"/>
              <w:rPr>
                <w:rFonts w:ascii="Times New Roman"/>
                <w:color w:val="000000" w:themeColor="text1"/>
                <w:kern w:val="2"/>
                <w:sz w:val="21"/>
                <w:szCs w:val="21"/>
                <w:lang w:val="zh-CN"/>
              </w:rPr>
            </w:pPr>
            <w:r w:rsidRPr="008A2411">
              <w:rPr>
                <w:rFonts w:ascii="Times New Roman" w:hint="eastAsia"/>
                <w:color w:val="000000" w:themeColor="text1"/>
                <w:kern w:val="2"/>
                <w:sz w:val="21"/>
                <w:szCs w:val="21"/>
                <w:lang w:val="zh-CN"/>
              </w:rPr>
              <w:t>废过滤器</w:t>
            </w:r>
          </w:p>
        </w:tc>
        <w:tc>
          <w:tcPr>
            <w:tcW w:w="1129" w:type="dxa"/>
            <w:vAlign w:val="center"/>
          </w:tcPr>
          <w:p w14:paraId="78E93C0E" w14:textId="77777777" w:rsidR="00A7311D" w:rsidRPr="008A2411" w:rsidRDefault="00A7311D" w:rsidP="00DD53AE">
            <w:pPr>
              <w:jc w:val="center"/>
              <w:textAlignment w:val="baseline"/>
              <w:rPr>
                <w:rFonts w:ascii="Times New Roman"/>
                <w:color w:val="000000" w:themeColor="text1"/>
                <w:kern w:val="24"/>
                <w:sz w:val="21"/>
                <w:szCs w:val="21"/>
              </w:rPr>
            </w:pPr>
            <w:r w:rsidRPr="008A2411">
              <w:rPr>
                <w:rFonts w:ascii="Times New Roman" w:hint="eastAsia"/>
                <w:color w:val="000000" w:themeColor="text1"/>
                <w:kern w:val="24"/>
                <w:sz w:val="21"/>
                <w:szCs w:val="21"/>
              </w:rPr>
              <w:t>0.1t</w:t>
            </w:r>
            <w:r w:rsidRPr="008A2411">
              <w:rPr>
                <w:rFonts w:ascii="Times New Roman"/>
                <w:color w:val="000000" w:themeColor="text1"/>
                <w:kern w:val="24"/>
                <w:sz w:val="21"/>
                <w:szCs w:val="21"/>
              </w:rPr>
              <w:t>/a</w:t>
            </w:r>
          </w:p>
        </w:tc>
        <w:tc>
          <w:tcPr>
            <w:tcW w:w="2025" w:type="dxa"/>
            <w:vMerge/>
            <w:vAlign w:val="center"/>
          </w:tcPr>
          <w:p w14:paraId="26B1CFF0" w14:textId="77777777" w:rsidR="00A7311D" w:rsidRPr="008A2411" w:rsidRDefault="00A7311D" w:rsidP="00DD53AE">
            <w:pPr>
              <w:jc w:val="center"/>
              <w:rPr>
                <w:rFonts w:ascii="Times New Roman"/>
                <w:color w:val="000000" w:themeColor="text1"/>
                <w:kern w:val="2"/>
                <w:sz w:val="21"/>
                <w:szCs w:val="21"/>
              </w:rPr>
            </w:pPr>
          </w:p>
        </w:tc>
        <w:tc>
          <w:tcPr>
            <w:tcW w:w="1559" w:type="dxa"/>
            <w:vAlign w:val="center"/>
          </w:tcPr>
          <w:p w14:paraId="0E82DE91" w14:textId="77777777" w:rsidR="00A7311D" w:rsidRPr="008A2411" w:rsidRDefault="00A7311D" w:rsidP="00DD53AE">
            <w:pPr>
              <w:jc w:val="center"/>
              <w:rPr>
                <w:rFonts w:ascii="Times New Roman"/>
                <w:color w:val="000000" w:themeColor="text1"/>
                <w:kern w:val="2"/>
                <w:sz w:val="21"/>
                <w:szCs w:val="21"/>
              </w:rPr>
            </w:pPr>
            <w:r w:rsidRPr="008A2411">
              <w:rPr>
                <w:rFonts w:ascii="Times New Roman" w:hint="eastAsia"/>
                <w:color w:val="000000" w:themeColor="text1"/>
                <w:kern w:val="2"/>
                <w:sz w:val="21"/>
                <w:szCs w:val="21"/>
              </w:rPr>
              <w:t>交由供货厂商回收</w:t>
            </w:r>
          </w:p>
        </w:tc>
      </w:tr>
      <w:tr w:rsidR="008A2411" w:rsidRPr="008A2411" w14:paraId="45BD1664" w14:textId="77777777" w:rsidTr="00DD53AE">
        <w:trPr>
          <w:trHeight w:val="454"/>
          <w:jc w:val="center"/>
        </w:trPr>
        <w:tc>
          <w:tcPr>
            <w:tcW w:w="622" w:type="dxa"/>
            <w:vAlign w:val="center"/>
          </w:tcPr>
          <w:p w14:paraId="375E100A" w14:textId="77777777" w:rsidR="00A7311D" w:rsidRPr="008A2411" w:rsidRDefault="00A7311D" w:rsidP="00DD53AE">
            <w:pPr>
              <w:jc w:val="center"/>
              <w:rPr>
                <w:rFonts w:ascii="Times New Roman"/>
                <w:color w:val="000000" w:themeColor="text1"/>
                <w:kern w:val="2"/>
                <w:sz w:val="21"/>
                <w:szCs w:val="21"/>
              </w:rPr>
            </w:pPr>
            <w:r w:rsidRPr="008A2411">
              <w:rPr>
                <w:rFonts w:ascii="Times New Roman"/>
                <w:color w:val="000000" w:themeColor="text1"/>
                <w:kern w:val="2"/>
                <w:sz w:val="21"/>
                <w:szCs w:val="21"/>
              </w:rPr>
              <w:t>3</w:t>
            </w:r>
          </w:p>
        </w:tc>
        <w:tc>
          <w:tcPr>
            <w:tcW w:w="1647" w:type="dxa"/>
            <w:vAlign w:val="center"/>
          </w:tcPr>
          <w:p w14:paraId="2E9A225B" w14:textId="77777777" w:rsidR="00A7311D" w:rsidRPr="008A2411" w:rsidRDefault="00A7311D" w:rsidP="00DD53AE">
            <w:pPr>
              <w:jc w:val="center"/>
              <w:rPr>
                <w:rFonts w:ascii="Times New Roman"/>
                <w:color w:val="000000" w:themeColor="text1"/>
                <w:kern w:val="2"/>
                <w:sz w:val="21"/>
                <w:szCs w:val="21"/>
              </w:rPr>
            </w:pPr>
            <w:r w:rsidRPr="008A2411">
              <w:rPr>
                <w:rFonts w:ascii="Times New Roman"/>
                <w:color w:val="000000" w:themeColor="text1"/>
                <w:kern w:val="2"/>
                <w:sz w:val="21"/>
                <w:szCs w:val="21"/>
              </w:rPr>
              <w:t>生产装置区干燥塔脱水单元</w:t>
            </w:r>
          </w:p>
        </w:tc>
        <w:tc>
          <w:tcPr>
            <w:tcW w:w="992" w:type="dxa"/>
            <w:vAlign w:val="center"/>
          </w:tcPr>
          <w:p w14:paraId="6A24C4EA" w14:textId="77777777" w:rsidR="00A7311D" w:rsidRPr="008A2411" w:rsidRDefault="00A7311D" w:rsidP="00DD53AE">
            <w:pPr>
              <w:autoSpaceDE w:val="0"/>
              <w:autoSpaceDN w:val="0"/>
              <w:jc w:val="center"/>
              <w:rPr>
                <w:rFonts w:ascii="Times New Roman"/>
                <w:color w:val="000000" w:themeColor="text1"/>
                <w:kern w:val="2"/>
                <w:sz w:val="21"/>
                <w:szCs w:val="21"/>
                <w:lang w:val="zh-CN"/>
              </w:rPr>
            </w:pPr>
            <w:r w:rsidRPr="008A2411">
              <w:rPr>
                <w:rFonts w:ascii="Times New Roman"/>
                <w:color w:val="000000" w:themeColor="text1"/>
                <w:kern w:val="2"/>
                <w:sz w:val="21"/>
                <w:szCs w:val="21"/>
                <w:lang w:val="zh-CN"/>
              </w:rPr>
              <w:t>废分子筛</w:t>
            </w:r>
          </w:p>
        </w:tc>
        <w:tc>
          <w:tcPr>
            <w:tcW w:w="1129" w:type="dxa"/>
            <w:tcBorders>
              <w:bottom w:val="single" w:sz="4" w:space="0" w:color="auto"/>
            </w:tcBorders>
            <w:vAlign w:val="center"/>
          </w:tcPr>
          <w:p w14:paraId="1FA32644" w14:textId="77777777" w:rsidR="00A7311D" w:rsidRPr="008A2411" w:rsidRDefault="00A7311D" w:rsidP="00DD53AE">
            <w:pPr>
              <w:jc w:val="center"/>
              <w:textAlignment w:val="baseline"/>
              <w:rPr>
                <w:rFonts w:ascii="Times New Roman"/>
                <w:color w:val="000000" w:themeColor="text1"/>
                <w:kern w:val="24"/>
                <w:sz w:val="21"/>
                <w:szCs w:val="21"/>
              </w:rPr>
            </w:pPr>
            <w:r w:rsidRPr="008A2411">
              <w:rPr>
                <w:rFonts w:ascii="Times New Roman"/>
                <w:color w:val="000000" w:themeColor="text1"/>
                <w:kern w:val="24"/>
                <w:sz w:val="21"/>
                <w:szCs w:val="21"/>
              </w:rPr>
              <w:t>3 t/a</w:t>
            </w:r>
          </w:p>
          <w:p w14:paraId="50FFCFB3" w14:textId="77777777" w:rsidR="00A7311D" w:rsidRPr="008A2411" w:rsidRDefault="00A7311D" w:rsidP="00DD53AE">
            <w:pPr>
              <w:jc w:val="center"/>
              <w:textAlignment w:val="baseline"/>
              <w:rPr>
                <w:rFonts w:ascii="Times New Roman"/>
                <w:color w:val="000000" w:themeColor="text1"/>
                <w:kern w:val="24"/>
                <w:sz w:val="21"/>
                <w:szCs w:val="21"/>
              </w:rPr>
            </w:pPr>
            <w:r w:rsidRPr="008A2411">
              <w:rPr>
                <w:rFonts w:ascii="Times New Roman"/>
                <w:color w:val="000000" w:themeColor="text1"/>
                <w:kern w:val="24"/>
                <w:sz w:val="21"/>
                <w:szCs w:val="21"/>
              </w:rPr>
              <w:t>(3</w:t>
            </w:r>
            <w:r w:rsidRPr="008A2411">
              <w:rPr>
                <w:rFonts w:ascii="Times New Roman"/>
                <w:color w:val="000000" w:themeColor="text1"/>
                <w:kern w:val="24"/>
                <w:sz w:val="21"/>
                <w:szCs w:val="21"/>
              </w:rPr>
              <w:t>年一次</w:t>
            </w:r>
            <w:r w:rsidRPr="008A2411">
              <w:rPr>
                <w:rFonts w:ascii="Times New Roman"/>
                <w:color w:val="000000" w:themeColor="text1"/>
                <w:kern w:val="24"/>
                <w:sz w:val="21"/>
                <w:szCs w:val="21"/>
              </w:rPr>
              <w:t>)</w:t>
            </w:r>
          </w:p>
        </w:tc>
        <w:tc>
          <w:tcPr>
            <w:tcW w:w="2025" w:type="dxa"/>
            <w:tcBorders>
              <w:bottom w:val="single" w:sz="4" w:space="0" w:color="auto"/>
            </w:tcBorders>
            <w:vAlign w:val="center"/>
          </w:tcPr>
          <w:p w14:paraId="00CFED6F" w14:textId="77777777" w:rsidR="00A7311D" w:rsidRPr="008A2411" w:rsidRDefault="00A7311D" w:rsidP="00DD53AE">
            <w:pPr>
              <w:jc w:val="center"/>
              <w:rPr>
                <w:rFonts w:ascii="Times New Roman"/>
                <w:color w:val="000000" w:themeColor="text1"/>
                <w:kern w:val="2"/>
                <w:sz w:val="21"/>
                <w:szCs w:val="21"/>
              </w:rPr>
            </w:pPr>
            <w:r w:rsidRPr="008A2411">
              <w:rPr>
                <w:rFonts w:ascii="Times New Roman"/>
                <w:color w:val="000000" w:themeColor="text1"/>
                <w:kern w:val="2"/>
                <w:sz w:val="21"/>
                <w:szCs w:val="21"/>
              </w:rPr>
              <w:t>危险废物（</w:t>
            </w:r>
            <w:r w:rsidRPr="008A2411">
              <w:rPr>
                <w:rFonts w:ascii="Times New Roman"/>
                <w:color w:val="000000" w:themeColor="text1"/>
                <w:kern w:val="2"/>
                <w:sz w:val="21"/>
                <w:szCs w:val="21"/>
              </w:rPr>
              <w:t>900-249-08</w:t>
            </w:r>
            <w:r w:rsidRPr="008A2411">
              <w:rPr>
                <w:rFonts w:ascii="Times New Roman"/>
                <w:color w:val="000000" w:themeColor="text1"/>
                <w:kern w:val="2"/>
                <w:sz w:val="21"/>
                <w:szCs w:val="21"/>
              </w:rPr>
              <w:t>，</w:t>
            </w:r>
            <w:r w:rsidRPr="008A2411">
              <w:rPr>
                <w:rFonts w:ascii="Times New Roman"/>
                <w:color w:val="000000" w:themeColor="text1"/>
                <w:kern w:val="2"/>
                <w:sz w:val="21"/>
                <w:szCs w:val="21"/>
              </w:rPr>
              <w:t>T</w:t>
            </w:r>
            <w:r w:rsidRPr="008A2411">
              <w:rPr>
                <w:rFonts w:ascii="Times New Roman"/>
                <w:color w:val="000000" w:themeColor="text1"/>
                <w:kern w:val="2"/>
                <w:sz w:val="21"/>
                <w:szCs w:val="21"/>
              </w:rPr>
              <w:t>）</w:t>
            </w:r>
          </w:p>
        </w:tc>
        <w:tc>
          <w:tcPr>
            <w:tcW w:w="1559" w:type="dxa"/>
            <w:tcBorders>
              <w:bottom w:val="single" w:sz="4" w:space="0" w:color="auto"/>
            </w:tcBorders>
            <w:vAlign w:val="center"/>
          </w:tcPr>
          <w:p w14:paraId="43D461EA" w14:textId="77777777" w:rsidR="00A7311D" w:rsidRPr="008A2411" w:rsidRDefault="00A7311D" w:rsidP="00DD53AE">
            <w:pPr>
              <w:jc w:val="center"/>
              <w:rPr>
                <w:rFonts w:ascii="Times New Roman"/>
                <w:color w:val="000000" w:themeColor="text1"/>
                <w:kern w:val="2"/>
                <w:sz w:val="21"/>
                <w:szCs w:val="21"/>
              </w:rPr>
            </w:pPr>
            <w:proofErr w:type="gramStart"/>
            <w:r w:rsidRPr="008A2411">
              <w:rPr>
                <w:rFonts w:ascii="Times New Roman"/>
                <w:color w:val="000000" w:themeColor="text1"/>
                <w:kern w:val="2"/>
                <w:sz w:val="21"/>
                <w:szCs w:val="21"/>
              </w:rPr>
              <w:t>存于危废暂存</w:t>
            </w:r>
            <w:proofErr w:type="gramEnd"/>
            <w:r w:rsidRPr="008A2411">
              <w:rPr>
                <w:rFonts w:ascii="Times New Roman"/>
                <w:color w:val="000000" w:themeColor="text1"/>
                <w:kern w:val="2"/>
                <w:sz w:val="21"/>
                <w:szCs w:val="21"/>
              </w:rPr>
              <w:t>间，交有资质单位处置</w:t>
            </w:r>
          </w:p>
        </w:tc>
      </w:tr>
      <w:tr w:rsidR="008A2411" w:rsidRPr="008A2411" w14:paraId="51E70C01" w14:textId="77777777" w:rsidTr="00DD53AE">
        <w:trPr>
          <w:trHeight w:val="454"/>
          <w:jc w:val="center"/>
        </w:trPr>
        <w:tc>
          <w:tcPr>
            <w:tcW w:w="622" w:type="dxa"/>
            <w:vAlign w:val="center"/>
          </w:tcPr>
          <w:p w14:paraId="0210CB1B" w14:textId="77777777" w:rsidR="00A7311D" w:rsidRPr="008A2411" w:rsidRDefault="00A7311D" w:rsidP="00DD53AE">
            <w:pPr>
              <w:jc w:val="center"/>
              <w:rPr>
                <w:rFonts w:ascii="Times New Roman"/>
                <w:color w:val="000000" w:themeColor="text1"/>
                <w:kern w:val="2"/>
                <w:sz w:val="21"/>
                <w:szCs w:val="21"/>
              </w:rPr>
            </w:pPr>
            <w:r w:rsidRPr="008A2411">
              <w:rPr>
                <w:rFonts w:ascii="Times New Roman"/>
                <w:color w:val="000000" w:themeColor="text1"/>
                <w:kern w:val="2"/>
                <w:sz w:val="21"/>
                <w:szCs w:val="21"/>
              </w:rPr>
              <w:t>4</w:t>
            </w:r>
          </w:p>
        </w:tc>
        <w:tc>
          <w:tcPr>
            <w:tcW w:w="1647" w:type="dxa"/>
            <w:vAlign w:val="center"/>
          </w:tcPr>
          <w:p w14:paraId="594C76F1" w14:textId="77777777" w:rsidR="00A7311D" w:rsidRPr="008A2411" w:rsidRDefault="00A7311D" w:rsidP="00DD53AE">
            <w:pPr>
              <w:jc w:val="center"/>
              <w:rPr>
                <w:rFonts w:ascii="Times New Roman"/>
                <w:color w:val="000000" w:themeColor="text1"/>
                <w:kern w:val="2"/>
                <w:sz w:val="21"/>
                <w:szCs w:val="21"/>
              </w:rPr>
            </w:pPr>
            <w:r w:rsidRPr="008A2411">
              <w:rPr>
                <w:rFonts w:ascii="Times New Roman"/>
                <w:color w:val="000000" w:themeColor="text1"/>
                <w:kern w:val="2"/>
                <w:sz w:val="21"/>
                <w:szCs w:val="21"/>
              </w:rPr>
              <w:t>生产装置区干燥塔脱水再生单元</w:t>
            </w:r>
          </w:p>
        </w:tc>
        <w:tc>
          <w:tcPr>
            <w:tcW w:w="992" w:type="dxa"/>
            <w:vAlign w:val="center"/>
          </w:tcPr>
          <w:p w14:paraId="657BD4DE" w14:textId="77777777" w:rsidR="00A7311D" w:rsidRPr="008A2411" w:rsidRDefault="00A7311D" w:rsidP="00DD53AE">
            <w:pPr>
              <w:autoSpaceDE w:val="0"/>
              <w:autoSpaceDN w:val="0"/>
              <w:jc w:val="center"/>
              <w:rPr>
                <w:rFonts w:ascii="Times New Roman"/>
                <w:color w:val="000000" w:themeColor="text1"/>
                <w:kern w:val="2"/>
                <w:sz w:val="21"/>
                <w:szCs w:val="21"/>
              </w:rPr>
            </w:pPr>
            <w:r w:rsidRPr="008A2411">
              <w:rPr>
                <w:rFonts w:ascii="Times New Roman"/>
                <w:color w:val="000000" w:themeColor="text1"/>
                <w:kern w:val="2"/>
                <w:sz w:val="21"/>
                <w:szCs w:val="21"/>
              </w:rPr>
              <w:t>含油废液</w:t>
            </w:r>
          </w:p>
        </w:tc>
        <w:tc>
          <w:tcPr>
            <w:tcW w:w="1129" w:type="dxa"/>
            <w:tcBorders>
              <w:bottom w:val="single" w:sz="4" w:space="0" w:color="auto"/>
            </w:tcBorders>
            <w:vAlign w:val="center"/>
          </w:tcPr>
          <w:p w14:paraId="5AA226E8" w14:textId="77777777" w:rsidR="00A7311D" w:rsidRPr="008A2411" w:rsidRDefault="00A7311D" w:rsidP="00DD53AE">
            <w:pPr>
              <w:jc w:val="center"/>
              <w:textAlignment w:val="baseline"/>
              <w:rPr>
                <w:rFonts w:ascii="Times New Roman"/>
                <w:color w:val="000000" w:themeColor="text1"/>
                <w:kern w:val="24"/>
                <w:sz w:val="21"/>
                <w:szCs w:val="21"/>
              </w:rPr>
            </w:pPr>
            <w:r w:rsidRPr="008A2411">
              <w:rPr>
                <w:rFonts w:ascii="Times New Roman"/>
                <w:color w:val="000000" w:themeColor="text1"/>
                <w:kern w:val="24"/>
                <w:sz w:val="21"/>
                <w:szCs w:val="21"/>
              </w:rPr>
              <w:t>3.2 t/a</w:t>
            </w:r>
          </w:p>
        </w:tc>
        <w:tc>
          <w:tcPr>
            <w:tcW w:w="2025" w:type="dxa"/>
            <w:tcBorders>
              <w:top w:val="single" w:sz="4" w:space="0" w:color="auto"/>
              <w:bottom w:val="single" w:sz="4" w:space="0" w:color="auto"/>
            </w:tcBorders>
            <w:vAlign w:val="center"/>
          </w:tcPr>
          <w:p w14:paraId="19BB7F74" w14:textId="77777777" w:rsidR="00A7311D" w:rsidRPr="008A2411" w:rsidRDefault="00A7311D" w:rsidP="00DD53AE">
            <w:pPr>
              <w:jc w:val="center"/>
              <w:rPr>
                <w:rFonts w:ascii="Times New Roman"/>
                <w:color w:val="000000" w:themeColor="text1"/>
                <w:kern w:val="2"/>
                <w:sz w:val="21"/>
                <w:szCs w:val="21"/>
              </w:rPr>
            </w:pPr>
            <w:r w:rsidRPr="008A2411">
              <w:rPr>
                <w:rFonts w:ascii="Times New Roman"/>
                <w:color w:val="000000" w:themeColor="text1"/>
                <w:kern w:val="2"/>
                <w:sz w:val="21"/>
                <w:szCs w:val="21"/>
              </w:rPr>
              <w:t>危险废物（</w:t>
            </w:r>
            <w:r w:rsidRPr="008A2411">
              <w:rPr>
                <w:rFonts w:ascii="Times New Roman"/>
                <w:color w:val="000000" w:themeColor="text1"/>
                <w:kern w:val="2"/>
                <w:sz w:val="21"/>
                <w:szCs w:val="21"/>
              </w:rPr>
              <w:t>900-249-08</w:t>
            </w:r>
            <w:r w:rsidRPr="008A2411">
              <w:rPr>
                <w:rFonts w:ascii="Times New Roman"/>
                <w:color w:val="000000" w:themeColor="text1"/>
                <w:kern w:val="2"/>
                <w:sz w:val="21"/>
                <w:szCs w:val="21"/>
              </w:rPr>
              <w:t>，</w:t>
            </w:r>
            <w:r w:rsidRPr="008A2411">
              <w:rPr>
                <w:rFonts w:ascii="Times New Roman"/>
                <w:color w:val="000000" w:themeColor="text1"/>
                <w:kern w:val="2"/>
                <w:sz w:val="21"/>
                <w:szCs w:val="21"/>
              </w:rPr>
              <w:t>T</w:t>
            </w:r>
            <w:r w:rsidRPr="008A2411">
              <w:rPr>
                <w:rFonts w:ascii="Times New Roman"/>
                <w:color w:val="000000" w:themeColor="text1"/>
                <w:kern w:val="2"/>
                <w:sz w:val="21"/>
                <w:szCs w:val="21"/>
              </w:rPr>
              <w:t>）</w:t>
            </w:r>
          </w:p>
        </w:tc>
        <w:tc>
          <w:tcPr>
            <w:tcW w:w="1559" w:type="dxa"/>
            <w:vMerge w:val="restart"/>
            <w:tcBorders>
              <w:top w:val="single" w:sz="4" w:space="0" w:color="auto"/>
            </w:tcBorders>
            <w:vAlign w:val="center"/>
          </w:tcPr>
          <w:p w14:paraId="49155191" w14:textId="77777777" w:rsidR="00A7311D" w:rsidRPr="008A2411" w:rsidRDefault="00A7311D" w:rsidP="00DD53AE">
            <w:pPr>
              <w:jc w:val="center"/>
              <w:rPr>
                <w:rFonts w:ascii="Times New Roman"/>
                <w:color w:val="000000" w:themeColor="text1"/>
                <w:kern w:val="2"/>
                <w:sz w:val="21"/>
                <w:szCs w:val="21"/>
              </w:rPr>
            </w:pPr>
            <w:r w:rsidRPr="008A2411">
              <w:rPr>
                <w:rFonts w:ascii="Times New Roman"/>
                <w:color w:val="000000" w:themeColor="text1"/>
                <w:kern w:val="2"/>
                <w:sz w:val="21"/>
                <w:szCs w:val="21"/>
              </w:rPr>
              <w:t>由废液收集桶收集，</w:t>
            </w:r>
            <w:proofErr w:type="gramStart"/>
            <w:r w:rsidRPr="008A2411">
              <w:rPr>
                <w:rFonts w:ascii="Times New Roman"/>
                <w:color w:val="000000" w:themeColor="text1"/>
                <w:kern w:val="2"/>
                <w:sz w:val="21"/>
                <w:szCs w:val="21"/>
              </w:rPr>
              <w:t>存于危废暂存</w:t>
            </w:r>
            <w:proofErr w:type="gramEnd"/>
            <w:r w:rsidRPr="008A2411">
              <w:rPr>
                <w:rFonts w:ascii="Times New Roman"/>
                <w:color w:val="000000" w:themeColor="text1"/>
                <w:kern w:val="2"/>
                <w:sz w:val="21"/>
                <w:szCs w:val="21"/>
              </w:rPr>
              <w:t>间，定期交有资质单位处置</w:t>
            </w:r>
          </w:p>
        </w:tc>
      </w:tr>
      <w:tr w:rsidR="008A2411" w:rsidRPr="008A2411" w14:paraId="2F4EA402" w14:textId="77777777" w:rsidTr="00DD53AE">
        <w:trPr>
          <w:trHeight w:val="454"/>
          <w:jc w:val="center"/>
        </w:trPr>
        <w:tc>
          <w:tcPr>
            <w:tcW w:w="622" w:type="dxa"/>
            <w:vAlign w:val="center"/>
          </w:tcPr>
          <w:p w14:paraId="27C46485" w14:textId="77777777" w:rsidR="00A7311D" w:rsidRPr="008A2411" w:rsidRDefault="00A7311D" w:rsidP="00DD53AE">
            <w:pPr>
              <w:jc w:val="center"/>
              <w:rPr>
                <w:rFonts w:ascii="Times New Roman"/>
                <w:color w:val="000000" w:themeColor="text1"/>
                <w:kern w:val="2"/>
                <w:sz w:val="21"/>
                <w:szCs w:val="21"/>
              </w:rPr>
            </w:pPr>
            <w:r w:rsidRPr="008A2411">
              <w:rPr>
                <w:rFonts w:ascii="Times New Roman"/>
                <w:color w:val="000000" w:themeColor="text1"/>
                <w:kern w:val="2"/>
                <w:sz w:val="21"/>
                <w:szCs w:val="21"/>
              </w:rPr>
              <w:t>5</w:t>
            </w:r>
          </w:p>
        </w:tc>
        <w:tc>
          <w:tcPr>
            <w:tcW w:w="1647" w:type="dxa"/>
            <w:vAlign w:val="center"/>
          </w:tcPr>
          <w:p w14:paraId="34511A35" w14:textId="77777777" w:rsidR="00A7311D" w:rsidRPr="008A2411" w:rsidRDefault="00A7311D" w:rsidP="00DD53AE">
            <w:pPr>
              <w:jc w:val="center"/>
              <w:rPr>
                <w:rFonts w:ascii="Times New Roman"/>
                <w:color w:val="000000" w:themeColor="text1"/>
                <w:kern w:val="2"/>
                <w:sz w:val="21"/>
                <w:szCs w:val="21"/>
              </w:rPr>
            </w:pPr>
            <w:r w:rsidRPr="008A2411">
              <w:rPr>
                <w:rFonts w:ascii="Times New Roman"/>
                <w:color w:val="000000" w:themeColor="text1"/>
                <w:kern w:val="2"/>
                <w:sz w:val="21"/>
                <w:szCs w:val="21"/>
              </w:rPr>
              <w:t>设备检修</w:t>
            </w:r>
          </w:p>
        </w:tc>
        <w:tc>
          <w:tcPr>
            <w:tcW w:w="992" w:type="dxa"/>
            <w:vAlign w:val="center"/>
          </w:tcPr>
          <w:p w14:paraId="26673F91" w14:textId="77777777" w:rsidR="00A7311D" w:rsidRPr="008A2411" w:rsidRDefault="00A7311D" w:rsidP="00DD53AE">
            <w:pPr>
              <w:jc w:val="center"/>
              <w:rPr>
                <w:rFonts w:ascii="Times New Roman"/>
                <w:color w:val="000000" w:themeColor="text1"/>
                <w:kern w:val="2"/>
                <w:sz w:val="21"/>
                <w:szCs w:val="21"/>
                <w:lang w:val="zh-CN"/>
              </w:rPr>
            </w:pPr>
            <w:r w:rsidRPr="008A2411">
              <w:rPr>
                <w:rFonts w:ascii="Times New Roman"/>
                <w:color w:val="000000" w:themeColor="text1"/>
                <w:kern w:val="2"/>
                <w:sz w:val="21"/>
                <w:szCs w:val="21"/>
                <w:lang w:val="zh-CN"/>
              </w:rPr>
              <w:t>废油</w:t>
            </w:r>
          </w:p>
        </w:tc>
        <w:tc>
          <w:tcPr>
            <w:tcW w:w="1129" w:type="dxa"/>
            <w:tcBorders>
              <w:top w:val="single" w:sz="4" w:space="0" w:color="auto"/>
              <w:bottom w:val="single" w:sz="4" w:space="0" w:color="auto"/>
            </w:tcBorders>
            <w:vAlign w:val="center"/>
          </w:tcPr>
          <w:p w14:paraId="61FE6F1F" w14:textId="77777777" w:rsidR="00A7311D" w:rsidRPr="008A2411" w:rsidRDefault="00A7311D" w:rsidP="00DD53AE">
            <w:pPr>
              <w:jc w:val="center"/>
              <w:rPr>
                <w:rFonts w:ascii="Times New Roman"/>
                <w:color w:val="000000" w:themeColor="text1"/>
                <w:kern w:val="2"/>
                <w:sz w:val="21"/>
                <w:szCs w:val="21"/>
              </w:rPr>
            </w:pPr>
            <w:r w:rsidRPr="008A2411">
              <w:rPr>
                <w:rFonts w:ascii="Times New Roman"/>
                <w:color w:val="000000" w:themeColor="text1"/>
                <w:kern w:val="2"/>
                <w:sz w:val="21"/>
                <w:szCs w:val="21"/>
              </w:rPr>
              <w:t>2.0 t/a</w:t>
            </w:r>
          </w:p>
        </w:tc>
        <w:tc>
          <w:tcPr>
            <w:tcW w:w="2025" w:type="dxa"/>
            <w:tcBorders>
              <w:top w:val="single" w:sz="4" w:space="0" w:color="auto"/>
              <w:bottom w:val="single" w:sz="4" w:space="0" w:color="auto"/>
            </w:tcBorders>
            <w:vAlign w:val="center"/>
          </w:tcPr>
          <w:p w14:paraId="78F9E31B" w14:textId="77777777" w:rsidR="00A7311D" w:rsidRPr="008A2411" w:rsidRDefault="00A7311D" w:rsidP="00DD53AE">
            <w:pPr>
              <w:jc w:val="center"/>
              <w:rPr>
                <w:rFonts w:ascii="Times New Roman"/>
                <w:color w:val="000000" w:themeColor="text1"/>
                <w:kern w:val="2"/>
                <w:sz w:val="21"/>
                <w:szCs w:val="21"/>
              </w:rPr>
            </w:pPr>
            <w:r w:rsidRPr="008A2411">
              <w:rPr>
                <w:rFonts w:ascii="Times New Roman"/>
                <w:color w:val="000000" w:themeColor="text1"/>
                <w:kern w:val="2"/>
                <w:sz w:val="21"/>
                <w:szCs w:val="21"/>
              </w:rPr>
              <w:t>危险废物</w:t>
            </w:r>
          </w:p>
          <w:p w14:paraId="258A83C3" w14:textId="77777777" w:rsidR="00A7311D" w:rsidRPr="008A2411" w:rsidRDefault="00A7311D" w:rsidP="00DD53AE">
            <w:pPr>
              <w:jc w:val="center"/>
              <w:rPr>
                <w:rFonts w:ascii="Times New Roman"/>
                <w:color w:val="000000" w:themeColor="text1"/>
                <w:kern w:val="2"/>
                <w:sz w:val="21"/>
                <w:szCs w:val="21"/>
              </w:rPr>
            </w:pPr>
            <w:r w:rsidRPr="008A2411">
              <w:rPr>
                <w:rFonts w:ascii="Times New Roman"/>
                <w:color w:val="000000" w:themeColor="text1"/>
                <w:kern w:val="2"/>
                <w:sz w:val="21"/>
                <w:szCs w:val="21"/>
              </w:rPr>
              <w:t>（</w:t>
            </w:r>
            <w:r w:rsidRPr="008A2411">
              <w:rPr>
                <w:rFonts w:ascii="Times New Roman"/>
                <w:color w:val="000000" w:themeColor="text1"/>
                <w:kern w:val="2"/>
                <w:sz w:val="21"/>
                <w:szCs w:val="21"/>
              </w:rPr>
              <w:t>900-249-08</w:t>
            </w:r>
            <w:r w:rsidRPr="008A2411">
              <w:rPr>
                <w:rFonts w:ascii="Times New Roman"/>
                <w:color w:val="000000" w:themeColor="text1"/>
                <w:kern w:val="2"/>
                <w:sz w:val="21"/>
                <w:szCs w:val="21"/>
              </w:rPr>
              <w:t>，</w:t>
            </w:r>
            <w:r w:rsidRPr="008A2411">
              <w:rPr>
                <w:rFonts w:ascii="Times New Roman"/>
                <w:color w:val="000000" w:themeColor="text1"/>
                <w:kern w:val="2"/>
                <w:sz w:val="21"/>
                <w:szCs w:val="21"/>
              </w:rPr>
              <w:t>T</w:t>
            </w:r>
            <w:r w:rsidRPr="008A2411">
              <w:rPr>
                <w:rFonts w:ascii="Times New Roman"/>
                <w:color w:val="000000" w:themeColor="text1"/>
                <w:kern w:val="2"/>
                <w:sz w:val="21"/>
                <w:szCs w:val="21"/>
              </w:rPr>
              <w:t>）</w:t>
            </w:r>
          </w:p>
        </w:tc>
        <w:tc>
          <w:tcPr>
            <w:tcW w:w="1559" w:type="dxa"/>
            <w:vMerge/>
            <w:tcBorders>
              <w:bottom w:val="single" w:sz="4" w:space="0" w:color="auto"/>
            </w:tcBorders>
            <w:vAlign w:val="center"/>
          </w:tcPr>
          <w:p w14:paraId="4DED9A8B" w14:textId="77777777" w:rsidR="00A7311D" w:rsidRPr="008A2411" w:rsidRDefault="00A7311D" w:rsidP="00DD53AE">
            <w:pPr>
              <w:jc w:val="center"/>
              <w:rPr>
                <w:rFonts w:ascii="Times New Roman"/>
                <w:color w:val="000000" w:themeColor="text1"/>
                <w:kern w:val="2"/>
                <w:sz w:val="21"/>
                <w:szCs w:val="21"/>
              </w:rPr>
            </w:pPr>
          </w:p>
        </w:tc>
      </w:tr>
      <w:tr w:rsidR="008A2411" w:rsidRPr="008A2411" w14:paraId="454016D2" w14:textId="77777777" w:rsidTr="00DD53AE">
        <w:trPr>
          <w:trHeight w:val="454"/>
          <w:jc w:val="center"/>
        </w:trPr>
        <w:tc>
          <w:tcPr>
            <w:tcW w:w="622" w:type="dxa"/>
            <w:vAlign w:val="center"/>
          </w:tcPr>
          <w:p w14:paraId="76F6AE93" w14:textId="77777777" w:rsidR="00A7311D" w:rsidRPr="008A2411" w:rsidRDefault="00A7311D" w:rsidP="00DD53AE">
            <w:pPr>
              <w:jc w:val="center"/>
              <w:rPr>
                <w:rFonts w:ascii="Times New Roman"/>
                <w:color w:val="000000" w:themeColor="text1"/>
                <w:kern w:val="2"/>
                <w:sz w:val="21"/>
                <w:szCs w:val="21"/>
              </w:rPr>
            </w:pPr>
            <w:r w:rsidRPr="008A2411">
              <w:rPr>
                <w:rFonts w:ascii="Times New Roman"/>
                <w:color w:val="000000" w:themeColor="text1"/>
                <w:kern w:val="2"/>
                <w:sz w:val="21"/>
                <w:szCs w:val="21"/>
              </w:rPr>
              <w:t>6</w:t>
            </w:r>
          </w:p>
        </w:tc>
        <w:tc>
          <w:tcPr>
            <w:tcW w:w="1647" w:type="dxa"/>
            <w:vAlign w:val="center"/>
          </w:tcPr>
          <w:p w14:paraId="7094330A" w14:textId="77777777" w:rsidR="00A7311D" w:rsidRPr="008A2411" w:rsidRDefault="00A7311D" w:rsidP="00DD53AE">
            <w:pPr>
              <w:jc w:val="center"/>
              <w:rPr>
                <w:rFonts w:ascii="Times New Roman"/>
                <w:color w:val="000000" w:themeColor="text1"/>
                <w:kern w:val="2"/>
                <w:sz w:val="21"/>
                <w:szCs w:val="21"/>
              </w:rPr>
            </w:pPr>
            <w:r w:rsidRPr="008A2411">
              <w:rPr>
                <w:rFonts w:ascii="Times New Roman"/>
                <w:color w:val="000000" w:themeColor="text1"/>
                <w:kern w:val="2"/>
                <w:sz w:val="21"/>
                <w:szCs w:val="21"/>
              </w:rPr>
              <w:t>生产装置区脱硫单元、脱碳单元、脱汞单元和脱重烃单元</w:t>
            </w:r>
          </w:p>
        </w:tc>
        <w:tc>
          <w:tcPr>
            <w:tcW w:w="992" w:type="dxa"/>
            <w:vAlign w:val="center"/>
          </w:tcPr>
          <w:p w14:paraId="0076E75F" w14:textId="77777777" w:rsidR="00A7311D" w:rsidRPr="008A2411" w:rsidRDefault="00A7311D" w:rsidP="00DD53AE">
            <w:pPr>
              <w:jc w:val="center"/>
              <w:rPr>
                <w:rFonts w:ascii="Times New Roman"/>
                <w:color w:val="000000" w:themeColor="text1"/>
                <w:kern w:val="2"/>
                <w:sz w:val="21"/>
                <w:szCs w:val="21"/>
                <w:lang w:val="zh-CN"/>
              </w:rPr>
            </w:pPr>
            <w:r w:rsidRPr="008A2411">
              <w:rPr>
                <w:rFonts w:ascii="Times New Roman"/>
                <w:color w:val="000000" w:themeColor="text1"/>
                <w:kern w:val="2"/>
                <w:sz w:val="21"/>
                <w:szCs w:val="21"/>
                <w:lang w:val="zh-CN"/>
              </w:rPr>
              <w:t>废活性炭</w:t>
            </w:r>
          </w:p>
        </w:tc>
        <w:tc>
          <w:tcPr>
            <w:tcW w:w="1129" w:type="dxa"/>
            <w:tcBorders>
              <w:top w:val="single" w:sz="4" w:space="0" w:color="auto"/>
              <w:bottom w:val="single" w:sz="4" w:space="0" w:color="auto"/>
            </w:tcBorders>
            <w:vAlign w:val="center"/>
          </w:tcPr>
          <w:p w14:paraId="6C96C7CE" w14:textId="77777777" w:rsidR="00A7311D" w:rsidRPr="008A2411" w:rsidRDefault="00A7311D" w:rsidP="00DD53AE">
            <w:pPr>
              <w:jc w:val="center"/>
              <w:rPr>
                <w:rFonts w:ascii="Times New Roman"/>
                <w:color w:val="000000" w:themeColor="text1"/>
                <w:kern w:val="2"/>
                <w:sz w:val="21"/>
                <w:szCs w:val="21"/>
              </w:rPr>
            </w:pPr>
            <w:r w:rsidRPr="008A2411">
              <w:rPr>
                <w:rFonts w:ascii="Times New Roman"/>
                <w:color w:val="000000" w:themeColor="text1"/>
                <w:kern w:val="2"/>
                <w:sz w:val="21"/>
                <w:szCs w:val="21"/>
              </w:rPr>
              <w:t>10t/a</w:t>
            </w:r>
          </w:p>
        </w:tc>
        <w:tc>
          <w:tcPr>
            <w:tcW w:w="2025" w:type="dxa"/>
            <w:tcBorders>
              <w:top w:val="single" w:sz="4" w:space="0" w:color="auto"/>
              <w:bottom w:val="single" w:sz="4" w:space="0" w:color="auto"/>
            </w:tcBorders>
            <w:vAlign w:val="center"/>
          </w:tcPr>
          <w:p w14:paraId="6F7C0EB0" w14:textId="77777777" w:rsidR="00A7311D" w:rsidRPr="008A2411" w:rsidRDefault="00A7311D" w:rsidP="00DD53AE">
            <w:pPr>
              <w:jc w:val="center"/>
              <w:rPr>
                <w:rFonts w:ascii="Times New Roman"/>
                <w:color w:val="000000" w:themeColor="text1"/>
                <w:kern w:val="2"/>
                <w:sz w:val="21"/>
                <w:szCs w:val="21"/>
              </w:rPr>
            </w:pPr>
            <w:r w:rsidRPr="008A2411">
              <w:rPr>
                <w:rFonts w:ascii="Times New Roman"/>
                <w:color w:val="000000" w:themeColor="text1"/>
                <w:kern w:val="2"/>
                <w:sz w:val="21"/>
                <w:szCs w:val="21"/>
              </w:rPr>
              <w:t>危险废物（</w:t>
            </w:r>
            <w:r w:rsidRPr="008A2411">
              <w:rPr>
                <w:rFonts w:ascii="Times New Roman"/>
                <w:color w:val="000000" w:themeColor="text1"/>
                <w:kern w:val="2"/>
                <w:sz w:val="21"/>
                <w:szCs w:val="21"/>
              </w:rPr>
              <w:t>900-022-29</w:t>
            </w:r>
            <w:r w:rsidRPr="008A2411">
              <w:rPr>
                <w:rFonts w:ascii="Times New Roman"/>
                <w:color w:val="000000" w:themeColor="text1"/>
                <w:kern w:val="2"/>
                <w:sz w:val="21"/>
                <w:szCs w:val="21"/>
              </w:rPr>
              <w:t>，</w:t>
            </w:r>
            <w:r w:rsidRPr="008A2411">
              <w:rPr>
                <w:rFonts w:ascii="Times New Roman"/>
                <w:color w:val="000000" w:themeColor="text1"/>
                <w:kern w:val="2"/>
                <w:sz w:val="21"/>
                <w:szCs w:val="21"/>
              </w:rPr>
              <w:t>T</w:t>
            </w:r>
            <w:r w:rsidRPr="008A2411">
              <w:rPr>
                <w:rFonts w:ascii="Times New Roman"/>
                <w:color w:val="000000" w:themeColor="text1"/>
                <w:kern w:val="2"/>
                <w:sz w:val="21"/>
                <w:szCs w:val="21"/>
              </w:rPr>
              <w:t>；</w:t>
            </w:r>
          </w:p>
          <w:p w14:paraId="054C6E0D" w14:textId="77777777" w:rsidR="00A7311D" w:rsidRPr="008A2411" w:rsidRDefault="00A7311D" w:rsidP="00DD53AE">
            <w:pPr>
              <w:jc w:val="center"/>
              <w:rPr>
                <w:rFonts w:ascii="Times New Roman"/>
                <w:color w:val="000000" w:themeColor="text1"/>
                <w:kern w:val="2"/>
                <w:sz w:val="21"/>
                <w:szCs w:val="21"/>
              </w:rPr>
            </w:pPr>
            <w:r w:rsidRPr="008A2411">
              <w:rPr>
                <w:rFonts w:ascii="Times New Roman"/>
                <w:color w:val="000000" w:themeColor="text1"/>
                <w:kern w:val="2"/>
                <w:sz w:val="21"/>
                <w:szCs w:val="21"/>
              </w:rPr>
              <w:t>900-039-49</w:t>
            </w:r>
            <w:r w:rsidRPr="008A2411">
              <w:rPr>
                <w:rFonts w:ascii="Times New Roman"/>
                <w:color w:val="000000" w:themeColor="text1"/>
                <w:kern w:val="2"/>
                <w:sz w:val="21"/>
                <w:szCs w:val="21"/>
              </w:rPr>
              <w:t>，</w:t>
            </w:r>
            <w:r w:rsidRPr="008A2411">
              <w:rPr>
                <w:rFonts w:ascii="Times New Roman"/>
                <w:color w:val="000000" w:themeColor="text1"/>
                <w:kern w:val="2"/>
                <w:sz w:val="21"/>
                <w:szCs w:val="21"/>
              </w:rPr>
              <w:t>T</w:t>
            </w:r>
            <w:r w:rsidRPr="008A2411">
              <w:rPr>
                <w:rFonts w:ascii="Times New Roman"/>
                <w:color w:val="000000" w:themeColor="text1"/>
                <w:kern w:val="2"/>
                <w:sz w:val="21"/>
                <w:szCs w:val="21"/>
              </w:rPr>
              <w:t>）</w:t>
            </w:r>
          </w:p>
        </w:tc>
        <w:tc>
          <w:tcPr>
            <w:tcW w:w="1559" w:type="dxa"/>
            <w:vMerge w:val="restart"/>
            <w:tcBorders>
              <w:top w:val="single" w:sz="4" w:space="0" w:color="auto"/>
            </w:tcBorders>
            <w:vAlign w:val="center"/>
          </w:tcPr>
          <w:p w14:paraId="6026A2CA" w14:textId="77777777" w:rsidR="00A7311D" w:rsidRPr="008A2411" w:rsidRDefault="00A7311D" w:rsidP="00DD53AE">
            <w:pPr>
              <w:jc w:val="center"/>
              <w:rPr>
                <w:rFonts w:ascii="Times New Roman"/>
                <w:color w:val="000000" w:themeColor="text1"/>
                <w:kern w:val="2"/>
                <w:sz w:val="21"/>
                <w:szCs w:val="21"/>
              </w:rPr>
            </w:pPr>
            <w:proofErr w:type="gramStart"/>
            <w:r w:rsidRPr="008A2411">
              <w:rPr>
                <w:rFonts w:ascii="Times New Roman"/>
                <w:color w:val="000000" w:themeColor="text1"/>
                <w:kern w:val="2"/>
                <w:sz w:val="21"/>
                <w:szCs w:val="21"/>
              </w:rPr>
              <w:t>存于危废暂存</w:t>
            </w:r>
            <w:proofErr w:type="gramEnd"/>
            <w:r w:rsidRPr="008A2411">
              <w:rPr>
                <w:rFonts w:ascii="Times New Roman"/>
                <w:color w:val="000000" w:themeColor="text1"/>
                <w:kern w:val="2"/>
                <w:sz w:val="21"/>
                <w:szCs w:val="21"/>
              </w:rPr>
              <w:t>间，交有资质单位处置</w:t>
            </w:r>
          </w:p>
        </w:tc>
      </w:tr>
      <w:tr w:rsidR="008A2411" w:rsidRPr="008A2411" w14:paraId="54C806B5" w14:textId="77777777" w:rsidTr="00DD53AE">
        <w:trPr>
          <w:trHeight w:val="454"/>
          <w:jc w:val="center"/>
        </w:trPr>
        <w:tc>
          <w:tcPr>
            <w:tcW w:w="622" w:type="dxa"/>
            <w:vAlign w:val="center"/>
          </w:tcPr>
          <w:p w14:paraId="46B83E4C" w14:textId="77777777" w:rsidR="00A7311D" w:rsidRPr="008A2411" w:rsidRDefault="00A7311D" w:rsidP="00DD53AE">
            <w:pPr>
              <w:jc w:val="center"/>
              <w:rPr>
                <w:rFonts w:ascii="Times New Roman"/>
                <w:color w:val="000000" w:themeColor="text1"/>
                <w:kern w:val="2"/>
                <w:sz w:val="21"/>
                <w:szCs w:val="21"/>
              </w:rPr>
            </w:pPr>
            <w:r w:rsidRPr="008A2411">
              <w:rPr>
                <w:rFonts w:ascii="Times New Roman"/>
                <w:color w:val="000000" w:themeColor="text1"/>
                <w:kern w:val="2"/>
                <w:sz w:val="21"/>
                <w:szCs w:val="21"/>
              </w:rPr>
              <w:t>7</w:t>
            </w:r>
          </w:p>
        </w:tc>
        <w:tc>
          <w:tcPr>
            <w:tcW w:w="1647" w:type="dxa"/>
            <w:vAlign w:val="center"/>
          </w:tcPr>
          <w:p w14:paraId="253AB271" w14:textId="77777777" w:rsidR="00A7311D" w:rsidRPr="008A2411" w:rsidRDefault="00A7311D" w:rsidP="00DD53AE">
            <w:pPr>
              <w:jc w:val="center"/>
              <w:rPr>
                <w:rFonts w:ascii="Times New Roman"/>
                <w:color w:val="000000" w:themeColor="text1"/>
                <w:kern w:val="2"/>
                <w:sz w:val="21"/>
                <w:szCs w:val="21"/>
              </w:rPr>
            </w:pPr>
            <w:r w:rsidRPr="008A2411">
              <w:rPr>
                <w:rFonts w:ascii="Times New Roman"/>
                <w:color w:val="000000" w:themeColor="text1"/>
                <w:kern w:val="2"/>
                <w:sz w:val="21"/>
                <w:szCs w:val="21"/>
              </w:rPr>
              <w:t>进口过滤器、溶液过滤器、净化气过滤器、重烃过滤器等过滤杂质</w:t>
            </w:r>
          </w:p>
        </w:tc>
        <w:tc>
          <w:tcPr>
            <w:tcW w:w="992" w:type="dxa"/>
            <w:vAlign w:val="center"/>
          </w:tcPr>
          <w:p w14:paraId="57DC61CE" w14:textId="77777777" w:rsidR="00A7311D" w:rsidRPr="008A2411" w:rsidRDefault="00A7311D" w:rsidP="00DD53AE">
            <w:pPr>
              <w:jc w:val="center"/>
              <w:rPr>
                <w:rFonts w:ascii="Times New Roman"/>
                <w:color w:val="000000" w:themeColor="text1"/>
                <w:kern w:val="2"/>
                <w:sz w:val="21"/>
                <w:szCs w:val="21"/>
              </w:rPr>
            </w:pPr>
            <w:r w:rsidRPr="008A2411">
              <w:rPr>
                <w:rFonts w:ascii="Times New Roman"/>
                <w:color w:val="000000" w:themeColor="text1"/>
                <w:kern w:val="2"/>
                <w:sz w:val="21"/>
                <w:szCs w:val="21"/>
              </w:rPr>
              <w:t>杂质</w:t>
            </w:r>
          </w:p>
        </w:tc>
        <w:tc>
          <w:tcPr>
            <w:tcW w:w="1129" w:type="dxa"/>
            <w:tcBorders>
              <w:top w:val="single" w:sz="4" w:space="0" w:color="auto"/>
              <w:bottom w:val="single" w:sz="4" w:space="0" w:color="auto"/>
            </w:tcBorders>
            <w:vAlign w:val="center"/>
          </w:tcPr>
          <w:p w14:paraId="3CA103FD" w14:textId="77777777" w:rsidR="00A7311D" w:rsidRPr="008A2411" w:rsidRDefault="00A7311D" w:rsidP="00DD53AE">
            <w:pPr>
              <w:jc w:val="center"/>
              <w:rPr>
                <w:rFonts w:ascii="Times New Roman"/>
                <w:color w:val="000000" w:themeColor="text1"/>
                <w:kern w:val="2"/>
                <w:sz w:val="21"/>
                <w:szCs w:val="21"/>
              </w:rPr>
            </w:pPr>
            <w:r w:rsidRPr="008A2411">
              <w:rPr>
                <w:rFonts w:ascii="Times New Roman"/>
                <w:color w:val="000000" w:themeColor="text1"/>
                <w:kern w:val="2"/>
                <w:sz w:val="21"/>
                <w:szCs w:val="21"/>
              </w:rPr>
              <w:t>0.67t/a</w:t>
            </w:r>
          </w:p>
        </w:tc>
        <w:tc>
          <w:tcPr>
            <w:tcW w:w="2025" w:type="dxa"/>
            <w:tcBorders>
              <w:top w:val="single" w:sz="4" w:space="0" w:color="auto"/>
              <w:bottom w:val="single" w:sz="4" w:space="0" w:color="auto"/>
            </w:tcBorders>
            <w:vAlign w:val="center"/>
          </w:tcPr>
          <w:p w14:paraId="0822C6D2" w14:textId="77777777" w:rsidR="00A7311D" w:rsidRPr="008A2411" w:rsidRDefault="00A7311D" w:rsidP="00DD53AE">
            <w:pPr>
              <w:jc w:val="center"/>
              <w:rPr>
                <w:rFonts w:ascii="Times New Roman"/>
                <w:color w:val="000000" w:themeColor="text1"/>
                <w:kern w:val="2"/>
                <w:sz w:val="21"/>
                <w:szCs w:val="21"/>
              </w:rPr>
            </w:pPr>
            <w:r w:rsidRPr="008A2411">
              <w:rPr>
                <w:rFonts w:ascii="Times New Roman"/>
                <w:color w:val="000000" w:themeColor="text1"/>
                <w:kern w:val="2"/>
                <w:sz w:val="21"/>
                <w:szCs w:val="21"/>
              </w:rPr>
              <w:t>危险废物（</w:t>
            </w:r>
            <w:r w:rsidRPr="008A2411">
              <w:rPr>
                <w:rFonts w:ascii="Times New Roman"/>
                <w:color w:val="000000" w:themeColor="text1"/>
                <w:kern w:val="2"/>
                <w:sz w:val="21"/>
                <w:szCs w:val="21"/>
              </w:rPr>
              <w:t>900-041-49</w:t>
            </w:r>
            <w:r w:rsidRPr="008A2411">
              <w:rPr>
                <w:rFonts w:ascii="Times New Roman"/>
                <w:color w:val="000000" w:themeColor="text1"/>
                <w:kern w:val="2"/>
                <w:sz w:val="21"/>
                <w:szCs w:val="21"/>
              </w:rPr>
              <w:t>，</w:t>
            </w:r>
            <w:r w:rsidRPr="008A2411">
              <w:rPr>
                <w:rFonts w:ascii="Times New Roman"/>
                <w:color w:val="000000" w:themeColor="text1"/>
                <w:kern w:val="2"/>
                <w:sz w:val="21"/>
                <w:szCs w:val="21"/>
              </w:rPr>
              <w:t>T/In</w:t>
            </w:r>
            <w:r w:rsidRPr="008A2411">
              <w:rPr>
                <w:rFonts w:ascii="Times New Roman"/>
                <w:color w:val="000000" w:themeColor="text1"/>
                <w:kern w:val="2"/>
                <w:sz w:val="21"/>
                <w:szCs w:val="21"/>
              </w:rPr>
              <w:t>）</w:t>
            </w:r>
          </w:p>
        </w:tc>
        <w:tc>
          <w:tcPr>
            <w:tcW w:w="1559" w:type="dxa"/>
            <w:vMerge/>
            <w:vAlign w:val="center"/>
          </w:tcPr>
          <w:p w14:paraId="39322BD3" w14:textId="77777777" w:rsidR="00A7311D" w:rsidRPr="008A2411" w:rsidRDefault="00A7311D" w:rsidP="00DD53AE">
            <w:pPr>
              <w:jc w:val="center"/>
              <w:rPr>
                <w:rFonts w:ascii="Times New Roman"/>
                <w:color w:val="000000" w:themeColor="text1"/>
                <w:kern w:val="2"/>
                <w:sz w:val="21"/>
                <w:szCs w:val="21"/>
              </w:rPr>
            </w:pPr>
          </w:p>
        </w:tc>
      </w:tr>
      <w:tr w:rsidR="008A2411" w:rsidRPr="008A2411" w14:paraId="4CE2ADF7" w14:textId="77777777" w:rsidTr="00DD53AE">
        <w:trPr>
          <w:trHeight w:val="454"/>
          <w:jc w:val="center"/>
        </w:trPr>
        <w:tc>
          <w:tcPr>
            <w:tcW w:w="622" w:type="dxa"/>
            <w:vAlign w:val="center"/>
          </w:tcPr>
          <w:p w14:paraId="18B62B6B" w14:textId="77777777" w:rsidR="00A7311D" w:rsidRPr="008A2411" w:rsidRDefault="00A7311D" w:rsidP="00DD53AE">
            <w:pPr>
              <w:jc w:val="center"/>
              <w:rPr>
                <w:rFonts w:ascii="Times New Roman"/>
                <w:color w:val="000000" w:themeColor="text1"/>
                <w:kern w:val="2"/>
                <w:sz w:val="21"/>
                <w:szCs w:val="21"/>
              </w:rPr>
            </w:pPr>
            <w:r w:rsidRPr="008A2411">
              <w:rPr>
                <w:rFonts w:ascii="Times New Roman"/>
                <w:color w:val="000000" w:themeColor="text1"/>
                <w:kern w:val="2"/>
                <w:sz w:val="21"/>
                <w:szCs w:val="21"/>
              </w:rPr>
              <w:t>8</w:t>
            </w:r>
          </w:p>
        </w:tc>
        <w:tc>
          <w:tcPr>
            <w:tcW w:w="1647" w:type="dxa"/>
            <w:vAlign w:val="center"/>
          </w:tcPr>
          <w:p w14:paraId="1FAC5D4C" w14:textId="77777777" w:rsidR="00A7311D" w:rsidRPr="008A2411" w:rsidRDefault="00A7311D" w:rsidP="00DD53AE">
            <w:pPr>
              <w:pStyle w:val="WJ5"/>
              <w:rPr>
                <w:rFonts w:ascii="Times New Roman" w:hAnsi="Times New Roman"/>
                <w:color w:val="000000" w:themeColor="text1"/>
              </w:rPr>
            </w:pPr>
            <w:r w:rsidRPr="008A2411">
              <w:rPr>
                <w:rFonts w:ascii="Times New Roman" w:hAnsi="Times New Roman"/>
                <w:color w:val="000000" w:themeColor="text1"/>
              </w:rPr>
              <w:t>化验室</w:t>
            </w:r>
          </w:p>
        </w:tc>
        <w:tc>
          <w:tcPr>
            <w:tcW w:w="992" w:type="dxa"/>
            <w:vAlign w:val="center"/>
          </w:tcPr>
          <w:p w14:paraId="3283F3A4" w14:textId="77777777" w:rsidR="00A7311D" w:rsidRPr="008A2411" w:rsidRDefault="00A7311D" w:rsidP="00DD53AE">
            <w:pPr>
              <w:pStyle w:val="WJ5"/>
              <w:rPr>
                <w:rFonts w:ascii="Times New Roman" w:hAnsi="Times New Roman"/>
                <w:color w:val="000000" w:themeColor="text1"/>
              </w:rPr>
            </w:pPr>
            <w:r w:rsidRPr="008A2411">
              <w:rPr>
                <w:rFonts w:ascii="Times New Roman" w:hAnsi="Times New Roman"/>
                <w:color w:val="000000" w:themeColor="text1"/>
              </w:rPr>
              <w:t>化验室废液</w:t>
            </w:r>
          </w:p>
        </w:tc>
        <w:tc>
          <w:tcPr>
            <w:tcW w:w="1129" w:type="dxa"/>
            <w:tcBorders>
              <w:top w:val="single" w:sz="4" w:space="0" w:color="auto"/>
              <w:bottom w:val="single" w:sz="4" w:space="0" w:color="auto"/>
            </w:tcBorders>
            <w:vAlign w:val="center"/>
          </w:tcPr>
          <w:p w14:paraId="0B26BBEA" w14:textId="77777777" w:rsidR="00A7311D" w:rsidRPr="008A2411" w:rsidRDefault="00A7311D" w:rsidP="00DD53AE">
            <w:pPr>
              <w:pStyle w:val="WJ5"/>
              <w:rPr>
                <w:rFonts w:ascii="Times New Roman" w:hAnsi="Times New Roman"/>
                <w:color w:val="000000" w:themeColor="text1"/>
              </w:rPr>
            </w:pPr>
            <w:r w:rsidRPr="008A2411">
              <w:rPr>
                <w:rFonts w:ascii="Times New Roman" w:hAnsi="Times New Roman"/>
                <w:color w:val="000000" w:themeColor="text1"/>
              </w:rPr>
              <w:t>0.02t/a</w:t>
            </w:r>
          </w:p>
        </w:tc>
        <w:tc>
          <w:tcPr>
            <w:tcW w:w="2025" w:type="dxa"/>
            <w:tcBorders>
              <w:top w:val="single" w:sz="4" w:space="0" w:color="auto"/>
              <w:bottom w:val="single" w:sz="4" w:space="0" w:color="auto"/>
            </w:tcBorders>
            <w:vAlign w:val="center"/>
          </w:tcPr>
          <w:p w14:paraId="6803B19C" w14:textId="77777777" w:rsidR="00A7311D" w:rsidRPr="008A2411" w:rsidRDefault="00A7311D" w:rsidP="00DD53AE">
            <w:pPr>
              <w:pStyle w:val="WJ5"/>
              <w:rPr>
                <w:rFonts w:ascii="Times New Roman" w:hAnsi="Times New Roman"/>
                <w:color w:val="000000" w:themeColor="text1"/>
              </w:rPr>
            </w:pPr>
            <w:r w:rsidRPr="008A2411">
              <w:rPr>
                <w:rFonts w:ascii="Times New Roman" w:hAnsi="Times New Roman"/>
                <w:color w:val="000000" w:themeColor="text1"/>
              </w:rPr>
              <w:t>危险废物（</w:t>
            </w:r>
            <w:r w:rsidRPr="008A2411">
              <w:rPr>
                <w:rFonts w:ascii="Times New Roman" w:hAnsi="Times New Roman"/>
                <w:color w:val="000000" w:themeColor="text1"/>
              </w:rPr>
              <w:t>900-047-49</w:t>
            </w:r>
            <w:r w:rsidRPr="008A2411">
              <w:rPr>
                <w:rFonts w:ascii="Times New Roman" w:hAnsi="Times New Roman"/>
                <w:color w:val="000000" w:themeColor="text1"/>
              </w:rPr>
              <w:t>，</w:t>
            </w:r>
            <w:r w:rsidRPr="008A2411">
              <w:rPr>
                <w:rFonts w:ascii="Times New Roman" w:hAnsi="Times New Roman"/>
                <w:color w:val="000000" w:themeColor="text1"/>
              </w:rPr>
              <w:t>T/C/I/R</w:t>
            </w:r>
            <w:r w:rsidRPr="008A2411">
              <w:rPr>
                <w:rFonts w:ascii="Times New Roman" w:hAnsi="Times New Roman"/>
                <w:color w:val="000000" w:themeColor="text1"/>
              </w:rPr>
              <w:t>）</w:t>
            </w:r>
          </w:p>
        </w:tc>
        <w:tc>
          <w:tcPr>
            <w:tcW w:w="1559" w:type="dxa"/>
            <w:vAlign w:val="center"/>
          </w:tcPr>
          <w:p w14:paraId="70C190F3" w14:textId="77777777" w:rsidR="00A7311D" w:rsidRPr="008A2411" w:rsidRDefault="00A7311D" w:rsidP="00DD53AE">
            <w:pPr>
              <w:jc w:val="center"/>
              <w:rPr>
                <w:rFonts w:ascii="Times New Roman"/>
                <w:color w:val="000000" w:themeColor="text1"/>
                <w:kern w:val="2"/>
                <w:sz w:val="21"/>
                <w:szCs w:val="21"/>
              </w:rPr>
            </w:pPr>
            <w:r w:rsidRPr="008A2411">
              <w:rPr>
                <w:rFonts w:ascii="Times New Roman"/>
                <w:color w:val="000000" w:themeColor="text1"/>
                <w:kern w:val="2"/>
                <w:sz w:val="21"/>
                <w:szCs w:val="21"/>
              </w:rPr>
              <w:t>由废液收集桶收集，</w:t>
            </w:r>
            <w:proofErr w:type="gramStart"/>
            <w:r w:rsidRPr="008A2411">
              <w:rPr>
                <w:rFonts w:ascii="Times New Roman"/>
                <w:color w:val="000000" w:themeColor="text1"/>
                <w:kern w:val="2"/>
                <w:sz w:val="21"/>
                <w:szCs w:val="21"/>
              </w:rPr>
              <w:t>存于危废暂存</w:t>
            </w:r>
            <w:proofErr w:type="gramEnd"/>
            <w:r w:rsidRPr="008A2411">
              <w:rPr>
                <w:rFonts w:ascii="Times New Roman"/>
                <w:color w:val="000000" w:themeColor="text1"/>
                <w:kern w:val="2"/>
                <w:sz w:val="21"/>
                <w:szCs w:val="21"/>
              </w:rPr>
              <w:t>间，定期交有资质单位处置</w:t>
            </w:r>
          </w:p>
        </w:tc>
      </w:tr>
      <w:tr w:rsidR="00A7311D" w:rsidRPr="008A2411" w14:paraId="6B22EB8B" w14:textId="77777777" w:rsidTr="00DD53AE">
        <w:trPr>
          <w:trHeight w:val="454"/>
          <w:jc w:val="center"/>
        </w:trPr>
        <w:tc>
          <w:tcPr>
            <w:tcW w:w="622" w:type="dxa"/>
            <w:vAlign w:val="center"/>
          </w:tcPr>
          <w:p w14:paraId="2F38C7F4" w14:textId="77777777" w:rsidR="00A7311D" w:rsidRPr="008A2411" w:rsidRDefault="00A7311D" w:rsidP="00DD53AE">
            <w:pPr>
              <w:jc w:val="center"/>
              <w:rPr>
                <w:rFonts w:ascii="Times New Roman"/>
                <w:color w:val="000000" w:themeColor="text1"/>
                <w:kern w:val="2"/>
                <w:sz w:val="21"/>
                <w:szCs w:val="21"/>
              </w:rPr>
            </w:pPr>
            <w:r w:rsidRPr="008A2411">
              <w:rPr>
                <w:rFonts w:ascii="Times New Roman" w:hint="eastAsia"/>
                <w:color w:val="000000" w:themeColor="text1"/>
                <w:kern w:val="2"/>
                <w:sz w:val="21"/>
                <w:szCs w:val="21"/>
              </w:rPr>
              <w:t>9</w:t>
            </w:r>
          </w:p>
        </w:tc>
        <w:tc>
          <w:tcPr>
            <w:tcW w:w="1647" w:type="dxa"/>
            <w:vAlign w:val="center"/>
          </w:tcPr>
          <w:p w14:paraId="305BB2B5" w14:textId="77777777" w:rsidR="00A7311D" w:rsidRPr="008A2411" w:rsidRDefault="00A7311D" w:rsidP="00DD53AE">
            <w:pPr>
              <w:pStyle w:val="WJ5"/>
              <w:rPr>
                <w:rFonts w:ascii="Times New Roman" w:hAnsi="Times New Roman"/>
                <w:color w:val="000000" w:themeColor="text1"/>
              </w:rPr>
            </w:pPr>
            <w:r w:rsidRPr="008A2411">
              <w:rPr>
                <w:rFonts w:ascii="Times New Roman" w:hAnsi="Times New Roman" w:hint="eastAsia"/>
                <w:color w:val="000000" w:themeColor="text1"/>
              </w:rPr>
              <w:t>导热油炉</w:t>
            </w:r>
          </w:p>
        </w:tc>
        <w:tc>
          <w:tcPr>
            <w:tcW w:w="992" w:type="dxa"/>
            <w:vAlign w:val="center"/>
          </w:tcPr>
          <w:p w14:paraId="48E3A624" w14:textId="77777777" w:rsidR="00A7311D" w:rsidRPr="008A2411" w:rsidRDefault="00A7311D" w:rsidP="00DD53AE">
            <w:pPr>
              <w:pStyle w:val="WJ5"/>
              <w:rPr>
                <w:rFonts w:ascii="Times New Roman" w:hAnsi="Times New Roman"/>
                <w:color w:val="000000" w:themeColor="text1"/>
              </w:rPr>
            </w:pPr>
            <w:r w:rsidRPr="008A2411">
              <w:rPr>
                <w:rFonts w:ascii="Times New Roman" w:hAnsi="Times New Roman" w:hint="eastAsia"/>
                <w:color w:val="000000" w:themeColor="text1"/>
              </w:rPr>
              <w:t>废导热油</w:t>
            </w:r>
          </w:p>
        </w:tc>
        <w:tc>
          <w:tcPr>
            <w:tcW w:w="1129" w:type="dxa"/>
            <w:tcBorders>
              <w:top w:val="single" w:sz="4" w:space="0" w:color="auto"/>
            </w:tcBorders>
            <w:vAlign w:val="center"/>
          </w:tcPr>
          <w:p w14:paraId="60698B7E" w14:textId="77777777" w:rsidR="00A7311D" w:rsidRPr="008A2411" w:rsidRDefault="00A7311D" w:rsidP="00DD53AE">
            <w:pPr>
              <w:pStyle w:val="WJ5"/>
              <w:rPr>
                <w:rFonts w:ascii="Times New Roman" w:hAnsi="Times New Roman"/>
                <w:color w:val="000000" w:themeColor="text1"/>
              </w:rPr>
            </w:pPr>
            <w:r w:rsidRPr="008A2411">
              <w:rPr>
                <w:rFonts w:ascii="Times New Roman" w:hAnsi="Times New Roman" w:hint="eastAsia"/>
                <w:color w:val="000000" w:themeColor="text1"/>
              </w:rPr>
              <w:t>12.5t/a</w:t>
            </w:r>
          </w:p>
        </w:tc>
        <w:tc>
          <w:tcPr>
            <w:tcW w:w="2025" w:type="dxa"/>
            <w:tcBorders>
              <w:top w:val="single" w:sz="4" w:space="0" w:color="auto"/>
            </w:tcBorders>
            <w:vAlign w:val="center"/>
          </w:tcPr>
          <w:p w14:paraId="4C194780" w14:textId="77777777" w:rsidR="00A7311D" w:rsidRPr="008A2411" w:rsidRDefault="00A7311D" w:rsidP="00DD53AE">
            <w:pPr>
              <w:jc w:val="center"/>
              <w:rPr>
                <w:rFonts w:ascii="Times New Roman"/>
                <w:color w:val="000000" w:themeColor="text1"/>
                <w:kern w:val="2"/>
                <w:sz w:val="21"/>
                <w:szCs w:val="21"/>
              </w:rPr>
            </w:pPr>
            <w:r w:rsidRPr="008A2411">
              <w:rPr>
                <w:rFonts w:ascii="Times New Roman"/>
                <w:color w:val="000000" w:themeColor="text1"/>
                <w:kern w:val="2"/>
                <w:sz w:val="21"/>
                <w:szCs w:val="21"/>
              </w:rPr>
              <w:t>危险废物</w:t>
            </w:r>
          </w:p>
          <w:p w14:paraId="00D8D478" w14:textId="77777777" w:rsidR="00A7311D" w:rsidRPr="008A2411" w:rsidRDefault="00A7311D" w:rsidP="00DD53AE">
            <w:pPr>
              <w:pStyle w:val="WJ5"/>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900-249-08</w:t>
            </w:r>
            <w:r w:rsidRPr="008A2411">
              <w:rPr>
                <w:rFonts w:ascii="Times New Roman" w:hAnsi="Times New Roman"/>
                <w:color w:val="000000" w:themeColor="text1"/>
              </w:rPr>
              <w:t>，</w:t>
            </w:r>
            <w:r w:rsidRPr="008A2411">
              <w:rPr>
                <w:rFonts w:ascii="Times New Roman" w:hAnsi="Times New Roman"/>
                <w:color w:val="000000" w:themeColor="text1"/>
              </w:rPr>
              <w:t>T</w:t>
            </w:r>
            <w:r w:rsidRPr="008A2411">
              <w:rPr>
                <w:rFonts w:ascii="Times New Roman" w:hAnsi="Times New Roman"/>
                <w:color w:val="000000" w:themeColor="text1"/>
              </w:rPr>
              <w:t>）</w:t>
            </w:r>
          </w:p>
        </w:tc>
        <w:tc>
          <w:tcPr>
            <w:tcW w:w="1559" w:type="dxa"/>
            <w:vAlign w:val="center"/>
          </w:tcPr>
          <w:p w14:paraId="195BA057" w14:textId="657252FF" w:rsidR="00A7311D" w:rsidRPr="008A2411" w:rsidRDefault="00237F5D" w:rsidP="00DD53AE">
            <w:pPr>
              <w:jc w:val="center"/>
              <w:rPr>
                <w:rFonts w:ascii="Times New Roman"/>
                <w:color w:val="000000" w:themeColor="text1"/>
                <w:kern w:val="2"/>
                <w:sz w:val="21"/>
                <w:szCs w:val="21"/>
              </w:rPr>
            </w:pPr>
            <w:proofErr w:type="gramStart"/>
            <w:r w:rsidRPr="008A2411">
              <w:rPr>
                <w:rFonts w:ascii="Times New Roman"/>
                <w:color w:val="000000" w:themeColor="text1"/>
                <w:kern w:val="2"/>
                <w:sz w:val="21"/>
                <w:szCs w:val="21"/>
              </w:rPr>
              <w:t>存于危废暂存</w:t>
            </w:r>
            <w:proofErr w:type="gramEnd"/>
            <w:r w:rsidRPr="008A2411">
              <w:rPr>
                <w:rFonts w:ascii="Times New Roman"/>
                <w:color w:val="000000" w:themeColor="text1"/>
                <w:kern w:val="2"/>
                <w:sz w:val="21"/>
                <w:szCs w:val="21"/>
              </w:rPr>
              <w:t>间，交有资质单位处置</w:t>
            </w:r>
          </w:p>
        </w:tc>
      </w:tr>
    </w:tbl>
    <w:p w14:paraId="2FF1F9EF" w14:textId="77777777" w:rsidR="00B0005F" w:rsidRPr="008A2411" w:rsidRDefault="00B0005F">
      <w:pPr>
        <w:pStyle w:val="afffffffd"/>
        <w:adjustRightInd w:val="0"/>
        <w:snapToGrid w:val="0"/>
        <w:spacing w:line="240" w:lineRule="auto"/>
        <w:ind w:firstLineChars="0" w:firstLine="0"/>
        <w:jc w:val="center"/>
        <w:rPr>
          <w:rFonts w:ascii="Times New Roman"/>
          <w:color w:val="000000" w:themeColor="text1"/>
          <w:sz w:val="21"/>
          <w:szCs w:val="21"/>
        </w:rPr>
      </w:pPr>
    </w:p>
    <w:p w14:paraId="710E0A28" w14:textId="77777777" w:rsidR="00B0005F" w:rsidRPr="008A2411" w:rsidRDefault="00000000">
      <w:pPr>
        <w:pStyle w:val="L-"/>
        <w:adjustRightInd w:val="0"/>
        <w:spacing w:line="360" w:lineRule="auto"/>
        <w:ind w:firstLine="482"/>
        <w:rPr>
          <w:rFonts w:ascii="Times New Roman" w:cs="Times New Roman"/>
          <w:color w:val="000000" w:themeColor="text1"/>
          <w:kern w:val="2"/>
          <w:szCs w:val="24"/>
          <w:shd w:val="clear" w:color="auto" w:fill="auto"/>
        </w:rPr>
      </w:pPr>
      <w:r w:rsidRPr="008A2411">
        <w:rPr>
          <w:rFonts w:ascii="Times New Roman" w:cs="Times New Roman"/>
          <w:color w:val="000000" w:themeColor="text1"/>
          <w:kern w:val="2"/>
          <w:szCs w:val="24"/>
          <w:shd w:val="clear" w:color="auto" w:fill="auto"/>
        </w:rPr>
        <w:t>（</w:t>
      </w:r>
      <w:r w:rsidRPr="008A2411">
        <w:rPr>
          <w:rFonts w:ascii="Times New Roman" w:cs="Times New Roman"/>
          <w:color w:val="000000" w:themeColor="text1"/>
          <w:kern w:val="2"/>
          <w:szCs w:val="24"/>
          <w:shd w:val="clear" w:color="auto" w:fill="auto"/>
        </w:rPr>
        <w:t>4</w:t>
      </w:r>
      <w:r w:rsidRPr="008A2411">
        <w:rPr>
          <w:rFonts w:ascii="Times New Roman" w:cs="Times New Roman"/>
          <w:color w:val="000000" w:themeColor="text1"/>
          <w:kern w:val="2"/>
          <w:szCs w:val="24"/>
          <w:shd w:val="clear" w:color="auto" w:fill="auto"/>
        </w:rPr>
        <w:t>）总量控制</w:t>
      </w:r>
    </w:p>
    <w:p w14:paraId="42A8938C" w14:textId="77777777" w:rsidR="00B0005F" w:rsidRPr="008A2411" w:rsidRDefault="00000000">
      <w:pPr>
        <w:pStyle w:val="L-"/>
        <w:adjustRightInd w:val="0"/>
        <w:spacing w:line="360" w:lineRule="auto"/>
        <w:ind w:firstLine="482"/>
        <w:rPr>
          <w:rFonts w:ascii="Times New Roman" w:cs="Times New Roman"/>
          <w:color w:val="000000" w:themeColor="text1"/>
          <w:kern w:val="2"/>
          <w:szCs w:val="24"/>
          <w:shd w:val="clear" w:color="auto" w:fill="auto"/>
        </w:rPr>
      </w:pPr>
      <w:r w:rsidRPr="008A2411">
        <w:rPr>
          <w:rFonts w:ascii="Times New Roman" w:cs="Times New Roman"/>
          <w:color w:val="000000" w:themeColor="text1"/>
          <w:kern w:val="2"/>
          <w:szCs w:val="24"/>
          <w:shd w:val="clear" w:color="auto" w:fill="auto"/>
        </w:rPr>
        <w:t>根据本项目运营过程中工艺特征和排污特点、所在区域环境质量现状、当地环保部门要求，确定本项目建设大气污染物总量控制指标：</w:t>
      </w:r>
      <w:r w:rsidRPr="008A2411">
        <w:rPr>
          <w:rFonts w:ascii="Times New Roman" w:cs="Times New Roman"/>
          <w:color w:val="000000" w:themeColor="text1"/>
          <w:kern w:val="2"/>
          <w:szCs w:val="24"/>
          <w:shd w:val="clear" w:color="auto" w:fill="auto"/>
        </w:rPr>
        <w:t>SO</w:t>
      </w:r>
      <w:r w:rsidRPr="008A2411">
        <w:rPr>
          <w:rFonts w:ascii="Times New Roman" w:cs="Times New Roman"/>
          <w:color w:val="000000" w:themeColor="text1"/>
          <w:kern w:val="2"/>
          <w:szCs w:val="24"/>
          <w:shd w:val="clear" w:color="auto" w:fill="auto"/>
          <w:vertAlign w:val="subscript"/>
        </w:rPr>
        <w:t>2</w:t>
      </w:r>
      <w:r w:rsidRPr="008A2411">
        <w:rPr>
          <w:rFonts w:ascii="Times New Roman" w:cs="Times New Roman"/>
          <w:color w:val="000000" w:themeColor="text1"/>
          <w:kern w:val="2"/>
          <w:szCs w:val="24"/>
          <w:shd w:val="clear" w:color="auto" w:fill="auto"/>
        </w:rPr>
        <w:t>、</w:t>
      </w:r>
      <w:r w:rsidRPr="008A2411">
        <w:rPr>
          <w:rFonts w:ascii="Times New Roman" w:cs="Times New Roman"/>
          <w:color w:val="000000" w:themeColor="text1"/>
          <w:kern w:val="2"/>
          <w:szCs w:val="24"/>
          <w:shd w:val="clear" w:color="auto" w:fill="auto"/>
        </w:rPr>
        <w:t>NOx</w:t>
      </w:r>
      <w:r w:rsidRPr="008A2411">
        <w:rPr>
          <w:rFonts w:ascii="Times New Roman" w:cs="Times New Roman"/>
          <w:color w:val="000000" w:themeColor="text1"/>
          <w:kern w:val="2"/>
          <w:szCs w:val="24"/>
          <w:shd w:val="clear" w:color="auto" w:fill="auto"/>
        </w:rPr>
        <w:t>和挥发性有机物。</w:t>
      </w:r>
    </w:p>
    <w:p w14:paraId="72C39F98" w14:textId="2B944A2E" w:rsidR="00B0005F" w:rsidRPr="008A2411" w:rsidRDefault="00000000">
      <w:pPr>
        <w:pStyle w:val="L-"/>
        <w:adjustRightInd w:val="0"/>
        <w:spacing w:line="360" w:lineRule="auto"/>
        <w:ind w:firstLine="482"/>
        <w:rPr>
          <w:rFonts w:ascii="Times New Roman" w:cs="Times New Roman"/>
          <w:color w:val="000000" w:themeColor="text1"/>
          <w:kern w:val="2"/>
          <w:szCs w:val="24"/>
          <w:shd w:val="clear" w:color="auto" w:fill="auto"/>
        </w:rPr>
      </w:pPr>
      <w:r w:rsidRPr="008A2411">
        <w:rPr>
          <w:rFonts w:ascii="Times New Roman" w:cs="Times New Roman"/>
          <w:color w:val="000000" w:themeColor="text1"/>
          <w:kern w:val="2"/>
          <w:szCs w:val="24"/>
          <w:shd w:val="clear" w:color="auto" w:fill="auto"/>
        </w:rPr>
        <w:t>根据本项目工艺污染物排放情况，总量控制指标为：</w:t>
      </w:r>
      <w:r w:rsidRPr="008A2411">
        <w:rPr>
          <w:rFonts w:ascii="Times New Roman" w:cs="Times New Roman"/>
          <w:color w:val="000000" w:themeColor="text1"/>
        </w:rPr>
        <w:t>SO</w:t>
      </w:r>
      <w:r w:rsidRPr="008A2411">
        <w:rPr>
          <w:rFonts w:ascii="Times New Roman" w:cs="Times New Roman"/>
          <w:color w:val="000000" w:themeColor="text1"/>
          <w:vertAlign w:val="subscript"/>
        </w:rPr>
        <w:t>2</w:t>
      </w:r>
      <w:r w:rsidRPr="008A2411">
        <w:rPr>
          <w:rFonts w:ascii="Times New Roman" w:cs="Times New Roman"/>
          <w:color w:val="000000" w:themeColor="text1"/>
        </w:rPr>
        <w:t>：</w:t>
      </w:r>
      <w:r w:rsidRPr="008A2411">
        <w:rPr>
          <w:rFonts w:ascii="Times New Roman" w:cs="Times New Roman"/>
          <w:color w:val="000000" w:themeColor="text1"/>
        </w:rPr>
        <w:t>0.086t/a</w:t>
      </w:r>
      <w:r w:rsidRPr="008A2411">
        <w:rPr>
          <w:rFonts w:ascii="Times New Roman" w:cs="Times New Roman"/>
          <w:color w:val="000000" w:themeColor="text1"/>
        </w:rPr>
        <w:t>、</w:t>
      </w:r>
      <w:r w:rsidRPr="008A2411">
        <w:rPr>
          <w:rFonts w:ascii="Times New Roman" w:cs="Times New Roman"/>
          <w:color w:val="000000" w:themeColor="text1"/>
        </w:rPr>
        <w:t>NOx</w:t>
      </w:r>
      <w:r w:rsidRPr="008A2411">
        <w:rPr>
          <w:rFonts w:ascii="Times New Roman" w:cs="Times New Roman"/>
          <w:color w:val="000000" w:themeColor="text1"/>
        </w:rPr>
        <w:t>：</w:t>
      </w:r>
      <w:r w:rsidRPr="008A2411">
        <w:rPr>
          <w:rFonts w:ascii="Times New Roman" w:cs="Times New Roman"/>
          <w:color w:val="000000" w:themeColor="text1"/>
        </w:rPr>
        <w:t>4.4112t/a</w:t>
      </w:r>
      <w:r w:rsidRPr="008A2411">
        <w:rPr>
          <w:rFonts w:ascii="Times New Roman" w:cs="Times New Roman"/>
          <w:color w:val="000000" w:themeColor="text1"/>
        </w:rPr>
        <w:t>、</w:t>
      </w:r>
      <w:r w:rsidR="00F243D6" w:rsidRPr="008A2411">
        <w:rPr>
          <w:rFonts w:ascii="Times New Roman" w:cs="Times New Roman"/>
          <w:color w:val="000000" w:themeColor="text1"/>
        </w:rPr>
        <w:t>NMHC</w:t>
      </w:r>
      <w:r w:rsidRPr="008A2411">
        <w:rPr>
          <w:rFonts w:ascii="Times New Roman" w:cs="Times New Roman"/>
          <w:color w:val="000000" w:themeColor="text1"/>
        </w:rPr>
        <w:t>：</w:t>
      </w:r>
      <w:r w:rsidRPr="008A2411">
        <w:rPr>
          <w:rFonts w:ascii="Times New Roman" w:cs="Times New Roman"/>
          <w:color w:val="000000" w:themeColor="text1"/>
        </w:rPr>
        <w:t>1.0069t/a</w:t>
      </w:r>
      <w:r w:rsidRPr="008A2411">
        <w:rPr>
          <w:rFonts w:ascii="Times New Roman" w:cs="Times New Roman"/>
          <w:color w:val="000000" w:themeColor="text1"/>
          <w:kern w:val="2"/>
          <w:szCs w:val="24"/>
          <w:shd w:val="clear" w:color="auto" w:fill="auto"/>
        </w:rPr>
        <w:t>。</w:t>
      </w:r>
    </w:p>
    <w:p w14:paraId="55CE857A" w14:textId="77777777" w:rsidR="00B0005F" w:rsidRPr="008A2411" w:rsidRDefault="00000000">
      <w:pPr>
        <w:pStyle w:val="WJ2"/>
        <w:snapToGrid/>
        <w:spacing w:line="360" w:lineRule="auto"/>
        <w:rPr>
          <w:rFonts w:ascii="Times New Roman" w:hAnsi="Times New Roman"/>
          <w:color w:val="000000" w:themeColor="text1"/>
        </w:rPr>
      </w:pPr>
      <w:bookmarkStart w:id="794" w:name="_Toc319853014"/>
      <w:bookmarkStart w:id="795" w:name="_Toc310341230"/>
      <w:bookmarkStart w:id="796" w:name="_Toc405214345"/>
      <w:bookmarkStart w:id="797" w:name="_Toc405905411"/>
      <w:bookmarkStart w:id="798" w:name="_Toc405904939"/>
      <w:bookmarkStart w:id="799" w:name="_Toc405904595"/>
      <w:bookmarkStart w:id="800" w:name="_Toc109170806"/>
      <w:bookmarkEnd w:id="734"/>
      <w:bookmarkEnd w:id="735"/>
      <w:bookmarkEnd w:id="736"/>
      <w:bookmarkEnd w:id="737"/>
      <w:bookmarkEnd w:id="738"/>
      <w:bookmarkEnd w:id="739"/>
      <w:bookmarkEnd w:id="740"/>
      <w:bookmarkEnd w:id="741"/>
      <w:bookmarkEnd w:id="780"/>
      <w:bookmarkEnd w:id="781"/>
      <w:bookmarkEnd w:id="782"/>
      <w:bookmarkEnd w:id="783"/>
      <w:bookmarkEnd w:id="784"/>
      <w:bookmarkEnd w:id="785"/>
      <w:r w:rsidRPr="008A2411">
        <w:rPr>
          <w:rFonts w:ascii="Times New Roman" w:hAnsi="Times New Roman"/>
          <w:color w:val="000000" w:themeColor="text1"/>
        </w:rPr>
        <w:t>9.</w:t>
      </w:r>
      <w:r w:rsidRPr="008A2411">
        <w:rPr>
          <w:rFonts w:ascii="Times New Roman" w:hAnsi="Times New Roman" w:hint="eastAsia"/>
          <w:color w:val="000000" w:themeColor="text1"/>
        </w:rPr>
        <w:t>5</w:t>
      </w:r>
      <w:r w:rsidRPr="008A2411">
        <w:rPr>
          <w:rFonts w:ascii="Times New Roman" w:hAnsi="Times New Roman"/>
          <w:color w:val="000000" w:themeColor="text1"/>
        </w:rPr>
        <w:t>环境监测</w:t>
      </w:r>
      <w:bookmarkEnd w:id="794"/>
      <w:bookmarkEnd w:id="795"/>
      <w:bookmarkEnd w:id="796"/>
      <w:r w:rsidRPr="008A2411">
        <w:rPr>
          <w:rFonts w:ascii="Times New Roman" w:hAnsi="Times New Roman"/>
          <w:color w:val="000000" w:themeColor="text1"/>
        </w:rPr>
        <w:t>计划</w:t>
      </w:r>
      <w:bookmarkStart w:id="801" w:name="_Toc405905412"/>
      <w:bookmarkStart w:id="802" w:name="_Toc405904940"/>
      <w:bookmarkStart w:id="803" w:name="_Toc405904596"/>
      <w:bookmarkEnd w:id="797"/>
      <w:bookmarkEnd w:id="798"/>
      <w:bookmarkEnd w:id="799"/>
      <w:bookmarkEnd w:id="800"/>
    </w:p>
    <w:p w14:paraId="6EE36B84"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制定环境监测计划的目的是为了监督各项环保措施的落实，根据监测结构适时调整环境保护行动计划，为环境措施的实施提供依据。制定的原则是根据预测的各个时期的主要环境影响及可能超标的地段及超标指标而定，重点是各</w:t>
      </w:r>
      <w:bookmarkEnd w:id="801"/>
      <w:bookmarkEnd w:id="802"/>
      <w:bookmarkEnd w:id="803"/>
      <w:r w:rsidRPr="008A2411">
        <w:rPr>
          <w:rFonts w:ascii="Times New Roman" w:hAnsi="Times New Roman"/>
          <w:color w:val="000000" w:themeColor="text1"/>
        </w:rPr>
        <w:t>敏感目标。</w:t>
      </w:r>
    </w:p>
    <w:p w14:paraId="25A08AC2" w14:textId="77777777" w:rsidR="00B0005F" w:rsidRPr="008A2411" w:rsidRDefault="00000000">
      <w:pPr>
        <w:pStyle w:val="WJ3"/>
        <w:snapToGrid/>
        <w:spacing w:line="360" w:lineRule="auto"/>
        <w:rPr>
          <w:rFonts w:ascii="Times New Roman" w:hAnsi="Times New Roman"/>
          <w:color w:val="000000" w:themeColor="text1"/>
        </w:rPr>
      </w:pPr>
      <w:r w:rsidRPr="008A2411">
        <w:rPr>
          <w:rFonts w:ascii="Times New Roman" w:hAnsi="Times New Roman"/>
          <w:color w:val="000000" w:themeColor="text1"/>
        </w:rPr>
        <w:lastRenderedPageBreak/>
        <w:t>9.</w:t>
      </w:r>
      <w:r w:rsidRPr="008A2411">
        <w:rPr>
          <w:rFonts w:ascii="Times New Roman" w:hAnsi="Times New Roman" w:hint="eastAsia"/>
          <w:color w:val="000000" w:themeColor="text1"/>
        </w:rPr>
        <w:t>5</w:t>
      </w:r>
      <w:r w:rsidRPr="008A2411">
        <w:rPr>
          <w:rFonts w:ascii="Times New Roman" w:hAnsi="Times New Roman"/>
          <w:color w:val="000000" w:themeColor="text1"/>
        </w:rPr>
        <w:t>.1</w:t>
      </w:r>
      <w:r w:rsidRPr="008A2411">
        <w:rPr>
          <w:rFonts w:ascii="Times New Roman" w:hAnsi="Times New Roman"/>
          <w:color w:val="000000" w:themeColor="text1"/>
        </w:rPr>
        <w:t>环境监测工作组织</w:t>
      </w:r>
    </w:p>
    <w:p w14:paraId="1AF80C38"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项目建设单位为宣汉宏</w:t>
      </w:r>
      <w:proofErr w:type="gramStart"/>
      <w:r w:rsidRPr="008A2411">
        <w:rPr>
          <w:rFonts w:ascii="Times New Roman" w:hAnsi="Times New Roman"/>
          <w:color w:val="000000" w:themeColor="text1"/>
        </w:rPr>
        <w:t>浩</w:t>
      </w:r>
      <w:proofErr w:type="gramEnd"/>
      <w:r w:rsidRPr="008A2411">
        <w:rPr>
          <w:rFonts w:ascii="Times New Roman" w:hAnsi="Times New Roman"/>
          <w:color w:val="000000" w:themeColor="text1"/>
        </w:rPr>
        <w:t>能源科技发展有限公司。该厂投入正常生产后，由公司定期委托具备监测资质的单位对生产过程中所产生污染物进行日常监测，对可能受影响居住区和地表水监测，建立健全监测档案，发现问题及时处理。</w:t>
      </w:r>
    </w:p>
    <w:p w14:paraId="38F98EB8" w14:textId="77777777" w:rsidR="00B0005F" w:rsidRPr="008A2411" w:rsidRDefault="00000000">
      <w:pPr>
        <w:pStyle w:val="WJ3"/>
        <w:snapToGrid/>
        <w:spacing w:line="360" w:lineRule="auto"/>
        <w:rPr>
          <w:rFonts w:ascii="Times New Roman" w:hAnsi="Times New Roman"/>
          <w:color w:val="000000" w:themeColor="text1"/>
        </w:rPr>
      </w:pPr>
      <w:r w:rsidRPr="008A2411">
        <w:rPr>
          <w:rFonts w:ascii="Times New Roman" w:hAnsi="Times New Roman"/>
          <w:color w:val="000000" w:themeColor="text1"/>
        </w:rPr>
        <w:t>9.</w:t>
      </w:r>
      <w:r w:rsidRPr="008A2411">
        <w:rPr>
          <w:rFonts w:ascii="Times New Roman" w:hAnsi="Times New Roman" w:hint="eastAsia"/>
          <w:color w:val="000000" w:themeColor="text1"/>
        </w:rPr>
        <w:t>5</w:t>
      </w:r>
      <w:r w:rsidRPr="008A2411">
        <w:rPr>
          <w:rFonts w:ascii="Times New Roman" w:hAnsi="Times New Roman"/>
          <w:color w:val="000000" w:themeColor="text1"/>
        </w:rPr>
        <w:t>.2</w:t>
      </w:r>
      <w:r w:rsidRPr="008A2411">
        <w:rPr>
          <w:rFonts w:ascii="Times New Roman" w:hAnsi="Times New Roman"/>
          <w:color w:val="000000" w:themeColor="text1"/>
        </w:rPr>
        <w:t>监测计划</w:t>
      </w:r>
    </w:p>
    <w:p w14:paraId="58E50288"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hint="eastAsia"/>
          <w:color w:val="000000" w:themeColor="text1"/>
        </w:rPr>
        <w:t>结合《排污单位自行监测技术指南</w:t>
      </w:r>
      <w:r w:rsidRPr="008A2411">
        <w:rPr>
          <w:rFonts w:ascii="Times New Roman" w:hAnsi="Times New Roman" w:hint="eastAsia"/>
          <w:color w:val="000000" w:themeColor="text1"/>
        </w:rPr>
        <w:t xml:space="preserve"> </w:t>
      </w:r>
      <w:r w:rsidRPr="008A2411">
        <w:rPr>
          <w:rFonts w:ascii="Times New Roman" w:hAnsi="Times New Roman" w:hint="eastAsia"/>
          <w:color w:val="000000" w:themeColor="text1"/>
        </w:rPr>
        <w:t>陆上石油天然气开采工业》</w:t>
      </w:r>
      <w:r w:rsidRPr="008A2411">
        <w:rPr>
          <w:rFonts w:ascii="Times New Roman" w:hAnsi="Times New Roman" w:hint="eastAsia"/>
          <w:color w:val="000000" w:themeColor="text1"/>
        </w:rPr>
        <w:t>(HJ1248-2022)</w:t>
      </w:r>
      <w:r w:rsidRPr="008A2411">
        <w:rPr>
          <w:rFonts w:ascii="Times New Roman" w:hAnsi="Times New Roman" w:hint="eastAsia"/>
          <w:color w:val="000000" w:themeColor="text1"/>
        </w:rPr>
        <w:t>，</w:t>
      </w:r>
      <w:r w:rsidRPr="008A2411">
        <w:rPr>
          <w:rFonts w:ascii="Times New Roman" w:hAnsi="Times New Roman"/>
          <w:color w:val="000000" w:themeColor="text1"/>
        </w:rPr>
        <w:t>项目运营期监测内容应包括污染源监测及环境现状监测，建议为：</w:t>
      </w:r>
    </w:p>
    <w:p w14:paraId="649F0581"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1</w:t>
      </w:r>
      <w:r w:rsidRPr="008A2411">
        <w:rPr>
          <w:rFonts w:ascii="Times New Roman" w:hAnsi="Times New Roman"/>
          <w:color w:val="000000" w:themeColor="text1"/>
        </w:rPr>
        <w:t>）生产废水</w:t>
      </w:r>
      <w:r w:rsidRPr="008A2411">
        <w:rPr>
          <w:rFonts w:ascii="Times New Roman" w:hAnsi="Times New Roman"/>
          <w:color w:val="000000" w:themeColor="text1"/>
        </w:rPr>
        <w:t xml:space="preserve"> </w:t>
      </w:r>
    </w:p>
    <w:p w14:paraId="43A3077F"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①</w:t>
      </w:r>
      <w:r w:rsidRPr="008A2411">
        <w:rPr>
          <w:rFonts w:ascii="Times New Roman" w:hAnsi="Times New Roman"/>
          <w:color w:val="000000" w:themeColor="text1"/>
        </w:rPr>
        <w:t>监测点位：污水收集池</w:t>
      </w:r>
    </w:p>
    <w:p w14:paraId="6063609C"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监测频率：运行期监测</w:t>
      </w:r>
      <w:r w:rsidRPr="008A2411">
        <w:rPr>
          <w:rFonts w:ascii="Times New Roman" w:hAnsi="Times New Roman"/>
          <w:color w:val="000000" w:themeColor="text1"/>
        </w:rPr>
        <w:t>1</w:t>
      </w:r>
      <w:r w:rsidRPr="008A2411">
        <w:rPr>
          <w:rFonts w:ascii="Times New Roman" w:hAnsi="Times New Roman"/>
          <w:color w:val="000000" w:themeColor="text1"/>
        </w:rPr>
        <w:t>次</w:t>
      </w:r>
      <w:r w:rsidRPr="008A2411">
        <w:rPr>
          <w:rFonts w:ascii="Times New Roman" w:hAnsi="Times New Roman"/>
          <w:color w:val="000000" w:themeColor="text1"/>
        </w:rPr>
        <w:t>/</w:t>
      </w:r>
      <w:r w:rsidRPr="008A2411">
        <w:rPr>
          <w:rFonts w:ascii="Times New Roman" w:hAnsi="Times New Roman"/>
          <w:color w:val="000000" w:themeColor="text1"/>
        </w:rPr>
        <w:t>年</w:t>
      </w:r>
    </w:p>
    <w:p w14:paraId="5F7E39D4"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监测项目：</w:t>
      </w:r>
      <w:r w:rsidRPr="008A2411">
        <w:rPr>
          <w:rFonts w:ascii="Times New Roman" w:hAnsi="Times New Roman"/>
          <w:color w:val="000000" w:themeColor="text1"/>
        </w:rPr>
        <w:t>COD</w:t>
      </w:r>
      <w:r w:rsidRPr="008A2411">
        <w:rPr>
          <w:rFonts w:ascii="Times New Roman" w:hAnsi="Times New Roman"/>
          <w:color w:val="000000" w:themeColor="text1"/>
          <w:vertAlign w:val="subscript"/>
        </w:rPr>
        <w:t>Cr</w:t>
      </w:r>
      <w:r w:rsidRPr="008A2411">
        <w:rPr>
          <w:rFonts w:ascii="Times New Roman" w:hAnsi="Times New Roman"/>
          <w:color w:val="000000" w:themeColor="text1"/>
        </w:rPr>
        <w:t>、</w:t>
      </w:r>
      <w:r w:rsidRPr="008A2411">
        <w:rPr>
          <w:rFonts w:ascii="Times New Roman" w:hAnsi="Times New Roman"/>
          <w:color w:val="000000" w:themeColor="text1"/>
        </w:rPr>
        <w:t>SS</w:t>
      </w:r>
      <w:r w:rsidRPr="008A2411">
        <w:rPr>
          <w:rFonts w:ascii="Times New Roman" w:hAnsi="Times New Roman"/>
          <w:color w:val="000000" w:themeColor="text1"/>
        </w:rPr>
        <w:t>、</w:t>
      </w:r>
      <w:r w:rsidRPr="008A2411">
        <w:rPr>
          <w:rFonts w:ascii="Times New Roman" w:hAnsi="Times New Roman"/>
          <w:color w:val="000000" w:themeColor="text1"/>
        </w:rPr>
        <w:t>Cl</w:t>
      </w:r>
      <w:r w:rsidRPr="008A2411">
        <w:rPr>
          <w:rFonts w:ascii="Times New Roman" w:hAnsi="Times New Roman"/>
          <w:color w:val="000000" w:themeColor="text1"/>
          <w:vertAlign w:val="superscript"/>
        </w:rPr>
        <w:t>-</w:t>
      </w:r>
      <w:r w:rsidRPr="008A2411">
        <w:rPr>
          <w:rFonts w:ascii="Times New Roman" w:hAnsi="Times New Roman"/>
          <w:color w:val="000000" w:themeColor="text1"/>
          <w:vertAlign w:val="superscript"/>
        </w:rPr>
        <w:t>、</w:t>
      </w:r>
      <w:r w:rsidRPr="008A2411">
        <w:rPr>
          <w:rFonts w:ascii="Times New Roman" w:hAnsi="Times New Roman"/>
          <w:color w:val="000000" w:themeColor="text1"/>
        </w:rPr>
        <w:t>、</w:t>
      </w:r>
      <w:r w:rsidRPr="008A2411">
        <w:rPr>
          <w:rFonts w:ascii="Times New Roman" w:hAnsi="Times New Roman"/>
          <w:color w:val="000000" w:themeColor="text1"/>
        </w:rPr>
        <w:t>pH</w:t>
      </w:r>
      <w:r w:rsidRPr="008A2411">
        <w:rPr>
          <w:rFonts w:ascii="Times New Roman" w:hAnsi="Times New Roman"/>
          <w:color w:val="000000" w:themeColor="text1"/>
        </w:rPr>
        <w:t>、石油类、硫化物</w:t>
      </w:r>
    </w:p>
    <w:p w14:paraId="087D6F35"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2</w:t>
      </w:r>
      <w:r w:rsidRPr="008A2411">
        <w:rPr>
          <w:rFonts w:ascii="Times New Roman" w:hAnsi="Times New Roman"/>
          <w:color w:val="000000" w:themeColor="text1"/>
        </w:rPr>
        <w:t>）大气</w:t>
      </w:r>
    </w:p>
    <w:p w14:paraId="4F1FFB07"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①</w:t>
      </w:r>
      <w:r w:rsidRPr="008A2411">
        <w:rPr>
          <w:rFonts w:ascii="Times New Roman" w:hAnsi="Times New Roman"/>
          <w:color w:val="000000" w:themeColor="text1"/>
        </w:rPr>
        <w:t>污染源监测</w:t>
      </w:r>
    </w:p>
    <w:p w14:paraId="18EE0CEB"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监测点位：脱硫塔活性炭净化装置进、出口各一个点位；导热油炉、排气筒；站场四周厂界各设一个点位。</w:t>
      </w:r>
    </w:p>
    <w:p w14:paraId="7F7250E2"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监测频率：脱硫塔活性炭净化装置进、出口各一个点位，监测</w:t>
      </w:r>
      <w:r w:rsidRPr="008A2411">
        <w:rPr>
          <w:rFonts w:ascii="Times New Roman" w:hAnsi="Times New Roman"/>
          <w:color w:val="000000" w:themeColor="text1"/>
        </w:rPr>
        <w:t>1</w:t>
      </w:r>
      <w:r w:rsidRPr="008A2411">
        <w:rPr>
          <w:rFonts w:ascii="Times New Roman" w:hAnsi="Times New Roman"/>
          <w:color w:val="000000" w:themeColor="text1"/>
        </w:rPr>
        <w:t>次</w:t>
      </w:r>
      <w:r w:rsidRPr="008A2411">
        <w:rPr>
          <w:rFonts w:ascii="Times New Roman" w:hAnsi="Times New Roman"/>
          <w:color w:val="000000" w:themeColor="text1"/>
        </w:rPr>
        <w:t>/</w:t>
      </w:r>
      <w:r w:rsidRPr="008A2411">
        <w:rPr>
          <w:rFonts w:ascii="Times New Roman" w:hAnsi="Times New Roman"/>
          <w:color w:val="000000" w:themeColor="text1"/>
        </w:rPr>
        <w:t>季；导热油炉排气筒运行期监测</w:t>
      </w:r>
      <w:r w:rsidRPr="008A2411">
        <w:rPr>
          <w:rFonts w:ascii="Times New Roman" w:hAnsi="Times New Roman"/>
          <w:color w:val="000000" w:themeColor="text1"/>
        </w:rPr>
        <w:t>1-2</w:t>
      </w:r>
      <w:r w:rsidRPr="008A2411">
        <w:rPr>
          <w:rFonts w:ascii="Times New Roman" w:hAnsi="Times New Roman"/>
          <w:color w:val="000000" w:themeColor="text1"/>
        </w:rPr>
        <w:t>次；站场四周厂界监测点位，监测</w:t>
      </w:r>
      <w:r w:rsidRPr="008A2411">
        <w:rPr>
          <w:rFonts w:ascii="Times New Roman" w:hAnsi="Times New Roman"/>
          <w:color w:val="000000" w:themeColor="text1"/>
        </w:rPr>
        <w:t>2</w:t>
      </w:r>
      <w:r w:rsidRPr="008A2411">
        <w:rPr>
          <w:rFonts w:ascii="Times New Roman" w:hAnsi="Times New Roman"/>
          <w:color w:val="000000" w:themeColor="text1"/>
        </w:rPr>
        <w:t>次</w:t>
      </w:r>
      <w:r w:rsidRPr="008A2411">
        <w:rPr>
          <w:rFonts w:ascii="Times New Roman" w:hAnsi="Times New Roman"/>
          <w:color w:val="000000" w:themeColor="text1"/>
        </w:rPr>
        <w:t>/</w:t>
      </w:r>
      <w:r w:rsidRPr="008A2411">
        <w:rPr>
          <w:rFonts w:ascii="Times New Roman" w:hAnsi="Times New Roman"/>
          <w:color w:val="000000" w:themeColor="text1"/>
        </w:rPr>
        <w:t>年。</w:t>
      </w:r>
    </w:p>
    <w:p w14:paraId="5F95F32C"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监测项目：脱硫塔活性炭净化装置进、出口需监测烟温、流速、流量、</w:t>
      </w:r>
      <w:r w:rsidRPr="008A2411">
        <w:rPr>
          <w:rFonts w:ascii="Times New Roman" w:hAnsi="Times New Roman"/>
          <w:color w:val="000000" w:themeColor="text1"/>
        </w:rPr>
        <w:t>H</w:t>
      </w:r>
      <w:r w:rsidRPr="008A2411">
        <w:rPr>
          <w:rFonts w:ascii="Times New Roman" w:hAnsi="Times New Roman"/>
          <w:color w:val="000000" w:themeColor="text1"/>
          <w:vertAlign w:val="subscript"/>
        </w:rPr>
        <w:t>2</w:t>
      </w:r>
      <w:r w:rsidRPr="008A2411">
        <w:rPr>
          <w:rFonts w:ascii="Times New Roman" w:hAnsi="Times New Roman"/>
          <w:color w:val="000000" w:themeColor="text1"/>
        </w:rPr>
        <w:t>S</w:t>
      </w:r>
      <w:r w:rsidRPr="008A2411">
        <w:rPr>
          <w:rFonts w:ascii="Times New Roman" w:hAnsi="Times New Roman"/>
          <w:color w:val="000000" w:themeColor="text1"/>
        </w:rPr>
        <w:t>、</w:t>
      </w:r>
      <w:r w:rsidRPr="008A2411">
        <w:rPr>
          <w:rFonts w:ascii="Times New Roman" w:hAnsi="Times New Roman"/>
          <w:color w:val="000000" w:themeColor="text1"/>
        </w:rPr>
        <w:t>NMHC</w:t>
      </w:r>
      <w:r w:rsidRPr="008A2411">
        <w:rPr>
          <w:rFonts w:ascii="Times New Roman" w:hAnsi="Times New Roman"/>
          <w:color w:val="000000" w:themeColor="text1"/>
        </w:rPr>
        <w:t>；导热油炉排气筒需监测烟温、流速、流量、</w:t>
      </w:r>
      <w:r w:rsidRPr="008A2411">
        <w:rPr>
          <w:rFonts w:ascii="Times New Roman" w:hAnsi="Times New Roman"/>
          <w:color w:val="000000" w:themeColor="text1"/>
        </w:rPr>
        <w:t>NO</w:t>
      </w:r>
      <w:r w:rsidRPr="008A2411">
        <w:rPr>
          <w:rFonts w:ascii="Times New Roman" w:hAnsi="Times New Roman"/>
          <w:color w:val="000000" w:themeColor="text1"/>
          <w:vertAlign w:val="subscript"/>
        </w:rPr>
        <w:t>X</w:t>
      </w:r>
      <w:r w:rsidRPr="008A2411">
        <w:rPr>
          <w:rFonts w:ascii="Times New Roman" w:hAnsi="Times New Roman"/>
          <w:color w:val="000000" w:themeColor="text1"/>
        </w:rPr>
        <w:t>、</w:t>
      </w:r>
      <w:r w:rsidRPr="008A2411">
        <w:rPr>
          <w:rFonts w:ascii="Times New Roman" w:hAnsi="Times New Roman"/>
          <w:color w:val="000000" w:themeColor="text1"/>
        </w:rPr>
        <w:t>SO</w:t>
      </w:r>
      <w:r w:rsidRPr="008A2411">
        <w:rPr>
          <w:rFonts w:ascii="Times New Roman" w:hAnsi="Times New Roman"/>
          <w:color w:val="000000" w:themeColor="text1"/>
          <w:vertAlign w:val="subscript"/>
        </w:rPr>
        <w:t>2</w:t>
      </w:r>
      <w:r w:rsidRPr="008A2411">
        <w:rPr>
          <w:rFonts w:ascii="Times New Roman" w:hAnsi="Times New Roman"/>
          <w:color w:val="000000" w:themeColor="text1"/>
        </w:rPr>
        <w:t>、烟尘；厂界需</w:t>
      </w:r>
      <w:proofErr w:type="gramStart"/>
      <w:r w:rsidRPr="008A2411">
        <w:rPr>
          <w:rFonts w:ascii="Times New Roman" w:hAnsi="Times New Roman"/>
          <w:color w:val="000000" w:themeColor="text1"/>
        </w:rPr>
        <w:t>监测非</w:t>
      </w:r>
      <w:proofErr w:type="gramEnd"/>
      <w:r w:rsidRPr="008A2411">
        <w:rPr>
          <w:rFonts w:ascii="Times New Roman" w:hAnsi="Times New Roman"/>
          <w:color w:val="000000" w:themeColor="text1"/>
        </w:rPr>
        <w:t>甲烷总烃、</w:t>
      </w:r>
      <w:r w:rsidRPr="008A2411">
        <w:rPr>
          <w:rFonts w:ascii="Times New Roman" w:hAnsi="Times New Roman"/>
          <w:color w:val="000000" w:themeColor="text1"/>
        </w:rPr>
        <w:t>H</w:t>
      </w:r>
      <w:r w:rsidRPr="008A2411">
        <w:rPr>
          <w:rFonts w:ascii="Times New Roman" w:hAnsi="Times New Roman"/>
          <w:color w:val="000000" w:themeColor="text1"/>
          <w:vertAlign w:val="subscript"/>
        </w:rPr>
        <w:t>2</w:t>
      </w:r>
      <w:r w:rsidRPr="008A2411">
        <w:rPr>
          <w:rFonts w:ascii="Times New Roman" w:hAnsi="Times New Roman"/>
          <w:color w:val="000000" w:themeColor="text1"/>
        </w:rPr>
        <w:t>S</w:t>
      </w:r>
      <w:r w:rsidRPr="008A2411">
        <w:rPr>
          <w:rFonts w:ascii="Times New Roman" w:hAnsi="Times New Roman"/>
          <w:color w:val="000000" w:themeColor="text1"/>
        </w:rPr>
        <w:t>、臭气浓度。</w:t>
      </w:r>
    </w:p>
    <w:p w14:paraId="169ECF9B"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②</w:t>
      </w:r>
      <w:r w:rsidRPr="008A2411">
        <w:rPr>
          <w:rFonts w:ascii="Times New Roman" w:hAnsi="Times New Roman"/>
          <w:color w:val="000000" w:themeColor="text1"/>
        </w:rPr>
        <w:t>环境现状监测</w:t>
      </w:r>
    </w:p>
    <w:p w14:paraId="658F2102"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监测点位：站场外最近的环境敏感点处</w:t>
      </w:r>
    </w:p>
    <w:p w14:paraId="3EF2304E"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监测频率：监测</w:t>
      </w:r>
      <w:r w:rsidRPr="008A2411">
        <w:rPr>
          <w:rFonts w:ascii="Times New Roman" w:hAnsi="Times New Roman"/>
          <w:color w:val="000000" w:themeColor="text1"/>
        </w:rPr>
        <w:t>1</w:t>
      </w:r>
      <w:r w:rsidRPr="008A2411">
        <w:rPr>
          <w:rFonts w:ascii="Times New Roman" w:hAnsi="Times New Roman"/>
          <w:color w:val="000000" w:themeColor="text1"/>
        </w:rPr>
        <w:t>次。</w:t>
      </w:r>
    </w:p>
    <w:p w14:paraId="6C33ED5C"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监测项目：</w:t>
      </w:r>
      <w:r w:rsidRPr="008A2411">
        <w:rPr>
          <w:rFonts w:ascii="Times New Roman" w:hAnsi="Times New Roman"/>
          <w:color w:val="000000" w:themeColor="text1"/>
        </w:rPr>
        <w:t>NMHC</w:t>
      </w:r>
      <w:r w:rsidRPr="008A2411">
        <w:rPr>
          <w:rFonts w:ascii="Times New Roman" w:hAnsi="Times New Roman"/>
          <w:color w:val="000000" w:themeColor="text1"/>
        </w:rPr>
        <w:t>、</w:t>
      </w:r>
      <w:r w:rsidRPr="008A2411">
        <w:rPr>
          <w:rFonts w:ascii="Times New Roman" w:hAnsi="Times New Roman"/>
          <w:color w:val="000000" w:themeColor="text1"/>
        </w:rPr>
        <w:t>H</w:t>
      </w:r>
      <w:r w:rsidRPr="008A2411">
        <w:rPr>
          <w:rFonts w:ascii="Times New Roman" w:hAnsi="Times New Roman"/>
          <w:color w:val="000000" w:themeColor="text1"/>
          <w:vertAlign w:val="subscript"/>
        </w:rPr>
        <w:t>2</w:t>
      </w:r>
      <w:r w:rsidRPr="008A2411">
        <w:rPr>
          <w:rFonts w:ascii="Times New Roman" w:hAnsi="Times New Roman"/>
          <w:color w:val="000000" w:themeColor="text1"/>
        </w:rPr>
        <w:t>S</w:t>
      </w:r>
      <w:r w:rsidRPr="008A2411">
        <w:rPr>
          <w:rFonts w:ascii="Times New Roman" w:hAnsi="Times New Roman"/>
          <w:color w:val="000000" w:themeColor="text1"/>
        </w:rPr>
        <w:t>。</w:t>
      </w:r>
    </w:p>
    <w:p w14:paraId="1F25D823"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3</w:t>
      </w:r>
      <w:r w:rsidRPr="008A2411">
        <w:rPr>
          <w:rFonts w:ascii="Times New Roman" w:hAnsi="Times New Roman"/>
          <w:color w:val="000000" w:themeColor="text1"/>
        </w:rPr>
        <w:t>）噪声</w:t>
      </w:r>
    </w:p>
    <w:p w14:paraId="09E177FB"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①</w:t>
      </w:r>
      <w:r w:rsidRPr="008A2411">
        <w:rPr>
          <w:rFonts w:ascii="Times New Roman" w:hAnsi="Times New Roman"/>
          <w:color w:val="000000" w:themeColor="text1"/>
        </w:rPr>
        <w:t>污染源监测</w:t>
      </w:r>
    </w:p>
    <w:p w14:paraId="29C493AE"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监测点位：厂界四周。</w:t>
      </w:r>
    </w:p>
    <w:p w14:paraId="7562363A"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监测频率：</w:t>
      </w:r>
      <w:r w:rsidRPr="008A2411">
        <w:rPr>
          <w:rFonts w:ascii="Times New Roman" w:hAnsi="Times New Roman"/>
          <w:color w:val="000000" w:themeColor="text1"/>
        </w:rPr>
        <w:t>1</w:t>
      </w:r>
      <w:r w:rsidRPr="008A2411">
        <w:rPr>
          <w:rFonts w:ascii="Times New Roman" w:hAnsi="Times New Roman"/>
          <w:color w:val="000000" w:themeColor="text1"/>
        </w:rPr>
        <w:t>次</w:t>
      </w:r>
      <w:r w:rsidRPr="008A2411">
        <w:rPr>
          <w:rFonts w:ascii="Times New Roman" w:hAnsi="Times New Roman"/>
          <w:color w:val="000000" w:themeColor="text1"/>
        </w:rPr>
        <w:t>/</w:t>
      </w:r>
      <w:r w:rsidRPr="008A2411">
        <w:rPr>
          <w:rFonts w:ascii="Times New Roman" w:hAnsi="Times New Roman"/>
          <w:color w:val="000000" w:themeColor="text1"/>
        </w:rPr>
        <w:t>季，连续监测两天，昼、夜间各</w:t>
      </w:r>
      <w:r w:rsidRPr="008A2411">
        <w:rPr>
          <w:rFonts w:ascii="Times New Roman" w:hAnsi="Times New Roman"/>
          <w:color w:val="000000" w:themeColor="text1"/>
        </w:rPr>
        <w:t>1</w:t>
      </w:r>
      <w:r w:rsidRPr="008A2411">
        <w:rPr>
          <w:rFonts w:ascii="Times New Roman" w:hAnsi="Times New Roman"/>
          <w:color w:val="000000" w:themeColor="text1"/>
        </w:rPr>
        <w:t>次。</w:t>
      </w:r>
    </w:p>
    <w:p w14:paraId="53C73BDE"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监测项目：等效连续</w:t>
      </w:r>
      <w:r w:rsidRPr="008A2411">
        <w:rPr>
          <w:rFonts w:ascii="Times New Roman" w:hAnsi="Times New Roman"/>
          <w:color w:val="000000" w:themeColor="text1"/>
        </w:rPr>
        <w:t>A</w:t>
      </w:r>
      <w:r w:rsidRPr="008A2411">
        <w:rPr>
          <w:rFonts w:ascii="Times New Roman" w:hAnsi="Times New Roman"/>
          <w:color w:val="000000" w:themeColor="text1"/>
        </w:rPr>
        <w:t>声级。</w:t>
      </w:r>
    </w:p>
    <w:p w14:paraId="1D508399"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②</w:t>
      </w:r>
      <w:r w:rsidRPr="008A2411">
        <w:rPr>
          <w:rFonts w:ascii="Times New Roman" w:hAnsi="Times New Roman"/>
          <w:color w:val="000000" w:themeColor="text1"/>
        </w:rPr>
        <w:t>环境现状监测</w:t>
      </w:r>
    </w:p>
    <w:p w14:paraId="34D55727"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lastRenderedPageBreak/>
        <w:t>监测点位：厂界四周最近敏感点处。</w:t>
      </w:r>
    </w:p>
    <w:p w14:paraId="777D5373"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监测频率：</w:t>
      </w:r>
      <w:r w:rsidRPr="008A2411">
        <w:rPr>
          <w:rFonts w:ascii="Times New Roman" w:hAnsi="Times New Roman"/>
          <w:color w:val="000000" w:themeColor="text1"/>
        </w:rPr>
        <w:t>1</w:t>
      </w:r>
      <w:r w:rsidRPr="008A2411">
        <w:rPr>
          <w:rFonts w:ascii="Times New Roman" w:hAnsi="Times New Roman"/>
          <w:color w:val="000000" w:themeColor="text1"/>
        </w:rPr>
        <w:t>次</w:t>
      </w:r>
      <w:r w:rsidRPr="008A2411">
        <w:rPr>
          <w:rFonts w:ascii="Times New Roman" w:hAnsi="Times New Roman"/>
          <w:color w:val="000000" w:themeColor="text1"/>
        </w:rPr>
        <w:t>/</w:t>
      </w:r>
      <w:r w:rsidRPr="008A2411">
        <w:rPr>
          <w:rFonts w:ascii="Times New Roman" w:hAnsi="Times New Roman"/>
          <w:color w:val="000000" w:themeColor="text1"/>
        </w:rPr>
        <w:t>季，连续监测两天，昼、夜间各</w:t>
      </w:r>
      <w:r w:rsidRPr="008A2411">
        <w:rPr>
          <w:rFonts w:ascii="Times New Roman" w:hAnsi="Times New Roman"/>
          <w:color w:val="000000" w:themeColor="text1"/>
        </w:rPr>
        <w:t>1</w:t>
      </w:r>
      <w:r w:rsidRPr="008A2411">
        <w:rPr>
          <w:rFonts w:ascii="Times New Roman" w:hAnsi="Times New Roman"/>
          <w:color w:val="000000" w:themeColor="text1"/>
        </w:rPr>
        <w:t>次。</w:t>
      </w:r>
    </w:p>
    <w:p w14:paraId="1DF74C47"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监测项目：等效连续</w:t>
      </w:r>
      <w:r w:rsidRPr="008A2411">
        <w:rPr>
          <w:rFonts w:ascii="Times New Roman" w:hAnsi="Times New Roman"/>
          <w:color w:val="000000" w:themeColor="text1"/>
        </w:rPr>
        <w:t>A</w:t>
      </w:r>
      <w:r w:rsidRPr="008A2411">
        <w:rPr>
          <w:rFonts w:ascii="Times New Roman" w:hAnsi="Times New Roman"/>
          <w:color w:val="000000" w:themeColor="text1"/>
        </w:rPr>
        <w:t>声级。</w:t>
      </w:r>
    </w:p>
    <w:p w14:paraId="3336100B"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4</w:t>
      </w:r>
      <w:r w:rsidRPr="008A2411">
        <w:rPr>
          <w:rFonts w:ascii="Times New Roman" w:hAnsi="Times New Roman"/>
          <w:color w:val="000000" w:themeColor="text1"/>
        </w:rPr>
        <w:t>）地下水</w:t>
      </w:r>
    </w:p>
    <w:p w14:paraId="3C123E14" w14:textId="77777777" w:rsidR="00B0005F" w:rsidRPr="008A2411" w:rsidRDefault="00000000">
      <w:pPr>
        <w:adjustRightInd w:val="0"/>
        <w:spacing w:line="360" w:lineRule="auto"/>
        <w:ind w:firstLine="480"/>
        <w:rPr>
          <w:rFonts w:ascii="Times New Roman"/>
          <w:color w:val="000000" w:themeColor="text1"/>
        </w:rPr>
      </w:pPr>
      <w:r w:rsidRPr="008A2411">
        <w:rPr>
          <w:rFonts w:ascii="Times New Roman"/>
          <w:color w:val="000000" w:themeColor="text1"/>
        </w:rPr>
        <w:t>针对本项目工程特征，根据</w:t>
      </w:r>
      <w:r w:rsidRPr="008A2411">
        <w:rPr>
          <w:rFonts w:ascii="Times New Roman" w:hint="eastAsia"/>
          <w:color w:val="000000" w:themeColor="text1"/>
        </w:rPr>
        <w:t>《排污单位自行监测技术指南</w:t>
      </w:r>
      <w:r w:rsidRPr="008A2411">
        <w:rPr>
          <w:rFonts w:ascii="Times New Roman" w:hint="eastAsia"/>
          <w:color w:val="000000" w:themeColor="text1"/>
        </w:rPr>
        <w:t xml:space="preserve"> </w:t>
      </w:r>
      <w:r w:rsidRPr="008A2411">
        <w:rPr>
          <w:rFonts w:ascii="Times New Roman" w:hint="eastAsia"/>
          <w:color w:val="000000" w:themeColor="text1"/>
        </w:rPr>
        <w:t>陆上石油天然气开采工业》</w:t>
      </w:r>
      <w:r w:rsidRPr="008A2411">
        <w:rPr>
          <w:rFonts w:ascii="Times New Roman" w:hint="eastAsia"/>
          <w:color w:val="000000" w:themeColor="text1"/>
        </w:rPr>
        <w:t>(HJ1248-2022)</w:t>
      </w:r>
      <w:r w:rsidRPr="008A2411">
        <w:rPr>
          <w:rFonts w:ascii="Times New Roman" w:hint="eastAsia"/>
          <w:color w:val="000000" w:themeColor="text1"/>
        </w:rPr>
        <w:t>、</w:t>
      </w:r>
      <w:r w:rsidRPr="008A2411">
        <w:rPr>
          <w:rFonts w:ascii="Times New Roman"/>
          <w:color w:val="000000" w:themeColor="text1"/>
        </w:rPr>
        <w:t>《工业企业土壤和地下水自行监测</w:t>
      </w:r>
      <w:r w:rsidRPr="008A2411">
        <w:rPr>
          <w:rFonts w:ascii="Times New Roman"/>
          <w:color w:val="000000" w:themeColor="text1"/>
        </w:rPr>
        <w:t xml:space="preserve"> </w:t>
      </w:r>
      <w:r w:rsidRPr="008A2411">
        <w:rPr>
          <w:rFonts w:ascii="Times New Roman"/>
          <w:color w:val="000000" w:themeColor="text1"/>
        </w:rPr>
        <w:t>技术指南（试行）》（</w:t>
      </w:r>
      <w:r w:rsidRPr="008A2411">
        <w:rPr>
          <w:rFonts w:ascii="Times New Roman"/>
          <w:color w:val="000000" w:themeColor="text1"/>
        </w:rPr>
        <w:t>HJ 1209-2021</w:t>
      </w:r>
      <w:r w:rsidRPr="008A2411">
        <w:rPr>
          <w:rFonts w:ascii="Times New Roman"/>
          <w:color w:val="000000" w:themeColor="text1"/>
        </w:rPr>
        <w:t>），将装置区、污水</w:t>
      </w:r>
      <w:r w:rsidRPr="008A2411">
        <w:rPr>
          <w:rFonts w:ascii="Times New Roman"/>
          <w:color w:val="000000" w:themeColor="text1"/>
          <w:kern w:val="2"/>
          <w:szCs w:val="24"/>
        </w:rPr>
        <w:t>预处理系统识别为一类单元，</w:t>
      </w:r>
      <w:proofErr w:type="gramStart"/>
      <w:r w:rsidRPr="008A2411">
        <w:rPr>
          <w:rFonts w:ascii="Times New Roman"/>
          <w:color w:val="000000" w:themeColor="text1"/>
          <w:kern w:val="2"/>
          <w:szCs w:val="24"/>
        </w:rPr>
        <w:t>其余其余</w:t>
      </w:r>
      <w:proofErr w:type="gramEnd"/>
      <w:r w:rsidRPr="008A2411">
        <w:rPr>
          <w:rFonts w:ascii="Times New Roman"/>
          <w:color w:val="000000" w:themeColor="text1"/>
          <w:kern w:val="2"/>
          <w:szCs w:val="24"/>
        </w:rPr>
        <w:t>为二类单元。</w:t>
      </w:r>
      <w:r w:rsidRPr="008A2411">
        <w:rPr>
          <w:rFonts w:ascii="Times New Roman"/>
          <w:color w:val="000000" w:themeColor="text1"/>
        </w:rPr>
        <w:t>结合周边已有的地下水监测井，本项目应增补建立地下水污染监控体系（监控井</w:t>
      </w:r>
      <w:r w:rsidRPr="008A2411">
        <w:rPr>
          <w:rFonts w:ascii="Times New Roman"/>
          <w:color w:val="000000" w:themeColor="text1"/>
        </w:rPr>
        <w:t>4</w:t>
      </w:r>
      <w:r w:rsidRPr="008A2411">
        <w:rPr>
          <w:rFonts w:ascii="Times New Roman"/>
          <w:color w:val="000000" w:themeColor="text1"/>
        </w:rPr>
        <w:t>口）。</w:t>
      </w:r>
    </w:p>
    <w:p w14:paraId="22E45511" w14:textId="77777777" w:rsidR="00B0005F" w:rsidRPr="008A2411" w:rsidRDefault="00000000">
      <w:pPr>
        <w:pStyle w:val="WJ"/>
        <w:adjustRightInd w:val="0"/>
        <w:spacing w:line="360" w:lineRule="auto"/>
        <w:rPr>
          <w:rFonts w:ascii="Times New Roman" w:hAnsi="Times New Roman"/>
          <w:color w:val="000000" w:themeColor="text1"/>
          <w:kern w:val="0"/>
          <w:szCs w:val="20"/>
        </w:rPr>
      </w:pPr>
      <w:r w:rsidRPr="008A2411">
        <w:rPr>
          <w:rFonts w:ascii="Times New Roman" w:hAnsi="Times New Roman"/>
          <w:color w:val="000000" w:themeColor="text1"/>
        </w:rPr>
        <w:t>监测因子包括基本因子（地下水水位、</w:t>
      </w:r>
      <w:r w:rsidRPr="008A2411">
        <w:rPr>
          <w:rFonts w:ascii="Times New Roman" w:hAnsi="Times New Roman"/>
          <w:color w:val="000000" w:themeColor="text1"/>
        </w:rPr>
        <w:t>pH</w:t>
      </w:r>
      <w:r w:rsidRPr="008A2411">
        <w:rPr>
          <w:rFonts w:ascii="Times New Roman" w:hAnsi="Times New Roman"/>
          <w:color w:val="000000" w:themeColor="text1"/>
        </w:rPr>
        <w:t>、</w:t>
      </w:r>
      <w:r w:rsidRPr="008A2411">
        <w:rPr>
          <w:rFonts w:ascii="Times New Roman" w:hAnsi="Times New Roman"/>
          <w:color w:val="000000" w:themeColor="text1"/>
        </w:rPr>
        <w:t>SO</w:t>
      </w:r>
      <w:r w:rsidRPr="008A2411">
        <w:rPr>
          <w:rFonts w:ascii="Times New Roman" w:hAnsi="Times New Roman"/>
          <w:color w:val="000000" w:themeColor="text1"/>
          <w:vertAlign w:val="subscript"/>
        </w:rPr>
        <w:t>4</w:t>
      </w:r>
      <w:r w:rsidRPr="008A2411">
        <w:rPr>
          <w:rFonts w:ascii="Times New Roman" w:hAnsi="Times New Roman"/>
          <w:color w:val="000000" w:themeColor="text1"/>
          <w:vertAlign w:val="superscript"/>
        </w:rPr>
        <w:t>2-</w:t>
      </w:r>
      <w:r w:rsidRPr="008A2411">
        <w:rPr>
          <w:rFonts w:ascii="Times New Roman" w:hAnsi="Times New Roman"/>
          <w:color w:val="000000" w:themeColor="text1"/>
        </w:rPr>
        <w:t>、</w:t>
      </w:r>
      <w:r w:rsidRPr="008A2411">
        <w:rPr>
          <w:rFonts w:ascii="Times New Roman" w:hAnsi="Times New Roman"/>
          <w:color w:val="000000" w:themeColor="text1"/>
        </w:rPr>
        <w:t>HCO</w:t>
      </w:r>
      <w:r w:rsidRPr="008A2411">
        <w:rPr>
          <w:rFonts w:ascii="Times New Roman" w:hAnsi="Times New Roman"/>
          <w:color w:val="000000" w:themeColor="text1"/>
          <w:vertAlign w:val="subscript"/>
        </w:rPr>
        <w:t>3</w:t>
      </w:r>
      <w:r w:rsidRPr="008A2411">
        <w:rPr>
          <w:rFonts w:ascii="Times New Roman" w:hAnsi="Times New Roman"/>
          <w:color w:val="000000" w:themeColor="text1"/>
          <w:vertAlign w:val="superscript"/>
        </w:rPr>
        <w:t>-</w:t>
      </w:r>
      <w:r w:rsidRPr="008A2411">
        <w:rPr>
          <w:rFonts w:ascii="Times New Roman" w:hAnsi="Times New Roman"/>
          <w:color w:val="000000" w:themeColor="text1"/>
        </w:rPr>
        <w:t>、</w:t>
      </w:r>
      <w:r w:rsidRPr="008A2411">
        <w:rPr>
          <w:rFonts w:ascii="Times New Roman" w:hAnsi="Times New Roman"/>
          <w:color w:val="000000" w:themeColor="text1"/>
        </w:rPr>
        <w:t>Cl</w:t>
      </w:r>
      <w:r w:rsidRPr="008A2411">
        <w:rPr>
          <w:rFonts w:ascii="Times New Roman" w:hAnsi="Times New Roman"/>
          <w:color w:val="000000" w:themeColor="text1"/>
          <w:vertAlign w:val="superscript"/>
        </w:rPr>
        <w:t>-</w:t>
      </w:r>
      <w:r w:rsidRPr="008A2411">
        <w:rPr>
          <w:rFonts w:ascii="Times New Roman" w:hAnsi="Times New Roman"/>
          <w:color w:val="000000" w:themeColor="text1"/>
        </w:rPr>
        <w:t>、</w:t>
      </w:r>
      <w:r w:rsidRPr="008A2411">
        <w:rPr>
          <w:rFonts w:ascii="Times New Roman" w:hAnsi="Times New Roman"/>
          <w:color w:val="000000" w:themeColor="text1"/>
        </w:rPr>
        <w:t>Na</w:t>
      </w:r>
      <w:r w:rsidRPr="008A2411">
        <w:rPr>
          <w:rFonts w:ascii="Times New Roman" w:hAnsi="Times New Roman"/>
          <w:color w:val="000000" w:themeColor="text1"/>
          <w:vertAlign w:val="superscript"/>
        </w:rPr>
        <w:t>+</w:t>
      </w:r>
      <w:r w:rsidRPr="008A2411">
        <w:rPr>
          <w:rFonts w:ascii="Times New Roman" w:hAnsi="Times New Roman"/>
          <w:color w:val="000000" w:themeColor="text1"/>
        </w:rPr>
        <w:t>、</w:t>
      </w:r>
      <w:r w:rsidRPr="008A2411">
        <w:rPr>
          <w:rFonts w:ascii="Times New Roman" w:hAnsi="Times New Roman"/>
          <w:color w:val="000000" w:themeColor="text1"/>
        </w:rPr>
        <w:t>K</w:t>
      </w:r>
      <w:r w:rsidRPr="008A2411">
        <w:rPr>
          <w:rFonts w:ascii="Times New Roman" w:hAnsi="Times New Roman"/>
          <w:color w:val="000000" w:themeColor="text1"/>
          <w:vertAlign w:val="superscript"/>
        </w:rPr>
        <w:t>+</w:t>
      </w:r>
      <w:r w:rsidRPr="008A2411">
        <w:rPr>
          <w:rFonts w:ascii="Times New Roman" w:hAnsi="Times New Roman"/>
          <w:color w:val="000000" w:themeColor="text1"/>
        </w:rPr>
        <w:t>、</w:t>
      </w:r>
      <w:r w:rsidRPr="008A2411">
        <w:rPr>
          <w:rFonts w:ascii="Times New Roman" w:hAnsi="Times New Roman"/>
          <w:color w:val="000000" w:themeColor="text1"/>
        </w:rPr>
        <w:t>Ca</w:t>
      </w:r>
      <w:r w:rsidRPr="008A2411">
        <w:rPr>
          <w:rFonts w:ascii="Times New Roman" w:hAnsi="Times New Roman"/>
          <w:color w:val="000000" w:themeColor="text1"/>
          <w:vertAlign w:val="superscript"/>
        </w:rPr>
        <w:t>2+</w:t>
      </w:r>
      <w:r w:rsidRPr="008A2411">
        <w:rPr>
          <w:rFonts w:ascii="Times New Roman" w:hAnsi="Times New Roman"/>
          <w:color w:val="000000" w:themeColor="text1"/>
        </w:rPr>
        <w:t>、</w:t>
      </w:r>
      <w:r w:rsidRPr="008A2411">
        <w:rPr>
          <w:rFonts w:ascii="Times New Roman" w:hAnsi="Times New Roman"/>
          <w:color w:val="000000" w:themeColor="text1"/>
        </w:rPr>
        <w:t>Mg</w:t>
      </w:r>
      <w:r w:rsidRPr="008A2411">
        <w:rPr>
          <w:rFonts w:ascii="Times New Roman" w:hAnsi="Times New Roman"/>
          <w:color w:val="000000" w:themeColor="text1"/>
          <w:vertAlign w:val="superscript"/>
        </w:rPr>
        <w:t>2+</w:t>
      </w:r>
      <w:r w:rsidRPr="008A2411">
        <w:rPr>
          <w:rFonts w:ascii="Times New Roman" w:hAnsi="Times New Roman"/>
          <w:color w:val="000000" w:themeColor="text1"/>
        </w:rPr>
        <w:t>）和特征污染因子（耗氧量、石油类、</w:t>
      </w:r>
      <w:r w:rsidRPr="008A2411">
        <w:rPr>
          <w:rFonts w:ascii="Times New Roman" w:hAnsi="Times New Roman"/>
          <w:color w:val="000000" w:themeColor="text1"/>
        </w:rPr>
        <w:t>MDEA</w:t>
      </w:r>
      <w:r w:rsidRPr="008A2411">
        <w:rPr>
          <w:rFonts w:ascii="Times New Roman" w:hAnsi="Times New Roman"/>
          <w:color w:val="000000" w:themeColor="text1"/>
        </w:rPr>
        <w:t>、</w:t>
      </w:r>
      <w:r w:rsidRPr="008A2411">
        <w:rPr>
          <w:rFonts w:ascii="Times New Roman" w:hAnsi="Times New Roman"/>
          <w:color w:val="000000" w:themeColor="text1"/>
        </w:rPr>
        <w:t>pH</w:t>
      </w:r>
      <w:r w:rsidRPr="008A2411">
        <w:rPr>
          <w:rFonts w:ascii="Times New Roman" w:hAnsi="Times New Roman"/>
          <w:color w:val="000000" w:themeColor="text1"/>
        </w:rPr>
        <w:t>）</w:t>
      </w:r>
      <w:r w:rsidRPr="008A2411">
        <w:rPr>
          <w:rFonts w:ascii="Times New Roman" w:hAnsi="Times New Roman"/>
          <w:color w:val="000000" w:themeColor="text1"/>
          <w:kern w:val="0"/>
          <w:szCs w:val="20"/>
        </w:rPr>
        <w:t>。一类单元（</w:t>
      </w:r>
      <w:r w:rsidRPr="008A2411">
        <w:rPr>
          <w:rFonts w:ascii="Times New Roman" w:hAnsi="Times New Roman" w:hint="eastAsia"/>
          <w:color w:val="000000" w:themeColor="text1"/>
          <w:kern w:val="0"/>
          <w:szCs w:val="20"/>
        </w:rPr>
        <w:t>装置区、</w:t>
      </w:r>
      <w:r w:rsidRPr="008A2411">
        <w:rPr>
          <w:rFonts w:ascii="Times New Roman" w:hAnsi="Times New Roman"/>
          <w:color w:val="000000" w:themeColor="text1"/>
          <w:kern w:val="0"/>
          <w:szCs w:val="20"/>
        </w:rPr>
        <w:t>污水处理区南侧）监测频率为每季度</w:t>
      </w:r>
      <w:r w:rsidRPr="008A2411">
        <w:rPr>
          <w:rFonts w:ascii="Times New Roman" w:hAnsi="Times New Roman"/>
          <w:color w:val="000000" w:themeColor="text1"/>
          <w:kern w:val="0"/>
          <w:szCs w:val="20"/>
        </w:rPr>
        <w:t>1</w:t>
      </w:r>
      <w:r w:rsidRPr="008A2411">
        <w:rPr>
          <w:rFonts w:ascii="Times New Roman" w:hAnsi="Times New Roman"/>
          <w:color w:val="000000" w:themeColor="text1"/>
          <w:kern w:val="0"/>
          <w:szCs w:val="20"/>
        </w:rPr>
        <w:t>次；二类单元（</w:t>
      </w:r>
      <w:r w:rsidRPr="008A2411">
        <w:rPr>
          <w:rFonts w:ascii="Times New Roman" w:hAnsi="Times New Roman" w:hint="eastAsia"/>
          <w:color w:val="000000" w:themeColor="text1"/>
          <w:kern w:val="0"/>
          <w:szCs w:val="20"/>
        </w:rPr>
        <w:t>厂区北侧边界</w:t>
      </w:r>
      <w:r w:rsidRPr="008A2411">
        <w:rPr>
          <w:rFonts w:ascii="Times New Roman" w:hAnsi="Times New Roman"/>
          <w:color w:val="000000" w:themeColor="text1"/>
          <w:kern w:val="0"/>
          <w:szCs w:val="20"/>
        </w:rPr>
        <w:t>）监测频率为</w:t>
      </w:r>
      <w:r w:rsidRPr="008A2411">
        <w:rPr>
          <w:rFonts w:ascii="Times New Roman" w:hAnsi="Times New Roman"/>
          <w:color w:val="000000" w:themeColor="text1"/>
          <w:kern w:val="0"/>
          <w:szCs w:val="20"/>
        </w:rPr>
        <w:t>1</w:t>
      </w:r>
      <w:r w:rsidRPr="008A2411">
        <w:rPr>
          <w:rFonts w:ascii="Times New Roman" w:hAnsi="Times New Roman"/>
          <w:color w:val="000000" w:themeColor="text1"/>
          <w:kern w:val="0"/>
          <w:szCs w:val="20"/>
        </w:rPr>
        <w:t>次</w:t>
      </w:r>
      <w:r w:rsidRPr="008A2411">
        <w:rPr>
          <w:rFonts w:ascii="Times New Roman" w:hAnsi="Times New Roman"/>
          <w:color w:val="000000" w:themeColor="text1"/>
          <w:kern w:val="0"/>
          <w:szCs w:val="20"/>
        </w:rPr>
        <w:t>/</w:t>
      </w:r>
      <w:r w:rsidRPr="008A2411">
        <w:rPr>
          <w:rFonts w:ascii="Times New Roman" w:hAnsi="Times New Roman"/>
          <w:color w:val="000000" w:themeColor="text1"/>
          <w:kern w:val="0"/>
          <w:szCs w:val="20"/>
        </w:rPr>
        <w:t>半年。</w:t>
      </w:r>
    </w:p>
    <w:p w14:paraId="2CA031D0" w14:textId="77777777" w:rsidR="00B0005F" w:rsidRPr="008A2411" w:rsidRDefault="00000000">
      <w:pPr>
        <w:adjustRightInd w:val="0"/>
        <w:spacing w:line="360" w:lineRule="auto"/>
        <w:ind w:firstLineChars="200" w:firstLine="480"/>
        <w:rPr>
          <w:rFonts w:ascii="Times New Roman"/>
          <w:color w:val="000000" w:themeColor="text1"/>
          <w:kern w:val="2"/>
          <w:szCs w:val="24"/>
        </w:rPr>
      </w:pPr>
      <w:r w:rsidRPr="008A2411">
        <w:rPr>
          <w:rFonts w:ascii="Times New Roman"/>
          <w:color w:val="000000" w:themeColor="text1"/>
          <w:kern w:val="2"/>
          <w:szCs w:val="24"/>
        </w:rPr>
        <w:t>（</w:t>
      </w:r>
      <w:r w:rsidRPr="008A2411">
        <w:rPr>
          <w:rFonts w:ascii="Times New Roman"/>
          <w:color w:val="000000" w:themeColor="text1"/>
          <w:kern w:val="2"/>
          <w:szCs w:val="24"/>
        </w:rPr>
        <w:t>5</w:t>
      </w:r>
      <w:r w:rsidRPr="008A2411">
        <w:rPr>
          <w:rFonts w:ascii="Times New Roman"/>
          <w:color w:val="000000" w:themeColor="text1"/>
          <w:kern w:val="2"/>
          <w:szCs w:val="24"/>
        </w:rPr>
        <w:t>）土壤</w:t>
      </w:r>
    </w:p>
    <w:p w14:paraId="18A3BABA" w14:textId="77777777" w:rsidR="00B0005F" w:rsidRPr="008A2411" w:rsidRDefault="00000000">
      <w:pPr>
        <w:widowControl/>
        <w:spacing w:line="360" w:lineRule="auto"/>
        <w:ind w:firstLineChars="200" w:firstLine="480"/>
        <w:jc w:val="left"/>
        <w:rPr>
          <w:rFonts w:ascii="Times New Roman"/>
          <w:color w:val="000000" w:themeColor="text1"/>
          <w:kern w:val="2"/>
          <w:szCs w:val="24"/>
        </w:rPr>
      </w:pPr>
      <w:r w:rsidRPr="008A2411">
        <w:rPr>
          <w:rFonts w:ascii="Times New Roman"/>
          <w:color w:val="000000" w:themeColor="text1"/>
          <w:kern w:val="2"/>
          <w:szCs w:val="24"/>
        </w:rPr>
        <w:t>针对本项目工程特征，根据</w:t>
      </w:r>
      <w:r w:rsidRPr="008A2411">
        <w:rPr>
          <w:rFonts w:ascii="Times New Roman" w:hint="eastAsia"/>
          <w:color w:val="000000" w:themeColor="text1"/>
        </w:rPr>
        <w:t>《排污单位自行监测技术指南</w:t>
      </w:r>
      <w:r w:rsidRPr="008A2411">
        <w:rPr>
          <w:rFonts w:ascii="Times New Roman" w:hint="eastAsia"/>
          <w:color w:val="000000" w:themeColor="text1"/>
        </w:rPr>
        <w:t xml:space="preserve"> </w:t>
      </w:r>
      <w:r w:rsidRPr="008A2411">
        <w:rPr>
          <w:rFonts w:ascii="Times New Roman" w:hint="eastAsia"/>
          <w:color w:val="000000" w:themeColor="text1"/>
        </w:rPr>
        <w:t>陆上石油天然气开采工业》</w:t>
      </w:r>
      <w:r w:rsidRPr="008A2411">
        <w:rPr>
          <w:rFonts w:ascii="Times New Roman" w:hint="eastAsia"/>
          <w:color w:val="000000" w:themeColor="text1"/>
        </w:rPr>
        <w:t>(HJ1248-2022)</w:t>
      </w:r>
      <w:r w:rsidRPr="008A2411">
        <w:rPr>
          <w:rFonts w:ascii="Times New Roman" w:hint="eastAsia"/>
          <w:color w:val="000000" w:themeColor="text1"/>
        </w:rPr>
        <w:t>、</w:t>
      </w:r>
      <w:r w:rsidRPr="008A2411">
        <w:rPr>
          <w:rFonts w:ascii="Times New Roman"/>
          <w:color w:val="000000" w:themeColor="text1"/>
          <w:kern w:val="2"/>
          <w:szCs w:val="24"/>
        </w:rPr>
        <w:t>《工业企业土壤和地下水自行监测</w:t>
      </w:r>
      <w:r w:rsidRPr="008A2411">
        <w:rPr>
          <w:rFonts w:ascii="Times New Roman"/>
          <w:color w:val="000000" w:themeColor="text1"/>
          <w:kern w:val="2"/>
          <w:szCs w:val="24"/>
        </w:rPr>
        <w:t xml:space="preserve"> </w:t>
      </w:r>
      <w:r w:rsidRPr="008A2411">
        <w:rPr>
          <w:rFonts w:ascii="Times New Roman"/>
          <w:color w:val="000000" w:themeColor="text1"/>
          <w:kern w:val="2"/>
          <w:szCs w:val="24"/>
        </w:rPr>
        <w:t>技术指南（试行）》（</w:t>
      </w:r>
      <w:r w:rsidRPr="008A2411">
        <w:rPr>
          <w:rFonts w:ascii="Times New Roman"/>
          <w:color w:val="000000" w:themeColor="text1"/>
          <w:kern w:val="2"/>
          <w:szCs w:val="24"/>
        </w:rPr>
        <w:t>HJ 1209-2021</w:t>
      </w:r>
      <w:r w:rsidRPr="008A2411">
        <w:rPr>
          <w:rFonts w:ascii="Times New Roman"/>
          <w:color w:val="000000" w:themeColor="text1"/>
          <w:kern w:val="2"/>
          <w:szCs w:val="24"/>
        </w:rPr>
        <w:t>），将装置区、污水预处理系统识别为一类单元，</w:t>
      </w:r>
      <w:proofErr w:type="gramStart"/>
      <w:r w:rsidRPr="008A2411">
        <w:rPr>
          <w:rFonts w:ascii="Times New Roman"/>
          <w:color w:val="000000" w:themeColor="text1"/>
          <w:kern w:val="2"/>
          <w:szCs w:val="24"/>
        </w:rPr>
        <w:t>其余其余</w:t>
      </w:r>
      <w:proofErr w:type="gramEnd"/>
      <w:r w:rsidRPr="008A2411">
        <w:rPr>
          <w:rFonts w:ascii="Times New Roman"/>
          <w:color w:val="000000" w:themeColor="text1"/>
          <w:kern w:val="2"/>
          <w:szCs w:val="24"/>
        </w:rPr>
        <w:t>为二类单元。对于一类单元，本项目在装置区、污水预处理系统内部设置分别设置</w:t>
      </w:r>
      <w:r w:rsidRPr="008A2411">
        <w:rPr>
          <w:rFonts w:ascii="Times New Roman"/>
          <w:color w:val="000000" w:themeColor="text1"/>
          <w:kern w:val="2"/>
          <w:szCs w:val="24"/>
        </w:rPr>
        <w:t>1</w:t>
      </w:r>
      <w:r w:rsidRPr="008A2411">
        <w:rPr>
          <w:rFonts w:ascii="Times New Roman"/>
          <w:color w:val="000000" w:themeColor="text1"/>
          <w:kern w:val="2"/>
          <w:szCs w:val="24"/>
        </w:rPr>
        <w:t>个深层土壤监测点，在装置区下游分别设置</w:t>
      </w:r>
      <w:r w:rsidRPr="008A2411">
        <w:rPr>
          <w:rFonts w:ascii="Times New Roman"/>
          <w:color w:val="000000" w:themeColor="text1"/>
          <w:kern w:val="2"/>
          <w:szCs w:val="24"/>
        </w:rPr>
        <w:t>1</w:t>
      </w:r>
      <w:r w:rsidRPr="008A2411">
        <w:rPr>
          <w:rFonts w:ascii="Times New Roman"/>
          <w:color w:val="000000" w:themeColor="text1"/>
          <w:kern w:val="2"/>
          <w:szCs w:val="24"/>
        </w:rPr>
        <w:t>个表层土壤监测点。对于二类单元，本项目在厂界下游处设置</w:t>
      </w:r>
      <w:r w:rsidRPr="008A2411">
        <w:rPr>
          <w:rFonts w:ascii="Times New Roman"/>
          <w:color w:val="000000" w:themeColor="text1"/>
          <w:kern w:val="2"/>
          <w:szCs w:val="24"/>
        </w:rPr>
        <w:t>2</w:t>
      </w:r>
      <w:r w:rsidRPr="008A2411">
        <w:rPr>
          <w:rFonts w:ascii="Times New Roman"/>
          <w:color w:val="000000" w:themeColor="text1"/>
          <w:kern w:val="2"/>
          <w:szCs w:val="24"/>
        </w:rPr>
        <w:t>处表层土壤监测点。其中深层土壤监测点采样深度应略低于其对应的隐蔽性重点设施设备底部与土壤接触面，表层土壤监测点采样深度应为</w:t>
      </w:r>
      <w:r w:rsidRPr="008A2411">
        <w:rPr>
          <w:rFonts w:ascii="Times New Roman"/>
          <w:color w:val="000000" w:themeColor="text1"/>
          <w:kern w:val="2"/>
          <w:szCs w:val="24"/>
        </w:rPr>
        <w:t xml:space="preserve"> 0</w:t>
      </w:r>
      <w:r w:rsidRPr="008A2411">
        <w:rPr>
          <w:rFonts w:ascii="Times New Roman"/>
          <w:color w:val="000000" w:themeColor="text1"/>
          <w:kern w:val="2"/>
          <w:szCs w:val="24"/>
        </w:rPr>
        <w:t>～</w:t>
      </w:r>
      <w:r w:rsidRPr="008A2411">
        <w:rPr>
          <w:rFonts w:ascii="Times New Roman"/>
          <w:color w:val="000000" w:themeColor="text1"/>
          <w:kern w:val="2"/>
          <w:szCs w:val="24"/>
        </w:rPr>
        <w:t>0.5 m</w:t>
      </w:r>
      <w:r w:rsidRPr="008A2411">
        <w:rPr>
          <w:rFonts w:ascii="Times New Roman"/>
          <w:color w:val="000000" w:themeColor="text1"/>
          <w:kern w:val="2"/>
          <w:szCs w:val="24"/>
        </w:rPr>
        <w:t>。</w:t>
      </w:r>
    </w:p>
    <w:p w14:paraId="5C3F33F5" w14:textId="77777777" w:rsidR="00B0005F" w:rsidRPr="008A2411" w:rsidRDefault="00000000">
      <w:pPr>
        <w:widowControl/>
        <w:spacing w:line="360" w:lineRule="auto"/>
        <w:ind w:firstLineChars="200" w:firstLine="480"/>
        <w:jc w:val="left"/>
        <w:rPr>
          <w:rFonts w:ascii="Times New Roman"/>
          <w:color w:val="000000" w:themeColor="text1"/>
          <w:kern w:val="2"/>
          <w:szCs w:val="24"/>
        </w:rPr>
      </w:pPr>
      <w:r w:rsidRPr="008A2411">
        <w:rPr>
          <w:rFonts w:ascii="Times New Roman"/>
          <w:color w:val="000000" w:themeColor="text1"/>
          <w:kern w:val="2"/>
          <w:szCs w:val="24"/>
        </w:rPr>
        <w:t>监测因子包括《土壤环境质量</w:t>
      </w:r>
      <w:r w:rsidRPr="008A2411">
        <w:rPr>
          <w:rFonts w:ascii="Times New Roman"/>
          <w:color w:val="000000" w:themeColor="text1"/>
          <w:kern w:val="2"/>
          <w:szCs w:val="24"/>
        </w:rPr>
        <w:t xml:space="preserve"> </w:t>
      </w:r>
      <w:r w:rsidRPr="008A2411">
        <w:rPr>
          <w:rFonts w:ascii="Times New Roman"/>
          <w:color w:val="000000" w:themeColor="text1"/>
          <w:kern w:val="2"/>
          <w:szCs w:val="24"/>
        </w:rPr>
        <w:t>建设用地土壤污染风险管控标准</w:t>
      </w:r>
      <w:r w:rsidRPr="008A2411">
        <w:rPr>
          <w:rFonts w:ascii="Times New Roman"/>
          <w:color w:val="000000" w:themeColor="text1"/>
          <w:kern w:val="2"/>
          <w:szCs w:val="24"/>
        </w:rPr>
        <w:t xml:space="preserve"> </w:t>
      </w:r>
      <w:r w:rsidRPr="008A2411">
        <w:rPr>
          <w:rFonts w:ascii="Times New Roman"/>
          <w:color w:val="000000" w:themeColor="text1"/>
          <w:kern w:val="2"/>
          <w:szCs w:val="24"/>
        </w:rPr>
        <w:t>（试行）》</w:t>
      </w:r>
      <w:r w:rsidRPr="008A2411">
        <w:rPr>
          <w:rFonts w:ascii="Times New Roman"/>
          <w:color w:val="000000" w:themeColor="text1"/>
          <w:kern w:val="2"/>
          <w:szCs w:val="24"/>
        </w:rPr>
        <w:t xml:space="preserve"> </w:t>
      </w:r>
    </w:p>
    <w:p w14:paraId="7FB9154B" w14:textId="77777777" w:rsidR="00B0005F" w:rsidRPr="008A2411" w:rsidRDefault="00000000">
      <w:pPr>
        <w:widowControl/>
        <w:spacing w:line="360" w:lineRule="auto"/>
        <w:jc w:val="left"/>
        <w:rPr>
          <w:rFonts w:ascii="Times New Roman"/>
          <w:color w:val="000000" w:themeColor="text1"/>
          <w:kern w:val="2"/>
          <w:szCs w:val="24"/>
        </w:rPr>
      </w:pPr>
      <w:r w:rsidRPr="008A2411">
        <w:rPr>
          <w:rFonts w:ascii="Times New Roman"/>
          <w:color w:val="000000" w:themeColor="text1"/>
          <w:kern w:val="2"/>
          <w:szCs w:val="24"/>
        </w:rPr>
        <w:t>（</w:t>
      </w:r>
      <w:r w:rsidRPr="008A2411">
        <w:rPr>
          <w:rFonts w:ascii="Times New Roman"/>
          <w:color w:val="000000" w:themeColor="text1"/>
          <w:kern w:val="2"/>
          <w:szCs w:val="24"/>
        </w:rPr>
        <w:t>GB 36600-2018</w:t>
      </w:r>
      <w:r w:rsidRPr="008A2411">
        <w:rPr>
          <w:rFonts w:ascii="Times New Roman"/>
          <w:color w:val="000000" w:themeColor="text1"/>
          <w:kern w:val="2"/>
          <w:szCs w:val="24"/>
        </w:rPr>
        <w:t>）表</w:t>
      </w:r>
      <w:r w:rsidRPr="008A2411">
        <w:rPr>
          <w:rFonts w:ascii="Times New Roman"/>
          <w:color w:val="000000" w:themeColor="text1"/>
          <w:kern w:val="2"/>
          <w:szCs w:val="24"/>
        </w:rPr>
        <w:t>1</w:t>
      </w:r>
      <w:r w:rsidRPr="008A2411">
        <w:rPr>
          <w:rFonts w:ascii="Times New Roman"/>
          <w:color w:val="000000" w:themeColor="text1"/>
          <w:kern w:val="2"/>
          <w:szCs w:val="24"/>
        </w:rPr>
        <w:t>基本项目和特征因子石油类。其中表层土壤监测频次为</w:t>
      </w:r>
      <w:r w:rsidRPr="008A2411">
        <w:rPr>
          <w:rFonts w:ascii="Times New Roman"/>
          <w:color w:val="000000" w:themeColor="text1"/>
          <w:kern w:val="2"/>
          <w:szCs w:val="24"/>
        </w:rPr>
        <w:t>1</w:t>
      </w:r>
      <w:r w:rsidRPr="008A2411">
        <w:rPr>
          <w:rFonts w:ascii="Times New Roman"/>
          <w:color w:val="000000" w:themeColor="text1"/>
          <w:kern w:val="2"/>
          <w:szCs w:val="24"/>
        </w:rPr>
        <w:t>次</w:t>
      </w:r>
      <w:r w:rsidRPr="008A2411">
        <w:rPr>
          <w:rFonts w:ascii="Times New Roman"/>
          <w:color w:val="000000" w:themeColor="text1"/>
          <w:kern w:val="2"/>
          <w:szCs w:val="24"/>
        </w:rPr>
        <w:t>/</w:t>
      </w:r>
      <w:r w:rsidRPr="008A2411">
        <w:rPr>
          <w:rFonts w:ascii="Times New Roman"/>
          <w:color w:val="000000" w:themeColor="text1"/>
          <w:kern w:val="2"/>
          <w:szCs w:val="24"/>
        </w:rPr>
        <w:t>年，深层土壤为</w:t>
      </w:r>
      <w:r w:rsidRPr="008A2411">
        <w:rPr>
          <w:rFonts w:ascii="Times New Roman"/>
          <w:color w:val="000000" w:themeColor="text1"/>
          <w:kern w:val="2"/>
          <w:szCs w:val="24"/>
        </w:rPr>
        <w:t>1</w:t>
      </w:r>
      <w:r w:rsidRPr="008A2411">
        <w:rPr>
          <w:rFonts w:ascii="Times New Roman"/>
          <w:color w:val="000000" w:themeColor="text1"/>
          <w:kern w:val="2"/>
          <w:szCs w:val="24"/>
        </w:rPr>
        <w:t>次</w:t>
      </w:r>
      <w:r w:rsidRPr="008A2411">
        <w:rPr>
          <w:rFonts w:ascii="Times New Roman"/>
          <w:color w:val="000000" w:themeColor="text1"/>
          <w:kern w:val="2"/>
          <w:szCs w:val="24"/>
        </w:rPr>
        <w:t>/3</w:t>
      </w:r>
      <w:r w:rsidRPr="008A2411">
        <w:rPr>
          <w:rFonts w:ascii="Times New Roman"/>
          <w:color w:val="000000" w:themeColor="text1"/>
          <w:kern w:val="2"/>
          <w:szCs w:val="24"/>
        </w:rPr>
        <w:t>年。</w:t>
      </w:r>
    </w:p>
    <w:p w14:paraId="7A72CF89"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6</w:t>
      </w:r>
      <w:r w:rsidRPr="008A2411">
        <w:rPr>
          <w:rFonts w:ascii="Times New Roman" w:hAnsi="Times New Roman"/>
          <w:color w:val="000000" w:themeColor="text1"/>
        </w:rPr>
        <w:t>）转运废水的管理要求</w:t>
      </w:r>
    </w:p>
    <w:p w14:paraId="2190AD30"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建立转移联单制度，防止偷排，对运输车辆司机进行监管，设置运出与运入的转移联单制度，进行检查并奖惩。</w:t>
      </w:r>
    </w:p>
    <w:p w14:paraId="4650CC00"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建议项目环境监测计划内容见表</w:t>
      </w:r>
      <w:r w:rsidRPr="008A2411">
        <w:rPr>
          <w:rFonts w:ascii="Times New Roman" w:hAnsi="Times New Roman"/>
          <w:color w:val="000000" w:themeColor="text1"/>
        </w:rPr>
        <w:t>9.</w:t>
      </w:r>
      <w:r w:rsidRPr="008A2411">
        <w:rPr>
          <w:rFonts w:ascii="Times New Roman" w:hAnsi="Times New Roman" w:hint="eastAsia"/>
          <w:color w:val="000000" w:themeColor="text1"/>
        </w:rPr>
        <w:t>5</w:t>
      </w:r>
      <w:r w:rsidRPr="008A2411">
        <w:rPr>
          <w:rFonts w:ascii="Times New Roman" w:hAnsi="Times New Roman"/>
          <w:color w:val="000000" w:themeColor="text1"/>
        </w:rPr>
        <w:t>-1</w:t>
      </w:r>
      <w:r w:rsidRPr="008A2411">
        <w:rPr>
          <w:rFonts w:ascii="Times New Roman" w:hAnsi="Times New Roman"/>
          <w:color w:val="000000" w:themeColor="text1"/>
        </w:rPr>
        <w:t>。</w:t>
      </w:r>
    </w:p>
    <w:p w14:paraId="24AEF35E" w14:textId="77777777" w:rsidR="00B0005F" w:rsidRPr="008A2411" w:rsidRDefault="00B0005F">
      <w:pPr>
        <w:pStyle w:val="WJ0"/>
        <w:spacing w:line="240" w:lineRule="auto"/>
        <w:rPr>
          <w:rFonts w:ascii="Times New Roman" w:hAnsi="Times New Roman"/>
          <w:color w:val="000000" w:themeColor="text1"/>
        </w:rPr>
      </w:pPr>
    </w:p>
    <w:p w14:paraId="0506AA1D" w14:textId="77777777" w:rsidR="00B0005F" w:rsidRPr="008A2411" w:rsidRDefault="00000000">
      <w:pPr>
        <w:pStyle w:val="WJ0"/>
        <w:spacing w:line="240" w:lineRule="auto"/>
        <w:rPr>
          <w:rFonts w:ascii="Times New Roman" w:hAnsi="Times New Roman"/>
          <w:color w:val="000000" w:themeColor="text1"/>
        </w:rPr>
      </w:pPr>
      <w:r w:rsidRPr="008A2411">
        <w:rPr>
          <w:rFonts w:ascii="Times New Roman" w:hAnsi="Times New Roman"/>
          <w:color w:val="000000" w:themeColor="text1"/>
        </w:rPr>
        <w:lastRenderedPageBreak/>
        <w:t>表</w:t>
      </w:r>
      <w:r w:rsidRPr="008A2411">
        <w:rPr>
          <w:rFonts w:ascii="Times New Roman" w:hAnsi="Times New Roman"/>
          <w:color w:val="000000" w:themeColor="text1"/>
        </w:rPr>
        <w:t>9.</w:t>
      </w:r>
      <w:r w:rsidRPr="008A2411">
        <w:rPr>
          <w:rFonts w:ascii="Times New Roman" w:hAnsi="Times New Roman" w:hint="eastAsia"/>
          <w:color w:val="000000" w:themeColor="text1"/>
        </w:rPr>
        <w:t>5</w:t>
      </w:r>
      <w:r w:rsidRPr="008A2411">
        <w:rPr>
          <w:rFonts w:ascii="Times New Roman" w:hAnsi="Times New Roman"/>
          <w:color w:val="000000" w:themeColor="text1"/>
        </w:rPr>
        <w:t xml:space="preserve">-1  </w:t>
      </w:r>
      <w:r w:rsidRPr="008A2411">
        <w:rPr>
          <w:rFonts w:ascii="Times New Roman" w:hAnsi="Times New Roman"/>
          <w:color w:val="000000" w:themeColor="text1"/>
        </w:rPr>
        <w:t>运营期污染源与环境监测计划表</w:t>
      </w:r>
    </w:p>
    <w:tbl>
      <w:tblPr>
        <w:tblW w:w="91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867"/>
        <w:gridCol w:w="850"/>
        <w:gridCol w:w="2179"/>
        <w:gridCol w:w="2641"/>
        <w:gridCol w:w="929"/>
        <w:gridCol w:w="1728"/>
      </w:tblGrid>
      <w:tr w:rsidR="008A2411" w:rsidRPr="008A2411" w14:paraId="2DF7FB2C" w14:textId="77777777">
        <w:trPr>
          <w:jc w:val="center"/>
        </w:trPr>
        <w:tc>
          <w:tcPr>
            <w:tcW w:w="1717" w:type="dxa"/>
            <w:gridSpan w:val="2"/>
            <w:vAlign w:val="center"/>
          </w:tcPr>
          <w:p w14:paraId="6BB8C10C"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rPr>
              <w:t>监测类别</w:t>
            </w:r>
          </w:p>
        </w:tc>
        <w:tc>
          <w:tcPr>
            <w:tcW w:w="2179" w:type="dxa"/>
            <w:vAlign w:val="center"/>
          </w:tcPr>
          <w:p w14:paraId="29D2D123"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rPr>
              <w:t>监测点位置</w:t>
            </w:r>
          </w:p>
        </w:tc>
        <w:tc>
          <w:tcPr>
            <w:tcW w:w="2641" w:type="dxa"/>
            <w:vAlign w:val="center"/>
          </w:tcPr>
          <w:p w14:paraId="17ADF539"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rPr>
              <w:t>监测项目</w:t>
            </w:r>
          </w:p>
        </w:tc>
        <w:tc>
          <w:tcPr>
            <w:tcW w:w="929" w:type="dxa"/>
            <w:vAlign w:val="center"/>
          </w:tcPr>
          <w:p w14:paraId="07A54674"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rPr>
              <w:t>测点数</w:t>
            </w:r>
          </w:p>
        </w:tc>
        <w:tc>
          <w:tcPr>
            <w:tcW w:w="1728" w:type="dxa"/>
            <w:vAlign w:val="center"/>
          </w:tcPr>
          <w:p w14:paraId="6A8C9333"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rPr>
              <w:t>监测频率</w:t>
            </w:r>
          </w:p>
        </w:tc>
      </w:tr>
      <w:tr w:rsidR="008A2411" w:rsidRPr="008A2411" w14:paraId="2EDF90BE" w14:textId="77777777">
        <w:trPr>
          <w:trHeight w:val="763"/>
          <w:jc w:val="center"/>
        </w:trPr>
        <w:tc>
          <w:tcPr>
            <w:tcW w:w="867" w:type="dxa"/>
            <w:vMerge w:val="restart"/>
            <w:vAlign w:val="center"/>
          </w:tcPr>
          <w:p w14:paraId="1D6B9330"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污染源监测</w:t>
            </w:r>
          </w:p>
        </w:tc>
        <w:tc>
          <w:tcPr>
            <w:tcW w:w="850" w:type="dxa"/>
            <w:vMerge w:val="restart"/>
            <w:vAlign w:val="center"/>
          </w:tcPr>
          <w:p w14:paraId="42FA67DD"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废气</w:t>
            </w:r>
          </w:p>
        </w:tc>
        <w:tc>
          <w:tcPr>
            <w:tcW w:w="2179" w:type="dxa"/>
            <w:vAlign w:val="center"/>
          </w:tcPr>
          <w:p w14:paraId="1B6F5172"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脱硫塔活性炭净化装置进、出口各一个点位</w:t>
            </w:r>
          </w:p>
        </w:tc>
        <w:tc>
          <w:tcPr>
            <w:tcW w:w="2641" w:type="dxa"/>
            <w:vAlign w:val="center"/>
          </w:tcPr>
          <w:p w14:paraId="189432D2"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szCs w:val="24"/>
              </w:rPr>
              <w:t>烟温、流速、流量</w:t>
            </w:r>
            <w:r w:rsidRPr="008A2411">
              <w:rPr>
                <w:rFonts w:ascii="Times New Roman" w:hAnsi="Times New Roman"/>
                <w:color w:val="000000" w:themeColor="text1"/>
              </w:rPr>
              <w:t>、</w:t>
            </w:r>
            <w:r w:rsidRPr="008A2411">
              <w:rPr>
                <w:rFonts w:ascii="Times New Roman" w:hAnsi="Times New Roman"/>
                <w:color w:val="000000" w:themeColor="text1"/>
              </w:rPr>
              <w:t>H</w:t>
            </w:r>
            <w:r w:rsidRPr="008A2411">
              <w:rPr>
                <w:rFonts w:ascii="Times New Roman" w:hAnsi="Times New Roman"/>
                <w:color w:val="000000" w:themeColor="text1"/>
                <w:vertAlign w:val="subscript"/>
              </w:rPr>
              <w:t>2</w:t>
            </w:r>
            <w:r w:rsidRPr="008A2411">
              <w:rPr>
                <w:rFonts w:ascii="Times New Roman" w:hAnsi="Times New Roman"/>
                <w:color w:val="000000" w:themeColor="text1"/>
              </w:rPr>
              <w:t>S</w:t>
            </w:r>
            <w:r w:rsidRPr="008A2411">
              <w:rPr>
                <w:rFonts w:ascii="Times New Roman" w:hAnsi="Times New Roman"/>
                <w:color w:val="000000" w:themeColor="text1"/>
              </w:rPr>
              <w:t>、</w:t>
            </w:r>
            <w:r w:rsidRPr="008A2411">
              <w:rPr>
                <w:rFonts w:ascii="Times New Roman" w:hAnsi="Times New Roman"/>
                <w:color w:val="000000" w:themeColor="text1"/>
              </w:rPr>
              <w:t>NMHC</w:t>
            </w:r>
          </w:p>
        </w:tc>
        <w:tc>
          <w:tcPr>
            <w:tcW w:w="929" w:type="dxa"/>
            <w:vAlign w:val="center"/>
          </w:tcPr>
          <w:p w14:paraId="086E62CE"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2×2</w:t>
            </w:r>
          </w:p>
        </w:tc>
        <w:tc>
          <w:tcPr>
            <w:tcW w:w="1728" w:type="dxa"/>
            <w:vAlign w:val="center"/>
          </w:tcPr>
          <w:p w14:paraId="0DD13B60" w14:textId="77777777" w:rsidR="00B0005F" w:rsidRPr="008A2411" w:rsidRDefault="00000000">
            <w:pPr>
              <w:pStyle w:val="affff2"/>
              <w:adjustRightInd w:val="0"/>
              <w:snapToGrid w:val="0"/>
              <w:spacing w:before="0" w:beforeAutospacing="0" w:after="0" w:afterAutospacing="0"/>
              <w:rPr>
                <w:rFonts w:ascii="Times New Roman" w:hAnsi="Times New Roman" w:cs="Times New Roman"/>
                <w:color w:val="000000" w:themeColor="text1"/>
                <w:sz w:val="21"/>
                <w:szCs w:val="21"/>
              </w:rPr>
            </w:pPr>
            <w:r w:rsidRPr="008A2411">
              <w:rPr>
                <w:rFonts w:ascii="Times New Roman" w:hAnsi="Times New Roman" w:cs="Times New Roman"/>
                <w:color w:val="000000" w:themeColor="text1"/>
                <w:sz w:val="21"/>
                <w:szCs w:val="21"/>
              </w:rPr>
              <w:t>监测</w:t>
            </w:r>
            <w:r w:rsidRPr="008A2411">
              <w:rPr>
                <w:rFonts w:ascii="Times New Roman" w:hAnsi="Times New Roman" w:cs="Times New Roman"/>
                <w:color w:val="000000" w:themeColor="text1"/>
                <w:sz w:val="21"/>
                <w:szCs w:val="21"/>
              </w:rPr>
              <w:t>1</w:t>
            </w:r>
            <w:r w:rsidRPr="008A2411">
              <w:rPr>
                <w:rFonts w:ascii="Times New Roman" w:hAnsi="Times New Roman" w:cs="Times New Roman"/>
                <w:color w:val="000000" w:themeColor="text1"/>
                <w:sz w:val="21"/>
                <w:szCs w:val="21"/>
              </w:rPr>
              <w:t>次</w:t>
            </w:r>
            <w:r w:rsidRPr="008A2411">
              <w:rPr>
                <w:rFonts w:ascii="Times New Roman" w:hAnsi="Times New Roman" w:cs="Times New Roman"/>
                <w:color w:val="000000" w:themeColor="text1"/>
                <w:sz w:val="21"/>
                <w:szCs w:val="21"/>
              </w:rPr>
              <w:t>/</w:t>
            </w:r>
            <w:r w:rsidRPr="008A2411">
              <w:rPr>
                <w:rFonts w:ascii="Times New Roman" w:hAnsi="Times New Roman" w:cs="Times New Roman"/>
                <w:color w:val="000000" w:themeColor="text1"/>
                <w:sz w:val="21"/>
                <w:szCs w:val="21"/>
              </w:rPr>
              <w:t>季</w:t>
            </w:r>
          </w:p>
        </w:tc>
      </w:tr>
      <w:tr w:rsidR="008A2411" w:rsidRPr="008A2411" w14:paraId="4301F9FE" w14:textId="77777777">
        <w:trPr>
          <w:trHeight w:val="350"/>
          <w:jc w:val="center"/>
        </w:trPr>
        <w:tc>
          <w:tcPr>
            <w:tcW w:w="867" w:type="dxa"/>
            <w:vMerge/>
            <w:vAlign w:val="center"/>
          </w:tcPr>
          <w:p w14:paraId="51C08BB5" w14:textId="77777777" w:rsidR="00B0005F" w:rsidRPr="008A2411" w:rsidRDefault="00B0005F">
            <w:pPr>
              <w:pStyle w:val="WJ5"/>
              <w:spacing w:line="240" w:lineRule="auto"/>
              <w:rPr>
                <w:rFonts w:ascii="Times New Roman" w:hAnsi="Times New Roman"/>
                <w:color w:val="000000" w:themeColor="text1"/>
              </w:rPr>
            </w:pPr>
          </w:p>
        </w:tc>
        <w:tc>
          <w:tcPr>
            <w:tcW w:w="850" w:type="dxa"/>
            <w:vMerge/>
            <w:vAlign w:val="center"/>
          </w:tcPr>
          <w:p w14:paraId="62BC91EB" w14:textId="77777777" w:rsidR="00B0005F" w:rsidRPr="008A2411" w:rsidRDefault="00B0005F">
            <w:pPr>
              <w:pStyle w:val="WJ5"/>
              <w:spacing w:line="240" w:lineRule="auto"/>
              <w:rPr>
                <w:rFonts w:ascii="Times New Roman" w:hAnsi="Times New Roman"/>
                <w:color w:val="000000" w:themeColor="text1"/>
              </w:rPr>
            </w:pPr>
          </w:p>
        </w:tc>
        <w:tc>
          <w:tcPr>
            <w:tcW w:w="2179" w:type="dxa"/>
            <w:vAlign w:val="center"/>
          </w:tcPr>
          <w:p w14:paraId="7736C52D"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导热油炉排气筒</w:t>
            </w:r>
          </w:p>
        </w:tc>
        <w:tc>
          <w:tcPr>
            <w:tcW w:w="2641" w:type="dxa"/>
            <w:vAlign w:val="center"/>
          </w:tcPr>
          <w:p w14:paraId="0B374344"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烟温、流速、流量、</w:t>
            </w:r>
            <w:r w:rsidRPr="008A2411">
              <w:rPr>
                <w:rFonts w:ascii="Times New Roman" w:hAnsi="Times New Roman"/>
                <w:color w:val="000000" w:themeColor="text1"/>
                <w:szCs w:val="24"/>
              </w:rPr>
              <w:t>NO</w:t>
            </w:r>
            <w:r w:rsidRPr="008A2411">
              <w:rPr>
                <w:rFonts w:ascii="Times New Roman" w:hAnsi="Times New Roman"/>
                <w:color w:val="000000" w:themeColor="text1"/>
                <w:szCs w:val="24"/>
                <w:vertAlign w:val="subscript"/>
              </w:rPr>
              <w:t>X</w:t>
            </w:r>
            <w:r w:rsidRPr="008A2411">
              <w:rPr>
                <w:rFonts w:ascii="Times New Roman" w:hAnsi="Times New Roman"/>
                <w:color w:val="000000" w:themeColor="text1"/>
                <w:szCs w:val="24"/>
              </w:rPr>
              <w:t>、</w:t>
            </w:r>
            <w:r w:rsidRPr="008A2411">
              <w:rPr>
                <w:rFonts w:ascii="Times New Roman" w:hAnsi="Times New Roman"/>
                <w:color w:val="000000" w:themeColor="text1"/>
              </w:rPr>
              <w:t>SO</w:t>
            </w:r>
            <w:r w:rsidRPr="008A2411">
              <w:rPr>
                <w:rFonts w:ascii="Times New Roman" w:hAnsi="Times New Roman"/>
                <w:color w:val="000000" w:themeColor="text1"/>
                <w:vertAlign w:val="subscript"/>
              </w:rPr>
              <w:t>2</w:t>
            </w:r>
            <w:r w:rsidRPr="008A2411">
              <w:rPr>
                <w:rFonts w:ascii="Times New Roman" w:hAnsi="Times New Roman"/>
                <w:color w:val="000000" w:themeColor="text1"/>
              </w:rPr>
              <w:t>、烟尘</w:t>
            </w:r>
          </w:p>
        </w:tc>
        <w:tc>
          <w:tcPr>
            <w:tcW w:w="929" w:type="dxa"/>
            <w:vAlign w:val="center"/>
          </w:tcPr>
          <w:p w14:paraId="621C3B2D"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1</w:t>
            </w:r>
          </w:p>
        </w:tc>
        <w:tc>
          <w:tcPr>
            <w:tcW w:w="1728" w:type="dxa"/>
            <w:vAlign w:val="center"/>
          </w:tcPr>
          <w:p w14:paraId="70172561" w14:textId="77777777" w:rsidR="00B0005F" w:rsidRPr="008A2411" w:rsidRDefault="00000000">
            <w:pPr>
              <w:pStyle w:val="affff2"/>
              <w:adjustRightInd w:val="0"/>
              <w:snapToGrid w:val="0"/>
              <w:spacing w:before="0" w:beforeAutospacing="0" w:after="0" w:afterAutospacing="0"/>
              <w:rPr>
                <w:rFonts w:ascii="Times New Roman" w:hAnsi="Times New Roman" w:cs="Times New Roman"/>
                <w:color w:val="000000" w:themeColor="text1"/>
                <w:sz w:val="21"/>
                <w:szCs w:val="21"/>
              </w:rPr>
            </w:pPr>
            <w:r w:rsidRPr="008A2411">
              <w:rPr>
                <w:rFonts w:ascii="Times New Roman" w:hAnsi="Times New Roman" w:cs="Times New Roman"/>
                <w:color w:val="000000" w:themeColor="text1"/>
                <w:sz w:val="21"/>
                <w:szCs w:val="21"/>
              </w:rPr>
              <w:t>运行期监测</w:t>
            </w:r>
            <w:r w:rsidRPr="008A2411">
              <w:rPr>
                <w:rFonts w:ascii="Times New Roman" w:hAnsi="Times New Roman" w:cs="Times New Roman"/>
                <w:color w:val="000000" w:themeColor="text1"/>
                <w:sz w:val="21"/>
                <w:szCs w:val="21"/>
              </w:rPr>
              <w:t>1-2</w:t>
            </w:r>
            <w:r w:rsidRPr="008A2411">
              <w:rPr>
                <w:rFonts w:ascii="Times New Roman" w:hAnsi="Times New Roman" w:cs="Times New Roman"/>
                <w:color w:val="000000" w:themeColor="text1"/>
                <w:sz w:val="21"/>
                <w:szCs w:val="21"/>
              </w:rPr>
              <w:t>次</w:t>
            </w:r>
          </w:p>
        </w:tc>
      </w:tr>
      <w:tr w:rsidR="008A2411" w:rsidRPr="008A2411" w14:paraId="7F994A4A" w14:textId="77777777">
        <w:trPr>
          <w:jc w:val="center"/>
        </w:trPr>
        <w:tc>
          <w:tcPr>
            <w:tcW w:w="867" w:type="dxa"/>
            <w:vMerge/>
            <w:vAlign w:val="center"/>
          </w:tcPr>
          <w:p w14:paraId="3DE05393" w14:textId="77777777" w:rsidR="00B0005F" w:rsidRPr="008A2411" w:rsidRDefault="00B0005F">
            <w:pPr>
              <w:pStyle w:val="WJ5"/>
              <w:spacing w:line="240" w:lineRule="auto"/>
              <w:rPr>
                <w:rFonts w:ascii="Times New Roman" w:hAnsi="Times New Roman"/>
                <w:color w:val="000000" w:themeColor="text1"/>
              </w:rPr>
            </w:pPr>
          </w:p>
        </w:tc>
        <w:tc>
          <w:tcPr>
            <w:tcW w:w="850" w:type="dxa"/>
            <w:vMerge/>
            <w:vAlign w:val="center"/>
          </w:tcPr>
          <w:p w14:paraId="61F3011F" w14:textId="77777777" w:rsidR="00B0005F" w:rsidRPr="008A2411" w:rsidRDefault="00B0005F">
            <w:pPr>
              <w:pStyle w:val="WJ5"/>
              <w:spacing w:line="240" w:lineRule="auto"/>
              <w:rPr>
                <w:rFonts w:ascii="Times New Roman" w:hAnsi="Times New Roman"/>
                <w:color w:val="000000" w:themeColor="text1"/>
              </w:rPr>
            </w:pPr>
          </w:p>
        </w:tc>
        <w:tc>
          <w:tcPr>
            <w:tcW w:w="2179" w:type="dxa"/>
            <w:vAlign w:val="center"/>
          </w:tcPr>
          <w:p w14:paraId="427EF07B"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厂界四周</w:t>
            </w:r>
          </w:p>
        </w:tc>
        <w:tc>
          <w:tcPr>
            <w:tcW w:w="2641" w:type="dxa"/>
            <w:vAlign w:val="center"/>
          </w:tcPr>
          <w:p w14:paraId="1ADC7FF1"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NMHC</w:t>
            </w:r>
            <w:r w:rsidRPr="008A2411">
              <w:rPr>
                <w:rFonts w:ascii="Times New Roman" w:hAnsi="Times New Roman"/>
                <w:color w:val="000000" w:themeColor="text1"/>
              </w:rPr>
              <w:t>、</w:t>
            </w:r>
            <w:r w:rsidRPr="008A2411">
              <w:rPr>
                <w:rFonts w:ascii="Times New Roman" w:hAnsi="Times New Roman"/>
                <w:color w:val="000000" w:themeColor="text1"/>
              </w:rPr>
              <w:t>H</w:t>
            </w:r>
            <w:r w:rsidRPr="008A2411">
              <w:rPr>
                <w:rFonts w:ascii="Times New Roman" w:hAnsi="Times New Roman"/>
                <w:color w:val="000000" w:themeColor="text1"/>
                <w:vertAlign w:val="subscript"/>
              </w:rPr>
              <w:t>2</w:t>
            </w:r>
            <w:r w:rsidRPr="008A2411">
              <w:rPr>
                <w:rFonts w:ascii="Times New Roman" w:hAnsi="Times New Roman"/>
                <w:color w:val="000000" w:themeColor="text1"/>
              </w:rPr>
              <w:t>S</w:t>
            </w:r>
            <w:r w:rsidRPr="008A2411">
              <w:rPr>
                <w:rFonts w:ascii="Times New Roman" w:hAnsi="Times New Roman"/>
                <w:color w:val="000000" w:themeColor="text1"/>
              </w:rPr>
              <w:t>、臭气浓度</w:t>
            </w:r>
          </w:p>
        </w:tc>
        <w:tc>
          <w:tcPr>
            <w:tcW w:w="929" w:type="dxa"/>
            <w:vAlign w:val="center"/>
          </w:tcPr>
          <w:p w14:paraId="1825118D"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4</w:t>
            </w:r>
          </w:p>
        </w:tc>
        <w:tc>
          <w:tcPr>
            <w:tcW w:w="1728" w:type="dxa"/>
            <w:vAlign w:val="center"/>
          </w:tcPr>
          <w:p w14:paraId="611F0F42" w14:textId="77777777" w:rsidR="00B0005F" w:rsidRPr="008A2411" w:rsidRDefault="00000000">
            <w:pPr>
              <w:pStyle w:val="affff2"/>
              <w:adjustRightInd w:val="0"/>
              <w:snapToGrid w:val="0"/>
              <w:spacing w:before="0" w:beforeAutospacing="0" w:after="0" w:afterAutospacing="0"/>
              <w:rPr>
                <w:rFonts w:ascii="Times New Roman" w:hAnsi="Times New Roman" w:cs="Times New Roman"/>
                <w:color w:val="000000" w:themeColor="text1"/>
                <w:sz w:val="21"/>
                <w:szCs w:val="21"/>
              </w:rPr>
            </w:pPr>
            <w:r w:rsidRPr="008A2411">
              <w:rPr>
                <w:rFonts w:ascii="Times New Roman" w:hAnsi="Times New Roman" w:cs="Times New Roman"/>
                <w:color w:val="000000" w:themeColor="text1"/>
                <w:sz w:val="21"/>
                <w:szCs w:val="21"/>
              </w:rPr>
              <w:t>监测</w:t>
            </w:r>
            <w:r w:rsidRPr="008A2411">
              <w:rPr>
                <w:rFonts w:ascii="Times New Roman" w:hAnsi="Times New Roman" w:cs="Times New Roman"/>
                <w:color w:val="000000" w:themeColor="text1"/>
                <w:sz w:val="21"/>
                <w:szCs w:val="21"/>
              </w:rPr>
              <w:t>2</w:t>
            </w:r>
            <w:r w:rsidRPr="008A2411">
              <w:rPr>
                <w:rFonts w:ascii="Times New Roman" w:hAnsi="Times New Roman" w:cs="Times New Roman"/>
                <w:color w:val="000000" w:themeColor="text1"/>
                <w:sz w:val="21"/>
                <w:szCs w:val="21"/>
              </w:rPr>
              <w:t>次</w:t>
            </w:r>
            <w:r w:rsidRPr="008A2411">
              <w:rPr>
                <w:rFonts w:ascii="Times New Roman" w:hAnsi="Times New Roman" w:cs="Times New Roman"/>
                <w:color w:val="000000" w:themeColor="text1"/>
                <w:sz w:val="21"/>
                <w:szCs w:val="21"/>
              </w:rPr>
              <w:t>/</w:t>
            </w:r>
            <w:r w:rsidRPr="008A2411">
              <w:rPr>
                <w:rFonts w:ascii="Times New Roman" w:hAnsi="Times New Roman" w:cs="Times New Roman"/>
                <w:color w:val="000000" w:themeColor="text1"/>
                <w:sz w:val="21"/>
                <w:szCs w:val="21"/>
              </w:rPr>
              <w:t>年</w:t>
            </w:r>
          </w:p>
        </w:tc>
      </w:tr>
      <w:tr w:rsidR="008A2411" w:rsidRPr="008A2411" w14:paraId="28F6471C" w14:textId="77777777">
        <w:trPr>
          <w:trHeight w:val="765"/>
          <w:jc w:val="center"/>
        </w:trPr>
        <w:tc>
          <w:tcPr>
            <w:tcW w:w="867" w:type="dxa"/>
            <w:vMerge/>
            <w:vAlign w:val="center"/>
          </w:tcPr>
          <w:p w14:paraId="36C3E7A1" w14:textId="77777777" w:rsidR="00B0005F" w:rsidRPr="008A2411" w:rsidRDefault="00B0005F">
            <w:pPr>
              <w:pStyle w:val="WJ5"/>
              <w:spacing w:line="240" w:lineRule="auto"/>
              <w:rPr>
                <w:rFonts w:ascii="Times New Roman" w:hAnsi="Times New Roman"/>
                <w:color w:val="000000" w:themeColor="text1"/>
              </w:rPr>
            </w:pPr>
          </w:p>
        </w:tc>
        <w:tc>
          <w:tcPr>
            <w:tcW w:w="850" w:type="dxa"/>
            <w:vAlign w:val="center"/>
          </w:tcPr>
          <w:p w14:paraId="1499D0F3"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废水</w:t>
            </w:r>
          </w:p>
        </w:tc>
        <w:tc>
          <w:tcPr>
            <w:tcW w:w="2179" w:type="dxa"/>
            <w:vAlign w:val="center"/>
          </w:tcPr>
          <w:p w14:paraId="6BF1BC5D"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污水收集池</w:t>
            </w:r>
          </w:p>
        </w:tc>
        <w:tc>
          <w:tcPr>
            <w:tcW w:w="2641" w:type="dxa"/>
            <w:vAlign w:val="center"/>
          </w:tcPr>
          <w:p w14:paraId="33D41D91"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COD</w:t>
            </w:r>
            <w:r w:rsidRPr="008A2411">
              <w:rPr>
                <w:rFonts w:ascii="Times New Roman" w:hAnsi="Times New Roman"/>
                <w:color w:val="000000" w:themeColor="text1"/>
                <w:vertAlign w:val="subscript"/>
              </w:rPr>
              <w:t>Cr</w:t>
            </w:r>
            <w:r w:rsidRPr="008A2411">
              <w:rPr>
                <w:rFonts w:ascii="Times New Roman" w:hAnsi="Times New Roman"/>
                <w:color w:val="000000" w:themeColor="text1"/>
              </w:rPr>
              <w:t>、</w:t>
            </w:r>
            <w:r w:rsidRPr="008A2411">
              <w:rPr>
                <w:rFonts w:ascii="Times New Roman" w:hAnsi="Times New Roman"/>
                <w:color w:val="000000" w:themeColor="text1"/>
              </w:rPr>
              <w:t>SS</w:t>
            </w:r>
            <w:r w:rsidRPr="008A2411">
              <w:rPr>
                <w:rFonts w:ascii="Times New Roman" w:hAnsi="Times New Roman"/>
                <w:color w:val="000000" w:themeColor="text1"/>
              </w:rPr>
              <w:t>、</w:t>
            </w:r>
            <w:r w:rsidRPr="008A2411">
              <w:rPr>
                <w:rFonts w:ascii="Times New Roman" w:hAnsi="Times New Roman"/>
                <w:color w:val="000000" w:themeColor="text1"/>
              </w:rPr>
              <w:t>Cl</w:t>
            </w:r>
            <w:r w:rsidRPr="008A2411">
              <w:rPr>
                <w:rFonts w:ascii="Times New Roman" w:hAnsi="Times New Roman"/>
                <w:color w:val="000000" w:themeColor="text1"/>
                <w:vertAlign w:val="superscript"/>
              </w:rPr>
              <w:t>-</w:t>
            </w:r>
            <w:r w:rsidRPr="008A2411">
              <w:rPr>
                <w:rFonts w:ascii="Times New Roman" w:hAnsi="Times New Roman"/>
                <w:color w:val="000000" w:themeColor="text1"/>
                <w:vertAlign w:val="superscript"/>
              </w:rPr>
              <w:t>、</w:t>
            </w:r>
            <w:r w:rsidRPr="008A2411">
              <w:rPr>
                <w:rFonts w:ascii="Times New Roman" w:hAnsi="Times New Roman"/>
                <w:color w:val="000000" w:themeColor="text1"/>
              </w:rPr>
              <w:t>、</w:t>
            </w:r>
            <w:r w:rsidRPr="008A2411">
              <w:rPr>
                <w:rFonts w:ascii="Times New Roman" w:hAnsi="Times New Roman"/>
                <w:color w:val="000000" w:themeColor="text1"/>
              </w:rPr>
              <w:t>pH</w:t>
            </w:r>
            <w:r w:rsidRPr="008A2411">
              <w:rPr>
                <w:rFonts w:ascii="Times New Roman" w:hAnsi="Times New Roman"/>
                <w:color w:val="000000" w:themeColor="text1"/>
              </w:rPr>
              <w:t>、石油类、硫化物</w:t>
            </w:r>
          </w:p>
        </w:tc>
        <w:tc>
          <w:tcPr>
            <w:tcW w:w="929" w:type="dxa"/>
            <w:vAlign w:val="center"/>
          </w:tcPr>
          <w:p w14:paraId="6B7F1F29"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1</w:t>
            </w:r>
          </w:p>
        </w:tc>
        <w:tc>
          <w:tcPr>
            <w:tcW w:w="1728" w:type="dxa"/>
            <w:vAlign w:val="center"/>
          </w:tcPr>
          <w:p w14:paraId="06DB5FC9" w14:textId="77777777" w:rsidR="00B0005F" w:rsidRPr="008A2411" w:rsidRDefault="00000000">
            <w:pPr>
              <w:pStyle w:val="affff2"/>
              <w:adjustRightInd w:val="0"/>
              <w:snapToGrid w:val="0"/>
              <w:spacing w:before="0" w:beforeAutospacing="0" w:after="0" w:afterAutospacing="0"/>
              <w:rPr>
                <w:rFonts w:ascii="Times New Roman" w:hAnsi="Times New Roman" w:cs="Times New Roman"/>
                <w:color w:val="000000" w:themeColor="text1"/>
                <w:sz w:val="21"/>
                <w:szCs w:val="21"/>
              </w:rPr>
            </w:pPr>
            <w:r w:rsidRPr="008A2411">
              <w:rPr>
                <w:rFonts w:ascii="Times New Roman" w:hAnsi="Times New Roman" w:cs="Times New Roman"/>
                <w:color w:val="000000" w:themeColor="text1"/>
                <w:sz w:val="21"/>
                <w:szCs w:val="21"/>
              </w:rPr>
              <w:t>运行期监测</w:t>
            </w:r>
            <w:r w:rsidRPr="008A2411">
              <w:rPr>
                <w:rFonts w:ascii="Times New Roman" w:hAnsi="Times New Roman" w:cs="Times New Roman"/>
                <w:color w:val="000000" w:themeColor="text1"/>
                <w:sz w:val="21"/>
                <w:szCs w:val="21"/>
              </w:rPr>
              <w:t>1</w:t>
            </w:r>
            <w:r w:rsidRPr="008A2411">
              <w:rPr>
                <w:rFonts w:ascii="Times New Roman" w:hAnsi="Times New Roman" w:cs="Times New Roman"/>
                <w:color w:val="000000" w:themeColor="text1"/>
                <w:sz w:val="21"/>
                <w:szCs w:val="21"/>
              </w:rPr>
              <w:t>次</w:t>
            </w:r>
            <w:r w:rsidRPr="008A2411">
              <w:rPr>
                <w:rFonts w:ascii="Times New Roman" w:hAnsi="Times New Roman" w:cs="Times New Roman"/>
                <w:color w:val="000000" w:themeColor="text1"/>
                <w:sz w:val="21"/>
                <w:szCs w:val="21"/>
              </w:rPr>
              <w:t>/</w:t>
            </w:r>
            <w:r w:rsidRPr="008A2411">
              <w:rPr>
                <w:rFonts w:ascii="Times New Roman" w:hAnsi="Times New Roman" w:cs="Times New Roman"/>
                <w:color w:val="000000" w:themeColor="text1"/>
                <w:sz w:val="21"/>
                <w:szCs w:val="21"/>
              </w:rPr>
              <w:t>年</w:t>
            </w:r>
          </w:p>
        </w:tc>
      </w:tr>
      <w:tr w:rsidR="008A2411" w:rsidRPr="008A2411" w14:paraId="0545B098" w14:textId="77777777">
        <w:trPr>
          <w:trHeight w:val="613"/>
          <w:jc w:val="center"/>
        </w:trPr>
        <w:tc>
          <w:tcPr>
            <w:tcW w:w="867" w:type="dxa"/>
            <w:vMerge/>
            <w:vAlign w:val="center"/>
          </w:tcPr>
          <w:p w14:paraId="0B12D3A5" w14:textId="77777777" w:rsidR="00B0005F" w:rsidRPr="008A2411" w:rsidRDefault="00B0005F">
            <w:pPr>
              <w:pStyle w:val="WJ5"/>
              <w:spacing w:line="240" w:lineRule="auto"/>
              <w:rPr>
                <w:rFonts w:ascii="Times New Roman" w:hAnsi="Times New Roman"/>
                <w:color w:val="000000" w:themeColor="text1"/>
              </w:rPr>
            </w:pPr>
          </w:p>
        </w:tc>
        <w:tc>
          <w:tcPr>
            <w:tcW w:w="850" w:type="dxa"/>
            <w:vAlign w:val="center"/>
          </w:tcPr>
          <w:p w14:paraId="6C4E0594"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噪声</w:t>
            </w:r>
          </w:p>
        </w:tc>
        <w:tc>
          <w:tcPr>
            <w:tcW w:w="2179" w:type="dxa"/>
            <w:vAlign w:val="center"/>
          </w:tcPr>
          <w:p w14:paraId="0838F827"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厂界四周</w:t>
            </w:r>
          </w:p>
        </w:tc>
        <w:tc>
          <w:tcPr>
            <w:tcW w:w="2641" w:type="dxa"/>
            <w:vAlign w:val="center"/>
          </w:tcPr>
          <w:p w14:paraId="0C94AD8A" w14:textId="77777777" w:rsidR="00B0005F" w:rsidRPr="008A2411" w:rsidRDefault="00000000">
            <w:pPr>
              <w:pStyle w:val="WJ5"/>
              <w:spacing w:line="240" w:lineRule="auto"/>
              <w:rPr>
                <w:rFonts w:ascii="Times New Roman" w:hAnsi="Times New Roman"/>
                <w:color w:val="000000" w:themeColor="text1"/>
                <w:szCs w:val="24"/>
              </w:rPr>
            </w:pPr>
            <w:r w:rsidRPr="008A2411">
              <w:rPr>
                <w:rFonts w:ascii="Times New Roman" w:hAnsi="Times New Roman"/>
                <w:color w:val="000000" w:themeColor="text1"/>
                <w:szCs w:val="24"/>
              </w:rPr>
              <w:t>等效连续</w:t>
            </w:r>
            <w:r w:rsidRPr="008A2411">
              <w:rPr>
                <w:rFonts w:ascii="Times New Roman" w:hAnsi="Times New Roman"/>
                <w:color w:val="000000" w:themeColor="text1"/>
                <w:szCs w:val="24"/>
              </w:rPr>
              <w:t>A</w:t>
            </w:r>
            <w:r w:rsidRPr="008A2411">
              <w:rPr>
                <w:rFonts w:ascii="Times New Roman" w:hAnsi="Times New Roman"/>
                <w:color w:val="000000" w:themeColor="text1"/>
                <w:szCs w:val="24"/>
              </w:rPr>
              <w:t>声级</w:t>
            </w:r>
          </w:p>
        </w:tc>
        <w:tc>
          <w:tcPr>
            <w:tcW w:w="929" w:type="dxa"/>
            <w:vAlign w:val="center"/>
          </w:tcPr>
          <w:p w14:paraId="3ED2318B"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4</w:t>
            </w:r>
          </w:p>
        </w:tc>
        <w:tc>
          <w:tcPr>
            <w:tcW w:w="1728" w:type="dxa"/>
            <w:vAlign w:val="center"/>
          </w:tcPr>
          <w:p w14:paraId="20C373FF" w14:textId="77777777" w:rsidR="00B0005F" w:rsidRPr="008A2411" w:rsidRDefault="00000000">
            <w:pPr>
              <w:pStyle w:val="affff2"/>
              <w:adjustRightInd w:val="0"/>
              <w:snapToGrid w:val="0"/>
              <w:spacing w:before="0" w:beforeAutospacing="0" w:after="0" w:afterAutospacing="0"/>
              <w:rPr>
                <w:rFonts w:ascii="Times New Roman" w:hAnsi="Times New Roman" w:cs="Times New Roman"/>
                <w:color w:val="000000" w:themeColor="text1"/>
                <w:sz w:val="21"/>
                <w:szCs w:val="21"/>
              </w:rPr>
            </w:pPr>
            <w:r w:rsidRPr="008A2411">
              <w:rPr>
                <w:rFonts w:ascii="Times New Roman" w:hAnsi="Times New Roman" w:cs="Times New Roman"/>
                <w:color w:val="000000" w:themeColor="text1"/>
                <w:sz w:val="21"/>
                <w:szCs w:val="21"/>
              </w:rPr>
              <w:t>1</w:t>
            </w:r>
            <w:r w:rsidRPr="008A2411">
              <w:rPr>
                <w:rFonts w:ascii="Times New Roman" w:hAnsi="Times New Roman" w:cs="Times New Roman"/>
                <w:color w:val="000000" w:themeColor="text1"/>
                <w:sz w:val="21"/>
                <w:szCs w:val="21"/>
              </w:rPr>
              <w:t>次</w:t>
            </w:r>
            <w:r w:rsidRPr="008A2411">
              <w:rPr>
                <w:rFonts w:ascii="Times New Roman" w:hAnsi="Times New Roman" w:cs="Times New Roman"/>
                <w:color w:val="000000" w:themeColor="text1"/>
                <w:sz w:val="21"/>
                <w:szCs w:val="21"/>
              </w:rPr>
              <w:t>/</w:t>
            </w:r>
            <w:r w:rsidRPr="008A2411">
              <w:rPr>
                <w:rFonts w:ascii="Times New Roman" w:hAnsi="Times New Roman" w:cs="Times New Roman"/>
                <w:color w:val="000000" w:themeColor="text1"/>
                <w:sz w:val="21"/>
                <w:szCs w:val="21"/>
              </w:rPr>
              <w:t>季，连续监测两天，昼、夜间各</w:t>
            </w:r>
            <w:r w:rsidRPr="008A2411">
              <w:rPr>
                <w:rFonts w:ascii="Times New Roman" w:hAnsi="Times New Roman" w:cs="Times New Roman"/>
                <w:color w:val="000000" w:themeColor="text1"/>
                <w:sz w:val="21"/>
                <w:szCs w:val="21"/>
              </w:rPr>
              <w:t>1</w:t>
            </w:r>
            <w:r w:rsidRPr="008A2411">
              <w:rPr>
                <w:rFonts w:ascii="Times New Roman" w:hAnsi="Times New Roman" w:cs="Times New Roman"/>
                <w:color w:val="000000" w:themeColor="text1"/>
                <w:sz w:val="21"/>
                <w:szCs w:val="21"/>
              </w:rPr>
              <w:t>次</w:t>
            </w:r>
          </w:p>
        </w:tc>
      </w:tr>
      <w:tr w:rsidR="008A2411" w:rsidRPr="008A2411" w14:paraId="0E4B7083" w14:textId="77777777">
        <w:trPr>
          <w:jc w:val="center"/>
        </w:trPr>
        <w:tc>
          <w:tcPr>
            <w:tcW w:w="867" w:type="dxa"/>
            <w:vMerge w:val="restart"/>
            <w:vAlign w:val="center"/>
          </w:tcPr>
          <w:p w14:paraId="5D94581C"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环境</w:t>
            </w:r>
          </w:p>
          <w:p w14:paraId="1F052069"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监测</w:t>
            </w:r>
          </w:p>
        </w:tc>
        <w:tc>
          <w:tcPr>
            <w:tcW w:w="850" w:type="dxa"/>
            <w:vAlign w:val="center"/>
          </w:tcPr>
          <w:p w14:paraId="22B927C0"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环境</w:t>
            </w:r>
          </w:p>
          <w:p w14:paraId="3436AECB"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空气</w:t>
            </w:r>
          </w:p>
        </w:tc>
        <w:tc>
          <w:tcPr>
            <w:tcW w:w="2179" w:type="dxa"/>
            <w:vAlign w:val="center"/>
          </w:tcPr>
          <w:p w14:paraId="30DC6482"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站场外最近的环境敏感点处</w:t>
            </w:r>
          </w:p>
        </w:tc>
        <w:tc>
          <w:tcPr>
            <w:tcW w:w="2641" w:type="dxa"/>
            <w:vAlign w:val="center"/>
          </w:tcPr>
          <w:p w14:paraId="1208A300"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NMHC</w:t>
            </w:r>
            <w:r w:rsidRPr="008A2411">
              <w:rPr>
                <w:rFonts w:ascii="Times New Roman" w:hAnsi="Times New Roman"/>
                <w:color w:val="000000" w:themeColor="text1"/>
              </w:rPr>
              <w:t>、</w:t>
            </w:r>
            <w:r w:rsidRPr="008A2411">
              <w:rPr>
                <w:rFonts w:ascii="Times New Roman" w:hAnsi="Times New Roman"/>
                <w:color w:val="000000" w:themeColor="text1"/>
              </w:rPr>
              <w:t>H</w:t>
            </w:r>
            <w:r w:rsidRPr="008A2411">
              <w:rPr>
                <w:rFonts w:ascii="Times New Roman" w:hAnsi="Times New Roman"/>
                <w:color w:val="000000" w:themeColor="text1"/>
                <w:vertAlign w:val="subscript"/>
              </w:rPr>
              <w:t>2</w:t>
            </w:r>
            <w:r w:rsidRPr="008A2411">
              <w:rPr>
                <w:rFonts w:ascii="Times New Roman" w:hAnsi="Times New Roman"/>
                <w:color w:val="000000" w:themeColor="text1"/>
              </w:rPr>
              <w:t>S</w:t>
            </w:r>
          </w:p>
        </w:tc>
        <w:tc>
          <w:tcPr>
            <w:tcW w:w="929" w:type="dxa"/>
            <w:vAlign w:val="center"/>
          </w:tcPr>
          <w:p w14:paraId="7061ED52"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1</w:t>
            </w:r>
          </w:p>
        </w:tc>
        <w:tc>
          <w:tcPr>
            <w:tcW w:w="1728" w:type="dxa"/>
            <w:vAlign w:val="center"/>
          </w:tcPr>
          <w:p w14:paraId="77DA5713" w14:textId="77777777" w:rsidR="00B0005F" w:rsidRPr="008A2411" w:rsidRDefault="00000000">
            <w:pPr>
              <w:pStyle w:val="affff2"/>
              <w:adjustRightInd w:val="0"/>
              <w:snapToGrid w:val="0"/>
              <w:spacing w:before="0" w:beforeAutospacing="0" w:after="0" w:afterAutospacing="0"/>
              <w:rPr>
                <w:rFonts w:ascii="Times New Roman" w:hAnsi="Times New Roman" w:cs="Times New Roman"/>
                <w:color w:val="000000" w:themeColor="text1"/>
                <w:sz w:val="21"/>
                <w:szCs w:val="21"/>
              </w:rPr>
            </w:pPr>
            <w:r w:rsidRPr="008A2411">
              <w:rPr>
                <w:rFonts w:ascii="Times New Roman" w:hAnsi="Times New Roman" w:cs="Times New Roman"/>
                <w:color w:val="000000" w:themeColor="text1"/>
                <w:sz w:val="21"/>
                <w:szCs w:val="21"/>
              </w:rPr>
              <w:t>监测</w:t>
            </w:r>
            <w:r w:rsidRPr="008A2411">
              <w:rPr>
                <w:rFonts w:ascii="Times New Roman" w:hAnsi="Times New Roman" w:cs="Times New Roman"/>
                <w:color w:val="000000" w:themeColor="text1"/>
                <w:sz w:val="21"/>
                <w:szCs w:val="21"/>
              </w:rPr>
              <w:t>1</w:t>
            </w:r>
            <w:r w:rsidRPr="008A2411">
              <w:rPr>
                <w:rFonts w:ascii="Times New Roman" w:hAnsi="Times New Roman" w:cs="Times New Roman"/>
                <w:color w:val="000000" w:themeColor="text1"/>
                <w:sz w:val="21"/>
                <w:szCs w:val="21"/>
              </w:rPr>
              <w:t>次</w:t>
            </w:r>
            <w:r w:rsidRPr="008A2411">
              <w:rPr>
                <w:rFonts w:ascii="Times New Roman" w:hAnsi="Times New Roman" w:cs="Times New Roman"/>
                <w:color w:val="000000" w:themeColor="text1"/>
                <w:sz w:val="21"/>
                <w:szCs w:val="21"/>
              </w:rPr>
              <w:t>/</w:t>
            </w:r>
            <w:r w:rsidRPr="008A2411">
              <w:rPr>
                <w:rFonts w:ascii="Times New Roman" w:hAnsi="Times New Roman" w:cs="Times New Roman"/>
                <w:color w:val="000000" w:themeColor="text1"/>
                <w:sz w:val="21"/>
                <w:szCs w:val="21"/>
              </w:rPr>
              <w:t>年</w:t>
            </w:r>
          </w:p>
        </w:tc>
      </w:tr>
      <w:tr w:rsidR="008A2411" w:rsidRPr="008A2411" w14:paraId="24DB0B35" w14:textId="77777777">
        <w:trPr>
          <w:jc w:val="center"/>
        </w:trPr>
        <w:tc>
          <w:tcPr>
            <w:tcW w:w="867" w:type="dxa"/>
            <w:vMerge/>
            <w:vAlign w:val="center"/>
          </w:tcPr>
          <w:p w14:paraId="7F2807C2" w14:textId="77777777" w:rsidR="00B0005F" w:rsidRPr="008A2411" w:rsidRDefault="00B0005F">
            <w:pPr>
              <w:pStyle w:val="WJ5"/>
              <w:spacing w:line="240" w:lineRule="auto"/>
              <w:rPr>
                <w:rFonts w:ascii="Times New Roman" w:hAnsi="Times New Roman"/>
                <w:color w:val="000000" w:themeColor="text1"/>
              </w:rPr>
            </w:pPr>
          </w:p>
        </w:tc>
        <w:tc>
          <w:tcPr>
            <w:tcW w:w="850" w:type="dxa"/>
            <w:vAlign w:val="center"/>
          </w:tcPr>
          <w:p w14:paraId="3DBEAA31"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声环境</w:t>
            </w:r>
          </w:p>
        </w:tc>
        <w:tc>
          <w:tcPr>
            <w:tcW w:w="2179" w:type="dxa"/>
            <w:vAlign w:val="center"/>
          </w:tcPr>
          <w:p w14:paraId="5693F86F"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站场外最近的环境敏感点处</w:t>
            </w:r>
          </w:p>
        </w:tc>
        <w:tc>
          <w:tcPr>
            <w:tcW w:w="2641" w:type="dxa"/>
            <w:vAlign w:val="center"/>
          </w:tcPr>
          <w:p w14:paraId="05AEA3FA"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szCs w:val="24"/>
              </w:rPr>
              <w:t>等效连续</w:t>
            </w:r>
            <w:r w:rsidRPr="008A2411">
              <w:rPr>
                <w:rFonts w:ascii="Times New Roman" w:hAnsi="Times New Roman"/>
                <w:color w:val="000000" w:themeColor="text1"/>
                <w:szCs w:val="24"/>
              </w:rPr>
              <w:t>A</w:t>
            </w:r>
            <w:r w:rsidRPr="008A2411">
              <w:rPr>
                <w:rFonts w:ascii="Times New Roman" w:hAnsi="Times New Roman"/>
                <w:color w:val="000000" w:themeColor="text1"/>
                <w:szCs w:val="24"/>
              </w:rPr>
              <w:t>声级</w:t>
            </w:r>
          </w:p>
        </w:tc>
        <w:tc>
          <w:tcPr>
            <w:tcW w:w="929" w:type="dxa"/>
            <w:vAlign w:val="center"/>
          </w:tcPr>
          <w:p w14:paraId="17D565A5"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4</w:t>
            </w:r>
          </w:p>
        </w:tc>
        <w:tc>
          <w:tcPr>
            <w:tcW w:w="1728" w:type="dxa"/>
            <w:vAlign w:val="center"/>
          </w:tcPr>
          <w:p w14:paraId="70A92AC7" w14:textId="77777777" w:rsidR="00B0005F" w:rsidRPr="008A2411" w:rsidRDefault="00000000">
            <w:pPr>
              <w:pStyle w:val="affff2"/>
              <w:adjustRightInd w:val="0"/>
              <w:snapToGrid w:val="0"/>
              <w:spacing w:before="0" w:beforeAutospacing="0" w:after="0" w:afterAutospacing="0"/>
              <w:rPr>
                <w:rFonts w:ascii="Times New Roman" w:hAnsi="Times New Roman" w:cs="Times New Roman"/>
                <w:color w:val="000000" w:themeColor="text1"/>
                <w:sz w:val="21"/>
                <w:szCs w:val="21"/>
              </w:rPr>
            </w:pPr>
            <w:r w:rsidRPr="008A2411">
              <w:rPr>
                <w:rFonts w:ascii="Times New Roman" w:hAnsi="Times New Roman" w:cs="Times New Roman"/>
                <w:color w:val="000000" w:themeColor="text1"/>
                <w:sz w:val="21"/>
                <w:szCs w:val="21"/>
              </w:rPr>
              <w:t>1</w:t>
            </w:r>
            <w:r w:rsidRPr="008A2411">
              <w:rPr>
                <w:rFonts w:ascii="Times New Roman" w:hAnsi="Times New Roman" w:cs="Times New Roman"/>
                <w:color w:val="000000" w:themeColor="text1"/>
                <w:sz w:val="21"/>
                <w:szCs w:val="21"/>
              </w:rPr>
              <w:t>次</w:t>
            </w:r>
            <w:r w:rsidRPr="008A2411">
              <w:rPr>
                <w:rFonts w:ascii="Times New Roman" w:hAnsi="Times New Roman" w:cs="Times New Roman"/>
                <w:color w:val="000000" w:themeColor="text1"/>
                <w:sz w:val="21"/>
                <w:szCs w:val="21"/>
              </w:rPr>
              <w:t>/</w:t>
            </w:r>
            <w:r w:rsidRPr="008A2411">
              <w:rPr>
                <w:rFonts w:ascii="Times New Roman" w:hAnsi="Times New Roman" w:cs="Times New Roman"/>
                <w:color w:val="000000" w:themeColor="text1"/>
                <w:sz w:val="21"/>
                <w:szCs w:val="21"/>
              </w:rPr>
              <w:t>季，连续监测两天，昼、夜间各</w:t>
            </w:r>
            <w:r w:rsidRPr="008A2411">
              <w:rPr>
                <w:rFonts w:ascii="Times New Roman" w:hAnsi="Times New Roman" w:cs="Times New Roman"/>
                <w:color w:val="000000" w:themeColor="text1"/>
                <w:sz w:val="21"/>
                <w:szCs w:val="21"/>
              </w:rPr>
              <w:t>1</w:t>
            </w:r>
            <w:r w:rsidRPr="008A2411">
              <w:rPr>
                <w:rFonts w:ascii="Times New Roman" w:hAnsi="Times New Roman" w:cs="Times New Roman"/>
                <w:color w:val="000000" w:themeColor="text1"/>
                <w:sz w:val="21"/>
                <w:szCs w:val="21"/>
              </w:rPr>
              <w:t>次</w:t>
            </w:r>
          </w:p>
        </w:tc>
      </w:tr>
      <w:tr w:rsidR="008A2411" w:rsidRPr="008A2411" w14:paraId="557FD5D0" w14:textId="77777777">
        <w:trPr>
          <w:jc w:val="center"/>
        </w:trPr>
        <w:tc>
          <w:tcPr>
            <w:tcW w:w="867" w:type="dxa"/>
            <w:vMerge/>
            <w:vAlign w:val="center"/>
          </w:tcPr>
          <w:p w14:paraId="0249ADED" w14:textId="77777777" w:rsidR="00B0005F" w:rsidRPr="008A2411" w:rsidRDefault="00B0005F">
            <w:pPr>
              <w:pStyle w:val="WJ5"/>
              <w:spacing w:line="240" w:lineRule="auto"/>
              <w:rPr>
                <w:rFonts w:ascii="Times New Roman" w:hAnsi="Times New Roman"/>
                <w:color w:val="000000" w:themeColor="text1"/>
              </w:rPr>
            </w:pPr>
          </w:p>
        </w:tc>
        <w:tc>
          <w:tcPr>
            <w:tcW w:w="850" w:type="dxa"/>
            <w:vAlign w:val="center"/>
          </w:tcPr>
          <w:p w14:paraId="5FA1FD04"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地下水</w:t>
            </w:r>
          </w:p>
        </w:tc>
        <w:tc>
          <w:tcPr>
            <w:tcW w:w="2179" w:type="dxa"/>
            <w:vAlign w:val="center"/>
          </w:tcPr>
          <w:p w14:paraId="64746AD4"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厂区北侧边界处；污水处理站南侧；厂区南侧边界；工艺装置区东侧</w:t>
            </w:r>
          </w:p>
        </w:tc>
        <w:tc>
          <w:tcPr>
            <w:tcW w:w="2641" w:type="dxa"/>
            <w:vAlign w:val="center"/>
          </w:tcPr>
          <w:p w14:paraId="051819DA"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监测因子包括基本因子（地下水水位、</w:t>
            </w:r>
            <w:r w:rsidRPr="008A2411">
              <w:rPr>
                <w:rFonts w:ascii="Times New Roman" w:hAnsi="Times New Roman"/>
                <w:color w:val="000000" w:themeColor="text1"/>
              </w:rPr>
              <w:t>pH</w:t>
            </w:r>
            <w:r w:rsidRPr="008A2411">
              <w:rPr>
                <w:rFonts w:ascii="Times New Roman" w:hAnsi="Times New Roman"/>
                <w:color w:val="000000" w:themeColor="text1"/>
              </w:rPr>
              <w:t>、</w:t>
            </w:r>
            <w:r w:rsidRPr="008A2411">
              <w:rPr>
                <w:rFonts w:ascii="Times New Roman" w:hAnsi="Times New Roman"/>
                <w:color w:val="000000" w:themeColor="text1"/>
              </w:rPr>
              <w:t>SO</w:t>
            </w:r>
            <w:r w:rsidRPr="008A2411">
              <w:rPr>
                <w:rFonts w:ascii="Times New Roman" w:hAnsi="Times New Roman"/>
                <w:color w:val="000000" w:themeColor="text1"/>
                <w:vertAlign w:val="subscript"/>
              </w:rPr>
              <w:t>4</w:t>
            </w:r>
            <w:r w:rsidRPr="008A2411">
              <w:rPr>
                <w:rFonts w:ascii="Times New Roman" w:hAnsi="Times New Roman"/>
                <w:color w:val="000000" w:themeColor="text1"/>
                <w:vertAlign w:val="superscript"/>
              </w:rPr>
              <w:t>2-</w:t>
            </w:r>
            <w:r w:rsidRPr="008A2411">
              <w:rPr>
                <w:rFonts w:ascii="Times New Roman" w:hAnsi="Times New Roman"/>
                <w:color w:val="000000" w:themeColor="text1"/>
              </w:rPr>
              <w:t>、</w:t>
            </w:r>
            <w:r w:rsidRPr="008A2411">
              <w:rPr>
                <w:rFonts w:ascii="Times New Roman" w:hAnsi="Times New Roman"/>
                <w:color w:val="000000" w:themeColor="text1"/>
              </w:rPr>
              <w:t>HCO</w:t>
            </w:r>
            <w:r w:rsidRPr="008A2411">
              <w:rPr>
                <w:rFonts w:ascii="Times New Roman" w:hAnsi="Times New Roman"/>
                <w:color w:val="000000" w:themeColor="text1"/>
                <w:vertAlign w:val="subscript"/>
              </w:rPr>
              <w:t>3</w:t>
            </w:r>
            <w:r w:rsidRPr="008A2411">
              <w:rPr>
                <w:rFonts w:ascii="Times New Roman" w:hAnsi="Times New Roman"/>
                <w:color w:val="000000" w:themeColor="text1"/>
                <w:vertAlign w:val="superscript"/>
              </w:rPr>
              <w:t>-</w:t>
            </w:r>
            <w:r w:rsidRPr="008A2411">
              <w:rPr>
                <w:rFonts w:ascii="Times New Roman" w:hAnsi="Times New Roman"/>
                <w:color w:val="000000" w:themeColor="text1"/>
              </w:rPr>
              <w:t>、</w:t>
            </w:r>
            <w:r w:rsidRPr="008A2411">
              <w:rPr>
                <w:rFonts w:ascii="Times New Roman" w:hAnsi="Times New Roman"/>
                <w:color w:val="000000" w:themeColor="text1"/>
              </w:rPr>
              <w:t>Cl</w:t>
            </w:r>
            <w:r w:rsidRPr="008A2411">
              <w:rPr>
                <w:rFonts w:ascii="Times New Roman" w:hAnsi="Times New Roman"/>
                <w:color w:val="000000" w:themeColor="text1"/>
                <w:vertAlign w:val="superscript"/>
              </w:rPr>
              <w:t>-</w:t>
            </w:r>
            <w:r w:rsidRPr="008A2411">
              <w:rPr>
                <w:rFonts w:ascii="Times New Roman" w:hAnsi="Times New Roman"/>
                <w:color w:val="000000" w:themeColor="text1"/>
              </w:rPr>
              <w:t>、</w:t>
            </w:r>
            <w:r w:rsidRPr="008A2411">
              <w:rPr>
                <w:rFonts w:ascii="Times New Roman" w:hAnsi="Times New Roman"/>
                <w:color w:val="000000" w:themeColor="text1"/>
              </w:rPr>
              <w:t>Na</w:t>
            </w:r>
            <w:r w:rsidRPr="008A2411">
              <w:rPr>
                <w:rFonts w:ascii="Times New Roman" w:hAnsi="Times New Roman"/>
                <w:color w:val="000000" w:themeColor="text1"/>
                <w:vertAlign w:val="superscript"/>
              </w:rPr>
              <w:t>+</w:t>
            </w:r>
            <w:r w:rsidRPr="008A2411">
              <w:rPr>
                <w:rFonts w:ascii="Times New Roman" w:hAnsi="Times New Roman"/>
                <w:color w:val="000000" w:themeColor="text1"/>
              </w:rPr>
              <w:t>、</w:t>
            </w:r>
            <w:r w:rsidRPr="008A2411">
              <w:rPr>
                <w:rFonts w:ascii="Times New Roman" w:hAnsi="Times New Roman"/>
                <w:color w:val="000000" w:themeColor="text1"/>
              </w:rPr>
              <w:t>K</w:t>
            </w:r>
            <w:r w:rsidRPr="008A2411">
              <w:rPr>
                <w:rFonts w:ascii="Times New Roman" w:hAnsi="Times New Roman"/>
                <w:color w:val="000000" w:themeColor="text1"/>
                <w:vertAlign w:val="superscript"/>
              </w:rPr>
              <w:t>+</w:t>
            </w:r>
            <w:r w:rsidRPr="008A2411">
              <w:rPr>
                <w:rFonts w:ascii="Times New Roman" w:hAnsi="Times New Roman"/>
                <w:color w:val="000000" w:themeColor="text1"/>
              </w:rPr>
              <w:t>、</w:t>
            </w:r>
            <w:r w:rsidRPr="008A2411">
              <w:rPr>
                <w:rFonts w:ascii="Times New Roman" w:hAnsi="Times New Roman"/>
                <w:color w:val="000000" w:themeColor="text1"/>
              </w:rPr>
              <w:t>Ca</w:t>
            </w:r>
            <w:r w:rsidRPr="008A2411">
              <w:rPr>
                <w:rFonts w:ascii="Times New Roman" w:hAnsi="Times New Roman"/>
                <w:color w:val="000000" w:themeColor="text1"/>
                <w:vertAlign w:val="superscript"/>
              </w:rPr>
              <w:t>2+</w:t>
            </w:r>
            <w:r w:rsidRPr="008A2411">
              <w:rPr>
                <w:rFonts w:ascii="Times New Roman" w:hAnsi="Times New Roman"/>
                <w:color w:val="000000" w:themeColor="text1"/>
              </w:rPr>
              <w:t>、</w:t>
            </w:r>
            <w:r w:rsidRPr="008A2411">
              <w:rPr>
                <w:rFonts w:ascii="Times New Roman" w:hAnsi="Times New Roman"/>
                <w:color w:val="000000" w:themeColor="text1"/>
              </w:rPr>
              <w:t>Mg</w:t>
            </w:r>
            <w:r w:rsidRPr="008A2411">
              <w:rPr>
                <w:rFonts w:ascii="Times New Roman" w:hAnsi="Times New Roman"/>
                <w:color w:val="000000" w:themeColor="text1"/>
                <w:vertAlign w:val="superscript"/>
              </w:rPr>
              <w:t>2+</w:t>
            </w:r>
            <w:r w:rsidRPr="008A2411">
              <w:rPr>
                <w:rFonts w:ascii="Times New Roman" w:hAnsi="Times New Roman"/>
                <w:color w:val="000000" w:themeColor="text1"/>
              </w:rPr>
              <w:t>）和特征污染因子</w:t>
            </w:r>
            <w:r w:rsidRPr="008A2411">
              <w:rPr>
                <w:rFonts w:ascii="Times New Roman" w:hAnsi="Times New Roman"/>
                <w:color w:val="000000" w:themeColor="text1"/>
                <w:szCs w:val="24"/>
              </w:rPr>
              <w:t>（耗氧量、石油类、</w:t>
            </w:r>
            <w:r w:rsidRPr="008A2411">
              <w:rPr>
                <w:rFonts w:ascii="Times New Roman" w:hAnsi="Times New Roman"/>
                <w:color w:val="000000" w:themeColor="text1"/>
                <w:szCs w:val="24"/>
              </w:rPr>
              <w:t>MDEA</w:t>
            </w:r>
            <w:r w:rsidRPr="008A2411">
              <w:rPr>
                <w:rFonts w:ascii="Times New Roman" w:hAnsi="Times New Roman"/>
                <w:color w:val="000000" w:themeColor="text1"/>
                <w:szCs w:val="24"/>
              </w:rPr>
              <w:t>、</w:t>
            </w:r>
            <w:r w:rsidRPr="008A2411">
              <w:rPr>
                <w:rFonts w:ascii="Times New Roman" w:hAnsi="Times New Roman"/>
                <w:color w:val="000000" w:themeColor="text1"/>
                <w:szCs w:val="24"/>
              </w:rPr>
              <w:t>pH</w:t>
            </w:r>
            <w:r w:rsidRPr="008A2411">
              <w:rPr>
                <w:rFonts w:ascii="Times New Roman" w:hAnsi="Times New Roman"/>
                <w:color w:val="000000" w:themeColor="text1"/>
                <w:szCs w:val="24"/>
              </w:rPr>
              <w:t>）；</w:t>
            </w:r>
          </w:p>
        </w:tc>
        <w:tc>
          <w:tcPr>
            <w:tcW w:w="929" w:type="dxa"/>
            <w:vAlign w:val="center"/>
          </w:tcPr>
          <w:p w14:paraId="08A464D7"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3</w:t>
            </w:r>
          </w:p>
        </w:tc>
        <w:tc>
          <w:tcPr>
            <w:tcW w:w="1728" w:type="dxa"/>
            <w:vAlign w:val="center"/>
          </w:tcPr>
          <w:p w14:paraId="25BD38C4" w14:textId="77777777" w:rsidR="00B0005F" w:rsidRPr="008A2411" w:rsidRDefault="00000000">
            <w:pPr>
              <w:pStyle w:val="affff2"/>
              <w:adjustRightInd w:val="0"/>
              <w:snapToGrid w:val="0"/>
              <w:spacing w:before="0" w:beforeAutospacing="0" w:after="0" w:afterAutospacing="0"/>
              <w:rPr>
                <w:rFonts w:ascii="Times New Roman" w:hAnsi="Times New Roman" w:cs="Times New Roman"/>
                <w:color w:val="000000" w:themeColor="text1"/>
                <w:sz w:val="21"/>
                <w:szCs w:val="21"/>
              </w:rPr>
            </w:pPr>
            <w:r w:rsidRPr="008A2411">
              <w:rPr>
                <w:rFonts w:ascii="Times New Roman" w:hAnsi="Times New Roman" w:cs="Times New Roman"/>
                <w:color w:val="000000" w:themeColor="text1"/>
                <w:sz w:val="21"/>
                <w:szCs w:val="21"/>
              </w:rPr>
              <w:t>一类单元（装置区、污水处理区南侧）监测频率为每季度</w:t>
            </w:r>
            <w:r w:rsidRPr="008A2411">
              <w:rPr>
                <w:rFonts w:ascii="Times New Roman" w:hAnsi="Times New Roman" w:cs="Times New Roman"/>
                <w:color w:val="000000" w:themeColor="text1"/>
                <w:sz w:val="21"/>
                <w:szCs w:val="21"/>
              </w:rPr>
              <w:t>1</w:t>
            </w:r>
            <w:r w:rsidRPr="008A2411">
              <w:rPr>
                <w:rFonts w:ascii="Times New Roman" w:hAnsi="Times New Roman" w:cs="Times New Roman"/>
                <w:color w:val="000000" w:themeColor="text1"/>
                <w:sz w:val="21"/>
                <w:szCs w:val="21"/>
              </w:rPr>
              <w:t>次；</w:t>
            </w:r>
          </w:p>
          <w:p w14:paraId="67377491" w14:textId="77777777" w:rsidR="00B0005F" w:rsidRPr="008A2411" w:rsidRDefault="00000000">
            <w:pPr>
              <w:pStyle w:val="affff2"/>
              <w:adjustRightInd w:val="0"/>
              <w:snapToGrid w:val="0"/>
              <w:spacing w:before="0" w:beforeAutospacing="0" w:after="0" w:afterAutospacing="0"/>
              <w:rPr>
                <w:rFonts w:ascii="Times New Roman" w:hAnsi="Times New Roman" w:cs="Times New Roman"/>
                <w:color w:val="000000" w:themeColor="text1"/>
                <w:sz w:val="21"/>
                <w:szCs w:val="21"/>
              </w:rPr>
            </w:pPr>
            <w:r w:rsidRPr="008A2411">
              <w:rPr>
                <w:rFonts w:ascii="Times New Roman" w:hAnsi="Times New Roman" w:cs="Times New Roman"/>
                <w:color w:val="000000" w:themeColor="text1"/>
                <w:sz w:val="21"/>
                <w:szCs w:val="21"/>
              </w:rPr>
              <w:t>二类单元（厂区北侧边界）监测频率为</w:t>
            </w:r>
            <w:r w:rsidRPr="008A2411">
              <w:rPr>
                <w:rFonts w:ascii="Times New Roman" w:hAnsi="Times New Roman" w:cs="Times New Roman"/>
                <w:color w:val="000000" w:themeColor="text1"/>
                <w:sz w:val="21"/>
                <w:szCs w:val="21"/>
              </w:rPr>
              <w:t>1</w:t>
            </w:r>
            <w:r w:rsidRPr="008A2411">
              <w:rPr>
                <w:rFonts w:ascii="Times New Roman" w:hAnsi="Times New Roman" w:cs="Times New Roman"/>
                <w:color w:val="000000" w:themeColor="text1"/>
                <w:sz w:val="21"/>
                <w:szCs w:val="21"/>
              </w:rPr>
              <w:t>次</w:t>
            </w:r>
            <w:r w:rsidRPr="008A2411">
              <w:rPr>
                <w:rFonts w:ascii="Times New Roman" w:hAnsi="Times New Roman" w:cs="Times New Roman"/>
                <w:color w:val="000000" w:themeColor="text1"/>
                <w:sz w:val="21"/>
                <w:szCs w:val="21"/>
              </w:rPr>
              <w:t>/</w:t>
            </w:r>
            <w:r w:rsidRPr="008A2411">
              <w:rPr>
                <w:rFonts w:ascii="Times New Roman" w:hAnsi="Times New Roman" w:cs="Times New Roman"/>
                <w:color w:val="000000" w:themeColor="text1"/>
                <w:sz w:val="21"/>
                <w:szCs w:val="21"/>
              </w:rPr>
              <w:t>半年</w:t>
            </w:r>
          </w:p>
        </w:tc>
      </w:tr>
      <w:tr w:rsidR="008A2411" w:rsidRPr="008A2411" w14:paraId="6F0CF688" w14:textId="77777777">
        <w:trPr>
          <w:jc w:val="center"/>
        </w:trPr>
        <w:tc>
          <w:tcPr>
            <w:tcW w:w="867" w:type="dxa"/>
            <w:vMerge/>
            <w:vAlign w:val="center"/>
          </w:tcPr>
          <w:p w14:paraId="243A5F10" w14:textId="77777777" w:rsidR="00B0005F" w:rsidRPr="008A2411" w:rsidRDefault="00B0005F">
            <w:pPr>
              <w:pStyle w:val="WJ5"/>
              <w:spacing w:line="240" w:lineRule="auto"/>
              <w:rPr>
                <w:rFonts w:ascii="Times New Roman" w:hAnsi="Times New Roman"/>
                <w:color w:val="000000" w:themeColor="text1"/>
              </w:rPr>
            </w:pPr>
            <w:bookmarkStart w:id="804" w:name="_Toc445424586"/>
            <w:bookmarkStart w:id="805" w:name="_Toc459817505"/>
            <w:bookmarkStart w:id="806" w:name="_Toc439229781"/>
          </w:p>
        </w:tc>
        <w:tc>
          <w:tcPr>
            <w:tcW w:w="850" w:type="dxa"/>
            <w:vAlign w:val="center"/>
          </w:tcPr>
          <w:p w14:paraId="6E5D9BC3"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土壤</w:t>
            </w:r>
          </w:p>
        </w:tc>
        <w:tc>
          <w:tcPr>
            <w:tcW w:w="2179" w:type="dxa"/>
            <w:vAlign w:val="center"/>
          </w:tcPr>
          <w:p w14:paraId="182D7576"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对于一类单元，本项目在装置区、污水预处理系统内部设置分别设置</w:t>
            </w:r>
            <w:r w:rsidRPr="008A2411">
              <w:rPr>
                <w:rFonts w:ascii="Times New Roman" w:hAnsi="Times New Roman"/>
                <w:color w:val="000000" w:themeColor="text1"/>
              </w:rPr>
              <w:t>1</w:t>
            </w:r>
            <w:r w:rsidRPr="008A2411">
              <w:rPr>
                <w:rFonts w:ascii="Times New Roman" w:hAnsi="Times New Roman"/>
                <w:color w:val="000000" w:themeColor="text1"/>
              </w:rPr>
              <w:t>个深层土壤监测点，在装置区下游分别设置</w:t>
            </w:r>
            <w:r w:rsidRPr="008A2411">
              <w:rPr>
                <w:rFonts w:ascii="Times New Roman" w:hAnsi="Times New Roman"/>
                <w:color w:val="000000" w:themeColor="text1"/>
              </w:rPr>
              <w:t>1</w:t>
            </w:r>
            <w:r w:rsidRPr="008A2411">
              <w:rPr>
                <w:rFonts w:ascii="Times New Roman" w:hAnsi="Times New Roman"/>
                <w:color w:val="000000" w:themeColor="text1"/>
              </w:rPr>
              <w:t>个表层土壤监测点。对于二类单元，本项目在厂界下游处设置</w:t>
            </w:r>
            <w:r w:rsidRPr="008A2411">
              <w:rPr>
                <w:rFonts w:ascii="Times New Roman" w:hAnsi="Times New Roman"/>
                <w:color w:val="000000" w:themeColor="text1"/>
              </w:rPr>
              <w:t>2</w:t>
            </w:r>
            <w:r w:rsidRPr="008A2411">
              <w:rPr>
                <w:rFonts w:ascii="Times New Roman" w:hAnsi="Times New Roman"/>
                <w:color w:val="000000" w:themeColor="text1"/>
              </w:rPr>
              <w:t>处表层土壤监测点。</w:t>
            </w:r>
          </w:p>
        </w:tc>
        <w:tc>
          <w:tcPr>
            <w:tcW w:w="2641" w:type="dxa"/>
            <w:vAlign w:val="center"/>
          </w:tcPr>
          <w:p w14:paraId="22FFFFD1" w14:textId="77777777" w:rsidR="00B0005F" w:rsidRPr="008A2411" w:rsidRDefault="00000000">
            <w:pPr>
              <w:widowControl/>
              <w:adjustRightInd w:val="0"/>
              <w:snapToGrid w:val="0"/>
              <w:ind w:firstLineChars="200" w:firstLine="420"/>
              <w:jc w:val="left"/>
              <w:rPr>
                <w:rFonts w:ascii="Times New Roman"/>
                <w:color w:val="000000" w:themeColor="text1"/>
                <w:kern w:val="2"/>
                <w:sz w:val="21"/>
                <w:szCs w:val="21"/>
              </w:rPr>
            </w:pPr>
            <w:r w:rsidRPr="008A2411">
              <w:rPr>
                <w:rFonts w:ascii="Times New Roman"/>
                <w:color w:val="000000" w:themeColor="text1"/>
                <w:kern w:val="2"/>
                <w:sz w:val="21"/>
                <w:szCs w:val="21"/>
              </w:rPr>
              <w:t>其中深层土壤监测点采样深度应略低于其对应的隐蔽性重点设施设备底部与土壤接触面，表层土壤监测点采样深度应为</w:t>
            </w:r>
            <w:r w:rsidRPr="008A2411">
              <w:rPr>
                <w:rFonts w:ascii="Times New Roman"/>
                <w:color w:val="000000" w:themeColor="text1"/>
                <w:kern w:val="2"/>
                <w:sz w:val="21"/>
                <w:szCs w:val="21"/>
              </w:rPr>
              <w:t>0</w:t>
            </w:r>
            <w:r w:rsidRPr="008A2411">
              <w:rPr>
                <w:rFonts w:ascii="Times New Roman"/>
                <w:color w:val="000000" w:themeColor="text1"/>
                <w:kern w:val="2"/>
                <w:sz w:val="21"/>
                <w:szCs w:val="21"/>
              </w:rPr>
              <w:t>～</w:t>
            </w:r>
            <w:r w:rsidRPr="008A2411">
              <w:rPr>
                <w:rFonts w:ascii="Times New Roman"/>
                <w:color w:val="000000" w:themeColor="text1"/>
                <w:kern w:val="2"/>
                <w:sz w:val="21"/>
                <w:szCs w:val="21"/>
              </w:rPr>
              <w:t>0.5 m</w:t>
            </w:r>
            <w:r w:rsidRPr="008A2411">
              <w:rPr>
                <w:rFonts w:ascii="Times New Roman"/>
                <w:color w:val="000000" w:themeColor="text1"/>
                <w:kern w:val="2"/>
                <w:sz w:val="21"/>
                <w:szCs w:val="21"/>
              </w:rPr>
              <w:t>。</w:t>
            </w:r>
          </w:p>
          <w:p w14:paraId="5205C77F" w14:textId="77777777" w:rsidR="00B0005F" w:rsidRPr="008A2411" w:rsidRDefault="00000000">
            <w:pPr>
              <w:widowControl/>
              <w:adjustRightInd w:val="0"/>
              <w:snapToGrid w:val="0"/>
              <w:ind w:firstLineChars="200" w:firstLine="420"/>
              <w:jc w:val="left"/>
              <w:rPr>
                <w:rFonts w:ascii="Times New Roman"/>
                <w:color w:val="000000" w:themeColor="text1"/>
                <w:kern w:val="2"/>
                <w:sz w:val="21"/>
                <w:szCs w:val="21"/>
              </w:rPr>
            </w:pPr>
            <w:r w:rsidRPr="008A2411">
              <w:rPr>
                <w:rFonts w:ascii="Times New Roman"/>
                <w:color w:val="000000" w:themeColor="text1"/>
                <w:kern w:val="2"/>
                <w:sz w:val="21"/>
                <w:szCs w:val="21"/>
              </w:rPr>
              <w:t>监测因子包括</w:t>
            </w:r>
            <w:r w:rsidRPr="008A2411">
              <w:rPr>
                <w:rFonts w:ascii="Times New Roman"/>
                <w:color w:val="000000" w:themeColor="text1"/>
                <w:kern w:val="2"/>
                <w:sz w:val="21"/>
                <w:szCs w:val="21"/>
              </w:rPr>
              <w:t>GB 36600</w:t>
            </w:r>
            <w:r w:rsidRPr="008A2411">
              <w:rPr>
                <w:rFonts w:ascii="Times New Roman"/>
                <w:color w:val="000000" w:themeColor="text1"/>
                <w:kern w:val="2"/>
                <w:sz w:val="21"/>
                <w:szCs w:val="21"/>
              </w:rPr>
              <w:t>表</w:t>
            </w:r>
            <w:r w:rsidRPr="008A2411">
              <w:rPr>
                <w:rFonts w:ascii="Times New Roman"/>
                <w:color w:val="000000" w:themeColor="text1"/>
                <w:kern w:val="2"/>
                <w:sz w:val="21"/>
                <w:szCs w:val="21"/>
              </w:rPr>
              <w:t>1</w:t>
            </w:r>
            <w:r w:rsidRPr="008A2411">
              <w:rPr>
                <w:rFonts w:ascii="Times New Roman"/>
                <w:color w:val="000000" w:themeColor="text1"/>
                <w:kern w:val="2"/>
                <w:sz w:val="21"/>
                <w:szCs w:val="21"/>
              </w:rPr>
              <w:t>基本项目和特征因子石油类。</w:t>
            </w:r>
          </w:p>
          <w:p w14:paraId="42C3336B" w14:textId="77777777" w:rsidR="00B0005F" w:rsidRPr="008A2411" w:rsidRDefault="00B0005F">
            <w:pPr>
              <w:pStyle w:val="WJ5"/>
              <w:spacing w:line="240" w:lineRule="auto"/>
              <w:rPr>
                <w:rFonts w:ascii="Times New Roman" w:hAnsi="Times New Roman"/>
                <w:color w:val="000000" w:themeColor="text1"/>
              </w:rPr>
            </w:pPr>
          </w:p>
        </w:tc>
        <w:tc>
          <w:tcPr>
            <w:tcW w:w="929" w:type="dxa"/>
            <w:vAlign w:val="center"/>
          </w:tcPr>
          <w:p w14:paraId="5598795E"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4</w:t>
            </w:r>
          </w:p>
        </w:tc>
        <w:tc>
          <w:tcPr>
            <w:tcW w:w="1728" w:type="dxa"/>
            <w:vAlign w:val="center"/>
          </w:tcPr>
          <w:p w14:paraId="557501C2" w14:textId="77777777" w:rsidR="00B0005F" w:rsidRPr="008A2411" w:rsidRDefault="00000000">
            <w:pPr>
              <w:widowControl/>
              <w:adjustRightInd w:val="0"/>
              <w:snapToGrid w:val="0"/>
              <w:jc w:val="left"/>
              <w:rPr>
                <w:rFonts w:ascii="Times New Roman"/>
                <w:color w:val="000000" w:themeColor="text1"/>
                <w:kern w:val="2"/>
                <w:sz w:val="21"/>
                <w:szCs w:val="21"/>
              </w:rPr>
            </w:pPr>
            <w:r w:rsidRPr="008A2411">
              <w:rPr>
                <w:rFonts w:ascii="Times New Roman"/>
                <w:color w:val="000000" w:themeColor="text1"/>
                <w:kern w:val="2"/>
                <w:sz w:val="21"/>
                <w:szCs w:val="21"/>
              </w:rPr>
              <w:t>其中表层土壤监测频次为</w:t>
            </w:r>
            <w:r w:rsidRPr="008A2411">
              <w:rPr>
                <w:rFonts w:ascii="Times New Roman"/>
                <w:color w:val="000000" w:themeColor="text1"/>
                <w:kern w:val="2"/>
                <w:sz w:val="21"/>
                <w:szCs w:val="21"/>
              </w:rPr>
              <w:t>1</w:t>
            </w:r>
            <w:r w:rsidRPr="008A2411">
              <w:rPr>
                <w:rFonts w:ascii="Times New Roman"/>
                <w:color w:val="000000" w:themeColor="text1"/>
                <w:kern w:val="2"/>
                <w:sz w:val="21"/>
                <w:szCs w:val="21"/>
              </w:rPr>
              <w:t>次</w:t>
            </w:r>
            <w:r w:rsidRPr="008A2411">
              <w:rPr>
                <w:rFonts w:ascii="Times New Roman"/>
                <w:color w:val="000000" w:themeColor="text1"/>
                <w:kern w:val="2"/>
                <w:sz w:val="21"/>
                <w:szCs w:val="21"/>
              </w:rPr>
              <w:t>/</w:t>
            </w:r>
            <w:r w:rsidRPr="008A2411">
              <w:rPr>
                <w:rFonts w:ascii="Times New Roman"/>
                <w:color w:val="000000" w:themeColor="text1"/>
                <w:kern w:val="2"/>
                <w:sz w:val="21"/>
                <w:szCs w:val="21"/>
              </w:rPr>
              <w:t>年，深层土壤为</w:t>
            </w:r>
            <w:r w:rsidRPr="008A2411">
              <w:rPr>
                <w:rFonts w:ascii="Times New Roman"/>
                <w:color w:val="000000" w:themeColor="text1"/>
                <w:kern w:val="2"/>
                <w:sz w:val="21"/>
                <w:szCs w:val="21"/>
              </w:rPr>
              <w:t>1</w:t>
            </w:r>
            <w:r w:rsidRPr="008A2411">
              <w:rPr>
                <w:rFonts w:ascii="Times New Roman"/>
                <w:color w:val="000000" w:themeColor="text1"/>
                <w:kern w:val="2"/>
                <w:sz w:val="21"/>
                <w:szCs w:val="21"/>
              </w:rPr>
              <w:t>次</w:t>
            </w:r>
            <w:r w:rsidRPr="008A2411">
              <w:rPr>
                <w:rFonts w:ascii="Times New Roman"/>
                <w:color w:val="000000" w:themeColor="text1"/>
                <w:kern w:val="2"/>
                <w:sz w:val="21"/>
                <w:szCs w:val="21"/>
              </w:rPr>
              <w:t>/3</w:t>
            </w:r>
            <w:r w:rsidRPr="008A2411">
              <w:rPr>
                <w:rFonts w:ascii="Times New Roman"/>
                <w:color w:val="000000" w:themeColor="text1"/>
                <w:kern w:val="2"/>
                <w:sz w:val="21"/>
                <w:szCs w:val="21"/>
              </w:rPr>
              <w:t>年。</w:t>
            </w:r>
          </w:p>
          <w:p w14:paraId="04D15DED" w14:textId="77777777" w:rsidR="00B0005F" w:rsidRPr="008A2411" w:rsidRDefault="00B0005F">
            <w:pPr>
              <w:pStyle w:val="affff2"/>
              <w:adjustRightInd w:val="0"/>
              <w:snapToGrid w:val="0"/>
              <w:spacing w:before="0" w:beforeAutospacing="0" w:after="0" w:afterAutospacing="0"/>
              <w:rPr>
                <w:rFonts w:ascii="Times New Roman" w:hAnsi="Times New Roman" w:cs="Times New Roman"/>
                <w:color w:val="000000" w:themeColor="text1"/>
                <w:sz w:val="21"/>
                <w:szCs w:val="21"/>
              </w:rPr>
            </w:pPr>
          </w:p>
        </w:tc>
      </w:tr>
    </w:tbl>
    <w:p w14:paraId="5F5AAA67" w14:textId="77777777" w:rsidR="00B0005F" w:rsidRPr="008A2411" w:rsidRDefault="00000000">
      <w:pPr>
        <w:pStyle w:val="WJ2"/>
        <w:spacing w:line="360" w:lineRule="auto"/>
        <w:rPr>
          <w:rFonts w:ascii="Times New Roman" w:hAnsi="Times New Roman"/>
          <w:color w:val="000000" w:themeColor="text1"/>
        </w:rPr>
      </w:pPr>
      <w:bookmarkStart w:id="807" w:name="_Toc109170807"/>
      <w:r w:rsidRPr="008A2411">
        <w:rPr>
          <w:rFonts w:ascii="Times New Roman" w:hAnsi="Times New Roman"/>
          <w:color w:val="000000" w:themeColor="text1"/>
        </w:rPr>
        <w:t>9.</w:t>
      </w:r>
      <w:r w:rsidRPr="008A2411">
        <w:rPr>
          <w:rFonts w:ascii="Times New Roman" w:hAnsi="Times New Roman" w:hint="eastAsia"/>
          <w:color w:val="000000" w:themeColor="text1"/>
        </w:rPr>
        <w:t>6</w:t>
      </w:r>
      <w:r w:rsidRPr="008A2411">
        <w:rPr>
          <w:rFonts w:ascii="Times New Roman" w:hAnsi="Times New Roman"/>
          <w:color w:val="000000" w:themeColor="text1"/>
        </w:rPr>
        <w:t>竣工环境保护验收</w:t>
      </w:r>
      <w:bookmarkEnd w:id="804"/>
      <w:bookmarkEnd w:id="805"/>
      <w:bookmarkEnd w:id="806"/>
      <w:bookmarkEnd w:id="807"/>
    </w:p>
    <w:p w14:paraId="344819F2"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本项目在投入试生产后应开展竣工环境保护验收工作，其竣工环保验收要求见表</w:t>
      </w:r>
      <w:r w:rsidRPr="008A2411">
        <w:rPr>
          <w:rFonts w:ascii="Times New Roman" w:hAnsi="Times New Roman" w:hint="eastAsia"/>
          <w:color w:val="000000" w:themeColor="text1"/>
        </w:rPr>
        <w:t>9.6</w:t>
      </w:r>
      <w:r w:rsidRPr="008A2411">
        <w:rPr>
          <w:rFonts w:ascii="Times New Roman" w:hAnsi="Times New Roman"/>
          <w:color w:val="000000" w:themeColor="text1"/>
        </w:rPr>
        <w:t>-1</w:t>
      </w:r>
      <w:r w:rsidRPr="008A2411">
        <w:rPr>
          <w:rFonts w:ascii="Times New Roman" w:hAnsi="Times New Roman"/>
          <w:color w:val="000000" w:themeColor="text1"/>
        </w:rPr>
        <w:t>。</w:t>
      </w:r>
    </w:p>
    <w:p w14:paraId="30DC3044" w14:textId="77777777" w:rsidR="00B0005F" w:rsidRPr="008A2411" w:rsidRDefault="00000000">
      <w:pPr>
        <w:jc w:val="center"/>
        <w:rPr>
          <w:rFonts w:ascii="Times New Roman"/>
          <w:b/>
          <w:color w:val="000000" w:themeColor="text1"/>
        </w:rPr>
      </w:pPr>
      <w:r w:rsidRPr="008A2411">
        <w:rPr>
          <w:rFonts w:ascii="Times New Roman"/>
          <w:b/>
          <w:color w:val="000000" w:themeColor="text1"/>
        </w:rPr>
        <w:t>表</w:t>
      </w:r>
      <w:r w:rsidRPr="008A2411">
        <w:rPr>
          <w:rFonts w:ascii="Times New Roman"/>
          <w:b/>
          <w:color w:val="000000" w:themeColor="text1"/>
        </w:rPr>
        <w:t>9.</w:t>
      </w:r>
      <w:r w:rsidRPr="008A2411">
        <w:rPr>
          <w:rFonts w:ascii="Times New Roman" w:hint="eastAsia"/>
          <w:b/>
          <w:color w:val="000000" w:themeColor="text1"/>
        </w:rPr>
        <w:t>6</w:t>
      </w:r>
      <w:r w:rsidRPr="008A2411">
        <w:rPr>
          <w:rFonts w:ascii="Times New Roman"/>
          <w:b/>
          <w:color w:val="000000" w:themeColor="text1"/>
        </w:rPr>
        <w:t xml:space="preserve">-1  </w:t>
      </w:r>
      <w:r w:rsidRPr="008A2411">
        <w:rPr>
          <w:rFonts w:ascii="Times New Roman"/>
          <w:b/>
          <w:color w:val="000000" w:themeColor="text1"/>
        </w:rPr>
        <w:t>竣工环保验收内容及要求一览表</w:t>
      </w:r>
    </w:p>
    <w:tbl>
      <w:tblPr>
        <w:tblW w:w="8755" w:type="dxa"/>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firstRow="1" w:lastRow="0" w:firstColumn="1" w:lastColumn="0" w:noHBand="0" w:noVBand="1"/>
      </w:tblPr>
      <w:tblGrid>
        <w:gridCol w:w="1101"/>
        <w:gridCol w:w="567"/>
        <w:gridCol w:w="1792"/>
        <w:gridCol w:w="5295"/>
      </w:tblGrid>
      <w:tr w:rsidR="008A2411" w:rsidRPr="008A2411" w14:paraId="7D2EDFF6" w14:textId="77777777">
        <w:trPr>
          <w:tblHeader/>
          <w:jc w:val="center"/>
        </w:trPr>
        <w:tc>
          <w:tcPr>
            <w:tcW w:w="1101" w:type="dxa"/>
            <w:vAlign w:val="center"/>
          </w:tcPr>
          <w:p w14:paraId="0A346BA3" w14:textId="77777777" w:rsidR="00B0005F" w:rsidRPr="008A2411" w:rsidRDefault="00000000">
            <w:pPr>
              <w:pStyle w:val="WJ4"/>
              <w:rPr>
                <w:rFonts w:ascii="Times New Roman" w:hAnsi="Times New Roman"/>
                <w:color w:val="000000" w:themeColor="text1"/>
              </w:rPr>
            </w:pPr>
            <w:r w:rsidRPr="008A2411">
              <w:rPr>
                <w:rFonts w:ascii="Times New Roman" w:hAnsi="Times New Roman"/>
                <w:color w:val="000000" w:themeColor="text1"/>
              </w:rPr>
              <w:t>项目</w:t>
            </w:r>
          </w:p>
        </w:tc>
        <w:tc>
          <w:tcPr>
            <w:tcW w:w="2359" w:type="dxa"/>
            <w:gridSpan w:val="2"/>
            <w:vAlign w:val="center"/>
          </w:tcPr>
          <w:p w14:paraId="1811F1E8" w14:textId="77777777" w:rsidR="00B0005F" w:rsidRPr="008A2411" w:rsidRDefault="00000000">
            <w:pPr>
              <w:pStyle w:val="WJ4"/>
              <w:rPr>
                <w:rFonts w:ascii="Times New Roman" w:hAnsi="Times New Roman"/>
                <w:color w:val="000000" w:themeColor="text1"/>
              </w:rPr>
            </w:pPr>
            <w:r w:rsidRPr="008A2411">
              <w:rPr>
                <w:rFonts w:ascii="Times New Roman" w:hAnsi="Times New Roman"/>
                <w:color w:val="000000" w:themeColor="text1"/>
              </w:rPr>
              <w:t>验收项目</w:t>
            </w:r>
          </w:p>
        </w:tc>
        <w:tc>
          <w:tcPr>
            <w:tcW w:w="5295" w:type="dxa"/>
            <w:vAlign w:val="center"/>
          </w:tcPr>
          <w:p w14:paraId="037A12C6" w14:textId="77777777" w:rsidR="00B0005F" w:rsidRPr="008A2411" w:rsidRDefault="00000000">
            <w:pPr>
              <w:pStyle w:val="WJ4"/>
              <w:rPr>
                <w:rFonts w:ascii="Times New Roman" w:hAnsi="Times New Roman"/>
                <w:color w:val="000000" w:themeColor="text1"/>
              </w:rPr>
            </w:pPr>
            <w:r w:rsidRPr="008A2411">
              <w:rPr>
                <w:rFonts w:ascii="Times New Roman" w:hAnsi="Times New Roman"/>
                <w:color w:val="000000" w:themeColor="text1"/>
              </w:rPr>
              <w:t>验收指标及要求</w:t>
            </w:r>
          </w:p>
        </w:tc>
      </w:tr>
      <w:tr w:rsidR="008A2411" w:rsidRPr="008A2411" w14:paraId="115FB41D" w14:textId="77777777">
        <w:trPr>
          <w:jc w:val="center"/>
        </w:trPr>
        <w:tc>
          <w:tcPr>
            <w:tcW w:w="1101" w:type="dxa"/>
            <w:vMerge w:val="restart"/>
            <w:vAlign w:val="center"/>
          </w:tcPr>
          <w:p w14:paraId="0A52DCC0"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rPr>
              <w:t>环境管理</w:t>
            </w:r>
          </w:p>
        </w:tc>
        <w:tc>
          <w:tcPr>
            <w:tcW w:w="2359" w:type="dxa"/>
            <w:gridSpan w:val="2"/>
            <w:vAlign w:val="center"/>
          </w:tcPr>
          <w:p w14:paraId="27EB794F"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环保审批手续</w:t>
            </w:r>
          </w:p>
        </w:tc>
        <w:tc>
          <w:tcPr>
            <w:tcW w:w="5295" w:type="dxa"/>
          </w:tcPr>
          <w:p w14:paraId="0F999116"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环评申报及审批手续齐全。</w:t>
            </w:r>
          </w:p>
        </w:tc>
      </w:tr>
      <w:tr w:rsidR="008A2411" w:rsidRPr="008A2411" w14:paraId="7CEA344D" w14:textId="77777777">
        <w:trPr>
          <w:jc w:val="center"/>
        </w:trPr>
        <w:tc>
          <w:tcPr>
            <w:tcW w:w="1101" w:type="dxa"/>
            <w:vMerge/>
            <w:vAlign w:val="center"/>
          </w:tcPr>
          <w:p w14:paraId="1F8D7C14" w14:textId="77777777" w:rsidR="00B0005F" w:rsidRPr="008A2411" w:rsidRDefault="00B0005F">
            <w:pPr>
              <w:pStyle w:val="WJ4"/>
              <w:spacing w:line="240" w:lineRule="auto"/>
              <w:rPr>
                <w:rFonts w:ascii="Times New Roman" w:hAnsi="Times New Roman"/>
                <w:color w:val="000000" w:themeColor="text1"/>
              </w:rPr>
            </w:pPr>
          </w:p>
        </w:tc>
        <w:tc>
          <w:tcPr>
            <w:tcW w:w="2359" w:type="dxa"/>
            <w:gridSpan w:val="2"/>
            <w:vAlign w:val="center"/>
          </w:tcPr>
          <w:p w14:paraId="11DDBFF2"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环境管理制度</w:t>
            </w:r>
          </w:p>
        </w:tc>
        <w:tc>
          <w:tcPr>
            <w:tcW w:w="5295" w:type="dxa"/>
            <w:vAlign w:val="center"/>
          </w:tcPr>
          <w:p w14:paraId="03194EA1" w14:textId="77777777" w:rsidR="00B0005F" w:rsidRPr="008A2411" w:rsidRDefault="00000000">
            <w:pPr>
              <w:pStyle w:val="WJ5"/>
              <w:spacing w:line="240" w:lineRule="auto"/>
              <w:jc w:val="left"/>
              <w:rPr>
                <w:rFonts w:ascii="Times New Roman" w:hAnsi="Times New Roman"/>
                <w:color w:val="000000" w:themeColor="text1"/>
              </w:rPr>
            </w:pPr>
            <w:r w:rsidRPr="008A2411">
              <w:rPr>
                <w:rFonts w:ascii="Times New Roman" w:hAnsi="Times New Roman"/>
                <w:color w:val="000000" w:themeColor="text1"/>
              </w:rPr>
              <w:t>环保机构健全，环保资料和档案齐全，建立废水、</w:t>
            </w:r>
            <w:proofErr w:type="gramStart"/>
            <w:r w:rsidRPr="008A2411">
              <w:rPr>
                <w:rFonts w:ascii="Times New Roman" w:hAnsi="Times New Roman"/>
                <w:color w:val="000000" w:themeColor="text1"/>
              </w:rPr>
              <w:t>危废转运</w:t>
            </w:r>
            <w:proofErr w:type="gramEnd"/>
            <w:r w:rsidRPr="008A2411">
              <w:rPr>
                <w:rFonts w:ascii="Times New Roman" w:hAnsi="Times New Roman"/>
                <w:color w:val="000000" w:themeColor="text1"/>
              </w:rPr>
              <w:t>联单制度，具备交接清单。</w:t>
            </w:r>
          </w:p>
        </w:tc>
      </w:tr>
      <w:tr w:rsidR="008A2411" w:rsidRPr="008A2411" w14:paraId="742E7198" w14:textId="77777777">
        <w:trPr>
          <w:jc w:val="center"/>
        </w:trPr>
        <w:tc>
          <w:tcPr>
            <w:tcW w:w="1101" w:type="dxa"/>
            <w:vMerge/>
            <w:vAlign w:val="center"/>
          </w:tcPr>
          <w:p w14:paraId="3FE5688F" w14:textId="77777777" w:rsidR="00B0005F" w:rsidRPr="008A2411" w:rsidRDefault="00B0005F">
            <w:pPr>
              <w:pStyle w:val="WJ4"/>
              <w:spacing w:line="240" w:lineRule="auto"/>
              <w:rPr>
                <w:rFonts w:ascii="Times New Roman" w:hAnsi="Times New Roman"/>
                <w:color w:val="000000" w:themeColor="text1"/>
              </w:rPr>
            </w:pPr>
          </w:p>
        </w:tc>
        <w:tc>
          <w:tcPr>
            <w:tcW w:w="2359" w:type="dxa"/>
            <w:gridSpan w:val="2"/>
            <w:vAlign w:val="center"/>
          </w:tcPr>
          <w:p w14:paraId="5EE906CC"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环境风险应急预案</w:t>
            </w:r>
          </w:p>
        </w:tc>
        <w:tc>
          <w:tcPr>
            <w:tcW w:w="5295" w:type="dxa"/>
            <w:vAlign w:val="center"/>
          </w:tcPr>
          <w:p w14:paraId="2CB69993" w14:textId="77777777" w:rsidR="00B0005F" w:rsidRPr="008A2411" w:rsidRDefault="00000000">
            <w:pPr>
              <w:pStyle w:val="WJ5"/>
              <w:spacing w:line="240" w:lineRule="auto"/>
              <w:jc w:val="left"/>
              <w:rPr>
                <w:rFonts w:ascii="Times New Roman" w:hAnsi="Times New Roman"/>
                <w:color w:val="000000" w:themeColor="text1"/>
              </w:rPr>
            </w:pPr>
            <w:r w:rsidRPr="008A2411">
              <w:rPr>
                <w:rFonts w:ascii="Times New Roman" w:hAnsi="Times New Roman"/>
                <w:color w:val="000000" w:themeColor="text1"/>
              </w:rPr>
              <w:t>具备符合行业规范和环</w:t>
            </w:r>
            <w:proofErr w:type="gramStart"/>
            <w:r w:rsidRPr="008A2411">
              <w:rPr>
                <w:rFonts w:ascii="Times New Roman" w:hAnsi="Times New Roman"/>
                <w:color w:val="000000" w:themeColor="text1"/>
              </w:rPr>
              <w:t>评要求</w:t>
            </w:r>
            <w:proofErr w:type="gramEnd"/>
            <w:r w:rsidRPr="008A2411">
              <w:rPr>
                <w:rFonts w:ascii="Times New Roman" w:hAnsi="Times New Roman"/>
                <w:color w:val="000000" w:themeColor="text1"/>
              </w:rPr>
              <w:t>的环境风险应急预案，应急预案演练档案齐全。</w:t>
            </w:r>
          </w:p>
        </w:tc>
      </w:tr>
      <w:tr w:rsidR="008A2411" w:rsidRPr="008A2411" w14:paraId="1E94C048" w14:textId="77777777">
        <w:trPr>
          <w:trHeight w:val="480"/>
          <w:jc w:val="center"/>
        </w:trPr>
        <w:tc>
          <w:tcPr>
            <w:tcW w:w="1101" w:type="dxa"/>
            <w:vMerge w:val="restart"/>
            <w:vAlign w:val="center"/>
          </w:tcPr>
          <w:p w14:paraId="34C8C237" w14:textId="77777777" w:rsidR="00B0005F" w:rsidRPr="008A2411" w:rsidRDefault="00000000">
            <w:pPr>
              <w:pStyle w:val="WJ4"/>
              <w:spacing w:line="240" w:lineRule="auto"/>
              <w:rPr>
                <w:rFonts w:ascii="Times New Roman" w:hAnsi="Times New Roman"/>
                <w:color w:val="000000" w:themeColor="text1"/>
              </w:rPr>
            </w:pPr>
            <w:r w:rsidRPr="008A2411">
              <w:rPr>
                <w:rFonts w:ascii="Times New Roman" w:hAnsi="Times New Roman"/>
                <w:color w:val="000000" w:themeColor="text1"/>
              </w:rPr>
              <w:t>污染防治</w:t>
            </w:r>
            <w:r w:rsidRPr="008A2411">
              <w:rPr>
                <w:rFonts w:ascii="Times New Roman" w:hAnsi="Times New Roman"/>
                <w:color w:val="000000" w:themeColor="text1"/>
              </w:rPr>
              <w:lastRenderedPageBreak/>
              <w:t>措施</w:t>
            </w:r>
          </w:p>
        </w:tc>
        <w:tc>
          <w:tcPr>
            <w:tcW w:w="567" w:type="dxa"/>
            <w:vMerge w:val="restart"/>
            <w:vAlign w:val="center"/>
          </w:tcPr>
          <w:p w14:paraId="14CF8456"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lastRenderedPageBreak/>
              <w:t>废</w:t>
            </w:r>
            <w:r w:rsidRPr="008A2411">
              <w:rPr>
                <w:rFonts w:ascii="Times New Roman" w:hAnsi="Times New Roman"/>
                <w:color w:val="000000" w:themeColor="text1"/>
              </w:rPr>
              <w:lastRenderedPageBreak/>
              <w:t>水</w:t>
            </w:r>
          </w:p>
        </w:tc>
        <w:tc>
          <w:tcPr>
            <w:tcW w:w="1792" w:type="dxa"/>
            <w:vAlign w:val="center"/>
          </w:tcPr>
          <w:p w14:paraId="78148E3D"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lastRenderedPageBreak/>
              <w:t>生产废水</w:t>
            </w:r>
          </w:p>
        </w:tc>
        <w:tc>
          <w:tcPr>
            <w:tcW w:w="5295" w:type="dxa"/>
            <w:vMerge w:val="restart"/>
            <w:vAlign w:val="center"/>
          </w:tcPr>
          <w:p w14:paraId="47A1A070" w14:textId="77777777" w:rsidR="00B0005F" w:rsidRPr="008A2411" w:rsidRDefault="00000000">
            <w:pPr>
              <w:pStyle w:val="WJ5"/>
              <w:spacing w:line="240" w:lineRule="auto"/>
              <w:jc w:val="left"/>
              <w:rPr>
                <w:rFonts w:ascii="Times New Roman" w:hAnsi="Times New Roman"/>
                <w:color w:val="000000" w:themeColor="text1"/>
              </w:rPr>
            </w:pPr>
            <w:r w:rsidRPr="008A2411">
              <w:rPr>
                <w:rFonts w:ascii="Times New Roman" w:hAnsi="Times New Roman"/>
                <w:color w:val="000000" w:themeColor="text1"/>
                <w:szCs w:val="24"/>
              </w:rPr>
              <w:t>厂区自建一套污水预处理系统，确保所产生产及生活废</w:t>
            </w:r>
            <w:r w:rsidRPr="008A2411">
              <w:rPr>
                <w:rFonts w:ascii="Times New Roman" w:hAnsi="Times New Roman"/>
                <w:color w:val="000000" w:themeColor="text1"/>
                <w:szCs w:val="24"/>
              </w:rPr>
              <w:lastRenderedPageBreak/>
              <w:t>水均</w:t>
            </w:r>
            <w:r w:rsidRPr="008A2411">
              <w:rPr>
                <w:rFonts w:ascii="Times New Roman" w:hAnsi="Times New Roman"/>
                <w:color w:val="000000" w:themeColor="text1"/>
              </w:rPr>
              <w:t>排入厂区污水处理系统，经处理达到《污水综合排放标准》</w:t>
            </w:r>
            <w:r w:rsidRPr="008A2411">
              <w:rPr>
                <w:rFonts w:ascii="Times New Roman" w:hAnsi="Times New Roman"/>
                <w:color w:val="000000" w:themeColor="text1"/>
              </w:rPr>
              <w:t>GB8978-1996</w:t>
            </w:r>
            <w:proofErr w:type="gramStart"/>
            <w:r w:rsidRPr="008A2411">
              <w:rPr>
                <w:rFonts w:ascii="Times New Roman" w:hAnsi="Times New Roman"/>
                <w:color w:val="000000" w:themeColor="text1"/>
              </w:rPr>
              <w:t>三</w:t>
            </w:r>
            <w:proofErr w:type="gramEnd"/>
            <w:r w:rsidRPr="008A2411">
              <w:rPr>
                <w:rFonts w:ascii="Times New Roman" w:hAnsi="Times New Roman"/>
                <w:color w:val="000000" w:themeColor="text1"/>
              </w:rPr>
              <w:t>级标准，排入园区污水处理厂，最终由宣汉县普光工业园区污水处理厂处理达标后排放。</w:t>
            </w:r>
          </w:p>
        </w:tc>
      </w:tr>
      <w:tr w:rsidR="008A2411" w:rsidRPr="008A2411" w14:paraId="6EB558DD" w14:textId="77777777">
        <w:trPr>
          <w:jc w:val="center"/>
        </w:trPr>
        <w:tc>
          <w:tcPr>
            <w:tcW w:w="1101" w:type="dxa"/>
            <w:vMerge/>
            <w:vAlign w:val="center"/>
          </w:tcPr>
          <w:p w14:paraId="4BA14A98" w14:textId="77777777" w:rsidR="00B0005F" w:rsidRPr="008A2411" w:rsidRDefault="00B0005F">
            <w:pPr>
              <w:pStyle w:val="WJ4"/>
              <w:spacing w:line="240" w:lineRule="auto"/>
              <w:rPr>
                <w:rFonts w:ascii="Times New Roman" w:hAnsi="Times New Roman"/>
                <w:color w:val="000000" w:themeColor="text1"/>
              </w:rPr>
            </w:pPr>
          </w:p>
        </w:tc>
        <w:tc>
          <w:tcPr>
            <w:tcW w:w="567" w:type="dxa"/>
            <w:vMerge/>
            <w:vAlign w:val="center"/>
          </w:tcPr>
          <w:p w14:paraId="05B78B27" w14:textId="77777777" w:rsidR="00B0005F" w:rsidRPr="008A2411" w:rsidRDefault="00B0005F">
            <w:pPr>
              <w:pStyle w:val="WJ5"/>
              <w:spacing w:line="240" w:lineRule="auto"/>
              <w:rPr>
                <w:rFonts w:ascii="Times New Roman" w:hAnsi="Times New Roman"/>
                <w:color w:val="000000" w:themeColor="text1"/>
              </w:rPr>
            </w:pPr>
          </w:p>
        </w:tc>
        <w:tc>
          <w:tcPr>
            <w:tcW w:w="1792" w:type="dxa"/>
            <w:vAlign w:val="center"/>
          </w:tcPr>
          <w:p w14:paraId="6D621A27" w14:textId="77777777" w:rsidR="00B0005F" w:rsidRPr="008A2411" w:rsidRDefault="00000000">
            <w:pPr>
              <w:pStyle w:val="WJ5"/>
              <w:spacing w:line="240" w:lineRule="auto"/>
              <w:rPr>
                <w:rFonts w:ascii="Times New Roman" w:hAnsi="Times New Roman"/>
                <w:color w:val="000000" w:themeColor="text1"/>
              </w:rPr>
            </w:pPr>
            <w:r w:rsidRPr="008A2411">
              <w:rPr>
                <w:rFonts w:ascii="Times New Roman" w:hAnsi="Times New Roman"/>
                <w:color w:val="000000" w:themeColor="text1"/>
              </w:rPr>
              <w:t>生活污水</w:t>
            </w:r>
          </w:p>
        </w:tc>
        <w:tc>
          <w:tcPr>
            <w:tcW w:w="5295" w:type="dxa"/>
            <w:vMerge/>
            <w:vAlign w:val="center"/>
          </w:tcPr>
          <w:p w14:paraId="679232D7" w14:textId="77777777" w:rsidR="00B0005F" w:rsidRPr="008A2411" w:rsidRDefault="00B0005F">
            <w:pPr>
              <w:pStyle w:val="WJ5"/>
              <w:spacing w:line="240" w:lineRule="auto"/>
              <w:jc w:val="left"/>
              <w:rPr>
                <w:rFonts w:ascii="Times New Roman" w:hAnsi="Times New Roman"/>
                <w:color w:val="000000" w:themeColor="text1"/>
              </w:rPr>
            </w:pPr>
          </w:p>
        </w:tc>
      </w:tr>
      <w:tr w:rsidR="008A2411" w:rsidRPr="008A2411" w14:paraId="4E3E3E80" w14:textId="77777777">
        <w:trPr>
          <w:jc w:val="center"/>
        </w:trPr>
        <w:tc>
          <w:tcPr>
            <w:tcW w:w="1101" w:type="dxa"/>
            <w:vMerge/>
            <w:vAlign w:val="center"/>
          </w:tcPr>
          <w:p w14:paraId="3E1F12AB" w14:textId="77777777" w:rsidR="00A7311D" w:rsidRPr="008A2411" w:rsidRDefault="00A7311D">
            <w:pPr>
              <w:pStyle w:val="WJ4"/>
              <w:spacing w:line="240" w:lineRule="auto"/>
              <w:rPr>
                <w:rFonts w:ascii="Times New Roman" w:hAnsi="Times New Roman"/>
                <w:color w:val="000000" w:themeColor="text1"/>
              </w:rPr>
            </w:pPr>
          </w:p>
        </w:tc>
        <w:tc>
          <w:tcPr>
            <w:tcW w:w="567" w:type="dxa"/>
            <w:vMerge w:val="restart"/>
            <w:vAlign w:val="center"/>
          </w:tcPr>
          <w:p w14:paraId="491BF1AD" w14:textId="77777777" w:rsidR="00A7311D" w:rsidRPr="008A2411" w:rsidRDefault="00A7311D">
            <w:pPr>
              <w:pStyle w:val="WJ5"/>
              <w:spacing w:line="240" w:lineRule="auto"/>
              <w:rPr>
                <w:rFonts w:ascii="Times New Roman" w:hAnsi="Times New Roman"/>
                <w:color w:val="000000" w:themeColor="text1"/>
              </w:rPr>
            </w:pPr>
            <w:r w:rsidRPr="008A2411">
              <w:rPr>
                <w:rFonts w:ascii="Times New Roman" w:hAnsi="Times New Roman"/>
                <w:color w:val="000000" w:themeColor="text1"/>
              </w:rPr>
              <w:t>废气</w:t>
            </w:r>
          </w:p>
        </w:tc>
        <w:tc>
          <w:tcPr>
            <w:tcW w:w="1792" w:type="dxa"/>
            <w:vAlign w:val="center"/>
          </w:tcPr>
          <w:p w14:paraId="132D59B4" w14:textId="17D44243" w:rsidR="00A7311D" w:rsidRPr="008A2411" w:rsidRDefault="00A7311D">
            <w:pPr>
              <w:pStyle w:val="WJ5"/>
              <w:spacing w:line="240" w:lineRule="auto"/>
              <w:rPr>
                <w:rFonts w:ascii="Times New Roman" w:hAnsi="Times New Roman"/>
                <w:color w:val="000000" w:themeColor="text1"/>
              </w:rPr>
            </w:pPr>
            <w:r w:rsidRPr="008A2411">
              <w:rPr>
                <w:rFonts w:ascii="Times New Roman"/>
                <w:color w:val="000000" w:themeColor="text1"/>
              </w:rPr>
              <w:t>闪蒸罐闪蒸气</w:t>
            </w:r>
          </w:p>
        </w:tc>
        <w:tc>
          <w:tcPr>
            <w:tcW w:w="5295" w:type="dxa"/>
            <w:vAlign w:val="center"/>
          </w:tcPr>
          <w:p w14:paraId="4DD70DEE" w14:textId="1F9D46AA" w:rsidR="00A7311D" w:rsidRPr="008A2411" w:rsidRDefault="00A7311D">
            <w:pPr>
              <w:pStyle w:val="WJ5"/>
              <w:spacing w:line="240" w:lineRule="auto"/>
              <w:jc w:val="left"/>
              <w:rPr>
                <w:rFonts w:ascii="Times New Roman" w:hAnsi="Times New Roman"/>
                <w:color w:val="000000" w:themeColor="text1"/>
              </w:rPr>
            </w:pPr>
            <w:r w:rsidRPr="008A2411">
              <w:rPr>
                <w:rFonts w:ascii="Times New Roman"/>
                <w:color w:val="000000" w:themeColor="text1"/>
              </w:rPr>
              <w:t>进入燃料气系统</w:t>
            </w:r>
            <w:r w:rsidRPr="008A2411">
              <w:rPr>
                <w:rFonts w:ascii="Times New Roman" w:hint="eastAsia"/>
                <w:color w:val="000000" w:themeColor="text1"/>
              </w:rPr>
              <w:t>，回收利用</w:t>
            </w:r>
          </w:p>
        </w:tc>
      </w:tr>
      <w:tr w:rsidR="008A2411" w:rsidRPr="008A2411" w14:paraId="224171D7" w14:textId="77777777">
        <w:trPr>
          <w:jc w:val="center"/>
        </w:trPr>
        <w:tc>
          <w:tcPr>
            <w:tcW w:w="1101" w:type="dxa"/>
            <w:vMerge/>
            <w:vAlign w:val="center"/>
          </w:tcPr>
          <w:p w14:paraId="303E0054" w14:textId="77777777" w:rsidR="00A7311D" w:rsidRPr="008A2411" w:rsidRDefault="00A7311D" w:rsidP="00A7311D">
            <w:pPr>
              <w:pStyle w:val="WJ4"/>
              <w:spacing w:line="240" w:lineRule="auto"/>
              <w:rPr>
                <w:rFonts w:ascii="Times New Roman" w:hAnsi="Times New Roman"/>
                <w:color w:val="000000" w:themeColor="text1"/>
              </w:rPr>
            </w:pPr>
          </w:p>
        </w:tc>
        <w:tc>
          <w:tcPr>
            <w:tcW w:w="567" w:type="dxa"/>
            <w:vMerge/>
            <w:vAlign w:val="center"/>
          </w:tcPr>
          <w:p w14:paraId="559F517C" w14:textId="77777777" w:rsidR="00A7311D" w:rsidRPr="008A2411" w:rsidRDefault="00A7311D" w:rsidP="00A7311D">
            <w:pPr>
              <w:pStyle w:val="WJ5"/>
              <w:spacing w:line="240" w:lineRule="auto"/>
              <w:rPr>
                <w:rFonts w:ascii="Times New Roman" w:hAnsi="Times New Roman"/>
                <w:color w:val="000000" w:themeColor="text1"/>
              </w:rPr>
            </w:pPr>
          </w:p>
        </w:tc>
        <w:tc>
          <w:tcPr>
            <w:tcW w:w="1792" w:type="dxa"/>
            <w:vAlign w:val="center"/>
          </w:tcPr>
          <w:p w14:paraId="5C05DA03" w14:textId="59775860" w:rsidR="00A7311D" w:rsidRPr="008A2411" w:rsidRDefault="00A7311D" w:rsidP="00A7311D">
            <w:pPr>
              <w:pStyle w:val="WJ5"/>
              <w:spacing w:line="240" w:lineRule="auto"/>
              <w:rPr>
                <w:rFonts w:ascii="Times New Roman" w:hAnsi="Times New Roman"/>
                <w:color w:val="000000" w:themeColor="text1"/>
              </w:rPr>
            </w:pPr>
            <w:r w:rsidRPr="008A2411">
              <w:rPr>
                <w:rFonts w:ascii="Times New Roman" w:hAnsi="Times New Roman"/>
                <w:color w:val="000000" w:themeColor="text1"/>
              </w:rPr>
              <w:t>导热油炉</w:t>
            </w:r>
          </w:p>
        </w:tc>
        <w:tc>
          <w:tcPr>
            <w:tcW w:w="5295" w:type="dxa"/>
            <w:vAlign w:val="center"/>
          </w:tcPr>
          <w:p w14:paraId="6789885E" w14:textId="5286317E" w:rsidR="00A7311D" w:rsidRPr="008A2411" w:rsidRDefault="00A7311D" w:rsidP="00A7311D">
            <w:pPr>
              <w:pStyle w:val="WJ5"/>
              <w:spacing w:line="240" w:lineRule="auto"/>
              <w:jc w:val="left"/>
              <w:rPr>
                <w:rFonts w:ascii="Times New Roman" w:hAnsi="Times New Roman"/>
                <w:color w:val="000000" w:themeColor="text1"/>
              </w:rPr>
            </w:pPr>
            <w:r w:rsidRPr="008A2411">
              <w:rPr>
                <w:rFonts w:ascii="Times New Roman" w:hAnsi="Times New Roman"/>
                <w:color w:val="000000" w:themeColor="text1"/>
              </w:rPr>
              <w:t>采用项目自产的净化天然气作为燃料，燃烧后直接经排气筒排放，其中导热油炉排气筒</w:t>
            </w:r>
            <w:r w:rsidRPr="008A2411">
              <w:rPr>
                <w:rFonts w:ascii="Times New Roman" w:hAnsi="Times New Roman"/>
                <w:color w:val="000000" w:themeColor="text1"/>
              </w:rPr>
              <w:t>15m</w:t>
            </w:r>
          </w:p>
        </w:tc>
      </w:tr>
      <w:tr w:rsidR="008A2411" w:rsidRPr="008A2411" w14:paraId="3FB96FCB" w14:textId="77777777">
        <w:trPr>
          <w:trHeight w:val="657"/>
          <w:jc w:val="center"/>
        </w:trPr>
        <w:tc>
          <w:tcPr>
            <w:tcW w:w="1101" w:type="dxa"/>
            <w:vMerge/>
            <w:vAlign w:val="center"/>
          </w:tcPr>
          <w:p w14:paraId="44F08293" w14:textId="77777777" w:rsidR="00A7311D" w:rsidRPr="008A2411" w:rsidRDefault="00A7311D" w:rsidP="00A7311D">
            <w:pPr>
              <w:pStyle w:val="WJ4"/>
              <w:spacing w:line="240" w:lineRule="auto"/>
              <w:rPr>
                <w:rFonts w:ascii="Times New Roman" w:hAnsi="Times New Roman"/>
                <w:color w:val="000000" w:themeColor="text1"/>
              </w:rPr>
            </w:pPr>
          </w:p>
        </w:tc>
        <w:tc>
          <w:tcPr>
            <w:tcW w:w="567" w:type="dxa"/>
            <w:vMerge/>
            <w:vAlign w:val="center"/>
          </w:tcPr>
          <w:p w14:paraId="59CE2595" w14:textId="77777777" w:rsidR="00A7311D" w:rsidRPr="008A2411" w:rsidRDefault="00A7311D" w:rsidP="00A7311D">
            <w:pPr>
              <w:pStyle w:val="WJ5"/>
              <w:spacing w:line="240" w:lineRule="auto"/>
              <w:rPr>
                <w:rFonts w:ascii="Times New Roman" w:hAnsi="Times New Roman"/>
                <w:color w:val="000000" w:themeColor="text1"/>
              </w:rPr>
            </w:pPr>
          </w:p>
        </w:tc>
        <w:tc>
          <w:tcPr>
            <w:tcW w:w="1792" w:type="dxa"/>
            <w:vAlign w:val="center"/>
          </w:tcPr>
          <w:p w14:paraId="54849959" w14:textId="77777777" w:rsidR="00A7311D" w:rsidRPr="008A2411" w:rsidRDefault="00A7311D" w:rsidP="00A7311D">
            <w:pPr>
              <w:pStyle w:val="WJ5"/>
              <w:spacing w:line="240" w:lineRule="auto"/>
              <w:rPr>
                <w:rFonts w:ascii="Times New Roman" w:hAnsi="Times New Roman"/>
                <w:color w:val="000000" w:themeColor="text1"/>
              </w:rPr>
            </w:pPr>
            <w:r w:rsidRPr="008A2411">
              <w:rPr>
                <w:rFonts w:ascii="Times New Roman" w:hAnsi="Times New Roman"/>
                <w:color w:val="000000" w:themeColor="text1"/>
              </w:rPr>
              <w:t>脱硫塔排气</w:t>
            </w:r>
          </w:p>
        </w:tc>
        <w:tc>
          <w:tcPr>
            <w:tcW w:w="5295" w:type="dxa"/>
            <w:vAlign w:val="center"/>
          </w:tcPr>
          <w:p w14:paraId="7DFBCB76" w14:textId="77777777" w:rsidR="00A7311D" w:rsidRPr="008A2411" w:rsidRDefault="00A7311D" w:rsidP="00A7311D">
            <w:pPr>
              <w:pStyle w:val="WJ5"/>
              <w:spacing w:line="240" w:lineRule="auto"/>
              <w:jc w:val="left"/>
              <w:rPr>
                <w:rFonts w:ascii="Times New Roman" w:hAnsi="Times New Roman"/>
                <w:color w:val="000000" w:themeColor="text1"/>
              </w:rPr>
            </w:pPr>
            <w:r w:rsidRPr="008A2411">
              <w:rPr>
                <w:rFonts w:ascii="Times New Roman" w:hAnsi="Times New Roman"/>
                <w:color w:val="000000" w:themeColor="text1"/>
              </w:rPr>
              <w:t>脱硫塔排气口配置一套活性炭吸附装置，净化后的尾气经尾气排放口排放，为排放口离地高度约</w:t>
            </w:r>
            <w:r w:rsidRPr="008A2411">
              <w:rPr>
                <w:rFonts w:ascii="Times New Roman" w:hAnsi="Times New Roman"/>
                <w:color w:val="000000" w:themeColor="text1"/>
              </w:rPr>
              <w:t>15m</w:t>
            </w:r>
            <w:r w:rsidRPr="008A2411">
              <w:rPr>
                <w:rFonts w:ascii="Times New Roman" w:hAnsi="Times New Roman"/>
                <w:color w:val="000000" w:themeColor="text1"/>
              </w:rPr>
              <w:t>。</w:t>
            </w:r>
          </w:p>
        </w:tc>
      </w:tr>
      <w:tr w:rsidR="008A2411" w:rsidRPr="008A2411" w14:paraId="63BCFE7A" w14:textId="77777777">
        <w:trPr>
          <w:trHeight w:val="657"/>
          <w:jc w:val="center"/>
        </w:trPr>
        <w:tc>
          <w:tcPr>
            <w:tcW w:w="1101" w:type="dxa"/>
            <w:vMerge/>
            <w:vAlign w:val="center"/>
          </w:tcPr>
          <w:p w14:paraId="1B6C08FA" w14:textId="77777777" w:rsidR="00A7311D" w:rsidRPr="008A2411" w:rsidRDefault="00A7311D" w:rsidP="00A7311D">
            <w:pPr>
              <w:pStyle w:val="WJ4"/>
              <w:spacing w:line="240" w:lineRule="auto"/>
              <w:rPr>
                <w:rFonts w:ascii="Times New Roman" w:hAnsi="Times New Roman"/>
                <w:color w:val="000000" w:themeColor="text1"/>
              </w:rPr>
            </w:pPr>
          </w:p>
        </w:tc>
        <w:tc>
          <w:tcPr>
            <w:tcW w:w="567" w:type="dxa"/>
            <w:vMerge/>
            <w:vAlign w:val="center"/>
          </w:tcPr>
          <w:p w14:paraId="1AA13298" w14:textId="77777777" w:rsidR="00A7311D" w:rsidRPr="008A2411" w:rsidRDefault="00A7311D" w:rsidP="00A7311D">
            <w:pPr>
              <w:pStyle w:val="WJ5"/>
              <w:spacing w:line="240" w:lineRule="auto"/>
              <w:rPr>
                <w:rFonts w:ascii="Times New Roman" w:hAnsi="Times New Roman"/>
                <w:color w:val="000000" w:themeColor="text1"/>
              </w:rPr>
            </w:pPr>
          </w:p>
        </w:tc>
        <w:tc>
          <w:tcPr>
            <w:tcW w:w="1792" w:type="dxa"/>
            <w:vAlign w:val="center"/>
          </w:tcPr>
          <w:p w14:paraId="351EA78B" w14:textId="78171106" w:rsidR="00A7311D" w:rsidRPr="008A2411" w:rsidRDefault="00A7311D" w:rsidP="00A7311D">
            <w:pPr>
              <w:pStyle w:val="WJ5"/>
              <w:spacing w:line="240" w:lineRule="auto"/>
              <w:rPr>
                <w:rFonts w:ascii="Times New Roman" w:hAnsi="Times New Roman"/>
                <w:color w:val="000000" w:themeColor="text1"/>
              </w:rPr>
            </w:pPr>
            <w:r w:rsidRPr="008A2411">
              <w:rPr>
                <w:rFonts w:ascii="Times New Roman"/>
                <w:color w:val="000000" w:themeColor="text1"/>
              </w:rPr>
              <w:t>火炬燃烧废气</w:t>
            </w:r>
          </w:p>
        </w:tc>
        <w:tc>
          <w:tcPr>
            <w:tcW w:w="5295" w:type="dxa"/>
            <w:vAlign w:val="center"/>
          </w:tcPr>
          <w:p w14:paraId="740E4D6B" w14:textId="6B3AA28C" w:rsidR="00A7311D" w:rsidRPr="008A2411" w:rsidRDefault="00A7311D" w:rsidP="00A7311D">
            <w:pPr>
              <w:pStyle w:val="WJ5"/>
              <w:spacing w:line="240" w:lineRule="auto"/>
              <w:jc w:val="left"/>
              <w:rPr>
                <w:rFonts w:ascii="Times New Roman" w:hAnsi="Times New Roman"/>
                <w:color w:val="000000" w:themeColor="text1"/>
              </w:rPr>
            </w:pPr>
            <w:r w:rsidRPr="008A2411">
              <w:rPr>
                <w:rFonts w:ascii="Times New Roman" w:hint="eastAsia"/>
                <w:color w:val="000000" w:themeColor="text1"/>
              </w:rPr>
              <w:t>点火燃烧，</w:t>
            </w:r>
            <w:r w:rsidRPr="008A2411">
              <w:rPr>
                <w:rFonts w:ascii="Times New Roman"/>
                <w:color w:val="000000" w:themeColor="text1"/>
              </w:rPr>
              <w:t>经</w:t>
            </w:r>
            <w:r w:rsidRPr="008A2411">
              <w:rPr>
                <w:rFonts w:ascii="Times New Roman"/>
                <w:color w:val="000000" w:themeColor="text1"/>
              </w:rPr>
              <w:t>30m</w:t>
            </w:r>
            <w:r w:rsidRPr="008A2411">
              <w:rPr>
                <w:rFonts w:ascii="Times New Roman"/>
                <w:color w:val="000000" w:themeColor="text1"/>
              </w:rPr>
              <w:t>高火炬烟囱直接排放</w:t>
            </w:r>
          </w:p>
        </w:tc>
      </w:tr>
      <w:tr w:rsidR="008A2411" w:rsidRPr="008A2411" w14:paraId="3561315F" w14:textId="77777777">
        <w:trPr>
          <w:jc w:val="center"/>
        </w:trPr>
        <w:tc>
          <w:tcPr>
            <w:tcW w:w="1101" w:type="dxa"/>
            <w:vMerge/>
            <w:vAlign w:val="center"/>
          </w:tcPr>
          <w:p w14:paraId="48029763" w14:textId="77777777" w:rsidR="00A7311D" w:rsidRPr="008A2411" w:rsidRDefault="00A7311D" w:rsidP="00A7311D">
            <w:pPr>
              <w:pStyle w:val="WJ4"/>
              <w:spacing w:line="240" w:lineRule="auto"/>
              <w:rPr>
                <w:rFonts w:ascii="Times New Roman" w:hAnsi="Times New Roman"/>
                <w:color w:val="000000" w:themeColor="text1"/>
              </w:rPr>
            </w:pPr>
          </w:p>
        </w:tc>
        <w:tc>
          <w:tcPr>
            <w:tcW w:w="567" w:type="dxa"/>
            <w:vMerge w:val="restart"/>
            <w:vAlign w:val="center"/>
          </w:tcPr>
          <w:p w14:paraId="2676863C" w14:textId="77777777" w:rsidR="00A7311D" w:rsidRPr="008A2411" w:rsidRDefault="00A7311D" w:rsidP="00A7311D">
            <w:pPr>
              <w:pStyle w:val="WJ5"/>
              <w:spacing w:line="240" w:lineRule="auto"/>
              <w:rPr>
                <w:rFonts w:ascii="Times New Roman" w:hAnsi="Times New Roman"/>
                <w:color w:val="000000" w:themeColor="text1"/>
              </w:rPr>
            </w:pPr>
            <w:r w:rsidRPr="008A2411">
              <w:rPr>
                <w:rFonts w:ascii="Times New Roman" w:hAnsi="Times New Roman"/>
                <w:color w:val="000000" w:themeColor="text1"/>
              </w:rPr>
              <w:t>固废</w:t>
            </w:r>
          </w:p>
        </w:tc>
        <w:tc>
          <w:tcPr>
            <w:tcW w:w="1792" w:type="dxa"/>
            <w:vAlign w:val="center"/>
          </w:tcPr>
          <w:p w14:paraId="2C087A66" w14:textId="77777777" w:rsidR="00A7311D" w:rsidRPr="008A2411" w:rsidRDefault="00A7311D" w:rsidP="00A7311D">
            <w:pPr>
              <w:jc w:val="center"/>
              <w:rPr>
                <w:rFonts w:ascii="Times New Roman"/>
                <w:color w:val="000000" w:themeColor="text1"/>
              </w:rPr>
            </w:pPr>
            <w:r w:rsidRPr="008A2411">
              <w:rPr>
                <w:rFonts w:ascii="Times New Roman"/>
                <w:color w:val="000000" w:themeColor="text1"/>
                <w:kern w:val="2"/>
                <w:sz w:val="21"/>
                <w:szCs w:val="21"/>
                <w:lang w:val="zh-CN"/>
              </w:rPr>
              <w:t>污水处理站</w:t>
            </w:r>
            <w:r w:rsidRPr="008A2411">
              <w:rPr>
                <w:rFonts w:ascii="Times New Roman"/>
                <w:color w:val="000000" w:themeColor="text1"/>
                <w:kern w:val="2"/>
                <w:sz w:val="21"/>
                <w:szCs w:val="21"/>
              </w:rPr>
              <w:t>污泥</w:t>
            </w:r>
          </w:p>
        </w:tc>
        <w:tc>
          <w:tcPr>
            <w:tcW w:w="5295" w:type="dxa"/>
            <w:vAlign w:val="center"/>
          </w:tcPr>
          <w:p w14:paraId="5C4C6349" w14:textId="77777777" w:rsidR="00A7311D" w:rsidRPr="008A2411" w:rsidRDefault="00A7311D" w:rsidP="00A7311D">
            <w:pPr>
              <w:jc w:val="center"/>
              <w:rPr>
                <w:rFonts w:ascii="Times New Roman"/>
                <w:color w:val="000000" w:themeColor="text1"/>
              </w:rPr>
            </w:pPr>
            <w:proofErr w:type="gramStart"/>
            <w:r w:rsidRPr="008A2411">
              <w:rPr>
                <w:rFonts w:ascii="Times New Roman"/>
                <w:color w:val="000000" w:themeColor="text1"/>
                <w:kern w:val="2"/>
                <w:sz w:val="21"/>
                <w:szCs w:val="21"/>
              </w:rPr>
              <w:t>送城市</w:t>
            </w:r>
            <w:proofErr w:type="gramEnd"/>
            <w:r w:rsidRPr="008A2411">
              <w:rPr>
                <w:rFonts w:ascii="Times New Roman"/>
                <w:color w:val="000000" w:themeColor="text1"/>
                <w:kern w:val="2"/>
                <w:sz w:val="21"/>
                <w:szCs w:val="21"/>
              </w:rPr>
              <w:t>生活垃圾填埋场处理，建立</w:t>
            </w:r>
            <w:proofErr w:type="gramStart"/>
            <w:r w:rsidRPr="008A2411">
              <w:rPr>
                <w:rFonts w:ascii="Times New Roman"/>
                <w:color w:val="000000" w:themeColor="text1"/>
                <w:kern w:val="2"/>
                <w:sz w:val="21"/>
                <w:szCs w:val="21"/>
              </w:rPr>
              <w:t>转运台</w:t>
            </w:r>
            <w:proofErr w:type="gramEnd"/>
            <w:r w:rsidRPr="008A2411">
              <w:rPr>
                <w:rFonts w:ascii="Times New Roman"/>
                <w:color w:val="000000" w:themeColor="text1"/>
                <w:kern w:val="2"/>
                <w:sz w:val="21"/>
                <w:szCs w:val="21"/>
              </w:rPr>
              <w:t>账</w:t>
            </w:r>
          </w:p>
        </w:tc>
      </w:tr>
      <w:tr w:rsidR="008A2411" w:rsidRPr="008A2411" w14:paraId="263334EF" w14:textId="77777777">
        <w:trPr>
          <w:jc w:val="center"/>
        </w:trPr>
        <w:tc>
          <w:tcPr>
            <w:tcW w:w="1101" w:type="dxa"/>
            <w:vMerge/>
            <w:vAlign w:val="center"/>
          </w:tcPr>
          <w:p w14:paraId="6CAFCC92" w14:textId="77777777" w:rsidR="00A7311D" w:rsidRPr="008A2411" w:rsidRDefault="00A7311D" w:rsidP="00A7311D">
            <w:pPr>
              <w:pStyle w:val="WJ4"/>
              <w:spacing w:line="240" w:lineRule="auto"/>
              <w:rPr>
                <w:rFonts w:ascii="Times New Roman" w:hAnsi="Times New Roman"/>
                <w:color w:val="000000" w:themeColor="text1"/>
              </w:rPr>
            </w:pPr>
          </w:p>
        </w:tc>
        <w:tc>
          <w:tcPr>
            <w:tcW w:w="567" w:type="dxa"/>
            <w:vMerge/>
            <w:vAlign w:val="center"/>
          </w:tcPr>
          <w:p w14:paraId="2F47ECAF" w14:textId="77777777" w:rsidR="00A7311D" w:rsidRPr="008A2411" w:rsidRDefault="00A7311D" w:rsidP="00A7311D">
            <w:pPr>
              <w:pStyle w:val="WJ5"/>
              <w:spacing w:line="240" w:lineRule="auto"/>
              <w:rPr>
                <w:rFonts w:ascii="Times New Roman" w:hAnsi="Times New Roman"/>
                <w:color w:val="000000" w:themeColor="text1"/>
              </w:rPr>
            </w:pPr>
          </w:p>
        </w:tc>
        <w:tc>
          <w:tcPr>
            <w:tcW w:w="1792" w:type="dxa"/>
            <w:vAlign w:val="center"/>
          </w:tcPr>
          <w:p w14:paraId="754FC1EC" w14:textId="77777777" w:rsidR="00A7311D" w:rsidRPr="008A2411" w:rsidRDefault="00A7311D" w:rsidP="00A7311D">
            <w:pPr>
              <w:jc w:val="center"/>
              <w:rPr>
                <w:rFonts w:ascii="Times New Roman"/>
                <w:color w:val="000000" w:themeColor="text1"/>
              </w:rPr>
            </w:pPr>
            <w:r w:rsidRPr="008A2411">
              <w:rPr>
                <w:rFonts w:ascii="Times New Roman"/>
                <w:color w:val="000000" w:themeColor="text1"/>
                <w:kern w:val="2"/>
                <w:sz w:val="21"/>
                <w:szCs w:val="21"/>
              </w:rPr>
              <w:t>员工办公生活垃圾</w:t>
            </w:r>
          </w:p>
        </w:tc>
        <w:tc>
          <w:tcPr>
            <w:tcW w:w="5295" w:type="dxa"/>
            <w:vAlign w:val="center"/>
          </w:tcPr>
          <w:p w14:paraId="0FCF7E76" w14:textId="77777777" w:rsidR="00A7311D" w:rsidRPr="008A2411" w:rsidRDefault="00A7311D" w:rsidP="00A7311D">
            <w:pPr>
              <w:jc w:val="center"/>
              <w:rPr>
                <w:rFonts w:ascii="Times New Roman"/>
                <w:color w:val="000000" w:themeColor="text1"/>
              </w:rPr>
            </w:pPr>
            <w:r w:rsidRPr="008A2411">
              <w:rPr>
                <w:rFonts w:ascii="Times New Roman"/>
                <w:color w:val="000000" w:themeColor="text1"/>
                <w:kern w:val="2"/>
                <w:sz w:val="21"/>
                <w:szCs w:val="21"/>
              </w:rPr>
              <w:t>由当地环卫部门统一收集处理</w:t>
            </w:r>
          </w:p>
        </w:tc>
      </w:tr>
      <w:tr w:rsidR="008A2411" w:rsidRPr="008A2411" w14:paraId="41ABB428" w14:textId="77777777">
        <w:trPr>
          <w:jc w:val="center"/>
        </w:trPr>
        <w:tc>
          <w:tcPr>
            <w:tcW w:w="1101" w:type="dxa"/>
            <w:vMerge/>
            <w:vAlign w:val="center"/>
          </w:tcPr>
          <w:p w14:paraId="777F9790" w14:textId="77777777" w:rsidR="00415F51" w:rsidRPr="008A2411" w:rsidRDefault="00415F51" w:rsidP="00415F51">
            <w:pPr>
              <w:pStyle w:val="WJ4"/>
              <w:spacing w:line="240" w:lineRule="auto"/>
              <w:rPr>
                <w:rFonts w:ascii="Times New Roman" w:hAnsi="Times New Roman"/>
                <w:color w:val="000000" w:themeColor="text1"/>
              </w:rPr>
            </w:pPr>
          </w:p>
        </w:tc>
        <w:tc>
          <w:tcPr>
            <w:tcW w:w="567" w:type="dxa"/>
            <w:vMerge/>
            <w:vAlign w:val="center"/>
          </w:tcPr>
          <w:p w14:paraId="74E66FF6" w14:textId="77777777" w:rsidR="00415F51" w:rsidRPr="008A2411" w:rsidRDefault="00415F51" w:rsidP="00415F51">
            <w:pPr>
              <w:pStyle w:val="WJ5"/>
              <w:spacing w:line="240" w:lineRule="auto"/>
              <w:rPr>
                <w:rFonts w:ascii="Times New Roman" w:hAnsi="Times New Roman"/>
                <w:color w:val="000000" w:themeColor="text1"/>
              </w:rPr>
            </w:pPr>
          </w:p>
        </w:tc>
        <w:tc>
          <w:tcPr>
            <w:tcW w:w="1792" w:type="dxa"/>
            <w:vAlign w:val="center"/>
          </w:tcPr>
          <w:p w14:paraId="47622BEC" w14:textId="1A4A047A" w:rsidR="00415F51" w:rsidRPr="008A2411" w:rsidRDefault="00415F51" w:rsidP="00415F51">
            <w:pPr>
              <w:jc w:val="center"/>
              <w:rPr>
                <w:rFonts w:ascii="Times New Roman"/>
                <w:color w:val="000000" w:themeColor="text1"/>
                <w:kern w:val="2"/>
                <w:sz w:val="21"/>
                <w:szCs w:val="21"/>
              </w:rPr>
            </w:pPr>
            <w:r w:rsidRPr="008A2411">
              <w:rPr>
                <w:rFonts w:ascii="Times New Roman" w:hint="eastAsia"/>
                <w:color w:val="000000" w:themeColor="text1"/>
                <w:kern w:val="2"/>
                <w:sz w:val="21"/>
                <w:szCs w:val="21"/>
                <w:lang w:val="zh-CN"/>
              </w:rPr>
              <w:t>废过滤器</w:t>
            </w:r>
          </w:p>
        </w:tc>
        <w:tc>
          <w:tcPr>
            <w:tcW w:w="5295" w:type="dxa"/>
            <w:vAlign w:val="center"/>
          </w:tcPr>
          <w:p w14:paraId="1C3BEACE" w14:textId="22A082B5" w:rsidR="00415F51" w:rsidRPr="008A2411" w:rsidRDefault="00415F51" w:rsidP="00415F51">
            <w:pPr>
              <w:jc w:val="center"/>
              <w:rPr>
                <w:rFonts w:ascii="Times New Roman"/>
                <w:color w:val="000000" w:themeColor="text1"/>
                <w:kern w:val="2"/>
                <w:sz w:val="21"/>
                <w:szCs w:val="21"/>
              </w:rPr>
            </w:pPr>
            <w:r w:rsidRPr="008A2411">
              <w:rPr>
                <w:rFonts w:ascii="Times New Roman" w:hint="eastAsia"/>
                <w:color w:val="000000" w:themeColor="text1"/>
              </w:rPr>
              <w:t>交由供货厂商回收</w:t>
            </w:r>
          </w:p>
        </w:tc>
      </w:tr>
      <w:tr w:rsidR="008A2411" w:rsidRPr="008A2411" w14:paraId="1344D6C2" w14:textId="77777777">
        <w:trPr>
          <w:jc w:val="center"/>
        </w:trPr>
        <w:tc>
          <w:tcPr>
            <w:tcW w:w="1101" w:type="dxa"/>
            <w:vMerge/>
            <w:vAlign w:val="center"/>
          </w:tcPr>
          <w:p w14:paraId="158273EB" w14:textId="77777777" w:rsidR="00A7311D" w:rsidRPr="008A2411" w:rsidRDefault="00A7311D" w:rsidP="00A7311D">
            <w:pPr>
              <w:pStyle w:val="WJ4"/>
              <w:spacing w:line="240" w:lineRule="auto"/>
              <w:rPr>
                <w:rFonts w:ascii="Times New Roman" w:hAnsi="Times New Roman"/>
                <w:color w:val="000000" w:themeColor="text1"/>
              </w:rPr>
            </w:pPr>
          </w:p>
        </w:tc>
        <w:tc>
          <w:tcPr>
            <w:tcW w:w="567" w:type="dxa"/>
            <w:vMerge/>
            <w:vAlign w:val="center"/>
          </w:tcPr>
          <w:p w14:paraId="48A5AF99" w14:textId="77777777" w:rsidR="00A7311D" w:rsidRPr="008A2411" w:rsidRDefault="00A7311D" w:rsidP="00A7311D">
            <w:pPr>
              <w:pStyle w:val="WJ5"/>
              <w:spacing w:line="240" w:lineRule="auto"/>
              <w:rPr>
                <w:rFonts w:ascii="Times New Roman" w:hAnsi="Times New Roman"/>
                <w:color w:val="000000" w:themeColor="text1"/>
              </w:rPr>
            </w:pPr>
          </w:p>
        </w:tc>
        <w:tc>
          <w:tcPr>
            <w:tcW w:w="1792" w:type="dxa"/>
            <w:vAlign w:val="center"/>
          </w:tcPr>
          <w:p w14:paraId="174E6763" w14:textId="77777777" w:rsidR="00A7311D" w:rsidRPr="008A2411" w:rsidRDefault="00A7311D" w:rsidP="00A7311D">
            <w:pPr>
              <w:jc w:val="center"/>
              <w:rPr>
                <w:rFonts w:ascii="Times New Roman"/>
                <w:color w:val="000000" w:themeColor="text1"/>
              </w:rPr>
            </w:pPr>
            <w:r w:rsidRPr="008A2411">
              <w:rPr>
                <w:rFonts w:ascii="Times New Roman"/>
                <w:color w:val="000000" w:themeColor="text1"/>
                <w:kern w:val="2"/>
                <w:sz w:val="21"/>
                <w:szCs w:val="21"/>
              </w:rPr>
              <w:t>生产装置区干燥塔脱水单元废分子筛</w:t>
            </w:r>
          </w:p>
        </w:tc>
        <w:tc>
          <w:tcPr>
            <w:tcW w:w="5295" w:type="dxa"/>
            <w:vMerge w:val="restart"/>
            <w:vAlign w:val="center"/>
          </w:tcPr>
          <w:p w14:paraId="35E0FC89" w14:textId="77777777" w:rsidR="00A7311D" w:rsidRPr="008A2411" w:rsidRDefault="00A7311D" w:rsidP="00A7311D">
            <w:pPr>
              <w:pStyle w:val="WJ5"/>
              <w:spacing w:line="240" w:lineRule="auto"/>
              <w:jc w:val="left"/>
              <w:rPr>
                <w:rFonts w:ascii="Times New Roman" w:hAnsi="Times New Roman"/>
                <w:color w:val="000000" w:themeColor="text1"/>
              </w:rPr>
            </w:pPr>
            <w:proofErr w:type="gramStart"/>
            <w:r w:rsidRPr="008A2411">
              <w:rPr>
                <w:rFonts w:ascii="Times New Roman" w:hAnsi="Times New Roman"/>
                <w:color w:val="000000" w:themeColor="text1"/>
              </w:rPr>
              <w:t>存于危废暂存</w:t>
            </w:r>
            <w:proofErr w:type="gramEnd"/>
            <w:r w:rsidRPr="008A2411">
              <w:rPr>
                <w:rFonts w:ascii="Times New Roman" w:hAnsi="Times New Roman"/>
                <w:color w:val="000000" w:themeColor="text1"/>
              </w:rPr>
              <w:t>间，定期送往有资质单位处置，建立转运联单制度和台账。</w:t>
            </w:r>
          </w:p>
        </w:tc>
      </w:tr>
      <w:tr w:rsidR="008A2411" w:rsidRPr="008A2411" w14:paraId="2CDCC7F7" w14:textId="77777777">
        <w:trPr>
          <w:jc w:val="center"/>
        </w:trPr>
        <w:tc>
          <w:tcPr>
            <w:tcW w:w="1101" w:type="dxa"/>
            <w:vMerge/>
            <w:vAlign w:val="center"/>
          </w:tcPr>
          <w:p w14:paraId="52EF92CA" w14:textId="77777777" w:rsidR="00A7311D" w:rsidRPr="008A2411" w:rsidRDefault="00A7311D" w:rsidP="00A7311D">
            <w:pPr>
              <w:pStyle w:val="WJ4"/>
              <w:spacing w:line="240" w:lineRule="auto"/>
              <w:rPr>
                <w:rFonts w:ascii="Times New Roman" w:hAnsi="Times New Roman"/>
                <w:color w:val="000000" w:themeColor="text1"/>
              </w:rPr>
            </w:pPr>
          </w:p>
        </w:tc>
        <w:tc>
          <w:tcPr>
            <w:tcW w:w="567" w:type="dxa"/>
            <w:vMerge/>
            <w:vAlign w:val="center"/>
          </w:tcPr>
          <w:p w14:paraId="4BDF1FB5" w14:textId="77777777" w:rsidR="00A7311D" w:rsidRPr="008A2411" w:rsidRDefault="00A7311D" w:rsidP="00A7311D">
            <w:pPr>
              <w:pStyle w:val="WJ5"/>
              <w:spacing w:line="240" w:lineRule="auto"/>
              <w:rPr>
                <w:rFonts w:ascii="Times New Roman" w:hAnsi="Times New Roman"/>
                <w:color w:val="000000" w:themeColor="text1"/>
              </w:rPr>
            </w:pPr>
          </w:p>
        </w:tc>
        <w:tc>
          <w:tcPr>
            <w:tcW w:w="1792" w:type="dxa"/>
            <w:vAlign w:val="center"/>
          </w:tcPr>
          <w:p w14:paraId="49D031CE" w14:textId="77777777" w:rsidR="00A7311D" w:rsidRPr="008A2411" w:rsidRDefault="00A7311D" w:rsidP="00A7311D">
            <w:pPr>
              <w:jc w:val="center"/>
              <w:rPr>
                <w:rFonts w:ascii="Times New Roman"/>
                <w:color w:val="000000" w:themeColor="text1"/>
              </w:rPr>
            </w:pPr>
            <w:r w:rsidRPr="008A2411">
              <w:rPr>
                <w:rFonts w:ascii="Times New Roman"/>
                <w:color w:val="000000" w:themeColor="text1"/>
                <w:kern w:val="2"/>
                <w:sz w:val="21"/>
                <w:szCs w:val="21"/>
              </w:rPr>
              <w:t>设备检修废油</w:t>
            </w:r>
          </w:p>
        </w:tc>
        <w:tc>
          <w:tcPr>
            <w:tcW w:w="5295" w:type="dxa"/>
            <w:vMerge/>
            <w:vAlign w:val="center"/>
          </w:tcPr>
          <w:p w14:paraId="53137783" w14:textId="77777777" w:rsidR="00A7311D" w:rsidRPr="008A2411" w:rsidRDefault="00A7311D" w:rsidP="00A7311D">
            <w:pPr>
              <w:pStyle w:val="WJ5"/>
              <w:spacing w:line="240" w:lineRule="auto"/>
              <w:jc w:val="left"/>
              <w:rPr>
                <w:rFonts w:ascii="Times New Roman" w:hAnsi="Times New Roman"/>
                <w:color w:val="000000" w:themeColor="text1"/>
              </w:rPr>
            </w:pPr>
          </w:p>
        </w:tc>
      </w:tr>
      <w:tr w:rsidR="008A2411" w:rsidRPr="008A2411" w14:paraId="15E6C8F3" w14:textId="77777777">
        <w:trPr>
          <w:jc w:val="center"/>
        </w:trPr>
        <w:tc>
          <w:tcPr>
            <w:tcW w:w="1101" w:type="dxa"/>
            <w:vMerge/>
            <w:vAlign w:val="center"/>
          </w:tcPr>
          <w:p w14:paraId="2CF00D5F" w14:textId="77777777" w:rsidR="00A7311D" w:rsidRPr="008A2411" w:rsidRDefault="00A7311D" w:rsidP="00A7311D">
            <w:pPr>
              <w:pStyle w:val="WJ4"/>
              <w:spacing w:line="240" w:lineRule="auto"/>
              <w:rPr>
                <w:rFonts w:ascii="Times New Roman" w:hAnsi="Times New Roman"/>
                <w:color w:val="000000" w:themeColor="text1"/>
              </w:rPr>
            </w:pPr>
          </w:p>
        </w:tc>
        <w:tc>
          <w:tcPr>
            <w:tcW w:w="567" w:type="dxa"/>
            <w:vMerge/>
            <w:vAlign w:val="center"/>
          </w:tcPr>
          <w:p w14:paraId="103DC9A9" w14:textId="77777777" w:rsidR="00A7311D" w:rsidRPr="008A2411" w:rsidRDefault="00A7311D" w:rsidP="00A7311D">
            <w:pPr>
              <w:pStyle w:val="WJ5"/>
              <w:spacing w:line="240" w:lineRule="auto"/>
              <w:rPr>
                <w:rFonts w:ascii="Times New Roman" w:hAnsi="Times New Roman"/>
                <w:color w:val="000000" w:themeColor="text1"/>
              </w:rPr>
            </w:pPr>
          </w:p>
        </w:tc>
        <w:tc>
          <w:tcPr>
            <w:tcW w:w="1792" w:type="dxa"/>
            <w:vAlign w:val="center"/>
          </w:tcPr>
          <w:p w14:paraId="2D6E0B33" w14:textId="77777777" w:rsidR="00A7311D" w:rsidRPr="008A2411" w:rsidRDefault="00A7311D" w:rsidP="00A7311D">
            <w:pPr>
              <w:jc w:val="center"/>
              <w:rPr>
                <w:rFonts w:ascii="Times New Roman"/>
                <w:color w:val="000000" w:themeColor="text1"/>
              </w:rPr>
            </w:pPr>
            <w:r w:rsidRPr="008A2411">
              <w:rPr>
                <w:rFonts w:ascii="Times New Roman"/>
                <w:color w:val="000000" w:themeColor="text1"/>
                <w:kern w:val="2"/>
                <w:sz w:val="21"/>
                <w:szCs w:val="21"/>
              </w:rPr>
              <w:t>生产装置区脱硫单元、脱碳单元、脱汞单元和脱重烃</w:t>
            </w:r>
            <w:proofErr w:type="gramStart"/>
            <w:r w:rsidRPr="008A2411">
              <w:rPr>
                <w:rFonts w:ascii="Times New Roman"/>
                <w:color w:val="000000" w:themeColor="text1"/>
                <w:kern w:val="2"/>
                <w:sz w:val="21"/>
                <w:szCs w:val="21"/>
              </w:rPr>
              <w:t>单元等废活性炭</w:t>
            </w:r>
            <w:proofErr w:type="gramEnd"/>
          </w:p>
        </w:tc>
        <w:tc>
          <w:tcPr>
            <w:tcW w:w="5295" w:type="dxa"/>
            <w:vMerge/>
            <w:vAlign w:val="center"/>
          </w:tcPr>
          <w:p w14:paraId="71B05CD8" w14:textId="77777777" w:rsidR="00A7311D" w:rsidRPr="008A2411" w:rsidRDefault="00A7311D" w:rsidP="00A7311D">
            <w:pPr>
              <w:pStyle w:val="WJ5"/>
              <w:spacing w:line="240" w:lineRule="auto"/>
              <w:jc w:val="left"/>
              <w:rPr>
                <w:rFonts w:ascii="Times New Roman" w:hAnsi="Times New Roman"/>
                <w:color w:val="000000" w:themeColor="text1"/>
              </w:rPr>
            </w:pPr>
          </w:p>
        </w:tc>
      </w:tr>
      <w:tr w:rsidR="008A2411" w:rsidRPr="008A2411" w14:paraId="0C93E365" w14:textId="77777777">
        <w:trPr>
          <w:jc w:val="center"/>
        </w:trPr>
        <w:tc>
          <w:tcPr>
            <w:tcW w:w="1101" w:type="dxa"/>
            <w:vMerge/>
            <w:vAlign w:val="center"/>
          </w:tcPr>
          <w:p w14:paraId="51B7DD21" w14:textId="77777777" w:rsidR="00A7311D" w:rsidRPr="008A2411" w:rsidRDefault="00A7311D" w:rsidP="00A7311D">
            <w:pPr>
              <w:pStyle w:val="WJ4"/>
              <w:spacing w:line="240" w:lineRule="auto"/>
              <w:rPr>
                <w:rFonts w:ascii="Times New Roman" w:hAnsi="Times New Roman"/>
                <w:color w:val="000000" w:themeColor="text1"/>
              </w:rPr>
            </w:pPr>
          </w:p>
        </w:tc>
        <w:tc>
          <w:tcPr>
            <w:tcW w:w="567" w:type="dxa"/>
            <w:vMerge/>
            <w:vAlign w:val="center"/>
          </w:tcPr>
          <w:p w14:paraId="15AB2670" w14:textId="77777777" w:rsidR="00A7311D" w:rsidRPr="008A2411" w:rsidRDefault="00A7311D" w:rsidP="00A7311D">
            <w:pPr>
              <w:pStyle w:val="WJ5"/>
              <w:spacing w:line="240" w:lineRule="auto"/>
              <w:rPr>
                <w:rFonts w:ascii="Times New Roman" w:hAnsi="Times New Roman"/>
                <w:color w:val="000000" w:themeColor="text1"/>
              </w:rPr>
            </w:pPr>
          </w:p>
        </w:tc>
        <w:tc>
          <w:tcPr>
            <w:tcW w:w="1792" w:type="dxa"/>
            <w:vAlign w:val="center"/>
          </w:tcPr>
          <w:p w14:paraId="61EE5C4B" w14:textId="77777777" w:rsidR="00A7311D" w:rsidRPr="008A2411" w:rsidRDefault="00A7311D" w:rsidP="00A7311D">
            <w:pPr>
              <w:jc w:val="center"/>
              <w:rPr>
                <w:rFonts w:ascii="Times New Roman"/>
                <w:color w:val="000000" w:themeColor="text1"/>
              </w:rPr>
            </w:pPr>
            <w:r w:rsidRPr="008A2411">
              <w:rPr>
                <w:rFonts w:ascii="Times New Roman"/>
                <w:color w:val="000000" w:themeColor="text1"/>
                <w:kern w:val="2"/>
                <w:sz w:val="21"/>
                <w:szCs w:val="21"/>
              </w:rPr>
              <w:t>进口过滤器、溶液过滤器、净化气过滤器、重烃过滤器等过滤杂质</w:t>
            </w:r>
          </w:p>
        </w:tc>
        <w:tc>
          <w:tcPr>
            <w:tcW w:w="5295" w:type="dxa"/>
            <w:vMerge/>
            <w:vAlign w:val="center"/>
          </w:tcPr>
          <w:p w14:paraId="10579FA3" w14:textId="77777777" w:rsidR="00A7311D" w:rsidRPr="008A2411" w:rsidRDefault="00A7311D" w:rsidP="00A7311D">
            <w:pPr>
              <w:pStyle w:val="WJ5"/>
              <w:spacing w:line="240" w:lineRule="auto"/>
              <w:jc w:val="left"/>
              <w:rPr>
                <w:rFonts w:ascii="Times New Roman" w:hAnsi="Times New Roman"/>
                <w:color w:val="000000" w:themeColor="text1"/>
              </w:rPr>
            </w:pPr>
          </w:p>
        </w:tc>
      </w:tr>
      <w:tr w:rsidR="008A2411" w:rsidRPr="008A2411" w14:paraId="2F30C73D" w14:textId="77777777">
        <w:trPr>
          <w:jc w:val="center"/>
        </w:trPr>
        <w:tc>
          <w:tcPr>
            <w:tcW w:w="1101" w:type="dxa"/>
            <w:vMerge/>
            <w:vAlign w:val="center"/>
          </w:tcPr>
          <w:p w14:paraId="20874F7E" w14:textId="77777777" w:rsidR="00A7311D" w:rsidRPr="008A2411" w:rsidRDefault="00A7311D" w:rsidP="00A7311D">
            <w:pPr>
              <w:pStyle w:val="WJ4"/>
              <w:spacing w:line="240" w:lineRule="auto"/>
              <w:rPr>
                <w:rFonts w:ascii="Times New Roman" w:hAnsi="Times New Roman"/>
                <w:color w:val="000000" w:themeColor="text1"/>
              </w:rPr>
            </w:pPr>
          </w:p>
        </w:tc>
        <w:tc>
          <w:tcPr>
            <w:tcW w:w="567" w:type="dxa"/>
            <w:vMerge/>
            <w:vAlign w:val="center"/>
          </w:tcPr>
          <w:p w14:paraId="0201584A" w14:textId="77777777" w:rsidR="00A7311D" w:rsidRPr="008A2411" w:rsidRDefault="00A7311D" w:rsidP="00A7311D">
            <w:pPr>
              <w:pStyle w:val="WJ5"/>
              <w:spacing w:line="240" w:lineRule="auto"/>
              <w:rPr>
                <w:rFonts w:ascii="Times New Roman" w:hAnsi="Times New Roman"/>
                <w:color w:val="000000" w:themeColor="text1"/>
              </w:rPr>
            </w:pPr>
          </w:p>
        </w:tc>
        <w:tc>
          <w:tcPr>
            <w:tcW w:w="1792" w:type="dxa"/>
            <w:vAlign w:val="center"/>
          </w:tcPr>
          <w:p w14:paraId="08A4B540" w14:textId="77777777" w:rsidR="00A7311D" w:rsidRPr="008A2411" w:rsidRDefault="00A7311D" w:rsidP="00A7311D">
            <w:pPr>
              <w:pStyle w:val="WJ5"/>
              <w:rPr>
                <w:rFonts w:ascii="Times New Roman" w:hAnsi="Times New Roman"/>
                <w:color w:val="000000" w:themeColor="text1"/>
              </w:rPr>
            </w:pPr>
            <w:r w:rsidRPr="008A2411">
              <w:rPr>
                <w:rFonts w:ascii="Times New Roman" w:hAnsi="Times New Roman"/>
                <w:color w:val="000000" w:themeColor="text1"/>
              </w:rPr>
              <w:t>化验室残液</w:t>
            </w:r>
          </w:p>
        </w:tc>
        <w:tc>
          <w:tcPr>
            <w:tcW w:w="5295" w:type="dxa"/>
            <w:vMerge/>
            <w:vAlign w:val="center"/>
          </w:tcPr>
          <w:p w14:paraId="31CA0BBB" w14:textId="77777777" w:rsidR="00A7311D" w:rsidRPr="008A2411" w:rsidRDefault="00A7311D" w:rsidP="00A7311D">
            <w:pPr>
              <w:pStyle w:val="WJ5"/>
              <w:spacing w:line="240" w:lineRule="auto"/>
              <w:jc w:val="left"/>
              <w:rPr>
                <w:rFonts w:ascii="Times New Roman" w:hAnsi="Times New Roman"/>
                <w:color w:val="000000" w:themeColor="text1"/>
              </w:rPr>
            </w:pPr>
          </w:p>
        </w:tc>
      </w:tr>
      <w:tr w:rsidR="008A2411" w:rsidRPr="008A2411" w14:paraId="6AEA8D85" w14:textId="77777777">
        <w:trPr>
          <w:jc w:val="center"/>
        </w:trPr>
        <w:tc>
          <w:tcPr>
            <w:tcW w:w="1101" w:type="dxa"/>
            <w:vMerge/>
            <w:vAlign w:val="center"/>
          </w:tcPr>
          <w:p w14:paraId="7D58303B" w14:textId="77777777" w:rsidR="00A7311D" w:rsidRPr="008A2411" w:rsidRDefault="00A7311D" w:rsidP="00A7311D">
            <w:pPr>
              <w:pStyle w:val="WJ4"/>
              <w:spacing w:line="240" w:lineRule="auto"/>
              <w:rPr>
                <w:rFonts w:ascii="Times New Roman" w:hAnsi="Times New Roman"/>
                <w:color w:val="000000" w:themeColor="text1"/>
              </w:rPr>
            </w:pPr>
          </w:p>
        </w:tc>
        <w:tc>
          <w:tcPr>
            <w:tcW w:w="2359" w:type="dxa"/>
            <w:gridSpan w:val="2"/>
            <w:vAlign w:val="center"/>
          </w:tcPr>
          <w:p w14:paraId="3B3F516A" w14:textId="77777777" w:rsidR="00A7311D" w:rsidRPr="008A2411" w:rsidRDefault="00A7311D" w:rsidP="00A7311D">
            <w:pPr>
              <w:pStyle w:val="WJ5"/>
              <w:spacing w:line="240" w:lineRule="auto"/>
              <w:rPr>
                <w:rFonts w:ascii="Times New Roman" w:hAnsi="Times New Roman"/>
                <w:color w:val="000000" w:themeColor="text1"/>
              </w:rPr>
            </w:pPr>
            <w:r w:rsidRPr="008A2411">
              <w:rPr>
                <w:rFonts w:ascii="Times New Roman" w:hAnsi="Times New Roman"/>
                <w:color w:val="000000" w:themeColor="text1"/>
              </w:rPr>
              <w:t>噪声</w:t>
            </w:r>
          </w:p>
        </w:tc>
        <w:tc>
          <w:tcPr>
            <w:tcW w:w="5295" w:type="dxa"/>
            <w:vAlign w:val="center"/>
          </w:tcPr>
          <w:p w14:paraId="0723290D" w14:textId="77777777" w:rsidR="00A7311D" w:rsidRPr="008A2411" w:rsidRDefault="00A7311D" w:rsidP="00A7311D">
            <w:pPr>
              <w:pStyle w:val="WJ5"/>
              <w:spacing w:line="240" w:lineRule="auto"/>
              <w:jc w:val="left"/>
              <w:rPr>
                <w:rFonts w:ascii="Times New Roman" w:hAnsi="Times New Roman"/>
                <w:color w:val="000000" w:themeColor="text1"/>
              </w:rPr>
            </w:pPr>
            <w:r w:rsidRPr="008A2411">
              <w:rPr>
                <w:rFonts w:ascii="Times New Roman" w:hAnsi="Times New Roman"/>
                <w:color w:val="000000" w:themeColor="text1"/>
              </w:rPr>
              <w:t>按要求采取了相应的噪声控制措施，包括选用低噪设备，设置减振，优化工艺、合理布局等。</w:t>
            </w:r>
          </w:p>
        </w:tc>
      </w:tr>
      <w:tr w:rsidR="008A2411" w:rsidRPr="008A2411" w14:paraId="4B71F6AA" w14:textId="77777777">
        <w:trPr>
          <w:trHeight w:val="1028"/>
          <w:jc w:val="center"/>
        </w:trPr>
        <w:tc>
          <w:tcPr>
            <w:tcW w:w="1101" w:type="dxa"/>
            <w:vMerge w:val="restart"/>
            <w:vAlign w:val="center"/>
          </w:tcPr>
          <w:p w14:paraId="43441131" w14:textId="77777777" w:rsidR="00A7311D" w:rsidRPr="008A2411" w:rsidRDefault="00A7311D" w:rsidP="00A7311D">
            <w:pPr>
              <w:pStyle w:val="WJ4"/>
              <w:spacing w:line="240" w:lineRule="auto"/>
              <w:rPr>
                <w:rFonts w:ascii="Times New Roman" w:hAnsi="Times New Roman"/>
                <w:color w:val="000000" w:themeColor="text1"/>
              </w:rPr>
            </w:pPr>
            <w:r w:rsidRPr="008A2411">
              <w:rPr>
                <w:rFonts w:ascii="Times New Roman" w:hAnsi="Times New Roman"/>
                <w:color w:val="000000" w:themeColor="text1"/>
              </w:rPr>
              <w:t>生态保护措施</w:t>
            </w:r>
          </w:p>
        </w:tc>
        <w:tc>
          <w:tcPr>
            <w:tcW w:w="2359" w:type="dxa"/>
            <w:gridSpan w:val="2"/>
            <w:vAlign w:val="center"/>
          </w:tcPr>
          <w:p w14:paraId="2554519B" w14:textId="77777777" w:rsidR="00A7311D" w:rsidRPr="008A2411" w:rsidRDefault="00A7311D" w:rsidP="00A7311D">
            <w:pPr>
              <w:pStyle w:val="WJ5"/>
              <w:spacing w:line="240" w:lineRule="auto"/>
              <w:rPr>
                <w:rFonts w:ascii="Times New Roman" w:hAnsi="Times New Roman"/>
                <w:color w:val="000000" w:themeColor="text1"/>
              </w:rPr>
            </w:pPr>
            <w:r w:rsidRPr="008A2411">
              <w:rPr>
                <w:rFonts w:ascii="Times New Roman" w:hAnsi="Times New Roman"/>
                <w:color w:val="000000" w:themeColor="text1"/>
              </w:rPr>
              <w:t>场站工程</w:t>
            </w:r>
          </w:p>
        </w:tc>
        <w:tc>
          <w:tcPr>
            <w:tcW w:w="5295" w:type="dxa"/>
            <w:vAlign w:val="center"/>
          </w:tcPr>
          <w:p w14:paraId="2ECB61C1" w14:textId="77777777" w:rsidR="00A7311D" w:rsidRPr="008A2411" w:rsidRDefault="00A7311D" w:rsidP="00A7311D">
            <w:pPr>
              <w:pStyle w:val="WJ5"/>
              <w:spacing w:line="240" w:lineRule="auto"/>
              <w:jc w:val="left"/>
              <w:rPr>
                <w:rFonts w:ascii="Times New Roman" w:hAnsi="Times New Roman"/>
                <w:color w:val="000000" w:themeColor="text1"/>
              </w:rPr>
            </w:pPr>
            <w:r w:rsidRPr="008A2411">
              <w:rPr>
                <w:rFonts w:ascii="Times New Roman" w:hAnsi="Times New Roman"/>
                <w:color w:val="000000" w:themeColor="text1"/>
              </w:rPr>
              <w:t>对项新征用地范围的表土进行开挖保护，站场和道路应夯实地基并采用碎石硬化减少雨水冲刷；场地周围</w:t>
            </w:r>
            <w:proofErr w:type="gramStart"/>
            <w:r w:rsidRPr="008A2411">
              <w:rPr>
                <w:rFonts w:ascii="Times New Roman" w:hAnsi="Times New Roman"/>
                <w:color w:val="000000" w:themeColor="text1"/>
              </w:rPr>
              <w:t>修临时</w:t>
            </w:r>
            <w:proofErr w:type="gramEnd"/>
            <w:r w:rsidRPr="008A2411">
              <w:rPr>
                <w:rFonts w:ascii="Times New Roman" w:hAnsi="Times New Roman"/>
                <w:color w:val="000000" w:themeColor="text1"/>
              </w:rPr>
              <w:t>排水沟；临时表土堆放</w:t>
            </w:r>
            <w:proofErr w:type="gramStart"/>
            <w:r w:rsidRPr="008A2411">
              <w:rPr>
                <w:rFonts w:ascii="Times New Roman" w:hAnsi="Times New Roman"/>
                <w:color w:val="000000" w:themeColor="text1"/>
              </w:rPr>
              <w:t>场采取</w:t>
            </w:r>
            <w:proofErr w:type="gramEnd"/>
            <w:r w:rsidRPr="008A2411">
              <w:rPr>
                <w:rFonts w:ascii="Times New Roman" w:hAnsi="Times New Roman"/>
                <w:color w:val="000000" w:themeColor="text1"/>
              </w:rPr>
              <w:t>拦挡、压实等措施。</w:t>
            </w:r>
          </w:p>
        </w:tc>
      </w:tr>
      <w:tr w:rsidR="008A2411" w:rsidRPr="008A2411" w14:paraId="1111CB42" w14:textId="77777777">
        <w:trPr>
          <w:jc w:val="center"/>
        </w:trPr>
        <w:tc>
          <w:tcPr>
            <w:tcW w:w="1101" w:type="dxa"/>
            <w:vMerge w:val="restart"/>
            <w:vAlign w:val="center"/>
          </w:tcPr>
          <w:p w14:paraId="6E10B185" w14:textId="77777777" w:rsidR="00A7311D" w:rsidRPr="008A2411" w:rsidRDefault="00A7311D" w:rsidP="00A7311D">
            <w:pPr>
              <w:pStyle w:val="WJ4"/>
              <w:spacing w:line="240" w:lineRule="auto"/>
              <w:rPr>
                <w:rFonts w:ascii="Times New Roman" w:hAnsi="Times New Roman"/>
                <w:color w:val="000000" w:themeColor="text1"/>
              </w:rPr>
            </w:pPr>
            <w:r w:rsidRPr="008A2411">
              <w:rPr>
                <w:rFonts w:ascii="Times New Roman" w:hAnsi="Times New Roman"/>
                <w:color w:val="000000" w:themeColor="text1"/>
              </w:rPr>
              <w:t>环境风险防范措施</w:t>
            </w:r>
          </w:p>
        </w:tc>
        <w:tc>
          <w:tcPr>
            <w:tcW w:w="2359" w:type="dxa"/>
            <w:gridSpan w:val="2"/>
            <w:vMerge w:val="restart"/>
            <w:vAlign w:val="center"/>
          </w:tcPr>
          <w:p w14:paraId="11772C63" w14:textId="77777777" w:rsidR="00A7311D" w:rsidRPr="008A2411" w:rsidRDefault="00A7311D" w:rsidP="00A7311D">
            <w:pPr>
              <w:pStyle w:val="WJ5"/>
              <w:spacing w:line="240" w:lineRule="auto"/>
              <w:rPr>
                <w:rFonts w:ascii="Times New Roman" w:hAnsi="Times New Roman"/>
                <w:color w:val="000000" w:themeColor="text1"/>
              </w:rPr>
            </w:pPr>
            <w:r w:rsidRPr="008A2411">
              <w:rPr>
                <w:rFonts w:ascii="Times New Roman" w:hAnsi="Times New Roman"/>
                <w:color w:val="000000" w:themeColor="text1"/>
              </w:rPr>
              <w:t>风险防范措施及应急预案</w:t>
            </w:r>
          </w:p>
        </w:tc>
        <w:tc>
          <w:tcPr>
            <w:tcW w:w="5295" w:type="dxa"/>
            <w:vAlign w:val="center"/>
          </w:tcPr>
          <w:p w14:paraId="23EE8930" w14:textId="77777777" w:rsidR="00A7311D" w:rsidRPr="008A2411" w:rsidRDefault="00A7311D" w:rsidP="00A7311D">
            <w:pPr>
              <w:pStyle w:val="WJ5"/>
              <w:spacing w:line="240" w:lineRule="auto"/>
              <w:jc w:val="left"/>
              <w:rPr>
                <w:rFonts w:ascii="Times New Roman" w:hAnsi="Times New Roman"/>
                <w:color w:val="000000" w:themeColor="text1"/>
              </w:rPr>
            </w:pPr>
            <w:r w:rsidRPr="008A2411">
              <w:rPr>
                <w:rFonts w:ascii="Times New Roman" w:hAnsi="Times New Roman"/>
                <w:color w:val="000000" w:themeColor="text1"/>
              </w:rPr>
              <w:t>编制应急预案，适时培训、演练；工艺装置区及废水罐区设置围堰，地面防渗处理，事故池兼做初期雨水收集池，预留足够的容积。提交应急预案和应急培训、演练的相关报告。</w:t>
            </w:r>
          </w:p>
        </w:tc>
      </w:tr>
      <w:tr w:rsidR="008A2411" w:rsidRPr="008A2411" w14:paraId="52F94BAE" w14:textId="77777777">
        <w:trPr>
          <w:jc w:val="center"/>
        </w:trPr>
        <w:tc>
          <w:tcPr>
            <w:tcW w:w="1101" w:type="dxa"/>
            <w:vMerge/>
            <w:vAlign w:val="center"/>
          </w:tcPr>
          <w:p w14:paraId="72AF6E20" w14:textId="77777777" w:rsidR="00A7311D" w:rsidRPr="008A2411" w:rsidRDefault="00A7311D" w:rsidP="00A7311D">
            <w:pPr>
              <w:pStyle w:val="WJ4"/>
              <w:spacing w:line="240" w:lineRule="auto"/>
              <w:rPr>
                <w:rFonts w:ascii="Times New Roman" w:hAnsi="Times New Roman"/>
                <w:color w:val="000000" w:themeColor="text1"/>
              </w:rPr>
            </w:pPr>
          </w:p>
        </w:tc>
        <w:tc>
          <w:tcPr>
            <w:tcW w:w="2359" w:type="dxa"/>
            <w:gridSpan w:val="2"/>
            <w:vMerge/>
            <w:vAlign w:val="center"/>
          </w:tcPr>
          <w:p w14:paraId="4F20C8F2" w14:textId="77777777" w:rsidR="00A7311D" w:rsidRPr="008A2411" w:rsidRDefault="00A7311D" w:rsidP="00A7311D">
            <w:pPr>
              <w:pStyle w:val="WJ5"/>
              <w:spacing w:line="240" w:lineRule="auto"/>
              <w:rPr>
                <w:rFonts w:ascii="Times New Roman" w:hAnsi="Times New Roman"/>
                <w:color w:val="000000" w:themeColor="text1"/>
              </w:rPr>
            </w:pPr>
          </w:p>
        </w:tc>
        <w:tc>
          <w:tcPr>
            <w:tcW w:w="5295" w:type="dxa"/>
            <w:vAlign w:val="center"/>
          </w:tcPr>
          <w:p w14:paraId="37C9C78D" w14:textId="77777777" w:rsidR="00A7311D" w:rsidRPr="008A2411" w:rsidRDefault="00A7311D" w:rsidP="00A7311D">
            <w:pPr>
              <w:pStyle w:val="WJ5"/>
              <w:spacing w:line="240" w:lineRule="auto"/>
              <w:jc w:val="left"/>
              <w:rPr>
                <w:rFonts w:ascii="Times New Roman" w:hAnsi="Times New Roman"/>
                <w:color w:val="000000" w:themeColor="text1"/>
              </w:rPr>
            </w:pPr>
            <w:r w:rsidRPr="008A2411">
              <w:rPr>
                <w:rFonts w:ascii="Times New Roman" w:hAnsi="Times New Roman"/>
                <w:color w:val="000000" w:themeColor="text1"/>
              </w:rPr>
              <w:t>在线式、便携式可燃气体检测仪，紧急连锁装置、防爆电气设备、防爆自动控制系统、在线式</w:t>
            </w:r>
            <w:r w:rsidRPr="008A2411">
              <w:rPr>
                <w:rFonts w:ascii="Times New Roman" w:hAnsi="Times New Roman"/>
                <w:color w:val="000000" w:themeColor="text1"/>
              </w:rPr>
              <w:t>UPS</w:t>
            </w:r>
            <w:r w:rsidRPr="008A2411">
              <w:rPr>
                <w:rFonts w:ascii="Times New Roman" w:hAnsi="Times New Roman"/>
                <w:color w:val="000000" w:themeColor="text1"/>
              </w:rPr>
              <w:t>应急电源、应急照明、避雷及防雷设施、防静电设施、灭火器材、砂池等、风向标、警示标志、管线紧急自动截断系</w:t>
            </w:r>
            <w:r w:rsidRPr="008A2411">
              <w:rPr>
                <w:rFonts w:ascii="Times New Roman" w:hint="eastAsia"/>
                <w:color w:val="000000" w:themeColor="text1"/>
              </w:rPr>
              <w:t>统</w:t>
            </w:r>
          </w:p>
        </w:tc>
      </w:tr>
      <w:tr w:rsidR="008A2411" w:rsidRPr="008A2411" w14:paraId="64260A6F" w14:textId="77777777">
        <w:trPr>
          <w:jc w:val="center"/>
        </w:trPr>
        <w:tc>
          <w:tcPr>
            <w:tcW w:w="1101" w:type="dxa"/>
            <w:vMerge/>
            <w:vAlign w:val="center"/>
          </w:tcPr>
          <w:p w14:paraId="40D93BC9" w14:textId="77777777" w:rsidR="00A7311D" w:rsidRPr="008A2411" w:rsidRDefault="00A7311D" w:rsidP="00A7311D">
            <w:pPr>
              <w:pStyle w:val="WJ4"/>
              <w:spacing w:line="240" w:lineRule="auto"/>
              <w:rPr>
                <w:rFonts w:ascii="Times New Roman" w:hAnsi="Times New Roman"/>
                <w:color w:val="000000" w:themeColor="text1"/>
              </w:rPr>
            </w:pPr>
          </w:p>
        </w:tc>
        <w:tc>
          <w:tcPr>
            <w:tcW w:w="2359" w:type="dxa"/>
            <w:gridSpan w:val="2"/>
            <w:vMerge/>
            <w:vAlign w:val="center"/>
          </w:tcPr>
          <w:p w14:paraId="68D7653C" w14:textId="77777777" w:rsidR="00A7311D" w:rsidRPr="008A2411" w:rsidRDefault="00A7311D" w:rsidP="00A7311D">
            <w:pPr>
              <w:pStyle w:val="WJ5"/>
              <w:spacing w:line="240" w:lineRule="auto"/>
              <w:rPr>
                <w:rFonts w:ascii="Times New Roman" w:hAnsi="Times New Roman"/>
                <w:color w:val="000000" w:themeColor="text1"/>
              </w:rPr>
            </w:pPr>
          </w:p>
        </w:tc>
        <w:tc>
          <w:tcPr>
            <w:tcW w:w="5295" w:type="dxa"/>
            <w:vAlign w:val="center"/>
          </w:tcPr>
          <w:p w14:paraId="2A53991F" w14:textId="77777777" w:rsidR="00A7311D" w:rsidRPr="008A2411" w:rsidRDefault="00A7311D" w:rsidP="00A7311D">
            <w:pPr>
              <w:pStyle w:val="WJ5"/>
              <w:spacing w:line="240" w:lineRule="auto"/>
              <w:jc w:val="left"/>
              <w:rPr>
                <w:rFonts w:ascii="Times New Roman" w:hAnsi="Times New Roman"/>
                <w:color w:val="000000" w:themeColor="text1"/>
              </w:rPr>
            </w:pPr>
            <w:r w:rsidRPr="008A2411">
              <w:rPr>
                <w:rFonts w:ascii="Times New Roman" w:hAnsi="Times New Roman"/>
                <w:color w:val="000000" w:themeColor="text1"/>
              </w:rPr>
              <w:t>雨水</w:t>
            </w:r>
            <w:proofErr w:type="gramStart"/>
            <w:r w:rsidRPr="008A2411">
              <w:rPr>
                <w:rFonts w:ascii="Times New Roman" w:hAnsi="Times New Roman"/>
                <w:color w:val="000000" w:themeColor="text1"/>
              </w:rPr>
              <w:t>监控池兼事故</w:t>
            </w:r>
            <w:proofErr w:type="gramEnd"/>
            <w:r w:rsidRPr="008A2411">
              <w:rPr>
                <w:rFonts w:ascii="Times New Roman" w:hAnsi="Times New Roman"/>
                <w:color w:val="000000" w:themeColor="text1"/>
              </w:rPr>
              <w:t>池</w:t>
            </w:r>
            <w:r w:rsidRPr="008A2411">
              <w:rPr>
                <w:rFonts w:ascii="Times New Roman" w:hAnsi="Times New Roman" w:hint="eastAsia"/>
                <w:color w:val="000000" w:themeColor="text1"/>
              </w:rPr>
              <w:t>(800m</w:t>
            </w:r>
            <w:r w:rsidRPr="008A2411">
              <w:rPr>
                <w:rFonts w:ascii="Times New Roman" w:hAnsi="Times New Roman" w:hint="eastAsia"/>
                <w:color w:val="000000" w:themeColor="text1"/>
                <w:vertAlign w:val="superscript"/>
              </w:rPr>
              <w:t>3</w:t>
            </w:r>
            <w:r w:rsidRPr="008A2411">
              <w:rPr>
                <w:rFonts w:ascii="Times New Roman" w:hAnsi="Times New Roman" w:hint="eastAsia"/>
                <w:color w:val="000000" w:themeColor="text1"/>
              </w:rPr>
              <w:t>）</w:t>
            </w:r>
          </w:p>
        </w:tc>
      </w:tr>
      <w:tr w:rsidR="008A2411" w:rsidRPr="008A2411" w14:paraId="5EB4A753" w14:textId="77777777">
        <w:trPr>
          <w:jc w:val="center"/>
        </w:trPr>
        <w:tc>
          <w:tcPr>
            <w:tcW w:w="1101" w:type="dxa"/>
            <w:vMerge/>
            <w:vAlign w:val="center"/>
          </w:tcPr>
          <w:p w14:paraId="226B2BCD" w14:textId="77777777" w:rsidR="00A7311D" w:rsidRPr="008A2411" w:rsidRDefault="00A7311D" w:rsidP="00A7311D">
            <w:pPr>
              <w:pStyle w:val="WJ4"/>
              <w:spacing w:line="240" w:lineRule="auto"/>
              <w:rPr>
                <w:rFonts w:ascii="Times New Roman" w:hAnsi="Times New Roman"/>
                <w:color w:val="000000" w:themeColor="text1"/>
              </w:rPr>
            </w:pPr>
          </w:p>
        </w:tc>
        <w:tc>
          <w:tcPr>
            <w:tcW w:w="2359" w:type="dxa"/>
            <w:gridSpan w:val="2"/>
            <w:vMerge/>
            <w:vAlign w:val="center"/>
          </w:tcPr>
          <w:p w14:paraId="047C2B65" w14:textId="77777777" w:rsidR="00A7311D" w:rsidRPr="008A2411" w:rsidRDefault="00A7311D" w:rsidP="00A7311D">
            <w:pPr>
              <w:pStyle w:val="WJ5"/>
              <w:spacing w:line="240" w:lineRule="auto"/>
              <w:rPr>
                <w:rFonts w:ascii="Times New Roman" w:hAnsi="Times New Roman"/>
                <w:color w:val="000000" w:themeColor="text1"/>
              </w:rPr>
            </w:pPr>
          </w:p>
        </w:tc>
        <w:tc>
          <w:tcPr>
            <w:tcW w:w="5295" w:type="dxa"/>
            <w:vAlign w:val="center"/>
          </w:tcPr>
          <w:p w14:paraId="2A9985F4" w14:textId="77777777" w:rsidR="00A7311D" w:rsidRPr="008A2411" w:rsidRDefault="00A7311D" w:rsidP="00A7311D">
            <w:pPr>
              <w:pStyle w:val="WJ5"/>
              <w:spacing w:line="240" w:lineRule="auto"/>
              <w:jc w:val="left"/>
              <w:rPr>
                <w:rFonts w:ascii="Times New Roman" w:hAnsi="Times New Roman"/>
                <w:color w:val="000000" w:themeColor="text1"/>
              </w:rPr>
            </w:pPr>
            <w:r w:rsidRPr="008A2411">
              <w:rPr>
                <w:rFonts w:ascii="Times New Roman" w:hAnsi="Times New Roman"/>
                <w:color w:val="000000" w:themeColor="text1"/>
              </w:rPr>
              <w:t>应急救援站</w:t>
            </w:r>
          </w:p>
        </w:tc>
      </w:tr>
      <w:tr w:rsidR="008A2411" w:rsidRPr="008A2411" w14:paraId="672D8CDB" w14:textId="77777777">
        <w:trPr>
          <w:jc w:val="center"/>
        </w:trPr>
        <w:tc>
          <w:tcPr>
            <w:tcW w:w="1101" w:type="dxa"/>
            <w:vMerge/>
            <w:vAlign w:val="center"/>
          </w:tcPr>
          <w:p w14:paraId="5383F225" w14:textId="77777777" w:rsidR="00A7311D" w:rsidRPr="008A2411" w:rsidRDefault="00A7311D" w:rsidP="00A7311D">
            <w:pPr>
              <w:pStyle w:val="WJ4"/>
              <w:spacing w:line="240" w:lineRule="auto"/>
              <w:rPr>
                <w:rFonts w:ascii="Times New Roman" w:hAnsi="Times New Roman"/>
                <w:color w:val="000000" w:themeColor="text1"/>
              </w:rPr>
            </w:pPr>
          </w:p>
        </w:tc>
        <w:tc>
          <w:tcPr>
            <w:tcW w:w="2359" w:type="dxa"/>
            <w:gridSpan w:val="2"/>
            <w:vMerge/>
            <w:vAlign w:val="center"/>
          </w:tcPr>
          <w:p w14:paraId="07ED4ADD" w14:textId="77777777" w:rsidR="00A7311D" w:rsidRPr="008A2411" w:rsidRDefault="00A7311D" w:rsidP="00A7311D">
            <w:pPr>
              <w:pStyle w:val="WJ5"/>
              <w:spacing w:line="240" w:lineRule="auto"/>
              <w:rPr>
                <w:rFonts w:ascii="Times New Roman" w:hAnsi="Times New Roman"/>
                <w:color w:val="000000" w:themeColor="text1"/>
              </w:rPr>
            </w:pPr>
          </w:p>
        </w:tc>
        <w:tc>
          <w:tcPr>
            <w:tcW w:w="5295" w:type="dxa"/>
            <w:vAlign w:val="center"/>
          </w:tcPr>
          <w:p w14:paraId="355DB676" w14:textId="77777777" w:rsidR="00A7311D" w:rsidRPr="008A2411" w:rsidRDefault="00A7311D" w:rsidP="00A7311D">
            <w:pPr>
              <w:pStyle w:val="WJ5"/>
              <w:spacing w:line="240" w:lineRule="auto"/>
              <w:jc w:val="left"/>
              <w:rPr>
                <w:rFonts w:ascii="Times New Roman" w:hAnsi="Times New Roman"/>
                <w:color w:val="000000" w:themeColor="text1"/>
              </w:rPr>
            </w:pPr>
            <w:r w:rsidRPr="008A2411">
              <w:rPr>
                <w:rFonts w:ascii="Times New Roman" w:hAnsi="Times New Roman"/>
                <w:color w:val="000000" w:themeColor="text1"/>
              </w:rPr>
              <w:t>应急报警系统，覆盖整个应急区域</w:t>
            </w:r>
          </w:p>
        </w:tc>
      </w:tr>
      <w:tr w:rsidR="008A2411" w:rsidRPr="008A2411" w14:paraId="7509FD29" w14:textId="77777777">
        <w:trPr>
          <w:jc w:val="center"/>
        </w:trPr>
        <w:tc>
          <w:tcPr>
            <w:tcW w:w="1101" w:type="dxa"/>
            <w:vMerge/>
            <w:vAlign w:val="center"/>
          </w:tcPr>
          <w:p w14:paraId="59818C0B" w14:textId="77777777" w:rsidR="00A7311D" w:rsidRPr="008A2411" w:rsidRDefault="00A7311D" w:rsidP="00A7311D">
            <w:pPr>
              <w:pStyle w:val="WJ4"/>
              <w:spacing w:line="240" w:lineRule="auto"/>
              <w:rPr>
                <w:rFonts w:ascii="Times New Roman" w:hAnsi="Times New Roman"/>
                <w:color w:val="000000" w:themeColor="text1"/>
              </w:rPr>
            </w:pPr>
          </w:p>
        </w:tc>
        <w:tc>
          <w:tcPr>
            <w:tcW w:w="2359" w:type="dxa"/>
            <w:gridSpan w:val="2"/>
            <w:vMerge/>
            <w:vAlign w:val="center"/>
          </w:tcPr>
          <w:p w14:paraId="59E65DB5" w14:textId="77777777" w:rsidR="00A7311D" w:rsidRPr="008A2411" w:rsidRDefault="00A7311D" w:rsidP="00A7311D">
            <w:pPr>
              <w:pStyle w:val="WJ5"/>
              <w:spacing w:line="240" w:lineRule="auto"/>
              <w:rPr>
                <w:rFonts w:ascii="Times New Roman" w:hAnsi="Times New Roman"/>
                <w:color w:val="000000" w:themeColor="text1"/>
              </w:rPr>
            </w:pPr>
          </w:p>
        </w:tc>
        <w:tc>
          <w:tcPr>
            <w:tcW w:w="5295" w:type="dxa"/>
            <w:vAlign w:val="center"/>
          </w:tcPr>
          <w:p w14:paraId="75A5CF2E" w14:textId="77777777" w:rsidR="00A7311D" w:rsidRPr="008A2411" w:rsidRDefault="00A7311D" w:rsidP="00A7311D">
            <w:pPr>
              <w:pStyle w:val="WJ5"/>
              <w:spacing w:line="240" w:lineRule="auto"/>
              <w:jc w:val="left"/>
              <w:rPr>
                <w:rFonts w:ascii="Times New Roman" w:hAnsi="Times New Roman"/>
                <w:color w:val="000000" w:themeColor="text1"/>
              </w:rPr>
            </w:pPr>
            <w:r w:rsidRPr="008A2411">
              <w:rPr>
                <w:rFonts w:ascii="Times New Roman" w:hAnsi="Times New Roman" w:hint="eastAsia"/>
                <w:color w:val="000000" w:themeColor="text1"/>
              </w:rPr>
              <w:t>工艺装置区围堰</w:t>
            </w:r>
            <w:r w:rsidRPr="008A2411">
              <w:rPr>
                <w:rFonts w:ascii="Times New Roman" w:hAnsi="Times New Roman" w:hint="eastAsia"/>
                <w:color w:val="000000" w:themeColor="text1"/>
              </w:rPr>
              <w:t>+</w:t>
            </w:r>
            <w:r w:rsidRPr="008A2411">
              <w:rPr>
                <w:rFonts w:ascii="Times New Roman" w:hAnsi="Times New Roman" w:hint="eastAsia"/>
                <w:color w:val="000000" w:themeColor="text1"/>
              </w:rPr>
              <w:t>厂区排放口的截断装置</w:t>
            </w:r>
          </w:p>
        </w:tc>
      </w:tr>
      <w:tr w:rsidR="008A2411" w:rsidRPr="008A2411" w14:paraId="6642A20D" w14:textId="77777777">
        <w:trPr>
          <w:jc w:val="center"/>
        </w:trPr>
        <w:tc>
          <w:tcPr>
            <w:tcW w:w="1101" w:type="dxa"/>
            <w:vMerge w:val="restart"/>
            <w:vAlign w:val="center"/>
          </w:tcPr>
          <w:p w14:paraId="1B420C00" w14:textId="77777777" w:rsidR="00415F51" w:rsidRPr="008A2411" w:rsidRDefault="00415F51" w:rsidP="00A7311D">
            <w:pPr>
              <w:pStyle w:val="WJ4"/>
              <w:spacing w:line="240" w:lineRule="auto"/>
              <w:rPr>
                <w:rFonts w:ascii="Times New Roman" w:hAnsi="Times New Roman"/>
                <w:color w:val="000000" w:themeColor="text1"/>
              </w:rPr>
            </w:pPr>
            <w:r w:rsidRPr="008A2411">
              <w:rPr>
                <w:rFonts w:ascii="Times New Roman" w:hAnsi="Times New Roman"/>
                <w:color w:val="000000" w:themeColor="text1"/>
              </w:rPr>
              <w:lastRenderedPageBreak/>
              <w:t>验收监测要求</w:t>
            </w:r>
          </w:p>
        </w:tc>
        <w:tc>
          <w:tcPr>
            <w:tcW w:w="2359" w:type="dxa"/>
            <w:gridSpan w:val="2"/>
            <w:vAlign w:val="center"/>
          </w:tcPr>
          <w:p w14:paraId="4FD32A73" w14:textId="64468568" w:rsidR="00415F51" w:rsidRPr="008A2411" w:rsidRDefault="00415F51" w:rsidP="00A7311D">
            <w:pPr>
              <w:pStyle w:val="WJ5"/>
              <w:spacing w:line="240" w:lineRule="auto"/>
              <w:rPr>
                <w:rFonts w:ascii="Times New Roman" w:hAnsi="Times New Roman"/>
                <w:color w:val="000000" w:themeColor="text1"/>
              </w:rPr>
            </w:pPr>
            <w:r w:rsidRPr="008A2411">
              <w:rPr>
                <w:rFonts w:ascii="Times New Roman" w:hAnsi="Times New Roman"/>
                <w:color w:val="000000" w:themeColor="text1"/>
              </w:rPr>
              <w:t>大气</w:t>
            </w:r>
          </w:p>
        </w:tc>
        <w:tc>
          <w:tcPr>
            <w:tcW w:w="5295" w:type="dxa"/>
            <w:vAlign w:val="center"/>
          </w:tcPr>
          <w:p w14:paraId="73105E6F" w14:textId="47050A99" w:rsidR="00415F51" w:rsidRPr="008A2411" w:rsidRDefault="00415F51" w:rsidP="00A7311D">
            <w:pPr>
              <w:pStyle w:val="WJ5"/>
              <w:spacing w:line="240" w:lineRule="auto"/>
              <w:jc w:val="left"/>
              <w:rPr>
                <w:rFonts w:ascii="Times New Roman" w:hAnsi="Times New Roman"/>
                <w:color w:val="000000" w:themeColor="text1"/>
              </w:rPr>
            </w:pPr>
            <w:r w:rsidRPr="008A2411">
              <w:rPr>
                <w:rFonts w:ascii="Times New Roman" w:hint="eastAsia"/>
                <w:color w:val="000000" w:themeColor="text1"/>
              </w:rPr>
              <w:t>厂区</w:t>
            </w:r>
            <w:r w:rsidRPr="008A2411">
              <w:rPr>
                <w:rFonts w:ascii="Times New Roman"/>
                <w:color w:val="000000" w:themeColor="text1"/>
              </w:rPr>
              <w:t>无组织</w:t>
            </w:r>
            <w:r w:rsidRPr="008A2411">
              <w:rPr>
                <w:rFonts w:ascii="Times New Roman"/>
                <w:color w:val="000000" w:themeColor="text1"/>
              </w:rPr>
              <w:t>H</w:t>
            </w:r>
            <w:r w:rsidRPr="008A2411">
              <w:rPr>
                <w:rFonts w:ascii="Times New Roman"/>
                <w:color w:val="000000" w:themeColor="text1"/>
                <w:vertAlign w:val="subscript"/>
              </w:rPr>
              <w:t>2</w:t>
            </w:r>
            <w:r w:rsidRPr="008A2411">
              <w:rPr>
                <w:rFonts w:ascii="Times New Roman"/>
                <w:color w:val="000000" w:themeColor="text1"/>
              </w:rPr>
              <w:t>S</w:t>
            </w:r>
            <w:r w:rsidRPr="008A2411">
              <w:rPr>
                <w:rFonts w:ascii="Times New Roman"/>
                <w:color w:val="000000" w:themeColor="text1"/>
              </w:rPr>
              <w:t>、臭气浓度场界浓度限值执行《恶臭污染物排放标准》（</w:t>
            </w:r>
            <w:r w:rsidRPr="008A2411">
              <w:rPr>
                <w:rFonts w:ascii="Times New Roman"/>
                <w:color w:val="000000" w:themeColor="text1"/>
              </w:rPr>
              <w:t>GB14554-93</w:t>
            </w:r>
            <w:r w:rsidRPr="008A2411">
              <w:rPr>
                <w:rFonts w:ascii="Times New Roman"/>
                <w:color w:val="000000" w:themeColor="text1"/>
              </w:rPr>
              <w:t>）表</w:t>
            </w:r>
            <w:r w:rsidRPr="008A2411">
              <w:rPr>
                <w:rFonts w:ascii="Times New Roman"/>
                <w:color w:val="000000" w:themeColor="text1"/>
              </w:rPr>
              <w:t>1</w:t>
            </w:r>
            <w:r w:rsidRPr="008A2411">
              <w:rPr>
                <w:rFonts w:ascii="Times New Roman"/>
                <w:color w:val="000000" w:themeColor="text1"/>
              </w:rPr>
              <w:t>中二级新改扩建排放限值；</w:t>
            </w:r>
            <w:proofErr w:type="gramStart"/>
            <w:r w:rsidRPr="008A2411">
              <w:rPr>
                <w:rFonts w:ascii="Times New Roman" w:hint="eastAsia"/>
                <w:color w:val="000000" w:themeColor="text1"/>
              </w:rPr>
              <w:t>脱硫塔排气筒</w:t>
            </w:r>
            <w:proofErr w:type="gramEnd"/>
            <w:r w:rsidRPr="008A2411">
              <w:rPr>
                <w:rFonts w:ascii="Times New Roman"/>
                <w:color w:val="000000" w:themeColor="text1"/>
              </w:rPr>
              <w:t>有组织</w:t>
            </w:r>
            <w:r w:rsidRPr="008A2411">
              <w:rPr>
                <w:rFonts w:ascii="Times New Roman"/>
                <w:color w:val="000000" w:themeColor="text1"/>
              </w:rPr>
              <w:t>H</w:t>
            </w:r>
            <w:r w:rsidRPr="008A2411">
              <w:rPr>
                <w:rFonts w:ascii="Times New Roman"/>
                <w:color w:val="000000" w:themeColor="text1"/>
                <w:vertAlign w:val="subscript"/>
              </w:rPr>
              <w:t>2</w:t>
            </w:r>
            <w:r w:rsidRPr="008A2411">
              <w:rPr>
                <w:rFonts w:ascii="Times New Roman"/>
                <w:color w:val="000000" w:themeColor="text1"/>
              </w:rPr>
              <w:t>S</w:t>
            </w:r>
            <w:r w:rsidRPr="008A2411">
              <w:rPr>
                <w:rFonts w:ascii="Times New Roman"/>
                <w:color w:val="000000" w:themeColor="text1"/>
              </w:rPr>
              <w:t>、臭气浓度排放浓度执行《恶臭污染物排放标准》（</w:t>
            </w:r>
            <w:r w:rsidRPr="008A2411">
              <w:rPr>
                <w:rFonts w:ascii="Times New Roman"/>
                <w:color w:val="000000" w:themeColor="text1"/>
              </w:rPr>
              <w:t>GB14554-93</w:t>
            </w:r>
            <w:r w:rsidRPr="008A2411">
              <w:rPr>
                <w:rFonts w:ascii="Times New Roman"/>
                <w:color w:val="000000" w:themeColor="text1"/>
              </w:rPr>
              <w:t>）表</w:t>
            </w:r>
            <w:r w:rsidRPr="008A2411">
              <w:rPr>
                <w:rFonts w:ascii="Times New Roman"/>
                <w:color w:val="000000" w:themeColor="text1"/>
              </w:rPr>
              <w:t>2</w:t>
            </w:r>
            <w:r w:rsidRPr="008A2411">
              <w:rPr>
                <w:rFonts w:ascii="Times New Roman"/>
                <w:color w:val="000000" w:themeColor="text1"/>
              </w:rPr>
              <w:t>中排放标准值；</w:t>
            </w:r>
            <w:proofErr w:type="gramStart"/>
            <w:r w:rsidRPr="008A2411">
              <w:rPr>
                <w:rFonts w:ascii="Times New Roman" w:hint="eastAsia"/>
                <w:color w:val="000000" w:themeColor="text1"/>
              </w:rPr>
              <w:t>脱硫塔排气筒</w:t>
            </w:r>
            <w:proofErr w:type="gramEnd"/>
            <w:r w:rsidRPr="008A2411">
              <w:rPr>
                <w:rFonts w:ascii="Times New Roman"/>
                <w:color w:val="000000" w:themeColor="text1"/>
              </w:rPr>
              <w:t>有组织</w:t>
            </w:r>
            <w:r w:rsidRPr="008A2411">
              <w:rPr>
                <w:rFonts w:ascii="Times New Roman"/>
                <w:color w:val="000000" w:themeColor="text1"/>
              </w:rPr>
              <w:t>NMHC</w:t>
            </w:r>
            <w:r w:rsidRPr="008A2411">
              <w:rPr>
                <w:rFonts w:ascii="Times New Roman"/>
                <w:color w:val="000000" w:themeColor="text1"/>
                <w:szCs w:val="24"/>
              </w:rPr>
              <w:t>排放</w:t>
            </w:r>
            <w:r w:rsidRPr="008A2411">
              <w:rPr>
                <w:rFonts w:ascii="Times New Roman"/>
                <w:color w:val="000000" w:themeColor="text1"/>
              </w:rPr>
              <w:t>及</w:t>
            </w:r>
            <w:r w:rsidRPr="008A2411">
              <w:rPr>
                <w:rFonts w:ascii="Times New Roman" w:hint="eastAsia"/>
                <w:color w:val="000000" w:themeColor="text1"/>
              </w:rPr>
              <w:t>厂区</w:t>
            </w:r>
            <w:r w:rsidRPr="008A2411">
              <w:rPr>
                <w:rFonts w:ascii="Times New Roman"/>
                <w:color w:val="000000" w:themeColor="text1"/>
              </w:rPr>
              <w:t>无组织</w:t>
            </w:r>
            <w:r w:rsidRPr="008A2411">
              <w:rPr>
                <w:rFonts w:ascii="Times New Roman"/>
                <w:color w:val="000000" w:themeColor="text1"/>
              </w:rPr>
              <w:t>NMHC</w:t>
            </w:r>
            <w:r w:rsidRPr="008A2411">
              <w:rPr>
                <w:rFonts w:ascii="Times New Roman"/>
                <w:color w:val="000000" w:themeColor="text1"/>
                <w:szCs w:val="24"/>
              </w:rPr>
              <w:t>排放执行《陆上石油天然气开采工业大气污染物排放标准》（</w:t>
            </w:r>
            <w:r w:rsidRPr="008A2411">
              <w:rPr>
                <w:rFonts w:ascii="Times New Roman"/>
                <w:color w:val="000000" w:themeColor="text1"/>
                <w:szCs w:val="24"/>
              </w:rPr>
              <w:t>GB 39728-2020</w:t>
            </w:r>
            <w:r w:rsidRPr="008A2411">
              <w:rPr>
                <w:rFonts w:ascii="Times New Roman"/>
                <w:color w:val="000000" w:themeColor="text1"/>
                <w:szCs w:val="24"/>
              </w:rPr>
              <w:t>）排放限值</w:t>
            </w:r>
            <w:r w:rsidRPr="008A2411">
              <w:rPr>
                <w:rFonts w:ascii="Times New Roman" w:hAnsi="Times New Roman"/>
                <w:color w:val="000000" w:themeColor="text1"/>
              </w:rPr>
              <w:t>，导热油炉燃烧烟气排放满足《锅炉大气污染物排放标准》（</w:t>
            </w:r>
            <w:r w:rsidRPr="008A2411">
              <w:rPr>
                <w:rFonts w:ascii="Times New Roman" w:hAnsi="Times New Roman"/>
                <w:color w:val="000000" w:themeColor="text1"/>
              </w:rPr>
              <w:t>GB13271-2014</w:t>
            </w:r>
            <w:r w:rsidRPr="008A2411">
              <w:rPr>
                <w:rFonts w:ascii="Times New Roman" w:hAnsi="Times New Roman"/>
                <w:color w:val="000000" w:themeColor="text1"/>
              </w:rPr>
              <w:t>）中的特殊排放限值</w:t>
            </w:r>
            <w:r w:rsidRPr="008A2411">
              <w:rPr>
                <w:rFonts w:ascii="Times New Roman" w:hAnsi="Times New Roman" w:hint="eastAsia"/>
                <w:color w:val="000000" w:themeColor="text1"/>
              </w:rPr>
              <w:t>；</w:t>
            </w:r>
            <w:r w:rsidRPr="008A2411">
              <w:rPr>
                <w:rFonts w:ascii="Times New Roman"/>
                <w:color w:val="000000" w:themeColor="text1"/>
              </w:rPr>
              <w:t>火炬长明火烟气执行《大气污染物综合排放标准》（</w:t>
            </w:r>
            <w:r w:rsidRPr="008A2411">
              <w:rPr>
                <w:rFonts w:ascii="Times New Roman"/>
                <w:color w:val="000000" w:themeColor="text1"/>
              </w:rPr>
              <w:t>GB16297-1996</w:t>
            </w:r>
            <w:r w:rsidRPr="008A2411">
              <w:rPr>
                <w:rFonts w:ascii="Times New Roman"/>
                <w:color w:val="000000" w:themeColor="text1"/>
              </w:rPr>
              <w:t>）表</w:t>
            </w:r>
            <w:r w:rsidRPr="008A2411">
              <w:rPr>
                <w:rFonts w:ascii="Times New Roman"/>
                <w:color w:val="000000" w:themeColor="text1"/>
              </w:rPr>
              <w:t>2</w:t>
            </w:r>
            <w:r w:rsidRPr="008A2411">
              <w:rPr>
                <w:rFonts w:ascii="Times New Roman"/>
                <w:color w:val="000000" w:themeColor="text1"/>
              </w:rPr>
              <w:t>中排放限值要求</w:t>
            </w:r>
            <w:r w:rsidRPr="008A2411">
              <w:rPr>
                <w:rFonts w:ascii="Times New Roman" w:hint="eastAsia"/>
                <w:color w:val="000000" w:themeColor="text1"/>
              </w:rPr>
              <w:t>。</w:t>
            </w:r>
          </w:p>
        </w:tc>
      </w:tr>
      <w:tr w:rsidR="008A2411" w:rsidRPr="008A2411" w14:paraId="641CFF2F" w14:textId="77777777">
        <w:trPr>
          <w:jc w:val="center"/>
        </w:trPr>
        <w:tc>
          <w:tcPr>
            <w:tcW w:w="1101" w:type="dxa"/>
            <w:vMerge/>
            <w:vAlign w:val="center"/>
          </w:tcPr>
          <w:p w14:paraId="44F6C76F" w14:textId="77777777" w:rsidR="00415F51" w:rsidRPr="008A2411" w:rsidRDefault="00415F51" w:rsidP="00A7311D">
            <w:pPr>
              <w:pStyle w:val="WJ4"/>
              <w:spacing w:line="240" w:lineRule="auto"/>
              <w:rPr>
                <w:rFonts w:ascii="Times New Roman" w:hAnsi="Times New Roman"/>
                <w:color w:val="000000" w:themeColor="text1"/>
              </w:rPr>
            </w:pPr>
          </w:p>
        </w:tc>
        <w:tc>
          <w:tcPr>
            <w:tcW w:w="2359" w:type="dxa"/>
            <w:gridSpan w:val="2"/>
            <w:vAlign w:val="center"/>
          </w:tcPr>
          <w:p w14:paraId="4A4DB93A" w14:textId="3D17BDDC" w:rsidR="00415F51" w:rsidRPr="008A2411" w:rsidRDefault="00415F51" w:rsidP="00A7311D">
            <w:pPr>
              <w:pStyle w:val="WJ5"/>
              <w:spacing w:line="240" w:lineRule="auto"/>
              <w:rPr>
                <w:rFonts w:ascii="Times New Roman" w:hAnsi="Times New Roman"/>
                <w:color w:val="000000" w:themeColor="text1"/>
              </w:rPr>
            </w:pPr>
            <w:r w:rsidRPr="008A2411">
              <w:rPr>
                <w:rFonts w:ascii="Times New Roman" w:hAnsi="Times New Roman" w:hint="eastAsia"/>
                <w:color w:val="000000" w:themeColor="text1"/>
              </w:rPr>
              <w:t>噪声</w:t>
            </w:r>
          </w:p>
        </w:tc>
        <w:tc>
          <w:tcPr>
            <w:tcW w:w="5295" w:type="dxa"/>
            <w:vAlign w:val="center"/>
          </w:tcPr>
          <w:p w14:paraId="22C7BFFD" w14:textId="75695857" w:rsidR="00415F51" w:rsidRPr="008A2411" w:rsidRDefault="00415F51" w:rsidP="00A7311D">
            <w:pPr>
              <w:pStyle w:val="WJ5"/>
              <w:spacing w:line="240" w:lineRule="auto"/>
              <w:jc w:val="left"/>
              <w:rPr>
                <w:rFonts w:ascii="Times New Roman" w:hAnsi="Times New Roman"/>
                <w:color w:val="000000" w:themeColor="text1"/>
              </w:rPr>
            </w:pPr>
            <w:r w:rsidRPr="008A2411">
              <w:rPr>
                <w:rFonts w:ascii="Times New Roman" w:hAnsi="Times New Roman"/>
                <w:color w:val="000000" w:themeColor="text1"/>
              </w:rPr>
              <w:t>厂界噪声满足《工业企业厂界环境噪声排放标准》（</w:t>
            </w:r>
            <w:r w:rsidRPr="008A2411">
              <w:rPr>
                <w:rFonts w:ascii="Times New Roman" w:hAnsi="Times New Roman"/>
                <w:color w:val="000000" w:themeColor="text1"/>
              </w:rPr>
              <w:t>GB 12348-2008</w:t>
            </w:r>
            <w:r w:rsidRPr="008A2411">
              <w:rPr>
                <w:rFonts w:ascii="Times New Roman" w:hAnsi="Times New Roman"/>
                <w:color w:val="000000" w:themeColor="text1"/>
              </w:rPr>
              <w:t>）中的</w:t>
            </w:r>
            <w:r w:rsidRPr="008A2411">
              <w:rPr>
                <w:rFonts w:ascii="Times New Roman" w:hAnsi="Times New Roman"/>
                <w:color w:val="000000" w:themeColor="text1"/>
              </w:rPr>
              <w:t>3</w:t>
            </w:r>
            <w:r w:rsidRPr="008A2411">
              <w:rPr>
                <w:rFonts w:ascii="Times New Roman" w:hAnsi="Times New Roman"/>
                <w:color w:val="000000" w:themeColor="text1"/>
              </w:rPr>
              <w:t>类标准；</w:t>
            </w:r>
          </w:p>
        </w:tc>
      </w:tr>
      <w:tr w:rsidR="008A2411" w:rsidRPr="008A2411" w14:paraId="0C9C88DE" w14:textId="77777777">
        <w:trPr>
          <w:jc w:val="center"/>
        </w:trPr>
        <w:tc>
          <w:tcPr>
            <w:tcW w:w="1101" w:type="dxa"/>
            <w:vMerge/>
            <w:vAlign w:val="center"/>
          </w:tcPr>
          <w:p w14:paraId="1262CF1D" w14:textId="77777777" w:rsidR="00415F51" w:rsidRPr="008A2411" w:rsidRDefault="00415F51" w:rsidP="00A7311D">
            <w:pPr>
              <w:pStyle w:val="WJ4"/>
              <w:spacing w:line="240" w:lineRule="auto"/>
              <w:rPr>
                <w:rFonts w:ascii="Times New Roman" w:hAnsi="Times New Roman"/>
                <w:color w:val="000000" w:themeColor="text1"/>
              </w:rPr>
            </w:pPr>
          </w:p>
        </w:tc>
        <w:tc>
          <w:tcPr>
            <w:tcW w:w="2359" w:type="dxa"/>
            <w:gridSpan w:val="2"/>
            <w:vAlign w:val="center"/>
          </w:tcPr>
          <w:p w14:paraId="73B0569C" w14:textId="52DB852D" w:rsidR="00415F51" w:rsidRPr="008A2411" w:rsidRDefault="00415F51" w:rsidP="00A7311D">
            <w:pPr>
              <w:pStyle w:val="WJ5"/>
              <w:spacing w:line="240" w:lineRule="auto"/>
              <w:rPr>
                <w:rFonts w:ascii="Times New Roman" w:hAnsi="Times New Roman"/>
                <w:color w:val="000000" w:themeColor="text1"/>
              </w:rPr>
            </w:pPr>
            <w:r w:rsidRPr="008A2411">
              <w:rPr>
                <w:rFonts w:ascii="Times New Roman" w:hAnsi="Times New Roman"/>
                <w:color w:val="000000" w:themeColor="text1"/>
              </w:rPr>
              <w:t>地下水</w:t>
            </w:r>
          </w:p>
        </w:tc>
        <w:tc>
          <w:tcPr>
            <w:tcW w:w="5295" w:type="dxa"/>
            <w:vAlign w:val="center"/>
          </w:tcPr>
          <w:p w14:paraId="4EF79F06" w14:textId="03C42388" w:rsidR="00415F51" w:rsidRPr="008A2411" w:rsidRDefault="00415F51" w:rsidP="00A7311D">
            <w:pPr>
              <w:pStyle w:val="WJ5"/>
              <w:spacing w:line="240" w:lineRule="auto"/>
              <w:jc w:val="left"/>
              <w:rPr>
                <w:rFonts w:ascii="Times New Roman" w:hAnsi="Times New Roman"/>
                <w:color w:val="000000" w:themeColor="text1"/>
              </w:rPr>
            </w:pPr>
            <w:r w:rsidRPr="008A2411">
              <w:rPr>
                <w:rFonts w:ascii="Times New Roman" w:hAnsi="Times New Roman"/>
                <w:color w:val="000000" w:themeColor="text1"/>
              </w:rPr>
              <w:t>地下水满足《地下水质量标准》（</w:t>
            </w:r>
            <w:r w:rsidRPr="008A2411">
              <w:rPr>
                <w:rFonts w:ascii="Times New Roman" w:hAnsi="Times New Roman"/>
                <w:color w:val="000000" w:themeColor="text1"/>
              </w:rPr>
              <w:t>GB/T14848-2017</w:t>
            </w:r>
            <w:r w:rsidRPr="008A2411">
              <w:rPr>
                <w:rFonts w:ascii="Times New Roman" w:hAnsi="Times New Roman"/>
                <w:color w:val="000000" w:themeColor="text1"/>
              </w:rPr>
              <w:t>）中</w:t>
            </w:r>
            <w:r w:rsidRPr="008A2411">
              <w:rPr>
                <w:rFonts w:ascii="Times New Roman" w:hAnsi="Times New Roman"/>
                <w:color w:val="000000" w:themeColor="text1"/>
              </w:rPr>
              <w:t>Ⅲ</w:t>
            </w:r>
            <w:r w:rsidRPr="008A2411">
              <w:rPr>
                <w:rFonts w:ascii="Times New Roman" w:hAnsi="Times New Roman"/>
                <w:color w:val="000000" w:themeColor="text1"/>
              </w:rPr>
              <w:t>类标准等。</w:t>
            </w:r>
          </w:p>
        </w:tc>
      </w:tr>
    </w:tbl>
    <w:p w14:paraId="50FA5274" w14:textId="77777777" w:rsidR="00B0005F" w:rsidRPr="008A2411" w:rsidRDefault="00B0005F">
      <w:pPr>
        <w:autoSpaceDE w:val="0"/>
        <w:autoSpaceDN w:val="0"/>
        <w:adjustRightInd w:val="0"/>
        <w:spacing w:line="360" w:lineRule="auto"/>
        <w:ind w:firstLineChars="200" w:firstLine="482"/>
        <w:jc w:val="center"/>
        <w:rPr>
          <w:rFonts w:ascii="Times New Roman"/>
          <w:b/>
          <w:color w:val="000000" w:themeColor="text1"/>
          <w:szCs w:val="24"/>
        </w:rPr>
        <w:sectPr w:rsidR="00B0005F" w:rsidRPr="008A2411">
          <w:headerReference w:type="default" r:id="rId105"/>
          <w:footerReference w:type="default" r:id="rId106"/>
          <w:pgSz w:w="11906" w:h="16838"/>
          <w:pgMar w:top="1440" w:right="1797" w:bottom="1440" w:left="1797" w:header="851" w:footer="851" w:gutter="0"/>
          <w:pgNumType w:chapStyle="1"/>
          <w:cols w:space="720"/>
          <w:docGrid w:linePitch="312"/>
        </w:sectPr>
      </w:pPr>
    </w:p>
    <w:p w14:paraId="2E3A1DBC" w14:textId="77777777" w:rsidR="00B0005F" w:rsidRPr="008A2411" w:rsidRDefault="00000000">
      <w:pPr>
        <w:pStyle w:val="11"/>
        <w:numPr>
          <w:ilvl w:val="0"/>
          <w:numId w:val="0"/>
        </w:numPr>
        <w:snapToGrid w:val="0"/>
        <w:spacing w:before="0" w:afterLines="0" w:after="0" w:line="360" w:lineRule="auto"/>
        <w:jc w:val="center"/>
        <w:rPr>
          <w:rFonts w:ascii="Times New Roman" w:eastAsia="宋体"/>
          <w:color w:val="000000" w:themeColor="text1"/>
        </w:rPr>
      </w:pPr>
      <w:bookmarkStart w:id="808" w:name="_Toc469780925"/>
      <w:bookmarkStart w:id="809" w:name="_Toc30196"/>
      <w:bookmarkStart w:id="810" w:name="_Toc19108271"/>
      <w:bookmarkStart w:id="811" w:name="_Toc487639828"/>
      <w:bookmarkStart w:id="812" w:name="_Toc487639941"/>
      <w:bookmarkStart w:id="813" w:name="_Toc109170808"/>
      <w:bookmarkStart w:id="814" w:name="_Toc405904614"/>
      <w:bookmarkStart w:id="815" w:name="_Toc451355445"/>
      <w:bookmarkStart w:id="816" w:name="_Toc422906969"/>
      <w:bookmarkStart w:id="817" w:name="_Toc405905430"/>
      <w:bookmarkStart w:id="818" w:name="_Toc405904958"/>
      <w:bookmarkEnd w:id="808"/>
      <w:r w:rsidRPr="008A2411">
        <w:rPr>
          <w:rFonts w:ascii="Times New Roman" w:eastAsia="宋体"/>
          <w:color w:val="000000" w:themeColor="text1"/>
        </w:rPr>
        <w:lastRenderedPageBreak/>
        <w:t>第十章</w:t>
      </w:r>
      <w:r w:rsidRPr="008A2411">
        <w:rPr>
          <w:rFonts w:ascii="Times New Roman" w:eastAsia="宋体"/>
          <w:color w:val="000000" w:themeColor="text1"/>
        </w:rPr>
        <w:t xml:space="preserve"> </w:t>
      </w:r>
      <w:r w:rsidRPr="008A2411">
        <w:rPr>
          <w:rFonts w:ascii="Times New Roman" w:eastAsia="宋体"/>
          <w:color w:val="000000" w:themeColor="text1"/>
        </w:rPr>
        <w:t>结论与建议</w:t>
      </w:r>
      <w:bookmarkEnd w:id="809"/>
      <w:bookmarkEnd w:id="810"/>
      <w:bookmarkEnd w:id="811"/>
      <w:bookmarkEnd w:id="812"/>
      <w:bookmarkEnd w:id="813"/>
    </w:p>
    <w:p w14:paraId="069376DD" w14:textId="77777777" w:rsidR="00B0005F" w:rsidRPr="008A2411" w:rsidRDefault="00B0005F">
      <w:pPr>
        <w:pStyle w:val="afffffffffffffffffff4"/>
        <w:numPr>
          <w:ilvl w:val="0"/>
          <w:numId w:val="18"/>
        </w:numPr>
        <w:adjustRightInd w:val="0"/>
        <w:snapToGrid w:val="0"/>
        <w:spacing w:line="360" w:lineRule="auto"/>
        <w:contextualSpacing w:val="0"/>
        <w:jc w:val="both"/>
        <w:outlineLvl w:val="1"/>
        <w:rPr>
          <w:rFonts w:ascii="Times New Roman" w:eastAsia="黑体" w:hAnsi="Times New Roman"/>
          <w:bCs/>
          <w:vanish/>
          <w:color w:val="000000" w:themeColor="text1"/>
          <w:sz w:val="28"/>
          <w:szCs w:val="28"/>
          <w:lang w:eastAsia="zh-CN"/>
        </w:rPr>
      </w:pPr>
      <w:bookmarkStart w:id="819" w:name="_Toc108365979"/>
      <w:bookmarkStart w:id="820" w:name="_Toc109170720"/>
      <w:bookmarkStart w:id="821" w:name="_Toc109170809"/>
      <w:bookmarkEnd w:id="819"/>
      <w:bookmarkEnd w:id="820"/>
      <w:bookmarkEnd w:id="821"/>
    </w:p>
    <w:p w14:paraId="6243AD49" w14:textId="77777777" w:rsidR="00B0005F" w:rsidRPr="008A2411" w:rsidRDefault="00000000">
      <w:pPr>
        <w:pStyle w:val="WJ2"/>
        <w:spacing w:line="360" w:lineRule="auto"/>
        <w:rPr>
          <w:rFonts w:ascii="Times New Roman" w:hAnsi="Times New Roman"/>
          <w:color w:val="000000" w:themeColor="text1"/>
        </w:rPr>
      </w:pPr>
      <w:bookmarkStart w:id="822" w:name="_Toc109170810"/>
      <w:r w:rsidRPr="008A2411">
        <w:rPr>
          <w:rFonts w:ascii="Times New Roman" w:hAnsi="Times New Roman"/>
          <w:color w:val="000000" w:themeColor="text1"/>
        </w:rPr>
        <w:t>10.1</w:t>
      </w:r>
      <w:r w:rsidRPr="008A2411">
        <w:rPr>
          <w:rFonts w:ascii="Times New Roman" w:hAnsi="Times New Roman"/>
          <w:color w:val="000000" w:themeColor="text1"/>
        </w:rPr>
        <w:t>工程概况</w:t>
      </w:r>
      <w:bookmarkEnd w:id="814"/>
      <w:bookmarkEnd w:id="815"/>
      <w:bookmarkEnd w:id="816"/>
      <w:bookmarkEnd w:id="817"/>
      <w:bookmarkEnd w:id="818"/>
      <w:bookmarkEnd w:id="822"/>
    </w:p>
    <w:p w14:paraId="595BC1C7" w14:textId="77777777" w:rsidR="00B0005F" w:rsidRPr="008A2411" w:rsidRDefault="00000000">
      <w:pPr>
        <w:pStyle w:val="WJ"/>
        <w:adjustRightInd w:val="0"/>
        <w:snapToGrid w:val="0"/>
        <w:spacing w:line="360" w:lineRule="auto"/>
        <w:rPr>
          <w:rFonts w:ascii="Times New Roman" w:hAnsi="Times New Roman"/>
          <w:color w:val="000000" w:themeColor="text1"/>
        </w:rPr>
      </w:pPr>
      <w:bookmarkStart w:id="823" w:name="_Toc405905431"/>
      <w:bookmarkStart w:id="824" w:name="_Toc405904615"/>
      <w:bookmarkStart w:id="825" w:name="_Toc406746947"/>
      <w:bookmarkStart w:id="826" w:name="_Toc405904959"/>
      <w:r w:rsidRPr="008A2411">
        <w:rPr>
          <w:rFonts w:ascii="Times New Roman" w:hAnsi="Times New Roman"/>
          <w:color w:val="000000" w:themeColor="text1"/>
        </w:rPr>
        <w:t>新征用地约</w:t>
      </w:r>
      <w:r w:rsidRPr="008A2411">
        <w:rPr>
          <w:rFonts w:ascii="Times New Roman" w:hAnsi="Times New Roman"/>
          <w:color w:val="000000" w:themeColor="text1"/>
        </w:rPr>
        <w:t>132.02</w:t>
      </w:r>
      <w:r w:rsidRPr="008A2411">
        <w:rPr>
          <w:rFonts w:ascii="Times New Roman" w:hAnsi="Times New Roman"/>
          <w:color w:val="000000" w:themeColor="text1"/>
        </w:rPr>
        <w:t>亩，新建</w:t>
      </w:r>
      <w:r w:rsidRPr="008A2411">
        <w:rPr>
          <w:rFonts w:ascii="Times New Roman" w:hAnsi="Times New Roman"/>
          <w:color w:val="000000" w:themeColor="text1"/>
        </w:rPr>
        <w:t>100</w:t>
      </w:r>
      <w:r w:rsidRPr="008A2411">
        <w:rPr>
          <w:rFonts w:ascii="Times New Roman" w:hAnsi="Times New Roman"/>
          <w:color w:val="000000" w:themeColor="text1"/>
        </w:rPr>
        <w:t>万方</w:t>
      </w:r>
      <w:r w:rsidRPr="008A2411">
        <w:rPr>
          <w:rFonts w:ascii="Times New Roman" w:hAnsi="Times New Roman"/>
          <w:color w:val="000000" w:themeColor="text1"/>
        </w:rPr>
        <w:t>/</w:t>
      </w:r>
      <w:r w:rsidRPr="008A2411">
        <w:rPr>
          <w:rFonts w:ascii="Times New Roman" w:hAnsi="Times New Roman"/>
          <w:color w:val="000000" w:themeColor="text1"/>
        </w:rPr>
        <w:t>天的天然气液化装置一套；一台</w:t>
      </w:r>
      <w:r w:rsidRPr="008A2411">
        <w:rPr>
          <w:rFonts w:ascii="Times New Roman" w:hAnsi="Times New Roman"/>
          <w:color w:val="000000" w:themeColor="text1"/>
        </w:rPr>
        <w:t>20000</w:t>
      </w:r>
      <w:r w:rsidRPr="008A2411">
        <w:rPr>
          <w:rFonts w:ascii="Times New Roman" w:hAnsi="Times New Roman"/>
          <w:color w:val="000000" w:themeColor="text1"/>
        </w:rPr>
        <w:t>立方液化天然气</w:t>
      </w:r>
      <w:proofErr w:type="gramStart"/>
      <w:r w:rsidRPr="008A2411">
        <w:rPr>
          <w:rFonts w:ascii="Times New Roman" w:hAnsi="Times New Roman"/>
          <w:color w:val="000000" w:themeColor="text1"/>
        </w:rPr>
        <w:t>全容罐</w:t>
      </w:r>
      <w:proofErr w:type="gramEnd"/>
      <w:r w:rsidRPr="008A2411">
        <w:rPr>
          <w:rFonts w:ascii="Times New Roman" w:hAnsi="Times New Roman"/>
          <w:color w:val="000000" w:themeColor="text1"/>
        </w:rPr>
        <w:t>；配套的公辅装置（</w:t>
      </w:r>
      <w:r w:rsidRPr="008A2411">
        <w:rPr>
          <w:rFonts w:ascii="Times New Roman" w:hAnsi="Times New Roman"/>
          <w:color w:val="000000" w:themeColor="text1"/>
        </w:rPr>
        <w:t xml:space="preserve">LNG </w:t>
      </w:r>
      <w:r w:rsidRPr="008A2411">
        <w:rPr>
          <w:rFonts w:ascii="Times New Roman" w:hAnsi="Times New Roman"/>
          <w:color w:val="000000" w:themeColor="text1"/>
        </w:rPr>
        <w:t>装车系统、加注区、空压站、软化水装置、循环水设施、联合变电所、控制室、地面火炬等）及安全环保设施；项目建成投产后可实现年产</w:t>
      </w:r>
      <w:r w:rsidRPr="008A2411">
        <w:rPr>
          <w:rFonts w:ascii="Times New Roman" w:hAnsi="Times New Roman" w:hint="eastAsia"/>
          <w:color w:val="000000" w:themeColor="text1"/>
        </w:rPr>
        <w:t>约</w:t>
      </w:r>
      <w:r w:rsidRPr="008A2411">
        <w:rPr>
          <w:rFonts w:ascii="Times New Roman" w:hAnsi="Times New Roman" w:hint="eastAsia"/>
          <w:color w:val="000000" w:themeColor="text1"/>
        </w:rPr>
        <w:t>23</w:t>
      </w:r>
      <w:r w:rsidRPr="008A2411">
        <w:rPr>
          <w:rFonts w:ascii="Times New Roman" w:hAnsi="Times New Roman"/>
          <w:color w:val="000000" w:themeColor="text1"/>
        </w:rPr>
        <w:t>万吨液化天然气产能。</w:t>
      </w:r>
      <w:r w:rsidRPr="008A2411">
        <w:rPr>
          <w:rFonts w:ascii="Times New Roman" w:hAnsi="Times New Roman"/>
          <w:snapToGrid w:val="0"/>
          <w:color w:val="000000" w:themeColor="text1"/>
        </w:rPr>
        <w:t>本项目占地约</w:t>
      </w:r>
      <w:r w:rsidRPr="008A2411">
        <w:rPr>
          <w:rFonts w:ascii="Times New Roman" w:hAnsi="Times New Roman"/>
          <w:snapToGrid w:val="0"/>
          <w:color w:val="000000" w:themeColor="text1"/>
        </w:rPr>
        <w:t>88013.33m</w:t>
      </w:r>
      <w:r w:rsidRPr="008A2411">
        <w:rPr>
          <w:rFonts w:ascii="Times New Roman" w:hAnsi="Times New Roman"/>
          <w:snapToGrid w:val="0"/>
          <w:color w:val="000000" w:themeColor="text1"/>
          <w:vertAlign w:val="superscript"/>
        </w:rPr>
        <w:t>2</w:t>
      </w:r>
      <w:r w:rsidRPr="008A2411">
        <w:rPr>
          <w:rFonts w:ascii="Times New Roman" w:hAnsi="Times New Roman"/>
          <w:color w:val="000000" w:themeColor="text1"/>
        </w:rPr>
        <w:t>，项目总投资</w:t>
      </w:r>
      <w:r w:rsidRPr="008A2411">
        <w:rPr>
          <w:rFonts w:ascii="Times New Roman" w:hAnsi="Times New Roman"/>
          <w:color w:val="000000" w:themeColor="text1"/>
        </w:rPr>
        <w:t>53000</w:t>
      </w:r>
      <w:r w:rsidRPr="008A2411">
        <w:rPr>
          <w:rFonts w:ascii="Times New Roman" w:hAnsi="Times New Roman"/>
          <w:color w:val="000000" w:themeColor="text1"/>
        </w:rPr>
        <w:t>万元，环保投资</w:t>
      </w:r>
      <w:r w:rsidRPr="008A2411">
        <w:rPr>
          <w:rFonts w:ascii="Times New Roman" w:hAnsi="Times New Roman" w:hint="eastAsia"/>
          <w:color w:val="000000" w:themeColor="text1"/>
        </w:rPr>
        <w:t>874</w:t>
      </w:r>
      <w:r w:rsidRPr="008A2411">
        <w:rPr>
          <w:rFonts w:ascii="Times New Roman" w:hAnsi="Times New Roman" w:hint="eastAsia"/>
          <w:color w:val="000000" w:themeColor="text1"/>
        </w:rPr>
        <w:t>万元</w:t>
      </w:r>
      <w:r w:rsidRPr="008A2411">
        <w:rPr>
          <w:rFonts w:ascii="Times New Roman" w:hAnsi="Times New Roman"/>
          <w:color w:val="000000" w:themeColor="text1"/>
        </w:rPr>
        <w:t>，占总投资</w:t>
      </w:r>
      <w:r w:rsidRPr="008A2411">
        <w:rPr>
          <w:rFonts w:ascii="Times New Roman" w:hAnsi="Times New Roman" w:hint="eastAsia"/>
          <w:color w:val="000000" w:themeColor="text1"/>
        </w:rPr>
        <w:t>1.65%</w:t>
      </w:r>
      <w:r w:rsidRPr="008A2411">
        <w:rPr>
          <w:rFonts w:ascii="Times New Roman" w:hAnsi="Times New Roman"/>
          <w:color w:val="000000" w:themeColor="text1"/>
        </w:rPr>
        <w:t>。</w:t>
      </w:r>
      <w:bookmarkEnd w:id="823"/>
      <w:bookmarkEnd w:id="824"/>
      <w:bookmarkEnd w:id="825"/>
      <w:bookmarkEnd w:id="826"/>
    </w:p>
    <w:p w14:paraId="3025DD97" w14:textId="77777777" w:rsidR="00B0005F" w:rsidRPr="008A2411" w:rsidRDefault="00000000">
      <w:pPr>
        <w:pStyle w:val="WJ2"/>
        <w:spacing w:line="360" w:lineRule="auto"/>
        <w:rPr>
          <w:rFonts w:ascii="Times New Roman" w:hAnsi="Times New Roman"/>
          <w:color w:val="000000" w:themeColor="text1"/>
        </w:rPr>
      </w:pPr>
      <w:bookmarkStart w:id="827" w:name="_Toc405214374"/>
      <w:bookmarkStart w:id="828" w:name="_Toc405904960"/>
      <w:bookmarkStart w:id="829" w:name="_Toc451355446"/>
      <w:bookmarkStart w:id="830" w:name="_Toc319853045"/>
      <w:bookmarkStart w:id="831" w:name="_Toc405905432"/>
      <w:bookmarkStart w:id="832" w:name="_Toc405904616"/>
      <w:bookmarkStart w:id="833" w:name="_Toc422906970"/>
      <w:bookmarkStart w:id="834" w:name="_Toc109170811"/>
      <w:r w:rsidRPr="008A2411">
        <w:rPr>
          <w:rFonts w:ascii="Times New Roman" w:hAnsi="Times New Roman"/>
          <w:color w:val="000000" w:themeColor="text1"/>
        </w:rPr>
        <w:t>10.2</w:t>
      </w:r>
      <w:r w:rsidRPr="008A2411">
        <w:rPr>
          <w:rFonts w:ascii="Times New Roman" w:hAnsi="Times New Roman"/>
          <w:color w:val="000000" w:themeColor="text1"/>
        </w:rPr>
        <w:t>产业政策及规划符合性</w:t>
      </w:r>
      <w:bookmarkEnd w:id="827"/>
      <w:bookmarkEnd w:id="828"/>
      <w:bookmarkEnd w:id="829"/>
      <w:bookmarkEnd w:id="830"/>
      <w:bookmarkEnd w:id="831"/>
      <w:bookmarkEnd w:id="832"/>
      <w:bookmarkEnd w:id="833"/>
      <w:bookmarkEnd w:id="834"/>
    </w:p>
    <w:p w14:paraId="37B2ABB8"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经查阅国家发展和改革委员会</w:t>
      </w:r>
      <w:r w:rsidRPr="008A2411">
        <w:rPr>
          <w:rFonts w:ascii="Times New Roman" w:hAnsi="Times New Roman"/>
          <w:color w:val="000000" w:themeColor="text1"/>
        </w:rPr>
        <w:t>2019</w:t>
      </w:r>
      <w:r w:rsidRPr="008A2411">
        <w:rPr>
          <w:rFonts w:ascii="Times New Roman" w:hAnsi="Times New Roman"/>
          <w:color w:val="000000" w:themeColor="text1"/>
        </w:rPr>
        <w:t>年第</w:t>
      </w:r>
      <w:r w:rsidRPr="008A2411">
        <w:rPr>
          <w:rFonts w:ascii="Times New Roman" w:hAnsi="Times New Roman"/>
          <w:color w:val="000000" w:themeColor="text1"/>
        </w:rPr>
        <w:t>29</w:t>
      </w:r>
      <w:r w:rsidRPr="008A2411">
        <w:rPr>
          <w:rFonts w:ascii="Times New Roman" w:hAnsi="Times New Roman"/>
          <w:color w:val="000000" w:themeColor="text1"/>
        </w:rPr>
        <w:t>号《产业结构调整指导目录》（</w:t>
      </w:r>
      <w:r w:rsidRPr="008A2411">
        <w:rPr>
          <w:rFonts w:ascii="Times New Roman" w:hAnsi="Times New Roman"/>
          <w:color w:val="000000" w:themeColor="text1"/>
        </w:rPr>
        <w:t>2021</w:t>
      </w:r>
      <w:r w:rsidRPr="008A2411">
        <w:rPr>
          <w:rFonts w:ascii="Times New Roman" w:hAnsi="Times New Roman"/>
          <w:color w:val="000000" w:themeColor="text1"/>
        </w:rPr>
        <w:t>年修订），本项目属于第七类</w:t>
      </w:r>
      <w:r w:rsidRPr="008A2411">
        <w:rPr>
          <w:rFonts w:ascii="Times New Roman" w:hAnsi="Times New Roman" w:hint="eastAsia"/>
          <w:color w:val="000000" w:themeColor="text1"/>
        </w:rPr>
        <w:t>“</w:t>
      </w:r>
      <w:r w:rsidRPr="008A2411">
        <w:rPr>
          <w:rFonts w:ascii="Times New Roman" w:hAnsi="Times New Roman"/>
          <w:color w:val="000000" w:themeColor="text1"/>
        </w:rPr>
        <w:t>鼓励类</w:t>
      </w:r>
      <w:r w:rsidRPr="008A2411">
        <w:rPr>
          <w:rFonts w:ascii="Times New Roman" w:hAnsi="Times New Roman" w:hint="eastAsia"/>
          <w:color w:val="000000" w:themeColor="text1"/>
        </w:rPr>
        <w:t>”</w:t>
      </w:r>
      <w:r w:rsidRPr="008A2411">
        <w:rPr>
          <w:rFonts w:ascii="Times New Roman" w:hAnsi="Times New Roman"/>
          <w:color w:val="000000" w:themeColor="text1"/>
        </w:rPr>
        <w:t>中第一条</w:t>
      </w:r>
      <w:r w:rsidRPr="008A2411">
        <w:rPr>
          <w:rFonts w:ascii="Times New Roman" w:hAnsi="Times New Roman" w:hint="eastAsia"/>
          <w:color w:val="000000" w:themeColor="text1"/>
        </w:rPr>
        <w:t>“</w:t>
      </w:r>
      <w:r w:rsidRPr="008A2411">
        <w:rPr>
          <w:rFonts w:ascii="Times New Roman" w:hAnsi="Times New Roman"/>
          <w:color w:val="000000" w:themeColor="text1"/>
        </w:rPr>
        <w:t>石油、天然气</w:t>
      </w:r>
      <w:r w:rsidRPr="008A2411">
        <w:rPr>
          <w:rFonts w:ascii="Times New Roman" w:hAnsi="Times New Roman" w:hint="eastAsia"/>
          <w:color w:val="000000" w:themeColor="text1"/>
        </w:rPr>
        <w:t>”</w:t>
      </w:r>
      <w:r w:rsidRPr="008A2411">
        <w:rPr>
          <w:rFonts w:ascii="Times New Roman" w:hAnsi="Times New Roman"/>
          <w:color w:val="000000" w:themeColor="text1"/>
        </w:rPr>
        <w:t>的第</w:t>
      </w:r>
      <w:r w:rsidRPr="008A2411">
        <w:rPr>
          <w:rFonts w:ascii="Times New Roman" w:hAnsi="Times New Roman"/>
          <w:color w:val="000000" w:themeColor="text1"/>
        </w:rPr>
        <w:t>9</w:t>
      </w:r>
      <w:r w:rsidRPr="008A2411">
        <w:rPr>
          <w:rFonts w:ascii="Times New Roman" w:hAnsi="Times New Roman"/>
          <w:color w:val="000000" w:themeColor="text1"/>
        </w:rPr>
        <w:t>款</w:t>
      </w:r>
      <w:r w:rsidRPr="008A2411">
        <w:rPr>
          <w:rFonts w:ascii="Times New Roman" w:hAnsi="Times New Roman" w:hint="eastAsia"/>
          <w:color w:val="000000" w:themeColor="text1"/>
        </w:rPr>
        <w:t>“</w:t>
      </w:r>
      <w:r w:rsidRPr="008A2411">
        <w:rPr>
          <w:rFonts w:ascii="Times New Roman" w:hAnsi="Times New Roman"/>
          <w:color w:val="000000" w:themeColor="text1"/>
        </w:rPr>
        <w:t>液化天然气技术、装备开发与应用</w:t>
      </w:r>
      <w:r w:rsidRPr="008A2411">
        <w:rPr>
          <w:rFonts w:ascii="Times New Roman" w:hAnsi="Times New Roman" w:hint="eastAsia"/>
          <w:color w:val="000000" w:themeColor="text1"/>
        </w:rPr>
        <w:t>”</w:t>
      </w:r>
      <w:r w:rsidRPr="008A2411">
        <w:rPr>
          <w:rFonts w:ascii="Times New Roman" w:hAnsi="Times New Roman"/>
          <w:color w:val="000000" w:themeColor="text1"/>
        </w:rPr>
        <w:t>，为鼓励类项目，符合国家当前产业政策规定。</w:t>
      </w:r>
    </w:p>
    <w:p w14:paraId="5C727EB8" w14:textId="77777777" w:rsidR="00B0005F" w:rsidRPr="008A2411" w:rsidRDefault="00000000">
      <w:pPr>
        <w:pStyle w:val="WJ"/>
        <w:adjustRightInd w:val="0"/>
        <w:snapToGrid w:val="0"/>
        <w:spacing w:line="360" w:lineRule="auto"/>
        <w:rPr>
          <w:rFonts w:ascii="Times New Roman" w:hAnsi="Times New Roman"/>
          <w:color w:val="000000" w:themeColor="text1"/>
        </w:rPr>
      </w:pPr>
      <w:bookmarkStart w:id="835" w:name="_Toc405905433"/>
      <w:bookmarkStart w:id="836" w:name="_Toc405904617"/>
      <w:bookmarkStart w:id="837" w:name="_Toc451355447"/>
      <w:bookmarkStart w:id="838" w:name="_Toc405904961"/>
      <w:bookmarkStart w:id="839" w:name="_Toc422906971"/>
      <w:r w:rsidRPr="008A2411">
        <w:rPr>
          <w:rFonts w:ascii="Times New Roman" w:hAnsi="Times New Roman"/>
          <w:color w:val="000000" w:themeColor="text1"/>
        </w:rPr>
        <w:t>本项目所在地位于达州市宣汉县普光化工园区，新增占地建设，根据《四川达州普光经济开发区发展规划》及原四川省环境保护厅</w:t>
      </w:r>
      <w:r w:rsidRPr="008A2411">
        <w:rPr>
          <w:rFonts w:ascii="Times New Roman" w:hAnsi="Times New Roman" w:hint="eastAsia"/>
          <w:color w:val="000000" w:themeColor="text1"/>
        </w:rPr>
        <w:t>“</w:t>
      </w:r>
      <w:r w:rsidRPr="008A2411">
        <w:rPr>
          <w:rFonts w:ascii="Times New Roman" w:hAnsi="Times New Roman"/>
          <w:color w:val="000000" w:themeColor="text1"/>
        </w:rPr>
        <w:t>关于印发《四川达州普光经济开发区总体规划（</w:t>
      </w:r>
      <w:r w:rsidRPr="008A2411">
        <w:rPr>
          <w:rFonts w:ascii="Times New Roman" w:hAnsi="Times New Roman"/>
          <w:color w:val="000000" w:themeColor="text1"/>
        </w:rPr>
        <w:t>2019-2035</w:t>
      </w:r>
      <w:r w:rsidRPr="008A2411">
        <w:rPr>
          <w:rFonts w:ascii="Times New Roman" w:hAnsi="Times New Roman"/>
          <w:color w:val="000000" w:themeColor="text1"/>
        </w:rPr>
        <w:t>）环境影响报告书》审查意见的函</w:t>
      </w:r>
      <w:r w:rsidRPr="008A2411">
        <w:rPr>
          <w:rFonts w:ascii="Times New Roman" w:hAnsi="Times New Roman" w:hint="eastAsia"/>
          <w:color w:val="000000" w:themeColor="text1"/>
        </w:rPr>
        <w:t>”</w:t>
      </w:r>
      <w:r w:rsidRPr="008A2411">
        <w:rPr>
          <w:rFonts w:ascii="Times New Roman" w:hAnsi="Times New Roman"/>
          <w:color w:val="000000" w:themeColor="text1"/>
        </w:rPr>
        <w:t>（川环建函〔</w:t>
      </w:r>
      <w:r w:rsidRPr="008A2411">
        <w:rPr>
          <w:rFonts w:ascii="Times New Roman" w:hAnsi="Times New Roman"/>
          <w:color w:val="000000" w:themeColor="text1"/>
        </w:rPr>
        <w:t>2021</w:t>
      </w:r>
      <w:r w:rsidRPr="008A2411">
        <w:rPr>
          <w:rFonts w:ascii="Times New Roman" w:hAnsi="Times New Roman"/>
          <w:color w:val="000000" w:themeColor="text1"/>
        </w:rPr>
        <w:t>〕</w:t>
      </w:r>
      <w:r w:rsidRPr="008A2411">
        <w:rPr>
          <w:rFonts w:ascii="Times New Roman" w:hAnsi="Times New Roman"/>
          <w:color w:val="000000" w:themeColor="text1"/>
        </w:rPr>
        <w:t>9</w:t>
      </w:r>
      <w:r w:rsidRPr="008A2411">
        <w:rPr>
          <w:rFonts w:ascii="Times New Roman" w:hAnsi="Times New Roman"/>
          <w:color w:val="000000" w:themeColor="text1"/>
        </w:rPr>
        <w:t>号），本项目属于园区主导产业，与园区规划相符。此外，该地块经由四川达州普光经济开发区管委会确认并同意项目用地和选址。</w:t>
      </w:r>
    </w:p>
    <w:p w14:paraId="2F74409F"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由此可见，本项目选址及用地符合宣汉县普光化工园区总体规划和土地利用的相关要求。</w:t>
      </w:r>
    </w:p>
    <w:p w14:paraId="19DFDD32" w14:textId="77777777" w:rsidR="00B0005F" w:rsidRPr="008A2411" w:rsidRDefault="00000000">
      <w:pPr>
        <w:pStyle w:val="WJ2"/>
        <w:spacing w:line="360" w:lineRule="auto"/>
        <w:rPr>
          <w:rFonts w:ascii="Times New Roman" w:hAnsi="Times New Roman"/>
          <w:color w:val="000000" w:themeColor="text1"/>
        </w:rPr>
      </w:pPr>
      <w:bookmarkStart w:id="840" w:name="_Toc109170812"/>
      <w:r w:rsidRPr="008A2411">
        <w:rPr>
          <w:rFonts w:ascii="Times New Roman" w:hAnsi="Times New Roman"/>
          <w:color w:val="000000" w:themeColor="text1"/>
        </w:rPr>
        <w:t>10.3</w:t>
      </w:r>
      <w:r w:rsidRPr="008A2411">
        <w:rPr>
          <w:rFonts w:ascii="Times New Roman" w:hAnsi="Times New Roman"/>
          <w:color w:val="000000" w:themeColor="text1"/>
        </w:rPr>
        <w:t>环境现状</w:t>
      </w:r>
      <w:bookmarkEnd w:id="835"/>
      <w:bookmarkEnd w:id="836"/>
      <w:bookmarkEnd w:id="837"/>
      <w:bookmarkEnd w:id="838"/>
      <w:bookmarkEnd w:id="839"/>
      <w:bookmarkEnd w:id="840"/>
    </w:p>
    <w:p w14:paraId="3C357AF1" w14:textId="77777777" w:rsidR="00B0005F" w:rsidRPr="008A2411" w:rsidRDefault="00000000">
      <w:pPr>
        <w:pStyle w:val="WJ3"/>
        <w:spacing w:line="360" w:lineRule="auto"/>
        <w:rPr>
          <w:rFonts w:ascii="Times New Roman" w:hAnsi="Times New Roman"/>
          <w:color w:val="000000" w:themeColor="text1"/>
        </w:rPr>
      </w:pPr>
      <w:r w:rsidRPr="008A2411">
        <w:rPr>
          <w:rFonts w:ascii="Times New Roman" w:hAnsi="Times New Roman"/>
          <w:color w:val="000000" w:themeColor="text1"/>
        </w:rPr>
        <w:t>10.3.1</w:t>
      </w:r>
      <w:r w:rsidRPr="008A2411">
        <w:rPr>
          <w:rFonts w:ascii="Times New Roman" w:hAnsi="Times New Roman"/>
          <w:color w:val="000000" w:themeColor="text1"/>
        </w:rPr>
        <w:t>大气环境质量现状</w:t>
      </w:r>
    </w:p>
    <w:p w14:paraId="6ABA36BB"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根据环境质量公报数据，项目所在区</w:t>
      </w:r>
      <w:r w:rsidRPr="008A2411">
        <w:rPr>
          <w:rFonts w:ascii="Times New Roman" w:hAnsi="Times New Roman"/>
          <w:color w:val="000000" w:themeColor="text1"/>
        </w:rPr>
        <w:t>SO</w:t>
      </w:r>
      <w:r w:rsidRPr="008A2411">
        <w:rPr>
          <w:rFonts w:ascii="Times New Roman" w:hAnsi="Times New Roman"/>
          <w:color w:val="000000" w:themeColor="text1"/>
          <w:vertAlign w:val="subscript"/>
        </w:rPr>
        <w:t>2</w:t>
      </w:r>
      <w:r w:rsidRPr="008A2411">
        <w:rPr>
          <w:rFonts w:ascii="Times New Roman" w:hAnsi="Times New Roman"/>
          <w:color w:val="000000" w:themeColor="text1"/>
        </w:rPr>
        <w:t>、</w:t>
      </w:r>
      <w:r w:rsidRPr="008A2411">
        <w:rPr>
          <w:rFonts w:ascii="Times New Roman" w:hAnsi="Times New Roman"/>
          <w:color w:val="000000" w:themeColor="text1"/>
        </w:rPr>
        <w:t>NO</w:t>
      </w:r>
      <w:r w:rsidRPr="008A2411">
        <w:rPr>
          <w:rFonts w:ascii="Times New Roman" w:hAnsi="Times New Roman"/>
          <w:color w:val="000000" w:themeColor="text1"/>
          <w:vertAlign w:val="subscript"/>
        </w:rPr>
        <w:t>2</w:t>
      </w:r>
      <w:r w:rsidRPr="008A2411">
        <w:rPr>
          <w:rFonts w:ascii="Times New Roman" w:hAnsi="Times New Roman"/>
          <w:color w:val="000000" w:themeColor="text1"/>
        </w:rPr>
        <w:t>、</w:t>
      </w:r>
      <w:r w:rsidRPr="008A2411">
        <w:rPr>
          <w:rFonts w:ascii="Times New Roman" w:hAnsi="Times New Roman"/>
          <w:color w:val="000000" w:themeColor="text1"/>
        </w:rPr>
        <w:t>PM</w:t>
      </w:r>
      <w:r w:rsidRPr="008A2411">
        <w:rPr>
          <w:rFonts w:ascii="Times New Roman" w:hAnsi="Times New Roman"/>
          <w:color w:val="000000" w:themeColor="text1"/>
          <w:vertAlign w:val="subscript"/>
        </w:rPr>
        <w:t>10</w:t>
      </w:r>
      <w:r w:rsidRPr="008A2411">
        <w:rPr>
          <w:rFonts w:ascii="Times New Roman" w:hAnsi="Times New Roman"/>
          <w:color w:val="000000" w:themeColor="text1"/>
        </w:rPr>
        <w:t>、</w:t>
      </w:r>
      <w:r w:rsidRPr="008A2411">
        <w:rPr>
          <w:rFonts w:ascii="Times New Roman" w:hAnsi="Times New Roman"/>
          <w:color w:val="000000" w:themeColor="text1"/>
        </w:rPr>
        <w:t>CO</w:t>
      </w:r>
      <w:r w:rsidRPr="008A2411">
        <w:rPr>
          <w:rFonts w:ascii="Times New Roman" w:hAnsi="Times New Roman"/>
          <w:color w:val="000000" w:themeColor="text1"/>
        </w:rPr>
        <w:t>、</w:t>
      </w:r>
      <w:r w:rsidRPr="008A2411">
        <w:rPr>
          <w:rFonts w:ascii="Times New Roman" w:hAnsi="Times New Roman"/>
          <w:color w:val="000000" w:themeColor="text1"/>
        </w:rPr>
        <w:t>O</w:t>
      </w:r>
      <w:r w:rsidRPr="008A2411">
        <w:rPr>
          <w:rFonts w:ascii="Times New Roman" w:hAnsi="Times New Roman"/>
          <w:color w:val="000000" w:themeColor="text1"/>
          <w:vertAlign w:val="subscript"/>
        </w:rPr>
        <w:t>3</w:t>
      </w:r>
      <w:r w:rsidRPr="008A2411">
        <w:rPr>
          <w:rFonts w:ascii="Times New Roman" w:hAnsi="Times New Roman"/>
          <w:color w:val="000000" w:themeColor="text1"/>
        </w:rPr>
        <w:t>、</w:t>
      </w:r>
      <w:r w:rsidRPr="008A2411">
        <w:rPr>
          <w:rFonts w:ascii="Times New Roman" w:hAnsi="Times New Roman"/>
          <w:color w:val="000000" w:themeColor="text1"/>
        </w:rPr>
        <w:t>PM</w:t>
      </w:r>
      <w:r w:rsidRPr="008A2411">
        <w:rPr>
          <w:rFonts w:ascii="Times New Roman" w:hAnsi="Times New Roman"/>
          <w:color w:val="000000" w:themeColor="text1"/>
          <w:vertAlign w:val="subscript"/>
        </w:rPr>
        <w:t>2.5</w:t>
      </w:r>
      <w:r w:rsidRPr="008A2411">
        <w:rPr>
          <w:rFonts w:ascii="Times New Roman" w:hAnsi="Times New Roman"/>
          <w:color w:val="000000" w:themeColor="text1"/>
        </w:rPr>
        <w:t>均未超过《环境空气质量标准》（</w:t>
      </w:r>
      <w:r w:rsidRPr="008A2411">
        <w:rPr>
          <w:rFonts w:ascii="Times New Roman" w:hAnsi="Times New Roman"/>
          <w:color w:val="000000" w:themeColor="text1"/>
        </w:rPr>
        <w:t>GB3095-2012</w:t>
      </w:r>
      <w:r w:rsidRPr="008A2411">
        <w:rPr>
          <w:rFonts w:ascii="Times New Roman" w:hAnsi="Times New Roman"/>
          <w:color w:val="000000" w:themeColor="text1"/>
        </w:rPr>
        <w:t>）中二级标准；</w:t>
      </w:r>
      <w:r w:rsidRPr="008A2411">
        <w:rPr>
          <w:rFonts w:ascii="Times New Roman" w:hAnsi="Times New Roman"/>
          <w:color w:val="000000" w:themeColor="text1"/>
          <w:lang w:val="zh-TW"/>
        </w:rPr>
        <w:t>特征污染物非甲烷总烃现状监测值均低于《大气污染物综合排放标准详解》浓度限值；硫化氢现状监测值均低于《环境影响评价技术导则大气环境》（</w:t>
      </w:r>
      <w:r w:rsidRPr="008A2411">
        <w:rPr>
          <w:rFonts w:ascii="Times New Roman" w:hAnsi="Times New Roman"/>
          <w:color w:val="000000" w:themeColor="text1"/>
          <w:lang w:val="zh-TW"/>
        </w:rPr>
        <w:t>HJ2.2-2018</w:t>
      </w:r>
      <w:r w:rsidRPr="008A2411">
        <w:rPr>
          <w:rFonts w:ascii="Times New Roman" w:hAnsi="Times New Roman"/>
          <w:color w:val="000000" w:themeColor="text1"/>
          <w:lang w:val="zh-TW"/>
        </w:rPr>
        <w:t>）中附录</w:t>
      </w:r>
      <w:r w:rsidRPr="008A2411">
        <w:rPr>
          <w:rFonts w:ascii="Times New Roman" w:hAnsi="Times New Roman"/>
          <w:color w:val="000000" w:themeColor="text1"/>
          <w:lang w:val="zh-TW"/>
        </w:rPr>
        <w:t>D</w:t>
      </w:r>
      <w:r w:rsidRPr="008A2411">
        <w:rPr>
          <w:rFonts w:ascii="Times New Roman" w:hAnsi="Times New Roman"/>
          <w:color w:val="000000" w:themeColor="text1"/>
          <w:lang w:val="zh-TW"/>
        </w:rPr>
        <w:t>标准限值</w:t>
      </w:r>
      <w:r w:rsidRPr="008A2411">
        <w:rPr>
          <w:rFonts w:ascii="Times New Roman" w:hAnsi="Times New Roman"/>
          <w:color w:val="000000" w:themeColor="text1"/>
        </w:rPr>
        <w:t>；项目所在地的环境空气质量良好。</w:t>
      </w:r>
    </w:p>
    <w:p w14:paraId="04D29335" w14:textId="77777777" w:rsidR="00B0005F" w:rsidRPr="008A2411" w:rsidRDefault="00000000">
      <w:pPr>
        <w:pStyle w:val="WJ3"/>
        <w:spacing w:line="360" w:lineRule="auto"/>
        <w:rPr>
          <w:rFonts w:ascii="Times New Roman" w:hAnsi="Times New Roman"/>
          <w:color w:val="000000" w:themeColor="text1"/>
        </w:rPr>
      </w:pPr>
      <w:r w:rsidRPr="008A2411">
        <w:rPr>
          <w:rFonts w:ascii="Times New Roman" w:hAnsi="Times New Roman"/>
          <w:color w:val="000000" w:themeColor="text1"/>
        </w:rPr>
        <w:t>10.3.2</w:t>
      </w:r>
      <w:r w:rsidRPr="008A2411">
        <w:rPr>
          <w:rFonts w:ascii="Times New Roman" w:hAnsi="Times New Roman"/>
          <w:color w:val="000000" w:themeColor="text1"/>
        </w:rPr>
        <w:t>水环境质量现状</w:t>
      </w:r>
    </w:p>
    <w:p w14:paraId="1D66019E" w14:textId="77777777" w:rsidR="00B0005F" w:rsidRPr="008A2411" w:rsidRDefault="00000000">
      <w:pPr>
        <w:pStyle w:val="WJ"/>
        <w:adjustRightInd w:val="0"/>
        <w:snapToGrid w:val="0"/>
        <w:spacing w:line="360" w:lineRule="auto"/>
        <w:ind w:firstLine="482"/>
        <w:rPr>
          <w:rFonts w:ascii="Times New Roman" w:hAnsi="Times New Roman"/>
          <w:color w:val="000000" w:themeColor="text1"/>
          <w:lang w:val="zh-TW"/>
        </w:rPr>
      </w:pPr>
      <w:r w:rsidRPr="008A2411">
        <w:rPr>
          <w:rFonts w:ascii="Times New Roman" w:hAnsi="Times New Roman"/>
          <w:b/>
          <w:bCs/>
          <w:color w:val="000000" w:themeColor="text1"/>
          <w:lang w:val="zh-TW"/>
        </w:rPr>
        <w:t>地表水：</w:t>
      </w:r>
      <w:r w:rsidRPr="008A2411">
        <w:rPr>
          <w:rFonts w:ascii="Times New Roman" w:hAnsi="Times New Roman"/>
          <w:color w:val="000000" w:themeColor="text1"/>
          <w:lang w:val="zh-TW"/>
        </w:rPr>
        <w:t>根据对项目拟建地周边地表水体</w:t>
      </w:r>
      <w:r w:rsidRPr="008A2411">
        <w:rPr>
          <w:rFonts w:ascii="Times New Roman" w:hAnsi="Times New Roman"/>
          <w:color w:val="000000" w:themeColor="text1"/>
        </w:rPr>
        <w:t>主要为后河，</w:t>
      </w:r>
      <w:r w:rsidRPr="008A2411">
        <w:rPr>
          <w:rFonts w:ascii="Times New Roman" w:hAnsi="Times New Roman"/>
          <w:color w:val="000000" w:themeColor="text1"/>
          <w:lang w:val="zh-TW"/>
        </w:rPr>
        <w:t>根据环境质量公报数据，后河、前河各控制断面水质良好，各监测指标满足《地表水环境质量标准》</w:t>
      </w:r>
      <w:r w:rsidRPr="008A2411">
        <w:rPr>
          <w:rFonts w:ascii="Times New Roman" w:hAnsi="Times New Roman"/>
          <w:color w:val="000000" w:themeColor="text1"/>
          <w:lang w:val="zh-TW"/>
        </w:rPr>
        <w:lastRenderedPageBreak/>
        <w:t>（</w:t>
      </w:r>
      <w:r w:rsidRPr="008A2411">
        <w:rPr>
          <w:rFonts w:ascii="Times New Roman" w:hAnsi="Times New Roman"/>
          <w:color w:val="000000" w:themeColor="text1"/>
          <w:lang w:val="zh-TW"/>
        </w:rPr>
        <w:t>GB3838-2002</w:t>
      </w:r>
      <w:r w:rsidRPr="008A2411">
        <w:rPr>
          <w:rFonts w:ascii="Times New Roman" w:hAnsi="Times New Roman"/>
          <w:color w:val="000000" w:themeColor="text1"/>
          <w:lang w:val="zh-TW"/>
        </w:rPr>
        <w:t>）中</w:t>
      </w:r>
      <w:r w:rsidRPr="008A2411">
        <w:rPr>
          <w:rFonts w:ascii="Times New Roman" w:hAnsi="Times New Roman"/>
          <w:color w:val="000000" w:themeColor="text1"/>
          <w:lang w:val="zh-TW"/>
        </w:rPr>
        <w:t>Ⅲ</w:t>
      </w:r>
      <w:r w:rsidRPr="008A2411">
        <w:rPr>
          <w:rFonts w:ascii="Times New Roman" w:hAnsi="Times New Roman"/>
          <w:color w:val="000000" w:themeColor="text1"/>
          <w:lang w:val="zh-TW"/>
        </w:rPr>
        <w:t>类标准由此可见，项目区域地表水环境质量良好。</w:t>
      </w:r>
    </w:p>
    <w:p w14:paraId="6D58C810" w14:textId="77777777" w:rsidR="00B0005F" w:rsidRPr="008A2411" w:rsidRDefault="00000000">
      <w:pPr>
        <w:pStyle w:val="WJ"/>
        <w:adjustRightInd w:val="0"/>
        <w:snapToGrid w:val="0"/>
        <w:spacing w:line="360" w:lineRule="auto"/>
        <w:ind w:firstLine="482"/>
        <w:rPr>
          <w:rFonts w:ascii="Times New Roman" w:hAnsi="Times New Roman"/>
          <w:color w:val="000000" w:themeColor="text1"/>
          <w:lang w:val="zh-TW"/>
        </w:rPr>
      </w:pPr>
      <w:r w:rsidRPr="008A2411">
        <w:rPr>
          <w:rFonts w:ascii="Times New Roman" w:hAnsi="Times New Roman"/>
          <w:b/>
          <w:color w:val="000000" w:themeColor="text1"/>
        </w:rPr>
        <w:t>地下水：</w:t>
      </w:r>
      <w:r w:rsidRPr="008A2411">
        <w:rPr>
          <w:rFonts w:ascii="Times New Roman" w:hAnsi="Times New Roman"/>
          <w:color w:val="000000" w:themeColor="text1"/>
        </w:rPr>
        <w:t>根据</w:t>
      </w:r>
      <w:proofErr w:type="gramStart"/>
      <w:r w:rsidRPr="008A2411">
        <w:rPr>
          <w:rFonts w:ascii="Times New Roman" w:hAnsi="Times New Roman"/>
          <w:color w:val="000000" w:themeColor="text1"/>
        </w:rPr>
        <w:t>对对项目</w:t>
      </w:r>
      <w:proofErr w:type="gramEnd"/>
      <w:r w:rsidRPr="008A2411">
        <w:rPr>
          <w:rFonts w:ascii="Times New Roman" w:hAnsi="Times New Roman"/>
          <w:color w:val="000000" w:themeColor="text1"/>
        </w:rPr>
        <w:t>拟建地周边地下水的监测结果，本项目各地下水监测点除总大肠杆菌超标外，各地下水监测点各监测因子标准指数均小于</w:t>
      </w:r>
      <w:r w:rsidRPr="008A2411">
        <w:rPr>
          <w:rFonts w:ascii="Times New Roman" w:hAnsi="Times New Roman"/>
          <w:color w:val="000000" w:themeColor="text1"/>
        </w:rPr>
        <w:t>1</w:t>
      </w:r>
      <w:r w:rsidRPr="008A2411">
        <w:rPr>
          <w:rFonts w:ascii="Times New Roman" w:hAnsi="Times New Roman"/>
          <w:color w:val="000000" w:themeColor="text1"/>
        </w:rPr>
        <w:t>，满足《地下水质量标准》（</w:t>
      </w:r>
      <w:r w:rsidRPr="008A2411">
        <w:rPr>
          <w:rFonts w:ascii="Times New Roman" w:hAnsi="Times New Roman"/>
          <w:color w:val="000000" w:themeColor="text1"/>
        </w:rPr>
        <w:t>GB/T14848-2017</w:t>
      </w:r>
      <w:r w:rsidRPr="008A2411">
        <w:rPr>
          <w:rFonts w:ascii="Times New Roman" w:hAnsi="Times New Roman"/>
          <w:color w:val="000000" w:themeColor="text1"/>
        </w:rPr>
        <w:t>）</w:t>
      </w:r>
      <w:r w:rsidRPr="008A2411">
        <w:rPr>
          <w:rFonts w:ascii="Times New Roman" w:hAnsi="Times New Roman"/>
          <w:color w:val="000000" w:themeColor="text1"/>
        </w:rPr>
        <w:t>Ⅲ</w:t>
      </w:r>
      <w:r w:rsidRPr="008A2411">
        <w:rPr>
          <w:rFonts w:ascii="Times New Roman" w:hAnsi="Times New Roman"/>
          <w:color w:val="000000" w:themeColor="text1"/>
        </w:rPr>
        <w:t>类标准要求，石油</w:t>
      </w:r>
      <w:proofErr w:type="gramStart"/>
      <w:r w:rsidRPr="008A2411">
        <w:rPr>
          <w:rFonts w:ascii="Times New Roman" w:hAnsi="Times New Roman"/>
          <w:color w:val="000000" w:themeColor="text1"/>
        </w:rPr>
        <w:t>类满足</w:t>
      </w:r>
      <w:proofErr w:type="gramEnd"/>
      <w:r w:rsidRPr="008A2411">
        <w:rPr>
          <w:rFonts w:ascii="Times New Roman" w:hAnsi="Times New Roman"/>
          <w:color w:val="000000" w:themeColor="text1"/>
        </w:rPr>
        <w:t>《地表水环境质量标准》（</w:t>
      </w:r>
      <w:r w:rsidRPr="008A2411">
        <w:rPr>
          <w:rFonts w:ascii="Times New Roman" w:hAnsi="Times New Roman"/>
          <w:color w:val="000000" w:themeColor="text1"/>
        </w:rPr>
        <w:t>GB3838-2002</w:t>
      </w:r>
      <w:r w:rsidRPr="008A2411">
        <w:rPr>
          <w:rFonts w:ascii="Times New Roman" w:hAnsi="Times New Roman"/>
          <w:color w:val="000000" w:themeColor="text1"/>
        </w:rPr>
        <w:t>）</w:t>
      </w:r>
      <w:r w:rsidRPr="008A2411">
        <w:rPr>
          <w:rFonts w:ascii="Times New Roman" w:hAnsi="Times New Roman"/>
          <w:color w:val="000000" w:themeColor="text1"/>
        </w:rPr>
        <w:t>Ⅲ</w:t>
      </w:r>
      <w:r w:rsidRPr="008A2411">
        <w:rPr>
          <w:rFonts w:ascii="Times New Roman" w:hAnsi="Times New Roman"/>
          <w:color w:val="000000" w:themeColor="text1"/>
        </w:rPr>
        <w:t>类标准要求。</w:t>
      </w:r>
      <w:r w:rsidRPr="008A2411">
        <w:rPr>
          <w:color w:val="000000" w:themeColor="text1"/>
        </w:rPr>
        <w:t>总大肠杆菌超标原因主要因为区域居民水井可能受农业面源污染影响，本项目不会有总大肠杆菌类污水排入地下水环境，不会加剧该污染。</w:t>
      </w:r>
    </w:p>
    <w:p w14:paraId="01FFFA76" w14:textId="77777777" w:rsidR="00B0005F" w:rsidRPr="008A2411" w:rsidRDefault="00000000">
      <w:pPr>
        <w:pStyle w:val="WJ3"/>
        <w:spacing w:line="360" w:lineRule="auto"/>
        <w:rPr>
          <w:rFonts w:ascii="Times New Roman" w:hAnsi="Times New Roman"/>
          <w:color w:val="000000" w:themeColor="text1"/>
        </w:rPr>
      </w:pPr>
      <w:r w:rsidRPr="008A2411">
        <w:rPr>
          <w:rFonts w:ascii="Times New Roman" w:hAnsi="Times New Roman"/>
          <w:color w:val="000000" w:themeColor="text1"/>
        </w:rPr>
        <w:t>10.3.3</w:t>
      </w:r>
      <w:r w:rsidRPr="008A2411">
        <w:rPr>
          <w:rFonts w:ascii="Times New Roman" w:hAnsi="Times New Roman"/>
          <w:color w:val="000000" w:themeColor="text1"/>
        </w:rPr>
        <w:t>声环境现状</w:t>
      </w:r>
    </w:p>
    <w:p w14:paraId="54384307"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项目所有噪声监测点监测值均能满足《声环境质量标准》（</w:t>
      </w:r>
      <w:r w:rsidRPr="008A2411">
        <w:rPr>
          <w:rFonts w:ascii="Times New Roman" w:hAnsi="Times New Roman"/>
          <w:color w:val="000000" w:themeColor="text1"/>
        </w:rPr>
        <w:t>GB3096-2008</w:t>
      </w:r>
      <w:r w:rsidRPr="008A2411">
        <w:rPr>
          <w:rFonts w:ascii="Times New Roman" w:hAnsi="Times New Roman"/>
          <w:color w:val="000000" w:themeColor="text1"/>
        </w:rPr>
        <w:t>）中</w:t>
      </w:r>
      <w:r w:rsidRPr="008A2411">
        <w:rPr>
          <w:rFonts w:ascii="Times New Roman" w:hAnsi="Times New Roman"/>
          <w:color w:val="000000" w:themeColor="text1"/>
        </w:rPr>
        <w:t>3</w:t>
      </w:r>
      <w:r w:rsidRPr="008A2411">
        <w:rPr>
          <w:rFonts w:ascii="Times New Roman" w:hAnsi="Times New Roman"/>
          <w:color w:val="000000" w:themeColor="text1"/>
        </w:rPr>
        <w:t>类标准要求，项目所在区域噪声现状良好。</w:t>
      </w:r>
    </w:p>
    <w:p w14:paraId="0D704C4C" w14:textId="77777777" w:rsidR="00B0005F" w:rsidRPr="008A2411" w:rsidRDefault="00000000">
      <w:pPr>
        <w:pStyle w:val="WJ3"/>
        <w:spacing w:line="360" w:lineRule="auto"/>
        <w:rPr>
          <w:rFonts w:ascii="Times New Roman" w:hAnsi="Times New Roman"/>
          <w:color w:val="000000" w:themeColor="text1"/>
        </w:rPr>
      </w:pPr>
      <w:r w:rsidRPr="008A2411">
        <w:rPr>
          <w:rFonts w:ascii="Times New Roman" w:hAnsi="Times New Roman"/>
          <w:color w:val="000000" w:themeColor="text1"/>
        </w:rPr>
        <w:t>10.3.4</w:t>
      </w:r>
      <w:r w:rsidRPr="008A2411">
        <w:rPr>
          <w:rFonts w:ascii="Times New Roman" w:hAnsi="Times New Roman"/>
          <w:color w:val="000000" w:themeColor="text1"/>
        </w:rPr>
        <w:t>土壤环境现状</w:t>
      </w:r>
    </w:p>
    <w:p w14:paraId="282BC78B" w14:textId="77777777" w:rsidR="00B0005F" w:rsidRPr="008A2411" w:rsidRDefault="00000000">
      <w:pPr>
        <w:adjustRightInd w:val="0"/>
        <w:snapToGrid w:val="0"/>
        <w:spacing w:line="360" w:lineRule="auto"/>
        <w:ind w:firstLineChars="200" w:firstLine="480"/>
        <w:rPr>
          <w:rFonts w:ascii="Times New Roman"/>
          <w:color w:val="000000" w:themeColor="text1"/>
          <w:kern w:val="2"/>
          <w:szCs w:val="24"/>
        </w:rPr>
      </w:pPr>
      <w:r w:rsidRPr="008A2411">
        <w:rPr>
          <w:rFonts w:ascii="Times New Roman"/>
          <w:color w:val="000000" w:themeColor="text1"/>
          <w:kern w:val="2"/>
          <w:szCs w:val="24"/>
          <w:lang w:val="zh-CN"/>
        </w:rPr>
        <w:t>本项目占地范围内土壤环境中各监测指标均满足《土壤环境质量</w:t>
      </w:r>
      <w:r w:rsidRPr="008A2411">
        <w:rPr>
          <w:rFonts w:ascii="Times New Roman"/>
          <w:color w:val="000000" w:themeColor="text1"/>
          <w:kern w:val="2"/>
          <w:szCs w:val="24"/>
          <w:lang w:val="zh-CN"/>
        </w:rPr>
        <w:t xml:space="preserve"> </w:t>
      </w:r>
      <w:r w:rsidRPr="008A2411">
        <w:rPr>
          <w:rFonts w:ascii="Times New Roman"/>
          <w:color w:val="000000" w:themeColor="text1"/>
          <w:kern w:val="2"/>
          <w:szCs w:val="24"/>
          <w:lang w:val="zh-CN"/>
        </w:rPr>
        <w:t>建设用地土壤污染风险管控标准（试行）》（</w:t>
      </w:r>
      <w:r w:rsidRPr="008A2411">
        <w:rPr>
          <w:rFonts w:ascii="Times New Roman"/>
          <w:color w:val="000000" w:themeColor="text1"/>
          <w:kern w:val="2"/>
          <w:szCs w:val="24"/>
          <w:lang w:val="zh-CN"/>
        </w:rPr>
        <w:t>GB36600-2018</w:t>
      </w:r>
      <w:r w:rsidRPr="008A2411">
        <w:rPr>
          <w:rFonts w:ascii="Times New Roman"/>
          <w:color w:val="000000" w:themeColor="text1"/>
          <w:kern w:val="2"/>
          <w:szCs w:val="24"/>
          <w:lang w:val="zh-CN"/>
        </w:rPr>
        <w:t>）表</w:t>
      </w:r>
      <w:r w:rsidRPr="008A2411">
        <w:rPr>
          <w:rFonts w:ascii="Times New Roman"/>
          <w:color w:val="000000" w:themeColor="text1"/>
          <w:kern w:val="2"/>
          <w:szCs w:val="24"/>
          <w:lang w:val="zh-CN"/>
        </w:rPr>
        <w:t>1</w:t>
      </w:r>
      <w:r w:rsidRPr="008A2411">
        <w:rPr>
          <w:rFonts w:ascii="Times New Roman"/>
          <w:color w:val="000000" w:themeColor="text1"/>
          <w:kern w:val="2"/>
          <w:szCs w:val="24"/>
          <w:lang w:val="zh-CN"/>
        </w:rPr>
        <w:t>、表</w:t>
      </w:r>
      <w:r w:rsidRPr="008A2411">
        <w:rPr>
          <w:rFonts w:ascii="Times New Roman"/>
          <w:color w:val="000000" w:themeColor="text1"/>
          <w:kern w:val="2"/>
          <w:szCs w:val="24"/>
          <w:lang w:val="zh-CN"/>
        </w:rPr>
        <w:t>2</w:t>
      </w:r>
      <w:r w:rsidRPr="008A2411">
        <w:rPr>
          <w:rFonts w:ascii="Times New Roman"/>
          <w:color w:val="000000" w:themeColor="text1"/>
          <w:kern w:val="2"/>
          <w:szCs w:val="24"/>
          <w:lang w:val="zh-CN"/>
        </w:rPr>
        <w:t>中建设用地土壤污染风险第二类用地筛选值；区域占地范围外土壤环境中各监测指标均满足《土壤环境质量</w:t>
      </w:r>
      <w:r w:rsidRPr="008A2411">
        <w:rPr>
          <w:rFonts w:ascii="Times New Roman"/>
          <w:color w:val="000000" w:themeColor="text1"/>
          <w:kern w:val="2"/>
          <w:szCs w:val="24"/>
          <w:lang w:val="zh-CN"/>
        </w:rPr>
        <w:t xml:space="preserve"> </w:t>
      </w:r>
      <w:r w:rsidRPr="008A2411">
        <w:rPr>
          <w:rFonts w:ascii="Times New Roman"/>
          <w:color w:val="000000" w:themeColor="text1"/>
          <w:kern w:val="2"/>
          <w:szCs w:val="24"/>
          <w:lang w:val="zh-CN"/>
        </w:rPr>
        <w:t>农用地土壤污染风险管控标准（试行）》（</w:t>
      </w:r>
      <w:r w:rsidRPr="008A2411">
        <w:rPr>
          <w:rFonts w:ascii="Times New Roman"/>
          <w:color w:val="000000" w:themeColor="text1"/>
          <w:kern w:val="2"/>
          <w:szCs w:val="24"/>
          <w:lang w:val="zh-CN"/>
        </w:rPr>
        <w:t>GB15618-2018</w:t>
      </w:r>
      <w:r w:rsidRPr="008A2411">
        <w:rPr>
          <w:rFonts w:ascii="Times New Roman"/>
          <w:color w:val="000000" w:themeColor="text1"/>
          <w:kern w:val="2"/>
          <w:szCs w:val="24"/>
          <w:lang w:val="zh-CN"/>
        </w:rPr>
        <w:t>）表</w:t>
      </w:r>
      <w:r w:rsidRPr="008A2411">
        <w:rPr>
          <w:rFonts w:ascii="Times New Roman"/>
          <w:color w:val="000000" w:themeColor="text1"/>
          <w:kern w:val="2"/>
          <w:szCs w:val="24"/>
          <w:lang w:val="zh-CN"/>
        </w:rPr>
        <w:t>1</w:t>
      </w:r>
      <w:r w:rsidRPr="008A2411">
        <w:rPr>
          <w:rFonts w:ascii="Times New Roman"/>
          <w:color w:val="000000" w:themeColor="text1"/>
          <w:kern w:val="2"/>
          <w:szCs w:val="24"/>
          <w:lang w:val="zh-CN"/>
        </w:rPr>
        <w:t>中风险筛选值，</w:t>
      </w:r>
      <w:r w:rsidRPr="008A2411">
        <w:rPr>
          <w:rFonts w:ascii="Times New Roman"/>
          <w:color w:val="000000" w:themeColor="text1"/>
          <w:kern w:val="2"/>
          <w:szCs w:val="24"/>
        </w:rPr>
        <w:t>石油烃（</w:t>
      </w:r>
      <w:r w:rsidRPr="008A2411">
        <w:rPr>
          <w:rFonts w:ascii="Times New Roman"/>
          <w:color w:val="000000" w:themeColor="text1"/>
          <w:kern w:val="2"/>
          <w:szCs w:val="24"/>
        </w:rPr>
        <w:t>C10~C40</w:t>
      </w:r>
      <w:r w:rsidRPr="008A2411">
        <w:rPr>
          <w:rFonts w:ascii="Times New Roman"/>
          <w:color w:val="000000" w:themeColor="text1"/>
          <w:kern w:val="2"/>
          <w:szCs w:val="24"/>
        </w:rPr>
        <w:t>）满足《土壤环境质量</w:t>
      </w:r>
      <w:r w:rsidRPr="008A2411">
        <w:rPr>
          <w:rFonts w:ascii="Times New Roman"/>
          <w:color w:val="000000" w:themeColor="text1"/>
          <w:kern w:val="2"/>
          <w:szCs w:val="24"/>
        </w:rPr>
        <w:t xml:space="preserve"> </w:t>
      </w:r>
      <w:r w:rsidRPr="008A2411">
        <w:rPr>
          <w:rFonts w:ascii="Times New Roman"/>
          <w:color w:val="000000" w:themeColor="text1"/>
          <w:kern w:val="2"/>
          <w:szCs w:val="24"/>
        </w:rPr>
        <w:t>建设用地土壤污染风险管控标准（试行）》（</w:t>
      </w:r>
      <w:r w:rsidRPr="008A2411">
        <w:rPr>
          <w:rFonts w:ascii="Times New Roman"/>
          <w:color w:val="000000" w:themeColor="text1"/>
          <w:kern w:val="2"/>
          <w:szCs w:val="24"/>
        </w:rPr>
        <w:t>GB36600-2018</w:t>
      </w:r>
      <w:r w:rsidRPr="008A2411">
        <w:rPr>
          <w:rFonts w:ascii="Times New Roman"/>
          <w:color w:val="000000" w:themeColor="text1"/>
          <w:kern w:val="2"/>
          <w:szCs w:val="24"/>
        </w:rPr>
        <w:t>）表</w:t>
      </w:r>
      <w:r w:rsidRPr="008A2411">
        <w:rPr>
          <w:rFonts w:ascii="Times New Roman"/>
          <w:color w:val="000000" w:themeColor="text1"/>
          <w:kern w:val="2"/>
          <w:szCs w:val="24"/>
        </w:rPr>
        <w:t>1</w:t>
      </w:r>
      <w:r w:rsidRPr="008A2411">
        <w:rPr>
          <w:rFonts w:ascii="Times New Roman"/>
          <w:color w:val="000000" w:themeColor="text1"/>
          <w:kern w:val="2"/>
          <w:szCs w:val="24"/>
        </w:rPr>
        <w:t>中建设用地土壤污染</w:t>
      </w:r>
      <w:proofErr w:type="gramStart"/>
      <w:r w:rsidRPr="008A2411">
        <w:rPr>
          <w:rFonts w:ascii="Times New Roman"/>
          <w:color w:val="000000" w:themeColor="text1"/>
          <w:kern w:val="2"/>
          <w:szCs w:val="24"/>
        </w:rPr>
        <w:t>风险第</w:t>
      </w:r>
      <w:proofErr w:type="gramEnd"/>
      <w:r w:rsidRPr="008A2411">
        <w:rPr>
          <w:rFonts w:ascii="Times New Roman"/>
          <w:color w:val="000000" w:themeColor="text1"/>
          <w:kern w:val="2"/>
          <w:szCs w:val="24"/>
        </w:rPr>
        <w:t>一类用地筛选值</w:t>
      </w:r>
      <w:r w:rsidRPr="008A2411">
        <w:rPr>
          <w:rFonts w:ascii="Times New Roman"/>
          <w:color w:val="000000" w:themeColor="text1"/>
          <w:kern w:val="2"/>
          <w:szCs w:val="24"/>
          <w:lang w:val="zh-CN"/>
        </w:rPr>
        <w:t>。区域土壤环境质量良好。</w:t>
      </w:r>
    </w:p>
    <w:p w14:paraId="3292E15C" w14:textId="77777777" w:rsidR="00B0005F" w:rsidRPr="008A2411" w:rsidRDefault="00000000">
      <w:pPr>
        <w:pStyle w:val="WJ2"/>
        <w:spacing w:line="360" w:lineRule="auto"/>
        <w:rPr>
          <w:rFonts w:ascii="Times New Roman" w:hAnsi="Times New Roman"/>
          <w:color w:val="000000" w:themeColor="text1"/>
        </w:rPr>
      </w:pPr>
      <w:bookmarkStart w:id="841" w:name="_Toc422906972"/>
      <w:bookmarkStart w:id="842" w:name="_Toc405904618"/>
      <w:bookmarkStart w:id="843" w:name="_Toc405905434"/>
      <w:bookmarkStart w:id="844" w:name="_Toc405904962"/>
      <w:bookmarkStart w:id="845" w:name="_Toc451355448"/>
      <w:bookmarkStart w:id="846" w:name="_Toc109170813"/>
      <w:r w:rsidRPr="008A2411">
        <w:rPr>
          <w:rFonts w:ascii="Times New Roman" w:hAnsi="Times New Roman"/>
          <w:color w:val="000000" w:themeColor="text1"/>
        </w:rPr>
        <w:t>10.4</w:t>
      </w:r>
      <w:r w:rsidRPr="008A2411">
        <w:rPr>
          <w:rFonts w:ascii="Times New Roman" w:hAnsi="Times New Roman"/>
          <w:color w:val="000000" w:themeColor="text1"/>
        </w:rPr>
        <w:t>环境影响评价</w:t>
      </w:r>
      <w:bookmarkEnd w:id="841"/>
      <w:bookmarkEnd w:id="842"/>
      <w:bookmarkEnd w:id="843"/>
      <w:bookmarkEnd w:id="844"/>
      <w:bookmarkEnd w:id="845"/>
      <w:bookmarkEnd w:id="846"/>
    </w:p>
    <w:p w14:paraId="47DC534C" w14:textId="77777777" w:rsidR="00B0005F" w:rsidRPr="008A2411" w:rsidRDefault="00000000">
      <w:pPr>
        <w:pStyle w:val="WJ3"/>
        <w:spacing w:line="360" w:lineRule="auto"/>
        <w:rPr>
          <w:rFonts w:ascii="Times New Roman" w:hAnsi="Times New Roman"/>
          <w:color w:val="000000" w:themeColor="text1"/>
        </w:rPr>
      </w:pPr>
      <w:r w:rsidRPr="008A2411">
        <w:rPr>
          <w:rFonts w:ascii="Times New Roman" w:hAnsi="Times New Roman"/>
          <w:color w:val="000000" w:themeColor="text1"/>
        </w:rPr>
        <w:t>10.4.1</w:t>
      </w:r>
      <w:r w:rsidRPr="008A2411">
        <w:rPr>
          <w:rFonts w:ascii="Times New Roman" w:hAnsi="Times New Roman"/>
          <w:color w:val="000000" w:themeColor="text1"/>
        </w:rPr>
        <w:t>施工期</w:t>
      </w:r>
    </w:p>
    <w:p w14:paraId="6A747262"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施工期的主要环境污染是粉尘（地面扬尘）和噪声。影响范围以局部污染为主。因此施工期重点是加强管理，只要精心安排，施工进度严格管理，合理布置施工总平面布置图，对扬尘、噪声采取有效措施进行控制、治理，建筑和生活垃圾及生活污水按规定处理，可将污染减少到较低程度</w:t>
      </w:r>
      <w:r w:rsidRPr="008A2411">
        <w:rPr>
          <w:rFonts w:ascii="Times New Roman" w:hAnsi="Times New Roman"/>
          <w:bCs/>
          <w:color w:val="000000" w:themeColor="text1"/>
        </w:rPr>
        <w:t>。</w:t>
      </w:r>
    </w:p>
    <w:p w14:paraId="10550966" w14:textId="77777777" w:rsidR="00B0005F" w:rsidRPr="008A2411" w:rsidRDefault="00000000">
      <w:pPr>
        <w:pStyle w:val="WJ3"/>
        <w:spacing w:line="360" w:lineRule="auto"/>
        <w:rPr>
          <w:rFonts w:ascii="Times New Roman" w:hAnsi="Times New Roman"/>
          <w:color w:val="000000" w:themeColor="text1"/>
        </w:rPr>
      </w:pPr>
      <w:r w:rsidRPr="008A2411">
        <w:rPr>
          <w:rFonts w:ascii="Times New Roman" w:hAnsi="Times New Roman"/>
          <w:color w:val="000000" w:themeColor="text1"/>
        </w:rPr>
        <w:t>10.4.2</w:t>
      </w:r>
      <w:r w:rsidRPr="008A2411">
        <w:rPr>
          <w:rFonts w:ascii="Times New Roman" w:hAnsi="Times New Roman"/>
          <w:color w:val="000000" w:themeColor="text1"/>
        </w:rPr>
        <w:t>运营期</w:t>
      </w:r>
    </w:p>
    <w:p w14:paraId="295641D5"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1</w:t>
      </w:r>
      <w:r w:rsidRPr="008A2411">
        <w:rPr>
          <w:rFonts w:ascii="Times New Roman" w:hAnsi="Times New Roman"/>
          <w:color w:val="000000" w:themeColor="text1"/>
        </w:rPr>
        <w:t>）大气环境</w:t>
      </w:r>
      <w:r w:rsidRPr="008A2411">
        <w:rPr>
          <w:rFonts w:ascii="Times New Roman" w:hAnsi="Times New Roman"/>
          <w:color w:val="000000" w:themeColor="text1"/>
        </w:rPr>
        <w:t xml:space="preserve">  </w:t>
      </w:r>
    </w:p>
    <w:p w14:paraId="6D284F8F"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项目正常运营期的大气污染物主要为导热油炉燃烧废气、脱硫</w:t>
      </w:r>
      <w:proofErr w:type="gramStart"/>
      <w:r w:rsidRPr="008A2411">
        <w:rPr>
          <w:rFonts w:ascii="Times New Roman" w:hAnsi="Times New Roman"/>
          <w:color w:val="000000" w:themeColor="text1"/>
        </w:rPr>
        <w:t>塔氧化再</w:t>
      </w:r>
      <w:proofErr w:type="gramEnd"/>
      <w:r w:rsidRPr="008A2411">
        <w:rPr>
          <w:rFonts w:ascii="Times New Roman" w:hAnsi="Times New Roman"/>
          <w:color w:val="000000" w:themeColor="text1"/>
        </w:rPr>
        <w:t>生气等。</w:t>
      </w:r>
    </w:p>
    <w:p w14:paraId="3E811038" w14:textId="77777777" w:rsidR="00B0005F" w:rsidRPr="008A2411" w:rsidRDefault="00000000">
      <w:pPr>
        <w:pStyle w:val="WJ"/>
        <w:adjustRightInd w:val="0"/>
        <w:snapToGrid w:val="0"/>
        <w:spacing w:line="360" w:lineRule="auto"/>
        <w:rPr>
          <w:rFonts w:ascii="Times New Roman" w:hAnsi="Times New Roman"/>
          <w:color w:val="000000" w:themeColor="text1"/>
          <w:spacing w:val="2"/>
          <w:szCs w:val="21"/>
        </w:rPr>
      </w:pPr>
      <w:r w:rsidRPr="008A2411">
        <w:rPr>
          <w:rFonts w:ascii="Times New Roman" w:hAnsi="Times New Roman"/>
          <w:color w:val="000000" w:themeColor="text1"/>
        </w:rPr>
        <w:t>其中脱硫塔废气</w:t>
      </w:r>
      <w:proofErr w:type="gramStart"/>
      <w:r w:rsidRPr="008A2411">
        <w:rPr>
          <w:rFonts w:ascii="Times New Roman" w:hAnsi="Times New Roman"/>
          <w:color w:val="000000" w:themeColor="text1"/>
        </w:rPr>
        <w:t>源自胺液再生</w:t>
      </w:r>
      <w:proofErr w:type="gramEnd"/>
      <w:r w:rsidRPr="008A2411">
        <w:rPr>
          <w:rFonts w:ascii="Times New Roman" w:hAnsi="Times New Roman"/>
          <w:color w:val="000000" w:themeColor="text1"/>
        </w:rPr>
        <w:t>塔再生过程中产生的</w:t>
      </w:r>
      <w:proofErr w:type="gramStart"/>
      <w:r w:rsidRPr="008A2411">
        <w:rPr>
          <w:rFonts w:ascii="Times New Roman" w:hAnsi="Times New Roman"/>
          <w:color w:val="000000" w:themeColor="text1"/>
        </w:rPr>
        <w:t>不</w:t>
      </w:r>
      <w:proofErr w:type="gramEnd"/>
      <w:r w:rsidRPr="008A2411">
        <w:rPr>
          <w:rFonts w:ascii="Times New Roman" w:hAnsi="Times New Roman"/>
          <w:color w:val="000000" w:themeColor="text1"/>
        </w:rPr>
        <w:t>凝气，</w:t>
      </w:r>
      <w:r w:rsidRPr="008A2411">
        <w:rPr>
          <w:rFonts w:ascii="Times New Roman" w:hAnsi="Times New Roman"/>
          <w:color w:val="000000" w:themeColor="text1"/>
          <w:spacing w:val="-2"/>
        </w:rPr>
        <w:t>为含</w:t>
      </w:r>
      <w:r w:rsidRPr="008A2411">
        <w:rPr>
          <w:rFonts w:ascii="Times New Roman" w:hAnsi="Times New Roman"/>
          <w:color w:val="000000" w:themeColor="text1"/>
          <w:spacing w:val="-2"/>
        </w:rPr>
        <w:t>CO</w:t>
      </w:r>
      <w:r w:rsidRPr="008A2411">
        <w:rPr>
          <w:rFonts w:ascii="Times New Roman" w:hAnsi="Times New Roman"/>
          <w:color w:val="000000" w:themeColor="text1"/>
          <w:spacing w:val="-2"/>
          <w:vertAlign w:val="subscript"/>
        </w:rPr>
        <w:t>2</w:t>
      </w:r>
      <w:r w:rsidRPr="008A2411">
        <w:rPr>
          <w:rFonts w:ascii="Times New Roman" w:hAnsi="Times New Roman"/>
          <w:color w:val="000000" w:themeColor="text1"/>
          <w:spacing w:val="-2"/>
          <w:vertAlign w:val="subscript"/>
        </w:rPr>
        <w:t>及</w:t>
      </w:r>
      <w:r w:rsidRPr="008A2411">
        <w:rPr>
          <w:rFonts w:ascii="Times New Roman" w:hAnsi="Times New Roman"/>
          <w:color w:val="000000" w:themeColor="text1"/>
          <w:spacing w:val="-2"/>
        </w:rPr>
        <w:t>H</w:t>
      </w:r>
      <w:r w:rsidRPr="008A2411">
        <w:rPr>
          <w:rFonts w:ascii="Times New Roman" w:hAnsi="Times New Roman"/>
          <w:color w:val="000000" w:themeColor="text1"/>
          <w:spacing w:val="-2"/>
          <w:vertAlign w:val="subscript"/>
        </w:rPr>
        <w:t>2</w:t>
      </w:r>
      <w:r w:rsidRPr="008A2411">
        <w:rPr>
          <w:rFonts w:ascii="Times New Roman" w:hAnsi="Times New Roman"/>
          <w:color w:val="000000" w:themeColor="text1"/>
          <w:spacing w:val="-2"/>
        </w:rPr>
        <w:t>S</w:t>
      </w:r>
      <w:r w:rsidRPr="008A2411">
        <w:rPr>
          <w:rFonts w:ascii="Times New Roman" w:hAnsi="Times New Roman"/>
          <w:color w:val="000000" w:themeColor="text1"/>
          <w:spacing w:val="-2"/>
        </w:rPr>
        <w:t>的酸性气体，由于本项目</w:t>
      </w:r>
      <w:proofErr w:type="gramStart"/>
      <w:r w:rsidRPr="008A2411">
        <w:rPr>
          <w:rFonts w:ascii="Times New Roman" w:hAnsi="Times New Roman"/>
          <w:color w:val="000000" w:themeColor="text1"/>
          <w:spacing w:val="-2"/>
        </w:rPr>
        <w:t>原料气硫含量</w:t>
      </w:r>
      <w:proofErr w:type="gramEnd"/>
      <w:r w:rsidRPr="008A2411">
        <w:rPr>
          <w:rFonts w:ascii="Times New Roman" w:hAnsi="Times New Roman"/>
          <w:color w:val="000000" w:themeColor="text1"/>
          <w:spacing w:val="-2"/>
        </w:rPr>
        <w:t>较低，后经脱硫塔去除</w:t>
      </w:r>
      <w:r w:rsidRPr="008A2411">
        <w:rPr>
          <w:rFonts w:ascii="Times New Roman" w:hAnsi="Times New Roman"/>
          <w:color w:val="000000" w:themeColor="text1"/>
          <w:spacing w:val="-2"/>
        </w:rPr>
        <w:t>H</w:t>
      </w:r>
      <w:r w:rsidRPr="008A2411">
        <w:rPr>
          <w:rFonts w:ascii="Times New Roman" w:hAnsi="Times New Roman"/>
          <w:color w:val="000000" w:themeColor="text1"/>
          <w:spacing w:val="-2"/>
          <w:vertAlign w:val="subscript"/>
        </w:rPr>
        <w:t>2</w:t>
      </w:r>
      <w:r w:rsidRPr="008A2411">
        <w:rPr>
          <w:rFonts w:ascii="Times New Roman" w:hAnsi="Times New Roman"/>
          <w:color w:val="000000" w:themeColor="text1"/>
          <w:spacing w:val="-2"/>
        </w:rPr>
        <w:t>S</w:t>
      </w:r>
      <w:r w:rsidRPr="008A2411">
        <w:rPr>
          <w:rFonts w:ascii="Times New Roman" w:hAnsi="Times New Roman"/>
          <w:color w:val="000000" w:themeColor="text1"/>
          <w:spacing w:val="-2"/>
        </w:rPr>
        <w:t>、有机硫组分</w:t>
      </w:r>
      <w:r w:rsidRPr="008A2411">
        <w:rPr>
          <w:rFonts w:ascii="Times New Roman" w:hAnsi="Times New Roman"/>
          <w:color w:val="000000" w:themeColor="text1"/>
          <w:spacing w:val="-2"/>
        </w:rPr>
        <w:lastRenderedPageBreak/>
        <w:t>后，由</w:t>
      </w:r>
      <w:r w:rsidRPr="008A2411">
        <w:rPr>
          <w:rFonts w:ascii="Times New Roman" w:hAnsi="Times New Roman"/>
          <w:color w:val="000000" w:themeColor="text1"/>
          <w:spacing w:val="-2"/>
        </w:rPr>
        <w:t>15m</w:t>
      </w:r>
      <w:r w:rsidRPr="008A2411">
        <w:rPr>
          <w:rFonts w:ascii="Times New Roman" w:hAnsi="Times New Roman"/>
          <w:color w:val="000000" w:themeColor="text1"/>
          <w:spacing w:val="-2"/>
        </w:rPr>
        <w:t>高排气筒排放</w:t>
      </w:r>
      <w:r w:rsidRPr="008A2411">
        <w:rPr>
          <w:rFonts w:ascii="Times New Roman" w:hAnsi="Times New Roman"/>
          <w:color w:val="000000" w:themeColor="text1"/>
          <w:spacing w:val="2"/>
          <w:szCs w:val="21"/>
        </w:rPr>
        <w:t>；火炬长明灯使用净化后的天然气作为燃料气，燃烧后转化为</w:t>
      </w:r>
      <w:r w:rsidRPr="008A2411">
        <w:rPr>
          <w:rFonts w:ascii="Times New Roman" w:hAnsi="Times New Roman"/>
          <w:color w:val="000000" w:themeColor="text1"/>
          <w:spacing w:val="2"/>
          <w:szCs w:val="21"/>
        </w:rPr>
        <w:t>SO</w:t>
      </w:r>
      <w:r w:rsidRPr="008A2411">
        <w:rPr>
          <w:rFonts w:ascii="Times New Roman" w:hAnsi="Times New Roman"/>
          <w:color w:val="000000" w:themeColor="text1"/>
          <w:spacing w:val="2"/>
          <w:szCs w:val="21"/>
          <w:vertAlign w:val="subscript"/>
        </w:rPr>
        <w:t>2</w:t>
      </w:r>
      <w:r w:rsidRPr="008A2411">
        <w:rPr>
          <w:rFonts w:ascii="Times New Roman" w:hAnsi="Times New Roman"/>
          <w:color w:val="000000" w:themeColor="text1"/>
          <w:spacing w:val="2"/>
          <w:szCs w:val="21"/>
        </w:rPr>
        <w:t>、</w:t>
      </w:r>
      <w:r w:rsidRPr="008A2411">
        <w:rPr>
          <w:rFonts w:ascii="Times New Roman" w:hAnsi="Times New Roman"/>
          <w:color w:val="000000" w:themeColor="text1"/>
          <w:spacing w:val="2"/>
          <w:szCs w:val="21"/>
        </w:rPr>
        <w:t>NOx</w:t>
      </w:r>
      <w:r w:rsidRPr="008A2411">
        <w:rPr>
          <w:rFonts w:ascii="Times New Roman" w:hAnsi="Times New Roman"/>
          <w:color w:val="000000" w:themeColor="text1"/>
          <w:spacing w:val="2"/>
          <w:szCs w:val="21"/>
        </w:rPr>
        <w:t>，通过</w:t>
      </w:r>
      <w:r w:rsidRPr="008A2411">
        <w:rPr>
          <w:rFonts w:ascii="Times New Roman" w:hAnsi="Times New Roman"/>
          <w:color w:val="000000" w:themeColor="text1"/>
          <w:spacing w:val="2"/>
          <w:szCs w:val="21"/>
        </w:rPr>
        <w:t>30m</w:t>
      </w:r>
      <w:r w:rsidRPr="008A2411">
        <w:rPr>
          <w:rFonts w:ascii="Times New Roman" w:hAnsi="Times New Roman"/>
          <w:color w:val="000000" w:themeColor="text1"/>
          <w:spacing w:val="2"/>
          <w:szCs w:val="21"/>
        </w:rPr>
        <w:t>高的排气筒直接排放；</w:t>
      </w:r>
      <w:r w:rsidRPr="008A2411">
        <w:rPr>
          <w:rFonts w:ascii="Times New Roman" w:hAnsi="Times New Roman"/>
          <w:color w:val="000000" w:themeColor="text1"/>
          <w:spacing w:val="-2"/>
          <w:kern w:val="0"/>
          <w:szCs w:val="20"/>
        </w:rPr>
        <w:t>导热油</w:t>
      </w:r>
      <w:r w:rsidRPr="008A2411">
        <w:rPr>
          <w:rFonts w:ascii="Times New Roman" w:hAnsi="Times New Roman"/>
          <w:color w:val="000000" w:themeColor="text1"/>
        </w:rPr>
        <w:t>炉采用项目自产的净化后天然气，所选的燃烧器为全自动高效燃烧器，并设有熄火自动切断气源装置，可确保天然气燃烧完全，其燃烧产物主要为</w:t>
      </w:r>
      <w:r w:rsidRPr="008A2411">
        <w:rPr>
          <w:rFonts w:ascii="Times New Roman" w:hAnsi="Times New Roman"/>
          <w:color w:val="000000" w:themeColor="text1"/>
        </w:rPr>
        <w:t>NO</w:t>
      </w:r>
      <w:r w:rsidRPr="008A2411">
        <w:rPr>
          <w:rFonts w:ascii="Times New Roman" w:hAnsi="Times New Roman"/>
          <w:color w:val="000000" w:themeColor="text1"/>
          <w:vertAlign w:val="subscript"/>
        </w:rPr>
        <w:t>X</w:t>
      </w:r>
      <w:r w:rsidRPr="008A2411">
        <w:rPr>
          <w:rFonts w:ascii="Times New Roman" w:hAnsi="Times New Roman"/>
          <w:color w:val="000000" w:themeColor="text1"/>
        </w:rPr>
        <w:t>、</w:t>
      </w:r>
      <w:r w:rsidRPr="008A2411">
        <w:rPr>
          <w:rFonts w:ascii="Times New Roman" w:hAnsi="Times New Roman"/>
          <w:color w:val="000000" w:themeColor="text1"/>
        </w:rPr>
        <w:t>CO</w:t>
      </w:r>
      <w:r w:rsidRPr="008A2411">
        <w:rPr>
          <w:rFonts w:ascii="Times New Roman" w:hAnsi="Times New Roman"/>
          <w:color w:val="000000" w:themeColor="text1"/>
          <w:vertAlign w:val="subscript"/>
        </w:rPr>
        <w:t>2</w:t>
      </w:r>
      <w:r w:rsidRPr="008A2411">
        <w:rPr>
          <w:rFonts w:ascii="Times New Roman" w:hAnsi="Times New Roman"/>
          <w:color w:val="000000" w:themeColor="text1"/>
        </w:rPr>
        <w:t>、</w:t>
      </w:r>
      <w:r w:rsidRPr="008A2411">
        <w:rPr>
          <w:rFonts w:ascii="Times New Roman" w:hAnsi="Times New Roman"/>
          <w:color w:val="000000" w:themeColor="text1"/>
        </w:rPr>
        <w:t>H</w:t>
      </w:r>
      <w:r w:rsidRPr="008A2411">
        <w:rPr>
          <w:rFonts w:ascii="Times New Roman" w:hAnsi="Times New Roman"/>
          <w:color w:val="000000" w:themeColor="text1"/>
          <w:vertAlign w:val="subscript"/>
        </w:rPr>
        <w:t>2</w:t>
      </w:r>
      <w:r w:rsidRPr="008A2411">
        <w:rPr>
          <w:rFonts w:ascii="Times New Roman" w:hAnsi="Times New Roman"/>
          <w:color w:val="000000" w:themeColor="text1"/>
        </w:rPr>
        <w:t>O</w:t>
      </w:r>
      <w:r w:rsidRPr="008A2411">
        <w:rPr>
          <w:rFonts w:ascii="Times New Roman" w:hAnsi="Times New Roman"/>
          <w:color w:val="000000" w:themeColor="text1"/>
        </w:rPr>
        <w:t>和少量</w:t>
      </w:r>
      <w:r w:rsidRPr="008A2411">
        <w:rPr>
          <w:rFonts w:ascii="Times New Roman" w:hAnsi="Times New Roman"/>
          <w:color w:val="000000" w:themeColor="text1"/>
        </w:rPr>
        <w:t>SO</w:t>
      </w:r>
      <w:r w:rsidRPr="008A2411">
        <w:rPr>
          <w:rFonts w:ascii="Times New Roman" w:hAnsi="Times New Roman"/>
          <w:color w:val="000000" w:themeColor="text1"/>
          <w:vertAlign w:val="subscript"/>
        </w:rPr>
        <w:t>2</w:t>
      </w:r>
      <w:r w:rsidRPr="008A2411">
        <w:rPr>
          <w:rFonts w:ascii="Times New Roman" w:hAnsi="Times New Roman"/>
          <w:color w:val="000000" w:themeColor="text1"/>
        </w:rPr>
        <w:t>，</w:t>
      </w:r>
      <w:r w:rsidRPr="008A2411">
        <w:rPr>
          <w:rFonts w:ascii="Times New Roman" w:hAnsi="Times New Roman"/>
          <w:color w:val="000000" w:themeColor="text1"/>
          <w:spacing w:val="2"/>
          <w:szCs w:val="21"/>
        </w:rPr>
        <w:t>通过</w:t>
      </w:r>
      <w:r w:rsidRPr="008A2411">
        <w:rPr>
          <w:rFonts w:ascii="Times New Roman" w:hAnsi="Times New Roman"/>
          <w:color w:val="000000" w:themeColor="text1"/>
          <w:spacing w:val="2"/>
          <w:szCs w:val="21"/>
        </w:rPr>
        <w:t>15m</w:t>
      </w:r>
      <w:r w:rsidRPr="008A2411">
        <w:rPr>
          <w:rFonts w:ascii="Times New Roman" w:hAnsi="Times New Roman"/>
          <w:color w:val="000000" w:themeColor="text1"/>
          <w:spacing w:val="2"/>
          <w:szCs w:val="21"/>
        </w:rPr>
        <w:t>高的排气筒直接排放</w:t>
      </w:r>
    </w:p>
    <w:p w14:paraId="78580424" w14:textId="77777777" w:rsidR="00B0005F" w:rsidRPr="008A2411" w:rsidRDefault="00000000">
      <w:pPr>
        <w:pStyle w:val="WJ"/>
        <w:adjustRightInd w:val="0"/>
        <w:snapToGrid w:val="0"/>
        <w:spacing w:line="360" w:lineRule="auto"/>
        <w:rPr>
          <w:rFonts w:ascii="Times New Roman" w:hAnsi="Times New Roman"/>
          <w:b/>
          <w:color w:val="000000" w:themeColor="text1"/>
          <w:lang w:val="zh-CN"/>
        </w:rPr>
      </w:pPr>
      <w:r w:rsidRPr="008A2411">
        <w:rPr>
          <w:rFonts w:ascii="Times New Roman" w:hAnsi="Times New Roman"/>
          <w:color w:val="000000" w:themeColor="text1"/>
        </w:rPr>
        <w:t>根据预测结果，项目正常运营状态下，项目建设对区域大气环境影响较小。不会改变敏感点环境功能，各类废气的环境影响在当地环境可接受范围内。非正常工况燃烧放空时，燃烧原料气产生的</w:t>
      </w:r>
      <w:r w:rsidRPr="008A2411">
        <w:rPr>
          <w:rFonts w:ascii="Times New Roman" w:hAnsi="Times New Roman"/>
          <w:color w:val="000000" w:themeColor="text1"/>
        </w:rPr>
        <w:t>SO</w:t>
      </w:r>
      <w:r w:rsidRPr="008A2411">
        <w:rPr>
          <w:rFonts w:ascii="Times New Roman" w:hAnsi="Times New Roman"/>
          <w:color w:val="000000" w:themeColor="text1"/>
          <w:vertAlign w:val="subscript"/>
        </w:rPr>
        <w:t>2</w:t>
      </w:r>
      <w:r w:rsidRPr="008A2411">
        <w:rPr>
          <w:rFonts w:ascii="Times New Roman" w:hAnsi="Times New Roman"/>
          <w:color w:val="000000" w:themeColor="text1"/>
        </w:rPr>
        <w:t>和</w:t>
      </w:r>
      <w:r w:rsidRPr="008A2411">
        <w:rPr>
          <w:rFonts w:ascii="Times New Roman" w:hAnsi="Times New Roman"/>
          <w:color w:val="000000" w:themeColor="text1"/>
        </w:rPr>
        <w:t>NO</w:t>
      </w:r>
      <w:r w:rsidRPr="008A2411">
        <w:rPr>
          <w:rFonts w:ascii="Times New Roman" w:hAnsi="Times New Roman"/>
          <w:color w:val="000000" w:themeColor="text1"/>
          <w:vertAlign w:val="subscript"/>
        </w:rPr>
        <w:t>X</w:t>
      </w:r>
      <w:r w:rsidRPr="008A2411">
        <w:rPr>
          <w:rFonts w:ascii="Times New Roman" w:hAnsi="Times New Roman"/>
          <w:color w:val="000000" w:themeColor="text1"/>
        </w:rPr>
        <w:t>会对项目站场周围的区域环境造成一定影响。但由于放空时间较短，因此，因放空产生的环境影响持续时间也较短。</w:t>
      </w:r>
      <w:r w:rsidRPr="008A2411">
        <w:rPr>
          <w:rFonts w:ascii="Times New Roman" w:hAnsi="Times New Roman"/>
          <w:color w:val="000000" w:themeColor="text1"/>
          <w:lang w:val="zh-CN"/>
        </w:rPr>
        <w:t>本项目在发生事故排放时，</w:t>
      </w:r>
      <w:r w:rsidRPr="008A2411">
        <w:rPr>
          <w:rFonts w:ascii="Times New Roman" w:hAnsi="Times New Roman"/>
          <w:color w:val="000000" w:themeColor="text1"/>
        </w:rPr>
        <w:t>不</w:t>
      </w:r>
      <w:r w:rsidRPr="008A2411">
        <w:rPr>
          <w:rFonts w:ascii="Times New Roman" w:hAnsi="Times New Roman"/>
          <w:color w:val="000000" w:themeColor="text1"/>
          <w:lang w:val="zh-CN"/>
        </w:rPr>
        <w:t>会对站场周边的环境空气造成</w:t>
      </w:r>
      <w:r w:rsidRPr="008A2411">
        <w:rPr>
          <w:rFonts w:ascii="Times New Roman" w:hAnsi="Times New Roman"/>
          <w:color w:val="000000" w:themeColor="text1"/>
        </w:rPr>
        <w:t>明显不良</w:t>
      </w:r>
      <w:r w:rsidRPr="008A2411">
        <w:rPr>
          <w:rFonts w:ascii="Times New Roman" w:hAnsi="Times New Roman"/>
          <w:color w:val="000000" w:themeColor="text1"/>
          <w:lang w:val="zh-CN"/>
        </w:rPr>
        <w:t>影响。</w:t>
      </w:r>
    </w:p>
    <w:p w14:paraId="63A3C413"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本项目无组织排放污染物均可在厂界内达标，因此，本项目不划定大气环境防护距离。</w:t>
      </w:r>
    </w:p>
    <w:p w14:paraId="1B1C10A0"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2</w:t>
      </w:r>
      <w:r w:rsidRPr="008A2411">
        <w:rPr>
          <w:rFonts w:ascii="Times New Roman" w:hAnsi="Times New Roman"/>
          <w:color w:val="000000" w:themeColor="text1"/>
        </w:rPr>
        <w:t>）水环境</w:t>
      </w:r>
      <w:r w:rsidRPr="008A2411">
        <w:rPr>
          <w:rFonts w:ascii="Times New Roman" w:hAnsi="Times New Roman"/>
          <w:color w:val="000000" w:themeColor="text1"/>
        </w:rPr>
        <w:t xml:space="preserve">  </w:t>
      </w:r>
    </w:p>
    <w:p w14:paraId="1EB6950E"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本项目</w:t>
      </w:r>
      <w:r w:rsidRPr="008A2411">
        <w:rPr>
          <w:rFonts w:ascii="Times New Roman" w:hAnsi="Times New Roman"/>
          <w:color w:val="000000" w:themeColor="text1"/>
          <w:lang w:bidi="en-US"/>
        </w:rPr>
        <w:t>实施雨污分流、清污分流，地坪不用水冲洗，无地坪冲洗废水产生。</w:t>
      </w:r>
      <w:r w:rsidRPr="008A2411">
        <w:rPr>
          <w:rFonts w:ascii="Times New Roman" w:hAnsi="Times New Roman"/>
          <w:color w:val="000000" w:themeColor="text1"/>
        </w:rPr>
        <w:t>营运期污水主要包括生产废水和生活污水。其中生产废水主要有进口过滤分离器废水、冷却器产生的凝液、脱盐间排水、软化水装置排水、生活污水及初</w:t>
      </w:r>
      <w:r w:rsidRPr="008A2411">
        <w:rPr>
          <w:rFonts w:ascii="Times New Roman" w:hAnsi="Times New Roman" w:hint="eastAsia"/>
          <w:color w:val="000000" w:themeColor="text1"/>
        </w:rPr>
        <w:t>期</w:t>
      </w:r>
      <w:r w:rsidRPr="008A2411">
        <w:rPr>
          <w:rFonts w:ascii="Times New Roman" w:hAnsi="Times New Roman"/>
          <w:color w:val="000000" w:themeColor="text1"/>
        </w:rPr>
        <w:t>雨水等均排入厂区自建污水预处理系统，通过</w:t>
      </w:r>
      <w:r w:rsidRPr="008A2411">
        <w:rPr>
          <w:rFonts w:ascii="Times New Roman" w:hAnsi="Times New Roman" w:hint="eastAsia"/>
          <w:color w:val="000000" w:themeColor="text1"/>
        </w:rPr>
        <w:t>“</w:t>
      </w:r>
      <w:r w:rsidRPr="008A2411">
        <w:rPr>
          <w:rFonts w:ascii="Times New Roman" w:hAnsi="Times New Roman"/>
          <w:color w:val="000000" w:themeColor="text1"/>
        </w:rPr>
        <w:t>生化处理</w:t>
      </w:r>
      <w:r w:rsidRPr="008A2411">
        <w:rPr>
          <w:rFonts w:ascii="Times New Roman" w:hAnsi="Times New Roman"/>
          <w:color w:val="000000" w:themeColor="text1"/>
        </w:rPr>
        <w:t>+TF</w:t>
      </w:r>
      <w:r w:rsidRPr="008A2411">
        <w:rPr>
          <w:rFonts w:ascii="Times New Roman" w:hAnsi="Times New Roman"/>
          <w:color w:val="000000" w:themeColor="text1"/>
        </w:rPr>
        <w:t>过滤</w:t>
      </w:r>
      <w:r w:rsidRPr="008A2411">
        <w:rPr>
          <w:rFonts w:ascii="Times New Roman" w:hAnsi="Times New Roman" w:hint="eastAsia"/>
          <w:color w:val="000000" w:themeColor="text1"/>
        </w:rPr>
        <w:t>”</w:t>
      </w:r>
      <w:r w:rsidRPr="008A2411">
        <w:rPr>
          <w:rFonts w:ascii="Times New Roman" w:hAnsi="Times New Roman"/>
          <w:color w:val="000000" w:themeColor="text1"/>
        </w:rPr>
        <w:t>工艺处理后，达到《污水综合排放标准》（</w:t>
      </w:r>
      <w:r w:rsidRPr="008A2411">
        <w:rPr>
          <w:rFonts w:ascii="Times New Roman" w:hAnsi="Times New Roman"/>
          <w:color w:val="000000" w:themeColor="text1"/>
        </w:rPr>
        <w:t>GB8978-1996</w:t>
      </w:r>
      <w:r w:rsidRPr="008A2411">
        <w:rPr>
          <w:rFonts w:ascii="Times New Roman" w:hAnsi="Times New Roman"/>
          <w:color w:val="000000" w:themeColor="text1"/>
        </w:rPr>
        <w:t>）三级标准后排入园区管网，最终由园区污水处理厂处理达标后排放。</w:t>
      </w:r>
    </w:p>
    <w:p w14:paraId="5D810623"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故正常运营时，本项目产生的生产废水和生活污水均不会直接进入周边地表水，不会对地表水环境造成明显影响。</w:t>
      </w:r>
    </w:p>
    <w:p w14:paraId="39D55491"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3</w:t>
      </w:r>
      <w:r w:rsidRPr="008A2411">
        <w:rPr>
          <w:rFonts w:ascii="Times New Roman" w:hAnsi="Times New Roman"/>
          <w:color w:val="000000" w:themeColor="text1"/>
        </w:rPr>
        <w:t>）地下水</w:t>
      </w:r>
    </w:p>
    <w:p w14:paraId="481A0F13"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snapToGrid w:val="0"/>
          <w:color w:val="000000" w:themeColor="text1"/>
        </w:rPr>
        <w:t>本项目站场通过采取分区防渗、清污分流等措施，可有效降低地下水污染风险，在项目运营过程中应加强地下水监控措施和落实环境风险事故应急方案，可有效保障周边农户的饮用水安全，</w:t>
      </w:r>
      <w:proofErr w:type="gramStart"/>
      <w:r w:rsidRPr="008A2411">
        <w:rPr>
          <w:rFonts w:ascii="Times New Roman" w:hAnsi="Times New Roman"/>
          <w:snapToGrid w:val="0"/>
          <w:color w:val="000000" w:themeColor="text1"/>
        </w:rPr>
        <w:t>则工程</w:t>
      </w:r>
      <w:proofErr w:type="gramEnd"/>
      <w:r w:rsidRPr="008A2411">
        <w:rPr>
          <w:rFonts w:ascii="Times New Roman" w:hAnsi="Times New Roman"/>
          <w:snapToGrid w:val="0"/>
          <w:color w:val="000000" w:themeColor="text1"/>
        </w:rPr>
        <w:t>建设对地下水环境影响很小。</w:t>
      </w:r>
    </w:p>
    <w:p w14:paraId="2AC121EC"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4</w:t>
      </w:r>
      <w:r w:rsidRPr="008A2411">
        <w:rPr>
          <w:rFonts w:ascii="Times New Roman" w:hAnsi="Times New Roman"/>
          <w:color w:val="000000" w:themeColor="text1"/>
        </w:rPr>
        <w:t>）噪声</w:t>
      </w:r>
      <w:r w:rsidRPr="008A2411">
        <w:rPr>
          <w:rFonts w:ascii="Times New Roman" w:hAnsi="Times New Roman"/>
          <w:color w:val="000000" w:themeColor="text1"/>
        </w:rPr>
        <w:t xml:space="preserve">  </w:t>
      </w:r>
    </w:p>
    <w:p w14:paraId="4E3F224A"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t>由于站场内声源众多，源强较大，主要通过选用高效、低噪设备，采用隔声、减振、合理平面布局和加强管理等措施后，项目厂界噪声低于《工业企业场界环境噪声排放标准》（</w:t>
      </w:r>
      <w:r w:rsidRPr="008A2411">
        <w:rPr>
          <w:rFonts w:ascii="Times New Roman" w:hAnsi="Times New Roman"/>
          <w:color w:val="000000" w:themeColor="text1"/>
        </w:rPr>
        <w:t>GB12348-2008</w:t>
      </w:r>
      <w:r w:rsidRPr="008A2411">
        <w:rPr>
          <w:rFonts w:ascii="Times New Roman" w:hAnsi="Times New Roman"/>
          <w:color w:val="000000" w:themeColor="text1"/>
        </w:rPr>
        <w:t>）中的</w:t>
      </w:r>
      <w:r w:rsidRPr="008A2411">
        <w:rPr>
          <w:rFonts w:ascii="Times New Roman" w:hAnsi="Times New Roman"/>
          <w:color w:val="000000" w:themeColor="text1"/>
        </w:rPr>
        <w:t>3</w:t>
      </w:r>
      <w:r w:rsidRPr="008A2411">
        <w:rPr>
          <w:rFonts w:ascii="Times New Roman" w:hAnsi="Times New Roman"/>
          <w:color w:val="000000" w:themeColor="text1"/>
        </w:rPr>
        <w:t>类标准；</w:t>
      </w:r>
    </w:p>
    <w:p w14:paraId="67135CA1" w14:textId="77777777" w:rsidR="00B0005F" w:rsidRPr="008A2411" w:rsidRDefault="00000000">
      <w:pPr>
        <w:pStyle w:val="WJ"/>
        <w:adjustRightInd w:val="0"/>
        <w:spacing w:line="360" w:lineRule="auto"/>
        <w:rPr>
          <w:rFonts w:ascii="Times New Roman" w:hAnsi="Times New Roman"/>
          <w:color w:val="000000" w:themeColor="text1"/>
        </w:rPr>
      </w:pPr>
      <w:r w:rsidRPr="008A2411">
        <w:rPr>
          <w:rFonts w:ascii="Times New Roman" w:hAnsi="Times New Roman"/>
          <w:color w:val="000000" w:themeColor="text1"/>
        </w:rPr>
        <w:lastRenderedPageBreak/>
        <w:t>（</w:t>
      </w:r>
      <w:r w:rsidRPr="008A2411">
        <w:rPr>
          <w:rFonts w:ascii="Times New Roman" w:hAnsi="Times New Roman"/>
          <w:color w:val="000000" w:themeColor="text1"/>
        </w:rPr>
        <w:t>5</w:t>
      </w:r>
      <w:r w:rsidRPr="008A2411">
        <w:rPr>
          <w:rFonts w:ascii="Times New Roman" w:hAnsi="Times New Roman"/>
          <w:color w:val="000000" w:themeColor="text1"/>
        </w:rPr>
        <w:t>）固体废物</w:t>
      </w:r>
      <w:r w:rsidRPr="008A2411">
        <w:rPr>
          <w:rFonts w:ascii="Times New Roman" w:hAnsi="Times New Roman"/>
          <w:color w:val="000000" w:themeColor="text1"/>
        </w:rPr>
        <w:t xml:space="preserve"> </w:t>
      </w:r>
    </w:p>
    <w:p w14:paraId="6CD56DF8" w14:textId="5BC3EFF9"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工程运营期产生的固</w:t>
      </w:r>
      <w:proofErr w:type="gramStart"/>
      <w:r w:rsidRPr="008A2411">
        <w:rPr>
          <w:rFonts w:ascii="Times New Roman" w:hAnsi="Times New Roman"/>
          <w:color w:val="000000" w:themeColor="text1"/>
        </w:rPr>
        <w:t>废主要</w:t>
      </w:r>
      <w:proofErr w:type="gramEnd"/>
      <w:r w:rsidRPr="008A2411">
        <w:rPr>
          <w:rFonts w:ascii="Times New Roman" w:hAnsi="Times New Roman"/>
          <w:color w:val="000000" w:themeColor="text1"/>
        </w:rPr>
        <w:t>是</w:t>
      </w:r>
      <w:r w:rsidRPr="008A2411">
        <w:rPr>
          <w:rFonts w:ascii="Times New Roman" w:hAnsi="Times New Roman"/>
          <w:bCs/>
          <w:color w:val="000000" w:themeColor="text1"/>
        </w:rPr>
        <w:t>污水处理系统污泥、</w:t>
      </w:r>
      <w:r w:rsidRPr="008A2411">
        <w:rPr>
          <w:rFonts w:ascii="Times New Roman" w:hint="eastAsia"/>
          <w:color w:val="000000" w:themeColor="text1"/>
        </w:rPr>
        <w:t>废制氮装置废过滤器、</w:t>
      </w:r>
      <w:r w:rsidRPr="008A2411">
        <w:rPr>
          <w:rFonts w:ascii="Times New Roman" w:hAnsi="Times New Roman"/>
          <w:color w:val="000000" w:themeColor="text1"/>
        </w:rPr>
        <w:t>值守人员产生的生活垃圾、废分子筛、废油、废活性炭、化验间残液及过滤装置滤渣。其中，一般固废为污水系统污泥产生量为</w:t>
      </w:r>
      <w:r w:rsidRPr="008A2411">
        <w:rPr>
          <w:rFonts w:ascii="Times New Roman" w:hAnsi="Times New Roman"/>
          <w:color w:val="000000" w:themeColor="text1"/>
        </w:rPr>
        <w:t>0.2t/d</w:t>
      </w:r>
      <w:r w:rsidRPr="008A2411">
        <w:rPr>
          <w:rFonts w:ascii="Times New Roman" w:hAnsi="Times New Roman"/>
          <w:color w:val="000000" w:themeColor="text1"/>
        </w:rPr>
        <w:t>（约</w:t>
      </w:r>
      <w:r w:rsidRPr="008A2411">
        <w:rPr>
          <w:rFonts w:ascii="Times New Roman" w:hAnsi="Times New Roman"/>
          <w:color w:val="000000" w:themeColor="text1"/>
        </w:rPr>
        <w:t>73t/a</w:t>
      </w:r>
      <w:r w:rsidRPr="008A2411">
        <w:rPr>
          <w:rFonts w:ascii="Times New Roman" w:hAnsi="Times New Roman"/>
          <w:color w:val="000000" w:themeColor="text1"/>
        </w:rPr>
        <w:t>），</w:t>
      </w:r>
      <w:proofErr w:type="gramStart"/>
      <w:r w:rsidRPr="008A2411">
        <w:rPr>
          <w:rFonts w:ascii="Times New Roman" w:hAnsi="Times New Roman"/>
          <w:color w:val="000000" w:themeColor="text1"/>
        </w:rPr>
        <w:t>送城市</w:t>
      </w:r>
      <w:proofErr w:type="gramEnd"/>
      <w:r w:rsidRPr="008A2411">
        <w:rPr>
          <w:rFonts w:ascii="Times New Roman" w:hAnsi="Times New Roman"/>
          <w:color w:val="000000" w:themeColor="text1"/>
        </w:rPr>
        <w:t>生活垃圾填埋场处理；</w:t>
      </w:r>
      <w:r w:rsidRPr="008A2411">
        <w:rPr>
          <w:rFonts w:ascii="Times New Roman" w:hint="eastAsia"/>
          <w:color w:val="000000" w:themeColor="text1"/>
        </w:rPr>
        <w:t>废制氮装置废过滤器</w:t>
      </w:r>
      <w:r w:rsidRPr="008A2411">
        <w:rPr>
          <w:rFonts w:ascii="Times New Roman" w:hAnsi="Times New Roman"/>
          <w:color w:val="000000" w:themeColor="text1"/>
        </w:rPr>
        <w:t>生量为</w:t>
      </w:r>
      <w:r w:rsidRPr="008A2411">
        <w:rPr>
          <w:rFonts w:ascii="Times New Roman" w:hAnsi="Times New Roman"/>
          <w:color w:val="000000" w:themeColor="text1"/>
        </w:rPr>
        <w:t>0.</w:t>
      </w:r>
      <w:r w:rsidRPr="008A2411">
        <w:rPr>
          <w:rFonts w:ascii="Times New Roman" w:hAnsi="Times New Roman" w:hint="eastAsia"/>
          <w:color w:val="000000" w:themeColor="text1"/>
        </w:rPr>
        <w:t>1</w:t>
      </w:r>
      <w:r w:rsidRPr="008A2411">
        <w:rPr>
          <w:rFonts w:ascii="Times New Roman" w:hAnsi="Times New Roman"/>
          <w:color w:val="000000" w:themeColor="text1"/>
        </w:rPr>
        <w:t>t/a</w:t>
      </w:r>
      <w:r w:rsidRPr="008A2411">
        <w:rPr>
          <w:rFonts w:ascii="Times New Roman" w:hAnsi="Times New Roman" w:hint="eastAsia"/>
          <w:color w:val="000000" w:themeColor="text1"/>
        </w:rPr>
        <w:t>，在更换时交由供货厂商回收；</w:t>
      </w:r>
      <w:r w:rsidRPr="008A2411">
        <w:rPr>
          <w:rFonts w:ascii="Times New Roman" w:hAnsi="Times New Roman"/>
          <w:color w:val="000000" w:themeColor="text1"/>
        </w:rPr>
        <w:t>生活垃圾产生量为</w:t>
      </w:r>
      <w:r w:rsidRPr="008A2411">
        <w:rPr>
          <w:rFonts w:ascii="Times New Roman" w:hAnsi="Times New Roman"/>
          <w:color w:val="000000" w:themeColor="text1"/>
        </w:rPr>
        <w:t>0.335t/d</w:t>
      </w:r>
      <w:r w:rsidRPr="008A2411">
        <w:rPr>
          <w:rFonts w:ascii="Times New Roman" w:hAnsi="Times New Roman"/>
          <w:color w:val="000000" w:themeColor="text1"/>
        </w:rPr>
        <w:t>（约</w:t>
      </w:r>
      <w:r w:rsidR="001B5753" w:rsidRPr="008A2411">
        <w:rPr>
          <w:rFonts w:ascii="Times New Roman" w:hAnsi="Times New Roman" w:hint="eastAsia"/>
          <w:color w:val="000000" w:themeColor="text1"/>
        </w:rPr>
        <w:t>110.5</w:t>
      </w:r>
      <w:r w:rsidRPr="008A2411">
        <w:rPr>
          <w:rFonts w:ascii="Times New Roman" w:hAnsi="Times New Roman"/>
          <w:color w:val="000000" w:themeColor="text1"/>
        </w:rPr>
        <w:t>t/a</w:t>
      </w:r>
      <w:r w:rsidRPr="008A2411">
        <w:rPr>
          <w:rFonts w:ascii="Times New Roman" w:hAnsi="Times New Roman"/>
          <w:color w:val="000000" w:themeColor="text1"/>
        </w:rPr>
        <w:t>），由当地环卫部门统一收集处理；危险废物包括废分子筛产生量为</w:t>
      </w:r>
      <w:r w:rsidRPr="008A2411">
        <w:rPr>
          <w:rFonts w:ascii="Times New Roman" w:hAnsi="Times New Roman"/>
          <w:color w:val="000000" w:themeColor="text1"/>
        </w:rPr>
        <w:t>3t/a</w:t>
      </w:r>
      <w:r w:rsidRPr="008A2411">
        <w:rPr>
          <w:rFonts w:ascii="Times New Roman" w:hAnsi="Times New Roman"/>
          <w:color w:val="000000" w:themeColor="text1"/>
        </w:rPr>
        <w:t>，干燥塔脱水再生单元含油废液产生量</w:t>
      </w:r>
      <w:r w:rsidRPr="008A2411">
        <w:rPr>
          <w:rFonts w:ascii="Times New Roman" w:hAnsi="Times New Roman"/>
          <w:color w:val="000000" w:themeColor="text1"/>
        </w:rPr>
        <w:t>3.2t/a</w:t>
      </w:r>
      <w:r w:rsidRPr="008A2411">
        <w:rPr>
          <w:rFonts w:ascii="Times New Roman" w:hAnsi="Times New Roman"/>
          <w:color w:val="000000" w:themeColor="text1"/>
        </w:rPr>
        <w:t>，设备检修废油产生量为</w:t>
      </w:r>
      <w:r w:rsidRPr="008A2411">
        <w:rPr>
          <w:rFonts w:ascii="Times New Roman" w:hAnsi="Times New Roman"/>
          <w:color w:val="000000" w:themeColor="text1"/>
        </w:rPr>
        <w:t>2t/a</w:t>
      </w:r>
      <w:r w:rsidRPr="008A2411">
        <w:rPr>
          <w:rFonts w:ascii="Times New Roman" w:hAnsi="Times New Roman"/>
          <w:color w:val="000000" w:themeColor="text1"/>
        </w:rPr>
        <w:t>，生产装置区液化生产单元、脱碳单元、脱汞单元和脱重烃单元产生的废活性炭为</w:t>
      </w:r>
      <w:r w:rsidR="002A582A" w:rsidRPr="008A2411">
        <w:rPr>
          <w:rFonts w:ascii="Times New Roman" w:hAnsi="Times New Roman" w:hint="eastAsia"/>
          <w:color w:val="000000" w:themeColor="text1"/>
        </w:rPr>
        <w:t>1</w:t>
      </w:r>
      <w:r w:rsidRPr="008A2411">
        <w:rPr>
          <w:rFonts w:ascii="Times New Roman" w:hAnsi="Times New Roman"/>
          <w:color w:val="000000" w:themeColor="text1"/>
        </w:rPr>
        <w:t>0t/a</w:t>
      </w:r>
      <w:r w:rsidRPr="008A2411">
        <w:rPr>
          <w:rFonts w:ascii="Times New Roman" w:hAnsi="Times New Roman"/>
          <w:color w:val="000000" w:themeColor="text1"/>
        </w:rPr>
        <w:t>，化验间废液产生量约</w:t>
      </w:r>
      <w:r w:rsidRPr="008A2411">
        <w:rPr>
          <w:rFonts w:ascii="Times New Roman" w:hAnsi="Times New Roman"/>
          <w:color w:val="000000" w:themeColor="text1"/>
        </w:rPr>
        <w:t>0.02t/a</w:t>
      </w:r>
      <w:r w:rsidRPr="008A2411">
        <w:rPr>
          <w:rFonts w:ascii="Times New Roman" w:hAnsi="Times New Roman"/>
          <w:color w:val="000000" w:themeColor="text1"/>
        </w:rPr>
        <w:t>（由废液收集桶收集），进口过滤器、溶液过滤器、净化气过滤器、重烃过滤器等过滤杂质产生量为</w:t>
      </w:r>
      <w:r w:rsidRPr="008A2411">
        <w:rPr>
          <w:rFonts w:ascii="Times New Roman" w:hAnsi="Times New Roman"/>
          <w:color w:val="000000" w:themeColor="text1"/>
        </w:rPr>
        <w:t>0.67t/a</w:t>
      </w:r>
      <w:r w:rsidR="00415F51" w:rsidRPr="008A2411">
        <w:rPr>
          <w:rFonts w:ascii="Times New Roman" w:hAnsi="Times New Roman" w:hint="eastAsia"/>
          <w:color w:val="000000" w:themeColor="text1"/>
        </w:rPr>
        <w:t>，更换导热油时废导热</w:t>
      </w:r>
      <w:proofErr w:type="gramStart"/>
      <w:r w:rsidR="00415F51" w:rsidRPr="008A2411">
        <w:rPr>
          <w:rFonts w:ascii="Times New Roman" w:hAnsi="Times New Roman" w:hint="eastAsia"/>
          <w:color w:val="000000" w:themeColor="text1"/>
        </w:rPr>
        <w:t>油产生</w:t>
      </w:r>
      <w:proofErr w:type="gramEnd"/>
      <w:r w:rsidR="00415F51" w:rsidRPr="008A2411">
        <w:rPr>
          <w:rFonts w:ascii="Times New Roman" w:hAnsi="Times New Roman" w:hint="eastAsia"/>
          <w:color w:val="000000" w:themeColor="text1"/>
        </w:rPr>
        <w:t>量为</w:t>
      </w:r>
      <w:r w:rsidR="00237F5D">
        <w:rPr>
          <w:rFonts w:ascii="Times New Roman" w:hAnsi="Times New Roman"/>
          <w:color w:val="000000" w:themeColor="text1"/>
        </w:rPr>
        <w:t>12.5</w:t>
      </w:r>
      <w:r w:rsidR="00415F51" w:rsidRPr="008A2411">
        <w:rPr>
          <w:rFonts w:ascii="Times New Roman" w:hAnsi="Times New Roman"/>
          <w:color w:val="000000" w:themeColor="text1"/>
        </w:rPr>
        <w:t>t/a</w:t>
      </w:r>
      <w:r w:rsidRPr="008A2411">
        <w:rPr>
          <w:rFonts w:ascii="Times New Roman" w:hAnsi="Times New Roman"/>
          <w:color w:val="000000" w:themeColor="text1"/>
        </w:rPr>
        <w:t>。上述危险废物</w:t>
      </w:r>
      <w:proofErr w:type="gramStart"/>
      <w:r w:rsidRPr="008A2411">
        <w:rPr>
          <w:rFonts w:ascii="Times New Roman" w:hAnsi="Times New Roman"/>
          <w:color w:val="000000" w:themeColor="text1"/>
        </w:rPr>
        <w:t>存于危废暂存</w:t>
      </w:r>
      <w:proofErr w:type="gramEnd"/>
      <w:r w:rsidRPr="008A2411">
        <w:rPr>
          <w:rFonts w:ascii="Times New Roman" w:hAnsi="Times New Roman"/>
          <w:color w:val="000000" w:themeColor="text1"/>
        </w:rPr>
        <w:t>间，交有资质单位处置。</w:t>
      </w:r>
    </w:p>
    <w:p w14:paraId="42A819AD"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因此，项目运营期所产各</w:t>
      </w:r>
      <w:proofErr w:type="gramStart"/>
      <w:r w:rsidRPr="008A2411">
        <w:rPr>
          <w:rFonts w:ascii="Times New Roman" w:hAnsi="Times New Roman"/>
          <w:color w:val="000000" w:themeColor="text1"/>
        </w:rPr>
        <w:t>类固废经</w:t>
      </w:r>
      <w:proofErr w:type="gramEnd"/>
      <w:r w:rsidRPr="008A2411">
        <w:rPr>
          <w:rFonts w:ascii="Times New Roman" w:hAnsi="Times New Roman"/>
          <w:color w:val="000000" w:themeColor="text1"/>
        </w:rPr>
        <w:t>分类收集后，都能得到有效处理，不会对项目周边环境造成二次污染。</w:t>
      </w:r>
    </w:p>
    <w:p w14:paraId="45EDCFEC"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w:t>
      </w:r>
      <w:r w:rsidRPr="008A2411">
        <w:rPr>
          <w:rFonts w:ascii="Times New Roman" w:hAnsi="Times New Roman"/>
          <w:color w:val="000000" w:themeColor="text1"/>
        </w:rPr>
        <w:t>5</w:t>
      </w:r>
      <w:r w:rsidRPr="008A2411">
        <w:rPr>
          <w:rFonts w:ascii="Times New Roman" w:hAnsi="Times New Roman"/>
          <w:color w:val="000000" w:themeColor="text1"/>
        </w:rPr>
        <w:t>）生态影响</w:t>
      </w:r>
    </w:p>
    <w:p w14:paraId="4F4E74EA"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snapToGrid w:val="0"/>
          <w:color w:val="000000" w:themeColor="text1"/>
        </w:rPr>
        <w:t>本项目占地约</w:t>
      </w:r>
      <w:r w:rsidRPr="008A2411">
        <w:rPr>
          <w:rFonts w:ascii="Times New Roman" w:hAnsi="Times New Roman"/>
          <w:snapToGrid w:val="0"/>
          <w:color w:val="000000" w:themeColor="text1"/>
        </w:rPr>
        <w:t>88013.33m</w:t>
      </w:r>
      <w:r w:rsidRPr="008A2411">
        <w:rPr>
          <w:rFonts w:ascii="Times New Roman" w:hAnsi="Times New Roman"/>
          <w:snapToGrid w:val="0"/>
          <w:color w:val="000000" w:themeColor="text1"/>
          <w:vertAlign w:val="superscript"/>
        </w:rPr>
        <w:t>2</w:t>
      </w:r>
      <w:r w:rsidRPr="008A2411">
        <w:rPr>
          <w:rFonts w:ascii="Times New Roman" w:hAnsi="Times New Roman"/>
          <w:snapToGrid w:val="0"/>
          <w:color w:val="000000" w:themeColor="text1"/>
        </w:rPr>
        <w:t>，</w:t>
      </w:r>
      <w:r w:rsidRPr="008A2411">
        <w:rPr>
          <w:rFonts w:ascii="Times New Roman" w:hAnsi="Times New Roman"/>
          <w:color w:val="000000" w:themeColor="text1"/>
        </w:rPr>
        <w:t>主要为工业用地（现状</w:t>
      </w:r>
      <w:r w:rsidRPr="008A2411">
        <w:rPr>
          <w:rFonts w:ascii="Times New Roman" w:hAnsi="Times New Roman" w:hint="eastAsia"/>
          <w:color w:val="000000" w:themeColor="text1"/>
        </w:rPr>
        <w:t>为农</w:t>
      </w:r>
      <w:r w:rsidRPr="008A2411">
        <w:rPr>
          <w:rFonts w:ascii="Times New Roman" w:hAnsi="Times New Roman"/>
          <w:color w:val="000000" w:themeColor="text1"/>
        </w:rPr>
        <w:t>林地）。由于项目占地小，对林地用地的影响甚微故其影响处于可接受的水平。此外，本项目不以周边河流为供水水源，且所产生产污水</w:t>
      </w:r>
      <w:r w:rsidRPr="008A2411">
        <w:rPr>
          <w:rFonts w:ascii="Times New Roman" w:hAnsi="Times New Roman" w:hint="eastAsia"/>
          <w:color w:val="000000" w:themeColor="text1"/>
        </w:rPr>
        <w:t>排入园区管网</w:t>
      </w:r>
      <w:r w:rsidRPr="008A2411">
        <w:rPr>
          <w:rFonts w:ascii="Times New Roman" w:hAnsi="Times New Roman"/>
          <w:color w:val="000000" w:themeColor="text1"/>
        </w:rPr>
        <w:t>，不直接排入周边地表水，不会对其水质产生影响。因此，本项目不会对区域水生生态产生明显影响。</w:t>
      </w:r>
    </w:p>
    <w:p w14:paraId="53B6D634" w14:textId="77777777" w:rsidR="00B0005F" w:rsidRPr="008A2411" w:rsidRDefault="00000000">
      <w:pPr>
        <w:pStyle w:val="WJ2"/>
        <w:spacing w:line="360" w:lineRule="auto"/>
        <w:rPr>
          <w:rFonts w:ascii="Times New Roman" w:hAnsi="Times New Roman"/>
          <w:color w:val="000000" w:themeColor="text1"/>
        </w:rPr>
      </w:pPr>
      <w:bookmarkStart w:id="847" w:name="_Toc405214375"/>
      <w:bookmarkStart w:id="848" w:name="_Toc405904963"/>
      <w:bookmarkStart w:id="849" w:name="_Toc451355449"/>
      <w:bookmarkStart w:id="850" w:name="_Toc319853046"/>
      <w:bookmarkStart w:id="851" w:name="_Toc405905435"/>
      <w:bookmarkStart w:id="852" w:name="_Toc422906973"/>
      <w:bookmarkStart w:id="853" w:name="_Toc405904619"/>
      <w:bookmarkStart w:id="854" w:name="_Toc109170814"/>
      <w:r w:rsidRPr="008A2411">
        <w:rPr>
          <w:rFonts w:ascii="Times New Roman" w:hAnsi="Times New Roman"/>
          <w:color w:val="000000" w:themeColor="text1"/>
        </w:rPr>
        <w:t>10.5</w:t>
      </w:r>
      <w:r w:rsidRPr="008A2411">
        <w:rPr>
          <w:rFonts w:ascii="Times New Roman" w:hAnsi="Times New Roman"/>
          <w:color w:val="000000" w:themeColor="text1"/>
        </w:rPr>
        <w:t>清洁生产</w:t>
      </w:r>
      <w:bookmarkEnd w:id="847"/>
      <w:bookmarkEnd w:id="848"/>
      <w:bookmarkEnd w:id="849"/>
      <w:bookmarkEnd w:id="850"/>
      <w:bookmarkEnd w:id="851"/>
      <w:bookmarkEnd w:id="852"/>
      <w:bookmarkEnd w:id="853"/>
      <w:bookmarkEnd w:id="854"/>
    </w:p>
    <w:p w14:paraId="28446474" w14:textId="77777777" w:rsidR="00B0005F" w:rsidRPr="008A2411" w:rsidRDefault="00000000">
      <w:pPr>
        <w:adjustRightInd w:val="0"/>
        <w:snapToGrid w:val="0"/>
        <w:spacing w:line="360" w:lineRule="auto"/>
        <w:ind w:firstLine="480"/>
        <w:rPr>
          <w:rFonts w:ascii="Times New Roman"/>
          <w:color w:val="000000" w:themeColor="text1"/>
        </w:rPr>
      </w:pPr>
      <w:r w:rsidRPr="008A2411">
        <w:rPr>
          <w:rFonts w:ascii="Times New Roman"/>
          <w:color w:val="000000" w:themeColor="text1"/>
        </w:rPr>
        <w:t>该项目工艺采用目前国内先进的生产工艺和技术装备；项目原料使用清洁能源；产品具有很好的清洁性；固废最大限度实现了资源综合利用；冷却水均采用循环利用措施。</w:t>
      </w:r>
    </w:p>
    <w:p w14:paraId="62CE8EA1"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分析认为，项目从原料的选用，工艺装备技术，能耗、物耗指标，污染物产生，废物综合利用以及产品使用过程上均体现出清洁生产的原则。因此，项目满足清洁生产要求，清洁生产水平处于国内先进水平。</w:t>
      </w:r>
    </w:p>
    <w:p w14:paraId="2942A42F" w14:textId="77777777" w:rsidR="00B0005F" w:rsidRPr="008A2411" w:rsidRDefault="00000000">
      <w:pPr>
        <w:pStyle w:val="WJ2"/>
        <w:spacing w:line="360" w:lineRule="auto"/>
        <w:rPr>
          <w:rFonts w:ascii="Times New Roman" w:hAnsi="Times New Roman"/>
          <w:color w:val="000000" w:themeColor="text1"/>
        </w:rPr>
      </w:pPr>
      <w:bookmarkStart w:id="855" w:name="_Toc422906974"/>
      <w:bookmarkStart w:id="856" w:name="_Toc451355450"/>
      <w:bookmarkStart w:id="857" w:name="_Toc405904964"/>
      <w:bookmarkStart w:id="858" w:name="_Toc405905436"/>
      <w:bookmarkStart w:id="859" w:name="_Toc405904620"/>
      <w:bookmarkStart w:id="860" w:name="_Toc109170815"/>
      <w:r w:rsidRPr="008A2411">
        <w:rPr>
          <w:rFonts w:ascii="Times New Roman" w:hAnsi="Times New Roman"/>
          <w:color w:val="000000" w:themeColor="text1"/>
        </w:rPr>
        <w:t>10.6</w:t>
      </w:r>
      <w:r w:rsidRPr="008A2411">
        <w:rPr>
          <w:rFonts w:ascii="Times New Roman" w:hAnsi="Times New Roman"/>
          <w:color w:val="000000" w:themeColor="text1"/>
        </w:rPr>
        <w:t>总量控制指标</w:t>
      </w:r>
      <w:bookmarkEnd w:id="855"/>
      <w:bookmarkEnd w:id="856"/>
      <w:bookmarkEnd w:id="857"/>
      <w:bookmarkEnd w:id="858"/>
      <w:bookmarkEnd w:id="859"/>
      <w:bookmarkEnd w:id="860"/>
    </w:p>
    <w:p w14:paraId="7CA175EA" w14:textId="3F1C71F0"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根据本报告测算，建议项目总量控制指标为：</w:t>
      </w:r>
      <w:r w:rsidRPr="008A2411">
        <w:rPr>
          <w:rFonts w:ascii="Times New Roman" w:hAnsi="Times New Roman"/>
          <w:color w:val="000000" w:themeColor="text1"/>
        </w:rPr>
        <w:t>SO</w:t>
      </w:r>
      <w:r w:rsidRPr="008A2411">
        <w:rPr>
          <w:rFonts w:ascii="Times New Roman" w:hAnsi="Times New Roman"/>
          <w:color w:val="000000" w:themeColor="text1"/>
          <w:vertAlign w:val="subscript"/>
        </w:rPr>
        <w:t>2</w:t>
      </w:r>
      <w:r w:rsidRPr="008A2411">
        <w:rPr>
          <w:rFonts w:ascii="Times New Roman" w:hAnsi="Times New Roman"/>
          <w:color w:val="000000" w:themeColor="text1"/>
        </w:rPr>
        <w:t>：</w:t>
      </w:r>
      <w:r w:rsidRPr="008A2411">
        <w:rPr>
          <w:rFonts w:ascii="Times New Roman" w:hAnsi="Times New Roman"/>
          <w:color w:val="000000" w:themeColor="text1"/>
        </w:rPr>
        <w:t>0.086t/a</w:t>
      </w:r>
      <w:r w:rsidRPr="008A2411">
        <w:rPr>
          <w:rFonts w:ascii="Times New Roman" w:hAnsi="Times New Roman"/>
          <w:color w:val="000000" w:themeColor="text1"/>
        </w:rPr>
        <w:t>、</w:t>
      </w:r>
      <w:r w:rsidRPr="008A2411">
        <w:rPr>
          <w:rFonts w:ascii="Times New Roman" w:hAnsi="Times New Roman"/>
          <w:color w:val="000000" w:themeColor="text1"/>
        </w:rPr>
        <w:t>NOx</w:t>
      </w:r>
      <w:r w:rsidRPr="008A2411">
        <w:rPr>
          <w:rFonts w:ascii="Times New Roman" w:hAnsi="Times New Roman"/>
          <w:color w:val="000000" w:themeColor="text1"/>
        </w:rPr>
        <w:t>：</w:t>
      </w:r>
      <w:r w:rsidRPr="008A2411">
        <w:rPr>
          <w:rFonts w:ascii="Times New Roman" w:hAnsi="Times New Roman"/>
          <w:color w:val="000000" w:themeColor="text1"/>
        </w:rPr>
        <w:t>4.4112t/a</w:t>
      </w:r>
      <w:r w:rsidRPr="008A2411">
        <w:rPr>
          <w:rFonts w:ascii="Times New Roman" w:hAnsi="Times New Roman"/>
          <w:color w:val="000000" w:themeColor="text1"/>
        </w:rPr>
        <w:t>、</w:t>
      </w:r>
      <w:r w:rsidR="00F243D6" w:rsidRPr="008A2411">
        <w:rPr>
          <w:rFonts w:ascii="Times New Roman" w:hAnsi="Times New Roman"/>
          <w:color w:val="000000" w:themeColor="text1"/>
        </w:rPr>
        <w:t>NMHC</w:t>
      </w:r>
      <w:r w:rsidRPr="008A2411">
        <w:rPr>
          <w:rFonts w:ascii="Times New Roman" w:hAnsi="Times New Roman"/>
          <w:color w:val="000000" w:themeColor="text1"/>
        </w:rPr>
        <w:t>：</w:t>
      </w:r>
      <w:r w:rsidRPr="008A2411">
        <w:rPr>
          <w:rFonts w:ascii="Times New Roman" w:hAnsi="Times New Roman"/>
          <w:color w:val="000000" w:themeColor="text1"/>
        </w:rPr>
        <w:t>1.0069t/a</w:t>
      </w:r>
      <w:r w:rsidRPr="008A2411">
        <w:rPr>
          <w:rFonts w:ascii="Times New Roman" w:hAnsi="Times New Roman"/>
          <w:color w:val="000000" w:themeColor="text1"/>
        </w:rPr>
        <w:t>。</w:t>
      </w:r>
    </w:p>
    <w:p w14:paraId="7476B31F"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lastRenderedPageBreak/>
        <w:t>项目所产生产废水及生活污水均排入厂区自建污水预处理系统，通过</w:t>
      </w:r>
      <w:r w:rsidRPr="008A2411">
        <w:rPr>
          <w:rFonts w:ascii="Times New Roman" w:hAnsi="Times New Roman" w:hint="eastAsia"/>
          <w:color w:val="000000" w:themeColor="text1"/>
        </w:rPr>
        <w:t>“</w:t>
      </w:r>
      <w:r w:rsidRPr="008A2411">
        <w:rPr>
          <w:rFonts w:ascii="Times New Roman" w:hAnsi="Times New Roman"/>
          <w:color w:val="000000" w:themeColor="text1"/>
        </w:rPr>
        <w:t>生化处理</w:t>
      </w:r>
      <w:r w:rsidRPr="008A2411">
        <w:rPr>
          <w:rFonts w:ascii="Times New Roman" w:hAnsi="Times New Roman"/>
          <w:color w:val="000000" w:themeColor="text1"/>
        </w:rPr>
        <w:t>+TF</w:t>
      </w:r>
      <w:r w:rsidRPr="008A2411">
        <w:rPr>
          <w:rFonts w:ascii="Times New Roman" w:hAnsi="Times New Roman"/>
          <w:color w:val="000000" w:themeColor="text1"/>
        </w:rPr>
        <w:t>过滤</w:t>
      </w:r>
      <w:r w:rsidRPr="008A2411">
        <w:rPr>
          <w:rFonts w:ascii="Times New Roman" w:hAnsi="Times New Roman" w:hint="eastAsia"/>
          <w:color w:val="000000" w:themeColor="text1"/>
        </w:rPr>
        <w:t>”</w:t>
      </w:r>
      <w:r w:rsidRPr="008A2411">
        <w:rPr>
          <w:rFonts w:ascii="Times New Roman" w:hAnsi="Times New Roman"/>
          <w:color w:val="000000" w:themeColor="text1"/>
        </w:rPr>
        <w:t>工艺处理后，达到《污水综合排放标准》（</w:t>
      </w:r>
      <w:r w:rsidRPr="008A2411">
        <w:rPr>
          <w:rFonts w:ascii="Times New Roman" w:hAnsi="Times New Roman"/>
          <w:color w:val="000000" w:themeColor="text1"/>
        </w:rPr>
        <w:t>GB8978-1996</w:t>
      </w:r>
      <w:r w:rsidRPr="008A2411">
        <w:rPr>
          <w:rFonts w:ascii="Times New Roman" w:hAnsi="Times New Roman"/>
          <w:color w:val="000000" w:themeColor="text1"/>
        </w:rPr>
        <w:t>）三级标准后排入园区管网，最终由园区污水处理厂处理达标后排放，其</w:t>
      </w:r>
      <w:r w:rsidRPr="008A2411">
        <w:rPr>
          <w:rFonts w:ascii="Times New Roman" w:hAnsi="Times New Roman"/>
          <w:color w:val="000000" w:themeColor="text1"/>
        </w:rPr>
        <w:t>COD</w:t>
      </w:r>
      <w:r w:rsidRPr="008A2411">
        <w:rPr>
          <w:rFonts w:ascii="Times New Roman" w:hAnsi="Times New Roman"/>
          <w:color w:val="000000" w:themeColor="text1"/>
        </w:rPr>
        <w:t>总量纳入宣汉县普光工业园区污水处理厂总量控制指标内。</w:t>
      </w:r>
    </w:p>
    <w:p w14:paraId="08C29FCE" w14:textId="77777777" w:rsidR="00B0005F" w:rsidRPr="008A2411" w:rsidRDefault="00000000">
      <w:pPr>
        <w:pStyle w:val="WJ2"/>
        <w:spacing w:line="360" w:lineRule="auto"/>
        <w:rPr>
          <w:rFonts w:ascii="Times New Roman" w:hAnsi="Times New Roman"/>
          <w:color w:val="000000" w:themeColor="text1"/>
        </w:rPr>
      </w:pPr>
      <w:bookmarkStart w:id="861" w:name="_Toc405905439"/>
      <w:bookmarkStart w:id="862" w:name="_Toc451355453"/>
      <w:bookmarkStart w:id="863" w:name="_Toc405904967"/>
      <w:bookmarkStart w:id="864" w:name="_Toc422906977"/>
      <w:bookmarkStart w:id="865" w:name="_Toc405904623"/>
      <w:bookmarkStart w:id="866" w:name="_Toc109170816"/>
      <w:r w:rsidRPr="008A2411">
        <w:rPr>
          <w:rFonts w:ascii="Times New Roman" w:hAnsi="Times New Roman"/>
          <w:color w:val="000000" w:themeColor="text1"/>
        </w:rPr>
        <w:t>10.7</w:t>
      </w:r>
      <w:r w:rsidRPr="008A2411">
        <w:rPr>
          <w:rFonts w:ascii="Times New Roman" w:hAnsi="Times New Roman"/>
          <w:color w:val="000000" w:themeColor="text1"/>
        </w:rPr>
        <w:t>经济损益分析</w:t>
      </w:r>
      <w:bookmarkEnd w:id="861"/>
      <w:bookmarkEnd w:id="862"/>
      <w:bookmarkEnd w:id="863"/>
      <w:bookmarkEnd w:id="864"/>
      <w:bookmarkEnd w:id="865"/>
      <w:bookmarkEnd w:id="866"/>
    </w:p>
    <w:p w14:paraId="2D7958E9"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本项目年营业收</w:t>
      </w:r>
      <w:r w:rsidRPr="008A2411">
        <w:rPr>
          <w:rFonts w:ascii="Times New Roman" w:hAnsi="Times New Roman"/>
          <w:color w:val="000000" w:themeColor="text1"/>
        </w:rPr>
        <w:t>7245</w:t>
      </w:r>
      <w:r w:rsidRPr="008A2411">
        <w:rPr>
          <w:rFonts w:ascii="Times New Roman" w:hAnsi="Times New Roman"/>
          <w:color w:val="000000" w:themeColor="text1"/>
        </w:rPr>
        <w:t>万元，资本金有较强的盈利能力，因此，本项目具有良好的经济效益。本项目通过环保治理后，在废气排放方面，对脱硫废气中的</w:t>
      </w:r>
      <w:r w:rsidRPr="008A2411">
        <w:rPr>
          <w:rFonts w:ascii="Times New Roman" w:hAnsi="Times New Roman"/>
          <w:color w:val="000000" w:themeColor="text1"/>
        </w:rPr>
        <w:t>H</w:t>
      </w:r>
      <w:r w:rsidRPr="008A2411">
        <w:rPr>
          <w:rFonts w:ascii="Times New Roman" w:hAnsi="Times New Roman"/>
          <w:color w:val="000000" w:themeColor="text1"/>
          <w:vertAlign w:val="subscript"/>
        </w:rPr>
        <w:t>2</w:t>
      </w:r>
      <w:r w:rsidRPr="008A2411">
        <w:rPr>
          <w:rFonts w:ascii="Times New Roman" w:hAnsi="Times New Roman"/>
          <w:color w:val="000000" w:themeColor="text1"/>
        </w:rPr>
        <w:t>S</w:t>
      </w:r>
      <w:r w:rsidRPr="008A2411">
        <w:rPr>
          <w:rFonts w:ascii="Times New Roman" w:hAnsi="Times New Roman"/>
          <w:color w:val="000000" w:themeColor="text1"/>
        </w:rPr>
        <w:t>等酸性气体进行了排放消减；在废水方面，厂区自建了污水处理系统，对生产及生活废水中的</w:t>
      </w:r>
      <w:r w:rsidRPr="008A2411">
        <w:rPr>
          <w:rFonts w:ascii="Times New Roman" w:hAnsi="Times New Roman"/>
          <w:color w:val="000000" w:themeColor="text1"/>
        </w:rPr>
        <w:t>COD</w:t>
      </w:r>
      <w:r w:rsidRPr="008A2411">
        <w:rPr>
          <w:rFonts w:ascii="Times New Roman" w:hAnsi="Times New Roman"/>
          <w:color w:val="000000" w:themeColor="text1"/>
        </w:rPr>
        <w:t>、氨氮等进行了大幅削减；在地下水、土壤污染防治方面，厂区设置了分区防渗设施，大大减小了各类设施、原辅材料、废物等对区域地下水和土壤造成的污染影响。因此，本项目对环境的效益显著。</w:t>
      </w:r>
    </w:p>
    <w:p w14:paraId="2354A987" w14:textId="32062304"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由此可见，本项目的实施可在一定程度上促进中国石油天然气工业的发展，加速城市的气化进程，改善大气环境质量，促进西部地区的经济建设。同时，有利于改变目前不合理的燃料、原料结构，适应城市环保要求的提高和主业结构的调整，促进天然气化工及相关产业的发展，提高企业的经济效益，增加就业机会，加速区域经济的发展。项目的建设实现了经济效益、社会效益和环境效益的统一。</w:t>
      </w:r>
    </w:p>
    <w:p w14:paraId="5AB24589" w14:textId="77777777" w:rsidR="00B1467A" w:rsidRPr="008A2411" w:rsidRDefault="00B1467A" w:rsidP="00B1467A">
      <w:pPr>
        <w:pStyle w:val="WJ2"/>
        <w:spacing w:line="360" w:lineRule="auto"/>
        <w:rPr>
          <w:rFonts w:ascii="Times New Roman" w:hAnsi="Times New Roman"/>
          <w:color w:val="000000" w:themeColor="text1"/>
        </w:rPr>
      </w:pPr>
      <w:bookmarkStart w:id="867" w:name="_Toc109170817"/>
      <w:r w:rsidRPr="008A2411">
        <w:rPr>
          <w:rFonts w:ascii="Times New Roman" w:hAnsi="Times New Roman"/>
          <w:color w:val="000000" w:themeColor="text1"/>
        </w:rPr>
        <w:t>10.8</w:t>
      </w:r>
      <w:r w:rsidRPr="008A2411">
        <w:rPr>
          <w:rFonts w:ascii="Times New Roman" w:hAnsi="Times New Roman"/>
          <w:color w:val="000000" w:themeColor="text1"/>
        </w:rPr>
        <w:t>总结论</w:t>
      </w:r>
      <w:bookmarkEnd w:id="867"/>
    </w:p>
    <w:p w14:paraId="307A30E3" w14:textId="1285F115" w:rsidR="00B1467A" w:rsidRPr="008A2411" w:rsidRDefault="00B1467A" w:rsidP="00B1467A">
      <w:pPr>
        <w:adjustRightInd w:val="0"/>
        <w:snapToGrid w:val="0"/>
        <w:spacing w:line="360" w:lineRule="auto"/>
        <w:ind w:firstLineChars="200" w:firstLine="480"/>
        <w:rPr>
          <w:rFonts w:ascii="Times New Roman"/>
          <w:color w:val="000000" w:themeColor="text1"/>
          <w:kern w:val="2"/>
          <w:szCs w:val="24"/>
        </w:rPr>
      </w:pPr>
      <w:r w:rsidRPr="008A2411">
        <w:rPr>
          <w:rFonts w:ascii="Times New Roman"/>
          <w:color w:val="000000" w:themeColor="text1"/>
          <w:kern w:val="2"/>
          <w:szCs w:val="24"/>
        </w:rPr>
        <w:t>根据《环境影响评价公众参与办法》（</w:t>
      </w:r>
      <w:r w:rsidRPr="008A2411">
        <w:rPr>
          <w:rFonts w:ascii="Times New Roman"/>
          <w:color w:val="000000" w:themeColor="text1"/>
          <w:kern w:val="2"/>
          <w:szCs w:val="24"/>
        </w:rPr>
        <w:t>2019</w:t>
      </w:r>
      <w:r w:rsidRPr="008A2411">
        <w:rPr>
          <w:rFonts w:ascii="Times New Roman"/>
          <w:color w:val="000000" w:themeColor="text1"/>
          <w:kern w:val="2"/>
          <w:szCs w:val="24"/>
        </w:rPr>
        <w:t>年</w:t>
      </w:r>
      <w:r w:rsidRPr="008A2411">
        <w:rPr>
          <w:rFonts w:ascii="Times New Roman"/>
          <w:color w:val="000000" w:themeColor="text1"/>
          <w:kern w:val="2"/>
          <w:szCs w:val="24"/>
        </w:rPr>
        <w:t>1</w:t>
      </w:r>
      <w:r w:rsidRPr="008A2411">
        <w:rPr>
          <w:rFonts w:ascii="Times New Roman"/>
          <w:color w:val="000000" w:themeColor="text1"/>
          <w:kern w:val="2"/>
          <w:szCs w:val="24"/>
        </w:rPr>
        <w:t>月</w:t>
      </w:r>
      <w:r w:rsidRPr="008A2411">
        <w:rPr>
          <w:rFonts w:ascii="Times New Roman"/>
          <w:color w:val="000000" w:themeColor="text1"/>
          <w:kern w:val="2"/>
          <w:szCs w:val="24"/>
        </w:rPr>
        <w:t>1</w:t>
      </w:r>
      <w:r w:rsidRPr="008A2411">
        <w:rPr>
          <w:rFonts w:ascii="Times New Roman"/>
          <w:color w:val="000000" w:themeColor="text1"/>
          <w:kern w:val="2"/>
          <w:szCs w:val="24"/>
        </w:rPr>
        <w:t>日）的要求，建设单位通过网络、刊登报纸、现场张贴等方式进行了本项目环境影响相关公示，公示期间，未收到反馈意见。建设单位要严格执行国家有关规定、标准及落实本项目采取的环保治理措施，加强环境管理，减轻本项目对周围环境的影响。</w:t>
      </w:r>
    </w:p>
    <w:p w14:paraId="01F87371" w14:textId="1CF18069" w:rsidR="00B0005F" w:rsidRPr="008A2411" w:rsidRDefault="00000000">
      <w:pPr>
        <w:pStyle w:val="WJ2"/>
        <w:spacing w:line="360" w:lineRule="auto"/>
        <w:rPr>
          <w:rFonts w:ascii="Times New Roman" w:hAnsi="Times New Roman"/>
          <w:color w:val="000000" w:themeColor="text1"/>
        </w:rPr>
      </w:pPr>
      <w:bookmarkStart w:id="868" w:name="_Toc405904624"/>
      <w:bookmarkStart w:id="869" w:name="_Toc422906978"/>
      <w:bookmarkStart w:id="870" w:name="_Toc405904968"/>
      <w:bookmarkStart w:id="871" w:name="_Toc405905440"/>
      <w:bookmarkStart w:id="872" w:name="_Toc451355454"/>
      <w:bookmarkStart w:id="873" w:name="_Toc109170818"/>
      <w:r w:rsidRPr="008A2411">
        <w:rPr>
          <w:rFonts w:ascii="Times New Roman" w:hAnsi="Times New Roman"/>
          <w:color w:val="000000" w:themeColor="text1"/>
        </w:rPr>
        <w:t>10.</w:t>
      </w:r>
      <w:r w:rsidR="00B1467A" w:rsidRPr="008A2411">
        <w:rPr>
          <w:rFonts w:ascii="Times New Roman" w:hAnsi="Times New Roman" w:hint="eastAsia"/>
          <w:color w:val="000000" w:themeColor="text1"/>
        </w:rPr>
        <w:t>9</w:t>
      </w:r>
      <w:r w:rsidRPr="008A2411">
        <w:rPr>
          <w:rFonts w:ascii="Times New Roman" w:hAnsi="Times New Roman"/>
          <w:color w:val="000000" w:themeColor="text1"/>
        </w:rPr>
        <w:t>总结论</w:t>
      </w:r>
      <w:bookmarkEnd w:id="868"/>
      <w:bookmarkEnd w:id="869"/>
      <w:bookmarkEnd w:id="870"/>
      <w:bookmarkEnd w:id="871"/>
      <w:bookmarkEnd w:id="872"/>
      <w:bookmarkEnd w:id="873"/>
    </w:p>
    <w:p w14:paraId="33716FE6" w14:textId="77777777" w:rsidR="00B0005F" w:rsidRPr="008A2411" w:rsidRDefault="00000000">
      <w:pPr>
        <w:pStyle w:val="WJ"/>
        <w:adjustRightInd w:val="0"/>
        <w:snapToGrid w:val="0"/>
        <w:spacing w:line="360" w:lineRule="auto"/>
        <w:rPr>
          <w:rFonts w:ascii="Times New Roman" w:hAnsi="Times New Roman"/>
          <w:color w:val="000000" w:themeColor="text1"/>
        </w:rPr>
      </w:pPr>
      <w:r w:rsidRPr="008A2411">
        <w:rPr>
          <w:rFonts w:ascii="Times New Roman" w:hAnsi="Times New Roman"/>
          <w:color w:val="000000" w:themeColor="text1"/>
        </w:rPr>
        <w:t>天然气综合利用项目（</w:t>
      </w:r>
      <w:r w:rsidRPr="008A2411">
        <w:rPr>
          <w:rFonts w:ascii="Times New Roman" w:hAnsi="Times New Roman"/>
          <w:color w:val="000000" w:themeColor="text1"/>
        </w:rPr>
        <w:t>LNG</w:t>
      </w:r>
      <w:r w:rsidRPr="008A2411">
        <w:rPr>
          <w:rFonts w:ascii="Times New Roman" w:hAnsi="Times New Roman"/>
          <w:color w:val="000000" w:themeColor="text1"/>
        </w:rPr>
        <w:t>）二期的建设符合</w:t>
      </w:r>
      <w:r w:rsidRPr="008A2411">
        <w:rPr>
          <w:rFonts w:ascii="Times New Roman" w:hint="eastAsia"/>
          <w:color w:val="000000" w:themeColor="text1"/>
        </w:rPr>
        <w:t>“</w:t>
      </w:r>
      <w:r w:rsidRPr="008A2411">
        <w:rPr>
          <w:rFonts w:ascii="Times New Roman" w:hAnsi="Times New Roman"/>
          <w:color w:val="000000" w:themeColor="text1"/>
        </w:rPr>
        <w:t>三线一单</w:t>
      </w:r>
      <w:r w:rsidRPr="008A2411">
        <w:rPr>
          <w:rFonts w:ascii="Times New Roman" w:hint="eastAsia"/>
          <w:color w:val="000000" w:themeColor="text1"/>
        </w:rPr>
        <w:t>”</w:t>
      </w:r>
      <w:r w:rsidRPr="008A2411">
        <w:rPr>
          <w:rFonts w:ascii="Times New Roman" w:hAnsi="Times New Roman"/>
          <w:color w:val="000000" w:themeColor="text1"/>
        </w:rPr>
        <w:t>要求</w:t>
      </w:r>
      <w:r w:rsidRPr="008A2411">
        <w:rPr>
          <w:rFonts w:ascii="Times New Roman" w:hAnsi="Times New Roman" w:hint="eastAsia"/>
          <w:color w:val="000000" w:themeColor="text1"/>
        </w:rPr>
        <w:t>，</w:t>
      </w:r>
      <w:r w:rsidRPr="008A2411">
        <w:rPr>
          <w:rFonts w:ascii="Times New Roman" w:hAnsi="Times New Roman"/>
          <w:color w:val="000000" w:themeColor="text1"/>
        </w:rPr>
        <w:t>符合国家、行业颁布的相关产业政策、法规、规范，项目选址符合当地总体规划；所在区域环境空气质量现状较好；建设及运营期间对生态环境、大气、地表水、地下水、声环境影响小，不改变区域的环境功能；本项目达到清洁生产国内先进水平，采用的环保措施可行，社会、经济效益显著；本项目确保在施工期、运营</w:t>
      </w:r>
      <w:proofErr w:type="gramStart"/>
      <w:r w:rsidRPr="008A2411">
        <w:rPr>
          <w:rFonts w:ascii="Times New Roman" w:hAnsi="Times New Roman"/>
          <w:color w:val="000000" w:themeColor="text1"/>
        </w:rPr>
        <w:t>期严格</w:t>
      </w:r>
      <w:proofErr w:type="gramEnd"/>
      <w:r w:rsidRPr="008A2411">
        <w:rPr>
          <w:rFonts w:ascii="Times New Roman" w:hAnsi="Times New Roman"/>
          <w:color w:val="000000" w:themeColor="text1"/>
        </w:rPr>
        <w:t>按照本报告书中所提出的污染防治对策、加强环境管理的情况下，从环境影响的角度来看，本项目在四川省宣汉县普光化工园区建设是可行的。</w:t>
      </w:r>
    </w:p>
    <w:sectPr w:rsidR="00B0005F" w:rsidRPr="008A2411">
      <w:headerReference w:type="default" r:id="rId107"/>
      <w:footerReference w:type="even" r:id="rId108"/>
      <w:footerReference w:type="default" r:id="rId109"/>
      <w:pgSz w:w="11906" w:h="16838"/>
      <w:pgMar w:top="1440" w:right="1800" w:bottom="1440" w:left="1800" w:header="851" w:footer="851" w:gutter="0"/>
      <w:pgNumType w:chapStyle="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7A7BE8" w14:textId="77777777" w:rsidR="00494006" w:rsidRDefault="00494006">
      <w:r>
        <w:separator/>
      </w:r>
    </w:p>
  </w:endnote>
  <w:endnote w:type="continuationSeparator" w:id="0">
    <w:p w14:paraId="01ECE967" w14:textId="77777777" w:rsidR="00494006" w:rsidRDefault="004940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203" w:usb1="288F0000" w:usb2="00000016" w:usb3="00000000" w:csb0="00040001"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Unicode MS">
    <w:altName w:val="Arial"/>
    <w:panose1 w:val="020B0604020202020204"/>
    <w:charset w:val="00"/>
    <w:family w:val="roman"/>
    <w:notTrueType/>
    <w:pitch w:val="variable"/>
    <w:sig w:usb0="00000003" w:usb1="00000000" w:usb2="00000000" w:usb3="00000000" w:csb0="00000001" w:csb1="00000000"/>
  </w:font>
  <w:font w:name="楷体_GB2312">
    <w:altName w:val="楷体"/>
    <w:charset w:val="86"/>
    <w:family w:val="modern"/>
    <w:pitch w:val="fixed"/>
    <w:sig w:usb0="00000000"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 w:name="仿宋_GB2312">
    <w:altName w:val="微软雅黑"/>
    <w:charset w:val="86"/>
    <w:family w:val="modern"/>
    <w:pitch w:val="fixed"/>
    <w:sig w:usb0="00000000" w:usb1="080E0000" w:usb2="00000010" w:usb3="00000000" w:csb0="00040000" w:csb1="00000000"/>
  </w:font>
  <w:font w:name="ˎ̥">
    <w:altName w:val="Times New Roman"/>
    <w:charset w:val="00"/>
    <w:family w:val="roman"/>
    <w:pitch w:val="default"/>
    <w:sig w:usb0="00000000" w:usb1="00000000" w:usb2="00000000" w:usb3="00000000" w:csb0="00040001" w:csb1="00000000"/>
  </w:font>
  <w:font w:name="_GB2312">
    <w:altName w:val="Times New Roman"/>
    <w:charset w:val="00"/>
    <w:family w:val="roman"/>
    <w:pitch w:val="default"/>
    <w:sig w:usb0="00000000" w:usb1="00000000" w:usb2="00000000" w:usb3="00000000" w:csb0="00040001" w:csb1="00000000"/>
  </w:font>
  <w:font w:name="ISOCT">
    <w:panose1 w:val="00000400000000000000"/>
    <w:charset w:val="00"/>
    <w:family w:val="auto"/>
    <w:pitch w:val="variable"/>
    <w:sig w:usb0="20002A87" w:usb1="00000000" w:usb2="00000000" w:usb3="00000000" w:csb0="000001FF" w:csb1="00000000"/>
  </w:font>
  <w:font w:name="方正宋三简体">
    <w:altName w:val="微软雅黑"/>
    <w:charset w:val="86"/>
    <w:family w:val="auto"/>
    <w:pitch w:val="default"/>
    <w:sig w:usb0="00000000" w:usb1="00000000" w:usb2="00000010" w:usb3="00000000" w:csb0="00040000" w:csb1="00000000"/>
  </w:font>
  <w:font w:name="宋">
    <w:altName w:val="宋体"/>
    <w:charset w:val="86"/>
    <w:family w:val="roman"/>
    <w:pitch w:val="default"/>
    <w:sig w:usb0="00000000" w:usb1="00000000" w:usb2="00000010" w:usb3="00000000" w:csb0="00040000" w:csb1="00000000"/>
  </w:font>
  <w:font w:name="方正大标宋简体">
    <w:altName w:val="微软雅黑"/>
    <w:charset w:val="86"/>
    <w:family w:val="script"/>
    <w:pitch w:val="default"/>
    <w:sig w:usb0="00000000" w:usb1="0000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Verdana">
    <w:panose1 w:val="020B0604030504040204"/>
    <w:charset w:val="00"/>
    <w:family w:val="swiss"/>
    <w:pitch w:val="variable"/>
    <w:sig w:usb0="A00006FF" w:usb1="4000205B" w:usb2="00000010" w:usb3="00000000" w:csb0="0000019F" w:csb1="00000000"/>
  </w:font>
  <w:font w:name="??">
    <w:altName w:val="Times New Roman"/>
    <w:charset w:val="00"/>
    <w:family w:val="roman"/>
    <w:pitch w:val="default"/>
    <w:sig w:usb0="00000000" w:usb1="00000000" w:usb2="00000000" w:usb3="00000000" w:csb0="00040001" w:csb1="00000000"/>
  </w:font>
  <w:font w:name="Tms Rmn">
    <w:panose1 w:val="02020603040505020304"/>
    <w:charset w:val="00"/>
    <w:family w:val="roman"/>
    <w:pitch w:val="default"/>
    <w:sig w:usb0="00000000" w:usb1="00000000" w:usb2="00000000" w:usb3="00000000" w:csb0="00000001" w:csb1="00000000"/>
  </w:font>
  <w:font w:name="Times">
    <w:altName w:val="Times New Roman"/>
    <w:panose1 w:val="02020603050405020304"/>
    <w:charset w:val="00"/>
    <w:family w:val="roman"/>
    <w:pitch w:val="default"/>
    <w:sig w:usb0="00000000" w:usb1="00000000" w:usb2="00000009" w:usb3="00000000" w:csb0="000001FF" w:csb1="00000000"/>
  </w:font>
  <w:font w:name="”“Times New Roman”“">
    <w:altName w:val="宋体"/>
    <w:charset w:val="86"/>
    <w:family w:val="roman"/>
    <w:pitch w:val="default"/>
    <w:sig w:usb0="00000000" w:usb1="00000000" w:usb2="00000010" w:usb3="00000000" w:csb0="00040000" w:csb1="00000000"/>
  </w:font>
  <w:font w:name="华文仿宋">
    <w:altName w:val="hakuyoxingshu7000"/>
    <w:panose1 w:val="02010600040101010101"/>
    <w:charset w:val="86"/>
    <w:family w:val="auto"/>
    <w:pitch w:val="variable"/>
    <w:sig w:usb0="00000287" w:usb1="080F0000" w:usb2="00000010" w:usb3="00000000" w:csb0="0004009F" w:csb1="00000000"/>
  </w:font>
  <w:font w:name="仿宋体">
    <w:altName w:val="宋体"/>
    <w:charset w:val="86"/>
    <w:family w:val="auto"/>
    <w:pitch w:val="default"/>
    <w:sig w:usb0="00000000" w:usb1="00000000" w:usb2="00000010" w:usb3="00000000" w:csb0="00040000" w:csb1="00000000"/>
  </w:font>
  <w:font w:name="华文行楷">
    <w:panose1 w:val="02010800040101010101"/>
    <w:charset w:val="86"/>
    <w:family w:val="auto"/>
    <w:pitch w:val="variable"/>
    <w:sig w:usb0="00000001" w:usb1="080F0000" w:usb2="00000010" w:usb3="00000000" w:csb0="00040000" w:csb1="00000000"/>
  </w:font>
  <w:font w:name="Batang">
    <w:altName w:val="바탕"/>
    <w:panose1 w:val="02030600000101010101"/>
    <w:charset w:val="81"/>
    <w:family w:val="roman"/>
    <w:pitch w:val="variable"/>
    <w:sig w:usb0="B00002AF" w:usb1="69D77CFB" w:usb2="00000030" w:usb3="00000000" w:csb0="0008009F" w:csb1="00000000"/>
  </w:font>
  <w:font w:name="Tahoma">
    <w:panose1 w:val="020B0604030504040204"/>
    <w:charset w:val="00"/>
    <w:family w:val="swiss"/>
    <w:pitch w:val="variable"/>
    <w:sig w:usb0="E1002EFF" w:usb1="C000605B" w:usb2="00000029" w:usb3="00000000" w:csb0="000101FF" w:csb1="00000000"/>
  </w:font>
  <w:font w:name="CG Times">
    <w:altName w:val="Times New Roman"/>
    <w:charset w:val="00"/>
    <w:family w:val="roman"/>
    <w:pitch w:val="default"/>
    <w:sig w:usb0="00000000" w:usb1="00000000" w:usb2="00000000" w:usb3="00000000" w:csb0="00000001" w:csb1="00000000"/>
  </w:font>
  <w:font w:name="ZapfDingbats BT">
    <w:altName w:val="Arial"/>
    <w:charset w:val="00"/>
    <w:family w:val="swiss"/>
    <w:pitch w:val="default"/>
    <w:sig w:usb0="00000000" w:usb1="00000000" w:usb2="00000000" w:usb3="00000000" w:csb0="00000001" w:csb1="00000000"/>
  </w:font>
  <w:font w:name="????">
    <w:altName w:val="Malgun Gothic"/>
    <w:charset w:val="81"/>
    <w:family w:val="auto"/>
    <w:pitch w:val="default"/>
    <w:sig w:usb0="00000000" w:usb1="00000000" w:usb2="00000010" w:usb3="00000000" w:csb0="00080000" w:csb1="00000000"/>
  </w:font>
  <w:font w:name="新宋体">
    <w:panose1 w:val="02010609030101010101"/>
    <w:charset w:val="86"/>
    <w:family w:val="modern"/>
    <w:pitch w:val="fixed"/>
    <w:sig w:usb0="00000203" w:usb1="288F0000" w:usb2="00000016" w:usb3="00000000" w:csb0="00040001" w:csb1="00000000"/>
  </w:font>
  <w:font w:name="Arial Narrow">
    <w:panose1 w:val="020B0606020202030204"/>
    <w:charset w:val="00"/>
    <w:family w:val="swiss"/>
    <w:pitch w:val="variable"/>
    <w:sig w:usb0="00000287" w:usb1="00000800" w:usb2="00000000" w:usb3="00000000" w:csb0="0000009F" w:csb1="00000000"/>
  </w:font>
  <w:font w:name="汉鼎简书宋">
    <w:altName w:val="宋体"/>
    <w:charset w:val="86"/>
    <w:family w:val="modern"/>
    <w:pitch w:val="default"/>
    <w:sig w:usb0="00000000" w:usb1="00000000" w:usb2="00000010" w:usb3="00000000" w:csb0="00040000" w:csb1="00000000"/>
  </w:font>
  <w:font w:name="TimesNewRomanPSMT">
    <w:altName w:val="Klee One"/>
    <w:charset w:val="80"/>
    <w:family w:val="auto"/>
    <w:pitch w:val="default"/>
    <w:sig w:usb0="00000000" w:usb1="00000000" w:usb2="00000010" w:usb3="00000000" w:csb0="00060001" w:csb1="00000000"/>
  </w:font>
  <w:font w:name="等线 Light">
    <w:panose1 w:val="02010600030101010101"/>
    <w:charset w:val="86"/>
    <w:family w:val="auto"/>
    <w:pitch w:val="variable"/>
    <w:sig w:usb0="A00002BF" w:usb1="38CF7CFA" w:usb2="00000016" w:usb3="00000000" w:csb0="0004000F" w:csb1="00000000"/>
  </w:font>
  <w:font w:name="方正黑体简体">
    <w:altName w:val="宋体-方正超大字符集"/>
    <w:charset w:val="86"/>
    <w:family w:val="script"/>
    <w:pitch w:val="default"/>
    <w:sig w:usb0="00000000" w:usb1="00000000" w:usb2="00000010" w:usb3="00000000" w:csb0="00040000" w:csb1="00000000"/>
  </w:font>
  <w:font w:name="仿宋">
    <w:panose1 w:val="02010609060101010101"/>
    <w:charset w:val="86"/>
    <w:family w:val="modern"/>
    <w:pitch w:val="fixed"/>
    <w:sig w:usb0="800002BF" w:usb1="38CF7CFA" w:usb2="00000016" w:usb3="00000000" w:csb0="00040001" w:csb1="00000000"/>
  </w:font>
  <w:font w:name="Microsoft YaHei UI">
    <w:panose1 w:val="020B0503020204020204"/>
    <w:charset w:val="86"/>
    <w:family w:val="swiss"/>
    <w:pitch w:val="variable"/>
    <w:sig w:usb0="80000287" w:usb1="2ACF3C50" w:usb2="00000016" w:usb3="00000000" w:csb0="0004001F" w:csb1="00000000"/>
  </w:font>
  <w:font w:name="楷体">
    <w:panose1 w:val="0201060906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 w:name="Symbol">
    <w:panose1 w:val="05050102010706020507"/>
    <w:charset w:val="02"/>
    <w:family w:val="roman"/>
    <w:pitch w:val="variable"/>
    <w:sig w:usb0="00000000" w:usb1="10000000" w:usb2="00000000" w:usb3="00000000" w:csb0="80000000" w:csb1="00000000"/>
  </w:font>
  <w:font w:name="微软雅黑">
    <w:panose1 w:val="020B0503020204020204"/>
    <w:charset w:val="86"/>
    <w:family w:val="swiss"/>
    <w:pitch w:val="variable"/>
    <w:sig w:usb0="80000287" w:usb1="2ACF3C50" w:usb2="00000016" w:usb3="00000000" w:csb0="0004001F" w:csb1="00000000"/>
  </w:font>
  <w:font w:name="Cambria Math">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等线">
    <w:altName w:val="DengXian"/>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B9D639" w14:textId="77777777" w:rsidR="00B0005F" w:rsidRDefault="00000000">
    <w:pPr>
      <w:pStyle w:val="afff2"/>
    </w:pPr>
    <w:r>
      <w:rPr>
        <w:noProof/>
      </w:rPr>
      <mc:AlternateContent>
        <mc:Choice Requires="wps">
          <w:drawing>
            <wp:anchor distT="0" distB="0" distL="114300" distR="114300" simplePos="0" relativeHeight="251658752" behindDoc="0" locked="0" layoutInCell="1" allowOverlap="1" wp14:anchorId="47D9B987" wp14:editId="06AF5D38">
              <wp:simplePos x="0" y="0"/>
              <wp:positionH relativeFrom="margin">
                <wp:align>center</wp:align>
              </wp:positionH>
              <wp:positionV relativeFrom="paragraph">
                <wp:posOffset>0</wp:posOffset>
              </wp:positionV>
              <wp:extent cx="1828800" cy="1828800"/>
              <wp:effectExtent l="0" t="0" r="0" b="0"/>
              <wp:wrapNone/>
              <wp:docPr id="488" name="文本框 48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8196B27" w14:textId="77777777" w:rsidR="00B0005F" w:rsidRDefault="00000000">
                          <w:pPr>
                            <w:pStyle w:val="afff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47D9B987" id="_x0000_t202" coordsize="21600,21600" o:spt="202" path="m,l,21600r21600,l21600,xe">
              <v:stroke joinstyle="miter"/>
              <v:path gradientshapeok="t" o:connecttype="rect"/>
            </v:shapetype>
            <v:shape id="文本框 488" o:spid="_x0000_s1390" type="#_x0000_t202" style="position:absolute;margin-left:0;margin-top:0;width:2in;height:2in;z-index:251658752;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" filled="f" stroked="f" strokeweight=".5pt">
              <v:textbox style="mso-fit-shape-to-text:t" inset="0,0,0,0">
                <w:txbxContent>
                  <w:p w14:paraId="08196B27" w14:textId="77777777" w:rsidR="00B0005F" w:rsidRDefault="00000000">
                    <w:pPr>
                      <w:pStyle w:val="afff2"/>
                    </w:pPr>
                    <w:r>
                      <w:fldChar w:fldCharType="begin"/>
                    </w:r>
                    <w:r>
                      <w:instrText xml:space="preserve"> PAGE  \* MERGEFORMAT </w:instrText>
                    </w:r>
                    <w:r>
                      <w:fldChar w:fldCharType="separate"/>
                    </w:r>
                    <w:r>
                      <w:t>1</w:t>
                    </w:r>
                    <w:r>
                      <w:fldChar w:fldCharType="end"/>
                    </w:r>
                  </w:p>
                </w:txbxContent>
              </v:textbox>
              <w10:wrap anchorx="margin"/>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CEF817" w14:textId="77777777" w:rsidR="00B0005F" w:rsidRDefault="00000000">
    <w:pPr>
      <w:pStyle w:val="afff2"/>
    </w:pPr>
    <w:r>
      <w:rPr>
        <w:noProof/>
      </w:rPr>
      <mc:AlternateContent>
        <mc:Choice Requires="wps">
          <w:drawing>
            <wp:anchor distT="0" distB="0" distL="114300" distR="114300" simplePos="0" relativeHeight="251646464" behindDoc="0" locked="0" layoutInCell="1" allowOverlap="1" wp14:anchorId="1097D369" wp14:editId="2B96211D">
              <wp:simplePos x="0" y="0"/>
              <wp:positionH relativeFrom="margin">
                <wp:align>center</wp:align>
              </wp:positionH>
              <wp:positionV relativeFrom="paragraph">
                <wp:align>top</wp:align>
              </wp:positionV>
              <wp:extent cx="1828800" cy="1828800"/>
              <wp:effectExtent l="0" t="0" r="0" b="0"/>
              <wp:wrapNone/>
              <wp:docPr id="19" name="文本框 7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noFill/>
                      <a:ln>
                        <a:noFill/>
                      </a:ln>
                    </wps:spPr>
                    <wps:txbx>
                      <w:txbxContent>
                        <w:p w14:paraId="5A989242" w14:textId="77777777" w:rsidR="00B0005F" w:rsidRDefault="00B0005F"/>
                      </w:txbxContent>
                    </wps:txbx>
                    <wps:bodyPr rot="0" vert="horz" wrap="none" lIns="0" tIns="0" rIns="0" bIns="0" anchor="t" anchorCtr="0" upright="1">
                      <a:spAutoFit/>
                    </wps:bodyPr>
                  </wps:wsp>
                </a:graphicData>
              </a:graphic>
            </wp:anchor>
          </w:drawing>
        </mc:Choice>
        <mc:Fallback>
          <w:pict>
            <v:shapetype w14:anchorId="1097D369" id="_x0000_t202" coordsize="21600,21600" o:spt="202" path="m,l,21600r21600,l21600,xe">
              <v:stroke joinstyle="miter"/>
              <v:path gradientshapeok="t" o:connecttype="rect"/>
            </v:shapetype>
            <v:shape id="文本框 701" o:spid="_x0000_s1391" type="#_x0000_t202" style="position:absolute;margin-left:0;margin-top:0;width:2in;height:2in;z-index:251646464;visibility:visible;mso-wrap-style:none;mso-wrap-distance-left:9pt;mso-wrap-distance-top:0;mso-wrap-distance-right:9pt;mso-wrap-distance-bottom:0;mso-position-horizontal:center;mso-position-horizontal-relative:margin;mso-position-vertical:top;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" filled="f" stroked="f">
              <v:textbox style="mso-fit-shape-to-text:t" inset="0,0,0,0">
                <w:txbxContent>
                  <w:p w14:paraId="5A989242" w14:textId="77777777" w:rsidR="00B0005F" w:rsidRDefault="00B0005F"/>
                </w:txbxContent>
              </v:textbox>
              <w10:wrap anchorx="margin"/>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462F93" w14:textId="77777777" w:rsidR="00B0005F" w:rsidRDefault="00000000">
    <w:pPr>
      <w:pStyle w:val="afff2"/>
      <w:jc w:val="center"/>
    </w:pPr>
    <w:r>
      <w:rPr>
        <w:noProof/>
      </w:rPr>
      <mc:AlternateContent>
        <mc:Choice Requires="wps">
          <w:drawing>
            <wp:anchor distT="0" distB="0" distL="114300" distR="114300" simplePos="0" relativeHeight="251665920" behindDoc="0" locked="0" layoutInCell="1" allowOverlap="1" wp14:anchorId="39811154" wp14:editId="27829B69">
              <wp:simplePos x="0" y="0"/>
              <wp:positionH relativeFrom="margin">
                <wp:align>center</wp:align>
              </wp:positionH>
              <wp:positionV relativeFrom="paragraph">
                <wp:posOffset>0</wp:posOffset>
              </wp:positionV>
              <wp:extent cx="1828800" cy="1828800"/>
              <wp:effectExtent l="0" t="0" r="0" b="0"/>
              <wp:wrapNone/>
              <wp:docPr id="489" name="文本框 48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1603494202"/>
                          </w:sdtPr>
                          <w:sdtContent>
                            <w:p w14:paraId="013CCD52" w14:textId="77777777" w:rsidR="00B0005F" w:rsidRDefault="00000000">
                              <w:pPr>
                                <w:pStyle w:val="afff2"/>
                                <w:jc w:val="center"/>
                              </w:pPr>
                              <w:r>
                                <w:fldChar w:fldCharType="begin"/>
                              </w:r>
                              <w:r>
                                <w:instrText>PAGE   \* MERGEFORMAT</w:instrText>
                              </w:r>
                              <w:r>
                                <w:fldChar w:fldCharType="separate"/>
                              </w:r>
                              <w:r>
                                <w:rPr>
                                  <w:lang w:val="zh-CN"/>
                                </w:rPr>
                                <w:t>III</w:t>
                              </w:r>
                              <w:r>
                                <w:fldChar w:fldCharType="end"/>
                              </w:r>
                            </w:p>
                          </w:sdtContent>
                        </w:sdt>
                        <w:p w14:paraId="149D6ACE" w14:textId="77777777" w:rsidR="00B0005F" w:rsidRDefault="00B0005F">
                          <w:pPr>
                            <w:pStyle w:val="TOC2"/>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39811154" id="_x0000_t202" coordsize="21600,21600" o:spt="202" path="m,l,21600r21600,l21600,xe">
              <v:stroke joinstyle="miter"/>
              <v:path gradientshapeok="t" o:connecttype="rect"/>
            </v:shapetype>
            <v:shape id="文本框 489" o:spid="_x0000_s1392" type="#_x0000_t202" style="position:absolute;left:0;text-align:left;margin-left:0;margin-top:0;width:2in;height:2in;z-index:251665920;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" filled="f" stroked="f" strokeweight=".5pt">
              <v:textbox style="mso-fit-shape-to-text:t" inset="0,0,0,0">
                <w:txbxContent>
                  <w:sdt>
                    <w:sdtPr>
                      <w:id w:val="-1603494202"/>
                    </w:sdtPr>
                    <w:sdtContent>
                      <w:p w14:paraId="013CCD52" w14:textId="77777777" w:rsidR="00B0005F" w:rsidRDefault="00000000">
                        <w:pPr>
                          <w:pStyle w:val="afff2"/>
                          <w:jc w:val="center"/>
                        </w:pPr>
                        <w:r>
                          <w:fldChar w:fldCharType="begin"/>
                        </w:r>
                        <w:r>
                          <w:instrText>PAGE   \* MERGEFORMAT</w:instrText>
                        </w:r>
                        <w:r>
                          <w:fldChar w:fldCharType="separate"/>
                        </w:r>
                        <w:r>
                          <w:rPr>
                            <w:lang w:val="zh-CN"/>
                          </w:rPr>
                          <w:t>III</w:t>
                        </w:r>
                        <w:r>
                          <w:fldChar w:fldCharType="end"/>
                        </w:r>
                      </w:p>
                    </w:sdtContent>
                  </w:sdt>
                  <w:p w14:paraId="149D6ACE" w14:textId="77777777" w:rsidR="00B0005F" w:rsidRDefault="00B0005F">
                    <w:pPr>
                      <w:pStyle w:val="TOC2"/>
                    </w:pPr>
                  </w:p>
                </w:txbxContent>
              </v:textbox>
              <w10:wrap anchorx="margin"/>
            </v:shape>
          </w:pict>
        </mc:Fallback>
      </mc:AlternateContent>
    </w:r>
  </w:p>
  <w:p w14:paraId="76171429" w14:textId="77777777" w:rsidR="00B0005F" w:rsidRDefault="00B0005F">
    <w:pPr>
      <w:pStyle w:val="afff2"/>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596F0A" w14:textId="77777777" w:rsidR="00B0005F" w:rsidRDefault="00000000">
    <w:pPr>
      <w:pStyle w:val="afff2"/>
      <w:tabs>
        <w:tab w:val="clear" w:pos="4153"/>
        <w:tab w:val="clear" w:pos="8306"/>
        <w:tab w:val="left" w:pos="4454"/>
        <w:tab w:val="left" w:pos="5255"/>
        <w:tab w:val="center" w:pos="6979"/>
      </w:tabs>
    </w:pPr>
    <w:r>
      <w:rPr>
        <w:noProof/>
      </w:rPr>
      <mc:AlternateContent>
        <mc:Choice Requires="wps">
          <w:drawing>
            <wp:anchor distT="0" distB="0" distL="114300" distR="114300" simplePos="0" relativeHeight="251643392" behindDoc="0" locked="0" layoutInCell="1" allowOverlap="1" wp14:anchorId="5890C117" wp14:editId="444C872A">
              <wp:simplePos x="0" y="0"/>
              <wp:positionH relativeFrom="margin">
                <wp:align>center</wp:align>
              </wp:positionH>
              <wp:positionV relativeFrom="paragraph">
                <wp:posOffset>0</wp:posOffset>
              </wp:positionV>
              <wp:extent cx="285750" cy="147955"/>
              <wp:effectExtent l="0" t="0" r="0" b="0"/>
              <wp:wrapNone/>
              <wp:docPr id="5" name="文本框 7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750" cy="147955"/>
                      </a:xfrm>
                      <a:prstGeom prst="rect">
                        <a:avLst/>
                      </a:prstGeom>
                      <a:noFill/>
                      <a:ln>
                        <a:noFill/>
                      </a:ln>
                    </wps:spPr>
                    <wps:txbx>
                      <w:txbxContent>
                        <w:p w14:paraId="4093F7F9" w14:textId="77777777" w:rsidR="00B0005F" w:rsidRDefault="00000000">
                          <w:pPr>
                            <w:pStyle w:val="afff2"/>
                            <w:rPr>
                              <w:rStyle w:val="affffc"/>
                            </w:rPr>
                          </w:pPr>
                          <w:r>
                            <w:rPr>
                              <w:rFonts w:hint="eastAsia"/>
                            </w:rPr>
                            <w:fldChar w:fldCharType="begin"/>
                          </w:r>
                          <w:r>
                            <w:rPr>
                              <w:rStyle w:val="affffc"/>
                              <w:rFonts w:hint="eastAsia"/>
                            </w:rPr>
                            <w:instrText xml:space="preserve"> PAGE  \* MERGEFORMAT </w:instrText>
                          </w:r>
                          <w:r>
                            <w:rPr>
                              <w:rFonts w:hint="eastAsia"/>
                            </w:rPr>
                            <w:fldChar w:fldCharType="separate"/>
                          </w:r>
                          <w:r>
                            <w:t>4-46</w:t>
                          </w:r>
                          <w:r>
                            <w:rPr>
                              <w:rFonts w:hint="eastAsia"/>
                            </w:rPr>
                            <w:fldChar w:fldCharType="end"/>
                          </w:r>
                        </w:p>
                      </w:txbxContent>
                    </wps:txbx>
                    <wps:bodyPr rot="0" vert="horz" wrap="square" lIns="0" tIns="0" rIns="0" bIns="0" anchor="t" anchorCtr="0" upright="1">
                      <a:spAutoFit/>
                    </wps:bodyPr>
                  </wps:wsp>
                </a:graphicData>
              </a:graphic>
            </wp:anchor>
          </w:drawing>
        </mc:Choice>
        <mc:Fallback>
          <w:pict>
            <v:shapetype w14:anchorId="5890C117" id="_x0000_t202" coordsize="21600,21600" o:spt="202" path="m,l,21600r21600,l21600,xe">
              <v:stroke joinstyle="miter"/>
              <v:path gradientshapeok="t" o:connecttype="rect"/>
            </v:shapetype>
            <v:shape id="文本框 703" o:spid="_x0000_s1393" type="#_x0000_t202" style="position:absolute;margin-left:0;margin-top:0;width:22.5pt;height:11.65pt;z-index:251643392;visibility:visible;mso-wrap-style:squar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" filled="f" stroked="f">
              <v:textbox style="mso-fit-shape-to-text:t" inset="0,0,0,0">
                <w:txbxContent>
                  <w:p w14:paraId="4093F7F9" w14:textId="77777777" w:rsidR="00B0005F" w:rsidRDefault="00000000">
                    <w:pPr>
                      <w:pStyle w:val="afff2"/>
                      <w:rPr>
                        <w:rStyle w:val="affffc"/>
                      </w:rPr>
                    </w:pPr>
                    <w:r>
                      <w:rPr>
                        <w:rFonts w:hint="eastAsia"/>
                      </w:rPr>
                      <w:fldChar w:fldCharType="begin"/>
                    </w:r>
                    <w:r>
                      <w:rPr>
                        <w:rStyle w:val="affffc"/>
                        <w:rFonts w:hint="eastAsia"/>
                      </w:rPr>
                      <w:instrText xml:space="preserve"> PAGE  \* MERGEFORMAT </w:instrText>
                    </w:r>
                    <w:r>
                      <w:rPr>
                        <w:rFonts w:hint="eastAsia"/>
                      </w:rPr>
                      <w:fldChar w:fldCharType="separate"/>
                    </w:r>
                    <w:r>
                      <w:t>4-46</w:t>
                    </w:r>
                    <w:r>
                      <w:rPr>
                        <w:rFonts w:hint="eastAsia"/>
                      </w:rPr>
                      <w:fldChar w:fldCharType="end"/>
                    </w:r>
                  </w:p>
                </w:txbxContent>
              </v:textbox>
              <w10:wrap anchorx="margin"/>
            </v:shape>
          </w:pict>
        </mc:Fallback>
      </mc:AlternateContent>
    </w:r>
    <w:r>
      <w:tab/>
    </w:r>
    <w:r>
      <w:tab/>
    </w:r>
    <w:r>
      <w:tab/>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DD8827" w14:textId="77777777" w:rsidR="00B0005F" w:rsidRDefault="00000000">
    <w:pPr>
      <w:pStyle w:val="afff2"/>
      <w:tabs>
        <w:tab w:val="clear" w:pos="4153"/>
        <w:tab w:val="clear" w:pos="8306"/>
        <w:tab w:val="left" w:pos="5255"/>
      </w:tabs>
    </w:pPr>
    <w:r>
      <w:rPr>
        <w:noProof/>
      </w:rPr>
      <mc:AlternateContent>
        <mc:Choice Requires="wps">
          <w:drawing>
            <wp:anchor distT="0" distB="0" distL="114300" distR="114300" simplePos="0" relativeHeight="251652608" behindDoc="0" locked="0" layoutInCell="1" allowOverlap="1" wp14:anchorId="46EA411B" wp14:editId="23D08366">
              <wp:simplePos x="0" y="0"/>
              <wp:positionH relativeFrom="margin">
                <wp:align>center</wp:align>
              </wp:positionH>
              <wp:positionV relativeFrom="paragraph">
                <wp:posOffset>0</wp:posOffset>
              </wp:positionV>
              <wp:extent cx="172085" cy="147955"/>
              <wp:effectExtent l="0" t="0" r="0" b="0"/>
              <wp:wrapNone/>
              <wp:docPr id="8" name="文本框 7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085" cy="147955"/>
                      </a:xfrm>
                      <a:prstGeom prst="rect">
                        <a:avLst/>
                      </a:prstGeom>
                      <a:noFill/>
                      <a:ln>
                        <a:noFill/>
                      </a:ln>
                    </wps:spPr>
                    <wps:txbx>
                      <w:txbxContent>
                        <w:p w14:paraId="599502CE" w14:textId="77777777" w:rsidR="00B0005F" w:rsidRDefault="00000000">
                          <w:pPr>
                            <w:pStyle w:val="afff2"/>
                            <w:rPr>
                              <w:rStyle w:val="affffc"/>
                            </w:rPr>
                          </w:pPr>
                          <w:r>
                            <w:rPr>
                              <w:rFonts w:hint="eastAsia"/>
                            </w:rPr>
                            <w:fldChar w:fldCharType="begin"/>
                          </w:r>
                          <w:r>
                            <w:rPr>
                              <w:rStyle w:val="affffc"/>
                              <w:rFonts w:hint="eastAsia"/>
                            </w:rPr>
                            <w:instrText xml:space="preserve"> PAGE  \* MERGEFORMAT </w:instrText>
                          </w:r>
                          <w:r>
                            <w:rPr>
                              <w:rFonts w:hint="eastAsia"/>
                            </w:rPr>
                            <w:fldChar w:fldCharType="separate"/>
                          </w:r>
                          <w:r>
                            <w:t>8-11</w:t>
                          </w:r>
                          <w:r>
                            <w:rPr>
                              <w:rFonts w:hint="eastAsia"/>
                            </w:rPr>
                            <w:fldChar w:fldCharType="end"/>
                          </w:r>
                        </w:p>
                      </w:txbxContent>
                    </wps:txbx>
                    <wps:bodyPr rot="0" vert="horz" wrap="none" lIns="0" tIns="0" rIns="0" bIns="0" anchor="t" anchorCtr="0" upright="1">
                      <a:spAutoFit/>
                    </wps:bodyPr>
                  </wps:wsp>
                </a:graphicData>
              </a:graphic>
            </wp:anchor>
          </w:drawing>
        </mc:Choice>
        <mc:Fallback>
          <w:pict>
            <v:shapetype w14:anchorId="46EA411B" id="_x0000_t202" coordsize="21600,21600" o:spt="202" path="m,l,21600r21600,l21600,xe">
              <v:stroke joinstyle="miter"/>
              <v:path gradientshapeok="t" o:connecttype="rect"/>
            </v:shapetype>
            <v:shape id="_x0000_s1394" type="#_x0000_t202" style="position:absolute;margin-left:0;margin-top:0;width:13.55pt;height:11.65pt;z-index:25165260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" filled="f" stroked="f">
              <v:textbox style="mso-fit-shape-to-text:t" inset="0,0,0,0">
                <w:txbxContent>
                  <w:p w14:paraId="599502CE" w14:textId="77777777" w:rsidR="00B0005F" w:rsidRDefault="00000000">
                    <w:pPr>
                      <w:pStyle w:val="afff2"/>
                      <w:rPr>
                        <w:rStyle w:val="affffc"/>
                      </w:rPr>
                    </w:pPr>
                    <w:r>
                      <w:rPr>
                        <w:rFonts w:hint="eastAsia"/>
                      </w:rPr>
                      <w:fldChar w:fldCharType="begin"/>
                    </w:r>
                    <w:r>
                      <w:rPr>
                        <w:rStyle w:val="affffc"/>
                        <w:rFonts w:hint="eastAsia"/>
                      </w:rPr>
                      <w:instrText xml:space="preserve"> PAGE  \* MERGEFORMAT </w:instrText>
                    </w:r>
                    <w:r>
                      <w:rPr>
                        <w:rFonts w:hint="eastAsia"/>
                      </w:rPr>
                      <w:fldChar w:fldCharType="separate"/>
                    </w:r>
                    <w:r>
                      <w:t>8-11</w:t>
                    </w:r>
                    <w:r>
                      <w:rPr>
                        <w:rFonts w:hint="eastAsia"/>
                      </w:rPr>
                      <w:fldChar w:fldCharType="end"/>
                    </w:r>
                  </w:p>
                </w:txbxContent>
              </v:textbox>
              <w10:wrap anchorx="margin"/>
            </v:shape>
          </w:pict>
        </mc:Fallback>
      </mc:AlternateContent>
    </w:r>
    <w:r>
      <w:tab/>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DE92FE" w14:textId="77777777" w:rsidR="00B0005F" w:rsidRDefault="00000000">
    <w:r>
      <w:rPr>
        <w:noProof/>
      </w:rPr>
      <mc:AlternateContent>
        <mc:Choice Requires="wps">
          <w:drawing>
            <wp:anchor distT="0" distB="0" distL="114300" distR="114300" simplePos="0" relativeHeight="251649536" behindDoc="0" locked="0" layoutInCell="1" allowOverlap="1" wp14:anchorId="114DAAB0" wp14:editId="6B99D21D">
              <wp:simplePos x="0" y="0"/>
              <wp:positionH relativeFrom="margin">
                <wp:align>center</wp:align>
              </wp:positionH>
              <wp:positionV relativeFrom="paragraph">
                <wp:posOffset>0</wp:posOffset>
              </wp:positionV>
              <wp:extent cx="308610" cy="197485"/>
              <wp:effectExtent l="0" t="0" r="0" b="0"/>
              <wp:wrapNone/>
              <wp:docPr id="45" name="文本框 10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8610" cy="197485"/>
                      </a:xfrm>
                      <a:prstGeom prst="rect">
                        <a:avLst/>
                      </a:prstGeom>
                      <a:noFill/>
                      <a:ln>
                        <a:noFill/>
                      </a:ln>
                    </wps:spPr>
                    <wps:txbx>
                      <w:txbxContent>
                        <w:p w14:paraId="5AFE0BB4" w14:textId="77777777" w:rsidR="00B0005F" w:rsidRDefault="00000000">
                          <w:pPr>
                            <w:snapToGrid w:val="0"/>
                            <w:rPr>
                              <w:sz w:val="18"/>
                              <w:szCs w:val="18"/>
                            </w:rPr>
                          </w:pPr>
                          <w:r>
                            <w:rPr>
                              <w:rFonts w:hint="eastAsia"/>
                              <w:sz w:val="18"/>
                              <w:szCs w:val="18"/>
                            </w:rPr>
                            <w:fldChar w:fldCharType="begin"/>
                          </w:r>
                          <w:r>
                            <w:rPr>
                              <w:rFonts w:hint="eastAsia"/>
                              <w:sz w:val="18"/>
                              <w:szCs w:val="18"/>
                            </w:rPr>
                            <w:instrText xml:space="preserve"> PAGE  \* MERGEFORMAT </w:instrText>
                          </w:r>
                          <w:r>
                            <w:rPr>
                              <w:rFonts w:hint="eastAsia"/>
                              <w:sz w:val="18"/>
                              <w:szCs w:val="18"/>
                            </w:rPr>
                            <w:fldChar w:fldCharType="separate"/>
                          </w:r>
                          <w:r>
                            <w:rPr>
                              <w:sz w:val="18"/>
                              <w:szCs w:val="18"/>
                            </w:rPr>
                            <w:t>10-8</w:t>
                          </w:r>
                          <w:r>
                            <w:rPr>
                              <w:rFonts w:hint="eastAsia"/>
                              <w:sz w:val="18"/>
                              <w:szCs w:val="18"/>
                            </w:rPr>
                            <w:fldChar w:fldCharType="end"/>
                          </w:r>
                        </w:p>
                      </w:txbxContent>
                    </wps:txbx>
                    <wps:bodyPr rot="0" vert="horz" wrap="square" lIns="0" tIns="0" rIns="0" bIns="0" anchor="t" anchorCtr="0" upright="1">
                      <a:spAutoFit/>
                    </wps:bodyPr>
                  </wps:wsp>
                </a:graphicData>
              </a:graphic>
            </wp:anchor>
          </w:drawing>
        </mc:Choice>
        <mc:Fallback>
          <w:pict>
            <v:shapetype w14:anchorId="114DAAB0" id="_x0000_t202" coordsize="21600,21600" o:spt="202" path="m,l,21600r21600,l21600,xe">
              <v:stroke joinstyle="miter"/>
              <v:path gradientshapeok="t" o:connecttype="rect"/>
            </v:shapetype>
            <v:shape id="文本框 1040" o:spid="_x0000_s1395" type="#_x0000_t202" style="position:absolute;left:0;text-align:left;margin-left:0;margin-top:0;width:24.3pt;height:15.55pt;z-index:251649536;visibility:visible;mso-wrap-style:squar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" filled="f" stroked="f">
              <v:textbox style="mso-fit-shape-to-text:t" inset="0,0,0,0">
                <w:txbxContent>
                  <w:p w14:paraId="5AFE0BB4" w14:textId="77777777" w:rsidR="00B0005F" w:rsidRDefault="00000000">
                    <w:pPr>
                      <w:snapToGrid w:val="0"/>
                      <w:rPr>
                        <w:sz w:val="18"/>
                        <w:szCs w:val="18"/>
                      </w:rPr>
                    </w:pPr>
                    <w:r>
                      <w:rPr>
                        <w:rFonts w:hint="eastAsia"/>
                        <w:sz w:val="18"/>
                        <w:szCs w:val="18"/>
                      </w:rPr>
                      <w:fldChar w:fldCharType="begin"/>
                    </w:r>
                    <w:r>
                      <w:rPr>
                        <w:rFonts w:hint="eastAsia"/>
                        <w:sz w:val="18"/>
                        <w:szCs w:val="18"/>
                      </w:rPr>
                      <w:instrText xml:space="preserve"> PAGE  \* MERGEFORMAT </w:instrText>
                    </w:r>
                    <w:r>
                      <w:rPr>
                        <w:rFonts w:hint="eastAsia"/>
                        <w:sz w:val="18"/>
                        <w:szCs w:val="18"/>
                      </w:rPr>
                      <w:fldChar w:fldCharType="separate"/>
                    </w:r>
                    <w:r>
                      <w:rPr>
                        <w:sz w:val="18"/>
                        <w:szCs w:val="18"/>
                      </w:rPr>
                      <w:t>10-8</w:t>
                    </w:r>
                    <w:r>
                      <w:rPr>
                        <w:rFonts w:hint="eastAsia"/>
                        <w:sz w:val="18"/>
                        <w:szCs w:val="18"/>
                      </w:rPr>
                      <w:fldChar w:fldCharType="end"/>
                    </w:r>
                  </w:p>
                </w:txbxContent>
              </v:textbox>
              <w10:wrap anchorx="margin"/>
            </v:shape>
          </w:pict>
        </mc:Fallback>
      </mc:AlternateConten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044EBE" w14:textId="77777777" w:rsidR="00B0005F" w:rsidRDefault="00000000">
    <w:r>
      <w:rPr>
        <w:noProof/>
      </w:rPr>
      <mc:AlternateContent>
        <mc:Choice Requires="wps">
          <w:drawing>
            <wp:anchor distT="0" distB="0" distL="114300" distR="114300" simplePos="0" relativeHeight="251655680" behindDoc="0" locked="0" layoutInCell="1" allowOverlap="1" wp14:anchorId="071E9AE0" wp14:editId="3C282C10">
              <wp:simplePos x="0" y="0"/>
              <wp:positionH relativeFrom="margin">
                <wp:align>center</wp:align>
              </wp:positionH>
              <wp:positionV relativeFrom="paragraph">
                <wp:posOffset>0</wp:posOffset>
              </wp:positionV>
              <wp:extent cx="229235" cy="197485"/>
              <wp:effectExtent l="0" t="0" r="0" b="0"/>
              <wp:wrapNone/>
              <wp:docPr id="3" name="文本框 10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235" cy="197485"/>
                      </a:xfrm>
                      <a:prstGeom prst="rect">
                        <a:avLst/>
                      </a:prstGeom>
                      <a:noFill/>
                      <a:ln>
                        <a:noFill/>
                      </a:ln>
                    </wps:spPr>
                    <wps:txbx>
                      <w:txbxContent>
                        <w:p w14:paraId="7469F1E4" w14:textId="77777777" w:rsidR="00B0005F" w:rsidRDefault="00000000">
                          <w:pPr>
                            <w:snapToGrid w:val="0"/>
                            <w:rPr>
                              <w:sz w:val="18"/>
                              <w:szCs w:val="18"/>
                            </w:rPr>
                          </w:pPr>
                          <w:r>
                            <w:rPr>
                              <w:rFonts w:hint="eastAsia"/>
                              <w:sz w:val="18"/>
                              <w:szCs w:val="18"/>
                            </w:rPr>
                            <w:fldChar w:fldCharType="begin"/>
                          </w:r>
                          <w:r>
                            <w:rPr>
                              <w:rFonts w:hint="eastAsia"/>
                              <w:sz w:val="18"/>
                              <w:szCs w:val="18"/>
                            </w:rPr>
                            <w:instrText xml:space="preserve"> PAGE  \* MERGEFORMAT </w:instrText>
                          </w:r>
                          <w:r>
                            <w:rPr>
                              <w:rFonts w:hint="eastAsia"/>
                              <w:sz w:val="18"/>
                              <w:szCs w:val="18"/>
                            </w:rPr>
                            <w:fldChar w:fldCharType="separate"/>
                          </w:r>
                          <w:r>
                            <w:rPr>
                              <w:sz w:val="18"/>
                              <w:szCs w:val="18"/>
                            </w:rPr>
                            <w:t>10-8</w:t>
                          </w:r>
                          <w:r>
                            <w:rPr>
                              <w:rFonts w:hint="eastAsia"/>
                              <w:sz w:val="18"/>
                              <w:szCs w:val="18"/>
                            </w:rPr>
                            <w:fldChar w:fldCharType="end"/>
                          </w:r>
                        </w:p>
                      </w:txbxContent>
                    </wps:txbx>
                    <wps:bodyPr rot="0" vert="horz" wrap="none" lIns="0" tIns="0" rIns="0" bIns="0" anchor="t" anchorCtr="0" upright="1">
                      <a:spAutoFit/>
                    </wps:bodyPr>
                  </wps:wsp>
                </a:graphicData>
              </a:graphic>
            </wp:anchor>
          </w:drawing>
        </mc:Choice>
        <mc:Fallback>
          <w:pict>
            <v:shapetype w14:anchorId="071E9AE0" id="_x0000_t202" coordsize="21600,21600" o:spt="202" path="m,l,21600r21600,l21600,xe">
              <v:stroke joinstyle="miter"/>
              <v:path gradientshapeok="t" o:connecttype="rect"/>
            </v:shapetype>
            <v:shape id="_x0000_s1396" type="#_x0000_t202" style="position:absolute;left:0;text-align:left;margin-left:0;margin-top:0;width:18.05pt;height:15.55pt;z-index:251655680;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" filled="f" stroked="f">
              <v:textbox style="mso-fit-shape-to-text:t" inset="0,0,0,0">
                <w:txbxContent>
                  <w:p w14:paraId="7469F1E4" w14:textId="77777777" w:rsidR="00B0005F" w:rsidRDefault="00000000">
                    <w:pPr>
                      <w:snapToGrid w:val="0"/>
                      <w:rPr>
                        <w:sz w:val="18"/>
                        <w:szCs w:val="18"/>
                      </w:rPr>
                    </w:pPr>
                    <w:r>
                      <w:rPr>
                        <w:rFonts w:hint="eastAsia"/>
                        <w:sz w:val="18"/>
                        <w:szCs w:val="18"/>
                      </w:rPr>
                      <w:fldChar w:fldCharType="begin"/>
                    </w:r>
                    <w:r>
                      <w:rPr>
                        <w:rFonts w:hint="eastAsia"/>
                        <w:sz w:val="18"/>
                        <w:szCs w:val="18"/>
                      </w:rPr>
                      <w:instrText xml:space="preserve"> PAGE  \* MERGEFORMAT </w:instrText>
                    </w:r>
                    <w:r>
                      <w:rPr>
                        <w:rFonts w:hint="eastAsia"/>
                        <w:sz w:val="18"/>
                        <w:szCs w:val="18"/>
                      </w:rPr>
                      <w:fldChar w:fldCharType="separate"/>
                    </w:r>
                    <w:r>
                      <w:rPr>
                        <w:sz w:val="18"/>
                        <w:szCs w:val="18"/>
                      </w:rPr>
                      <w:t>10-8</w:t>
                    </w:r>
                    <w:r>
                      <w:rPr>
                        <w:rFonts w:hint="eastAsia"/>
                        <w:sz w:val="18"/>
                        <w:szCs w:val="18"/>
                      </w:rPr>
                      <w:fldChar w:fldCharType="end"/>
                    </w:r>
                  </w:p>
                </w:txbxContent>
              </v:textbox>
              <w10:wrap anchorx="margin"/>
            </v:shape>
          </w:pict>
        </mc:Fallback>
      </mc:AlternateConten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58B4FA" w14:textId="77777777" w:rsidR="00B0005F" w:rsidRDefault="00000000">
    <w:pPr>
      <w:pStyle w:val="afff2"/>
      <w:jc w:val="center"/>
    </w:pPr>
    <w:r>
      <w:rPr>
        <w:noProof/>
      </w:rPr>
      <mc:AlternateContent>
        <mc:Choice Requires="wps">
          <w:drawing>
            <wp:anchor distT="0" distB="0" distL="114300" distR="114300" simplePos="0" relativeHeight="251668992" behindDoc="0" locked="0" layoutInCell="1" allowOverlap="1" wp14:anchorId="009180BD" wp14:editId="69048768">
              <wp:simplePos x="0" y="0"/>
              <wp:positionH relativeFrom="margin">
                <wp:align>center</wp:align>
              </wp:positionH>
              <wp:positionV relativeFrom="paragraph">
                <wp:posOffset>0</wp:posOffset>
              </wp:positionV>
              <wp:extent cx="1828800" cy="1828800"/>
              <wp:effectExtent l="0" t="0" r="0" b="0"/>
              <wp:wrapNone/>
              <wp:docPr id="495" name="文本框 49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A07A70D" w14:textId="77777777" w:rsidR="00B0005F" w:rsidRDefault="00000000">
                          <w:pPr>
                            <w:pStyle w:val="afff2"/>
                          </w:pPr>
                          <w:r>
                            <w:fldChar w:fldCharType="begin"/>
                          </w:r>
                          <w:r>
                            <w:instrText xml:space="preserve"> PAGE  \* MERGEFORMAT </w:instrText>
                          </w:r>
                          <w:r>
                            <w:fldChar w:fldCharType="separate"/>
                          </w:r>
                          <w:r>
                            <w:t>211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009180BD" id="_x0000_t202" coordsize="21600,21600" o:spt="202" path="m,l,21600r21600,l21600,xe">
              <v:stroke joinstyle="miter"/>
              <v:path gradientshapeok="t" o:connecttype="rect"/>
            </v:shapetype>
            <v:shape id="文本框 495" o:spid="_x0000_s1397" type="#_x0000_t202" style="position:absolute;left:0;text-align:left;margin-left:0;margin-top:0;width:2in;height:2in;z-index:251668992;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" filled="f" stroked="f" strokeweight=".5pt">
              <v:textbox style="mso-fit-shape-to-text:t" inset="0,0,0,0">
                <w:txbxContent>
                  <w:p w14:paraId="1A07A70D" w14:textId="77777777" w:rsidR="00B0005F" w:rsidRDefault="00000000">
                    <w:pPr>
                      <w:pStyle w:val="afff2"/>
                    </w:pPr>
                    <w:r>
                      <w:fldChar w:fldCharType="begin"/>
                    </w:r>
                    <w:r>
                      <w:instrText xml:space="preserve"> PAGE  \* MERGEFORMAT </w:instrText>
                    </w:r>
                    <w:r>
                      <w:fldChar w:fldCharType="separate"/>
                    </w:r>
                    <w:r>
                      <w:t>211</w:t>
                    </w:r>
                    <w:r>
                      <w:fldChar w:fldCharType="end"/>
                    </w:r>
                  </w:p>
                </w:txbxContent>
              </v:textbox>
              <w10:wrap anchorx="margin"/>
            </v:shape>
          </w:pict>
        </mc:Fallback>
      </mc:AlternateContent>
    </w:r>
    <w:sdt>
      <w:sdtPr>
        <w:id w:val="1325091329"/>
        <w:showingPlcHdr/>
      </w:sdtPr>
      <w:sdtContent/>
    </w:sdt>
  </w:p>
  <w:p w14:paraId="32A04F54" w14:textId="77777777" w:rsidR="00B0005F" w:rsidRDefault="00B0005F">
    <w:pPr>
      <w:pStyle w:val="afff2"/>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B31C19" w14:textId="77777777" w:rsidR="00B0005F" w:rsidRDefault="00000000">
    <w:pPr>
      <w:pStyle w:val="afff2"/>
      <w:jc w:val="center"/>
    </w:pPr>
    <w:r>
      <w:rPr>
        <w:noProof/>
      </w:rPr>
      <mc:AlternateContent>
        <mc:Choice Requires="wps">
          <w:drawing>
            <wp:anchor distT="0" distB="0" distL="114300" distR="114300" simplePos="0" relativeHeight="251672064" behindDoc="0" locked="0" layoutInCell="1" allowOverlap="1" wp14:anchorId="6DCB9C30" wp14:editId="3733C8F6">
              <wp:simplePos x="0" y="0"/>
              <wp:positionH relativeFrom="margin">
                <wp:align>center</wp:align>
              </wp:positionH>
              <wp:positionV relativeFrom="paragraph">
                <wp:posOffset>0</wp:posOffset>
              </wp:positionV>
              <wp:extent cx="1828800" cy="1828800"/>
              <wp:effectExtent l="0" t="0" r="0" b="0"/>
              <wp:wrapNone/>
              <wp:docPr id="496" name="文本框 49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869B404" w14:textId="77777777" w:rsidR="00B0005F" w:rsidRDefault="00000000">
                          <w:pPr>
                            <w:pStyle w:val="afff2"/>
                          </w:pPr>
                          <w:r>
                            <w:fldChar w:fldCharType="begin"/>
                          </w:r>
                          <w:r>
                            <w:instrText xml:space="preserve"> PAGE  \* MERGEFORMAT </w:instrText>
                          </w:r>
                          <w:r>
                            <w:fldChar w:fldCharType="separate"/>
                          </w:r>
                          <w:r>
                            <w:t>302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6DCB9C30" id="_x0000_t202" coordsize="21600,21600" o:spt="202" path="m,l,21600r21600,l21600,xe">
              <v:stroke joinstyle="miter"/>
              <v:path gradientshapeok="t" o:connecttype="rect"/>
            </v:shapetype>
            <v:shape id="文本框 496" o:spid="_x0000_s1398" type="#_x0000_t202" style="position:absolute;left:0;text-align:left;margin-left:0;margin-top:0;width:2in;height:2in;z-index:2516720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" filled="f" stroked="f" strokeweight=".5pt">
              <v:textbox style="mso-fit-shape-to-text:t" inset="0,0,0,0">
                <w:txbxContent>
                  <w:p w14:paraId="7869B404" w14:textId="77777777" w:rsidR="00B0005F" w:rsidRDefault="00000000">
                    <w:pPr>
                      <w:pStyle w:val="afff2"/>
                    </w:pPr>
                    <w:r>
                      <w:fldChar w:fldCharType="begin"/>
                    </w:r>
                    <w:r>
                      <w:instrText xml:space="preserve"> PAGE  \* MERGEFORMAT </w:instrText>
                    </w:r>
                    <w:r>
                      <w:fldChar w:fldCharType="separate"/>
                    </w:r>
                    <w:r>
                      <w:t>302</w:t>
                    </w:r>
                    <w:r>
                      <w:fldChar w:fldCharType="end"/>
                    </w:r>
                  </w:p>
                </w:txbxContent>
              </v:textbox>
              <w10:wrap anchorx="margin"/>
            </v:shape>
          </w:pict>
        </mc:Fallback>
      </mc:AlternateContent>
    </w:r>
  </w:p>
  <w:p w14:paraId="0A2BE4EF" w14:textId="77777777" w:rsidR="00B0005F" w:rsidRDefault="00B0005F">
    <w:pPr>
      <w:pStyle w:val="afff2"/>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EED9AB" w14:textId="77777777" w:rsidR="00B0005F" w:rsidRDefault="00000000">
    <w:pPr>
      <w:pStyle w:val="afff2"/>
      <w:ind w:firstLine="360"/>
    </w:pPr>
    <w:r>
      <w:rPr>
        <w:noProof/>
      </w:rPr>
      <mc:AlternateContent>
        <mc:Choice Requires="wps">
          <w:drawing>
            <wp:anchor distT="0" distB="0" distL="114300" distR="114300" simplePos="0" relativeHeight="251720704" behindDoc="0" locked="0" layoutInCell="1" allowOverlap="1" wp14:anchorId="58B15205" wp14:editId="25A45CB0">
              <wp:simplePos x="0" y="0"/>
              <wp:positionH relativeFrom="margin">
                <wp:align>center</wp:align>
              </wp:positionH>
              <wp:positionV relativeFrom="paragraph">
                <wp:posOffset>-506095</wp:posOffset>
              </wp:positionV>
              <wp:extent cx="172085" cy="147955"/>
              <wp:effectExtent l="0" t="0" r="0" b="0"/>
              <wp:wrapNone/>
              <wp:docPr id="147" name="文本框 7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085" cy="147955"/>
                      </a:xfrm>
                      <a:prstGeom prst="rect">
                        <a:avLst/>
                      </a:prstGeom>
                      <a:noFill/>
                      <a:ln>
                        <a:noFill/>
                      </a:ln>
                    </wps:spPr>
                    <wps:txbx>
                      <w:txbxContent>
                        <w:p w14:paraId="5EF54954" w14:textId="77777777" w:rsidR="00B0005F" w:rsidRDefault="00000000">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222</w:t>
                          </w:r>
                          <w:r>
                            <w:rPr>
                              <w:rFonts w:hint="eastAsia"/>
                              <w:sz w:val="18"/>
                            </w:rPr>
                            <w:fldChar w:fldCharType="end"/>
                          </w:r>
                        </w:p>
                      </w:txbxContent>
                    </wps:txbx>
                    <wps:bodyPr rot="0" vert="horz" wrap="none" lIns="0" tIns="0" rIns="0" bIns="0" anchor="t" anchorCtr="0" upright="1">
                      <a:spAutoFit/>
                    </wps:bodyPr>
                  </wps:wsp>
                </a:graphicData>
              </a:graphic>
            </wp:anchor>
          </w:drawing>
        </mc:Choice>
        <mc:Fallback>
          <w:pict>
            <v:shapetype w14:anchorId="58B15205" id="_x0000_t202" coordsize="21600,21600" o:spt="202" path="m,l,21600r21600,l21600,xe">
              <v:stroke joinstyle="miter"/>
              <v:path gradientshapeok="t" o:connecttype="rect"/>
            </v:shapetype>
            <v:shape id="文本框 706" o:spid="_x0000_s1399" type="#_x0000_t202" style="position:absolute;left:0;text-align:left;margin-left:0;margin-top:-39.85pt;width:13.55pt;height:11.65pt;z-index:25172070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" filled="f" stroked="f">
              <v:textbox style="mso-fit-shape-to-text:t" inset="0,0,0,0">
                <w:txbxContent>
                  <w:p w14:paraId="5EF54954" w14:textId="77777777" w:rsidR="00B0005F" w:rsidRDefault="00000000">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222</w:t>
                    </w:r>
                    <w:r>
                      <w:rPr>
                        <w:rFonts w:hint="eastAsia"/>
                        <w:sz w:val="18"/>
                      </w:rPr>
                      <w:fldChar w:fldCharType="end"/>
                    </w:r>
                  </w:p>
                </w:txbxContent>
              </v:textbox>
              <w10:wrap anchorx="margin"/>
            </v:shape>
          </w:pict>
        </mc:Fallback>
      </mc:AlternateConten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9945B6" w14:textId="77777777" w:rsidR="00B0005F" w:rsidRDefault="00000000">
    <w:pPr>
      <w:pStyle w:val="afff2"/>
      <w:jc w:val="center"/>
    </w:pPr>
    <w:r>
      <w:rPr>
        <w:noProof/>
      </w:rPr>
      <mc:AlternateContent>
        <mc:Choice Requires="wps">
          <w:drawing>
            <wp:anchor distT="0" distB="0" distL="114300" distR="114300" simplePos="0" relativeHeight="251737088" behindDoc="0" locked="0" layoutInCell="1" allowOverlap="1" wp14:anchorId="2D84A1BB" wp14:editId="543D5BF3">
              <wp:simplePos x="0" y="0"/>
              <wp:positionH relativeFrom="margin">
                <wp:align>center</wp:align>
              </wp:positionH>
              <wp:positionV relativeFrom="paragraph">
                <wp:posOffset>0</wp:posOffset>
              </wp:positionV>
              <wp:extent cx="1828800" cy="1828800"/>
              <wp:effectExtent l="0" t="0" r="0" b="0"/>
              <wp:wrapNone/>
              <wp:docPr id="497" name="文本框 49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3252539" w14:textId="77777777" w:rsidR="00B0005F" w:rsidRDefault="00000000">
                          <w:pPr>
                            <w:pStyle w:val="afff2"/>
                          </w:pPr>
                          <w:r>
                            <w:fldChar w:fldCharType="begin"/>
                          </w:r>
                          <w:r>
                            <w:instrText xml:space="preserve"> PAGE  \* MERGEFORMAT </w:instrText>
                          </w:r>
                          <w:r>
                            <w:fldChar w:fldCharType="separate"/>
                          </w:r>
                          <w:r>
                            <w:t>312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2D84A1BB" id="_x0000_t202" coordsize="21600,21600" o:spt="202" path="m,l,21600r21600,l21600,xe">
              <v:stroke joinstyle="miter"/>
              <v:path gradientshapeok="t" o:connecttype="rect"/>
            </v:shapetype>
            <v:shape id="文本框 497" o:spid="_x0000_s1400" type="#_x0000_t202" style="position:absolute;left:0;text-align:left;margin-left:0;margin-top:0;width:2in;height:2in;z-index:25173708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" filled="f" stroked="f" strokeweight=".5pt">
              <v:textbox style="mso-fit-shape-to-text:t" inset="0,0,0,0">
                <w:txbxContent>
                  <w:p w14:paraId="33252539" w14:textId="77777777" w:rsidR="00B0005F" w:rsidRDefault="00000000">
                    <w:pPr>
                      <w:pStyle w:val="afff2"/>
                    </w:pPr>
                    <w:r>
                      <w:fldChar w:fldCharType="begin"/>
                    </w:r>
                    <w:r>
                      <w:instrText xml:space="preserve"> PAGE  \* MERGEFORMAT </w:instrText>
                    </w:r>
                    <w:r>
                      <w:fldChar w:fldCharType="separate"/>
                    </w:r>
                    <w:r>
                      <w:t>312</w:t>
                    </w:r>
                    <w:r>
                      <w:fldChar w:fldCharType="end"/>
                    </w:r>
                  </w:p>
                </w:txbxContent>
              </v:textbox>
              <w10:wrap anchorx="margin"/>
            </v:shape>
          </w:pict>
        </mc:Fallback>
      </mc:AlternateContent>
    </w:r>
  </w:p>
  <w:p w14:paraId="3311C690" w14:textId="77777777" w:rsidR="00B0005F" w:rsidRDefault="00B0005F">
    <w:pPr>
      <w:pStyle w:val="afff2"/>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CA1B1A" w14:textId="77777777" w:rsidR="00494006" w:rsidRDefault="00494006">
      <w:r>
        <w:separator/>
      </w:r>
    </w:p>
  </w:footnote>
  <w:footnote w:type="continuationSeparator" w:id="0">
    <w:p w14:paraId="3533B78C" w14:textId="77777777" w:rsidR="00494006" w:rsidRDefault="004940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359992" w14:textId="77777777" w:rsidR="00B0005F" w:rsidRDefault="00000000">
    <w:pPr>
      <w:pStyle w:val="afff5"/>
    </w:pPr>
    <w:r>
      <w:t>中国石化西南油气</w:t>
    </w:r>
    <w:proofErr w:type="gramStart"/>
    <w:r>
      <w:t>分公司鸭深</w:t>
    </w:r>
    <w:proofErr w:type="gramEnd"/>
    <w:r>
      <w:t>1井</w:t>
    </w:r>
    <w:proofErr w:type="gramStart"/>
    <w:r>
      <w:t>橇</w:t>
    </w:r>
    <w:proofErr w:type="gramEnd"/>
    <w:r>
      <w:t>装脱硫装置试采工程环境影响报告书</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69FC0E" w14:textId="77777777" w:rsidR="00B0005F" w:rsidRDefault="00B0005F">
    <w:pPr>
      <w:pStyle w:val="afff5"/>
      <w:pBdr>
        <w:bottom w:val="none" w:sz="0" w:space="0" w:color="auto"/>
      </w:pBd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617A51" w14:textId="77777777" w:rsidR="00B0005F" w:rsidRDefault="00B0005F">
    <w:pPr>
      <w:pStyle w:val="afff5"/>
      <w:pBdr>
        <w:bottom w:val="none" w:sz="0" w:space="0" w:color="auto"/>
      </w:pBd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1EF8B7" w14:textId="77777777" w:rsidR="00B0005F" w:rsidRDefault="00000000">
    <w:pPr>
      <w:pStyle w:val="afff5"/>
    </w:pPr>
    <w:r>
      <w:rPr>
        <w:rFonts w:hint="eastAsia"/>
      </w:rPr>
      <w:t>宣汉宏</w:t>
    </w:r>
    <w:proofErr w:type="gramStart"/>
    <w:r>
      <w:rPr>
        <w:rFonts w:hint="eastAsia"/>
      </w:rPr>
      <w:t>浩</w:t>
    </w:r>
    <w:proofErr w:type="gramEnd"/>
    <w:r>
      <w:rPr>
        <w:rFonts w:hint="eastAsia"/>
      </w:rPr>
      <w:t>能源科技发展有限公司天然气综合利用项目（LNG）二期</w:t>
    </w:r>
    <w:r>
      <w:t>环境影响报告书</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454E6F" w14:textId="77777777" w:rsidR="00B0005F" w:rsidRDefault="00000000">
    <w:pPr>
      <w:pStyle w:val="afff5"/>
    </w:pPr>
    <w:r>
      <w:rPr>
        <w:rFonts w:hint="eastAsia"/>
      </w:rPr>
      <w:t>宣汉宏</w:t>
    </w:r>
    <w:proofErr w:type="gramStart"/>
    <w:r>
      <w:rPr>
        <w:rFonts w:hint="eastAsia"/>
      </w:rPr>
      <w:t>浩</w:t>
    </w:r>
    <w:proofErr w:type="gramEnd"/>
    <w:r>
      <w:rPr>
        <w:rFonts w:hint="eastAsia"/>
      </w:rPr>
      <w:t>能源科技发展有限公司天然气综合利用项目（LNG）二期</w:t>
    </w:r>
    <w:r>
      <w:t>环境影响报告书</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CFB9D6" w14:textId="77777777" w:rsidR="00B0005F" w:rsidRDefault="00000000">
    <w:pPr>
      <w:pStyle w:val="afff5"/>
      <w:rPr>
        <w:bCs/>
      </w:rPr>
    </w:pPr>
    <w:r>
      <w:rPr>
        <w:rFonts w:hint="eastAsia"/>
      </w:rPr>
      <w:t>宣汉宏</w:t>
    </w:r>
    <w:proofErr w:type="gramStart"/>
    <w:r>
      <w:rPr>
        <w:rFonts w:hint="eastAsia"/>
      </w:rPr>
      <w:t>浩</w:t>
    </w:r>
    <w:proofErr w:type="gramEnd"/>
    <w:r>
      <w:rPr>
        <w:rFonts w:hint="eastAsia"/>
      </w:rPr>
      <w:t>能源科技发展有限公司天然气综合利用项目（LNG）二期</w:t>
    </w:r>
    <w:r>
      <w:t>环境影响报告书</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D8098A" w14:textId="77777777" w:rsidR="00B0005F" w:rsidRDefault="00000000">
    <w:pPr>
      <w:pStyle w:val="afff5"/>
      <w:rPr>
        <w:bCs/>
      </w:rPr>
    </w:pPr>
    <w:r>
      <w:rPr>
        <w:rFonts w:hint="eastAsia"/>
      </w:rPr>
      <w:t>宣汉宏</w:t>
    </w:r>
    <w:proofErr w:type="gramStart"/>
    <w:r>
      <w:rPr>
        <w:rFonts w:hint="eastAsia"/>
      </w:rPr>
      <w:t>浩</w:t>
    </w:r>
    <w:proofErr w:type="gramEnd"/>
    <w:r>
      <w:rPr>
        <w:rFonts w:hint="eastAsia"/>
      </w:rPr>
      <w:t>能源科技发展有限公司天然气综合利用项目（LNG）二期</w:t>
    </w:r>
    <w:r>
      <w:t>环境影响报告书</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1F612A" w14:textId="77777777" w:rsidR="00B0005F" w:rsidRDefault="00000000">
    <w:pPr>
      <w:pStyle w:val="afff5"/>
    </w:pPr>
    <w:r>
      <w:rPr>
        <w:rFonts w:hint="eastAsia"/>
      </w:rPr>
      <w:t>宣汉宏</w:t>
    </w:r>
    <w:proofErr w:type="gramStart"/>
    <w:r>
      <w:rPr>
        <w:rFonts w:hint="eastAsia"/>
      </w:rPr>
      <w:t>浩</w:t>
    </w:r>
    <w:proofErr w:type="gramEnd"/>
    <w:r>
      <w:rPr>
        <w:rFonts w:hint="eastAsia"/>
      </w:rPr>
      <w:t>能源科技发展有限公司天然气综合利用项目（LNG）二期</w:t>
    </w:r>
    <w:r>
      <w:t>环境影响报告书</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E35294" w14:textId="77777777" w:rsidR="00B0005F" w:rsidRDefault="00000000">
    <w:pPr>
      <w:pStyle w:val="afff5"/>
    </w:pPr>
    <w:r>
      <w:rPr>
        <w:rFonts w:hint="eastAsia"/>
      </w:rPr>
      <w:t>宣汉宏</w:t>
    </w:r>
    <w:proofErr w:type="gramStart"/>
    <w:r>
      <w:rPr>
        <w:rFonts w:hint="eastAsia"/>
      </w:rPr>
      <w:t>浩</w:t>
    </w:r>
    <w:proofErr w:type="gramEnd"/>
    <w:r>
      <w:rPr>
        <w:rFonts w:hint="eastAsia"/>
      </w:rPr>
      <w:t>能源科技发展有限公司天然气综合利用项目（LNG）二期</w:t>
    </w:r>
    <w:r>
      <w:t>环境影响报告书</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A6F1B583"/>
    <w:multiLevelType w:val="singleLevel"/>
    <w:tmpl w:val="A6F1B583"/>
    <w:lvl w:ilvl="0">
      <w:start w:val="1"/>
      <w:numFmt w:val="decimal"/>
      <w:suff w:val="nothing"/>
      <w:lvlText w:val="%1、"/>
      <w:lvlJc w:val="left"/>
    </w:lvl>
  </w:abstractNum>
  <w:abstractNum w:abstractNumId="1" w15:restartNumberingAfterBreak="0">
    <w:nsid w:val="B973E84B"/>
    <w:multiLevelType w:val="singleLevel"/>
    <w:tmpl w:val="B973E84B"/>
    <w:lvl w:ilvl="0">
      <w:start w:val="5"/>
      <w:numFmt w:val="decimal"/>
      <w:suff w:val="nothing"/>
      <w:lvlText w:val="%1、"/>
      <w:lvlJc w:val="left"/>
    </w:lvl>
  </w:abstractNum>
  <w:abstractNum w:abstractNumId="2" w15:restartNumberingAfterBreak="0">
    <w:nsid w:val="B9B12B55"/>
    <w:multiLevelType w:val="singleLevel"/>
    <w:tmpl w:val="B9B12B55"/>
    <w:lvl w:ilvl="0">
      <w:start w:val="3"/>
      <w:numFmt w:val="decimal"/>
      <w:suff w:val="nothing"/>
      <w:lvlText w:val="（%1）"/>
      <w:lvlJc w:val="left"/>
    </w:lvl>
  </w:abstractNum>
  <w:abstractNum w:abstractNumId="3" w15:restartNumberingAfterBreak="0">
    <w:nsid w:val="00000003"/>
    <w:multiLevelType w:val="multilevel"/>
    <w:tmpl w:val="00000003"/>
    <w:lvl w:ilvl="0">
      <w:start w:val="1"/>
      <w:numFmt w:val="none"/>
      <w:pStyle w:val="a"/>
      <w:suff w:val="nothing"/>
      <w:lvlText w:val="%1"/>
      <w:lvlJc w:val="left"/>
      <w:pPr>
        <w:ind w:left="0" w:firstLine="0"/>
      </w:pPr>
      <w:rPr>
        <w:rFonts w:ascii="Times New Roman" w:hAnsi="Times New Roman" w:hint="default"/>
        <w:b/>
        <w:i w:val="0"/>
        <w:sz w:val="21"/>
      </w:rPr>
    </w:lvl>
    <w:lvl w:ilvl="1">
      <w:start w:val="1"/>
      <w:numFmt w:val="decimal"/>
      <w:suff w:val="nothing"/>
      <w:lvlText w:val="%1%2　"/>
      <w:lvlJc w:val="left"/>
      <w:pPr>
        <w:ind w:left="0" w:firstLine="0"/>
      </w:pPr>
      <w:rPr>
        <w:rFonts w:ascii="黑体" w:eastAsia="黑体" w:hAnsi="Times New Roman" w:hint="eastAsia"/>
        <w:b w:val="0"/>
        <w:i w:val="0"/>
        <w:sz w:val="21"/>
      </w:rPr>
    </w:lvl>
    <w:lvl w:ilvl="2">
      <w:start w:val="1"/>
      <w:numFmt w:val="decimal"/>
      <w:pStyle w:val="a0"/>
      <w:suff w:val="nothing"/>
      <w:lvlText w:val="%1%2.%3　"/>
      <w:lvlJc w:val="left"/>
      <w:pPr>
        <w:ind w:left="0" w:firstLine="0"/>
      </w:pPr>
      <w:rPr>
        <w:rFonts w:ascii="黑体" w:eastAsia="黑体" w:hAnsi="Times New Roman" w:hint="eastAsia"/>
        <w:b w:val="0"/>
        <w:i w:val="0"/>
        <w:sz w:val="21"/>
      </w:rPr>
    </w:lvl>
    <w:lvl w:ilvl="3">
      <w:start w:val="1"/>
      <w:numFmt w:val="decimal"/>
      <w:pStyle w:val="a1"/>
      <w:suff w:val="nothing"/>
      <w:lvlText w:val="%1%2.%3.%4　"/>
      <w:lvlJc w:val="left"/>
      <w:pPr>
        <w:ind w:left="0" w:firstLine="0"/>
      </w:pPr>
      <w:rPr>
        <w:rFonts w:ascii="黑体" w:eastAsia="黑体" w:hAnsi="Times New Roman" w:hint="eastAsia"/>
        <w:b w:val="0"/>
        <w:i w:val="0"/>
        <w:sz w:val="21"/>
      </w:rPr>
    </w:lvl>
    <w:lvl w:ilvl="4">
      <w:start w:val="1"/>
      <w:numFmt w:val="decimal"/>
      <w:pStyle w:val="a2"/>
      <w:suff w:val="nothing"/>
      <w:lvlText w:val="%1%2.%3.%4.%5　"/>
      <w:lvlJc w:val="left"/>
      <w:pPr>
        <w:ind w:left="0" w:firstLine="0"/>
      </w:pPr>
      <w:rPr>
        <w:rFonts w:ascii="黑体" w:eastAsia="黑体" w:hAnsi="Times New Roman" w:hint="eastAsia"/>
        <w:b w:val="0"/>
        <w:i w:val="0"/>
        <w:sz w:val="21"/>
      </w:rPr>
    </w:lvl>
    <w:lvl w:ilvl="5">
      <w:start w:val="1"/>
      <w:numFmt w:val="decimal"/>
      <w:pStyle w:val="a3"/>
      <w:suff w:val="nothing"/>
      <w:lvlText w:val="%1%2.%3.%4.%5.%6　"/>
      <w:lvlJc w:val="left"/>
      <w:pPr>
        <w:ind w:left="0" w:firstLine="0"/>
      </w:pPr>
      <w:rPr>
        <w:rFonts w:ascii="黑体" w:eastAsia="黑体" w:hAnsi="Times New Roman" w:hint="eastAsia"/>
        <w:b w:val="0"/>
        <w:i w:val="0"/>
        <w:sz w:val="21"/>
      </w:rPr>
    </w:lvl>
    <w:lvl w:ilvl="6">
      <w:start w:val="1"/>
      <w:numFmt w:val="decimal"/>
      <w:pStyle w:val="a4"/>
      <w:suff w:val="nothing"/>
      <w:lvlText w:val="%1%2.%3.%4.%5.%6.%7　"/>
      <w:lvlJc w:val="left"/>
      <w:pPr>
        <w:ind w:left="0" w:firstLine="0"/>
      </w:pPr>
      <w:rPr>
        <w:rFonts w:ascii="黑体" w:eastAsia="黑体" w:hAnsi="Times New Roman" w:hint="eastAsia"/>
        <w:b w:val="0"/>
        <w:i w:val="0"/>
        <w:sz w:val="21"/>
      </w:rPr>
    </w:lvl>
    <w:lvl w:ilvl="7">
      <w:start w:val="1"/>
      <w:numFmt w:val="decimal"/>
      <w:lvlText w:val="%1.%2.%3.%4.%5.%6.%7.%8"/>
      <w:lvlJc w:val="left"/>
      <w:pPr>
        <w:tabs>
          <w:tab w:val="left" w:pos="4351"/>
        </w:tabs>
        <w:ind w:left="3969" w:hanging="1418"/>
      </w:pPr>
      <w:rPr>
        <w:rFonts w:hint="eastAsia"/>
      </w:rPr>
    </w:lvl>
    <w:lvl w:ilvl="8">
      <w:start w:val="1"/>
      <w:numFmt w:val="decimal"/>
      <w:lvlText w:val="%1.%2.%3.%4.%5.%6.%7.%8.%9"/>
      <w:lvlJc w:val="left"/>
      <w:pPr>
        <w:tabs>
          <w:tab w:val="left" w:pos="4777"/>
        </w:tabs>
        <w:ind w:left="4677" w:hanging="1700"/>
      </w:pPr>
      <w:rPr>
        <w:rFonts w:hint="eastAsia"/>
      </w:rPr>
    </w:lvl>
  </w:abstractNum>
  <w:abstractNum w:abstractNumId="4" w15:restartNumberingAfterBreak="0">
    <w:nsid w:val="00000009"/>
    <w:multiLevelType w:val="multilevel"/>
    <w:tmpl w:val="00000009"/>
    <w:lvl w:ilvl="0">
      <w:start w:val="1"/>
      <w:numFmt w:val="decimal"/>
      <w:pStyle w:val="4"/>
      <w:lvlText w:val="%1."/>
      <w:lvlJc w:val="left"/>
      <w:pPr>
        <w:tabs>
          <w:tab w:val="left" w:pos="425"/>
        </w:tabs>
        <w:ind w:left="425" w:hanging="425"/>
      </w:pPr>
      <w:rPr>
        <w:rFonts w:hint="eastAsia"/>
      </w:rPr>
    </w:lvl>
    <w:lvl w:ilvl="1">
      <w:start w:val="1"/>
      <w:numFmt w:val="decimal"/>
      <w:lvlText w:val="%1.%2."/>
      <w:lvlJc w:val="left"/>
      <w:pPr>
        <w:tabs>
          <w:tab w:val="left" w:pos="567"/>
        </w:tabs>
        <w:ind w:left="567" w:hanging="567"/>
      </w:pPr>
      <w:rPr>
        <w:rFonts w:hint="eastAsia"/>
      </w:rPr>
    </w:lvl>
    <w:lvl w:ilvl="2">
      <w:start w:val="1"/>
      <w:numFmt w:val="decimal"/>
      <w:lvlText w:val="%1.%2.%3."/>
      <w:lvlJc w:val="left"/>
      <w:pPr>
        <w:tabs>
          <w:tab w:val="left" w:pos="709"/>
        </w:tabs>
        <w:ind w:left="709" w:hanging="709"/>
      </w:pPr>
      <w:rPr>
        <w:rFonts w:hint="eastAsia"/>
      </w:rPr>
    </w:lvl>
    <w:lvl w:ilvl="3">
      <w:start w:val="1"/>
      <w:numFmt w:val="decimal"/>
      <w:lvlText w:val="%3%1.%2..%4."/>
      <w:lvlJc w:val="left"/>
      <w:pPr>
        <w:tabs>
          <w:tab w:val="left" w:pos="851"/>
        </w:tabs>
        <w:ind w:left="851" w:hanging="851"/>
      </w:pPr>
      <w:rPr>
        <w:rFonts w:hint="eastAsia"/>
      </w:rPr>
    </w:lvl>
    <w:lvl w:ilvl="4">
      <w:start w:val="1"/>
      <w:numFmt w:val="decimal"/>
      <w:lvlText w:val="%1.%2.%3.%4.%5."/>
      <w:lvlJc w:val="left"/>
      <w:pPr>
        <w:tabs>
          <w:tab w:val="left" w:pos="992"/>
        </w:tabs>
        <w:ind w:left="992" w:hanging="992"/>
      </w:pPr>
      <w:rPr>
        <w:rFonts w:hint="eastAsia"/>
      </w:rPr>
    </w:lvl>
    <w:lvl w:ilvl="5">
      <w:start w:val="1"/>
      <w:numFmt w:val="decimal"/>
      <w:lvlText w:val="%1.%2.%3.%4.%5.%6."/>
      <w:lvlJc w:val="left"/>
      <w:pPr>
        <w:tabs>
          <w:tab w:val="left" w:pos="1134"/>
        </w:tabs>
        <w:ind w:left="1134" w:hanging="1134"/>
      </w:pPr>
      <w:rPr>
        <w:rFonts w:hint="eastAsia"/>
      </w:rPr>
    </w:lvl>
    <w:lvl w:ilvl="6">
      <w:start w:val="1"/>
      <w:numFmt w:val="decimal"/>
      <w:lvlText w:val="%1.%2.%3.%4.%5.%6.%7."/>
      <w:lvlJc w:val="left"/>
      <w:pPr>
        <w:tabs>
          <w:tab w:val="left" w:pos="1276"/>
        </w:tabs>
        <w:ind w:left="1276" w:hanging="1276"/>
      </w:pPr>
      <w:rPr>
        <w:rFonts w:hint="eastAsia"/>
      </w:rPr>
    </w:lvl>
    <w:lvl w:ilvl="7">
      <w:start w:val="1"/>
      <w:numFmt w:val="decimal"/>
      <w:lvlText w:val="%1.%2.%3.%4.%5.%6.%7.%8."/>
      <w:lvlJc w:val="left"/>
      <w:pPr>
        <w:tabs>
          <w:tab w:val="left" w:pos="1418"/>
        </w:tabs>
        <w:ind w:left="1418" w:hanging="1418"/>
      </w:pPr>
      <w:rPr>
        <w:rFonts w:hint="eastAsia"/>
      </w:rPr>
    </w:lvl>
    <w:lvl w:ilvl="8">
      <w:start w:val="1"/>
      <w:numFmt w:val="decimal"/>
      <w:lvlText w:val="%1.%2.%3.%4.%5.%6.%7.%8.%9."/>
      <w:lvlJc w:val="left"/>
      <w:pPr>
        <w:tabs>
          <w:tab w:val="left" w:pos="1559"/>
        </w:tabs>
        <w:ind w:left="1559" w:hanging="1559"/>
      </w:pPr>
      <w:rPr>
        <w:rFonts w:hint="eastAsia"/>
      </w:rPr>
    </w:lvl>
  </w:abstractNum>
  <w:abstractNum w:abstractNumId="5" w15:restartNumberingAfterBreak="0">
    <w:nsid w:val="0000000B"/>
    <w:multiLevelType w:val="multilevel"/>
    <w:tmpl w:val="0000000B"/>
    <w:lvl w:ilvl="0">
      <w:start w:val="1"/>
      <w:numFmt w:val="decimal"/>
      <w:pStyle w:val="6"/>
      <w:lvlText w:val="表6-%1"/>
      <w:lvlJc w:val="center"/>
      <w:pPr>
        <w:tabs>
          <w:tab w:val="left" w:pos="0"/>
        </w:tabs>
        <w:ind w:left="0" w:firstLine="0"/>
      </w:pPr>
      <w:rPr>
        <w:rFonts w:hint="eastAsia"/>
      </w:r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0000000D"/>
    <w:multiLevelType w:val="multilevel"/>
    <w:tmpl w:val="0000000D"/>
    <w:lvl w:ilvl="0">
      <w:start w:val="1"/>
      <w:numFmt w:val="none"/>
      <w:suff w:val="nothing"/>
      <w:lvlText w:val="　"/>
      <w:lvlJc w:val="left"/>
      <w:pPr>
        <w:ind w:left="0" w:firstLine="0"/>
      </w:pPr>
      <w:rPr>
        <w:rFonts w:ascii="黑体" w:eastAsia="黑体" w:hAnsi="Times New Roman" w:hint="eastAsia"/>
        <w:b w:val="0"/>
        <w:i w:val="0"/>
        <w:sz w:val="21"/>
      </w:rPr>
    </w:lvl>
    <w:lvl w:ilvl="1">
      <w:start w:val="1"/>
      <w:numFmt w:val="decimal"/>
      <w:isLgl/>
      <w:suff w:val="nothing"/>
      <w:lvlText w:val="%2　"/>
      <w:lvlJc w:val="left"/>
      <w:pPr>
        <w:ind w:left="0" w:firstLine="0"/>
      </w:pPr>
      <w:rPr>
        <w:rFonts w:ascii="黑体" w:eastAsia="黑体" w:hAnsi="Times New Roman" w:hint="eastAsia"/>
        <w:b w:val="0"/>
        <w:i w:val="0"/>
        <w:snapToGrid/>
        <w:spacing w:val="0"/>
        <w:w w:val="100"/>
        <w:kern w:val="21"/>
        <w:sz w:val="21"/>
      </w:rPr>
    </w:lvl>
    <w:lvl w:ilvl="2">
      <w:start w:val="1"/>
      <w:numFmt w:val="decimal"/>
      <w:pStyle w:val="a5"/>
      <w:suff w:val="nothing"/>
      <w:lvlText w:val="%1%2.%3　"/>
      <w:lvlJc w:val="left"/>
      <w:pPr>
        <w:ind w:left="0" w:firstLine="0"/>
      </w:pPr>
      <w:rPr>
        <w:rFonts w:ascii="黑体" w:eastAsia="黑体" w:hAnsi="Times New Roman" w:hint="eastAsia"/>
        <w:b w:val="0"/>
        <w:i w:val="0"/>
        <w:sz w:val="21"/>
      </w:rPr>
    </w:lvl>
    <w:lvl w:ilvl="3">
      <w:start w:val="1"/>
      <w:numFmt w:val="decimal"/>
      <w:suff w:val="nothing"/>
      <w:lvlText w:val="%1%2.%3.%4　"/>
      <w:lvlJc w:val="left"/>
      <w:pPr>
        <w:ind w:left="0" w:firstLine="0"/>
      </w:pPr>
      <w:rPr>
        <w:rFonts w:ascii="黑体" w:eastAsia="黑体" w:hAnsi="Times New Roman" w:hint="eastAsia"/>
        <w:b w:val="0"/>
        <w:i w:val="0"/>
        <w:sz w:val="21"/>
      </w:rPr>
    </w:lvl>
    <w:lvl w:ilvl="4">
      <w:start w:val="1"/>
      <w:numFmt w:val="decimal"/>
      <w:suff w:val="nothing"/>
      <w:lvlText w:val="%1%2.%3.%4.%5　"/>
      <w:lvlJc w:val="left"/>
      <w:pPr>
        <w:ind w:left="0" w:firstLine="0"/>
      </w:pPr>
      <w:rPr>
        <w:rFonts w:ascii="黑体" w:eastAsia="黑体" w:hAnsi="Times New Roman" w:hint="eastAsia"/>
        <w:b w:val="0"/>
        <w:i w:val="0"/>
        <w:sz w:val="21"/>
      </w:rPr>
    </w:lvl>
    <w:lvl w:ilvl="5">
      <w:start w:val="1"/>
      <w:numFmt w:val="decimal"/>
      <w:pStyle w:val="a6"/>
      <w:suff w:val="nothing"/>
      <w:lvlText w:val="%1%2.%3.%4.%5.%6　"/>
      <w:lvlJc w:val="left"/>
      <w:pPr>
        <w:ind w:left="0" w:firstLine="0"/>
      </w:pPr>
      <w:rPr>
        <w:rFonts w:ascii="黑体" w:eastAsia="黑体" w:hAnsi="Times New Roman" w:hint="eastAsia"/>
        <w:b w:val="0"/>
        <w:i w:val="0"/>
        <w:sz w:val="21"/>
      </w:rPr>
    </w:lvl>
    <w:lvl w:ilvl="6">
      <w:start w:val="1"/>
      <w:numFmt w:val="decimal"/>
      <w:suff w:val="nothing"/>
      <w:lvlText w:val="%1%2.%3.%4.%5.%6.%7　"/>
      <w:lvlJc w:val="left"/>
      <w:pPr>
        <w:ind w:left="0" w:firstLine="0"/>
      </w:pPr>
      <w:rPr>
        <w:rFonts w:ascii="黑体" w:eastAsia="黑体" w:hAnsi="Times New Roman" w:hint="eastAsia"/>
        <w:b w:val="0"/>
        <w:i w:val="0"/>
        <w:sz w:val="21"/>
      </w:rPr>
    </w:lvl>
    <w:lvl w:ilvl="7">
      <w:start w:val="1"/>
      <w:numFmt w:val="decimal"/>
      <w:lvlText w:val="%1.%2.%3.%4.%5.%6.%7.%8"/>
      <w:lvlJc w:val="left"/>
      <w:pPr>
        <w:tabs>
          <w:tab w:val="left" w:pos="4394"/>
        </w:tabs>
        <w:ind w:left="4394" w:hanging="1418"/>
      </w:pPr>
      <w:rPr>
        <w:rFonts w:hint="eastAsia"/>
      </w:rPr>
    </w:lvl>
    <w:lvl w:ilvl="8">
      <w:start w:val="1"/>
      <w:numFmt w:val="decimal"/>
      <w:lvlText w:val="%1.%2.%3.%4.%5.%6.%7.%8.%9"/>
      <w:lvlJc w:val="left"/>
      <w:pPr>
        <w:tabs>
          <w:tab w:val="left" w:pos="5102"/>
        </w:tabs>
        <w:ind w:left="5102" w:hanging="1700"/>
      </w:pPr>
      <w:rPr>
        <w:rFonts w:hint="eastAsia"/>
      </w:rPr>
    </w:lvl>
  </w:abstractNum>
  <w:abstractNum w:abstractNumId="7" w15:restartNumberingAfterBreak="0">
    <w:nsid w:val="0EAC2138"/>
    <w:multiLevelType w:val="multilevel"/>
    <w:tmpl w:val="0EAC2138"/>
    <w:lvl w:ilvl="0">
      <w:start w:val="1"/>
      <w:numFmt w:val="bullet"/>
      <w:pStyle w:val="04"/>
      <w:lvlText w:val=""/>
      <w:lvlJc w:val="left"/>
      <w:pPr>
        <w:tabs>
          <w:tab w:val="left" w:pos="1701"/>
        </w:tabs>
        <w:ind w:left="0" w:firstLine="1134"/>
      </w:pPr>
      <w:rPr>
        <w:rFonts w:ascii="Wingdings" w:hAnsi="Wingdings" w:hint="default"/>
      </w:rPr>
    </w:lvl>
    <w:lvl w:ilvl="1">
      <w:start w:val="1"/>
      <w:numFmt w:val="bullet"/>
      <w:lvlText w:val=""/>
      <w:lvlJc w:val="left"/>
      <w:pPr>
        <w:tabs>
          <w:tab w:val="left" w:pos="840"/>
        </w:tabs>
        <w:ind w:left="840" w:hanging="420"/>
      </w:pPr>
      <w:rPr>
        <w:rFonts w:ascii="Wingdings" w:hAnsi="Wingdings" w:hint="default"/>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abstractNum w:abstractNumId="8" w15:restartNumberingAfterBreak="0">
    <w:nsid w:val="20D131E6"/>
    <w:multiLevelType w:val="multilevel"/>
    <w:tmpl w:val="20D131E6"/>
    <w:lvl w:ilvl="0">
      <w:start w:val="1"/>
      <w:numFmt w:val="decimal"/>
      <w:pStyle w:val="WJ1"/>
      <w:lvlText w:val="%1"/>
      <w:lvlJc w:val="left"/>
      <w:pPr>
        <w:ind w:left="555" w:hanging="55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2160" w:hanging="216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9" w15:restartNumberingAfterBreak="0">
    <w:nsid w:val="2EC8799B"/>
    <w:multiLevelType w:val="multilevel"/>
    <w:tmpl w:val="2EC8799B"/>
    <w:lvl w:ilvl="0">
      <w:start w:val="1"/>
      <w:numFmt w:val="decimal"/>
      <w:pStyle w:val="10"/>
      <w:lvlText w:val="%1"/>
      <w:lvlJc w:val="left"/>
      <w:pPr>
        <w:tabs>
          <w:tab w:val="left" w:pos="432"/>
        </w:tabs>
        <w:ind w:left="432" w:hanging="432"/>
      </w:pPr>
      <w:rPr>
        <w:rFonts w:hint="eastAsia"/>
      </w:rPr>
    </w:lvl>
    <w:lvl w:ilvl="1">
      <w:start w:val="1"/>
      <w:numFmt w:val="decimal"/>
      <w:pStyle w:val="32"/>
      <w:lvlText w:val="%1.%2"/>
      <w:lvlJc w:val="left"/>
      <w:pPr>
        <w:tabs>
          <w:tab w:val="left" w:pos="1476"/>
        </w:tabs>
        <w:ind w:left="1476" w:hanging="1296"/>
      </w:pPr>
      <w:rPr>
        <w:rFonts w:ascii="Times New Roman" w:hAnsi="Times New Roman" w:cs="Times New Roman" w:hint="default"/>
        <w:b/>
      </w:rPr>
    </w:lvl>
    <w:lvl w:ilvl="2">
      <w:start w:val="1"/>
      <w:numFmt w:val="decimal"/>
      <w:pStyle w:val="4651152"/>
      <w:lvlText w:val="%1.%2.%3"/>
      <w:lvlJc w:val="left"/>
      <w:pPr>
        <w:tabs>
          <w:tab w:val="left" w:pos="720"/>
        </w:tabs>
        <w:ind w:left="720" w:hanging="720"/>
      </w:pPr>
      <w:rPr>
        <w:rFonts w:ascii="Times New Roman" w:hAnsi="Times New Roman" w:cs="Times New Roman" w:hint="default"/>
      </w:rPr>
    </w:lvl>
    <w:lvl w:ilvl="3">
      <w:start w:val="1"/>
      <w:numFmt w:val="decimal"/>
      <w:pStyle w:val="27"/>
      <w:lvlText w:val="%1.%2.%3.%4"/>
      <w:lvlJc w:val="left"/>
      <w:pPr>
        <w:tabs>
          <w:tab w:val="left" w:pos="864"/>
        </w:tabs>
        <w:ind w:left="864" w:hanging="864"/>
      </w:pPr>
      <w:rPr>
        <w:rFonts w:ascii="Times New Roman" w:hAnsi="Times New Roman" w:cs="Times New Roman" w:hint="default"/>
      </w:rPr>
    </w:lvl>
    <w:lvl w:ilvl="4">
      <w:start w:val="1"/>
      <w:numFmt w:val="decimal"/>
      <w:lvlText w:val="%1.%2.%3.%4.%5"/>
      <w:lvlJc w:val="left"/>
      <w:pPr>
        <w:tabs>
          <w:tab w:val="left" w:pos="1008"/>
        </w:tabs>
        <w:ind w:left="1008" w:hanging="1008"/>
      </w:pPr>
      <w:rPr>
        <w:rFonts w:hint="eastAsia"/>
      </w:rPr>
    </w:lvl>
    <w:lvl w:ilvl="5">
      <w:start w:val="1"/>
      <w:numFmt w:val="decimal"/>
      <w:lvlText w:val="%1.%2.%3.%4.%5.%6"/>
      <w:lvlJc w:val="left"/>
      <w:pPr>
        <w:tabs>
          <w:tab w:val="left" w:pos="1152"/>
        </w:tabs>
        <w:ind w:left="1152" w:hanging="1152"/>
      </w:pPr>
      <w:rPr>
        <w:rFonts w:hint="eastAsia"/>
      </w:rPr>
    </w:lvl>
    <w:lvl w:ilvl="6">
      <w:start w:val="1"/>
      <w:numFmt w:val="decimal"/>
      <w:lvlText w:val="%1.%2.%3.%4.%5.%6.%7"/>
      <w:lvlJc w:val="left"/>
      <w:pPr>
        <w:tabs>
          <w:tab w:val="left" w:pos="1296"/>
        </w:tabs>
        <w:ind w:left="1296" w:hanging="1296"/>
      </w:pPr>
      <w:rPr>
        <w:rFonts w:hint="eastAsia"/>
      </w:rPr>
    </w:lvl>
    <w:lvl w:ilvl="7">
      <w:start w:val="1"/>
      <w:numFmt w:val="decimal"/>
      <w:lvlText w:val="%1.%2.%3.%4.%5.%6.%7.%8"/>
      <w:lvlJc w:val="left"/>
      <w:pPr>
        <w:tabs>
          <w:tab w:val="left" w:pos="1440"/>
        </w:tabs>
        <w:ind w:left="1440" w:hanging="1440"/>
      </w:pPr>
      <w:rPr>
        <w:rFonts w:hint="eastAsia"/>
      </w:rPr>
    </w:lvl>
    <w:lvl w:ilvl="8">
      <w:start w:val="1"/>
      <w:numFmt w:val="decimal"/>
      <w:lvlText w:val="%1.%2.%3.%4.%5.%6.%7.%8.%9"/>
      <w:lvlJc w:val="left"/>
      <w:pPr>
        <w:tabs>
          <w:tab w:val="left" w:pos="1584"/>
        </w:tabs>
        <w:ind w:left="1584" w:hanging="1584"/>
      </w:pPr>
      <w:rPr>
        <w:rFonts w:hint="eastAsia"/>
      </w:rPr>
    </w:lvl>
  </w:abstractNum>
  <w:abstractNum w:abstractNumId="10" w15:restartNumberingAfterBreak="0">
    <w:nsid w:val="3A114B99"/>
    <w:multiLevelType w:val="multilevel"/>
    <w:tmpl w:val="3A114B99"/>
    <w:lvl w:ilvl="0">
      <w:start w:val="2"/>
      <w:numFmt w:val="japaneseCounting"/>
      <w:lvlText w:val="第%1节"/>
      <w:lvlJc w:val="left"/>
      <w:pPr>
        <w:tabs>
          <w:tab w:val="left" w:pos="1130"/>
        </w:tabs>
        <w:ind w:left="1130" w:hanging="1140"/>
      </w:pPr>
      <w:rPr>
        <w:rFonts w:hint="default"/>
      </w:rPr>
    </w:lvl>
    <w:lvl w:ilvl="1">
      <w:start w:val="1"/>
      <w:numFmt w:val="japaneseCounting"/>
      <w:lvlText w:val="（%2）"/>
      <w:lvlJc w:val="left"/>
      <w:pPr>
        <w:tabs>
          <w:tab w:val="left" w:pos="1265"/>
        </w:tabs>
        <w:ind w:left="1265" w:hanging="855"/>
      </w:pPr>
      <w:rPr>
        <w:rFonts w:eastAsia="宋体" w:hint="default"/>
        <w:b w:val="0"/>
        <w:sz w:val="28"/>
        <w:lang w:val="en-US"/>
      </w:rPr>
    </w:lvl>
    <w:lvl w:ilvl="2">
      <w:start w:val="1"/>
      <w:numFmt w:val="decimal"/>
      <w:lvlText w:val="%3、"/>
      <w:lvlJc w:val="left"/>
      <w:pPr>
        <w:tabs>
          <w:tab w:val="left" w:pos="1550"/>
        </w:tabs>
        <w:ind w:left="1550" w:hanging="720"/>
      </w:pPr>
      <w:rPr>
        <w:rFonts w:hint="default"/>
      </w:rPr>
    </w:lvl>
    <w:lvl w:ilvl="3">
      <w:start w:val="1"/>
      <w:numFmt w:val="decimal"/>
      <w:lvlText w:val="%4."/>
      <w:lvlJc w:val="left"/>
      <w:pPr>
        <w:tabs>
          <w:tab w:val="left" w:pos="1670"/>
        </w:tabs>
        <w:ind w:left="1670" w:hanging="420"/>
      </w:pPr>
    </w:lvl>
    <w:lvl w:ilvl="4">
      <w:start w:val="1"/>
      <w:numFmt w:val="lowerLetter"/>
      <w:lvlText w:val="%5)"/>
      <w:lvlJc w:val="left"/>
      <w:pPr>
        <w:tabs>
          <w:tab w:val="left" w:pos="2090"/>
        </w:tabs>
        <w:ind w:left="2090" w:hanging="420"/>
      </w:pPr>
    </w:lvl>
    <w:lvl w:ilvl="5">
      <w:start w:val="1"/>
      <w:numFmt w:val="lowerRoman"/>
      <w:lvlText w:val="%6."/>
      <w:lvlJc w:val="right"/>
      <w:pPr>
        <w:tabs>
          <w:tab w:val="left" w:pos="2510"/>
        </w:tabs>
        <w:ind w:left="2510" w:hanging="420"/>
      </w:pPr>
    </w:lvl>
    <w:lvl w:ilvl="6">
      <w:start w:val="1"/>
      <w:numFmt w:val="decimal"/>
      <w:lvlText w:val="%7."/>
      <w:lvlJc w:val="left"/>
      <w:pPr>
        <w:tabs>
          <w:tab w:val="left" w:pos="2930"/>
        </w:tabs>
        <w:ind w:left="2930" w:hanging="420"/>
      </w:pPr>
    </w:lvl>
    <w:lvl w:ilvl="7">
      <w:start w:val="1"/>
      <w:numFmt w:val="lowerLetter"/>
      <w:lvlText w:val="%8)"/>
      <w:lvlJc w:val="left"/>
      <w:pPr>
        <w:tabs>
          <w:tab w:val="left" w:pos="3350"/>
        </w:tabs>
        <w:ind w:left="3350" w:hanging="420"/>
      </w:pPr>
    </w:lvl>
    <w:lvl w:ilvl="8">
      <w:start w:val="1"/>
      <w:numFmt w:val="japaneseCounting"/>
      <w:pStyle w:val="03"/>
      <w:lvlText w:val="（%9）"/>
      <w:lvlJc w:val="left"/>
      <w:pPr>
        <w:tabs>
          <w:tab w:val="left" w:pos="410"/>
        </w:tabs>
        <w:ind w:left="410" w:hanging="420"/>
      </w:pPr>
      <w:rPr>
        <w:rFonts w:ascii="Garamond" w:eastAsia="宋体" w:hAnsi="Garamond" w:cs="Times New Roman" w:hint="default"/>
      </w:rPr>
    </w:lvl>
  </w:abstractNum>
  <w:abstractNum w:abstractNumId="11" w15:restartNumberingAfterBreak="0">
    <w:nsid w:val="41A9432C"/>
    <w:multiLevelType w:val="multilevel"/>
    <w:tmpl w:val="41A9432C"/>
    <w:lvl w:ilvl="0">
      <w:start w:val="1"/>
      <w:numFmt w:val="decimal"/>
      <w:pStyle w:val="1"/>
      <w:lvlText w:val="%1"/>
      <w:lvlJc w:val="left"/>
      <w:pPr>
        <w:tabs>
          <w:tab w:val="left" w:pos="425"/>
        </w:tabs>
        <w:ind w:left="425" w:hanging="425"/>
      </w:pPr>
      <w:rPr>
        <w:color w:val="auto"/>
      </w:rPr>
    </w:lvl>
    <w:lvl w:ilvl="1">
      <w:start w:val="1"/>
      <w:numFmt w:val="decimal"/>
      <w:pStyle w:val="221121H2SeHeadwsa211"/>
      <w:lvlText w:val="%1.%2"/>
      <w:lvlJc w:val="left"/>
      <w:pPr>
        <w:tabs>
          <w:tab w:val="left" w:pos="567"/>
        </w:tabs>
        <w:ind w:left="567" w:hanging="567"/>
      </w:pPr>
    </w:lvl>
    <w:lvl w:ilvl="2">
      <w:start w:val="1"/>
      <w:numFmt w:val="decimal"/>
      <w:pStyle w:val="3"/>
      <w:lvlText w:val="%1.%2.%3"/>
      <w:lvlJc w:val="left"/>
      <w:pPr>
        <w:tabs>
          <w:tab w:val="left" w:pos="1418"/>
        </w:tabs>
        <w:ind w:left="1418" w:hanging="567"/>
      </w:pPr>
      <w:rPr>
        <w:color w:val="auto"/>
      </w:rPr>
    </w:lvl>
    <w:lvl w:ilvl="3">
      <w:start w:val="1"/>
      <w:numFmt w:val="decimal"/>
      <w:pStyle w:val="40"/>
      <w:lvlText w:val="%1.%2.%3.%4"/>
      <w:lvlJc w:val="left"/>
      <w:pPr>
        <w:tabs>
          <w:tab w:val="left" w:pos="1984"/>
        </w:tabs>
        <w:ind w:left="1984" w:hanging="708"/>
      </w:pPr>
      <w:rPr>
        <w:b w:val="0"/>
      </w:rPr>
    </w:lvl>
    <w:lvl w:ilvl="4">
      <w:start w:val="1"/>
      <w:numFmt w:val="decimal"/>
      <w:lvlText w:val="%1.%2.%3.%4.%5"/>
      <w:lvlJc w:val="left"/>
      <w:pPr>
        <w:tabs>
          <w:tab w:val="left" w:pos="2551"/>
        </w:tabs>
        <w:ind w:left="2551" w:hanging="850"/>
      </w:pPr>
    </w:lvl>
    <w:lvl w:ilvl="5">
      <w:start w:val="1"/>
      <w:numFmt w:val="decimal"/>
      <w:lvlText w:val="%1.%2.%3.%4.%5.%6"/>
      <w:lvlJc w:val="left"/>
      <w:pPr>
        <w:tabs>
          <w:tab w:val="left" w:pos="3260"/>
        </w:tabs>
        <w:ind w:left="3260" w:hanging="1134"/>
      </w:pPr>
    </w:lvl>
    <w:lvl w:ilvl="6">
      <w:start w:val="1"/>
      <w:numFmt w:val="decimal"/>
      <w:lvlText w:val="%1.%2.%3.%4.%5.%6.%7"/>
      <w:lvlJc w:val="left"/>
      <w:pPr>
        <w:tabs>
          <w:tab w:val="left" w:pos="3827"/>
        </w:tabs>
        <w:ind w:left="3827" w:hanging="1276"/>
      </w:pPr>
    </w:lvl>
    <w:lvl w:ilvl="7">
      <w:start w:val="1"/>
      <w:numFmt w:val="decimal"/>
      <w:lvlText w:val="%1.%2.%3.%4.%5.%6.%7.%8"/>
      <w:lvlJc w:val="left"/>
      <w:pPr>
        <w:tabs>
          <w:tab w:val="left" w:pos="4394"/>
        </w:tabs>
        <w:ind w:left="4394" w:hanging="1418"/>
      </w:pPr>
    </w:lvl>
    <w:lvl w:ilvl="8">
      <w:start w:val="1"/>
      <w:numFmt w:val="decimal"/>
      <w:lvlText w:val="%1.%2.%3.%4.%5.%6.%7.%8.%9"/>
      <w:lvlJc w:val="left"/>
      <w:pPr>
        <w:tabs>
          <w:tab w:val="left" w:pos="5102"/>
        </w:tabs>
        <w:ind w:left="5102" w:hanging="1700"/>
      </w:pPr>
    </w:lvl>
  </w:abstractNum>
  <w:abstractNum w:abstractNumId="12" w15:restartNumberingAfterBreak="0">
    <w:nsid w:val="4B8E5910"/>
    <w:multiLevelType w:val="multilevel"/>
    <w:tmpl w:val="4B8E5910"/>
    <w:lvl w:ilvl="0">
      <w:start w:val="1"/>
      <w:numFmt w:val="decimal"/>
      <w:pStyle w:val="11"/>
      <w:suff w:val="space"/>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3" w15:restartNumberingAfterBreak="0">
    <w:nsid w:val="664169C1"/>
    <w:multiLevelType w:val="singleLevel"/>
    <w:tmpl w:val="664169C1"/>
    <w:lvl w:ilvl="0">
      <w:start w:val="3"/>
      <w:numFmt w:val="decimal"/>
      <w:suff w:val="nothing"/>
      <w:lvlText w:val="（%1）"/>
      <w:lvlJc w:val="left"/>
    </w:lvl>
  </w:abstractNum>
  <w:abstractNum w:abstractNumId="14" w15:restartNumberingAfterBreak="0">
    <w:nsid w:val="679BD8E9"/>
    <w:multiLevelType w:val="singleLevel"/>
    <w:tmpl w:val="679BD8E9"/>
    <w:lvl w:ilvl="0">
      <w:start w:val="3"/>
      <w:numFmt w:val="decimal"/>
      <w:suff w:val="nothing"/>
      <w:lvlText w:val="（%1）"/>
      <w:lvlJc w:val="left"/>
    </w:lvl>
  </w:abstractNum>
  <w:abstractNum w:abstractNumId="15" w15:restartNumberingAfterBreak="0">
    <w:nsid w:val="6ACA1753"/>
    <w:multiLevelType w:val="singleLevel"/>
    <w:tmpl w:val="6ACA1753"/>
    <w:lvl w:ilvl="0">
      <w:start w:val="1"/>
      <w:numFmt w:val="chineseCountingThousand"/>
      <w:pStyle w:val="a7"/>
      <w:lvlText w:val="图%1  "/>
      <w:lvlJc w:val="left"/>
      <w:pPr>
        <w:tabs>
          <w:tab w:val="left" w:pos="720"/>
        </w:tabs>
        <w:ind w:left="425" w:hanging="425"/>
      </w:pPr>
      <w:rPr>
        <w:rFonts w:hint="eastAsia"/>
      </w:rPr>
    </w:lvl>
  </w:abstractNum>
  <w:abstractNum w:abstractNumId="16" w15:restartNumberingAfterBreak="0">
    <w:nsid w:val="728C3A17"/>
    <w:multiLevelType w:val="multilevel"/>
    <w:tmpl w:val="728C3A17"/>
    <w:lvl w:ilvl="0">
      <w:start w:val="1"/>
      <w:numFmt w:val="upperRoman"/>
      <w:pStyle w:val="414"/>
      <w:lvlText w:val="%1."/>
      <w:lvlJc w:val="left"/>
      <w:pPr>
        <w:tabs>
          <w:tab w:val="left" w:pos="420"/>
        </w:tabs>
        <w:ind w:left="420" w:hanging="420"/>
      </w:p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7" w15:restartNumberingAfterBreak="0">
    <w:nsid w:val="733473A8"/>
    <w:multiLevelType w:val="multilevel"/>
    <w:tmpl w:val="733473A8"/>
    <w:lvl w:ilvl="0">
      <w:start w:val="1"/>
      <w:numFmt w:val="decimal"/>
      <w:lvlText w:val="%1"/>
      <w:lvlJc w:val="left"/>
      <w:pPr>
        <w:ind w:left="555" w:hanging="555"/>
      </w:pPr>
      <w:rPr>
        <w:rFonts w:hint="default"/>
      </w:rPr>
    </w:lvl>
    <w:lvl w:ilvl="1">
      <w:start w:val="1"/>
      <w:numFmt w:val="decimal"/>
      <w:lvlText w:val="%1.%2"/>
      <w:lvlJc w:val="left"/>
      <w:pPr>
        <w:ind w:left="384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2160" w:hanging="216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18" w15:restartNumberingAfterBreak="0">
    <w:nsid w:val="7F302844"/>
    <w:multiLevelType w:val="multilevel"/>
    <w:tmpl w:val="7F302844"/>
    <w:lvl w:ilvl="0">
      <w:start w:val="1"/>
      <w:numFmt w:val="decimal"/>
      <w:lvlText w:val="%1"/>
      <w:lvlJc w:val="left"/>
      <w:pPr>
        <w:tabs>
          <w:tab w:val="left" w:pos="432"/>
        </w:tabs>
        <w:ind w:left="432" w:hanging="432"/>
      </w:pPr>
    </w:lvl>
    <w:lvl w:ilvl="1">
      <w:start w:val="1"/>
      <w:numFmt w:val="decimal"/>
      <w:lvlText w:val="%1.%2"/>
      <w:lvlJc w:val="left"/>
      <w:pPr>
        <w:tabs>
          <w:tab w:val="left" w:pos="576"/>
        </w:tabs>
        <w:ind w:left="576" w:hanging="576"/>
      </w:pPr>
    </w:lvl>
    <w:lvl w:ilvl="2">
      <w:start w:val="1"/>
      <w:numFmt w:val="decimal"/>
      <w:pStyle w:val="30"/>
      <w:lvlText w:val="%1.%2.%3"/>
      <w:lvlJc w:val="left"/>
      <w:pPr>
        <w:tabs>
          <w:tab w:val="left" w:pos="720"/>
        </w:tabs>
        <w:ind w:left="720" w:hanging="720"/>
      </w:pPr>
    </w:lvl>
    <w:lvl w:ilvl="3">
      <w:start w:val="1"/>
      <w:numFmt w:val="decimal"/>
      <w:pStyle w:val="41"/>
      <w:lvlText w:val="%1.%2.%3.%4"/>
      <w:lvlJc w:val="left"/>
      <w:pPr>
        <w:tabs>
          <w:tab w:val="left" w:pos="864"/>
        </w:tabs>
        <w:ind w:left="864" w:hanging="864"/>
      </w:pPr>
    </w:lvl>
    <w:lvl w:ilvl="4">
      <w:start w:val="1"/>
      <w:numFmt w:val="decimal"/>
      <w:pStyle w:val="5"/>
      <w:lvlText w:val="%1.%2.%3.%4.%5"/>
      <w:lvlJc w:val="left"/>
      <w:pPr>
        <w:tabs>
          <w:tab w:val="left" w:pos="1008"/>
        </w:tabs>
        <w:ind w:left="1008" w:hanging="1008"/>
      </w:pPr>
    </w:lvl>
    <w:lvl w:ilvl="5">
      <w:start w:val="1"/>
      <w:numFmt w:val="decimal"/>
      <w:lvlText w:val="%1.%2.%3.%4.%5.%6"/>
      <w:lvlJc w:val="left"/>
      <w:pPr>
        <w:tabs>
          <w:tab w:val="left" w:pos="1152"/>
        </w:tabs>
        <w:ind w:left="1152" w:hanging="1152"/>
      </w:pPr>
    </w:lvl>
    <w:lvl w:ilvl="6">
      <w:start w:val="1"/>
      <w:numFmt w:val="decimal"/>
      <w:lvlText w:val="%1.%2.%3.%4.%5.%6.%7"/>
      <w:lvlJc w:val="left"/>
      <w:pPr>
        <w:tabs>
          <w:tab w:val="left" w:pos="1296"/>
        </w:tabs>
        <w:ind w:left="1296" w:hanging="1296"/>
      </w:pPr>
    </w:lvl>
    <w:lvl w:ilvl="7">
      <w:start w:val="1"/>
      <w:numFmt w:val="decimal"/>
      <w:lvlText w:val="%1.%2.%3.%4.%5.%6.%7.%8"/>
      <w:lvlJc w:val="left"/>
      <w:pPr>
        <w:tabs>
          <w:tab w:val="left" w:pos="1440"/>
        </w:tabs>
        <w:ind w:left="1440" w:hanging="1440"/>
      </w:pPr>
    </w:lvl>
    <w:lvl w:ilvl="8">
      <w:start w:val="1"/>
      <w:numFmt w:val="decimal"/>
      <w:lvlText w:val="%1.%2.%3.%4.%5.%6.%7.%8.%9"/>
      <w:lvlJc w:val="left"/>
      <w:pPr>
        <w:tabs>
          <w:tab w:val="left" w:pos="1584"/>
        </w:tabs>
        <w:ind w:left="1584" w:hanging="1584"/>
      </w:pPr>
    </w:lvl>
  </w:abstractNum>
  <w:num w:numId="1" w16cid:durableId="16732738">
    <w:abstractNumId w:val="12"/>
  </w:num>
  <w:num w:numId="2" w16cid:durableId="1761482581">
    <w:abstractNumId w:val="9"/>
  </w:num>
  <w:num w:numId="3" w16cid:durableId="48385886">
    <w:abstractNumId w:val="11"/>
  </w:num>
  <w:num w:numId="4" w16cid:durableId="216941979">
    <w:abstractNumId w:val="4"/>
  </w:num>
  <w:num w:numId="5" w16cid:durableId="1584677925">
    <w:abstractNumId w:val="15"/>
  </w:num>
  <w:num w:numId="6" w16cid:durableId="613750852">
    <w:abstractNumId w:val="18"/>
  </w:num>
  <w:num w:numId="7" w16cid:durableId="1427574286">
    <w:abstractNumId w:val="10"/>
  </w:num>
  <w:num w:numId="8" w16cid:durableId="1270048527">
    <w:abstractNumId w:val="16"/>
  </w:num>
  <w:num w:numId="9" w16cid:durableId="1292830623">
    <w:abstractNumId w:val="3"/>
  </w:num>
  <w:num w:numId="10" w16cid:durableId="85735760">
    <w:abstractNumId w:val="6"/>
  </w:num>
  <w:num w:numId="11" w16cid:durableId="975142498">
    <w:abstractNumId w:val="7"/>
  </w:num>
  <w:num w:numId="12" w16cid:durableId="1081292946">
    <w:abstractNumId w:val="5"/>
  </w:num>
  <w:num w:numId="13" w16cid:durableId="858738409">
    <w:abstractNumId w:val="8"/>
  </w:num>
  <w:num w:numId="14" w16cid:durableId="362441804">
    <w:abstractNumId w:val="0"/>
  </w:num>
  <w:num w:numId="15" w16cid:durableId="2058963754">
    <w:abstractNumId w:val="1"/>
  </w:num>
  <w:num w:numId="16" w16cid:durableId="1896231061">
    <w:abstractNumId w:val="2"/>
  </w:num>
  <w:num w:numId="17" w16cid:durableId="1115488880">
    <w:abstractNumId w:val="14"/>
  </w:num>
  <w:num w:numId="18" w16cid:durableId="159279493">
    <w:abstractNumId w:val="17"/>
  </w:num>
  <w:num w:numId="19" w16cid:durableId="72726286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20"/>
  <w:drawingGridVerticalSpacing w:val="163"/>
  <w:noPunctuationKerning/>
  <w:characterSpacingControl w:val="compressPunctuation"/>
  <w:doNotValidateAgainstSchema/>
  <w:doNotDemarcateInvalidXml/>
  <w:hdrShapeDefaults>
    <o:shapedefaults v:ext="edit" spidmax="2051" strokecolor="#739cc3">
      <v:fill angle="90" type="gradient">
        <o:fill v:ext="view" type="gradientUnscaled"/>
      </v:fill>
      <v:stroke color="#739cc3" weight="1.25pt"/>
    </o:shapedefaults>
  </w:hdrShapeDefaults>
  <w:footnotePr>
    <w:footnote w:id="-1"/>
    <w:footnote w:id="0"/>
  </w:footnotePr>
  <w:endnotePr>
    <w:endnote w:id="-1"/>
    <w:endnote w:id="0"/>
  </w:endnotePr>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MDRlMjgyZDI1ZGZlYjhiYWM3MmE4NjkxMjJhMzQ2MDQifQ=="/>
  </w:docVars>
  <w:rsids>
    <w:rsidRoot w:val="00172A27"/>
    <w:rsid w:val="0000020C"/>
    <w:rsid w:val="000008B7"/>
    <w:rsid w:val="00000F9F"/>
    <w:rsid w:val="00001C82"/>
    <w:rsid w:val="00002A34"/>
    <w:rsid w:val="00004C72"/>
    <w:rsid w:val="00004E92"/>
    <w:rsid w:val="00005DF0"/>
    <w:rsid w:val="00006899"/>
    <w:rsid w:val="00007263"/>
    <w:rsid w:val="00010189"/>
    <w:rsid w:val="000105FB"/>
    <w:rsid w:val="00010F1C"/>
    <w:rsid w:val="0001166C"/>
    <w:rsid w:val="000124BA"/>
    <w:rsid w:val="000136E5"/>
    <w:rsid w:val="00014C8B"/>
    <w:rsid w:val="000153C7"/>
    <w:rsid w:val="00016362"/>
    <w:rsid w:val="000166EB"/>
    <w:rsid w:val="000206E8"/>
    <w:rsid w:val="00021155"/>
    <w:rsid w:val="0002189D"/>
    <w:rsid w:val="000220E1"/>
    <w:rsid w:val="00023929"/>
    <w:rsid w:val="00024463"/>
    <w:rsid w:val="00030765"/>
    <w:rsid w:val="00030B49"/>
    <w:rsid w:val="000310BD"/>
    <w:rsid w:val="000322C7"/>
    <w:rsid w:val="00032E65"/>
    <w:rsid w:val="00033036"/>
    <w:rsid w:val="000349C0"/>
    <w:rsid w:val="00035E9D"/>
    <w:rsid w:val="000422FC"/>
    <w:rsid w:val="00042794"/>
    <w:rsid w:val="0004353B"/>
    <w:rsid w:val="000437FA"/>
    <w:rsid w:val="00043FDF"/>
    <w:rsid w:val="00044790"/>
    <w:rsid w:val="000456A1"/>
    <w:rsid w:val="00046FA4"/>
    <w:rsid w:val="000470FE"/>
    <w:rsid w:val="00050966"/>
    <w:rsid w:val="00050F3C"/>
    <w:rsid w:val="00052CB0"/>
    <w:rsid w:val="00053BBA"/>
    <w:rsid w:val="00053CB6"/>
    <w:rsid w:val="0005430A"/>
    <w:rsid w:val="00054BA0"/>
    <w:rsid w:val="00055064"/>
    <w:rsid w:val="00055A88"/>
    <w:rsid w:val="00057788"/>
    <w:rsid w:val="00057DE0"/>
    <w:rsid w:val="000611E7"/>
    <w:rsid w:val="000613EA"/>
    <w:rsid w:val="000619DF"/>
    <w:rsid w:val="00062472"/>
    <w:rsid w:val="00063A58"/>
    <w:rsid w:val="000645FD"/>
    <w:rsid w:val="00066BE9"/>
    <w:rsid w:val="00066F24"/>
    <w:rsid w:val="00067B38"/>
    <w:rsid w:val="00070546"/>
    <w:rsid w:val="000723AA"/>
    <w:rsid w:val="00072A2F"/>
    <w:rsid w:val="00073185"/>
    <w:rsid w:val="00077C3F"/>
    <w:rsid w:val="00080AAE"/>
    <w:rsid w:val="000838F1"/>
    <w:rsid w:val="00085404"/>
    <w:rsid w:val="00085563"/>
    <w:rsid w:val="0008605F"/>
    <w:rsid w:val="000873ED"/>
    <w:rsid w:val="00087A64"/>
    <w:rsid w:val="00087B89"/>
    <w:rsid w:val="000957D5"/>
    <w:rsid w:val="000960CC"/>
    <w:rsid w:val="00097394"/>
    <w:rsid w:val="00097A0D"/>
    <w:rsid w:val="000A40A3"/>
    <w:rsid w:val="000A41CA"/>
    <w:rsid w:val="000A6040"/>
    <w:rsid w:val="000A6AAF"/>
    <w:rsid w:val="000B00F0"/>
    <w:rsid w:val="000B0850"/>
    <w:rsid w:val="000B19A2"/>
    <w:rsid w:val="000B1BB9"/>
    <w:rsid w:val="000B209E"/>
    <w:rsid w:val="000B3011"/>
    <w:rsid w:val="000B36C4"/>
    <w:rsid w:val="000B3704"/>
    <w:rsid w:val="000B3CC4"/>
    <w:rsid w:val="000B4A2A"/>
    <w:rsid w:val="000B589A"/>
    <w:rsid w:val="000B7166"/>
    <w:rsid w:val="000C022A"/>
    <w:rsid w:val="000C309C"/>
    <w:rsid w:val="000C36F8"/>
    <w:rsid w:val="000C3AF6"/>
    <w:rsid w:val="000C4889"/>
    <w:rsid w:val="000C52AD"/>
    <w:rsid w:val="000C552A"/>
    <w:rsid w:val="000D101E"/>
    <w:rsid w:val="000D1527"/>
    <w:rsid w:val="000D197E"/>
    <w:rsid w:val="000D1D22"/>
    <w:rsid w:val="000D218A"/>
    <w:rsid w:val="000D5368"/>
    <w:rsid w:val="000D6764"/>
    <w:rsid w:val="000D721C"/>
    <w:rsid w:val="000D731F"/>
    <w:rsid w:val="000E0CE4"/>
    <w:rsid w:val="000E14A2"/>
    <w:rsid w:val="000E3858"/>
    <w:rsid w:val="000E5607"/>
    <w:rsid w:val="000E5A9D"/>
    <w:rsid w:val="000E5CC3"/>
    <w:rsid w:val="000E73A4"/>
    <w:rsid w:val="000F0237"/>
    <w:rsid w:val="000F1499"/>
    <w:rsid w:val="000F1743"/>
    <w:rsid w:val="000F20D9"/>
    <w:rsid w:val="000F377A"/>
    <w:rsid w:val="000F3C8B"/>
    <w:rsid w:val="000F6A34"/>
    <w:rsid w:val="000F7496"/>
    <w:rsid w:val="00100AC2"/>
    <w:rsid w:val="00102C96"/>
    <w:rsid w:val="00104B7F"/>
    <w:rsid w:val="00104BA7"/>
    <w:rsid w:val="00106BB2"/>
    <w:rsid w:val="00107045"/>
    <w:rsid w:val="00107EFF"/>
    <w:rsid w:val="00110E1F"/>
    <w:rsid w:val="00112ADA"/>
    <w:rsid w:val="0011584B"/>
    <w:rsid w:val="00116263"/>
    <w:rsid w:val="00116987"/>
    <w:rsid w:val="00116A83"/>
    <w:rsid w:val="00117319"/>
    <w:rsid w:val="00117E7A"/>
    <w:rsid w:val="001228C3"/>
    <w:rsid w:val="00123693"/>
    <w:rsid w:val="00123D38"/>
    <w:rsid w:val="0012595C"/>
    <w:rsid w:val="00125CE3"/>
    <w:rsid w:val="001263DD"/>
    <w:rsid w:val="0012796E"/>
    <w:rsid w:val="00130B75"/>
    <w:rsid w:val="00130DE9"/>
    <w:rsid w:val="0013356D"/>
    <w:rsid w:val="001339F7"/>
    <w:rsid w:val="00134819"/>
    <w:rsid w:val="00135281"/>
    <w:rsid w:val="00135C0D"/>
    <w:rsid w:val="001400D8"/>
    <w:rsid w:val="001400EB"/>
    <w:rsid w:val="00140687"/>
    <w:rsid w:val="00141112"/>
    <w:rsid w:val="001419E8"/>
    <w:rsid w:val="00144490"/>
    <w:rsid w:val="00144EAE"/>
    <w:rsid w:val="001461BA"/>
    <w:rsid w:val="0014660E"/>
    <w:rsid w:val="00150961"/>
    <w:rsid w:val="00150FB5"/>
    <w:rsid w:val="0015151F"/>
    <w:rsid w:val="001533F4"/>
    <w:rsid w:val="00154D91"/>
    <w:rsid w:val="001551E8"/>
    <w:rsid w:val="00155A61"/>
    <w:rsid w:val="00155E4B"/>
    <w:rsid w:val="001601E0"/>
    <w:rsid w:val="00160330"/>
    <w:rsid w:val="00160388"/>
    <w:rsid w:val="00161C5C"/>
    <w:rsid w:val="00162430"/>
    <w:rsid w:val="00162A45"/>
    <w:rsid w:val="0016452F"/>
    <w:rsid w:val="001651A5"/>
    <w:rsid w:val="00165904"/>
    <w:rsid w:val="00165D52"/>
    <w:rsid w:val="001664D3"/>
    <w:rsid w:val="00166999"/>
    <w:rsid w:val="001677DA"/>
    <w:rsid w:val="0017017D"/>
    <w:rsid w:val="001706B7"/>
    <w:rsid w:val="00171250"/>
    <w:rsid w:val="001714CD"/>
    <w:rsid w:val="001718EA"/>
    <w:rsid w:val="00172A27"/>
    <w:rsid w:val="001731A4"/>
    <w:rsid w:val="00174140"/>
    <w:rsid w:val="001746CD"/>
    <w:rsid w:val="00174B09"/>
    <w:rsid w:val="00175048"/>
    <w:rsid w:val="00175D81"/>
    <w:rsid w:val="001761F3"/>
    <w:rsid w:val="001829D6"/>
    <w:rsid w:val="00182E61"/>
    <w:rsid w:val="00183EE4"/>
    <w:rsid w:val="00184966"/>
    <w:rsid w:val="0018614F"/>
    <w:rsid w:val="001869D9"/>
    <w:rsid w:val="00190AF8"/>
    <w:rsid w:val="001910E4"/>
    <w:rsid w:val="00191F7C"/>
    <w:rsid w:val="0019346F"/>
    <w:rsid w:val="00194144"/>
    <w:rsid w:val="00197923"/>
    <w:rsid w:val="00197A92"/>
    <w:rsid w:val="00197DC7"/>
    <w:rsid w:val="00197F89"/>
    <w:rsid w:val="001A09BF"/>
    <w:rsid w:val="001A1C0A"/>
    <w:rsid w:val="001A2EAF"/>
    <w:rsid w:val="001A331F"/>
    <w:rsid w:val="001A3387"/>
    <w:rsid w:val="001A3F35"/>
    <w:rsid w:val="001A5870"/>
    <w:rsid w:val="001A5A92"/>
    <w:rsid w:val="001A5F6A"/>
    <w:rsid w:val="001A6FEA"/>
    <w:rsid w:val="001A7088"/>
    <w:rsid w:val="001A733B"/>
    <w:rsid w:val="001A7F85"/>
    <w:rsid w:val="001B4E30"/>
    <w:rsid w:val="001B5753"/>
    <w:rsid w:val="001B5BD1"/>
    <w:rsid w:val="001B6E28"/>
    <w:rsid w:val="001B7299"/>
    <w:rsid w:val="001B73F7"/>
    <w:rsid w:val="001B76C3"/>
    <w:rsid w:val="001B7AEA"/>
    <w:rsid w:val="001C14BD"/>
    <w:rsid w:val="001C17D2"/>
    <w:rsid w:val="001C2089"/>
    <w:rsid w:val="001C269B"/>
    <w:rsid w:val="001C279F"/>
    <w:rsid w:val="001C2839"/>
    <w:rsid w:val="001C2BBF"/>
    <w:rsid w:val="001C2CAB"/>
    <w:rsid w:val="001C3609"/>
    <w:rsid w:val="001C3F18"/>
    <w:rsid w:val="001C40EF"/>
    <w:rsid w:val="001C45B3"/>
    <w:rsid w:val="001D152D"/>
    <w:rsid w:val="001D1CB0"/>
    <w:rsid w:val="001D1D2A"/>
    <w:rsid w:val="001D316F"/>
    <w:rsid w:val="001D348A"/>
    <w:rsid w:val="001D37F8"/>
    <w:rsid w:val="001D3A95"/>
    <w:rsid w:val="001D3E4D"/>
    <w:rsid w:val="001D5600"/>
    <w:rsid w:val="001E0E98"/>
    <w:rsid w:val="001E2092"/>
    <w:rsid w:val="001E2610"/>
    <w:rsid w:val="001E2771"/>
    <w:rsid w:val="001E774A"/>
    <w:rsid w:val="001E7D0F"/>
    <w:rsid w:val="001E7EE2"/>
    <w:rsid w:val="001F012C"/>
    <w:rsid w:val="001F1117"/>
    <w:rsid w:val="001F12DE"/>
    <w:rsid w:val="001F2AD8"/>
    <w:rsid w:val="001F3007"/>
    <w:rsid w:val="001F41CC"/>
    <w:rsid w:val="001F66AE"/>
    <w:rsid w:val="001F7909"/>
    <w:rsid w:val="002004B7"/>
    <w:rsid w:val="00200790"/>
    <w:rsid w:val="00200972"/>
    <w:rsid w:val="0020116D"/>
    <w:rsid w:val="00201303"/>
    <w:rsid w:val="002025C7"/>
    <w:rsid w:val="00202DBE"/>
    <w:rsid w:val="0020315D"/>
    <w:rsid w:val="0020415B"/>
    <w:rsid w:val="0020451F"/>
    <w:rsid w:val="00204F35"/>
    <w:rsid w:val="002057FD"/>
    <w:rsid w:val="002108BA"/>
    <w:rsid w:val="00211031"/>
    <w:rsid w:val="00213D8A"/>
    <w:rsid w:val="00215864"/>
    <w:rsid w:val="0021608A"/>
    <w:rsid w:val="0021681F"/>
    <w:rsid w:val="00216D7A"/>
    <w:rsid w:val="00217A41"/>
    <w:rsid w:val="00217CBB"/>
    <w:rsid w:val="00221526"/>
    <w:rsid w:val="00222E2F"/>
    <w:rsid w:val="002270F6"/>
    <w:rsid w:val="00227AC8"/>
    <w:rsid w:val="00232319"/>
    <w:rsid w:val="00232EBB"/>
    <w:rsid w:val="00234E6F"/>
    <w:rsid w:val="00235B82"/>
    <w:rsid w:val="00237F5D"/>
    <w:rsid w:val="00242445"/>
    <w:rsid w:val="0024505A"/>
    <w:rsid w:val="00246312"/>
    <w:rsid w:val="00246ADB"/>
    <w:rsid w:val="0024770E"/>
    <w:rsid w:val="00247DB5"/>
    <w:rsid w:val="00252405"/>
    <w:rsid w:val="002537A1"/>
    <w:rsid w:val="00253A76"/>
    <w:rsid w:val="002563DC"/>
    <w:rsid w:val="00257B4F"/>
    <w:rsid w:val="00257C02"/>
    <w:rsid w:val="0026025A"/>
    <w:rsid w:val="00261619"/>
    <w:rsid w:val="0026190B"/>
    <w:rsid w:val="00264ACE"/>
    <w:rsid w:val="00264DC4"/>
    <w:rsid w:val="00265175"/>
    <w:rsid w:val="002652AF"/>
    <w:rsid w:val="00266F80"/>
    <w:rsid w:val="00267B50"/>
    <w:rsid w:val="00267C2A"/>
    <w:rsid w:val="00271BB1"/>
    <w:rsid w:val="0027255D"/>
    <w:rsid w:val="002731EF"/>
    <w:rsid w:val="00273863"/>
    <w:rsid w:val="0027425F"/>
    <w:rsid w:val="00275888"/>
    <w:rsid w:val="002777FA"/>
    <w:rsid w:val="00281352"/>
    <w:rsid w:val="0028224B"/>
    <w:rsid w:val="00282502"/>
    <w:rsid w:val="00283390"/>
    <w:rsid w:val="002837A8"/>
    <w:rsid w:val="00283A1A"/>
    <w:rsid w:val="00283C57"/>
    <w:rsid w:val="00284FF9"/>
    <w:rsid w:val="002859C9"/>
    <w:rsid w:val="00285DF9"/>
    <w:rsid w:val="00285FE9"/>
    <w:rsid w:val="00287B1D"/>
    <w:rsid w:val="00287C00"/>
    <w:rsid w:val="00290AC8"/>
    <w:rsid w:val="00291962"/>
    <w:rsid w:val="00292179"/>
    <w:rsid w:val="00292707"/>
    <w:rsid w:val="00293469"/>
    <w:rsid w:val="002943F4"/>
    <w:rsid w:val="0029575F"/>
    <w:rsid w:val="00296013"/>
    <w:rsid w:val="002974D0"/>
    <w:rsid w:val="002A06B1"/>
    <w:rsid w:val="002A18BB"/>
    <w:rsid w:val="002A1BD6"/>
    <w:rsid w:val="002A2396"/>
    <w:rsid w:val="002A261B"/>
    <w:rsid w:val="002A319F"/>
    <w:rsid w:val="002A544C"/>
    <w:rsid w:val="002A582A"/>
    <w:rsid w:val="002A5E82"/>
    <w:rsid w:val="002A7954"/>
    <w:rsid w:val="002A7EE7"/>
    <w:rsid w:val="002B08DB"/>
    <w:rsid w:val="002B1033"/>
    <w:rsid w:val="002B10C4"/>
    <w:rsid w:val="002B1A48"/>
    <w:rsid w:val="002B1D5E"/>
    <w:rsid w:val="002B1EC1"/>
    <w:rsid w:val="002B3268"/>
    <w:rsid w:val="002B408A"/>
    <w:rsid w:val="002B4411"/>
    <w:rsid w:val="002B6073"/>
    <w:rsid w:val="002B71FB"/>
    <w:rsid w:val="002C0734"/>
    <w:rsid w:val="002C09FF"/>
    <w:rsid w:val="002C0C9D"/>
    <w:rsid w:val="002C0EF2"/>
    <w:rsid w:val="002C4CA6"/>
    <w:rsid w:val="002C54C3"/>
    <w:rsid w:val="002C7046"/>
    <w:rsid w:val="002D026D"/>
    <w:rsid w:val="002D1BC1"/>
    <w:rsid w:val="002D1E7A"/>
    <w:rsid w:val="002D1ED9"/>
    <w:rsid w:val="002D251D"/>
    <w:rsid w:val="002D3B6B"/>
    <w:rsid w:val="002D5A0F"/>
    <w:rsid w:val="002D5CCE"/>
    <w:rsid w:val="002D5F75"/>
    <w:rsid w:val="002E120A"/>
    <w:rsid w:val="002E165E"/>
    <w:rsid w:val="002E3680"/>
    <w:rsid w:val="002E3D76"/>
    <w:rsid w:val="002E40E5"/>
    <w:rsid w:val="002E41DB"/>
    <w:rsid w:val="002E6491"/>
    <w:rsid w:val="002E6716"/>
    <w:rsid w:val="002E67F8"/>
    <w:rsid w:val="002E6B22"/>
    <w:rsid w:val="002E758A"/>
    <w:rsid w:val="002E7FB4"/>
    <w:rsid w:val="002F07EF"/>
    <w:rsid w:val="002F40C5"/>
    <w:rsid w:val="002F4CFD"/>
    <w:rsid w:val="002F653E"/>
    <w:rsid w:val="002F7011"/>
    <w:rsid w:val="002F7310"/>
    <w:rsid w:val="002F7779"/>
    <w:rsid w:val="002F7FFC"/>
    <w:rsid w:val="003005F9"/>
    <w:rsid w:val="003007B1"/>
    <w:rsid w:val="00301D68"/>
    <w:rsid w:val="00303630"/>
    <w:rsid w:val="00303BE0"/>
    <w:rsid w:val="00303F24"/>
    <w:rsid w:val="003066C5"/>
    <w:rsid w:val="003067A9"/>
    <w:rsid w:val="00306DD2"/>
    <w:rsid w:val="00307C95"/>
    <w:rsid w:val="003115A5"/>
    <w:rsid w:val="003117CB"/>
    <w:rsid w:val="00312D25"/>
    <w:rsid w:val="003134E6"/>
    <w:rsid w:val="00313B81"/>
    <w:rsid w:val="0031405B"/>
    <w:rsid w:val="003158C3"/>
    <w:rsid w:val="00316346"/>
    <w:rsid w:val="00316533"/>
    <w:rsid w:val="003167E0"/>
    <w:rsid w:val="00316E35"/>
    <w:rsid w:val="003239E9"/>
    <w:rsid w:val="00324B1E"/>
    <w:rsid w:val="00325DDB"/>
    <w:rsid w:val="00327690"/>
    <w:rsid w:val="003323D1"/>
    <w:rsid w:val="00335246"/>
    <w:rsid w:val="0033751F"/>
    <w:rsid w:val="00341033"/>
    <w:rsid w:val="00341CF7"/>
    <w:rsid w:val="00343A62"/>
    <w:rsid w:val="00343CD7"/>
    <w:rsid w:val="0034405F"/>
    <w:rsid w:val="003453F2"/>
    <w:rsid w:val="00350041"/>
    <w:rsid w:val="003508E8"/>
    <w:rsid w:val="003519B7"/>
    <w:rsid w:val="00351F75"/>
    <w:rsid w:val="00352452"/>
    <w:rsid w:val="00352BE3"/>
    <w:rsid w:val="00352DF7"/>
    <w:rsid w:val="00355140"/>
    <w:rsid w:val="003551A3"/>
    <w:rsid w:val="00356166"/>
    <w:rsid w:val="003572DB"/>
    <w:rsid w:val="00357351"/>
    <w:rsid w:val="00357B24"/>
    <w:rsid w:val="00360767"/>
    <w:rsid w:val="00362626"/>
    <w:rsid w:val="003628EF"/>
    <w:rsid w:val="00362CA8"/>
    <w:rsid w:val="003634AE"/>
    <w:rsid w:val="003647A5"/>
    <w:rsid w:val="00366291"/>
    <w:rsid w:val="0036655B"/>
    <w:rsid w:val="00366B87"/>
    <w:rsid w:val="003676F1"/>
    <w:rsid w:val="00367F29"/>
    <w:rsid w:val="003712A5"/>
    <w:rsid w:val="00371424"/>
    <w:rsid w:val="00374F96"/>
    <w:rsid w:val="003753A9"/>
    <w:rsid w:val="00375AE0"/>
    <w:rsid w:val="0037731B"/>
    <w:rsid w:val="003775D2"/>
    <w:rsid w:val="003778B6"/>
    <w:rsid w:val="00377FA4"/>
    <w:rsid w:val="0038590B"/>
    <w:rsid w:val="00386F7B"/>
    <w:rsid w:val="003878ED"/>
    <w:rsid w:val="003900BE"/>
    <w:rsid w:val="0039029D"/>
    <w:rsid w:val="0039273D"/>
    <w:rsid w:val="00392C21"/>
    <w:rsid w:val="003937F6"/>
    <w:rsid w:val="0039435A"/>
    <w:rsid w:val="0039704A"/>
    <w:rsid w:val="00397082"/>
    <w:rsid w:val="003A0800"/>
    <w:rsid w:val="003A3939"/>
    <w:rsid w:val="003A553A"/>
    <w:rsid w:val="003A6A0E"/>
    <w:rsid w:val="003A73DD"/>
    <w:rsid w:val="003A7656"/>
    <w:rsid w:val="003A7ADA"/>
    <w:rsid w:val="003B0AE7"/>
    <w:rsid w:val="003B2E07"/>
    <w:rsid w:val="003B3D7F"/>
    <w:rsid w:val="003B43B0"/>
    <w:rsid w:val="003B5C76"/>
    <w:rsid w:val="003B5E94"/>
    <w:rsid w:val="003B62A9"/>
    <w:rsid w:val="003B630A"/>
    <w:rsid w:val="003B6CD5"/>
    <w:rsid w:val="003C3D36"/>
    <w:rsid w:val="003C51CF"/>
    <w:rsid w:val="003C537A"/>
    <w:rsid w:val="003C5777"/>
    <w:rsid w:val="003C6818"/>
    <w:rsid w:val="003C6D6F"/>
    <w:rsid w:val="003C798A"/>
    <w:rsid w:val="003D0F19"/>
    <w:rsid w:val="003D297F"/>
    <w:rsid w:val="003D3369"/>
    <w:rsid w:val="003D3964"/>
    <w:rsid w:val="003D3E70"/>
    <w:rsid w:val="003D3F85"/>
    <w:rsid w:val="003D5BD9"/>
    <w:rsid w:val="003D60A6"/>
    <w:rsid w:val="003D74C8"/>
    <w:rsid w:val="003D7556"/>
    <w:rsid w:val="003E24D9"/>
    <w:rsid w:val="003E28F6"/>
    <w:rsid w:val="003E2FAF"/>
    <w:rsid w:val="003F12B2"/>
    <w:rsid w:val="003F142E"/>
    <w:rsid w:val="003F17F5"/>
    <w:rsid w:val="003F2249"/>
    <w:rsid w:val="003F3DB8"/>
    <w:rsid w:val="003F4A90"/>
    <w:rsid w:val="003F53E8"/>
    <w:rsid w:val="003F559C"/>
    <w:rsid w:val="003F7936"/>
    <w:rsid w:val="00401BA2"/>
    <w:rsid w:val="0040409D"/>
    <w:rsid w:val="004048DB"/>
    <w:rsid w:val="0040641E"/>
    <w:rsid w:val="004070CF"/>
    <w:rsid w:val="00407CAF"/>
    <w:rsid w:val="00412D01"/>
    <w:rsid w:val="004132C9"/>
    <w:rsid w:val="00414391"/>
    <w:rsid w:val="00414455"/>
    <w:rsid w:val="00415F51"/>
    <w:rsid w:val="00417C5B"/>
    <w:rsid w:val="00420A4A"/>
    <w:rsid w:val="00420B2A"/>
    <w:rsid w:val="00421E74"/>
    <w:rsid w:val="00422275"/>
    <w:rsid w:val="00422C74"/>
    <w:rsid w:val="00422FD7"/>
    <w:rsid w:val="004231EC"/>
    <w:rsid w:val="00423AE9"/>
    <w:rsid w:val="0042533F"/>
    <w:rsid w:val="0042690F"/>
    <w:rsid w:val="00426B1E"/>
    <w:rsid w:val="00427423"/>
    <w:rsid w:val="00427528"/>
    <w:rsid w:val="00427FE0"/>
    <w:rsid w:val="004314C2"/>
    <w:rsid w:val="0043265C"/>
    <w:rsid w:val="004356FB"/>
    <w:rsid w:val="00435B38"/>
    <w:rsid w:val="004364FB"/>
    <w:rsid w:val="004379BF"/>
    <w:rsid w:val="00437A67"/>
    <w:rsid w:val="0044229E"/>
    <w:rsid w:val="00443F91"/>
    <w:rsid w:val="004446DC"/>
    <w:rsid w:val="00444919"/>
    <w:rsid w:val="004456D0"/>
    <w:rsid w:val="00445A0D"/>
    <w:rsid w:val="00446031"/>
    <w:rsid w:val="0044629B"/>
    <w:rsid w:val="00447EB3"/>
    <w:rsid w:val="00450336"/>
    <w:rsid w:val="00450AE5"/>
    <w:rsid w:val="00450B10"/>
    <w:rsid w:val="00450C05"/>
    <w:rsid w:val="00450D3B"/>
    <w:rsid w:val="00451598"/>
    <w:rsid w:val="004535FA"/>
    <w:rsid w:val="0045384A"/>
    <w:rsid w:val="00454E26"/>
    <w:rsid w:val="00454ECB"/>
    <w:rsid w:val="00456C6E"/>
    <w:rsid w:val="004605C9"/>
    <w:rsid w:val="00461221"/>
    <w:rsid w:val="00461DE0"/>
    <w:rsid w:val="00462955"/>
    <w:rsid w:val="0046352D"/>
    <w:rsid w:val="00465362"/>
    <w:rsid w:val="00465608"/>
    <w:rsid w:val="00466772"/>
    <w:rsid w:val="00466857"/>
    <w:rsid w:val="004670E4"/>
    <w:rsid w:val="00470C3F"/>
    <w:rsid w:val="00472FCF"/>
    <w:rsid w:val="00473CFC"/>
    <w:rsid w:val="00473E51"/>
    <w:rsid w:val="00474870"/>
    <w:rsid w:val="00475E06"/>
    <w:rsid w:val="00475E1E"/>
    <w:rsid w:val="00475E63"/>
    <w:rsid w:val="00475F44"/>
    <w:rsid w:val="004805DD"/>
    <w:rsid w:val="00481501"/>
    <w:rsid w:val="00481C9D"/>
    <w:rsid w:val="00482B0F"/>
    <w:rsid w:val="004830B0"/>
    <w:rsid w:val="00483EB2"/>
    <w:rsid w:val="00486748"/>
    <w:rsid w:val="00486951"/>
    <w:rsid w:val="004870FA"/>
    <w:rsid w:val="004871EF"/>
    <w:rsid w:val="0048748C"/>
    <w:rsid w:val="0048765C"/>
    <w:rsid w:val="00487750"/>
    <w:rsid w:val="00487DFA"/>
    <w:rsid w:val="00490285"/>
    <w:rsid w:val="00491F80"/>
    <w:rsid w:val="004920E7"/>
    <w:rsid w:val="0049326C"/>
    <w:rsid w:val="00493A76"/>
    <w:rsid w:val="00494006"/>
    <w:rsid w:val="00494021"/>
    <w:rsid w:val="0049529D"/>
    <w:rsid w:val="00495C59"/>
    <w:rsid w:val="004978C2"/>
    <w:rsid w:val="00497C57"/>
    <w:rsid w:val="004A6B4E"/>
    <w:rsid w:val="004B0A59"/>
    <w:rsid w:val="004B10EC"/>
    <w:rsid w:val="004B1507"/>
    <w:rsid w:val="004B2300"/>
    <w:rsid w:val="004B4931"/>
    <w:rsid w:val="004B4CD9"/>
    <w:rsid w:val="004B5C3F"/>
    <w:rsid w:val="004B6FE7"/>
    <w:rsid w:val="004B71FB"/>
    <w:rsid w:val="004C0105"/>
    <w:rsid w:val="004C3039"/>
    <w:rsid w:val="004C35FA"/>
    <w:rsid w:val="004C55D4"/>
    <w:rsid w:val="004C5F38"/>
    <w:rsid w:val="004C63D0"/>
    <w:rsid w:val="004C6BCD"/>
    <w:rsid w:val="004D036B"/>
    <w:rsid w:val="004D057A"/>
    <w:rsid w:val="004D118E"/>
    <w:rsid w:val="004D2186"/>
    <w:rsid w:val="004D29E2"/>
    <w:rsid w:val="004D46DF"/>
    <w:rsid w:val="004D5D72"/>
    <w:rsid w:val="004D62F3"/>
    <w:rsid w:val="004D6CAA"/>
    <w:rsid w:val="004E0662"/>
    <w:rsid w:val="004E177B"/>
    <w:rsid w:val="004E3488"/>
    <w:rsid w:val="004E3D5A"/>
    <w:rsid w:val="004E5133"/>
    <w:rsid w:val="004E5446"/>
    <w:rsid w:val="004F03B1"/>
    <w:rsid w:val="004F0816"/>
    <w:rsid w:val="004F0D45"/>
    <w:rsid w:val="004F1514"/>
    <w:rsid w:val="004F353A"/>
    <w:rsid w:val="004F35F1"/>
    <w:rsid w:val="004F39BE"/>
    <w:rsid w:val="004F3E0D"/>
    <w:rsid w:val="004F5FC9"/>
    <w:rsid w:val="004F79AB"/>
    <w:rsid w:val="004F7B49"/>
    <w:rsid w:val="00503693"/>
    <w:rsid w:val="00505BA7"/>
    <w:rsid w:val="0050704A"/>
    <w:rsid w:val="00511115"/>
    <w:rsid w:val="005117F7"/>
    <w:rsid w:val="00511F2E"/>
    <w:rsid w:val="005123BF"/>
    <w:rsid w:val="0051281C"/>
    <w:rsid w:val="005133DE"/>
    <w:rsid w:val="00517D5A"/>
    <w:rsid w:val="00520552"/>
    <w:rsid w:val="005208EC"/>
    <w:rsid w:val="00522837"/>
    <w:rsid w:val="00525C2E"/>
    <w:rsid w:val="00525E24"/>
    <w:rsid w:val="005269C3"/>
    <w:rsid w:val="00526DCB"/>
    <w:rsid w:val="005277FC"/>
    <w:rsid w:val="00531AC6"/>
    <w:rsid w:val="00531F94"/>
    <w:rsid w:val="00534ADF"/>
    <w:rsid w:val="00534DB6"/>
    <w:rsid w:val="0053628B"/>
    <w:rsid w:val="005403AA"/>
    <w:rsid w:val="005412C1"/>
    <w:rsid w:val="00541C02"/>
    <w:rsid w:val="00542D62"/>
    <w:rsid w:val="00546169"/>
    <w:rsid w:val="00547833"/>
    <w:rsid w:val="0055203A"/>
    <w:rsid w:val="00552B98"/>
    <w:rsid w:val="00554A43"/>
    <w:rsid w:val="00557170"/>
    <w:rsid w:val="00557315"/>
    <w:rsid w:val="00557497"/>
    <w:rsid w:val="00557752"/>
    <w:rsid w:val="00557980"/>
    <w:rsid w:val="00557D90"/>
    <w:rsid w:val="00557EA8"/>
    <w:rsid w:val="00560881"/>
    <w:rsid w:val="00561D98"/>
    <w:rsid w:val="00562CA2"/>
    <w:rsid w:val="0057074C"/>
    <w:rsid w:val="0057121B"/>
    <w:rsid w:val="00571CF1"/>
    <w:rsid w:val="005722D8"/>
    <w:rsid w:val="00573BE1"/>
    <w:rsid w:val="00575B26"/>
    <w:rsid w:val="0057706B"/>
    <w:rsid w:val="0057735B"/>
    <w:rsid w:val="00580837"/>
    <w:rsid w:val="00581F0B"/>
    <w:rsid w:val="00582F4B"/>
    <w:rsid w:val="00583DB9"/>
    <w:rsid w:val="00584D78"/>
    <w:rsid w:val="00585BA0"/>
    <w:rsid w:val="00585D4E"/>
    <w:rsid w:val="005861FC"/>
    <w:rsid w:val="00586D6D"/>
    <w:rsid w:val="00587EC5"/>
    <w:rsid w:val="0059161D"/>
    <w:rsid w:val="005916FC"/>
    <w:rsid w:val="00593351"/>
    <w:rsid w:val="0059423D"/>
    <w:rsid w:val="005947AB"/>
    <w:rsid w:val="00594AB3"/>
    <w:rsid w:val="00595B6D"/>
    <w:rsid w:val="00595B78"/>
    <w:rsid w:val="00596921"/>
    <w:rsid w:val="00596EE5"/>
    <w:rsid w:val="005A0295"/>
    <w:rsid w:val="005A62E5"/>
    <w:rsid w:val="005B1464"/>
    <w:rsid w:val="005B1B77"/>
    <w:rsid w:val="005B1EA3"/>
    <w:rsid w:val="005B48BF"/>
    <w:rsid w:val="005B5029"/>
    <w:rsid w:val="005B734D"/>
    <w:rsid w:val="005B740A"/>
    <w:rsid w:val="005B7EFA"/>
    <w:rsid w:val="005B7FAF"/>
    <w:rsid w:val="005C068C"/>
    <w:rsid w:val="005C1487"/>
    <w:rsid w:val="005C503E"/>
    <w:rsid w:val="005C5A75"/>
    <w:rsid w:val="005C659D"/>
    <w:rsid w:val="005D0F4A"/>
    <w:rsid w:val="005D2031"/>
    <w:rsid w:val="005D3774"/>
    <w:rsid w:val="005D7CE3"/>
    <w:rsid w:val="005D7F5E"/>
    <w:rsid w:val="005E0C25"/>
    <w:rsid w:val="005E113E"/>
    <w:rsid w:val="005E171D"/>
    <w:rsid w:val="005E2DA7"/>
    <w:rsid w:val="005E300A"/>
    <w:rsid w:val="005E369B"/>
    <w:rsid w:val="005E3C2A"/>
    <w:rsid w:val="005E3DA6"/>
    <w:rsid w:val="005E49B8"/>
    <w:rsid w:val="005E4AED"/>
    <w:rsid w:val="005E602C"/>
    <w:rsid w:val="005E6D69"/>
    <w:rsid w:val="005E753F"/>
    <w:rsid w:val="005E7F17"/>
    <w:rsid w:val="005F0736"/>
    <w:rsid w:val="005F0C65"/>
    <w:rsid w:val="005F1848"/>
    <w:rsid w:val="005F1CA3"/>
    <w:rsid w:val="005F35DB"/>
    <w:rsid w:val="005F3B8C"/>
    <w:rsid w:val="005F4622"/>
    <w:rsid w:val="005F69FD"/>
    <w:rsid w:val="005F6B69"/>
    <w:rsid w:val="00600A06"/>
    <w:rsid w:val="0060121C"/>
    <w:rsid w:val="00602F63"/>
    <w:rsid w:val="00603AF5"/>
    <w:rsid w:val="00605871"/>
    <w:rsid w:val="006058E2"/>
    <w:rsid w:val="00606D58"/>
    <w:rsid w:val="00610A2C"/>
    <w:rsid w:val="00611257"/>
    <w:rsid w:val="00613A5E"/>
    <w:rsid w:val="00614351"/>
    <w:rsid w:val="006143F2"/>
    <w:rsid w:val="00614845"/>
    <w:rsid w:val="0061538D"/>
    <w:rsid w:val="00615C03"/>
    <w:rsid w:val="00615FC7"/>
    <w:rsid w:val="0061731B"/>
    <w:rsid w:val="00617DE4"/>
    <w:rsid w:val="00621280"/>
    <w:rsid w:val="0062332C"/>
    <w:rsid w:val="006237D9"/>
    <w:rsid w:val="00625544"/>
    <w:rsid w:val="00626463"/>
    <w:rsid w:val="00626DB6"/>
    <w:rsid w:val="0062733D"/>
    <w:rsid w:val="006302DA"/>
    <w:rsid w:val="00634E23"/>
    <w:rsid w:val="00634E9F"/>
    <w:rsid w:val="0063502A"/>
    <w:rsid w:val="00636B0C"/>
    <w:rsid w:val="00636C3A"/>
    <w:rsid w:val="00640069"/>
    <w:rsid w:val="00641671"/>
    <w:rsid w:val="006417EB"/>
    <w:rsid w:val="00643187"/>
    <w:rsid w:val="00643273"/>
    <w:rsid w:val="0064658B"/>
    <w:rsid w:val="0064761F"/>
    <w:rsid w:val="006519C4"/>
    <w:rsid w:val="006539E1"/>
    <w:rsid w:val="00655864"/>
    <w:rsid w:val="006568B6"/>
    <w:rsid w:val="00656FA6"/>
    <w:rsid w:val="006603D2"/>
    <w:rsid w:val="00660A9F"/>
    <w:rsid w:val="00660B3E"/>
    <w:rsid w:val="00660C59"/>
    <w:rsid w:val="00660C73"/>
    <w:rsid w:val="006632BB"/>
    <w:rsid w:val="006639BB"/>
    <w:rsid w:val="00663BE7"/>
    <w:rsid w:val="00664B5B"/>
    <w:rsid w:val="00665306"/>
    <w:rsid w:val="00667C7E"/>
    <w:rsid w:val="00667CA0"/>
    <w:rsid w:val="006710E4"/>
    <w:rsid w:val="0067176F"/>
    <w:rsid w:val="00671B0E"/>
    <w:rsid w:val="00671D65"/>
    <w:rsid w:val="0067289C"/>
    <w:rsid w:val="00672F4A"/>
    <w:rsid w:val="0067394E"/>
    <w:rsid w:val="00673CC8"/>
    <w:rsid w:val="00674B03"/>
    <w:rsid w:val="00675D6E"/>
    <w:rsid w:val="0067738C"/>
    <w:rsid w:val="006778D2"/>
    <w:rsid w:val="0068152A"/>
    <w:rsid w:val="00682615"/>
    <w:rsid w:val="006844C8"/>
    <w:rsid w:val="00684558"/>
    <w:rsid w:val="00684897"/>
    <w:rsid w:val="006850EA"/>
    <w:rsid w:val="0068734F"/>
    <w:rsid w:val="00687991"/>
    <w:rsid w:val="006912B6"/>
    <w:rsid w:val="0069277A"/>
    <w:rsid w:val="006932C9"/>
    <w:rsid w:val="00693A1F"/>
    <w:rsid w:val="00693BDF"/>
    <w:rsid w:val="0069449F"/>
    <w:rsid w:val="00695CB1"/>
    <w:rsid w:val="00696C3A"/>
    <w:rsid w:val="006A1503"/>
    <w:rsid w:val="006A184F"/>
    <w:rsid w:val="006A1C67"/>
    <w:rsid w:val="006A3A20"/>
    <w:rsid w:val="006A4180"/>
    <w:rsid w:val="006A42F5"/>
    <w:rsid w:val="006A4D4E"/>
    <w:rsid w:val="006A4FD5"/>
    <w:rsid w:val="006A6554"/>
    <w:rsid w:val="006A7851"/>
    <w:rsid w:val="006A7913"/>
    <w:rsid w:val="006B0F54"/>
    <w:rsid w:val="006B10BF"/>
    <w:rsid w:val="006B1BD7"/>
    <w:rsid w:val="006B2E00"/>
    <w:rsid w:val="006B4EBF"/>
    <w:rsid w:val="006B50B6"/>
    <w:rsid w:val="006B556E"/>
    <w:rsid w:val="006B56E6"/>
    <w:rsid w:val="006B6044"/>
    <w:rsid w:val="006B63B8"/>
    <w:rsid w:val="006B7E76"/>
    <w:rsid w:val="006C18B0"/>
    <w:rsid w:val="006C4195"/>
    <w:rsid w:val="006C6485"/>
    <w:rsid w:val="006C67F8"/>
    <w:rsid w:val="006C69E7"/>
    <w:rsid w:val="006C71CF"/>
    <w:rsid w:val="006D0333"/>
    <w:rsid w:val="006D048A"/>
    <w:rsid w:val="006D06BB"/>
    <w:rsid w:val="006D2265"/>
    <w:rsid w:val="006D29F1"/>
    <w:rsid w:val="006D2D2A"/>
    <w:rsid w:val="006D4027"/>
    <w:rsid w:val="006D47A3"/>
    <w:rsid w:val="006D4F68"/>
    <w:rsid w:val="006D58E4"/>
    <w:rsid w:val="006D7154"/>
    <w:rsid w:val="006E0BB5"/>
    <w:rsid w:val="006E4745"/>
    <w:rsid w:val="006E5757"/>
    <w:rsid w:val="006F0C5F"/>
    <w:rsid w:val="006F111A"/>
    <w:rsid w:val="006F139D"/>
    <w:rsid w:val="006F1700"/>
    <w:rsid w:val="006F5978"/>
    <w:rsid w:val="006F69B8"/>
    <w:rsid w:val="00700533"/>
    <w:rsid w:val="00700536"/>
    <w:rsid w:val="00701561"/>
    <w:rsid w:val="00701572"/>
    <w:rsid w:val="00701BFC"/>
    <w:rsid w:val="0070379B"/>
    <w:rsid w:val="00705812"/>
    <w:rsid w:val="007070F3"/>
    <w:rsid w:val="007079D5"/>
    <w:rsid w:val="00711CAB"/>
    <w:rsid w:val="00714307"/>
    <w:rsid w:val="007147B3"/>
    <w:rsid w:val="00714E9C"/>
    <w:rsid w:val="007158FB"/>
    <w:rsid w:val="007163C8"/>
    <w:rsid w:val="007175F6"/>
    <w:rsid w:val="00721FF6"/>
    <w:rsid w:val="00722489"/>
    <w:rsid w:val="00724C70"/>
    <w:rsid w:val="0072726A"/>
    <w:rsid w:val="007311B2"/>
    <w:rsid w:val="00731C9D"/>
    <w:rsid w:val="007323DB"/>
    <w:rsid w:val="007324DF"/>
    <w:rsid w:val="00732988"/>
    <w:rsid w:val="007335ED"/>
    <w:rsid w:val="00733F22"/>
    <w:rsid w:val="00735161"/>
    <w:rsid w:val="00736587"/>
    <w:rsid w:val="00737218"/>
    <w:rsid w:val="007404E6"/>
    <w:rsid w:val="00740DB2"/>
    <w:rsid w:val="00743067"/>
    <w:rsid w:val="007436D6"/>
    <w:rsid w:val="007437F4"/>
    <w:rsid w:val="00743F7D"/>
    <w:rsid w:val="0074437F"/>
    <w:rsid w:val="007457ED"/>
    <w:rsid w:val="007460B1"/>
    <w:rsid w:val="00746AEE"/>
    <w:rsid w:val="00746CDC"/>
    <w:rsid w:val="00746ECC"/>
    <w:rsid w:val="0074715D"/>
    <w:rsid w:val="007515F9"/>
    <w:rsid w:val="00751920"/>
    <w:rsid w:val="00751ED4"/>
    <w:rsid w:val="00753A4E"/>
    <w:rsid w:val="00756CA8"/>
    <w:rsid w:val="00756ECD"/>
    <w:rsid w:val="00760253"/>
    <w:rsid w:val="00761DE8"/>
    <w:rsid w:val="00761F76"/>
    <w:rsid w:val="00762C85"/>
    <w:rsid w:val="00765009"/>
    <w:rsid w:val="007652D8"/>
    <w:rsid w:val="00766F29"/>
    <w:rsid w:val="00766F4D"/>
    <w:rsid w:val="0076711F"/>
    <w:rsid w:val="00767735"/>
    <w:rsid w:val="0077186C"/>
    <w:rsid w:val="00772229"/>
    <w:rsid w:val="007728DE"/>
    <w:rsid w:val="00774436"/>
    <w:rsid w:val="0077462A"/>
    <w:rsid w:val="00774DE1"/>
    <w:rsid w:val="007766CD"/>
    <w:rsid w:val="007771E1"/>
    <w:rsid w:val="00780CF1"/>
    <w:rsid w:val="00782E22"/>
    <w:rsid w:val="00783429"/>
    <w:rsid w:val="0078507E"/>
    <w:rsid w:val="007851BF"/>
    <w:rsid w:val="00785236"/>
    <w:rsid w:val="007856B9"/>
    <w:rsid w:val="00785A45"/>
    <w:rsid w:val="00785EC4"/>
    <w:rsid w:val="00785F36"/>
    <w:rsid w:val="00786451"/>
    <w:rsid w:val="00790841"/>
    <w:rsid w:val="007909FB"/>
    <w:rsid w:val="00791E63"/>
    <w:rsid w:val="00792424"/>
    <w:rsid w:val="007928D2"/>
    <w:rsid w:val="0079498C"/>
    <w:rsid w:val="00796371"/>
    <w:rsid w:val="007969E0"/>
    <w:rsid w:val="007A0C1B"/>
    <w:rsid w:val="007A1557"/>
    <w:rsid w:val="007A17AE"/>
    <w:rsid w:val="007A1C2D"/>
    <w:rsid w:val="007A320F"/>
    <w:rsid w:val="007B0CAB"/>
    <w:rsid w:val="007B276A"/>
    <w:rsid w:val="007B294C"/>
    <w:rsid w:val="007B2AEB"/>
    <w:rsid w:val="007B34D7"/>
    <w:rsid w:val="007B42EF"/>
    <w:rsid w:val="007B5C60"/>
    <w:rsid w:val="007B5C6F"/>
    <w:rsid w:val="007B5D85"/>
    <w:rsid w:val="007B5DB1"/>
    <w:rsid w:val="007B6D65"/>
    <w:rsid w:val="007B6EE8"/>
    <w:rsid w:val="007B7364"/>
    <w:rsid w:val="007C0848"/>
    <w:rsid w:val="007C1968"/>
    <w:rsid w:val="007C366F"/>
    <w:rsid w:val="007C3684"/>
    <w:rsid w:val="007C4C35"/>
    <w:rsid w:val="007C4D7E"/>
    <w:rsid w:val="007C7143"/>
    <w:rsid w:val="007D13D5"/>
    <w:rsid w:val="007D2018"/>
    <w:rsid w:val="007D2CA1"/>
    <w:rsid w:val="007D4040"/>
    <w:rsid w:val="007D4ACF"/>
    <w:rsid w:val="007D5921"/>
    <w:rsid w:val="007D5B8A"/>
    <w:rsid w:val="007D62D0"/>
    <w:rsid w:val="007D6B08"/>
    <w:rsid w:val="007D6C51"/>
    <w:rsid w:val="007D7E9A"/>
    <w:rsid w:val="007D7FBD"/>
    <w:rsid w:val="007E0537"/>
    <w:rsid w:val="007E0A5E"/>
    <w:rsid w:val="007E1F85"/>
    <w:rsid w:val="007E2098"/>
    <w:rsid w:val="007E2640"/>
    <w:rsid w:val="007E2FDD"/>
    <w:rsid w:val="007E36B9"/>
    <w:rsid w:val="007E370C"/>
    <w:rsid w:val="007E3CDB"/>
    <w:rsid w:val="007E4258"/>
    <w:rsid w:val="007E531A"/>
    <w:rsid w:val="007E57D5"/>
    <w:rsid w:val="007E5B9E"/>
    <w:rsid w:val="007E5D71"/>
    <w:rsid w:val="007E6219"/>
    <w:rsid w:val="007E700E"/>
    <w:rsid w:val="007E7181"/>
    <w:rsid w:val="007F02EA"/>
    <w:rsid w:val="007F1588"/>
    <w:rsid w:val="007F2FAB"/>
    <w:rsid w:val="007F41D2"/>
    <w:rsid w:val="007F6B94"/>
    <w:rsid w:val="007F747F"/>
    <w:rsid w:val="0080067A"/>
    <w:rsid w:val="0080134F"/>
    <w:rsid w:val="008016CE"/>
    <w:rsid w:val="00802595"/>
    <w:rsid w:val="00804D8B"/>
    <w:rsid w:val="008051FE"/>
    <w:rsid w:val="008056D5"/>
    <w:rsid w:val="00805A73"/>
    <w:rsid w:val="00805CDE"/>
    <w:rsid w:val="00805D93"/>
    <w:rsid w:val="0080759C"/>
    <w:rsid w:val="0081033A"/>
    <w:rsid w:val="0081130A"/>
    <w:rsid w:val="00811FEC"/>
    <w:rsid w:val="008129E4"/>
    <w:rsid w:val="008146AF"/>
    <w:rsid w:val="00814AFB"/>
    <w:rsid w:val="0081553C"/>
    <w:rsid w:val="00820B7D"/>
    <w:rsid w:val="008229D1"/>
    <w:rsid w:val="00822B5D"/>
    <w:rsid w:val="00823693"/>
    <w:rsid w:val="0082494A"/>
    <w:rsid w:val="008271F3"/>
    <w:rsid w:val="00827375"/>
    <w:rsid w:val="0083101C"/>
    <w:rsid w:val="00831669"/>
    <w:rsid w:val="00831A53"/>
    <w:rsid w:val="00832BA5"/>
    <w:rsid w:val="00833915"/>
    <w:rsid w:val="00835A68"/>
    <w:rsid w:val="00835BF5"/>
    <w:rsid w:val="0083710F"/>
    <w:rsid w:val="00840CDF"/>
    <w:rsid w:val="00840D64"/>
    <w:rsid w:val="008413D3"/>
    <w:rsid w:val="00843052"/>
    <w:rsid w:val="00843E9F"/>
    <w:rsid w:val="00844595"/>
    <w:rsid w:val="008464B1"/>
    <w:rsid w:val="00846A16"/>
    <w:rsid w:val="0084773E"/>
    <w:rsid w:val="00850C6D"/>
    <w:rsid w:val="00851163"/>
    <w:rsid w:val="008512E7"/>
    <w:rsid w:val="008527E3"/>
    <w:rsid w:val="00852BE1"/>
    <w:rsid w:val="00852C31"/>
    <w:rsid w:val="00853942"/>
    <w:rsid w:val="008551F6"/>
    <w:rsid w:val="00855B1B"/>
    <w:rsid w:val="00857DF4"/>
    <w:rsid w:val="00860E1C"/>
    <w:rsid w:val="0086151B"/>
    <w:rsid w:val="0086231B"/>
    <w:rsid w:val="00863626"/>
    <w:rsid w:val="00866283"/>
    <w:rsid w:val="00866677"/>
    <w:rsid w:val="008671C8"/>
    <w:rsid w:val="00873065"/>
    <w:rsid w:val="008731A0"/>
    <w:rsid w:val="008736D0"/>
    <w:rsid w:val="008737B2"/>
    <w:rsid w:val="00874B44"/>
    <w:rsid w:val="00875328"/>
    <w:rsid w:val="00882089"/>
    <w:rsid w:val="00884928"/>
    <w:rsid w:val="00885494"/>
    <w:rsid w:val="00885632"/>
    <w:rsid w:val="00886913"/>
    <w:rsid w:val="00886E65"/>
    <w:rsid w:val="00890049"/>
    <w:rsid w:val="00890E27"/>
    <w:rsid w:val="008931D8"/>
    <w:rsid w:val="00894890"/>
    <w:rsid w:val="0089513F"/>
    <w:rsid w:val="008966DA"/>
    <w:rsid w:val="008979F7"/>
    <w:rsid w:val="008A03DB"/>
    <w:rsid w:val="008A1CF5"/>
    <w:rsid w:val="008A2411"/>
    <w:rsid w:val="008A4C67"/>
    <w:rsid w:val="008A516E"/>
    <w:rsid w:val="008A7558"/>
    <w:rsid w:val="008B09EA"/>
    <w:rsid w:val="008B0C48"/>
    <w:rsid w:val="008B257E"/>
    <w:rsid w:val="008B7890"/>
    <w:rsid w:val="008B792F"/>
    <w:rsid w:val="008C001F"/>
    <w:rsid w:val="008C1F22"/>
    <w:rsid w:val="008C59F6"/>
    <w:rsid w:val="008C5BD6"/>
    <w:rsid w:val="008C6E40"/>
    <w:rsid w:val="008C73EA"/>
    <w:rsid w:val="008C7D57"/>
    <w:rsid w:val="008D1350"/>
    <w:rsid w:val="008D14E1"/>
    <w:rsid w:val="008D19A4"/>
    <w:rsid w:val="008D4C2E"/>
    <w:rsid w:val="008D5BCC"/>
    <w:rsid w:val="008D5F36"/>
    <w:rsid w:val="008D63F8"/>
    <w:rsid w:val="008D6A06"/>
    <w:rsid w:val="008D6EDB"/>
    <w:rsid w:val="008D73CB"/>
    <w:rsid w:val="008D73E6"/>
    <w:rsid w:val="008E10BE"/>
    <w:rsid w:val="008E7488"/>
    <w:rsid w:val="008F2ACE"/>
    <w:rsid w:val="008F4318"/>
    <w:rsid w:val="008F4752"/>
    <w:rsid w:val="008F4912"/>
    <w:rsid w:val="008F5F86"/>
    <w:rsid w:val="008F63F2"/>
    <w:rsid w:val="009012AF"/>
    <w:rsid w:val="00902262"/>
    <w:rsid w:val="00902E51"/>
    <w:rsid w:val="009057A9"/>
    <w:rsid w:val="00905BB3"/>
    <w:rsid w:val="00910F34"/>
    <w:rsid w:val="0091105F"/>
    <w:rsid w:val="00911CE3"/>
    <w:rsid w:val="009131FD"/>
    <w:rsid w:val="00913462"/>
    <w:rsid w:val="00917340"/>
    <w:rsid w:val="00917BD8"/>
    <w:rsid w:val="00917E45"/>
    <w:rsid w:val="00917FE4"/>
    <w:rsid w:val="0092018A"/>
    <w:rsid w:val="00920D2C"/>
    <w:rsid w:val="00924F5D"/>
    <w:rsid w:val="0092602A"/>
    <w:rsid w:val="009271BB"/>
    <w:rsid w:val="0093007E"/>
    <w:rsid w:val="00931345"/>
    <w:rsid w:val="00932DD5"/>
    <w:rsid w:val="009340DD"/>
    <w:rsid w:val="00936C18"/>
    <w:rsid w:val="00940760"/>
    <w:rsid w:val="00941A0E"/>
    <w:rsid w:val="009429FF"/>
    <w:rsid w:val="009439CB"/>
    <w:rsid w:val="00943E04"/>
    <w:rsid w:val="00943E47"/>
    <w:rsid w:val="00943E80"/>
    <w:rsid w:val="00944D7E"/>
    <w:rsid w:val="00944F06"/>
    <w:rsid w:val="009457CA"/>
    <w:rsid w:val="0094649A"/>
    <w:rsid w:val="009475D5"/>
    <w:rsid w:val="00947B73"/>
    <w:rsid w:val="00950499"/>
    <w:rsid w:val="0095107A"/>
    <w:rsid w:val="009512AC"/>
    <w:rsid w:val="009526B0"/>
    <w:rsid w:val="009530F6"/>
    <w:rsid w:val="009564F5"/>
    <w:rsid w:val="00956CB9"/>
    <w:rsid w:val="009572A7"/>
    <w:rsid w:val="00960692"/>
    <w:rsid w:val="00961C35"/>
    <w:rsid w:val="0096265F"/>
    <w:rsid w:val="0096331D"/>
    <w:rsid w:val="00964475"/>
    <w:rsid w:val="00964747"/>
    <w:rsid w:val="009655F6"/>
    <w:rsid w:val="009659B0"/>
    <w:rsid w:val="00966014"/>
    <w:rsid w:val="00967EC8"/>
    <w:rsid w:val="009708D9"/>
    <w:rsid w:val="00970AE8"/>
    <w:rsid w:val="009725E0"/>
    <w:rsid w:val="00973194"/>
    <w:rsid w:val="00974ACF"/>
    <w:rsid w:val="009758FC"/>
    <w:rsid w:val="00975D02"/>
    <w:rsid w:val="00975D1A"/>
    <w:rsid w:val="00975E4C"/>
    <w:rsid w:val="009800DD"/>
    <w:rsid w:val="00982879"/>
    <w:rsid w:val="00984B35"/>
    <w:rsid w:val="00985018"/>
    <w:rsid w:val="00990CEC"/>
    <w:rsid w:val="00992579"/>
    <w:rsid w:val="0099272A"/>
    <w:rsid w:val="009946AF"/>
    <w:rsid w:val="009946E8"/>
    <w:rsid w:val="00994738"/>
    <w:rsid w:val="009A0072"/>
    <w:rsid w:val="009A0678"/>
    <w:rsid w:val="009A2094"/>
    <w:rsid w:val="009A32BF"/>
    <w:rsid w:val="009A3EC2"/>
    <w:rsid w:val="009A41B0"/>
    <w:rsid w:val="009A6043"/>
    <w:rsid w:val="009A6262"/>
    <w:rsid w:val="009A6DA1"/>
    <w:rsid w:val="009A73FD"/>
    <w:rsid w:val="009B18AF"/>
    <w:rsid w:val="009B1BDA"/>
    <w:rsid w:val="009B2FA9"/>
    <w:rsid w:val="009B335D"/>
    <w:rsid w:val="009B37A3"/>
    <w:rsid w:val="009B4338"/>
    <w:rsid w:val="009B4646"/>
    <w:rsid w:val="009B5B26"/>
    <w:rsid w:val="009B633C"/>
    <w:rsid w:val="009B6797"/>
    <w:rsid w:val="009B743F"/>
    <w:rsid w:val="009B753C"/>
    <w:rsid w:val="009B7D45"/>
    <w:rsid w:val="009B7EA4"/>
    <w:rsid w:val="009C0C1B"/>
    <w:rsid w:val="009C2CB1"/>
    <w:rsid w:val="009C2E4A"/>
    <w:rsid w:val="009C43ED"/>
    <w:rsid w:val="009C6464"/>
    <w:rsid w:val="009C78BF"/>
    <w:rsid w:val="009D0377"/>
    <w:rsid w:val="009D0697"/>
    <w:rsid w:val="009D1106"/>
    <w:rsid w:val="009D29FA"/>
    <w:rsid w:val="009D42F0"/>
    <w:rsid w:val="009D6672"/>
    <w:rsid w:val="009D6A2F"/>
    <w:rsid w:val="009E2241"/>
    <w:rsid w:val="009E35DE"/>
    <w:rsid w:val="009E53CE"/>
    <w:rsid w:val="009E5BAF"/>
    <w:rsid w:val="009E7FC5"/>
    <w:rsid w:val="009F0B86"/>
    <w:rsid w:val="009F25CA"/>
    <w:rsid w:val="009F2CA2"/>
    <w:rsid w:val="009F404B"/>
    <w:rsid w:val="009F552D"/>
    <w:rsid w:val="009F576C"/>
    <w:rsid w:val="009F6C0C"/>
    <w:rsid w:val="009F77CF"/>
    <w:rsid w:val="009F7A50"/>
    <w:rsid w:val="009F7CEB"/>
    <w:rsid w:val="00A00D97"/>
    <w:rsid w:val="00A01289"/>
    <w:rsid w:val="00A013B8"/>
    <w:rsid w:val="00A03360"/>
    <w:rsid w:val="00A04C23"/>
    <w:rsid w:val="00A0604E"/>
    <w:rsid w:val="00A07A42"/>
    <w:rsid w:val="00A10791"/>
    <w:rsid w:val="00A10B94"/>
    <w:rsid w:val="00A11455"/>
    <w:rsid w:val="00A139A7"/>
    <w:rsid w:val="00A13E40"/>
    <w:rsid w:val="00A14DC7"/>
    <w:rsid w:val="00A15715"/>
    <w:rsid w:val="00A2035F"/>
    <w:rsid w:val="00A215E4"/>
    <w:rsid w:val="00A24B31"/>
    <w:rsid w:val="00A25AD5"/>
    <w:rsid w:val="00A25E5D"/>
    <w:rsid w:val="00A26369"/>
    <w:rsid w:val="00A269DF"/>
    <w:rsid w:val="00A304CE"/>
    <w:rsid w:val="00A31921"/>
    <w:rsid w:val="00A32397"/>
    <w:rsid w:val="00A35385"/>
    <w:rsid w:val="00A37A7C"/>
    <w:rsid w:val="00A37BB6"/>
    <w:rsid w:val="00A410D7"/>
    <w:rsid w:val="00A4300A"/>
    <w:rsid w:val="00A43C42"/>
    <w:rsid w:val="00A441A6"/>
    <w:rsid w:val="00A45579"/>
    <w:rsid w:val="00A458A9"/>
    <w:rsid w:val="00A47FF1"/>
    <w:rsid w:val="00A501BD"/>
    <w:rsid w:val="00A51AA0"/>
    <w:rsid w:val="00A52A1B"/>
    <w:rsid w:val="00A52FB9"/>
    <w:rsid w:val="00A543C7"/>
    <w:rsid w:val="00A54EA8"/>
    <w:rsid w:val="00A55FC7"/>
    <w:rsid w:val="00A566F2"/>
    <w:rsid w:val="00A61236"/>
    <w:rsid w:val="00A61A93"/>
    <w:rsid w:val="00A62CE3"/>
    <w:rsid w:val="00A63243"/>
    <w:rsid w:val="00A645EA"/>
    <w:rsid w:val="00A65FE3"/>
    <w:rsid w:val="00A7099D"/>
    <w:rsid w:val="00A70EA3"/>
    <w:rsid w:val="00A7311D"/>
    <w:rsid w:val="00A74FC9"/>
    <w:rsid w:val="00A75793"/>
    <w:rsid w:val="00A759F3"/>
    <w:rsid w:val="00A75BC7"/>
    <w:rsid w:val="00A76163"/>
    <w:rsid w:val="00A76197"/>
    <w:rsid w:val="00A76817"/>
    <w:rsid w:val="00A77DC5"/>
    <w:rsid w:val="00A81314"/>
    <w:rsid w:val="00A818BF"/>
    <w:rsid w:val="00A84E48"/>
    <w:rsid w:val="00A8703D"/>
    <w:rsid w:val="00A87208"/>
    <w:rsid w:val="00A87B7B"/>
    <w:rsid w:val="00A900E9"/>
    <w:rsid w:val="00A90C78"/>
    <w:rsid w:val="00A9437E"/>
    <w:rsid w:val="00A95829"/>
    <w:rsid w:val="00A9690C"/>
    <w:rsid w:val="00A97831"/>
    <w:rsid w:val="00AA061D"/>
    <w:rsid w:val="00AA2016"/>
    <w:rsid w:val="00AA3621"/>
    <w:rsid w:val="00AA3659"/>
    <w:rsid w:val="00AA4A55"/>
    <w:rsid w:val="00AA5EE7"/>
    <w:rsid w:val="00AA6153"/>
    <w:rsid w:val="00AA7AB2"/>
    <w:rsid w:val="00AB028E"/>
    <w:rsid w:val="00AB0957"/>
    <w:rsid w:val="00AB1BF8"/>
    <w:rsid w:val="00AB22CE"/>
    <w:rsid w:val="00AB2E38"/>
    <w:rsid w:val="00AB4C94"/>
    <w:rsid w:val="00AB51C1"/>
    <w:rsid w:val="00AB525D"/>
    <w:rsid w:val="00AB7496"/>
    <w:rsid w:val="00AC03C4"/>
    <w:rsid w:val="00AC33BA"/>
    <w:rsid w:val="00AC34DF"/>
    <w:rsid w:val="00AC4742"/>
    <w:rsid w:val="00AC76B2"/>
    <w:rsid w:val="00AD0937"/>
    <w:rsid w:val="00AD0B62"/>
    <w:rsid w:val="00AD112D"/>
    <w:rsid w:val="00AD4101"/>
    <w:rsid w:val="00AD4824"/>
    <w:rsid w:val="00AD50C8"/>
    <w:rsid w:val="00AD53D7"/>
    <w:rsid w:val="00AD558D"/>
    <w:rsid w:val="00AD5727"/>
    <w:rsid w:val="00AE04C4"/>
    <w:rsid w:val="00AE0B99"/>
    <w:rsid w:val="00AE112D"/>
    <w:rsid w:val="00AE1433"/>
    <w:rsid w:val="00AE1735"/>
    <w:rsid w:val="00AE21E5"/>
    <w:rsid w:val="00AE30E0"/>
    <w:rsid w:val="00AE316B"/>
    <w:rsid w:val="00AE3EBE"/>
    <w:rsid w:val="00AE418F"/>
    <w:rsid w:val="00AE514A"/>
    <w:rsid w:val="00AE5293"/>
    <w:rsid w:val="00AE5DB8"/>
    <w:rsid w:val="00AE7637"/>
    <w:rsid w:val="00AF3537"/>
    <w:rsid w:val="00AF396F"/>
    <w:rsid w:val="00AF4F28"/>
    <w:rsid w:val="00AF5BEC"/>
    <w:rsid w:val="00AF63EC"/>
    <w:rsid w:val="00AF6B9E"/>
    <w:rsid w:val="00AF7136"/>
    <w:rsid w:val="00B0005F"/>
    <w:rsid w:val="00B01AB7"/>
    <w:rsid w:val="00B02B2D"/>
    <w:rsid w:val="00B06E97"/>
    <w:rsid w:val="00B07DF0"/>
    <w:rsid w:val="00B10461"/>
    <w:rsid w:val="00B10EE4"/>
    <w:rsid w:val="00B11D80"/>
    <w:rsid w:val="00B142F7"/>
    <w:rsid w:val="00B1467A"/>
    <w:rsid w:val="00B14D01"/>
    <w:rsid w:val="00B17671"/>
    <w:rsid w:val="00B2191A"/>
    <w:rsid w:val="00B21D17"/>
    <w:rsid w:val="00B2227B"/>
    <w:rsid w:val="00B22929"/>
    <w:rsid w:val="00B2365D"/>
    <w:rsid w:val="00B240AF"/>
    <w:rsid w:val="00B24BCA"/>
    <w:rsid w:val="00B26110"/>
    <w:rsid w:val="00B26295"/>
    <w:rsid w:val="00B268BE"/>
    <w:rsid w:val="00B27054"/>
    <w:rsid w:val="00B3011E"/>
    <w:rsid w:val="00B30816"/>
    <w:rsid w:val="00B3134E"/>
    <w:rsid w:val="00B32E37"/>
    <w:rsid w:val="00B33DCF"/>
    <w:rsid w:val="00B354D0"/>
    <w:rsid w:val="00B35AE8"/>
    <w:rsid w:val="00B3603F"/>
    <w:rsid w:val="00B3649E"/>
    <w:rsid w:val="00B36EFE"/>
    <w:rsid w:val="00B37160"/>
    <w:rsid w:val="00B3736B"/>
    <w:rsid w:val="00B375E9"/>
    <w:rsid w:val="00B4005B"/>
    <w:rsid w:val="00B4454C"/>
    <w:rsid w:val="00B47C04"/>
    <w:rsid w:val="00B5027D"/>
    <w:rsid w:val="00B50408"/>
    <w:rsid w:val="00B504BF"/>
    <w:rsid w:val="00B53620"/>
    <w:rsid w:val="00B53660"/>
    <w:rsid w:val="00B55613"/>
    <w:rsid w:val="00B55AE6"/>
    <w:rsid w:val="00B60580"/>
    <w:rsid w:val="00B63A28"/>
    <w:rsid w:val="00B63C40"/>
    <w:rsid w:val="00B650D9"/>
    <w:rsid w:val="00B65704"/>
    <w:rsid w:val="00B674DC"/>
    <w:rsid w:val="00B70358"/>
    <w:rsid w:val="00B72751"/>
    <w:rsid w:val="00B73C32"/>
    <w:rsid w:val="00B75303"/>
    <w:rsid w:val="00B75DF2"/>
    <w:rsid w:val="00B767C1"/>
    <w:rsid w:val="00B7684C"/>
    <w:rsid w:val="00B769F6"/>
    <w:rsid w:val="00B76C99"/>
    <w:rsid w:val="00B80ECD"/>
    <w:rsid w:val="00B8212B"/>
    <w:rsid w:val="00B84126"/>
    <w:rsid w:val="00B84B14"/>
    <w:rsid w:val="00B850AD"/>
    <w:rsid w:val="00B8516C"/>
    <w:rsid w:val="00B91AF7"/>
    <w:rsid w:val="00B91BB5"/>
    <w:rsid w:val="00B92D43"/>
    <w:rsid w:val="00B9309F"/>
    <w:rsid w:val="00B93CF8"/>
    <w:rsid w:val="00B94E5E"/>
    <w:rsid w:val="00B971C6"/>
    <w:rsid w:val="00BA2A52"/>
    <w:rsid w:val="00BA51BF"/>
    <w:rsid w:val="00BB022C"/>
    <w:rsid w:val="00BB1120"/>
    <w:rsid w:val="00BB136C"/>
    <w:rsid w:val="00BB1C84"/>
    <w:rsid w:val="00BB498D"/>
    <w:rsid w:val="00BB5F54"/>
    <w:rsid w:val="00BB6BC9"/>
    <w:rsid w:val="00BB7D24"/>
    <w:rsid w:val="00BC03ED"/>
    <w:rsid w:val="00BC1295"/>
    <w:rsid w:val="00BC2447"/>
    <w:rsid w:val="00BC39E9"/>
    <w:rsid w:val="00BC45AF"/>
    <w:rsid w:val="00BC69B6"/>
    <w:rsid w:val="00BC71B2"/>
    <w:rsid w:val="00BC7639"/>
    <w:rsid w:val="00BC7A0A"/>
    <w:rsid w:val="00BD04F9"/>
    <w:rsid w:val="00BD153A"/>
    <w:rsid w:val="00BD1AA6"/>
    <w:rsid w:val="00BD39C9"/>
    <w:rsid w:val="00BD405B"/>
    <w:rsid w:val="00BD5759"/>
    <w:rsid w:val="00BD7DC4"/>
    <w:rsid w:val="00BD7E30"/>
    <w:rsid w:val="00BE0E2C"/>
    <w:rsid w:val="00BE226D"/>
    <w:rsid w:val="00BE647E"/>
    <w:rsid w:val="00BE6F33"/>
    <w:rsid w:val="00BF0013"/>
    <w:rsid w:val="00BF2648"/>
    <w:rsid w:val="00BF2B36"/>
    <w:rsid w:val="00BF2D17"/>
    <w:rsid w:val="00BF5A15"/>
    <w:rsid w:val="00BF6498"/>
    <w:rsid w:val="00BF69B9"/>
    <w:rsid w:val="00BF78FF"/>
    <w:rsid w:val="00BF7959"/>
    <w:rsid w:val="00BF7E26"/>
    <w:rsid w:val="00C0006B"/>
    <w:rsid w:val="00C01354"/>
    <w:rsid w:val="00C026C1"/>
    <w:rsid w:val="00C043AF"/>
    <w:rsid w:val="00C04C7C"/>
    <w:rsid w:val="00C108CB"/>
    <w:rsid w:val="00C10B71"/>
    <w:rsid w:val="00C10C3B"/>
    <w:rsid w:val="00C11073"/>
    <w:rsid w:val="00C11995"/>
    <w:rsid w:val="00C1433F"/>
    <w:rsid w:val="00C16A37"/>
    <w:rsid w:val="00C174B0"/>
    <w:rsid w:val="00C17C5C"/>
    <w:rsid w:val="00C20047"/>
    <w:rsid w:val="00C20519"/>
    <w:rsid w:val="00C20D8D"/>
    <w:rsid w:val="00C221AC"/>
    <w:rsid w:val="00C22E34"/>
    <w:rsid w:val="00C27595"/>
    <w:rsid w:val="00C2790A"/>
    <w:rsid w:val="00C27D2A"/>
    <w:rsid w:val="00C31395"/>
    <w:rsid w:val="00C31F53"/>
    <w:rsid w:val="00C32698"/>
    <w:rsid w:val="00C32935"/>
    <w:rsid w:val="00C34EC4"/>
    <w:rsid w:val="00C35492"/>
    <w:rsid w:val="00C37093"/>
    <w:rsid w:val="00C40402"/>
    <w:rsid w:val="00C42B7A"/>
    <w:rsid w:val="00C437FB"/>
    <w:rsid w:val="00C44360"/>
    <w:rsid w:val="00C456F7"/>
    <w:rsid w:val="00C45A33"/>
    <w:rsid w:val="00C460C0"/>
    <w:rsid w:val="00C46EBD"/>
    <w:rsid w:val="00C46ED9"/>
    <w:rsid w:val="00C47BF1"/>
    <w:rsid w:val="00C51C1F"/>
    <w:rsid w:val="00C51F9B"/>
    <w:rsid w:val="00C5306B"/>
    <w:rsid w:val="00C53608"/>
    <w:rsid w:val="00C5388E"/>
    <w:rsid w:val="00C53C46"/>
    <w:rsid w:val="00C54EFB"/>
    <w:rsid w:val="00C56D20"/>
    <w:rsid w:val="00C61A43"/>
    <w:rsid w:val="00C620FE"/>
    <w:rsid w:val="00C62EAE"/>
    <w:rsid w:val="00C6344D"/>
    <w:rsid w:val="00C638E4"/>
    <w:rsid w:val="00C63FAA"/>
    <w:rsid w:val="00C64779"/>
    <w:rsid w:val="00C651C7"/>
    <w:rsid w:val="00C664B3"/>
    <w:rsid w:val="00C665DA"/>
    <w:rsid w:val="00C675E3"/>
    <w:rsid w:val="00C67782"/>
    <w:rsid w:val="00C7132F"/>
    <w:rsid w:val="00C73611"/>
    <w:rsid w:val="00C73670"/>
    <w:rsid w:val="00C757B8"/>
    <w:rsid w:val="00C7607A"/>
    <w:rsid w:val="00C80BC9"/>
    <w:rsid w:val="00C818F8"/>
    <w:rsid w:val="00C82764"/>
    <w:rsid w:val="00C83FF9"/>
    <w:rsid w:val="00C84005"/>
    <w:rsid w:val="00C86966"/>
    <w:rsid w:val="00C87055"/>
    <w:rsid w:val="00C90B42"/>
    <w:rsid w:val="00C916E8"/>
    <w:rsid w:val="00C918C3"/>
    <w:rsid w:val="00C92978"/>
    <w:rsid w:val="00C92F85"/>
    <w:rsid w:val="00C93135"/>
    <w:rsid w:val="00C93C99"/>
    <w:rsid w:val="00C94937"/>
    <w:rsid w:val="00C97D1A"/>
    <w:rsid w:val="00CA071F"/>
    <w:rsid w:val="00CA29C8"/>
    <w:rsid w:val="00CA32F0"/>
    <w:rsid w:val="00CA565E"/>
    <w:rsid w:val="00CA6299"/>
    <w:rsid w:val="00CA6CB2"/>
    <w:rsid w:val="00CA7F2E"/>
    <w:rsid w:val="00CB001B"/>
    <w:rsid w:val="00CB1EB4"/>
    <w:rsid w:val="00CB2F1D"/>
    <w:rsid w:val="00CB4A4F"/>
    <w:rsid w:val="00CB5BA3"/>
    <w:rsid w:val="00CB6873"/>
    <w:rsid w:val="00CB7040"/>
    <w:rsid w:val="00CC03BB"/>
    <w:rsid w:val="00CC0A6B"/>
    <w:rsid w:val="00CC24D7"/>
    <w:rsid w:val="00CC35E7"/>
    <w:rsid w:val="00CC3A91"/>
    <w:rsid w:val="00CC3FF0"/>
    <w:rsid w:val="00CC50DD"/>
    <w:rsid w:val="00CC50F7"/>
    <w:rsid w:val="00CC66F5"/>
    <w:rsid w:val="00CC79ED"/>
    <w:rsid w:val="00CC7A6B"/>
    <w:rsid w:val="00CC7F58"/>
    <w:rsid w:val="00CD039C"/>
    <w:rsid w:val="00CD0424"/>
    <w:rsid w:val="00CD0A26"/>
    <w:rsid w:val="00CD1CD7"/>
    <w:rsid w:val="00CD22B9"/>
    <w:rsid w:val="00CD2415"/>
    <w:rsid w:val="00CD2B22"/>
    <w:rsid w:val="00CD3A6E"/>
    <w:rsid w:val="00CD4F96"/>
    <w:rsid w:val="00CD5D0F"/>
    <w:rsid w:val="00CD7CD5"/>
    <w:rsid w:val="00CD7F1D"/>
    <w:rsid w:val="00CE14CB"/>
    <w:rsid w:val="00CE1569"/>
    <w:rsid w:val="00CE1F76"/>
    <w:rsid w:val="00CE20AA"/>
    <w:rsid w:val="00CE38D0"/>
    <w:rsid w:val="00CE44C2"/>
    <w:rsid w:val="00CE58C8"/>
    <w:rsid w:val="00CE78F2"/>
    <w:rsid w:val="00CF1571"/>
    <w:rsid w:val="00CF1C6F"/>
    <w:rsid w:val="00CF2674"/>
    <w:rsid w:val="00CF3119"/>
    <w:rsid w:val="00CF4056"/>
    <w:rsid w:val="00CF44A8"/>
    <w:rsid w:val="00CF53FC"/>
    <w:rsid w:val="00CF58AC"/>
    <w:rsid w:val="00CF6645"/>
    <w:rsid w:val="00CF6CA8"/>
    <w:rsid w:val="00D04008"/>
    <w:rsid w:val="00D04489"/>
    <w:rsid w:val="00D049BA"/>
    <w:rsid w:val="00D0589B"/>
    <w:rsid w:val="00D0647F"/>
    <w:rsid w:val="00D11A15"/>
    <w:rsid w:val="00D12F4E"/>
    <w:rsid w:val="00D13BA3"/>
    <w:rsid w:val="00D14B59"/>
    <w:rsid w:val="00D14EFD"/>
    <w:rsid w:val="00D1588E"/>
    <w:rsid w:val="00D20283"/>
    <w:rsid w:val="00D2073E"/>
    <w:rsid w:val="00D21524"/>
    <w:rsid w:val="00D2163F"/>
    <w:rsid w:val="00D21715"/>
    <w:rsid w:val="00D22F96"/>
    <w:rsid w:val="00D244BC"/>
    <w:rsid w:val="00D244D7"/>
    <w:rsid w:val="00D24FAD"/>
    <w:rsid w:val="00D2519B"/>
    <w:rsid w:val="00D25676"/>
    <w:rsid w:val="00D264A0"/>
    <w:rsid w:val="00D265A8"/>
    <w:rsid w:val="00D2717D"/>
    <w:rsid w:val="00D30C1D"/>
    <w:rsid w:val="00D31B7D"/>
    <w:rsid w:val="00D32CEC"/>
    <w:rsid w:val="00D373FF"/>
    <w:rsid w:val="00D41313"/>
    <w:rsid w:val="00D41685"/>
    <w:rsid w:val="00D42370"/>
    <w:rsid w:val="00D42562"/>
    <w:rsid w:val="00D4265D"/>
    <w:rsid w:val="00D426EE"/>
    <w:rsid w:val="00D42EB5"/>
    <w:rsid w:val="00D4416D"/>
    <w:rsid w:val="00D4437C"/>
    <w:rsid w:val="00D4603E"/>
    <w:rsid w:val="00D46B4A"/>
    <w:rsid w:val="00D503CD"/>
    <w:rsid w:val="00D50B5C"/>
    <w:rsid w:val="00D50C8A"/>
    <w:rsid w:val="00D51AFF"/>
    <w:rsid w:val="00D51E5C"/>
    <w:rsid w:val="00D51FBD"/>
    <w:rsid w:val="00D56EE8"/>
    <w:rsid w:val="00D57FB3"/>
    <w:rsid w:val="00D602D6"/>
    <w:rsid w:val="00D60CAC"/>
    <w:rsid w:val="00D618AD"/>
    <w:rsid w:val="00D61B12"/>
    <w:rsid w:val="00D62146"/>
    <w:rsid w:val="00D63D82"/>
    <w:rsid w:val="00D63F33"/>
    <w:rsid w:val="00D65307"/>
    <w:rsid w:val="00D654BA"/>
    <w:rsid w:val="00D658F5"/>
    <w:rsid w:val="00D67951"/>
    <w:rsid w:val="00D67D2E"/>
    <w:rsid w:val="00D701DB"/>
    <w:rsid w:val="00D71225"/>
    <w:rsid w:val="00D71ABE"/>
    <w:rsid w:val="00D72E32"/>
    <w:rsid w:val="00D73BEE"/>
    <w:rsid w:val="00D73DE5"/>
    <w:rsid w:val="00D76C4C"/>
    <w:rsid w:val="00D76E6C"/>
    <w:rsid w:val="00D77F4D"/>
    <w:rsid w:val="00D80C01"/>
    <w:rsid w:val="00D85161"/>
    <w:rsid w:val="00D854FC"/>
    <w:rsid w:val="00D86292"/>
    <w:rsid w:val="00D86FD1"/>
    <w:rsid w:val="00D87459"/>
    <w:rsid w:val="00D876A8"/>
    <w:rsid w:val="00D9009A"/>
    <w:rsid w:val="00D926A7"/>
    <w:rsid w:val="00D9544E"/>
    <w:rsid w:val="00D955E2"/>
    <w:rsid w:val="00D97533"/>
    <w:rsid w:val="00D97A4E"/>
    <w:rsid w:val="00DA016D"/>
    <w:rsid w:val="00DA14F1"/>
    <w:rsid w:val="00DA1FFD"/>
    <w:rsid w:val="00DA311A"/>
    <w:rsid w:val="00DA4253"/>
    <w:rsid w:val="00DA60C2"/>
    <w:rsid w:val="00DA670E"/>
    <w:rsid w:val="00DA6A78"/>
    <w:rsid w:val="00DA6D51"/>
    <w:rsid w:val="00DA7273"/>
    <w:rsid w:val="00DB3527"/>
    <w:rsid w:val="00DC0DEB"/>
    <w:rsid w:val="00DC4CE3"/>
    <w:rsid w:val="00DC5F5B"/>
    <w:rsid w:val="00DC7A61"/>
    <w:rsid w:val="00DC7D29"/>
    <w:rsid w:val="00DD0338"/>
    <w:rsid w:val="00DD1183"/>
    <w:rsid w:val="00DD1CB3"/>
    <w:rsid w:val="00DD23A0"/>
    <w:rsid w:val="00DD2941"/>
    <w:rsid w:val="00DD2CA9"/>
    <w:rsid w:val="00DD2EE8"/>
    <w:rsid w:val="00DD319A"/>
    <w:rsid w:val="00DD4FA8"/>
    <w:rsid w:val="00DD5DBD"/>
    <w:rsid w:val="00DD5FC6"/>
    <w:rsid w:val="00DD6144"/>
    <w:rsid w:val="00DD6772"/>
    <w:rsid w:val="00DD6DE4"/>
    <w:rsid w:val="00DD750F"/>
    <w:rsid w:val="00DD7A99"/>
    <w:rsid w:val="00DD7CEF"/>
    <w:rsid w:val="00DE225F"/>
    <w:rsid w:val="00DE5E79"/>
    <w:rsid w:val="00DE6104"/>
    <w:rsid w:val="00DF0655"/>
    <w:rsid w:val="00DF0908"/>
    <w:rsid w:val="00DF1A58"/>
    <w:rsid w:val="00DF1C9F"/>
    <w:rsid w:val="00DF2012"/>
    <w:rsid w:val="00DF4250"/>
    <w:rsid w:val="00DF4EC6"/>
    <w:rsid w:val="00DF537C"/>
    <w:rsid w:val="00DF5AA6"/>
    <w:rsid w:val="00DF5F68"/>
    <w:rsid w:val="00DF5F6C"/>
    <w:rsid w:val="00DF7672"/>
    <w:rsid w:val="00DF7ED5"/>
    <w:rsid w:val="00E0030A"/>
    <w:rsid w:val="00E01659"/>
    <w:rsid w:val="00E03337"/>
    <w:rsid w:val="00E05358"/>
    <w:rsid w:val="00E054D5"/>
    <w:rsid w:val="00E06097"/>
    <w:rsid w:val="00E06399"/>
    <w:rsid w:val="00E070AA"/>
    <w:rsid w:val="00E1143E"/>
    <w:rsid w:val="00E1491A"/>
    <w:rsid w:val="00E15264"/>
    <w:rsid w:val="00E15FE9"/>
    <w:rsid w:val="00E1652B"/>
    <w:rsid w:val="00E178D7"/>
    <w:rsid w:val="00E17A9A"/>
    <w:rsid w:val="00E20B34"/>
    <w:rsid w:val="00E222D8"/>
    <w:rsid w:val="00E22540"/>
    <w:rsid w:val="00E231DE"/>
    <w:rsid w:val="00E234BE"/>
    <w:rsid w:val="00E23C54"/>
    <w:rsid w:val="00E25B18"/>
    <w:rsid w:val="00E3103E"/>
    <w:rsid w:val="00E316F0"/>
    <w:rsid w:val="00E321C0"/>
    <w:rsid w:val="00E3226D"/>
    <w:rsid w:val="00E3277F"/>
    <w:rsid w:val="00E3610A"/>
    <w:rsid w:val="00E36598"/>
    <w:rsid w:val="00E367B3"/>
    <w:rsid w:val="00E37087"/>
    <w:rsid w:val="00E37502"/>
    <w:rsid w:val="00E4185A"/>
    <w:rsid w:val="00E419E5"/>
    <w:rsid w:val="00E432E3"/>
    <w:rsid w:val="00E4330B"/>
    <w:rsid w:val="00E4456C"/>
    <w:rsid w:val="00E44B50"/>
    <w:rsid w:val="00E44CB6"/>
    <w:rsid w:val="00E452D9"/>
    <w:rsid w:val="00E45F83"/>
    <w:rsid w:val="00E461B2"/>
    <w:rsid w:val="00E4673E"/>
    <w:rsid w:val="00E46DB1"/>
    <w:rsid w:val="00E46E47"/>
    <w:rsid w:val="00E51267"/>
    <w:rsid w:val="00E51527"/>
    <w:rsid w:val="00E51966"/>
    <w:rsid w:val="00E519B9"/>
    <w:rsid w:val="00E5234C"/>
    <w:rsid w:val="00E53AFE"/>
    <w:rsid w:val="00E53BED"/>
    <w:rsid w:val="00E53DFB"/>
    <w:rsid w:val="00E5412B"/>
    <w:rsid w:val="00E56295"/>
    <w:rsid w:val="00E57AAB"/>
    <w:rsid w:val="00E61016"/>
    <w:rsid w:val="00E61B1D"/>
    <w:rsid w:val="00E63A61"/>
    <w:rsid w:val="00E64D67"/>
    <w:rsid w:val="00E6565E"/>
    <w:rsid w:val="00E657C2"/>
    <w:rsid w:val="00E73815"/>
    <w:rsid w:val="00E74563"/>
    <w:rsid w:val="00E74BB8"/>
    <w:rsid w:val="00E75643"/>
    <w:rsid w:val="00E76AAC"/>
    <w:rsid w:val="00E76D13"/>
    <w:rsid w:val="00E775EE"/>
    <w:rsid w:val="00E7795D"/>
    <w:rsid w:val="00E77BA3"/>
    <w:rsid w:val="00E77E32"/>
    <w:rsid w:val="00E77EA6"/>
    <w:rsid w:val="00E80922"/>
    <w:rsid w:val="00E83639"/>
    <w:rsid w:val="00E84009"/>
    <w:rsid w:val="00E84B71"/>
    <w:rsid w:val="00E8500C"/>
    <w:rsid w:val="00E853C6"/>
    <w:rsid w:val="00E8679A"/>
    <w:rsid w:val="00E86EB6"/>
    <w:rsid w:val="00E8766F"/>
    <w:rsid w:val="00E87F18"/>
    <w:rsid w:val="00E91834"/>
    <w:rsid w:val="00E95084"/>
    <w:rsid w:val="00E95A76"/>
    <w:rsid w:val="00E97E84"/>
    <w:rsid w:val="00EA0241"/>
    <w:rsid w:val="00EA0A8D"/>
    <w:rsid w:val="00EA0A8F"/>
    <w:rsid w:val="00EA298C"/>
    <w:rsid w:val="00EB0109"/>
    <w:rsid w:val="00EB2A7D"/>
    <w:rsid w:val="00EB3B24"/>
    <w:rsid w:val="00EB4D0E"/>
    <w:rsid w:val="00EB5B93"/>
    <w:rsid w:val="00EB5F05"/>
    <w:rsid w:val="00EB71B9"/>
    <w:rsid w:val="00EB7EC0"/>
    <w:rsid w:val="00EC09BD"/>
    <w:rsid w:val="00EC1307"/>
    <w:rsid w:val="00EC1FAA"/>
    <w:rsid w:val="00EC2483"/>
    <w:rsid w:val="00EC2AE7"/>
    <w:rsid w:val="00EC2BAA"/>
    <w:rsid w:val="00EC3AAE"/>
    <w:rsid w:val="00EC6A1F"/>
    <w:rsid w:val="00EC6AB0"/>
    <w:rsid w:val="00EC7537"/>
    <w:rsid w:val="00EC790B"/>
    <w:rsid w:val="00EC7C14"/>
    <w:rsid w:val="00ED0B8B"/>
    <w:rsid w:val="00ED27F7"/>
    <w:rsid w:val="00ED2C6C"/>
    <w:rsid w:val="00ED35A7"/>
    <w:rsid w:val="00ED54E1"/>
    <w:rsid w:val="00ED659F"/>
    <w:rsid w:val="00ED7145"/>
    <w:rsid w:val="00EE1BC0"/>
    <w:rsid w:val="00EE2FF2"/>
    <w:rsid w:val="00EE39A4"/>
    <w:rsid w:val="00EE701A"/>
    <w:rsid w:val="00EE7E6A"/>
    <w:rsid w:val="00EF173D"/>
    <w:rsid w:val="00EF5924"/>
    <w:rsid w:val="00EF5FBB"/>
    <w:rsid w:val="00F00681"/>
    <w:rsid w:val="00F00E27"/>
    <w:rsid w:val="00F02380"/>
    <w:rsid w:val="00F04511"/>
    <w:rsid w:val="00F04A30"/>
    <w:rsid w:val="00F06B2D"/>
    <w:rsid w:val="00F0780E"/>
    <w:rsid w:val="00F127CD"/>
    <w:rsid w:val="00F130DD"/>
    <w:rsid w:val="00F13880"/>
    <w:rsid w:val="00F13988"/>
    <w:rsid w:val="00F14F3F"/>
    <w:rsid w:val="00F15DFF"/>
    <w:rsid w:val="00F16B54"/>
    <w:rsid w:val="00F16C7C"/>
    <w:rsid w:val="00F17001"/>
    <w:rsid w:val="00F171A9"/>
    <w:rsid w:val="00F229AB"/>
    <w:rsid w:val="00F243D6"/>
    <w:rsid w:val="00F258B1"/>
    <w:rsid w:val="00F2788E"/>
    <w:rsid w:val="00F30496"/>
    <w:rsid w:val="00F308C9"/>
    <w:rsid w:val="00F31987"/>
    <w:rsid w:val="00F3293A"/>
    <w:rsid w:val="00F33064"/>
    <w:rsid w:val="00F345E2"/>
    <w:rsid w:val="00F36154"/>
    <w:rsid w:val="00F36885"/>
    <w:rsid w:val="00F378C3"/>
    <w:rsid w:val="00F402E4"/>
    <w:rsid w:val="00F41166"/>
    <w:rsid w:val="00F42EC8"/>
    <w:rsid w:val="00F43AE5"/>
    <w:rsid w:val="00F452A5"/>
    <w:rsid w:val="00F4693D"/>
    <w:rsid w:val="00F4749D"/>
    <w:rsid w:val="00F50159"/>
    <w:rsid w:val="00F5085E"/>
    <w:rsid w:val="00F50E21"/>
    <w:rsid w:val="00F52364"/>
    <w:rsid w:val="00F538A5"/>
    <w:rsid w:val="00F54860"/>
    <w:rsid w:val="00F54B57"/>
    <w:rsid w:val="00F56C2B"/>
    <w:rsid w:val="00F57B76"/>
    <w:rsid w:val="00F612E2"/>
    <w:rsid w:val="00F6288E"/>
    <w:rsid w:val="00F62932"/>
    <w:rsid w:val="00F62D0B"/>
    <w:rsid w:val="00F637D5"/>
    <w:rsid w:val="00F656BA"/>
    <w:rsid w:val="00F65BDB"/>
    <w:rsid w:val="00F6651B"/>
    <w:rsid w:val="00F70839"/>
    <w:rsid w:val="00F70A24"/>
    <w:rsid w:val="00F71186"/>
    <w:rsid w:val="00F7198E"/>
    <w:rsid w:val="00F71C15"/>
    <w:rsid w:val="00F74C0B"/>
    <w:rsid w:val="00F760FE"/>
    <w:rsid w:val="00F779D7"/>
    <w:rsid w:val="00F80360"/>
    <w:rsid w:val="00F80420"/>
    <w:rsid w:val="00F824C6"/>
    <w:rsid w:val="00F85337"/>
    <w:rsid w:val="00F859D8"/>
    <w:rsid w:val="00F86859"/>
    <w:rsid w:val="00F86B7D"/>
    <w:rsid w:val="00F87641"/>
    <w:rsid w:val="00F8792E"/>
    <w:rsid w:val="00F87E65"/>
    <w:rsid w:val="00F907CB"/>
    <w:rsid w:val="00F910DA"/>
    <w:rsid w:val="00F93C9C"/>
    <w:rsid w:val="00F940AE"/>
    <w:rsid w:val="00F95215"/>
    <w:rsid w:val="00F95405"/>
    <w:rsid w:val="00F97089"/>
    <w:rsid w:val="00F97E28"/>
    <w:rsid w:val="00FA00DE"/>
    <w:rsid w:val="00FA15CA"/>
    <w:rsid w:val="00FA20A4"/>
    <w:rsid w:val="00FA472D"/>
    <w:rsid w:val="00FA5CC7"/>
    <w:rsid w:val="00FA66DF"/>
    <w:rsid w:val="00FA6EFD"/>
    <w:rsid w:val="00FA7975"/>
    <w:rsid w:val="00FB07C7"/>
    <w:rsid w:val="00FB0CE9"/>
    <w:rsid w:val="00FB0F41"/>
    <w:rsid w:val="00FB1AB9"/>
    <w:rsid w:val="00FB259C"/>
    <w:rsid w:val="00FB3465"/>
    <w:rsid w:val="00FB3DAC"/>
    <w:rsid w:val="00FB40AB"/>
    <w:rsid w:val="00FB4E96"/>
    <w:rsid w:val="00FB59F6"/>
    <w:rsid w:val="00FB5BEB"/>
    <w:rsid w:val="00FB7E17"/>
    <w:rsid w:val="00FC017F"/>
    <w:rsid w:val="00FC0D93"/>
    <w:rsid w:val="00FC3526"/>
    <w:rsid w:val="00FC3C65"/>
    <w:rsid w:val="00FD1A22"/>
    <w:rsid w:val="00FD22D9"/>
    <w:rsid w:val="00FD23B7"/>
    <w:rsid w:val="00FD3536"/>
    <w:rsid w:val="00FD3579"/>
    <w:rsid w:val="00FD3D17"/>
    <w:rsid w:val="00FD43CE"/>
    <w:rsid w:val="00FD47A8"/>
    <w:rsid w:val="00FD4B85"/>
    <w:rsid w:val="00FD56A6"/>
    <w:rsid w:val="00FD683C"/>
    <w:rsid w:val="00FD7311"/>
    <w:rsid w:val="00FE082B"/>
    <w:rsid w:val="00FE267C"/>
    <w:rsid w:val="00FE5B00"/>
    <w:rsid w:val="00FE5D82"/>
    <w:rsid w:val="00FE70C9"/>
    <w:rsid w:val="00FE7CA3"/>
    <w:rsid w:val="00FF04CB"/>
    <w:rsid w:val="00FF082B"/>
    <w:rsid w:val="00FF32AF"/>
    <w:rsid w:val="00FF54D9"/>
    <w:rsid w:val="00FF60AE"/>
    <w:rsid w:val="00FF7A27"/>
    <w:rsid w:val="00FF7C74"/>
    <w:rsid w:val="013E01EB"/>
    <w:rsid w:val="01494091"/>
    <w:rsid w:val="015A3558"/>
    <w:rsid w:val="015C11A9"/>
    <w:rsid w:val="019C02F1"/>
    <w:rsid w:val="01A240F5"/>
    <w:rsid w:val="020D4C59"/>
    <w:rsid w:val="022A3604"/>
    <w:rsid w:val="023D72C0"/>
    <w:rsid w:val="025010AF"/>
    <w:rsid w:val="02CC2977"/>
    <w:rsid w:val="02ED6112"/>
    <w:rsid w:val="03222CB9"/>
    <w:rsid w:val="033A7BE9"/>
    <w:rsid w:val="033D7F41"/>
    <w:rsid w:val="03450CC9"/>
    <w:rsid w:val="03543C38"/>
    <w:rsid w:val="03773C2D"/>
    <w:rsid w:val="037D5D72"/>
    <w:rsid w:val="039546B3"/>
    <w:rsid w:val="03C30C20"/>
    <w:rsid w:val="03D9333E"/>
    <w:rsid w:val="04100A3F"/>
    <w:rsid w:val="044A0F68"/>
    <w:rsid w:val="044C49D1"/>
    <w:rsid w:val="0475557C"/>
    <w:rsid w:val="047D3373"/>
    <w:rsid w:val="04896C5E"/>
    <w:rsid w:val="04993EF8"/>
    <w:rsid w:val="04EA3859"/>
    <w:rsid w:val="04EB6681"/>
    <w:rsid w:val="04EE6A2A"/>
    <w:rsid w:val="04F42D24"/>
    <w:rsid w:val="04F5709A"/>
    <w:rsid w:val="05091A96"/>
    <w:rsid w:val="051353B1"/>
    <w:rsid w:val="051C3D28"/>
    <w:rsid w:val="05441144"/>
    <w:rsid w:val="05AD6742"/>
    <w:rsid w:val="062C0822"/>
    <w:rsid w:val="06394BC1"/>
    <w:rsid w:val="06597987"/>
    <w:rsid w:val="066D29F1"/>
    <w:rsid w:val="068873BD"/>
    <w:rsid w:val="06972B74"/>
    <w:rsid w:val="06D368BF"/>
    <w:rsid w:val="06F52823"/>
    <w:rsid w:val="07062061"/>
    <w:rsid w:val="07187CB4"/>
    <w:rsid w:val="073878D8"/>
    <w:rsid w:val="0762061B"/>
    <w:rsid w:val="07941DA3"/>
    <w:rsid w:val="079815C5"/>
    <w:rsid w:val="08087B1E"/>
    <w:rsid w:val="08117B69"/>
    <w:rsid w:val="083D095B"/>
    <w:rsid w:val="086F7DDB"/>
    <w:rsid w:val="08B76E49"/>
    <w:rsid w:val="08CB1752"/>
    <w:rsid w:val="08E7266E"/>
    <w:rsid w:val="090028CA"/>
    <w:rsid w:val="093E57EB"/>
    <w:rsid w:val="096D4AC2"/>
    <w:rsid w:val="097D6D63"/>
    <w:rsid w:val="09B438D6"/>
    <w:rsid w:val="09B954E5"/>
    <w:rsid w:val="09D516AE"/>
    <w:rsid w:val="09D92955"/>
    <w:rsid w:val="0A0F39C6"/>
    <w:rsid w:val="0A2C15B0"/>
    <w:rsid w:val="0A30051E"/>
    <w:rsid w:val="0A546366"/>
    <w:rsid w:val="0A94520C"/>
    <w:rsid w:val="0B276048"/>
    <w:rsid w:val="0B2A547C"/>
    <w:rsid w:val="0B516794"/>
    <w:rsid w:val="0B6705A6"/>
    <w:rsid w:val="0B8534B7"/>
    <w:rsid w:val="0B931262"/>
    <w:rsid w:val="0BD468B4"/>
    <w:rsid w:val="0C653418"/>
    <w:rsid w:val="0C6F1489"/>
    <w:rsid w:val="0C793E61"/>
    <w:rsid w:val="0C8573BB"/>
    <w:rsid w:val="0CDB6BDB"/>
    <w:rsid w:val="0D132C19"/>
    <w:rsid w:val="0D507FFC"/>
    <w:rsid w:val="0D5C4B7C"/>
    <w:rsid w:val="0D61041F"/>
    <w:rsid w:val="0D664F7D"/>
    <w:rsid w:val="0D723774"/>
    <w:rsid w:val="0D852AEB"/>
    <w:rsid w:val="0D8B375C"/>
    <w:rsid w:val="0D915337"/>
    <w:rsid w:val="0DD63D5C"/>
    <w:rsid w:val="0DF6082C"/>
    <w:rsid w:val="0E1C3600"/>
    <w:rsid w:val="0E2D135E"/>
    <w:rsid w:val="0E3D4397"/>
    <w:rsid w:val="0E6B14B6"/>
    <w:rsid w:val="0E7B1D8F"/>
    <w:rsid w:val="0E9512F7"/>
    <w:rsid w:val="0EB56BCB"/>
    <w:rsid w:val="0F0740B7"/>
    <w:rsid w:val="0F0D719D"/>
    <w:rsid w:val="0F0E5864"/>
    <w:rsid w:val="0F2A2DEF"/>
    <w:rsid w:val="0F2F1602"/>
    <w:rsid w:val="0F3037E9"/>
    <w:rsid w:val="0F315D7F"/>
    <w:rsid w:val="0F3E775D"/>
    <w:rsid w:val="0F564626"/>
    <w:rsid w:val="0F76551E"/>
    <w:rsid w:val="0F85040B"/>
    <w:rsid w:val="103A3EFF"/>
    <w:rsid w:val="10572E1C"/>
    <w:rsid w:val="10751797"/>
    <w:rsid w:val="10854E34"/>
    <w:rsid w:val="10D32DF7"/>
    <w:rsid w:val="10E943BC"/>
    <w:rsid w:val="113F3F1F"/>
    <w:rsid w:val="115C75B0"/>
    <w:rsid w:val="116A246A"/>
    <w:rsid w:val="119C425C"/>
    <w:rsid w:val="11EE5386"/>
    <w:rsid w:val="122B622A"/>
    <w:rsid w:val="127127AD"/>
    <w:rsid w:val="12BF211C"/>
    <w:rsid w:val="13C24A51"/>
    <w:rsid w:val="13F47C45"/>
    <w:rsid w:val="143C02F2"/>
    <w:rsid w:val="14D5292A"/>
    <w:rsid w:val="14DC09BC"/>
    <w:rsid w:val="14FD58CF"/>
    <w:rsid w:val="1521424B"/>
    <w:rsid w:val="152E63F2"/>
    <w:rsid w:val="15312FEC"/>
    <w:rsid w:val="153B1098"/>
    <w:rsid w:val="15591324"/>
    <w:rsid w:val="15F6487F"/>
    <w:rsid w:val="163C2962"/>
    <w:rsid w:val="165E761C"/>
    <w:rsid w:val="168109B6"/>
    <w:rsid w:val="16860E11"/>
    <w:rsid w:val="168F2A09"/>
    <w:rsid w:val="16A70712"/>
    <w:rsid w:val="16B26FFE"/>
    <w:rsid w:val="16CC47F8"/>
    <w:rsid w:val="17170DE9"/>
    <w:rsid w:val="179078A2"/>
    <w:rsid w:val="17BF7A57"/>
    <w:rsid w:val="17E4640D"/>
    <w:rsid w:val="17EA5424"/>
    <w:rsid w:val="17FC1DDF"/>
    <w:rsid w:val="181D494B"/>
    <w:rsid w:val="181F0BFB"/>
    <w:rsid w:val="18251A52"/>
    <w:rsid w:val="18620B8F"/>
    <w:rsid w:val="188A492E"/>
    <w:rsid w:val="18C91BE7"/>
    <w:rsid w:val="18EB0012"/>
    <w:rsid w:val="18EC600C"/>
    <w:rsid w:val="18FD70BB"/>
    <w:rsid w:val="19384C84"/>
    <w:rsid w:val="19607DA4"/>
    <w:rsid w:val="19FA2370"/>
    <w:rsid w:val="1A332151"/>
    <w:rsid w:val="1A597FD2"/>
    <w:rsid w:val="1A84073E"/>
    <w:rsid w:val="1AAC2012"/>
    <w:rsid w:val="1AB74B7A"/>
    <w:rsid w:val="1AE60F0D"/>
    <w:rsid w:val="1B0E097B"/>
    <w:rsid w:val="1B4E1DCD"/>
    <w:rsid w:val="1B62304E"/>
    <w:rsid w:val="1B7D59C7"/>
    <w:rsid w:val="1B894772"/>
    <w:rsid w:val="1BAB4AC5"/>
    <w:rsid w:val="1BEA7C0F"/>
    <w:rsid w:val="1BF23D58"/>
    <w:rsid w:val="1C12528E"/>
    <w:rsid w:val="1C23616D"/>
    <w:rsid w:val="1C291740"/>
    <w:rsid w:val="1C3A73F6"/>
    <w:rsid w:val="1C467B59"/>
    <w:rsid w:val="1C6641CA"/>
    <w:rsid w:val="1C934BBF"/>
    <w:rsid w:val="1CBF6041"/>
    <w:rsid w:val="1CC21F6F"/>
    <w:rsid w:val="1CCA40AB"/>
    <w:rsid w:val="1D190631"/>
    <w:rsid w:val="1D282D17"/>
    <w:rsid w:val="1D395289"/>
    <w:rsid w:val="1D413622"/>
    <w:rsid w:val="1D833FC4"/>
    <w:rsid w:val="1DA23161"/>
    <w:rsid w:val="1DD4662C"/>
    <w:rsid w:val="1DD74198"/>
    <w:rsid w:val="1DE81558"/>
    <w:rsid w:val="1E27237B"/>
    <w:rsid w:val="1EA959A6"/>
    <w:rsid w:val="1ECC0F3E"/>
    <w:rsid w:val="1EE44DC7"/>
    <w:rsid w:val="1EF46CED"/>
    <w:rsid w:val="1F05084D"/>
    <w:rsid w:val="1F5C5F7F"/>
    <w:rsid w:val="1F6E56C3"/>
    <w:rsid w:val="1F835821"/>
    <w:rsid w:val="1F874073"/>
    <w:rsid w:val="1F9E39F8"/>
    <w:rsid w:val="1FA434D1"/>
    <w:rsid w:val="1FC42572"/>
    <w:rsid w:val="1FD0371D"/>
    <w:rsid w:val="1FD10CF5"/>
    <w:rsid w:val="1FDE69DF"/>
    <w:rsid w:val="1FEE67CC"/>
    <w:rsid w:val="201D0BA3"/>
    <w:rsid w:val="2028715B"/>
    <w:rsid w:val="209117F8"/>
    <w:rsid w:val="20DC64E2"/>
    <w:rsid w:val="21010DA0"/>
    <w:rsid w:val="21232F69"/>
    <w:rsid w:val="21250AAD"/>
    <w:rsid w:val="213A3206"/>
    <w:rsid w:val="213C2034"/>
    <w:rsid w:val="214B0585"/>
    <w:rsid w:val="2195359B"/>
    <w:rsid w:val="21B61B70"/>
    <w:rsid w:val="21C42176"/>
    <w:rsid w:val="21DC5063"/>
    <w:rsid w:val="21F4410C"/>
    <w:rsid w:val="22257470"/>
    <w:rsid w:val="222E5491"/>
    <w:rsid w:val="22560968"/>
    <w:rsid w:val="22737857"/>
    <w:rsid w:val="22755916"/>
    <w:rsid w:val="227B299A"/>
    <w:rsid w:val="228A6702"/>
    <w:rsid w:val="228E4A2D"/>
    <w:rsid w:val="22C10F34"/>
    <w:rsid w:val="22C62183"/>
    <w:rsid w:val="22ED207B"/>
    <w:rsid w:val="232C2D3F"/>
    <w:rsid w:val="233E1CF3"/>
    <w:rsid w:val="234D365C"/>
    <w:rsid w:val="237725A8"/>
    <w:rsid w:val="238E2BA1"/>
    <w:rsid w:val="23B077A6"/>
    <w:rsid w:val="23DC0951"/>
    <w:rsid w:val="23F8258D"/>
    <w:rsid w:val="23F84D8E"/>
    <w:rsid w:val="240E0DCD"/>
    <w:rsid w:val="243C7255"/>
    <w:rsid w:val="24726C9A"/>
    <w:rsid w:val="24AC7783"/>
    <w:rsid w:val="24B30F4C"/>
    <w:rsid w:val="24DB587F"/>
    <w:rsid w:val="24FE6121"/>
    <w:rsid w:val="25050E39"/>
    <w:rsid w:val="250621F3"/>
    <w:rsid w:val="252A0C8F"/>
    <w:rsid w:val="25AE6FF6"/>
    <w:rsid w:val="25B373DA"/>
    <w:rsid w:val="25BE0BF5"/>
    <w:rsid w:val="25CA39BF"/>
    <w:rsid w:val="25D23219"/>
    <w:rsid w:val="261A2102"/>
    <w:rsid w:val="264F6F3B"/>
    <w:rsid w:val="269F36EC"/>
    <w:rsid w:val="27207A31"/>
    <w:rsid w:val="27344344"/>
    <w:rsid w:val="277C2447"/>
    <w:rsid w:val="278542BB"/>
    <w:rsid w:val="27A71997"/>
    <w:rsid w:val="27B538BA"/>
    <w:rsid w:val="27D41636"/>
    <w:rsid w:val="27DB3C19"/>
    <w:rsid w:val="2804184A"/>
    <w:rsid w:val="28327F9F"/>
    <w:rsid w:val="28575C53"/>
    <w:rsid w:val="285A12A4"/>
    <w:rsid w:val="285D0DDB"/>
    <w:rsid w:val="288268B2"/>
    <w:rsid w:val="289A40B0"/>
    <w:rsid w:val="28B27817"/>
    <w:rsid w:val="28E8736E"/>
    <w:rsid w:val="28EC41AA"/>
    <w:rsid w:val="28F304C8"/>
    <w:rsid w:val="29052A81"/>
    <w:rsid w:val="290F02E0"/>
    <w:rsid w:val="293D4569"/>
    <w:rsid w:val="295A2D8B"/>
    <w:rsid w:val="29806396"/>
    <w:rsid w:val="29B97E76"/>
    <w:rsid w:val="29CE6F11"/>
    <w:rsid w:val="2A23424C"/>
    <w:rsid w:val="2A713E71"/>
    <w:rsid w:val="2A7A2A39"/>
    <w:rsid w:val="2A7A3376"/>
    <w:rsid w:val="2ABA7DD1"/>
    <w:rsid w:val="2AC8606E"/>
    <w:rsid w:val="2AF3200E"/>
    <w:rsid w:val="2B557A94"/>
    <w:rsid w:val="2B577854"/>
    <w:rsid w:val="2B817826"/>
    <w:rsid w:val="2BBB41CD"/>
    <w:rsid w:val="2BCE57E8"/>
    <w:rsid w:val="2BDD00F2"/>
    <w:rsid w:val="2BFC5503"/>
    <w:rsid w:val="2C0C5D14"/>
    <w:rsid w:val="2C3571D4"/>
    <w:rsid w:val="2C494267"/>
    <w:rsid w:val="2C725AD9"/>
    <w:rsid w:val="2C7843EE"/>
    <w:rsid w:val="2C9C1E8B"/>
    <w:rsid w:val="2CC826C7"/>
    <w:rsid w:val="2CE90234"/>
    <w:rsid w:val="2DB37E78"/>
    <w:rsid w:val="2DDF7D01"/>
    <w:rsid w:val="2DE818CA"/>
    <w:rsid w:val="2DFF2C7E"/>
    <w:rsid w:val="2E1F5C9B"/>
    <w:rsid w:val="2E443B23"/>
    <w:rsid w:val="2E565AE2"/>
    <w:rsid w:val="2E8E6ACF"/>
    <w:rsid w:val="2E906BBA"/>
    <w:rsid w:val="2ECC740A"/>
    <w:rsid w:val="2ECF255A"/>
    <w:rsid w:val="2EE26F79"/>
    <w:rsid w:val="2EF52DE0"/>
    <w:rsid w:val="2F373383"/>
    <w:rsid w:val="2F5527C5"/>
    <w:rsid w:val="2F5D79FA"/>
    <w:rsid w:val="2F6556C7"/>
    <w:rsid w:val="2F826E7F"/>
    <w:rsid w:val="2FA60E97"/>
    <w:rsid w:val="30223E75"/>
    <w:rsid w:val="30414D50"/>
    <w:rsid w:val="307F5FD1"/>
    <w:rsid w:val="308B4CB0"/>
    <w:rsid w:val="309069C2"/>
    <w:rsid w:val="30B3307E"/>
    <w:rsid w:val="30B738D1"/>
    <w:rsid w:val="31015F10"/>
    <w:rsid w:val="31140B8A"/>
    <w:rsid w:val="312C1463"/>
    <w:rsid w:val="316D7D51"/>
    <w:rsid w:val="31AE397D"/>
    <w:rsid w:val="321F5754"/>
    <w:rsid w:val="322C1CF4"/>
    <w:rsid w:val="325B22BA"/>
    <w:rsid w:val="328026D4"/>
    <w:rsid w:val="329A7804"/>
    <w:rsid w:val="32BD5E6E"/>
    <w:rsid w:val="32D43904"/>
    <w:rsid w:val="32D47BDE"/>
    <w:rsid w:val="32ED2138"/>
    <w:rsid w:val="330D78A6"/>
    <w:rsid w:val="331F7004"/>
    <w:rsid w:val="334A18B0"/>
    <w:rsid w:val="33583A2A"/>
    <w:rsid w:val="3394406B"/>
    <w:rsid w:val="33B23EFC"/>
    <w:rsid w:val="33D12066"/>
    <w:rsid w:val="33ED20BF"/>
    <w:rsid w:val="33F218E5"/>
    <w:rsid w:val="343C3958"/>
    <w:rsid w:val="344F7BE4"/>
    <w:rsid w:val="34547263"/>
    <w:rsid w:val="345B4C0C"/>
    <w:rsid w:val="34B57C12"/>
    <w:rsid w:val="34BE6A66"/>
    <w:rsid w:val="34D95F4C"/>
    <w:rsid w:val="34E71A3B"/>
    <w:rsid w:val="35225540"/>
    <w:rsid w:val="354D463B"/>
    <w:rsid w:val="358116ED"/>
    <w:rsid w:val="35C153C0"/>
    <w:rsid w:val="35C83C05"/>
    <w:rsid w:val="35D432AD"/>
    <w:rsid w:val="360F729E"/>
    <w:rsid w:val="361D6368"/>
    <w:rsid w:val="368726B2"/>
    <w:rsid w:val="369374DF"/>
    <w:rsid w:val="369B6F4C"/>
    <w:rsid w:val="36B30750"/>
    <w:rsid w:val="36F74BD7"/>
    <w:rsid w:val="370812D8"/>
    <w:rsid w:val="370B4B12"/>
    <w:rsid w:val="373C3F5F"/>
    <w:rsid w:val="37847C9E"/>
    <w:rsid w:val="380A19B3"/>
    <w:rsid w:val="380D779F"/>
    <w:rsid w:val="38104DCB"/>
    <w:rsid w:val="38417F4D"/>
    <w:rsid w:val="386F34A2"/>
    <w:rsid w:val="392775B7"/>
    <w:rsid w:val="39464170"/>
    <w:rsid w:val="395D4326"/>
    <w:rsid w:val="398C14D9"/>
    <w:rsid w:val="39A129A1"/>
    <w:rsid w:val="3A0F3AE3"/>
    <w:rsid w:val="3A23460E"/>
    <w:rsid w:val="3A4579EA"/>
    <w:rsid w:val="3A4624D0"/>
    <w:rsid w:val="3A5A00DF"/>
    <w:rsid w:val="3A983EF2"/>
    <w:rsid w:val="3AEB0449"/>
    <w:rsid w:val="3AFB1CBF"/>
    <w:rsid w:val="3B1D2A97"/>
    <w:rsid w:val="3B1F0857"/>
    <w:rsid w:val="3B626996"/>
    <w:rsid w:val="3B9A376B"/>
    <w:rsid w:val="3BC15143"/>
    <w:rsid w:val="3C0A3F70"/>
    <w:rsid w:val="3C2A6279"/>
    <w:rsid w:val="3C312FE9"/>
    <w:rsid w:val="3C3D4300"/>
    <w:rsid w:val="3C7A13E2"/>
    <w:rsid w:val="3C9526B6"/>
    <w:rsid w:val="3C97178F"/>
    <w:rsid w:val="3CB62115"/>
    <w:rsid w:val="3CD6133B"/>
    <w:rsid w:val="3CF018C9"/>
    <w:rsid w:val="3D181556"/>
    <w:rsid w:val="3D424873"/>
    <w:rsid w:val="3D435C89"/>
    <w:rsid w:val="3D7A7D60"/>
    <w:rsid w:val="3D9C1C46"/>
    <w:rsid w:val="3DAC6247"/>
    <w:rsid w:val="3DB01584"/>
    <w:rsid w:val="3DBB4C9D"/>
    <w:rsid w:val="3DD05B33"/>
    <w:rsid w:val="3DD84CED"/>
    <w:rsid w:val="3DEB77F2"/>
    <w:rsid w:val="3DED3E8D"/>
    <w:rsid w:val="3E144A2C"/>
    <w:rsid w:val="3E356EDB"/>
    <w:rsid w:val="3E640AD3"/>
    <w:rsid w:val="3E751511"/>
    <w:rsid w:val="3EA9255A"/>
    <w:rsid w:val="3EAF68FD"/>
    <w:rsid w:val="3F0305D6"/>
    <w:rsid w:val="3F0B6EB8"/>
    <w:rsid w:val="3F1C3B7A"/>
    <w:rsid w:val="3F406AF4"/>
    <w:rsid w:val="3F526EE3"/>
    <w:rsid w:val="40001676"/>
    <w:rsid w:val="400471F8"/>
    <w:rsid w:val="400B2D26"/>
    <w:rsid w:val="4013025E"/>
    <w:rsid w:val="403C6AAB"/>
    <w:rsid w:val="4067408D"/>
    <w:rsid w:val="40972C3D"/>
    <w:rsid w:val="40AD6EA5"/>
    <w:rsid w:val="40B25CC9"/>
    <w:rsid w:val="40B9062B"/>
    <w:rsid w:val="40D9765F"/>
    <w:rsid w:val="40FC716D"/>
    <w:rsid w:val="418A0EE5"/>
    <w:rsid w:val="41914642"/>
    <w:rsid w:val="41C2746E"/>
    <w:rsid w:val="41D15CC5"/>
    <w:rsid w:val="41ED7747"/>
    <w:rsid w:val="421B6A34"/>
    <w:rsid w:val="42696F04"/>
    <w:rsid w:val="428F58D3"/>
    <w:rsid w:val="429C5D18"/>
    <w:rsid w:val="42B85068"/>
    <w:rsid w:val="42DC2EFF"/>
    <w:rsid w:val="42EF44B4"/>
    <w:rsid w:val="43051C38"/>
    <w:rsid w:val="430B72C0"/>
    <w:rsid w:val="436355C6"/>
    <w:rsid w:val="43B9577E"/>
    <w:rsid w:val="43E73B47"/>
    <w:rsid w:val="44334EB6"/>
    <w:rsid w:val="44454FBE"/>
    <w:rsid w:val="444F7846"/>
    <w:rsid w:val="444F7BBA"/>
    <w:rsid w:val="44846FD1"/>
    <w:rsid w:val="44961F5E"/>
    <w:rsid w:val="44E539E4"/>
    <w:rsid w:val="45010D3C"/>
    <w:rsid w:val="45210DC2"/>
    <w:rsid w:val="45496436"/>
    <w:rsid w:val="454F3AE7"/>
    <w:rsid w:val="455C0825"/>
    <w:rsid w:val="45CB7C28"/>
    <w:rsid w:val="45DB3678"/>
    <w:rsid w:val="45EC7472"/>
    <w:rsid w:val="460F3743"/>
    <w:rsid w:val="46194827"/>
    <w:rsid w:val="463A292D"/>
    <w:rsid w:val="46483314"/>
    <w:rsid w:val="465111E0"/>
    <w:rsid w:val="46633502"/>
    <w:rsid w:val="467B6759"/>
    <w:rsid w:val="469B4C20"/>
    <w:rsid w:val="46C60A69"/>
    <w:rsid w:val="46D52B39"/>
    <w:rsid w:val="47064BFD"/>
    <w:rsid w:val="47186B04"/>
    <w:rsid w:val="478101A3"/>
    <w:rsid w:val="47A93487"/>
    <w:rsid w:val="47E61AD4"/>
    <w:rsid w:val="48020675"/>
    <w:rsid w:val="480277E5"/>
    <w:rsid w:val="48987E73"/>
    <w:rsid w:val="48B05491"/>
    <w:rsid w:val="48B172BE"/>
    <w:rsid w:val="48BF1426"/>
    <w:rsid w:val="48DB2AB3"/>
    <w:rsid w:val="48FF3FB2"/>
    <w:rsid w:val="491A0448"/>
    <w:rsid w:val="49212C9D"/>
    <w:rsid w:val="493C25D4"/>
    <w:rsid w:val="495F7BA2"/>
    <w:rsid w:val="496A7DE7"/>
    <w:rsid w:val="49AF0D7A"/>
    <w:rsid w:val="49D32DE4"/>
    <w:rsid w:val="4A4D661D"/>
    <w:rsid w:val="4A6E0510"/>
    <w:rsid w:val="4AC0116B"/>
    <w:rsid w:val="4ACC2BA9"/>
    <w:rsid w:val="4ADB615E"/>
    <w:rsid w:val="4B3B5779"/>
    <w:rsid w:val="4B542C00"/>
    <w:rsid w:val="4B5B1FAD"/>
    <w:rsid w:val="4B713670"/>
    <w:rsid w:val="4B730591"/>
    <w:rsid w:val="4BAC551F"/>
    <w:rsid w:val="4C0A6AD4"/>
    <w:rsid w:val="4C20328C"/>
    <w:rsid w:val="4C3D5B4F"/>
    <w:rsid w:val="4C6441EB"/>
    <w:rsid w:val="4CAB2FAB"/>
    <w:rsid w:val="4CF37A27"/>
    <w:rsid w:val="4D0E15FA"/>
    <w:rsid w:val="4D67577E"/>
    <w:rsid w:val="4DBE3AD9"/>
    <w:rsid w:val="4E1D7E9B"/>
    <w:rsid w:val="4E1E3DCF"/>
    <w:rsid w:val="4E274AE2"/>
    <w:rsid w:val="4E3B040E"/>
    <w:rsid w:val="4E710F72"/>
    <w:rsid w:val="4E854AEC"/>
    <w:rsid w:val="4EA4331A"/>
    <w:rsid w:val="4EBF3052"/>
    <w:rsid w:val="4EFD6AD1"/>
    <w:rsid w:val="4F052E9A"/>
    <w:rsid w:val="4F5400DF"/>
    <w:rsid w:val="4F647248"/>
    <w:rsid w:val="4F655359"/>
    <w:rsid w:val="4F867108"/>
    <w:rsid w:val="4FA03E9B"/>
    <w:rsid w:val="4FC04F09"/>
    <w:rsid w:val="4FF15D40"/>
    <w:rsid w:val="50090CD6"/>
    <w:rsid w:val="501A714A"/>
    <w:rsid w:val="5036446E"/>
    <w:rsid w:val="503B3736"/>
    <w:rsid w:val="50546455"/>
    <w:rsid w:val="506A6AF8"/>
    <w:rsid w:val="50BA1C02"/>
    <w:rsid w:val="50CA6668"/>
    <w:rsid w:val="51104CAC"/>
    <w:rsid w:val="51A02974"/>
    <w:rsid w:val="51CD68F5"/>
    <w:rsid w:val="51DC0B1E"/>
    <w:rsid w:val="51E443AB"/>
    <w:rsid w:val="52080FB7"/>
    <w:rsid w:val="52694B85"/>
    <w:rsid w:val="52D13191"/>
    <w:rsid w:val="52D1732A"/>
    <w:rsid w:val="52ED3B45"/>
    <w:rsid w:val="52FE0102"/>
    <w:rsid w:val="530E6094"/>
    <w:rsid w:val="53333DFA"/>
    <w:rsid w:val="53586529"/>
    <w:rsid w:val="538113B5"/>
    <w:rsid w:val="53A52040"/>
    <w:rsid w:val="53B1206C"/>
    <w:rsid w:val="53D44E19"/>
    <w:rsid w:val="53EF2D70"/>
    <w:rsid w:val="53FA5350"/>
    <w:rsid w:val="5426635A"/>
    <w:rsid w:val="543F71DF"/>
    <w:rsid w:val="544D137B"/>
    <w:rsid w:val="544D20AE"/>
    <w:rsid w:val="54775A9C"/>
    <w:rsid w:val="54BF2E05"/>
    <w:rsid w:val="54D4287C"/>
    <w:rsid w:val="54E22F3B"/>
    <w:rsid w:val="55061CE8"/>
    <w:rsid w:val="55142CB1"/>
    <w:rsid w:val="55321F95"/>
    <w:rsid w:val="5539030F"/>
    <w:rsid w:val="5578712E"/>
    <w:rsid w:val="56016181"/>
    <w:rsid w:val="56427E00"/>
    <w:rsid w:val="566A25DB"/>
    <w:rsid w:val="568249C9"/>
    <w:rsid w:val="56B04987"/>
    <w:rsid w:val="56B2344C"/>
    <w:rsid w:val="56B404C7"/>
    <w:rsid w:val="56BE321C"/>
    <w:rsid w:val="56E17895"/>
    <w:rsid w:val="574038F8"/>
    <w:rsid w:val="576860F7"/>
    <w:rsid w:val="57CA2749"/>
    <w:rsid w:val="57E3608C"/>
    <w:rsid w:val="5829281B"/>
    <w:rsid w:val="586D6385"/>
    <w:rsid w:val="5877421D"/>
    <w:rsid w:val="58A80ECF"/>
    <w:rsid w:val="58B17E2C"/>
    <w:rsid w:val="58BC6C74"/>
    <w:rsid w:val="594F4501"/>
    <w:rsid w:val="595122AC"/>
    <w:rsid w:val="595A6FCA"/>
    <w:rsid w:val="59793F9F"/>
    <w:rsid w:val="59863EB1"/>
    <w:rsid w:val="59897DD6"/>
    <w:rsid w:val="59BA02CF"/>
    <w:rsid w:val="5A0E7BAA"/>
    <w:rsid w:val="5A8A5C7B"/>
    <w:rsid w:val="5A9F038D"/>
    <w:rsid w:val="5AC62B42"/>
    <w:rsid w:val="5AE146AC"/>
    <w:rsid w:val="5B301892"/>
    <w:rsid w:val="5B9B4BB6"/>
    <w:rsid w:val="5BD44F88"/>
    <w:rsid w:val="5BEA5EBF"/>
    <w:rsid w:val="5C154D75"/>
    <w:rsid w:val="5C1B35BC"/>
    <w:rsid w:val="5C3801C3"/>
    <w:rsid w:val="5C572E6C"/>
    <w:rsid w:val="5C6A4B28"/>
    <w:rsid w:val="5CCD5212"/>
    <w:rsid w:val="5CE354DA"/>
    <w:rsid w:val="5CE84AF5"/>
    <w:rsid w:val="5D4B3E94"/>
    <w:rsid w:val="5D827E72"/>
    <w:rsid w:val="5D8F56F1"/>
    <w:rsid w:val="5DA44D9E"/>
    <w:rsid w:val="5DA74CD5"/>
    <w:rsid w:val="5DAC4260"/>
    <w:rsid w:val="5DB36649"/>
    <w:rsid w:val="5DC3397B"/>
    <w:rsid w:val="5DC86522"/>
    <w:rsid w:val="5E15700F"/>
    <w:rsid w:val="5E45470D"/>
    <w:rsid w:val="5E755543"/>
    <w:rsid w:val="5E786D59"/>
    <w:rsid w:val="5EA25703"/>
    <w:rsid w:val="5EAC233D"/>
    <w:rsid w:val="5EBA3429"/>
    <w:rsid w:val="5EBE1C53"/>
    <w:rsid w:val="5F3E060C"/>
    <w:rsid w:val="5F441CC0"/>
    <w:rsid w:val="5F653B2E"/>
    <w:rsid w:val="5F9414A1"/>
    <w:rsid w:val="5FC5044F"/>
    <w:rsid w:val="5FEB6961"/>
    <w:rsid w:val="6049220E"/>
    <w:rsid w:val="606C1599"/>
    <w:rsid w:val="608D55A0"/>
    <w:rsid w:val="60A36ECB"/>
    <w:rsid w:val="60B903BF"/>
    <w:rsid w:val="60E664E4"/>
    <w:rsid w:val="60EC05BF"/>
    <w:rsid w:val="615355A4"/>
    <w:rsid w:val="61A25BEC"/>
    <w:rsid w:val="61D80B53"/>
    <w:rsid w:val="621921C3"/>
    <w:rsid w:val="62443375"/>
    <w:rsid w:val="62647DD1"/>
    <w:rsid w:val="62C31218"/>
    <w:rsid w:val="62EA460F"/>
    <w:rsid w:val="62FD41A0"/>
    <w:rsid w:val="634477D1"/>
    <w:rsid w:val="63984453"/>
    <w:rsid w:val="63CD149A"/>
    <w:rsid w:val="63FB45CB"/>
    <w:rsid w:val="64044ADF"/>
    <w:rsid w:val="642A77A1"/>
    <w:rsid w:val="642E4CB4"/>
    <w:rsid w:val="645301EF"/>
    <w:rsid w:val="64741084"/>
    <w:rsid w:val="64A466A2"/>
    <w:rsid w:val="64C70963"/>
    <w:rsid w:val="64E2007C"/>
    <w:rsid w:val="65002C97"/>
    <w:rsid w:val="65B0638D"/>
    <w:rsid w:val="65BD4010"/>
    <w:rsid w:val="666066FA"/>
    <w:rsid w:val="66F277B8"/>
    <w:rsid w:val="66FF241D"/>
    <w:rsid w:val="674328F2"/>
    <w:rsid w:val="67597783"/>
    <w:rsid w:val="675B7279"/>
    <w:rsid w:val="67715FA2"/>
    <w:rsid w:val="677C0B20"/>
    <w:rsid w:val="67802799"/>
    <w:rsid w:val="678D3579"/>
    <w:rsid w:val="6864682B"/>
    <w:rsid w:val="68685ED2"/>
    <w:rsid w:val="68B309A4"/>
    <w:rsid w:val="68BA7A54"/>
    <w:rsid w:val="68D263A9"/>
    <w:rsid w:val="68DF33BF"/>
    <w:rsid w:val="68EB38A3"/>
    <w:rsid w:val="68F45D2B"/>
    <w:rsid w:val="69146C16"/>
    <w:rsid w:val="692C5AD4"/>
    <w:rsid w:val="6A475B08"/>
    <w:rsid w:val="6A4F0416"/>
    <w:rsid w:val="6A865542"/>
    <w:rsid w:val="6AB02B58"/>
    <w:rsid w:val="6AFB1588"/>
    <w:rsid w:val="6B342701"/>
    <w:rsid w:val="6B53437C"/>
    <w:rsid w:val="6B5C1322"/>
    <w:rsid w:val="6B743C60"/>
    <w:rsid w:val="6BF43DB3"/>
    <w:rsid w:val="6C0467FC"/>
    <w:rsid w:val="6C154D97"/>
    <w:rsid w:val="6C186E3E"/>
    <w:rsid w:val="6C922387"/>
    <w:rsid w:val="6CA005A1"/>
    <w:rsid w:val="6CB00A5F"/>
    <w:rsid w:val="6D397BE1"/>
    <w:rsid w:val="6D3B6B96"/>
    <w:rsid w:val="6D5C2472"/>
    <w:rsid w:val="6D9A008D"/>
    <w:rsid w:val="6DAD5BD3"/>
    <w:rsid w:val="6DC224BA"/>
    <w:rsid w:val="6DCF2546"/>
    <w:rsid w:val="6E0653B5"/>
    <w:rsid w:val="6E12169C"/>
    <w:rsid w:val="6E89386B"/>
    <w:rsid w:val="6EB944F2"/>
    <w:rsid w:val="6ECE4562"/>
    <w:rsid w:val="6ECE5DB6"/>
    <w:rsid w:val="6F1E643C"/>
    <w:rsid w:val="6F3D282E"/>
    <w:rsid w:val="6F3F6ADC"/>
    <w:rsid w:val="6FAA46DE"/>
    <w:rsid w:val="6FE468D1"/>
    <w:rsid w:val="70365EA1"/>
    <w:rsid w:val="7083124B"/>
    <w:rsid w:val="70B414AD"/>
    <w:rsid w:val="70B52DEE"/>
    <w:rsid w:val="70F757B1"/>
    <w:rsid w:val="70FE09E8"/>
    <w:rsid w:val="712574F0"/>
    <w:rsid w:val="714656A0"/>
    <w:rsid w:val="7176338C"/>
    <w:rsid w:val="71A93195"/>
    <w:rsid w:val="71B5721A"/>
    <w:rsid w:val="71DB2B1F"/>
    <w:rsid w:val="721A55D3"/>
    <w:rsid w:val="721D2EFB"/>
    <w:rsid w:val="722A7967"/>
    <w:rsid w:val="723B0DCB"/>
    <w:rsid w:val="72A001FD"/>
    <w:rsid w:val="72BE43E5"/>
    <w:rsid w:val="73253DE8"/>
    <w:rsid w:val="736D2463"/>
    <w:rsid w:val="73753F36"/>
    <w:rsid w:val="739764D5"/>
    <w:rsid w:val="739A4E53"/>
    <w:rsid w:val="73AE0DEA"/>
    <w:rsid w:val="73E40EBD"/>
    <w:rsid w:val="743F6971"/>
    <w:rsid w:val="74647A7A"/>
    <w:rsid w:val="746847C4"/>
    <w:rsid w:val="746D2EAF"/>
    <w:rsid w:val="74A25132"/>
    <w:rsid w:val="74B76521"/>
    <w:rsid w:val="74EE481B"/>
    <w:rsid w:val="74F22209"/>
    <w:rsid w:val="75072F97"/>
    <w:rsid w:val="7528547B"/>
    <w:rsid w:val="7589061C"/>
    <w:rsid w:val="75C93C2A"/>
    <w:rsid w:val="75DF3150"/>
    <w:rsid w:val="75EF3C75"/>
    <w:rsid w:val="76971D60"/>
    <w:rsid w:val="76CB5EA5"/>
    <w:rsid w:val="76FE2788"/>
    <w:rsid w:val="77265AE7"/>
    <w:rsid w:val="77934E1D"/>
    <w:rsid w:val="77A86F03"/>
    <w:rsid w:val="77B238DE"/>
    <w:rsid w:val="77C839E1"/>
    <w:rsid w:val="77DA4846"/>
    <w:rsid w:val="77E3618D"/>
    <w:rsid w:val="78122611"/>
    <w:rsid w:val="78196B92"/>
    <w:rsid w:val="785A2D8A"/>
    <w:rsid w:val="78A365D8"/>
    <w:rsid w:val="78A40EFC"/>
    <w:rsid w:val="78B91F55"/>
    <w:rsid w:val="78ED2337"/>
    <w:rsid w:val="79002D6F"/>
    <w:rsid w:val="79467742"/>
    <w:rsid w:val="79744A96"/>
    <w:rsid w:val="79A530E1"/>
    <w:rsid w:val="79D2519D"/>
    <w:rsid w:val="79D26255"/>
    <w:rsid w:val="7A2C3480"/>
    <w:rsid w:val="7A2C56E7"/>
    <w:rsid w:val="7A5613C8"/>
    <w:rsid w:val="7A5F13BF"/>
    <w:rsid w:val="7AB10182"/>
    <w:rsid w:val="7AB3475C"/>
    <w:rsid w:val="7AED662E"/>
    <w:rsid w:val="7B1636C4"/>
    <w:rsid w:val="7B1E4FFD"/>
    <w:rsid w:val="7BC759F4"/>
    <w:rsid w:val="7BCE5D85"/>
    <w:rsid w:val="7C0B0683"/>
    <w:rsid w:val="7C0B1F0D"/>
    <w:rsid w:val="7C3A6597"/>
    <w:rsid w:val="7C5151F5"/>
    <w:rsid w:val="7C526245"/>
    <w:rsid w:val="7C693120"/>
    <w:rsid w:val="7D096915"/>
    <w:rsid w:val="7D17282E"/>
    <w:rsid w:val="7D1B6D8C"/>
    <w:rsid w:val="7D2E6ADE"/>
    <w:rsid w:val="7D3D6F09"/>
    <w:rsid w:val="7D4B1586"/>
    <w:rsid w:val="7D9309C4"/>
    <w:rsid w:val="7D942E76"/>
    <w:rsid w:val="7DBD0D74"/>
    <w:rsid w:val="7DC24854"/>
    <w:rsid w:val="7DCC0891"/>
    <w:rsid w:val="7DCE3550"/>
    <w:rsid w:val="7DDE33EE"/>
    <w:rsid w:val="7E1D6C9B"/>
    <w:rsid w:val="7E530A65"/>
    <w:rsid w:val="7E5E2E91"/>
    <w:rsid w:val="7E7A493C"/>
    <w:rsid w:val="7E9D1812"/>
    <w:rsid w:val="7EC336F1"/>
    <w:rsid w:val="7EEC4C46"/>
    <w:rsid w:val="7F2344FC"/>
    <w:rsid w:val="7F557F1E"/>
    <w:rsid w:val="7F5A6D18"/>
    <w:rsid w:val="7FB73169"/>
    <w:rsid w:val="7FCA369C"/>
    <w:rsid w:val="7FD26F91"/>
    <w:rsid w:val="7FF87B7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strokecolor="#739cc3">
      <v:fill angle="90" type="gradient">
        <o:fill v:ext="view" type="gradientUnscaled"/>
      </v:fill>
      <v:stroke color="#739cc3" weight="1.25pt"/>
    </o:shapedefaults>
    <o:shapelayout v:ext="edit">
      <o:idmap v:ext="edit" data="2"/>
    </o:shapelayout>
  </w:shapeDefaults>
  <w:decimalSymbol w:val="."/>
  <w:listSeparator w:val=","/>
  <w14:docId w14:val="18D62C6F"/>
  <w15:docId w15:val="{AFACB49A-E91A-4999-8F68-A1EF61201A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uiPriority="9" w:qFormat="1"/>
    <w:lsdException w:name="heading 6" w:uiPriority="9" w:qFormat="1"/>
    <w:lsdException w:name="heading 7" w:qFormat="1"/>
    <w:lsdException w:name="heading 8" w:qFormat="1"/>
    <w:lsdException w:name="heading 9" w:qFormat="1"/>
    <w:lsdException w:name="index 1" w:qFormat="1"/>
    <w:lsdException w:name="index 2" w:qFormat="1"/>
    <w:lsdException w:name="index 3" w:qFormat="1"/>
    <w:lsdException w:name="index 4" w:qFormat="1"/>
    <w:lsdException w:name="index 5" w:qFormat="1"/>
    <w:lsdException w:name="index 6" w:qFormat="1"/>
    <w:lsdException w:name="index 7" w:qFormat="1"/>
    <w:lsdException w:name="index 8" w:qFormat="1"/>
    <w:lsdException w:name="index 9"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Normal Indent" w:qFormat="1"/>
    <w:lsdException w:name="footnote text" w:qFormat="1"/>
    <w:lsdException w:name="annotation text" w:qFormat="1"/>
    <w:lsdException w:name="header" w:qFormat="1"/>
    <w:lsdException w:name="footer" w:uiPriority="99" w:qFormat="1"/>
    <w:lsdException w:name="index heading" w:qFormat="1"/>
    <w:lsdException w:name="caption" w:qFormat="1"/>
    <w:lsdException w:name="table of figures" w:qFormat="1"/>
    <w:lsdException w:name="envelope address" w:qFormat="1"/>
    <w:lsdException w:name="envelope return" w:qFormat="1"/>
    <w:lsdException w:name="footnote reference" w:qFormat="1"/>
    <w:lsdException w:name="annotation reference" w:qFormat="1"/>
    <w:lsdException w:name="line number" w:qFormat="1"/>
    <w:lsdException w:name="page number" w:qFormat="1"/>
    <w:lsdException w:name="endnote reference" w:qFormat="1"/>
    <w:lsdException w:name="endnote text" w:qFormat="1"/>
    <w:lsdException w:name="table of authorities" w:qFormat="1"/>
    <w:lsdException w:name="macro" w:qFormat="1"/>
    <w:lsdException w:name="toa heading" w:qFormat="1"/>
    <w:lsdException w:name="List" w:qFormat="1"/>
    <w:lsdException w:name="List Bullet" w:qFormat="1"/>
    <w:lsdException w:name="List Number" w:qFormat="1"/>
    <w:lsdException w:name="List 2" w:qFormat="1"/>
    <w:lsdException w:name="List 3" w:qFormat="1"/>
    <w:lsdException w:name="List 4" w:qFormat="1"/>
    <w:lsdException w:name="List 5" w:qFormat="1"/>
    <w:lsdException w:name="List Bullet 2" w:qFormat="1"/>
    <w:lsdException w:name="List Bullet 3" w:qFormat="1"/>
    <w:lsdException w:name="List Bullet 4" w:qFormat="1"/>
    <w:lsdException w:name="List Bullet 5" w:qFormat="1"/>
    <w:lsdException w:name="List Number 2" w:qFormat="1"/>
    <w:lsdException w:name="List Number 3" w:qFormat="1"/>
    <w:lsdException w:name="List Number 4" w:qFormat="1"/>
    <w:lsdException w:name="List Number 5" w:qFormat="1"/>
    <w:lsdException w:name="Title" w:uiPriority="10" w:qFormat="1"/>
    <w:lsdException w:name="Closing" w:qFormat="1"/>
    <w:lsdException w:name="Signature" w:qFormat="1"/>
    <w:lsdException w:name="Default Paragraph Font" w:semiHidden="1" w:uiPriority="1" w:unhideWhenUsed="1"/>
    <w:lsdException w:name="Body Text" w:qFormat="1"/>
    <w:lsdException w:name="Body Text Indent" w:qFormat="1"/>
    <w:lsdException w:name="List Continue" w:qFormat="1"/>
    <w:lsdException w:name="List Continue 2" w:qFormat="1"/>
    <w:lsdException w:name="List Continue 3" w:qFormat="1"/>
    <w:lsdException w:name="List Continue 4" w:qFormat="1"/>
    <w:lsdException w:name="List Continue 5" w:qFormat="1"/>
    <w:lsdException w:name="Message Header" w:qFormat="1"/>
    <w:lsdException w:name="Subtitle" w:uiPriority="11" w:qFormat="1"/>
    <w:lsdException w:name="Salutation" w:qFormat="1"/>
    <w:lsdException w:name="Date" w:qFormat="1"/>
    <w:lsdException w:name="Body Text First Indent" w:qFormat="1"/>
    <w:lsdException w:name="Body Text First Indent 2" w:uiPriority="99" w:qFormat="1"/>
    <w:lsdException w:name="Note Heading" w:qFormat="1"/>
    <w:lsdException w:name="Body Text 2" w:uiPriority="99" w:qFormat="1"/>
    <w:lsdException w:name="Body Text 3" w:qFormat="1"/>
    <w:lsdException w:name="Body Text Indent 2" w:qFormat="1"/>
    <w:lsdException w:name="Body Text Indent 3" w:qFormat="1"/>
    <w:lsdException w:name="Block Text" w:uiPriority="99" w:qFormat="1"/>
    <w:lsdException w:name="Hyperlink" w:uiPriority="99" w:qFormat="1"/>
    <w:lsdException w:name="FollowedHyperlink" w:uiPriority="99" w:qFormat="1"/>
    <w:lsdException w:name="Strong" w:uiPriority="22" w:qFormat="1"/>
    <w:lsdException w:name="Emphasis" w:qFormat="1"/>
    <w:lsdException w:name="Document Map" w:uiPriority="99" w:qFormat="1"/>
    <w:lsdException w:name="Plain Text" w:qFormat="1"/>
    <w:lsdException w:name="E-mail Signature" w:qFormat="1"/>
    <w:lsdException w:name="HTML Top of Form" w:semiHidden="1" w:uiPriority="99" w:unhideWhenUsed="1"/>
    <w:lsdException w:name="HTML Bottom of Form" w:semiHidden="1" w:uiPriority="99" w:unhideWhenUsed="1"/>
    <w:lsdException w:name="Normal (Web)" w:uiPriority="99" w:qFormat="1"/>
    <w:lsdException w:name="HTML Acronym" w:qFormat="1"/>
    <w:lsdException w:name="HTML Address" w:qFormat="1"/>
    <w:lsdException w:name="HTML Cite" w:qFormat="1"/>
    <w:lsdException w:name="HTML Code" w:qFormat="1"/>
    <w:lsdException w:name="HTML Definition" w:qFormat="1"/>
    <w:lsdException w:name="HTML Keyboard" w:qFormat="1"/>
    <w:lsdException w:name="HTML Preformatted" w:qFormat="1"/>
    <w:lsdException w:name="HTML Sample" w:qFormat="1"/>
    <w:lsdException w:name="HTML Typewriter" w:qFormat="1"/>
    <w:lsdException w:name="HTML Variable" w:qFormat="1"/>
    <w:lsdException w:name="Normal Table" w:semiHidden="1" w:uiPriority="99" w:unhideWhenUsed="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qFormat="1"/>
    <w:lsdException w:name="Table Grid" w:uiPriority="59" w:qFormat="1"/>
    <w:lsdException w:name="Table Theme" w:semiHidden="1" w:uiPriority="99" w:unhideWhenUsed="1"/>
    <w:lsdException w:name="Placeholder Text" w:qFormat="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8">
    <w:name w:val="Normal"/>
    <w:next w:val="a9"/>
    <w:qFormat/>
    <w:rsid w:val="004605C9"/>
    <w:pPr>
      <w:widowControl w:val="0"/>
      <w:jc w:val="both"/>
    </w:pPr>
    <w:rPr>
      <w:rFonts w:ascii="宋体"/>
      <w:sz w:val="24"/>
    </w:rPr>
  </w:style>
  <w:style w:type="paragraph" w:styleId="11">
    <w:name w:val="heading 1"/>
    <w:basedOn w:val="a8"/>
    <w:next w:val="a8"/>
    <w:link w:val="12"/>
    <w:qFormat/>
    <w:pPr>
      <w:keepNext/>
      <w:keepLines/>
      <w:numPr>
        <w:numId w:val="1"/>
      </w:numPr>
      <w:tabs>
        <w:tab w:val="left" w:pos="8160"/>
      </w:tabs>
      <w:adjustRightInd w:val="0"/>
      <w:spacing w:before="120" w:afterLines="50" w:after="156"/>
      <w:jc w:val="left"/>
      <w:textAlignment w:val="baseline"/>
      <w:outlineLvl w:val="0"/>
    </w:pPr>
    <w:rPr>
      <w:rFonts w:ascii="黑体" w:eastAsia="黑体"/>
      <w:b/>
      <w:bCs/>
      <w:kern w:val="44"/>
      <w:sz w:val="32"/>
      <w:szCs w:val="24"/>
    </w:rPr>
  </w:style>
  <w:style w:type="paragraph" w:styleId="2">
    <w:name w:val="heading 2"/>
    <w:basedOn w:val="31"/>
    <w:next w:val="a8"/>
    <w:link w:val="20"/>
    <w:qFormat/>
    <w:pPr>
      <w:spacing w:before="240" w:after="240"/>
      <w:outlineLvl w:val="1"/>
    </w:pPr>
    <w:rPr>
      <w:rFonts w:eastAsia="黑体"/>
    </w:rPr>
  </w:style>
  <w:style w:type="paragraph" w:styleId="31">
    <w:name w:val="heading 3"/>
    <w:basedOn w:val="a8"/>
    <w:next w:val="a8"/>
    <w:link w:val="33"/>
    <w:qFormat/>
    <w:pPr>
      <w:keepNext/>
      <w:keepLines/>
      <w:spacing w:before="260" w:after="260" w:line="416" w:lineRule="auto"/>
      <w:outlineLvl w:val="2"/>
    </w:pPr>
    <w:rPr>
      <w:b/>
      <w:bCs/>
      <w:kern w:val="2"/>
      <w:sz w:val="32"/>
      <w:szCs w:val="32"/>
    </w:rPr>
  </w:style>
  <w:style w:type="paragraph" w:styleId="42">
    <w:name w:val="heading 4"/>
    <w:basedOn w:val="a8"/>
    <w:next w:val="aa"/>
    <w:link w:val="43"/>
    <w:qFormat/>
    <w:pPr>
      <w:tabs>
        <w:tab w:val="left" w:pos="1008"/>
      </w:tabs>
      <w:spacing w:before="280" w:after="290" w:line="376" w:lineRule="auto"/>
      <w:outlineLvl w:val="3"/>
    </w:pPr>
    <w:rPr>
      <w:rFonts w:ascii="Arial" w:eastAsia="黑体" w:hAnsi="Arial"/>
      <w:b/>
      <w:bCs/>
      <w:kern w:val="2"/>
      <w:sz w:val="28"/>
      <w:szCs w:val="28"/>
    </w:rPr>
  </w:style>
  <w:style w:type="paragraph" w:styleId="50">
    <w:name w:val="heading 5"/>
    <w:basedOn w:val="a8"/>
    <w:next w:val="a8"/>
    <w:link w:val="51"/>
    <w:uiPriority w:val="9"/>
    <w:qFormat/>
    <w:pPr>
      <w:keepNext/>
      <w:keepLines/>
      <w:tabs>
        <w:tab w:val="left" w:pos="1008"/>
      </w:tabs>
      <w:adjustRightInd w:val="0"/>
      <w:spacing w:line="360" w:lineRule="auto"/>
      <w:ind w:left="1008" w:hanging="1008"/>
      <w:textAlignment w:val="baseline"/>
      <w:outlineLvl w:val="4"/>
    </w:pPr>
  </w:style>
  <w:style w:type="paragraph" w:styleId="60">
    <w:name w:val="heading 6"/>
    <w:basedOn w:val="a8"/>
    <w:next w:val="a8"/>
    <w:link w:val="61"/>
    <w:uiPriority w:val="9"/>
    <w:qFormat/>
    <w:pPr>
      <w:keepNext/>
      <w:keepLines/>
      <w:spacing w:before="240" w:after="64" w:line="320" w:lineRule="auto"/>
      <w:outlineLvl w:val="5"/>
    </w:pPr>
    <w:rPr>
      <w:rFonts w:ascii="Arial" w:eastAsia="黑体" w:hAnsi="Arial"/>
      <w:b/>
      <w:bCs/>
      <w:kern w:val="2"/>
      <w:szCs w:val="24"/>
    </w:rPr>
  </w:style>
  <w:style w:type="paragraph" w:styleId="7">
    <w:name w:val="heading 7"/>
    <w:basedOn w:val="a8"/>
    <w:next w:val="a8"/>
    <w:link w:val="70"/>
    <w:qFormat/>
    <w:pPr>
      <w:keepNext/>
      <w:keepLines/>
      <w:spacing w:before="240" w:after="64" w:line="320" w:lineRule="auto"/>
      <w:outlineLvl w:val="6"/>
    </w:pPr>
    <w:rPr>
      <w:b/>
      <w:bCs/>
      <w:kern w:val="2"/>
      <w:szCs w:val="24"/>
    </w:rPr>
  </w:style>
  <w:style w:type="paragraph" w:styleId="8">
    <w:name w:val="heading 8"/>
    <w:basedOn w:val="a8"/>
    <w:next w:val="aa"/>
    <w:link w:val="80"/>
    <w:qFormat/>
    <w:pPr>
      <w:keepNext/>
      <w:keepLines/>
      <w:tabs>
        <w:tab w:val="left" w:pos="1440"/>
      </w:tabs>
      <w:adjustRightInd w:val="0"/>
      <w:spacing w:line="360" w:lineRule="auto"/>
      <w:ind w:left="1440" w:hanging="1440"/>
      <w:textAlignment w:val="baseline"/>
      <w:outlineLvl w:val="7"/>
    </w:pPr>
    <w:rPr>
      <w:rFonts w:ascii="Arial" w:hAnsi="Arial"/>
    </w:rPr>
  </w:style>
  <w:style w:type="paragraph" w:styleId="9">
    <w:name w:val="heading 9"/>
    <w:basedOn w:val="a8"/>
    <w:next w:val="aa"/>
    <w:link w:val="90"/>
    <w:qFormat/>
    <w:pPr>
      <w:keepNext/>
      <w:keepLines/>
      <w:tabs>
        <w:tab w:val="left" w:pos="1584"/>
      </w:tabs>
      <w:adjustRightInd w:val="0"/>
      <w:spacing w:line="360" w:lineRule="auto"/>
      <w:ind w:left="1584" w:hanging="1584"/>
      <w:textAlignment w:val="baseline"/>
      <w:outlineLvl w:val="8"/>
    </w:pPr>
    <w:rPr>
      <w:rFonts w:ascii="Arial" w:hAnsi="Arial"/>
    </w:rPr>
  </w:style>
  <w:style w:type="character" w:default="1" w:styleId="ab">
    <w:name w:val="Default Paragraph Font"/>
    <w:uiPriority w:val="1"/>
    <w:semiHidden/>
    <w:unhideWhenUsed/>
  </w:style>
  <w:style w:type="table" w:default="1" w:styleId="ac">
    <w:name w:val="Normal Table"/>
    <w:uiPriority w:val="99"/>
    <w:semiHidden/>
    <w:unhideWhenUsed/>
    <w:tblPr>
      <w:tblInd w:w="0" w:type="dxa"/>
      <w:tblCellMar>
        <w:top w:w="0" w:type="dxa"/>
        <w:left w:w="108" w:type="dxa"/>
        <w:bottom w:w="0" w:type="dxa"/>
        <w:right w:w="108" w:type="dxa"/>
      </w:tblCellMar>
    </w:tblPr>
  </w:style>
  <w:style w:type="numbering" w:default="1" w:styleId="ad">
    <w:name w:val="No List"/>
    <w:uiPriority w:val="99"/>
    <w:semiHidden/>
    <w:unhideWhenUsed/>
  </w:style>
  <w:style w:type="paragraph" w:styleId="a9">
    <w:name w:val="Body Text"/>
    <w:basedOn w:val="a8"/>
    <w:link w:val="ae"/>
    <w:qFormat/>
    <w:pPr>
      <w:spacing w:after="120"/>
    </w:pPr>
    <w:rPr>
      <w:kern w:val="2"/>
      <w:sz w:val="21"/>
      <w:szCs w:val="24"/>
    </w:rPr>
  </w:style>
  <w:style w:type="paragraph" w:styleId="af">
    <w:name w:val="macro"/>
    <w:link w:val="af0"/>
    <w:qFormat/>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adjustRightInd w:val="0"/>
      <w:spacing w:before="60"/>
      <w:ind w:firstLine="482"/>
      <w:textAlignment w:val="baseline"/>
    </w:pPr>
    <w:rPr>
      <w:rFonts w:ascii="Courier New" w:hAnsi="Courier New"/>
      <w:kern w:val="2"/>
      <w:sz w:val="24"/>
    </w:rPr>
  </w:style>
  <w:style w:type="paragraph" w:styleId="aa">
    <w:name w:val="Normal Indent"/>
    <w:basedOn w:val="a8"/>
    <w:link w:val="af1"/>
    <w:qFormat/>
    <w:pPr>
      <w:ind w:firstLine="420"/>
    </w:pPr>
    <w:rPr>
      <w:kern w:val="2"/>
      <w:szCs w:val="21"/>
    </w:rPr>
  </w:style>
  <w:style w:type="paragraph" w:styleId="34">
    <w:name w:val="List 3"/>
    <w:basedOn w:val="a8"/>
    <w:qFormat/>
    <w:pPr>
      <w:widowControl/>
      <w:spacing w:line="520" w:lineRule="exact"/>
      <w:ind w:leftChars="400" w:left="100" w:hangingChars="200" w:hanging="200"/>
    </w:pPr>
    <w:rPr>
      <w:rFonts w:hAnsi="宋体" w:cs="宋体"/>
      <w:bCs/>
      <w:sz w:val="28"/>
      <w:szCs w:val="32"/>
    </w:rPr>
  </w:style>
  <w:style w:type="paragraph" w:styleId="TOC7">
    <w:name w:val="toc 7"/>
    <w:basedOn w:val="a8"/>
    <w:next w:val="a8"/>
    <w:uiPriority w:val="39"/>
    <w:qFormat/>
    <w:pPr>
      <w:ind w:left="1440"/>
      <w:jc w:val="left"/>
    </w:pPr>
    <w:rPr>
      <w:rFonts w:ascii="Calibri" w:hAnsi="Calibri" w:cs="Calibri"/>
      <w:sz w:val="18"/>
      <w:szCs w:val="18"/>
    </w:rPr>
  </w:style>
  <w:style w:type="paragraph" w:styleId="21">
    <w:name w:val="List Number 2"/>
    <w:basedOn w:val="a8"/>
    <w:qFormat/>
    <w:pPr>
      <w:widowControl/>
      <w:tabs>
        <w:tab w:val="left" w:pos="780"/>
      </w:tabs>
      <w:spacing w:line="520" w:lineRule="exact"/>
      <w:ind w:leftChars="200" w:left="780" w:hangingChars="200" w:hanging="360"/>
    </w:pPr>
    <w:rPr>
      <w:rFonts w:hAnsi="宋体" w:cs="宋体"/>
      <w:bCs/>
      <w:sz w:val="28"/>
      <w:szCs w:val="32"/>
    </w:rPr>
  </w:style>
  <w:style w:type="paragraph" w:styleId="af2">
    <w:name w:val="table of authorities"/>
    <w:basedOn w:val="a8"/>
    <w:next w:val="a8"/>
    <w:qFormat/>
    <w:pPr>
      <w:ind w:leftChars="200" w:left="420"/>
    </w:pPr>
    <w:rPr>
      <w:rFonts w:ascii="Times New Roman"/>
      <w:kern w:val="2"/>
      <w:sz w:val="21"/>
    </w:rPr>
  </w:style>
  <w:style w:type="paragraph" w:styleId="af3">
    <w:name w:val="Note Heading"/>
    <w:basedOn w:val="a8"/>
    <w:next w:val="a8"/>
    <w:link w:val="af4"/>
    <w:qFormat/>
    <w:pPr>
      <w:widowControl/>
      <w:spacing w:line="520" w:lineRule="exact"/>
      <w:ind w:firstLineChars="250" w:firstLine="700"/>
      <w:jc w:val="center"/>
    </w:pPr>
    <w:rPr>
      <w:rFonts w:hAnsi="宋体" w:cs="宋体"/>
      <w:bCs/>
      <w:sz w:val="28"/>
      <w:szCs w:val="32"/>
    </w:rPr>
  </w:style>
  <w:style w:type="paragraph" w:styleId="44">
    <w:name w:val="List Bullet 4"/>
    <w:basedOn w:val="a8"/>
    <w:qFormat/>
    <w:pPr>
      <w:widowControl/>
      <w:tabs>
        <w:tab w:val="left" w:pos="1620"/>
      </w:tabs>
      <w:spacing w:line="520" w:lineRule="exact"/>
      <w:ind w:leftChars="600" w:left="1620" w:hangingChars="200" w:hanging="360"/>
    </w:pPr>
    <w:rPr>
      <w:rFonts w:hAnsi="宋体" w:cs="宋体"/>
      <w:bCs/>
      <w:sz w:val="28"/>
      <w:szCs w:val="32"/>
    </w:rPr>
  </w:style>
  <w:style w:type="paragraph" w:styleId="81">
    <w:name w:val="index 8"/>
    <w:basedOn w:val="a8"/>
    <w:next w:val="a8"/>
    <w:qFormat/>
    <w:pPr>
      <w:ind w:leftChars="1400" w:left="1400"/>
    </w:pPr>
    <w:rPr>
      <w:rFonts w:ascii="Times New Roman"/>
      <w:kern w:val="2"/>
      <w:sz w:val="21"/>
    </w:rPr>
  </w:style>
  <w:style w:type="paragraph" w:styleId="af5">
    <w:name w:val="E-mail Signature"/>
    <w:basedOn w:val="a8"/>
    <w:link w:val="af6"/>
    <w:qFormat/>
    <w:pPr>
      <w:widowControl/>
      <w:spacing w:line="520" w:lineRule="exact"/>
      <w:ind w:firstLineChars="250" w:firstLine="700"/>
    </w:pPr>
    <w:rPr>
      <w:rFonts w:hAnsi="宋体" w:cs="宋体"/>
      <w:bCs/>
      <w:sz w:val="28"/>
      <w:szCs w:val="32"/>
    </w:rPr>
  </w:style>
  <w:style w:type="paragraph" w:styleId="af7">
    <w:name w:val="List Number"/>
    <w:basedOn w:val="a8"/>
    <w:qFormat/>
    <w:pPr>
      <w:widowControl/>
      <w:tabs>
        <w:tab w:val="left" w:pos="720"/>
      </w:tabs>
      <w:spacing w:line="520" w:lineRule="exact"/>
      <w:ind w:left="360" w:firstLineChars="250" w:hanging="360"/>
    </w:pPr>
    <w:rPr>
      <w:rFonts w:hAnsi="宋体" w:cs="宋体"/>
      <w:bCs/>
      <w:sz w:val="28"/>
      <w:szCs w:val="32"/>
    </w:rPr>
  </w:style>
  <w:style w:type="paragraph" w:styleId="af8">
    <w:name w:val="caption"/>
    <w:basedOn w:val="a8"/>
    <w:next w:val="a8"/>
    <w:link w:val="af9"/>
    <w:qFormat/>
    <w:rPr>
      <w:rFonts w:ascii="Arial" w:eastAsia="黑体" w:hAnsi="Arial" w:cs="Arial"/>
      <w:sz w:val="20"/>
    </w:rPr>
  </w:style>
  <w:style w:type="paragraph" w:styleId="52">
    <w:name w:val="index 5"/>
    <w:basedOn w:val="a8"/>
    <w:next w:val="a8"/>
    <w:qFormat/>
    <w:pPr>
      <w:ind w:leftChars="800" w:left="800"/>
    </w:pPr>
    <w:rPr>
      <w:rFonts w:ascii="Times New Roman"/>
      <w:kern w:val="2"/>
      <w:sz w:val="21"/>
    </w:rPr>
  </w:style>
  <w:style w:type="paragraph" w:styleId="afa">
    <w:name w:val="List Bullet"/>
    <w:basedOn w:val="a8"/>
    <w:qFormat/>
    <w:pPr>
      <w:tabs>
        <w:tab w:val="left" w:pos="360"/>
      </w:tabs>
      <w:ind w:left="360" w:hangingChars="200" w:hanging="360"/>
    </w:pPr>
  </w:style>
  <w:style w:type="paragraph" w:styleId="afb">
    <w:name w:val="envelope address"/>
    <w:basedOn w:val="a8"/>
    <w:qFormat/>
    <w:pPr>
      <w:widowControl/>
      <w:snapToGrid w:val="0"/>
      <w:spacing w:line="520" w:lineRule="exact"/>
      <w:ind w:leftChars="1400" w:left="100" w:firstLineChars="250" w:firstLine="700"/>
    </w:pPr>
    <w:rPr>
      <w:rFonts w:ascii="Arial" w:hAnsi="Arial" w:cs="Arial"/>
      <w:bCs/>
    </w:rPr>
  </w:style>
  <w:style w:type="paragraph" w:styleId="afc">
    <w:name w:val="Document Map"/>
    <w:basedOn w:val="a8"/>
    <w:link w:val="afd"/>
    <w:uiPriority w:val="99"/>
    <w:qFormat/>
    <w:pPr>
      <w:shd w:val="clear" w:color="auto" w:fill="000080"/>
    </w:pPr>
    <w:rPr>
      <w:kern w:val="2"/>
      <w:sz w:val="21"/>
      <w:szCs w:val="24"/>
    </w:rPr>
  </w:style>
  <w:style w:type="paragraph" w:styleId="afe">
    <w:name w:val="toa heading"/>
    <w:basedOn w:val="a8"/>
    <w:next w:val="a8"/>
    <w:qFormat/>
    <w:pPr>
      <w:spacing w:before="120"/>
    </w:pPr>
    <w:rPr>
      <w:rFonts w:ascii="Arial" w:hAnsi="Arial"/>
    </w:rPr>
  </w:style>
  <w:style w:type="paragraph" w:styleId="aff">
    <w:name w:val="annotation text"/>
    <w:basedOn w:val="a8"/>
    <w:link w:val="aff0"/>
    <w:qFormat/>
    <w:pPr>
      <w:widowControl/>
      <w:jc w:val="left"/>
    </w:pPr>
  </w:style>
  <w:style w:type="paragraph" w:styleId="62">
    <w:name w:val="index 6"/>
    <w:basedOn w:val="a8"/>
    <w:next w:val="a8"/>
    <w:qFormat/>
    <w:pPr>
      <w:ind w:leftChars="1000" w:left="1000"/>
    </w:pPr>
    <w:rPr>
      <w:rFonts w:ascii="Times New Roman"/>
      <w:kern w:val="2"/>
      <w:sz w:val="21"/>
    </w:rPr>
  </w:style>
  <w:style w:type="paragraph" w:styleId="aff1">
    <w:name w:val="Salutation"/>
    <w:basedOn w:val="a8"/>
    <w:next w:val="a8"/>
    <w:link w:val="aff2"/>
    <w:qFormat/>
    <w:rPr>
      <w:kern w:val="2"/>
      <w:sz w:val="28"/>
      <w:szCs w:val="24"/>
    </w:rPr>
  </w:style>
  <w:style w:type="paragraph" w:styleId="35">
    <w:name w:val="Body Text 3"/>
    <w:basedOn w:val="a8"/>
    <w:link w:val="36"/>
    <w:qFormat/>
    <w:pPr>
      <w:spacing w:after="120"/>
    </w:pPr>
    <w:rPr>
      <w:kern w:val="2"/>
      <w:sz w:val="16"/>
      <w:szCs w:val="16"/>
    </w:rPr>
  </w:style>
  <w:style w:type="paragraph" w:styleId="aff3">
    <w:name w:val="Closing"/>
    <w:basedOn w:val="a8"/>
    <w:link w:val="aff4"/>
    <w:qFormat/>
    <w:pPr>
      <w:widowControl/>
      <w:spacing w:line="520" w:lineRule="exact"/>
      <w:ind w:leftChars="2100" w:left="100" w:firstLineChars="250" w:firstLine="700"/>
    </w:pPr>
    <w:rPr>
      <w:rFonts w:hAnsi="宋体" w:cs="宋体"/>
      <w:bCs/>
      <w:sz w:val="28"/>
      <w:szCs w:val="32"/>
    </w:rPr>
  </w:style>
  <w:style w:type="paragraph" w:styleId="37">
    <w:name w:val="List Bullet 3"/>
    <w:basedOn w:val="a8"/>
    <w:qFormat/>
    <w:pPr>
      <w:widowControl/>
      <w:tabs>
        <w:tab w:val="left" w:pos="1200"/>
      </w:tabs>
      <w:spacing w:line="520" w:lineRule="exact"/>
      <w:ind w:leftChars="400" w:left="1200" w:hangingChars="200" w:hanging="360"/>
    </w:pPr>
    <w:rPr>
      <w:rFonts w:hAnsi="宋体" w:cs="宋体"/>
      <w:bCs/>
      <w:sz w:val="28"/>
      <w:szCs w:val="32"/>
    </w:rPr>
  </w:style>
  <w:style w:type="paragraph" w:styleId="aff5">
    <w:name w:val="Body Text Indent"/>
    <w:basedOn w:val="a8"/>
    <w:next w:val="a8"/>
    <w:link w:val="aff6"/>
    <w:qFormat/>
    <w:pPr>
      <w:ind w:left="540"/>
    </w:pPr>
    <w:rPr>
      <w:kern w:val="2"/>
      <w:sz w:val="36"/>
    </w:rPr>
  </w:style>
  <w:style w:type="paragraph" w:styleId="38">
    <w:name w:val="List Number 3"/>
    <w:basedOn w:val="a8"/>
    <w:qFormat/>
    <w:pPr>
      <w:widowControl/>
      <w:tabs>
        <w:tab w:val="left" w:pos="1200"/>
      </w:tabs>
      <w:spacing w:line="520" w:lineRule="exact"/>
      <w:ind w:leftChars="400" w:left="1200" w:hangingChars="200" w:hanging="360"/>
    </w:pPr>
    <w:rPr>
      <w:rFonts w:hAnsi="宋体" w:cs="宋体"/>
      <w:bCs/>
      <w:sz w:val="28"/>
      <w:szCs w:val="32"/>
    </w:rPr>
  </w:style>
  <w:style w:type="paragraph" w:styleId="22">
    <w:name w:val="List 2"/>
    <w:basedOn w:val="a8"/>
    <w:qFormat/>
    <w:pPr>
      <w:widowControl/>
      <w:spacing w:line="520" w:lineRule="exact"/>
      <w:ind w:leftChars="200" w:left="100" w:hangingChars="200" w:hanging="200"/>
    </w:pPr>
    <w:rPr>
      <w:rFonts w:hAnsi="宋体" w:cs="宋体"/>
      <w:bCs/>
      <w:sz w:val="28"/>
      <w:szCs w:val="32"/>
    </w:rPr>
  </w:style>
  <w:style w:type="paragraph" w:styleId="aff7">
    <w:name w:val="List Continue"/>
    <w:basedOn w:val="a8"/>
    <w:qFormat/>
    <w:pPr>
      <w:widowControl/>
      <w:spacing w:after="120" w:line="520" w:lineRule="exact"/>
      <w:ind w:leftChars="200" w:left="420" w:firstLineChars="250" w:firstLine="700"/>
    </w:pPr>
    <w:rPr>
      <w:rFonts w:hAnsi="宋体" w:cs="宋体"/>
      <w:bCs/>
      <w:sz w:val="28"/>
      <w:szCs w:val="32"/>
    </w:rPr>
  </w:style>
  <w:style w:type="paragraph" w:styleId="aff8">
    <w:name w:val="Block Text"/>
    <w:basedOn w:val="a8"/>
    <w:uiPriority w:val="99"/>
    <w:qFormat/>
    <w:pPr>
      <w:tabs>
        <w:tab w:val="left" w:pos="3285"/>
      </w:tabs>
      <w:ind w:left="113" w:right="113"/>
      <w:jc w:val="center"/>
    </w:pPr>
    <w:rPr>
      <w:sz w:val="18"/>
    </w:rPr>
  </w:style>
  <w:style w:type="paragraph" w:styleId="23">
    <w:name w:val="List Bullet 2"/>
    <w:basedOn w:val="a8"/>
    <w:qFormat/>
    <w:pPr>
      <w:widowControl/>
      <w:tabs>
        <w:tab w:val="left" w:pos="780"/>
      </w:tabs>
      <w:spacing w:line="520" w:lineRule="exact"/>
      <w:ind w:leftChars="200" w:left="780" w:hangingChars="200" w:hanging="360"/>
    </w:pPr>
    <w:rPr>
      <w:rFonts w:hAnsi="宋体" w:cs="宋体"/>
      <w:bCs/>
      <w:sz w:val="28"/>
      <w:szCs w:val="32"/>
    </w:rPr>
  </w:style>
  <w:style w:type="paragraph" w:styleId="HTML">
    <w:name w:val="HTML Address"/>
    <w:basedOn w:val="a8"/>
    <w:link w:val="HTML0"/>
    <w:qFormat/>
    <w:pPr>
      <w:widowControl/>
      <w:spacing w:line="520" w:lineRule="exact"/>
      <w:ind w:firstLineChars="250" w:firstLine="700"/>
    </w:pPr>
    <w:rPr>
      <w:rFonts w:hAnsi="宋体" w:cs="宋体"/>
      <w:bCs/>
      <w:i/>
      <w:iCs/>
      <w:sz w:val="28"/>
      <w:szCs w:val="32"/>
    </w:rPr>
  </w:style>
  <w:style w:type="paragraph" w:styleId="45">
    <w:name w:val="index 4"/>
    <w:basedOn w:val="a8"/>
    <w:next w:val="a8"/>
    <w:qFormat/>
    <w:pPr>
      <w:ind w:leftChars="600" w:left="600"/>
    </w:pPr>
    <w:rPr>
      <w:rFonts w:ascii="Times New Roman"/>
      <w:kern w:val="2"/>
      <w:sz w:val="21"/>
    </w:rPr>
  </w:style>
  <w:style w:type="paragraph" w:styleId="TOC5">
    <w:name w:val="toc 5"/>
    <w:basedOn w:val="a8"/>
    <w:next w:val="a8"/>
    <w:uiPriority w:val="39"/>
    <w:qFormat/>
    <w:pPr>
      <w:ind w:left="960"/>
      <w:jc w:val="left"/>
    </w:pPr>
    <w:rPr>
      <w:rFonts w:ascii="Calibri" w:hAnsi="Calibri" w:cs="Calibri"/>
      <w:sz w:val="18"/>
      <w:szCs w:val="18"/>
    </w:rPr>
  </w:style>
  <w:style w:type="paragraph" w:styleId="TOC3">
    <w:name w:val="toc 3"/>
    <w:basedOn w:val="a8"/>
    <w:next w:val="a8"/>
    <w:uiPriority w:val="39"/>
    <w:qFormat/>
    <w:pPr>
      <w:ind w:left="480"/>
      <w:jc w:val="left"/>
    </w:pPr>
    <w:rPr>
      <w:rFonts w:ascii="Calibri" w:hAnsi="Calibri" w:cs="Calibri"/>
      <w:i/>
      <w:iCs/>
      <w:sz w:val="20"/>
    </w:rPr>
  </w:style>
  <w:style w:type="paragraph" w:styleId="aff9">
    <w:name w:val="Plain Text"/>
    <w:basedOn w:val="a8"/>
    <w:link w:val="affa"/>
    <w:qFormat/>
    <w:pPr>
      <w:widowControl/>
      <w:spacing w:before="100" w:beforeAutospacing="1" w:after="100" w:afterAutospacing="1"/>
      <w:jc w:val="left"/>
    </w:pPr>
    <w:rPr>
      <w:rFonts w:ascii="Arial Unicode MS" w:eastAsia="Arial Unicode MS" w:hAnsi="Arial Unicode MS" w:cs="Arial Unicode MS"/>
      <w:szCs w:val="24"/>
    </w:rPr>
  </w:style>
  <w:style w:type="paragraph" w:styleId="53">
    <w:name w:val="List Bullet 5"/>
    <w:basedOn w:val="a8"/>
    <w:qFormat/>
    <w:pPr>
      <w:widowControl/>
      <w:tabs>
        <w:tab w:val="left" w:pos="2040"/>
      </w:tabs>
      <w:spacing w:line="520" w:lineRule="exact"/>
      <w:ind w:leftChars="800" w:left="2040" w:hangingChars="200" w:hanging="360"/>
    </w:pPr>
    <w:rPr>
      <w:rFonts w:hAnsi="宋体" w:cs="宋体"/>
      <w:bCs/>
      <w:sz w:val="28"/>
      <w:szCs w:val="32"/>
    </w:rPr>
  </w:style>
  <w:style w:type="paragraph" w:styleId="46">
    <w:name w:val="List Number 4"/>
    <w:basedOn w:val="a8"/>
    <w:qFormat/>
    <w:pPr>
      <w:widowControl/>
      <w:tabs>
        <w:tab w:val="left" w:pos="1620"/>
      </w:tabs>
      <w:spacing w:line="520" w:lineRule="exact"/>
      <w:ind w:leftChars="600" w:left="1620" w:hangingChars="200" w:hanging="360"/>
    </w:pPr>
    <w:rPr>
      <w:rFonts w:hAnsi="宋体" w:cs="宋体"/>
      <w:bCs/>
      <w:sz w:val="28"/>
      <w:szCs w:val="32"/>
    </w:rPr>
  </w:style>
  <w:style w:type="paragraph" w:styleId="TOC8">
    <w:name w:val="toc 8"/>
    <w:basedOn w:val="a8"/>
    <w:next w:val="a8"/>
    <w:uiPriority w:val="39"/>
    <w:qFormat/>
    <w:pPr>
      <w:ind w:left="1680"/>
      <w:jc w:val="left"/>
    </w:pPr>
    <w:rPr>
      <w:rFonts w:ascii="Calibri" w:hAnsi="Calibri" w:cs="Calibri"/>
      <w:sz w:val="18"/>
      <w:szCs w:val="18"/>
    </w:rPr>
  </w:style>
  <w:style w:type="paragraph" w:styleId="39">
    <w:name w:val="index 3"/>
    <w:basedOn w:val="a8"/>
    <w:next w:val="a8"/>
    <w:qFormat/>
    <w:pPr>
      <w:ind w:leftChars="400" w:left="400"/>
    </w:pPr>
    <w:rPr>
      <w:rFonts w:ascii="Times New Roman"/>
      <w:kern w:val="2"/>
      <w:sz w:val="21"/>
    </w:rPr>
  </w:style>
  <w:style w:type="paragraph" w:styleId="affb">
    <w:name w:val="Date"/>
    <w:basedOn w:val="a8"/>
    <w:next w:val="a8"/>
    <w:link w:val="affc"/>
    <w:qFormat/>
    <w:pPr>
      <w:ind w:leftChars="2500" w:left="100"/>
    </w:pPr>
    <w:rPr>
      <w:rFonts w:eastAsia="黑体"/>
      <w:kern w:val="2"/>
      <w:szCs w:val="24"/>
    </w:rPr>
  </w:style>
  <w:style w:type="paragraph" w:styleId="24">
    <w:name w:val="Body Text Indent 2"/>
    <w:basedOn w:val="a8"/>
    <w:next w:val="affd"/>
    <w:link w:val="25"/>
    <w:qFormat/>
    <w:pPr>
      <w:spacing w:after="120" w:line="480" w:lineRule="auto"/>
      <w:ind w:leftChars="200" w:left="420"/>
    </w:pPr>
    <w:rPr>
      <w:kern w:val="2"/>
      <w:sz w:val="21"/>
      <w:szCs w:val="24"/>
    </w:rPr>
  </w:style>
  <w:style w:type="paragraph" w:customStyle="1" w:styleId="affd">
    <w:name w:val="简单回函地址"/>
    <w:basedOn w:val="a8"/>
    <w:next w:val="26"/>
    <w:qFormat/>
    <w:rPr>
      <w:rFonts w:ascii="Times New Roman"/>
      <w:kern w:val="2"/>
      <w:sz w:val="28"/>
    </w:rPr>
  </w:style>
  <w:style w:type="paragraph" w:customStyle="1" w:styleId="26">
    <w:name w:val="正文2"/>
    <w:basedOn w:val="a8"/>
    <w:next w:val="aa"/>
    <w:qFormat/>
    <w:pPr>
      <w:adjustRightInd w:val="0"/>
      <w:snapToGrid w:val="0"/>
      <w:spacing w:line="360" w:lineRule="atLeast"/>
      <w:textAlignment w:val="baseline"/>
    </w:pPr>
    <w:rPr>
      <w:rFonts w:eastAsia="黑体" w:hAnsi="宋体" w:hint="eastAsia"/>
      <w:spacing w:val="5"/>
      <w:sz w:val="32"/>
    </w:rPr>
  </w:style>
  <w:style w:type="paragraph" w:styleId="affe">
    <w:name w:val="endnote text"/>
    <w:basedOn w:val="a8"/>
    <w:link w:val="afff"/>
    <w:qFormat/>
    <w:pPr>
      <w:snapToGrid w:val="0"/>
      <w:jc w:val="left"/>
    </w:pPr>
    <w:rPr>
      <w:rFonts w:ascii="Times New Roman"/>
      <w:kern w:val="2"/>
      <w:sz w:val="21"/>
    </w:rPr>
  </w:style>
  <w:style w:type="paragraph" w:styleId="54">
    <w:name w:val="List Continue 5"/>
    <w:basedOn w:val="a8"/>
    <w:qFormat/>
    <w:pPr>
      <w:widowControl/>
      <w:spacing w:after="120" w:line="520" w:lineRule="exact"/>
      <w:ind w:leftChars="1000" w:left="2100" w:firstLineChars="250" w:firstLine="700"/>
    </w:pPr>
    <w:rPr>
      <w:rFonts w:hAnsi="宋体" w:cs="宋体"/>
      <w:bCs/>
      <w:sz w:val="28"/>
      <w:szCs w:val="32"/>
    </w:rPr>
  </w:style>
  <w:style w:type="paragraph" w:styleId="afff0">
    <w:name w:val="Balloon Text"/>
    <w:basedOn w:val="a8"/>
    <w:link w:val="afff1"/>
    <w:qFormat/>
    <w:rPr>
      <w:kern w:val="2"/>
      <w:sz w:val="18"/>
      <w:szCs w:val="18"/>
    </w:rPr>
  </w:style>
  <w:style w:type="paragraph" w:styleId="afff2">
    <w:name w:val="footer"/>
    <w:basedOn w:val="a8"/>
    <w:link w:val="afff3"/>
    <w:uiPriority w:val="99"/>
    <w:qFormat/>
    <w:pPr>
      <w:tabs>
        <w:tab w:val="center" w:pos="4153"/>
        <w:tab w:val="right" w:pos="8306"/>
      </w:tabs>
      <w:snapToGrid w:val="0"/>
      <w:jc w:val="left"/>
    </w:pPr>
    <w:rPr>
      <w:kern w:val="2"/>
      <w:sz w:val="18"/>
      <w:szCs w:val="18"/>
    </w:rPr>
  </w:style>
  <w:style w:type="paragraph" w:styleId="afff4">
    <w:name w:val="envelope return"/>
    <w:basedOn w:val="a8"/>
    <w:qFormat/>
    <w:pPr>
      <w:widowControl/>
      <w:snapToGrid w:val="0"/>
      <w:spacing w:line="520" w:lineRule="exact"/>
      <w:ind w:firstLineChars="250" w:firstLine="700"/>
    </w:pPr>
    <w:rPr>
      <w:rFonts w:ascii="Arial" w:hAnsi="Arial" w:cs="Arial"/>
      <w:bCs/>
      <w:sz w:val="28"/>
      <w:szCs w:val="32"/>
    </w:rPr>
  </w:style>
  <w:style w:type="paragraph" w:styleId="afff5">
    <w:name w:val="header"/>
    <w:basedOn w:val="a8"/>
    <w:link w:val="afff6"/>
    <w:qFormat/>
    <w:pPr>
      <w:pBdr>
        <w:bottom w:val="single" w:sz="6" w:space="1" w:color="auto"/>
      </w:pBdr>
      <w:tabs>
        <w:tab w:val="center" w:pos="4153"/>
        <w:tab w:val="right" w:pos="8306"/>
      </w:tabs>
      <w:snapToGrid w:val="0"/>
      <w:jc w:val="center"/>
    </w:pPr>
    <w:rPr>
      <w:kern w:val="2"/>
      <w:sz w:val="18"/>
      <w:szCs w:val="18"/>
    </w:rPr>
  </w:style>
  <w:style w:type="paragraph" w:styleId="afff7">
    <w:name w:val="Signature"/>
    <w:basedOn w:val="a8"/>
    <w:link w:val="afff8"/>
    <w:qFormat/>
    <w:pPr>
      <w:widowControl/>
      <w:spacing w:line="520" w:lineRule="exact"/>
      <w:ind w:leftChars="2100" w:left="100" w:firstLineChars="250" w:firstLine="700"/>
    </w:pPr>
    <w:rPr>
      <w:rFonts w:hAnsi="宋体" w:cs="宋体"/>
      <w:bCs/>
      <w:sz w:val="28"/>
      <w:szCs w:val="32"/>
    </w:rPr>
  </w:style>
  <w:style w:type="paragraph" w:styleId="TOC1">
    <w:name w:val="toc 1"/>
    <w:basedOn w:val="a8"/>
    <w:next w:val="a8"/>
    <w:link w:val="TOC10"/>
    <w:uiPriority w:val="39"/>
    <w:qFormat/>
    <w:pPr>
      <w:spacing w:before="120" w:after="120"/>
      <w:jc w:val="left"/>
    </w:pPr>
    <w:rPr>
      <w:rFonts w:ascii="Calibri" w:hAnsi="Calibri" w:cs="Calibri"/>
      <w:b/>
      <w:bCs/>
      <w:caps/>
      <w:sz w:val="20"/>
    </w:rPr>
  </w:style>
  <w:style w:type="paragraph" w:styleId="47">
    <w:name w:val="List Continue 4"/>
    <w:basedOn w:val="a8"/>
    <w:qFormat/>
    <w:pPr>
      <w:widowControl/>
      <w:spacing w:after="120" w:line="520" w:lineRule="exact"/>
      <w:ind w:leftChars="800" w:left="1680" w:firstLineChars="250" w:firstLine="700"/>
    </w:pPr>
    <w:rPr>
      <w:rFonts w:hAnsi="宋体" w:cs="宋体"/>
      <w:bCs/>
      <w:sz w:val="28"/>
      <w:szCs w:val="32"/>
    </w:rPr>
  </w:style>
  <w:style w:type="paragraph" w:styleId="TOC4">
    <w:name w:val="toc 4"/>
    <w:basedOn w:val="a8"/>
    <w:next w:val="a8"/>
    <w:uiPriority w:val="39"/>
    <w:qFormat/>
    <w:pPr>
      <w:ind w:left="720"/>
      <w:jc w:val="left"/>
    </w:pPr>
    <w:rPr>
      <w:rFonts w:ascii="Calibri" w:hAnsi="Calibri" w:cs="Calibri"/>
      <w:sz w:val="18"/>
      <w:szCs w:val="18"/>
    </w:rPr>
  </w:style>
  <w:style w:type="paragraph" w:styleId="afff9">
    <w:name w:val="index heading"/>
    <w:basedOn w:val="a8"/>
    <w:next w:val="13"/>
    <w:qFormat/>
    <w:rPr>
      <w:rFonts w:ascii="Arial" w:hAnsi="Arial" w:cs="Arial"/>
      <w:b/>
      <w:bCs/>
      <w:kern w:val="2"/>
      <w:sz w:val="21"/>
    </w:rPr>
  </w:style>
  <w:style w:type="paragraph" w:styleId="13">
    <w:name w:val="index 1"/>
    <w:basedOn w:val="a8"/>
    <w:next w:val="a8"/>
    <w:qFormat/>
    <w:pPr>
      <w:spacing w:line="480" w:lineRule="exact"/>
      <w:ind w:leftChars="-98" w:left="-206" w:firstLineChars="93" w:firstLine="205"/>
      <w:jc w:val="center"/>
    </w:pPr>
    <w:rPr>
      <w:color w:val="000000"/>
      <w:spacing w:val="20"/>
      <w:sz w:val="18"/>
    </w:rPr>
  </w:style>
  <w:style w:type="paragraph" w:styleId="afffa">
    <w:name w:val="Subtitle"/>
    <w:basedOn w:val="a8"/>
    <w:link w:val="afffb"/>
    <w:uiPriority w:val="11"/>
    <w:qFormat/>
    <w:pPr>
      <w:adjustRightInd w:val="0"/>
      <w:snapToGrid w:val="0"/>
      <w:spacing w:before="120" w:after="120" w:line="240" w:lineRule="atLeast"/>
      <w:jc w:val="center"/>
      <w:outlineLvl w:val="1"/>
    </w:pPr>
    <w:rPr>
      <w:rFonts w:eastAsia="黑体" w:cs="Arial"/>
      <w:bCs/>
      <w:kern w:val="28"/>
      <w:szCs w:val="32"/>
    </w:rPr>
  </w:style>
  <w:style w:type="paragraph" w:styleId="55">
    <w:name w:val="List Number 5"/>
    <w:basedOn w:val="a8"/>
    <w:qFormat/>
    <w:pPr>
      <w:widowControl/>
      <w:tabs>
        <w:tab w:val="left" w:pos="2040"/>
      </w:tabs>
      <w:spacing w:line="520" w:lineRule="exact"/>
      <w:ind w:leftChars="800" w:left="2040" w:hangingChars="200" w:hanging="360"/>
    </w:pPr>
    <w:rPr>
      <w:rFonts w:hAnsi="宋体" w:cs="宋体"/>
      <w:bCs/>
      <w:sz w:val="28"/>
      <w:szCs w:val="32"/>
    </w:rPr>
  </w:style>
  <w:style w:type="paragraph" w:styleId="afffc">
    <w:name w:val="List"/>
    <w:basedOn w:val="a8"/>
    <w:qFormat/>
    <w:pPr>
      <w:widowControl/>
      <w:spacing w:line="520" w:lineRule="exact"/>
      <w:ind w:left="200" w:hangingChars="200" w:hanging="200"/>
    </w:pPr>
    <w:rPr>
      <w:rFonts w:hAnsi="宋体" w:cs="宋体"/>
      <w:bCs/>
      <w:sz w:val="28"/>
      <w:szCs w:val="32"/>
    </w:rPr>
  </w:style>
  <w:style w:type="paragraph" w:styleId="afffd">
    <w:name w:val="footnote text"/>
    <w:basedOn w:val="a8"/>
    <w:link w:val="afffe"/>
    <w:qFormat/>
    <w:pPr>
      <w:snapToGrid w:val="0"/>
      <w:jc w:val="left"/>
    </w:pPr>
    <w:rPr>
      <w:kern w:val="2"/>
      <w:sz w:val="18"/>
      <w:szCs w:val="18"/>
    </w:rPr>
  </w:style>
  <w:style w:type="paragraph" w:styleId="TOC6">
    <w:name w:val="toc 6"/>
    <w:basedOn w:val="a8"/>
    <w:next w:val="a8"/>
    <w:uiPriority w:val="39"/>
    <w:qFormat/>
    <w:pPr>
      <w:ind w:left="1200"/>
      <w:jc w:val="left"/>
    </w:pPr>
    <w:rPr>
      <w:rFonts w:ascii="Calibri" w:hAnsi="Calibri" w:cs="Calibri"/>
      <w:sz w:val="18"/>
      <w:szCs w:val="18"/>
    </w:rPr>
  </w:style>
  <w:style w:type="paragraph" w:styleId="56">
    <w:name w:val="List 5"/>
    <w:basedOn w:val="a8"/>
    <w:qFormat/>
    <w:pPr>
      <w:widowControl/>
      <w:spacing w:line="520" w:lineRule="exact"/>
      <w:ind w:leftChars="800" w:left="100" w:hangingChars="200" w:hanging="200"/>
    </w:pPr>
    <w:rPr>
      <w:rFonts w:hAnsi="宋体" w:cs="宋体"/>
      <w:bCs/>
      <w:sz w:val="28"/>
      <w:szCs w:val="32"/>
    </w:rPr>
  </w:style>
  <w:style w:type="paragraph" w:styleId="3a">
    <w:name w:val="Body Text Indent 3"/>
    <w:basedOn w:val="a8"/>
    <w:link w:val="3b"/>
    <w:qFormat/>
    <w:pPr>
      <w:spacing w:line="400" w:lineRule="exact"/>
      <w:ind w:firstLineChars="200" w:firstLine="480"/>
    </w:pPr>
    <w:rPr>
      <w:kern w:val="2"/>
      <w:szCs w:val="24"/>
    </w:rPr>
  </w:style>
  <w:style w:type="paragraph" w:styleId="71">
    <w:name w:val="index 7"/>
    <w:basedOn w:val="a8"/>
    <w:next w:val="a8"/>
    <w:qFormat/>
    <w:pPr>
      <w:ind w:leftChars="1200" w:left="1200"/>
    </w:pPr>
    <w:rPr>
      <w:rFonts w:ascii="Times New Roman"/>
      <w:kern w:val="2"/>
      <w:sz w:val="21"/>
    </w:rPr>
  </w:style>
  <w:style w:type="paragraph" w:styleId="91">
    <w:name w:val="index 9"/>
    <w:basedOn w:val="a8"/>
    <w:next w:val="a8"/>
    <w:qFormat/>
    <w:pPr>
      <w:ind w:leftChars="1600" w:left="1600"/>
    </w:pPr>
    <w:rPr>
      <w:rFonts w:ascii="Times New Roman"/>
      <w:kern w:val="2"/>
      <w:sz w:val="21"/>
    </w:rPr>
  </w:style>
  <w:style w:type="paragraph" w:styleId="affff">
    <w:name w:val="table of figures"/>
    <w:basedOn w:val="a8"/>
    <w:next w:val="a8"/>
    <w:qFormat/>
    <w:pPr>
      <w:ind w:leftChars="200" w:left="200" w:hangingChars="200" w:hanging="200"/>
    </w:pPr>
  </w:style>
  <w:style w:type="paragraph" w:styleId="TOC2">
    <w:name w:val="toc 2"/>
    <w:basedOn w:val="a8"/>
    <w:next w:val="a8"/>
    <w:uiPriority w:val="39"/>
    <w:qFormat/>
    <w:pPr>
      <w:ind w:left="240"/>
      <w:jc w:val="left"/>
    </w:pPr>
    <w:rPr>
      <w:rFonts w:ascii="Calibri" w:hAnsi="Calibri" w:cs="Calibri"/>
      <w:smallCaps/>
      <w:sz w:val="20"/>
    </w:rPr>
  </w:style>
  <w:style w:type="paragraph" w:styleId="TOC9">
    <w:name w:val="toc 9"/>
    <w:basedOn w:val="a8"/>
    <w:next w:val="a8"/>
    <w:uiPriority w:val="39"/>
    <w:qFormat/>
    <w:pPr>
      <w:ind w:left="1920"/>
      <w:jc w:val="left"/>
    </w:pPr>
    <w:rPr>
      <w:rFonts w:ascii="Calibri" w:hAnsi="Calibri" w:cs="Calibri"/>
      <w:sz w:val="18"/>
      <w:szCs w:val="18"/>
    </w:rPr>
  </w:style>
  <w:style w:type="paragraph" w:styleId="28">
    <w:name w:val="Body Text 2"/>
    <w:basedOn w:val="a8"/>
    <w:link w:val="29"/>
    <w:uiPriority w:val="99"/>
    <w:qFormat/>
    <w:pPr>
      <w:spacing w:line="480" w:lineRule="exact"/>
    </w:pPr>
    <w:rPr>
      <w:spacing w:val="16"/>
      <w:kern w:val="2"/>
      <w:szCs w:val="24"/>
    </w:rPr>
  </w:style>
  <w:style w:type="paragraph" w:styleId="48">
    <w:name w:val="List 4"/>
    <w:basedOn w:val="a8"/>
    <w:qFormat/>
    <w:pPr>
      <w:widowControl/>
      <w:spacing w:line="520" w:lineRule="exact"/>
      <w:ind w:leftChars="600" w:left="100" w:hangingChars="200" w:hanging="200"/>
    </w:pPr>
    <w:rPr>
      <w:rFonts w:hAnsi="宋体" w:cs="宋体"/>
      <w:bCs/>
      <w:sz w:val="28"/>
      <w:szCs w:val="32"/>
    </w:rPr>
  </w:style>
  <w:style w:type="paragraph" w:styleId="2a">
    <w:name w:val="List Continue 2"/>
    <w:basedOn w:val="a8"/>
    <w:qFormat/>
    <w:pPr>
      <w:widowControl/>
      <w:spacing w:after="120" w:line="520" w:lineRule="exact"/>
      <w:ind w:leftChars="400" w:left="840" w:firstLineChars="250" w:firstLine="700"/>
    </w:pPr>
    <w:rPr>
      <w:rFonts w:hAnsi="宋体" w:cs="宋体"/>
      <w:bCs/>
      <w:sz w:val="28"/>
      <w:szCs w:val="32"/>
    </w:rPr>
  </w:style>
  <w:style w:type="paragraph" w:styleId="affff0">
    <w:name w:val="Message Header"/>
    <w:basedOn w:val="a8"/>
    <w:link w:val="affff1"/>
    <w:qFormat/>
    <w:pPr>
      <w:widowControl/>
      <w:pBdr>
        <w:top w:val="single" w:sz="6" w:space="1" w:color="auto"/>
        <w:left w:val="single" w:sz="6" w:space="1" w:color="auto"/>
        <w:bottom w:val="single" w:sz="6" w:space="1" w:color="auto"/>
        <w:right w:val="single" w:sz="6" w:space="1" w:color="auto"/>
      </w:pBdr>
      <w:shd w:val="pct20" w:color="auto" w:fill="auto"/>
      <w:spacing w:line="520" w:lineRule="exact"/>
      <w:ind w:leftChars="500" w:left="1080" w:hangingChars="500" w:hanging="1080"/>
    </w:pPr>
    <w:rPr>
      <w:rFonts w:ascii="Arial" w:hAnsi="Arial" w:cs="Arial"/>
      <w:bCs/>
      <w:szCs w:val="24"/>
    </w:rPr>
  </w:style>
  <w:style w:type="paragraph" w:styleId="HTML1">
    <w:name w:val="HTML Preformatted"/>
    <w:basedOn w:val="a8"/>
    <w:link w:val="HTML2"/>
    <w:qFormat/>
    <w:pPr>
      <w:widowControl/>
      <w:spacing w:line="520" w:lineRule="exact"/>
      <w:ind w:firstLineChars="250" w:firstLine="700"/>
    </w:pPr>
    <w:rPr>
      <w:rFonts w:ascii="Courier New" w:hAnsi="Courier New" w:cs="Courier New"/>
      <w:bCs/>
    </w:rPr>
  </w:style>
  <w:style w:type="paragraph" w:styleId="affff2">
    <w:name w:val="Normal (Web)"/>
    <w:basedOn w:val="a8"/>
    <w:uiPriority w:val="99"/>
    <w:qFormat/>
    <w:pPr>
      <w:widowControl/>
      <w:spacing w:before="100" w:beforeAutospacing="1" w:after="100" w:afterAutospacing="1"/>
      <w:jc w:val="left"/>
    </w:pPr>
    <w:rPr>
      <w:rFonts w:ascii="Arial Unicode MS" w:eastAsia="Arial Unicode MS" w:hAnsi="Arial Unicode MS" w:cs="Arial Unicode MS"/>
      <w:color w:val="006633"/>
      <w:sz w:val="18"/>
      <w:szCs w:val="18"/>
    </w:rPr>
  </w:style>
  <w:style w:type="paragraph" w:styleId="3c">
    <w:name w:val="List Continue 3"/>
    <w:basedOn w:val="a8"/>
    <w:qFormat/>
    <w:pPr>
      <w:widowControl/>
      <w:spacing w:after="120" w:line="520" w:lineRule="exact"/>
      <w:ind w:leftChars="600" w:left="1260" w:firstLineChars="250" w:firstLine="700"/>
    </w:pPr>
    <w:rPr>
      <w:rFonts w:hAnsi="宋体" w:cs="宋体"/>
      <w:bCs/>
      <w:sz w:val="28"/>
      <w:szCs w:val="32"/>
    </w:rPr>
  </w:style>
  <w:style w:type="paragraph" w:styleId="2b">
    <w:name w:val="index 2"/>
    <w:basedOn w:val="a8"/>
    <w:next w:val="a8"/>
    <w:qFormat/>
    <w:pPr>
      <w:ind w:leftChars="200" w:left="200"/>
    </w:pPr>
    <w:rPr>
      <w:rFonts w:ascii="Times New Roman"/>
      <w:kern w:val="2"/>
      <w:sz w:val="21"/>
    </w:rPr>
  </w:style>
  <w:style w:type="paragraph" w:styleId="affff3">
    <w:name w:val="Title"/>
    <w:basedOn w:val="a9"/>
    <w:next w:val="a8"/>
    <w:link w:val="affff4"/>
    <w:uiPriority w:val="10"/>
    <w:qFormat/>
    <w:pPr>
      <w:spacing w:before="240" w:after="60"/>
      <w:jc w:val="center"/>
      <w:outlineLvl w:val="0"/>
    </w:pPr>
    <w:rPr>
      <w:rFonts w:ascii="Arial" w:hAnsi="Arial" w:cs="Arial"/>
      <w:b/>
      <w:bCs/>
      <w:sz w:val="32"/>
      <w:szCs w:val="32"/>
    </w:rPr>
  </w:style>
  <w:style w:type="paragraph" w:styleId="affff5">
    <w:name w:val="annotation subject"/>
    <w:basedOn w:val="aff"/>
    <w:next w:val="aff"/>
    <w:link w:val="affff6"/>
    <w:qFormat/>
    <w:rPr>
      <w:b/>
      <w:bCs/>
    </w:rPr>
  </w:style>
  <w:style w:type="paragraph" w:styleId="affff7">
    <w:name w:val="Body Text First Indent"/>
    <w:basedOn w:val="a8"/>
    <w:link w:val="affff8"/>
    <w:qFormat/>
    <w:pPr>
      <w:spacing w:line="440" w:lineRule="exact"/>
      <w:ind w:firstLineChars="200" w:firstLine="504"/>
    </w:pPr>
    <w:rPr>
      <w:spacing w:val="6"/>
    </w:rPr>
  </w:style>
  <w:style w:type="paragraph" w:styleId="2c">
    <w:name w:val="Body Text First Indent 2"/>
    <w:basedOn w:val="aff5"/>
    <w:link w:val="2d"/>
    <w:uiPriority w:val="99"/>
    <w:qFormat/>
    <w:pPr>
      <w:spacing w:after="120"/>
      <w:ind w:leftChars="200" w:left="420" w:firstLineChars="200" w:firstLine="420"/>
    </w:pPr>
    <w:rPr>
      <w:sz w:val="21"/>
      <w:szCs w:val="21"/>
    </w:rPr>
  </w:style>
  <w:style w:type="table" w:styleId="affff9">
    <w:name w:val="Table Grid"/>
    <w:basedOn w:val="ac"/>
    <w:uiPriority w:val="59"/>
    <w:unhideWhenUsed/>
    <w:qFormat/>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fffa">
    <w:name w:val="Strong"/>
    <w:basedOn w:val="ab"/>
    <w:uiPriority w:val="22"/>
    <w:qFormat/>
    <w:rPr>
      <w:b/>
      <w:bCs/>
    </w:rPr>
  </w:style>
  <w:style w:type="character" w:styleId="affffb">
    <w:name w:val="endnote reference"/>
    <w:qFormat/>
    <w:rPr>
      <w:vertAlign w:val="superscript"/>
    </w:rPr>
  </w:style>
  <w:style w:type="character" w:styleId="affffc">
    <w:name w:val="page number"/>
    <w:basedOn w:val="ab"/>
    <w:qFormat/>
  </w:style>
  <w:style w:type="character" w:styleId="affffd">
    <w:name w:val="FollowedHyperlink"/>
    <w:uiPriority w:val="99"/>
    <w:qFormat/>
    <w:rPr>
      <w:color w:val="800080"/>
      <w:u w:val="single"/>
    </w:rPr>
  </w:style>
  <w:style w:type="character" w:styleId="affffe">
    <w:name w:val="Emphasis"/>
    <w:qFormat/>
    <w:rPr>
      <w:i/>
      <w:iCs/>
    </w:rPr>
  </w:style>
  <w:style w:type="character" w:styleId="afffff">
    <w:name w:val="line number"/>
    <w:basedOn w:val="ab"/>
    <w:qFormat/>
  </w:style>
  <w:style w:type="character" w:styleId="HTML3">
    <w:name w:val="HTML Definition"/>
    <w:qFormat/>
    <w:rPr>
      <w:i/>
      <w:iCs/>
    </w:rPr>
  </w:style>
  <w:style w:type="character" w:styleId="HTML4">
    <w:name w:val="HTML Typewriter"/>
    <w:qFormat/>
    <w:rPr>
      <w:rFonts w:ascii="Courier New" w:hAnsi="Courier New" w:cs="Courier New"/>
      <w:sz w:val="20"/>
      <w:szCs w:val="20"/>
    </w:rPr>
  </w:style>
  <w:style w:type="character" w:styleId="HTML5">
    <w:name w:val="HTML Acronym"/>
    <w:basedOn w:val="ab"/>
    <w:qFormat/>
  </w:style>
  <w:style w:type="character" w:styleId="HTML6">
    <w:name w:val="HTML Variable"/>
    <w:qFormat/>
    <w:rPr>
      <w:i/>
      <w:iCs/>
    </w:rPr>
  </w:style>
  <w:style w:type="character" w:styleId="afffff0">
    <w:name w:val="Hyperlink"/>
    <w:basedOn w:val="ab"/>
    <w:uiPriority w:val="99"/>
    <w:qFormat/>
    <w:rPr>
      <w:color w:val="0000FF"/>
      <w:u w:val="single"/>
    </w:rPr>
  </w:style>
  <w:style w:type="character" w:styleId="HTML7">
    <w:name w:val="HTML Code"/>
    <w:qFormat/>
    <w:rPr>
      <w:rFonts w:ascii="Courier New" w:hAnsi="Courier New" w:cs="Courier New"/>
      <w:sz w:val="20"/>
      <w:szCs w:val="20"/>
    </w:rPr>
  </w:style>
  <w:style w:type="character" w:styleId="afffff1">
    <w:name w:val="annotation reference"/>
    <w:qFormat/>
    <w:rPr>
      <w:sz w:val="21"/>
      <w:szCs w:val="21"/>
    </w:rPr>
  </w:style>
  <w:style w:type="character" w:styleId="HTML8">
    <w:name w:val="HTML Cite"/>
    <w:qFormat/>
    <w:rPr>
      <w:i/>
      <w:iCs/>
    </w:rPr>
  </w:style>
  <w:style w:type="character" w:styleId="afffff2">
    <w:name w:val="footnote reference"/>
    <w:qFormat/>
    <w:rPr>
      <w:vertAlign w:val="superscript"/>
    </w:rPr>
  </w:style>
  <w:style w:type="character" w:styleId="HTML9">
    <w:name w:val="HTML Keyboard"/>
    <w:qFormat/>
    <w:rPr>
      <w:rFonts w:ascii="Courier New" w:hAnsi="Courier New" w:cs="Courier New"/>
      <w:sz w:val="20"/>
      <w:szCs w:val="20"/>
    </w:rPr>
  </w:style>
  <w:style w:type="character" w:styleId="HTMLa">
    <w:name w:val="HTML Sample"/>
    <w:qFormat/>
    <w:rPr>
      <w:rFonts w:ascii="Courier New" w:hAnsi="Courier New" w:cs="Courier New"/>
    </w:rPr>
  </w:style>
  <w:style w:type="character" w:customStyle="1" w:styleId="-------------CharChar">
    <w:name w:val="表头------------- Char Char"/>
    <w:link w:val="-------------"/>
    <w:qFormat/>
    <w:rPr>
      <w:rFonts w:eastAsia="黑体" w:cs="宋体"/>
      <w:sz w:val="24"/>
      <w:lang w:val="en-US" w:eastAsia="zh-CN" w:bidi="ar-SA"/>
    </w:rPr>
  </w:style>
  <w:style w:type="paragraph" w:customStyle="1" w:styleId="-------------">
    <w:name w:val="表头-------------"/>
    <w:basedOn w:val="a8"/>
    <w:link w:val="-------------CharChar"/>
    <w:qFormat/>
    <w:pPr>
      <w:spacing w:line="460" w:lineRule="exact"/>
      <w:jc w:val="center"/>
    </w:pPr>
    <w:rPr>
      <w:rFonts w:eastAsia="黑体" w:cs="宋体"/>
    </w:rPr>
  </w:style>
  <w:style w:type="character" w:customStyle="1" w:styleId="4Char">
    <w:name w:val="4 Char"/>
    <w:link w:val="49"/>
    <w:qFormat/>
    <w:rPr>
      <w:rFonts w:eastAsia="宋体"/>
      <w:kern w:val="2"/>
      <w:sz w:val="30"/>
      <w:szCs w:val="24"/>
      <w:lang w:val="en-US" w:eastAsia="zh-CN" w:bidi="ar-SA"/>
    </w:rPr>
  </w:style>
  <w:style w:type="paragraph" w:customStyle="1" w:styleId="49">
    <w:name w:val="4"/>
    <w:basedOn w:val="a8"/>
    <w:next w:val="28"/>
    <w:link w:val="4Char"/>
    <w:qFormat/>
    <w:rPr>
      <w:kern w:val="2"/>
      <w:sz w:val="30"/>
      <w:szCs w:val="24"/>
    </w:rPr>
  </w:style>
  <w:style w:type="character" w:customStyle="1" w:styleId="title41">
    <w:name w:val="title41"/>
    <w:qFormat/>
    <w:rPr>
      <w:rFonts w:ascii="宋体" w:eastAsia="宋体" w:hAnsi="宋体" w:hint="eastAsia"/>
      <w:color w:val="FF6600"/>
      <w:sz w:val="36"/>
      <w:szCs w:val="36"/>
    </w:rPr>
  </w:style>
  <w:style w:type="character" w:customStyle="1" w:styleId="Char">
    <w:name w:val="表格 Char"/>
    <w:qFormat/>
    <w:rPr>
      <w:rFonts w:ascii="宋体" w:eastAsia="宋体"/>
      <w:sz w:val="21"/>
      <w:lang w:val="en-US" w:eastAsia="zh-CN" w:bidi="ar-SA"/>
    </w:rPr>
  </w:style>
  <w:style w:type="character" w:customStyle="1" w:styleId="af9">
    <w:name w:val="题注 字符"/>
    <w:link w:val="af8"/>
    <w:qFormat/>
    <w:rPr>
      <w:rFonts w:ascii="Arial" w:eastAsia="黑体" w:hAnsi="Arial" w:cs="Arial"/>
    </w:rPr>
  </w:style>
  <w:style w:type="character" w:customStyle="1" w:styleId="Char0">
    <w:name w:val="标准 Char"/>
    <w:link w:val="afffff3"/>
    <w:qFormat/>
    <w:rPr>
      <w:rFonts w:ascii="宋体"/>
      <w:sz w:val="24"/>
    </w:rPr>
  </w:style>
  <w:style w:type="paragraph" w:customStyle="1" w:styleId="afffff3">
    <w:name w:val="标准"/>
    <w:basedOn w:val="a8"/>
    <w:link w:val="Char0"/>
    <w:qFormat/>
    <w:pPr>
      <w:adjustRightInd w:val="0"/>
      <w:spacing w:line="312" w:lineRule="atLeast"/>
      <w:textAlignment w:val="baseline"/>
    </w:pPr>
  </w:style>
  <w:style w:type="character" w:customStyle="1" w:styleId="3zw1">
    <w:name w:val="3zw1"/>
    <w:qFormat/>
    <w:rPr>
      <w:color w:val="000000"/>
      <w:sz w:val="21"/>
      <w:szCs w:val="21"/>
    </w:rPr>
  </w:style>
  <w:style w:type="character" w:customStyle="1" w:styleId="3b">
    <w:name w:val="正文文本缩进 3 字符"/>
    <w:link w:val="3a"/>
    <w:qFormat/>
    <w:rPr>
      <w:rFonts w:eastAsia="宋体"/>
      <w:kern w:val="2"/>
      <w:sz w:val="24"/>
      <w:szCs w:val="24"/>
      <w:lang w:val="en-US" w:eastAsia="zh-CN" w:bidi="ar-SA"/>
    </w:rPr>
  </w:style>
  <w:style w:type="character" w:customStyle="1" w:styleId="32Char">
    <w:name w:val="表格 32 Char"/>
    <w:link w:val="32"/>
    <w:qFormat/>
    <w:rPr>
      <w:sz w:val="24"/>
    </w:rPr>
  </w:style>
  <w:style w:type="paragraph" w:customStyle="1" w:styleId="32">
    <w:name w:val="表格 32"/>
    <w:basedOn w:val="a8"/>
    <w:link w:val="32Char"/>
    <w:qFormat/>
    <w:pPr>
      <w:numPr>
        <w:ilvl w:val="1"/>
        <w:numId w:val="2"/>
      </w:numPr>
      <w:tabs>
        <w:tab w:val="clear" w:pos="1476"/>
      </w:tabs>
      <w:autoSpaceDE w:val="0"/>
      <w:autoSpaceDN w:val="0"/>
      <w:adjustRightInd w:val="0"/>
      <w:ind w:left="0" w:firstLine="0"/>
      <w:jc w:val="center"/>
      <w:textAlignment w:val="baseline"/>
    </w:pPr>
    <w:rPr>
      <w:rFonts w:ascii="Times New Roman"/>
    </w:rPr>
  </w:style>
  <w:style w:type="character" w:customStyle="1" w:styleId="Char1">
    <w:name w:val="二级标题样式 Char"/>
    <w:link w:val="afffff4"/>
    <w:qFormat/>
    <w:rPr>
      <w:rFonts w:eastAsia="黑体"/>
      <w:kern w:val="2"/>
      <w:sz w:val="32"/>
      <w:szCs w:val="32"/>
    </w:rPr>
  </w:style>
  <w:style w:type="paragraph" w:customStyle="1" w:styleId="afffff4">
    <w:name w:val="二级标题样式"/>
    <w:basedOn w:val="afffff5"/>
    <w:link w:val="Char1"/>
    <w:qFormat/>
    <w:pPr>
      <w:spacing w:line="360" w:lineRule="auto"/>
      <w:jc w:val="left"/>
    </w:pPr>
    <w:rPr>
      <w:rFonts w:ascii="Times New Roman" w:eastAsia="黑体"/>
      <w:kern w:val="2"/>
      <w:sz w:val="32"/>
      <w:szCs w:val="32"/>
    </w:rPr>
  </w:style>
  <w:style w:type="paragraph" w:customStyle="1" w:styleId="afffff5">
    <w:name w:val="空行样式"/>
    <w:basedOn w:val="a8"/>
    <w:next w:val="afffff6"/>
    <w:qFormat/>
    <w:pPr>
      <w:adjustRightInd w:val="0"/>
      <w:snapToGrid w:val="0"/>
    </w:pPr>
    <w:rPr>
      <w:lang w:val="zh-CN"/>
    </w:rPr>
  </w:style>
  <w:style w:type="paragraph" w:customStyle="1" w:styleId="afffff6">
    <w:name w:val="表格样式"/>
    <w:basedOn w:val="a8"/>
    <w:next w:val="afffff5"/>
    <w:qFormat/>
    <w:pPr>
      <w:adjustRightInd w:val="0"/>
      <w:snapToGrid w:val="0"/>
      <w:jc w:val="center"/>
    </w:pPr>
    <w:rPr>
      <w:rFonts w:eastAsia="楷体_GB2312"/>
      <w:szCs w:val="21"/>
    </w:rPr>
  </w:style>
  <w:style w:type="character" w:customStyle="1" w:styleId="CharCharCharCharCharCharCharCharCharCharCharCharCharChar">
    <w:name w:val="正文格式 Char Char Char Char Char Char Char Char Char Char Char Char Char Char"/>
    <w:qFormat/>
    <w:rPr>
      <w:rFonts w:eastAsia="宋体"/>
      <w:sz w:val="28"/>
      <w:szCs w:val="28"/>
      <w:lang w:val="en-US" w:eastAsia="zh-CN" w:bidi="ar-SA"/>
    </w:rPr>
  </w:style>
  <w:style w:type="character" w:customStyle="1" w:styleId="font4">
    <w:name w:val="font4"/>
    <w:basedOn w:val="ab"/>
    <w:qFormat/>
  </w:style>
  <w:style w:type="character" w:customStyle="1" w:styleId="70">
    <w:name w:val="标题 7 字符"/>
    <w:link w:val="7"/>
    <w:qFormat/>
    <w:rPr>
      <w:rFonts w:eastAsia="宋体"/>
      <w:b/>
      <w:bCs/>
      <w:kern w:val="2"/>
      <w:sz w:val="24"/>
      <w:szCs w:val="24"/>
      <w:lang w:val="en-US" w:eastAsia="zh-CN" w:bidi="ar-SA"/>
    </w:rPr>
  </w:style>
  <w:style w:type="character" w:customStyle="1" w:styleId="Char2">
    <w:name w:val="小四正文 Char"/>
    <w:link w:val="afffff7"/>
    <w:qFormat/>
    <w:rPr>
      <w:rFonts w:hAnsi="宋体"/>
      <w:snapToGrid w:val="0"/>
      <w:sz w:val="24"/>
      <w:szCs w:val="24"/>
      <w:lang w:val="en-US" w:eastAsia="zh-CN" w:bidi="ar-SA"/>
    </w:rPr>
  </w:style>
  <w:style w:type="paragraph" w:customStyle="1" w:styleId="afffff7">
    <w:name w:val="小四正文"/>
    <w:link w:val="Char2"/>
    <w:qFormat/>
    <w:pPr>
      <w:adjustRightInd w:val="0"/>
      <w:snapToGrid w:val="0"/>
      <w:ind w:firstLineChars="236" w:firstLine="566"/>
    </w:pPr>
    <w:rPr>
      <w:rFonts w:hAnsi="宋体"/>
      <w:snapToGrid w:val="0"/>
      <w:sz w:val="24"/>
      <w:szCs w:val="24"/>
    </w:rPr>
  </w:style>
  <w:style w:type="character" w:customStyle="1" w:styleId="6Char">
    <w:name w:val="项目6 Char"/>
    <w:link w:val="63"/>
    <w:qFormat/>
    <w:rPr>
      <w:color w:val="000000"/>
      <w:kern w:val="2"/>
      <w:sz w:val="24"/>
      <w:szCs w:val="24"/>
    </w:rPr>
  </w:style>
  <w:style w:type="paragraph" w:customStyle="1" w:styleId="63">
    <w:name w:val="项目6"/>
    <w:basedOn w:val="a8"/>
    <w:link w:val="6Char"/>
    <w:qFormat/>
    <w:pPr>
      <w:spacing w:line="360" w:lineRule="auto"/>
      <w:ind w:firstLineChars="200" w:firstLine="480"/>
    </w:pPr>
    <w:rPr>
      <w:rFonts w:ascii="Times New Roman"/>
      <w:color w:val="000000"/>
      <w:kern w:val="2"/>
      <w:szCs w:val="24"/>
    </w:rPr>
  </w:style>
  <w:style w:type="character" w:customStyle="1" w:styleId="CharChar31">
    <w:name w:val="Char Char31"/>
    <w:qFormat/>
    <w:rPr>
      <w:rFonts w:ascii="Arial" w:eastAsia="黑体" w:hAnsi="Arial"/>
      <w:b/>
      <w:bCs/>
      <w:kern w:val="2"/>
      <w:sz w:val="32"/>
      <w:szCs w:val="32"/>
      <w:lang w:val="en-US" w:eastAsia="zh-CN" w:bidi="ar-SA"/>
    </w:rPr>
  </w:style>
  <w:style w:type="character" w:customStyle="1" w:styleId="CharChar">
    <w:name w:val="正文文 Char Char"/>
    <w:qFormat/>
    <w:rPr>
      <w:rFonts w:eastAsia="宋体" w:cs="宋体"/>
      <w:kern w:val="2"/>
      <w:sz w:val="24"/>
      <w:lang w:val="en-US" w:eastAsia="zh-CN" w:bidi="ar-SA"/>
    </w:rPr>
  </w:style>
  <w:style w:type="character" w:customStyle="1" w:styleId="text14px1">
    <w:name w:val="text_14px1"/>
    <w:qFormat/>
    <w:rPr>
      <w:color w:val="000000"/>
      <w:sz w:val="18"/>
      <w:szCs w:val="18"/>
    </w:rPr>
  </w:style>
  <w:style w:type="character" w:customStyle="1" w:styleId="101TimesNewRomanChar">
    <w:name w:val="样式 样式 首行缩进:  1.01 厘米 + Times New Roman Char"/>
    <w:basedOn w:val="101Char"/>
    <w:link w:val="101TimesNewRoman"/>
    <w:qFormat/>
    <w:rPr>
      <w:rFonts w:ascii="宋体" w:hAnsi="宋体"/>
      <w:color w:val="000000"/>
      <w:kern w:val="2"/>
      <w:sz w:val="24"/>
      <w:szCs w:val="24"/>
    </w:rPr>
  </w:style>
  <w:style w:type="character" w:customStyle="1" w:styleId="101Char">
    <w:name w:val="样式 首行缩进:  1.01 厘米 Char"/>
    <w:link w:val="101"/>
    <w:qFormat/>
    <w:rPr>
      <w:rFonts w:ascii="宋体" w:hAnsi="宋体"/>
      <w:color w:val="000000"/>
      <w:kern w:val="2"/>
      <w:sz w:val="24"/>
      <w:szCs w:val="24"/>
    </w:rPr>
  </w:style>
  <w:style w:type="paragraph" w:customStyle="1" w:styleId="101">
    <w:name w:val="样式 首行缩进:  1.01 厘米"/>
    <w:basedOn w:val="a8"/>
    <w:link w:val="101Char"/>
    <w:qFormat/>
    <w:pPr>
      <w:spacing w:line="360" w:lineRule="auto"/>
      <w:ind w:firstLineChars="200" w:firstLine="480"/>
    </w:pPr>
    <w:rPr>
      <w:rFonts w:hAnsi="宋体"/>
      <w:color w:val="000000"/>
      <w:kern w:val="2"/>
      <w:szCs w:val="24"/>
    </w:rPr>
  </w:style>
  <w:style w:type="paragraph" w:customStyle="1" w:styleId="101TimesNewRoman">
    <w:name w:val="样式 样式 首行缩进:  1.01 厘米 + Times New Roman"/>
    <w:basedOn w:val="101"/>
    <w:link w:val="101TimesNewRomanChar"/>
    <w:qFormat/>
    <w:pPr>
      <w:spacing w:line="312" w:lineRule="auto"/>
    </w:pPr>
  </w:style>
  <w:style w:type="character" w:customStyle="1" w:styleId="title11">
    <w:name w:val="title11"/>
    <w:qFormat/>
    <w:rPr>
      <w:b/>
      <w:bCs/>
      <w:sz w:val="23"/>
      <w:szCs w:val="23"/>
    </w:rPr>
  </w:style>
  <w:style w:type="character" w:customStyle="1" w:styleId="2CharChar">
    <w:name w:val="样式 首行缩进:  2 字符 Char Char"/>
    <w:qFormat/>
    <w:rPr>
      <w:rFonts w:ascii="宋体" w:eastAsia="宋体" w:cs="宋体"/>
      <w:kern w:val="2"/>
      <w:sz w:val="28"/>
      <w:szCs w:val="28"/>
      <w:lang w:val="en-US" w:eastAsia="zh-CN" w:bidi="ar-SA"/>
    </w:rPr>
  </w:style>
  <w:style w:type="character" w:customStyle="1" w:styleId="mytext1">
    <w:name w:val="mytext1"/>
    <w:basedOn w:val="ab"/>
    <w:qFormat/>
  </w:style>
  <w:style w:type="character" w:customStyle="1" w:styleId="unnamed21">
    <w:name w:val="unnamed21"/>
    <w:basedOn w:val="ab"/>
    <w:qFormat/>
  </w:style>
  <w:style w:type="character" w:customStyle="1" w:styleId="af0">
    <w:name w:val="宏文本 字符"/>
    <w:link w:val="af"/>
    <w:qFormat/>
    <w:rPr>
      <w:rFonts w:ascii="Courier New" w:hAnsi="Courier New"/>
      <w:kern w:val="2"/>
      <w:sz w:val="24"/>
      <w:lang w:val="en-US" w:eastAsia="zh-CN" w:bidi="ar-SA"/>
    </w:rPr>
  </w:style>
  <w:style w:type="character" w:customStyle="1" w:styleId="hover32">
    <w:name w:val="hover32"/>
    <w:qFormat/>
    <w:rPr>
      <w:rFonts w:ascii="宋体" w:hAnsi="宋体" w:cs="宋体"/>
      <w:color w:val="FFFFFF"/>
      <w:sz w:val="24"/>
      <w:u w:val="none"/>
      <w:shd w:val="clear" w:color="auto" w:fill="A1D98A"/>
    </w:rPr>
  </w:style>
  <w:style w:type="character" w:customStyle="1" w:styleId="font01">
    <w:name w:val="font01"/>
    <w:qFormat/>
    <w:rPr>
      <w:rFonts w:ascii="Times New Roman" w:hAnsi="Times New Roman" w:cs="Times New Roman" w:hint="default"/>
      <w:color w:val="000000"/>
      <w:sz w:val="18"/>
      <w:szCs w:val="18"/>
      <w:u w:val="none"/>
    </w:rPr>
  </w:style>
  <w:style w:type="character" w:customStyle="1" w:styleId="14">
    <w:name w:val="明显强调1"/>
    <w:qFormat/>
    <w:rPr>
      <w:b/>
      <w:i/>
      <w:sz w:val="24"/>
      <w:szCs w:val="24"/>
      <w:u w:val="single"/>
    </w:rPr>
  </w:style>
  <w:style w:type="character" w:customStyle="1" w:styleId="afffff8">
    <w:name w:val="【表格注释】"/>
    <w:qFormat/>
    <w:rPr>
      <w:rFonts w:eastAsia="宋体" w:cs="宋体"/>
      <w:kern w:val="0"/>
      <w:sz w:val="21"/>
      <w:lang w:val="en-US" w:eastAsia="zh-CN" w:bidi="ar-SA"/>
    </w:rPr>
  </w:style>
  <w:style w:type="character" w:customStyle="1" w:styleId="afffb">
    <w:name w:val="副标题 字符"/>
    <w:link w:val="afffa"/>
    <w:uiPriority w:val="11"/>
    <w:qFormat/>
    <w:rPr>
      <w:rFonts w:eastAsia="黑体" w:cs="Arial"/>
      <w:bCs/>
      <w:kern w:val="28"/>
      <w:sz w:val="24"/>
      <w:szCs w:val="32"/>
      <w:lang w:val="en-US" w:eastAsia="zh-CN" w:bidi="ar-SA"/>
    </w:rPr>
  </w:style>
  <w:style w:type="character" w:customStyle="1" w:styleId="CharChar0">
    <w:name w:val="四级标题 Char Char"/>
    <w:link w:val="afffff9"/>
    <w:qFormat/>
    <w:rPr>
      <w:rFonts w:eastAsia="宋体" w:cs="宋体"/>
      <w:b/>
      <w:bCs/>
      <w:sz w:val="28"/>
      <w:lang w:val="en-US" w:eastAsia="zh-CN" w:bidi="ar-SA"/>
    </w:rPr>
  </w:style>
  <w:style w:type="paragraph" w:customStyle="1" w:styleId="afffff9">
    <w:name w:val="四级标题"/>
    <w:basedOn w:val="42"/>
    <w:link w:val="CharChar0"/>
    <w:qFormat/>
    <w:pPr>
      <w:tabs>
        <w:tab w:val="left" w:pos="1290"/>
      </w:tabs>
      <w:spacing w:before="0" w:after="0" w:line="240" w:lineRule="auto"/>
      <w:ind w:left="210"/>
      <w:jc w:val="left"/>
    </w:pPr>
    <w:rPr>
      <w:rFonts w:eastAsia="宋体" w:cs="宋体"/>
    </w:rPr>
  </w:style>
  <w:style w:type="character" w:customStyle="1" w:styleId="1CharChar">
    <w:name w:val="表1 Char Char"/>
    <w:link w:val="15"/>
    <w:qFormat/>
    <w:rPr>
      <w:rFonts w:ascii="宋体"/>
      <w:sz w:val="21"/>
      <w:lang w:val="en-US" w:eastAsia="zh-CN" w:bidi="ar-SA"/>
    </w:rPr>
  </w:style>
  <w:style w:type="paragraph" w:customStyle="1" w:styleId="15">
    <w:name w:val="表1"/>
    <w:next w:val="a8"/>
    <w:link w:val="1CharChar"/>
    <w:qFormat/>
    <w:pPr>
      <w:adjustRightInd w:val="0"/>
      <w:snapToGrid w:val="0"/>
      <w:jc w:val="center"/>
    </w:pPr>
    <w:rPr>
      <w:rFonts w:ascii="宋体"/>
      <w:sz w:val="21"/>
    </w:rPr>
  </w:style>
  <w:style w:type="character" w:customStyle="1" w:styleId="font31">
    <w:name w:val="font31"/>
    <w:qFormat/>
    <w:rPr>
      <w:rFonts w:ascii="宋体" w:eastAsia="宋体" w:hAnsi="宋体" w:cs="宋体" w:hint="eastAsia"/>
      <w:color w:val="000000"/>
      <w:sz w:val="18"/>
      <w:szCs w:val="18"/>
      <w:u w:val="none"/>
    </w:rPr>
  </w:style>
  <w:style w:type="character" w:customStyle="1" w:styleId="Char10">
    <w:name w:val="引用 Char1"/>
    <w:uiPriority w:val="29"/>
    <w:qFormat/>
    <w:rPr>
      <w:i/>
      <w:iCs/>
      <w:color w:val="000000"/>
      <w:kern w:val="2"/>
      <w:sz w:val="24"/>
      <w:szCs w:val="24"/>
    </w:rPr>
  </w:style>
  <w:style w:type="character" w:customStyle="1" w:styleId="mytableheaderChar">
    <w:name w:val="my table header Char"/>
    <w:qFormat/>
    <w:rPr>
      <w:rFonts w:ascii="黑体" w:eastAsia="黑体" w:hAnsi="黑体"/>
      <w:b/>
      <w:bCs/>
      <w:sz w:val="24"/>
      <w:lang w:val="en-US" w:eastAsia="zh-CN" w:bidi="ar-SA"/>
    </w:rPr>
  </w:style>
  <w:style w:type="character" w:customStyle="1" w:styleId="Char11">
    <w:name w:val="页眉 Char1"/>
    <w:uiPriority w:val="99"/>
    <w:qFormat/>
    <w:rPr>
      <w:rFonts w:eastAsia="宋体"/>
      <w:kern w:val="2"/>
      <w:sz w:val="18"/>
      <w:szCs w:val="18"/>
      <w:lang w:val="en-US" w:eastAsia="zh-CN" w:bidi="ar-SA"/>
    </w:rPr>
  </w:style>
  <w:style w:type="character" w:customStyle="1" w:styleId="CharChar1">
    <w:name w:val="【表中文字】 Char Char"/>
    <w:link w:val="afffffa"/>
    <w:qFormat/>
    <w:rPr>
      <w:rFonts w:eastAsia="宋体"/>
      <w:kern w:val="2"/>
      <w:sz w:val="21"/>
      <w:lang w:val="en-US" w:eastAsia="zh-CN" w:bidi="ar-SA"/>
    </w:rPr>
  </w:style>
  <w:style w:type="paragraph" w:customStyle="1" w:styleId="afffffa">
    <w:name w:val="【表中文字】"/>
    <w:basedOn w:val="a8"/>
    <w:link w:val="CharChar1"/>
    <w:qFormat/>
    <w:pPr>
      <w:jc w:val="center"/>
    </w:pPr>
    <w:rPr>
      <w:kern w:val="2"/>
      <w:sz w:val="21"/>
    </w:rPr>
  </w:style>
  <w:style w:type="character" w:customStyle="1" w:styleId="16">
    <w:name w:val="书籍标题1"/>
    <w:qFormat/>
    <w:rPr>
      <w:rFonts w:ascii="Cambria" w:eastAsia="宋体" w:hAnsi="Cambria"/>
      <w:b/>
      <w:i/>
      <w:sz w:val="24"/>
      <w:szCs w:val="24"/>
    </w:rPr>
  </w:style>
  <w:style w:type="character" w:customStyle="1" w:styleId="affff8">
    <w:name w:val="正文文本首行缩进 字符"/>
    <w:link w:val="affff7"/>
    <w:uiPriority w:val="99"/>
    <w:qFormat/>
    <w:rPr>
      <w:rFonts w:eastAsia="宋体"/>
      <w:spacing w:val="6"/>
      <w:kern w:val="2"/>
      <w:sz w:val="21"/>
      <w:szCs w:val="24"/>
      <w:lang w:val="en-US" w:eastAsia="zh-CN" w:bidi="ar-SA"/>
    </w:rPr>
  </w:style>
  <w:style w:type="character" w:customStyle="1" w:styleId="2CharCharCharCharCharChar">
    <w:name w:val="正文文本 2 Char Char Char Char Char Char"/>
    <w:qFormat/>
    <w:rPr>
      <w:rFonts w:eastAsia="仿宋_GB2312"/>
      <w:kern w:val="2"/>
      <w:sz w:val="21"/>
      <w:szCs w:val="24"/>
      <w:lang w:val="en-US" w:eastAsia="zh-CN" w:bidi="ar-SA"/>
    </w:rPr>
  </w:style>
  <w:style w:type="character" w:customStyle="1" w:styleId="CharChar21">
    <w:name w:val="Char Char21"/>
    <w:semiHidden/>
    <w:qFormat/>
    <w:rPr>
      <w:rFonts w:ascii="Times New Roman" w:hAnsi="Times New Roman"/>
      <w:kern w:val="2"/>
      <w:sz w:val="24"/>
      <w:szCs w:val="24"/>
      <w:shd w:val="clear" w:color="auto" w:fill="000080"/>
    </w:rPr>
  </w:style>
  <w:style w:type="character" w:customStyle="1" w:styleId="style41">
    <w:name w:val="style41"/>
    <w:qFormat/>
    <w:rPr>
      <w:rFonts w:ascii="宋体" w:eastAsia="宋体" w:hAnsi="宋体" w:hint="eastAsia"/>
      <w:b/>
      <w:bCs/>
      <w:color w:val="000000"/>
      <w:sz w:val="36"/>
      <w:szCs w:val="36"/>
    </w:rPr>
  </w:style>
  <w:style w:type="character" w:customStyle="1" w:styleId="aff2">
    <w:name w:val="称呼 字符"/>
    <w:link w:val="aff1"/>
    <w:qFormat/>
    <w:rPr>
      <w:rFonts w:eastAsia="宋体"/>
      <w:kern w:val="2"/>
      <w:sz w:val="28"/>
      <w:szCs w:val="24"/>
      <w:lang w:val="en-US" w:eastAsia="zh-CN" w:bidi="ar-SA"/>
    </w:rPr>
  </w:style>
  <w:style w:type="character" w:customStyle="1" w:styleId="PartChar">
    <w:name w:val="Part Char"/>
    <w:qFormat/>
    <w:rPr>
      <w:rFonts w:ascii="宋体" w:eastAsia="宋体"/>
      <w:b/>
      <w:bCs/>
      <w:kern w:val="44"/>
      <w:sz w:val="36"/>
      <w:szCs w:val="36"/>
      <w:lang w:val="en-US" w:eastAsia="zh-CN" w:bidi="ar-SA"/>
    </w:rPr>
  </w:style>
  <w:style w:type="character" w:customStyle="1" w:styleId="af6">
    <w:name w:val="电子邮件签名 字符"/>
    <w:link w:val="af5"/>
    <w:qFormat/>
    <w:rPr>
      <w:rFonts w:ascii="宋体" w:eastAsia="宋体" w:hAnsi="宋体" w:cs="宋体"/>
      <w:bCs/>
      <w:sz w:val="28"/>
      <w:szCs w:val="32"/>
      <w:lang w:val="en-US" w:eastAsia="zh-CN" w:bidi="ar-SA"/>
    </w:rPr>
  </w:style>
  <w:style w:type="character" w:customStyle="1" w:styleId="Char3">
    <w:name w:val="我的图表标题 Char"/>
    <w:link w:val="afffffb"/>
    <w:qFormat/>
    <w:rPr>
      <w:rFonts w:ascii="黑体" w:eastAsia="黑体" w:hAnsi="黑体" w:cs="宋体"/>
      <w:bCs/>
      <w:kern w:val="2"/>
      <w:sz w:val="21"/>
      <w:szCs w:val="21"/>
    </w:rPr>
  </w:style>
  <w:style w:type="paragraph" w:customStyle="1" w:styleId="afffffb">
    <w:name w:val="我的图表标题"/>
    <w:basedOn w:val="aff5"/>
    <w:link w:val="Char3"/>
    <w:qFormat/>
    <w:pPr>
      <w:spacing w:beforeLines="50" w:before="156"/>
      <w:ind w:left="0"/>
      <w:jc w:val="center"/>
    </w:pPr>
    <w:rPr>
      <w:rFonts w:ascii="黑体" w:eastAsia="黑体" w:hAnsi="黑体" w:cs="宋体"/>
      <w:bCs/>
      <w:sz w:val="21"/>
      <w:szCs w:val="21"/>
    </w:rPr>
  </w:style>
  <w:style w:type="character" w:customStyle="1" w:styleId="ywChar">
    <w:name w:val="yw正文文本缩进 Char"/>
    <w:link w:val="yw"/>
    <w:qFormat/>
    <w:rPr>
      <w:rFonts w:eastAsia="仿宋_GB2312" w:cs="宋体"/>
      <w:kern w:val="2"/>
      <w:sz w:val="24"/>
    </w:rPr>
  </w:style>
  <w:style w:type="paragraph" w:customStyle="1" w:styleId="yw">
    <w:name w:val="yw正文文本缩进"/>
    <w:basedOn w:val="a8"/>
    <w:link w:val="ywChar"/>
    <w:qFormat/>
    <w:pPr>
      <w:widowControl/>
      <w:overflowPunct w:val="0"/>
      <w:autoSpaceDE w:val="0"/>
      <w:autoSpaceDN w:val="0"/>
      <w:adjustRightInd w:val="0"/>
      <w:spacing w:line="360" w:lineRule="auto"/>
      <w:ind w:leftChars="25" w:left="25" w:rightChars="25" w:right="25" w:firstLineChars="200" w:firstLine="200"/>
      <w:textAlignment w:val="baseline"/>
    </w:pPr>
    <w:rPr>
      <w:rFonts w:ascii="Times New Roman" w:eastAsia="仿宋_GB2312"/>
      <w:kern w:val="2"/>
    </w:rPr>
  </w:style>
  <w:style w:type="character" w:customStyle="1" w:styleId="Char12">
    <w:name w:val="明显引用 Char1"/>
    <w:uiPriority w:val="30"/>
    <w:qFormat/>
    <w:rPr>
      <w:b/>
      <w:bCs/>
      <w:i/>
      <w:iCs/>
      <w:color w:val="4F81BD"/>
      <w:kern w:val="2"/>
      <w:sz w:val="24"/>
      <w:szCs w:val="24"/>
    </w:rPr>
  </w:style>
  <w:style w:type="character" w:customStyle="1" w:styleId="afffffc">
    <w:name w:val="链接"/>
    <w:qFormat/>
    <w:rPr>
      <w:color w:val="0000FF"/>
      <w:sz w:val="21"/>
      <w:u w:val="single" w:color="0000FF"/>
      <w:lang w:val="en-US" w:eastAsia="zh-CN"/>
    </w:rPr>
  </w:style>
  <w:style w:type="character" w:customStyle="1" w:styleId="20Char">
    <w:name w:val="样式20 Char"/>
    <w:link w:val="200"/>
    <w:qFormat/>
    <w:rPr>
      <w:rFonts w:ascii="ˎ̥" w:hAnsi="ˎ̥"/>
      <w:bCs/>
      <w:color w:val="000000"/>
      <w:sz w:val="24"/>
    </w:rPr>
  </w:style>
  <w:style w:type="paragraph" w:customStyle="1" w:styleId="200">
    <w:name w:val="样式20"/>
    <w:basedOn w:val="a8"/>
    <w:link w:val="20Char"/>
    <w:qFormat/>
    <w:pPr>
      <w:snapToGrid w:val="0"/>
      <w:spacing w:beforeLines="50" w:before="156" w:afterLines="50" w:after="156" w:line="360" w:lineRule="auto"/>
      <w:ind w:firstLineChars="200" w:firstLine="480"/>
    </w:pPr>
    <w:rPr>
      <w:rFonts w:ascii="ˎ̥" w:hAnsi="ˎ̥"/>
      <w:bCs/>
      <w:color w:val="000000"/>
    </w:rPr>
  </w:style>
  <w:style w:type="character" w:customStyle="1" w:styleId="17131171Char">
    <w:name w:val="样式 样式 首行缩进:  1.71 字符31 + 左 首行缩进:  1.71 字符 Char"/>
    <w:link w:val="17131171"/>
    <w:qFormat/>
    <w:rPr>
      <w:kern w:val="2"/>
      <w:sz w:val="24"/>
    </w:rPr>
  </w:style>
  <w:style w:type="paragraph" w:customStyle="1" w:styleId="17131171">
    <w:name w:val="样式 样式 首行缩进:  1.71 字符31 + 左 首行缩进:  1.71 字符"/>
    <w:basedOn w:val="a8"/>
    <w:next w:val="a8"/>
    <w:link w:val="17131171Char"/>
    <w:qFormat/>
    <w:pPr>
      <w:spacing w:line="360" w:lineRule="auto"/>
      <w:ind w:firstLine="410"/>
      <w:jc w:val="left"/>
    </w:pPr>
    <w:rPr>
      <w:rFonts w:ascii="Times New Roman"/>
      <w:kern w:val="2"/>
    </w:rPr>
  </w:style>
  <w:style w:type="character" w:customStyle="1" w:styleId="12">
    <w:name w:val="标题 1 字符"/>
    <w:link w:val="11"/>
    <w:qFormat/>
    <w:rPr>
      <w:rFonts w:ascii="黑体" w:eastAsia="黑体"/>
      <w:b/>
      <w:bCs/>
      <w:kern w:val="44"/>
      <w:sz w:val="32"/>
      <w:szCs w:val="24"/>
    </w:rPr>
  </w:style>
  <w:style w:type="character" w:customStyle="1" w:styleId="CharCharCharCharCharChar">
    <w:name w:val="表号 Char Char Char Char Char Char"/>
    <w:link w:val="CharCharCharCharChar"/>
    <w:qFormat/>
    <w:rPr>
      <w:kern w:val="2"/>
      <w:sz w:val="24"/>
    </w:rPr>
  </w:style>
  <w:style w:type="paragraph" w:customStyle="1" w:styleId="CharCharCharCharChar">
    <w:name w:val="表号 Char Char Char Char Char"/>
    <w:basedOn w:val="a8"/>
    <w:link w:val="CharCharCharCharCharChar"/>
    <w:qFormat/>
    <w:pPr>
      <w:spacing w:line="360" w:lineRule="auto"/>
      <w:textAlignment w:val="baseline"/>
    </w:pPr>
    <w:rPr>
      <w:rFonts w:ascii="Times New Roman"/>
      <w:kern w:val="2"/>
    </w:rPr>
  </w:style>
  <w:style w:type="character" w:customStyle="1" w:styleId="2Char">
    <w:name w:val="正文 + 首行缩进:  2 字符 Char"/>
    <w:qFormat/>
    <w:rPr>
      <w:rFonts w:eastAsia="宋体" w:cs="宋体"/>
      <w:kern w:val="2"/>
      <w:sz w:val="24"/>
      <w:lang w:val="en-US" w:eastAsia="zh-CN" w:bidi="ar-SA"/>
    </w:rPr>
  </w:style>
  <w:style w:type="character" w:customStyle="1" w:styleId="2CharChar0">
    <w:name w:val="正文 + 首行缩进:  2 字符 Char Char"/>
    <w:qFormat/>
    <w:rPr>
      <w:rFonts w:eastAsia="宋体"/>
      <w:spacing w:val="12"/>
      <w:kern w:val="2"/>
      <w:sz w:val="24"/>
      <w:lang w:val="en-US" w:eastAsia="zh-CN" w:bidi="ar-SA"/>
    </w:rPr>
  </w:style>
  <w:style w:type="character" w:customStyle="1" w:styleId="defaultfont">
    <w:name w:val="defaultfont"/>
    <w:basedOn w:val="ab"/>
    <w:qFormat/>
  </w:style>
  <w:style w:type="character" w:customStyle="1" w:styleId="3CharChar">
    <w:name w:val="【标题3】 Char Char"/>
    <w:link w:val="3d"/>
    <w:qFormat/>
    <w:rPr>
      <w:rFonts w:eastAsia="宋体"/>
      <w:b/>
      <w:bCs/>
      <w:kern w:val="2"/>
      <w:sz w:val="30"/>
      <w:lang w:val="en-US" w:eastAsia="zh-CN" w:bidi="ar-SA"/>
    </w:rPr>
  </w:style>
  <w:style w:type="paragraph" w:customStyle="1" w:styleId="3d">
    <w:name w:val="【标题3】"/>
    <w:basedOn w:val="31"/>
    <w:link w:val="3CharChar"/>
    <w:qFormat/>
    <w:pPr>
      <w:keepNext w:val="0"/>
      <w:spacing w:before="240" w:after="240" w:line="240" w:lineRule="auto"/>
    </w:pPr>
    <w:rPr>
      <w:sz w:val="30"/>
    </w:rPr>
  </w:style>
  <w:style w:type="character" w:customStyle="1" w:styleId="Char20">
    <w:name w:val="纯文本 Char2"/>
    <w:qFormat/>
    <w:rPr>
      <w:rFonts w:ascii="Arial Unicode MS" w:eastAsia="Arial Unicode MS" w:hAnsi="Arial Unicode MS" w:cs="Arial Unicode MS"/>
      <w:sz w:val="24"/>
      <w:szCs w:val="24"/>
      <w:lang w:val="en-US" w:eastAsia="zh-CN" w:bidi="ar-SA"/>
    </w:rPr>
  </w:style>
  <w:style w:type="character" w:customStyle="1" w:styleId="afffffd">
    <w:name w:val="样式 宋体"/>
    <w:qFormat/>
    <w:rPr>
      <w:rFonts w:ascii="Times New Roman" w:eastAsia="宋体" w:hAnsi="Times New Roman"/>
      <w:color w:val="000000"/>
      <w:sz w:val="28"/>
      <w:szCs w:val="28"/>
      <w:u w:val="none"/>
    </w:rPr>
  </w:style>
  <w:style w:type="character" w:customStyle="1" w:styleId="fontsz">
    <w:name w:val="fontsz"/>
    <w:basedOn w:val="ab"/>
    <w:qFormat/>
  </w:style>
  <w:style w:type="character" w:customStyle="1" w:styleId="Char4">
    <w:name w:val="表格内容 Char"/>
    <w:link w:val="afffffe"/>
    <w:qFormat/>
    <w:locked/>
    <w:rPr>
      <w:rFonts w:ascii="Arial" w:eastAsia="仿宋_GB2312" w:hAnsi="Arial"/>
      <w:sz w:val="24"/>
    </w:rPr>
  </w:style>
  <w:style w:type="paragraph" w:customStyle="1" w:styleId="afffffe">
    <w:name w:val="表格内容"/>
    <w:basedOn w:val="a8"/>
    <w:link w:val="Char4"/>
    <w:qFormat/>
    <w:pPr>
      <w:overflowPunct w:val="0"/>
      <w:adjustRightInd w:val="0"/>
      <w:spacing w:before="40" w:after="60" w:line="200" w:lineRule="atLeast"/>
      <w:textAlignment w:val="baseline"/>
    </w:pPr>
    <w:rPr>
      <w:rFonts w:ascii="Arial" w:eastAsia="仿宋_GB2312" w:hAnsi="Arial"/>
    </w:rPr>
  </w:style>
  <w:style w:type="character" w:customStyle="1" w:styleId="Char5">
    <w:name w:val="文章正文 Char"/>
    <w:link w:val="affffff"/>
    <w:qFormat/>
    <w:rPr>
      <w:rFonts w:ascii="宋体" w:hAnsi="宋体"/>
      <w:kern w:val="2"/>
      <w:sz w:val="24"/>
      <w:szCs w:val="24"/>
    </w:rPr>
  </w:style>
  <w:style w:type="paragraph" w:customStyle="1" w:styleId="affffff">
    <w:name w:val="文章正文"/>
    <w:basedOn w:val="a8"/>
    <w:link w:val="Char5"/>
    <w:qFormat/>
    <w:pPr>
      <w:spacing w:beforeLines="50" w:before="156" w:afterLines="50" w:after="156" w:line="360" w:lineRule="auto"/>
      <w:ind w:firstLineChars="200" w:firstLine="480"/>
    </w:pPr>
    <w:rPr>
      <w:rFonts w:hAnsi="宋体"/>
      <w:kern w:val="2"/>
      <w:szCs w:val="24"/>
    </w:rPr>
  </w:style>
  <w:style w:type="character" w:customStyle="1" w:styleId="hover33">
    <w:name w:val="hover33"/>
    <w:qFormat/>
    <w:rPr>
      <w:rFonts w:ascii="宋体" w:hAnsi="宋体" w:cs="宋体"/>
      <w:color w:val="FFFFFF"/>
      <w:sz w:val="24"/>
      <w:u w:val="none"/>
      <w:shd w:val="clear" w:color="auto" w:fill="A1D98A"/>
    </w:rPr>
  </w:style>
  <w:style w:type="character" w:customStyle="1" w:styleId="CharChar2">
    <w:name w:val="正文文字 Char Char"/>
    <w:qFormat/>
    <w:rPr>
      <w:kern w:val="2"/>
      <w:sz w:val="24"/>
      <w:szCs w:val="24"/>
    </w:rPr>
  </w:style>
  <w:style w:type="character" w:customStyle="1" w:styleId="12CharChar">
    <w:name w:val="样式 正文样式1 + 首行缩进:  2 字符 Char Char"/>
    <w:link w:val="120"/>
    <w:qFormat/>
    <w:rPr>
      <w:rFonts w:eastAsia="宋体" w:cs="宋体"/>
      <w:sz w:val="24"/>
      <w:lang w:val="en-US" w:eastAsia="zh-CN" w:bidi="ar-SA"/>
    </w:rPr>
  </w:style>
  <w:style w:type="paragraph" w:customStyle="1" w:styleId="120">
    <w:name w:val="样式 正文样式1 + 首行缩进:  2 字符"/>
    <w:basedOn w:val="a8"/>
    <w:link w:val="12CharChar"/>
    <w:qFormat/>
    <w:pPr>
      <w:widowControl/>
      <w:spacing w:line="360" w:lineRule="auto"/>
      <w:ind w:firstLineChars="200" w:firstLine="200"/>
    </w:pPr>
    <w:rPr>
      <w:rFonts w:cs="宋体"/>
    </w:rPr>
  </w:style>
  <w:style w:type="character" w:customStyle="1" w:styleId="zjgblk1">
    <w:name w:val="zjgblk1"/>
    <w:qFormat/>
    <w:rPr>
      <w:rFonts w:hint="default"/>
      <w:color w:val="000000"/>
      <w:sz w:val="18"/>
      <w:szCs w:val="18"/>
      <w:u w:val="none"/>
    </w:rPr>
  </w:style>
  <w:style w:type="character" w:customStyle="1" w:styleId="CharChar3">
    <w:name w:val="正文(首行缩进)宋旭峰 Char Char"/>
    <w:qFormat/>
    <w:rPr>
      <w:rFonts w:eastAsia="宋体"/>
      <w:snapToGrid w:val="0"/>
      <w:spacing w:val="16"/>
      <w:sz w:val="24"/>
      <w:szCs w:val="24"/>
      <w:lang w:val="en-US" w:eastAsia="zh-CN" w:bidi="ar-SA"/>
    </w:rPr>
  </w:style>
  <w:style w:type="character" w:customStyle="1" w:styleId="80">
    <w:name w:val="标题 8 字符"/>
    <w:link w:val="8"/>
    <w:qFormat/>
    <w:rPr>
      <w:rFonts w:ascii="Arial" w:eastAsia="宋体" w:hAnsi="Arial"/>
      <w:sz w:val="24"/>
      <w:lang w:val="en-US" w:eastAsia="zh-CN" w:bidi="ar-SA"/>
    </w:rPr>
  </w:style>
  <w:style w:type="character" w:customStyle="1" w:styleId="20">
    <w:name w:val="标题 2 字符"/>
    <w:link w:val="2"/>
    <w:qFormat/>
    <w:rPr>
      <w:rFonts w:eastAsia="黑体"/>
      <w:b/>
      <w:kern w:val="2"/>
      <w:sz w:val="32"/>
      <w:lang w:val="en-US" w:eastAsia="zh-CN" w:bidi="ar-SA"/>
    </w:rPr>
  </w:style>
  <w:style w:type="character" w:customStyle="1" w:styleId="hover34">
    <w:name w:val="hover34"/>
    <w:qFormat/>
    <w:rPr>
      <w:rFonts w:ascii="宋体" w:hAnsi="宋体" w:cs="宋体"/>
      <w:color w:val="FFFFFF"/>
      <w:sz w:val="24"/>
      <w:u w:val="none"/>
      <w:shd w:val="clear" w:color="auto" w:fill="A1D98A"/>
    </w:rPr>
  </w:style>
  <w:style w:type="character" w:customStyle="1" w:styleId="APMingLiUCharChar">
    <w:name w:val="样式 正文A + (中文) PMingLiU Char Char"/>
    <w:qFormat/>
    <w:rPr>
      <w:rFonts w:ascii="宋体" w:eastAsia="宋体" w:hAnsi="宋体" w:cs="宋体" w:hint="eastAsia"/>
      <w:kern w:val="2"/>
      <w:sz w:val="24"/>
      <w:szCs w:val="24"/>
      <w:lang w:val="en-US" w:eastAsia="zh-CN" w:bidi="ar-SA"/>
    </w:rPr>
  </w:style>
  <w:style w:type="character" w:customStyle="1" w:styleId="f241">
    <w:name w:val="f241"/>
    <w:qFormat/>
    <w:rPr>
      <w:sz w:val="24"/>
      <w:szCs w:val="24"/>
    </w:rPr>
  </w:style>
  <w:style w:type="character" w:customStyle="1" w:styleId="1Char">
    <w:name w:val="样式 标题 1 + 黑体 小三 非加粗 Char"/>
    <w:link w:val="1"/>
    <w:qFormat/>
    <w:rPr>
      <w:rFonts w:ascii="黑体" w:eastAsia="黑体" w:hAnsi="黑体"/>
      <w:kern w:val="44"/>
      <w:sz w:val="30"/>
      <w:szCs w:val="44"/>
    </w:rPr>
  </w:style>
  <w:style w:type="paragraph" w:customStyle="1" w:styleId="1">
    <w:name w:val="样式 标题 1 + 黑体 小三 非加粗"/>
    <w:basedOn w:val="11"/>
    <w:link w:val="1Char"/>
    <w:qFormat/>
    <w:pPr>
      <w:numPr>
        <w:numId w:val="3"/>
      </w:numPr>
      <w:tabs>
        <w:tab w:val="clear" w:pos="8160"/>
      </w:tabs>
      <w:adjustRightInd/>
      <w:spacing w:before="340" w:afterLines="0" w:after="330" w:line="578" w:lineRule="auto"/>
      <w:jc w:val="both"/>
      <w:textAlignment w:val="auto"/>
    </w:pPr>
    <w:rPr>
      <w:rFonts w:hAnsi="黑体"/>
      <w:b w:val="0"/>
      <w:bCs w:val="0"/>
      <w:sz w:val="30"/>
      <w:szCs w:val="44"/>
    </w:rPr>
  </w:style>
  <w:style w:type="character" w:customStyle="1" w:styleId="CharChar4">
    <w:name w:val="表题 Char Char"/>
    <w:qFormat/>
    <w:rPr>
      <w:rFonts w:eastAsia="宋体"/>
      <w:b/>
      <w:spacing w:val="12"/>
      <w:w w:val="90"/>
      <w:kern w:val="2"/>
      <w:sz w:val="24"/>
      <w:szCs w:val="24"/>
      <w:lang w:val="en-US" w:eastAsia="zh-CN" w:bidi="ar-SA"/>
    </w:rPr>
  </w:style>
  <w:style w:type="character" w:customStyle="1" w:styleId="Char6">
    <w:name w:val="表中文字 Char"/>
    <w:qFormat/>
    <w:rPr>
      <w:rFonts w:ascii="Arial" w:eastAsia="楷体_GB2312" w:hAnsi="Arial"/>
      <w:kern w:val="2"/>
      <w:sz w:val="21"/>
      <w:szCs w:val="21"/>
      <w:shd w:val="clear" w:color="auto" w:fill="FFFFFF"/>
      <w:lang w:val="en-US" w:eastAsia="zh-CN" w:bidi="ar-SA"/>
    </w:rPr>
  </w:style>
  <w:style w:type="character" w:customStyle="1" w:styleId="Char1CharChar">
    <w:name w:val="表正文 Char1 Char Char"/>
    <w:qFormat/>
    <w:rPr>
      <w:rFonts w:eastAsia="宋体"/>
      <w:sz w:val="28"/>
      <w:lang w:val="en-US" w:eastAsia="zh-CN" w:bidi="ar-SA"/>
    </w:rPr>
  </w:style>
  <w:style w:type="character" w:customStyle="1" w:styleId="duanluo2">
    <w:name w:val="duanluo2"/>
    <w:qFormat/>
    <w:rPr>
      <w:rFonts w:ascii="_GB2312" w:hAnsi="_GB2312" w:hint="default"/>
      <w:color w:val="000000"/>
      <w:sz w:val="21"/>
      <w:szCs w:val="21"/>
    </w:rPr>
  </w:style>
  <w:style w:type="character" w:customStyle="1" w:styleId="style21">
    <w:name w:val="style21"/>
    <w:qFormat/>
    <w:rPr>
      <w:b/>
      <w:bCs/>
      <w:sz w:val="21"/>
      <w:szCs w:val="21"/>
    </w:rPr>
  </w:style>
  <w:style w:type="character" w:customStyle="1" w:styleId="Char7">
    <w:name w:val="正文(首行缩进) Char"/>
    <w:qFormat/>
    <w:rPr>
      <w:rFonts w:eastAsia="宋体"/>
      <w:snapToGrid w:val="0"/>
      <w:sz w:val="24"/>
      <w:szCs w:val="24"/>
      <w:lang w:val="en-US" w:eastAsia="zh-CN" w:bidi="ar-SA"/>
    </w:rPr>
  </w:style>
  <w:style w:type="character" w:customStyle="1" w:styleId="1Char1Char">
    <w:name w:val="标题 1 Char1 Char"/>
    <w:qFormat/>
    <w:rPr>
      <w:rFonts w:ascii="宋体" w:hAnsi="宋体"/>
      <w:b/>
      <w:kern w:val="44"/>
      <w:sz w:val="44"/>
      <w:szCs w:val="30"/>
    </w:rPr>
  </w:style>
  <w:style w:type="character" w:customStyle="1" w:styleId="info">
    <w:name w:val="info"/>
    <w:basedOn w:val="ab"/>
    <w:qFormat/>
  </w:style>
  <w:style w:type="character" w:customStyle="1" w:styleId="afff6">
    <w:name w:val="页眉 字符"/>
    <w:link w:val="afff5"/>
    <w:qFormat/>
    <w:rPr>
      <w:rFonts w:eastAsia="宋体"/>
      <w:kern w:val="2"/>
      <w:sz w:val="18"/>
      <w:szCs w:val="18"/>
      <w:lang w:val="en-US" w:eastAsia="zh-CN" w:bidi="ar-SA"/>
    </w:rPr>
  </w:style>
  <w:style w:type="character" w:customStyle="1" w:styleId="hangju1">
    <w:name w:val="hangju1"/>
    <w:basedOn w:val="ab"/>
    <w:qFormat/>
  </w:style>
  <w:style w:type="character" w:customStyle="1" w:styleId="Char8">
    <w:name w:val="批注引用 Char"/>
    <w:basedOn w:val="Char9"/>
    <w:qFormat/>
    <w:rPr>
      <w:color w:val="000000"/>
      <w:sz w:val="21"/>
      <w:u w:color="000000"/>
      <w:lang w:val="en-US" w:eastAsia="zh-CN"/>
    </w:rPr>
  </w:style>
  <w:style w:type="character" w:customStyle="1" w:styleId="Char9">
    <w:name w:val="默认段落字体 Char"/>
    <w:qFormat/>
    <w:rPr>
      <w:color w:val="000000"/>
      <w:sz w:val="21"/>
      <w:u w:color="000000"/>
      <w:lang w:val="en-US" w:eastAsia="zh-CN"/>
    </w:rPr>
  </w:style>
  <w:style w:type="character" w:customStyle="1" w:styleId="CharChar30">
    <w:name w:val="Char Char3"/>
    <w:qFormat/>
    <w:rPr>
      <w:rFonts w:ascii="Arial" w:eastAsia="宋体" w:hAnsi="Arial" w:cs="Arial"/>
      <w:sz w:val="24"/>
      <w:szCs w:val="24"/>
      <w:lang w:val="en-US" w:eastAsia="zh-CN" w:bidi="ar-SA"/>
    </w:rPr>
  </w:style>
  <w:style w:type="character" w:customStyle="1" w:styleId="Chara">
    <w:name w:val="正文格式 Char"/>
    <w:qFormat/>
    <w:rPr>
      <w:rFonts w:eastAsia="宋体"/>
      <w:sz w:val="28"/>
      <w:szCs w:val="28"/>
      <w:lang w:bidi="ar-SA"/>
    </w:rPr>
  </w:style>
  <w:style w:type="character" w:customStyle="1" w:styleId="CharChar10">
    <w:name w:val="表题注 Char Char1"/>
    <w:qFormat/>
    <w:rPr>
      <w:rFonts w:ascii="Arial" w:eastAsia="黑体" w:hAnsi="Arial" w:cs="Arial"/>
      <w:kern w:val="2"/>
      <w:lang w:val="en-US" w:eastAsia="zh-CN" w:bidi="ar-SA"/>
    </w:rPr>
  </w:style>
  <w:style w:type="character" w:customStyle="1" w:styleId="content1">
    <w:name w:val="content1"/>
    <w:qFormat/>
    <w:rPr>
      <w:color w:val="000000"/>
      <w:sz w:val="28"/>
      <w:szCs w:val="28"/>
      <w:u w:val="none"/>
    </w:rPr>
  </w:style>
  <w:style w:type="character" w:customStyle="1" w:styleId="Char13">
    <w:name w:val="表蕊 Char1"/>
    <w:link w:val="affffff0"/>
    <w:qFormat/>
    <w:rPr>
      <w:sz w:val="21"/>
      <w:szCs w:val="21"/>
    </w:rPr>
  </w:style>
  <w:style w:type="paragraph" w:customStyle="1" w:styleId="affffff0">
    <w:name w:val="表蕊"/>
    <w:basedOn w:val="a8"/>
    <w:link w:val="Char13"/>
    <w:qFormat/>
    <w:pPr>
      <w:adjustRightInd w:val="0"/>
      <w:spacing w:line="280" w:lineRule="exact"/>
      <w:jc w:val="center"/>
      <w:textAlignment w:val="baseline"/>
    </w:pPr>
    <w:rPr>
      <w:rFonts w:ascii="Times New Roman"/>
      <w:sz w:val="21"/>
      <w:szCs w:val="21"/>
    </w:rPr>
  </w:style>
  <w:style w:type="character" w:customStyle="1" w:styleId="CharChar5">
    <w:name w:val="表头 Char Char"/>
    <w:link w:val="affffff1"/>
    <w:qFormat/>
    <w:rPr>
      <w:rFonts w:eastAsia="黑体"/>
      <w:spacing w:val="16"/>
      <w:kern w:val="2"/>
      <w:sz w:val="24"/>
      <w:szCs w:val="24"/>
      <w:lang w:val="en-US" w:eastAsia="zh-CN" w:bidi="ar-SA"/>
    </w:rPr>
  </w:style>
  <w:style w:type="paragraph" w:customStyle="1" w:styleId="affffff1">
    <w:name w:val="表头"/>
    <w:basedOn w:val="a8"/>
    <w:next w:val="a8"/>
    <w:link w:val="CharChar5"/>
    <w:qFormat/>
    <w:pPr>
      <w:tabs>
        <w:tab w:val="left" w:pos="4440"/>
      </w:tabs>
      <w:autoSpaceDE w:val="0"/>
      <w:autoSpaceDN w:val="0"/>
      <w:adjustRightInd w:val="0"/>
      <w:snapToGrid w:val="0"/>
      <w:spacing w:beforeLines="25" w:before="78" w:afterLines="25" w:after="78"/>
      <w:jc w:val="center"/>
      <w:textAlignment w:val="bottom"/>
    </w:pPr>
    <w:rPr>
      <w:rFonts w:eastAsia="黑体"/>
      <w:spacing w:val="16"/>
      <w:kern w:val="2"/>
      <w:szCs w:val="24"/>
    </w:rPr>
  </w:style>
  <w:style w:type="character" w:customStyle="1" w:styleId="CharChar6">
    <w:name w:val="正文格式 Char Char"/>
    <w:link w:val="affffff2"/>
    <w:qFormat/>
    <w:rPr>
      <w:rFonts w:eastAsia="宋体" w:cs="宋体"/>
      <w:kern w:val="2"/>
      <w:sz w:val="24"/>
      <w:szCs w:val="24"/>
      <w:lang w:val="en-US" w:eastAsia="zh-CN" w:bidi="ar-SA"/>
    </w:rPr>
  </w:style>
  <w:style w:type="paragraph" w:customStyle="1" w:styleId="affffff2">
    <w:name w:val="正文格式"/>
    <w:basedOn w:val="a8"/>
    <w:link w:val="CharChar6"/>
    <w:qFormat/>
    <w:pPr>
      <w:spacing w:line="360" w:lineRule="auto"/>
      <w:ind w:firstLineChars="200" w:firstLine="544"/>
    </w:pPr>
    <w:rPr>
      <w:rFonts w:cs="宋体"/>
      <w:kern w:val="2"/>
      <w:szCs w:val="24"/>
    </w:rPr>
  </w:style>
  <w:style w:type="character" w:customStyle="1" w:styleId="hover">
    <w:name w:val="hover"/>
    <w:qFormat/>
    <w:rPr>
      <w:rFonts w:ascii="宋体" w:hAnsi="宋体" w:cs="宋体"/>
      <w:color w:val="FFFFFF"/>
      <w:sz w:val="24"/>
      <w:u w:val="none"/>
      <w:shd w:val="clear" w:color="auto" w:fill="A1D98A"/>
    </w:rPr>
  </w:style>
  <w:style w:type="character" w:customStyle="1" w:styleId="CharCharChar">
    <w:name w:val="Char Char Char"/>
    <w:qFormat/>
    <w:rPr>
      <w:rFonts w:ascii="宋体" w:eastAsia="宋体" w:hAnsi="ISOCT"/>
      <w:kern w:val="2"/>
      <w:sz w:val="21"/>
      <w:szCs w:val="21"/>
      <w:lang w:val="en-US" w:eastAsia="zh-CN" w:bidi="ar-SA"/>
    </w:rPr>
  </w:style>
  <w:style w:type="character" w:customStyle="1" w:styleId="ae">
    <w:name w:val="正文文本 字符"/>
    <w:link w:val="a9"/>
    <w:qFormat/>
    <w:rPr>
      <w:rFonts w:eastAsia="宋体"/>
      <w:kern w:val="2"/>
      <w:sz w:val="21"/>
      <w:szCs w:val="24"/>
      <w:lang w:val="en-US" w:eastAsia="zh-CN" w:bidi="ar-SA"/>
    </w:rPr>
  </w:style>
  <w:style w:type="character" w:customStyle="1" w:styleId="aaaChar">
    <w:name w:val="aaa Char"/>
    <w:link w:val="aaa"/>
    <w:qFormat/>
    <w:rPr>
      <w:rFonts w:ascii="ˎ̥" w:hAnsi="ˎ̥"/>
      <w:bCs/>
      <w:color w:val="000000"/>
      <w:sz w:val="24"/>
    </w:rPr>
  </w:style>
  <w:style w:type="paragraph" w:customStyle="1" w:styleId="aaa">
    <w:name w:val="aaa"/>
    <w:basedOn w:val="a8"/>
    <w:link w:val="aaaChar"/>
    <w:qFormat/>
    <w:pPr>
      <w:spacing w:beforeLines="50" w:before="156" w:afterLines="50" w:after="156" w:line="360" w:lineRule="auto"/>
      <w:ind w:firstLineChars="200" w:firstLine="480"/>
    </w:pPr>
    <w:rPr>
      <w:rFonts w:ascii="ˎ̥" w:hAnsi="ˎ̥"/>
      <w:bCs/>
      <w:color w:val="000000"/>
    </w:rPr>
  </w:style>
  <w:style w:type="character" w:customStyle="1" w:styleId="cChar">
    <w:name w:val="网格型c Char"/>
    <w:qFormat/>
    <w:rPr>
      <w:rFonts w:eastAsia="宋体"/>
      <w:kern w:val="2"/>
      <w:sz w:val="21"/>
      <w:szCs w:val="21"/>
      <w:lang w:val="en-US" w:eastAsia="zh-CN" w:bidi="ar-SA"/>
    </w:rPr>
  </w:style>
  <w:style w:type="character" w:customStyle="1" w:styleId="4Char0">
    <w:name w:val="样式4 Char"/>
    <w:link w:val="4"/>
    <w:qFormat/>
    <w:rPr>
      <w:rFonts w:ascii="宋体"/>
    </w:rPr>
  </w:style>
  <w:style w:type="paragraph" w:customStyle="1" w:styleId="4">
    <w:name w:val="样式4"/>
    <w:basedOn w:val="a8"/>
    <w:link w:val="4Char0"/>
    <w:qFormat/>
    <w:pPr>
      <w:widowControl/>
      <w:numPr>
        <w:numId w:val="4"/>
      </w:numPr>
      <w:jc w:val="left"/>
    </w:pPr>
    <w:rPr>
      <w:sz w:val="20"/>
    </w:rPr>
  </w:style>
  <w:style w:type="character" w:customStyle="1" w:styleId="Char21">
    <w:name w:val="小四+首行缩进 Char2"/>
    <w:link w:val="affffff3"/>
    <w:qFormat/>
    <w:rPr>
      <w:rFonts w:ascii="宋体" w:eastAsia="宋体" w:hAnsi="宋体" w:cs="宋体"/>
      <w:kern w:val="2"/>
      <w:sz w:val="24"/>
      <w:lang w:val="en-US" w:eastAsia="zh-CN" w:bidi="ar-SA"/>
    </w:rPr>
  </w:style>
  <w:style w:type="paragraph" w:customStyle="1" w:styleId="affffff3">
    <w:name w:val="小四+首行缩进"/>
    <w:basedOn w:val="a8"/>
    <w:link w:val="Char21"/>
    <w:qFormat/>
    <w:pPr>
      <w:spacing w:line="360" w:lineRule="auto"/>
      <w:ind w:firstLine="482"/>
    </w:pPr>
    <w:rPr>
      <w:rFonts w:hAnsi="宋体" w:cs="宋体"/>
      <w:kern w:val="2"/>
    </w:rPr>
  </w:style>
  <w:style w:type="character" w:customStyle="1" w:styleId="PlainTextChar1Char">
    <w:name w:val="Plain Text Char1 Char"/>
    <w:qFormat/>
    <w:rPr>
      <w:rFonts w:ascii="宋体" w:eastAsia="宋体" w:hAnsi="Courier New"/>
      <w:kern w:val="2"/>
      <w:sz w:val="21"/>
      <w:lang w:val="en-US" w:eastAsia="zh-CN"/>
    </w:rPr>
  </w:style>
  <w:style w:type="character" w:customStyle="1" w:styleId="af1">
    <w:name w:val="正文缩进 字符"/>
    <w:link w:val="aa"/>
    <w:qFormat/>
    <w:rPr>
      <w:rFonts w:eastAsia="宋体"/>
      <w:kern w:val="2"/>
      <w:sz w:val="24"/>
      <w:szCs w:val="21"/>
      <w:lang w:val="en-US" w:eastAsia="zh-CN" w:bidi="ar-SA"/>
    </w:rPr>
  </w:style>
  <w:style w:type="character" w:customStyle="1" w:styleId="2Char0">
    <w:name w:val="样式2 Char"/>
    <w:link w:val="2e"/>
    <w:qFormat/>
    <w:rPr>
      <w:rFonts w:ascii="宋体"/>
      <w:sz w:val="24"/>
      <w:szCs w:val="21"/>
    </w:rPr>
  </w:style>
  <w:style w:type="paragraph" w:customStyle="1" w:styleId="2e">
    <w:name w:val="样式2"/>
    <w:basedOn w:val="a8"/>
    <w:link w:val="2Char0"/>
    <w:qFormat/>
    <w:pPr>
      <w:autoSpaceDE w:val="0"/>
      <w:autoSpaceDN w:val="0"/>
      <w:adjustRightInd w:val="0"/>
      <w:snapToGrid w:val="0"/>
      <w:spacing w:line="360" w:lineRule="auto"/>
      <w:jc w:val="center"/>
      <w:textAlignment w:val="baseline"/>
    </w:pPr>
    <w:rPr>
      <w:szCs w:val="21"/>
    </w:rPr>
  </w:style>
  <w:style w:type="character" w:customStyle="1" w:styleId="p14">
    <w:name w:val="p14"/>
    <w:basedOn w:val="ab"/>
    <w:qFormat/>
  </w:style>
  <w:style w:type="character" w:customStyle="1" w:styleId="29">
    <w:name w:val="正文文本 2 字符"/>
    <w:link w:val="28"/>
    <w:uiPriority w:val="99"/>
    <w:qFormat/>
    <w:rPr>
      <w:rFonts w:eastAsia="宋体"/>
      <w:spacing w:val="16"/>
      <w:kern w:val="2"/>
      <w:sz w:val="24"/>
      <w:szCs w:val="24"/>
      <w:lang w:val="en-US" w:eastAsia="zh-CN" w:bidi="ar-SA"/>
    </w:rPr>
  </w:style>
  <w:style w:type="character" w:customStyle="1" w:styleId="2Char1">
    <w:name w:val="样式 正文 + 首行缩进:  2 字符 + 宋体 四号 Char"/>
    <w:qFormat/>
    <w:rPr>
      <w:rFonts w:ascii="宋体" w:eastAsia="宋体" w:hAnsi="宋体" w:cs="宋体"/>
      <w:kern w:val="2"/>
      <w:sz w:val="28"/>
      <w:lang w:val="en-US" w:eastAsia="zh-CN" w:bidi="ar-SA"/>
    </w:rPr>
  </w:style>
  <w:style w:type="character" w:customStyle="1" w:styleId="4CharChar">
    <w:name w:val="【标题4】 Char Char"/>
    <w:link w:val="4a"/>
    <w:qFormat/>
    <w:rPr>
      <w:rFonts w:eastAsia="宋体" w:cs="宋体"/>
      <w:b/>
      <w:bCs/>
      <w:kern w:val="2"/>
      <w:sz w:val="28"/>
      <w:lang w:val="en-US" w:eastAsia="zh-CN" w:bidi="ar-SA"/>
    </w:rPr>
  </w:style>
  <w:style w:type="paragraph" w:customStyle="1" w:styleId="4a">
    <w:name w:val="【标题4】"/>
    <w:basedOn w:val="a8"/>
    <w:link w:val="4CharChar"/>
    <w:qFormat/>
    <w:pPr>
      <w:keepLines/>
      <w:spacing w:before="120" w:after="120"/>
      <w:jc w:val="left"/>
      <w:outlineLvl w:val="3"/>
    </w:pPr>
    <w:rPr>
      <w:rFonts w:cs="宋体"/>
      <w:b/>
      <w:bCs/>
      <w:kern w:val="2"/>
      <w:sz w:val="28"/>
    </w:rPr>
  </w:style>
  <w:style w:type="character" w:customStyle="1" w:styleId="affffff4">
    <w:name w:val="无间隔 字符"/>
    <w:link w:val="affffff5"/>
    <w:qFormat/>
    <w:rPr>
      <w:rFonts w:ascii="Calibri" w:eastAsia="宋体" w:hAnsi="Calibri"/>
      <w:sz w:val="24"/>
      <w:szCs w:val="32"/>
      <w:lang w:val="en-US" w:eastAsia="en-US" w:bidi="en-US"/>
    </w:rPr>
  </w:style>
  <w:style w:type="paragraph" w:styleId="affffff5">
    <w:name w:val="No Spacing"/>
    <w:basedOn w:val="a8"/>
    <w:link w:val="affffff4"/>
    <w:qFormat/>
    <w:pPr>
      <w:widowControl/>
      <w:jc w:val="left"/>
    </w:pPr>
    <w:rPr>
      <w:rFonts w:ascii="Calibri" w:hAnsi="Calibri"/>
      <w:szCs w:val="32"/>
      <w:lang w:eastAsia="en-US" w:bidi="en-US"/>
    </w:rPr>
  </w:style>
  <w:style w:type="character" w:customStyle="1" w:styleId="CharChar7">
    <w:name w:val="样式 正文格式 Char Char"/>
    <w:qFormat/>
    <w:rPr>
      <w:rFonts w:ascii="宋体" w:eastAsia="宋体" w:hAnsi="宋体"/>
      <w:sz w:val="28"/>
      <w:szCs w:val="28"/>
      <w:lang w:val="en-US" w:eastAsia="zh-CN" w:bidi="ar-SA"/>
    </w:rPr>
  </w:style>
  <w:style w:type="character" w:customStyle="1" w:styleId="CharChar8">
    <w:name w:val="【表头】 Char Char"/>
    <w:link w:val="affffff6"/>
    <w:qFormat/>
    <w:rPr>
      <w:rFonts w:eastAsia="黑体" w:cs="宋体"/>
      <w:sz w:val="24"/>
      <w:lang w:val="en-US" w:eastAsia="zh-CN" w:bidi="ar-SA"/>
    </w:rPr>
  </w:style>
  <w:style w:type="paragraph" w:customStyle="1" w:styleId="affffff6">
    <w:name w:val="【表头】"/>
    <w:basedOn w:val="a8"/>
    <w:link w:val="CharChar8"/>
    <w:qFormat/>
    <w:pPr>
      <w:spacing w:line="460" w:lineRule="exact"/>
      <w:jc w:val="center"/>
    </w:pPr>
    <w:rPr>
      <w:rFonts w:eastAsia="黑体" w:cs="宋体"/>
    </w:rPr>
  </w:style>
  <w:style w:type="character" w:customStyle="1" w:styleId="12322CharChar">
    <w:name w:val="样式 样式 样式 样式 样式 样式 样式 123 + 自动设置 首行缩进:  2 字符 + 首行缩进:  2 字符 + 黑色 首... Char Char"/>
    <w:qFormat/>
    <w:rPr>
      <w:rFonts w:eastAsia="宋体" w:cs="宋体"/>
      <w:kern w:val="2"/>
      <w:sz w:val="28"/>
      <w:szCs w:val="28"/>
      <w:lang w:val="en-US" w:eastAsia="zh-CN" w:bidi="ar-SA"/>
    </w:rPr>
  </w:style>
  <w:style w:type="character" w:customStyle="1" w:styleId="afffe">
    <w:name w:val="脚注文本 字符"/>
    <w:link w:val="afffd"/>
    <w:qFormat/>
    <w:rPr>
      <w:rFonts w:eastAsia="宋体"/>
      <w:kern w:val="2"/>
      <w:sz w:val="18"/>
      <w:szCs w:val="18"/>
      <w:lang w:val="en-US" w:eastAsia="zh-CN" w:bidi="ar-SA"/>
    </w:rPr>
  </w:style>
  <w:style w:type="character" w:customStyle="1" w:styleId="1Char0">
    <w:name w:val="表题1 Char"/>
    <w:link w:val="17"/>
    <w:qFormat/>
    <w:rPr>
      <w:rFonts w:ascii="宋体"/>
      <w:sz w:val="24"/>
      <w:szCs w:val="24"/>
    </w:rPr>
  </w:style>
  <w:style w:type="paragraph" w:customStyle="1" w:styleId="17">
    <w:name w:val="表题1"/>
    <w:basedOn w:val="63"/>
    <w:link w:val="1Char0"/>
    <w:qFormat/>
    <w:pPr>
      <w:autoSpaceDE w:val="0"/>
      <w:autoSpaceDN w:val="0"/>
      <w:adjustRightInd w:val="0"/>
      <w:spacing w:after="60" w:line="240" w:lineRule="auto"/>
      <w:ind w:firstLineChars="0" w:firstLine="0"/>
      <w:jc w:val="left"/>
    </w:pPr>
    <w:rPr>
      <w:rFonts w:ascii="宋体"/>
      <w:color w:val="auto"/>
      <w:kern w:val="0"/>
    </w:rPr>
  </w:style>
  <w:style w:type="character" w:customStyle="1" w:styleId="affa">
    <w:name w:val="纯文本 字符"/>
    <w:link w:val="aff9"/>
    <w:qFormat/>
    <w:rPr>
      <w:rFonts w:ascii="Arial Unicode MS" w:eastAsia="Arial Unicode MS" w:hAnsi="Arial Unicode MS" w:cs="Arial Unicode MS"/>
      <w:sz w:val="24"/>
      <w:szCs w:val="24"/>
      <w:lang w:val="en-US" w:eastAsia="zh-CN" w:bidi="ar-SA"/>
    </w:rPr>
  </w:style>
  <w:style w:type="character" w:customStyle="1" w:styleId="affff6">
    <w:name w:val="批注主题 字符"/>
    <w:link w:val="affff5"/>
    <w:qFormat/>
    <w:rPr>
      <w:rFonts w:eastAsia="宋体"/>
      <w:b/>
      <w:bCs/>
      <w:lang w:val="en-US" w:eastAsia="zh-CN" w:bidi="ar-SA"/>
    </w:rPr>
  </w:style>
  <w:style w:type="character" w:customStyle="1" w:styleId="apple-style-span">
    <w:name w:val="apple-style-span"/>
    <w:basedOn w:val="ab"/>
    <w:qFormat/>
  </w:style>
  <w:style w:type="character" w:customStyle="1" w:styleId="afff3">
    <w:name w:val="页脚 字符"/>
    <w:link w:val="afff2"/>
    <w:qFormat/>
    <w:rPr>
      <w:rFonts w:eastAsia="宋体"/>
      <w:kern w:val="2"/>
      <w:sz w:val="18"/>
      <w:szCs w:val="18"/>
      <w:lang w:val="en-US" w:eastAsia="zh-CN" w:bidi="ar-SA"/>
    </w:rPr>
  </w:style>
  <w:style w:type="character" w:customStyle="1" w:styleId="13CharChar">
    <w:name w:val="标题 13 Char Char"/>
    <w:qFormat/>
    <w:rPr>
      <w:rFonts w:ascii="Arial Unicode MS" w:eastAsia="Arial Unicode MS" w:hAnsi="Arial Unicode MS" w:cs="Arial Unicode MS"/>
      <w:b/>
      <w:bCs/>
      <w:color w:val="000000"/>
      <w:sz w:val="27"/>
      <w:szCs w:val="27"/>
      <w:lang w:val="en-US" w:eastAsia="zh-CN" w:bidi="ar-SA"/>
    </w:rPr>
  </w:style>
  <w:style w:type="character" w:customStyle="1" w:styleId="141512CharChar">
    <w:name w:val="样式 样式 方正宋三简体 14 磅 行距: 1.5 倍行距1 + 首行缩进:  2 字符 Char Char"/>
    <w:link w:val="141512"/>
    <w:qFormat/>
    <w:rPr>
      <w:rFonts w:ascii="宋体" w:hAnsi="方正宋三简体"/>
      <w:kern w:val="2"/>
      <w:sz w:val="27"/>
      <w:szCs w:val="27"/>
      <w:lang w:val="en-US" w:eastAsia="zh-CN" w:bidi="ar-SA"/>
    </w:rPr>
  </w:style>
  <w:style w:type="paragraph" w:customStyle="1" w:styleId="141512">
    <w:name w:val="样式 样式 方正宋三简体 14 磅 行距: 1.5 倍行距1 + 首行缩进:  2 字符"/>
    <w:basedOn w:val="a8"/>
    <w:link w:val="141512CharChar"/>
    <w:qFormat/>
    <w:pPr>
      <w:ind w:firstLineChars="200" w:firstLine="200"/>
    </w:pPr>
    <w:rPr>
      <w:rFonts w:hAnsi="方正宋三简体"/>
      <w:kern w:val="2"/>
      <w:sz w:val="27"/>
      <w:szCs w:val="27"/>
    </w:rPr>
  </w:style>
  <w:style w:type="character" w:customStyle="1" w:styleId="text11">
    <w:name w:val="text11"/>
    <w:qFormat/>
    <w:rPr>
      <w:rFonts w:ascii="宋" w:eastAsia="宋" w:hint="eastAsia"/>
      <w:color w:val="000000"/>
      <w:sz w:val="18"/>
      <w:szCs w:val="18"/>
      <w:u w:val="none"/>
    </w:rPr>
  </w:style>
  <w:style w:type="character" w:customStyle="1" w:styleId="caption1Char">
    <w:name w:val="caption1 Char"/>
    <w:link w:val="caption1"/>
    <w:qFormat/>
    <w:rPr>
      <w:rFonts w:ascii="宋体"/>
      <w:sz w:val="24"/>
      <w:lang w:val="en-US" w:eastAsia="zh-CN"/>
    </w:rPr>
  </w:style>
  <w:style w:type="paragraph" w:customStyle="1" w:styleId="caption1">
    <w:name w:val="caption1"/>
    <w:basedOn w:val="a8"/>
    <w:next w:val="a8"/>
    <w:link w:val="caption1Char"/>
    <w:qFormat/>
    <w:pPr>
      <w:adjustRightInd w:val="0"/>
      <w:spacing w:line="360" w:lineRule="atLeast"/>
      <w:jc w:val="center"/>
      <w:textAlignment w:val="baseline"/>
    </w:pPr>
  </w:style>
  <w:style w:type="character" w:customStyle="1" w:styleId="myfont">
    <w:name w:val="myfont"/>
    <w:basedOn w:val="ab"/>
    <w:qFormat/>
  </w:style>
  <w:style w:type="character" w:customStyle="1" w:styleId="18">
    <w:name w:val="不明显强调1"/>
    <w:qFormat/>
    <w:rPr>
      <w:i/>
      <w:color w:val="5A5A5A"/>
    </w:rPr>
  </w:style>
  <w:style w:type="character" w:customStyle="1" w:styleId="CharChar9">
    <w:name w:val="表中文字 Char Char"/>
    <w:qFormat/>
    <w:rPr>
      <w:rFonts w:eastAsia="宋体"/>
      <w:sz w:val="24"/>
      <w:lang w:val="en-US" w:eastAsia="zh-CN" w:bidi="ar-SA"/>
    </w:rPr>
  </w:style>
  <w:style w:type="character" w:customStyle="1" w:styleId="1012Char">
    <w:name w:val="样式 样式 首行缩进:  1.01 厘米 + 首行缩进:  2 字符 Char"/>
    <w:basedOn w:val="101Char"/>
    <w:link w:val="1012"/>
    <w:qFormat/>
    <w:rPr>
      <w:rFonts w:ascii="宋体" w:hAnsi="宋体"/>
      <w:color w:val="000000"/>
      <w:kern w:val="2"/>
      <w:sz w:val="24"/>
      <w:szCs w:val="24"/>
    </w:rPr>
  </w:style>
  <w:style w:type="paragraph" w:customStyle="1" w:styleId="1012">
    <w:name w:val="样式 样式 首行缩进:  1.01 厘米 + 首行缩进:  2 字符"/>
    <w:basedOn w:val="101"/>
    <w:link w:val="1012Char"/>
    <w:qFormat/>
    <w:pPr>
      <w:spacing w:line="312" w:lineRule="auto"/>
    </w:pPr>
  </w:style>
  <w:style w:type="character" w:customStyle="1" w:styleId="Charb">
    <w:name w:val="报告正文 Char"/>
    <w:link w:val="affffff7"/>
    <w:qFormat/>
    <w:rPr>
      <w:color w:val="FF0000"/>
      <w:sz w:val="24"/>
      <w:szCs w:val="21"/>
      <w:lang w:val="en-US" w:eastAsia="zh-CN"/>
    </w:rPr>
  </w:style>
  <w:style w:type="paragraph" w:customStyle="1" w:styleId="affffff7">
    <w:name w:val="报告正文"/>
    <w:basedOn w:val="a8"/>
    <w:next w:val="a8"/>
    <w:link w:val="Charb"/>
    <w:qFormat/>
    <w:pPr>
      <w:spacing w:line="360" w:lineRule="auto"/>
      <w:ind w:firstLineChars="200" w:firstLine="480"/>
    </w:pPr>
    <w:rPr>
      <w:rFonts w:ascii="Times New Roman"/>
      <w:color w:val="FF0000"/>
      <w:szCs w:val="21"/>
    </w:rPr>
  </w:style>
  <w:style w:type="character" w:customStyle="1" w:styleId="1CharChar0">
    <w:name w:val="表头1 Char Char"/>
    <w:link w:val="19"/>
    <w:qFormat/>
    <w:rPr>
      <w:rFonts w:eastAsia="黑体"/>
      <w:sz w:val="21"/>
      <w:szCs w:val="28"/>
      <w:lang w:val="en-US" w:eastAsia="zh-CN" w:bidi="ar-SA"/>
    </w:rPr>
  </w:style>
  <w:style w:type="paragraph" w:customStyle="1" w:styleId="19">
    <w:name w:val="表头1"/>
    <w:basedOn w:val="a8"/>
    <w:next w:val="a8"/>
    <w:link w:val="1CharChar0"/>
    <w:qFormat/>
    <w:pPr>
      <w:tabs>
        <w:tab w:val="left" w:pos="605"/>
      </w:tabs>
      <w:adjustRightInd w:val="0"/>
      <w:snapToGrid w:val="0"/>
      <w:jc w:val="center"/>
    </w:pPr>
    <w:rPr>
      <w:rFonts w:eastAsia="黑体"/>
      <w:sz w:val="21"/>
      <w:szCs w:val="28"/>
    </w:rPr>
  </w:style>
  <w:style w:type="character" w:customStyle="1" w:styleId="CharChar20">
    <w:name w:val="Char Char20"/>
    <w:qFormat/>
    <w:rPr>
      <w:rFonts w:ascii="Arial" w:eastAsia="宋体" w:hAnsi="Arial" w:cs="Arial"/>
      <w:sz w:val="24"/>
      <w:szCs w:val="24"/>
      <w:lang w:val="en-US" w:eastAsia="zh-CN" w:bidi="ar-SA"/>
    </w:rPr>
  </w:style>
  <w:style w:type="character" w:customStyle="1" w:styleId="3CharChar0">
    <w:name w:val="正文文字缩进 3 Char Char"/>
    <w:qFormat/>
    <w:rPr>
      <w:kern w:val="2"/>
      <w:sz w:val="16"/>
      <w:szCs w:val="16"/>
    </w:rPr>
  </w:style>
  <w:style w:type="character" w:customStyle="1" w:styleId="110">
    <w:name w:val="标题 11"/>
    <w:qFormat/>
    <w:rPr>
      <w:rFonts w:eastAsia="宋体"/>
      <w:b/>
      <w:bCs/>
      <w:spacing w:val="12"/>
      <w:kern w:val="44"/>
      <w:sz w:val="44"/>
      <w:szCs w:val="44"/>
      <w:lang w:val="en-US" w:eastAsia="zh-CN" w:bidi="ar-SA"/>
    </w:rPr>
  </w:style>
  <w:style w:type="character" w:customStyle="1" w:styleId="Charc">
    <w:name w:val="页码 Char"/>
    <w:basedOn w:val="Char9"/>
    <w:qFormat/>
    <w:rPr>
      <w:color w:val="000000"/>
      <w:sz w:val="21"/>
      <w:u w:color="000000"/>
      <w:lang w:val="en-US" w:eastAsia="zh-CN"/>
    </w:rPr>
  </w:style>
  <w:style w:type="character" w:customStyle="1" w:styleId="Char14">
    <w:name w:val="俺的图表标题 Char1"/>
    <w:link w:val="affffff8"/>
    <w:qFormat/>
    <w:rPr>
      <w:rFonts w:ascii="黑体" w:eastAsia="黑体" w:hAnsi="黑体"/>
      <w:b/>
      <w:bCs/>
      <w:sz w:val="24"/>
      <w:szCs w:val="24"/>
    </w:rPr>
  </w:style>
  <w:style w:type="paragraph" w:customStyle="1" w:styleId="affffff8">
    <w:name w:val="俺的图表标题"/>
    <w:basedOn w:val="a8"/>
    <w:link w:val="Char14"/>
    <w:qFormat/>
    <w:pPr>
      <w:spacing w:beforeLines="50" w:before="156"/>
      <w:jc w:val="center"/>
    </w:pPr>
    <w:rPr>
      <w:rFonts w:ascii="黑体" w:eastAsia="黑体" w:hAnsi="黑体"/>
      <w:b/>
      <w:bCs/>
      <w:szCs w:val="24"/>
    </w:rPr>
  </w:style>
  <w:style w:type="character" w:customStyle="1" w:styleId="33">
    <w:name w:val="标题 3 字符"/>
    <w:link w:val="31"/>
    <w:qFormat/>
    <w:rPr>
      <w:rFonts w:eastAsia="宋体"/>
      <w:b/>
      <w:bCs/>
      <w:kern w:val="2"/>
      <w:sz w:val="32"/>
      <w:szCs w:val="32"/>
      <w:lang w:val="en-US" w:eastAsia="zh-CN" w:bidi="ar-SA"/>
    </w:rPr>
  </w:style>
  <w:style w:type="character" w:customStyle="1" w:styleId="afff">
    <w:name w:val="尾注文本 字符"/>
    <w:link w:val="affe"/>
    <w:qFormat/>
    <w:rPr>
      <w:kern w:val="2"/>
      <w:sz w:val="21"/>
    </w:rPr>
  </w:style>
  <w:style w:type="character" w:customStyle="1" w:styleId="Chard">
    <w:name w:val="图表名 Char"/>
    <w:link w:val="affffff9"/>
    <w:uiPriority w:val="99"/>
    <w:qFormat/>
    <w:rPr>
      <w:rFonts w:ascii="宋体" w:hAnsi="宋体"/>
      <w:b/>
      <w:kern w:val="21"/>
      <w:sz w:val="24"/>
      <w:szCs w:val="24"/>
      <w:lang w:val="en-US" w:eastAsia="zh-CN"/>
    </w:rPr>
  </w:style>
  <w:style w:type="paragraph" w:customStyle="1" w:styleId="affffff9">
    <w:name w:val="图表名"/>
    <w:basedOn w:val="a8"/>
    <w:next w:val="a8"/>
    <w:link w:val="Chard"/>
    <w:uiPriority w:val="99"/>
    <w:qFormat/>
    <w:pPr>
      <w:tabs>
        <w:tab w:val="left" w:pos="3060"/>
      </w:tabs>
      <w:spacing w:before="60" w:after="60" w:line="400" w:lineRule="exact"/>
      <w:jc w:val="center"/>
    </w:pPr>
    <w:rPr>
      <w:rFonts w:hAnsi="宋体"/>
      <w:b/>
      <w:kern w:val="21"/>
      <w:szCs w:val="24"/>
    </w:rPr>
  </w:style>
  <w:style w:type="character" w:customStyle="1" w:styleId="90">
    <w:name w:val="标题 9 字符"/>
    <w:link w:val="9"/>
    <w:qFormat/>
    <w:rPr>
      <w:rFonts w:ascii="Arial" w:eastAsia="宋体" w:hAnsi="Arial"/>
      <w:sz w:val="24"/>
      <w:lang w:val="en-US" w:eastAsia="zh-CN" w:bidi="ar-SA"/>
    </w:rPr>
  </w:style>
  <w:style w:type="character" w:customStyle="1" w:styleId="Chare">
    <w:name w:val="样式 小四 Char"/>
    <w:link w:val="affffffa"/>
    <w:qFormat/>
    <w:rPr>
      <w:kern w:val="2"/>
      <w:sz w:val="24"/>
      <w:szCs w:val="24"/>
    </w:rPr>
  </w:style>
  <w:style w:type="paragraph" w:customStyle="1" w:styleId="affffffa">
    <w:name w:val="样式 小四"/>
    <w:basedOn w:val="a8"/>
    <w:link w:val="Chare"/>
    <w:qFormat/>
    <w:pPr>
      <w:spacing w:beforeLines="50" w:before="156" w:afterLines="50" w:after="156" w:line="360" w:lineRule="auto"/>
      <w:ind w:firstLineChars="200" w:firstLine="200"/>
      <w:textAlignment w:val="baseline"/>
    </w:pPr>
    <w:rPr>
      <w:rFonts w:ascii="Times New Roman"/>
      <w:kern w:val="2"/>
      <w:szCs w:val="24"/>
    </w:rPr>
  </w:style>
  <w:style w:type="character" w:customStyle="1" w:styleId="unnamed11">
    <w:name w:val="unnamed11"/>
    <w:qFormat/>
    <w:rPr>
      <w:rFonts w:ascii="ˎ̥" w:hAnsi="ˎ̥" w:hint="default"/>
      <w:sz w:val="12"/>
      <w:szCs w:val="12"/>
    </w:rPr>
  </w:style>
  <w:style w:type="character" w:customStyle="1" w:styleId="y1Char1">
    <w:name w:val="y标题1 Char1"/>
    <w:link w:val="y1"/>
    <w:qFormat/>
    <w:rPr>
      <w:rFonts w:ascii="黑体" w:hAnsi="Calibri" w:cs="Calibri"/>
      <w:b/>
      <w:bCs/>
      <w:caps/>
      <w:color w:val="000000"/>
      <w:kern w:val="44"/>
      <w:sz w:val="32"/>
      <w:szCs w:val="28"/>
      <w:lang w:val="en-US" w:eastAsia="zh-CN"/>
    </w:rPr>
  </w:style>
  <w:style w:type="paragraph" w:customStyle="1" w:styleId="y1">
    <w:name w:val="y标题1"/>
    <w:basedOn w:val="TOC1"/>
    <w:next w:val="TOC1"/>
    <w:link w:val="y1Char1"/>
    <w:qFormat/>
    <w:pPr>
      <w:keepNext/>
      <w:keepLines/>
      <w:widowControl/>
      <w:tabs>
        <w:tab w:val="left" w:pos="1155"/>
        <w:tab w:val="right" w:leader="dot" w:pos="8260"/>
        <w:tab w:val="right" w:leader="dot" w:pos="9060"/>
      </w:tabs>
      <w:adjustRightInd w:val="0"/>
      <w:spacing w:beforeLines="30" w:before="93" w:afterLines="30" w:after="93" w:line="480" w:lineRule="exact"/>
      <w:ind w:firstLineChars="168" w:firstLine="742"/>
      <w:jc w:val="center"/>
      <w:textAlignment w:val="baseline"/>
      <w:outlineLvl w:val="0"/>
    </w:pPr>
    <w:rPr>
      <w:rFonts w:ascii="黑体"/>
      <w:color w:val="000000"/>
      <w:kern w:val="44"/>
      <w:sz w:val="32"/>
      <w:szCs w:val="28"/>
    </w:rPr>
  </w:style>
  <w:style w:type="character" w:customStyle="1" w:styleId="Charf">
    <w:name w:val="注释文字 Char"/>
    <w:link w:val="affffffb"/>
    <w:qFormat/>
    <w:rPr>
      <w:kern w:val="2"/>
      <w:sz w:val="15"/>
      <w:szCs w:val="24"/>
    </w:rPr>
  </w:style>
  <w:style w:type="paragraph" w:customStyle="1" w:styleId="affffffb">
    <w:name w:val="注释文字"/>
    <w:basedOn w:val="a8"/>
    <w:link w:val="Charf"/>
    <w:qFormat/>
    <w:rPr>
      <w:rFonts w:ascii="Times New Roman"/>
      <w:kern w:val="2"/>
      <w:sz w:val="15"/>
      <w:szCs w:val="24"/>
    </w:rPr>
  </w:style>
  <w:style w:type="character" w:customStyle="1" w:styleId="style16style57">
    <w:name w:val="style16 style57"/>
    <w:basedOn w:val="ab"/>
    <w:qFormat/>
  </w:style>
  <w:style w:type="character" w:customStyle="1" w:styleId="11dpi1">
    <w:name w:val="11dpi1"/>
    <w:qFormat/>
    <w:rPr>
      <w:sz w:val="22"/>
      <w:szCs w:val="22"/>
    </w:rPr>
  </w:style>
  <w:style w:type="character" w:customStyle="1" w:styleId="CharChara">
    <w:name w:val="表格居中 Char Char"/>
    <w:qFormat/>
    <w:rPr>
      <w:rFonts w:ascii="宋体" w:eastAsia="宋体" w:hAnsi="宋体" w:cs="宋体"/>
      <w:snapToGrid w:val="0"/>
      <w:spacing w:val="-4"/>
      <w:w w:val="90"/>
      <w:sz w:val="24"/>
      <w:szCs w:val="24"/>
      <w:lang w:val="en-US" w:eastAsia="zh-CN" w:bidi="ar-SA"/>
    </w:rPr>
  </w:style>
  <w:style w:type="character" w:customStyle="1" w:styleId="lh151">
    <w:name w:val="lh151"/>
    <w:basedOn w:val="ab"/>
    <w:qFormat/>
  </w:style>
  <w:style w:type="character" w:customStyle="1" w:styleId="51">
    <w:name w:val="标题 5 字符"/>
    <w:link w:val="50"/>
    <w:uiPriority w:val="9"/>
    <w:qFormat/>
    <w:rPr>
      <w:rFonts w:eastAsia="宋体"/>
      <w:sz w:val="24"/>
      <w:lang w:val="en-US" w:eastAsia="zh-CN" w:bidi="ar-SA"/>
    </w:rPr>
  </w:style>
  <w:style w:type="character" w:customStyle="1" w:styleId="Charf0">
    <w:name w:val="表格内字体 Char"/>
    <w:link w:val="affffffc"/>
    <w:qFormat/>
    <w:rPr>
      <w:rFonts w:ascii="宋体" w:cs="宋体"/>
      <w:kern w:val="2"/>
      <w:sz w:val="21"/>
      <w:szCs w:val="21"/>
    </w:rPr>
  </w:style>
  <w:style w:type="paragraph" w:customStyle="1" w:styleId="affffffc">
    <w:name w:val="表格内字体"/>
    <w:basedOn w:val="a8"/>
    <w:next w:val="28"/>
    <w:link w:val="Charf0"/>
    <w:qFormat/>
    <w:pPr>
      <w:jc w:val="center"/>
    </w:pPr>
    <w:rPr>
      <w:rFonts w:cs="宋体"/>
      <w:kern w:val="2"/>
      <w:sz w:val="21"/>
      <w:szCs w:val="21"/>
    </w:rPr>
  </w:style>
  <w:style w:type="character" w:customStyle="1" w:styleId="1-1CharChar">
    <w:name w:val="图1-1 Char Char"/>
    <w:qFormat/>
    <w:rPr>
      <w:rFonts w:eastAsia="宋体"/>
      <w:b/>
      <w:spacing w:val="12"/>
      <w:w w:val="90"/>
      <w:kern w:val="2"/>
      <w:sz w:val="21"/>
      <w:szCs w:val="24"/>
      <w:lang w:val="en-US" w:eastAsia="zh-CN" w:bidi="ar-SA"/>
    </w:rPr>
  </w:style>
  <w:style w:type="character" w:customStyle="1" w:styleId="entry-stat-author4">
    <w:name w:val="entry-stat-author4"/>
    <w:qFormat/>
    <w:rPr>
      <w:rFonts w:ascii="宋体" w:hAnsi="宋体" w:cs="宋体"/>
      <w:color w:val="136EC2"/>
      <w:sz w:val="24"/>
    </w:rPr>
  </w:style>
  <w:style w:type="character" w:customStyle="1" w:styleId="AChar">
    <w:name w:val="自动A Char"/>
    <w:link w:val="Affffffd"/>
    <w:qFormat/>
    <w:rPr>
      <w:color w:val="000000"/>
      <w:sz w:val="24"/>
    </w:rPr>
  </w:style>
  <w:style w:type="paragraph" w:customStyle="1" w:styleId="Affffffd">
    <w:name w:val="自动A"/>
    <w:basedOn w:val="a8"/>
    <w:link w:val="AChar"/>
    <w:qFormat/>
    <w:pPr>
      <w:spacing w:before="120" w:after="120" w:line="360" w:lineRule="auto"/>
      <w:ind w:firstLineChars="200" w:firstLine="480"/>
    </w:pPr>
    <w:rPr>
      <w:rFonts w:ascii="Times New Roman"/>
      <w:color w:val="000000"/>
    </w:rPr>
  </w:style>
  <w:style w:type="character" w:customStyle="1" w:styleId="CharCharb">
    <w:name w:val="表格 Char Char"/>
    <w:link w:val="affffffe"/>
    <w:qFormat/>
    <w:rPr>
      <w:sz w:val="21"/>
      <w:lang w:val="en-US" w:eastAsia="zh-CN" w:bidi="ar-SA"/>
    </w:rPr>
  </w:style>
  <w:style w:type="paragraph" w:customStyle="1" w:styleId="affffffe">
    <w:name w:val="表格"/>
    <w:next w:val="a8"/>
    <w:link w:val="CharCharb"/>
    <w:qFormat/>
    <w:pPr>
      <w:spacing w:before="60" w:after="40"/>
      <w:jc w:val="center"/>
      <w:textAlignment w:val="center"/>
    </w:pPr>
    <w:rPr>
      <w:sz w:val="21"/>
    </w:rPr>
  </w:style>
  <w:style w:type="character" w:customStyle="1" w:styleId="130">
    <w:name w:val="样式 (符号) 宋体 13 磅"/>
    <w:qFormat/>
    <w:rPr>
      <w:rFonts w:ascii="宋体" w:eastAsia="宋体"/>
      <w:sz w:val="27"/>
      <w:szCs w:val="27"/>
    </w:rPr>
  </w:style>
  <w:style w:type="character" w:customStyle="1" w:styleId="CharCharc">
    <w:name w:val="表、图名 Char Char"/>
    <w:link w:val="afffffff"/>
    <w:qFormat/>
    <w:rPr>
      <w:rFonts w:eastAsia="黑体"/>
      <w:sz w:val="21"/>
      <w:szCs w:val="21"/>
      <w:lang w:val="en-US" w:eastAsia="zh-CN" w:bidi="ar-SA"/>
    </w:rPr>
  </w:style>
  <w:style w:type="paragraph" w:customStyle="1" w:styleId="afffffff">
    <w:name w:val="表、图名"/>
    <w:basedOn w:val="a8"/>
    <w:link w:val="CharCharc"/>
    <w:qFormat/>
    <w:pPr>
      <w:adjustRightInd w:val="0"/>
      <w:snapToGrid w:val="0"/>
      <w:jc w:val="center"/>
    </w:pPr>
    <w:rPr>
      <w:rFonts w:eastAsia="黑体"/>
      <w:sz w:val="21"/>
      <w:szCs w:val="21"/>
    </w:rPr>
  </w:style>
  <w:style w:type="character" w:customStyle="1" w:styleId="afffffff0">
    <w:name w:val="引用 字符"/>
    <w:link w:val="afffffff1"/>
    <w:qFormat/>
    <w:rPr>
      <w:rFonts w:ascii="Calibri" w:eastAsia="宋体" w:hAnsi="Calibri"/>
      <w:i/>
      <w:sz w:val="24"/>
      <w:szCs w:val="24"/>
      <w:lang w:val="en-US" w:eastAsia="en-US" w:bidi="en-US"/>
    </w:rPr>
  </w:style>
  <w:style w:type="paragraph" w:styleId="afffffff1">
    <w:name w:val="Quote"/>
    <w:basedOn w:val="a8"/>
    <w:next w:val="a8"/>
    <w:link w:val="afffffff0"/>
    <w:qFormat/>
    <w:pPr>
      <w:widowControl/>
      <w:jc w:val="left"/>
    </w:pPr>
    <w:rPr>
      <w:rFonts w:ascii="Calibri" w:hAnsi="Calibri"/>
      <w:i/>
      <w:szCs w:val="24"/>
      <w:lang w:eastAsia="en-US" w:bidi="en-US"/>
    </w:rPr>
  </w:style>
  <w:style w:type="character" w:customStyle="1" w:styleId="Charf1">
    <w:name w:val="正文文本缩进 Char"/>
    <w:qFormat/>
    <w:rPr>
      <w:rFonts w:eastAsia="宋体"/>
      <w:kern w:val="2"/>
      <w:sz w:val="36"/>
      <w:lang w:val="en-US" w:eastAsia="zh-CN" w:bidi="ar-SA"/>
    </w:rPr>
  </w:style>
  <w:style w:type="character" w:customStyle="1" w:styleId="Char15">
    <w:name w:val="批注框文本 Char1"/>
    <w:uiPriority w:val="99"/>
    <w:qFormat/>
    <w:rPr>
      <w:rFonts w:eastAsia="宋体"/>
      <w:kern w:val="2"/>
      <w:sz w:val="18"/>
      <w:szCs w:val="18"/>
      <w:lang w:val="en-US" w:eastAsia="zh-CN" w:bidi="ar-SA"/>
    </w:rPr>
  </w:style>
  <w:style w:type="character" w:customStyle="1" w:styleId="6Char0">
    <w:name w:val="样式6 Char"/>
    <w:link w:val="64"/>
    <w:qFormat/>
    <w:rPr>
      <w:color w:val="000000"/>
      <w:sz w:val="18"/>
      <w:lang w:val="en-US" w:eastAsia="zh-CN" w:bidi="ar-SA"/>
    </w:rPr>
  </w:style>
  <w:style w:type="paragraph" w:customStyle="1" w:styleId="64">
    <w:name w:val="样式6"/>
    <w:link w:val="6Char0"/>
    <w:qFormat/>
    <w:pPr>
      <w:adjustRightInd w:val="0"/>
      <w:snapToGrid w:val="0"/>
      <w:spacing w:line="360" w:lineRule="auto"/>
      <w:jc w:val="both"/>
    </w:pPr>
    <w:rPr>
      <w:color w:val="000000"/>
      <w:sz w:val="18"/>
    </w:rPr>
  </w:style>
  <w:style w:type="character" w:customStyle="1" w:styleId="25">
    <w:name w:val="正文文本缩进 2 字符"/>
    <w:link w:val="24"/>
    <w:qFormat/>
    <w:rPr>
      <w:rFonts w:eastAsia="宋体"/>
      <w:kern w:val="2"/>
      <w:sz w:val="21"/>
      <w:szCs w:val="24"/>
      <w:lang w:val="en-US" w:eastAsia="zh-CN" w:bidi="ar-SA"/>
    </w:rPr>
  </w:style>
  <w:style w:type="character" w:customStyle="1" w:styleId="1CharChar1">
    <w:name w:val="样式 标题 1 + 小二 Char Char"/>
    <w:link w:val="1a"/>
    <w:qFormat/>
    <w:rPr>
      <w:rFonts w:ascii="黑体" w:eastAsia="黑体"/>
      <w:b/>
      <w:bCs/>
      <w:kern w:val="44"/>
      <w:sz w:val="36"/>
      <w:szCs w:val="24"/>
    </w:rPr>
  </w:style>
  <w:style w:type="paragraph" w:customStyle="1" w:styleId="1a">
    <w:name w:val="样式 标题 1 + 小二"/>
    <w:basedOn w:val="11"/>
    <w:link w:val="1CharChar1"/>
    <w:qFormat/>
    <w:pPr>
      <w:pageBreakBefore/>
      <w:spacing w:afterLines="0" w:after="60"/>
    </w:pPr>
    <w:rPr>
      <w:sz w:val="36"/>
    </w:rPr>
  </w:style>
  <w:style w:type="character" w:customStyle="1" w:styleId="css-text3">
    <w:name w:val="css-text3"/>
    <w:basedOn w:val="ab"/>
    <w:qFormat/>
  </w:style>
  <w:style w:type="character" w:customStyle="1" w:styleId="2004">
    <w:name w:val="表格文字2004"/>
    <w:qFormat/>
    <w:rPr>
      <w:rFonts w:eastAsia="宋体"/>
      <w:sz w:val="24"/>
    </w:rPr>
  </w:style>
  <w:style w:type="character" w:customStyle="1" w:styleId="----------------------2CharChar">
    <w:name w:val="样式 公式---------------------- + 首行缩进:  2 字符 Char Char"/>
    <w:link w:val="----------------------2"/>
    <w:qFormat/>
    <w:rPr>
      <w:rFonts w:eastAsia="宋体" w:cs="宋体"/>
      <w:spacing w:val="16"/>
      <w:kern w:val="2"/>
      <w:sz w:val="24"/>
      <w:lang w:val="en-US" w:eastAsia="zh-CN" w:bidi="ar-SA"/>
    </w:rPr>
  </w:style>
  <w:style w:type="paragraph" w:customStyle="1" w:styleId="----------------------2">
    <w:name w:val="样式 公式---------------------- + 首行缩进:  2 字符"/>
    <w:basedOn w:val="a8"/>
    <w:link w:val="----------------------2CharChar"/>
    <w:qFormat/>
    <w:pPr>
      <w:ind w:firstLineChars="200" w:firstLine="200"/>
      <w:jc w:val="center"/>
      <w:textAlignment w:val="center"/>
    </w:pPr>
    <w:rPr>
      <w:rFonts w:cs="宋体"/>
      <w:spacing w:val="16"/>
      <w:kern w:val="2"/>
    </w:rPr>
  </w:style>
  <w:style w:type="character" w:customStyle="1" w:styleId="bt21">
    <w:name w:val="bt21"/>
    <w:qFormat/>
    <w:rPr>
      <w:rFonts w:ascii="黑体" w:eastAsia="黑体"/>
      <w:sz w:val="24"/>
      <w:szCs w:val="24"/>
    </w:rPr>
  </w:style>
  <w:style w:type="character" w:customStyle="1" w:styleId="2CharCharCharCharCharChar1">
    <w:name w:val="正文文本 2 Char Char Char Char Char Char1"/>
    <w:qFormat/>
    <w:rPr>
      <w:rFonts w:eastAsia="黑体"/>
      <w:b/>
      <w:bCs/>
      <w:kern w:val="2"/>
      <w:sz w:val="28"/>
      <w:szCs w:val="24"/>
    </w:rPr>
  </w:style>
  <w:style w:type="character" w:customStyle="1" w:styleId="Charf2">
    <w:name w:val="环评正文 Char"/>
    <w:link w:val="afffffff2"/>
    <w:qFormat/>
    <w:rPr>
      <w:rFonts w:ascii="仿宋_GB2312" w:eastAsia="仿宋_GB2312"/>
      <w:kern w:val="2"/>
      <w:sz w:val="28"/>
    </w:rPr>
  </w:style>
  <w:style w:type="paragraph" w:customStyle="1" w:styleId="afffffff2">
    <w:name w:val="环评正文"/>
    <w:basedOn w:val="affb"/>
    <w:link w:val="Charf2"/>
    <w:qFormat/>
    <w:pPr>
      <w:spacing w:line="500" w:lineRule="exact"/>
      <w:ind w:leftChars="0" w:left="0" w:firstLineChars="200" w:firstLine="560"/>
    </w:pPr>
    <w:rPr>
      <w:rFonts w:ascii="仿宋_GB2312" w:eastAsia="仿宋_GB2312"/>
      <w:sz w:val="28"/>
      <w:szCs w:val="20"/>
    </w:rPr>
  </w:style>
  <w:style w:type="character" w:customStyle="1" w:styleId="Char22">
    <w:name w:val="节标题 Char2"/>
    <w:qFormat/>
    <w:rPr>
      <w:rFonts w:ascii="Arial" w:eastAsia="黑体" w:hAnsi="Arial"/>
      <w:b/>
      <w:bCs/>
      <w:kern w:val="2"/>
      <w:sz w:val="32"/>
      <w:szCs w:val="32"/>
      <w:lang w:val="en-US" w:eastAsia="zh-CN" w:bidi="ar-SA"/>
    </w:rPr>
  </w:style>
  <w:style w:type="character" w:customStyle="1" w:styleId="2d">
    <w:name w:val="正文文本首行缩进 2 字符"/>
    <w:link w:val="2c"/>
    <w:uiPriority w:val="99"/>
    <w:qFormat/>
    <w:rPr>
      <w:rFonts w:eastAsia="宋体"/>
      <w:kern w:val="2"/>
      <w:sz w:val="21"/>
      <w:szCs w:val="21"/>
      <w:lang w:val="en-US" w:eastAsia="zh-CN" w:bidi="ar-SA"/>
    </w:rPr>
  </w:style>
  <w:style w:type="character" w:customStyle="1" w:styleId="Charf3">
    <w:name w:val="图题 Char"/>
    <w:link w:val="afffffff3"/>
    <w:qFormat/>
    <w:rPr>
      <w:rFonts w:ascii="方正大标宋简体" w:eastAsia="方正大标宋简体"/>
      <w:kern w:val="2"/>
      <w:sz w:val="24"/>
      <w:szCs w:val="24"/>
    </w:rPr>
  </w:style>
  <w:style w:type="paragraph" w:customStyle="1" w:styleId="afffffff3">
    <w:name w:val="图题"/>
    <w:basedOn w:val="affff"/>
    <w:next w:val="a8"/>
    <w:link w:val="Charf3"/>
    <w:qFormat/>
    <w:pPr>
      <w:spacing w:line="360" w:lineRule="auto"/>
      <w:ind w:leftChars="0" w:left="0" w:firstLineChars="0" w:firstLine="0"/>
      <w:jc w:val="center"/>
    </w:pPr>
    <w:rPr>
      <w:rFonts w:ascii="方正大标宋简体" w:eastAsia="方正大标宋简体"/>
      <w:kern w:val="2"/>
      <w:szCs w:val="24"/>
    </w:rPr>
  </w:style>
  <w:style w:type="character" w:customStyle="1" w:styleId="Charf4">
    <w:name w:val="表格抬头 Char"/>
    <w:qFormat/>
    <w:rPr>
      <w:rFonts w:eastAsia="黑体"/>
      <w:snapToGrid w:val="0"/>
      <w:sz w:val="24"/>
      <w:szCs w:val="21"/>
      <w:lang w:bidi="ar-SA"/>
    </w:rPr>
  </w:style>
  <w:style w:type="character" w:customStyle="1" w:styleId="afff1">
    <w:name w:val="批注框文本 字符"/>
    <w:link w:val="afff0"/>
    <w:qFormat/>
    <w:rPr>
      <w:rFonts w:eastAsia="宋体"/>
      <w:kern w:val="2"/>
      <w:sz w:val="18"/>
      <w:szCs w:val="18"/>
      <w:lang w:val="en-US" w:eastAsia="zh-CN" w:bidi="ar-SA"/>
    </w:rPr>
  </w:style>
  <w:style w:type="character" w:customStyle="1" w:styleId="9dpi1">
    <w:name w:val="9dpi1"/>
    <w:qFormat/>
    <w:rPr>
      <w:spacing w:val="30"/>
      <w:sz w:val="18"/>
      <w:szCs w:val="18"/>
    </w:rPr>
  </w:style>
  <w:style w:type="character" w:customStyle="1" w:styleId="CharChard">
    <w:name w:val="燕山正文 Char Char"/>
    <w:qFormat/>
    <w:rPr>
      <w:rFonts w:eastAsia="宋体" w:hAnsi="Arial"/>
      <w:snapToGrid w:val="0"/>
      <w:spacing w:val="10"/>
      <w:sz w:val="24"/>
      <w:szCs w:val="24"/>
      <w:lang w:val="en-US" w:eastAsia="zh-CN" w:bidi="ar-SA"/>
    </w:rPr>
  </w:style>
  <w:style w:type="character" w:customStyle="1" w:styleId="1Char1">
    <w:name w:val="题注1 Char1"/>
    <w:qFormat/>
    <w:rPr>
      <w:rFonts w:ascii="宋体" w:hAnsi="宋体"/>
      <w:kern w:val="2"/>
      <w:sz w:val="28"/>
      <w:szCs w:val="24"/>
    </w:rPr>
  </w:style>
  <w:style w:type="character" w:customStyle="1" w:styleId="Charf5">
    <w:name w:val="【表中文字】 Char"/>
    <w:qFormat/>
    <w:rPr>
      <w:rFonts w:eastAsia="宋体"/>
      <w:kern w:val="2"/>
      <w:sz w:val="21"/>
      <w:lang w:val="en-US" w:eastAsia="zh-CN" w:bidi="ar-SA"/>
    </w:rPr>
  </w:style>
  <w:style w:type="character" w:customStyle="1" w:styleId="CharChare">
    <w:name w:val="表名 Char Char"/>
    <w:link w:val="Charf6"/>
    <w:qFormat/>
    <w:rPr>
      <w:rFonts w:ascii="Arial" w:hAnsi="Arial"/>
      <w:b/>
      <w:snapToGrid w:val="0"/>
      <w:sz w:val="24"/>
      <w:szCs w:val="18"/>
    </w:rPr>
  </w:style>
  <w:style w:type="paragraph" w:customStyle="1" w:styleId="Charf6">
    <w:name w:val="表名 Char"/>
    <w:basedOn w:val="a8"/>
    <w:link w:val="CharChare"/>
    <w:qFormat/>
    <w:pPr>
      <w:keepNext/>
      <w:spacing w:line="360" w:lineRule="auto"/>
      <w:ind w:firstLineChars="200" w:firstLine="200"/>
      <w:jc w:val="center"/>
      <w:outlineLvl w:val="3"/>
    </w:pPr>
    <w:rPr>
      <w:rFonts w:ascii="Arial" w:hAnsi="Arial"/>
      <w:b/>
      <w:snapToGrid w:val="0"/>
      <w:szCs w:val="18"/>
    </w:rPr>
  </w:style>
  <w:style w:type="character" w:customStyle="1" w:styleId="affc">
    <w:name w:val="日期 字符"/>
    <w:link w:val="affb"/>
    <w:qFormat/>
    <w:rPr>
      <w:rFonts w:eastAsia="黑体"/>
      <w:kern w:val="2"/>
      <w:sz w:val="24"/>
      <w:szCs w:val="24"/>
      <w:lang w:val="en-US" w:eastAsia="zh-CN" w:bidi="ar-SA"/>
    </w:rPr>
  </w:style>
  <w:style w:type="character" w:customStyle="1" w:styleId="36">
    <w:name w:val="正文文本 3 字符"/>
    <w:link w:val="35"/>
    <w:qFormat/>
    <w:rPr>
      <w:rFonts w:eastAsia="宋体"/>
      <w:kern w:val="2"/>
      <w:sz w:val="16"/>
      <w:szCs w:val="16"/>
      <w:lang w:val="en-US" w:eastAsia="zh-CN" w:bidi="ar-SA"/>
    </w:rPr>
  </w:style>
  <w:style w:type="character" w:customStyle="1" w:styleId="3CharChar1">
    <w:name w:val="正文文字 3 Char Char1"/>
    <w:qFormat/>
    <w:rPr>
      <w:rFonts w:ascii="Times New Roman" w:hAnsi="Times New Roman"/>
      <w:color w:val="000000"/>
      <w:kern w:val="2"/>
      <w:sz w:val="24"/>
      <w:szCs w:val="24"/>
    </w:rPr>
  </w:style>
  <w:style w:type="character" w:customStyle="1" w:styleId="4Char1">
    <w:name w:val="样式 标题4 Char"/>
    <w:link w:val="4b"/>
    <w:uiPriority w:val="99"/>
    <w:qFormat/>
    <w:locked/>
    <w:rPr>
      <w:rFonts w:ascii="Arial" w:eastAsia="黑体" w:hAnsi="Arial" w:cs="宋体"/>
      <w:kern w:val="2"/>
      <w:sz w:val="28"/>
    </w:rPr>
  </w:style>
  <w:style w:type="paragraph" w:customStyle="1" w:styleId="4b">
    <w:name w:val="样式 标题4"/>
    <w:basedOn w:val="a8"/>
    <w:next w:val="a8"/>
    <w:link w:val="4Char1"/>
    <w:uiPriority w:val="99"/>
    <w:qFormat/>
    <w:pPr>
      <w:spacing w:before="120" w:after="120" w:line="400" w:lineRule="exact"/>
      <w:jc w:val="center"/>
    </w:pPr>
    <w:rPr>
      <w:rFonts w:ascii="Arial" w:eastAsia="黑体" w:hAnsi="Arial" w:cs="宋体"/>
      <w:kern w:val="2"/>
      <w:sz w:val="28"/>
    </w:rPr>
  </w:style>
  <w:style w:type="character" w:customStyle="1" w:styleId="Charf7">
    <w:name w:val="表、图名 Char"/>
    <w:qFormat/>
    <w:rPr>
      <w:rFonts w:eastAsia="宋体" w:hAnsi="宋体"/>
      <w:b/>
      <w:sz w:val="24"/>
      <w:szCs w:val="24"/>
      <w:lang w:val="en-US" w:eastAsia="zh-CN" w:bidi="ar-SA"/>
    </w:rPr>
  </w:style>
  <w:style w:type="character" w:customStyle="1" w:styleId="3Char1">
    <w:name w:val="标题 3 Char1"/>
    <w:qFormat/>
    <w:locked/>
    <w:rPr>
      <w:rFonts w:ascii="宋体" w:eastAsia="宋体" w:hAnsi="宋体"/>
      <w:b/>
      <w:bCs/>
      <w:color w:val="000000"/>
      <w:kern w:val="2"/>
      <w:sz w:val="28"/>
      <w:szCs w:val="32"/>
      <w:lang w:val="en-US" w:eastAsia="zh-CN" w:bidi="ar-SA"/>
    </w:rPr>
  </w:style>
  <w:style w:type="character" w:customStyle="1" w:styleId="-Char1">
    <w:name w:val="可研-正文 Char1"/>
    <w:qFormat/>
    <w:rPr>
      <w:rFonts w:ascii="宋体" w:eastAsia="宋体"/>
      <w:kern w:val="2"/>
      <w:sz w:val="28"/>
      <w:szCs w:val="24"/>
      <w:lang w:val="en-US" w:eastAsia="zh-CN" w:bidi="ar-SA"/>
    </w:rPr>
  </w:style>
  <w:style w:type="character" w:customStyle="1" w:styleId="hover31">
    <w:name w:val="hover31"/>
    <w:qFormat/>
    <w:rPr>
      <w:rFonts w:ascii="宋体" w:hAnsi="宋体" w:cs="宋体"/>
      <w:color w:val="FFFFFF"/>
      <w:sz w:val="24"/>
      <w:u w:val="none"/>
      <w:shd w:val="clear" w:color="auto" w:fill="A1D98A"/>
    </w:rPr>
  </w:style>
  <w:style w:type="character" w:customStyle="1" w:styleId="zw1">
    <w:name w:val="zw1"/>
    <w:qFormat/>
    <w:rPr>
      <w:rFonts w:ascii="宋体" w:eastAsia="宋体" w:hAnsi="宋体"/>
      <w:sz w:val="22"/>
      <w:szCs w:val="22"/>
    </w:rPr>
  </w:style>
  <w:style w:type="character" w:customStyle="1" w:styleId="f9">
    <w:name w:val="f9"/>
    <w:basedOn w:val="ab"/>
    <w:qFormat/>
  </w:style>
  <w:style w:type="character" w:customStyle="1" w:styleId="nr1">
    <w:name w:val="nr1"/>
    <w:qFormat/>
    <w:rPr>
      <w:rFonts w:ascii="宋体" w:eastAsia="宋体" w:hAnsi="宋体" w:hint="eastAsia"/>
      <w:color w:val="000000"/>
      <w:sz w:val="22"/>
      <w:szCs w:val="22"/>
    </w:rPr>
  </w:style>
  <w:style w:type="character" w:customStyle="1" w:styleId="CharChar17">
    <w:name w:val="Char Char17"/>
    <w:qFormat/>
    <w:rPr>
      <w:kern w:val="2"/>
      <w:sz w:val="18"/>
      <w:szCs w:val="18"/>
    </w:rPr>
  </w:style>
  <w:style w:type="character" w:customStyle="1" w:styleId="font71">
    <w:name w:val="font71"/>
    <w:qFormat/>
    <w:rPr>
      <w:rFonts w:ascii="宋体" w:eastAsia="宋体" w:hAnsi="宋体" w:cs="宋体" w:hint="eastAsia"/>
      <w:color w:val="000000"/>
      <w:sz w:val="18"/>
      <w:szCs w:val="18"/>
      <w:u w:val="none"/>
    </w:rPr>
  </w:style>
  <w:style w:type="character" w:customStyle="1" w:styleId="neirong1">
    <w:name w:val="neirong1"/>
    <w:qFormat/>
    <w:rPr>
      <w:sz w:val="20"/>
      <w:szCs w:val="20"/>
    </w:rPr>
  </w:style>
  <w:style w:type="character" w:customStyle="1" w:styleId="43">
    <w:name w:val="标题 4 字符"/>
    <w:link w:val="42"/>
    <w:qFormat/>
    <w:rPr>
      <w:rFonts w:ascii="Arial" w:eastAsia="黑体" w:hAnsi="Arial"/>
      <w:b/>
      <w:bCs/>
      <w:kern w:val="2"/>
      <w:sz w:val="28"/>
      <w:szCs w:val="28"/>
      <w:lang w:val="en-US" w:eastAsia="zh-CN" w:bidi="ar-SA"/>
    </w:rPr>
  </w:style>
  <w:style w:type="character" w:customStyle="1" w:styleId="afffffff4">
    <w:name w:val="明显引用 字符"/>
    <w:link w:val="afffffff5"/>
    <w:qFormat/>
    <w:rPr>
      <w:rFonts w:ascii="Calibri" w:eastAsia="宋体" w:hAnsi="Calibri"/>
      <w:b/>
      <w:i/>
      <w:sz w:val="24"/>
      <w:szCs w:val="22"/>
      <w:lang w:val="en-US" w:eastAsia="en-US" w:bidi="en-US"/>
    </w:rPr>
  </w:style>
  <w:style w:type="paragraph" w:styleId="afffffff5">
    <w:name w:val="Intense Quote"/>
    <w:basedOn w:val="a8"/>
    <w:next w:val="a8"/>
    <w:link w:val="afffffff4"/>
    <w:qFormat/>
    <w:pPr>
      <w:widowControl/>
      <w:ind w:left="720" w:right="720"/>
      <w:jc w:val="left"/>
    </w:pPr>
    <w:rPr>
      <w:rFonts w:ascii="Calibri" w:hAnsi="Calibri"/>
      <w:b/>
      <w:i/>
      <w:szCs w:val="22"/>
      <w:lang w:eastAsia="en-US" w:bidi="en-US"/>
    </w:rPr>
  </w:style>
  <w:style w:type="character" w:customStyle="1" w:styleId="3CharChar10">
    <w:name w:val="正文文字缩进 3 Char Char1"/>
    <w:qFormat/>
    <w:rPr>
      <w:rFonts w:ascii="Times New Roman" w:hAnsi="Times New Roman"/>
      <w:kern w:val="2"/>
      <w:sz w:val="16"/>
      <w:szCs w:val="16"/>
    </w:rPr>
  </w:style>
  <w:style w:type="character" w:customStyle="1" w:styleId="1CharChar2">
    <w:name w:val="标题1 Char Char"/>
    <w:link w:val="111"/>
    <w:qFormat/>
    <w:rPr>
      <w:rFonts w:ascii="黑体" w:eastAsia="黑体"/>
      <w:b/>
      <w:bCs/>
      <w:kern w:val="2"/>
      <w:sz w:val="32"/>
      <w:szCs w:val="24"/>
    </w:rPr>
  </w:style>
  <w:style w:type="paragraph" w:customStyle="1" w:styleId="111">
    <w:name w:val="标题11"/>
    <w:basedOn w:val="11"/>
    <w:link w:val="1CharChar2"/>
    <w:qFormat/>
    <w:pPr>
      <w:keepLines w:val="0"/>
      <w:tabs>
        <w:tab w:val="clear" w:pos="8160"/>
      </w:tabs>
      <w:adjustRightInd/>
      <w:spacing w:beforeLines="50" w:before="156" w:afterLines="0" w:after="50" w:line="360" w:lineRule="auto"/>
      <w:jc w:val="both"/>
      <w:textAlignment w:val="auto"/>
    </w:pPr>
    <w:rPr>
      <w:kern w:val="2"/>
    </w:rPr>
  </w:style>
  <w:style w:type="character" w:customStyle="1" w:styleId="model11">
    <w:name w:val="model11"/>
    <w:qFormat/>
    <w:rPr>
      <w:rFonts w:ascii="宋体" w:eastAsia="宋体" w:hAnsi="宋体" w:hint="eastAsia"/>
      <w:sz w:val="18"/>
      <w:szCs w:val="18"/>
      <w:u w:val="none"/>
    </w:rPr>
  </w:style>
  <w:style w:type="character" w:customStyle="1" w:styleId="Char16">
    <w:name w:val="正文文本缩进 Char1"/>
    <w:qFormat/>
    <w:rPr>
      <w:rFonts w:ascii="宋体" w:eastAsia="宋体" w:hAnsi="宋体"/>
      <w:kern w:val="2"/>
      <w:sz w:val="28"/>
      <w:szCs w:val="24"/>
      <w:lang w:val="en-US" w:eastAsia="zh-CN" w:bidi="ar-SA"/>
    </w:rPr>
  </w:style>
  <w:style w:type="character" w:customStyle="1" w:styleId="s1">
    <w:name w:val="s1"/>
    <w:qFormat/>
    <w:rPr>
      <w:sz w:val="18"/>
      <w:szCs w:val="18"/>
    </w:rPr>
  </w:style>
  <w:style w:type="character" w:customStyle="1" w:styleId="WJChar">
    <w:name w:val="WJ正文 Char"/>
    <w:link w:val="WJ"/>
    <w:qFormat/>
    <w:rPr>
      <w:rFonts w:ascii="宋体" w:eastAsia="宋体" w:hAnsi="宋体"/>
      <w:color w:val="000000"/>
      <w:kern w:val="2"/>
      <w:sz w:val="24"/>
      <w:szCs w:val="24"/>
    </w:rPr>
  </w:style>
  <w:style w:type="paragraph" w:customStyle="1" w:styleId="WJ">
    <w:name w:val="WJ正文"/>
    <w:basedOn w:val="a8"/>
    <w:next w:val="a8"/>
    <w:link w:val="WJChar"/>
    <w:qFormat/>
    <w:pPr>
      <w:tabs>
        <w:tab w:val="left" w:pos="600"/>
      </w:tabs>
      <w:spacing w:line="480" w:lineRule="exact"/>
      <w:ind w:firstLineChars="200" w:firstLine="480"/>
    </w:pPr>
    <w:rPr>
      <w:rFonts w:hAnsi="宋体"/>
      <w:color w:val="000000"/>
      <w:kern w:val="2"/>
      <w:szCs w:val="24"/>
    </w:rPr>
  </w:style>
  <w:style w:type="character" w:customStyle="1" w:styleId="----------------CharChar">
    <w:name w:val="正文---------------- Char Char"/>
    <w:link w:val="----------------"/>
    <w:qFormat/>
    <w:rPr>
      <w:rFonts w:eastAsia="宋体" w:cs="宋体"/>
      <w:spacing w:val="16"/>
      <w:kern w:val="2"/>
      <w:sz w:val="24"/>
      <w:lang w:val="en-US" w:eastAsia="zh-CN" w:bidi="ar-SA"/>
    </w:rPr>
  </w:style>
  <w:style w:type="paragraph" w:customStyle="1" w:styleId="----------------">
    <w:name w:val="正文----------------"/>
    <w:basedOn w:val="a8"/>
    <w:link w:val="----------------CharChar"/>
    <w:qFormat/>
    <w:pPr>
      <w:spacing w:line="440" w:lineRule="exact"/>
      <w:ind w:firstLineChars="200" w:firstLine="544"/>
    </w:pPr>
    <w:rPr>
      <w:rFonts w:cs="宋体"/>
      <w:spacing w:val="16"/>
      <w:kern w:val="2"/>
    </w:rPr>
  </w:style>
  <w:style w:type="character" w:customStyle="1" w:styleId="1Char2">
    <w:name w:val="题注1 Char"/>
    <w:qFormat/>
    <w:rPr>
      <w:rFonts w:ascii="宋体" w:eastAsia="宋体" w:hAnsi="宋体"/>
      <w:kern w:val="2"/>
      <w:sz w:val="28"/>
      <w:szCs w:val="24"/>
      <w:lang w:val="en-US" w:eastAsia="zh-CN" w:bidi="ar-SA"/>
    </w:rPr>
  </w:style>
  <w:style w:type="character" w:customStyle="1" w:styleId="affff1">
    <w:name w:val="信息标题 字符"/>
    <w:link w:val="affff0"/>
    <w:qFormat/>
    <w:rPr>
      <w:rFonts w:ascii="Arial" w:eastAsia="宋体" w:hAnsi="Arial" w:cs="Arial"/>
      <w:bCs/>
      <w:sz w:val="24"/>
      <w:szCs w:val="24"/>
      <w:lang w:val="en-US" w:eastAsia="zh-CN" w:bidi="ar-SA"/>
    </w:rPr>
  </w:style>
  <w:style w:type="character" w:customStyle="1" w:styleId="CharCharCharCharCharChar0">
    <w:name w:val="热电厂正文 Char Char Char Char Char Char"/>
    <w:link w:val="CharCharCharChar"/>
    <w:qFormat/>
    <w:rPr>
      <w:kern w:val="2"/>
      <w:sz w:val="24"/>
      <w:lang w:bidi="ar-SA"/>
    </w:rPr>
  </w:style>
  <w:style w:type="paragraph" w:customStyle="1" w:styleId="CharCharCharChar">
    <w:name w:val="热电厂正文 Char Char Char Char"/>
    <w:basedOn w:val="a8"/>
    <w:link w:val="CharCharCharCharCharChar0"/>
    <w:qFormat/>
    <w:pPr>
      <w:spacing w:line="440" w:lineRule="exact"/>
      <w:ind w:firstLineChars="200" w:firstLine="480"/>
    </w:pPr>
    <w:rPr>
      <w:kern w:val="2"/>
    </w:rPr>
  </w:style>
  <w:style w:type="character" w:customStyle="1" w:styleId="Char17">
    <w:name w:val="标题 三 Char1"/>
    <w:qFormat/>
    <w:rPr>
      <w:b/>
      <w:bCs/>
      <w:sz w:val="32"/>
      <w:szCs w:val="32"/>
    </w:rPr>
  </w:style>
  <w:style w:type="character" w:customStyle="1" w:styleId="p15">
    <w:name w:val="p15"/>
    <w:basedOn w:val="ab"/>
    <w:qFormat/>
  </w:style>
  <w:style w:type="character" w:customStyle="1" w:styleId="style91">
    <w:name w:val="style91"/>
    <w:qFormat/>
    <w:rPr>
      <w:b/>
      <w:bCs/>
      <w:color w:val="187CC8"/>
    </w:rPr>
  </w:style>
  <w:style w:type="character" w:customStyle="1" w:styleId="affff4">
    <w:name w:val="标题 字符"/>
    <w:link w:val="affff3"/>
    <w:uiPriority w:val="10"/>
    <w:qFormat/>
    <w:rPr>
      <w:rFonts w:ascii="Arial" w:eastAsia="宋体" w:hAnsi="Arial" w:cs="Arial"/>
      <w:b/>
      <w:bCs/>
      <w:kern w:val="2"/>
      <w:sz w:val="32"/>
      <w:szCs w:val="32"/>
      <w:lang w:val="en-US" w:eastAsia="zh-CN" w:bidi="ar-SA"/>
    </w:rPr>
  </w:style>
  <w:style w:type="character" w:customStyle="1" w:styleId="CharChar19">
    <w:name w:val="Char Char19"/>
    <w:semiHidden/>
    <w:qFormat/>
    <w:rPr>
      <w:kern w:val="2"/>
      <w:sz w:val="24"/>
      <w:szCs w:val="24"/>
      <w:shd w:val="clear" w:color="auto" w:fill="000080"/>
    </w:rPr>
  </w:style>
  <w:style w:type="character" w:customStyle="1" w:styleId="1b">
    <w:name w:val="标题1"/>
    <w:basedOn w:val="ab"/>
    <w:qFormat/>
  </w:style>
  <w:style w:type="character" w:customStyle="1" w:styleId="style12">
    <w:name w:val="style12"/>
    <w:basedOn w:val="ab"/>
    <w:qFormat/>
  </w:style>
  <w:style w:type="character" w:customStyle="1" w:styleId="1Char10">
    <w:name w:val="段落1 Char1"/>
    <w:link w:val="1c"/>
    <w:qFormat/>
    <w:rPr>
      <w:rFonts w:eastAsia="宋体"/>
      <w:sz w:val="24"/>
      <w:szCs w:val="24"/>
      <w:lang w:val="en-US" w:eastAsia="zh-CN" w:bidi="ar-SA"/>
    </w:rPr>
  </w:style>
  <w:style w:type="paragraph" w:customStyle="1" w:styleId="1c">
    <w:name w:val="段落1"/>
    <w:basedOn w:val="a8"/>
    <w:link w:val="1Char10"/>
    <w:qFormat/>
    <w:pPr>
      <w:adjustRightInd w:val="0"/>
      <w:spacing w:line="480" w:lineRule="exact"/>
      <w:ind w:firstLineChars="200" w:firstLine="480"/>
      <w:textAlignment w:val="baseline"/>
    </w:pPr>
    <w:rPr>
      <w:szCs w:val="24"/>
    </w:rPr>
  </w:style>
  <w:style w:type="character" w:customStyle="1" w:styleId="CharCharf">
    <w:name w:val="小四黑 Char Char"/>
    <w:link w:val="afffffff6"/>
    <w:qFormat/>
    <w:locked/>
    <w:rPr>
      <w:rFonts w:ascii="Arial" w:eastAsia="黑体" w:hAnsi="Arial"/>
      <w:sz w:val="24"/>
    </w:rPr>
  </w:style>
  <w:style w:type="paragraph" w:customStyle="1" w:styleId="afffffff6">
    <w:name w:val="表名"/>
    <w:basedOn w:val="a8"/>
    <w:next w:val="af8"/>
    <w:link w:val="CharCharf"/>
    <w:qFormat/>
    <w:pPr>
      <w:overflowPunct w:val="0"/>
      <w:spacing w:before="120"/>
      <w:textAlignment w:val="baseline"/>
    </w:pPr>
    <w:rPr>
      <w:rFonts w:ascii="Arial" w:eastAsia="黑体" w:hAnsi="Arial"/>
    </w:rPr>
  </w:style>
  <w:style w:type="character" w:customStyle="1" w:styleId="1Char3">
    <w:name w:val="表头1 Char"/>
    <w:qFormat/>
    <w:rPr>
      <w:rFonts w:eastAsia="黑体"/>
      <w:sz w:val="21"/>
      <w:szCs w:val="28"/>
      <w:lang w:val="en-US" w:eastAsia="zh-CN" w:bidi="ar-SA"/>
    </w:rPr>
  </w:style>
  <w:style w:type="character" w:customStyle="1" w:styleId="font241">
    <w:name w:val="font241"/>
    <w:qFormat/>
    <w:rPr>
      <w:sz w:val="21"/>
      <w:szCs w:val="21"/>
    </w:rPr>
  </w:style>
  <w:style w:type="character" w:customStyle="1" w:styleId="afff8">
    <w:name w:val="签名 字符"/>
    <w:link w:val="afff7"/>
    <w:qFormat/>
    <w:rPr>
      <w:rFonts w:ascii="宋体" w:eastAsia="宋体" w:hAnsi="宋体" w:cs="宋体"/>
      <w:bCs/>
      <w:sz w:val="28"/>
      <w:szCs w:val="32"/>
      <w:lang w:val="en-US" w:eastAsia="zh-CN" w:bidi="ar-SA"/>
    </w:rPr>
  </w:style>
  <w:style w:type="character" w:customStyle="1" w:styleId="CharCharf0">
    <w:name w:val="规划正文样式 Char Char"/>
    <w:qFormat/>
    <w:rPr>
      <w:rFonts w:eastAsia="宋体"/>
      <w:kern w:val="2"/>
      <w:sz w:val="24"/>
      <w:szCs w:val="24"/>
      <w:lang w:val="en-US" w:eastAsia="zh-CN" w:bidi="ar-SA"/>
    </w:rPr>
  </w:style>
  <w:style w:type="character" w:customStyle="1" w:styleId="aff0">
    <w:name w:val="批注文字 字符"/>
    <w:link w:val="aff"/>
    <w:qFormat/>
    <w:rPr>
      <w:rFonts w:eastAsia="宋体"/>
      <w:lang w:val="en-US" w:eastAsia="zh-CN" w:bidi="ar-SA"/>
    </w:rPr>
  </w:style>
  <w:style w:type="character" w:customStyle="1" w:styleId="Charf8">
    <w:name w:val="表格正文 Char"/>
    <w:link w:val="afffffff7"/>
    <w:qFormat/>
    <w:rPr>
      <w:sz w:val="21"/>
      <w:lang w:val="en-US" w:eastAsia="zh-CN" w:bidi="ar-SA"/>
    </w:rPr>
  </w:style>
  <w:style w:type="paragraph" w:customStyle="1" w:styleId="afffffff7">
    <w:name w:val="表格正文"/>
    <w:link w:val="Charf8"/>
    <w:qFormat/>
    <w:pPr>
      <w:tabs>
        <w:tab w:val="left" w:pos="324"/>
      </w:tabs>
      <w:spacing w:before="60" w:after="60" w:line="440" w:lineRule="exact"/>
      <w:jc w:val="center"/>
    </w:pPr>
    <w:rPr>
      <w:sz w:val="21"/>
    </w:rPr>
  </w:style>
  <w:style w:type="character" w:customStyle="1" w:styleId="CharCharf1">
    <w:name w:val="正文部分 Char Char"/>
    <w:link w:val="afffffff8"/>
    <w:qFormat/>
    <w:rPr>
      <w:rFonts w:ascii="宋体" w:eastAsia="宋体" w:hAnsi="宋体" w:cs="宋体"/>
      <w:bCs/>
      <w:sz w:val="28"/>
      <w:szCs w:val="32"/>
      <w:lang w:val="en-US" w:eastAsia="zh-CN" w:bidi="ar-SA"/>
    </w:rPr>
  </w:style>
  <w:style w:type="paragraph" w:customStyle="1" w:styleId="afffffff8">
    <w:name w:val="正文部分"/>
    <w:basedOn w:val="a8"/>
    <w:link w:val="CharCharf1"/>
    <w:qFormat/>
    <w:pPr>
      <w:spacing w:line="500" w:lineRule="exact"/>
      <w:ind w:firstLineChars="200" w:firstLine="200"/>
      <w:jc w:val="left"/>
    </w:pPr>
    <w:rPr>
      <w:rFonts w:hAnsi="宋体" w:cs="宋体"/>
      <w:bCs/>
      <w:sz w:val="28"/>
      <w:szCs w:val="32"/>
    </w:rPr>
  </w:style>
  <w:style w:type="character" w:customStyle="1" w:styleId="elite-lv2">
    <w:name w:val="elite-lv2"/>
    <w:qFormat/>
    <w:rPr>
      <w:rFonts w:ascii="宋体" w:hAnsi="宋体" w:cs="宋体"/>
      <w:sz w:val="24"/>
    </w:rPr>
  </w:style>
  <w:style w:type="character" w:customStyle="1" w:styleId="CharCharf2">
    <w:name w:val="正文样式 Char Char"/>
    <w:link w:val="afffffff9"/>
    <w:qFormat/>
    <w:rPr>
      <w:rFonts w:ascii="宋体" w:eastAsia="宋体" w:hAnsi="宋体"/>
      <w:color w:val="000000"/>
      <w:kern w:val="2"/>
      <w:sz w:val="24"/>
      <w:szCs w:val="24"/>
      <w:lang w:val="en-US" w:eastAsia="zh-CN" w:bidi="ar-SA"/>
    </w:rPr>
  </w:style>
  <w:style w:type="paragraph" w:customStyle="1" w:styleId="afffffff9">
    <w:name w:val="正文样式"/>
    <w:basedOn w:val="a8"/>
    <w:link w:val="CharCharf2"/>
    <w:qFormat/>
    <w:pPr>
      <w:spacing w:line="360" w:lineRule="auto"/>
      <w:ind w:firstLineChars="200" w:firstLine="480"/>
    </w:pPr>
    <w:rPr>
      <w:rFonts w:hAnsi="宋体"/>
      <w:color w:val="000000"/>
      <w:kern w:val="2"/>
      <w:szCs w:val="24"/>
    </w:rPr>
  </w:style>
  <w:style w:type="character" w:customStyle="1" w:styleId="CharCharf3">
    <w:name w:val="表格抬头 Char Char"/>
    <w:link w:val="afffffffa"/>
    <w:qFormat/>
    <w:rPr>
      <w:rFonts w:eastAsia="宋体"/>
      <w:b/>
      <w:snapToGrid w:val="0"/>
      <w:sz w:val="24"/>
      <w:szCs w:val="21"/>
      <w:lang w:val="en-US" w:eastAsia="zh-CN" w:bidi="ar-SA"/>
    </w:rPr>
  </w:style>
  <w:style w:type="paragraph" w:customStyle="1" w:styleId="afffffffa">
    <w:name w:val="表格抬头"/>
    <w:basedOn w:val="a8"/>
    <w:link w:val="CharCharf3"/>
    <w:qFormat/>
    <w:pPr>
      <w:adjustRightInd w:val="0"/>
      <w:snapToGrid w:val="0"/>
      <w:spacing w:line="288" w:lineRule="auto"/>
      <w:ind w:firstLineChars="200" w:firstLine="482"/>
      <w:jc w:val="center"/>
    </w:pPr>
    <w:rPr>
      <w:b/>
      <w:snapToGrid w:val="0"/>
      <w:szCs w:val="21"/>
    </w:rPr>
  </w:style>
  <w:style w:type="character" w:customStyle="1" w:styleId="CharCharf4">
    <w:name w:val="【公式】 Char Char"/>
    <w:basedOn w:val="----------------------2CharChar"/>
    <w:link w:val="afffffffb"/>
    <w:qFormat/>
    <w:rPr>
      <w:rFonts w:eastAsia="宋体" w:cs="宋体"/>
      <w:spacing w:val="16"/>
      <w:kern w:val="2"/>
      <w:sz w:val="24"/>
      <w:lang w:val="en-US" w:eastAsia="zh-CN" w:bidi="ar-SA"/>
    </w:rPr>
  </w:style>
  <w:style w:type="paragraph" w:customStyle="1" w:styleId="afffffffb">
    <w:name w:val="【公式】"/>
    <w:basedOn w:val="----------------------2"/>
    <w:link w:val="CharCharf4"/>
    <w:qFormat/>
    <w:pPr>
      <w:ind w:leftChars="100" w:left="100" w:rightChars="100" w:right="100" w:firstLineChars="0" w:firstLine="0"/>
    </w:pPr>
  </w:style>
  <w:style w:type="character" w:customStyle="1" w:styleId="javascript">
    <w:name w:val="javascript"/>
    <w:basedOn w:val="ab"/>
    <w:qFormat/>
  </w:style>
  <w:style w:type="character" w:customStyle="1" w:styleId="CharCharChar0">
    <w:name w:val="样式 正文（首行缩进两字） Char Char + (符号) 宋体 Char"/>
    <w:link w:val="CharCharf5"/>
    <w:qFormat/>
    <w:rPr>
      <w:sz w:val="24"/>
      <w:szCs w:val="24"/>
    </w:rPr>
  </w:style>
  <w:style w:type="paragraph" w:customStyle="1" w:styleId="CharCharf5">
    <w:name w:val="样式 正文（首行缩进两字） Char Char + (符号) 宋体"/>
    <w:basedOn w:val="a8"/>
    <w:link w:val="CharCharChar0"/>
    <w:qFormat/>
    <w:pPr>
      <w:autoSpaceDE w:val="0"/>
      <w:autoSpaceDN w:val="0"/>
      <w:adjustRightInd w:val="0"/>
      <w:snapToGrid w:val="0"/>
      <w:spacing w:line="440" w:lineRule="exact"/>
      <w:ind w:firstLine="482"/>
    </w:pPr>
    <w:rPr>
      <w:rFonts w:ascii="Times New Roman"/>
      <w:szCs w:val="24"/>
    </w:rPr>
  </w:style>
  <w:style w:type="character" w:customStyle="1" w:styleId="2CharChar1">
    <w:name w:val="【标题2】 Char Char"/>
    <w:link w:val="2f"/>
    <w:qFormat/>
    <w:rPr>
      <w:rFonts w:eastAsia="宋体"/>
      <w:b/>
      <w:bCs/>
      <w:kern w:val="2"/>
      <w:sz w:val="32"/>
      <w:lang w:val="en-US" w:eastAsia="zh-CN" w:bidi="ar-SA"/>
    </w:rPr>
  </w:style>
  <w:style w:type="paragraph" w:customStyle="1" w:styleId="2f">
    <w:name w:val="【标题2】"/>
    <w:basedOn w:val="2"/>
    <w:link w:val="2CharChar1"/>
    <w:qFormat/>
    <w:pPr>
      <w:keepNext w:val="0"/>
      <w:spacing w:before="120" w:after="120"/>
    </w:pPr>
    <w:rPr>
      <w:rFonts w:eastAsia="宋体"/>
    </w:rPr>
  </w:style>
  <w:style w:type="character" w:customStyle="1" w:styleId="postbody1">
    <w:name w:val="postbody1"/>
    <w:qFormat/>
    <w:rPr>
      <w:sz w:val="21"/>
      <w:szCs w:val="21"/>
    </w:rPr>
  </w:style>
  <w:style w:type="character" w:customStyle="1" w:styleId="Charf9">
    <w:name w:val="要点 Char"/>
    <w:qFormat/>
    <w:rPr>
      <w:rFonts w:ascii="Times New Roman" w:eastAsia="宋体"/>
      <w:b/>
      <w:color w:val="000000"/>
      <w:spacing w:val="0"/>
      <w:w w:val="100"/>
      <w:sz w:val="21"/>
      <w:u w:val="none" w:color="000000"/>
      <w:vertAlign w:val="baseline"/>
      <w:lang w:val="en-US" w:eastAsia="zh-CN"/>
    </w:rPr>
  </w:style>
  <w:style w:type="character" w:customStyle="1" w:styleId="y1CharChar">
    <w:name w:val="y标题1 Char Char"/>
    <w:qFormat/>
    <w:rPr>
      <w:rFonts w:ascii="Calibri" w:eastAsia="黑体" w:hAnsi="Calibri" w:cs="Calibri"/>
      <w:b/>
      <w:bCs/>
      <w:caps/>
      <w:kern w:val="44"/>
      <w:sz w:val="32"/>
      <w:szCs w:val="28"/>
      <w:lang w:val="en-US" w:eastAsia="zh-CN"/>
    </w:rPr>
  </w:style>
  <w:style w:type="character" w:customStyle="1" w:styleId="1Char4">
    <w:name w:val="可研标题1 Char"/>
    <w:link w:val="1d"/>
    <w:qFormat/>
    <w:rPr>
      <w:rFonts w:ascii="黑体" w:eastAsia="黑体"/>
      <w:bCs/>
      <w:kern w:val="44"/>
      <w:sz w:val="32"/>
      <w:szCs w:val="30"/>
    </w:rPr>
  </w:style>
  <w:style w:type="paragraph" w:customStyle="1" w:styleId="1d">
    <w:name w:val="可研标题1"/>
    <w:basedOn w:val="11"/>
    <w:link w:val="1Char4"/>
    <w:qFormat/>
    <w:pPr>
      <w:tabs>
        <w:tab w:val="clear" w:pos="8160"/>
      </w:tabs>
      <w:adjustRightInd/>
      <w:spacing w:before="340" w:afterLines="0" w:after="330"/>
      <w:textAlignment w:val="auto"/>
    </w:pPr>
    <w:rPr>
      <w:b w:val="0"/>
      <w:szCs w:val="30"/>
    </w:rPr>
  </w:style>
  <w:style w:type="character" w:customStyle="1" w:styleId="4Char2">
    <w:name w:val="样式 标题 4 + 四号 Char"/>
    <w:link w:val="4c"/>
    <w:qFormat/>
    <w:rPr>
      <w:rFonts w:eastAsia="黑体"/>
      <w:snapToGrid w:val="0"/>
      <w:sz w:val="28"/>
      <w:szCs w:val="28"/>
    </w:rPr>
  </w:style>
  <w:style w:type="paragraph" w:customStyle="1" w:styleId="4c">
    <w:name w:val="样式 标题 4 + 四号"/>
    <w:basedOn w:val="42"/>
    <w:link w:val="4Char2"/>
    <w:qFormat/>
    <w:pPr>
      <w:snapToGrid w:val="0"/>
      <w:spacing w:before="0" w:after="0" w:line="360" w:lineRule="auto"/>
    </w:pPr>
    <w:rPr>
      <w:rFonts w:ascii="Times New Roman" w:hAnsi="Times New Roman"/>
      <w:b w:val="0"/>
      <w:bCs w:val="0"/>
      <w:snapToGrid w:val="0"/>
      <w:kern w:val="0"/>
    </w:rPr>
  </w:style>
  <w:style w:type="character" w:customStyle="1" w:styleId="CharCharf6">
    <w:name w:val="报告书正文 Char Char"/>
    <w:link w:val="afffffffc"/>
    <w:qFormat/>
    <w:rPr>
      <w:rFonts w:eastAsia="宋体"/>
      <w:kern w:val="2"/>
      <w:sz w:val="24"/>
      <w:szCs w:val="24"/>
      <w:lang w:val="en-US" w:eastAsia="zh-CN" w:bidi="ar-SA"/>
    </w:rPr>
  </w:style>
  <w:style w:type="paragraph" w:customStyle="1" w:styleId="afffffffc">
    <w:name w:val="报告书正文"/>
    <w:basedOn w:val="a8"/>
    <w:link w:val="CharCharf6"/>
    <w:qFormat/>
    <w:pPr>
      <w:spacing w:line="360" w:lineRule="auto"/>
      <w:ind w:firstLineChars="200" w:firstLine="480"/>
    </w:pPr>
    <w:rPr>
      <w:kern w:val="2"/>
      <w:szCs w:val="24"/>
    </w:rPr>
  </w:style>
  <w:style w:type="character" w:customStyle="1" w:styleId="CharCharf7">
    <w:name w:val="正文(首行缩进) Char Char"/>
    <w:link w:val="afffffffd"/>
    <w:qFormat/>
    <w:rPr>
      <w:rFonts w:eastAsia="宋体"/>
      <w:snapToGrid w:val="0"/>
      <w:color w:val="000000"/>
      <w:sz w:val="24"/>
      <w:szCs w:val="24"/>
      <w:lang w:val="en-US" w:eastAsia="zh-CN" w:bidi="ar-SA"/>
    </w:rPr>
  </w:style>
  <w:style w:type="paragraph" w:customStyle="1" w:styleId="afffffffd">
    <w:name w:val="正文(首行缩进)"/>
    <w:basedOn w:val="a8"/>
    <w:link w:val="CharCharf7"/>
    <w:qFormat/>
    <w:pPr>
      <w:spacing w:line="360" w:lineRule="auto"/>
      <w:ind w:firstLineChars="225" w:firstLine="540"/>
    </w:pPr>
    <w:rPr>
      <w:snapToGrid w:val="0"/>
      <w:color w:val="000000"/>
      <w:szCs w:val="24"/>
    </w:rPr>
  </w:style>
  <w:style w:type="character" w:customStyle="1" w:styleId="TimesNewRomanCharChar">
    <w:name w:val="样式 题注 + (西文) Times New Roman (中文) 宋体 四号 Char Char"/>
    <w:qFormat/>
    <w:rPr>
      <w:rFonts w:ascii="Times New Roman" w:eastAsia="宋体" w:hAnsi="Times New Roman" w:cs="Arial"/>
      <w:kern w:val="2"/>
      <w:sz w:val="28"/>
      <w:lang w:val="en-US" w:eastAsia="zh-CN" w:bidi="ar-SA"/>
    </w:rPr>
  </w:style>
  <w:style w:type="character" w:customStyle="1" w:styleId="CharCharf8">
    <w:name w:val="中 Char Char"/>
    <w:link w:val="afffffffe"/>
    <w:qFormat/>
    <w:rPr>
      <w:rFonts w:ascii="宋体" w:hAnsi="宋体"/>
      <w:color w:val="000000"/>
      <w:kern w:val="2"/>
      <w:sz w:val="18"/>
      <w:szCs w:val="18"/>
      <w:lang w:bidi="ar-SA"/>
    </w:rPr>
  </w:style>
  <w:style w:type="paragraph" w:customStyle="1" w:styleId="afffffffe">
    <w:name w:val="中"/>
    <w:basedOn w:val="a8"/>
    <w:link w:val="CharCharf8"/>
    <w:qFormat/>
    <w:pPr>
      <w:spacing w:line="280" w:lineRule="exact"/>
      <w:jc w:val="center"/>
    </w:pPr>
    <w:rPr>
      <w:rFonts w:hAnsi="宋体"/>
      <w:color w:val="000000"/>
      <w:kern w:val="2"/>
      <w:sz w:val="18"/>
      <w:szCs w:val="18"/>
    </w:rPr>
  </w:style>
  <w:style w:type="character" w:customStyle="1" w:styleId="fheading1">
    <w:name w:val="f_heading1"/>
    <w:basedOn w:val="ab"/>
    <w:qFormat/>
  </w:style>
  <w:style w:type="character" w:customStyle="1" w:styleId="af4">
    <w:name w:val="注释标题 字符"/>
    <w:link w:val="af3"/>
    <w:qFormat/>
    <w:rPr>
      <w:rFonts w:ascii="宋体" w:eastAsia="宋体" w:hAnsi="宋体" w:cs="宋体"/>
      <w:bCs/>
      <w:sz w:val="28"/>
      <w:szCs w:val="32"/>
      <w:lang w:val="en-US" w:eastAsia="zh-CN" w:bidi="ar-SA"/>
    </w:rPr>
  </w:style>
  <w:style w:type="character" w:customStyle="1" w:styleId="Char18">
    <w:name w:val="正文(首行缩进) Char1"/>
    <w:qFormat/>
    <w:rPr>
      <w:rFonts w:eastAsia="宋体"/>
      <w:snapToGrid w:val="0"/>
      <w:color w:val="000000"/>
      <w:sz w:val="24"/>
      <w:szCs w:val="24"/>
      <w:lang w:val="en-US" w:eastAsia="zh-CN" w:bidi="ar-SA"/>
    </w:rPr>
  </w:style>
  <w:style w:type="character" w:customStyle="1" w:styleId="entry-stat-author">
    <w:name w:val="entry-stat-author"/>
    <w:qFormat/>
    <w:rPr>
      <w:rFonts w:ascii="宋体" w:hAnsi="宋体" w:cs="宋体"/>
      <w:color w:val="136EC2"/>
      <w:sz w:val="24"/>
    </w:rPr>
  </w:style>
  <w:style w:type="character" w:customStyle="1" w:styleId="h2Char">
    <w:name w:val="h2 Char"/>
    <w:qFormat/>
    <w:rPr>
      <w:rFonts w:ascii="Arial" w:eastAsia="黑体" w:hAnsi="Arial"/>
      <w:b/>
      <w:kern w:val="2"/>
      <w:sz w:val="32"/>
      <w:lang w:val="en-US" w:eastAsia="zh-CN" w:bidi="ar-SA"/>
    </w:rPr>
  </w:style>
  <w:style w:type="character" w:customStyle="1" w:styleId="afd">
    <w:name w:val="文档结构图 字符"/>
    <w:link w:val="afc"/>
    <w:uiPriority w:val="99"/>
    <w:qFormat/>
    <w:rPr>
      <w:rFonts w:eastAsia="宋体"/>
      <w:kern w:val="2"/>
      <w:sz w:val="21"/>
      <w:szCs w:val="24"/>
      <w:lang w:val="en-US" w:eastAsia="zh-CN" w:bidi="ar-SA"/>
    </w:rPr>
  </w:style>
  <w:style w:type="character" w:customStyle="1" w:styleId="BodyText22CharChar">
    <w:name w:val="样式 正文文本缩进正文文字( 首段缩进两字）特点标题Body Text 2 + 宋体 小四 黑色 行距: 固定值 2... Char Char"/>
    <w:link w:val="BodyText22"/>
    <w:qFormat/>
    <w:rPr>
      <w:rFonts w:ascii="宋体" w:eastAsia="宋体" w:cs="宋体"/>
      <w:bCs/>
      <w:color w:val="000000"/>
      <w:kern w:val="2"/>
      <w:sz w:val="24"/>
      <w:szCs w:val="24"/>
      <w:lang w:val="en-US" w:eastAsia="zh-CN" w:bidi="ar-SA"/>
    </w:rPr>
  </w:style>
  <w:style w:type="paragraph" w:customStyle="1" w:styleId="BodyText22">
    <w:name w:val="样式 正文文本缩进正文文字( 首段缩进两字）特点标题Body Text 2 + 宋体 小四 黑色 行距: 固定值 2..."/>
    <w:basedOn w:val="aff5"/>
    <w:link w:val="BodyText22CharChar"/>
    <w:qFormat/>
    <w:pPr>
      <w:spacing w:line="440" w:lineRule="exact"/>
      <w:ind w:left="0" w:firstLineChars="300" w:firstLine="720"/>
    </w:pPr>
    <w:rPr>
      <w:rFonts w:cs="宋体"/>
      <w:bCs/>
      <w:color w:val="000000"/>
      <w:sz w:val="24"/>
      <w:szCs w:val="24"/>
    </w:rPr>
  </w:style>
  <w:style w:type="character" w:customStyle="1" w:styleId="150">
    <w:name w:val="15"/>
    <w:qFormat/>
    <w:rPr>
      <w:rFonts w:ascii="Calibri" w:hAnsi="Calibri" w:cs="Calibri" w:hint="default"/>
      <w:b/>
      <w:bCs/>
    </w:rPr>
  </w:style>
  <w:style w:type="character" w:customStyle="1" w:styleId="1e">
    <w:name w:val="超链接1"/>
    <w:qFormat/>
    <w:rPr>
      <w:color w:val="0000FF"/>
      <w:u w:val="single"/>
    </w:rPr>
  </w:style>
  <w:style w:type="character" w:customStyle="1" w:styleId="r1">
    <w:name w:val="r1"/>
    <w:qFormat/>
    <w:rPr>
      <w:sz w:val="20"/>
      <w:szCs w:val="20"/>
    </w:rPr>
  </w:style>
  <w:style w:type="character" w:customStyle="1" w:styleId="3CharChar2">
    <w:name w:val="蒲标题3 Char Char"/>
    <w:link w:val="3e"/>
    <w:qFormat/>
    <w:rPr>
      <w:rFonts w:eastAsia="宋体"/>
      <w:bCs/>
      <w:kern w:val="2"/>
      <w:sz w:val="28"/>
      <w:szCs w:val="28"/>
      <w:lang w:val="en-US" w:eastAsia="zh-CN" w:bidi="ar-SA"/>
    </w:rPr>
  </w:style>
  <w:style w:type="paragraph" w:customStyle="1" w:styleId="3e">
    <w:name w:val="蒲标题3"/>
    <w:basedOn w:val="31"/>
    <w:link w:val="3CharChar2"/>
    <w:qFormat/>
    <w:pPr>
      <w:autoSpaceDE w:val="0"/>
      <w:autoSpaceDN w:val="0"/>
      <w:adjustRightInd w:val="0"/>
      <w:snapToGrid w:val="0"/>
      <w:spacing w:before="0" w:after="0" w:line="360" w:lineRule="auto"/>
      <w:ind w:left="288"/>
      <w:outlineLvl w:val="0"/>
    </w:pPr>
    <w:rPr>
      <w:sz w:val="28"/>
      <w:szCs w:val="28"/>
    </w:rPr>
  </w:style>
  <w:style w:type="character" w:customStyle="1" w:styleId="3CharChar3">
    <w:name w:val="正文文字 3 Char Char"/>
    <w:qFormat/>
    <w:rPr>
      <w:color w:val="000000"/>
      <w:kern w:val="2"/>
      <w:sz w:val="24"/>
      <w:szCs w:val="24"/>
    </w:rPr>
  </w:style>
  <w:style w:type="character" w:customStyle="1" w:styleId="Charfa">
    <w:name w:val="三级标题 Char"/>
    <w:qFormat/>
    <w:rPr>
      <w:rFonts w:ascii="黑体" w:eastAsia="黑体"/>
      <w:kern w:val="2"/>
      <w:sz w:val="30"/>
      <w:lang w:val="en-US" w:eastAsia="zh-CN" w:bidi="ar-SA"/>
    </w:rPr>
  </w:style>
  <w:style w:type="character" w:customStyle="1" w:styleId="affffffff">
    <w:name w:val="样式 四"/>
    <w:qFormat/>
    <w:rPr>
      <w:rFonts w:eastAsia="宋体"/>
      <w:kern w:val="2"/>
      <w:sz w:val="28"/>
      <w:szCs w:val="28"/>
      <w:lang w:val="en-US" w:eastAsia="zh-CN" w:bidi="ar-SA"/>
    </w:rPr>
  </w:style>
  <w:style w:type="character" w:customStyle="1" w:styleId="apple-converted-space">
    <w:name w:val="apple-converted-space"/>
    <w:basedOn w:val="ab"/>
    <w:qFormat/>
  </w:style>
  <w:style w:type="character" w:customStyle="1" w:styleId="elite-lv">
    <w:name w:val="elite-lv"/>
    <w:qFormat/>
    <w:rPr>
      <w:rFonts w:ascii="宋体" w:hAnsi="宋体" w:cs="宋体"/>
      <w:sz w:val="24"/>
    </w:rPr>
  </w:style>
  <w:style w:type="character" w:customStyle="1" w:styleId="detail">
    <w:name w:val="detail"/>
    <w:basedOn w:val="ab"/>
    <w:qFormat/>
  </w:style>
  <w:style w:type="character" w:customStyle="1" w:styleId="gb13-30">
    <w:name w:val="gb13-30"/>
    <w:basedOn w:val="ab"/>
    <w:qFormat/>
  </w:style>
  <w:style w:type="character" w:customStyle="1" w:styleId="Char23">
    <w:name w:val="普通文字 Char2"/>
    <w:qFormat/>
    <w:rPr>
      <w:rFonts w:ascii="宋体" w:eastAsia="宋体" w:hAnsi="Courier New"/>
      <w:kern w:val="2"/>
      <w:sz w:val="28"/>
      <w:lang w:val="en-US" w:eastAsia="zh-CN" w:bidi="ar-SA"/>
    </w:rPr>
  </w:style>
  <w:style w:type="character" w:customStyle="1" w:styleId="bodyfont1">
    <w:name w:val="bodyfont1"/>
    <w:qFormat/>
    <w:rPr>
      <w:sz w:val="21"/>
      <w:szCs w:val="21"/>
    </w:rPr>
  </w:style>
  <w:style w:type="character" w:customStyle="1" w:styleId="1Char5">
    <w:name w:val="表1 Char"/>
    <w:qFormat/>
    <w:rPr>
      <w:rFonts w:eastAsia="华文中宋"/>
      <w:sz w:val="24"/>
      <w:szCs w:val="24"/>
      <w:lang w:bidi="ar-SA"/>
    </w:rPr>
  </w:style>
  <w:style w:type="character" w:customStyle="1" w:styleId="CharCharf9">
    <w:name w:val="偶的正文 Char Char"/>
    <w:link w:val="affffffff0"/>
    <w:qFormat/>
    <w:rPr>
      <w:color w:val="000000"/>
      <w:spacing w:val="2"/>
      <w:sz w:val="24"/>
      <w:szCs w:val="21"/>
      <w:lang w:val="en-US" w:eastAsia="zh-CN"/>
    </w:rPr>
  </w:style>
  <w:style w:type="paragraph" w:customStyle="1" w:styleId="affffffff0">
    <w:name w:val="偶的正文"/>
    <w:basedOn w:val="affff7"/>
    <w:link w:val="CharCharf9"/>
    <w:qFormat/>
    <w:pPr>
      <w:tabs>
        <w:tab w:val="left" w:pos="4500"/>
        <w:tab w:val="left" w:pos="7245"/>
      </w:tabs>
      <w:adjustRightInd w:val="0"/>
      <w:snapToGrid w:val="0"/>
      <w:spacing w:line="360" w:lineRule="auto"/>
      <w:ind w:firstLine="488"/>
    </w:pPr>
    <w:rPr>
      <w:rFonts w:ascii="Times New Roman"/>
      <w:color w:val="000000"/>
      <w:spacing w:val="2"/>
      <w:szCs w:val="21"/>
    </w:rPr>
  </w:style>
  <w:style w:type="character" w:customStyle="1" w:styleId="Char19">
    <w:name w:val="纯文本 Char1"/>
    <w:link w:val="2f0"/>
    <w:qFormat/>
    <w:rPr>
      <w:rFonts w:ascii="宋体" w:eastAsia="宋体" w:hAnsi="Courier New"/>
      <w:kern w:val="2"/>
      <w:sz w:val="24"/>
      <w:szCs w:val="21"/>
      <w:lang w:val="en-US" w:eastAsia="zh-CN" w:bidi="ar-SA"/>
    </w:rPr>
  </w:style>
  <w:style w:type="paragraph" w:customStyle="1" w:styleId="2f0">
    <w:name w:val="标题2"/>
    <w:basedOn w:val="a8"/>
    <w:link w:val="Char19"/>
    <w:qFormat/>
    <w:pPr>
      <w:keepNext/>
      <w:keepLines/>
      <w:adjustRightInd w:val="0"/>
      <w:snapToGrid w:val="0"/>
      <w:spacing w:line="440" w:lineRule="exact"/>
      <w:jc w:val="left"/>
      <w:outlineLvl w:val="1"/>
    </w:pPr>
    <w:rPr>
      <w:rFonts w:hAnsi="Courier New"/>
      <w:kern w:val="2"/>
      <w:szCs w:val="21"/>
    </w:rPr>
  </w:style>
  <w:style w:type="character" w:customStyle="1" w:styleId="contents1">
    <w:name w:val="contents1"/>
    <w:qFormat/>
    <w:rPr>
      <w:rFonts w:ascii="Verdana" w:hAnsi="Verdana" w:hint="default"/>
      <w:color w:val="000000"/>
      <w:sz w:val="21"/>
      <w:szCs w:val="21"/>
    </w:rPr>
  </w:style>
  <w:style w:type="character" w:customStyle="1" w:styleId="Charfb">
    <w:name w:val="中远正文 Char"/>
    <w:qFormat/>
    <w:rPr>
      <w:rFonts w:eastAsia="宋体" w:cs="宋体"/>
      <w:snapToGrid w:val="0"/>
      <w:color w:val="000000"/>
      <w:kern w:val="24"/>
      <w:sz w:val="24"/>
      <w:lang w:val="en-US" w:eastAsia="zh-CN" w:bidi="ar-SA"/>
    </w:rPr>
  </w:style>
  <w:style w:type="character" w:customStyle="1" w:styleId="style9style60">
    <w:name w:val="style9 style60"/>
    <w:basedOn w:val="ab"/>
    <w:qFormat/>
  </w:style>
  <w:style w:type="character" w:customStyle="1" w:styleId="CharCharfa">
    <w:name w:val="表格文字 Char Char"/>
    <w:link w:val="affffffff1"/>
    <w:qFormat/>
    <w:rPr>
      <w:rFonts w:ascii="宋体" w:hAnsi="宋体"/>
      <w:sz w:val="21"/>
      <w:lang w:val="en-US" w:eastAsia="zh-CN" w:bidi="ar-SA"/>
    </w:rPr>
  </w:style>
  <w:style w:type="paragraph" w:customStyle="1" w:styleId="affffffff1">
    <w:name w:val="表格文字"/>
    <w:link w:val="CharCharfa"/>
    <w:qFormat/>
    <w:pPr>
      <w:snapToGrid w:val="0"/>
    </w:pPr>
    <w:rPr>
      <w:rFonts w:ascii="宋体" w:hAnsi="宋体"/>
      <w:sz w:val="21"/>
    </w:rPr>
  </w:style>
  <w:style w:type="character" w:customStyle="1" w:styleId="gold1">
    <w:name w:val="gold1"/>
    <w:qFormat/>
    <w:rPr>
      <w:rFonts w:ascii="??" w:eastAsia="??" w:hAnsi="??" w:hint="eastAsia"/>
      <w:color w:val="576B2C"/>
      <w:sz w:val="20"/>
      <w:szCs w:val="20"/>
      <w:u w:val="none"/>
    </w:rPr>
  </w:style>
  <w:style w:type="character" w:customStyle="1" w:styleId="CharCharfb">
    <w:name w:val="表格内容 Char Char"/>
    <w:qFormat/>
    <w:rPr>
      <w:rFonts w:eastAsia="仿宋_GB2312"/>
      <w:snapToGrid w:val="0"/>
      <w:sz w:val="24"/>
      <w:lang w:val="en-US" w:eastAsia="zh-CN" w:bidi="ar-SA"/>
    </w:rPr>
  </w:style>
  <w:style w:type="character" w:customStyle="1" w:styleId="1f">
    <w:name w:val="明显参考1"/>
    <w:qFormat/>
    <w:rPr>
      <w:b/>
      <w:sz w:val="24"/>
      <w:u w:val="single"/>
    </w:rPr>
  </w:style>
  <w:style w:type="character" w:customStyle="1" w:styleId="Char1a">
    <w:name w:val="表格居中 Char1"/>
    <w:link w:val="affffffff2"/>
    <w:qFormat/>
    <w:rPr>
      <w:rFonts w:ascii="宋体" w:eastAsia="宋体" w:hAnsi="宋体" w:cs="宋体"/>
      <w:snapToGrid w:val="0"/>
      <w:spacing w:val="-4"/>
      <w:w w:val="90"/>
      <w:sz w:val="24"/>
      <w:szCs w:val="24"/>
      <w:lang w:val="en-US" w:eastAsia="zh-CN" w:bidi="ar-SA"/>
    </w:rPr>
  </w:style>
  <w:style w:type="paragraph" w:customStyle="1" w:styleId="affffffff2">
    <w:name w:val="表格居中"/>
    <w:basedOn w:val="a8"/>
    <w:link w:val="Char1a"/>
    <w:qFormat/>
    <w:pPr>
      <w:jc w:val="center"/>
    </w:pPr>
    <w:rPr>
      <w:rFonts w:hAnsi="宋体" w:cs="宋体"/>
      <w:snapToGrid w:val="0"/>
      <w:spacing w:val="-4"/>
      <w:w w:val="90"/>
      <w:szCs w:val="24"/>
    </w:rPr>
  </w:style>
  <w:style w:type="character" w:customStyle="1" w:styleId="Char24">
    <w:name w:val="表头 Char2"/>
    <w:qFormat/>
    <w:rPr>
      <w:rFonts w:ascii="黑体" w:eastAsia="宋体" w:hAnsi="宋体"/>
      <w:bCs/>
      <w:sz w:val="24"/>
      <w:szCs w:val="24"/>
      <w:lang w:bidi="ar-SA"/>
    </w:rPr>
  </w:style>
  <w:style w:type="character" w:customStyle="1" w:styleId="4CharChar0">
    <w:name w:val="标题 4 Char Char"/>
    <w:qFormat/>
    <w:rPr>
      <w:rFonts w:ascii="Arial" w:eastAsia="宋体" w:hAnsi="Arial"/>
      <w:sz w:val="24"/>
      <w:lang w:val="en-US" w:eastAsia="zh-CN" w:bidi="ar-SA"/>
    </w:rPr>
  </w:style>
  <w:style w:type="character" w:customStyle="1" w:styleId="141">
    <w:name w:val="141"/>
    <w:qFormat/>
    <w:rPr>
      <w:color w:val="000000"/>
      <w:spacing w:val="330"/>
      <w:sz w:val="21"/>
      <w:szCs w:val="21"/>
    </w:rPr>
  </w:style>
  <w:style w:type="character" w:customStyle="1" w:styleId="1CharChar3">
    <w:name w:val="1正文段落 Char Char"/>
    <w:link w:val="1f0"/>
    <w:qFormat/>
    <w:rPr>
      <w:rFonts w:eastAsia="宋体"/>
      <w:snapToGrid w:val="0"/>
      <w:sz w:val="24"/>
      <w:szCs w:val="24"/>
      <w:lang w:val="en-US" w:eastAsia="zh-CN" w:bidi="ar-SA"/>
    </w:rPr>
  </w:style>
  <w:style w:type="paragraph" w:customStyle="1" w:styleId="1f0">
    <w:name w:val="1正文段落"/>
    <w:basedOn w:val="a8"/>
    <w:link w:val="1CharChar3"/>
    <w:qFormat/>
    <w:pPr>
      <w:spacing w:line="360" w:lineRule="auto"/>
      <w:ind w:firstLineChars="200" w:firstLine="480"/>
      <w:jc w:val="left"/>
    </w:pPr>
    <w:rPr>
      <w:snapToGrid w:val="0"/>
      <w:szCs w:val="24"/>
    </w:rPr>
  </w:style>
  <w:style w:type="character" w:customStyle="1" w:styleId="1Char6">
    <w:name w:val="1正文段落 Char"/>
    <w:qFormat/>
    <w:rPr>
      <w:rFonts w:eastAsia="宋体"/>
      <w:snapToGrid w:val="0"/>
      <w:sz w:val="24"/>
      <w:szCs w:val="24"/>
      <w:lang w:bidi="ar-SA"/>
    </w:rPr>
  </w:style>
  <w:style w:type="character" w:customStyle="1" w:styleId="CharCharfc">
    <w:name w:val="标准正文 Char Char"/>
    <w:link w:val="affffffff3"/>
    <w:qFormat/>
    <w:rPr>
      <w:rFonts w:eastAsia="宋体"/>
      <w:color w:val="0000FF"/>
      <w:sz w:val="28"/>
      <w:lang w:val="en-US" w:eastAsia="zh-CN" w:bidi="ar-SA"/>
    </w:rPr>
  </w:style>
  <w:style w:type="paragraph" w:customStyle="1" w:styleId="affffffff3">
    <w:name w:val="标准正文"/>
    <w:basedOn w:val="a8"/>
    <w:link w:val="CharCharfc"/>
    <w:qFormat/>
    <w:pPr>
      <w:autoSpaceDE w:val="0"/>
      <w:autoSpaceDN w:val="0"/>
      <w:adjustRightInd w:val="0"/>
      <w:snapToGrid w:val="0"/>
      <w:spacing w:line="360" w:lineRule="auto"/>
      <w:ind w:firstLine="510"/>
    </w:pPr>
    <w:rPr>
      <w:color w:val="0000FF"/>
      <w:sz w:val="28"/>
    </w:rPr>
  </w:style>
  <w:style w:type="character" w:customStyle="1" w:styleId="DefaultChar">
    <w:name w:val="Default Char"/>
    <w:link w:val="Default"/>
    <w:qFormat/>
    <w:rPr>
      <w:rFonts w:ascii="仿宋_GB2312" w:eastAsia="仿宋_GB2312" w:hAnsi="Calibri"/>
      <w:color w:val="000000"/>
      <w:sz w:val="24"/>
      <w:szCs w:val="24"/>
      <w:lang w:val="en-US" w:eastAsia="zh-CN" w:bidi="ar-SA"/>
    </w:rPr>
  </w:style>
  <w:style w:type="paragraph" w:customStyle="1" w:styleId="Default">
    <w:name w:val="Default"/>
    <w:link w:val="DefaultChar"/>
    <w:qFormat/>
    <w:pPr>
      <w:widowControl w:val="0"/>
      <w:autoSpaceDE w:val="0"/>
      <w:autoSpaceDN w:val="0"/>
      <w:adjustRightInd w:val="0"/>
    </w:pPr>
    <w:rPr>
      <w:rFonts w:ascii="仿宋_GB2312" w:eastAsia="仿宋_GB2312" w:hAnsi="Calibri"/>
      <w:color w:val="000000"/>
      <w:sz w:val="24"/>
      <w:szCs w:val="24"/>
    </w:rPr>
  </w:style>
  <w:style w:type="character" w:customStyle="1" w:styleId="CharCharfd">
    <w:name w:val="【正文】 Char Char"/>
    <w:link w:val="affffffff4"/>
    <w:qFormat/>
    <w:rPr>
      <w:rFonts w:eastAsia="宋体" w:cs="宋体"/>
      <w:kern w:val="2"/>
      <w:sz w:val="24"/>
      <w:lang w:val="en-US" w:eastAsia="zh-CN" w:bidi="ar-SA"/>
    </w:rPr>
  </w:style>
  <w:style w:type="paragraph" w:customStyle="1" w:styleId="affffffff4">
    <w:name w:val="【正文】"/>
    <w:basedOn w:val="a8"/>
    <w:link w:val="CharCharfd"/>
    <w:qFormat/>
    <w:pPr>
      <w:spacing w:line="440" w:lineRule="exact"/>
      <w:ind w:firstLineChars="200" w:firstLine="544"/>
    </w:pPr>
    <w:rPr>
      <w:rFonts w:cs="宋体"/>
      <w:kern w:val="2"/>
    </w:rPr>
  </w:style>
  <w:style w:type="character" w:customStyle="1" w:styleId="ttag">
    <w:name w:val="t_tag"/>
    <w:basedOn w:val="ab"/>
    <w:qFormat/>
  </w:style>
  <w:style w:type="character" w:customStyle="1" w:styleId="Charfc">
    <w:name w:val="报告 Char"/>
    <w:link w:val="affffffff5"/>
    <w:qFormat/>
    <w:rPr>
      <w:rFonts w:ascii="宋体"/>
      <w:sz w:val="24"/>
    </w:rPr>
  </w:style>
  <w:style w:type="paragraph" w:customStyle="1" w:styleId="affffffff5">
    <w:name w:val="报告"/>
    <w:basedOn w:val="a8"/>
    <w:link w:val="Charfc"/>
    <w:qFormat/>
    <w:pPr>
      <w:adjustRightInd w:val="0"/>
      <w:spacing w:line="360" w:lineRule="auto"/>
      <w:ind w:firstLine="505"/>
      <w:jc w:val="left"/>
      <w:textAlignment w:val="baseline"/>
    </w:pPr>
  </w:style>
  <w:style w:type="character" w:customStyle="1" w:styleId="CharCharfe">
    <w:name w:val="表题注 Char Char"/>
    <w:qFormat/>
    <w:rPr>
      <w:rFonts w:ascii="宋体" w:eastAsia="宋体" w:hAnsi="宋体" w:cs="宋体"/>
      <w:b/>
      <w:kern w:val="2"/>
      <w:sz w:val="24"/>
      <w:szCs w:val="24"/>
      <w:lang w:val="en-US" w:eastAsia="zh-CN" w:bidi="ar-SA"/>
    </w:rPr>
  </w:style>
  <w:style w:type="character" w:customStyle="1" w:styleId="TOC10">
    <w:name w:val="TOC 1 字符"/>
    <w:link w:val="TOC1"/>
    <w:uiPriority w:val="39"/>
    <w:qFormat/>
    <w:rPr>
      <w:rFonts w:ascii="Calibri" w:hAnsi="Calibri" w:cs="Calibri"/>
      <w:b/>
      <w:bCs/>
      <w:caps/>
    </w:rPr>
  </w:style>
  <w:style w:type="character" w:customStyle="1" w:styleId="HTML0">
    <w:name w:val="HTML 地址 字符"/>
    <w:link w:val="HTML"/>
    <w:qFormat/>
    <w:rPr>
      <w:rFonts w:ascii="宋体" w:eastAsia="宋体" w:hAnsi="宋体" w:cs="宋体"/>
      <w:bCs/>
      <w:i/>
      <w:iCs/>
      <w:sz w:val="28"/>
      <w:szCs w:val="32"/>
      <w:lang w:val="en-US" w:eastAsia="zh-CN" w:bidi="ar-SA"/>
    </w:rPr>
  </w:style>
  <w:style w:type="character" w:customStyle="1" w:styleId="CharChar11">
    <w:name w:val="正文文字 Char Char1"/>
    <w:qFormat/>
    <w:rPr>
      <w:rFonts w:ascii="Times New Roman" w:hAnsi="Times New Roman"/>
      <w:kern w:val="2"/>
      <w:sz w:val="24"/>
      <w:szCs w:val="24"/>
    </w:rPr>
  </w:style>
  <w:style w:type="character" w:customStyle="1" w:styleId="2CharCharCharCharCharChar2">
    <w:name w:val="正文文本 2 Char Char Char Char Char Char2"/>
    <w:qFormat/>
    <w:rPr>
      <w:rFonts w:ascii="Times New Roman" w:eastAsia="黑体" w:hAnsi="Times New Roman"/>
      <w:b/>
      <w:bCs/>
      <w:kern w:val="2"/>
      <w:sz w:val="28"/>
      <w:szCs w:val="24"/>
    </w:rPr>
  </w:style>
  <w:style w:type="character" w:customStyle="1" w:styleId="jjgk1">
    <w:name w:val="jjgk1"/>
    <w:qFormat/>
    <w:rPr>
      <w:color w:val="009900"/>
      <w:sz w:val="9"/>
      <w:szCs w:val="9"/>
    </w:rPr>
  </w:style>
  <w:style w:type="character" w:customStyle="1" w:styleId="rd1">
    <w:name w:val="rd1"/>
    <w:qFormat/>
    <w:rPr>
      <w:rFonts w:ascii="ˎ̥" w:hAnsi="ˎ̥" w:hint="default"/>
      <w:b/>
      <w:bCs/>
      <w:color w:val="900000"/>
      <w:sz w:val="19"/>
      <w:szCs w:val="19"/>
    </w:rPr>
  </w:style>
  <w:style w:type="character" w:customStyle="1" w:styleId="3CharChar4">
    <w:name w:val="样式3 Char Char"/>
    <w:link w:val="3f"/>
    <w:qFormat/>
    <w:rPr>
      <w:rFonts w:eastAsia="宋体" w:hAnsi="Courier New" w:cs="Courier New"/>
      <w:sz w:val="21"/>
      <w:szCs w:val="21"/>
      <w:lang w:val="en-US" w:eastAsia="zh-CN" w:bidi="ar-SA"/>
    </w:rPr>
  </w:style>
  <w:style w:type="paragraph" w:customStyle="1" w:styleId="3f">
    <w:name w:val="样式3"/>
    <w:basedOn w:val="aff9"/>
    <w:link w:val="3CharChar4"/>
    <w:qFormat/>
    <w:pPr>
      <w:spacing w:before="0" w:beforeAutospacing="0" w:after="0" w:afterAutospacing="0"/>
      <w:jc w:val="center"/>
    </w:pPr>
    <w:rPr>
      <w:rFonts w:eastAsia="宋体" w:hAnsi="Courier New" w:cs="Courier New"/>
      <w:sz w:val="21"/>
      <w:szCs w:val="21"/>
    </w:rPr>
  </w:style>
  <w:style w:type="character" w:customStyle="1" w:styleId="CharCharff">
    <w:name w:val="正文文本 Char Char"/>
    <w:qFormat/>
    <w:rPr>
      <w:rFonts w:eastAsia="宋体"/>
      <w:kern w:val="2"/>
      <w:sz w:val="30"/>
      <w:szCs w:val="24"/>
      <w:lang w:val="en-US" w:eastAsia="zh-CN" w:bidi="ar-SA"/>
    </w:rPr>
  </w:style>
  <w:style w:type="character" w:customStyle="1" w:styleId="61">
    <w:name w:val="标题 6 字符"/>
    <w:link w:val="60"/>
    <w:uiPriority w:val="9"/>
    <w:qFormat/>
    <w:rPr>
      <w:rFonts w:ascii="Arial" w:eastAsia="黑体" w:hAnsi="Arial"/>
      <w:b/>
      <w:bCs/>
      <w:kern w:val="2"/>
      <w:sz w:val="24"/>
      <w:szCs w:val="24"/>
      <w:lang w:val="en-US" w:eastAsia="zh-CN" w:bidi="ar-SA"/>
    </w:rPr>
  </w:style>
  <w:style w:type="character" w:customStyle="1" w:styleId="Charfd">
    <w:name w:val="表头 Char"/>
    <w:qFormat/>
    <w:rPr>
      <w:rFonts w:ascii="黑体" w:eastAsia="黑体" w:hAnsi="Times New Roman"/>
      <w:snapToGrid w:val="0"/>
      <w:spacing w:val="10"/>
      <w:kern w:val="21"/>
      <w:sz w:val="21"/>
      <w:szCs w:val="21"/>
    </w:rPr>
  </w:style>
  <w:style w:type="character" w:customStyle="1" w:styleId="1f1">
    <w:name w:val="不明显参考1"/>
    <w:qFormat/>
    <w:rPr>
      <w:sz w:val="24"/>
      <w:szCs w:val="24"/>
      <w:u w:val="single"/>
    </w:rPr>
  </w:style>
  <w:style w:type="character" w:customStyle="1" w:styleId="MytabletailerChar">
    <w:name w:val="My table tailer Char"/>
    <w:qFormat/>
    <w:rPr>
      <w:rFonts w:ascii="宋体" w:eastAsia="宋体" w:hAnsi="宋体"/>
      <w:spacing w:val="-1"/>
      <w:sz w:val="21"/>
      <w:szCs w:val="21"/>
      <w:lang w:val="en-US" w:bidi="ar-SA"/>
    </w:rPr>
  </w:style>
  <w:style w:type="character" w:customStyle="1" w:styleId="Charfe">
    <w:name w:val="特点标题 Char"/>
    <w:qFormat/>
    <w:rPr>
      <w:rFonts w:eastAsia="宋体"/>
      <w:sz w:val="24"/>
      <w:lang w:val="en-US" w:eastAsia="zh-CN" w:bidi="ar-SA"/>
    </w:rPr>
  </w:style>
  <w:style w:type="character" w:customStyle="1" w:styleId="991">
    <w:name w:val="991"/>
    <w:qFormat/>
    <w:rPr>
      <w:rFonts w:ascii="Arial" w:hAnsi="Arial" w:cs="Arial" w:hint="default"/>
      <w:color w:val="FF0000"/>
      <w:sz w:val="18"/>
      <w:szCs w:val="18"/>
      <w:u w:val="none"/>
    </w:rPr>
  </w:style>
  <w:style w:type="character" w:customStyle="1" w:styleId="aff4">
    <w:name w:val="结束语 字符"/>
    <w:link w:val="aff3"/>
    <w:qFormat/>
    <w:rPr>
      <w:rFonts w:ascii="宋体" w:eastAsia="宋体" w:hAnsi="宋体" w:cs="宋体"/>
      <w:bCs/>
      <w:sz w:val="28"/>
      <w:szCs w:val="32"/>
      <w:lang w:val="en-US" w:eastAsia="zh-CN" w:bidi="ar-SA"/>
    </w:rPr>
  </w:style>
  <w:style w:type="character" w:customStyle="1" w:styleId="Charff">
    <w:name w:val="表格后备注文字 Char"/>
    <w:link w:val="affffffff6"/>
    <w:qFormat/>
    <w:rPr>
      <w:color w:val="FF0000"/>
      <w:kern w:val="2"/>
      <w:sz w:val="21"/>
      <w:szCs w:val="21"/>
      <w:lang w:val="en-US" w:eastAsia="zh-CN"/>
    </w:rPr>
  </w:style>
  <w:style w:type="paragraph" w:customStyle="1" w:styleId="affffffff6">
    <w:name w:val="表格后备注文字"/>
    <w:basedOn w:val="affffff7"/>
    <w:link w:val="Charff"/>
    <w:qFormat/>
    <w:pPr>
      <w:adjustRightInd w:val="0"/>
      <w:snapToGrid w:val="0"/>
      <w:spacing w:line="240" w:lineRule="auto"/>
      <w:ind w:firstLineChars="0" w:firstLine="0"/>
      <w:jc w:val="left"/>
    </w:pPr>
    <w:rPr>
      <w:color w:val="auto"/>
      <w:kern w:val="2"/>
      <w:sz w:val="21"/>
    </w:rPr>
  </w:style>
  <w:style w:type="character" w:customStyle="1" w:styleId="NormalCharChar">
    <w:name w:val="Normal Char Char"/>
    <w:link w:val="1f2"/>
    <w:qFormat/>
    <w:rPr>
      <w:rFonts w:ascii="宋体"/>
      <w:sz w:val="24"/>
      <w:lang w:val="en-US" w:eastAsia="zh-CN" w:bidi="ar-SA"/>
    </w:rPr>
  </w:style>
  <w:style w:type="paragraph" w:customStyle="1" w:styleId="1f2">
    <w:name w:val="正文1"/>
    <w:link w:val="NormalCharChar"/>
    <w:qFormat/>
    <w:pPr>
      <w:widowControl w:val="0"/>
      <w:adjustRightInd w:val="0"/>
      <w:spacing w:line="360" w:lineRule="atLeast"/>
      <w:textAlignment w:val="baseline"/>
    </w:pPr>
    <w:rPr>
      <w:rFonts w:ascii="宋体"/>
      <w:sz w:val="24"/>
    </w:rPr>
  </w:style>
  <w:style w:type="character" w:customStyle="1" w:styleId="HTML2">
    <w:name w:val="HTML 预设格式 字符"/>
    <w:link w:val="HTML1"/>
    <w:qFormat/>
    <w:rPr>
      <w:rFonts w:ascii="Courier New" w:eastAsia="宋体" w:hAnsi="Courier New" w:cs="Courier New"/>
      <w:bCs/>
      <w:lang w:val="en-US" w:eastAsia="zh-CN" w:bidi="ar-SA"/>
    </w:rPr>
  </w:style>
  <w:style w:type="character" w:customStyle="1" w:styleId="CharChar18">
    <w:name w:val="Char Char18"/>
    <w:qFormat/>
    <w:rPr>
      <w:kern w:val="2"/>
      <w:sz w:val="21"/>
      <w:szCs w:val="24"/>
    </w:rPr>
  </w:style>
  <w:style w:type="character" w:customStyle="1" w:styleId="style6">
    <w:name w:val="style6"/>
    <w:basedOn w:val="ab"/>
    <w:qFormat/>
  </w:style>
  <w:style w:type="character" w:customStyle="1" w:styleId="CharCharCharCharCharCharCharCharCharCharCharCharCharCharChar">
    <w:name w:val="正文格式 Char Char Char Char Char Char Char Char Char Char Char Char Char Char Char"/>
    <w:qFormat/>
    <w:rPr>
      <w:rFonts w:eastAsia="宋体"/>
      <w:kern w:val="2"/>
      <w:sz w:val="28"/>
      <w:szCs w:val="28"/>
      <w:lang w:val="en-US" w:eastAsia="zh-CN" w:bidi="ar-SA"/>
    </w:rPr>
  </w:style>
  <w:style w:type="character" w:customStyle="1" w:styleId="style621">
    <w:name w:val="style621"/>
    <w:qFormat/>
    <w:rPr>
      <w:color w:val="335150"/>
    </w:rPr>
  </w:style>
  <w:style w:type="character" w:customStyle="1" w:styleId="content2">
    <w:name w:val="content2"/>
    <w:basedOn w:val="ab"/>
    <w:qFormat/>
  </w:style>
  <w:style w:type="character" w:customStyle="1" w:styleId="H1Char1">
    <w:name w:val="H1 Char1"/>
    <w:qFormat/>
    <w:rPr>
      <w:rFonts w:ascii="Cambria" w:eastAsia="宋体" w:hAnsi="Cambria"/>
      <w:b/>
      <w:bCs/>
      <w:kern w:val="32"/>
      <w:sz w:val="32"/>
      <w:szCs w:val="32"/>
      <w:lang w:val="en-US" w:eastAsia="en-US" w:bidi="en-US"/>
    </w:rPr>
  </w:style>
  <w:style w:type="character" w:customStyle="1" w:styleId="Charff0">
    <w:name w:val="图表名称 Char"/>
    <w:link w:val="affffffff7"/>
    <w:uiPriority w:val="99"/>
    <w:qFormat/>
    <w:locked/>
    <w:rPr>
      <w:rFonts w:eastAsia="黑体"/>
      <w:kern w:val="2"/>
      <w:sz w:val="24"/>
      <w:szCs w:val="24"/>
    </w:rPr>
  </w:style>
  <w:style w:type="paragraph" w:customStyle="1" w:styleId="affffffff7">
    <w:name w:val="图表名称"/>
    <w:basedOn w:val="a8"/>
    <w:next w:val="afffffffd"/>
    <w:link w:val="Charff0"/>
    <w:qFormat/>
    <w:pPr>
      <w:widowControl/>
      <w:spacing w:beforeLines="25" w:before="78" w:afterLines="25" w:after="78" w:line="360" w:lineRule="auto"/>
      <w:jc w:val="center"/>
    </w:pPr>
    <w:rPr>
      <w:rFonts w:ascii="Times New Roman" w:eastAsia="黑体"/>
      <w:kern w:val="2"/>
      <w:szCs w:val="24"/>
    </w:rPr>
  </w:style>
  <w:style w:type="character" w:customStyle="1" w:styleId="CharChar22">
    <w:name w:val="Char Char22"/>
    <w:qFormat/>
    <w:rPr>
      <w:rFonts w:ascii="Arial" w:hAnsi="Arial" w:cs="Arial"/>
      <w:sz w:val="24"/>
      <w:szCs w:val="24"/>
    </w:rPr>
  </w:style>
  <w:style w:type="character" w:customStyle="1" w:styleId="Charff1">
    <w:name w:val="报告书正文 Char"/>
    <w:qFormat/>
    <w:rPr>
      <w:rFonts w:eastAsia="宋体"/>
      <w:kern w:val="2"/>
      <w:sz w:val="24"/>
      <w:szCs w:val="24"/>
      <w:lang w:val="en-US" w:eastAsia="zh-CN" w:bidi="ar-SA"/>
    </w:rPr>
  </w:style>
  <w:style w:type="character" w:customStyle="1" w:styleId="font21">
    <w:name w:val="font21"/>
    <w:qFormat/>
    <w:rPr>
      <w:rFonts w:ascii="宋体" w:eastAsia="宋体" w:hAnsi="宋体" w:cs="宋体" w:hint="eastAsia"/>
      <w:color w:val="FF0000"/>
      <w:sz w:val="18"/>
      <w:szCs w:val="18"/>
      <w:u w:val="none"/>
    </w:rPr>
  </w:style>
  <w:style w:type="paragraph" w:customStyle="1" w:styleId="122">
    <w:name w:val="样式 (符号) 宋体 行距: 最小值 12 磅2"/>
    <w:basedOn w:val="a8"/>
    <w:qFormat/>
    <w:rPr>
      <w:rFonts w:ascii="Times New Roman" w:hAnsi="宋体" w:cs="宋体"/>
      <w:color w:val="000000"/>
      <w:kern w:val="2"/>
      <w:sz w:val="18"/>
      <w:szCs w:val="18"/>
    </w:rPr>
  </w:style>
  <w:style w:type="paragraph" w:customStyle="1" w:styleId="Style2">
    <w:name w:val="_Style 2"/>
    <w:basedOn w:val="a8"/>
    <w:next w:val="3a"/>
    <w:qFormat/>
    <w:pPr>
      <w:adjustRightInd w:val="0"/>
      <w:ind w:firstLine="576"/>
      <w:textAlignment w:val="baseline"/>
    </w:pPr>
    <w:rPr>
      <w:rFonts w:hAnsi="宋体" w:hint="eastAsia"/>
      <w:kern w:val="2"/>
    </w:rPr>
  </w:style>
  <w:style w:type="paragraph" w:customStyle="1" w:styleId="affffffff8">
    <w:name w:val="蒲表头"/>
    <w:basedOn w:val="a8"/>
    <w:qFormat/>
    <w:pPr>
      <w:jc w:val="center"/>
    </w:pPr>
    <w:rPr>
      <w:b/>
      <w:color w:val="FF0000"/>
      <w:szCs w:val="21"/>
    </w:rPr>
  </w:style>
  <w:style w:type="paragraph" w:customStyle="1" w:styleId="Date1">
    <w:name w:val="Date1"/>
    <w:basedOn w:val="a8"/>
    <w:next w:val="a8"/>
    <w:qFormat/>
    <w:pPr>
      <w:adjustRightInd w:val="0"/>
      <w:textAlignment w:val="baseline"/>
    </w:pPr>
    <w:rPr>
      <w:rFonts w:ascii="Times New Roman"/>
      <w:kern w:val="2"/>
      <w:sz w:val="21"/>
    </w:rPr>
  </w:style>
  <w:style w:type="paragraph" w:customStyle="1" w:styleId="3f0">
    <w:name w:val="标题　3"/>
    <w:basedOn w:val="42"/>
    <w:qFormat/>
    <w:pPr>
      <w:spacing w:before="0" w:after="0" w:line="360" w:lineRule="auto"/>
    </w:pPr>
    <w:rPr>
      <w:rFonts w:ascii="Times New Roman" w:eastAsia="宋体" w:hAnsi="Times New Roman"/>
      <w:kern w:val="0"/>
      <w:szCs w:val="20"/>
    </w:rPr>
  </w:style>
  <w:style w:type="paragraph" w:customStyle="1" w:styleId="affffffff9">
    <w:name w:val="内容"/>
    <w:basedOn w:val="a8"/>
    <w:qFormat/>
    <w:pPr>
      <w:widowControl/>
      <w:overflowPunct w:val="0"/>
      <w:autoSpaceDE w:val="0"/>
      <w:autoSpaceDN w:val="0"/>
      <w:adjustRightInd w:val="0"/>
      <w:spacing w:line="360" w:lineRule="auto"/>
      <w:ind w:firstLineChars="200" w:firstLine="560"/>
      <w:jc w:val="left"/>
      <w:textAlignment w:val="baseline"/>
    </w:pPr>
    <w:rPr>
      <w:rFonts w:hAnsi="Garamond"/>
      <w:sz w:val="28"/>
    </w:rPr>
  </w:style>
  <w:style w:type="paragraph" w:customStyle="1" w:styleId="PlainText1">
    <w:name w:val="Plain Text1"/>
    <w:basedOn w:val="a8"/>
    <w:qFormat/>
    <w:pPr>
      <w:autoSpaceDE w:val="0"/>
      <w:autoSpaceDN w:val="0"/>
      <w:adjustRightInd w:val="0"/>
      <w:textAlignment w:val="baseline"/>
    </w:pPr>
    <w:rPr>
      <w:rFonts w:hint="eastAsia"/>
      <w:sz w:val="21"/>
    </w:rPr>
  </w:style>
  <w:style w:type="paragraph" w:customStyle="1" w:styleId="affffffffa">
    <w:name w:val="图框"/>
    <w:basedOn w:val="a8"/>
    <w:qFormat/>
    <w:pPr>
      <w:jc w:val="center"/>
    </w:pPr>
    <w:rPr>
      <w:rFonts w:ascii="Times New Roman"/>
      <w:kern w:val="2"/>
      <w:sz w:val="21"/>
    </w:rPr>
  </w:style>
  <w:style w:type="paragraph" w:customStyle="1" w:styleId="a7">
    <w:name w:val="图编号"/>
    <w:basedOn w:val="affffffff1"/>
    <w:qFormat/>
    <w:pPr>
      <w:widowControl w:val="0"/>
      <w:numPr>
        <w:numId w:val="5"/>
      </w:numPr>
      <w:tabs>
        <w:tab w:val="clear" w:pos="720"/>
      </w:tabs>
      <w:snapToGrid/>
      <w:spacing w:line="360" w:lineRule="auto"/>
      <w:ind w:left="0" w:firstLine="0"/>
      <w:jc w:val="both"/>
    </w:pPr>
    <w:rPr>
      <w:rFonts w:ascii="Times New Roman" w:hAnsi="Times New Roman"/>
      <w:kern w:val="2"/>
      <w:sz w:val="24"/>
      <w:szCs w:val="24"/>
    </w:rPr>
  </w:style>
  <w:style w:type="paragraph" w:customStyle="1" w:styleId="1-">
    <w:name w:val="1-正文"/>
    <w:basedOn w:val="a8"/>
    <w:qFormat/>
    <w:pPr>
      <w:spacing w:line="360" w:lineRule="auto"/>
      <w:ind w:firstLineChars="200" w:firstLine="480"/>
    </w:pPr>
    <w:rPr>
      <w:rFonts w:hAnsi="宋体"/>
      <w:kern w:val="2"/>
      <w:szCs w:val="24"/>
    </w:rPr>
  </w:style>
  <w:style w:type="paragraph" w:customStyle="1" w:styleId="affffffffb">
    <w:name w:val="附录五级条标题"/>
    <w:basedOn w:val="affffffffc"/>
    <w:next w:val="42"/>
    <w:qFormat/>
    <w:pPr>
      <w:tabs>
        <w:tab w:val="left" w:pos="435"/>
      </w:tabs>
      <w:ind w:left="435" w:hanging="165"/>
      <w:outlineLvl w:val="6"/>
    </w:pPr>
  </w:style>
  <w:style w:type="paragraph" w:customStyle="1" w:styleId="affffffffc">
    <w:name w:val="附录四级条标题"/>
    <w:basedOn w:val="affffffffd"/>
    <w:next w:val="42"/>
    <w:qFormat/>
    <w:pPr>
      <w:tabs>
        <w:tab w:val="left" w:pos="960"/>
      </w:tabs>
      <w:ind w:left="960"/>
      <w:outlineLvl w:val="5"/>
    </w:pPr>
  </w:style>
  <w:style w:type="paragraph" w:customStyle="1" w:styleId="affffffffd">
    <w:name w:val="附录三级条标题"/>
    <w:basedOn w:val="a8"/>
    <w:next w:val="42"/>
    <w:qFormat/>
    <w:pPr>
      <w:widowControl/>
      <w:tabs>
        <w:tab w:val="left" w:pos="1068"/>
      </w:tabs>
      <w:wordWrap w:val="0"/>
      <w:overflowPunct w:val="0"/>
      <w:autoSpaceDE w:val="0"/>
      <w:autoSpaceDN w:val="0"/>
      <w:ind w:left="1068" w:hanging="360"/>
      <w:textAlignment w:val="baseline"/>
      <w:outlineLvl w:val="4"/>
    </w:pPr>
    <w:rPr>
      <w:rFonts w:ascii="黑体" w:eastAsia="黑体"/>
      <w:kern w:val="21"/>
    </w:rPr>
  </w:style>
  <w:style w:type="paragraph" w:customStyle="1" w:styleId="affffffffe">
    <w:name w:val="陈光的正文"/>
    <w:basedOn w:val="a8"/>
    <w:qFormat/>
    <w:pPr>
      <w:adjustRightInd w:val="0"/>
      <w:snapToGrid w:val="0"/>
      <w:spacing w:beforeLines="10" w:before="31" w:afterLines="10" w:after="31" w:line="360" w:lineRule="auto"/>
      <w:ind w:firstLineChars="200" w:firstLine="560"/>
    </w:pPr>
    <w:rPr>
      <w:rFonts w:ascii="Times New Roman"/>
      <w:kern w:val="2"/>
      <w:sz w:val="28"/>
    </w:rPr>
  </w:style>
  <w:style w:type="paragraph" w:customStyle="1" w:styleId="1f3">
    <w:name w:val="【标题1】"/>
    <w:basedOn w:val="11"/>
    <w:qFormat/>
    <w:pPr>
      <w:pageBreakBefore/>
      <w:tabs>
        <w:tab w:val="clear" w:pos="8160"/>
      </w:tabs>
      <w:adjustRightInd/>
      <w:textAlignment w:val="auto"/>
    </w:pPr>
    <w:rPr>
      <w:rFonts w:cs="宋体"/>
      <w:color w:val="000000"/>
      <w:sz w:val="36"/>
      <w:szCs w:val="20"/>
    </w:rPr>
  </w:style>
  <w:style w:type="paragraph" w:customStyle="1" w:styleId="y">
    <w:name w:val="y表格"/>
    <w:basedOn w:val="a9"/>
    <w:qFormat/>
    <w:pPr>
      <w:widowControl/>
      <w:adjustRightInd w:val="0"/>
      <w:snapToGrid w:val="0"/>
      <w:spacing w:after="0"/>
      <w:jc w:val="center"/>
      <w:textAlignment w:val="baseline"/>
    </w:pPr>
    <w:rPr>
      <w:rFonts w:hAnsi="宋体" w:hint="eastAsia"/>
      <w:kern w:val="0"/>
      <w:sz w:val="24"/>
      <w:szCs w:val="20"/>
    </w:rPr>
  </w:style>
  <w:style w:type="paragraph" w:customStyle="1" w:styleId="afffffffff">
    <w:name w:val="表格头"/>
    <w:basedOn w:val="aff9"/>
    <w:qFormat/>
    <w:pPr>
      <w:adjustRightInd w:val="0"/>
      <w:snapToGrid w:val="0"/>
      <w:spacing w:line="460" w:lineRule="exact"/>
    </w:pPr>
    <w:rPr>
      <w:rFonts w:ascii="Times New Roman"/>
      <w:b/>
      <w:kern w:val="2"/>
    </w:rPr>
  </w:style>
  <w:style w:type="paragraph" w:customStyle="1" w:styleId="afffffffff0">
    <w:name w:val="初设正文"/>
    <w:basedOn w:val="a8"/>
    <w:qFormat/>
    <w:pPr>
      <w:spacing w:after="120" w:line="440" w:lineRule="exact"/>
      <w:ind w:left="425" w:firstLine="425"/>
    </w:pPr>
    <w:rPr>
      <w:rFonts w:ascii="Arial" w:hAnsi="Arial" w:cs="宋体"/>
    </w:rPr>
  </w:style>
  <w:style w:type="paragraph" w:customStyle="1" w:styleId="077203">
    <w:name w:val="样式 首行缩进:  0.77 厘米 行距: 固定值 20 磅3"/>
    <w:basedOn w:val="a8"/>
    <w:qFormat/>
    <w:pPr>
      <w:spacing w:line="360" w:lineRule="auto"/>
      <w:ind w:firstLine="435"/>
    </w:pPr>
    <w:rPr>
      <w:rFonts w:ascii="Times New Roman" w:cs="宋体"/>
      <w:kern w:val="2"/>
    </w:rPr>
  </w:style>
  <w:style w:type="paragraph" w:customStyle="1" w:styleId="CM27">
    <w:name w:val="CM27"/>
    <w:basedOn w:val="Default"/>
    <w:next w:val="Default"/>
    <w:qFormat/>
    <w:pPr>
      <w:spacing w:line="400" w:lineRule="atLeast"/>
    </w:pPr>
    <w:rPr>
      <w:rFonts w:ascii="宋体" w:eastAsia="宋体" w:hAnsi="Times New Roman"/>
      <w:color w:val="auto"/>
    </w:rPr>
  </w:style>
  <w:style w:type="paragraph" w:customStyle="1" w:styleId="hb3">
    <w:name w:val="hb3"/>
    <w:basedOn w:val="31"/>
    <w:qFormat/>
    <w:pPr>
      <w:adjustRightInd w:val="0"/>
      <w:spacing w:line="500" w:lineRule="exact"/>
      <w:jc w:val="left"/>
      <w:textAlignment w:val="baseline"/>
    </w:pPr>
    <w:rPr>
      <w:bCs w:val="0"/>
      <w:sz w:val="28"/>
      <w:szCs w:val="28"/>
    </w:rPr>
  </w:style>
  <w:style w:type="paragraph" w:customStyle="1" w:styleId="CM19">
    <w:name w:val="CM19"/>
    <w:basedOn w:val="Default"/>
    <w:next w:val="Default"/>
    <w:qFormat/>
    <w:pPr>
      <w:spacing w:line="400" w:lineRule="atLeast"/>
    </w:pPr>
    <w:rPr>
      <w:rFonts w:ascii="宋体" w:eastAsia="宋体" w:hAnsi="Times New Roman"/>
      <w:color w:val="auto"/>
    </w:rPr>
  </w:style>
  <w:style w:type="paragraph" w:customStyle="1" w:styleId="2TimesNewRoman">
    <w:name w:val="样式 标题 2 + Times New Roman"/>
    <w:basedOn w:val="2"/>
    <w:qFormat/>
    <w:pPr>
      <w:widowControl/>
      <w:spacing w:before="260" w:after="260" w:line="415" w:lineRule="auto"/>
      <w:ind w:firstLineChars="192" w:firstLine="538"/>
      <w:jc w:val="left"/>
    </w:pPr>
    <w:rPr>
      <w:kern w:val="0"/>
    </w:rPr>
  </w:style>
  <w:style w:type="paragraph" w:customStyle="1" w:styleId="414310">
    <w:name w:val="样式 标题 4标题 14 + 加粗 无下划线 自动设置 段前: 3 磅 段后: 10 磅"/>
    <w:basedOn w:val="42"/>
    <w:qFormat/>
    <w:pPr>
      <w:snapToGrid w:val="0"/>
      <w:spacing w:line="240" w:lineRule="auto"/>
    </w:pPr>
    <w:rPr>
      <w:rFonts w:ascii="Times New Roman" w:eastAsia="宋体" w:hAnsi="Times New Roman"/>
      <w:color w:val="000000"/>
      <w:sz w:val="24"/>
      <w:szCs w:val="20"/>
    </w:rPr>
  </w:style>
  <w:style w:type="paragraph" w:customStyle="1" w:styleId="0772048">
    <w:name w:val="样式 首行缩进:  0.77 厘米 行距: 固定值 20 磅48"/>
    <w:basedOn w:val="a8"/>
    <w:qFormat/>
    <w:pPr>
      <w:spacing w:line="360" w:lineRule="auto"/>
      <w:ind w:firstLineChars="150" w:firstLine="360"/>
      <w:jc w:val="left"/>
    </w:pPr>
    <w:rPr>
      <w:rFonts w:ascii="Times New Roman" w:cs="宋体"/>
      <w:color w:val="FF0000"/>
      <w:kern w:val="2"/>
    </w:rPr>
  </w:style>
  <w:style w:type="paragraph" w:customStyle="1" w:styleId="2f1">
    <w:name w:val="样式 正文 + 首行缩进:  2 字符 + 宋体 四号"/>
    <w:basedOn w:val="2f2"/>
    <w:qFormat/>
    <w:pPr>
      <w:spacing w:line="360" w:lineRule="auto"/>
      <w:ind w:firstLineChars="0" w:firstLine="0"/>
    </w:pPr>
    <w:rPr>
      <w:rFonts w:ascii="Times New Roman"/>
      <w:spacing w:val="0"/>
      <w:kern w:val="2"/>
      <w:szCs w:val="24"/>
    </w:rPr>
  </w:style>
  <w:style w:type="paragraph" w:customStyle="1" w:styleId="2f2">
    <w:name w:val="正文 + 首行缩进:  2 字符"/>
    <w:basedOn w:val="a8"/>
    <w:qFormat/>
    <w:pPr>
      <w:spacing w:line="460" w:lineRule="atLeast"/>
      <w:ind w:firstLineChars="200" w:firstLine="528"/>
    </w:pPr>
    <w:rPr>
      <w:spacing w:val="12"/>
    </w:rPr>
  </w:style>
  <w:style w:type="paragraph" w:customStyle="1" w:styleId="121">
    <w:name w:val="样式 标题 1 + 首行缩进:  2 字符"/>
    <w:basedOn w:val="11"/>
    <w:qFormat/>
    <w:pPr>
      <w:tabs>
        <w:tab w:val="clear" w:pos="8160"/>
        <w:tab w:val="left" w:pos="360"/>
      </w:tabs>
      <w:adjustRightInd/>
      <w:spacing w:before="0" w:afterLines="0" w:after="0" w:line="300" w:lineRule="auto"/>
      <w:ind w:left="360" w:hanging="360"/>
      <w:jc w:val="both"/>
      <w:textAlignment w:val="auto"/>
    </w:pPr>
    <w:rPr>
      <w:rFonts w:ascii="Times New Roman" w:cs="宋体"/>
      <w:b w:val="0"/>
      <w:szCs w:val="32"/>
    </w:rPr>
  </w:style>
  <w:style w:type="paragraph" w:customStyle="1" w:styleId="Charff2">
    <w:name w:val="热电厂正文 Char"/>
    <w:basedOn w:val="a8"/>
    <w:qFormat/>
    <w:pPr>
      <w:spacing w:line="440" w:lineRule="exact"/>
      <w:ind w:firstLineChars="200" w:firstLine="480"/>
    </w:pPr>
  </w:style>
  <w:style w:type="paragraph" w:customStyle="1" w:styleId="afffffffff1">
    <w:name w:val="封面正文"/>
    <w:qFormat/>
    <w:pPr>
      <w:jc w:val="both"/>
    </w:pPr>
  </w:style>
  <w:style w:type="paragraph" w:customStyle="1" w:styleId="100">
    <w:name w:val="表题10"/>
    <w:basedOn w:val="a8"/>
    <w:qFormat/>
    <w:pPr>
      <w:adjustRightInd w:val="0"/>
      <w:snapToGrid w:val="0"/>
      <w:spacing w:before="180" w:after="60"/>
      <w:jc w:val="center"/>
    </w:pPr>
    <w:rPr>
      <w:rFonts w:ascii="Times New Roman"/>
      <w:b/>
      <w:sz w:val="21"/>
    </w:rPr>
  </w:style>
  <w:style w:type="paragraph" w:customStyle="1" w:styleId="CM87">
    <w:name w:val="CM87"/>
    <w:basedOn w:val="Default"/>
    <w:next w:val="Default"/>
    <w:qFormat/>
    <w:pPr>
      <w:spacing w:line="313" w:lineRule="atLeast"/>
    </w:pPr>
    <w:rPr>
      <w:color w:val="auto"/>
    </w:rPr>
  </w:style>
  <w:style w:type="paragraph" w:customStyle="1" w:styleId="afffffffff2">
    <w:name w:val="正文首行缩进（西藏格式）"/>
    <w:basedOn w:val="1f4"/>
    <w:qFormat/>
    <w:pPr>
      <w:snapToGrid w:val="0"/>
      <w:spacing w:line="400" w:lineRule="exact"/>
      <w:ind w:firstLine="482"/>
    </w:pPr>
    <w:rPr>
      <w:snapToGrid w:val="0"/>
      <w:sz w:val="24"/>
    </w:rPr>
  </w:style>
  <w:style w:type="paragraph" w:customStyle="1" w:styleId="1f4">
    <w:name w:val="正文首行缩进1"/>
    <w:basedOn w:val="aa"/>
    <w:qFormat/>
    <w:pPr>
      <w:widowControl/>
      <w:tabs>
        <w:tab w:val="left" w:pos="360"/>
        <w:tab w:val="left" w:pos="1134"/>
      </w:tabs>
      <w:adjustRightInd w:val="0"/>
      <w:spacing w:line="360" w:lineRule="auto"/>
    </w:pPr>
    <w:rPr>
      <w:rFonts w:ascii="Garamond" w:hAnsi="Garamond"/>
      <w:sz w:val="28"/>
      <w:szCs w:val="20"/>
    </w:rPr>
  </w:style>
  <w:style w:type="paragraph" w:customStyle="1" w:styleId="131">
    <w:name w:val="样式13"/>
    <w:basedOn w:val="a8"/>
    <w:qFormat/>
    <w:pPr>
      <w:spacing w:line="360" w:lineRule="exact"/>
      <w:jc w:val="center"/>
    </w:pPr>
    <w:rPr>
      <w:rFonts w:ascii="Wingdings" w:hAnsi="Wingdings"/>
      <w:kern w:val="2"/>
      <w:szCs w:val="24"/>
    </w:rPr>
  </w:style>
  <w:style w:type="paragraph" w:customStyle="1" w:styleId="27">
    <w:name w:val="样式27"/>
    <w:basedOn w:val="a8"/>
    <w:qFormat/>
    <w:pPr>
      <w:keepNext/>
      <w:keepLines/>
      <w:numPr>
        <w:ilvl w:val="3"/>
        <w:numId w:val="2"/>
      </w:numPr>
      <w:tabs>
        <w:tab w:val="clear" w:pos="864"/>
        <w:tab w:val="left" w:pos="360"/>
        <w:tab w:val="left" w:pos="540"/>
        <w:tab w:val="left" w:pos="1476"/>
      </w:tabs>
      <w:spacing w:beforeLines="50" w:before="156" w:afterLines="50" w:after="156" w:line="360" w:lineRule="auto"/>
      <w:ind w:left="1476" w:hanging="1296"/>
      <w:outlineLvl w:val="1"/>
    </w:pPr>
    <w:rPr>
      <w:rFonts w:eastAsia="黑体" w:hAnsi="宋体"/>
      <w:kern w:val="2"/>
      <w:sz w:val="28"/>
      <w:szCs w:val="28"/>
    </w:rPr>
  </w:style>
  <w:style w:type="paragraph" w:customStyle="1" w:styleId="xl68">
    <w:name w:val="xl68"/>
    <w:basedOn w:val="a8"/>
    <w:qFormat/>
    <w:pPr>
      <w:widowControl/>
      <w:pBdr>
        <w:left w:val="single" w:sz="8" w:space="0" w:color="auto"/>
        <w:bottom w:val="single" w:sz="8" w:space="0" w:color="auto"/>
        <w:right w:val="single" w:sz="4" w:space="0" w:color="auto"/>
      </w:pBdr>
      <w:spacing w:before="100" w:beforeAutospacing="1" w:after="100" w:afterAutospacing="1"/>
      <w:jc w:val="center"/>
      <w:textAlignment w:val="center"/>
    </w:pPr>
    <w:rPr>
      <w:rFonts w:eastAsia="Arial Unicode MS"/>
      <w:color w:val="000000"/>
      <w:sz w:val="20"/>
    </w:rPr>
  </w:style>
  <w:style w:type="paragraph" w:customStyle="1" w:styleId="3f1">
    <w:name w:val="图表目录3"/>
    <w:basedOn w:val="4d"/>
    <w:next w:val="4d"/>
    <w:qFormat/>
    <w:pPr>
      <w:tabs>
        <w:tab w:val="right" w:leader="dot" w:pos="8051"/>
      </w:tabs>
      <w:ind w:left="840" w:hanging="840"/>
    </w:pPr>
  </w:style>
  <w:style w:type="paragraph" w:customStyle="1" w:styleId="4d">
    <w:name w:val="正文4"/>
    <w:qFormat/>
    <w:pPr>
      <w:widowControl w:val="0"/>
      <w:adjustRightInd w:val="0"/>
      <w:spacing w:line="360" w:lineRule="atLeast"/>
      <w:textAlignment w:val="baseline"/>
    </w:pPr>
    <w:rPr>
      <w:rFonts w:ascii="宋体"/>
      <w:sz w:val="24"/>
    </w:rPr>
  </w:style>
  <w:style w:type="paragraph" w:customStyle="1" w:styleId="077206">
    <w:name w:val="样式 首行缩进:  0.77 厘米 行距: 固定值 20 磅6"/>
    <w:basedOn w:val="a8"/>
    <w:qFormat/>
    <w:pPr>
      <w:spacing w:line="360" w:lineRule="auto"/>
      <w:ind w:firstLine="435"/>
    </w:pPr>
    <w:rPr>
      <w:rFonts w:ascii="Times New Roman" w:cs="宋体"/>
      <w:kern w:val="2"/>
    </w:rPr>
  </w:style>
  <w:style w:type="paragraph" w:customStyle="1" w:styleId="CharCharCharCharCharCharCharCharCharCharCharCharCharCharCharCharCharCharCharCharCharChar">
    <w:name w:val="Char Char Char Char Char Char Char Char Char Char Char Char Char Char Char Char Char Char Char Char Char Char"/>
    <w:basedOn w:val="a8"/>
    <w:next w:val="a8"/>
    <w:qFormat/>
    <w:pPr>
      <w:spacing w:line="360" w:lineRule="auto"/>
      <w:ind w:firstLineChars="200" w:firstLine="200"/>
      <w:jc w:val="center"/>
    </w:pPr>
    <w:rPr>
      <w:rFonts w:ascii="Times New Roman" w:eastAsia="黑体"/>
      <w:kern w:val="2"/>
      <w:sz w:val="21"/>
    </w:rPr>
  </w:style>
  <w:style w:type="paragraph" w:customStyle="1" w:styleId="2f3">
    <w:name w:val="正文(首行缩进2字)"/>
    <w:basedOn w:val="a8"/>
    <w:qFormat/>
    <w:pPr>
      <w:overflowPunct w:val="0"/>
      <w:autoSpaceDE w:val="0"/>
      <w:autoSpaceDN w:val="0"/>
      <w:adjustRightInd w:val="0"/>
      <w:snapToGrid w:val="0"/>
      <w:spacing w:before="60" w:after="60" w:line="300" w:lineRule="auto"/>
      <w:ind w:firstLineChars="200" w:firstLine="200"/>
      <w:textAlignment w:val="baseline"/>
    </w:pPr>
    <w:rPr>
      <w:rFonts w:ascii="Times New Roman"/>
    </w:rPr>
  </w:style>
  <w:style w:type="paragraph" w:customStyle="1" w:styleId="afffffffff3">
    <w:name w:val="居中正文"/>
    <w:basedOn w:val="affff7"/>
    <w:qFormat/>
    <w:pPr>
      <w:adjustRightInd w:val="0"/>
      <w:spacing w:before="240" w:line="240" w:lineRule="atLeast"/>
      <w:ind w:firstLineChars="0" w:firstLine="0"/>
      <w:jc w:val="center"/>
      <w:textAlignment w:val="baseline"/>
    </w:pPr>
    <w:rPr>
      <w:rFonts w:hAnsi="宋体"/>
      <w:kern w:val="28"/>
    </w:rPr>
  </w:style>
  <w:style w:type="paragraph" w:customStyle="1" w:styleId="GB231201">
    <w:name w:val="样式 (西文) 宋体 (中文) 仿宋_GB2312 五号 黑色 居中 首行缩进:  0 厘米 行距: 单倍行距1"/>
    <w:basedOn w:val="a8"/>
    <w:qFormat/>
    <w:pPr>
      <w:widowControl/>
      <w:jc w:val="center"/>
    </w:pPr>
    <w:rPr>
      <w:rFonts w:hAnsi="宋体"/>
      <w:color w:val="000000"/>
      <w:spacing w:val="5"/>
      <w:kern w:val="2"/>
      <w:sz w:val="21"/>
    </w:rPr>
  </w:style>
  <w:style w:type="paragraph" w:customStyle="1" w:styleId="xl78">
    <w:name w:val="xl78"/>
    <w:basedOn w:val="a8"/>
    <w:qFormat/>
    <w:pPr>
      <w:widowControl/>
      <w:pBdr>
        <w:left w:val="single" w:sz="8" w:space="0" w:color="auto"/>
        <w:bottom w:val="single" w:sz="8" w:space="0" w:color="auto"/>
        <w:right w:val="single" w:sz="8" w:space="0" w:color="auto"/>
      </w:pBdr>
      <w:spacing w:before="100" w:beforeAutospacing="1" w:after="100" w:afterAutospacing="1"/>
      <w:jc w:val="center"/>
      <w:textAlignment w:val="center"/>
    </w:pPr>
    <w:rPr>
      <w:rFonts w:ascii="Arial Unicode MS" w:eastAsia="Arial Unicode MS" w:hAnsi="Arial Unicode MS"/>
    </w:rPr>
  </w:style>
  <w:style w:type="paragraph" w:customStyle="1" w:styleId="xl56">
    <w:name w:val="xl56"/>
    <w:basedOn w:val="a8"/>
    <w:qFormat/>
    <w:pPr>
      <w:widowControl/>
      <w:pBdr>
        <w:top w:val="single" w:sz="8" w:space="0" w:color="auto"/>
        <w:left w:val="single" w:sz="8" w:space="0" w:color="auto"/>
        <w:right w:val="single" w:sz="4" w:space="0" w:color="auto"/>
      </w:pBdr>
      <w:spacing w:before="100" w:beforeAutospacing="1" w:after="100" w:afterAutospacing="1"/>
      <w:jc w:val="center"/>
      <w:textAlignment w:val="center"/>
    </w:pPr>
    <w:rPr>
      <w:rFonts w:eastAsia="Arial Unicode MS"/>
      <w:color w:val="000000"/>
      <w:sz w:val="20"/>
    </w:rPr>
  </w:style>
  <w:style w:type="paragraph" w:customStyle="1" w:styleId="afffffffff4">
    <w:name w:val="小表"/>
    <w:basedOn w:val="a8"/>
    <w:qFormat/>
    <w:pPr>
      <w:widowControl/>
      <w:tabs>
        <w:tab w:val="left" w:pos="352"/>
      </w:tabs>
      <w:overflowPunct w:val="0"/>
      <w:autoSpaceDE w:val="0"/>
      <w:autoSpaceDN w:val="0"/>
      <w:adjustRightInd w:val="0"/>
      <w:jc w:val="center"/>
      <w:textAlignment w:val="bottom"/>
    </w:pPr>
    <w:rPr>
      <w:rFonts w:hAnsi="宋体"/>
      <w:sz w:val="21"/>
    </w:rPr>
  </w:style>
  <w:style w:type="paragraph" w:customStyle="1" w:styleId="07720415">
    <w:name w:val="样式 首行缩进:  0.77 厘米 行距: 固定值 20 磅415"/>
    <w:basedOn w:val="a8"/>
    <w:qFormat/>
    <w:pPr>
      <w:spacing w:line="360" w:lineRule="auto"/>
      <w:ind w:firstLineChars="200" w:firstLine="480"/>
    </w:pPr>
    <w:rPr>
      <w:rFonts w:ascii="Times New Roman" w:cs="宋体"/>
      <w:kern w:val="2"/>
    </w:rPr>
  </w:style>
  <w:style w:type="paragraph" w:customStyle="1" w:styleId="140">
    <w:name w:val="样式 黑色14"/>
    <w:basedOn w:val="a8"/>
    <w:qFormat/>
    <w:pPr>
      <w:spacing w:line="360" w:lineRule="auto"/>
      <w:ind w:firstLineChars="171" w:firstLine="359"/>
    </w:pPr>
    <w:rPr>
      <w:rFonts w:ascii="Times New Roman" w:cs="宋体"/>
      <w:color w:val="000000"/>
      <w:kern w:val="2"/>
    </w:rPr>
  </w:style>
  <w:style w:type="paragraph" w:customStyle="1" w:styleId="xl33">
    <w:name w:val="xl33"/>
    <w:basedOn w:val="a8"/>
    <w:qFormat/>
    <w:pPr>
      <w:widowControl/>
      <w:pBdr>
        <w:top w:val="single" w:sz="4" w:space="0" w:color="auto"/>
        <w:bottom w:val="single" w:sz="4" w:space="0" w:color="000000"/>
        <w:right w:val="single" w:sz="4" w:space="0" w:color="000000"/>
      </w:pBdr>
      <w:spacing w:before="100" w:beforeAutospacing="1" w:after="100" w:afterAutospacing="1"/>
      <w:jc w:val="center"/>
    </w:pPr>
    <w:rPr>
      <w:rFonts w:ascii="Arial Unicode MS" w:eastAsia="Arial Unicode MS" w:hAnsi="Arial Unicode MS"/>
      <w:bCs/>
      <w:szCs w:val="21"/>
    </w:rPr>
  </w:style>
  <w:style w:type="paragraph" w:customStyle="1" w:styleId="1f5">
    <w:name w:val="正文文本1"/>
    <w:basedOn w:val="a8"/>
    <w:qFormat/>
    <w:pPr>
      <w:spacing w:line="360" w:lineRule="auto"/>
      <w:ind w:leftChars="100" w:left="100" w:rightChars="100" w:right="100" w:firstLineChars="200" w:firstLine="480"/>
    </w:pPr>
    <w:rPr>
      <w:rFonts w:ascii="Times New Roman"/>
      <w:kern w:val="2"/>
      <w:szCs w:val="22"/>
    </w:rPr>
  </w:style>
  <w:style w:type="paragraph" w:customStyle="1" w:styleId="CM10">
    <w:name w:val="CM10"/>
    <w:basedOn w:val="Default"/>
    <w:next w:val="Default"/>
    <w:qFormat/>
    <w:pPr>
      <w:spacing w:line="468" w:lineRule="atLeast"/>
    </w:pPr>
    <w:rPr>
      <w:rFonts w:ascii="宋体" w:eastAsia="宋体" w:hAnsi="Times New Roman"/>
      <w:color w:val="auto"/>
      <w:szCs w:val="20"/>
    </w:rPr>
  </w:style>
  <w:style w:type="paragraph" w:customStyle="1" w:styleId="font9">
    <w:name w:val="font9"/>
    <w:basedOn w:val="a8"/>
    <w:qFormat/>
    <w:pPr>
      <w:widowControl/>
      <w:spacing w:before="100" w:beforeAutospacing="1" w:after="100" w:afterAutospacing="1"/>
      <w:jc w:val="left"/>
    </w:pPr>
    <w:rPr>
      <w:rFonts w:hAnsi="宋体" w:hint="eastAsia"/>
      <w:color w:val="000000"/>
      <w:sz w:val="20"/>
    </w:rPr>
  </w:style>
  <w:style w:type="paragraph" w:customStyle="1" w:styleId="5">
    <w:name w:val="俺的标题5"/>
    <w:basedOn w:val="50"/>
    <w:qFormat/>
    <w:pPr>
      <w:numPr>
        <w:ilvl w:val="4"/>
        <w:numId w:val="6"/>
      </w:numPr>
      <w:adjustRightInd/>
      <w:jc w:val="left"/>
      <w:textAlignment w:val="auto"/>
    </w:pPr>
    <w:rPr>
      <w:rFonts w:ascii="Times New Roman" w:cs="宋体"/>
      <w:b/>
      <w:bCs/>
      <w:kern w:val="2"/>
    </w:rPr>
  </w:style>
  <w:style w:type="paragraph" w:customStyle="1" w:styleId="CM17">
    <w:name w:val="CM17"/>
    <w:basedOn w:val="Default"/>
    <w:next w:val="Default"/>
    <w:qFormat/>
    <w:pPr>
      <w:spacing w:line="400" w:lineRule="atLeast"/>
    </w:pPr>
    <w:rPr>
      <w:rFonts w:ascii="宋体" w:eastAsia="宋体" w:hAnsi="Times New Roman"/>
      <w:color w:val="auto"/>
    </w:rPr>
  </w:style>
  <w:style w:type="paragraph" w:customStyle="1" w:styleId="03">
    <w:name w:val="样式_正文_03"/>
    <w:qFormat/>
    <w:pPr>
      <w:widowControl w:val="0"/>
      <w:numPr>
        <w:ilvl w:val="8"/>
        <w:numId w:val="7"/>
      </w:numPr>
      <w:spacing w:line="360" w:lineRule="auto"/>
      <w:ind w:right="-55"/>
      <w:jc w:val="both"/>
    </w:pPr>
    <w:rPr>
      <w:rFonts w:ascii="宋体" w:hAnsi="宋体"/>
      <w:kern w:val="28"/>
      <w:sz w:val="28"/>
      <w:szCs w:val="28"/>
    </w:rPr>
  </w:style>
  <w:style w:type="paragraph" w:customStyle="1" w:styleId="CharCharCharCharCharCharCharCharCharCharCharCharCharCharCharCharCharCharCharCharCharChar1">
    <w:name w:val="Char Char Char Char Char Char Char Char Char Char Char Char Char Char Char Char Char Char Char Char Char Char1"/>
    <w:basedOn w:val="a8"/>
    <w:qFormat/>
    <w:pPr>
      <w:spacing w:line="480" w:lineRule="exact"/>
    </w:pPr>
    <w:rPr>
      <w:rFonts w:ascii="Times New Roman"/>
      <w:kern w:val="2"/>
      <w:sz w:val="21"/>
      <w:szCs w:val="24"/>
    </w:rPr>
  </w:style>
  <w:style w:type="paragraph" w:customStyle="1" w:styleId="2f4">
    <w:name w:val="标题样式2"/>
    <w:basedOn w:val="2"/>
    <w:qFormat/>
    <w:pPr>
      <w:spacing w:before="0" w:after="0" w:line="360" w:lineRule="auto"/>
    </w:pPr>
    <w:rPr>
      <w:rFonts w:ascii="黑体" w:hAnsi="Arial"/>
      <w:sz w:val="28"/>
      <w:szCs w:val="28"/>
    </w:rPr>
  </w:style>
  <w:style w:type="paragraph" w:customStyle="1" w:styleId="afffffffff5">
    <w:name w:val="杠式表格"/>
    <w:basedOn w:val="a8"/>
    <w:qFormat/>
    <w:pPr>
      <w:adjustRightInd w:val="0"/>
      <w:spacing w:after="60" w:line="312" w:lineRule="atLeast"/>
      <w:jc w:val="center"/>
      <w:textAlignment w:val="baseline"/>
    </w:pPr>
    <w:rPr>
      <w:rFonts w:ascii="Times New Roman"/>
      <w:sz w:val="21"/>
    </w:rPr>
  </w:style>
  <w:style w:type="paragraph" w:customStyle="1" w:styleId="xl60">
    <w:name w:val="xl60"/>
    <w:basedOn w:val="a8"/>
    <w:qFormat/>
    <w:pPr>
      <w:widowControl/>
      <w:pBdr>
        <w:top w:val="single" w:sz="8" w:space="0" w:color="auto"/>
        <w:left w:val="single" w:sz="4" w:space="0" w:color="auto"/>
        <w:bottom w:val="single" w:sz="4" w:space="0" w:color="auto"/>
        <w:right w:val="single" w:sz="8" w:space="0" w:color="auto"/>
      </w:pBdr>
      <w:spacing w:before="100" w:beforeAutospacing="1" w:after="100" w:afterAutospacing="1"/>
      <w:jc w:val="left"/>
      <w:textAlignment w:val="center"/>
    </w:pPr>
    <w:rPr>
      <w:rFonts w:ascii="Arial Unicode MS" w:eastAsia="Arial Unicode MS" w:hAnsi="Arial Unicode MS"/>
      <w:color w:val="000000"/>
    </w:rPr>
  </w:style>
  <w:style w:type="paragraph" w:customStyle="1" w:styleId="414">
    <w:name w:val="样式 样式 标题 4标题 14 + 自动设置 + 无下划线"/>
    <w:basedOn w:val="4140"/>
    <w:qFormat/>
    <w:pPr>
      <w:numPr>
        <w:numId w:val="8"/>
      </w:numPr>
      <w:tabs>
        <w:tab w:val="clear" w:pos="420"/>
        <w:tab w:val="left" w:pos="360"/>
        <w:tab w:val="left" w:pos="864"/>
      </w:tabs>
      <w:ind w:left="864" w:hanging="864"/>
    </w:pPr>
    <w:rPr>
      <w:u w:val="none"/>
    </w:rPr>
  </w:style>
  <w:style w:type="paragraph" w:customStyle="1" w:styleId="4140">
    <w:name w:val="样式 标题 4标题 14 + 自动设置"/>
    <w:basedOn w:val="42"/>
    <w:qFormat/>
    <w:pPr>
      <w:snapToGrid w:val="0"/>
      <w:spacing w:before="0" w:after="0" w:line="240" w:lineRule="auto"/>
    </w:pPr>
    <w:rPr>
      <w:rFonts w:ascii="Times New Roman" w:hAnsi="Times New Roman"/>
      <w:b w:val="0"/>
      <w:bCs w:val="0"/>
      <w:color w:val="000000"/>
      <w:sz w:val="24"/>
      <w:szCs w:val="24"/>
      <w:u w:val="single"/>
    </w:rPr>
  </w:style>
  <w:style w:type="paragraph" w:customStyle="1" w:styleId="Char1CharCharCharCharChar">
    <w:name w:val="Char1 Char Char Char Char Char"/>
    <w:basedOn w:val="a8"/>
    <w:next w:val="a8"/>
    <w:qFormat/>
    <w:pPr>
      <w:spacing w:line="360" w:lineRule="auto"/>
      <w:ind w:firstLineChars="200" w:firstLine="200"/>
      <w:jc w:val="center"/>
    </w:pPr>
    <w:rPr>
      <w:rFonts w:ascii="Times New Roman" w:eastAsia="黑体"/>
      <w:kern w:val="2"/>
      <w:sz w:val="21"/>
    </w:rPr>
  </w:style>
  <w:style w:type="paragraph" w:customStyle="1" w:styleId="afffffffff6">
    <w:name w:val="注×："/>
    <w:qFormat/>
    <w:pPr>
      <w:widowControl w:val="0"/>
      <w:tabs>
        <w:tab w:val="left" w:pos="630"/>
      </w:tabs>
      <w:autoSpaceDE w:val="0"/>
      <w:autoSpaceDN w:val="0"/>
      <w:jc w:val="both"/>
    </w:pPr>
    <w:rPr>
      <w:rFonts w:ascii="宋体"/>
      <w:sz w:val="18"/>
    </w:rPr>
  </w:style>
  <w:style w:type="paragraph" w:customStyle="1" w:styleId="1f6">
    <w:name w:val="正文文字缩进1"/>
    <w:basedOn w:val="a8"/>
    <w:next w:val="aff5"/>
    <w:qFormat/>
    <w:pPr>
      <w:autoSpaceDE w:val="0"/>
      <w:autoSpaceDN w:val="0"/>
      <w:adjustRightInd w:val="0"/>
      <w:spacing w:line="360" w:lineRule="atLeast"/>
      <w:ind w:firstLine="425"/>
      <w:textAlignment w:val="baseline"/>
    </w:pPr>
    <w:rPr>
      <w:rFonts w:hAnsi="Tms Rmn" w:cs="宋体"/>
      <w:sz w:val="28"/>
      <w:szCs w:val="28"/>
    </w:rPr>
  </w:style>
  <w:style w:type="paragraph" w:customStyle="1" w:styleId="xl51">
    <w:name w:val="xl51"/>
    <w:basedOn w:val="a8"/>
    <w:qFormat/>
    <w:pPr>
      <w:widowControl/>
      <w:pBdr>
        <w:top w:val="single" w:sz="4" w:space="0" w:color="auto"/>
        <w:bottom w:val="single" w:sz="4" w:space="0" w:color="auto"/>
        <w:right w:val="single" w:sz="4" w:space="0" w:color="auto"/>
      </w:pBdr>
      <w:spacing w:before="100" w:beforeAutospacing="1" w:after="100" w:afterAutospacing="1"/>
      <w:jc w:val="center"/>
      <w:textAlignment w:val="center"/>
    </w:pPr>
    <w:rPr>
      <w:rFonts w:eastAsia="Arial Unicode MS"/>
      <w:color w:val="000000"/>
    </w:rPr>
  </w:style>
  <w:style w:type="paragraph" w:customStyle="1" w:styleId="afffffffff7">
    <w:name w:val="表体"/>
    <w:basedOn w:val="affffff1"/>
    <w:qFormat/>
    <w:pPr>
      <w:tabs>
        <w:tab w:val="clear" w:pos="4440"/>
      </w:tabs>
      <w:overflowPunct w:val="0"/>
      <w:autoSpaceDE/>
      <w:autoSpaceDN/>
      <w:snapToGrid/>
      <w:spacing w:beforeLines="0" w:before="0" w:afterLines="0" w:after="0" w:line="300" w:lineRule="atLeast"/>
      <w:textAlignment w:val="baseline"/>
    </w:pPr>
    <w:rPr>
      <w:rFonts w:ascii="Times New Roman" w:eastAsia="宋体"/>
      <w:color w:val="000000"/>
      <w:spacing w:val="0"/>
      <w:kern w:val="24"/>
      <w:sz w:val="18"/>
      <w:szCs w:val="20"/>
    </w:rPr>
  </w:style>
  <w:style w:type="paragraph" w:customStyle="1" w:styleId="CharCharff0">
    <w:name w:val="页脚 Char Char"/>
    <w:basedOn w:val="a8"/>
    <w:qFormat/>
    <w:pPr>
      <w:tabs>
        <w:tab w:val="left" w:pos="4149"/>
        <w:tab w:val="left" w:pos="8016"/>
      </w:tabs>
      <w:spacing w:line="351" w:lineRule="atLeast"/>
      <w:ind w:firstLine="419"/>
      <w:jc w:val="left"/>
    </w:pPr>
    <w:rPr>
      <w:rFonts w:ascii="Times New Roman"/>
      <w:kern w:val="2"/>
      <w:sz w:val="18"/>
    </w:rPr>
  </w:style>
  <w:style w:type="paragraph" w:customStyle="1" w:styleId="afffffffff8">
    <w:name w:val="正文王"/>
    <w:basedOn w:val="aff9"/>
    <w:qFormat/>
    <w:pPr>
      <w:widowControl w:val="0"/>
      <w:spacing w:before="0" w:beforeAutospacing="0" w:after="0" w:afterAutospacing="0" w:line="440" w:lineRule="exact"/>
      <w:jc w:val="both"/>
    </w:pPr>
    <w:rPr>
      <w:rFonts w:ascii="Arial" w:eastAsia="宋体" w:hAnsi="Arial" w:cs="Times New Roman"/>
      <w:snapToGrid w:val="0"/>
      <w:szCs w:val="21"/>
    </w:rPr>
  </w:style>
  <w:style w:type="paragraph" w:customStyle="1" w:styleId="a1">
    <w:name w:val="二级条标题"/>
    <w:basedOn w:val="a0"/>
    <w:next w:val="a8"/>
    <w:qFormat/>
    <w:pPr>
      <w:numPr>
        <w:ilvl w:val="3"/>
      </w:numPr>
      <w:outlineLvl w:val="3"/>
    </w:pPr>
  </w:style>
  <w:style w:type="paragraph" w:customStyle="1" w:styleId="a0">
    <w:name w:val="一级条标题"/>
    <w:basedOn w:val="afffffffff9"/>
    <w:next w:val="a8"/>
    <w:qFormat/>
    <w:pPr>
      <w:numPr>
        <w:ilvl w:val="2"/>
        <w:numId w:val="9"/>
      </w:numPr>
      <w:tabs>
        <w:tab w:val="left" w:pos="360"/>
      </w:tabs>
      <w:spacing w:before="0" w:after="0"/>
      <w:outlineLvl w:val="2"/>
    </w:pPr>
  </w:style>
  <w:style w:type="paragraph" w:customStyle="1" w:styleId="afffffffff9">
    <w:name w:val="章标题"/>
    <w:next w:val="a8"/>
    <w:qFormat/>
    <w:pPr>
      <w:spacing w:before="50" w:after="50"/>
      <w:jc w:val="both"/>
      <w:outlineLvl w:val="1"/>
    </w:pPr>
    <w:rPr>
      <w:rFonts w:ascii="黑体" w:eastAsia="黑体"/>
      <w:sz w:val="21"/>
    </w:rPr>
  </w:style>
  <w:style w:type="paragraph" w:customStyle="1" w:styleId="262">
    <w:name w:val="样式 样式2 + 段前: 6 磅 行距: 单倍行距2"/>
    <w:basedOn w:val="2e"/>
    <w:qFormat/>
    <w:pPr>
      <w:spacing w:before="120" w:line="240" w:lineRule="auto"/>
    </w:pPr>
    <w:rPr>
      <w:spacing w:val="-16"/>
      <w:kern w:val="2"/>
    </w:rPr>
  </w:style>
  <w:style w:type="paragraph" w:customStyle="1" w:styleId="xl35">
    <w:name w:val="xl35"/>
    <w:basedOn w:val="a8"/>
    <w:qFormat/>
    <w:pPr>
      <w:widowControl/>
      <w:pBdr>
        <w:left w:val="single" w:sz="4" w:space="0" w:color="auto"/>
        <w:bottom w:val="single" w:sz="4" w:space="0" w:color="auto"/>
      </w:pBdr>
      <w:spacing w:before="100" w:beforeAutospacing="1" w:after="100" w:afterAutospacing="1"/>
      <w:jc w:val="center"/>
      <w:textAlignment w:val="center"/>
    </w:pPr>
    <w:rPr>
      <w:rFonts w:ascii="Arial Unicode MS" w:hAnsi="Arial Unicode MS"/>
      <w:sz w:val="16"/>
      <w:szCs w:val="16"/>
    </w:rPr>
  </w:style>
  <w:style w:type="paragraph" w:customStyle="1" w:styleId="33H3h33rdlevelReHead3WSA031">
    <w:name w:val="样式 标题 3标题 三三级标题标题3H3h33rd level第二层条ReHead 3 WSA标题03三级...1"/>
    <w:basedOn w:val="31"/>
    <w:qFormat/>
    <w:pPr>
      <w:tabs>
        <w:tab w:val="left" w:pos="540"/>
      </w:tabs>
      <w:spacing w:before="120" w:after="60" w:line="520" w:lineRule="exact"/>
      <w:ind w:left="540"/>
    </w:pPr>
    <w:rPr>
      <w:rFonts w:ascii="黑体" w:eastAsia="黑体"/>
      <w:kern w:val="0"/>
      <w:sz w:val="28"/>
    </w:rPr>
  </w:style>
  <w:style w:type="paragraph" w:customStyle="1" w:styleId="afffffffffa">
    <w:name w:val="环境报告书"/>
    <w:basedOn w:val="a8"/>
    <w:qFormat/>
    <w:pPr>
      <w:spacing w:before="240" w:after="240" w:line="360" w:lineRule="atLeast"/>
      <w:jc w:val="center"/>
    </w:pPr>
    <w:rPr>
      <w:spacing w:val="12"/>
    </w:rPr>
  </w:style>
  <w:style w:type="paragraph" w:customStyle="1" w:styleId="1f7">
    <w:name w:val="正文格式1"/>
    <w:basedOn w:val="a8"/>
    <w:qFormat/>
    <w:pPr>
      <w:spacing w:line="360" w:lineRule="auto"/>
      <w:ind w:firstLine="482"/>
    </w:pPr>
    <w:rPr>
      <w:rFonts w:cs="宋体"/>
      <w:kern w:val="2"/>
      <w:szCs w:val="24"/>
    </w:rPr>
  </w:style>
  <w:style w:type="paragraph" w:customStyle="1" w:styleId="xl26">
    <w:name w:val="xl26"/>
    <w:basedOn w:val="a8"/>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hAnsi="Arial Unicode MS"/>
    </w:rPr>
  </w:style>
  <w:style w:type="paragraph" w:customStyle="1" w:styleId="17132">
    <w:name w:val="样式 首行缩进:  1.71 字符32"/>
    <w:basedOn w:val="a8"/>
    <w:qFormat/>
    <w:pPr>
      <w:spacing w:line="360" w:lineRule="auto"/>
      <w:ind w:firstLineChars="200" w:firstLine="480"/>
    </w:pPr>
    <w:rPr>
      <w:rFonts w:ascii="Times New Roman"/>
      <w:kern w:val="2"/>
      <w:szCs w:val="24"/>
    </w:rPr>
  </w:style>
  <w:style w:type="paragraph" w:customStyle="1" w:styleId="afffffffffb">
    <w:name w:val="居中四号"/>
    <w:qFormat/>
    <w:pPr>
      <w:spacing w:line="300" w:lineRule="auto"/>
      <w:jc w:val="center"/>
    </w:pPr>
    <w:rPr>
      <w:sz w:val="28"/>
    </w:rPr>
  </w:style>
  <w:style w:type="paragraph" w:customStyle="1" w:styleId="xl69">
    <w:name w:val="xl69"/>
    <w:basedOn w:val="a8"/>
    <w:qFormat/>
    <w:pPr>
      <w:widowControl/>
      <w:pBdr>
        <w:left w:val="single" w:sz="4" w:space="0" w:color="auto"/>
        <w:bottom w:val="single" w:sz="8" w:space="0" w:color="auto"/>
        <w:right w:val="single" w:sz="4" w:space="0" w:color="auto"/>
      </w:pBdr>
      <w:spacing w:before="100" w:beforeAutospacing="1" w:after="100" w:afterAutospacing="1"/>
      <w:jc w:val="center"/>
    </w:pPr>
    <w:rPr>
      <w:rFonts w:ascii="Arial Unicode MS" w:eastAsia="Arial Unicode MS" w:hAnsi="Arial Unicode MS"/>
      <w:color w:val="000000"/>
      <w:szCs w:val="21"/>
    </w:rPr>
  </w:style>
  <w:style w:type="paragraph" w:customStyle="1" w:styleId="mytext11">
    <w:name w:val="mytext11"/>
    <w:basedOn w:val="a8"/>
    <w:qFormat/>
    <w:pPr>
      <w:widowControl/>
      <w:spacing w:before="100" w:beforeAutospacing="1" w:after="100" w:afterAutospacing="1"/>
      <w:jc w:val="left"/>
    </w:pPr>
    <w:rPr>
      <w:rFonts w:hAnsi="宋体" w:cs="宋体"/>
      <w:color w:val="000000"/>
    </w:rPr>
  </w:style>
  <w:style w:type="paragraph" w:customStyle="1" w:styleId="afffffffffc">
    <w:name w:val="附录二级条标题"/>
    <w:basedOn w:val="afffffffffd"/>
    <w:next w:val="42"/>
    <w:qFormat/>
    <w:pPr>
      <w:tabs>
        <w:tab w:val="left" w:pos="360"/>
      </w:tabs>
      <w:ind w:left="360" w:hanging="360"/>
      <w:outlineLvl w:val="3"/>
    </w:pPr>
  </w:style>
  <w:style w:type="paragraph" w:customStyle="1" w:styleId="afffffffffd">
    <w:name w:val="附录一级条标题"/>
    <w:basedOn w:val="afffffffffe"/>
    <w:next w:val="42"/>
    <w:qFormat/>
    <w:pPr>
      <w:tabs>
        <w:tab w:val="left" w:pos="828"/>
      </w:tabs>
      <w:autoSpaceDN w:val="0"/>
      <w:spacing w:beforeLines="0" w:before="0" w:afterLines="0" w:after="0"/>
      <w:ind w:left="828" w:hanging="240"/>
      <w:outlineLvl w:val="2"/>
    </w:pPr>
  </w:style>
  <w:style w:type="paragraph" w:customStyle="1" w:styleId="afffffffffe">
    <w:name w:val="附录章标题"/>
    <w:next w:val="42"/>
    <w:qFormat/>
    <w:pPr>
      <w:tabs>
        <w:tab w:val="left" w:pos="1260"/>
      </w:tabs>
      <w:wordWrap w:val="0"/>
      <w:overflowPunct w:val="0"/>
      <w:autoSpaceDE w:val="0"/>
      <w:spacing w:beforeLines="50" w:before="156" w:afterLines="50" w:after="156"/>
      <w:ind w:left="1260" w:hanging="420"/>
      <w:jc w:val="both"/>
      <w:textAlignment w:val="baseline"/>
      <w:outlineLvl w:val="1"/>
    </w:pPr>
    <w:rPr>
      <w:rFonts w:ascii="黑体" w:eastAsia="黑体"/>
      <w:kern w:val="21"/>
      <w:sz w:val="21"/>
    </w:rPr>
  </w:style>
  <w:style w:type="paragraph" w:customStyle="1" w:styleId="CharCharCharChar0">
    <w:name w:val="Char Char Char Char"/>
    <w:basedOn w:val="a8"/>
    <w:qFormat/>
    <w:pPr>
      <w:spacing w:line="360" w:lineRule="auto"/>
      <w:ind w:firstLineChars="200" w:firstLine="200"/>
    </w:pPr>
    <w:rPr>
      <w:rFonts w:hAnsi="宋体" w:cs="宋体"/>
    </w:rPr>
  </w:style>
  <w:style w:type="paragraph" w:customStyle="1" w:styleId="affffffffff">
    <w:name w:val="正文+++++++++++++++++++++++"/>
    <w:basedOn w:val="112"/>
    <w:qFormat/>
    <w:pPr>
      <w:adjustRightInd w:val="0"/>
      <w:spacing w:line="460" w:lineRule="exact"/>
      <w:ind w:left="1" w:firstLineChars="192" w:firstLine="522"/>
      <w:textAlignment w:val="baseline"/>
    </w:pPr>
    <w:rPr>
      <w:rFonts w:cs="宋体"/>
      <w:spacing w:val="16"/>
    </w:rPr>
  </w:style>
  <w:style w:type="paragraph" w:customStyle="1" w:styleId="112">
    <w:name w:val="正文11"/>
    <w:basedOn w:val="a8"/>
    <w:qFormat/>
    <w:pPr>
      <w:spacing w:line="360" w:lineRule="auto"/>
      <w:ind w:firstLineChars="200" w:firstLine="200"/>
    </w:pPr>
  </w:style>
  <w:style w:type="paragraph" w:customStyle="1" w:styleId="affffffffff0">
    <w:name w:val="表文"/>
    <w:basedOn w:val="a8"/>
    <w:qFormat/>
    <w:pPr>
      <w:spacing w:line="360" w:lineRule="exact"/>
      <w:jc w:val="center"/>
    </w:pPr>
    <w:rPr>
      <w:rFonts w:hAnsi="华文中宋"/>
      <w:snapToGrid w:val="0"/>
    </w:rPr>
  </w:style>
  <w:style w:type="paragraph" w:customStyle="1" w:styleId="65">
    <w:name w:val="表题6"/>
    <w:basedOn w:val="a8"/>
    <w:qFormat/>
    <w:pPr>
      <w:adjustRightInd w:val="0"/>
      <w:snapToGrid w:val="0"/>
      <w:spacing w:before="180" w:after="60"/>
      <w:jc w:val="center"/>
    </w:pPr>
    <w:rPr>
      <w:rFonts w:ascii="Times New Roman"/>
      <w:b/>
      <w:sz w:val="21"/>
    </w:rPr>
  </w:style>
  <w:style w:type="paragraph" w:customStyle="1" w:styleId="affffffffff1">
    <w:name w:val="图文框"/>
    <w:basedOn w:val="a8"/>
    <w:qFormat/>
    <w:pPr>
      <w:snapToGrid w:val="0"/>
      <w:spacing w:line="360" w:lineRule="auto"/>
      <w:jc w:val="center"/>
    </w:pPr>
    <w:rPr>
      <w:rFonts w:hAnsi="宋体"/>
      <w:b/>
      <w:snapToGrid w:val="0"/>
    </w:rPr>
  </w:style>
  <w:style w:type="paragraph" w:customStyle="1" w:styleId="2f5">
    <w:name w:val="+列表2"/>
    <w:basedOn w:val="a8"/>
    <w:qFormat/>
    <w:pPr>
      <w:jc w:val="center"/>
    </w:pPr>
    <w:rPr>
      <w:rFonts w:ascii="Times New Roman"/>
      <w:kern w:val="2"/>
      <w:sz w:val="21"/>
      <w:szCs w:val="21"/>
    </w:rPr>
  </w:style>
  <w:style w:type="paragraph" w:customStyle="1" w:styleId="1f8">
    <w:name w:val="宏文本1"/>
    <w:qFormat/>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spacing w:before="60"/>
      <w:ind w:firstLine="482"/>
    </w:pPr>
    <w:rPr>
      <w:rFonts w:ascii="Courier New" w:hAnsi="Courier New" w:hint="eastAsia"/>
      <w:kern w:val="2"/>
      <w:sz w:val="24"/>
    </w:rPr>
  </w:style>
  <w:style w:type="paragraph" w:customStyle="1" w:styleId="affffffffff2">
    <w:name w:val="表题"/>
    <w:basedOn w:val="a8"/>
    <w:qFormat/>
    <w:pPr>
      <w:keepNext/>
      <w:spacing w:line="460" w:lineRule="atLeast"/>
      <w:jc w:val="center"/>
    </w:pPr>
    <w:rPr>
      <w:b/>
      <w:spacing w:val="12"/>
      <w:w w:val="90"/>
    </w:rPr>
  </w:style>
  <w:style w:type="paragraph" w:customStyle="1" w:styleId="4e">
    <w:name w:val="表格内字体4"/>
    <w:basedOn w:val="affffff2"/>
    <w:qFormat/>
    <w:pPr>
      <w:spacing w:line="240" w:lineRule="auto"/>
      <w:ind w:firstLineChars="0" w:firstLine="0"/>
      <w:jc w:val="center"/>
    </w:pPr>
    <w:rPr>
      <w:sz w:val="21"/>
      <w:szCs w:val="20"/>
    </w:rPr>
  </w:style>
  <w:style w:type="paragraph" w:customStyle="1" w:styleId="3f2">
    <w:name w:val="正文3"/>
    <w:qFormat/>
    <w:pPr>
      <w:widowControl w:val="0"/>
      <w:adjustRightInd w:val="0"/>
      <w:spacing w:line="360" w:lineRule="atLeast"/>
      <w:textAlignment w:val="baseline"/>
    </w:pPr>
    <w:rPr>
      <w:rFonts w:ascii="宋体"/>
      <w:sz w:val="24"/>
    </w:rPr>
  </w:style>
  <w:style w:type="paragraph" w:customStyle="1" w:styleId="content">
    <w:name w:val="content"/>
    <w:basedOn w:val="a8"/>
    <w:qFormat/>
    <w:pPr>
      <w:widowControl/>
      <w:spacing w:before="100" w:beforeAutospacing="1" w:after="100" w:afterAutospacing="1" w:line="360" w:lineRule="auto"/>
    </w:pPr>
    <w:rPr>
      <w:rFonts w:hAnsi="宋体"/>
      <w:sz w:val="18"/>
      <w:szCs w:val="18"/>
    </w:rPr>
  </w:style>
  <w:style w:type="paragraph" w:customStyle="1" w:styleId="affffffffff3">
    <w:name w:val="二级标题"/>
    <w:basedOn w:val="2"/>
    <w:qFormat/>
    <w:pPr>
      <w:tabs>
        <w:tab w:val="left" w:pos="142"/>
      </w:tabs>
      <w:adjustRightInd w:val="0"/>
      <w:spacing w:after="60"/>
      <w:jc w:val="left"/>
      <w:textAlignment w:val="baseline"/>
    </w:pPr>
    <w:rPr>
      <w:rFonts w:eastAsia="宋体" w:cs="宋体"/>
      <w:color w:val="000000"/>
      <w:kern w:val="0"/>
    </w:rPr>
  </w:style>
  <w:style w:type="paragraph" w:customStyle="1" w:styleId="1f9">
    <w:name w:val="列出段落1"/>
    <w:basedOn w:val="a8"/>
    <w:uiPriority w:val="34"/>
    <w:qFormat/>
    <w:pPr>
      <w:ind w:firstLineChars="200" w:firstLine="420"/>
    </w:pPr>
  </w:style>
  <w:style w:type="paragraph" w:customStyle="1" w:styleId="1fa">
    <w:name w:val="图表目录1"/>
    <w:basedOn w:val="1f2"/>
    <w:next w:val="1f2"/>
    <w:qFormat/>
    <w:pPr>
      <w:tabs>
        <w:tab w:val="right" w:leader="dot" w:pos="8051"/>
      </w:tabs>
      <w:ind w:left="840" w:hanging="840"/>
    </w:pPr>
  </w:style>
  <w:style w:type="paragraph" w:customStyle="1" w:styleId="221121TimesNewRoman8">
    <w:name w:val="样式 标题 2标题 21标题 121 + Times New Roman 小三 非加粗 黑色 段前: 8 磅 段..."/>
    <w:basedOn w:val="2"/>
    <w:qFormat/>
    <w:pPr>
      <w:keepNext w:val="0"/>
      <w:keepLines w:val="0"/>
      <w:tabs>
        <w:tab w:val="left" w:pos="360"/>
        <w:tab w:val="left" w:pos="1280"/>
      </w:tabs>
      <w:adjustRightInd w:val="0"/>
      <w:snapToGrid w:val="0"/>
      <w:spacing w:before="160" w:after="0" w:line="360" w:lineRule="auto"/>
    </w:pPr>
    <w:rPr>
      <w:rFonts w:ascii="Times New Roman"/>
      <w:color w:val="000000"/>
      <w:sz w:val="30"/>
    </w:rPr>
  </w:style>
  <w:style w:type="paragraph" w:customStyle="1" w:styleId="a2">
    <w:name w:val="三级条标题"/>
    <w:basedOn w:val="a1"/>
    <w:next w:val="a8"/>
    <w:qFormat/>
    <w:pPr>
      <w:numPr>
        <w:ilvl w:val="4"/>
      </w:numPr>
      <w:outlineLvl w:val="4"/>
    </w:pPr>
  </w:style>
  <w:style w:type="paragraph" w:customStyle="1" w:styleId="affffffffff4">
    <w:name w:val="表格编号"/>
    <w:basedOn w:val="a8"/>
    <w:next w:val="a8"/>
    <w:qFormat/>
    <w:pPr>
      <w:tabs>
        <w:tab w:val="left" w:pos="720"/>
      </w:tabs>
      <w:spacing w:before="300" w:after="200"/>
      <w:jc w:val="center"/>
    </w:pPr>
    <w:rPr>
      <w:rFonts w:ascii="Times New Roman"/>
      <w:kern w:val="2"/>
    </w:rPr>
  </w:style>
  <w:style w:type="paragraph" w:customStyle="1" w:styleId="affffffffff5">
    <w:name w:val="河石管道 表格文字小五"/>
    <w:qFormat/>
    <w:pPr>
      <w:tabs>
        <w:tab w:val="left" w:pos="277"/>
        <w:tab w:val="left" w:pos="600"/>
        <w:tab w:val="left" w:pos="780"/>
        <w:tab w:val="left" w:pos="2517"/>
      </w:tabs>
      <w:adjustRightInd w:val="0"/>
      <w:jc w:val="both"/>
      <w:textAlignment w:val="baseline"/>
    </w:pPr>
    <w:rPr>
      <w:sz w:val="18"/>
      <w:szCs w:val="21"/>
    </w:rPr>
  </w:style>
  <w:style w:type="paragraph" w:customStyle="1" w:styleId="affffffffff6">
    <w:name w:val="表文字"/>
    <w:basedOn w:val="a8"/>
    <w:qFormat/>
    <w:pPr>
      <w:overflowPunct w:val="0"/>
      <w:autoSpaceDE w:val="0"/>
      <w:autoSpaceDN w:val="0"/>
      <w:adjustRightInd w:val="0"/>
      <w:spacing w:line="240" w:lineRule="atLeast"/>
      <w:jc w:val="center"/>
      <w:textAlignment w:val="baseline"/>
    </w:pPr>
  </w:style>
  <w:style w:type="paragraph" w:customStyle="1" w:styleId="4f">
    <w:name w:val="标题　4"/>
    <w:basedOn w:val="42"/>
    <w:qFormat/>
    <w:pPr>
      <w:spacing w:before="0" w:after="0" w:line="360" w:lineRule="auto"/>
    </w:pPr>
    <w:rPr>
      <w:rFonts w:ascii="Times New Roman" w:eastAsia="宋体" w:hAnsi="Times New Roman"/>
      <w:kern w:val="0"/>
      <w:szCs w:val="20"/>
    </w:rPr>
  </w:style>
  <w:style w:type="paragraph" w:customStyle="1" w:styleId="affffffffff7">
    <w:name w:val="附录标识"/>
    <w:basedOn w:val="a"/>
    <w:qFormat/>
    <w:pPr>
      <w:numPr>
        <w:numId w:val="0"/>
      </w:numPr>
      <w:tabs>
        <w:tab w:val="left" w:pos="840"/>
        <w:tab w:val="left" w:pos="6405"/>
      </w:tabs>
      <w:spacing w:after="200"/>
      <w:ind w:left="840" w:hanging="420"/>
    </w:pPr>
    <w:rPr>
      <w:sz w:val="21"/>
    </w:rPr>
  </w:style>
  <w:style w:type="paragraph" w:customStyle="1" w:styleId="a">
    <w:name w:val="前言、引言标题"/>
    <w:next w:val="a8"/>
    <w:qFormat/>
    <w:pPr>
      <w:numPr>
        <w:numId w:val="9"/>
      </w:numPr>
      <w:shd w:val="clear" w:color="FFFFFF" w:fill="FFFFFF"/>
      <w:tabs>
        <w:tab w:val="left" w:pos="903"/>
      </w:tabs>
      <w:spacing w:before="640" w:after="560"/>
      <w:ind w:left="903" w:hanging="315"/>
      <w:jc w:val="center"/>
      <w:outlineLvl w:val="0"/>
    </w:pPr>
    <w:rPr>
      <w:rFonts w:ascii="黑体" w:eastAsia="黑体"/>
      <w:sz w:val="32"/>
    </w:rPr>
  </w:style>
  <w:style w:type="paragraph" w:customStyle="1" w:styleId="Char1CharCharCharCharCharCharCharCharChar">
    <w:name w:val="Char1 Char Char Char Char Char Char Char Char Char"/>
    <w:basedOn w:val="a8"/>
    <w:qFormat/>
    <w:rPr>
      <w:rFonts w:ascii="Times New Roman"/>
      <w:kern w:val="2"/>
      <w:sz w:val="21"/>
      <w:szCs w:val="24"/>
    </w:rPr>
  </w:style>
  <w:style w:type="paragraph" w:customStyle="1" w:styleId="9CharChar">
    <w:name w:val="目录 9 Char Char"/>
    <w:basedOn w:val="a8"/>
    <w:next w:val="a8"/>
    <w:qFormat/>
    <w:pPr>
      <w:spacing w:line="351" w:lineRule="atLeast"/>
      <w:ind w:left="1678" w:firstLine="419"/>
      <w:jc w:val="left"/>
    </w:pPr>
    <w:rPr>
      <w:rFonts w:ascii="Times New Roman"/>
      <w:kern w:val="2"/>
      <w:sz w:val="21"/>
    </w:rPr>
  </w:style>
  <w:style w:type="paragraph" w:customStyle="1" w:styleId="xl24">
    <w:name w:val="xl24"/>
    <w:basedOn w:val="a8"/>
    <w:qFormat/>
    <w:pPr>
      <w:widowControl/>
      <w:spacing w:before="100" w:after="100"/>
      <w:jc w:val="right"/>
    </w:pPr>
    <w:rPr>
      <w:rFonts w:hAnsi="宋体"/>
    </w:rPr>
  </w:style>
  <w:style w:type="paragraph" w:customStyle="1" w:styleId="Char1CharCharCharCharCharChar">
    <w:name w:val="Char1 Char Char Char Char Char Char"/>
    <w:basedOn w:val="a8"/>
    <w:qFormat/>
    <w:rPr>
      <w:rFonts w:ascii="Times New Roman"/>
      <w:kern w:val="2"/>
      <w:sz w:val="21"/>
      <w:szCs w:val="24"/>
    </w:rPr>
  </w:style>
  <w:style w:type="paragraph" w:customStyle="1" w:styleId="CharCharChar1Char">
    <w:name w:val="Char Char Char1 Char"/>
    <w:basedOn w:val="a8"/>
    <w:qFormat/>
  </w:style>
  <w:style w:type="paragraph" w:customStyle="1" w:styleId="S">
    <w:name w:val="S表格"/>
    <w:basedOn w:val="a8"/>
    <w:qFormat/>
    <w:pPr>
      <w:spacing w:before="240" w:line="360" w:lineRule="auto"/>
      <w:outlineLvl w:val="2"/>
    </w:pPr>
    <w:rPr>
      <w:bCs/>
    </w:rPr>
  </w:style>
  <w:style w:type="paragraph" w:customStyle="1" w:styleId="ParaCharCharChar1CharCharCharCharCharCharCharCharCharCharCharChar1">
    <w:name w:val="默认段落字体 Para Char Char Char1 Char Char Char Char Char Char Char Char Char Char Char Char1"/>
    <w:basedOn w:val="a8"/>
    <w:qFormat/>
    <w:rPr>
      <w:rFonts w:ascii="Times New Roman"/>
      <w:kern w:val="2"/>
      <w:szCs w:val="24"/>
    </w:rPr>
  </w:style>
  <w:style w:type="paragraph" w:customStyle="1" w:styleId="310">
    <w:name w:val="标题 31"/>
    <w:basedOn w:val="a8"/>
    <w:next w:val="a8"/>
    <w:qFormat/>
    <w:pPr>
      <w:keepNext/>
      <w:keepLines/>
      <w:adjustRightInd w:val="0"/>
      <w:spacing w:before="120" w:after="120" w:line="500" w:lineRule="exact"/>
      <w:textAlignment w:val="baseline"/>
    </w:pPr>
    <w:rPr>
      <w:rFonts w:eastAsia="黑体" w:hAnsi="宋体" w:hint="eastAsia"/>
      <w:kern w:val="2"/>
      <w:sz w:val="30"/>
    </w:rPr>
  </w:style>
  <w:style w:type="paragraph" w:customStyle="1" w:styleId="xl55">
    <w:name w:val="xl55"/>
    <w:basedOn w:val="a8"/>
    <w:qFormat/>
    <w:pPr>
      <w:widowControl/>
      <w:pBdr>
        <w:top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color w:val="000000"/>
      <w:szCs w:val="21"/>
    </w:rPr>
  </w:style>
  <w:style w:type="paragraph" w:customStyle="1" w:styleId="1fb">
    <w:name w:val="表标题1"/>
    <w:basedOn w:val="a8"/>
    <w:next w:val="a8"/>
    <w:qFormat/>
    <w:pPr>
      <w:spacing w:beforeLines="50" w:before="156" w:after="120" w:line="300" w:lineRule="auto"/>
      <w:jc w:val="center"/>
    </w:pPr>
    <w:rPr>
      <w:rFonts w:ascii="Times New Roman"/>
      <w:kern w:val="2"/>
    </w:rPr>
  </w:style>
  <w:style w:type="paragraph" w:customStyle="1" w:styleId="1fc">
    <w:name w:val="图题1"/>
    <w:basedOn w:val="affff"/>
    <w:next w:val="a8"/>
    <w:qFormat/>
    <w:pPr>
      <w:spacing w:line="360" w:lineRule="auto"/>
      <w:ind w:leftChars="0" w:left="0" w:firstLineChars="0" w:firstLine="0"/>
      <w:jc w:val="center"/>
    </w:pPr>
    <w:rPr>
      <w:rFonts w:ascii="方正大标宋简体" w:eastAsia="方正大标宋简体"/>
      <w:kern w:val="2"/>
      <w:szCs w:val="24"/>
    </w:rPr>
  </w:style>
  <w:style w:type="paragraph" w:customStyle="1" w:styleId="affffffffff8">
    <w:name w:val="表格文字样式"/>
    <w:basedOn w:val="affffffffff9"/>
    <w:qFormat/>
    <w:pPr>
      <w:spacing w:line="240" w:lineRule="auto"/>
      <w:ind w:firstLineChars="0" w:firstLine="0"/>
      <w:jc w:val="center"/>
    </w:pPr>
  </w:style>
  <w:style w:type="paragraph" w:customStyle="1" w:styleId="affffffffff9">
    <w:name w:val="新正文样式"/>
    <w:basedOn w:val="a8"/>
    <w:qFormat/>
    <w:pPr>
      <w:tabs>
        <w:tab w:val="left" w:pos="567"/>
      </w:tabs>
      <w:spacing w:line="360" w:lineRule="auto"/>
      <w:ind w:firstLineChars="200" w:firstLine="560"/>
    </w:pPr>
    <w:rPr>
      <w:rFonts w:ascii="Times New Roman" w:eastAsia="华文中宋"/>
      <w:spacing w:val="20"/>
      <w:kern w:val="2"/>
    </w:rPr>
  </w:style>
  <w:style w:type="paragraph" w:customStyle="1" w:styleId="1fd">
    <w:name w:val="1表格"/>
    <w:basedOn w:val="a8"/>
    <w:qFormat/>
    <w:pPr>
      <w:snapToGrid w:val="0"/>
      <w:spacing w:line="160" w:lineRule="atLeast"/>
      <w:jc w:val="center"/>
    </w:pPr>
    <w:rPr>
      <w:rFonts w:eastAsia="仿宋_GB2312"/>
    </w:rPr>
  </w:style>
  <w:style w:type="paragraph" w:customStyle="1" w:styleId="TimesNewRoman0015">
    <w:name w:val="样式 标题 + Times New Roman 四号 两端对齐 段前: 0 磅 段后: 0 磅 行距: 1.5 倍行距"/>
    <w:basedOn w:val="affff3"/>
    <w:qFormat/>
    <w:pPr>
      <w:spacing w:before="0" w:after="0"/>
      <w:jc w:val="both"/>
    </w:pPr>
    <w:rPr>
      <w:rFonts w:ascii="Times New Roman" w:hAnsi="Times New Roman" w:cs="宋体"/>
      <w:kern w:val="0"/>
      <w:sz w:val="28"/>
      <w:szCs w:val="20"/>
    </w:rPr>
  </w:style>
  <w:style w:type="paragraph" w:customStyle="1" w:styleId="7CharChar">
    <w:name w:val="目录 7 Char Char"/>
    <w:basedOn w:val="a8"/>
    <w:next w:val="a8"/>
    <w:qFormat/>
    <w:pPr>
      <w:spacing w:line="351" w:lineRule="atLeast"/>
      <w:ind w:left="1258" w:firstLine="419"/>
      <w:jc w:val="left"/>
    </w:pPr>
    <w:rPr>
      <w:rFonts w:ascii="Times New Roman"/>
      <w:kern w:val="2"/>
      <w:sz w:val="21"/>
    </w:rPr>
  </w:style>
  <w:style w:type="paragraph" w:customStyle="1" w:styleId="Style46">
    <w:name w:val="_Style 46"/>
    <w:basedOn w:val="a8"/>
    <w:next w:val="aa"/>
    <w:qFormat/>
    <w:pPr>
      <w:ind w:firstLineChars="200" w:firstLine="200"/>
    </w:pPr>
    <w:rPr>
      <w:rFonts w:ascii="Times New Roman"/>
      <w:kern w:val="2"/>
      <w:sz w:val="21"/>
    </w:rPr>
  </w:style>
  <w:style w:type="paragraph" w:customStyle="1" w:styleId="xl28">
    <w:name w:val="xl28"/>
    <w:basedOn w:val="a8"/>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bCs/>
      <w:sz w:val="20"/>
      <w:szCs w:val="32"/>
    </w:rPr>
  </w:style>
  <w:style w:type="paragraph" w:customStyle="1" w:styleId="a5">
    <w:name w:val="四级无标题条"/>
    <w:basedOn w:val="a8"/>
    <w:qFormat/>
    <w:pPr>
      <w:numPr>
        <w:ilvl w:val="2"/>
        <w:numId w:val="10"/>
      </w:numPr>
    </w:pPr>
  </w:style>
  <w:style w:type="paragraph" w:customStyle="1" w:styleId="affffffffffa">
    <w:name w:val="奇数页脚"/>
    <w:basedOn w:val="afff2"/>
    <w:qFormat/>
    <w:pPr>
      <w:widowControl/>
      <w:tabs>
        <w:tab w:val="clear" w:pos="4153"/>
        <w:tab w:val="clear" w:pos="8306"/>
        <w:tab w:val="center" w:pos="4320"/>
        <w:tab w:val="right" w:pos="8640"/>
      </w:tabs>
      <w:adjustRightInd w:val="0"/>
      <w:spacing w:line="360" w:lineRule="auto"/>
      <w:ind w:firstLineChars="200" w:firstLine="480"/>
      <w:jc w:val="right"/>
    </w:pPr>
    <w:rPr>
      <w:i/>
      <w:sz w:val="24"/>
    </w:rPr>
  </w:style>
  <w:style w:type="paragraph" w:customStyle="1" w:styleId="-">
    <w:name w:val="正文-叶"/>
    <w:basedOn w:val="a8"/>
    <w:qFormat/>
    <w:pPr>
      <w:topLinePunct/>
      <w:spacing w:line="312" w:lineRule="auto"/>
      <w:ind w:firstLineChars="200" w:firstLine="465"/>
    </w:pPr>
  </w:style>
  <w:style w:type="paragraph" w:customStyle="1" w:styleId="41">
    <w:name w:val="俺的标题4"/>
    <w:basedOn w:val="42"/>
    <w:qFormat/>
    <w:pPr>
      <w:numPr>
        <w:ilvl w:val="3"/>
        <w:numId w:val="6"/>
      </w:numPr>
      <w:spacing w:before="40" w:after="0" w:line="360" w:lineRule="auto"/>
      <w:ind w:left="0"/>
      <w:jc w:val="left"/>
    </w:pPr>
    <w:rPr>
      <w:rFonts w:ascii="楷体_GB2312" w:eastAsia="仿宋_GB2312" w:cs="宋体"/>
      <w:kern w:val="0"/>
      <w:szCs w:val="20"/>
    </w:rPr>
  </w:style>
  <w:style w:type="paragraph" w:customStyle="1" w:styleId="1fe">
    <w:name w:val="普通(网站)1"/>
    <w:basedOn w:val="a8"/>
    <w:qFormat/>
    <w:pPr>
      <w:adjustRightInd w:val="0"/>
      <w:textAlignment w:val="baseline"/>
    </w:pPr>
    <w:rPr>
      <w:rFonts w:ascii="Times New Roman"/>
      <w:kern w:val="2"/>
    </w:rPr>
  </w:style>
  <w:style w:type="paragraph" w:customStyle="1" w:styleId="2825">
    <w:name w:val="样式 样式 行距: 固定值 28 磅 + 首行缩进:  2.5 字符"/>
    <w:basedOn w:val="280"/>
    <w:qFormat/>
    <w:pPr>
      <w:spacing w:line="312" w:lineRule="auto"/>
    </w:pPr>
  </w:style>
  <w:style w:type="paragraph" w:customStyle="1" w:styleId="280">
    <w:name w:val="样式 行距: 固定值 28 磅"/>
    <w:basedOn w:val="a8"/>
    <w:qFormat/>
    <w:pPr>
      <w:spacing w:line="500" w:lineRule="exact"/>
      <w:ind w:firstLineChars="250" w:firstLine="692"/>
    </w:pPr>
    <w:rPr>
      <w:rFonts w:ascii="Times New Roman" w:cs="宋体"/>
      <w:kern w:val="2"/>
      <w:sz w:val="28"/>
    </w:rPr>
  </w:style>
  <w:style w:type="paragraph" w:customStyle="1" w:styleId="CharCharff1">
    <w:name w:val="批注文字 Char Char"/>
    <w:basedOn w:val="a8"/>
    <w:qFormat/>
    <w:pPr>
      <w:spacing w:line="351" w:lineRule="atLeast"/>
      <w:ind w:firstLine="419"/>
      <w:jc w:val="left"/>
    </w:pPr>
    <w:rPr>
      <w:rFonts w:ascii="Times New Roman"/>
      <w:kern w:val="2"/>
      <w:sz w:val="21"/>
    </w:rPr>
  </w:style>
  <w:style w:type="paragraph" w:customStyle="1" w:styleId="07720416">
    <w:name w:val="样式 首行缩进:  0.77 厘米 行距: 固定值 20 磅416"/>
    <w:basedOn w:val="a8"/>
    <w:qFormat/>
    <w:pPr>
      <w:spacing w:line="360" w:lineRule="auto"/>
      <w:ind w:firstLineChars="200" w:firstLine="480"/>
    </w:pPr>
    <w:rPr>
      <w:rFonts w:ascii="Times New Roman"/>
      <w:kern w:val="2"/>
      <w:szCs w:val="24"/>
    </w:rPr>
  </w:style>
  <w:style w:type="paragraph" w:customStyle="1" w:styleId="30">
    <w:name w:val="俺的标题3"/>
    <w:basedOn w:val="31"/>
    <w:qFormat/>
    <w:pPr>
      <w:numPr>
        <w:ilvl w:val="2"/>
        <w:numId w:val="6"/>
      </w:numPr>
      <w:spacing w:before="120" w:after="60" w:line="360" w:lineRule="auto"/>
      <w:jc w:val="left"/>
    </w:pPr>
    <w:rPr>
      <w:rFonts w:ascii="黑体" w:eastAsia="黑体" w:cs="宋体"/>
      <w:sz w:val="30"/>
      <w:szCs w:val="20"/>
    </w:rPr>
  </w:style>
  <w:style w:type="paragraph" w:customStyle="1" w:styleId="t">
    <w:name w:val="t表格文字左齐"/>
    <w:basedOn w:val="a8"/>
    <w:qFormat/>
    <w:pPr>
      <w:widowControl/>
      <w:overflowPunct w:val="0"/>
      <w:autoSpaceDE w:val="0"/>
      <w:autoSpaceDN w:val="0"/>
      <w:jc w:val="left"/>
      <w:textAlignment w:val="baseline"/>
    </w:pPr>
    <w:rPr>
      <w:rFonts w:ascii="Times New Roman" w:eastAsia="仿宋_GB2312" w:hint="eastAsia"/>
      <w:kern w:val="2"/>
      <w:sz w:val="21"/>
    </w:rPr>
  </w:style>
  <w:style w:type="paragraph" w:customStyle="1" w:styleId="1ff">
    <w:name w:val="1文章"/>
    <w:basedOn w:val="a8"/>
    <w:qFormat/>
    <w:pPr>
      <w:snapToGrid w:val="0"/>
      <w:spacing w:line="420" w:lineRule="auto"/>
      <w:ind w:firstLine="454"/>
      <w:outlineLvl w:val="4"/>
    </w:pPr>
    <w:rPr>
      <w:rFonts w:ascii="Times New Roman"/>
      <w:spacing w:val="4"/>
      <w:kern w:val="2"/>
      <w:szCs w:val="24"/>
    </w:rPr>
  </w:style>
  <w:style w:type="paragraph" w:customStyle="1" w:styleId="3f3">
    <w:name w:val="标题样式3"/>
    <w:basedOn w:val="31"/>
    <w:qFormat/>
    <w:pPr>
      <w:keepNext w:val="0"/>
      <w:spacing w:before="0" w:after="0" w:line="360" w:lineRule="auto"/>
    </w:pPr>
    <w:rPr>
      <w:rFonts w:ascii="黑体" w:eastAsia="黑体" w:cs="黑体"/>
      <w:color w:val="000000"/>
      <w:kern w:val="0"/>
      <w:sz w:val="28"/>
      <w:szCs w:val="28"/>
      <w:lang w:val="zh-CN"/>
    </w:rPr>
  </w:style>
  <w:style w:type="paragraph" w:customStyle="1" w:styleId="102">
    <w:name w:val="10"/>
    <w:basedOn w:val="a8"/>
    <w:qFormat/>
    <w:pPr>
      <w:widowControl/>
      <w:spacing w:before="100" w:beforeAutospacing="1" w:after="100" w:afterAutospacing="1"/>
      <w:jc w:val="left"/>
    </w:pPr>
    <w:rPr>
      <w:rFonts w:ascii="Arial Unicode MS" w:hAnsi="Arial Unicode MS"/>
      <w:szCs w:val="24"/>
    </w:rPr>
  </w:style>
  <w:style w:type="paragraph" w:customStyle="1" w:styleId="affffffffffb">
    <w:name w:val="表格文字左"/>
    <w:basedOn w:val="a8"/>
    <w:qFormat/>
    <w:pPr>
      <w:spacing w:line="240" w:lineRule="atLeast"/>
      <w:jc w:val="center"/>
    </w:pPr>
    <w:rPr>
      <w:rFonts w:hAnsi="宋体"/>
      <w:color w:val="000000"/>
    </w:rPr>
  </w:style>
  <w:style w:type="paragraph" w:customStyle="1" w:styleId="04">
    <w:name w:val="样式_正文_04"/>
    <w:qFormat/>
    <w:pPr>
      <w:numPr>
        <w:numId w:val="11"/>
      </w:numPr>
      <w:tabs>
        <w:tab w:val="clear" w:pos="1701"/>
        <w:tab w:val="right" w:leader="dot" w:pos="7407"/>
        <w:tab w:val="left" w:pos="7587"/>
      </w:tabs>
      <w:spacing w:line="360" w:lineRule="auto"/>
    </w:pPr>
    <w:rPr>
      <w:rFonts w:ascii="Garamond" w:eastAsia="楷体_GB2312" w:hAnsi="Garamond"/>
      <w:kern w:val="28"/>
      <w:sz w:val="24"/>
      <w:szCs w:val="24"/>
    </w:rPr>
  </w:style>
  <w:style w:type="paragraph" w:customStyle="1" w:styleId="CM56">
    <w:name w:val="CM56"/>
    <w:basedOn w:val="Default"/>
    <w:next w:val="Default"/>
    <w:qFormat/>
    <w:pPr>
      <w:spacing w:line="400" w:lineRule="atLeast"/>
    </w:pPr>
    <w:rPr>
      <w:rFonts w:ascii="宋体" w:eastAsia="宋体" w:hAnsi="Times New Roman"/>
      <w:color w:val="auto"/>
    </w:rPr>
  </w:style>
  <w:style w:type="paragraph" w:customStyle="1" w:styleId="font11">
    <w:name w:val="font11"/>
    <w:basedOn w:val="a8"/>
    <w:qFormat/>
    <w:pPr>
      <w:widowControl/>
      <w:spacing w:before="100" w:beforeAutospacing="1" w:after="100" w:afterAutospacing="1" w:line="360" w:lineRule="auto"/>
      <w:ind w:firstLineChars="200" w:firstLine="200"/>
      <w:jc w:val="left"/>
    </w:pPr>
    <w:rPr>
      <w:rFonts w:hAnsi="宋体" w:hint="eastAsia"/>
      <w:szCs w:val="28"/>
    </w:rPr>
  </w:style>
  <w:style w:type="paragraph" w:customStyle="1" w:styleId="123">
    <w:name w:val="1标题2级"/>
    <w:basedOn w:val="a8"/>
    <w:qFormat/>
    <w:pPr>
      <w:keepNext/>
      <w:snapToGrid w:val="0"/>
      <w:spacing w:line="420" w:lineRule="auto"/>
    </w:pPr>
    <w:rPr>
      <w:rFonts w:ascii="Times New Roman" w:eastAsia="黑体"/>
      <w:b/>
      <w:kern w:val="2"/>
      <w:sz w:val="30"/>
    </w:rPr>
  </w:style>
  <w:style w:type="paragraph" w:customStyle="1" w:styleId="24255">
    <w:name w:val="样式 样式 宋体 小四 左 行距: 固定值 24 磅 + 黑色 居中 首行缩进:  2 字符 段前: 5 磅 段后: 5..."/>
    <w:basedOn w:val="240"/>
    <w:qFormat/>
    <w:pPr>
      <w:spacing w:before="100" w:after="100"/>
      <w:ind w:firstLineChars="0" w:firstLine="0"/>
      <w:jc w:val="center"/>
    </w:pPr>
    <w:rPr>
      <w:color w:val="000000"/>
    </w:rPr>
  </w:style>
  <w:style w:type="paragraph" w:customStyle="1" w:styleId="240">
    <w:name w:val="样式 宋体 小四 左 行距: 固定值 24 磅"/>
    <w:basedOn w:val="a8"/>
    <w:qFormat/>
    <w:pPr>
      <w:spacing w:line="480" w:lineRule="exact"/>
      <w:ind w:firstLineChars="200" w:firstLine="200"/>
      <w:jc w:val="left"/>
    </w:pPr>
    <w:rPr>
      <w:rFonts w:cs="宋体"/>
    </w:rPr>
  </w:style>
  <w:style w:type="paragraph" w:customStyle="1" w:styleId="210">
    <w:name w:val="正文文本缩进 21"/>
    <w:basedOn w:val="a8"/>
    <w:qFormat/>
    <w:pPr>
      <w:adjustRightInd w:val="0"/>
      <w:spacing w:line="360" w:lineRule="auto"/>
      <w:ind w:firstLine="510"/>
      <w:textAlignment w:val="baseline"/>
    </w:pPr>
    <w:rPr>
      <w:rFonts w:hAnsi="宋体"/>
      <w:sz w:val="28"/>
    </w:rPr>
  </w:style>
  <w:style w:type="paragraph" w:customStyle="1" w:styleId="2TimesNewRoman0">
    <w:name w:val="样式 标题 2 + Times New Roman 小三 居中"/>
    <w:basedOn w:val="2"/>
    <w:qFormat/>
    <w:pPr>
      <w:widowControl/>
      <w:spacing w:before="260" w:after="260" w:line="415" w:lineRule="auto"/>
      <w:ind w:firstLineChars="192" w:firstLine="538"/>
      <w:jc w:val="left"/>
    </w:pPr>
    <w:rPr>
      <w:rFonts w:cs="宋体"/>
      <w:kern w:val="0"/>
      <w:sz w:val="30"/>
    </w:rPr>
  </w:style>
  <w:style w:type="paragraph" w:customStyle="1" w:styleId="414H4">
    <w:name w:val="样式 标题 4标题 14H4 + 小四 非加粗"/>
    <w:basedOn w:val="42"/>
    <w:qFormat/>
    <w:pPr>
      <w:tabs>
        <w:tab w:val="left" w:pos="1080"/>
      </w:tabs>
      <w:spacing w:before="0" w:after="0" w:line="377" w:lineRule="auto"/>
      <w:ind w:left="851" w:hanging="851"/>
    </w:pPr>
    <w:rPr>
      <w:b w:val="0"/>
      <w:bCs w:val="0"/>
      <w:color w:val="000000"/>
      <w:sz w:val="24"/>
    </w:rPr>
  </w:style>
  <w:style w:type="paragraph" w:customStyle="1" w:styleId="1ff0">
    <w:name w:val="尾注文本1"/>
    <w:basedOn w:val="1f2"/>
    <w:qFormat/>
    <w:rPr>
      <w:sz w:val="21"/>
    </w:rPr>
  </w:style>
  <w:style w:type="paragraph" w:customStyle="1" w:styleId="215">
    <w:name w:val="样式 标题 2一级条 + 四号 行距: 1.5 倍行距"/>
    <w:basedOn w:val="2"/>
    <w:qFormat/>
    <w:pPr>
      <w:adjustRightInd w:val="0"/>
      <w:spacing w:before="0" w:after="0" w:line="360" w:lineRule="auto"/>
      <w:jc w:val="left"/>
      <w:textAlignment w:val="baseline"/>
    </w:pPr>
    <w:rPr>
      <w:rFonts w:eastAsia="宋体" w:cs="宋体"/>
      <w:caps/>
      <w:kern w:val="0"/>
      <w:sz w:val="28"/>
    </w:rPr>
  </w:style>
  <w:style w:type="paragraph" w:customStyle="1" w:styleId="a6">
    <w:name w:val="三级无标题条"/>
    <w:basedOn w:val="a8"/>
    <w:qFormat/>
    <w:pPr>
      <w:numPr>
        <w:ilvl w:val="5"/>
        <w:numId w:val="10"/>
      </w:numPr>
    </w:pPr>
  </w:style>
  <w:style w:type="paragraph" w:customStyle="1" w:styleId="affffffffffc">
    <w:name w:val="报告书"/>
    <w:basedOn w:val="a8"/>
    <w:qFormat/>
    <w:pPr>
      <w:adjustRightInd w:val="0"/>
      <w:snapToGrid w:val="0"/>
      <w:spacing w:beforeLines="50" w:before="156" w:afterLines="50" w:after="156" w:line="312" w:lineRule="auto"/>
      <w:jc w:val="center"/>
    </w:pPr>
    <w:rPr>
      <w:rFonts w:ascii="Times" w:eastAsia="黑体" w:hAnsi="Times"/>
      <w:snapToGrid w:val="0"/>
      <w:spacing w:val="16"/>
      <w:sz w:val="72"/>
    </w:rPr>
  </w:style>
  <w:style w:type="paragraph" w:customStyle="1" w:styleId="font0">
    <w:name w:val="font0"/>
    <w:basedOn w:val="a8"/>
    <w:qFormat/>
    <w:pPr>
      <w:widowControl/>
      <w:spacing w:before="100" w:beforeAutospacing="1" w:after="100" w:afterAutospacing="1"/>
      <w:jc w:val="left"/>
    </w:pPr>
    <w:rPr>
      <w:rFonts w:hAnsi="宋体" w:cs="Arial Unicode MS" w:hint="eastAsia"/>
      <w:bCs/>
    </w:rPr>
  </w:style>
  <w:style w:type="paragraph" w:customStyle="1" w:styleId="affffffffffd">
    <w:name w:val="示例"/>
    <w:next w:val="42"/>
    <w:qFormat/>
    <w:pPr>
      <w:tabs>
        <w:tab w:val="left" w:pos="816"/>
      </w:tabs>
      <w:ind w:firstLineChars="233" w:firstLine="419"/>
      <w:jc w:val="both"/>
    </w:pPr>
    <w:rPr>
      <w:rFonts w:ascii="宋体"/>
      <w:sz w:val="18"/>
    </w:rPr>
  </w:style>
  <w:style w:type="paragraph" w:customStyle="1" w:styleId="Charff3">
    <w:name w:val="样式 正文格式 Char"/>
    <w:basedOn w:val="CharCharCharCharCharCharCharCharCharCharCharCharChar"/>
    <w:qFormat/>
    <w:pPr>
      <w:ind w:firstLine="200"/>
    </w:pPr>
    <w:rPr>
      <w:rFonts w:ascii="宋体" w:hAnsi="宋体"/>
    </w:rPr>
  </w:style>
  <w:style w:type="paragraph" w:customStyle="1" w:styleId="CharCharCharCharCharCharCharCharCharCharCharCharChar">
    <w:name w:val="正文格式 Char Char Char Char Char Char Char Char Char Char Char Char Char"/>
    <w:basedOn w:val="a8"/>
    <w:qFormat/>
    <w:pPr>
      <w:widowControl/>
      <w:spacing w:line="480" w:lineRule="exact"/>
      <w:ind w:firstLineChars="200" w:firstLine="560"/>
    </w:pPr>
    <w:rPr>
      <w:rFonts w:ascii="Times New Roman"/>
      <w:sz w:val="28"/>
      <w:szCs w:val="28"/>
    </w:rPr>
  </w:style>
  <w:style w:type="paragraph" w:customStyle="1" w:styleId="1ff1">
    <w:name w:val="表格内字体1"/>
    <w:basedOn w:val="a8"/>
    <w:qFormat/>
    <w:pPr>
      <w:jc w:val="center"/>
    </w:pPr>
    <w:rPr>
      <w:rFonts w:cs="宋体"/>
      <w:kern w:val="2"/>
      <w:sz w:val="21"/>
    </w:rPr>
  </w:style>
  <w:style w:type="paragraph" w:customStyle="1" w:styleId="1110">
    <w:name w:val="表标题11.1"/>
    <w:basedOn w:val="a8"/>
    <w:qFormat/>
    <w:pPr>
      <w:spacing w:beforeLines="100" w:before="312" w:line="0" w:lineRule="atLeast"/>
      <w:jc w:val="center"/>
    </w:pPr>
    <w:rPr>
      <w:b/>
    </w:rPr>
  </w:style>
  <w:style w:type="paragraph" w:customStyle="1" w:styleId="zhang">
    <w:name w:val="zhang正文"/>
    <w:basedOn w:val="aff5"/>
    <w:qFormat/>
    <w:pPr>
      <w:spacing w:line="360" w:lineRule="auto"/>
      <w:ind w:left="0"/>
    </w:pPr>
    <w:rPr>
      <w:rFonts w:ascii="Times New Roman"/>
      <w:sz w:val="24"/>
      <w:szCs w:val="24"/>
    </w:rPr>
  </w:style>
  <w:style w:type="paragraph" w:customStyle="1" w:styleId="affffffffffe">
    <w:name w:val="正文表标题"/>
    <w:next w:val="42"/>
    <w:qFormat/>
    <w:pPr>
      <w:jc w:val="center"/>
    </w:pPr>
    <w:rPr>
      <w:rFonts w:ascii="黑体" w:eastAsia="黑体"/>
      <w:sz w:val="21"/>
    </w:rPr>
  </w:style>
  <w:style w:type="paragraph" w:customStyle="1" w:styleId="afffffffffff">
    <w:name w:val="偶数页眉"/>
    <w:basedOn w:val="afff5"/>
    <w:qFormat/>
    <w:pPr>
      <w:widowControl/>
    </w:pPr>
    <w:rPr>
      <w:rFonts w:ascii="Calibri" w:hAnsi="Calibri"/>
      <w:kern w:val="0"/>
      <w:lang w:eastAsia="en-US" w:bidi="en-US"/>
    </w:rPr>
  </w:style>
  <w:style w:type="paragraph" w:customStyle="1" w:styleId="3f4">
    <w:name w:val="表题3"/>
    <w:basedOn w:val="a8"/>
    <w:qFormat/>
    <w:pPr>
      <w:adjustRightInd w:val="0"/>
      <w:snapToGrid w:val="0"/>
      <w:spacing w:before="180" w:after="60"/>
      <w:jc w:val="center"/>
    </w:pPr>
    <w:rPr>
      <w:rFonts w:ascii="Times New Roman"/>
      <w:b/>
      <w:sz w:val="21"/>
    </w:rPr>
  </w:style>
  <w:style w:type="paragraph" w:customStyle="1" w:styleId="0772049">
    <w:name w:val="样式 首行缩进:  0.77 厘米 行距: 固定值 20 磅49"/>
    <w:basedOn w:val="a8"/>
    <w:qFormat/>
    <w:pPr>
      <w:spacing w:line="360" w:lineRule="auto"/>
      <w:ind w:firstLineChars="150" w:firstLine="360"/>
      <w:jc w:val="left"/>
    </w:pPr>
    <w:rPr>
      <w:rFonts w:ascii="Times New Roman"/>
      <w:color w:val="FF0000"/>
      <w:kern w:val="2"/>
    </w:rPr>
  </w:style>
  <w:style w:type="paragraph" w:customStyle="1" w:styleId="Textecourant">
    <w:name w:val="!Texte courant"/>
    <w:qFormat/>
    <w:pPr>
      <w:spacing w:before="120" w:line="280" w:lineRule="atLeast"/>
      <w:jc w:val="both"/>
    </w:pPr>
    <w:rPr>
      <w:sz w:val="24"/>
      <w:lang w:val="fr-FR" w:eastAsia="en-US"/>
    </w:rPr>
  </w:style>
  <w:style w:type="paragraph" w:customStyle="1" w:styleId="221121TimesNewRoman83">
    <w:name w:val="样式 标题 2标题 21标题 121 + Times New Roman 小三 非加粗 黑色 段前: 8 磅 段...3"/>
    <w:basedOn w:val="a8"/>
    <w:qFormat/>
    <w:pPr>
      <w:tabs>
        <w:tab w:val="left" w:pos="238"/>
      </w:tabs>
      <w:ind w:left="238"/>
    </w:pPr>
    <w:rPr>
      <w:rFonts w:ascii="Times New Roman"/>
      <w:kern w:val="2"/>
      <w:sz w:val="28"/>
      <w:szCs w:val="24"/>
    </w:rPr>
  </w:style>
  <w:style w:type="paragraph" w:customStyle="1" w:styleId="CharCharCharChar1CharCharChar">
    <w:name w:val="Char Char Char Char1 Char Char Char"/>
    <w:basedOn w:val="a8"/>
    <w:qFormat/>
    <w:pPr>
      <w:widowControl/>
      <w:spacing w:after="160" w:line="240" w:lineRule="exact"/>
      <w:jc w:val="left"/>
    </w:pPr>
    <w:rPr>
      <w:rFonts w:ascii="Verdana" w:hAnsi="Verdana"/>
      <w:sz w:val="20"/>
      <w:lang w:eastAsia="en-US"/>
    </w:rPr>
  </w:style>
  <w:style w:type="paragraph" w:customStyle="1" w:styleId="xl52">
    <w:name w:val="xl52"/>
    <w:basedOn w:val="a8"/>
    <w:qFormat/>
    <w:pPr>
      <w:widowControl/>
      <w:pBdr>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color w:val="000000"/>
      <w:sz w:val="20"/>
    </w:rPr>
  </w:style>
  <w:style w:type="paragraph" w:customStyle="1" w:styleId="CM2">
    <w:name w:val="CM2"/>
    <w:basedOn w:val="Default"/>
    <w:next w:val="Default"/>
    <w:qFormat/>
    <w:rPr>
      <w:rFonts w:ascii="宋体" w:eastAsia="宋体" w:hAnsi="Times New Roman"/>
      <w:color w:val="auto"/>
    </w:rPr>
  </w:style>
  <w:style w:type="paragraph" w:customStyle="1" w:styleId="17114">
    <w:name w:val="样式 首行缩进:  1.71 字符14"/>
    <w:basedOn w:val="affff7"/>
    <w:qFormat/>
    <w:pPr>
      <w:spacing w:after="120" w:line="360" w:lineRule="auto"/>
      <w:ind w:firstLineChars="171" w:firstLine="410"/>
    </w:pPr>
    <w:rPr>
      <w:rFonts w:ascii="Times New Roman" w:cs="宋体"/>
      <w:spacing w:val="0"/>
      <w:kern w:val="2"/>
    </w:rPr>
  </w:style>
  <w:style w:type="paragraph" w:customStyle="1" w:styleId="221121TimesNewRoman82">
    <w:name w:val="样式 标题 2标题 21标题 121 + Times New Roman 小三 非加粗 黑色 段前: 8 磅 段...2"/>
    <w:basedOn w:val="2"/>
    <w:qFormat/>
    <w:pPr>
      <w:keepNext w:val="0"/>
      <w:keepLines w:val="0"/>
      <w:tabs>
        <w:tab w:val="left" w:pos="992"/>
      </w:tabs>
      <w:adjustRightInd w:val="0"/>
      <w:snapToGrid w:val="0"/>
      <w:spacing w:before="160" w:after="0" w:line="360" w:lineRule="auto"/>
      <w:ind w:left="992" w:hanging="567"/>
    </w:pPr>
    <w:rPr>
      <w:rFonts w:ascii="Times New Roman"/>
      <w:color w:val="000000"/>
      <w:sz w:val="30"/>
    </w:rPr>
  </w:style>
  <w:style w:type="paragraph" w:customStyle="1" w:styleId="afffffffffff0">
    <w:name w:val="密级编号"/>
    <w:basedOn w:val="a8"/>
    <w:qFormat/>
    <w:pPr>
      <w:adjustRightInd w:val="0"/>
      <w:jc w:val="center"/>
      <w:textAlignment w:val="baseline"/>
    </w:pPr>
    <w:rPr>
      <w:rFonts w:ascii="仿宋_GB2312" w:eastAsia="仿宋_GB2312"/>
    </w:rPr>
  </w:style>
  <w:style w:type="paragraph" w:customStyle="1" w:styleId="1ff2">
    <w:name w:val="报告1"/>
    <w:basedOn w:val="affffffff5"/>
    <w:qFormat/>
    <w:pPr>
      <w:ind w:firstLine="0"/>
      <w:jc w:val="both"/>
      <w:textAlignment w:val="center"/>
    </w:pPr>
    <w:rPr>
      <w:kern w:val="24"/>
    </w:rPr>
  </w:style>
  <w:style w:type="paragraph" w:customStyle="1" w:styleId="font1">
    <w:name w:val="font1"/>
    <w:basedOn w:val="a8"/>
    <w:qFormat/>
    <w:pPr>
      <w:widowControl/>
      <w:spacing w:before="100" w:beforeAutospacing="1" w:after="100" w:afterAutospacing="1"/>
      <w:jc w:val="left"/>
    </w:pPr>
    <w:rPr>
      <w:rFonts w:hAnsi="宋体" w:cs="Arial Unicode MS" w:hint="eastAsia"/>
    </w:rPr>
  </w:style>
  <w:style w:type="paragraph" w:customStyle="1" w:styleId="3f5">
    <w:name w:val="表格内字体3"/>
    <w:basedOn w:val="a8"/>
    <w:qFormat/>
    <w:pPr>
      <w:jc w:val="center"/>
    </w:pPr>
    <w:rPr>
      <w:rFonts w:cs="宋体"/>
      <w:kern w:val="2"/>
      <w:sz w:val="21"/>
    </w:rPr>
  </w:style>
  <w:style w:type="paragraph" w:customStyle="1" w:styleId="unnamed2">
    <w:name w:val="unnamed2"/>
    <w:basedOn w:val="a8"/>
    <w:qFormat/>
    <w:pPr>
      <w:widowControl/>
      <w:spacing w:before="100" w:beforeAutospacing="1" w:after="100" w:afterAutospacing="1" w:line="240" w:lineRule="atLeast"/>
      <w:jc w:val="left"/>
    </w:pPr>
    <w:rPr>
      <w:rFonts w:hAnsi="宋体" w:cs="宋体"/>
      <w:color w:val="000000"/>
      <w:sz w:val="18"/>
      <w:szCs w:val="18"/>
    </w:rPr>
  </w:style>
  <w:style w:type="paragraph" w:customStyle="1" w:styleId="yz">
    <w:name w:val="yz"/>
    <w:basedOn w:val="a9"/>
    <w:qFormat/>
    <w:pPr>
      <w:tabs>
        <w:tab w:val="left" w:pos="900"/>
      </w:tabs>
      <w:adjustRightInd w:val="0"/>
      <w:spacing w:after="0"/>
      <w:ind w:firstLineChars="200" w:firstLine="200"/>
      <w:textAlignment w:val="baseline"/>
    </w:pPr>
    <w:rPr>
      <w:rFonts w:hAnsi="宋体" w:hint="eastAsia"/>
      <w:sz w:val="24"/>
      <w:szCs w:val="20"/>
    </w:rPr>
  </w:style>
  <w:style w:type="paragraph" w:customStyle="1" w:styleId="charff4">
    <w:name w:val="char"/>
    <w:basedOn w:val="a8"/>
    <w:qFormat/>
    <w:pPr>
      <w:widowControl/>
      <w:spacing w:after="160" w:line="240" w:lineRule="exact"/>
      <w:jc w:val="left"/>
    </w:pPr>
    <w:rPr>
      <w:rFonts w:ascii="Verdana" w:eastAsia="仿宋_GB2312" w:hAnsi="Verdana" w:cs="”“Times New Roman”“"/>
      <w:lang w:eastAsia="en-US"/>
    </w:rPr>
  </w:style>
  <w:style w:type="paragraph" w:customStyle="1" w:styleId="211">
    <w:name w:val="样式 题注 + 首行缩进:  2 字符1"/>
    <w:basedOn w:val="af8"/>
    <w:qFormat/>
    <w:pPr>
      <w:snapToGrid w:val="0"/>
      <w:spacing w:before="152" w:afterLines="40" w:after="124"/>
      <w:jc w:val="center"/>
    </w:pPr>
    <w:rPr>
      <w:rFonts w:ascii="黑体" w:hAnsi="黑体" w:cs="宋体"/>
      <w:b/>
      <w:color w:val="000000"/>
      <w:kern w:val="2"/>
      <w:sz w:val="21"/>
      <w:szCs w:val="21"/>
    </w:rPr>
  </w:style>
  <w:style w:type="paragraph" w:customStyle="1" w:styleId="afffffffffff1">
    <w:name w:val="表内小四中"/>
    <w:basedOn w:val="a8"/>
    <w:qFormat/>
    <w:pPr>
      <w:adjustRightInd w:val="0"/>
      <w:snapToGrid w:val="0"/>
      <w:ind w:leftChars="-2" w:left="-4" w:rightChars="-10" w:right="-22"/>
      <w:jc w:val="center"/>
      <w:textAlignment w:val="baseline"/>
    </w:pPr>
    <w:rPr>
      <w:rFonts w:ascii="Times New Roman"/>
    </w:rPr>
  </w:style>
  <w:style w:type="paragraph" w:customStyle="1" w:styleId="3f6">
    <w:name w:val="图题3"/>
    <w:basedOn w:val="affff"/>
    <w:next w:val="a8"/>
    <w:qFormat/>
    <w:pPr>
      <w:spacing w:line="360" w:lineRule="auto"/>
      <w:ind w:leftChars="0" w:left="0" w:firstLineChars="0" w:firstLine="0"/>
      <w:jc w:val="center"/>
    </w:pPr>
    <w:rPr>
      <w:rFonts w:ascii="方正大标宋简体" w:eastAsia="方正大标宋简体"/>
      <w:kern w:val="2"/>
      <w:szCs w:val="24"/>
    </w:rPr>
  </w:style>
  <w:style w:type="paragraph" w:customStyle="1" w:styleId="afffffffffff2">
    <w:name w:val="报告书表格"/>
    <w:basedOn w:val="a8"/>
    <w:qFormat/>
    <w:pPr>
      <w:adjustRightInd w:val="0"/>
      <w:snapToGrid w:val="0"/>
      <w:spacing w:before="60" w:after="60" w:line="240" w:lineRule="atLeast"/>
      <w:jc w:val="center"/>
      <w:textAlignment w:val="baseline"/>
    </w:pPr>
    <w:rPr>
      <w:rFonts w:ascii="Times New Roman"/>
    </w:rPr>
  </w:style>
  <w:style w:type="paragraph" w:customStyle="1" w:styleId="2f6">
    <w:name w:val="2"/>
    <w:basedOn w:val="a8"/>
    <w:next w:val="aff9"/>
    <w:qFormat/>
    <w:rPr>
      <w:rFonts w:hAnsi="Courier New"/>
      <w:kern w:val="2"/>
      <w:sz w:val="21"/>
    </w:rPr>
  </w:style>
  <w:style w:type="paragraph" w:customStyle="1" w:styleId="xl42">
    <w:name w:val="xl42"/>
    <w:basedOn w:val="a8"/>
    <w:qFormat/>
    <w:pPr>
      <w:widowControl/>
      <w:pBdr>
        <w:left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cs="Arial Unicode MS"/>
      <w:sz w:val="18"/>
      <w:szCs w:val="18"/>
    </w:rPr>
  </w:style>
  <w:style w:type="paragraph" w:customStyle="1" w:styleId="w4">
    <w:name w:val="w样小4正文"/>
    <w:basedOn w:val="a8"/>
    <w:qFormat/>
    <w:pPr>
      <w:adjustRightInd w:val="0"/>
      <w:snapToGrid w:val="0"/>
      <w:spacing w:line="360" w:lineRule="auto"/>
      <w:ind w:firstLineChars="200" w:firstLine="480"/>
    </w:pPr>
    <w:rPr>
      <w:rFonts w:ascii="Times New Roman"/>
      <w:kern w:val="2"/>
      <w:szCs w:val="24"/>
    </w:rPr>
  </w:style>
  <w:style w:type="paragraph" w:customStyle="1" w:styleId="Style38">
    <w:name w:val="_Style 38"/>
    <w:basedOn w:val="a8"/>
    <w:next w:val="aa"/>
    <w:qFormat/>
    <w:pPr>
      <w:ind w:firstLineChars="200" w:firstLine="200"/>
    </w:pPr>
    <w:rPr>
      <w:rFonts w:ascii="Times New Roman"/>
      <w:kern w:val="2"/>
      <w:sz w:val="21"/>
    </w:rPr>
  </w:style>
  <w:style w:type="paragraph" w:customStyle="1" w:styleId="33H3h33rdlevelReHead3WSA032">
    <w:name w:val="样式 标题 3标题 三三级标题标题3H3h33rd level第二层条ReHead 3 WSA标题03三级...2"/>
    <w:basedOn w:val="31"/>
    <w:qFormat/>
    <w:pPr>
      <w:tabs>
        <w:tab w:val="left" w:pos="540"/>
      </w:tabs>
      <w:spacing w:before="240" w:after="360" w:line="520" w:lineRule="exact"/>
      <w:ind w:left="540"/>
    </w:pPr>
    <w:rPr>
      <w:rFonts w:ascii="黑体" w:eastAsia="黑体" w:cs="宋体"/>
      <w:sz w:val="28"/>
      <w:szCs w:val="20"/>
    </w:rPr>
  </w:style>
  <w:style w:type="paragraph" w:customStyle="1" w:styleId="ParaCharCharChar1CharCharCharChar">
    <w:name w:val="默认段落字体 Para Char Char Char1 Char Char Char Char"/>
    <w:basedOn w:val="a8"/>
    <w:qFormat/>
    <w:rPr>
      <w:rFonts w:ascii="Times New Roman"/>
      <w:kern w:val="2"/>
      <w:szCs w:val="24"/>
    </w:rPr>
  </w:style>
  <w:style w:type="paragraph" w:customStyle="1" w:styleId="3f7">
    <w:name w:val="正文样式3"/>
    <w:basedOn w:val="a8"/>
    <w:qFormat/>
    <w:pPr>
      <w:keepLines/>
      <w:adjustRightInd w:val="0"/>
      <w:spacing w:line="20" w:lineRule="atLeast"/>
      <w:jc w:val="center"/>
      <w:textAlignment w:val="baseline"/>
    </w:pPr>
  </w:style>
  <w:style w:type="paragraph" w:customStyle="1" w:styleId="a80">
    <w:name w:val="a8"/>
    <w:basedOn w:val="a8"/>
    <w:qFormat/>
    <w:pPr>
      <w:widowControl/>
      <w:spacing w:before="100" w:beforeAutospacing="1" w:after="100" w:afterAutospacing="1"/>
      <w:jc w:val="left"/>
    </w:pPr>
    <w:rPr>
      <w:rFonts w:hAnsi="宋体"/>
      <w:color w:val="000000"/>
    </w:rPr>
  </w:style>
  <w:style w:type="paragraph" w:customStyle="1" w:styleId="3f8">
    <w:name w:val="标题  3"/>
    <w:basedOn w:val="31"/>
    <w:qFormat/>
    <w:pPr>
      <w:spacing w:before="480" w:after="480" w:line="500" w:lineRule="exact"/>
      <w:ind w:firstLineChars="200" w:firstLine="721"/>
      <w:jc w:val="center"/>
    </w:pPr>
    <w:rPr>
      <w:rFonts w:ascii="华文仿宋" w:eastAsia="华文仿宋" w:hAnsi="华文仿宋" w:cs="宋体"/>
      <w:sz w:val="36"/>
      <w:szCs w:val="20"/>
    </w:rPr>
  </w:style>
  <w:style w:type="paragraph" w:customStyle="1" w:styleId="1716">
    <w:name w:val="样式 首行缩进:  1.71 字符6"/>
    <w:basedOn w:val="a8"/>
    <w:qFormat/>
    <w:pPr>
      <w:spacing w:line="360" w:lineRule="auto"/>
      <w:ind w:rightChars="12" w:right="25" w:firstLineChars="225" w:firstLine="540"/>
    </w:pPr>
    <w:rPr>
      <w:rFonts w:ascii="Times New Roman"/>
    </w:rPr>
  </w:style>
  <w:style w:type="paragraph" w:customStyle="1" w:styleId="table">
    <w:name w:val="table"/>
    <w:basedOn w:val="a8"/>
    <w:qFormat/>
    <w:pPr>
      <w:widowControl/>
      <w:overflowPunct w:val="0"/>
      <w:autoSpaceDE w:val="0"/>
      <w:autoSpaceDN w:val="0"/>
      <w:adjustRightInd w:val="0"/>
      <w:spacing w:before="60" w:after="60"/>
      <w:jc w:val="center"/>
      <w:textAlignment w:val="baseline"/>
    </w:pPr>
    <w:rPr>
      <w:rFonts w:ascii="仿宋体" w:eastAsia="仿宋体"/>
    </w:rPr>
  </w:style>
  <w:style w:type="paragraph" w:customStyle="1" w:styleId="afffffffffff3">
    <w:name w:val="表格内容格式"/>
    <w:basedOn w:val="a8"/>
    <w:qFormat/>
    <w:pPr>
      <w:adjustRightInd w:val="0"/>
      <w:spacing w:line="240" w:lineRule="atLeast"/>
      <w:textAlignment w:val="baseline"/>
    </w:pPr>
    <w:rPr>
      <w:rFonts w:hAnsi="宋体"/>
      <w:snapToGrid w:val="0"/>
      <w:color w:val="000000"/>
      <w:sz w:val="21"/>
      <w:szCs w:val="21"/>
    </w:rPr>
  </w:style>
  <w:style w:type="paragraph" w:customStyle="1" w:styleId="font12">
    <w:name w:val="font12"/>
    <w:basedOn w:val="a8"/>
    <w:qFormat/>
    <w:pPr>
      <w:widowControl/>
      <w:spacing w:before="100" w:beforeAutospacing="1" w:after="100" w:afterAutospacing="1" w:line="360" w:lineRule="auto"/>
      <w:ind w:firstLineChars="200" w:firstLine="200"/>
      <w:jc w:val="left"/>
    </w:pPr>
    <w:rPr>
      <w:rFonts w:hAnsi="宋体" w:hint="eastAsia"/>
      <w:i/>
      <w:iCs/>
    </w:rPr>
  </w:style>
  <w:style w:type="paragraph" w:customStyle="1" w:styleId="afffffffffff4">
    <w:name w:val="正文标准样式"/>
    <w:basedOn w:val="a8"/>
    <w:qFormat/>
    <w:pPr>
      <w:adjustRightInd w:val="0"/>
      <w:spacing w:line="300" w:lineRule="auto"/>
      <w:ind w:firstLine="482"/>
      <w:textAlignment w:val="baseline"/>
    </w:pPr>
    <w:rPr>
      <w:rFonts w:ascii="Times New Roman"/>
    </w:rPr>
  </w:style>
  <w:style w:type="paragraph" w:customStyle="1" w:styleId="0">
    <w:name w:val="标题0"/>
    <w:basedOn w:val="a8"/>
    <w:next w:val="a8"/>
    <w:qFormat/>
    <w:pPr>
      <w:spacing w:beforeLines="200" w:before="624" w:afterLines="200" w:after="624" w:line="240" w:lineRule="atLeast"/>
      <w:jc w:val="center"/>
    </w:pPr>
    <w:rPr>
      <w:rFonts w:ascii="Times New Roman" w:eastAsia="黑体"/>
      <w:kern w:val="2"/>
      <w:sz w:val="36"/>
      <w:szCs w:val="24"/>
    </w:rPr>
  </w:style>
  <w:style w:type="paragraph" w:customStyle="1" w:styleId="040">
    <w:name w:val="样式 首行缩进 + 首行缩进:  0 厘米 左  4 字符"/>
    <w:basedOn w:val="a8"/>
    <w:qFormat/>
    <w:pPr>
      <w:spacing w:line="480" w:lineRule="exact"/>
      <w:ind w:left="840"/>
    </w:pPr>
    <w:rPr>
      <w:rFonts w:ascii="Times New Roman"/>
      <w:kern w:val="2"/>
    </w:rPr>
  </w:style>
  <w:style w:type="paragraph" w:customStyle="1" w:styleId="2f7">
    <w:name w:val="样式 正文段落 + 首行缩进:  2 字符"/>
    <w:basedOn w:val="a8"/>
    <w:qFormat/>
    <w:pPr>
      <w:widowControl/>
      <w:tabs>
        <w:tab w:val="left" w:pos="227"/>
      </w:tabs>
      <w:overflowPunct w:val="0"/>
      <w:autoSpaceDE w:val="0"/>
      <w:autoSpaceDN w:val="0"/>
      <w:adjustRightInd w:val="0"/>
      <w:spacing w:before="100" w:beforeAutospacing="1" w:after="100" w:afterAutospacing="1" w:line="360" w:lineRule="auto"/>
      <w:ind w:firstLineChars="200" w:firstLine="480"/>
      <w:textAlignment w:val="baseline"/>
    </w:pPr>
    <w:rPr>
      <w:rFonts w:ascii="Times New Roman" w:eastAsia="仿宋_GB2312"/>
    </w:rPr>
  </w:style>
  <w:style w:type="paragraph" w:customStyle="1" w:styleId="CharCharChar1CharCharCharChar">
    <w:name w:val="Char Char Char1 Char Char Char Char"/>
    <w:basedOn w:val="a8"/>
    <w:qFormat/>
    <w:pPr>
      <w:adjustRightInd w:val="0"/>
      <w:snapToGrid w:val="0"/>
      <w:spacing w:line="360" w:lineRule="auto"/>
      <w:ind w:firstLineChars="200" w:firstLine="200"/>
    </w:pPr>
    <w:rPr>
      <w:rFonts w:ascii="Times New Roman"/>
      <w:kern w:val="2"/>
      <w:sz w:val="21"/>
      <w:szCs w:val="24"/>
    </w:rPr>
  </w:style>
  <w:style w:type="paragraph" w:customStyle="1" w:styleId="Style1">
    <w:name w:val="_Style 1"/>
    <w:basedOn w:val="a8"/>
    <w:next w:val="aa"/>
    <w:qFormat/>
    <w:pPr>
      <w:adjustRightInd w:val="0"/>
      <w:spacing w:line="288" w:lineRule="auto"/>
      <w:ind w:firstLine="480"/>
      <w:textAlignment w:val="baseline"/>
    </w:pPr>
    <w:rPr>
      <w:rFonts w:hAnsi="宋体" w:hint="eastAsia"/>
      <w:kern w:val="2"/>
    </w:rPr>
  </w:style>
  <w:style w:type="paragraph" w:customStyle="1" w:styleId="text">
    <w:name w:val="text"/>
    <w:basedOn w:val="a8"/>
    <w:qFormat/>
    <w:pPr>
      <w:widowControl/>
      <w:overflowPunct w:val="0"/>
      <w:autoSpaceDE w:val="0"/>
      <w:autoSpaceDN w:val="0"/>
      <w:adjustRightInd w:val="0"/>
      <w:spacing w:line="360" w:lineRule="auto"/>
      <w:ind w:firstLine="562"/>
      <w:textAlignment w:val="baseline"/>
    </w:pPr>
    <w:rPr>
      <w:rFonts w:ascii="仿宋体" w:eastAsia="仿宋体"/>
      <w:sz w:val="26"/>
    </w:rPr>
  </w:style>
  <w:style w:type="paragraph" w:customStyle="1" w:styleId="afffffffffff5">
    <w:name w:val="表格内"/>
    <w:basedOn w:val="a8"/>
    <w:qFormat/>
    <w:pPr>
      <w:adjustRightInd w:val="0"/>
      <w:spacing w:line="240" w:lineRule="atLeast"/>
      <w:jc w:val="center"/>
      <w:textAlignment w:val="baseline"/>
    </w:pPr>
    <w:rPr>
      <w:color w:val="000000"/>
      <w:sz w:val="28"/>
    </w:rPr>
  </w:style>
  <w:style w:type="paragraph" w:customStyle="1" w:styleId="afffffffffff6">
    <w:name w:val="字元"/>
    <w:basedOn w:val="a8"/>
    <w:next w:val="a8"/>
    <w:qFormat/>
    <w:pPr>
      <w:spacing w:line="480" w:lineRule="exact"/>
      <w:ind w:left="420" w:firstLine="420"/>
      <w:jc w:val="left"/>
    </w:pPr>
  </w:style>
  <w:style w:type="paragraph" w:customStyle="1" w:styleId="1ff3">
    <w:name w:val="表内文字小1"/>
    <w:basedOn w:val="a8"/>
    <w:qFormat/>
    <w:pPr>
      <w:adjustRightInd w:val="0"/>
      <w:snapToGrid w:val="0"/>
      <w:jc w:val="center"/>
    </w:pPr>
    <w:rPr>
      <w:rFonts w:hAnsi="Times"/>
      <w:kern w:val="2"/>
      <w:sz w:val="21"/>
    </w:rPr>
  </w:style>
  <w:style w:type="paragraph" w:customStyle="1" w:styleId="afffffffffff7">
    <w:name w:val="图标"/>
    <w:basedOn w:val="a8"/>
    <w:qFormat/>
    <w:pPr>
      <w:spacing w:line="480" w:lineRule="exact"/>
      <w:jc w:val="center"/>
    </w:pPr>
    <w:rPr>
      <w:rFonts w:ascii="黑体" w:eastAsia="黑体"/>
      <w:color w:val="000000"/>
      <w:sz w:val="28"/>
    </w:rPr>
  </w:style>
  <w:style w:type="paragraph" w:customStyle="1" w:styleId="124">
    <w:name w:val="样式 标题 1 + 三号 行距: 最小值 24 磅"/>
    <w:basedOn w:val="11"/>
    <w:qFormat/>
    <w:pPr>
      <w:tabs>
        <w:tab w:val="clear" w:pos="8160"/>
        <w:tab w:val="left" w:pos="1080"/>
      </w:tabs>
      <w:adjustRightInd/>
      <w:spacing w:before="340" w:afterLines="0" w:after="330" w:line="480" w:lineRule="atLeast"/>
      <w:ind w:left="1080" w:hanging="480"/>
      <w:jc w:val="both"/>
      <w:textAlignment w:val="auto"/>
    </w:pPr>
    <w:rPr>
      <w:rFonts w:ascii="Times New Roman" w:cs="宋体"/>
      <w:sz w:val="44"/>
      <w:szCs w:val="44"/>
    </w:rPr>
  </w:style>
  <w:style w:type="paragraph" w:customStyle="1" w:styleId="2f8">
    <w:name w:val="表题 2"/>
    <w:basedOn w:val="a8"/>
    <w:qFormat/>
    <w:pPr>
      <w:adjustRightInd w:val="0"/>
      <w:spacing w:before="120" w:after="120"/>
      <w:jc w:val="center"/>
      <w:textAlignment w:val="baseline"/>
    </w:pPr>
    <w:rPr>
      <w:rFonts w:ascii="Times New Roman"/>
      <w:sz w:val="28"/>
    </w:rPr>
  </w:style>
  <w:style w:type="paragraph" w:customStyle="1" w:styleId="241">
    <w:name w:val="24"/>
    <w:basedOn w:val="a8"/>
    <w:qFormat/>
    <w:pPr>
      <w:widowControl/>
      <w:spacing w:before="100" w:beforeAutospacing="1" w:after="100" w:afterAutospacing="1"/>
      <w:jc w:val="left"/>
    </w:pPr>
    <w:rPr>
      <w:rFonts w:hAnsi="宋体" w:cs="宋体"/>
    </w:rPr>
  </w:style>
  <w:style w:type="paragraph" w:customStyle="1" w:styleId="1ff4">
    <w:name w:val="样式 标题 1 + (中文) 黑体 三号 居中 行距: 单倍行距"/>
    <w:basedOn w:val="11"/>
    <w:qFormat/>
    <w:pPr>
      <w:widowControl/>
      <w:tabs>
        <w:tab w:val="clear" w:pos="8160"/>
      </w:tabs>
      <w:topLinePunct/>
      <w:autoSpaceDE w:val="0"/>
      <w:autoSpaceDN w:val="0"/>
      <w:snapToGrid w:val="0"/>
      <w:spacing w:before="340" w:afterLines="0" w:after="330"/>
      <w:ind w:firstLineChars="224" w:firstLine="538"/>
      <w:textAlignment w:val="auto"/>
    </w:pPr>
    <w:rPr>
      <w:rFonts w:cs="宋体"/>
      <w:b w:val="0"/>
      <w:bCs w:val="0"/>
      <w:snapToGrid w:val="0"/>
      <w:szCs w:val="20"/>
    </w:rPr>
  </w:style>
  <w:style w:type="paragraph" w:customStyle="1" w:styleId="1ff5">
    <w:name w:val="正文样式1"/>
    <w:basedOn w:val="a8"/>
    <w:qFormat/>
    <w:pPr>
      <w:spacing w:line="520" w:lineRule="exact"/>
      <w:jc w:val="center"/>
    </w:pPr>
    <w:rPr>
      <w:rFonts w:hAnsi="宋体"/>
    </w:rPr>
  </w:style>
  <w:style w:type="paragraph" w:customStyle="1" w:styleId="1ff6">
    <w:name w:val="样式 标题 1 + 黑体 三号"/>
    <w:basedOn w:val="11"/>
    <w:qFormat/>
    <w:pPr>
      <w:widowControl/>
      <w:tabs>
        <w:tab w:val="clear" w:pos="8160"/>
      </w:tabs>
      <w:topLinePunct/>
      <w:autoSpaceDE w:val="0"/>
      <w:autoSpaceDN w:val="0"/>
      <w:snapToGrid w:val="0"/>
      <w:spacing w:before="340" w:afterLines="0" w:after="330"/>
      <w:ind w:firstLineChars="224" w:firstLine="538"/>
      <w:jc w:val="both"/>
      <w:textAlignment w:val="auto"/>
    </w:pPr>
    <w:rPr>
      <w:rFonts w:hAnsi="黑体"/>
      <w:b w:val="0"/>
      <w:bCs w:val="0"/>
      <w:snapToGrid w:val="0"/>
      <w:szCs w:val="44"/>
    </w:rPr>
  </w:style>
  <w:style w:type="paragraph" w:customStyle="1" w:styleId="132">
    <w:name w:val="1标题3级"/>
    <w:basedOn w:val="a8"/>
    <w:qFormat/>
    <w:pPr>
      <w:snapToGrid w:val="0"/>
      <w:spacing w:line="360" w:lineRule="auto"/>
    </w:pPr>
    <w:rPr>
      <w:rFonts w:ascii="Times New Roman" w:eastAsia="仿宋_GB2312"/>
      <w:kern w:val="2"/>
      <w:sz w:val="28"/>
    </w:rPr>
  </w:style>
  <w:style w:type="paragraph" w:customStyle="1" w:styleId="afffffffffff8">
    <w:name w:val="正文仿宋"/>
    <w:basedOn w:val="a8"/>
    <w:qFormat/>
    <w:pPr>
      <w:adjustRightInd w:val="0"/>
      <w:snapToGrid w:val="0"/>
      <w:spacing w:line="360" w:lineRule="auto"/>
      <w:ind w:firstLine="567"/>
    </w:pPr>
    <w:rPr>
      <w:rFonts w:ascii="Times New Roman" w:eastAsia="仿宋_GB2312"/>
      <w:snapToGrid w:val="0"/>
    </w:rPr>
  </w:style>
  <w:style w:type="paragraph" w:customStyle="1" w:styleId="table1">
    <w:name w:val="table1"/>
    <w:basedOn w:val="a8"/>
    <w:qFormat/>
    <w:pPr>
      <w:overflowPunct w:val="0"/>
      <w:autoSpaceDE w:val="0"/>
      <w:autoSpaceDN w:val="0"/>
      <w:adjustRightInd w:val="0"/>
      <w:spacing w:before="60" w:after="60"/>
      <w:jc w:val="center"/>
      <w:textAlignment w:val="baseline"/>
    </w:pPr>
    <w:rPr>
      <w:kern w:val="28"/>
      <w:sz w:val="21"/>
    </w:rPr>
  </w:style>
  <w:style w:type="paragraph" w:customStyle="1" w:styleId="afffffffffff9">
    <w:name w:val="表内字体"/>
    <w:basedOn w:val="a8"/>
    <w:qFormat/>
    <w:pPr>
      <w:adjustRightInd w:val="0"/>
      <w:snapToGrid w:val="0"/>
      <w:jc w:val="center"/>
      <w:textAlignment w:val="baseline"/>
    </w:pPr>
    <w:rPr>
      <w:rFonts w:hAnsi="宋体" w:cs="宋体"/>
      <w:sz w:val="21"/>
    </w:rPr>
  </w:style>
  <w:style w:type="paragraph" w:customStyle="1" w:styleId="2f9">
    <w:name w:val="表格 2"/>
    <w:basedOn w:val="affffffe"/>
    <w:qFormat/>
    <w:pPr>
      <w:widowControl w:val="0"/>
      <w:spacing w:before="0" w:after="0"/>
      <w:jc w:val="both"/>
      <w:textAlignment w:val="auto"/>
    </w:pPr>
    <w:rPr>
      <w:kern w:val="2"/>
      <w:szCs w:val="24"/>
    </w:rPr>
  </w:style>
  <w:style w:type="paragraph" w:customStyle="1" w:styleId="CharCharCharCharCharCharCharCharChar1CharCharCharCharCharCharCharCharCharChar">
    <w:name w:val="Char Char Char Char Char Char Char Char Char1 Char Char Char Char Char Char Char Char Char Char"/>
    <w:basedOn w:val="a8"/>
    <w:qFormat/>
    <w:rPr>
      <w:rFonts w:ascii="Times New Roman"/>
      <w:kern w:val="2"/>
      <w:sz w:val="21"/>
      <w:szCs w:val="21"/>
    </w:rPr>
  </w:style>
  <w:style w:type="paragraph" w:customStyle="1" w:styleId="Char1b">
    <w:name w:val="Char1"/>
    <w:basedOn w:val="a8"/>
    <w:next w:val="a8"/>
    <w:qFormat/>
    <w:pPr>
      <w:spacing w:line="360" w:lineRule="auto"/>
      <w:ind w:firstLineChars="200" w:firstLine="200"/>
    </w:pPr>
    <w:rPr>
      <w:rFonts w:hAnsi="宋体" w:cs="宋体"/>
      <w:color w:val="000000"/>
      <w:kern w:val="2"/>
      <w:szCs w:val="24"/>
    </w:rPr>
  </w:style>
  <w:style w:type="paragraph" w:customStyle="1" w:styleId="3f9">
    <w:name w:val="正文标题3"/>
    <w:basedOn w:val="31"/>
    <w:qFormat/>
    <w:pPr>
      <w:keepLines w:val="0"/>
      <w:spacing w:beforeLines="50" w:before="156" w:afterLines="10" w:after="31" w:line="360" w:lineRule="auto"/>
      <w:ind w:firstLineChars="200" w:firstLine="562"/>
    </w:pPr>
    <w:rPr>
      <w:rFonts w:eastAsia="黑体"/>
      <w:b w:val="0"/>
      <w:sz w:val="28"/>
    </w:rPr>
  </w:style>
  <w:style w:type="paragraph" w:customStyle="1" w:styleId="2150">
    <w:name w:val="样式 报告表正文 + 首行缩进:  2 字符 行距: 1.5 倍行距"/>
    <w:basedOn w:val="a8"/>
    <w:qFormat/>
    <w:pPr>
      <w:adjustRightInd w:val="0"/>
      <w:spacing w:line="360" w:lineRule="auto"/>
      <w:ind w:left="113" w:right="113" w:firstLineChars="200" w:firstLine="480"/>
    </w:pPr>
    <w:rPr>
      <w:rFonts w:cs="宋体"/>
    </w:rPr>
  </w:style>
  <w:style w:type="paragraph" w:customStyle="1" w:styleId="afffffffffffa">
    <w:name w:val="样式 表格内容 + (中文) 宋体 居中"/>
    <w:basedOn w:val="afffffe"/>
    <w:qFormat/>
    <w:pPr>
      <w:snapToGrid w:val="0"/>
      <w:spacing w:before="0" w:after="120" w:line="440" w:lineRule="exact"/>
      <w:jc w:val="center"/>
    </w:pPr>
    <w:rPr>
      <w:rFonts w:eastAsia="宋体"/>
      <w:sz w:val="21"/>
      <w:szCs w:val="21"/>
    </w:rPr>
  </w:style>
  <w:style w:type="paragraph" w:customStyle="1" w:styleId="xl53">
    <w:name w:val="xl53"/>
    <w:basedOn w:val="a8"/>
    <w:qFormat/>
    <w:pPr>
      <w:widowControl/>
      <w:pBdr>
        <w:top w:val="single" w:sz="4" w:space="0" w:color="auto"/>
        <w:left w:val="single" w:sz="4" w:space="0" w:color="auto"/>
      </w:pBdr>
      <w:spacing w:before="100" w:beforeAutospacing="1" w:after="100" w:afterAutospacing="1"/>
      <w:jc w:val="center"/>
      <w:textAlignment w:val="center"/>
    </w:pPr>
    <w:rPr>
      <w:rFonts w:eastAsia="Arial Unicode MS"/>
      <w:color w:val="000000"/>
    </w:rPr>
  </w:style>
  <w:style w:type="paragraph" w:customStyle="1" w:styleId="171">
    <w:name w:val="样式 首行缩进:  1.71 字符"/>
    <w:basedOn w:val="a8"/>
    <w:qFormat/>
    <w:pPr>
      <w:spacing w:line="360" w:lineRule="auto"/>
    </w:pPr>
    <w:rPr>
      <w:rFonts w:ascii="Times New Roman" w:cs="宋体"/>
      <w:color w:val="FF0000"/>
      <w:kern w:val="2"/>
      <w:szCs w:val="24"/>
    </w:rPr>
  </w:style>
  <w:style w:type="paragraph" w:customStyle="1" w:styleId="afffffffffffb">
    <w:name w:val="封面标题"/>
    <w:basedOn w:val="a8"/>
    <w:next w:val="a8"/>
    <w:qFormat/>
    <w:pPr>
      <w:tabs>
        <w:tab w:val="center" w:pos="6804"/>
        <w:tab w:val="right" w:pos="7371"/>
      </w:tabs>
      <w:overflowPunct w:val="0"/>
      <w:adjustRightInd w:val="0"/>
      <w:spacing w:line="360" w:lineRule="auto"/>
      <w:jc w:val="center"/>
      <w:textAlignment w:val="baseline"/>
    </w:pPr>
    <w:rPr>
      <w:rFonts w:ascii="Arial" w:eastAsia="黑体"/>
      <w:color w:val="FF0000"/>
      <w:spacing w:val="20"/>
      <w:kern w:val="52"/>
      <w:sz w:val="72"/>
    </w:rPr>
  </w:style>
  <w:style w:type="paragraph" w:customStyle="1" w:styleId="1ff7">
    <w:name w:val="正文文字1"/>
    <w:basedOn w:val="a9"/>
    <w:qFormat/>
    <w:pPr>
      <w:adjustRightInd w:val="0"/>
      <w:snapToGrid w:val="0"/>
      <w:ind w:left="-57" w:right="-57"/>
      <w:jc w:val="center"/>
    </w:pPr>
    <w:rPr>
      <w:snapToGrid w:val="0"/>
      <w:sz w:val="18"/>
      <w:szCs w:val="18"/>
    </w:rPr>
  </w:style>
  <w:style w:type="paragraph" w:customStyle="1" w:styleId="1ff8">
    <w:name w:val="正文缩进1"/>
    <w:basedOn w:val="a8"/>
    <w:qFormat/>
    <w:pPr>
      <w:ind w:firstLineChars="200" w:firstLine="200"/>
    </w:pPr>
    <w:rPr>
      <w:rFonts w:ascii="Times New Roman"/>
      <w:kern w:val="2"/>
      <w:sz w:val="21"/>
    </w:rPr>
  </w:style>
  <w:style w:type="paragraph" w:customStyle="1" w:styleId="1115">
    <w:name w:val="样式 标题 1章标题 1 + 黑色 行距: 1.5 倍行距"/>
    <w:basedOn w:val="11"/>
    <w:qFormat/>
    <w:pPr>
      <w:tabs>
        <w:tab w:val="clear" w:pos="8160"/>
      </w:tabs>
      <w:adjustRightInd/>
      <w:spacing w:before="340" w:afterLines="0" w:after="330" w:line="360" w:lineRule="auto"/>
      <w:jc w:val="both"/>
      <w:textAlignment w:val="auto"/>
    </w:pPr>
    <w:rPr>
      <w:rFonts w:ascii="Times New Roman" w:cs="宋体"/>
      <w:b w:val="0"/>
      <w:color w:val="000000"/>
      <w:sz w:val="36"/>
      <w:szCs w:val="20"/>
    </w:rPr>
  </w:style>
  <w:style w:type="paragraph" w:customStyle="1" w:styleId="CM12">
    <w:name w:val="CM12"/>
    <w:basedOn w:val="Default"/>
    <w:next w:val="Default"/>
    <w:qFormat/>
    <w:pPr>
      <w:spacing w:line="403" w:lineRule="atLeast"/>
    </w:pPr>
    <w:rPr>
      <w:rFonts w:ascii="宋体" w:eastAsia="宋体" w:hAnsi="Times New Roman"/>
      <w:color w:val="auto"/>
    </w:rPr>
  </w:style>
  <w:style w:type="paragraph" w:customStyle="1" w:styleId="afffffffffffc">
    <w:name w:val="正文 + 宋体 小四"/>
    <w:basedOn w:val="a8"/>
    <w:qFormat/>
    <w:pPr>
      <w:adjustRightInd w:val="0"/>
      <w:snapToGrid w:val="0"/>
      <w:spacing w:line="360" w:lineRule="auto"/>
      <w:textAlignment w:val="baseline"/>
    </w:pPr>
    <w:rPr>
      <w:rFonts w:hAnsi="宋体" w:cs="华文行楷"/>
      <w:snapToGrid w:val="0"/>
    </w:rPr>
  </w:style>
  <w:style w:type="paragraph" w:customStyle="1" w:styleId="230">
    <w:name w:val="样式 小四 行距: 固定值 23 磅"/>
    <w:basedOn w:val="a8"/>
    <w:qFormat/>
    <w:rPr>
      <w:rFonts w:ascii="Times New Roman"/>
      <w:kern w:val="2"/>
      <w:sz w:val="28"/>
      <w:szCs w:val="24"/>
    </w:rPr>
  </w:style>
  <w:style w:type="paragraph" w:customStyle="1" w:styleId="TOC11">
    <w:name w:val="TOC 标题1"/>
    <w:basedOn w:val="11"/>
    <w:next w:val="a8"/>
    <w:qFormat/>
    <w:pPr>
      <w:keepLines w:val="0"/>
      <w:widowControl/>
      <w:tabs>
        <w:tab w:val="clear" w:pos="8160"/>
      </w:tabs>
      <w:adjustRightInd/>
      <w:spacing w:before="240" w:afterLines="0" w:after="60"/>
      <w:textAlignment w:val="auto"/>
      <w:outlineLvl w:val="9"/>
    </w:pPr>
    <w:rPr>
      <w:rFonts w:ascii="Cambria" w:hAnsi="Cambria"/>
      <w:kern w:val="32"/>
      <w:szCs w:val="32"/>
      <w:lang w:eastAsia="en-US" w:bidi="en-US"/>
    </w:rPr>
  </w:style>
  <w:style w:type="paragraph" w:customStyle="1" w:styleId="afffffffffffd">
    <w:name w:val="表中"/>
    <w:qFormat/>
    <w:pPr>
      <w:widowControl w:val="0"/>
      <w:snapToGrid w:val="0"/>
      <w:spacing w:line="280" w:lineRule="exact"/>
      <w:jc w:val="both"/>
    </w:pPr>
    <w:rPr>
      <w:rFonts w:ascii="宋体" w:hAnsi="Batang"/>
      <w:sz w:val="18"/>
    </w:rPr>
  </w:style>
  <w:style w:type="paragraph" w:customStyle="1" w:styleId="ParaCharCharCharChar">
    <w:name w:val="默认段落字体 Para Char Char Char Char"/>
    <w:basedOn w:val="a8"/>
    <w:qFormat/>
  </w:style>
  <w:style w:type="paragraph" w:customStyle="1" w:styleId="CharCharCharCharCharCharCharCharCharCharCharCharChar0">
    <w:name w:val="Char Char Char Char Char Char Char Char Char Char Char Char Char"/>
    <w:basedOn w:val="a8"/>
    <w:qFormat/>
    <w:pPr>
      <w:spacing w:line="480" w:lineRule="exact"/>
    </w:pPr>
    <w:rPr>
      <w:rFonts w:ascii="Times New Roman"/>
      <w:kern w:val="2"/>
      <w:sz w:val="21"/>
      <w:szCs w:val="24"/>
    </w:rPr>
  </w:style>
  <w:style w:type="paragraph" w:customStyle="1" w:styleId="afffffffffffe">
    <w:name w:val="自由格式"/>
    <w:basedOn w:val="a8"/>
    <w:qFormat/>
    <w:pPr>
      <w:ind w:firstLineChars="200" w:firstLine="600"/>
    </w:pPr>
    <w:rPr>
      <w:rFonts w:ascii="仿宋_GB2312" w:eastAsia="仿宋_GB2312"/>
      <w:kern w:val="2"/>
      <w:sz w:val="30"/>
      <w:szCs w:val="30"/>
    </w:rPr>
  </w:style>
  <w:style w:type="paragraph" w:customStyle="1" w:styleId="affffffffffff">
    <w:name w:val="??"/>
    <w:qFormat/>
    <w:pPr>
      <w:widowControl w:val="0"/>
      <w:autoSpaceDE w:val="0"/>
      <w:autoSpaceDN w:val="0"/>
      <w:adjustRightInd w:val="0"/>
      <w:spacing w:line="460" w:lineRule="exact"/>
      <w:ind w:firstLine="510"/>
      <w:textAlignment w:val="baseline"/>
    </w:pPr>
    <w:rPr>
      <w:sz w:val="24"/>
    </w:rPr>
  </w:style>
  <w:style w:type="paragraph" w:customStyle="1" w:styleId="Char30">
    <w:name w:val="Char3"/>
    <w:basedOn w:val="a8"/>
    <w:qFormat/>
    <w:pPr>
      <w:widowControl/>
      <w:spacing w:after="160" w:line="240" w:lineRule="exact"/>
      <w:jc w:val="left"/>
    </w:pPr>
    <w:rPr>
      <w:rFonts w:ascii="Verdana" w:eastAsia="仿宋_GB2312" w:hAnsi="Verdana"/>
      <w:lang w:eastAsia="en-US"/>
    </w:rPr>
  </w:style>
  <w:style w:type="paragraph" w:customStyle="1" w:styleId="zg1">
    <w:name w:val="zg1"/>
    <w:basedOn w:val="a8"/>
    <w:qFormat/>
    <w:pPr>
      <w:adjustRightInd w:val="0"/>
      <w:spacing w:line="500" w:lineRule="exact"/>
      <w:ind w:firstLine="200"/>
      <w:textAlignment w:val="baseline"/>
    </w:pPr>
    <w:rPr>
      <w:rFonts w:hAnsi="宋体" w:hint="eastAsia"/>
      <w:kern w:val="2"/>
    </w:rPr>
  </w:style>
  <w:style w:type="paragraph" w:customStyle="1" w:styleId="57">
    <w:name w:val="样式5"/>
    <w:basedOn w:val="42"/>
    <w:qFormat/>
    <w:pPr>
      <w:spacing w:line="240" w:lineRule="auto"/>
    </w:pPr>
    <w:rPr>
      <w:rFonts w:ascii="Times New Roman" w:eastAsia="宋体" w:hAnsi="Times New Roman"/>
      <w:sz w:val="24"/>
      <w:szCs w:val="24"/>
    </w:rPr>
  </w:style>
  <w:style w:type="paragraph" w:customStyle="1" w:styleId="1CharChar4">
    <w:name w:val="目录 1 Char Char"/>
    <w:basedOn w:val="a8"/>
    <w:next w:val="a8"/>
    <w:qFormat/>
    <w:pPr>
      <w:tabs>
        <w:tab w:val="left" w:leader="dot" w:pos="8010"/>
      </w:tabs>
      <w:snapToGrid w:val="0"/>
      <w:spacing w:line="300" w:lineRule="auto"/>
      <w:jc w:val="left"/>
    </w:pPr>
    <w:rPr>
      <w:rFonts w:ascii="Times New Roman" w:eastAsia="黑体"/>
      <w:kern w:val="2"/>
      <w:sz w:val="28"/>
    </w:rPr>
  </w:style>
  <w:style w:type="paragraph" w:customStyle="1" w:styleId="84">
    <w:name w:val="河石管道 表头84"/>
    <w:qFormat/>
    <w:pPr>
      <w:spacing w:line="0" w:lineRule="atLeast"/>
      <w:jc w:val="both"/>
    </w:pPr>
    <w:rPr>
      <w:b/>
      <w:bCs/>
      <w:sz w:val="18"/>
    </w:rPr>
  </w:style>
  <w:style w:type="paragraph" w:customStyle="1" w:styleId="2fa">
    <w:name w:val="图表2"/>
    <w:basedOn w:val="a8"/>
    <w:qFormat/>
    <w:pPr>
      <w:widowControl/>
      <w:overflowPunct w:val="0"/>
      <w:autoSpaceDE w:val="0"/>
      <w:autoSpaceDN w:val="0"/>
      <w:adjustRightInd w:val="0"/>
      <w:spacing w:after="60"/>
      <w:jc w:val="center"/>
      <w:textAlignment w:val="baseline"/>
    </w:pPr>
    <w:rPr>
      <w:kern w:val="28"/>
      <w:sz w:val="20"/>
    </w:rPr>
  </w:style>
  <w:style w:type="paragraph" w:customStyle="1" w:styleId="133">
    <w:name w:val="样式 正文首行缩进 + 首行缩进:  1 字符3"/>
    <w:basedOn w:val="affff7"/>
    <w:qFormat/>
    <w:pPr>
      <w:spacing w:after="120" w:line="500" w:lineRule="exact"/>
      <w:ind w:firstLine="200"/>
      <w:textAlignment w:val="center"/>
    </w:pPr>
    <w:rPr>
      <w:rFonts w:hAnsi="宋体" w:cs="宋体"/>
      <w:spacing w:val="0"/>
      <w:szCs w:val="24"/>
    </w:rPr>
  </w:style>
  <w:style w:type="paragraph" w:customStyle="1" w:styleId="InTable">
    <w:name w:val="In Table"/>
    <w:basedOn w:val="a8"/>
    <w:qFormat/>
    <w:pPr>
      <w:tabs>
        <w:tab w:val="left" w:pos="3960"/>
        <w:tab w:val="left" w:pos="5280"/>
      </w:tabs>
      <w:adjustRightInd w:val="0"/>
      <w:snapToGrid w:val="0"/>
      <w:spacing w:before="96" w:after="96" w:line="0" w:lineRule="atLeast"/>
      <w:jc w:val="center"/>
      <w:textAlignment w:val="baseline"/>
    </w:pPr>
    <w:rPr>
      <w:rFonts w:ascii="Tahoma" w:eastAsia="华文中宋" w:hAnsi="Tahoma"/>
      <w:sz w:val="21"/>
    </w:rPr>
  </w:style>
  <w:style w:type="paragraph" w:customStyle="1" w:styleId="2fb">
    <w:name w:val="样式 首行缩进:  2 字符"/>
    <w:basedOn w:val="a8"/>
    <w:qFormat/>
    <w:pPr>
      <w:ind w:firstLineChars="200" w:firstLine="506"/>
    </w:pPr>
    <w:rPr>
      <w:rFonts w:cs="宋体"/>
    </w:rPr>
  </w:style>
  <w:style w:type="paragraph" w:customStyle="1" w:styleId="1-1">
    <w:name w:val="图1-1"/>
    <w:basedOn w:val="affffffffff2"/>
    <w:qFormat/>
    <w:pPr>
      <w:keepNext w:val="0"/>
      <w:keepLines/>
      <w:spacing w:line="240" w:lineRule="auto"/>
    </w:pPr>
    <w:rPr>
      <w:b w:val="0"/>
      <w:spacing w:val="0"/>
      <w:w w:val="100"/>
      <w:sz w:val="21"/>
    </w:rPr>
  </w:style>
  <w:style w:type="paragraph" w:customStyle="1" w:styleId="2fc">
    <w:name w:val="环标2"/>
    <w:basedOn w:val="2"/>
    <w:qFormat/>
    <w:pPr>
      <w:adjustRightInd w:val="0"/>
      <w:spacing w:before="60" w:after="60" w:line="312" w:lineRule="atLeast"/>
      <w:jc w:val="left"/>
      <w:textAlignment w:val="baseline"/>
    </w:pPr>
    <w:rPr>
      <w:rFonts w:ascii="黑体" w:hAnsi="Arial"/>
      <w:kern w:val="0"/>
      <w:sz w:val="28"/>
    </w:rPr>
  </w:style>
  <w:style w:type="paragraph" w:customStyle="1" w:styleId="Charff5">
    <w:name w:val="正文新 Char"/>
    <w:basedOn w:val="a8"/>
    <w:qFormat/>
    <w:pPr>
      <w:spacing w:line="360" w:lineRule="auto"/>
      <w:ind w:firstLineChars="200" w:firstLine="480"/>
    </w:pPr>
    <w:rPr>
      <w:rFonts w:ascii="Times New Roman"/>
      <w:kern w:val="2"/>
    </w:rPr>
  </w:style>
  <w:style w:type="paragraph" w:customStyle="1" w:styleId="Char50">
    <w:name w:val="Char5"/>
    <w:basedOn w:val="a8"/>
    <w:next w:val="a8"/>
    <w:qFormat/>
    <w:pPr>
      <w:spacing w:line="360" w:lineRule="auto"/>
      <w:ind w:firstLineChars="200" w:firstLine="200"/>
    </w:pPr>
  </w:style>
  <w:style w:type="paragraph" w:customStyle="1" w:styleId="MTDisplayEquation">
    <w:name w:val="MTDisplayEquation"/>
    <w:basedOn w:val="a8"/>
    <w:next w:val="a8"/>
    <w:qFormat/>
    <w:pPr>
      <w:tabs>
        <w:tab w:val="center" w:pos="4160"/>
        <w:tab w:val="right" w:pos="8300"/>
      </w:tabs>
      <w:spacing w:line="500" w:lineRule="exact"/>
    </w:pPr>
    <w:rPr>
      <w:rFonts w:hAnsi="宋体"/>
      <w:color w:val="000000"/>
    </w:rPr>
  </w:style>
  <w:style w:type="paragraph" w:customStyle="1" w:styleId="affffffffffff0">
    <w:name w:val="正文图五"/>
    <w:basedOn w:val="a8"/>
    <w:qFormat/>
    <w:pPr>
      <w:adjustRightInd w:val="0"/>
      <w:snapToGrid w:val="0"/>
      <w:jc w:val="center"/>
    </w:pPr>
    <w:rPr>
      <w:rFonts w:ascii="Times New Roman" w:eastAsia="仿宋_GB2312"/>
      <w:snapToGrid w:val="0"/>
      <w:spacing w:val="6"/>
      <w:kern w:val="2"/>
      <w:sz w:val="21"/>
    </w:rPr>
  </w:style>
  <w:style w:type="paragraph" w:customStyle="1" w:styleId="1ff9">
    <w:name w:val="标题样式1"/>
    <w:basedOn w:val="a9"/>
    <w:qFormat/>
    <w:pPr>
      <w:adjustRightInd w:val="0"/>
      <w:snapToGrid w:val="0"/>
      <w:spacing w:after="0" w:line="0" w:lineRule="atLeast"/>
      <w:jc w:val="center"/>
      <w:textAlignment w:val="baseline"/>
    </w:pPr>
    <w:rPr>
      <w:b/>
      <w:bCs/>
      <w:snapToGrid w:val="0"/>
      <w:kern w:val="0"/>
      <w:sz w:val="24"/>
      <w:szCs w:val="20"/>
    </w:rPr>
  </w:style>
  <w:style w:type="paragraph" w:customStyle="1" w:styleId="103">
    <w:name w:val="样式 宋体 10 磅 左"/>
    <w:basedOn w:val="a8"/>
    <w:qFormat/>
    <w:pPr>
      <w:spacing w:line="460" w:lineRule="exact"/>
      <w:ind w:firstLineChars="200" w:firstLine="480"/>
      <w:jc w:val="left"/>
    </w:pPr>
    <w:rPr>
      <w:rFonts w:hAnsi="宋体" w:cs="宋体"/>
    </w:rPr>
  </w:style>
  <w:style w:type="paragraph" w:customStyle="1" w:styleId="mytable">
    <w:name w:val="my table"/>
    <w:basedOn w:val="affffffe"/>
    <w:qFormat/>
    <w:locked/>
    <w:pPr>
      <w:widowControl w:val="0"/>
      <w:spacing w:before="0" w:after="0"/>
      <w:jc w:val="both"/>
      <w:textAlignment w:val="auto"/>
    </w:pPr>
    <w:rPr>
      <w:kern w:val="2"/>
      <w:szCs w:val="24"/>
    </w:rPr>
  </w:style>
  <w:style w:type="paragraph" w:customStyle="1" w:styleId="4f0">
    <w:name w:val="标题4"/>
    <w:basedOn w:val="a8"/>
    <w:qFormat/>
    <w:pPr>
      <w:spacing w:beforeLines="50" w:before="156" w:afterLines="50" w:after="156"/>
      <w:jc w:val="left"/>
      <w:outlineLvl w:val="3"/>
    </w:pPr>
    <w:rPr>
      <w:rFonts w:ascii="Times New Roman"/>
      <w:b/>
      <w:kern w:val="2"/>
      <w:szCs w:val="24"/>
    </w:rPr>
  </w:style>
  <w:style w:type="paragraph" w:customStyle="1" w:styleId="affffffffffff1">
    <w:name w:val="段标题"/>
    <w:basedOn w:val="a8"/>
    <w:next w:val="a8"/>
    <w:qFormat/>
    <w:pPr>
      <w:ind w:firstLineChars="200" w:firstLine="200"/>
      <w:jc w:val="left"/>
      <w:outlineLvl w:val="2"/>
    </w:pPr>
    <w:rPr>
      <w:rFonts w:hAnsi="宋体"/>
      <w:bCs/>
      <w:sz w:val="28"/>
      <w:szCs w:val="28"/>
    </w:rPr>
  </w:style>
  <w:style w:type="paragraph" w:customStyle="1" w:styleId="CharCharCharCharCharCharCharCharCharCharCharCharCharCharCharChar">
    <w:name w:val="Char Char Char Char Char Char Char Char Char Char Char Char Char Char Char Char"/>
    <w:basedOn w:val="a8"/>
    <w:qFormat/>
    <w:pPr>
      <w:spacing w:line="480" w:lineRule="exact"/>
    </w:pPr>
    <w:rPr>
      <w:rFonts w:ascii="Times New Roman"/>
      <w:kern w:val="2"/>
      <w:sz w:val="21"/>
      <w:szCs w:val="24"/>
    </w:rPr>
  </w:style>
  <w:style w:type="paragraph" w:customStyle="1" w:styleId="CharCharCharCharCharCharCharCharCharCharCharChar">
    <w:name w:val="Char Char Char Char Char Char Char Char Char Char Char Char"/>
    <w:basedOn w:val="a8"/>
    <w:qFormat/>
    <w:pPr>
      <w:spacing w:line="480" w:lineRule="exact"/>
    </w:pPr>
    <w:rPr>
      <w:rFonts w:ascii="Times New Roman"/>
      <w:kern w:val="2"/>
      <w:sz w:val="21"/>
      <w:szCs w:val="24"/>
    </w:rPr>
  </w:style>
  <w:style w:type="paragraph" w:customStyle="1" w:styleId="xl64">
    <w:name w:val="xl64"/>
    <w:basedOn w:val="a8"/>
    <w:qFormat/>
    <w:pPr>
      <w:widowControl/>
      <w:pBdr>
        <w:left w:val="single" w:sz="4" w:space="0" w:color="auto"/>
        <w:bottom w:val="single" w:sz="4" w:space="0" w:color="auto"/>
        <w:right w:val="single" w:sz="8" w:space="0" w:color="auto"/>
      </w:pBdr>
      <w:spacing w:before="100" w:beforeAutospacing="1" w:after="100" w:afterAutospacing="1"/>
      <w:jc w:val="left"/>
      <w:textAlignment w:val="center"/>
    </w:pPr>
    <w:rPr>
      <w:rFonts w:ascii="Arial Unicode MS" w:eastAsia="Arial Unicode MS" w:hAnsi="Arial Unicode MS"/>
      <w:color w:val="000000"/>
    </w:rPr>
  </w:style>
  <w:style w:type="paragraph" w:customStyle="1" w:styleId="xl57">
    <w:name w:val="xl57"/>
    <w:basedOn w:val="a8"/>
    <w:qFormat/>
    <w:pPr>
      <w:widowControl/>
      <w:pBdr>
        <w:top w:val="single" w:sz="8"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color w:val="000000"/>
      <w:szCs w:val="21"/>
    </w:rPr>
  </w:style>
  <w:style w:type="paragraph" w:customStyle="1" w:styleId="-0">
    <w:name w:val="表格-内容"/>
    <w:basedOn w:val="a8"/>
    <w:qFormat/>
    <w:pPr>
      <w:jc w:val="center"/>
    </w:pPr>
    <w:rPr>
      <w:rFonts w:hAnsi="宋体"/>
      <w:szCs w:val="21"/>
    </w:rPr>
  </w:style>
  <w:style w:type="paragraph" w:customStyle="1" w:styleId="58">
    <w:name w:val="表内5"/>
    <w:basedOn w:val="50"/>
    <w:qFormat/>
    <w:pPr>
      <w:keepNext w:val="0"/>
      <w:keepLines w:val="0"/>
      <w:tabs>
        <w:tab w:val="clear" w:pos="1008"/>
        <w:tab w:val="left" w:pos="4305"/>
      </w:tabs>
      <w:snapToGrid w:val="0"/>
      <w:spacing w:line="240" w:lineRule="auto"/>
      <w:ind w:leftChars="-51" w:left="0" w:rightChars="-51" w:right="-107" w:hangingChars="51" w:hanging="107"/>
      <w:jc w:val="center"/>
      <w:textAlignment w:val="auto"/>
      <w:outlineLvl w:val="9"/>
    </w:pPr>
    <w:rPr>
      <w:rFonts w:ascii="Times New Roman"/>
      <w:kern w:val="2"/>
      <w:sz w:val="21"/>
      <w:szCs w:val="21"/>
    </w:rPr>
  </w:style>
  <w:style w:type="paragraph" w:customStyle="1" w:styleId="220">
    <w:name w:val="正文文本缩进 22"/>
    <w:basedOn w:val="a8"/>
    <w:qFormat/>
    <w:pPr>
      <w:adjustRightInd w:val="0"/>
      <w:spacing w:line="360" w:lineRule="auto"/>
      <w:ind w:firstLine="510"/>
      <w:textAlignment w:val="baseline"/>
    </w:pPr>
    <w:rPr>
      <w:rFonts w:hAnsi="宋体"/>
      <w:sz w:val="28"/>
    </w:rPr>
  </w:style>
  <w:style w:type="paragraph" w:customStyle="1" w:styleId="0505">
    <w:name w:val="样式 表头 + 段前: 0.5 行 段后: 0.5 行"/>
    <w:basedOn w:val="a8"/>
    <w:qFormat/>
    <w:pPr>
      <w:autoSpaceDE w:val="0"/>
      <w:autoSpaceDN w:val="0"/>
      <w:adjustRightInd w:val="0"/>
      <w:spacing w:before="100" w:beforeAutospacing="1" w:after="100" w:afterAutospacing="1" w:line="480" w:lineRule="exact"/>
      <w:jc w:val="center"/>
    </w:pPr>
    <w:rPr>
      <w:rFonts w:ascii="Times New Roman"/>
      <w:b/>
      <w:bCs/>
      <w:kern w:val="2"/>
      <w:lang w:val="zh-CN"/>
    </w:rPr>
  </w:style>
  <w:style w:type="paragraph" w:customStyle="1" w:styleId="affffffffffff2">
    <w:name w:val="图表内容"/>
    <w:basedOn w:val="a8"/>
    <w:next w:val="a9"/>
    <w:qFormat/>
    <w:pPr>
      <w:adjustRightInd w:val="0"/>
      <w:jc w:val="center"/>
      <w:textAlignment w:val="baseline"/>
    </w:pPr>
    <w:rPr>
      <w:kern w:val="2"/>
      <w:sz w:val="21"/>
    </w:rPr>
  </w:style>
  <w:style w:type="paragraph" w:customStyle="1" w:styleId="151">
    <w:name w:val="样式 宋体 小四 居中 行距: 1.5 倍行距"/>
    <w:basedOn w:val="a8"/>
    <w:qFormat/>
    <w:pPr>
      <w:jc w:val="center"/>
    </w:pPr>
    <w:rPr>
      <w:kern w:val="2"/>
    </w:rPr>
  </w:style>
  <w:style w:type="paragraph" w:customStyle="1" w:styleId="4143101">
    <w:name w:val="样式 标题 4标题 14 + 加粗 无下划线 自动设置 段前: 3 磅 段后: 10 磅1"/>
    <w:basedOn w:val="42"/>
    <w:qFormat/>
    <w:pPr>
      <w:tabs>
        <w:tab w:val="left" w:pos="864"/>
      </w:tabs>
      <w:snapToGrid w:val="0"/>
      <w:spacing w:line="240" w:lineRule="auto"/>
      <w:ind w:left="864" w:hanging="864"/>
    </w:pPr>
    <w:rPr>
      <w:rFonts w:ascii="Times New Roman" w:eastAsia="宋体" w:hAnsi="Times New Roman"/>
      <w:color w:val="000000"/>
      <w:sz w:val="24"/>
      <w:szCs w:val="20"/>
    </w:rPr>
  </w:style>
  <w:style w:type="paragraph" w:customStyle="1" w:styleId="5CharChar">
    <w:name w:val="目录 5 Char Char"/>
    <w:basedOn w:val="a8"/>
    <w:next w:val="a8"/>
    <w:qFormat/>
    <w:pPr>
      <w:spacing w:line="351" w:lineRule="atLeast"/>
      <w:ind w:left="839" w:firstLine="419"/>
      <w:jc w:val="left"/>
    </w:pPr>
    <w:rPr>
      <w:rFonts w:ascii="Times New Roman"/>
      <w:kern w:val="2"/>
      <w:sz w:val="21"/>
    </w:rPr>
  </w:style>
  <w:style w:type="paragraph" w:customStyle="1" w:styleId="font13">
    <w:name w:val="font13"/>
    <w:basedOn w:val="a8"/>
    <w:qFormat/>
    <w:pPr>
      <w:widowControl/>
      <w:spacing w:before="100" w:beforeAutospacing="1" w:after="100" w:afterAutospacing="1" w:line="360" w:lineRule="auto"/>
      <w:ind w:firstLineChars="200" w:firstLine="200"/>
      <w:jc w:val="left"/>
    </w:pPr>
    <w:rPr>
      <w:rFonts w:eastAsia="Arial Unicode MS"/>
      <w:i/>
      <w:iCs/>
    </w:rPr>
  </w:style>
  <w:style w:type="paragraph" w:customStyle="1" w:styleId="3111h3H3level3PIM3Level3HeadHeading3-ol">
    <w:name w:val="样式 标题 3条标题1.1.1h3H3level_3PIM 3Level 3 HeadHeading 3 - ol..."/>
    <w:basedOn w:val="31"/>
    <w:qFormat/>
    <w:pPr>
      <w:spacing w:beforeLines="100" w:before="312" w:after="0" w:line="360" w:lineRule="auto"/>
    </w:pPr>
    <w:rPr>
      <w:rFonts w:hAnsi="宋体" w:cs="宋体"/>
      <w:b w:val="0"/>
      <w:color w:val="0000FF"/>
      <w:sz w:val="28"/>
      <w:szCs w:val="20"/>
    </w:rPr>
  </w:style>
  <w:style w:type="paragraph" w:customStyle="1" w:styleId="1ffa">
    <w:name w:val="表文1"/>
    <w:basedOn w:val="affffffffff0"/>
    <w:qFormat/>
    <w:pPr>
      <w:spacing w:line="500" w:lineRule="exact"/>
      <w:jc w:val="both"/>
    </w:pPr>
    <w:rPr>
      <w:rFonts w:ascii="CG Times" w:hAnsi="CG Times"/>
      <w:snapToGrid/>
      <w:kern w:val="2"/>
    </w:rPr>
  </w:style>
  <w:style w:type="paragraph" w:customStyle="1" w:styleId="affffffffffff3">
    <w:name w:val="+列表编号"/>
    <w:basedOn w:val="af7"/>
    <w:qFormat/>
    <w:pPr>
      <w:widowControl w:val="0"/>
      <w:tabs>
        <w:tab w:val="clear" w:pos="720"/>
        <w:tab w:val="center" w:pos="4320"/>
        <w:tab w:val="right" w:pos="8640"/>
      </w:tabs>
      <w:spacing w:beforeLines="50" w:before="156" w:line="360" w:lineRule="auto"/>
      <w:ind w:left="0" w:firstLineChars="0" w:firstLine="0"/>
      <w:jc w:val="center"/>
    </w:pPr>
    <w:rPr>
      <w:rFonts w:ascii="Times New Roman" w:hAnsi="Times New Roman" w:cs="Times New Roman"/>
      <w:b/>
      <w:bCs w:val="0"/>
      <w:spacing w:val="8"/>
      <w:kern w:val="2"/>
      <w:szCs w:val="28"/>
    </w:rPr>
  </w:style>
  <w:style w:type="paragraph" w:customStyle="1" w:styleId="CharChar3Char">
    <w:name w:val="Char Char3 Char"/>
    <w:basedOn w:val="a8"/>
    <w:next w:val="a8"/>
    <w:qFormat/>
    <w:pPr>
      <w:spacing w:line="360" w:lineRule="auto"/>
      <w:ind w:firstLineChars="200" w:firstLine="200"/>
      <w:jc w:val="center"/>
    </w:pPr>
    <w:rPr>
      <w:rFonts w:ascii="Times New Roman" w:eastAsia="黑体"/>
      <w:kern w:val="2"/>
      <w:sz w:val="21"/>
    </w:rPr>
  </w:style>
  <w:style w:type="paragraph" w:customStyle="1" w:styleId="xl25">
    <w:name w:val="xl25"/>
    <w:basedOn w:val="a8"/>
    <w:qFormat/>
    <w:pPr>
      <w:widowControl/>
      <w:pBdr>
        <w:bottom w:val="single" w:sz="4" w:space="0" w:color="auto"/>
        <w:right w:val="single" w:sz="4" w:space="0" w:color="auto"/>
      </w:pBdr>
      <w:spacing w:before="100" w:beforeAutospacing="1" w:after="100" w:afterAutospacing="1"/>
      <w:textAlignment w:val="top"/>
    </w:pPr>
    <w:rPr>
      <w:rFonts w:eastAsia="Arial Unicode MS"/>
      <w:sz w:val="20"/>
    </w:rPr>
  </w:style>
  <w:style w:type="paragraph" w:customStyle="1" w:styleId="CM67">
    <w:name w:val="CM67"/>
    <w:basedOn w:val="Default"/>
    <w:next w:val="Default"/>
    <w:qFormat/>
    <w:pPr>
      <w:spacing w:line="400" w:lineRule="atLeast"/>
    </w:pPr>
    <w:rPr>
      <w:rFonts w:ascii="宋体" w:eastAsia="宋体" w:hAnsi="Times New Roman"/>
      <w:color w:val="auto"/>
    </w:rPr>
  </w:style>
  <w:style w:type="paragraph" w:customStyle="1" w:styleId="Char1CharCharChar">
    <w:name w:val="Char1 Char Char Char"/>
    <w:basedOn w:val="a8"/>
    <w:qFormat/>
  </w:style>
  <w:style w:type="paragraph" w:customStyle="1" w:styleId="180">
    <w:name w:val="18"/>
    <w:basedOn w:val="a8"/>
    <w:qFormat/>
    <w:pPr>
      <w:widowControl/>
      <w:snapToGrid w:val="0"/>
      <w:spacing w:before="120" w:after="100" w:afterAutospacing="1" w:line="240" w:lineRule="atLeast"/>
      <w:jc w:val="center"/>
    </w:pPr>
    <w:rPr>
      <w:b/>
      <w:bCs/>
    </w:rPr>
  </w:style>
  <w:style w:type="paragraph" w:customStyle="1" w:styleId="m3">
    <w:name w:val="m3"/>
    <w:basedOn w:val="a8"/>
    <w:qFormat/>
    <w:pPr>
      <w:widowControl/>
      <w:overflowPunct w:val="0"/>
      <w:autoSpaceDE w:val="0"/>
      <w:autoSpaceDN w:val="0"/>
      <w:adjustRightInd w:val="0"/>
      <w:spacing w:before="120" w:line="312" w:lineRule="auto"/>
      <w:textAlignment w:val="baseline"/>
    </w:pPr>
    <w:rPr>
      <w:rFonts w:ascii="仿宋体" w:eastAsia="仿宋体"/>
      <w:spacing w:val="-14"/>
      <w:sz w:val="28"/>
    </w:rPr>
  </w:style>
  <w:style w:type="paragraph" w:customStyle="1" w:styleId="affffffffffff4">
    <w:name w:val="表标题"/>
    <w:basedOn w:val="a8"/>
    <w:qFormat/>
    <w:pPr>
      <w:autoSpaceDE w:val="0"/>
      <w:autoSpaceDN w:val="0"/>
      <w:adjustRightInd w:val="0"/>
      <w:snapToGrid w:val="0"/>
      <w:ind w:left="198" w:firstLineChars="200" w:firstLine="480"/>
      <w:jc w:val="center"/>
    </w:pPr>
    <w:rPr>
      <w:rFonts w:ascii="黑体" w:eastAsia="黑体" w:hAnsi="宋体"/>
      <w:bCs/>
    </w:rPr>
  </w:style>
  <w:style w:type="paragraph" w:customStyle="1" w:styleId="affffffffffff5">
    <w:name w:val="图号"/>
    <w:basedOn w:val="a8"/>
    <w:qFormat/>
    <w:pPr>
      <w:spacing w:line="520" w:lineRule="exact"/>
      <w:jc w:val="center"/>
    </w:pPr>
    <w:rPr>
      <w:rFonts w:ascii="Times New Roman" w:eastAsia="黑体"/>
      <w:snapToGrid w:val="0"/>
      <w:color w:val="000000"/>
      <w:szCs w:val="24"/>
    </w:rPr>
  </w:style>
  <w:style w:type="paragraph" w:customStyle="1" w:styleId="affffffffffff6">
    <w:name w:val="正文样式一"/>
    <w:basedOn w:val="a8"/>
    <w:qFormat/>
    <w:pPr>
      <w:adjustRightInd w:val="0"/>
      <w:spacing w:line="400" w:lineRule="atLeast"/>
      <w:ind w:firstLine="510"/>
      <w:textAlignment w:val="baseline"/>
    </w:pPr>
  </w:style>
  <w:style w:type="paragraph" w:customStyle="1" w:styleId="CharCharCharCharCharChar1Char">
    <w:name w:val="Char Char Char Char Char Char1 Char"/>
    <w:basedOn w:val="a8"/>
    <w:qFormat/>
    <w:pPr>
      <w:spacing w:line="360" w:lineRule="auto"/>
      <w:ind w:firstLineChars="200" w:firstLine="200"/>
    </w:pPr>
    <w:rPr>
      <w:rFonts w:hAnsi="宋体" w:cs="宋体"/>
      <w:kern w:val="2"/>
      <w:szCs w:val="24"/>
    </w:rPr>
  </w:style>
  <w:style w:type="paragraph" w:customStyle="1" w:styleId="cd1">
    <w:name w:val="cd1"/>
    <w:basedOn w:val="a8"/>
    <w:qFormat/>
    <w:pPr>
      <w:spacing w:before="120"/>
      <w:jc w:val="center"/>
    </w:pPr>
    <w:rPr>
      <w:rFonts w:eastAsia="黑体"/>
      <w:b/>
    </w:rPr>
  </w:style>
  <w:style w:type="paragraph" w:customStyle="1" w:styleId="affffffffffff7">
    <w:name w:val="支标题 a)"/>
    <w:basedOn w:val="a8"/>
    <w:next w:val="a8"/>
    <w:qFormat/>
    <w:pPr>
      <w:tabs>
        <w:tab w:val="left" w:pos="510"/>
        <w:tab w:val="left" w:pos="1097"/>
      </w:tabs>
      <w:autoSpaceDE w:val="0"/>
      <w:autoSpaceDN w:val="0"/>
      <w:adjustRightInd w:val="0"/>
      <w:spacing w:before="120" w:after="120" w:line="460" w:lineRule="exact"/>
      <w:ind w:left="284" w:firstLine="453"/>
      <w:jc w:val="left"/>
    </w:pPr>
    <w:rPr>
      <w:rFonts w:ascii="ZapfDingbats BT" w:hAnsi="ZapfDingbats BT"/>
      <w:sz w:val="23"/>
    </w:rPr>
  </w:style>
  <w:style w:type="paragraph" w:customStyle="1" w:styleId="GB231206">
    <w:name w:val="样式 (西文) 宋体 (中文) 仿宋_GB2312 五号 黑色 居中 首行缩进:  0 厘米 行距: 单倍行距6"/>
    <w:basedOn w:val="a8"/>
    <w:qFormat/>
    <w:pPr>
      <w:widowControl/>
      <w:jc w:val="center"/>
    </w:pPr>
    <w:rPr>
      <w:rFonts w:hAnsi="宋体"/>
      <w:color w:val="000000"/>
      <w:sz w:val="21"/>
    </w:rPr>
  </w:style>
  <w:style w:type="paragraph" w:customStyle="1" w:styleId="2SLCON">
    <w:name w:val="正文 首行缩进:  2 字符 SL CON"/>
    <w:basedOn w:val="a8"/>
    <w:qFormat/>
    <w:pPr>
      <w:widowControl/>
      <w:tabs>
        <w:tab w:val="left" w:pos="377"/>
      </w:tabs>
      <w:spacing w:line="360" w:lineRule="auto"/>
      <w:ind w:firstLineChars="200" w:firstLine="200"/>
    </w:pPr>
    <w:rPr>
      <w:rFonts w:cs="宋体"/>
    </w:rPr>
  </w:style>
  <w:style w:type="paragraph" w:customStyle="1" w:styleId="affffffffffff8">
    <w:name w:val="燕山正文"/>
    <w:basedOn w:val="a8"/>
    <w:qFormat/>
    <w:pPr>
      <w:tabs>
        <w:tab w:val="left" w:pos="4680"/>
      </w:tabs>
      <w:adjustRightInd w:val="0"/>
      <w:snapToGrid w:val="0"/>
      <w:spacing w:line="360" w:lineRule="auto"/>
      <w:ind w:firstLineChars="200" w:firstLine="520"/>
      <w:jc w:val="left"/>
    </w:pPr>
    <w:rPr>
      <w:rFonts w:hAnsi="Arial"/>
      <w:snapToGrid w:val="0"/>
      <w:spacing w:val="10"/>
    </w:rPr>
  </w:style>
  <w:style w:type="paragraph" w:customStyle="1" w:styleId="affffffffffff9">
    <w:name w:val="表中文字++++++++"/>
    <w:basedOn w:val="a8"/>
    <w:qFormat/>
    <w:pPr>
      <w:spacing w:line="240" w:lineRule="exact"/>
      <w:jc w:val="center"/>
    </w:pPr>
    <w:rPr>
      <w:szCs w:val="21"/>
    </w:rPr>
  </w:style>
  <w:style w:type="paragraph" w:customStyle="1" w:styleId="affffffffffffa">
    <w:name w:val="a封面－项目名称"/>
    <w:basedOn w:val="a8"/>
    <w:next w:val="a8"/>
    <w:qFormat/>
    <w:pPr>
      <w:spacing w:beforeLines="50" w:before="156" w:afterLines="50" w:after="156" w:line="360" w:lineRule="auto"/>
      <w:jc w:val="center"/>
    </w:pPr>
    <w:rPr>
      <w:rFonts w:ascii="Times New Roman" w:eastAsia="黑体"/>
      <w:b/>
      <w:kern w:val="2"/>
      <w:sz w:val="48"/>
      <w:szCs w:val="24"/>
    </w:rPr>
  </w:style>
  <w:style w:type="paragraph" w:customStyle="1" w:styleId="font10">
    <w:name w:val="font10"/>
    <w:basedOn w:val="a8"/>
    <w:qFormat/>
    <w:pPr>
      <w:widowControl/>
      <w:spacing w:before="100" w:beforeAutospacing="1" w:after="100" w:afterAutospacing="1"/>
      <w:jc w:val="left"/>
    </w:pPr>
    <w:rPr>
      <w:rFonts w:hAnsi="宋体" w:hint="eastAsia"/>
      <w:color w:val="000000"/>
      <w:sz w:val="20"/>
    </w:rPr>
  </w:style>
  <w:style w:type="paragraph" w:customStyle="1" w:styleId="1ffb">
    <w:name w:val="纯文本1"/>
    <w:basedOn w:val="a8"/>
    <w:qFormat/>
    <w:pPr>
      <w:adjustRightInd w:val="0"/>
      <w:textAlignment w:val="baseline"/>
    </w:pPr>
    <w:rPr>
      <w:rFonts w:hAnsi="Courier New"/>
    </w:rPr>
  </w:style>
  <w:style w:type="paragraph" w:customStyle="1" w:styleId="1ffc">
    <w:name w:val="图表1"/>
    <w:basedOn w:val="a8"/>
    <w:qFormat/>
    <w:pPr>
      <w:widowControl/>
      <w:overflowPunct w:val="0"/>
      <w:autoSpaceDE w:val="0"/>
      <w:autoSpaceDN w:val="0"/>
      <w:adjustRightInd w:val="0"/>
      <w:spacing w:before="60" w:after="60"/>
      <w:jc w:val="center"/>
      <w:textAlignment w:val="baseline"/>
    </w:pPr>
    <w:rPr>
      <w:kern w:val="28"/>
      <w:sz w:val="20"/>
    </w:rPr>
  </w:style>
  <w:style w:type="paragraph" w:customStyle="1" w:styleId="59">
    <w:name w:val="表题5"/>
    <w:basedOn w:val="a8"/>
    <w:qFormat/>
    <w:pPr>
      <w:adjustRightInd w:val="0"/>
      <w:snapToGrid w:val="0"/>
      <w:spacing w:before="180" w:after="60"/>
      <w:jc w:val="center"/>
    </w:pPr>
    <w:rPr>
      <w:rFonts w:ascii="Times New Roman"/>
      <w:b/>
      <w:sz w:val="21"/>
    </w:rPr>
  </w:style>
  <w:style w:type="paragraph" w:customStyle="1" w:styleId="nw">
    <w:name w:val="nw"/>
    <w:basedOn w:val="a8"/>
    <w:qFormat/>
    <w:pPr>
      <w:widowControl/>
      <w:adjustRightInd w:val="0"/>
      <w:spacing w:before="100" w:after="100"/>
      <w:jc w:val="left"/>
      <w:textAlignment w:val="baseline"/>
    </w:pPr>
    <w:rPr>
      <w:rFonts w:hAnsi="宋体"/>
      <w:color w:val="000000"/>
      <w:sz w:val="21"/>
    </w:rPr>
  </w:style>
  <w:style w:type="paragraph" w:customStyle="1" w:styleId="affffffffffffb">
    <w:name w:val="表头名称"/>
    <w:basedOn w:val="aa"/>
    <w:qFormat/>
    <w:pPr>
      <w:adjustRightInd w:val="0"/>
      <w:spacing w:beforeLines="50" w:before="156" w:line="360" w:lineRule="auto"/>
      <w:ind w:firstLine="0"/>
    </w:pPr>
    <w:rPr>
      <w:rFonts w:ascii="黑体" w:eastAsia="黑体"/>
      <w:kern w:val="0"/>
      <w:szCs w:val="20"/>
    </w:rPr>
  </w:style>
  <w:style w:type="paragraph" w:customStyle="1" w:styleId="affffffffffffc">
    <w:name w:val="图名"/>
    <w:basedOn w:val="a8"/>
    <w:qFormat/>
    <w:pPr>
      <w:spacing w:line="480" w:lineRule="exact"/>
      <w:jc w:val="center"/>
    </w:pPr>
    <w:rPr>
      <w:rFonts w:ascii="Times New Roman"/>
      <w:spacing w:val="2"/>
      <w:sz w:val="28"/>
    </w:rPr>
  </w:style>
  <w:style w:type="paragraph" w:customStyle="1" w:styleId="affffffffffffd">
    <w:name w:val="表"/>
    <w:basedOn w:val="a8"/>
    <w:next w:val="a8"/>
    <w:qFormat/>
    <w:pPr>
      <w:adjustRightInd w:val="0"/>
      <w:spacing w:before="120"/>
      <w:jc w:val="center"/>
      <w:textAlignment w:val="baseline"/>
    </w:pPr>
  </w:style>
  <w:style w:type="paragraph" w:customStyle="1" w:styleId="affffffffffffe">
    <w:name w:val="表标"/>
    <w:next w:val="a8"/>
    <w:qFormat/>
    <w:pPr>
      <w:tabs>
        <w:tab w:val="left" w:pos="8207"/>
      </w:tabs>
      <w:adjustRightInd w:val="0"/>
      <w:snapToGrid w:val="0"/>
      <w:spacing w:before="120" w:line="312" w:lineRule="auto"/>
      <w:jc w:val="center"/>
      <w:textAlignment w:val="baseline"/>
    </w:pPr>
    <w:rPr>
      <w:rFonts w:eastAsia="黑体"/>
      <w:kern w:val="2"/>
      <w:sz w:val="24"/>
    </w:rPr>
  </w:style>
  <w:style w:type="paragraph" w:customStyle="1" w:styleId="CharCharCharCharCharCharCharCharCharChar">
    <w:name w:val="Char Char Char Char Char Char Char Char Char Char"/>
    <w:basedOn w:val="a8"/>
    <w:semiHidden/>
    <w:qFormat/>
    <w:pPr>
      <w:snapToGrid w:val="0"/>
      <w:spacing w:line="440" w:lineRule="atLeast"/>
    </w:pPr>
    <w:rPr>
      <w:kern w:val="2"/>
      <w:szCs w:val="24"/>
    </w:rPr>
  </w:style>
  <w:style w:type="paragraph" w:customStyle="1" w:styleId="4CharChar1">
    <w:name w:val="目录 4 Char Char"/>
    <w:basedOn w:val="a8"/>
    <w:next w:val="a8"/>
    <w:qFormat/>
    <w:pPr>
      <w:spacing w:line="351" w:lineRule="atLeast"/>
      <w:ind w:left="629" w:firstLine="419"/>
      <w:jc w:val="left"/>
    </w:pPr>
    <w:rPr>
      <w:rFonts w:ascii="Times New Roman"/>
      <w:kern w:val="2"/>
      <w:sz w:val="21"/>
    </w:rPr>
  </w:style>
  <w:style w:type="paragraph" w:customStyle="1" w:styleId="-1">
    <w:name w:val="可研-正文"/>
    <w:basedOn w:val="a8"/>
    <w:qFormat/>
    <w:pPr>
      <w:widowControl/>
      <w:spacing w:line="520" w:lineRule="exact"/>
      <w:ind w:firstLineChars="200" w:firstLine="200"/>
    </w:pPr>
  </w:style>
  <w:style w:type="paragraph" w:customStyle="1" w:styleId="t12">
    <w:name w:val="t12"/>
    <w:basedOn w:val="a8"/>
    <w:qFormat/>
    <w:pPr>
      <w:widowControl/>
      <w:spacing w:before="100" w:beforeAutospacing="1" w:after="100" w:afterAutospacing="1"/>
      <w:jc w:val="left"/>
    </w:pPr>
    <w:rPr>
      <w:rFonts w:hAnsi="宋体" w:cs="宋体"/>
    </w:rPr>
  </w:style>
  <w:style w:type="paragraph" w:customStyle="1" w:styleId="Qzy1">
    <w:name w:val="Qzy样式1"/>
    <w:basedOn w:val="11"/>
    <w:qFormat/>
    <w:pPr>
      <w:keepNext w:val="0"/>
      <w:widowControl/>
      <w:tabs>
        <w:tab w:val="clear" w:pos="8160"/>
      </w:tabs>
      <w:adjustRightInd/>
      <w:spacing w:before="0" w:afterLines="0" w:after="0" w:line="240" w:lineRule="atLeast"/>
      <w:jc w:val="both"/>
      <w:textAlignment w:val="auto"/>
    </w:pPr>
    <w:rPr>
      <w:bCs w:val="0"/>
      <w:sz w:val="36"/>
      <w:szCs w:val="20"/>
    </w:rPr>
  </w:style>
  <w:style w:type="paragraph" w:customStyle="1" w:styleId="-2">
    <w:name w:val="可研-节标题"/>
    <w:next w:val="-1"/>
    <w:qFormat/>
    <w:pPr>
      <w:spacing w:line="360" w:lineRule="auto"/>
      <w:outlineLvl w:val="1"/>
    </w:pPr>
    <w:rPr>
      <w:b/>
      <w:sz w:val="28"/>
      <w:szCs w:val="30"/>
    </w:rPr>
  </w:style>
  <w:style w:type="paragraph" w:customStyle="1" w:styleId="113">
    <w:name w:val="表格内字体11"/>
    <w:basedOn w:val="a8"/>
    <w:qFormat/>
    <w:pPr>
      <w:jc w:val="center"/>
    </w:pPr>
    <w:rPr>
      <w:rFonts w:cs="宋体"/>
      <w:kern w:val="2"/>
      <w:sz w:val="21"/>
    </w:rPr>
  </w:style>
  <w:style w:type="paragraph" w:customStyle="1" w:styleId="afffffffffffff">
    <w:name w:val="封面标准文稿编辑信息"/>
    <w:qFormat/>
    <w:pPr>
      <w:spacing w:before="180" w:line="180" w:lineRule="exact"/>
      <w:jc w:val="center"/>
    </w:pPr>
    <w:rPr>
      <w:rFonts w:ascii="宋体"/>
      <w:sz w:val="21"/>
    </w:rPr>
  </w:style>
  <w:style w:type="paragraph" w:customStyle="1" w:styleId="17111">
    <w:name w:val="样式 首行缩进:  1.71 字符11"/>
    <w:basedOn w:val="a8"/>
    <w:qFormat/>
    <w:pPr>
      <w:spacing w:line="360" w:lineRule="auto"/>
      <w:ind w:firstLineChars="171" w:firstLine="359"/>
    </w:pPr>
    <w:rPr>
      <w:rFonts w:ascii="Times New Roman" w:cs="宋体"/>
      <w:kern w:val="2"/>
    </w:rPr>
  </w:style>
  <w:style w:type="paragraph" w:customStyle="1" w:styleId="01">
    <w:name w:val="样式_图表_01"/>
    <w:qFormat/>
    <w:pPr>
      <w:keepNext/>
      <w:widowControl w:val="0"/>
      <w:spacing w:beforeLines="50" w:before="156" w:afterLines="100" w:after="312" w:line="240" w:lineRule="atLeast"/>
      <w:jc w:val="center"/>
    </w:pPr>
    <w:rPr>
      <w:rFonts w:ascii="Garamond" w:eastAsia="楷体_GB2312" w:hAnsi="Garamond"/>
      <w:sz w:val="24"/>
      <w:szCs w:val="24"/>
    </w:rPr>
  </w:style>
  <w:style w:type="paragraph" w:customStyle="1" w:styleId="CharChar4CharCharCharChar">
    <w:name w:val="Char Char4 Char Char Char Char"/>
    <w:basedOn w:val="a8"/>
    <w:qFormat/>
    <w:rPr>
      <w:rFonts w:ascii="Times New Roman"/>
      <w:kern w:val="2"/>
      <w:sz w:val="21"/>
      <w:szCs w:val="24"/>
    </w:rPr>
  </w:style>
  <w:style w:type="paragraph" w:customStyle="1" w:styleId="wtext">
    <w:name w:val="wtext"/>
    <w:basedOn w:val="a8"/>
    <w:qFormat/>
    <w:pPr>
      <w:widowControl/>
      <w:spacing w:before="100" w:beforeAutospacing="1" w:after="100" w:afterAutospacing="1"/>
      <w:jc w:val="left"/>
    </w:pPr>
    <w:rPr>
      <w:rFonts w:ascii="Arial Unicode MS" w:eastAsia="Arial Unicode MS" w:hAnsi="Arial Unicode MS" w:cs="Arial Unicode MS"/>
      <w:color w:val="000000"/>
      <w:sz w:val="18"/>
      <w:szCs w:val="18"/>
    </w:rPr>
  </w:style>
  <w:style w:type="paragraph" w:customStyle="1" w:styleId="446626">
    <w:name w:val="样式 标题 4常用标题 4 + 段前: 6 磅 段后: 6 磅 行距: 固定值 26 磅"/>
    <w:basedOn w:val="42"/>
    <w:qFormat/>
    <w:pPr>
      <w:tabs>
        <w:tab w:val="left" w:pos="800"/>
      </w:tabs>
      <w:spacing w:before="120" w:after="120" w:line="520" w:lineRule="exact"/>
    </w:pPr>
    <w:rPr>
      <w:rFonts w:cs="宋体"/>
      <w:b w:val="0"/>
      <w:szCs w:val="20"/>
    </w:rPr>
  </w:style>
  <w:style w:type="paragraph" w:customStyle="1" w:styleId="311">
    <w:name w:val="正文文本 31"/>
    <w:basedOn w:val="a8"/>
    <w:qFormat/>
    <w:pPr>
      <w:spacing w:after="120"/>
    </w:pPr>
    <w:rPr>
      <w:rFonts w:ascii="Times New Roman"/>
      <w:sz w:val="16"/>
      <w:szCs w:val="16"/>
    </w:rPr>
  </w:style>
  <w:style w:type="paragraph" w:customStyle="1" w:styleId="afffffffffffff0">
    <w:name w:val="南郊正文"/>
    <w:basedOn w:val="a8"/>
    <w:next w:val="a8"/>
    <w:qFormat/>
    <w:pPr>
      <w:spacing w:line="360" w:lineRule="auto"/>
      <w:ind w:firstLineChars="200" w:firstLine="482"/>
    </w:pPr>
    <w:rPr>
      <w:rFonts w:hAnsi="宋体"/>
      <w:b/>
      <w:bCs/>
      <w:szCs w:val="24"/>
    </w:rPr>
  </w:style>
  <w:style w:type="paragraph" w:customStyle="1" w:styleId="afffffffffffff1">
    <w:name w:val="表内文字"/>
    <w:basedOn w:val="a8"/>
    <w:qFormat/>
    <w:pPr>
      <w:widowControl/>
      <w:ind w:left="57" w:right="57"/>
      <w:jc w:val="center"/>
    </w:pPr>
    <w:rPr>
      <w:rFonts w:ascii="Times" w:hAnsi="Times" w:cs="Times"/>
      <w:snapToGrid w:val="0"/>
      <w:spacing w:val="-20"/>
      <w:szCs w:val="21"/>
    </w:rPr>
  </w:style>
  <w:style w:type="paragraph" w:customStyle="1" w:styleId="afffffffffffff2">
    <w:name w:val="报告书 标题一"/>
    <w:basedOn w:val="11"/>
    <w:qFormat/>
    <w:pPr>
      <w:keepLines w:val="0"/>
      <w:tabs>
        <w:tab w:val="clear" w:pos="8160"/>
      </w:tabs>
      <w:adjustRightInd/>
      <w:spacing w:before="0" w:afterLines="0" w:after="0" w:line="360" w:lineRule="auto"/>
      <w:jc w:val="both"/>
      <w:textAlignment w:val="auto"/>
    </w:pPr>
    <w:rPr>
      <w:rFonts w:ascii="楷体_GB2312" w:eastAsia="楷体_GB2312" w:hAnsi="宋体" w:cs="宋体"/>
      <w:color w:val="0070C0"/>
      <w:kern w:val="2"/>
      <w:sz w:val="36"/>
      <w:szCs w:val="20"/>
    </w:rPr>
  </w:style>
  <w:style w:type="paragraph" w:customStyle="1" w:styleId="221">
    <w:name w:val="样式 正文 + 首行缩进:  2 字符 + 宋体 四号 首行缩进:  2 字符"/>
    <w:basedOn w:val="2f2"/>
    <w:qFormat/>
    <w:pPr>
      <w:spacing w:line="360" w:lineRule="auto"/>
      <w:ind w:firstLineChars="0" w:firstLine="0"/>
    </w:pPr>
    <w:rPr>
      <w:rFonts w:ascii="Times New Roman"/>
      <w:spacing w:val="0"/>
      <w:kern w:val="2"/>
      <w:szCs w:val="24"/>
    </w:rPr>
  </w:style>
  <w:style w:type="paragraph" w:customStyle="1" w:styleId="4143104">
    <w:name w:val="样式 标题 4标题 14 + 加粗 无下划线 自动设置 段前: 3 磅 段后: 10 磅4"/>
    <w:basedOn w:val="42"/>
    <w:qFormat/>
    <w:pPr>
      <w:tabs>
        <w:tab w:val="left" w:pos="2400"/>
      </w:tabs>
      <w:snapToGrid w:val="0"/>
      <w:spacing w:line="240" w:lineRule="auto"/>
      <w:ind w:left="2400" w:hanging="420"/>
    </w:pPr>
    <w:rPr>
      <w:rFonts w:ascii="Times New Roman" w:eastAsia="宋体" w:hAnsi="Times New Roman"/>
      <w:color w:val="000000"/>
      <w:sz w:val="24"/>
      <w:szCs w:val="20"/>
    </w:rPr>
  </w:style>
  <w:style w:type="paragraph" w:customStyle="1" w:styleId="3">
    <w:name w:val="样式 标题 3 + 宋体 小四 非加粗"/>
    <w:basedOn w:val="31"/>
    <w:qFormat/>
    <w:pPr>
      <w:keepNext w:val="0"/>
      <w:keepLines w:val="0"/>
      <w:numPr>
        <w:ilvl w:val="2"/>
        <w:numId w:val="3"/>
      </w:numPr>
      <w:tabs>
        <w:tab w:val="clear" w:pos="1418"/>
        <w:tab w:val="left" w:pos="360"/>
      </w:tabs>
      <w:adjustRightInd w:val="0"/>
      <w:snapToGrid w:val="0"/>
      <w:ind w:left="0" w:firstLine="0"/>
    </w:pPr>
    <w:rPr>
      <w:rFonts w:ascii="Times New Roman" w:eastAsia="黑体"/>
      <w:b w:val="0"/>
      <w:sz w:val="28"/>
    </w:rPr>
  </w:style>
  <w:style w:type="paragraph" w:customStyle="1" w:styleId="afffffffffffff3">
    <w:name w:val="图题注"/>
    <w:basedOn w:val="af8"/>
    <w:qFormat/>
    <w:pPr>
      <w:snapToGrid w:val="0"/>
      <w:jc w:val="center"/>
    </w:pPr>
    <w:rPr>
      <w:rFonts w:ascii="黑体" w:cs="宋体"/>
      <w:bCs/>
      <w:color w:val="000000"/>
      <w:kern w:val="2"/>
      <w:sz w:val="21"/>
      <w:szCs w:val="21"/>
    </w:rPr>
  </w:style>
  <w:style w:type="paragraph" w:customStyle="1" w:styleId="afffffffffffff4">
    <w:name w:val="我的正文"/>
    <w:basedOn w:val="a8"/>
    <w:qFormat/>
  </w:style>
  <w:style w:type="paragraph" w:customStyle="1" w:styleId="3fa">
    <w:name w:val="页脚3"/>
    <w:basedOn w:val="4d"/>
    <w:qFormat/>
    <w:pPr>
      <w:tabs>
        <w:tab w:val="center" w:pos="4153"/>
        <w:tab w:val="right" w:pos="8306"/>
      </w:tabs>
      <w:spacing w:line="240" w:lineRule="atLeast"/>
    </w:pPr>
    <w:rPr>
      <w:sz w:val="18"/>
    </w:rPr>
  </w:style>
  <w:style w:type="paragraph" w:customStyle="1" w:styleId="CharCharCharCharCharChar1">
    <w:name w:val="Char Char Char Char Char Char"/>
    <w:basedOn w:val="a8"/>
    <w:qFormat/>
  </w:style>
  <w:style w:type="paragraph" w:customStyle="1" w:styleId="0772041">
    <w:name w:val="样式 首行缩进:  0.77 厘米 行距: 固定值 20 磅41"/>
    <w:basedOn w:val="a8"/>
    <w:qFormat/>
    <w:pPr>
      <w:spacing w:line="360" w:lineRule="auto"/>
      <w:ind w:firstLineChars="195" w:firstLine="468"/>
      <w:jc w:val="left"/>
    </w:pPr>
    <w:rPr>
      <w:rFonts w:ascii="Times New Roman"/>
      <w:kern w:val="2"/>
    </w:rPr>
  </w:style>
  <w:style w:type="paragraph" w:customStyle="1" w:styleId="text-1">
    <w:name w:val="text-1"/>
    <w:basedOn w:val="a8"/>
    <w:qFormat/>
    <w:pPr>
      <w:ind w:firstLine="680"/>
    </w:pPr>
    <w:rPr>
      <w:rFonts w:ascii="Times New Roman"/>
      <w:kern w:val="2"/>
      <w:sz w:val="28"/>
    </w:rPr>
  </w:style>
  <w:style w:type="paragraph" w:customStyle="1" w:styleId="6">
    <w:name w:val="表6"/>
    <w:basedOn w:val="a9"/>
    <w:qFormat/>
    <w:pPr>
      <w:numPr>
        <w:numId w:val="12"/>
      </w:numPr>
      <w:tabs>
        <w:tab w:val="clear" w:pos="0"/>
      </w:tabs>
      <w:spacing w:after="0" w:line="360" w:lineRule="auto"/>
      <w:jc w:val="center"/>
    </w:pPr>
    <w:rPr>
      <w:rFonts w:eastAsia="黑体" w:hAnsi="宋体"/>
      <w:kern w:val="0"/>
    </w:rPr>
  </w:style>
  <w:style w:type="paragraph" w:customStyle="1" w:styleId="CharCharff2">
    <w:name w:val="批注框文本 Char Char"/>
    <w:basedOn w:val="a8"/>
    <w:qFormat/>
    <w:rPr>
      <w:rFonts w:ascii="Times New Roman"/>
      <w:kern w:val="2"/>
      <w:sz w:val="18"/>
    </w:rPr>
  </w:style>
  <w:style w:type="paragraph" w:customStyle="1" w:styleId="410">
    <w:name w:val="小4黑居中行1"/>
    <w:qFormat/>
    <w:pPr>
      <w:spacing w:line="360" w:lineRule="auto"/>
      <w:jc w:val="center"/>
    </w:pPr>
    <w:rPr>
      <w:kern w:val="2"/>
      <w:sz w:val="21"/>
    </w:rPr>
  </w:style>
  <w:style w:type="paragraph" w:customStyle="1" w:styleId="077207">
    <w:name w:val="样式 首行缩进:  0.77 厘米 行距: 固定值 20 磅7"/>
    <w:basedOn w:val="a8"/>
    <w:qFormat/>
    <w:pPr>
      <w:spacing w:line="360" w:lineRule="auto"/>
      <w:ind w:firstLineChars="200" w:firstLine="480"/>
    </w:pPr>
    <w:rPr>
      <w:rFonts w:ascii="Times New Roman"/>
      <w:kern w:val="2"/>
      <w:szCs w:val="24"/>
    </w:rPr>
  </w:style>
  <w:style w:type="paragraph" w:customStyle="1" w:styleId="a3">
    <w:name w:val="四级条标题"/>
    <w:basedOn w:val="a2"/>
    <w:next w:val="a8"/>
    <w:qFormat/>
    <w:pPr>
      <w:numPr>
        <w:ilvl w:val="5"/>
      </w:numPr>
      <w:outlineLvl w:val="5"/>
    </w:pPr>
  </w:style>
  <w:style w:type="paragraph" w:customStyle="1" w:styleId="17113">
    <w:name w:val="样式 首行缩进:  1.71 字符13"/>
    <w:basedOn w:val="affff7"/>
    <w:qFormat/>
    <w:pPr>
      <w:spacing w:after="120" w:line="360" w:lineRule="auto"/>
      <w:ind w:firstLineChars="171" w:firstLine="359"/>
    </w:pPr>
    <w:rPr>
      <w:rFonts w:ascii="Times New Roman" w:cs="宋体"/>
      <w:spacing w:val="0"/>
      <w:kern w:val="2"/>
    </w:rPr>
  </w:style>
  <w:style w:type="paragraph" w:customStyle="1" w:styleId="1ffd">
    <w:name w:val="环标1"/>
    <w:basedOn w:val="11"/>
    <w:qFormat/>
    <w:pPr>
      <w:keepNext w:val="0"/>
      <w:keepLines w:val="0"/>
      <w:tabs>
        <w:tab w:val="clear" w:pos="8160"/>
      </w:tabs>
      <w:spacing w:before="0" w:afterLines="0" w:after="120" w:line="312" w:lineRule="atLeast"/>
    </w:pPr>
    <w:rPr>
      <w:rFonts w:hAnsi="Courier New"/>
      <w:b w:val="0"/>
      <w:bCs w:val="0"/>
      <w:szCs w:val="20"/>
    </w:rPr>
  </w:style>
  <w:style w:type="paragraph" w:customStyle="1" w:styleId="11Char11-h11stlevelSectionHeadl1b1">
    <w:name w:val="样式 标题 1标题 1 Char文号1章标题 1-*+h11st levelSection Headl1b1..."/>
    <w:basedOn w:val="11"/>
    <w:next w:val="a8"/>
    <w:qFormat/>
    <w:pPr>
      <w:pageBreakBefore/>
      <w:tabs>
        <w:tab w:val="clear" w:pos="8160"/>
        <w:tab w:val="left" w:pos="425"/>
      </w:tabs>
      <w:adjustRightInd/>
      <w:snapToGrid w:val="0"/>
      <w:spacing w:before="240" w:afterLines="0" w:after="240" w:line="578" w:lineRule="auto"/>
      <w:ind w:left="425" w:hanging="425"/>
      <w:jc w:val="both"/>
      <w:textAlignment w:val="auto"/>
    </w:pPr>
    <w:rPr>
      <w:rFonts w:ascii="Times New Roman"/>
      <w:bCs w:val="0"/>
      <w:sz w:val="36"/>
      <w:szCs w:val="32"/>
    </w:rPr>
  </w:style>
  <w:style w:type="paragraph" w:customStyle="1" w:styleId="CharCharCharChar2">
    <w:name w:val="Char Char Char Char2"/>
    <w:basedOn w:val="a8"/>
    <w:qFormat/>
    <w:pPr>
      <w:widowControl/>
      <w:spacing w:after="160" w:line="240" w:lineRule="exact"/>
      <w:jc w:val="left"/>
    </w:pPr>
    <w:rPr>
      <w:rFonts w:ascii="Verdana" w:hAnsi="Verdana"/>
      <w:sz w:val="20"/>
      <w:lang w:eastAsia="en-US"/>
    </w:rPr>
  </w:style>
  <w:style w:type="paragraph" w:customStyle="1" w:styleId="afffffffffffff5">
    <w:name w:val="图表"/>
    <w:basedOn w:val="a9"/>
    <w:qFormat/>
    <w:pPr>
      <w:adjustRightInd w:val="0"/>
      <w:spacing w:after="0"/>
      <w:jc w:val="center"/>
    </w:pPr>
    <w:rPr>
      <w:rFonts w:ascii="Times New Roman"/>
      <w:spacing w:val="-14"/>
      <w:kern w:val="0"/>
      <w:szCs w:val="21"/>
    </w:rPr>
  </w:style>
  <w:style w:type="paragraph" w:customStyle="1" w:styleId="xl47">
    <w:name w:val="xl47"/>
    <w:basedOn w:val="a8"/>
    <w:qFormat/>
    <w:pPr>
      <w:widowControl/>
      <w:pBdr>
        <w:bottom w:val="single" w:sz="8" w:space="0" w:color="auto"/>
      </w:pBdr>
      <w:spacing w:before="100" w:beforeAutospacing="1" w:after="100" w:afterAutospacing="1"/>
      <w:jc w:val="center"/>
    </w:pPr>
    <w:rPr>
      <w:rFonts w:ascii="Arial Unicode MS" w:eastAsia="Arial Unicode MS" w:hAnsi="Arial Unicode MS"/>
      <w:color w:val="000000"/>
      <w:sz w:val="20"/>
    </w:rPr>
  </w:style>
  <w:style w:type="paragraph" w:customStyle="1" w:styleId="2210">
    <w:name w:val="样式 首行缩进:  2.21 字符"/>
    <w:basedOn w:val="a8"/>
    <w:qFormat/>
    <w:pPr>
      <w:spacing w:line="360" w:lineRule="auto"/>
      <w:ind w:firstLineChars="200" w:firstLine="200"/>
    </w:pPr>
    <w:rPr>
      <w:rFonts w:ascii="Times New Roman" w:cs="宋体"/>
      <w:kern w:val="2"/>
    </w:rPr>
  </w:style>
  <w:style w:type="paragraph" w:customStyle="1" w:styleId="afffffffffffff6">
    <w:name w:val="样式 自动设置"/>
    <w:basedOn w:val="a8"/>
    <w:qFormat/>
    <w:pPr>
      <w:autoSpaceDE w:val="0"/>
      <w:autoSpaceDN w:val="0"/>
      <w:adjustRightInd w:val="0"/>
      <w:snapToGrid w:val="0"/>
      <w:spacing w:beforeLines="50" w:before="50" w:line="288" w:lineRule="auto"/>
      <w:ind w:firstLineChars="200" w:firstLine="200"/>
    </w:pPr>
    <w:rPr>
      <w:rFonts w:cs="宋体"/>
    </w:rPr>
  </w:style>
  <w:style w:type="paragraph" w:customStyle="1" w:styleId="ST2032">
    <w:name w:val="ST20_32"/>
    <w:basedOn w:val="afff2"/>
    <w:qFormat/>
    <w:pPr>
      <w:keepLines/>
      <w:tabs>
        <w:tab w:val="clear" w:pos="4153"/>
        <w:tab w:val="clear" w:pos="8306"/>
        <w:tab w:val="center" w:pos="4320"/>
      </w:tabs>
      <w:autoSpaceDE w:val="0"/>
      <w:autoSpaceDN w:val="0"/>
      <w:adjustRightInd w:val="0"/>
      <w:snapToGrid/>
      <w:spacing w:line="360" w:lineRule="atLeast"/>
      <w:jc w:val="center"/>
      <w:textAlignment w:val="baseline"/>
    </w:pPr>
    <w:rPr>
      <w:rFonts w:hAnsi="Tms Rmn"/>
      <w:kern w:val="0"/>
      <w:sz w:val="28"/>
      <w:szCs w:val="20"/>
    </w:rPr>
  </w:style>
  <w:style w:type="paragraph" w:customStyle="1" w:styleId="afffffffffffff7">
    <w:name w:val="+正文"/>
    <w:basedOn w:val="a8"/>
    <w:qFormat/>
    <w:pPr>
      <w:spacing w:line="360" w:lineRule="auto"/>
      <w:ind w:firstLineChars="200" w:firstLine="200"/>
    </w:pPr>
    <w:rPr>
      <w:rFonts w:ascii="Times New Roman"/>
      <w:kern w:val="2"/>
      <w:sz w:val="28"/>
      <w:szCs w:val="28"/>
    </w:rPr>
  </w:style>
  <w:style w:type="paragraph" w:customStyle="1" w:styleId="afffffffffffff8">
    <w:name w:val="表格内部"/>
    <w:basedOn w:val="a8"/>
    <w:qFormat/>
    <w:pPr>
      <w:adjustRightInd w:val="0"/>
      <w:snapToGrid w:val="0"/>
      <w:spacing w:line="240" w:lineRule="atLeast"/>
      <w:jc w:val="center"/>
      <w:textAlignment w:val="baseline"/>
    </w:pPr>
    <w:rPr>
      <w:rFonts w:ascii="Arial" w:hAnsi="Arial" w:cs="Arial"/>
      <w:sz w:val="21"/>
    </w:rPr>
  </w:style>
  <w:style w:type="paragraph" w:customStyle="1" w:styleId="CM18">
    <w:name w:val="CM18"/>
    <w:basedOn w:val="Default"/>
    <w:next w:val="Default"/>
    <w:qFormat/>
    <w:rPr>
      <w:rFonts w:ascii="宋体" w:eastAsia="宋体" w:hAnsi="Times New Roman"/>
      <w:color w:val="auto"/>
    </w:rPr>
  </w:style>
  <w:style w:type="paragraph" w:customStyle="1" w:styleId="GB231222">
    <w:name w:val="样式 正文文本缩进 + (中文) 楷体_GB2312 行距: 固定值 22 磅"/>
    <w:basedOn w:val="aff5"/>
    <w:qFormat/>
    <w:pPr>
      <w:spacing w:line="440" w:lineRule="exact"/>
      <w:ind w:left="0" w:firstLineChars="200" w:firstLine="560"/>
    </w:pPr>
    <w:rPr>
      <w:rFonts w:ascii="Times New Roman" w:eastAsia="楷体_GB2312" w:cs="宋体"/>
      <w:sz w:val="28"/>
    </w:rPr>
  </w:style>
  <w:style w:type="paragraph" w:customStyle="1" w:styleId="Qzy3">
    <w:name w:val="Qzy样式3"/>
    <w:basedOn w:val="31"/>
    <w:qFormat/>
    <w:pPr>
      <w:keepNext w:val="0"/>
      <w:keepLines w:val="0"/>
      <w:widowControl/>
      <w:tabs>
        <w:tab w:val="left" w:pos="709"/>
      </w:tabs>
      <w:spacing w:beforeLines="50" w:before="156" w:afterLines="10" w:after="31" w:line="240" w:lineRule="atLeast"/>
      <w:ind w:left="709" w:firstLineChars="200" w:hanging="709"/>
      <w:jc w:val="left"/>
    </w:pPr>
    <w:rPr>
      <w:rFonts w:hAnsi="宋体"/>
      <w:bCs w:val="0"/>
      <w:color w:val="000000"/>
      <w:kern w:val="0"/>
      <w:sz w:val="30"/>
      <w:szCs w:val="28"/>
    </w:rPr>
  </w:style>
  <w:style w:type="paragraph" w:customStyle="1" w:styleId="afffffffffffff9">
    <w:name w:val="节以下标题样式"/>
    <w:basedOn w:val="a8"/>
    <w:qFormat/>
    <w:pPr>
      <w:tabs>
        <w:tab w:val="left" w:pos="567"/>
      </w:tabs>
      <w:snapToGrid w:val="0"/>
      <w:jc w:val="center"/>
    </w:pPr>
    <w:rPr>
      <w:rFonts w:ascii="Times New Roman" w:eastAsia="华文中宋"/>
      <w:color w:val="000000"/>
      <w:kern w:val="2"/>
      <w:sz w:val="21"/>
    </w:rPr>
  </w:style>
  <w:style w:type="paragraph" w:customStyle="1" w:styleId="212">
    <w:name w:val="正文文本 21"/>
    <w:basedOn w:val="a8"/>
    <w:qFormat/>
    <w:pPr>
      <w:overflowPunct w:val="0"/>
      <w:autoSpaceDE w:val="0"/>
      <w:autoSpaceDN w:val="0"/>
      <w:adjustRightInd w:val="0"/>
      <w:spacing w:after="120" w:line="360" w:lineRule="auto"/>
      <w:textAlignment w:val="baseline"/>
    </w:pPr>
  </w:style>
  <w:style w:type="paragraph" w:customStyle="1" w:styleId="xl48">
    <w:name w:val="xl48"/>
    <w:basedOn w:val="a8"/>
    <w:qFormat/>
    <w:pPr>
      <w:widowControl/>
      <w:pBdr>
        <w:bottom w:val="single" w:sz="8" w:space="0" w:color="auto"/>
      </w:pBdr>
      <w:spacing w:before="100" w:beforeAutospacing="1" w:after="100" w:afterAutospacing="1"/>
      <w:jc w:val="left"/>
    </w:pPr>
    <w:rPr>
      <w:rFonts w:eastAsia="Arial Unicode MS"/>
      <w:b/>
      <w:bCs/>
      <w:color w:val="000000"/>
      <w:sz w:val="44"/>
      <w:szCs w:val="44"/>
    </w:rPr>
  </w:style>
  <w:style w:type="paragraph" w:customStyle="1" w:styleId="104">
    <w:name w:val="表格内字体10"/>
    <w:basedOn w:val="a8"/>
    <w:qFormat/>
    <w:pPr>
      <w:jc w:val="center"/>
    </w:pPr>
    <w:rPr>
      <w:rFonts w:cs="宋体"/>
      <w:kern w:val="2"/>
      <w:sz w:val="21"/>
    </w:rPr>
  </w:style>
  <w:style w:type="paragraph" w:customStyle="1" w:styleId="111111">
    <w:name w:val="表头111111"/>
    <w:basedOn w:val="a8"/>
    <w:qFormat/>
    <w:pPr>
      <w:spacing w:line="460" w:lineRule="exact"/>
      <w:jc w:val="center"/>
    </w:pPr>
    <w:rPr>
      <w:rFonts w:eastAsia="黑体" w:cs="宋体"/>
    </w:rPr>
  </w:style>
  <w:style w:type="paragraph" w:customStyle="1" w:styleId="afffffffffffffa">
    <w:name w:val="单元格格式"/>
    <w:qFormat/>
    <w:pPr>
      <w:widowControl w:val="0"/>
      <w:adjustRightInd w:val="0"/>
      <w:spacing w:beforeLines="20" w:before="62" w:afterLines="20" w:after="62" w:line="320" w:lineRule="exact"/>
      <w:ind w:leftChars="10" w:left="32" w:rightChars="10" w:right="32"/>
      <w:textAlignment w:val="baseline"/>
    </w:pPr>
    <w:rPr>
      <w:rFonts w:ascii="宋体" w:hAnsi="宋体"/>
      <w:sz w:val="28"/>
    </w:rPr>
  </w:style>
  <w:style w:type="paragraph" w:customStyle="1" w:styleId="Char4CharCharCharCharCharChar1">
    <w:name w:val="Char4 Char Char Char Char Char Char1"/>
    <w:basedOn w:val="a8"/>
    <w:qFormat/>
    <w:pPr>
      <w:spacing w:line="360" w:lineRule="auto"/>
      <w:ind w:firstLineChars="200" w:firstLine="200"/>
    </w:pPr>
    <w:rPr>
      <w:rFonts w:hAnsi="宋体" w:cs="宋体"/>
    </w:rPr>
  </w:style>
  <w:style w:type="paragraph" w:customStyle="1" w:styleId="test">
    <w:name w:val="test"/>
    <w:basedOn w:val="a8"/>
    <w:qFormat/>
    <w:pPr>
      <w:widowControl/>
      <w:overflowPunct w:val="0"/>
      <w:autoSpaceDE w:val="0"/>
      <w:autoSpaceDN w:val="0"/>
      <w:adjustRightInd w:val="0"/>
      <w:spacing w:before="60" w:after="60"/>
      <w:textAlignment w:val="baseline"/>
    </w:pPr>
    <w:rPr>
      <w:rFonts w:ascii="楷体_GB2312" w:eastAsia="楷体_GB2312"/>
      <w:spacing w:val="-30"/>
      <w:sz w:val="22"/>
    </w:rPr>
  </w:style>
  <w:style w:type="paragraph" w:customStyle="1" w:styleId="1ffe">
    <w:name w:val="目录1"/>
    <w:basedOn w:val="a8"/>
    <w:next w:val="a8"/>
    <w:qFormat/>
    <w:pPr>
      <w:tabs>
        <w:tab w:val="left" w:leader="dot" w:pos="8503"/>
      </w:tabs>
      <w:spacing w:after="102" w:line="215" w:lineRule="atLeast"/>
      <w:ind w:firstLine="419"/>
      <w:jc w:val="left"/>
    </w:pPr>
    <w:rPr>
      <w:rFonts w:ascii="Times New Roman"/>
      <w:kern w:val="2"/>
      <w:sz w:val="21"/>
    </w:rPr>
  </w:style>
  <w:style w:type="paragraph" w:customStyle="1" w:styleId="afffffffffffffb">
    <w:name w:val="项目编号文字"/>
    <w:basedOn w:val="a8"/>
    <w:next w:val="a8"/>
    <w:qFormat/>
    <w:pPr>
      <w:spacing w:before="120" w:after="120" w:line="360" w:lineRule="auto"/>
      <w:ind w:left="1077"/>
    </w:pPr>
    <w:rPr>
      <w:rFonts w:ascii="Times New Roman"/>
      <w:kern w:val="2"/>
    </w:rPr>
  </w:style>
  <w:style w:type="paragraph" w:customStyle="1" w:styleId="CharChar1Char">
    <w:name w:val="Char Char1 Char"/>
    <w:basedOn w:val="a8"/>
    <w:qFormat/>
    <w:pPr>
      <w:spacing w:afterLines="50" w:after="156" w:line="560" w:lineRule="exact"/>
    </w:pPr>
    <w:rPr>
      <w:rFonts w:ascii="Times New Roman" w:eastAsia="黑体"/>
      <w:kern w:val="2"/>
      <w:sz w:val="30"/>
      <w:szCs w:val="30"/>
    </w:rPr>
  </w:style>
  <w:style w:type="paragraph" w:customStyle="1" w:styleId="afffffffffffffc">
    <w:name w:val="正文中对齐"/>
    <w:basedOn w:val="a8"/>
    <w:qFormat/>
    <w:pPr>
      <w:adjustRightInd w:val="0"/>
      <w:snapToGrid w:val="0"/>
      <w:spacing w:before="60" w:after="60" w:line="60" w:lineRule="atLeast"/>
      <w:jc w:val="center"/>
      <w:textAlignment w:val="baseline"/>
    </w:pPr>
    <w:rPr>
      <w:rFonts w:hAnsi="宋体" w:hint="eastAsia"/>
      <w:kern w:val="2"/>
    </w:rPr>
  </w:style>
  <w:style w:type="paragraph" w:customStyle="1" w:styleId="5a">
    <w:name w:val="标题5"/>
    <w:basedOn w:val="a8"/>
    <w:qFormat/>
    <w:pPr>
      <w:spacing w:before="120" w:after="120" w:line="400" w:lineRule="exact"/>
      <w:outlineLvl w:val="4"/>
    </w:pPr>
    <w:rPr>
      <w:rFonts w:hAnsi="宋体" w:cs="宋体"/>
    </w:rPr>
  </w:style>
  <w:style w:type="paragraph" w:customStyle="1" w:styleId="1051">
    <w:name w:val="样式 表格 + 段前: 1 行 段后: 0.5 行1"/>
    <w:basedOn w:val="affffffe"/>
    <w:qFormat/>
    <w:pPr>
      <w:widowControl w:val="0"/>
      <w:adjustRightInd w:val="0"/>
      <w:snapToGrid w:val="0"/>
      <w:spacing w:before="0" w:after="0" w:line="240" w:lineRule="atLeast"/>
      <w:textAlignment w:val="auto"/>
    </w:pPr>
    <w:rPr>
      <w:rFonts w:cs="宋体"/>
      <w:snapToGrid w:val="0"/>
      <w:sz w:val="24"/>
      <w:szCs w:val="21"/>
    </w:rPr>
  </w:style>
  <w:style w:type="paragraph" w:customStyle="1" w:styleId="afffffffffffffd">
    <w:name w:val="图表正文"/>
    <w:basedOn w:val="a8"/>
    <w:qFormat/>
    <w:pPr>
      <w:widowControl/>
      <w:spacing w:line="360" w:lineRule="atLeast"/>
      <w:ind w:firstLineChars="200" w:firstLine="420"/>
      <w:jc w:val="center"/>
    </w:pPr>
    <w:rPr>
      <w:rFonts w:hAnsi="宋体"/>
      <w:snapToGrid w:val="0"/>
    </w:rPr>
  </w:style>
  <w:style w:type="paragraph" w:customStyle="1" w:styleId="131113H3h33rdlevelReHead3WSA">
    <w:name w:val="1标题 3条标题1.1.1标题3H3h33rd level第二层条三级标题ReHead 3 WSA + 小..."/>
    <w:basedOn w:val="31"/>
    <w:qFormat/>
    <w:pPr>
      <w:autoSpaceDE w:val="0"/>
      <w:autoSpaceDN w:val="0"/>
      <w:adjustRightInd w:val="0"/>
      <w:spacing w:before="0" w:after="0" w:line="360" w:lineRule="auto"/>
      <w:jc w:val="left"/>
      <w:textAlignment w:val="baseline"/>
    </w:pPr>
    <w:rPr>
      <w:rFonts w:ascii="Times New Roman" w:eastAsia="黑体" w:cs="宋体"/>
      <w:b w:val="0"/>
      <w:bCs w:val="0"/>
      <w:kern w:val="0"/>
      <w:sz w:val="24"/>
      <w:szCs w:val="20"/>
    </w:rPr>
  </w:style>
  <w:style w:type="paragraph" w:customStyle="1" w:styleId="afffffffffffffe">
    <w:name w:val="首行缩进"/>
    <w:basedOn w:val="a8"/>
    <w:qFormat/>
    <w:pPr>
      <w:spacing w:line="240" w:lineRule="exact"/>
      <w:jc w:val="center"/>
    </w:pPr>
    <w:rPr>
      <w:rFonts w:eastAsia="黑体"/>
      <w:w w:val="80"/>
      <w:sz w:val="18"/>
      <w:szCs w:val="18"/>
      <w:lang w:val="de-DE"/>
    </w:rPr>
  </w:style>
  <w:style w:type="paragraph" w:customStyle="1" w:styleId="CharChar1CharCharCharChar1">
    <w:name w:val="Char Char1 Char Char Char Char1"/>
    <w:basedOn w:val="a8"/>
    <w:qFormat/>
    <w:rPr>
      <w:rFonts w:ascii="Times New Roman"/>
      <w:kern w:val="2"/>
      <w:sz w:val="21"/>
    </w:rPr>
  </w:style>
  <w:style w:type="paragraph" w:customStyle="1" w:styleId="4651152">
    <w:name w:val="样式 样式 段前: 4.65 磅 行距: 多倍行距 1.15 字行 + 首行缩进:  2 字符"/>
    <w:basedOn w:val="a8"/>
    <w:qFormat/>
    <w:pPr>
      <w:numPr>
        <w:ilvl w:val="2"/>
        <w:numId w:val="2"/>
      </w:numPr>
      <w:tabs>
        <w:tab w:val="clear" w:pos="720"/>
      </w:tabs>
      <w:spacing w:before="93" w:line="312" w:lineRule="auto"/>
      <w:ind w:left="0" w:firstLineChars="200" w:firstLine="200"/>
    </w:pPr>
    <w:rPr>
      <w:rFonts w:ascii="Times New Roman" w:cs="宋体"/>
      <w:kern w:val="2"/>
    </w:rPr>
  </w:style>
  <w:style w:type="paragraph" w:customStyle="1" w:styleId="CharTimesNewRoman15">
    <w:name w:val="样式 表格内容 Char + Times New Roman 黑色 居中 行距: 1.5 倍行距"/>
    <w:basedOn w:val="a8"/>
    <w:qFormat/>
    <w:pPr>
      <w:tabs>
        <w:tab w:val="left" w:pos="-65"/>
      </w:tabs>
      <w:adjustRightInd w:val="0"/>
      <w:snapToGrid w:val="0"/>
      <w:spacing w:line="360" w:lineRule="auto"/>
      <w:ind w:firstLineChars="200" w:firstLine="420"/>
      <w:jc w:val="center"/>
    </w:pPr>
    <w:rPr>
      <w:rFonts w:ascii="Times New Roman" w:cs="宋体"/>
      <w:color w:val="000000"/>
      <w:sz w:val="21"/>
    </w:rPr>
  </w:style>
  <w:style w:type="paragraph" w:customStyle="1" w:styleId="Char25">
    <w:name w:val="Char2"/>
    <w:basedOn w:val="a8"/>
    <w:qFormat/>
  </w:style>
  <w:style w:type="paragraph" w:customStyle="1" w:styleId="affffffffffffff">
    <w:name w:val="图"/>
    <w:basedOn w:val="a8"/>
    <w:qFormat/>
    <w:pPr>
      <w:widowControl/>
      <w:tabs>
        <w:tab w:val="left" w:pos="352"/>
      </w:tabs>
      <w:overflowPunct w:val="0"/>
      <w:autoSpaceDE w:val="0"/>
      <w:autoSpaceDN w:val="0"/>
      <w:adjustRightInd w:val="0"/>
      <w:jc w:val="center"/>
      <w:textAlignment w:val="bottom"/>
    </w:pPr>
    <w:rPr>
      <w:rFonts w:hAnsi="宋体"/>
      <w:sz w:val="21"/>
    </w:rPr>
  </w:style>
  <w:style w:type="paragraph" w:customStyle="1" w:styleId="1111">
    <w:name w:val="正文1.1.1"/>
    <w:basedOn w:val="a8"/>
    <w:qFormat/>
    <w:rPr>
      <w:rFonts w:ascii="仿宋_GB2312" w:eastAsia="仿宋_GB2312"/>
      <w:color w:val="000000"/>
      <w:spacing w:val="-8"/>
      <w:w w:val="90"/>
      <w:kern w:val="2"/>
      <w:sz w:val="28"/>
      <w:szCs w:val="24"/>
    </w:rPr>
  </w:style>
  <w:style w:type="paragraph" w:customStyle="1" w:styleId="s0">
    <w:name w:val="s0"/>
    <w:qFormat/>
    <w:pPr>
      <w:widowControl w:val="0"/>
      <w:autoSpaceDE w:val="0"/>
      <w:autoSpaceDN w:val="0"/>
      <w:adjustRightInd w:val="0"/>
    </w:pPr>
    <w:rPr>
      <w:rFonts w:ascii="????" w:eastAsia="????"/>
    </w:rPr>
  </w:style>
  <w:style w:type="paragraph" w:customStyle="1" w:styleId="affffffffffffff0">
    <w:name w:val="表 头"/>
    <w:basedOn w:val="a8"/>
    <w:qFormat/>
    <w:pPr>
      <w:adjustRightInd w:val="0"/>
      <w:spacing w:afterLines="50" w:after="156" w:line="440" w:lineRule="exact"/>
      <w:jc w:val="center"/>
      <w:textAlignment w:val="baseline"/>
    </w:pPr>
    <w:rPr>
      <w:rFonts w:hAnsi="宋体"/>
      <w:b/>
      <w:snapToGrid w:val="0"/>
      <w:color w:val="000000"/>
      <w:spacing w:val="-8"/>
    </w:rPr>
  </w:style>
  <w:style w:type="paragraph" w:customStyle="1" w:styleId="ST201">
    <w:name w:val="ST20_1"/>
    <w:basedOn w:val="a8"/>
    <w:qFormat/>
    <w:pPr>
      <w:autoSpaceDE w:val="0"/>
      <w:autoSpaceDN w:val="0"/>
      <w:adjustRightInd w:val="0"/>
      <w:spacing w:line="312" w:lineRule="atLeast"/>
      <w:jc w:val="center"/>
      <w:textAlignment w:val="baseline"/>
    </w:pPr>
    <w:rPr>
      <w:rFonts w:hAnsi="Tms Rmn"/>
    </w:rPr>
  </w:style>
  <w:style w:type="paragraph" w:customStyle="1" w:styleId="4075">
    <w:name w:val="样式 样式4 + 首行缩进:  0.75 字符"/>
    <w:basedOn w:val="4"/>
    <w:qFormat/>
    <w:pPr>
      <w:widowControl w:val="0"/>
      <w:numPr>
        <w:numId w:val="0"/>
      </w:numPr>
      <w:adjustRightInd w:val="0"/>
      <w:snapToGrid w:val="0"/>
      <w:spacing w:line="480" w:lineRule="exact"/>
      <w:ind w:firstLineChars="200" w:firstLine="480"/>
      <w:jc w:val="both"/>
    </w:pPr>
    <w:rPr>
      <w:rFonts w:ascii="Times New Roman" w:eastAsia="新宋体"/>
      <w:kern w:val="2"/>
      <w:sz w:val="24"/>
      <w:szCs w:val="24"/>
    </w:rPr>
  </w:style>
  <w:style w:type="paragraph" w:customStyle="1" w:styleId="1fff">
    <w:name w:val="页眉1"/>
    <w:basedOn w:val="a8"/>
    <w:qFormat/>
    <w:pPr>
      <w:widowControl/>
      <w:spacing w:before="100" w:beforeAutospacing="1" w:after="100" w:afterAutospacing="1"/>
      <w:jc w:val="left"/>
    </w:pPr>
    <w:rPr>
      <w:rFonts w:hAnsi="宋体" w:cs="宋体"/>
    </w:rPr>
  </w:style>
  <w:style w:type="paragraph" w:customStyle="1" w:styleId="xl63">
    <w:name w:val="xl63"/>
    <w:basedOn w:val="a8"/>
    <w:qFormat/>
    <w:pPr>
      <w:widowControl/>
      <w:spacing w:before="100" w:after="100"/>
      <w:jc w:val="center"/>
      <w:textAlignment w:val="center"/>
    </w:pPr>
    <w:rPr>
      <w:rFonts w:ascii="黑体" w:eastAsia="黑体" w:hAnsi="宋体" w:hint="eastAsia"/>
      <w:bCs/>
    </w:rPr>
  </w:style>
  <w:style w:type="paragraph" w:customStyle="1" w:styleId="affffffffffffff1">
    <w:name w:val="样式"/>
    <w:basedOn w:val="a8"/>
    <w:next w:val="3a"/>
    <w:qFormat/>
    <w:pPr>
      <w:tabs>
        <w:tab w:val="left" w:pos="6720"/>
      </w:tabs>
      <w:spacing w:line="360" w:lineRule="auto"/>
      <w:ind w:firstLineChars="200" w:firstLine="480"/>
    </w:pPr>
    <w:rPr>
      <w:rFonts w:ascii="楷体_GB2312" w:eastAsia="楷体_GB2312"/>
    </w:rPr>
  </w:style>
  <w:style w:type="paragraph" w:customStyle="1" w:styleId="72">
    <w:name w:val="7表格(治)"/>
    <w:qFormat/>
    <w:pPr>
      <w:jc w:val="center"/>
    </w:pPr>
    <w:rPr>
      <w:rFonts w:eastAsia="楷体_GB2312"/>
      <w:sz w:val="21"/>
    </w:rPr>
  </w:style>
  <w:style w:type="paragraph" w:customStyle="1" w:styleId="affffffffffffff2">
    <w:name w:val="段落"/>
    <w:basedOn w:val="a8"/>
    <w:qFormat/>
    <w:pPr>
      <w:spacing w:line="580" w:lineRule="exact"/>
      <w:ind w:firstLineChars="200" w:firstLine="200"/>
    </w:pPr>
    <w:rPr>
      <w:rFonts w:ascii="Times New Roman"/>
      <w:spacing w:val="6"/>
      <w:kern w:val="2"/>
      <w:sz w:val="28"/>
      <w:szCs w:val="28"/>
    </w:rPr>
  </w:style>
  <w:style w:type="paragraph" w:customStyle="1" w:styleId="0772043">
    <w:name w:val="样式 首行缩进:  0.77 厘米 行距: 固定值 20 磅43"/>
    <w:basedOn w:val="a8"/>
    <w:qFormat/>
    <w:pPr>
      <w:spacing w:line="360" w:lineRule="auto"/>
      <w:ind w:firstLineChars="200" w:firstLine="480"/>
    </w:pPr>
    <w:rPr>
      <w:rFonts w:ascii="Times New Roman" w:cs="宋体"/>
      <w:kern w:val="2"/>
    </w:rPr>
  </w:style>
  <w:style w:type="paragraph" w:customStyle="1" w:styleId="201">
    <w:name w:val="样式 宋体 小四 行距: 固定值 20 磅"/>
    <w:basedOn w:val="a8"/>
    <w:qFormat/>
    <w:pPr>
      <w:spacing w:line="400" w:lineRule="exact"/>
      <w:ind w:firstLineChars="200" w:firstLine="200"/>
      <w:jc w:val="left"/>
    </w:pPr>
    <w:rPr>
      <w:rFonts w:hAnsi="宋体" w:cs="宋体"/>
      <w:kern w:val="2"/>
    </w:rPr>
  </w:style>
  <w:style w:type="paragraph" w:customStyle="1" w:styleId="xl43">
    <w:name w:val="xl43"/>
    <w:basedOn w:val="a8"/>
    <w:qFormat/>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Arial Narrow" w:hAnsi="Arial Narrow"/>
      <w:sz w:val="18"/>
      <w:szCs w:val="18"/>
    </w:rPr>
  </w:style>
  <w:style w:type="paragraph" w:customStyle="1" w:styleId="affffffffffffff3">
    <w:name w:val="正文表头"/>
    <w:basedOn w:val="a8"/>
    <w:next w:val="affffffffffffff4"/>
    <w:qFormat/>
    <w:pPr>
      <w:keepNext/>
      <w:tabs>
        <w:tab w:val="center" w:pos="4253"/>
        <w:tab w:val="right" w:pos="8505"/>
      </w:tabs>
      <w:overflowPunct w:val="0"/>
      <w:adjustRightInd w:val="0"/>
      <w:spacing w:before="120" w:line="360" w:lineRule="auto"/>
      <w:jc w:val="center"/>
      <w:textAlignment w:val="baseline"/>
    </w:pPr>
    <w:rPr>
      <w:rFonts w:eastAsia="黑体"/>
      <w:sz w:val="28"/>
    </w:rPr>
  </w:style>
  <w:style w:type="paragraph" w:customStyle="1" w:styleId="affffffffffffff4">
    <w:name w:val="正文表格"/>
    <w:basedOn w:val="a8"/>
    <w:qFormat/>
    <w:pPr>
      <w:keepNext/>
      <w:keepLines/>
      <w:tabs>
        <w:tab w:val="center" w:pos="6804"/>
      </w:tabs>
      <w:overflowPunct w:val="0"/>
      <w:adjustRightInd w:val="0"/>
      <w:spacing w:before="80"/>
      <w:jc w:val="center"/>
      <w:textAlignment w:val="bottom"/>
    </w:pPr>
    <w:rPr>
      <w:sz w:val="28"/>
    </w:rPr>
  </w:style>
  <w:style w:type="paragraph" w:customStyle="1" w:styleId="2005">
    <w:name w:val="样式 样式 首行缩进:  2 字符 + 首行缩进:  0.05 字符"/>
    <w:basedOn w:val="2fb"/>
    <w:qFormat/>
    <w:pPr>
      <w:spacing w:line="480" w:lineRule="exact"/>
      <w:ind w:firstLine="200"/>
      <w:jc w:val="left"/>
    </w:pPr>
    <w:rPr>
      <w:rFonts w:ascii="Times New Roman"/>
      <w:kern w:val="2"/>
      <w:sz w:val="28"/>
    </w:rPr>
  </w:style>
  <w:style w:type="paragraph" w:customStyle="1" w:styleId="1fff0">
    <w:name w:val="样式 标题 1 + 小四"/>
    <w:basedOn w:val="11"/>
    <w:qFormat/>
    <w:pPr>
      <w:tabs>
        <w:tab w:val="clear" w:pos="8160"/>
      </w:tabs>
      <w:adjustRightInd/>
      <w:spacing w:afterLines="0" w:after="240" w:line="0" w:lineRule="atLeast"/>
      <w:ind w:left="851" w:hanging="851"/>
      <w:jc w:val="center"/>
      <w:textAlignment w:val="auto"/>
    </w:pPr>
    <w:rPr>
      <w:rFonts w:ascii="Times New Roman"/>
      <w:sz w:val="30"/>
      <w:szCs w:val="20"/>
    </w:rPr>
  </w:style>
  <w:style w:type="paragraph" w:customStyle="1" w:styleId="xl72">
    <w:name w:val="xl72"/>
    <w:basedOn w:val="a8"/>
    <w:qFormat/>
    <w:pPr>
      <w:widowControl/>
      <w:pBdr>
        <w:left w:val="single" w:sz="4" w:space="0" w:color="auto"/>
        <w:bottom w:val="single" w:sz="8" w:space="0" w:color="auto"/>
        <w:right w:val="single" w:sz="8" w:space="0" w:color="auto"/>
      </w:pBdr>
      <w:spacing w:before="100" w:beforeAutospacing="1" w:after="100" w:afterAutospacing="1"/>
      <w:jc w:val="left"/>
      <w:textAlignment w:val="center"/>
    </w:pPr>
    <w:rPr>
      <w:rFonts w:ascii="Arial Unicode MS" w:eastAsia="Arial Unicode MS" w:hAnsi="Arial Unicode MS"/>
      <w:color w:val="000000"/>
    </w:rPr>
  </w:style>
  <w:style w:type="paragraph" w:customStyle="1" w:styleId="92">
    <w:name w:val="样式9"/>
    <w:basedOn w:val="a8"/>
    <w:qFormat/>
    <w:pPr>
      <w:autoSpaceDE w:val="0"/>
      <w:autoSpaceDN w:val="0"/>
      <w:adjustRightInd w:val="0"/>
      <w:spacing w:beforeLines="50" w:before="156" w:afterLines="50" w:after="156"/>
      <w:ind w:firstLineChars="200" w:firstLine="422"/>
    </w:pPr>
    <w:rPr>
      <w:rFonts w:ascii="黑体" w:cs="宋体"/>
      <w:b/>
      <w:bCs/>
      <w:color w:val="000000"/>
      <w:kern w:val="2"/>
      <w:sz w:val="21"/>
    </w:rPr>
  </w:style>
  <w:style w:type="paragraph" w:customStyle="1" w:styleId="affffffffffffff5">
    <w:name w:val="延安正文  缩进 + (符号) 宋体"/>
    <w:basedOn w:val="a8"/>
    <w:qFormat/>
    <w:pPr>
      <w:adjustRightInd w:val="0"/>
      <w:snapToGrid w:val="0"/>
      <w:spacing w:line="360" w:lineRule="auto"/>
      <w:ind w:leftChars="25" w:left="53" w:rightChars="25" w:right="53" w:firstLineChars="200" w:firstLine="480"/>
    </w:pPr>
    <w:rPr>
      <w:color w:val="000000"/>
      <w:lang w:val="en-GB"/>
    </w:rPr>
  </w:style>
  <w:style w:type="paragraph" w:customStyle="1" w:styleId="415">
    <w:name w:val="样式 标题 4 + 宋体 行距: 1.5 倍行距"/>
    <w:basedOn w:val="42"/>
    <w:qFormat/>
    <w:pPr>
      <w:tabs>
        <w:tab w:val="left" w:pos="4320"/>
      </w:tabs>
      <w:snapToGrid w:val="0"/>
      <w:spacing w:beforeLines="50" w:before="156" w:afterLines="50" w:after="156" w:line="480" w:lineRule="exact"/>
    </w:pPr>
    <w:rPr>
      <w:rFonts w:ascii="Times New Roman" w:eastAsia="宋体" w:hAnsi="Times New Roman"/>
    </w:rPr>
  </w:style>
  <w:style w:type="paragraph" w:customStyle="1" w:styleId="010">
    <w:name w:val="样式_正文_01"/>
    <w:basedOn w:val="a8"/>
    <w:qFormat/>
    <w:pPr>
      <w:spacing w:line="360" w:lineRule="auto"/>
      <w:ind w:left="-10" w:firstLineChars="225" w:firstLine="540"/>
    </w:pPr>
    <w:rPr>
      <w:rFonts w:ascii="Garamond" w:hAnsi="Garamond"/>
      <w:szCs w:val="24"/>
    </w:rPr>
  </w:style>
  <w:style w:type="paragraph" w:customStyle="1" w:styleId="041">
    <w:name w:val="04"/>
    <w:basedOn w:val="a8"/>
    <w:qFormat/>
    <w:pPr>
      <w:spacing w:line="312" w:lineRule="auto"/>
    </w:pPr>
    <w:rPr>
      <w:rFonts w:eastAsia="华文仿宋"/>
      <w:szCs w:val="30"/>
    </w:rPr>
  </w:style>
  <w:style w:type="paragraph" w:customStyle="1" w:styleId="Style35">
    <w:name w:val="_Style 35"/>
    <w:basedOn w:val="a8"/>
    <w:qFormat/>
    <w:rPr>
      <w:rFonts w:ascii="Times New Roman"/>
      <w:kern w:val="2"/>
      <w:sz w:val="21"/>
    </w:rPr>
  </w:style>
  <w:style w:type="paragraph" w:customStyle="1" w:styleId="affffffffffffff6">
    <w:name w:val="一级标题"/>
    <w:basedOn w:val="affffffffff3"/>
    <w:qFormat/>
    <w:pPr>
      <w:tabs>
        <w:tab w:val="clear" w:pos="142"/>
      </w:tabs>
      <w:adjustRightInd/>
      <w:spacing w:beforeLines="100" w:before="312" w:afterLines="100" w:after="312" w:line="480" w:lineRule="exact"/>
      <w:jc w:val="both"/>
      <w:textAlignment w:val="auto"/>
    </w:pPr>
  </w:style>
  <w:style w:type="paragraph" w:customStyle="1" w:styleId="affffffffffffff7">
    <w:name w:val="表格内文字"/>
    <w:basedOn w:val="a8"/>
    <w:qFormat/>
    <w:pPr>
      <w:kinsoku w:val="0"/>
      <w:wordWrap w:val="0"/>
      <w:overflowPunct w:val="0"/>
      <w:jc w:val="center"/>
    </w:pPr>
    <w:rPr>
      <w:rFonts w:ascii="Times New Roman"/>
      <w:snapToGrid w:val="0"/>
      <w:sz w:val="21"/>
    </w:rPr>
  </w:style>
  <w:style w:type="paragraph" w:customStyle="1" w:styleId="3fb">
    <w:name w:val="表格 3"/>
    <w:basedOn w:val="affffffe"/>
    <w:qFormat/>
    <w:pPr>
      <w:widowControl w:val="0"/>
      <w:spacing w:before="0" w:after="0"/>
      <w:jc w:val="both"/>
      <w:textAlignment w:val="auto"/>
    </w:pPr>
    <w:rPr>
      <w:kern w:val="2"/>
      <w:szCs w:val="24"/>
    </w:rPr>
  </w:style>
  <w:style w:type="paragraph" w:customStyle="1" w:styleId="2fd">
    <w:name w:val="图表目录2"/>
    <w:basedOn w:val="aa"/>
    <w:next w:val="aa"/>
    <w:qFormat/>
    <w:pPr>
      <w:tabs>
        <w:tab w:val="right" w:leader="dot" w:pos="8051"/>
      </w:tabs>
      <w:adjustRightInd w:val="0"/>
      <w:spacing w:line="360" w:lineRule="atLeast"/>
      <w:ind w:left="840" w:hanging="840"/>
      <w:jc w:val="left"/>
      <w:textAlignment w:val="baseline"/>
    </w:pPr>
    <w:rPr>
      <w:kern w:val="0"/>
      <w:szCs w:val="20"/>
    </w:rPr>
  </w:style>
  <w:style w:type="paragraph" w:customStyle="1" w:styleId="affffffffffffff8">
    <w:name w:val="表号"/>
    <w:basedOn w:val="affffffffffffff9"/>
    <w:next w:val="affffffffffffff9"/>
    <w:qFormat/>
    <w:pPr>
      <w:tabs>
        <w:tab w:val="left" w:pos="920"/>
      </w:tabs>
      <w:spacing w:line="240" w:lineRule="atLeast"/>
      <w:ind w:left="920" w:hanging="360"/>
      <w:jc w:val="right"/>
    </w:pPr>
    <w:rPr>
      <w:rFonts w:ascii="黑体" w:eastAsia="黑体"/>
      <w:color w:val="auto"/>
    </w:rPr>
  </w:style>
  <w:style w:type="paragraph" w:customStyle="1" w:styleId="affffffffffffff9">
    <w:name w:val="表内字"/>
    <w:qFormat/>
    <w:pPr>
      <w:spacing w:line="312" w:lineRule="auto"/>
      <w:jc w:val="center"/>
    </w:pPr>
    <w:rPr>
      <w:color w:val="000000"/>
      <w:sz w:val="21"/>
    </w:rPr>
  </w:style>
  <w:style w:type="paragraph" w:customStyle="1" w:styleId="nr">
    <w:name w:val="nr"/>
    <w:basedOn w:val="a8"/>
    <w:qFormat/>
    <w:pPr>
      <w:widowControl/>
      <w:spacing w:before="100" w:beforeAutospacing="1" w:after="100" w:afterAutospacing="1" w:line="320" w:lineRule="atLeast"/>
      <w:jc w:val="left"/>
    </w:pPr>
    <w:rPr>
      <w:rFonts w:hAnsi="宋体" w:hint="eastAsia"/>
      <w:color w:val="000000"/>
      <w:sz w:val="22"/>
      <w:szCs w:val="22"/>
    </w:rPr>
  </w:style>
  <w:style w:type="paragraph" w:customStyle="1" w:styleId="xl62">
    <w:name w:val="xl62"/>
    <w:basedOn w:val="a8"/>
    <w:qFormat/>
    <w:pPr>
      <w:widowControl/>
      <w:pBdr>
        <w:top w:val="single" w:sz="4" w:space="0" w:color="auto"/>
        <w:left w:val="single" w:sz="4" w:space="0" w:color="auto"/>
        <w:right w:val="single" w:sz="8" w:space="0" w:color="auto"/>
      </w:pBdr>
      <w:spacing w:before="100" w:beforeAutospacing="1" w:after="100" w:afterAutospacing="1"/>
      <w:jc w:val="left"/>
      <w:textAlignment w:val="center"/>
    </w:pPr>
    <w:rPr>
      <w:rFonts w:ascii="Arial Unicode MS" w:eastAsia="Arial Unicode MS" w:hAnsi="Arial Unicode MS"/>
      <w:color w:val="000000"/>
    </w:rPr>
  </w:style>
  <w:style w:type="paragraph" w:customStyle="1" w:styleId="114">
    <w:name w:val="图表目录11"/>
    <w:basedOn w:val="112"/>
    <w:next w:val="112"/>
    <w:qFormat/>
    <w:pPr>
      <w:adjustRightInd w:val="0"/>
      <w:spacing w:line="360" w:lineRule="atLeast"/>
      <w:ind w:firstLineChars="0" w:firstLine="0"/>
      <w:jc w:val="left"/>
      <w:textAlignment w:val="baseline"/>
    </w:pPr>
  </w:style>
  <w:style w:type="paragraph" w:customStyle="1" w:styleId="gb1">
    <w:name w:val="gb1"/>
    <w:basedOn w:val="a8"/>
    <w:qFormat/>
    <w:pPr>
      <w:widowControl/>
      <w:tabs>
        <w:tab w:val="left" w:pos="227"/>
      </w:tabs>
      <w:overflowPunct w:val="0"/>
      <w:autoSpaceDE w:val="0"/>
      <w:autoSpaceDN w:val="0"/>
      <w:adjustRightInd w:val="0"/>
      <w:spacing w:before="120" w:after="120"/>
      <w:jc w:val="left"/>
      <w:textAlignment w:val="baseline"/>
    </w:pPr>
    <w:rPr>
      <w:rFonts w:ascii="Arial" w:eastAsia="仿宋体" w:hAnsi="Arial"/>
      <w:color w:val="000000"/>
    </w:rPr>
  </w:style>
  <w:style w:type="paragraph" w:customStyle="1" w:styleId="ltext">
    <w:name w:val="l_text"/>
    <w:basedOn w:val="a8"/>
    <w:qFormat/>
    <w:pPr>
      <w:widowControl/>
      <w:overflowPunct w:val="0"/>
      <w:autoSpaceDE w:val="0"/>
      <w:autoSpaceDN w:val="0"/>
      <w:adjustRightInd w:val="0"/>
      <w:spacing w:line="360" w:lineRule="auto"/>
      <w:ind w:firstLine="567"/>
      <w:textAlignment w:val="baseline"/>
    </w:pPr>
    <w:rPr>
      <w:rFonts w:ascii="Times New Roman"/>
      <w:sz w:val="28"/>
      <w:lang w:val="en-GB"/>
    </w:rPr>
  </w:style>
  <w:style w:type="paragraph" w:customStyle="1" w:styleId="CharCharCharCharCharChar2">
    <w:name w:val="正文（首行缩进两字） Char Char Char Char Char Char"/>
    <w:basedOn w:val="a8"/>
    <w:next w:val="aa"/>
    <w:qFormat/>
    <w:pPr>
      <w:ind w:firstLineChars="200" w:firstLine="420"/>
    </w:pPr>
    <w:rPr>
      <w:rFonts w:ascii="Times New Roman"/>
      <w:kern w:val="2"/>
      <w:sz w:val="21"/>
    </w:rPr>
  </w:style>
  <w:style w:type="paragraph" w:customStyle="1" w:styleId="font7">
    <w:name w:val="font7"/>
    <w:basedOn w:val="a8"/>
    <w:qFormat/>
    <w:pPr>
      <w:widowControl/>
      <w:spacing w:before="100" w:beforeAutospacing="1" w:after="100" w:afterAutospacing="1"/>
      <w:jc w:val="left"/>
    </w:pPr>
    <w:rPr>
      <w:rFonts w:eastAsia="Arial Unicode MS" w:hAnsi="宋体"/>
      <w:bCs/>
      <w:sz w:val="36"/>
      <w:szCs w:val="36"/>
    </w:rPr>
  </w:style>
  <w:style w:type="paragraph" w:customStyle="1" w:styleId="xl70">
    <w:name w:val="xl70"/>
    <w:basedOn w:val="a8"/>
    <w:qFormat/>
    <w:pPr>
      <w:widowControl/>
      <w:spacing w:before="100" w:beforeAutospacing="1" w:after="100" w:afterAutospacing="1"/>
      <w:jc w:val="center"/>
    </w:pPr>
  </w:style>
  <w:style w:type="paragraph" w:customStyle="1" w:styleId="2fe">
    <w:name w:val="正文文本2"/>
    <w:basedOn w:val="a8"/>
    <w:qFormat/>
    <w:pPr>
      <w:spacing w:line="360" w:lineRule="auto"/>
      <w:ind w:firstLineChars="200" w:firstLine="480"/>
    </w:pPr>
    <w:rPr>
      <w:rFonts w:cs="宋体"/>
      <w:kern w:val="2"/>
    </w:rPr>
  </w:style>
  <w:style w:type="paragraph" w:customStyle="1" w:styleId="00">
    <w:name w:val="0"/>
    <w:basedOn w:val="a8"/>
    <w:qFormat/>
    <w:pPr>
      <w:widowControl/>
      <w:snapToGrid w:val="0"/>
      <w:spacing w:line="365" w:lineRule="atLeast"/>
      <w:ind w:left="1"/>
      <w:textAlignment w:val="bottom"/>
    </w:pPr>
    <w:rPr>
      <w:sz w:val="20"/>
    </w:rPr>
  </w:style>
  <w:style w:type="paragraph" w:customStyle="1" w:styleId="221121H2SeHeadwsa211">
    <w:name w:val="样式 标题 2标题 21标题 121节H2SeHead wsa2标题 1.1 + 黑体 四号 非加粗"/>
    <w:basedOn w:val="2"/>
    <w:qFormat/>
    <w:pPr>
      <w:keepNext w:val="0"/>
      <w:keepLines w:val="0"/>
      <w:numPr>
        <w:ilvl w:val="1"/>
        <w:numId w:val="3"/>
      </w:numPr>
      <w:tabs>
        <w:tab w:val="clear" w:pos="567"/>
        <w:tab w:val="left" w:pos="360"/>
      </w:tabs>
      <w:adjustRightInd w:val="0"/>
      <w:snapToGrid w:val="0"/>
      <w:spacing w:before="260" w:after="260"/>
      <w:ind w:left="0" w:firstLine="0"/>
    </w:pPr>
    <w:rPr>
      <w:rFonts w:ascii="黑体" w:hAnsi="黑体"/>
      <w:color w:val="000000"/>
      <w:sz w:val="28"/>
    </w:rPr>
  </w:style>
  <w:style w:type="paragraph" w:customStyle="1" w:styleId="3fc">
    <w:name w:val="正文文本3"/>
    <w:basedOn w:val="a8"/>
    <w:next w:val="a8"/>
    <w:qFormat/>
    <w:pPr>
      <w:widowControl/>
      <w:autoSpaceDE w:val="0"/>
      <w:autoSpaceDN w:val="0"/>
      <w:adjustRightInd w:val="0"/>
      <w:spacing w:before="60" w:after="60"/>
      <w:jc w:val="left"/>
    </w:pPr>
    <w:rPr>
      <w:lang w:eastAsia="en-US"/>
    </w:rPr>
  </w:style>
  <w:style w:type="paragraph" w:customStyle="1" w:styleId="Char2CharCharCharCharCharCharCharCharCharCharCharCharCharCharCharCharCharCharCharCharChar">
    <w:name w:val="Char2 Char Char Char Char Char Char Char Char Char Char Char Char Char Char Char Char Char Char Char Char Char"/>
    <w:basedOn w:val="a8"/>
    <w:qFormat/>
    <w:pPr>
      <w:spacing w:line="360" w:lineRule="auto"/>
      <w:ind w:firstLineChars="200" w:firstLine="200"/>
    </w:pPr>
    <w:rPr>
      <w:rFonts w:ascii="Times New Roman" w:eastAsia="黑体"/>
      <w:kern w:val="2"/>
      <w:sz w:val="28"/>
      <w:szCs w:val="28"/>
    </w:rPr>
  </w:style>
  <w:style w:type="paragraph" w:customStyle="1" w:styleId="b3">
    <w:name w:val="b3"/>
    <w:basedOn w:val="11"/>
    <w:qFormat/>
    <w:pPr>
      <w:tabs>
        <w:tab w:val="clear" w:pos="8160"/>
      </w:tabs>
      <w:adjustRightInd/>
      <w:snapToGrid w:val="0"/>
      <w:spacing w:before="0" w:afterLines="0" w:after="0" w:line="360" w:lineRule="auto"/>
      <w:jc w:val="both"/>
      <w:textAlignment w:val="auto"/>
      <w:outlineLvl w:val="2"/>
    </w:pPr>
    <w:rPr>
      <w:rFonts w:ascii="Times New Roman"/>
      <w:sz w:val="28"/>
      <w:szCs w:val="44"/>
    </w:rPr>
  </w:style>
  <w:style w:type="paragraph" w:customStyle="1" w:styleId="affffffffffffffa">
    <w:name w:val="项目编号"/>
    <w:basedOn w:val="a8"/>
    <w:next w:val="afffffffffffffb"/>
    <w:qFormat/>
    <w:pPr>
      <w:spacing w:before="120" w:after="120" w:line="360" w:lineRule="auto"/>
    </w:pPr>
    <w:rPr>
      <w:rFonts w:ascii="Times New Roman"/>
      <w:kern w:val="2"/>
    </w:rPr>
  </w:style>
  <w:style w:type="paragraph" w:customStyle="1" w:styleId="affffffffffffffb">
    <w:name w:val="粗体字"/>
    <w:basedOn w:val="a8"/>
    <w:qFormat/>
    <w:pPr>
      <w:spacing w:line="360" w:lineRule="auto"/>
      <w:ind w:firstLineChars="200" w:firstLine="200"/>
    </w:pPr>
    <w:rPr>
      <w:rFonts w:hAnsi="宋体"/>
      <w:b/>
    </w:rPr>
  </w:style>
  <w:style w:type="paragraph" w:customStyle="1" w:styleId="affffffffffffffc">
    <w:name w:val="样式 首行缩进正文 + 小四"/>
    <w:basedOn w:val="a8"/>
    <w:qFormat/>
    <w:pPr>
      <w:adjustRightInd w:val="0"/>
      <w:snapToGrid w:val="0"/>
      <w:spacing w:beforeLines="50" w:before="156" w:line="360" w:lineRule="auto"/>
      <w:ind w:firstLineChars="200" w:firstLine="480"/>
    </w:pPr>
    <w:rPr>
      <w:rFonts w:ascii="Times New Roman"/>
      <w:kern w:val="2"/>
      <w:szCs w:val="24"/>
    </w:rPr>
  </w:style>
  <w:style w:type="paragraph" w:customStyle="1" w:styleId="b4">
    <w:name w:val="b4"/>
    <w:basedOn w:val="11"/>
    <w:qFormat/>
    <w:pPr>
      <w:tabs>
        <w:tab w:val="clear" w:pos="8160"/>
      </w:tabs>
      <w:adjustRightInd/>
      <w:snapToGrid w:val="0"/>
      <w:spacing w:before="0" w:afterLines="0" w:after="0" w:line="360" w:lineRule="auto"/>
      <w:jc w:val="both"/>
      <w:textAlignment w:val="auto"/>
      <w:outlineLvl w:val="3"/>
    </w:pPr>
    <w:rPr>
      <w:rFonts w:ascii="Times New Roman"/>
      <w:szCs w:val="44"/>
    </w:rPr>
  </w:style>
  <w:style w:type="paragraph" w:customStyle="1" w:styleId="0772047">
    <w:name w:val="样式 首行缩进:  0.77 厘米 行距: 固定值 20 磅47"/>
    <w:basedOn w:val="a8"/>
    <w:qFormat/>
    <w:pPr>
      <w:spacing w:line="360" w:lineRule="auto"/>
      <w:ind w:firstLineChars="200" w:firstLine="480"/>
      <w:jc w:val="left"/>
    </w:pPr>
    <w:rPr>
      <w:rFonts w:ascii="Times New Roman" w:cs="宋体"/>
      <w:kern w:val="2"/>
    </w:rPr>
  </w:style>
  <w:style w:type="paragraph" w:customStyle="1" w:styleId="2211">
    <w:name w:val="样式 小四 行距: 固定值 22 磅1"/>
    <w:basedOn w:val="a8"/>
    <w:qFormat/>
    <w:pPr>
      <w:spacing w:beforeLines="100" w:before="312" w:line="560" w:lineRule="exact"/>
      <w:ind w:firstLineChars="200" w:firstLine="562"/>
      <w:outlineLvl w:val="0"/>
    </w:pPr>
    <w:rPr>
      <w:rFonts w:ascii="Times New Roman" w:cs="宋体"/>
      <w:b/>
      <w:kern w:val="2"/>
      <w:sz w:val="28"/>
      <w:szCs w:val="28"/>
    </w:rPr>
  </w:style>
  <w:style w:type="paragraph" w:customStyle="1" w:styleId="BodyTextFirstIndent3">
    <w:name w:val="Body Text First Indent3"/>
    <w:basedOn w:val="a9"/>
    <w:qFormat/>
    <w:pPr>
      <w:adjustRightInd w:val="0"/>
      <w:spacing w:after="0" w:line="312" w:lineRule="auto"/>
      <w:ind w:firstLine="567"/>
      <w:textAlignment w:val="baseline"/>
    </w:pPr>
    <w:rPr>
      <w:kern w:val="0"/>
      <w:sz w:val="28"/>
      <w:szCs w:val="20"/>
    </w:rPr>
  </w:style>
  <w:style w:type="paragraph" w:customStyle="1" w:styleId="CM110">
    <w:name w:val="CM110"/>
    <w:basedOn w:val="Default"/>
    <w:next w:val="Default"/>
    <w:qFormat/>
    <w:pPr>
      <w:spacing w:after="52"/>
    </w:pPr>
    <w:rPr>
      <w:rFonts w:ascii="黑体" w:eastAsia="黑体" w:hAnsi="Times New Roman"/>
      <w:color w:val="auto"/>
      <w:sz w:val="20"/>
    </w:rPr>
  </w:style>
  <w:style w:type="paragraph" w:customStyle="1" w:styleId="3Arial">
    <w:name w:val="样式 标题 3 + Arial"/>
    <w:basedOn w:val="a8"/>
    <w:qFormat/>
  </w:style>
  <w:style w:type="paragraph" w:customStyle="1" w:styleId="affffffffffffffd">
    <w:name w:val="条题"/>
    <w:basedOn w:val="a8"/>
    <w:qFormat/>
    <w:pPr>
      <w:tabs>
        <w:tab w:val="left" w:pos="1278"/>
      </w:tabs>
      <w:spacing w:line="420" w:lineRule="exact"/>
      <w:ind w:firstLineChars="200" w:firstLine="560"/>
    </w:pPr>
    <w:rPr>
      <w:rFonts w:ascii="Times New Roman"/>
      <w:kern w:val="2"/>
      <w:szCs w:val="24"/>
    </w:rPr>
  </w:style>
  <w:style w:type="paragraph" w:customStyle="1" w:styleId="a4">
    <w:name w:val="五级条标题"/>
    <w:basedOn w:val="a3"/>
    <w:next w:val="a8"/>
    <w:qFormat/>
    <w:pPr>
      <w:numPr>
        <w:ilvl w:val="6"/>
      </w:numPr>
      <w:outlineLvl w:val="6"/>
    </w:pPr>
  </w:style>
  <w:style w:type="paragraph" w:customStyle="1" w:styleId="CM30">
    <w:name w:val="CM30"/>
    <w:basedOn w:val="Default"/>
    <w:next w:val="Default"/>
    <w:qFormat/>
    <w:rPr>
      <w:rFonts w:ascii="宋体" w:eastAsia="宋体" w:hAnsi="Times New Roman"/>
      <w:color w:val="auto"/>
    </w:rPr>
  </w:style>
  <w:style w:type="paragraph" w:customStyle="1" w:styleId="1fff1">
    <w:name w:val="样式 标题 1 + 自动设置"/>
    <w:basedOn w:val="11"/>
    <w:qFormat/>
    <w:pPr>
      <w:tabs>
        <w:tab w:val="clear" w:pos="8160"/>
        <w:tab w:val="left" w:pos="360"/>
        <w:tab w:val="left" w:pos="700"/>
      </w:tabs>
      <w:autoSpaceDE w:val="0"/>
      <w:autoSpaceDN w:val="0"/>
      <w:spacing w:before="0" w:afterLines="0" w:after="0" w:line="360" w:lineRule="auto"/>
      <w:ind w:left="431" w:hanging="431"/>
      <w:jc w:val="center"/>
      <w:textAlignment w:val="auto"/>
    </w:pPr>
    <w:rPr>
      <w:sz w:val="28"/>
      <w:szCs w:val="20"/>
    </w:rPr>
  </w:style>
  <w:style w:type="paragraph" w:customStyle="1" w:styleId="affffffffffffffe">
    <w:name w:val="公式"/>
    <w:basedOn w:val="a8"/>
    <w:next w:val="a8"/>
    <w:qFormat/>
    <w:pPr>
      <w:spacing w:before="100" w:after="100" w:line="400" w:lineRule="atLeast"/>
    </w:pPr>
    <w:rPr>
      <w:rFonts w:ascii="Times New Roman"/>
      <w:kern w:val="2"/>
      <w:szCs w:val="24"/>
    </w:rPr>
  </w:style>
  <w:style w:type="paragraph" w:customStyle="1" w:styleId="GB2312">
    <w:name w:val="样式 表头 + 楷体_GB2312 三号"/>
    <w:basedOn w:val="affffff1"/>
    <w:qFormat/>
    <w:pPr>
      <w:tabs>
        <w:tab w:val="clear" w:pos="4440"/>
      </w:tabs>
      <w:autoSpaceDE/>
      <w:autoSpaceDN/>
      <w:snapToGrid/>
      <w:spacing w:beforeLines="0" w:before="0" w:afterLines="0" w:after="0" w:line="360" w:lineRule="auto"/>
      <w:textAlignment w:val="baseline"/>
    </w:pPr>
    <w:rPr>
      <w:rFonts w:ascii="楷体_GB2312" w:eastAsia="楷体_GB2312" w:hAnsi="楷体_GB2312" w:cs="宋体"/>
      <w:spacing w:val="4"/>
      <w:kern w:val="0"/>
      <w:sz w:val="30"/>
      <w:szCs w:val="20"/>
    </w:rPr>
  </w:style>
  <w:style w:type="paragraph" w:customStyle="1" w:styleId="afffffffffffffff">
    <w:name w:val="奉读大示，心折殊深。"/>
    <w:qFormat/>
    <w:pPr>
      <w:widowControl w:val="0"/>
      <w:jc w:val="both"/>
    </w:pPr>
    <w:rPr>
      <w:kern w:val="2"/>
      <w:sz w:val="21"/>
    </w:rPr>
  </w:style>
  <w:style w:type="paragraph" w:customStyle="1" w:styleId="afffffffffffffff0">
    <w:name w:val="【附件】"/>
    <w:basedOn w:val="affffffff4"/>
    <w:qFormat/>
    <w:pPr>
      <w:ind w:firstLineChars="0" w:firstLine="0"/>
      <w:jc w:val="left"/>
    </w:pPr>
    <w:rPr>
      <w:b/>
      <w:bCs/>
    </w:rPr>
  </w:style>
  <w:style w:type="paragraph" w:customStyle="1" w:styleId="152">
    <w:name w:val="样式 行距: 1.5 倍行距"/>
    <w:basedOn w:val="a8"/>
    <w:qFormat/>
    <w:pPr>
      <w:spacing w:line="360" w:lineRule="auto"/>
      <w:ind w:firstLineChars="200" w:firstLine="200"/>
    </w:pPr>
    <w:rPr>
      <w:rFonts w:cs="宋体"/>
    </w:rPr>
  </w:style>
  <w:style w:type="paragraph" w:customStyle="1" w:styleId="afffffffffffffff1">
    <w:name w:val="表芯"/>
    <w:basedOn w:val="a8"/>
    <w:next w:val="a8"/>
    <w:qFormat/>
    <w:pPr>
      <w:keepNext/>
      <w:adjustRightInd w:val="0"/>
      <w:spacing w:before="20" w:line="0" w:lineRule="atLeast"/>
      <w:jc w:val="center"/>
      <w:textAlignment w:val="baseline"/>
    </w:pPr>
    <w:rPr>
      <w:rFonts w:ascii="Times New Roman"/>
      <w:kern w:val="21"/>
      <w:sz w:val="21"/>
    </w:rPr>
  </w:style>
  <w:style w:type="paragraph" w:customStyle="1" w:styleId="2010">
    <w:name w:val="样式 黑体 小四 加粗 行距: 固定值 20 磅1"/>
    <w:basedOn w:val="a8"/>
    <w:qFormat/>
    <w:pPr>
      <w:spacing w:line="400" w:lineRule="exact"/>
    </w:pPr>
    <w:rPr>
      <w:rFonts w:ascii="黑体" w:eastAsia="黑体" w:cs="宋体"/>
      <w:b/>
      <w:bCs/>
      <w:kern w:val="2"/>
      <w:sz w:val="28"/>
    </w:rPr>
  </w:style>
  <w:style w:type="paragraph" w:customStyle="1" w:styleId="afffffffffffffff2">
    <w:name w:val="式样"/>
    <w:basedOn w:val="a8"/>
    <w:next w:val="afff2"/>
    <w:qFormat/>
    <w:rPr>
      <w:rFonts w:ascii="Times New Roman"/>
      <w:kern w:val="2"/>
      <w:sz w:val="21"/>
    </w:rPr>
  </w:style>
  <w:style w:type="paragraph" w:customStyle="1" w:styleId="afffffffffffffff3">
    <w:name w:val="正文文"/>
    <w:basedOn w:val="a8"/>
    <w:next w:val="a8"/>
    <w:qFormat/>
    <w:pPr>
      <w:spacing w:beforeLines="25" w:before="78" w:afterLines="25" w:after="78" w:line="440" w:lineRule="exact"/>
      <w:ind w:firstLineChars="200" w:firstLine="200"/>
    </w:pPr>
    <w:rPr>
      <w:rFonts w:cs="宋体"/>
    </w:rPr>
  </w:style>
  <w:style w:type="paragraph" w:customStyle="1" w:styleId="82">
    <w:name w:val="8"/>
    <w:basedOn w:val="a8"/>
    <w:next w:val="aff5"/>
    <w:qFormat/>
    <w:pPr>
      <w:spacing w:line="400" w:lineRule="exact"/>
      <w:ind w:firstLineChars="215" w:firstLine="516"/>
    </w:pPr>
  </w:style>
  <w:style w:type="paragraph" w:customStyle="1" w:styleId="1230">
    <w:name w:val="样式 行距: 最小值 12 磅3"/>
    <w:basedOn w:val="a8"/>
    <w:qFormat/>
    <w:pPr>
      <w:spacing w:line="360" w:lineRule="auto"/>
      <w:ind w:firstLineChars="200" w:firstLine="480"/>
    </w:pPr>
    <w:rPr>
      <w:rFonts w:hAnsi="宋体"/>
      <w:kern w:val="2"/>
    </w:rPr>
  </w:style>
  <w:style w:type="paragraph" w:customStyle="1" w:styleId="font6">
    <w:name w:val="font6"/>
    <w:basedOn w:val="a8"/>
    <w:qFormat/>
    <w:pPr>
      <w:widowControl/>
      <w:spacing w:before="100" w:beforeAutospacing="1" w:after="100" w:afterAutospacing="1"/>
      <w:jc w:val="left"/>
    </w:pPr>
    <w:rPr>
      <w:rFonts w:hAnsi="宋体" w:hint="eastAsia"/>
      <w:sz w:val="18"/>
      <w:szCs w:val="18"/>
    </w:rPr>
  </w:style>
  <w:style w:type="paragraph" w:customStyle="1" w:styleId="ParaChar">
    <w:name w:val="默认段落字体 Para Char"/>
    <w:basedOn w:val="a8"/>
    <w:next w:val="a8"/>
    <w:qFormat/>
    <w:pPr>
      <w:spacing w:line="360" w:lineRule="auto"/>
      <w:ind w:firstLineChars="200" w:firstLine="200"/>
    </w:pPr>
    <w:rPr>
      <w:rFonts w:eastAsia="汉鼎简书宋" w:hAnsi="宋体" w:cs="宋体"/>
    </w:rPr>
  </w:style>
  <w:style w:type="paragraph" w:customStyle="1" w:styleId="xl54">
    <w:name w:val="xl54"/>
    <w:basedOn w:val="a8"/>
    <w:qFormat/>
    <w:pPr>
      <w:widowControl/>
      <w:pBdr>
        <w:left w:val="single" w:sz="4" w:space="0" w:color="auto"/>
        <w:bottom w:val="single" w:sz="4" w:space="0" w:color="auto"/>
      </w:pBdr>
      <w:spacing w:before="100" w:beforeAutospacing="1" w:after="100" w:afterAutospacing="1"/>
      <w:jc w:val="center"/>
      <w:textAlignment w:val="center"/>
    </w:pPr>
    <w:rPr>
      <w:rFonts w:eastAsia="Arial Unicode MS"/>
      <w:color w:val="000000"/>
    </w:rPr>
  </w:style>
  <w:style w:type="paragraph" w:customStyle="1" w:styleId="afffffffffffffff4">
    <w:name w:val="特殊标题３"/>
    <w:basedOn w:val="a8"/>
    <w:qFormat/>
    <w:pPr>
      <w:overflowPunct w:val="0"/>
      <w:autoSpaceDE w:val="0"/>
      <w:autoSpaceDN w:val="0"/>
      <w:adjustRightInd w:val="0"/>
      <w:spacing w:line="360" w:lineRule="auto"/>
      <w:textAlignment w:val="baseline"/>
    </w:pPr>
    <w:rPr>
      <w:rFonts w:eastAsia="仿宋_GB2312"/>
      <w:sz w:val="28"/>
    </w:rPr>
  </w:style>
  <w:style w:type="paragraph" w:customStyle="1" w:styleId="ParaCharCharCharCharCharCharChar">
    <w:name w:val="默认段落字体 Para Char Char Char Char Char Char Char"/>
    <w:basedOn w:val="a8"/>
    <w:qFormat/>
    <w:pPr>
      <w:spacing w:line="360" w:lineRule="auto"/>
    </w:pPr>
    <w:rPr>
      <w:rFonts w:ascii="Times New Roman"/>
      <w:kern w:val="2"/>
      <w:szCs w:val="24"/>
    </w:rPr>
  </w:style>
  <w:style w:type="paragraph" w:customStyle="1" w:styleId="CharCharCharCharChar1Char">
    <w:name w:val="Char Char Char Char Char1 Char"/>
    <w:basedOn w:val="a8"/>
    <w:qFormat/>
    <w:rPr>
      <w:rFonts w:ascii="Times New Roman"/>
      <w:kern w:val="2"/>
      <w:sz w:val="21"/>
      <w:szCs w:val="24"/>
    </w:rPr>
  </w:style>
  <w:style w:type="paragraph" w:customStyle="1" w:styleId="afffffffffffffff5">
    <w:name w:val="正文内容"/>
    <w:basedOn w:val="a8"/>
    <w:qFormat/>
    <w:pPr>
      <w:adjustRightInd w:val="0"/>
      <w:snapToGrid w:val="0"/>
      <w:spacing w:line="360" w:lineRule="auto"/>
      <w:ind w:firstLineChars="200" w:firstLine="496"/>
    </w:pPr>
    <w:rPr>
      <w:rFonts w:hAnsi="宋体"/>
      <w:snapToGrid w:val="0"/>
      <w:spacing w:val="4"/>
    </w:rPr>
  </w:style>
  <w:style w:type="paragraph" w:customStyle="1" w:styleId="afffffffffffffff6">
    <w:name w:val="小四表文左齐"/>
    <w:basedOn w:val="a8"/>
    <w:qFormat/>
    <w:pPr>
      <w:spacing w:line="360" w:lineRule="exact"/>
      <w:jc w:val="center"/>
    </w:pPr>
    <w:rPr>
      <w:szCs w:val="21"/>
    </w:rPr>
  </w:style>
  <w:style w:type="paragraph" w:customStyle="1" w:styleId="afffffffffffffff7">
    <w:name w:val="正文文字"/>
    <w:basedOn w:val="a8"/>
    <w:qFormat/>
    <w:pPr>
      <w:widowControl/>
      <w:tabs>
        <w:tab w:val="left" w:pos="1332"/>
      </w:tabs>
      <w:spacing w:line="351" w:lineRule="atLeast"/>
      <w:ind w:firstLine="680"/>
      <w:textAlignment w:val="baseline"/>
    </w:pPr>
    <w:rPr>
      <w:bCs/>
      <w:color w:val="000000"/>
      <w:spacing w:val="5"/>
      <w:szCs w:val="21"/>
      <w:u w:color="000000"/>
    </w:rPr>
  </w:style>
  <w:style w:type="paragraph" w:customStyle="1" w:styleId="Char3CharCharChar1CharChar1Char">
    <w:name w:val="Char3 Char Char Char1 Char Char1 Char"/>
    <w:basedOn w:val="a8"/>
    <w:qFormat/>
    <w:rPr>
      <w:rFonts w:ascii="Times New Roman"/>
      <w:kern w:val="2"/>
      <w:sz w:val="21"/>
      <w:szCs w:val="21"/>
    </w:rPr>
  </w:style>
  <w:style w:type="paragraph" w:customStyle="1" w:styleId="Web">
    <w:name w:val="普通 (Web)"/>
    <w:basedOn w:val="a8"/>
    <w:qFormat/>
    <w:pPr>
      <w:widowControl/>
      <w:spacing w:before="100" w:beforeAutospacing="1" w:after="100" w:afterAutospacing="1"/>
      <w:jc w:val="left"/>
    </w:pPr>
    <w:rPr>
      <w:rFonts w:hAnsi="宋体" w:hint="eastAsia"/>
      <w:color w:val="000000"/>
    </w:rPr>
  </w:style>
  <w:style w:type="paragraph" w:customStyle="1" w:styleId="8CharChar">
    <w:name w:val="目录 8 Char Char"/>
    <w:basedOn w:val="a8"/>
    <w:next w:val="a8"/>
    <w:qFormat/>
    <w:pPr>
      <w:spacing w:line="351" w:lineRule="atLeast"/>
      <w:ind w:left="1468" w:firstLine="419"/>
      <w:jc w:val="left"/>
    </w:pPr>
    <w:rPr>
      <w:rFonts w:ascii="Times New Roman"/>
      <w:kern w:val="2"/>
      <w:sz w:val="21"/>
    </w:rPr>
  </w:style>
  <w:style w:type="paragraph" w:customStyle="1" w:styleId="afffffffffffffff8">
    <w:name w:val="图表中文字"/>
    <w:basedOn w:val="a8"/>
    <w:qFormat/>
    <w:pPr>
      <w:jc w:val="center"/>
    </w:pPr>
    <w:rPr>
      <w:rFonts w:ascii="Times New Roman"/>
      <w:kern w:val="2"/>
      <w:sz w:val="18"/>
      <w:szCs w:val="24"/>
    </w:rPr>
  </w:style>
  <w:style w:type="paragraph" w:customStyle="1" w:styleId="bgt">
    <w:name w:val="bgt"/>
    <w:basedOn w:val="a8"/>
    <w:next w:val="a8"/>
    <w:qFormat/>
    <w:pPr>
      <w:spacing w:line="360" w:lineRule="auto"/>
      <w:ind w:right="480"/>
      <w:jc w:val="center"/>
    </w:pPr>
    <w:rPr>
      <w:rFonts w:hAnsi="宋体"/>
      <w:b/>
      <w:color w:val="000000"/>
      <w:kern w:val="2"/>
      <w:szCs w:val="24"/>
    </w:rPr>
  </w:style>
  <w:style w:type="paragraph" w:customStyle="1" w:styleId="17119">
    <w:name w:val="样式 首行缩进:  1.71 字符19"/>
    <w:basedOn w:val="a8"/>
    <w:qFormat/>
    <w:pPr>
      <w:spacing w:line="360" w:lineRule="auto"/>
    </w:pPr>
    <w:rPr>
      <w:rFonts w:ascii="Times New Roman" w:cs="宋体"/>
      <w:color w:val="FF0000"/>
      <w:kern w:val="2"/>
      <w:szCs w:val="24"/>
    </w:rPr>
  </w:style>
  <w:style w:type="paragraph" w:customStyle="1" w:styleId="2ff">
    <w:name w:val="尾注文本2"/>
    <w:basedOn w:val="4d"/>
    <w:qFormat/>
    <w:rPr>
      <w:sz w:val="21"/>
    </w:rPr>
  </w:style>
  <w:style w:type="paragraph" w:customStyle="1" w:styleId="CharCharChar1CharCharCharCharCharCharCharCharCharChar">
    <w:name w:val="Char Char Char1 Char Char Char Char Char Char Char Char Char Char"/>
    <w:basedOn w:val="a8"/>
    <w:qFormat/>
    <w:rPr>
      <w:rFonts w:ascii="Times New Roman"/>
      <w:kern w:val="2"/>
      <w:sz w:val="21"/>
      <w:szCs w:val="24"/>
    </w:rPr>
  </w:style>
  <w:style w:type="paragraph" w:customStyle="1" w:styleId="afffffffffffffff9">
    <w:name w:val="正文(a)"/>
    <w:basedOn w:val="afffffffffffffff7"/>
    <w:qFormat/>
    <w:pPr>
      <w:tabs>
        <w:tab w:val="clear" w:pos="1332"/>
        <w:tab w:val="left" w:pos="1139"/>
      </w:tabs>
      <w:ind w:left="-141" w:firstLine="566"/>
    </w:pPr>
    <w:rPr>
      <w:rFonts w:cs="宋体"/>
    </w:rPr>
  </w:style>
  <w:style w:type="paragraph" w:customStyle="1" w:styleId="brdrw15brsp20tqctx4153t">
    <w:name w:val="brdrw15brsp20 tqctx4153t"/>
    <w:qFormat/>
    <w:pPr>
      <w:widowControl w:val="0"/>
      <w:pBdr>
        <w:bottom w:val="single" w:sz="6" w:space="0" w:color="auto"/>
      </w:pBdr>
      <w:adjustRightInd w:val="0"/>
      <w:spacing w:line="360" w:lineRule="atLeast"/>
      <w:jc w:val="center"/>
    </w:pPr>
    <w:rPr>
      <w:sz w:val="24"/>
    </w:rPr>
  </w:style>
  <w:style w:type="paragraph" w:customStyle="1" w:styleId="xl59">
    <w:name w:val="xl59"/>
    <w:basedOn w:val="a8"/>
    <w:qFormat/>
    <w:pPr>
      <w:widowControl/>
      <w:pBdr>
        <w:top w:val="single" w:sz="8" w:space="0" w:color="auto"/>
        <w:bottom w:val="single" w:sz="4" w:space="0" w:color="auto"/>
        <w:right w:val="single" w:sz="4" w:space="0" w:color="auto"/>
      </w:pBdr>
      <w:spacing w:before="100" w:beforeAutospacing="1" w:after="100" w:afterAutospacing="1"/>
      <w:jc w:val="center"/>
      <w:textAlignment w:val="center"/>
    </w:pPr>
    <w:rPr>
      <w:rFonts w:eastAsia="Arial Unicode MS"/>
      <w:color w:val="000000"/>
    </w:rPr>
  </w:style>
  <w:style w:type="paragraph" w:customStyle="1" w:styleId="afffffffffffffffa">
    <w:name w:val="小于节标题"/>
    <w:basedOn w:val="affffffffff9"/>
    <w:qFormat/>
    <w:pPr>
      <w:ind w:firstLineChars="0" w:firstLine="0"/>
      <w:jc w:val="left"/>
    </w:pPr>
  </w:style>
  <w:style w:type="paragraph" w:customStyle="1" w:styleId="xl39">
    <w:name w:val="xl39"/>
    <w:basedOn w:val="a8"/>
    <w:qFormat/>
    <w:pPr>
      <w:widowControl/>
      <w:pBdr>
        <w:left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4f1">
    <w:name w:val="标题样式4"/>
    <w:basedOn w:val="42"/>
    <w:qFormat/>
    <w:pPr>
      <w:spacing w:before="0" w:after="0" w:line="360" w:lineRule="auto"/>
    </w:pPr>
    <w:rPr>
      <w:rFonts w:ascii="黑体" w:hAnsi="Times New Roman"/>
      <w:szCs w:val="24"/>
      <w:lang w:val="zh-CN"/>
    </w:rPr>
  </w:style>
  <w:style w:type="paragraph" w:customStyle="1" w:styleId="xl30">
    <w:name w:val="xl30"/>
    <w:basedOn w:val="a8"/>
    <w:qFormat/>
    <w:pPr>
      <w:widowControl/>
      <w:spacing w:before="100" w:beforeAutospacing="1" w:after="100" w:afterAutospacing="1"/>
      <w:jc w:val="center"/>
      <w:textAlignment w:val="center"/>
    </w:pPr>
    <w:rPr>
      <w:rFonts w:ascii="黑体" w:eastAsia="黑体" w:hAnsi="Arial Unicode MS" w:cs="Arial Unicode MS" w:hint="eastAsia"/>
      <w:bCs/>
      <w:sz w:val="36"/>
      <w:szCs w:val="36"/>
    </w:rPr>
  </w:style>
  <w:style w:type="paragraph" w:customStyle="1" w:styleId="Style27">
    <w:name w:val="_Style 27"/>
    <w:basedOn w:val="a8"/>
    <w:next w:val="aa"/>
    <w:qFormat/>
    <w:pPr>
      <w:ind w:firstLine="420"/>
    </w:pPr>
    <w:rPr>
      <w:rFonts w:ascii="Times New Roman"/>
      <w:kern w:val="2"/>
      <w:sz w:val="21"/>
    </w:rPr>
  </w:style>
  <w:style w:type="paragraph" w:customStyle="1" w:styleId="afffffffffffffffb">
    <w:name w:val="样式 (符号) 宋体"/>
    <w:basedOn w:val="a8"/>
    <w:qFormat/>
    <w:pPr>
      <w:ind w:firstLineChars="200" w:firstLine="504"/>
    </w:pPr>
    <w:rPr>
      <w:rFonts w:hAnsi="宋体" w:cs="宋体"/>
    </w:rPr>
  </w:style>
  <w:style w:type="paragraph" w:customStyle="1" w:styleId="GB231202">
    <w:name w:val="样式 (西文) 宋体 (中文) 仿宋_GB2312 五号 黑色 居中 首行缩进:  0 厘米 行距: 单倍行距2"/>
    <w:basedOn w:val="a8"/>
    <w:qFormat/>
    <w:pPr>
      <w:widowControl/>
      <w:jc w:val="center"/>
    </w:pPr>
    <w:rPr>
      <w:rFonts w:hAnsi="宋体"/>
      <w:color w:val="000000"/>
      <w:spacing w:val="5"/>
      <w:kern w:val="2"/>
      <w:sz w:val="21"/>
    </w:rPr>
  </w:style>
  <w:style w:type="paragraph" w:customStyle="1" w:styleId="Style48">
    <w:name w:val="_Style 48"/>
    <w:basedOn w:val="a8"/>
    <w:next w:val="affff2"/>
    <w:qFormat/>
    <w:pPr>
      <w:widowControl/>
      <w:spacing w:before="100" w:beforeAutospacing="1" w:after="100" w:afterAutospacing="1"/>
      <w:jc w:val="left"/>
    </w:pPr>
    <w:rPr>
      <w:rFonts w:hint="eastAsia"/>
      <w:color w:val="000000"/>
    </w:rPr>
  </w:style>
  <w:style w:type="paragraph" w:customStyle="1" w:styleId="3111ReHead3WSAh3BSH-3H3b33rdlevell3CT">
    <w:name w:val="样式 标题 3条标题1.1.1ReHead 3 WSAh3BSH-3H3b33rd levell3CT标题..."/>
    <w:basedOn w:val="31"/>
    <w:qFormat/>
    <w:pPr>
      <w:keepNext w:val="0"/>
      <w:keepLines w:val="0"/>
      <w:adjustRightInd w:val="0"/>
      <w:snapToGrid w:val="0"/>
      <w:spacing w:before="120" w:after="120" w:line="240" w:lineRule="auto"/>
    </w:pPr>
    <w:rPr>
      <w:rFonts w:ascii="Times New Roman" w:eastAsia="黑体"/>
      <w:bCs w:val="0"/>
      <w:sz w:val="28"/>
    </w:rPr>
  </w:style>
  <w:style w:type="paragraph" w:customStyle="1" w:styleId="12322Char">
    <w:name w:val="样式 样式 样式 样式 样式 样式 样式 123 + 自动设置 首行缩进:  2 字符 + 首行缩进:  2 字符 + 黑色 首... Char"/>
    <w:basedOn w:val="a8"/>
    <w:qFormat/>
    <w:pPr>
      <w:widowControl/>
      <w:tabs>
        <w:tab w:val="left" w:pos="352"/>
      </w:tabs>
      <w:overflowPunct w:val="0"/>
      <w:autoSpaceDE w:val="0"/>
      <w:autoSpaceDN w:val="0"/>
      <w:adjustRightInd w:val="0"/>
      <w:snapToGrid w:val="0"/>
      <w:spacing w:line="460" w:lineRule="exact"/>
      <w:ind w:firstLineChars="200" w:firstLine="560"/>
      <w:textAlignment w:val="bottom"/>
    </w:pPr>
    <w:rPr>
      <w:rFonts w:ascii="Times New Roman" w:cs="宋体"/>
      <w:kern w:val="2"/>
      <w:sz w:val="28"/>
      <w:szCs w:val="28"/>
    </w:rPr>
  </w:style>
  <w:style w:type="paragraph" w:customStyle="1" w:styleId="121111111111">
    <w:name w:val="121111111111"/>
    <w:basedOn w:val="a8"/>
    <w:qFormat/>
    <w:pPr>
      <w:spacing w:line="460" w:lineRule="exact"/>
      <w:jc w:val="center"/>
    </w:pPr>
    <w:rPr>
      <w:rFonts w:eastAsia="黑体"/>
      <w:color w:val="000000"/>
      <w:spacing w:val="16"/>
    </w:rPr>
  </w:style>
  <w:style w:type="paragraph" w:customStyle="1" w:styleId="WPSPlain">
    <w:name w:val="WPS Plain"/>
    <w:qFormat/>
  </w:style>
  <w:style w:type="paragraph" w:customStyle="1" w:styleId="1fff2">
    <w:name w:val="1正文"/>
    <w:basedOn w:val="a8"/>
    <w:qFormat/>
    <w:pPr>
      <w:widowControl/>
      <w:spacing w:line="360" w:lineRule="auto"/>
      <w:ind w:firstLineChars="200" w:firstLine="200"/>
    </w:pPr>
    <w:rPr>
      <w:rFonts w:ascii="Times New Roman" w:cs="宋体"/>
      <w:szCs w:val="24"/>
    </w:rPr>
  </w:style>
  <w:style w:type="paragraph" w:customStyle="1" w:styleId="xl23">
    <w:name w:val="xl23"/>
    <w:basedOn w:val="a8"/>
    <w:qFormat/>
    <w:pPr>
      <w:widowControl/>
      <w:spacing w:before="100" w:beforeAutospacing="1" w:after="100" w:afterAutospacing="1"/>
      <w:jc w:val="center"/>
    </w:pPr>
    <w:rPr>
      <w:rFonts w:hAnsi="宋体"/>
    </w:rPr>
  </w:style>
  <w:style w:type="paragraph" w:customStyle="1" w:styleId="2ff0">
    <w:name w:val="表格方案样式2"/>
    <w:basedOn w:val="affffffffff8"/>
    <w:qFormat/>
    <w:pPr>
      <w:tabs>
        <w:tab w:val="clear" w:pos="567"/>
      </w:tabs>
    </w:pPr>
    <w:rPr>
      <w:spacing w:val="0"/>
    </w:rPr>
  </w:style>
  <w:style w:type="paragraph" w:customStyle="1" w:styleId="afffffffffffffffc">
    <w:name w:val="图片"/>
    <w:basedOn w:val="a8"/>
    <w:qFormat/>
    <w:pPr>
      <w:spacing w:line="440" w:lineRule="exact"/>
    </w:pPr>
    <w:rPr>
      <w:rFonts w:ascii="Times New Roman"/>
      <w:kern w:val="2"/>
      <w:szCs w:val="24"/>
    </w:rPr>
  </w:style>
  <w:style w:type="paragraph" w:customStyle="1" w:styleId="0772044">
    <w:name w:val="样式 首行缩进:  0.77 厘米 行距: 固定值 20 磅44"/>
    <w:basedOn w:val="a8"/>
    <w:qFormat/>
    <w:pPr>
      <w:spacing w:line="360" w:lineRule="auto"/>
      <w:ind w:firstLineChars="200" w:firstLine="480"/>
    </w:pPr>
    <w:rPr>
      <w:rFonts w:ascii="Times New Roman"/>
      <w:kern w:val="2"/>
      <w:szCs w:val="24"/>
    </w:rPr>
  </w:style>
  <w:style w:type="paragraph" w:customStyle="1" w:styleId="540">
    <w:name w:val="河石管道 表格正文54"/>
    <w:qFormat/>
    <w:pPr>
      <w:spacing w:line="0" w:lineRule="atLeast"/>
      <w:jc w:val="both"/>
    </w:pPr>
    <w:rPr>
      <w:kern w:val="2"/>
      <w:sz w:val="18"/>
    </w:rPr>
  </w:style>
  <w:style w:type="paragraph" w:customStyle="1" w:styleId="2TimesNewRoman20">
    <w:name w:val="样式 标题 2 + Times New Roman 小三 居中 行距: 固定值 20 磅"/>
    <w:basedOn w:val="2"/>
    <w:qFormat/>
    <w:pPr>
      <w:widowControl/>
      <w:spacing w:before="260" w:after="260" w:line="400" w:lineRule="exact"/>
      <w:ind w:firstLineChars="192" w:firstLine="538"/>
      <w:jc w:val="left"/>
    </w:pPr>
    <w:rPr>
      <w:rFonts w:cs="宋体"/>
      <w:kern w:val="0"/>
      <w:sz w:val="30"/>
    </w:rPr>
  </w:style>
  <w:style w:type="paragraph" w:customStyle="1" w:styleId="1fff3">
    <w:name w:val="样式 标题 1 + 华文行楷 初号 居中"/>
    <w:basedOn w:val="11"/>
    <w:qFormat/>
    <w:pPr>
      <w:tabs>
        <w:tab w:val="clear" w:pos="8160"/>
      </w:tabs>
      <w:adjustRightInd/>
      <w:spacing w:before="0" w:afterLines="0" w:after="0"/>
      <w:jc w:val="center"/>
      <w:textAlignment w:val="auto"/>
    </w:pPr>
    <w:rPr>
      <w:rFonts w:ascii="华文行楷" w:eastAsia="华文行楷" w:hAnsi="Arial" w:cs="宋体"/>
      <w:b w:val="0"/>
      <w:bCs w:val="0"/>
      <w:sz w:val="84"/>
      <w:szCs w:val="20"/>
    </w:rPr>
  </w:style>
  <w:style w:type="paragraph" w:customStyle="1" w:styleId="afffffffffffffffd">
    <w:name w:val="灯泡注释(打印无效)"/>
    <w:basedOn w:val="affff7"/>
    <w:qFormat/>
    <w:pPr>
      <w:snapToGrid w:val="0"/>
      <w:spacing w:line="240" w:lineRule="auto"/>
      <w:ind w:firstLineChars="0" w:firstLine="0"/>
    </w:pPr>
    <w:rPr>
      <w:i/>
      <w:vanish/>
      <w:color w:val="FF0000"/>
      <w:spacing w:val="0"/>
      <w:sz w:val="21"/>
      <w:szCs w:val="21"/>
    </w:rPr>
  </w:style>
  <w:style w:type="paragraph" w:customStyle="1" w:styleId="gy">
    <w:name w:val="gy"/>
    <w:basedOn w:val="a8"/>
    <w:qFormat/>
    <w:pPr>
      <w:widowControl/>
      <w:spacing w:before="100" w:beforeAutospacing="1" w:after="100" w:afterAutospacing="1" w:line="360" w:lineRule="auto"/>
      <w:ind w:left="150" w:right="150" w:firstLine="520"/>
      <w:jc w:val="left"/>
    </w:pPr>
    <w:rPr>
      <w:rFonts w:ascii="Arial Unicode MS" w:eastAsia="Arial Unicode MS" w:hAnsi="Arial Unicode MS" w:cs="宋体"/>
      <w:sz w:val="18"/>
    </w:rPr>
  </w:style>
  <w:style w:type="paragraph" w:customStyle="1" w:styleId="afffffffffffffffe">
    <w:name w:val="奇数页眉"/>
    <w:basedOn w:val="afff5"/>
    <w:qFormat/>
    <w:pPr>
      <w:widowControl/>
    </w:pPr>
    <w:rPr>
      <w:rFonts w:ascii="Calibri" w:hAnsi="Calibri"/>
      <w:kern w:val="0"/>
      <w:lang w:eastAsia="en-US" w:bidi="en-US"/>
    </w:rPr>
  </w:style>
  <w:style w:type="paragraph" w:customStyle="1" w:styleId="2ff1">
    <w:name w:val="可研标题2"/>
    <w:basedOn w:val="2"/>
    <w:qFormat/>
    <w:pPr>
      <w:keepLines w:val="0"/>
      <w:widowControl/>
      <w:spacing w:before="0" w:after="0"/>
      <w:jc w:val="left"/>
    </w:pPr>
    <w:rPr>
      <w:rFonts w:ascii="仿宋_GB2312" w:eastAsia="仿宋_GB2312" w:hAnsi="宋体"/>
      <w:kern w:val="0"/>
    </w:rPr>
  </w:style>
  <w:style w:type="paragraph" w:customStyle="1" w:styleId="2CharChar2">
    <w:name w:val="目录 2 Char Char"/>
    <w:basedOn w:val="a8"/>
    <w:next w:val="a8"/>
    <w:qFormat/>
    <w:pPr>
      <w:spacing w:line="351" w:lineRule="atLeast"/>
      <w:ind w:left="209" w:firstLine="419"/>
      <w:jc w:val="left"/>
    </w:pPr>
    <w:rPr>
      <w:rFonts w:ascii="Times New Roman"/>
      <w:kern w:val="2"/>
      <w:sz w:val="21"/>
    </w:rPr>
  </w:style>
  <w:style w:type="paragraph" w:customStyle="1" w:styleId="3fd">
    <w:name w:val="正文文字3"/>
    <w:basedOn w:val="311"/>
    <w:qFormat/>
    <w:pPr>
      <w:adjustRightInd w:val="0"/>
      <w:snapToGrid w:val="0"/>
      <w:spacing w:after="0"/>
      <w:ind w:left="-57" w:right="-57"/>
      <w:jc w:val="center"/>
    </w:pPr>
    <w:rPr>
      <w:rFonts w:eastAsia="黑体"/>
      <w:snapToGrid w:val="0"/>
      <w:sz w:val="18"/>
      <w:szCs w:val="18"/>
    </w:rPr>
  </w:style>
  <w:style w:type="paragraph" w:customStyle="1" w:styleId="affffffffffffffff">
    <w:name w:val="表居中（中文）"/>
    <w:basedOn w:val="a8"/>
    <w:qFormat/>
    <w:pPr>
      <w:adjustRightInd w:val="0"/>
      <w:spacing w:line="380" w:lineRule="atLeast"/>
      <w:jc w:val="center"/>
      <w:textAlignment w:val="baseline"/>
    </w:pPr>
    <w:rPr>
      <w:rFonts w:ascii="Times New Roman" w:eastAsia="楷体_GB2312"/>
    </w:rPr>
  </w:style>
  <w:style w:type="paragraph" w:customStyle="1" w:styleId="CharChar12">
    <w:name w:val="Char Char1"/>
    <w:basedOn w:val="a8"/>
    <w:qFormat/>
    <w:pPr>
      <w:widowControl/>
      <w:spacing w:before="100" w:beforeAutospacing="1" w:after="100" w:afterAutospacing="1"/>
      <w:ind w:firstLineChars="200" w:firstLine="200"/>
      <w:jc w:val="left"/>
    </w:pPr>
    <w:rPr>
      <w:rFonts w:ascii="Verdana" w:eastAsia="仿宋_GB2312" w:hAnsi="Verdana"/>
      <w:sz w:val="20"/>
      <w:szCs w:val="21"/>
      <w:lang w:eastAsia="en-US"/>
    </w:rPr>
  </w:style>
  <w:style w:type="paragraph" w:customStyle="1" w:styleId="312">
    <w:name w:val="正文文字缩进 31"/>
    <w:basedOn w:val="a8"/>
    <w:next w:val="24"/>
    <w:qFormat/>
    <w:pPr>
      <w:spacing w:line="360" w:lineRule="auto"/>
      <w:ind w:firstLineChars="100" w:firstLine="280"/>
    </w:pPr>
    <w:rPr>
      <w:rFonts w:hAnsi="宋体" w:cs="宋体"/>
      <w:bCs/>
      <w:sz w:val="28"/>
      <w:szCs w:val="30"/>
    </w:rPr>
  </w:style>
  <w:style w:type="paragraph" w:customStyle="1" w:styleId="y0">
    <w:name w:val="y表头"/>
    <w:basedOn w:val="a9"/>
    <w:qFormat/>
    <w:pPr>
      <w:tabs>
        <w:tab w:val="left" w:pos="900"/>
      </w:tabs>
      <w:adjustRightInd w:val="0"/>
      <w:spacing w:after="0"/>
      <w:jc w:val="center"/>
      <w:textAlignment w:val="baseline"/>
    </w:pPr>
    <w:rPr>
      <w:rFonts w:eastAsia="楷体_GB2312" w:hAnsi="宋体" w:hint="eastAsia"/>
      <w:b/>
      <w:sz w:val="24"/>
      <w:szCs w:val="20"/>
    </w:rPr>
  </w:style>
  <w:style w:type="paragraph" w:customStyle="1" w:styleId="1fff4">
    <w:name w:val="质表正文1"/>
    <w:basedOn w:val="a8"/>
    <w:qFormat/>
    <w:pPr>
      <w:adjustRightInd w:val="0"/>
      <w:snapToGrid w:val="0"/>
      <w:spacing w:line="360" w:lineRule="auto"/>
      <w:jc w:val="center"/>
    </w:pPr>
    <w:rPr>
      <w:rFonts w:hAnsi="宋体"/>
      <w:kern w:val="2"/>
      <w:sz w:val="21"/>
      <w:szCs w:val="24"/>
    </w:rPr>
  </w:style>
  <w:style w:type="paragraph" w:customStyle="1" w:styleId="xl67">
    <w:name w:val="xl67"/>
    <w:basedOn w:val="a8"/>
    <w:qFormat/>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eastAsia="Arial Unicode MS"/>
      <w:color w:val="000000"/>
      <w:sz w:val="20"/>
    </w:rPr>
  </w:style>
  <w:style w:type="paragraph" w:customStyle="1" w:styleId="xl40">
    <w:name w:val="xl40"/>
    <w:basedOn w:val="a8"/>
    <w:qFormat/>
    <w:pPr>
      <w:widowControl/>
      <w:pBdr>
        <w:bottom w:val="single" w:sz="4" w:space="0" w:color="auto"/>
        <w:right w:val="single" w:sz="4" w:space="0" w:color="auto"/>
      </w:pBdr>
      <w:spacing w:before="100" w:beforeAutospacing="1" w:after="100" w:afterAutospacing="1"/>
      <w:jc w:val="center"/>
    </w:pPr>
    <w:rPr>
      <w:rFonts w:ascii="Arial Unicode MS" w:eastAsia="Arial Unicode MS" w:hAnsi="Arial Unicode MS"/>
      <w:color w:val="000000"/>
      <w:szCs w:val="21"/>
    </w:rPr>
  </w:style>
  <w:style w:type="paragraph" w:customStyle="1" w:styleId="CharCharChar1CharCharCharCharChar">
    <w:name w:val="正文文本最新 Char Char Char1 Char Char Char Char Char"/>
    <w:qFormat/>
    <w:pPr>
      <w:spacing w:line="360" w:lineRule="auto"/>
      <w:ind w:firstLineChars="200" w:firstLine="200"/>
      <w:jc w:val="both"/>
    </w:pPr>
    <w:rPr>
      <w:bCs/>
      <w:kern w:val="2"/>
      <w:sz w:val="28"/>
      <w:szCs w:val="24"/>
    </w:rPr>
  </w:style>
  <w:style w:type="paragraph" w:customStyle="1" w:styleId="2ff2">
    <w:name w:val="目录2"/>
    <w:basedOn w:val="a8"/>
    <w:next w:val="a8"/>
    <w:qFormat/>
    <w:pPr>
      <w:tabs>
        <w:tab w:val="left" w:leader="dot" w:pos="8503"/>
      </w:tabs>
      <w:spacing w:line="317" w:lineRule="atLeast"/>
      <w:ind w:left="419" w:firstLine="419"/>
    </w:pPr>
    <w:rPr>
      <w:rFonts w:ascii="Times New Roman"/>
      <w:kern w:val="2"/>
      <w:sz w:val="21"/>
    </w:rPr>
  </w:style>
  <w:style w:type="paragraph" w:customStyle="1" w:styleId="xl22">
    <w:name w:val="xl22"/>
    <w:basedOn w:val="a8"/>
    <w:qFormat/>
    <w:pPr>
      <w:widowControl/>
      <w:spacing w:before="100" w:beforeAutospacing="1" w:after="100" w:afterAutospacing="1"/>
      <w:jc w:val="center"/>
    </w:pPr>
    <w:rPr>
      <w:rFonts w:ascii="Arial Unicode MS" w:eastAsia="Arial Unicode MS" w:hAnsi="Arial Unicode MS"/>
      <w:szCs w:val="21"/>
    </w:rPr>
  </w:style>
  <w:style w:type="paragraph" w:customStyle="1" w:styleId="affffffffffffffff0">
    <w:name w:val="规划正文样式"/>
    <w:basedOn w:val="a8"/>
    <w:qFormat/>
    <w:pPr>
      <w:spacing w:line="400" w:lineRule="exact"/>
      <w:ind w:firstLineChars="200" w:firstLine="480"/>
    </w:pPr>
  </w:style>
  <w:style w:type="paragraph" w:customStyle="1" w:styleId="93">
    <w:name w:val="9"/>
    <w:basedOn w:val="a8"/>
    <w:next w:val="aff5"/>
    <w:qFormat/>
    <w:pPr>
      <w:spacing w:line="400" w:lineRule="exact"/>
      <w:ind w:firstLineChars="215" w:firstLine="516"/>
    </w:pPr>
  </w:style>
  <w:style w:type="paragraph" w:customStyle="1" w:styleId="xl34">
    <w:name w:val="xl34"/>
    <w:basedOn w:val="a8"/>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sz w:val="20"/>
    </w:rPr>
  </w:style>
  <w:style w:type="paragraph" w:customStyle="1" w:styleId="xl32">
    <w:name w:val="xl32"/>
    <w:basedOn w:val="a8"/>
    <w:qFormat/>
    <w:pPr>
      <w:widowControl/>
      <w:pBdr>
        <w:top w:val="dotted" w:sz="4" w:space="0" w:color="auto"/>
        <w:bottom w:val="dotted" w:sz="4" w:space="0" w:color="auto"/>
        <w:right w:val="dotted" w:sz="4" w:space="0" w:color="auto"/>
      </w:pBdr>
      <w:spacing w:before="100" w:beforeAutospacing="1" w:after="100" w:afterAutospacing="1"/>
      <w:jc w:val="center"/>
    </w:pPr>
    <w:rPr>
      <w:rFonts w:ascii="Arial Unicode MS" w:eastAsia="Arial Unicode MS" w:hAnsi="Arial Unicode MS" w:cs="Arial Unicode MS"/>
      <w:color w:val="000000"/>
    </w:rPr>
  </w:style>
  <w:style w:type="paragraph" w:customStyle="1" w:styleId="350">
    <w:name w:val="样式 燕山正文 + 首行缩进:  3.5 字符"/>
    <w:basedOn w:val="affffffffffff8"/>
    <w:qFormat/>
    <w:pPr>
      <w:tabs>
        <w:tab w:val="clear" w:pos="4680"/>
      </w:tabs>
      <w:jc w:val="both"/>
    </w:pPr>
    <w:rPr>
      <w:rFonts w:hAnsi="Times New Roman"/>
      <w:snapToGrid/>
      <w:kern w:val="2"/>
    </w:rPr>
  </w:style>
  <w:style w:type="paragraph" w:customStyle="1" w:styleId="affffffffffffffff1">
    <w:name w:val="俺的正文样式"/>
    <w:basedOn w:val="a8"/>
    <w:qFormat/>
    <w:pPr>
      <w:spacing w:line="500" w:lineRule="exact"/>
      <w:ind w:firstLineChars="200" w:firstLine="560"/>
    </w:pPr>
    <w:rPr>
      <w:rFonts w:cs="宋体"/>
      <w:sz w:val="28"/>
      <w:szCs w:val="28"/>
    </w:rPr>
  </w:style>
  <w:style w:type="paragraph" w:customStyle="1" w:styleId="affffffffffffffff2">
    <w:name w:val="五级无标题条"/>
    <w:basedOn w:val="a8"/>
    <w:qFormat/>
  </w:style>
  <w:style w:type="paragraph" w:customStyle="1" w:styleId="fuxi">
    <w:name w:val="目录fuxi"/>
    <w:basedOn w:val="a8"/>
    <w:qFormat/>
    <w:pPr>
      <w:snapToGrid w:val="0"/>
      <w:spacing w:before="60" w:after="60"/>
      <w:jc w:val="center"/>
    </w:pPr>
    <w:rPr>
      <w:rFonts w:hint="eastAsia"/>
      <w:outline/>
      <w:color w:val="000000"/>
      <w:kern w:val="2"/>
      <w:sz w:val="21"/>
      <w14:textOutline w14:w="9525" w14:cap="flat" w14:cmpd="sng" w14:algn="ctr">
        <w14:solidFill>
          <w14:srgbClr w14:val="000000"/>
        </w14:solidFill>
        <w14:prstDash w14:val="solid"/>
        <w14:round/>
      </w14:textOutline>
      <w14:textFill>
        <w14:noFill/>
      </w14:textFill>
    </w:rPr>
  </w:style>
  <w:style w:type="paragraph" w:customStyle="1" w:styleId="06">
    <w:name w:val="标题06"/>
    <w:basedOn w:val="a8"/>
    <w:qFormat/>
    <w:pPr>
      <w:adjustRightInd w:val="0"/>
      <w:spacing w:before="2040" w:line="400" w:lineRule="atLeast"/>
      <w:textAlignment w:val="baseline"/>
    </w:pPr>
    <w:rPr>
      <w:rFonts w:eastAsia="黑体"/>
      <w:spacing w:val="10"/>
      <w:sz w:val="28"/>
    </w:rPr>
  </w:style>
  <w:style w:type="paragraph" w:customStyle="1" w:styleId="1020">
    <w:name w:val="样式 标题 1 + 段前: 0 磅2"/>
    <w:basedOn w:val="11"/>
    <w:qFormat/>
    <w:pPr>
      <w:pageBreakBefore/>
      <w:spacing w:before="0" w:afterLines="0" w:after="60"/>
    </w:pPr>
    <w:rPr>
      <w:rFonts w:cs="宋体"/>
      <w:szCs w:val="20"/>
    </w:rPr>
  </w:style>
  <w:style w:type="paragraph" w:customStyle="1" w:styleId="Char210">
    <w:name w:val="Char21"/>
    <w:basedOn w:val="a8"/>
    <w:qFormat/>
    <w:rPr>
      <w:rFonts w:ascii="Times New Roman"/>
      <w:kern w:val="2"/>
      <w:szCs w:val="24"/>
    </w:rPr>
  </w:style>
  <w:style w:type="paragraph" w:customStyle="1" w:styleId="ParaCharCharCharCharCharCharCharCharCharChar">
    <w:name w:val="默认段落字体 Para Char Char Char Char Char Char Char Char Char Char"/>
    <w:basedOn w:val="a8"/>
    <w:qFormat/>
    <w:rPr>
      <w:rFonts w:ascii="Times New Roman"/>
      <w:kern w:val="2"/>
      <w:sz w:val="21"/>
      <w:szCs w:val="24"/>
    </w:rPr>
  </w:style>
  <w:style w:type="paragraph" w:customStyle="1" w:styleId="Char4CharCharChar">
    <w:name w:val="Char4 Char Char Char"/>
    <w:basedOn w:val="a8"/>
    <w:qFormat/>
    <w:rPr>
      <w:rFonts w:ascii="Times New Roman"/>
      <w:kern w:val="2"/>
      <w:szCs w:val="24"/>
    </w:rPr>
  </w:style>
  <w:style w:type="paragraph" w:customStyle="1" w:styleId="3fe">
    <w:name w:val="页眉3"/>
    <w:basedOn w:val="112"/>
    <w:qFormat/>
    <w:pPr>
      <w:pBdr>
        <w:bottom w:val="single" w:sz="6" w:space="1" w:color="auto"/>
      </w:pBdr>
      <w:tabs>
        <w:tab w:val="center" w:pos="4153"/>
        <w:tab w:val="right" w:pos="8306"/>
      </w:tabs>
      <w:adjustRightInd w:val="0"/>
      <w:spacing w:line="240" w:lineRule="atLeast"/>
      <w:ind w:firstLineChars="0" w:firstLine="0"/>
      <w:jc w:val="center"/>
      <w:textAlignment w:val="baseline"/>
    </w:pPr>
    <w:rPr>
      <w:sz w:val="18"/>
    </w:rPr>
  </w:style>
  <w:style w:type="paragraph" w:customStyle="1" w:styleId="xl45">
    <w:name w:val="xl45"/>
    <w:basedOn w:val="a8"/>
    <w:qFormat/>
    <w:pPr>
      <w:widowControl/>
      <w:pBdr>
        <w:top w:val="single" w:sz="4" w:space="0" w:color="auto"/>
        <w:left w:val="single" w:sz="4" w:space="0" w:color="auto"/>
        <w:right w:val="single" w:sz="4" w:space="0" w:color="auto"/>
      </w:pBdr>
      <w:spacing w:before="100" w:beforeAutospacing="1" w:after="100" w:afterAutospacing="1"/>
      <w:jc w:val="center"/>
    </w:pPr>
    <w:rPr>
      <w:rFonts w:eastAsia="Arial Unicode MS"/>
      <w:color w:val="000000"/>
    </w:rPr>
  </w:style>
  <w:style w:type="paragraph" w:customStyle="1" w:styleId="affffffffffffffff3">
    <w:name w:val="正文修改样式"/>
    <w:basedOn w:val="3a"/>
    <w:qFormat/>
    <w:pPr>
      <w:autoSpaceDE w:val="0"/>
      <w:autoSpaceDN w:val="0"/>
      <w:adjustRightInd w:val="0"/>
      <w:spacing w:line="360" w:lineRule="auto"/>
      <w:ind w:firstLineChars="0" w:firstLine="505"/>
      <w:jc w:val="left"/>
      <w:textAlignment w:val="bottom"/>
    </w:pPr>
    <w:rPr>
      <w:rFonts w:ascii="Times New Roman"/>
      <w:kern w:val="0"/>
      <w:szCs w:val="20"/>
    </w:rPr>
  </w:style>
  <w:style w:type="paragraph" w:customStyle="1" w:styleId="GB231205">
    <w:name w:val="样式 (西文) 宋体 (中文) 仿宋_GB2312 五号 黑色 居中 首行缩进:  0 厘米 行距: 单倍行距5"/>
    <w:basedOn w:val="a8"/>
    <w:qFormat/>
    <w:pPr>
      <w:widowControl/>
      <w:jc w:val="center"/>
    </w:pPr>
    <w:rPr>
      <w:rFonts w:eastAsia="仿宋_GB2312" w:hAnsi="宋体"/>
      <w:color w:val="000000"/>
      <w:kern w:val="2"/>
      <w:sz w:val="21"/>
    </w:rPr>
  </w:style>
  <w:style w:type="paragraph" w:customStyle="1" w:styleId="2SLCON2">
    <w:name w:val="样式 正文 首行缩进:  2 字符 SL CON + 首行缩进:  2 字符"/>
    <w:basedOn w:val="2SLCON"/>
    <w:link w:val="2SLCON2Char"/>
    <w:qFormat/>
    <w:pPr>
      <w:ind w:firstLine="480"/>
    </w:pPr>
    <w:rPr>
      <w:rFonts w:ascii="Calibri" w:hAnsi="Calibri"/>
    </w:rPr>
  </w:style>
  <w:style w:type="paragraph" w:customStyle="1" w:styleId="affffffffffffffff4">
    <w:name w:val="正文仿宋小四"/>
    <w:basedOn w:val="a8"/>
    <w:qFormat/>
    <w:pPr>
      <w:adjustRightInd w:val="0"/>
      <w:snapToGrid w:val="0"/>
      <w:spacing w:line="360" w:lineRule="auto"/>
      <w:ind w:firstLineChars="200" w:firstLine="480"/>
    </w:pPr>
    <w:rPr>
      <w:rFonts w:ascii="Times New Roman" w:eastAsia="仿宋_GB2312"/>
      <w:kern w:val="2"/>
      <w:szCs w:val="24"/>
    </w:rPr>
  </w:style>
  <w:style w:type="paragraph" w:customStyle="1" w:styleId="affffffffffffffff5">
    <w:name w:val="正文（首行缩进）"/>
    <w:basedOn w:val="a8"/>
    <w:qFormat/>
    <w:pPr>
      <w:widowControl/>
      <w:spacing w:line="360" w:lineRule="auto"/>
      <w:ind w:firstLineChars="200" w:firstLine="480"/>
      <w:jc w:val="left"/>
    </w:pPr>
    <w:rPr>
      <w:rFonts w:hAnsi="宋体"/>
      <w:color w:val="000000"/>
    </w:rPr>
  </w:style>
  <w:style w:type="paragraph" w:customStyle="1" w:styleId="affffffffffffffff6">
    <w:name w:val="文"/>
    <w:basedOn w:val="31"/>
    <w:next w:val="affffffb"/>
    <w:qFormat/>
    <w:pPr>
      <w:keepNext w:val="0"/>
      <w:keepLines w:val="0"/>
      <w:spacing w:before="0" w:after="0" w:line="360" w:lineRule="auto"/>
      <w:ind w:firstLineChars="200" w:firstLine="480"/>
      <w:outlineLvl w:val="9"/>
    </w:pPr>
    <w:rPr>
      <w:rFonts w:ascii="Times New Roman"/>
      <w:b w:val="0"/>
      <w:bCs w:val="0"/>
      <w:sz w:val="24"/>
      <w:szCs w:val="24"/>
    </w:rPr>
  </w:style>
  <w:style w:type="paragraph" w:customStyle="1" w:styleId="333CharTimesNew3">
    <w:name w:val="样式 标题 3样式　标题 3　自动设置标题 3 Char章 + Times New 表题3"/>
    <w:basedOn w:val="31"/>
    <w:qFormat/>
    <w:pPr>
      <w:tabs>
        <w:tab w:val="left" w:pos="3800"/>
        <w:tab w:val="left" w:pos="5200"/>
      </w:tabs>
      <w:autoSpaceDE w:val="0"/>
      <w:autoSpaceDN w:val="0"/>
      <w:adjustRightInd w:val="0"/>
      <w:snapToGrid w:val="0"/>
      <w:spacing w:beforeLines="50" w:before="156" w:afterLines="50" w:after="156" w:line="240" w:lineRule="auto"/>
      <w:ind w:left="-1523" w:firstLine="1523"/>
    </w:pPr>
    <w:rPr>
      <w:rFonts w:cs="宋体"/>
      <w:sz w:val="28"/>
      <w:szCs w:val="28"/>
    </w:rPr>
  </w:style>
  <w:style w:type="paragraph" w:customStyle="1" w:styleId="221TimesNewRoman24">
    <w:name w:val="样式 标题 2标题 21 + Times New Roman 小三 非加粗 行距: 最小值 24 磅"/>
    <w:basedOn w:val="2"/>
    <w:qFormat/>
    <w:pPr>
      <w:keepNext w:val="0"/>
      <w:keepLines w:val="0"/>
      <w:tabs>
        <w:tab w:val="left" w:pos="238"/>
      </w:tabs>
      <w:adjustRightInd w:val="0"/>
      <w:snapToGrid w:val="0"/>
      <w:spacing w:before="156" w:after="120" w:line="480" w:lineRule="atLeast"/>
      <w:ind w:left="238"/>
    </w:pPr>
    <w:rPr>
      <w:rFonts w:ascii="Times New Roman" w:cs="宋体"/>
      <w:color w:val="000000"/>
      <w:sz w:val="30"/>
    </w:rPr>
  </w:style>
  <w:style w:type="paragraph" w:customStyle="1" w:styleId="xl38">
    <w:name w:val="xl38"/>
    <w:basedOn w:val="a8"/>
    <w:qFormat/>
    <w:pPr>
      <w:widowControl/>
      <w:pBdr>
        <w:left w:val="single" w:sz="4" w:space="0" w:color="auto"/>
        <w:right w:val="single" w:sz="4" w:space="0" w:color="auto"/>
      </w:pBdr>
      <w:spacing w:before="100" w:after="100"/>
      <w:jc w:val="center"/>
      <w:textAlignment w:val="center"/>
    </w:pPr>
    <w:rPr>
      <w:rFonts w:ascii="楷体_GB2312" w:eastAsia="楷体_GB2312" w:hAnsi="Arial Unicode MS" w:hint="eastAsia"/>
    </w:rPr>
  </w:style>
  <w:style w:type="paragraph" w:customStyle="1" w:styleId="style3">
    <w:name w:val="style3"/>
    <w:basedOn w:val="a8"/>
    <w:qFormat/>
    <w:pPr>
      <w:widowControl/>
      <w:spacing w:before="100" w:beforeAutospacing="1" w:after="100" w:afterAutospacing="1" w:line="360" w:lineRule="auto"/>
      <w:ind w:firstLine="360"/>
      <w:jc w:val="left"/>
    </w:pPr>
    <w:rPr>
      <w:rFonts w:hAnsi="宋体" w:cs="宋体"/>
      <w:color w:val="FFFFFF"/>
      <w:sz w:val="18"/>
      <w:szCs w:val="18"/>
    </w:rPr>
  </w:style>
  <w:style w:type="paragraph" w:customStyle="1" w:styleId="CharCharChar1">
    <w:name w:val="我的正文 Char Char Char"/>
    <w:basedOn w:val="a8"/>
    <w:qFormat/>
    <w:pPr>
      <w:spacing w:line="360" w:lineRule="auto"/>
      <w:ind w:firstLineChars="200" w:firstLine="200"/>
    </w:pPr>
    <w:rPr>
      <w:rFonts w:ascii="Times New Roman"/>
      <w:kern w:val="2"/>
      <w:szCs w:val="24"/>
    </w:rPr>
  </w:style>
  <w:style w:type="paragraph" w:customStyle="1" w:styleId="Style20">
    <w:name w:val="_Style 20"/>
    <w:basedOn w:val="a8"/>
    <w:next w:val="aff5"/>
    <w:qFormat/>
    <w:pPr>
      <w:ind w:firstLineChars="200" w:firstLine="200"/>
    </w:pPr>
    <w:rPr>
      <w:rFonts w:ascii="Times New Roman"/>
      <w:kern w:val="2"/>
      <w:sz w:val="21"/>
    </w:rPr>
  </w:style>
  <w:style w:type="paragraph" w:customStyle="1" w:styleId="affffffffffffffff7">
    <w:name w:val="表格后正文"/>
    <w:basedOn w:val="affffffffff9"/>
    <w:qFormat/>
    <w:pPr>
      <w:spacing w:before="200"/>
    </w:pPr>
  </w:style>
  <w:style w:type="paragraph" w:customStyle="1" w:styleId="CM82">
    <w:name w:val="CM82"/>
    <w:basedOn w:val="Default"/>
    <w:next w:val="Default"/>
    <w:qFormat/>
    <w:pPr>
      <w:spacing w:line="313" w:lineRule="atLeast"/>
    </w:pPr>
    <w:rPr>
      <w:color w:val="auto"/>
    </w:rPr>
  </w:style>
  <w:style w:type="paragraph" w:customStyle="1" w:styleId="PSPSPSPS">
    <w:name w:val="PSPSPSPS"/>
    <w:basedOn w:val="a8"/>
    <w:qFormat/>
    <w:pPr>
      <w:adjustRightInd w:val="0"/>
      <w:spacing w:line="600" w:lineRule="atLeast"/>
      <w:textAlignment w:val="baseline"/>
    </w:pPr>
    <w:rPr>
      <w:sz w:val="28"/>
    </w:rPr>
  </w:style>
  <w:style w:type="paragraph" w:customStyle="1" w:styleId="affffffffffffffff8">
    <w:name w:val="正文报告"/>
    <w:basedOn w:val="a8"/>
    <w:qFormat/>
    <w:pPr>
      <w:tabs>
        <w:tab w:val="left" w:pos="510"/>
      </w:tabs>
      <w:adjustRightInd w:val="0"/>
      <w:spacing w:line="460" w:lineRule="exact"/>
      <w:ind w:firstLine="482"/>
      <w:textAlignment w:val="baseline"/>
    </w:pPr>
    <w:rPr>
      <w:rFonts w:ascii="Times New Roman"/>
    </w:rPr>
  </w:style>
  <w:style w:type="paragraph" w:customStyle="1" w:styleId="1fff5">
    <w:name w:val="样式1－表头"/>
    <w:basedOn w:val="a8"/>
    <w:qFormat/>
    <w:pPr>
      <w:adjustRightInd w:val="0"/>
      <w:snapToGrid w:val="0"/>
      <w:spacing w:beforeLines="50" w:before="156" w:afterLines="50" w:after="156" w:line="336" w:lineRule="auto"/>
      <w:jc w:val="center"/>
    </w:pPr>
    <w:rPr>
      <w:rFonts w:eastAsia="黑体"/>
      <w:spacing w:val="6"/>
    </w:rPr>
  </w:style>
  <w:style w:type="paragraph" w:customStyle="1" w:styleId="CharCharGB2312">
    <w:name w:val="样式 纯文本普通文字 Char表格文字表内文字纯文本 Char + 仿宋_GB2312 四号"/>
    <w:basedOn w:val="aff9"/>
    <w:qFormat/>
    <w:pPr>
      <w:spacing w:before="0" w:beforeAutospacing="0" w:after="0" w:afterAutospacing="0"/>
    </w:pPr>
    <w:rPr>
      <w:rFonts w:ascii="宋体" w:eastAsia="宋体" w:hAnsi="仿宋_GB2312" w:cs="Courier New"/>
      <w:sz w:val="28"/>
      <w:szCs w:val="28"/>
    </w:rPr>
  </w:style>
  <w:style w:type="paragraph" w:customStyle="1" w:styleId="CharCharCharCharCharChar10">
    <w:name w:val="Char Char Char Char Char Char1"/>
    <w:basedOn w:val="a8"/>
    <w:qFormat/>
  </w:style>
  <w:style w:type="paragraph" w:customStyle="1" w:styleId="1fff6">
    <w:name w:val="公式样式1"/>
    <w:basedOn w:val="a8"/>
    <w:qFormat/>
    <w:pPr>
      <w:jc w:val="center"/>
    </w:pPr>
    <w:rPr>
      <w:color w:val="000000"/>
    </w:rPr>
  </w:style>
  <w:style w:type="paragraph" w:customStyle="1" w:styleId="affffffffffffffff9">
    <w:name w:val="表字"/>
    <w:basedOn w:val="a8"/>
    <w:qFormat/>
    <w:pPr>
      <w:jc w:val="center"/>
    </w:pPr>
  </w:style>
  <w:style w:type="paragraph" w:customStyle="1" w:styleId="1fff7">
    <w:name w:val="页脚1"/>
    <w:basedOn w:val="1f2"/>
    <w:qFormat/>
    <w:pPr>
      <w:tabs>
        <w:tab w:val="center" w:pos="4153"/>
        <w:tab w:val="right" w:pos="8306"/>
      </w:tabs>
      <w:spacing w:line="240" w:lineRule="atLeast"/>
    </w:pPr>
    <w:rPr>
      <w:sz w:val="18"/>
    </w:rPr>
  </w:style>
  <w:style w:type="paragraph" w:customStyle="1" w:styleId="282525">
    <w:name w:val="样式 样式 样式 行距: 固定值 28 磅 + 首行缩进:  2.5 字符 + 首行缩进:  2.5 字符"/>
    <w:basedOn w:val="2825"/>
    <w:qFormat/>
    <w:pPr>
      <w:spacing w:line="500" w:lineRule="exact"/>
      <w:ind w:firstLine="250"/>
    </w:pPr>
  </w:style>
  <w:style w:type="paragraph" w:customStyle="1" w:styleId="5b">
    <w:name w:val="图中文字5号"/>
    <w:basedOn w:val="a8"/>
    <w:qFormat/>
    <w:pPr>
      <w:adjustRightInd w:val="0"/>
      <w:snapToGrid w:val="0"/>
      <w:jc w:val="center"/>
      <w:textAlignment w:val="baseline"/>
    </w:pPr>
    <w:rPr>
      <w:rFonts w:ascii="Times New Roman" w:eastAsia="仿宋_GB2312"/>
      <w:kern w:val="28"/>
      <w:position w:val="-14"/>
      <w:sz w:val="21"/>
    </w:rPr>
  </w:style>
  <w:style w:type="paragraph" w:customStyle="1" w:styleId="5c">
    <w:name w:val="5"/>
    <w:basedOn w:val="a8"/>
    <w:next w:val="a8"/>
    <w:qFormat/>
    <w:rPr>
      <w:rFonts w:hAnsi="Courier New"/>
      <w:kern w:val="2"/>
      <w:sz w:val="21"/>
    </w:rPr>
  </w:style>
  <w:style w:type="paragraph" w:customStyle="1" w:styleId="CharCharChar1Char1">
    <w:name w:val="Char Char Char1 Char1"/>
    <w:basedOn w:val="a8"/>
    <w:qFormat/>
  </w:style>
  <w:style w:type="paragraph" w:customStyle="1" w:styleId="affffffffffffffffa">
    <w:name w:val="表序号"/>
    <w:basedOn w:val="50"/>
    <w:qFormat/>
    <w:pPr>
      <w:tabs>
        <w:tab w:val="clear" w:pos="1008"/>
        <w:tab w:val="left" w:pos="1620"/>
      </w:tabs>
      <w:adjustRightInd/>
      <w:ind w:leftChars="600" w:left="1620" w:hangingChars="200" w:hanging="360"/>
      <w:jc w:val="center"/>
      <w:textAlignment w:val="auto"/>
    </w:pPr>
    <w:rPr>
      <w:rFonts w:hAnsi="Arial"/>
      <w:b/>
      <w:kern w:val="2"/>
    </w:rPr>
  </w:style>
  <w:style w:type="paragraph" w:customStyle="1" w:styleId="xl27">
    <w:name w:val="xl27"/>
    <w:basedOn w:val="a8"/>
    <w:qFormat/>
    <w:pPr>
      <w:widowControl/>
      <w:spacing w:before="100" w:beforeAutospacing="1" w:after="100" w:afterAutospacing="1"/>
      <w:jc w:val="center"/>
      <w:textAlignment w:val="center"/>
    </w:pPr>
    <w:rPr>
      <w:rFonts w:ascii="Arial Unicode MS" w:eastAsia="Arial Unicode MS" w:hAnsi="Arial Unicode MS"/>
      <w:bCs/>
      <w:sz w:val="20"/>
      <w:szCs w:val="32"/>
    </w:rPr>
  </w:style>
  <w:style w:type="paragraph" w:customStyle="1" w:styleId="CM28">
    <w:name w:val="CM28"/>
    <w:basedOn w:val="Default"/>
    <w:next w:val="Default"/>
    <w:qFormat/>
    <w:pPr>
      <w:spacing w:line="403" w:lineRule="atLeast"/>
    </w:pPr>
    <w:rPr>
      <w:rFonts w:ascii="宋体" w:eastAsia="宋体" w:hAnsi="Times New Roman"/>
      <w:color w:val="auto"/>
    </w:rPr>
  </w:style>
  <w:style w:type="paragraph" w:customStyle="1" w:styleId="affffffffffffffffb">
    <w:name w:val="样式 图表 + 宋体"/>
    <w:basedOn w:val="afffffffffffff5"/>
    <w:qFormat/>
  </w:style>
  <w:style w:type="paragraph" w:customStyle="1" w:styleId="125">
    <w:name w:val="样式 左 行距: 固定值 12 磅"/>
    <w:basedOn w:val="a8"/>
    <w:qFormat/>
    <w:pPr>
      <w:spacing w:line="240" w:lineRule="exact"/>
      <w:jc w:val="left"/>
    </w:pPr>
    <w:rPr>
      <w:rFonts w:ascii="Times New Roman" w:cs="宋体"/>
      <w:kern w:val="2"/>
    </w:rPr>
  </w:style>
  <w:style w:type="paragraph" w:customStyle="1" w:styleId="GB231204">
    <w:name w:val="样式 (西文) 宋体 (中文) 仿宋_GB2312 五号 黑色 居中 首行缩进:  0 厘米 行距: 单倍行距4"/>
    <w:basedOn w:val="a8"/>
    <w:qFormat/>
    <w:pPr>
      <w:widowControl/>
      <w:jc w:val="center"/>
    </w:pPr>
    <w:rPr>
      <w:rFonts w:hAnsi="宋体"/>
      <w:color w:val="000000"/>
      <w:kern w:val="2"/>
      <w:sz w:val="21"/>
    </w:rPr>
  </w:style>
  <w:style w:type="paragraph" w:customStyle="1" w:styleId="affffffffffffffffc">
    <w:name w:val="正文(首行缩进)宋旭峰"/>
    <w:basedOn w:val="aa"/>
    <w:qFormat/>
    <w:pPr>
      <w:spacing w:line="360" w:lineRule="auto"/>
      <w:ind w:firstLineChars="200" w:firstLine="480"/>
      <w:contextualSpacing/>
    </w:pPr>
    <w:rPr>
      <w:color w:val="000000"/>
      <w:szCs w:val="24"/>
    </w:rPr>
  </w:style>
  <w:style w:type="paragraph" w:customStyle="1" w:styleId="CharCharCharChar1">
    <w:name w:val="Char Char Char Char1"/>
    <w:basedOn w:val="a8"/>
    <w:qFormat/>
    <w:pPr>
      <w:spacing w:line="360" w:lineRule="auto"/>
      <w:ind w:firstLineChars="200" w:firstLine="200"/>
    </w:pPr>
    <w:rPr>
      <w:rFonts w:hAnsi="宋体" w:cs="宋体"/>
      <w:kern w:val="2"/>
      <w:szCs w:val="24"/>
    </w:rPr>
  </w:style>
  <w:style w:type="paragraph" w:customStyle="1" w:styleId="affffffffffffffffd">
    <w:name w:val="二级无标题条"/>
    <w:basedOn w:val="a8"/>
    <w:qFormat/>
    <w:pPr>
      <w:spacing w:line="360" w:lineRule="auto"/>
    </w:pPr>
  </w:style>
  <w:style w:type="paragraph" w:customStyle="1" w:styleId="font5">
    <w:name w:val="font5"/>
    <w:basedOn w:val="a8"/>
    <w:qFormat/>
    <w:pPr>
      <w:widowControl/>
      <w:spacing w:before="100" w:beforeAutospacing="1" w:after="100" w:afterAutospacing="1"/>
      <w:jc w:val="left"/>
    </w:pPr>
  </w:style>
  <w:style w:type="paragraph" w:customStyle="1" w:styleId="126">
    <w:name w:val="12点"/>
    <w:basedOn w:val="a8"/>
    <w:qFormat/>
    <w:pPr>
      <w:adjustRightInd w:val="0"/>
      <w:snapToGrid w:val="0"/>
      <w:spacing w:line="300" w:lineRule="auto"/>
      <w:ind w:firstLineChars="200" w:firstLine="560"/>
    </w:pPr>
    <w:rPr>
      <w:rFonts w:hAnsi="宋体"/>
      <w:kern w:val="2"/>
      <w:sz w:val="28"/>
      <w:szCs w:val="28"/>
    </w:rPr>
  </w:style>
  <w:style w:type="paragraph" w:customStyle="1" w:styleId="affffffffffffffffe">
    <w:name w:val="表格内容（新）"/>
    <w:basedOn w:val="a8"/>
    <w:qFormat/>
    <w:pPr>
      <w:jc w:val="center"/>
    </w:pPr>
    <w:rPr>
      <w:rFonts w:ascii="Times New Roman" w:cs="宋体"/>
      <w:color w:val="339966"/>
      <w:kern w:val="2"/>
      <w:sz w:val="18"/>
      <w:szCs w:val="18"/>
    </w:rPr>
  </w:style>
  <w:style w:type="paragraph" w:customStyle="1" w:styleId="xl50">
    <w:name w:val="xl50"/>
    <w:basedOn w:val="a8"/>
    <w:qFormat/>
    <w:pPr>
      <w:widowControl/>
      <w:pBdr>
        <w:left w:val="single" w:sz="8" w:space="0" w:color="auto"/>
        <w:bottom w:val="single" w:sz="8" w:space="0" w:color="auto"/>
        <w:right w:val="single" w:sz="4" w:space="0" w:color="auto"/>
      </w:pBdr>
      <w:spacing w:before="100" w:beforeAutospacing="1" w:after="100" w:afterAutospacing="1" w:line="360" w:lineRule="auto"/>
      <w:jc w:val="center"/>
    </w:pPr>
    <w:rPr>
      <w:rFonts w:hAnsi="宋体" w:hint="eastAsia"/>
    </w:rPr>
  </w:style>
  <w:style w:type="paragraph" w:customStyle="1" w:styleId="4f2">
    <w:name w:val="宏福4"/>
    <w:basedOn w:val="a8"/>
    <w:qFormat/>
    <w:pPr>
      <w:adjustRightInd w:val="0"/>
      <w:spacing w:line="400" w:lineRule="atLeast"/>
      <w:ind w:firstLine="567"/>
      <w:jc w:val="left"/>
      <w:textAlignment w:val="baseline"/>
    </w:pPr>
    <w:rPr>
      <w:rFonts w:ascii="Times New Roman"/>
      <w:kern w:val="2"/>
      <w:sz w:val="28"/>
    </w:rPr>
  </w:style>
  <w:style w:type="paragraph" w:customStyle="1" w:styleId="222">
    <w:name w:val="样式 小四 行距: 固定值 22 磅"/>
    <w:basedOn w:val="a8"/>
    <w:qFormat/>
    <w:pPr>
      <w:spacing w:line="440" w:lineRule="exact"/>
      <w:ind w:firstLineChars="200" w:firstLine="480"/>
    </w:pPr>
    <w:rPr>
      <w:rFonts w:ascii="Times New Roman" w:cs="宋体"/>
      <w:kern w:val="2"/>
      <w:sz w:val="28"/>
    </w:rPr>
  </w:style>
  <w:style w:type="paragraph" w:customStyle="1" w:styleId="-3">
    <w:name w:val="表格后-段落"/>
    <w:basedOn w:val="-0"/>
    <w:qFormat/>
    <w:pPr>
      <w:spacing w:beforeLines="150" w:before="468" w:line="360" w:lineRule="auto"/>
      <w:ind w:firstLineChars="200" w:firstLine="200"/>
      <w:jc w:val="left"/>
    </w:pPr>
    <w:rPr>
      <w:szCs w:val="24"/>
    </w:rPr>
  </w:style>
  <w:style w:type="paragraph" w:customStyle="1" w:styleId="CharCharCharCharCharCharCharCharCharChar0">
    <w:name w:val="图名称 Char Char Char Char Char Char Char Char Char Char"/>
    <w:basedOn w:val="a8"/>
    <w:qFormat/>
    <w:pPr>
      <w:tabs>
        <w:tab w:val="left" w:pos="-120"/>
      </w:tabs>
      <w:spacing w:before="60" w:line="310" w:lineRule="atLeast"/>
      <w:jc w:val="center"/>
    </w:pPr>
    <w:rPr>
      <w:rFonts w:ascii="黑体" w:eastAsia="黑体"/>
      <w:b/>
      <w:bCs/>
      <w:sz w:val="21"/>
      <w:szCs w:val="28"/>
    </w:rPr>
  </w:style>
  <w:style w:type="paragraph" w:customStyle="1" w:styleId="xl65">
    <w:name w:val="xl65"/>
    <w:basedOn w:val="a8"/>
    <w:qFormat/>
    <w:pPr>
      <w:widowControl/>
      <w:pBdr>
        <w:left w:val="single" w:sz="4" w:space="0" w:color="auto"/>
        <w:right w:val="single" w:sz="4" w:space="0" w:color="auto"/>
      </w:pBdr>
      <w:spacing w:before="100" w:beforeAutospacing="1" w:after="100" w:afterAutospacing="1"/>
      <w:jc w:val="center"/>
    </w:pPr>
    <w:rPr>
      <w:rFonts w:ascii="Arial Unicode MS" w:hAnsi="Arial Unicode MS"/>
      <w:szCs w:val="21"/>
    </w:rPr>
  </w:style>
  <w:style w:type="paragraph" w:customStyle="1" w:styleId="142">
    <w:name w:val="1标题4级"/>
    <w:basedOn w:val="132"/>
    <w:qFormat/>
    <w:pPr>
      <w:keepNext/>
      <w:adjustRightInd w:val="0"/>
      <w:spacing w:line="420" w:lineRule="auto"/>
      <w:textAlignment w:val="baseline"/>
    </w:pPr>
    <w:rPr>
      <w:rFonts w:ascii="宋体" w:eastAsia="黑体" w:hAnsi="宋体" w:hint="eastAsia"/>
      <w:b/>
    </w:rPr>
  </w:style>
  <w:style w:type="paragraph" w:customStyle="1" w:styleId="2ff3">
    <w:name w:val="样式 标题2　自动设置"/>
    <w:basedOn w:val="2"/>
    <w:qFormat/>
    <w:pPr>
      <w:tabs>
        <w:tab w:val="left" w:pos="576"/>
      </w:tabs>
      <w:spacing w:beforeLines="50" w:before="156" w:afterLines="50" w:after="156"/>
      <w:ind w:left="576" w:hanging="576"/>
    </w:pPr>
    <w:rPr>
      <w:rFonts w:eastAsia="宋体" w:hAnsi="宋体" w:cs="宋体"/>
      <w:kern w:val="0"/>
      <w:sz w:val="28"/>
    </w:rPr>
  </w:style>
  <w:style w:type="paragraph" w:customStyle="1" w:styleId="xl31">
    <w:name w:val="xl31"/>
    <w:basedOn w:val="a8"/>
    <w:qFormat/>
    <w:pPr>
      <w:widowControl/>
      <w:pBdr>
        <w:bottom w:val="single" w:sz="4" w:space="0" w:color="auto"/>
        <w:right w:val="single" w:sz="4" w:space="0" w:color="000000"/>
      </w:pBdr>
      <w:spacing w:before="100" w:beforeAutospacing="1" w:after="100" w:afterAutospacing="1"/>
      <w:jc w:val="center"/>
    </w:pPr>
    <w:rPr>
      <w:rFonts w:ascii="Arial Unicode MS" w:eastAsia="Arial Unicode MS" w:hAnsi="Arial Unicode MS"/>
      <w:bCs/>
      <w:szCs w:val="21"/>
    </w:rPr>
  </w:style>
  <w:style w:type="paragraph" w:customStyle="1" w:styleId="CM11">
    <w:name w:val="CM11"/>
    <w:basedOn w:val="Default"/>
    <w:next w:val="Default"/>
    <w:qFormat/>
    <w:pPr>
      <w:spacing w:line="468" w:lineRule="atLeast"/>
    </w:pPr>
    <w:rPr>
      <w:rFonts w:ascii="宋体" w:eastAsia="宋体" w:hAnsi="Times New Roman"/>
      <w:color w:val="auto"/>
      <w:szCs w:val="20"/>
    </w:rPr>
  </w:style>
  <w:style w:type="paragraph" w:customStyle="1" w:styleId="1010">
    <w:name w:val="样式 标题 1 + 段前: 0 磅1"/>
    <w:basedOn w:val="11"/>
    <w:qFormat/>
    <w:pPr>
      <w:pageBreakBefore/>
      <w:spacing w:before="0" w:afterLines="0" w:after="60"/>
    </w:pPr>
    <w:rPr>
      <w:rFonts w:cs="宋体"/>
      <w:szCs w:val="20"/>
    </w:rPr>
  </w:style>
  <w:style w:type="paragraph" w:customStyle="1" w:styleId="head">
    <w:name w:val="head"/>
    <w:basedOn w:val="a8"/>
    <w:next w:val="affff7"/>
    <w:qFormat/>
    <w:pPr>
      <w:keepNext/>
      <w:keepLines/>
      <w:snapToGrid w:val="0"/>
      <w:spacing w:before="120" w:after="120" w:line="360" w:lineRule="auto"/>
      <w:jc w:val="left"/>
    </w:pPr>
    <w:rPr>
      <w:rFonts w:hAnsi="宋体" w:cs="宋体"/>
      <w:sz w:val="32"/>
      <w:szCs w:val="32"/>
    </w:rPr>
  </w:style>
  <w:style w:type="paragraph" w:customStyle="1" w:styleId="afffffffffffffffff">
    <w:name w:val="表内式样"/>
    <w:qFormat/>
    <w:pPr>
      <w:keepLines/>
      <w:widowControl w:val="0"/>
      <w:kinsoku w:val="0"/>
      <w:overflowPunct w:val="0"/>
      <w:adjustRightInd w:val="0"/>
      <w:jc w:val="center"/>
    </w:pPr>
    <w:rPr>
      <w:rFonts w:ascii="宋体"/>
      <w:sz w:val="21"/>
      <w:szCs w:val="21"/>
    </w:rPr>
  </w:style>
  <w:style w:type="paragraph" w:customStyle="1" w:styleId="231">
    <w:name w:val="样式 行距: 固定值 23 磅"/>
    <w:basedOn w:val="a8"/>
    <w:qFormat/>
    <w:pPr>
      <w:spacing w:line="360" w:lineRule="auto"/>
      <w:ind w:firstLineChars="200" w:firstLine="200"/>
    </w:pPr>
    <w:rPr>
      <w:rFonts w:ascii="Times New Roman" w:cs="宋体"/>
      <w:kern w:val="2"/>
    </w:rPr>
  </w:style>
  <w:style w:type="paragraph" w:customStyle="1" w:styleId="Titleu">
    <w:name w:val="Title_u"/>
    <w:basedOn w:val="a8"/>
    <w:qFormat/>
    <w:pPr>
      <w:widowControl/>
      <w:overflowPunct w:val="0"/>
      <w:autoSpaceDE w:val="0"/>
      <w:autoSpaceDN w:val="0"/>
      <w:adjustRightInd w:val="0"/>
      <w:spacing w:before="120" w:after="120" w:line="360" w:lineRule="auto"/>
      <w:jc w:val="center"/>
      <w:textAlignment w:val="baseline"/>
    </w:pPr>
    <w:rPr>
      <w:rFonts w:ascii="黑体" w:eastAsia="黑体"/>
      <w:b/>
      <w:sz w:val="28"/>
    </w:rPr>
  </w:style>
  <w:style w:type="paragraph" w:customStyle="1" w:styleId="afffffffffffffffff0">
    <w:name w:val="表内容"/>
    <w:basedOn w:val="a8"/>
    <w:qFormat/>
    <w:pPr>
      <w:widowControl/>
      <w:autoSpaceDE w:val="0"/>
      <w:autoSpaceDN w:val="0"/>
      <w:adjustRightInd w:val="0"/>
      <w:jc w:val="center"/>
      <w:textAlignment w:val="bottom"/>
    </w:pPr>
    <w:rPr>
      <w:smallCaps/>
    </w:rPr>
  </w:style>
  <w:style w:type="paragraph" w:customStyle="1" w:styleId="afffffffffffffffff1">
    <w:name w:val="样式 纯文本 + (符号) 宋体 加粗 居中"/>
    <w:basedOn w:val="aff9"/>
    <w:qFormat/>
    <w:pPr>
      <w:widowControl w:val="0"/>
      <w:spacing w:before="0" w:beforeAutospacing="0" w:after="0" w:afterAutospacing="0"/>
      <w:jc w:val="center"/>
    </w:pPr>
    <w:rPr>
      <w:rFonts w:ascii="宋体" w:eastAsia="宋体" w:hAnsi="宋体" w:cs="宋体"/>
      <w:b/>
      <w:bCs/>
      <w:sz w:val="21"/>
      <w:szCs w:val="21"/>
    </w:rPr>
  </w:style>
  <w:style w:type="paragraph" w:customStyle="1" w:styleId="huigel1">
    <w:name w:val="huigel标题1"/>
    <w:basedOn w:val="11"/>
    <w:next w:val="aa"/>
    <w:qFormat/>
    <w:pPr>
      <w:tabs>
        <w:tab w:val="clear" w:pos="8160"/>
        <w:tab w:val="left" w:pos="1117"/>
      </w:tabs>
      <w:adjustRightInd/>
      <w:spacing w:before="340" w:afterLines="0" w:after="330" w:line="578" w:lineRule="auto"/>
      <w:ind w:left="397"/>
      <w:jc w:val="both"/>
      <w:textAlignment w:val="auto"/>
    </w:pPr>
    <w:rPr>
      <w:rFonts w:eastAsia="仿宋_GB2312"/>
      <w:sz w:val="30"/>
      <w:szCs w:val="44"/>
    </w:rPr>
  </w:style>
  <w:style w:type="paragraph" w:customStyle="1" w:styleId="1fff8">
    <w:name w:val="编号1"/>
    <w:basedOn w:val="a8"/>
    <w:qFormat/>
    <w:pPr>
      <w:tabs>
        <w:tab w:val="left" w:pos="980"/>
        <w:tab w:val="left" w:pos="1620"/>
      </w:tabs>
      <w:spacing w:line="500" w:lineRule="exact"/>
      <w:ind w:leftChars="600" w:left="980" w:hangingChars="200" w:hanging="420"/>
    </w:pPr>
    <w:rPr>
      <w:rFonts w:eastAsia="仿宋_GB2312"/>
      <w:color w:val="000000"/>
      <w:sz w:val="32"/>
    </w:rPr>
  </w:style>
  <w:style w:type="paragraph" w:customStyle="1" w:styleId="xl66">
    <w:name w:val="xl66"/>
    <w:basedOn w:val="a8"/>
    <w:qFormat/>
    <w:pPr>
      <w:widowControl/>
      <w:pBdr>
        <w:top w:val="single" w:sz="4" w:space="0" w:color="auto"/>
        <w:left w:val="single" w:sz="4" w:space="0" w:color="auto"/>
        <w:bottom w:val="single" w:sz="4" w:space="0" w:color="auto"/>
        <w:right w:val="single" w:sz="8" w:space="0" w:color="auto"/>
      </w:pBdr>
      <w:spacing w:before="100" w:beforeAutospacing="1" w:after="100" w:afterAutospacing="1"/>
      <w:jc w:val="left"/>
      <w:textAlignment w:val="center"/>
    </w:pPr>
    <w:rPr>
      <w:rFonts w:ascii="Arial Unicode MS" w:eastAsia="Arial Unicode MS" w:hAnsi="Arial Unicode MS"/>
      <w:color w:val="000000"/>
    </w:rPr>
  </w:style>
  <w:style w:type="paragraph" w:customStyle="1" w:styleId="CM26">
    <w:name w:val="CM26"/>
    <w:basedOn w:val="Default"/>
    <w:next w:val="Default"/>
    <w:qFormat/>
    <w:pPr>
      <w:spacing w:line="403" w:lineRule="atLeast"/>
    </w:pPr>
    <w:rPr>
      <w:rFonts w:ascii="宋体" w:eastAsia="宋体" w:hAnsi="Times New Roman"/>
      <w:color w:val="auto"/>
    </w:rPr>
  </w:style>
  <w:style w:type="paragraph" w:customStyle="1" w:styleId="xl37">
    <w:name w:val="xl37"/>
    <w:basedOn w:val="a8"/>
    <w:qFormat/>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Arial Unicode MS" w:hAnsi="Arial Unicode MS"/>
      <w:sz w:val="16"/>
      <w:szCs w:val="16"/>
    </w:rPr>
  </w:style>
  <w:style w:type="paragraph" w:customStyle="1" w:styleId="223">
    <w:name w:val="样式 标题 2 + 首行缩进:  2 字符"/>
    <w:basedOn w:val="2"/>
    <w:qFormat/>
    <w:pPr>
      <w:keepNext w:val="0"/>
      <w:keepLines w:val="0"/>
      <w:tabs>
        <w:tab w:val="left" w:pos="1140"/>
      </w:tabs>
      <w:adjustRightInd w:val="0"/>
      <w:snapToGrid w:val="0"/>
      <w:spacing w:before="0" w:after="0" w:line="300" w:lineRule="auto"/>
      <w:ind w:left="1140" w:hanging="720"/>
    </w:pPr>
    <w:rPr>
      <w:rFonts w:ascii="Arial" w:hAnsi="Arial" w:cs="宋体"/>
      <w:color w:val="000000"/>
      <w:sz w:val="30"/>
    </w:rPr>
  </w:style>
  <w:style w:type="paragraph" w:customStyle="1" w:styleId="105">
    <w:name w:val="样式 标题 1 + 段前: 0 磅"/>
    <w:basedOn w:val="11"/>
    <w:qFormat/>
    <w:pPr>
      <w:pageBreakBefore/>
      <w:spacing w:before="0" w:afterLines="0" w:after="60"/>
    </w:pPr>
    <w:rPr>
      <w:rFonts w:cs="宋体"/>
      <w:szCs w:val="20"/>
    </w:rPr>
  </w:style>
  <w:style w:type="paragraph" w:customStyle="1" w:styleId="afffffffffffffffff2">
    <w:name w:val="表格标题"/>
    <w:basedOn w:val="a8"/>
    <w:qFormat/>
    <w:pPr>
      <w:tabs>
        <w:tab w:val="left" w:pos="567"/>
      </w:tabs>
      <w:spacing w:line="360" w:lineRule="auto"/>
      <w:jc w:val="center"/>
    </w:pPr>
    <w:rPr>
      <w:rFonts w:ascii="Times New Roman" w:eastAsia="华文中宋"/>
      <w:spacing w:val="20"/>
      <w:kern w:val="2"/>
    </w:rPr>
  </w:style>
  <w:style w:type="paragraph" w:customStyle="1" w:styleId="095">
    <w:name w:val="样式 首行缩进:  0.95 厘米"/>
    <w:basedOn w:val="a8"/>
    <w:qFormat/>
    <w:pPr>
      <w:spacing w:line="360" w:lineRule="auto"/>
      <w:ind w:firstLineChars="200" w:firstLine="200"/>
    </w:pPr>
    <w:rPr>
      <w:rFonts w:ascii="Times New Roman" w:cs="宋体"/>
      <w:kern w:val="2"/>
    </w:rPr>
  </w:style>
  <w:style w:type="paragraph" w:customStyle="1" w:styleId="afffffffffffffffff3">
    <w:name w:val="项目点符号"/>
    <w:basedOn w:val="a8"/>
    <w:qFormat/>
    <w:pPr>
      <w:spacing w:line="360" w:lineRule="auto"/>
      <w:ind w:firstLineChars="214" w:firstLine="539"/>
    </w:pPr>
    <w:rPr>
      <w:color w:val="000000"/>
      <w:spacing w:val="6"/>
    </w:rPr>
  </w:style>
  <w:style w:type="paragraph" w:customStyle="1" w:styleId="afffffffffffffffff4">
    <w:name w:val="页号"/>
    <w:basedOn w:val="afff2"/>
    <w:qFormat/>
    <w:pPr>
      <w:tabs>
        <w:tab w:val="clear" w:pos="4153"/>
        <w:tab w:val="clear" w:pos="8306"/>
        <w:tab w:val="center" w:pos="4320"/>
        <w:tab w:val="right" w:pos="8640"/>
      </w:tabs>
      <w:adjustRightInd w:val="0"/>
      <w:snapToGrid/>
      <w:jc w:val="center"/>
      <w:textAlignment w:val="baseline"/>
    </w:pPr>
    <w:rPr>
      <w:rFonts w:hAnsi="Arial"/>
      <w:spacing w:val="3"/>
      <w:kern w:val="24"/>
      <w:sz w:val="24"/>
      <w:szCs w:val="20"/>
    </w:rPr>
  </w:style>
  <w:style w:type="paragraph" w:customStyle="1" w:styleId="news">
    <w:name w:val="news"/>
    <w:basedOn w:val="a8"/>
    <w:qFormat/>
    <w:pPr>
      <w:widowControl/>
      <w:spacing w:before="100" w:beforeAutospacing="1" w:after="100" w:afterAutospacing="1"/>
      <w:jc w:val="left"/>
    </w:pPr>
    <w:rPr>
      <w:rFonts w:hAnsi="宋体" w:cs="宋体"/>
      <w:sz w:val="20"/>
    </w:rPr>
  </w:style>
  <w:style w:type="paragraph" w:customStyle="1" w:styleId="afffffffffffffffff5">
    <w:name w:val="报告表正文"/>
    <w:basedOn w:val="a8"/>
    <w:qFormat/>
    <w:pPr>
      <w:adjustRightInd w:val="0"/>
      <w:spacing w:line="300" w:lineRule="auto"/>
      <w:ind w:left="113" w:right="113"/>
      <w:textAlignment w:val="baseline"/>
    </w:pPr>
  </w:style>
  <w:style w:type="paragraph" w:customStyle="1" w:styleId="afffffffffffffffff6">
    <w:name w:val="表格（居中）"/>
    <w:basedOn w:val="a8"/>
    <w:next w:val="a8"/>
    <w:qFormat/>
    <w:pPr>
      <w:adjustRightInd w:val="0"/>
      <w:snapToGrid w:val="0"/>
      <w:spacing w:before="24" w:after="24" w:line="360" w:lineRule="auto"/>
      <w:ind w:left="15" w:hanging="99"/>
      <w:jc w:val="center"/>
    </w:pPr>
    <w:rPr>
      <w:rFonts w:ascii="Times New Roman"/>
      <w:kern w:val="2"/>
      <w:sz w:val="21"/>
      <w:szCs w:val="21"/>
    </w:rPr>
  </w:style>
  <w:style w:type="paragraph" w:customStyle="1" w:styleId="afffffffffffffffff7">
    <w:name w:val="陈策次目录"/>
    <w:basedOn w:val="a8"/>
    <w:qFormat/>
    <w:pPr>
      <w:widowControl/>
      <w:adjustRightInd w:val="0"/>
      <w:snapToGrid w:val="0"/>
      <w:spacing w:line="360" w:lineRule="auto"/>
      <w:ind w:firstLineChars="200" w:firstLine="552"/>
    </w:pPr>
    <w:rPr>
      <w:rFonts w:ascii="Arial Narrow" w:eastAsia="华文中宋" w:hAnsi="Arial Narrow"/>
    </w:rPr>
  </w:style>
  <w:style w:type="paragraph" w:customStyle="1" w:styleId="afffffffffffffffff8">
    <w:name w:val="符号"/>
    <w:basedOn w:val="a8"/>
    <w:qFormat/>
    <w:pPr>
      <w:tabs>
        <w:tab w:val="left" w:pos="810"/>
        <w:tab w:val="left" w:pos="935"/>
      </w:tabs>
      <w:adjustRightInd w:val="0"/>
      <w:spacing w:line="460" w:lineRule="exact"/>
      <w:ind w:left="935" w:hanging="285"/>
      <w:jc w:val="left"/>
      <w:textAlignment w:val="baseline"/>
    </w:pPr>
    <w:rPr>
      <w:rFonts w:ascii="Times New Roman"/>
    </w:rPr>
  </w:style>
  <w:style w:type="paragraph" w:customStyle="1" w:styleId="09366181">
    <w:name w:val="样式 (符号) 宋体 首行缩进:  0.93 厘米 段前: 6 磅 段后: 6 磅 行距: 固定值 18 磅1"/>
    <w:basedOn w:val="a8"/>
    <w:qFormat/>
    <w:pPr>
      <w:spacing w:before="160" w:after="160" w:line="320" w:lineRule="exact"/>
      <w:ind w:firstLine="527"/>
    </w:pPr>
    <w:rPr>
      <w:rFonts w:ascii="Times New Roman" w:hAnsi="宋体"/>
      <w:kern w:val="2"/>
    </w:rPr>
  </w:style>
  <w:style w:type="paragraph" w:customStyle="1" w:styleId="166">
    <w:name w:val="样式 标题 1 + 段前: 6 磅 段后: 6 磅"/>
    <w:basedOn w:val="11"/>
    <w:qFormat/>
    <w:pPr>
      <w:tabs>
        <w:tab w:val="clear" w:pos="8160"/>
      </w:tabs>
      <w:adjustRightInd/>
      <w:spacing w:afterLines="0" w:after="120" w:line="560" w:lineRule="exact"/>
      <w:jc w:val="center"/>
      <w:textAlignment w:val="auto"/>
    </w:pPr>
    <w:rPr>
      <w:rFonts w:ascii="Times New Roman" w:cs="宋体"/>
      <w:sz w:val="44"/>
      <w:szCs w:val="20"/>
    </w:rPr>
  </w:style>
  <w:style w:type="paragraph" w:customStyle="1" w:styleId="afffffffffffffffff9">
    <w:name w:val="文章总标题"/>
    <w:basedOn w:val="a8"/>
    <w:next w:val="a8"/>
    <w:qFormat/>
    <w:pPr>
      <w:widowControl/>
      <w:spacing w:before="566" w:after="544" w:line="566" w:lineRule="atLeast"/>
      <w:jc w:val="center"/>
      <w:textAlignment w:val="baseline"/>
    </w:pPr>
    <w:rPr>
      <w:rFonts w:ascii="Arial" w:eastAsia="黑体" w:cs="Arial"/>
      <w:bCs/>
      <w:color w:val="000000"/>
      <w:sz w:val="54"/>
      <w:szCs w:val="54"/>
      <w:u w:color="000000"/>
    </w:rPr>
  </w:style>
  <w:style w:type="paragraph" w:customStyle="1" w:styleId="Char1CharCharCharCharCharCharCharCharChar1">
    <w:name w:val="Char1 Char Char Char Char Char Char Char Char Char1"/>
    <w:basedOn w:val="a8"/>
    <w:qFormat/>
    <w:rPr>
      <w:rFonts w:ascii="Times New Roman"/>
      <w:kern w:val="2"/>
      <w:sz w:val="21"/>
      <w:szCs w:val="24"/>
    </w:rPr>
  </w:style>
  <w:style w:type="paragraph" w:customStyle="1" w:styleId="Char1CharChar0">
    <w:name w:val="Char1 Char Char"/>
    <w:basedOn w:val="a8"/>
    <w:qFormat/>
    <w:rPr>
      <w:rFonts w:ascii="Times New Roman"/>
      <w:kern w:val="2"/>
      <w:sz w:val="21"/>
      <w:szCs w:val="24"/>
    </w:rPr>
  </w:style>
  <w:style w:type="paragraph" w:customStyle="1" w:styleId="CharCharCharCharChar0">
    <w:name w:val="Char Char Char Char Char"/>
    <w:basedOn w:val="a8"/>
    <w:qFormat/>
    <w:rPr>
      <w:rFonts w:ascii="Times New Roman"/>
      <w:kern w:val="2"/>
      <w:sz w:val="21"/>
      <w:szCs w:val="24"/>
    </w:rPr>
  </w:style>
  <w:style w:type="paragraph" w:customStyle="1" w:styleId="127">
    <w:name w:val="样式 表格1 + 首行缩进:  2 字符"/>
    <w:basedOn w:val="1fff9"/>
    <w:qFormat/>
    <w:pPr>
      <w:snapToGrid/>
      <w:spacing w:beforeLines="0" w:before="0" w:afterLines="0" w:after="0"/>
      <w:textAlignment w:val="center"/>
    </w:pPr>
    <w:rPr>
      <w:rFonts w:hAnsi="宋体" w:cs="宋体"/>
      <w:snapToGrid/>
      <w:sz w:val="21"/>
      <w:szCs w:val="20"/>
    </w:rPr>
  </w:style>
  <w:style w:type="paragraph" w:customStyle="1" w:styleId="1fff9">
    <w:name w:val="表格1"/>
    <w:basedOn w:val="a8"/>
    <w:qFormat/>
    <w:pPr>
      <w:adjustRightInd w:val="0"/>
      <w:snapToGrid w:val="0"/>
      <w:spacing w:beforeLines="10" w:before="31" w:afterLines="10" w:after="31"/>
      <w:jc w:val="center"/>
      <w:textAlignment w:val="baseline"/>
    </w:pPr>
    <w:rPr>
      <w:snapToGrid w:val="0"/>
      <w:sz w:val="18"/>
      <w:szCs w:val="13"/>
    </w:rPr>
  </w:style>
  <w:style w:type="paragraph" w:customStyle="1" w:styleId="xl58">
    <w:name w:val="xl58"/>
    <w:basedOn w:val="a8"/>
    <w:qFormat/>
    <w:pPr>
      <w:widowControl/>
      <w:pBdr>
        <w:top w:val="single" w:sz="8" w:space="0" w:color="auto"/>
        <w:bottom w:val="single" w:sz="4" w:space="0" w:color="auto"/>
        <w:right w:val="single" w:sz="4" w:space="0" w:color="auto"/>
      </w:pBdr>
      <w:spacing w:before="100" w:beforeAutospacing="1" w:after="100" w:afterAutospacing="1"/>
      <w:jc w:val="center"/>
      <w:textAlignment w:val="center"/>
    </w:pPr>
    <w:rPr>
      <w:rFonts w:eastAsia="Arial Unicode MS"/>
      <w:color w:val="000000"/>
      <w:szCs w:val="21"/>
    </w:rPr>
  </w:style>
  <w:style w:type="paragraph" w:customStyle="1" w:styleId="CharCharChar2">
    <w:name w:val="自定义正文 Char Char Char"/>
    <w:qFormat/>
    <w:pPr>
      <w:widowControl w:val="0"/>
      <w:adjustRightInd w:val="0"/>
      <w:snapToGrid w:val="0"/>
      <w:spacing w:line="360" w:lineRule="auto"/>
      <w:ind w:firstLine="510"/>
      <w:jc w:val="both"/>
    </w:pPr>
    <w:rPr>
      <w:spacing w:val="-2"/>
      <w:kern w:val="2"/>
      <w:sz w:val="28"/>
      <w:szCs w:val="24"/>
    </w:rPr>
  </w:style>
  <w:style w:type="paragraph" w:customStyle="1" w:styleId="3ff">
    <w:name w:val="图表3"/>
    <w:basedOn w:val="a8"/>
    <w:qFormat/>
    <w:pPr>
      <w:widowControl/>
      <w:overflowPunct w:val="0"/>
      <w:autoSpaceDE w:val="0"/>
      <w:autoSpaceDN w:val="0"/>
      <w:adjustRightInd w:val="0"/>
      <w:jc w:val="center"/>
      <w:textAlignment w:val="baseline"/>
    </w:pPr>
    <w:rPr>
      <w:kern w:val="28"/>
      <w:sz w:val="20"/>
    </w:rPr>
  </w:style>
  <w:style w:type="paragraph" w:customStyle="1" w:styleId="CM13">
    <w:name w:val="CM13"/>
    <w:basedOn w:val="Default"/>
    <w:next w:val="Default"/>
    <w:qFormat/>
    <w:pPr>
      <w:spacing w:line="440" w:lineRule="atLeast"/>
    </w:pPr>
    <w:rPr>
      <w:rFonts w:ascii="宋体" w:eastAsia="宋体" w:hAnsi="Times New Roman"/>
      <w:color w:val="auto"/>
    </w:rPr>
  </w:style>
  <w:style w:type="paragraph" w:customStyle="1" w:styleId="afffffffffffffffffa">
    <w:name w:val="环正文"/>
    <w:basedOn w:val="a8"/>
    <w:qFormat/>
    <w:pPr>
      <w:widowControl/>
      <w:tabs>
        <w:tab w:val="left" w:pos="5094"/>
      </w:tabs>
      <w:adjustRightInd w:val="0"/>
      <w:snapToGrid w:val="0"/>
      <w:ind w:firstLineChars="218" w:firstLine="610"/>
      <w:textAlignment w:val="baseline"/>
    </w:pPr>
    <w:rPr>
      <w:rFonts w:hAnsi="宋体"/>
      <w:color w:val="000000"/>
      <w:sz w:val="28"/>
      <w:szCs w:val="28"/>
    </w:rPr>
  </w:style>
  <w:style w:type="paragraph" w:customStyle="1" w:styleId="224">
    <w:name w:val="样式 首行缩进:  2 字符2"/>
    <w:basedOn w:val="a8"/>
    <w:qFormat/>
    <w:pPr>
      <w:ind w:firstLineChars="200" w:firstLine="504"/>
    </w:pPr>
    <w:rPr>
      <w:rFonts w:cs="宋体"/>
    </w:rPr>
  </w:style>
  <w:style w:type="paragraph" w:customStyle="1" w:styleId="afffffffffffffffffb">
    <w:name w:val="列图"/>
    <w:basedOn w:val="afffc"/>
    <w:next w:val="a8"/>
    <w:qFormat/>
    <w:pPr>
      <w:widowControl w:val="0"/>
      <w:tabs>
        <w:tab w:val="left" w:pos="3765"/>
      </w:tabs>
      <w:adjustRightInd w:val="0"/>
      <w:snapToGrid w:val="0"/>
      <w:spacing w:line="240" w:lineRule="auto"/>
      <w:ind w:left="0" w:firstLineChars="0" w:firstLine="0"/>
      <w:jc w:val="center"/>
    </w:pPr>
    <w:rPr>
      <w:rFonts w:cs="Times New Roman"/>
      <w:kern w:val="2"/>
      <w:sz w:val="21"/>
      <w:szCs w:val="21"/>
    </w:rPr>
  </w:style>
  <w:style w:type="paragraph" w:customStyle="1" w:styleId="afffffffffffffffffc">
    <w:name w:val="正文缩"/>
    <w:basedOn w:val="a8"/>
    <w:qFormat/>
    <w:pPr>
      <w:adjustRightInd w:val="0"/>
      <w:snapToGrid w:val="0"/>
      <w:spacing w:line="480" w:lineRule="atLeast"/>
      <w:ind w:firstLineChars="200" w:firstLine="200"/>
      <w:textAlignment w:val="baseline"/>
    </w:pPr>
    <w:rPr>
      <w:snapToGrid w:val="0"/>
      <w:spacing w:val="6"/>
      <w:sz w:val="28"/>
    </w:rPr>
  </w:style>
  <w:style w:type="paragraph" w:customStyle="1" w:styleId="134">
    <w:name w:val="表内文字小13"/>
    <w:basedOn w:val="a8"/>
    <w:qFormat/>
    <w:pPr>
      <w:adjustRightInd w:val="0"/>
      <w:snapToGrid w:val="0"/>
      <w:jc w:val="center"/>
    </w:pPr>
    <w:rPr>
      <w:rFonts w:hAnsi="Times"/>
      <w:kern w:val="2"/>
      <w:sz w:val="21"/>
    </w:rPr>
  </w:style>
  <w:style w:type="paragraph" w:customStyle="1" w:styleId="73">
    <w:name w:val="表题7"/>
    <w:basedOn w:val="a8"/>
    <w:qFormat/>
    <w:pPr>
      <w:adjustRightInd w:val="0"/>
      <w:snapToGrid w:val="0"/>
      <w:spacing w:before="180" w:after="60"/>
      <w:jc w:val="center"/>
    </w:pPr>
    <w:rPr>
      <w:rFonts w:ascii="Times New Roman"/>
      <w:b/>
      <w:sz w:val="21"/>
    </w:rPr>
  </w:style>
  <w:style w:type="paragraph" w:customStyle="1" w:styleId="afffffffffffffffffd">
    <w:name w:val="表中文字"/>
    <w:basedOn w:val="a8"/>
    <w:qFormat/>
    <w:pPr>
      <w:jc w:val="center"/>
    </w:pPr>
  </w:style>
  <w:style w:type="paragraph" w:customStyle="1" w:styleId="320">
    <w:name w:val="样式 标题 3 + 首行缩进:  2 字符"/>
    <w:basedOn w:val="31"/>
    <w:qFormat/>
    <w:pPr>
      <w:keepNext w:val="0"/>
      <w:keepLines w:val="0"/>
      <w:tabs>
        <w:tab w:val="left" w:pos="1260"/>
      </w:tabs>
      <w:adjustRightInd w:val="0"/>
      <w:snapToGrid w:val="0"/>
      <w:spacing w:before="0" w:after="0" w:line="300" w:lineRule="auto"/>
      <w:ind w:left="1260" w:hanging="420"/>
    </w:pPr>
    <w:rPr>
      <w:rFonts w:ascii="Times New Roman" w:eastAsia="黑体" w:cs="宋体"/>
      <w:b w:val="0"/>
      <w:bCs w:val="0"/>
      <w:sz w:val="28"/>
      <w:szCs w:val="20"/>
    </w:rPr>
  </w:style>
  <w:style w:type="paragraph" w:customStyle="1" w:styleId="6CharChar">
    <w:name w:val="目录 6 Char Char"/>
    <w:basedOn w:val="a8"/>
    <w:next w:val="a8"/>
    <w:qFormat/>
    <w:pPr>
      <w:spacing w:line="351" w:lineRule="atLeast"/>
      <w:ind w:left="1048" w:firstLine="419"/>
      <w:jc w:val="left"/>
    </w:pPr>
    <w:rPr>
      <w:rFonts w:ascii="Times New Roman"/>
      <w:kern w:val="2"/>
      <w:sz w:val="21"/>
    </w:rPr>
  </w:style>
  <w:style w:type="paragraph" w:customStyle="1" w:styleId="afffffffffffffffffe">
    <w:name w:val="图表文字"/>
    <w:basedOn w:val="a9"/>
    <w:qFormat/>
    <w:pPr>
      <w:widowControl/>
      <w:tabs>
        <w:tab w:val="left" w:pos="360"/>
      </w:tabs>
      <w:kinsoku w:val="0"/>
      <w:wordWrap w:val="0"/>
      <w:spacing w:after="0" w:line="320" w:lineRule="exact"/>
      <w:jc w:val="center"/>
    </w:pPr>
    <w:rPr>
      <w:rFonts w:ascii="Times New Roman"/>
      <w:kern w:val="0"/>
      <w:sz w:val="24"/>
      <w:szCs w:val="20"/>
    </w:rPr>
  </w:style>
  <w:style w:type="paragraph" w:customStyle="1" w:styleId="font8">
    <w:name w:val="font8"/>
    <w:basedOn w:val="a8"/>
    <w:qFormat/>
    <w:pPr>
      <w:widowControl/>
      <w:spacing w:before="100" w:beforeAutospacing="1" w:after="100" w:afterAutospacing="1"/>
      <w:jc w:val="left"/>
    </w:pPr>
    <w:rPr>
      <w:rFonts w:hAnsi="宋体" w:hint="eastAsia"/>
      <w:b/>
      <w:bCs/>
      <w:color w:val="000000"/>
      <w:sz w:val="44"/>
      <w:szCs w:val="44"/>
    </w:rPr>
  </w:style>
  <w:style w:type="paragraph" w:customStyle="1" w:styleId="2ff4">
    <w:name w:val="样式 标题 2 + 黑体 小三"/>
    <w:basedOn w:val="2"/>
    <w:qFormat/>
    <w:pPr>
      <w:adjustRightInd w:val="0"/>
      <w:snapToGrid w:val="0"/>
      <w:spacing w:before="0" w:after="0" w:line="360" w:lineRule="auto"/>
      <w:ind w:firstLineChars="200" w:firstLine="562"/>
    </w:pPr>
    <w:rPr>
      <w:rFonts w:ascii="黑体" w:hAnsi="黑体"/>
      <w:sz w:val="28"/>
    </w:rPr>
  </w:style>
  <w:style w:type="paragraph" w:customStyle="1" w:styleId="affffffffffffffffff">
    <w:name w:val="悬挂式正文"/>
    <w:basedOn w:val="a8"/>
    <w:qFormat/>
    <w:pPr>
      <w:tabs>
        <w:tab w:val="center" w:pos="6804"/>
        <w:tab w:val="right" w:pos="7371"/>
      </w:tabs>
      <w:overflowPunct w:val="0"/>
      <w:adjustRightInd w:val="0"/>
      <w:spacing w:line="360" w:lineRule="auto"/>
      <w:ind w:left="1701" w:hanging="1134"/>
      <w:textAlignment w:val="baseline"/>
    </w:pPr>
    <w:rPr>
      <w:sz w:val="28"/>
    </w:rPr>
  </w:style>
  <w:style w:type="paragraph" w:customStyle="1" w:styleId="40">
    <w:name w:val="样式 标题 4 + 宋体 小四 非加粗"/>
    <w:basedOn w:val="42"/>
    <w:qFormat/>
    <w:pPr>
      <w:numPr>
        <w:ilvl w:val="3"/>
        <w:numId w:val="3"/>
      </w:numPr>
      <w:tabs>
        <w:tab w:val="clear" w:pos="1984"/>
        <w:tab w:val="left" w:pos="360"/>
      </w:tabs>
      <w:ind w:left="0" w:firstLine="0"/>
    </w:pPr>
    <w:rPr>
      <w:rFonts w:ascii="Times New Roman" w:eastAsia="宋体" w:hAnsi="Times New Roman"/>
      <w:bCs w:val="0"/>
      <w:sz w:val="24"/>
    </w:rPr>
  </w:style>
  <w:style w:type="paragraph" w:customStyle="1" w:styleId="3ff0">
    <w:name w:val="目录3"/>
    <w:basedOn w:val="a8"/>
    <w:next w:val="a8"/>
    <w:qFormat/>
    <w:pPr>
      <w:tabs>
        <w:tab w:val="left" w:leader="dot" w:pos="8503"/>
      </w:tabs>
      <w:spacing w:line="317" w:lineRule="atLeast"/>
      <w:ind w:left="419" w:firstLine="419"/>
    </w:pPr>
    <w:rPr>
      <w:rFonts w:ascii="Times New Roman"/>
      <w:kern w:val="2"/>
      <w:sz w:val="21"/>
    </w:rPr>
  </w:style>
  <w:style w:type="paragraph" w:customStyle="1" w:styleId="3ff1">
    <w:name w:val="表格文字3"/>
    <w:basedOn w:val="a8"/>
    <w:qFormat/>
    <w:pPr>
      <w:autoSpaceDE w:val="0"/>
      <w:autoSpaceDN w:val="0"/>
      <w:adjustRightInd w:val="0"/>
      <w:jc w:val="center"/>
    </w:pPr>
    <w:rPr>
      <w:rFonts w:hAnsi="宋体"/>
      <w:snapToGrid w:val="0"/>
      <w:sz w:val="21"/>
    </w:rPr>
  </w:style>
  <w:style w:type="paragraph" w:customStyle="1" w:styleId="affffffffffffffffff0">
    <w:name w:val="列项——"/>
    <w:qFormat/>
    <w:pPr>
      <w:widowControl w:val="0"/>
      <w:tabs>
        <w:tab w:val="left" w:pos="854"/>
      </w:tabs>
      <w:ind w:leftChars="200" w:left="840" w:hangingChars="200" w:hanging="420"/>
      <w:jc w:val="both"/>
    </w:pPr>
    <w:rPr>
      <w:rFonts w:ascii="宋体"/>
      <w:sz w:val="21"/>
    </w:rPr>
  </w:style>
  <w:style w:type="paragraph" w:customStyle="1" w:styleId="xl41">
    <w:name w:val="xl41"/>
    <w:basedOn w:val="a8"/>
    <w:qFormat/>
    <w:pPr>
      <w:widowControl/>
      <w:pBdr>
        <w:bottom w:val="single" w:sz="4" w:space="0" w:color="auto"/>
      </w:pBdr>
      <w:spacing w:before="100" w:beforeAutospacing="1" w:after="100" w:afterAutospacing="1"/>
      <w:jc w:val="center"/>
    </w:pPr>
    <w:rPr>
      <w:szCs w:val="21"/>
    </w:rPr>
  </w:style>
  <w:style w:type="paragraph" w:customStyle="1" w:styleId="225">
    <w:name w:val="样式 样式 首行缩进:  2 字符 + 首行缩进:  2 字符"/>
    <w:basedOn w:val="a8"/>
    <w:qFormat/>
    <w:pPr>
      <w:ind w:firstLineChars="200" w:firstLine="587"/>
    </w:pPr>
    <w:rPr>
      <w:sz w:val="27"/>
      <w:szCs w:val="27"/>
    </w:rPr>
  </w:style>
  <w:style w:type="paragraph" w:customStyle="1" w:styleId="Mytabletailer">
    <w:name w:val="My table tailer"/>
    <w:basedOn w:val="afffc"/>
    <w:qFormat/>
    <w:locked/>
    <w:pPr>
      <w:widowControl w:val="0"/>
      <w:spacing w:line="360" w:lineRule="auto"/>
      <w:ind w:left="0" w:firstLineChars="0" w:firstLine="0"/>
    </w:pPr>
    <w:rPr>
      <w:rFonts w:ascii="Times New Roman" w:hAnsi="Times New Roman" w:cs="Times New Roman"/>
      <w:bCs w:val="0"/>
      <w:kern w:val="2"/>
      <w:sz w:val="24"/>
      <w:szCs w:val="24"/>
    </w:rPr>
  </w:style>
  <w:style w:type="paragraph" w:customStyle="1" w:styleId="CharCharff3">
    <w:name w:val="日期 Char Char"/>
    <w:basedOn w:val="a8"/>
    <w:next w:val="a8"/>
    <w:qFormat/>
    <w:pPr>
      <w:spacing w:line="351" w:lineRule="atLeast"/>
      <w:ind w:firstLine="419"/>
    </w:pPr>
    <w:rPr>
      <w:rFonts w:ascii="Times New Roman" w:eastAsia="仿宋_GB2312"/>
      <w:kern w:val="2"/>
      <w:sz w:val="31"/>
    </w:rPr>
  </w:style>
  <w:style w:type="paragraph" w:customStyle="1" w:styleId="-4">
    <w:name w:val="可研-表格正文"/>
    <w:basedOn w:val="-1"/>
    <w:qFormat/>
    <w:pPr>
      <w:widowControl w:val="0"/>
      <w:spacing w:line="0" w:lineRule="atLeast"/>
      <w:ind w:firstLineChars="0" w:firstLine="0"/>
    </w:pPr>
  </w:style>
  <w:style w:type="paragraph" w:customStyle="1" w:styleId="affffffffffffffffff1">
    <w:name w:val="表头样式"/>
    <w:basedOn w:val="a8"/>
    <w:qFormat/>
    <w:pPr>
      <w:keepNext/>
      <w:widowControl/>
      <w:spacing w:beforeLines="50" w:before="156" w:afterLines="50" w:after="156" w:line="520" w:lineRule="exact"/>
      <w:ind w:firstLineChars="100" w:firstLine="280"/>
    </w:pPr>
    <w:rPr>
      <w:rFonts w:hAnsi="宋体" w:cs="宋体"/>
      <w:bCs/>
      <w:sz w:val="28"/>
      <w:szCs w:val="28"/>
    </w:rPr>
  </w:style>
  <w:style w:type="paragraph" w:customStyle="1" w:styleId="affffffffffffffffff2">
    <w:name w:val="列项·"/>
    <w:qFormat/>
    <w:pPr>
      <w:tabs>
        <w:tab w:val="left" w:pos="840"/>
      </w:tabs>
      <w:ind w:leftChars="200" w:left="840" w:hangingChars="200" w:hanging="420"/>
      <w:jc w:val="both"/>
    </w:pPr>
    <w:rPr>
      <w:rFonts w:ascii="宋体"/>
      <w:sz w:val="21"/>
    </w:rPr>
  </w:style>
  <w:style w:type="paragraph" w:customStyle="1" w:styleId="affffffffffffffffff3">
    <w:name w:val="目录标题"/>
    <w:basedOn w:val="a8"/>
    <w:next w:val="a8"/>
    <w:qFormat/>
    <w:pPr>
      <w:spacing w:before="215" w:after="419" w:line="436" w:lineRule="atLeast"/>
      <w:ind w:firstLine="419"/>
      <w:jc w:val="center"/>
    </w:pPr>
    <w:rPr>
      <w:rFonts w:ascii="Arial" w:eastAsia="黑体" w:hAnsi="Arial"/>
      <w:spacing w:val="283"/>
      <w:kern w:val="2"/>
      <w:sz w:val="42"/>
    </w:rPr>
  </w:style>
  <w:style w:type="paragraph" w:customStyle="1" w:styleId="4f3">
    <w:name w:val="目录4"/>
    <w:basedOn w:val="a8"/>
    <w:next w:val="a8"/>
    <w:qFormat/>
    <w:pPr>
      <w:tabs>
        <w:tab w:val="left" w:leader="dot" w:pos="8503"/>
      </w:tabs>
      <w:spacing w:line="317" w:lineRule="atLeast"/>
      <w:ind w:left="419" w:firstLine="629"/>
    </w:pPr>
    <w:rPr>
      <w:rFonts w:ascii="Times New Roman"/>
      <w:kern w:val="2"/>
      <w:sz w:val="21"/>
    </w:rPr>
  </w:style>
  <w:style w:type="paragraph" w:customStyle="1" w:styleId="affffffffffffffffff4">
    <w:name w:val="正文段落"/>
    <w:basedOn w:val="a8"/>
    <w:qFormat/>
    <w:pPr>
      <w:spacing w:line="360" w:lineRule="exact"/>
      <w:ind w:firstLine="476"/>
    </w:pPr>
    <w:rPr>
      <w:rFonts w:hAnsi="宋体"/>
    </w:rPr>
  </w:style>
  <w:style w:type="paragraph" w:customStyle="1" w:styleId="4TimesNewRoman">
    <w:name w:val="样式 样式 标题 4 + Times New Roman + 非加粗"/>
    <w:basedOn w:val="a8"/>
    <w:next w:val="a8"/>
    <w:qFormat/>
    <w:pPr>
      <w:keepNext/>
      <w:keepLines/>
      <w:tabs>
        <w:tab w:val="left" w:pos="1080"/>
      </w:tabs>
      <w:spacing w:before="280" w:after="290" w:line="376" w:lineRule="auto"/>
      <w:outlineLvl w:val="3"/>
    </w:pPr>
    <w:rPr>
      <w:rFonts w:ascii="Times New Roman" w:eastAsia="仿宋_GB2312"/>
      <w:kern w:val="2"/>
      <w:sz w:val="28"/>
      <w:szCs w:val="28"/>
    </w:rPr>
  </w:style>
  <w:style w:type="paragraph" w:customStyle="1" w:styleId="mytableheader">
    <w:name w:val="my table header"/>
    <w:basedOn w:val="affffff1"/>
    <w:qFormat/>
    <w:locked/>
    <w:pPr>
      <w:widowControl/>
      <w:tabs>
        <w:tab w:val="clear" w:pos="4440"/>
      </w:tabs>
      <w:overflowPunct w:val="0"/>
      <w:snapToGrid/>
      <w:spacing w:beforeLines="0" w:before="0" w:afterLines="0" w:after="0" w:line="360" w:lineRule="auto"/>
      <w:ind w:firstLine="495"/>
      <w:jc w:val="both"/>
    </w:pPr>
    <w:rPr>
      <w:rFonts w:ascii="黑体" w:eastAsia="宋体" w:hAnsi="黑体"/>
      <w:b/>
      <w:bCs/>
      <w:spacing w:val="0"/>
      <w:kern w:val="0"/>
    </w:rPr>
  </w:style>
  <w:style w:type="paragraph" w:customStyle="1" w:styleId="affffffffffffffffff5">
    <w:name w:val="正文图标题"/>
    <w:next w:val="42"/>
    <w:qFormat/>
    <w:pPr>
      <w:jc w:val="center"/>
    </w:pPr>
    <w:rPr>
      <w:rFonts w:ascii="黑体" w:eastAsia="黑体"/>
      <w:sz w:val="21"/>
    </w:rPr>
  </w:style>
  <w:style w:type="paragraph" w:customStyle="1" w:styleId="CharCharCharCharCharChar1Char1">
    <w:name w:val="Char Char Char Char Char Char1 Char1"/>
    <w:basedOn w:val="a8"/>
    <w:qFormat/>
  </w:style>
  <w:style w:type="paragraph" w:customStyle="1" w:styleId="1fffa">
    <w:name w:val="表中文字1"/>
    <w:qFormat/>
    <w:pPr>
      <w:widowControl w:val="0"/>
      <w:adjustRightInd w:val="0"/>
      <w:snapToGrid w:val="0"/>
      <w:jc w:val="center"/>
    </w:pPr>
    <w:rPr>
      <w:rFonts w:ascii="仿宋_GB2312" w:eastAsia="仿宋_GB2312"/>
      <w:kern w:val="2"/>
      <w:sz w:val="24"/>
      <w:szCs w:val="24"/>
    </w:rPr>
  </w:style>
  <w:style w:type="paragraph" w:customStyle="1" w:styleId="affffffffffffffffff6">
    <w:name w:val="样式 纯文本 + (符号) 宋体 居中"/>
    <w:basedOn w:val="aff9"/>
    <w:qFormat/>
    <w:pPr>
      <w:widowControl w:val="0"/>
      <w:spacing w:before="0" w:beforeAutospacing="0" w:after="0" w:afterAutospacing="0"/>
      <w:jc w:val="center"/>
    </w:pPr>
    <w:rPr>
      <w:rFonts w:ascii="宋体" w:eastAsia="宋体" w:hAnsi="宋体" w:cs="宋体"/>
      <w:sz w:val="21"/>
      <w:szCs w:val="21"/>
    </w:rPr>
  </w:style>
  <w:style w:type="paragraph" w:customStyle="1" w:styleId="213">
    <w:name w:val="样式 首行缩进:  2 字符1"/>
    <w:basedOn w:val="a8"/>
    <w:qFormat/>
    <w:pPr>
      <w:ind w:firstLineChars="200" w:firstLine="504"/>
    </w:pPr>
    <w:rPr>
      <w:rFonts w:cs="宋体"/>
    </w:rPr>
  </w:style>
  <w:style w:type="paragraph" w:customStyle="1" w:styleId="74">
    <w:name w:val="表格内字体7"/>
    <w:basedOn w:val="a8"/>
    <w:qFormat/>
    <w:pPr>
      <w:jc w:val="center"/>
    </w:pPr>
    <w:rPr>
      <w:rFonts w:cs="宋体"/>
      <w:kern w:val="2"/>
      <w:sz w:val="21"/>
    </w:rPr>
  </w:style>
  <w:style w:type="paragraph" w:customStyle="1" w:styleId="09915">
    <w:name w:val="样式 小四 首行缩进:  0.99 厘米 行距: 1.5 倍行距"/>
    <w:basedOn w:val="a8"/>
    <w:qFormat/>
    <w:pPr>
      <w:widowControl/>
      <w:tabs>
        <w:tab w:val="left" w:pos="352"/>
      </w:tabs>
      <w:overflowPunct w:val="0"/>
      <w:autoSpaceDE w:val="0"/>
      <w:autoSpaceDN w:val="0"/>
      <w:adjustRightInd w:val="0"/>
      <w:spacing w:line="360" w:lineRule="auto"/>
      <w:ind w:firstLine="560"/>
      <w:textAlignment w:val="bottom"/>
    </w:pPr>
    <w:rPr>
      <w:rFonts w:ascii="Times New Roman" w:cs="宋体"/>
      <w:szCs w:val="24"/>
    </w:rPr>
  </w:style>
  <w:style w:type="paragraph" w:customStyle="1" w:styleId="94">
    <w:name w:val="表格内字体9"/>
    <w:basedOn w:val="a8"/>
    <w:qFormat/>
    <w:pPr>
      <w:jc w:val="center"/>
    </w:pPr>
    <w:rPr>
      <w:kern w:val="2"/>
      <w:sz w:val="21"/>
    </w:rPr>
  </w:style>
  <w:style w:type="paragraph" w:customStyle="1" w:styleId="CharCharCharCharCharCharChar">
    <w:name w:val="Char Char Char Char Char Char Char"/>
    <w:basedOn w:val="a8"/>
    <w:qFormat/>
    <w:rPr>
      <w:rFonts w:ascii="Times New Roman"/>
      <w:kern w:val="2"/>
      <w:szCs w:val="24"/>
    </w:rPr>
  </w:style>
  <w:style w:type="paragraph" w:customStyle="1" w:styleId="Char1CharCharCharCharCharCharCharCharCharCharCharCharCharCharChar">
    <w:name w:val="Char1 Char Char Char Char Char Char Char Char Char Char Char Char Char Char Char"/>
    <w:basedOn w:val="a8"/>
    <w:qFormat/>
    <w:rPr>
      <w:rFonts w:ascii="Times New Roman"/>
      <w:kern w:val="2"/>
      <w:sz w:val="21"/>
      <w:szCs w:val="24"/>
    </w:rPr>
  </w:style>
  <w:style w:type="paragraph" w:customStyle="1" w:styleId="1fffb">
    <w:name w:val="样式1"/>
    <w:basedOn w:val="a8"/>
    <w:qFormat/>
    <w:pPr>
      <w:adjustRightInd w:val="0"/>
      <w:snapToGrid w:val="0"/>
      <w:spacing w:beforeLines="50" w:before="156" w:line="360" w:lineRule="auto"/>
      <w:jc w:val="left"/>
    </w:pPr>
    <w:rPr>
      <w:rFonts w:eastAsia="黑体"/>
      <w:color w:val="000000"/>
      <w:spacing w:val="16"/>
    </w:rPr>
  </w:style>
  <w:style w:type="paragraph" w:customStyle="1" w:styleId="affffffffffffffffff7">
    <w:name w:val="我的表格文字"/>
    <w:basedOn w:val="a8"/>
    <w:qFormat/>
    <w:pPr>
      <w:jc w:val="center"/>
    </w:pPr>
    <w:rPr>
      <w:rFonts w:ascii="Times New Roman"/>
      <w:kern w:val="2"/>
      <w:sz w:val="21"/>
      <w:szCs w:val="21"/>
    </w:rPr>
  </w:style>
  <w:style w:type="paragraph" w:customStyle="1" w:styleId="affffffffffffffffff8">
    <w:name w:val="注："/>
    <w:next w:val="42"/>
    <w:qFormat/>
    <w:pPr>
      <w:widowControl w:val="0"/>
      <w:autoSpaceDE w:val="0"/>
      <w:autoSpaceDN w:val="0"/>
      <w:ind w:left="840" w:hanging="420"/>
      <w:jc w:val="both"/>
    </w:pPr>
    <w:rPr>
      <w:rFonts w:ascii="宋体"/>
      <w:sz w:val="18"/>
    </w:rPr>
  </w:style>
  <w:style w:type="paragraph" w:customStyle="1" w:styleId="Char220">
    <w:name w:val="样式 样式 正文首行缩进正文首行缩进 Char + 首行缩进:  2 字符 + 首行缩进:  2 字符"/>
    <w:basedOn w:val="a8"/>
    <w:qFormat/>
    <w:pPr>
      <w:adjustRightInd w:val="0"/>
      <w:snapToGrid w:val="0"/>
      <w:spacing w:line="360" w:lineRule="auto"/>
      <w:ind w:firstLineChars="200" w:firstLine="480"/>
      <w:textAlignment w:val="baseline"/>
    </w:pPr>
    <w:rPr>
      <w:rFonts w:cs="宋体"/>
      <w:kern w:val="2"/>
      <w:lang w:val="zh-CN"/>
    </w:rPr>
  </w:style>
  <w:style w:type="paragraph" w:customStyle="1" w:styleId="affffffffffffffffff9">
    <w:name w:val="偶数页脚"/>
    <w:basedOn w:val="afff2"/>
    <w:qFormat/>
    <w:pPr>
      <w:widowControl/>
      <w:tabs>
        <w:tab w:val="clear" w:pos="4153"/>
        <w:tab w:val="clear" w:pos="8306"/>
        <w:tab w:val="center" w:pos="4320"/>
        <w:tab w:val="right" w:pos="8640"/>
      </w:tabs>
      <w:adjustRightInd w:val="0"/>
      <w:spacing w:line="360" w:lineRule="auto"/>
      <w:ind w:firstLineChars="200" w:firstLine="360"/>
    </w:pPr>
    <w:rPr>
      <w:sz w:val="24"/>
    </w:rPr>
  </w:style>
  <w:style w:type="paragraph" w:customStyle="1" w:styleId="2ff5">
    <w:name w:val="样式 题注 + 首行缩进:  2 字符"/>
    <w:basedOn w:val="af8"/>
    <w:qFormat/>
    <w:pPr>
      <w:snapToGrid w:val="0"/>
      <w:spacing w:before="152" w:after="160" w:line="500" w:lineRule="exact"/>
      <w:ind w:firstLineChars="200" w:firstLine="400"/>
      <w:jc w:val="center"/>
    </w:pPr>
    <w:rPr>
      <w:rFonts w:cs="宋体"/>
      <w:color w:val="000000"/>
      <w:kern w:val="2"/>
      <w:sz w:val="21"/>
      <w:szCs w:val="21"/>
    </w:rPr>
  </w:style>
  <w:style w:type="paragraph" w:customStyle="1" w:styleId="232">
    <w:name w:val="正文文本缩进 23"/>
    <w:basedOn w:val="a8"/>
    <w:qFormat/>
    <w:pPr>
      <w:adjustRightInd w:val="0"/>
      <w:spacing w:line="360" w:lineRule="auto"/>
      <w:ind w:firstLine="510"/>
      <w:textAlignment w:val="baseline"/>
    </w:pPr>
    <w:rPr>
      <w:rFonts w:hAnsi="宋体"/>
      <w:sz w:val="28"/>
    </w:rPr>
  </w:style>
  <w:style w:type="paragraph" w:customStyle="1" w:styleId="0772046">
    <w:name w:val="样式 首行缩进:  0.77 厘米 行距: 固定值 20 磅46"/>
    <w:basedOn w:val="a8"/>
    <w:qFormat/>
    <w:pPr>
      <w:spacing w:line="360" w:lineRule="auto"/>
      <w:ind w:rightChars="12" w:right="25" w:firstLineChars="200" w:firstLine="480"/>
    </w:pPr>
    <w:rPr>
      <w:rFonts w:ascii="Times New Roman" w:cs="宋体"/>
    </w:rPr>
  </w:style>
  <w:style w:type="paragraph" w:customStyle="1" w:styleId="affffffffffffffffffa">
    <w:name w:val="正文说明"/>
    <w:basedOn w:val="a8"/>
    <w:qFormat/>
    <w:pPr>
      <w:adjustRightInd w:val="0"/>
      <w:spacing w:beforeLines="25" w:before="78" w:line="360" w:lineRule="auto"/>
      <w:ind w:firstLine="756"/>
    </w:pPr>
    <w:rPr>
      <w:rFonts w:hAnsi="宋体"/>
      <w:color w:val="FF0000"/>
      <w:sz w:val="36"/>
      <w:szCs w:val="36"/>
      <w:bdr w:val="single" w:sz="4" w:space="0" w:color="auto"/>
    </w:rPr>
  </w:style>
  <w:style w:type="paragraph" w:customStyle="1" w:styleId="2ff6">
    <w:name w:val="样式 居中 首行缩进:  2 字符"/>
    <w:basedOn w:val="a8"/>
    <w:qFormat/>
    <w:pPr>
      <w:spacing w:line="480" w:lineRule="exact"/>
      <w:ind w:firstLineChars="5" w:firstLine="14"/>
      <w:jc w:val="center"/>
    </w:pPr>
    <w:rPr>
      <w:rFonts w:ascii="Times New Roman" w:cs="宋体"/>
      <w:kern w:val="2"/>
      <w:sz w:val="28"/>
    </w:rPr>
  </w:style>
  <w:style w:type="paragraph" w:customStyle="1" w:styleId="26060">
    <w:name w:val="样式 标题 2 + 段前: 60 磅 段后: 60 磅"/>
    <w:basedOn w:val="2"/>
    <w:qFormat/>
    <w:pPr>
      <w:keepNext w:val="0"/>
      <w:keepLines w:val="0"/>
      <w:adjustRightInd w:val="0"/>
      <w:snapToGrid w:val="0"/>
      <w:spacing w:before="100" w:after="100" w:line="360" w:lineRule="auto"/>
    </w:pPr>
    <w:rPr>
      <w:rFonts w:ascii="Times New Roman" w:cs="宋体"/>
    </w:rPr>
  </w:style>
  <w:style w:type="paragraph" w:customStyle="1" w:styleId="Char1CharCharCharCharCharCharCharCharCharCharCharChar">
    <w:name w:val="Char1 Char Char Char Char Char Char Char Char Char Char Char Char"/>
    <w:basedOn w:val="a8"/>
    <w:qFormat/>
    <w:rPr>
      <w:rFonts w:ascii="Times New Roman"/>
      <w:kern w:val="2"/>
      <w:sz w:val="21"/>
      <w:szCs w:val="24"/>
    </w:rPr>
  </w:style>
  <w:style w:type="paragraph" w:customStyle="1" w:styleId="3CharChar5">
    <w:name w:val="目录 3 Char Char"/>
    <w:basedOn w:val="a8"/>
    <w:next w:val="a8"/>
    <w:qFormat/>
    <w:pPr>
      <w:spacing w:line="351" w:lineRule="atLeast"/>
      <w:ind w:left="419" w:firstLine="419"/>
      <w:jc w:val="left"/>
    </w:pPr>
    <w:rPr>
      <w:rFonts w:ascii="Times New Roman"/>
      <w:i/>
      <w:kern w:val="2"/>
      <w:sz w:val="21"/>
    </w:rPr>
  </w:style>
  <w:style w:type="paragraph" w:customStyle="1" w:styleId="CM29">
    <w:name w:val="CM29"/>
    <w:basedOn w:val="Default"/>
    <w:next w:val="Default"/>
    <w:qFormat/>
    <w:rPr>
      <w:rFonts w:ascii="宋体" w:eastAsia="宋体" w:hAnsi="Times New Roman"/>
      <w:color w:val="auto"/>
    </w:rPr>
  </w:style>
  <w:style w:type="paragraph" w:customStyle="1" w:styleId="2220">
    <w:name w:val="样式 样式 样式 首行缩进:  2 字符 + 首行缩进:  2 字符 + 首行缩进:  2 字符"/>
    <w:basedOn w:val="225"/>
    <w:qFormat/>
    <w:pPr>
      <w:ind w:firstLine="567"/>
    </w:pPr>
    <w:rPr>
      <w:szCs w:val="20"/>
    </w:rPr>
  </w:style>
  <w:style w:type="paragraph" w:customStyle="1" w:styleId="2SLCON20">
    <w:name w:val="样式 样式 正文 首行缩进:  2 字符 SL CON + 首行缩进:  2 字符 + ˎ̥"/>
    <w:basedOn w:val="a8"/>
    <w:qFormat/>
    <w:pPr>
      <w:widowControl/>
      <w:spacing w:line="360" w:lineRule="auto"/>
      <w:ind w:firstLineChars="200" w:firstLine="480"/>
    </w:pPr>
    <w:rPr>
      <w:rFonts w:ascii="ˎ̥" w:hAnsi="ˎ̥" w:cs="宋体"/>
      <w:szCs w:val="24"/>
    </w:rPr>
  </w:style>
  <w:style w:type="paragraph" w:customStyle="1" w:styleId="CM88">
    <w:name w:val="CM88"/>
    <w:basedOn w:val="Default"/>
    <w:next w:val="Default"/>
    <w:qFormat/>
    <w:pPr>
      <w:spacing w:after="60"/>
    </w:pPr>
    <w:rPr>
      <w:rFonts w:ascii="宋体" w:eastAsia="宋体" w:hAnsi="Times New Roman"/>
      <w:color w:val="auto"/>
    </w:rPr>
  </w:style>
  <w:style w:type="paragraph" w:customStyle="1" w:styleId="xl61">
    <w:name w:val="xl61"/>
    <w:basedOn w:val="a8"/>
    <w:qFormat/>
    <w:pPr>
      <w:widowControl/>
      <w:pBdr>
        <w:top w:val="single" w:sz="4" w:space="0" w:color="auto"/>
        <w:left w:val="single" w:sz="8" w:space="0" w:color="auto"/>
        <w:right w:val="single" w:sz="4" w:space="0" w:color="auto"/>
      </w:pBdr>
      <w:spacing w:before="100" w:beforeAutospacing="1" w:after="100" w:afterAutospacing="1"/>
      <w:jc w:val="center"/>
      <w:textAlignment w:val="center"/>
    </w:pPr>
    <w:rPr>
      <w:rFonts w:eastAsia="Arial Unicode MS"/>
      <w:color w:val="000000"/>
      <w:sz w:val="20"/>
    </w:rPr>
  </w:style>
  <w:style w:type="paragraph" w:customStyle="1" w:styleId="xl71">
    <w:name w:val="xl71"/>
    <w:basedOn w:val="a8"/>
    <w:qFormat/>
    <w:pPr>
      <w:widowControl/>
      <w:pBdr>
        <w:left w:val="single" w:sz="4" w:space="0" w:color="auto"/>
        <w:bottom w:val="single" w:sz="8" w:space="0" w:color="auto"/>
      </w:pBdr>
      <w:spacing w:before="100" w:beforeAutospacing="1" w:after="100" w:afterAutospacing="1"/>
      <w:jc w:val="center"/>
      <w:textAlignment w:val="center"/>
    </w:pPr>
    <w:rPr>
      <w:rFonts w:eastAsia="Arial Unicode MS"/>
      <w:color w:val="000000"/>
    </w:rPr>
  </w:style>
  <w:style w:type="paragraph" w:customStyle="1" w:styleId="221121H2SeHeadwsa211125">
    <w:name w:val="样式 标题 2标题 21标题 121H2SeHead wsa2标题 1.1 + 小三 非加粗 段前: 12.5..."/>
    <w:basedOn w:val="2"/>
    <w:qFormat/>
    <w:pPr>
      <w:keepNext w:val="0"/>
      <w:keepLines w:val="0"/>
      <w:tabs>
        <w:tab w:val="left" w:pos="238"/>
      </w:tabs>
      <w:adjustRightInd w:val="0"/>
      <w:snapToGrid w:val="0"/>
      <w:spacing w:before="156" w:after="0" w:line="415" w:lineRule="auto"/>
      <w:ind w:left="238"/>
    </w:pPr>
    <w:rPr>
      <w:rFonts w:ascii="Arial" w:hAnsi="Arial" w:cs="宋体"/>
      <w:color w:val="000000"/>
      <w:sz w:val="30"/>
    </w:rPr>
  </w:style>
  <w:style w:type="paragraph" w:customStyle="1" w:styleId="GB231203">
    <w:name w:val="样式 (西文) 宋体 (中文) 仿宋_GB2312 五号 黑色 居中 首行缩进:  0 厘米 行距: 单倍行距3"/>
    <w:basedOn w:val="a8"/>
    <w:qFormat/>
    <w:pPr>
      <w:widowControl/>
      <w:jc w:val="center"/>
    </w:pPr>
    <w:rPr>
      <w:rFonts w:hAnsi="宋体"/>
      <w:color w:val="000000"/>
      <w:kern w:val="2"/>
      <w:sz w:val="21"/>
    </w:rPr>
  </w:style>
  <w:style w:type="paragraph" w:customStyle="1" w:styleId="affffffffffffffffffb">
    <w:name w:val="表样式"/>
    <w:basedOn w:val="affffffffffffffffff1"/>
    <w:qFormat/>
    <w:pPr>
      <w:keepNext w:val="0"/>
      <w:widowControl w:val="0"/>
      <w:spacing w:beforeLines="0" w:before="0" w:afterLines="0" w:after="0" w:line="240" w:lineRule="auto"/>
    </w:pPr>
    <w:rPr>
      <w:rFonts w:ascii="仿宋_GB2312" w:eastAsia="黑体"/>
      <w:sz w:val="21"/>
    </w:rPr>
  </w:style>
  <w:style w:type="paragraph" w:customStyle="1" w:styleId="135">
    <w:name w:val="样式 行距: 多倍行距 1.35 字行"/>
    <w:basedOn w:val="a8"/>
    <w:qFormat/>
    <w:pPr>
      <w:adjustRightInd w:val="0"/>
      <w:snapToGrid w:val="0"/>
      <w:spacing w:line="360" w:lineRule="auto"/>
      <w:ind w:firstLineChars="200" w:firstLine="480"/>
    </w:pPr>
    <w:rPr>
      <w:rFonts w:hAnsi="宋体" w:cs="宋体"/>
    </w:rPr>
  </w:style>
  <w:style w:type="paragraph" w:customStyle="1" w:styleId="1CharCharCharCharCharCharChar">
    <w:name w:val="1 Char Char Char Char Char Char Char"/>
    <w:basedOn w:val="a8"/>
    <w:semiHidden/>
    <w:qFormat/>
    <w:rPr>
      <w:rFonts w:ascii="Times New Roman"/>
      <w:kern w:val="2"/>
      <w:sz w:val="21"/>
      <w:szCs w:val="24"/>
    </w:rPr>
  </w:style>
  <w:style w:type="paragraph" w:customStyle="1" w:styleId="affffffffffffffffffc">
    <w:name w:val="表格式"/>
    <w:basedOn w:val="a8"/>
    <w:qFormat/>
    <w:pPr>
      <w:spacing w:line="260" w:lineRule="exact"/>
      <w:jc w:val="center"/>
    </w:pPr>
    <w:rPr>
      <w:rFonts w:hAnsi="宋体"/>
      <w:color w:val="000000"/>
      <w:szCs w:val="21"/>
    </w:rPr>
  </w:style>
  <w:style w:type="paragraph" w:customStyle="1" w:styleId="CharChar1CharCharCharChar">
    <w:name w:val="Char Char1 Char Char Char Char"/>
    <w:basedOn w:val="a8"/>
    <w:qFormat/>
    <w:rPr>
      <w:rFonts w:ascii="Times New Roman"/>
      <w:kern w:val="2"/>
      <w:szCs w:val="24"/>
    </w:rPr>
  </w:style>
  <w:style w:type="paragraph" w:customStyle="1" w:styleId="2250">
    <w:name w:val="样式 样式 正文缩进 + 首行缩进:  2 字符 + 首行缩进:  2.5 字符"/>
    <w:basedOn w:val="a8"/>
    <w:qFormat/>
    <w:pPr>
      <w:tabs>
        <w:tab w:val="left" w:pos="0"/>
      </w:tabs>
      <w:overflowPunct w:val="0"/>
      <w:autoSpaceDE w:val="0"/>
      <w:autoSpaceDN w:val="0"/>
      <w:spacing w:line="360" w:lineRule="auto"/>
      <w:ind w:firstLineChars="200" w:firstLine="480"/>
      <w:textAlignment w:val="bottom"/>
    </w:pPr>
    <w:rPr>
      <w:rFonts w:hAnsi="宋体" w:cs="宋体"/>
    </w:rPr>
  </w:style>
  <w:style w:type="paragraph" w:customStyle="1" w:styleId="5d">
    <w:name w:val="表格内字体5"/>
    <w:basedOn w:val="affffff2"/>
    <w:qFormat/>
    <w:pPr>
      <w:spacing w:line="240" w:lineRule="auto"/>
      <w:ind w:firstLineChars="0" w:firstLine="0"/>
      <w:jc w:val="center"/>
    </w:pPr>
    <w:rPr>
      <w:sz w:val="21"/>
      <w:szCs w:val="20"/>
    </w:rPr>
  </w:style>
  <w:style w:type="paragraph" w:customStyle="1" w:styleId="10">
    <w:name w:val="样式10"/>
    <w:basedOn w:val="a8"/>
    <w:qFormat/>
    <w:pPr>
      <w:keepNext/>
      <w:keepLines/>
      <w:numPr>
        <w:numId w:val="2"/>
      </w:numPr>
      <w:spacing w:beforeLines="50" w:before="156" w:afterLines="50" w:after="156" w:line="360" w:lineRule="auto"/>
      <w:outlineLvl w:val="0"/>
    </w:pPr>
    <w:rPr>
      <w:rFonts w:ascii="Times New Roman" w:eastAsia="黑体"/>
      <w:kern w:val="44"/>
      <w:sz w:val="30"/>
      <w:szCs w:val="44"/>
    </w:rPr>
  </w:style>
  <w:style w:type="paragraph" w:customStyle="1" w:styleId="3Arial0622">
    <w:name w:val="标题 3 + Arial 小四 非加粗 段前: 0 磅 段后: 6 磅 行距: 固定值 22 磅"/>
    <w:basedOn w:val="31"/>
    <w:next w:val="a8"/>
    <w:qFormat/>
    <w:pPr>
      <w:spacing w:before="0" w:after="0" w:line="440" w:lineRule="exact"/>
    </w:pPr>
    <w:rPr>
      <w:rFonts w:hAnsi="宋体"/>
      <w:sz w:val="24"/>
      <w:szCs w:val="20"/>
    </w:rPr>
  </w:style>
  <w:style w:type="paragraph" w:customStyle="1" w:styleId="affffffffffffffffffd">
    <w:name w:val="项目"/>
    <w:basedOn w:val="a8"/>
    <w:qFormat/>
    <w:pPr>
      <w:tabs>
        <w:tab w:val="left" w:pos="1290"/>
      </w:tabs>
      <w:spacing w:line="460" w:lineRule="exact"/>
      <w:ind w:left="1290" w:hanging="720"/>
      <w:jc w:val="center"/>
    </w:pPr>
    <w:rPr>
      <w:spacing w:val="20"/>
      <w:kern w:val="2"/>
    </w:rPr>
  </w:style>
  <w:style w:type="paragraph" w:customStyle="1" w:styleId="p0">
    <w:name w:val="p0"/>
    <w:basedOn w:val="a8"/>
    <w:link w:val="p0Char"/>
    <w:qFormat/>
    <w:pPr>
      <w:widowControl/>
    </w:pPr>
    <w:rPr>
      <w:rFonts w:ascii="Times New Roman"/>
      <w:sz w:val="21"/>
      <w:szCs w:val="21"/>
    </w:rPr>
  </w:style>
  <w:style w:type="paragraph" w:customStyle="1" w:styleId="221121TimesNewRoman81">
    <w:name w:val="样式 标题 2标题 21标题 121 + Times New Roman 小三 非加粗 黑色 段前: 8 磅 段...1"/>
    <w:basedOn w:val="2"/>
    <w:qFormat/>
    <w:pPr>
      <w:keepNext w:val="0"/>
      <w:keepLines w:val="0"/>
      <w:tabs>
        <w:tab w:val="left" w:pos="360"/>
      </w:tabs>
      <w:adjustRightInd w:val="0"/>
      <w:snapToGrid w:val="0"/>
      <w:spacing w:before="160" w:after="0" w:line="360" w:lineRule="auto"/>
      <w:ind w:left="360" w:hanging="360"/>
    </w:pPr>
    <w:rPr>
      <w:rFonts w:ascii="Times New Roman" w:cs="宋体"/>
      <w:color w:val="000000"/>
      <w:sz w:val="30"/>
    </w:rPr>
  </w:style>
  <w:style w:type="paragraph" w:customStyle="1" w:styleId="1011">
    <w:name w:val="样式 正文1 + 段前: 0.1 行"/>
    <w:basedOn w:val="a8"/>
    <w:qFormat/>
    <w:pPr>
      <w:snapToGrid w:val="0"/>
      <w:spacing w:beforeLines="10" w:before="31" w:line="440" w:lineRule="atLeast"/>
      <w:ind w:firstLine="567"/>
    </w:pPr>
  </w:style>
  <w:style w:type="paragraph" w:customStyle="1" w:styleId="CharCharChar1CharCharCharCharCharCharCharCharCharCharCharCharCharCharCharCharCharCharChar">
    <w:name w:val="Char Char Char1 Char Char Char Char Char Char Char Char Char Char Char Char Char Char Char Char Char Char Char"/>
    <w:basedOn w:val="a8"/>
    <w:qFormat/>
    <w:rPr>
      <w:rFonts w:ascii="Times New Roman"/>
      <w:kern w:val="2"/>
      <w:szCs w:val="24"/>
    </w:rPr>
  </w:style>
  <w:style w:type="paragraph" w:customStyle="1" w:styleId="affffffffffffffffffe">
    <w:name w:val="我的样式（正文）"/>
    <w:basedOn w:val="a8"/>
    <w:qFormat/>
    <w:pPr>
      <w:spacing w:line="440" w:lineRule="exact"/>
    </w:pPr>
    <w:rPr>
      <w:kern w:val="2"/>
      <w:sz w:val="28"/>
    </w:rPr>
  </w:style>
  <w:style w:type="paragraph" w:customStyle="1" w:styleId="CharCharCharCharCharCharCharCharCharCharCharCharCharCharCharCharCharChar">
    <w:name w:val="Char Char Char Char Char Char Char Char Char Char Char Char Char Char Char Char Char Char"/>
    <w:basedOn w:val="a8"/>
    <w:qFormat/>
  </w:style>
  <w:style w:type="paragraph" w:customStyle="1" w:styleId="CharCharChar1CharCharCharCharCharCharCharCharCharChar1">
    <w:name w:val="Char Char Char1 Char Char Char Char Char Char Char Char Char Char1"/>
    <w:basedOn w:val="a8"/>
    <w:qFormat/>
  </w:style>
  <w:style w:type="paragraph" w:customStyle="1" w:styleId="1fffc">
    <w:name w:val="日期1"/>
    <w:basedOn w:val="a8"/>
    <w:next w:val="a8"/>
    <w:qFormat/>
    <w:pPr>
      <w:adjustRightInd w:val="0"/>
      <w:spacing w:line="360" w:lineRule="atLeast"/>
      <w:jc w:val="left"/>
      <w:textAlignment w:val="baseline"/>
    </w:pPr>
    <w:rPr>
      <w:rFonts w:ascii="Times New Roman"/>
    </w:rPr>
  </w:style>
  <w:style w:type="paragraph" w:customStyle="1" w:styleId="106">
    <w:name w:val="文字段落10"/>
    <w:basedOn w:val="a8"/>
    <w:qFormat/>
    <w:pPr>
      <w:overflowPunct w:val="0"/>
      <w:autoSpaceDE w:val="0"/>
      <w:autoSpaceDN w:val="0"/>
      <w:adjustRightInd w:val="0"/>
      <w:snapToGrid w:val="0"/>
      <w:spacing w:before="50" w:after="50" w:line="360" w:lineRule="auto"/>
      <w:ind w:firstLineChars="200" w:firstLine="200"/>
      <w:textAlignment w:val="baseline"/>
    </w:pPr>
    <w:rPr>
      <w:rFonts w:ascii="Times New Roman"/>
      <w:kern w:val="2"/>
      <w:sz w:val="28"/>
    </w:rPr>
  </w:style>
  <w:style w:type="paragraph" w:customStyle="1" w:styleId="afffffffffffffffffff">
    <w:name w:val="文本框"/>
    <w:basedOn w:val="a8"/>
    <w:qFormat/>
    <w:pPr>
      <w:adjustRightInd w:val="0"/>
      <w:snapToGrid w:val="0"/>
      <w:spacing w:line="300" w:lineRule="exact"/>
      <w:jc w:val="center"/>
    </w:pPr>
    <w:rPr>
      <w:rFonts w:ascii="Times New Roman"/>
      <w:kern w:val="2"/>
    </w:rPr>
  </w:style>
  <w:style w:type="paragraph" w:customStyle="1" w:styleId="xl29">
    <w:name w:val="xl29"/>
    <w:basedOn w:val="a8"/>
    <w:qFormat/>
    <w:pPr>
      <w:widowControl/>
      <w:pBdr>
        <w:left w:val="single" w:sz="8" w:space="0" w:color="auto"/>
        <w:right w:val="single" w:sz="8" w:space="0" w:color="auto"/>
      </w:pBdr>
      <w:spacing w:before="100" w:beforeAutospacing="1" w:after="100" w:afterAutospacing="1"/>
      <w:jc w:val="center"/>
      <w:textAlignment w:val="center"/>
    </w:pPr>
    <w:rPr>
      <w:rFonts w:ascii="Arial Unicode MS" w:eastAsia="Arial Unicode MS" w:hAnsi="Arial Unicode MS"/>
    </w:rPr>
  </w:style>
  <w:style w:type="paragraph" w:customStyle="1" w:styleId="2TimesNewRoman1">
    <w:name w:val="样式 标题 2 + Times New Roman 小三 居中 行距: 单倍行距"/>
    <w:basedOn w:val="2"/>
    <w:qFormat/>
    <w:pPr>
      <w:widowControl/>
      <w:spacing w:before="260" w:after="260"/>
      <w:ind w:firstLineChars="192" w:firstLine="538"/>
      <w:jc w:val="left"/>
    </w:pPr>
    <w:rPr>
      <w:rFonts w:cs="宋体"/>
      <w:kern w:val="0"/>
      <w:sz w:val="30"/>
    </w:rPr>
  </w:style>
  <w:style w:type="paragraph" w:customStyle="1" w:styleId="xl44">
    <w:name w:val="xl44"/>
    <w:basedOn w:val="a8"/>
    <w:qFormat/>
    <w:pPr>
      <w:widowControl/>
      <w:pBdr>
        <w:right w:val="single" w:sz="4" w:space="0" w:color="auto"/>
      </w:pBdr>
      <w:spacing w:before="100" w:beforeAutospacing="1" w:after="100" w:afterAutospacing="1"/>
      <w:jc w:val="center"/>
    </w:pPr>
    <w:rPr>
      <w:rFonts w:eastAsia="Arial Unicode MS"/>
      <w:color w:val="000000"/>
      <w:szCs w:val="21"/>
    </w:rPr>
  </w:style>
  <w:style w:type="paragraph" w:customStyle="1" w:styleId="style10">
    <w:name w:val="style1"/>
    <w:basedOn w:val="a8"/>
    <w:qFormat/>
    <w:pPr>
      <w:widowControl/>
      <w:spacing w:before="100" w:beforeAutospacing="1" w:after="100" w:afterAutospacing="1"/>
      <w:jc w:val="left"/>
    </w:pPr>
    <w:rPr>
      <w:rFonts w:hAnsi="宋体" w:cs="宋体"/>
      <w:sz w:val="27"/>
      <w:szCs w:val="27"/>
    </w:rPr>
  </w:style>
  <w:style w:type="paragraph" w:customStyle="1" w:styleId="128">
    <w:name w:val="排序（1）（2）"/>
    <w:basedOn w:val="a8"/>
    <w:qFormat/>
    <w:pPr>
      <w:spacing w:line="460" w:lineRule="atLeast"/>
    </w:pPr>
    <w:rPr>
      <w:spacing w:val="12"/>
    </w:rPr>
  </w:style>
  <w:style w:type="paragraph" w:customStyle="1" w:styleId="biao2">
    <w:name w:val="biao2"/>
    <w:basedOn w:val="a8"/>
    <w:qFormat/>
    <w:pPr>
      <w:widowControl/>
      <w:adjustRightInd w:val="0"/>
      <w:spacing w:before="100" w:after="100"/>
      <w:jc w:val="center"/>
      <w:textAlignment w:val="center"/>
    </w:pPr>
    <w:rPr>
      <w:rFonts w:ascii="??" w:hAnsi="??"/>
      <w:color w:val="000000"/>
      <w:sz w:val="27"/>
    </w:rPr>
  </w:style>
  <w:style w:type="paragraph" w:customStyle="1" w:styleId="afffffffffffffffffff0">
    <w:name w:val="调研内容"/>
    <w:basedOn w:val="a8"/>
    <w:qFormat/>
    <w:pPr>
      <w:spacing w:line="360" w:lineRule="auto"/>
    </w:pPr>
  </w:style>
  <w:style w:type="paragraph" w:customStyle="1" w:styleId="afffffffffffffffffff1">
    <w:name w:val="表格文字居中"/>
    <w:basedOn w:val="affff7"/>
    <w:qFormat/>
    <w:pPr>
      <w:spacing w:line="240" w:lineRule="auto"/>
      <w:ind w:rightChars="-50" w:right="-105" w:firstLineChars="0" w:firstLine="0"/>
      <w:jc w:val="center"/>
    </w:pPr>
    <w:rPr>
      <w:color w:val="000000"/>
      <w:spacing w:val="0"/>
      <w:sz w:val="21"/>
    </w:rPr>
  </w:style>
  <w:style w:type="paragraph" w:customStyle="1" w:styleId="07720">
    <w:name w:val="样式 首行缩进:  0.77 厘米 行距: 固定值 20 磅"/>
    <w:basedOn w:val="a8"/>
    <w:qFormat/>
    <w:pPr>
      <w:spacing w:line="360" w:lineRule="auto"/>
      <w:ind w:firstLineChars="200" w:firstLine="480"/>
    </w:pPr>
    <w:rPr>
      <w:rFonts w:cs="宋体"/>
      <w:szCs w:val="24"/>
    </w:rPr>
  </w:style>
  <w:style w:type="paragraph" w:customStyle="1" w:styleId="115">
    <w:name w:val="正文缩进11"/>
    <w:basedOn w:val="112"/>
    <w:qFormat/>
    <w:pPr>
      <w:adjustRightInd w:val="0"/>
      <w:spacing w:line="360" w:lineRule="atLeast"/>
      <w:ind w:firstLineChars="0" w:firstLine="420"/>
      <w:jc w:val="left"/>
      <w:textAlignment w:val="baseline"/>
    </w:pPr>
    <w:rPr>
      <w:sz w:val="21"/>
    </w:rPr>
  </w:style>
  <w:style w:type="paragraph" w:customStyle="1" w:styleId="4143102">
    <w:name w:val="样式 标题 4标题 14 + 加粗 无下划线 自动设置 段前: 3 磅 段后: 10 磅2"/>
    <w:basedOn w:val="42"/>
    <w:qFormat/>
    <w:pPr>
      <w:tabs>
        <w:tab w:val="left" w:pos="425"/>
      </w:tabs>
      <w:snapToGrid w:val="0"/>
      <w:spacing w:line="240" w:lineRule="auto"/>
    </w:pPr>
    <w:rPr>
      <w:rFonts w:ascii="Times New Roman" w:eastAsia="宋体" w:hAnsi="Times New Roman"/>
      <w:color w:val="000000"/>
      <w:sz w:val="24"/>
      <w:szCs w:val="20"/>
    </w:rPr>
  </w:style>
  <w:style w:type="paragraph" w:customStyle="1" w:styleId="CharCharff4">
    <w:name w:val="页眉 Char Char"/>
    <w:basedOn w:val="a8"/>
    <w:qFormat/>
    <w:pPr>
      <w:tabs>
        <w:tab w:val="left" w:pos="4149"/>
        <w:tab w:val="left" w:pos="8016"/>
      </w:tabs>
      <w:spacing w:line="351" w:lineRule="atLeast"/>
      <w:ind w:firstLine="419"/>
      <w:jc w:val="center"/>
    </w:pPr>
    <w:rPr>
      <w:rFonts w:ascii="Times New Roman"/>
      <w:kern w:val="2"/>
      <w:sz w:val="18"/>
    </w:rPr>
  </w:style>
  <w:style w:type="paragraph" w:customStyle="1" w:styleId="afffffffffffffffffff2">
    <w:name w:val="框图"/>
    <w:basedOn w:val="a8"/>
    <w:qFormat/>
    <w:pPr>
      <w:adjustRightInd w:val="0"/>
      <w:snapToGrid w:val="0"/>
      <w:ind w:leftChars="-38" w:left="2" w:rightChars="-38" w:right="-106" w:hangingChars="54" w:hanging="108"/>
      <w:jc w:val="center"/>
    </w:pPr>
    <w:rPr>
      <w:rFonts w:cs="宋体"/>
      <w:kern w:val="2"/>
      <w:sz w:val="20"/>
    </w:rPr>
  </w:style>
  <w:style w:type="paragraph" w:customStyle="1" w:styleId="129">
    <w:name w:val="表格内字体12"/>
    <w:basedOn w:val="affffff2"/>
    <w:qFormat/>
    <w:pPr>
      <w:spacing w:line="240" w:lineRule="auto"/>
      <w:ind w:firstLineChars="0" w:firstLine="0"/>
      <w:jc w:val="center"/>
    </w:pPr>
    <w:rPr>
      <w:sz w:val="21"/>
      <w:szCs w:val="20"/>
    </w:rPr>
  </w:style>
  <w:style w:type="paragraph" w:customStyle="1" w:styleId="66">
    <w:name w:val="表格内字体6"/>
    <w:basedOn w:val="a8"/>
    <w:qFormat/>
    <w:pPr>
      <w:jc w:val="center"/>
    </w:pPr>
    <w:rPr>
      <w:rFonts w:cs="宋体"/>
      <w:kern w:val="2"/>
      <w:sz w:val="21"/>
    </w:rPr>
  </w:style>
  <w:style w:type="paragraph" w:customStyle="1" w:styleId="107">
    <w:name w:val="小四宋居中1.0"/>
    <w:basedOn w:val="a8"/>
    <w:next w:val="a8"/>
    <w:qFormat/>
    <w:pPr>
      <w:spacing w:line="360" w:lineRule="atLeast"/>
      <w:jc w:val="center"/>
    </w:pPr>
    <w:rPr>
      <w:rFonts w:ascii="仿宋_GB2312" w:eastAsia="仿宋_GB2312" w:hAnsi="宋体" w:hint="eastAsia"/>
      <w:kern w:val="2"/>
      <w:sz w:val="21"/>
      <w:szCs w:val="24"/>
    </w:rPr>
  </w:style>
  <w:style w:type="paragraph" w:customStyle="1" w:styleId="GB23120">
    <w:name w:val="样式 (西文) 宋体 (中文) 仿宋_GB2312 五号 黑色 居中 首行缩进:  0 厘米 行距: 单倍行距"/>
    <w:basedOn w:val="a8"/>
    <w:qFormat/>
    <w:pPr>
      <w:widowControl/>
      <w:jc w:val="center"/>
    </w:pPr>
    <w:rPr>
      <w:rFonts w:hAnsi="宋体"/>
      <w:color w:val="000000"/>
      <w:spacing w:val="5"/>
      <w:kern w:val="2"/>
      <w:sz w:val="21"/>
    </w:rPr>
  </w:style>
  <w:style w:type="paragraph" w:customStyle="1" w:styleId="CharCharChar1CharCharCharCharCharCharCharCharCharCharCharCharCharCharCharCharCharCharCharCharCharCharCharCharCharCharChar">
    <w:name w:val="Char Char Char1 Char Char Char Char Char Char Char Char Char Char Char Char Char Char Char Char Char Char Char Char Char Char Char Char Char Char Char"/>
    <w:basedOn w:val="a8"/>
    <w:qFormat/>
    <w:pPr>
      <w:spacing w:line="360" w:lineRule="auto"/>
      <w:jc w:val="left"/>
    </w:pPr>
    <w:rPr>
      <w:rFonts w:ascii="Times New Roman"/>
      <w:kern w:val="2"/>
      <w:szCs w:val="24"/>
    </w:rPr>
  </w:style>
  <w:style w:type="paragraph" w:customStyle="1" w:styleId="afffffffffffffffffff3">
    <w:name w:val="报告表格"/>
    <w:basedOn w:val="a8"/>
    <w:qFormat/>
    <w:pPr>
      <w:autoSpaceDE w:val="0"/>
      <w:autoSpaceDN w:val="0"/>
      <w:adjustRightInd w:val="0"/>
      <w:spacing w:before="40" w:after="40"/>
      <w:jc w:val="center"/>
      <w:textAlignment w:val="bottom"/>
    </w:pPr>
  </w:style>
  <w:style w:type="paragraph" w:styleId="afffffffffffffffffff4">
    <w:name w:val="List Paragraph"/>
    <w:basedOn w:val="a8"/>
    <w:qFormat/>
    <w:pPr>
      <w:widowControl/>
      <w:ind w:left="720"/>
      <w:contextualSpacing/>
      <w:jc w:val="left"/>
    </w:pPr>
    <w:rPr>
      <w:rFonts w:ascii="Calibri" w:hAnsi="Calibri"/>
      <w:lang w:eastAsia="en-US" w:bidi="en-US"/>
    </w:rPr>
  </w:style>
  <w:style w:type="paragraph" w:customStyle="1" w:styleId="2ff7">
    <w:name w:val="页脚2"/>
    <w:basedOn w:val="112"/>
    <w:qFormat/>
    <w:pPr>
      <w:adjustRightInd w:val="0"/>
      <w:spacing w:line="360" w:lineRule="atLeast"/>
      <w:ind w:firstLineChars="0" w:firstLine="0"/>
      <w:jc w:val="left"/>
      <w:textAlignment w:val="baseline"/>
    </w:pPr>
  </w:style>
  <w:style w:type="paragraph" w:customStyle="1" w:styleId="CharCharChar1CharCharCharCharCharCharChar">
    <w:name w:val="Char Char Char1 Char Char Char Char Char Char Char"/>
    <w:basedOn w:val="a8"/>
    <w:qFormat/>
  </w:style>
  <w:style w:type="paragraph" w:customStyle="1" w:styleId="116">
    <w:name w:val="列出段落11"/>
    <w:basedOn w:val="a8"/>
    <w:qFormat/>
    <w:pPr>
      <w:ind w:firstLineChars="200" w:firstLine="420"/>
    </w:pPr>
    <w:rPr>
      <w:szCs w:val="24"/>
    </w:rPr>
  </w:style>
  <w:style w:type="paragraph" w:customStyle="1" w:styleId="511111111111">
    <w:name w:val="样式 标题 5标题（五）表题一级项1.1.1.1.11)项无序号，小四黑常规，空两字标题1.1.1.1.1三级..."/>
    <w:basedOn w:val="50"/>
    <w:qFormat/>
    <w:pPr>
      <w:tabs>
        <w:tab w:val="clear" w:pos="1008"/>
      </w:tabs>
      <w:ind w:left="0" w:firstLine="0"/>
    </w:pPr>
    <w:rPr>
      <w:rFonts w:ascii="Times New Roman" w:cs="宋体"/>
      <w:b/>
      <w:bCs/>
      <w:color w:val="000000"/>
      <w:kern w:val="2"/>
    </w:rPr>
  </w:style>
  <w:style w:type="paragraph" w:customStyle="1" w:styleId="afffffffffffffffffff5">
    <w:name w:val="正文楷体"/>
    <w:basedOn w:val="a8"/>
    <w:qFormat/>
    <w:rPr>
      <w:rFonts w:ascii="Times New Roman" w:eastAsia="楷体_GB2312"/>
      <w:kern w:val="2"/>
      <w:sz w:val="21"/>
      <w:szCs w:val="24"/>
    </w:rPr>
  </w:style>
  <w:style w:type="paragraph" w:customStyle="1" w:styleId="2ff8">
    <w:name w:val="蒲标题2"/>
    <w:basedOn w:val="2"/>
    <w:qFormat/>
    <w:pPr>
      <w:tabs>
        <w:tab w:val="left" w:pos="1245"/>
      </w:tabs>
      <w:autoSpaceDE w:val="0"/>
      <w:autoSpaceDN w:val="0"/>
      <w:adjustRightInd w:val="0"/>
      <w:snapToGrid w:val="0"/>
      <w:spacing w:before="0" w:after="0" w:line="360" w:lineRule="auto"/>
      <w:ind w:left="525"/>
    </w:pPr>
    <w:rPr>
      <w:rFonts w:eastAsia="宋体"/>
      <w:kern w:val="0"/>
      <w:sz w:val="28"/>
      <w:szCs w:val="28"/>
    </w:rPr>
  </w:style>
  <w:style w:type="paragraph" w:customStyle="1" w:styleId="3ff2">
    <w:name w:val="3级标题"/>
    <w:basedOn w:val="a8"/>
    <w:qFormat/>
    <w:pPr>
      <w:snapToGrid w:val="0"/>
      <w:spacing w:line="360" w:lineRule="auto"/>
      <w:ind w:leftChars="200" w:left="200"/>
    </w:pPr>
    <w:rPr>
      <w:rFonts w:hAnsi="宋体"/>
      <w:sz w:val="28"/>
    </w:rPr>
  </w:style>
  <w:style w:type="paragraph" w:customStyle="1" w:styleId="1fffd">
    <w:name w:val="表格正文1"/>
    <w:basedOn w:val="a8"/>
    <w:qFormat/>
    <w:pPr>
      <w:spacing w:line="360" w:lineRule="auto"/>
      <w:ind w:firstLineChars="200" w:firstLine="480"/>
      <w:jc w:val="center"/>
    </w:pPr>
    <w:rPr>
      <w:rFonts w:ascii="Times New Roman"/>
      <w:kern w:val="2"/>
      <w:szCs w:val="24"/>
    </w:rPr>
  </w:style>
  <w:style w:type="paragraph" w:customStyle="1" w:styleId="Style51">
    <w:name w:val="_Style 51"/>
    <w:basedOn w:val="a8"/>
    <w:next w:val="aa"/>
    <w:qFormat/>
    <w:pPr>
      <w:ind w:firstLineChars="200" w:firstLine="200"/>
    </w:pPr>
    <w:rPr>
      <w:rFonts w:ascii="Times New Roman"/>
      <w:kern w:val="2"/>
      <w:sz w:val="21"/>
    </w:rPr>
  </w:style>
  <w:style w:type="paragraph" w:customStyle="1" w:styleId="3wf">
    <w:name w:val="样式3wf"/>
    <w:basedOn w:val="2e"/>
    <w:qFormat/>
    <w:pPr>
      <w:spacing w:before="120" w:line="240" w:lineRule="auto"/>
    </w:pPr>
    <w:rPr>
      <w:kern w:val="2"/>
    </w:rPr>
  </w:style>
  <w:style w:type="paragraph" w:customStyle="1" w:styleId="407522">
    <w:name w:val="样式 样式 样式 样式 样式4 + 首行缩进:  0.75 字符 + 首行缩进:  2 字符 + 首行缩进:  2 字符 + 首..."/>
    <w:basedOn w:val="a8"/>
    <w:qFormat/>
    <w:pPr>
      <w:adjustRightInd w:val="0"/>
      <w:snapToGrid w:val="0"/>
      <w:spacing w:line="480" w:lineRule="exact"/>
      <w:ind w:firstLineChars="200" w:firstLine="480"/>
    </w:pPr>
    <w:rPr>
      <w:rFonts w:ascii="华文中宋" w:eastAsia="华文中宋" w:hAnsi="华文中宋"/>
      <w:kern w:val="2"/>
      <w:szCs w:val="24"/>
    </w:rPr>
  </w:style>
  <w:style w:type="paragraph" w:customStyle="1" w:styleId="11110">
    <w:name w:val="标题1111"/>
    <w:basedOn w:val="1f3"/>
    <w:next w:val="a8"/>
    <w:qFormat/>
  </w:style>
  <w:style w:type="paragraph" w:customStyle="1" w:styleId="afffffffffffffffffff6">
    <w:name w:val="图表标题"/>
    <w:basedOn w:val="a8"/>
    <w:next w:val="afffffffffffffd"/>
    <w:link w:val="Charff6"/>
    <w:qFormat/>
    <w:pPr>
      <w:widowControl/>
      <w:spacing w:line="360" w:lineRule="auto"/>
      <w:ind w:firstLineChars="200" w:firstLine="200"/>
      <w:jc w:val="center"/>
    </w:pPr>
    <w:rPr>
      <w:rFonts w:hAnsi="宋体"/>
      <w:b/>
      <w:snapToGrid w:val="0"/>
    </w:rPr>
  </w:style>
  <w:style w:type="paragraph" w:customStyle="1" w:styleId="afffffffffffffffffff7">
    <w:name w:val="一级无标题条"/>
    <w:basedOn w:val="a8"/>
    <w:qFormat/>
  </w:style>
  <w:style w:type="paragraph" w:customStyle="1" w:styleId="1200">
    <w:name w:val="样式 标题 1 + 黑体 三号 居中 行距: 固定值 20 磅"/>
    <w:basedOn w:val="11"/>
    <w:qFormat/>
    <w:pPr>
      <w:widowControl/>
      <w:tabs>
        <w:tab w:val="clear" w:pos="8160"/>
      </w:tabs>
      <w:topLinePunct/>
      <w:autoSpaceDE w:val="0"/>
      <w:autoSpaceDN w:val="0"/>
      <w:snapToGrid w:val="0"/>
      <w:spacing w:before="340" w:afterLines="0" w:after="330" w:line="400" w:lineRule="exact"/>
      <w:ind w:firstLineChars="224" w:firstLine="538"/>
      <w:textAlignment w:val="auto"/>
    </w:pPr>
    <w:rPr>
      <w:rFonts w:hAnsi="黑体" w:cs="宋体"/>
      <w:b w:val="0"/>
      <w:bCs w:val="0"/>
      <w:snapToGrid w:val="0"/>
      <w:szCs w:val="20"/>
    </w:rPr>
  </w:style>
  <w:style w:type="paragraph" w:customStyle="1" w:styleId="211112b22CharTimesNewRoman">
    <w:name w:val="样式 标题 2节标题 1.11.1标题2b2标题 2 Char + Times New Roman"/>
    <w:basedOn w:val="2"/>
    <w:next w:val="a8"/>
    <w:qFormat/>
    <w:pPr>
      <w:keepNext w:val="0"/>
      <w:keepLines w:val="0"/>
      <w:tabs>
        <w:tab w:val="left" w:pos="720"/>
      </w:tabs>
      <w:adjustRightInd w:val="0"/>
      <w:snapToGrid w:val="0"/>
      <w:spacing w:beforeLines="50" w:before="156" w:afterLines="50" w:after="156" w:line="520" w:lineRule="exact"/>
    </w:pPr>
    <w:rPr>
      <w:rFonts w:ascii="Times New Roman" w:hAnsi="宋体"/>
      <w:color w:val="000000"/>
      <w:sz w:val="30"/>
      <w:szCs w:val="30"/>
    </w:rPr>
  </w:style>
  <w:style w:type="paragraph" w:customStyle="1" w:styleId="488">
    <w:name w:val="样式 标题 4 + 段前: 8 磅 段后: 8 磅"/>
    <w:basedOn w:val="42"/>
    <w:qFormat/>
    <w:pPr>
      <w:spacing w:beforeLines="50" w:before="156" w:afterLines="50" w:after="156" w:line="480" w:lineRule="exact"/>
    </w:pPr>
    <w:rPr>
      <w:rFonts w:ascii="Times New Roman" w:eastAsia="宋体" w:hAnsi="Times New Roman" w:cs="宋体"/>
      <w:bCs w:val="0"/>
      <w:kern w:val="0"/>
      <w:szCs w:val="20"/>
    </w:rPr>
  </w:style>
  <w:style w:type="paragraph" w:customStyle="1" w:styleId="1fffe">
    <w:name w:val="1表格头"/>
    <w:basedOn w:val="a8"/>
    <w:qFormat/>
    <w:pPr>
      <w:snapToGrid w:val="0"/>
      <w:spacing w:line="160" w:lineRule="atLeast"/>
      <w:jc w:val="center"/>
    </w:pPr>
    <w:rPr>
      <w:rFonts w:ascii="Times New Roman" w:eastAsia="仿宋_GB2312"/>
      <w:kern w:val="2"/>
    </w:rPr>
  </w:style>
  <w:style w:type="paragraph" w:customStyle="1" w:styleId="afffffffffffffffffff8">
    <w:name w:val="三级标题"/>
    <w:basedOn w:val="31"/>
    <w:qFormat/>
    <w:pPr>
      <w:tabs>
        <w:tab w:val="left" w:pos="630"/>
        <w:tab w:val="left" w:pos="1365"/>
      </w:tabs>
      <w:adjustRightInd w:val="0"/>
      <w:spacing w:before="240" w:after="60" w:line="240" w:lineRule="auto"/>
      <w:jc w:val="left"/>
      <w:textAlignment w:val="baseline"/>
    </w:pPr>
    <w:rPr>
      <w:rFonts w:cs="宋体"/>
      <w:color w:val="000000"/>
      <w:kern w:val="0"/>
      <w:sz w:val="28"/>
      <w:szCs w:val="28"/>
    </w:rPr>
  </w:style>
  <w:style w:type="paragraph" w:customStyle="1" w:styleId="Char1CharCharCharCharCharChar1">
    <w:name w:val="Char1 Char Char Char Char Char Char1"/>
    <w:basedOn w:val="a8"/>
    <w:next w:val="a8"/>
    <w:qFormat/>
    <w:pPr>
      <w:spacing w:line="360" w:lineRule="auto"/>
      <w:ind w:firstLineChars="200" w:firstLine="200"/>
      <w:jc w:val="center"/>
    </w:pPr>
    <w:rPr>
      <w:rFonts w:ascii="Times New Roman" w:eastAsia="黑体"/>
      <w:kern w:val="2"/>
      <w:sz w:val="21"/>
    </w:rPr>
  </w:style>
  <w:style w:type="paragraph" w:customStyle="1" w:styleId="Charff7">
    <w:name w:val="Char"/>
    <w:basedOn w:val="a8"/>
    <w:qFormat/>
  </w:style>
  <w:style w:type="paragraph" w:customStyle="1" w:styleId="afffffffffffffffffff9">
    <w:name w:val="表中样式"/>
    <w:basedOn w:val="a8"/>
    <w:qFormat/>
    <w:pPr>
      <w:widowControl/>
      <w:spacing w:line="240" w:lineRule="exact"/>
      <w:ind w:leftChars="-25" w:left="-25" w:rightChars="-31" w:right="-31"/>
      <w:jc w:val="center"/>
    </w:pPr>
    <w:rPr>
      <w:rFonts w:hAnsi="宋体" w:cs="宋体"/>
      <w:bCs/>
      <w:szCs w:val="32"/>
    </w:rPr>
  </w:style>
  <w:style w:type="paragraph" w:customStyle="1" w:styleId="11H10505">
    <w:name w:val="样式 标题 1一级标题一级标题(章)标题1章节H1一、章 + 段前: 0.5 行 段后: 0.5 行"/>
    <w:basedOn w:val="11"/>
    <w:qFormat/>
    <w:pPr>
      <w:keepNext w:val="0"/>
      <w:pageBreakBefore/>
      <w:tabs>
        <w:tab w:val="clear" w:pos="8160"/>
      </w:tabs>
      <w:adjustRightInd/>
      <w:spacing w:beforeLines="50" w:before="156" w:afterLines="0" w:after="50" w:line="360" w:lineRule="auto"/>
      <w:jc w:val="both"/>
      <w:textAlignment w:val="auto"/>
    </w:pPr>
    <w:rPr>
      <w:rFonts w:cs="宋体"/>
      <w:b w:val="0"/>
      <w:bCs w:val="0"/>
      <w:sz w:val="30"/>
      <w:szCs w:val="20"/>
    </w:rPr>
  </w:style>
  <w:style w:type="paragraph" w:customStyle="1" w:styleId="afffffffffffffffffffa">
    <w:name w:val="居中+ 三号"/>
    <w:basedOn w:val="a8"/>
    <w:qFormat/>
    <w:pPr>
      <w:jc w:val="center"/>
    </w:pPr>
    <w:rPr>
      <w:rFonts w:ascii="Times New Roman"/>
      <w:b/>
      <w:bCs/>
      <w:kern w:val="2"/>
      <w:sz w:val="32"/>
      <w:szCs w:val="30"/>
    </w:rPr>
  </w:style>
  <w:style w:type="paragraph" w:customStyle="1" w:styleId="ParaCharCharCharCharCharCharCharCharCharCharCharCharChar">
    <w:name w:val="默认段落字体 Para Char Char Char Char Char Char Char Char Char Char Char Char Char"/>
    <w:basedOn w:val="a8"/>
    <w:qFormat/>
    <w:rPr>
      <w:rFonts w:ascii="Times New Roman"/>
      <w:kern w:val="2"/>
      <w:szCs w:val="24"/>
    </w:rPr>
  </w:style>
  <w:style w:type="paragraph" w:customStyle="1" w:styleId="xl46">
    <w:name w:val="xl46"/>
    <w:basedOn w:val="a8"/>
    <w:qFormat/>
    <w:pPr>
      <w:widowControl/>
      <w:pBdr>
        <w:bottom w:val="single" w:sz="8" w:space="0" w:color="auto"/>
        <w:right w:val="single" w:sz="4" w:space="0" w:color="auto"/>
      </w:pBdr>
      <w:spacing w:before="100" w:beforeAutospacing="1" w:after="100" w:afterAutospacing="1"/>
      <w:jc w:val="center"/>
    </w:pPr>
    <w:rPr>
      <w:rFonts w:eastAsia="Arial Unicode MS"/>
      <w:color w:val="000000"/>
      <w:szCs w:val="21"/>
    </w:rPr>
  </w:style>
  <w:style w:type="paragraph" w:customStyle="1" w:styleId="afffffffffffffffffffb">
    <w:name w:val="章标题(不加入目录内)"/>
    <w:basedOn w:val="affff3"/>
    <w:qFormat/>
    <w:pPr>
      <w:keepLines/>
      <w:pageBreakBefore/>
      <w:spacing w:after="120"/>
      <w:outlineLvl w:val="9"/>
    </w:pPr>
    <w:rPr>
      <w:rFonts w:ascii="Times New Roman" w:eastAsia="黑体" w:hAnsi="Times New Roman" w:cs="Times New Roman"/>
      <w:bCs w:val="0"/>
      <w:sz w:val="36"/>
      <w:szCs w:val="20"/>
    </w:rPr>
  </w:style>
  <w:style w:type="paragraph" w:customStyle="1" w:styleId="2ff9">
    <w:name w:val="2级标题"/>
    <w:basedOn w:val="2"/>
    <w:qFormat/>
    <w:pPr>
      <w:keepNext w:val="0"/>
      <w:keepLines w:val="0"/>
      <w:tabs>
        <w:tab w:val="left" w:pos="3564"/>
      </w:tabs>
      <w:spacing w:before="0" w:after="0" w:line="360" w:lineRule="auto"/>
    </w:pPr>
    <w:rPr>
      <w:rFonts w:ascii="黑体" w:hAnsi="Arial"/>
      <w:sz w:val="28"/>
      <w:szCs w:val="28"/>
    </w:rPr>
  </w:style>
  <w:style w:type="paragraph" w:customStyle="1" w:styleId="xl49">
    <w:name w:val="xl49"/>
    <w:basedOn w:val="a8"/>
    <w:qFormat/>
    <w:pPr>
      <w:widowControl/>
      <w:pBdr>
        <w:top w:val="single" w:sz="4"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color w:val="000000"/>
      <w:szCs w:val="21"/>
    </w:rPr>
  </w:style>
  <w:style w:type="paragraph" w:customStyle="1" w:styleId="136">
    <w:name w:val="样式 黑色13"/>
    <w:basedOn w:val="a8"/>
    <w:qFormat/>
    <w:pPr>
      <w:spacing w:line="360" w:lineRule="auto"/>
      <w:ind w:firstLineChars="171" w:firstLine="359"/>
    </w:pPr>
    <w:rPr>
      <w:rFonts w:ascii="Times New Roman" w:cs="宋体"/>
      <w:color w:val="000000"/>
      <w:kern w:val="2"/>
    </w:rPr>
  </w:style>
  <w:style w:type="paragraph" w:customStyle="1" w:styleId="xl36">
    <w:name w:val="xl36"/>
    <w:basedOn w:val="a8"/>
    <w:qFormat/>
    <w:pPr>
      <w:widowControl/>
      <w:pBdr>
        <w:bottom w:val="single" w:sz="4" w:space="0" w:color="auto"/>
        <w:right w:val="single" w:sz="4" w:space="0" w:color="auto"/>
      </w:pBdr>
      <w:spacing w:before="100" w:beforeAutospacing="1" w:after="100" w:afterAutospacing="1"/>
      <w:jc w:val="center"/>
      <w:textAlignment w:val="center"/>
    </w:pPr>
    <w:rPr>
      <w:rFonts w:ascii="Arial Unicode MS" w:hAnsi="Arial Unicode MS"/>
      <w:sz w:val="16"/>
      <w:szCs w:val="16"/>
    </w:rPr>
  </w:style>
  <w:style w:type="paragraph" w:customStyle="1" w:styleId="afffffffffffffffffffc">
    <w:name w:val="广西炼油"/>
    <w:basedOn w:val="aa"/>
    <w:qFormat/>
    <w:pPr>
      <w:spacing w:before="5" w:line="360" w:lineRule="auto"/>
      <w:ind w:firstLine="480"/>
    </w:pPr>
    <w:rPr>
      <w:rFonts w:ascii="Times New Roman"/>
      <w:szCs w:val="28"/>
    </w:rPr>
  </w:style>
  <w:style w:type="paragraph" w:customStyle="1" w:styleId="1717">
    <w:name w:val="样式 首行缩进:  1.71 字符7"/>
    <w:basedOn w:val="a8"/>
    <w:qFormat/>
    <w:pPr>
      <w:spacing w:line="360" w:lineRule="auto"/>
      <w:ind w:rightChars="100" w:right="210" w:firstLineChars="225" w:firstLine="540"/>
    </w:pPr>
    <w:rPr>
      <w:rFonts w:hAnsi="宋体" w:cs="宋体"/>
      <w:kern w:val="2"/>
    </w:rPr>
  </w:style>
  <w:style w:type="paragraph" w:customStyle="1" w:styleId="TY">
    <w:name w:val="TY"/>
    <w:basedOn w:val="a8"/>
    <w:qFormat/>
    <w:pPr>
      <w:adjustRightInd w:val="0"/>
      <w:snapToGrid w:val="0"/>
      <w:spacing w:before="40" w:after="40"/>
    </w:pPr>
  </w:style>
  <w:style w:type="paragraph" w:customStyle="1" w:styleId="CharCharChar1Char2">
    <w:name w:val="Char Char Char1 Char2"/>
    <w:basedOn w:val="a8"/>
    <w:qFormat/>
  </w:style>
  <w:style w:type="paragraph" w:customStyle="1" w:styleId="afffffffffffffffffffd">
    <w:name w:val="目录"/>
    <w:basedOn w:val="TOC1"/>
    <w:qFormat/>
    <w:pPr>
      <w:jc w:val="center"/>
    </w:pPr>
    <w:rPr>
      <w:sz w:val="44"/>
    </w:rPr>
  </w:style>
  <w:style w:type="paragraph" w:customStyle="1" w:styleId="1ffff">
    <w:name w:val="表格样式1"/>
    <w:basedOn w:val="a8"/>
    <w:qFormat/>
    <w:pPr>
      <w:adjustRightInd w:val="0"/>
      <w:spacing w:line="20" w:lineRule="atLeast"/>
      <w:jc w:val="center"/>
      <w:textAlignment w:val="baseline"/>
    </w:pPr>
  </w:style>
  <w:style w:type="paragraph" w:customStyle="1" w:styleId="CharCharff5">
    <w:name w:val="正文首行缩进 Char Char"/>
    <w:basedOn w:val="a8"/>
    <w:qFormat/>
    <w:pPr>
      <w:spacing w:line="606" w:lineRule="atLeast"/>
      <w:ind w:firstLine="538"/>
    </w:pPr>
    <w:rPr>
      <w:rFonts w:ascii="Times New Roman"/>
      <w:kern w:val="2"/>
    </w:rPr>
  </w:style>
  <w:style w:type="paragraph" w:customStyle="1" w:styleId="2ffa">
    <w:name w:val="表格文字2"/>
    <w:basedOn w:val="affffffff1"/>
    <w:qFormat/>
    <w:pPr>
      <w:widowControl w:val="0"/>
      <w:adjustRightInd w:val="0"/>
      <w:snapToGrid/>
      <w:spacing w:before="60"/>
      <w:jc w:val="center"/>
      <w:textAlignment w:val="baseline"/>
    </w:pPr>
    <w:rPr>
      <w:rFonts w:hAnsi="Times New Roman"/>
      <w:sz w:val="24"/>
    </w:rPr>
  </w:style>
  <w:style w:type="paragraph" w:customStyle="1" w:styleId="0772032">
    <w:name w:val="样式 首行缩进:  0.77 厘米 行距: 固定值 20 磅32"/>
    <w:basedOn w:val="a8"/>
    <w:qFormat/>
    <w:pPr>
      <w:spacing w:line="360" w:lineRule="auto"/>
      <w:ind w:firstLine="435"/>
    </w:pPr>
    <w:rPr>
      <w:rFonts w:ascii="Times New Roman" w:cs="宋体"/>
      <w:kern w:val="2"/>
    </w:rPr>
  </w:style>
  <w:style w:type="paragraph" w:customStyle="1" w:styleId="75">
    <w:name w:val="7"/>
    <w:basedOn w:val="a8"/>
    <w:next w:val="aff5"/>
    <w:qFormat/>
    <w:pPr>
      <w:spacing w:line="400" w:lineRule="exact"/>
      <w:ind w:firstLineChars="215" w:firstLine="516"/>
    </w:pPr>
  </w:style>
  <w:style w:type="paragraph" w:customStyle="1" w:styleId="190">
    <w:name w:val="19"/>
    <w:basedOn w:val="a8"/>
    <w:qFormat/>
    <w:pPr>
      <w:widowControl/>
      <w:snapToGrid w:val="0"/>
      <w:spacing w:before="100" w:beforeAutospacing="1" w:after="100" w:afterAutospacing="1" w:line="460" w:lineRule="atLeast"/>
    </w:pPr>
  </w:style>
  <w:style w:type="paragraph" w:customStyle="1" w:styleId="hao01-T">
    <w:name w:val="hao01-T"/>
    <w:next w:val="a8"/>
    <w:qFormat/>
    <w:pPr>
      <w:jc w:val="center"/>
    </w:pPr>
    <w:rPr>
      <w:kern w:val="2"/>
      <w:sz w:val="24"/>
      <w:szCs w:val="24"/>
    </w:rPr>
  </w:style>
  <w:style w:type="paragraph" w:customStyle="1" w:styleId="67">
    <w:name w:val="6"/>
    <w:basedOn w:val="a8"/>
    <w:next w:val="aa"/>
    <w:qFormat/>
    <w:pPr>
      <w:ind w:firstLine="420"/>
    </w:pPr>
    <w:rPr>
      <w:szCs w:val="21"/>
    </w:rPr>
  </w:style>
  <w:style w:type="paragraph" w:customStyle="1" w:styleId="059628">
    <w:name w:val="样式 左侧:  0 厘米 悬挂缩进: 5.96 字符 行距: 固定值 28 磅"/>
    <w:basedOn w:val="a8"/>
    <w:qFormat/>
    <w:pPr>
      <w:spacing w:line="500" w:lineRule="exact"/>
    </w:pPr>
    <w:rPr>
      <w:rFonts w:ascii="Times New Roman" w:cs="宋体"/>
      <w:kern w:val="2"/>
      <w:sz w:val="28"/>
    </w:rPr>
  </w:style>
  <w:style w:type="paragraph" w:customStyle="1" w:styleId="afffffffffffffffffffe">
    <w:name w:val="表格内容居中"/>
    <w:basedOn w:val="a8"/>
    <w:qFormat/>
    <w:pPr>
      <w:overflowPunct w:val="0"/>
      <w:adjustRightInd w:val="0"/>
      <w:snapToGrid w:val="0"/>
      <w:spacing w:line="460" w:lineRule="exact"/>
      <w:jc w:val="center"/>
      <w:textAlignment w:val="baseline"/>
    </w:pPr>
    <w:rPr>
      <w:rFonts w:ascii="仿宋_GB2312" w:eastAsia="仿宋_GB2312" w:hAnsi="宋体"/>
      <w:spacing w:val="12"/>
      <w:szCs w:val="21"/>
    </w:rPr>
  </w:style>
  <w:style w:type="paragraph" w:customStyle="1" w:styleId="2TimesNewRoman2">
    <w:name w:val="正文首行缩进 2 + Times New Roman"/>
    <w:basedOn w:val="a8"/>
    <w:qFormat/>
    <w:pPr>
      <w:tabs>
        <w:tab w:val="left" w:pos="0"/>
        <w:tab w:val="left" w:pos="870"/>
        <w:tab w:val="left" w:pos="3150"/>
      </w:tabs>
      <w:autoSpaceDE w:val="0"/>
      <w:autoSpaceDN w:val="0"/>
      <w:spacing w:line="360" w:lineRule="auto"/>
      <w:ind w:firstLineChars="200" w:firstLine="480"/>
      <w:jc w:val="left"/>
    </w:pPr>
    <w:rPr>
      <w:rFonts w:ascii="Times New Roman" w:cs="宋体"/>
      <w:snapToGrid w:val="0"/>
      <w:color w:val="000000"/>
      <w:szCs w:val="24"/>
    </w:rPr>
  </w:style>
  <w:style w:type="paragraph" w:customStyle="1" w:styleId="Qzy2">
    <w:name w:val="Qzy样式2"/>
    <w:basedOn w:val="2"/>
    <w:qFormat/>
    <w:pPr>
      <w:keepNext w:val="0"/>
      <w:spacing w:before="0" w:after="0" w:line="520" w:lineRule="exact"/>
    </w:pPr>
    <w:rPr>
      <w:rFonts w:eastAsia="宋体" w:hAnsi="宋体"/>
      <w:color w:val="000000"/>
      <w:sz w:val="30"/>
    </w:rPr>
  </w:style>
  <w:style w:type="paragraph" w:customStyle="1" w:styleId="117">
    <w:name w:val="尾注文本11"/>
    <w:basedOn w:val="112"/>
    <w:qFormat/>
    <w:pPr>
      <w:adjustRightInd w:val="0"/>
      <w:spacing w:line="360" w:lineRule="atLeast"/>
      <w:ind w:firstLineChars="0" w:firstLine="0"/>
      <w:jc w:val="left"/>
      <w:textAlignment w:val="baseline"/>
    </w:pPr>
    <w:rPr>
      <w:sz w:val="21"/>
    </w:rPr>
  </w:style>
  <w:style w:type="paragraph" w:customStyle="1" w:styleId="2ffb">
    <w:name w:val="表格2"/>
    <w:basedOn w:val="a8"/>
    <w:qFormat/>
    <w:pPr>
      <w:autoSpaceDE w:val="0"/>
      <w:autoSpaceDN w:val="0"/>
      <w:adjustRightInd w:val="0"/>
      <w:snapToGrid w:val="0"/>
      <w:jc w:val="center"/>
    </w:pPr>
    <w:rPr>
      <w:rFonts w:hAnsi="宋体"/>
      <w:spacing w:val="-8"/>
    </w:rPr>
  </w:style>
  <w:style w:type="paragraph" w:customStyle="1" w:styleId="05051">
    <w:name w:val="样式 表头样式 + 两端对齐 段前: 0.5 行 段后: 0.5 行 首行缩进:  1 字符"/>
    <w:basedOn w:val="affffffffffffffffff1"/>
    <w:qFormat/>
    <w:pPr>
      <w:keepLines/>
      <w:spacing w:beforeLines="0" w:afterLines="0"/>
      <w:ind w:firstLineChars="200" w:firstLine="560"/>
    </w:pPr>
    <w:rPr>
      <w:bCs w:val="0"/>
      <w:sz w:val="24"/>
      <w:szCs w:val="20"/>
    </w:rPr>
  </w:style>
  <w:style w:type="paragraph" w:customStyle="1" w:styleId="affffffffffffffffffff">
    <w:name w:val="表头文字"/>
    <w:basedOn w:val="a8"/>
    <w:qFormat/>
    <w:pPr>
      <w:widowControl/>
      <w:adjustRightInd w:val="0"/>
      <w:snapToGrid w:val="0"/>
      <w:spacing w:line="360" w:lineRule="exact"/>
      <w:textAlignment w:val="baseline"/>
    </w:pPr>
    <w:rPr>
      <w:b/>
    </w:rPr>
  </w:style>
  <w:style w:type="paragraph" w:customStyle="1" w:styleId="ljm221">
    <w:name w:val="样式 样式 标题ljm + 首行缩进:  2 字符 + 首行缩进:  2 字符1"/>
    <w:basedOn w:val="a8"/>
    <w:qFormat/>
    <w:pPr>
      <w:spacing w:line="360" w:lineRule="auto"/>
      <w:ind w:firstLineChars="200" w:firstLine="482"/>
      <w:outlineLvl w:val="0"/>
    </w:pPr>
    <w:rPr>
      <w:rFonts w:cs="宋体"/>
      <w:b/>
      <w:bCs/>
    </w:rPr>
  </w:style>
  <w:style w:type="paragraph" w:customStyle="1" w:styleId="3ff3">
    <w:name w:val="表内文字3"/>
    <w:basedOn w:val="a8"/>
    <w:qFormat/>
    <w:pPr>
      <w:spacing w:line="0" w:lineRule="atLeast"/>
      <w:jc w:val="center"/>
    </w:pPr>
    <w:rPr>
      <w:rFonts w:cs="宋体"/>
    </w:rPr>
  </w:style>
  <w:style w:type="paragraph" w:customStyle="1" w:styleId="affffffffffffffffffff0">
    <w:name w:val="样式 表内文字 + 黑色"/>
    <w:basedOn w:val="afffffffffffff1"/>
    <w:qFormat/>
    <w:pPr>
      <w:spacing w:line="0" w:lineRule="atLeast"/>
    </w:pPr>
    <w:rPr>
      <w:rFonts w:ascii="Times New Roman" w:hAnsi="Times New Roman" w:cs="宋体"/>
      <w:color w:val="000000"/>
      <w:szCs w:val="24"/>
    </w:rPr>
  </w:style>
  <w:style w:type="character" w:customStyle="1" w:styleId="Charff6">
    <w:name w:val="图表标题 Char"/>
    <w:link w:val="afffffffffffffffffff6"/>
    <w:qFormat/>
    <w:rPr>
      <w:rFonts w:ascii="宋体" w:hAnsi="宋体"/>
      <w:b/>
      <w:snapToGrid w:val="0"/>
      <w:sz w:val="24"/>
    </w:rPr>
  </w:style>
  <w:style w:type="paragraph" w:customStyle="1" w:styleId="xl553">
    <w:name w:val="xl553"/>
    <w:basedOn w:val="a8"/>
    <w:qFormat/>
    <w:pPr>
      <w:widowControl/>
      <w:pBdr>
        <w:top w:val="single" w:sz="8" w:space="0" w:color="auto"/>
        <w:left w:val="single" w:sz="8" w:space="0" w:color="auto"/>
        <w:bottom w:val="single" w:sz="4" w:space="0" w:color="auto"/>
      </w:pBdr>
      <w:shd w:val="clear" w:color="auto" w:fill="FFFFFF"/>
      <w:spacing w:before="100" w:beforeAutospacing="1" w:after="100" w:afterAutospacing="1"/>
      <w:jc w:val="center"/>
      <w:textAlignment w:val="center"/>
    </w:pPr>
    <w:rPr>
      <w:rFonts w:hAnsi="宋体" w:cs="宋体"/>
      <w:szCs w:val="24"/>
    </w:rPr>
  </w:style>
  <w:style w:type="character" w:customStyle="1" w:styleId="3Char10">
    <w:name w:val="正文文本缩进 3 Char1"/>
    <w:uiPriority w:val="99"/>
    <w:semiHidden/>
    <w:qFormat/>
    <w:rPr>
      <w:rFonts w:ascii="宋体" w:eastAsia="宋体" w:hAnsi="Times New Roman" w:cs="Times New Roman"/>
      <w:kern w:val="0"/>
      <w:sz w:val="16"/>
      <w:szCs w:val="16"/>
    </w:rPr>
  </w:style>
  <w:style w:type="character" w:customStyle="1" w:styleId="Char1c">
    <w:name w:val="页脚 Char1"/>
    <w:uiPriority w:val="99"/>
    <w:qFormat/>
    <w:rPr>
      <w:rFonts w:ascii="宋体" w:eastAsia="宋体" w:hAnsi="Times New Roman" w:cs="Times New Roman"/>
      <w:kern w:val="0"/>
      <w:sz w:val="18"/>
      <w:szCs w:val="18"/>
    </w:rPr>
  </w:style>
  <w:style w:type="paragraph" w:customStyle="1" w:styleId="WJ3">
    <w:name w:val="WJ标题3"/>
    <w:basedOn w:val="p0"/>
    <w:link w:val="WJ3Char"/>
    <w:qFormat/>
    <w:pPr>
      <w:adjustRightInd w:val="0"/>
      <w:snapToGrid w:val="0"/>
      <w:spacing w:line="480" w:lineRule="exact"/>
      <w:outlineLvl w:val="2"/>
    </w:pPr>
    <w:rPr>
      <w:rFonts w:ascii="黑体" w:eastAsia="黑体" w:hAnsi="黑体"/>
      <w:b/>
      <w:sz w:val="24"/>
      <w:szCs w:val="24"/>
      <w:lang w:bidi="en-US"/>
    </w:rPr>
  </w:style>
  <w:style w:type="paragraph" w:customStyle="1" w:styleId="WJ2">
    <w:name w:val="WJ标题2"/>
    <w:basedOn w:val="p0"/>
    <w:link w:val="WJ2Char"/>
    <w:qFormat/>
    <w:pPr>
      <w:adjustRightInd w:val="0"/>
      <w:snapToGrid w:val="0"/>
      <w:spacing w:line="480" w:lineRule="exact"/>
      <w:outlineLvl w:val="1"/>
    </w:pPr>
    <w:rPr>
      <w:rFonts w:ascii="黑体" w:eastAsia="黑体" w:hAnsi="黑体"/>
      <w:bCs/>
      <w:sz w:val="28"/>
      <w:szCs w:val="28"/>
      <w:lang w:bidi="en-US"/>
    </w:rPr>
  </w:style>
  <w:style w:type="character" w:customStyle="1" w:styleId="p0Char">
    <w:name w:val="p0 Char"/>
    <w:link w:val="p0"/>
    <w:qFormat/>
    <w:rPr>
      <w:sz w:val="21"/>
      <w:szCs w:val="21"/>
    </w:rPr>
  </w:style>
  <w:style w:type="character" w:customStyle="1" w:styleId="WJ3Char">
    <w:name w:val="WJ标题3 Char"/>
    <w:link w:val="WJ3"/>
    <w:qFormat/>
    <w:rPr>
      <w:rFonts w:ascii="黑体" w:eastAsia="黑体" w:hAnsi="黑体"/>
      <w:b/>
      <w:sz w:val="24"/>
      <w:szCs w:val="24"/>
      <w:lang w:bidi="en-US"/>
    </w:rPr>
  </w:style>
  <w:style w:type="paragraph" w:customStyle="1" w:styleId="WJ0">
    <w:name w:val="WJ表头文字"/>
    <w:basedOn w:val="p0"/>
    <w:link w:val="WJChar0"/>
    <w:qFormat/>
    <w:pPr>
      <w:adjustRightInd w:val="0"/>
      <w:snapToGrid w:val="0"/>
      <w:spacing w:line="480" w:lineRule="exact"/>
      <w:jc w:val="center"/>
    </w:pPr>
    <w:rPr>
      <w:rFonts w:ascii="黑体" w:eastAsia="黑体" w:hAnsi="黑体"/>
      <w:sz w:val="24"/>
      <w:szCs w:val="24"/>
    </w:rPr>
  </w:style>
  <w:style w:type="character" w:customStyle="1" w:styleId="WJ2Char">
    <w:name w:val="WJ标题2 Char"/>
    <w:link w:val="WJ2"/>
    <w:qFormat/>
    <w:rPr>
      <w:rFonts w:ascii="黑体" w:eastAsia="黑体" w:hAnsi="黑体"/>
      <w:bCs/>
      <w:sz w:val="28"/>
      <w:szCs w:val="28"/>
      <w:lang w:bidi="en-US"/>
    </w:rPr>
  </w:style>
  <w:style w:type="paragraph" w:customStyle="1" w:styleId="WJ4">
    <w:name w:val="WJ表内文字"/>
    <w:basedOn w:val="a8"/>
    <w:link w:val="WJChar1"/>
    <w:qFormat/>
    <w:pPr>
      <w:adjustRightInd w:val="0"/>
      <w:snapToGrid w:val="0"/>
      <w:spacing w:line="360" w:lineRule="exact"/>
      <w:jc w:val="center"/>
    </w:pPr>
    <w:rPr>
      <w:rFonts w:hAnsi="宋体"/>
      <w:b/>
      <w:bCs/>
      <w:sz w:val="21"/>
      <w:szCs w:val="21"/>
    </w:rPr>
  </w:style>
  <w:style w:type="character" w:customStyle="1" w:styleId="WJChar0">
    <w:name w:val="WJ表头文字 Char"/>
    <w:link w:val="WJ0"/>
    <w:qFormat/>
    <w:rPr>
      <w:rFonts w:ascii="黑体" w:eastAsia="黑体" w:hAnsi="黑体"/>
      <w:sz w:val="24"/>
      <w:szCs w:val="24"/>
    </w:rPr>
  </w:style>
  <w:style w:type="paragraph" w:customStyle="1" w:styleId="WJ5">
    <w:name w:val="WJ表文字"/>
    <w:basedOn w:val="WJ4"/>
    <w:link w:val="WJChar2"/>
    <w:qFormat/>
    <w:rPr>
      <w:b w:val="0"/>
      <w:kern w:val="2"/>
    </w:rPr>
  </w:style>
  <w:style w:type="character" w:customStyle="1" w:styleId="WJChar1">
    <w:name w:val="WJ表内文字 Char"/>
    <w:link w:val="WJ4"/>
    <w:qFormat/>
    <w:rPr>
      <w:rFonts w:ascii="宋体" w:eastAsia="宋体" w:hAnsi="宋体"/>
      <w:b/>
      <w:bCs/>
      <w:sz w:val="21"/>
      <w:szCs w:val="21"/>
    </w:rPr>
  </w:style>
  <w:style w:type="character" w:customStyle="1" w:styleId="Charff8">
    <w:name w:val="小四正文格式 Char"/>
    <w:link w:val="affffffffffffffffffff1"/>
    <w:uiPriority w:val="99"/>
    <w:qFormat/>
    <w:locked/>
    <w:rPr>
      <w:rFonts w:ascii="宋体" w:hAnsi="宋体" w:cs="宋体"/>
      <w:kern w:val="2"/>
      <w:sz w:val="24"/>
      <w:szCs w:val="24"/>
    </w:rPr>
  </w:style>
  <w:style w:type="paragraph" w:customStyle="1" w:styleId="affffffffffffffffffff1">
    <w:name w:val="小四正文格式"/>
    <w:basedOn w:val="a8"/>
    <w:link w:val="Charff8"/>
    <w:uiPriority w:val="99"/>
    <w:qFormat/>
    <w:pPr>
      <w:spacing w:line="360" w:lineRule="auto"/>
      <w:ind w:firstLineChars="200" w:firstLine="200"/>
    </w:pPr>
    <w:rPr>
      <w:rFonts w:hAnsi="宋体" w:cs="宋体"/>
      <w:kern w:val="2"/>
      <w:szCs w:val="24"/>
    </w:rPr>
  </w:style>
  <w:style w:type="character" w:customStyle="1" w:styleId="WJChar2">
    <w:name w:val="WJ表文字 Char"/>
    <w:link w:val="WJ5"/>
    <w:qFormat/>
    <w:rPr>
      <w:rFonts w:ascii="宋体" w:eastAsia="宋体" w:hAnsi="宋体"/>
      <w:bCs/>
      <w:kern w:val="2"/>
      <w:sz w:val="21"/>
      <w:szCs w:val="21"/>
    </w:rPr>
  </w:style>
  <w:style w:type="character" w:customStyle="1" w:styleId="2SLCON2Char">
    <w:name w:val="样式 正文 首行缩进:  2 字符 SL CON + 首行缩进:  2 字符 Char"/>
    <w:link w:val="2SLCON2"/>
    <w:qFormat/>
    <w:rPr>
      <w:rFonts w:ascii="Calibri" w:hAnsi="Calibri" w:cs="宋体"/>
      <w:sz w:val="24"/>
    </w:rPr>
  </w:style>
  <w:style w:type="paragraph" w:customStyle="1" w:styleId="affffffffffffffffffff2">
    <w:name w:val="中文报告书样式"/>
    <w:basedOn w:val="a8"/>
    <w:qFormat/>
    <w:pPr>
      <w:adjustRightInd w:val="0"/>
      <w:spacing w:beforeLines="30" w:before="93" w:line="480" w:lineRule="atLeast"/>
      <w:ind w:firstLine="482"/>
    </w:pPr>
    <w:rPr>
      <w:rFonts w:ascii="Times New Roman"/>
      <w:kern w:val="24"/>
    </w:rPr>
  </w:style>
  <w:style w:type="paragraph" w:customStyle="1" w:styleId="Char110">
    <w:name w:val="Char11"/>
    <w:basedOn w:val="a8"/>
    <w:qFormat/>
    <w:pPr>
      <w:spacing w:beforeLines="50" w:line="360" w:lineRule="auto"/>
      <w:ind w:firstLineChars="200" w:firstLine="560"/>
    </w:pPr>
    <w:rPr>
      <w:rFonts w:ascii="Times New Roman"/>
      <w:kern w:val="2"/>
      <w:sz w:val="28"/>
      <w:szCs w:val="28"/>
    </w:rPr>
  </w:style>
  <w:style w:type="paragraph" w:customStyle="1" w:styleId="WJ1">
    <w:name w:val="WJ标题1"/>
    <w:basedOn w:val="p0"/>
    <w:link w:val="WJ1Char"/>
    <w:qFormat/>
    <w:pPr>
      <w:numPr>
        <w:numId w:val="13"/>
      </w:numPr>
      <w:adjustRightInd w:val="0"/>
      <w:snapToGrid w:val="0"/>
      <w:spacing w:line="360" w:lineRule="auto"/>
      <w:outlineLvl w:val="0"/>
    </w:pPr>
    <w:rPr>
      <w:rFonts w:ascii="黑体" w:eastAsia="黑体" w:hAnsi="黑体"/>
      <w:bCs/>
      <w:sz w:val="32"/>
      <w:szCs w:val="32"/>
      <w:lang w:bidi="en-US"/>
    </w:rPr>
  </w:style>
  <w:style w:type="character" w:customStyle="1" w:styleId="WJ1Char">
    <w:name w:val="WJ标题1 Char"/>
    <w:basedOn w:val="p0Char"/>
    <w:link w:val="WJ1"/>
    <w:qFormat/>
    <w:rPr>
      <w:rFonts w:ascii="黑体" w:eastAsia="黑体" w:hAnsi="黑体"/>
      <w:bCs/>
      <w:sz w:val="32"/>
      <w:szCs w:val="32"/>
      <w:lang w:bidi="en-US"/>
    </w:rPr>
  </w:style>
  <w:style w:type="paragraph" w:customStyle="1" w:styleId="affffffffffffffffffff3">
    <w:name w:val="一级标题样式"/>
    <w:basedOn w:val="a8"/>
    <w:qFormat/>
    <w:pPr>
      <w:adjustRightInd w:val="0"/>
      <w:snapToGrid w:val="0"/>
      <w:jc w:val="center"/>
    </w:pPr>
    <w:rPr>
      <w:rFonts w:ascii="Times New Roman" w:eastAsia="黑体"/>
      <w:b/>
      <w:kern w:val="2"/>
      <w:sz w:val="36"/>
      <w:szCs w:val="36"/>
    </w:rPr>
  </w:style>
  <w:style w:type="paragraph" w:customStyle="1" w:styleId="3ff4">
    <w:name w:val="标题3"/>
    <w:basedOn w:val="2"/>
    <w:qFormat/>
    <w:pPr>
      <w:keepLines w:val="0"/>
      <w:tabs>
        <w:tab w:val="left" w:pos="737"/>
      </w:tabs>
      <w:spacing w:before="0" w:after="0" w:line="360" w:lineRule="auto"/>
      <w:jc w:val="left"/>
      <w:outlineLvl w:val="2"/>
    </w:pPr>
    <w:rPr>
      <w:rFonts w:ascii="黑体" w:hAnsi="宋体" w:cs="宋体"/>
      <w:sz w:val="28"/>
      <w:szCs w:val="20"/>
    </w:rPr>
  </w:style>
  <w:style w:type="character" w:customStyle="1" w:styleId="1CharChar5">
    <w:name w:val="样式 正 文 + 宋体1 Char Char"/>
    <w:link w:val="1ffff0"/>
    <w:qFormat/>
    <w:rPr>
      <w:rFonts w:ascii="宋体" w:eastAsiaTheme="minorEastAsia" w:hAnsi="宋体" w:cs="宋体"/>
      <w:sz w:val="24"/>
      <w:szCs w:val="22"/>
    </w:rPr>
  </w:style>
  <w:style w:type="paragraph" w:customStyle="1" w:styleId="1ffff0">
    <w:name w:val="样式 正 文 + 宋体1"/>
    <w:basedOn w:val="a8"/>
    <w:link w:val="1CharChar5"/>
    <w:qFormat/>
    <w:rPr>
      <w:rFonts w:eastAsiaTheme="minorEastAsia" w:hAnsi="宋体" w:cs="宋体"/>
      <w:szCs w:val="22"/>
    </w:rPr>
  </w:style>
  <w:style w:type="paragraph" w:customStyle="1" w:styleId="1ffff1">
    <w:name w:val="标准样式1"/>
    <w:basedOn w:val="a8"/>
    <w:qFormat/>
    <w:pPr>
      <w:spacing w:line="600" w:lineRule="exact"/>
      <w:ind w:firstLine="567"/>
    </w:pPr>
    <w:rPr>
      <w:sz w:val="28"/>
    </w:rPr>
  </w:style>
  <w:style w:type="paragraph" w:customStyle="1" w:styleId="3SLCON">
    <w:name w:val="标题 3 SL CON"/>
    <w:basedOn w:val="a8"/>
    <w:next w:val="a8"/>
    <w:qFormat/>
    <w:pPr>
      <w:keepNext/>
      <w:keepLines/>
      <w:tabs>
        <w:tab w:val="left" w:pos="377"/>
        <w:tab w:val="left" w:pos="960"/>
        <w:tab w:val="left" w:pos="1193"/>
      </w:tabs>
      <w:spacing w:before="100" w:beforeAutospacing="1" w:line="360" w:lineRule="auto"/>
      <w:ind w:left="1193" w:hanging="681"/>
      <w:outlineLvl w:val="2"/>
    </w:pPr>
    <w:rPr>
      <w:rFonts w:ascii="Arial Narrow" w:eastAsia="Verdana"/>
    </w:rPr>
  </w:style>
  <w:style w:type="paragraph" w:customStyle="1" w:styleId="Default1">
    <w:name w:val="Default1"/>
    <w:qFormat/>
    <w:pPr>
      <w:widowControl w:val="0"/>
      <w:autoSpaceDE w:val="0"/>
      <w:autoSpaceDN w:val="0"/>
      <w:adjustRightInd w:val="0"/>
    </w:pPr>
    <w:rPr>
      <w:rFonts w:ascii="宋体" w:cs="宋体"/>
      <w:color w:val="000000"/>
      <w:sz w:val="24"/>
      <w:szCs w:val="24"/>
    </w:rPr>
  </w:style>
  <w:style w:type="paragraph" w:customStyle="1" w:styleId="affffffffffffffffffff4">
    <w:name w:val="表格首行"/>
    <w:basedOn w:val="a8"/>
    <w:next w:val="a8"/>
    <w:qFormat/>
    <w:pPr>
      <w:jc w:val="center"/>
    </w:pPr>
    <w:rPr>
      <w:rFonts w:cs="宋体"/>
      <w:b/>
    </w:rPr>
  </w:style>
  <w:style w:type="paragraph" w:customStyle="1" w:styleId="-5">
    <w:name w:val="正文-欣欣"/>
    <w:basedOn w:val="a8"/>
    <w:link w:val="-Char"/>
    <w:qFormat/>
    <w:pPr>
      <w:adjustRightInd w:val="0"/>
      <w:spacing w:line="360" w:lineRule="auto"/>
      <w:ind w:firstLineChars="200" w:firstLine="200"/>
    </w:pPr>
    <w:rPr>
      <w:szCs w:val="30"/>
    </w:rPr>
  </w:style>
  <w:style w:type="table" w:customStyle="1" w:styleId="ZHJICIA1">
    <w:name w:val="网格型ZHJICIA1"/>
    <w:basedOn w:val="ac"/>
    <w:uiPriority w:val="59"/>
    <w:qFormat/>
    <w:pPr>
      <w:widowControl w:val="0"/>
      <w:spacing w:before="120" w:after="120" w:line="360" w:lineRule="exact"/>
      <w:ind w:firstLine="482"/>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fffffff5">
    <w:name w:val="正文中齐"/>
    <w:basedOn w:val="a8"/>
    <w:qFormat/>
    <w:pPr>
      <w:wordWrap w:val="0"/>
      <w:adjustRightInd w:val="0"/>
      <w:spacing w:line="300" w:lineRule="exact"/>
      <w:jc w:val="center"/>
      <w:textAlignment w:val="baseline"/>
    </w:pPr>
    <w:rPr>
      <w:rFonts w:hAnsi="宋体"/>
      <w:color w:val="000000"/>
      <w:kern w:val="16"/>
      <w:szCs w:val="21"/>
      <w:lang w:val="zh-CN"/>
    </w:rPr>
  </w:style>
  <w:style w:type="character" w:customStyle="1" w:styleId="aff6">
    <w:name w:val="正文文本缩进 字符"/>
    <w:basedOn w:val="ab"/>
    <w:link w:val="aff5"/>
    <w:qFormat/>
    <w:rPr>
      <w:rFonts w:ascii="Times New Roman" w:hAnsi="Times New Roman"/>
      <w:sz w:val="24"/>
    </w:rPr>
  </w:style>
  <w:style w:type="paragraph" w:customStyle="1" w:styleId="affffffffffffffffffff6">
    <w:name w:val="三级标题样式"/>
    <w:basedOn w:val="afffff5"/>
    <w:next w:val="afffffff9"/>
    <w:link w:val="Charff9"/>
    <w:qFormat/>
    <w:pPr>
      <w:spacing w:line="360" w:lineRule="auto"/>
      <w:jc w:val="left"/>
    </w:pPr>
    <w:rPr>
      <w:rFonts w:eastAsia="黑体"/>
      <w:sz w:val="30"/>
      <w:lang w:val="en-US"/>
    </w:rPr>
  </w:style>
  <w:style w:type="paragraph" w:customStyle="1" w:styleId="TableParagraph">
    <w:name w:val="Table Paragraph"/>
    <w:basedOn w:val="a8"/>
    <w:uiPriority w:val="1"/>
    <w:qFormat/>
    <w:pPr>
      <w:autoSpaceDE w:val="0"/>
      <w:autoSpaceDN w:val="0"/>
      <w:jc w:val="left"/>
    </w:pPr>
    <w:rPr>
      <w:rFonts w:hAnsi="宋体" w:cs="宋体"/>
      <w:sz w:val="22"/>
      <w:lang w:eastAsia="en-US" w:bidi="en-US"/>
    </w:rPr>
  </w:style>
  <w:style w:type="paragraph" w:customStyle="1" w:styleId="-6">
    <w:name w:val="成果报告-图片样式"/>
    <w:basedOn w:val="a8"/>
    <w:qFormat/>
    <w:pPr>
      <w:jc w:val="center"/>
    </w:pPr>
    <w:rPr>
      <w:rFonts w:ascii="Times New Roman" w:eastAsia="黑体"/>
      <w:sz w:val="21"/>
    </w:rPr>
  </w:style>
  <w:style w:type="table" w:customStyle="1" w:styleId="TableNormal">
    <w:name w:val="Table Normal"/>
    <w:uiPriority w:val="2"/>
    <w:semiHidden/>
    <w:unhideWhenUsed/>
    <w:qFormat/>
    <w:pPr>
      <w:widowControl w:val="0"/>
      <w:autoSpaceDE w:val="0"/>
      <w:autoSpaceDN w:val="0"/>
    </w:pPr>
    <w:rPr>
      <w:sz w:val="22"/>
      <w:lang w:eastAsia="en-US"/>
    </w:rPr>
    <w:tblPr>
      <w:tblCellMar>
        <w:top w:w="0" w:type="dxa"/>
        <w:left w:w="0" w:type="dxa"/>
        <w:bottom w:w="0" w:type="dxa"/>
        <w:right w:w="0" w:type="dxa"/>
      </w:tblCellMar>
    </w:tblPr>
  </w:style>
  <w:style w:type="paragraph" w:customStyle="1" w:styleId="L-">
    <w:name w:val="L-正文"/>
    <w:basedOn w:val="a8"/>
    <w:qFormat/>
    <w:pPr>
      <w:ind w:firstLine="480"/>
    </w:pPr>
    <w:rPr>
      <w:rFonts w:cs="Tahoma"/>
      <w:color w:val="444444"/>
      <w:szCs w:val="27"/>
      <w:shd w:val="clear" w:color="auto" w:fill="FFFFFF"/>
    </w:rPr>
  </w:style>
  <w:style w:type="paragraph" w:customStyle="1" w:styleId="affffffffffffffffffff7">
    <w:name w:val="备注"/>
    <w:basedOn w:val="afffffffffffff1"/>
    <w:qFormat/>
    <w:pPr>
      <w:widowControl w:val="0"/>
      <w:adjustRightInd w:val="0"/>
      <w:snapToGrid w:val="0"/>
      <w:ind w:left="0" w:right="0"/>
      <w:jc w:val="left"/>
    </w:pPr>
    <w:rPr>
      <w:rFonts w:ascii="Times New Roman" w:hAnsi="Times New Roman" w:cstheme="minorBidi"/>
      <w:snapToGrid/>
      <w:spacing w:val="0"/>
      <w:sz w:val="21"/>
    </w:rPr>
  </w:style>
  <w:style w:type="paragraph" w:customStyle="1" w:styleId="L-3">
    <w:name w:val="L-标题3"/>
    <w:basedOn w:val="31"/>
    <w:next w:val="a8"/>
    <w:link w:val="L-3Char"/>
    <w:qFormat/>
    <w:pPr>
      <w:widowControl/>
      <w:spacing w:before="120" w:after="120" w:line="240" w:lineRule="auto"/>
    </w:pPr>
    <w:rPr>
      <w:kern w:val="0"/>
      <w:szCs w:val="28"/>
      <w:lang w:bidi="en-US"/>
    </w:rPr>
  </w:style>
  <w:style w:type="character" w:customStyle="1" w:styleId="2Char10">
    <w:name w:val="正文文本缩进 2 Char1"/>
    <w:basedOn w:val="ab"/>
    <w:uiPriority w:val="99"/>
    <w:semiHidden/>
    <w:qFormat/>
    <w:rPr>
      <w:rFonts w:ascii="Times New Roman" w:eastAsia="宋体" w:hAnsi="Times New Roman"/>
    </w:rPr>
  </w:style>
  <w:style w:type="character" w:customStyle="1" w:styleId="L-3Char">
    <w:name w:val="L-标题3 Char"/>
    <w:link w:val="L-3"/>
    <w:qFormat/>
    <w:rPr>
      <w:rFonts w:ascii="宋体"/>
      <w:b/>
      <w:bCs/>
      <w:sz w:val="32"/>
      <w:szCs w:val="28"/>
      <w:lang w:bidi="en-US"/>
    </w:rPr>
  </w:style>
  <w:style w:type="paragraph" w:customStyle="1" w:styleId="affffffffffffffffffff8">
    <w:name w:val="+++ 正文"/>
    <w:basedOn w:val="a8"/>
    <w:qFormat/>
    <w:pPr>
      <w:spacing w:line="360" w:lineRule="auto"/>
      <w:ind w:firstLineChars="200" w:firstLine="200"/>
      <w:jc w:val="left"/>
    </w:pPr>
    <w:rPr>
      <w:rFonts w:ascii="Times New Roman" w:cs="宋体"/>
      <w:kern w:val="2"/>
      <w:szCs w:val="24"/>
    </w:rPr>
  </w:style>
  <w:style w:type="paragraph" w:customStyle="1" w:styleId="AA-ZJM">
    <w:name w:val="AA-ZJM"/>
    <w:basedOn w:val="a8"/>
    <w:qFormat/>
    <w:pPr>
      <w:tabs>
        <w:tab w:val="left" w:pos="7200"/>
      </w:tabs>
      <w:spacing w:line="400" w:lineRule="exact"/>
      <w:ind w:firstLineChars="200" w:firstLine="480"/>
    </w:pPr>
    <w:rPr>
      <w:rFonts w:hAnsi="宋体"/>
      <w:szCs w:val="22"/>
    </w:rPr>
  </w:style>
  <w:style w:type="character" w:customStyle="1" w:styleId="2SLCON2CharChar">
    <w:name w:val="样式 正文 首行缩进:  2 字符 SL CON + 首行缩进:  2 字符 Char Char"/>
    <w:qFormat/>
    <w:rPr>
      <w:rFonts w:ascii="宋体" w:eastAsia="宋体" w:hAnsi="Calibri" w:cs="宋体"/>
      <w:sz w:val="24"/>
      <w:szCs w:val="21"/>
    </w:rPr>
  </w:style>
  <w:style w:type="character" w:customStyle="1" w:styleId="160">
    <w:name w:val="16"/>
    <w:qFormat/>
    <w:rPr>
      <w:rFonts w:ascii="宋体" w:eastAsia="宋体" w:hAnsi="宋体" w:cs="Times New Roman" w:hint="eastAsia"/>
      <w:spacing w:val="2"/>
      <w:sz w:val="24"/>
      <w:szCs w:val="24"/>
    </w:rPr>
  </w:style>
  <w:style w:type="paragraph" w:customStyle="1" w:styleId="62-1">
    <w:name w:val="表6.2-1"/>
    <w:basedOn w:val="a8"/>
    <w:qFormat/>
    <w:pPr>
      <w:tabs>
        <w:tab w:val="left" w:pos="1653"/>
        <w:tab w:val="right" w:pos="8261"/>
      </w:tabs>
      <w:suppressAutoHyphens/>
      <w:adjustRightInd w:val="0"/>
      <w:spacing w:before="240" w:line="0" w:lineRule="atLeast"/>
      <w:ind w:left="993" w:hanging="420"/>
    </w:pPr>
    <w:rPr>
      <w:rFonts w:ascii="黑体" w:eastAsia="黑体"/>
      <w:b/>
      <w:szCs w:val="26"/>
    </w:rPr>
  </w:style>
  <w:style w:type="paragraph" w:customStyle="1" w:styleId="76">
    <w:name w:val="样式7"/>
    <w:basedOn w:val="a8"/>
    <w:qFormat/>
    <w:pPr>
      <w:spacing w:line="480" w:lineRule="exact"/>
      <w:ind w:firstLineChars="200" w:firstLine="200"/>
    </w:pPr>
    <w:rPr>
      <w:rFonts w:hAnsi="宋体"/>
      <w:kern w:val="2"/>
      <w:sz w:val="26"/>
      <w:szCs w:val="26"/>
    </w:rPr>
  </w:style>
  <w:style w:type="character" w:customStyle="1" w:styleId="1Char11">
    <w:name w:val="标题 1 Char1"/>
    <w:qFormat/>
    <w:rPr>
      <w:rFonts w:ascii="Times New Roman" w:eastAsia="宋体" w:hAnsi="Times New Roman" w:cs="Times New Roman"/>
      <w:b/>
      <w:kern w:val="44"/>
      <w:sz w:val="44"/>
      <w:szCs w:val="22"/>
    </w:rPr>
  </w:style>
  <w:style w:type="character" w:customStyle="1" w:styleId="Char1d">
    <w:name w:val="批注文字 Char1"/>
    <w:basedOn w:val="ab"/>
    <w:semiHidden/>
    <w:qFormat/>
    <w:rPr>
      <w:rFonts w:ascii="Times New Roman" w:eastAsia="宋体" w:hAnsi="Times New Roman"/>
      <w:sz w:val="24"/>
    </w:rPr>
  </w:style>
  <w:style w:type="character" w:customStyle="1" w:styleId="fontstyle31">
    <w:name w:val="fontstyle31"/>
    <w:qFormat/>
    <w:rPr>
      <w:rFonts w:ascii="宋体" w:eastAsia="宋体" w:hAnsi="宋体" w:cs="Times New Roman" w:hint="eastAsia"/>
      <w:color w:val="000000"/>
      <w:sz w:val="24"/>
      <w:szCs w:val="24"/>
    </w:rPr>
  </w:style>
  <w:style w:type="character" w:customStyle="1" w:styleId="fontstyle21">
    <w:name w:val="fontstyle21"/>
    <w:qFormat/>
    <w:rPr>
      <w:rFonts w:ascii="宋体" w:eastAsia="宋体" w:hAnsi="宋体" w:cs="Times New Roman" w:hint="eastAsia"/>
      <w:color w:val="000000"/>
      <w:sz w:val="24"/>
      <w:szCs w:val="24"/>
    </w:rPr>
  </w:style>
  <w:style w:type="character" w:styleId="affffffffffffffffffff9">
    <w:name w:val="Placeholder Text"/>
    <w:qFormat/>
    <w:rPr>
      <w:rFonts w:ascii="Times New Roman" w:eastAsia="宋体" w:hAnsi="Times New Roman" w:cs="Times New Roman"/>
      <w:color w:val="808080"/>
    </w:rPr>
  </w:style>
  <w:style w:type="character" w:customStyle="1" w:styleId="text-s1">
    <w:name w:val="text-s1"/>
    <w:qFormat/>
    <w:rPr>
      <w:rFonts w:ascii="Times New Roman" w:eastAsia="宋体" w:hAnsi="Times New Roman" w:cs="Times New Roman"/>
      <w:sz w:val="18"/>
      <w:szCs w:val="18"/>
    </w:rPr>
  </w:style>
  <w:style w:type="paragraph" w:customStyle="1" w:styleId="1ffff2">
    <w:name w:val="1级标题"/>
    <w:basedOn w:val="11"/>
    <w:link w:val="1Char7"/>
    <w:qFormat/>
    <w:pPr>
      <w:keepNext w:val="0"/>
      <w:keepLines w:val="0"/>
      <w:numPr>
        <w:numId w:val="0"/>
      </w:numPr>
      <w:tabs>
        <w:tab w:val="clear" w:pos="8160"/>
      </w:tabs>
      <w:adjustRightInd/>
      <w:spacing w:before="0" w:afterLines="20" w:after="62"/>
      <w:jc w:val="both"/>
      <w:textAlignment w:val="auto"/>
    </w:pPr>
    <w:rPr>
      <w:rFonts w:ascii="Calibri" w:hAnsi="Calibri"/>
      <w:bCs w:val="0"/>
      <w:kern w:val="0"/>
    </w:rPr>
  </w:style>
  <w:style w:type="character" w:customStyle="1" w:styleId="1Char7">
    <w:name w:val="1级标题 Char"/>
    <w:link w:val="1ffff2"/>
    <w:qFormat/>
    <w:rPr>
      <w:rFonts w:ascii="Calibri" w:eastAsia="黑体" w:hAnsi="Calibri"/>
      <w:b/>
      <w:sz w:val="32"/>
      <w:szCs w:val="24"/>
    </w:rPr>
  </w:style>
  <w:style w:type="character" w:customStyle="1" w:styleId="fontstyle41">
    <w:name w:val="fontstyle41"/>
    <w:qFormat/>
    <w:rPr>
      <w:rFonts w:ascii="TimesNewRomanPSMT" w:eastAsia="TimesNewRomanPSMT" w:hAnsi="Times New Roman" w:cs="Times New Roman" w:hint="eastAsia"/>
      <w:color w:val="000000"/>
      <w:sz w:val="24"/>
      <w:szCs w:val="24"/>
    </w:rPr>
  </w:style>
  <w:style w:type="character" w:customStyle="1" w:styleId="fontstyle11">
    <w:name w:val="fontstyle11"/>
    <w:qFormat/>
    <w:rPr>
      <w:rFonts w:ascii="宋体" w:eastAsia="宋体" w:hAnsi="宋体" w:cs="Times New Roman" w:hint="eastAsia"/>
      <w:color w:val="000000"/>
      <w:sz w:val="24"/>
      <w:szCs w:val="24"/>
    </w:rPr>
  </w:style>
  <w:style w:type="character" w:customStyle="1" w:styleId="fontstyle01">
    <w:name w:val="fontstyle01"/>
    <w:qFormat/>
    <w:rPr>
      <w:rFonts w:ascii="TimesNewRomanPSMT" w:eastAsia="TimesNewRomanPSMT" w:hAnsi="TimesNewRomanPSMT" w:cs="Times New Roman" w:hint="eastAsia"/>
      <w:color w:val="000000"/>
      <w:sz w:val="24"/>
      <w:szCs w:val="24"/>
    </w:rPr>
  </w:style>
  <w:style w:type="paragraph" w:customStyle="1" w:styleId="affffffffffffffffffffa">
    <w:name w:val="正 文"/>
    <w:basedOn w:val="a8"/>
    <w:link w:val="Charffa"/>
    <w:qFormat/>
    <w:pPr>
      <w:adjustRightInd w:val="0"/>
      <w:spacing w:line="400" w:lineRule="exact"/>
      <w:ind w:firstLineChars="200" w:firstLine="480"/>
      <w:textAlignment w:val="baseline"/>
    </w:pPr>
    <w:rPr>
      <w:rFonts w:cs="宋体"/>
      <w:szCs w:val="24"/>
    </w:rPr>
  </w:style>
  <w:style w:type="character" w:customStyle="1" w:styleId="Charffa">
    <w:name w:val="正 文 Char"/>
    <w:link w:val="affffffffffffffffffffa"/>
    <w:qFormat/>
    <w:rPr>
      <w:rFonts w:ascii="宋体" w:cs="宋体"/>
      <w:sz w:val="24"/>
      <w:szCs w:val="24"/>
    </w:rPr>
  </w:style>
  <w:style w:type="paragraph" w:customStyle="1" w:styleId="CharCharff6">
    <w:name w:val="正文（首行缩进两字） Char Char"/>
    <w:basedOn w:val="a8"/>
    <w:link w:val="CharCharChar3"/>
    <w:qFormat/>
    <w:pPr>
      <w:autoSpaceDE w:val="0"/>
      <w:autoSpaceDN w:val="0"/>
      <w:adjustRightInd w:val="0"/>
      <w:snapToGrid w:val="0"/>
      <w:spacing w:before="120" w:after="120" w:line="440" w:lineRule="exact"/>
      <w:ind w:firstLine="482"/>
    </w:pPr>
    <w:rPr>
      <w:rFonts w:ascii="Times New Roman"/>
      <w:kern w:val="2"/>
      <w:szCs w:val="24"/>
    </w:rPr>
  </w:style>
  <w:style w:type="character" w:customStyle="1" w:styleId="CharCharChar3">
    <w:name w:val="正文（首行缩进两字） Char Char Char"/>
    <w:link w:val="CharCharff6"/>
    <w:qFormat/>
    <w:rPr>
      <w:kern w:val="2"/>
      <w:sz w:val="24"/>
      <w:szCs w:val="24"/>
    </w:rPr>
  </w:style>
  <w:style w:type="paragraph" w:customStyle="1" w:styleId="21121122Char1Heading2211">
    <w:name w:val="样式 标题 21.1标题 21.1标题2标题 2 Char1节_Heading 2标2二级标题1.1标题一..."/>
    <w:basedOn w:val="2"/>
    <w:qFormat/>
    <w:pPr>
      <w:tabs>
        <w:tab w:val="left" w:pos="360"/>
      </w:tabs>
      <w:spacing w:before="120" w:after="120" w:line="312" w:lineRule="auto"/>
      <w:ind w:firstLine="573"/>
    </w:pPr>
    <w:rPr>
      <w:rFonts w:ascii="黑体" w:eastAsia="宋体" w:hAnsi="黑体"/>
      <w:sz w:val="24"/>
      <w:szCs w:val="24"/>
    </w:rPr>
  </w:style>
  <w:style w:type="paragraph" w:customStyle="1" w:styleId="1ffff3">
    <w:name w:val="修订1"/>
    <w:qFormat/>
    <w:rPr>
      <w:kern w:val="2"/>
      <w:sz w:val="21"/>
      <w:szCs w:val="22"/>
    </w:rPr>
  </w:style>
  <w:style w:type="paragraph" w:customStyle="1" w:styleId="SLCON">
    <w:name w:val="样式 表（或图）标题 样式 宋体 五号 居中 SL CON + 非加粗"/>
    <w:basedOn w:val="a8"/>
    <w:qFormat/>
    <w:pPr>
      <w:widowControl/>
      <w:tabs>
        <w:tab w:val="left" w:pos="377"/>
      </w:tabs>
      <w:jc w:val="center"/>
    </w:pPr>
    <w:rPr>
      <w:rFonts w:ascii="Times New Roman" w:cs="宋体"/>
      <w:b/>
      <w:sz w:val="21"/>
    </w:rPr>
  </w:style>
  <w:style w:type="paragraph" w:customStyle="1" w:styleId="affffffffffffffffffffb">
    <w:name w:val="１标题"/>
    <w:basedOn w:val="11"/>
    <w:next w:val="a8"/>
    <w:qFormat/>
    <w:pPr>
      <w:numPr>
        <w:numId w:val="0"/>
      </w:numPr>
      <w:tabs>
        <w:tab w:val="clear" w:pos="8160"/>
        <w:tab w:val="left" w:pos="1740"/>
      </w:tabs>
      <w:spacing w:before="0" w:afterLines="0" w:after="0" w:line="440" w:lineRule="exact"/>
      <w:ind w:left="1740" w:hanging="480"/>
    </w:pPr>
    <w:rPr>
      <w:rFonts w:ascii="Times New Roman"/>
      <w:bCs w:val="0"/>
      <w:caps/>
      <w:sz w:val="24"/>
      <w:lang w:val="zh-CN"/>
    </w:rPr>
  </w:style>
  <w:style w:type="paragraph" w:customStyle="1" w:styleId="137">
    <w:name w:val="正文小四首缩1.3行距"/>
    <w:basedOn w:val="a8"/>
    <w:qFormat/>
    <w:pPr>
      <w:spacing w:line="312" w:lineRule="auto"/>
      <w:ind w:firstLineChars="200" w:firstLine="420"/>
    </w:pPr>
    <w:rPr>
      <w:rFonts w:ascii="Times New Roman"/>
      <w:kern w:val="2"/>
      <w:szCs w:val="24"/>
    </w:rPr>
  </w:style>
  <w:style w:type="paragraph" w:customStyle="1" w:styleId="1ffff4">
    <w:name w:val="样式 样式 标题 1 + 两端对齐 + 居中"/>
    <w:basedOn w:val="a8"/>
    <w:qFormat/>
    <w:pPr>
      <w:keepLines/>
      <w:tabs>
        <w:tab w:val="left" w:pos="425"/>
      </w:tabs>
      <w:spacing w:before="840" w:after="360" w:line="312" w:lineRule="auto"/>
      <w:ind w:left="425" w:hanging="425"/>
      <w:jc w:val="center"/>
      <w:outlineLvl w:val="0"/>
    </w:pPr>
    <w:rPr>
      <w:rFonts w:ascii="Times New Roman" w:eastAsia="黑体" w:cs="宋体"/>
      <w:b/>
      <w:bCs/>
      <w:kern w:val="44"/>
      <w:sz w:val="36"/>
      <w:szCs w:val="36"/>
    </w:rPr>
  </w:style>
  <w:style w:type="paragraph" w:customStyle="1" w:styleId="41111411114Char1111Char4111">
    <w:name w:val="样式 标题 41.1.1.1标题 4.1.1.1.1标题 4 Char款1.1.1.1 Char标4段1.1.1..."/>
    <w:basedOn w:val="42"/>
    <w:qFormat/>
    <w:pPr>
      <w:tabs>
        <w:tab w:val="clear" w:pos="1008"/>
        <w:tab w:val="left" w:pos="360"/>
      </w:tabs>
      <w:spacing w:before="120" w:after="120" w:line="312" w:lineRule="auto"/>
      <w:ind w:firstLine="573"/>
    </w:pPr>
    <w:rPr>
      <w:rFonts w:cs="宋体"/>
      <w:sz w:val="24"/>
      <w:szCs w:val="20"/>
    </w:rPr>
  </w:style>
  <w:style w:type="paragraph" w:customStyle="1" w:styleId="TOC20">
    <w:name w:val="TOC 标题2"/>
    <w:basedOn w:val="11"/>
    <w:next w:val="a8"/>
    <w:qFormat/>
    <w:pPr>
      <w:widowControl/>
      <w:numPr>
        <w:numId w:val="0"/>
      </w:numPr>
      <w:tabs>
        <w:tab w:val="clear" w:pos="8160"/>
      </w:tabs>
      <w:adjustRightInd/>
      <w:spacing w:before="100" w:afterLines="0" w:after="0" w:line="259" w:lineRule="auto"/>
      <w:textAlignment w:val="auto"/>
      <w:outlineLvl w:val="9"/>
    </w:pPr>
    <w:rPr>
      <w:rFonts w:ascii="等线 Light" w:eastAsia="等线 Light" w:hAnsi="等线 Light"/>
      <w:b w:val="0"/>
      <w:color w:val="2F5496"/>
      <w:kern w:val="0"/>
      <w:szCs w:val="32"/>
    </w:rPr>
  </w:style>
  <w:style w:type="character" w:customStyle="1" w:styleId="Charffb">
    <w:name w:val="宏文本 Char"/>
    <w:basedOn w:val="ab"/>
    <w:uiPriority w:val="99"/>
    <w:semiHidden/>
    <w:qFormat/>
    <w:rPr>
      <w:rFonts w:ascii="Courier New" w:eastAsia="宋体" w:hAnsi="Courier New" w:cs="Courier New"/>
      <w:sz w:val="24"/>
      <w:szCs w:val="24"/>
    </w:rPr>
  </w:style>
  <w:style w:type="character" w:customStyle="1" w:styleId="Char31">
    <w:name w:val="标题 Char3"/>
    <w:uiPriority w:val="10"/>
    <w:qFormat/>
    <w:rPr>
      <w:rFonts w:ascii="Arial" w:eastAsia="宋体" w:hAnsi="Arial" w:cs="Arial"/>
      <w:b/>
      <w:bCs/>
      <w:kern w:val="2"/>
      <w:sz w:val="32"/>
      <w:szCs w:val="32"/>
    </w:rPr>
  </w:style>
  <w:style w:type="character" w:customStyle="1" w:styleId="Char32">
    <w:name w:val="博士论文正文 Char3"/>
    <w:link w:val="affffffffffffffffffffc"/>
    <w:qFormat/>
    <w:rPr>
      <w:sz w:val="24"/>
    </w:rPr>
  </w:style>
  <w:style w:type="paragraph" w:customStyle="1" w:styleId="affffffffffffffffffffc">
    <w:name w:val="博士论文正文"/>
    <w:basedOn w:val="a8"/>
    <w:link w:val="Char32"/>
    <w:qFormat/>
    <w:pPr>
      <w:widowControl/>
      <w:snapToGrid w:val="0"/>
      <w:spacing w:beforeLines="20" w:afterLines="20" w:line="360" w:lineRule="auto"/>
      <w:ind w:firstLineChars="200" w:firstLine="200"/>
      <w:jc w:val="left"/>
    </w:pPr>
    <w:rPr>
      <w:rFonts w:ascii="Times New Roman"/>
    </w:rPr>
  </w:style>
  <w:style w:type="character" w:customStyle="1" w:styleId="Char33">
    <w:name w:val="纯文本 Char3"/>
    <w:qFormat/>
    <w:rPr>
      <w:rFonts w:ascii="Arial Unicode MS" w:eastAsia="Arial Unicode MS" w:hAnsi="Arial Unicode MS" w:cs="Arial Unicode MS"/>
      <w:sz w:val="24"/>
      <w:szCs w:val="24"/>
    </w:rPr>
  </w:style>
  <w:style w:type="paragraph" w:customStyle="1" w:styleId="Affffffffffffffffffffd">
    <w:name w:val="A正文"/>
    <w:basedOn w:val="a8"/>
    <w:qFormat/>
    <w:pPr>
      <w:widowControl/>
      <w:spacing w:line="360" w:lineRule="auto"/>
      <w:ind w:firstLineChars="200" w:firstLine="480"/>
      <w:jc w:val="left"/>
    </w:pPr>
    <w:rPr>
      <w:rFonts w:hAnsi="宋体" w:cs="宋体"/>
      <w:szCs w:val="24"/>
    </w:rPr>
  </w:style>
  <w:style w:type="character" w:customStyle="1" w:styleId="Char26">
    <w:name w:val="页脚 Char2"/>
    <w:qFormat/>
    <w:rPr>
      <w:rFonts w:eastAsia="宋体"/>
      <w:sz w:val="18"/>
      <w:szCs w:val="18"/>
    </w:rPr>
  </w:style>
  <w:style w:type="paragraph" w:customStyle="1" w:styleId="-ocse">
    <w:name w:val="正文-ocse"/>
    <w:basedOn w:val="a8"/>
    <w:qFormat/>
    <w:pPr>
      <w:adjustRightInd w:val="0"/>
      <w:snapToGrid w:val="0"/>
      <w:spacing w:line="360" w:lineRule="auto"/>
      <w:ind w:firstLineChars="200" w:firstLine="480"/>
    </w:pPr>
    <w:rPr>
      <w:rFonts w:ascii="Times New Roman"/>
      <w:kern w:val="2"/>
      <w:szCs w:val="22"/>
      <w:lang w:val="zh-CN"/>
    </w:rPr>
  </w:style>
  <w:style w:type="character" w:customStyle="1" w:styleId="-Char">
    <w:name w:val="正文-欣欣 Char"/>
    <w:link w:val="-5"/>
    <w:qFormat/>
    <w:rPr>
      <w:rFonts w:ascii="宋体"/>
      <w:sz w:val="24"/>
      <w:szCs w:val="30"/>
    </w:rPr>
  </w:style>
  <w:style w:type="character" w:customStyle="1" w:styleId="Charff9">
    <w:name w:val="三级标题样式 Char"/>
    <w:link w:val="affffffffffffffffffff6"/>
    <w:qFormat/>
    <w:rPr>
      <w:rFonts w:ascii="宋体" w:eastAsia="黑体"/>
      <w:sz w:val="30"/>
    </w:rPr>
  </w:style>
  <w:style w:type="character" w:customStyle="1" w:styleId="Charffc">
    <w:name w:val="正文样式 Char"/>
    <w:qFormat/>
    <w:rPr>
      <w:rFonts w:ascii="Times New Roman" w:eastAsia="宋体" w:hAnsi="Times New Roman" w:cs="Times New Roman"/>
      <w:sz w:val="24"/>
      <w:szCs w:val="24"/>
    </w:rPr>
  </w:style>
  <w:style w:type="paragraph" w:customStyle="1" w:styleId="2ffc">
    <w:name w:val="修订2"/>
    <w:hidden/>
    <w:uiPriority w:val="99"/>
    <w:unhideWhenUsed/>
    <w:qFormat/>
    <w:rPr>
      <w:rFonts w:cstheme="minorBidi"/>
      <w:kern w:val="2"/>
      <w:sz w:val="24"/>
      <w:szCs w:val="22"/>
    </w:rPr>
  </w:style>
  <w:style w:type="character" w:customStyle="1" w:styleId="font41">
    <w:name w:val="font41"/>
    <w:basedOn w:val="ab"/>
    <w:qFormat/>
    <w:rPr>
      <w:rFonts w:ascii="Times New Roman" w:hAnsi="Times New Roman" w:cs="Times New Roman" w:hint="default"/>
      <w:color w:val="000000"/>
      <w:sz w:val="21"/>
      <w:szCs w:val="21"/>
      <w:u w:val="none"/>
      <w:vertAlign w:val="subscript"/>
    </w:rPr>
  </w:style>
  <w:style w:type="paragraph" w:customStyle="1" w:styleId="affffffffffffffffffffe">
    <w:name w:val="正文（首行缩进两字）"/>
    <w:basedOn w:val="a8"/>
    <w:uiPriority w:val="99"/>
    <w:qFormat/>
    <w:locked/>
    <w:pPr>
      <w:autoSpaceDE w:val="0"/>
      <w:autoSpaceDN w:val="0"/>
      <w:adjustRightInd w:val="0"/>
      <w:snapToGrid w:val="0"/>
      <w:spacing w:line="360" w:lineRule="auto"/>
      <w:ind w:firstLineChars="200" w:firstLine="560"/>
    </w:pPr>
    <w:rPr>
      <w:rFonts w:ascii="Arial" w:eastAsia="仿宋_GB2312" w:hAnsi="Arial" w:cs="Arial"/>
      <w:bCs/>
      <w:kern w:val="11"/>
      <w:sz w:val="28"/>
      <w:szCs w:val="28"/>
    </w:rPr>
  </w:style>
  <w:style w:type="paragraph" w:customStyle="1" w:styleId="afffffffffffffffffffff">
    <w:name w:val="内文"/>
    <w:qFormat/>
    <w:pPr>
      <w:widowControl w:val="0"/>
      <w:autoSpaceDE w:val="0"/>
      <w:autoSpaceDN w:val="0"/>
      <w:adjustRightInd w:val="0"/>
      <w:spacing w:line="480" w:lineRule="atLeast"/>
      <w:ind w:firstLine="454"/>
      <w:jc w:val="both"/>
    </w:pPr>
    <w:rPr>
      <w:rFonts w:ascii="方正黑体简体" w:eastAsia="方正黑体简体"/>
      <w:color w:val="000000"/>
      <w:szCs w:val="24"/>
    </w:rPr>
  </w:style>
  <w:style w:type="paragraph" w:customStyle="1" w:styleId="afffffffffffffffffffff0">
    <w:name w:val="正文（川油）"/>
    <w:qFormat/>
    <w:pPr>
      <w:widowControl w:val="0"/>
      <w:spacing w:line="360" w:lineRule="auto"/>
      <w:ind w:firstLineChars="200" w:firstLine="200"/>
      <w:jc w:val="both"/>
    </w:pPr>
    <w:rPr>
      <w:sz w:val="24"/>
    </w:rPr>
  </w:style>
  <w:style w:type="paragraph" w:customStyle="1" w:styleId="1L">
    <w:name w:val="1、L表名、图名"/>
    <w:basedOn w:val="a8"/>
    <w:qFormat/>
    <w:pPr>
      <w:snapToGrid w:val="0"/>
      <w:jc w:val="center"/>
    </w:pPr>
    <w:rPr>
      <w:rFonts w:ascii="Times New Roman"/>
      <w:bCs/>
      <w:kern w:val="2"/>
      <w:sz w:val="21"/>
      <w:szCs w:val="18"/>
    </w:rPr>
  </w:style>
  <w:style w:type="paragraph" w:customStyle="1" w:styleId="Normal0">
    <w:name w:val="Normal_0"/>
    <w:qFormat/>
    <w:pPr>
      <w:widowControl w:val="0"/>
      <w:spacing w:line="360" w:lineRule="auto"/>
      <w:ind w:firstLineChars="200" w:firstLine="200"/>
      <w:jc w:val="both"/>
    </w:pPr>
    <w:rPr>
      <w:rFonts w:eastAsia="仿宋"/>
      <w:kern w:val="2"/>
      <w:sz w:val="28"/>
      <w:szCs w:val="21"/>
    </w:rPr>
  </w:style>
  <w:style w:type="paragraph" w:customStyle="1" w:styleId="Normal00">
    <w:name w:val="Normal_0_0"/>
    <w:qFormat/>
    <w:pPr>
      <w:widowControl w:val="0"/>
      <w:spacing w:line="360" w:lineRule="auto"/>
      <w:ind w:firstLineChars="200" w:firstLine="200"/>
      <w:jc w:val="both"/>
    </w:pPr>
    <w:rPr>
      <w:rFonts w:eastAsia="仿宋"/>
      <w:kern w:val="2"/>
      <w:sz w:val="28"/>
      <w:szCs w:val="21"/>
    </w:rPr>
  </w:style>
  <w:style w:type="paragraph" w:customStyle="1" w:styleId="afffffffffffffffffffff1">
    <w:name w:val="表标题名"/>
    <w:basedOn w:val="afffffff6"/>
    <w:qFormat/>
    <w:pPr>
      <w:tabs>
        <w:tab w:val="left" w:pos="1350"/>
      </w:tabs>
      <w:autoSpaceDE w:val="0"/>
      <w:autoSpaceDN w:val="0"/>
      <w:adjustRightInd w:val="0"/>
      <w:snapToGrid w:val="0"/>
    </w:pPr>
    <w:rPr>
      <w:rFonts w:eastAsia="宋体"/>
      <w:kern w:val="2"/>
      <w:szCs w:val="24"/>
      <w:shd w:val="clear" w:color="auto" w:fill="FFFFFF"/>
    </w:rPr>
  </w:style>
  <w:style w:type="paragraph" w:customStyle="1" w:styleId="rpt">
    <w:name w:val="rpt_表项"/>
    <w:basedOn w:val="a8"/>
    <w:qFormat/>
    <w:pPr>
      <w:spacing w:before="60" w:after="60"/>
      <w:jc w:val="center"/>
    </w:pPr>
    <w:rPr>
      <w:sz w:val="22"/>
    </w:rPr>
  </w:style>
  <w:style w:type="character" w:customStyle="1" w:styleId="font61">
    <w:name w:val="font61"/>
    <w:basedOn w:val="ab"/>
    <w:qFormat/>
    <w:rPr>
      <w:rFonts w:ascii="宋体" w:eastAsia="宋体" w:hAnsi="宋体" w:cs="宋体" w:hint="eastAsia"/>
      <w:color w:val="000000"/>
      <w:sz w:val="24"/>
      <w:szCs w:val="24"/>
      <w:u w:val="none"/>
    </w:rPr>
  </w:style>
  <w:style w:type="table" w:customStyle="1" w:styleId="TableGrid0">
    <w:name w:val="Table Grid_0"/>
    <w:basedOn w:val="ac"/>
    <w:qFormat/>
    <w:rPr>
      <w:rFonts w:eastAsia="仿宋"/>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f01">
    <w:name w:val="cf01"/>
    <w:basedOn w:val="ab"/>
    <w:rPr>
      <w:rFonts w:ascii="Microsoft YaHei UI" w:eastAsia="Microsoft YaHei UI" w:hAnsi="Microsoft YaHei UI" w:hint="eastAsia"/>
      <w:sz w:val="18"/>
      <w:szCs w:val="18"/>
    </w:rPr>
  </w:style>
  <w:style w:type="paragraph" w:customStyle="1" w:styleId="p">
    <w:name w:val="p"/>
    <w:basedOn w:val="a8"/>
    <w:rsid w:val="004D29E2"/>
    <w:pPr>
      <w:widowControl/>
      <w:spacing w:before="100" w:beforeAutospacing="1" w:after="100" w:afterAutospacing="1"/>
      <w:jc w:val="left"/>
    </w:pPr>
    <w:rPr>
      <w:rFonts w:hAnsi="宋体" w:cs="宋体"/>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1267011">
      <w:bodyDiv w:val="1"/>
      <w:marLeft w:val="0"/>
      <w:marRight w:val="0"/>
      <w:marTop w:val="0"/>
      <w:marBottom w:val="0"/>
      <w:divBdr>
        <w:top w:val="none" w:sz="0" w:space="0" w:color="auto"/>
        <w:left w:val="none" w:sz="0" w:space="0" w:color="auto"/>
        <w:bottom w:val="none" w:sz="0" w:space="0" w:color="auto"/>
        <w:right w:val="none" w:sz="0" w:space="0" w:color="auto"/>
      </w:divBdr>
    </w:div>
    <w:div w:id="213694180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8.png"/><Relationship Id="rId21" Type="http://schemas.openxmlformats.org/officeDocument/2006/relationships/image" Target="media/image5.png"/><Relationship Id="rId42" Type="http://schemas.openxmlformats.org/officeDocument/2006/relationships/oleObject" Target="embeddings/oleObject4.bin"/><Relationship Id="rId47" Type="http://schemas.openxmlformats.org/officeDocument/2006/relationships/image" Target="media/image16.jpeg"/><Relationship Id="rId63" Type="http://schemas.openxmlformats.org/officeDocument/2006/relationships/image" Target="media/image28.wmf"/><Relationship Id="rId68" Type="http://schemas.openxmlformats.org/officeDocument/2006/relationships/image" Target="media/image33.png"/><Relationship Id="rId84" Type="http://schemas.openxmlformats.org/officeDocument/2006/relationships/image" Target="media/image47.jpeg"/><Relationship Id="rId89" Type="http://schemas.openxmlformats.org/officeDocument/2006/relationships/oleObject" Target="embeddings/oleObject6.bin"/><Relationship Id="rId16" Type="http://schemas.openxmlformats.org/officeDocument/2006/relationships/image" Target="media/image2.jpeg"/><Relationship Id="rId107" Type="http://schemas.openxmlformats.org/officeDocument/2006/relationships/header" Target="header9.xml"/><Relationship Id="rId11" Type="http://schemas.openxmlformats.org/officeDocument/2006/relationships/footer" Target="footer1.xml"/><Relationship Id="rId32" Type="http://schemas.openxmlformats.org/officeDocument/2006/relationships/hyperlink" Target="http://baike.baidu.com/view/32861.htm" TargetMode="External"/><Relationship Id="rId37" Type="http://schemas.openxmlformats.org/officeDocument/2006/relationships/hyperlink" Target="http://baike.baidu.com/view/980735.htm" TargetMode="External"/><Relationship Id="rId53" Type="http://schemas.openxmlformats.org/officeDocument/2006/relationships/image" Target="media/image19.png"/><Relationship Id="rId58" Type="http://schemas.openxmlformats.org/officeDocument/2006/relationships/image" Target="media/image23.png"/><Relationship Id="rId74" Type="http://schemas.openxmlformats.org/officeDocument/2006/relationships/image" Target="media/image39.png"/><Relationship Id="rId79" Type="http://schemas.openxmlformats.org/officeDocument/2006/relationships/image" Target="media/image44.png"/><Relationship Id="rId102" Type="http://schemas.openxmlformats.org/officeDocument/2006/relationships/image" Target="media/image60.png"/><Relationship Id="rId5" Type="http://schemas.openxmlformats.org/officeDocument/2006/relationships/settings" Target="settings.xml"/><Relationship Id="rId90" Type="http://schemas.openxmlformats.org/officeDocument/2006/relationships/image" Target="media/image52.wmf"/><Relationship Id="rId95" Type="http://schemas.openxmlformats.org/officeDocument/2006/relationships/image" Target="media/image55.emf"/><Relationship Id="rId22" Type="http://schemas.openxmlformats.org/officeDocument/2006/relationships/image" Target="media/image6.jpeg"/><Relationship Id="rId27" Type="http://schemas.openxmlformats.org/officeDocument/2006/relationships/image" Target="media/image9.wmf"/><Relationship Id="rId43" Type="http://schemas.openxmlformats.org/officeDocument/2006/relationships/header" Target="header5.xml"/><Relationship Id="rId48" Type="http://schemas.openxmlformats.org/officeDocument/2006/relationships/image" Target="media/image17.jpeg"/><Relationship Id="rId64" Type="http://schemas.openxmlformats.org/officeDocument/2006/relationships/image" Target="media/image29.wmf"/><Relationship Id="rId69" Type="http://schemas.openxmlformats.org/officeDocument/2006/relationships/image" Target="media/image34.png"/><Relationship Id="rId80" Type="http://schemas.openxmlformats.org/officeDocument/2006/relationships/image" Target="media/image45.png"/><Relationship Id="rId85" Type="http://schemas.openxmlformats.org/officeDocument/2006/relationships/image" Target="media/image48.jpeg"/><Relationship Id="rId12" Type="http://schemas.openxmlformats.org/officeDocument/2006/relationships/header" Target="header3.xml"/><Relationship Id="rId17" Type="http://schemas.openxmlformats.org/officeDocument/2006/relationships/hyperlink" Target="https://www.sczwfw.gov.cn/tftb/hos-server/pub/jmas/jmasbucket/jmopen_files/webapp/html5/sxydctfx/index.html?areaCode=510000000000" TargetMode="External"/><Relationship Id="rId33" Type="http://schemas.openxmlformats.org/officeDocument/2006/relationships/hyperlink" Target="http://baike.baidu.com/view/91907.htm" TargetMode="External"/><Relationship Id="rId38" Type="http://schemas.openxmlformats.org/officeDocument/2006/relationships/image" Target="media/image11.png"/><Relationship Id="rId59" Type="http://schemas.openxmlformats.org/officeDocument/2006/relationships/image" Target="media/image24.png"/><Relationship Id="rId103" Type="http://schemas.openxmlformats.org/officeDocument/2006/relationships/image" Target="media/image61.png"/><Relationship Id="rId108" Type="http://schemas.openxmlformats.org/officeDocument/2006/relationships/footer" Target="footer10.xml"/><Relationship Id="rId54" Type="http://schemas.openxmlformats.org/officeDocument/2006/relationships/image" Target="media/image20.wmf"/><Relationship Id="rId70" Type="http://schemas.openxmlformats.org/officeDocument/2006/relationships/image" Target="media/image35.png"/><Relationship Id="rId75" Type="http://schemas.openxmlformats.org/officeDocument/2006/relationships/image" Target="media/image40.png"/><Relationship Id="rId91" Type="http://schemas.openxmlformats.org/officeDocument/2006/relationships/oleObject" Target="embeddings/oleObject7.bin"/><Relationship Id="rId96" Type="http://schemas.openxmlformats.org/officeDocument/2006/relationships/image" Target="media/image56.emf"/><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image" Target="media/image1.png"/><Relationship Id="rId23" Type="http://schemas.openxmlformats.org/officeDocument/2006/relationships/image" Target="media/image7.png"/><Relationship Id="rId28" Type="http://schemas.openxmlformats.org/officeDocument/2006/relationships/oleObject" Target="embeddings/oleObject2.bin"/><Relationship Id="rId36" Type="http://schemas.openxmlformats.org/officeDocument/2006/relationships/hyperlink" Target="http://baike.baidu.com/view/601036.htm" TargetMode="External"/><Relationship Id="rId49" Type="http://schemas.openxmlformats.org/officeDocument/2006/relationships/image" Target="media/image18.jpeg"/><Relationship Id="rId57" Type="http://schemas.openxmlformats.org/officeDocument/2006/relationships/image" Target="media/image22.wmf"/><Relationship Id="rId106" Type="http://schemas.openxmlformats.org/officeDocument/2006/relationships/footer" Target="footer9.xml"/><Relationship Id="rId10" Type="http://schemas.openxmlformats.org/officeDocument/2006/relationships/header" Target="header2.xml"/><Relationship Id="rId31" Type="http://schemas.openxmlformats.org/officeDocument/2006/relationships/hyperlink" Target="https://baike.baidu.com/item/%E8%BE%BE%E5%B7%9E%E5%B8%82/951989" TargetMode="External"/><Relationship Id="rId44" Type="http://schemas.openxmlformats.org/officeDocument/2006/relationships/footer" Target="footer5.xml"/><Relationship Id="rId52" Type="http://schemas.openxmlformats.org/officeDocument/2006/relationships/hyperlink" Target="http://www.chemyq.com/xz/xz7/64989dbqrv.htm" TargetMode="External"/><Relationship Id="rId60" Type="http://schemas.openxmlformats.org/officeDocument/2006/relationships/image" Target="media/image25.png"/><Relationship Id="rId65" Type="http://schemas.openxmlformats.org/officeDocument/2006/relationships/image" Target="media/image30.wmf"/><Relationship Id="rId73" Type="http://schemas.openxmlformats.org/officeDocument/2006/relationships/image" Target="media/image38.png"/><Relationship Id="rId78" Type="http://schemas.openxmlformats.org/officeDocument/2006/relationships/image" Target="media/image43.png"/><Relationship Id="rId81" Type="http://schemas.openxmlformats.org/officeDocument/2006/relationships/header" Target="header6.xml"/><Relationship Id="rId86" Type="http://schemas.openxmlformats.org/officeDocument/2006/relationships/image" Target="media/image49.jpeg"/><Relationship Id="rId94" Type="http://schemas.openxmlformats.org/officeDocument/2006/relationships/image" Target="media/image54.jpeg"/><Relationship Id="rId99" Type="http://schemas.openxmlformats.org/officeDocument/2006/relationships/image" Target="media/image59.png"/><Relationship Id="rId101" Type="http://schemas.openxmlformats.org/officeDocument/2006/relationships/footer" Target="footer7.xml"/><Relationship Id="rId4" Type="http://schemas.openxmlformats.org/officeDocument/2006/relationships/styles" Target="styles.xml"/><Relationship Id="rId9" Type="http://schemas.openxmlformats.org/officeDocument/2006/relationships/header" Target="header1.xml"/><Relationship Id="rId13" Type="http://schemas.openxmlformats.org/officeDocument/2006/relationships/footer" Target="footer2.xml"/><Relationship Id="rId18" Type="http://schemas.openxmlformats.org/officeDocument/2006/relationships/image" Target="media/image3.wmf"/><Relationship Id="rId39" Type="http://schemas.openxmlformats.org/officeDocument/2006/relationships/image" Target="media/image12.wmf"/><Relationship Id="rId109" Type="http://schemas.openxmlformats.org/officeDocument/2006/relationships/footer" Target="footer11.xml"/><Relationship Id="rId34" Type="http://schemas.openxmlformats.org/officeDocument/2006/relationships/hyperlink" Target="http://baike.baidu.com/view/953588.htm" TargetMode="External"/><Relationship Id="rId50" Type="http://schemas.openxmlformats.org/officeDocument/2006/relationships/hyperlink" Target="http://www.chemyq.com/xz/xz8/71741mksai.htm" TargetMode="External"/><Relationship Id="rId55" Type="http://schemas.openxmlformats.org/officeDocument/2006/relationships/oleObject" Target="embeddings/oleObject5.bin"/><Relationship Id="rId76" Type="http://schemas.openxmlformats.org/officeDocument/2006/relationships/image" Target="media/image41.png"/><Relationship Id="rId97" Type="http://schemas.openxmlformats.org/officeDocument/2006/relationships/image" Target="media/image57.jpeg"/><Relationship Id="rId104" Type="http://schemas.openxmlformats.org/officeDocument/2006/relationships/footer" Target="footer8.xml"/><Relationship Id="rId7" Type="http://schemas.openxmlformats.org/officeDocument/2006/relationships/footnotes" Target="footnotes.xml"/><Relationship Id="rId71" Type="http://schemas.openxmlformats.org/officeDocument/2006/relationships/image" Target="media/image36.png"/><Relationship Id="rId92" Type="http://schemas.openxmlformats.org/officeDocument/2006/relationships/image" Target="media/image53.wmf"/><Relationship Id="rId2" Type="http://schemas.openxmlformats.org/officeDocument/2006/relationships/customXml" Target="../customXml/item2.xml"/><Relationship Id="rId29" Type="http://schemas.openxmlformats.org/officeDocument/2006/relationships/image" Target="media/image10.png"/><Relationship Id="rId24" Type="http://schemas.openxmlformats.org/officeDocument/2006/relationships/header" Target="header4.xml"/><Relationship Id="rId40" Type="http://schemas.openxmlformats.org/officeDocument/2006/relationships/oleObject" Target="embeddings/oleObject3.bin"/><Relationship Id="rId45" Type="http://schemas.openxmlformats.org/officeDocument/2006/relationships/image" Target="media/image14.jpeg"/><Relationship Id="rId66" Type="http://schemas.openxmlformats.org/officeDocument/2006/relationships/image" Target="media/image31.wmf"/><Relationship Id="rId87" Type="http://schemas.openxmlformats.org/officeDocument/2006/relationships/image" Target="media/image50.jpeg"/><Relationship Id="rId110" Type="http://schemas.openxmlformats.org/officeDocument/2006/relationships/fontTable" Target="fontTable.xml"/><Relationship Id="rId61" Type="http://schemas.openxmlformats.org/officeDocument/2006/relationships/image" Target="media/image26.wmf"/><Relationship Id="rId82" Type="http://schemas.openxmlformats.org/officeDocument/2006/relationships/footer" Target="footer6.xml"/><Relationship Id="rId19" Type="http://schemas.openxmlformats.org/officeDocument/2006/relationships/oleObject" Target="embeddings/oleObject1.bin"/><Relationship Id="rId14" Type="http://schemas.openxmlformats.org/officeDocument/2006/relationships/footer" Target="footer3.xml"/><Relationship Id="rId30" Type="http://schemas.openxmlformats.org/officeDocument/2006/relationships/hyperlink" Target="https://baike.baidu.com/item/%E5%9B%9B%E5%B7%9D%E7%9C%81/15626925" TargetMode="External"/><Relationship Id="rId35" Type="http://schemas.openxmlformats.org/officeDocument/2006/relationships/hyperlink" Target="http://baike.baidu.com/view/5021.htm" TargetMode="External"/><Relationship Id="rId56" Type="http://schemas.openxmlformats.org/officeDocument/2006/relationships/image" Target="media/image21.jpeg"/><Relationship Id="rId77" Type="http://schemas.openxmlformats.org/officeDocument/2006/relationships/image" Target="media/image42.png"/><Relationship Id="rId100" Type="http://schemas.openxmlformats.org/officeDocument/2006/relationships/header" Target="header7.xml"/><Relationship Id="rId105" Type="http://schemas.openxmlformats.org/officeDocument/2006/relationships/header" Target="header8.xml"/><Relationship Id="rId8" Type="http://schemas.openxmlformats.org/officeDocument/2006/relationships/endnotes" Target="endnotes.xml"/><Relationship Id="rId51" Type="http://schemas.openxmlformats.org/officeDocument/2006/relationships/hyperlink" Target="http://www.chemyq.com/xz/xz8/71741mksai.htm" TargetMode="External"/><Relationship Id="rId72" Type="http://schemas.openxmlformats.org/officeDocument/2006/relationships/image" Target="media/image37.png"/><Relationship Id="rId93" Type="http://schemas.openxmlformats.org/officeDocument/2006/relationships/oleObject" Target="embeddings/oleObject8.bin"/><Relationship Id="rId98" Type="http://schemas.openxmlformats.org/officeDocument/2006/relationships/image" Target="media/image58.png"/><Relationship Id="rId3" Type="http://schemas.openxmlformats.org/officeDocument/2006/relationships/numbering" Target="numbering.xml"/><Relationship Id="rId25" Type="http://schemas.openxmlformats.org/officeDocument/2006/relationships/footer" Target="footer4.xml"/><Relationship Id="rId46" Type="http://schemas.openxmlformats.org/officeDocument/2006/relationships/image" Target="media/image15.jpeg"/><Relationship Id="rId67" Type="http://schemas.openxmlformats.org/officeDocument/2006/relationships/image" Target="media/image32.png"/><Relationship Id="rId20" Type="http://schemas.openxmlformats.org/officeDocument/2006/relationships/image" Target="media/image4.png"/><Relationship Id="rId41" Type="http://schemas.openxmlformats.org/officeDocument/2006/relationships/image" Target="media/image13.wmf"/><Relationship Id="rId62" Type="http://schemas.openxmlformats.org/officeDocument/2006/relationships/image" Target="media/image27.wmf"/><Relationship Id="rId83" Type="http://schemas.openxmlformats.org/officeDocument/2006/relationships/image" Target="media/image46.png"/><Relationship Id="rId88" Type="http://schemas.openxmlformats.org/officeDocument/2006/relationships/image" Target="media/image51.wmf"/><Relationship Id="rId111"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ops>
  <customShpExts>
    <customShpInfo spid="_x0000_s1026" textRotate="1"/>
    <customShpInfo spid="_x0000_s2050"/>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2E823DE-53B3-4A23-8CB4-9C5694D0E8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1511</TotalTime>
  <Pages>1</Pages>
  <Words>32143</Words>
  <Characters>183217</Characters>
  <Application>Microsoft Office Word</Application>
  <DocSecurity>0</DocSecurity>
  <Lines>1526</Lines>
  <Paragraphs>429</Paragraphs>
  <ScaleCrop>false</ScaleCrop>
  <Company>JHHB</Company>
  <LinksUpToDate>false</LinksUpToDate>
  <CharactersWithSpaces>214931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雨林木风</dc:creator>
  <cp:lastModifiedBy>duanjiuliang123@outlook.com</cp:lastModifiedBy>
  <cp:revision>94</cp:revision>
  <cp:lastPrinted>2022-07-21T13:45:00Z</cp:lastPrinted>
  <dcterms:created xsi:type="dcterms:W3CDTF">2016-12-15T07:42:00Z</dcterms:created>
  <dcterms:modified xsi:type="dcterms:W3CDTF">2022-07-21T13:46:00Z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y fmtid="{D5CDD505-2E9C-101B-9397-08002B2CF9AE}" pid="3" name="KSOProductBuildVer">
    <vt:lpwstr>2052-11.1.0.11830</vt:lpwstr>
  </property>
  <property fmtid="{D5CDD505-2E9C-101B-9397-08002B2CF9AE}" pid="4" name="ICV">
    <vt:lpwstr>00995A619B9944BBABC5669F2009B28D</vt:lpwstr>
  </property>
</Properties>
</file>